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A3D83" w:rsidRPr="006554E1" w:rsidRDefault="007A3D83" w:rsidP="007A3D83">
      <w:pPr>
        <w:pStyle w:val="Sansinterligne"/>
        <w:jc w:val="center"/>
        <w:rPr>
          <w:b/>
        </w:rPr>
      </w:pPr>
      <w:bookmarkStart w:id="0" w:name="_GoBack"/>
      <w:bookmarkEnd w:id="0"/>
    </w:p>
    <w:p w:rsidR="007A3D83" w:rsidRPr="006554E1" w:rsidRDefault="007A3D83" w:rsidP="007A3D83">
      <w:pPr>
        <w:pStyle w:val="Sansinterligne"/>
        <w:jc w:val="center"/>
        <w:rPr>
          <w:b/>
          <w:sz w:val="40"/>
          <w:szCs w:val="40"/>
        </w:rPr>
      </w:pPr>
      <w:r w:rsidRPr="006554E1">
        <w:rPr>
          <w:b/>
          <w:sz w:val="40"/>
          <w:szCs w:val="40"/>
        </w:rPr>
        <w:t>Préparation à l’examen du Conseil médical canadien (CMC)</w:t>
      </w:r>
    </w:p>
    <w:p w:rsidR="007A3D83" w:rsidRPr="007A3D83" w:rsidRDefault="007A3D83" w:rsidP="007A3D83">
      <w:pPr>
        <w:pStyle w:val="Sansinterligne"/>
        <w:jc w:val="center"/>
        <w:rPr>
          <w:sz w:val="40"/>
          <w:szCs w:val="40"/>
        </w:rPr>
      </w:pPr>
    </w:p>
    <w:p w:rsidR="007A3D83" w:rsidRPr="006554E1" w:rsidRDefault="007A3D83" w:rsidP="007A3D83">
      <w:pPr>
        <w:pStyle w:val="Sansinterligne"/>
        <w:jc w:val="center"/>
        <w:rPr>
          <w:sz w:val="40"/>
          <w:szCs w:val="40"/>
        </w:rPr>
      </w:pPr>
      <w:r w:rsidRPr="006554E1">
        <w:rPr>
          <w:sz w:val="40"/>
          <w:szCs w:val="40"/>
        </w:rPr>
        <w:t>Résumé des objectifs et situations cliniques essentielles du CMC</w:t>
      </w:r>
    </w:p>
    <w:p w:rsidR="007A3D83" w:rsidRDefault="007A3D83" w:rsidP="007A3D83">
      <w:pPr>
        <w:pStyle w:val="Sansinterligne"/>
        <w:jc w:val="center"/>
      </w:pPr>
    </w:p>
    <w:p w:rsidR="007A3D83" w:rsidRDefault="007A3D83" w:rsidP="007A3D83">
      <w:pPr>
        <w:pStyle w:val="Sansinterligne"/>
        <w:jc w:val="center"/>
      </w:pPr>
    </w:p>
    <w:p w:rsidR="007A3D83" w:rsidRDefault="0090182D" w:rsidP="007A3D83">
      <w:pPr>
        <w:pStyle w:val="Sansinterligne"/>
        <w:jc w:val="center"/>
      </w:pPr>
      <w:r>
        <w:rPr>
          <w:noProof/>
          <w:lang w:eastAsia="fr-CA"/>
        </w:rPr>
        <w:drawing>
          <wp:anchor distT="0" distB="0" distL="114300" distR="114300" simplePos="0" relativeHeight="251711488" behindDoc="0" locked="0" layoutInCell="1" allowOverlap="1" wp14:anchorId="5F61D7E4" wp14:editId="47A429C8">
            <wp:simplePos x="0" y="0"/>
            <wp:positionH relativeFrom="column">
              <wp:posOffset>2132330</wp:posOffset>
            </wp:positionH>
            <wp:positionV relativeFrom="paragraph">
              <wp:posOffset>50165</wp:posOffset>
            </wp:positionV>
            <wp:extent cx="2489200" cy="3498850"/>
            <wp:effectExtent l="0" t="0" r="6350" b="6350"/>
            <wp:wrapNone/>
            <wp:docPr id="24" name="Image 24" descr="Résultats de recherche d'images pour « baton d'asclépios vrai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ésultats de recherche d'images pour « baton d'asclépios vrai »"/>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489200" cy="34988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A3D83" w:rsidRDefault="007A3D83" w:rsidP="007A3D83">
      <w:pPr>
        <w:pStyle w:val="Sansinterligne"/>
        <w:jc w:val="center"/>
      </w:pPr>
    </w:p>
    <w:p w:rsidR="007A3D83" w:rsidRDefault="007A3D83" w:rsidP="007A3D83">
      <w:pPr>
        <w:pStyle w:val="Sansinterligne"/>
        <w:jc w:val="center"/>
      </w:pPr>
    </w:p>
    <w:p w:rsidR="007A3D83" w:rsidRDefault="007A3D83" w:rsidP="007A3D83">
      <w:pPr>
        <w:pStyle w:val="Sansinterligne"/>
        <w:jc w:val="center"/>
      </w:pPr>
    </w:p>
    <w:p w:rsidR="007A3D83" w:rsidRDefault="007A3D83" w:rsidP="007A3D83">
      <w:pPr>
        <w:pStyle w:val="Sansinterligne"/>
        <w:jc w:val="center"/>
      </w:pPr>
    </w:p>
    <w:p w:rsidR="007A3D83" w:rsidRDefault="007A3D83" w:rsidP="007A3D83">
      <w:pPr>
        <w:pStyle w:val="Sansinterligne"/>
        <w:jc w:val="center"/>
      </w:pPr>
    </w:p>
    <w:p w:rsidR="007A3D83" w:rsidRDefault="007A3D83" w:rsidP="007A3D83">
      <w:pPr>
        <w:pStyle w:val="Sansinterligne"/>
        <w:jc w:val="center"/>
      </w:pPr>
    </w:p>
    <w:p w:rsidR="007A3D83" w:rsidRDefault="007A3D83" w:rsidP="007A3D83">
      <w:pPr>
        <w:pStyle w:val="Sansinterligne"/>
        <w:jc w:val="center"/>
      </w:pPr>
    </w:p>
    <w:p w:rsidR="007A3D83" w:rsidRDefault="007A3D83" w:rsidP="007A3D83">
      <w:pPr>
        <w:pStyle w:val="Sansinterligne"/>
        <w:jc w:val="center"/>
        <w:rPr>
          <w:sz w:val="36"/>
          <w:szCs w:val="36"/>
        </w:rPr>
      </w:pPr>
    </w:p>
    <w:p w:rsidR="007A3D83" w:rsidRDefault="007A3D83" w:rsidP="007A3D83">
      <w:pPr>
        <w:pStyle w:val="Sansinterligne"/>
        <w:jc w:val="center"/>
        <w:rPr>
          <w:sz w:val="36"/>
          <w:szCs w:val="36"/>
        </w:rPr>
      </w:pPr>
    </w:p>
    <w:p w:rsidR="007A3D83" w:rsidRDefault="007A3D83" w:rsidP="007A3D83">
      <w:pPr>
        <w:pStyle w:val="Sansinterligne"/>
        <w:jc w:val="center"/>
        <w:rPr>
          <w:sz w:val="36"/>
          <w:szCs w:val="36"/>
        </w:rPr>
      </w:pPr>
    </w:p>
    <w:p w:rsidR="007A3D83" w:rsidRDefault="007A3D83" w:rsidP="007A3D83">
      <w:pPr>
        <w:pStyle w:val="Sansinterligne"/>
        <w:jc w:val="center"/>
        <w:rPr>
          <w:sz w:val="36"/>
          <w:szCs w:val="36"/>
        </w:rPr>
      </w:pPr>
    </w:p>
    <w:p w:rsidR="007A3D83" w:rsidRDefault="007A3D83" w:rsidP="007A3D83">
      <w:pPr>
        <w:pStyle w:val="Sansinterligne"/>
        <w:jc w:val="center"/>
        <w:rPr>
          <w:sz w:val="36"/>
          <w:szCs w:val="36"/>
        </w:rPr>
      </w:pPr>
    </w:p>
    <w:p w:rsidR="007A3D83" w:rsidRDefault="007A3D83" w:rsidP="007A3D83">
      <w:pPr>
        <w:pStyle w:val="Sansinterligne"/>
        <w:jc w:val="center"/>
        <w:rPr>
          <w:sz w:val="36"/>
          <w:szCs w:val="36"/>
        </w:rPr>
      </w:pPr>
    </w:p>
    <w:p w:rsidR="007A3D83" w:rsidRDefault="007A3D83" w:rsidP="007A3D83">
      <w:pPr>
        <w:pStyle w:val="Sansinterligne"/>
        <w:jc w:val="center"/>
        <w:rPr>
          <w:sz w:val="36"/>
          <w:szCs w:val="36"/>
        </w:rPr>
      </w:pPr>
    </w:p>
    <w:p w:rsidR="007A3D83" w:rsidRDefault="007A3D83" w:rsidP="007A3D83">
      <w:pPr>
        <w:pStyle w:val="Sansinterligne"/>
        <w:jc w:val="center"/>
        <w:rPr>
          <w:sz w:val="36"/>
          <w:szCs w:val="36"/>
        </w:rPr>
      </w:pPr>
    </w:p>
    <w:p w:rsidR="007A3D83" w:rsidRDefault="007A3D83" w:rsidP="007A3D83">
      <w:pPr>
        <w:pStyle w:val="Sansinterligne"/>
        <w:jc w:val="center"/>
        <w:rPr>
          <w:sz w:val="36"/>
          <w:szCs w:val="36"/>
        </w:rPr>
      </w:pPr>
    </w:p>
    <w:p w:rsidR="007A3D83" w:rsidRDefault="007A3D83" w:rsidP="007A3D83">
      <w:pPr>
        <w:pStyle w:val="Sansinterligne"/>
        <w:jc w:val="center"/>
        <w:rPr>
          <w:sz w:val="36"/>
          <w:szCs w:val="36"/>
        </w:rPr>
      </w:pPr>
    </w:p>
    <w:p w:rsidR="007A3D83" w:rsidRPr="007A3D83" w:rsidRDefault="007A3D83" w:rsidP="007A3D83">
      <w:pPr>
        <w:pStyle w:val="Sansinterligne"/>
        <w:jc w:val="center"/>
        <w:rPr>
          <w:sz w:val="36"/>
          <w:szCs w:val="36"/>
        </w:rPr>
      </w:pPr>
      <w:r w:rsidRPr="007A3D83">
        <w:rPr>
          <w:sz w:val="36"/>
          <w:szCs w:val="36"/>
        </w:rPr>
        <w:t>Hiver 2017</w:t>
      </w:r>
    </w:p>
    <w:p w:rsidR="007A3D83" w:rsidRPr="007A3D83" w:rsidRDefault="007A3D83" w:rsidP="007A3D83">
      <w:pPr>
        <w:pStyle w:val="Sansinterligne"/>
        <w:jc w:val="center"/>
        <w:rPr>
          <w:sz w:val="36"/>
          <w:szCs w:val="36"/>
        </w:rPr>
      </w:pPr>
    </w:p>
    <w:p w:rsidR="007A3D83" w:rsidRPr="007A3D83" w:rsidRDefault="007A3D83" w:rsidP="007A3D83">
      <w:pPr>
        <w:pStyle w:val="Sansinterligne"/>
        <w:jc w:val="center"/>
        <w:rPr>
          <w:sz w:val="36"/>
          <w:szCs w:val="36"/>
        </w:rPr>
      </w:pPr>
    </w:p>
    <w:p w:rsidR="007A3D83" w:rsidRPr="007A3D83" w:rsidRDefault="007A3D83" w:rsidP="007A3D83">
      <w:pPr>
        <w:pStyle w:val="Sansinterligne"/>
        <w:jc w:val="center"/>
        <w:rPr>
          <w:sz w:val="36"/>
          <w:szCs w:val="36"/>
        </w:rPr>
      </w:pPr>
    </w:p>
    <w:p w:rsidR="007A3D83" w:rsidRPr="007A3D83" w:rsidRDefault="007A3D83" w:rsidP="007A3D83">
      <w:pPr>
        <w:pStyle w:val="Sansinterligne"/>
        <w:jc w:val="center"/>
        <w:rPr>
          <w:sz w:val="36"/>
          <w:szCs w:val="36"/>
        </w:rPr>
      </w:pPr>
    </w:p>
    <w:p w:rsidR="007A3D83" w:rsidRPr="007A3D83" w:rsidRDefault="007A3D83" w:rsidP="007A3D83">
      <w:pPr>
        <w:pStyle w:val="Sansinterligne"/>
        <w:jc w:val="center"/>
        <w:rPr>
          <w:sz w:val="36"/>
          <w:szCs w:val="36"/>
        </w:rPr>
      </w:pPr>
      <w:r>
        <w:rPr>
          <w:sz w:val="36"/>
          <w:szCs w:val="36"/>
        </w:rPr>
        <w:t>Par</w:t>
      </w:r>
    </w:p>
    <w:p w:rsidR="007A3D83" w:rsidRDefault="007A3D83" w:rsidP="007A3D83">
      <w:pPr>
        <w:pStyle w:val="Sansinterligne"/>
        <w:jc w:val="center"/>
        <w:rPr>
          <w:sz w:val="36"/>
          <w:szCs w:val="36"/>
        </w:rPr>
      </w:pPr>
      <w:r w:rsidRPr="007A3D83">
        <w:rPr>
          <w:sz w:val="36"/>
          <w:szCs w:val="36"/>
        </w:rPr>
        <w:t>Maxime Ouellet</w:t>
      </w:r>
    </w:p>
    <w:p w:rsidR="007A3D83" w:rsidRDefault="007A3D83" w:rsidP="007A3D83">
      <w:pPr>
        <w:pStyle w:val="Sansinterligne"/>
        <w:rPr>
          <w:sz w:val="36"/>
          <w:szCs w:val="36"/>
        </w:rPr>
      </w:pPr>
    </w:p>
    <w:p w:rsidR="007A3D83" w:rsidRDefault="007A3D83" w:rsidP="007A3D83">
      <w:pPr>
        <w:pStyle w:val="Sansinterligne"/>
        <w:rPr>
          <w:sz w:val="36"/>
          <w:szCs w:val="36"/>
        </w:rPr>
      </w:pPr>
    </w:p>
    <w:p w:rsidR="007A3D83" w:rsidRDefault="007A3D83" w:rsidP="007A3D83">
      <w:pPr>
        <w:pStyle w:val="Sansinterligne"/>
        <w:rPr>
          <w:sz w:val="36"/>
          <w:szCs w:val="36"/>
        </w:rPr>
      </w:pPr>
    </w:p>
    <w:p w:rsidR="007A3D83" w:rsidRDefault="007A3D83" w:rsidP="007A3D83">
      <w:pPr>
        <w:pStyle w:val="Sansinterligne"/>
        <w:rPr>
          <w:sz w:val="36"/>
          <w:szCs w:val="36"/>
        </w:rPr>
      </w:pPr>
    </w:p>
    <w:p w:rsidR="007A3D83" w:rsidRPr="007A3D83" w:rsidRDefault="007A3D83" w:rsidP="007A3D83">
      <w:pPr>
        <w:pStyle w:val="Sansinterligne"/>
        <w:rPr>
          <w:sz w:val="36"/>
          <w:szCs w:val="36"/>
        </w:rPr>
      </w:pPr>
    </w:p>
    <w:p w:rsidR="007A3D83" w:rsidRPr="007A3D83" w:rsidRDefault="007A3D83" w:rsidP="007A3D83">
      <w:pPr>
        <w:pStyle w:val="Sansinterligne"/>
        <w:jc w:val="center"/>
        <w:rPr>
          <w:sz w:val="36"/>
          <w:szCs w:val="36"/>
        </w:rPr>
      </w:pPr>
      <w:r w:rsidRPr="007A3D83">
        <w:rPr>
          <w:sz w:val="36"/>
          <w:szCs w:val="36"/>
        </w:rPr>
        <w:t>Faculté de médecine</w:t>
      </w:r>
    </w:p>
    <w:p w:rsidR="007A3D83" w:rsidRDefault="007A3D83" w:rsidP="007A3D83">
      <w:pPr>
        <w:pStyle w:val="Sansinterligne"/>
        <w:jc w:val="center"/>
      </w:pPr>
      <w:r w:rsidRPr="007A3D83">
        <w:rPr>
          <w:sz w:val="36"/>
          <w:szCs w:val="36"/>
        </w:rPr>
        <w:t>Université Laval</w:t>
      </w:r>
      <w:r>
        <w:br w:type="page"/>
      </w:r>
    </w:p>
    <w:p w:rsidR="00745374" w:rsidRPr="001B2732" w:rsidRDefault="00745374" w:rsidP="00735196">
      <w:pPr>
        <w:pStyle w:val="Titre2"/>
        <w:rPr>
          <w:rFonts w:eastAsiaTheme="minorHAnsi"/>
          <w:color w:val="548DD4" w:themeColor="text2" w:themeTint="99"/>
          <w:lang w:val="fr-FR" w:eastAsia="en-US"/>
        </w:rPr>
      </w:pPr>
      <w:bookmarkStart w:id="1" w:name="_Toc480797260"/>
      <w:r w:rsidRPr="001B2732">
        <w:rPr>
          <w:rFonts w:eastAsiaTheme="minorHAnsi"/>
          <w:color w:val="548DD4" w:themeColor="text2" w:themeTint="99"/>
          <w:lang w:val="fr-FR" w:eastAsia="en-US"/>
        </w:rPr>
        <w:lastRenderedPageBreak/>
        <w:t>Préface</w:t>
      </w:r>
      <w:bookmarkEnd w:id="1"/>
    </w:p>
    <w:p w:rsidR="00745374" w:rsidRDefault="00745374" w:rsidP="00745374">
      <w:pPr>
        <w:rPr>
          <w:lang w:val="fr-FR"/>
        </w:rPr>
      </w:pPr>
    </w:p>
    <w:p w:rsidR="00745374" w:rsidRPr="00E83283" w:rsidRDefault="00E83283" w:rsidP="00E83283">
      <w:pPr>
        <w:jc w:val="both"/>
        <w:rPr>
          <w:rFonts w:ascii="Garamond" w:hAnsi="Garamond"/>
          <w:sz w:val="28"/>
          <w:szCs w:val="28"/>
          <w:lang w:val="fr-FR"/>
        </w:rPr>
      </w:pPr>
      <w:r w:rsidRPr="00E83283">
        <w:rPr>
          <w:rFonts w:ascii="Garamond" w:hAnsi="Garamond"/>
          <w:sz w:val="28"/>
          <w:szCs w:val="28"/>
          <w:lang w:val="fr-FR"/>
        </w:rPr>
        <w:t>Ce document se veut une synthèse des connaissances nécessaires à la fin de l’externat senior afin de répondre à certains objectifs du Conseil médical canadien (CMC). Il a également pour objectif de servir de guide d’étude ciblé et adapté en vue de l’examen du CMC.</w:t>
      </w:r>
      <w:r w:rsidR="005A608A">
        <w:rPr>
          <w:rFonts w:ascii="Garamond" w:hAnsi="Garamond"/>
          <w:sz w:val="28"/>
          <w:szCs w:val="28"/>
          <w:lang w:val="fr-FR"/>
        </w:rPr>
        <w:t xml:space="preserve"> S’y retrouvent essentiellement les objectifs d’ordre pédiatrique, psychiatrique, gynéco-obstétrical et chirurgical. Y figurent aussi les objectifs en lien avec la santé des populations, les questions d’ordre éthique et légal et quelques autres.</w:t>
      </w:r>
    </w:p>
    <w:p w:rsidR="00E83283" w:rsidRPr="00E83283" w:rsidRDefault="00E83283" w:rsidP="00E83283">
      <w:pPr>
        <w:jc w:val="both"/>
        <w:rPr>
          <w:rFonts w:ascii="Garamond" w:hAnsi="Garamond"/>
          <w:sz w:val="28"/>
          <w:szCs w:val="28"/>
          <w:lang w:val="fr-FR"/>
        </w:rPr>
      </w:pPr>
      <w:r w:rsidRPr="00E83283">
        <w:rPr>
          <w:rFonts w:ascii="Garamond" w:hAnsi="Garamond"/>
          <w:sz w:val="28"/>
          <w:szCs w:val="28"/>
          <w:lang w:val="fr-FR"/>
        </w:rPr>
        <w:t>Ledit document est le résultat d’un travail de synthèse étudiant et ne saurait en aucun cas se prétendre exhaustif ou complet.</w:t>
      </w:r>
    </w:p>
    <w:p w:rsidR="00E83283" w:rsidRPr="00E83283" w:rsidRDefault="00E83283" w:rsidP="00E83283">
      <w:pPr>
        <w:jc w:val="both"/>
        <w:rPr>
          <w:rFonts w:ascii="Garamond" w:hAnsi="Garamond"/>
          <w:sz w:val="28"/>
          <w:szCs w:val="28"/>
          <w:lang w:val="fr-FR"/>
        </w:rPr>
      </w:pPr>
      <w:r w:rsidRPr="00E83283">
        <w:rPr>
          <w:rFonts w:ascii="Garamond" w:hAnsi="Garamond"/>
          <w:sz w:val="28"/>
          <w:szCs w:val="28"/>
          <w:lang w:val="fr-FR"/>
        </w:rPr>
        <w:t>Les ouvrages et ressources utilisées comme sources de documentation sont mentionnés à la fin de ce document à titre indicatif et pour valider le contenu du présent document.</w:t>
      </w:r>
    </w:p>
    <w:p w:rsidR="00E83283" w:rsidRPr="00E83283" w:rsidRDefault="00E83283" w:rsidP="00E83283">
      <w:pPr>
        <w:jc w:val="both"/>
        <w:rPr>
          <w:rFonts w:ascii="Garamond" w:hAnsi="Garamond"/>
          <w:sz w:val="28"/>
          <w:szCs w:val="28"/>
          <w:lang w:val="fr-FR"/>
        </w:rPr>
      </w:pPr>
    </w:p>
    <w:p w:rsidR="00E83283" w:rsidRPr="00E83283" w:rsidRDefault="00E83283" w:rsidP="00E83283">
      <w:pPr>
        <w:jc w:val="both"/>
        <w:rPr>
          <w:rFonts w:ascii="Garamond" w:hAnsi="Garamond"/>
          <w:sz w:val="28"/>
          <w:szCs w:val="28"/>
          <w:lang w:val="fr-FR"/>
        </w:rPr>
      </w:pPr>
      <w:r w:rsidRPr="00E83283">
        <w:rPr>
          <w:rFonts w:ascii="Garamond" w:hAnsi="Garamond"/>
          <w:sz w:val="28"/>
          <w:szCs w:val="28"/>
          <w:lang w:val="fr-FR"/>
        </w:rPr>
        <w:t>Bonne lecture !</w:t>
      </w:r>
    </w:p>
    <w:p w:rsidR="00745374" w:rsidRDefault="00745374" w:rsidP="00745374">
      <w:pPr>
        <w:rPr>
          <w:lang w:val="fr-FR"/>
        </w:rPr>
      </w:pPr>
    </w:p>
    <w:p w:rsidR="00745374" w:rsidRPr="0058034F" w:rsidRDefault="006B2AE9" w:rsidP="00F50856">
      <w:pPr>
        <w:spacing w:after="0"/>
        <w:ind w:left="6372"/>
        <w:jc w:val="center"/>
        <w:rPr>
          <w:rFonts w:ascii="Garamond" w:hAnsi="Garamond"/>
          <w:sz w:val="28"/>
          <w:szCs w:val="28"/>
          <w:lang w:val="fr-FR"/>
        </w:rPr>
      </w:pPr>
      <w:r>
        <w:rPr>
          <w:rFonts w:ascii="Garamond" w:hAnsi="Garamond"/>
          <w:sz w:val="28"/>
          <w:szCs w:val="28"/>
          <w:lang w:val="fr-FR"/>
        </w:rPr>
        <w:t xml:space="preserve">   </w:t>
      </w:r>
      <w:r w:rsidR="0058034F" w:rsidRPr="0058034F">
        <w:rPr>
          <w:rFonts w:ascii="Garamond" w:hAnsi="Garamond"/>
          <w:sz w:val="28"/>
          <w:szCs w:val="28"/>
          <w:lang w:val="fr-FR"/>
        </w:rPr>
        <w:t>Maxime Ouellet</w:t>
      </w:r>
    </w:p>
    <w:p w:rsidR="0058034F" w:rsidRPr="0058034F" w:rsidRDefault="006B2AE9" w:rsidP="00F50856">
      <w:pPr>
        <w:spacing w:after="0"/>
        <w:ind w:left="6372"/>
        <w:jc w:val="center"/>
        <w:rPr>
          <w:rFonts w:ascii="Garamond" w:hAnsi="Garamond"/>
          <w:sz w:val="28"/>
          <w:szCs w:val="28"/>
          <w:lang w:val="fr-FR"/>
        </w:rPr>
      </w:pPr>
      <w:r>
        <w:rPr>
          <w:rFonts w:ascii="Garamond" w:hAnsi="Garamond"/>
          <w:sz w:val="28"/>
          <w:szCs w:val="28"/>
          <w:lang w:val="fr-FR"/>
        </w:rPr>
        <w:t xml:space="preserve"> </w:t>
      </w:r>
      <w:r w:rsidR="0058034F" w:rsidRPr="0058034F">
        <w:rPr>
          <w:rFonts w:ascii="Garamond" w:hAnsi="Garamond"/>
          <w:sz w:val="28"/>
          <w:szCs w:val="28"/>
          <w:lang w:val="fr-FR"/>
        </w:rPr>
        <w:t>Externe senior</w:t>
      </w:r>
    </w:p>
    <w:p w:rsidR="0058034F" w:rsidRPr="0058034F" w:rsidRDefault="0058034F" w:rsidP="006B2AE9">
      <w:pPr>
        <w:spacing w:after="0"/>
        <w:ind w:left="7080"/>
        <w:jc w:val="center"/>
        <w:rPr>
          <w:rFonts w:ascii="Garamond" w:hAnsi="Garamond"/>
          <w:sz w:val="28"/>
          <w:szCs w:val="28"/>
          <w:lang w:val="fr-FR"/>
        </w:rPr>
      </w:pPr>
      <w:r w:rsidRPr="0058034F">
        <w:rPr>
          <w:rFonts w:ascii="Garamond" w:hAnsi="Garamond"/>
          <w:sz w:val="28"/>
          <w:szCs w:val="28"/>
          <w:lang w:val="fr-FR"/>
        </w:rPr>
        <w:t>Doctorat en médecine 2012-2017</w:t>
      </w:r>
    </w:p>
    <w:p w:rsidR="00745374" w:rsidRDefault="00745374" w:rsidP="00745374">
      <w:pPr>
        <w:rPr>
          <w:lang w:val="fr-FR"/>
        </w:rPr>
      </w:pPr>
    </w:p>
    <w:p w:rsidR="00745374" w:rsidRDefault="00745374" w:rsidP="00745374">
      <w:pPr>
        <w:rPr>
          <w:lang w:val="fr-FR"/>
        </w:rPr>
      </w:pPr>
    </w:p>
    <w:p w:rsidR="00745374" w:rsidRDefault="00745374" w:rsidP="00745374">
      <w:pPr>
        <w:rPr>
          <w:lang w:val="fr-FR"/>
        </w:rPr>
      </w:pPr>
    </w:p>
    <w:p w:rsidR="00745374" w:rsidRPr="00745374" w:rsidRDefault="00745374" w:rsidP="00745374">
      <w:pPr>
        <w:rPr>
          <w:lang w:val="fr-FR"/>
        </w:rPr>
      </w:pPr>
      <w:r>
        <w:rPr>
          <w:lang w:val="fr-FR"/>
        </w:rPr>
        <w:br w:type="page"/>
      </w:r>
    </w:p>
    <w:sdt>
      <w:sdtPr>
        <w:rPr>
          <w:rFonts w:ascii="Times New Roman" w:eastAsiaTheme="minorHAnsi" w:hAnsi="Times New Roman" w:cstheme="minorBidi"/>
          <w:b w:val="0"/>
          <w:bCs w:val="0"/>
          <w:color w:val="auto"/>
          <w:sz w:val="22"/>
          <w:szCs w:val="22"/>
          <w:lang w:val="fr-FR" w:eastAsia="en-US"/>
        </w:rPr>
        <w:id w:val="102927130"/>
        <w:docPartObj>
          <w:docPartGallery w:val="Table of Contents"/>
          <w:docPartUnique/>
        </w:docPartObj>
      </w:sdtPr>
      <w:sdtEndPr/>
      <w:sdtContent>
        <w:p w:rsidR="00566FA5" w:rsidRDefault="00D465BF">
          <w:pPr>
            <w:pStyle w:val="En-ttedetabledesmatires"/>
            <w:rPr>
              <w:lang w:val="fr-FR"/>
            </w:rPr>
          </w:pPr>
          <w:r>
            <w:rPr>
              <w:lang w:val="fr-FR"/>
            </w:rPr>
            <w:t>Table des matières</w:t>
          </w:r>
        </w:p>
        <w:p w:rsidR="00D465BF" w:rsidRPr="00D465BF" w:rsidRDefault="00D465BF" w:rsidP="00D465BF">
          <w:pPr>
            <w:rPr>
              <w:lang w:val="fr-FR" w:eastAsia="fr-CA"/>
            </w:rPr>
          </w:pPr>
        </w:p>
        <w:p w:rsidR="00A261A4" w:rsidRDefault="00566FA5">
          <w:pPr>
            <w:pStyle w:val="TM2"/>
            <w:tabs>
              <w:tab w:val="right" w:leader="dot" w:pos="10790"/>
            </w:tabs>
            <w:rPr>
              <w:rFonts w:asciiTheme="minorHAnsi" w:eastAsiaTheme="minorEastAsia" w:hAnsiTheme="minorHAnsi"/>
              <w:noProof/>
              <w:lang w:eastAsia="fr-CA"/>
            </w:rPr>
          </w:pPr>
          <w:r>
            <w:fldChar w:fldCharType="begin"/>
          </w:r>
          <w:r>
            <w:instrText xml:space="preserve"> TOC \o "1-3" \h \z \u </w:instrText>
          </w:r>
          <w:r>
            <w:fldChar w:fldCharType="separate"/>
          </w:r>
          <w:hyperlink w:anchor="_Toc480797260" w:history="1">
            <w:r w:rsidR="00A261A4" w:rsidRPr="005A21AB">
              <w:rPr>
                <w:rStyle w:val="Lienhypertexte"/>
                <w:noProof/>
                <w:lang w:val="fr-FR"/>
              </w:rPr>
              <w:t>Préface</w:t>
            </w:r>
            <w:r w:rsidR="00A261A4">
              <w:rPr>
                <w:noProof/>
                <w:webHidden/>
              </w:rPr>
              <w:tab/>
            </w:r>
            <w:r w:rsidR="00A261A4">
              <w:rPr>
                <w:noProof/>
                <w:webHidden/>
              </w:rPr>
              <w:fldChar w:fldCharType="begin"/>
            </w:r>
            <w:r w:rsidR="00A261A4">
              <w:rPr>
                <w:noProof/>
                <w:webHidden/>
              </w:rPr>
              <w:instrText xml:space="preserve"> PAGEREF _Toc480797260 \h </w:instrText>
            </w:r>
            <w:r w:rsidR="00A261A4">
              <w:rPr>
                <w:noProof/>
                <w:webHidden/>
              </w:rPr>
            </w:r>
            <w:r w:rsidR="00A261A4">
              <w:rPr>
                <w:noProof/>
                <w:webHidden/>
              </w:rPr>
              <w:fldChar w:fldCharType="separate"/>
            </w:r>
            <w:r w:rsidR="005928E3">
              <w:rPr>
                <w:noProof/>
                <w:webHidden/>
              </w:rPr>
              <w:t>2</w:t>
            </w:r>
            <w:r w:rsidR="00A261A4">
              <w:rPr>
                <w:noProof/>
                <w:webHidden/>
              </w:rPr>
              <w:fldChar w:fldCharType="end"/>
            </w:r>
          </w:hyperlink>
        </w:p>
        <w:p w:rsidR="00A261A4" w:rsidRDefault="00AE5F7A">
          <w:pPr>
            <w:pStyle w:val="TM3"/>
            <w:tabs>
              <w:tab w:val="right" w:leader="dot" w:pos="10790"/>
            </w:tabs>
            <w:rPr>
              <w:rFonts w:asciiTheme="minorHAnsi" w:eastAsiaTheme="minorEastAsia" w:hAnsiTheme="minorHAnsi"/>
              <w:noProof/>
              <w:lang w:eastAsia="fr-CA"/>
            </w:rPr>
          </w:pPr>
          <w:hyperlink w:anchor="_Toc480797261" w:history="1">
            <w:r w:rsidR="00A261A4" w:rsidRPr="005A21AB">
              <w:rPr>
                <w:rStyle w:val="Lienhypertexte"/>
                <w:rFonts w:cs="Times New Roman"/>
                <w:noProof/>
              </w:rPr>
              <w:t>Distension abdominale</w:t>
            </w:r>
            <w:r w:rsidR="00A261A4">
              <w:rPr>
                <w:noProof/>
                <w:webHidden/>
              </w:rPr>
              <w:tab/>
            </w:r>
            <w:r w:rsidR="00A261A4">
              <w:rPr>
                <w:noProof/>
                <w:webHidden/>
              </w:rPr>
              <w:fldChar w:fldCharType="begin"/>
            </w:r>
            <w:r w:rsidR="00A261A4">
              <w:rPr>
                <w:noProof/>
                <w:webHidden/>
              </w:rPr>
              <w:instrText xml:space="preserve"> PAGEREF _Toc480797261 \h </w:instrText>
            </w:r>
            <w:r w:rsidR="00A261A4">
              <w:rPr>
                <w:noProof/>
                <w:webHidden/>
              </w:rPr>
            </w:r>
            <w:r w:rsidR="00A261A4">
              <w:rPr>
                <w:noProof/>
                <w:webHidden/>
              </w:rPr>
              <w:fldChar w:fldCharType="separate"/>
            </w:r>
            <w:r w:rsidR="005928E3">
              <w:rPr>
                <w:noProof/>
                <w:webHidden/>
              </w:rPr>
              <w:t>6</w:t>
            </w:r>
            <w:r w:rsidR="00A261A4">
              <w:rPr>
                <w:noProof/>
                <w:webHidden/>
              </w:rPr>
              <w:fldChar w:fldCharType="end"/>
            </w:r>
          </w:hyperlink>
        </w:p>
        <w:p w:rsidR="00A261A4" w:rsidRDefault="00AE5F7A">
          <w:pPr>
            <w:pStyle w:val="TM3"/>
            <w:tabs>
              <w:tab w:val="right" w:leader="dot" w:pos="10790"/>
            </w:tabs>
            <w:rPr>
              <w:rFonts w:asciiTheme="minorHAnsi" w:eastAsiaTheme="minorEastAsia" w:hAnsiTheme="minorHAnsi"/>
              <w:noProof/>
              <w:lang w:eastAsia="fr-CA"/>
            </w:rPr>
          </w:pPr>
          <w:hyperlink w:anchor="_Toc480797262" w:history="1">
            <w:r w:rsidR="00A261A4" w:rsidRPr="005A21AB">
              <w:rPr>
                <w:rStyle w:val="Lienhypertexte"/>
                <w:rFonts w:cs="Times New Roman"/>
                <w:noProof/>
              </w:rPr>
              <w:t>Masse abdominale ou pelvienne</w:t>
            </w:r>
            <w:r w:rsidR="00A261A4">
              <w:rPr>
                <w:noProof/>
                <w:webHidden/>
              </w:rPr>
              <w:tab/>
            </w:r>
            <w:r w:rsidR="00A261A4">
              <w:rPr>
                <w:noProof/>
                <w:webHidden/>
              </w:rPr>
              <w:fldChar w:fldCharType="begin"/>
            </w:r>
            <w:r w:rsidR="00A261A4">
              <w:rPr>
                <w:noProof/>
                <w:webHidden/>
              </w:rPr>
              <w:instrText xml:space="preserve"> PAGEREF _Toc480797262 \h </w:instrText>
            </w:r>
            <w:r w:rsidR="00A261A4">
              <w:rPr>
                <w:noProof/>
                <w:webHidden/>
              </w:rPr>
            </w:r>
            <w:r w:rsidR="00A261A4">
              <w:rPr>
                <w:noProof/>
                <w:webHidden/>
              </w:rPr>
              <w:fldChar w:fldCharType="separate"/>
            </w:r>
            <w:r w:rsidR="005928E3">
              <w:rPr>
                <w:noProof/>
                <w:webHidden/>
              </w:rPr>
              <w:t>9</w:t>
            </w:r>
            <w:r w:rsidR="00A261A4">
              <w:rPr>
                <w:noProof/>
                <w:webHidden/>
              </w:rPr>
              <w:fldChar w:fldCharType="end"/>
            </w:r>
          </w:hyperlink>
        </w:p>
        <w:p w:rsidR="00A261A4" w:rsidRDefault="00AE5F7A">
          <w:pPr>
            <w:pStyle w:val="TM3"/>
            <w:tabs>
              <w:tab w:val="right" w:leader="dot" w:pos="10790"/>
            </w:tabs>
            <w:rPr>
              <w:rFonts w:asciiTheme="minorHAnsi" w:eastAsiaTheme="minorEastAsia" w:hAnsiTheme="minorHAnsi"/>
              <w:noProof/>
              <w:lang w:eastAsia="fr-CA"/>
            </w:rPr>
          </w:pPr>
          <w:hyperlink w:anchor="_Toc480797263" w:history="1">
            <w:r w:rsidR="00A261A4" w:rsidRPr="005A21AB">
              <w:rPr>
                <w:rStyle w:val="Lienhypertexte"/>
                <w:rFonts w:cs="Times New Roman"/>
                <w:noProof/>
              </w:rPr>
              <w:t>Hernie de la paroi abdominale et hernie inguinale</w:t>
            </w:r>
            <w:r w:rsidR="00A261A4">
              <w:rPr>
                <w:noProof/>
                <w:webHidden/>
              </w:rPr>
              <w:tab/>
            </w:r>
            <w:r w:rsidR="00A261A4">
              <w:rPr>
                <w:noProof/>
                <w:webHidden/>
              </w:rPr>
              <w:fldChar w:fldCharType="begin"/>
            </w:r>
            <w:r w:rsidR="00A261A4">
              <w:rPr>
                <w:noProof/>
                <w:webHidden/>
              </w:rPr>
              <w:instrText xml:space="preserve"> PAGEREF _Toc480797263 \h </w:instrText>
            </w:r>
            <w:r w:rsidR="00A261A4">
              <w:rPr>
                <w:noProof/>
                <w:webHidden/>
              </w:rPr>
            </w:r>
            <w:r w:rsidR="00A261A4">
              <w:rPr>
                <w:noProof/>
                <w:webHidden/>
              </w:rPr>
              <w:fldChar w:fldCharType="separate"/>
            </w:r>
            <w:r w:rsidR="005928E3">
              <w:rPr>
                <w:noProof/>
                <w:webHidden/>
              </w:rPr>
              <w:t>14</w:t>
            </w:r>
            <w:r w:rsidR="00A261A4">
              <w:rPr>
                <w:noProof/>
                <w:webHidden/>
              </w:rPr>
              <w:fldChar w:fldCharType="end"/>
            </w:r>
          </w:hyperlink>
        </w:p>
        <w:p w:rsidR="00A261A4" w:rsidRDefault="00AE5F7A">
          <w:pPr>
            <w:pStyle w:val="TM3"/>
            <w:tabs>
              <w:tab w:val="right" w:leader="dot" w:pos="10790"/>
            </w:tabs>
            <w:rPr>
              <w:rFonts w:asciiTheme="minorHAnsi" w:eastAsiaTheme="minorEastAsia" w:hAnsiTheme="minorHAnsi"/>
              <w:noProof/>
              <w:lang w:eastAsia="fr-CA"/>
            </w:rPr>
          </w:pPr>
          <w:hyperlink w:anchor="_Toc480797264" w:history="1">
            <w:r w:rsidR="00A261A4" w:rsidRPr="005A21AB">
              <w:rPr>
                <w:rStyle w:val="Lienhypertexte"/>
                <w:rFonts w:cs="Times New Roman"/>
                <w:noProof/>
              </w:rPr>
              <w:t>Douleur abdominale chez l’enfant</w:t>
            </w:r>
            <w:r w:rsidR="00A261A4">
              <w:rPr>
                <w:noProof/>
                <w:webHidden/>
              </w:rPr>
              <w:tab/>
            </w:r>
            <w:r w:rsidR="00A261A4">
              <w:rPr>
                <w:noProof/>
                <w:webHidden/>
              </w:rPr>
              <w:fldChar w:fldCharType="begin"/>
            </w:r>
            <w:r w:rsidR="00A261A4">
              <w:rPr>
                <w:noProof/>
                <w:webHidden/>
              </w:rPr>
              <w:instrText xml:space="preserve"> PAGEREF _Toc480797264 \h </w:instrText>
            </w:r>
            <w:r w:rsidR="00A261A4">
              <w:rPr>
                <w:noProof/>
                <w:webHidden/>
              </w:rPr>
            </w:r>
            <w:r w:rsidR="00A261A4">
              <w:rPr>
                <w:noProof/>
                <w:webHidden/>
              </w:rPr>
              <w:fldChar w:fldCharType="separate"/>
            </w:r>
            <w:r w:rsidR="005928E3">
              <w:rPr>
                <w:noProof/>
                <w:webHidden/>
              </w:rPr>
              <w:t>16</w:t>
            </w:r>
            <w:r w:rsidR="00A261A4">
              <w:rPr>
                <w:noProof/>
                <w:webHidden/>
              </w:rPr>
              <w:fldChar w:fldCharType="end"/>
            </w:r>
          </w:hyperlink>
        </w:p>
        <w:p w:rsidR="00A261A4" w:rsidRDefault="00AE5F7A">
          <w:pPr>
            <w:pStyle w:val="TM3"/>
            <w:tabs>
              <w:tab w:val="right" w:leader="dot" w:pos="10790"/>
            </w:tabs>
            <w:rPr>
              <w:rFonts w:asciiTheme="minorHAnsi" w:eastAsiaTheme="minorEastAsia" w:hAnsiTheme="minorHAnsi"/>
              <w:noProof/>
              <w:lang w:eastAsia="fr-CA"/>
            </w:rPr>
          </w:pPr>
          <w:hyperlink w:anchor="_Toc480797265" w:history="1">
            <w:r w:rsidR="00A261A4" w:rsidRPr="005A21AB">
              <w:rPr>
                <w:rStyle w:val="Lienhypertexte"/>
                <w:rFonts w:cs="Times New Roman"/>
                <w:noProof/>
              </w:rPr>
              <w:t>Douleur abdominale aigue</w:t>
            </w:r>
            <w:r w:rsidR="00A261A4">
              <w:rPr>
                <w:noProof/>
                <w:webHidden/>
              </w:rPr>
              <w:tab/>
            </w:r>
            <w:r w:rsidR="00A261A4">
              <w:rPr>
                <w:noProof/>
                <w:webHidden/>
              </w:rPr>
              <w:fldChar w:fldCharType="begin"/>
            </w:r>
            <w:r w:rsidR="00A261A4">
              <w:rPr>
                <w:noProof/>
                <w:webHidden/>
              </w:rPr>
              <w:instrText xml:space="preserve"> PAGEREF _Toc480797265 \h </w:instrText>
            </w:r>
            <w:r w:rsidR="00A261A4">
              <w:rPr>
                <w:noProof/>
                <w:webHidden/>
              </w:rPr>
            </w:r>
            <w:r w:rsidR="00A261A4">
              <w:rPr>
                <w:noProof/>
                <w:webHidden/>
              </w:rPr>
              <w:fldChar w:fldCharType="separate"/>
            </w:r>
            <w:r w:rsidR="005928E3">
              <w:rPr>
                <w:noProof/>
                <w:webHidden/>
              </w:rPr>
              <w:t>21</w:t>
            </w:r>
            <w:r w:rsidR="00A261A4">
              <w:rPr>
                <w:noProof/>
                <w:webHidden/>
              </w:rPr>
              <w:fldChar w:fldCharType="end"/>
            </w:r>
          </w:hyperlink>
        </w:p>
        <w:p w:rsidR="00A261A4" w:rsidRDefault="00AE5F7A">
          <w:pPr>
            <w:pStyle w:val="TM3"/>
            <w:tabs>
              <w:tab w:val="right" w:leader="dot" w:pos="10790"/>
            </w:tabs>
            <w:rPr>
              <w:rFonts w:asciiTheme="minorHAnsi" w:eastAsiaTheme="minorEastAsia" w:hAnsiTheme="minorHAnsi"/>
              <w:noProof/>
              <w:lang w:eastAsia="fr-CA"/>
            </w:rPr>
          </w:pPr>
          <w:hyperlink w:anchor="_Toc480797266" w:history="1">
            <w:r w:rsidR="00A261A4" w:rsidRPr="005A21AB">
              <w:rPr>
                <w:rStyle w:val="Lienhypertexte"/>
                <w:rFonts w:cs="Times New Roman"/>
                <w:noProof/>
              </w:rPr>
              <w:t>Douleur abdominale chronique</w:t>
            </w:r>
            <w:r w:rsidR="00A261A4">
              <w:rPr>
                <w:noProof/>
                <w:webHidden/>
              </w:rPr>
              <w:tab/>
            </w:r>
            <w:r w:rsidR="00A261A4">
              <w:rPr>
                <w:noProof/>
                <w:webHidden/>
              </w:rPr>
              <w:fldChar w:fldCharType="begin"/>
            </w:r>
            <w:r w:rsidR="00A261A4">
              <w:rPr>
                <w:noProof/>
                <w:webHidden/>
              </w:rPr>
              <w:instrText xml:space="preserve"> PAGEREF _Toc480797266 \h </w:instrText>
            </w:r>
            <w:r w:rsidR="00A261A4">
              <w:rPr>
                <w:noProof/>
                <w:webHidden/>
              </w:rPr>
            </w:r>
            <w:r w:rsidR="00A261A4">
              <w:rPr>
                <w:noProof/>
                <w:webHidden/>
              </w:rPr>
              <w:fldChar w:fldCharType="separate"/>
            </w:r>
            <w:r w:rsidR="005928E3">
              <w:rPr>
                <w:noProof/>
                <w:webHidden/>
              </w:rPr>
              <w:t>26</w:t>
            </w:r>
            <w:r w:rsidR="00A261A4">
              <w:rPr>
                <w:noProof/>
                <w:webHidden/>
              </w:rPr>
              <w:fldChar w:fldCharType="end"/>
            </w:r>
          </w:hyperlink>
        </w:p>
        <w:p w:rsidR="00A261A4" w:rsidRDefault="00AE5F7A">
          <w:pPr>
            <w:pStyle w:val="TM3"/>
            <w:tabs>
              <w:tab w:val="right" w:leader="dot" w:pos="10790"/>
            </w:tabs>
            <w:rPr>
              <w:rFonts w:asciiTheme="minorHAnsi" w:eastAsiaTheme="minorEastAsia" w:hAnsiTheme="minorHAnsi"/>
              <w:noProof/>
              <w:lang w:eastAsia="fr-CA"/>
            </w:rPr>
          </w:pPr>
          <w:hyperlink w:anchor="_Toc480797267" w:history="1">
            <w:r w:rsidR="00A261A4" w:rsidRPr="005A21AB">
              <w:rPr>
                <w:rStyle w:val="Lienhypertexte"/>
                <w:rFonts w:cs="Times New Roman"/>
                <w:noProof/>
              </w:rPr>
              <w:t>Douleur ano-rectale</w:t>
            </w:r>
            <w:r w:rsidR="00A261A4">
              <w:rPr>
                <w:noProof/>
                <w:webHidden/>
              </w:rPr>
              <w:tab/>
            </w:r>
            <w:r w:rsidR="00A261A4">
              <w:rPr>
                <w:noProof/>
                <w:webHidden/>
              </w:rPr>
              <w:fldChar w:fldCharType="begin"/>
            </w:r>
            <w:r w:rsidR="00A261A4">
              <w:rPr>
                <w:noProof/>
                <w:webHidden/>
              </w:rPr>
              <w:instrText xml:space="preserve"> PAGEREF _Toc480797267 \h </w:instrText>
            </w:r>
            <w:r w:rsidR="00A261A4">
              <w:rPr>
                <w:noProof/>
                <w:webHidden/>
              </w:rPr>
            </w:r>
            <w:r w:rsidR="00A261A4">
              <w:rPr>
                <w:noProof/>
                <w:webHidden/>
              </w:rPr>
              <w:fldChar w:fldCharType="separate"/>
            </w:r>
            <w:r w:rsidR="005928E3">
              <w:rPr>
                <w:noProof/>
                <w:webHidden/>
              </w:rPr>
              <w:t>29</w:t>
            </w:r>
            <w:r w:rsidR="00A261A4">
              <w:rPr>
                <w:noProof/>
                <w:webHidden/>
              </w:rPr>
              <w:fldChar w:fldCharType="end"/>
            </w:r>
          </w:hyperlink>
        </w:p>
        <w:p w:rsidR="00A261A4" w:rsidRDefault="00AE5F7A">
          <w:pPr>
            <w:pStyle w:val="TM3"/>
            <w:tabs>
              <w:tab w:val="right" w:leader="dot" w:pos="10790"/>
            </w:tabs>
            <w:rPr>
              <w:rFonts w:asciiTheme="minorHAnsi" w:eastAsiaTheme="minorEastAsia" w:hAnsiTheme="minorHAnsi"/>
              <w:noProof/>
              <w:lang w:eastAsia="fr-CA"/>
            </w:rPr>
          </w:pPr>
          <w:hyperlink w:anchor="_Toc480797268" w:history="1">
            <w:r w:rsidR="00A261A4" w:rsidRPr="005A21AB">
              <w:rPr>
                <w:rStyle w:val="Lienhypertexte"/>
                <w:rFonts w:cs="Times New Roman"/>
                <w:noProof/>
              </w:rPr>
              <w:t>Troubles hypertensifs de la grossesse</w:t>
            </w:r>
            <w:r w:rsidR="00A261A4">
              <w:rPr>
                <w:noProof/>
                <w:webHidden/>
              </w:rPr>
              <w:tab/>
            </w:r>
            <w:r w:rsidR="00A261A4">
              <w:rPr>
                <w:noProof/>
                <w:webHidden/>
              </w:rPr>
              <w:fldChar w:fldCharType="begin"/>
            </w:r>
            <w:r w:rsidR="00A261A4">
              <w:rPr>
                <w:noProof/>
                <w:webHidden/>
              </w:rPr>
              <w:instrText xml:space="preserve"> PAGEREF _Toc480797268 \h </w:instrText>
            </w:r>
            <w:r w:rsidR="00A261A4">
              <w:rPr>
                <w:noProof/>
                <w:webHidden/>
              </w:rPr>
            </w:r>
            <w:r w:rsidR="00A261A4">
              <w:rPr>
                <w:noProof/>
                <w:webHidden/>
              </w:rPr>
              <w:fldChar w:fldCharType="separate"/>
            </w:r>
            <w:r w:rsidR="005928E3">
              <w:rPr>
                <w:noProof/>
                <w:webHidden/>
              </w:rPr>
              <w:t>31</w:t>
            </w:r>
            <w:r w:rsidR="00A261A4">
              <w:rPr>
                <w:noProof/>
                <w:webHidden/>
              </w:rPr>
              <w:fldChar w:fldCharType="end"/>
            </w:r>
          </w:hyperlink>
        </w:p>
        <w:p w:rsidR="00A261A4" w:rsidRDefault="00AE5F7A">
          <w:pPr>
            <w:pStyle w:val="TM3"/>
            <w:tabs>
              <w:tab w:val="right" w:leader="dot" w:pos="10790"/>
            </w:tabs>
            <w:rPr>
              <w:rFonts w:asciiTheme="minorHAnsi" w:eastAsiaTheme="minorEastAsia" w:hAnsiTheme="minorHAnsi"/>
              <w:noProof/>
              <w:lang w:eastAsia="fr-CA"/>
            </w:rPr>
          </w:pPr>
          <w:hyperlink w:anchor="_Toc480797269" w:history="1">
            <w:r w:rsidR="00A261A4" w:rsidRPr="005A21AB">
              <w:rPr>
                <w:rStyle w:val="Lienhypertexte"/>
                <w:rFonts w:cs="Times New Roman"/>
                <w:noProof/>
              </w:rPr>
              <w:t>Masse au sein, dépistage du cancer du sein</w:t>
            </w:r>
            <w:r w:rsidR="00A261A4">
              <w:rPr>
                <w:noProof/>
                <w:webHidden/>
              </w:rPr>
              <w:tab/>
            </w:r>
            <w:r w:rsidR="00A261A4">
              <w:rPr>
                <w:noProof/>
                <w:webHidden/>
              </w:rPr>
              <w:fldChar w:fldCharType="begin"/>
            </w:r>
            <w:r w:rsidR="00A261A4">
              <w:rPr>
                <w:noProof/>
                <w:webHidden/>
              </w:rPr>
              <w:instrText xml:space="preserve"> PAGEREF _Toc480797269 \h </w:instrText>
            </w:r>
            <w:r w:rsidR="00A261A4">
              <w:rPr>
                <w:noProof/>
                <w:webHidden/>
              </w:rPr>
            </w:r>
            <w:r w:rsidR="00A261A4">
              <w:rPr>
                <w:noProof/>
                <w:webHidden/>
              </w:rPr>
              <w:fldChar w:fldCharType="separate"/>
            </w:r>
            <w:r w:rsidR="005928E3">
              <w:rPr>
                <w:noProof/>
                <w:webHidden/>
              </w:rPr>
              <w:t>34</w:t>
            </w:r>
            <w:r w:rsidR="00A261A4">
              <w:rPr>
                <w:noProof/>
                <w:webHidden/>
              </w:rPr>
              <w:fldChar w:fldCharType="end"/>
            </w:r>
          </w:hyperlink>
        </w:p>
        <w:p w:rsidR="00A261A4" w:rsidRDefault="00AE5F7A">
          <w:pPr>
            <w:pStyle w:val="TM3"/>
            <w:tabs>
              <w:tab w:val="right" w:leader="dot" w:pos="10790"/>
            </w:tabs>
            <w:rPr>
              <w:rFonts w:asciiTheme="minorHAnsi" w:eastAsiaTheme="minorEastAsia" w:hAnsiTheme="minorHAnsi"/>
              <w:noProof/>
              <w:lang w:eastAsia="fr-CA"/>
            </w:rPr>
          </w:pPr>
          <w:hyperlink w:anchor="_Toc480797270" w:history="1">
            <w:r w:rsidR="00A261A4" w:rsidRPr="005A21AB">
              <w:rPr>
                <w:rStyle w:val="Lienhypertexte"/>
                <w:rFonts w:cs="Times New Roman"/>
                <w:noProof/>
              </w:rPr>
              <w:t>Écoulement mammaire</w:t>
            </w:r>
            <w:r w:rsidR="00A261A4">
              <w:rPr>
                <w:noProof/>
                <w:webHidden/>
              </w:rPr>
              <w:tab/>
            </w:r>
            <w:r w:rsidR="00A261A4">
              <w:rPr>
                <w:noProof/>
                <w:webHidden/>
              </w:rPr>
              <w:fldChar w:fldCharType="begin"/>
            </w:r>
            <w:r w:rsidR="00A261A4">
              <w:rPr>
                <w:noProof/>
                <w:webHidden/>
              </w:rPr>
              <w:instrText xml:space="preserve"> PAGEREF _Toc480797270 \h </w:instrText>
            </w:r>
            <w:r w:rsidR="00A261A4">
              <w:rPr>
                <w:noProof/>
                <w:webHidden/>
              </w:rPr>
            </w:r>
            <w:r w:rsidR="00A261A4">
              <w:rPr>
                <w:noProof/>
                <w:webHidden/>
              </w:rPr>
              <w:fldChar w:fldCharType="separate"/>
            </w:r>
            <w:r w:rsidR="005928E3">
              <w:rPr>
                <w:noProof/>
                <w:webHidden/>
              </w:rPr>
              <w:t>39</w:t>
            </w:r>
            <w:r w:rsidR="00A261A4">
              <w:rPr>
                <w:noProof/>
                <w:webHidden/>
              </w:rPr>
              <w:fldChar w:fldCharType="end"/>
            </w:r>
          </w:hyperlink>
        </w:p>
        <w:p w:rsidR="00A261A4" w:rsidRDefault="00AE5F7A">
          <w:pPr>
            <w:pStyle w:val="TM3"/>
            <w:tabs>
              <w:tab w:val="right" w:leader="dot" w:pos="10790"/>
            </w:tabs>
            <w:rPr>
              <w:rFonts w:asciiTheme="minorHAnsi" w:eastAsiaTheme="minorEastAsia" w:hAnsiTheme="minorHAnsi"/>
              <w:noProof/>
              <w:lang w:eastAsia="fr-CA"/>
            </w:rPr>
          </w:pPr>
          <w:hyperlink w:anchor="_Toc480797271" w:history="1">
            <w:r w:rsidR="00A261A4" w:rsidRPr="005A21AB">
              <w:rPr>
                <w:rStyle w:val="Lienhypertexte"/>
                <w:rFonts w:cs="Times New Roman"/>
                <w:noProof/>
              </w:rPr>
              <w:t>Gynécomastie</w:t>
            </w:r>
            <w:r w:rsidR="00A261A4">
              <w:rPr>
                <w:noProof/>
                <w:webHidden/>
              </w:rPr>
              <w:tab/>
            </w:r>
            <w:r w:rsidR="00A261A4">
              <w:rPr>
                <w:noProof/>
                <w:webHidden/>
              </w:rPr>
              <w:fldChar w:fldCharType="begin"/>
            </w:r>
            <w:r w:rsidR="00A261A4">
              <w:rPr>
                <w:noProof/>
                <w:webHidden/>
              </w:rPr>
              <w:instrText xml:space="preserve"> PAGEREF _Toc480797271 \h </w:instrText>
            </w:r>
            <w:r w:rsidR="00A261A4">
              <w:rPr>
                <w:noProof/>
                <w:webHidden/>
              </w:rPr>
            </w:r>
            <w:r w:rsidR="00A261A4">
              <w:rPr>
                <w:noProof/>
                <w:webHidden/>
              </w:rPr>
              <w:fldChar w:fldCharType="separate"/>
            </w:r>
            <w:r w:rsidR="005928E3">
              <w:rPr>
                <w:noProof/>
                <w:webHidden/>
              </w:rPr>
              <w:t>42</w:t>
            </w:r>
            <w:r w:rsidR="00A261A4">
              <w:rPr>
                <w:noProof/>
                <w:webHidden/>
              </w:rPr>
              <w:fldChar w:fldCharType="end"/>
            </w:r>
          </w:hyperlink>
        </w:p>
        <w:p w:rsidR="00A261A4" w:rsidRDefault="00AE5F7A">
          <w:pPr>
            <w:pStyle w:val="TM3"/>
            <w:tabs>
              <w:tab w:val="right" w:leader="dot" w:pos="10790"/>
            </w:tabs>
            <w:rPr>
              <w:rFonts w:asciiTheme="minorHAnsi" w:eastAsiaTheme="minorEastAsia" w:hAnsiTheme="minorHAnsi"/>
              <w:noProof/>
              <w:lang w:eastAsia="fr-CA"/>
            </w:rPr>
          </w:pPr>
          <w:hyperlink w:anchor="_Toc480797272" w:history="1">
            <w:r w:rsidR="00A261A4" w:rsidRPr="005A21AB">
              <w:rPr>
                <w:rStyle w:val="Lienhypertexte"/>
                <w:rFonts w:cs="Times New Roman"/>
                <w:noProof/>
              </w:rPr>
              <w:t>Brûlures</w:t>
            </w:r>
            <w:r w:rsidR="00A261A4">
              <w:rPr>
                <w:noProof/>
                <w:webHidden/>
              </w:rPr>
              <w:tab/>
            </w:r>
            <w:r w:rsidR="00A261A4">
              <w:rPr>
                <w:noProof/>
                <w:webHidden/>
              </w:rPr>
              <w:fldChar w:fldCharType="begin"/>
            </w:r>
            <w:r w:rsidR="00A261A4">
              <w:rPr>
                <w:noProof/>
                <w:webHidden/>
              </w:rPr>
              <w:instrText xml:space="preserve"> PAGEREF _Toc480797272 \h </w:instrText>
            </w:r>
            <w:r w:rsidR="00A261A4">
              <w:rPr>
                <w:noProof/>
                <w:webHidden/>
              </w:rPr>
            </w:r>
            <w:r w:rsidR="00A261A4">
              <w:rPr>
                <w:noProof/>
                <w:webHidden/>
              </w:rPr>
              <w:fldChar w:fldCharType="separate"/>
            </w:r>
            <w:r w:rsidR="005928E3">
              <w:rPr>
                <w:noProof/>
                <w:webHidden/>
              </w:rPr>
              <w:t>45</w:t>
            </w:r>
            <w:r w:rsidR="00A261A4">
              <w:rPr>
                <w:noProof/>
                <w:webHidden/>
              </w:rPr>
              <w:fldChar w:fldCharType="end"/>
            </w:r>
          </w:hyperlink>
        </w:p>
        <w:p w:rsidR="00A261A4" w:rsidRDefault="00AE5F7A">
          <w:pPr>
            <w:pStyle w:val="TM3"/>
            <w:tabs>
              <w:tab w:val="right" w:leader="dot" w:pos="10790"/>
            </w:tabs>
            <w:rPr>
              <w:rFonts w:asciiTheme="minorHAnsi" w:eastAsiaTheme="minorEastAsia" w:hAnsiTheme="minorHAnsi"/>
              <w:noProof/>
              <w:lang w:eastAsia="fr-CA"/>
            </w:rPr>
          </w:pPr>
          <w:hyperlink w:anchor="_Toc480797273" w:history="1">
            <w:r w:rsidR="00A261A4" w:rsidRPr="005A21AB">
              <w:rPr>
                <w:rStyle w:val="Lienhypertexte"/>
                <w:rFonts w:cs="Times New Roman"/>
                <w:noProof/>
              </w:rPr>
              <w:t>Constipation chez l’enfant</w:t>
            </w:r>
            <w:r w:rsidR="00A261A4">
              <w:rPr>
                <w:noProof/>
                <w:webHidden/>
              </w:rPr>
              <w:tab/>
            </w:r>
            <w:r w:rsidR="00A261A4">
              <w:rPr>
                <w:noProof/>
                <w:webHidden/>
              </w:rPr>
              <w:fldChar w:fldCharType="begin"/>
            </w:r>
            <w:r w:rsidR="00A261A4">
              <w:rPr>
                <w:noProof/>
                <w:webHidden/>
              </w:rPr>
              <w:instrText xml:space="preserve"> PAGEREF _Toc480797273 \h </w:instrText>
            </w:r>
            <w:r w:rsidR="00A261A4">
              <w:rPr>
                <w:noProof/>
                <w:webHidden/>
              </w:rPr>
            </w:r>
            <w:r w:rsidR="00A261A4">
              <w:rPr>
                <w:noProof/>
                <w:webHidden/>
              </w:rPr>
              <w:fldChar w:fldCharType="separate"/>
            </w:r>
            <w:r w:rsidR="005928E3">
              <w:rPr>
                <w:noProof/>
                <w:webHidden/>
              </w:rPr>
              <w:t>48</w:t>
            </w:r>
            <w:r w:rsidR="00A261A4">
              <w:rPr>
                <w:noProof/>
                <w:webHidden/>
              </w:rPr>
              <w:fldChar w:fldCharType="end"/>
            </w:r>
          </w:hyperlink>
        </w:p>
        <w:p w:rsidR="00A261A4" w:rsidRDefault="00AE5F7A">
          <w:pPr>
            <w:pStyle w:val="TM3"/>
            <w:tabs>
              <w:tab w:val="right" w:leader="dot" w:pos="10790"/>
            </w:tabs>
            <w:rPr>
              <w:rFonts w:asciiTheme="minorHAnsi" w:eastAsiaTheme="minorEastAsia" w:hAnsiTheme="minorHAnsi"/>
              <w:noProof/>
              <w:lang w:eastAsia="fr-CA"/>
            </w:rPr>
          </w:pPr>
          <w:hyperlink w:anchor="_Toc480797274" w:history="1">
            <w:r w:rsidR="00A261A4" w:rsidRPr="005A21AB">
              <w:rPr>
                <w:rStyle w:val="Lienhypertexte"/>
                <w:rFonts w:cs="Times New Roman"/>
                <w:noProof/>
              </w:rPr>
              <w:t>Contraception</w:t>
            </w:r>
            <w:r w:rsidR="00A261A4">
              <w:rPr>
                <w:noProof/>
                <w:webHidden/>
              </w:rPr>
              <w:tab/>
            </w:r>
            <w:r w:rsidR="00A261A4">
              <w:rPr>
                <w:noProof/>
                <w:webHidden/>
              </w:rPr>
              <w:fldChar w:fldCharType="begin"/>
            </w:r>
            <w:r w:rsidR="00A261A4">
              <w:rPr>
                <w:noProof/>
                <w:webHidden/>
              </w:rPr>
              <w:instrText xml:space="preserve"> PAGEREF _Toc480797274 \h </w:instrText>
            </w:r>
            <w:r w:rsidR="00A261A4">
              <w:rPr>
                <w:noProof/>
                <w:webHidden/>
              </w:rPr>
            </w:r>
            <w:r w:rsidR="00A261A4">
              <w:rPr>
                <w:noProof/>
                <w:webHidden/>
              </w:rPr>
              <w:fldChar w:fldCharType="separate"/>
            </w:r>
            <w:r w:rsidR="005928E3">
              <w:rPr>
                <w:noProof/>
                <w:webHidden/>
              </w:rPr>
              <w:t>50</w:t>
            </w:r>
            <w:r w:rsidR="00A261A4">
              <w:rPr>
                <w:noProof/>
                <w:webHidden/>
              </w:rPr>
              <w:fldChar w:fldCharType="end"/>
            </w:r>
          </w:hyperlink>
        </w:p>
        <w:p w:rsidR="00A261A4" w:rsidRDefault="00AE5F7A">
          <w:pPr>
            <w:pStyle w:val="TM3"/>
            <w:tabs>
              <w:tab w:val="right" w:leader="dot" w:pos="10790"/>
            </w:tabs>
            <w:rPr>
              <w:rFonts w:asciiTheme="minorHAnsi" w:eastAsiaTheme="minorEastAsia" w:hAnsiTheme="minorHAnsi"/>
              <w:noProof/>
              <w:lang w:eastAsia="fr-CA"/>
            </w:rPr>
          </w:pPr>
          <w:hyperlink w:anchor="_Toc480797275" w:history="1">
            <w:r w:rsidR="00A261A4" w:rsidRPr="005A21AB">
              <w:rPr>
                <w:rStyle w:val="Lienhypertexte"/>
                <w:rFonts w:cs="Times New Roman"/>
                <w:noProof/>
              </w:rPr>
              <w:t>Boiterie chez l’enfant</w:t>
            </w:r>
            <w:r w:rsidR="00A261A4">
              <w:rPr>
                <w:noProof/>
                <w:webHidden/>
              </w:rPr>
              <w:tab/>
            </w:r>
            <w:r w:rsidR="00A261A4">
              <w:rPr>
                <w:noProof/>
                <w:webHidden/>
              </w:rPr>
              <w:fldChar w:fldCharType="begin"/>
            </w:r>
            <w:r w:rsidR="00A261A4">
              <w:rPr>
                <w:noProof/>
                <w:webHidden/>
              </w:rPr>
              <w:instrText xml:space="preserve"> PAGEREF _Toc480797275 \h </w:instrText>
            </w:r>
            <w:r w:rsidR="00A261A4">
              <w:rPr>
                <w:noProof/>
                <w:webHidden/>
              </w:rPr>
            </w:r>
            <w:r w:rsidR="00A261A4">
              <w:rPr>
                <w:noProof/>
                <w:webHidden/>
              </w:rPr>
              <w:fldChar w:fldCharType="separate"/>
            </w:r>
            <w:r w:rsidR="005928E3">
              <w:rPr>
                <w:noProof/>
                <w:webHidden/>
              </w:rPr>
              <w:t>54</w:t>
            </w:r>
            <w:r w:rsidR="00A261A4">
              <w:rPr>
                <w:noProof/>
                <w:webHidden/>
              </w:rPr>
              <w:fldChar w:fldCharType="end"/>
            </w:r>
          </w:hyperlink>
        </w:p>
        <w:p w:rsidR="00A261A4" w:rsidRDefault="00AE5F7A">
          <w:pPr>
            <w:pStyle w:val="TM3"/>
            <w:tabs>
              <w:tab w:val="right" w:leader="dot" w:pos="10790"/>
            </w:tabs>
            <w:rPr>
              <w:rFonts w:asciiTheme="minorHAnsi" w:eastAsiaTheme="minorEastAsia" w:hAnsiTheme="minorHAnsi"/>
              <w:noProof/>
              <w:lang w:eastAsia="fr-CA"/>
            </w:rPr>
          </w:pPr>
          <w:hyperlink w:anchor="_Toc480797276" w:history="1">
            <w:r w:rsidR="00A261A4" w:rsidRPr="005A21AB">
              <w:rPr>
                <w:rStyle w:val="Lienhypertexte"/>
                <w:rFonts w:cs="Times New Roman"/>
                <w:noProof/>
              </w:rPr>
              <w:t>Retard de développement</w:t>
            </w:r>
            <w:r w:rsidR="00A261A4">
              <w:rPr>
                <w:noProof/>
                <w:webHidden/>
              </w:rPr>
              <w:tab/>
            </w:r>
            <w:r w:rsidR="00A261A4">
              <w:rPr>
                <w:noProof/>
                <w:webHidden/>
              </w:rPr>
              <w:fldChar w:fldCharType="begin"/>
            </w:r>
            <w:r w:rsidR="00A261A4">
              <w:rPr>
                <w:noProof/>
                <w:webHidden/>
              </w:rPr>
              <w:instrText xml:space="preserve"> PAGEREF _Toc480797276 \h </w:instrText>
            </w:r>
            <w:r w:rsidR="00A261A4">
              <w:rPr>
                <w:noProof/>
                <w:webHidden/>
              </w:rPr>
            </w:r>
            <w:r w:rsidR="00A261A4">
              <w:rPr>
                <w:noProof/>
                <w:webHidden/>
              </w:rPr>
              <w:fldChar w:fldCharType="separate"/>
            </w:r>
            <w:r w:rsidR="005928E3">
              <w:rPr>
                <w:noProof/>
                <w:webHidden/>
              </w:rPr>
              <w:t>60</w:t>
            </w:r>
            <w:r w:rsidR="00A261A4">
              <w:rPr>
                <w:noProof/>
                <w:webHidden/>
              </w:rPr>
              <w:fldChar w:fldCharType="end"/>
            </w:r>
          </w:hyperlink>
        </w:p>
        <w:p w:rsidR="00A261A4" w:rsidRDefault="00AE5F7A">
          <w:pPr>
            <w:pStyle w:val="TM3"/>
            <w:tabs>
              <w:tab w:val="right" w:leader="dot" w:pos="10790"/>
            </w:tabs>
            <w:rPr>
              <w:rFonts w:asciiTheme="minorHAnsi" w:eastAsiaTheme="minorEastAsia" w:hAnsiTheme="minorHAnsi"/>
              <w:noProof/>
              <w:lang w:eastAsia="fr-CA"/>
            </w:rPr>
          </w:pPr>
          <w:hyperlink w:anchor="_Toc480797277" w:history="1">
            <w:r w:rsidR="00A261A4" w:rsidRPr="005A21AB">
              <w:rPr>
                <w:rStyle w:val="Lienhypertexte"/>
                <w:rFonts w:cs="Times New Roman"/>
                <w:noProof/>
              </w:rPr>
              <w:t>Troubles du développement chez les adultes</w:t>
            </w:r>
            <w:r w:rsidR="00A261A4">
              <w:rPr>
                <w:noProof/>
                <w:webHidden/>
              </w:rPr>
              <w:tab/>
            </w:r>
            <w:r w:rsidR="00A261A4">
              <w:rPr>
                <w:noProof/>
                <w:webHidden/>
              </w:rPr>
              <w:fldChar w:fldCharType="begin"/>
            </w:r>
            <w:r w:rsidR="00A261A4">
              <w:rPr>
                <w:noProof/>
                <w:webHidden/>
              </w:rPr>
              <w:instrText xml:space="preserve"> PAGEREF _Toc480797277 \h </w:instrText>
            </w:r>
            <w:r w:rsidR="00A261A4">
              <w:rPr>
                <w:noProof/>
                <w:webHidden/>
              </w:rPr>
            </w:r>
            <w:r w:rsidR="00A261A4">
              <w:rPr>
                <w:noProof/>
                <w:webHidden/>
              </w:rPr>
              <w:fldChar w:fldCharType="separate"/>
            </w:r>
            <w:r w:rsidR="005928E3">
              <w:rPr>
                <w:noProof/>
                <w:webHidden/>
              </w:rPr>
              <w:t>64</w:t>
            </w:r>
            <w:r w:rsidR="00A261A4">
              <w:rPr>
                <w:noProof/>
                <w:webHidden/>
              </w:rPr>
              <w:fldChar w:fldCharType="end"/>
            </w:r>
          </w:hyperlink>
        </w:p>
        <w:p w:rsidR="00A261A4" w:rsidRDefault="00AE5F7A">
          <w:pPr>
            <w:pStyle w:val="TM3"/>
            <w:tabs>
              <w:tab w:val="right" w:leader="dot" w:pos="10790"/>
            </w:tabs>
            <w:rPr>
              <w:rFonts w:asciiTheme="minorHAnsi" w:eastAsiaTheme="minorEastAsia" w:hAnsiTheme="minorHAnsi"/>
              <w:noProof/>
              <w:lang w:eastAsia="fr-CA"/>
            </w:rPr>
          </w:pPr>
          <w:hyperlink w:anchor="_Toc480797278" w:history="1">
            <w:r w:rsidR="00A261A4" w:rsidRPr="005A21AB">
              <w:rPr>
                <w:rStyle w:val="Lienhypertexte"/>
                <w:rFonts w:cs="Times New Roman"/>
                <w:noProof/>
              </w:rPr>
              <w:t>Diarrhée chez l’enfant</w:t>
            </w:r>
            <w:r w:rsidR="00A261A4">
              <w:rPr>
                <w:noProof/>
                <w:webHidden/>
              </w:rPr>
              <w:tab/>
            </w:r>
            <w:r w:rsidR="00A261A4">
              <w:rPr>
                <w:noProof/>
                <w:webHidden/>
              </w:rPr>
              <w:fldChar w:fldCharType="begin"/>
            </w:r>
            <w:r w:rsidR="00A261A4">
              <w:rPr>
                <w:noProof/>
                <w:webHidden/>
              </w:rPr>
              <w:instrText xml:space="preserve"> PAGEREF _Toc480797278 \h </w:instrText>
            </w:r>
            <w:r w:rsidR="00A261A4">
              <w:rPr>
                <w:noProof/>
                <w:webHidden/>
              </w:rPr>
            </w:r>
            <w:r w:rsidR="00A261A4">
              <w:rPr>
                <w:noProof/>
                <w:webHidden/>
              </w:rPr>
              <w:fldChar w:fldCharType="separate"/>
            </w:r>
            <w:r w:rsidR="005928E3">
              <w:rPr>
                <w:noProof/>
                <w:webHidden/>
              </w:rPr>
              <w:t>67</w:t>
            </w:r>
            <w:r w:rsidR="00A261A4">
              <w:rPr>
                <w:noProof/>
                <w:webHidden/>
              </w:rPr>
              <w:fldChar w:fldCharType="end"/>
            </w:r>
          </w:hyperlink>
        </w:p>
        <w:p w:rsidR="00A261A4" w:rsidRDefault="00AE5F7A">
          <w:pPr>
            <w:pStyle w:val="TM3"/>
            <w:tabs>
              <w:tab w:val="right" w:leader="dot" w:pos="10790"/>
            </w:tabs>
            <w:rPr>
              <w:rFonts w:asciiTheme="minorHAnsi" w:eastAsiaTheme="minorEastAsia" w:hAnsiTheme="minorHAnsi"/>
              <w:noProof/>
              <w:lang w:eastAsia="fr-CA"/>
            </w:rPr>
          </w:pPr>
          <w:hyperlink w:anchor="_Toc480797279" w:history="1">
            <w:r w:rsidR="00A261A4" w:rsidRPr="005A21AB">
              <w:rPr>
                <w:rStyle w:val="Lienhypertexte"/>
                <w:rFonts w:cs="Times New Roman"/>
                <w:noProof/>
              </w:rPr>
              <w:t>Détresse respiratoire chez l’enfant</w:t>
            </w:r>
            <w:r w:rsidR="00A261A4">
              <w:rPr>
                <w:noProof/>
                <w:webHidden/>
              </w:rPr>
              <w:tab/>
            </w:r>
            <w:r w:rsidR="00A261A4">
              <w:rPr>
                <w:noProof/>
                <w:webHidden/>
              </w:rPr>
              <w:fldChar w:fldCharType="begin"/>
            </w:r>
            <w:r w:rsidR="00A261A4">
              <w:rPr>
                <w:noProof/>
                <w:webHidden/>
              </w:rPr>
              <w:instrText xml:space="preserve"> PAGEREF _Toc480797279 \h </w:instrText>
            </w:r>
            <w:r w:rsidR="00A261A4">
              <w:rPr>
                <w:noProof/>
                <w:webHidden/>
              </w:rPr>
            </w:r>
            <w:r w:rsidR="00A261A4">
              <w:rPr>
                <w:noProof/>
                <w:webHidden/>
              </w:rPr>
              <w:fldChar w:fldCharType="separate"/>
            </w:r>
            <w:r w:rsidR="005928E3">
              <w:rPr>
                <w:noProof/>
                <w:webHidden/>
              </w:rPr>
              <w:t>70</w:t>
            </w:r>
            <w:r w:rsidR="00A261A4">
              <w:rPr>
                <w:noProof/>
                <w:webHidden/>
              </w:rPr>
              <w:fldChar w:fldCharType="end"/>
            </w:r>
          </w:hyperlink>
        </w:p>
        <w:p w:rsidR="00A261A4" w:rsidRDefault="00AE5F7A">
          <w:pPr>
            <w:pStyle w:val="TM3"/>
            <w:tabs>
              <w:tab w:val="right" w:leader="dot" w:pos="10790"/>
            </w:tabs>
            <w:rPr>
              <w:rFonts w:asciiTheme="minorHAnsi" w:eastAsiaTheme="minorEastAsia" w:hAnsiTheme="minorHAnsi"/>
              <w:noProof/>
              <w:lang w:eastAsia="fr-CA"/>
            </w:rPr>
          </w:pPr>
          <w:hyperlink w:anchor="_Toc480797280" w:history="1">
            <w:r w:rsidR="00A261A4" w:rsidRPr="005A21AB">
              <w:rPr>
                <w:rStyle w:val="Lienhypertexte"/>
                <w:rFonts w:cs="Times New Roman"/>
                <w:noProof/>
              </w:rPr>
              <w:t>Douleur de l’oreille</w:t>
            </w:r>
            <w:r w:rsidR="00A261A4">
              <w:rPr>
                <w:noProof/>
                <w:webHidden/>
              </w:rPr>
              <w:tab/>
            </w:r>
            <w:r w:rsidR="00A261A4">
              <w:rPr>
                <w:noProof/>
                <w:webHidden/>
              </w:rPr>
              <w:fldChar w:fldCharType="begin"/>
            </w:r>
            <w:r w:rsidR="00A261A4">
              <w:rPr>
                <w:noProof/>
                <w:webHidden/>
              </w:rPr>
              <w:instrText xml:space="preserve"> PAGEREF _Toc480797280 \h </w:instrText>
            </w:r>
            <w:r w:rsidR="00A261A4">
              <w:rPr>
                <w:noProof/>
                <w:webHidden/>
              </w:rPr>
            </w:r>
            <w:r w:rsidR="00A261A4">
              <w:rPr>
                <w:noProof/>
                <w:webHidden/>
              </w:rPr>
              <w:fldChar w:fldCharType="separate"/>
            </w:r>
            <w:r w:rsidR="005928E3">
              <w:rPr>
                <w:noProof/>
                <w:webHidden/>
              </w:rPr>
              <w:t>74</w:t>
            </w:r>
            <w:r w:rsidR="00A261A4">
              <w:rPr>
                <w:noProof/>
                <w:webHidden/>
              </w:rPr>
              <w:fldChar w:fldCharType="end"/>
            </w:r>
          </w:hyperlink>
        </w:p>
        <w:p w:rsidR="00A261A4" w:rsidRDefault="00AE5F7A">
          <w:pPr>
            <w:pStyle w:val="TM3"/>
            <w:tabs>
              <w:tab w:val="right" w:leader="dot" w:pos="10790"/>
            </w:tabs>
            <w:rPr>
              <w:rFonts w:asciiTheme="minorHAnsi" w:eastAsiaTheme="minorEastAsia" w:hAnsiTheme="minorHAnsi"/>
              <w:noProof/>
              <w:lang w:eastAsia="fr-CA"/>
            </w:rPr>
          </w:pPr>
          <w:hyperlink w:anchor="_Toc480797281" w:history="1">
            <w:r w:rsidR="00A261A4" w:rsidRPr="005A21AB">
              <w:rPr>
                <w:rStyle w:val="Lienhypertexte"/>
                <w:rFonts w:cs="Times New Roman"/>
                <w:noProof/>
              </w:rPr>
              <w:t>Rougeur oculaire</w:t>
            </w:r>
            <w:r w:rsidR="00A261A4">
              <w:rPr>
                <w:noProof/>
                <w:webHidden/>
              </w:rPr>
              <w:tab/>
            </w:r>
            <w:r w:rsidR="00A261A4">
              <w:rPr>
                <w:noProof/>
                <w:webHidden/>
              </w:rPr>
              <w:fldChar w:fldCharType="begin"/>
            </w:r>
            <w:r w:rsidR="00A261A4">
              <w:rPr>
                <w:noProof/>
                <w:webHidden/>
              </w:rPr>
              <w:instrText xml:space="preserve"> PAGEREF _Toc480797281 \h </w:instrText>
            </w:r>
            <w:r w:rsidR="00A261A4">
              <w:rPr>
                <w:noProof/>
                <w:webHidden/>
              </w:rPr>
            </w:r>
            <w:r w:rsidR="00A261A4">
              <w:rPr>
                <w:noProof/>
                <w:webHidden/>
              </w:rPr>
              <w:fldChar w:fldCharType="separate"/>
            </w:r>
            <w:r w:rsidR="005928E3">
              <w:rPr>
                <w:noProof/>
                <w:webHidden/>
              </w:rPr>
              <w:t>77</w:t>
            </w:r>
            <w:r w:rsidR="00A261A4">
              <w:rPr>
                <w:noProof/>
                <w:webHidden/>
              </w:rPr>
              <w:fldChar w:fldCharType="end"/>
            </w:r>
          </w:hyperlink>
        </w:p>
        <w:p w:rsidR="00A261A4" w:rsidRDefault="00AE5F7A">
          <w:pPr>
            <w:pStyle w:val="TM3"/>
            <w:tabs>
              <w:tab w:val="right" w:leader="dot" w:pos="10790"/>
            </w:tabs>
            <w:rPr>
              <w:rFonts w:asciiTheme="minorHAnsi" w:eastAsiaTheme="minorEastAsia" w:hAnsiTheme="minorHAnsi"/>
              <w:noProof/>
              <w:lang w:eastAsia="fr-CA"/>
            </w:rPr>
          </w:pPr>
          <w:hyperlink w:anchor="_Toc480797282" w:history="1">
            <w:r w:rsidR="00A261A4" w:rsidRPr="005A21AB">
              <w:rPr>
                <w:rStyle w:val="Lienhypertexte"/>
                <w:rFonts w:cs="Times New Roman"/>
                <w:noProof/>
              </w:rPr>
              <w:t>Retard staturo-pondéral (chez le nourrisson et l’enfant)</w:t>
            </w:r>
            <w:r w:rsidR="00A261A4">
              <w:rPr>
                <w:noProof/>
                <w:webHidden/>
              </w:rPr>
              <w:tab/>
            </w:r>
            <w:r w:rsidR="00A261A4">
              <w:rPr>
                <w:noProof/>
                <w:webHidden/>
              </w:rPr>
              <w:fldChar w:fldCharType="begin"/>
            </w:r>
            <w:r w:rsidR="00A261A4">
              <w:rPr>
                <w:noProof/>
                <w:webHidden/>
              </w:rPr>
              <w:instrText xml:space="preserve"> PAGEREF _Toc480797282 \h </w:instrText>
            </w:r>
            <w:r w:rsidR="00A261A4">
              <w:rPr>
                <w:noProof/>
                <w:webHidden/>
              </w:rPr>
            </w:r>
            <w:r w:rsidR="00A261A4">
              <w:rPr>
                <w:noProof/>
                <w:webHidden/>
              </w:rPr>
              <w:fldChar w:fldCharType="separate"/>
            </w:r>
            <w:r w:rsidR="005928E3">
              <w:rPr>
                <w:noProof/>
                <w:webHidden/>
              </w:rPr>
              <w:t>81</w:t>
            </w:r>
            <w:r w:rsidR="00A261A4">
              <w:rPr>
                <w:noProof/>
                <w:webHidden/>
              </w:rPr>
              <w:fldChar w:fldCharType="end"/>
            </w:r>
          </w:hyperlink>
        </w:p>
        <w:p w:rsidR="00A261A4" w:rsidRDefault="00AE5F7A">
          <w:pPr>
            <w:pStyle w:val="TM3"/>
            <w:tabs>
              <w:tab w:val="right" w:leader="dot" w:pos="10790"/>
            </w:tabs>
            <w:rPr>
              <w:rFonts w:asciiTheme="minorHAnsi" w:eastAsiaTheme="minorEastAsia" w:hAnsiTheme="minorHAnsi"/>
              <w:noProof/>
              <w:lang w:eastAsia="fr-CA"/>
            </w:rPr>
          </w:pPr>
          <w:hyperlink w:anchor="_Toc480797283" w:history="1">
            <w:r w:rsidR="00A261A4" w:rsidRPr="005A21AB">
              <w:rPr>
                <w:rStyle w:val="Lienhypertexte"/>
                <w:rFonts w:cs="Times New Roman"/>
                <w:noProof/>
              </w:rPr>
              <w:t>Inquiétudes d’ordre génétique</w:t>
            </w:r>
            <w:r w:rsidR="00A261A4">
              <w:rPr>
                <w:noProof/>
                <w:webHidden/>
              </w:rPr>
              <w:tab/>
            </w:r>
            <w:r w:rsidR="00A261A4">
              <w:rPr>
                <w:noProof/>
                <w:webHidden/>
              </w:rPr>
              <w:fldChar w:fldCharType="begin"/>
            </w:r>
            <w:r w:rsidR="00A261A4">
              <w:rPr>
                <w:noProof/>
                <w:webHidden/>
              </w:rPr>
              <w:instrText xml:space="preserve"> PAGEREF _Toc480797283 \h </w:instrText>
            </w:r>
            <w:r w:rsidR="00A261A4">
              <w:rPr>
                <w:noProof/>
                <w:webHidden/>
              </w:rPr>
            </w:r>
            <w:r w:rsidR="00A261A4">
              <w:rPr>
                <w:noProof/>
                <w:webHidden/>
              </w:rPr>
              <w:fldChar w:fldCharType="separate"/>
            </w:r>
            <w:r w:rsidR="005928E3">
              <w:rPr>
                <w:noProof/>
                <w:webHidden/>
              </w:rPr>
              <w:t>85</w:t>
            </w:r>
            <w:r w:rsidR="00A261A4">
              <w:rPr>
                <w:noProof/>
                <w:webHidden/>
              </w:rPr>
              <w:fldChar w:fldCharType="end"/>
            </w:r>
          </w:hyperlink>
        </w:p>
        <w:p w:rsidR="00A261A4" w:rsidRDefault="00AE5F7A">
          <w:pPr>
            <w:pStyle w:val="TM3"/>
            <w:tabs>
              <w:tab w:val="right" w:leader="dot" w:pos="10790"/>
            </w:tabs>
            <w:rPr>
              <w:rFonts w:asciiTheme="minorHAnsi" w:eastAsiaTheme="minorEastAsia" w:hAnsiTheme="minorHAnsi"/>
              <w:noProof/>
              <w:lang w:eastAsia="fr-CA"/>
            </w:rPr>
          </w:pPr>
          <w:hyperlink w:anchor="_Toc480797284" w:history="1">
            <w:r w:rsidR="00A261A4" w:rsidRPr="005A21AB">
              <w:rPr>
                <w:rStyle w:val="Lienhypertexte"/>
                <w:rFonts w:cs="Times New Roman"/>
                <w:noProof/>
              </w:rPr>
              <w:t>Anomalies congénitales, traits dysmorphiques</w:t>
            </w:r>
            <w:r w:rsidR="00A261A4">
              <w:rPr>
                <w:noProof/>
                <w:webHidden/>
              </w:rPr>
              <w:tab/>
            </w:r>
            <w:r w:rsidR="00A261A4">
              <w:rPr>
                <w:noProof/>
                <w:webHidden/>
              </w:rPr>
              <w:fldChar w:fldCharType="begin"/>
            </w:r>
            <w:r w:rsidR="00A261A4">
              <w:rPr>
                <w:noProof/>
                <w:webHidden/>
              </w:rPr>
              <w:instrText xml:space="preserve"> PAGEREF _Toc480797284 \h </w:instrText>
            </w:r>
            <w:r w:rsidR="00A261A4">
              <w:rPr>
                <w:noProof/>
                <w:webHidden/>
              </w:rPr>
            </w:r>
            <w:r w:rsidR="00A261A4">
              <w:rPr>
                <w:noProof/>
                <w:webHidden/>
              </w:rPr>
              <w:fldChar w:fldCharType="separate"/>
            </w:r>
            <w:r w:rsidR="005928E3">
              <w:rPr>
                <w:noProof/>
                <w:webHidden/>
              </w:rPr>
              <w:t>89</w:t>
            </w:r>
            <w:r w:rsidR="00A261A4">
              <w:rPr>
                <w:noProof/>
                <w:webHidden/>
              </w:rPr>
              <w:fldChar w:fldCharType="end"/>
            </w:r>
          </w:hyperlink>
        </w:p>
        <w:p w:rsidR="00A261A4" w:rsidRDefault="00AE5F7A">
          <w:pPr>
            <w:pStyle w:val="TM3"/>
            <w:tabs>
              <w:tab w:val="right" w:leader="dot" w:pos="10790"/>
            </w:tabs>
            <w:rPr>
              <w:rFonts w:asciiTheme="minorHAnsi" w:eastAsiaTheme="minorEastAsia" w:hAnsiTheme="minorHAnsi"/>
              <w:noProof/>
              <w:lang w:eastAsia="fr-CA"/>
            </w:rPr>
          </w:pPr>
          <w:hyperlink w:anchor="_Toc480797285" w:history="1">
            <w:r w:rsidR="00A261A4" w:rsidRPr="005A21AB">
              <w:rPr>
                <w:rStyle w:val="Lienhypertexte"/>
                <w:rFonts w:cs="Times New Roman"/>
                <w:noProof/>
              </w:rPr>
              <w:t>Taux d’hémoglobine sérique élevé</w:t>
            </w:r>
            <w:r w:rsidR="00A261A4">
              <w:rPr>
                <w:noProof/>
                <w:webHidden/>
              </w:rPr>
              <w:tab/>
            </w:r>
            <w:r w:rsidR="00A261A4">
              <w:rPr>
                <w:noProof/>
                <w:webHidden/>
              </w:rPr>
              <w:fldChar w:fldCharType="begin"/>
            </w:r>
            <w:r w:rsidR="00A261A4">
              <w:rPr>
                <w:noProof/>
                <w:webHidden/>
              </w:rPr>
              <w:instrText xml:space="preserve"> PAGEREF _Toc480797285 \h </w:instrText>
            </w:r>
            <w:r w:rsidR="00A261A4">
              <w:rPr>
                <w:noProof/>
                <w:webHidden/>
              </w:rPr>
            </w:r>
            <w:r w:rsidR="00A261A4">
              <w:rPr>
                <w:noProof/>
                <w:webHidden/>
              </w:rPr>
              <w:fldChar w:fldCharType="separate"/>
            </w:r>
            <w:r w:rsidR="005928E3">
              <w:rPr>
                <w:noProof/>
                <w:webHidden/>
              </w:rPr>
              <w:t>95</w:t>
            </w:r>
            <w:r w:rsidR="00A261A4">
              <w:rPr>
                <w:noProof/>
                <w:webHidden/>
              </w:rPr>
              <w:fldChar w:fldCharType="end"/>
            </w:r>
          </w:hyperlink>
        </w:p>
        <w:p w:rsidR="00A261A4" w:rsidRDefault="00AE5F7A">
          <w:pPr>
            <w:pStyle w:val="TM3"/>
            <w:tabs>
              <w:tab w:val="right" w:leader="dot" w:pos="10790"/>
            </w:tabs>
            <w:rPr>
              <w:rFonts w:asciiTheme="minorHAnsi" w:eastAsiaTheme="minorEastAsia" w:hAnsiTheme="minorHAnsi"/>
              <w:noProof/>
              <w:lang w:eastAsia="fr-CA"/>
            </w:rPr>
          </w:pPr>
          <w:hyperlink w:anchor="_Toc480797286" w:history="1">
            <w:r w:rsidR="00A261A4" w:rsidRPr="005A21AB">
              <w:rPr>
                <w:rStyle w:val="Lienhypertexte"/>
                <w:rFonts w:cs="Times New Roman"/>
                <w:noProof/>
              </w:rPr>
              <w:t>Infertilité</w:t>
            </w:r>
            <w:r w:rsidR="00A261A4">
              <w:rPr>
                <w:noProof/>
                <w:webHidden/>
              </w:rPr>
              <w:tab/>
            </w:r>
            <w:r w:rsidR="00A261A4">
              <w:rPr>
                <w:noProof/>
                <w:webHidden/>
              </w:rPr>
              <w:fldChar w:fldCharType="begin"/>
            </w:r>
            <w:r w:rsidR="00A261A4">
              <w:rPr>
                <w:noProof/>
                <w:webHidden/>
              </w:rPr>
              <w:instrText xml:space="preserve"> PAGEREF _Toc480797286 \h </w:instrText>
            </w:r>
            <w:r w:rsidR="00A261A4">
              <w:rPr>
                <w:noProof/>
                <w:webHidden/>
              </w:rPr>
            </w:r>
            <w:r w:rsidR="00A261A4">
              <w:rPr>
                <w:noProof/>
                <w:webHidden/>
              </w:rPr>
              <w:fldChar w:fldCharType="separate"/>
            </w:r>
            <w:r w:rsidR="005928E3">
              <w:rPr>
                <w:noProof/>
                <w:webHidden/>
              </w:rPr>
              <w:t>98</w:t>
            </w:r>
            <w:r w:rsidR="00A261A4">
              <w:rPr>
                <w:noProof/>
                <w:webHidden/>
              </w:rPr>
              <w:fldChar w:fldCharType="end"/>
            </w:r>
          </w:hyperlink>
        </w:p>
        <w:p w:rsidR="00A261A4" w:rsidRDefault="00AE5F7A">
          <w:pPr>
            <w:pStyle w:val="TM3"/>
            <w:tabs>
              <w:tab w:val="right" w:leader="dot" w:pos="10790"/>
            </w:tabs>
            <w:rPr>
              <w:rFonts w:asciiTheme="minorHAnsi" w:eastAsiaTheme="minorEastAsia" w:hAnsiTheme="minorHAnsi"/>
              <w:noProof/>
              <w:lang w:eastAsia="fr-CA"/>
            </w:rPr>
          </w:pPr>
          <w:hyperlink w:anchor="_Toc480797287" w:history="1">
            <w:r w:rsidR="00A261A4" w:rsidRPr="005A21AB">
              <w:rPr>
                <w:rStyle w:val="Lienhypertexte"/>
                <w:rFonts w:cs="Times New Roman"/>
                <w:noProof/>
              </w:rPr>
              <w:t>Incontinence urinaire chez l’enfant, énurésie</w:t>
            </w:r>
            <w:r w:rsidR="00A261A4">
              <w:rPr>
                <w:noProof/>
                <w:webHidden/>
              </w:rPr>
              <w:tab/>
            </w:r>
            <w:r w:rsidR="00A261A4">
              <w:rPr>
                <w:noProof/>
                <w:webHidden/>
              </w:rPr>
              <w:fldChar w:fldCharType="begin"/>
            </w:r>
            <w:r w:rsidR="00A261A4">
              <w:rPr>
                <w:noProof/>
                <w:webHidden/>
              </w:rPr>
              <w:instrText xml:space="preserve"> PAGEREF _Toc480797287 \h </w:instrText>
            </w:r>
            <w:r w:rsidR="00A261A4">
              <w:rPr>
                <w:noProof/>
                <w:webHidden/>
              </w:rPr>
            </w:r>
            <w:r w:rsidR="00A261A4">
              <w:rPr>
                <w:noProof/>
                <w:webHidden/>
              </w:rPr>
              <w:fldChar w:fldCharType="separate"/>
            </w:r>
            <w:r w:rsidR="005928E3">
              <w:rPr>
                <w:noProof/>
                <w:webHidden/>
              </w:rPr>
              <w:t>100</w:t>
            </w:r>
            <w:r w:rsidR="00A261A4">
              <w:rPr>
                <w:noProof/>
                <w:webHidden/>
              </w:rPr>
              <w:fldChar w:fldCharType="end"/>
            </w:r>
          </w:hyperlink>
        </w:p>
        <w:p w:rsidR="00A261A4" w:rsidRDefault="00AE5F7A">
          <w:pPr>
            <w:pStyle w:val="TM3"/>
            <w:tabs>
              <w:tab w:val="right" w:leader="dot" w:pos="10790"/>
            </w:tabs>
            <w:rPr>
              <w:rFonts w:asciiTheme="minorHAnsi" w:eastAsiaTheme="minorEastAsia" w:hAnsiTheme="minorHAnsi"/>
              <w:noProof/>
              <w:lang w:eastAsia="fr-CA"/>
            </w:rPr>
          </w:pPr>
          <w:hyperlink w:anchor="_Toc480797288" w:history="1">
            <w:r w:rsidR="00A261A4" w:rsidRPr="005A21AB">
              <w:rPr>
                <w:rStyle w:val="Lienhypertexte"/>
                <w:rFonts w:cs="Times New Roman"/>
                <w:noProof/>
              </w:rPr>
              <w:t>Ictère du nouveau-né</w:t>
            </w:r>
            <w:r w:rsidR="00A261A4">
              <w:rPr>
                <w:noProof/>
                <w:webHidden/>
              </w:rPr>
              <w:tab/>
            </w:r>
            <w:r w:rsidR="00A261A4">
              <w:rPr>
                <w:noProof/>
                <w:webHidden/>
              </w:rPr>
              <w:fldChar w:fldCharType="begin"/>
            </w:r>
            <w:r w:rsidR="00A261A4">
              <w:rPr>
                <w:noProof/>
                <w:webHidden/>
              </w:rPr>
              <w:instrText xml:space="preserve"> PAGEREF _Toc480797288 \h </w:instrText>
            </w:r>
            <w:r w:rsidR="00A261A4">
              <w:rPr>
                <w:noProof/>
                <w:webHidden/>
              </w:rPr>
            </w:r>
            <w:r w:rsidR="00A261A4">
              <w:rPr>
                <w:noProof/>
                <w:webHidden/>
              </w:rPr>
              <w:fldChar w:fldCharType="separate"/>
            </w:r>
            <w:r w:rsidR="005928E3">
              <w:rPr>
                <w:noProof/>
                <w:webHidden/>
              </w:rPr>
              <w:t>102</w:t>
            </w:r>
            <w:r w:rsidR="00A261A4">
              <w:rPr>
                <w:noProof/>
                <w:webHidden/>
              </w:rPr>
              <w:fldChar w:fldCharType="end"/>
            </w:r>
          </w:hyperlink>
        </w:p>
        <w:p w:rsidR="00A261A4" w:rsidRDefault="00AE5F7A">
          <w:pPr>
            <w:pStyle w:val="TM3"/>
            <w:tabs>
              <w:tab w:val="right" w:leader="dot" w:pos="10790"/>
            </w:tabs>
            <w:rPr>
              <w:rFonts w:asciiTheme="minorHAnsi" w:eastAsiaTheme="minorEastAsia" w:hAnsiTheme="minorHAnsi"/>
              <w:noProof/>
              <w:lang w:eastAsia="fr-CA"/>
            </w:rPr>
          </w:pPr>
          <w:hyperlink w:anchor="_Toc480797289" w:history="1">
            <w:r w:rsidR="00A261A4" w:rsidRPr="005A21AB">
              <w:rPr>
                <w:rStyle w:val="Lienhypertexte"/>
                <w:rFonts w:cs="Times New Roman"/>
                <w:noProof/>
              </w:rPr>
              <w:t>Douleur musculosquelettique non-articulaire</w:t>
            </w:r>
            <w:r w:rsidR="00A261A4">
              <w:rPr>
                <w:noProof/>
                <w:webHidden/>
              </w:rPr>
              <w:tab/>
            </w:r>
            <w:r w:rsidR="00A261A4">
              <w:rPr>
                <w:noProof/>
                <w:webHidden/>
              </w:rPr>
              <w:fldChar w:fldCharType="begin"/>
            </w:r>
            <w:r w:rsidR="00A261A4">
              <w:rPr>
                <w:noProof/>
                <w:webHidden/>
              </w:rPr>
              <w:instrText xml:space="preserve"> PAGEREF _Toc480797289 \h </w:instrText>
            </w:r>
            <w:r w:rsidR="00A261A4">
              <w:rPr>
                <w:noProof/>
                <w:webHidden/>
              </w:rPr>
            </w:r>
            <w:r w:rsidR="00A261A4">
              <w:rPr>
                <w:noProof/>
                <w:webHidden/>
              </w:rPr>
              <w:fldChar w:fldCharType="separate"/>
            </w:r>
            <w:r w:rsidR="005928E3">
              <w:rPr>
                <w:noProof/>
                <w:webHidden/>
              </w:rPr>
              <w:t>105</w:t>
            </w:r>
            <w:r w:rsidR="00A261A4">
              <w:rPr>
                <w:noProof/>
                <w:webHidden/>
              </w:rPr>
              <w:fldChar w:fldCharType="end"/>
            </w:r>
          </w:hyperlink>
        </w:p>
        <w:p w:rsidR="00A261A4" w:rsidRDefault="00AE5F7A">
          <w:pPr>
            <w:pStyle w:val="TM3"/>
            <w:tabs>
              <w:tab w:val="right" w:leader="dot" w:pos="10790"/>
            </w:tabs>
            <w:rPr>
              <w:rFonts w:asciiTheme="minorHAnsi" w:eastAsiaTheme="minorEastAsia" w:hAnsiTheme="minorHAnsi"/>
              <w:noProof/>
              <w:lang w:eastAsia="fr-CA"/>
            </w:rPr>
          </w:pPr>
          <w:hyperlink w:anchor="_Toc480797290" w:history="1">
            <w:r w:rsidR="00A261A4" w:rsidRPr="005A21AB">
              <w:rPr>
                <w:rStyle w:val="Lienhypertexte"/>
                <w:rFonts w:cs="Times New Roman"/>
                <w:noProof/>
              </w:rPr>
              <w:t>Masse de l’appareil locomoteur</w:t>
            </w:r>
            <w:r w:rsidR="00A261A4">
              <w:rPr>
                <w:noProof/>
                <w:webHidden/>
              </w:rPr>
              <w:tab/>
            </w:r>
            <w:r w:rsidR="00A261A4">
              <w:rPr>
                <w:noProof/>
                <w:webHidden/>
              </w:rPr>
              <w:fldChar w:fldCharType="begin"/>
            </w:r>
            <w:r w:rsidR="00A261A4">
              <w:rPr>
                <w:noProof/>
                <w:webHidden/>
              </w:rPr>
              <w:instrText xml:space="preserve"> PAGEREF _Toc480797290 \h </w:instrText>
            </w:r>
            <w:r w:rsidR="00A261A4">
              <w:rPr>
                <w:noProof/>
                <w:webHidden/>
              </w:rPr>
            </w:r>
            <w:r w:rsidR="00A261A4">
              <w:rPr>
                <w:noProof/>
                <w:webHidden/>
              </w:rPr>
              <w:fldChar w:fldCharType="separate"/>
            </w:r>
            <w:r w:rsidR="005928E3">
              <w:rPr>
                <w:noProof/>
                <w:webHidden/>
              </w:rPr>
              <w:t>109</w:t>
            </w:r>
            <w:r w:rsidR="00A261A4">
              <w:rPr>
                <w:noProof/>
                <w:webHidden/>
              </w:rPr>
              <w:fldChar w:fldCharType="end"/>
            </w:r>
          </w:hyperlink>
        </w:p>
        <w:p w:rsidR="00A261A4" w:rsidRDefault="00AE5F7A">
          <w:pPr>
            <w:pStyle w:val="TM3"/>
            <w:tabs>
              <w:tab w:val="right" w:leader="dot" w:pos="10790"/>
            </w:tabs>
            <w:rPr>
              <w:rFonts w:asciiTheme="minorHAnsi" w:eastAsiaTheme="minorEastAsia" w:hAnsiTheme="minorHAnsi"/>
              <w:noProof/>
              <w:lang w:eastAsia="fr-CA"/>
            </w:rPr>
          </w:pPr>
          <w:hyperlink w:anchor="_Toc480797291" w:history="1">
            <w:r w:rsidR="00A261A4" w:rsidRPr="005A21AB">
              <w:rPr>
                <w:rStyle w:val="Lienhypertexte"/>
                <w:rFonts w:cs="Times New Roman"/>
                <w:noProof/>
              </w:rPr>
              <w:t>Masse médiastinale</w:t>
            </w:r>
            <w:r w:rsidR="00A261A4">
              <w:rPr>
                <w:noProof/>
                <w:webHidden/>
              </w:rPr>
              <w:tab/>
            </w:r>
            <w:r w:rsidR="00A261A4">
              <w:rPr>
                <w:noProof/>
                <w:webHidden/>
              </w:rPr>
              <w:fldChar w:fldCharType="begin"/>
            </w:r>
            <w:r w:rsidR="00A261A4">
              <w:rPr>
                <w:noProof/>
                <w:webHidden/>
              </w:rPr>
              <w:instrText xml:space="preserve"> PAGEREF _Toc480797291 \h </w:instrText>
            </w:r>
            <w:r w:rsidR="00A261A4">
              <w:rPr>
                <w:noProof/>
                <w:webHidden/>
              </w:rPr>
            </w:r>
            <w:r w:rsidR="00A261A4">
              <w:rPr>
                <w:noProof/>
                <w:webHidden/>
              </w:rPr>
              <w:fldChar w:fldCharType="separate"/>
            </w:r>
            <w:r w:rsidR="005928E3">
              <w:rPr>
                <w:noProof/>
                <w:webHidden/>
              </w:rPr>
              <w:t>114</w:t>
            </w:r>
            <w:r w:rsidR="00A261A4">
              <w:rPr>
                <w:noProof/>
                <w:webHidden/>
              </w:rPr>
              <w:fldChar w:fldCharType="end"/>
            </w:r>
          </w:hyperlink>
        </w:p>
        <w:p w:rsidR="00A261A4" w:rsidRDefault="00AE5F7A">
          <w:pPr>
            <w:pStyle w:val="TM3"/>
            <w:tabs>
              <w:tab w:val="right" w:leader="dot" w:pos="10790"/>
            </w:tabs>
            <w:rPr>
              <w:rFonts w:asciiTheme="minorHAnsi" w:eastAsiaTheme="minorEastAsia" w:hAnsiTheme="minorHAnsi"/>
              <w:noProof/>
              <w:lang w:eastAsia="fr-CA"/>
            </w:rPr>
          </w:pPr>
          <w:hyperlink w:anchor="_Toc480797292" w:history="1">
            <w:r w:rsidR="00A261A4" w:rsidRPr="005A21AB">
              <w:rPr>
                <w:rStyle w:val="Lienhypertexte"/>
                <w:noProof/>
              </w:rPr>
              <w:t>Aménorrhée, oligoménorrhée</w:t>
            </w:r>
            <w:r w:rsidR="00A261A4">
              <w:rPr>
                <w:noProof/>
                <w:webHidden/>
              </w:rPr>
              <w:tab/>
            </w:r>
            <w:r w:rsidR="00A261A4">
              <w:rPr>
                <w:noProof/>
                <w:webHidden/>
              </w:rPr>
              <w:fldChar w:fldCharType="begin"/>
            </w:r>
            <w:r w:rsidR="00A261A4">
              <w:rPr>
                <w:noProof/>
                <w:webHidden/>
              </w:rPr>
              <w:instrText xml:space="preserve"> PAGEREF _Toc480797292 \h </w:instrText>
            </w:r>
            <w:r w:rsidR="00A261A4">
              <w:rPr>
                <w:noProof/>
                <w:webHidden/>
              </w:rPr>
            </w:r>
            <w:r w:rsidR="00A261A4">
              <w:rPr>
                <w:noProof/>
                <w:webHidden/>
              </w:rPr>
              <w:fldChar w:fldCharType="separate"/>
            </w:r>
            <w:r w:rsidR="005928E3">
              <w:rPr>
                <w:noProof/>
                <w:webHidden/>
              </w:rPr>
              <w:t>120</w:t>
            </w:r>
            <w:r w:rsidR="00A261A4">
              <w:rPr>
                <w:noProof/>
                <w:webHidden/>
              </w:rPr>
              <w:fldChar w:fldCharType="end"/>
            </w:r>
          </w:hyperlink>
        </w:p>
        <w:p w:rsidR="00A261A4" w:rsidRDefault="00AE5F7A">
          <w:pPr>
            <w:pStyle w:val="TM3"/>
            <w:tabs>
              <w:tab w:val="right" w:leader="dot" w:pos="10790"/>
            </w:tabs>
            <w:rPr>
              <w:rFonts w:asciiTheme="minorHAnsi" w:eastAsiaTheme="minorEastAsia" w:hAnsiTheme="minorHAnsi"/>
              <w:noProof/>
              <w:lang w:eastAsia="fr-CA"/>
            </w:rPr>
          </w:pPr>
          <w:hyperlink w:anchor="_Toc480797293" w:history="1">
            <w:r w:rsidR="00A261A4" w:rsidRPr="005A21AB">
              <w:rPr>
                <w:rStyle w:val="Lienhypertexte"/>
                <w:rFonts w:cs="Times New Roman"/>
                <w:noProof/>
              </w:rPr>
              <w:t>Dysménorrhée</w:t>
            </w:r>
            <w:r w:rsidR="00A261A4">
              <w:rPr>
                <w:noProof/>
                <w:webHidden/>
              </w:rPr>
              <w:tab/>
            </w:r>
            <w:r w:rsidR="00A261A4">
              <w:rPr>
                <w:noProof/>
                <w:webHidden/>
              </w:rPr>
              <w:fldChar w:fldCharType="begin"/>
            </w:r>
            <w:r w:rsidR="00A261A4">
              <w:rPr>
                <w:noProof/>
                <w:webHidden/>
              </w:rPr>
              <w:instrText xml:space="preserve"> PAGEREF _Toc480797293 \h </w:instrText>
            </w:r>
            <w:r w:rsidR="00A261A4">
              <w:rPr>
                <w:noProof/>
                <w:webHidden/>
              </w:rPr>
            </w:r>
            <w:r w:rsidR="00A261A4">
              <w:rPr>
                <w:noProof/>
                <w:webHidden/>
              </w:rPr>
              <w:fldChar w:fldCharType="separate"/>
            </w:r>
            <w:r w:rsidR="005928E3">
              <w:rPr>
                <w:noProof/>
                <w:webHidden/>
              </w:rPr>
              <w:t>124</w:t>
            </w:r>
            <w:r w:rsidR="00A261A4">
              <w:rPr>
                <w:noProof/>
                <w:webHidden/>
              </w:rPr>
              <w:fldChar w:fldCharType="end"/>
            </w:r>
          </w:hyperlink>
        </w:p>
        <w:p w:rsidR="00A261A4" w:rsidRDefault="00AE5F7A">
          <w:pPr>
            <w:pStyle w:val="TM3"/>
            <w:tabs>
              <w:tab w:val="right" w:leader="dot" w:pos="10790"/>
            </w:tabs>
            <w:rPr>
              <w:rFonts w:asciiTheme="minorHAnsi" w:eastAsiaTheme="minorEastAsia" w:hAnsiTheme="minorHAnsi"/>
              <w:noProof/>
              <w:lang w:eastAsia="fr-CA"/>
            </w:rPr>
          </w:pPr>
          <w:hyperlink w:anchor="_Toc480797294" w:history="1">
            <w:r w:rsidR="00A261A4" w:rsidRPr="005A21AB">
              <w:rPr>
                <w:rStyle w:val="Lienhypertexte"/>
                <w:rFonts w:cs="Times New Roman"/>
                <w:noProof/>
              </w:rPr>
              <w:t>Trouble dysphorique prémenstruel (et SPM)</w:t>
            </w:r>
            <w:r w:rsidR="00A261A4">
              <w:rPr>
                <w:noProof/>
                <w:webHidden/>
              </w:rPr>
              <w:tab/>
            </w:r>
            <w:r w:rsidR="00A261A4">
              <w:rPr>
                <w:noProof/>
                <w:webHidden/>
              </w:rPr>
              <w:fldChar w:fldCharType="begin"/>
            </w:r>
            <w:r w:rsidR="00A261A4">
              <w:rPr>
                <w:noProof/>
                <w:webHidden/>
              </w:rPr>
              <w:instrText xml:space="preserve"> PAGEREF _Toc480797294 \h </w:instrText>
            </w:r>
            <w:r w:rsidR="00A261A4">
              <w:rPr>
                <w:noProof/>
                <w:webHidden/>
              </w:rPr>
            </w:r>
            <w:r w:rsidR="00A261A4">
              <w:rPr>
                <w:noProof/>
                <w:webHidden/>
              </w:rPr>
              <w:fldChar w:fldCharType="separate"/>
            </w:r>
            <w:r w:rsidR="005928E3">
              <w:rPr>
                <w:noProof/>
                <w:webHidden/>
              </w:rPr>
              <w:t>126</w:t>
            </w:r>
            <w:r w:rsidR="00A261A4">
              <w:rPr>
                <w:noProof/>
                <w:webHidden/>
              </w:rPr>
              <w:fldChar w:fldCharType="end"/>
            </w:r>
          </w:hyperlink>
        </w:p>
        <w:p w:rsidR="00A261A4" w:rsidRDefault="00AE5F7A">
          <w:pPr>
            <w:pStyle w:val="TM3"/>
            <w:tabs>
              <w:tab w:val="right" w:leader="dot" w:pos="10790"/>
            </w:tabs>
            <w:rPr>
              <w:rFonts w:asciiTheme="minorHAnsi" w:eastAsiaTheme="minorEastAsia" w:hAnsiTheme="minorHAnsi"/>
              <w:noProof/>
              <w:lang w:eastAsia="fr-CA"/>
            </w:rPr>
          </w:pPr>
          <w:hyperlink w:anchor="_Toc480797295" w:history="1">
            <w:r w:rsidR="00A261A4" w:rsidRPr="005A21AB">
              <w:rPr>
                <w:rStyle w:val="Lienhypertexte"/>
                <w:rFonts w:cs="Times New Roman"/>
                <w:noProof/>
              </w:rPr>
              <w:t>Ménopause</w:t>
            </w:r>
            <w:r w:rsidR="00A261A4">
              <w:rPr>
                <w:noProof/>
                <w:webHidden/>
              </w:rPr>
              <w:tab/>
            </w:r>
            <w:r w:rsidR="00A261A4">
              <w:rPr>
                <w:noProof/>
                <w:webHidden/>
              </w:rPr>
              <w:fldChar w:fldCharType="begin"/>
            </w:r>
            <w:r w:rsidR="00A261A4">
              <w:rPr>
                <w:noProof/>
                <w:webHidden/>
              </w:rPr>
              <w:instrText xml:space="preserve"> PAGEREF _Toc480797295 \h </w:instrText>
            </w:r>
            <w:r w:rsidR="00A261A4">
              <w:rPr>
                <w:noProof/>
                <w:webHidden/>
              </w:rPr>
            </w:r>
            <w:r w:rsidR="00A261A4">
              <w:rPr>
                <w:noProof/>
                <w:webHidden/>
              </w:rPr>
              <w:fldChar w:fldCharType="separate"/>
            </w:r>
            <w:r w:rsidR="005928E3">
              <w:rPr>
                <w:noProof/>
                <w:webHidden/>
              </w:rPr>
              <w:t>128</w:t>
            </w:r>
            <w:r w:rsidR="00A261A4">
              <w:rPr>
                <w:noProof/>
                <w:webHidden/>
              </w:rPr>
              <w:fldChar w:fldCharType="end"/>
            </w:r>
          </w:hyperlink>
        </w:p>
        <w:p w:rsidR="00A261A4" w:rsidRDefault="00AE5F7A">
          <w:pPr>
            <w:pStyle w:val="TM3"/>
            <w:tabs>
              <w:tab w:val="right" w:leader="dot" w:pos="10790"/>
            </w:tabs>
            <w:rPr>
              <w:rFonts w:asciiTheme="minorHAnsi" w:eastAsiaTheme="minorEastAsia" w:hAnsiTheme="minorHAnsi"/>
              <w:noProof/>
              <w:lang w:eastAsia="fr-CA"/>
            </w:rPr>
          </w:pPr>
          <w:hyperlink w:anchor="_Toc480797296" w:history="1">
            <w:r w:rsidR="00A261A4" w:rsidRPr="005A21AB">
              <w:rPr>
                <w:rStyle w:val="Lienhypertexte"/>
                <w:noProof/>
              </w:rPr>
              <w:t>Délirium</w:t>
            </w:r>
            <w:r w:rsidR="00A261A4">
              <w:rPr>
                <w:noProof/>
                <w:webHidden/>
              </w:rPr>
              <w:tab/>
            </w:r>
            <w:r w:rsidR="00A261A4">
              <w:rPr>
                <w:noProof/>
                <w:webHidden/>
              </w:rPr>
              <w:fldChar w:fldCharType="begin"/>
            </w:r>
            <w:r w:rsidR="00A261A4">
              <w:rPr>
                <w:noProof/>
                <w:webHidden/>
              </w:rPr>
              <w:instrText xml:space="preserve"> PAGEREF _Toc480797296 \h </w:instrText>
            </w:r>
            <w:r w:rsidR="00A261A4">
              <w:rPr>
                <w:noProof/>
                <w:webHidden/>
              </w:rPr>
            </w:r>
            <w:r w:rsidR="00A261A4">
              <w:rPr>
                <w:noProof/>
                <w:webHidden/>
              </w:rPr>
              <w:fldChar w:fldCharType="separate"/>
            </w:r>
            <w:r w:rsidR="005928E3">
              <w:rPr>
                <w:noProof/>
                <w:webHidden/>
              </w:rPr>
              <w:t>131</w:t>
            </w:r>
            <w:r w:rsidR="00A261A4">
              <w:rPr>
                <w:noProof/>
                <w:webHidden/>
              </w:rPr>
              <w:fldChar w:fldCharType="end"/>
            </w:r>
          </w:hyperlink>
        </w:p>
        <w:p w:rsidR="00A261A4" w:rsidRDefault="00AE5F7A">
          <w:pPr>
            <w:pStyle w:val="TM3"/>
            <w:tabs>
              <w:tab w:val="right" w:leader="dot" w:pos="10790"/>
            </w:tabs>
            <w:rPr>
              <w:rFonts w:asciiTheme="minorHAnsi" w:eastAsiaTheme="minorEastAsia" w:hAnsiTheme="minorHAnsi"/>
              <w:noProof/>
              <w:lang w:eastAsia="fr-CA"/>
            </w:rPr>
          </w:pPr>
          <w:hyperlink w:anchor="_Toc480797297" w:history="1">
            <w:r w:rsidR="00A261A4" w:rsidRPr="005A21AB">
              <w:rPr>
                <w:rStyle w:val="Lienhypertexte"/>
                <w:noProof/>
              </w:rPr>
              <w:t>Troubles neurocognitifs (démences)</w:t>
            </w:r>
            <w:r w:rsidR="00A261A4">
              <w:rPr>
                <w:noProof/>
                <w:webHidden/>
              </w:rPr>
              <w:tab/>
            </w:r>
            <w:r w:rsidR="00A261A4">
              <w:rPr>
                <w:noProof/>
                <w:webHidden/>
              </w:rPr>
              <w:fldChar w:fldCharType="begin"/>
            </w:r>
            <w:r w:rsidR="00A261A4">
              <w:rPr>
                <w:noProof/>
                <w:webHidden/>
              </w:rPr>
              <w:instrText xml:space="preserve"> PAGEREF _Toc480797297 \h </w:instrText>
            </w:r>
            <w:r w:rsidR="00A261A4">
              <w:rPr>
                <w:noProof/>
                <w:webHidden/>
              </w:rPr>
            </w:r>
            <w:r w:rsidR="00A261A4">
              <w:rPr>
                <w:noProof/>
                <w:webHidden/>
              </w:rPr>
              <w:fldChar w:fldCharType="separate"/>
            </w:r>
            <w:r w:rsidR="005928E3">
              <w:rPr>
                <w:noProof/>
                <w:webHidden/>
              </w:rPr>
              <w:t>134</w:t>
            </w:r>
            <w:r w:rsidR="00A261A4">
              <w:rPr>
                <w:noProof/>
                <w:webHidden/>
              </w:rPr>
              <w:fldChar w:fldCharType="end"/>
            </w:r>
          </w:hyperlink>
        </w:p>
        <w:p w:rsidR="00A261A4" w:rsidRDefault="00AE5F7A">
          <w:pPr>
            <w:pStyle w:val="TM3"/>
            <w:tabs>
              <w:tab w:val="right" w:leader="dot" w:pos="10790"/>
            </w:tabs>
            <w:rPr>
              <w:rFonts w:asciiTheme="minorHAnsi" w:eastAsiaTheme="minorEastAsia" w:hAnsiTheme="minorHAnsi"/>
              <w:noProof/>
              <w:lang w:eastAsia="fr-CA"/>
            </w:rPr>
          </w:pPr>
          <w:hyperlink w:anchor="_Toc480797298" w:history="1">
            <w:r w:rsidR="00A261A4" w:rsidRPr="005A21AB">
              <w:rPr>
                <w:rStyle w:val="Lienhypertexte"/>
                <w:noProof/>
              </w:rPr>
              <w:t>Humeur dépressive</w:t>
            </w:r>
            <w:r w:rsidR="00A261A4">
              <w:rPr>
                <w:noProof/>
                <w:webHidden/>
              </w:rPr>
              <w:tab/>
            </w:r>
            <w:r w:rsidR="00A261A4">
              <w:rPr>
                <w:noProof/>
                <w:webHidden/>
              </w:rPr>
              <w:fldChar w:fldCharType="begin"/>
            </w:r>
            <w:r w:rsidR="00A261A4">
              <w:rPr>
                <w:noProof/>
                <w:webHidden/>
              </w:rPr>
              <w:instrText xml:space="preserve"> PAGEREF _Toc480797298 \h </w:instrText>
            </w:r>
            <w:r w:rsidR="00A261A4">
              <w:rPr>
                <w:noProof/>
                <w:webHidden/>
              </w:rPr>
            </w:r>
            <w:r w:rsidR="00A261A4">
              <w:rPr>
                <w:noProof/>
                <w:webHidden/>
              </w:rPr>
              <w:fldChar w:fldCharType="separate"/>
            </w:r>
            <w:r w:rsidR="005928E3">
              <w:rPr>
                <w:noProof/>
                <w:webHidden/>
              </w:rPr>
              <w:t>139</w:t>
            </w:r>
            <w:r w:rsidR="00A261A4">
              <w:rPr>
                <w:noProof/>
                <w:webHidden/>
              </w:rPr>
              <w:fldChar w:fldCharType="end"/>
            </w:r>
          </w:hyperlink>
        </w:p>
        <w:p w:rsidR="00A261A4" w:rsidRDefault="00AE5F7A">
          <w:pPr>
            <w:pStyle w:val="TM3"/>
            <w:tabs>
              <w:tab w:val="right" w:leader="dot" w:pos="10790"/>
            </w:tabs>
            <w:rPr>
              <w:rFonts w:asciiTheme="minorHAnsi" w:eastAsiaTheme="minorEastAsia" w:hAnsiTheme="minorHAnsi"/>
              <w:noProof/>
              <w:lang w:eastAsia="fr-CA"/>
            </w:rPr>
          </w:pPr>
          <w:hyperlink w:anchor="_Toc480797299" w:history="1">
            <w:r w:rsidR="00A261A4" w:rsidRPr="005A21AB">
              <w:rPr>
                <w:rStyle w:val="Lienhypertexte"/>
                <w:noProof/>
              </w:rPr>
              <w:t>Manie / Hypomanie</w:t>
            </w:r>
            <w:r w:rsidR="00A261A4">
              <w:rPr>
                <w:noProof/>
                <w:webHidden/>
              </w:rPr>
              <w:tab/>
            </w:r>
            <w:r w:rsidR="00A261A4">
              <w:rPr>
                <w:noProof/>
                <w:webHidden/>
              </w:rPr>
              <w:fldChar w:fldCharType="begin"/>
            </w:r>
            <w:r w:rsidR="00A261A4">
              <w:rPr>
                <w:noProof/>
                <w:webHidden/>
              </w:rPr>
              <w:instrText xml:space="preserve"> PAGEREF _Toc480797299 \h </w:instrText>
            </w:r>
            <w:r w:rsidR="00A261A4">
              <w:rPr>
                <w:noProof/>
                <w:webHidden/>
              </w:rPr>
            </w:r>
            <w:r w:rsidR="00A261A4">
              <w:rPr>
                <w:noProof/>
                <w:webHidden/>
              </w:rPr>
              <w:fldChar w:fldCharType="separate"/>
            </w:r>
            <w:r w:rsidR="005928E3">
              <w:rPr>
                <w:noProof/>
                <w:webHidden/>
              </w:rPr>
              <w:t>143</w:t>
            </w:r>
            <w:r w:rsidR="00A261A4">
              <w:rPr>
                <w:noProof/>
                <w:webHidden/>
              </w:rPr>
              <w:fldChar w:fldCharType="end"/>
            </w:r>
          </w:hyperlink>
        </w:p>
        <w:p w:rsidR="00A261A4" w:rsidRDefault="00AE5F7A">
          <w:pPr>
            <w:pStyle w:val="TM3"/>
            <w:tabs>
              <w:tab w:val="right" w:leader="dot" w:pos="10790"/>
            </w:tabs>
            <w:rPr>
              <w:rFonts w:asciiTheme="minorHAnsi" w:eastAsiaTheme="minorEastAsia" w:hAnsiTheme="minorHAnsi"/>
              <w:noProof/>
              <w:lang w:eastAsia="fr-CA"/>
            </w:rPr>
          </w:pPr>
          <w:hyperlink w:anchor="_Toc480797300" w:history="1">
            <w:r w:rsidR="00A261A4" w:rsidRPr="005A21AB">
              <w:rPr>
                <w:rStyle w:val="Lienhypertexte"/>
                <w:rFonts w:cs="Times New Roman"/>
                <w:noProof/>
              </w:rPr>
              <w:t>Détresse néonatale</w:t>
            </w:r>
            <w:r w:rsidR="00A261A4">
              <w:rPr>
                <w:noProof/>
                <w:webHidden/>
              </w:rPr>
              <w:tab/>
            </w:r>
            <w:r w:rsidR="00A261A4">
              <w:rPr>
                <w:noProof/>
                <w:webHidden/>
              </w:rPr>
              <w:fldChar w:fldCharType="begin"/>
            </w:r>
            <w:r w:rsidR="00A261A4">
              <w:rPr>
                <w:noProof/>
                <w:webHidden/>
              </w:rPr>
              <w:instrText xml:space="preserve"> PAGEREF _Toc480797300 \h </w:instrText>
            </w:r>
            <w:r w:rsidR="00A261A4">
              <w:rPr>
                <w:noProof/>
                <w:webHidden/>
              </w:rPr>
            </w:r>
            <w:r w:rsidR="00A261A4">
              <w:rPr>
                <w:noProof/>
                <w:webHidden/>
              </w:rPr>
              <w:fldChar w:fldCharType="separate"/>
            </w:r>
            <w:r w:rsidR="005928E3">
              <w:rPr>
                <w:noProof/>
                <w:webHidden/>
              </w:rPr>
              <w:t>147</w:t>
            </w:r>
            <w:r w:rsidR="00A261A4">
              <w:rPr>
                <w:noProof/>
                <w:webHidden/>
              </w:rPr>
              <w:fldChar w:fldCharType="end"/>
            </w:r>
          </w:hyperlink>
        </w:p>
        <w:p w:rsidR="00A261A4" w:rsidRDefault="00AE5F7A">
          <w:pPr>
            <w:pStyle w:val="TM3"/>
            <w:tabs>
              <w:tab w:val="right" w:leader="dot" w:pos="10790"/>
            </w:tabs>
            <w:rPr>
              <w:rFonts w:asciiTheme="minorHAnsi" w:eastAsiaTheme="minorEastAsia" w:hAnsiTheme="minorHAnsi"/>
              <w:noProof/>
              <w:lang w:eastAsia="fr-CA"/>
            </w:rPr>
          </w:pPr>
          <w:hyperlink w:anchor="_Toc480797301" w:history="1">
            <w:r w:rsidR="00A261A4" w:rsidRPr="005A21AB">
              <w:rPr>
                <w:rStyle w:val="Lienhypertexte"/>
                <w:noProof/>
              </w:rPr>
              <w:t>Anxiété</w:t>
            </w:r>
            <w:r w:rsidR="00A261A4">
              <w:rPr>
                <w:noProof/>
                <w:webHidden/>
              </w:rPr>
              <w:tab/>
            </w:r>
            <w:r w:rsidR="00A261A4">
              <w:rPr>
                <w:noProof/>
                <w:webHidden/>
              </w:rPr>
              <w:fldChar w:fldCharType="begin"/>
            </w:r>
            <w:r w:rsidR="00A261A4">
              <w:rPr>
                <w:noProof/>
                <w:webHidden/>
              </w:rPr>
              <w:instrText xml:space="preserve"> PAGEREF _Toc480797301 \h </w:instrText>
            </w:r>
            <w:r w:rsidR="00A261A4">
              <w:rPr>
                <w:noProof/>
                <w:webHidden/>
              </w:rPr>
            </w:r>
            <w:r w:rsidR="00A261A4">
              <w:rPr>
                <w:noProof/>
                <w:webHidden/>
              </w:rPr>
              <w:fldChar w:fldCharType="separate"/>
            </w:r>
            <w:r w:rsidR="005928E3">
              <w:rPr>
                <w:noProof/>
                <w:webHidden/>
              </w:rPr>
              <w:t>150</w:t>
            </w:r>
            <w:r w:rsidR="00A261A4">
              <w:rPr>
                <w:noProof/>
                <w:webHidden/>
              </w:rPr>
              <w:fldChar w:fldCharType="end"/>
            </w:r>
          </w:hyperlink>
        </w:p>
        <w:p w:rsidR="00A261A4" w:rsidRDefault="00AE5F7A">
          <w:pPr>
            <w:pStyle w:val="TM3"/>
            <w:tabs>
              <w:tab w:val="right" w:leader="dot" w:pos="10790"/>
            </w:tabs>
            <w:rPr>
              <w:rFonts w:asciiTheme="minorHAnsi" w:eastAsiaTheme="minorEastAsia" w:hAnsiTheme="minorHAnsi"/>
              <w:noProof/>
              <w:lang w:eastAsia="fr-CA"/>
            </w:rPr>
          </w:pPr>
          <w:hyperlink w:anchor="_Toc480797302" w:history="1">
            <w:r w:rsidR="00A261A4" w:rsidRPr="005A21AB">
              <w:rPr>
                <w:rStyle w:val="Lienhypertexte"/>
                <w:rFonts w:cs="Times New Roman"/>
                <w:noProof/>
              </w:rPr>
              <w:t>Enfant qui pleure ou qui geint</w:t>
            </w:r>
            <w:r w:rsidR="00A261A4">
              <w:rPr>
                <w:noProof/>
                <w:webHidden/>
              </w:rPr>
              <w:tab/>
            </w:r>
            <w:r w:rsidR="00A261A4">
              <w:rPr>
                <w:noProof/>
                <w:webHidden/>
              </w:rPr>
              <w:fldChar w:fldCharType="begin"/>
            </w:r>
            <w:r w:rsidR="00A261A4">
              <w:rPr>
                <w:noProof/>
                <w:webHidden/>
              </w:rPr>
              <w:instrText xml:space="preserve"> PAGEREF _Toc480797302 \h </w:instrText>
            </w:r>
            <w:r w:rsidR="00A261A4">
              <w:rPr>
                <w:noProof/>
                <w:webHidden/>
              </w:rPr>
            </w:r>
            <w:r w:rsidR="00A261A4">
              <w:rPr>
                <w:noProof/>
                <w:webHidden/>
              </w:rPr>
              <w:fldChar w:fldCharType="separate"/>
            </w:r>
            <w:r w:rsidR="005928E3">
              <w:rPr>
                <w:noProof/>
                <w:webHidden/>
              </w:rPr>
              <w:t>155</w:t>
            </w:r>
            <w:r w:rsidR="00A261A4">
              <w:rPr>
                <w:noProof/>
                <w:webHidden/>
              </w:rPr>
              <w:fldChar w:fldCharType="end"/>
            </w:r>
          </w:hyperlink>
        </w:p>
        <w:p w:rsidR="00A261A4" w:rsidRDefault="00AE5F7A">
          <w:pPr>
            <w:pStyle w:val="TM3"/>
            <w:tabs>
              <w:tab w:val="right" w:leader="dot" w:pos="10790"/>
            </w:tabs>
            <w:rPr>
              <w:rFonts w:asciiTheme="minorHAnsi" w:eastAsiaTheme="minorEastAsia" w:hAnsiTheme="minorHAnsi"/>
              <w:noProof/>
              <w:lang w:eastAsia="fr-CA"/>
            </w:rPr>
          </w:pPr>
          <w:hyperlink w:anchor="_Toc480797303" w:history="1">
            <w:r w:rsidR="00A261A4" w:rsidRPr="005A21AB">
              <w:rPr>
                <w:rStyle w:val="Lienhypertexte"/>
                <w:rFonts w:cs="Times New Roman"/>
                <w:noProof/>
              </w:rPr>
              <w:t>Hypotonie du nourrisson</w:t>
            </w:r>
            <w:r w:rsidR="00A261A4">
              <w:rPr>
                <w:noProof/>
                <w:webHidden/>
              </w:rPr>
              <w:tab/>
            </w:r>
            <w:r w:rsidR="00A261A4">
              <w:rPr>
                <w:noProof/>
                <w:webHidden/>
              </w:rPr>
              <w:fldChar w:fldCharType="begin"/>
            </w:r>
            <w:r w:rsidR="00A261A4">
              <w:rPr>
                <w:noProof/>
                <w:webHidden/>
              </w:rPr>
              <w:instrText xml:space="preserve"> PAGEREF _Toc480797303 \h </w:instrText>
            </w:r>
            <w:r w:rsidR="00A261A4">
              <w:rPr>
                <w:noProof/>
                <w:webHidden/>
              </w:rPr>
            </w:r>
            <w:r w:rsidR="00A261A4">
              <w:rPr>
                <w:noProof/>
                <w:webHidden/>
              </w:rPr>
              <w:fldChar w:fldCharType="separate"/>
            </w:r>
            <w:r w:rsidR="005928E3">
              <w:rPr>
                <w:noProof/>
                <w:webHidden/>
              </w:rPr>
              <w:t>157</w:t>
            </w:r>
            <w:r w:rsidR="00A261A4">
              <w:rPr>
                <w:noProof/>
                <w:webHidden/>
              </w:rPr>
              <w:fldChar w:fldCharType="end"/>
            </w:r>
          </w:hyperlink>
        </w:p>
        <w:p w:rsidR="00A261A4" w:rsidRDefault="00AE5F7A">
          <w:pPr>
            <w:pStyle w:val="TM3"/>
            <w:tabs>
              <w:tab w:val="right" w:leader="dot" w:pos="10790"/>
            </w:tabs>
            <w:rPr>
              <w:rFonts w:asciiTheme="minorHAnsi" w:eastAsiaTheme="minorEastAsia" w:hAnsiTheme="minorHAnsi"/>
              <w:noProof/>
              <w:lang w:eastAsia="fr-CA"/>
            </w:rPr>
          </w:pPr>
          <w:hyperlink w:anchor="_Toc480797304" w:history="1">
            <w:r w:rsidR="00A261A4" w:rsidRPr="005A21AB">
              <w:rPr>
                <w:rStyle w:val="Lienhypertexte"/>
                <w:noProof/>
              </w:rPr>
              <w:t>Douleur pelvienne</w:t>
            </w:r>
            <w:r w:rsidR="00A261A4">
              <w:rPr>
                <w:noProof/>
                <w:webHidden/>
              </w:rPr>
              <w:tab/>
            </w:r>
            <w:r w:rsidR="00A261A4">
              <w:rPr>
                <w:noProof/>
                <w:webHidden/>
              </w:rPr>
              <w:fldChar w:fldCharType="begin"/>
            </w:r>
            <w:r w:rsidR="00A261A4">
              <w:rPr>
                <w:noProof/>
                <w:webHidden/>
              </w:rPr>
              <w:instrText xml:space="preserve"> PAGEREF _Toc480797304 \h </w:instrText>
            </w:r>
            <w:r w:rsidR="00A261A4">
              <w:rPr>
                <w:noProof/>
                <w:webHidden/>
              </w:rPr>
            </w:r>
            <w:r w:rsidR="00A261A4">
              <w:rPr>
                <w:noProof/>
                <w:webHidden/>
              </w:rPr>
              <w:fldChar w:fldCharType="separate"/>
            </w:r>
            <w:r w:rsidR="005928E3">
              <w:rPr>
                <w:noProof/>
                <w:webHidden/>
              </w:rPr>
              <w:t>160</w:t>
            </w:r>
            <w:r w:rsidR="00A261A4">
              <w:rPr>
                <w:noProof/>
                <w:webHidden/>
              </w:rPr>
              <w:fldChar w:fldCharType="end"/>
            </w:r>
          </w:hyperlink>
        </w:p>
        <w:p w:rsidR="00A261A4" w:rsidRDefault="00AE5F7A">
          <w:pPr>
            <w:pStyle w:val="TM3"/>
            <w:tabs>
              <w:tab w:val="right" w:leader="dot" w:pos="10790"/>
            </w:tabs>
            <w:rPr>
              <w:rFonts w:asciiTheme="minorHAnsi" w:eastAsiaTheme="minorEastAsia" w:hAnsiTheme="minorHAnsi"/>
              <w:noProof/>
              <w:lang w:eastAsia="fr-CA"/>
            </w:rPr>
          </w:pPr>
          <w:hyperlink w:anchor="_Toc480797305" w:history="1">
            <w:r w:rsidR="00A261A4" w:rsidRPr="005A21AB">
              <w:rPr>
                <w:rStyle w:val="Lienhypertexte"/>
                <w:rFonts w:cs="Times New Roman"/>
                <w:noProof/>
              </w:rPr>
              <w:t>Examen médical périodique</w:t>
            </w:r>
            <w:r w:rsidR="00A261A4">
              <w:rPr>
                <w:noProof/>
                <w:webHidden/>
              </w:rPr>
              <w:tab/>
            </w:r>
            <w:r w:rsidR="00A261A4">
              <w:rPr>
                <w:noProof/>
                <w:webHidden/>
              </w:rPr>
              <w:fldChar w:fldCharType="begin"/>
            </w:r>
            <w:r w:rsidR="00A261A4">
              <w:rPr>
                <w:noProof/>
                <w:webHidden/>
              </w:rPr>
              <w:instrText xml:space="preserve"> PAGEREF _Toc480797305 \h </w:instrText>
            </w:r>
            <w:r w:rsidR="00A261A4">
              <w:rPr>
                <w:noProof/>
                <w:webHidden/>
              </w:rPr>
            </w:r>
            <w:r w:rsidR="00A261A4">
              <w:rPr>
                <w:noProof/>
                <w:webHidden/>
              </w:rPr>
              <w:fldChar w:fldCharType="separate"/>
            </w:r>
            <w:r w:rsidR="005928E3">
              <w:rPr>
                <w:noProof/>
                <w:webHidden/>
              </w:rPr>
              <w:t>165</w:t>
            </w:r>
            <w:r w:rsidR="00A261A4">
              <w:rPr>
                <w:noProof/>
                <w:webHidden/>
              </w:rPr>
              <w:fldChar w:fldCharType="end"/>
            </w:r>
          </w:hyperlink>
        </w:p>
        <w:p w:rsidR="00A261A4" w:rsidRDefault="00AE5F7A">
          <w:pPr>
            <w:pStyle w:val="TM3"/>
            <w:tabs>
              <w:tab w:val="right" w:leader="dot" w:pos="10790"/>
            </w:tabs>
            <w:rPr>
              <w:rFonts w:asciiTheme="minorHAnsi" w:eastAsiaTheme="minorEastAsia" w:hAnsiTheme="minorHAnsi"/>
              <w:noProof/>
              <w:lang w:eastAsia="fr-CA"/>
            </w:rPr>
          </w:pPr>
          <w:hyperlink w:anchor="_Toc480797306" w:history="1">
            <w:r w:rsidR="00A261A4" w:rsidRPr="005A21AB">
              <w:rPr>
                <w:rStyle w:val="Lienhypertexte"/>
                <w:rFonts w:cs="Times New Roman"/>
                <w:noProof/>
              </w:rPr>
              <w:t>Examen du nouveau-né</w:t>
            </w:r>
            <w:r w:rsidR="00A261A4">
              <w:rPr>
                <w:noProof/>
                <w:webHidden/>
              </w:rPr>
              <w:tab/>
            </w:r>
            <w:r w:rsidR="00A261A4">
              <w:rPr>
                <w:noProof/>
                <w:webHidden/>
              </w:rPr>
              <w:fldChar w:fldCharType="begin"/>
            </w:r>
            <w:r w:rsidR="00A261A4">
              <w:rPr>
                <w:noProof/>
                <w:webHidden/>
              </w:rPr>
              <w:instrText xml:space="preserve"> PAGEREF _Toc480797306 \h </w:instrText>
            </w:r>
            <w:r w:rsidR="00A261A4">
              <w:rPr>
                <w:noProof/>
                <w:webHidden/>
              </w:rPr>
            </w:r>
            <w:r w:rsidR="00A261A4">
              <w:rPr>
                <w:noProof/>
                <w:webHidden/>
              </w:rPr>
              <w:fldChar w:fldCharType="separate"/>
            </w:r>
            <w:r w:rsidR="005928E3">
              <w:rPr>
                <w:noProof/>
                <w:webHidden/>
              </w:rPr>
              <w:t>168</w:t>
            </w:r>
            <w:r w:rsidR="00A261A4">
              <w:rPr>
                <w:noProof/>
                <w:webHidden/>
              </w:rPr>
              <w:fldChar w:fldCharType="end"/>
            </w:r>
          </w:hyperlink>
        </w:p>
        <w:p w:rsidR="00A261A4" w:rsidRDefault="00AE5F7A">
          <w:pPr>
            <w:pStyle w:val="TM3"/>
            <w:tabs>
              <w:tab w:val="right" w:leader="dot" w:pos="10790"/>
            </w:tabs>
            <w:rPr>
              <w:rFonts w:asciiTheme="minorHAnsi" w:eastAsiaTheme="minorEastAsia" w:hAnsiTheme="minorHAnsi"/>
              <w:noProof/>
              <w:lang w:eastAsia="fr-CA"/>
            </w:rPr>
          </w:pPr>
          <w:hyperlink w:anchor="_Toc480797307" w:history="1">
            <w:r w:rsidR="00A261A4" w:rsidRPr="005A21AB">
              <w:rPr>
                <w:rStyle w:val="Lienhypertexte"/>
                <w:rFonts w:cs="Times New Roman"/>
                <w:noProof/>
              </w:rPr>
              <w:t>Vaccination du nourrisson/de l’enfant</w:t>
            </w:r>
            <w:r w:rsidR="00A261A4">
              <w:rPr>
                <w:noProof/>
                <w:webHidden/>
              </w:rPr>
              <w:tab/>
            </w:r>
            <w:r w:rsidR="00A261A4">
              <w:rPr>
                <w:noProof/>
                <w:webHidden/>
              </w:rPr>
              <w:fldChar w:fldCharType="begin"/>
            </w:r>
            <w:r w:rsidR="00A261A4">
              <w:rPr>
                <w:noProof/>
                <w:webHidden/>
              </w:rPr>
              <w:instrText xml:space="preserve"> PAGEREF _Toc480797307 \h </w:instrText>
            </w:r>
            <w:r w:rsidR="00A261A4">
              <w:rPr>
                <w:noProof/>
                <w:webHidden/>
              </w:rPr>
            </w:r>
            <w:r w:rsidR="00A261A4">
              <w:rPr>
                <w:noProof/>
                <w:webHidden/>
              </w:rPr>
              <w:fldChar w:fldCharType="separate"/>
            </w:r>
            <w:r w:rsidR="005928E3">
              <w:rPr>
                <w:noProof/>
                <w:webHidden/>
              </w:rPr>
              <w:t>172</w:t>
            </w:r>
            <w:r w:rsidR="00A261A4">
              <w:rPr>
                <w:noProof/>
                <w:webHidden/>
              </w:rPr>
              <w:fldChar w:fldCharType="end"/>
            </w:r>
          </w:hyperlink>
        </w:p>
        <w:p w:rsidR="00A261A4" w:rsidRDefault="00AE5F7A">
          <w:pPr>
            <w:pStyle w:val="TM3"/>
            <w:tabs>
              <w:tab w:val="right" w:leader="dot" w:pos="10790"/>
            </w:tabs>
            <w:rPr>
              <w:rFonts w:asciiTheme="minorHAnsi" w:eastAsiaTheme="minorEastAsia" w:hAnsiTheme="minorHAnsi"/>
              <w:noProof/>
              <w:lang w:eastAsia="fr-CA"/>
            </w:rPr>
          </w:pPr>
          <w:hyperlink w:anchor="_Toc480797308" w:history="1">
            <w:r w:rsidR="00A261A4" w:rsidRPr="005A21AB">
              <w:rPr>
                <w:rStyle w:val="Lienhypertexte"/>
                <w:rFonts w:cs="Times New Roman"/>
                <w:noProof/>
              </w:rPr>
              <w:t>Troubles de la personnalité</w:t>
            </w:r>
            <w:r w:rsidR="00A261A4">
              <w:rPr>
                <w:noProof/>
                <w:webHidden/>
              </w:rPr>
              <w:tab/>
            </w:r>
            <w:r w:rsidR="00A261A4">
              <w:rPr>
                <w:noProof/>
                <w:webHidden/>
              </w:rPr>
              <w:fldChar w:fldCharType="begin"/>
            </w:r>
            <w:r w:rsidR="00A261A4">
              <w:rPr>
                <w:noProof/>
                <w:webHidden/>
              </w:rPr>
              <w:instrText xml:space="preserve"> PAGEREF _Toc480797308 \h </w:instrText>
            </w:r>
            <w:r w:rsidR="00A261A4">
              <w:rPr>
                <w:noProof/>
                <w:webHidden/>
              </w:rPr>
            </w:r>
            <w:r w:rsidR="00A261A4">
              <w:rPr>
                <w:noProof/>
                <w:webHidden/>
              </w:rPr>
              <w:fldChar w:fldCharType="separate"/>
            </w:r>
            <w:r w:rsidR="005928E3">
              <w:rPr>
                <w:noProof/>
                <w:webHidden/>
              </w:rPr>
              <w:t>175</w:t>
            </w:r>
            <w:r w:rsidR="00A261A4">
              <w:rPr>
                <w:noProof/>
                <w:webHidden/>
              </w:rPr>
              <w:fldChar w:fldCharType="end"/>
            </w:r>
          </w:hyperlink>
        </w:p>
        <w:p w:rsidR="00A261A4" w:rsidRDefault="00AE5F7A">
          <w:pPr>
            <w:pStyle w:val="TM3"/>
            <w:tabs>
              <w:tab w:val="right" w:leader="dot" w:pos="10790"/>
            </w:tabs>
            <w:rPr>
              <w:rFonts w:asciiTheme="minorHAnsi" w:eastAsiaTheme="minorEastAsia" w:hAnsiTheme="minorHAnsi"/>
              <w:noProof/>
              <w:lang w:eastAsia="fr-CA"/>
            </w:rPr>
          </w:pPr>
          <w:hyperlink w:anchor="_Toc480797309" w:history="1">
            <w:r w:rsidR="00A261A4" w:rsidRPr="005A21AB">
              <w:rPr>
                <w:rStyle w:val="Lienhypertexte"/>
                <w:rFonts w:cs="Times New Roman"/>
                <w:noProof/>
              </w:rPr>
              <w:t>Intoxication</w:t>
            </w:r>
            <w:r w:rsidR="00A261A4">
              <w:rPr>
                <w:noProof/>
                <w:webHidden/>
              </w:rPr>
              <w:tab/>
            </w:r>
            <w:r w:rsidR="00A261A4">
              <w:rPr>
                <w:noProof/>
                <w:webHidden/>
              </w:rPr>
              <w:fldChar w:fldCharType="begin"/>
            </w:r>
            <w:r w:rsidR="00A261A4">
              <w:rPr>
                <w:noProof/>
                <w:webHidden/>
              </w:rPr>
              <w:instrText xml:space="preserve"> PAGEREF _Toc480797309 \h </w:instrText>
            </w:r>
            <w:r w:rsidR="00A261A4">
              <w:rPr>
                <w:noProof/>
                <w:webHidden/>
              </w:rPr>
            </w:r>
            <w:r w:rsidR="00A261A4">
              <w:rPr>
                <w:noProof/>
                <w:webHidden/>
              </w:rPr>
              <w:fldChar w:fldCharType="separate"/>
            </w:r>
            <w:r w:rsidR="005928E3">
              <w:rPr>
                <w:noProof/>
                <w:webHidden/>
              </w:rPr>
              <w:t>178</w:t>
            </w:r>
            <w:r w:rsidR="00A261A4">
              <w:rPr>
                <w:noProof/>
                <w:webHidden/>
              </w:rPr>
              <w:fldChar w:fldCharType="end"/>
            </w:r>
          </w:hyperlink>
        </w:p>
        <w:p w:rsidR="00A261A4" w:rsidRDefault="00AE5F7A">
          <w:pPr>
            <w:pStyle w:val="TM3"/>
            <w:tabs>
              <w:tab w:val="right" w:leader="dot" w:pos="10790"/>
            </w:tabs>
            <w:rPr>
              <w:rFonts w:asciiTheme="minorHAnsi" w:eastAsiaTheme="minorEastAsia" w:hAnsiTheme="minorHAnsi"/>
              <w:noProof/>
              <w:lang w:eastAsia="fr-CA"/>
            </w:rPr>
          </w:pPr>
          <w:hyperlink w:anchor="_Toc480797310" w:history="1">
            <w:r w:rsidR="00A261A4" w:rsidRPr="005A21AB">
              <w:rPr>
                <w:rStyle w:val="Lienhypertexte"/>
                <w:rFonts w:cs="Times New Roman"/>
                <w:noProof/>
              </w:rPr>
              <w:t>Concepts de la santé et ses facteurs déterminants</w:t>
            </w:r>
            <w:r w:rsidR="00A261A4">
              <w:rPr>
                <w:noProof/>
                <w:webHidden/>
              </w:rPr>
              <w:tab/>
            </w:r>
            <w:r w:rsidR="00A261A4">
              <w:rPr>
                <w:noProof/>
                <w:webHidden/>
              </w:rPr>
              <w:fldChar w:fldCharType="begin"/>
            </w:r>
            <w:r w:rsidR="00A261A4">
              <w:rPr>
                <w:noProof/>
                <w:webHidden/>
              </w:rPr>
              <w:instrText xml:space="preserve"> PAGEREF _Toc480797310 \h </w:instrText>
            </w:r>
            <w:r w:rsidR="00A261A4">
              <w:rPr>
                <w:noProof/>
                <w:webHidden/>
              </w:rPr>
            </w:r>
            <w:r w:rsidR="00A261A4">
              <w:rPr>
                <w:noProof/>
                <w:webHidden/>
              </w:rPr>
              <w:fldChar w:fldCharType="separate"/>
            </w:r>
            <w:r w:rsidR="005928E3">
              <w:rPr>
                <w:noProof/>
                <w:webHidden/>
              </w:rPr>
              <w:t>181</w:t>
            </w:r>
            <w:r w:rsidR="00A261A4">
              <w:rPr>
                <w:noProof/>
                <w:webHidden/>
              </w:rPr>
              <w:fldChar w:fldCharType="end"/>
            </w:r>
          </w:hyperlink>
        </w:p>
        <w:p w:rsidR="00A261A4" w:rsidRDefault="00AE5F7A">
          <w:pPr>
            <w:pStyle w:val="TM3"/>
            <w:tabs>
              <w:tab w:val="right" w:leader="dot" w:pos="10790"/>
            </w:tabs>
            <w:rPr>
              <w:rFonts w:asciiTheme="minorHAnsi" w:eastAsiaTheme="minorEastAsia" w:hAnsiTheme="minorHAnsi"/>
              <w:noProof/>
              <w:lang w:eastAsia="fr-CA"/>
            </w:rPr>
          </w:pPr>
          <w:hyperlink w:anchor="_Toc480797311" w:history="1">
            <w:r w:rsidR="00A261A4" w:rsidRPr="005A21AB">
              <w:rPr>
                <w:rStyle w:val="Lienhypertexte"/>
                <w:rFonts w:cs="Times New Roman"/>
                <w:noProof/>
              </w:rPr>
              <w:t>Évaluation et mesure de l’état de santé à l’échelle d’une population</w:t>
            </w:r>
            <w:r w:rsidR="00A261A4">
              <w:rPr>
                <w:noProof/>
                <w:webHidden/>
              </w:rPr>
              <w:tab/>
            </w:r>
            <w:r w:rsidR="00A261A4">
              <w:rPr>
                <w:noProof/>
                <w:webHidden/>
              </w:rPr>
              <w:fldChar w:fldCharType="begin"/>
            </w:r>
            <w:r w:rsidR="00A261A4">
              <w:rPr>
                <w:noProof/>
                <w:webHidden/>
              </w:rPr>
              <w:instrText xml:space="preserve"> PAGEREF _Toc480797311 \h </w:instrText>
            </w:r>
            <w:r w:rsidR="00A261A4">
              <w:rPr>
                <w:noProof/>
                <w:webHidden/>
              </w:rPr>
            </w:r>
            <w:r w:rsidR="00A261A4">
              <w:rPr>
                <w:noProof/>
                <w:webHidden/>
              </w:rPr>
              <w:fldChar w:fldCharType="separate"/>
            </w:r>
            <w:r w:rsidR="005928E3">
              <w:rPr>
                <w:noProof/>
                <w:webHidden/>
              </w:rPr>
              <w:t>184</w:t>
            </w:r>
            <w:r w:rsidR="00A261A4">
              <w:rPr>
                <w:noProof/>
                <w:webHidden/>
              </w:rPr>
              <w:fldChar w:fldCharType="end"/>
            </w:r>
          </w:hyperlink>
        </w:p>
        <w:p w:rsidR="00A261A4" w:rsidRDefault="00AE5F7A">
          <w:pPr>
            <w:pStyle w:val="TM3"/>
            <w:tabs>
              <w:tab w:val="right" w:leader="dot" w:pos="10790"/>
            </w:tabs>
            <w:rPr>
              <w:rFonts w:asciiTheme="minorHAnsi" w:eastAsiaTheme="minorEastAsia" w:hAnsiTheme="minorHAnsi"/>
              <w:noProof/>
              <w:lang w:eastAsia="fr-CA"/>
            </w:rPr>
          </w:pPr>
          <w:hyperlink w:anchor="_Toc480797312" w:history="1">
            <w:r w:rsidR="00A261A4" w:rsidRPr="005A21AB">
              <w:rPr>
                <w:rStyle w:val="Lienhypertexte"/>
                <w:rFonts w:cs="Times New Roman"/>
                <w:noProof/>
              </w:rPr>
              <w:t>Interventions à l’échelle des populations</w:t>
            </w:r>
            <w:r w:rsidR="00A261A4">
              <w:rPr>
                <w:noProof/>
                <w:webHidden/>
              </w:rPr>
              <w:tab/>
            </w:r>
            <w:r w:rsidR="00A261A4">
              <w:rPr>
                <w:noProof/>
                <w:webHidden/>
              </w:rPr>
              <w:fldChar w:fldCharType="begin"/>
            </w:r>
            <w:r w:rsidR="00A261A4">
              <w:rPr>
                <w:noProof/>
                <w:webHidden/>
              </w:rPr>
              <w:instrText xml:space="preserve"> PAGEREF _Toc480797312 \h </w:instrText>
            </w:r>
            <w:r w:rsidR="00A261A4">
              <w:rPr>
                <w:noProof/>
                <w:webHidden/>
              </w:rPr>
            </w:r>
            <w:r w:rsidR="00A261A4">
              <w:rPr>
                <w:noProof/>
                <w:webHidden/>
              </w:rPr>
              <w:fldChar w:fldCharType="separate"/>
            </w:r>
            <w:r w:rsidR="005928E3">
              <w:rPr>
                <w:noProof/>
                <w:webHidden/>
              </w:rPr>
              <w:t>188</w:t>
            </w:r>
            <w:r w:rsidR="00A261A4">
              <w:rPr>
                <w:noProof/>
                <w:webHidden/>
              </w:rPr>
              <w:fldChar w:fldCharType="end"/>
            </w:r>
          </w:hyperlink>
        </w:p>
        <w:p w:rsidR="00A261A4" w:rsidRDefault="00AE5F7A">
          <w:pPr>
            <w:pStyle w:val="TM3"/>
            <w:tabs>
              <w:tab w:val="right" w:leader="dot" w:pos="10790"/>
            </w:tabs>
            <w:rPr>
              <w:rFonts w:asciiTheme="minorHAnsi" w:eastAsiaTheme="minorEastAsia" w:hAnsiTheme="minorHAnsi"/>
              <w:noProof/>
              <w:lang w:eastAsia="fr-CA"/>
            </w:rPr>
          </w:pPr>
          <w:hyperlink w:anchor="_Toc480797313" w:history="1">
            <w:r w:rsidR="00A261A4" w:rsidRPr="005A21AB">
              <w:rPr>
                <w:rStyle w:val="Lienhypertexte"/>
                <w:rFonts w:cs="Times New Roman"/>
                <w:noProof/>
              </w:rPr>
              <w:t>Administration de programmes de santé efficaces à l’échelle de la population</w:t>
            </w:r>
            <w:r w:rsidR="00A261A4">
              <w:rPr>
                <w:noProof/>
                <w:webHidden/>
              </w:rPr>
              <w:tab/>
            </w:r>
            <w:r w:rsidR="00A261A4">
              <w:rPr>
                <w:noProof/>
                <w:webHidden/>
              </w:rPr>
              <w:fldChar w:fldCharType="begin"/>
            </w:r>
            <w:r w:rsidR="00A261A4">
              <w:rPr>
                <w:noProof/>
                <w:webHidden/>
              </w:rPr>
              <w:instrText xml:space="preserve"> PAGEREF _Toc480797313 \h </w:instrText>
            </w:r>
            <w:r w:rsidR="00A261A4">
              <w:rPr>
                <w:noProof/>
                <w:webHidden/>
              </w:rPr>
            </w:r>
            <w:r w:rsidR="00A261A4">
              <w:rPr>
                <w:noProof/>
                <w:webHidden/>
              </w:rPr>
              <w:fldChar w:fldCharType="separate"/>
            </w:r>
            <w:r w:rsidR="005928E3">
              <w:rPr>
                <w:noProof/>
                <w:webHidden/>
              </w:rPr>
              <w:t>191</w:t>
            </w:r>
            <w:r w:rsidR="00A261A4">
              <w:rPr>
                <w:noProof/>
                <w:webHidden/>
              </w:rPr>
              <w:fldChar w:fldCharType="end"/>
            </w:r>
          </w:hyperlink>
        </w:p>
        <w:p w:rsidR="00A261A4" w:rsidRDefault="00AE5F7A">
          <w:pPr>
            <w:pStyle w:val="TM3"/>
            <w:tabs>
              <w:tab w:val="right" w:leader="dot" w:pos="10790"/>
            </w:tabs>
            <w:rPr>
              <w:rFonts w:asciiTheme="minorHAnsi" w:eastAsiaTheme="minorEastAsia" w:hAnsiTheme="minorHAnsi"/>
              <w:noProof/>
              <w:lang w:eastAsia="fr-CA"/>
            </w:rPr>
          </w:pPr>
          <w:hyperlink w:anchor="_Toc480797314" w:history="1">
            <w:r w:rsidR="00A261A4" w:rsidRPr="005A21AB">
              <w:rPr>
                <w:rStyle w:val="Lienhypertexte"/>
                <w:rFonts w:cs="Times New Roman"/>
                <w:noProof/>
              </w:rPr>
              <w:t>Prise en charge d’une épidémie</w:t>
            </w:r>
            <w:r w:rsidR="00A261A4">
              <w:rPr>
                <w:noProof/>
                <w:webHidden/>
              </w:rPr>
              <w:tab/>
            </w:r>
            <w:r w:rsidR="00A261A4">
              <w:rPr>
                <w:noProof/>
                <w:webHidden/>
              </w:rPr>
              <w:fldChar w:fldCharType="begin"/>
            </w:r>
            <w:r w:rsidR="00A261A4">
              <w:rPr>
                <w:noProof/>
                <w:webHidden/>
              </w:rPr>
              <w:instrText xml:space="preserve"> PAGEREF _Toc480797314 \h </w:instrText>
            </w:r>
            <w:r w:rsidR="00A261A4">
              <w:rPr>
                <w:noProof/>
                <w:webHidden/>
              </w:rPr>
            </w:r>
            <w:r w:rsidR="00A261A4">
              <w:rPr>
                <w:noProof/>
                <w:webHidden/>
              </w:rPr>
              <w:fldChar w:fldCharType="separate"/>
            </w:r>
            <w:r w:rsidR="005928E3">
              <w:rPr>
                <w:noProof/>
                <w:webHidden/>
              </w:rPr>
              <w:t>193</w:t>
            </w:r>
            <w:r w:rsidR="00A261A4">
              <w:rPr>
                <w:noProof/>
                <w:webHidden/>
              </w:rPr>
              <w:fldChar w:fldCharType="end"/>
            </w:r>
          </w:hyperlink>
        </w:p>
        <w:p w:rsidR="00A261A4" w:rsidRDefault="00AE5F7A">
          <w:pPr>
            <w:pStyle w:val="TM3"/>
            <w:tabs>
              <w:tab w:val="right" w:leader="dot" w:pos="10790"/>
            </w:tabs>
            <w:rPr>
              <w:rFonts w:asciiTheme="minorHAnsi" w:eastAsiaTheme="minorEastAsia" w:hAnsiTheme="minorHAnsi"/>
              <w:noProof/>
              <w:lang w:eastAsia="fr-CA"/>
            </w:rPr>
          </w:pPr>
          <w:hyperlink w:anchor="_Toc480797315" w:history="1">
            <w:r w:rsidR="00A261A4" w:rsidRPr="005A21AB">
              <w:rPr>
                <w:rStyle w:val="Lienhypertexte"/>
                <w:rFonts w:cs="Times New Roman"/>
                <w:noProof/>
              </w:rPr>
              <w:t>Environnement</w:t>
            </w:r>
            <w:r w:rsidR="00A261A4">
              <w:rPr>
                <w:noProof/>
                <w:webHidden/>
              </w:rPr>
              <w:tab/>
            </w:r>
            <w:r w:rsidR="00A261A4">
              <w:rPr>
                <w:noProof/>
                <w:webHidden/>
              </w:rPr>
              <w:fldChar w:fldCharType="begin"/>
            </w:r>
            <w:r w:rsidR="00A261A4">
              <w:rPr>
                <w:noProof/>
                <w:webHidden/>
              </w:rPr>
              <w:instrText xml:space="preserve"> PAGEREF _Toc480797315 \h </w:instrText>
            </w:r>
            <w:r w:rsidR="00A261A4">
              <w:rPr>
                <w:noProof/>
                <w:webHidden/>
              </w:rPr>
            </w:r>
            <w:r w:rsidR="00A261A4">
              <w:rPr>
                <w:noProof/>
                <w:webHidden/>
              </w:rPr>
              <w:fldChar w:fldCharType="separate"/>
            </w:r>
            <w:r w:rsidR="005928E3">
              <w:rPr>
                <w:noProof/>
                <w:webHidden/>
              </w:rPr>
              <w:t>195</w:t>
            </w:r>
            <w:r w:rsidR="00A261A4">
              <w:rPr>
                <w:noProof/>
                <w:webHidden/>
              </w:rPr>
              <w:fldChar w:fldCharType="end"/>
            </w:r>
          </w:hyperlink>
        </w:p>
        <w:p w:rsidR="00A261A4" w:rsidRDefault="00AE5F7A">
          <w:pPr>
            <w:pStyle w:val="TM3"/>
            <w:tabs>
              <w:tab w:val="right" w:leader="dot" w:pos="10790"/>
            </w:tabs>
            <w:rPr>
              <w:rFonts w:asciiTheme="minorHAnsi" w:eastAsiaTheme="minorEastAsia" w:hAnsiTheme="minorHAnsi"/>
              <w:noProof/>
              <w:lang w:eastAsia="fr-CA"/>
            </w:rPr>
          </w:pPr>
          <w:hyperlink w:anchor="_Toc480797316" w:history="1">
            <w:r w:rsidR="00A261A4" w:rsidRPr="005A21AB">
              <w:rPr>
                <w:rStyle w:val="Lienhypertexte"/>
                <w:rFonts w:cs="Times New Roman"/>
                <w:noProof/>
              </w:rPr>
              <w:t>Santé de populations particulières</w:t>
            </w:r>
            <w:r w:rsidR="00A261A4">
              <w:rPr>
                <w:noProof/>
                <w:webHidden/>
              </w:rPr>
              <w:tab/>
            </w:r>
            <w:r w:rsidR="00A261A4">
              <w:rPr>
                <w:noProof/>
                <w:webHidden/>
              </w:rPr>
              <w:fldChar w:fldCharType="begin"/>
            </w:r>
            <w:r w:rsidR="00A261A4">
              <w:rPr>
                <w:noProof/>
                <w:webHidden/>
              </w:rPr>
              <w:instrText xml:space="preserve"> PAGEREF _Toc480797316 \h </w:instrText>
            </w:r>
            <w:r w:rsidR="00A261A4">
              <w:rPr>
                <w:noProof/>
                <w:webHidden/>
              </w:rPr>
            </w:r>
            <w:r w:rsidR="00A261A4">
              <w:rPr>
                <w:noProof/>
                <w:webHidden/>
              </w:rPr>
              <w:fldChar w:fldCharType="separate"/>
            </w:r>
            <w:r w:rsidR="005928E3">
              <w:rPr>
                <w:noProof/>
                <w:webHidden/>
              </w:rPr>
              <w:t>197</w:t>
            </w:r>
            <w:r w:rsidR="00A261A4">
              <w:rPr>
                <w:noProof/>
                <w:webHidden/>
              </w:rPr>
              <w:fldChar w:fldCharType="end"/>
            </w:r>
          </w:hyperlink>
        </w:p>
        <w:p w:rsidR="00A261A4" w:rsidRDefault="00AE5F7A">
          <w:pPr>
            <w:pStyle w:val="TM3"/>
            <w:tabs>
              <w:tab w:val="right" w:leader="dot" w:pos="10790"/>
            </w:tabs>
            <w:rPr>
              <w:rFonts w:asciiTheme="minorHAnsi" w:eastAsiaTheme="minorEastAsia" w:hAnsiTheme="minorHAnsi"/>
              <w:noProof/>
              <w:lang w:eastAsia="fr-CA"/>
            </w:rPr>
          </w:pPr>
          <w:hyperlink w:anchor="_Toc480797317" w:history="1">
            <w:r w:rsidR="00A261A4" w:rsidRPr="005A21AB">
              <w:rPr>
                <w:rStyle w:val="Lienhypertexte"/>
                <w:rFonts w:cs="Times New Roman"/>
                <w:noProof/>
              </w:rPr>
              <w:t>Problèmes de santé liés au travail</w:t>
            </w:r>
            <w:r w:rsidR="00A261A4">
              <w:rPr>
                <w:noProof/>
                <w:webHidden/>
              </w:rPr>
              <w:tab/>
            </w:r>
            <w:r w:rsidR="00A261A4">
              <w:rPr>
                <w:noProof/>
                <w:webHidden/>
              </w:rPr>
              <w:fldChar w:fldCharType="begin"/>
            </w:r>
            <w:r w:rsidR="00A261A4">
              <w:rPr>
                <w:noProof/>
                <w:webHidden/>
              </w:rPr>
              <w:instrText xml:space="preserve"> PAGEREF _Toc480797317 \h </w:instrText>
            </w:r>
            <w:r w:rsidR="00A261A4">
              <w:rPr>
                <w:noProof/>
                <w:webHidden/>
              </w:rPr>
            </w:r>
            <w:r w:rsidR="00A261A4">
              <w:rPr>
                <w:noProof/>
                <w:webHidden/>
              </w:rPr>
              <w:fldChar w:fldCharType="separate"/>
            </w:r>
            <w:r w:rsidR="005928E3">
              <w:rPr>
                <w:noProof/>
                <w:webHidden/>
              </w:rPr>
              <w:t>201</w:t>
            </w:r>
            <w:r w:rsidR="00A261A4">
              <w:rPr>
                <w:noProof/>
                <w:webHidden/>
              </w:rPr>
              <w:fldChar w:fldCharType="end"/>
            </w:r>
          </w:hyperlink>
        </w:p>
        <w:p w:rsidR="00A261A4" w:rsidRDefault="00AE5F7A">
          <w:pPr>
            <w:pStyle w:val="TM3"/>
            <w:tabs>
              <w:tab w:val="right" w:leader="dot" w:pos="10790"/>
            </w:tabs>
            <w:rPr>
              <w:rFonts w:asciiTheme="minorHAnsi" w:eastAsiaTheme="minorEastAsia" w:hAnsiTheme="minorHAnsi"/>
              <w:noProof/>
              <w:lang w:eastAsia="fr-CA"/>
            </w:rPr>
          </w:pPr>
          <w:hyperlink w:anchor="_Toc480797318" w:history="1">
            <w:r w:rsidR="00A261A4" w:rsidRPr="005A21AB">
              <w:rPr>
                <w:rStyle w:val="Lienhypertexte"/>
                <w:noProof/>
              </w:rPr>
              <w:t>Soins prénataux</w:t>
            </w:r>
            <w:r w:rsidR="00A261A4">
              <w:rPr>
                <w:noProof/>
                <w:webHidden/>
              </w:rPr>
              <w:tab/>
            </w:r>
            <w:r w:rsidR="00A261A4">
              <w:rPr>
                <w:noProof/>
                <w:webHidden/>
              </w:rPr>
              <w:fldChar w:fldCharType="begin"/>
            </w:r>
            <w:r w:rsidR="00A261A4">
              <w:rPr>
                <w:noProof/>
                <w:webHidden/>
              </w:rPr>
              <w:instrText xml:space="preserve"> PAGEREF _Toc480797318 \h </w:instrText>
            </w:r>
            <w:r w:rsidR="00A261A4">
              <w:rPr>
                <w:noProof/>
                <w:webHidden/>
              </w:rPr>
            </w:r>
            <w:r w:rsidR="00A261A4">
              <w:rPr>
                <w:noProof/>
                <w:webHidden/>
              </w:rPr>
              <w:fldChar w:fldCharType="separate"/>
            </w:r>
            <w:r w:rsidR="005928E3">
              <w:rPr>
                <w:noProof/>
                <w:webHidden/>
              </w:rPr>
              <w:t>204</w:t>
            </w:r>
            <w:r w:rsidR="00A261A4">
              <w:rPr>
                <w:noProof/>
                <w:webHidden/>
              </w:rPr>
              <w:fldChar w:fldCharType="end"/>
            </w:r>
          </w:hyperlink>
        </w:p>
        <w:p w:rsidR="00A261A4" w:rsidRDefault="00AE5F7A">
          <w:pPr>
            <w:pStyle w:val="TM3"/>
            <w:tabs>
              <w:tab w:val="right" w:leader="dot" w:pos="10790"/>
            </w:tabs>
            <w:rPr>
              <w:rFonts w:asciiTheme="minorHAnsi" w:eastAsiaTheme="minorEastAsia" w:hAnsiTheme="minorHAnsi"/>
              <w:noProof/>
              <w:lang w:eastAsia="fr-CA"/>
            </w:rPr>
          </w:pPr>
          <w:hyperlink w:anchor="_Toc480797319" w:history="1">
            <w:r w:rsidR="00A261A4" w:rsidRPr="005A21AB">
              <w:rPr>
                <w:rStyle w:val="Lienhypertexte"/>
                <w:rFonts w:cs="Times New Roman"/>
                <w:noProof/>
              </w:rPr>
              <w:t>Soins intrapartum et postpartum</w:t>
            </w:r>
            <w:r w:rsidR="00A261A4">
              <w:rPr>
                <w:noProof/>
                <w:webHidden/>
              </w:rPr>
              <w:tab/>
            </w:r>
            <w:r w:rsidR="00A261A4">
              <w:rPr>
                <w:noProof/>
                <w:webHidden/>
              </w:rPr>
              <w:fldChar w:fldCharType="begin"/>
            </w:r>
            <w:r w:rsidR="00A261A4">
              <w:rPr>
                <w:noProof/>
                <w:webHidden/>
              </w:rPr>
              <w:instrText xml:space="preserve"> PAGEREF _Toc480797319 \h </w:instrText>
            </w:r>
            <w:r w:rsidR="00A261A4">
              <w:rPr>
                <w:noProof/>
                <w:webHidden/>
              </w:rPr>
            </w:r>
            <w:r w:rsidR="00A261A4">
              <w:rPr>
                <w:noProof/>
                <w:webHidden/>
              </w:rPr>
              <w:fldChar w:fldCharType="separate"/>
            </w:r>
            <w:r w:rsidR="005928E3">
              <w:rPr>
                <w:noProof/>
                <w:webHidden/>
              </w:rPr>
              <w:t>210</w:t>
            </w:r>
            <w:r w:rsidR="00A261A4">
              <w:rPr>
                <w:noProof/>
                <w:webHidden/>
              </w:rPr>
              <w:fldChar w:fldCharType="end"/>
            </w:r>
          </w:hyperlink>
        </w:p>
        <w:p w:rsidR="00A261A4" w:rsidRDefault="00AE5F7A">
          <w:pPr>
            <w:pStyle w:val="TM3"/>
            <w:tabs>
              <w:tab w:val="right" w:leader="dot" w:pos="10790"/>
            </w:tabs>
            <w:rPr>
              <w:rFonts w:asciiTheme="minorHAnsi" w:eastAsiaTheme="minorEastAsia" w:hAnsiTheme="minorHAnsi"/>
              <w:noProof/>
              <w:lang w:eastAsia="fr-CA"/>
            </w:rPr>
          </w:pPr>
          <w:hyperlink w:anchor="_Toc480797320" w:history="1">
            <w:r w:rsidR="00A261A4" w:rsidRPr="005A21AB">
              <w:rPr>
                <w:rStyle w:val="Lienhypertexte"/>
                <w:rFonts w:cs="Times New Roman"/>
                <w:noProof/>
              </w:rPr>
              <w:t>Avortement spontané ou fausse couche</w:t>
            </w:r>
            <w:r w:rsidR="00A261A4">
              <w:rPr>
                <w:noProof/>
                <w:webHidden/>
              </w:rPr>
              <w:tab/>
            </w:r>
            <w:r w:rsidR="00A261A4">
              <w:rPr>
                <w:noProof/>
                <w:webHidden/>
              </w:rPr>
              <w:fldChar w:fldCharType="begin"/>
            </w:r>
            <w:r w:rsidR="00A261A4">
              <w:rPr>
                <w:noProof/>
                <w:webHidden/>
              </w:rPr>
              <w:instrText xml:space="preserve"> PAGEREF _Toc480797320 \h </w:instrText>
            </w:r>
            <w:r w:rsidR="00A261A4">
              <w:rPr>
                <w:noProof/>
                <w:webHidden/>
              </w:rPr>
            </w:r>
            <w:r w:rsidR="00A261A4">
              <w:rPr>
                <w:noProof/>
                <w:webHidden/>
              </w:rPr>
              <w:fldChar w:fldCharType="separate"/>
            </w:r>
            <w:r w:rsidR="005928E3">
              <w:rPr>
                <w:noProof/>
                <w:webHidden/>
              </w:rPr>
              <w:t>217</w:t>
            </w:r>
            <w:r w:rsidR="00A261A4">
              <w:rPr>
                <w:noProof/>
                <w:webHidden/>
              </w:rPr>
              <w:fldChar w:fldCharType="end"/>
            </w:r>
          </w:hyperlink>
        </w:p>
        <w:p w:rsidR="00A261A4" w:rsidRDefault="00AE5F7A">
          <w:pPr>
            <w:pStyle w:val="TM3"/>
            <w:tabs>
              <w:tab w:val="right" w:leader="dot" w:pos="10790"/>
            </w:tabs>
            <w:rPr>
              <w:rFonts w:asciiTheme="minorHAnsi" w:eastAsiaTheme="minorEastAsia" w:hAnsiTheme="minorHAnsi"/>
              <w:noProof/>
              <w:lang w:eastAsia="fr-CA"/>
            </w:rPr>
          </w:pPr>
          <w:hyperlink w:anchor="_Toc480797321" w:history="1">
            <w:r w:rsidR="00A261A4" w:rsidRPr="005A21AB">
              <w:rPr>
                <w:rStyle w:val="Lienhypertexte"/>
                <w:rFonts w:cs="Times New Roman"/>
                <w:noProof/>
              </w:rPr>
              <w:t>Travail prématuré</w:t>
            </w:r>
            <w:r w:rsidR="00A261A4">
              <w:rPr>
                <w:noProof/>
                <w:webHidden/>
              </w:rPr>
              <w:tab/>
            </w:r>
            <w:r w:rsidR="00A261A4">
              <w:rPr>
                <w:noProof/>
                <w:webHidden/>
              </w:rPr>
              <w:fldChar w:fldCharType="begin"/>
            </w:r>
            <w:r w:rsidR="00A261A4">
              <w:rPr>
                <w:noProof/>
                <w:webHidden/>
              </w:rPr>
              <w:instrText xml:space="preserve"> PAGEREF _Toc480797321 \h </w:instrText>
            </w:r>
            <w:r w:rsidR="00A261A4">
              <w:rPr>
                <w:noProof/>
                <w:webHidden/>
              </w:rPr>
            </w:r>
            <w:r w:rsidR="00A261A4">
              <w:rPr>
                <w:noProof/>
                <w:webHidden/>
              </w:rPr>
              <w:fldChar w:fldCharType="separate"/>
            </w:r>
            <w:r w:rsidR="005928E3">
              <w:rPr>
                <w:noProof/>
                <w:webHidden/>
              </w:rPr>
              <w:t>219</w:t>
            </w:r>
            <w:r w:rsidR="00A261A4">
              <w:rPr>
                <w:noProof/>
                <w:webHidden/>
              </w:rPr>
              <w:fldChar w:fldCharType="end"/>
            </w:r>
          </w:hyperlink>
        </w:p>
        <w:p w:rsidR="00A261A4" w:rsidRDefault="00AE5F7A">
          <w:pPr>
            <w:pStyle w:val="TM3"/>
            <w:tabs>
              <w:tab w:val="right" w:leader="dot" w:pos="10790"/>
            </w:tabs>
            <w:rPr>
              <w:rFonts w:asciiTheme="minorHAnsi" w:eastAsiaTheme="minorEastAsia" w:hAnsiTheme="minorHAnsi"/>
              <w:noProof/>
              <w:lang w:eastAsia="fr-CA"/>
            </w:rPr>
          </w:pPr>
          <w:hyperlink w:anchor="_Toc480797322" w:history="1">
            <w:r w:rsidR="00A261A4" w:rsidRPr="005A21AB">
              <w:rPr>
                <w:rStyle w:val="Lienhypertexte"/>
                <w:rFonts w:cs="Times New Roman"/>
                <w:noProof/>
              </w:rPr>
              <w:t>Prolapsus utérin, relâchement pelvien</w:t>
            </w:r>
            <w:r w:rsidR="00A261A4">
              <w:rPr>
                <w:noProof/>
                <w:webHidden/>
              </w:rPr>
              <w:tab/>
            </w:r>
            <w:r w:rsidR="00A261A4">
              <w:rPr>
                <w:noProof/>
                <w:webHidden/>
              </w:rPr>
              <w:fldChar w:fldCharType="begin"/>
            </w:r>
            <w:r w:rsidR="00A261A4">
              <w:rPr>
                <w:noProof/>
                <w:webHidden/>
              </w:rPr>
              <w:instrText xml:space="preserve"> PAGEREF _Toc480797322 \h </w:instrText>
            </w:r>
            <w:r w:rsidR="00A261A4">
              <w:rPr>
                <w:noProof/>
                <w:webHidden/>
              </w:rPr>
            </w:r>
            <w:r w:rsidR="00A261A4">
              <w:rPr>
                <w:noProof/>
                <w:webHidden/>
              </w:rPr>
              <w:fldChar w:fldCharType="separate"/>
            </w:r>
            <w:r w:rsidR="005928E3">
              <w:rPr>
                <w:noProof/>
                <w:webHidden/>
              </w:rPr>
              <w:t>222</w:t>
            </w:r>
            <w:r w:rsidR="00A261A4">
              <w:rPr>
                <w:noProof/>
                <w:webHidden/>
              </w:rPr>
              <w:fldChar w:fldCharType="end"/>
            </w:r>
          </w:hyperlink>
        </w:p>
        <w:p w:rsidR="00A261A4" w:rsidRDefault="00AE5F7A">
          <w:pPr>
            <w:pStyle w:val="TM3"/>
            <w:tabs>
              <w:tab w:val="right" w:leader="dot" w:pos="10790"/>
            </w:tabs>
            <w:rPr>
              <w:rFonts w:asciiTheme="minorHAnsi" w:eastAsiaTheme="minorEastAsia" w:hAnsiTheme="minorHAnsi"/>
              <w:noProof/>
              <w:lang w:eastAsia="fr-CA"/>
            </w:rPr>
          </w:pPr>
          <w:hyperlink w:anchor="_Toc480797323" w:history="1">
            <w:r w:rsidR="00A261A4" w:rsidRPr="005A21AB">
              <w:rPr>
                <w:rStyle w:val="Lienhypertexte"/>
                <w:rFonts w:cs="Times New Roman"/>
                <w:noProof/>
              </w:rPr>
              <w:t>Psychose</w:t>
            </w:r>
            <w:r w:rsidR="00A261A4">
              <w:rPr>
                <w:noProof/>
                <w:webHidden/>
              </w:rPr>
              <w:tab/>
            </w:r>
            <w:r w:rsidR="00A261A4">
              <w:rPr>
                <w:noProof/>
                <w:webHidden/>
              </w:rPr>
              <w:fldChar w:fldCharType="begin"/>
            </w:r>
            <w:r w:rsidR="00A261A4">
              <w:rPr>
                <w:noProof/>
                <w:webHidden/>
              </w:rPr>
              <w:instrText xml:space="preserve"> PAGEREF _Toc480797323 \h </w:instrText>
            </w:r>
            <w:r w:rsidR="00A261A4">
              <w:rPr>
                <w:noProof/>
                <w:webHidden/>
              </w:rPr>
            </w:r>
            <w:r w:rsidR="00A261A4">
              <w:rPr>
                <w:noProof/>
                <w:webHidden/>
              </w:rPr>
              <w:fldChar w:fldCharType="separate"/>
            </w:r>
            <w:r w:rsidR="005928E3">
              <w:rPr>
                <w:noProof/>
                <w:webHidden/>
              </w:rPr>
              <w:t>224</w:t>
            </w:r>
            <w:r w:rsidR="00A261A4">
              <w:rPr>
                <w:noProof/>
                <w:webHidden/>
              </w:rPr>
              <w:fldChar w:fldCharType="end"/>
            </w:r>
          </w:hyperlink>
        </w:p>
        <w:p w:rsidR="00A261A4" w:rsidRDefault="00AE5F7A">
          <w:pPr>
            <w:pStyle w:val="TM3"/>
            <w:tabs>
              <w:tab w:val="right" w:leader="dot" w:pos="10790"/>
            </w:tabs>
            <w:rPr>
              <w:rFonts w:asciiTheme="minorHAnsi" w:eastAsiaTheme="minorEastAsia" w:hAnsiTheme="minorHAnsi"/>
              <w:noProof/>
              <w:lang w:eastAsia="fr-CA"/>
            </w:rPr>
          </w:pPr>
          <w:hyperlink w:anchor="_Toc480797324" w:history="1">
            <w:r w:rsidR="00A261A4" w:rsidRPr="005A21AB">
              <w:rPr>
                <w:rStyle w:val="Lienhypertexte"/>
                <w:rFonts w:cs="Times New Roman"/>
                <w:noProof/>
              </w:rPr>
              <w:t>Masse scrotale</w:t>
            </w:r>
            <w:r w:rsidR="00A261A4">
              <w:rPr>
                <w:noProof/>
                <w:webHidden/>
              </w:rPr>
              <w:tab/>
            </w:r>
            <w:r w:rsidR="00A261A4">
              <w:rPr>
                <w:noProof/>
                <w:webHidden/>
              </w:rPr>
              <w:fldChar w:fldCharType="begin"/>
            </w:r>
            <w:r w:rsidR="00A261A4">
              <w:rPr>
                <w:noProof/>
                <w:webHidden/>
              </w:rPr>
              <w:instrText xml:space="preserve"> PAGEREF _Toc480797324 \h </w:instrText>
            </w:r>
            <w:r w:rsidR="00A261A4">
              <w:rPr>
                <w:noProof/>
                <w:webHidden/>
              </w:rPr>
            </w:r>
            <w:r w:rsidR="00A261A4">
              <w:rPr>
                <w:noProof/>
                <w:webHidden/>
              </w:rPr>
              <w:fldChar w:fldCharType="separate"/>
            </w:r>
            <w:r w:rsidR="005928E3">
              <w:rPr>
                <w:noProof/>
                <w:webHidden/>
              </w:rPr>
              <w:t>229</w:t>
            </w:r>
            <w:r w:rsidR="00A261A4">
              <w:rPr>
                <w:noProof/>
                <w:webHidden/>
              </w:rPr>
              <w:fldChar w:fldCharType="end"/>
            </w:r>
          </w:hyperlink>
        </w:p>
        <w:p w:rsidR="00A261A4" w:rsidRDefault="00AE5F7A">
          <w:pPr>
            <w:pStyle w:val="TM3"/>
            <w:tabs>
              <w:tab w:val="right" w:leader="dot" w:pos="10790"/>
            </w:tabs>
            <w:rPr>
              <w:rFonts w:asciiTheme="minorHAnsi" w:eastAsiaTheme="minorEastAsia" w:hAnsiTheme="minorHAnsi"/>
              <w:noProof/>
              <w:lang w:eastAsia="fr-CA"/>
            </w:rPr>
          </w:pPr>
          <w:hyperlink w:anchor="_Toc480797325" w:history="1">
            <w:r w:rsidR="00A261A4" w:rsidRPr="005A21AB">
              <w:rPr>
                <w:rStyle w:val="Lienhypertexte"/>
                <w:rFonts w:cs="Times New Roman"/>
                <w:noProof/>
              </w:rPr>
              <w:t>Développement pubertaire anormal</w:t>
            </w:r>
            <w:r w:rsidR="00A261A4">
              <w:rPr>
                <w:noProof/>
                <w:webHidden/>
              </w:rPr>
              <w:tab/>
            </w:r>
            <w:r w:rsidR="00A261A4">
              <w:rPr>
                <w:noProof/>
                <w:webHidden/>
              </w:rPr>
              <w:fldChar w:fldCharType="begin"/>
            </w:r>
            <w:r w:rsidR="00A261A4">
              <w:rPr>
                <w:noProof/>
                <w:webHidden/>
              </w:rPr>
              <w:instrText xml:space="preserve"> PAGEREF _Toc480797325 \h </w:instrText>
            </w:r>
            <w:r w:rsidR="00A261A4">
              <w:rPr>
                <w:noProof/>
                <w:webHidden/>
              </w:rPr>
            </w:r>
            <w:r w:rsidR="00A261A4">
              <w:rPr>
                <w:noProof/>
                <w:webHidden/>
              </w:rPr>
              <w:fldChar w:fldCharType="separate"/>
            </w:r>
            <w:r w:rsidR="005928E3">
              <w:rPr>
                <w:noProof/>
                <w:webHidden/>
              </w:rPr>
              <w:t>231</w:t>
            </w:r>
            <w:r w:rsidR="00A261A4">
              <w:rPr>
                <w:noProof/>
                <w:webHidden/>
              </w:rPr>
              <w:fldChar w:fldCharType="end"/>
            </w:r>
          </w:hyperlink>
        </w:p>
        <w:p w:rsidR="00A261A4" w:rsidRDefault="00AE5F7A">
          <w:pPr>
            <w:pStyle w:val="TM3"/>
            <w:tabs>
              <w:tab w:val="right" w:leader="dot" w:pos="10790"/>
            </w:tabs>
            <w:rPr>
              <w:rFonts w:asciiTheme="minorHAnsi" w:eastAsiaTheme="minorEastAsia" w:hAnsiTheme="minorHAnsi"/>
              <w:noProof/>
              <w:lang w:eastAsia="fr-CA"/>
            </w:rPr>
          </w:pPr>
          <w:hyperlink w:anchor="_Toc480797326" w:history="1">
            <w:r w:rsidR="00A261A4" w:rsidRPr="005A21AB">
              <w:rPr>
                <w:rStyle w:val="Lienhypertexte"/>
                <w:rFonts w:cs="Times New Roman"/>
                <w:noProof/>
              </w:rPr>
              <w:t>Trouble de nature sexuelle</w:t>
            </w:r>
            <w:r w:rsidR="00A261A4">
              <w:rPr>
                <w:noProof/>
                <w:webHidden/>
              </w:rPr>
              <w:tab/>
            </w:r>
            <w:r w:rsidR="00A261A4">
              <w:rPr>
                <w:noProof/>
                <w:webHidden/>
              </w:rPr>
              <w:fldChar w:fldCharType="begin"/>
            </w:r>
            <w:r w:rsidR="00A261A4">
              <w:rPr>
                <w:noProof/>
                <w:webHidden/>
              </w:rPr>
              <w:instrText xml:space="preserve"> PAGEREF _Toc480797326 \h </w:instrText>
            </w:r>
            <w:r w:rsidR="00A261A4">
              <w:rPr>
                <w:noProof/>
                <w:webHidden/>
              </w:rPr>
            </w:r>
            <w:r w:rsidR="00A261A4">
              <w:rPr>
                <w:noProof/>
                <w:webHidden/>
              </w:rPr>
              <w:fldChar w:fldCharType="separate"/>
            </w:r>
            <w:r w:rsidR="005928E3">
              <w:rPr>
                <w:noProof/>
                <w:webHidden/>
              </w:rPr>
              <w:t>235</w:t>
            </w:r>
            <w:r w:rsidR="00A261A4">
              <w:rPr>
                <w:noProof/>
                <w:webHidden/>
              </w:rPr>
              <w:fldChar w:fldCharType="end"/>
            </w:r>
          </w:hyperlink>
        </w:p>
        <w:p w:rsidR="00A261A4" w:rsidRDefault="00AE5F7A">
          <w:pPr>
            <w:pStyle w:val="TM3"/>
            <w:tabs>
              <w:tab w:val="right" w:leader="dot" w:pos="10790"/>
            </w:tabs>
            <w:rPr>
              <w:rFonts w:asciiTheme="minorHAnsi" w:eastAsiaTheme="minorEastAsia" w:hAnsiTheme="minorHAnsi"/>
              <w:noProof/>
              <w:lang w:eastAsia="fr-CA"/>
            </w:rPr>
          </w:pPr>
          <w:hyperlink w:anchor="_Toc480797327" w:history="1">
            <w:r w:rsidR="00A261A4" w:rsidRPr="005A21AB">
              <w:rPr>
                <w:rStyle w:val="Lienhypertexte"/>
                <w:rFonts w:cs="Times New Roman"/>
                <w:noProof/>
              </w:rPr>
              <w:t>Troubles du rythme veille-sommeil</w:t>
            </w:r>
            <w:r w:rsidR="00A261A4">
              <w:rPr>
                <w:noProof/>
                <w:webHidden/>
              </w:rPr>
              <w:tab/>
            </w:r>
            <w:r w:rsidR="00A261A4">
              <w:rPr>
                <w:noProof/>
                <w:webHidden/>
              </w:rPr>
              <w:fldChar w:fldCharType="begin"/>
            </w:r>
            <w:r w:rsidR="00A261A4">
              <w:rPr>
                <w:noProof/>
                <w:webHidden/>
              </w:rPr>
              <w:instrText xml:space="preserve"> PAGEREF _Toc480797327 \h </w:instrText>
            </w:r>
            <w:r w:rsidR="00A261A4">
              <w:rPr>
                <w:noProof/>
                <w:webHidden/>
              </w:rPr>
            </w:r>
            <w:r w:rsidR="00A261A4">
              <w:rPr>
                <w:noProof/>
                <w:webHidden/>
              </w:rPr>
              <w:fldChar w:fldCharType="separate"/>
            </w:r>
            <w:r w:rsidR="005928E3">
              <w:rPr>
                <w:noProof/>
                <w:webHidden/>
              </w:rPr>
              <w:t>238</w:t>
            </w:r>
            <w:r w:rsidR="00A261A4">
              <w:rPr>
                <w:noProof/>
                <w:webHidden/>
              </w:rPr>
              <w:fldChar w:fldCharType="end"/>
            </w:r>
          </w:hyperlink>
        </w:p>
        <w:p w:rsidR="00A261A4" w:rsidRDefault="00AE5F7A">
          <w:pPr>
            <w:pStyle w:val="TM3"/>
            <w:tabs>
              <w:tab w:val="right" w:leader="dot" w:pos="10790"/>
            </w:tabs>
            <w:rPr>
              <w:rFonts w:asciiTheme="minorHAnsi" w:eastAsiaTheme="minorEastAsia" w:hAnsiTheme="minorHAnsi"/>
              <w:noProof/>
              <w:lang w:eastAsia="fr-CA"/>
            </w:rPr>
          </w:pPr>
          <w:hyperlink w:anchor="_Toc480797328" w:history="1">
            <w:r w:rsidR="00A261A4" w:rsidRPr="005A21AB">
              <w:rPr>
                <w:rStyle w:val="Lienhypertexte"/>
                <w:rFonts w:cs="Times New Roman"/>
                <w:noProof/>
              </w:rPr>
              <w:t>Mal de gorge et/ou rhinorrhée</w:t>
            </w:r>
            <w:r w:rsidR="00A261A4">
              <w:rPr>
                <w:noProof/>
                <w:webHidden/>
              </w:rPr>
              <w:tab/>
            </w:r>
            <w:r w:rsidR="00A261A4">
              <w:rPr>
                <w:noProof/>
                <w:webHidden/>
              </w:rPr>
              <w:fldChar w:fldCharType="begin"/>
            </w:r>
            <w:r w:rsidR="00A261A4">
              <w:rPr>
                <w:noProof/>
                <w:webHidden/>
              </w:rPr>
              <w:instrText xml:space="preserve"> PAGEREF _Toc480797328 \h </w:instrText>
            </w:r>
            <w:r w:rsidR="00A261A4">
              <w:rPr>
                <w:noProof/>
                <w:webHidden/>
              </w:rPr>
            </w:r>
            <w:r w:rsidR="00A261A4">
              <w:rPr>
                <w:noProof/>
                <w:webHidden/>
              </w:rPr>
              <w:fldChar w:fldCharType="separate"/>
            </w:r>
            <w:r w:rsidR="005928E3">
              <w:rPr>
                <w:noProof/>
                <w:webHidden/>
              </w:rPr>
              <w:t>241</w:t>
            </w:r>
            <w:r w:rsidR="00A261A4">
              <w:rPr>
                <w:noProof/>
                <w:webHidden/>
              </w:rPr>
              <w:fldChar w:fldCharType="end"/>
            </w:r>
          </w:hyperlink>
        </w:p>
        <w:p w:rsidR="00A261A4" w:rsidRDefault="00AE5F7A">
          <w:pPr>
            <w:pStyle w:val="TM3"/>
            <w:tabs>
              <w:tab w:val="right" w:leader="dot" w:pos="10790"/>
            </w:tabs>
            <w:rPr>
              <w:rFonts w:asciiTheme="minorHAnsi" w:eastAsiaTheme="minorEastAsia" w:hAnsiTheme="minorHAnsi"/>
              <w:noProof/>
              <w:lang w:eastAsia="fr-CA"/>
            </w:rPr>
          </w:pPr>
          <w:hyperlink w:anchor="_Toc480797329" w:history="1">
            <w:r w:rsidR="00A261A4" w:rsidRPr="005A21AB">
              <w:rPr>
                <w:rStyle w:val="Lienhypertexte"/>
                <w:rFonts w:cs="Times New Roman"/>
                <w:noProof/>
              </w:rPr>
              <w:t>Dysfonction olfactive/gustative</w:t>
            </w:r>
            <w:r w:rsidR="00A261A4">
              <w:rPr>
                <w:noProof/>
                <w:webHidden/>
              </w:rPr>
              <w:tab/>
            </w:r>
            <w:r w:rsidR="00A261A4">
              <w:rPr>
                <w:noProof/>
                <w:webHidden/>
              </w:rPr>
              <w:fldChar w:fldCharType="begin"/>
            </w:r>
            <w:r w:rsidR="00A261A4">
              <w:rPr>
                <w:noProof/>
                <w:webHidden/>
              </w:rPr>
              <w:instrText xml:space="preserve"> PAGEREF _Toc480797329 \h </w:instrText>
            </w:r>
            <w:r w:rsidR="00A261A4">
              <w:rPr>
                <w:noProof/>
                <w:webHidden/>
              </w:rPr>
            </w:r>
            <w:r w:rsidR="00A261A4">
              <w:rPr>
                <w:noProof/>
                <w:webHidden/>
              </w:rPr>
              <w:fldChar w:fldCharType="separate"/>
            </w:r>
            <w:r w:rsidR="005928E3">
              <w:rPr>
                <w:noProof/>
                <w:webHidden/>
              </w:rPr>
              <w:t>244</w:t>
            </w:r>
            <w:r w:rsidR="00A261A4">
              <w:rPr>
                <w:noProof/>
                <w:webHidden/>
              </w:rPr>
              <w:fldChar w:fldCharType="end"/>
            </w:r>
          </w:hyperlink>
        </w:p>
        <w:p w:rsidR="00A261A4" w:rsidRDefault="00AE5F7A">
          <w:pPr>
            <w:pStyle w:val="TM3"/>
            <w:tabs>
              <w:tab w:val="right" w:leader="dot" w:pos="10790"/>
            </w:tabs>
            <w:rPr>
              <w:rFonts w:asciiTheme="minorHAnsi" w:eastAsiaTheme="minorEastAsia" w:hAnsiTheme="minorHAnsi"/>
              <w:noProof/>
              <w:lang w:eastAsia="fr-CA"/>
            </w:rPr>
          </w:pPr>
          <w:hyperlink w:anchor="_Toc480797330" w:history="1">
            <w:r w:rsidR="00A261A4" w:rsidRPr="005A21AB">
              <w:rPr>
                <w:rStyle w:val="Lienhypertexte"/>
                <w:rFonts w:cs="Times New Roman"/>
                <w:noProof/>
              </w:rPr>
              <w:t>Anomalies staturales (grande taille/petite taille)</w:t>
            </w:r>
            <w:r w:rsidR="00A261A4">
              <w:rPr>
                <w:noProof/>
                <w:webHidden/>
              </w:rPr>
              <w:tab/>
            </w:r>
            <w:r w:rsidR="00A261A4">
              <w:rPr>
                <w:noProof/>
                <w:webHidden/>
              </w:rPr>
              <w:fldChar w:fldCharType="begin"/>
            </w:r>
            <w:r w:rsidR="00A261A4">
              <w:rPr>
                <w:noProof/>
                <w:webHidden/>
              </w:rPr>
              <w:instrText xml:space="preserve"> PAGEREF _Toc480797330 \h </w:instrText>
            </w:r>
            <w:r w:rsidR="00A261A4">
              <w:rPr>
                <w:noProof/>
                <w:webHidden/>
              </w:rPr>
            </w:r>
            <w:r w:rsidR="00A261A4">
              <w:rPr>
                <w:noProof/>
                <w:webHidden/>
              </w:rPr>
              <w:fldChar w:fldCharType="separate"/>
            </w:r>
            <w:r w:rsidR="005928E3">
              <w:rPr>
                <w:noProof/>
                <w:webHidden/>
              </w:rPr>
              <w:t>247</w:t>
            </w:r>
            <w:r w:rsidR="00A261A4">
              <w:rPr>
                <w:noProof/>
                <w:webHidden/>
              </w:rPr>
              <w:fldChar w:fldCharType="end"/>
            </w:r>
          </w:hyperlink>
        </w:p>
        <w:p w:rsidR="00A261A4" w:rsidRDefault="00AE5F7A">
          <w:pPr>
            <w:pStyle w:val="TM3"/>
            <w:tabs>
              <w:tab w:val="right" w:leader="dot" w:pos="10790"/>
            </w:tabs>
            <w:rPr>
              <w:rFonts w:asciiTheme="minorHAnsi" w:eastAsiaTheme="minorEastAsia" w:hAnsiTheme="minorHAnsi"/>
              <w:noProof/>
              <w:lang w:eastAsia="fr-CA"/>
            </w:rPr>
          </w:pPr>
          <w:hyperlink w:anchor="_Toc480797331" w:history="1">
            <w:r w:rsidR="00A261A4" w:rsidRPr="005A21AB">
              <w:rPr>
                <w:rStyle w:val="Lienhypertexte"/>
                <w:rFonts w:cs="Times New Roman"/>
                <w:noProof/>
              </w:rPr>
              <w:t>Strabisme et/ou amblyopie</w:t>
            </w:r>
            <w:r w:rsidR="00A261A4">
              <w:rPr>
                <w:noProof/>
                <w:webHidden/>
              </w:rPr>
              <w:tab/>
            </w:r>
            <w:r w:rsidR="00A261A4">
              <w:rPr>
                <w:noProof/>
                <w:webHidden/>
              </w:rPr>
              <w:fldChar w:fldCharType="begin"/>
            </w:r>
            <w:r w:rsidR="00A261A4">
              <w:rPr>
                <w:noProof/>
                <w:webHidden/>
              </w:rPr>
              <w:instrText xml:space="preserve"> PAGEREF _Toc480797331 \h </w:instrText>
            </w:r>
            <w:r w:rsidR="00A261A4">
              <w:rPr>
                <w:noProof/>
                <w:webHidden/>
              </w:rPr>
            </w:r>
            <w:r w:rsidR="00A261A4">
              <w:rPr>
                <w:noProof/>
                <w:webHidden/>
              </w:rPr>
              <w:fldChar w:fldCharType="separate"/>
            </w:r>
            <w:r w:rsidR="005928E3">
              <w:rPr>
                <w:noProof/>
                <w:webHidden/>
              </w:rPr>
              <w:t>251</w:t>
            </w:r>
            <w:r w:rsidR="00A261A4">
              <w:rPr>
                <w:noProof/>
                <w:webHidden/>
              </w:rPr>
              <w:fldChar w:fldCharType="end"/>
            </w:r>
          </w:hyperlink>
        </w:p>
        <w:p w:rsidR="00A261A4" w:rsidRDefault="00AE5F7A">
          <w:pPr>
            <w:pStyle w:val="TM3"/>
            <w:tabs>
              <w:tab w:val="right" w:leader="dot" w:pos="10790"/>
            </w:tabs>
            <w:rPr>
              <w:rFonts w:asciiTheme="minorHAnsi" w:eastAsiaTheme="minorEastAsia" w:hAnsiTheme="minorHAnsi"/>
              <w:noProof/>
              <w:lang w:eastAsia="fr-CA"/>
            </w:rPr>
          </w:pPr>
          <w:hyperlink w:anchor="_Toc480797332" w:history="1">
            <w:r w:rsidR="00A261A4" w:rsidRPr="005A21AB">
              <w:rPr>
                <w:rStyle w:val="Lienhypertexte"/>
                <w:noProof/>
              </w:rPr>
              <w:t>Troubles liés à une substance et troubles de dépendance</w:t>
            </w:r>
            <w:r w:rsidR="00A261A4">
              <w:rPr>
                <w:noProof/>
                <w:webHidden/>
              </w:rPr>
              <w:tab/>
            </w:r>
            <w:r w:rsidR="00A261A4">
              <w:rPr>
                <w:noProof/>
                <w:webHidden/>
              </w:rPr>
              <w:fldChar w:fldCharType="begin"/>
            </w:r>
            <w:r w:rsidR="00A261A4">
              <w:rPr>
                <w:noProof/>
                <w:webHidden/>
              </w:rPr>
              <w:instrText xml:space="preserve"> PAGEREF _Toc480797332 \h </w:instrText>
            </w:r>
            <w:r w:rsidR="00A261A4">
              <w:rPr>
                <w:noProof/>
                <w:webHidden/>
              </w:rPr>
            </w:r>
            <w:r w:rsidR="00A261A4">
              <w:rPr>
                <w:noProof/>
                <w:webHidden/>
              </w:rPr>
              <w:fldChar w:fldCharType="separate"/>
            </w:r>
            <w:r w:rsidR="005928E3">
              <w:rPr>
                <w:noProof/>
                <w:webHidden/>
              </w:rPr>
              <w:t>254</w:t>
            </w:r>
            <w:r w:rsidR="00A261A4">
              <w:rPr>
                <w:noProof/>
                <w:webHidden/>
              </w:rPr>
              <w:fldChar w:fldCharType="end"/>
            </w:r>
          </w:hyperlink>
        </w:p>
        <w:p w:rsidR="00A261A4" w:rsidRDefault="00AE5F7A">
          <w:pPr>
            <w:pStyle w:val="TM3"/>
            <w:tabs>
              <w:tab w:val="right" w:leader="dot" w:pos="10790"/>
            </w:tabs>
            <w:rPr>
              <w:rFonts w:asciiTheme="minorHAnsi" w:eastAsiaTheme="minorEastAsia" w:hAnsiTheme="minorHAnsi"/>
              <w:noProof/>
              <w:lang w:eastAsia="fr-CA"/>
            </w:rPr>
          </w:pPr>
          <w:hyperlink w:anchor="_Toc480797333" w:history="1">
            <w:r w:rsidR="00A261A4" w:rsidRPr="005A21AB">
              <w:rPr>
                <w:rStyle w:val="Lienhypertexte"/>
                <w:noProof/>
              </w:rPr>
              <w:t>Sevrage à une substance</w:t>
            </w:r>
            <w:r w:rsidR="00A261A4">
              <w:rPr>
                <w:noProof/>
                <w:webHidden/>
              </w:rPr>
              <w:tab/>
            </w:r>
            <w:r w:rsidR="00A261A4">
              <w:rPr>
                <w:noProof/>
                <w:webHidden/>
              </w:rPr>
              <w:fldChar w:fldCharType="begin"/>
            </w:r>
            <w:r w:rsidR="00A261A4">
              <w:rPr>
                <w:noProof/>
                <w:webHidden/>
              </w:rPr>
              <w:instrText xml:space="preserve"> PAGEREF _Toc480797333 \h </w:instrText>
            </w:r>
            <w:r w:rsidR="00A261A4">
              <w:rPr>
                <w:noProof/>
                <w:webHidden/>
              </w:rPr>
            </w:r>
            <w:r w:rsidR="00A261A4">
              <w:rPr>
                <w:noProof/>
                <w:webHidden/>
              </w:rPr>
              <w:fldChar w:fldCharType="separate"/>
            </w:r>
            <w:r w:rsidR="005928E3">
              <w:rPr>
                <w:noProof/>
                <w:webHidden/>
              </w:rPr>
              <w:t>259</w:t>
            </w:r>
            <w:r w:rsidR="00A261A4">
              <w:rPr>
                <w:noProof/>
                <w:webHidden/>
              </w:rPr>
              <w:fldChar w:fldCharType="end"/>
            </w:r>
          </w:hyperlink>
        </w:p>
        <w:p w:rsidR="00A261A4" w:rsidRDefault="00AE5F7A">
          <w:pPr>
            <w:pStyle w:val="TM3"/>
            <w:tabs>
              <w:tab w:val="right" w:leader="dot" w:pos="10790"/>
            </w:tabs>
            <w:rPr>
              <w:rFonts w:asciiTheme="minorHAnsi" w:eastAsiaTheme="minorEastAsia" w:hAnsiTheme="minorHAnsi"/>
              <w:noProof/>
              <w:lang w:eastAsia="fr-CA"/>
            </w:rPr>
          </w:pPr>
          <w:hyperlink w:anchor="_Toc480797334" w:history="1">
            <w:r w:rsidR="00A261A4" w:rsidRPr="005A21AB">
              <w:rPr>
                <w:rStyle w:val="Lienhypertexte"/>
                <w:rFonts w:cs="Times New Roman"/>
                <w:noProof/>
              </w:rPr>
              <w:t>Syndrome de mort subite du nourrisson (SMSN), accident aigu potentiellement fatal (ALTE)</w:t>
            </w:r>
            <w:r w:rsidR="00A261A4">
              <w:rPr>
                <w:noProof/>
                <w:webHidden/>
              </w:rPr>
              <w:tab/>
            </w:r>
            <w:r w:rsidR="00A261A4">
              <w:rPr>
                <w:noProof/>
                <w:webHidden/>
              </w:rPr>
              <w:fldChar w:fldCharType="begin"/>
            </w:r>
            <w:r w:rsidR="00A261A4">
              <w:rPr>
                <w:noProof/>
                <w:webHidden/>
              </w:rPr>
              <w:instrText xml:space="preserve"> PAGEREF _Toc480797334 \h </w:instrText>
            </w:r>
            <w:r w:rsidR="00A261A4">
              <w:rPr>
                <w:noProof/>
                <w:webHidden/>
              </w:rPr>
            </w:r>
            <w:r w:rsidR="00A261A4">
              <w:rPr>
                <w:noProof/>
                <w:webHidden/>
              </w:rPr>
              <w:fldChar w:fldCharType="separate"/>
            </w:r>
            <w:r w:rsidR="005928E3">
              <w:rPr>
                <w:noProof/>
                <w:webHidden/>
              </w:rPr>
              <w:t>262</w:t>
            </w:r>
            <w:r w:rsidR="00A261A4">
              <w:rPr>
                <w:noProof/>
                <w:webHidden/>
              </w:rPr>
              <w:fldChar w:fldCharType="end"/>
            </w:r>
          </w:hyperlink>
        </w:p>
        <w:p w:rsidR="00A261A4" w:rsidRDefault="00AE5F7A">
          <w:pPr>
            <w:pStyle w:val="TM3"/>
            <w:tabs>
              <w:tab w:val="right" w:leader="dot" w:pos="10790"/>
            </w:tabs>
            <w:rPr>
              <w:rFonts w:asciiTheme="minorHAnsi" w:eastAsiaTheme="minorEastAsia" w:hAnsiTheme="minorHAnsi"/>
              <w:noProof/>
              <w:lang w:eastAsia="fr-CA"/>
            </w:rPr>
          </w:pPr>
          <w:hyperlink w:anchor="_Toc480797335" w:history="1">
            <w:r w:rsidR="00A261A4" w:rsidRPr="005A21AB">
              <w:rPr>
                <w:rStyle w:val="Lienhypertexte"/>
                <w:rFonts w:cs="Times New Roman"/>
                <w:noProof/>
              </w:rPr>
              <w:t>Comportement suicidaire</w:t>
            </w:r>
            <w:r w:rsidR="00A261A4">
              <w:rPr>
                <w:noProof/>
                <w:webHidden/>
              </w:rPr>
              <w:tab/>
            </w:r>
            <w:r w:rsidR="00A261A4">
              <w:rPr>
                <w:noProof/>
                <w:webHidden/>
              </w:rPr>
              <w:fldChar w:fldCharType="begin"/>
            </w:r>
            <w:r w:rsidR="00A261A4">
              <w:rPr>
                <w:noProof/>
                <w:webHidden/>
              </w:rPr>
              <w:instrText xml:space="preserve"> PAGEREF _Toc480797335 \h </w:instrText>
            </w:r>
            <w:r w:rsidR="00A261A4">
              <w:rPr>
                <w:noProof/>
                <w:webHidden/>
              </w:rPr>
            </w:r>
            <w:r w:rsidR="00A261A4">
              <w:rPr>
                <w:noProof/>
                <w:webHidden/>
              </w:rPr>
              <w:fldChar w:fldCharType="separate"/>
            </w:r>
            <w:r w:rsidR="005928E3">
              <w:rPr>
                <w:noProof/>
                <w:webHidden/>
              </w:rPr>
              <w:t>266</w:t>
            </w:r>
            <w:r w:rsidR="00A261A4">
              <w:rPr>
                <w:noProof/>
                <w:webHidden/>
              </w:rPr>
              <w:fldChar w:fldCharType="end"/>
            </w:r>
          </w:hyperlink>
        </w:p>
        <w:p w:rsidR="00A261A4" w:rsidRDefault="00AE5F7A">
          <w:pPr>
            <w:pStyle w:val="TM3"/>
            <w:tabs>
              <w:tab w:val="right" w:leader="dot" w:pos="10790"/>
            </w:tabs>
            <w:rPr>
              <w:rFonts w:asciiTheme="minorHAnsi" w:eastAsiaTheme="minorEastAsia" w:hAnsiTheme="minorHAnsi"/>
              <w:noProof/>
              <w:lang w:eastAsia="fr-CA"/>
            </w:rPr>
          </w:pPr>
          <w:hyperlink w:anchor="_Toc480797336" w:history="1">
            <w:r w:rsidR="00A261A4" w:rsidRPr="005A21AB">
              <w:rPr>
                <w:rStyle w:val="Lienhypertexte"/>
                <w:rFonts w:cs="Times New Roman"/>
                <w:noProof/>
              </w:rPr>
              <w:t>Fièvre chez un nouveau-né / chez un enfant</w:t>
            </w:r>
            <w:r w:rsidR="00A261A4">
              <w:rPr>
                <w:noProof/>
                <w:webHidden/>
              </w:rPr>
              <w:tab/>
            </w:r>
            <w:r w:rsidR="00A261A4">
              <w:rPr>
                <w:noProof/>
                <w:webHidden/>
              </w:rPr>
              <w:fldChar w:fldCharType="begin"/>
            </w:r>
            <w:r w:rsidR="00A261A4">
              <w:rPr>
                <w:noProof/>
                <w:webHidden/>
              </w:rPr>
              <w:instrText xml:space="preserve"> PAGEREF _Toc480797336 \h </w:instrText>
            </w:r>
            <w:r w:rsidR="00A261A4">
              <w:rPr>
                <w:noProof/>
                <w:webHidden/>
              </w:rPr>
            </w:r>
            <w:r w:rsidR="00A261A4">
              <w:rPr>
                <w:noProof/>
                <w:webHidden/>
              </w:rPr>
              <w:fldChar w:fldCharType="separate"/>
            </w:r>
            <w:r w:rsidR="005928E3">
              <w:rPr>
                <w:noProof/>
                <w:webHidden/>
              </w:rPr>
              <w:t>269</w:t>
            </w:r>
            <w:r w:rsidR="00A261A4">
              <w:rPr>
                <w:noProof/>
                <w:webHidden/>
              </w:rPr>
              <w:fldChar w:fldCharType="end"/>
            </w:r>
          </w:hyperlink>
        </w:p>
        <w:p w:rsidR="00A261A4" w:rsidRDefault="00AE5F7A">
          <w:pPr>
            <w:pStyle w:val="TM3"/>
            <w:tabs>
              <w:tab w:val="right" w:leader="dot" w:pos="10790"/>
            </w:tabs>
            <w:rPr>
              <w:rFonts w:asciiTheme="minorHAnsi" w:eastAsiaTheme="minorEastAsia" w:hAnsiTheme="minorHAnsi"/>
              <w:noProof/>
              <w:lang w:eastAsia="fr-CA"/>
            </w:rPr>
          </w:pPr>
          <w:hyperlink w:anchor="_Toc480797337" w:history="1">
            <w:r w:rsidR="00A261A4" w:rsidRPr="005A21AB">
              <w:rPr>
                <w:rStyle w:val="Lienhypertexte"/>
                <w:rFonts w:cs="Times New Roman"/>
                <w:noProof/>
              </w:rPr>
              <w:t>Saignements vaginaux excessifs, irréguliers, anormaux</w:t>
            </w:r>
            <w:r w:rsidR="00A261A4">
              <w:rPr>
                <w:noProof/>
                <w:webHidden/>
              </w:rPr>
              <w:tab/>
            </w:r>
            <w:r w:rsidR="00A261A4">
              <w:rPr>
                <w:noProof/>
                <w:webHidden/>
              </w:rPr>
              <w:fldChar w:fldCharType="begin"/>
            </w:r>
            <w:r w:rsidR="00A261A4">
              <w:rPr>
                <w:noProof/>
                <w:webHidden/>
              </w:rPr>
              <w:instrText xml:space="preserve"> PAGEREF _Toc480797337 \h </w:instrText>
            </w:r>
            <w:r w:rsidR="00A261A4">
              <w:rPr>
                <w:noProof/>
                <w:webHidden/>
              </w:rPr>
            </w:r>
            <w:r w:rsidR="00A261A4">
              <w:rPr>
                <w:noProof/>
                <w:webHidden/>
              </w:rPr>
              <w:fldChar w:fldCharType="separate"/>
            </w:r>
            <w:r w:rsidR="005928E3">
              <w:rPr>
                <w:noProof/>
                <w:webHidden/>
              </w:rPr>
              <w:t>275</w:t>
            </w:r>
            <w:r w:rsidR="00A261A4">
              <w:rPr>
                <w:noProof/>
                <w:webHidden/>
              </w:rPr>
              <w:fldChar w:fldCharType="end"/>
            </w:r>
          </w:hyperlink>
        </w:p>
        <w:p w:rsidR="00A261A4" w:rsidRDefault="00AE5F7A">
          <w:pPr>
            <w:pStyle w:val="TM3"/>
            <w:tabs>
              <w:tab w:val="right" w:leader="dot" w:pos="10790"/>
            </w:tabs>
            <w:rPr>
              <w:rFonts w:asciiTheme="minorHAnsi" w:eastAsiaTheme="minorEastAsia" w:hAnsiTheme="minorHAnsi"/>
              <w:noProof/>
              <w:lang w:eastAsia="fr-CA"/>
            </w:rPr>
          </w:pPr>
          <w:hyperlink w:anchor="_Toc480797338" w:history="1">
            <w:r w:rsidR="00A261A4" w:rsidRPr="005A21AB">
              <w:rPr>
                <w:rStyle w:val="Lienhypertexte"/>
                <w:rFonts w:cs="Times New Roman"/>
                <w:noProof/>
              </w:rPr>
              <w:t>Écoulement vaginal, prurit vulvaire</w:t>
            </w:r>
            <w:r w:rsidR="00A261A4">
              <w:rPr>
                <w:noProof/>
                <w:webHidden/>
              </w:rPr>
              <w:tab/>
            </w:r>
            <w:r w:rsidR="00A261A4">
              <w:rPr>
                <w:noProof/>
                <w:webHidden/>
              </w:rPr>
              <w:fldChar w:fldCharType="begin"/>
            </w:r>
            <w:r w:rsidR="00A261A4">
              <w:rPr>
                <w:noProof/>
                <w:webHidden/>
              </w:rPr>
              <w:instrText xml:space="preserve"> PAGEREF _Toc480797338 \h </w:instrText>
            </w:r>
            <w:r w:rsidR="00A261A4">
              <w:rPr>
                <w:noProof/>
                <w:webHidden/>
              </w:rPr>
            </w:r>
            <w:r w:rsidR="00A261A4">
              <w:rPr>
                <w:noProof/>
                <w:webHidden/>
              </w:rPr>
              <w:fldChar w:fldCharType="separate"/>
            </w:r>
            <w:r w:rsidR="005928E3">
              <w:rPr>
                <w:noProof/>
                <w:webHidden/>
              </w:rPr>
              <w:t>279</w:t>
            </w:r>
            <w:r w:rsidR="00A261A4">
              <w:rPr>
                <w:noProof/>
                <w:webHidden/>
              </w:rPr>
              <w:fldChar w:fldCharType="end"/>
            </w:r>
          </w:hyperlink>
        </w:p>
        <w:p w:rsidR="00A261A4" w:rsidRDefault="00AE5F7A">
          <w:pPr>
            <w:pStyle w:val="TM3"/>
            <w:tabs>
              <w:tab w:val="right" w:leader="dot" w:pos="10790"/>
            </w:tabs>
            <w:rPr>
              <w:rFonts w:asciiTheme="minorHAnsi" w:eastAsiaTheme="minorEastAsia" w:hAnsiTheme="minorHAnsi"/>
              <w:noProof/>
              <w:lang w:eastAsia="fr-CA"/>
            </w:rPr>
          </w:pPr>
          <w:hyperlink w:anchor="_Toc480797339" w:history="1">
            <w:r w:rsidR="00A261A4" w:rsidRPr="005A21AB">
              <w:rPr>
                <w:rStyle w:val="Lienhypertexte"/>
                <w:rFonts w:cs="Times New Roman"/>
                <w:noProof/>
              </w:rPr>
              <w:t>Mauvais traitements envers un enfant</w:t>
            </w:r>
            <w:r w:rsidR="00A261A4">
              <w:rPr>
                <w:noProof/>
                <w:webHidden/>
              </w:rPr>
              <w:tab/>
            </w:r>
            <w:r w:rsidR="00A261A4">
              <w:rPr>
                <w:noProof/>
                <w:webHidden/>
              </w:rPr>
              <w:fldChar w:fldCharType="begin"/>
            </w:r>
            <w:r w:rsidR="00A261A4">
              <w:rPr>
                <w:noProof/>
                <w:webHidden/>
              </w:rPr>
              <w:instrText xml:space="preserve"> PAGEREF _Toc480797339 \h </w:instrText>
            </w:r>
            <w:r w:rsidR="00A261A4">
              <w:rPr>
                <w:noProof/>
                <w:webHidden/>
              </w:rPr>
            </w:r>
            <w:r w:rsidR="00A261A4">
              <w:rPr>
                <w:noProof/>
                <w:webHidden/>
              </w:rPr>
              <w:fldChar w:fldCharType="separate"/>
            </w:r>
            <w:r w:rsidR="005928E3">
              <w:rPr>
                <w:noProof/>
                <w:webHidden/>
              </w:rPr>
              <w:t>282</w:t>
            </w:r>
            <w:r w:rsidR="00A261A4">
              <w:rPr>
                <w:noProof/>
                <w:webHidden/>
              </w:rPr>
              <w:fldChar w:fldCharType="end"/>
            </w:r>
          </w:hyperlink>
        </w:p>
        <w:p w:rsidR="00A261A4" w:rsidRDefault="00AE5F7A">
          <w:pPr>
            <w:pStyle w:val="TM3"/>
            <w:tabs>
              <w:tab w:val="right" w:leader="dot" w:pos="10790"/>
            </w:tabs>
            <w:rPr>
              <w:rFonts w:asciiTheme="minorHAnsi" w:eastAsiaTheme="minorEastAsia" w:hAnsiTheme="minorHAnsi"/>
              <w:noProof/>
              <w:lang w:eastAsia="fr-CA"/>
            </w:rPr>
          </w:pPr>
          <w:hyperlink w:anchor="_Toc480797340" w:history="1">
            <w:r w:rsidR="00A261A4" w:rsidRPr="005A21AB">
              <w:rPr>
                <w:rStyle w:val="Lienhypertexte"/>
                <w:rFonts w:cs="Times New Roman"/>
                <w:noProof/>
              </w:rPr>
              <w:t>Mauvais traitements envers une personne âgée</w:t>
            </w:r>
            <w:r w:rsidR="00A261A4">
              <w:rPr>
                <w:noProof/>
                <w:webHidden/>
              </w:rPr>
              <w:tab/>
            </w:r>
            <w:r w:rsidR="00A261A4">
              <w:rPr>
                <w:noProof/>
                <w:webHidden/>
              </w:rPr>
              <w:fldChar w:fldCharType="begin"/>
            </w:r>
            <w:r w:rsidR="00A261A4">
              <w:rPr>
                <w:noProof/>
                <w:webHidden/>
              </w:rPr>
              <w:instrText xml:space="preserve"> PAGEREF _Toc480797340 \h </w:instrText>
            </w:r>
            <w:r w:rsidR="00A261A4">
              <w:rPr>
                <w:noProof/>
                <w:webHidden/>
              </w:rPr>
            </w:r>
            <w:r w:rsidR="00A261A4">
              <w:rPr>
                <w:noProof/>
                <w:webHidden/>
              </w:rPr>
              <w:fldChar w:fldCharType="separate"/>
            </w:r>
            <w:r w:rsidR="005928E3">
              <w:rPr>
                <w:noProof/>
                <w:webHidden/>
              </w:rPr>
              <w:t>285</w:t>
            </w:r>
            <w:r w:rsidR="00A261A4">
              <w:rPr>
                <w:noProof/>
                <w:webHidden/>
              </w:rPr>
              <w:fldChar w:fldCharType="end"/>
            </w:r>
          </w:hyperlink>
        </w:p>
        <w:p w:rsidR="00A261A4" w:rsidRDefault="00AE5F7A">
          <w:pPr>
            <w:pStyle w:val="TM3"/>
            <w:tabs>
              <w:tab w:val="right" w:leader="dot" w:pos="10790"/>
            </w:tabs>
            <w:rPr>
              <w:rFonts w:asciiTheme="minorHAnsi" w:eastAsiaTheme="minorEastAsia" w:hAnsiTheme="minorHAnsi"/>
              <w:noProof/>
              <w:lang w:eastAsia="fr-CA"/>
            </w:rPr>
          </w:pPr>
          <w:hyperlink w:anchor="_Toc480797341" w:history="1">
            <w:r w:rsidR="00A261A4" w:rsidRPr="005A21AB">
              <w:rPr>
                <w:rStyle w:val="Lienhypertexte"/>
                <w:rFonts w:cs="Times New Roman"/>
                <w:noProof/>
              </w:rPr>
              <w:t>Violence entre adultes ou partenaires intimes</w:t>
            </w:r>
            <w:r w:rsidR="00A261A4">
              <w:rPr>
                <w:noProof/>
                <w:webHidden/>
              </w:rPr>
              <w:tab/>
            </w:r>
            <w:r w:rsidR="00A261A4">
              <w:rPr>
                <w:noProof/>
                <w:webHidden/>
              </w:rPr>
              <w:fldChar w:fldCharType="begin"/>
            </w:r>
            <w:r w:rsidR="00A261A4">
              <w:rPr>
                <w:noProof/>
                <w:webHidden/>
              </w:rPr>
              <w:instrText xml:space="preserve"> PAGEREF _Toc480797341 \h </w:instrText>
            </w:r>
            <w:r w:rsidR="00A261A4">
              <w:rPr>
                <w:noProof/>
                <w:webHidden/>
              </w:rPr>
            </w:r>
            <w:r w:rsidR="00A261A4">
              <w:rPr>
                <w:noProof/>
                <w:webHidden/>
              </w:rPr>
              <w:fldChar w:fldCharType="separate"/>
            </w:r>
            <w:r w:rsidR="005928E3">
              <w:rPr>
                <w:noProof/>
                <w:webHidden/>
              </w:rPr>
              <w:t>287</w:t>
            </w:r>
            <w:r w:rsidR="00A261A4">
              <w:rPr>
                <w:noProof/>
                <w:webHidden/>
              </w:rPr>
              <w:fldChar w:fldCharType="end"/>
            </w:r>
          </w:hyperlink>
        </w:p>
        <w:p w:rsidR="00A261A4" w:rsidRDefault="00AE5F7A">
          <w:pPr>
            <w:pStyle w:val="TM3"/>
            <w:tabs>
              <w:tab w:val="right" w:leader="dot" w:pos="10790"/>
            </w:tabs>
            <w:rPr>
              <w:rFonts w:asciiTheme="minorHAnsi" w:eastAsiaTheme="minorEastAsia" w:hAnsiTheme="minorHAnsi"/>
              <w:noProof/>
              <w:lang w:eastAsia="fr-CA"/>
            </w:rPr>
          </w:pPr>
          <w:hyperlink w:anchor="_Toc480797342" w:history="1">
            <w:r w:rsidR="00A261A4" w:rsidRPr="005A21AB">
              <w:rPr>
                <w:rStyle w:val="Lienhypertexte"/>
                <w:rFonts w:cs="Times New Roman"/>
                <w:noProof/>
              </w:rPr>
              <w:t>Consentement</w:t>
            </w:r>
            <w:r w:rsidR="00A261A4">
              <w:rPr>
                <w:noProof/>
                <w:webHidden/>
              </w:rPr>
              <w:tab/>
            </w:r>
            <w:r w:rsidR="00A261A4">
              <w:rPr>
                <w:noProof/>
                <w:webHidden/>
              </w:rPr>
              <w:fldChar w:fldCharType="begin"/>
            </w:r>
            <w:r w:rsidR="00A261A4">
              <w:rPr>
                <w:noProof/>
                <w:webHidden/>
              </w:rPr>
              <w:instrText xml:space="preserve"> PAGEREF _Toc480797342 \h </w:instrText>
            </w:r>
            <w:r w:rsidR="00A261A4">
              <w:rPr>
                <w:noProof/>
                <w:webHidden/>
              </w:rPr>
            </w:r>
            <w:r w:rsidR="00A261A4">
              <w:rPr>
                <w:noProof/>
                <w:webHidden/>
              </w:rPr>
              <w:fldChar w:fldCharType="separate"/>
            </w:r>
            <w:r w:rsidR="005928E3">
              <w:rPr>
                <w:noProof/>
                <w:webHidden/>
              </w:rPr>
              <w:t>289</w:t>
            </w:r>
            <w:r w:rsidR="00A261A4">
              <w:rPr>
                <w:noProof/>
                <w:webHidden/>
              </w:rPr>
              <w:fldChar w:fldCharType="end"/>
            </w:r>
          </w:hyperlink>
        </w:p>
        <w:p w:rsidR="00A261A4" w:rsidRDefault="00AE5F7A">
          <w:pPr>
            <w:pStyle w:val="TM3"/>
            <w:tabs>
              <w:tab w:val="right" w:leader="dot" w:pos="10790"/>
            </w:tabs>
            <w:rPr>
              <w:rFonts w:asciiTheme="minorHAnsi" w:eastAsiaTheme="minorEastAsia" w:hAnsiTheme="minorHAnsi"/>
              <w:noProof/>
              <w:lang w:eastAsia="fr-CA"/>
            </w:rPr>
          </w:pPr>
          <w:hyperlink w:anchor="_Toc480797343" w:history="1">
            <w:r w:rsidR="00A261A4" w:rsidRPr="005A21AB">
              <w:rPr>
                <w:rStyle w:val="Lienhypertexte"/>
                <w:rFonts w:cs="Times New Roman"/>
                <w:noProof/>
              </w:rPr>
              <w:t>Obligation de dire la vérité</w:t>
            </w:r>
            <w:r w:rsidR="00A261A4">
              <w:rPr>
                <w:noProof/>
                <w:webHidden/>
              </w:rPr>
              <w:tab/>
            </w:r>
            <w:r w:rsidR="00A261A4">
              <w:rPr>
                <w:noProof/>
                <w:webHidden/>
              </w:rPr>
              <w:fldChar w:fldCharType="begin"/>
            </w:r>
            <w:r w:rsidR="00A261A4">
              <w:rPr>
                <w:noProof/>
                <w:webHidden/>
              </w:rPr>
              <w:instrText xml:space="preserve"> PAGEREF _Toc480797343 \h </w:instrText>
            </w:r>
            <w:r w:rsidR="00A261A4">
              <w:rPr>
                <w:noProof/>
                <w:webHidden/>
              </w:rPr>
            </w:r>
            <w:r w:rsidR="00A261A4">
              <w:rPr>
                <w:noProof/>
                <w:webHidden/>
              </w:rPr>
              <w:fldChar w:fldCharType="separate"/>
            </w:r>
            <w:r w:rsidR="005928E3">
              <w:rPr>
                <w:noProof/>
                <w:webHidden/>
              </w:rPr>
              <w:t>292</w:t>
            </w:r>
            <w:r w:rsidR="00A261A4">
              <w:rPr>
                <w:noProof/>
                <w:webHidden/>
              </w:rPr>
              <w:fldChar w:fldCharType="end"/>
            </w:r>
          </w:hyperlink>
        </w:p>
        <w:p w:rsidR="00A261A4" w:rsidRDefault="00AE5F7A">
          <w:pPr>
            <w:pStyle w:val="TM3"/>
            <w:tabs>
              <w:tab w:val="right" w:leader="dot" w:pos="10790"/>
            </w:tabs>
            <w:rPr>
              <w:rFonts w:asciiTheme="minorHAnsi" w:eastAsiaTheme="minorEastAsia" w:hAnsiTheme="minorHAnsi"/>
              <w:noProof/>
              <w:lang w:eastAsia="fr-CA"/>
            </w:rPr>
          </w:pPr>
          <w:hyperlink w:anchor="_Toc480797344" w:history="1">
            <w:r w:rsidR="00A261A4" w:rsidRPr="005A21AB">
              <w:rPr>
                <w:rStyle w:val="Lienhypertexte"/>
                <w:rFonts w:cs="Times New Roman"/>
                <w:noProof/>
              </w:rPr>
              <w:t>Négligence</w:t>
            </w:r>
            <w:r w:rsidR="00A261A4">
              <w:rPr>
                <w:noProof/>
                <w:webHidden/>
              </w:rPr>
              <w:tab/>
            </w:r>
            <w:r w:rsidR="00A261A4">
              <w:rPr>
                <w:noProof/>
                <w:webHidden/>
              </w:rPr>
              <w:fldChar w:fldCharType="begin"/>
            </w:r>
            <w:r w:rsidR="00A261A4">
              <w:rPr>
                <w:noProof/>
                <w:webHidden/>
              </w:rPr>
              <w:instrText xml:space="preserve"> PAGEREF _Toc480797344 \h </w:instrText>
            </w:r>
            <w:r w:rsidR="00A261A4">
              <w:rPr>
                <w:noProof/>
                <w:webHidden/>
              </w:rPr>
            </w:r>
            <w:r w:rsidR="00A261A4">
              <w:rPr>
                <w:noProof/>
                <w:webHidden/>
              </w:rPr>
              <w:fldChar w:fldCharType="separate"/>
            </w:r>
            <w:r w:rsidR="005928E3">
              <w:rPr>
                <w:noProof/>
                <w:webHidden/>
              </w:rPr>
              <w:t>294</w:t>
            </w:r>
            <w:r w:rsidR="00A261A4">
              <w:rPr>
                <w:noProof/>
                <w:webHidden/>
              </w:rPr>
              <w:fldChar w:fldCharType="end"/>
            </w:r>
          </w:hyperlink>
        </w:p>
        <w:p w:rsidR="00A261A4" w:rsidRDefault="00AE5F7A">
          <w:pPr>
            <w:pStyle w:val="TM3"/>
            <w:tabs>
              <w:tab w:val="right" w:leader="dot" w:pos="10790"/>
            </w:tabs>
            <w:rPr>
              <w:rFonts w:asciiTheme="minorHAnsi" w:eastAsiaTheme="minorEastAsia" w:hAnsiTheme="minorHAnsi"/>
              <w:noProof/>
              <w:lang w:eastAsia="fr-CA"/>
            </w:rPr>
          </w:pPr>
          <w:hyperlink w:anchor="_Toc480797345" w:history="1">
            <w:r w:rsidR="00A261A4" w:rsidRPr="005A21AB">
              <w:rPr>
                <w:rStyle w:val="Lienhypertexte"/>
                <w:rFonts w:cs="Times New Roman"/>
                <w:noProof/>
              </w:rPr>
              <w:t>Confidentialité</w:t>
            </w:r>
            <w:r w:rsidR="00A261A4">
              <w:rPr>
                <w:noProof/>
                <w:webHidden/>
              </w:rPr>
              <w:tab/>
            </w:r>
            <w:r w:rsidR="00A261A4">
              <w:rPr>
                <w:noProof/>
                <w:webHidden/>
              </w:rPr>
              <w:fldChar w:fldCharType="begin"/>
            </w:r>
            <w:r w:rsidR="00A261A4">
              <w:rPr>
                <w:noProof/>
                <w:webHidden/>
              </w:rPr>
              <w:instrText xml:space="preserve"> PAGEREF _Toc480797345 \h </w:instrText>
            </w:r>
            <w:r w:rsidR="00A261A4">
              <w:rPr>
                <w:noProof/>
                <w:webHidden/>
              </w:rPr>
            </w:r>
            <w:r w:rsidR="00A261A4">
              <w:rPr>
                <w:noProof/>
                <w:webHidden/>
              </w:rPr>
              <w:fldChar w:fldCharType="separate"/>
            </w:r>
            <w:r w:rsidR="005928E3">
              <w:rPr>
                <w:noProof/>
                <w:webHidden/>
              </w:rPr>
              <w:t>295</w:t>
            </w:r>
            <w:r w:rsidR="00A261A4">
              <w:rPr>
                <w:noProof/>
                <w:webHidden/>
              </w:rPr>
              <w:fldChar w:fldCharType="end"/>
            </w:r>
          </w:hyperlink>
        </w:p>
        <w:p w:rsidR="00A261A4" w:rsidRDefault="00AE5F7A">
          <w:pPr>
            <w:pStyle w:val="TM3"/>
            <w:tabs>
              <w:tab w:val="right" w:leader="dot" w:pos="10790"/>
            </w:tabs>
            <w:rPr>
              <w:rFonts w:asciiTheme="minorHAnsi" w:eastAsiaTheme="minorEastAsia" w:hAnsiTheme="minorHAnsi"/>
              <w:noProof/>
              <w:lang w:eastAsia="fr-CA"/>
            </w:rPr>
          </w:pPr>
          <w:hyperlink w:anchor="_Toc480797346" w:history="1">
            <w:r w:rsidR="00A261A4" w:rsidRPr="005A21AB">
              <w:rPr>
                <w:rStyle w:val="Lienhypertexte"/>
                <w:rFonts w:cs="Times New Roman"/>
                <w:noProof/>
              </w:rPr>
              <w:t>Le système juridique</w:t>
            </w:r>
            <w:r w:rsidR="00A261A4">
              <w:rPr>
                <w:noProof/>
                <w:webHidden/>
              </w:rPr>
              <w:tab/>
            </w:r>
            <w:r w:rsidR="00A261A4">
              <w:rPr>
                <w:noProof/>
                <w:webHidden/>
              </w:rPr>
              <w:fldChar w:fldCharType="begin"/>
            </w:r>
            <w:r w:rsidR="00A261A4">
              <w:rPr>
                <w:noProof/>
                <w:webHidden/>
              </w:rPr>
              <w:instrText xml:space="preserve"> PAGEREF _Toc480797346 \h </w:instrText>
            </w:r>
            <w:r w:rsidR="00A261A4">
              <w:rPr>
                <w:noProof/>
                <w:webHidden/>
              </w:rPr>
            </w:r>
            <w:r w:rsidR="00A261A4">
              <w:rPr>
                <w:noProof/>
                <w:webHidden/>
              </w:rPr>
              <w:fldChar w:fldCharType="separate"/>
            </w:r>
            <w:r w:rsidR="005928E3">
              <w:rPr>
                <w:noProof/>
                <w:webHidden/>
              </w:rPr>
              <w:t>297</w:t>
            </w:r>
            <w:r w:rsidR="00A261A4">
              <w:rPr>
                <w:noProof/>
                <w:webHidden/>
              </w:rPr>
              <w:fldChar w:fldCharType="end"/>
            </w:r>
          </w:hyperlink>
        </w:p>
        <w:p w:rsidR="00A261A4" w:rsidRDefault="00AE5F7A">
          <w:pPr>
            <w:pStyle w:val="TM1"/>
            <w:tabs>
              <w:tab w:val="right" w:leader="dot" w:pos="10790"/>
            </w:tabs>
            <w:rPr>
              <w:rFonts w:asciiTheme="minorHAnsi" w:eastAsiaTheme="minorEastAsia" w:hAnsiTheme="minorHAnsi"/>
              <w:noProof/>
              <w:lang w:eastAsia="fr-CA"/>
            </w:rPr>
          </w:pPr>
          <w:hyperlink w:anchor="_Toc480797347" w:history="1">
            <w:r w:rsidR="00A261A4" w:rsidRPr="005A21AB">
              <w:rPr>
                <w:rStyle w:val="Lienhypertexte"/>
                <w:noProof/>
                <w:lang w:val="fr-FR"/>
              </w:rPr>
              <w:t>Sources</w:t>
            </w:r>
            <w:r w:rsidR="00A261A4">
              <w:rPr>
                <w:noProof/>
                <w:webHidden/>
              </w:rPr>
              <w:tab/>
            </w:r>
            <w:r w:rsidR="00A261A4">
              <w:rPr>
                <w:noProof/>
                <w:webHidden/>
              </w:rPr>
              <w:fldChar w:fldCharType="begin"/>
            </w:r>
            <w:r w:rsidR="00A261A4">
              <w:rPr>
                <w:noProof/>
                <w:webHidden/>
              </w:rPr>
              <w:instrText xml:space="preserve"> PAGEREF _Toc480797347 \h </w:instrText>
            </w:r>
            <w:r w:rsidR="00A261A4">
              <w:rPr>
                <w:noProof/>
                <w:webHidden/>
              </w:rPr>
            </w:r>
            <w:r w:rsidR="00A261A4">
              <w:rPr>
                <w:noProof/>
                <w:webHidden/>
              </w:rPr>
              <w:fldChar w:fldCharType="separate"/>
            </w:r>
            <w:r w:rsidR="005928E3">
              <w:rPr>
                <w:noProof/>
                <w:webHidden/>
              </w:rPr>
              <w:t>299</w:t>
            </w:r>
            <w:r w:rsidR="00A261A4">
              <w:rPr>
                <w:noProof/>
                <w:webHidden/>
              </w:rPr>
              <w:fldChar w:fldCharType="end"/>
            </w:r>
          </w:hyperlink>
        </w:p>
        <w:p w:rsidR="00566FA5" w:rsidRDefault="00566FA5">
          <w:r>
            <w:rPr>
              <w:b/>
              <w:bCs/>
              <w:lang w:val="fr-FR"/>
            </w:rPr>
            <w:fldChar w:fldCharType="end"/>
          </w:r>
        </w:p>
      </w:sdtContent>
    </w:sdt>
    <w:p w:rsidR="00566FA5" w:rsidRDefault="00566FA5">
      <w:pPr>
        <w:rPr>
          <w:rFonts w:cs="Times New Roman"/>
          <w:b/>
          <w:color w:val="548DD4" w:themeColor="text2" w:themeTint="99"/>
        </w:rPr>
      </w:pPr>
    </w:p>
    <w:p w:rsidR="00D465BF" w:rsidRDefault="00D465BF">
      <w:pPr>
        <w:rPr>
          <w:rFonts w:cs="Times New Roman"/>
          <w:b/>
          <w:color w:val="548DD4" w:themeColor="text2" w:themeTint="99"/>
        </w:rPr>
      </w:pPr>
      <w:r>
        <w:rPr>
          <w:rFonts w:cs="Times New Roman"/>
          <w:b/>
          <w:color w:val="548DD4" w:themeColor="text2" w:themeTint="99"/>
        </w:rPr>
        <w:br w:type="page"/>
      </w:r>
    </w:p>
    <w:p w:rsidR="00370736" w:rsidRDefault="00370736" w:rsidP="004F6F0C">
      <w:pPr>
        <w:spacing w:after="0"/>
        <w:rPr>
          <w:rFonts w:cs="Times New Roman"/>
          <w:b/>
          <w:color w:val="548DD4" w:themeColor="text2" w:themeTint="99"/>
        </w:rPr>
      </w:pPr>
      <w:r>
        <w:rPr>
          <w:rFonts w:cs="Times New Roman"/>
          <w:b/>
          <w:color w:val="548DD4" w:themeColor="text2" w:themeTint="99"/>
        </w:rPr>
        <w:lastRenderedPageBreak/>
        <w:t>CMC 1</w:t>
      </w:r>
    </w:p>
    <w:p w:rsidR="00370736" w:rsidRPr="00E56594" w:rsidRDefault="00370736" w:rsidP="00E56594">
      <w:pPr>
        <w:pStyle w:val="Titre3"/>
        <w:spacing w:before="0"/>
        <w:rPr>
          <w:rFonts w:ascii="Times New Roman" w:hAnsi="Times New Roman" w:cs="Times New Roman"/>
        </w:rPr>
      </w:pPr>
      <w:bookmarkStart w:id="2" w:name="_Toc480797261"/>
      <w:r w:rsidRPr="00E56594">
        <w:rPr>
          <w:rFonts w:ascii="Times New Roman" w:hAnsi="Times New Roman" w:cs="Times New Roman"/>
        </w:rPr>
        <w:t>Distension abdominale</w:t>
      </w:r>
      <w:bookmarkEnd w:id="2"/>
    </w:p>
    <w:p w:rsidR="00370736" w:rsidRDefault="00E56594" w:rsidP="004F6F0C">
      <w:pPr>
        <w:spacing w:after="0"/>
        <w:rPr>
          <w:rFonts w:cs="Times New Roman"/>
          <w:b/>
          <w:color w:val="548DD4" w:themeColor="text2" w:themeTint="99"/>
        </w:rPr>
      </w:pPr>
      <w:r>
        <w:rPr>
          <w:rFonts w:cs="Times New Roman"/>
          <w:b/>
          <w:noProof/>
          <w:color w:val="548DD4" w:themeColor="text2" w:themeTint="99"/>
          <w:lang w:eastAsia="fr-CA"/>
        </w:rPr>
        <mc:AlternateContent>
          <mc:Choice Requires="wps">
            <w:drawing>
              <wp:anchor distT="0" distB="0" distL="114300" distR="114300" simplePos="0" relativeHeight="252223488" behindDoc="0" locked="0" layoutInCell="1" allowOverlap="1">
                <wp:simplePos x="0" y="0"/>
                <wp:positionH relativeFrom="column">
                  <wp:posOffset>-77821</wp:posOffset>
                </wp:positionH>
                <wp:positionV relativeFrom="paragraph">
                  <wp:posOffset>104680</wp:posOffset>
                </wp:positionV>
                <wp:extent cx="6896910" cy="2665379"/>
                <wp:effectExtent l="0" t="0" r="18415" b="20955"/>
                <wp:wrapNone/>
                <wp:docPr id="678" name="Rectangle 678"/>
                <wp:cNvGraphicFramePr/>
                <a:graphic xmlns:a="http://schemas.openxmlformats.org/drawingml/2006/main">
                  <a:graphicData uri="http://schemas.microsoft.com/office/word/2010/wordprocessingShape">
                    <wps:wsp>
                      <wps:cNvSpPr/>
                      <wps:spPr>
                        <a:xfrm>
                          <a:off x="0" y="0"/>
                          <a:ext cx="6896910" cy="2665379"/>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678" o:spid="_x0000_s1026" style="position:absolute;margin-left:-6.15pt;margin-top:8.25pt;width:543.05pt;height:209.85pt;z-index:2522234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" filled="f" strokecolor="black [1600]" strokeweight="2pt"/>
            </w:pict>
          </mc:Fallback>
        </mc:AlternateContent>
      </w:r>
    </w:p>
    <w:tbl>
      <w:tblPr>
        <w:tblW w:w="3804" w:type="pct"/>
        <w:tblCellSpacing w:w="0" w:type="dxa"/>
        <w:tblCellMar>
          <w:left w:w="0" w:type="dxa"/>
          <w:right w:w="0" w:type="dxa"/>
        </w:tblCellMar>
        <w:tblLook w:val="04A0" w:firstRow="1" w:lastRow="0" w:firstColumn="1" w:lastColumn="0" w:noHBand="0" w:noVBand="1"/>
      </w:tblPr>
      <w:tblGrid>
        <w:gridCol w:w="8217"/>
      </w:tblGrid>
      <w:tr w:rsidR="00E56594" w:rsidRPr="00E56594" w:rsidTr="00E56594">
        <w:trPr>
          <w:tblCellSpacing w:w="0" w:type="dxa"/>
        </w:trPr>
        <w:tc>
          <w:tcPr>
            <w:tcW w:w="0" w:type="auto"/>
            <w:vAlign w:val="bottom"/>
            <w:hideMark/>
          </w:tcPr>
          <w:p w:rsidR="00E56594" w:rsidRPr="00E56594" w:rsidRDefault="00E56594" w:rsidP="00E56594">
            <w:pPr>
              <w:pStyle w:val="Sansinterligne"/>
              <w:rPr>
                <w:rFonts w:cs="Times New Roman"/>
                <w:b/>
                <w:sz w:val="18"/>
                <w:szCs w:val="18"/>
              </w:rPr>
            </w:pPr>
            <w:r w:rsidRPr="00E56594">
              <w:rPr>
                <w:rFonts w:cs="Times New Roman"/>
                <w:b/>
                <w:sz w:val="18"/>
                <w:szCs w:val="18"/>
              </w:rPr>
              <w:t>Objectif principaux</w:t>
            </w:r>
          </w:p>
        </w:tc>
      </w:tr>
    </w:tbl>
    <w:p w:rsidR="00E56594" w:rsidRPr="00E56594" w:rsidRDefault="00E56594" w:rsidP="00E56594">
      <w:pPr>
        <w:pStyle w:val="NormalWeb"/>
        <w:ind w:left="360"/>
        <w:rPr>
          <w:color w:val="000000"/>
          <w:sz w:val="18"/>
          <w:szCs w:val="18"/>
          <w:shd w:val="clear" w:color="auto" w:fill="FFFFFF"/>
        </w:rPr>
      </w:pPr>
      <w:r w:rsidRPr="00E56594">
        <w:rPr>
          <w:color w:val="000000"/>
          <w:sz w:val="18"/>
          <w:szCs w:val="18"/>
          <w:shd w:val="clear" w:color="auto" w:fill="FFFFFF"/>
        </w:rPr>
        <w:t>Dans le cas d'un patient ayant une distension abdominale, le candidat devra en diagnostiquer la cause, la gravité et les complications, et mettre en place un plan de prise en charge approprié. Il devra en particulier pouvoir distinguer une ascite d'une occlusion intestinale.</w:t>
      </w:r>
    </w:p>
    <w:tbl>
      <w:tblPr>
        <w:tblW w:w="3925" w:type="pct"/>
        <w:tblCellSpacing w:w="0" w:type="dxa"/>
        <w:tblCellMar>
          <w:left w:w="0" w:type="dxa"/>
          <w:right w:w="0" w:type="dxa"/>
        </w:tblCellMar>
        <w:tblLook w:val="04A0" w:firstRow="1" w:lastRow="0" w:firstColumn="1" w:lastColumn="0" w:noHBand="0" w:noVBand="1"/>
      </w:tblPr>
      <w:tblGrid>
        <w:gridCol w:w="8478"/>
      </w:tblGrid>
      <w:tr w:rsidR="00E56594" w:rsidRPr="00E56594" w:rsidTr="00E56594">
        <w:trPr>
          <w:tblCellSpacing w:w="0" w:type="dxa"/>
        </w:trPr>
        <w:tc>
          <w:tcPr>
            <w:tcW w:w="0" w:type="auto"/>
            <w:vAlign w:val="bottom"/>
            <w:hideMark/>
          </w:tcPr>
          <w:p w:rsidR="00E56594" w:rsidRPr="00E56594" w:rsidRDefault="00E56594" w:rsidP="00E56594">
            <w:pPr>
              <w:pStyle w:val="Sansinterligne"/>
              <w:rPr>
                <w:rFonts w:cs="Times New Roman"/>
                <w:b/>
                <w:sz w:val="16"/>
                <w:szCs w:val="16"/>
              </w:rPr>
            </w:pPr>
            <w:r w:rsidRPr="00E56594">
              <w:rPr>
                <w:rFonts w:cs="Times New Roman"/>
                <w:b/>
                <w:sz w:val="16"/>
                <w:szCs w:val="16"/>
              </w:rPr>
              <w:t>Objectifs spécifiques</w:t>
            </w:r>
          </w:p>
        </w:tc>
      </w:tr>
    </w:tbl>
    <w:p w:rsidR="00E56594" w:rsidRPr="00E56594" w:rsidRDefault="00E56594" w:rsidP="00E56594">
      <w:pPr>
        <w:pStyle w:val="NormalWeb"/>
        <w:shd w:val="clear" w:color="auto" w:fill="FFFFFF"/>
        <w:ind w:left="360"/>
        <w:rPr>
          <w:color w:val="000000"/>
          <w:sz w:val="16"/>
          <w:szCs w:val="16"/>
          <w:shd w:val="clear" w:color="auto" w:fill="FFFFFF"/>
        </w:rPr>
      </w:pPr>
      <w:r w:rsidRPr="00E56594">
        <w:rPr>
          <w:color w:val="000000"/>
          <w:sz w:val="16"/>
          <w:szCs w:val="16"/>
          <w:shd w:val="clear" w:color="auto" w:fill="FFFFFF"/>
        </w:rPr>
        <w:t>Dans le cas d'un patient ayant une distension abdominale, le candidat devra</w:t>
      </w:r>
    </w:p>
    <w:p w:rsidR="00E56594" w:rsidRPr="00E56594" w:rsidRDefault="00E56594" w:rsidP="0036676E">
      <w:pPr>
        <w:numPr>
          <w:ilvl w:val="0"/>
          <w:numId w:val="1509"/>
        </w:numPr>
        <w:shd w:val="clear" w:color="auto" w:fill="FFFFFF"/>
        <w:spacing w:before="100" w:beforeAutospacing="1" w:after="100" w:afterAutospacing="1" w:line="240" w:lineRule="auto"/>
        <w:rPr>
          <w:rFonts w:cs="Times New Roman"/>
          <w:color w:val="000000"/>
          <w:sz w:val="16"/>
          <w:szCs w:val="16"/>
          <w:shd w:val="clear" w:color="auto" w:fill="FFFFFF"/>
        </w:rPr>
      </w:pPr>
      <w:r w:rsidRPr="00E56594">
        <w:rPr>
          <w:rFonts w:cs="Times New Roman"/>
          <w:color w:val="000000"/>
          <w:sz w:val="16"/>
          <w:szCs w:val="16"/>
          <w:shd w:val="clear" w:color="auto" w:fill="FFFFFF"/>
        </w:rPr>
        <w:t>énumérer et interpréter les constatations cliniques cruciales, notamment :</w:t>
      </w:r>
    </w:p>
    <w:p w:rsidR="00E56594" w:rsidRPr="00E56594" w:rsidRDefault="00E56594" w:rsidP="0036676E">
      <w:pPr>
        <w:numPr>
          <w:ilvl w:val="1"/>
          <w:numId w:val="1509"/>
        </w:numPr>
        <w:shd w:val="clear" w:color="auto" w:fill="FFFFFF"/>
        <w:spacing w:before="100" w:beforeAutospacing="1" w:after="100" w:afterAutospacing="1" w:line="240" w:lineRule="auto"/>
        <w:rPr>
          <w:rFonts w:cs="Times New Roman"/>
          <w:color w:val="000000"/>
          <w:sz w:val="16"/>
          <w:szCs w:val="16"/>
          <w:shd w:val="clear" w:color="auto" w:fill="FFFFFF"/>
        </w:rPr>
      </w:pPr>
      <w:r w:rsidRPr="00E56594">
        <w:rPr>
          <w:rFonts w:cs="Times New Roman"/>
          <w:color w:val="000000"/>
          <w:sz w:val="16"/>
          <w:szCs w:val="16"/>
          <w:shd w:val="clear" w:color="auto" w:fill="FFFFFF"/>
        </w:rPr>
        <w:t>faire une anamnèse et un examen physique appropriés afin de distinguer une ascite d'une distension intestinale ou d'une masse;</w:t>
      </w:r>
    </w:p>
    <w:p w:rsidR="00E56594" w:rsidRPr="00E56594" w:rsidRDefault="00E56594" w:rsidP="0036676E">
      <w:pPr>
        <w:numPr>
          <w:ilvl w:val="1"/>
          <w:numId w:val="1509"/>
        </w:numPr>
        <w:shd w:val="clear" w:color="auto" w:fill="FFFFFF"/>
        <w:spacing w:before="100" w:beforeAutospacing="1" w:after="100" w:afterAutospacing="1" w:line="240" w:lineRule="auto"/>
        <w:rPr>
          <w:rFonts w:cs="Times New Roman"/>
          <w:color w:val="000000"/>
          <w:sz w:val="16"/>
          <w:szCs w:val="16"/>
          <w:shd w:val="clear" w:color="auto" w:fill="FFFFFF"/>
        </w:rPr>
      </w:pPr>
      <w:r w:rsidRPr="00E56594">
        <w:rPr>
          <w:rFonts w:cs="Times New Roman"/>
          <w:color w:val="000000"/>
          <w:sz w:val="16"/>
          <w:szCs w:val="16"/>
          <w:shd w:val="clear" w:color="auto" w:fill="FFFFFF"/>
        </w:rPr>
        <w:t>déterminer la cause de l'ascite ou de la distension intestinale (p. ex. cirrhose, cancer du côlon);</w:t>
      </w:r>
    </w:p>
    <w:p w:rsidR="00E56594" w:rsidRPr="00E56594" w:rsidRDefault="00E56594" w:rsidP="0036676E">
      <w:pPr>
        <w:numPr>
          <w:ilvl w:val="0"/>
          <w:numId w:val="1509"/>
        </w:numPr>
        <w:shd w:val="clear" w:color="auto" w:fill="FFFFFF"/>
        <w:spacing w:before="100" w:beforeAutospacing="1" w:after="100" w:afterAutospacing="1" w:line="240" w:lineRule="auto"/>
        <w:rPr>
          <w:rFonts w:cs="Times New Roman"/>
          <w:color w:val="000000"/>
          <w:sz w:val="16"/>
          <w:szCs w:val="16"/>
          <w:shd w:val="clear" w:color="auto" w:fill="FFFFFF"/>
        </w:rPr>
      </w:pPr>
      <w:r w:rsidRPr="00E56594">
        <w:rPr>
          <w:rFonts w:cs="Times New Roman"/>
          <w:color w:val="000000"/>
          <w:sz w:val="16"/>
          <w:szCs w:val="16"/>
          <w:shd w:val="clear" w:color="auto" w:fill="FFFFFF"/>
        </w:rPr>
        <w:t>énumérer et interpréter les examens essentiels, notamment :</w:t>
      </w:r>
    </w:p>
    <w:p w:rsidR="00E56594" w:rsidRPr="00E56594" w:rsidRDefault="00E56594" w:rsidP="0036676E">
      <w:pPr>
        <w:numPr>
          <w:ilvl w:val="1"/>
          <w:numId w:val="1509"/>
        </w:numPr>
        <w:shd w:val="clear" w:color="auto" w:fill="FFFFFF"/>
        <w:spacing w:before="100" w:beforeAutospacing="1" w:after="100" w:afterAutospacing="1" w:line="240" w:lineRule="auto"/>
        <w:rPr>
          <w:rFonts w:cs="Times New Roman"/>
          <w:color w:val="000000"/>
          <w:sz w:val="16"/>
          <w:szCs w:val="16"/>
          <w:shd w:val="clear" w:color="auto" w:fill="FFFFFF"/>
        </w:rPr>
      </w:pPr>
      <w:r w:rsidRPr="00E56594">
        <w:rPr>
          <w:rFonts w:cs="Times New Roman"/>
          <w:color w:val="000000"/>
          <w:sz w:val="16"/>
          <w:szCs w:val="16"/>
          <w:shd w:val="clear" w:color="auto" w:fill="FFFFFF"/>
        </w:rPr>
        <w:t>les analyses de laboratoire et les examens d'imagerie (p. ex. dosage des enzymes hépatiques; imagerie abdominale, y compris trois vues de l'abdomen et l'échographie; paracentèse);</w:t>
      </w:r>
    </w:p>
    <w:p w:rsidR="00E56594" w:rsidRPr="00E56594" w:rsidRDefault="00E56594" w:rsidP="0036676E">
      <w:pPr>
        <w:numPr>
          <w:ilvl w:val="0"/>
          <w:numId w:val="1509"/>
        </w:numPr>
        <w:shd w:val="clear" w:color="auto" w:fill="FFFFFF"/>
        <w:spacing w:before="100" w:beforeAutospacing="1" w:after="100" w:afterAutospacing="1" w:line="240" w:lineRule="auto"/>
        <w:rPr>
          <w:rFonts w:cs="Times New Roman"/>
          <w:color w:val="000000"/>
          <w:sz w:val="16"/>
          <w:szCs w:val="16"/>
          <w:shd w:val="clear" w:color="auto" w:fill="FFFFFF"/>
        </w:rPr>
      </w:pPr>
      <w:r w:rsidRPr="00E56594">
        <w:rPr>
          <w:rFonts w:cs="Times New Roman"/>
          <w:color w:val="000000"/>
          <w:sz w:val="16"/>
          <w:szCs w:val="16"/>
          <w:shd w:val="clear" w:color="auto" w:fill="FFFFFF"/>
        </w:rPr>
        <w:t>établir un plan efficace de prise en charge, notamment :</w:t>
      </w:r>
    </w:p>
    <w:p w:rsidR="00E56594" w:rsidRPr="00E56594" w:rsidRDefault="00E56594" w:rsidP="0036676E">
      <w:pPr>
        <w:numPr>
          <w:ilvl w:val="1"/>
          <w:numId w:val="1509"/>
        </w:numPr>
        <w:shd w:val="clear" w:color="auto" w:fill="FFFFFF"/>
        <w:spacing w:before="100" w:beforeAutospacing="1" w:after="100" w:afterAutospacing="1" w:line="240" w:lineRule="auto"/>
        <w:rPr>
          <w:rFonts w:cs="Times New Roman"/>
          <w:color w:val="000000"/>
          <w:sz w:val="16"/>
          <w:szCs w:val="16"/>
          <w:shd w:val="clear" w:color="auto" w:fill="FFFFFF"/>
        </w:rPr>
      </w:pPr>
      <w:r w:rsidRPr="00E56594">
        <w:rPr>
          <w:rFonts w:cs="Times New Roman"/>
          <w:color w:val="000000"/>
          <w:sz w:val="16"/>
          <w:szCs w:val="16"/>
          <w:shd w:val="clear" w:color="auto" w:fill="FFFFFF"/>
        </w:rPr>
        <w:t>mettre en place un traitement spécifique en cas d'ascite (p. ex. diète, ponction évacuatrice);</w:t>
      </w:r>
    </w:p>
    <w:p w:rsidR="00E56594" w:rsidRPr="00E56594" w:rsidRDefault="00E56594" w:rsidP="0036676E">
      <w:pPr>
        <w:numPr>
          <w:ilvl w:val="1"/>
          <w:numId w:val="1509"/>
        </w:numPr>
        <w:shd w:val="clear" w:color="auto" w:fill="FFFFFF"/>
        <w:spacing w:before="100" w:beforeAutospacing="1" w:after="100" w:afterAutospacing="1" w:line="240" w:lineRule="auto"/>
        <w:rPr>
          <w:rFonts w:cs="Times New Roman"/>
          <w:color w:val="000000"/>
          <w:sz w:val="16"/>
          <w:szCs w:val="16"/>
          <w:shd w:val="clear" w:color="auto" w:fill="FFFFFF"/>
        </w:rPr>
      </w:pPr>
      <w:r w:rsidRPr="00E56594">
        <w:rPr>
          <w:rFonts w:cs="Times New Roman"/>
          <w:color w:val="000000"/>
          <w:sz w:val="16"/>
          <w:szCs w:val="16"/>
          <w:shd w:val="clear" w:color="auto" w:fill="FFFFFF"/>
        </w:rPr>
        <w:t>mettre en place un traitement spécifique en cas d'occlusion intestinale mécanique ou paralytique;</w:t>
      </w:r>
    </w:p>
    <w:p w:rsidR="00E56594" w:rsidRPr="00B319D7" w:rsidRDefault="00E56594" w:rsidP="0036676E">
      <w:pPr>
        <w:numPr>
          <w:ilvl w:val="1"/>
          <w:numId w:val="1509"/>
        </w:numPr>
        <w:shd w:val="clear" w:color="auto" w:fill="FFFFFF"/>
        <w:spacing w:before="100" w:beforeAutospacing="1" w:after="100" w:afterAutospacing="1" w:line="240" w:lineRule="auto"/>
        <w:rPr>
          <w:rFonts w:cs="Times New Roman"/>
          <w:color w:val="000000"/>
          <w:sz w:val="16"/>
          <w:szCs w:val="16"/>
          <w:shd w:val="clear" w:color="auto" w:fill="FFFFFF"/>
        </w:rPr>
      </w:pPr>
      <w:r w:rsidRPr="00E56594">
        <w:rPr>
          <w:rFonts w:cs="Times New Roman"/>
          <w:color w:val="000000"/>
          <w:sz w:val="16"/>
          <w:szCs w:val="16"/>
          <w:shd w:val="clear" w:color="auto" w:fill="FFFFFF"/>
        </w:rPr>
        <w:t>déterminer si le patient a besoin de soins spécialisés.</w:t>
      </w:r>
    </w:p>
    <w:p w:rsidR="00E56594" w:rsidRPr="00B319D7" w:rsidRDefault="00B319D7" w:rsidP="00E56594">
      <w:pPr>
        <w:pStyle w:val="Sansinterligne"/>
        <w:rPr>
          <w:b/>
          <w:sz w:val="28"/>
          <w:szCs w:val="28"/>
        </w:rPr>
      </w:pPr>
      <w:r w:rsidRPr="00B319D7">
        <w:rPr>
          <w:b/>
          <w:sz w:val="28"/>
          <w:szCs w:val="28"/>
        </w:rPr>
        <w:t>Diagnostics</w:t>
      </w:r>
    </w:p>
    <w:p w:rsidR="00B319D7" w:rsidRDefault="00B319D7" w:rsidP="00E56594">
      <w:pPr>
        <w:pStyle w:val="Sansinterligne"/>
      </w:pPr>
    </w:p>
    <w:tbl>
      <w:tblPr>
        <w:tblStyle w:val="Grilledutableau"/>
        <w:tblW w:w="0" w:type="auto"/>
        <w:tblLook w:val="04A0" w:firstRow="1" w:lastRow="0" w:firstColumn="1" w:lastColumn="0" w:noHBand="0" w:noVBand="1"/>
      </w:tblPr>
      <w:tblGrid>
        <w:gridCol w:w="2376"/>
        <w:gridCol w:w="4395"/>
        <w:gridCol w:w="4169"/>
      </w:tblGrid>
      <w:tr w:rsidR="00B319D7" w:rsidTr="00EA7DC4">
        <w:tc>
          <w:tcPr>
            <w:tcW w:w="2376" w:type="dxa"/>
            <w:shd w:val="clear" w:color="auto" w:fill="4F81BD" w:themeFill="accent1"/>
          </w:tcPr>
          <w:p w:rsidR="00B319D7" w:rsidRPr="00DD1E31" w:rsidRDefault="00B319D7" w:rsidP="00DD1E31">
            <w:pPr>
              <w:pStyle w:val="Sansinterligne"/>
              <w:jc w:val="center"/>
              <w:rPr>
                <w:b/>
                <w:i/>
              </w:rPr>
            </w:pPr>
            <w:r w:rsidRPr="00DD1E31">
              <w:rPr>
                <w:b/>
                <w:i/>
              </w:rPr>
              <w:t>Diagnostic / condition</w:t>
            </w:r>
          </w:p>
        </w:tc>
        <w:tc>
          <w:tcPr>
            <w:tcW w:w="4395" w:type="dxa"/>
            <w:shd w:val="clear" w:color="auto" w:fill="4F81BD" w:themeFill="accent1"/>
          </w:tcPr>
          <w:p w:rsidR="00B319D7" w:rsidRPr="00DD1E31" w:rsidRDefault="00B319D7" w:rsidP="00DD1E31">
            <w:pPr>
              <w:pStyle w:val="Sansinterligne"/>
              <w:jc w:val="center"/>
              <w:rPr>
                <w:b/>
                <w:i/>
              </w:rPr>
            </w:pPr>
            <w:r w:rsidRPr="00DD1E31">
              <w:rPr>
                <w:b/>
                <w:i/>
              </w:rPr>
              <w:t>Symptômes</w:t>
            </w:r>
            <w:r w:rsidR="00C7758D">
              <w:rPr>
                <w:b/>
                <w:i/>
              </w:rPr>
              <w:t xml:space="preserve"> / Histoire</w:t>
            </w:r>
          </w:p>
        </w:tc>
        <w:tc>
          <w:tcPr>
            <w:tcW w:w="4169" w:type="dxa"/>
            <w:shd w:val="clear" w:color="auto" w:fill="4F81BD" w:themeFill="accent1"/>
          </w:tcPr>
          <w:p w:rsidR="00B319D7" w:rsidRPr="00DD1E31" w:rsidRDefault="00B319D7" w:rsidP="00DD1E31">
            <w:pPr>
              <w:pStyle w:val="Sansinterligne"/>
              <w:jc w:val="center"/>
              <w:rPr>
                <w:b/>
                <w:i/>
              </w:rPr>
            </w:pPr>
            <w:r w:rsidRPr="00DD1E31">
              <w:rPr>
                <w:b/>
                <w:i/>
              </w:rPr>
              <w:t>Signes</w:t>
            </w:r>
          </w:p>
        </w:tc>
      </w:tr>
      <w:tr w:rsidR="00B319D7" w:rsidTr="00FE36A8">
        <w:tc>
          <w:tcPr>
            <w:tcW w:w="2376" w:type="dxa"/>
            <w:shd w:val="clear" w:color="auto" w:fill="95B3D7" w:themeFill="accent1" w:themeFillTint="99"/>
            <w:vAlign w:val="center"/>
          </w:tcPr>
          <w:p w:rsidR="00B319D7" w:rsidRPr="008D5A70" w:rsidRDefault="00B319D7" w:rsidP="00EA7DC4">
            <w:pPr>
              <w:pStyle w:val="Sansinterligne"/>
              <w:jc w:val="center"/>
              <w:rPr>
                <w:b/>
              </w:rPr>
            </w:pPr>
            <w:r w:rsidRPr="008D5A70">
              <w:rPr>
                <w:b/>
              </w:rPr>
              <w:t>Ascite</w:t>
            </w:r>
          </w:p>
        </w:tc>
        <w:tc>
          <w:tcPr>
            <w:tcW w:w="4395" w:type="dxa"/>
            <w:shd w:val="clear" w:color="auto" w:fill="FFFF00"/>
          </w:tcPr>
          <w:p w:rsidR="00B319D7" w:rsidRDefault="008A6B63" w:rsidP="0036676E">
            <w:pPr>
              <w:pStyle w:val="Sansinterligne"/>
              <w:numPr>
                <w:ilvl w:val="0"/>
                <w:numId w:val="1527"/>
              </w:numPr>
            </w:pPr>
            <w:r>
              <w:t>Ballonnement chronique, progressif</w:t>
            </w:r>
          </w:p>
          <w:p w:rsidR="008A6B63" w:rsidRPr="008D5A70" w:rsidRDefault="008A6B63" w:rsidP="0036676E">
            <w:pPr>
              <w:pStyle w:val="Sansinterligne"/>
              <w:numPr>
                <w:ilvl w:val="0"/>
                <w:numId w:val="1527"/>
              </w:numPr>
              <w:rPr>
                <w:b/>
              </w:rPr>
            </w:pPr>
            <w:r w:rsidRPr="008D5A70">
              <w:rPr>
                <w:b/>
              </w:rPr>
              <w:t>Fatigue</w:t>
            </w:r>
          </w:p>
          <w:p w:rsidR="008A6B63" w:rsidRPr="008D5A70" w:rsidRDefault="008A6B63" w:rsidP="0036676E">
            <w:pPr>
              <w:pStyle w:val="Sansinterligne"/>
              <w:numPr>
                <w:ilvl w:val="0"/>
                <w:numId w:val="1527"/>
              </w:numPr>
              <w:rPr>
                <w:b/>
              </w:rPr>
            </w:pPr>
            <w:r w:rsidRPr="008D5A70">
              <w:rPr>
                <w:b/>
              </w:rPr>
              <w:t>Déshydratation</w:t>
            </w:r>
          </w:p>
          <w:p w:rsidR="008A6B63" w:rsidRDefault="008A6B63" w:rsidP="0036676E">
            <w:pPr>
              <w:pStyle w:val="Sansinterligne"/>
              <w:numPr>
                <w:ilvl w:val="0"/>
                <w:numId w:val="1527"/>
              </w:numPr>
            </w:pPr>
            <w:r>
              <w:t>Symptômes selon étiologie</w:t>
            </w:r>
          </w:p>
        </w:tc>
        <w:tc>
          <w:tcPr>
            <w:tcW w:w="4169" w:type="dxa"/>
            <w:shd w:val="clear" w:color="auto" w:fill="FFFF00"/>
          </w:tcPr>
          <w:p w:rsidR="00B319D7" w:rsidRPr="008D5A70" w:rsidRDefault="008A6B63" w:rsidP="0036676E">
            <w:pPr>
              <w:pStyle w:val="Sansinterligne"/>
              <w:numPr>
                <w:ilvl w:val="0"/>
                <w:numId w:val="1527"/>
              </w:numPr>
              <w:rPr>
                <w:b/>
              </w:rPr>
            </w:pPr>
            <w:r w:rsidRPr="008D5A70">
              <w:rPr>
                <w:b/>
              </w:rPr>
              <w:t>Signe de la matité mobile (</w:t>
            </w:r>
            <w:r w:rsidRPr="008D5A70">
              <w:rPr>
                <w:rFonts w:ascii="Century Gothic" w:hAnsi="Century Gothic"/>
                <w:b/>
              </w:rPr>
              <w:t>&gt;</w:t>
            </w:r>
            <w:r w:rsidRPr="008D5A70">
              <w:rPr>
                <w:b/>
              </w:rPr>
              <w:t>500ml)</w:t>
            </w:r>
          </w:p>
          <w:p w:rsidR="008A6B63" w:rsidRPr="008D5A70" w:rsidRDefault="008A6B63" w:rsidP="0036676E">
            <w:pPr>
              <w:pStyle w:val="Sansinterligne"/>
              <w:numPr>
                <w:ilvl w:val="0"/>
                <w:numId w:val="1527"/>
              </w:numPr>
              <w:rPr>
                <w:b/>
              </w:rPr>
            </w:pPr>
            <w:r w:rsidRPr="008D5A70">
              <w:rPr>
                <w:b/>
              </w:rPr>
              <w:t>Signe de l’onde liquide (</w:t>
            </w:r>
            <w:r w:rsidRPr="008D5A70">
              <w:rPr>
                <w:rFonts w:ascii="Century Gothic" w:hAnsi="Century Gothic"/>
                <w:b/>
              </w:rPr>
              <w:t>&gt;</w:t>
            </w:r>
            <w:r w:rsidRPr="008D5A70">
              <w:rPr>
                <w:b/>
              </w:rPr>
              <w:t>500ml)</w:t>
            </w:r>
          </w:p>
          <w:p w:rsidR="008A6B63" w:rsidRDefault="008A6B63" w:rsidP="0036676E">
            <w:pPr>
              <w:pStyle w:val="Sansinterligne"/>
              <w:numPr>
                <w:ilvl w:val="0"/>
                <w:numId w:val="1527"/>
              </w:numPr>
            </w:pPr>
            <w:r>
              <w:t>Œdème des chevilles</w:t>
            </w:r>
          </w:p>
          <w:p w:rsidR="008A6B63" w:rsidRDefault="008A6B63" w:rsidP="0036676E">
            <w:pPr>
              <w:pStyle w:val="Sansinterligne"/>
              <w:numPr>
                <w:ilvl w:val="0"/>
                <w:numId w:val="1527"/>
              </w:numPr>
            </w:pPr>
            <w:r>
              <w:t>Selon étiologie</w:t>
            </w:r>
          </w:p>
          <w:p w:rsidR="008A6B63" w:rsidRDefault="008A6B63" w:rsidP="0036676E">
            <w:pPr>
              <w:pStyle w:val="Sansinterligne"/>
              <w:numPr>
                <w:ilvl w:val="1"/>
                <w:numId w:val="1527"/>
              </w:numPr>
            </w:pPr>
            <w:r>
              <w:t xml:space="preserve">Signes d’insuffisance cardiaque </w:t>
            </w:r>
          </w:p>
          <w:p w:rsidR="008A6B63" w:rsidRDefault="008A6B63" w:rsidP="0036676E">
            <w:pPr>
              <w:pStyle w:val="Sansinterligne"/>
              <w:numPr>
                <w:ilvl w:val="1"/>
                <w:numId w:val="1527"/>
              </w:numPr>
            </w:pPr>
            <w:r>
              <w:t xml:space="preserve">Signes d’hépatosplénomégalie </w:t>
            </w:r>
          </w:p>
          <w:p w:rsidR="008A6B63" w:rsidRDefault="008A6B63" w:rsidP="0036676E">
            <w:pPr>
              <w:pStyle w:val="Sansinterligne"/>
              <w:numPr>
                <w:ilvl w:val="1"/>
                <w:numId w:val="1527"/>
              </w:numPr>
            </w:pPr>
            <w:r>
              <w:t xml:space="preserve">Signes de cirrhose </w:t>
            </w:r>
          </w:p>
        </w:tc>
      </w:tr>
      <w:tr w:rsidR="00B319D7" w:rsidTr="00EA7DC4">
        <w:tc>
          <w:tcPr>
            <w:tcW w:w="2376" w:type="dxa"/>
            <w:shd w:val="clear" w:color="auto" w:fill="95B3D7" w:themeFill="accent1" w:themeFillTint="99"/>
            <w:vAlign w:val="center"/>
          </w:tcPr>
          <w:p w:rsidR="00B319D7" w:rsidRDefault="00B319D7" w:rsidP="00EA7DC4">
            <w:pPr>
              <w:pStyle w:val="Sansinterligne"/>
              <w:jc w:val="center"/>
            </w:pPr>
            <w:r>
              <w:t>Hépatomégalie</w:t>
            </w:r>
          </w:p>
        </w:tc>
        <w:tc>
          <w:tcPr>
            <w:tcW w:w="8564" w:type="dxa"/>
            <w:gridSpan w:val="2"/>
          </w:tcPr>
          <w:p w:rsidR="00B319D7" w:rsidRDefault="00AC65F3" w:rsidP="00D35E0E">
            <w:pPr>
              <w:pStyle w:val="Sansinterligne"/>
            </w:pPr>
            <w:r>
              <w:t xml:space="preserve">Voir </w:t>
            </w:r>
            <w:r w:rsidRPr="00AC65F3">
              <w:rPr>
                <w:i/>
              </w:rPr>
              <w:t>Hépatomégalie CMC 2-2</w:t>
            </w:r>
          </w:p>
        </w:tc>
      </w:tr>
      <w:tr w:rsidR="00B319D7" w:rsidTr="00EA7DC4">
        <w:tc>
          <w:tcPr>
            <w:tcW w:w="2376" w:type="dxa"/>
            <w:shd w:val="clear" w:color="auto" w:fill="95B3D7" w:themeFill="accent1" w:themeFillTint="99"/>
            <w:vAlign w:val="center"/>
          </w:tcPr>
          <w:p w:rsidR="00B319D7" w:rsidRDefault="00B319D7" w:rsidP="00EA7DC4">
            <w:pPr>
              <w:pStyle w:val="Sansinterligne"/>
              <w:jc w:val="center"/>
            </w:pPr>
            <w:r>
              <w:t>Splénomégalie</w:t>
            </w:r>
          </w:p>
        </w:tc>
        <w:tc>
          <w:tcPr>
            <w:tcW w:w="8564" w:type="dxa"/>
            <w:gridSpan w:val="2"/>
          </w:tcPr>
          <w:p w:rsidR="00B319D7" w:rsidRDefault="00AC65F3" w:rsidP="00D35E0E">
            <w:pPr>
              <w:pStyle w:val="Sansinterligne"/>
            </w:pPr>
            <w:r>
              <w:t xml:space="preserve">Voir </w:t>
            </w:r>
            <w:r w:rsidRPr="00AC65F3">
              <w:rPr>
                <w:i/>
              </w:rPr>
              <w:t>Splénomégalie CMC 2-3</w:t>
            </w:r>
          </w:p>
        </w:tc>
      </w:tr>
      <w:tr w:rsidR="00B319D7" w:rsidTr="009954D0">
        <w:tc>
          <w:tcPr>
            <w:tcW w:w="2376" w:type="dxa"/>
            <w:shd w:val="clear" w:color="auto" w:fill="95B3D7" w:themeFill="accent1" w:themeFillTint="99"/>
            <w:vAlign w:val="center"/>
          </w:tcPr>
          <w:p w:rsidR="00B319D7" w:rsidRDefault="00B319D7" w:rsidP="00EA7DC4">
            <w:pPr>
              <w:pStyle w:val="Sansinterligne"/>
              <w:jc w:val="center"/>
            </w:pPr>
            <w:r>
              <w:t>Occlusion intestinale</w:t>
            </w:r>
          </w:p>
        </w:tc>
        <w:tc>
          <w:tcPr>
            <w:tcW w:w="4395" w:type="dxa"/>
            <w:shd w:val="clear" w:color="auto" w:fill="FFFF00"/>
          </w:tcPr>
          <w:p w:rsidR="00C7758D" w:rsidRDefault="00C7758D" w:rsidP="0036676E">
            <w:pPr>
              <w:pStyle w:val="Sansinterligne"/>
              <w:numPr>
                <w:ilvl w:val="0"/>
                <w:numId w:val="1527"/>
              </w:numPr>
            </w:pPr>
            <w:r>
              <w:t>ATCD chirurgical</w:t>
            </w:r>
          </w:p>
          <w:p w:rsidR="00B319D7" w:rsidRDefault="00C7758D" w:rsidP="0036676E">
            <w:pPr>
              <w:pStyle w:val="Sansinterligne"/>
              <w:numPr>
                <w:ilvl w:val="0"/>
                <w:numId w:val="1527"/>
              </w:numPr>
            </w:pPr>
            <w:r>
              <w:t>No/Vo (bilieux si obstruction haute/sévère)</w:t>
            </w:r>
          </w:p>
          <w:p w:rsidR="00C7758D" w:rsidRDefault="00C7758D" w:rsidP="0036676E">
            <w:pPr>
              <w:pStyle w:val="Sansinterligne"/>
              <w:numPr>
                <w:ilvl w:val="0"/>
                <w:numId w:val="1527"/>
              </w:numPr>
            </w:pPr>
            <w:r>
              <w:t>Douleur crampiformes</w:t>
            </w:r>
          </w:p>
          <w:p w:rsidR="00C7758D" w:rsidRDefault="00C7758D" w:rsidP="0036676E">
            <w:pPr>
              <w:pStyle w:val="Sansinterligne"/>
              <w:numPr>
                <w:ilvl w:val="0"/>
                <w:numId w:val="1527"/>
              </w:numPr>
            </w:pPr>
            <w:r>
              <w:t>Ballonnement ++ si distal</w:t>
            </w:r>
          </w:p>
        </w:tc>
        <w:tc>
          <w:tcPr>
            <w:tcW w:w="4169" w:type="dxa"/>
            <w:shd w:val="clear" w:color="auto" w:fill="FFFF00"/>
          </w:tcPr>
          <w:p w:rsidR="00C7758D" w:rsidRDefault="00C7758D" w:rsidP="0036676E">
            <w:pPr>
              <w:pStyle w:val="Sansinterligne"/>
              <w:numPr>
                <w:ilvl w:val="0"/>
                <w:numId w:val="1527"/>
              </w:numPr>
            </w:pPr>
            <w:r>
              <w:t xml:space="preserve">Péristaltisme augmenté </w:t>
            </w:r>
          </w:p>
          <w:p w:rsidR="00B319D7" w:rsidRDefault="00C7758D" w:rsidP="0036676E">
            <w:pPr>
              <w:pStyle w:val="Sansinterligne"/>
              <w:numPr>
                <w:ilvl w:val="0"/>
                <w:numId w:val="1527"/>
              </w:numPr>
            </w:pPr>
            <w:r>
              <w:t>Son métallique (high-pitch)</w:t>
            </w:r>
          </w:p>
        </w:tc>
      </w:tr>
      <w:tr w:rsidR="00B319D7" w:rsidTr="00EA7DC4">
        <w:tc>
          <w:tcPr>
            <w:tcW w:w="2376" w:type="dxa"/>
            <w:shd w:val="clear" w:color="auto" w:fill="95B3D7" w:themeFill="accent1" w:themeFillTint="99"/>
            <w:vAlign w:val="center"/>
          </w:tcPr>
          <w:p w:rsidR="00B319D7" w:rsidRDefault="00B319D7" w:rsidP="00EA7DC4">
            <w:pPr>
              <w:pStyle w:val="Sansinterligne"/>
              <w:jc w:val="center"/>
            </w:pPr>
            <w:r>
              <w:t>Iléus paralytique</w:t>
            </w:r>
          </w:p>
        </w:tc>
        <w:tc>
          <w:tcPr>
            <w:tcW w:w="4395" w:type="dxa"/>
          </w:tcPr>
          <w:p w:rsidR="00B319D7" w:rsidRDefault="0025509E" w:rsidP="0036676E">
            <w:pPr>
              <w:pStyle w:val="Sansinterligne"/>
              <w:numPr>
                <w:ilvl w:val="0"/>
                <w:numId w:val="1527"/>
              </w:numPr>
            </w:pPr>
            <w:r>
              <w:t>Constipation</w:t>
            </w:r>
          </w:p>
          <w:p w:rsidR="0025509E" w:rsidRDefault="0025509E" w:rsidP="0036676E">
            <w:pPr>
              <w:pStyle w:val="Sansinterligne"/>
              <w:numPr>
                <w:ilvl w:val="0"/>
                <w:numId w:val="1527"/>
              </w:numPr>
            </w:pPr>
            <w:r>
              <w:t>ATCD chirurgical immédiat</w:t>
            </w:r>
          </w:p>
          <w:p w:rsidR="0025509E" w:rsidRDefault="0025509E" w:rsidP="0036676E">
            <w:pPr>
              <w:pStyle w:val="Sansinterligne"/>
              <w:numPr>
                <w:ilvl w:val="0"/>
                <w:numId w:val="1527"/>
              </w:numPr>
            </w:pPr>
            <w:r>
              <w:t>Sepsis</w:t>
            </w:r>
          </w:p>
          <w:p w:rsidR="0025509E" w:rsidRDefault="0025509E" w:rsidP="0036676E">
            <w:pPr>
              <w:pStyle w:val="Sansinterligne"/>
              <w:numPr>
                <w:ilvl w:val="0"/>
                <w:numId w:val="1527"/>
              </w:numPr>
            </w:pPr>
            <w:r>
              <w:t>Prise d’opiacés</w:t>
            </w:r>
          </w:p>
        </w:tc>
        <w:tc>
          <w:tcPr>
            <w:tcW w:w="4169" w:type="dxa"/>
          </w:tcPr>
          <w:p w:rsidR="00B319D7" w:rsidRDefault="0025509E" w:rsidP="0036676E">
            <w:pPr>
              <w:pStyle w:val="Sansinterligne"/>
              <w:numPr>
                <w:ilvl w:val="0"/>
                <w:numId w:val="1527"/>
              </w:numPr>
            </w:pPr>
            <w:r>
              <w:t>Absence de péristaltisme audible sur 3 min</w:t>
            </w:r>
          </w:p>
        </w:tc>
      </w:tr>
      <w:tr w:rsidR="00B319D7" w:rsidTr="00305087">
        <w:tc>
          <w:tcPr>
            <w:tcW w:w="2376" w:type="dxa"/>
            <w:shd w:val="clear" w:color="auto" w:fill="95B3D7" w:themeFill="accent1" w:themeFillTint="99"/>
            <w:vAlign w:val="center"/>
          </w:tcPr>
          <w:p w:rsidR="00B319D7" w:rsidRDefault="00B319D7" w:rsidP="00EA7DC4">
            <w:pPr>
              <w:pStyle w:val="Sansinterligne"/>
              <w:jc w:val="center"/>
            </w:pPr>
            <w:r>
              <w:t>Mégacôlon toxique</w:t>
            </w:r>
          </w:p>
        </w:tc>
        <w:tc>
          <w:tcPr>
            <w:tcW w:w="4395" w:type="dxa"/>
            <w:shd w:val="clear" w:color="auto" w:fill="FFFF00"/>
          </w:tcPr>
          <w:p w:rsidR="00B319D7" w:rsidRDefault="007C54F7" w:rsidP="0036676E">
            <w:pPr>
              <w:pStyle w:val="Sansinterligne"/>
              <w:numPr>
                <w:ilvl w:val="0"/>
                <w:numId w:val="1527"/>
              </w:numPr>
            </w:pPr>
            <w:r w:rsidRPr="008B08A9">
              <w:rPr>
                <w:b/>
              </w:rPr>
              <w:t>Colite à C. difficile / CU active</w:t>
            </w:r>
            <w:r>
              <w:t xml:space="preserve"> </w:t>
            </w:r>
            <w:r>
              <w:rPr>
                <w:rFonts w:ascii="Century Gothic" w:hAnsi="Century Gothic"/>
              </w:rPr>
              <w:t>&gt;</w:t>
            </w:r>
            <w:r>
              <w:t xml:space="preserve"> 1 sem</w:t>
            </w:r>
          </w:p>
          <w:p w:rsidR="007C54F7" w:rsidRPr="008B08A9" w:rsidRDefault="007C54F7" w:rsidP="0036676E">
            <w:pPr>
              <w:pStyle w:val="Sansinterligne"/>
              <w:numPr>
                <w:ilvl w:val="0"/>
                <w:numId w:val="1527"/>
              </w:numPr>
              <w:rPr>
                <w:b/>
              </w:rPr>
            </w:pPr>
            <w:r w:rsidRPr="008B08A9">
              <w:rPr>
                <w:b/>
              </w:rPr>
              <w:t xml:space="preserve">Diarrhées </w:t>
            </w:r>
            <w:r w:rsidRPr="008B08A9">
              <w:rPr>
                <w:rFonts w:ascii="Century Gothic" w:hAnsi="Century Gothic"/>
                <w:b/>
              </w:rPr>
              <w:t>→</w:t>
            </w:r>
            <w:r w:rsidRPr="008B08A9">
              <w:rPr>
                <w:b/>
              </w:rPr>
              <w:t xml:space="preserve"> arrêt (constipation)</w:t>
            </w:r>
          </w:p>
          <w:p w:rsidR="007C54F7" w:rsidRPr="008B08A9" w:rsidRDefault="007C54F7" w:rsidP="0036676E">
            <w:pPr>
              <w:pStyle w:val="Sansinterligne"/>
              <w:numPr>
                <w:ilvl w:val="0"/>
                <w:numId w:val="1527"/>
              </w:numPr>
              <w:rPr>
                <w:b/>
              </w:rPr>
            </w:pPr>
            <w:r w:rsidRPr="008B08A9">
              <w:rPr>
                <w:b/>
              </w:rPr>
              <w:t>Rectorragies</w:t>
            </w:r>
          </w:p>
          <w:p w:rsidR="007C54F7" w:rsidRDefault="007C54F7" w:rsidP="0036676E">
            <w:pPr>
              <w:pStyle w:val="Sansinterligne"/>
              <w:numPr>
                <w:ilvl w:val="0"/>
                <w:numId w:val="1527"/>
              </w:numPr>
            </w:pPr>
            <w:r>
              <w:t>Ballonnement abdominal</w:t>
            </w:r>
          </w:p>
        </w:tc>
        <w:tc>
          <w:tcPr>
            <w:tcW w:w="4169" w:type="dxa"/>
            <w:shd w:val="clear" w:color="auto" w:fill="FFFF00"/>
          </w:tcPr>
          <w:p w:rsidR="00B319D7" w:rsidRDefault="007C54F7" w:rsidP="0036676E">
            <w:pPr>
              <w:pStyle w:val="Sansinterligne"/>
              <w:numPr>
                <w:ilvl w:val="0"/>
                <w:numId w:val="1527"/>
              </w:numPr>
            </w:pPr>
            <w:r>
              <w:t>Signes de péritonisme (parfois)</w:t>
            </w:r>
          </w:p>
          <w:p w:rsidR="007C54F7" w:rsidRDefault="007C54F7" w:rsidP="0036676E">
            <w:pPr>
              <w:pStyle w:val="Sansinterligne"/>
              <w:numPr>
                <w:ilvl w:val="0"/>
                <w:numId w:val="1527"/>
              </w:numPr>
            </w:pPr>
            <w:r>
              <w:t>Douleur diffuse</w:t>
            </w:r>
          </w:p>
          <w:p w:rsidR="007C54F7" w:rsidRDefault="007C54F7" w:rsidP="0036676E">
            <w:pPr>
              <w:pStyle w:val="Sansinterligne"/>
              <w:numPr>
                <w:ilvl w:val="0"/>
                <w:numId w:val="1527"/>
              </w:numPr>
              <w:rPr>
                <w:b/>
              </w:rPr>
            </w:pPr>
            <w:r w:rsidRPr="008B08A9">
              <w:rPr>
                <w:b/>
              </w:rPr>
              <w:t>Fièvre</w:t>
            </w:r>
          </w:p>
          <w:p w:rsidR="008B08A9" w:rsidRPr="008B08A9" w:rsidRDefault="008B08A9" w:rsidP="0036676E">
            <w:pPr>
              <w:pStyle w:val="Sansinterligne"/>
              <w:numPr>
                <w:ilvl w:val="0"/>
                <w:numId w:val="1527"/>
              </w:numPr>
              <w:rPr>
                <w:b/>
              </w:rPr>
            </w:pPr>
            <w:r>
              <w:rPr>
                <w:b/>
              </w:rPr>
              <w:t xml:space="preserve">Hypotension </w:t>
            </w:r>
          </w:p>
        </w:tc>
      </w:tr>
      <w:tr w:rsidR="00FB2E6E" w:rsidTr="00FB2E6E">
        <w:tc>
          <w:tcPr>
            <w:tcW w:w="2376" w:type="dxa"/>
            <w:shd w:val="clear" w:color="auto" w:fill="95B3D7" w:themeFill="accent1" w:themeFillTint="99"/>
            <w:vAlign w:val="center"/>
          </w:tcPr>
          <w:p w:rsidR="00FB2E6E" w:rsidRDefault="00FB2E6E" w:rsidP="00A00909">
            <w:pPr>
              <w:pStyle w:val="Sansinterligne"/>
              <w:jc w:val="center"/>
            </w:pPr>
            <w:r>
              <w:t>Syndrome d’Ogilvie</w:t>
            </w:r>
          </w:p>
        </w:tc>
        <w:tc>
          <w:tcPr>
            <w:tcW w:w="4395" w:type="dxa"/>
          </w:tcPr>
          <w:p w:rsidR="00FB2E6E" w:rsidRDefault="00FB2E6E" w:rsidP="0036676E">
            <w:pPr>
              <w:pStyle w:val="Sansinterligne"/>
              <w:numPr>
                <w:ilvl w:val="0"/>
                <w:numId w:val="1527"/>
              </w:numPr>
            </w:pPr>
            <w:r>
              <w:t>Associé aux traumas, infection et IC</w:t>
            </w:r>
          </w:p>
          <w:p w:rsidR="00FB2E6E" w:rsidRDefault="00FB2E6E" w:rsidP="0036676E">
            <w:pPr>
              <w:pStyle w:val="Sansinterligne"/>
              <w:numPr>
                <w:ilvl w:val="0"/>
                <w:numId w:val="1527"/>
              </w:numPr>
            </w:pPr>
            <w:r>
              <w:t>Ballonnement aigu</w:t>
            </w:r>
          </w:p>
          <w:p w:rsidR="00FB2E6E" w:rsidRDefault="00FB2E6E" w:rsidP="0036676E">
            <w:pPr>
              <w:pStyle w:val="Sansinterligne"/>
              <w:numPr>
                <w:ilvl w:val="0"/>
                <w:numId w:val="1527"/>
              </w:numPr>
            </w:pPr>
            <w:r>
              <w:t>Sensibilité</w:t>
            </w:r>
          </w:p>
        </w:tc>
        <w:tc>
          <w:tcPr>
            <w:tcW w:w="4169" w:type="dxa"/>
          </w:tcPr>
          <w:p w:rsidR="00FB2E6E" w:rsidRDefault="00FB2E6E" w:rsidP="0036676E">
            <w:pPr>
              <w:pStyle w:val="Sansinterligne"/>
              <w:numPr>
                <w:ilvl w:val="0"/>
                <w:numId w:val="1527"/>
              </w:numPr>
            </w:pPr>
            <w:r>
              <w:t>Sans particularité</w:t>
            </w:r>
          </w:p>
          <w:p w:rsidR="00FB2E6E" w:rsidRDefault="00FB2E6E" w:rsidP="0036676E">
            <w:pPr>
              <w:pStyle w:val="Sansinterligne"/>
              <w:numPr>
                <w:ilvl w:val="0"/>
                <w:numId w:val="1527"/>
              </w:numPr>
            </w:pPr>
            <w:r>
              <w:rPr>
                <w:rFonts w:cs="Times New Roman"/>
              </w:rPr>
              <w:t>±</w:t>
            </w:r>
            <w:r>
              <w:t xml:space="preserve"> sensibilité diffuse</w:t>
            </w:r>
          </w:p>
        </w:tc>
      </w:tr>
      <w:tr w:rsidR="00FB2E6E" w:rsidTr="00FB2E6E">
        <w:tc>
          <w:tcPr>
            <w:tcW w:w="2376" w:type="dxa"/>
            <w:shd w:val="clear" w:color="auto" w:fill="95B3D7" w:themeFill="accent1" w:themeFillTint="99"/>
            <w:vAlign w:val="center"/>
          </w:tcPr>
          <w:p w:rsidR="00FB2E6E" w:rsidRDefault="00FB2E6E" w:rsidP="00A00909">
            <w:pPr>
              <w:pStyle w:val="Sansinterligne"/>
              <w:jc w:val="center"/>
            </w:pPr>
            <w:r>
              <w:t>Syndrome du côlon irritable (SCI)</w:t>
            </w:r>
          </w:p>
        </w:tc>
        <w:tc>
          <w:tcPr>
            <w:tcW w:w="4395" w:type="dxa"/>
          </w:tcPr>
          <w:p w:rsidR="00FB2E6E" w:rsidRDefault="00FB2E6E" w:rsidP="0036676E">
            <w:pPr>
              <w:pStyle w:val="Sansinterligne"/>
              <w:numPr>
                <w:ilvl w:val="0"/>
                <w:numId w:val="1527"/>
              </w:numPr>
            </w:pPr>
            <w:r>
              <w:t>Ballonnement, flatulences</w:t>
            </w:r>
          </w:p>
          <w:p w:rsidR="00FB2E6E" w:rsidRPr="00D35E0E" w:rsidRDefault="00FB2E6E" w:rsidP="0036676E">
            <w:pPr>
              <w:pStyle w:val="Sansinterligne"/>
              <w:numPr>
                <w:ilvl w:val="0"/>
                <w:numId w:val="1527"/>
              </w:numPr>
              <w:rPr>
                <w:b/>
              </w:rPr>
            </w:pPr>
            <w:r w:rsidRPr="00D35E0E">
              <w:rPr>
                <w:b/>
              </w:rPr>
              <w:t>Constipation et/ou diarrhées</w:t>
            </w:r>
          </w:p>
          <w:p w:rsidR="00FB2E6E" w:rsidRDefault="00FB2E6E" w:rsidP="0036676E">
            <w:pPr>
              <w:pStyle w:val="Sansinterligne"/>
              <w:numPr>
                <w:ilvl w:val="0"/>
                <w:numId w:val="1527"/>
              </w:numPr>
            </w:pPr>
            <w:r>
              <w:t>Douleur abdominale</w:t>
            </w:r>
          </w:p>
          <w:p w:rsidR="00FB2E6E" w:rsidRDefault="00FB2E6E" w:rsidP="0036676E">
            <w:pPr>
              <w:pStyle w:val="Sansinterligne"/>
              <w:numPr>
                <w:ilvl w:val="0"/>
                <w:numId w:val="1527"/>
              </w:numPr>
            </w:pPr>
            <w:r>
              <w:t>Mucus sur les selles</w:t>
            </w:r>
          </w:p>
          <w:p w:rsidR="00FB2E6E" w:rsidRPr="00D35E0E" w:rsidRDefault="00FB2E6E" w:rsidP="0036676E">
            <w:pPr>
              <w:pStyle w:val="Sansinterligne"/>
              <w:numPr>
                <w:ilvl w:val="0"/>
                <w:numId w:val="1527"/>
              </w:numPr>
              <w:rPr>
                <w:b/>
              </w:rPr>
            </w:pPr>
            <w:r w:rsidRPr="00D35E0E">
              <w:rPr>
                <w:b/>
              </w:rPr>
              <w:t>Symptômes uniquement le jour</w:t>
            </w:r>
          </w:p>
        </w:tc>
        <w:tc>
          <w:tcPr>
            <w:tcW w:w="4169" w:type="dxa"/>
          </w:tcPr>
          <w:p w:rsidR="00FB2E6E" w:rsidRDefault="00FB2E6E" w:rsidP="0036676E">
            <w:pPr>
              <w:pStyle w:val="Sansinterligne"/>
              <w:numPr>
                <w:ilvl w:val="0"/>
                <w:numId w:val="1527"/>
              </w:numPr>
            </w:pPr>
            <w:r>
              <w:t>Bon état général</w:t>
            </w:r>
          </w:p>
          <w:p w:rsidR="00FB2E6E" w:rsidRDefault="00FB2E6E" w:rsidP="0036676E">
            <w:pPr>
              <w:pStyle w:val="Sansinterligne"/>
              <w:numPr>
                <w:ilvl w:val="0"/>
                <w:numId w:val="1527"/>
              </w:numPr>
            </w:pPr>
            <w:r>
              <w:t>Examen physique sans particularité</w:t>
            </w:r>
          </w:p>
          <w:p w:rsidR="00FB2E6E" w:rsidRDefault="00FB2E6E" w:rsidP="00A00909">
            <w:pPr>
              <w:pStyle w:val="Sansinterligne"/>
            </w:pPr>
          </w:p>
          <w:p w:rsidR="00FB2E6E" w:rsidRDefault="00FB2E6E" w:rsidP="0036676E">
            <w:pPr>
              <w:pStyle w:val="Sansinterligne"/>
              <w:numPr>
                <w:ilvl w:val="0"/>
                <w:numId w:val="1527"/>
              </w:numPr>
            </w:pPr>
            <w:r>
              <w:t xml:space="preserve">Voir </w:t>
            </w:r>
            <w:r w:rsidRPr="00364AD1">
              <w:rPr>
                <w:i/>
              </w:rPr>
              <w:t>Diarrhée chez l’enfant CMC 22-3</w:t>
            </w:r>
            <w:r>
              <w:t xml:space="preserve"> pour critères diagnostiques</w:t>
            </w:r>
          </w:p>
        </w:tc>
      </w:tr>
      <w:tr w:rsidR="00FB2E6E" w:rsidTr="00FA3F93">
        <w:tc>
          <w:tcPr>
            <w:tcW w:w="2376" w:type="dxa"/>
            <w:shd w:val="clear" w:color="auto" w:fill="95B3D7" w:themeFill="accent1" w:themeFillTint="99"/>
            <w:vAlign w:val="center"/>
          </w:tcPr>
          <w:p w:rsidR="00FB2E6E" w:rsidRDefault="00FB2E6E" w:rsidP="00A00909">
            <w:pPr>
              <w:pStyle w:val="Sansinterligne"/>
              <w:jc w:val="center"/>
            </w:pPr>
            <w:r>
              <w:lastRenderedPageBreak/>
              <w:t>Cancer colorectal</w:t>
            </w:r>
          </w:p>
        </w:tc>
        <w:tc>
          <w:tcPr>
            <w:tcW w:w="4395" w:type="dxa"/>
            <w:shd w:val="clear" w:color="auto" w:fill="FFFF00"/>
          </w:tcPr>
          <w:p w:rsidR="008D5A70" w:rsidRDefault="008D5A70" w:rsidP="0036676E">
            <w:pPr>
              <w:pStyle w:val="Sansinterligne"/>
              <w:numPr>
                <w:ilvl w:val="0"/>
                <w:numId w:val="1527"/>
              </w:numPr>
            </w:pPr>
            <w:r>
              <w:t>ATCD familiaux de néo du côlon, polypose, HNPCC</w:t>
            </w:r>
          </w:p>
          <w:p w:rsidR="008D5A70" w:rsidRDefault="008D5A70" w:rsidP="0036676E">
            <w:pPr>
              <w:pStyle w:val="Sansinterligne"/>
              <w:numPr>
                <w:ilvl w:val="0"/>
                <w:numId w:val="1527"/>
              </w:numPr>
            </w:pPr>
            <w:r>
              <w:t>Hématochézie, méléna</w:t>
            </w:r>
          </w:p>
          <w:p w:rsidR="008D5A70" w:rsidRDefault="008D5A70" w:rsidP="0036676E">
            <w:pPr>
              <w:pStyle w:val="Sansinterligne"/>
              <w:numPr>
                <w:ilvl w:val="0"/>
                <w:numId w:val="1527"/>
              </w:numPr>
            </w:pPr>
            <w:r>
              <w:t xml:space="preserve">Selles en crayon ou </w:t>
            </w:r>
            <w:r>
              <w:rPr>
                <w:rFonts w:cs="Times New Roman"/>
              </w:rPr>
              <w:t>constipation</w:t>
            </w:r>
          </w:p>
          <w:p w:rsidR="008D5A70" w:rsidRDefault="008D5A70" w:rsidP="0036676E">
            <w:pPr>
              <w:pStyle w:val="Sansinterligne"/>
              <w:numPr>
                <w:ilvl w:val="0"/>
                <w:numId w:val="1527"/>
              </w:numPr>
            </w:pPr>
            <w:r>
              <w:t>Sx B (fatigue, perte de poids, anorexie ...)</w:t>
            </w:r>
          </w:p>
        </w:tc>
        <w:tc>
          <w:tcPr>
            <w:tcW w:w="4169" w:type="dxa"/>
            <w:shd w:val="clear" w:color="auto" w:fill="FFFF00"/>
          </w:tcPr>
          <w:p w:rsidR="008D5A70" w:rsidRDefault="008D5A70" w:rsidP="0036676E">
            <w:pPr>
              <w:pStyle w:val="Sansinterligne"/>
              <w:numPr>
                <w:ilvl w:val="0"/>
                <w:numId w:val="1527"/>
              </w:numPr>
            </w:pPr>
            <w:r>
              <w:t>Ballonnement à l’examen</w:t>
            </w:r>
          </w:p>
          <w:p w:rsidR="008D5A70" w:rsidRDefault="008D5A70" w:rsidP="0036676E">
            <w:pPr>
              <w:pStyle w:val="Sansinterligne"/>
              <w:numPr>
                <w:ilvl w:val="0"/>
                <w:numId w:val="1527"/>
              </w:numPr>
            </w:pPr>
            <w:r>
              <w:t>Péristaltisme augmenté si occlusion</w:t>
            </w:r>
          </w:p>
          <w:p w:rsidR="008D5A70" w:rsidRDefault="008D5A70" w:rsidP="0036676E">
            <w:pPr>
              <w:pStyle w:val="Sansinterligne"/>
              <w:numPr>
                <w:ilvl w:val="0"/>
                <w:numId w:val="1527"/>
              </w:numPr>
            </w:pPr>
            <w:r>
              <w:t>Masse palpable (parfois) au TR</w:t>
            </w:r>
          </w:p>
        </w:tc>
      </w:tr>
      <w:tr w:rsidR="00FB2E6E" w:rsidTr="008D5A70">
        <w:tc>
          <w:tcPr>
            <w:tcW w:w="2376" w:type="dxa"/>
            <w:shd w:val="clear" w:color="auto" w:fill="95B3D7" w:themeFill="accent1" w:themeFillTint="99"/>
            <w:vAlign w:val="center"/>
          </w:tcPr>
          <w:p w:rsidR="00FB2E6E" w:rsidRDefault="00FB2E6E" w:rsidP="00A00909">
            <w:pPr>
              <w:pStyle w:val="Sansinterligne"/>
              <w:jc w:val="center"/>
            </w:pPr>
            <w:r>
              <w:t>Néoplasie des ovaires</w:t>
            </w:r>
          </w:p>
        </w:tc>
        <w:tc>
          <w:tcPr>
            <w:tcW w:w="4395" w:type="dxa"/>
            <w:shd w:val="clear" w:color="auto" w:fill="auto"/>
          </w:tcPr>
          <w:p w:rsidR="00FB2E6E" w:rsidRDefault="00041953" w:rsidP="0036676E">
            <w:pPr>
              <w:pStyle w:val="Sansinterligne"/>
              <w:numPr>
                <w:ilvl w:val="0"/>
                <w:numId w:val="1527"/>
              </w:numPr>
            </w:pPr>
            <w:r>
              <w:t>Nulliparité / ménarche précoce / ménopause tardive</w:t>
            </w:r>
          </w:p>
          <w:p w:rsidR="00041953" w:rsidRDefault="00041953" w:rsidP="0036676E">
            <w:pPr>
              <w:pStyle w:val="Sansinterligne"/>
              <w:numPr>
                <w:ilvl w:val="0"/>
                <w:numId w:val="1527"/>
              </w:numPr>
            </w:pPr>
            <w:r>
              <w:t>ATCD familiaux de néo ovaires et seins</w:t>
            </w:r>
          </w:p>
          <w:p w:rsidR="00041953" w:rsidRDefault="00041953" w:rsidP="0036676E">
            <w:pPr>
              <w:pStyle w:val="Sansinterligne"/>
              <w:numPr>
                <w:ilvl w:val="0"/>
                <w:numId w:val="1527"/>
              </w:numPr>
            </w:pPr>
            <w:r>
              <w:t>Nausées</w:t>
            </w:r>
          </w:p>
          <w:p w:rsidR="00041953" w:rsidRDefault="00041953" w:rsidP="0036676E">
            <w:pPr>
              <w:pStyle w:val="Sansinterligne"/>
              <w:numPr>
                <w:ilvl w:val="0"/>
                <w:numId w:val="1527"/>
              </w:numPr>
            </w:pPr>
            <w:r>
              <w:t>Ballonnement</w:t>
            </w:r>
            <w:r w:rsidR="00E82F88">
              <w:t>, dyspepsie</w:t>
            </w:r>
          </w:p>
          <w:p w:rsidR="00041953" w:rsidRDefault="00041953" w:rsidP="0036676E">
            <w:pPr>
              <w:pStyle w:val="Sansinterligne"/>
              <w:numPr>
                <w:ilvl w:val="0"/>
                <w:numId w:val="1527"/>
              </w:numPr>
            </w:pPr>
            <w:r>
              <w:t>Anorexie, satiété précoce</w:t>
            </w:r>
          </w:p>
          <w:p w:rsidR="00041953" w:rsidRDefault="00041953" w:rsidP="0036676E">
            <w:pPr>
              <w:pStyle w:val="Sansinterligne"/>
              <w:numPr>
                <w:ilvl w:val="0"/>
                <w:numId w:val="1527"/>
              </w:numPr>
            </w:pPr>
            <w:r>
              <w:t>Constipation</w:t>
            </w:r>
          </w:p>
          <w:p w:rsidR="00041953" w:rsidRDefault="00041953" w:rsidP="0036676E">
            <w:pPr>
              <w:pStyle w:val="Sansinterligne"/>
              <w:numPr>
                <w:ilvl w:val="0"/>
                <w:numId w:val="1527"/>
              </w:numPr>
            </w:pPr>
            <w:r>
              <w:t>Pollakiurie</w:t>
            </w:r>
          </w:p>
        </w:tc>
        <w:tc>
          <w:tcPr>
            <w:tcW w:w="4169" w:type="dxa"/>
            <w:shd w:val="clear" w:color="auto" w:fill="auto"/>
          </w:tcPr>
          <w:p w:rsidR="00FB2E6E" w:rsidRDefault="00041953" w:rsidP="0036676E">
            <w:pPr>
              <w:pStyle w:val="Sansinterligne"/>
              <w:numPr>
                <w:ilvl w:val="0"/>
                <w:numId w:val="1536"/>
              </w:numPr>
            </w:pPr>
            <w:r>
              <w:t>Masses palpables (parfois)</w:t>
            </w:r>
          </w:p>
        </w:tc>
      </w:tr>
      <w:tr w:rsidR="00A00909" w:rsidTr="00A00909">
        <w:tc>
          <w:tcPr>
            <w:tcW w:w="2376" w:type="dxa"/>
            <w:shd w:val="clear" w:color="auto" w:fill="95B3D7" w:themeFill="accent1" w:themeFillTint="99"/>
            <w:vAlign w:val="center"/>
          </w:tcPr>
          <w:p w:rsidR="00A00909" w:rsidRDefault="00A00909" w:rsidP="00A00909">
            <w:pPr>
              <w:pStyle w:val="Sansinterligne"/>
              <w:jc w:val="center"/>
            </w:pPr>
            <w:r>
              <w:t>Léiomyomes</w:t>
            </w:r>
          </w:p>
        </w:tc>
        <w:tc>
          <w:tcPr>
            <w:tcW w:w="8564" w:type="dxa"/>
            <w:gridSpan w:val="2"/>
          </w:tcPr>
          <w:p w:rsidR="00A00909" w:rsidRDefault="00A00909" w:rsidP="00E56594">
            <w:pPr>
              <w:pStyle w:val="Sansinterligne"/>
            </w:pPr>
            <w:r>
              <w:t xml:space="preserve">Voir </w:t>
            </w:r>
            <w:r w:rsidRPr="00B95DEB">
              <w:rPr>
                <w:i/>
              </w:rPr>
              <w:t>Douleur pelvienne CMC 73</w:t>
            </w:r>
          </w:p>
        </w:tc>
      </w:tr>
      <w:tr w:rsidR="00FB2E6E" w:rsidTr="00FB2E6E">
        <w:tc>
          <w:tcPr>
            <w:tcW w:w="2376" w:type="dxa"/>
            <w:shd w:val="clear" w:color="auto" w:fill="95B3D7" w:themeFill="accent1" w:themeFillTint="99"/>
            <w:vAlign w:val="center"/>
          </w:tcPr>
          <w:p w:rsidR="00FB2E6E" w:rsidRDefault="00FB2E6E" w:rsidP="00A00909">
            <w:pPr>
              <w:pStyle w:val="Sansinterligne"/>
              <w:jc w:val="center"/>
            </w:pPr>
            <w:r>
              <w:t>Grossesse</w:t>
            </w:r>
          </w:p>
        </w:tc>
        <w:tc>
          <w:tcPr>
            <w:tcW w:w="4395" w:type="dxa"/>
          </w:tcPr>
          <w:p w:rsidR="00FB2E6E" w:rsidRPr="00D35E0E" w:rsidRDefault="00FB2E6E" w:rsidP="0036676E">
            <w:pPr>
              <w:pStyle w:val="Sansinterligne"/>
              <w:numPr>
                <w:ilvl w:val="0"/>
                <w:numId w:val="1527"/>
              </w:numPr>
              <w:rPr>
                <w:b/>
              </w:rPr>
            </w:pPr>
            <w:r w:rsidRPr="00D35E0E">
              <w:rPr>
                <w:b/>
              </w:rPr>
              <w:t>Aménorrhée</w:t>
            </w:r>
          </w:p>
          <w:p w:rsidR="00FB2E6E" w:rsidRPr="00D35E0E" w:rsidRDefault="00FB2E6E" w:rsidP="0036676E">
            <w:pPr>
              <w:pStyle w:val="Sansinterligne"/>
              <w:numPr>
                <w:ilvl w:val="0"/>
                <w:numId w:val="1527"/>
              </w:numPr>
              <w:rPr>
                <w:b/>
              </w:rPr>
            </w:pPr>
            <w:r w:rsidRPr="00D35E0E">
              <w:rPr>
                <w:b/>
              </w:rPr>
              <w:t>No/Vo</w:t>
            </w:r>
          </w:p>
          <w:p w:rsidR="00FB2E6E" w:rsidRDefault="00FB2E6E" w:rsidP="0036676E">
            <w:pPr>
              <w:pStyle w:val="Sansinterligne"/>
              <w:numPr>
                <w:ilvl w:val="0"/>
                <w:numId w:val="1527"/>
              </w:numPr>
            </w:pPr>
            <w:r w:rsidRPr="00D35E0E">
              <w:rPr>
                <w:b/>
              </w:rPr>
              <w:t>Fatigue</w:t>
            </w:r>
          </w:p>
        </w:tc>
        <w:tc>
          <w:tcPr>
            <w:tcW w:w="4169" w:type="dxa"/>
          </w:tcPr>
          <w:p w:rsidR="00FB2E6E" w:rsidRDefault="00FB2E6E" w:rsidP="0036676E">
            <w:pPr>
              <w:pStyle w:val="Sansinterligne"/>
              <w:numPr>
                <w:ilvl w:val="0"/>
                <w:numId w:val="1527"/>
              </w:numPr>
            </w:pPr>
            <w:r>
              <w:t>Œdème</w:t>
            </w:r>
          </w:p>
          <w:p w:rsidR="00FB2E6E" w:rsidRDefault="00FB2E6E" w:rsidP="0036676E">
            <w:pPr>
              <w:pStyle w:val="Sansinterligne"/>
              <w:numPr>
                <w:ilvl w:val="0"/>
                <w:numId w:val="1527"/>
              </w:numPr>
            </w:pPr>
            <w:r>
              <w:t>Prise de poids</w:t>
            </w:r>
          </w:p>
          <w:p w:rsidR="00FB2E6E" w:rsidRDefault="00FB2E6E" w:rsidP="0036676E">
            <w:pPr>
              <w:pStyle w:val="Sansinterligne"/>
              <w:numPr>
                <w:ilvl w:val="0"/>
                <w:numId w:val="1527"/>
              </w:numPr>
            </w:pPr>
            <w:r>
              <w:t xml:space="preserve">Utérus </w:t>
            </w:r>
            <w:r>
              <w:rPr>
                <w:rFonts w:ascii="Century Gothic" w:hAnsi="Century Gothic"/>
              </w:rPr>
              <w:t>↑</w:t>
            </w:r>
            <w:r>
              <w:t xml:space="preserve"> taille</w:t>
            </w:r>
          </w:p>
        </w:tc>
      </w:tr>
    </w:tbl>
    <w:p w:rsidR="00FB2E6E" w:rsidRDefault="00041953" w:rsidP="00E56594">
      <w:pPr>
        <w:pStyle w:val="Sansinterligne"/>
      </w:pPr>
      <w:r w:rsidRPr="008D5A70">
        <w:rPr>
          <w:noProof/>
          <w:highlight w:val="yellow"/>
          <w:lang w:eastAsia="fr-CA"/>
        </w:rPr>
        <mc:AlternateContent>
          <mc:Choice Requires="wps">
            <w:drawing>
              <wp:anchor distT="0" distB="0" distL="114300" distR="114300" simplePos="0" relativeHeight="252230656" behindDoc="0" locked="0" layoutInCell="1" allowOverlap="1" wp14:anchorId="4F4C2D6B" wp14:editId="38772EF9">
                <wp:simplePos x="0" y="0"/>
                <wp:positionH relativeFrom="column">
                  <wp:posOffset>3842426</wp:posOffset>
                </wp:positionH>
                <wp:positionV relativeFrom="paragraph">
                  <wp:posOffset>107882</wp:posOffset>
                </wp:positionV>
                <wp:extent cx="3014980" cy="3764605"/>
                <wp:effectExtent l="0" t="0" r="13970" b="26670"/>
                <wp:wrapNone/>
                <wp:docPr id="69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14980" cy="3764605"/>
                        </a:xfrm>
                        <a:prstGeom prst="rect">
                          <a:avLst/>
                        </a:prstGeom>
                        <a:solidFill>
                          <a:schemeClr val="accent1">
                            <a:lumMod val="60000"/>
                            <a:lumOff val="40000"/>
                          </a:schemeClr>
                        </a:solidFill>
                        <a:ln w="9525">
                          <a:solidFill>
                            <a:srgbClr val="000000"/>
                          </a:solidFill>
                          <a:miter lim="800000"/>
                          <a:headEnd/>
                          <a:tailEnd/>
                        </a:ln>
                      </wps:spPr>
                      <wps:txbx>
                        <w:txbxContent>
                          <w:p w:rsidR="008276DC" w:rsidRPr="00EC60C0" w:rsidRDefault="008276DC" w:rsidP="003A2A38">
                            <w:pPr>
                              <w:jc w:val="center"/>
                              <w:rPr>
                                <w:sz w:val="18"/>
                                <w:szCs w:val="18"/>
                                <w:u w:val="single"/>
                              </w:rPr>
                            </w:pPr>
                            <w:r w:rsidRPr="00EC60C0">
                              <w:rPr>
                                <w:sz w:val="18"/>
                                <w:szCs w:val="18"/>
                                <w:u w:val="single"/>
                              </w:rPr>
                              <w:t>Analyse du liquide d’ascite</w:t>
                            </w:r>
                          </w:p>
                          <w:p w:rsidR="008276DC" w:rsidRPr="00EC60C0" w:rsidRDefault="008276DC">
                            <w:pPr>
                              <w:rPr>
                                <w:b/>
                                <w:sz w:val="18"/>
                                <w:szCs w:val="18"/>
                              </w:rPr>
                            </w:pPr>
                            <w:r w:rsidRPr="00EC60C0">
                              <w:rPr>
                                <w:b/>
                                <w:sz w:val="18"/>
                                <w:szCs w:val="18"/>
                              </w:rPr>
                              <w:t>Transsudat</w:t>
                            </w:r>
                          </w:p>
                          <w:p w:rsidR="008276DC" w:rsidRPr="00EC60C0" w:rsidRDefault="008276DC" w:rsidP="0036676E">
                            <w:pPr>
                              <w:pStyle w:val="Paragraphedeliste"/>
                              <w:numPr>
                                <w:ilvl w:val="0"/>
                                <w:numId w:val="1531"/>
                              </w:numPr>
                              <w:spacing w:after="0"/>
                              <w:rPr>
                                <w:sz w:val="18"/>
                                <w:szCs w:val="18"/>
                              </w:rPr>
                            </w:pPr>
                            <w:r w:rsidRPr="00EC60C0">
                              <w:rPr>
                                <w:sz w:val="18"/>
                                <w:szCs w:val="18"/>
                              </w:rPr>
                              <w:t xml:space="preserve">LDH ascite/sérum </w:t>
                            </w:r>
                            <w:r w:rsidRPr="00EC60C0">
                              <w:rPr>
                                <w:rFonts w:ascii="Century Gothic" w:hAnsi="Century Gothic"/>
                                <w:sz w:val="18"/>
                                <w:szCs w:val="18"/>
                              </w:rPr>
                              <w:t>&lt;</w:t>
                            </w:r>
                            <w:r w:rsidRPr="00EC60C0">
                              <w:rPr>
                                <w:sz w:val="18"/>
                                <w:szCs w:val="18"/>
                              </w:rPr>
                              <w:t xml:space="preserve"> 0,6</w:t>
                            </w:r>
                          </w:p>
                          <w:p w:rsidR="008276DC" w:rsidRPr="00EC60C0" w:rsidRDefault="008276DC" w:rsidP="0036676E">
                            <w:pPr>
                              <w:pStyle w:val="Paragraphedeliste"/>
                              <w:numPr>
                                <w:ilvl w:val="0"/>
                                <w:numId w:val="1531"/>
                              </w:numPr>
                              <w:spacing w:after="0"/>
                              <w:rPr>
                                <w:sz w:val="18"/>
                                <w:szCs w:val="18"/>
                              </w:rPr>
                            </w:pPr>
                            <w:r w:rsidRPr="00EC60C0">
                              <w:rPr>
                                <w:sz w:val="18"/>
                                <w:szCs w:val="18"/>
                              </w:rPr>
                              <w:t xml:space="preserve">Albumine ascite/sérum </w:t>
                            </w:r>
                            <w:r w:rsidRPr="00EC60C0">
                              <w:rPr>
                                <w:rFonts w:ascii="Century Gothic" w:hAnsi="Century Gothic"/>
                                <w:sz w:val="18"/>
                                <w:szCs w:val="18"/>
                              </w:rPr>
                              <w:t>&lt;</w:t>
                            </w:r>
                            <w:r w:rsidRPr="00EC60C0">
                              <w:rPr>
                                <w:sz w:val="18"/>
                                <w:szCs w:val="18"/>
                              </w:rPr>
                              <w:t xml:space="preserve"> 0,5</w:t>
                            </w:r>
                          </w:p>
                          <w:p w:rsidR="008276DC" w:rsidRPr="00EC60C0" w:rsidRDefault="008276DC" w:rsidP="0036676E">
                            <w:pPr>
                              <w:pStyle w:val="Paragraphedeliste"/>
                              <w:numPr>
                                <w:ilvl w:val="0"/>
                                <w:numId w:val="1531"/>
                              </w:numPr>
                              <w:spacing w:after="0"/>
                              <w:rPr>
                                <w:sz w:val="18"/>
                                <w:szCs w:val="18"/>
                              </w:rPr>
                            </w:pPr>
                            <w:r w:rsidRPr="00EC60C0">
                              <w:rPr>
                                <w:sz w:val="18"/>
                                <w:szCs w:val="18"/>
                              </w:rPr>
                              <w:t xml:space="preserve">Gradient Albumine sanguin-ascite </w:t>
                            </w:r>
                            <w:r w:rsidRPr="00EC60C0">
                              <w:rPr>
                                <w:rFonts w:ascii="Century Gothic" w:hAnsi="Century Gothic"/>
                                <w:sz w:val="18"/>
                                <w:szCs w:val="18"/>
                              </w:rPr>
                              <w:t>&gt;</w:t>
                            </w:r>
                            <w:r w:rsidRPr="00EC60C0">
                              <w:rPr>
                                <w:sz w:val="18"/>
                                <w:szCs w:val="18"/>
                              </w:rPr>
                              <w:t xml:space="preserve"> 11 g/L </w:t>
                            </w:r>
                          </w:p>
                          <w:p w:rsidR="008276DC" w:rsidRPr="00EC60C0" w:rsidRDefault="008276DC" w:rsidP="00041953">
                            <w:pPr>
                              <w:rPr>
                                <w:sz w:val="18"/>
                                <w:szCs w:val="18"/>
                              </w:rPr>
                            </w:pPr>
                            <w:r w:rsidRPr="00EC60C0">
                              <w:rPr>
                                <w:sz w:val="18"/>
                                <w:szCs w:val="18"/>
                                <w:u w:val="single"/>
                              </w:rPr>
                              <w:t>Associé à</w:t>
                            </w:r>
                            <w:r w:rsidRPr="00EC60C0">
                              <w:rPr>
                                <w:sz w:val="18"/>
                                <w:szCs w:val="18"/>
                              </w:rPr>
                              <w:t> :</w:t>
                            </w:r>
                          </w:p>
                          <w:p w:rsidR="008276DC" w:rsidRPr="00EC60C0" w:rsidRDefault="008276DC" w:rsidP="0036676E">
                            <w:pPr>
                              <w:pStyle w:val="Paragraphedeliste"/>
                              <w:numPr>
                                <w:ilvl w:val="0"/>
                                <w:numId w:val="1534"/>
                              </w:numPr>
                              <w:rPr>
                                <w:sz w:val="18"/>
                                <w:szCs w:val="18"/>
                              </w:rPr>
                            </w:pPr>
                            <w:r w:rsidRPr="00EC60C0">
                              <w:rPr>
                                <w:sz w:val="18"/>
                                <w:szCs w:val="18"/>
                              </w:rPr>
                              <w:t>Insuffisance cardiaque droite</w:t>
                            </w:r>
                          </w:p>
                          <w:p w:rsidR="008276DC" w:rsidRPr="00EC60C0" w:rsidRDefault="008276DC" w:rsidP="0036676E">
                            <w:pPr>
                              <w:pStyle w:val="Paragraphedeliste"/>
                              <w:numPr>
                                <w:ilvl w:val="0"/>
                                <w:numId w:val="1534"/>
                              </w:numPr>
                              <w:rPr>
                                <w:sz w:val="18"/>
                                <w:szCs w:val="18"/>
                              </w:rPr>
                            </w:pPr>
                            <w:r w:rsidRPr="00EC60C0">
                              <w:rPr>
                                <w:sz w:val="18"/>
                                <w:szCs w:val="18"/>
                              </w:rPr>
                              <w:t>Cirrhose</w:t>
                            </w:r>
                          </w:p>
                          <w:p w:rsidR="008276DC" w:rsidRPr="00EC60C0" w:rsidRDefault="008276DC" w:rsidP="0036676E">
                            <w:pPr>
                              <w:pStyle w:val="Paragraphedeliste"/>
                              <w:numPr>
                                <w:ilvl w:val="0"/>
                                <w:numId w:val="1534"/>
                              </w:numPr>
                              <w:rPr>
                                <w:sz w:val="18"/>
                                <w:szCs w:val="18"/>
                              </w:rPr>
                            </w:pPr>
                            <w:r w:rsidRPr="00EC60C0">
                              <w:rPr>
                                <w:sz w:val="18"/>
                                <w:szCs w:val="18"/>
                              </w:rPr>
                              <w:t>Métastases hépatiques</w:t>
                            </w:r>
                          </w:p>
                          <w:p w:rsidR="008276DC" w:rsidRPr="00EC60C0" w:rsidRDefault="008276DC" w:rsidP="0036676E">
                            <w:pPr>
                              <w:pStyle w:val="Paragraphedeliste"/>
                              <w:numPr>
                                <w:ilvl w:val="0"/>
                                <w:numId w:val="1534"/>
                              </w:numPr>
                              <w:rPr>
                                <w:sz w:val="18"/>
                                <w:szCs w:val="18"/>
                              </w:rPr>
                            </w:pPr>
                            <w:r w:rsidRPr="00EC60C0">
                              <w:rPr>
                                <w:sz w:val="18"/>
                                <w:szCs w:val="18"/>
                              </w:rPr>
                              <w:t>Thrombose porte</w:t>
                            </w:r>
                          </w:p>
                          <w:p w:rsidR="008276DC" w:rsidRPr="00EC60C0" w:rsidRDefault="008276DC" w:rsidP="0036676E">
                            <w:pPr>
                              <w:pStyle w:val="Paragraphedeliste"/>
                              <w:numPr>
                                <w:ilvl w:val="0"/>
                                <w:numId w:val="1534"/>
                              </w:numPr>
                              <w:rPr>
                                <w:sz w:val="18"/>
                                <w:szCs w:val="18"/>
                              </w:rPr>
                            </w:pPr>
                            <w:r w:rsidRPr="00EC60C0">
                              <w:rPr>
                                <w:sz w:val="18"/>
                                <w:szCs w:val="18"/>
                              </w:rPr>
                              <w:t>Budd-Chiari</w:t>
                            </w:r>
                          </w:p>
                          <w:p w:rsidR="008276DC" w:rsidRPr="00EC60C0" w:rsidRDefault="008276DC" w:rsidP="003A2A38">
                            <w:pPr>
                              <w:rPr>
                                <w:b/>
                                <w:sz w:val="18"/>
                                <w:szCs w:val="18"/>
                              </w:rPr>
                            </w:pPr>
                            <w:r w:rsidRPr="00EC60C0">
                              <w:rPr>
                                <w:b/>
                                <w:sz w:val="18"/>
                                <w:szCs w:val="18"/>
                              </w:rPr>
                              <w:t>Exsudat</w:t>
                            </w:r>
                          </w:p>
                          <w:p w:rsidR="008276DC" w:rsidRPr="00EC60C0" w:rsidRDefault="008276DC" w:rsidP="0036676E">
                            <w:pPr>
                              <w:pStyle w:val="Paragraphedeliste"/>
                              <w:numPr>
                                <w:ilvl w:val="0"/>
                                <w:numId w:val="1531"/>
                              </w:numPr>
                              <w:spacing w:after="0"/>
                              <w:rPr>
                                <w:sz w:val="18"/>
                                <w:szCs w:val="18"/>
                              </w:rPr>
                            </w:pPr>
                            <w:r w:rsidRPr="00EC60C0">
                              <w:rPr>
                                <w:sz w:val="18"/>
                                <w:szCs w:val="18"/>
                              </w:rPr>
                              <w:t xml:space="preserve">LDH ascite/sérum </w:t>
                            </w:r>
                            <w:r w:rsidRPr="00EC60C0">
                              <w:rPr>
                                <w:rFonts w:ascii="Century Gothic" w:hAnsi="Century Gothic"/>
                                <w:sz w:val="18"/>
                                <w:szCs w:val="18"/>
                              </w:rPr>
                              <w:t>&gt;</w:t>
                            </w:r>
                            <w:r w:rsidRPr="00EC60C0">
                              <w:rPr>
                                <w:sz w:val="18"/>
                                <w:szCs w:val="18"/>
                              </w:rPr>
                              <w:t xml:space="preserve"> 0,6</w:t>
                            </w:r>
                          </w:p>
                          <w:p w:rsidR="008276DC" w:rsidRPr="00EC60C0" w:rsidRDefault="008276DC" w:rsidP="0036676E">
                            <w:pPr>
                              <w:pStyle w:val="Paragraphedeliste"/>
                              <w:numPr>
                                <w:ilvl w:val="0"/>
                                <w:numId w:val="1531"/>
                              </w:numPr>
                              <w:spacing w:after="0"/>
                              <w:rPr>
                                <w:sz w:val="18"/>
                                <w:szCs w:val="18"/>
                              </w:rPr>
                            </w:pPr>
                            <w:r w:rsidRPr="00EC60C0">
                              <w:rPr>
                                <w:sz w:val="18"/>
                                <w:szCs w:val="18"/>
                              </w:rPr>
                              <w:t xml:space="preserve">Albumine ascite/sérum </w:t>
                            </w:r>
                            <w:r w:rsidRPr="00EC60C0">
                              <w:rPr>
                                <w:rFonts w:ascii="Century Gothic" w:hAnsi="Century Gothic"/>
                                <w:sz w:val="18"/>
                                <w:szCs w:val="18"/>
                              </w:rPr>
                              <w:t>&gt;</w:t>
                            </w:r>
                            <w:r w:rsidRPr="00EC60C0">
                              <w:rPr>
                                <w:sz w:val="18"/>
                                <w:szCs w:val="18"/>
                              </w:rPr>
                              <w:t xml:space="preserve"> 0,5</w:t>
                            </w:r>
                          </w:p>
                          <w:p w:rsidR="008276DC" w:rsidRPr="00EC60C0" w:rsidRDefault="008276DC" w:rsidP="0036676E">
                            <w:pPr>
                              <w:pStyle w:val="Paragraphedeliste"/>
                              <w:numPr>
                                <w:ilvl w:val="0"/>
                                <w:numId w:val="1531"/>
                              </w:numPr>
                              <w:spacing w:after="0"/>
                              <w:rPr>
                                <w:sz w:val="18"/>
                                <w:szCs w:val="18"/>
                              </w:rPr>
                            </w:pPr>
                            <w:r w:rsidRPr="00EC60C0">
                              <w:rPr>
                                <w:sz w:val="18"/>
                                <w:szCs w:val="18"/>
                              </w:rPr>
                              <w:t xml:space="preserve">Gradient Albumine sanguin-ascite </w:t>
                            </w:r>
                            <w:r w:rsidRPr="00EC60C0">
                              <w:rPr>
                                <w:rFonts w:ascii="Century Gothic" w:hAnsi="Century Gothic"/>
                                <w:sz w:val="18"/>
                                <w:szCs w:val="18"/>
                              </w:rPr>
                              <w:t>&lt;</w:t>
                            </w:r>
                            <w:r w:rsidRPr="00EC60C0">
                              <w:rPr>
                                <w:sz w:val="18"/>
                                <w:szCs w:val="18"/>
                              </w:rPr>
                              <w:t xml:space="preserve"> 11 g/L </w:t>
                            </w:r>
                          </w:p>
                          <w:p w:rsidR="008276DC" w:rsidRPr="00EC60C0" w:rsidRDefault="008276DC" w:rsidP="00041953">
                            <w:pPr>
                              <w:rPr>
                                <w:sz w:val="18"/>
                                <w:szCs w:val="18"/>
                              </w:rPr>
                            </w:pPr>
                            <w:r w:rsidRPr="00EC60C0">
                              <w:rPr>
                                <w:sz w:val="18"/>
                                <w:szCs w:val="18"/>
                                <w:u w:val="single"/>
                              </w:rPr>
                              <w:t>Associé à</w:t>
                            </w:r>
                            <w:r w:rsidRPr="00EC60C0">
                              <w:rPr>
                                <w:sz w:val="18"/>
                                <w:szCs w:val="18"/>
                              </w:rPr>
                              <w:t> :</w:t>
                            </w:r>
                          </w:p>
                          <w:p w:rsidR="008276DC" w:rsidRPr="00EC60C0" w:rsidRDefault="008276DC" w:rsidP="0036676E">
                            <w:pPr>
                              <w:pStyle w:val="Paragraphedeliste"/>
                              <w:numPr>
                                <w:ilvl w:val="0"/>
                                <w:numId w:val="1535"/>
                              </w:numPr>
                              <w:rPr>
                                <w:sz w:val="18"/>
                                <w:szCs w:val="18"/>
                              </w:rPr>
                            </w:pPr>
                            <w:r w:rsidRPr="00EC60C0">
                              <w:rPr>
                                <w:sz w:val="18"/>
                                <w:szCs w:val="18"/>
                              </w:rPr>
                              <w:t>Carcinomatose péritonéale</w:t>
                            </w:r>
                          </w:p>
                          <w:p w:rsidR="008276DC" w:rsidRPr="00EC60C0" w:rsidRDefault="008276DC" w:rsidP="0036676E">
                            <w:pPr>
                              <w:pStyle w:val="Paragraphedeliste"/>
                              <w:numPr>
                                <w:ilvl w:val="0"/>
                                <w:numId w:val="1535"/>
                              </w:numPr>
                              <w:rPr>
                                <w:sz w:val="18"/>
                                <w:szCs w:val="18"/>
                              </w:rPr>
                            </w:pPr>
                            <w:r w:rsidRPr="00EC60C0">
                              <w:rPr>
                                <w:sz w:val="18"/>
                                <w:szCs w:val="18"/>
                              </w:rPr>
                              <w:t>Ascite pancréatique</w:t>
                            </w:r>
                          </w:p>
                          <w:p w:rsidR="008276DC" w:rsidRPr="00EC60C0" w:rsidRDefault="008276DC" w:rsidP="0036676E">
                            <w:pPr>
                              <w:pStyle w:val="Paragraphedeliste"/>
                              <w:numPr>
                                <w:ilvl w:val="0"/>
                                <w:numId w:val="1535"/>
                              </w:numPr>
                              <w:rPr>
                                <w:sz w:val="18"/>
                                <w:szCs w:val="18"/>
                              </w:rPr>
                            </w:pPr>
                            <w:r w:rsidRPr="00EC60C0">
                              <w:rPr>
                                <w:sz w:val="18"/>
                                <w:szCs w:val="18"/>
                              </w:rPr>
                              <w:t>Tuberculose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Zone de texte 2" o:spid="_x0000_s1026" type="#_x0000_t202" style="position:absolute;margin-left:302.55pt;margin-top:8.5pt;width:237.4pt;height:296.45pt;z-index:252230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" fillcolor="#95b3d7 [1940]">
                <v:textbox>
                  <w:txbxContent>
                    <w:p w:rsidR="008276DC" w:rsidRPr="00EC60C0" w:rsidRDefault="008276DC" w:rsidP="003A2A38">
                      <w:pPr>
                        <w:jc w:val="center"/>
                        <w:rPr>
                          <w:sz w:val="18"/>
                          <w:szCs w:val="18"/>
                          <w:u w:val="single"/>
                        </w:rPr>
                      </w:pPr>
                      <w:r w:rsidRPr="00EC60C0">
                        <w:rPr>
                          <w:sz w:val="18"/>
                          <w:szCs w:val="18"/>
                          <w:u w:val="single"/>
                        </w:rPr>
                        <w:t>Analyse du liquide d’ascite</w:t>
                      </w:r>
                    </w:p>
                    <w:p w:rsidR="008276DC" w:rsidRPr="00EC60C0" w:rsidRDefault="008276DC">
                      <w:pPr>
                        <w:rPr>
                          <w:b/>
                          <w:sz w:val="18"/>
                          <w:szCs w:val="18"/>
                        </w:rPr>
                      </w:pPr>
                      <w:r w:rsidRPr="00EC60C0">
                        <w:rPr>
                          <w:b/>
                          <w:sz w:val="18"/>
                          <w:szCs w:val="18"/>
                        </w:rPr>
                        <w:t>Transsudat</w:t>
                      </w:r>
                    </w:p>
                    <w:p w:rsidR="008276DC" w:rsidRPr="00EC60C0" w:rsidRDefault="008276DC" w:rsidP="0036676E">
                      <w:pPr>
                        <w:pStyle w:val="Paragraphedeliste"/>
                        <w:numPr>
                          <w:ilvl w:val="0"/>
                          <w:numId w:val="1531"/>
                        </w:numPr>
                        <w:spacing w:after="0"/>
                        <w:rPr>
                          <w:sz w:val="18"/>
                          <w:szCs w:val="18"/>
                        </w:rPr>
                      </w:pPr>
                      <w:r w:rsidRPr="00EC60C0">
                        <w:rPr>
                          <w:sz w:val="18"/>
                          <w:szCs w:val="18"/>
                        </w:rPr>
                        <w:t xml:space="preserve">LDH ascite/sérum </w:t>
                      </w:r>
                      <w:r w:rsidRPr="00EC60C0">
                        <w:rPr>
                          <w:rFonts w:ascii="Century Gothic" w:hAnsi="Century Gothic"/>
                          <w:sz w:val="18"/>
                          <w:szCs w:val="18"/>
                        </w:rPr>
                        <w:t>&lt;</w:t>
                      </w:r>
                      <w:r w:rsidRPr="00EC60C0">
                        <w:rPr>
                          <w:sz w:val="18"/>
                          <w:szCs w:val="18"/>
                        </w:rPr>
                        <w:t xml:space="preserve"> 0,6</w:t>
                      </w:r>
                    </w:p>
                    <w:p w:rsidR="008276DC" w:rsidRPr="00EC60C0" w:rsidRDefault="008276DC" w:rsidP="0036676E">
                      <w:pPr>
                        <w:pStyle w:val="Paragraphedeliste"/>
                        <w:numPr>
                          <w:ilvl w:val="0"/>
                          <w:numId w:val="1531"/>
                        </w:numPr>
                        <w:spacing w:after="0"/>
                        <w:rPr>
                          <w:sz w:val="18"/>
                          <w:szCs w:val="18"/>
                        </w:rPr>
                      </w:pPr>
                      <w:r w:rsidRPr="00EC60C0">
                        <w:rPr>
                          <w:sz w:val="18"/>
                          <w:szCs w:val="18"/>
                        </w:rPr>
                        <w:t xml:space="preserve">Albumine ascite/sérum </w:t>
                      </w:r>
                      <w:r w:rsidRPr="00EC60C0">
                        <w:rPr>
                          <w:rFonts w:ascii="Century Gothic" w:hAnsi="Century Gothic"/>
                          <w:sz w:val="18"/>
                          <w:szCs w:val="18"/>
                        </w:rPr>
                        <w:t>&lt;</w:t>
                      </w:r>
                      <w:r w:rsidRPr="00EC60C0">
                        <w:rPr>
                          <w:sz w:val="18"/>
                          <w:szCs w:val="18"/>
                        </w:rPr>
                        <w:t xml:space="preserve"> 0,5</w:t>
                      </w:r>
                    </w:p>
                    <w:p w:rsidR="008276DC" w:rsidRPr="00EC60C0" w:rsidRDefault="008276DC" w:rsidP="0036676E">
                      <w:pPr>
                        <w:pStyle w:val="Paragraphedeliste"/>
                        <w:numPr>
                          <w:ilvl w:val="0"/>
                          <w:numId w:val="1531"/>
                        </w:numPr>
                        <w:spacing w:after="0"/>
                        <w:rPr>
                          <w:sz w:val="18"/>
                          <w:szCs w:val="18"/>
                        </w:rPr>
                      </w:pPr>
                      <w:r w:rsidRPr="00EC60C0">
                        <w:rPr>
                          <w:sz w:val="18"/>
                          <w:szCs w:val="18"/>
                        </w:rPr>
                        <w:t xml:space="preserve">Gradient Albumine sanguin-ascite </w:t>
                      </w:r>
                      <w:r w:rsidRPr="00EC60C0">
                        <w:rPr>
                          <w:rFonts w:ascii="Century Gothic" w:hAnsi="Century Gothic"/>
                          <w:sz w:val="18"/>
                          <w:szCs w:val="18"/>
                        </w:rPr>
                        <w:t>&gt;</w:t>
                      </w:r>
                      <w:r w:rsidRPr="00EC60C0">
                        <w:rPr>
                          <w:sz w:val="18"/>
                          <w:szCs w:val="18"/>
                        </w:rPr>
                        <w:t xml:space="preserve"> 11 g/L </w:t>
                      </w:r>
                    </w:p>
                    <w:p w:rsidR="008276DC" w:rsidRPr="00EC60C0" w:rsidRDefault="008276DC" w:rsidP="00041953">
                      <w:pPr>
                        <w:rPr>
                          <w:sz w:val="18"/>
                          <w:szCs w:val="18"/>
                        </w:rPr>
                      </w:pPr>
                      <w:r w:rsidRPr="00EC60C0">
                        <w:rPr>
                          <w:sz w:val="18"/>
                          <w:szCs w:val="18"/>
                          <w:u w:val="single"/>
                        </w:rPr>
                        <w:t>Associé à</w:t>
                      </w:r>
                      <w:r w:rsidRPr="00EC60C0">
                        <w:rPr>
                          <w:sz w:val="18"/>
                          <w:szCs w:val="18"/>
                        </w:rPr>
                        <w:t> :</w:t>
                      </w:r>
                    </w:p>
                    <w:p w:rsidR="008276DC" w:rsidRPr="00EC60C0" w:rsidRDefault="008276DC" w:rsidP="0036676E">
                      <w:pPr>
                        <w:pStyle w:val="Paragraphedeliste"/>
                        <w:numPr>
                          <w:ilvl w:val="0"/>
                          <w:numId w:val="1534"/>
                        </w:numPr>
                        <w:rPr>
                          <w:sz w:val="18"/>
                          <w:szCs w:val="18"/>
                        </w:rPr>
                      </w:pPr>
                      <w:r w:rsidRPr="00EC60C0">
                        <w:rPr>
                          <w:sz w:val="18"/>
                          <w:szCs w:val="18"/>
                        </w:rPr>
                        <w:t>Insuffisance cardiaque droite</w:t>
                      </w:r>
                    </w:p>
                    <w:p w:rsidR="008276DC" w:rsidRPr="00EC60C0" w:rsidRDefault="008276DC" w:rsidP="0036676E">
                      <w:pPr>
                        <w:pStyle w:val="Paragraphedeliste"/>
                        <w:numPr>
                          <w:ilvl w:val="0"/>
                          <w:numId w:val="1534"/>
                        </w:numPr>
                        <w:rPr>
                          <w:sz w:val="18"/>
                          <w:szCs w:val="18"/>
                        </w:rPr>
                      </w:pPr>
                      <w:r w:rsidRPr="00EC60C0">
                        <w:rPr>
                          <w:sz w:val="18"/>
                          <w:szCs w:val="18"/>
                        </w:rPr>
                        <w:t>Cirrhose</w:t>
                      </w:r>
                    </w:p>
                    <w:p w:rsidR="008276DC" w:rsidRPr="00EC60C0" w:rsidRDefault="008276DC" w:rsidP="0036676E">
                      <w:pPr>
                        <w:pStyle w:val="Paragraphedeliste"/>
                        <w:numPr>
                          <w:ilvl w:val="0"/>
                          <w:numId w:val="1534"/>
                        </w:numPr>
                        <w:rPr>
                          <w:sz w:val="18"/>
                          <w:szCs w:val="18"/>
                        </w:rPr>
                      </w:pPr>
                      <w:r w:rsidRPr="00EC60C0">
                        <w:rPr>
                          <w:sz w:val="18"/>
                          <w:szCs w:val="18"/>
                        </w:rPr>
                        <w:t>Métastases hépatiques</w:t>
                      </w:r>
                    </w:p>
                    <w:p w:rsidR="008276DC" w:rsidRPr="00EC60C0" w:rsidRDefault="008276DC" w:rsidP="0036676E">
                      <w:pPr>
                        <w:pStyle w:val="Paragraphedeliste"/>
                        <w:numPr>
                          <w:ilvl w:val="0"/>
                          <w:numId w:val="1534"/>
                        </w:numPr>
                        <w:rPr>
                          <w:sz w:val="18"/>
                          <w:szCs w:val="18"/>
                        </w:rPr>
                      </w:pPr>
                      <w:r w:rsidRPr="00EC60C0">
                        <w:rPr>
                          <w:sz w:val="18"/>
                          <w:szCs w:val="18"/>
                        </w:rPr>
                        <w:t>Thrombose porte</w:t>
                      </w:r>
                    </w:p>
                    <w:p w:rsidR="008276DC" w:rsidRPr="00EC60C0" w:rsidRDefault="008276DC" w:rsidP="0036676E">
                      <w:pPr>
                        <w:pStyle w:val="Paragraphedeliste"/>
                        <w:numPr>
                          <w:ilvl w:val="0"/>
                          <w:numId w:val="1534"/>
                        </w:numPr>
                        <w:rPr>
                          <w:sz w:val="18"/>
                          <w:szCs w:val="18"/>
                        </w:rPr>
                      </w:pPr>
                      <w:r w:rsidRPr="00EC60C0">
                        <w:rPr>
                          <w:sz w:val="18"/>
                          <w:szCs w:val="18"/>
                        </w:rPr>
                        <w:t>Budd-Chiari</w:t>
                      </w:r>
                    </w:p>
                    <w:p w:rsidR="008276DC" w:rsidRPr="00EC60C0" w:rsidRDefault="008276DC" w:rsidP="003A2A38">
                      <w:pPr>
                        <w:rPr>
                          <w:b/>
                          <w:sz w:val="18"/>
                          <w:szCs w:val="18"/>
                        </w:rPr>
                      </w:pPr>
                      <w:r w:rsidRPr="00EC60C0">
                        <w:rPr>
                          <w:b/>
                          <w:sz w:val="18"/>
                          <w:szCs w:val="18"/>
                        </w:rPr>
                        <w:t>Exsudat</w:t>
                      </w:r>
                    </w:p>
                    <w:p w:rsidR="008276DC" w:rsidRPr="00EC60C0" w:rsidRDefault="008276DC" w:rsidP="0036676E">
                      <w:pPr>
                        <w:pStyle w:val="Paragraphedeliste"/>
                        <w:numPr>
                          <w:ilvl w:val="0"/>
                          <w:numId w:val="1531"/>
                        </w:numPr>
                        <w:spacing w:after="0"/>
                        <w:rPr>
                          <w:sz w:val="18"/>
                          <w:szCs w:val="18"/>
                        </w:rPr>
                      </w:pPr>
                      <w:r w:rsidRPr="00EC60C0">
                        <w:rPr>
                          <w:sz w:val="18"/>
                          <w:szCs w:val="18"/>
                        </w:rPr>
                        <w:t xml:space="preserve">LDH ascite/sérum </w:t>
                      </w:r>
                      <w:r w:rsidRPr="00EC60C0">
                        <w:rPr>
                          <w:rFonts w:ascii="Century Gothic" w:hAnsi="Century Gothic"/>
                          <w:sz w:val="18"/>
                          <w:szCs w:val="18"/>
                        </w:rPr>
                        <w:t>&gt;</w:t>
                      </w:r>
                      <w:r w:rsidRPr="00EC60C0">
                        <w:rPr>
                          <w:sz w:val="18"/>
                          <w:szCs w:val="18"/>
                        </w:rPr>
                        <w:t xml:space="preserve"> 0,6</w:t>
                      </w:r>
                    </w:p>
                    <w:p w:rsidR="008276DC" w:rsidRPr="00EC60C0" w:rsidRDefault="008276DC" w:rsidP="0036676E">
                      <w:pPr>
                        <w:pStyle w:val="Paragraphedeliste"/>
                        <w:numPr>
                          <w:ilvl w:val="0"/>
                          <w:numId w:val="1531"/>
                        </w:numPr>
                        <w:spacing w:after="0"/>
                        <w:rPr>
                          <w:sz w:val="18"/>
                          <w:szCs w:val="18"/>
                        </w:rPr>
                      </w:pPr>
                      <w:r w:rsidRPr="00EC60C0">
                        <w:rPr>
                          <w:sz w:val="18"/>
                          <w:szCs w:val="18"/>
                        </w:rPr>
                        <w:t xml:space="preserve">Albumine ascite/sérum </w:t>
                      </w:r>
                      <w:r w:rsidRPr="00EC60C0">
                        <w:rPr>
                          <w:rFonts w:ascii="Century Gothic" w:hAnsi="Century Gothic"/>
                          <w:sz w:val="18"/>
                          <w:szCs w:val="18"/>
                        </w:rPr>
                        <w:t>&gt;</w:t>
                      </w:r>
                      <w:r w:rsidRPr="00EC60C0">
                        <w:rPr>
                          <w:sz w:val="18"/>
                          <w:szCs w:val="18"/>
                        </w:rPr>
                        <w:t xml:space="preserve"> 0,5</w:t>
                      </w:r>
                    </w:p>
                    <w:p w:rsidR="008276DC" w:rsidRPr="00EC60C0" w:rsidRDefault="008276DC" w:rsidP="0036676E">
                      <w:pPr>
                        <w:pStyle w:val="Paragraphedeliste"/>
                        <w:numPr>
                          <w:ilvl w:val="0"/>
                          <w:numId w:val="1531"/>
                        </w:numPr>
                        <w:spacing w:after="0"/>
                        <w:rPr>
                          <w:sz w:val="18"/>
                          <w:szCs w:val="18"/>
                        </w:rPr>
                      </w:pPr>
                      <w:r w:rsidRPr="00EC60C0">
                        <w:rPr>
                          <w:sz w:val="18"/>
                          <w:szCs w:val="18"/>
                        </w:rPr>
                        <w:t xml:space="preserve">Gradient Albumine sanguin-ascite </w:t>
                      </w:r>
                      <w:r w:rsidRPr="00EC60C0">
                        <w:rPr>
                          <w:rFonts w:ascii="Century Gothic" w:hAnsi="Century Gothic"/>
                          <w:sz w:val="18"/>
                          <w:szCs w:val="18"/>
                        </w:rPr>
                        <w:t>&lt;</w:t>
                      </w:r>
                      <w:r w:rsidRPr="00EC60C0">
                        <w:rPr>
                          <w:sz w:val="18"/>
                          <w:szCs w:val="18"/>
                        </w:rPr>
                        <w:t xml:space="preserve"> 11 g/L </w:t>
                      </w:r>
                    </w:p>
                    <w:p w:rsidR="008276DC" w:rsidRPr="00EC60C0" w:rsidRDefault="008276DC" w:rsidP="00041953">
                      <w:pPr>
                        <w:rPr>
                          <w:sz w:val="18"/>
                          <w:szCs w:val="18"/>
                        </w:rPr>
                      </w:pPr>
                      <w:r w:rsidRPr="00EC60C0">
                        <w:rPr>
                          <w:sz w:val="18"/>
                          <w:szCs w:val="18"/>
                          <w:u w:val="single"/>
                        </w:rPr>
                        <w:t>Associé à</w:t>
                      </w:r>
                      <w:r w:rsidRPr="00EC60C0">
                        <w:rPr>
                          <w:sz w:val="18"/>
                          <w:szCs w:val="18"/>
                        </w:rPr>
                        <w:t> :</w:t>
                      </w:r>
                    </w:p>
                    <w:p w:rsidR="008276DC" w:rsidRPr="00EC60C0" w:rsidRDefault="008276DC" w:rsidP="0036676E">
                      <w:pPr>
                        <w:pStyle w:val="Paragraphedeliste"/>
                        <w:numPr>
                          <w:ilvl w:val="0"/>
                          <w:numId w:val="1535"/>
                        </w:numPr>
                        <w:rPr>
                          <w:sz w:val="18"/>
                          <w:szCs w:val="18"/>
                        </w:rPr>
                      </w:pPr>
                      <w:r w:rsidRPr="00EC60C0">
                        <w:rPr>
                          <w:sz w:val="18"/>
                          <w:szCs w:val="18"/>
                        </w:rPr>
                        <w:t>Carcinomatose péritonéale</w:t>
                      </w:r>
                    </w:p>
                    <w:p w:rsidR="008276DC" w:rsidRPr="00EC60C0" w:rsidRDefault="008276DC" w:rsidP="0036676E">
                      <w:pPr>
                        <w:pStyle w:val="Paragraphedeliste"/>
                        <w:numPr>
                          <w:ilvl w:val="0"/>
                          <w:numId w:val="1535"/>
                        </w:numPr>
                        <w:rPr>
                          <w:sz w:val="18"/>
                          <w:szCs w:val="18"/>
                        </w:rPr>
                      </w:pPr>
                      <w:r w:rsidRPr="00EC60C0">
                        <w:rPr>
                          <w:sz w:val="18"/>
                          <w:szCs w:val="18"/>
                        </w:rPr>
                        <w:t>Ascite pancréatique</w:t>
                      </w:r>
                    </w:p>
                    <w:p w:rsidR="008276DC" w:rsidRPr="00EC60C0" w:rsidRDefault="008276DC" w:rsidP="0036676E">
                      <w:pPr>
                        <w:pStyle w:val="Paragraphedeliste"/>
                        <w:numPr>
                          <w:ilvl w:val="0"/>
                          <w:numId w:val="1535"/>
                        </w:numPr>
                        <w:rPr>
                          <w:sz w:val="18"/>
                          <w:szCs w:val="18"/>
                        </w:rPr>
                      </w:pPr>
                      <w:r w:rsidRPr="00EC60C0">
                        <w:rPr>
                          <w:sz w:val="18"/>
                          <w:szCs w:val="18"/>
                        </w:rPr>
                        <w:t>Tuberculose</w:t>
                      </w:r>
                    </w:p>
                  </w:txbxContent>
                </v:textbox>
              </v:shape>
            </w:pict>
          </mc:Fallback>
        </mc:AlternateContent>
      </w:r>
    </w:p>
    <w:p w:rsidR="00370736" w:rsidRPr="00610304" w:rsidRDefault="00610304" w:rsidP="00E56594">
      <w:pPr>
        <w:pStyle w:val="Sansinterligne"/>
        <w:rPr>
          <w:b/>
          <w:sz w:val="28"/>
          <w:szCs w:val="28"/>
        </w:rPr>
      </w:pPr>
      <w:r w:rsidRPr="00610304">
        <w:rPr>
          <w:b/>
          <w:sz w:val="28"/>
          <w:szCs w:val="28"/>
        </w:rPr>
        <w:t>Investigations</w:t>
      </w:r>
    </w:p>
    <w:p w:rsidR="00610304" w:rsidRDefault="00610304" w:rsidP="00E56594">
      <w:pPr>
        <w:pStyle w:val="Sansinterligne"/>
      </w:pPr>
    </w:p>
    <w:p w:rsidR="00610304" w:rsidRDefault="00610304" w:rsidP="0036676E">
      <w:pPr>
        <w:pStyle w:val="Sansinterligne"/>
        <w:numPr>
          <w:ilvl w:val="0"/>
          <w:numId w:val="1522"/>
        </w:numPr>
        <w:ind w:right="5413"/>
      </w:pPr>
      <w:r>
        <w:t>FSC</w:t>
      </w:r>
    </w:p>
    <w:p w:rsidR="00610304" w:rsidRDefault="00610304" w:rsidP="0036676E">
      <w:pPr>
        <w:pStyle w:val="Sansinterligne"/>
        <w:numPr>
          <w:ilvl w:val="0"/>
          <w:numId w:val="1522"/>
        </w:numPr>
        <w:ind w:right="5413"/>
      </w:pPr>
      <w:r>
        <w:t>B-HCG</w:t>
      </w:r>
    </w:p>
    <w:p w:rsidR="00D01AE8" w:rsidRDefault="00D01AE8" w:rsidP="0036676E">
      <w:pPr>
        <w:pStyle w:val="Sansinterligne"/>
        <w:numPr>
          <w:ilvl w:val="0"/>
          <w:numId w:val="1522"/>
        </w:numPr>
        <w:ind w:right="5413"/>
      </w:pPr>
      <w:r>
        <w:t>Créatinine, AST/ALT, SMU-DCA</w:t>
      </w:r>
    </w:p>
    <w:p w:rsidR="00D01AE8" w:rsidRDefault="00D01AE8" w:rsidP="0036676E">
      <w:pPr>
        <w:pStyle w:val="Sansinterligne"/>
        <w:numPr>
          <w:ilvl w:val="0"/>
          <w:numId w:val="1522"/>
        </w:numPr>
        <w:ind w:right="5413"/>
      </w:pPr>
      <w:r>
        <w:t>Carcinogenic embryonique antigen (CEA) - Staging</w:t>
      </w:r>
    </w:p>
    <w:p w:rsidR="00610304" w:rsidRDefault="00610304" w:rsidP="0036676E">
      <w:pPr>
        <w:pStyle w:val="Sansinterligne"/>
        <w:numPr>
          <w:ilvl w:val="0"/>
          <w:numId w:val="1522"/>
        </w:numPr>
        <w:ind w:right="5413"/>
      </w:pPr>
      <w:r>
        <w:t>Plaque simple de l’abdomen (couché, debout, coupoles)</w:t>
      </w:r>
    </w:p>
    <w:p w:rsidR="00610304" w:rsidRDefault="00610304" w:rsidP="0036676E">
      <w:pPr>
        <w:pStyle w:val="Sansinterligne"/>
        <w:numPr>
          <w:ilvl w:val="0"/>
          <w:numId w:val="1522"/>
        </w:numPr>
        <w:ind w:right="5413"/>
      </w:pPr>
      <w:r>
        <w:t>Échographie</w:t>
      </w:r>
    </w:p>
    <w:p w:rsidR="00D01AE8" w:rsidRDefault="00D01AE8" w:rsidP="0036676E">
      <w:pPr>
        <w:pStyle w:val="Sansinterligne"/>
        <w:numPr>
          <w:ilvl w:val="0"/>
          <w:numId w:val="1522"/>
        </w:numPr>
        <w:ind w:right="5413"/>
      </w:pPr>
      <w:r>
        <w:t>TDM thoraco-abdomino-pelvien (staging néo)</w:t>
      </w:r>
    </w:p>
    <w:p w:rsidR="00041953" w:rsidRDefault="00041953" w:rsidP="0036676E">
      <w:pPr>
        <w:pStyle w:val="Sansinterligne"/>
        <w:numPr>
          <w:ilvl w:val="0"/>
          <w:numId w:val="1522"/>
        </w:numPr>
        <w:ind w:right="5413"/>
      </w:pPr>
      <w:r>
        <w:t>IRM (investigation de néo ovarien)</w:t>
      </w:r>
    </w:p>
    <w:p w:rsidR="00610304" w:rsidRDefault="00610304" w:rsidP="0036676E">
      <w:pPr>
        <w:pStyle w:val="Sansinterligne"/>
        <w:numPr>
          <w:ilvl w:val="0"/>
          <w:numId w:val="1522"/>
        </w:numPr>
        <w:ind w:right="5413"/>
      </w:pPr>
      <w:r>
        <w:t>Colonoscopie</w:t>
      </w:r>
      <w:r w:rsidR="00D01AE8">
        <w:t xml:space="preserve"> (cancer colorectal)</w:t>
      </w:r>
    </w:p>
    <w:p w:rsidR="00610304" w:rsidRDefault="00610304" w:rsidP="0036676E">
      <w:pPr>
        <w:pStyle w:val="Sansinterligne"/>
        <w:numPr>
          <w:ilvl w:val="0"/>
          <w:numId w:val="1522"/>
        </w:numPr>
        <w:ind w:right="5413"/>
      </w:pPr>
      <w:r>
        <w:t>Paracentèse et analyse du liquide d’ascite</w:t>
      </w:r>
    </w:p>
    <w:p w:rsidR="00610304" w:rsidRDefault="00610304" w:rsidP="00E56594">
      <w:pPr>
        <w:pStyle w:val="Sansinterligne"/>
      </w:pPr>
    </w:p>
    <w:p w:rsidR="00610304" w:rsidRPr="00364AD1" w:rsidRDefault="00610304" w:rsidP="00E56594">
      <w:pPr>
        <w:pStyle w:val="Sansinterligne"/>
        <w:rPr>
          <w:b/>
          <w:sz w:val="28"/>
          <w:szCs w:val="28"/>
        </w:rPr>
      </w:pPr>
      <w:r w:rsidRPr="00364AD1">
        <w:rPr>
          <w:b/>
          <w:sz w:val="28"/>
          <w:szCs w:val="28"/>
        </w:rPr>
        <w:t>Prise en charge</w:t>
      </w:r>
    </w:p>
    <w:p w:rsidR="00364AD1" w:rsidRDefault="00364AD1" w:rsidP="00E56594">
      <w:pPr>
        <w:pStyle w:val="Sansinterligne"/>
      </w:pPr>
    </w:p>
    <w:p w:rsidR="00364AD1" w:rsidRPr="00770BAA" w:rsidRDefault="00364AD1" w:rsidP="00E56594">
      <w:pPr>
        <w:pStyle w:val="Sansinterligne"/>
        <w:rPr>
          <w:b/>
        </w:rPr>
      </w:pPr>
      <w:r w:rsidRPr="00770BAA">
        <w:rPr>
          <w:b/>
        </w:rPr>
        <w:t>Ascite</w:t>
      </w:r>
    </w:p>
    <w:p w:rsidR="00FE36A8" w:rsidRDefault="00FE36A8" w:rsidP="00E56594">
      <w:pPr>
        <w:pStyle w:val="Sansinterligne"/>
      </w:pPr>
    </w:p>
    <w:p w:rsidR="00FE36A8" w:rsidRPr="008D5A70" w:rsidRDefault="00FE36A8" w:rsidP="0036676E">
      <w:pPr>
        <w:pStyle w:val="Sansinterligne"/>
        <w:numPr>
          <w:ilvl w:val="0"/>
          <w:numId w:val="1532"/>
        </w:numPr>
        <w:ind w:left="360"/>
        <w:rPr>
          <w:highlight w:val="yellow"/>
        </w:rPr>
      </w:pPr>
      <w:r w:rsidRPr="008D5A70">
        <w:rPr>
          <w:highlight w:val="yellow"/>
        </w:rPr>
        <w:t>Restriction sodée</w:t>
      </w:r>
      <w:r w:rsidR="00770BAA" w:rsidRPr="008D5A70">
        <w:rPr>
          <w:highlight w:val="yellow"/>
        </w:rPr>
        <w:t xml:space="preserve"> de 2 g/jr</w:t>
      </w:r>
    </w:p>
    <w:p w:rsidR="00FE36A8" w:rsidRPr="008D5A70" w:rsidRDefault="00FE36A8" w:rsidP="0036676E">
      <w:pPr>
        <w:pStyle w:val="Sansinterligne"/>
        <w:numPr>
          <w:ilvl w:val="0"/>
          <w:numId w:val="1532"/>
        </w:numPr>
        <w:ind w:left="360"/>
        <w:rPr>
          <w:highlight w:val="yellow"/>
        </w:rPr>
      </w:pPr>
      <w:r w:rsidRPr="008D5A70">
        <w:rPr>
          <w:highlight w:val="yellow"/>
        </w:rPr>
        <w:t>Augmenter la diurèse</w:t>
      </w:r>
    </w:p>
    <w:p w:rsidR="00FE36A8" w:rsidRPr="008D5A70" w:rsidRDefault="00FE36A8" w:rsidP="0036676E">
      <w:pPr>
        <w:pStyle w:val="Sansinterligne"/>
        <w:numPr>
          <w:ilvl w:val="1"/>
          <w:numId w:val="1532"/>
        </w:numPr>
        <w:rPr>
          <w:highlight w:val="yellow"/>
        </w:rPr>
      </w:pPr>
      <w:r w:rsidRPr="008D5A70">
        <w:rPr>
          <w:highlight w:val="yellow"/>
        </w:rPr>
        <w:t>Furosémide</w:t>
      </w:r>
    </w:p>
    <w:p w:rsidR="00FE36A8" w:rsidRPr="008D5A70" w:rsidRDefault="00FE36A8" w:rsidP="0036676E">
      <w:pPr>
        <w:pStyle w:val="Sansinterligne"/>
        <w:numPr>
          <w:ilvl w:val="1"/>
          <w:numId w:val="1532"/>
        </w:numPr>
        <w:rPr>
          <w:highlight w:val="yellow"/>
        </w:rPr>
      </w:pPr>
      <w:r w:rsidRPr="008D5A70">
        <w:rPr>
          <w:highlight w:val="yellow"/>
        </w:rPr>
        <w:t>Spironolactone</w:t>
      </w:r>
    </w:p>
    <w:p w:rsidR="009A2774" w:rsidRPr="008D5A70" w:rsidRDefault="009A2774" w:rsidP="0036676E">
      <w:pPr>
        <w:pStyle w:val="Sansinterligne"/>
        <w:numPr>
          <w:ilvl w:val="1"/>
          <w:numId w:val="1532"/>
        </w:numPr>
        <w:rPr>
          <w:highlight w:val="yellow"/>
        </w:rPr>
      </w:pPr>
      <w:r w:rsidRPr="008D5A70">
        <w:rPr>
          <w:highlight w:val="yellow"/>
        </w:rPr>
        <w:t>Doubler la dose de diurétique q 2 semaines</w:t>
      </w:r>
    </w:p>
    <w:p w:rsidR="009A2774" w:rsidRPr="008D5A70" w:rsidRDefault="009A2774" w:rsidP="0036676E">
      <w:pPr>
        <w:pStyle w:val="Sansinterligne"/>
        <w:numPr>
          <w:ilvl w:val="1"/>
          <w:numId w:val="1532"/>
        </w:numPr>
        <w:rPr>
          <w:highlight w:val="yellow"/>
        </w:rPr>
      </w:pPr>
      <w:r w:rsidRPr="008D5A70">
        <w:rPr>
          <w:highlight w:val="yellow"/>
        </w:rPr>
        <w:t>Suivre la réponse (1 kg/jour attendu)</w:t>
      </w:r>
    </w:p>
    <w:p w:rsidR="009A2774" w:rsidRPr="008D5A70" w:rsidRDefault="00EC60C0" w:rsidP="0036676E">
      <w:pPr>
        <w:pStyle w:val="Sansinterligne"/>
        <w:numPr>
          <w:ilvl w:val="0"/>
          <w:numId w:val="1532"/>
        </w:numPr>
        <w:ind w:left="360"/>
        <w:rPr>
          <w:highlight w:val="yellow"/>
        </w:rPr>
      </w:pPr>
      <w:r>
        <w:rPr>
          <w:noProof/>
          <w:lang w:eastAsia="fr-CA"/>
        </w:rPr>
        <mc:AlternateContent>
          <mc:Choice Requires="wps">
            <w:drawing>
              <wp:anchor distT="0" distB="0" distL="114300" distR="114300" simplePos="0" relativeHeight="252228608" behindDoc="0" locked="0" layoutInCell="1" allowOverlap="1" wp14:anchorId="7265964C" wp14:editId="3E43DF1D">
                <wp:simplePos x="0" y="0"/>
                <wp:positionH relativeFrom="column">
                  <wp:posOffset>4900295</wp:posOffset>
                </wp:positionH>
                <wp:positionV relativeFrom="paragraph">
                  <wp:posOffset>-3810</wp:posOffset>
                </wp:positionV>
                <wp:extent cx="1955165" cy="1403985"/>
                <wp:effectExtent l="0" t="0" r="26035" b="14605"/>
                <wp:wrapNone/>
                <wp:docPr id="690"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5165" cy="1403985"/>
                        </a:xfrm>
                        <a:prstGeom prst="rect">
                          <a:avLst/>
                        </a:prstGeom>
                        <a:solidFill>
                          <a:schemeClr val="accent1">
                            <a:lumMod val="60000"/>
                            <a:lumOff val="40000"/>
                          </a:schemeClr>
                        </a:solidFill>
                        <a:ln w="9525">
                          <a:solidFill>
                            <a:srgbClr val="000000"/>
                          </a:solidFill>
                          <a:miter lim="800000"/>
                          <a:headEnd/>
                          <a:tailEnd/>
                        </a:ln>
                      </wps:spPr>
                      <wps:txbx>
                        <w:txbxContent>
                          <w:p w:rsidR="008276DC" w:rsidRPr="00D415C6" w:rsidRDefault="008276DC" w:rsidP="00D415C6">
                            <w:pPr>
                              <w:spacing w:after="0"/>
                              <w:jc w:val="center"/>
                              <w:rPr>
                                <w:b/>
                              </w:rPr>
                            </w:pPr>
                            <w:r w:rsidRPr="00D415C6">
                              <w:rPr>
                                <w:b/>
                              </w:rPr>
                              <w:t>Cause</w:t>
                            </w:r>
                            <w:r>
                              <w:rPr>
                                <w:b/>
                              </w:rPr>
                              <w:t xml:space="preserve">s </w:t>
                            </w:r>
                            <w:r w:rsidRPr="00D415C6">
                              <w:rPr>
                                <w:b/>
                              </w:rPr>
                              <w:t xml:space="preserve">d’occlusion les </w:t>
                            </w:r>
                            <w:r>
                              <w:rPr>
                                <w:b/>
                              </w:rPr>
                              <w:t>+</w:t>
                            </w:r>
                            <w:r w:rsidRPr="00D415C6">
                              <w:rPr>
                                <w:b/>
                              </w:rPr>
                              <w:t xml:space="preserve"> fréquentes</w:t>
                            </w:r>
                          </w:p>
                          <w:p w:rsidR="008276DC" w:rsidRPr="00D415C6" w:rsidRDefault="008276DC" w:rsidP="00D415C6">
                            <w:pPr>
                              <w:spacing w:after="0"/>
                              <w:rPr>
                                <w:u w:val="single"/>
                              </w:rPr>
                            </w:pPr>
                            <w:r w:rsidRPr="00D415C6">
                              <w:rPr>
                                <w:u w:val="single"/>
                              </w:rPr>
                              <w:t>Grêle</w:t>
                            </w:r>
                          </w:p>
                          <w:p w:rsidR="008276DC" w:rsidRDefault="008276DC" w:rsidP="0036676E">
                            <w:pPr>
                              <w:pStyle w:val="Paragraphedeliste"/>
                              <w:numPr>
                                <w:ilvl w:val="0"/>
                                <w:numId w:val="1528"/>
                              </w:numPr>
                              <w:spacing w:after="0"/>
                            </w:pPr>
                            <w:r>
                              <w:t>Adhérences</w:t>
                            </w:r>
                          </w:p>
                          <w:p w:rsidR="008276DC" w:rsidRDefault="008276DC" w:rsidP="0036676E">
                            <w:pPr>
                              <w:pStyle w:val="Paragraphedeliste"/>
                              <w:numPr>
                                <w:ilvl w:val="0"/>
                                <w:numId w:val="1528"/>
                              </w:numPr>
                              <w:spacing w:after="0"/>
                            </w:pPr>
                            <w:r>
                              <w:t>Hernie incarcérée</w:t>
                            </w:r>
                          </w:p>
                          <w:p w:rsidR="008276DC" w:rsidRDefault="008276DC" w:rsidP="0036676E">
                            <w:pPr>
                              <w:pStyle w:val="Paragraphedeliste"/>
                              <w:numPr>
                                <w:ilvl w:val="0"/>
                                <w:numId w:val="1528"/>
                              </w:numPr>
                              <w:spacing w:after="0"/>
                            </w:pPr>
                            <w:r>
                              <w:t>Néoplasie</w:t>
                            </w:r>
                          </w:p>
                          <w:p w:rsidR="008276DC" w:rsidRPr="00D415C6" w:rsidRDefault="008276DC" w:rsidP="00D415C6">
                            <w:pPr>
                              <w:spacing w:after="0"/>
                              <w:rPr>
                                <w:u w:val="single"/>
                              </w:rPr>
                            </w:pPr>
                            <w:r w:rsidRPr="00D415C6">
                              <w:rPr>
                                <w:u w:val="single"/>
                              </w:rPr>
                              <w:t>Côlon</w:t>
                            </w:r>
                          </w:p>
                          <w:p w:rsidR="008276DC" w:rsidRDefault="008276DC" w:rsidP="0036676E">
                            <w:pPr>
                              <w:pStyle w:val="Paragraphedeliste"/>
                              <w:numPr>
                                <w:ilvl w:val="0"/>
                                <w:numId w:val="1529"/>
                              </w:numPr>
                              <w:spacing w:after="0"/>
                            </w:pPr>
                            <w:r>
                              <w:t>Néoplasie</w:t>
                            </w:r>
                          </w:p>
                          <w:p w:rsidR="008276DC" w:rsidRDefault="008276DC" w:rsidP="0036676E">
                            <w:pPr>
                              <w:pStyle w:val="Paragraphedeliste"/>
                              <w:numPr>
                                <w:ilvl w:val="0"/>
                                <w:numId w:val="1529"/>
                              </w:numPr>
                              <w:spacing w:after="0"/>
                            </w:pPr>
                            <w:r>
                              <w:t>Diverticulite</w:t>
                            </w:r>
                          </w:p>
                          <w:p w:rsidR="008276DC" w:rsidRDefault="008276DC" w:rsidP="0036676E">
                            <w:pPr>
                              <w:pStyle w:val="Paragraphedeliste"/>
                              <w:numPr>
                                <w:ilvl w:val="0"/>
                                <w:numId w:val="1529"/>
                              </w:numPr>
                              <w:spacing w:after="0"/>
                            </w:pPr>
                            <w:r>
                              <w:t>Volvulus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left:0;text-align:left;margin-left:385.85pt;margin-top:-.3pt;width:153.95pt;height:110.55pt;z-index:252228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" fillcolor="#95b3d7 [1940]">
                <v:textbox style="mso-fit-shape-to-text:t">
                  <w:txbxContent>
                    <w:p w:rsidR="008276DC" w:rsidRPr="00D415C6" w:rsidRDefault="008276DC" w:rsidP="00D415C6">
                      <w:pPr>
                        <w:spacing w:after="0"/>
                        <w:jc w:val="center"/>
                        <w:rPr>
                          <w:b/>
                        </w:rPr>
                      </w:pPr>
                      <w:r w:rsidRPr="00D415C6">
                        <w:rPr>
                          <w:b/>
                        </w:rPr>
                        <w:t>Cause</w:t>
                      </w:r>
                      <w:r>
                        <w:rPr>
                          <w:b/>
                        </w:rPr>
                        <w:t xml:space="preserve">s </w:t>
                      </w:r>
                      <w:r w:rsidRPr="00D415C6">
                        <w:rPr>
                          <w:b/>
                        </w:rPr>
                        <w:t xml:space="preserve">d’occlusion les </w:t>
                      </w:r>
                      <w:r>
                        <w:rPr>
                          <w:b/>
                        </w:rPr>
                        <w:t>+</w:t>
                      </w:r>
                      <w:r w:rsidRPr="00D415C6">
                        <w:rPr>
                          <w:b/>
                        </w:rPr>
                        <w:t xml:space="preserve"> fréquentes</w:t>
                      </w:r>
                    </w:p>
                    <w:p w:rsidR="008276DC" w:rsidRPr="00D415C6" w:rsidRDefault="008276DC" w:rsidP="00D415C6">
                      <w:pPr>
                        <w:spacing w:after="0"/>
                        <w:rPr>
                          <w:u w:val="single"/>
                        </w:rPr>
                      </w:pPr>
                      <w:r w:rsidRPr="00D415C6">
                        <w:rPr>
                          <w:u w:val="single"/>
                        </w:rPr>
                        <w:t>Grêle</w:t>
                      </w:r>
                    </w:p>
                    <w:p w:rsidR="008276DC" w:rsidRDefault="008276DC" w:rsidP="0036676E">
                      <w:pPr>
                        <w:pStyle w:val="Paragraphedeliste"/>
                        <w:numPr>
                          <w:ilvl w:val="0"/>
                          <w:numId w:val="1528"/>
                        </w:numPr>
                        <w:spacing w:after="0"/>
                      </w:pPr>
                      <w:r>
                        <w:t>Adhérences</w:t>
                      </w:r>
                    </w:p>
                    <w:p w:rsidR="008276DC" w:rsidRDefault="008276DC" w:rsidP="0036676E">
                      <w:pPr>
                        <w:pStyle w:val="Paragraphedeliste"/>
                        <w:numPr>
                          <w:ilvl w:val="0"/>
                          <w:numId w:val="1528"/>
                        </w:numPr>
                        <w:spacing w:after="0"/>
                      </w:pPr>
                      <w:r>
                        <w:t>Hernie incarcérée</w:t>
                      </w:r>
                    </w:p>
                    <w:p w:rsidR="008276DC" w:rsidRDefault="008276DC" w:rsidP="0036676E">
                      <w:pPr>
                        <w:pStyle w:val="Paragraphedeliste"/>
                        <w:numPr>
                          <w:ilvl w:val="0"/>
                          <w:numId w:val="1528"/>
                        </w:numPr>
                        <w:spacing w:after="0"/>
                      </w:pPr>
                      <w:r>
                        <w:t>Néoplasie</w:t>
                      </w:r>
                    </w:p>
                    <w:p w:rsidR="008276DC" w:rsidRPr="00D415C6" w:rsidRDefault="008276DC" w:rsidP="00D415C6">
                      <w:pPr>
                        <w:spacing w:after="0"/>
                        <w:rPr>
                          <w:u w:val="single"/>
                        </w:rPr>
                      </w:pPr>
                      <w:r w:rsidRPr="00D415C6">
                        <w:rPr>
                          <w:u w:val="single"/>
                        </w:rPr>
                        <w:t>Côlon</w:t>
                      </w:r>
                    </w:p>
                    <w:p w:rsidR="008276DC" w:rsidRDefault="008276DC" w:rsidP="0036676E">
                      <w:pPr>
                        <w:pStyle w:val="Paragraphedeliste"/>
                        <w:numPr>
                          <w:ilvl w:val="0"/>
                          <w:numId w:val="1529"/>
                        </w:numPr>
                        <w:spacing w:after="0"/>
                      </w:pPr>
                      <w:r>
                        <w:t>Néoplasie</w:t>
                      </w:r>
                    </w:p>
                    <w:p w:rsidR="008276DC" w:rsidRDefault="008276DC" w:rsidP="0036676E">
                      <w:pPr>
                        <w:pStyle w:val="Paragraphedeliste"/>
                        <w:numPr>
                          <w:ilvl w:val="0"/>
                          <w:numId w:val="1529"/>
                        </w:numPr>
                        <w:spacing w:after="0"/>
                      </w:pPr>
                      <w:r>
                        <w:t>Diverticulite</w:t>
                      </w:r>
                    </w:p>
                    <w:p w:rsidR="008276DC" w:rsidRDefault="008276DC" w:rsidP="0036676E">
                      <w:pPr>
                        <w:pStyle w:val="Paragraphedeliste"/>
                        <w:numPr>
                          <w:ilvl w:val="0"/>
                          <w:numId w:val="1529"/>
                        </w:numPr>
                        <w:spacing w:after="0"/>
                      </w:pPr>
                      <w:r>
                        <w:t>Volvulus</w:t>
                      </w:r>
                    </w:p>
                  </w:txbxContent>
                </v:textbox>
              </v:shape>
            </w:pict>
          </mc:Fallback>
        </mc:AlternateContent>
      </w:r>
      <w:r w:rsidR="009A2774" w:rsidRPr="008D5A70">
        <w:rPr>
          <w:highlight w:val="yellow"/>
        </w:rPr>
        <w:t>Si réfractaire au traitement médical</w:t>
      </w:r>
    </w:p>
    <w:p w:rsidR="009A2774" w:rsidRPr="008D5A70" w:rsidRDefault="00FA3F93" w:rsidP="0036676E">
      <w:pPr>
        <w:pStyle w:val="Sansinterligne"/>
        <w:numPr>
          <w:ilvl w:val="1"/>
          <w:numId w:val="1532"/>
        </w:numPr>
        <w:rPr>
          <w:highlight w:val="yellow"/>
        </w:rPr>
      </w:pPr>
      <w:r>
        <w:rPr>
          <w:noProof/>
          <w:lang w:eastAsia="fr-CA"/>
        </w:rPr>
        <w:drawing>
          <wp:anchor distT="0" distB="0" distL="114300" distR="114300" simplePos="0" relativeHeight="252231680" behindDoc="1" locked="0" layoutInCell="1" allowOverlap="1" wp14:anchorId="3C817F63" wp14:editId="4F00C1DF">
            <wp:simplePos x="0" y="0"/>
            <wp:positionH relativeFrom="column">
              <wp:posOffset>2918299</wp:posOffset>
            </wp:positionH>
            <wp:positionV relativeFrom="paragraph">
              <wp:posOffset>52651</wp:posOffset>
            </wp:positionV>
            <wp:extent cx="1935804" cy="1673157"/>
            <wp:effectExtent l="0" t="0" r="7620" b="3810"/>
            <wp:wrapNone/>
            <wp:docPr id="693" name="Image 693" descr="Résultats de recherche d'images pour « cancer du colon schem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ésultats de recherche d'images pour « cancer du colon schema »"/>
                    <pic:cNvPicPr>
                      <a:picLocks noChangeAspect="1" noChangeArrowheads="1"/>
                    </pic:cNvPicPr>
                  </pic:nvPicPr>
                  <pic:blipFill rotWithShape="1">
                    <a:blip r:embed="rId10">
                      <a:extLst>
                        <a:ext uri="{28A0092B-C50C-407E-A947-70E740481C1C}">
                          <a14:useLocalDpi xmlns:a14="http://schemas.microsoft.com/office/drawing/2010/main" val="0"/>
                        </a:ext>
                      </a:extLst>
                    </a:blip>
                    <a:srcRect l="2862" t="4813" r="2256" b="3209"/>
                    <a:stretch/>
                  </pic:blipFill>
                  <pic:spPr bwMode="auto">
                    <a:xfrm>
                      <a:off x="0" y="0"/>
                      <a:ext cx="1935230" cy="1672661"/>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A2774" w:rsidRPr="008D5A70">
        <w:rPr>
          <w:highlight w:val="yellow"/>
        </w:rPr>
        <w:t>Paracentèse/ponctions thérapeutique</w:t>
      </w:r>
    </w:p>
    <w:p w:rsidR="009A2774" w:rsidRPr="008D5A70" w:rsidRDefault="009A2774" w:rsidP="0036676E">
      <w:pPr>
        <w:pStyle w:val="Sansinterligne"/>
        <w:numPr>
          <w:ilvl w:val="1"/>
          <w:numId w:val="1532"/>
        </w:numPr>
        <w:rPr>
          <w:highlight w:val="yellow"/>
        </w:rPr>
      </w:pPr>
      <w:r w:rsidRPr="008D5A70">
        <w:rPr>
          <w:highlight w:val="yellow"/>
        </w:rPr>
        <w:t xml:space="preserve">Albumine IV (si </w:t>
      </w:r>
      <w:r w:rsidRPr="008D5A70">
        <w:rPr>
          <w:rFonts w:ascii="Century Gothic" w:hAnsi="Century Gothic"/>
          <w:highlight w:val="yellow"/>
        </w:rPr>
        <w:t>&gt;</w:t>
      </w:r>
      <w:r w:rsidRPr="008D5A70">
        <w:rPr>
          <w:highlight w:val="yellow"/>
        </w:rPr>
        <w:t xml:space="preserve"> 5L retiré)</w:t>
      </w:r>
    </w:p>
    <w:p w:rsidR="009A2774" w:rsidRPr="008D5A70" w:rsidRDefault="009A2774" w:rsidP="0036676E">
      <w:pPr>
        <w:pStyle w:val="Sansinterligne"/>
        <w:numPr>
          <w:ilvl w:val="1"/>
          <w:numId w:val="1532"/>
        </w:numPr>
        <w:rPr>
          <w:highlight w:val="yellow"/>
        </w:rPr>
      </w:pPr>
      <w:r w:rsidRPr="008D5A70">
        <w:rPr>
          <w:highlight w:val="yellow"/>
        </w:rPr>
        <w:t>Envisager greffe hépatique</w:t>
      </w:r>
    </w:p>
    <w:p w:rsidR="009A2774" w:rsidRDefault="009A2774" w:rsidP="00770BAA">
      <w:pPr>
        <w:pStyle w:val="Sansinterligne"/>
      </w:pPr>
    </w:p>
    <w:p w:rsidR="009A2774" w:rsidRDefault="009A2774" w:rsidP="0036676E">
      <w:pPr>
        <w:pStyle w:val="Sansinterligne"/>
        <w:numPr>
          <w:ilvl w:val="0"/>
          <w:numId w:val="1532"/>
        </w:numPr>
        <w:ind w:left="360"/>
      </w:pPr>
      <w:r>
        <w:t xml:space="preserve">Référence au spécialiste approprié selon la cause </w:t>
      </w:r>
    </w:p>
    <w:p w:rsidR="009A2774" w:rsidRDefault="009A2774" w:rsidP="0036676E">
      <w:pPr>
        <w:pStyle w:val="Sansinterligne"/>
        <w:numPr>
          <w:ilvl w:val="0"/>
          <w:numId w:val="1532"/>
        </w:numPr>
        <w:ind w:left="360"/>
      </w:pPr>
      <w:r>
        <w:t>Prise en charge selon la cause</w:t>
      </w:r>
    </w:p>
    <w:p w:rsidR="00A96757" w:rsidRDefault="00A96757" w:rsidP="00E56594">
      <w:pPr>
        <w:pStyle w:val="Sansinterligne"/>
      </w:pPr>
    </w:p>
    <w:p w:rsidR="00FA3F93" w:rsidRDefault="00FA3F93" w:rsidP="00E56594">
      <w:pPr>
        <w:pStyle w:val="Sansinterligne"/>
      </w:pPr>
    </w:p>
    <w:p w:rsidR="00364AD1" w:rsidRPr="00A96757" w:rsidRDefault="00364AD1" w:rsidP="00E56594">
      <w:pPr>
        <w:pStyle w:val="Sansinterligne"/>
        <w:rPr>
          <w:b/>
        </w:rPr>
      </w:pPr>
      <w:r w:rsidRPr="00A96757">
        <w:rPr>
          <w:b/>
        </w:rPr>
        <w:t>Occlusion intestinale</w:t>
      </w:r>
    </w:p>
    <w:p w:rsidR="007C54F7" w:rsidRPr="00A96757" w:rsidRDefault="00A96757" w:rsidP="0036676E">
      <w:pPr>
        <w:pStyle w:val="Sansinterligne"/>
        <w:numPr>
          <w:ilvl w:val="0"/>
          <w:numId w:val="1530"/>
        </w:numPr>
        <w:rPr>
          <w:highlight w:val="yellow"/>
        </w:rPr>
      </w:pPr>
      <w:r w:rsidRPr="00A96757">
        <w:rPr>
          <w:highlight w:val="yellow"/>
        </w:rPr>
        <w:t>NPO</w:t>
      </w:r>
      <w:r w:rsidR="00E82F88">
        <w:rPr>
          <w:highlight w:val="yellow"/>
        </w:rPr>
        <w:t xml:space="preserve"> et TNG</w:t>
      </w:r>
    </w:p>
    <w:p w:rsidR="00A96757" w:rsidRPr="00A96757" w:rsidRDefault="00A96757" w:rsidP="0036676E">
      <w:pPr>
        <w:pStyle w:val="Sansinterligne"/>
        <w:numPr>
          <w:ilvl w:val="0"/>
          <w:numId w:val="1530"/>
        </w:numPr>
        <w:ind w:right="4704"/>
        <w:rPr>
          <w:highlight w:val="yellow"/>
        </w:rPr>
      </w:pPr>
      <w:r w:rsidRPr="00A96757">
        <w:rPr>
          <w:highlight w:val="yellow"/>
        </w:rPr>
        <w:t>Réhydratation</w:t>
      </w:r>
    </w:p>
    <w:p w:rsidR="00A96757" w:rsidRPr="00FA3F93" w:rsidRDefault="00A96757" w:rsidP="0036676E">
      <w:pPr>
        <w:pStyle w:val="Sansinterligne"/>
        <w:numPr>
          <w:ilvl w:val="0"/>
          <w:numId w:val="1530"/>
        </w:numPr>
        <w:ind w:right="4704"/>
        <w:rPr>
          <w:highlight w:val="yellow"/>
          <w:u w:val="single"/>
        </w:rPr>
      </w:pPr>
      <w:r w:rsidRPr="00FA3F93">
        <w:rPr>
          <w:highlight w:val="yellow"/>
          <w:u w:val="single"/>
        </w:rPr>
        <w:lastRenderedPageBreak/>
        <w:t xml:space="preserve">Correction chirurgicale urgente </w:t>
      </w:r>
    </w:p>
    <w:p w:rsidR="00A96757" w:rsidRPr="00A96757" w:rsidRDefault="00A96757" w:rsidP="0036676E">
      <w:pPr>
        <w:pStyle w:val="Sansinterligne"/>
        <w:numPr>
          <w:ilvl w:val="1"/>
          <w:numId w:val="1530"/>
        </w:numPr>
        <w:ind w:right="4704"/>
        <w:rPr>
          <w:highlight w:val="yellow"/>
        </w:rPr>
      </w:pPr>
      <w:r w:rsidRPr="00A96757">
        <w:rPr>
          <w:highlight w:val="yellow"/>
        </w:rPr>
        <w:t>Si hernie strangulée</w:t>
      </w:r>
    </w:p>
    <w:p w:rsidR="00A96757" w:rsidRPr="00A96757" w:rsidRDefault="00FA3F93" w:rsidP="0036676E">
      <w:pPr>
        <w:pStyle w:val="Sansinterligne"/>
        <w:numPr>
          <w:ilvl w:val="1"/>
          <w:numId w:val="1530"/>
        </w:numPr>
        <w:ind w:right="4704"/>
        <w:rPr>
          <w:highlight w:val="yellow"/>
        </w:rPr>
      </w:pPr>
      <w:r>
        <w:rPr>
          <w:noProof/>
          <w:lang w:eastAsia="fr-CA"/>
        </w:rPr>
        <w:drawing>
          <wp:anchor distT="0" distB="0" distL="114300" distR="114300" simplePos="0" relativeHeight="252232704" behindDoc="0" locked="0" layoutInCell="1" allowOverlap="1" wp14:anchorId="7E07ED06" wp14:editId="111CF5B8">
            <wp:simplePos x="0" y="0"/>
            <wp:positionH relativeFrom="column">
              <wp:posOffset>4970834</wp:posOffset>
            </wp:positionH>
            <wp:positionV relativeFrom="paragraph">
              <wp:posOffset>230762</wp:posOffset>
            </wp:positionV>
            <wp:extent cx="1809345" cy="2101174"/>
            <wp:effectExtent l="0" t="0" r="635" b="0"/>
            <wp:wrapNone/>
            <wp:docPr id="694" name="Image 694" descr="Résultats de recherche d'images pour « niveaux hydro aériques grê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ésultats de recherche d'images pour « niveaux hydro aériques grêle »"/>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809115" cy="2100907"/>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fr-CA"/>
        </w:rPr>
        <w:drawing>
          <wp:anchor distT="0" distB="0" distL="114300" distR="114300" simplePos="0" relativeHeight="252233728" behindDoc="0" locked="0" layoutInCell="1" allowOverlap="1" wp14:anchorId="6BFEC470" wp14:editId="27C2FA45">
            <wp:simplePos x="0" y="0"/>
            <wp:positionH relativeFrom="column">
              <wp:posOffset>3267994</wp:posOffset>
            </wp:positionH>
            <wp:positionV relativeFrom="paragraph">
              <wp:posOffset>230194</wp:posOffset>
            </wp:positionV>
            <wp:extent cx="1704347" cy="2101175"/>
            <wp:effectExtent l="0" t="0" r="0" b="0"/>
            <wp:wrapNone/>
            <wp:docPr id="695" name="Image 695" descr="Résultats de recherche d'images pour « niveaux hydro aériques grê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Résultats de recherche d'images pour « niveaux hydro aériques grêle »"/>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704347" cy="2101175"/>
                    </a:xfrm>
                    <a:prstGeom prst="rect">
                      <a:avLst/>
                    </a:prstGeom>
                    <a:noFill/>
                    <a:ln>
                      <a:noFill/>
                    </a:ln>
                  </pic:spPr>
                </pic:pic>
              </a:graphicData>
            </a:graphic>
            <wp14:sizeRelH relativeFrom="page">
              <wp14:pctWidth>0</wp14:pctWidth>
            </wp14:sizeRelH>
            <wp14:sizeRelV relativeFrom="page">
              <wp14:pctHeight>0</wp14:pctHeight>
            </wp14:sizeRelV>
          </wp:anchor>
        </w:drawing>
      </w:r>
      <w:r w:rsidR="00A96757" w:rsidRPr="00A96757">
        <w:rPr>
          <w:highlight w:val="yellow"/>
        </w:rPr>
        <w:t>Si absence d’amélioration après traitement mé</w:t>
      </w:r>
      <w:r w:rsidR="00E82F88">
        <w:rPr>
          <w:highlight w:val="yellow"/>
        </w:rPr>
        <w:t>d</w:t>
      </w:r>
      <w:r w:rsidR="00A96757" w:rsidRPr="00A96757">
        <w:rPr>
          <w:highlight w:val="yellow"/>
        </w:rPr>
        <w:t>ical de 48-72h</w:t>
      </w:r>
    </w:p>
    <w:p w:rsidR="00041953" w:rsidRPr="00E82F88" w:rsidRDefault="00A96757" w:rsidP="0036676E">
      <w:pPr>
        <w:pStyle w:val="Sansinterligne"/>
        <w:numPr>
          <w:ilvl w:val="1"/>
          <w:numId w:val="1530"/>
        </w:numPr>
        <w:ind w:right="4704"/>
        <w:rPr>
          <w:highlight w:val="yellow"/>
        </w:rPr>
      </w:pPr>
      <w:r w:rsidRPr="00A96757">
        <w:rPr>
          <w:highlight w:val="yellow"/>
        </w:rPr>
        <w:t>Si pas d’antécédents chirurgicaux</w:t>
      </w:r>
    </w:p>
    <w:p w:rsidR="00041953" w:rsidRDefault="00041953" w:rsidP="00E56594">
      <w:pPr>
        <w:pStyle w:val="Sansinterligne"/>
      </w:pPr>
    </w:p>
    <w:p w:rsidR="00364AD1" w:rsidRPr="00654EBA" w:rsidRDefault="00654EBA" w:rsidP="00E56594">
      <w:pPr>
        <w:pStyle w:val="Sansinterligne"/>
        <w:rPr>
          <w:b/>
        </w:rPr>
      </w:pPr>
      <w:r w:rsidRPr="00654EBA">
        <w:rPr>
          <w:b/>
        </w:rPr>
        <w:t>Iléus paralytique</w:t>
      </w:r>
    </w:p>
    <w:p w:rsidR="00654EBA" w:rsidRDefault="00654EBA" w:rsidP="0036676E">
      <w:pPr>
        <w:pStyle w:val="Sansinterligne"/>
        <w:numPr>
          <w:ilvl w:val="0"/>
          <w:numId w:val="1523"/>
        </w:numPr>
      </w:pPr>
      <w:r>
        <w:t>NPO</w:t>
      </w:r>
      <w:r w:rsidR="00E82F88">
        <w:t xml:space="preserve"> et TNG</w:t>
      </w:r>
    </w:p>
    <w:p w:rsidR="00654EBA" w:rsidRDefault="00654EBA" w:rsidP="0036676E">
      <w:pPr>
        <w:pStyle w:val="Sansinterligne"/>
        <w:numPr>
          <w:ilvl w:val="0"/>
          <w:numId w:val="1523"/>
        </w:numPr>
      </w:pPr>
      <w:r>
        <w:t>Réhydratation</w:t>
      </w:r>
      <w:r w:rsidR="00FA3F93" w:rsidRPr="00FA3F93">
        <w:t xml:space="preserve"> </w:t>
      </w:r>
    </w:p>
    <w:p w:rsidR="00654EBA" w:rsidRDefault="00654EBA" w:rsidP="0036676E">
      <w:pPr>
        <w:pStyle w:val="Sansinterligne"/>
        <w:numPr>
          <w:ilvl w:val="0"/>
          <w:numId w:val="1523"/>
        </w:numPr>
      </w:pPr>
      <w:r>
        <w:t>Correction des anomalies électrolytiques PRN</w:t>
      </w:r>
    </w:p>
    <w:p w:rsidR="00654EBA" w:rsidRDefault="00654EBA" w:rsidP="0036676E">
      <w:pPr>
        <w:pStyle w:val="Sansinterligne"/>
        <w:numPr>
          <w:ilvl w:val="0"/>
          <w:numId w:val="1523"/>
        </w:numPr>
      </w:pPr>
      <w:r>
        <w:t>Expectative (surtout post-op)</w:t>
      </w:r>
    </w:p>
    <w:p w:rsidR="00297489" w:rsidRDefault="00297489" w:rsidP="00E56594">
      <w:pPr>
        <w:pStyle w:val="Sansinterligne"/>
      </w:pPr>
    </w:p>
    <w:p w:rsidR="00364AD1" w:rsidRPr="00A96757" w:rsidRDefault="00364AD1" w:rsidP="00E56594">
      <w:pPr>
        <w:pStyle w:val="Sansinterligne"/>
        <w:rPr>
          <w:b/>
          <w:highlight w:val="yellow"/>
        </w:rPr>
      </w:pPr>
      <w:r w:rsidRPr="00A96757">
        <w:rPr>
          <w:b/>
          <w:highlight w:val="yellow"/>
        </w:rPr>
        <w:t>Mégacôlon toxique</w:t>
      </w:r>
    </w:p>
    <w:p w:rsidR="007C54F7" w:rsidRPr="00A96757" w:rsidRDefault="007C54F7" w:rsidP="0036676E">
      <w:pPr>
        <w:pStyle w:val="Sansinterligne"/>
        <w:numPr>
          <w:ilvl w:val="0"/>
          <w:numId w:val="1526"/>
        </w:numPr>
        <w:rPr>
          <w:highlight w:val="yellow"/>
        </w:rPr>
      </w:pPr>
      <w:r w:rsidRPr="00A96757">
        <w:rPr>
          <w:highlight w:val="yellow"/>
        </w:rPr>
        <w:t>Référence en chirurgie urgente</w:t>
      </w:r>
    </w:p>
    <w:p w:rsidR="007C54F7" w:rsidRPr="00A96757" w:rsidRDefault="007C54F7" w:rsidP="0036676E">
      <w:pPr>
        <w:pStyle w:val="Sansinterligne"/>
        <w:numPr>
          <w:ilvl w:val="0"/>
          <w:numId w:val="1526"/>
        </w:numPr>
        <w:rPr>
          <w:highlight w:val="yellow"/>
        </w:rPr>
      </w:pPr>
      <w:r w:rsidRPr="00A96757">
        <w:rPr>
          <w:highlight w:val="yellow"/>
        </w:rPr>
        <w:t>NPO</w:t>
      </w:r>
      <w:r w:rsidR="00E82F88">
        <w:rPr>
          <w:highlight w:val="yellow"/>
        </w:rPr>
        <w:t xml:space="preserve"> et TNG</w:t>
      </w:r>
    </w:p>
    <w:p w:rsidR="007C54F7" w:rsidRPr="00A96757" w:rsidRDefault="007C54F7" w:rsidP="0036676E">
      <w:pPr>
        <w:pStyle w:val="Sansinterligne"/>
        <w:numPr>
          <w:ilvl w:val="0"/>
          <w:numId w:val="1526"/>
        </w:numPr>
        <w:rPr>
          <w:highlight w:val="yellow"/>
        </w:rPr>
      </w:pPr>
      <w:r w:rsidRPr="00A96757">
        <w:rPr>
          <w:highlight w:val="yellow"/>
        </w:rPr>
        <w:t xml:space="preserve">Réhydratation volémique </w:t>
      </w:r>
      <w:r w:rsidRPr="00A96757">
        <w:rPr>
          <w:rFonts w:cs="Times New Roman"/>
          <w:highlight w:val="yellow"/>
        </w:rPr>
        <w:t>±</w:t>
      </w:r>
      <w:r w:rsidRPr="00A96757">
        <w:rPr>
          <w:highlight w:val="yellow"/>
        </w:rPr>
        <w:t xml:space="preserve"> tranfusions</w:t>
      </w:r>
    </w:p>
    <w:p w:rsidR="007C54F7" w:rsidRPr="00A96757" w:rsidRDefault="007C54F7" w:rsidP="0036676E">
      <w:pPr>
        <w:pStyle w:val="Sansinterligne"/>
        <w:numPr>
          <w:ilvl w:val="0"/>
          <w:numId w:val="1526"/>
        </w:numPr>
        <w:rPr>
          <w:highlight w:val="yellow"/>
        </w:rPr>
      </w:pPr>
      <w:r w:rsidRPr="00A96757">
        <w:rPr>
          <w:highlight w:val="yellow"/>
        </w:rPr>
        <w:t>Correction électrolytique</w:t>
      </w:r>
      <w:r w:rsidR="00FA3F93" w:rsidRPr="00FA3F93">
        <w:t xml:space="preserve"> </w:t>
      </w:r>
    </w:p>
    <w:p w:rsidR="007C54F7" w:rsidRPr="00A96757" w:rsidRDefault="007C54F7" w:rsidP="0036676E">
      <w:pPr>
        <w:pStyle w:val="Sansinterligne"/>
        <w:numPr>
          <w:ilvl w:val="0"/>
          <w:numId w:val="1526"/>
        </w:numPr>
        <w:rPr>
          <w:highlight w:val="yellow"/>
        </w:rPr>
      </w:pPr>
      <w:r w:rsidRPr="00A96757">
        <w:rPr>
          <w:highlight w:val="yellow"/>
        </w:rPr>
        <w:t>ATB large spectre (méropénem, tazobactam-piperacilline, ceftriaxone)</w:t>
      </w:r>
    </w:p>
    <w:p w:rsidR="007C54F7" w:rsidRPr="00A96757" w:rsidRDefault="007C54F7" w:rsidP="0036676E">
      <w:pPr>
        <w:pStyle w:val="Sansinterligne"/>
        <w:numPr>
          <w:ilvl w:val="0"/>
          <w:numId w:val="1526"/>
        </w:numPr>
        <w:rPr>
          <w:highlight w:val="yellow"/>
        </w:rPr>
      </w:pPr>
      <w:r w:rsidRPr="00A96757">
        <w:rPr>
          <w:highlight w:val="yellow"/>
        </w:rPr>
        <w:t>Corriger la cause sous-jacente</w:t>
      </w:r>
    </w:p>
    <w:p w:rsidR="007C54F7" w:rsidRPr="00A96757" w:rsidRDefault="007C54F7" w:rsidP="0036676E">
      <w:pPr>
        <w:pStyle w:val="Sansinterligne"/>
        <w:numPr>
          <w:ilvl w:val="1"/>
          <w:numId w:val="1526"/>
        </w:numPr>
        <w:rPr>
          <w:highlight w:val="yellow"/>
        </w:rPr>
      </w:pPr>
      <w:r w:rsidRPr="00A96757">
        <w:rPr>
          <w:highlight w:val="yellow"/>
        </w:rPr>
        <w:t>Prednisone haute dose pour Colite ulcéreuse</w:t>
      </w:r>
    </w:p>
    <w:p w:rsidR="007C54F7" w:rsidRPr="00A96757" w:rsidRDefault="007C54F7" w:rsidP="0036676E">
      <w:pPr>
        <w:pStyle w:val="Sansinterligne"/>
        <w:numPr>
          <w:ilvl w:val="1"/>
          <w:numId w:val="1526"/>
        </w:numPr>
        <w:rPr>
          <w:highlight w:val="yellow"/>
        </w:rPr>
      </w:pPr>
      <w:r w:rsidRPr="00A96757">
        <w:rPr>
          <w:highlight w:val="yellow"/>
        </w:rPr>
        <w:t>Métronidazole si Colite pseudomembraneuse (C. difficile)</w:t>
      </w:r>
    </w:p>
    <w:p w:rsidR="007C54F7" w:rsidRPr="00A96757" w:rsidRDefault="007C54F7" w:rsidP="0036676E">
      <w:pPr>
        <w:pStyle w:val="Sansinterligne"/>
        <w:numPr>
          <w:ilvl w:val="0"/>
          <w:numId w:val="1526"/>
        </w:numPr>
        <w:rPr>
          <w:highlight w:val="yellow"/>
        </w:rPr>
      </w:pPr>
      <w:r w:rsidRPr="00A96757">
        <w:rPr>
          <w:highlight w:val="yellow"/>
        </w:rPr>
        <w:t>Colectomie subtotale et iléostomie si :</w:t>
      </w:r>
    </w:p>
    <w:p w:rsidR="006656B2" w:rsidRPr="00A96757" w:rsidRDefault="007C54F7" w:rsidP="0036676E">
      <w:pPr>
        <w:pStyle w:val="Sansinterligne"/>
        <w:numPr>
          <w:ilvl w:val="1"/>
          <w:numId w:val="1526"/>
        </w:numPr>
        <w:rPr>
          <w:highlight w:val="yellow"/>
        </w:rPr>
      </w:pPr>
      <w:r w:rsidRPr="00A96757">
        <w:rPr>
          <w:highlight w:val="yellow"/>
        </w:rPr>
        <w:t>Échec au traitement médical</w:t>
      </w:r>
    </w:p>
    <w:p w:rsidR="007C54F7" w:rsidRPr="00A96757" w:rsidRDefault="007C54F7" w:rsidP="006656B2">
      <w:pPr>
        <w:pStyle w:val="Sansinterligne"/>
        <w:ind w:left="1080"/>
        <w:rPr>
          <w:highlight w:val="yellow"/>
        </w:rPr>
      </w:pPr>
    </w:p>
    <w:p w:rsidR="007C54F7" w:rsidRPr="00A96757" w:rsidRDefault="007C54F7" w:rsidP="0036676E">
      <w:pPr>
        <w:pStyle w:val="Sansinterligne"/>
        <w:numPr>
          <w:ilvl w:val="1"/>
          <w:numId w:val="1526"/>
        </w:numPr>
        <w:rPr>
          <w:highlight w:val="yellow"/>
        </w:rPr>
      </w:pPr>
      <w:r w:rsidRPr="00A96757">
        <w:rPr>
          <w:highlight w:val="yellow"/>
        </w:rPr>
        <w:t>Perforation suspectée</w:t>
      </w:r>
    </w:p>
    <w:p w:rsidR="005C1F7B" w:rsidRDefault="005C1F7B" w:rsidP="00E56594">
      <w:pPr>
        <w:pStyle w:val="Sansinterligne"/>
      </w:pPr>
    </w:p>
    <w:tbl>
      <w:tblPr>
        <w:tblStyle w:val="Grilledutableau"/>
        <w:tblpPr w:leftFromText="141" w:rightFromText="141" w:vertAnchor="text" w:horzAnchor="margin" w:tblpXSpec="right" w:tblpY="30"/>
        <w:tblW w:w="0" w:type="auto"/>
        <w:tblLook w:val="04A0" w:firstRow="1" w:lastRow="0" w:firstColumn="1" w:lastColumn="0" w:noHBand="0" w:noVBand="1"/>
      </w:tblPr>
      <w:tblGrid>
        <w:gridCol w:w="2802"/>
        <w:gridCol w:w="2409"/>
        <w:gridCol w:w="2127"/>
      </w:tblGrid>
      <w:tr w:rsidR="00EC60C0" w:rsidTr="00EC60C0">
        <w:tc>
          <w:tcPr>
            <w:tcW w:w="7338" w:type="dxa"/>
            <w:gridSpan w:val="3"/>
            <w:tcBorders>
              <w:bottom w:val="single" w:sz="4" w:space="0" w:color="auto"/>
            </w:tcBorders>
            <w:shd w:val="clear" w:color="auto" w:fill="B8CCE4" w:themeFill="accent1" w:themeFillTint="66"/>
          </w:tcPr>
          <w:p w:rsidR="00EC60C0" w:rsidRPr="006656B2" w:rsidRDefault="00EC60C0" w:rsidP="00EC60C0">
            <w:pPr>
              <w:jc w:val="center"/>
              <w:rPr>
                <w:b/>
                <w:sz w:val="18"/>
                <w:szCs w:val="18"/>
              </w:rPr>
            </w:pPr>
            <w:r w:rsidRPr="006656B2">
              <w:rPr>
                <w:b/>
                <w:sz w:val="18"/>
                <w:szCs w:val="18"/>
              </w:rPr>
              <w:t>Bilan d’extension du CCR (TNM)</w:t>
            </w:r>
          </w:p>
        </w:tc>
      </w:tr>
      <w:tr w:rsidR="00EC60C0" w:rsidTr="00EC60C0">
        <w:trPr>
          <w:trHeight w:val="332"/>
        </w:trPr>
        <w:tc>
          <w:tcPr>
            <w:tcW w:w="2802" w:type="dxa"/>
            <w:tcBorders>
              <w:top w:val="single" w:sz="4" w:space="0" w:color="auto"/>
              <w:left w:val="single" w:sz="4" w:space="0" w:color="auto"/>
              <w:bottom w:val="nil"/>
              <w:right w:val="nil"/>
            </w:tcBorders>
            <w:shd w:val="clear" w:color="auto" w:fill="C6D9F1" w:themeFill="text2" w:themeFillTint="33"/>
          </w:tcPr>
          <w:p w:rsidR="00EC60C0" w:rsidRPr="006656B2" w:rsidRDefault="00EC60C0" w:rsidP="00EC60C0">
            <w:pPr>
              <w:rPr>
                <w:sz w:val="18"/>
                <w:szCs w:val="18"/>
              </w:rPr>
            </w:pPr>
            <w:r w:rsidRPr="006656B2">
              <w:rPr>
                <w:b/>
                <w:sz w:val="18"/>
                <w:szCs w:val="18"/>
              </w:rPr>
              <w:t>T0</w:t>
            </w:r>
            <w:r w:rsidRPr="006656B2">
              <w:rPr>
                <w:sz w:val="18"/>
                <w:szCs w:val="18"/>
              </w:rPr>
              <w:t xml:space="preserve"> </w:t>
            </w:r>
            <w:r w:rsidRPr="006656B2">
              <w:rPr>
                <w:rFonts w:cs="Times New Roman"/>
                <w:sz w:val="18"/>
                <w:szCs w:val="18"/>
              </w:rPr>
              <w:t>Ø</w:t>
            </w:r>
            <w:r w:rsidRPr="006656B2">
              <w:rPr>
                <w:sz w:val="18"/>
                <w:szCs w:val="18"/>
              </w:rPr>
              <w:t xml:space="preserve"> tumeur primaire</w:t>
            </w:r>
          </w:p>
        </w:tc>
        <w:tc>
          <w:tcPr>
            <w:tcW w:w="2409" w:type="dxa"/>
            <w:tcBorders>
              <w:top w:val="single" w:sz="4" w:space="0" w:color="auto"/>
              <w:left w:val="nil"/>
              <w:bottom w:val="nil"/>
              <w:right w:val="nil"/>
            </w:tcBorders>
            <w:shd w:val="clear" w:color="auto" w:fill="C6D9F1" w:themeFill="text2" w:themeFillTint="33"/>
          </w:tcPr>
          <w:p w:rsidR="00EC60C0" w:rsidRPr="006656B2" w:rsidRDefault="00EC60C0" w:rsidP="00EC60C0">
            <w:pPr>
              <w:rPr>
                <w:sz w:val="18"/>
                <w:szCs w:val="18"/>
              </w:rPr>
            </w:pPr>
            <w:r w:rsidRPr="006656B2">
              <w:rPr>
                <w:b/>
                <w:sz w:val="18"/>
                <w:szCs w:val="18"/>
              </w:rPr>
              <w:t>N0</w:t>
            </w:r>
            <w:r w:rsidRPr="006656B2">
              <w:rPr>
                <w:sz w:val="18"/>
                <w:szCs w:val="18"/>
              </w:rPr>
              <w:t xml:space="preserve"> </w:t>
            </w:r>
            <w:r w:rsidRPr="006656B2">
              <w:rPr>
                <w:rFonts w:cs="Times New Roman"/>
                <w:sz w:val="18"/>
                <w:szCs w:val="18"/>
              </w:rPr>
              <w:t>Ø</w:t>
            </w:r>
            <w:r w:rsidRPr="006656B2">
              <w:rPr>
                <w:sz w:val="18"/>
                <w:szCs w:val="18"/>
              </w:rPr>
              <w:t xml:space="preserve"> adénopathies régionales</w:t>
            </w:r>
          </w:p>
        </w:tc>
        <w:tc>
          <w:tcPr>
            <w:tcW w:w="2127" w:type="dxa"/>
            <w:tcBorders>
              <w:top w:val="single" w:sz="4" w:space="0" w:color="auto"/>
              <w:left w:val="nil"/>
              <w:bottom w:val="nil"/>
              <w:right w:val="single" w:sz="4" w:space="0" w:color="auto"/>
            </w:tcBorders>
            <w:shd w:val="clear" w:color="auto" w:fill="C6D9F1" w:themeFill="text2" w:themeFillTint="33"/>
          </w:tcPr>
          <w:p w:rsidR="00EC60C0" w:rsidRPr="006656B2" w:rsidRDefault="00EC60C0" w:rsidP="00EC60C0">
            <w:pPr>
              <w:rPr>
                <w:sz w:val="18"/>
                <w:szCs w:val="18"/>
              </w:rPr>
            </w:pPr>
            <w:r w:rsidRPr="006656B2">
              <w:rPr>
                <w:b/>
                <w:sz w:val="18"/>
                <w:szCs w:val="18"/>
              </w:rPr>
              <w:t>M0</w:t>
            </w:r>
            <w:r w:rsidRPr="006656B2">
              <w:rPr>
                <w:sz w:val="18"/>
                <w:szCs w:val="18"/>
              </w:rPr>
              <w:t xml:space="preserve"> </w:t>
            </w:r>
            <w:r w:rsidRPr="006656B2">
              <w:rPr>
                <w:rFonts w:cs="Times New Roman"/>
                <w:sz w:val="18"/>
                <w:szCs w:val="18"/>
              </w:rPr>
              <w:t>Ø</w:t>
            </w:r>
            <w:r w:rsidRPr="006656B2">
              <w:rPr>
                <w:sz w:val="18"/>
                <w:szCs w:val="18"/>
              </w:rPr>
              <w:t xml:space="preserve"> métastases distales</w:t>
            </w:r>
          </w:p>
        </w:tc>
      </w:tr>
      <w:tr w:rsidR="00EC60C0" w:rsidTr="00EC60C0">
        <w:tc>
          <w:tcPr>
            <w:tcW w:w="2802" w:type="dxa"/>
            <w:tcBorders>
              <w:top w:val="nil"/>
              <w:left w:val="single" w:sz="4" w:space="0" w:color="auto"/>
              <w:bottom w:val="nil"/>
              <w:right w:val="nil"/>
            </w:tcBorders>
            <w:shd w:val="clear" w:color="auto" w:fill="C6D9F1" w:themeFill="text2" w:themeFillTint="33"/>
          </w:tcPr>
          <w:p w:rsidR="00EC60C0" w:rsidRPr="006656B2" w:rsidRDefault="00EC60C0" w:rsidP="00EC60C0">
            <w:pPr>
              <w:rPr>
                <w:sz w:val="18"/>
                <w:szCs w:val="18"/>
              </w:rPr>
            </w:pPr>
            <w:r w:rsidRPr="006656B2">
              <w:rPr>
                <w:b/>
                <w:sz w:val="18"/>
                <w:szCs w:val="18"/>
              </w:rPr>
              <w:t>Tis</w:t>
            </w:r>
            <w:r w:rsidRPr="006656B2">
              <w:rPr>
                <w:sz w:val="18"/>
                <w:szCs w:val="18"/>
              </w:rPr>
              <w:t xml:space="preserve"> In situ</w:t>
            </w:r>
          </w:p>
          <w:p w:rsidR="00EC60C0" w:rsidRPr="006656B2" w:rsidRDefault="00EC60C0" w:rsidP="00EC60C0">
            <w:pPr>
              <w:pStyle w:val="Sansinterligne"/>
              <w:rPr>
                <w:sz w:val="18"/>
                <w:szCs w:val="18"/>
                <w:highlight w:val="yellow"/>
              </w:rPr>
            </w:pPr>
          </w:p>
        </w:tc>
        <w:tc>
          <w:tcPr>
            <w:tcW w:w="2409" w:type="dxa"/>
            <w:tcBorders>
              <w:top w:val="nil"/>
              <w:left w:val="nil"/>
              <w:bottom w:val="nil"/>
              <w:right w:val="nil"/>
            </w:tcBorders>
            <w:shd w:val="clear" w:color="auto" w:fill="C6D9F1" w:themeFill="text2" w:themeFillTint="33"/>
          </w:tcPr>
          <w:p w:rsidR="00EC60C0" w:rsidRPr="006656B2" w:rsidRDefault="00EC60C0" w:rsidP="00EC60C0">
            <w:pPr>
              <w:rPr>
                <w:sz w:val="18"/>
                <w:szCs w:val="18"/>
              </w:rPr>
            </w:pPr>
            <w:r w:rsidRPr="006656B2">
              <w:rPr>
                <w:b/>
                <w:sz w:val="18"/>
                <w:szCs w:val="18"/>
              </w:rPr>
              <w:t>N1</w:t>
            </w:r>
            <w:r w:rsidRPr="006656B2">
              <w:rPr>
                <w:sz w:val="18"/>
                <w:szCs w:val="18"/>
              </w:rPr>
              <w:t xml:space="preserve">     Métastases 1-3 ADNP   </w:t>
            </w:r>
          </w:p>
          <w:p w:rsidR="00EC60C0" w:rsidRPr="006656B2" w:rsidRDefault="00EC60C0" w:rsidP="00EC60C0">
            <w:pPr>
              <w:rPr>
                <w:sz w:val="18"/>
                <w:szCs w:val="18"/>
              </w:rPr>
            </w:pPr>
            <w:r w:rsidRPr="006656B2">
              <w:rPr>
                <w:sz w:val="18"/>
                <w:szCs w:val="18"/>
              </w:rPr>
              <w:t xml:space="preserve">                 régionales</w:t>
            </w:r>
          </w:p>
        </w:tc>
        <w:tc>
          <w:tcPr>
            <w:tcW w:w="2127" w:type="dxa"/>
            <w:tcBorders>
              <w:top w:val="nil"/>
              <w:left w:val="nil"/>
              <w:bottom w:val="nil"/>
              <w:right w:val="single" w:sz="4" w:space="0" w:color="auto"/>
            </w:tcBorders>
            <w:shd w:val="clear" w:color="auto" w:fill="C6D9F1" w:themeFill="text2" w:themeFillTint="33"/>
          </w:tcPr>
          <w:p w:rsidR="00EC60C0" w:rsidRPr="006656B2" w:rsidRDefault="00EC60C0" w:rsidP="00EC60C0">
            <w:pPr>
              <w:rPr>
                <w:sz w:val="18"/>
                <w:szCs w:val="18"/>
              </w:rPr>
            </w:pPr>
            <w:r w:rsidRPr="006656B2">
              <w:rPr>
                <w:b/>
                <w:sz w:val="18"/>
                <w:szCs w:val="18"/>
              </w:rPr>
              <w:t>M1</w:t>
            </w:r>
            <w:r w:rsidRPr="006656B2">
              <w:rPr>
                <w:sz w:val="18"/>
                <w:szCs w:val="18"/>
              </w:rPr>
              <w:t xml:space="preserve"> Métastases distales +</w:t>
            </w:r>
          </w:p>
          <w:p w:rsidR="00EC60C0" w:rsidRPr="006656B2" w:rsidRDefault="00EC60C0" w:rsidP="00EC60C0">
            <w:pPr>
              <w:pStyle w:val="Sansinterligne"/>
              <w:rPr>
                <w:sz w:val="18"/>
                <w:szCs w:val="18"/>
                <w:highlight w:val="yellow"/>
              </w:rPr>
            </w:pPr>
          </w:p>
        </w:tc>
      </w:tr>
      <w:tr w:rsidR="00EC60C0" w:rsidTr="00EC60C0">
        <w:tc>
          <w:tcPr>
            <w:tcW w:w="2802" w:type="dxa"/>
            <w:tcBorders>
              <w:top w:val="nil"/>
              <w:left w:val="single" w:sz="4" w:space="0" w:color="auto"/>
              <w:bottom w:val="nil"/>
              <w:right w:val="nil"/>
            </w:tcBorders>
            <w:shd w:val="clear" w:color="auto" w:fill="C6D9F1" w:themeFill="text2" w:themeFillTint="33"/>
          </w:tcPr>
          <w:p w:rsidR="00EC60C0" w:rsidRPr="006656B2" w:rsidRDefault="00EC60C0" w:rsidP="00EC60C0">
            <w:pPr>
              <w:rPr>
                <w:sz w:val="18"/>
                <w:szCs w:val="18"/>
              </w:rPr>
            </w:pPr>
            <w:r w:rsidRPr="006656B2">
              <w:rPr>
                <w:b/>
                <w:sz w:val="18"/>
                <w:szCs w:val="18"/>
              </w:rPr>
              <w:t>T1</w:t>
            </w:r>
            <w:r w:rsidRPr="006656B2">
              <w:rPr>
                <w:sz w:val="18"/>
                <w:szCs w:val="18"/>
              </w:rPr>
              <w:t xml:space="preserve">  Invasion de la muqueuse</w:t>
            </w:r>
          </w:p>
          <w:p w:rsidR="00EC60C0" w:rsidRPr="006656B2" w:rsidRDefault="00EC60C0" w:rsidP="00EC60C0">
            <w:pPr>
              <w:pStyle w:val="Sansinterligne"/>
              <w:rPr>
                <w:sz w:val="18"/>
                <w:szCs w:val="18"/>
                <w:highlight w:val="yellow"/>
              </w:rPr>
            </w:pPr>
          </w:p>
        </w:tc>
        <w:tc>
          <w:tcPr>
            <w:tcW w:w="2409" w:type="dxa"/>
            <w:tcBorders>
              <w:top w:val="nil"/>
              <w:left w:val="nil"/>
              <w:bottom w:val="nil"/>
              <w:right w:val="nil"/>
            </w:tcBorders>
            <w:shd w:val="clear" w:color="auto" w:fill="C6D9F1" w:themeFill="text2" w:themeFillTint="33"/>
          </w:tcPr>
          <w:p w:rsidR="00EC60C0" w:rsidRPr="006656B2" w:rsidRDefault="00EC60C0" w:rsidP="00EC60C0">
            <w:pPr>
              <w:rPr>
                <w:sz w:val="18"/>
                <w:szCs w:val="18"/>
              </w:rPr>
            </w:pPr>
            <w:r w:rsidRPr="006656B2">
              <w:rPr>
                <w:b/>
                <w:sz w:val="18"/>
                <w:szCs w:val="18"/>
              </w:rPr>
              <w:t>N2</w:t>
            </w:r>
            <w:r w:rsidRPr="006656B2">
              <w:rPr>
                <w:sz w:val="18"/>
                <w:szCs w:val="18"/>
              </w:rPr>
              <w:t xml:space="preserve"> Métastases </w:t>
            </w:r>
            <w:r w:rsidRPr="006656B2">
              <w:rPr>
                <w:rFonts w:ascii="Century Gothic" w:hAnsi="Century Gothic"/>
                <w:sz w:val="18"/>
                <w:szCs w:val="18"/>
              </w:rPr>
              <w:t>≥</w:t>
            </w:r>
            <w:r w:rsidRPr="006656B2">
              <w:rPr>
                <w:sz w:val="18"/>
                <w:szCs w:val="18"/>
              </w:rPr>
              <w:t xml:space="preserve"> 4 ADNP </w:t>
            </w:r>
          </w:p>
          <w:p w:rsidR="00EC60C0" w:rsidRPr="006656B2" w:rsidRDefault="00EC60C0" w:rsidP="00EC60C0">
            <w:pPr>
              <w:rPr>
                <w:sz w:val="18"/>
                <w:szCs w:val="18"/>
              </w:rPr>
            </w:pPr>
            <w:r w:rsidRPr="006656B2">
              <w:rPr>
                <w:sz w:val="18"/>
                <w:szCs w:val="18"/>
              </w:rPr>
              <w:t xml:space="preserve">                 régionales</w:t>
            </w:r>
          </w:p>
        </w:tc>
        <w:tc>
          <w:tcPr>
            <w:tcW w:w="2127" w:type="dxa"/>
            <w:tcBorders>
              <w:top w:val="nil"/>
              <w:left w:val="nil"/>
              <w:bottom w:val="nil"/>
              <w:right w:val="single" w:sz="4" w:space="0" w:color="auto"/>
            </w:tcBorders>
            <w:shd w:val="clear" w:color="auto" w:fill="C6D9F1" w:themeFill="text2" w:themeFillTint="33"/>
          </w:tcPr>
          <w:p w:rsidR="00EC60C0" w:rsidRPr="006656B2" w:rsidRDefault="00EC60C0" w:rsidP="00EC60C0">
            <w:pPr>
              <w:pStyle w:val="Sansinterligne"/>
              <w:rPr>
                <w:sz w:val="18"/>
                <w:szCs w:val="18"/>
                <w:highlight w:val="yellow"/>
              </w:rPr>
            </w:pPr>
          </w:p>
        </w:tc>
      </w:tr>
      <w:tr w:rsidR="00EC60C0" w:rsidTr="00EC60C0">
        <w:tc>
          <w:tcPr>
            <w:tcW w:w="2802" w:type="dxa"/>
            <w:tcBorders>
              <w:top w:val="nil"/>
              <w:left w:val="single" w:sz="4" w:space="0" w:color="auto"/>
              <w:bottom w:val="nil"/>
              <w:right w:val="nil"/>
            </w:tcBorders>
            <w:shd w:val="clear" w:color="auto" w:fill="C6D9F1" w:themeFill="text2" w:themeFillTint="33"/>
          </w:tcPr>
          <w:p w:rsidR="00EC60C0" w:rsidRPr="006656B2" w:rsidRDefault="00EC60C0" w:rsidP="00EC60C0">
            <w:pPr>
              <w:rPr>
                <w:sz w:val="18"/>
                <w:szCs w:val="18"/>
              </w:rPr>
            </w:pPr>
            <w:r w:rsidRPr="006656B2">
              <w:rPr>
                <w:b/>
                <w:sz w:val="18"/>
                <w:szCs w:val="18"/>
              </w:rPr>
              <w:t>T2</w:t>
            </w:r>
            <w:r w:rsidRPr="006656B2">
              <w:rPr>
                <w:sz w:val="18"/>
                <w:szCs w:val="18"/>
              </w:rPr>
              <w:t xml:space="preserve"> Invasion de la musculeuse</w:t>
            </w:r>
          </w:p>
        </w:tc>
        <w:tc>
          <w:tcPr>
            <w:tcW w:w="2409" w:type="dxa"/>
            <w:tcBorders>
              <w:top w:val="nil"/>
              <w:left w:val="nil"/>
              <w:bottom w:val="nil"/>
              <w:right w:val="nil"/>
            </w:tcBorders>
            <w:shd w:val="clear" w:color="auto" w:fill="C6D9F1" w:themeFill="text2" w:themeFillTint="33"/>
          </w:tcPr>
          <w:p w:rsidR="00EC60C0" w:rsidRPr="006656B2" w:rsidRDefault="00EC60C0" w:rsidP="00EC60C0">
            <w:pPr>
              <w:pStyle w:val="Sansinterligne"/>
              <w:rPr>
                <w:sz w:val="18"/>
                <w:szCs w:val="18"/>
                <w:highlight w:val="yellow"/>
              </w:rPr>
            </w:pPr>
          </w:p>
        </w:tc>
        <w:tc>
          <w:tcPr>
            <w:tcW w:w="2127" w:type="dxa"/>
            <w:tcBorders>
              <w:top w:val="nil"/>
              <w:left w:val="nil"/>
              <w:bottom w:val="nil"/>
              <w:right w:val="single" w:sz="4" w:space="0" w:color="auto"/>
            </w:tcBorders>
            <w:shd w:val="clear" w:color="auto" w:fill="C6D9F1" w:themeFill="text2" w:themeFillTint="33"/>
          </w:tcPr>
          <w:p w:rsidR="00EC60C0" w:rsidRPr="006656B2" w:rsidRDefault="00EC60C0" w:rsidP="00EC60C0">
            <w:pPr>
              <w:pStyle w:val="Sansinterligne"/>
              <w:rPr>
                <w:sz w:val="18"/>
                <w:szCs w:val="18"/>
                <w:highlight w:val="yellow"/>
              </w:rPr>
            </w:pPr>
          </w:p>
        </w:tc>
      </w:tr>
      <w:tr w:rsidR="00EC60C0" w:rsidTr="00EC60C0">
        <w:trPr>
          <w:trHeight w:val="81"/>
        </w:trPr>
        <w:tc>
          <w:tcPr>
            <w:tcW w:w="2802" w:type="dxa"/>
            <w:tcBorders>
              <w:top w:val="nil"/>
              <w:left w:val="single" w:sz="4" w:space="0" w:color="auto"/>
              <w:bottom w:val="nil"/>
              <w:right w:val="nil"/>
            </w:tcBorders>
            <w:shd w:val="clear" w:color="auto" w:fill="C6D9F1" w:themeFill="text2" w:themeFillTint="33"/>
          </w:tcPr>
          <w:p w:rsidR="00EC60C0" w:rsidRPr="006656B2" w:rsidRDefault="00EC60C0" w:rsidP="00EC60C0">
            <w:pPr>
              <w:rPr>
                <w:sz w:val="18"/>
                <w:szCs w:val="18"/>
              </w:rPr>
            </w:pPr>
            <w:r w:rsidRPr="006656B2">
              <w:rPr>
                <w:b/>
                <w:sz w:val="18"/>
                <w:szCs w:val="18"/>
              </w:rPr>
              <w:t>T3</w:t>
            </w:r>
            <w:r w:rsidRPr="006656B2">
              <w:rPr>
                <w:sz w:val="18"/>
                <w:szCs w:val="18"/>
              </w:rPr>
              <w:t xml:space="preserve"> Invasion musculeuse et séreuse</w:t>
            </w:r>
          </w:p>
        </w:tc>
        <w:tc>
          <w:tcPr>
            <w:tcW w:w="2409" w:type="dxa"/>
            <w:tcBorders>
              <w:top w:val="nil"/>
              <w:left w:val="nil"/>
              <w:bottom w:val="nil"/>
              <w:right w:val="nil"/>
            </w:tcBorders>
            <w:shd w:val="clear" w:color="auto" w:fill="C6D9F1" w:themeFill="text2" w:themeFillTint="33"/>
          </w:tcPr>
          <w:p w:rsidR="00EC60C0" w:rsidRPr="006656B2" w:rsidRDefault="00EC60C0" w:rsidP="00EC60C0">
            <w:pPr>
              <w:pStyle w:val="Sansinterligne"/>
              <w:rPr>
                <w:sz w:val="18"/>
                <w:szCs w:val="18"/>
                <w:highlight w:val="yellow"/>
              </w:rPr>
            </w:pPr>
          </w:p>
        </w:tc>
        <w:tc>
          <w:tcPr>
            <w:tcW w:w="2127" w:type="dxa"/>
            <w:tcBorders>
              <w:top w:val="nil"/>
              <w:left w:val="nil"/>
              <w:bottom w:val="nil"/>
              <w:right w:val="single" w:sz="4" w:space="0" w:color="auto"/>
            </w:tcBorders>
            <w:shd w:val="clear" w:color="auto" w:fill="C6D9F1" w:themeFill="text2" w:themeFillTint="33"/>
          </w:tcPr>
          <w:p w:rsidR="00EC60C0" w:rsidRPr="006656B2" w:rsidRDefault="00EC60C0" w:rsidP="00EC60C0">
            <w:pPr>
              <w:pStyle w:val="Sansinterligne"/>
              <w:rPr>
                <w:sz w:val="18"/>
                <w:szCs w:val="18"/>
                <w:highlight w:val="yellow"/>
              </w:rPr>
            </w:pPr>
          </w:p>
        </w:tc>
      </w:tr>
      <w:tr w:rsidR="00EC60C0" w:rsidTr="00EC60C0">
        <w:tc>
          <w:tcPr>
            <w:tcW w:w="2802" w:type="dxa"/>
            <w:tcBorders>
              <w:top w:val="nil"/>
              <w:left w:val="single" w:sz="4" w:space="0" w:color="auto"/>
              <w:bottom w:val="single" w:sz="4" w:space="0" w:color="auto"/>
              <w:right w:val="nil"/>
            </w:tcBorders>
            <w:shd w:val="clear" w:color="auto" w:fill="C6D9F1" w:themeFill="text2" w:themeFillTint="33"/>
          </w:tcPr>
          <w:p w:rsidR="00EC60C0" w:rsidRPr="006656B2" w:rsidRDefault="00EC60C0" w:rsidP="00EC60C0">
            <w:pPr>
              <w:rPr>
                <w:sz w:val="18"/>
                <w:szCs w:val="18"/>
              </w:rPr>
            </w:pPr>
            <w:r w:rsidRPr="006656B2">
              <w:rPr>
                <w:b/>
                <w:sz w:val="18"/>
                <w:szCs w:val="18"/>
              </w:rPr>
              <w:t>T4</w:t>
            </w:r>
            <w:r w:rsidRPr="006656B2">
              <w:rPr>
                <w:sz w:val="18"/>
                <w:szCs w:val="18"/>
              </w:rPr>
              <w:t xml:space="preserve"> Invasion structures adjacentes</w:t>
            </w:r>
          </w:p>
        </w:tc>
        <w:tc>
          <w:tcPr>
            <w:tcW w:w="2409" w:type="dxa"/>
            <w:tcBorders>
              <w:top w:val="nil"/>
              <w:left w:val="nil"/>
              <w:bottom w:val="single" w:sz="4" w:space="0" w:color="auto"/>
              <w:right w:val="nil"/>
            </w:tcBorders>
            <w:shd w:val="clear" w:color="auto" w:fill="C6D9F1" w:themeFill="text2" w:themeFillTint="33"/>
          </w:tcPr>
          <w:p w:rsidR="00EC60C0" w:rsidRPr="006656B2" w:rsidRDefault="00EC60C0" w:rsidP="00EC60C0">
            <w:pPr>
              <w:pStyle w:val="Sansinterligne"/>
              <w:rPr>
                <w:sz w:val="18"/>
                <w:szCs w:val="18"/>
                <w:highlight w:val="yellow"/>
              </w:rPr>
            </w:pPr>
          </w:p>
        </w:tc>
        <w:tc>
          <w:tcPr>
            <w:tcW w:w="2127" w:type="dxa"/>
            <w:tcBorders>
              <w:top w:val="nil"/>
              <w:left w:val="nil"/>
              <w:bottom w:val="single" w:sz="4" w:space="0" w:color="auto"/>
              <w:right w:val="single" w:sz="4" w:space="0" w:color="auto"/>
            </w:tcBorders>
            <w:shd w:val="clear" w:color="auto" w:fill="C6D9F1" w:themeFill="text2" w:themeFillTint="33"/>
          </w:tcPr>
          <w:p w:rsidR="00EC60C0" w:rsidRPr="006656B2" w:rsidRDefault="00EC60C0" w:rsidP="00EC60C0">
            <w:pPr>
              <w:pStyle w:val="Sansinterligne"/>
              <w:rPr>
                <w:sz w:val="18"/>
                <w:szCs w:val="18"/>
                <w:highlight w:val="yellow"/>
              </w:rPr>
            </w:pPr>
          </w:p>
        </w:tc>
      </w:tr>
    </w:tbl>
    <w:p w:rsidR="00364AD1" w:rsidRPr="00297489" w:rsidRDefault="00364AD1" w:rsidP="00E56594">
      <w:pPr>
        <w:pStyle w:val="Sansinterligne"/>
        <w:rPr>
          <w:b/>
        </w:rPr>
      </w:pPr>
      <w:r w:rsidRPr="00297489">
        <w:rPr>
          <w:b/>
        </w:rPr>
        <w:t>Syndrome d’Ogilvie</w:t>
      </w:r>
    </w:p>
    <w:p w:rsidR="005C1F7B" w:rsidRDefault="005C1F7B" w:rsidP="0036676E">
      <w:pPr>
        <w:pStyle w:val="Sansinterligne"/>
        <w:numPr>
          <w:ilvl w:val="0"/>
          <w:numId w:val="1525"/>
        </w:numPr>
        <w:ind w:right="4988"/>
      </w:pPr>
      <w:r>
        <w:t>Expliquer au patient la condition (innervation parasympathétique non-opposée)</w:t>
      </w:r>
    </w:p>
    <w:p w:rsidR="00946451" w:rsidRDefault="005C1F7B" w:rsidP="0036676E">
      <w:pPr>
        <w:pStyle w:val="Sansinterligne"/>
        <w:numPr>
          <w:ilvl w:val="0"/>
          <w:numId w:val="1525"/>
        </w:numPr>
      </w:pPr>
      <w:r>
        <w:t>NPO</w:t>
      </w:r>
      <w:r w:rsidR="00E82F88">
        <w:t xml:space="preserve"> et TNG</w:t>
      </w:r>
    </w:p>
    <w:p w:rsidR="005C1F7B" w:rsidRDefault="005C1F7B" w:rsidP="0036676E">
      <w:pPr>
        <w:pStyle w:val="Sansinterligne"/>
        <w:numPr>
          <w:ilvl w:val="0"/>
          <w:numId w:val="1525"/>
        </w:numPr>
      </w:pPr>
      <w:r>
        <w:t>Décompression</w:t>
      </w:r>
    </w:p>
    <w:p w:rsidR="005C1F7B" w:rsidRDefault="005C1F7B" w:rsidP="0036676E">
      <w:pPr>
        <w:pStyle w:val="Sansinterligne"/>
        <w:numPr>
          <w:ilvl w:val="1"/>
          <w:numId w:val="1525"/>
        </w:numPr>
      </w:pPr>
      <w:r>
        <w:t xml:space="preserve">Tube rectal ou </w:t>
      </w:r>
    </w:p>
    <w:p w:rsidR="005C1F7B" w:rsidRDefault="005C1F7B" w:rsidP="0036676E">
      <w:pPr>
        <w:pStyle w:val="Sansinterligne"/>
        <w:numPr>
          <w:ilvl w:val="1"/>
          <w:numId w:val="1525"/>
        </w:numPr>
      </w:pPr>
      <w:r>
        <w:t>Colonoscopie ou</w:t>
      </w:r>
    </w:p>
    <w:p w:rsidR="005C1F7B" w:rsidRDefault="005C1F7B" w:rsidP="0036676E">
      <w:pPr>
        <w:pStyle w:val="Sansinterligne"/>
        <w:numPr>
          <w:ilvl w:val="1"/>
          <w:numId w:val="1525"/>
        </w:numPr>
      </w:pPr>
      <w:r>
        <w:t>Neostigmine</w:t>
      </w:r>
    </w:p>
    <w:p w:rsidR="005C1F7B" w:rsidRDefault="005C1F7B" w:rsidP="00E56594">
      <w:pPr>
        <w:pStyle w:val="Sansinterligne"/>
      </w:pPr>
    </w:p>
    <w:p w:rsidR="00E82F88" w:rsidRDefault="00E82F88" w:rsidP="00E56594">
      <w:pPr>
        <w:pStyle w:val="Sansinterligne"/>
        <w:rPr>
          <w:b/>
        </w:rPr>
        <w:sectPr w:rsidR="00E82F88" w:rsidSect="00745374">
          <w:headerReference w:type="default" r:id="rId13"/>
          <w:pgSz w:w="12240" w:h="15840"/>
          <w:pgMar w:top="720" w:right="720" w:bottom="720" w:left="720" w:header="708" w:footer="708" w:gutter="0"/>
          <w:cols w:space="708"/>
          <w:titlePg/>
          <w:docGrid w:linePitch="360"/>
        </w:sectPr>
      </w:pPr>
    </w:p>
    <w:p w:rsidR="00364AD1" w:rsidRPr="00946451" w:rsidRDefault="00364AD1" w:rsidP="00E56594">
      <w:pPr>
        <w:pStyle w:val="Sansinterligne"/>
        <w:rPr>
          <w:b/>
        </w:rPr>
      </w:pPr>
      <w:r w:rsidRPr="00946451">
        <w:rPr>
          <w:b/>
        </w:rPr>
        <w:lastRenderedPageBreak/>
        <w:t>Syndrome du côlon irritable</w:t>
      </w:r>
    </w:p>
    <w:p w:rsidR="00CE13E2" w:rsidRDefault="00CE13E2" w:rsidP="0036676E">
      <w:pPr>
        <w:pStyle w:val="Sansinterligne"/>
        <w:numPr>
          <w:ilvl w:val="0"/>
          <w:numId w:val="1524"/>
        </w:numPr>
      </w:pPr>
      <w:r>
        <w:t>Expliquer la condition</w:t>
      </w:r>
    </w:p>
    <w:p w:rsidR="004773E4" w:rsidRDefault="004773E4" w:rsidP="0036676E">
      <w:pPr>
        <w:pStyle w:val="Sansinterligne"/>
        <w:numPr>
          <w:ilvl w:val="0"/>
          <w:numId w:val="1524"/>
        </w:numPr>
      </w:pPr>
      <w:r>
        <w:t>Diète riches en fibre</w:t>
      </w:r>
      <w:r w:rsidR="00CE13E2">
        <w:t xml:space="preserve"> et exercice physique</w:t>
      </w:r>
    </w:p>
    <w:p w:rsidR="004773E4" w:rsidRDefault="004773E4" w:rsidP="0036676E">
      <w:pPr>
        <w:pStyle w:val="Sansinterligne"/>
        <w:numPr>
          <w:ilvl w:val="0"/>
          <w:numId w:val="1524"/>
        </w:numPr>
      </w:pPr>
      <w:r>
        <w:t>Éviter caféine</w:t>
      </w:r>
      <w:r w:rsidR="00CE13E2">
        <w:t>,</w:t>
      </w:r>
      <w:r>
        <w:t xml:space="preserve"> stimulants</w:t>
      </w:r>
      <w:r w:rsidR="00CE13E2">
        <w:t xml:space="preserve"> et stresseurs psychosociaux</w:t>
      </w:r>
    </w:p>
    <w:p w:rsidR="004773E4" w:rsidRDefault="004773E4" w:rsidP="0036676E">
      <w:pPr>
        <w:pStyle w:val="Sansinterligne"/>
        <w:numPr>
          <w:ilvl w:val="0"/>
          <w:numId w:val="1524"/>
        </w:numPr>
      </w:pPr>
      <w:r>
        <w:t>Éviter stresseurs</w:t>
      </w:r>
    </w:p>
    <w:p w:rsidR="004773E4" w:rsidRDefault="004773E4" w:rsidP="0036676E">
      <w:pPr>
        <w:pStyle w:val="Sansinterligne"/>
        <w:numPr>
          <w:ilvl w:val="0"/>
          <w:numId w:val="1524"/>
        </w:numPr>
      </w:pPr>
      <w:r>
        <w:t>Psychothérapie si sévère</w:t>
      </w:r>
    </w:p>
    <w:p w:rsidR="004773E4" w:rsidRDefault="004773E4" w:rsidP="00E56594">
      <w:pPr>
        <w:pStyle w:val="Sansinterligne"/>
      </w:pPr>
    </w:p>
    <w:p w:rsidR="00E82F88" w:rsidRPr="00D01AE8" w:rsidRDefault="00E82F88" w:rsidP="00E82F88">
      <w:pPr>
        <w:pStyle w:val="Sansinterligne"/>
        <w:rPr>
          <w:b/>
        </w:rPr>
      </w:pPr>
      <w:r w:rsidRPr="00D01AE8">
        <w:rPr>
          <w:b/>
        </w:rPr>
        <w:t>Néoplasie des ovaires</w:t>
      </w:r>
    </w:p>
    <w:p w:rsidR="00E82F88" w:rsidRDefault="00E82F88" w:rsidP="0036676E">
      <w:pPr>
        <w:pStyle w:val="Sansinterligne"/>
        <w:numPr>
          <w:ilvl w:val="0"/>
          <w:numId w:val="1537"/>
        </w:numPr>
      </w:pPr>
      <w:r>
        <w:t>Référence en gynéco-oncologie</w:t>
      </w:r>
    </w:p>
    <w:p w:rsidR="00E82F88" w:rsidRDefault="00E82F88" w:rsidP="0036676E">
      <w:pPr>
        <w:pStyle w:val="Sansinterligne"/>
        <w:numPr>
          <w:ilvl w:val="0"/>
          <w:numId w:val="1537"/>
        </w:numPr>
      </w:pPr>
      <w:r>
        <w:t>Chirurgie (salpingo-ovariectomie)</w:t>
      </w:r>
    </w:p>
    <w:p w:rsidR="00E82F88" w:rsidRDefault="00E82F88" w:rsidP="0036676E">
      <w:pPr>
        <w:pStyle w:val="Sansinterligne"/>
        <w:numPr>
          <w:ilvl w:val="0"/>
          <w:numId w:val="1537"/>
        </w:numPr>
      </w:pPr>
      <w:r>
        <w:t>Chimiothérapie selon type de cancer</w:t>
      </w:r>
    </w:p>
    <w:p w:rsidR="00E82F88" w:rsidRDefault="00E82F88" w:rsidP="0036676E">
      <w:pPr>
        <w:pStyle w:val="Sansinterligne"/>
        <w:numPr>
          <w:ilvl w:val="0"/>
          <w:numId w:val="1537"/>
        </w:numPr>
      </w:pPr>
      <w:r>
        <w:t>Malheureusement souv</w:t>
      </w:r>
      <w:r w:rsidR="00EC60C0">
        <w:t>ent asymptomatique ad métastases</w:t>
      </w:r>
    </w:p>
    <w:p w:rsidR="00EC60C0" w:rsidRDefault="00EC60C0" w:rsidP="00EC60C0">
      <w:pPr>
        <w:pStyle w:val="Sansinterligne"/>
      </w:pPr>
    </w:p>
    <w:p w:rsidR="00EC60C0" w:rsidRDefault="00EC60C0" w:rsidP="00EC60C0">
      <w:pPr>
        <w:pStyle w:val="Sansinterligne"/>
      </w:pPr>
    </w:p>
    <w:p w:rsidR="00EC60C0" w:rsidRDefault="00EC60C0" w:rsidP="00EC60C0">
      <w:pPr>
        <w:pStyle w:val="Sansinterligne"/>
      </w:pPr>
    </w:p>
    <w:p w:rsidR="00364AD1" w:rsidRPr="00D01AE8" w:rsidRDefault="00364AD1" w:rsidP="00E56594">
      <w:pPr>
        <w:pStyle w:val="Sansinterligne"/>
        <w:rPr>
          <w:b/>
          <w:highlight w:val="yellow"/>
        </w:rPr>
      </w:pPr>
      <w:r w:rsidRPr="00D01AE8">
        <w:rPr>
          <w:b/>
          <w:highlight w:val="yellow"/>
        </w:rPr>
        <w:lastRenderedPageBreak/>
        <w:t>Cancer colorectal</w:t>
      </w:r>
    </w:p>
    <w:p w:rsidR="00D01AE8" w:rsidRDefault="00D01AE8" w:rsidP="0036676E">
      <w:pPr>
        <w:pStyle w:val="Sansinterligne"/>
        <w:numPr>
          <w:ilvl w:val="0"/>
          <w:numId w:val="1533"/>
        </w:numPr>
        <w:rPr>
          <w:highlight w:val="yellow"/>
        </w:rPr>
      </w:pPr>
      <w:r>
        <w:rPr>
          <w:highlight w:val="yellow"/>
        </w:rPr>
        <w:t xml:space="preserve">Faire le bilan d’extension (staging) TNM </w:t>
      </w:r>
    </w:p>
    <w:p w:rsidR="00D01AE8" w:rsidRPr="00D01AE8" w:rsidRDefault="00D01AE8" w:rsidP="0036676E">
      <w:pPr>
        <w:pStyle w:val="Sansinterligne"/>
        <w:numPr>
          <w:ilvl w:val="0"/>
          <w:numId w:val="1533"/>
        </w:numPr>
        <w:rPr>
          <w:highlight w:val="yellow"/>
        </w:rPr>
      </w:pPr>
      <w:r w:rsidRPr="00D01AE8">
        <w:rPr>
          <w:highlight w:val="yellow"/>
        </w:rPr>
        <w:t>Référence en chirurgie et en oncologie</w:t>
      </w:r>
    </w:p>
    <w:p w:rsidR="00D01AE8" w:rsidRPr="00D01AE8" w:rsidRDefault="00D01AE8" w:rsidP="0036676E">
      <w:pPr>
        <w:pStyle w:val="Sansinterligne"/>
        <w:numPr>
          <w:ilvl w:val="1"/>
          <w:numId w:val="1533"/>
        </w:numPr>
        <w:rPr>
          <w:highlight w:val="yellow"/>
        </w:rPr>
      </w:pPr>
      <w:r w:rsidRPr="00D01AE8">
        <w:rPr>
          <w:highlight w:val="yellow"/>
        </w:rPr>
        <w:t xml:space="preserve">Résection du côlon atteint et d’une marge de </w:t>
      </w:r>
      <w:r w:rsidRPr="00D01AE8">
        <w:rPr>
          <w:rFonts w:ascii="Century Gothic" w:hAnsi="Century Gothic"/>
          <w:highlight w:val="yellow"/>
        </w:rPr>
        <w:t>&gt;</w:t>
      </w:r>
      <w:r w:rsidRPr="00D01AE8">
        <w:rPr>
          <w:highlight w:val="yellow"/>
        </w:rPr>
        <w:t>5cm et drainage lymphatique</w:t>
      </w:r>
    </w:p>
    <w:p w:rsidR="00D01AE8" w:rsidRPr="00D01AE8" w:rsidRDefault="00D01AE8" w:rsidP="0036676E">
      <w:pPr>
        <w:pStyle w:val="Sansinterligne"/>
        <w:numPr>
          <w:ilvl w:val="1"/>
          <w:numId w:val="1533"/>
        </w:numPr>
        <w:rPr>
          <w:highlight w:val="yellow"/>
        </w:rPr>
      </w:pPr>
      <w:r w:rsidRPr="00D01AE8">
        <w:rPr>
          <w:highlight w:val="yellow"/>
        </w:rPr>
        <w:t>Résection de la zone du colon selon la vascularisation</w:t>
      </w:r>
    </w:p>
    <w:p w:rsidR="00D01AE8" w:rsidRPr="00D01AE8" w:rsidRDefault="00D01AE8" w:rsidP="0036676E">
      <w:pPr>
        <w:pStyle w:val="Sansinterligne"/>
        <w:numPr>
          <w:ilvl w:val="1"/>
          <w:numId w:val="1533"/>
        </w:numPr>
        <w:rPr>
          <w:highlight w:val="yellow"/>
        </w:rPr>
      </w:pPr>
      <w:r w:rsidRPr="00D01AE8">
        <w:rPr>
          <w:highlight w:val="yellow"/>
        </w:rPr>
        <w:t>Si marge impossible, colectomie totale et colostomie terminale permanente.</w:t>
      </w:r>
    </w:p>
    <w:p w:rsidR="00D01AE8" w:rsidRPr="00D01AE8" w:rsidRDefault="00D01AE8" w:rsidP="0036676E">
      <w:pPr>
        <w:pStyle w:val="Sansinterligne"/>
        <w:numPr>
          <w:ilvl w:val="1"/>
          <w:numId w:val="1533"/>
        </w:numPr>
        <w:rPr>
          <w:highlight w:val="yellow"/>
        </w:rPr>
      </w:pPr>
      <w:r w:rsidRPr="00D01AE8">
        <w:rPr>
          <w:highlight w:val="yellow"/>
        </w:rPr>
        <w:t>Chimiothérapie adjuvante pré et post-opératoire selon type de cancer</w:t>
      </w:r>
    </w:p>
    <w:p w:rsidR="00D01AE8" w:rsidRPr="00EC60C0" w:rsidRDefault="00D01AE8" w:rsidP="0036676E">
      <w:pPr>
        <w:pStyle w:val="Sansinterligne"/>
        <w:numPr>
          <w:ilvl w:val="0"/>
          <w:numId w:val="1533"/>
        </w:numPr>
        <w:rPr>
          <w:highlight w:val="yellow"/>
        </w:rPr>
      </w:pPr>
      <w:r w:rsidRPr="00D01AE8">
        <w:rPr>
          <w:highlight w:val="yellow"/>
        </w:rPr>
        <w:t>Suivi avec CEA, TDM et colonoscopie.</w:t>
      </w:r>
    </w:p>
    <w:p w:rsidR="00D01AE8" w:rsidRDefault="00D01AE8" w:rsidP="00E56594">
      <w:pPr>
        <w:pStyle w:val="Sansinterligne"/>
      </w:pPr>
    </w:p>
    <w:p w:rsidR="00364AD1" w:rsidRPr="006656B2" w:rsidRDefault="00364AD1" w:rsidP="00E56594">
      <w:pPr>
        <w:pStyle w:val="Sansinterligne"/>
        <w:rPr>
          <w:b/>
        </w:rPr>
      </w:pPr>
      <w:r w:rsidRPr="006656B2">
        <w:rPr>
          <w:b/>
        </w:rPr>
        <w:t>Grossesse</w:t>
      </w:r>
    </w:p>
    <w:p w:rsidR="00E82F88" w:rsidRPr="00E82F88" w:rsidRDefault="00E82F88" w:rsidP="0036676E">
      <w:pPr>
        <w:pStyle w:val="Sansinterligne"/>
        <w:numPr>
          <w:ilvl w:val="0"/>
          <w:numId w:val="1538"/>
        </w:numPr>
        <w:sectPr w:rsidR="00E82F88" w:rsidRPr="00E82F88" w:rsidSect="00E82F88">
          <w:type w:val="continuous"/>
          <w:pgSz w:w="12240" w:h="15840"/>
          <w:pgMar w:top="720" w:right="720" w:bottom="720" w:left="720" w:header="708" w:footer="708" w:gutter="0"/>
          <w:cols w:num="2" w:space="708"/>
          <w:titlePg/>
          <w:docGrid w:linePitch="360"/>
        </w:sectPr>
      </w:pPr>
      <w:r>
        <w:t>Référence pour suivi de grossesse en médecine familiale ou obstétrique selon le cas</w:t>
      </w:r>
    </w:p>
    <w:p w:rsidR="00EC60C0" w:rsidRDefault="00EC60C0" w:rsidP="004F6F0C">
      <w:pPr>
        <w:spacing w:after="0"/>
        <w:rPr>
          <w:rFonts w:cs="Times New Roman"/>
          <w:b/>
          <w:color w:val="548DD4" w:themeColor="text2" w:themeTint="99"/>
        </w:rPr>
      </w:pPr>
    </w:p>
    <w:p w:rsidR="00F84B6F" w:rsidRDefault="00F84B6F" w:rsidP="004F6F0C">
      <w:pPr>
        <w:spacing w:after="0"/>
        <w:rPr>
          <w:rFonts w:cs="Times New Roman"/>
          <w:b/>
          <w:color w:val="548DD4" w:themeColor="text2" w:themeTint="99"/>
        </w:rPr>
      </w:pPr>
      <w:r>
        <w:rPr>
          <w:rFonts w:cs="Times New Roman"/>
          <w:b/>
          <w:color w:val="548DD4" w:themeColor="text2" w:themeTint="99"/>
        </w:rPr>
        <w:lastRenderedPageBreak/>
        <w:t>CMC 2</w:t>
      </w:r>
    </w:p>
    <w:p w:rsidR="00F84B6F" w:rsidRPr="00F84B6F" w:rsidRDefault="00F84B6F" w:rsidP="00F84B6F">
      <w:pPr>
        <w:pStyle w:val="Titre3"/>
        <w:spacing w:before="0"/>
        <w:rPr>
          <w:rFonts w:ascii="Times New Roman" w:hAnsi="Times New Roman" w:cs="Times New Roman"/>
        </w:rPr>
      </w:pPr>
      <w:bookmarkStart w:id="3" w:name="_Toc480797262"/>
      <w:r w:rsidRPr="00F84B6F">
        <w:rPr>
          <w:rFonts w:ascii="Times New Roman" w:hAnsi="Times New Roman" w:cs="Times New Roman"/>
        </w:rPr>
        <w:t>Masse abdominale ou pelvienne</w:t>
      </w:r>
      <w:bookmarkEnd w:id="3"/>
    </w:p>
    <w:p w:rsidR="00F84B6F" w:rsidRDefault="00F84B6F" w:rsidP="004F6F0C">
      <w:pPr>
        <w:spacing w:after="0"/>
        <w:rPr>
          <w:rFonts w:cs="Times New Roman"/>
          <w:b/>
          <w:color w:val="548DD4" w:themeColor="text2" w:themeTint="99"/>
        </w:rPr>
      </w:pPr>
      <w:r>
        <w:rPr>
          <w:rFonts w:cs="Times New Roman"/>
          <w:b/>
          <w:noProof/>
          <w:color w:val="548DD4" w:themeColor="text2" w:themeTint="99"/>
          <w:lang w:eastAsia="fr-CA"/>
        </w:rPr>
        <mc:AlternateContent>
          <mc:Choice Requires="wps">
            <w:drawing>
              <wp:anchor distT="0" distB="0" distL="114300" distR="114300" simplePos="0" relativeHeight="252234752" behindDoc="0" locked="0" layoutInCell="1" allowOverlap="1">
                <wp:simplePos x="0" y="0"/>
                <wp:positionH relativeFrom="column">
                  <wp:posOffset>-77821</wp:posOffset>
                </wp:positionH>
                <wp:positionV relativeFrom="paragraph">
                  <wp:posOffset>124136</wp:posOffset>
                </wp:positionV>
                <wp:extent cx="7062281" cy="2762655"/>
                <wp:effectExtent l="0" t="0" r="24765" b="19050"/>
                <wp:wrapNone/>
                <wp:docPr id="689" name="Rectangle 689"/>
                <wp:cNvGraphicFramePr/>
                <a:graphic xmlns:a="http://schemas.openxmlformats.org/drawingml/2006/main">
                  <a:graphicData uri="http://schemas.microsoft.com/office/word/2010/wordprocessingShape">
                    <wps:wsp>
                      <wps:cNvSpPr/>
                      <wps:spPr>
                        <a:xfrm>
                          <a:off x="0" y="0"/>
                          <a:ext cx="7062281" cy="2762655"/>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689" o:spid="_x0000_s1026" style="position:absolute;margin-left:-6.15pt;margin-top:9.75pt;width:556.1pt;height:217.55pt;z-index:2522347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" filled="f" strokecolor="black [1600]" strokeweight="2pt"/>
            </w:pict>
          </mc:Fallback>
        </mc:AlternateContent>
      </w:r>
    </w:p>
    <w:tbl>
      <w:tblPr>
        <w:tblW w:w="3858" w:type="pct"/>
        <w:tblCellSpacing w:w="0" w:type="dxa"/>
        <w:tblCellMar>
          <w:left w:w="0" w:type="dxa"/>
          <w:right w:w="0" w:type="dxa"/>
        </w:tblCellMar>
        <w:tblLook w:val="04A0" w:firstRow="1" w:lastRow="0" w:firstColumn="1" w:lastColumn="0" w:noHBand="0" w:noVBand="1"/>
      </w:tblPr>
      <w:tblGrid>
        <w:gridCol w:w="8333"/>
      </w:tblGrid>
      <w:tr w:rsidR="00F84B6F" w:rsidRPr="00F84B6F" w:rsidTr="00F84B6F">
        <w:trPr>
          <w:tblCellSpacing w:w="0" w:type="dxa"/>
        </w:trPr>
        <w:tc>
          <w:tcPr>
            <w:tcW w:w="0" w:type="auto"/>
            <w:vAlign w:val="bottom"/>
            <w:hideMark/>
          </w:tcPr>
          <w:p w:rsidR="00F84B6F" w:rsidRPr="00F84B6F" w:rsidRDefault="00F84B6F" w:rsidP="00F84B6F">
            <w:pPr>
              <w:pStyle w:val="Sansinterligne"/>
              <w:rPr>
                <w:rFonts w:cs="Times New Roman"/>
                <w:b/>
                <w:sz w:val="18"/>
                <w:szCs w:val="18"/>
              </w:rPr>
            </w:pPr>
            <w:r w:rsidRPr="00F84B6F">
              <w:rPr>
                <w:rFonts w:cs="Times New Roman"/>
                <w:b/>
                <w:sz w:val="18"/>
                <w:szCs w:val="18"/>
              </w:rPr>
              <w:t>Objectifs principaux</w:t>
            </w:r>
          </w:p>
        </w:tc>
      </w:tr>
    </w:tbl>
    <w:p w:rsidR="00F84B6F" w:rsidRPr="00F84B6F" w:rsidRDefault="00F84B6F" w:rsidP="00F84B6F">
      <w:pPr>
        <w:pStyle w:val="NormalWeb"/>
        <w:ind w:left="360"/>
        <w:rPr>
          <w:color w:val="000000"/>
          <w:sz w:val="18"/>
          <w:szCs w:val="18"/>
          <w:shd w:val="clear" w:color="auto" w:fill="FFFFFF"/>
        </w:rPr>
      </w:pPr>
      <w:r w:rsidRPr="00F84B6F">
        <w:rPr>
          <w:color w:val="000000"/>
          <w:sz w:val="18"/>
          <w:szCs w:val="18"/>
          <w:shd w:val="clear" w:color="auto" w:fill="FFFFFF"/>
        </w:rPr>
        <w:t>Dans le cas d'un patient ayant une masse abdominale ou pelvienne, le candidat devra en diagnostiquer la cause, la gravité et les complications, et mettre en place un plan de prise en charge approprié. Il devra en particulier reconnaître les caractéristiques d'une masse qui nécessite une intervention immédiate.</w:t>
      </w:r>
    </w:p>
    <w:tbl>
      <w:tblPr>
        <w:tblW w:w="3897" w:type="pct"/>
        <w:tblCellSpacing w:w="0" w:type="dxa"/>
        <w:tblCellMar>
          <w:left w:w="0" w:type="dxa"/>
          <w:right w:w="0" w:type="dxa"/>
        </w:tblCellMar>
        <w:tblLook w:val="04A0" w:firstRow="1" w:lastRow="0" w:firstColumn="1" w:lastColumn="0" w:noHBand="0" w:noVBand="1"/>
      </w:tblPr>
      <w:tblGrid>
        <w:gridCol w:w="8418"/>
      </w:tblGrid>
      <w:tr w:rsidR="00F84B6F" w:rsidRPr="00F84B6F" w:rsidTr="00F84B6F">
        <w:trPr>
          <w:tblCellSpacing w:w="0" w:type="dxa"/>
        </w:trPr>
        <w:tc>
          <w:tcPr>
            <w:tcW w:w="0" w:type="auto"/>
            <w:vAlign w:val="bottom"/>
            <w:hideMark/>
          </w:tcPr>
          <w:p w:rsidR="00F84B6F" w:rsidRPr="00F84B6F" w:rsidRDefault="00F84B6F" w:rsidP="00F84B6F">
            <w:pPr>
              <w:pStyle w:val="Sansinterligne"/>
              <w:rPr>
                <w:rFonts w:cs="Times New Roman"/>
                <w:b/>
                <w:sz w:val="16"/>
                <w:szCs w:val="16"/>
              </w:rPr>
            </w:pPr>
            <w:r w:rsidRPr="00F84B6F">
              <w:rPr>
                <w:rFonts w:cs="Times New Roman"/>
                <w:b/>
                <w:sz w:val="16"/>
                <w:szCs w:val="16"/>
              </w:rPr>
              <w:t>Objectifs spécifiques</w:t>
            </w:r>
          </w:p>
        </w:tc>
      </w:tr>
    </w:tbl>
    <w:p w:rsidR="00F84B6F" w:rsidRPr="00F84B6F" w:rsidRDefault="00F84B6F" w:rsidP="00F84B6F">
      <w:pPr>
        <w:pStyle w:val="NormalWeb"/>
        <w:shd w:val="clear" w:color="auto" w:fill="FFFFFF"/>
        <w:ind w:left="360"/>
        <w:rPr>
          <w:color w:val="000000"/>
          <w:sz w:val="16"/>
          <w:szCs w:val="16"/>
          <w:shd w:val="clear" w:color="auto" w:fill="FFFFFF"/>
        </w:rPr>
      </w:pPr>
      <w:r w:rsidRPr="00F84B6F">
        <w:rPr>
          <w:color w:val="000000"/>
          <w:sz w:val="16"/>
          <w:szCs w:val="16"/>
          <w:shd w:val="clear" w:color="auto" w:fill="FFFFFF"/>
        </w:rPr>
        <w:t>Dans le cas d'un patient ayant une masse abdominale ou pelvienne, le candidat devra</w:t>
      </w:r>
    </w:p>
    <w:p w:rsidR="00F84B6F" w:rsidRPr="00F84B6F" w:rsidRDefault="00F84B6F" w:rsidP="00F84B6F">
      <w:pPr>
        <w:numPr>
          <w:ilvl w:val="0"/>
          <w:numId w:val="1539"/>
        </w:numPr>
        <w:shd w:val="clear" w:color="auto" w:fill="FFFFFF"/>
        <w:spacing w:before="100" w:beforeAutospacing="1" w:after="100" w:afterAutospacing="1" w:line="240" w:lineRule="auto"/>
        <w:rPr>
          <w:rFonts w:cs="Times New Roman"/>
          <w:color w:val="000000"/>
          <w:sz w:val="16"/>
          <w:szCs w:val="16"/>
          <w:shd w:val="clear" w:color="auto" w:fill="FFFFFF"/>
        </w:rPr>
      </w:pPr>
      <w:r w:rsidRPr="00F84B6F">
        <w:rPr>
          <w:rFonts w:cs="Times New Roman"/>
          <w:color w:val="000000"/>
          <w:sz w:val="16"/>
          <w:szCs w:val="16"/>
          <w:shd w:val="clear" w:color="auto" w:fill="FFFFFF"/>
        </w:rPr>
        <w:t>énumérer et interpréter les constatations cliniques cruciales, notamment :</w:t>
      </w:r>
    </w:p>
    <w:p w:rsidR="00F84B6F" w:rsidRPr="00F84B6F" w:rsidRDefault="00F84B6F" w:rsidP="00F84B6F">
      <w:pPr>
        <w:numPr>
          <w:ilvl w:val="1"/>
          <w:numId w:val="1539"/>
        </w:numPr>
        <w:shd w:val="clear" w:color="auto" w:fill="FFFFFF"/>
        <w:spacing w:before="100" w:beforeAutospacing="1" w:after="100" w:afterAutospacing="1" w:line="240" w:lineRule="auto"/>
        <w:rPr>
          <w:rFonts w:cs="Times New Roman"/>
          <w:color w:val="000000"/>
          <w:sz w:val="16"/>
          <w:szCs w:val="16"/>
          <w:shd w:val="clear" w:color="auto" w:fill="FFFFFF"/>
        </w:rPr>
      </w:pPr>
      <w:r w:rsidRPr="00F84B6F">
        <w:rPr>
          <w:rFonts w:cs="Times New Roman"/>
          <w:color w:val="000000"/>
          <w:sz w:val="16"/>
          <w:szCs w:val="16"/>
          <w:shd w:val="clear" w:color="auto" w:fill="FFFFFF"/>
        </w:rPr>
        <w:t>reconnaître les signes et les symptômes systémiques associés à la masse (p. ex. perte de poids, hypertension artérielle, irrégularité du cycle menstruel);</w:t>
      </w:r>
    </w:p>
    <w:p w:rsidR="00F84B6F" w:rsidRPr="00F84B6F" w:rsidRDefault="00F84B6F" w:rsidP="00F84B6F">
      <w:pPr>
        <w:numPr>
          <w:ilvl w:val="1"/>
          <w:numId w:val="1539"/>
        </w:numPr>
        <w:shd w:val="clear" w:color="auto" w:fill="FFFFFF"/>
        <w:spacing w:before="100" w:beforeAutospacing="1" w:after="100" w:afterAutospacing="1" w:line="240" w:lineRule="auto"/>
        <w:rPr>
          <w:rFonts w:cs="Times New Roman"/>
          <w:color w:val="000000"/>
          <w:sz w:val="16"/>
          <w:szCs w:val="16"/>
          <w:shd w:val="clear" w:color="auto" w:fill="FFFFFF"/>
        </w:rPr>
      </w:pPr>
      <w:r w:rsidRPr="00F84B6F">
        <w:rPr>
          <w:rFonts w:cs="Times New Roman"/>
          <w:color w:val="000000"/>
          <w:sz w:val="16"/>
          <w:szCs w:val="16"/>
          <w:shd w:val="clear" w:color="auto" w:fill="FFFFFF"/>
        </w:rPr>
        <w:t>faire un examen physique approprié visant à déterminer la cause probable de la masse;</w:t>
      </w:r>
    </w:p>
    <w:p w:rsidR="00F84B6F" w:rsidRPr="00F84B6F" w:rsidRDefault="00F84B6F" w:rsidP="00F84B6F">
      <w:pPr>
        <w:numPr>
          <w:ilvl w:val="0"/>
          <w:numId w:val="1539"/>
        </w:numPr>
        <w:shd w:val="clear" w:color="auto" w:fill="FFFFFF"/>
        <w:spacing w:before="100" w:beforeAutospacing="1" w:after="100" w:afterAutospacing="1" w:line="240" w:lineRule="auto"/>
        <w:rPr>
          <w:rFonts w:cs="Times New Roman"/>
          <w:color w:val="000000"/>
          <w:sz w:val="16"/>
          <w:szCs w:val="16"/>
          <w:shd w:val="clear" w:color="auto" w:fill="FFFFFF"/>
        </w:rPr>
      </w:pPr>
      <w:r w:rsidRPr="00F84B6F">
        <w:rPr>
          <w:rFonts w:cs="Times New Roman"/>
          <w:color w:val="000000"/>
          <w:sz w:val="16"/>
          <w:szCs w:val="16"/>
          <w:shd w:val="clear" w:color="auto" w:fill="FFFFFF"/>
        </w:rPr>
        <w:t>énumérer et interpréter les examens essentiels, notamment :</w:t>
      </w:r>
    </w:p>
    <w:p w:rsidR="00F84B6F" w:rsidRPr="00F84B6F" w:rsidRDefault="00F84B6F" w:rsidP="00F84B6F">
      <w:pPr>
        <w:numPr>
          <w:ilvl w:val="1"/>
          <w:numId w:val="1539"/>
        </w:numPr>
        <w:shd w:val="clear" w:color="auto" w:fill="FFFFFF"/>
        <w:spacing w:before="100" w:beforeAutospacing="1" w:after="100" w:afterAutospacing="1" w:line="240" w:lineRule="auto"/>
        <w:rPr>
          <w:rFonts w:cs="Times New Roman"/>
          <w:color w:val="000000"/>
          <w:sz w:val="16"/>
          <w:szCs w:val="16"/>
          <w:shd w:val="clear" w:color="auto" w:fill="FFFFFF"/>
        </w:rPr>
      </w:pPr>
      <w:r w:rsidRPr="00F84B6F">
        <w:rPr>
          <w:rFonts w:cs="Times New Roman"/>
          <w:color w:val="000000"/>
          <w:sz w:val="16"/>
          <w:szCs w:val="16"/>
          <w:shd w:val="clear" w:color="auto" w:fill="FFFFFF"/>
        </w:rPr>
        <w:t>les analyses de laboratoire et les examens d'imagerie (p. ex. échographie, tomodensitométrie de l'abdomen ou du pelvis, marqueurs tumoraux);</w:t>
      </w:r>
    </w:p>
    <w:p w:rsidR="00F84B6F" w:rsidRPr="00F84B6F" w:rsidRDefault="00F84B6F" w:rsidP="00F84B6F">
      <w:pPr>
        <w:numPr>
          <w:ilvl w:val="0"/>
          <w:numId w:val="1539"/>
        </w:numPr>
        <w:shd w:val="clear" w:color="auto" w:fill="FFFFFF"/>
        <w:spacing w:before="100" w:beforeAutospacing="1" w:after="100" w:afterAutospacing="1" w:line="240" w:lineRule="auto"/>
        <w:rPr>
          <w:rFonts w:cs="Times New Roman"/>
          <w:color w:val="000000"/>
          <w:sz w:val="16"/>
          <w:szCs w:val="16"/>
          <w:shd w:val="clear" w:color="auto" w:fill="FFFFFF"/>
        </w:rPr>
      </w:pPr>
      <w:r w:rsidRPr="00F84B6F">
        <w:rPr>
          <w:rFonts w:cs="Times New Roman"/>
          <w:color w:val="000000"/>
          <w:sz w:val="16"/>
          <w:szCs w:val="16"/>
          <w:shd w:val="clear" w:color="auto" w:fill="FFFFFF"/>
        </w:rPr>
        <w:t>élaborer un plan efficace de prise en charge initiale, notamment :</w:t>
      </w:r>
    </w:p>
    <w:p w:rsidR="00F84B6F" w:rsidRPr="00F84B6F" w:rsidRDefault="00F84B6F" w:rsidP="00F84B6F">
      <w:pPr>
        <w:numPr>
          <w:ilvl w:val="1"/>
          <w:numId w:val="1539"/>
        </w:numPr>
        <w:shd w:val="clear" w:color="auto" w:fill="FFFFFF"/>
        <w:spacing w:before="100" w:beforeAutospacing="1" w:after="100" w:afterAutospacing="1" w:line="240" w:lineRule="auto"/>
        <w:rPr>
          <w:rFonts w:cs="Times New Roman"/>
          <w:color w:val="000000"/>
          <w:sz w:val="16"/>
          <w:szCs w:val="16"/>
          <w:shd w:val="clear" w:color="auto" w:fill="FFFFFF"/>
        </w:rPr>
      </w:pPr>
      <w:r w:rsidRPr="00F84B6F">
        <w:rPr>
          <w:rFonts w:cs="Times New Roman"/>
          <w:color w:val="000000"/>
          <w:sz w:val="16"/>
          <w:szCs w:val="16"/>
          <w:shd w:val="clear" w:color="auto" w:fill="FFFFFF"/>
        </w:rPr>
        <w:t>déterminer si le patient a besoin d'une intervention immédiate ou d'être dirigé vers des soins spécialisés (p. ex. en cas d'anévrisme de l'aorte abdominale);</w:t>
      </w:r>
    </w:p>
    <w:p w:rsidR="00F84B6F" w:rsidRPr="00F84B6F" w:rsidRDefault="00F84B6F" w:rsidP="00F84B6F">
      <w:pPr>
        <w:numPr>
          <w:ilvl w:val="1"/>
          <w:numId w:val="1539"/>
        </w:numPr>
        <w:shd w:val="clear" w:color="auto" w:fill="FFFFFF"/>
        <w:spacing w:before="100" w:beforeAutospacing="1" w:after="100" w:afterAutospacing="1" w:line="240" w:lineRule="auto"/>
        <w:rPr>
          <w:rFonts w:cs="Times New Roman"/>
          <w:color w:val="000000"/>
          <w:sz w:val="16"/>
          <w:szCs w:val="16"/>
          <w:shd w:val="clear" w:color="auto" w:fill="FFFFFF"/>
        </w:rPr>
      </w:pPr>
      <w:r w:rsidRPr="00F84B6F">
        <w:rPr>
          <w:rFonts w:cs="Times New Roman"/>
          <w:color w:val="000000"/>
          <w:sz w:val="16"/>
          <w:szCs w:val="16"/>
          <w:shd w:val="clear" w:color="auto" w:fill="FFFFFF"/>
        </w:rPr>
        <w:t>déterminer si le patient a besoin d'un suivi itératif (p. ex. kyste du rein).</w:t>
      </w:r>
    </w:p>
    <w:p w:rsidR="00F84B6F" w:rsidRDefault="00B121E5" w:rsidP="00B121E5">
      <w:pPr>
        <w:pStyle w:val="Sansinterligne"/>
        <w:rPr>
          <w:b/>
          <w:sz w:val="28"/>
          <w:szCs w:val="28"/>
        </w:rPr>
      </w:pPr>
      <w:r w:rsidRPr="00B121E5">
        <w:rPr>
          <w:b/>
          <w:sz w:val="28"/>
          <w:szCs w:val="28"/>
        </w:rPr>
        <w:t>Diagnostics</w:t>
      </w:r>
    </w:p>
    <w:p w:rsidR="00B121E5" w:rsidRPr="00B121E5" w:rsidRDefault="00B121E5" w:rsidP="00B121E5">
      <w:pPr>
        <w:pStyle w:val="Sansinterligne"/>
        <w:rPr>
          <w:b/>
          <w:sz w:val="16"/>
          <w:szCs w:val="16"/>
        </w:rPr>
      </w:pPr>
    </w:p>
    <w:tbl>
      <w:tblPr>
        <w:tblStyle w:val="Grilledutableau"/>
        <w:tblW w:w="0" w:type="auto"/>
        <w:tblLook w:val="04A0" w:firstRow="1" w:lastRow="0" w:firstColumn="1" w:lastColumn="0" w:noHBand="0" w:noVBand="1"/>
      </w:tblPr>
      <w:tblGrid>
        <w:gridCol w:w="2235"/>
        <w:gridCol w:w="2126"/>
        <w:gridCol w:w="588"/>
        <w:gridCol w:w="2714"/>
        <w:gridCol w:w="3353"/>
      </w:tblGrid>
      <w:tr w:rsidR="00CD2E26" w:rsidRPr="00CD2E26" w:rsidTr="00CD2E26">
        <w:tc>
          <w:tcPr>
            <w:tcW w:w="2235" w:type="dxa"/>
            <w:shd w:val="clear" w:color="auto" w:fill="4F81BD" w:themeFill="accent1"/>
          </w:tcPr>
          <w:p w:rsidR="00CD2E26" w:rsidRPr="00CD2E26" w:rsidRDefault="00CD2E26" w:rsidP="00CD2E26">
            <w:pPr>
              <w:pStyle w:val="Sansinterligne"/>
              <w:jc w:val="center"/>
              <w:rPr>
                <w:i/>
                <w:lang w:eastAsia="fr-CA"/>
              </w:rPr>
            </w:pPr>
            <w:r w:rsidRPr="00CD2E26">
              <w:rPr>
                <w:i/>
                <w:lang w:eastAsia="fr-CA"/>
              </w:rPr>
              <w:t>Diagnostics</w:t>
            </w:r>
          </w:p>
        </w:tc>
        <w:tc>
          <w:tcPr>
            <w:tcW w:w="5428" w:type="dxa"/>
            <w:gridSpan w:val="3"/>
            <w:shd w:val="clear" w:color="auto" w:fill="4F81BD" w:themeFill="accent1"/>
          </w:tcPr>
          <w:p w:rsidR="00CD2E26" w:rsidRPr="00CD2E26" w:rsidRDefault="00CD2E26" w:rsidP="00CD2E26">
            <w:pPr>
              <w:pStyle w:val="Sansinterligne"/>
              <w:jc w:val="center"/>
              <w:rPr>
                <w:i/>
                <w:lang w:eastAsia="fr-CA"/>
              </w:rPr>
            </w:pPr>
            <w:r w:rsidRPr="00CD2E26">
              <w:rPr>
                <w:i/>
                <w:lang w:eastAsia="fr-CA"/>
              </w:rPr>
              <w:t>Manifestations cliniques</w:t>
            </w:r>
          </w:p>
        </w:tc>
        <w:tc>
          <w:tcPr>
            <w:tcW w:w="3353" w:type="dxa"/>
            <w:shd w:val="clear" w:color="auto" w:fill="4F81BD" w:themeFill="accent1"/>
          </w:tcPr>
          <w:p w:rsidR="00CD2E26" w:rsidRPr="00CD2E26" w:rsidRDefault="00CD2E26" w:rsidP="00CD2E26">
            <w:pPr>
              <w:pStyle w:val="Sansinterligne"/>
              <w:jc w:val="center"/>
              <w:rPr>
                <w:i/>
                <w:lang w:eastAsia="fr-CA"/>
              </w:rPr>
            </w:pPr>
            <w:r w:rsidRPr="00CD2E26">
              <w:rPr>
                <w:i/>
                <w:lang w:eastAsia="fr-CA"/>
              </w:rPr>
              <w:t>Investigations nécessaires</w:t>
            </w:r>
          </w:p>
        </w:tc>
      </w:tr>
      <w:tr w:rsidR="00CD2E26" w:rsidRPr="00CD2E26" w:rsidTr="00F21EAC">
        <w:tc>
          <w:tcPr>
            <w:tcW w:w="2235" w:type="dxa"/>
            <w:shd w:val="clear" w:color="auto" w:fill="95B3D7" w:themeFill="accent1" w:themeFillTint="99"/>
            <w:vAlign w:val="center"/>
          </w:tcPr>
          <w:p w:rsidR="00CD2E26" w:rsidRPr="00CD2E26" w:rsidRDefault="00CD2E26" w:rsidP="009535CF">
            <w:pPr>
              <w:pStyle w:val="Sansinterligne"/>
              <w:jc w:val="center"/>
              <w:rPr>
                <w:lang w:eastAsia="fr-CA"/>
              </w:rPr>
            </w:pPr>
            <w:r w:rsidRPr="00CD2E26">
              <w:rPr>
                <w:lang w:eastAsia="fr-CA"/>
              </w:rPr>
              <w:t>Hépatomégalie</w:t>
            </w:r>
          </w:p>
        </w:tc>
        <w:tc>
          <w:tcPr>
            <w:tcW w:w="5428" w:type="dxa"/>
            <w:gridSpan w:val="3"/>
          </w:tcPr>
          <w:p w:rsidR="00CD2E26" w:rsidRPr="00CD2E26" w:rsidRDefault="00CD2E26" w:rsidP="00B121E5">
            <w:pPr>
              <w:pStyle w:val="Sansinterligne"/>
              <w:rPr>
                <w:lang w:eastAsia="fr-CA"/>
              </w:rPr>
            </w:pPr>
            <w:r w:rsidRPr="00CD2E26">
              <w:rPr>
                <w:lang w:eastAsia="fr-CA"/>
              </w:rPr>
              <w:t xml:space="preserve">Voir </w:t>
            </w:r>
            <w:r w:rsidRPr="00CD2E26">
              <w:rPr>
                <w:i/>
                <w:lang w:eastAsia="fr-CA"/>
              </w:rPr>
              <w:t>Hépatomégalie CMC 2-2</w:t>
            </w:r>
          </w:p>
        </w:tc>
        <w:tc>
          <w:tcPr>
            <w:tcW w:w="3353" w:type="dxa"/>
            <w:shd w:val="clear" w:color="auto" w:fill="000000" w:themeFill="text1"/>
          </w:tcPr>
          <w:p w:rsidR="00CD2E26" w:rsidRPr="00CD2E26" w:rsidRDefault="00CD2E26" w:rsidP="00B121E5">
            <w:pPr>
              <w:pStyle w:val="Sansinterligne"/>
              <w:rPr>
                <w:lang w:eastAsia="fr-CA"/>
              </w:rPr>
            </w:pPr>
          </w:p>
        </w:tc>
      </w:tr>
      <w:tr w:rsidR="00CD2E26" w:rsidRPr="00CD2E26" w:rsidTr="00F21EAC">
        <w:tc>
          <w:tcPr>
            <w:tcW w:w="2235" w:type="dxa"/>
            <w:shd w:val="clear" w:color="auto" w:fill="95B3D7" w:themeFill="accent1" w:themeFillTint="99"/>
            <w:vAlign w:val="center"/>
          </w:tcPr>
          <w:p w:rsidR="00CD2E26" w:rsidRPr="00CD2E26" w:rsidRDefault="00CD2E26" w:rsidP="009535CF">
            <w:pPr>
              <w:pStyle w:val="Sansinterligne"/>
              <w:jc w:val="center"/>
              <w:rPr>
                <w:lang w:eastAsia="fr-CA"/>
              </w:rPr>
            </w:pPr>
            <w:bookmarkStart w:id="4" w:name="%C3%89tiologie1.2"/>
            <w:r w:rsidRPr="00CD2E26">
              <w:rPr>
                <w:lang w:eastAsia="fr-CA"/>
              </w:rPr>
              <w:t>Splénomégalie</w:t>
            </w:r>
          </w:p>
        </w:tc>
        <w:tc>
          <w:tcPr>
            <w:tcW w:w="5428" w:type="dxa"/>
            <w:gridSpan w:val="3"/>
          </w:tcPr>
          <w:p w:rsidR="00CD2E26" w:rsidRPr="00CD2E26" w:rsidRDefault="00CD2E26" w:rsidP="00B121E5">
            <w:pPr>
              <w:pStyle w:val="Sansinterligne"/>
              <w:rPr>
                <w:lang w:eastAsia="fr-CA"/>
              </w:rPr>
            </w:pPr>
            <w:r w:rsidRPr="00CD2E26">
              <w:rPr>
                <w:lang w:eastAsia="fr-CA"/>
              </w:rPr>
              <w:t>Voir</w:t>
            </w:r>
            <w:r>
              <w:rPr>
                <w:lang w:eastAsia="fr-CA"/>
              </w:rPr>
              <w:t xml:space="preserve"> </w:t>
            </w:r>
            <w:r w:rsidRPr="00CD2E26">
              <w:rPr>
                <w:i/>
                <w:lang w:eastAsia="fr-CA"/>
              </w:rPr>
              <w:t>Splénomégalie CMC 2-3</w:t>
            </w:r>
          </w:p>
        </w:tc>
        <w:tc>
          <w:tcPr>
            <w:tcW w:w="3353" w:type="dxa"/>
            <w:shd w:val="clear" w:color="auto" w:fill="000000" w:themeFill="text1"/>
          </w:tcPr>
          <w:p w:rsidR="00CD2E26" w:rsidRPr="00CD2E26" w:rsidRDefault="00CD2E26" w:rsidP="00B121E5">
            <w:pPr>
              <w:pStyle w:val="Sansinterligne"/>
              <w:rPr>
                <w:lang w:eastAsia="fr-CA"/>
              </w:rPr>
            </w:pPr>
          </w:p>
        </w:tc>
      </w:tr>
      <w:bookmarkEnd w:id="4"/>
      <w:tr w:rsidR="00F764FF" w:rsidRPr="00CD2E26" w:rsidTr="00E53AF0">
        <w:tc>
          <w:tcPr>
            <w:tcW w:w="2235" w:type="dxa"/>
            <w:shd w:val="clear" w:color="auto" w:fill="95B3D7" w:themeFill="accent1" w:themeFillTint="99"/>
            <w:vAlign w:val="center"/>
          </w:tcPr>
          <w:p w:rsidR="00F764FF" w:rsidRPr="00CD2E26" w:rsidRDefault="00F764FF" w:rsidP="009535CF">
            <w:pPr>
              <w:pStyle w:val="Sansinterligne"/>
              <w:jc w:val="center"/>
              <w:rPr>
                <w:lang w:eastAsia="fr-CA"/>
              </w:rPr>
            </w:pPr>
            <w:r w:rsidRPr="00CD2E26">
              <w:rPr>
                <w:lang w:eastAsia="fr-CA"/>
              </w:rPr>
              <w:t>Kystes rénaux</w:t>
            </w:r>
          </w:p>
        </w:tc>
        <w:tc>
          <w:tcPr>
            <w:tcW w:w="2126" w:type="dxa"/>
            <w:tcBorders>
              <w:right w:val="single" w:sz="4" w:space="0" w:color="FFFFFF" w:themeColor="background1"/>
            </w:tcBorders>
          </w:tcPr>
          <w:p w:rsidR="00F764FF" w:rsidRPr="00F764FF" w:rsidRDefault="00F764FF" w:rsidP="00B121E5">
            <w:pPr>
              <w:pStyle w:val="Sansinterligne"/>
              <w:rPr>
                <w:u w:val="single"/>
                <w:lang w:eastAsia="fr-CA"/>
              </w:rPr>
            </w:pPr>
            <w:r w:rsidRPr="00F764FF">
              <w:rPr>
                <w:u w:val="single"/>
                <w:lang w:eastAsia="fr-CA"/>
              </w:rPr>
              <w:t>Kyste</w:t>
            </w:r>
            <w:r>
              <w:rPr>
                <w:u w:val="single"/>
                <w:lang w:eastAsia="fr-CA"/>
              </w:rPr>
              <w:t>s</w:t>
            </w:r>
            <w:r w:rsidRPr="00F764FF">
              <w:rPr>
                <w:u w:val="single"/>
                <w:lang w:eastAsia="fr-CA"/>
              </w:rPr>
              <w:t xml:space="preserve"> simple</w:t>
            </w:r>
            <w:r>
              <w:rPr>
                <w:u w:val="single"/>
                <w:lang w:eastAsia="fr-CA"/>
              </w:rPr>
              <w:t>s</w:t>
            </w:r>
          </w:p>
          <w:p w:rsidR="00F764FF" w:rsidRDefault="00F764FF" w:rsidP="00F21EAC">
            <w:pPr>
              <w:pStyle w:val="Sansinterligne"/>
              <w:numPr>
                <w:ilvl w:val="0"/>
                <w:numId w:val="1615"/>
              </w:numPr>
              <w:rPr>
                <w:lang w:eastAsia="fr-CA"/>
              </w:rPr>
            </w:pPr>
            <w:r>
              <w:rPr>
                <w:lang w:eastAsia="fr-CA"/>
              </w:rPr>
              <w:t>Solitaires</w:t>
            </w:r>
          </w:p>
          <w:p w:rsidR="00F764FF" w:rsidRDefault="00F764FF" w:rsidP="00F21EAC">
            <w:pPr>
              <w:pStyle w:val="Sansinterligne"/>
              <w:numPr>
                <w:ilvl w:val="0"/>
                <w:numId w:val="1615"/>
              </w:numPr>
              <w:rPr>
                <w:lang w:eastAsia="fr-CA"/>
              </w:rPr>
            </w:pPr>
            <w:r>
              <w:rPr>
                <w:lang w:eastAsia="fr-CA"/>
              </w:rPr>
              <w:t>Unilatéraux</w:t>
            </w:r>
          </w:p>
          <w:p w:rsidR="00F764FF" w:rsidRDefault="00F764FF" w:rsidP="00F21EAC">
            <w:pPr>
              <w:pStyle w:val="Sansinterligne"/>
              <w:numPr>
                <w:ilvl w:val="0"/>
                <w:numId w:val="1615"/>
              </w:numPr>
              <w:rPr>
                <w:lang w:eastAsia="fr-CA"/>
              </w:rPr>
            </w:pPr>
            <w:r>
              <w:rPr>
                <w:lang w:eastAsia="fr-CA"/>
              </w:rPr>
              <w:t>Très fréquents</w:t>
            </w:r>
          </w:p>
        </w:tc>
        <w:tc>
          <w:tcPr>
            <w:tcW w:w="3302" w:type="dxa"/>
            <w:gridSpan w:val="2"/>
            <w:tcBorders>
              <w:left w:val="single" w:sz="4" w:space="0" w:color="FFFFFF" w:themeColor="background1"/>
            </w:tcBorders>
          </w:tcPr>
          <w:p w:rsidR="00F764FF" w:rsidRPr="00F764FF" w:rsidRDefault="00F764FF" w:rsidP="00B121E5">
            <w:pPr>
              <w:pStyle w:val="Sansinterligne"/>
              <w:rPr>
                <w:u w:val="single"/>
                <w:lang w:eastAsia="fr-CA"/>
              </w:rPr>
            </w:pPr>
            <w:r>
              <w:rPr>
                <w:u w:val="single"/>
                <w:lang w:eastAsia="fr-CA"/>
              </w:rPr>
              <w:t>Maladie polykystique du rein</w:t>
            </w:r>
          </w:p>
          <w:p w:rsidR="00F764FF" w:rsidRDefault="00F764FF" w:rsidP="00F21EAC">
            <w:pPr>
              <w:pStyle w:val="Sansinterligne"/>
              <w:numPr>
                <w:ilvl w:val="0"/>
                <w:numId w:val="1616"/>
              </w:numPr>
              <w:rPr>
                <w:lang w:eastAsia="fr-CA"/>
              </w:rPr>
            </w:pPr>
            <w:r>
              <w:rPr>
                <w:lang w:eastAsia="fr-CA"/>
              </w:rPr>
              <w:t>Multiples kystes</w:t>
            </w:r>
          </w:p>
          <w:p w:rsidR="00F764FF" w:rsidRDefault="00F764FF" w:rsidP="00F21EAC">
            <w:pPr>
              <w:pStyle w:val="Sansinterligne"/>
              <w:numPr>
                <w:ilvl w:val="0"/>
                <w:numId w:val="1616"/>
              </w:numPr>
              <w:rPr>
                <w:lang w:eastAsia="fr-CA"/>
              </w:rPr>
            </w:pPr>
            <w:r>
              <w:rPr>
                <w:lang w:eastAsia="fr-CA"/>
              </w:rPr>
              <w:t>Bilatéraux</w:t>
            </w:r>
          </w:p>
          <w:p w:rsidR="00F764FF" w:rsidRPr="00CD2E26" w:rsidRDefault="00F764FF" w:rsidP="00F21EAC">
            <w:pPr>
              <w:pStyle w:val="Sansinterligne"/>
              <w:numPr>
                <w:ilvl w:val="0"/>
                <w:numId w:val="1616"/>
              </w:numPr>
              <w:rPr>
                <w:lang w:eastAsia="fr-CA"/>
              </w:rPr>
            </w:pPr>
            <w:r>
              <w:rPr>
                <w:lang w:eastAsia="fr-CA"/>
              </w:rPr>
              <w:t>Progression avec HTA et IRA</w:t>
            </w:r>
          </w:p>
        </w:tc>
        <w:tc>
          <w:tcPr>
            <w:tcW w:w="3353" w:type="dxa"/>
          </w:tcPr>
          <w:p w:rsidR="00F764FF" w:rsidRDefault="00F764FF" w:rsidP="00F21EAC">
            <w:pPr>
              <w:pStyle w:val="Sansinterligne"/>
              <w:numPr>
                <w:ilvl w:val="0"/>
                <w:numId w:val="1621"/>
              </w:numPr>
              <w:rPr>
                <w:lang w:eastAsia="fr-CA"/>
              </w:rPr>
            </w:pPr>
            <w:r>
              <w:rPr>
                <w:lang w:eastAsia="fr-CA"/>
              </w:rPr>
              <w:t>Échographie rénale</w:t>
            </w:r>
          </w:p>
          <w:p w:rsidR="00F764FF" w:rsidRPr="00CD2E26" w:rsidRDefault="00F764FF" w:rsidP="00F21EAC">
            <w:pPr>
              <w:pStyle w:val="Sansinterligne"/>
              <w:numPr>
                <w:ilvl w:val="0"/>
                <w:numId w:val="1621"/>
              </w:numPr>
              <w:rPr>
                <w:lang w:eastAsia="fr-CA"/>
              </w:rPr>
            </w:pPr>
            <w:r>
              <w:rPr>
                <w:lang w:eastAsia="fr-CA"/>
              </w:rPr>
              <w:t xml:space="preserve">Suivi échographique </w:t>
            </w:r>
            <w:r w:rsidR="009535CF">
              <w:rPr>
                <w:lang w:eastAsia="fr-CA"/>
              </w:rPr>
              <w:t>à 6 mois si kyste</w:t>
            </w:r>
            <w:r>
              <w:rPr>
                <w:lang w:eastAsia="fr-CA"/>
              </w:rPr>
              <w:t xml:space="preserve"> </w:t>
            </w:r>
            <w:r w:rsidR="009535CF">
              <w:rPr>
                <w:lang w:eastAsia="fr-CA"/>
              </w:rPr>
              <w:t>atypique (septé</w:t>
            </w:r>
            <w:r>
              <w:rPr>
                <w:lang w:eastAsia="fr-CA"/>
              </w:rPr>
              <w:t>, irréguliers)</w:t>
            </w:r>
          </w:p>
        </w:tc>
      </w:tr>
      <w:tr w:rsidR="00CD2E26" w:rsidRPr="00CD2E26" w:rsidTr="009535CF">
        <w:tc>
          <w:tcPr>
            <w:tcW w:w="2235" w:type="dxa"/>
            <w:shd w:val="clear" w:color="auto" w:fill="95B3D7" w:themeFill="accent1" w:themeFillTint="99"/>
            <w:vAlign w:val="center"/>
          </w:tcPr>
          <w:p w:rsidR="00CD2E26" w:rsidRPr="00CD2E26" w:rsidRDefault="00CD2E26" w:rsidP="009535CF">
            <w:pPr>
              <w:pStyle w:val="Sansinterligne"/>
              <w:jc w:val="center"/>
              <w:rPr>
                <w:lang w:eastAsia="fr-CA"/>
              </w:rPr>
            </w:pPr>
            <w:r w:rsidRPr="00CD2E26">
              <w:rPr>
                <w:lang w:eastAsia="fr-CA"/>
              </w:rPr>
              <w:t>Hydronéphrose</w:t>
            </w:r>
          </w:p>
        </w:tc>
        <w:tc>
          <w:tcPr>
            <w:tcW w:w="5428" w:type="dxa"/>
            <w:gridSpan w:val="3"/>
          </w:tcPr>
          <w:p w:rsidR="00CD2E26" w:rsidRDefault="0059500E" w:rsidP="00B121E5">
            <w:pPr>
              <w:pStyle w:val="Sansinterligne"/>
              <w:rPr>
                <w:lang w:eastAsia="fr-CA"/>
              </w:rPr>
            </w:pPr>
            <w:r>
              <w:rPr>
                <w:lang w:eastAsia="fr-CA"/>
              </w:rPr>
              <w:t>Selon étiologie</w:t>
            </w:r>
          </w:p>
          <w:p w:rsidR="0059500E" w:rsidRPr="00CD2E26" w:rsidRDefault="0059500E" w:rsidP="00B121E5">
            <w:pPr>
              <w:pStyle w:val="Sansinterligne"/>
              <w:rPr>
                <w:lang w:eastAsia="fr-CA"/>
              </w:rPr>
            </w:pPr>
            <w:r>
              <w:rPr>
                <w:lang w:eastAsia="fr-CA"/>
              </w:rPr>
              <w:t>Peut-être congénitale ou acquise</w:t>
            </w:r>
          </w:p>
        </w:tc>
        <w:tc>
          <w:tcPr>
            <w:tcW w:w="3353" w:type="dxa"/>
          </w:tcPr>
          <w:p w:rsidR="00CD2E26" w:rsidRDefault="00A42753" w:rsidP="00F21EAC">
            <w:pPr>
              <w:pStyle w:val="Sansinterligne"/>
              <w:numPr>
                <w:ilvl w:val="0"/>
                <w:numId w:val="1621"/>
              </w:numPr>
              <w:rPr>
                <w:lang w:eastAsia="fr-CA"/>
              </w:rPr>
            </w:pPr>
            <w:r>
              <w:rPr>
                <w:lang w:eastAsia="fr-CA"/>
              </w:rPr>
              <w:t>Échographie rénale</w:t>
            </w:r>
          </w:p>
          <w:p w:rsidR="00A42753" w:rsidRPr="00CD2E26" w:rsidRDefault="00A42753" w:rsidP="00F21EAC">
            <w:pPr>
              <w:pStyle w:val="Sansinterligne"/>
              <w:numPr>
                <w:ilvl w:val="0"/>
                <w:numId w:val="1621"/>
              </w:numPr>
              <w:rPr>
                <w:lang w:eastAsia="fr-CA"/>
              </w:rPr>
            </w:pPr>
            <w:r>
              <w:rPr>
                <w:lang w:eastAsia="fr-CA"/>
              </w:rPr>
              <w:t>FSC, Créatinine, ions, SMU</w:t>
            </w:r>
          </w:p>
        </w:tc>
      </w:tr>
      <w:tr w:rsidR="00F764FF" w:rsidRPr="00CD2E26" w:rsidTr="00E53AF0">
        <w:tc>
          <w:tcPr>
            <w:tcW w:w="2235" w:type="dxa"/>
            <w:shd w:val="clear" w:color="auto" w:fill="95B3D7" w:themeFill="accent1" w:themeFillTint="99"/>
            <w:vAlign w:val="center"/>
          </w:tcPr>
          <w:p w:rsidR="00F764FF" w:rsidRPr="0049384E" w:rsidRDefault="00F764FF" w:rsidP="009535CF">
            <w:pPr>
              <w:pStyle w:val="Sansinterligne"/>
              <w:jc w:val="center"/>
              <w:rPr>
                <w:b/>
                <w:lang w:eastAsia="fr-CA"/>
              </w:rPr>
            </w:pPr>
            <w:r w:rsidRPr="0049384E">
              <w:rPr>
                <w:b/>
                <w:lang w:eastAsia="fr-CA"/>
              </w:rPr>
              <w:t>Carcinome rénal</w:t>
            </w:r>
          </w:p>
        </w:tc>
        <w:tc>
          <w:tcPr>
            <w:tcW w:w="2714" w:type="dxa"/>
            <w:gridSpan w:val="2"/>
            <w:tcBorders>
              <w:right w:val="single" w:sz="4" w:space="0" w:color="FFFF00"/>
            </w:tcBorders>
            <w:shd w:val="clear" w:color="auto" w:fill="FFFF00"/>
          </w:tcPr>
          <w:p w:rsidR="00F764FF" w:rsidRPr="0049384E" w:rsidRDefault="00F764FF" w:rsidP="00F21EAC">
            <w:pPr>
              <w:pStyle w:val="Sansinterligne"/>
              <w:numPr>
                <w:ilvl w:val="0"/>
                <w:numId w:val="1617"/>
              </w:numPr>
              <w:rPr>
                <w:b/>
                <w:lang w:eastAsia="fr-CA"/>
              </w:rPr>
            </w:pPr>
            <w:r w:rsidRPr="0049384E">
              <w:rPr>
                <w:b/>
                <w:lang w:eastAsia="fr-CA"/>
              </w:rPr>
              <w:t>Souvent asymptomatique</w:t>
            </w:r>
          </w:p>
          <w:p w:rsidR="00F764FF" w:rsidRDefault="00F764FF" w:rsidP="00F21EAC">
            <w:pPr>
              <w:pStyle w:val="Sansinterligne"/>
              <w:numPr>
                <w:ilvl w:val="0"/>
                <w:numId w:val="1617"/>
              </w:numPr>
              <w:rPr>
                <w:lang w:eastAsia="fr-CA"/>
              </w:rPr>
            </w:pPr>
            <w:r>
              <w:rPr>
                <w:lang w:eastAsia="fr-CA"/>
              </w:rPr>
              <w:t>Fatigue, perte de poids, anémie, douleur osseuse</w:t>
            </w:r>
          </w:p>
        </w:tc>
        <w:tc>
          <w:tcPr>
            <w:tcW w:w="2714" w:type="dxa"/>
            <w:tcBorders>
              <w:left w:val="single" w:sz="4" w:space="0" w:color="FFFF00"/>
            </w:tcBorders>
            <w:shd w:val="clear" w:color="auto" w:fill="FFFF00"/>
          </w:tcPr>
          <w:p w:rsidR="00F764FF" w:rsidRPr="00F764FF" w:rsidRDefault="00F764FF" w:rsidP="00F764FF">
            <w:pPr>
              <w:pStyle w:val="Sansinterligne"/>
              <w:rPr>
                <w:u w:val="single"/>
                <w:lang w:eastAsia="fr-CA"/>
              </w:rPr>
            </w:pPr>
            <w:r w:rsidRPr="00F764FF">
              <w:rPr>
                <w:u w:val="single"/>
                <w:lang w:eastAsia="fr-CA"/>
              </w:rPr>
              <w:t>Triade tardive </w:t>
            </w:r>
          </w:p>
          <w:p w:rsidR="00F764FF" w:rsidRPr="0049384E" w:rsidRDefault="00F764FF" w:rsidP="00F21EAC">
            <w:pPr>
              <w:pStyle w:val="Sansinterligne"/>
              <w:numPr>
                <w:ilvl w:val="0"/>
                <w:numId w:val="1618"/>
              </w:numPr>
              <w:rPr>
                <w:b/>
                <w:lang w:eastAsia="fr-CA"/>
              </w:rPr>
            </w:pPr>
            <w:r w:rsidRPr="0049384E">
              <w:rPr>
                <w:b/>
                <w:lang w:eastAsia="fr-CA"/>
              </w:rPr>
              <w:t xml:space="preserve">Hématurie </w:t>
            </w:r>
          </w:p>
          <w:p w:rsidR="00F764FF" w:rsidRDefault="00F764FF" w:rsidP="00F21EAC">
            <w:pPr>
              <w:pStyle w:val="Sansinterligne"/>
              <w:numPr>
                <w:ilvl w:val="0"/>
                <w:numId w:val="1618"/>
              </w:numPr>
              <w:rPr>
                <w:lang w:eastAsia="fr-CA"/>
              </w:rPr>
            </w:pPr>
            <w:r>
              <w:rPr>
                <w:lang w:eastAsia="fr-CA"/>
              </w:rPr>
              <w:t>Douleur au flanc</w:t>
            </w:r>
          </w:p>
          <w:p w:rsidR="00F764FF" w:rsidRDefault="00F764FF" w:rsidP="00F21EAC">
            <w:pPr>
              <w:pStyle w:val="Sansinterligne"/>
              <w:numPr>
                <w:ilvl w:val="0"/>
                <w:numId w:val="1618"/>
              </w:numPr>
              <w:rPr>
                <w:lang w:eastAsia="fr-CA"/>
              </w:rPr>
            </w:pPr>
            <w:r>
              <w:rPr>
                <w:lang w:eastAsia="fr-CA"/>
              </w:rPr>
              <w:t>Masse palpable</w:t>
            </w:r>
          </w:p>
          <w:p w:rsidR="00F764FF" w:rsidRPr="009535CF" w:rsidRDefault="009535CF" w:rsidP="00F21EAC">
            <w:pPr>
              <w:pStyle w:val="Sansinterligne"/>
              <w:numPr>
                <w:ilvl w:val="0"/>
                <w:numId w:val="1538"/>
              </w:numPr>
              <w:rPr>
                <w:b/>
                <w:sz w:val="20"/>
                <w:szCs w:val="20"/>
                <w:lang w:eastAsia="fr-CA"/>
              </w:rPr>
            </w:pPr>
            <w:r w:rsidRPr="009535CF">
              <w:rPr>
                <w:b/>
                <w:sz w:val="20"/>
                <w:szCs w:val="20"/>
                <w:lang w:eastAsia="fr-CA"/>
              </w:rPr>
              <w:t xml:space="preserve">Métastases : Os, cerveau, poumon et foie </w:t>
            </w:r>
          </w:p>
        </w:tc>
        <w:tc>
          <w:tcPr>
            <w:tcW w:w="3353" w:type="dxa"/>
            <w:shd w:val="clear" w:color="auto" w:fill="FFFF00"/>
          </w:tcPr>
          <w:p w:rsidR="009535CF" w:rsidRDefault="009535CF" w:rsidP="00F21EAC">
            <w:pPr>
              <w:pStyle w:val="Sansinterligne"/>
              <w:numPr>
                <w:ilvl w:val="0"/>
                <w:numId w:val="1621"/>
              </w:numPr>
              <w:rPr>
                <w:lang w:eastAsia="fr-CA"/>
              </w:rPr>
            </w:pPr>
            <w:r>
              <w:rPr>
                <w:lang w:eastAsia="fr-CA"/>
              </w:rPr>
              <w:t>SMU, FSC VS, ions étendus</w:t>
            </w:r>
          </w:p>
          <w:p w:rsidR="00F764FF" w:rsidRDefault="00F764FF" w:rsidP="00F21EAC">
            <w:pPr>
              <w:pStyle w:val="Sansinterligne"/>
              <w:numPr>
                <w:ilvl w:val="0"/>
                <w:numId w:val="1621"/>
              </w:numPr>
              <w:rPr>
                <w:lang w:eastAsia="fr-CA"/>
              </w:rPr>
            </w:pPr>
            <w:r>
              <w:rPr>
                <w:lang w:eastAsia="fr-CA"/>
              </w:rPr>
              <w:t>Échographie rénale</w:t>
            </w:r>
          </w:p>
          <w:p w:rsidR="00F764FF" w:rsidRPr="003F2C5E" w:rsidRDefault="00F764FF" w:rsidP="00F21EAC">
            <w:pPr>
              <w:pStyle w:val="Sansinterligne"/>
              <w:numPr>
                <w:ilvl w:val="0"/>
                <w:numId w:val="1621"/>
              </w:numPr>
              <w:rPr>
                <w:b/>
                <w:lang w:eastAsia="fr-CA"/>
              </w:rPr>
            </w:pPr>
            <w:r w:rsidRPr="003F2C5E">
              <w:rPr>
                <w:b/>
                <w:lang w:eastAsia="fr-CA"/>
              </w:rPr>
              <w:t>TDM C+ (Dx et bilan d’extension)</w:t>
            </w:r>
          </w:p>
          <w:p w:rsidR="00F764FF" w:rsidRPr="003F2C5E" w:rsidRDefault="00F764FF" w:rsidP="00F21EAC">
            <w:pPr>
              <w:pStyle w:val="Sansinterligne"/>
              <w:numPr>
                <w:ilvl w:val="0"/>
                <w:numId w:val="1621"/>
              </w:numPr>
              <w:rPr>
                <w:b/>
                <w:lang w:eastAsia="fr-CA"/>
              </w:rPr>
            </w:pPr>
            <w:r w:rsidRPr="003F2C5E">
              <w:rPr>
                <w:b/>
                <w:lang w:eastAsia="fr-CA"/>
              </w:rPr>
              <w:t>Biopsie rénale</w:t>
            </w:r>
          </w:p>
          <w:p w:rsidR="00F764FF" w:rsidRPr="00CD2E26" w:rsidRDefault="00F764FF" w:rsidP="00F21EAC">
            <w:pPr>
              <w:pStyle w:val="Sansinterligne"/>
              <w:numPr>
                <w:ilvl w:val="0"/>
                <w:numId w:val="1621"/>
              </w:numPr>
              <w:rPr>
                <w:lang w:eastAsia="fr-CA"/>
              </w:rPr>
            </w:pPr>
            <w:r>
              <w:rPr>
                <w:lang w:eastAsia="fr-CA"/>
              </w:rPr>
              <w:t>Staging :</w:t>
            </w:r>
            <w:r w:rsidR="00F21EAC">
              <w:rPr>
                <w:lang w:eastAsia="fr-CA"/>
              </w:rPr>
              <w:t xml:space="preserve"> RXP + </w:t>
            </w:r>
            <w:r>
              <w:rPr>
                <w:lang w:eastAsia="fr-CA"/>
              </w:rPr>
              <w:t xml:space="preserve">ALT/AST </w:t>
            </w:r>
            <w:r>
              <w:rPr>
                <w:rFonts w:cs="Times New Roman"/>
                <w:lang w:eastAsia="fr-CA"/>
              </w:rPr>
              <w:t>±</w:t>
            </w:r>
            <w:r>
              <w:rPr>
                <w:lang w:eastAsia="fr-CA"/>
              </w:rPr>
              <w:t xml:space="preserve"> scinti os</w:t>
            </w:r>
            <w:r w:rsidR="00F21EAC">
              <w:rPr>
                <w:lang w:eastAsia="fr-CA"/>
              </w:rPr>
              <w:t>.</w:t>
            </w:r>
            <w:r>
              <w:rPr>
                <w:lang w:eastAsia="fr-CA"/>
              </w:rPr>
              <w:t xml:space="preserve"> </w:t>
            </w:r>
            <w:r w:rsidR="00F21EAC">
              <w:rPr>
                <w:lang w:eastAsia="fr-CA"/>
              </w:rPr>
              <w:t xml:space="preserve">/ </w:t>
            </w:r>
            <w:r>
              <w:rPr>
                <w:lang w:eastAsia="fr-CA"/>
              </w:rPr>
              <w:t>TDM cérébral si Sx</w:t>
            </w:r>
          </w:p>
        </w:tc>
      </w:tr>
      <w:tr w:rsidR="00F5296A" w:rsidRPr="00CD2E26" w:rsidTr="00E53AF0">
        <w:tc>
          <w:tcPr>
            <w:tcW w:w="2235" w:type="dxa"/>
            <w:shd w:val="clear" w:color="auto" w:fill="95B3D7" w:themeFill="accent1" w:themeFillTint="99"/>
            <w:vAlign w:val="center"/>
          </w:tcPr>
          <w:p w:rsidR="00F5296A" w:rsidRPr="00244B75" w:rsidRDefault="00F5296A" w:rsidP="009535CF">
            <w:pPr>
              <w:pStyle w:val="Sansinterligne"/>
              <w:jc w:val="center"/>
              <w:rPr>
                <w:b/>
                <w:lang w:eastAsia="fr-CA"/>
              </w:rPr>
            </w:pPr>
            <w:r w:rsidRPr="00244B75">
              <w:rPr>
                <w:b/>
                <w:lang w:eastAsia="fr-CA"/>
              </w:rPr>
              <w:t>Carcinome gastrique</w:t>
            </w:r>
          </w:p>
        </w:tc>
        <w:tc>
          <w:tcPr>
            <w:tcW w:w="2714" w:type="dxa"/>
            <w:gridSpan w:val="2"/>
            <w:tcBorders>
              <w:right w:val="single" w:sz="4" w:space="0" w:color="FFFF00"/>
            </w:tcBorders>
            <w:shd w:val="clear" w:color="auto" w:fill="FFFF00"/>
          </w:tcPr>
          <w:p w:rsidR="00F5296A" w:rsidRPr="003F2C5E" w:rsidRDefault="00F5296A" w:rsidP="00F5296A">
            <w:pPr>
              <w:pStyle w:val="Sansinterligne"/>
              <w:numPr>
                <w:ilvl w:val="0"/>
                <w:numId w:val="1619"/>
              </w:numPr>
              <w:rPr>
                <w:b/>
                <w:lang w:eastAsia="fr-CA"/>
              </w:rPr>
            </w:pPr>
            <w:r w:rsidRPr="003F2C5E">
              <w:rPr>
                <w:b/>
                <w:lang w:eastAsia="fr-CA"/>
              </w:rPr>
              <w:t>+ fréquent chez les Asiatiques et Latinos</w:t>
            </w:r>
          </w:p>
          <w:p w:rsidR="00F5296A" w:rsidRDefault="00F5296A" w:rsidP="00F5296A">
            <w:pPr>
              <w:pStyle w:val="Sansinterligne"/>
              <w:numPr>
                <w:ilvl w:val="0"/>
                <w:numId w:val="1619"/>
              </w:numPr>
              <w:rPr>
                <w:lang w:eastAsia="fr-CA"/>
              </w:rPr>
            </w:pPr>
            <w:r>
              <w:rPr>
                <w:lang w:eastAsia="fr-CA"/>
              </w:rPr>
              <w:t>50-60 ans</w:t>
            </w:r>
          </w:p>
          <w:p w:rsidR="00F5296A" w:rsidRPr="003F2C5E" w:rsidRDefault="00F5296A" w:rsidP="00F5296A">
            <w:pPr>
              <w:pStyle w:val="Sansinterligne"/>
              <w:numPr>
                <w:ilvl w:val="0"/>
                <w:numId w:val="1619"/>
              </w:numPr>
              <w:rPr>
                <w:b/>
                <w:lang w:eastAsia="fr-CA"/>
              </w:rPr>
            </w:pPr>
            <w:r w:rsidRPr="003F2C5E">
              <w:rPr>
                <w:b/>
                <w:lang w:eastAsia="fr-CA"/>
              </w:rPr>
              <w:t>Satiété précoce</w:t>
            </w:r>
          </w:p>
          <w:p w:rsidR="00F5296A" w:rsidRDefault="00F5296A" w:rsidP="00F5296A">
            <w:pPr>
              <w:pStyle w:val="Sansinterligne"/>
              <w:numPr>
                <w:ilvl w:val="0"/>
                <w:numId w:val="1619"/>
              </w:numPr>
              <w:rPr>
                <w:lang w:eastAsia="fr-CA"/>
              </w:rPr>
            </w:pPr>
            <w:r>
              <w:rPr>
                <w:lang w:eastAsia="fr-CA"/>
              </w:rPr>
              <w:t>Inconfort épigastrique</w:t>
            </w:r>
          </w:p>
          <w:p w:rsidR="00F5296A" w:rsidRDefault="00F5296A" w:rsidP="0049384E">
            <w:pPr>
              <w:pStyle w:val="Sansinterligne"/>
              <w:numPr>
                <w:ilvl w:val="0"/>
                <w:numId w:val="1619"/>
              </w:numPr>
              <w:rPr>
                <w:lang w:eastAsia="fr-CA"/>
              </w:rPr>
            </w:pPr>
            <w:r>
              <w:rPr>
                <w:lang w:eastAsia="fr-CA"/>
              </w:rPr>
              <w:t>Anorexie, perte de poids</w:t>
            </w:r>
          </w:p>
        </w:tc>
        <w:tc>
          <w:tcPr>
            <w:tcW w:w="2714" w:type="dxa"/>
            <w:tcBorders>
              <w:left w:val="single" w:sz="4" w:space="0" w:color="FFFF00"/>
            </w:tcBorders>
            <w:shd w:val="clear" w:color="auto" w:fill="FFFF00"/>
          </w:tcPr>
          <w:p w:rsidR="00F5296A" w:rsidRDefault="00F5296A" w:rsidP="00F5296A">
            <w:pPr>
              <w:pStyle w:val="Sansinterligne"/>
              <w:numPr>
                <w:ilvl w:val="0"/>
                <w:numId w:val="1619"/>
              </w:numPr>
              <w:rPr>
                <w:lang w:eastAsia="fr-CA"/>
              </w:rPr>
            </w:pPr>
            <w:r>
              <w:rPr>
                <w:lang w:eastAsia="fr-CA"/>
              </w:rPr>
              <w:t xml:space="preserve">Dyspepsie, </w:t>
            </w:r>
            <w:r w:rsidR="0049384E">
              <w:rPr>
                <w:lang w:eastAsia="fr-CA"/>
              </w:rPr>
              <w:t>dysphagie</w:t>
            </w:r>
          </w:p>
          <w:p w:rsidR="00F21EAC" w:rsidRPr="003F2C5E" w:rsidRDefault="00F21EAC" w:rsidP="00F21EAC">
            <w:pPr>
              <w:pStyle w:val="Sansinterligne"/>
              <w:numPr>
                <w:ilvl w:val="0"/>
                <w:numId w:val="1619"/>
              </w:numPr>
              <w:rPr>
                <w:b/>
                <w:lang w:eastAsia="fr-CA"/>
              </w:rPr>
            </w:pPr>
            <w:r w:rsidRPr="003F2C5E">
              <w:rPr>
                <w:b/>
                <w:lang w:eastAsia="fr-CA"/>
              </w:rPr>
              <w:t>Hématémèse</w:t>
            </w:r>
          </w:p>
          <w:p w:rsidR="00F5296A" w:rsidRDefault="00F5296A" w:rsidP="00F5296A">
            <w:pPr>
              <w:pStyle w:val="Sansinterligne"/>
              <w:numPr>
                <w:ilvl w:val="0"/>
                <w:numId w:val="1619"/>
              </w:numPr>
              <w:rPr>
                <w:lang w:eastAsia="fr-CA"/>
              </w:rPr>
            </w:pPr>
            <w:r>
              <w:rPr>
                <w:lang w:eastAsia="fr-CA"/>
              </w:rPr>
              <w:t>Masse épigastrique</w:t>
            </w:r>
          </w:p>
          <w:p w:rsidR="00F5296A" w:rsidRDefault="00F5296A" w:rsidP="00F5296A">
            <w:pPr>
              <w:pStyle w:val="Sansinterligne"/>
              <w:numPr>
                <w:ilvl w:val="0"/>
                <w:numId w:val="1619"/>
              </w:numPr>
              <w:rPr>
                <w:lang w:eastAsia="fr-CA"/>
              </w:rPr>
            </w:pPr>
            <w:r>
              <w:rPr>
                <w:lang w:eastAsia="fr-CA"/>
              </w:rPr>
              <w:t>Hépatomégalie</w:t>
            </w:r>
          </w:p>
          <w:p w:rsidR="00F21EAC" w:rsidRDefault="00F21EAC" w:rsidP="00F5296A">
            <w:pPr>
              <w:pStyle w:val="Sansinterligne"/>
              <w:numPr>
                <w:ilvl w:val="0"/>
                <w:numId w:val="1619"/>
              </w:numPr>
              <w:rPr>
                <w:lang w:eastAsia="fr-CA"/>
              </w:rPr>
            </w:pPr>
            <w:r w:rsidRPr="003F2C5E">
              <w:rPr>
                <w:b/>
                <w:lang w:eastAsia="fr-CA"/>
              </w:rPr>
              <w:t>Ganglion de Troisier</w:t>
            </w:r>
            <w:r>
              <w:rPr>
                <w:lang w:eastAsia="fr-CA"/>
              </w:rPr>
              <w:t xml:space="preserve"> +</w:t>
            </w:r>
          </w:p>
          <w:p w:rsidR="00F5296A" w:rsidRPr="00CD2E26" w:rsidRDefault="00F5296A" w:rsidP="00F5296A">
            <w:pPr>
              <w:pStyle w:val="Sansinterligne"/>
              <w:numPr>
                <w:ilvl w:val="0"/>
                <w:numId w:val="1620"/>
              </w:numPr>
              <w:rPr>
                <w:lang w:eastAsia="fr-CA"/>
              </w:rPr>
            </w:pPr>
            <w:r>
              <w:rPr>
                <w:lang w:eastAsia="fr-CA"/>
              </w:rPr>
              <w:t>Métastases : péritoine, foie, poumons, cerveau</w:t>
            </w:r>
          </w:p>
        </w:tc>
        <w:tc>
          <w:tcPr>
            <w:tcW w:w="3353" w:type="dxa"/>
            <w:shd w:val="clear" w:color="auto" w:fill="FFFF00"/>
          </w:tcPr>
          <w:p w:rsidR="00F5296A" w:rsidRDefault="00F21EAC" w:rsidP="00F21EAC">
            <w:pPr>
              <w:pStyle w:val="Sansinterligne"/>
              <w:numPr>
                <w:ilvl w:val="0"/>
                <w:numId w:val="1622"/>
              </w:numPr>
              <w:rPr>
                <w:lang w:eastAsia="fr-CA"/>
              </w:rPr>
            </w:pPr>
            <w:r>
              <w:rPr>
                <w:lang w:eastAsia="fr-CA"/>
              </w:rPr>
              <w:t>Gastroscopie avec biopsie</w:t>
            </w:r>
          </w:p>
          <w:p w:rsidR="00F21EAC" w:rsidRDefault="00F21EAC" w:rsidP="00F21EAC">
            <w:pPr>
              <w:pStyle w:val="Sansinterligne"/>
              <w:numPr>
                <w:ilvl w:val="0"/>
                <w:numId w:val="1622"/>
              </w:numPr>
              <w:rPr>
                <w:lang w:eastAsia="fr-CA"/>
              </w:rPr>
            </w:pPr>
            <w:r>
              <w:rPr>
                <w:lang w:eastAsia="fr-CA"/>
              </w:rPr>
              <w:t>Échographie endoscopique (staging TNM)</w:t>
            </w:r>
          </w:p>
          <w:p w:rsidR="00F21EAC" w:rsidRPr="003F2C5E" w:rsidRDefault="00F21EAC" w:rsidP="00F21EAC">
            <w:pPr>
              <w:pStyle w:val="Sansinterligne"/>
              <w:numPr>
                <w:ilvl w:val="0"/>
                <w:numId w:val="1622"/>
              </w:numPr>
              <w:rPr>
                <w:b/>
                <w:lang w:eastAsia="fr-CA"/>
              </w:rPr>
            </w:pPr>
            <w:r w:rsidRPr="003F2C5E">
              <w:rPr>
                <w:b/>
                <w:lang w:eastAsia="fr-CA"/>
              </w:rPr>
              <w:t>TDM thoracoabdopelvien (staging)</w:t>
            </w:r>
          </w:p>
          <w:p w:rsidR="00F21EAC" w:rsidRPr="00CD2E26" w:rsidRDefault="00F21EAC" w:rsidP="00B121E5">
            <w:pPr>
              <w:pStyle w:val="Sansinterligne"/>
              <w:rPr>
                <w:lang w:eastAsia="fr-CA"/>
              </w:rPr>
            </w:pPr>
          </w:p>
        </w:tc>
      </w:tr>
      <w:tr w:rsidR="006E01DA" w:rsidRPr="003F2C5E" w:rsidTr="00E53AF0">
        <w:tc>
          <w:tcPr>
            <w:tcW w:w="2235" w:type="dxa"/>
            <w:shd w:val="clear" w:color="auto" w:fill="95B3D7" w:themeFill="accent1" w:themeFillTint="99"/>
            <w:vAlign w:val="center"/>
          </w:tcPr>
          <w:p w:rsidR="006E01DA" w:rsidRPr="00244B75" w:rsidRDefault="006E01DA" w:rsidP="009535CF">
            <w:pPr>
              <w:pStyle w:val="Sansinterligne"/>
              <w:jc w:val="center"/>
              <w:rPr>
                <w:b/>
                <w:lang w:eastAsia="fr-CA"/>
              </w:rPr>
            </w:pPr>
            <w:r w:rsidRPr="00244B75">
              <w:rPr>
                <w:b/>
                <w:lang w:eastAsia="fr-CA"/>
              </w:rPr>
              <w:t>Néoplasie du pancréas</w:t>
            </w:r>
          </w:p>
        </w:tc>
        <w:tc>
          <w:tcPr>
            <w:tcW w:w="2714" w:type="dxa"/>
            <w:gridSpan w:val="2"/>
            <w:tcBorders>
              <w:right w:val="single" w:sz="4" w:space="0" w:color="FFFF00"/>
            </w:tcBorders>
            <w:shd w:val="clear" w:color="auto" w:fill="FFFF00"/>
          </w:tcPr>
          <w:p w:rsidR="006E01DA" w:rsidRDefault="006E01DA" w:rsidP="006E01DA">
            <w:pPr>
              <w:pStyle w:val="Sansinterligne"/>
              <w:numPr>
                <w:ilvl w:val="0"/>
                <w:numId w:val="1623"/>
              </w:numPr>
              <w:rPr>
                <w:lang w:eastAsia="fr-CA"/>
              </w:rPr>
            </w:pPr>
            <w:r w:rsidRPr="006E01DA">
              <w:rPr>
                <w:lang w:eastAsia="fr-CA"/>
              </w:rPr>
              <w:t>Perte</w:t>
            </w:r>
            <w:r>
              <w:rPr>
                <w:lang w:eastAsia="fr-CA"/>
              </w:rPr>
              <w:t xml:space="preserve"> de poids</w:t>
            </w:r>
          </w:p>
          <w:p w:rsidR="006E01DA" w:rsidRPr="003F2C5E" w:rsidRDefault="006E01DA" w:rsidP="006E01DA">
            <w:pPr>
              <w:pStyle w:val="Sansinterligne"/>
              <w:numPr>
                <w:ilvl w:val="0"/>
                <w:numId w:val="1623"/>
              </w:numPr>
              <w:rPr>
                <w:b/>
                <w:lang w:eastAsia="fr-CA"/>
              </w:rPr>
            </w:pPr>
            <w:r w:rsidRPr="003F2C5E">
              <w:rPr>
                <w:b/>
                <w:lang w:eastAsia="fr-CA"/>
              </w:rPr>
              <w:t>Ictère</w:t>
            </w:r>
          </w:p>
          <w:p w:rsidR="0052079C" w:rsidRPr="0052079C" w:rsidRDefault="006E01DA" w:rsidP="0052079C">
            <w:pPr>
              <w:pStyle w:val="Sansinterligne"/>
              <w:numPr>
                <w:ilvl w:val="0"/>
                <w:numId w:val="1623"/>
              </w:numPr>
              <w:rPr>
                <w:lang w:eastAsia="fr-CA"/>
              </w:rPr>
            </w:pPr>
            <w:r>
              <w:rPr>
                <w:lang w:eastAsia="fr-CA"/>
              </w:rPr>
              <w:t>Stéatorrhée</w:t>
            </w:r>
            <w:r w:rsidR="0052079C" w:rsidRPr="003F2C5E">
              <w:rPr>
                <w:b/>
                <w:lang w:eastAsia="fr-CA"/>
              </w:rPr>
              <w:t xml:space="preserve"> </w:t>
            </w:r>
          </w:p>
          <w:p w:rsidR="006E01DA" w:rsidRDefault="0052079C" w:rsidP="0052079C">
            <w:pPr>
              <w:pStyle w:val="Sansinterligne"/>
              <w:numPr>
                <w:ilvl w:val="0"/>
                <w:numId w:val="1623"/>
              </w:numPr>
              <w:rPr>
                <w:lang w:eastAsia="fr-CA"/>
              </w:rPr>
            </w:pPr>
            <w:r w:rsidRPr="003F2C5E">
              <w:rPr>
                <w:b/>
                <w:lang w:eastAsia="fr-CA"/>
              </w:rPr>
              <w:t>Inconfort épigastrique vague</w:t>
            </w:r>
            <w:r>
              <w:rPr>
                <w:lang w:eastAsia="fr-CA"/>
              </w:rPr>
              <w:t>,  irradiation dorsale, nocturne</w:t>
            </w:r>
          </w:p>
        </w:tc>
        <w:tc>
          <w:tcPr>
            <w:tcW w:w="2714" w:type="dxa"/>
            <w:tcBorders>
              <w:left w:val="single" w:sz="4" w:space="0" w:color="FFFF00"/>
            </w:tcBorders>
            <w:shd w:val="clear" w:color="auto" w:fill="FFFF00"/>
          </w:tcPr>
          <w:p w:rsidR="0052079C" w:rsidRPr="006E01DA" w:rsidRDefault="0052079C" w:rsidP="0052079C">
            <w:pPr>
              <w:pStyle w:val="Sansinterligne"/>
              <w:numPr>
                <w:ilvl w:val="0"/>
                <w:numId w:val="1623"/>
              </w:numPr>
              <w:rPr>
                <w:lang w:eastAsia="fr-CA"/>
              </w:rPr>
            </w:pPr>
            <w:r>
              <w:rPr>
                <w:b/>
                <w:lang w:eastAsia="fr-CA"/>
              </w:rPr>
              <w:t>Signe de Courvoisier</w:t>
            </w:r>
            <w:r>
              <w:rPr>
                <w:lang w:eastAsia="fr-CA"/>
              </w:rPr>
              <w:t xml:space="preserve"> (vésicule biliaire palpable, non-douloureuse)</w:t>
            </w:r>
          </w:p>
        </w:tc>
        <w:tc>
          <w:tcPr>
            <w:tcW w:w="3353" w:type="dxa"/>
            <w:shd w:val="clear" w:color="auto" w:fill="FFFF00"/>
          </w:tcPr>
          <w:p w:rsidR="003F2C5E" w:rsidRDefault="003F2C5E" w:rsidP="003F2C5E">
            <w:pPr>
              <w:pStyle w:val="Sansinterligne"/>
              <w:numPr>
                <w:ilvl w:val="0"/>
                <w:numId w:val="1624"/>
              </w:numPr>
              <w:rPr>
                <w:lang w:eastAsia="fr-CA"/>
              </w:rPr>
            </w:pPr>
            <w:r w:rsidRPr="003F2C5E">
              <w:rPr>
                <w:lang w:eastAsia="fr-CA"/>
              </w:rPr>
              <w:t>Bilirubine, lipase</w:t>
            </w:r>
            <w:r>
              <w:rPr>
                <w:lang w:eastAsia="fr-CA"/>
              </w:rPr>
              <w:t>, phosphatase alcaline</w:t>
            </w:r>
          </w:p>
          <w:p w:rsidR="003F2C5E" w:rsidRPr="003F2C5E" w:rsidRDefault="003F2C5E" w:rsidP="003F2C5E">
            <w:pPr>
              <w:pStyle w:val="Sansinterligne"/>
              <w:numPr>
                <w:ilvl w:val="0"/>
                <w:numId w:val="1624"/>
              </w:numPr>
              <w:rPr>
                <w:b/>
                <w:lang w:eastAsia="fr-CA"/>
              </w:rPr>
            </w:pPr>
            <w:r w:rsidRPr="003F2C5E">
              <w:rPr>
                <w:b/>
                <w:lang w:eastAsia="fr-CA"/>
              </w:rPr>
              <w:t>CA 19-9 (marqueur)</w:t>
            </w:r>
          </w:p>
          <w:p w:rsidR="003F2C5E" w:rsidRPr="003F2C5E" w:rsidRDefault="003F2C5E" w:rsidP="003F2C5E">
            <w:pPr>
              <w:pStyle w:val="Sansinterligne"/>
              <w:numPr>
                <w:ilvl w:val="0"/>
                <w:numId w:val="1624"/>
              </w:numPr>
              <w:rPr>
                <w:lang w:val="de-DE" w:eastAsia="fr-CA"/>
              </w:rPr>
            </w:pPr>
            <w:r w:rsidRPr="003F2C5E">
              <w:rPr>
                <w:lang w:val="de-DE" w:eastAsia="fr-CA"/>
              </w:rPr>
              <w:t>Écho</w:t>
            </w:r>
            <w:r>
              <w:rPr>
                <w:lang w:val="de-DE" w:eastAsia="fr-CA"/>
              </w:rPr>
              <w:t xml:space="preserve">, </w:t>
            </w:r>
            <w:r w:rsidRPr="003F2C5E">
              <w:rPr>
                <w:lang w:val="de-DE" w:eastAsia="fr-CA"/>
              </w:rPr>
              <w:t>TDM C+, (staging)</w:t>
            </w:r>
          </w:p>
          <w:p w:rsidR="003F2C5E" w:rsidRPr="003F2C5E" w:rsidRDefault="003F2C5E" w:rsidP="003F2C5E">
            <w:pPr>
              <w:pStyle w:val="Sansinterligne"/>
              <w:numPr>
                <w:ilvl w:val="0"/>
                <w:numId w:val="1624"/>
              </w:numPr>
              <w:rPr>
                <w:lang w:val="de-DE" w:eastAsia="fr-CA"/>
              </w:rPr>
            </w:pPr>
            <w:r w:rsidRPr="003F2C5E">
              <w:rPr>
                <w:lang w:val="de-DE" w:eastAsia="fr-CA"/>
              </w:rPr>
              <w:t>IRM, CPRE, CPRM</w:t>
            </w:r>
            <w:r>
              <w:rPr>
                <w:lang w:val="de-DE" w:eastAsia="fr-CA"/>
              </w:rPr>
              <w:t xml:space="preserve"> PRN</w:t>
            </w:r>
          </w:p>
        </w:tc>
      </w:tr>
    </w:tbl>
    <w:p w:rsidR="00244B75" w:rsidRDefault="00244B75" w:rsidP="006F692E">
      <w:pPr>
        <w:pStyle w:val="Sansinterligne"/>
        <w:rPr>
          <w:lang w:val="de-DE" w:eastAsia="fr-CA"/>
        </w:rPr>
      </w:pPr>
    </w:p>
    <w:p w:rsidR="0052079C" w:rsidRDefault="00A406B6" w:rsidP="006F692E">
      <w:pPr>
        <w:pStyle w:val="Sansinterligne"/>
        <w:rPr>
          <w:lang w:val="de-DE" w:eastAsia="fr-CA"/>
        </w:rPr>
      </w:pPr>
      <w:r>
        <w:rPr>
          <w:noProof/>
          <w:lang w:eastAsia="fr-CA"/>
        </w:rPr>
        <w:lastRenderedPageBreak/>
        <w:drawing>
          <wp:anchor distT="0" distB="0" distL="114300" distR="114300" simplePos="0" relativeHeight="252289024" behindDoc="0" locked="0" layoutInCell="1" allowOverlap="1">
            <wp:simplePos x="0" y="0"/>
            <wp:positionH relativeFrom="column">
              <wp:posOffset>2490281</wp:posOffset>
            </wp:positionH>
            <wp:positionV relativeFrom="paragraph">
              <wp:posOffset>-31588</wp:posOffset>
            </wp:positionV>
            <wp:extent cx="2040977" cy="1721796"/>
            <wp:effectExtent l="0" t="0" r="0" b="0"/>
            <wp:wrapNone/>
            <wp:docPr id="727" name="Image 727" descr="Résultats de recherche d'images pour « gastric carcinoma c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Résultats de recherche d'images pour « gastric carcinoma ct »"/>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t="4838"/>
                    <a:stretch/>
                  </pic:blipFill>
                  <pic:spPr bwMode="auto">
                    <a:xfrm>
                      <a:off x="0" y="0"/>
                      <a:ext cx="2040977" cy="1721796"/>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fr-CA"/>
        </w:rPr>
        <w:drawing>
          <wp:anchor distT="0" distB="0" distL="114300" distR="114300" simplePos="0" relativeHeight="252288000" behindDoc="0" locked="0" layoutInCell="1" allowOverlap="1" wp14:anchorId="63FECC6C" wp14:editId="40F534A9">
            <wp:simplePos x="0" y="0"/>
            <wp:positionH relativeFrom="column">
              <wp:posOffset>4513188</wp:posOffset>
            </wp:positionH>
            <wp:positionV relativeFrom="paragraph">
              <wp:posOffset>-31115</wp:posOffset>
            </wp:positionV>
            <wp:extent cx="2416006" cy="1721796"/>
            <wp:effectExtent l="0" t="0" r="3810" b="0"/>
            <wp:wrapNone/>
            <wp:docPr id="725" name="Image 72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e"/>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16006" cy="1721796"/>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fr-CA"/>
        </w:rPr>
        <w:drawing>
          <wp:anchor distT="0" distB="0" distL="114300" distR="114300" simplePos="0" relativeHeight="252286976" behindDoc="0" locked="0" layoutInCell="1" allowOverlap="1" wp14:anchorId="19F200AD" wp14:editId="7410B90C">
            <wp:simplePos x="0" y="0"/>
            <wp:positionH relativeFrom="column">
              <wp:posOffset>-68580</wp:posOffset>
            </wp:positionH>
            <wp:positionV relativeFrom="paragraph">
              <wp:posOffset>-32385</wp:posOffset>
            </wp:positionV>
            <wp:extent cx="2557780" cy="1723390"/>
            <wp:effectExtent l="0" t="0" r="0" b="0"/>
            <wp:wrapNone/>
            <wp:docPr id="724" name="Image 72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557780" cy="17233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2079C" w:rsidRDefault="0052079C" w:rsidP="006F692E">
      <w:pPr>
        <w:pStyle w:val="Sansinterligne"/>
        <w:rPr>
          <w:lang w:val="de-DE" w:eastAsia="fr-CA"/>
        </w:rPr>
      </w:pPr>
    </w:p>
    <w:p w:rsidR="0052079C" w:rsidRDefault="0052079C" w:rsidP="006F692E">
      <w:pPr>
        <w:pStyle w:val="Sansinterligne"/>
        <w:rPr>
          <w:lang w:val="de-DE" w:eastAsia="fr-CA"/>
        </w:rPr>
      </w:pPr>
    </w:p>
    <w:p w:rsidR="0052079C" w:rsidRDefault="0052079C" w:rsidP="006F692E">
      <w:pPr>
        <w:pStyle w:val="Sansinterligne"/>
        <w:rPr>
          <w:lang w:val="de-DE" w:eastAsia="fr-CA"/>
        </w:rPr>
      </w:pPr>
    </w:p>
    <w:p w:rsidR="0052079C" w:rsidRDefault="0052079C" w:rsidP="006F692E">
      <w:pPr>
        <w:pStyle w:val="Sansinterligne"/>
        <w:rPr>
          <w:lang w:val="de-DE" w:eastAsia="fr-CA"/>
        </w:rPr>
      </w:pPr>
    </w:p>
    <w:p w:rsidR="0052079C" w:rsidRDefault="0052079C" w:rsidP="006F692E">
      <w:pPr>
        <w:pStyle w:val="Sansinterligne"/>
        <w:rPr>
          <w:lang w:val="de-DE" w:eastAsia="fr-CA"/>
        </w:rPr>
      </w:pPr>
    </w:p>
    <w:p w:rsidR="0052079C" w:rsidRDefault="0052079C" w:rsidP="006F692E">
      <w:pPr>
        <w:pStyle w:val="Sansinterligne"/>
        <w:rPr>
          <w:lang w:val="de-DE" w:eastAsia="fr-CA"/>
        </w:rPr>
      </w:pPr>
    </w:p>
    <w:p w:rsidR="0052079C" w:rsidRDefault="0052079C" w:rsidP="006F692E">
      <w:pPr>
        <w:pStyle w:val="Sansinterligne"/>
        <w:rPr>
          <w:lang w:val="de-DE" w:eastAsia="fr-CA"/>
        </w:rPr>
      </w:pPr>
    </w:p>
    <w:p w:rsidR="0052079C" w:rsidRDefault="0052079C" w:rsidP="006F692E">
      <w:pPr>
        <w:pStyle w:val="Sansinterligne"/>
        <w:rPr>
          <w:lang w:val="de-DE" w:eastAsia="fr-CA"/>
        </w:rPr>
      </w:pPr>
    </w:p>
    <w:p w:rsidR="0052079C" w:rsidRDefault="0052079C" w:rsidP="006F692E">
      <w:pPr>
        <w:pStyle w:val="Sansinterligne"/>
        <w:rPr>
          <w:lang w:val="de-DE" w:eastAsia="fr-CA"/>
        </w:rPr>
      </w:pPr>
    </w:p>
    <w:p w:rsidR="0052079C" w:rsidRPr="003F2C5E" w:rsidRDefault="0052079C" w:rsidP="006F692E">
      <w:pPr>
        <w:pStyle w:val="Sansinterligne"/>
        <w:rPr>
          <w:lang w:val="de-DE" w:eastAsia="fr-CA"/>
        </w:rPr>
      </w:pPr>
    </w:p>
    <w:tbl>
      <w:tblPr>
        <w:tblStyle w:val="Grilledutableau"/>
        <w:tblW w:w="0" w:type="auto"/>
        <w:tblLook w:val="04A0" w:firstRow="1" w:lastRow="0" w:firstColumn="1" w:lastColumn="0" w:noHBand="0" w:noVBand="1"/>
      </w:tblPr>
      <w:tblGrid>
        <w:gridCol w:w="2235"/>
        <w:gridCol w:w="2693"/>
        <w:gridCol w:w="2693"/>
        <w:gridCol w:w="3395"/>
      </w:tblGrid>
      <w:tr w:rsidR="00CD2E26" w:rsidRPr="00CD2E26" w:rsidTr="00CD2E26">
        <w:tc>
          <w:tcPr>
            <w:tcW w:w="2235" w:type="dxa"/>
            <w:shd w:val="clear" w:color="auto" w:fill="4F81BD" w:themeFill="accent1"/>
          </w:tcPr>
          <w:p w:rsidR="00CD2E26" w:rsidRPr="00CD2E26" w:rsidRDefault="00CD2E26" w:rsidP="00CD2E26">
            <w:pPr>
              <w:pStyle w:val="Sansinterligne"/>
              <w:jc w:val="center"/>
              <w:rPr>
                <w:i/>
                <w:lang w:eastAsia="fr-CA"/>
              </w:rPr>
            </w:pPr>
            <w:r w:rsidRPr="00CD2E26">
              <w:rPr>
                <w:i/>
                <w:lang w:eastAsia="fr-CA"/>
              </w:rPr>
              <w:t>Diagnostics</w:t>
            </w:r>
          </w:p>
        </w:tc>
        <w:tc>
          <w:tcPr>
            <w:tcW w:w="5386" w:type="dxa"/>
            <w:gridSpan w:val="2"/>
            <w:shd w:val="clear" w:color="auto" w:fill="4F81BD" w:themeFill="accent1"/>
          </w:tcPr>
          <w:p w:rsidR="00CD2E26" w:rsidRPr="00CD2E26" w:rsidRDefault="00CD2E26" w:rsidP="00CD2E26">
            <w:pPr>
              <w:pStyle w:val="Sansinterligne"/>
              <w:jc w:val="center"/>
              <w:rPr>
                <w:i/>
                <w:lang w:eastAsia="fr-CA"/>
              </w:rPr>
            </w:pPr>
            <w:r w:rsidRPr="00CD2E26">
              <w:rPr>
                <w:i/>
                <w:lang w:eastAsia="fr-CA"/>
              </w:rPr>
              <w:t>Manifestations cliniques</w:t>
            </w:r>
          </w:p>
        </w:tc>
        <w:tc>
          <w:tcPr>
            <w:tcW w:w="3395" w:type="dxa"/>
            <w:shd w:val="clear" w:color="auto" w:fill="4F81BD" w:themeFill="accent1"/>
          </w:tcPr>
          <w:p w:rsidR="00CD2E26" w:rsidRPr="00CD2E26" w:rsidRDefault="00CD2E26" w:rsidP="00CD2E26">
            <w:pPr>
              <w:pStyle w:val="Sansinterligne"/>
              <w:jc w:val="center"/>
              <w:rPr>
                <w:i/>
                <w:lang w:eastAsia="fr-CA"/>
              </w:rPr>
            </w:pPr>
            <w:r w:rsidRPr="00CD2E26">
              <w:rPr>
                <w:i/>
                <w:lang w:eastAsia="fr-CA"/>
              </w:rPr>
              <w:t>Investigations nécessaires</w:t>
            </w:r>
          </w:p>
        </w:tc>
      </w:tr>
      <w:tr w:rsidR="00EA02AB" w:rsidRPr="00CD2E26" w:rsidTr="00E53AF0">
        <w:tc>
          <w:tcPr>
            <w:tcW w:w="2235" w:type="dxa"/>
            <w:shd w:val="clear" w:color="auto" w:fill="95B3D7" w:themeFill="accent1" w:themeFillTint="99"/>
            <w:vAlign w:val="center"/>
          </w:tcPr>
          <w:p w:rsidR="00EA02AB" w:rsidRPr="00CD2E26" w:rsidRDefault="00EA02AB" w:rsidP="009535CF">
            <w:pPr>
              <w:pStyle w:val="Sansinterligne"/>
              <w:jc w:val="center"/>
              <w:rPr>
                <w:lang w:eastAsia="fr-CA"/>
              </w:rPr>
            </w:pPr>
            <w:r>
              <w:rPr>
                <w:lang w:eastAsia="fr-CA"/>
              </w:rPr>
              <w:t>Carcinome hépatocellulaire</w:t>
            </w:r>
          </w:p>
        </w:tc>
        <w:tc>
          <w:tcPr>
            <w:tcW w:w="2693" w:type="dxa"/>
            <w:tcBorders>
              <w:right w:val="single" w:sz="4" w:space="0" w:color="FFFFFF" w:themeColor="background1"/>
            </w:tcBorders>
          </w:tcPr>
          <w:p w:rsidR="00EA02AB" w:rsidRDefault="00EA02AB" w:rsidP="00EA02AB">
            <w:pPr>
              <w:pStyle w:val="Sansinterligne"/>
              <w:numPr>
                <w:ilvl w:val="0"/>
                <w:numId w:val="1625"/>
              </w:numPr>
              <w:rPr>
                <w:lang w:eastAsia="fr-CA"/>
              </w:rPr>
            </w:pPr>
            <w:r>
              <w:rPr>
                <w:lang w:eastAsia="fr-CA"/>
              </w:rPr>
              <w:t>Inconfort QSD</w:t>
            </w:r>
          </w:p>
          <w:p w:rsidR="00EA02AB" w:rsidRDefault="00EA02AB" w:rsidP="00EA02AB">
            <w:pPr>
              <w:pStyle w:val="Sansinterligne"/>
              <w:numPr>
                <w:ilvl w:val="0"/>
                <w:numId w:val="1625"/>
              </w:numPr>
              <w:rPr>
                <w:lang w:eastAsia="fr-CA"/>
              </w:rPr>
            </w:pPr>
            <w:r>
              <w:rPr>
                <w:lang w:eastAsia="fr-CA"/>
              </w:rPr>
              <w:t>Signe de Kehr</w:t>
            </w:r>
          </w:p>
          <w:p w:rsidR="00EA02AB" w:rsidRDefault="00EA02AB" w:rsidP="00EA02AB">
            <w:pPr>
              <w:pStyle w:val="Sansinterligne"/>
              <w:numPr>
                <w:ilvl w:val="0"/>
                <w:numId w:val="1625"/>
              </w:numPr>
              <w:rPr>
                <w:lang w:eastAsia="fr-CA"/>
              </w:rPr>
            </w:pPr>
            <w:r>
              <w:rPr>
                <w:lang w:eastAsia="fr-CA"/>
              </w:rPr>
              <w:t>Ictère</w:t>
            </w:r>
          </w:p>
          <w:p w:rsidR="00EA02AB" w:rsidRDefault="00EA02AB" w:rsidP="00EA02AB">
            <w:pPr>
              <w:pStyle w:val="Sansinterligne"/>
              <w:numPr>
                <w:ilvl w:val="0"/>
                <w:numId w:val="1625"/>
              </w:numPr>
              <w:rPr>
                <w:lang w:eastAsia="fr-CA"/>
              </w:rPr>
            </w:pPr>
            <w:r>
              <w:rPr>
                <w:lang w:eastAsia="fr-CA"/>
              </w:rPr>
              <w:t>Fièvre, perte de poids</w:t>
            </w:r>
          </w:p>
          <w:p w:rsidR="00EA02AB" w:rsidRDefault="00EA02AB" w:rsidP="00EA02AB">
            <w:pPr>
              <w:pStyle w:val="Sansinterligne"/>
              <w:numPr>
                <w:ilvl w:val="0"/>
                <w:numId w:val="1625"/>
              </w:numPr>
              <w:rPr>
                <w:lang w:eastAsia="fr-CA"/>
              </w:rPr>
            </w:pPr>
            <w:r>
              <w:rPr>
                <w:lang w:eastAsia="fr-CA"/>
              </w:rPr>
              <w:t>Hépatomégalie</w:t>
            </w:r>
          </w:p>
          <w:p w:rsidR="00EA02AB" w:rsidRDefault="00EA02AB" w:rsidP="00EA02AB">
            <w:pPr>
              <w:pStyle w:val="Sansinterligne"/>
              <w:numPr>
                <w:ilvl w:val="0"/>
                <w:numId w:val="1625"/>
              </w:numPr>
              <w:rPr>
                <w:lang w:eastAsia="fr-CA"/>
              </w:rPr>
            </w:pPr>
            <w:r>
              <w:rPr>
                <w:lang w:eastAsia="fr-CA"/>
              </w:rPr>
              <w:t>Souffle hépatique</w:t>
            </w:r>
          </w:p>
          <w:p w:rsidR="00EA02AB" w:rsidRDefault="00EA02AB" w:rsidP="00EA02AB">
            <w:pPr>
              <w:pStyle w:val="Sansinterligne"/>
              <w:numPr>
                <w:ilvl w:val="0"/>
                <w:numId w:val="1625"/>
              </w:numPr>
              <w:rPr>
                <w:lang w:eastAsia="fr-CA"/>
              </w:rPr>
            </w:pPr>
            <w:r>
              <w:rPr>
                <w:lang w:eastAsia="fr-CA"/>
              </w:rPr>
              <w:t>Ascite</w:t>
            </w:r>
          </w:p>
        </w:tc>
        <w:tc>
          <w:tcPr>
            <w:tcW w:w="2693" w:type="dxa"/>
            <w:tcBorders>
              <w:left w:val="single" w:sz="4" w:space="0" w:color="FFFFFF" w:themeColor="background1"/>
            </w:tcBorders>
          </w:tcPr>
          <w:p w:rsidR="00EA02AB" w:rsidRPr="00EA02AB" w:rsidRDefault="00EA02AB" w:rsidP="00EA02AB">
            <w:pPr>
              <w:pStyle w:val="Sansinterligne"/>
              <w:rPr>
                <w:u w:val="single"/>
                <w:lang w:eastAsia="fr-CA"/>
              </w:rPr>
            </w:pPr>
            <w:r w:rsidRPr="00EA02AB">
              <w:rPr>
                <w:u w:val="single"/>
                <w:lang w:eastAsia="fr-CA"/>
              </w:rPr>
              <w:t>Syndromes paranéoplasiques</w:t>
            </w:r>
          </w:p>
          <w:p w:rsidR="00EA02AB" w:rsidRDefault="00EA02AB" w:rsidP="00EA02AB">
            <w:pPr>
              <w:pStyle w:val="Sansinterligne"/>
              <w:numPr>
                <w:ilvl w:val="0"/>
                <w:numId w:val="1625"/>
              </w:numPr>
              <w:rPr>
                <w:lang w:eastAsia="fr-CA"/>
              </w:rPr>
            </w:pPr>
            <w:r>
              <w:rPr>
                <w:lang w:eastAsia="fr-CA"/>
              </w:rPr>
              <w:t>Hypoglycémie</w:t>
            </w:r>
          </w:p>
          <w:p w:rsidR="00EA02AB" w:rsidRDefault="00EA02AB" w:rsidP="00EA02AB">
            <w:pPr>
              <w:pStyle w:val="Sansinterligne"/>
              <w:numPr>
                <w:ilvl w:val="0"/>
                <w:numId w:val="1625"/>
              </w:numPr>
              <w:rPr>
                <w:lang w:eastAsia="fr-CA"/>
              </w:rPr>
            </w:pPr>
            <w:r>
              <w:rPr>
                <w:lang w:eastAsia="fr-CA"/>
              </w:rPr>
              <w:t>Hypercalcémie</w:t>
            </w:r>
          </w:p>
          <w:p w:rsidR="00EA02AB" w:rsidRDefault="00EA02AB" w:rsidP="00EA02AB">
            <w:pPr>
              <w:pStyle w:val="Sansinterligne"/>
              <w:numPr>
                <w:ilvl w:val="0"/>
                <w:numId w:val="1625"/>
              </w:numPr>
              <w:rPr>
                <w:lang w:eastAsia="fr-CA"/>
              </w:rPr>
            </w:pPr>
            <w:r>
              <w:rPr>
                <w:lang w:eastAsia="fr-CA"/>
              </w:rPr>
              <w:t>Érythrocytose</w:t>
            </w:r>
          </w:p>
          <w:p w:rsidR="00EA02AB" w:rsidRDefault="00EA02AB" w:rsidP="00EA02AB">
            <w:pPr>
              <w:pStyle w:val="Sansinterligne"/>
              <w:numPr>
                <w:ilvl w:val="0"/>
                <w:numId w:val="1625"/>
              </w:numPr>
              <w:rPr>
                <w:lang w:eastAsia="fr-CA"/>
              </w:rPr>
            </w:pPr>
            <w:r>
              <w:rPr>
                <w:lang w:eastAsia="fr-CA"/>
              </w:rPr>
              <w:t>Diarrhée aqueuse</w:t>
            </w:r>
          </w:p>
          <w:p w:rsidR="00EA02AB" w:rsidRPr="00CD2E26" w:rsidRDefault="00EA02AB" w:rsidP="00EA02AB">
            <w:pPr>
              <w:pStyle w:val="Sansinterligne"/>
              <w:numPr>
                <w:ilvl w:val="0"/>
                <w:numId w:val="1626"/>
              </w:numPr>
              <w:rPr>
                <w:lang w:eastAsia="fr-CA"/>
              </w:rPr>
            </w:pPr>
            <w:r>
              <w:rPr>
                <w:lang w:eastAsia="fr-CA"/>
              </w:rPr>
              <w:t>Métastases : poumons, os, cerveau, péritoine</w:t>
            </w:r>
          </w:p>
        </w:tc>
        <w:tc>
          <w:tcPr>
            <w:tcW w:w="3395" w:type="dxa"/>
          </w:tcPr>
          <w:p w:rsidR="00EA02AB" w:rsidRDefault="0014525E" w:rsidP="0014525E">
            <w:pPr>
              <w:pStyle w:val="Sansinterligne"/>
              <w:numPr>
                <w:ilvl w:val="0"/>
                <w:numId w:val="1627"/>
              </w:numPr>
              <w:rPr>
                <w:lang w:eastAsia="fr-CA"/>
              </w:rPr>
            </w:pPr>
            <w:r>
              <w:rPr>
                <w:lang w:eastAsia="fr-CA"/>
              </w:rPr>
              <w:t>Bilan hépatique et fonction hép.</w:t>
            </w:r>
          </w:p>
          <w:p w:rsidR="0014525E" w:rsidRDefault="0014525E" w:rsidP="0014525E">
            <w:pPr>
              <w:pStyle w:val="Sansinterligne"/>
              <w:numPr>
                <w:ilvl w:val="0"/>
                <w:numId w:val="1627"/>
              </w:numPr>
              <w:rPr>
                <w:lang w:eastAsia="fr-CA"/>
              </w:rPr>
            </w:pPr>
            <w:r>
              <w:rPr>
                <w:rFonts w:ascii="Century Gothic" w:hAnsi="Century Gothic"/>
                <w:lang w:eastAsia="fr-CA"/>
              </w:rPr>
              <w:t></w:t>
            </w:r>
            <w:r>
              <w:rPr>
                <w:lang w:eastAsia="fr-CA"/>
              </w:rPr>
              <w:t>-foetoprotéine (</w:t>
            </w:r>
            <w:r>
              <w:rPr>
                <w:rFonts w:ascii="Century Gothic" w:hAnsi="Century Gothic"/>
                <w:lang w:eastAsia="fr-CA"/>
              </w:rPr>
              <w:t>↑</w:t>
            </w:r>
            <w:r>
              <w:rPr>
                <w:lang w:eastAsia="fr-CA"/>
              </w:rPr>
              <w:t>)</w:t>
            </w:r>
          </w:p>
          <w:p w:rsidR="0014525E" w:rsidRDefault="0014525E" w:rsidP="0014525E">
            <w:pPr>
              <w:pStyle w:val="Sansinterligne"/>
              <w:numPr>
                <w:ilvl w:val="0"/>
                <w:numId w:val="1627"/>
              </w:numPr>
              <w:rPr>
                <w:lang w:eastAsia="fr-CA"/>
              </w:rPr>
            </w:pPr>
            <w:r>
              <w:rPr>
                <w:lang w:eastAsia="fr-CA"/>
              </w:rPr>
              <w:t>Échographie</w:t>
            </w:r>
          </w:p>
          <w:p w:rsidR="0014525E" w:rsidRDefault="0014525E" w:rsidP="0014525E">
            <w:pPr>
              <w:pStyle w:val="Sansinterligne"/>
              <w:numPr>
                <w:ilvl w:val="0"/>
                <w:numId w:val="1627"/>
              </w:numPr>
              <w:rPr>
                <w:lang w:eastAsia="fr-CA"/>
              </w:rPr>
            </w:pPr>
            <w:r>
              <w:rPr>
                <w:lang w:eastAsia="fr-CA"/>
              </w:rPr>
              <w:t>TDM triphasique, IRM (staging)</w:t>
            </w:r>
          </w:p>
          <w:p w:rsidR="0014525E" w:rsidRPr="00CD2E26" w:rsidRDefault="0014525E" w:rsidP="00B121E5">
            <w:pPr>
              <w:pStyle w:val="Sansinterligne"/>
              <w:rPr>
                <w:lang w:eastAsia="fr-CA"/>
              </w:rPr>
            </w:pPr>
          </w:p>
        </w:tc>
      </w:tr>
      <w:tr w:rsidR="00873F47" w:rsidRPr="00CD2E26" w:rsidTr="00E53AF0">
        <w:tc>
          <w:tcPr>
            <w:tcW w:w="2235" w:type="dxa"/>
            <w:shd w:val="clear" w:color="auto" w:fill="95B3D7" w:themeFill="accent1" w:themeFillTint="99"/>
            <w:vAlign w:val="center"/>
          </w:tcPr>
          <w:p w:rsidR="00873F47" w:rsidRPr="00CD2E26" w:rsidRDefault="00873F47" w:rsidP="009535CF">
            <w:pPr>
              <w:pStyle w:val="Sansinterligne"/>
              <w:jc w:val="center"/>
              <w:rPr>
                <w:lang w:eastAsia="fr-CA"/>
              </w:rPr>
            </w:pPr>
            <w:r>
              <w:rPr>
                <w:lang w:eastAsia="fr-CA"/>
              </w:rPr>
              <w:t>Adénocarcinome grêle</w:t>
            </w:r>
          </w:p>
        </w:tc>
        <w:tc>
          <w:tcPr>
            <w:tcW w:w="2693" w:type="dxa"/>
            <w:tcBorders>
              <w:right w:val="single" w:sz="4" w:space="0" w:color="FFFFFF" w:themeColor="background1"/>
            </w:tcBorders>
          </w:tcPr>
          <w:p w:rsidR="00873F47" w:rsidRDefault="00873F47" w:rsidP="0073422D">
            <w:pPr>
              <w:pStyle w:val="Sansinterligne"/>
              <w:numPr>
                <w:ilvl w:val="0"/>
                <w:numId w:val="1634"/>
              </w:numPr>
              <w:rPr>
                <w:lang w:eastAsia="fr-CA"/>
              </w:rPr>
            </w:pPr>
            <w:r>
              <w:rPr>
                <w:lang w:eastAsia="fr-CA"/>
              </w:rPr>
              <w:t>Douleur abdominale</w:t>
            </w:r>
          </w:p>
        </w:tc>
        <w:tc>
          <w:tcPr>
            <w:tcW w:w="2693" w:type="dxa"/>
            <w:tcBorders>
              <w:left w:val="single" w:sz="4" w:space="0" w:color="FFFFFF" w:themeColor="background1"/>
            </w:tcBorders>
          </w:tcPr>
          <w:p w:rsidR="00873F47" w:rsidRDefault="00873F47" w:rsidP="0073422D">
            <w:pPr>
              <w:pStyle w:val="Sansinterligne"/>
              <w:numPr>
                <w:ilvl w:val="0"/>
                <w:numId w:val="1634"/>
              </w:numPr>
              <w:rPr>
                <w:lang w:eastAsia="fr-CA"/>
              </w:rPr>
            </w:pPr>
            <w:r>
              <w:rPr>
                <w:lang w:eastAsia="fr-CA"/>
              </w:rPr>
              <w:t>Lymphadénopathies</w:t>
            </w:r>
          </w:p>
        </w:tc>
        <w:tc>
          <w:tcPr>
            <w:tcW w:w="3395" w:type="dxa"/>
          </w:tcPr>
          <w:p w:rsidR="00873F47" w:rsidRPr="00CD2E26" w:rsidRDefault="00873F47" w:rsidP="0073422D">
            <w:pPr>
              <w:pStyle w:val="Sansinterligne"/>
              <w:numPr>
                <w:ilvl w:val="0"/>
                <w:numId w:val="1635"/>
              </w:numPr>
              <w:rPr>
                <w:lang w:eastAsia="fr-CA"/>
              </w:rPr>
            </w:pPr>
            <w:r>
              <w:rPr>
                <w:lang w:eastAsia="fr-CA"/>
              </w:rPr>
              <w:t>TDM abdominal</w:t>
            </w:r>
          </w:p>
        </w:tc>
      </w:tr>
      <w:tr w:rsidR="00CD2E26" w:rsidRPr="00CD2E26" w:rsidTr="003B2ED8">
        <w:tc>
          <w:tcPr>
            <w:tcW w:w="2235" w:type="dxa"/>
            <w:shd w:val="clear" w:color="auto" w:fill="95B3D7" w:themeFill="accent1" w:themeFillTint="99"/>
            <w:vAlign w:val="center"/>
          </w:tcPr>
          <w:p w:rsidR="00CD2E26" w:rsidRPr="00CD2E26" w:rsidRDefault="00CD2E26" w:rsidP="009535CF">
            <w:pPr>
              <w:pStyle w:val="Sansinterligne"/>
              <w:jc w:val="center"/>
              <w:rPr>
                <w:lang w:eastAsia="fr-CA"/>
              </w:rPr>
            </w:pPr>
            <w:r w:rsidRPr="00CD2E26">
              <w:rPr>
                <w:lang w:eastAsia="fr-CA"/>
              </w:rPr>
              <w:t>Néoplasie du côlon</w:t>
            </w:r>
          </w:p>
        </w:tc>
        <w:tc>
          <w:tcPr>
            <w:tcW w:w="5386" w:type="dxa"/>
            <w:gridSpan w:val="2"/>
          </w:tcPr>
          <w:p w:rsidR="00CD2E26" w:rsidRPr="00CD2E26" w:rsidRDefault="00CD2E26" w:rsidP="00B121E5">
            <w:pPr>
              <w:pStyle w:val="Sansinterligne"/>
              <w:rPr>
                <w:lang w:eastAsia="fr-CA"/>
              </w:rPr>
            </w:pPr>
            <w:r>
              <w:rPr>
                <w:lang w:eastAsia="fr-CA"/>
              </w:rPr>
              <w:t>V</w:t>
            </w:r>
            <w:r w:rsidRPr="00CD2E26">
              <w:rPr>
                <w:lang w:eastAsia="fr-CA"/>
              </w:rPr>
              <w:t xml:space="preserve">oir </w:t>
            </w:r>
            <w:r w:rsidRPr="00CD2E26">
              <w:rPr>
                <w:i/>
                <w:lang w:eastAsia="fr-CA"/>
              </w:rPr>
              <w:t>Distension abdominale CMC 1</w:t>
            </w:r>
          </w:p>
        </w:tc>
        <w:tc>
          <w:tcPr>
            <w:tcW w:w="3395" w:type="dxa"/>
            <w:shd w:val="clear" w:color="auto" w:fill="000000" w:themeFill="text1"/>
          </w:tcPr>
          <w:p w:rsidR="00CD2E26" w:rsidRPr="00CD2E26" w:rsidRDefault="00CD2E26" w:rsidP="00B121E5">
            <w:pPr>
              <w:pStyle w:val="Sansinterligne"/>
              <w:rPr>
                <w:lang w:eastAsia="fr-CA"/>
              </w:rPr>
            </w:pPr>
          </w:p>
        </w:tc>
      </w:tr>
      <w:tr w:rsidR="00CD2E26" w:rsidRPr="00CD2E26" w:rsidTr="003B2ED8">
        <w:tc>
          <w:tcPr>
            <w:tcW w:w="2235" w:type="dxa"/>
            <w:shd w:val="clear" w:color="auto" w:fill="95B3D7" w:themeFill="accent1" w:themeFillTint="99"/>
            <w:vAlign w:val="center"/>
          </w:tcPr>
          <w:p w:rsidR="00CD2E26" w:rsidRPr="00CD2E26" w:rsidRDefault="00CD2E26" w:rsidP="009535CF">
            <w:pPr>
              <w:pStyle w:val="Sansinterligne"/>
              <w:jc w:val="center"/>
              <w:rPr>
                <w:lang w:eastAsia="fr-CA"/>
              </w:rPr>
            </w:pPr>
            <w:r w:rsidRPr="00CD2E26">
              <w:rPr>
                <w:lang w:eastAsia="fr-CA"/>
              </w:rPr>
              <w:t>Néoplasie des ovaires</w:t>
            </w:r>
          </w:p>
        </w:tc>
        <w:tc>
          <w:tcPr>
            <w:tcW w:w="5386" w:type="dxa"/>
            <w:gridSpan w:val="2"/>
          </w:tcPr>
          <w:p w:rsidR="00CD2E26" w:rsidRPr="00CD2E26" w:rsidRDefault="00CD2E26" w:rsidP="00B121E5">
            <w:pPr>
              <w:pStyle w:val="Sansinterligne"/>
              <w:rPr>
                <w:lang w:eastAsia="fr-CA"/>
              </w:rPr>
            </w:pPr>
            <w:r>
              <w:rPr>
                <w:lang w:eastAsia="fr-CA"/>
              </w:rPr>
              <w:t>V</w:t>
            </w:r>
            <w:r w:rsidRPr="00CD2E26">
              <w:rPr>
                <w:lang w:eastAsia="fr-CA"/>
              </w:rPr>
              <w:t xml:space="preserve">oir </w:t>
            </w:r>
            <w:r w:rsidRPr="00CD2E26">
              <w:rPr>
                <w:i/>
                <w:lang w:eastAsia="fr-CA"/>
              </w:rPr>
              <w:t>Distension abdominale CMC 1</w:t>
            </w:r>
          </w:p>
        </w:tc>
        <w:tc>
          <w:tcPr>
            <w:tcW w:w="3395" w:type="dxa"/>
            <w:shd w:val="clear" w:color="auto" w:fill="000000" w:themeFill="text1"/>
          </w:tcPr>
          <w:p w:rsidR="00CD2E26" w:rsidRPr="00CD2E26" w:rsidRDefault="00CD2E26" w:rsidP="00B121E5">
            <w:pPr>
              <w:pStyle w:val="Sansinterligne"/>
              <w:rPr>
                <w:lang w:eastAsia="fr-CA"/>
              </w:rPr>
            </w:pPr>
          </w:p>
        </w:tc>
      </w:tr>
      <w:tr w:rsidR="00CD2E26" w:rsidRPr="00CD2E26" w:rsidTr="008C4748">
        <w:tc>
          <w:tcPr>
            <w:tcW w:w="2235" w:type="dxa"/>
            <w:shd w:val="clear" w:color="auto" w:fill="95B3D7" w:themeFill="accent1" w:themeFillTint="99"/>
            <w:vAlign w:val="center"/>
          </w:tcPr>
          <w:p w:rsidR="00CD2E26" w:rsidRPr="008C4748" w:rsidRDefault="00835F34" w:rsidP="009535CF">
            <w:pPr>
              <w:pStyle w:val="Sansinterligne"/>
              <w:jc w:val="center"/>
              <w:rPr>
                <w:b/>
                <w:lang w:eastAsia="fr-CA"/>
              </w:rPr>
            </w:pPr>
            <w:r w:rsidRPr="008C4748">
              <w:rPr>
                <w:b/>
                <w:lang w:eastAsia="fr-CA"/>
              </w:rPr>
              <w:t>Carcinome</w:t>
            </w:r>
            <w:r w:rsidR="00CD2E26" w:rsidRPr="008C4748">
              <w:rPr>
                <w:b/>
                <w:lang w:eastAsia="fr-CA"/>
              </w:rPr>
              <w:t xml:space="preserve"> utérin</w:t>
            </w:r>
          </w:p>
        </w:tc>
        <w:tc>
          <w:tcPr>
            <w:tcW w:w="5386" w:type="dxa"/>
            <w:gridSpan w:val="2"/>
            <w:shd w:val="clear" w:color="auto" w:fill="FFFF00"/>
          </w:tcPr>
          <w:p w:rsidR="00CD2E26" w:rsidRPr="008C4748" w:rsidRDefault="00835F34" w:rsidP="0073422D">
            <w:pPr>
              <w:pStyle w:val="Sansinterligne"/>
              <w:numPr>
                <w:ilvl w:val="0"/>
                <w:numId w:val="1637"/>
              </w:numPr>
              <w:rPr>
                <w:b/>
                <w:lang w:eastAsia="fr-CA"/>
              </w:rPr>
            </w:pPr>
            <w:r w:rsidRPr="008C4748">
              <w:rPr>
                <w:b/>
                <w:lang w:eastAsia="fr-CA"/>
              </w:rPr>
              <w:t>Saignements utérins post-ménopause</w:t>
            </w:r>
          </w:p>
          <w:p w:rsidR="00835F34" w:rsidRPr="008C4748" w:rsidRDefault="003B2ED8" w:rsidP="0073422D">
            <w:pPr>
              <w:pStyle w:val="Sansinterligne"/>
              <w:numPr>
                <w:ilvl w:val="0"/>
                <w:numId w:val="1637"/>
              </w:numPr>
              <w:rPr>
                <w:b/>
                <w:lang w:eastAsia="fr-CA"/>
              </w:rPr>
            </w:pPr>
            <w:r w:rsidRPr="008C4748">
              <w:rPr>
                <w:b/>
                <w:lang w:eastAsia="fr-CA"/>
              </w:rPr>
              <w:t>Ménométrorragie (non-ménopausées)</w:t>
            </w:r>
          </w:p>
          <w:p w:rsidR="003B2ED8" w:rsidRDefault="003B2ED8" w:rsidP="0073422D">
            <w:pPr>
              <w:pStyle w:val="Sansinterligne"/>
              <w:numPr>
                <w:ilvl w:val="0"/>
                <w:numId w:val="1637"/>
              </w:numPr>
              <w:rPr>
                <w:lang w:eastAsia="fr-CA"/>
              </w:rPr>
            </w:pPr>
            <w:r>
              <w:rPr>
                <w:lang w:eastAsia="fr-CA"/>
              </w:rPr>
              <w:t>Ballonnement, pression pelvienne</w:t>
            </w:r>
          </w:p>
          <w:p w:rsidR="003B2ED8" w:rsidRDefault="003B2ED8" w:rsidP="0073422D">
            <w:pPr>
              <w:pStyle w:val="Sansinterligne"/>
              <w:numPr>
                <w:ilvl w:val="0"/>
                <w:numId w:val="1637"/>
              </w:numPr>
              <w:rPr>
                <w:lang w:eastAsia="fr-CA"/>
              </w:rPr>
            </w:pPr>
            <w:r>
              <w:rPr>
                <w:lang w:eastAsia="fr-CA"/>
              </w:rPr>
              <w:t>Constipation</w:t>
            </w:r>
          </w:p>
          <w:p w:rsidR="00660EB5" w:rsidRPr="00CD2E26" w:rsidRDefault="00660EB5" w:rsidP="0073422D">
            <w:pPr>
              <w:pStyle w:val="Sansinterligne"/>
              <w:numPr>
                <w:ilvl w:val="0"/>
                <w:numId w:val="1641"/>
              </w:numPr>
              <w:rPr>
                <w:lang w:eastAsia="fr-CA"/>
              </w:rPr>
            </w:pPr>
            <w:r>
              <w:rPr>
                <w:lang w:eastAsia="fr-CA"/>
              </w:rPr>
              <w:t>Métastases : poumons et foie</w:t>
            </w:r>
          </w:p>
        </w:tc>
        <w:tc>
          <w:tcPr>
            <w:tcW w:w="3395" w:type="dxa"/>
            <w:shd w:val="clear" w:color="auto" w:fill="FFFF00"/>
          </w:tcPr>
          <w:p w:rsidR="00CD2E26" w:rsidRPr="008C4748" w:rsidRDefault="003B2ED8" w:rsidP="0073422D">
            <w:pPr>
              <w:pStyle w:val="Sansinterligne"/>
              <w:numPr>
                <w:ilvl w:val="0"/>
                <w:numId w:val="1636"/>
              </w:numPr>
              <w:rPr>
                <w:b/>
                <w:lang w:eastAsia="fr-CA"/>
              </w:rPr>
            </w:pPr>
            <w:r w:rsidRPr="008C4748">
              <w:rPr>
                <w:b/>
                <w:lang w:eastAsia="fr-CA"/>
              </w:rPr>
              <w:t>Biopsie de l’endomètre</w:t>
            </w:r>
          </w:p>
          <w:p w:rsidR="003B2ED8" w:rsidRDefault="003B2ED8" w:rsidP="0073422D">
            <w:pPr>
              <w:pStyle w:val="Sansinterligne"/>
              <w:numPr>
                <w:ilvl w:val="0"/>
                <w:numId w:val="1636"/>
              </w:numPr>
              <w:rPr>
                <w:lang w:eastAsia="fr-CA"/>
              </w:rPr>
            </w:pPr>
            <w:r>
              <w:rPr>
                <w:lang w:eastAsia="fr-CA"/>
              </w:rPr>
              <w:t>Échographie pelvienne</w:t>
            </w:r>
          </w:p>
          <w:p w:rsidR="003B2ED8" w:rsidRPr="00CD2E26" w:rsidRDefault="003B2ED8" w:rsidP="0073422D">
            <w:pPr>
              <w:pStyle w:val="Sansinterligne"/>
              <w:numPr>
                <w:ilvl w:val="0"/>
                <w:numId w:val="1636"/>
              </w:numPr>
              <w:rPr>
                <w:lang w:eastAsia="fr-CA"/>
              </w:rPr>
            </w:pPr>
            <w:r>
              <w:rPr>
                <w:lang w:eastAsia="fr-CA"/>
              </w:rPr>
              <w:t>Pathologie sur exérèse</w:t>
            </w:r>
          </w:p>
        </w:tc>
      </w:tr>
      <w:tr w:rsidR="00CD2E26" w:rsidRPr="00CD2E26" w:rsidTr="003B2ED8">
        <w:tc>
          <w:tcPr>
            <w:tcW w:w="2235" w:type="dxa"/>
            <w:shd w:val="clear" w:color="auto" w:fill="95B3D7" w:themeFill="accent1" w:themeFillTint="99"/>
            <w:vAlign w:val="center"/>
          </w:tcPr>
          <w:p w:rsidR="00CD2E26" w:rsidRPr="00CD2E26" w:rsidRDefault="00CD2E26" w:rsidP="009535CF">
            <w:pPr>
              <w:pStyle w:val="Sansinterligne"/>
              <w:jc w:val="center"/>
              <w:rPr>
                <w:lang w:eastAsia="fr-CA"/>
              </w:rPr>
            </w:pPr>
            <w:r w:rsidRPr="00CD2E26">
              <w:rPr>
                <w:lang w:eastAsia="fr-CA"/>
              </w:rPr>
              <w:t>Léiomyomes</w:t>
            </w:r>
          </w:p>
        </w:tc>
        <w:tc>
          <w:tcPr>
            <w:tcW w:w="5386" w:type="dxa"/>
            <w:gridSpan w:val="2"/>
          </w:tcPr>
          <w:p w:rsidR="00CD2E26" w:rsidRPr="00CD2E26" w:rsidRDefault="00CD2E26" w:rsidP="00B121E5">
            <w:pPr>
              <w:pStyle w:val="Sansinterligne"/>
              <w:rPr>
                <w:lang w:eastAsia="fr-CA"/>
              </w:rPr>
            </w:pPr>
            <w:r w:rsidRPr="00CD2E26">
              <w:rPr>
                <w:lang w:eastAsia="fr-CA"/>
              </w:rPr>
              <w:t xml:space="preserve">Voir </w:t>
            </w:r>
            <w:r w:rsidRPr="00CD2E26">
              <w:rPr>
                <w:i/>
                <w:lang w:eastAsia="fr-CA"/>
              </w:rPr>
              <w:t>Douleur pelvienne CMC 73</w:t>
            </w:r>
          </w:p>
        </w:tc>
        <w:tc>
          <w:tcPr>
            <w:tcW w:w="3395" w:type="dxa"/>
            <w:shd w:val="clear" w:color="auto" w:fill="000000" w:themeFill="text1"/>
          </w:tcPr>
          <w:p w:rsidR="00CD2E26" w:rsidRPr="00CD2E26" w:rsidRDefault="00CD2E26" w:rsidP="00B121E5">
            <w:pPr>
              <w:pStyle w:val="Sansinterligne"/>
              <w:rPr>
                <w:lang w:eastAsia="fr-CA"/>
              </w:rPr>
            </w:pPr>
          </w:p>
        </w:tc>
      </w:tr>
      <w:tr w:rsidR="00CD2E26" w:rsidRPr="00CD2E26" w:rsidTr="009535CF">
        <w:tc>
          <w:tcPr>
            <w:tcW w:w="2235" w:type="dxa"/>
            <w:shd w:val="clear" w:color="auto" w:fill="95B3D7" w:themeFill="accent1" w:themeFillTint="99"/>
            <w:vAlign w:val="center"/>
          </w:tcPr>
          <w:p w:rsidR="00CD2E26" w:rsidRPr="00CD2E26" w:rsidRDefault="00CD2E26" w:rsidP="009535CF">
            <w:pPr>
              <w:pStyle w:val="Sansinterligne"/>
              <w:jc w:val="center"/>
              <w:rPr>
                <w:lang w:eastAsia="fr-CA"/>
              </w:rPr>
            </w:pPr>
            <w:r w:rsidRPr="00CD2E26">
              <w:rPr>
                <w:lang w:eastAsia="fr-CA"/>
              </w:rPr>
              <w:t>Endométriome</w:t>
            </w:r>
          </w:p>
        </w:tc>
        <w:tc>
          <w:tcPr>
            <w:tcW w:w="5386" w:type="dxa"/>
            <w:gridSpan w:val="2"/>
          </w:tcPr>
          <w:p w:rsidR="003B2ED8" w:rsidRDefault="003B2ED8" w:rsidP="0073422D">
            <w:pPr>
              <w:pStyle w:val="Sansinterligne"/>
              <w:numPr>
                <w:ilvl w:val="0"/>
                <w:numId w:val="1638"/>
              </w:numPr>
              <w:rPr>
                <w:lang w:eastAsia="fr-CA"/>
              </w:rPr>
            </w:pPr>
            <w:r>
              <w:rPr>
                <w:lang w:eastAsia="fr-CA"/>
              </w:rPr>
              <w:t xml:space="preserve">Asymptomatique ou triade de l’endométriose </w:t>
            </w:r>
          </w:p>
          <w:p w:rsidR="003B2ED8" w:rsidRDefault="003B2ED8" w:rsidP="0073422D">
            <w:pPr>
              <w:pStyle w:val="Sansinterligne"/>
              <w:numPr>
                <w:ilvl w:val="0"/>
                <w:numId w:val="1638"/>
              </w:numPr>
              <w:rPr>
                <w:lang w:eastAsia="fr-CA"/>
              </w:rPr>
            </w:pPr>
            <w:r>
              <w:rPr>
                <w:lang w:eastAsia="fr-CA"/>
              </w:rPr>
              <w:t>Dysménorrhée, dyspareunie, dyschézie</w:t>
            </w:r>
          </w:p>
          <w:p w:rsidR="003B2ED8" w:rsidRDefault="003B2ED8" w:rsidP="0073422D">
            <w:pPr>
              <w:pStyle w:val="Sansinterligne"/>
              <w:numPr>
                <w:ilvl w:val="0"/>
                <w:numId w:val="1638"/>
              </w:numPr>
              <w:rPr>
                <w:lang w:eastAsia="fr-CA"/>
              </w:rPr>
            </w:pPr>
            <w:r>
              <w:rPr>
                <w:lang w:eastAsia="fr-CA"/>
              </w:rPr>
              <w:t>Kyste ovarien d’aspect chocolaté à la laparoscopie</w:t>
            </w:r>
          </w:p>
          <w:p w:rsidR="003B2ED8" w:rsidRPr="00CD2E26" w:rsidRDefault="003B2ED8" w:rsidP="0073422D">
            <w:pPr>
              <w:pStyle w:val="Sansinterligne"/>
              <w:numPr>
                <w:ilvl w:val="0"/>
                <w:numId w:val="1638"/>
              </w:numPr>
              <w:rPr>
                <w:lang w:eastAsia="fr-CA"/>
              </w:rPr>
            </w:pPr>
            <w:r>
              <w:rPr>
                <w:lang w:eastAsia="fr-CA"/>
              </w:rPr>
              <w:t xml:space="preserve">Voir </w:t>
            </w:r>
            <w:r w:rsidRPr="00CD2E26">
              <w:rPr>
                <w:i/>
                <w:lang w:eastAsia="fr-CA"/>
              </w:rPr>
              <w:t>Douleur pelvienne CMC 73</w:t>
            </w:r>
          </w:p>
        </w:tc>
        <w:tc>
          <w:tcPr>
            <w:tcW w:w="3395" w:type="dxa"/>
          </w:tcPr>
          <w:p w:rsidR="00CD2E26" w:rsidRDefault="003B2ED8" w:rsidP="0073422D">
            <w:pPr>
              <w:pStyle w:val="Sansinterligne"/>
              <w:numPr>
                <w:ilvl w:val="0"/>
                <w:numId w:val="1639"/>
              </w:numPr>
              <w:rPr>
                <w:lang w:eastAsia="fr-CA"/>
              </w:rPr>
            </w:pPr>
            <w:r>
              <w:rPr>
                <w:lang w:eastAsia="fr-CA"/>
              </w:rPr>
              <w:t>Échographie</w:t>
            </w:r>
          </w:p>
          <w:p w:rsidR="003B2ED8" w:rsidRPr="00CD2E26" w:rsidRDefault="003B2ED8" w:rsidP="0073422D">
            <w:pPr>
              <w:pStyle w:val="Sansinterligne"/>
              <w:numPr>
                <w:ilvl w:val="0"/>
                <w:numId w:val="1639"/>
              </w:numPr>
              <w:rPr>
                <w:lang w:eastAsia="fr-CA"/>
              </w:rPr>
            </w:pPr>
            <w:r>
              <w:rPr>
                <w:lang w:eastAsia="fr-CA"/>
              </w:rPr>
              <w:t>Laparoscopie</w:t>
            </w:r>
          </w:p>
        </w:tc>
      </w:tr>
      <w:tr w:rsidR="00CD2E26" w:rsidRPr="00CD2E26" w:rsidTr="003B2ED8">
        <w:tc>
          <w:tcPr>
            <w:tcW w:w="2235" w:type="dxa"/>
            <w:shd w:val="clear" w:color="auto" w:fill="95B3D7" w:themeFill="accent1" w:themeFillTint="99"/>
            <w:vAlign w:val="center"/>
          </w:tcPr>
          <w:p w:rsidR="00CD2E26" w:rsidRPr="00CD2E26" w:rsidRDefault="00CD2E26" w:rsidP="003B2ED8">
            <w:pPr>
              <w:pStyle w:val="Sansinterligne"/>
              <w:jc w:val="center"/>
              <w:rPr>
                <w:lang w:eastAsia="fr-CA"/>
              </w:rPr>
            </w:pPr>
            <w:r w:rsidRPr="00CD2E26">
              <w:rPr>
                <w:lang w:eastAsia="fr-CA"/>
              </w:rPr>
              <w:t xml:space="preserve">Grossesse </w:t>
            </w:r>
            <w:r>
              <w:rPr>
                <w:lang w:eastAsia="fr-CA"/>
              </w:rPr>
              <w:t xml:space="preserve">         </w:t>
            </w:r>
            <w:r w:rsidRPr="00CD2E26">
              <w:rPr>
                <w:lang w:eastAsia="fr-CA"/>
              </w:rPr>
              <w:t xml:space="preserve">(ectopique </w:t>
            </w:r>
            <w:r w:rsidR="003B2ED8">
              <w:rPr>
                <w:lang w:eastAsia="fr-CA"/>
              </w:rPr>
              <w:t>/</w:t>
            </w:r>
            <w:r w:rsidRPr="00CD2E26">
              <w:rPr>
                <w:lang w:eastAsia="fr-CA"/>
              </w:rPr>
              <w:t xml:space="preserve"> </w:t>
            </w:r>
            <w:r w:rsidR="003B2ED8">
              <w:rPr>
                <w:lang w:eastAsia="fr-CA"/>
              </w:rPr>
              <w:t>in-utero</w:t>
            </w:r>
            <w:r w:rsidRPr="00CD2E26">
              <w:rPr>
                <w:lang w:eastAsia="fr-CA"/>
              </w:rPr>
              <w:t>)</w:t>
            </w:r>
          </w:p>
        </w:tc>
        <w:tc>
          <w:tcPr>
            <w:tcW w:w="5386" w:type="dxa"/>
            <w:gridSpan w:val="2"/>
          </w:tcPr>
          <w:p w:rsidR="00CD2E26" w:rsidRPr="00CD2E26" w:rsidRDefault="00CD2E26" w:rsidP="00B121E5">
            <w:pPr>
              <w:pStyle w:val="Sansinterligne"/>
              <w:rPr>
                <w:lang w:eastAsia="fr-CA"/>
              </w:rPr>
            </w:pPr>
            <w:r w:rsidRPr="00CD2E26">
              <w:rPr>
                <w:lang w:eastAsia="fr-CA"/>
              </w:rPr>
              <w:t xml:space="preserve">Voir </w:t>
            </w:r>
            <w:r w:rsidRPr="00CD2E26">
              <w:rPr>
                <w:i/>
                <w:lang w:eastAsia="fr-CA"/>
              </w:rPr>
              <w:t>Douleur pelvienne CMC 73</w:t>
            </w:r>
          </w:p>
        </w:tc>
        <w:tc>
          <w:tcPr>
            <w:tcW w:w="3395" w:type="dxa"/>
            <w:shd w:val="clear" w:color="auto" w:fill="000000" w:themeFill="text1"/>
          </w:tcPr>
          <w:p w:rsidR="00CD2E26" w:rsidRPr="00CD2E26" w:rsidRDefault="00CD2E26" w:rsidP="00B121E5">
            <w:pPr>
              <w:pStyle w:val="Sansinterligne"/>
              <w:rPr>
                <w:lang w:eastAsia="fr-CA"/>
              </w:rPr>
            </w:pPr>
          </w:p>
        </w:tc>
      </w:tr>
    </w:tbl>
    <w:p w:rsidR="00CD2E26" w:rsidRDefault="00CD2E26" w:rsidP="006F692E">
      <w:pPr>
        <w:pStyle w:val="Sansinterligne"/>
        <w:rPr>
          <w:lang w:eastAsia="fr-CA"/>
        </w:rPr>
      </w:pPr>
    </w:p>
    <w:p w:rsidR="000E3016" w:rsidRDefault="000E3016" w:rsidP="006F692E">
      <w:pPr>
        <w:pStyle w:val="Sansinterligne"/>
        <w:rPr>
          <w:lang w:eastAsia="fr-CA"/>
        </w:rPr>
      </w:pPr>
    </w:p>
    <w:p w:rsidR="000E3016" w:rsidRDefault="000E3016" w:rsidP="006F692E">
      <w:pPr>
        <w:pStyle w:val="Sansinterligne"/>
        <w:rPr>
          <w:lang w:eastAsia="fr-CA"/>
        </w:rPr>
      </w:pPr>
    </w:p>
    <w:p w:rsidR="000E3016" w:rsidRDefault="000E3016" w:rsidP="006F692E">
      <w:pPr>
        <w:pStyle w:val="Sansinterligne"/>
        <w:rPr>
          <w:lang w:eastAsia="fr-CA"/>
        </w:rPr>
      </w:pPr>
    </w:p>
    <w:p w:rsidR="000E3016" w:rsidRDefault="000E3016" w:rsidP="006F692E">
      <w:pPr>
        <w:pStyle w:val="Sansinterligne"/>
        <w:rPr>
          <w:lang w:eastAsia="fr-CA"/>
        </w:rPr>
      </w:pPr>
    </w:p>
    <w:p w:rsidR="000E3016" w:rsidRDefault="000E3016" w:rsidP="006F692E">
      <w:pPr>
        <w:pStyle w:val="Sansinterligne"/>
        <w:rPr>
          <w:lang w:eastAsia="fr-CA"/>
        </w:rPr>
      </w:pPr>
    </w:p>
    <w:p w:rsidR="000E3016" w:rsidRDefault="000E3016" w:rsidP="006F692E">
      <w:pPr>
        <w:pStyle w:val="Sansinterligne"/>
        <w:rPr>
          <w:lang w:eastAsia="fr-CA"/>
        </w:rPr>
      </w:pPr>
    </w:p>
    <w:p w:rsidR="000E3016" w:rsidRDefault="000E3016" w:rsidP="006F692E">
      <w:pPr>
        <w:pStyle w:val="Sansinterligne"/>
        <w:rPr>
          <w:lang w:eastAsia="fr-CA"/>
        </w:rPr>
      </w:pPr>
    </w:p>
    <w:p w:rsidR="000E3016" w:rsidRDefault="000E3016" w:rsidP="006F692E">
      <w:pPr>
        <w:pStyle w:val="Sansinterligne"/>
        <w:rPr>
          <w:lang w:eastAsia="fr-CA"/>
        </w:rPr>
      </w:pPr>
    </w:p>
    <w:tbl>
      <w:tblPr>
        <w:tblStyle w:val="Grilledutableau"/>
        <w:tblW w:w="0" w:type="auto"/>
        <w:tblLook w:val="04A0" w:firstRow="1" w:lastRow="0" w:firstColumn="1" w:lastColumn="0" w:noHBand="0" w:noVBand="1"/>
      </w:tblPr>
      <w:tblGrid>
        <w:gridCol w:w="2235"/>
        <w:gridCol w:w="2673"/>
        <w:gridCol w:w="2674"/>
        <w:gridCol w:w="3434"/>
      </w:tblGrid>
      <w:tr w:rsidR="00CD2E26" w:rsidRPr="00CD2E26" w:rsidTr="00CD2E26">
        <w:tc>
          <w:tcPr>
            <w:tcW w:w="2235" w:type="dxa"/>
            <w:shd w:val="clear" w:color="auto" w:fill="4F81BD" w:themeFill="accent1"/>
          </w:tcPr>
          <w:p w:rsidR="00CD2E26" w:rsidRPr="00CD2E26" w:rsidRDefault="00CD2E26" w:rsidP="00CD2E26">
            <w:pPr>
              <w:pStyle w:val="Sansinterligne"/>
              <w:jc w:val="center"/>
              <w:rPr>
                <w:i/>
                <w:lang w:eastAsia="fr-CA"/>
              </w:rPr>
            </w:pPr>
            <w:r w:rsidRPr="00CD2E26">
              <w:rPr>
                <w:i/>
                <w:lang w:eastAsia="fr-CA"/>
              </w:rPr>
              <w:t>Diagnostics</w:t>
            </w:r>
          </w:p>
        </w:tc>
        <w:tc>
          <w:tcPr>
            <w:tcW w:w="5347" w:type="dxa"/>
            <w:gridSpan w:val="2"/>
            <w:shd w:val="clear" w:color="auto" w:fill="4F81BD" w:themeFill="accent1"/>
          </w:tcPr>
          <w:p w:rsidR="00CD2E26" w:rsidRPr="00CD2E26" w:rsidRDefault="00CD2E26" w:rsidP="00CD2E26">
            <w:pPr>
              <w:pStyle w:val="Sansinterligne"/>
              <w:jc w:val="center"/>
              <w:rPr>
                <w:i/>
                <w:lang w:eastAsia="fr-CA"/>
              </w:rPr>
            </w:pPr>
            <w:r w:rsidRPr="00CD2E26">
              <w:rPr>
                <w:i/>
                <w:lang w:eastAsia="fr-CA"/>
              </w:rPr>
              <w:t>Manifestations cliniques</w:t>
            </w:r>
          </w:p>
        </w:tc>
        <w:tc>
          <w:tcPr>
            <w:tcW w:w="3434" w:type="dxa"/>
            <w:shd w:val="clear" w:color="auto" w:fill="4F81BD" w:themeFill="accent1"/>
          </w:tcPr>
          <w:p w:rsidR="00CD2E26" w:rsidRPr="00CD2E26" w:rsidRDefault="00CD2E26" w:rsidP="00CD2E26">
            <w:pPr>
              <w:pStyle w:val="Sansinterligne"/>
              <w:jc w:val="center"/>
              <w:rPr>
                <w:i/>
                <w:lang w:eastAsia="fr-CA"/>
              </w:rPr>
            </w:pPr>
            <w:r w:rsidRPr="00CD2E26">
              <w:rPr>
                <w:i/>
                <w:lang w:eastAsia="fr-CA"/>
              </w:rPr>
              <w:t>Investigations nécessaires</w:t>
            </w:r>
          </w:p>
        </w:tc>
      </w:tr>
      <w:tr w:rsidR="00CD2E26" w:rsidRPr="00CD2E26" w:rsidTr="009535CF">
        <w:tc>
          <w:tcPr>
            <w:tcW w:w="2235" w:type="dxa"/>
            <w:shd w:val="clear" w:color="auto" w:fill="95B3D7" w:themeFill="accent1" w:themeFillTint="99"/>
            <w:vAlign w:val="center"/>
          </w:tcPr>
          <w:p w:rsidR="00CD2E26" w:rsidRPr="00CD2E26" w:rsidRDefault="00CD2E26" w:rsidP="009535CF">
            <w:pPr>
              <w:pStyle w:val="Sansinterligne"/>
              <w:jc w:val="center"/>
              <w:rPr>
                <w:lang w:eastAsia="fr-CA"/>
              </w:rPr>
            </w:pPr>
            <w:r w:rsidRPr="00CD2E26">
              <w:rPr>
                <w:lang w:eastAsia="fr-CA"/>
              </w:rPr>
              <w:t>Globe vésical</w:t>
            </w:r>
          </w:p>
        </w:tc>
        <w:tc>
          <w:tcPr>
            <w:tcW w:w="5347" w:type="dxa"/>
            <w:gridSpan w:val="2"/>
          </w:tcPr>
          <w:p w:rsidR="0075346A" w:rsidRDefault="0075346A" w:rsidP="0073422D">
            <w:pPr>
              <w:pStyle w:val="Sansinterligne"/>
              <w:numPr>
                <w:ilvl w:val="0"/>
                <w:numId w:val="1644"/>
              </w:numPr>
              <w:rPr>
                <w:lang w:eastAsia="fr-CA"/>
              </w:rPr>
            </w:pPr>
            <w:r>
              <w:rPr>
                <w:lang w:eastAsia="fr-CA"/>
              </w:rPr>
              <w:t>Symptômes urinaires selon la cause</w:t>
            </w:r>
          </w:p>
          <w:p w:rsidR="0075346A" w:rsidRDefault="00353C88" w:rsidP="0073422D">
            <w:pPr>
              <w:pStyle w:val="Sansinterligne"/>
              <w:numPr>
                <w:ilvl w:val="0"/>
                <w:numId w:val="1644"/>
              </w:numPr>
              <w:rPr>
                <w:lang w:eastAsia="fr-CA"/>
              </w:rPr>
            </w:pPr>
            <w:r>
              <w:rPr>
                <w:lang w:eastAsia="fr-CA"/>
              </w:rPr>
              <w:t>Prise de</w:t>
            </w:r>
            <w:r w:rsidR="0075346A">
              <w:rPr>
                <w:lang w:eastAsia="fr-CA"/>
              </w:rPr>
              <w:t> : TCA, antipsychotiques, anticholiner</w:t>
            </w:r>
            <w:r>
              <w:rPr>
                <w:lang w:eastAsia="fr-CA"/>
              </w:rPr>
              <w:t>chiques</w:t>
            </w:r>
          </w:p>
          <w:p w:rsidR="00CD2E26" w:rsidRDefault="0075346A" w:rsidP="0073422D">
            <w:pPr>
              <w:pStyle w:val="Sansinterligne"/>
              <w:numPr>
                <w:ilvl w:val="0"/>
                <w:numId w:val="1644"/>
              </w:numPr>
              <w:rPr>
                <w:lang w:eastAsia="fr-CA"/>
              </w:rPr>
            </w:pPr>
            <w:r>
              <w:rPr>
                <w:lang w:eastAsia="fr-CA"/>
              </w:rPr>
              <w:t>Masse palpable en sus-pubien</w:t>
            </w:r>
          </w:p>
          <w:p w:rsidR="0075346A" w:rsidRPr="00CD2E26" w:rsidRDefault="0075346A" w:rsidP="0073422D">
            <w:pPr>
              <w:pStyle w:val="Sansinterligne"/>
              <w:numPr>
                <w:ilvl w:val="0"/>
                <w:numId w:val="1644"/>
              </w:numPr>
              <w:rPr>
                <w:lang w:eastAsia="fr-CA"/>
              </w:rPr>
            </w:pPr>
            <w:r>
              <w:rPr>
                <w:lang w:eastAsia="fr-CA"/>
              </w:rPr>
              <w:t>Palpation cause une envie d’uriner</w:t>
            </w:r>
          </w:p>
        </w:tc>
        <w:tc>
          <w:tcPr>
            <w:tcW w:w="3434" w:type="dxa"/>
          </w:tcPr>
          <w:p w:rsidR="00CD2E26" w:rsidRPr="00CD2E26" w:rsidRDefault="0075346A" w:rsidP="00B121E5">
            <w:pPr>
              <w:pStyle w:val="Sansinterligne"/>
              <w:rPr>
                <w:lang w:eastAsia="fr-CA"/>
              </w:rPr>
            </w:pPr>
            <w:r>
              <w:rPr>
                <w:lang w:eastAsia="fr-CA"/>
              </w:rPr>
              <w:t>Bladderscan PRN                                  (écho post-vidange)</w:t>
            </w:r>
          </w:p>
        </w:tc>
      </w:tr>
      <w:tr w:rsidR="00CD2E26" w:rsidRPr="00CD2E26" w:rsidTr="002D4C23">
        <w:tc>
          <w:tcPr>
            <w:tcW w:w="2235" w:type="dxa"/>
            <w:shd w:val="clear" w:color="auto" w:fill="95B3D7" w:themeFill="accent1" w:themeFillTint="99"/>
            <w:vAlign w:val="center"/>
          </w:tcPr>
          <w:p w:rsidR="00CD2E26" w:rsidRPr="002D4C23" w:rsidRDefault="0075346A" w:rsidP="009535CF">
            <w:pPr>
              <w:pStyle w:val="Sansinterligne"/>
              <w:jc w:val="center"/>
              <w:rPr>
                <w:b/>
                <w:lang w:eastAsia="fr-CA"/>
              </w:rPr>
            </w:pPr>
            <w:r w:rsidRPr="002D4C23">
              <w:rPr>
                <w:b/>
                <w:lang w:eastAsia="fr-CA"/>
              </w:rPr>
              <w:t>Carcinome urothélial (vessie)</w:t>
            </w:r>
          </w:p>
        </w:tc>
        <w:tc>
          <w:tcPr>
            <w:tcW w:w="5347" w:type="dxa"/>
            <w:gridSpan w:val="2"/>
            <w:shd w:val="clear" w:color="auto" w:fill="FFFF00"/>
          </w:tcPr>
          <w:p w:rsidR="00CD2E26" w:rsidRPr="00E53AF0" w:rsidRDefault="0075346A" w:rsidP="0073422D">
            <w:pPr>
              <w:pStyle w:val="Sansinterligne"/>
              <w:numPr>
                <w:ilvl w:val="0"/>
                <w:numId w:val="1645"/>
              </w:numPr>
              <w:rPr>
                <w:b/>
                <w:lang w:eastAsia="fr-CA"/>
              </w:rPr>
            </w:pPr>
            <w:r w:rsidRPr="00E53AF0">
              <w:rPr>
                <w:b/>
                <w:lang w:eastAsia="fr-CA"/>
              </w:rPr>
              <w:t>Hématurie</w:t>
            </w:r>
          </w:p>
          <w:p w:rsidR="0075346A" w:rsidRDefault="0075346A" w:rsidP="0073422D">
            <w:pPr>
              <w:pStyle w:val="Sansinterligne"/>
              <w:numPr>
                <w:ilvl w:val="0"/>
                <w:numId w:val="1645"/>
              </w:numPr>
              <w:rPr>
                <w:lang w:eastAsia="fr-CA"/>
              </w:rPr>
            </w:pPr>
            <w:r>
              <w:rPr>
                <w:lang w:eastAsia="fr-CA"/>
              </w:rPr>
              <w:t>Douleur variable</w:t>
            </w:r>
          </w:p>
          <w:p w:rsidR="0075346A" w:rsidRDefault="0075346A" w:rsidP="0073422D">
            <w:pPr>
              <w:pStyle w:val="Sansinterligne"/>
              <w:numPr>
                <w:ilvl w:val="0"/>
                <w:numId w:val="1645"/>
              </w:numPr>
              <w:rPr>
                <w:lang w:eastAsia="fr-CA"/>
              </w:rPr>
            </w:pPr>
            <w:r>
              <w:rPr>
                <w:lang w:eastAsia="fr-CA"/>
              </w:rPr>
              <w:t>Incontinence, urgenturie</w:t>
            </w:r>
          </w:p>
          <w:p w:rsidR="0075346A" w:rsidRPr="00CD2E26" w:rsidRDefault="0075346A" w:rsidP="0073422D">
            <w:pPr>
              <w:pStyle w:val="Sansinterligne"/>
              <w:numPr>
                <w:ilvl w:val="0"/>
                <w:numId w:val="1645"/>
              </w:numPr>
              <w:rPr>
                <w:lang w:eastAsia="fr-CA"/>
              </w:rPr>
            </w:pPr>
            <w:r>
              <w:rPr>
                <w:lang w:eastAsia="fr-CA"/>
              </w:rPr>
              <w:t>Pollakiurie, nycturie</w:t>
            </w:r>
          </w:p>
        </w:tc>
        <w:tc>
          <w:tcPr>
            <w:tcW w:w="3434" w:type="dxa"/>
            <w:shd w:val="clear" w:color="auto" w:fill="FFFF00"/>
          </w:tcPr>
          <w:p w:rsidR="00CD2E26" w:rsidRDefault="0075346A" w:rsidP="0073422D">
            <w:pPr>
              <w:pStyle w:val="Sansinterligne"/>
              <w:numPr>
                <w:ilvl w:val="0"/>
                <w:numId w:val="1646"/>
              </w:numPr>
              <w:rPr>
                <w:lang w:eastAsia="fr-CA"/>
              </w:rPr>
            </w:pPr>
            <w:r>
              <w:rPr>
                <w:lang w:eastAsia="fr-CA"/>
              </w:rPr>
              <w:t>SMU-DCA</w:t>
            </w:r>
          </w:p>
          <w:p w:rsidR="0075346A" w:rsidRPr="00E53AF0" w:rsidRDefault="0075346A" w:rsidP="0073422D">
            <w:pPr>
              <w:pStyle w:val="Sansinterligne"/>
              <w:numPr>
                <w:ilvl w:val="0"/>
                <w:numId w:val="1646"/>
              </w:numPr>
              <w:rPr>
                <w:b/>
                <w:lang w:eastAsia="fr-CA"/>
              </w:rPr>
            </w:pPr>
            <w:r w:rsidRPr="00E53AF0">
              <w:rPr>
                <w:b/>
                <w:lang w:eastAsia="fr-CA"/>
              </w:rPr>
              <w:t>Cytologie urinaire</w:t>
            </w:r>
          </w:p>
          <w:p w:rsidR="0075346A" w:rsidRDefault="0075346A" w:rsidP="0073422D">
            <w:pPr>
              <w:pStyle w:val="Sansinterligne"/>
              <w:numPr>
                <w:ilvl w:val="0"/>
                <w:numId w:val="1646"/>
              </w:numPr>
              <w:rPr>
                <w:lang w:eastAsia="fr-CA"/>
              </w:rPr>
            </w:pPr>
            <w:r>
              <w:rPr>
                <w:lang w:eastAsia="fr-CA"/>
              </w:rPr>
              <w:t>Échographie vésicale</w:t>
            </w:r>
          </w:p>
          <w:p w:rsidR="0075346A" w:rsidRPr="00E53AF0" w:rsidRDefault="0075346A" w:rsidP="0073422D">
            <w:pPr>
              <w:pStyle w:val="Sansinterligne"/>
              <w:numPr>
                <w:ilvl w:val="0"/>
                <w:numId w:val="1646"/>
              </w:numPr>
              <w:rPr>
                <w:b/>
                <w:lang w:eastAsia="fr-CA"/>
              </w:rPr>
            </w:pPr>
            <w:r w:rsidRPr="00E53AF0">
              <w:rPr>
                <w:b/>
                <w:lang w:eastAsia="fr-CA"/>
              </w:rPr>
              <w:t>Cystoscopie + biopsie (étalon)</w:t>
            </w:r>
          </w:p>
        </w:tc>
      </w:tr>
      <w:tr w:rsidR="00CD2E26" w:rsidRPr="00CD2E26" w:rsidTr="000E3016">
        <w:tc>
          <w:tcPr>
            <w:tcW w:w="2235" w:type="dxa"/>
            <w:shd w:val="clear" w:color="auto" w:fill="95B3D7" w:themeFill="accent1" w:themeFillTint="99"/>
            <w:vAlign w:val="center"/>
          </w:tcPr>
          <w:p w:rsidR="00CD2E26" w:rsidRPr="000E3016" w:rsidRDefault="00CD2E26" w:rsidP="009535CF">
            <w:pPr>
              <w:pStyle w:val="Sansinterligne"/>
              <w:jc w:val="center"/>
              <w:rPr>
                <w:b/>
                <w:lang w:eastAsia="fr-CA"/>
              </w:rPr>
            </w:pPr>
            <w:r w:rsidRPr="000E3016">
              <w:rPr>
                <w:b/>
                <w:lang w:eastAsia="fr-CA"/>
              </w:rPr>
              <w:lastRenderedPageBreak/>
              <w:t>Néoplasie de la prostate</w:t>
            </w:r>
          </w:p>
        </w:tc>
        <w:tc>
          <w:tcPr>
            <w:tcW w:w="5347" w:type="dxa"/>
            <w:gridSpan w:val="2"/>
            <w:shd w:val="clear" w:color="auto" w:fill="FFFF00"/>
          </w:tcPr>
          <w:p w:rsidR="00CD2E26" w:rsidRPr="000E3016" w:rsidRDefault="00353C88" w:rsidP="0073422D">
            <w:pPr>
              <w:pStyle w:val="Sansinterligne"/>
              <w:numPr>
                <w:ilvl w:val="0"/>
                <w:numId w:val="1647"/>
              </w:numPr>
              <w:rPr>
                <w:b/>
                <w:lang w:eastAsia="fr-CA"/>
              </w:rPr>
            </w:pPr>
            <w:r w:rsidRPr="000E3016">
              <w:rPr>
                <w:b/>
                <w:lang w:eastAsia="fr-CA"/>
              </w:rPr>
              <w:t>Asymptomatique le plus souvent</w:t>
            </w:r>
          </w:p>
          <w:p w:rsidR="00353C88" w:rsidRDefault="00353C88" w:rsidP="0073422D">
            <w:pPr>
              <w:pStyle w:val="Sansinterligne"/>
              <w:numPr>
                <w:ilvl w:val="0"/>
                <w:numId w:val="1647"/>
              </w:numPr>
              <w:rPr>
                <w:lang w:eastAsia="fr-CA"/>
              </w:rPr>
            </w:pPr>
            <w:r>
              <w:rPr>
                <w:lang w:eastAsia="fr-CA"/>
              </w:rPr>
              <w:t>Difficulté à initier la miction</w:t>
            </w:r>
          </w:p>
          <w:p w:rsidR="00353C88" w:rsidRPr="000E3016" w:rsidRDefault="00353C88" w:rsidP="0073422D">
            <w:pPr>
              <w:pStyle w:val="Sansinterligne"/>
              <w:numPr>
                <w:ilvl w:val="0"/>
                <w:numId w:val="1647"/>
              </w:numPr>
              <w:rPr>
                <w:b/>
                <w:lang w:eastAsia="fr-CA"/>
              </w:rPr>
            </w:pPr>
            <w:r w:rsidRPr="000E3016">
              <w:rPr>
                <w:b/>
                <w:lang w:eastAsia="fr-CA"/>
              </w:rPr>
              <w:t>Diminution de la majesté du jet</w:t>
            </w:r>
          </w:p>
          <w:p w:rsidR="00353C88" w:rsidRDefault="00353C88" w:rsidP="0073422D">
            <w:pPr>
              <w:pStyle w:val="Sansinterligne"/>
              <w:numPr>
                <w:ilvl w:val="0"/>
                <w:numId w:val="1647"/>
              </w:numPr>
              <w:rPr>
                <w:lang w:eastAsia="fr-CA"/>
              </w:rPr>
            </w:pPr>
            <w:r>
              <w:rPr>
                <w:lang w:eastAsia="fr-CA"/>
              </w:rPr>
              <w:t>Sensation de vidange incomplète</w:t>
            </w:r>
          </w:p>
          <w:p w:rsidR="00C67DF6" w:rsidRDefault="00C67DF6" w:rsidP="0073422D">
            <w:pPr>
              <w:pStyle w:val="Sansinterligne"/>
              <w:numPr>
                <w:ilvl w:val="0"/>
                <w:numId w:val="1647"/>
              </w:numPr>
              <w:rPr>
                <w:lang w:eastAsia="fr-CA"/>
              </w:rPr>
            </w:pPr>
            <w:r>
              <w:rPr>
                <w:lang w:eastAsia="fr-CA"/>
              </w:rPr>
              <w:t>Nodule palpables au toucher rectal (pas toujours)</w:t>
            </w:r>
          </w:p>
          <w:p w:rsidR="00353C88" w:rsidRPr="000E3016" w:rsidRDefault="00353C88" w:rsidP="0073422D">
            <w:pPr>
              <w:pStyle w:val="Sansinterligne"/>
              <w:numPr>
                <w:ilvl w:val="0"/>
                <w:numId w:val="1648"/>
              </w:numPr>
              <w:rPr>
                <w:b/>
                <w:lang w:eastAsia="fr-CA"/>
              </w:rPr>
            </w:pPr>
            <w:r w:rsidRPr="000E3016">
              <w:rPr>
                <w:b/>
                <w:lang w:eastAsia="fr-CA"/>
              </w:rPr>
              <w:t>Métastases osseuses surtout</w:t>
            </w:r>
          </w:p>
        </w:tc>
        <w:tc>
          <w:tcPr>
            <w:tcW w:w="3434" w:type="dxa"/>
            <w:shd w:val="clear" w:color="auto" w:fill="FFFF00"/>
          </w:tcPr>
          <w:p w:rsidR="00353C88" w:rsidRPr="00E53AF0" w:rsidRDefault="00353C88" w:rsidP="0073422D">
            <w:pPr>
              <w:pStyle w:val="Sansinterligne"/>
              <w:numPr>
                <w:ilvl w:val="0"/>
                <w:numId w:val="1649"/>
              </w:numPr>
              <w:rPr>
                <w:b/>
                <w:lang w:eastAsia="fr-CA"/>
              </w:rPr>
            </w:pPr>
            <w:r w:rsidRPr="00E53AF0">
              <w:rPr>
                <w:b/>
                <w:lang w:eastAsia="fr-CA"/>
              </w:rPr>
              <w:t>APS (PSA)</w:t>
            </w:r>
          </w:p>
          <w:p w:rsidR="00353C88" w:rsidRPr="00E53AF0" w:rsidRDefault="00353C88" w:rsidP="0073422D">
            <w:pPr>
              <w:pStyle w:val="Sansinterligne"/>
              <w:numPr>
                <w:ilvl w:val="0"/>
                <w:numId w:val="1649"/>
              </w:numPr>
              <w:rPr>
                <w:b/>
                <w:lang w:eastAsia="fr-CA"/>
              </w:rPr>
            </w:pPr>
            <w:r w:rsidRPr="00E53AF0">
              <w:rPr>
                <w:b/>
                <w:lang w:eastAsia="fr-CA"/>
              </w:rPr>
              <w:t>Biopsie guidée par écho transrectale</w:t>
            </w:r>
          </w:p>
          <w:p w:rsidR="00353C88" w:rsidRDefault="00353C88" w:rsidP="0073422D">
            <w:pPr>
              <w:pStyle w:val="Sansinterligne"/>
              <w:numPr>
                <w:ilvl w:val="0"/>
                <w:numId w:val="1649"/>
              </w:numPr>
              <w:rPr>
                <w:lang w:eastAsia="fr-CA"/>
              </w:rPr>
            </w:pPr>
            <w:r>
              <w:rPr>
                <w:lang w:eastAsia="fr-CA"/>
              </w:rPr>
              <w:t>TDM (staging)</w:t>
            </w:r>
          </w:p>
          <w:p w:rsidR="00353C88" w:rsidRPr="00CD2E26" w:rsidRDefault="00353C88" w:rsidP="0073422D">
            <w:pPr>
              <w:pStyle w:val="Sansinterligne"/>
              <w:numPr>
                <w:ilvl w:val="0"/>
                <w:numId w:val="1649"/>
              </w:numPr>
              <w:rPr>
                <w:lang w:eastAsia="fr-CA"/>
              </w:rPr>
            </w:pPr>
            <w:r>
              <w:rPr>
                <w:lang w:eastAsia="fr-CA"/>
              </w:rPr>
              <w:t>Scintigraphie osseuse (métastases)</w:t>
            </w:r>
          </w:p>
        </w:tc>
      </w:tr>
      <w:tr w:rsidR="00CD2E26" w:rsidRPr="00CD2E26" w:rsidTr="009535CF">
        <w:tc>
          <w:tcPr>
            <w:tcW w:w="2235" w:type="dxa"/>
            <w:shd w:val="clear" w:color="auto" w:fill="95B3D7" w:themeFill="accent1" w:themeFillTint="99"/>
            <w:vAlign w:val="center"/>
          </w:tcPr>
          <w:p w:rsidR="00CD2E26" w:rsidRPr="00CD2E26" w:rsidRDefault="00CD2E26" w:rsidP="009535CF">
            <w:pPr>
              <w:pStyle w:val="Sansinterligne"/>
              <w:jc w:val="center"/>
              <w:rPr>
                <w:lang w:eastAsia="fr-CA"/>
              </w:rPr>
            </w:pPr>
            <w:r w:rsidRPr="00CD2E26">
              <w:rPr>
                <w:lang w:eastAsia="fr-CA"/>
              </w:rPr>
              <w:t>H</w:t>
            </w:r>
            <w:r w:rsidR="00E53AF0">
              <w:rPr>
                <w:lang w:eastAsia="fr-CA"/>
              </w:rPr>
              <w:t>yperplasie bénigne de la prostate (H</w:t>
            </w:r>
            <w:r w:rsidRPr="00CD2E26">
              <w:rPr>
                <w:lang w:eastAsia="fr-CA"/>
              </w:rPr>
              <w:t>BP</w:t>
            </w:r>
            <w:r w:rsidR="00E53AF0">
              <w:rPr>
                <w:lang w:eastAsia="fr-CA"/>
              </w:rPr>
              <w:t>)</w:t>
            </w:r>
          </w:p>
        </w:tc>
        <w:tc>
          <w:tcPr>
            <w:tcW w:w="5347" w:type="dxa"/>
            <w:gridSpan w:val="2"/>
          </w:tcPr>
          <w:p w:rsidR="00C67DF6" w:rsidRDefault="00C67DF6" w:rsidP="0073422D">
            <w:pPr>
              <w:pStyle w:val="Sansinterligne"/>
              <w:numPr>
                <w:ilvl w:val="0"/>
                <w:numId w:val="1647"/>
              </w:numPr>
              <w:rPr>
                <w:lang w:eastAsia="fr-CA"/>
              </w:rPr>
            </w:pPr>
            <w:r>
              <w:rPr>
                <w:lang w:eastAsia="fr-CA"/>
              </w:rPr>
              <w:t>Difficulté à initier la miction</w:t>
            </w:r>
          </w:p>
          <w:p w:rsidR="00C67DF6" w:rsidRDefault="00C67DF6" w:rsidP="0073422D">
            <w:pPr>
              <w:pStyle w:val="Sansinterligne"/>
              <w:numPr>
                <w:ilvl w:val="0"/>
                <w:numId w:val="1647"/>
              </w:numPr>
              <w:rPr>
                <w:lang w:eastAsia="fr-CA"/>
              </w:rPr>
            </w:pPr>
            <w:r>
              <w:rPr>
                <w:lang w:eastAsia="fr-CA"/>
              </w:rPr>
              <w:t>Diminution de la majesté du jet</w:t>
            </w:r>
          </w:p>
          <w:p w:rsidR="00C67DF6" w:rsidRDefault="00C67DF6" w:rsidP="0073422D">
            <w:pPr>
              <w:pStyle w:val="Sansinterligne"/>
              <w:numPr>
                <w:ilvl w:val="0"/>
                <w:numId w:val="1647"/>
              </w:numPr>
              <w:rPr>
                <w:lang w:eastAsia="fr-CA"/>
              </w:rPr>
            </w:pPr>
            <w:r>
              <w:rPr>
                <w:lang w:eastAsia="fr-CA"/>
              </w:rPr>
              <w:t>Sensation de vidange incomplète</w:t>
            </w:r>
          </w:p>
          <w:p w:rsidR="00C67DF6" w:rsidRDefault="00C67DF6" w:rsidP="0073422D">
            <w:pPr>
              <w:pStyle w:val="Sansinterligne"/>
              <w:numPr>
                <w:ilvl w:val="0"/>
                <w:numId w:val="1647"/>
              </w:numPr>
              <w:rPr>
                <w:lang w:eastAsia="fr-CA"/>
              </w:rPr>
            </w:pPr>
            <w:r>
              <w:rPr>
                <w:lang w:eastAsia="fr-CA"/>
              </w:rPr>
              <w:t>Au TR : Prostate élargie de façon diffuse</w:t>
            </w:r>
          </w:p>
          <w:p w:rsidR="00C67DF6" w:rsidRPr="00C67DF6" w:rsidRDefault="00C67DF6" w:rsidP="00B121E5">
            <w:pPr>
              <w:pStyle w:val="Sansinterligne"/>
              <w:rPr>
                <w:u w:val="single"/>
                <w:lang w:eastAsia="fr-CA"/>
              </w:rPr>
            </w:pPr>
            <w:r w:rsidRPr="00C67DF6">
              <w:rPr>
                <w:u w:val="single"/>
                <w:lang w:eastAsia="fr-CA"/>
              </w:rPr>
              <w:t>Peut se compliquer de :</w:t>
            </w:r>
          </w:p>
          <w:p w:rsidR="00C67DF6" w:rsidRPr="00CD2E26" w:rsidRDefault="00C67DF6" w:rsidP="0073422D">
            <w:pPr>
              <w:pStyle w:val="Sansinterligne"/>
              <w:numPr>
                <w:ilvl w:val="0"/>
                <w:numId w:val="1653"/>
              </w:numPr>
              <w:rPr>
                <w:lang w:eastAsia="fr-CA"/>
              </w:rPr>
            </w:pPr>
            <w:r>
              <w:rPr>
                <w:lang w:eastAsia="fr-CA"/>
              </w:rPr>
              <w:t>Hydronéphrose, IR post-rénale, incontinence, infections urinaires, urolithiases, etc.</w:t>
            </w:r>
          </w:p>
        </w:tc>
        <w:tc>
          <w:tcPr>
            <w:tcW w:w="3434" w:type="dxa"/>
          </w:tcPr>
          <w:p w:rsidR="00CD2E26" w:rsidRPr="00E53AF0" w:rsidRDefault="00C67DF6" w:rsidP="0073422D">
            <w:pPr>
              <w:pStyle w:val="Sansinterligne"/>
              <w:numPr>
                <w:ilvl w:val="0"/>
                <w:numId w:val="1654"/>
              </w:numPr>
              <w:rPr>
                <w:b/>
                <w:lang w:eastAsia="fr-CA"/>
              </w:rPr>
            </w:pPr>
            <w:r w:rsidRPr="00E53AF0">
              <w:rPr>
                <w:b/>
                <w:lang w:eastAsia="fr-CA"/>
              </w:rPr>
              <w:t>Toucher rectal</w:t>
            </w:r>
          </w:p>
          <w:p w:rsidR="00C67DF6" w:rsidRDefault="00C67DF6" w:rsidP="0073422D">
            <w:pPr>
              <w:pStyle w:val="Sansinterligne"/>
              <w:numPr>
                <w:ilvl w:val="0"/>
                <w:numId w:val="1654"/>
              </w:numPr>
              <w:rPr>
                <w:lang w:eastAsia="fr-CA"/>
              </w:rPr>
            </w:pPr>
            <w:r>
              <w:rPr>
                <w:lang w:eastAsia="fr-CA"/>
              </w:rPr>
              <w:t>SMU</w:t>
            </w:r>
          </w:p>
          <w:p w:rsidR="00C67DF6" w:rsidRDefault="00C67DF6" w:rsidP="0073422D">
            <w:pPr>
              <w:pStyle w:val="Sansinterligne"/>
              <w:numPr>
                <w:ilvl w:val="0"/>
                <w:numId w:val="1654"/>
              </w:numPr>
              <w:rPr>
                <w:lang w:eastAsia="fr-CA"/>
              </w:rPr>
            </w:pPr>
            <w:r>
              <w:rPr>
                <w:lang w:eastAsia="fr-CA"/>
              </w:rPr>
              <w:t xml:space="preserve">Créatinine </w:t>
            </w:r>
          </w:p>
          <w:p w:rsidR="00C67DF6" w:rsidRDefault="00C67DF6" w:rsidP="0073422D">
            <w:pPr>
              <w:pStyle w:val="Sansinterligne"/>
              <w:numPr>
                <w:ilvl w:val="0"/>
                <w:numId w:val="1654"/>
              </w:numPr>
              <w:rPr>
                <w:lang w:eastAsia="fr-CA"/>
              </w:rPr>
            </w:pPr>
            <w:r>
              <w:rPr>
                <w:lang w:eastAsia="fr-CA"/>
              </w:rPr>
              <w:t>Échographie (hydronéphrose)</w:t>
            </w:r>
          </w:p>
          <w:p w:rsidR="00C67DF6" w:rsidRPr="00E53AF0" w:rsidRDefault="00C67DF6" w:rsidP="0073422D">
            <w:pPr>
              <w:pStyle w:val="Sansinterligne"/>
              <w:numPr>
                <w:ilvl w:val="0"/>
                <w:numId w:val="1654"/>
              </w:numPr>
              <w:rPr>
                <w:b/>
                <w:lang w:eastAsia="fr-CA"/>
              </w:rPr>
            </w:pPr>
            <w:r w:rsidRPr="00E53AF0">
              <w:rPr>
                <w:b/>
                <w:lang w:eastAsia="fr-CA"/>
              </w:rPr>
              <w:t>APS (PSA)</w:t>
            </w:r>
          </w:p>
        </w:tc>
      </w:tr>
      <w:tr w:rsidR="00E53AF0" w:rsidRPr="00CD2E26" w:rsidTr="00E53AF0">
        <w:tc>
          <w:tcPr>
            <w:tcW w:w="2235" w:type="dxa"/>
            <w:shd w:val="clear" w:color="auto" w:fill="95B3D7" w:themeFill="accent1" w:themeFillTint="99"/>
            <w:vAlign w:val="center"/>
          </w:tcPr>
          <w:p w:rsidR="00E53AF0" w:rsidRPr="00CD2E26" w:rsidRDefault="00E53AF0" w:rsidP="009535CF">
            <w:pPr>
              <w:pStyle w:val="Sansinterligne"/>
              <w:jc w:val="center"/>
              <w:rPr>
                <w:lang w:eastAsia="fr-CA"/>
              </w:rPr>
            </w:pPr>
            <w:bookmarkStart w:id="5" w:name="%C3%89tiologie5.3"/>
            <w:r w:rsidRPr="00CD2E26">
              <w:rPr>
                <w:lang w:eastAsia="fr-CA"/>
              </w:rPr>
              <w:t>Anévrysme de l’aorte abdominale</w:t>
            </w:r>
          </w:p>
        </w:tc>
        <w:tc>
          <w:tcPr>
            <w:tcW w:w="2673" w:type="dxa"/>
            <w:tcBorders>
              <w:right w:val="single" w:sz="4" w:space="0" w:color="FFFFFF" w:themeColor="background1"/>
            </w:tcBorders>
          </w:tcPr>
          <w:p w:rsidR="00E53AF0" w:rsidRDefault="00E53AF0" w:rsidP="0073422D">
            <w:pPr>
              <w:pStyle w:val="Sansinterligne"/>
              <w:numPr>
                <w:ilvl w:val="0"/>
                <w:numId w:val="1655"/>
              </w:numPr>
              <w:rPr>
                <w:lang w:eastAsia="fr-CA"/>
              </w:rPr>
            </w:pPr>
            <w:r>
              <w:rPr>
                <w:lang w:eastAsia="fr-CA"/>
              </w:rPr>
              <w:t>Généralement asymptomatique</w:t>
            </w:r>
          </w:p>
          <w:p w:rsidR="00E53AF0" w:rsidRDefault="00E53AF0" w:rsidP="0073422D">
            <w:pPr>
              <w:pStyle w:val="Sansinterligne"/>
              <w:numPr>
                <w:ilvl w:val="0"/>
                <w:numId w:val="1655"/>
              </w:numPr>
              <w:rPr>
                <w:lang w:eastAsia="fr-CA"/>
              </w:rPr>
            </w:pPr>
            <w:r>
              <w:rPr>
                <w:lang w:eastAsia="fr-CA"/>
              </w:rPr>
              <w:t>Symptomatique si rupturé ou aigu</w:t>
            </w:r>
          </w:p>
          <w:p w:rsidR="00E53AF0" w:rsidRDefault="00E53AF0" w:rsidP="0073422D">
            <w:pPr>
              <w:pStyle w:val="Sansinterligne"/>
              <w:numPr>
                <w:ilvl w:val="0"/>
                <w:numId w:val="1655"/>
              </w:numPr>
              <w:rPr>
                <w:lang w:eastAsia="fr-CA"/>
              </w:rPr>
            </w:pPr>
            <w:r>
              <w:rPr>
                <w:lang w:eastAsia="fr-CA"/>
              </w:rPr>
              <w:t>Syncope</w:t>
            </w:r>
          </w:p>
        </w:tc>
        <w:tc>
          <w:tcPr>
            <w:tcW w:w="2674" w:type="dxa"/>
            <w:tcBorders>
              <w:left w:val="single" w:sz="4" w:space="0" w:color="FFFFFF" w:themeColor="background1"/>
            </w:tcBorders>
          </w:tcPr>
          <w:p w:rsidR="00E53AF0" w:rsidRPr="00E53AF0" w:rsidRDefault="00E53AF0" w:rsidP="0073422D">
            <w:pPr>
              <w:pStyle w:val="Sansinterligne"/>
              <w:numPr>
                <w:ilvl w:val="0"/>
                <w:numId w:val="1655"/>
              </w:numPr>
              <w:rPr>
                <w:b/>
                <w:lang w:eastAsia="fr-CA"/>
              </w:rPr>
            </w:pPr>
            <w:r w:rsidRPr="00E53AF0">
              <w:rPr>
                <w:b/>
                <w:lang w:eastAsia="fr-CA"/>
              </w:rPr>
              <w:t>Douleur abdominale</w:t>
            </w:r>
          </w:p>
          <w:p w:rsidR="00E53AF0" w:rsidRPr="00E53AF0" w:rsidRDefault="00E53AF0" w:rsidP="0073422D">
            <w:pPr>
              <w:pStyle w:val="Sansinterligne"/>
              <w:numPr>
                <w:ilvl w:val="0"/>
                <w:numId w:val="1655"/>
              </w:numPr>
              <w:rPr>
                <w:b/>
                <w:lang w:eastAsia="fr-CA"/>
              </w:rPr>
            </w:pPr>
            <w:r w:rsidRPr="00E53AF0">
              <w:rPr>
                <w:b/>
                <w:lang w:eastAsia="fr-CA"/>
              </w:rPr>
              <w:t>Hypotension</w:t>
            </w:r>
          </w:p>
          <w:p w:rsidR="00E53AF0" w:rsidRPr="00CD2E26" w:rsidRDefault="00E53AF0" w:rsidP="0073422D">
            <w:pPr>
              <w:pStyle w:val="Sansinterligne"/>
              <w:numPr>
                <w:ilvl w:val="0"/>
                <w:numId w:val="1655"/>
              </w:numPr>
              <w:rPr>
                <w:lang w:eastAsia="fr-CA"/>
              </w:rPr>
            </w:pPr>
            <w:r w:rsidRPr="00E53AF0">
              <w:rPr>
                <w:b/>
                <w:lang w:eastAsia="fr-CA"/>
              </w:rPr>
              <w:t>Masse pulsatile palpable</w:t>
            </w:r>
          </w:p>
        </w:tc>
        <w:tc>
          <w:tcPr>
            <w:tcW w:w="3434" w:type="dxa"/>
          </w:tcPr>
          <w:p w:rsidR="00E53AF0" w:rsidRDefault="00E53AF0" w:rsidP="0073422D">
            <w:pPr>
              <w:pStyle w:val="Sansinterligne"/>
              <w:numPr>
                <w:ilvl w:val="0"/>
                <w:numId w:val="1654"/>
              </w:numPr>
              <w:rPr>
                <w:lang w:eastAsia="fr-CA"/>
              </w:rPr>
            </w:pPr>
            <w:r>
              <w:rPr>
                <w:lang w:eastAsia="fr-CA"/>
              </w:rPr>
              <w:t>FSC, INR, groupé-croisé</w:t>
            </w:r>
          </w:p>
          <w:p w:rsidR="00E53AF0" w:rsidRDefault="00E53AF0" w:rsidP="0073422D">
            <w:pPr>
              <w:pStyle w:val="Sansinterligne"/>
              <w:numPr>
                <w:ilvl w:val="0"/>
                <w:numId w:val="1654"/>
              </w:numPr>
              <w:rPr>
                <w:lang w:eastAsia="fr-CA"/>
              </w:rPr>
            </w:pPr>
            <w:r>
              <w:rPr>
                <w:lang w:eastAsia="fr-CA"/>
              </w:rPr>
              <w:t>Échographie abdominale</w:t>
            </w:r>
          </w:p>
          <w:p w:rsidR="00E53AF0" w:rsidRPr="00CD2E26" w:rsidRDefault="00E53AF0" w:rsidP="0073422D">
            <w:pPr>
              <w:pStyle w:val="Sansinterligne"/>
              <w:numPr>
                <w:ilvl w:val="0"/>
                <w:numId w:val="1654"/>
              </w:numPr>
              <w:rPr>
                <w:lang w:eastAsia="fr-CA"/>
              </w:rPr>
            </w:pPr>
            <w:r>
              <w:rPr>
                <w:lang w:eastAsia="fr-CA"/>
              </w:rPr>
              <w:t>TDM abdominal</w:t>
            </w:r>
          </w:p>
        </w:tc>
      </w:tr>
      <w:tr w:rsidR="00CD2E26" w:rsidRPr="00CD2E26" w:rsidTr="00E53AF0">
        <w:tc>
          <w:tcPr>
            <w:tcW w:w="2235" w:type="dxa"/>
            <w:shd w:val="clear" w:color="auto" w:fill="95B3D7" w:themeFill="accent1" w:themeFillTint="99"/>
            <w:vAlign w:val="center"/>
          </w:tcPr>
          <w:p w:rsidR="00CD2E26" w:rsidRPr="00CD2E26" w:rsidRDefault="00CD2E26" w:rsidP="009535CF">
            <w:pPr>
              <w:pStyle w:val="Sansinterligne"/>
              <w:jc w:val="center"/>
              <w:rPr>
                <w:lang w:eastAsia="fr-CA"/>
              </w:rPr>
            </w:pPr>
            <w:r w:rsidRPr="00CD2E26">
              <w:rPr>
                <w:lang w:eastAsia="fr-CA"/>
              </w:rPr>
              <w:t>Hernies</w:t>
            </w:r>
          </w:p>
        </w:tc>
        <w:tc>
          <w:tcPr>
            <w:tcW w:w="5347" w:type="dxa"/>
            <w:gridSpan w:val="2"/>
          </w:tcPr>
          <w:p w:rsidR="00CD2E26" w:rsidRPr="00CD2E26" w:rsidRDefault="00CD2E26" w:rsidP="00B121E5">
            <w:pPr>
              <w:pStyle w:val="Sansinterligne"/>
              <w:rPr>
                <w:lang w:eastAsia="fr-CA"/>
              </w:rPr>
            </w:pPr>
            <w:r w:rsidRPr="00CD2E26">
              <w:rPr>
                <w:lang w:eastAsia="fr-CA"/>
              </w:rPr>
              <w:t xml:space="preserve">Voir </w:t>
            </w:r>
            <w:r w:rsidRPr="00CD2E26">
              <w:rPr>
                <w:i/>
                <w:lang w:eastAsia="fr-CA"/>
              </w:rPr>
              <w:t>Hernie de la paroi abdominale et hernie inguinale CMC 2-4</w:t>
            </w:r>
          </w:p>
        </w:tc>
        <w:tc>
          <w:tcPr>
            <w:tcW w:w="3434" w:type="dxa"/>
            <w:shd w:val="clear" w:color="auto" w:fill="000000" w:themeFill="text1"/>
          </w:tcPr>
          <w:p w:rsidR="00CD2E26" w:rsidRPr="00CD2E26" w:rsidRDefault="00CD2E26" w:rsidP="00B121E5">
            <w:pPr>
              <w:pStyle w:val="Sansinterligne"/>
              <w:rPr>
                <w:lang w:eastAsia="fr-CA"/>
              </w:rPr>
            </w:pPr>
          </w:p>
        </w:tc>
      </w:tr>
      <w:bookmarkEnd w:id="5"/>
    </w:tbl>
    <w:p w:rsidR="00B121E5" w:rsidRDefault="00B121E5">
      <w:pPr>
        <w:rPr>
          <w:rFonts w:cs="Times New Roman"/>
          <w:b/>
          <w:color w:val="548DD4" w:themeColor="text2" w:themeTint="99"/>
        </w:rPr>
      </w:pPr>
    </w:p>
    <w:p w:rsidR="00B121E5" w:rsidRPr="00B121E5" w:rsidRDefault="00B121E5" w:rsidP="00B121E5">
      <w:pPr>
        <w:pStyle w:val="Sansinterligne"/>
        <w:rPr>
          <w:b/>
          <w:sz w:val="28"/>
          <w:szCs w:val="28"/>
        </w:rPr>
      </w:pPr>
      <w:r w:rsidRPr="00B121E5">
        <w:rPr>
          <w:b/>
          <w:sz w:val="28"/>
          <w:szCs w:val="28"/>
        </w:rPr>
        <w:t>Prise en charge</w:t>
      </w:r>
    </w:p>
    <w:p w:rsidR="00B121E5" w:rsidRDefault="00B121E5" w:rsidP="00B121E5">
      <w:pPr>
        <w:pStyle w:val="Sansinterligne"/>
      </w:pPr>
    </w:p>
    <w:p w:rsidR="00707C2E" w:rsidRDefault="00707C2E" w:rsidP="00B121E5">
      <w:pPr>
        <w:pStyle w:val="Sansinterligne"/>
        <w:rPr>
          <w:b/>
        </w:rPr>
        <w:sectPr w:rsidR="00707C2E" w:rsidSect="00E82F88">
          <w:type w:val="continuous"/>
          <w:pgSz w:w="12240" w:h="15840"/>
          <w:pgMar w:top="720" w:right="720" w:bottom="720" w:left="720" w:header="708" w:footer="708" w:gutter="0"/>
          <w:cols w:space="708"/>
          <w:titlePg/>
          <w:docGrid w:linePitch="360"/>
        </w:sectPr>
      </w:pPr>
    </w:p>
    <w:p w:rsidR="00B121E5" w:rsidRPr="00707C2E" w:rsidRDefault="009535CF" w:rsidP="00B121E5">
      <w:pPr>
        <w:pStyle w:val="Sansinterligne"/>
        <w:rPr>
          <w:b/>
        </w:rPr>
      </w:pPr>
      <w:r w:rsidRPr="00707C2E">
        <w:rPr>
          <w:b/>
        </w:rPr>
        <w:lastRenderedPageBreak/>
        <w:t>Kyste rénaux</w:t>
      </w:r>
    </w:p>
    <w:p w:rsidR="009535CF" w:rsidRDefault="009535CF" w:rsidP="0073422D">
      <w:pPr>
        <w:pStyle w:val="Sansinterligne"/>
        <w:numPr>
          <w:ilvl w:val="0"/>
          <w:numId w:val="1629"/>
        </w:numPr>
      </w:pPr>
      <w:r w:rsidRPr="0052079C">
        <w:rPr>
          <w:u w:val="single"/>
        </w:rPr>
        <w:t>Simple</w:t>
      </w:r>
      <w:r>
        <w:t> </w:t>
      </w:r>
      <w:r>
        <w:rPr>
          <w:rFonts w:ascii="Century Gothic" w:hAnsi="Century Gothic"/>
        </w:rPr>
        <w:t>→</w:t>
      </w:r>
      <w:r>
        <w:t xml:space="preserve"> rien à faire</w:t>
      </w:r>
    </w:p>
    <w:p w:rsidR="009535CF" w:rsidRDefault="009535CF" w:rsidP="0073422D">
      <w:pPr>
        <w:pStyle w:val="Sansinterligne"/>
        <w:numPr>
          <w:ilvl w:val="0"/>
          <w:numId w:val="1629"/>
        </w:numPr>
      </w:pPr>
      <w:r w:rsidRPr="0052079C">
        <w:rPr>
          <w:u w:val="single"/>
        </w:rPr>
        <w:t>Atypiques</w:t>
      </w:r>
      <w:r w:rsidRPr="0052079C">
        <w:t xml:space="preserve"> </w:t>
      </w:r>
      <w:r>
        <w:t xml:space="preserve">(calcifications, multiseptés) </w:t>
      </w:r>
      <w:r>
        <w:rPr>
          <w:rFonts w:ascii="Century Gothic" w:hAnsi="Century Gothic"/>
        </w:rPr>
        <w:t>→</w:t>
      </w:r>
      <w:r>
        <w:t xml:space="preserve"> suivi échographique q 6 mois</w:t>
      </w:r>
    </w:p>
    <w:p w:rsidR="009535CF" w:rsidRPr="0052079C" w:rsidRDefault="009535CF" w:rsidP="0073422D">
      <w:pPr>
        <w:pStyle w:val="Sansinterligne"/>
        <w:numPr>
          <w:ilvl w:val="0"/>
          <w:numId w:val="1629"/>
        </w:numPr>
        <w:rPr>
          <w:u w:val="single"/>
        </w:rPr>
      </w:pPr>
      <w:r w:rsidRPr="0052079C">
        <w:rPr>
          <w:u w:val="single"/>
        </w:rPr>
        <w:t>Complexes</w:t>
      </w:r>
    </w:p>
    <w:p w:rsidR="009535CF" w:rsidRDefault="009535CF" w:rsidP="0073422D">
      <w:pPr>
        <w:pStyle w:val="Sansinterligne"/>
        <w:numPr>
          <w:ilvl w:val="1"/>
          <w:numId w:val="1629"/>
        </w:numPr>
      </w:pPr>
      <w:r>
        <w:t>Référence en urologie</w:t>
      </w:r>
    </w:p>
    <w:p w:rsidR="009535CF" w:rsidRDefault="009535CF" w:rsidP="0073422D">
      <w:pPr>
        <w:pStyle w:val="Sansinterligne"/>
        <w:numPr>
          <w:ilvl w:val="1"/>
          <w:numId w:val="1629"/>
        </w:numPr>
      </w:pPr>
      <w:r>
        <w:t>Exérèse de kyste</w:t>
      </w:r>
    </w:p>
    <w:p w:rsidR="009535CF" w:rsidRDefault="009535CF" w:rsidP="0073422D">
      <w:pPr>
        <w:pStyle w:val="Sansinterligne"/>
        <w:numPr>
          <w:ilvl w:val="1"/>
          <w:numId w:val="1629"/>
        </w:numPr>
      </w:pPr>
      <w:r>
        <w:t xml:space="preserve">Risque de malignité </w:t>
      </w:r>
      <w:r>
        <w:rPr>
          <w:rFonts w:ascii="Century Gothic" w:hAnsi="Century Gothic"/>
        </w:rPr>
        <w:t>&gt;</w:t>
      </w:r>
      <w:r>
        <w:t xml:space="preserve"> 50%</w:t>
      </w:r>
    </w:p>
    <w:p w:rsidR="00A42753" w:rsidRDefault="00A42753" w:rsidP="00B121E5">
      <w:pPr>
        <w:pStyle w:val="Sansinterligne"/>
      </w:pPr>
    </w:p>
    <w:p w:rsidR="009535CF" w:rsidRPr="00707C2E" w:rsidRDefault="00A42753" w:rsidP="00B121E5">
      <w:pPr>
        <w:pStyle w:val="Sansinterligne"/>
        <w:rPr>
          <w:b/>
        </w:rPr>
      </w:pPr>
      <w:r w:rsidRPr="00707C2E">
        <w:rPr>
          <w:b/>
        </w:rPr>
        <w:lastRenderedPageBreak/>
        <w:t>Hydronéphrose</w:t>
      </w:r>
    </w:p>
    <w:p w:rsidR="00A42753" w:rsidRDefault="00A42753" w:rsidP="0073422D">
      <w:pPr>
        <w:pStyle w:val="Sansinterligne"/>
        <w:numPr>
          <w:ilvl w:val="0"/>
          <w:numId w:val="1628"/>
        </w:numPr>
      </w:pPr>
      <w:r>
        <w:t>Traiter la cause sous-jacente (obstruction, infection, etc.)</w:t>
      </w:r>
    </w:p>
    <w:p w:rsidR="00A42753" w:rsidRDefault="00A42753" w:rsidP="0073422D">
      <w:pPr>
        <w:pStyle w:val="Sansinterligne"/>
        <w:numPr>
          <w:ilvl w:val="1"/>
          <w:numId w:val="1628"/>
        </w:numPr>
      </w:pPr>
      <w:r>
        <w:t>Néphrostomie percutanée/ tuteur urétéral PRN</w:t>
      </w:r>
    </w:p>
    <w:p w:rsidR="00A42753" w:rsidRDefault="00A42753" w:rsidP="0073422D">
      <w:pPr>
        <w:pStyle w:val="Sansinterligne"/>
        <w:numPr>
          <w:ilvl w:val="0"/>
          <w:numId w:val="1628"/>
        </w:numPr>
      </w:pPr>
      <w:r>
        <w:t>Soulager les symptômes</w:t>
      </w:r>
    </w:p>
    <w:p w:rsidR="00A42753" w:rsidRDefault="005D06B6" w:rsidP="0073422D">
      <w:pPr>
        <w:pStyle w:val="Sansinterligne"/>
        <w:numPr>
          <w:ilvl w:val="0"/>
          <w:numId w:val="1628"/>
        </w:numPr>
      </w:pPr>
      <w:r>
        <w:rPr>
          <w:noProof/>
          <w:lang w:eastAsia="fr-CA"/>
        </w:rPr>
        <w:drawing>
          <wp:anchor distT="0" distB="0" distL="114300" distR="114300" simplePos="0" relativeHeight="252293120" behindDoc="0" locked="0" layoutInCell="1" allowOverlap="1" wp14:anchorId="2C4C5B7A" wp14:editId="085E1E82">
            <wp:simplePos x="0" y="0"/>
            <wp:positionH relativeFrom="column">
              <wp:posOffset>73660</wp:posOffset>
            </wp:positionH>
            <wp:positionV relativeFrom="paragraph">
              <wp:posOffset>154305</wp:posOffset>
            </wp:positionV>
            <wp:extent cx="2935605" cy="2028825"/>
            <wp:effectExtent l="0" t="0" r="0" b="9525"/>
            <wp:wrapNone/>
            <wp:docPr id="730" name="Image 730" descr="Résultats de recherche d'images pour « kystes rénaux septé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Résultats de recherche d'images pour « kystes rénaux septés »"/>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5278" t="9114" r="1666" b="4762"/>
                    <a:stretch/>
                  </pic:blipFill>
                  <pic:spPr bwMode="auto">
                    <a:xfrm>
                      <a:off x="0" y="0"/>
                      <a:ext cx="2935605" cy="20288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42753">
        <w:t>Optimiser la fonction rénale</w:t>
      </w:r>
    </w:p>
    <w:p w:rsidR="00707C2E" w:rsidRDefault="00707C2E" w:rsidP="00B121E5">
      <w:pPr>
        <w:pStyle w:val="Sansinterligne"/>
      </w:pPr>
    </w:p>
    <w:p w:rsidR="00707C2E" w:rsidRDefault="00707C2E" w:rsidP="00B121E5">
      <w:pPr>
        <w:pStyle w:val="Sansinterligne"/>
      </w:pPr>
    </w:p>
    <w:p w:rsidR="00707C2E" w:rsidRDefault="00F56D2F" w:rsidP="00B121E5">
      <w:pPr>
        <w:pStyle w:val="Sansinterligne"/>
      </w:pPr>
      <w:r>
        <w:rPr>
          <w:noProof/>
          <w:lang w:eastAsia="fr-CA"/>
        </w:rPr>
        <mc:AlternateContent>
          <mc:Choice Requires="wpg">
            <w:drawing>
              <wp:anchor distT="0" distB="0" distL="114300" distR="114300" simplePos="0" relativeHeight="252285952" behindDoc="1" locked="0" layoutInCell="1" allowOverlap="1" wp14:anchorId="255F7C2E" wp14:editId="5B2BC9F3">
                <wp:simplePos x="0" y="0"/>
                <wp:positionH relativeFrom="column">
                  <wp:posOffset>4591306</wp:posOffset>
                </wp:positionH>
                <wp:positionV relativeFrom="paragraph">
                  <wp:posOffset>-332727</wp:posOffset>
                </wp:positionV>
                <wp:extent cx="2246630" cy="3073400"/>
                <wp:effectExtent l="0" t="0" r="1270" b="0"/>
                <wp:wrapNone/>
                <wp:docPr id="723" name="Groupe 723"/>
                <wp:cNvGraphicFramePr/>
                <a:graphic xmlns:a="http://schemas.openxmlformats.org/drawingml/2006/main">
                  <a:graphicData uri="http://schemas.microsoft.com/office/word/2010/wordprocessingGroup">
                    <wpg:wgp>
                      <wpg:cNvGrpSpPr/>
                      <wpg:grpSpPr>
                        <a:xfrm>
                          <a:off x="0" y="0"/>
                          <a:ext cx="2246630" cy="3073400"/>
                          <a:chOff x="0" y="0"/>
                          <a:chExt cx="2247090" cy="3073941"/>
                        </a:xfrm>
                      </wpg:grpSpPr>
                      <pic:pic xmlns:pic="http://schemas.openxmlformats.org/drawingml/2006/picture">
                        <pic:nvPicPr>
                          <pic:cNvPr id="718" name="Image 718" descr="Image"/>
                          <pic:cNvPicPr>
                            <a:picLocks noChangeAspect="1"/>
                          </pic:cNvPicPr>
                        </pic:nvPicPr>
                        <pic:blipFill>
                          <a:blip r:embed="rId18">
                            <a:extLst>
                              <a:ext uri="{28A0092B-C50C-407E-A947-70E740481C1C}">
                                <a14:useLocalDpi xmlns:a14="http://schemas.microsoft.com/office/drawing/2010/main" val="0"/>
                              </a:ext>
                            </a:extLst>
                          </a:blip>
                          <a:srcRect/>
                          <a:stretch>
                            <a:fillRect/>
                          </a:stretch>
                        </pic:blipFill>
                        <pic:spPr bwMode="auto">
                          <a:xfrm>
                            <a:off x="0" y="262647"/>
                            <a:ext cx="2247090" cy="2811294"/>
                          </a:xfrm>
                          <a:prstGeom prst="rect">
                            <a:avLst/>
                          </a:prstGeom>
                          <a:noFill/>
                          <a:ln>
                            <a:noFill/>
                          </a:ln>
                        </pic:spPr>
                      </pic:pic>
                      <wps:wsp>
                        <wps:cNvPr id="722" name="Zone de texte 2"/>
                        <wps:cNvSpPr txBox="1">
                          <a:spLocks noChangeArrowheads="1"/>
                        </wps:cNvSpPr>
                        <wps:spPr bwMode="auto">
                          <a:xfrm>
                            <a:off x="77822" y="0"/>
                            <a:ext cx="1984118" cy="321013"/>
                          </a:xfrm>
                          <a:prstGeom prst="rect">
                            <a:avLst/>
                          </a:prstGeom>
                          <a:noFill/>
                          <a:ln w="9525">
                            <a:noFill/>
                            <a:miter lim="800000"/>
                            <a:headEnd/>
                            <a:tailEnd/>
                          </a:ln>
                        </wps:spPr>
                        <wps:txbx>
                          <w:txbxContent>
                            <w:p w:rsidR="008276DC" w:rsidRPr="00F56D2F" w:rsidRDefault="008276DC">
                              <w:pPr>
                                <w:rPr>
                                  <w:b/>
                                </w:rPr>
                              </w:pPr>
                              <w:r w:rsidRPr="00F56D2F">
                                <w:rPr>
                                  <w:b/>
                                </w:rPr>
                                <w:t>Gastrectomie avec Roux-en-Y</w:t>
                              </w:r>
                            </w:p>
                          </w:txbxContent>
                        </wps:txbx>
                        <wps:bodyPr rot="0" vert="horz" wrap="square" lIns="91440" tIns="45720" rIns="91440" bIns="45720" anchor="t" anchorCtr="0">
                          <a:noAutofit/>
                        </wps:bodyPr>
                      </wps:wsp>
                    </wpg:wgp>
                  </a:graphicData>
                </a:graphic>
              </wp:anchor>
            </w:drawing>
          </mc:Choice>
          <mc:Fallback>
            <w:pict>
              <v:group id="Groupe 723" o:spid="_x0000_s1028" style="position:absolute;margin-left:361.5pt;margin-top:-26.2pt;width:176.9pt;height:242pt;z-index:-251030528" coordsize="22470,3073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718" o:spid="_x0000_s1029" type="#_x0000_t75" alt="Image" style="position:absolute;top:2626;width:22470;height:281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CUcwzDAAAA3AAAAA8AAABkcnMvZG93bnJldi54bWxET89rwjAUvgv+D+EJu9m0G8ytmpYyGAy2&#10;y1wPOz6bZ1ttXkqSafWvXw6Cx4/v96aczCBO5HxvWUGWpCCIG6t7bhXUP+/LFxA+IGscLJOCC3ko&#10;i/lsg7m2Z/6m0za0Ioawz1FBF8KYS+mbjgz6xI7EkdtbZzBE6FqpHZ5juBnkY5o+S4M9x4YOR3rr&#10;qDlu/4wCrn8vn6/X0e2+hgprvh5WT/VBqYfFVK1BBJrCXXxzf2gFqyyujWfiEZDF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QJRzDMMAAADcAAAADwAAAAAAAAAAAAAAAACf&#10;AgAAZHJzL2Rvd25yZXYueG1sUEsFBgAAAAAEAAQA9wAAAI8DAAAAAA==&#10;">
                  <v:imagedata r:id="rId19" o:title="Image"/>
                  <v:path arrowok="t"/>
                </v:shape>
                <v:shape id="_x0000_s1030" type="#_x0000_t202" style="position:absolute;left:778;width:19841;height:32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C6lMUA&#10;AADcAAAADwAAAGRycy9kb3ducmV2LnhtbESPT2vCQBTE74V+h+UVvOlug39q6iaUFsFTRa2Ct0f2&#10;mYRm34bsatJv3y0IPQ4z8xtmlQ+2ETfqfO1Yw/NEgSAunKm51PB1WI9fQPiAbLBxTBp+yEOePT6s&#10;MDWu5x3d9qEUEcI+RQ1VCG0qpS8qsugnriWO3sV1FkOUXSlNh32E20YmSs2lxZrjQoUtvVdUfO+v&#10;VsPx83I+TdW2/LCztneDkmyXUuvR0/D2CiLQEP7D9/bGaFgkCfydiUdAZ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MLqUxQAAANwAAAAPAAAAAAAAAAAAAAAAAJgCAABkcnMv&#10;ZG93bnJldi54bWxQSwUGAAAAAAQABAD1AAAAigMAAAAA&#10;" filled="f" stroked="f">
                  <v:textbox>
                    <w:txbxContent>
                      <w:p w:rsidR="008276DC" w:rsidRPr="00F56D2F" w:rsidRDefault="008276DC">
                        <w:pPr>
                          <w:rPr>
                            <w:b/>
                          </w:rPr>
                        </w:pPr>
                        <w:r w:rsidRPr="00F56D2F">
                          <w:rPr>
                            <w:b/>
                          </w:rPr>
                          <w:t>Gastrectomie avec Roux-en-Y</w:t>
                        </w:r>
                      </w:p>
                    </w:txbxContent>
                  </v:textbox>
                </v:shape>
              </v:group>
            </w:pict>
          </mc:Fallback>
        </mc:AlternateContent>
      </w:r>
    </w:p>
    <w:p w:rsidR="00707C2E" w:rsidRDefault="00707C2E" w:rsidP="00B121E5">
      <w:pPr>
        <w:pStyle w:val="Sansinterligne"/>
        <w:sectPr w:rsidR="00707C2E" w:rsidSect="00707C2E">
          <w:type w:val="continuous"/>
          <w:pgSz w:w="12240" w:h="15840"/>
          <w:pgMar w:top="720" w:right="720" w:bottom="720" w:left="720" w:header="708" w:footer="708" w:gutter="0"/>
          <w:cols w:num="2" w:space="0"/>
          <w:titlePg/>
          <w:docGrid w:linePitch="360"/>
        </w:sectPr>
      </w:pPr>
    </w:p>
    <w:p w:rsidR="009535CF" w:rsidRPr="00660EB5" w:rsidRDefault="009535CF" w:rsidP="00B121E5">
      <w:pPr>
        <w:pStyle w:val="Sansinterligne"/>
        <w:rPr>
          <w:b/>
          <w:highlight w:val="yellow"/>
        </w:rPr>
      </w:pPr>
      <w:r w:rsidRPr="00660EB5">
        <w:rPr>
          <w:b/>
          <w:highlight w:val="yellow"/>
        </w:rPr>
        <w:lastRenderedPageBreak/>
        <w:t>Carcinome rénal</w:t>
      </w:r>
    </w:p>
    <w:p w:rsidR="009535CF" w:rsidRPr="00660EB5" w:rsidRDefault="009535CF" w:rsidP="0073422D">
      <w:pPr>
        <w:pStyle w:val="Sansinterligne"/>
        <w:numPr>
          <w:ilvl w:val="0"/>
          <w:numId w:val="1630"/>
        </w:numPr>
        <w:rPr>
          <w:highlight w:val="yellow"/>
        </w:rPr>
      </w:pPr>
      <w:r w:rsidRPr="00660EB5">
        <w:rPr>
          <w:highlight w:val="yellow"/>
        </w:rPr>
        <w:t>Référence en urologie</w:t>
      </w:r>
    </w:p>
    <w:p w:rsidR="009535CF" w:rsidRPr="00660EB5" w:rsidRDefault="009535CF" w:rsidP="0073422D">
      <w:pPr>
        <w:pStyle w:val="Sansinterligne"/>
        <w:numPr>
          <w:ilvl w:val="1"/>
          <w:numId w:val="1630"/>
        </w:numPr>
        <w:rPr>
          <w:highlight w:val="yellow"/>
        </w:rPr>
      </w:pPr>
      <w:r w:rsidRPr="00660EB5">
        <w:rPr>
          <w:highlight w:val="yellow"/>
        </w:rPr>
        <w:t>Néphrectomie radicale</w:t>
      </w:r>
    </w:p>
    <w:p w:rsidR="009535CF" w:rsidRPr="00660EB5" w:rsidRDefault="009535CF" w:rsidP="0073422D">
      <w:pPr>
        <w:pStyle w:val="Sansinterligne"/>
        <w:numPr>
          <w:ilvl w:val="1"/>
          <w:numId w:val="1630"/>
        </w:numPr>
        <w:rPr>
          <w:highlight w:val="yellow"/>
        </w:rPr>
      </w:pPr>
      <w:r w:rsidRPr="00660EB5">
        <w:rPr>
          <w:highlight w:val="yellow"/>
        </w:rPr>
        <w:t>Néphrectomie partielle si :</w:t>
      </w:r>
      <w:r w:rsidR="005D06B6" w:rsidRPr="005D06B6">
        <w:t xml:space="preserve"> </w:t>
      </w:r>
    </w:p>
    <w:p w:rsidR="009535CF" w:rsidRPr="00660EB5" w:rsidRDefault="009535CF" w:rsidP="0073422D">
      <w:pPr>
        <w:pStyle w:val="Sansinterligne"/>
        <w:numPr>
          <w:ilvl w:val="2"/>
          <w:numId w:val="1630"/>
        </w:numPr>
        <w:rPr>
          <w:highlight w:val="yellow"/>
        </w:rPr>
      </w:pPr>
      <w:r w:rsidRPr="00660EB5">
        <w:rPr>
          <w:highlight w:val="yellow"/>
        </w:rPr>
        <w:t xml:space="preserve">Masse </w:t>
      </w:r>
      <w:r w:rsidRPr="00660EB5">
        <w:rPr>
          <w:rFonts w:ascii="Century Gothic" w:hAnsi="Century Gothic"/>
          <w:highlight w:val="yellow"/>
        </w:rPr>
        <w:t>&lt;</w:t>
      </w:r>
      <w:r w:rsidR="00707C2E" w:rsidRPr="00660EB5">
        <w:rPr>
          <w:highlight w:val="yellow"/>
        </w:rPr>
        <w:t>4 cm</w:t>
      </w:r>
    </w:p>
    <w:p w:rsidR="00707C2E" w:rsidRPr="00660EB5" w:rsidRDefault="00707C2E" w:rsidP="0073422D">
      <w:pPr>
        <w:pStyle w:val="Sansinterligne"/>
        <w:numPr>
          <w:ilvl w:val="2"/>
          <w:numId w:val="1630"/>
        </w:numPr>
        <w:rPr>
          <w:highlight w:val="yellow"/>
        </w:rPr>
      </w:pPr>
      <w:r w:rsidRPr="00660EB5">
        <w:rPr>
          <w:highlight w:val="yellow"/>
        </w:rPr>
        <w:t>Rein unique</w:t>
      </w:r>
    </w:p>
    <w:p w:rsidR="00707C2E" w:rsidRPr="00660EB5" w:rsidRDefault="009535CF" w:rsidP="0073422D">
      <w:pPr>
        <w:pStyle w:val="Sansinterligne"/>
        <w:numPr>
          <w:ilvl w:val="2"/>
          <w:numId w:val="1630"/>
        </w:numPr>
        <w:rPr>
          <w:highlight w:val="yellow"/>
        </w:rPr>
      </w:pPr>
      <w:r w:rsidRPr="00660EB5">
        <w:rPr>
          <w:highlight w:val="yellow"/>
        </w:rPr>
        <w:t>Pas d’atteinte parenchymateuse</w:t>
      </w:r>
    </w:p>
    <w:p w:rsidR="00707C2E" w:rsidRPr="00660EB5" w:rsidRDefault="009535CF" w:rsidP="0073422D">
      <w:pPr>
        <w:pStyle w:val="Sansinterligne"/>
        <w:numPr>
          <w:ilvl w:val="1"/>
          <w:numId w:val="1630"/>
        </w:numPr>
        <w:rPr>
          <w:highlight w:val="yellow"/>
        </w:rPr>
      </w:pPr>
      <w:r w:rsidRPr="00660EB5">
        <w:rPr>
          <w:highlight w:val="yellow"/>
        </w:rPr>
        <w:t>Radiothérapie osseuse si métastases</w:t>
      </w:r>
    </w:p>
    <w:p w:rsidR="00707C2E" w:rsidRPr="00660EB5" w:rsidRDefault="009535CF" w:rsidP="0073422D">
      <w:pPr>
        <w:pStyle w:val="Sansinterligne"/>
        <w:numPr>
          <w:ilvl w:val="1"/>
          <w:numId w:val="1630"/>
        </w:numPr>
        <w:rPr>
          <w:highlight w:val="yellow"/>
        </w:rPr>
      </w:pPr>
      <w:r w:rsidRPr="00660EB5">
        <w:rPr>
          <w:highlight w:val="yellow"/>
        </w:rPr>
        <w:t>Si maladie avancée</w:t>
      </w:r>
    </w:p>
    <w:p w:rsidR="009535CF" w:rsidRPr="00660EB5" w:rsidRDefault="009535CF" w:rsidP="0073422D">
      <w:pPr>
        <w:pStyle w:val="Sansinterligne"/>
        <w:numPr>
          <w:ilvl w:val="2"/>
          <w:numId w:val="1630"/>
        </w:numPr>
        <w:rPr>
          <w:highlight w:val="yellow"/>
        </w:rPr>
      </w:pPr>
      <w:r w:rsidRPr="00660EB5">
        <w:rPr>
          <w:highlight w:val="yellow"/>
        </w:rPr>
        <w:t>Traitement avec agents biologiques, suppresseurs immunitaires, etc.</w:t>
      </w:r>
    </w:p>
    <w:p w:rsidR="009535CF" w:rsidRPr="00660EB5" w:rsidRDefault="009535CF" w:rsidP="00B121E5">
      <w:pPr>
        <w:pStyle w:val="Sansinterligne"/>
        <w:rPr>
          <w:highlight w:val="yellow"/>
        </w:rPr>
      </w:pPr>
    </w:p>
    <w:p w:rsidR="009535CF" w:rsidRPr="00660EB5" w:rsidRDefault="0049384E" w:rsidP="00B121E5">
      <w:pPr>
        <w:pStyle w:val="Sansinterligne"/>
        <w:rPr>
          <w:b/>
          <w:highlight w:val="yellow"/>
        </w:rPr>
      </w:pPr>
      <w:r w:rsidRPr="00660EB5">
        <w:rPr>
          <w:b/>
          <w:highlight w:val="yellow"/>
        </w:rPr>
        <w:t>Adénocarcinome gastrique</w:t>
      </w:r>
    </w:p>
    <w:p w:rsidR="0049384E" w:rsidRPr="00660EB5" w:rsidRDefault="0049384E" w:rsidP="0073422D">
      <w:pPr>
        <w:pStyle w:val="Sansinterligne"/>
        <w:numPr>
          <w:ilvl w:val="0"/>
          <w:numId w:val="1631"/>
        </w:numPr>
        <w:rPr>
          <w:highlight w:val="yellow"/>
        </w:rPr>
      </w:pPr>
      <w:r w:rsidRPr="00660EB5">
        <w:rPr>
          <w:highlight w:val="yellow"/>
        </w:rPr>
        <w:t>Référence en chirurgie</w:t>
      </w:r>
    </w:p>
    <w:p w:rsidR="00F56D2F" w:rsidRPr="00660EB5" w:rsidRDefault="0049384E" w:rsidP="0073422D">
      <w:pPr>
        <w:pStyle w:val="Sansinterligne"/>
        <w:numPr>
          <w:ilvl w:val="0"/>
          <w:numId w:val="1631"/>
        </w:numPr>
        <w:rPr>
          <w:highlight w:val="yellow"/>
        </w:rPr>
      </w:pPr>
      <w:r w:rsidRPr="00660EB5">
        <w:rPr>
          <w:highlight w:val="yellow"/>
        </w:rPr>
        <w:t xml:space="preserve">Lésion proximale : </w:t>
      </w:r>
    </w:p>
    <w:p w:rsidR="0049384E" w:rsidRPr="00660EB5" w:rsidRDefault="0049384E" w:rsidP="0073422D">
      <w:pPr>
        <w:pStyle w:val="Sansinterligne"/>
        <w:numPr>
          <w:ilvl w:val="1"/>
          <w:numId w:val="1631"/>
        </w:numPr>
        <w:rPr>
          <w:highlight w:val="yellow"/>
        </w:rPr>
      </w:pPr>
      <w:r w:rsidRPr="00660EB5">
        <w:rPr>
          <w:highlight w:val="yellow"/>
        </w:rPr>
        <w:t>Gastrectomie totale avec oesophagojéjunostomie en Roux-En-Y</w:t>
      </w:r>
    </w:p>
    <w:p w:rsidR="0049384E" w:rsidRPr="00660EB5" w:rsidRDefault="0049384E" w:rsidP="0073422D">
      <w:pPr>
        <w:pStyle w:val="Sansinterligne"/>
        <w:numPr>
          <w:ilvl w:val="0"/>
          <w:numId w:val="1631"/>
        </w:numPr>
        <w:rPr>
          <w:highlight w:val="yellow"/>
        </w:rPr>
      </w:pPr>
      <w:r w:rsidRPr="00660EB5">
        <w:rPr>
          <w:highlight w:val="yellow"/>
        </w:rPr>
        <w:t>Lésion distale</w:t>
      </w:r>
    </w:p>
    <w:p w:rsidR="0049384E" w:rsidRPr="00660EB5" w:rsidRDefault="0049384E" w:rsidP="0073422D">
      <w:pPr>
        <w:pStyle w:val="Sansinterligne"/>
        <w:numPr>
          <w:ilvl w:val="1"/>
          <w:numId w:val="1631"/>
        </w:numPr>
        <w:rPr>
          <w:highlight w:val="yellow"/>
        </w:rPr>
      </w:pPr>
      <w:r w:rsidRPr="00660EB5">
        <w:rPr>
          <w:highlight w:val="yellow"/>
        </w:rPr>
        <w:t>Gastrectomie distale avec marges sécuritaires, résection de l’épiploon et des ganglions</w:t>
      </w:r>
    </w:p>
    <w:p w:rsidR="0049384E" w:rsidRPr="00660EB5" w:rsidRDefault="0049384E" w:rsidP="0073422D">
      <w:pPr>
        <w:pStyle w:val="Sansinterligne"/>
        <w:numPr>
          <w:ilvl w:val="0"/>
          <w:numId w:val="1631"/>
        </w:numPr>
        <w:rPr>
          <w:highlight w:val="yellow"/>
        </w:rPr>
      </w:pPr>
      <w:r w:rsidRPr="00660EB5">
        <w:rPr>
          <w:highlight w:val="yellow"/>
        </w:rPr>
        <w:t>Soins palliatifs</w:t>
      </w:r>
    </w:p>
    <w:p w:rsidR="0049384E" w:rsidRPr="00660EB5" w:rsidRDefault="0049384E" w:rsidP="0073422D">
      <w:pPr>
        <w:pStyle w:val="Sansinterligne"/>
        <w:numPr>
          <w:ilvl w:val="1"/>
          <w:numId w:val="1631"/>
        </w:numPr>
        <w:rPr>
          <w:highlight w:val="yellow"/>
        </w:rPr>
      </w:pPr>
      <w:r w:rsidRPr="00660EB5">
        <w:rPr>
          <w:highlight w:val="yellow"/>
        </w:rPr>
        <w:t xml:space="preserve">Résection fonctionnelle pour réduire l’obstruction et les saignements </w:t>
      </w:r>
    </w:p>
    <w:p w:rsidR="0049384E" w:rsidRPr="00660EB5" w:rsidRDefault="0049384E" w:rsidP="00B121E5">
      <w:pPr>
        <w:pStyle w:val="Sansinterligne"/>
        <w:rPr>
          <w:highlight w:val="yellow"/>
        </w:rPr>
      </w:pPr>
    </w:p>
    <w:p w:rsidR="00B121E5" w:rsidRPr="00660EB5" w:rsidRDefault="00A81102" w:rsidP="00B121E5">
      <w:pPr>
        <w:pStyle w:val="Sansinterligne"/>
        <w:rPr>
          <w:b/>
          <w:highlight w:val="yellow"/>
        </w:rPr>
      </w:pPr>
      <w:r w:rsidRPr="00660EB5">
        <w:rPr>
          <w:b/>
          <w:highlight w:val="yellow"/>
        </w:rPr>
        <w:lastRenderedPageBreak/>
        <w:t>Carcinome du pancréas</w:t>
      </w:r>
    </w:p>
    <w:p w:rsidR="0052079C" w:rsidRPr="00660EB5" w:rsidRDefault="0052079C" w:rsidP="0073422D">
      <w:pPr>
        <w:pStyle w:val="Sansinterligne"/>
        <w:numPr>
          <w:ilvl w:val="0"/>
          <w:numId w:val="1633"/>
        </w:numPr>
        <w:rPr>
          <w:highlight w:val="yellow"/>
        </w:rPr>
      </w:pPr>
      <w:r w:rsidRPr="00660EB5">
        <w:rPr>
          <w:highlight w:val="yellow"/>
        </w:rPr>
        <w:t>Référence en chirurgie générale</w:t>
      </w:r>
    </w:p>
    <w:p w:rsidR="0052079C" w:rsidRPr="00660EB5" w:rsidRDefault="0052079C" w:rsidP="0073422D">
      <w:pPr>
        <w:pStyle w:val="Sansinterligne"/>
        <w:numPr>
          <w:ilvl w:val="1"/>
          <w:numId w:val="1633"/>
        </w:numPr>
        <w:rPr>
          <w:highlight w:val="yellow"/>
        </w:rPr>
      </w:pPr>
      <w:r w:rsidRPr="00660EB5">
        <w:rPr>
          <w:highlight w:val="yellow"/>
        </w:rPr>
        <w:t>Chirurgie (10-20% seulement)</w:t>
      </w:r>
    </w:p>
    <w:p w:rsidR="0052079C" w:rsidRPr="00660EB5" w:rsidRDefault="0052079C" w:rsidP="0073422D">
      <w:pPr>
        <w:pStyle w:val="Sansinterligne"/>
        <w:numPr>
          <w:ilvl w:val="2"/>
          <w:numId w:val="1633"/>
        </w:numPr>
        <w:rPr>
          <w:highlight w:val="yellow"/>
        </w:rPr>
      </w:pPr>
      <w:r w:rsidRPr="00660EB5">
        <w:rPr>
          <w:highlight w:val="yellow"/>
        </w:rPr>
        <w:t>Résection avec procédure de Whipple (pancréaticod</w:t>
      </w:r>
      <w:r w:rsidR="006F0F0A">
        <w:rPr>
          <w:highlight w:val="yellow"/>
        </w:rPr>
        <w:t>uodén</w:t>
      </w:r>
      <w:r w:rsidRPr="00660EB5">
        <w:rPr>
          <w:highlight w:val="yellow"/>
        </w:rPr>
        <w:t>ectomie)</w:t>
      </w:r>
      <w:r w:rsidR="00F56D2F" w:rsidRPr="00660EB5">
        <w:rPr>
          <w:highlight w:val="yellow"/>
        </w:rPr>
        <w:t xml:space="preserve"> </w:t>
      </w:r>
    </w:p>
    <w:p w:rsidR="0052079C" w:rsidRPr="00660EB5" w:rsidRDefault="0052079C" w:rsidP="0073422D">
      <w:pPr>
        <w:pStyle w:val="Sansinterligne"/>
        <w:numPr>
          <w:ilvl w:val="2"/>
          <w:numId w:val="1633"/>
        </w:numPr>
        <w:rPr>
          <w:highlight w:val="yellow"/>
        </w:rPr>
      </w:pPr>
      <w:r w:rsidRPr="00660EB5">
        <w:rPr>
          <w:highlight w:val="yellow"/>
        </w:rPr>
        <w:t xml:space="preserve">Pancréatectomie distale </w:t>
      </w:r>
      <w:r w:rsidRPr="00660EB5">
        <w:rPr>
          <w:rFonts w:cs="Times New Roman"/>
          <w:highlight w:val="yellow"/>
        </w:rPr>
        <w:t>±</w:t>
      </w:r>
      <w:r w:rsidRPr="00660EB5">
        <w:rPr>
          <w:highlight w:val="yellow"/>
        </w:rPr>
        <w:t xml:space="preserve"> splénectomie (queue du pancréas)</w:t>
      </w:r>
    </w:p>
    <w:p w:rsidR="0052079C" w:rsidRPr="00660EB5" w:rsidRDefault="005D06B6" w:rsidP="0073422D">
      <w:pPr>
        <w:pStyle w:val="Sansinterligne"/>
        <w:numPr>
          <w:ilvl w:val="1"/>
          <w:numId w:val="1633"/>
        </w:numPr>
        <w:rPr>
          <w:highlight w:val="yellow"/>
        </w:rPr>
      </w:pPr>
      <w:r w:rsidRPr="00660EB5">
        <w:rPr>
          <w:noProof/>
          <w:highlight w:val="yellow"/>
          <w:lang w:eastAsia="fr-CA"/>
        </w:rPr>
        <mc:AlternateContent>
          <mc:Choice Requires="wpg">
            <w:drawing>
              <wp:anchor distT="0" distB="0" distL="114300" distR="114300" simplePos="0" relativeHeight="252283904" behindDoc="1" locked="0" layoutInCell="1" allowOverlap="1" wp14:anchorId="669421B2" wp14:editId="5BDD9A6E">
                <wp:simplePos x="0" y="0"/>
                <wp:positionH relativeFrom="column">
                  <wp:posOffset>4105275</wp:posOffset>
                </wp:positionH>
                <wp:positionV relativeFrom="paragraph">
                  <wp:posOffset>64135</wp:posOffset>
                </wp:positionV>
                <wp:extent cx="2724150" cy="3390900"/>
                <wp:effectExtent l="0" t="0" r="0" b="0"/>
                <wp:wrapNone/>
                <wp:docPr id="721" name="Groupe 721"/>
                <wp:cNvGraphicFramePr/>
                <a:graphic xmlns:a="http://schemas.openxmlformats.org/drawingml/2006/main">
                  <a:graphicData uri="http://schemas.microsoft.com/office/word/2010/wordprocessingGroup">
                    <wpg:wgp>
                      <wpg:cNvGrpSpPr/>
                      <wpg:grpSpPr>
                        <a:xfrm>
                          <a:off x="0" y="0"/>
                          <a:ext cx="2724150" cy="3390900"/>
                          <a:chOff x="0" y="0"/>
                          <a:chExt cx="2042808" cy="2918298"/>
                        </a:xfrm>
                      </wpg:grpSpPr>
                      <pic:pic xmlns:pic="http://schemas.openxmlformats.org/drawingml/2006/picture">
                        <pic:nvPicPr>
                          <pic:cNvPr id="719" name="Image 719" descr="Image"/>
                          <pic:cNvPicPr>
                            <a:picLocks noChangeAspect="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408562"/>
                            <a:ext cx="2042808" cy="2509736"/>
                          </a:xfrm>
                          <a:prstGeom prst="rect">
                            <a:avLst/>
                          </a:prstGeom>
                          <a:noFill/>
                          <a:ln>
                            <a:noFill/>
                          </a:ln>
                        </pic:spPr>
                      </pic:pic>
                      <wps:wsp>
                        <wps:cNvPr id="720" name="Zone de texte 2"/>
                        <wps:cNvSpPr txBox="1">
                          <a:spLocks noChangeArrowheads="1"/>
                        </wps:cNvSpPr>
                        <wps:spPr bwMode="auto">
                          <a:xfrm>
                            <a:off x="175098" y="0"/>
                            <a:ext cx="1643974" cy="408562"/>
                          </a:xfrm>
                          <a:prstGeom prst="rect">
                            <a:avLst/>
                          </a:prstGeom>
                          <a:noFill/>
                          <a:ln w="9525">
                            <a:noFill/>
                            <a:miter lim="800000"/>
                            <a:headEnd/>
                            <a:tailEnd/>
                          </a:ln>
                        </wps:spPr>
                        <wps:txbx>
                          <w:txbxContent>
                            <w:p w:rsidR="008276DC" w:rsidRPr="00F56D2F" w:rsidRDefault="008276DC">
                              <w:pPr>
                                <w:rPr>
                                  <w:b/>
                                </w:rPr>
                              </w:pPr>
                              <w:r w:rsidRPr="00F56D2F">
                                <w:rPr>
                                  <w:b/>
                                </w:rPr>
                                <w:t>Procédure de Whipple</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Groupe 721" o:spid="_x0000_s1031" style="position:absolute;left:0;text-align:left;margin-left:323.25pt;margin-top:5.05pt;width:214.5pt;height:267pt;z-index:-251032576;mso-width-relative:margin;mso-height-relative:margin" coordsize="20428,2918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">
                <v:shape id="Image 719" o:spid="_x0000_s1032" type="#_x0000_t75" alt="Image" style="position:absolute;top:4085;width:20428;height:250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H/9KbEAAAA3AAAAA8AAABkcnMvZG93bnJldi54bWxEj0FrwkAUhO+C/2F5gjfdRKitqZsgKZUe&#10;7KEqPT+yr0lo9m3Y3Wr013cFweMwM98w62IwnTiR861lBek8AUFcWd1yreB4eJ+9gPABWWNnmRRc&#10;yEORj0drzLQ98xed9qEWEcI+QwVNCH0mpa8aMujntieO3o91BkOUrpba4TnCTScXSbKUBluOCw32&#10;VDZU/e7/jILV7skvy8+0PO4O1zd2vK3Mt1FqOhk2ryACDeERvrc/tILndAW3M/EIyPw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H/9KbEAAAA3AAAAA8AAAAAAAAAAAAAAAAA&#10;nwIAAGRycy9kb3ducmV2LnhtbFBLBQYAAAAABAAEAPcAAACQAwAAAAA=&#10;">
                  <v:imagedata r:id="rId21" o:title="Image"/>
                  <v:path arrowok="t"/>
                </v:shape>
                <v:shape id="_x0000_s1033" type="#_x0000_t202" style="position:absolute;left:1750;width:16440;height:40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6BeMAA&#10;AADcAAAADwAAAGRycy9kb3ducmV2LnhtbERPTYvCMBC9C/6HMIK3NVHcda1GEUXwpOjuCt6GZmyL&#10;zaQ00Xb/vTkIHh/ve75sbSkeVPvCsYbhQIEgTp0pONPw+7P9+AbhA7LB0jFp+CcPy0W3M8fEuIaP&#10;9DiFTMQQ9glqyEOoEil9mpNFP3AVceSurrYYIqwzaWpsYrgt5UipL2mx4NiQY0XrnNLb6W41/O2v&#10;l/NYHbKN/awa1yrJdiq17vfa1QxEoDa8xS/3zmiYjOL8eCYeAbl4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a6BeMAAAADcAAAADwAAAAAAAAAAAAAAAACYAgAAZHJzL2Rvd25y&#10;ZXYueG1sUEsFBgAAAAAEAAQA9QAAAIUDAAAAAA==&#10;" filled="f" stroked="f">
                  <v:textbox>
                    <w:txbxContent>
                      <w:p w:rsidR="008276DC" w:rsidRPr="00F56D2F" w:rsidRDefault="008276DC">
                        <w:pPr>
                          <w:rPr>
                            <w:b/>
                          </w:rPr>
                        </w:pPr>
                        <w:r w:rsidRPr="00F56D2F">
                          <w:rPr>
                            <w:b/>
                          </w:rPr>
                          <w:t>Procédure de Whipple</w:t>
                        </w:r>
                      </w:p>
                    </w:txbxContent>
                  </v:textbox>
                </v:shape>
              </v:group>
            </w:pict>
          </mc:Fallback>
        </mc:AlternateContent>
      </w:r>
      <w:r w:rsidR="0052079C" w:rsidRPr="00660EB5">
        <w:rPr>
          <w:highlight w:val="yellow"/>
        </w:rPr>
        <w:t>Palliation</w:t>
      </w:r>
    </w:p>
    <w:p w:rsidR="0052079C" w:rsidRPr="00660EB5" w:rsidRDefault="0052079C" w:rsidP="0073422D">
      <w:pPr>
        <w:pStyle w:val="Sansinterligne"/>
        <w:numPr>
          <w:ilvl w:val="2"/>
          <w:numId w:val="1633"/>
        </w:numPr>
        <w:rPr>
          <w:highlight w:val="yellow"/>
        </w:rPr>
      </w:pPr>
      <w:r w:rsidRPr="00660EB5">
        <w:rPr>
          <w:highlight w:val="yellow"/>
        </w:rPr>
        <w:t>Tuteur endobiliaire, en</w:t>
      </w:r>
      <w:r w:rsidR="005D06B6">
        <w:rPr>
          <w:highlight w:val="yellow"/>
        </w:rPr>
        <w:t>doduodénal (lever l’obstruction)</w:t>
      </w:r>
    </w:p>
    <w:p w:rsidR="0052079C" w:rsidRPr="00660EB5" w:rsidRDefault="0052079C" w:rsidP="0073422D">
      <w:pPr>
        <w:pStyle w:val="Sansinterligne"/>
        <w:numPr>
          <w:ilvl w:val="2"/>
          <w:numId w:val="1633"/>
        </w:numPr>
        <w:rPr>
          <w:highlight w:val="yellow"/>
        </w:rPr>
      </w:pPr>
      <w:r w:rsidRPr="00660EB5">
        <w:rPr>
          <w:highlight w:val="yellow"/>
        </w:rPr>
        <w:t xml:space="preserve">Chimiothérapie et/ou radiothérapie palliative </w:t>
      </w:r>
    </w:p>
    <w:p w:rsidR="00A81102" w:rsidRDefault="00A81102" w:rsidP="00B121E5">
      <w:pPr>
        <w:pStyle w:val="Sansinterligne"/>
      </w:pPr>
    </w:p>
    <w:p w:rsidR="00A81102" w:rsidRPr="00707C2E" w:rsidRDefault="00A81102" w:rsidP="00B121E5">
      <w:pPr>
        <w:pStyle w:val="Sansinterligne"/>
        <w:rPr>
          <w:b/>
        </w:rPr>
      </w:pPr>
      <w:r w:rsidRPr="00707C2E">
        <w:rPr>
          <w:b/>
        </w:rPr>
        <w:t>Carcinome hépatocellulaire</w:t>
      </w:r>
    </w:p>
    <w:p w:rsidR="00A81102" w:rsidRDefault="00A81102" w:rsidP="0073422D">
      <w:pPr>
        <w:pStyle w:val="Sansinterligne"/>
        <w:numPr>
          <w:ilvl w:val="0"/>
          <w:numId w:val="1632"/>
        </w:numPr>
      </w:pPr>
      <w:r>
        <w:t>Référence en chirurgie générale</w:t>
      </w:r>
    </w:p>
    <w:p w:rsidR="00A81102" w:rsidRDefault="00A81102" w:rsidP="0073422D">
      <w:pPr>
        <w:pStyle w:val="Sansinterligne"/>
        <w:numPr>
          <w:ilvl w:val="1"/>
          <w:numId w:val="1632"/>
        </w:numPr>
      </w:pPr>
      <w:r>
        <w:t>Résection (10% des tumeurs)</w:t>
      </w:r>
    </w:p>
    <w:p w:rsidR="00A81102" w:rsidRDefault="00A81102" w:rsidP="0073422D">
      <w:pPr>
        <w:pStyle w:val="Sansinterligne"/>
        <w:numPr>
          <w:ilvl w:val="2"/>
          <w:numId w:val="1632"/>
        </w:numPr>
      </w:pPr>
      <w:r>
        <w:t>Cirrhose est une C-I relative</w:t>
      </w:r>
    </w:p>
    <w:p w:rsidR="00A81102" w:rsidRDefault="00707C2E" w:rsidP="0073422D">
      <w:pPr>
        <w:pStyle w:val="Sansinterligne"/>
        <w:numPr>
          <w:ilvl w:val="2"/>
          <w:numId w:val="1632"/>
        </w:numPr>
      </w:pPr>
      <w:r>
        <w:t>Invasion vasculaire, extra-hépatique = C-I absolue</w:t>
      </w:r>
    </w:p>
    <w:p w:rsidR="00707C2E" w:rsidRDefault="00707C2E" w:rsidP="0073422D">
      <w:pPr>
        <w:pStyle w:val="Sansinterligne"/>
        <w:numPr>
          <w:ilvl w:val="1"/>
          <w:numId w:val="1632"/>
        </w:numPr>
      </w:pPr>
      <w:r>
        <w:t>Radiothérapie, embolisation ou injection d’éthanol</w:t>
      </w:r>
    </w:p>
    <w:p w:rsidR="00707C2E" w:rsidRPr="00B121E5" w:rsidRDefault="00707C2E" w:rsidP="0073422D">
      <w:pPr>
        <w:pStyle w:val="Sansinterligne"/>
        <w:numPr>
          <w:ilvl w:val="0"/>
          <w:numId w:val="1632"/>
        </w:numPr>
      </w:pPr>
      <w:r>
        <w:t xml:space="preserve">Pronostic très sombre : </w:t>
      </w:r>
      <w:r>
        <w:rPr>
          <w:rFonts w:ascii="Century Gothic" w:hAnsi="Century Gothic"/>
        </w:rPr>
        <w:t>&lt;</w:t>
      </w:r>
      <w:r>
        <w:t>5% à 5 ans. Moyenne : 6-20 mois</w:t>
      </w:r>
    </w:p>
    <w:p w:rsidR="00B121E5" w:rsidRPr="00B121E5" w:rsidRDefault="00B121E5" w:rsidP="00B121E5">
      <w:pPr>
        <w:pStyle w:val="Sansinterligne"/>
      </w:pPr>
    </w:p>
    <w:p w:rsidR="00B121E5" w:rsidRPr="00660EB5" w:rsidRDefault="00873F47" w:rsidP="00B121E5">
      <w:pPr>
        <w:pStyle w:val="Sansinterligne"/>
        <w:rPr>
          <w:b/>
        </w:rPr>
      </w:pPr>
      <w:r w:rsidRPr="00660EB5">
        <w:rPr>
          <w:b/>
        </w:rPr>
        <w:t>Adénocarcinome du grêle</w:t>
      </w:r>
    </w:p>
    <w:p w:rsidR="00873F47" w:rsidRDefault="00873F47" w:rsidP="0073422D">
      <w:pPr>
        <w:pStyle w:val="Sansinterligne"/>
        <w:numPr>
          <w:ilvl w:val="0"/>
          <w:numId w:val="1640"/>
        </w:numPr>
      </w:pPr>
      <w:r>
        <w:t>Référence en chirurgie générale</w:t>
      </w:r>
    </w:p>
    <w:p w:rsidR="00873F47" w:rsidRDefault="00873F47" w:rsidP="0073422D">
      <w:pPr>
        <w:pStyle w:val="Sansinterligne"/>
        <w:numPr>
          <w:ilvl w:val="1"/>
          <w:numId w:val="1640"/>
        </w:numPr>
      </w:pPr>
      <w:r>
        <w:t xml:space="preserve">Résection chirurgicale </w:t>
      </w:r>
      <w:r>
        <w:rPr>
          <w:rFonts w:cs="Times New Roman"/>
        </w:rPr>
        <w:t>±</w:t>
      </w:r>
      <w:r>
        <w:t xml:space="preserve"> chimiothérapie selon pathologie</w:t>
      </w:r>
    </w:p>
    <w:p w:rsidR="00873F47" w:rsidRDefault="00873F47" w:rsidP="00B121E5">
      <w:pPr>
        <w:pStyle w:val="Sansinterligne"/>
      </w:pPr>
    </w:p>
    <w:p w:rsidR="008C4748" w:rsidRPr="00660EB5" w:rsidRDefault="008C4748" w:rsidP="00B121E5">
      <w:pPr>
        <w:pStyle w:val="Sansinterligne"/>
        <w:rPr>
          <w:b/>
          <w:highlight w:val="yellow"/>
        </w:rPr>
      </w:pPr>
      <w:r w:rsidRPr="00660EB5">
        <w:rPr>
          <w:b/>
          <w:highlight w:val="yellow"/>
        </w:rPr>
        <w:t>Carcinome utérin</w:t>
      </w:r>
    </w:p>
    <w:p w:rsidR="008C4748" w:rsidRPr="00660EB5" w:rsidRDefault="008C4748" w:rsidP="0073422D">
      <w:pPr>
        <w:pStyle w:val="Sansinterligne"/>
        <w:numPr>
          <w:ilvl w:val="0"/>
          <w:numId w:val="1642"/>
        </w:numPr>
        <w:rPr>
          <w:highlight w:val="yellow"/>
        </w:rPr>
      </w:pPr>
      <w:r w:rsidRPr="00660EB5">
        <w:rPr>
          <w:highlight w:val="yellow"/>
        </w:rPr>
        <w:t>Référence en gynécologie obstétrique</w:t>
      </w:r>
    </w:p>
    <w:p w:rsidR="008C4748" w:rsidRPr="00660EB5" w:rsidRDefault="006F0F0A" w:rsidP="0073422D">
      <w:pPr>
        <w:pStyle w:val="Sansinterligne"/>
        <w:numPr>
          <w:ilvl w:val="1"/>
          <w:numId w:val="1642"/>
        </w:numPr>
        <w:rPr>
          <w:highlight w:val="yellow"/>
        </w:rPr>
      </w:pPr>
      <w:r>
        <w:rPr>
          <w:highlight w:val="yellow"/>
        </w:rPr>
        <w:t>Hystérectomie-s</w:t>
      </w:r>
      <w:r w:rsidR="008C4748" w:rsidRPr="00660EB5">
        <w:rPr>
          <w:highlight w:val="yellow"/>
        </w:rPr>
        <w:t>a</w:t>
      </w:r>
      <w:r>
        <w:rPr>
          <w:highlight w:val="yellow"/>
        </w:rPr>
        <w:t>l</w:t>
      </w:r>
      <w:r w:rsidR="008C4748" w:rsidRPr="00660EB5">
        <w:rPr>
          <w:highlight w:val="yellow"/>
        </w:rPr>
        <w:t>pingoovariectomie bilatérale</w:t>
      </w:r>
    </w:p>
    <w:p w:rsidR="008C4748" w:rsidRPr="00660EB5" w:rsidRDefault="008C4748" w:rsidP="0073422D">
      <w:pPr>
        <w:pStyle w:val="Sansinterligne"/>
        <w:numPr>
          <w:ilvl w:val="1"/>
          <w:numId w:val="1642"/>
        </w:numPr>
        <w:rPr>
          <w:highlight w:val="yellow"/>
        </w:rPr>
      </w:pPr>
      <w:r w:rsidRPr="00660EB5">
        <w:rPr>
          <w:highlight w:val="yellow"/>
        </w:rPr>
        <w:t>Nettoyage pelvien</w:t>
      </w:r>
    </w:p>
    <w:p w:rsidR="008C4748" w:rsidRPr="00660EB5" w:rsidRDefault="008C4748" w:rsidP="0073422D">
      <w:pPr>
        <w:pStyle w:val="Sansinterligne"/>
        <w:numPr>
          <w:ilvl w:val="2"/>
          <w:numId w:val="1642"/>
        </w:numPr>
        <w:rPr>
          <w:highlight w:val="yellow"/>
        </w:rPr>
      </w:pPr>
      <w:r w:rsidRPr="00660EB5">
        <w:rPr>
          <w:rFonts w:cs="Times New Roman"/>
          <w:highlight w:val="yellow"/>
        </w:rPr>
        <w:t>±</w:t>
      </w:r>
      <w:r w:rsidRPr="00660EB5">
        <w:rPr>
          <w:highlight w:val="yellow"/>
        </w:rPr>
        <w:t xml:space="preserve">Dissection des ganglions pelviens, para aortiques </w:t>
      </w:r>
    </w:p>
    <w:p w:rsidR="008C4748" w:rsidRPr="00660EB5" w:rsidRDefault="008C4748" w:rsidP="0073422D">
      <w:pPr>
        <w:pStyle w:val="Sansinterligne"/>
        <w:numPr>
          <w:ilvl w:val="2"/>
          <w:numId w:val="1642"/>
        </w:numPr>
        <w:rPr>
          <w:highlight w:val="yellow"/>
        </w:rPr>
      </w:pPr>
      <w:r w:rsidRPr="00660EB5">
        <w:rPr>
          <w:rFonts w:cs="Times New Roman"/>
          <w:highlight w:val="yellow"/>
        </w:rPr>
        <w:t>±</w:t>
      </w:r>
      <w:r w:rsidRPr="00660EB5">
        <w:rPr>
          <w:highlight w:val="yellow"/>
        </w:rPr>
        <w:t xml:space="preserve"> épiploonectomie</w:t>
      </w:r>
    </w:p>
    <w:p w:rsidR="008C4748" w:rsidRPr="00660EB5" w:rsidRDefault="008C4748" w:rsidP="0073422D">
      <w:pPr>
        <w:pStyle w:val="Sansinterligne"/>
        <w:numPr>
          <w:ilvl w:val="1"/>
          <w:numId w:val="1642"/>
        </w:numPr>
        <w:rPr>
          <w:highlight w:val="yellow"/>
        </w:rPr>
      </w:pPr>
      <w:r w:rsidRPr="00660EB5">
        <w:rPr>
          <w:highlight w:val="yellow"/>
        </w:rPr>
        <w:t>Radiothérapie / chimiothérapie adjuvante selon le résultat de pathologie</w:t>
      </w:r>
    </w:p>
    <w:p w:rsidR="00660EB5" w:rsidRPr="00660EB5" w:rsidRDefault="006F0F0A" w:rsidP="0073422D">
      <w:pPr>
        <w:pStyle w:val="Sansinterligne"/>
        <w:numPr>
          <w:ilvl w:val="1"/>
          <w:numId w:val="1642"/>
        </w:numPr>
        <w:rPr>
          <w:highlight w:val="yellow"/>
        </w:rPr>
      </w:pPr>
      <w:r>
        <w:rPr>
          <w:highlight w:val="yellow"/>
        </w:rPr>
        <w:t>Chi</w:t>
      </w:r>
      <w:r w:rsidR="00660EB5" w:rsidRPr="00660EB5">
        <w:rPr>
          <w:highlight w:val="yellow"/>
        </w:rPr>
        <w:t>m</w:t>
      </w:r>
      <w:r>
        <w:rPr>
          <w:highlight w:val="yellow"/>
        </w:rPr>
        <w:t>i</w:t>
      </w:r>
      <w:r w:rsidR="00660EB5" w:rsidRPr="00660EB5">
        <w:rPr>
          <w:highlight w:val="yellow"/>
        </w:rPr>
        <w:t>othérapie / progestine si récidives</w:t>
      </w:r>
    </w:p>
    <w:p w:rsidR="008C4748" w:rsidRDefault="008C4748" w:rsidP="00B121E5">
      <w:pPr>
        <w:pStyle w:val="Sansinterligne"/>
      </w:pPr>
    </w:p>
    <w:p w:rsidR="00560962" w:rsidRDefault="00560962" w:rsidP="00B121E5">
      <w:pPr>
        <w:pStyle w:val="Sansinterligne"/>
        <w:rPr>
          <w:b/>
        </w:rPr>
        <w:sectPr w:rsidR="00560962" w:rsidSect="00E82F88">
          <w:type w:val="continuous"/>
          <w:pgSz w:w="12240" w:h="15840"/>
          <w:pgMar w:top="720" w:right="720" w:bottom="720" w:left="720" w:header="708" w:footer="708" w:gutter="0"/>
          <w:cols w:space="708"/>
          <w:titlePg/>
          <w:docGrid w:linePitch="360"/>
        </w:sectPr>
      </w:pPr>
    </w:p>
    <w:p w:rsidR="00873F47" w:rsidRPr="00660EB5" w:rsidRDefault="003B2ED8" w:rsidP="00B121E5">
      <w:pPr>
        <w:pStyle w:val="Sansinterligne"/>
        <w:rPr>
          <w:b/>
        </w:rPr>
      </w:pPr>
      <w:r w:rsidRPr="00660EB5">
        <w:rPr>
          <w:b/>
        </w:rPr>
        <w:lastRenderedPageBreak/>
        <w:t>Endométriome</w:t>
      </w:r>
    </w:p>
    <w:p w:rsidR="003B2ED8" w:rsidRDefault="003B2ED8" w:rsidP="0073422D">
      <w:pPr>
        <w:pStyle w:val="Sansinterligne"/>
        <w:numPr>
          <w:ilvl w:val="0"/>
          <w:numId w:val="1643"/>
        </w:numPr>
      </w:pPr>
      <w:r>
        <w:t>Référence en gynécologie-obstétrique</w:t>
      </w:r>
    </w:p>
    <w:p w:rsidR="00B121E5" w:rsidRDefault="003B2ED8" w:rsidP="0073422D">
      <w:pPr>
        <w:pStyle w:val="Sansinterligne"/>
        <w:numPr>
          <w:ilvl w:val="1"/>
          <w:numId w:val="1643"/>
        </w:numPr>
      </w:pPr>
      <w:r>
        <w:t>Traitement de l’</w:t>
      </w:r>
      <w:r w:rsidR="00660EB5">
        <w:t>e</w:t>
      </w:r>
      <w:r>
        <w:t xml:space="preserve">ndométriose, voir </w:t>
      </w:r>
      <w:r w:rsidRPr="00CD2E26">
        <w:rPr>
          <w:i/>
          <w:lang w:eastAsia="fr-CA"/>
        </w:rPr>
        <w:t>Douleur pelvienne CMC 73</w:t>
      </w:r>
    </w:p>
    <w:p w:rsidR="0075346A" w:rsidRPr="00353C88" w:rsidRDefault="0075346A" w:rsidP="00B121E5">
      <w:pPr>
        <w:pStyle w:val="Sansinterligne"/>
        <w:rPr>
          <w:b/>
        </w:rPr>
      </w:pPr>
      <w:r w:rsidRPr="00353C88">
        <w:rPr>
          <w:b/>
        </w:rPr>
        <w:lastRenderedPageBreak/>
        <w:t>Globe vésical</w:t>
      </w:r>
    </w:p>
    <w:p w:rsidR="0075346A" w:rsidRDefault="0075346A" w:rsidP="0073422D">
      <w:pPr>
        <w:pStyle w:val="Sansinterligne"/>
        <w:numPr>
          <w:ilvl w:val="0"/>
          <w:numId w:val="1650"/>
        </w:numPr>
      </w:pPr>
      <w:r>
        <w:t>Traiter la cause sous-jacente</w:t>
      </w:r>
    </w:p>
    <w:p w:rsidR="0075346A" w:rsidRDefault="0075346A" w:rsidP="0073422D">
      <w:pPr>
        <w:pStyle w:val="Sansinterligne"/>
        <w:numPr>
          <w:ilvl w:val="0"/>
          <w:numId w:val="1650"/>
        </w:numPr>
      </w:pPr>
      <w:r>
        <w:t>Cathétérisme ou sonde à demeure PRN</w:t>
      </w:r>
    </w:p>
    <w:p w:rsidR="00560962" w:rsidRDefault="00560962" w:rsidP="00B121E5">
      <w:pPr>
        <w:pStyle w:val="Sansinterligne"/>
        <w:sectPr w:rsidR="00560962" w:rsidSect="00560962">
          <w:type w:val="continuous"/>
          <w:pgSz w:w="12240" w:h="15840"/>
          <w:pgMar w:top="720" w:right="720" w:bottom="720" w:left="720" w:header="708" w:footer="708" w:gutter="0"/>
          <w:cols w:num="2" w:space="708"/>
          <w:titlePg/>
          <w:docGrid w:linePitch="360"/>
        </w:sectPr>
      </w:pPr>
    </w:p>
    <w:p w:rsidR="0075346A" w:rsidRDefault="0075346A" w:rsidP="00B121E5">
      <w:pPr>
        <w:pStyle w:val="Sansinterligne"/>
      </w:pPr>
    </w:p>
    <w:p w:rsidR="00560962" w:rsidRDefault="00560962" w:rsidP="00B121E5">
      <w:pPr>
        <w:pStyle w:val="Sansinterligne"/>
        <w:rPr>
          <w:b/>
          <w:highlight w:val="yellow"/>
        </w:rPr>
        <w:sectPr w:rsidR="00560962" w:rsidSect="00E82F88">
          <w:type w:val="continuous"/>
          <w:pgSz w:w="12240" w:h="15840"/>
          <w:pgMar w:top="720" w:right="720" w:bottom="720" w:left="720" w:header="708" w:footer="708" w:gutter="0"/>
          <w:cols w:space="708"/>
          <w:titlePg/>
          <w:docGrid w:linePitch="360"/>
        </w:sectPr>
      </w:pPr>
    </w:p>
    <w:p w:rsidR="003B2ED8" w:rsidRPr="00E53AF0" w:rsidRDefault="0075346A" w:rsidP="00B121E5">
      <w:pPr>
        <w:pStyle w:val="Sansinterligne"/>
        <w:rPr>
          <w:b/>
          <w:highlight w:val="yellow"/>
        </w:rPr>
      </w:pPr>
      <w:r w:rsidRPr="00E53AF0">
        <w:rPr>
          <w:b/>
          <w:highlight w:val="yellow"/>
        </w:rPr>
        <w:lastRenderedPageBreak/>
        <w:t>Cancer urothélial</w:t>
      </w:r>
    </w:p>
    <w:p w:rsidR="00B121E5" w:rsidRPr="00E53AF0" w:rsidRDefault="0075346A" w:rsidP="0073422D">
      <w:pPr>
        <w:pStyle w:val="Sansinterligne"/>
        <w:numPr>
          <w:ilvl w:val="0"/>
          <w:numId w:val="1651"/>
        </w:numPr>
        <w:rPr>
          <w:highlight w:val="yellow"/>
        </w:rPr>
      </w:pPr>
      <w:r w:rsidRPr="00E53AF0">
        <w:rPr>
          <w:highlight w:val="yellow"/>
        </w:rPr>
        <w:t>Référence en urologie</w:t>
      </w:r>
    </w:p>
    <w:p w:rsidR="0075346A" w:rsidRPr="00E53AF0" w:rsidRDefault="0075346A" w:rsidP="0073422D">
      <w:pPr>
        <w:pStyle w:val="Sansinterligne"/>
        <w:numPr>
          <w:ilvl w:val="0"/>
          <w:numId w:val="1651"/>
        </w:numPr>
        <w:rPr>
          <w:highlight w:val="yellow"/>
        </w:rPr>
      </w:pPr>
      <w:r w:rsidRPr="00E53AF0">
        <w:rPr>
          <w:highlight w:val="yellow"/>
        </w:rPr>
        <w:t>Non-invasif</w:t>
      </w:r>
    </w:p>
    <w:p w:rsidR="0075346A" w:rsidRPr="00E53AF0" w:rsidRDefault="0075346A" w:rsidP="0073422D">
      <w:pPr>
        <w:pStyle w:val="Sansinterligne"/>
        <w:numPr>
          <w:ilvl w:val="1"/>
          <w:numId w:val="1651"/>
        </w:numPr>
        <w:rPr>
          <w:highlight w:val="yellow"/>
        </w:rPr>
      </w:pPr>
      <w:r w:rsidRPr="00E53AF0">
        <w:rPr>
          <w:highlight w:val="yellow"/>
        </w:rPr>
        <w:t>Mitomycin C (chimio) intravésical</w:t>
      </w:r>
    </w:p>
    <w:p w:rsidR="002D4C23" w:rsidRPr="00E53AF0" w:rsidRDefault="002D4C23" w:rsidP="0073422D">
      <w:pPr>
        <w:pStyle w:val="Sansinterligne"/>
        <w:numPr>
          <w:ilvl w:val="1"/>
          <w:numId w:val="1651"/>
        </w:numPr>
        <w:rPr>
          <w:highlight w:val="yellow"/>
        </w:rPr>
      </w:pPr>
      <w:r w:rsidRPr="00E53AF0">
        <w:rPr>
          <w:highlight w:val="yellow"/>
        </w:rPr>
        <w:t>Résection transuréthrale du tissu atteint</w:t>
      </w:r>
    </w:p>
    <w:p w:rsidR="002D4C23" w:rsidRPr="00E53AF0" w:rsidRDefault="002D4C23" w:rsidP="0073422D">
      <w:pPr>
        <w:pStyle w:val="Sansinterligne"/>
        <w:numPr>
          <w:ilvl w:val="0"/>
          <w:numId w:val="1651"/>
        </w:numPr>
        <w:rPr>
          <w:highlight w:val="yellow"/>
        </w:rPr>
      </w:pPr>
      <w:r w:rsidRPr="00E53AF0">
        <w:rPr>
          <w:highlight w:val="yellow"/>
        </w:rPr>
        <w:t>Invasif</w:t>
      </w:r>
    </w:p>
    <w:p w:rsidR="002D4C23" w:rsidRPr="00E53AF0" w:rsidRDefault="002D4C23" w:rsidP="0073422D">
      <w:pPr>
        <w:pStyle w:val="Sansinterligne"/>
        <w:numPr>
          <w:ilvl w:val="1"/>
          <w:numId w:val="1651"/>
        </w:numPr>
        <w:rPr>
          <w:highlight w:val="yellow"/>
        </w:rPr>
      </w:pPr>
      <w:r w:rsidRPr="00E53AF0">
        <w:rPr>
          <w:highlight w:val="yellow"/>
        </w:rPr>
        <w:t>Cystectomie radicale et lymphadénoctomie pelvienne</w:t>
      </w:r>
    </w:p>
    <w:p w:rsidR="002D4C23" w:rsidRPr="00E53AF0" w:rsidRDefault="002D4C23" w:rsidP="0073422D">
      <w:pPr>
        <w:pStyle w:val="Sansinterligne"/>
        <w:numPr>
          <w:ilvl w:val="1"/>
          <w:numId w:val="1651"/>
        </w:numPr>
        <w:rPr>
          <w:highlight w:val="yellow"/>
        </w:rPr>
      </w:pPr>
      <w:r w:rsidRPr="00E53AF0">
        <w:rPr>
          <w:highlight w:val="yellow"/>
        </w:rPr>
        <w:t>Création d’une nouvelle vessie</w:t>
      </w:r>
    </w:p>
    <w:p w:rsidR="002D4C23" w:rsidRPr="00E53AF0" w:rsidRDefault="002D4C23" w:rsidP="0073422D">
      <w:pPr>
        <w:pStyle w:val="Sansinterligne"/>
        <w:numPr>
          <w:ilvl w:val="2"/>
          <w:numId w:val="1651"/>
        </w:numPr>
        <w:rPr>
          <w:highlight w:val="yellow"/>
        </w:rPr>
      </w:pPr>
      <w:r w:rsidRPr="00E53AF0">
        <w:rPr>
          <w:highlight w:val="yellow"/>
        </w:rPr>
        <w:t>Conduit iléal</w:t>
      </w:r>
    </w:p>
    <w:p w:rsidR="002D4C23" w:rsidRPr="00E53AF0" w:rsidRDefault="002D4C23" w:rsidP="0073422D">
      <w:pPr>
        <w:pStyle w:val="Sansinterligne"/>
        <w:numPr>
          <w:ilvl w:val="2"/>
          <w:numId w:val="1651"/>
        </w:numPr>
        <w:rPr>
          <w:highlight w:val="yellow"/>
        </w:rPr>
      </w:pPr>
      <w:r w:rsidRPr="00E53AF0">
        <w:rPr>
          <w:highlight w:val="yellow"/>
        </w:rPr>
        <w:t>Poche d’Indiana (vessie avec du côlon et stomie)</w:t>
      </w:r>
    </w:p>
    <w:p w:rsidR="002D4C23" w:rsidRPr="00E53AF0" w:rsidRDefault="002D4C23" w:rsidP="0073422D">
      <w:pPr>
        <w:pStyle w:val="Sansinterligne"/>
        <w:numPr>
          <w:ilvl w:val="2"/>
          <w:numId w:val="1651"/>
        </w:numPr>
        <w:rPr>
          <w:highlight w:val="yellow"/>
        </w:rPr>
      </w:pPr>
      <w:r w:rsidRPr="00E53AF0">
        <w:rPr>
          <w:highlight w:val="yellow"/>
        </w:rPr>
        <w:t>Vessie iléale  (reconstruction avec du grêle distal)</w:t>
      </w:r>
    </w:p>
    <w:p w:rsidR="002D4C23" w:rsidRPr="00E53AF0" w:rsidRDefault="002D4C23" w:rsidP="0073422D">
      <w:pPr>
        <w:pStyle w:val="Sansinterligne"/>
        <w:numPr>
          <w:ilvl w:val="0"/>
          <w:numId w:val="1651"/>
        </w:numPr>
        <w:rPr>
          <w:highlight w:val="yellow"/>
        </w:rPr>
      </w:pPr>
      <w:r w:rsidRPr="00E53AF0">
        <w:rPr>
          <w:highlight w:val="yellow"/>
        </w:rPr>
        <w:t>Cancer avancé</w:t>
      </w:r>
    </w:p>
    <w:p w:rsidR="002D4C23" w:rsidRPr="00E53AF0" w:rsidRDefault="002D4C23" w:rsidP="0073422D">
      <w:pPr>
        <w:pStyle w:val="Sansinterligne"/>
        <w:numPr>
          <w:ilvl w:val="1"/>
          <w:numId w:val="1651"/>
        </w:numPr>
        <w:rPr>
          <w:highlight w:val="yellow"/>
        </w:rPr>
      </w:pPr>
      <w:r w:rsidRPr="00E53AF0">
        <w:rPr>
          <w:highlight w:val="yellow"/>
        </w:rPr>
        <w:t>Chimio/radio/chirurgie combinés</w:t>
      </w:r>
    </w:p>
    <w:p w:rsidR="00353C88" w:rsidRPr="00E53AF0" w:rsidRDefault="002D4C23" w:rsidP="0073422D">
      <w:pPr>
        <w:pStyle w:val="Sansinterligne"/>
        <w:numPr>
          <w:ilvl w:val="0"/>
          <w:numId w:val="1651"/>
        </w:numPr>
        <w:rPr>
          <w:highlight w:val="yellow"/>
        </w:rPr>
      </w:pPr>
      <w:r w:rsidRPr="00E53AF0">
        <w:rPr>
          <w:highlight w:val="yellow"/>
        </w:rPr>
        <w:t xml:space="preserve">Pronostic </w:t>
      </w:r>
    </w:p>
    <w:p w:rsidR="002D4C23" w:rsidRPr="00E53AF0" w:rsidRDefault="002D4C23" w:rsidP="0073422D">
      <w:pPr>
        <w:pStyle w:val="Sansinterligne"/>
        <w:numPr>
          <w:ilvl w:val="1"/>
          <w:numId w:val="1651"/>
        </w:numPr>
        <w:rPr>
          <w:highlight w:val="yellow"/>
        </w:rPr>
      </w:pPr>
      <w:r w:rsidRPr="00E53AF0">
        <w:rPr>
          <w:highlight w:val="yellow"/>
        </w:rPr>
        <w:t>Bon pour les stades T1-T2, réservé pour T3, sombre pour les autres</w:t>
      </w:r>
    </w:p>
    <w:p w:rsidR="00B121E5" w:rsidRPr="00E53AF0" w:rsidRDefault="00B121E5" w:rsidP="00B121E5">
      <w:pPr>
        <w:pStyle w:val="Sansinterligne"/>
        <w:rPr>
          <w:highlight w:val="yellow"/>
        </w:rPr>
      </w:pPr>
    </w:p>
    <w:p w:rsidR="00B121E5" w:rsidRPr="00E53AF0" w:rsidRDefault="00353C88" w:rsidP="00B121E5">
      <w:pPr>
        <w:pStyle w:val="Sansinterligne"/>
        <w:rPr>
          <w:b/>
          <w:highlight w:val="yellow"/>
        </w:rPr>
      </w:pPr>
      <w:r w:rsidRPr="00E53AF0">
        <w:rPr>
          <w:b/>
          <w:highlight w:val="yellow"/>
        </w:rPr>
        <w:t>Cancer de la prostate</w:t>
      </w:r>
    </w:p>
    <w:p w:rsidR="00353C88" w:rsidRPr="00E53AF0" w:rsidRDefault="00353C88" w:rsidP="0073422D">
      <w:pPr>
        <w:pStyle w:val="Sansinterligne"/>
        <w:numPr>
          <w:ilvl w:val="0"/>
          <w:numId w:val="1652"/>
        </w:numPr>
        <w:rPr>
          <w:highlight w:val="yellow"/>
        </w:rPr>
      </w:pPr>
      <w:r w:rsidRPr="00E53AF0">
        <w:rPr>
          <w:highlight w:val="yellow"/>
        </w:rPr>
        <w:t>T1-T2</w:t>
      </w:r>
    </w:p>
    <w:p w:rsidR="00353C88" w:rsidRPr="00E53AF0" w:rsidRDefault="00353C88" w:rsidP="0073422D">
      <w:pPr>
        <w:pStyle w:val="Sansinterligne"/>
        <w:numPr>
          <w:ilvl w:val="1"/>
          <w:numId w:val="1652"/>
        </w:numPr>
        <w:rPr>
          <w:highlight w:val="yellow"/>
        </w:rPr>
      </w:pPr>
      <w:r w:rsidRPr="00E53AF0">
        <w:rPr>
          <w:highlight w:val="yellow"/>
        </w:rPr>
        <w:t>Selon l’espérance de vie ou comorbidités</w:t>
      </w:r>
    </w:p>
    <w:p w:rsidR="00353C88" w:rsidRPr="00E53AF0" w:rsidRDefault="00353C88" w:rsidP="0073422D">
      <w:pPr>
        <w:pStyle w:val="Sansinterligne"/>
        <w:numPr>
          <w:ilvl w:val="1"/>
          <w:numId w:val="1652"/>
        </w:numPr>
        <w:rPr>
          <w:highlight w:val="yellow"/>
        </w:rPr>
      </w:pPr>
      <w:r w:rsidRPr="00E53AF0">
        <w:rPr>
          <w:highlight w:val="yellow"/>
        </w:rPr>
        <w:t>Considérer surveillance seule vs prostatectomie radicale</w:t>
      </w:r>
    </w:p>
    <w:p w:rsidR="00353C88" w:rsidRPr="00E53AF0" w:rsidRDefault="00353C88" w:rsidP="0073422D">
      <w:pPr>
        <w:pStyle w:val="Sansinterligne"/>
        <w:numPr>
          <w:ilvl w:val="1"/>
          <w:numId w:val="1652"/>
        </w:numPr>
        <w:rPr>
          <w:highlight w:val="yellow"/>
        </w:rPr>
      </w:pPr>
      <w:r w:rsidRPr="00E53AF0">
        <w:rPr>
          <w:highlight w:val="yellow"/>
        </w:rPr>
        <w:t>Si âge avancé : surveillance et palliation des symptômes</w:t>
      </w:r>
    </w:p>
    <w:p w:rsidR="00353C88" w:rsidRPr="00E53AF0" w:rsidRDefault="00353C88" w:rsidP="0073422D">
      <w:pPr>
        <w:pStyle w:val="Sansinterligne"/>
        <w:numPr>
          <w:ilvl w:val="0"/>
          <w:numId w:val="1652"/>
        </w:numPr>
        <w:rPr>
          <w:highlight w:val="yellow"/>
        </w:rPr>
      </w:pPr>
      <w:r w:rsidRPr="00E53AF0">
        <w:rPr>
          <w:highlight w:val="yellow"/>
        </w:rPr>
        <w:t>T3-T4</w:t>
      </w:r>
    </w:p>
    <w:p w:rsidR="00353C88" w:rsidRPr="00E53AF0" w:rsidRDefault="00353C88" w:rsidP="0073422D">
      <w:pPr>
        <w:pStyle w:val="Sansinterligne"/>
        <w:numPr>
          <w:ilvl w:val="1"/>
          <w:numId w:val="1652"/>
        </w:numPr>
        <w:rPr>
          <w:highlight w:val="yellow"/>
        </w:rPr>
      </w:pPr>
      <w:r w:rsidRPr="00E53AF0">
        <w:rPr>
          <w:highlight w:val="yellow"/>
        </w:rPr>
        <w:t>Radiothérapie étandue + prostatectomie radicale ou anti-androgènes + radiothérapie adjuvante</w:t>
      </w:r>
    </w:p>
    <w:p w:rsidR="00353C88" w:rsidRPr="00E53AF0" w:rsidRDefault="00353C88" w:rsidP="0073422D">
      <w:pPr>
        <w:pStyle w:val="Sansinterligne"/>
        <w:numPr>
          <w:ilvl w:val="0"/>
          <w:numId w:val="1652"/>
        </w:numPr>
        <w:rPr>
          <w:highlight w:val="yellow"/>
        </w:rPr>
      </w:pPr>
      <w:r w:rsidRPr="00E53AF0">
        <w:rPr>
          <w:highlight w:val="yellow"/>
        </w:rPr>
        <w:t xml:space="preserve">Si métastatique (N ou M </w:t>
      </w:r>
      <w:r w:rsidRPr="00E53AF0">
        <w:rPr>
          <w:rFonts w:ascii="Century Gothic" w:hAnsi="Century Gothic"/>
          <w:highlight w:val="yellow"/>
        </w:rPr>
        <w:t>&gt;</w:t>
      </w:r>
      <w:r w:rsidRPr="00E53AF0">
        <w:rPr>
          <w:highlight w:val="yellow"/>
        </w:rPr>
        <w:t>0)</w:t>
      </w:r>
    </w:p>
    <w:p w:rsidR="00353C88" w:rsidRPr="00E53AF0" w:rsidRDefault="00353C88" w:rsidP="0073422D">
      <w:pPr>
        <w:pStyle w:val="Sansinterligne"/>
        <w:numPr>
          <w:ilvl w:val="1"/>
          <w:numId w:val="1652"/>
        </w:numPr>
        <w:rPr>
          <w:highlight w:val="yellow"/>
        </w:rPr>
      </w:pPr>
      <w:r w:rsidRPr="00E53AF0">
        <w:rPr>
          <w:highlight w:val="yellow"/>
        </w:rPr>
        <w:t>Radiothérapie palliative</w:t>
      </w:r>
    </w:p>
    <w:p w:rsidR="00353C88" w:rsidRPr="00E53AF0" w:rsidRDefault="00353C88" w:rsidP="0073422D">
      <w:pPr>
        <w:pStyle w:val="Sansinterligne"/>
        <w:numPr>
          <w:ilvl w:val="1"/>
          <w:numId w:val="1652"/>
        </w:numPr>
        <w:rPr>
          <w:highlight w:val="yellow"/>
        </w:rPr>
      </w:pPr>
      <w:r w:rsidRPr="00E53AF0">
        <w:rPr>
          <w:highlight w:val="yellow"/>
        </w:rPr>
        <w:t>Orchiectomie bilatérale</w:t>
      </w:r>
    </w:p>
    <w:p w:rsidR="00353C88" w:rsidRPr="00E53AF0" w:rsidRDefault="00353C88" w:rsidP="0073422D">
      <w:pPr>
        <w:pStyle w:val="Sansinterligne"/>
        <w:numPr>
          <w:ilvl w:val="1"/>
          <w:numId w:val="1652"/>
        </w:numPr>
        <w:rPr>
          <w:highlight w:val="yellow"/>
        </w:rPr>
      </w:pPr>
      <w:r w:rsidRPr="00E53AF0">
        <w:rPr>
          <w:highlight w:val="yellow"/>
        </w:rPr>
        <w:t>Estrogènes</w:t>
      </w:r>
    </w:p>
    <w:p w:rsidR="00353C88" w:rsidRPr="00E53AF0" w:rsidRDefault="00353C88" w:rsidP="0073422D">
      <w:pPr>
        <w:pStyle w:val="Sansinterligne"/>
        <w:numPr>
          <w:ilvl w:val="1"/>
          <w:numId w:val="1652"/>
        </w:numPr>
        <w:rPr>
          <w:highlight w:val="yellow"/>
        </w:rPr>
      </w:pPr>
      <w:r w:rsidRPr="00E53AF0">
        <w:rPr>
          <w:highlight w:val="yellow"/>
        </w:rPr>
        <w:t>Agonistes de la GnRH</w:t>
      </w:r>
    </w:p>
    <w:p w:rsidR="00353C88" w:rsidRPr="00E53AF0" w:rsidRDefault="00353C88" w:rsidP="0073422D">
      <w:pPr>
        <w:pStyle w:val="Sansinterligne"/>
        <w:numPr>
          <w:ilvl w:val="1"/>
          <w:numId w:val="1652"/>
        </w:numPr>
        <w:rPr>
          <w:highlight w:val="yellow"/>
        </w:rPr>
      </w:pPr>
      <w:r w:rsidRPr="00E53AF0">
        <w:rPr>
          <w:highlight w:val="yellow"/>
        </w:rPr>
        <w:t>Antagonistes de la GnRH</w:t>
      </w:r>
    </w:p>
    <w:p w:rsidR="00560962" w:rsidRDefault="00560962" w:rsidP="00B121E5">
      <w:pPr>
        <w:pStyle w:val="Sansinterligne"/>
        <w:rPr>
          <w:b/>
        </w:rPr>
        <w:sectPr w:rsidR="00560962" w:rsidSect="00560962">
          <w:type w:val="continuous"/>
          <w:pgSz w:w="12240" w:h="15840"/>
          <w:pgMar w:top="720" w:right="720" w:bottom="720" w:left="720" w:header="708" w:footer="708" w:gutter="0"/>
          <w:cols w:num="2" w:space="708"/>
          <w:titlePg/>
          <w:docGrid w:linePitch="360"/>
        </w:sectPr>
      </w:pPr>
    </w:p>
    <w:p w:rsidR="00353C88" w:rsidRDefault="00353C88" w:rsidP="00B121E5">
      <w:pPr>
        <w:pStyle w:val="Sansinterligne"/>
        <w:rPr>
          <w:b/>
        </w:rPr>
      </w:pPr>
      <w:r>
        <w:rPr>
          <w:b/>
        </w:rPr>
        <w:lastRenderedPageBreak/>
        <w:t>Hyperplasie bénigne de la prostate</w:t>
      </w:r>
    </w:p>
    <w:p w:rsidR="00C67DF6" w:rsidRDefault="00560962" w:rsidP="0073422D">
      <w:pPr>
        <w:pStyle w:val="Sansinterligne"/>
        <w:numPr>
          <w:ilvl w:val="0"/>
          <w:numId w:val="1658"/>
        </w:numPr>
      </w:pPr>
      <w:r>
        <w:rPr>
          <w:noProof/>
          <w:lang w:eastAsia="fr-CA"/>
        </w:rPr>
        <w:drawing>
          <wp:anchor distT="0" distB="0" distL="114300" distR="114300" simplePos="0" relativeHeight="252292096" behindDoc="0" locked="0" layoutInCell="1" allowOverlap="1" wp14:anchorId="03BEC839" wp14:editId="4913DEEA">
            <wp:simplePos x="0" y="0"/>
            <wp:positionH relativeFrom="column">
              <wp:posOffset>4291330</wp:posOffset>
            </wp:positionH>
            <wp:positionV relativeFrom="paragraph">
              <wp:posOffset>1270</wp:posOffset>
            </wp:positionV>
            <wp:extent cx="2425700" cy="1943100"/>
            <wp:effectExtent l="0" t="0" r="0" b="0"/>
            <wp:wrapNone/>
            <wp:docPr id="729" name="Image 729" descr="Résultats de recherche d'images pour « hyperplasie bénigne de la prostat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Résultats de recherche d'images pour « hyperplasie bénigne de la prostate »"/>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425700" cy="1943100"/>
                    </a:xfrm>
                    <a:prstGeom prst="rect">
                      <a:avLst/>
                    </a:prstGeom>
                    <a:noFill/>
                    <a:ln>
                      <a:noFill/>
                    </a:ln>
                  </pic:spPr>
                </pic:pic>
              </a:graphicData>
            </a:graphic>
            <wp14:sizeRelH relativeFrom="page">
              <wp14:pctWidth>0</wp14:pctWidth>
            </wp14:sizeRelH>
            <wp14:sizeRelV relativeFrom="page">
              <wp14:pctHeight>0</wp14:pctHeight>
            </wp14:sizeRelV>
          </wp:anchor>
        </w:drawing>
      </w:r>
      <w:r w:rsidR="00C67DF6">
        <w:t>Si asymptomatique</w:t>
      </w:r>
    </w:p>
    <w:p w:rsidR="00C67DF6" w:rsidRDefault="00C67DF6" w:rsidP="0073422D">
      <w:pPr>
        <w:pStyle w:val="Sansinterligne"/>
        <w:numPr>
          <w:ilvl w:val="1"/>
          <w:numId w:val="1658"/>
        </w:numPr>
      </w:pPr>
      <w:r>
        <w:t>Surveillance</w:t>
      </w:r>
    </w:p>
    <w:p w:rsidR="00C67DF6" w:rsidRDefault="00C67DF6" w:rsidP="0073422D">
      <w:pPr>
        <w:pStyle w:val="Sansinterligne"/>
        <w:numPr>
          <w:ilvl w:val="1"/>
          <w:numId w:val="1658"/>
        </w:numPr>
      </w:pPr>
      <w:r>
        <w:t>Conseils (</w:t>
      </w:r>
      <w:r>
        <w:rPr>
          <w:rFonts w:cs="Times New Roman"/>
        </w:rPr>
        <w:t>↓</w:t>
      </w:r>
      <w:r>
        <w:t xml:space="preserve"> liquides HS, horaire de miciton)</w:t>
      </w:r>
    </w:p>
    <w:p w:rsidR="00C67DF6" w:rsidRDefault="00C67DF6" w:rsidP="0073422D">
      <w:pPr>
        <w:pStyle w:val="Sansinterligne"/>
        <w:numPr>
          <w:ilvl w:val="0"/>
          <w:numId w:val="1658"/>
        </w:numPr>
      </w:pPr>
      <w:r>
        <w:t>Symptomatique</w:t>
      </w:r>
    </w:p>
    <w:p w:rsidR="00C67DF6" w:rsidRDefault="00C67DF6" w:rsidP="0073422D">
      <w:pPr>
        <w:pStyle w:val="Sansinterligne"/>
        <w:numPr>
          <w:ilvl w:val="1"/>
          <w:numId w:val="1658"/>
        </w:numPr>
      </w:pPr>
      <w:r>
        <w:t>Réduire les symptômes d’incontinence</w:t>
      </w:r>
    </w:p>
    <w:p w:rsidR="00C67DF6" w:rsidRDefault="00C67DF6" w:rsidP="0073422D">
      <w:pPr>
        <w:pStyle w:val="Sansinterligne"/>
        <w:numPr>
          <w:ilvl w:val="2"/>
          <w:numId w:val="1658"/>
        </w:numPr>
      </w:pPr>
      <w:r>
        <w:rPr>
          <w:rFonts w:ascii="Century Gothic" w:hAnsi="Century Gothic"/>
        </w:rPr>
        <w:t></w:t>
      </w:r>
      <w:r>
        <w:t>-adrénergique (ex : tamsulosin)</w:t>
      </w:r>
    </w:p>
    <w:p w:rsidR="00C67DF6" w:rsidRDefault="00C67DF6" w:rsidP="0073422D">
      <w:pPr>
        <w:pStyle w:val="Sansinterligne"/>
        <w:numPr>
          <w:ilvl w:val="1"/>
          <w:numId w:val="1658"/>
        </w:numPr>
      </w:pPr>
      <w:r>
        <w:t>Réduire la taille de la prostate</w:t>
      </w:r>
    </w:p>
    <w:p w:rsidR="00C67DF6" w:rsidRDefault="00C67DF6" w:rsidP="0073422D">
      <w:pPr>
        <w:pStyle w:val="Sansinterligne"/>
        <w:numPr>
          <w:ilvl w:val="2"/>
          <w:numId w:val="1658"/>
        </w:numPr>
        <w:rPr>
          <w:rFonts w:cs="Times New Roman"/>
        </w:rPr>
      </w:pPr>
      <w:r w:rsidRPr="00C67DF6">
        <w:rPr>
          <w:rFonts w:cs="Times New Roman"/>
        </w:rPr>
        <w:t>Inhibiteurs de la 5</w:t>
      </w:r>
      <w:r w:rsidRPr="00C67DF6">
        <w:rPr>
          <w:rFonts w:ascii="Bookman Old Style" w:hAnsi="Bookman Old Style" w:cs="Times New Roman"/>
        </w:rPr>
        <w:t></w:t>
      </w:r>
      <w:r w:rsidRPr="00C67DF6">
        <w:rPr>
          <w:rFonts w:cs="Times New Roman"/>
        </w:rPr>
        <w:t>-réductase (finastéride, dutastéride)</w:t>
      </w:r>
    </w:p>
    <w:p w:rsidR="000E3016" w:rsidRDefault="00C67DF6" w:rsidP="0073422D">
      <w:pPr>
        <w:pStyle w:val="Sansinterligne"/>
        <w:numPr>
          <w:ilvl w:val="0"/>
          <w:numId w:val="1658"/>
        </w:numPr>
        <w:rPr>
          <w:rFonts w:cs="Times New Roman"/>
        </w:rPr>
      </w:pPr>
      <w:r>
        <w:rPr>
          <w:rFonts w:cs="Times New Roman"/>
        </w:rPr>
        <w:t>Si complications (rétention, infections</w:t>
      </w:r>
      <w:r w:rsidR="000E3016">
        <w:rPr>
          <w:rFonts w:cs="Times New Roman"/>
        </w:rPr>
        <w:t xml:space="preserve"> récurrentes</w:t>
      </w:r>
      <w:r>
        <w:rPr>
          <w:rFonts w:cs="Times New Roman"/>
        </w:rPr>
        <w:t>, etc.)</w:t>
      </w:r>
    </w:p>
    <w:p w:rsidR="000E3016" w:rsidRDefault="000E3016" w:rsidP="0073422D">
      <w:pPr>
        <w:pStyle w:val="Sansinterligne"/>
        <w:numPr>
          <w:ilvl w:val="1"/>
          <w:numId w:val="1658"/>
        </w:numPr>
        <w:rPr>
          <w:rFonts w:cs="Times New Roman"/>
        </w:rPr>
      </w:pPr>
      <w:r>
        <w:rPr>
          <w:rFonts w:cs="Times New Roman"/>
        </w:rPr>
        <w:t>Référence en urologie</w:t>
      </w:r>
    </w:p>
    <w:p w:rsidR="000E3016" w:rsidRDefault="000E3016" w:rsidP="0073422D">
      <w:pPr>
        <w:pStyle w:val="Sansinterligne"/>
        <w:numPr>
          <w:ilvl w:val="2"/>
          <w:numId w:val="1658"/>
        </w:numPr>
        <w:rPr>
          <w:rFonts w:cs="Times New Roman"/>
        </w:rPr>
      </w:pPr>
      <w:r>
        <w:rPr>
          <w:rFonts w:cs="Times New Roman"/>
        </w:rPr>
        <w:t>Prostatectomie ouverte</w:t>
      </w:r>
    </w:p>
    <w:p w:rsidR="000E3016" w:rsidRDefault="000E3016" w:rsidP="0073422D">
      <w:pPr>
        <w:pStyle w:val="Sansinterligne"/>
        <w:numPr>
          <w:ilvl w:val="2"/>
          <w:numId w:val="1658"/>
        </w:numPr>
        <w:rPr>
          <w:rFonts w:cs="Times New Roman"/>
        </w:rPr>
      </w:pPr>
      <w:r>
        <w:rPr>
          <w:rFonts w:cs="Times New Roman"/>
        </w:rPr>
        <w:t>Résection prostatique trans-uréthrale</w:t>
      </w:r>
      <w:r w:rsidR="00560962" w:rsidRPr="00560962">
        <w:t xml:space="preserve"> </w:t>
      </w:r>
    </w:p>
    <w:p w:rsidR="000E3016" w:rsidRDefault="000E3016" w:rsidP="0073422D">
      <w:pPr>
        <w:pStyle w:val="Sansinterligne"/>
        <w:numPr>
          <w:ilvl w:val="2"/>
          <w:numId w:val="1658"/>
        </w:numPr>
        <w:rPr>
          <w:rFonts w:cs="Times New Roman"/>
        </w:rPr>
      </w:pPr>
      <w:r>
        <w:rPr>
          <w:rFonts w:cs="Times New Roman"/>
        </w:rPr>
        <w:t>Incision prostatique transuréthrale</w:t>
      </w:r>
    </w:p>
    <w:p w:rsidR="000E3016" w:rsidRDefault="000E3016" w:rsidP="0073422D">
      <w:pPr>
        <w:pStyle w:val="Sansinterligne"/>
        <w:numPr>
          <w:ilvl w:val="2"/>
          <w:numId w:val="1658"/>
        </w:numPr>
        <w:rPr>
          <w:rFonts w:cs="Times New Roman"/>
        </w:rPr>
      </w:pPr>
      <w:r>
        <w:rPr>
          <w:rFonts w:cs="Times New Roman"/>
        </w:rPr>
        <w:t>Ablation par laser</w:t>
      </w:r>
    </w:p>
    <w:p w:rsidR="000E3016" w:rsidRDefault="00560962" w:rsidP="0073422D">
      <w:pPr>
        <w:pStyle w:val="Sansinterligne"/>
        <w:numPr>
          <w:ilvl w:val="2"/>
          <w:numId w:val="1658"/>
        </w:numPr>
        <w:rPr>
          <w:rFonts w:cs="Times New Roman"/>
        </w:rPr>
      </w:pPr>
      <w:r>
        <w:rPr>
          <w:rFonts w:cs="Times New Roman"/>
        </w:rPr>
        <w:t>Prise en charge n</w:t>
      </w:r>
      <w:r w:rsidR="000E3016">
        <w:rPr>
          <w:rFonts w:cs="Times New Roman"/>
        </w:rPr>
        <w:t>on-chirurgical</w:t>
      </w:r>
      <w:r>
        <w:rPr>
          <w:rFonts w:cs="Times New Roman"/>
        </w:rPr>
        <w:t>e</w:t>
      </w:r>
    </w:p>
    <w:p w:rsidR="000E3016" w:rsidRDefault="000E3016" w:rsidP="0073422D">
      <w:pPr>
        <w:pStyle w:val="Sansinterligne"/>
        <w:numPr>
          <w:ilvl w:val="3"/>
          <w:numId w:val="1658"/>
        </w:numPr>
        <w:rPr>
          <w:rFonts w:cs="Times New Roman"/>
        </w:rPr>
      </w:pPr>
      <w:r>
        <w:rPr>
          <w:rFonts w:cs="Times New Roman"/>
        </w:rPr>
        <w:t>Ablation à l’aiguille transuréthrale</w:t>
      </w:r>
    </w:p>
    <w:p w:rsidR="000E3016" w:rsidRDefault="00560962" w:rsidP="0073422D">
      <w:pPr>
        <w:pStyle w:val="Sansinterligne"/>
        <w:numPr>
          <w:ilvl w:val="3"/>
          <w:numId w:val="1658"/>
        </w:numPr>
        <w:rPr>
          <w:rFonts w:cs="Times New Roman"/>
        </w:rPr>
      </w:pPr>
      <w:r w:rsidRPr="00A31AC7">
        <w:rPr>
          <w:rFonts w:cs="Times New Roman"/>
          <w:noProof/>
          <w:lang w:eastAsia="fr-CA"/>
        </w:rPr>
        <mc:AlternateContent>
          <mc:Choice Requires="wps">
            <w:drawing>
              <wp:anchor distT="0" distB="0" distL="114300" distR="114300" simplePos="0" relativeHeight="252291072" behindDoc="0" locked="0" layoutInCell="1" allowOverlap="1" wp14:anchorId="2AA51A15" wp14:editId="1AE6585F">
                <wp:simplePos x="0" y="0"/>
                <wp:positionH relativeFrom="column">
                  <wp:posOffset>3790315</wp:posOffset>
                </wp:positionH>
                <wp:positionV relativeFrom="paragraph">
                  <wp:posOffset>96520</wp:posOffset>
                </wp:positionV>
                <wp:extent cx="2966720" cy="1403985"/>
                <wp:effectExtent l="0" t="0" r="24130" b="12065"/>
                <wp:wrapNone/>
                <wp:docPr id="728"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6720" cy="1403985"/>
                        </a:xfrm>
                        <a:prstGeom prst="rect">
                          <a:avLst/>
                        </a:prstGeom>
                        <a:solidFill>
                          <a:schemeClr val="accent1">
                            <a:lumMod val="60000"/>
                            <a:lumOff val="40000"/>
                          </a:schemeClr>
                        </a:solidFill>
                        <a:ln w="9525">
                          <a:solidFill>
                            <a:srgbClr val="000000"/>
                          </a:solidFill>
                          <a:miter lim="800000"/>
                          <a:headEnd/>
                          <a:tailEnd/>
                        </a:ln>
                      </wps:spPr>
                      <wps:txbx>
                        <w:txbxContent>
                          <w:p w:rsidR="008276DC" w:rsidRPr="00A31AC7" w:rsidRDefault="008276DC">
                            <w:pPr>
                              <w:rPr>
                                <w:u w:val="single"/>
                              </w:rPr>
                            </w:pPr>
                            <w:r w:rsidRPr="00A31AC7">
                              <w:rPr>
                                <w:u w:val="single"/>
                              </w:rPr>
                              <w:t>Indications de réparation chirurgicale d’un AAA</w:t>
                            </w:r>
                          </w:p>
                          <w:p w:rsidR="008276DC" w:rsidRDefault="008276DC" w:rsidP="0073422D">
                            <w:pPr>
                              <w:pStyle w:val="Sansinterligne"/>
                              <w:numPr>
                                <w:ilvl w:val="0"/>
                                <w:numId w:val="1656"/>
                              </w:numPr>
                              <w:rPr>
                                <w:rFonts w:cs="Times New Roman"/>
                              </w:rPr>
                            </w:pPr>
                            <w:r>
                              <w:rPr>
                                <w:rFonts w:cs="Times New Roman"/>
                              </w:rPr>
                              <w:t>Rupturé</w:t>
                            </w:r>
                          </w:p>
                          <w:p w:rsidR="008276DC" w:rsidRDefault="008276DC" w:rsidP="0073422D">
                            <w:pPr>
                              <w:pStyle w:val="Sansinterligne"/>
                              <w:numPr>
                                <w:ilvl w:val="0"/>
                                <w:numId w:val="1656"/>
                              </w:numPr>
                              <w:rPr>
                                <w:rFonts w:cs="Times New Roman"/>
                              </w:rPr>
                            </w:pPr>
                            <w:r>
                              <w:rPr>
                                <w:rFonts w:cs="Times New Roman"/>
                              </w:rPr>
                              <w:t>Symptomatique</w:t>
                            </w:r>
                          </w:p>
                          <w:p w:rsidR="008276DC" w:rsidRDefault="008276DC" w:rsidP="0073422D">
                            <w:pPr>
                              <w:pStyle w:val="Sansinterligne"/>
                              <w:numPr>
                                <w:ilvl w:val="0"/>
                                <w:numId w:val="1656"/>
                              </w:numPr>
                              <w:rPr>
                                <w:rFonts w:cs="Times New Roman"/>
                              </w:rPr>
                            </w:pPr>
                            <w:r>
                              <w:rPr>
                                <w:rFonts w:cs="Times New Roman"/>
                              </w:rPr>
                              <w:t>Mycotique</w:t>
                            </w:r>
                          </w:p>
                          <w:p w:rsidR="008276DC" w:rsidRDefault="008276DC" w:rsidP="0073422D">
                            <w:pPr>
                              <w:pStyle w:val="Sansinterligne"/>
                              <w:numPr>
                                <w:ilvl w:val="0"/>
                                <w:numId w:val="1656"/>
                              </w:numPr>
                              <w:rPr>
                                <w:rFonts w:cs="Times New Roman"/>
                              </w:rPr>
                            </w:pPr>
                            <w:r>
                              <w:rPr>
                                <w:rFonts w:cs="Times New Roman"/>
                              </w:rPr>
                              <w:t>Dissection aortique de type A associée</w:t>
                            </w:r>
                          </w:p>
                          <w:p w:rsidR="008276DC" w:rsidRDefault="008276DC" w:rsidP="0073422D">
                            <w:pPr>
                              <w:pStyle w:val="Sansinterligne"/>
                              <w:numPr>
                                <w:ilvl w:val="0"/>
                                <w:numId w:val="1656"/>
                              </w:numPr>
                              <w:rPr>
                                <w:rFonts w:cs="Times New Roman"/>
                              </w:rPr>
                            </w:pPr>
                            <w:r>
                              <w:rPr>
                                <w:rFonts w:cs="Times New Roman"/>
                              </w:rPr>
                              <w:t xml:space="preserve">Risque de rupture </w:t>
                            </w:r>
                            <w:r>
                              <w:rPr>
                                <w:rFonts w:ascii="Century Gothic" w:hAnsi="Century Gothic" w:cs="Times New Roman"/>
                              </w:rPr>
                              <w:t>&gt;</w:t>
                            </w:r>
                            <w:r>
                              <w:rPr>
                                <w:rFonts w:cs="Times New Roman"/>
                              </w:rPr>
                              <w:t xml:space="preserve"> risque de la chirurgie</w:t>
                            </w:r>
                          </w:p>
                          <w:p w:rsidR="008276DC" w:rsidRDefault="008276DC"/>
                          <w:p w:rsidR="008276DC" w:rsidRPr="00A31AC7" w:rsidRDefault="008276DC" w:rsidP="00A31AC7">
                            <w:pPr>
                              <w:pStyle w:val="Sansinterligne"/>
                              <w:rPr>
                                <w:rFonts w:cs="Times New Roman"/>
                                <w:u w:val="single"/>
                              </w:rPr>
                            </w:pPr>
                            <w:r w:rsidRPr="00A31AC7">
                              <w:rPr>
                                <w:rFonts w:cs="Times New Roman"/>
                                <w:u w:val="single"/>
                              </w:rPr>
                              <w:t>Risque</w:t>
                            </w:r>
                            <w:r>
                              <w:rPr>
                                <w:rFonts w:cs="Times New Roman"/>
                                <w:u w:val="single"/>
                              </w:rPr>
                              <w:t xml:space="preserve"> de rupture</w:t>
                            </w:r>
                            <w:r w:rsidRPr="00A31AC7">
                              <w:rPr>
                                <w:rFonts w:cs="Times New Roman"/>
                                <w:u w:val="single"/>
                              </w:rPr>
                              <w:t xml:space="preserve"> dépend de</w:t>
                            </w:r>
                          </w:p>
                          <w:p w:rsidR="008276DC" w:rsidRDefault="008276DC" w:rsidP="0073422D">
                            <w:pPr>
                              <w:pStyle w:val="Sansinterligne"/>
                              <w:numPr>
                                <w:ilvl w:val="0"/>
                                <w:numId w:val="1657"/>
                              </w:numPr>
                              <w:rPr>
                                <w:rFonts w:cs="Times New Roman"/>
                              </w:rPr>
                            </w:pPr>
                            <w:r>
                              <w:rPr>
                                <w:rFonts w:cs="Times New Roman"/>
                              </w:rPr>
                              <w:t>Taille (</w:t>
                            </w:r>
                            <w:r>
                              <w:rPr>
                                <w:rFonts w:ascii="Century Gothic" w:hAnsi="Century Gothic" w:cs="Times New Roman"/>
                              </w:rPr>
                              <w:t>&gt;</w:t>
                            </w:r>
                            <w:r>
                              <w:rPr>
                                <w:rFonts w:cs="Times New Roman"/>
                              </w:rPr>
                              <w:t xml:space="preserve"> 5 cm)</w:t>
                            </w:r>
                          </w:p>
                          <w:p w:rsidR="008276DC" w:rsidRDefault="008276DC" w:rsidP="0073422D">
                            <w:pPr>
                              <w:pStyle w:val="Sansinterligne"/>
                              <w:numPr>
                                <w:ilvl w:val="0"/>
                                <w:numId w:val="1657"/>
                              </w:numPr>
                              <w:rPr>
                                <w:rFonts w:cs="Times New Roman"/>
                              </w:rPr>
                            </w:pPr>
                            <w:r>
                              <w:rPr>
                                <w:rFonts w:cs="Times New Roman"/>
                              </w:rPr>
                              <w:t>Histoire familiale de rupture</w:t>
                            </w:r>
                          </w:p>
                          <w:p w:rsidR="008276DC" w:rsidRDefault="008276DC" w:rsidP="0073422D">
                            <w:pPr>
                              <w:pStyle w:val="Sansinterligne"/>
                              <w:numPr>
                                <w:ilvl w:val="0"/>
                                <w:numId w:val="1657"/>
                              </w:numPr>
                              <w:rPr>
                                <w:rFonts w:cs="Times New Roman"/>
                              </w:rPr>
                            </w:pPr>
                            <w:r>
                              <w:rPr>
                                <w:rFonts w:cs="Times New Roman"/>
                              </w:rPr>
                              <w:t>Vitesse de croissance (</w:t>
                            </w:r>
                            <w:r>
                              <w:rPr>
                                <w:rFonts w:ascii="Century Gothic" w:hAnsi="Century Gothic" w:cs="Times New Roman"/>
                              </w:rPr>
                              <w:t>&gt;</w:t>
                            </w:r>
                            <w:r>
                              <w:rPr>
                                <w:rFonts w:cs="Times New Roman"/>
                              </w:rPr>
                              <w:t>1 cm/an = rapide)</w:t>
                            </w:r>
                          </w:p>
                          <w:p w:rsidR="008276DC" w:rsidRDefault="008276DC" w:rsidP="0073422D">
                            <w:pPr>
                              <w:pStyle w:val="Paragraphedeliste"/>
                              <w:numPr>
                                <w:ilvl w:val="0"/>
                                <w:numId w:val="1657"/>
                              </w:numPr>
                            </w:pPr>
                            <w:r w:rsidRPr="00A31AC7">
                              <w:rPr>
                                <w:rFonts w:cs="Times New Roman"/>
                              </w:rPr>
                              <w:t>Comorbidités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34" type="#_x0000_t202" style="position:absolute;left:0;text-align:left;margin-left:298.45pt;margin-top:7.6pt;width:233.6pt;height:110.55pt;z-index:25229107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" fillcolor="#95b3d7 [1940]">
                <v:textbox style="mso-fit-shape-to-text:t">
                  <w:txbxContent>
                    <w:p w:rsidR="008276DC" w:rsidRPr="00A31AC7" w:rsidRDefault="008276DC">
                      <w:pPr>
                        <w:rPr>
                          <w:u w:val="single"/>
                        </w:rPr>
                      </w:pPr>
                      <w:r w:rsidRPr="00A31AC7">
                        <w:rPr>
                          <w:u w:val="single"/>
                        </w:rPr>
                        <w:t>Indications de réparation chirurgicale d’un AAA</w:t>
                      </w:r>
                    </w:p>
                    <w:p w:rsidR="008276DC" w:rsidRDefault="008276DC" w:rsidP="0073422D">
                      <w:pPr>
                        <w:pStyle w:val="Sansinterligne"/>
                        <w:numPr>
                          <w:ilvl w:val="0"/>
                          <w:numId w:val="1656"/>
                        </w:numPr>
                        <w:rPr>
                          <w:rFonts w:cs="Times New Roman"/>
                        </w:rPr>
                      </w:pPr>
                      <w:r>
                        <w:rPr>
                          <w:rFonts w:cs="Times New Roman"/>
                        </w:rPr>
                        <w:t>Rupturé</w:t>
                      </w:r>
                    </w:p>
                    <w:p w:rsidR="008276DC" w:rsidRDefault="008276DC" w:rsidP="0073422D">
                      <w:pPr>
                        <w:pStyle w:val="Sansinterligne"/>
                        <w:numPr>
                          <w:ilvl w:val="0"/>
                          <w:numId w:val="1656"/>
                        </w:numPr>
                        <w:rPr>
                          <w:rFonts w:cs="Times New Roman"/>
                        </w:rPr>
                      </w:pPr>
                      <w:r>
                        <w:rPr>
                          <w:rFonts w:cs="Times New Roman"/>
                        </w:rPr>
                        <w:t>Symptomatique</w:t>
                      </w:r>
                    </w:p>
                    <w:p w:rsidR="008276DC" w:rsidRDefault="008276DC" w:rsidP="0073422D">
                      <w:pPr>
                        <w:pStyle w:val="Sansinterligne"/>
                        <w:numPr>
                          <w:ilvl w:val="0"/>
                          <w:numId w:val="1656"/>
                        </w:numPr>
                        <w:rPr>
                          <w:rFonts w:cs="Times New Roman"/>
                        </w:rPr>
                      </w:pPr>
                      <w:r>
                        <w:rPr>
                          <w:rFonts w:cs="Times New Roman"/>
                        </w:rPr>
                        <w:t>Mycotique</w:t>
                      </w:r>
                    </w:p>
                    <w:p w:rsidR="008276DC" w:rsidRDefault="008276DC" w:rsidP="0073422D">
                      <w:pPr>
                        <w:pStyle w:val="Sansinterligne"/>
                        <w:numPr>
                          <w:ilvl w:val="0"/>
                          <w:numId w:val="1656"/>
                        </w:numPr>
                        <w:rPr>
                          <w:rFonts w:cs="Times New Roman"/>
                        </w:rPr>
                      </w:pPr>
                      <w:r>
                        <w:rPr>
                          <w:rFonts w:cs="Times New Roman"/>
                        </w:rPr>
                        <w:t>Dissection aortique de type A associée</w:t>
                      </w:r>
                    </w:p>
                    <w:p w:rsidR="008276DC" w:rsidRDefault="008276DC" w:rsidP="0073422D">
                      <w:pPr>
                        <w:pStyle w:val="Sansinterligne"/>
                        <w:numPr>
                          <w:ilvl w:val="0"/>
                          <w:numId w:val="1656"/>
                        </w:numPr>
                        <w:rPr>
                          <w:rFonts w:cs="Times New Roman"/>
                        </w:rPr>
                      </w:pPr>
                      <w:r>
                        <w:rPr>
                          <w:rFonts w:cs="Times New Roman"/>
                        </w:rPr>
                        <w:t xml:space="preserve">Risque de rupture </w:t>
                      </w:r>
                      <w:r>
                        <w:rPr>
                          <w:rFonts w:ascii="Century Gothic" w:hAnsi="Century Gothic" w:cs="Times New Roman"/>
                        </w:rPr>
                        <w:t>&gt;</w:t>
                      </w:r>
                      <w:r>
                        <w:rPr>
                          <w:rFonts w:cs="Times New Roman"/>
                        </w:rPr>
                        <w:t xml:space="preserve"> risque de la chirurgie</w:t>
                      </w:r>
                    </w:p>
                    <w:p w:rsidR="008276DC" w:rsidRDefault="008276DC"/>
                    <w:p w:rsidR="008276DC" w:rsidRPr="00A31AC7" w:rsidRDefault="008276DC" w:rsidP="00A31AC7">
                      <w:pPr>
                        <w:pStyle w:val="Sansinterligne"/>
                        <w:rPr>
                          <w:rFonts w:cs="Times New Roman"/>
                          <w:u w:val="single"/>
                        </w:rPr>
                      </w:pPr>
                      <w:r w:rsidRPr="00A31AC7">
                        <w:rPr>
                          <w:rFonts w:cs="Times New Roman"/>
                          <w:u w:val="single"/>
                        </w:rPr>
                        <w:t>Risque</w:t>
                      </w:r>
                      <w:r>
                        <w:rPr>
                          <w:rFonts w:cs="Times New Roman"/>
                          <w:u w:val="single"/>
                        </w:rPr>
                        <w:t xml:space="preserve"> de rupture</w:t>
                      </w:r>
                      <w:r w:rsidRPr="00A31AC7">
                        <w:rPr>
                          <w:rFonts w:cs="Times New Roman"/>
                          <w:u w:val="single"/>
                        </w:rPr>
                        <w:t xml:space="preserve"> dépend de</w:t>
                      </w:r>
                    </w:p>
                    <w:p w:rsidR="008276DC" w:rsidRDefault="008276DC" w:rsidP="0073422D">
                      <w:pPr>
                        <w:pStyle w:val="Sansinterligne"/>
                        <w:numPr>
                          <w:ilvl w:val="0"/>
                          <w:numId w:val="1657"/>
                        </w:numPr>
                        <w:rPr>
                          <w:rFonts w:cs="Times New Roman"/>
                        </w:rPr>
                      </w:pPr>
                      <w:r>
                        <w:rPr>
                          <w:rFonts w:cs="Times New Roman"/>
                        </w:rPr>
                        <w:t>Taille (</w:t>
                      </w:r>
                      <w:r>
                        <w:rPr>
                          <w:rFonts w:ascii="Century Gothic" w:hAnsi="Century Gothic" w:cs="Times New Roman"/>
                        </w:rPr>
                        <w:t>&gt;</w:t>
                      </w:r>
                      <w:r>
                        <w:rPr>
                          <w:rFonts w:cs="Times New Roman"/>
                        </w:rPr>
                        <w:t xml:space="preserve"> 5 cm)</w:t>
                      </w:r>
                    </w:p>
                    <w:p w:rsidR="008276DC" w:rsidRDefault="008276DC" w:rsidP="0073422D">
                      <w:pPr>
                        <w:pStyle w:val="Sansinterligne"/>
                        <w:numPr>
                          <w:ilvl w:val="0"/>
                          <w:numId w:val="1657"/>
                        </w:numPr>
                        <w:rPr>
                          <w:rFonts w:cs="Times New Roman"/>
                        </w:rPr>
                      </w:pPr>
                      <w:r>
                        <w:rPr>
                          <w:rFonts w:cs="Times New Roman"/>
                        </w:rPr>
                        <w:t>Histoire familiale de rupture</w:t>
                      </w:r>
                    </w:p>
                    <w:p w:rsidR="008276DC" w:rsidRDefault="008276DC" w:rsidP="0073422D">
                      <w:pPr>
                        <w:pStyle w:val="Sansinterligne"/>
                        <w:numPr>
                          <w:ilvl w:val="0"/>
                          <w:numId w:val="1657"/>
                        </w:numPr>
                        <w:rPr>
                          <w:rFonts w:cs="Times New Roman"/>
                        </w:rPr>
                      </w:pPr>
                      <w:r>
                        <w:rPr>
                          <w:rFonts w:cs="Times New Roman"/>
                        </w:rPr>
                        <w:t>Vitesse de croissance (</w:t>
                      </w:r>
                      <w:r>
                        <w:rPr>
                          <w:rFonts w:ascii="Century Gothic" w:hAnsi="Century Gothic" w:cs="Times New Roman"/>
                        </w:rPr>
                        <w:t>&gt;</w:t>
                      </w:r>
                      <w:r>
                        <w:rPr>
                          <w:rFonts w:cs="Times New Roman"/>
                        </w:rPr>
                        <w:t>1 cm/an = rapide)</w:t>
                      </w:r>
                    </w:p>
                    <w:p w:rsidR="008276DC" w:rsidRDefault="008276DC" w:rsidP="0073422D">
                      <w:pPr>
                        <w:pStyle w:val="Paragraphedeliste"/>
                        <w:numPr>
                          <w:ilvl w:val="0"/>
                          <w:numId w:val="1657"/>
                        </w:numPr>
                      </w:pPr>
                      <w:r w:rsidRPr="00A31AC7">
                        <w:rPr>
                          <w:rFonts w:cs="Times New Roman"/>
                        </w:rPr>
                        <w:t>Comorbidités</w:t>
                      </w:r>
                    </w:p>
                  </w:txbxContent>
                </v:textbox>
              </v:shape>
            </w:pict>
          </mc:Fallback>
        </mc:AlternateContent>
      </w:r>
      <w:r w:rsidR="000E3016">
        <w:rPr>
          <w:rFonts w:cs="Times New Roman"/>
        </w:rPr>
        <w:t>Tuteur prostatique</w:t>
      </w:r>
    </w:p>
    <w:p w:rsidR="00E53AF0" w:rsidRDefault="00E53AF0" w:rsidP="00B121E5">
      <w:pPr>
        <w:pStyle w:val="Sansinterligne"/>
        <w:rPr>
          <w:rFonts w:cs="Times New Roman"/>
          <w:b/>
        </w:rPr>
      </w:pPr>
    </w:p>
    <w:p w:rsidR="00E53AF0" w:rsidRDefault="00E53AF0" w:rsidP="00B121E5">
      <w:pPr>
        <w:pStyle w:val="Sansinterligne"/>
        <w:rPr>
          <w:rFonts w:cs="Times New Roman"/>
          <w:b/>
        </w:rPr>
      </w:pPr>
      <w:r>
        <w:rPr>
          <w:rFonts w:cs="Times New Roman"/>
          <w:b/>
        </w:rPr>
        <w:t>Anévrysme de l’aorte abdominale</w:t>
      </w:r>
    </w:p>
    <w:p w:rsidR="00E53AF0" w:rsidRDefault="00E53AF0" w:rsidP="0073422D">
      <w:pPr>
        <w:pStyle w:val="Sansinterligne"/>
        <w:numPr>
          <w:ilvl w:val="0"/>
          <w:numId w:val="1659"/>
        </w:numPr>
        <w:rPr>
          <w:rFonts w:cs="Times New Roman"/>
        </w:rPr>
      </w:pPr>
      <w:r>
        <w:rPr>
          <w:rFonts w:cs="Times New Roman"/>
        </w:rPr>
        <w:t>Traitement conservateur si asymptomatique</w:t>
      </w:r>
    </w:p>
    <w:p w:rsidR="00E53AF0" w:rsidRDefault="00E53AF0" w:rsidP="0073422D">
      <w:pPr>
        <w:pStyle w:val="Sansinterligne"/>
        <w:numPr>
          <w:ilvl w:val="1"/>
          <w:numId w:val="1659"/>
        </w:numPr>
        <w:rPr>
          <w:rFonts w:cs="Times New Roman"/>
        </w:rPr>
      </w:pPr>
      <w:r>
        <w:rPr>
          <w:rFonts w:cs="Times New Roman"/>
        </w:rPr>
        <w:t>Réduction des facteurs de risque cardiovasculaire</w:t>
      </w:r>
    </w:p>
    <w:p w:rsidR="00E53AF0" w:rsidRDefault="00E53AF0" w:rsidP="0073422D">
      <w:pPr>
        <w:pStyle w:val="Sansinterligne"/>
        <w:numPr>
          <w:ilvl w:val="1"/>
          <w:numId w:val="1659"/>
        </w:numPr>
        <w:rPr>
          <w:rFonts w:cs="Times New Roman"/>
        </w:rPr>
      </w:pPr>
      <w:r>
        <w:rPr>
          <w:rFonts w:cs="Times New Roman"/>
        </w:rPr>
        <w:t>Exercice régulier</w:t>
      </w:r>
    </w:p>
    <w:p w:rsidR="00E53AF0" w:rsidRDefault="00E53AF0" w:rsidP="0073422D">
      <w:pPr>
        <w:pStyle w:val="Sansinterligne"/>
        <w:numPr>
          <w:ilvl w:val="1"/>
          <w:numId w:val="1659"/>
        </w:numPr>
        <w:rPr>
          <w:rFonts w:cs="Times New Roman"/>
        </w:rPr>
      </w:pPr>
      <w:r>
        <w:rPr>
          <w:rFonts w:cs="Times New Roman"/>
        </w:rPr>
        <w:t>Surveillance échographique q 6-36 mois selon la taille</w:t>
      </w:r>
    </w:p>
    <w:p w:rsidR="00E53AF0" w:rsidRDefault="00560962" w:rsidP="0073422D">
      <w:pPr>
        <w:pStyle w:val="Sansinterligne"/>
        <w:numPr>
          <w:ilvl w:val="0"/>
          <w:numId w:val="1659"/>
        </w:numPr>
        <w:rPr>
          <w:rFonts w:cs="Times New Roman"/>
        </w:rPr>
      </w:pPr>
      <w:r>
        <w:rPr>
          <w:rFonts w:cs="Times New Roman"/>
        </w:rPr>
        <w:t>Réparation chirurgicale élective</w:t>
      </w:r>
    </w:p>
    <w:p w:rsidR="00A31AC7" w:rsidRDefault="00A31AC7" w:rsidP="0073422D">
      <w:pPr>
        <w:pStyle w:val="Sansinterligne"/>
        <w:numPr>
          <w:ilvl w:val="1"/>
          <w:numId w:val="1659"/>
        </w:numPr>
        <w:rPr>
          <w:rFonts w:cs="Times New Roman"/>
        </w:rPr>
      </w:pPr>
      <w:r>
        <w:rPr>
          <w:rFonts w:cs="Times New Roman"/>
        </w:rPr>
        <w:t>Réparation ouverte</w:t>
      </w:r>
    </w:p>
    <w:p w:rsidR="00A31AC7" w:rsidRDefault="00A85126" w:rsidP="0073422D">
      <w:pPr>
        <w:pStyle w:val="Sansinterligne"/>
        <w:numPr>
          <w:ilvl w:val="2"/>
          <w:numId w:val="1659"/>
        </w:numPr>
        <w:rPr>
          <w:rFonts w:cs="Times New Roman"/>
        </w:rPr>
      </w:pPr>
      <w:r>
        <w:rPr>
          <w:rFonts w:cs="Times New Roman"/>
        </w:rPr>
        <w:t>Risque de mortalité</w:t>
      </w:r>
      <w:r w:rsidR="00A31AC7">
        <w:rPr>
          <w:rFonts w:cs="Times New Roman"/>
        </w:rPr>
        <w:t xml:space="preserve"> = 2-5%</w:t>
      </w:r>
    </w:p>
    <w:p w:rsidR="00A31AC7" w:rsidRDefault="00A31AC7" w:rsidP="0073422D">
      <w:pPr>
        <w:pStyle w:val="Sansinterligne"/>
        <w:numPr>
          <w:ilvl w:val="1"/>
          <w:numId w:val="1659"/>
        </w:numPr>
        <w:rPr>
          <w:rFonts w:cs="Times New Roman"/>
        </w:rPr>
      </w:pPr>
      <w:r>
        <w:rPr>
          <w:rFonts w:cs="Times New Roman"/>
        </w:rPr>
        <w:t>Réparation endovasculaire</w:t>
      </w:r>
    </w:p>
    <w:p w:rsidR="00E53AF0" w:rsidRDefault="00E53AF0" w:rsidP="0073422D">
      <w:pPr>
        <w:pStyle w:val="Sansinterligne"/>
        <w:numPr>
          <w:ilvl w:val="2"/>
          <w:numId w:val="1659"/>
        </w:numPr>
        <w:rPr>
          <w:rFonts w:cs="Times New Roman"/>
        </w:rPr>
      </w:pPr>
      <w:r>
        <w:rPr>
          <w:rFonts w:cs="Times New Roman"/>
        </w:rPr>
        <w:t>Risque de mortalité = 1-2%</w:t>
      </w:r>
    </w:p>
    <w:p w:rsidR="00F84B6F" w:rsidRPr="00C67DF6" w:rsidRDefault="00F84B6F" w:rsidP="00B121E5">
      <w:pPr>
        <w:pStyle w:val="Sansinterligne"/>
        <w:rPr>
          <w:rFonts w:cs="Times New Roman"/>
          <w:b/>
        </w:rPr>
      </w:pPr>
      <w:r w:rsidRPr="00C67DF6">
        <w:rPr>
          <w:rFonts w:cs="Times New Roman"/>
          <w:b/>
        </w:rPr>
        <w:br w:type="page"/>
      </w:r>
    </w:p>
    <w:p w:rsidR="003B3179" w:rsidRDefault="003B3179" w:rsidP="004F6F0C">
      <w:pPr>
        <w:spacing w:after="0"/>
        <w:rPr>
          <w:rFonts w:cs="Times New Roman"/>
          <w:b/>
          <w:color w:val="548DD4" w:themeColor="text2" w:themeTint="99"/>
        </w:rPr>
      </w:pPr>
      <w:r>
        <w:rPr>
          <w:rFonts w:cs="Times New Roman"/>
          <w:b/>
          <w:color w:val="548DD4" w:themeColor="text2" w:themeTint="99"/>
        </w:rPr>
        <w:lastRenderedPageBreak/>
        <w:t xml:space="preserve">CMC </w:t>
      </w:r>
      <w:r w:rsidR="00F84B6F">
        <w:rPr>
          <w:rFonts w:cs="Times New Roman"/>
          <w:b/>
          <w:color w:val="548DD4" w:themeColor="text2" w:themeTint="99"/>
        </w:rPr>
        <w:t>2</w:t>
      </w:r>
      <w:r>
        <w:rPr>
          <w:rFonts w:cs="Times New Roman"/>
          <w:b/>
          <w:color w:val="548DD4" w:themeColor="text2" w:themeTint="99"/>
        </w:rPr>
        <w:t>-</w:t>
      </w:r>
      <w:r w:rsidR="00F84B6F">
        <w:rPr>
          <w:rFonts w:cs="Times New Roman"/>
          <w:b/>
          <w:color w:val="548DD4" w:themeColor="text2" w:themeTint="99"/>
        </w:rPr>
        <w:t>4</w:t>
      </w:r>
    </w:p>
    <w:p w:rsidR="00F84B6F" w:rsidRPr="0053358C" w:rsidRDefault="00F84B6F" w:rsidP="00F84B6F">
      <w:pPr>
        <w:pStyle w:val="Titre3"/>
        <w:spacing w:before="0"/>
        <w:rPr>
          <w:rFonts w:ascii="Times New Roman" w:hAnsi="Times New Roman" w:cs="Times New Roman"/>
        </w:rPr>
      </w:pPr>
      <w:bookmarkStart w:id="6" w:name="_Toc480797263"/>
      <w:r w:rsidRPr="0053358C">
        <w:rPr>
          <w:rFonts w:ascii="Times New Roman" w:hAnsi="Times New Roman" w:cs="Times New Roman"/>
        </w:rPr>
        <w:t>Hernie de la paroi abdominale et hernie inguinale</w:t>
      </w:r>
      <w:bookmarkEnd w:id="6"/>
    </w:p>
    <w:p w:rsidR="00F84B6F" w:rsidRDefault="00F84B6F" w:rsidP="00F84B6F">
      <w:pPr>
        <w:spacing w:after="0"/>
        <w:rPr>
          <w:rFonts w:cs="Times New Roman"/>
          <w:b/>
          <w:color w:val="548DD4" w:themeColor="text2" w:themeTint="99"/>
        </w:rPr>
      </w:pPr>
      <w:r>
        <w:rPr>
          <w:rFonts w:cs="Times New Roman"/>
          <w:b/>
          <w:noProof/>
          <w:color w:val="548DD4" w:themeColor="text2" w:themeTint="99"/>
          <w:lang w:eastAsia="fr-CA"/>
        </w:rPr>
        <mc:AlternateContent>
          <mc:Choice Requires="wps">
            <w:drawing>
              <wp:anchor distT="0" distB="0" distL="114300" distR="114300" simplePos="0" relativeHeight="252236800" behindDoc="0" locked="0" layoutInCell="1" allowOverlap="1" wp14:anchorId="11D8E598" wp14:editId="48ECAAB8">
                <wp:simplePos x="0" y="0"/>
                <wp:positionH relativeFrom="column">
                  <wp:posOffset>-38911</wp:posOffset>
                </wp:positionH>
                <wp:positionV relativeFrom="paragraph">
                  <wp:posOffset>143591</wp:posOffset>
                </wp:positionV>
                <wp:extent cx="6945549" cy="2490281"/>
                <wp:effectExtent l="0" t="0" r="27305" b="24765"/>
                <wp:wrapNone/>
                <wp:docPr id="676" name="Rectangle 676"/>
                <wp:cNvGraphicFramePr/>
                <a:graphic xmlns:a="http://schemas.openxmlformats.org/drawingml/2006/main">
                  <a:graphicData uri="http://schemas.microsoft.com/office/word/2010/wordprocessingShape">
                    <wps:wsp>
                      <wps:cNvSpPr/>
                      <wps:spPr>
                        <a:xfrm>
                          <a:off x="0" y="0"/>
                          <a:ext cx="6945549" cy="2490281"/>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676" o:spid="_x0000_s1026" style="position:absolute;margin-left:-3.05pt;margin-top:11.3pt;width:546.9pt;height:196.1pt;z-index:2522368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" filled="f" strokecolor="black [1600]" strokeweight="2pt"/>
            </w:pict>
          </mc:Fallback>
        </mc:AlternateContent>
      </w:r>
    </w:p>
    <w:tbl>
      <w:tblPr>
        <w:tblW w:w="3858" w:type="pct"/>
        <w:tblCellSpacing w:w="0" w:type="dxa"/>
        <w:tblCellMar>
          <w:left w:w="0" w:type="dxa"/>
          <w:right w:w="0" w:type="dxa"/>
        </w:tblCellMar>
        <w:tblLook w:val="04A0" w:firstRow="1" w:lastRow="0" w:firstColumn="1" w:lastColumn="0" w:noHBand="0" w:noVBand="1"/>
      </w:tblPr>
      <w:tblGrid>
        <w:gridCol w:w="8333"/>
      </w:tblGrid>
      <w:tr w:rsidR="00F84B6F" w:rsidRPr="0053358C" w:rsidTr="00DF5B70">
        <w:trPr>
          <w:tblCellSpacing w:w="0" w:type="dxa"/>
        </w:trPr>
        <w:tc>
          <w:tcPr>
            <w:tcW w:w="0" w:type="auto"/>
            <w:vAlign w:val="bottom"/>
            <w:hideMark/>
          </w:tcPr>
          <w:p w:rsidR="00F84B6F" w:rsidRPr="0053358C" w:rsidRDefault="00F84B6F" w:rsidP="00DF5B70">
            <w:pPr>
              <w:pStyle w:val="Sansinterligne"/>
              <w:rPr>
                <w:rFonts w:cs="Times New Roman"/>
                <w:b/>
                <w:sz w:val="18"/>
                <w:szCs w:val="18"/>
              </w:rPr>
            </w:pPr>
            <w:r w:rsidRPr="0053358C">
              <w:rPr>
                <w:rFonts w:cs="Times New Roman"/>
                <w:b/>
                <w:sz w:val="18"/>
                <w:szCs w:val="18"/>
              </w:rPr>
              <w:t>Objectifs principaux</w:t>
            </w:r>
          </w:p>
        </w:tc>
      </w:tr>
    </w:tbl>
    <w:p w:rsidR="00F84B6F" w:rsidRPr="0053358C" w:rsidRDefault="00F84B6F" w:rsidP="00F84B6F">
      <w:pPr>
        <w:pStyle w:val="NormalWeb"/>
        <w:ind w:left="360"/>
        <w:rPr>
          <w:color w:val="000000"/>
          <w:sz w:val="18"/>
          <w:szCs w:val="18"/>
          <w:shd w:val="clear" w:color="auto" w:fill="FFFFFF"/>
        </w:rPr>
      </w:pPr>
      <w:r w:rsidRPr="0053358C">
        <w:rPr>
          <w:color w:val="000000"/>
          <w:sz w:val="18"/>
          <w:szCs w:val="18"/>
          <w:shd w:val="clear" w:color="auto" w:fill="FFFFFF"/>
        </w:rPr>
        <w:t>Il faut accorder une attention particulière à l'examen physique et à l'identification du type de hernie. Une hernie irréductible risque davantage de devenir étranglée et exige une réparation urgente plutôt que programmée (non urgente).</w:t>
      </w:r>
    </w:p>
    <w:tbl>
      <w:tblPr>
        <w:tblW w:w="3897" w:type="pct"/>
        <w:tblCellSpacing w:w="0" w:type="dxa"/>
        <w:tblCellMar>
          <w:left w:w="0" w:type="dxa"/>
          <w:right w:w="0" w:type="dxa"/>
        </w:tblCellMar>
        <w:tblLook w:val="04A0" w:firstRow="1" w:lastRow="0" w:firstColumn="1" w:lastColumn="0" w:noHBand="0" w:noVBand="1"/>
      </w:tblPr>
      <w:tblGrid>
        <w:gridCol w:w="8418"/>
      </w:tblGrid>
      <w:tr w:rsidR="00F84B6F" w:rsidRPr="0053358C" w:rsidTr="00DF5B70">
        <w:trPr>
          <w:tblCellSpacing w:w="0" w:type="dxa"/>
        </w:trPr>
        <w:tc>
          <w:tcPr>
            <w:tcW w:w="0" w:type="auto"/>
            <w:vAlign w:val="bottom"/>
            <w:hideMark/>
          </w:tcPr>
          <w:p w:rsidR="00F84B6F" w:rsidRPr="0053358C" w:rsidRDefault="00F84B6F" w:rsidP="00DF5B70">
            <w:pPr>
              <w:pStyle w:val="Sansinterligne"/>
              <w:rPr>
                <w:rFonts w:cs="Times New Roman"/>
                <w:b/>
                <w:sz w:val="16"/>
                <w:szCs w:val="16"/>
              </w:rPr>
            </w:pPr>
            <w:r w:rsidRPr="0053358C">
              <w:rPr>
                <w:rFonts w:cs="Times New Roman"/>
                <w:b/>
                <w:sz w:val="16"/>
                <w:szCs w:val="16"/>
              </w:rPr>
              <w:t>Objectifs spécifiques</w:t>
            </w:r>
          </w:p>
        </w:tc>
      </w:tr>
    </w:tbl>
    <w:p w:rsidR="00F84B6F" w:rsidRPr="0053358C" w:rsidRDefault="00F84B6F" w:rsidP="00F84B6F">
      <w:pPr>
        <w:pStyle w:val="NormalWeb"/>
        <w:shd w:val="clear" w:color="auto" w:fill="FFFFFF"/>
        <w:ind w:left="360"/>
        <w:rPr>
          <w:color w:val="000000"/>
          <w:sz w:val="16"/>
          <w:szCs w:val="16"/>
          <w:shd w:val="clear" w:color="auto" w:fill="FFFFFF"/>
        </w:rPr>
      </w:pPr>
      <w:r w:rsidRPr="0053358C">
        <w:rPr>
          <w:color w:val="000000"/>
          <w:sz w:val="16"/>
          <w:szCs w:val="16"/>
          <w:shd w:val="clear" w:color="auto" w:fill="FFFFFF"/>
        </w:rPr>
        <w:t>Dans le cas d'un patient ayant une hernie, le candidat devra</w:t>
      </w:r>
    </w:p>
    <w:p w:rsidR="00F84B6F" w:rsidRPr="0053358C" w:rsidRDefault="00F84B6F" w:rsidP="00F84B6F">
      <w:pPr>
        <w:numPr>
          <w:ilvl w:val="0"/>
          <w:numId w:val="1491"/>
        </w:numPr>
        <w:shd w:val="clear" w:color="auto" w:fill="FFFFFF"/>
        <w:spacing w:before="100" w:beforeAutospacing="1" w:after="100" w:afterAutospacing="1" w:line="240" w:lineRule="auto"/>
        <w:rPr>
          <w:rFonts w:cs="Times New Roman"/>
          <w:color w:val="000000"/>
          <w:sz w:val="16"/>
          <w:szCs w:val="16"/>
          <w:shd w:val="clear" w:color="auto" w:fill="FFFFFF"/>
        </w:rPr>
      </w:pPr>
      <w:r w:rsidRPr="0053358C">
        <w:rPr>
          <w:rFonts w:cs="Times New Roman"/>
          <w:color w:val="000000"/>
          <w:sz w:val="16"/>
          <w:szCs w:val="16"/>
          <w:shd w:val="clear" w:color="auto" w:fill="FFFFFF"/>
        </w:rPr>
        <w:t>énumérer et interpréter les constatations cliniques cruciales, notamment:</w:t>
      </w:r>
    </w:p>
    <w:p w:rsidR="00F84B6F" w:rsidRPr="0053358C" w:rsidRDefault="00F84B6F" w:rsidP="00F84B6F">
      <w:pPr>
        <w:numPr>
          <w:ilvl w:val="1"/>
          <w:numId w:val="1491"/>
        </w:numPr>
        <w:shd w:val="clear" w:color="auto" w:fill="FFFFFF"/>
        <w:spacing w:before="100" w:beforeAutospacing="1" w:after="100" w:afterAutospacing="1" w:line="240" w:lineRule="auto"/>
        <w:rPr>
          <w:rFonts w:cs="Times New Roman"/>
          <w:color w:val="000000"/>
          <w:sz w:val="16"/>
          <w:szCs w:val="16"/>
          <w:shd w:val="clear" w:color="auto" w:fill="FFFFFF"/>
        </w:rPr>
      </w:pPr>
      <w:r w:rsidRPr="0053358C">
        <w:rPr>
          <w:rFonts w:cs="Times New Roman"/>
          <w:color w:val="000000"/>
          <w:sz w:val="16"/>
          <w:szCs w:val="16"/>
          <w:shd w:val="clear" w:color="auto" w:fill="FFFFFF"/>
        </w:rPr>
        <w:t>distinguer les divers types de hernies en se fondant sur l'examen physique</w:t>
      </w:r>
    </w:p>
    <w:p w:rsidR="00F84B6F" w:rsidRPr="0053358C" w:rsidRDefault="00F84B6F" w:rsidP="00F84B6F">
      <w:pPr>
        <w:numPr>
          <w:ilvl w:val="1"/>
          <w:numId w:val="1491"/>
        </w:numPr>
        <w:shd w:val="clear" w:color="auto" w:fill="FFFFFF"/>
        <w:spacing w:before="100" w:beforeAutospacing="1" w:after="100" w:afterAutospacing="1" w:line="240" w:lineRule="auto"/>
        <w:rPr>
          <w:rFonts w:cs="Times New Roman"/>
          <w:color w:val="000000"/>
          <w:sz w:val="16"/>
          <w:szCs w:val="16"/>
          <w:shd w:val="clear" w:color="auto" w:fill="FFFFFF"/>
        </w:rPr>
      </w:pPr>
      <w:r w:rsidRPr="0053358C">
        <w:rPr>
          <w:rFonts w:cs="Times New Roman"/>
          <w:color w:val="000000"/>
          <w:sz w:val="16"/>
          <w:szCs w:val="16"/>
          <w:shd w:val="clear" w:color="auto" w:fill="FFFFFF"/>
        </w:rPr>
        <w:t>distinguer une hernie d'autres causes de masse inguinale</w:t>
      </w:r>
    </w:p>
    <w:p w:rsidR="00F84B6F" w:rsidRPr="0053358C" w:rsidRDefault="00F84B6F" w:rsidP="00F84B6F">
      <w:pPr>
        <w:numPr>
          <w:ilvl w:val="1"/>
          <w:numId w:val="1491"/>
        </w:numPr>
        <w:shd w:val="clear" w:color="auto" w:fill="FFFFFF"/>
        <w:spacing w:before="100" w:beforeAutospacing="1" w:after="100" w:afterAutospacing="1" w:line="240" w:lineRule="auto"/>
        <w:rPr>
          <w:rFonts w:cs="Times New Roman"/>
          <w:color w:val="000000"/>
          <w:sz w:val="16"/>
          <w:szCs w:val="16"/>
          <w:shd w:val="clear" w:color="auto" w:fill="FFFFFF"/>
        </w:rPr>
      </w:pPr>
      <w:r w:rsidRPr="0053358C">
        <w:rPr>
          <w:rFonts w:cs="Times New Roman"/>
          <w:color w:val="000000"/>
          <w:sz w:val="16"/>
          <w:szCs w:val="16"/>
          <w:shd w:val="clear" w:color="auto" w:fill="FFFFFF"/>
        </w:rPr>
        <w:t>reconnaître les hernies qui exigent une réparation chirurgicale urgente</w:t>
      </w:r>
    </w:p>
    <w:p w:rsidR="00F84B6F" w:rsidRPr="0053358C" w:rsidRDefault="00F84B6F" w:rsidP="00F84B6F">
      <w:pPr>
        <w:numPr>
          <w:ilvl w:val="0"/>
          <w:numId w:val="1491"/>
        </w:numPr>
        <w:shd w:val="clear" w:color="auto" w:fill="FFFFFF"/>
        <w:spacing w:before="100" w:beforeAutospacing="1" w:after="100" w:afterAutospacing="1" w:line="240" w:lineRule="auto"/>
        <w:rPr>
          <w:rFonts w:cs="Times New Roman"/>
          <w:color w:val="000000"/>
          <w:sz w:val="16"/>
          <w:szCs w:val="16"/>
          <w:shd w:val="clear" w:color="auto" w:fill="FFFFFF"/>
        </w:rPr>
      </w:pPr>
      <w:r w:rsidRPr="0053358C">
        <w:rPr>
          <w:rFonts w:cs="Times New Roman"/>
          <w:color w:val="000000"/>
          <w:sz w:val="16"/>
          <w:szCs w:val="16"/>
          <w:shd w:val="clear" w:color="auto" w:fill="FFFFFF"/>
        </w:rPr>
        <w:t>énumérer et interpréter les examens essentiels dans le cas d'un patient qui pourrait avoir une strangulation, une ischémie ou une occlusion intestinale</w:t>
      </w:r>
    </w:p>
    <w:p w:rsidR="00F84B6F" w:rsidRPr="0053358C" w:rsidRDefault="00F84B6F" w:rsidP="00F84B6F">
      <w:pPr>
        <w:numPr>
          <w:ilvl w:val="0"/>
          <w:numId w:val="1491"/>
        </w:numPr>
        <w:shd w:val="clear" w:color="auto" w:fill="FFFFFF"/>
        <w:spacing w:before="100" w:beforeAutospacing="1" w:after="100" w:afterAutospacing="1" w:line="240" w:lineRule="auto"/>
        <w:rPr>
          <w:rFonts w:cs="Times New Roman"/>
          <w:color w:val="000000"/>
          <w:sz w:val="16"/>
          <w:szCs w:val="16"/>
          <w:shd w:val="clear" w:color="auto" w:fill="FFFFFF"/>
        </w:rPr>
      </w:pPr>
      <w:r w:rsidRPr="0053358C">
        <w:rPr>
          <w:rFonts w:cs="Times New Roman"/>
          <w:color w:val="000000"/>
          <w:sz w:val="16"/>
          <w:szCs w:val="16"/>
          <w:shd w:val="clear" w:color="auto" w:fill="FFFFFF"/>
        </w:rPr>
        <w:t>élaborer un plan efficace de prise en charge, notamment:</w:t>
      </w:r>
    </w:p>
    <w:p w:rsidR="00F84B6F" w:rsidRPr="0053358C" w:rsidRDefault="00F84B6F" w:rsidP="00F84B6F">
      <w:pPr>
        <w:numPr>
          <w:ilvl w:val="1"/>
          <w:numId w:val="1491"/>
        </w:numPr>
        <w:shd w:val="clear" w:color="auto" w:fill="FFFFFF"/>
        <w:spacing w:before="100" w:beforeAutospacing="1" w:after="100" w:afterAutospacing="1" w:line="240" w:lineRule="auto"/>
        <w:rPr>
          <w:rFonts w:cs="Times New Roman"/>
          <w:color w:val="000000"/>
          <w:sz w:val="16"/>
          <w:szCs w:val="16"/>
          <w:shd w:val="clear" w:color="auto" w:fill="FFFFFF"/>
        </w:rPr>
      </w:pPr>
      <w:r w:rsidRPr="0053358C">
        <w:rPr>
          <w:rFonts w:cs="Times New Roman"/>
          <w:color w:val="000000"/>
          <w:sz w:val="16"/>
          <w:szCs w:val="16"/>
          <w:shd w:val="clear" w:color="auto" w:fill="FFFFFF"/>
        </w:rPr>
        <w:t>déterminer quels patients ont besoin d'une consultation en chirurgie</w:t>
      </w:r>
    </w:p>
    <w:p w:rsidR="00F84B6F" w:rsidRPr="0053358C" w:rsidRDefault="00F84B6F" w:rsidP="00F84B6F">
      <w:pPr>
        <w:numPr>
          <w:ilvl w:val="1"/>
          <w:numId w:val="1491"/>
        </w:numPr>
        <w:shd w:val="clear" w:color="auto" w:fill="FFFFFF"/>
        <w:spacing w:before="100" w:beforeAutospacing="1" w:after="100" w:afterAutospacing="1" w:line="240" w:lineRule="auto"/>
        <w:rPr>
          <w:rFonts w:cs="Times New Roman"/>
          <w:color w:val="000000"/>
          <w:sz w:val="16"/>
          <w:szCs w:val="16"/>
          <w:shd w:val="clear" w:color="auto" w:fill="FFFFFF"/>
        </w:rPr>
      </w:pPr>
      <w:r w:rsidRPr="0053358C">
        <w:rPr>
          <w:rFonts w:cs="Times New Roman"/>
          <w:color w:val="000000"/>
          <w:sz w:val="16"/>
          <w:szCs w:val="16"/>
          <w:shd w:val="clear" w:color="auto" w:fill="FFFFFF"/>
        </w:rPr>
        <w:t>donner des conseils au patient et le renseigner sur les risques liés à une hernie non traitée ainsi que sur les mesures visant à réduire la possibilité d'une récidive postopératoire (en particulier en cas de hernie ventrale).</w:t>
      </w:r>
    </w:p>
    <w:p w:rsidR="00F84B6F" w:rsidRPr="00337F67" w:rsidRDefault="00F84B6F" w:rsidP="00F84B6F">
      <w:pPr>
        <w:pStyle w:val="Sansinterligne"/>
        <w:rPr>
          <w:b/>
          <w:sz w:val="28"/>
          <w:szCs w:val="28"/>
        </w:rPr>
      </w:pPr>
      <w:r w:rsidRPr="00337F67">
        <w:rPr>
          <w:b/>
          <w:sz w:val="28"/>
          <w:szCs w:val="28"/>
        </w:rPr>
        <w:t xml:space="preserve">Types de hernies abdominales </w:t>
      </w:r>
    </w:p>
    <w:p w:rsidR="00F84B6F" w:rsidRDefault="00F84B6F" w:rsidP="00F84B6F">
      <w:pPr>
        <w:pStyle w:val="Sansinterligne"/>
      </w:pPr>
      <w:r>
        <w:t xml:space="preserve">(sauf hernies gastriques, voir </w:t>
      </w:r>
      <w:r w:rsidRPr="00337F67">
        <w:rPr>
          <w:i/>
        </w:rPr>
        <w:t>Masse médiastinales CMC 54-1</w:t>
      </w:r>
      <w:r>
        <w:t>)</w:t>
      </w:r>
    </w:p>
    <w:p w:rsidR="00F84B6F" w:rsidRDefault="00F84B6F" w:rsidP="00F84B6F">
      <w:pPr>
        <w:pStyle w:val="Sansinterligne"/>
        <w:rPr>
          <w:lang w:eastAsia="fr-CA"/>
        </w:rPr>
      </w:pPr>
    </w:p>
    <w:tbl>
      <w:tblPr>
        <w:tblStyle w:val="Grilledutableau"/>
        <w:tblW w:w="10940" w:type="dxa"/>
        <w:tblLook w:val="04A0" w:firstRow="1" w:lastRow="0" w:firstColumn="1" w:lastColumn="0" w:noHBand="0" w:noVBand="1"/>
      </w:tblPr>
      <w:tblGrid>
        <w:gridCol w:w="3369"/>
        <w:gridCol w:w="7571"/>
      </w:tblGrid>
      <w:tr w:rsidR="00F84B6F" w:rsidTr="00DF5B70">
        <w:tc>
          <w:tcPr>
            <w:tcW w:w="3369" w:type="dxa"/>
            <w:shd w:val="clear" w:color="auto" w:fill="4F81BD" w:themeFill="accent1"/>
          </w:tcPr>
          <w:p w:rsidR="00F84B6F" w:rsidRPr="00337F67" w:rsidRDefault="00F84B6F" w:rsidP="00DF5B70">
            <w:pPr>
              <w:pStyle w:val="Sansinterligne"/>
              <w:jc w:val="center"/>
              <w:rPr>
                <w:b/>
                <w:lang w:eastAsia="fr-CA"/>
              </w:rPr>
            </w:pPr>
            <w:r w:rsidRPr="00337F67">
              <w:rPr>
                <w:b/>
                <w:lang w:eastAsia="fr-CA"/>
              </w:rPr>
              <w:t>Hernie</w:t>
            </w:r>
          </w:p>
        </w:tc>
        <w:tc>
          <w:tcPr>
            <w:tcW w:w="7571" w:type="dxa"/>
            <w:shd w:val="clear" w:color="auto" w:fill="4F81BD" w:themeFill="accent1"/>
          </w:tcPr>
          <w:p w:rsidR="00F84B6F" w:rsidRPr="00337F67" w:rsidRDefault="00F84B6F" w:rsidP="00DF5B70">
            <w:pPr>
              <w:pStyle w:val="Sansinterligne"/>
              <w:jc w:val="center"/>
              <w:rPr>
                <w:b/>
                <w:lang w:eastAsia="fr-CA"/>
              </w:rPr>
            </w:pPr>
            <w:r w:rsidRPr="00337F67">
              <w:rPr>
                <w:b/>
                <w:lang w:eastAsia="fr-CA"/>
              </w:rPr>
              <w:t>Caractéristiques</w:t>
            </w:r>
          </w:p>
        </w:tc>
      </w:tr>
      <w:tr w:rsidR="00F84B6F" w:rsidTr="00DF5B70">
        <w:tc>
          <w:tcPr>
            <w:tcW w:w="3369" w:type="dxa"/>
            <w:shd w:val="clear" w:color="auto" w:fill="95B3D7" w:themeFill="accent1" w:themeFillTint="99"/>
          </w:tcPr>
          <w:p w:rsidR="00F84B6F" w:rsidRDefault="00F84B6F" w:rsidP="00DF5B70">
            <w:pPr>
              <w:pStyle w:val="Sansinterligne"/>
              <w:rPr>
                <w:lang w:eastAsia="fr-CA"/>
              </w:rPr>
            </w:pPr>
            <w:r>
              <w:rPr>
                <w:lang w:eastAsia="fr-CA"/>
              </w:rPr>
              <w:t>Hernie ventrale (incisionnelle)</w:t>
            </w:r>
          </w:p>
        </w:tc>
        <w:tc>
          <w:tcPr>
            <w:tcW w:w="7571" w:type="dxa"/>
          </w:tcPr>
          <w:p w:rsidR="00F84B6F" w:rsidRDefault="00F84B6F" w:rsidP="00DF5B70">
            <w:pPr>
              <w:pStyle w:val="Sansinterligne"/>
              <w:numPr>
                <w:ilvl w:val="0"/>
                <w:numId w:val="1506"/>
              </w:numPr>
              <w:rPr>
                <w:lang w:eastAsia="fr-CA"/>
              </w:rPr>
            </w:pPr>
            <w:r>
              <w:rPr>
                <w:lang w:eastAsia="fr-CA"/>
              </w:rPr>
              <w:t>ATCD de chirurgie abdominale</w:t>
            </w:r>
          </w:p>
          <w:p w:rsidR="00F84B6F" w:rsidRDefault="00F84B6F" w:rsidP="00DF5B70">
            <w:pPr>
              <w:pStyle w:val="Sansinterligne"/>
              <w:numPr>
                <w:ilvl w:val="0"/>
                <w:numId w:val="1506"/>
              </w:numPr>
              <w:rPr>
                <w:lang w:eastAsia="fr-CA"/>
              </w:rPr>
            </w:pPr>
            <w:r>
              <w:rPr>
                <w:lang w:eastAsia="fr-CA"/>
              </w:rPr>
              <w:t>Masse a/n cicatrice</w:t>
            </w:r>
          </w:p>
        </w:tc>
      </w:tr>
      <w:tr w:rsidR="00F84B6F" w:rsidTr="00DF5B70">
        <w:tc>
          <w:tcPr>
            <w:tcW w:w="3369" w:type="dxa"/>
            <w:shd w:val="clear" w:color="auto" w:fill="95B3D7" w:themeFill="accent1" w:themeFillTint="99"/>
          </w:tcPr>
          <w:p w:rsidR="00F84B6F" w:rsidRDefault="00F84B6F" w:rsidP="00DF5B70">
            <w:pPr>
              <w:pStyle w:val="Sansinterligne"/>
              <w:rPr>
                <w:lang w:eastAsia="fr-CA"/>
              </w:rPr>
            </w:pPr>
            <w:r>
              <w:rPr>
                <w:lang w:eastAsia="fr-CA"/>
              </w:rPr>
              <w:t>Hernie ombilicale</w:t>
            </w:r>
          </w:p>
        </w:tc>
        <w:tc>
          <w:tcPr>
            <w:tcW w:w="7571" w:type="dxa"/>
          </w:tcPr>
          <w:p w:rsidR="00F84B6F" w:rsidRDefault="00F84B6F" w:rsidP="00DF5B70">
            <w:pPr>
              <w:pStyle w:val="Sansinterligne"/>
              <w:numPr>
                <w:ilvl w:val="0"/>
                <w:numId w:val="1505"/>
              </w:numPr>
              <w:rPr>
                <w:lang w:eastAsia="fr-CA"/>
              </w:rPr>
            </w:pPr>
            <w:r>
              <w:rPr>
                <w:lang w:eastAsia="fr-CA"/>
              </w:rPr>
              <w:t>Herniation au travers de l’ombilic</w:t>
            </w:r>
          </w:p>
          <w:p w:rsidR="00F84B6F" w:rsidRDefault="00F84B6F" w:rsidP="00DF5B70">
            <w:pPr>
              <w:pStyle w:val="Sansinterligne"/>
              <w:numPr>
                <w:ilvl w:val="0"/>
                <w:numId w:val="1505"/>
              </w:numPr>
              <w:rPr>
                <w:lang w:eastAsia="fr-CA"/>
              </w:rPr>
            </w:pPr>
            <w:r>
              <w:rPr>
                <w:lang w:eastAsia="fr-CA"/>
              </w:rPr>
              <w:t>Central</w:t>
            </w:r>
            <w:r w:rsidR="001124E8">
              <w:rPr>
                <w:lang w:eastAsia="fr-CA"/>
              </w:rPr>
              <w:t>e</w:t>
            </w:r>
          </w:p>
        </w:tc>
      </w:tr>
      <w:tr w:rsidR="00F84B6F" w:rsidTr="00DF5B70">
        <w:tc>
          <w:tcPr>
            <w:tcW w:w="3369" w:type="dxa"/>
            <w:shd w:val="clear" w:color="auto" w:fill="95B3D7" w:themeFill="accent1" w:themeFillTint="99"/>
          </w:tcPr>
          <w:p w:rsidR="00F84B6F" w:rsidRDefault="00F84B6F" w:rsidP="00DF5B70">
            <w:pPr>
              <w:pStyle w:val="Sansinterligne"/>
              <w:rPr>
                <w:lang w:eastAsia="fr-CA"/>
              </w:rPr>
            </w:pPr>
            <w:r>
              <w:rPr>
                <w:lang w:eastAsia="fr-CA"/>
              </w:rPr>
              <w:t>Hernie inguinale directe</w:t>
            </w:r>
          </w:p>
        </w:tc>
        <w:tc>
          <w:tcPr>
            <w:tcW w:w="7571" w:type="dxa"/>
            <w:shd w:val="clear" w:color="auto" w:fill="FFFF00"/>
          </w:tcPr>
          <w:p w:rsidR="00F84B6F" w:rsidRPr="00942A7A" w:rsidRDefault="00F84B6F" w:rsidP="00DF5B70">
            <w:pPr>
              <w:pStyle w:val="Sansinterligne"/>
              <w:numPr>
                <w:ilvl w:val="0"/>
                <w:numId w:val="1500"/>
              </w:numPr>
              <w:rPr>
                <w:b/>
                <w:lang w:eastAsia="fr-CA"/>
              </w:rPr>
            </w:pPr>
            <w:r w:rsidRPr="00942A7A">
              <w:rPr>
                <w:b/>
                <w:lang w:eastAsia="fr-CA"/>
              </w:rPr>
              <w:t>Médiale à l’artère épigastrique inférieure</w:t>
            </w:r>
          </w:p>
          <w:p w:rsidR="00F84B6F" w:rsidRDefault="00F84B6F" w:rsidP="00DF5B70">
            <w:pPr>
              <w:pStyle w:val="Sansinterligne"/>
              <w:numPr>
                <w:ilvl w:val="0"/>
                <w:numId w:val="1500"/>
              </w:numPr>
              <w:rPr>
                <w:lang w:eastAsia="fr-CA"/>
              </w:rPr>
            </w:pPr>
            <w:r>
              <w:rPr>
                <w:lang w:eastAsia="fr-CA"/>
              </w:rPr>
              <w:t>Descend rarement au scrotum</w:t>
            </w:r>
          </w:p>
        </w:tc>
      </w:tr>
      <w:tr w:rsidR="00F84B6F" w:rsidTr="00DF5B70">
        <w:tc>
          <w:tcPr>
            <w:tcW w:w="3369" w:type="dxa"/>
            <w:shd w:val="clear" w:color="auto" w:fill="95B3D7" w:themeFill="accent1" w:themeFillTint="99"/>
          </w:tcPr>
          <w:p w:rsidR="00F84B6F" w:rsidRDefault="00F84B6F" w:rsidP="00DF5B70">
            <w:pPr>
              <w:pStyle w:val="Sansinterligne"/>
              <w:rPr>
                <w:lang w:eastAsia="fr-CA"/>
              </w:rPr>
            </w:pPr>
            <w:r>
              <w:rPr>
                <w:lang w:eastAsia="fr-CA"/>
              </w:rPr>
              <w:t>Hernie inguinale indirecte</w:t>
            </w:r>
          </w:p>
          <w:p w:rsidR="00F84B6F" w:rsidRDefault="00F84B6F" w:rsidP="00DF5B70">
            <w:pPr>
              <w:pStyle w:val="Sansinterligne"/>
              <w:rPr>
                <w:lang w:eastAsia="fr-CA"/>
              </w:rPr>
            </w:pPr>
            <w:r>
              <w:rPr>
                <w:lang w:eastAsia="fr-CA"/>
              </w:rPr>
              <w:t>(acquise ou congénitale)</w:t>
            </w:r>
          </w:p>
        </w:tc>
        <w:tc>
          <w:tcPr>
            <w:tcW w:w="7571" w:type="dxa"/>
            <w:shd w:val="clear" w:color="auto" w:fill="FFFF00"/>
          </w:tcPr>
          <w:p w:rsidR="00F84B6F" w:rsidRPr="00942A7A" w:rsidRDefault="00F84B6F" w:rsidP="00DF5B70">
            <w:pPr>
              <w:pStyle w:val="Sansinterligne"/>
              <w:numPr>
                <w:ilvl w:val="0"/>
                <w:numId w:val="1178"/>
              </w:numPr>
              <w:rPr>
                <w:b/>
              </w:rPr>
            </w:pPr>
            <w:r w:rsidRPr="00942A7A">
              <w:rPr>
                <w:b/>
              </w:rPr>
              <w:t xml:space="preserve">Masse a/n canal inguinal </w:t>
            </w:r>
            <w:r w:rsidRPr="00942A7A">
              <w:rPr>
                <w:rFonts w:ascii="Century Gothic" w:hAnsi="Century Gothic"/>
                <w:b/>
              </w:rPr>
              <w:t>→</w:t>
            </w:r>
            <w:r w:rsidRPr="00942A7A">
              <w:rPr>
                <w:b/>
              </w:rPr>
              <w:t xml:space="preserve"> scrotum</w:t>
            </w:r>
          </w:p>
          <w:p w:rsidR="00F84B6F" w:rsidRPr="00942A7A" w:rsidRDefault="00F84B6F" w:rsidP="00DF5B70">
            <w:pPr>
              <w:pStyle w:val="Sansinterligne"/>
              <w:numPr>
                <w:ilvl w:val="0"/>
                <w:numId w:val="1178"/>
              </w:numPr>
              <w:rPr>
                <w:b/>
              </w:rPr>
            </w:pPr>
            <w:r w:rsidRPr="00942A7A">
              <w:rPr>
                <w:b/>
              </w:rPr>
              <w:t>Latérale à l’artère épigastrique inférieure</w:t>
            </w:r>
          </w:p>
        </w:tc>
      </w:tr>
      <w:tr w:rsidR="00F84B6F" w:rsidTr="00DF5B70">
        <w:tc>
          <w:tcPr>
            <w:tcW w:w="3369" w:type="dxa"/>
            <w:shd w:val="clear" w:color="auto" w:fill="95B3D7" w:themeFill="accent1" w:themeFillTint="99"/>
          </w:tcPr>
          <w:p w:rsidR="00F84B6F" w:rsidRDefault="00F84B6F" w:rsidP="00DF5B70">
            <w:pPr>
              <w:pStyle w:val="Sansinterligne"/>
              <w:rPr>
                <w:lang w:eastAsia="fr-CA"/>
              </w:rPr>
            </w:pPr>
            <w:r>
              <w:rPr>
                <w:lang w:eastAsia="fr-CA"/>
              </w:rPr>
              <w:t>Hernie fémorale</w:t>
            </w:r>
          </w:p>
        </w:tc>
        <w:tc>
          <w:tcPr>
            <w:tcW w:w="7571" w:type="dxa"/>
            <w:shd w:val="clear" w:color="auto" w:fill="FFFF00"/>
          </w:tcPr>
          <w:p w:rsidR="00F84B6F" w:rsidRPr="00942A7A" w:rsidRDefault="00F84B6F" w:rsidP="00DF5B70">
            <w:pPr>
              <w:pStyle w:val="Sansinterligne"/>
              <w:numPr>
                <w:ilvl w:val="0"/>
                <w:numId w:val="1178"/>
              </w:numPr>
            </w:pPr>
            <w:r w:rsidRPr="00942A7A">
              <w:t xml:space="preserve">Surtout chez femmes enceintes ou </w:t>
            </w:r>
            <w:r w:rsidRPr="00942A7A">
              <w:rPr>
                <w:rFonts w:ascii="Century Gothic" w:hAnsi="Century Gothic"/>
              </w:rPr>
              <w:t>↑</w:t>
            </w:r>
            <w:r w:rsidRPr="00942A7A">
              <w:t xml:space="preserve"> pression intra-abdominale</w:t>
            </w:r>
          </w:p>
          <w:p w:rsidR="00F84B6F" w:rsidRPr="00942A7A" w:rsidRDefault="00F84B6F" w:rsidP="00DF5B70">
            <w:pPr>
              <w:pStyle w:val="Sansinterligne"/>
              <w:numPr>
                <w:ilvl w:val="0"/>
                <w:numId w:val="1178"/>
              </w:numPr>
              <w:rPr>
                <w:b/>
              </w:rPr>
            </w:pPr>
            <w:r w:rsidRPr="00942A7A">
              <w:t>Dans le canal fémoral, médial à la veine fémorale</w:t>
            </w:r>
          </w:p>
        </w:tc>
      </w:tr>
    </w:tbl>
    <w:p w:rsidR="00F84B6F" w:rsidRDefault="00F84B6F" w:rsidP="00F84B6F">
      <w:pPr>
        <w:pStyle w:val="Sansinterligne"/>
      </w:pPr>
      <w:r w:rsidRPr="00337F67">
        <w:rPr>
          <w:b/>
          <w:noProof/>
          <w:sz w:val="28"/>
          <w:szCs w:val="28"/>
          <w:lang w:eastAsia="fr-CA"/>
        </w:rPr>
        <mc:AlternateContent>
          <mc:Choice Requires="wps">
            <w:drawing>
              <wp:anchor distT="0" distB="0" distL="114300" distR="114300" simplePos="0" relativeHeight="252237824" behindDoc="0" locked="0" layoutInCell="1" allowOverlap="1" wp14:anchorId="512D5FEE" wp14:editId="54C6040A">
                <wp:simplePos x="0" y="0"/>
                <wp:positionH relativeFrom="column">
                  <wp:posOffset>4542276</wp:posOffset>
                </wp:positionH>
                <wp:positionV relativeFrom="paragraph">
                  <wp:posOffset>118975</wp:posOffset>
                </wp:positionV>
                <wp:extent cx="2363821" cy="1403985"/>
                <wp:effectExtent l="0" t="0" r="17780" b="21590"/>
                <wp:wrapNone/>
                <wp:docPr id="68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3821" cy="1403985"/>
                        </a:xfrm>
                        <a:prstGeom prst="rect">
                          <a:avLst/>
                        </a:prstGeom>
                        <a:solidFill>
                          <a:schemeClr val="accent1">
                            <a:lumMod val="60000"/>
                            <a:lumOff val="40000"/>
                          </a:schemeClr>
                        </a:solidFill>
                        <a:ln w="9525">
                          <a:solidFill>
                            <a:srgbClr val="000000"/>
                          </a:solidFill>
                          <a:miter lim="800000"/>
                          <a:headEnd/>
                          <a:tailEnd/>
                        </a:ln>
                      </wps:spPr>
                      <wps:txbx>
                        <w:txbxContent>
                          <w:p w:rsidR="008276DC" w:rsidRPr="009F0226" w:rsidRDefault="008276DC" w:rsidP="00F84B6F">
                            <w:pPr>
                              <w:jc w:val="center"/>
                              <w:rPr>
                                <w:b/>
                              </w:rPr>
                            </w:pPr>
                            <w:r w:rsidRPr="009F0226">
                              <w:rPr>
                                <w:b/>
                              </w:rPr>
                              <w:t>Hernie réductible</w:t>
                            </w:r>
                          </w:p>
                          <w:p w:rsidR="008276DC" w:rsidRDefault="008276DC" w:rsidP="00F84B6F">
                            <w:pPr>
                              <w:pStyle w:val="Paragraphedeliste"/>
                              <w:numPr>
                                <w:ilvl w:val="0"/>
                                <w:numId w:val="1502"/>
                              </w:numPr>
                            </w:pPr>
                            <w:r>
                              <w:t>Molle</w:t>
                            </w:r>
                          </w:p>
                          <w:p w:rsidR="008276DC" w:rsidRDefault="008276DC" w:rsidP="00F84B6F">
                            <w:pPr>
                              <w:pStyle w:val="Paragraphedeliste"/>
                              <w:numPr>
                                <w:ilvl w:val="0"/>
                                <w:numId w:val="1502"/>
                              </w:numPr>
                            </w:pPr>
                            <w:r>
                              <w:t>Réduction possible du contenu herniaire (spontanément ou manuellement)</w:t>
                            </w:r>
                          </w:p>
                          <w:p w:rsidR="008276DC" w:rsidRPr="009F0226" w:rsidRDefault="008276DC" w:rsidP="00F84B6F">
                            <w:pPr>
                              <w:jc w:val="center"/>
                              <w:rPr>
                                <w:b/>
                              </w:rPr>
                            </w:pPr>
                            <w:r w:rsidRPr="009F0226">
                              <w:rPr>
                                <w:b/>
                              </w:rPr>
                              <w:t xml:space="preserve">Hernie </w:t>
                            </w:r>
                            <w:r>
                              <w:rPr>
                                <w:b/>
                              </w:rPr>
                              <w:t>incarcérée</w:t>
                            </w:r>
                          </w:p>
                          <w:p w:rsidR="008276DC" w:rsidRDefault="008276DC" w:rsidP="00F84B6F">
                            <w:pPr>
                              <w:pStyle w:val="Paragraphedeliste"/>
                              <w:numPr>
                                <w:ilvl w:val="0"/>
                                <w:numId w:val="1503"/>
                              </w:numPr>
                            </w:pPr>
                            <w:r>
                              <w:t>Non-réductible</w:t>
                            </w:r>
                          </w:p>
                          <w:p w:rsidR="008276DC" w:rsidRDefault="008276DC" w:rsidP="00F84B6F">
                            <w:pPr>
                              <w:pStyle w:val="Paragraphedeliste"/>
                              <w:numPr>
                                <w:ilvl w:val="0"/>
                                <w:numId w:val="1503"/>
                              </w:numPr>
                            </w:pPr>
                            <w:r>
                              <w:t>Constipation (intestin incarcéré)</w:t>
                            </w:r>
                          </w:p>
                          <w:p w:rsidR="008276DC" w:rsidRPr="009F0226" w:rsidRDefault="008276DC" w:rsidP="00F84B6F">
                            <w:pPr>
                              <w:jc w:val="center"/>
                              <w:rPr>
                                <w:b/>
                              </w:rPr>
                            </w:pPr>
                            <w:r w:rsidRPr="009F0226">
                              <w:rPr>
                                <w:b/>
                              </w:rPr>
                              <w:t>Hernie strangulée / ischémie</w:t>
                            </w:r>
                          </w:p>
                          <w:p w:rsidR="008276DC" w:rsidRDefault="008276DC" w:rsidP="00F84B6F">
                            <w:pPr>
                              <w:pStyle w:val="Paragraphedeliste"/>
                              <w:numPr>
                                <w:ilvl w:val="0"/>
                                <w:numId w:val="1504"/>
                              </w:numPr>
                            </w:pPr>
                            <w:r>
                              <w:t xml:space="preserve">Douloureuse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35" type="#_x0000_t202" style="position:absolute;margin-left:357.65pt;margin-top:9.35pt;width:186.15pt;height:110.55pt;z-index:25223782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" fillcolor="#95b3d7 [1940]">
                <v:textbox style="mso-fit-shape-to-text:t">
                  <w:txbxContent>
                    <w:p w:rsidR="008276DC" w:rsidRPr="009F0226" w:rsidRDefault="008276DC" w:rsidP="00F84B6F">
                      <w:pPr>
                        <w:jc w:val="center"/>
                        <w:rPr>
                          <w:b/>
                        </w:rPr>
                      </w:pPr>
                      <w:r w:rsidRPr="009F0226">
                        <w:rPr>
                          <w:b/>
                        </w:rPr>
                        <w:t>Hernie réductible</w:t>
                      </w:r>
                    </w:p>
                    <w:p w:rsidR="008276DC" w:rsidRDefault="008276DC" w:rsidP="00F84B6F">
                      <w:pPr>
                        <w:pStyle w:val="Paragraphedeliste"/>
                        <w:numPr>
                          <w:ilvl w:val="0"/>
                          <w:numId w:val="1502"/>
                        </w:numPr>
                      </w:pPr>
                      <w:r>
                        <w:t>Molle</w:t>
                      </w:r>
                    </w:p>
                    <w:p w:rsidR="008276DC" w:rsidRDefault="008276DC" w:rsidP="00F84B6F">
                      <w:pPr>
                        <w:pStyle w:val="Paragraphedeliste"/>
                        <w:numPr>
                          <w:ilvl w:val="0"/>
                          <w:numId w:val="1502"/>
                        </w:numPr>
                      </w:pPr>
                      <w:r>
                        <w:t>Réduction possible du contenu herniaire (spontanément ou manuellement)</w:t>
                      </w:r>
                    </w:p>
                    <w:p w:rsidR="008276DC" w:rsidRPr="009F0226" w:rsidRDefault="008276DC" w:rsidP="00F84B6F">
                      <w:pPr>
                        <w:jc w:val="center"/>
                        <w:rPr>
                          <w:b/>
                        </w:rPr>
                      </w:pPr>
                      <w:r w:rsidRPr="009F0226">
                        <w:rPr>
                          <w:b/>
                        </w:rPr>
                        <w:t xml:space="preserve">Hernie </w:t>
                      </w:r>
                      <w:r>
                        <w:rPr>
                          <w:b/>
                        </w:rPr>
                        <w:t>incarcérée</w:t>
                      </w:r>
                    </w:p>
                    <w:p w:rsidR="008276DC" w:rsidRDefault="008276DC" w:rsidP="00F84B6F">
                      <w:pPr>
                        <w:pStyle w:val="Paragraphedeliste"/>
                        <w:numPr>
                          <w:ilvl w:val="0"/>
                          <w:numId w:val="1503"/>
                        </w:numPr>
                      </w:pPr>
                      <w:r>
                        <w:t>Non-réductible</w:t>
                      </w:r>
                    </w:p>
                    <w:p w:rsidR="008276DC" w:rsidRDefault="008276DC" w:rsidP="00F84B6F">
                      <w:pPr>
                        <w:pStyle w:val="Paragraphedeliste"/>
                        <w:numPr>
                          <w:ilvl w:val="0"/>
                          <w:numId w:val="1503"/>
                        </w:numPr>
                      </w:pPr>
                      <w:r>
                        <w:t>Constipation (intestin incarcéré)</w:t>
                      </w:r>
                    </w:p>
                    <w:p w:rsidR="008276DC" w:rsidRPr="009F0226" w:rsidRDefault="008276DC" w:rsidP="00F84B6F">
                      <w:pPr>
                        <w:jc w:val="center"/>
                        <w:rPr>
                          <w:b/>
                        </w:rPr>
                      </w:pPr>
                      <w:r w:rsidRPr="009F0226">
                        <w:rPr>
                          <w:b/>
                        </w:rPr>
                        <w:t>Hernie strangulée / ischémie</w:t>
                      </w:r>
                    </w:p>
                    <w:p w:rsidR="008276DC" w:rsidRDefault="008276DC" w:rsidP="00F84B6F">
                      <w:pPr>
                        <w:pStyle w:val="Paragraphedeliste"/>
                        <w:numPr>
                          <w:ilvl w:val="0"/>
                          <w:numId w:val="1504"/>
                        </w:numPr>
                      </w:pPr>
                      <w:r>
                        <w:t xml:space="preserve">Douloureuse </w:t>
                      </w:r>
                    </w:p>
                  </w:txbxContent>
                </v:textbox>
              </v:shape>
            </w:pict>
          </mc:Fallback>
        </mc:AlternateContent>
      </w:r>
    </w:p>
    <w:p w:rsidR="00F84B6F" w:rsidRPr="00337F67" w:rsidRDefault="00F84B6F" w:rsidP="00F84B6F">
      <w:pPr>
        <w:pStyle w:val="Sansinterligne"/>
        <w:rPr>
          <w:b/>
          <w:sz w:val="28"/>
        </w:rPr>
      </w:pPr>
      <w:r w:rsidRPr="00337F67">
        <w:rPr>
          <w:b/>
          <w:sz w:val="28"/>
        </w:rPr>
        <w:t>Investigation essentielle</w:t>
      </w:r>
    </w:p>
    <w:p w:rsidR="00F84B6F" w:rsidRDefault="00F84B6F" w:rsidP="00F84B6F">
      <w:pPr>
        <w:pStyle w:val="Sansinterligne"/>
      </w:pPr>
    </w:p>
    <w:p w:rsidR="00F84B6F" w:rsidRDefault="00F84B6F" w:rsidP="00F84B6F">
      <w:pPr>
        <w:pStyle w:val="Sansinterligne"/>
      </w:pPr>
      <w:r>
        <w:t>L’examen physique constitue l’évaluation de choix.</w:t>
      </w:r>
    </w:p>
    <w:p w:rsidR="00F84B6F" w:rsidRDefault="00F84B6F" w:rsidP="00F84B6F">
      <w:pPr>
        <w:pStyle w:val="Sansinterligne"/>
      </w:pPr>
      <w:r w:rsidRPr="00942A7A">
        <w:rPr>
          <w:u w:val="single"/>
        </w:rPr>
        <w:t>Il faut</w:t>
      </w:r>
      <w:r>
        <w:t> :</w:t>
      </w:r>
    </w:p>
    <w:p w:rsidR="00F84B6F" w:rsidRDefault="00F84B6F" w:rsidP="00F84B6F">
      <w:pPr>
        <w:pStyle w:val="Sansinterligne"/>
        <w:numPr>
          <w:ilvl w:val="0"/>
          <w:numId w:val="1507"/>
        </w:numPr>
      </w:pPr>
      <w:r>
        <w:t>Faire faire un Valsalva au patient</w:t>
      </w:r>
    </w:p>
    <w:p w:rsidR="00F84B6F" w:rsidRDefault="00F84B6F" w:rsidP="00F84B6F">
      <w:pPr>
        <w:pStyle w:val="Sansinterligne"/>
        <w:numPr>
          <w:ilvl w:val="0"/>
          <w:numId w:val="1507"/>
        </w:numPr>
      </w:pPr>
      <w:r>
        <w:t>Le mobiliser (assis/debout, toux)</w:t>
      </w:r>
    </w:p>
    <w:p w:rsidR="00F84B6F" w:rsidRDefault="00F84B6F" w:rsidP="00F84B6F">
      <w:pPr>
        <w:pStyle w:val="Sansinterligne"/>
        <w:numPr>
          <w:ilvl w:val="0"/>
          <w:numId w:val="1507"/>
        </w:numPr>
      </w:pPr>
      <w:r>
        <w:t>Observer la mobilisation</w:t>
      </w:r>
    </w:p>
    <w:p w:rsidR="00F84B6F" w:rsidRDefault="00F84B6F" w:rsidP="00F84B6F">
      <w:pPr>
        <w:pStyle w:val="Sansinterligne"/>
        <w:numPr>
          <w:ilvl w:val="0"/>
          <w:numId w:val="1507"/>
        </w:numPr>
      </w:pPr>
      <w:r>
        <w:t>Tenter de réduire la masse (déterminer si incarcérée ou non)</w:t>
      </w:r>
    </w:p>
    <w:p w:rsidR="00F84B6F" w:rsidRDefault="00F84B6F" w:rsidP="00F84B6F">
      <w:pPr>
        <w:pStyle w:val="Sansinterligne"/>
      </w:pPr>
    </w:p>
    <w:p w:rsidR="00F84B6F" w:rsidRDefault="00F84B6F" w:rsidP="00F84B6F">
      <w:pPr>
        <w:pStyle w:val="Sansinterligne"/>
      </w:pPr>
      <w:r>
        <w:rPr>
          <w:noProof/>
          <w:lang w:eastAsia="fr-CA"/>
        </w:rPr>
        <w:drawing>
          <wp:anchor distT="0" distB="0" distL="114300" distR="114300" simplePos="0" relativeHeight="252238848" behindDoc="1" locked="0" layoutInCell="1" allowOverlap="1" wp14:anchorId="4B95DC3B" wp14:editId="4F2EB327">
            <wp:simplePos x="0" y="0"/>
            <wp:positionH relativeFrom="column">
              <wp:posOffset>1662430</wp:posOffset>
            </wp:positionH>
            <wp:positionV relativeFrom="paragraph">
              <wp:posOffset>100330</wp:posOffset>
            </wp:positionV>
            <wp:extent cx="1711960" cy="1770380"/>
            <wp:effectExtent l="0" t="0" r="2540" b="1270"/>
            <wp:wrapNone/>
            <wp:docPr id="686" name="Image 686" descr="Résultats de recherche d'images pour « hernies abdominal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Résultats de recherche d'images pour « hernies abdominales »"/>
                    <pic:cNvPicPr>
                      <a:picLocks noChangeAspect="1" noChangeArrowheads="1"/>
                    </pic:cNvPicPr>
                  </pic:nvPicPr>
                  <pic:blipFill rotWithShape="1">
                    <a:blip r:embed="rId23">
                      <a:extLst>
                        <a:ext uri="{28A0092B-C50C-407E-A947-70E740481C1C}">
                          <a14:useLocalDpi xmlns:a14="http://schemas.microsoft.com/office/drawing/2010/main" val="0"/>
                        </a:ext>
                      </a:extLst>
                    </a:blip>
                    <a:srcRect l="7390" t="4927" r="5907" b="5418"/>
                    <a:stretch/>
                  </pic:blipFill>
                  <pic:spPr bwMode="auto">
                    <a:xfrm>
                      <a:off x="0" y="0"/>
                      <a:ext cx="1711960" cy="177038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t>Toutefois, dans le doute, chez un patient obèse ou une hernie particulière :</w:t>
      </w:r>
    </w:p>
    <w:p w:rsidR="00F84B6F" w:rsidRDefault="00F84B6F" w:rsidP="00F84B6F">
      <w:pPr>
        <w:pStyle w:val="Sansinterligne"/>
      </w:pPr>
    </w:p>
    <w:p w:rsidR="00F84B6F" w:rsidRDefault="00F84B6F" w:rsidP="00F84B6F">
      <w:pPr>
        <w:pStyle w:val="Sansinterligne"/>
        <w:numPr>
          <w:ilvl w:val="0"/>
          <w:numId w:val="1501"/>
        </w:numPr>
      </w:pPr>
      <w:r>
        <w:t>TDM abdominal</w:t>
      </w:r>
    </w:p>
    <w:p w:rsidR="00F84B6F" w:rsidRDefault="00F84B6F" w:rsidP="00F84B6F">
      <w:pPr>
        <w:pStyle w:val="Sansinterligne"/>
        <w:numPr>
          <w:ilvl w:val="0"/>
          <w:numId w:val="1501"/>
        </w:numPr>
      </w:pPr>
      <w:r>
        <w:t>Échographie</w:t>
      </w:r>
    </w:p>
    <w:p w:rsidR="00F84B6F" w:rsidRDefault="00F84B6F" w:rsidP="00F84B6F">
      <w:pPr>
        <w:pStyle w:val="Sansinterligne"/>
      </w:pPr>
    </w:p>
    <w:p w:rsidR="00F84B6F" w:rsidRDefault="00F84B6F" w:rsidP="00F84B6F">
      <w:pPr>
        <w:pStyle w:val="Sansinterligne"/>
      </w:pPr>
    </w:p>
    <w:p w:rsidR="00F84B6F" w:rsidRDefault="00F84B6F" w:rsidP="00F84B6F">
      <w:pPr>
        <w:pStyle w:val="Sansinterligne"/>
      </w:pPr>
    </w:p>
    <w:p w:rsidR="00F84B6F" w:rsidRDefault="00F84B6F" w:rsidP="00F84B6F">
      <w:pPr>
        <w:pStyle w:val="Sansinterligne"/>
      </w:pPr>
    </w:p>
    <w:p w:rsidR="00F84B6F" w:rsidRDefault="00F84B6F" w:rsidP="00F84B6F">
      <w:pPr>
        <w:pStyle w:val="Sansinterligne"/>
      </w:pPr>
    </w:p>
    <w:p w:rsidR="00F84B6F" w:rsidRDefault="00F84B6F" w:rsidP="00F84B6F">
      <w:pPr>
        <w:pStyle w:val="Sansinterligne"/>
        <w:rPr>
          <w:b/>
          <w:sz w:val="28"/>
          <w:szCs w:val="28"/>
        </w:rPr>
      </w:pPr>
      <w:r w:rsidRPr="00337F67">
        <w:rPr>
          <w:b/>
          <w:sz w:val="28"/>
          <w:szCs w:val="28"/>
        </w:rPr>
        <w:lastRenderedPageBreak/>
        <w:t>Prise en charge</w:t>
      </w:r>
    </w:p>
    <w:p w:rsidR="00F84B6F" w:rsidRPr="00942A7A" w:rsidRDefault="00F84B6F" w:rsidP="00F84B6F">
      <w:pPr>
        <w:pStyle w:val="Sansinterligne"/>
      </w:pPr>
    </w:p>
    <w:p w:rsidR="00F84B6F" w:rsidRDefault="00F84B6F" w:rsidP="00F84B6F">
      <w:pPr>
        <w:pStyle w:val="Sansinterligne"/>
        <w:numPr>
          <w:ilvl w:val="0"/>
          <w:numId w:val="1508"/>
        </w:numPr>
      </w:pPr>
      <w:r w:rsidRPr="00942A7A">
        <w:t>Observation si asymptomatique</w:t>
      </w:r>
    </w:p>
    <w:p w:rsidR="00F84B6F" w:rsidRPr="008801A1" w:rsidRDefault="00F84B6F" w:rsidP="00F84B6F">
      <w:pPr>
        <w:pStyle w:val="Sansinterligne"/>
        <w:numPr>
          <w:ilvl w:val="0"/>
          <w:numId w:val="1508"/>
        </w:numPr>
        <w:rPr>
          <w:highlight w:val="yellow"/>
        </w:rPr>
      </w:pPr>
      <w:r w:rsidRPr="008801A1">
        <w:rPr>
          <w:highlight w:val="yellow"/>
        </w:rPr>
        <w:t xml:space="preserve">Herniorraphie </w:t>
      </w:r>
    </w:p>
    <w:p w:rsidR="00F84B6F" w:rsidRPr="008801A1" w:rsidRDefault="00F84B6F" w:rsidP="00F84B6F">
      <w:pPr>
        <w:pStyle w:val="Sansinterligne"/>
        <w:numPr>
          <w:ilvl w:val="1"/>
          <w:numId w:val="1508"/>
        </w:numPr>
        <w:rPr>
          <w:highlight w:val="yellow"/>
        </w:rPr>
      </w:pPr>
      <w:r w:rsidRPr="008801A1">
        <w:rPr>
          <w:highlight w:val="yellow"/>
        </w:rPr>
        <w:t>Par laparascopie ou ou chirurgie ouverte</w:t>
      </w:r>
    </w:p>
    <w:p w:rsidR="00F84B6F" w:rsidRPr="008801A1" w:rsidRDefault="00F84B6F" w:rsidP="00F84B6F">
      <w:pPr>
        <w:pStyle w:val="Sansinterligne"/>
        <w:numPr>
          <w:ilvl w:val="1"/>
          <w:numId w:val="1508"/>
        </w:numPr>
        <w:rPr>
          <w:highlight w:val="yellow"/>
        </w:rPr>
      </w:pPr>
      <w:r w:rsidRPr="008801A1">
        <w:rPr>
          <w:highlight w:val="yellow"/>
        </w:rPr>
        <w:t xml:space="preserve">Implantation d’une maillage/filet pour réduire la tension et réduire les récidives </w:t>
      </w:r>
    </w:p>
    <w:p w:rsidR="00F84B6F" w:rsidRPr="008801A1" w:rsidRDefault="00F84B6F" w:rsidP="00F84B6F">
      <w:pPr>
        <w:pStyle w:val="Sansinterligne"/>
        <w:numPr>
          <w:ilvl w:val="1"/>
          <w:numId w:val="1508"/>
        </w:numPr>
        <w:rPr>
          <w:highlight w:val="yellow"/>
        </w:rPr>
      </w:pPr>
      <w:r w:rsidRPr="008801A1">
        <w:rPr>
          <w:highlight w:val="yellow"/>
        </w:rPr>
        <w:t>Indications</w:t>
      </w:r>
    </w:p>
    <w:p w:rsidR="00F84B6F" w:rsidRPr="008801A1" w:rsidRDefault="00F84B6F" w:rsidP="001124E8">
      <w:pPr>
        <w:pStyle w:val="Sansinterligne"/>
        <w:numPr>
          <w:ilvl w:val="2"/>
          <w:numId w:val="1508"/>
        </w:numPr>
        <w:rPr>
          <w:highlight w:val="yellow"/>
        </w:rPr>
      </w:pPr>
      <w:r w:rsidRPr="008801A1">
        <w:rPr>
          <w:highlight w:val="yellow"/>
        </w:rPr>
        <w:t>Si incarcérée ou strangulée</w:t>
      </w:r>
    </w:p>
    <w:p w:rsidR="00F84B6F" w:rsidRPr="008801A1" w:rsidRDefault="00F84B6F" w:rsidP="001124E8">
      <w:pPr>
        <w:pStyle w:val="Sansinterligne"/>
        <w:numPr>
          <w:ilvl w:val="2"/>
          <w:numId w:val="1508"/>
        </w:numPr>
        <w:rPr>
          <w:highlight w:val="yellow"/>
        </w:rPr>
      </w:pPr>
      <w:r w:rsidRPr="008801A1">
        <w:rPr>
          <w:highlight w:val="yellow"/>
        </w:rPr>
        <w:t>Si dérangeant a/n cosmétique</w:t>
      </w:r>
    </w:p>
    <w:p w:rsidR="00F84B6F" w:rsidRDefault="00F84B6F" w:rsidP="00F84B6F">
      <w:pPr>
        <w:pStyle w:val="Sansinterligne"/>
        <w:numPr>
          <w:ilvl w:val="0"/>
          <w:numId w:val="1508"/>
        </w:numPr>
      </w:pPr>
      <w:r>
        <w:t>Pronostic</w:t>
      </w:r>
    </w:p>
    <w:p w:rsidR="00F84B6F" w:rsidRDefault="00F84B6F" w:rsidP="00F84B6F">
      <w:pPr>
        <w:pStyle w:val="Sansinterligne"/>
        <w:numPr>
          <w:ilvl w:val="1"/>
          <w:numId w:val="1508"/>
        </w:numPr>
      </w:pPr>
      <w:r>
        <w:t>Récidive post-opératoire 1% (inguinale indirecte), 3% (inguinale directe)</w:t>
      </w:r>
    </w:p>
    <w:p w:rsidR="00F84B6F" w:rsidRDefault="00F84B6F" w:rsidP="00F84B6F">
      <w:pPr>
        <w:pStyle w:val="Sansinterligne"/>
        <w:numPr>
          <w:ilvl w:val="1"/>
          <w:numId w:val="1508"/>
        </w:numPr>
      </w:pPr>
      <w:r>
        <w:t xml:space="preserve">Hématome scrotal post-chirurgical (indirecte) </w:t>
      </w:r>
      <w:r>
        <w:rPr>
          <w:rFonts w:cs="Times New Roman"/>
        </w:rPr>
        <w:t>~</w:t>
      </w:r>
      <w:r>
        <w:t xml:space="preserve"> 3%</w:t>
      </w:r>
    </w:p>
    <w:p w:rsidR="00F84B6F" w:rsidRDefault="00F84B6F" w:rsidP="00F84B6F">
      <w:pPr>
        <w:pStyle w:val="Sansinterligne"/>
        <w:numPr>
          <w:ilvl w:val="1"/>
          <w:numId w:val="1508"/>
        </w:numPr>
      </w:pPr>
      <w:r>
        <w:t>Si non-opérée et strangulée : colite/entérite ischémique et nécrose</w:t>
      </w:r>
    </w:p>
    <w:p w:rsidR="00F84B6F" w:rsidRPr="00942A7A" w:rsidRDefault="00F84B6F" w:rsidP="00F84B6F">
      <w:pPr>
        <w:pStyle w:val="Sansinterligne"/>
      </w:pPr>
      <w:r>
        <w:rPr>
          <w:noProof/>
          <w:lang w:eastAsia="fr-CA"/>
        </w:rPr>
        <w:drawing>
          <wp:anchor distT="0" distB="0" distL="114300" distR="114300" simplePos="0" relativeHeight="252239872" behindDoc="0" locked="0" layoutInCell="1" allowOverlap="1" wp14:anchorId="4D9BB256" wp14:editId="69157EE8">
            <wp:simplePos x="0" y="0"/>
            <wp:positionH relativeFrom="column">
              <wp:posOffset>1643528</wp:posOffset>
            </wp:positionH>
            <wp:positionV relativeFrom="paragraph">
              <wp:posOffset>413628</wp:posOffset>
            </wp:positionV>
            <wp:extent cx="3696510" cy="4019868"/>
            <wp:effectExtent l="0" t="0" r="0" b="0"/>
            <wp:wrapNone/>
            <wp:docPr id="687" name="Image 68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mage"/>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696510" cy="4019868"/>
                    </a:xfrm>
                    <a:prstGeom prst="rect">
                      <a:avLst/>
                    </a:prstGeom>
                    <a:noFill/>
                    <a:ln>
                      <a:noFill/>
                    </a:ln>
                  </pic:spPr>
                </pic:pic>
              </a:graphicData>
            </a:graphic>
            <wp14:sizeRelH relativeFrom="page">
              <wp14:pctWidth>0</wp14:pctWidth>
            </wp14:sizeRelH>
            <wp14:sizeRelV relativeFrom="page">
              <wp14:pctHeight>0</wp14:pctHeight>
            </wp14:sizeRelV>
          </wp:anchor>
        </w:drawing>
      </w:r>
      <w:r w:rsidRPr="00942A7A">
        <w:br w:type="page"/>
      </w:r>
    </w:p>
    <w:p w:rsidR="00F84B6F" w:rsidRDefault="00F84B6F" w:rsidP="00F84B6F">
      <w:pPr>
        <w:spacing w:after="0"/>
        <w:rPr>
          <w:rFonts w:cs="Times New Roman"/>
          <w:b/>
          <w:color w:val="548DD4" w:themeColor="text2" w:themeTint="99"/>
        </w:rPr>
      </w:pPr>
    </w:p>
    <w:p w:rsidR="00F84B6F" w:rsidRDefault="00F84B6F" w:rsidP="00F84B6F">
      <w:pPr>
        <w:spacing w:after="0"/>
        <w:rPr>
          <w:rFonts w:cs="Times New Roman"/>
          <w:b/>
          <w:color w:val="548DD4" w:themeColor="text2" w:themeTint="99"/>
        </w:rPr>
      </w:pPr>
      <w:r>
        <w:rPr>
          <w:rFonts w:cs="Times New Roman"/>
          <w:b/>
          <w:color w:val="548DD4" w:themeColor="text2" w:themeTint="99"/>
        </w:rPr>
        <w:t>CMC 3-1</w:t>
      </w:r>
    </w:p>
    <w:p w:rsidR="00F84B6F" w:rsidRPr="003B3179" w:rsidRDefault="00F84B6F" w:rsidP="00F84B6F">
      <w:pPr>
        <w:pStyle w:val="Titre3"/>
        <w:spacing w:before="0"/>
        <w:rPr>
          <w:rFonts w:ascii="Times New Roman" w:hAnsi="Times New Roman" w:cs="Times New Roman"/>
        </w:rPr>
      </w:pPr>
      <w:bookmarkStart w:id="7" w:name="_Toc480797264"/>
      <w:r w:rsidRPr="003B3179">
        <w:rPr>
          <w:rFonts w:ascii="Times New Roman" w:hAnsi="Times New Roman" w:cs="Times New Roman"/>
        </w:rPr>
        <w:t>Douleur abdominale chez l’enfant</w:t>
      </w:r>
      <w:bookmarkEnd w:id="7"/>
    </w:p>
    <w:tbl>
      <w:tblPr>
        <w:tblW w:w="3858" w:type="pct"/>
        <w:tblCellSpacing w:w="0" w:type="dxa"/>
        <w:tblCellMar>
          <w:left w:w="0" w:type="dxa"/>
          <w:right w:w="0" w:type="dxa"/>
        </w:tblCellMar>
        <w:tblLook w:val="04A0" w:firstRow="1" w:lastRow="0" w:firstColumn="1" w:lastColumn="0" w:noHBand="0" w:noVBand="1"/>
      </w:tblPr>
      <w:tblGrid>
        <w:gridCol w:w="8333"/>
      </w:tblGrid>
      <w:tr w:rsidR="00F84B6F" w:rsidRPr="003B3179" w:rsidTr="00DF5B70">
        <w:trPr>
          <w:tblCellSpacing w:w="0" w:type="dxa"/>
        </w:trPr>
        <w:tc>
          <w:tcPr>
            <w:tcW w:w="0" w:type="auto"/>
            <w:vAlign w:val="bottom"/>
            <w:hideMark/>
          </w:tcPr>
          <w:p w:rsidR="00F84B6F" w:rsidRPr="003B3179" w:rsidRDefault="00F84B6F" w:rsidP="00DF5B70">
            <w:pPr>
              <w:pStyle w:val="Sansinterligne"/>
              <w:spacing w:before="240"/>
              <w:rPr>
                <w:rFonts w:cs="Times New Roman"/>
                <w:b/>
                <w:sz w:val="18"/>
                <w:szCs w:val="18"/>
              </w:rPr>
            </w:pPr>
            <w:r>
              <w:rPr>
                <w:rFonts w:cs="Times New Roman"/>
                <w:b/>
                <w:noProof/>
                <w:sz w:val="18"/>
                <w:szCs w:val="18"/>
                <w:lang w:eastAsia="fr-CA"/>
              </w:rPr>
              <mc:AlternateContent>
                <mc:Choice Requires="wps">
                  <w:drawing>
                    <wp:anchor distT="0" distB="0" distL="114300" distR="114300" simplePos="0" relativeHeight="252242944" behindDoc="0" locked="0" layoutInCell="1" allowOverlap="1" wp14:anchorId="78B2792C" wp14:editId="71DF8697">
                      <wp:simplePos x="0" y="0"/>
                      <wp:positionH relativeFrom="column">
                        <wp:posOffset>-38911</wp:posOffset>
                      </wp:positionH>
                      <wp:positionV relativeFrom="paragraph">
                        <wp:posOffset>114408</wp:posOffset>
                      </wp:positionV>
                      <wp:extent cx="6741268" cy="2889115"/>
                      <wp:effectExtent l="0" t="0" r="21590" b="26035"/>
                      <wp:wrapNone/>
                      <wp:docPr id="529" name="Rectangle 529"/>
                      <wp:cNvGraphicFramePr/>
                      <a:graphic xmlns:a="http://schemas.openxmlformats.org/drawingml/2006/main">
                        <a:graphicData uri="http://schemas.microsoft.com/office/word/2010/wordprocessingShape">
                          <wps:wsp>
                            <wps:cNvSpPr/>
                            <wps:spPr>
                              <a:xfrm>
                                <a:off x="0" y="0"/>
                                <a:ext cx="6741268" cy="2889115"/>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529" o:spid="_x0000_s1026" style="position:absolute;margin-left:-3.05pt;margin-top:9pt;width:530.8pt;height:227.5pt;z-index:2522429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" filled="f" strokecolor="black [1600]" strokeweight="2pt"/>
                  </w:pict>
                </mc:Fallback>
              </mc:AlternateContent>
            </w:r>
            <w:r w:rsidRPr="003B3179">
              <w:rPr>
                <w:rFonts w:cs="Times New Roman"/>
                <w:b/>
                <w:sz w:val="18"/>
                <w:szCs w:val="18"/>
              </w:rPr>
              <w:t>Objectifs principaux</w:t>
            </w:r>
          </w:p>
        </w:tc>
      </w:tr>
    </w:tbl>
    <w:p w:rsidR="00F84B6F" w:rsidRPr="003B3179" w:rsidRDefault="00F84B6F" w:rsidP="00F84B6F">
      <w:pPr>
        <w:pStyle w:val="NormalWeb"/>
        <w:ind w:left="360"/>
        <w:rPr>
          <w:color w:val="000000"/>
          <w:sz w:val="18"/>
          <w:szCs w:val="18"/>
          <w:shd w:val="clear" w:color="auto" w:fill="FFFFFF"/>
        </w:rPr>
      </w:pPr>
      <w:r w:rsidRPr="003B3179">
        <w:rPr>
          <w:color w:val="000000"/>
          <w:sz w:val="18"/>
          <w:szCs w:val="18"/>
          <w:shd w:val="clear" w:color="auto" w:fill="FFFFFF"/>
        </w:rPr>
        <w:t>Le candidat devra notamment distinguer les cas qui requièrent un traitement médical ou chirurgical urgent, tout en reconnaissant que les symptômes sont le plus souvent dus à une cause non organique.</w:t>
      </w:r>
    </w:p>
    <w:tbl>
      <w:tblPr>
        <w:tblW w:w="3906" w:type="pct"/>
        <w:tblCellSpacing w:w="0" w:type="dxa"/>
        <w:tblCellMar>
          <w:left w:w="0" w:type="dxa"/>
          <w:right w:w="0" w:type="dxa"/>
        </w:tblCellMar>
        <w:tblLook w:val="04A0" w:firstRow="1" w:lastRow="0" w:firstColumn="1" w:lastColumn="0" w:noHBand="0" w:noVBand="1"/>
      </w:tblPr>
      <w:tblGrid>
        <w:gridCol w:w="8437"/>
      </w:tblGrid>
      <w:tr w:rsidR="00F84B6F" w:rsidRPr="003B3179" w:rsidTr="00DF5B70">
        <w:trPr>
          <w:tblCellSpacing w:w="0" w:type="dxa"/>
        </w:trPr>
        <w:tc>
          <w:tcPr>
            <w:tcW w:w="0" w:type="auto"/>
            <w:vAlign w:val="bottom"/>
            <w:hideMark/>
          </w:tcPr>
          <w:p w:rsidR="00F84B6F" w:rsidRPr="003B3179" w:rsidRDefault="00F84B6F" w:rsidP="00DF5B70">
            <w:pPr>
              <w:pStyle w:val="Sansinterligne"/>
              <w:rPr>
                <w:rFonts w:cs="Times New Roman"/>
                <w:b/>
                <w:sz w:val="16"/>
                <w:szCs w:val="16"/>
              </w:rPr>
            </w:pPr>
            <w:r w:rsidRPr="003B3179">
              <w:rPr>
                <w:rFonts w:cs="Times New Roman"/>
                <w:b/>
                <w:sz w:val="16"/>
                <w:szCs w:val="16"/>
              </w:rPr>
              <w:t>Objectifs Spécifiques</w:t>
            </w:r>
          </w:p>
        </w:tc>
      </w:tr>
    </w:tbl>
    <w:p w:rsidR="00F84B6F" w:rsidRPr="003B3179" w:rsidRDefault="00F84B6F" w:rsidP="00F84B6F">
      <w:pPr>
        <w:pStyle w:val="NormalWeb"/>
        <w:shd w:val="clear" w:color="auto" w:fill="FFFFFF"/>
        <w:ind w:left="360"/>
        <w:rPr>
          <w:color w:val="000000"/>
          <w:sz w:val="16"/>
          <w:szCs w:val="16"/>
          <w:shd w:val="clear" w:color="auto" w:fill="FFFFFF"/>
        </w:rPr>
      </w:pPr>
      <w:r w:rsidRPr="003B3179">
        <w:rPr>
          <w:color w:val="000000"/>
          <w:sz w:val="16"/>
          <w:szCs w:val="16"/>
          <w:shd w:val="clear" w:color="auto" w:fill="FFFFFF"/>
        </w:rPr>
        <w:t>Dans le cas d'un patient pédiatrique présentant une douleur abdominale, le candidat devra</w:t>
      </w:r>
    </w:p>
    <w:p w:rsidR="00F84B6F" w:rsidRPr="003B3179" w:rsidRDefault="00F84B6F" w:rsidP="00F84B6F">
      <w:pPr>
        <w:numPr>
          <w:ilvl w:val="0"/>
          <w:numId w:val="1135"/>
        </w:numPr>
        <w:shd w:val="clear" w:color="auto" w:fill="FFFFFF"/>
        <w:spacing w:before="100" w:beforeAutospacing="1" w:after="100" w:afterAutospacing="1" w:line="240" w:lineRule="auto"/>
        <w:rPr>
          <w:rFonts w:cs="Times New Roman"/>
          <w:color w:val="000000"/>
          <w:sz w:val="16"/>
          <w:szCs w:val="16"/>
          <w:shd w:val="clear" w:color="auto" w:fill="FFFFFF"/>
        </w:rPr>
      </w:pPr>
      <w:r w:rsidRPr="003B3179">
        <w:rPr>
          <w:rFonts w:cs="Times New Roman"/>
          <w:color w:val="000000"/>
          <w:sz w:val="16"/>
          <w:szCs w:val="16"/>
          <w:shd w:val="clear" w:color="auto" w:fill="FFFFFF"/>
        </w:rPr>
        <w:t>énumérer et interpréter les constatations cliniques cruciales, notamment celles découlant :</w:t>
      </w:r>
    </w:p>
    <w:p w:rsidR="00F84B6F" w:rsidRPr="003B3179" w:rsidRDefault="00F84B6F" w:rsidP="00F84B6F">
      <w:pPr>
        <w:numPr>
          <w:ilvl w:val="1"/>
          <w:numId w:val="1135"/>
        </w:numPr>
        <w:shd w:val="clear" w:color="auto" w:fill="FFFFFF"/>
        <w:spacing w:before="100" w:beforeAutospacing="1" w:after="100" w:afterAutospacing="1" w:line="240" w:lineRule="auto"/>
        <w:rPr>
          <w:rFonts w:cs="Times New Roman"/>
          <w:color w:val="000000"/>
          <w:sz w:val="16"/>
          <w:szCs w:val="16"/>
          <w:shd w:val="clear" w:color="auto" w:fill="FFFFFF"/>
        </w:rPr>
      </w:pPr>
      <w:r w:rsidRPr="003B3179">
        <w:rPr>
          <w:rFonts w:cs="Times New Roman"/>
          <w:color w:val="000000"/>
          <w:sz w:val="16"/>
          <w:szCs w:val="16"/>
          <w:shd w:val="clear" w:color="auto" w:fill="FFFFFF"/>
        </w:rPr>
        <w:t>de l'identification des causes d'une douleur abdominale nécessitant une intervention chirurgicale (auquel cas il faudra mettre l'accent sur un examen physique approfondi visant à détecter des signes de péritonite);</w:t>
      </w:r>
    </w:p>
    <w:p w:rsidR="00F84B6F" w:rsidRPr="003B3179" w:rsidRDefault="00F84B6F" w:rsidP="00F84B6F">
      <w:pPr>
        <w:numPr>
          <w:ilvl w:val="1"/>
          <w:numId w:val="1135"/>
        </w:numPr>
        <w:shd w:val="clear" w:color="auto" w:fill="FFFFFF"/>
        <w:spacing w:before="100" w:beforeAutospacing="1" w:after="100" w:afterAutospacing="1" w:line="240" w:lineRule="auto"/>
        <w:rPr>
          <w:rFonts w:cs="Times New Roman"/>
          <w:color w:val="000000"/>
          <w:sz w:val="16"/>
          <w:szCs w:val="16"/>
          <w:shd w:val="clear" w:color="auto" w:fill="FFFFFF"/>
        </w:rPr>
      </w:pPr>
      <w:r w:rsidRPr="003B3179">
        <w:rPr>
          <w:rFonts w:cs="Times New Roman"/>
          <w:color w:val="000000"/>
          <w:sz w:val="16"/>
          <w:szCs w:val="16"/>
          <w:shd w:val="clear" w:color="auto" w:fill="FFFFFF"/>
        </w:rPr>
        <w:t>de la différenciation entre les diverses causes psychologiques possibles en cas de douleur abdominale chronique;</w:t>
      </w:r>
    </w:p>
    <w:p w:rsidR="00F84B6F" w:rsidRPr="003B3179" w:rsidRDefault="00F84B6F" w:rsidP="00F84B6F">
      <w:pPr>
        <w:numPr>
          <w:ilvl w:val="1"/>
          <w:numId w:val="1135"/>
        </w:numPr>
        <w:shd w:val="clear" w:color="auto" w:fill="FFFFFF"/>
        <w:spacing w:before="100" w:beforeAutospacing="1" w:after="100" w:afterAutospacing="1" w:line="240" w:lineRule="auto"/>
        <w:rPr>
          <w:rFonts w:cs="Times New Roman"/>
          <w:color w:val="000000"/>
          <w:sz w:val="16"/>
          <w:szCs w:val="16"/>
          <w:shd w:val="clear" w:color="auto" w:fill="FFFFFF"/>
        </w:rPr>
      </w:pPr>
      <w:r w:rsidRPr="003B3179">
        <w:rPr>
          <w:rFonts w:cs="Times New Roman"/>
          <w:color w:val="000000"/>
          <w:sz w:val="16"/>
          <w:szCs w:val="16"/>
          <w:shd w:val="clear" w:color="auto" w:fill="FFFFFF"/>
        </w:rPr>
        <w:t>de la différenciation entre douleur due à une cause organique et colique du nourrisson;</w:t>
      </w:r>
    </w:p>
    <w:p w:rsidR="00F84B6F" w:rsidRPr="003B3179" w:rsidRDefault="00F84B6F" w:rsidP="00F84B6F">
      <w:pPr>
        <w:numPr>
          <w:ilvl w:val="0"/>
          <w:numId w:val="1135"/>
        </w:numPr>
        <w:shd w:val="clear" w:color="auto" w:fill="FFFFFF"/>
        <w:spacing w:before="100" w:beforeAutospacing="1" w:after="100" w:afterAutospacing="1" w:line="240" w:lineRule="auto"/>
        <w:rPr>
          <w:rFonts w:cs="Times New Roman"/>
          <w:color w:val="000000"/>
          <w:sz w:val="16"/>
          <w:szCs w:val="16"/>
          <w:shd w:val="clear" w:color="auto" w:fill="FFFFFF"/>
        </w:rPr>
      </w:pPr>
      <w:r w:rsidRPr="003B3179">
        <w:rPr>
          <w:rFonts w:cs="Times New Roman"/>
          <w:color w:val="000000"/>
          <w:sz w:val="16"/>
          <w:szCs w:val="16"/>
          <w:shd w:val="clear" w:color="auto" w:fill="FFFFFF"/>
        </w:rPr>
        <w:t>énumérer et interpréter les examens essentiels, notamment:</w:t>
      </w:r>
    </w:p>
    <w:p w:rsidR="00F84B6F" w:rsidRPr="003B3179" w:rsidRDefault="00F84B6F" w:rsidP="00F84B6F">
      <w:pPr>
        <w:numPr>
          <w:ilvl w:val="1"/>
          <w:numId w:val="1135"/>
        </w:numPr>
        <w:shd w:val="clear" w:color="auto" w:fill="FFFFFF"/>
        <w:spacing w:before="100" w:beforeAutospacing="1" w:after="100" w:afterAutospacing="1" w:line="240" w:lineRule="auto"/>
        <w:rPr>
          <w:rFonts w:cs="Times New Roman"/>
          <w:color w:val="000000"/>
          <w:sz w:val="16"/>
          <w:szCs w:val="16"/>
          <w:shd w:val="clear" w:color="auto" w:fill="FFFFFF"/>
        </w:rPr>
      </w:pPr>
      <w:r w:rsidRPr="003B3179">
        <w:rPr>
          <w:rFonts w:cs="Times New Roman"/>
          <w:color w:val="000000"/>
          <w:sz w:val="16"/>
          <w:szCs w:val="16"/>
          <w:shd w:val="clear" w:color="auto" w:fill="FFFFFF"/>
        </w:rPr>
        <w:t>les analyses de laboratoire et les examens d'imagerie diagnostique</w:t>
      </w:r>
    </w:p>
    <w:p w:rsidR="00F84B6F" w:rsidRPr="003B3179" w:rsidRDefault="00F84B6F" w:rsidP="00F84B6F">
      <w:pPr>
        <w:numPr>
          <w:ilvl w:val="0"/>
          <w:numId w:val="1135"/>
        </w:numPr>
        <w:shd w:val="clear" w:color="auto" w:fill="FFFFFF"/>
        <w:spacing w:before="100" w:beforeAutospacing="1" w:after="100" w:afterAutospacing="1" w:line="240" w:lineRule="auto"/>
        <w:rPr>
          <w:rFonts w:cs="Times New Roman"/>
          <w:color w:val="000000"/>
          <w:sz w:val="16"/>
          <w:szCs w:val="16"/>
          <w:shd w:val="clear" w:color="auto" w:fill="FFFFFF"/>
        </w:rPr>
      </w:pPr>
      <w:r w:rsidRPr="003B3179">
        <w:rPr>
          <w:rFonts w:cs="Times New Roman"/>
          <w:color w:val="000000"/>
          <w:sz w:val="16"/>
          <w:szCs w:val="16"/>
          <w:shd w:val="clear" w:color="auto" w:fill="FFFFFF"/>
        </w:rPr>
        <w:t>établir un plan efficace de prise en charge initiale, notamment:</w:t>
      </w:r>
    </w:p>
    <w:p w:rsidR="00F84B6F" w:rsidRPr="003B3179" w:rsidRDefault="00F84B6F" w:rsidP="00F84B6F">
      <w:pPr>
        <w:numPr>
          <w:ilvl w:val="1"/>
          <w:numId w:val="1135"/>
        </w:numPr>
        <w:shd w:val="clear" w:color="auto" w:fill="FFFFFF"/>
        <w:spacing w:before="100" w:beforeAutospacing="1" w:after="100" w:afterAutospacing="1" w:line="240" w:lineRule="auto"/>
        <w:rPr>
          <w:rFonts w:cs="Times New Roman"/>
          <w:color w:val="000000"/>
          <w:sz w:val="16"/>
          <w:szCs w:val="16"/>
          <w:shd w:val="clear" w:color="auto" w:fill="FFFFFF"/>
        </w:rPr>
      </w:pPr>
      <w:r w:rsidRPr="003B3179">
        <w:rPr>
          <w:rFonts w:cs="Times New Roman"/>
          <w:color w:val="000000"/>
          <w:sz w:val="16"/>
          <w:szCs w:val="16"/>
          <w:shd w:val="clear" w:color="auto" w:fill="FFFFFF"/>
        </w:rPr>
        <w:t>déterminer la nécessité de soins chirurgicaux ou médicaux urgents;</w:t>
      </w:r>
    </w:p>
    <w:p w:rsidR="00F84B6F" w:rsidRPr="003B3179" w:rsidRDefault="00F84B6F" w:rsidP="00F84B6F">
      <w:pPr>
        <w:numPr>
          <w:ilvl w:val="1"/>
          <w:numId w:val="1135"/>
        </w:numPr>
        <w:shd w:val="clear" w:color="auto" w:fill="FFFFFF"/>
        <w:spacing w:before="100" w:beforeAutospacing="1" w:after="100" w:afterAutospacing="1" w:line="240" w:lineRule="auto"/>
        <w:rPr>
          <w:rFonts w:cs="Times New Roman"/>
          <w:color w:val="000000"/>
          <w:sz w:val="16"/>
          <w:szCs w:val="16"/>
          <w:shd w:val="clear" w:color="auto" w:fill="FFFFFF"/>
        </w:rPr>
      </w:pPr>
      <w:r w:rsidRPr="003B3179">
        <w:rPr>
          <w:rFonts w:cs="Times New Roman"/>
          <w:color w:val="000000"/>
          <w:sz w:val="16"/>
          <w:szCs w:val="16"/>
          <w:shd w:val="clear" w:color="auto" w:fill="FFFFFF"/>
        </w:rPr>
        <w:t>donner les grandes lignes de la prise en charge initiale en cas d'occlusion intestinale aiguë;</w:t>
      </w:r>
    </w:p>
    <w:p w:rsidR="00F84B6F" w:rsidRPr="003B3179" w:rsidRDefault="00F84B6F" w:rsidP="00F84B6F">
      <w:pPr>
        <w:numPr>
          <w:ilvl w:val="1"/>
          <w:numId w:val="1135"/>
        </w:numPr>
        <w:shd w:val="clear" w:color="auto" w:fill="FFFFFF"/>
        <w:spacing w:before="100" w:beforeAutospacing="1" w:after="100" w:afterAutospacing="1" w:line="240" w:lineRule="auto"/>
        <w:rPr>
          <w:rFonts w:cs="Times New Roman"/>
          <w:color w:val="000000"/>
          <w:sz w:val="16"/>
          <w:szCs w:val="16"/>
          <w:shd w:val="clear" w:color="auto" w:fill="FFFFFF"/>
        </w:rPr>
      </w:pPr>
      <w:r w:rsidRPr="003B3179">
        <w:rPr>
          <w:rFonts w:cs="Times New Roman"/>
          <w:color w:val="000000"/>
          <w:sz w:val="16"/>
          <w:szCs w:val="16"/>
          <w:shd w:val="clear" w:color="auto" w:fill="FFFFFF"/>
        </w:rPr>
        <w:t>donner les grandes lignes d'un plan de prise en charge pour les causes courantes d'une douleur abdominale, en fonction de l'âge du patient;</w:t>
      </w:r>
    </w:p>
    <w:p w:rsidR="00F84B6F" w:rsidRPr="003B3179" w:rsidRDefault="00F84B6F" w:rsidP="00F84B6F">
      <w:pPr>
        <w:numPr>
          <w:ilvl w:val="1"/>
          <w:numId w:val="1135"/>
        </w:numPr>
        <w:shd w:val="clear" w:color="auto" w:fill="FFFFFF"/>
        <w:spacing w:before="100" w:beforeAutospacing="1" w:after="100" w:afterAutospacing="1" w:line="240" w:lineRule="auto"/>
        <w:rPr>
          <w:rFonts w:cs="Times New Roman"/>
          <w:color w:val="000000"/>
          <w:sz w:val="16"/>
          <w:szCs w:val="16"/>
          <w:shd w:val="clear" w:color="auto" w:fill="FFFFFF"/>
        </w:rPr>
      </w:pPr>
      <w:r w:rsidRPr="003B3179">
        <w:rPr>
          <w:rFonts w:cs="Times New Roman"/>
          <w:color w:val="000000"/>
          <w:sz w:val="16"/>
          <w:szCs w:val="16"/>
          <w:shd w:val="clear" w:color="auto" w:fill="FFFFFF"/>
        </w:rPr>
        <w:t>déterminer la nécessité de soins spécialisés ou d'examens plus poussés</w:t>
      </w:r>
    </w:p>
    <w:p w:rsidR="00F84B6F" w:rsidRPr="000C2EEE" w:rsidRDefault="00F84B6F" w:rsidP="00F84B6F">
      <w:pPr>
        <w:pStyle w:val="Sansinterligne"/>
        <w:rPr>
          <w:b/>
          <w:sz w:val="28"/>
          <w:szCs w:val="28"/>
        </w:rPr>
      </w:pPr>
      <w:r w:rsidRPr="000C2EEE">
        <w:rPr>
          <w:b/>
          <w:sz w:val="28"/>
          <w:szCs w:val="28"/>
        </w:rPr>
        <w:t>Note</w:t>
      </w:r>
    </w:p>
    <w:p w:rsidR="00F84B6F" w:rsidRDefault="00F84B6F" w:rsidP="00F84B6F">
      <w:pPr>
        <w:pStyle w:val="Sansinterligne"/>
      </w:pPr>
    </w:p>
    <w:p w:rsidR="00F84B6F" w:rsidRPr="000C2EEE" w:rsidRDefault="00F84B6F" w:rsidP="00F84B6F">
      <w:pPr>
        <w:pStyle w:val="Sansinterligne"/>
      </w:pPr>
      <w:r w:rsidRPr="000C2EEE">
        <w:t xml:space="preserve">L’enfant </w:t>
      </w:r>
      <w:r>
        <w:t>présente souvent des douleurs abdominales. Bien que généralement bénigne</w:t>
      </w:r>
      <w:r w:rsidR="001124E8">
        <w:t>s</w:t>
      </w:r>
      <w:r>
        <w:t>, certaines conditions constituent parfois des urgences médicales ou chirurgicales. Parmi celles-ci, quelques-unes sont propre à l’enfant. Chez l’enfant de plus de 5 ans, on retrouve également le même diagnostic différentiel que chez l’adulte. Il est à noter que les maladies inflammatoires intestinales,</w:t>
      </w:r>
      <w:r w:rsidR="001124E8">
        <w:t xml:space="preserve"> les infections urinaires et</w:t>
      </w:r>
      <w:r>
        <w:t xml:space="preserve"> </w:t>
      </w:r>
      <w:r w:rsidR="001124E8">
        <w:t xml:space="preserve">lésions </w:t>
      </w:r>
      <w:r>
        <w:t>hépatiques doivent aussi être considérées, peu importe l’âge.</w:t>
      </w:r>
    </w:p>
    <w:p w:rsidR="00F84B6F" w:rsidRDefault="00F84B6F" w:rsidP="00F84B6F">
      <w:pPr>
        <w:pStyle w:val="Sansinterligne"/>
      </w:pPr>
    </w:p>
    <w:p w:rsidR="00F84B6F" w:rsidRDefault="00F84B6F" w:rsidP="00F84B6F">
      <w:pPr>
        <w:pStyle w:val="Sansinterligne"/>
        <w:rPr>
          <w:b/>
          <w:sz w:val="28"/>
          <w:szCs w:val="28"/>
        </w:rPr>
      </w:pPr>
      <w:r w:rsidRPr="000C2EEE">
        <w:rPr>
          <w:b/>
          <w:sz w:val="28"/>
          <w:szCs w:val="28"/>
        </w:rPr>
        <w:t xml:space="preserve">Diagnostics </w:t>
      </w:r>
    </w:p>
    <w:p w:rsidR="00F84B6F" w:rsidRPr="000C2EEE" w:rsidRDefault="00F84B6F" w:rsidP="00F84B6F">
      <w:pPr>
        <w:pStyle w:val="Sansinterligne"/>
        <w:rPr>
          <w:sz w:val="16"/>
          <w:szCs w:val="16"/>
        </w:rPr>
      </w:pPr>
    </w:p>
    <w:tbl>
      <w:tblPr>
        <w:tblStyle w:val="Grilledutableau"/>
        <w:tblW w:w="0" w:type="auto"/>
        <w:tblLook w:val="04A0" w:firstRow="1" w:lastRow="0" w:firstColumn="1" w:lastColumn="0" w:noHBand="0" w:noVBand="1"/>
      </w:tblPr>
      <w:tblGrid>
        <w:gridCol w:w="661"/>
        <w:gridCol w:w="2711"/>
        <w:gridCol w:w="2376"/>
        <w:gridCol w:w="1446"/>
        <w:gridCol w:w="111"/>
        <w:gridCol w:w="1291"/>
        <w:gridCol w:w="2420"/>
      </w:tblGrid>
      <w:tr w:rsidR="00F84B6F" w:rsidTr="00DF5B70">
        <w:tc>
          <w:tcPr>
            <w:tcW w:w="661" w:type="dxa"/>
            <w:shd w:val="clear" w:color="auto" w:fill="FFC000"/>
          </w:tcPr>
          <w:p w:rsidR="00F84B6F" w:rsidRPr="00356AB6" w:rsidRDefault="00F84B6F" w:rsidP="00DF5B70">
            <w:pPr>
              <w:pStyle w:val="Sansinterligne"/>
              <w:jc w:val="center"/>
              <w:rPr>
                <w:i/>
              </w:rPr>
            </w:pPr>
            <w:r w:rsidRPr="00356AB6">
              <w:rPr>
                <w:i/>
              </w:rPr>
              <w:t>Âge</w:t>
            </w:r>
          </w:p>
        </w:tc>
        <w:tc>
          <w:tcPr>
            <w:tcW w:w="2711" w:type="dxa"/>
            <w:shd w:val="clear" w:color="auto" w:fill="FFC000"/>
          </w:tcPr>
          <w:p w:rsidR="00F84B6F" w:rsidRPr="00356AB6" w:rsidRDefault="00F84B6F" w:rsidP="00DF5B70">
            <w:pPr>
              <w:pStyle w:val="Sansinterligne"/>
              <w:jc w:val="center"/>
              <w:rPr>
                <w:i/>
              </w:rPr>
            </w:pPr>
            <w:r w:rsidRPr="00356AB6">
              <w:rPr>
                <w:i/>
              </w:rPr>
              <w:t>Diagnostic</w:t>
            </w:r>
          </w:p>
        </w:tc>
        <w:tc>
          <w:tcPr>
            <w:tcW w:w="7644" w:type="dxa"/>
            <w:gridSpan w:val="5"/>
            <w:shd w:val="clear" w:color="auto" w:fill="FFC000"/>
          </w:tcPr>
          <w:p w:rsidR="00F84B6F" w:rsidRPr="00356AB6" w:rsidRDefault="00F84B6F" w:rsidP="00DF5B70">
            <w:pPr>
              <w:pStyle w:val="Sansinterligne"/>
              <w:jc w:val="center"/>
              <w:rPr>
                <w:i/>
              </w:rPr>
            </w:pPr>
            <w:r w:rsidRPr="00356AB6">
              <w:rPr>
                <w:i/>
              </w:rPr>
              <w:t>Manifestations cliniques</w:t>
            </w:r>
          </w:p>
        </w:tc>
      </w:tr>
      <w:tr w:rsidR="00F84B6F" w:rsidTr="00C94978">
        <w:tc>
          <w:tcPr>
            <w:tcW w:w="661" w:type="dxa"/>
            <w:vMerge w:val="restart"/>
            <w:shd w:val="clear" w:color="auto" w:fill="FFC000"/>
            <w:textDirection w:val="btLr"/>
            <w:vAlign w:val="center"/>
          </w:tcPr>
          <w:p w:rsidR="00F84B6F" w:rsidRDefault="00F84B6F" w:rsidP="00DF5B70">
            <w:pPr>
              <w:pStyle w:val="Sansinterligne"/>
              <w:ind w:left="113" w:right="113"/>
              <w:jc w:val="center"/>
            </w:pPr>
            <w:r>
              <w:t>Nouveau-né</w:t>
            </w:r>
          </w:p>
        </w:tc>
        <w:tc>
          <w:tcPr>
            <w:tcW w:w="2711" w:type="dxa"/>
            <w:shd w:val="clear" w:color="auto" w:fill="C2D69B" w:themeFill="accent3" w:themeFillTint="99"/>
            <w:vAlign w:val="center"/>
          </w:tcPr>
          <w:p w:rsidR="00F84B6F" w:rsidRDefault="00F84B6F" w:rsidP="00DF5B70">
            <w:pPr>
              <w:pStyle w:val="Sansinterligne"/>
              <w:jc w:val="center"/>
              <w:rPr>
                <w:b/>
              </w:rPr>
            </w:pPr>
            <w:r w:rsidRPr="00846767">
              <w:rPr>
                <w:b/>
              </w:rPr>
              <w:t>Entérocolite nécrosante</w:t>
            </w:r>
          </w:p>
          <w:p w:rsidR="00F84B6F" w:rsidRPr="000C3FE2" w:rsidRDefault="00F84B6F" w:rsidP="00DF5B70">
            <w:pPr>
              <w:pStyle w:val="Sansinterligne"/>
              <w:jc w:val="center"/>
            </w:pPr>
            <w:r w:rsidRPr="000C3FE2">
              <w:t>(svt à 2-3 semaines de vie)</w:t>
            </w:r>
          </w:p>
        </w:tc>
        <w:tc>
          <w:tcPr>
            <w:tcW w:w="2376" w:type="dxa"/>
            <w:tcBorders>
              <w:right w:val="single" w:sz="4" w:space="0" w:color="FFFF00"/>
            </w:tcBorders>
            <w:shd w:val="clear" w:color="auto" w:fill="FFFF00"/>
          </w:tcPr>
          <w:p w:rsidR="00F84B6F" w:rsidRDefault="00F84B6F" w:rsidP="00DF5B70">
            <w:pPr>
              <w:pStyle w:val="Sansinterligne"/>
              <w:numPr>
                <w:ilvl w:val="0"/>
                <w:numId w:val="1152"/>
              </w:numPr>
            </w:pPr>
            <w:r>
              <w:rPr>
                <w:rFonts w:cs="Times New Roman"/>
              </w:rPr>
              <w:t>∆ subit</w:t>
            </w:r>
            <w:r>
              <w:t xml:space="preserve"> de tolérance à l’alimentation</w:t>
            </w:r>
          </w:p>
          <w:p w:rsidR="00F84B6F" w:rsidRDefault="00F84B6F" w:rsidP="00DF5B70">
            <w:pPr>
              <w:pStyle w:val="Sansinterligne"/>
              <w:numPr>
                <w:ilvl w:val="0"/>
                <w:numId w:val="1152"/>
              </w:numPr>
            </w:pPr>
            <w:r>
              <w:t>Rétention gastrique</w:t>
            </w:r>
          </w:p>
          <w:p w:rsidR="00F84B6F" w:rsidRDefault="00F84B6F" w:rsidP="00DF5B70">
            <w:pPr>
              <w:pStyle w:val="Sansinterligne"/>
              <w:numPr>
                <w:ilvl w:val="0"/>
                <w:numId w:val="1152"/>
              </w:numPr>
            </w:pPr>
            <w:r>
              <w:t>Vomissements</w:t>
            </w:r>
          </w:p>
        </w:tc>
        <w:tc>
          <w:tcPr>
            <w:tcW w:w="2848" w:type="dxa"/>
            <w:gridSpan w:val="3"/>
            <w:tcBorders>
              <w:left w:val="single" w:sz="4" w:space="0" w:color="FFFF00"/>
              <w:right w:val="single" w:sz="4" w:space="0" w:color="FFFF00"/>
            </w:tcBorders>
            <w:shd w:val="clear" w:color="auto" w:fill="FFFF00"/>
          </w:tcPr>
          <w:p w:rsidR="00F84B6F" w:rsidRDefault="00F84B6F" w:rsidP="00DF5B70">
            <w:pPr>
              <w:pStyle w:val="Sansinterligne"/>
              <w:numPr>
                <w:ilvl w:val="0"/>
                <w:numId w:val="1152"/>
              </w:numPr>
            </w:pPr>
            <w:r>
              <w:t>Diarrhées</w:t>
            </w:r>
          </w:p>
          <w:p w:rsidR="00F84B6F" w:rsidRDefault="00F84B6F" w:rsidP="00DF5B70">
            <w:pPr>
              <w:pStyle w:val="Sansinterligne"/>
              <w:numPr>
                <w:ilvl w:val="0"/>
                <w:numId w:val="1152"/>
              </w:numPr>
            </w:pPr>
            <w:r>
              <w:t>Sensibilité abdominale</w:t>
            </w:r>
          </w:p>
          <w:p w:rsidR="00F84B6F" w:rsidRDefault="00F84B6F" w:rsidP="00DF5B70">
            <w:pPr>
              <w:pStyle w:val="Sansinterligne"/>
              <w:numPr>
                <w:ilvl w:val="0"/>
                <w:numId w:val="1152"/>
              </w:numPr>
            </w:pPr>
            <w:r>
              <w:t>Hématochézie</w:t>
            </w:r>
          </w:p>
          <w:p w:rsidR="00F84B6F" w:rsidRDefault="00F84B6F" w:rsidP="00DF5B70">
            <w:pPr>
              <w:pStyle w:val="Sansinterligne"/>
              <w:numPr>
                <w:ilvl w:val="0"/>
                <w:numId w:val="1152"/>
              </w:numPr>
            </w:pPr>
            <w:r>
              <w:t>Utilisation de lait préparé</w:t>
            </w:r>
          </w:p>
        </w:tc>
        <w:tc>
          <w:tcPr>
            <w:tcW w:w="2420" w:type="dxa"/>
            <w:tcBorders>
              <w:left w:val="single" w:sz="4" w:space="0" w:color="FFFF00"/>
            </w:tcBorders>
            <w:shd w:val="clear" w:color="auto" w:fill="FFFF00"/>
          </w:tcPr>
          <w:p w:rsidR="00F84B6F" w:rsidRDefault="00F84B6F" w:rsidP="00DF5B70">
            <w:pPr>
              <w:pStyle w:val="Sansinterligne"/>
              <w:numPr>
                <w:ilvl w:val="0"/>
                <w:numId w:val="1152"/>
              </w:numPr>
            </w:pPr>
            <w:r>
              <w:t>Léthargie</w:t>
            </w:r>
          </w:p>
          <w:p w:rsidR="00F84B6F" w:rsidRDefault="00F84B6F" w:rsidP="00DF5B70">
            <w:pPr>
              <w:pStyle w:val="Sansinterligne"/>
              <w:numPr>
                <w:ilvl w:val="0"/>
                <w:numId w:val="1152"/>
              </w:numPr>
            </w:pPr>
            <w:r>
              <w:t>Détresse respiratoire</w:t>
            </w:r>
          </w:p>
          <w:p w:rsidR="00F84B6F" w:rsidRDefault="00F84B6F" w:rsidP="00DF5B70">
            <w:pPr>
              <w:pStyle w:val="Sansinterligne"/>
              <w:numPr>
                <w:ilvl w:val="0"/>
                <w:numId w:val="1152"/>
              </w:numPr>
            </w:pPr>
            <w:r>
              <w:t>Apnée</w:t>
            </w:r>
          </w:p>
        </w:tc>
      </w:tr>
      <w:tr w:rsidR="00F84B6F" w:rsidTr="00C94978">
        <w:tc>
          <w:tcPr>
            <w:tcW w:w="661" w:type="dxa"/>
            <w:vMerge/>
            <w:shd w:val="clear" w:color="auto" w:fill="FFC000"/>
          </w:tcPr>
          <w:p w:rsidR="00F84B6F" w:rsidRDefault="00F84B6F" w:rsidP="00DF5B70">
            <w:pPr>
              <w:pStyle w:val="Sansinterligne"/>
            </w:pPr>
          </w:p>
        </w:tc>
        <w:tc>
          <w:tcPr>
            <w:tcW w:w="2711" w:type="dxa"/>
            <w:shd w:val="clear" w:color="auto" w:fill="C2D69B" w:themeFill="accent3" w:themeFillTint="99"/>
            <w:vAlign w:val="center"/>
          </w:tcPr>
          <w:p w:rsidR="00F84B6F" w:rsidRPr="00846767" w:rsidRDefault="00F84B6F" w:rsidP="00DF5B70">
            <w:pPr>
              <w:pStyle w:val="Sansinterligne"/>
              <w:jc w:val="center"/>
              <w:rPr>
                <w:b/>
              </w:rPr>
            </w:pPr>
            <w:r w:rsidRPr="00846767">
              <w:rPr>
                <w:b/>
              </w:rPr>
              <w:t>Volvulus (sur malrotation)</w:t>
            </w:r>
          </w:p>
        </w:tc>
        <w:tc>
          <w:tcPr>
            <w:tcW w:w="2376" w:type="dxa"/>
            <w:tcBorders>
              <w:right w:val="single" w:sz="4" w:space="0" w:color="FFFF00"/>
            </w:tcBorders>
            <w:shd w:val="clear" w:color="auto" w:fill="FFFF00"/>
          </w:tcPr>
          <w:p w:rsidR="00F84B6F" w:rsidRDefault="00F84B6F" w:rsidP="00DF5B70">
            <w:pPr>
              <w:pStyle w:val="Sansinterligne"/>
              <w:numPr>
                <w:ilvl w:val="0"/>
                <w:numId w:val="1152"/>
              </w:numPr>
            </w:pPr>
            <w:r>
              <w:t>Vomissements bilieux</w:t>
            </w:r>
          </w:p>
          <w:p w:rsidR="00F84B6F" w:rsidRDefault="00F84B6F" w:rsidP="00DF5B70">
            <w:pPr>
              <w:pStyle w:val="Sansinterligne"/>
              <w:numPr>
                <w:ilvl w:val="0"/>
                <w:numId w:val="1152"/>
              </w:numPr>
            </w:pPr>
            <w:r>
              <w:t>Hypovolémie / choc</w:t>
            </w:r>
          </w:p>
        </w:tc>
        <w:tc>
          <w:tcPr>
            <w:tcW w:w="2848" w:type="dxa"/>
            <w:gridSpan w:val="3"/>
            <w:tcBorders>
              <w:left w:val="single" w:sz="4" w:space="0" w:color="FFFF00"/>
              <w:right w:val="single" w:sz="4" w:space="0" w:color="FFFF00"/>
            </w:tcBorders>
            <w:shd w:val="clear" w:color="auto" w:fill="FFFF00"/>
          </w:tcPr>
          <w:p w:rsidR="00F84B6F" w:rsidRDefault="00F84B6F" w:rsidP="00DF5B70">
            <w:pPr>
              <w:pStyle w:val="Sansinterligne"/>
              <w:numPr>
                <w:ilvl w:val="0"/>
                <w:numId w:val="1152"/>
              </w:numPr>
            </w:pPr>
            <w:r>
              <w:t>Péritonite (si perforé)</w:t>
            </w:r>
          </w:p>
          <w:p w:rsidR="00F84B6F" w:rsidRDefault="00F84B6F" w:rsidP="00DF5B70">
            <w:pPr>
              <w:pStyle w:val="Sansinterligne"/>
              <w:numPr>
                <w:ilvl w:val="0"/>
                <w:numId w:val="1152"/>
              </w:numPr>
            </w:pPr>
            <w:r>
              <w:t>Hématochézie</w:t>
            </w:r>
          </w:p>
        </w:tc>
        <w:tc>
          <w:tcPr>
            <w:tcW w:w="2420" w:type="dxa"/>
            <w:tcBorders>
              <w:left w:val="single" w:sz="4" w:space="0" w:color="FFFF00"/>
            </w:tcBorders>
            <w:shd w:val="clear" w:color="auto" w:fill="FFFF00"/>
          </w:tcPr>
          <w:p w:rsidR="00F84B6F" w:rsidRDefault="00F84B6F" w:rsidP="00DF5B70">
            <w:pPr>
              <w:pStyle w:val="Sansinterligne"/>
              <w:numPr>
                <w:ilvl w:val="0"/>
                <w:numId w:val="1152"/>
              </w:numPr>
            </w:pPr>
            <w:r>
              <w:t>Douleur/sensibilité abdominale</w:t>
            </w:r>
          </w:p>
          <w:p w:rsidR="00F84B6F" w:rsidRDefault="00F84B6F" w:rsidP="00DF5B70">
            <w:pPr>
              <w:pStyle w:val="Sansinterligne"/>
              <w:numPr>
                <w:ilvl w:val="0"/>
                <w:numId w:val="1152"/>
              </w:numPr>
            </w:pPr>
            <w:r>
              <w:t>Ballonnement</w:t>
            </w:r>
          </w:p>
        </w:tc>
      </w:tr>
      <w:tr w:rsidR="00F84B6F" w:rsidTr="00DF5B70">
        <w:tc>
          <w:tcPr>
            <w:tcW w:w="661" w:type="dxa"/>
            <w:vMerge/>
            <w:shd w:val="clear" w:color="auto" w:fill="FFC000"/>
          </w:tcPr>
          <w:p w:rsidR="00F84B6F" w:rsidRDefault="00F84B6F" w:rsidP="00DF5B70">
            <w:pPr>
              <w:pStyle w:val="Sansinterligne"/>
            </w:pPr>
          </w:p>
        </w:tc>
        <w:tc>
          <w:tcPr>
            <w:tcW w:w="2711" w:type="dxa"/>
            <w:shd w:val="clear" w:color="auto" w:fill="C2D69B" w:themeFill="accent3" w:themeFillTint="99"/>
            <w:vAlign w:val="center"/>
          </w:tcPr>
          <w:p w:rsidR="00F84B6F" w:rsidRDefault="00F84B6F" w:rsidP="00DF5B70">
            <w:pPr>
              <w:pStyle w:val="Sansinterligne"/>
              <w:jc w:val="center"/>
            </w:pPr>
            <w:r>
              <w:t>Colique du nourrisson (bénin)</w:t>
            </w:r>
          </w:p>
        </w:tc>
        <w:tc>
          <w:tcPr>
            <w:tcW w:w="7644" w:type="dxa"/>
            <w:gridSpan w:val="5"/>
          </w:tcPr>
          <w:p w:rsidR="00F84B6F" w:rsidRDefault="00F84B6F" w:rsidP="00DF5B70">
            <w:pPr>
              <w:pStyle w:val="Sansinterligne"/>
            </w:pPr>
            <w:r>
              <w:t xml:space="preserve">Voir </w:t>
            </w:r>
            <w:r w:rsidRPr="00333473">
              <w:rPr>
                <w:i/>
              </w:rPr>
              <w:t>Enfant qui pleure ou qui geint CMC 71-1</w:t>
            </w:r>
          </w:p>
        </w:tc>
      </w:tr>
      <w:tr w:rsidR="00F84B6F" w:rsidTr="00DF5B70">
        <w:tc>
          <w:tcPr>
            <w:tcW w:w="661" w:type="dxa"/>
            <w:vMerge/>
            <w:shd w:val="clear" w:color="auto" w:fill="FFC000"/>
          </w:tcPr>
          <w:p w:rsidR="00F84B6F" w:rsidRDefault="00F84B6F" w:rsidP="00DF5B70">
            <w:pPr>
              <w:pStyle w:val="Sansinterligne"/>
            </w:pPr>
          </w:p>
        </w:tc>
        <w:tc>
          <w:tcPr>
            <w:tcW w:w="2711" w:type="dxa"/>
            <w:shd w:val="clear" w:color="auto" w:fill="C2D69B" w:themeFill="accent3" w:themeFillTint="99"/>
            <w:vAlign w:val="center"/>
          </w:tcPr>
          <w:p w:rsidR="00F84B6F" w:rsidRDefault="00F84B6F" w:rsidP="00DF5B70">
            <w:pPr>
              <w:pStyle w:val="Sansinterligne"/>
              <w:jc w:val="center"/>
            </w:pPr>
            <w:r>
              <w:t>Intolérance aux protéines bovines</w:t>
            </w:r>
          </w:p>
        </w:tc>
        <w:tc>
          <w:tcPr>
            <w:tcW w:w="7644" w:type="dxa"/>
            <w:gridSpan w:val="5"/>
          </w:tcPr>
          <w:p w:rsidR="00F84B6F" w:rsidRDefault="00F84B6F" w:rsidP="00DF5B70">
            <w:pPr>
              <w:pStyle w:val="Sansinterligne"/>
              <w:rPr>
                <w:i/>
              </w:rPr>
            </w:pPr>
            <w:r>
              <w:t xml:space="preserve">Voir </w:t>
            </w:r>
            <w:r w:rsidRPr="008D24BE">
              <w:rPr>
                <w:i/>
              </w:rPr>
              <w:t>Diarrhée chez l’enfant CMC 22-3</w:t>
            </w:r>
          </w:p>
          <w:p w:rsidR="00F84B6F" w:rsidRPr="00F673BD" w:rsidRDefault="00F84B6F" w:rsidP="00DF5B70">
            <w:pPr>
              <w:pStyle w:val="Sansinterligne"/>
              <w:numPr>
                <w:ilvl w:val="0"/>
                <w:numId w:val="1151"/>
              </w:numPr>
            </w:pPr>
            <w:r w:rsidRPr="00F673BD">
              <w:t xml:space="preserve">Survient aussi chez l’enfant plus vieux (ad </w:t>
            </w:r>
            <w:r w:rsidRPr="00F673BD">
              <w:rPr>
                <w:rFonts w:cs="Times New Roman"/>
              </w:rPr>
              <w:t>~</w:t>
            </w:r>
            <w:r w:rsidRPr="00F673BD">
              <w:t xml:space="preserve"> 1 an)</w:t>
            </w:r>
          </w:p>
        </w:tc>
      </w:tr>
      <w:tr w:rsidR="00F84B6F" w:rsidTr="00C94978">
        <w:tc>
          <w:tcPr>
            <w:tcW w:w="661" w:type="dxa"/>
            <w:vMerge/>
            <w:tcBorders>
              <w:bottom w:val="single" w:sz="24" w:space="0" w:color="auto"/>
            </w:tcBorders>
            <w:shd w:val="clear" w:color="auto" w:fill="FFC000"/>
          </w:tcPr>
          <w:p w:rsidR="00F84B6F" w:rsidRDefault="00F84B6F" w:rsidP="00DF5B70">
            <w:pPr>
              <w:pStyle w:val="Sansinterligne"/>
            </w:pPr>
          </w:p>
        </w:tc>
        <w:tc>
          <w:tcPr>
            <w:tcW w:w="2711" w:type="dxa"/>
            <w:tcBorders>
              <w:bottom w:val="single" w:sz="24" w:space="0" w:color="auto"/>
            </w:tcBorders>
            <w:shd w:val="clear" w:color="auto" w:fill="C2D69B" w:themeFill="accent3" w:themeFillTint="99"/>
            <w:vAlign w:val="center"/>
          </w:tcPr>
          <w:p w:rsidR="00F84B6F" w:rsidRDefault="00F84B6F" w:rsidP="00DF5B70">
            <w:pPr>
              <w:pStyle w:val="Sansinterligne"/>
              <w:jc w:val="center"/>
            </w:pPr>
            <w:r>
              <w:t>Torsion testiculaire</w:t>
            </w:r>
          </w:p>
        </w:tc>
        <w:tc>
          <w:tcPr>
            <w:tcW w:w="2376" w:type="dxa"/>
            <w:tcBorders>
              <w:bottom w:val="single" w:sz="4" w:space="0" w:color="FFFFFF" w:themeColor="background1"/>
              <w:right w:val="single" w:sz="4" w:space="0" w:color="FFFFFF" w:themeColor="background1"/>
            </w:tcBorders>
          </w:tcPr>
          <w:p w:rsidR="00F84B6F" w:rsidRDefault="00F84B6F" w:rsidP="006A5715">
            <w:pPr>
              <w:pStyle w:val="Sansinterligne"/>
              <w:numPr>
                <w:ilvl w:val="0"/>
                <w:numId w:val="1581"/>
              </w:numPr>
            </w:pPr>
            <w:r>
              <w:t>Œdème testiculaire</w:t>
            </w:r>
          </w:p>
        </w:tc>
        <w:tc>
          <w:tcPr>
            <w:tcW w:w="2848" w:type="dxa"/>
            <w:gridSpan w:val="3"/>
            <w:tcBorders>
              <w:left w:val="single" w:sz="4" w:space="0" w:color="FFFFFF" w:themeColor="background1"/>
              <w:bottom w:val="single" w:sz="24" w:space="0" w:color="auto"/>
              <w:right w:val="single" w:sz="4" w:space="0" w:color="FFFFFF" w:themeColor="background1"/>
            </w:tcBorders>
          </w:tcPr>
          <w:p w:rsidR="00F84B6F" w:rsidRDefault="00F84B6F" w:rsidP="006A5715">
            <w:pPr>
              <w:pStyle w:val="Sansinterligne"/>
              <w:numPr>
                <w:ilvl w:val="0"/>
                <w:numId w:val="1581"/>
              </w:numPr>
            </w:pPr>
            <w:r>
              <w:t>Érythème</w:t>
            </w:r>
          </w:p>
        </w:tc>
        <w:tc>
          <w:tcPr>
            <w:tcW w:w="2420" w:type="dxa"/>
            <w:tcBorders>
              <w:left w:val="single" w:sz="4" w:space="0" w:color="FFFFFF" w:themeColor="background1"/>
              <w:bottom w:val="single" w:sz="24" w:space="0" w:color="auto"/>
            </w:tcBorders>
          </w:tcPr>
          <w:p w:rsidR="00F84B6F" w:rsidRDefault="00F84B6F" w:rsidP="006A5715">
            <w:pPr>
              <w:pStyle w:val="Sansinterligne"/>
              <w:numPr>
                <w:ilvl w:val="0"/>
                <w:numId w:val="1581"/>
              </w:numPr>
            </w:pPr>
            <w:r>
              <w:t>Sensib</w:t>
            </w:r>
            <w:r w:rsidR="00C94978">
              <w:t>le</w:t>
            </w:r>
            <w:r>
              <w:t xml:space="preserve"> à palpation</w:t>
            </w:r>
          </w:p>
        </w:tc>
      </w:tr>
      <w:tr w:rsidR="00F84B6F" w:rsidTr="00C94978">
        <w:tc>
          <w:tcPr>
            <w:tcW w:w="661" w:type="dxa"/>
            <w:vMerge w:val="restart"/>
            <w:tcBorders>
              <w:top w:val="single" w:sz="24" w:space="0" w:color="auto"/>
            </w:tcBorders>
            <w:shd w:val="clear" w:color="auto" w:fill="FFC000"/>
            <w:textDirection w:val="btLr"/>
            <w:vAlign w:val="center"/>
          </w:tcPr>
          <w:p w:rsidR="00F84B6F" w:rsidRDefault="00F84B6F" w:rsidP="00DF5B70">
            <w:pPr>
              <w:pStyle w:val="Sansinterligne"/>
              <w:ind w:left="113" w:right="113"/>
              <w:jc w:val="center"/>
            </w:pPr>
            <w:r>
              <w:t>1 mois- 2 ans</w:t>
            </w:r>
          </w:p>
        </w:tc>
        <w:tc>
          <w:tcPr>
            <w:tcW w:w="2711" w:type="dxa"/>
            <w:tcBorders>
              <w:top w:val="single" w:sz="24" w:space="0" w:color="auto"/>
            </w:tcBorders>
            <w:shd w:val="clear" w:color="auto" w:fill="C2D69B" w:themeFill="accent3" w:themeFillTint="99"/>
            <w:vAlign w:val="center"/>
          </w:tcPr>
          <w:p w:rsidR="00F84B6F" w:rsidRDefault="00F84B6F" w:rsidP="00DF5B70">
            <w:pPr>
              <w:pStyle w:val="Sansinterligne"/>
              <w:jc w:val="center"/>
            </w:pPr>
            <w:r>
              <w:t>Ingestion de corps étranger</w:t>
            </w:r>
          </w:p>
        </w:tc>
        <w:tc>
          <w:tcPr>
            <w:tcW w:w="3933" w:type="dxa"/>
            <w:gridSpan w:val="3"/>
            <w:tcBorders>
              <w:top w:val="single" w:sz="24" w:space="0" w:color="auto"/>
              <w:right w:val="single" w:sz="4" w:space="0" w:color="FFFFFF" w:themeColor="background1"/>
            </w:tcBorders>
          </w:tcPr>
          <w:p w:rsidR="00F84B6F" w:rsidRDefault="00F84B6F" w:rsidP="00DF5B70">
            <w:pPr>
              <w:pStyle w:val="Sansinterligne"/>
              <w:numPr>
                <w:ilvl w:val="0"/>
                <w:numId w:val="1150"/>
              </w:numPr>
            </w:pPr>
            <w:r>
              <w:t>Douleur abdominale (si perforation)</w:t>
            </w:r>
          </w:p>
          <w:p w:rsidR="00F84B6F" w:rsidRDefault="00F84B6F" w:rsidP="00DF5B70">
            <w:pPr>
              <w:pStyle w:val="Sansinterligne"/>
              <w:numPr>
                <w:ilvl w:val="0"/>
                <w:numId w:val="1150"/>
              </w:numPr>
            </w:pPr>
            <w:r>
              <w:t xml:space="preserve">Constipation / occlusion (si </w:t>
            </w:r>
            <w:r>
              <w:rPr>
                <w:rFonts w:ascii="Century Gothic" w:hAnsi="Century Gothic"/>
              </w:rPr>
              <w:t>&gt;</w:t>
            </w:r>
            <w:r>
              <w:t xml:space="preserve"> 5 cm)</w:t>
            </w:r>
          </w:p>
        </w:tc>
        <w:tc>
          <w:tcPr>
            <w:tcW w:w="3711" w:type="dxa"/>
            <w:gridSpan w:val="2"/>
            <w:tcBorders>
              <w:top w:val="single" w:sz="24" w:space="0" w:color="auto"/>
              <w:left w:val="single" w:sz="4" w:space="0" w:color="FFFFFF" w:themeColor="background1"/>
            </w:tcBorders>
          </w:tcPr>
          <w:p w:rsidR="001124E8" w:rsidRDefault="00F84B6F" w:rsidP="001124E8">
            <w:pPr>
              <w:pStyle w:val="Sansinterligne"/>
              <w:numPr>
                <w:ilvl w:val="0"/>
                <w:numId w:val="1150"/>
              </w:numPr>
            </w:pPr>
            <w:r>
              <w:rPr>
                <w:rFonts w:cs="Times New Roman"/>
              </w:rPr>
              <w:t>↓</w:t>
            </w:r>
            <w:r>
              <w:t xml:space="preserve"> appétit / Vo (occlusion</w:t>
            </w:r>
            <w:r w:rsidR="001124E8">
              <w:t>)</w:t>
            </w:r>
          </w:p>
          <w:p w:rsidR="00F84B6F" w:rsidRDefault="00F84B6F" w:rsidP="00DF5B70">
            <w:pPr>
              <w:pStyle w:val="Sansinterligne"/>
              <w:numPr>
                <w:ilvl w:val="0"/>
                <w:numId w:val="1150"/>
              </w:numPr>
            </w:pPr>
            <w:r>
              <w:t>Péritonisme (si perforation)</w:t>
            </w:r>
          </w:p>
        </w:tc>
      </w:tr>
      <w:tr w:rsidR="00F84B6F" w:rsidTr="00DF5B70">
        <w:tc>
          <w:tcPr>
            <w:tcW w:w="661" w:type="dxa"/>
            <w:vMerge/>
            <w:shd w:val="clear" w:color="auto" w:fill="FFC000"/>
          </w:tcPr>
          <w:p w:rsidR="00F84B6F" w:rsidRDefault="00F84B6F" w:rsidP="00DF5B70">
            <w:pPr>
              <w:pStyle w:val="Sansinterligne"/>
            </w:pPr>
          </w:p>
        </w:tc>
        <w:tc>
          <w:tcPr>
            <w:tcW w:w="2711" w:type="dxa"/>
            <w:shd w:val="clear" w:color="auto" w:fill="C2D69B" w:themeFill="accent3" w:themeFillTint="99"/>
            <w:vAlign w:val="center"/>
          </w:tcPr>
          <w:p w:rsidR="00F84B6F" w:rsidRDefault="00F84B6F" w:rsidP="00DF5B70">
            <w:pPr>
              <w:pStyle w:val="Sansinterligne"/>
              <w:jc w:val="center"/>
            </w:pPr>
            <w:r>
              <w:t>Maladie de Hirschprung</w:t>
            </w:r>
          </w:p>
        </w:tc>
        <w:tc>
          <w:tcPr>
            <w:tcW w:w="7644" w:type="dxa"/>
            <w:gridSpan w:val="5"/>
          </w:tcPr>
          <w:p w:rsidR="00F84B6F" w:rsidRDefault="00F84B6F" w:rsidP="00DF5B70">
            <w:pPr>
              <w:pStyle w:val="Sansinterligne"/>
            </w:pPr>
            <w:r>
              <w:t xml:space="preserve">Voir </w:t>
            </w:r>
            <w:r w:rsidRPr="002A0B7C">
              <w:rPr>
                <w:i/>
              </w:rPr>
              <w:t>Constipation chez l’enfant CMC 16-2</w:t>
            </w:r>
          </w:p>
        </w:tc>
      </w:tr>
      <w:tr w:rsidR="00F84B6F" w:rsidTr="00C94978">
        <w:tc>
          <w:tcPr>
            <w:tcW w:w="661" w:type="dxa"/>
            <w:vMerge/>
            <w:shd w:val="clear" w:color="auto" w:fill="FFC000"/>
          </w:tcPr>
          <w:p w:rsidR="00F84B6F" w:rsidRDefault="00F84B6F" w:rsidP="00DF5B70">
            <w:pPr>
              <w:pStyle w:val="Sansinterligne"/>
            </w:pPr>
          </w:p>
        </w:tc>
        <w:tc>
          <w:tcPr>
            <w:tcW w:w="2711" w:type="dxa"/>
            <w:shd w:val="clear" w:color="auto" w:fill="C2D69B" w:themeFill="accent3" w:themeFillTint="99"/>
            <w:vAlign w:val="center"/>
          </w:tcPr>
          <w:p w:rsidR="00F84B6F" w:rsidRPr="00846767" w:rsidRDefault="00F84B6F" w:rsidP="00DF5B70">
            <w:pPr>
              <w:pStyle w:val="Sansinterligne"/>
              <w:jc w:val="center"/>
              <w:rPr>
                <w:b/>
              </w:rPr>
            </w:pPr>
            <w:r w:rsidRPr="00846767">
              <w:rPr>
                <w:b/>
              </w:rPr>
              <w:t>Invagination intestinale</w:t>
            </w:r>
          </w:p>
          <w:p w:rsidR="00F84B6F" w:rsidRDefault="00F84B6F" w:rsidP="00DF5B70">
            <w:pPr>
              <w:pStyle w:val="Sansinterligne"/>
              <w:jc w:val="center"/>
            </w:pPr>
            <w:r w:rsidRPr="00846767">
              <w:rPr>
                <w:b/>
              </w:rPr>
              <w:t>(intussusception)</w:t>
            </w:r>
          </w:p>
        </w:tc>
        <w:tc>
          <w:tcPr>
            <w:tcW w:w="3822" w:type="dxa"/>
            <w:gridSpan w:val="2"/>
            <w:tcBorders>
              <w:right w:val="single" w:sz="4" w:space="0" w:color="FFFF00"/>
            </w:tcBorders>
            <w:shd w:val="clear" w:color="auto" w:fill="FFFF00"/>
          </w:tcPr>
          <w:p w:rsidR="00F84B6F" w:rsidRDefault="00F84B6F" w:rsidP="00DF5B70">
            <w:pPr>
              <w:pStyle w:val="Sansinterligne"/>
            </w:pPr>
            <w:r w:rsidRPr="00C628BE">
              <w:rPr>
                <w:u w:val="single"/>
              </w:rPr>
              <w:t>Triade</w:t>
            </w:r>
            <w:r>
              <w:t> :</w:t>
            </w:r>
          </w:p>
          <w:p w:rsidR="00F84B6F" w:rsidRDefault="00F84B6F" w:rsidP="00DF5B70">
            <w:pPr>
              <w:pStyle w:val="Sansinterligne"/>
              <w:numPr>
                <w:ilvl w:val="0"/>
                <w:numId w:val="1149"/>
              </w:numPr>
            </w:pPr>
            <w:r>
              <w:t>Douleurs abdominales périombilicales aigues, persistantes ou paroxystiques</w:t>
            </w:r>
          </w:p>
          <w:p w:rsidR="00F84B6F" w:rsidRDefault="00F84B6F" w:rsidP="00DF5B70">
            <w:pPr>
              <w:pStyle w:val="Sansinterligne"/>
              <w:numPr>
                <w:ilvl w:val="0"/>
                <w:numId w:val="1149"/>
              </w:numPr>
            </w:pPr>
            <w:r>
              <w:t>Hématochézie/rectorragie</w:t>
            </w:r>
          </w:p>
          <w:p w:rsidR="00F84B6F" w:rsidRDefault="00F84B6F" w:rsidP="00DF5B70">
            <w:pPr>
              <w:pStyle w:val="Sansinterligne"/>
              <w:numPr>
                <w:ilvl w:val="0"/>
                <w:numId w:val="1149"/>
              </w:numPr>
            </w:pPr>
            <w:r>
              <w:lastRenderedPageBreak/>
              <w:t>Masse abdominale palpable en forme de saucisse</w:t>
            </w:r>
          </w:p>
        </w:tc>
        <w:tc>
          <w:tcPr>
            <w:tcW w:w="3822" w:type="dxa"/>
            <w:gridSpan w:val="3"/>
            <w:tcBorders>
              <w:left w:val="single" w:sz="4" w:space="0" w:color="FFFF00"/>
            </w:tcBorders>
            <w:shd w:val="clear" w:color="auto" w:fill="FFFF00"/>
          </w:tcPr>
          <w:p w:rsidR="00C94978" w:rsidRDefault="00F84B6F" w:rsidP="00DF5B70">
            <w:pPr>
              <w:pStyle w:val="Sansinterligne"/>
              <w:numPr>
                <w:ilvl w:val="0"/>
                <w:numId w:val="1149"/>
              </w:numPr>
            </w:pPr>
            <w:r>
              <w:lastRenderedPageBreak/>
              <w:t xml:space="preserve">Pleurs incessants </w:t>
            </w:r>
          </w:p>
          <w:p w:rsidR="00F84B6F" w:rsidRDefault="00F84B6F" w:rsidP="00DF5B70">
            <w:pPr>
              <w:pStyle w:val="Sansinterligne"/>
              <w:numPr>
                <w:ilvl w:val="0"/>
                <w:numId w:val="1149"/>
              </w:numPr>
            </w:pPr>
            <w:r>
              <w:t>Vomissements (parfois bilieux)</w:t>
            </w:r>
          </w:p>
          <w:p w:rsidR="00F84B6F" w:rsidRDefault="00F84B6F" w:rsidP="00DF5B70">
            <w:pPr>
              <w:pStyle w:val="Sansinterligne"/>
              <w:numPr>
                <w:ilvl w:val="0"/>
                <w:numId w:val="1149"/>
              </w:numPr>
            </w:pPr>
            <w:r>
              <w:t>Léthargie</w:t>
            </w:r>
          </w:p>
          <w:p w:rsidR="00F84B6F" w:rsidRDefault="00F84B6F" w:rsidP="00DF5B70">
            <w:pPr>
              <w:pStyle w:val="Sansinterligne"/>
              <w:numPr>
                <w:ilvl w:val="0"/>
                <w:numId w:val="1149"/>
              </w:numPr>
            </w:pPr>
            <w:r>
              <w:t>Déshydratation</w:t>
            </w:r>
          </w:p>
        </w:tc>
      </w:tr>
      <w:tr w:rsidR="00F84B6F" w:rsidTr="00C94978">
        <w:tc>
          <w:tcPr>
            <w:tcW w:w="661" w:type="dxa"/>
            <w:vMerge/>
            <w:shd w:val="clear" w:color="auto" w:fill="FFC000"/>
          </w:tcPr>
          <w:p w:rsidR="00F84B6F" w:rsidRDefault="00F84B6F" w:rsidP="00DF5B70">
            <w:pPr>
              <w:pStyle w:val="Sansinterligne"/>
            </w:pPr>
          </w:p>
        </w:tc>
        <w:tc>
          <w:tcPr>
            <w:tcW w:w="2711" w:type="dxa"/>
            <w:shd w:val="clear" w:color="auto" w:fill="C2D69B" w:themeFill="accent3" w:themeFillTint="99"/>
            <w:vAlign w:val="center"/>
          </w:tcPr>
          <w:p w:rsidR="00F84B6F" w:rsidRDefault="00F84B6F" w:rsidP="00DF5B70">
            <w:pPr>
              <w:pStyle w:val="Sansinterligne"/>
              <w:jc w:val="center"/>
            </w:pPr>
            <w:r>
              <w:t>Hernie inguinale incarcérée</w:t>
            </w:r>
          </w:p>
        </w:tc>
        <w:tc>
          <w:tcPr>
            <w:tcW w:w="2376" w:type="dxa"/>
            <w:tcBorders>
              <w:right w:val="single" w:sz="4" w:space="0" w:color="FFFFFF" w:themeColor="background1"/>
            </w:tcBorders>
          </w:tcPr>
          <w:p w:rsidR="00F84B6F" w:rsidRDefault="00F84B6F" w:rsidP="00DF5B70">
            <w:pPr>
              <w:pStyle w:val="Sansinterligne"/>
              <w:numPr>
                <w:ilvl w:val="0"/>
                <w:numId w:val="1149"/>
              </w:numPr>
            </w:pPr>
            <w:r>
              <w:t>Masse inguinale palpable</w:t>
            </w:r>
          </w:p>
          <w:p w:rsidR="00F84B6F" w:rsidRDefault="00F84B6F" w:rsidP="00DF5B70">
            <w:pPr>
              <w:pStyle w:val="Sansinterligne"/>
              <w:numPr>
                <w:ilvl w:val="0"/>
                <w:numId w:val="1149"/>
              </w:numPr>
            </w:pPr>
            <w:r>
              <w:t>Indurée, non-réductible</w:t>
            </w:r>
          </w:p>
        </w:tc>
        <w:tc>
          <w:tcPr>
            <w:tcW w:w="2848" w:type="dxa"/>
            <w:gridSpan w:val="3"/>
            <w:tcBorders>
              <w:left w:val="single" w:sz="4" w:space="0" w:color="FFFFFF" w:themeColor="background1"/>
              <w:right w:val="single" w:sz="4" w:space="0" w:color="FFFFFF" w:themeColor="background1"/>
            </w:tcBorders>
          </w:tcPr>
          <w:p w:rsidR="00F84B6F" w:rsidRDefault="00F84B6F" w:rsidP="00DF5B70">
            <w:pPr>
              <w:pStyle w:val="Sansinterligne"/>
              <w:numPr>
                <w:ilvl w:val="0"/>
                <w:numId w:val="1149"/>
              </w:numPr>
            </w:pPr>
            <w:r>
              <w:t>Enfant irritable, pleurs +</w:t>
            </w:r>
          </w:p>
        </w:tc>
        <w:tc>
          <w:tcPr>
            <w:tcW w:w="2420" w:type="dxa"/>
            <w:tcBorders>
              <w:left w:val="single" w:sz="4" w:space="0" w:color="FFFFFF" w:themeColor="background1"/>
            </w:tcBorders>
          </w:tcPr>
          <w:p w:rsidR="00F84B6F" w:rsidRDefault="00F84B6F" w:rsidP="00DF5B70">
            <w:pPr>
              <w:pStyle w:val="Sansinterligne"/>
              <w:numPr>
                <w:ilvl w:val="0"/>
                <w:numId w:val="1149"/>
              </w:numPr>
            </w:pPr>
            <w:r>
              <w:t>Parfois Vo, obstruction intestinale</w:t>
            </w:r>
          </w:p>
        </w:tc>
      </w:tr>
      <w:tr w:rsidR="00F84B6F" w:rsidTr="00C94978">
        <w:tc>
          <w:tcPr>
            <w:tcW w:w="661" w:type="dxa"/>
            <w:vMerge/>
            <w:shd w:val="clear" w:color="auto" w:fill="FFC000"/>
          </w:tcPr>
          <w:p w:rsidR="00F84B6F" w:rsidRDefault="00F84B6F" w:rsidP="00DF5B70">
            <w:pPr>
              <w:pStyle w:val="Sansinterligne"/>
            </w:pPr>
          </w:p>
        </w:tc>
        <w:tc>
          <w:tcPr>
            <w:tcW w:w="2711" w:type="dxa"/>
            <w:shd w:val="clear" w:color="auto" w:fill="C2D69B" w:themeFill="accent3" w:themeFillTint="99"/>
            <w:vAlign w:val="center"/>
          </w:tcPr>
          <w:p w:rsidR="00F84B6F" w:rsidRDefault="00F84B6F" w:rsidP="00DF5B70">
            <w:pPr>
              <w:pStyle w:val="Sansinterligne"/>
              <w:jc w:val="center"/>
            </w:pPr>
            <w:r>
              <w:t>Gastro-entérite</w:t>
            </w:r>
          </w:p>
        </w:tc>
        <w:tc>
          <w:tcPr>
            <w:tcW w:w="2376" w:type="dxa"/>
            <w:tcBorders>
              <w:right w:val="single" w:sz="4" w:space="0" w:color="FFFFFF" w:themeColor="background1"/>
            </w:tcBorders>
          </w:tcPr>
          <w:p w:rsidR="00F84B6F" w:rsidRDefault="00F84B6F" w:rsidP="006A5715">
            <w:pPr>
              <w:pStyle w:val="Sansinterligne"/>
              <w:numPr>
                <w:ilvl w:val="0"/>
                <w:numId w:val="1580"/>
              </w:numPr>
            </w:pPr>
            <w:r>
              <w:t xml:space="preserve">Vomissements </w:t>
            </w:r>
          </w:p>
          <w:p w:rsidR="00F84B6F" w:rsidRDefault="00F84B6F" w:rsidP="006A5715">
            <w:pPr>
              <w:pStyle w:val="Sansinterligne"/>
              <w:numPr>
                <w:ilvl w:val="0"/>
                <w:numId w:val="1580"/>
              </w:numPr>
            </w:pPr>
            <w:r>
              <w:t>Diarrhées</w:t>
            </w:r>
          </w:p>
        </w:tc>
        <w:tc>
          <w:tcPr>
            <w:tcW w:w="2848" w:type="dxa"/>
            <w:gridSpan w:val="3"/>
            <w:tcBorders>
              <w:left w:val="single" w:sz="4" w:space="0" w:color="FFFFFF" w:themeColor="background1"/>
              <w:right w:val="single" w:sz="4" w:space="0" w:color="FFFFFF" w:themeColor="background1"/>
            </w:tcBorders>
          </w:tcPr>
          <w:p w:rsidR="00F84B6F" w:rsidRDefault="00F84B6F" w:rsidP="006A5715">
            <w:pPr>
              <w:pStyle w:val="Sansinterligne"/>
              <w:numPr>
                <w:ilvl w:val="0"/>
                <w:numId w:val="1580"/>
              </w:numPr>
            </w:pPr>
            <w:r>
              <w:t>Hx de contact infectieux ou d’aliments suspects</w:t>
            </w:r>
          </w:p>
        </w:tc>
        <w:tc>
          <w:tcPr>
            <w:tcW w:w="2420" w:type="dxa"/>
            <w:tcBorders>
              <w:left w:val="single" w:sz="4" w:space="0" w:color="FFFFFF" w:themeColor="background1"/>
            </w:tcBorders>
          </w:tcPr>
          <w:p w:rsidR="00F84B6F" w:rsidRDefault="00F84B6F" w:rsidP="006A5715">
            <w:pPr>
              <w:pStyle w:val="Sansinterligne"/>
              <w:numPr>
                <w:ilvl w:val="0"/>
                <w:numId w:val="1580"/>
              </w:numPr>
            </w:pPr>
            <w:r>
              <w:rPr>
                <w:rFonts w:cs="Times New Roman"/>
              </w:rPr>
              <w:t>±</w:t>
            </w:r>
            <w:r>
              <w:t xml:space="preserve"> fièvre</w:t>
            </w:r>
          </w:p>
        </w:tc>
      </w:tr>
      <w:tr w:rsidR="00F84B6F" w:rsidTr="00DF5B70">
        <w:tc>
          <w:tcPr>
            <w:tcW w:w="661" w:type="dxa"/>
            <w:vMerge/>
            <w:shd w:val="clear" w:color="auto" w:fill="FFC000"/>
          </w:tcPr>
          <w:p w:rsidR="00F84B6F" w:rsidRDefault="00F84B6F" w:rsidP="00DF5B70">
            <w:pPr>
              <w:pStyle w:val="Sansinterligne"/>
            </w:pPr>
          </w:p>
        </w:tc>
        <w:tc>
          <w:tcPr>
            <w:tcW w:w="2711" w:type="dxa"/>
            <w:shd w:val="clear" w:color="auto" w:fill="C2D69B" w:themeFill="accent3" w:themeFillTint="99"/>
            <w:vAlign w:val="center"/>
          </w:tcPr>
          <w:p w:rsidR="00F84B6F" w:rsidRDefault="00F84B6F" w:rsidP="00DF5B70">
            <w:pPr>
              <w:pStyle w:val="Sansinterligne"/>
              <w:jc w:val="center"/>
            </w:pPr>
            <w:r>
              <w:t>Virémie</w:t>
            </w:r>
          </w:p>
        </w:tc>
        <w:tc>
          <w:tcPr>
            <w:tcW w:w="7644" w:type="dxa"/>
            <w:gridSpan w:val="5"/>
          </w:tcPr>
          <w:p w:rsidR="00F84B6F" w:rsidRDefault="00F84B6F" w:rsidP="006A5715">
            <w:pPr>
              <w:pStyle w:val="Sansinterligne"/>
              <w:numPr>
                <w:ilvl w:val="0"/>
                <w:numId w:val="1580"/>
              </w:numPr>
            </w:pPr>
            <w:r>
              <w:t>Sx d’IVRS, fièvre, rash, etc.</w:t>
            </w:r>
          </w:p>
        </w:tc>
      </w:tr>
      <w:tr w:rsidR="00F84B6F" w:rsidTr="00C94978">
        <w:tc>
          <w:tcPr>
            <w:tcW w:w="661" w:type="dxa"/>
            <w:vMerge/>
            <w:shd w:val="clear" w:color="auto" w:fill="FFC000"/>
          </w:tcPr>
          <w:p w:rsidR="00F84B6F" w:rsidRDefault="00F84B6F" w:rsidP="00DF5B70">
            <w:pPr>
              <w:pStyle w:val="Sansinterligne"/>
            </w:pPr>
          </w:p>
        </w:tc>
        <w:tc>
          <w:tcPr>
            <w:tcW w:w="2711" w:type="dxa"/>
            <w:shd w:val="clear" w:color="auto" w:fill="C2D69B" w:themeFill="accent3" w:themeFillTint="99"/>
            <w:vAlign w:val="center"/>
          </w:tcPr>
          <w:p w:rsidR="00F84B6F" w:rsidRPr="00846767" w:rsidRDefault="00F84B6F" w:rsidP="00DF5B70">
            <w:pPr>
              <w:pStyle w:val="Sansinterligne"/>
              <w:jc w:val="center"/>
              <w:rPr>
                <w:b/>
              </w:rPr>
            </w:pPr>
            <w:r w:rsidRPr="00846767">
              <w:rPr>
                <w:b/>
              </w:rPr>
              <w:t>Diverticul</w:t>
            </w:r>
            <w:r>
              <w:rPr>
                <w:b/>
              </w:rPr>
              <w:t>e</w:t>
            </w:r>
            <w:r w:rsidRPr="00846767">
              <w:rPr>
                <w:b/>
              </w:rPr>
              <w:t xml:space="preserve"> de Meckel</w:t>
            </w:r>
          </w:p>
        </w:tc>
        <w:tc>
          <w:tcPr>
            <w:tcW w:w="3933" w:type="dxa"/>
            <w:gridSpan w:val="3"/>
            <w:tcBorders>
              <w:right w:val="single" w:sz="4" w:space="0" w:color="FFFF00"/>
            </w:tcBorders>
            <w:shd w:val="clear" w:color="auto" w:fill="FFFF00"/>
          </w:tcPr>
          <w:p w:rsidR="00F84B6F" w:rsidRDefault="00F84B6F" w:rsidP="006A5715">
            <w:pPr>
              <w:pStyle w:val="Sansinterligne"/>
              <w:numPr>
                <w:ilvl w:val="0"/>
                <w:numId w:val="1579"/>
              </w:numPr>
            </w:pPr>
            <w:r>
              <w:t>Rectorragies</w:t>
            </w:r>
          </w:p>
        </w:tc>
        <w:tc>
          <w:tcPr>
            <w:tcW w:w="3711" w:type="dxa"/>
            <w:gridSpan w:val="2"/>
            <w:tcBorders>
              <w:left w:val="single" w:sz="4" w:space="0" w:color="FFFF00"/>
            </w:tcBorders>
            <w:shd w:val="clear" w:color="auto" w:fill="FFFF00"/>
          </w:tcPr>
          <w:p w:rsidR="00F84B6F" w:rsidRDefault="00F84B6F" w:rsidP="006A5715">
            <w:pPr>
              <w:pStyle w:val="Sansinterligne"/>
              <w:numPr>
                <w:ilvl w:val="0"/>
                <w:numId w:val="1579"/>
              </w:numPr>
            </w:pPr>
            <w:r>
              <w:t>Douleur aigue si perforation</w:t>
            </w:r>
          </w:p>
        </w:tc>
      </w:tr>
      <w:tr w:rsidR="00F84B6F" w:rsidTr="00C94978">
        <w:tc>
          <w:tcPr>
            <w:tcW w:w="661" w:type="dxa"/>
            <w:vMerge/>
            <w:shd w:val="clear" w:color="auto" w:fill="FFC000"/>
          </w:tcPr>
          <w:p w:rsidR="00F84B6F" w:rsidRDefault="00F84B6F" w:rsidP="00DF5B70">
            <w:pPr>
              <w:pStyle w:val="Sansinterligne"/>
            </w:pPr>
          </w:p>
        </w:tc>
        <w:tc>
          <w:tcPr>
            <w:tcW w:w="2711" w:type="dxa"/>
            <w:shd w:val="clear" w:color="auto" w:fill="C2D69B" w:themeFill="accent3" w:themeFillTint="99"/>
            <w:vAlign w:val="center"/>
          </w:tcPr>
          <w:p w:rsidR="00F84B6F" w:rsidRDefault="00F84B6F" w:rsidP="00DF5B70">
            <w:pPr>
              <w:pStyle w:val="Sansinterligne"/>
              <w:jc w:val="center"/>
            </w:pPr>
            <w:r>
              <w:t>Anémie falciforme</w:t>
            </w:r>
          </w:p>
          <w:p w:rsidR="00F84B6F" w:rsidRDefault="00F84B6F" w:rsidP="00DF5B70">
            <w:pPr>
              <w:pStyle w:val="Sansinterligne"/>
              <w:jc w:val="center"/>
            </w:pPr>
            <w:r>
              <w:t>(crise vaso-occlusive)</w:t>
            </w:r>
          </w:p>
        </w:tc>
        <w:tc>
          <w:tcPr>
            <w:tcW w:w="3933" w:type="dxa"/>
            <w:gridSpan w:val="3"/>
            <w:tcBorders>
              <w:right w:val="single" w:sz="4" w:space="0" w:color="FFFFFF" w:themeColor="background1"/>
            </w:tcBorders>
          </w:tcPr>
          <w:p w:rsidR="00F84B6F" w:rsidRDefault="00F84B6F" w:rsidP="00DF5B70">
            <w:pPr>
              <w:pStyle w:val="Sansinterligne"/>
              <w:numPr>
                <w:ilvl w:val="0"/>
                <w:numId w:val="1146"/>
              </w:numPr>
            </w:pPr>
            <w:r>
              <w:t xml:space="preserve">Groupe ethnique à risque </w:t>
            </w:r>
          </w:p>
          <w:p w:rsidR="00F84B6F" w:rsidRDefault="00F84B6F" w:rsidP="00DF5B70">
            <w:pPr>
              <w:pStyle w:val="Sansinterligne"/>
            </w:pPr>
            <w:r>
              <w:t xml:space="preserve">Voir </w:t>
            </w:r>
            <w:r w:rsidRPr="00D32EA1">
              <w:rPr>
                <w:i/>
              </w:rPr>
              <w:t>Inquiétudes d’ordre génétique CMC 36</w:t>
            </w:r>
          </w:p>
        </w:tc>
        <w:tc>
          <w:tcPr>
            <w:tcW w:w="3711" w:type="dxa"/>
            <w:gridSpan w:val="2"/>
            <w:tcBorders>
              <w:left w:val="single" w:sz="4" w:space="0" w:color="FFFFFF" w:themeColor="background1"/>
            </w:tcBorders>
          </w:tcPr>
          <w:p w:rsidR="00F84B6F" w:rsidRDefault="00F84B6F" w:rsidP="00DF5B70">
            <w:pPr>
              <w:pStyle w:val="Sansinterligne"/>
              <w:numPr>
                <w:ilvl w:val="0"/>
                <w:numId w:val="1147"/>
              </w:numPr>
            </w:pPr>
            <w:r>
              <w:t xml:space="preserve">N’a jamais eu de dépistage de l’AF </w:t>
            </w:r>
          </w:p>
          <w:p w:rsidR="00F84B6F" w:rsidRDefault="00F84B6F" w:rsidP="00DF5B70">
            <w:pPr>
              <w:pStyle w:val="Sansinterligne"/>
              <w:numPr>
                <w:ilvl w:val="0"/>
                <w:numId w:val="1147"/>
              </w:numPr>
            </w:pPr>
            <w:r>
              <w:t>Pas d’autre étiologie probable</w:t>
            </w:r>
          </w:p>
          <w:p w:rsidR="00F84B6F" w:rsidRDefault="00F84B6F" w:rsidP="00DF5B70">
            <w:pPr>
              <w:pStyle w:val="Sansinterligne"/>
              <w:numPr>
                <w:ilvl w:val="0"/>
                <w:numId w:val="1147"/>
              </w:numPr>
            </w:pPr>
            <w:r>
              <w:t>Splénomégalie et douleur QSG parfois</w:t>
            </w:r>
          </w:p>
        </w:tc>
      </w:tr>
      <w:tr w:rsidR="00F84B6F" w:rsidTr="00DF5B70">
        <w:tc>
          <w:tcPr>
            <w:tcW w:w="661" w:type="dxa"/>
            <w:vMerge/>
            <w:shd w:val="clear" w:color="auto" w:fill="FFC000"/>
          </w:tcPr>
          <w:p w:rsidR="00F84B6F" w:rsidRDefault="00F84B6F" w:rsidP="00DF5B70">
            <w:pPr>
              <w:pStyle w:val="Sansinterligne"/>
            </w:pPr>
          </w:p>
        </w:tc>
        <w:tc>
          <w:tcPr>
            <w:tcW w:w="2711" w:type="dxa"/>
            <w:shd w:val="clear" w:color="auto" w:fill="C2D69B" w:themeFill="accent3" w:themeFillTint="99"/>
            <w:vAlign w:val="center"/>
          </w:tcPr>
          <w:p w:rsidR="00F84B6F" w:rsidRDefault="00F84B6F" w:rsidP="00DF5B70">
            <w:pPr>
              <w:pStyle w:val="Sansinterligne"/>
              <w:jc w:val="center"/>
            </w:pPr>
            <w:r>
              <w:t>Syndrome hémolytique-urémique (SHU)</w:t>
            </w:r>
          </w:p>
        </w:tc>
        <w:tc>
          <w:tcPr>
            <w:tcW w:w="7644" w:type="dxa"/>
            <w:gridSpan w:val="5"/>
          </w:tcPr>
          <w:p w:rsidR="00F84B6F" w:rsidRDefault="00F84B6F" w:rsidP="00DF5B70">
            <w:pPr>
              <w:pStyle w:val="Sansinterligne"/>
              <w:numPr>
                <w:ilvl w:val="0"/>
                <w:numId w:val="1148"/>
              </w:numPr>
            </w:pPr>
            <w:r>
              <w:t>Diarrhée sanglantes récentes</w:t>
            </w:r>
          </w:p>
          <w:p w:rsidR="00F84B6F" w:rsidRDefault="00F84B6F" w:rsidP="00DF5B70">
            <w:pPr>
              <w:pStyle w:val="Sansinterligne"/>
              <w:numPr>
                <w:ilvl w:val="0"/>
                <w:numId w:val="1148"/>
              </w:numPr>
            </w:pPr>
            <w:r>
              <w:t>Triade : anémie hémolytique, IRA, thrombocytopénie</w:t>
            </w:r>
          </w:p>
        </w:tc>
      </w:tr>
    </w:tbl>
    <w:p w:rsidR="00F84B6F" w:rsidRDefault="00F84B6F" w:rsidP="00F84B6F">
      <w:pPr>
        <w:pStyle w:val="Sansinterligne"/>
      </w:pPr>
      <w:r>
        <w:rPr>
          <w:noProof/>
          <w:lang w:eastAsia="fr-CA"/>
        </w:rPr>
        <w:drawing>
          <wp:anchor distT="0" distB="0" distL="114300" distR="114300" simplePos="0" relativeHeight="252244992" behindDoc="0" locked="0" layoutInCell="1" allowOverlap="1" wp14:anchorId="6385A25F" wp14:editId="18B2F67F">
            <wp:simplePos x="0" y="0"/>
            <wp:positionH relativeFrom="column">
              <wp:posOffset>4220845</wp:posOffset>
            </wp:positionH>
            <wp:positionV relativeFrom="paragraph">
              <wp:posOffset>144780</wp:posOffset>
            </wp:positionV>
            <wp:extent cx="2129790" cy="2651760"/>
            <wp:effectExtent l="0" t="0" r="3810" b="0"/>
            <wp:wrapNone/>
            <wp:docPr id="527" name="Image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olvulus.PNG"/>
                    <pic:cNvPicPr/>
                  </pic:nvPicPr>
                  <pic:blipFill>
                    <a:blip r:embed="rId25">
                      <a:extLst>
                        <a:ext uri="{28A0092B-C50C-407E-A947-70E740481C1C}">
                          <a14:useLocalDpi xmlns:a14="http://schemas.microsoft.com/office/drawing/2010/main" val="0"/>
                        </a:ext>
                      </a:extLst>
                    </a:blip>
                    <a:stretch>
                      <a:fillRect/>
                    </a:stretch>
                  </pic:blipFill>
                  <pic:spPr>
                    <a:xfrm>
                      <a:off x="0" y="0"/>
                      <a:ext cx="2129790" cy="2651760"/>
                    </a:xfrm>
                    <a:prstGeom prst="rect">
                      <a:avLst/>
                    </a:prstGeom>
                  </pic:spPr>
                </pic:pic>
              </a:graphicData>
            </a:graphic>
            <wp14:sizeRelH relativeFrom="page">
              <wp14:pctWidth>0</wp14:pctWidth>
            </wp14:sizeRelH>
            <wp14:sizeRelV relativeFrom="page">
              <wp14:pctHeight>0</wp14:pctHeight>
            </wp14:sizeRelV>
          </wp:anchor>
        </w:drawing>
      </w:r>
    </w:p>
    <w:p w:rsidR="00F84B6F" w:rsidRDefault="00F84B6F" w:rsidP="00F84B6F">
      <w:pPr>
        <w:pStyle w:val="Sansinterligne"/>
      </w:pPr>
    </w:p>
    <w:p w:rsidR="00F84B6F" w:rsidRDefault="00F84B6F" w:rsidP="00F84B6F">
      <w:pPr>
        <w:pStyle w:val="Sansinterligne"/>
      </w:pPr>
    </w:p>
    <w:p w:rsidR="00F84B6F" w:rsidRDefault="00F84B6F" w:rsidP="00F84B6F">
      <w:pPr>
        <w:pStyle w:val="Sansinterligne"/>
      </w:pPr>
      <w:r>
        <w:rPr>
          <w:noProof/>
          <w:lang w:eastAsia="fr-CA"/>
        </w:rPr>
        <w:drawing>
          <wp:anchor distT="0" distB="0" distL="114300" distR="114300" simplePos="0" relativeHeight="252243968" behindDoc="0" locked="0" layoutInCell="1" allowOverlap="1" wp14:anchorId="24A733C4" wp14:editId="3D79A093">
            <wp:simplePos x="0" y="0"/>
            <wp:positionH relativeFrom="column">
              <wp:posOffset>89468</wp:posOffset>
            </wp:positionH>
            <wp:positionV relativeFrom="paragraph">
              <wp:posOffset>78105</wp:posOffset>
            </wp:positionV>
            <wp:extent cx="3070225" cy="2110740"/>
            <wp:effectExtent l="0" t="0" r="0" b="3810"/>
            <wp:wrapNone/>
            <wp:docPr id="530" name="Image 530" descr="Résultats de recherche d'images pour « intussusception intestina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ésultats de recherche d'images pour « intussusception intestinale »"/>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70225" cy="21107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84B6F" w:rsidRDefault="00F84B6F" w:rsidP="00F84B6F">
      <w:pPr>
        <w:pStyle w:val="Sansinterligne"/>
      </w:pPr>
    </w:p>
    <w:p w:rsidR="00F84B6F" w:rsidRDefault="00F84B6F" w:rsidP="00F84B6F">
      <w:pPr>
        <w:pStyle w:val="Sansinterligne"/>
      </w:pPr>
    </w:p>
    <w:p w:rsidR="00F84B6F" w:rsidRDefault="00F84B6F" w:rsidP="00F84B6F">
      <w:pPr>
        <w:pStyle w:val="Sansinterligne"/>
      </w:pPr>
    </w:p>
    <w:p w:rsidR="00F84B6F" w:rsidRDefault="00F84B6F" w:rsidP="00F84B6F">
      <w:pPr>
        <w:pStyle w:val="Sansinterligne"/>
      </w:pPr>
    </w:p>
    <w:p w:rsidR="00F84B6F" w:rsidRDefault="00F84B6F" w:rsidP="00F84B6F">
      <w:pPr>
        <w:pStyle w:val="Sansinterligne"/>
      </w:pPr>
    </w:p>
    <w:p w:rsidR="00F84B6F" w:rsidRDefault="00F84B6F" w:rsidP="00F84B6F">
      <w:pPr>
        <w:pStyle w:val="Sansinterligne"/>
      </w:pPr>
    </w:p>
    <w:p w:rsidR="00F84B6F" w:rsidRDefault="00F84B6F" w:rsidP="00F84B6F">
      <w:pPr>
        <w:pStyle w:val="Sansinterligne"/>
      </w:pPr>
    </w:p>
    <w:p w:rsidR="00F84B6F" w:rsidRDefault="00F84B6F" w:rsidP="00F84B6F">
      <w:pPr>
        <w:pStyle w:val="Sansinterligne"/>
      </w:pPr>
    </w:p>
    <w:p w:rsidR="00F84B6F" w:rsidRDefault="00F84B6F" w:rsidP="00F84B6F">
      <w:pPr>
        <w:pStyle w:val="Sansinterligne"/>
      </w:pPr>
    </w:p>
    <w:p w:rsidR="00F84B6F" w:rsidRDefault="00F84B6F" w:rsidP="00F84B6F">
      <w:pPr>
        <w:pStyle w:val="Sansinterligne"/>
      </w:pPr>
    </w:p>
    <w:p w:rsidR="00F84B6F" w:rsidRDefault="00F84B6F" w:rsidP="00F84B6F">
      <w:pPr>
        <w:pStyle w:val="Sansinterligne"/>
      </w:pPr>
    </w:p>
    <w:p w:rsidR="00F84B6F" w:rsidRDefault="00F84B6F" w:rsidP="00F84B6F">
      <w:pPr>
        <w:pStyle w:val="Sansinterligne"/>
      </w:pPr>
    </w:p>
    <w:p w:rsidR="00F84B6F" w:rsidRDefault="00F84B6F" w:rsidP="00F84B6F">
      <w:pPr>
        <w:pStyle w:val="Sansinterligne"/>
      </w:pPr>
    </w:p>
    <w:p w:rsidR="00F84B6F" w:rsidRDefault="00F84B6F" w:rsidP="00F84B6F">
      <w:pPr>
        <w:pStyle w:val="Sansinterligne"/>
      </w:pPr>
    </w:p>
    <w:p w:rsidR="00F84B6F" w:rsidRDefault="00F84B6F" w:rsidP="00F84B6F">
      <w:pPr>
        <w:pStyle w:val="Sansinterligne"/>
      </w:pPr>
    </w:p>
    <w:tbl>
      <w:tblPr>
        <w:tblStyle w:val="Grilledutableau"/>
        <w:tblW w:w="10940" w:type="dxa"/>
        <w:tblLook w:val="04A0" w:firstRow="1" w:lastRow="0" w:firstColumn="1" w:lastColumn="0" w:noHBand="0" w:noVBand="1"/>
      </w:tblPr>
      <w:tblGrid>
        <w:gridCol w:w="675"/>
        <w:gridCol w:w="2835"/>
        <w:gridCol w:w="2476"/>
        <w:gridCol w:w="1239"/>
        <w:gridCol w:w="1238"/>
        <w:gridCol w:w="2477"/>
      </w:tblGrid>
      <w:tr w:rsidR="00F84B6F" w:rsidTr="00DF5B70">
        <w:tc>
          <w:tcPr>
            <w:tcW w:w="675" w:type="dxa"/>
            <w:shd w:val="clear" w:color="auto" w:fill="FFC000"/>
          </w:tcPr>
          <w:p w:rsidR="00F84B6F" w:rsidRDefault="00F84B6F" w:rsidP="00DF5B70">
            <w:pPr>
              <w:pStyle w:val="Sansinterligne"/>
              <w:jc w:val="center"/>
            </w:pPr>
            <w:r>
              <w:t>Âge</w:t>
            </w:r>
          </w:p>
        </w:tc>
        <w:tc>
          <w:tcPr>
            <w:tcW w:w="2835" w:type="dxa"/>
            <w:shd w:val="clear" w:color="auto" w:fill="FFC000"/>
          </w:tcPr>
          <w:p w:rsidR="00F84B6F" w:rsidRPr="00356AB6" w:rsidRDefault="00F84B6F" w:rsidP="00DF5B70">
            <w:pPr>
              <w:pStyle w:val="Sansinterligne"/>
              <w:jc w:val="center"/>
              <w:rPr>
                <w:i/>
              </w:rPr>
            </w:pPr>
            <w:r w:rsidRPr="00356AB6">
              <w:rPr>
                <w:i/>
              </w:rPr>
              <w:t>Diagnostic</w:t>
            </w:r>
          </w:p>
        </w:tc>
        <w:tc>
          <w:tcPr>
            <w:tcW w:w="7430" w:type="dxa"/>
            <w:gridSpan w:val="4"/>
            <w:shd w:val="clear" w:color="auto" w:fill="FFC000"/>
          </w:tcPr>
          <w:p w:rsidR="00F84B6F" w:rsidRPr="00356AB6" w:rsidRDefault="00F84B6F" w:rsidP="00DF5B70">
            <w:pPr>
              <w:pStyle w:val="Sansinterligne"/>
              <w:jc w:val="center"/>
              <w:rPr>
                <w:i/>
              </w:rPr>
            </w:pPr>
            <w:r w:rsidRPr="00356AB6">
              <w:rPr>
                <w:i/>
              </w:rPr>
              <w:t>Manifestations cliniques</w:t>
            </w:r>
          </w:p>
        </w:tc>
      </w:tr>
      <w:tr w:rsidR="00F84B6F" w:rsidTr="00DF5B70">
        <w:tc>
          <w:tcPr>
            <w:tcW w:w="675" w:type="dxa"/>
            <w:vMerge w:val="restart"/>
            <w:shd w:val="clear" w:color="auto" w:fill="FFC000"/>
            <w:textDirection w:val="btLr"/>
            <w:vAlign w:val="center"/>
          </w:tcPr>
          <w:p w:rsidR="00F84B6F" w:rsidRDefault="00F84B6F" w:rsidP="00DF5B70">
            <w:pPr>
              <w:pStyle w:val="Sansinterligne"/>
              <w:ind w:left="113" w:right="113"/>
              <w:jc w:val="center"/>
            </w:pPr>
            <w:r>
              <w:t>2-5 ans</w:t>
            </w:r>
          </w:p>
        </w:tc>
        <w:tc>
          <w:tcPr>
            <w:tcW w:w="2835" w:type="dxa"/>
            <w:shd w:val="clear" w:color="auto" w:fill="C2D69B" w:themeFill="accent3" w:themeFillTint="99"/>
            <w:vAlign w:val="center"/>
          </w:tcPr>
          <w:p w:rsidR="00F84B6F" w:rsidRDefault="00F84B6F" w:rsidP="00DF5B70">
            <w:pPr>
              <w:pStyle w:val="Sansinterligne"/>
              <w:jc w:val="center"/>
            </w:pPr>
            <w:r>
              <w:t>Purpura d’Henoch-Schönlein</w:t>
            </w:r>
          </w:p>
        </w:tc>
        <w:tc>
          <w:tcPr>
            <w:tcW w:w="7430" w:type="dxa"/>
            <w:gridSpan w:val="4"/>
          </w:tcPr>
          <w:p w:rsidR="00F84B6F" w:rsidRDefault="00F84B6F" w:rsidP="00DF5B70">
            <w:pPr>
              <w:pStyle w:val="Sansinterligne"/>
            </w:pPr>
            <w:r>
              <w:t xml:space="preserve">Voir </w:t>
            </w:r>
            <w:r w:rsidRPr="00E34FB8">
              <w:rPr>
                <w:i/>
              </w:rPr>
              <w:t>Boiterie chez l’enfant CMC 20</w:t>
            </w:r>
          </w:p>
        </w:tc>
      </w:tr>
      <w:tr w:rsidR="00F84B6F" w:rsidTr="00DF5B70">
        <w:tc>
          <w:tcPr>
            <w:tcW w:w="675" w:type="dxa"/>
            <w:vMerge/>
            <w:shd w:val="clear" w:color="auto" w:fill="FFC000"/>
          </w:tcPr>
          <w:p w:rsidR="00F84B6F" w:rsidRDefault="00F84B6F" w:rsidP="00DF5B70">
            <w:pPr>
              <w:pStyle w:val="Sansinterligne"/>
            </w:pPr>
          </w:p>
        </w:tc>
        <w:tc>
          <w:tcPr>
            <w:tcW w:w="2835" w:type="dxa"/>
            <w:shd w:val="clear" w:color="auto" w:fill="C2D69B" w:themeFill="accent3" w:themeFillTint="99"/>
            <w:vAlign w:val="center"/>
          </w:tcPr>
          <w:p w:rsidR="00F84B6F" w:rsidRDefault="00F84B6F" w:rsidP="00DF5B70">
            <w:pPr>
              <w:pStyle w:val="Sansinterligne"/>
              <w:jc w:val="center"/>
            </w:pPr>
            <w:r>
              <w:t>Pharyngite à Streptocoque</w:t>
            </w:r>
          </w:p>
        </w:tc>
        <w:tc>
          <w:tcPr>
            <w:tcW w:w="7430" w:type="dxa"/>
            <w:gridSpan w:val="4"/>
          </w:tcPr>
          <w:p w:rsidR="00F84B6F" w:rsidRDefault="00F84B6F" w:rsidP="00DF5B70">
            <w:pPr>
              <w:pStyle w:val="Sansinterligne"/>
            </w:pPr>
            <w:r>
              <w:t xml:space="preserve">Voir </w:t>
            </w:r>
            <w:r w:rsidRPr="000B62EC">
              <w:rPr>
                <w:i/>
              </w:rPr>
              <w:t>Mal de gorge et/ou rhinorrhée CMC 100</w:t>
            </w:r>
          </w:p>
        </w:tc>
      </w:tr>
      <w:tr w:rsidR="00F84B6F" w:rsidTr="00DF5B70">
        <w:tc>
          <w:tcPr>
            <w:tcW w:w="675" w:type="dxa"/>
            <w:vMerge/>
            <w:shd w:val="clear" w:color="auto" w:fill="FFC000"/>
          </w:tcPr>
          <w:p w:rsidR="00F84B6F" w:rsidRDefault="00F84B6F" w:rsidP="00DF5B70">
            <w:pPr>
              <w:pStyle w:val="Sansinterligne"/>
            </w:pPr>
          </w:p>
        </w:tc>
        <w:tc>
          <w:tcPr>
            <w:tcW w:w="2835" w:type="dxa"/>
            <w:shd w:val="clear" w:color="auto" w:fill="C2D69B" w:themeFill="accent3" w:themeFillTint="99"/>
            <w:vAlign w:val="center"/>
          </w:tcPr>
          <w:p w:rsidR="00F84B6F" w:rsidRDefault="00F84B6F" w:rsidP="00DF5B70">
            <w:pPr>
              <w:pStyle w:val="Sansinterligne"/>
              <w:jc w:val="center"/>
            </w:pPr>
            <w:r>
              <w:t>Torsion ovarienne</w:t>
            </w:r>
          </w:p>
        </w:tc>
        <w:tc>
          <w:tcPr>
            <w:tcW w:w="7430" w:type="dxa"/>
            <w:gridSpan w:val="4"/>
          </w:tcPr>
          <w:p w:rsidR="00F84B6F" w:rsidRDefault="00F84B6F" w:rsidP="00DF5B70">
            <w:pPr>
              <w:pStyle w:val="Sansinterligne"/>
            </w:pPr>
            <w:r>
              <w:t xml:space="preserve">Voir </w:t>
            </w:r>
            <w:r w:rsidRPr="000B62EC">
              <w:rPr>
                <w:i/>
              </w:rPr>
              <w:t>Douleur pelvienne CMC 73</w:t>
            </w:r>
          </w:p>
        </w:tc>
      </w:tr>
      <w:tr w:rsidR="00F84B6F" w:rsidTr="00C94978">
        <w:tc>
          <w:tcPr>
            <w:tcW w:w="675" w:type="dxa"/>
            <w:vMerge/>
            <w:shd w:val="clear" w:color="auto" w:fill="FFC000"/>
          </w:tcPr>
          <w:p w:rsidR="00F84B6F" w:rsidRDefault="00F84B6F" w:rsidP="00DF5B70">
            <w:pPr>
              <w:pStyle w:val="Sansinterligne"/>
            </w:pPr>
          </w:p>
        </w:tc>
        <w:tc>
          <w:tcPr>
            <w:tcW w:w="2835" w:type="dxa"/>
            <w:shd w:val="clear" w:color="auto" w:fill="C2D69B" w:themeFill="accent3" w:themeFillTint="99"/>
            <w:vAlign w:val="center"/>
          </w:tcPr>
          <w:p w:rsidR="00F84B6F" w:rsidRDefault="00F84B6F" w:rsidP="00DF5B70">
            <w:pPr>
              <w:pStyle w:val="Sansinterligne"/>
              <w:jc w:val="center"/>
            </w:pPr>
            <w:r>
              <w:t>Infection urinaire</w:t>
            </w:r>
          </w:p>
        </w:tc>
        <w:tc>
          <w:tcPr>
            <w:tcW w:w="3715" w:type="dxa"/>
            <w:gridSpan w:val="2"/>
            <w:tcBorders>
              <w:right w:val="single" w:sz="4" w:space="0" w:color="FFFF00"/>
            </w:tcBorders>
            <w:shd w:val="clear" w:color="auto" w:fill="FFFF00"/>
          </w:tcPr>
          <w:p w:rsidR="00F84B6F" w:rsidRDefault="00F84B6F" w:rsidP="00DF5B70">
            <w:pPr>
              <w:pStyle w:val="Sansinterligne"/>
              <w:numPr>
                <w:ilvl w:val="0"/>
                <w:numId w:val="1145"/>
              </w:numPr>
            </w:pPr>
            <w:r>
              <w:t>Douleur abdominale</w:t>
            </w:r>
          </w:p>
          <w:p w:rsidR="00F84B6F" w:rsidRDefault="00F84B6F" w:rsidP="00DF5B70">
            <w:pPr>
              <w:pStyle w:val="Sansinterligne"/>
              <w:numPr>
                <w:ilvl w:val="0"/>
                <w:numId w:val="1145"/>
              </w:numPr>
            </w:pPr>
            <w:r>
              <w:t>Fièvre</w:t>
            </w:r>
          </w:p>
        </w:tc>
        <w:tc>
          <w:tcPr>
            <w:tcW w:w="3715" w:type="dxa"/>
            <w:gridSpan w:val="2"/>
            <w:tcBorders>
              <w:left w:val="single" w:sz="4" w:space="0" w:color="FFFF00"/>
            </w:tcBorders>
            <w:shd w:val="clear" w:color="auto" w:fill="FFFF00"/>
          </w:tcPr>
          <w:p w:rsidR="00F84B6F" w:rsidRDefault="00F84B6F" w:rsidP="00DF5B70">
            <w:pPr>
              <w:pStyle w:val="Sansinterligne"/>
              <w:numPr>
                <w:ilvl w:val="0"/>
                <w:numId w:val="1145"/>
              </w:numPr>
            </w:pPr>
            <w:r>
              <w:t xml:space="preserve">Sx urinaires (généralement </w:t>
            </w:r>
            <w:r>
              <w:rPr>
                <w:rFonts w:ascii="Century Gothic" w:hAnsi="Century Gothic"/>
              </w:rPr>
              <w:t>&gt;</w:t>
            </w:r>
            <w:r>
              <w:t xml:space="preserve"> 5 ans)</w:t>
            </w:r>
          </w:p>
        </w:tc>
      </w:tr>
      <w:tr w:rsidR="00F84B6F" w:rsidTr="00C94978">
        <w:tc>
          <w:tcPr>
            <w:tcW w:w="675" w:type="dxa"/>
            <w:vMerge/>
            <w:shd w:val="clear" w:color="auto" w:fill="FFC000"/>
          </w:tcPr>
          <w:p w:rsidR="00F84B6F" w:rsidRDefault="00F84B6F" w:rsidP="00DF5B70">
            <w:pPr>
              <w:pStyle w:val="Sansinterligne"/>
            </w:pPr>
          </w:p>
        </w:tc>
        <w:tc>
          <w:tcPr>
            <w:tcW w:w="2835" w:type="dxa"/>
            <w:shd w:val="clear" w:color="auto" w:fill="C2D69B" w:themeFill="accent3" w:themeFillTint="99"/>
            <w:vAlign w:val="center"/>
          </w:tcPr>
          <w:p w:rsidR="00F84B6F" w:rsidRDefault="00F84B6F" w:rsidP="00DF5B70">
            <w:pPr>
              <w:pStyle w:val="Sansinterligne"/>
              <w:jc w:val="center"/>
            </w:pPr>
            <w:r>
              <w:t>Péritonite bactérienne</w:t>
            </w:r>
          </w:p>
        </w:tc>
        <w:tc>
          <w:tcPr>
            <w:tcW w:w="3715" w:type="dxa"/>
            <w:gridSpan w:val="2"/>
            <w:tcBorders>
              <w:right w:val="single" w:sz="4" w:space="0" w:color="FFFFFF" w:themeColor="background1"/>
            </w:tcBorders>
          </w:tcPr>
          <w:p w:rsidR="00F84B6F" w:rsidRDefault="00F84B6F" w:rsidP="00DF5B70">
            <w:pPr>
              <w:pStyle w:val="Sansinterligne"/>
              <w:numPr>
                <w:ilvl w:val="0"/>
                <w:numId w:val="1145"/>
              </w:numPr>
            </w:pPr>
            <w:r>
              <w:t>Hx de syndrome néphrotique</w:t>
            </w:r>
          </w:p>
          <w:p w:rsidR="00F84B6F" w:rsidRDefault="00F84B6F" w:rsidP="00DF5B70">
            <w:pPr>
              <w:pStyle w:val="Sansinterligne"/>
              <w:numPr>
                <w:ilvl w:val="0"/>
                <w:numId w:val="1145"/>
              </w:numPr>
            </w:pPr>
            <w:r>
              <w:t>Défense abdominale / abdomen de bois</w:t>
            </w:r>
          </w:p>
          <w:p w:rsidR="00F84B6F" w:rsidRDefault="00F84B6F" w:rsidP="00DF5B70">
            <w:pPr>
              <w:pStyle w:val="Sansinterligne"/>
              <w:numPr>
                <w:ilvl w:val="0"/>
                <w:numId w:val="1145"/>
              </w:numPr>
            </w:pPr>
            <w:r>
              <w:t>Signe du rebond</w:t>
            </w:r>
          </w:p>
        </w:tc>
        <w:tc>
          <w:tcPr>
            <w:tcW w:w="3715" w:type="dxa"/>
            <w:gridSpan w:val="2"/>
            <w:tcBorders>
              <w:left w:val="single" w:sz="4" w:space="0" w:color="FFFFFF" w:themeColor="background1"/>
            </w:tcBorders>
          </w:tcPr>
          <w:p w:rsidR="00F84B6F" w:rsidRDefault="00F84B6F" w:rsidP="00DF5B70">
            <w:pPr>
              <w:pStyle w:val="Sansinterligne"/>
              <w:numPr>
                <w:ilvl w:val="0"/>
                <w:numId w:val="1145"/>
              </w:numPr>
            </w:pPr>
            <w:r>
              <w:t>Ascite</w:t>
            </w:r>
          </w:p>
          <w:p w:rsidR="00F84B6F" w:rsidRDefault="00F84B6F" w:rsidP="00DF5B70">
            <w:pPr>
              <w:pStyle w:val="Sansinterligne"/>
              <w:numPr>
                <w:ilvl w:val="0"/>
                <w:numId w:val="1145"/>
              </w:numPr>
            </w:pPr>
            <w:r>
              <w:t>Fièvre</w:t>
            </w:r>
          </w:p>
          <w:p w:rsidR="00F84B6F" w:rsidRDefault="00F84B6F" w:rsidP="00DF5B70">
            <w:pPr>
              <w:pStyle w:val="Sansinterligne"/>
              <w:numPr>
                <w:ilvl w:val="0"/>
                <w:numId w:val="1145"/>
              </w:numPr>
            </w:pPr>
            <w:r>
              <w:t>Hypovolémie / choc</w:t>
            </w:r>
          </w:p>
        </w:tc>
      </w:tr>
      <w:tr w:rsidR="00F84B6F" w:rsidTr="00C94978">
        <w:tc>
          <w:tcPr>
            <w:tcW w:w="675" w:type="dxa"/>
            <w:vMerge/>
            <w:shd w:val="clear" w:color="auto" w:fill="FFC000"/>
          </w:tcPr>
          <w:p w:rsidR="00F84B6F" w:rsidRDefault="00F84B6F" w:rsidP="00DF5B70">
            <w:pPr>
              <w:pStyle w:val="Sansinterligne"/>
            </w:pPr>
          </w:p>
        </w:tc>
        <w:tc>
          <w:tcPr>
            <w:tcW w:w="2835" w:type="dxa"/>
            <w:shd w:val="clear" w:color="auto" w:fill="C2D69B" w:themeFill="accent3" w:themeFillTint="99"/>
            <w:vAlign w:val="center"/>
          </w:tcPr>
          <w:p w:rsidR="00F84B6F" w:rsidRDefault="00F84B6F" w:rsidP="00DF5B70">
            <w:pPr>
              <w:pStyle w:val="Sansinterligne"/>
              <w:jc w:val="center"/>
            </w:pPr>
            <w:r>
              <w:t>Occlusion sur adhérences</w:t>
            </w:r>
          </w:p>
        </w:tc>
        <w:tc>
          <w:tcPr>
            <w:tcW w:w="3715" w:type="dxa"/>
            <w:gridSpan w:val="2"/>
            <w:tcBorders>
              <w:right w:val="single" w:sz="4" w:space="0" w:color="FFFF00"/>
            </w:tcBorders>
            <w:shd w:val="clear" w:color="auto" w:fill="FFFF00"/>
          </w:tcPr>
          <w:p w:rsidR="00F84B6F" w:rsidRDefault="00F84B6F" w:rsidP="00DF5B70">
            <w:pPr>
              <w:pStyle w:val="Sansinterligne"/>
              <w:numPr>
                <w:ilvl w:val="0"/>
                <w:numId w:val="1145"/>
              </w:numPr>
            </w:pPr>
            <w:r>
              <w:t>ATCD de chirurgie abdominale        (peu importe l’âge)</w:t>
            </w:r>
          </w:p>
          <w:p w:rsidR="00F84B6F" w:rsidRDefault="00F84B6F" w:rsidP="00DF5B70">
            <w:pPr>
              <w:pStyle w:val="Sansinterligne"/>
              <w:numPr>
                <w:ilvl w:val="0"/>
                <w:numId w:val="1145"/>
              </w:numPr>
            </w:pPr>
            <w:r>
              <w:t>Douleurs abdominale chronique</w:t>
            </w:r>
          </w:p>
        </w:tc>
        <w:tc>
          <w:tcPr>
            <w:tcW w:w="3715" w:type="dxa"/>
            <w:gridSpan w:val="2"/>
            <w:tcBorders>
              <w:left w:val="single" w:sz="4" w:space="0" w:color="FFFF00"/>
            </w:tcBorders>
            <w:shd w:val="clear" w:color="auto" w:fill="FFFF00"/>
          </w:tcPr>
          <w:p w:rsidR="00F84B6F" w:rsidRDefault="00F84B6F" w:rsidP="00DF5B70">
            <w:pPr>
              <w:pStyle w:val="Sansinterligne"/>
              <w:numPr>
                <w:ilvl w:val="0"/>
                <w:numId w:val="1145"/>
              </w:numPr>
            </w:pPr>
            <w:r>
              <w:t>Distension abdominale</w:t>
            </w:r>
          </w:p>
          <w:p w:rsidR="00F84B6F" w:rsidRDefault="00F84B6F" w:rsidP="00DF5B70">
            <w:pPr>
              <w:pStyle w:val="Sansinterligne"/>
              <w:numPr>
                <w:ilvl w:val="0"/>
                <w:numId w:val="1145"/>
              </w:numPr>
            </w:pPr>
            <w:r>
              <w:t>Constipation</w:t>
            </w:r>
          </w:p>
          <w:p w:rsidR="00F84B6F" w:rsidRDefault="00F84B6F" w:rsidP="00DF5B70">
            <w:pPr>
              <w:pStyle w:val="Sansinterligne"/>
              <w:numPr>
                <w:ilvl w:val="0"/>
                <w:numId w:val="1145"/>
              </w:numPr>
            </w:pPr>
            <w:r>
              <w:t>Vomissements fécaloïdes (sévère)</w:t>
            </w:r>
          </w:p>
        </w:tc>
      </w:tr>
      <w:tr w:rsidR="00F84B6F" w:rsidTr="00DF5B70">
        <w:tc>
          <w:tcPr>
            <w:tcW w:w="675" w:type="dxa"/>
            <w:vMerge/>
            <w:shd w:val="clear" w:color="auto" w:fill="FFC000"/>
          </w:tcPr>
          <w:p w:rsidR="00F84B6F" w:rsidRDefault="00F84B6F" w:rsidP="00DF5B70">
            <w:pPr>
              <w:pStyle w:val="Sansinterligne"/>
            </w:pPr>
          </w:p>
        </w:tc>
        <w:tc>
          <w:tcPr>
            <w:tcW w:w="2835" w:type="dxa"/>
            <w:shd w:val="clear" w:color="auto" w:fill="C2D69B" w:themeFill="accent3" w:themeFillTint="99"/>
            <w:vAlign w:val="center"/>
          </w:tcPr>
          <w:p w:rsidR="00F84B6F" w:rsidRDefault="00F84B6F" w:rsidP="00DF5B70">
            <w:pPr>
              <w:pStyle w:val="Sansinterligne"/>
              <w:jc w:val="center"/>
            </w:pPr>
            <w:r>
              <w:t>Constipation</w:t>
            </w:r>
          </w:p>
        </w:tc>
        <w:tc>
          <w:tcPr>
            <w:tcW w:w="7430" w:type="dxa"/>
            <w:gridSpan w:val="4"/>
          </w:tcPr>
          <w:p w:rsidR="00F84B6F" w:rsidRDefault="00F84B6F" w:rsidP="00DF5B70">
            <w:pPr>
              <w:pStyle w:val="Sansinterligne"/>
            </w:pPr>
            <w:r>
              <w:t xml:space="preserve">Voir </w:t>
            </w:r>
            <w:r w:rsidRPr="004D38FE">
              <w:rPr>
                <w:i/>
              </w:rPr>
              <w:t>Constipation chez l’enfant CMC 16-2</w:t>
            </w:r>
          </w:p>
        </w:tc>
      </w:tr>
      <w:tr w:rsidR="00F84B6F" w:rsidTr="00DF5B70">
        <w:tc>
          <w:tcPr>
            <w:tcW w:w="675" w:type="dxa"/>
            <w:vMerge/>
            <w:tcBorders>
              <w:bottom w:val="single" w:sz="24" w:space="0" w:color="auto"/>
            </w:tcBorders>
            <w:shd w:val="clear" w:color="auto" w:fill="FFC000"/>
          </w:tcPr>
          <w:p w:rsidR="00F84B6F" w:rsidRDefault="00F84B6F" w:rsidP="00DF5B70">
            <w:pPr>
              <w:pStyle w:val="Sansinterligne"/>
            </w:pPr>
          </w:p>
        </w:tc>
        <w:tc>
          <w:tcPr>
            <w:tcW w:w="10265" w:type="dxa"/>
            <w:gridSpan w:val="5"/>
            <w:shd w:val="clear" w:color="auto" w:fill="C2D69B" w:themeFill="accent3" w:themeFillTint="99"/>
          </w:tcPr>
          <w:p w:rsidR="00F84B6F" w:rsidRDefault="00F84B6F" w:rsidP="00DF5B70">
            <w:pPr>
              <w:pStyle w:val="Sansinterligne"/>
            </w:pPr>
            <w:r>
              <w:t>Corps étranger, SHU, invagination intestinale, anémie falciforme, gastro-entérite (voir ci-haut)</w:t>
            </w:r>
          </w:p>
        </w:tc>
      </w:tr>
      <w:tr w:rsidR="00F84B6F" w:rsidTr="00C94978">
        <w:tc>
          <w:tcPr>
            <w:tcW w:w="675" w:type="dxa"/>
            <w:tcBorders>
              <w:top w:val="single" w:sz="24" w:space="0" w:color="auto"/>
            </w:tcBorders>
            <w:shd w:val="clear" w:color="auto" w:fill="FFC000"/>
            <w:textDirection w:val="btLr"/>
            <w:vAlign w:val="center"/>
          </w:tcPr>
          <w:p w:rsidR="00F84B6F" w:rsidRDefault="00F84B6F" w:rsidP="00C338A6">
            <w:pPr>
              <w:pStyle w:val="Sansinterligne"/>
              <w:ind w:left="113" w:right="113"/>
              <w:jc w:val="center"/>
            </w:pPr>
            <w:r>
              <w:t>P</w:t>
            </w:r>
          </w:p>
        </w:tc>
        <w:tc>
          <w:tcPr>
            <w:tcW w:w="2835" w:type="dxa"/>
            <w:tcBorders>
              <w:top w:val="single" w:sz="24" w:space="0" w:color="auto"/>
            </w:tcBorders>
            <w:shd w:val="clear" w:color="auto" w:fill="C2D69B" w:themeFill="accent3" w:themeFillTint="99"/>
            <w:vAlign w:val="center"/>
          </w:tcPr>
          <w:p w:rsidR="00F84B6F" w:rsidRDefault="00F84B6F" w:rsidP="00DF5B70">
            <w:pPr>
              <w:pStyle w:val="Sansinterligne"/>
              <w:jc w:val="center"/>
            </w:pPr>
            <w:r>
              <w:t>Appendicite</w:t>
            </w:r>
          </w:p>
        </w:tc>
        <w:tc>
          <w:tcPr>
            <w:tcW w:w="2476" w:type="dxa"/>
            <w:tcBorders>
              <w:top w:val="single" w:sz="24" w:space="0" w:color="auto"/>
              <w:right w:val="single" w:sz="4" w:space="0" w:color="FFFF00"/>
            </w:tcBorders>
            <w:shd w:val="clear" w:color="auto" w:fill="FFFF00"/>
          </w:tcPr>
          <w:p w:rsidR="00F84B6F" w:rsidRDefault="00F84B6F" w:rsidP="00DF5B70">
            <w:pPr>
              <w:pStyle w:val="Sansinterligne"/>
              <w:numPr>
                <w:ilvl w:val="0"/>
                <w:numId w:val="1144"/>
              </w:numPr>
            </w:pPr>
            <w:r>
              <w:t xml:space="preserve">Douleur périombilicale </w:t>
            </w:r>
            <w:r>
              <w:lastRenderedPageBreak/>
              <w:t>migrant à la FID</w:t>
            </w:r>
          </w:p>
          <w:p w:rsidR="00F84B6F" w:rsidRDefault="00F84B6F" w:rsidP="00DF5B70">
            <w:pPr>
              <w:pStyle w:val="Sansinterligne"/>
              <w:numPr>
                <w:ilvl w:val="0"/>
                <w:numId w:val="1144"/>
              </w:numPr>
            </w:pPr>
            <w:r>
              <w:t>Progressive</w:t>
            </w:r>
          </w:p>
          <w:p w:rsidR="00F84B6F" w:rsidRDefault="00F84B6F" w:rsidP="00DF5B70">
            <w:pPr>
              <w:pStyle w:val="Sansinterligne"/>
              <w:numPr>
                <w:ilvl w:val="0"/>
                <w:numId w:val="1144"/>
              </w:numPr>
            </w:pPr>
            <w:r>
              <w:t>Douleur au mouvement</w:t>
            </w:r>
          </w:p>
        </w:tc>
        <w:tc>
          <w:tcPr>
            <w:tcW w:w="2477" w:type="dxa"/>
            <w:gridSpan w:val="2"/>
            <w:tcBorders>
              <w:top w:val="single" w:sz="24" w:space="0" w:color="auto"/>
              <w:left w:val="single" w:sz="4" w:space="0" w:color="FFFF00"/>
              <w:right w:val="single" w:sz="4" w:space="0" w:color="FFFF00"/>
            </w:tcBorders>
            <w:shd w:val="clear" w:color="auto" w:fill="FFFF00"/>
          </w:tcPr>
          <w:p w:rsidR="00F84B6F" w:rsidRDefault="00F84B6F" w:rsidP="00DF5B70">
            <w:pPr>
              <w:pStyle w:val="Sansinterligne"/>
              <w:numPr>
                <w:ilvl w:val="0"/>
                <w:numId w:val="1144"/>
              </w:numPr>
            </w:pPr>
            <w:r>
              <w:lastRenderedPageBreak/>
              <w:t xml:space="preserve">No/Vo </w:t>
            </w:r>
          </w:p>
          <w:p w:rsidR="00F84B6F" w:rsidRDefault="00F84B6F" w:rsidP="00DF5B70">
            <w:pPr>
              <w:pStyle w:val="Sansinterligne"/>
              <w:numPr>
                <w:ilvl w:val="0"/>
                <w:numId w:val="1144"/>
              </w:numPr>
            </w:pPr>
            <w:r>
              <w:t>Fièvre</w:t>
            </w:r>
          </w:p>
          <w:p w:rsidR="00F84B6F" w:rsidRDefault="00F84B6F" w:rsidP="00DF5B70">
            <w:pPr>
              <w:pStyle w:val="Sansinterligne"/>
              <w:numPr>
                <w:ilvl w:val="0"/>
                <w:numId w:val="1144"/>
              </w:numPr>
            </w:pPr>
            <w:r>
              <w:lastRenderedPageBreak/>
              <w:t>Anorexie</w:t>
            </w:r>
          </w:p>
          <w:p w:rsidR="00F84B6F" w:rsidRDefault="00F84B6F" w:rsidP="00DF5B70">
            <w:pPr>
              <w:pStyle w:val="Sansinterligne"/>
            </w:pPr>
          </w:p>
        </w:tc>
        <w:tc>
          <w:tcPr>
            <w:tcW w:w="2477" w:type="dxa"/>
            <w:tcBorders>
              <w:top w:val="single" w:sz="24" w:space="0" w:color="auto"/>
              <w:left w:val="single" w:sz="4" w:space="0" w:color="FFFF00"/>
            </w:tcBorders>
            <w:shd w:val="clear" w:color="auto" w:fill="FFFF00"/>
          </w:tcPr>
          <w:p w:rsidR="00F84B6F" w:rsidRDefault="00F84B6F" w:rsidP="00DF5B70">
            <w:pPr>
              <w:pStyle w:val="Sansinterligne"/>
              <w:numPr>
                <w:ilvl w:val="0"/>
                <w:numId w:val="1144"/>
              </w:numPr>
            </w:pPr>
            <w:r>
              <w:lastRenderedPageBreak/>
              <w:t xml:space="preserve">Signe du psoas, signe de l’obturateur </w:t>
            </w:r>
            <w:r>
              <w:lastRenderedPageBreak/>
              <w:t xml:space="preserve">interne </w:t>
            </w:r>
          </w:p>
          <w:p w:rsidR="00F84B6F" w:rsidRDefault="00F84B6F" w:rsidP="00DF5B70">
            <w:pPr>
              <w:pStyle w:val="Sansinterligne"/>
              <w:numPr>
                <w:ilvl w:val="0"/>
                <w:numId w:val="1144"/>
              </w:numPr>
            </w:pPr>
            <w:r>
              <w:t>Signe de Rovsing</w:t>
            </w:r>
          </w:p>
          <w:p w:rsidR="00F84B6F" w:rsidRDefault="00F84B6F" w:rsidP="00DF5B70">
            <w:pPr>
              <w:pStyle w:val="Sansinterligne"/>
              <w:numPr>
                <w:ilvl w:val="0"/>
                <w:numId w:val="1144"/>
              </w:numPr>
            </w:pPr>
            <w:r>
              <w:t>Signe du rebond</w:t>
            </w:r>
          </w:p>
        </w:tc>
      </w:tr>
      <w:tr w:rsidR="00C338A6" w:rsidTr="00C338A6">
        <w:tc>
          <w:tcPr>
            <w:tcW w:w="675" w:type="dxa"/>
            <w:vMerge w:val="restart"/>
            <w:shd w:val="clear" w:color="auto" w:fill="FFC000"/>
            <w:textDirection w:val="btLr"/>
            <w:vAlign w:val="center"/>
          </w:tcPr>
          <w:p w:rsidR="00C338A6" w:rsidRDefault="00C338A6" w:rsidP="00C338A6">
            <w:pPr>
              <w:pStyle w:val="Sansinterligne"/>
              <w:ind w:left="113" w:right="113"/>
              <w:jc w:val="center"/>
            </w:pPr>
            <w:r>
              <w:lastRenderedPageBreak/>
              <w:t>Plus de 5 ans</w:t>
            </w:r>
          </w:p>
        </w:tc>
        <w:tc>
          <w:tcPr>
            <w:tcW w:w="2835" w:type="dxa"/>
            <w:shd w:val="clear" w:color="auto" w:fill="C2D69B" w:themeFill="accent3" w:themeFillTint="99"/>
            <w:vAlign w:val="center"/>
          </w:tcPr>
          <w:p w:rsidR="00C338A6" w:rsidRDefault="00C338A6" w:rsidP="00DF5B70">
            <w:pPr>
              <w:pStyle w:val="Sansinterligne"/>
              <w:jc w:val="center"/>
            </w:pPr>
            <w:r>
              <w:t>Adénite mésentérique</w:t>
            </w:r>
          </w:p>
        </w:tc>
        <w:tc>
          <w:tcPr>
            <w:tcW w:w="7430" w:type="dxa"/>
            <w:gridSpan w:val="4"/>
          </w:tcPr>
          <w:p w:rsidR="00C338A6" w:rsidRDefault="00C338A6" w:rsidP="00DF5B70">
            <w:pPr>
              <w:pStyle w:val="Sansinterligne"/>
            </w:pPr>
            <w:r>
              <w:t>Présentation similaire à l’appendicite, diagnostic par imagerie</w:t>
            </w:r>
          </w:p>
        </w:tc>
      </w:tr>
      <w:tr w:rsidR="00C338A6" w:rsidTr="00C94978">
        <w:tc>
          <w:tcPr>
            <w:tcW w:w="675" w:type="dxa"/>
            <w:vMerge/>
            <w:shd w:val="clear" w:color="auto" w:fill="FFC000"/>
          </w:tcPr>
          <w:p w:rsidR="00C338A6" w:rsidRDefault="00C338A6" w:rsidP="0056454B">
            <w:pPr>
              <w:pStyle w:val="Sansinterligne"/>
            </w:pPr>
          </w:p>
        </w:tc>
        <w:tc>
          <w:tcPr>
            <w:tcW w:w="2835" w:type="dxa"/>
            <w:shd w:val="clear" w:color="auto" w:fill="C2D69B" w:themeFill="accent3" w:themeFillTint="99"/>
            <w:vAlign w:val="center"/>
          </w:tcPr>
          <w:p w:rsidR="00C338A6" w:rsidRDefault="00C338A6" w:rsidP="00DF5B70">
            <w:pPr>
              <w:pStyle w:val="Sansinterligne"/>
              <w:jc w:val="center"/>
            </w:pPr>
            <w:r>
              <w:t>Acidocétose diabétique</w:t>
            </w:r>
          </w:p>
        </w:tc>
        <w:tc>
          <w:tcPr>
            <w:tcW w:w="3715" w:type="dxa"/>
            <w:gridSpan w:val="2"/>
            <w:tcBorders>
              <w:right w:val="single" w:sz="4" w:space="0" w:color="FFFF00"/>
            </w:tcBorders>
            <w:shd w:val="clear" w:color="auto" w:fill="FFFF00"/>
          </w:tcPr>
          <w:p w:rsidR="00C338A6" w:rsidRDefault="00C338A6" w:rsidP="00DF5B70">
            <w:pPr>
              <w:pStyle w:val="Sansinterligne"/>
              <w:numPr>
                <w:ilvl w:val="0"/>
                <w:numId w:val="1143"/>
              </w:numPr>
            </w:pPr>
            <w:r>
              <w:t>Prise de corticostéroïdes, alcool, drogues ou stress ou dose d’insuline oubliée (précipitants)</w:t>
            </w:r>
          </w:p>
          <w:p w:rsidR="00C338A6" w:rsidRDefault="00C338A6" w:rsidP="00DF5B70">
            <w:pPr>
              <w:pStyle w:val="Sansinterligne"/>
              <w:numPr>
                <w:ilvl w:val="0"/>
                <w:numId w:val="1143"/>
              </w:numPr>
            </w:pPr>
            <w:r>
              <w:t>Polyurie</w:t>
            </w:r>
          </w:p>
          <w:p w:rsidR="00C338A6" w:rsidRDefault="00C338A6" w:rsidP="00DF5B70">
            <w:pPr>
              <w:pStyle w:val="Sansinterligne"/>
              <w:numPr>
                <w:ilvl w:val="0"/>
                <w:numId w:val="1143"/>
              </w:numPr>
            </w:pPr>
            <w:r>
              <w:t>Nycturie</w:t>
            </w:r>
          </w:p>
          <w:p w:rsidR="00C338A6" w:rsidRDefault="00C338A6" w:rsidP="00DF5B70">
            <w:pPr>
              <w:pStyle w:val="Sansinterligne"/>
              <w:numPr>
                <w:ilvl w:val="0"/>
                <w:numId w:val="1143"/>
              </w:numPr>
            </w:pPr>
            <w:r>
              <w:t>No/Vo</w:t>
            </w:r>
          </w:p>
          <w:p w:rsidR="00C338A6" w:rsidRDefault="00C338A6" w:rsidP="00DF5B70">
            <w:pPr>
              <w:pStyle w:val="Sansinterligne"/>
              <w:numPr>
                <w:ilvl w:val="0"/>
                <w:numId w:val="1143"/>
              </w:numPr>
            </w:pPr>
            <w:r>
              <w:t>Haleine fruitée</w:t>
            </w:r>
          </w:p>
        </w:tc>
        <w:tc>
          <w:tcPr>
            <w:tcW w:w="3715" w:type="dxa"/>
            <w:gridSpan w:val="2"/>
            <w:tcBorders>
              <w:left w:val="single" w:sz="4" w:space="0" w:color="FFFF00"/>
            </w:tcBorders>
            <w:shd w:val="clear" w:color="auto" w:fill="FFFF00"/>
          </w:tcPr>
          <w:p w:rsidR="00C338A6" w:rsidRDefault="00C338A6" w:rsidP="00DF5B70">
            <w:pPr>
              <w:pStyle w:val="Sansinterligne"/>
              <w:numPr>
                <w:ilvl w:val="0"/>
                <w:numId w:val="1143"/>
              </w:numPr>
            </w:pPr>
            <w:r>
              <w:t>Polydipsie</w:t>
            </w:r>
          </w:p>
          <w:p w:rsidR="00C338A6" w:rsidRDefault="00C338A6" w:rsidP="00DF5B70">
            <w:pPr>
              <w:pStyle w:val="Sansinterligne"/>
              <w:numPr>
                <w:ilvl w:val="0"/>
                <w:numId w:val="1143"/>
              </w:numPr>
            </w:pPr>
            <w:r>
              <w:t xml:space="preserve">Polyphagie </w:t>
            </w:r>
            <w:r>
              <w:rPr>
                <w:rFonts w:ascii="Century Gothic" w:hAnsi="Century Gothic"/>
              </w:rPr>
              <w:t>→</w:t>
            </w:r>
            <w:r>
              <w:t xml:space="preserve"> anorexie </w:t>
            </w:r>
          </w:p>
          <w:p w:rsidR="00C338A6" w:rsidRDefault="00C338A6" w:rsidP="00DF5B70">
            <w:pPr>
              <w:pStyle w:val="Sansinterligne"/>
              <w:numPr>
                <w:ilvl w:val="0"/>
                <w:numId w:val="1143"/>
              </w:numPr>
            </w:pPr>
            <w:r>
              <w:t>Fatigue</w:t>
            </w:r>
          </w:p>
          <w:p w:rsidR="00C338A6" w:rsidRDefault="00C338A6" w:rsidP="00DF5B70">
            <w:pPr>
              <w:pStyle w:val="Sansinterligne"/>
              <w:numPr>
                <w:ilvl w:val="0"/>
                <w:numId w:val="1143"/>
              </w:numPr>
            </w:pPr>
            <w:r>
              <w:t>Déshydratation</w:t>
            </w:r>
          </w:p>
          <w:p w:rsidR="00C338A6" w:rsidRDefault="00C338A6" w:rsidP="00DF5B70">
            <w:pPr>
              <w:pStyle w:val="Sansinterligne"/>
              <w:numPr>
                <w:ilvl w:val="0"/>
                <w:numId w:val="1143"/>
              </w:numPr>
            </w:pPr>
            <w:r>
              <w:t>Hyperventilation / respiration de Kussmaul (acidose)</w:t>
            </w:r>
          </w:p>
          <w:p w:rsidR="00C338A6" w:rsidRDefault="00C338A6" w:rsidP="00DF5B70">
            <w:pPr>
              <w:pStyle w:val="Sansinterligne"/>
              <w:numPr>
                <w:ilvl w:val="0"/>
                <w:numId w:val="1143"/>
              </w:numPr>
            </w:pPr>
            <w:r>
              <w:t>Tachycardie</w:t>
            </w:r>
          </w:p>
        </w:tc>
      </w:tr>
      <w:tr w:rsidR="00C338A6" w:rsidTr="00C94978">
        <w:tc>
          <w:tcPr>
            <w:tcW w:w="675" w:type="dxa"/>
            <w:vMerge/>
            <w:shd w:val="clear" w:color="auto" w:fill="FFC000"/>
          </w:tcPr>
          <w:p w:rsidR="00C338A6" w:rsidRDefault="00C338A6" w:rsidP="00DF5B70">
            <w:pPr>
              <w:pStyle w:val="Sansinterligne"/>
            </w:pPr>
          </w:p>
        </w:tc>
        <w:tc>
          <w:tcPr>
            <w:tcW w:w="2835" w:type="dxa"/>
            <w:shd w:val="clear" w:color="auto" w:fill="C2D69B" w:themeFill="accent3" w:themeFillTint="99"/>
            <w:vAlign w:val="center"/>
          </w:tcPr>
          <w:p w:rsidR="00C338A6" w:rsidRDefault="00C338A6" w:rsidP="00DF5B70">
            <w:pPr>
              <w:pStyle w:val="Sansinterligne"/>
              <w:jc w:val="center"/>
            </w:pPr>
            <w:r>
              <w:t>Ulcère gastrique</w:t>
            </w:r>
          </w:p>
        </w:tc>
        <w:tc>
          <w:tcPr>
            <w:tcW w:w="2476" w:type="dxa"/>
            <w:tcBorders>
              <w:right w:val="single" w:sz="4" w:space="0" w:color="FFFFFF" w:themeColor="background1"/>
            </w:tcBorders>
          </w:tcPr>
          <w:p w:rsidR="00C338A6" w:rsidRDefault="00C338A6" w:rsidP="00DF5B70">
            <w:pPr>
              <w:pStyle w:val="Sansinterligne"/>
              <w:numPr>
                <w:ilvl w:val="0"/>
                <w:numId w:val="1142"/>
              </w:numPr>
            </w:pPr>
            <w:r>
              <w:t>Prise d’AINS</w:t>
            </w:r>
          </w:p>
          <w:p w:rsidR="00C338A6" w:rsidRDefault="00C338A6" w:rsidP="00DF5B70">
            <w:pPr>
              <w:pStyle w:val="Sansinterligne"/>
              <w:numPr>
                <w:ilvl w:val="0"/>
                <w:numId w:val="1142"/>
              </w:numPr>
            </w:pPr>
            <w:r>
              <w:t>Douleur postprandiale ou à jeûn</w:t>
            </w:r>
          </w:p>
        </w:tc>
        <w:tc>
          <w:tcPr>
            <w:tcW w:w="2477" w:type="dxa"/>
            <w:gridSpan w:val="2"/>
            <w:tcBorders>
              <w:left w:val="single" w:sz="4" w:space="0" w:color="FFFFFF" w:themeColor="background1"/>
              <w:right w:val="single" w:sz="4" w:space="0" w:color="FFFFFF" w:themeColor="background1"/>
            </w:tcBorders>
          </w:tcPr>
          <w:p w:rsidR="00C338A6" w:rsidRDefault="00C338A6" w:rsidP="00DF5B70">
            <w:pPr>
              <w:pStyle w:val="Sansinterligne"/>
              <w:numPr>
                <w:ilvl w:val="0"/>
                <w:numId w:val="1142"/>
              </w:numPr>
              <w:rPr>
                <w:rFonts w:cs="Times New Roman"/>
              </w:rPr>
            </w:pPr>
            <w:r>
              <w:t xml:space="preserve">Douleur épigastrique de type brûlure </w:t>
            </w:r>
          </w:p>
          <w:p w:rsidR="00C338A6" w:rsidRDefault="00C338A6" w:rsidP="00DF5B70">
            <w:pPr>
              <w:pStyle w:val="Sansinterligne"/>
              <w:numPr>
                <w:ilvl w:val="0"/>
                <w:numId w:val="1142"/>
              </w:numPr>
            </w:pPr>
            <w:r>
              <w:rPr>
                <w:rFonts w:cs="Times New Roman"/>
              </w:rPr>
              <w:t>Soulagée par antiacides et les repas</w:t>
            </w:r>
          </w:p>
        </w:tc>
        <w:tc>
          <w:tcPr>
            <w:tcW w:w="2477" w:type="dxa"/>
            <w:tcBorders>
              <w:left w:val="single" w:sz="4" w:space="0" w:color="FFFFFF" w:themeColor="background1"/>
            </w:tcBorders>
          </w:tcPr>
          <w:p w:rsidR="00C338A6" w:rsidRDefault="00C338A6" w:rsidP="00DF5B70">
            <w:pPr>
              <w:pStyle w:val="Sansinterligne"/>
              <w:numPr>
                <w:ilvl w:val="0"/>
                <w:numId w:val="1142"/>
              </w:numPr>
            </w:pPr>
            <w:r>
              <w:t>Dyspepsie</w:t>
            </w:r>
          </w:p>
          <w:p w:rsidR="00C338A6" w:rsidRDefault="00C338A6" w:rsidP="00DF5B70">
            <w:pPr>
              <w:pStyle w:val="Sansinterligne"/>
              <w:numPr>
                <w:ilvl w:val="0"/>
                <w:numId w:val="1142"/>
              </w:numPr>
            </w:pPr>
            <w:r>
              <w:t xml:space="preserve">Anémie </w:t>
            </w:r>
          </w:p>
          <w:p w:rsidR="00C338A6" w:rsidRDefault="00C338A6" w:rsidP="00DF5B70">
            <w:pPr>
              <w:pStyle w:val="Sansinterligne"/>
              <w:numPr>
                <w:ilvl w:val="0"/>
                <w:numId w:val="1142"/>
              </w:numPr>
            </w:pPr>
            <w:r>
              <w:t>Méléna si saignement important</w:t>
            </w:r>
          </w:p>
        </w:tc>
      </w:tr>
      <w:tr w:rsidR="00C338A6" w:rsidTr="00C94978">
        <w:tc>
          <w:tcPr>
            <w:tcW w:w="675" w:type="dxa"/>
            <w:vMerge/>
            <w:shd w:val="clear" w:color="auto" w:fill="FFC000"/>
          </w:tcPr>
          <w:p w:rsidR="00C338A6" w:rsidRDefault="00C338A6" w:rsidP="00DF5B70">
            <w:pPr>
              <w:pStyle w:val="Sansinterligne"/>
            </w:pPr>
          </w:p>
        </w:tc>
        <w:tc>
          <w:tcPr>
            <w:tcW w:w="2835" w:type="dxa"/>
            <w:shd w:val="clear" w:color="auto" w:fill="C2D69B" w:themeFill="accent3" w:themeFillTint="99"/>
            <w:vAlign w:val="center"/>
          </w:tcPr>
          <w:p w:rsidR="00C338A6" w:rsidRDefault="00C338A6" w:rsidP="00DF5B70">
            <w:pPr>
              <w:pStyle w:val="Sansinterligne"/>
              <w:jc w:val="center"/>
            </w:pPr>
            <w:r>
              <w:t>Torsion testiculaire</w:t>
            </w:r>
          </w:p>
        </w:tc>
        <w:tc>
          <w:tcPr>
            <w:tcW w:w="2476" w:type="dxa"/>
            <w:tcBorders>
              <w:right w:val="single" w:sz="4" w:space="0" w:color="FFFFFF" w:themeColor="background1"/>
            </w:tcBorders>
          </w:tcPr>
          <w:p w:rsidR="00C338A6" w:rsidRDefault="00C338A6" w:rsidP="00DF5B70">
            <w:pPr>
              <w:pStyle w:val="Sansinterligne"/>
              <w:numPr>
                <w:ilvl w:val="0"/>
                <w:numId w:val="1142"/>
              </w:numPr>
            </w:pPr>
            <w:r>
              <w:t>Douleur testiculaire / abdominale aigue</w:t>
            </w:r>
          </w:p>
          <w:p w:rsidR="00C338A6" w:rsidRDefault="00C338A6" w:rsidP="00DF5B70">
            <w:pPr>
              <w:pStyle w:val="Sansinterligne"/>
              <w:numPr>
                <w:ilvl w:val="0"/>
                <w:numId w:val="1142"/>
              </w:numPr>
            </w:pPr>
            <w:r>
              <w:t>Survient souvent la nuit</w:t>
            </w:r>
          </w:p>
        </w:tc>
        <w:tc>
          <w:tcPr>
            <w:tcW w:w="2477" w:type="dxa"/>
            <w:gridSpan w:val="2"/>
            <w:tcBorders>
              <w:left w:val="single" w:sz="4" w:space="0" w:color="FFFFFF" w:themeColor="background1"/>
              <w:right w:val="single" w:sz="4" w:space="0" w:color="FFFFFF" w:themeColor="background1"/>
            </w:tcBorders>
          </w:tcPr>
          <w:p w:rsidR="00C338A6" w:rsidRDefault="00C338A6" w:rsidP="00DF5B70">
            <w:pPr>
              <w:pStyle w:val="Sansinterligne"/>
              <w:numPr>
                <w:ilvl w:val="0"/>
                <w:numId w:val="1142"/>
              </w:numPr>
            </w:pPr>
            <w:r>
              <w:t>No/Vo</w:t>
            </w:r>
          </w:p>
          <w:p w:rsidR="00C338A6" w:rsidRDefault="00C338A6" w:rsidP="00DF5B70">
            <w:pPr>
              <w:pStyle w:val="Sansinterligne"/>
              <w:numPr>
                <w:ilvl w:val="0"/>
                <w:numId w:val="1142"/>
              </w:numPr>
            </w:pPr>
            <w:r>
              <w:t>Œdème testiculaire, érythème</w:t>
            </w:r>
          </w:p>
        </w:tc>
        <w:tc>
          <w:tcPr>
            <w:tcW w:w="2477" w:type="dxa"/>
            <w:tcBorders>
              <w:left w:val="single" w:sz="4" w:space="0" w:color="FFFFFF" w:themeColor="background1"/>
            </w:tcBorders>
          </w:tcPr>
          <w:p w:rsidR="00C338A6" w:rsidRDefault="00C338A6" w:rsidP="00DF5B70">
            <w:pPr>
              <w:pStyle w:val="Sansinterligne"/>
              <w:numPr>
                <w:ilvl w:val="0"/>
                <w:numId w:val="1142"/>
              </w:numPr>
            </w:pPr>
            <w:r>
              <w:t>Signe de Prehn négatif</w:t>
            </w:r>
          </w:p>
          <w:p w:rsidR="00C338A6" w:rsidRDefault="00C338A6" w:rsidP="00DF5B70">
            <w:pPr>
              <w:pStyle w:val="Sansinterligne"/>
              <w:numPr>
                <w:ilvl w:val="0"/>
                <w:numId w:val="1142"/>
              </w:numPr>
            </w:pPr>
            <w:r>
              <w:t>Réflexe crémastérien absent</w:t>
            </w:r>
          </w:p>
        </w:tc>
      </w:tr>
      <w:tr w:rsidR="00C338A6" w:rsidTr="00C94978">
        <w:tc>
          <w:tcPr>
            <w:tcW w:w="675" w:type="dxa"/>
            <w:vMerge/>
            <w:shd w:val="clear" w:color="auto" w:fill="FFC000"/>
          </w:tcPr>
          <w:p w:rsidR="00C338A6" w:rsidRDefault="00C338A6" w:rsidP="00DF5B70">
            <w:pPr>
              <w:pStyle w:val="Sansinterligne"/>
            </w:pPr>
          </w:p>
        </w:tc>
        <w:tc>
          <w:tcPr>
            <w:tcW w:w="2835" w:type="dxa"/>
            <w:shd w:val="clear" w:color="auto" w:fill="C2D69B" w:themeFill="accent3" w:themeFillTint="99"/>
            <w:vAlign w:val="center"/>
          </w:tcPr>
          <w:p w:rsidR="00C338A6" w:rsidRDefault="00C338A6" w:rsidP="00DF5B70">
            <w:pPr>
              <w:pStyle w:val="Sansinterligne"/>
              <w:jc w:val="center"/>
            </w:pPr>
            <w:r>
              <w:t>Torsion ovarienne</w:t>
            </w:r>
          </w:p>
        </w:tc>
        <w:tc>
          <w:tcPr>
            <w:tcW w:w="3715" w:type="dxa"/>
            <w:gridSpan w:val="2"/>
            <w:tcBorders>
              <w:right w:val="single" w:sz="4" w:space="0" w:color="FFFF00"/>
            </w:tcBorders>
            <w:shd w:val="clear" w:color="auto" w:fill="FFFF00"/>
          </w:tcPr>
          <w:p w:rsidR="00C338A6" w:rsidRDefault="00C338A6" w:rsidP="00DF5B70">
            <w:pPr>
              <w:pStyle w:val="Sansinterligne"/>
            </w:pPr>
            <w:r>
              <w:t xml:space="preserve">Voir </w:t>
            </w:r>
            <w:r w:rsidRPr="000B62EC">
              <w:rPr>
                <w:i/>
              </w:rPr>
              <w:t>Douleur pelvienne CMC 73</w:t>
            </w:r>
          </w:p>
        </w:tc>
        <w:tc>
          <w:tcPr>
            <w:tcW w:w="3715" w:type="dxa"/>
            <w:gridSpan w:val="2"/>
            <w:tcBorders>
              <w:left w:val="single" w:sz="4" w:space="0" w:color="FFFF00"/>
            </w:tcBorders>
            <w:shd w:val="clear" w:color="auto" w:fill="FFFF00"/>
          </w:tcPr>
          <w:p w:rsidR="00C338A6" w:rsidRDefault="00C338A6" w:rsidP="00DF5B70">
            <w:pPr>
              <w:pStyle w:val="Sansinterligne"/>
            </w:pPr>
          </w:p>
        </w:tc>
      </w:tr>
      <w:tr w:rsidR="00C338A6" w:rsidTr="00DF5B70">
        <w:tc>
          <w:tcPr>
            <w:tcW w:w="675" w:type="dxa"/>
            <w:shd w:val="clear" w:color="auto" w:fill="FFC000"/>
          </w:tcPr>
          <w:p w:rsidR="00C338A6" w:rsidRDefault="00C338A6" w:rsidP="0056454B">
            <w:pPr>
              <w:pStyle w:val="Sansinterligne"/>
            </w:pPr>
          </w:p>
        </w:tc>
        <w:tc>
          <w:tcPr>
            <w:tcW w:w="10265" w:type="dxa"/>
            <w:gridSpan w:val="5"/>
            <w:shd w:val="clear" w:color="auto" w:fill="FFC000"/>
            <w:vAlign w:val="center"/>
          </w:tcPr>
          <w:p w:rsidR="00C338A6" w:rsidRDefault="00C338A6" w:rsidP="00DF5B70">
            <w:pPr>
              <w:pStyle w:val="Sansinterligne"/>
              <w:ind w:left="360"/>
              <w:jc w:val="center"/>
              <w:rPr>
                <w:rFonts w:ascii="Century Gothic" w:hAnsi="Century Gothic"/>
              </w:rPr>
            </w:pPr>
            <w:r>
              <w:rPr>
                <w:rFonts w:ascii="Century Gothic" w:hAnsi="Century Gothic"/>
              </w:rPr>
              <w:t>Douleurs chroniques / fonctionnelles</w:t>
            </w:r>
          </w:p>
        </w:tc>
      </w:tr>
      <w:tr w:rsidR="00C338A6" w:rsidTr="00C94978">
        <w:tc>
          <w:tcPr>
            <w:tcW w:w="675" w:type="dxa"/>
            <w:vMerge w:val="restart"/>
            <w:shd w:val="clear" w:color="auto" w:fill="FFC000"/>
          </w:tcPr>
          <w:p w:rsidR="00C338A6" w:rsidRDefault="00C338A6" w:rsidP="00DF5B70">
            <w:pPr>
              <w:pStyle w:val="Sansinterligne"/>
            </w:pPr>
          </w:p>
        </w:tc>
        <w:tc>
          <w:tcPr>
            <w:tcW w:w="2835" w:type="dxa"/>
            <w:shd w:val="clear" w:color="auto" w:fill="C2D69B" w:themeFill="accent3" w:themeFillTint="99"/>
            <w:vAlign w:val="center"/>
          </w:tcPr>
          <w:p w:rsidR="00C338A6" w:rsidRDefault="00C338A6" w:rsidP="00DF5B70">
            <w:pPr>
              <w:pStyle w:val="Sansinterligne"/>
              <w:jc w:val="center"/>
            </w:pPr>
            <w:r>
              <w:t>Migraine abdominale</w:t>
            </w:r>
          </w:p>
        </w:tc>
        <w:tc>
          <w:tcPr>
            <w:tcW w:w="3715" w:type="dxa"/>
            <w:gridSpan w:val="2"/>
            <w:tcBorders>
              <w:right w:val="single" w:sz="4" w:space="0" w:color="FFFF00"/>
            </w:tcBorders>
            <w:shd w:val="clear" w:color="auto" w:fill="FFFF00"/>
          </w:tcPr>
          <w:p w:rsidR="00C338A6" w:rsidRDefault="00C338A6" w:rsidP="00DF5B70">
            <w:pPr>
              <w:pStyle w:val="Sansinterligne"/>
              <w:numPr>
                <w:ilvl w:val="0"/>
                <w:numId w:val="1141"/>
              </w:numPr>
            </w:pPr>
            <w:r>
              <w:t>Douleur chronique paroxystique</w:t>
            </w:r>
          </w:p>
          <w:p w:rsidR="00C338A6" w:rsidRDefault="00C338A6" w:rsidP="00DF5B70">
            <w:pPr>
              <w:pStyle w:val="Sansinterligne"/>
              <w:numPr>
                <w:ilvl w:val="0"/>
                <w:numId w:val="1141"/>
              </w:numPr>
            </w:pPr>
            <w:r>
              <w:t>Épisodes très éloignés (sem/mois)</w:t>
            </w:r>
          </w:p>
          <w:p w:rsidR="00C338A6" w:rsidRDefault="00C338A6" w:rsidP="00DF5B70">
            <w:pPr>
              <w:pStyle w:val="Sansinterligne"/>
              <w:numPr>
                <w:ilvl w:val="0"/>
                <w:numId w:val="1141"/>
              </w:numPr>
            </w:pPr>
            <w:r>
              <w:t>Incapacitante</w:t>
            </w:r>
          </w:p>
          <w:p w:rsidR="00C338A6" w:rsidRDefault="00C338A6" w:rsidP="00DF5B70">
            <w:pPr>
              <w:pStyle w:val="Sansinterligne"/>
            </w:pPr>
          </w:p>
          <w:p w:rsidR="00C338A6" w:rsidRDefault="00C338A6" w:rsidP="00DF5B70">
            <w:pPr>
              <w:pStyle w:val="Sansinterligne"/>
            </w:pPr>
            <w:r>
              <w:t>Dx d’exclusion</w:t>
            </w:r>
          </w:p>
          <w:p w:rsidR="00C338A6" w:rsidRDefault="00C338A6" w:rsidP="00DF5B70">
            <w:pPr>
              <w:pStyle w:val="Sansinterligne"/>
            </w:pPr>
          </w:p>
        </w:tc>
        <w:tc>
          <w:tcPr>
            <w:tcW w:w="3715" w:type="dxa"/>
            <w:gridSpan w:val="2"/>
            <w:tcBorders>
              <w:left w:val="single" w:sz="4" w:space="0" w:color="FFFF00"/>
            </w:tcBorders>
            <w:shd w:val="clear" w:color="auto" w:fill="FFFF00"/>
          </w:tcPr>
          <w:p w:rsidR="00C338A6" w:rsidRDefault="00C338A6" w:rsidP="00DF5B70">
            <w:pPr>
              <w:pStyle w:val="Sansinterligne"/>
              <w:numPr>
                <w:ilvl w:val="0"/>
                <w:numId w:val="1141"/>
              </w:numPr>
            </w:pPr>
            <w:r>
              <w:rPr>
                <w:rFonts w:ascii="Century Gothic" w:hAnsi="Century Gothic"/>
              </w:rPr>
              <w:t>≥</w:t>
            </w:r>
            <w:r>
              <w:t xml:space="preserve"> 2 symptômes suivants associés :</w:t>
            </w:r>
          </w:p>
          <w:p w:rsidR="00C338A6" w:rsidRDefault="00C338A6" w:rsidP="00DF5B70">
            <w:pPr>
              <w:pStyle w:val="Sansinterligne"/>
              <w:numPr>
                <w:ilvl w:val="0"/>
                <w:numId w:val="1141"/>
              </w:numPr>
            </w:pPr>
            <w:r>
              <w:t xml:space="preserve">Anorexie </w:t>
            </w:r>
          </w:p>
          <w:p w:rsidR="00C338A6" w:rsidRDefault="00C338A6" w:rsidP="00DF5B70">
            <w:pPr>
              <w:pStyle w:val="Sansinterligne"/>
              <w:numPr>
                <w:ilvl w:val="0"/>
                <w:numId w:val="1141"/>
              </w:numPr>
            </w:pPr>
            <w:r>
              <w:t>Nausées</w:t>
            </w:r>
          </w:p>
          <w:p w:rsidR="00C338A6" w:rsidRDefault="00C338A6" w:rsidP="00DF5B70">
            <w:pPr>
              <w:pStyle w:val="Sansinterligne"/>
              <w:numPr>
                <w:ilvl w:val="0"/>
                <w:numId w:val="1141"/>
              </w:numPr>
            </w:pPr>
            <w:r>
              <w:t>Vomissements</w:t>
            </w:r>
          </w:p>
          <w:p w:rsidR="00C338A6" w:rsidRDefault="00C338A6" w:rsidP="00DF5B70">
            <w:pPr>
              <w:pStyle w:val="Sansinterligne"/>
              <w:numPr>
                <w:ilvl w:val="0"/>
                <w:numId w:val="1141"/>
              </w:numPr>
            </w:pPr>
            <w:r>
              <w:t>Céphalées</w:t>
            </w:r>
          </w:p>
          <w:p w:rsidR="00C338A6" w:rsidRDefault="00C338A6" w:rsidP="00DF5B70">
            <w:pPr>
              <w:pStyle w:val="Sansinterligne"/>
              <w:numPr>
                <w:ilvl w:val="0"/>
                <w:numId w:val="1141"/>
              </w:numPr>
            </w:pPr>
            <w:r>
              <w:t>Photophobie</w:t>
            </w:r>
          </w:p>
          <w:p w:rsidR="00C338A6" w:rsidRDefault="00C338A6" w:rsidP="00DF5B70">
            <w:pPr>
              <w:pStyle w:val="Sansinterligne"/>
              <w:numPr>
                <w:ilvl w:val="0"/>
                <w:numId w:val="1141"/>
              </w:numPr>
            </w:pPr>
            <w:r>
              <w:t>Pâleur</w:t>
            </w:r>
          </w:p>
        </w:tc>
      </w:tr>
      <w:tr w:rsidR="00C338A6" w:rsidTr="00DF5B70">
        <w:tc>
          <w:tcPr>
            <w:tcW w:w="675" w:type="dxa"/>
            <w:vMerge/>
            <w:shd w:val="clear" w:color="auto" w:fill="FFC000"/>
          </w:tcPr>
          <w:p w:rsidR="00C338A6" w:rsidRDefault="00C338A6" w:rsidP="00DF5B70">
            <w:pPr>
              <w:pStyle w:val="Sansinterligne"/>
            </w:pPr>
          </w:p>
        </w:tc>
        <w:tc>
          <w:tcPr>
            <w:tcW w:w="2835" w:type="dxa"/>
            <w:shd w:val="clear" w:color="auto" w:fill="C2D69B" w:themeFill="accent3" w:themeFillTint="99"/>
            <w:vAlign w:val="center"/>
          </w:tcPr>
          <w:p w:rsidR="00C338A6" w:rsidRDefault="00C338A6" w:rsidP="00DF5B70">
            <w:pPr>
              <w:pStyle w:val="Sansinterligne"/>
              <w:jc w:val="center"/>
            </w:pPr>
            <w:r>
              <w:t>Syndrome du côlon irritable</w:t>
            </w:r>
          </w:p>
        </w:tc>
        <w:tc>
          <w:tcPr>
            <w:tcW w:w="7430" w:type="dxa"/>
            <w:gridSpan w:val="4"/>
          </w:tcPr>
          <w:p w:rsidR="00C338A6" w:rsidRDefault="00C338A6" w:rsidP="00DF5B70">
            <w:pPr>
              <w:pStyle w:val="Sansinterligne"/>
            </w:pPr>
            <w:r>
              <w:t xml:space="preserve">Voir </w:t>
            </w:r>
            <w:r w:rsidRPr="007704A9">
              <w:rPr>
                <w:i/>
              </w:rPr>
              <w:t>Diarrhée chez l’enfant CMC 22-3</w:t>
            </w:r>
          </w:p>
        </w:tc>
      </w:tr>
      <w:tr w:rsidR="00C338A6" w:rsidTr="00DF5B70">
        <w:tc>
          <w:tcPr>
            <w:tcW w:w="675" w:type="dxa"/>
            <w:vMerge/>
            <w:shd w:val="clear" w:color="auto" w:fill="FFC000"/>
          </w:tcPr>
          <w:p w:rsidR="00C338A6" w:rsidRDefault="00C338A6" w:rsidP="00DF5B70">
            <w:pPr>
              <w:pStyle w:val="Sansinterligne"/>
            </w:pPr>
          </w:p>
        </w:tc>
        <w:tc>
          <w:tcPr>
            <w:tcW w:w="2835" w:type="dxa"/>
            <w:shd w:val="clear" w:color="auto" w:fill="C2D69B" w:themeFill="accent3" w:themeFillTint="99"/>
            <w:vAlign w:val="center"/>
          </w:tcPr>
          <w:p w:rsidR="00C338A6" w:rsidRDefault="00C338A6" w:rsidP="00DF5B70">
            <w:pPr>
              <w:pStyle w:val="Sansinterligne"/>
              <w:jc w:val="center"/>
            </w:pPr>
            <w:r>
              <w:t>Dyspepsie fonctionnelle</w:t>
            </w:r>
          </w:p>
        </w:tc>
        <w:tc>
          <w:tcPr>
            <w:tcW w:w="7430" w:type="dxa"/>
            <w:gridSpan w:val="4"/>
          </w:tcPr>
          <w:p w:rsidR="00C338A6" w:rsidRDefault="00C338A6" w:rsidP="00DF5B70">
            <w:pPr>
              <w:pStyle w:val="Sansinterligne"/>
              <w:numPr>
                <w:ilvl w:val="0"/>
                <w:numId w:val="1140"/>
              </w:numPr>
            </w:pPr>
            <w:r>
              <w:t>Satiété précoce</w:t>
            </w:r>
          </w:p>
          <w:p w:rsidR="00C338A6" w:rsidRDefault="00C338A6" w:rsidP="00DF5B70">
            <w:pPr>
              <w:pStyle w:val="Sansinterligne"/>
              <w:numPr>
                <w:ilvl w:val="0"/>
                <w:numId w:val="1140"/>
              </w:numPr>
            </w:pPr>
            <w:r>
              <w:t>Sensation de plénitude postprandiale</w:t>
            </w:r>
          </w:p>
          <w:p w:rsidR="00C338A6" w:rsidRDefault="00C338A6" w:rsidP="00DF5B70">
            <w:pPr>
              <w:pStyle w:val="Sansinterligne"/>
              <w:numPr>
                <w:ilvl w:val="0"/>
                <w:numId w:val="1140"/>
              </w:numPr>
            </w:pPr>
            <w:r>
              <w:t>Douleur épigastrique ou brûlure</w:t>
            </w:r>
          </w:p>
        </w:tc>
      </w:tr>
      <w:tr w:rsidR="00C338A6" w:rsidTr="00DF5B70">
        <w:tc>
          <w:tcPr>
            <w:tcW w:w="675" w:type="dxa"/>
            <w:vMerge/>
            <w:shd w:val="clear" w:color="auto" w:fill="FFC000"/>
          </w:tcPr>
          <w:p w:rsidR="00C338A6" w:rsidRDefault="00C338A6" w:rsidP="00DF5B70">
            <w:pPr>
              <w:pStyle w:val="Sansinterligne"/>
            </w:pPr>
          </w:p>
        </w:tc>
        <w:tc>
          <w:tcPr>
            <w:tcW w:w="10265" w:type="dxa"/>
            <w:gridSpan w:val="5"/>
            <w:shd w:val="clear" w:color="auto" w:fill="C2D69B" w:themeFill="accent3" w:themeFillTint="99"/>
          </w:tcPr>
          <w:p w:rsidR="00C338A6" w:rsidRDefault="00C338A6" w:rsidP="00DF5B70">
            <w:pPr>
              <w:pStyle w:val="Sansinterligne"/>
            </w:pPr>
            <w:r>
              <w:t>Reste du diagnostic différentiel est comparable à celui de l’adulte.</w:t>
            </w:r>
          </w:p>
          <w:p w:rsidR="00C338A6" w:rsidRDefault="00C338A6" w:rsidP="00446F8B">
            <w:pPr>
              <w:pStyle w:val="Sansinterligne"/>
            </w:pPr>
            <w:r>
              <w:t xml:space="preserve">Voir  </w:t>
            </w:r>
            <w:r w:rsidRPr="00DB7BBE">
              <w:rPr>
                <w:i/>
              </w:rPr>
              <w:t>Douleur abdominale aigue CMC 3-2</w:t>
            </w:r>
            <w:r>
              <w:t xml:space="preserve"> et </w:t>
            </w:r>
            <w:r w:rsidRPr="00DB7BBE">
              <w:rPr>
                <w:i/>
              </w:rPr>
              <w:t>Douleur abdominale chronique CMC 3-</w:t>
            </w:r>
            <w:r w:rsidR="00446F8B">
              <w:rPr>
                <w:i/>
              </w:rPr>
              <w:t>3</w:t>
            </w:r>
          </w:p>
        </w:tc>
      </w:tr>
    </w:tbl>
    <w:p w:rsidR="00F84B6F" w:rsidRDefault="00F84B6F" w:rsidP="00F84B6F">
      <w:pPr>
        <w:pStyle w:val="Sansinterligne"/>
      </w:pPr>
    </w:p>
    <w:p w:rsidR="00F84B6F" w:rsidRDefault="00F84B6F" w:rsidP="00F84B6F">
      <w:pPr>
        <w:pStyle w:val="Sansinterligne"/>
      </w:pPr>
    </w:p>
    <w:p w:rsidR="00F84B6F" w:rsidRPr="00F562B8" w:rsidRDefault="00F84B6F" w:rsidP="00F84B6F">
      <w:pPr>
        <w:pStyle w:val="Sansinterligne"/>
        <w:rPr>
          <w:b/>
          <w:sz w:val="28"/>
          <w:szCs w:val="28"/>
        </w:rPr>
      </w:pPr>
      <w:r w:rsidRPr="00F562B8">
        <w:rPr>
          <w:b/>
          <w:sz w:val="28"/>
          <w:szCs w:val="28"/>
        </w:rPr>
        <w:t>Investigations</w:t>
      </w:r>
    </w:p>
    <w:p w:rsidR="00F84B6F" w:rsidRDefault="00F84B6F" w:rsidP="00F84B6F">
      <w:pPr>
        <w:pStyle w:val="Sansinterligne"/>
      </w:pPr>
    </w:p>
    <w:p w:rsidR="00F84B6F" w:rsidRDefault="00F84B6F" w:rsidP="00F84B6F">
      <w:pPr>
        <w:pStyle w:val="Sansinterligne"/>
        <w:numPr>
          <w:ilvl w:val="0"/>
          <w:numId w:val="1139"/>
        </w:numPr>
        <w:ind w:left="360"/>
      </w:pPr>
      <w:r>
        <w:rPr>
          <w:noProof/>
          <w:lang w:eastAsia="fr-CA"/>
        </w:rPr>
        <mc:AlternateContent>
          <mc:Choice Requires="wps">
            <w:drawing>
              <wp:anchor distT="0" distB="0" distL="114300" distR="114300" simplePos="0" relativeHeight="252246016" behindDoc="0" locked="0" layoutInCell="1" allowOverlap="1" wp14:anchorId="0FB10BDD" wp14:editId="1620CF31">
                <wp:simplePos x="0" y="0"/>
                <wp:positionH relativeFrom="column">
                  <wp:posOffset>4021780</wp:posOffset>
                </wp:positionH>
                <wp:positionV relativeFrom="paragraph">
                  <wp:posOffset>123433</wp:posOffset>
                </wp:positionV>
                <wp:extent cx="2374265" cy="1517015"/>
                <wp:effectExtent l="0" t="0" r="19050" b="26035"/>
                <wp:wrapNone/>
                <wp:docPr id="53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517015"/>
                        </a:xfrm>
                        <a:prstGeom prst="rect">
                          <a:avLst/>
                        </a:prstGeom>
                        <a:solidFill>
                          <a:schemeClr val="accent6">
                            <a:lumMod val="75000"/>
                          </a:schemeClr>
                        </a:solidFill>
                        <a:ln w="9525">
                          <a:solidFill>
                            <a:srgbClr val="000000"/>
                          </a:solidFill>
                          <a:miter lim="800000"/>
                          <a:headEnd/>
                          <a:tailEnd/>
                        </a:ln>
                      </wps:spPr>
                      <wps:txbx>
                        <w:txbxContent>
                          <w:p w:rsidR="008276DC" w:rsidRPr="00783A1F" w:rsidRDefault="008276DC" w:rsidP="00F84B6F">
                            <w:pPr>
                              <w:jc w:val="center"/>
                              <w:rPr>
                                <w:b/>
                              </w:rPr>
                            </w:pPr>
                            <w:r w:rsidRPr="00783A1F">
                              <w:rPr>
                                <w:b/>
                              </w:rPr>
                              <w:t>Règle des 2 / Diverticule de Meckel</w:t>
                            </w:r>
                          </w:p>
                          <w:p w:rsidR="008276DC" w:rsidRDefault="008276DC" w:rsidP="00F84B6F">
                            <w:pPr>
                              <w:pStyle w:val="Paragraphedeliste"/>
                              <w:numPr>
                                <w:ilvl w:val="0"/>
                                <w:numId w:val="1138"/>
                              </w:numPr>
                            </w:pPr>
                            <w:r>
                              <w:t>À 2 pieds de la valvule iléo-caecale</w:t>
                            </w:r>
                          </w:p>
                          <w:p w:rsidR="008276DC" w:rsidRDefault="008276DC" w:rsidP="00F84B6F">
                            <w:pPr>
                              <w:pStyle w:val="Paragraphedeliste"/>
                              <w:numPr>
                                <w:ilvl w:val="0"/>
                                <w:numId w:val="1138"/>
                              </w:numPr>
                            </w:pPr>
                            <w:r>
                              <w:t>2 pouces de long</w:t>
                            </w:r>
                          </w:p>
                          <w:p w:rsidR="008276DC" w:rsidRDefault="008276DC" w:rsidP="00F84B6F">
                            <w:pPr>
                              <w:pStyle w:val="Paragraphedeliste"/>
                              <w:numPr>
                                <w:ilvl w:val="0"/>
                                <w:numId w:val="1138"/>
                              </w:numPr>
                            </w:pPr>
                            <w:r>
                              <w:t>2 tissus (gastrique, intestinal)</w:t>
                            </w:r>
                          </w:p>
                          <w:p w:rsidR="008276DC" w:rsidRDefault="008276DC" w:rsidP="00F84B6F">
                            <w:pPr>
                              <w:pStyle w:val="Paragraphedeliste"/>
                              <w:numPr>
                                <w:ilvl w:val="0"/>
                                <w:numId w:val="1138"/>
                              </w:numPr>
                            </w:pPr>
                            <w:r>
                              <w:t>2% de la population</w:t>
                            </w:r>
                          </w:p>
                          <w:p w:rsidR="008276DC" w:rsidRDefault="008276DC" w:rsidP="00F84B6F">
                            <w:pPr>
                              <w:pStyle w:val="Paragraphedeliste"/>
                              <w:numPr>
                                <w:ilvl w:val="0"/>
                                <w:numId w:val="1138"/>
                              </w:numPr>
                            </w:pPr>
                            <w:r>
                              <w:t xml:space="preserve">Ratio </w:t>
                            </w:r>
                            <w:r w:rsidRPr="00783A1F">
                              <w:rPr>
                                <w:rFonts w:ascii="Century Gothic" w:hAnsi="Century Gothic"/>
                              </w:rPr>
                              <w:t>♂/♀ : 2 :1</w:t>
                            </w:r>
                          </w:p>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 id="_x0000_s1036" type="#_x0000_t202" style="position:absolute;left:0;text-align:left;margin-left:316.7pt;margin-top:9.7pt;width:186.95pt;height:119.45pt;z-index:252246016;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" fillcolor="#e36c0a [2409]">
                <v:textbox>
                  <w:txbxContent>
                    <w:p w:rsidR="008276DC" w:rsidRPr="00783A1F" w:rsidRDefault="008276DC" w:rsidP="00F84B6F">
                      <w:pPr>
                        <w:jc w:val="center"/>
                        <w:rPr>
                          <w:b/>
                        </w:rPr>
                      </w:pPr>
                      <w:r w:rsidRPr="00783A1F">
                        <w:rPr>
                          <w:b/>
                        </w:rPr>
                        <w:t>Règle des 2 / Diverticule de Meckel</w:t>
                      </w:r>
                    </w:p>
                    <w:p w:rsidR="008276DC" w:rsidRDefault="008276DC" w:rsidP="00F84B6F">
                      <w:pPr>
                        <w:pStyle w:val="Paragraphedeliste"/>
                        <w:numPr>
                          <w:ilvl w:val="0"/>
                          <w:numId w:val="1138"/>
                        </w:numPr>
                      </w:pPr>
                      <w:r>
                        <w:t>À 2 pieds de la valvule iléo-caecale</w:t>
                      </w:r>
                    </w:p>
                    <w:p w:rsidR="008276DC" w:rsidRDefault="008276DC" w:rsidP="00F84B6F">
                      <w:pPr>
                        <w:pStyle w:val="Paragraphedeliste"/>
                        <w:numPr>
                          <w:ilvl w:val="0"/>
                          <w:numId w:val="1138"/>
                        </w:numPr>
                      </w:pPr>
                      <w:r>
                        <w:t>2 pouces de long</w:t>
                      </w:r>
                    </w:p>
                    <w:p w:rsidR="008276DC" w:rsidRDefault="008276DC" w:rsidP="00F84B6F">
                      <w:pPr>
                        <w:pStyle w:val="Paragraphedeliste"/>
                        <w:numPr>
                          <w:ilvl w:val="0"/>
                          <w:numId w:val="1138"/>
                        </w:numPr>
                      </w:pPr>
                      <w:r>
                        <w:t>2 tissus (gastrique, intestinal)</w:t>
                      </w:r>
                    </w:p>
                    <w:p w:rsidR="008276DC" w:rsidRDefault="008276DC" w:rsidP="00F84B6F">
                      <w:pPr>
                        <w:pStyle w:val="Paragraphedeliste"/>
                        <w:numPr>
                          <w:ilvl w:val="0"/>
                          <w:numId w:val="1138"/>
                        </w:numPr>
                      </w:pPr>
                      <w:r>
                        <w:t>2% de la population</w:t>
                      </w:r>
                    </w:p>
                    <w:p w:rsidR="008276DC" w:rsidRDefault="008276DC" w:rsidP="00F84B6F">
                      <w:pPr>
                        <w:pStyle w:val="Paragraphedeliste"/>
                        <w:numPr>
                          <w:ilvl w:val="0"/>
                          <w:numId w:val="1138"/>
                        </w:numPr>
                      </w:pPr>
                      <w:r>
                        <w:t xml:space="preserve">Ratio </w:t>
                      </w:r>
                      <w:r w:rsidRPr="00783A1F">
                        <w:rPr>
                          <w:rFonts w:ascii="Century Gothic" w:hAnsi="Century Gothic"/>
                        </w:rPr>
                        <w:t>♂/♀ : 2 :1</w:t>
                      </w:r>
                    </w:p>
                  </w:txbxContent>
                </v:textbox>
              </v:shape>
            </w:pict>
          </mc:Fallback>
        </mc:AlternateContent>
      </w:r>
      <w:r>
        <w:t>FSC et frottis sanguin (leucocytose, shistocytes, thrombopénie)</w:t>
      </w:r>
    </w:p>
    <w:p w:rsidR="00F84B6F" w:rsidRDefault="00F84B6F" w:rsidP="00F84B6F">
      <w:pPr>
        <w:pStyle w:val="Sansinterligne"/>
        <w:numPr>
          <w:ilvl w:val="0"/>
          <w:numId w:val="1139"/>
        </w:numPr>
        <w:ind w:left="360"/>
      </w:pPr>
      <w:r>
        <w:t>Ions, urée, créatinine, AST/ALT, phosphatase alcaline, lipase,</w:t>
      </w:r>
    </w:p>
    <w:p w:rsidR="00F84B6F" w:rsidRDefault="00F84B6F" w:rsidP="00F84B6F">
      <w:pPr>
        <w:pStyle w:val="Sansinterligne"/>
        <w:numPr>
          <w:ilvl w:val="0"/>
          <w:numId w:val="1139"/>
        </w:numPr>
        <w:ind w:left="360"/>
      </w:pPr>
      <w:r>
        <w:t>Hémocultures, sérologie H. Pylori</w:t>
      </w:r>
    </w:p>
    <w:p w:rsidR="00F84B6F" w:rsidRDefault="00F84B6F" w:rsidP="00F84B6F">
      <w:pPr>
        <w:pStyle w:val="Sansinterligne"/>
        <w:numPr>
          <w:ilvl w:val="0"/>
          <w:numId w:val="1139"/>
        </w:numPr>
        <w:ind w:left="360"/>
      </w:pPr>
      <w:r>
        <w:t>Glycémie</w:t>
      </w:r>
    </w:p>
    <w:p w:rsidR="00F84B6F" w:rsidRDefault="00F84B6F" w:rsidP="00F84B6F">
      <w:pPr>
        <w:pStyle w:val="Sansinterligne"/>
      </w:pPr>
    </w:p>
    <w:p w:rsidR="00F84B6F" w:rsidRDefault="00F84B6F" w:rsidP="00F84B6F">
      <w:pPr>
        <w:pStyle w:val="Sansinterligne"/>
        <w:numPr>
          <w:ilvl w:val="0"/>
          <w:numId w:val="1139"/>
        </w:numPr>
        <w:ind w:left="360"/>
      </w:pPr>
      <w:r>
        <w:t>RXP (éliminer pneumonie de la base)</w:t>
      </w:r>
    </w:p>
    <w:p w:rsidR="00F84B6F" w:rsidRPr="006B5011" w:rsidRDefault="00F84B6F" w:rsidP="00F84B6F">
      <w:pPr>
        <w:pStyle w:val="Sansinterligne"/>
        <w:numPr>
          <w:ilvl w:val="0"/>
          <w:numId w:val="1139"/>
        </w:numPr>
        <w:ind w:left="360"/>
        <w:rPr>
          <w:highlight w:val="yellow"/>
        </w:rPr>
      </w:pPr>
      <w:r w:rsidRPr="006B5011">
        <w:rPr>
          <w:highlight w:val="yellow"/>
        </w:rPr>
        <w:t>Radiographie abdominale</w:t>
      </w:r>
    </w:p>
    <w:p w:rsidR="00F84B6F" w:rsidRPr="006B5011" w:rsidRDefault="00F84B6F" w:rsidP="00F84B6F">
      <w:pPr>
        <w:pStyle w:val="Sansinterligne"/>
        <w:numPr>
          <w:ilvl w:val="0"/>
          <w:numId w:val="1139"/>
        </w:numPr>
        <w:ind w:left="360"/>
        <w:rPr>
          <w:highlight w:val="yellow"/>
        </w:rPr>
      </w:pPr>
      <w:r w:rsidRPr="006B5011">
        <w:rPr>
          <w:highlight w:val="yellow"/>
        </w:rPr>
        <w:t>Échographie abdominale</w:t>
      </w:r>
    </w:p>
    <w:p w:rsidR="00F84B6F" w:rsidRPr="006B5011" w:rsidRDefault="00F84B6F" w:rsidP="00F84B6F">
      <w:pPr>
        <w:pStyle w:val="Sansinterligne"/>
        <w:numPr>
          <w:ilvl w:val="0"/>
          <w:numId w:val="1139"/>
        </w:numPr>
        <w:ind w:left="360"/>
        <w:rPr>
          <w:highlight w:val="yellow"/>
        </w:rPr>
      </w:pPr>
      <w:r w:rsidRPr="006B5011">
        <w:rPr>
          <w:highlight w:val="yellow"/>
        </w:rPr>
        <w:t>Réduction par lavement hydrostatique (thérapeutique et diagnostic)</w:t>
      </w:r>
    </w:p>
    <w:p w:rsidR="00F84B6F" w:rsidRPr="006B5011" w:rsidRDefault="00F84B6F" w:rsidP="00F84B6F">
      <w:pPr>
        <w:pStyle w:val="Sansinterligne"/>
        <w:numPr>
          <w:ilvl w:val="0"/>
          <w:numId w:val="1139"/>
        </w:numPr>
        <w:ind w:left="360"/>
        <w:rPr>
          <w:highlight w:val="yellow"/>
        </w:rPr>
      </w:pPr>
      <w:r w:rsidRPr="006B5011">
        <w:rPr>
          <w:highlight w:val="yellow"/>
        </w:rPr>
        <w:t>Lavement baryté (Dx de volvulus si patient stable)</w:t>
      </w:r>
    </w:p>
    <w:p w:rsidR="00F84B6F" w:rsidRDefault="00F84B6F" w:rsidP="00F84B6F">
      <w:pPr>
        <w:pStyle w:val="Sansinterligne"/>
        <w:numPr>
          <w:ilvl w:val="0"/>
          <w:numId w:val="1139"/>
        </w:numPr>
        <w:ind w:left="360"/>
      </w:pPr>
      <w:r>
        <w:t>TDM-Scintigraphie au technetium (Dx de Diverticule de Meckel)</w:t>
      </w:r>
    </w:p>
    <w:p w:rsidR="00F84B6F" w:rsidRDefault="00F84B6F" w:rsidP="00F84B6F">
      <w:pPr>
        <w:pStyle w:val="Sansinterligne"/>
        <w:numPr>
          <w:ilvl w:val="0"/>
          <w:numId w:val="1139"/>
        </w:numPr>
        <w:ind w:left="360"/>
      </w:pPr>
      <w:r>
        <w:t>Gastroscopie</w:t>
      </w:r>
    </w:p>
    <w:p w:rsidR="00F84B6F" w:rsidRDefault="00F84B6F" w:rsidP="00F84B6F">
      <w:pPr>
        <w:pStyle w:val="Sansinterligne"/>
      </w:pPr>
    </w:p>
    <w:p w:rsidR="00F84B6F" w:rsidRPr="00F562B8" w:rsidRDefault="00F84B6F" w:rsidP="00F84B6F">
      <w:pPr>
        <w:pStyle w:val="Sansinterligne"/>
        <w:rPr>
          <w:b/>
          <w:sz w:val="28"/>
          <w:szCs w:val="28"/>
        </w:rPr>
      </w:pPr>
      <w:r w:rsidRPr="00F562B8">
        <w:rPr>
          <w:b/>
          <w:sz w:val="28"/>
          <w:szCs w:val="28"/>
        </w:rPr>
        <w:t>Prise en charge</w:t>
      </w:r>
    </w:p>
    <w:p w:rsidR="00F84B6F" w:rsidRDefault="00F84B6F" w:rsidP="00F84B6F">
      <w:pPr>
        <w:pStyle w:val="Sansinterligne"/>
      </w:pPr>
    </w:p>
    <w:p w:rsidR="00F84B6F" w:rsidRDefault="00F84B6F" w:rsidP="00F84B6F">
      <w:pPr>
        <w:pStyle w:val="Sansinterligne"/>
      </w:pPr>
      <w:r>
        <w:rPr>
          <w:noProof/>
          <w:lang w:eastAsia="fr-CA"/>
        </w:rPr>
        <w:drawing>
          <wp:anchor distT="0" distB="0" distL="114300" distR="114300" simplePos="0" relativeHeight="252249088" behindDoc="1" locked="0" layoutInCell="1" allowOverlap="1" wp14:anchorId="03B93D3B" wp14:editId="746EBD46">
            <wp:simplePos x="0" y="0"/>
            <wp:positionH relativeFrom="column">
              <wp:posOffset>3170893</wp:posOffset>
            </wp:positionH>
            <wp:positionV relativeFrom="paragraph">
              <wp:posOffset>69850</wp:posOffset>
            </wp:positionV>
            <wp:extent cx="3844290" cy="2431415"/>
            <wp:effectExtent l="0" t="0" r="3810" b="6985"/>
            <wp:wrapNone/>
            <wp:docPr id="534" name="Image 534" descr="Résultats de recherche d'images pour « malrotation intestina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ésultats de recherche d'images pour « malrotation intestinale »"/>
                    <pic:cNvPicPr>
                      <a:picLocks noChangeAspect="1" noChangeArrowheads="1"/>
                    </pic:cNvPicPr>
                  </pic:nvPicPr>
                  <pic:blipFill rotWithShape="1">
                    <a:blip r:embed="rId27">
                      <a:extLst>
                        <a:ext uri="{28A0092B-C50C-407E-A947-70E740481C1C}">
                          <a14:useLocalDpi xmlns:a14="http://schemas.microsoft.com/office/drawing/2010/main" val="0"/>
                        </a:ext>
                      </a:extLst>
                    </a:blip>
                    <a:srcRect l="3404" t="8403" r="5100" b="5883"/>
                    <a:stretch/>
                  </pic:blipFill>
                  <pic:spPr bwMode="auto">
                    <a:xfrm>
                      <a:off x="0" y="0"/>
                      <a:ext cx="3844290" cy="243141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t>Dans tous les cas de présentations chirurgicales : NPO, TNG PRN, réanimation volémique</w:t>
      </w:r>
    </w:p>
    <w:p w:rsidR="00F84B6F" w:rsidRDefault="00F84B6F" w:rsidP="00F84B6F">
      <w:pPr>
        <w:pStyle w:val="Sansinterligne"/>
      </w:pPr>
    </w:p>
    <w:p w:rsidR="00F84B6F" w:rsidRPr="006B5011" w:rsidRDefault="00F84B6F" w:rsidP="00F84B6F">
      <w:pPr>
        <w:pStyle w:val="Sansinterligne"/>
        <w:rPr>
          <w:b/>
          <w:highlight w:val="yellow"/>
        </w:rPr>
      </w:pPr>
      <w:r w:rsidRPr="006B5011">
        <w:rPr>
          <w:b/>
          <w:highlight w:val="yellow"/>
        </w:rPr>
        <w:t>Entérocolite nécrosante</w:t>
      </w:r>
    </w:p>
    <w:p w:rsidR="00F84B6F" w:rsidRPr="006B5011" w:rsidRDefault="00F84B6F" w:rsidP="00F84B6F">
      <w:pPr>
        <w:pStyle w:val="Sansinterligne"/>
        <w:numPr>
          <w:ilvl w:val="0"/>
          <w:numId w:val="1136"/>
        </w:numPr>
        <w:rPr>
          <w:highlight w:val="yellow"/>
        </w:rPr>
      </w:pPr>
      <w:r w:rsidRPr="006B5011">
        <w:rPr>
          <w:highlight w:val="yellow"/>
        </w:rPr>
        <w:t xml:space="preserve">NPO </w:t>
      </w:r>
      <w:r w:rsidRPr="006B5011">
        <w:rPr>
          <w:rFonts w:ascii="Century Gothic" w:hAnsi="Century Gothic"/>
          <w:highlight w:val="yellow"/>
        </w:rPr>
        <w:t>→</w:t>
      </w:r>
      <w:r w:rsidRPr="006B5011">
        <w:rPr>
          <w:highlight w:val="yellow"/>
        </w:rPr>
        <w:t xml:space="preserve"> Alimentation parentérale</w:t>
      </w:r>
    </w:p>
    <w:p w:rsidR="00F84B6F" w:rsidRPr="006B5011" w:rsidRDefault="00F84B6F" w:rsidP="00F84B6F">
      <w:pPr>
        <w:pStyle w:val="Sansinterligne"/>
        <w:numPr>
          <w:ilvl w:val="0"/>
          <w:numId w:val="1136"/>
        </w:numPr>
        <w:rPr>
          <w:highlight w:val="yellow"/>
        </w:rPr>
      </w:pPr>
      <w:r w:rsidRPr="006B5011">
        <w:rPr>
          <w:highlight w:val="yellow"/>
        </w:rPr>
        <w:t>TNG avec succion</w:t>
      </w:r>
    </w:p>
    <w:p w:rsidR="00F84B6F" w:rsidRPr="006B5011" w:rsidRDefault="00F84B6F" w:rsidP="00F84B6F">
      <w:pPr>
        <w:pStyle w:val="Sansinterligne"/>
        <w:numPr>
          <w:ilvl w:val="1"/>
          <w:numId w:val="1136"/>
        </w:numPr>
        <w:rPr>
          <w:highlight w:val="yellow"/>
        </w:rPr>
      </w:pPr>
      <w:r w:rsidRPr="006B5011">
        <w:rPr>
          <w:highlight w:val="yellow"/>
        </w:rPr>
        <w:t>Contrôles RXA q 12h</w:t>
      </w:r>
    </w:p>
    <w:p w:rsidR="00F84B6F" w:rsidRPr="006B5011" w:rsidRDefault="00F84B6F" w:rsidP="00F84B6F">
      <w:pPr>
        <w:pStyle w:val="Sansinterligne"/>
        <w:numPr>
          <w:ilvl w:val="0"/>
          <w:numId w:val="1136"/>
        </w:numPr>
        <w:rPr>
          <w:highlight w:val="yellow"/>
        </w:rPr>
      </w:pPr>
      <w:r w:rsidRPr="006B5011">
        <w:rPr>
          <w:highlight w:val="yellow"/>
        </w:rPr>
        <w:t>Antibiothérapie large spectre après hémocultures</w:t>
      </w:r>
    </w:p>
    <w:p w:rsidR="00F84B6F" w:rsidRPr="006B5011" w:rsidRDefault="00F84B6F" w:rsidP="00F84B6F">
      <w:pPr>
        <w:pStyle w:val="Sansinterligne"/>
        <w:numPr>
          <w:ilvl w:val="1"/>
          <w:numId w:val="1136"/>
        </w:numPr>
        <w:rPr>
          <w:highlight w:val="yellow"/>
        </w:rPr>
      </w:pPr>
      <w:r w:rsidRPr="006B5011">
        <w:rPr>
          <w:highlight w:val="yellow"/>
        </w:rPr>
        <w:t>Ampicilline, cefotaxime, metronidazole</w:t>
      </w:r>
    </w:p>
    <w:p w:rsidR="00F84B6F" w:rsidRPr="006B5011" w:rsidRDefault="00F84B6F" w:rsidP="00F84B6F">
      <w:pPr>
        <w:pStyle w:val="Sansinterligne"/>
        <w:numPr>
          <w:ilvl w:val="0"/>
          <w:numId w:val="1136"/>
        </w:numPr>
        <w:rPr>
          <w:highlight w:val="yellow"/>
        </w:rPr>
      </w:pPr>
      <w:r w:rsidRPr="006B5011">
        <w:rPr>
          <w:highlight w:val="yellow"/>
        </w:rPr>
        <w:t>Consultation urgente en chirurgie pédiatrique</w:t>
      </w:r>
    </w:p>
    <w:p w:rsidR="00F84B6F" w:rsidRDefault="00F84B6F" w:rsidP="00F84B6F">
      <w:pPr>
        <w:pStyle w:val="Sansinterligne"/>
        <w:numPr>
          <w:ilvl w:val="1"/>
          <w:numId w:val="1136"/>
        </w:numPr>
      </w:pPr>
      <w:r w:rsidRPr="006B5011">
        <w:rPr>
          <w:highlight w:val="yellow"/>
        </w:rPr>
        <w:t xml:space="preserve">Exploration laparoscopique PRN </w:t>
      </w:r>
      <w:r w:rsidRPr="006B5011">
        <w:rPr>
          <w:rFonts w:cs="Times New Roman"/>
          <w:highlight w:val="yellow"/>
        </w:rPr>
        <w:t>±</w:t>
      </w:r>
      <w:r w:rsidRPr="006B5011">
        <w:rPr>
          <w:highlight w:val="yellow"/>
        </w:rPr>
        <w:t xml:space="preserve"> résection</w:t>
      </w:r>
      <w:r>
        <w:t xml:space="preserve"> </w:t>
      </w:r>
    </w:p>
    <w:p w:rsidR="00F84B6F" w:rsidRDefault="00F84B6F" w:rsidP="00F84B6F">
      <w:pPr>
        <w:pStyle w:val="Sansinterligne"/>
      </w:pPr>
    </w:p>
    <w:p w:rsidR="00F84B6F" w:rsidRPr="006B5011" w:rsidRDefault="00F84B6F" w:rsidP="00F84B6F">
      <w:pPr>
        <w:pStyle w:val="Sansinterligne"/>
        <w:rPr>
          <w:b/>
          <w:highlight w:val="yellow"/>
        </w:rPr>
      </w:pPr>
      <w:r w:rsidRPr="006B5011">
        <w:rPr>
          <w:b/>
          <w:highlight w:val="yellow"/>
        </w:rPr>
        <w:t>Volvulus sur malrotation</w:t>
      </w:r>
      <w:r w:rsidRPr="00DD349C">
        <w:t xml:space="preserve"> </w:t>
      </w:r>
    </w:p>
    <w:p w:rsidR="00F84B6F" w:rsidRPr="006B5011" w:rsidRDefault="00F84B6F" w:rsidP="00F84B6F">
      <w:pPr>
        <w:pStyle w:val="Sansinterligne"/>
        <w:numPr>
          <w:ilvl w:val="0"/>
          <w:numId w:val="1166"/>
        </w:numPr>
        <w:rPr>
          <w:highlight w:val="yellow"/>
        </w:rPr>
      </w:pPr>
      <w:r w:rsidRPr="006B5011">
        <w:rPr>
          <w:highlight w:val="yellow"/>
        </w:rPr>
        <w:t>Consultation en chirurgie pédiatrique</w:t>
      </w:r>
    </w:p>
    <w:p w:rsidR="00F84B6F" w:rsidRPr="006B5011" w:rsidRDefault="00F84B6F" w:rsidP="00F84B6F">
      <w:pPr>
        <w:pStyle w:val="Sansinterligne"/>
        <w:numPr>
          <w:ilvl w:val="1"/>
          <w:numId w:val="1166"/>
        </w:numPr>
        <w:rPr>
          <w:highlight w:val="yellow"/>
        </w:rPr>
      </w:pPr>
      <w:r w:rsidRPr="006B5011">
        <w:rPr>
          <w:highlight w:val="yellow"/>
        </w:rPr>
        <w:t xml:space="preserve">Procédure de Ladd </w:t>
      </w:r>
    </w:p>
    <w:p w:rsidR="00F84B6F" w:rsidRDefault="00F84B6F" w:rsidP="00F84B6F">
      <w:pPr>
        <w:pStyle w:val="Sansinterligne"/>
        <w:numPr>
          <w:ilvl w:val="1"/>
          <w:numId w:val="1166"/>
        </w:numPr>
        <w:ind w:right="4137"/>
        <w:rPr>
          <w:highlight w:val="yellow"/>
        </w:rPr>
      </w:pPr>
      <w:r w:rsidRPr="006B5011">
        <w:rPr>
          <w:highlight w:val="yellow"/>
        </w:rPr>
        <w:t xml:space="preserve">Rétrécissement du mésentère et créations d’adhérences </w:t>
      </w:r>
    </w:p>
    <w:p w:rsidR="00F84B6F" w:rsidRPr="006B5011" w:rsidRDefault="00F84B6F" w:rsidP="00F84B6F">
      <w:pPr>
        <w:pStyle w:val="Sansinterligne"/>
        <w:ind w:left="1080" w:right="4137"/>
        <w:rPr>
          <w:highlight w:val="yellow"/>
        </w:rPr>
      </w:pPr>
      <w:r>
        <w:rPr>
          <w:highlight w:val="yellow"/>
        </w:rPr>
        <w:t xml:space="preserve">pour </w:t>
      </w:r>
      <w:r w:rsidRPr="006B5011">
        <w:rPr>
          <w:highlight w:val="yellow"/>
        </w:rPr>
        <w:t>maintenir l’intestin en position fonctionnelle</w:t>
      </w:r>
    </w:p>
    <w:p w:rsidR="00F84B6F" w:rsidRPr="006B5011" w:rsidRDefault="00F84B6F" w:rsidP="00F84B6F">
      <w:pPr>
        <w:pStyle w:val="Sansinterligne"/>
        <w:numPr>
          <w:ilvl w:val="0"/>
          <w:numId w:val="1166"/>
        </w:numPr>
        <w:rPr>
          <w:highlight w:val="yellow"/>
        </w:rPr>
      </w:pPr>
      <w:r w:rsidRPr="006B5011">
        <w:rPr>
          <w:highlight w:val="yellow"/>
        </w:rPr>
        <w:t>Si stable hémodynamiquement, confirmer le Dx</w:t>
      </w:r>
      <w:r>
        <w:rPr>
          <w:highlight w:val="yellow"/>
        </w:rPr>
        <w:t xml:space="preserve"> puis chirurgie</w:t>
      </w:r>
    </w:p>
    <w:p w:rsidR="00F84B6F" w:rsidRPr="006B5011" w:rsidRDefault="00F84B6F" w:rsidP="00F84B6F">
      <w:pPr>
        <w:pStyle w:val="Sansinterligne"/>
        <w:numPr>
          <w:ilvl w:val="0"/>
          <w:numId w:val="1166"/>
        </w:numPr>
        <w:rPr>
          <w:highlight w:val="yellow"/>
        </w:rPr>
      </w:pPr>
      <w:r w:rsidRPr="006B5011">
        <w:rPr>
          <w:highlight w:val="yellow"/>
        </w:rPr>
        <w:t>Si instable, chirurgie STAT</w:t>
      </w:r>
    </w:p>
    <w:p w:rsidR="00F84B6F" w:rsidRPr="006B5011" w:rsidRDefault="00F84B6F" w:rsidP="00F84B6F">
      <w:pPr>
        <w:pStyle w:val="Sansinterligne"/>
        <w:numPr>
          <w:ilvl w:val="0"/>
          <w:numId w:val="1166"/>
        </w:numPr>
        <w:rPr>
          <w:highlight w:val="yellow"/>
        </w:rPr>
      </w:pPr>
      <w:r w:rsidRPr="006B5011">
        <w:rPr>
          <w:highlight w:val="yellow"/>
        </w:rPr>
        <w:t>Réanimation volémique</w:t>
      </w:r>
    </w:p>
    <w:p w:rsidR="00F84B6F" w:rsidRPr="006B5011" w:rsidRDefault="00F84B6F" w:rsidP="00F84B6F">
      <w:pPr>
        <w:pStyle w:val="Sansinterligne"/>
        <w:numPr>
          <w:ilvl w:val="0"/>
          <w:numId w:val="1166"/>
        </w:numPr>
        <w:rPr>
          <w:highlight w:val="yellow"/>
        </w:rPr>
      </w:pPr>
      <w:r w:rsidRPr="006B5011">
        <w:rPr>
          <w:highlight w:val="yellow"/>
        </w:rPr>
        <w:t>Antibiothérapie large spectre</w:t>
      </w:r>
    </w:p>
    <w:p w:rsidR="00F84B6F" w:rsidRPr="007F6B26" w:rsidRDefault="00F84B6F" w:rsidP="00F84B6F">
      <w:pPr>
        <w:pStyle w:val="Sansinterligne"/>
      </w:pPr>
    </w:p>
    <w:p w:rsidR="00F84B6F" w:rsidRPr="006B5011" w:rsidRDefault="00F84B6F" w:rsidP="00F84B6F">
      <w:pPr>
        <w:pStyle w:val="Sansinterligne"/>
        <w:rPr>
          <w:b/>
          <w:highlight w:val="yellow"/>
        </w:rPr>
      </w:pPr>
      <w:r w:rsidRPr="006B5011">
        <w:rPr>
          <w:b/>
          <w:highlight w:val="yellow"/>
        </w:rPr>
        <w:t>Invagination</w:t>
      </w:r>
    </w:p>
    <w:p w:rsidR="00F84B6F" w:rsidRPr="006B5011" w:rsidRDefault="00F84B6F" w:rsidP="00F84B6F">
      <w:pPr>
        <w:pStyle w:val="Sansinterligne"/>
        <w:numPr>
          <w:ilvl w:val="0"/>
          <w:numId w:val="1165"/>
        </w:numPr>
        <w:rPr>
          <w:highlight w:val="yellow"/>
        </w:rPr>
      </w:pPr>
      <w:r w:rsidRPr="006B5011">
        <w:rPr>
          <w:highlight w:val="yellow"/>
        </w:rPr>
        <w:t>Urgence pédiatrique</w:t>
      </w:r>
    </w:p>
    <w:p w:rsidR="00F84B6F" w:rsidRPr="006B5011" w:rsidRDefault="00F84B6F" w:rsidP="00F84B6F">
      <w:pPr>
        <w:pStyle w:val="Sansinterligne"/>
        <w:numPr>
          <w:ilvl w:val="0"/>
          <w:numId w:val="1165"/>
        </w:numPr>
        <w:rPr>
          <w:highlight w:val="yellow"/>
        </w:rPr>
      </w:pPr>
      <w:r w:rsidRPr="006B5011">
        <w:rPr>
          <w:highlight w:val="yellow"/>
        </w:rPr>
        <w:t>Référence en chirurgie</w:t>
      </w:r>
    </w:p>
    <w:p w:rsidR="00F84B6F" w:rsidRPr="006B5011" w:rsidRDefault="00F84B6F" w:rsidP="00F84B6F">
      <w:pPr>
        <w:pStyle w:val="Sansinterligne"/>
        <w:numPr>
          <w:ilvl w:val="1"/>
          <w:numId w:val="1165"/>
        </w:numPr>
        <w:rPr>
          <w:highlight w:val="yellow"/>
        </w:rPr>
      </w:pPr>
      <w:r w:rsidRPr="006B5011">
        <w:rPr>
          <w:highlight w:val="yellow"/>
        </w:rPr>
        <w:t>Lavement avec salin ou à l’air pour décomprimer sous guidage écho/fluoro</w:t>
      </w:r>
    </w:p>
    <w:p w:rsidR="00F84B6F" w:rsidRPr="006B5011" w:rsidRDefault="00F84B6F" w:rsidP="00F84B6F">
      <w:pPr>
        <w:pStyle w:val="Sansinterligne"/>
        <w:numPr>
          <w:ilvl w:val="1"/>
          <w:numId w:val="1165"/>
        </w:numPr>
        <w:rPr>
          <w:highlight w:val="yellow"/>
        </w:rPr>
      </w:pPr>
      <w:r w:rsidRPr="006B5011">
        <w:rPr>
          <w:highlight w:val="yellow"/>
        </w:rPr>
        <w:t>Réduction chirurgicale si : symptômes prolongés, suspicion de perforation ou échec au traitement médical (rarement nécessaire)</w:t>
      </w:r>
    </w:p>
    <w:p w:rsidR="00F84B6F" w:rsidRDefault="00F84B6F" w:rsidP="00F84B6F">
      <w:pPr>
        <w:pStyle w:val="Sansinterligne"/>
      </w:pPr>
    </w:p>
    <w:p w:rsidR="00F84B6F" w:rsidRPr="001106A2" w:rsidRDefault="00F84B6F" w:rsidP="00F84B6F">
      <w:pPr>
        <w:pStyle w:val="Sansinterligne"/>
        <w:rPr>
          <w:b/>
        </w:rPr>
      </w:pPr>
      <w:r w:rsidRPr="001106A2">
        <w:rPr>
          <w:b/>
        </w:rPr>
        <w:t>Ingestion de corps étranger</w:t>
      </w:r>
    </w:p>
    <w:p w:rsidR="00F84B6F" w:rsidRDefault="00F84B6F" w:rsidP="00F84B6F">
      <w:pPr>
        <w:pStyle w:val="Sansinterligne"/>
        <w:numPr>
          <w:ilvl w:val="0"/>
          <w:numId w:val="1164"/>
        </w:numPr>
      </w:pPr>
      <w:r>
        <w:t>S’assurer qu’il n’y a pas de compromis respiratoire</w:t>
      </w:r>
    </w:p>
    <w:p w:rsidR="00F84B6F" w:rsidRDefault="00F84B6F" w:rsidP="00F84B6F">
      <w:pPr>
        <w:pStyle w:val="Sansinterligne"/>
        <w:numPr>
          <w:ilvl w:val="0"/>
          <w:numId w:val="1164"/>
        </w:numPr>
      </w:pPr>
      <w:r>
        <w:t xml:space="preserve">Si dans l’estomac ou l’œsophage </w:t>
      </w:r>
      <w:r>
        <w:rPr>
          <w:rFonts w:ascii="Century Gothic" w:hAnsi="Century Gothic"/>
        </w:rPr>
        <w:t>→</w:t>
      </w:r>
      <w:r>
        <w:t xml:space="preserve"> retirer par endoscopie</w:t>
      </w:r>
    </w:p>
    <w:p w:rsidR="00F84B6F" w:rsidRDefault="00F84B6F" w:rsidP="00F84B6F">
      <w:pPr>
        <w:pStyle w:val="Sansinterligne"/>
        <w:numPr>
          <w:ilvl w:val="0"/>
          <w:numId w:val="1164"/>
        </w:numPr>
      </w:pPr>
      <w:r>
        <w:t>Si intestinal :</w:t>
      </w:r>
    </w:p>
    <w:p w:rsidR="00F84B6F" w:rsidRDefault="00F84B6F" w:rsidP="00F84B6F">
      <w:pPr>
        <w:pStyle w:val="Sansinterligne"/>
        <w:numPr>
          <w:ilvl w:val="1"/>
          <w:numId w:val="1164"/>
        </w:numPr>
      </w:pPr>
      <w:r>
        <w:t xml:space="preserve">Pas symptomatique </w:t>
      </w:r>
      <w:r>
        <w:rPr>
          <w:rFonts w:ascii="Century Gothic" w:hAnsi="Century Gothic"/>
        </w:rPr>
        <w:t>→</w:t>
      </w:r>
      <w:r>
        <w:t xml:space="preserve"> suivi radiographique DIE (retrait chirurgical après 3 jours sans expulsion)</w:t>
      </w:r>
    </w:p>
    <w:p w:rsidR="00F84B6F" w:rsidRPr="00C23FED" w:rsidRDefault="00F84B6F" w:rsidP="00F84B6F">
      <w:pPr>
        <w:pStyle w:val="Sansinterligne"/>
        <w:numPr>
          <w:ilvl w:val="0"/>
          <w:numId w:val="1164"/>
        </w:numPr>
      </w:pPr>
      <w:r>
        <w:rPr>
          <w:noProof/>
          <w:lang w:eastAsia="fr-CA"/>
        </w:rPr>
        <mc:AlternateContent>
          <mc:Choice Requires="wpg">
            <w:drawing>
              <wp:anchor distT="0" distB="0" distL="114300" distR="114300" simplePos="0" relativeHeight="252250112" behindDoc="0" locked="0" layoutInCell="1" allowOverlap="1" wp14:anchorId="57601326" wp14:editId="1BCB883A">
                <wp:simplePos x="0" y="0"/>
                <wp:positionH relativeFrom="column">
                  <wp:posOffset>4717915</wp:posOffset>
                </wp:positionH>
                <wp:positionV relativeFrom="paragraph">
                  <wp:posOffset>58515</wp:posOffset>
                </wp:positionV>
                <wp:extent cx="1819072" cy="3035029"/>
                <wp:effectExtent l="0" t="0" r="0" b="0"/>
                <wp:wrapNone/>
                <wp:docPr id="537" name="Groupe 537"/>
                <wp:cNvGraphicFramePr/>
                <a:graphic xmlns:a="http://schemas.openxmlformats.org/drawingml/2006/main">
                  <a:graphicData uri="http://schemas.microsoft.com/office/word/2010/wordprocessingGroup">
                    <wpg:wgp>
                      <wpg:cNvGrpSpPr/>
                      <wpg:grpSpPr>
                        <a:xfrm>
                          <a:off x="0" y="0"/>
                          <a:ext cx="1819072" cy="3035029"/>
                          <a:chOff x="0" y="0"/>
                          <a:chExt cx="1819072" cy="3035029"/>
                        </a:xfrm>
                      </wpg:grpSpPr>
                      <pic:pic xmlns:pic="http://schemas.openxmlformats.org/drawingml/2006/picture">
                        <pic:nvPicPr>
                          <pic:cNvPr id="535" name="Image 535"/>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rot="5400000">
                            <a:off x="-466928" y="749030"/>
                            <a:ext cx="2752927" cy="1819072"/>
                          </a:xfrm>
                          <a:prstGeom prst="rect">
                            <a:avLst/>
                          </a:prstGeom>
                        </pic:spPr>
                      </pic:pic>
                      <wps:wsp>
                        <wps:cNvPr id="536" name="Zone de texte 2"/>
                        <wps:cNvSpPr txBox="1">
                          <a:spLocks noChangeArrowheads="1"/>
                        </wps:cNvSpPr>
                        <wps:spPr bwMode="auto">
                          <a:xfrm>
                            <a:off x="428017" y="0"/>
                            <a:ext cx="885190" cy="291465"/>
                          </a:xfrm>
                          <a:prstGeom prst="rect">
                            <a:avLst/>
                          </a:prstGeom>
                          <a:solidFill>
                            <a:srgbClr val="FFFFFF"/>
                          </a:solidFill>
                          <a:ln w="9525">
                            <a:noFill/>
                            <a:miter lim="800000"/>
                            <a:headEnd/>
                            <a:tailEnd/>
                          </a:ln>
                        </wps:spPr>
                        <wps:txbx>
                          <w:txbxContent>
                            <w:p w:rsidR="008276DC" w:rsidRPr="006059EF" w:rsidRDefault="008276DC" w:rsidP="00F84B6F">
                              <w:pPr>
                                <w:rPr>
                                  <w:b/>
                                </w:rPr>
                              </w:pPr>
                              <w:r w:rsidRPr="006059EF">
                                <w:rPr>
                                  <w:b/>
                                </w:rPr>
                                <w:t>Shistocytes</w:t>
                              </w:r>
                            </w:p>
                          </w:txbxContent>
                        </wps:txbx>
                        <wps:bodyPr rot="0" vert="horz" wrap="square" lIns="91440" tIns="45720" rIns="91440" bIns="45720" anchor="t" anchorCtr="0">
                          <a:noAutofit/>
                        </wps:bodyPr>
                      </wps:wsp>
                    </wpg:wgp>
                  </a:graphicData>
                </a:graphic>
              </wp:anchor>
            </w:drawing>
          </mc:Choice>
          <mc:Fallback>
            <w:pict>
              <v:group id="Groupe 537" o:spid="_x0000_s1037" style="position:absolute;left:0;text-align:left;margin-left:371.5pt;margin-top:4.6pt;width:143.25pt;height:239pt;z-index:252250112" coordsize="18190,30350" o:gfxdata="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">
                <v:shape id="Image 535" o:spid="_x0000_s1038" type="#_x0000_t75" style="position:absolute;left:-4670;top:7491;width:27529;height:18190;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GBuX/EAAAA3AAAAA8AAABkcnMvZG93bnJldi54bWxEj09rAjEUxO+C3yE8wVvNqvinW6OIIqjQ&#10;Q9ceenxsnpvFzcuyibr20zdCweMwM79hFqvWVuJGjS8dKxgOEhDEudMlFwq+T7u3OQgfkDVWjknB&#10;gzyslt3OAlPt7vxFtywUIkLYp6jAhFCnUvrckEU/cDVx9M6usRiibAqpG7xHuK3kKEmm0mLJccFg&#10;TRtD+SW72kh5t9PZSR4Pl2z7aw/O/Ojs0ynV77XrDxCB2vAK/7f3WsFkPIHnmXgE5PI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GBuX/EAAAA3AAAAA8AAAAAAAAAAAAAAAAA&#10;nwIAAGRycy9kb3ducmV2LnhtbFBLBQYAAAAABAAEAPcAAACQAwAAAAA=&#10;">
                  <v:imagedata r:id="rId29" o:title=""/>
                  <v:path arrowok="t"/>
                </v:shape>
                <v:shape id="_x0000_s1039" type="#_x0000_t202" style="position:absolute;left:4280;width:8852;height:29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oUWsUA&#10;AADcAAAADwAAAGRycy9kb3ducmV2LnhtbESP3WrCQBSE74W+w3IKvZG6aWtiG92EtqB4q/UBjtlj&#10;EsyeDdltft7eLRS8HGbmG2aTj6YRPXWutqzgZRGBIC6srrlUcPrZPr+DcB5ZY2OZFEzkIM8eZhtM&#10;tR34QP3RlyJA2KWooPK+TaV0RUUG3cK2xMG72M6gD7Irpe5wCHDTyNcoSqTBmsNChS19V1Rcj79G&#10;wWU/zOOP4bzzp9VhmXxhvTrbSamnx/FzDcLT6O/h//ZeK4jfEvg7E46AzG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2hRaxQAAANwAAAAPAAAAAAAAAAAAAAAAAJgCAABkcnMv&#10;ZG93bnJldi54bWxQSwUGAAAAAAQABAD1AAAAigMAAAAA&#10;" stroked="f">
                  <v:textbox>
                    <w:txbxContent>
                      <w:p w:rsidR="008276DC" w:rsidRPr="006059EF" w:rsidRDefault="008276DC" w:rsidP="00F84B6F">
                        <w:pPr>
                          <w:rPr>
                            <w:b/>
                          </w:rPr>
                        </w:pPr>
                        <w:r w:rsidRPr="006059EF">
                          <w:rPr>
                            <w:b/>
                          </w:rPr>
                          <w:t>Shistocytes</w:t>
                        </w:r>
                      </w:p>
                    </w:txbxContent>
                  </v:textbox>
                </v:shape>
              </v:group>
            </w:pict>
          </mc:Fallback>
        </mc:AlternateContent>
      </w:r>
      <w:r>
        <w:t xml:space="preserve">Symptomatique / perforation </w:t>
      </w:r>
      <w:r>
        <w:rPr>
          <w:rFonts w:ascii="Century Gothic" w:hAnsi="Century Gothic"/>
        </w:rPr>
        <w:t>→</w:t>
      </w:r>
      <w:r>
        <w:t xml:space="preserve"> chirurgie immédiate</w:t>
      </w:r>
    </w:p>
    <w:p w:rsidR="00F84B6F" w:rsidRDefault="00F84B6F" w:rsidP="00F84B6F">
      <w:pPr>
        <w:pStyle w:val="Sansinterligne"/>
        <w:rPr>
          <w:b/>
        </w:rPr>
      </w:pPr>
    </w:p>
    <w:p w:rsidR="00F84B6F" w:rsidRDefault="00F84B6F" w:rsidP="00F84B6F">
      <w:pPr>
        <w:pStyle w:val="Sansinterligne"/>
      </w:pPr>
      <w:r>
        <w:rPr>
          <w:b/>
        </w:rPr>
        <w:t>Hernie inguinale incarcérée</w:t>
      </w:r>
    </w:p>
    <w:p w:rsidR="00F84B6F" w:rsidRDefault="00F84B6F" w:rsidP="00F84B6F">
      <w:pPr>
        <w:pStyle w:val="Sansinterligne"/>
        <w:numPr>
          <w:ilvl w:val="0"/>
          <w:numId w:val="1163"/>
        </w:numPr>
      </w:pPr>
      <w:r>
        <w:t>Consultation en chirurgie pédiatrique</w:t>
      </w:r>
    </w:p>
    <w:p w:rsidR="00F84B6F" w:rsidRDefault="00F84B6F" w:rsidP="00F84B6F">
      <w:pPr>
        <w:pStyle w:val="Sansinterligne"/>
        <w:numPr>
          <w:ilvl w:val="1"/>
          <w:numId w:val="1163"/>
        </w:numPr>
      </w:pPr>
      <w:r>
        <w:t>Herniorraphie urgente</w:t>
      </w:r>
    </w:p>
    <w:p w:rsidR="00F84B6F" w:rsidRDefault="00F84B6F" w:rsidP="00F84B6F">
      <w:pPr>
        <w:pStyle w:val="Sansinterligne"/>
      </w:pPr>
    </w:p>
    <w:p w:rsidR="00F84B6F" w:rsidRPr="001704EC" w:rsidRDefault="00F84B6F" w:rsidP="00F84B6F">
      <w:pPr>
        <w:pStyle w:val="Sansinterligne"/>
        <w:rPr>
          <w:b/>
        </w:rPr>
      </w:pPr>
      <w:r w:rsidRPr="001704EC">
        <w:rPr>
          <w:b/>
        </w:rPr>
        <w:t>Torsion testiculaire</w:t>
      </w:r>
    </w:p>
    <w:p w:rsidR="00F84B6F" w:rsidRDefault="00F84B6F" w:rsidP="00F84B6F">
      <w:pPr>
        <w:pStyle w:val="Sansinterligne"/>
        <w:numPr>
          <w:ilvl w:val="0"/>
          <w:numId w:val="1161"/>
        </w:numPr>
      </w:pPr>
      <w:r>
        <w:t>Consultation en chirurgie pédiatrique / urologie pédiatrique</w:t>
      </w:r>
    </w:p>
    <w:p w:rsidR="00F84B6F" w:rsidRDefault="00F84B6F" w:rsidP="00F84B6F">
      <w:pPr>
        <w:pStyle w:val="Sansinterligne"/>
        <w:numPr>
          <w:ilvl w:val="0"/>
          <w:numId w:val="1161"/>
        </w:numPr>
      </w:pPr>
      <w:r>
        <w:t xml:space="preserve">Néonatale </w:t>
      </w:r>
      <w:r>
        <w:rPr>
          <w:rFonts w:ascii="Century Gothic" w:hAnsi="Century Gothic"/>
        </w:rPr>
        <w:t>→</w:t>
      </w:r>
      <w:r>
        <w:t xml:space="preserve"> orchiectomie et orchiopexie controlatérale</w:t>
      </w:r>
    </w:p>
    <w:p w:rsidR="00F84B6F" w:rsidRPr="00553A07" w:rsidRDefault="00F84B6F" w:rsidP="00F84B6F">
      <w:pPr>
        <w:pStyle w:val="Sansinterligne"/>
        <w:numPr>
          <w:ilvl w:val="0"/>
          <w:numId w:val="1161"/>
        </w:numPr>
        <w:rPr>
          <w:rFonts w:cs="Times New Roman"/>
        </w:rPr>
      </w:pPr>
      <w:r w:rsidRPr="00553A07">
        <w:rPr>
          <w:rFonts w:cs="Times New Roman"/>
        </w:rPr>
        <w:t>Plus âgé → consultation urgente en urologie pédiatrique</w:t>
      </w:r>
    </w:p>
    <w:p w:rsidR="00F84B6F" w:rsidRPr="00553A07" w:rsidRDefault="00F84B6F" w:rsidP="00F84B6F">
      <w:pPr>
        <w:pStyle w:val="Sansinterligne"/>
        <w:numPr>
          <w:ilvl w:val="1"/>
          <w:numId w:val="1161"/>
        </w:numPr>
        <w:rPr>
          <w:rFonts w:cs="Times New Roman"/>
        </w:rPr>
      </w:pPr>
      <w:r w:rsidRPr="00553A07">
        <w:rPr>
          <w:rFonts w:cs="Times New Roman"/>
        </w:rPr>
        <w:t>Détorsion et orchidopexie ou orchiectomie</w:t>
      </w:r>
    </w:p>
    <w:p w:rsidR="00F84B6F" w:rsidRPr="00553A07" w:rsidRDefault="00F84B6F" w:rsidP="00F84B6F">
      <w:pPr>
        <w:pStyle w:val="Sansinterligne"/>
        <w:numPr>
          <w:ilvl w:val="1"/>
          <w:numId w:val="1161"/>
        </w:numPr>
        <w:rPr>
          <w:rFonts w:cs="Times New Roman"/>
        </w:rPr>
      </w:pPr>
      <w:r w:rsidRPr="00553A07">
        <w:rPr>
          <w:rFonts w:cs="Times New Roman"/>
        </w:rPr>
        <w:t>Détorsion manuelle en attendant la prise en charge chirurgicale</w:t>
      </w:r>
    </w:p>
    <w:p w:rsidR="00F84B6F" w:rsidRDefault="00F84B6F" w:rsidP="00F84B6F">
      <w:pPr>
        <w:pStyle w:val="Sansinterligne"/>
      </w:pPr>
    </w:p>
    <w:p w:rsidR="00F84B6F" w:rsidRPr="001704EC" w:rsidRDefault="00F84B6F" w:rsidP="00F84B6F">
      <w:pPr>
        <w:pStyle w:val="Sansinterligne"/>
        <w:rPr>
          <w:b/>
        </w:rPr>
      </w:pPr>
      <w:r w:rsidRPr="001704EC">
        <w:rPr>
          <w:b/>
        </w:rPr>
        <w:t>Syndrome hémolytique-urémique (SHU)</w:t>
      </w:r>
    </w:p>
    <w:p w:rsidR="00F84B6F" w:rsidRDefault="00F84B6F" w:rsidP="00F84B6F">
      <w:pPr>
        <w:pStyle w:val="Sansinterligne"/>
        <w:numPr>
          <w:ilvl w:val="0"/>
          <w:numId w:val="1162"/>
        </w:numPr>
      </w:pPr>
      <w:r>
        <w:t>Réanimation volémique PRN</w:t>
      </w:r>
    </w:p>
    <w:p w:rsidR="00F84B6F" w:rsidRDefault="00F84B6F" w:rsidP="00F84B6F">
      <w:pPr>
        <w:pStyle w:val="Sansinterligne"/>
        <w:numPr>
          <w:ilvl w:val="0"/>
          <w:numId w:val="1162"/>
        </w:numPr>
      </w:pPr>
      <w:r>
        <w:t>Transfusions globules/plaquettes PRN</w:t>
      </w:r>
    </w:p>
    <w:p w:rsidR="00F84B6F" w:rsidRDefault="00F84B6F" w:rsidP="00F84B6F">
      <w:pPr>
        <w:pStyle w:val="Sansinterligne"/>
        <w:numPr>
          <w:ilvl w:val="0"/>
          <w:numId w:val="1162"/>
        </w:numPr>
      </w:pPr>
      <w:r>
        <w:t>Gestion des anomalies ioniques</w:t>
      </w:r>
    </w:p>
    <w:p w:rsidR="00F84B6F" w:rsidRDefault="00F84B6F" w:rsidP="00F84B6F">
      <w:pPr>
        <w:pStyle w:val="Sansinterligne"/>
      </w:pPr>
    </w:p>
    <w:p w:rsidR="00F84B6F" w:rsidRDefault="00F84B6F" w:rsidP="00F84B6F">
      <w:pPr>
        <w:pStyle w:val="Sansinterligne"/>
      </w:pPr>
    </w:p>
    <w:p w:rsidR="00F84B6F" w:rsidRPr="001704EC" w:rsidRDefault="00F84B6F" w:rsidP="00F84B6F">
      <w:pPr>
        <w:pStyle w:val="Sansinterligne"/>
        <w:rPr>
          <w:b/>
        </w:rPr>
      </w:pPr>
      <w:r>
        <w:rPr>
          <w:noProof/>
          <w:lang w:eastAsia="fr-CA"/>
        </w:rPr>
        <w:drawing>
          <wp:anchor distT="0" distB="0" distL="114300" distR="114300" simplePos="0" relativeHeight="252248064" behindDoc="0" locked="0" layoutInCell="1" allowOverlap="1" wp14:anchorId="6A35D05D" wp14:editId="2D8781F0">
            <wp:simplePos x="0" y="0"/>
            <wp:positionH relativeFrom="column">
              <wp:posOffset>3402965</wp:posOffset>
            </wp:positionH>
            <wp:positionV relativeFrom="paragraph">
              <wp:posOffset>142875</wp:posOffset>
            </wp:positionV>
            <wp:extent cx="3239770" cy="2439670"/>
            <wp:effectExtent l="0" t="0" r="0" b="0"/>
            <wp:wrapNone/>
            <wp:docPr id="533" name="Image 533" descr="Résultats de recherche d'images pour « appendicit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ésultats de recherche d'images pour « appendicite »"/>
                    <pic:cNvPicPr>
                      <a:picLocks noChangeAspect="1" noChangeArrowheads="1"/>
                    </pic:cNvPicPr>
                  </pic:nvPicPr>
                  <pic:blipFill rotWithShape="1">
                    <a:blip r:embed="rId30">
                      <a:extLst>
                        <a:ext uri="{28A0092B-C50C-407E-A947-70E740481C1C}">
                          <a14:useLocalDpi xmlns:a14="http://schemas.microsoft.com/office/drawing/2010/main" val="0"/>
                        </a:ext>
                      </a:extLst>
                    </a:blip>
                    <a:srcRect l="1276" t="3631" r="10957" b="10891"/>
                    <a:stretch/>
                  </pic:blipFill>
                  <pic:spPr bwMode="auto">
                    <a:xfrm>
                      <a:off x="0" y="0"/>
                      <a:ext cx="3239770" cy="243967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1704EC">
        <w:rPr>
          <w:b/>
        </w:rPr>
        <w:t>Occlusions sur adhérences</w:t>
      </w:r>
    </w:p>
    <w:p w:rsidR="00F84B6F" w:rsidRDefault="00F84B6F" w:rsidP="00F84B6F">
      <w:pPr>
        <w:pStyle w:val="Sansinterligne"/>
        <w:numPr>
          <w:ilvl w:val="0"/>
          <w:numId w:val="1137"/>
        </w:numPr>
      </w:pPr>
      <w:r>
        <w:t>Consultation en chirurgie pédiatrique</w:t>
      </w:r>
    </w:p>
    <w:p w:rsidR="00F84B6F" w:rsidRDefault="00F84B6F" w:rsidP="00F84B6F">
      <w:pPr>
        <w:pStyle w:val="Sansinterligne"/>
        <w:numPr>
          <w:ilvl w:val="1"/>
          <w:numId w:val="1137"/>
        </w:numPr>
      </w:pPr>
      <w:r>
        <w:t>Lyse d’adhérences chirurgicale PRN</w:t>
      </w:r>
    </w:p>
    <w:p w:rsidR="00F84B6F" w:rsidRDefault="00F84B6F" w:rsidP="00F84B6F">
      <w:pPr>
        <w:pStyle w:val="Sansinterligne"/>
        <w:numPr>
          <w:ilvl w:val="0"/>
          <w:numId w:val="1137"/>
        </w:numPr>
      </w:pPr>
      <w:r>
        <w:t>Analgésie</w:t>
      </w:r>
    </w:p>
    <w:p w:rsidR="00F84B6F" w:rsidRDefault="00F84B6F" w:rsidP="00F84B6F">
      <w:pPr>
        <w:pStyle w:val="Sansinterligne"/>
        <w:numPr>
          <w:ilvl w:val="0"/>
          <w:numId w:val="1137"/>
        </w:numPr>
      </w:pPr>
      <w:r>
        <w:t>NPO</w:t>
      </w:r>
    </w:p>
    <w:p w:rsidR="00F84B6F" w:rsidRDefault="00F84B6F" w:rsidP="00F84B6F">
      <w:pPr>
        <w:pStyle w:val="Sansinterligne"/>
        <w:numPr>
          <w:ilvl w:val="0"/>
          <w:numId w:val="1137"/>
        </w:numPr>
      </w:pPr>
      <w:r>
        <w:t>TNG</w:t>
      </w:r>
    </w:p>
    <w:p w:rsidR="00F84B6F" w:rsidRDefault="00F84B6F" w:rsidP="00F84B6F">
      <w:pPr>
        <w:pStyle w:val="Sansinterligne"/>
        <w:numPr>
          <w:ilvl w:val="0"/>
          <w:numId w:val="1137"/>
        </w:numPr>
      </w:pPr>
      <w:r>
        <w:t>Réhydratation et correction anomalies ioniques</w:t>
      </w:r>
    </w:p>
    <w:p w:rsidR="00F84B6F" w:rsidRPr="007974F4" w:rsidRDefault="00F84B6F" w:rsidP="00F84B6F">
      <w:pPr>
        <w:pStyle w:val="Sansinterligne"/>
      </w:pPr>
    </w:p>
    <w:p w:rsidR="00F84B6F" w:rsidRPr="001704EC" w:rsidRDefault="00F84B6F" w:rsidP="00F84B6F">
      <w:pPr>
        <w:pStyle w:val="Sansinterligne"/>
        <w:rPr>
          <w:b/>
        </w:rPr>
      </w:pPr>
      <w:r w:rsidRPr="001704EC">
        <w:rPr>
          <w:b/>
        </w:rPr>
        <w:t>Diverticule de Meckel symptomatique</w:t>
      </w:r>
    </w:p>
    <w:p w:rsidR="00F84B6F" w:rsidRDefault="00F84B6F" w:rsidP="00F84B6F">
      <w:pPr>
        <w:pStyle w:val="Sansinterligne"/>
        <w:numPr>
          <w:ilvl w:val="0"/>
          <w:numId w:val="1160"/>
        </w:numPr>
      </w:pPr>
      <w:r>
        <w:t>Résection chirurgicale</w:t>
      </w:r>
    </w:p>
    <w:p w:rsidR="00F84B6F" w:rsidRDefault="00F84B6F" w:rsidP="00F84B6F">
      <w:pPr>
        <w:pStyle w:val="Sansinterligne"/>
        <w:numPr>
          <w:ilvl w:val="0"/>
          <w:numId w:val="1160"/>
        </w:numPr>
      </w:pPr>
      <w:r>
        <w:t>ATB si perforation</w:t>
      </w:r>
    </w:p>
    <w:p w:rsidR="00F84B6F" w:rsidRDefault="00F84B6F" w:rsidP="00F84B6F">
      <w:pPr>
        <w:pStyle w:val="Sansinterligne"/>
      </w:pPr>
    </w:p>
    <w:p w:rsidR="00F84B6F" w:rsidRPr="001704EC" w:rsidRDefault="00F84B6F" w:rsidP="00F84B6F">
      <w:pPr>
        <w:pStyle w:val="Sansinterligne"/>
        <w:rPr>
          <w:b/>
        </w:rPr>
      </w:pPr>
      <w:r w:rsidRPr="001704EC">
        <w:rPr>
          <w:b/>
        </w:rPr>
        <w:t>Infection urinaire</w:t>
      </w:r>
    </w:p>
    <w:p w:rsidR="00F84B6F" w:rsidRDefault="00F84B6F" w:rsidP="00F84B6F">
      <w:pPr>
        <w:pStyle w:val="Sansinterligne"/>
        <w:numPr>
          <w:ilvl w:val="0"/>
          <w:numId w:val="1159"/>
        </w:numPr>
      </w:pPr>
      <w:r>
        <w:t>Antibiothérapie appropriée</w:t>
      </w:r>
    </w:p>
    <w:p w:rsidR="00F84B6F" w:rsidRDefault="00F84B6F" w:rsidP="00F84B6F">
      <w:pPr>
        <w:pStyle w:val="Sansinterligne"/>
      </w:pPr>
    </w:p>
    <w:p w:rsidR="00F84B6F" w:rsidRPr="001704EC" w:rsidRDefault="00F84B6F" w:rsidP="00F84B6F">
      <w:pPr>
        <w:pStyle w:val="Sansinterligne"/>
        <w:rPr>
          <w:b/>
        </w:rPr>
      </w:pPr>
      <w:r w:rsidRPr="001704EC">
        <w:rPr>
          <w:b/>
        </w:rPr>
        <w:t>Péritonite bactérienne</w:t>
      </w:r>
    </w:p>
    <w:p w:rsidR="00F84B6F" w:rsidRDefault="00F84B6F" w:rsidP="00F84B6F">
      <w:pPr>
        <w:pStyle w:val="Sansinterligne"/>
        <w:numPr>
          <w:ilvl w:val="0"/>
          <w:numId w:val="1158"/>
        </w:numPr>
      </w:pPr>
      <w:r>
        <w:t>Référence en chirurgie</w:t>
      </w:r>
    </w:p>
    <w:p w:rsidR="00F84B6F" w:rsidRDefault="00F84B6F" w:rsidP="00F84B6F">
      <w:pPr>
        <w:pStyle w:val="Sansinterligne"/>
        <w:numPr>
          <w:ilvl w:val="0"/>
          <w:numId w:val="1158"/>
        </w:numPr>
      </w:pPr>
      <w:r>
        <w:t>ATBD large spectre</w:t>
      </w:r>
    </w:p>
    <w:p w:rsidR="00F84B6F" w:rsidRDefault="00F84B6F" w:rsidP="00F84B6F">
      <w:pPr>
        <w:pStyle w:val="Sansinterligne"/>
        <w:numPr>
          <w:ilvl w:val="0"/>
          <w:numId w:val="1158"/>
        </w:numPr>
      </w:pPr>
      <w:r>
        <w:t>Ponction et analyse d’ascite pour valider le traitement</w:t>
      </w:r>
    </w:p>
    <w:p w:rsidR="00F84B6F" w:rsidRDefault="00F84B6F" w:rsidP="00F84B6F">
      <w:pPr>
        <w:pStyle w:val="Sansinterligne"/>
      </w:pPr>
    </w:p>
    <w:p w:rsidR="00F84B6F" w:rsidRPr="00220BAA" w:rsidRDefault="00F84B6F" w:rsidP="00F84B6F">
      <w:pPr>
        <w:pStyle w:val="Sansinterligne"/>
        <w:rPr>
          <w:b/>
        </w:rPr>
      </w:pPr>
      <w:r w:rsidRPr="00220BAA">
        <w:rPr>
          <w:b/>
        </w:rPr>
        <w:t>Appendicite aigue</w:t>
      </w:r>
      <w:r w:rsidRPr="00DD349C">
        <w:t xml:space="preserve"> </w:t>
      </w:r>
    </w:p>
    <w:p w:rsidR="00F84B6F" w:rsidRDefault="00F84B6F" w:rsidP="00F84B6F">
      <w:pPr>
        <w:pStyle w:val="Sansinterligne"/>
        <w:numPr>
          <w:ilvl w:val="0"/>
          <w:numId w:val="1157"/>
        </w:numPr>
      </w:pPr>
      <w:r>
        <w:t xml:space="preserve">Consultation en chirurgie </w:t>
      </w:r>
    </w:p>
    <w:p w:rsidR="00F84B6F" w:rsidRDefault="00F84B6F" w:rsidP="00F84B6F">
      <w:pPr>
        <w:pStyle w:val="Sansinterligne"/>
        <w:numPr>
          <w:ilvl w:val="1"/>
          <w:numId w:val="1157"/>
        </w:numPr>
      </w:pPr>
      <w:r>
        <w:t>Appendicectomie</w:t>
      </w:r>
    </w:p>
    <w:p w:rsidR="00F84B6F" w:rsidRDefault="00F84B6F" w:rsidP="00F84B6F">
      <w:pPr>
        <w:pStyle w:val="Sansinterligne"/>
        <w:numPr>
          <w:ilvl w:val="0"/>
          <w:numId w:val="1157"/>
        </w:numPr>
      </w:pPr>
      <w:r>
        <w:t>Cefazolin 30 mg/kg IV x 1 (max 2g) + métronidazole 30 mg/kg x 1 (max 1,5 g)</w:t>
      </w:r>
    </w:p>
    <w:p w:rsidR="00F84B6F" w:rsidRDefault="00F84B6F" w:rsidP="00F84B6F">
      <w:pPr>
        <w:pStyle w:val="Sansinterligne"/>
      </w:pPr>
    </w:p>
    <w:p w:rsidR="00F84B6F" w:rsidRPr="006B5011" w:rsidRDefault="00F84B6F" w:rsidP="00F84B6F">
      <w:pPr>
        <w:pStyle w:val="Sansinterligne"/>
        <w:rPr>
          <w:b/>
          <w:highlight w:val="yellow"/>
        </w:rPr>
      </w:pPr>
      <w:r w:rsidRPr="006B5011">
        <w:rPr>
          <w:b/>
          <w:highlight w:val="yellow"/>
        </w:rPr>
        <w:t>Acidocétose diabétique</w:t>
      </w:r>
    </w:p>
    <w:p w:rsidR="00F84B6F" w:rsidRPr="006B5011" w:rsidRDefault="00F84B6F" w:rsidP="00F84B6F">
      <w:pPr>
        <w:pStyle w:val="Sansinterligne"/>
        <w:numPr>
          <w:ilvl w:val="0"/>
          <w:numId w:val="1156"/>
        </w:numPr>
        <w:rPr>
          <w:highlight w:val="yellow"/>
        </w:rPr>
      </w:pPr>
      <w:r w:rsidRPr="006B5011">
        <w:rPr>
          <w:highlight w:val="yellow"/>
        </w:rPr>
        <w:t xml:space="preserve">Réhydratation </w:t>
      </w:r>
      <w:r w:rsidRPr="006B5011">
        <w:rPr>
          <w:rFonts w:ascii="Century Gothic" w:hAnsi="Century Gothic"/>
          <w:highlight w:val="yellow"/>
        </w:rPr>
        <w:t>→</w:t>
      </w:r>
      <w:r w:rsidRPr="006B5011">
        <w:rPr>
          <w:highlight w:val="yellow"/>
        </w:rPr>
        <w:t xml:space="preserve"> 1L NS/h x 2h puis 300-400 ml/h NS ou 0,45% NaCL selon natrémie</w:t>
      </w:r>
    </w:p>
    <w:p w:rsidR="00F84B6F" w:rsidRPr="006B5011" w:rsidRDefault="00F84B6F" w:rsidP="00F84B6F">
      <w:pPr>
        <w:pStyle w:val="Sansinterligne"/>
        <w:numPr>
          <w:ilvl w:val="0"/>
          <w:numId w:val="1156"/>
        </w:numPr>
        <w:rPr>
          <w:highlight w:val="yellow"/>
        </w:rPr>
      </w:pPr>
      <w:r w:rsidRPr="006B5011">
        <w:rPr>
          <w:highlight w:val="yellow"/>
        </w:rPr>
        <w:t xml:space="preserve">Surveiller la natrémie </w:t>
      </w:r>
      <w:r w:rsidRPr="006B5011">
        <w:rPr>
          <w:rFonts w:ascii="Century Gothic" w:hAnsi="Century Gothic"/>
          <w:highlight w:val="yellow"/>
        </w:rPr>
        <w:t>→</w:t>
      </w:r>
      <w:r w:rsidRPr="006B5011">
        <w:rPr>
          <w:highlight w:val="yellow"/>
        </w:rPr>
        <w:t xml:space="preserve"> corriger si chute trop rapidement</w:t>
      </w:r>
    </w:p>
    <w:p w:rsidR="00F84B6F" w:rsidRPr="006B5011" w:rsidRDefault="00F84B6F" w:rsidP="00F84B6F">
      <w:pPr>
        <w:pStyle w:val="Sansinterligne"/>
        <w:numPr>
          <w:ilvl w:val="0"/>
          <w:numId w:val="1156"/>
        </w:numPr>
        <w:rPr>
          <w:highlight w:val="yellow"/>
        </w:rPr>
      </w:pPr>
      <w:r w:rsidRPr="006B5011">
        <w:rPr>
          <w:highlight w:val="yellow"/>
        </w:rPr>
        <w:t>Insuline R en perfusion 0,1 U/kg/h</w:t>
      </w:r>
    </w:p>
    <w:p w:rsidR="00F84B6F" w:rsidRPr="006B5011" w:rsidRDefault="00F84B6F" w:rsidP="00F84B6F">
      <w:pPr>
        <w:pStyle w:val="Sansinterligne"/>
        <w:numPr>
          <w:ilvl w:val="1"/>
          <w:numId w:val="1156"/>
        </w:numPr>
        <w:rPr>
          <w:highlight w:val="yellow"/>
        </w:rPr>
      </w:pPr>
      <w:r w:rsidRPr="006B5011">
        <w:rPr>
          <w:highlight w:val="yellow"/>
        </w:rPr>
        <w:t>Ne pas démarrer avant correction de l’hypokaliémie PRN</w:t>
      </w:r>
    </w:p>
    <w:p w:rsidR="00F84B6F" w:rsidRPr="006B5011" w:rsidRDefault="00F84B6F" w:rsidP="00F84B6F">
      <w:pPr>
        <w:pStyle w:val="Sansinterligne"/>
        <w:numPr>
          <w:ilvl w:val="0"/>
          <w:numId w:val="1156"/>
        </w:numPr>
        <w:rPr>
          <w:highlight w:val="yellow"/>
        </w:rPr>
      </w:pPr>
      <w:r w:rsidRPr="006B5011">
        <w:rPr>
          <w:highlight w:val="yellow"/>
        </w:rPr>
        <w:t>Surveillance des ions et de la glycémie q 1h</w:t>
      </w:r>
    </w:p>
    <w:p w:rsidR="00F84B6F" w:rsidRPr="006B5011" w:rsidRDefault="00F84B6F" w:rsidP="00F84B6F">
      <w:pPr>
        <w:pStyle w:val="Sansinterligne"/>
        <w:numPr>
          <w:ilvl w:val="0"/>
          <w:numId w:val="1156"/>
        </w:numPr>
        <w:rPr>
          <w:highlight w:val="yellow"/>
        </w:rPr>
      </w:pPr>
      <w:r w:rsidRPr="006B5011">
        <w:rPr>
          <w:highlight w:val="yellow"/>
        </w:rPr>
        <w:t>Gaz artériel</w:t>
      </w:r>
    </w:p>
    <w:p w:rsidR="00F84B6F" w:rsidRDefault="00F84B6F" w:rsidP="00F84B6F">
      <w:pPr>
        <w:pStyle w:val="Sansinterligne"/>
      </w:pPr>
    </w:p>
    <w:p w:rsidR="00F84B6F" w:rsidRPr="00220BAA" w:rsidRDefault="00F84B6F" w:rsidP="00F84B6F">
      <w:pPr>
        <w:pStyle w:val="Sansinterligne"/>
        <w:rPr>
          <w:b/>
        </w:rPr>
      </w:pPr>
      <w:r w:rsidRPr="00220BAA">
        <w:rPr>
          <w:b/>
        </w:rPr>
        <w:t>Ulcère peptique</w:t>
      </w:r>
    </w:p>
    <w:p w:rsidR="00F84B6F" w:rsidRDefault="00F84B6F" w:rsidP="00F84B6F">
      <w:pPr>
        <w:pStyle w:val="Sansinterligne"/>
        <w:numPr>
          <w:ilvl w:val="0"/>
          <w:numId w:val="1155"/>
        </w:numPr>
      </w:pPr>
      <w:r>
        <w:t xml:space="preserve">Si H. Pylori + </w:t>
      </w:r>
      <w:r>
        <w:rPr>
          <w:rFonts w:ascii="Century Gothic" w:hAnsi="Century Gothic"/>
        </w:rPr>
        <w:t>→</w:t>
      </w:r>
      <w:r>
        <w:t xml:space="preserve"> éradiquer</w:t>
      </w:r>
    </w:p>
    <w:p w:rsidR="00F84B6F" w:rsidRDefault="00F84B6F" w:rsidP="00F84B6F">
      <w:pPr>
        <w:pStyle w:val="Sansinterligne"/>
        <w:numPr>
          <w:ilvl w:val="1"/>
          <w:numId w:val="1155"/>
        </w:numPr>
        <w:rPr>
          <w:lang w:val="en-CA"/>
        </w:rPr>
      </w:pPr>
      <w:r w:rsidRPr="00B07FEE">
        <w:rPr>
          <w:lang w:val="en-CA"/>
        </w:rPr>
        <w:t>IPP + Amoxicilline 1g PO BID +</w:t>
      </w:r>
      <w:r>
        <w:rPr>
          <w:lang w:val="en-CA"/>
        </w:rPr>
        <w:t xml:space="preserve"> Clarithromycine 500 mg PO BID X 14 jours</w:t>
      </w:r>
    </w:p>
    <w:p w:rsidR="00F84B6F" w:rsidRPr="00B07FEE" w:rsidRDefault="00F84B6F" w:rsidP="00F84B6F">
      <w:pPr>
        <w:pStyle w:val="Sansinterligne"/>
        <w:numPr>
          <w:ilvl w:val="0"/>
          <w:numId w:val="1155"/>
        </w:numPr>
      </w:pPr>
      <w:r w:rsidRPr="00B07FEE">
        <w:t xml:space="preserve">Si AINS </w:t>
      </w:r>
      <w:r w:rsidRPr="00B07FEE">
        <w:rPr>
          <w:rFonts w:ascii="Century Gothic" w:hAnsi="Century Gothic"/>
        </w:rPr>
        <w:t>→</w:t>
      </w:r>
      <w:r w:rsidRPr="00B07FEE">
        <w:t xml:space="preserve"> discontinuer + IPP</w:t>
      </w:r>
    </w:p>
    <w:p w:rsidR="00F84B6F" w:rsidRDefault="00F84B6F" w:rsidP="00F84B6F">
      <w:pPr>
        <w:pStyle w:val="Sansinterligne"/>
        <w:numPr>
          <w:ilvl w:val="0"/>
          <w:numId w:val="1155"/>
        </w:numPr>
      </w:pPr>
      <w:r>
        <w:t>Arrêt tabagique</w:t>
      </w:r>
    </w:p>
    <w:p w:rsidR="00F84B6F" w:rsidRDefault="00F84B6F" w:rsidP="00F84B6F">
      <w:pPr>
        <w:pStyle w:val="Sansinterligne"/>
        <w:numPr>
          <w:ilvl w:val="0"/>
          <w:numId w:val="1155"/>
        </w:numPr>
      </w:pPr>
      <w:r>
        <w:t>Éviter épices, caféines et alcool</w:t>
      </w:r>
    </w:p>
    <w:p w:rsidR="00F84B6F" w:rsidRPr="00B07FEE" w:rsidRDefault="00F84B6F" w:rsidP="00F84B6F">
      <w:pPr>
        <w:pStyle w:val="Sansinterligne"/>
        <w:numPr>
          <w:ilvl w:val="0"/>
          <w:numId w:val="1155"/>
        </w:numPr>
      </w:pPr>
      <w:r>
        <w:t>Consultation chirurgicale urgente si perforé</w:t>
      </w:r>
    </w:p>
    <w:p w:rsidR="00F84B6F" w:rsidRDefault="00F84B6F" w:rsidP="00F84B6F">
      <w:pPr>
        <w:pStyle w:val="Sansinterligne"/>
      </w:pPr>
      <w:r>
        <w:rPr>
          <w:noProof/>
          <w:lang w:eastAsia="fr-CA"/>
        </w:rPr>
        <w:drawing>
          <wp:anchor distT="0" distB="0" distL="114300" distR="114300" simplePos="0" relativeHeight="252247040" behindDoc="0" locked="0" layoutInCell="1" allowOverlap="1" wp14:anchorId="42909B38" wp14:editId="409F94AD">
            <wp:simplePos x="0" y="0"/>
            <wp:positionH relativeFrom="column">
              <wp:posOffset>5184140</wp:posOffset>
            </wp:positionH>
            <wp:positionV relativeFrom="paragraph">
              <wp:posOffset>85090</wp:posOffset>
            </wp:positionV>
            <wp:extent cx="1565910" cy="2061845"/>
            <wp:effectExtent l="0" t="0" r="0" b="0"/>
            <wp:wrapNone/>
            <wp:docPr id="532" name="Image 532" descr="Résultats de recherche d'images pour « migraine abdomina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ésultats de recherche d'images pour « migraine abdominale »"/>
                    <pic:cNvPicPr>
                      <a:picLocks noChangeAspect="1" noChangeArrowheads="1"/>
                    </pic:cNvPicPr>
                  </pic:nvPicPr>
                  <pic:blipFill rotWithShape="1">
                    <a:blip r:embed="rId31">
                      <a:extLst>
                        <a:ext uri="{28A0092B-C50C-407E-A947-70E740481C1C}">
                          <a14:useLocalDpi xmlns:a14="http://schemas.microsoft.com/office/drawing/2010/main" val="0"/>
                        </a:ext>
                      </a:extLst>
                    </a:blip>
                    <a:srcRect l="20884" t="8975" r="15678"/>
                    <a:stretch/>
                  </pic:blipFill>
                  <pic:spPr bwMode="auto">
                    <a:xfrm>
                      <a:off x="0" y="0"/>
                      <a:ext cx="1565910" cy="206184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84B6F" w:rsidRPr="006B5011" w:rsidRDefault="00F84B6F" w:rsidP="00F84B6F">
      <w:pPr>
        <w:pStyle w:val="Sansinterligne"/>
        <w:rPr>
          <w:b/>
          <w:highlight w:val="yellow"/>
        </w:rPr>
      </w:pPr>
      <w:r w:rsidRPr="006B5011">
        <w:rPr>
          <w:b/>
          <w:highlight w:val="yellow"/>
        </w:rPr>
        <w:t>Migraine abdominale</w:t>
      </w:r>
    </w:p>
    <w:p w:rsidR="00F84B6F" w:rsidRPr="006B5011" w:rsidRDefault="00F84B6F" w:rsidP="00F84B6F">
      <w:pPr>
        <w:pStyle w:val="Sansinterligne"/>
        <w:numPr>
          <w:ilvl w:val="0"/>
          <w:numId w:val="1154"/>
        </w:numPr>
        <w:rPr>
          <w:highlight w:val="yellow"/>
        </w:rPr>
      </w:pPr>
      <w:r w:rsidRPr="006B5011">
        <w:rPr>
          <w:highlight w:val="yellow"/>
        </w:rPr>
        <w:t>Explication aux parents qu’il ne s’agit pas d’une condition grave, mais incapacitante</w:t>
      </w:r>
    </w:p>
    <w:p w:rsidR="00F84B6F" w:rsidRPr="006B5011" w:rsidRDefault="00F84B6F" w:rsidP="00F84B6F">
      <w:pPr>
        <w:pStyle w:val="Sansinterligne"/>
        <w:numPr>
          <w:ilvl w:val="0"/>
          <w:numId w:val="1154"/>
        </w:numPr>
        <w:rPr>
          <w:highlight w:val="yellow"/>
        </w:rPr>
      </w:pPr>
      <w:r w:rsidRPr="006B5011">
        <w:rPr>
          <w:highlight w:val="yellow"/>
        </w:rPr>
        <w:t>Résolution généralement en début d’adolescence</w:t>
      </w:r>
    </w:p>
    <w:p w:rsidR="00F84B6F" w:rsidRPr="006B5011" w:rsidRDefault="00F84B6F" w:rsidP="00F84B6F">
      <w:pPr>
        <w:pStyle w:val="Sansinterligne"/>
        <w:numPr>
          <w:ilvl w:val="0"/>
          <w:numId w:val="1154"/>
        </w:numPr>
        <w:rPr>
          <w:highlight w:val="yellow"/>
        </w:rPr>
      </w:pPr>
      <w:r w:rsidRPr="006B5011">
        <w:rPr>
          <w:highlight w:val="yellow"/>
        </w:rPr>
        <w:t>Analgésie acétaminophène et AINS rapidement en début de crise</w:t>
      </w:r>
    </w:p>
    <w:p w:rsidR="00F84B6F" w:rsidRPr="006B5011" w:rsidRDefault="00F84B6F" w:rsidP="00F84B6F">
      <w:pPr>
        <w:pStyle w:val="Sansinterligne"/>
        <w:numPr>
          <w:ilvl w:val="0"/>
          <w:numId w:val="1154"/>
        </w:numPr>
        <w:rPr>
          <w:highlight w:val="yellow"/>
        </w:rPr>
      </w:pPr>
      <w:r w:rsidRPr="006B5011">
        <w:rPr>
          <w:highlight w:val="yellow"/>
        </w:rPr>
        <w:t>Anti-nauséeux PRN</w:t>
      </w:r>
    </w:p>
    <w:p w:rsidR="00F84B6F" w:rsidRPr="006B5011" w:rsidRDefault="00F84B6F" w:rsidP="00F84B6F">
      <w:pPr>
        <w:pStyle w:val="Sansinterligne"/>
        <w:numPr>
          <w:ilvl w:val="0"/>
          <w:numId w:val="1154"/>
        </w:numPr>
        <w:rPr>
          <w:highlight w:val="yellow"/>
        </w:rPr>
      </w:pPr>
      <w:r w:rsidRPr="006B5011">
        <w:rPr>
          <w:highlight w:val="yellow"/>
        </w:rPr>
        <w:t>Parfois TCA</w:t>
      </w:r>
    </w:p>
    <w:p w:rsidR="00F84B6F" w:rsidRPr="006B5011" w:rsidRDefault="00F84B6F" w:rsidP="00F84B6F">
      <w:pPr>
        <w:pStyle w:val="Sansinterligne"/>
        <w:rPr>
          <w:highlight w:val="yellow"/>
        </w:rPr>
      </w:pPr>
    </w:p>
    <w:p w:rsidR="00F84B6F" w:rsidRPr="006B5011" w:rsidRDefault="00F84B6F" w:rsidP="00F84B6F">
      <w:pPr>
        <w:pStyle w:val="Sansinterligne"/>
        <w:rPr>
          <w:b/>
          <w:highlight w:val="yellow"/>
        </w:rPr>
      </w:pPr>
      <w:r w:rsidRPr="006B5011">
        <w:rPr>
          <w:b/>
          <w:highlight w:val="yellow"/>
        </w:rPr>
        <w:t>Dyspepsie fonctionnelle</w:t>
      </w:r>
    </w:p>
    <w:p w:rsidR="00F84B6F" w:rsidRPr="006B5011" w:rsidRDefault="00F84B6F" w:rsidP="00F84B6F">
      <w:pPr>
        <w:pStyle w:val="Sansinterligne"/>
        <w:numPr>
          <w:ilvl w:val="0"/>
          <w:numId w:val="1153"/>
        </w:numPr>
        <w:rPr>
          <w:highlight w:val="yellow"/>
        </w:rPr>
      </w:pPr>
      <w:r w:rsidRPr="006B5011">
        <w:rPr>
          <w:highlight w:val="yellow"/>
        </w:rPr>
        <w:t>Explication, rassurance</w:t>
      </w:r>
      <w:r w:rsidRPr="00DD349C">
        <w:t xml:space="preserve"> </w:t>
      </w:r>
    </w:p>
    <w:p w:rsidR="00F84B6F" w:rsidRPr="006B5011" w:rsidRDefault="00F84B6F" w:rsidP="00F84B6F">
      <w:pPr>
        <w:pStyle w:val="Sansinterligne"/>
        <w:numPr>
          <w:ilvl w:val="0"/>
          <w:numId w:val="1153"/>
        </w:numPr>
        <w:rPr>
          <w:highlight w:val="yellow"/>
        </w:rPr>
      </w:pPr>
      <w:r w:rsidRPr="006B5011">
        <w:rPr>
          <w:highlight w:val="yellow"/>
        </w:rPr>
        <w:t>Petits repas et collations plutôt que gros repas</w:t>
      </w:r>
    </w:p>
    <w:p w:rsidR="00F84B6F" w:rsidRPr="006B5011" w:rsidRDefault="00F84B6F" w:rsidP="00F84B6F">
      <w:pPr>
        <w:pStyle w:val="Sansinterligne"/>
        <w:numPr>
          <w:ilvl w:val="0"/>
          <w:numId w:val="1153"/>
        </w:numPr>
        <w:rPr>
          <w:highlight w:val="yellow"/>
        </w:rPr>
      </w:pPr>
      <w:r w:rsidRPr="006B5011">
        <w:rPr>
          <w:highlight w:val="yellow"/>
        </w:rPr>
        <w:t>Éviter AINS, caféine, boissons gazeuses et repas très gras</w:t>
      </w:r>
    </w:p>
    <w:p w:rsidR="00F84B6F" w:rsidRPr="00B07FEE" w:rsidRDefault="00F84B6F" w:rsidP="00F84B6F">
      <w:pPr>
        <w:pStyle w:val="Sansinterligne"/>
      </w:pPr>
    </w:p>
    <w:p w:rsidR="00F84B6F" w:rsidRDefault="00F84B6F" w:rsidP="00F84B6F">
      <w:pPr>
        <w:spacing w:after="0"/>
        <w:rPr>
          <w:rFonts w:cs="Times New Roman"/>
          <w:b/>
          <w:color w:val="548DD4" w:themeColor="text2" w:themeTint="99"/>
        </w:rPr>
      </w:pPr>
      <w:r>
        <w:rPr>
          <w:rFonts w:cs="Times New Roman"/>
          <w:b/>
          <w:color w:val="548DD4" w:themeColor="text2" w:themeTint="99"/>
        </w:rPr>
        <w:lastRenderedPageBreak/>
        <w:t>CMC 3-2</w:t>
      </w:r>
    </w:p>
    <w:p w:rsidR="00F84B6F" w:rsidRPr="00F84B6F" w:rsidRDefault="00F84B6F" w:rsidP="00F84B6F">
      <w:pPr>
        <w:pStyle w:val="Titre3"/>
        <w:spacing w:before="0"/>
        <w:rPr>
          <w:rFonts w:ascii="Times New Roman" w:hAnsi="Times New Roman" w:cs="Times New Roman"/>
        </w:rPr>
      </w:pPr>
      <w:bookmarkStart w:id="8" w:name="_Toc480797265"/>
      <w:r w:rsidRPr="00F84B6F">
        <w:rPr>
          <w:rFonts w:ascii="Times New Roman" w:hAnsi="Times New Roman" w:cs="Times New Roman"/>
        </w:rPr>
        <w:t>Douleur abdominale aigue</w:t>
      </w:r>
      <w:bookmarkEnd w:id="8"/>
    </w:p>
    <w:tbl>
      <w:tblPr>
        <w:tblW w:w="3858" w:type="pct"/>
        <w:tblCellSpacing w:w="0" w:type="dxa"/>
        <w:tblCellMar>
          <w:left w:w="0" w:type="dxa"/>
          <w:right w:w="0" w:type="dxa"/>
        </w:tblCellMar>
        <w:tblLook w:val="04A0" w:firstRow="1" w:lastRow="0" w:firstColumn="1" w:lastColumn="0" w:noHBand="0" w:noVBand="1"/>
      </w:tblPr>
      <w:tblGrid>
        <w:gridCol w:w="8333"/>
      </w:tblGrid>
      <w:tr w:rsidR="00F84B6F" w:rsidRPr="00F84B6F" w:rsidTr="00F84B6F">
        <w:trPr>
          <w:tblCellSpacing w:w="0" w:type="dxa"/>
        </w:trPr>
        <w:tc>
          <w:tcPr>
            <w:tcW w:w="0" w:type="auto"/>
            <w:vAlign w:val="bottom"/>
            <w:hideMark/>
          </w:tcPr>
          <w:p w:rsidR="00F84B6F" w:rsidRPr="00F84B6F" w:rsidRDefault="00F84B6F" w:rsidP="00F84B6F">
            <w:pPr>
              <w:pStyle w:val="Sansinterligne"/>
              <w:spacing w:before="240"/>
              <w:rPr>
                <w:rFonts w:cs="Times New Roman"/>
                <w:b/>
                <w:sz w:val="18"/>
                <w:szCs w:val="18"/>
              </w:rPr>
            </w:pPr>
            <w:r>
              <w:rPr>
                <w:rFonts w:cs="Times New Roman"/>
                <w:b/>
                <w:noProof/>
                <w:sz w:val="18"/>
                <w:szCs w:val="18"/>
                <w:lang w:eastAsia="fr-CA"/>
              </w:rPr>
              <mc:AlternateContent>
                <mc:Choice Requires="wps">
                  <w:drawing>
                    <wp:anchor distT="0" distB="0" distL="114300" distR="114300" simplePos="0" relativeHeight="252240896" behindDoc="0" locked="0" layoutInCell="1" allowOverlap="1" wp14:anchorId="451788D0" wp14:editId="32E876D8">
                      <wp:simplePos x="0" y="0"/>
                      <wp:positionH relativeFrom="column">
                        <wp:posOffset>-58366</wp:posOffset>
                      </wp:positionH>
                      <wp:positionV relativeFrom="paragraph">
                        <wp:posOffset>65810</wp:posOffset>
                      </wp:positionV>
                      <wp:extent cx="6974732" cy="3015575"/>
                      <wp:effectExtent l="0" t="0" r="17145" b="13970"/>
                      <wp:wrapNone/>
                      <wp:docPr id="692" name="Rectangle 692"/>
                      <wp:cNvGraphicFramePr/>
                      <a:graphic xmlns:a="http://schemas.openxmlformats.org/drawingml/2006/main">
                        <a:graphicData uri="http://schemas.microsoft.com/office/word/2010/wordprocessingShape">
                          <wps:wsp>
                            <wps:cNvSpPr/>
                            <wps:spPr>
                              <a:xfrm>
                                <a:off x="0" y="0"/>
                                <a:ext cx="6974732" cy="3015575"/>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692" o:spid="_x0000_s1026" style="position:absolute;margin-left:-4.6pt;margin-top:5.2pt;width:549.2pt;height:237.45pt;z-index:2522408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" filled="f" strokecolor="black [1600]" strokeweight="2pt"/>
                  </w:pict>
                </mc:Fallback>
              </mc:AlternateContent>
            </w:r>
            <w:r w:rsidRPr="00F84B6F">
              <w:rPr>
                <w:rFonts w:cs="Times New Roman"/>
                <w:b/>
                <w:sz w:val="18"/>
                <w:szCs w:val="18"/>
              </w:rPr>
              <w:t>Objectifs principaux</w:t>
            </w:r>
          </w:p>
        </w:tc>
      </w:tr>
    </w:tbl>
    <w:p w:rsidR="00F84B6F" w:rsidRPr="00F84B6F" w:rsidRDefault="00F84B6F" w:rsidP="00F84B6F">
      <w:pPr>
        <w:pStyle w:val="NormalWeb"/>
        <w:ind w:left="360"/>
        <w:rPr>
          <w:color w:val="000000"/>
          <w:sz w:val="18"/>
          <w:szCs w:val="18"/>
          <w:shd w:val="clear" w:color="auto" w:fill="FFFFFF"/>
        </w:rPr>
      </w:pPr>
      <w:r w:rsidRPr="00F84B6F">
        <w:rPr>
          <w:color w:val="000000"/>
          <w:sz w:val="18"/>
          <w:szCs w:val="18"/>
          <w:shd w:val="clear" w:color="auto" w:fill="FFFFFF"/>
        </w:rPr>
        <w:t>Dans le cas d'un patient présentant une douleur abdominale aiguë, le candidat devra en diagnostiquer la cause, la gravité et les complications, et établir un plan de prise en charge approprié. Il devra notamment reconnaître les cas qui requièrent un traitement médical ou chirurgical urgent.</w:t>
      </w:r>
    </w:p>
    <w:tbl>
      <w:tblPr>
        <w:tblW w:w="3897" w:type="pct"/>
        <w:tblCellSpacing w:w="0" w:type="dxa"/>
        <w:tblCellMar>
          <w:left w:w="0" w:type="dxa"/>
          <w:right w:w="0" w:type="dxa"/>
        </w:tblCellMar>
        <w:tblLook w:val="04A0" w:firstRow="1" w:lastRow="0" w:firstColumn="1" w:lastColumn="0" w:noHBand="0" w:noVBand="1"/>
      </w:tblPr>
      <w:tblGrid>
        <w:gridCol w:w="8418"/>
      </w:tblGrid>
      <w:tr w:rsidR="00F84B6F" w:rsidRPr="00F84B6F" w:rsidTr="00F84B6F">
        <w:trPr>
          <w:tblCellSpacing w:w="0" w:type="dxa"/>
        </w:trPr>
        <w:tc>
          <w:tcPr>
            <w:tcW w:w="0" w:type="auto"/>
            <w:vAlign w:val="bottom"/>
            <w:hideMark/>
          </w:tcPr>
          <w:p w:rsidR="00F84B6F" w:rsidRPr="00F84B6F" w:rsidRDefault="00F84B6F" w:rsidP="00F84B6F">
            <w:pPr>
              <w:pStyle w:val="Sansinterligne"/>
              <w:rPr>
                <w:rFonts w:cs="Times New Roman"/>
                <w:b/>
                <w:sz w:val="16"/>
                <w:szCs w:val="16"/>
              </w:rPr>
            </w:pPr>
            <w:r w:rsidRPr="00F84B6F">
              <w:rPr>
                <w:rFonts w:cs="Times New Roman"/>
                <w:b/>
                <w:sz w:val="16"/>
                <w:szCs w:val="16"/>
              </w:rPr>
              <w:t>Objectifs spécifiques</w:t>
            </w:r>
          </w:p>
        </w:tc>
      </w:tr>
    </w:tbl>
    <w:p w:rsidR="00F84B6F" w:rsidRPr="00F84B6F" w:rsidRDefault="00F84B6F" w:rsidP="00F84B6F">
      <w:pPr>
        <w:pStyle w:val="NormalWeb"/>
        <w:shd w:val="clear" w:color="auto" w:fill="FFFFFF"/>
        <w:ind w:left="360"/>
        <w:rPr>
          <w:color w:val="000000"/>
          <w:sz w:val="16"/>
          <w:szCs w:val="16"/>
          <w:shd w:val="clear" w:color="auto" w:fill="FFFFFF"/>
        </w:rPr>
      </w:pPr>
      <w:r w:rsidRPr="00F84B6F">
        <w:rPr>
          <w:color w:val="000000"/>
          <w:sz w:val="16"/>
          <w:szCs w:val="16"/>
          <w:shd w:val="clear" w:color="auto" w:fill="FFFFFF"/>
        </w:rPr>
        <w:t>Dans le cas d'un patient présentant une douleur abdominale aiguë, le candidat devra</w:t>
      </w:r>
    </w:p>
    <w:p w:rsidR="00F84B6F" w:rsidRPr="00F84B6F" w:rsidRDefault="00F84B6F" w:rsidP="006A5715">
      <w:pPr>
        <w:numPr>
          <w:ilvl w:val="0"/>
          <w:numId w:val="1540"/>
        </w:numPr>
        <w:shd w:val="clear" w:color="auto" w:fill="FFFFFF"/>
        <w:spacing w:before="100" w:beforeAutospacing="1" w:after="100" w:afterAutospacing="1" w:line="240" w:lineRule="auto"/>
        <w:rPr>
          <w:rFonts w:cs="Times New Roman"/>
          <w:color w:val="000000"/>
          <w:sz w:val="16"/>
          <w:szCs w:val="16"/>
          <w:shd w:val="clear" w:color="auto" w:fill="FFFFFF"/>
        </w:rPr>
      </w:pPr>
      <w:r w:rsidRPr="00F84B6F">
        <w:rPr>
          <w:rFonts w:cs="Times New Roman"/>
          <w:color w:val="000000"/>
          <w:sz w:val="16"/>
          <w:szCs w:val="16"/>
          <w:shd w:val="clear" w:color="auto" w:fill="FFFFFF"/>
        </w:rPr>
        <w:t>énumérer et interpréter les constatations cliniques cruciales, notamment:</w:t>
      </w:r>
    </w:p>
    <w:p w:rsidR="00F84B6F" w:rsidRPr="00F84B6F" w:rsidRDefault="00F84B6F" w:rsidP="006A5715">
      <w:pPr>
        <w:numPr>
          <w:ilvl w:val="1"/>
          <w:numId w:val="1540"/>
        </w:numPr>
        <w:shd w:val="clear" w:color="auto" w:fill="FFFFFF"/>
        <w:spacing w:before="100" w:beforeAutospacing="1" w:after="100" w:afterAutospacing="1" w:line="240" w:lineRule="auto"/>
        <w:rPr>
          <w:rFonts w:cs="Times New Roman"/>
          <w:color w:val="000000"/>
          <w:sz w:val="16"/>
          <w:szCs w:val="16"/>
          <w:shd w:val="clear" w:color="auto" w:fill="FFFFFF"/>
        </w:rPr>
      </w:pPr>
      <w:r w:rsidRPr="00F84B6F">
        <w:rPr>
          <w:rFonts w:cs="Times New Roman"/>
          <w:color w:val="000000"/>
          <w:sz w:val="16"/>
          <w:szCs w:val="16"/>
          <w:shd w:val="clear" w:color="auto" w:fill="FFFFFF"/>
        </w:rPr>
        <w:t>les éléments fournis par l'anamnèse</w:t>
      </w:r>
    </w:p>
    <w:p w:rsidR="00F84B6F" w:rsidRPr="00F84B6F" w:rsidRDefault="00F84B6F" w:rsidP="006A5715">
      <w:pPr>
        <w:numPr>
          <w:ilvl w:val="2"/>
          <w:numId w:val="1540"/>
        </w:numPr>
        <w:shd w:val="clear" w:color="auto" w:fill="FFFFFF"/>
        <w:spacing w:before="100" w:beforeAutospacing="1" w:after="100" w:afterAutospacing="1" w:line="240" w:lineRule="auto"/>
        <w:rPr>
          <w:rFonts w:cs="Times New Roman"/>
          <w:color w:val="000000"/>
          <w:sz w:val="16"/>
          <w:szCs w:val="16"/>
          <w:shd w:val="clear" w:color="auto" w:fill="FFFFFF"/>
        </w:rPr>
      </w:pPr>
      <w:r w:rsidRPr="00F84B6F">
        <w:rPr>
          <w:rFonts w:cs="Times New Roman"/>
          <w:color w:val="000000"/>
          <w:sz w:val="16"/>
          <w:szCs w:val="16"/>
          <w:shd w:val="clear" w:color="auto" w:fill="FFFFFF"/>
        </w:rPr>
        <w:t>début, fréquence, durée, emplacement, irradiation, qualité et intensité de la douleur</w:t>
      </w:r>
    </w:p>
    <w:p w:rsidR="00F84B6F" w:rsidRPr="00F84B6F" w:rsidRDefault="00F84B6F" w:rsidP="006A5715">
      <w:pPr>
        <w:numPr>
          <w:ilvl w:val="2"/>
          <w:numId w:val="1540"/>
        </w:numPr>
        <w:shd w:val="clear" w:color="auto" w:fill="FFFFFF"/>
        <w:spacing w:before="100" w:beforeAutospacing="1" w:after="100" w:afterAutospacing="1" w:line="240" w:lineRule="auto"/>
        <w:rPr>
          <w:rFonts w:cs="Times New Roman"/>
          <w:color w:val="000000"/>
          <w:sz w:val="16"/>
          <w:szCs w:val="16"/>
          <w:shd w:val="clear" w:color="auto" w:fill="FFFFFF"/>
        </w:rPr>
      </w:pPr>
      <w:r w:rsidRPr="00F84B6F">
        <w:rPr>
          <w:rFonts w:cs="Times New Roman"/>
          <w:color w:val="000000"/>
          <w:sz w:val="16"/>
          <w:szCs w:val="16"/>
          <w:shd w:val="clear" w:color="auto" w:fill="FFFFFF"/>
        </w:rPr>
        <w:t>facteurs aggravants et atténuants</w:t>
      </w:r>
    </w:p>
    <w:p w:rsidR="00F84B6F" w:rsidRPr="00F84B6F" w:rsidRDefault="00F84B6F" w:rsidP="006A5715">
      <w:pPr>
        <w:numPr>
          <w:ilvl w:val="1"/>
          <w:numId w:val="1540"/>
        </w:numPr>
        <w:shd w:val="clear" w:color="auto" w:fill="FFFFFF"/>
        <w:spacing w:before="100" w:beforeAutospacing="1" w:after="100" w:afterAutospacing="1" w:line="240" w:lineRule="auto"/>
        <w:rPr>
          <w:rFonts w:cs="Times New Roman"/>
          <w:color w:val="000000"/>
          <w:sz w:val="16"/>
          <w:szCs w:val="16"/>
          <w:shd w:val="clear" w:color="auto" w:fill="FFFFFF"/>
        </w:rPr>
      </w:pPr>
      <w:r w:rsidRPr="00F84B6F">
        <w:rPr>
          <w:rFonts w:cs="Times New Roman"/>
          <w:color w:val="000000"/>
          <w:sz w:val="16"/>
          <w:szCs w:val="16"/>
          <w:shd w:val="clear" w:color="auto" w:fill="FFFFFF"/>
        </w:rPr>
        <w:t>un examen physique approprié</w:t>
      </w:r>
    </w:p>
    <w:p w:rsidR="00F84B6F" w:rsidRPr="00F84B6F" w:rsidRDefault="00F84B6F" w:rsidP="006A5715">
      <w:pPr>
        <w:numPr>
          <w:ilvl w:val="2"/>
          <w:numId w:val="1540"/>
        </w:numPr>
        <w:shd w:val="clear" w:color="auto" w:fill="FFFFFF"/>
        <w:spacing w:before="100" w:beforeAutospacing="1" w:after="100" w:afterAutospacing="1" w:line="240" w:lineRule="auto"/>
        <w:rPr>
          <w:rFonts w:cs="Times New Roman"/>
          <w:color w:val="000000"/>
          <w:sz w:val="16"/>
          <w:szCs w:val="16"/>
          <w:shd w:val="clear" w:color="auto" w:fill="FFFFFF"/>
        </w:rPr>
      </w:pPr>
      <w:r w:rsidRPr="00F84B6F">
        <w:rPr>
          <w:rFonts w:cs="Times New Roman"/>
          <w:color w:val="000000"/>
          <w:sz w:val="16"/>
          <w:szCs w:val="16"/>
          <w:shd w:val="clear" w:color="auto" w:fill="FFFFFF"/>
        </w:rPr>
        <w:t>reconnaître les caractéristiques d'une péritonite</w:t>
      </w:r>
    </w:p>
    <w:p w:rsidR="00F84B6F" w:rsidRPr="00F84B6F" w:rsidRDefault="00F84B6F" w:rsidP="006A5715">
      <w:pPr>
        <w:numPr>
          <w:ilvl w:val="2"/>
          <w:numId w:val="1540"/>
        </w:numPr>
        <w:shd w:val="clear" w:color="auto" w:fill="FFFFFF"/>
        <w:spacing w:before="100" w:beforeAutospacing="1" w:after="100" w:afterAutospacing="1" w:line="240" w:lineRule="auto"/>
        <w:rPr>
          <w:rFonts w:cs="Times New Roman"/>
          <w:color w:val="000000"/>
          <w:sz w:val="16"/>
          <w:szCs w:val="16"/>
          <w:shd w:val="clear" w:color="auto" w:fill="FFFFFF"/>
        </w:rPr>
      </w:pPr>
      <w:r w:rsidRPr="00F84B6F">
        <w:rPr>
          <w:rFonts w:cs="Times New Roman"/>
          <w:color w:val="000000"/>
          <w:sz w:val="16"/>
          <w:szCs w:val="16"/>
          <w:shd w:val="clear" w:color="auto" w:fill="FFFFFF"/>
        </w:rPr>
        <w:t>effectuer des examens rectal et génito-urinaire lorsqu'ils sont appropriés</w:t>
      </w:r>
    </w:p>
    <w:p w:rsidR="00F84B6F" w:rsidRPr="00F84B6F" w:rsidRDefault="00F84B6F" w:rsidP="006A5715">
      <w:pPr>
        <w:numPr>
          <w:ilvl w:val="0"/>
          <w:numId w:val="1540"/>
        </w:numPr>
        <w:shd w:val="clear" w:color="auto" w:fill="FFFFFF"/>
        <w:spacing w:before="100" w:beforeAutospacing="1" w:after="100" w:afterAutospacing="1" w:line="240" w:lineRule="auto"/>
        <w:rPr>
          <w:rFonts w:cs="Times New Roman"/>
          <w:color w:val="000000"/>
          <w:sz w:val="16"/>
          <w:szCs w:val="16"/>
          <w:shd w:val="clear" w:color="auto" w:fill="FFFFFF"/>
        </w:rPr>
      </w:pPr>
      <w:r w:rsidRPr="00F84B6F">
        <w:rPr>
          <w:rFonts w:cs="Times New Roman"/>
          <w:color w:val="000000"/>
          <w:sz w:val="16"/>
          <w:szCs w:val="16"/>
          <w:shd w:val="clear" w:color="auto" w:fill="FFFFFF"/>
        </w:rPr>
        <w:t>énumérer et interpréter les examens essentiels, notamment:</w:t>
      </w:r>
    </w:p>
    <w:p w:rsidR="00F84B6F" w:rsidRPr="00F84B6F" w:rsidRDefault="00F84B6F" w:rsidP="006A5715">
      <w:pPr>
        <w:numPr>
          <w:ilvl w:val="1"/>
          <w:numId w:val="1540"/>
        </w:numPr>
        <w:shd w:val="clear" w:color="auto" w:fill="FFFFFF"/>
        <w:spacing w:before="100" w:beforeAutospacing="1" w:after="100" w:afterAutospacing="1" w:line="240" w:lineRule="auto"/>
        <w:rPr>
          <w:rFonts w:cs="Times New Roman"/>
          <w:color w:val="000000"/>
          <w:sz w:val="16"/>
          <w:szCs w:val="16"/>
          <w:shd w:val="clear" w:color="auto" w:fill="FFFFFF"/>
        </w:rPr>
      </w:pPr>
      <w:r w:rsidRPr="00F84B6F">
        <w:rPr>
          <w:rFonts w:cs="Times New Roman"/>
          <w:color w:val="000000"/>
          <w:sz w:val="16"/>
          <w:szCs w:val="16"/>
          <w:shd w:val="clear" w:color="auto" w:fill="FFFFFF"/>
        </w:rPr>
        <w:t>les analyses de laboratoire et les examens d'imagerie diagnostique</w:t>
      </w:r>
    </w:p>
    <w:p w:rsidR="00F84B6F" w:rsidRPr="00F84B6F" w:rsidRDefault="00F84B6F" w:rsidP="006A5715">
      <w:pPr>
        <w:numPr>
          <w:ilvl w:val="0"/>
          <w:numId w:val="1540"/>
        </w:numPr>
        <w:shd w:val="clear" w:color="auto" w:fill="FFFFFF"/>
        <w:spacing w:before="100" w:beforeAutospacing="1" w:after="100" w:afterAutospacing="1" w:line="240" w:lineRule="auto"/>
        <w:rPr>
          <w:rFonts w:cs="Times New Roman"/>
          <w:color w:val="000000"/>
          <w:sz w:val="16"/>
          <w:szCs w:val="16"/>
          <w:shd w:val="clear" w:color="auto" w:fill="FFFFFF"/>
        </w:rPr>
      </w:pPr>
      <w:r w:rsidRPr="00F84B6F">
        <w:rPr>
          <w:rFonts w:cs="Times New Roman"/>
          <w:color w:val="000000"/>
          <w:sz w:val="16"/>
          <w:szCs w:val="16"/>
          <w:shd w:val="clear" w:color="auto" w:fill="FFFFFF"/>
        </w:rPr>
        <w:t>élaborer un plan efficace de prise en charge, notamment:</w:t>
      </w:r>
    </w:p>
    <w:p w:rsidR="00F84B6F" w:rsidRPr="00F84B6F" w:rsidRDefault="00F84B6F" w:rsidP="006A5715">
      <w:pPr>
        <w:numPr>
          <w:ilvl w:val="1"/>
          <w:numId w:val="1540"/>
        </w:numPr>
        <w:shd w:val="clear" w:color="auto" w:fill="FFFFFF"/>
        <w:spacing w:before="100" w:beforeAutospacing="1" w:after="100" w:afterAutospacing="1" w:line="240" w:lineRule="auto"/>
        <w:rPr>
          <w:rFonts w:cs="Times New Roman"/>
          <w:color w:val="000000"/>
          <w:sz w:val="16"/>
          <w:szCs w:val="16"/>
          <w:shd w:val="clear" w:color="auto" w:fill="FFFFFF"/>
        </w:rPr>
      </w:pPr>
      <w:r w:rsidRPr="00F84B6F">
        <w:rPr>
          <w:rFonts w:cs="Times New Roman"/>
          <w:color w:val="000000"/>
          <w:sz w:val="16"/>
          <w:szCs w:val="16"/>
          <w:shd w:val="clear" w:color="auto" w:fill="FFFFFF"/>
        </w:rPr>
        <w:t>déterminer quels patients ont besoin de soins chirurgicaux ou médicaux urgents</w:t>
      </w:r>
    </w:p>
    <w:p w:rsidR="00F84B6F" w:rsidRPr="00F84B6F" w:rsidRDefault="00F84B6F" w:rsidP="006A5715">
      <w:pPr>
        <w:numPr>
          <w:ilvl w:val="1"/>
          <w:numId w:val="1540"/>
        </w:numPr>
        <w:shd w:val="clear" w:color="auto" w:fill="FFFFFF"/>
        <w:spacing w:before="100" w:beforeAutospacing="1" w:after="100" w:afterAutospacing="1" w:line="240" w:lineRule="auto"/>
        <w:rPr>
          <w:rFonts w:cs="Times New Roman"/>
          <w:color w:val="000000"/>
          <w:sz w:val="16"/>
          <w:szCs w:val="16"/>
          <w:shd w:val="clear" w:color="auto" w:fill="FFFFFF"/>
        </w:rPr>
      </w:pPr>
      <w:r w:rsidRPr="00F84B6F">
        <w:rPr>
          <w:rFonts w:cs="Times New Roman"/>
          <w:color w:val="000000"/>
          <w:sz w:val="16"/>
          <w:szCs w:val="16"/>
          <w:shd w:val="clear" w:color="auto" w:fill="FFFFFF"/>
        </w:rPr>
        <w:t>donner les grandes lignes d'un plan de prise en charge des cas non urgents</w:t>
      </w:r>
    </w:p>
    <w:p w:rsidR="00F84B6F" w:rsidRPr="00F84B6F" w:rsidRDefault="002719E7" w:rsidP="006A5715">
      <w:pPr>
        <w:numPr>
          <w:ilvl w:val="1"/>
          <w:numId w:val="1540"/>
        </w:numPr>
        <w:shd w:val="clear" w:color="auto" w:fill="FFFFFF"/>
        <w:spacing w:before="100" w:beforeAutospacing="1" w:after="100" w:afterAutospacing="1" w:line="240" w:lineRule="auto"/>
        <w:rPr>
          <w:rFonts w:cs="Times New Roman"/>
          <w:color w:val="000000"/>
          <w:sz w:val="16"/>
          <w:szCs w:val="16"/>
          <w:shd w:val="clear" w:color="auto" w:fill="FFFFFF"/>
        </w:rPr>
      </w:pPr>
      <w:r>
        <w:rPr>
          <w:noProof/>
          <w:lang w:eastAsia="fr-CA"/>
        </w:rPr>
        <w:drawing>
          <wp:anchor distT="0" distB="0" distL="114300" distR="114300" simplePos="0" relativeHeight="252264448" behindDoc="0" locked="0" layoutInCell="1" allowOverlap="1" wp14:anchorId="1B2409CC" wp14:editId="50989BF8">
            <wp:simplePos x="0" y="0"/>
            <wp:positionH relativeFrom="column">
              <wp:posOffset>4143889</wp:posOffset>
            </wp:positionH>
            <wp:positionV relativeFrom="paragraph">
              <wp:posOffset>268216</wp:posOffset>
            </wp:positionV>
            <wp:extent cx="2425057" cy="2354093"/>
            <wp:effectExtent l="0" t="0" r="0" b="8255"/>
            <wp:wrapNone/>
            <wp:docPr id="707" name="Image 707" descr="Résultats de recherche d'images pour « quadrants abdome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Résultats de recherche d'images pour « quadrants abdomen »"/>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b="8537"/>
                    <a:stretch/>
                  </pic:blipFill>
                  <pic:spPr bwMode="auto">
                    <a:xfrm>
                      <a:off x="0" y="0"/>
                      <a:ext cx="2425057" cy="2354093"/>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84B6F" w:rsidRPr="00F84B6F">
        <w:rPr>
          <w:rFonts w:cs="Times New Roman"/>
          <w:color w:val="000000"/>
          <w:sz w:val="16"/>
          <w:szCs w:val="16"/>
          <w:shd w:val="clear" w:color="auto" w:fill="FFFFFF"/>
        </w:rPr>
        <w:t>déterminer quels patients ont besoin de soins spécialisés ou d'examens plus poussés.</w:t>
      </w:r>
    </w:p>
    <w:p w:rsidR="002719E7" w:rsidRDefault="002719E7" w:rsidP="00F84B6F">
      <w:pPr>
        <w:pStyle w:val="Sansinterligne"/>
        <w:rPr>
          <w:b/>
          <w:sz w:val="28"/>
          <w:szCs w:val="28"/>
          <w:lang w:eastAsia="fr-CA"/>
        </w:rPr>
      </w:pPr>
      <w:r>
        <w:rPr>
          <w:b/>
          <w:sz w:val="28"/>
          <w:szCs w:val="28"/>
          <w:lang w:eastAsia="fr-CA"/>
        </w:rPr>
        <w:t>Introduction</w:t>
      </w:r>
    </w:p>
    <w:p w:rsidR="002719E7" w:rsidRPr="002719E7" w:rsidRDefault="002719E7" w:rsidP="00F84B6F">
      <w:pPr>
        <w:pStyle w:val="Sansinterligne"/>
        <w:rPr>
          <w:lang w:eastAsia="fr-CA"/>
        </w:rPr>
      </w:pPr>
    </w:p>
    <w:p w:rsidR="002719E7" w:rsidRPr="002719E7" w:rsidRDefault="002719E7" w:rsidP="002719E7">
      <w:pPr>
        <w:pStyle w:val="Sansinterligne"/>
        <w:ind w:right="5413"/>
        <w:jc w:val="both"/>
        <w:rPr>
          <w:lang w:eastAsia="fr-CA"/>
        </w:rPr>
      </w:pPr>
      <w:r w:rsidRPr="002719E7">
        <w:rPr>
          <w:lang w:eastAsia="fr-CA"/>
        </w:rPr>
        <w:t>La douleur abdominale</w:t>
      </w:r>
      <w:r>
        <w:rPr>
          <w:lang w:eastAsia="fr-CA"/>
        </w:rPr>
        <w:t xml:space="preserve"> aigue est une plainte fréquente en médecine. Plusieurs urgences médicales et chirurgicales se présentent avec une douleur abdominale et le nombre de diagnostic à envisager est très important. Il est donc nécessaire d’adopter une approche systématique, orientée en fonction de la localisation de la douleur, d’un questionnaire complet et d’un examen physique attentif. Cela permettra de prendre en charge le patient de façon adéquate et de limiter les examens inutiles, coûteux et invasifs.</w:t>
      </w:r>
    </w:p>
    <w:p w:rsidR="002719E7" w:rsidRDefault="002719E7" w:rsidP="00F84B6F">
      <w:pPr>
        <w:pStyle w:val="Sansinterligne"/>
        <w:rPr>
          <w:b/>
          <w:sz w:val="28"/>
          <w:szCs w:val="28"/>
          <w:lang w:eastAsia="fr-CA"/>
        </w:rPr>
      </w:pPr>
    </w:p>
    <w:p w:rsidR="00747AE2" w:rsidRPr="00747AE2" w:rsidRDefault="00747AE2" w:rsidP="00F84B6F">
      <w:pPr>
        <w:pStyle w:val="Sansinterligne"/>
        <w:rPr>
          <w:b/>
          <w:sz w:val="28"/>
          <w:szCs w:val="28"/>
          <w:lang w:eastAsia="fr-CA"/>
        </w:rPr>
      </w:pPr>
      <w:r w:rsidRPr="00747AE2">
        <w:rPr>
          <w:b/>
          <w:sz w:val="28"/>
          <w:szCs w:val="28"/>
          <w:lang w:eastAsia="fr-CA"/>
        </w:rPr>
        <w:t>Diagnostics (liste non-exhaustive)</w:t>
      </w:r>
    </w:p>
    <w:p w:rsidR="00747AE2" w:rsidRDefault="00747AE2" w:rsidP="00F84B6F">
      <w:pPr>
        <w:pStyle w:val="Sansinterligne"/>
        <w:rPr>
          <w:lang w:eastAsia="fr-CA"/>
        </w:rPr>
      </w:pPr>
    </w:p>
    <w:tbl>
      <w:tblPr>
        <w:tblStyle w:val="Grilledutableau"/>
        <w:tblW w:w="0" w:type="auto"/>
        <w:tblLook w:val="04A0" w:firstRow="1" w:lastRow="0" w:firstColumn="1" w:lastColumn="0" w:noHBand="0" w:noVBand="1"/>
      </w:tblPr>
      <w:tblGrid>
        <w:gridCol w:w="2660"/>
        <w:gridCol w:w="4394"/>
        <w:gridCol w:w="3962"/>
      </w:tblGrid>
      <w:tr w:rsidR="00747AE2" w:rsidRPr="00747AE2" w:rsidTr="009075D0">
        <w:tc>
          <w:tcPr>
            <w:tcW w:w="2660" w:type="dxa"/>
            <w:shd w:val="clear" w:color="auto" w:fill="4F81BD" w:themeFill="accent1"/>
          </w:tcPr>
          <w:p w:rsidR="00747AE2" w:rsidRPr="009075D0" w:rsidRDefault="00747AE2" w:rsidP="00747AE2">
            <w:pPr>
              <w:pStyle w:val="Sansinterligne"/>
              <w:jc w:val="center"/>
              <w:rPr>
                <w:b/>
                <w:i/>
                <w:lang w:eastAsia="fr-CA"/>
              </w:rPr>
            </w:pPr>
            <w:r w:rsidRPr="009075D0">
              <w:rPr>
                <w:b/>
                <w:i/>
                <w:lang w:eastAsia="fr-CA"/>
              </w:rPr>
              <w:t>Diagnostics</w:t>
            </w:r>
          </w:p>
        </w:tc>
        <w:tc>
          <w:tcPr>
            <w:tcW w:w="8356" w:type="dxa"/>
            <w:gridSpan w:val="2"/>
            <w:shd w:val="clear" w:color="auto" w:fill="4F81BD" w:themeFill="accent1"/>
          </w:tcPr>
          <w:p w:rsidR="00747AE2" w:rsidRPr="009075D0" w:rsidRDefault="00747AE2" w:rsidP="00747AE2">
            <w:pPr>
              <w:pStyle w:val="Sansinterligne"/>
              <w:jc w:val="center"/>
              <w:rPr>
                <w:b/>
                <w:i/>
                <w:lang w:eastAsia="fr-CA"/>
              </w:rPr>
            </w:pPr>
            <w:r w:rsidRPr="009075D0">
              <w:rPr>
                <w:b/>
                <w:i/>
                <w:lang w:eastAsia="fr-CA"/>
              </w:rPr>
              <w:t>Manifestations cliniques</w:t>
            </w:r>
          </w:p>
        </w:tc>
      </w:tr>
      <w:tr w:rsidR="00747AE2" w:rsidRPr="00747AE2" w:rsidTr="00633367">
        <w:tc>
          <w:tcPr>
            <w:tcW w:w="2660" w:type="dxa"/>
            <w:shd w:val="clear" w:color="auto" w:fill="95B3D7" w:themeFill="accent1" w:themeFillTint="99"/>
            <w:vAlign w:val="center"/>
          </w:tcPr>
          <w:p w:rsidR="00747AE2" w:rsidRPr="00747AE2" w:rsidRDefault="00697126" w:rsidP="002F5D80">
            <w:pPr>
              <w:pStyle w:val="Sansinterligne"/>
              <w:jc w:val="center"/>
              <w:rPr>
                <w:lang w:eastAsia="fr-CA"/>
              </w:rPr>
            </w:pPr>
            <w:r>
              <w:rPr>
                <w:lang w:eastAsia="fr-CA"/>
              </w:rPr>
              <w:t>Syndrome coronarien</w:t>
            </w:r>
            <w:r w:rsidR="006C1021">
              <w:rPr>
                <w:lang w:eastAsia="fr-CA"/>
              </w:rPr>
              <w:t xml:space="preserve"> aigu</w:t>
            </w:r>
          </w:p>
        </w:tc>
        <w:tc>
          <w:tcPr>
            <w:tcW w:w="4394" w:type="dxa"/>
            <w:tcBorders>
              <w:right w:val="single" w:sz="4" w:space="0" w:color="FFFF00"/>
            </w:tcBorders>
            <w:shd w:val="clear" w:color="auto" w:fill="FFFF00"/>
          </w:tcPr>
          <w:p w:rsidR="00747AE2" w:rsidRPr="00966591" w:rsidRDefault="00697126" w:rsidP="006A5715">
            <w:pPr>
              <w:pStyle w:val="Sansinterligne"/>
              <w:numPr>
                <w:ilvl w:val="0"/>
                <w:numId w:val="1558"/>
              </w:numPr>
              <w:rPr>
                <w:b/>
                <w:lang w:eastAsia="fr-CA"/>
              </w:rPr>
            </w:pPr>
            <w:r w:rsidRPr="00966591">
              <w:rPr>
                <w:b/>
                <w:lang w:eastAsia="fr-CA"/>
              </w:rPr>
              <w:t>Douleur à l’effort, soulagée au repos</w:t>
            </w:r>
          </w:p>
          <w:p w:rsidR="00765C2E" w:rsidRDefault="00697126" w:rsidP="006A5715">
            <w:pPr>
              <w:pStyle w:val="Sansinterligne"/>
              <w:numPr>
                <w:ilvl w:val="0"/>
                <w:numId w:val="1558"/>
              </w:numPr>
              <w:rPr>
                <w:lang w:eastAsia="fr-CA"/>
              </w:rPr>
            </w:pPr>
            <w:r>
              <w:rPr>
                <w:lang w:eastAsia="fr-CA"/>
              </w:rPr>
              <w:t>Serrative</w:t>
            </w:r>
          </w:p>
          <w:p w:rsidR="00765C2E" w:rsidRPr="00747AE2" w:rsidRDefault="00765C2E" w:rsidP="006A5715">
            <w:pPr>
              <w:pStyle w:val="Sansinterligne"/>
              <w:numPr>
                <w:ilvl w:val="0"/>
                <w:numId w:val="1558"/>
              </w:numPr>
              <w:rPr>
                <w:lang w:eastAsia="fr-CA"/>
              </w:rPr>
            </w:pPr>
            <w:r w:rsidRPr="00966591">
              <w:rPr>
                <w:b/>
                <w:lang w:eastAsia="fr-CA"/>
              </w:rPr>
              <w:t>R</w:t>
            </w:r>
            <w:r w:rsidR="00697126" w:rsidRPr="00966591">
              <w:rPr>
                <w:b/>
                <w:lang w:eastAsia="fr-CA"/>
              </w:rPr>
              <w:t>étrosternale</w:t>
            </w:r>
            <w:r w:rsidR="00697126" w:rsidRPr="00966591">
              <w:rPr>
                <w:lang w:eastAsia="fr-CA"/>
              </w:rPr>
              <w:t>, épigastrique</w:t>
            </w:r>
            <w:r w:rsidR="00697126">
              <w:rPr>
                <w:lang w:eastAsia="fr-CA"/>
              </w:rPr>
              <w:t xml:space="preserve">, bras, </w:t>
            </w:r>
            <w:r w:rsidR="00966591">
              <w:rPr>
                <w:lang w:eastAsia="fr-CA"/>
              </w:rPr>
              <w:t>cou</w:t>
            </w:r>
          </w:p>
        </w:tc>
        <w:tc>
          <w:tcPr>
            <w:tcW w:w="3962" w:type="dxa"/>
            <w:tcBorders>
              <w:left w:val="single" w:sz="4" w:space="0" w:color="FFFF00"/>
            </w:tcBorders>
            <w:shd w:val="clear" w:color="auto" w:fill="FFFF00"/>
          </w:tcPr>
          <w:p w:rsidR="00697126" w:rsidRPr="00966591" w:rsidRDefault="00697126" w:rsidP="006A5715">
            <w:pPr>
              <w:pStyle w:val="Sansinterligne"/>
              <w:numPr>
                <w:ilvl w:val="0"/>
                <w:numId w:val="1558"/>
              </w:numPr>
              <w:rPr>
                <w:b/>
                <w:lang w:eastAsia="fr-CA"/>
              </w:rPr>
            </w:pPr>
            <w:r w:rsidRPr="00966591">
              <w:rPr>
                <w:b/>
                <w:lang w:eastAsia="fr-CA"/>
              </w:rPr>
              <w:t>Dyspnée, diaphorèse, No</w:t>
            </w:r>
          </w:p>
          <w:p w:rsidR="00747AE2" w:rsidRDefault="00697126" w:rsidP="006A5715">
            <w:pPr>
              <w:pStyle w:val="Sansinterligne"/>
              <w:numPr>
                <w:ilvl w:val="0"/>
                <w:numId w:val="1558"/>
              </w:numPr>
              <w:rPr>
                <w:lang w:eastAsia="fr-CA"/>
              </w:rPr>
            </w:pPr>
            <w:r>
              <w:rPr>
                <w:lang w:eastAsia="fr-CA"/>
              </w:rPr>
              <w:t>Survenu aigue</w:t>
            </w:r>
          </w:p>
          <w:p w:rsidR="00697126" w:rsidRPr="00747AE2" w:rsidRDefault="00697126" w:rsidP="006A5715">
            <w:pPr>
              <w:pStyle w:val="Sansinterligne"/>
              <w:numPr>
                <w:ilvl w:val="0"/>
                <w:numId w:val="1558"/>
              </w:numPr>
              <w:rPr>
                <w:lang w:eastAsia="fr-CA"/>
              </w:rPr>
            </w:pPr>
            <w:r>
              <w:rPr>
                <w:lang w:eastAsia="fr-CA"/>
              </w:rPr>
              <w:t>20 min et +, suspect d’infarctus</w:t>
            </w:r>
          </w:p>
        </w:tc>
      </w:tr>
      <w:tr w:rsidR="00747AE2" w:rsidRPr="00747AE2" w:rsidTr="00633367">
        <w:tc>
          <w:tcPr>
            <w:tcW w:w="2660" w:type="dxa"/>
            <w:shd w:val="clear" w:color="auto" w:fill="95B3D7" w:themeFill="accent1" w:themeFillTint="99"/>
            <w:vAlign w:val="center"/>
          </w:tcPr>
          <w:p w:rsidR="00747AE2" w:rsidRPr="00747AE2" w:rsidRDefault="00747AE2" w:rsidP="002F5D80">
            <w:pPr>
              <w:pStyle w:val="Sansinterligne"/>
              <w:jc w:val="center"/>
              <w:rPr>
                <w:lang w:eastAsia="fr-CA"/>
              </w:rPr>
            </w:pPr>
            <w:r w:rsidRPr="00747AE2">
              <w:rPr>
                <w:lang w:eastAsia="fr-CA"/>
              </w:rPr>
              <w:t>Reflux gastro-œsophagien</w:t>
            </w:r>
          </w:p>
        </w:tc>
        <w:tc>
          <w:tcPr>
            <w:tcW w:w="4394" w:type="dxa"/>
            <w:tcBorders>
              <w:right w:val="single" w:sz="4" w:space="0" w:color="FFFFFF" w:themeColor="background1"/>
            </w:tcBorders>
          </w:tcPr>
          <w:p w:rsidR="00747AE2" w:rsidRPr="00966591" w:rsidRDefault="0056454B" w:rsidP="006A5715">
            <w:pPr>
              <w:pStyle w:val="Sansinterligne"/>
              <w:numPr>
                <w:ilvl w:val="0"/>
                <w:numId w:val="1558"/>
              </w:numPr>
              <w:rPr>
                <w:b/>
                <w:lang w:eastAsia="fr-CA"/>
              </w:rPr>
            </w:pPr>
            <w:r w:rsidRPr="00966591">
              <w:rPr>
                <w:b/>
                <w:lang w:eastAsia="fr-CA"/>
              </w:rPr>
              <w:t>Pyrosis</w:t>
            </w:r>
          </w:p>
          <w:p w:rsidR="0056454B" w:rsidRDefault="0056454B" w:rsidP="006A5715">
            <w:pPr>
              <w:pStyle w:val="Sansinterligne"/>
              <w:numPr>
                <w:ilvl w:val="0"/>
                <w:numId w:val="1558"/>
              </w:numPr>
              <w:rPr>
                <w:lang w:eastAsia="fr-CA"/>
              </w:rPr>
            </w:pPr>
            <w:r w:rsidRPr="00966591">
              <w:rPr>
                <w:b/>
                <w:lang w:eastAsia="fr-CA"/>
              </w:rPr>
              <w:t>Goût amer</w:t>
            </w:r>
            <w:r>
              <w:rPr>
                <w:lang w:eastAsia="fr-CA"/>
              </w:rPr>
              <w:t xml:space="preserve"> dans la bouche (régurgit)</w:t>
            </w:r>
          </w:p>
        </w:tc>
        <w:tc>
          <w:tcPr>
            <w:tcW w:w="3962" w:type="dxa"/>
            <w:tcBorders>
              <w:left w:val="single" w:sz="4" w:space="0" w:color="FFFFFF" w:themeColor="background1"/>
            </w:tcBorders>
          </w:tcPr>
          <w:p w:rsidR="00747AE2" w:rsidRDefault="0056454B" w:rsidP="006A5715">
            <w:pPr>
              <w:pStyle w:val="Sansinterligne"/>
              <w:numPr>
                <w:ilvl w:val="0"/>
                <w:numId w:val="1558"/>
              </w:numPr>
              <w:rPr>
                <w:lang w:eastAsia="fr-CA"/>
              </w:rPr>
            </w:pPr>
            <w:r>
              <w:rPr>
                <w:lang w:eastAsia="fr-CA"/>
              </w:rPr>
              <w:t>Toux chronique</w:t>
            </w:r>
          </w:p>
          <w:p w:rsidR="0056454B" w:rsidRPr="00966591" w:rsidRDefault="0056454B" w:rsidP="006A5715">
            <w:pPr>
              <w:pStyle w:val="Sansinterligne"/>
              <w:numPr>
                <w:ilvl w:val="0"/>
                <w:numId w:val="1558"/>
              </w:numPr>
              <w:rPr>
                <w:b/>
                <w:lang w:eastAsia="fr-CA"/>
              </w:rPr>
            </w:pPr>
            <w:r w:rsidRPr="00966591">
              <w:rPr>
                <w:b/>
                <w:lang w:eastAsia="fr-CA"/>
              </w:rPr>
              <w:t>Voix rauque matinale</w:t>
            </w:r>
          </w:p>
          <w:p w:rsidR="0056454B" w:rsidRDefault="0056454B" w:rsidP="006A5715">
            <w:pPr>
              <w:pStyle w:val="Sansinterligne"/>
              <w:numPr>
                <w:ilvl w:val="0"/>
                <w:numId w:val="1558"/>
              </w:numPr>
              <w:rPr>
                <w:lang w:eastAsia="fr-CA"/>
              </w:rPr>
            </w:pPr>
            <w:r>
              <w:rPr>
                <w:lang w:eastAsia="fr-CA"/>
              </w:rPr>
              <w:t>Érosions dentaires</w:t>
            </w:r>
          </w:p>
        </w:tc>
      </w:tr>
      <w:tr w:rsidR="00747AE2" w:rsidRPr="00747AE2" w:rsidTr="009075D0">
        <w:tc>
          <w:tcPr>
            <w:tcW w:w="2660" w:type="dxa"/>
            <w:shd w:val="clear" w:color="auto" w:fill="95B3D7" w:themeFill="accent1" w:themeFillTint="99"/>
            <w:vAlign w:val="center"/>
          </w:tcPr>
          <w:p w:rsidR="00747AE2" w:rsidRPr="00747AE2" w:rsidRDefault="00747AE2" w:rsidP="002F5D80">
            <w:pPr>
              <w:pStyle w:val="Sansinterligne"/>
              <w:jc w:val="center"/>
              <w:rPr>
                <w:lang w:eastAsia="fr-CA"/>
              </w:rPr>
            </w:pPr>
            <w:r w:rsidRPr="00747AE2">
              <w:rPr>
                <w:lang w:eastAsia="fr-CA"/>
              </w:rPr>
              <w:t>Ulcère gastro-duodénal</w:t>
            </w:r>
          </w:p>
        </w:tc>
        <w:tc>
          <w:tcPr>
            <w:tcW w:w="8356" w:type="dxa"/>
            <w:gridSpan w:val="2"/>
          </w:tcPr>
          <w:p w:rsidR="00747AE2" w:rsidRDefault="00747AE2" w:rsidP="00747AE2">
            <w:pPr>
              <w:pStyle w:val="Sansinterligne"/>
              <w:rPr>
                <w:lang w:eastAsia="fr-CA"/>
              </w:rPr>
            </w:pPr>
            <w:r>
              <w:rPr>
                <w:lang w:eastAsia="fr-CA"/>
              </w:rPr>
              <w:t xml:space="preserve">Voir </w:t>
            </w:r>
            <w:r w:rsidRPr="00747AE2">
              <w:rPr>
                <w:i/>
                <w:lang w:eastAsia="fr-CA"/>
              </w:rPr>
              <w:t>Douleur abdominale chronique CMC 3-3</w:t>
            </w:r>
          </w:p>
          <w:p w:rsidR="00747AE2" w:rsidRDefault="00747AE2" w:rsidP="00747AE2">
            <w:pPr>
              <w:pStyle w:val="Sansinterligne"/>
              <w:rPr>
                <w:lang w:eastAsia="fr-CA"/>
              </w:rPr>
            </w:pPr>
            <w:r>
              <w:rPr>
                <w:lang w:eastAsia="fr-CA"/>
              </w:rPr>
              <w:t>Défense si perforé</w:t>
            </w:r>
          </w:p>
        </w:tc>
      </w:tr>
      <w:tr w:rsidR="00747AE2" w:rsidRPr="00747AE2" w:rsidTr="00633367">
        <w:tc>
          <w:tcPr>
            <w:tcW w:w="2660" w:type="dxa"/>
            <w:shd w:val="clear" w:color="auto" w:fill="95B3D7" w:themeFill="accent1" w:themeFillTint="99"/>
            <w:vAlign w:val="center"/>
          </w:tcPr>
          <w:p w:rsidR="00747AE2" w:rsidRPr="00747AE2" w:rsidRDefault="00747AE2" w:rsidP="002F5D80">
            <w:pPr>
              <w:pStyle w:val="Sansinterligne"/>
              <w:jc w:val="center"/>
              <w:rPr>
                <w:lang w:eastAsia="fr-CA"/>
              </w:rPr>
            </w:pPr>
            <w:r>
              <w:rPr>
                <w:lang w:eastAsia="fr-CA"/>
              </w:rPr>
              <w:t>Colique biliaire</w:t>
            </w:r>
          </w:p>
        </w:tc>
        <w:tc>
          <w:tcPr>
            <w:tcW w:w="4394" w:type="dxa"/>
            <w:tcBorders>
              <w:right w:val="single" w:sz="4" w:space="0" w:color="FFFF00"/>
            </w:tcBorders>
            <w:shd w:val="clear" w:color="auto" w:fill="FFFF00"/>
          </w:tcPr>
          <w:p w:rsidR="00747AE2" w:rsidRDefault="000F68E6" w:rsidP="006A5715">
            <w:pPr>
              <w:pStyle w:val="Sansinterligne"/>
              <w:numPr>
                <w:ilvl w:val="0"/>
                <w:numId w:val="1559"/>
              </w:numPr>
              <w:rPr>
                <w:lang w:eastAsia="fr-CA"/>
              </w:rPr>
            </w:pPr>
            <w:r w:rsidRPr="00633367">
              <w:rPr>
                <w:b/>
                <w:lang w:eastAsia="fr-CA"/>
              </w:rPr>
              <w:t>Douleur postprandiale au QSD</w:t>
            </w:r>
            <w:r>
              <w:rPr>
                <w:lang w:eastAsia="fr-CA"/>
              </w:rPr>
              <w:t>/épigastre</w:t>
            </w:r>
          </w:p>
          <w:p w:rsidR="000F68E6" w:rsidRPr="00747AE2" w:rsidRDefault="000F68E6" w:rsidP="006A5715">
            <w:pPr>
              <w:pStyle w:val="Sansinterligne"/>
              <w:numPr>
                <w:ilvl w:val="0"/>
                <w:numId w:val="1559"/>
              </w:numPr>
              <w:rPr>
                <w:lang w:eastAsia="fr-CA"/>
              </w:rPr>
            </w:pPr>
            <w:r>
              <w:rPr>
                <w:lang w:eastAsia="fr-CA"/>
              </w:rPr>
              <w:t>Sourde, intense et constante</w:t>
            </w:r>
          </w:p>
        </w:tc>
        <w:tc>
          <w:tcPr>
            <w:tcW w:w="3962" w:type="dxa"/>
            <w:tcBorders>
              <w:left w:val="single" w:sz="4" w:space="0" w:color="FFFF00"/>
            </w:tcBorders>
            <w:shd w:val="clear" w:color="auto" w:fill="FFFF00"/>
          </w:tcPr>
          <w:p w:rsidR="000F68E6" w:rsidRDefault="000F68E6" w:rsidP="006A5715">
            <w:pPr>
              <w:pStyle w:val="Sansinterligne"/>
              <w:numPr>
                <w:ilvl w:val="0"/>
                <w:numId w:val="1559"/>
              </w:numPr>
              <w:rPr>
                <w:lang w:eastAsia="fr-CA"/>
              </w:rPr>
            </w:pPr>
            <w:r>
              <w:rPr>
                <w:lang w:eastAsia="fr-CA"/>
              </w:rPr>
              <w:t>No/Vo</w:t>
            </w:r>
          </w:p>
          <w:p w:rsidR="00747AE2" w:rsidRPr="00747AE2" w:rsidRDefault="000F68E6" w:rsidP="006A5715">
            <w:pPr>
              <w:pStyle w:val="Sansinterligne"/>
              <w:numPr>
                <w:ilvl w:val="0"/>
                <w:numId w:val="1559"/>
              </w:numPr>
              <w:rPr>
                <w:lang w:eastAsia="fr-CA"/>
              </w:rPr>
            </w:pPr>
            <w:r w:rsidRPr="000F68E6">
              <w:rPr>
                <w:rFonts w:cs="Times New Roman"/>
                <w:lang w:eastAsia="fr-CA"/>
              </w:rPr>
              <w:t xml:space="preserve">Durée </w:t>
            </w:r>
            <w:r>
              <w:rPr>
                <w:rFonts w:ascii="Century Gothic" w:hAnsi="Century Gothic"/>
                <w:lang w:eastAsia="fr-CA"/>
              </w:rPr>
              <w:t>&lt;</w:t>
            </w:r>
            <w:r>
              <w:rPr>
                <w:lang w:eastAsia="fr-CA"/>
              </w:rPr>
              <w:t xml:space="preserve"> 4H </w:t>
            </w:r>
          </w:p>
        </w:tc>
      </w:tr>
      <w:tr w:rsidR="00747AE2" w:rsidRPr="00747AE2" w:rsidTr="00633367">
        <w:tc>
          <w:tcPr>
            <w:tcW w:w="2660" w:type="dxa"/>
            <w:shd w:val="clear" w:color="auto" w:fill="95B3D7" w:themeFill="accent1" w:themeFillTint="99"/>
            <w:vAlign w:val="center"/>
          </w:tcPr>
          <w:p w:rsidR="00747AE2" w:rsidRPr="00747AE2" w:rsidRDefault="00747AE2" w:rsidP="002F5D80">
            <w:pPr>
              <w:pStyle w:val="Sansinterligne"/>
              <w:jc w:val="center"/>
              <w:rPr>
                <w:lang w:eastAsia="fr-CA"/>
              </w:rPr>
            </w:pPr>
            <w:r>
              <w:rPr>
                <w:lang w:eastAsia="fr-CA"/>
              </w:rPr>
              <w:t>Cholécystite</w:t>
            </w:r>
          </w:p>
        </w:tc>
        <w:tc>
          <w:tcPr>
            <w:tcW w:w="4394" w:type="dxa"/>
            <w:tcBorders>
              <w:right w:val="single" w:sz="4" w:space="0" w:color="FFFF00"/>
            </w:tcBorders>
            <w:shd w:val="clear" w:color="auto" w:fill="FFFF00"/>
          </w:tcPr>
          <w:p w:rsidR="00747AE2" w:rsidRPr="00633367" w:rsidRDefault="000F68E6" w:rsidP="006A5715">
            <w:pPr>
              <w:pStyle w:val="Sansinterligne"/>
              <w:numPr>
                <w:ilvl w:val="0"/>
                <w:numId w:val="1560"/>
              </w:numPr>
              <w:rPr>
                <w:b/>
                <w:lang w:eastAsia="fr-CA"/>
              </w:rPr>
            </w:pPr>
            <w:r w:rsidRPr="00633367">
              <w:rPr>
                <w:b/>
                <w:lang w:eastAsia="fr-CA"/>
              </w:rPr>
              <w:t>Douleur postprandiale au QSD</w:t>
            </w:r>
          </w:p>
          <w:p w:rsidR="000F68E6" w:rsidRDefault="00966591" w:rsidP="006A5715">
            <w:pPr>
              <w:pStyle w:val="Sansinterligne"/>
              <w:numPr>
                <w:ilvl w:val="0"/>
                <w:numId w:val="1560"/>
              </w:numPr>
              <w:rPr>
                <w:lang w:eastAsia="fr-CA"/>
              </w:rPr>
            </w:pPr>
            <w:r>
              <w:rPr>
                <w:lang w:eastAsia="fr-CA"/>
              </w:rPr>
              <w:t>Sourde</w:t>
            </w:r>
            <w:r w:rsidR="000F68E6">
              <w:rPr>
                <w:lang w:eastAsia="fr-CA"/>
              </w:rPr>
              <w:t>, intense et constante</w:t>
            </w:r>
          </w:p>
          <w:p w:rsidR="000F68E6" w:rsidRPr="00747AE2" w:rsidRDefault="000F68E6" w:rsidP="006A5715">
            <w:pPr>
              <w:pStyle w:val="Sansinterligne"/>
              <w:numPr>
                <w:ilvl w:val="0"/>
                <w:numId w:val="1560"/>
              </w:numPr>
              <w:rPr>
                <w:lang w:eastAsia="fr-CA"/>
              </w:rPr>
            </w:pPr>
            <w:r>
              <w:rPr>
                <w:lang w:eastAsia="fr-CA"/>
              </w:rPr>
              <w:t>Parfois hyperesthésie à l’épaule droite               (Signe de Boa)</w:t>
            </w:r>
          </w:p>
        </w:tc>
        <w:tc>
          <w:tcPr>
            <w:tcW w:w="3962" w:type="dxa"/>
            <w:tcBorders>
              <w:left w:val="single" w:sz="4" w:space="0" w:color="FFFF00"/>
            </w:tcBorders>
            <w:shd w:val="clear" w:color="auto" w:fill="FFFF00"/>
          </w:tcPr>
          <w:p w:rsidR="000F68E6" w:rsidRPr="00633367" w:rsidRDefault="000F68E6" w:rsidP="006A5715">
            <w:pPr>
              <w:pStyle w:val="Sansinterligne"/>
              <w:numPr>
                <w:ilvl w:val="0"/>
                <w:numId w:val="1560"/>
              </w:numPr>
              <w:rPr>
                <w:b/>
                <w:lang w:eastAsia="fr-CA"/>
              </w:rPr>
            </w:pPr>
            <w:r w:rsidRPr="00633367">
              <w:rPr>
                <w:b/>
                <w:lang w:eastAsia="fr-CA"/>
              </w:rPr>
              <w:t xml:space="preserve">Durée </w:t>
            </w:r>
            <w:r w:rsidRPr="00633367">
              <w:rPr>
                <w:rFonts w:ascii="Century Gothic" w:hAnsi="Century Gothic"/>
                <w:b/>
                <w:lang w:eastAsia="fr-CA"/>
              </w:rPr>
              <w:t>&gt;</w:t>
            </w:r>
            <w:r w:rsidRPr="00633367">
              <w:rPr>
                <w:b/>
                <w:lang w:eastAsia="fr-CA"/>
              </w:rPr>
              <w:t xml:space="preserve"> 4h </w:t>
            </w:r>
          </w:p>
          <w:p w:rsidR="00747AE2" w:rsidRPr="00633367" w:rsidRDefault="000F68E6" w:rsidP="006A5715">
            <w:pPr>
              <w:pStyle w:val="Sansinterligne"/>
              <w:numPr>
                <w:ilvl w:val="0"/>
                <w:numId w:val="1560"/>
              </w:numPr>
              <w:rPr>
                <w:b/>
                <w:lang w:eastAsia="fr-CA"/>
              </w:rPr>
            </w:pPr>
            <w:r w:rsidRPr="00633367">
              <w:rPr>
                <w:b/>
                <w:lang w:eastAsia="fr-CA"/>
              </w:rPr>
              <w:t>Fièvre</w:t>
            </w:r>
          </w:p>
          <w:p w:rsidR="000F68E6" w:rsidRPr="00633367" w:rsidRDefault="000F68E6" w:rsidP="006A5715">
            <w:pPr>
              <w:pStyle w:val="Sansinterligne"/>
              <w:numPr>
                <w:ilvl w:val="0"/>
                <w:numId w:val="1560"/>
              </w:numPr>
              <w:rPr>
                <w:b/>
                <w:lang w:eastAsia="fr-CA"/>
              </w:rPr>
            </w:pPr>
            <w:r w:rsidRPr="00633367">
              <w:rPr>
                <w:b/>
                <w:lang w:eastAsia="fr-CA"/>
              </w:rPr>
              <w:t>Signe de Murphy +</w:t>
            </w:r>
          </w:p>
          <w:p w:rsidR="000F68E6" w:rsidRPr="00747AE2" w:rsidRDefault="000F68E6" w:rsidP="000F68E6">
            <w:pPr>
              <w:pStyle w:val="Sansinterligne"/>
              <w:rPr>
                <w:lang w:eastAsia="fr-CA"/>
              </w:rPr>
            </w:pPr>
          </w:p>
        </w:tc>
      </w:tr>
      <w:tr w:rsidR="00747AE2" w:rsidRPr="00747AE2" w:rsidTr="00633367">
        <w:tc>
          <w:tcPr>
            <w:tcW w:w="2660" w:type="dxa"/>
            <w:shd w:val="clear" w:color="auto" w:fill="95B3D7" w:themeFill="accent1" w:themeFillTint="99"/>
            <w:vAlign w:val="center"/>
          </w:tcPr>
          <w:p w:rsidR="00747AE2" w:rsidRPr="00747AE2" w:rsidRDefault="00747AE2" w:rsidP="002F5D80">
            <w:pPr>
              <w:pStyle w:val="Sansinterligne"/>
              <w:jc w:val="center"/>
              <w:rPr>
                <w:lang w:eastAsia="fr-CA"/>
              </w:rPr>
            </w:pPr>
            <w:r>
              <w:rPr>
                <w:lang w:eastAsia="fr-CA"/>
              </w:rPr>
              <w:t>Cholangite</w:t>
            </w:r>
          </w:p>
        </w:tc>
        <w:tc>
          <w:tcPr>
            <w:tcW w:w="4394" w:type="dxa"/>
            <w:tcBorders>
              <w:right w:val="single" w:sz="4" w:space="0" w:color="FFFF00"/>
            </w:tcBorders>
            <w:shd w:val="clear" w:color="auto" w:fill="FFFF00"/>
          </w:tcPr>
          <w:p w:rsidR="00747AE2" w:rsidRPr="000F68E6" w:rsidRDefault="00FD04D2" w:rsidP="000F68E6">
            <w:pPr>
              <w:pStyle w:val="Sansinterligne"/>
              <w:rPr>
                <w:u w:val="single"/>
                <w:lang w:eastAsia="fr-CA"/>
              </w:rPr>
            </w:pPr>
            <w:r w:rsidRPr="000F68E6">
              <w:rPr>
                <w:u w:val="single"/>
                <w:lang w:eastAsia="fr-CA"/>
              </w:rPr>
              <w:t>Triade de Charcot</w:t>
            </w:r>
          </w:p>
          <w:p w:rsidR="00FD04D2" w:rsidRDefault="00FD04D2" w:rsidP="006A5715">
            <w:pPr>
              <w:pStyle w:val="Sansinterligne"/>
              <w:numPr>
                <w:ilvl w:val="0"/>
                <w:numId w:val="1560"/>
              </w:numPr>
              <w:rPr>
                <w:lang w:eastAsia="fr-CA"/>
              </w:rPr>
            </w:pPr>
            <w:r>
              <w:rPr>
                <w:lang w:eastAsia="fr-CA"/>
              </w:rPr>
              <w:lastRenderedPageBreak/>
              <w:t>Fièvre, douleur au QSD et ictère</w:t>
            </w:r>
          </w:p>
          <w:p w:rsidR="009C7204" w:rsidRPr="000F68E6" w:rsidRDefault="009C7204" w:rsidP="009C7204">
            <w:pPr>
              <w:pStyle w:val="Sansinterligne"/>
              <w:rPr>
                <w:u w:val="single"/>
                <w:lang w:eastAsia="fr-CA"/>
              </w:rPr>
            </w:pPr>
            <w:r w:rsidRPr="000F68E6">
              <w:rPr>
                <w:u w:val="single"/>
                <w:lang w:eastAsia="fr-CA"/>
              </w:rPr>
              <w:t>Pentade de Reynold</w:t>
            </w:r>
          </w:p>
          <w:p w:rsidR="009C7204" w:rsidRDefault="009C7204" w:rsidP="006A5715">
            <w:pPr>
              <w:pStyle w:val="Sansinterligne"/>
              <w:numPr>
                <w:ilvl w:val="0"/>
                <w:numId w:val="1560"/>
              </w:numPr>
              <w:rPr>
                <w:lang w:eastAsia="fr-CA"/>
              </w:rPr>
            </w:pPr>
            <w:r>
              <w:rPr>
                <w:lang w:eastAsia="fr-CA"/>
              </w:rPr>
              <w:t>Triade de Charcot +</w:t>
            </w:r>
          </w:p>
          <w:p w:rsidR="00FD04D2" w:rsidRPr="00747AE2" w:rsidRDefault="009C7204" w:rsidP="006A5715">
            <w:pPr>
              <w:pStyle w:val="Sansinterligne"/>
              <w:numPr>
                <w:ilvl w:val="0"/>
                <w:numId w:val="1560"/>
              </w:numPr>
              <w:rPr>
                <w:lang w:eastAsia="fr-CA"/>
              </w:rPr>
            </w:pPr>
            <w:r>
              <w:rPr>
                <w:lang w:eastAsia="fr-CA"/>
              </w:rPr>
              <w:t>HypoTA + altération de conscience</w:t>
            </w:r>
          </w:p>
        </w:tc>
        <w:tc>
          <w:tcPr>
            <w:tcW w:w="3962" w:type="dxa"/>
            <w:tcBorders>
              <w:left w:val="single" w:sz="4" w:space="0" w:color="FFFF00"/>
            </w:tcBorders>
            <w:shd w:val="clear" w:color="auto" w:fill="FFFF00"/>
          </w:tcPr>
          <w:p w:rsidR="00747AE2" w:rsidRDefault="009C7204" w:rsidP="006A5715">
            <w:pPr>
              <w:pStyle w:val="Sansinterligne"/>
              <w:numPr>
                <w:ilvl w:val="0"/>
                <w:numId w:val="1560"/>
              </w:numPr>
              <w:rPr>
                <w:lang w:eastAsia="fr-CA"/>
              </w:rPr>
            </w:pPr>
            <w:r>
              <w:rPr>
                <w:lang w:eastAsia="fr-CA"/>
              </w:rPr>
              <w:lastRenderedPageBreak/>
              <w:t>No/Vo</w:t>
            </w:r>
          </w:p>
          <w:p w:rsidR="009C7204" w:rsidRDefault="009C7204" w:rsidP="006A5715">
            <w:pPr>
              <w:pStyle w:val="Sansinterligne"/>
              <w:numPr>
                <w:ilvl w:val="0"/>
                <w:numId w:val="1560"/>
              </w:numPr>
              <w:rPr>
                <w:lang w:eastAsia="fr-CA"/>
              </w:rPr>
            </w:pPr>
            <w:r>
              <w:rPr>
                <w:lang w:eastAsia="fr-CA"/>
              </w:rPr>
              <w:lastRenderedPageBreak/>
              <w:t>Selles acholiques (pâles)</w:t>
            </w:r>
          </w:p>
          <w:p w:rsidR="009C7204" w:rsidRDefault="009C7204" w:rsidP="006A5715">
            <w:pPr>
              <w:pStyle w:val="Sansinterligne"/>
              <w:numPr>
                <w:ilvl w:val="0"/>
                <w:numId w:val="1560"/>
              </w:numPr>
              <w:rPr>
                <w:lang w:eastAsia="fr-CA"/>
              </w:rPr>
            </w:pPr>
            <w:r>
              <w:rPr>
                <w:lang w:eastAsia="fr-CA"/>
              </w:rPr>
              <w:t>Urines foncées</w:t>
            </w:r>
          </w:p>
          <w:p w:rsidR="009C7204" w:rsidRPr="00747AE2" w:rsidRDefault="009C7204" w:rsidP="006A5715">
            <w:pPr>
              <w:pStyle w:val="Sansinterligne"/>
              <w:numPr>
                <w:ilvl w:val="0"/>
                <w:numId w:val="1560"/>
              </w:numPr>
              <w:rPr>
                <w:lang w:eastAsia="fr-CA"/>
              </w:rPr>
            </w:pPr>
            <w:r>
              <w:rPr>
                <w:lang w:eastAsia="fr-CA"/>
              </w:rPr>
              <w:t>Iléus</w:t>
            </w:r>
          </w:p>
        </w:tc>
      </w:tr>
      <w:tr w:rsidR="00747AE2" w:rsidRPr="00747AE2" w:rsidTr="00633367">
        <w:tc>
          <w:tcPr>
            <w:tcW w:w="2660" w:type="dxa"/>
            <w:shd w:val="clear" w:color="auto" w:fill="95B3D7" w:themeFill="accent1" w:themeFillTint="99"/>
            <w:vAlign w:val="center"/>
          </w:tcPr>
          <w:p w:rsidR="00747AE2" w:rsidRPr="00747AE2" w:rsidRDefault="00747AE2" w:rsidP="009C7204">
            <w:pPr>
              <w:pStyle w:val="Sansinterligne"/>
              <w:jc w:val="center"/>
              <w:rPr>
                <w:lang w:eastAsia="fr-CA"/>
              </w:rPr>
            </w:pPr>
            <w:r w:rsidRPr="00747AE2">
              <w:rPr>
                <w:lang w:eastAsia="fr-CA"/>
              </w:rPr>
              <w:lastRenderedPageBreak/>
              <w:t xml:space="preserve">Hépatite </w:t>
            </w:r>
            <w:r w:rsidR="00FC2AAA">
              <w:rPr>
                <w:lang w:eastAsia="fr-CA"/>
              </w:rPr>
              <w:t xml:space="preserve">virale </w:t>
            </w:r>
            <w:r w:rsidRPr="00747AE2">
              <w:rPr>
                <w:lang w:eastAsia="fr-CA"/>
              </w:rPr>
              <w:t>aiguë</w:t>
            </w:r>
          </w:p>
        </w:tc>
        <w:tc>
          <w:tcPr>
            <w:tcW w:w="4394" w:type="dxa"/>
            <w:tcBorders>
              <w:right w:val="single" w:sz="4" w:space="0" w:color="FFFFFF" w:themeColor="background1"/>
            </w:tcBorders>
          </w:tcPr>
          <w:p w:rsidR="00747AE2" w:rsidRPr="00D86C41" w:rsidRDefault="00DE1750" w:rsidP="00D86C41">
            <w:pPr>
              <w:pStyle w:val="Sansinterligne"/>
              <w:rPr>
                <w:u w:val="single"/>
                <w:lang w:eastAsia="fr-CA"/>
              </w:rPr>
            </w:pPr>
            <w:r w:rsidRPr="00D86C41">
              <w:rPr>
                <w:u w:val="single"/>
                <w:lang w:eastAsia="fr-CA"/>
              </w:rPr>
              <w:t xml:space="preserve">Prodrome d’allure grippal </w:t>
            </w:r>
          </w:p>
          <w:p w:rsidR="00DE1750" w:rsidRDefault="00DE1750" w:rsidP="006A5715">
            <w:pPr>
              <w:pStyle w:val="Sansinterligne"/>
              <w:numPr>
                <w:ilvl w:val="0"/>
                <w:numId w:val="1563"/>
              </w:numPr>
              <w:rPr>
                <w:lang w:eastAsia="fr-CA"/>
              </w:rPr>
            </w:pPr>
            <w:r>
              <w:rPr>
                <w:lang w:eastAsia="fr-CA"/>
              </w:rPr>
              <w:t>Myalgies</w:t>
            </w:r>
          </w:p>
          <w:p w:rsidR="00DE1750" w:rsidRDefault="00DE1750" w:rsidP="006A5715">
            <w:pPr>
              <w:pStyle w:val="Sansinterligne"/>
              <w:numPr>
                <w:ilvl w:val="0"/>
                <w:numId w:val="1563"/>
              </w:numPr>
              <w:rPr>
                <w:lang w:eastAsia="fr-CA"/>
              </w:rPr>
            </w:pPr>
            <w:r>
              <w:rPr>
                <w:lang w:eastAsia="fr-CA"/>
              </w:rPr>
              <w:t>Arthralgies</w:t>
            </w:r>
          </w:p>
          <w:p w:rsidR="00DE1750" w:rsidRDefault="00DE1750" w:rsidP="006A5715">
            <w:pPr>
              <w:pStyle w:val="Sansinterligne"/>
              <w:numPr>
                <w:ilvl w:val="0"/>
                <w:numId w:val="1563"/>
              </w:numPr>
              <w:rPr>
                <w:lang w:eastAsia="fr-CA"/>
              </w:rPr>
            </w:pPr>
            <w:r>
              <w:rPr>
                <w:lang w:eastAsia="fr-CA"/>
              </w:rPr>
              <w:t>No/Vo, Anorexie</w:t>
            </w:r>
          </w:p>
          <w:p w:rsidR="00DE1750" w:rsidRDefault="00DE1750" w:rsidP="006A5715">
            <w:pPr>
              <w:pStyle w:val="Sansinterligne"/>
              <w:numPr>
                <w:ilvl w:val="0"/>
                <w:numId w:val="1563"/>
              </w:numPr>
              <w:rPr>
                <w:lang w:eastAsia="fr-CA"/>
              </w:rPr>
            </w:pPr>
            <w:r>
              <w:rPr>
                <w:lang w:eastAsia="fr-CA"/>
              </w:rPr>
              <w:t>Fatigue, fièvre</w:t>
            </w:r>
          </w:p>
          <w:p w:rsidR="00DE1750" w:rsidRPr="00747AE2" w:rsidRDefault="00DE1750" w:rsidP="006A5715">
            <w:pPr>
              <w:pStyle w:val="Sansinterligne"/>
              <w:numPr>
                <w:ilvl w:val="0"/>
                <w:numId w:val="1563"/>
              </w:numPr>
              <w:rPr>
                <w:lang w:eastAsia="fr-CA"/>
              </w:rPr>
            </w:pPr>
            <w:r>
              <w:rPr>
                <w:lang w:eastAsia="fr-CA"/>
              </w:rPr>
              <w:t>Céphalées</w:t>
            </w:r>
          </w:p>
        </w:tc>
        <w:tc>
          <w:tcPr>
            <w:tcW w:w="3962" w:type="dxa"/>
            <w:tcBorders>
              <w:left w:val="single" w:sz="4" w:space="0" w:color="FFFFFF" w:themeColor="background1"/>
            </w:tcBorders>
          </w:tcPr>
          <w:p w:rsidR="00747AE2" w:rsidRPr="00966591" w:rsidRDefault="00DE1750" w:rsidP="006A5715">
            <w:pPr>
              <w:pStyle w:val="Sansinterligne"/>
              <w:numPr>
                <w:ilvl w:val="0"/>
                <w:numId w:val="1563"/>
              </w:numPr>
              <w:rPr>
                <w:b/>
                <w:lang w:eastAsia="fr-CA"/>
              </w:rPr>
            </w:pPr>
            <w:r w:rsidRPr="00966591">
              <w:rPr>
                <w:b/>
                <w:lang w:eastAsia="fr-CA"/>
              </w:rPr>
              <w:t>Douleur au QSD</w:t>
            </w:r>
          </w:p>
          <w:p w:rsidR="00DE1750" w:rsidRPr="00966591" w:rsidRDefault="00DE1750" w:rsidP="006A5715">
            <w:pPr>
              <w:pStyle w:val="Sansinterligne"/>
              <w:numPr>
                <w:ilvl w:val="0"/>
                <w:numId w:val="1563"/>
              </w:numPr>
              <w:rPr>
                <w:b/>
                <w:lang w:eastAsia="fr-CA"/>
              </w:rPr>
            </w:pPr>
            <w:r w:rsidRPr="00966591">
              <w:rPr>
                <w:b/>
                <w:lang w:eastAsia="fr-CA"/>
              </w:rPr>
              <w:t>Ictère</w:t>
            </w:r>
          </w:p>
          <w:p w:rsidR="00D86C41" w:rsidRPr="00966591" w:rsidRDefault="00D86C41" w:rsidP="006A5715">
            <w:pPr>
              <w:pStyle w:val="Sansinterligne"/>
              <w:numPr>
                <w:ilvl w:val="0"/>
                <w:numId w:val="1563"/>
              </w:numPr>
              <w:rPr>
                <w:b/>
                <w:lang w:eastAsia="fr-CA"/>
              </w:rPr>
            </w:pPr>
            <w:r w:rsidRPr="00966591">
              <w:rPr>
                <w:b/>
                <w:lang w:eastAsia="fr-CA"/>
              </w:rPr>
              <w:t>Selles acholiques (pâles)</w:t>
            </w:r>
          </w:p>
          <w:p w:rsidR="00D86C41" w:rsidRPr="00966591" w:rsidRDefault="00D86C41" w:rsidP="006A5715">
            <w:pPr>
              <w:pStyle w:val="Sansinterligne"/>
              <w:numPr>
                <w:ilvl w:val="0"/>
                <w:numId w:val="1563"/>
              </w:numPr>
              <w:rPr>
                <w:b/>
                <w:lang w:eastAsia="fr-CA"/>
              </w:rPr>
            </w:pPr>
            <w:r w:rsidRPr="00966591">
              <w:rPr>
                <w:b/>
                <w:lang w:eastAsia="fr-CA"/>
              </w:rPr>
              <w:t>Urines foncées</w:t>
            </w:r>
          </w:p>
          <w:p w:rsidR="00D86C41" w:rsidRDefault="00D86C41" w:rsidP="006A5715">
            <w:pPr>
              <w:pStyle w:val="Sansinterligne"/>
              <w:numPr>
                <w:ilvl w:val="0"/>
                <w:numId w:val="1563"/>
              </w:numPr>
              <w:rPr>
                <w:lang w:eastAsia="fr-CA"/>
              </w:rPr>
            </w:pPr>
            <w:r>
              <w:rPr>
                <w:lang w:eastAsia="fr-CA"/>
              </w:rPr>
              <w:t>Splénomégalie</w:t>
            </w:r>
          </w:p>
          <w:p w:rsidR="00D86C41" w:rsidRDefault="00D86C41" w:rsidP="006A5715">
            <w:pPr>
              <w:pStyle w:val="Sansinterligne"/>
              <w:numPr>
                <w:ilvl w:val="0"/>
                <w:numId w:val="1563"/>
              </w:numPr>
              <w:rPr>
                <w:lang w:eastAsia="fr-CA"/>
              </w:rPr>
            </w:pPr>
            <w:r>
              <w:rPr>
                <w:lang w:eastAsia="fr-CA"/>
              </w:rPr>
              <w:t>Adénopathies</w:t>
            </w:r>
          </w:p>
          <w:p w:rsidR="0064245D" w:rsidRPr="00747AE2" w:rsidRDefault="0064245D" w:rsidP="0064245D">
            <w:pPr>
              <w:pStyle w:val="Sansinterligne"/>
              <w:ind w:left="360"/>
              <w:rPr>
                <w:lang w:eastAsia="fr-CA"/>
              </w:rPr>
            </w:pPr>
          </w:p>
        </w:tc>
      </w:tr>
      <w:tr w:rsidR="00747AE2" w:rsidRPr="00747AE2" w:rsidTr="00966591">
        <w:tc>
          <w:tcPr>
            <w:tcW w:w="2660" w:type="dxa"/>
            <w:shd w:val="clear" w:color="auto" w:fill="95B3D7" w:themeFill="accent1" w:themeFillTint="99"/>
            <w:vAlign w:val="center"/>
          </w:tcPr>
          <w:p w:rsidR="00747AE2" w:rsidRPr="00747AE2" w:rsidRDefault="00747AE2" w:rsidP="002F5D80">
            <w:pPr>
              <w:pStyle w:val="Sansinterligne"/>
              <w:jc w:val="center"/>
              <w:rPr>
                <w:lang w:eastAsia="fr-CA"/>
              </w:rPr>
            </w:pPr>
            <w:r w:rsidRPr="00747AE2">
              <w:rPr>
                <w:lang w:eastAsia="fr-CA"/>
              </w:rPr>
              <w:t>Pancréatite</w:t>
            </w:r>
            <w:r w:rsidR="00D86C41">
              <w:rPr>
                <w:lang w:eastAsia="fr-CA"/>
              </w:rPr>
              <w:t xml:space="preserve"> aiguë</w:t>
            </w:r>
          </w:p>
        </w:tc>
        <w:tc>
          <w:tcPr>
            <w:tcW w:w="4394" w:type="dxa"/>
            <w:tcBorders>
              <w:right w:val="single" w:sz="4" w:space="0" w:color="FFFF00"/>
            </w:tcBorders>
            <w:shd w:val="clear" w:color="auto" w:fill="FFFF00"/>
          </w:tcPr>
          <w:p w:rsidR="00747AE2" w:rsidRPr="00966591" w:rsidRDefault="00D86C41" w:rsidP="006A5715">
            <w:pPr>
              <w:pStyle w:val="Sansinterligne"/>
              <w:numPr>
                <w:ilvl w:val="0"/>
                <w:numId w:val="1564"/>
              </w:numPr>
              <w:rPr>
                <w:b/>
                <w:lang w:eastAsia="fr-CA"/>
              </w:rPr>
            </w:pPr>
            <w:r w:rsidRPr="00966591">
              <w:rPr>
                <w:b/>
                <w:lang w:eastAsia="fr-CA"/>
              </w:rPr>
              <w:t>ROH</w:t>
            </w:r>
            <w:r w:rsidR="00794D11" w:rsidRPr="00966591">
              <w:rPr>
                <w:b/>
                <w:lang w:eastAsia="fr-CA"/>
              </w:rPr>
              <w:t>/cholélithiase/post-CPRE/Néo</w:t>
            </w:r>
          </w:p>
          <w:p w:rsidR="00D86C41" w:rsidRDefault="00D86C41" w:rsidP="006A5715">
            <w:pPr>
              <w:pStyle w:val="Sansinterligne"/>
              <w:numPr>
                <w:ilvl w:val="0"/>
                <w:numId w:val="1564"/>
              </w:numPr>
              <w:rPr>
                <w:lang w:eastAsia="fr-CA"/>
              </w:rPr>
            </w:pPr>
            <w:r>
              <w:rPr>
                <w:lang w:eastAsia="fr-CA"/>
              </w:rPr>
              <w:t>Douleur épigastrique</w:t>
            </w:r>
            <w:r w:rsidR="00794D11">
              <w:rPr>
                <w:lang w:eastAsia="fr-CA"/>
              </w:rPr>
              <w:t xml:space="preserve"> constante</w:t>
            </w:r>
          </w:p>
          <w:p w:rsidR="00D86C41" w:rsidRDefault="00D86C41" w:rsidP="006A5715">
            <w:pPr>
              <w:pStyle w:val="Sansinterligne"/>
              <w:numPr>
                <w:ilvl w:val="0"/>
                <w:numId w:val="1564"/>
              </w:numPr>
              <w:rPr>
                <w:b/>
                <w:lang w:eastAsia="fr-CA"/>
              </w:rPr>
            </w:pPr>
            <w:r w:rsidRPr="00966591">
              <w:rPr>
                <w:b/>
                <w:lang w:eastAsia="fr-CA"/>
              </w:rPr>
              <w:t>Irradie au dos</w:t>
            </w:r>
          </w:p>
          <w:p w:rsidR="00966591" w:rsidRPr="00966591" w:rsidRDefault="00966591" w:rsidP="006A5715">
            <w:pPr>
              <w:pStyle w:val="Sansinterligne"/>
              <w:numPr>
                <w:ilvl w:val="0"/>
                <w:numId w:val="1564"/>
              </w:numPr>
              <w:rPr>
                <w:b/>
                <w:lang w:eastAsia="fr-CA"/>
              </w:rPr>
            </w:pPr>
            <w:r>
              <w:rPr>
                <w:b/>
                <w:lang w:eastAsia="fr-CA"/>
              </w:rPr>
              <w:t xml:space="preserve">Postprandriale </w:t>
            </w:r>
            <w:r>
              <w:rPr>
                <w:rFonts w:ascii="Century Gothic" w:hAnsi="Century Gothic"/>
                <w:b/>
                <w:lang w:eastAsia="fr-CA"/>
              </w:rPr>
              <w:t>↑</w:t>
            </w:r>
          </w:p>
        </w:tc>
        <w:tc>
          <w:tcPr>
            <w:tcW w:w="3962" w:type="dxa"/>
            <w:tcBorders>
              <w:left w:val="single" w:sz="4" w:space="0" w:color="FFFF00"/>
            </w:tcBorders>
            <w:shd w:val="clear" w:color="auto" w:fill="FFFF00"/>
          </w:tcPr>
          <w:p w:rsidR="00747AE2" w:rsidRPr="00966591" w:rsidRDefault="00D86C41" w:rsidP="006A5715">
            <w:pPr>
              <w:pStyle w:val="Sansinterligne"/>
              <w:numPr>
                <w:ilvl w:val="0"/>
                <w:numId w:val="1564"/>
              </w:numPr>
              <w:rPr>
                <w:b/>
                <w:lang w:eastAsia="fr-CA"/>
              </w:rPr>
            </w:pPr>
            <w:r w:rsidRPr="00966591">
              <w:rPr>
                <w:b/>
                <w:lang w:eastAsia="fr-CA"/>
              </w:rPr>
              <w:t>No/Vo</w:t>
            </w:r>
          </w:p>
          <w:p w:rsidR="00D86C41" w:rsidRDefault="00D86C41" w:rsidP="006A5715">
            <w:pPr>
              <w:pStyle w:val="Sansinterligne"/>
              <w:numPr>
                <w:ilvl w:val="0"/>
                <w:numId w:val="1564"/>
              </w:numPr>
              <w:rPr>
                <w:lang w:eastAsia="fr-CA"/>
              </w:rPr>
            </w:pPr>
            <w:r>
              <w:rPr>
                <w:lang w:eastAsia="fr-CA"/>
              </w:rPr>
              <w:t>Défense abdominale</w:t>
            </w:r>
          </w:p>
          <w:p w:rsidR="00D86C41" w:rsidRDefault="00D86C41" w:rsidP="006A5715">
            <w:pPr>
              <w:pStyle w:val="Sansinterligne"/>
              <w:numPr>
                <w:ilvl w:val="0"/>
                <w:numId w:val="1564"/>
              </w:numPr>
              <w:rPr>
                <w:lang w:eastAsia="fr-CA"/>
              </w:rPr>
            </w:pPr>
            <w:r>
              <w:rPr>
                <w:lang w:eastAsia="fr-CA"/>
              </w:rPr>
              <w:t>Tachycardie</w:t>
            </w:r>
            <w:r w:rsidR="00794D11">
              <w:rPr>
                <w:lang w:eastAsia="fr-CA"/>
              </w:rPr>
              <w:t>, fièvre</w:t>
            </w:r>
          </w:p>
          <w:p w:rsidR="00D86C41" w:rsidRPr="00966591" w:rsidRDefault="00D86C41" w:rsidP="006A5715">
            <w:pPr>
              <w:pStyle w:val="Sansinterligne"/>
              <w:numPr>
                <w:ilvl w:val="0"/>
                <w:numId w:val="1564"/>
              </w:numPr>
              <w:rPr>
                <w:b/>
                <w:lang w:eastAsia="fr-CA"/>
              </w:rPr>
            </w:pPr>
            <w:r w:rsidRPr="00966591">
              <w:rPr>
                <w:b/>
                <w:lang w:eastAsia="fr-CA"/>
              </w:rPr>
              <w:t>Signe de Cullen</w:t>
            </w:r>
            <w:r w:rsidR="00966591">
              <w:rPr>
                <w:b/>
                <w:lang w:eastAsia="fr-CA"/>
              </w:rPr>
              <w:t xml:space="preserve"> (rare)</w:t>
            </w:r>
          </w:p>
          <w:p w:rsidR="00D86C41" w:rsidRPr="00747AE2" w:rsidRDefault="00D86C41" w:rsidP="006A5715">
            <w:pPr>
              <w:pStyle w:val="Sansinterligne"/>
              <w:numPr>
                <w:ilvl w:val="0"/>
                <w:numId w:val="1564"/>
              </w:numPr>
              <w:rPr>
                <w:lang w:eastAsia="fr-CA"/>
              </w:rPr>
            </w:pPr>
            <w:r w:rsidRPr="00966591">
              <w:rPr>
                <w:b/>
                <w:lang w:eastAsia="fr-CA"/>
              </w:rPr>
              <w:t>Signe de Grey-Turner</w:t>
            </w:r>
            <w:r w:rsidR="00966591">
              <w:rPr>
                <w:b/>
                <w:lang w:eastAsia="fr-CA"/>
              </w:rPr>
              <w:t xml:space="preserve"> (rare)</w:t>
            </w:r>
          </w:p>
        </w:tc>
      </w:tr>
      <w:tr w:rsidR="00747AE2" w:rsidRPr="00747AE2" w:rsidTr="00633367">
        <w:tc>
          <w:tcPr>
            <w:tcW w:w="2660" w:type="dxa"/>
            <w:shd w:val="clear" w:color="auto" w:fill="95B3D7" w:themeFill="accent1" w:themeFillTint="99"/>
            <w:vAlign w:val="center"/>
          </w:tcPr>
          <w:p w:rsidR="00747AE2" w:rsidRPr="00747AE2" w:rsidRDefault="00747AE2" w:rsidP="002F5D80">
            <w:pPr>
              <w:pStyle w:val="Sansinterligne"/>
              <w:jc w:val="center"/>
              <w:rPr>
                <w:lang w:eastAsia="fr-CA"/>
              </w:rPr>
            </w:pPr>
            <w:bookmarkStart w:id="9" w:name="%C3%89tiologie1.1.6"/>
            <w:r w:rsidRPr="00747AE2">
              <w:rPr>
                <w:lang w:eastAsia="fr-CA"/>
              </w:rPr>
              <w:t xml:space="preserve">Infarctus </w:t>
            </w:r>
            <w:r w:rsidR="0064245D">
              <w:rPr>
                <w:lang w:eastAsia="fr-CA"/>
              </w:rPr>
              <w:t>/ rupture de</w:t>
            </w:r>
            <w:r w:rsidRPr="00747AE2">
              <w:rPr>
                <w:lang w:eastAsia="fr-CA"/>
              </w:rPr>
              <w:t xml:space="preserve"> rate</w:t>
            </w:r>
          </w:p>
        </w:tc>
        <w:tc>
          <w:tcPr>
            <w:tcW w:w="4394" w:type="dxa"/>
            <w:tcBorders>
              <w:right w:val="single" w:sz="4" w:space="0" w:color="FFFFFF" w:themeColor="background1"/>
            </w:tcBorders>
          </w:tcPr>
          <w:p w:rsidR="00747AE2" w:rsidRPr="0064245D" w:rsidRDefault="0064245D" w:rsidP="0064245D">
            <w:pPr>
              <w:pStyle w:val="Sansinterligne"/>
              <w:rPr>
                <w:u w:val="single"/>
                <w:lang w:eastAsia="fr-CA"/>
              </w:rPr>
            </w:pPr>
            <w:r w:rsidRPr="0064245D">
              <w:rPr>
                <w:u w:val="single"/>
                <w:lang w:eastAsia="fr-CA"/>
              </w:rPr>
              <w:t>Infarctus splénique</w:t>
            </w:r>
          </w:p>
          <w:p w:rsidR="0064245D" w:rsidRDefault="0064245D" w:rsidP="006A5715">
            <w:pPr>
              <w:pStyle w:val="Sansinterligne"/>
              <w:numPr>
                <w:ilvl w:val="0"/>
                <w:numId w:val="1567"/>
              </w:numPr>
              <w:rPr>
                <w:lang w:eastAsia="fr-CA"/>
              </w:rPr>
            </w:pPr>
            <w:r>
              <w:rPr>
                <w:lang w:eastAsia="fr-CA"/>
              </w:rPr>
              <w:t>Douleur QSG</w:t>
            </w:r>
          </w:p>
          <w:p w:rsidR="0064245D" w:rsidRDefault="0064245D" w:rsidP="006A5715">
            <w:pPr>
              <w:pStyle w:val="Sansinterligne"/>
              <w:numPr>
                <w:ilvl w:val="0"/>
                <w:numId w:val="1567"/>
              </w:numPr>
              <w:rPr>
                <w:lang w:eastAsia="fr-CA"/>
              </w:rPr>
            </w:pPr>
            <w:r>
              <w:rPr>
                <w:lang w:eastAsia="fr-CA"/>
              </w:rPr>
              <w:t>Fièvre</w:t>
            </w:r>
          </w:p>
          <w:p w:rsidR="0064245D" w:rsidRPr="00747AE2" w:rsidRDefault="0064245D" w:rsidP="006A5715">
            <w:pPr>
              <w:pStyle w:val="Sansinterligne"/>
              <w:numPr>
                <w:ilvl w:val="0"/>
                <w:numId w:val="1567"/>
              </w:numPr>
              <w:rPr>
                <w:lang w:eastAsia="fr-CA"/>
              </w:rPr>
            </w:pPr>
            <w:r>
              <w:rPr>
                <w:lang w:eastAsia="fr-CA"/>
              </w:rPr>
              <w:t>No/Vo</w:t>
            </w:r>
          </w:p>
        </w:tc>
        <w:tc>
          <w:tcPr>
            <w:tcW w:w="3962" w:type="dxa"/>
            <w:tcBorders>
              <w:left w:val="single" w:sz="4" w:space="0" w:color="FFFFFF" w:themeColor="background1"/>
            </w:tcBorders>
          </w:tcPr>
          <w:p w:rsidR="00747AE2" w:rsidRPr="0064245D" w:rsidRDefault="0064245D" w:rsidP="0064245D">
            <w:pPr>
              <w:pStyle w:val="Sansinterligne"/>
              <w:rPr>
                <w:u w:val="single"/>
                <w:lang w:eastAsia="fr-CA"/>
              </w:rPr>
            </w:pPr>
            <w:r w:rsidRPr="0064245D">
              <w:rPr>
                <w:u w:val="single"/>
                <w:lang w:eastAsia="fr-CA"/>
              </w:rPr>
              <w:t>Rupture splénique</w:t>
            </w:r>
          </w:p>
          <w:p w:rsidR="0064245D" w:rsidRDefault="0064245D" w:rsidP="006A5715">
            <w:pPr>
              <w:pStyle w:val="Sansinterligne"/>
              <w:numPr>
                <w:ilvl w:val="0"/>
                <w:numId w:val="1567"/>
              </w:numPr>
              <w:rPr>
                <w:lang w:eastAsia="fr-CA"/>
              </w:rPr>
            </w:pPr>
            <w:r>
              <w:rPr>
                <w:lang w:eastAsia="fr-CA"/>
              </w:rPr>
              <w:t>Histoire de trauma</w:t>
            </w:r>
          </w:p>
          <w:p w:rsidR="0064245D" w:rsidRDefault="0064245D" w:rsidP="006A5715">
            <w:pPr>
              <w:pStyle w:val="Sansinterligne"/>
              <w:numPr>
                <w:ilvl w:val="0"/>
                <w:numId w:val="1567"/>
              </w:numPr>
              <w:rPr>
                <w:lang w:eastAsia="fr-CA"/>
              </w:rPr>
            </w:pPr>
            <w:r>
              <w:rPr>
                <w:lang w:eastAsia="fr-CA"/>
              </w:rPr>
              <w:t>Douleur QSG</w:t>
            </w:r>
          </w:p>
          <w:p w:rsidR="0064245D" w:rsidRDefault="0064245D" w:rsidP="006A5715">
            <w:pPr>
              <w:pStyle w:val="Sansinterligne"/>
              <w:numPr>
                <w:ilvl w:val="0"/>
                <w:numId w:val="1567"/>
              </w:numPr>
              <w:rPr>
                <w:lang w:eastAsia="fr-CA"/>
              </w:rPr>
            </w:pPr>
            <w:r>
              <w:rPr>
                <w:lang w:eastAsia="fr-CA"/>
              </w:rPr>
              <w:t>Signe de Kehr (douleur à l’épaule)</w:t>
            </w:r>
          </w:p>
          <w:p w:rsidR="0064245D" w:rsidRPr="00747AE2" w:rsidRDefault="0064245D" w:rsidP="006A5715">
            <w:pPr>
              <w:pStyle w:val="Sansinterligne"/>
              <w:numPr>
                <w:ilvl w:val="0"/>
                <w:numId w:val="1567"/>
              </w:numPr>
              <w:rPr>
                <w:lang w:eastAsia="fr-CA"/>
              </w:rPr>
            </w:pPr>
            <w:r>
              <w:rPr>
                <w:lang w:eastAsia="fr-CA"/>
              </w:rPr>
              <w:t>Ecchymoses</w:t>
            </w:r>
          </w:p>
        </w:tc>
      </w:tr>
      <w:tr w:rsidR="00747AE2" w:rsidRPr="00747AE2" w:rsidTr="00633367">
        <w:tc>
          <w:tcPr>
            <w:tcW w:w="2660" w:type="dxa"/>
            <w:shd w:val="clear" w:color="auto" w:fill="95B3D7" w:themeFill="accent1" w:themeFillTint="99"/>
            <w:vAlign w:val="center"/>
          </w:tcPr>
          <w:p w:rsidR="00747AE2" w:rsidRPr="00747AE2" w:rsidRDefault="00FC2AAA" w:rsidP="002F5D80">
            <w:pPr>
              <w:pStyle w:val="Sansinterligne"/>
              <w:jc w:val="center"/>
              <w:rPr>
                <w:lang w:eastAsia="fr-CA"/>
              </w:rPr>
            </w:pPr>
            <w:bookmarkStart w:id="10" w:name="%C3%89tiologie1.1.8"/>
            <w:bookmarkEnd w:id="9"/>
            <w:r>
              <w:rPr>
                <w:noProof/>
                <w:lang w:eastAsia="fr-CA"/>
              </w:rPr>
              <w:drawing>
                <wp:anchor distT="0" distB="0" distL="114300" distR="114300" simplePos="0" relativeHeight="252263424" behindDoc="1" locked="0" layoutInCell="1" allowOverlap="1" wp14:anchorId="26030237" wp14:editId="5C78BFD6">
                  <wp:simplePos x="0" y="0"/>
                  <wp:positionH relativeFrom="column">
                    <wp:posOffset>68580</wp:posOffset>
                  </wp:positionH>
                  <wp:positionV relativeFrom="paragraph">
                    <wp:posOffset>234315</wp:posOffset>
                  </wp:positionV>
                  <wp:extent cx="3336290" cy="3190875"/>
                  <wp:effectExtent l="0" t="0" r="0" b="9525"/>
                  <wp:wrapNone/>
                  <wp:docPr id="705" name="Image 705" descr="Résultats de recherche d'images pour « cholecystiti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Résultats de recherche d'images pour « cholecystitis »"/>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336290" cy="3190875"/>
                          </a:xfrm>
                          <a:prstGeom prst="rect">
                            <a:avLst/>
                          </a:prstGeom>
                          <a:noFill/>
                          <a:ln>
                            <a:noFill/>
                          </a:ln>
                        </pic:spPr>
                      </pic:pic>
                    </a:graphicData>
                  </a:graphic>
                  <wp14:sizeRelH relativeFrom="page">
                    <wp14:pctWidth>0</wp14:pctWidth>
                  </wp14:sizeRelH>
                  <wp14:sizeRelV relativeFrom="page">
                    <wp14:pctHeight>0</wp14:pctHeight>
                  </wp14:sizeRelV>
                </wp:anchor>
              </w:drawing>
            </w:r>
            <w:r w:rsidR="00747AE2" w:rsidRPr="00747AE2">
              <w:rPr>
                <w:lang w:eastAsia="fr-CA"/>
              </w:rPr>
              <w:t>Douleur musculo-squelettique</w:t>
            </w:r>
            <w:r w:rsidR="00747AE2">
              <w:rPr>
                <w:lang w:eastAsia="fr-CA"/>
              </w:rPr>
              <w:t xml:space="preserve"> (de la paroi)</w:t>
            </w:r>
          </w:p>
        </w:tc>
        <w:tc>
          <w:tcPr>
            <w:tcW w:w="4394" w:type="dxa"/>
            <w:tcBorders>
              <w:right w:val="single" w:sz="4" w:space="0" w:color="FFFFFF" w:themeColor="background1"/>
            </w:tcBorders>
          </w:tcPr>
          <w:p w:rsidR="00747AE2" w:rsidRDefault="0064245D" w:rsidP="006A5715">
            <w:pPr>
              <w:pStyle w:val="Sansinterligne"/>
              <w:numPr>
                <w:ilvl w:val="0"/>
                <w:numId w:val="1568"/>
              </w:numPr>
              <w:rPr>
                <w:lang w:eastAsia="fr-CA"/>
              </w:rPr>
            </w:pPr>
            <w:r>
              <w:rPr>
                <w:lang w:eastAsia="fr-CA"/>
              </w:rPr>
              <w:t>Douleur localisée, externe</w:t>
            </w:r>
          </w:p>
          <w:p w:rsidR="0064245D" w:rsidRPr="00747AE2" w:rsidRDefault="0064245D" w:rsidP="006A5715">
            <w:pPr>
              <w:pStyle w:val="Sansinterligne"/>
              <w:numPr>
                <w:ilvl w:val="0"/>
                <w:numId w:val="1568"/>
              </w:numPr>
              <w:rPr>
                <w:lang w:eastAsia="fr-CA"/>
              </w:rPr>
            </w:pPr>
            <w:r>
              <w:rPr>
                <w:lang w:eastAsia="fr-CA"/>
              </w:rPr>
              <w:t>Reproduite à la palpation et/ou au mvt</w:t>
            </w:r>
          </w:p>
        </w:tc>
        <w:tc>
          <w:tcPr>
            <w:tcW w:w="3962" w:type="dxa"/>
            <w:tcBorders>
              <w:left w:val="single" w:sz="4" w:space="0" w:color="FFFFFF" w:themeColor="background1"/>
            </w:tcBorders>
          </w:tcPr>
          <w:p w:rsidR="00747AE2" w:rsidRPr="00747AE2" w:rsidRDefault="0064245D" w:rsidP="006A5715">
            <w:pPr>
              <w:pStyle w:val="Sansinterligne"/>
              <w:numPr>
                <w:ilvl w:val="0"/>
                <w:numId w:val="1568"/>
              </w:numPr>
              <w:rPr>
                <w:lang w:eastAsia="fr-CA"/>
              </w:rPr>
            </w:pPr>
            <w:r>
              <w:rPr>
                <w:lang w:eastAsia="fr-CA"/>
              </w:rPr>
              <w:t>Hx de trauma, chute, infection</w:t>
            </w:r>
          </w:p>
        </w:tc>
      </w:tr>
      <w:bookmarkEnd w:id="10"/>
    </w:tbl>
    <w:p w:rsidR="00747AE2" w:rsidRDefault="00747AE2">
      <w:pPr>
        <w:rPr>
          <w:rFonts w:cs="Times New Roman"/>
          <w:b/>
          <w:color w:val="548DD4" w:themeColor="text2" w:themeTint="99"/>
        </w:rPr>
      </w:pPr>
    </w:p>
    <w:p w:rsidR="0064245D" w:rsidRDefault="0064245D">
      <w:pPr>
        <w:rPr>
          <w:rFonts w:cs="Times New Roman"/>
          <w:b/>
          <w:color w:val="548DD4" w:themeColor="text2" w:themeTint="99"/>
        </w:rPr>
      </w:pPr>
    </w:p>
    <w:p w:rsidR="0064245D" w:rsidRDefault="00633367">
      <w:pPr>
        <w:rPr>
          <w:rFonts w:cs="Times New Roman"/>
          <w:b/>
          <w:color w:val="548DD4" w:themeColor="text2" w:themeTint="99"/>
        </w:rPr>
      </w:pPr>
      <w:r>
        <w:rPr>
          <w:noProof/>
          <w:lang w:eastAsia="fr-CA"/>
        </w:rPr>
        <w:drawing>
          <wp:anchor distT="0" distB="0" distL="114300" distR="114300" simplePos="0" relativeHeight="252262400" behindDoc="0" locked="0" layoutInCell="1" allowOverlap="1" wp14:anchorId="4CDD7E45" wp14:editId="6841EFB6">
            <wp:simplePos x="0" y="0"/>
            <wp:positionH relativeFrom="column">
              <wp:posOffset>3693795</wp:posOffset>
            </wp:positionH>
            <wp:positionV relativeFrom="paragraph">
              <wp:posOffset>160655</wp:posOffset>
            </wp:positionV>
            <wp:extent cx="3231515" cy="1653540"/>
            <wp:effectExtent l="0" t="0" r="6985" b="3810"/>
            <wp:wrapNone/>
            <wp:docPr id="706" name="Image 706" descr="Résultats de recherche d'images pour « syndrome coronarie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Résultats de recherche d'images pour « syndrome coronarien »"/>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231515" cy="16535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4245D" w:rsidRDefault="00FC2AAA">
      <w:r w:rsidRPr="00FC2AAA">
        <w:t xml:space="preserve"> </w:t>
      </w:r>
    </w:p>
    <w:p w:rsidR="00FC2AAA" w:rsidRDefault="00FC2AAA"/>
    <w:p w:rsidR="00FC2AAA" w:rsidRDefault="00FC2AAA"/>
    <w:p w:rsidR="00633367" w:rsidRDefault="00633367"/>
    <w:p w:rsidR="00633367" w:rsidRPr="00633367" w:rsidRDefault="00633367">
      <w:pPr>
        <w:rPr>
          <w:sz w:val="16"/>
          <w:szCs w:val="16"/>
        </w:rPr>
      </w:pPr>
    </w:p>
    <w:p w:rsidR="00FC2AAA" w:rsidRDefault="00FC2AAA"/>
    <w:p w:rsidR="00FC2AAA" w:rsidRDefault="00FC2AAA"/>
    <w:p w:rsidR="00FC2AAA" w:rsidRPr="00633367" w:rsidRDefault="00FC2AAA">
      <w:pPr>
        <w:rPr>
          <w:rFonts w:cs="Times New Roman"/>
          <w:b/>
          <w:color w:val="548DD4" w:themeColor="text2" w:themeTint="99"/>
          <w:sz w:val="16"/>
          <w:szCs w:val="16"/>
        </w:rPr>
      </w:pPr>
    </w:p>
    <w:tbl>
      <w:tblPr>
        <w:tblStyle w:val="Grilledutableau"/>
        <w:tblW w:w="0" w:type="auto"/>
        <w:tblLook w:val="04A0" w:firstRow="1" w:lastRow="0" w:firstColumn="1" w:lastColumn="0" w:noHBand="0" w:noVBand="1"/>
      </w:tblPr>
      <w:tblGrid>
        <w:gridCol w:w="2660"/>
        <w:gridCol w:w="4252"/>
        <w:gridCol w:w="4104"/>
      </w:tblGrid>
      <w:tr w:rsidR="002F5D80" w:rsidTr="009075D0">
        <w:tc>
          <w:tcPr>
            <w:tcW w:w="2660" w:type="dxa"/>
            <w:shd w:val="clear" w:color="auto" w:fill="4F81BD" w:themeFill="accent1"/>
          </w:tcPr>
          <w:p w:rsidR="002F5D80" w:rsidRPr="009075D0" w:rsidRDefault="002F5D80" w:rsidP="002F5D80">
            <w:pPr>
              <w:jc w:val="center"/>
              <w:rPr>
                <w:b/>
                <w:i/>
                <w:lang w:eastAsia="fr-CA"/>
              </w:rPr>
            </w:pPr>
            <w:r w:rsidRPr="009075D0">
              <w:rPr>
                <w:b/>
                <w:i/>
                <w:lang w:eastAsia="fr-CA"/>
              </w:rPr>
              <w:t>Diagnostics</w:t>
            </w:r>
          </w:p>
        </w:tc>
        <w:tc>
          <w:tcPr>
            <w:tcW w:w="8356" w:type="dxa"/>
            <w:gridSpan w:val="2"/>
            <w:shd w:val="clear" w:color="auto" w:fill="4F81BD" w:themeFill="accent1"/>
          </w:tcPr>
          <w:p w:rsidR="002F5D80" w:rsidRPr="009075D0" w:rsidRDefault="002F5D80" w:rsidP="002F5D80">
            <w:pPr>
              <w:jc w:val="center"/>
              <w:rPr>
                <w:rFonts w:cs="Times New Roman"/>
                <w:b/>
                <w:i/>
                <w:color w:val="548DD4" w:themeColor="text2" w:themeTint="99"/>
              </w:rPr>
            </w:pPr>
            <w:r w:rsidRPr="009075D0">
              <w:rPr>
                <w:b/>
                <w:i/>
                <w:lang w:eastAsia="fr-CA"/>
              </w:rPr>
              <w:t>Manifestations cliniques</w:t>
            </w:r>
          </w:p>
        </w:tc>
      </w:tr>
      <w:tr w:rsidR="000E4192" w:rsidTr="009A794B">
        <w:tc>
          <w:tcPr>
            <w:tcW w:w="2660" w:type="dxa"/>
            <w:shd w:val="clear" w:color="auto" w:fill="95B3D7" w:themeFill="accent1" w:themeFillTint="99"/>
            <w:vAlign w:val="center"/>
          </w:tcPr>
          <w:p w:rsidR="000E4192" w:rsidRDefault="000E4192" w:rsidP="002F5D80">
            <w:pPr>
              <w:jc w:val="center"/>
              <w:rPr>
                <w:rFonts w:cs="Times New Roman"/>
                <w:b/>
                <w:color w:val="548DD4" w:themeColor="text2" w:themeTint="99"/>
              </w:rPr>
            </w:pPr>
            <w:r w:rsidRPr="00747AE2">
              <w:rPr>
                <w:lang w:eastAsia="fr-CA"/>
              </w:rPr>
              <w:t>Appendicite</w:t>
            </w:r>
          </w:p>
        </w:tc>
        <w:tc>
          <w:tcPr>
            <w:tcW w:w="8356" w:type="dxa"/>
            <w:gridSpan w:val="2"/>
            <w:shd w:val="clear" w:color="auto" w:fill="FFFF00"/>
          </w:tcPr>
          <w:p w:rsidR="000E4192" w:rsidRDefault="000E4192" w:rsidP="000E4192">
            <w:pPr>
              <w:pStyle w:val="Sansinterligne"/>
            </w:pPr>
            <w:r>
              <w:t xml:space="preserve">Voir </w:t>
            </w:r>
            <w:r w:rsidRPr="000E4192">
              <w:rPr>
                <w:i/>
              </w:rPr>
              <w:t>Douleur abdominale chez l’enfant CMC 3-1</w:t>
            </w:r>
          </w:p>
        </w:tc>
      </w:tr>
      <w:tr w:rsidR="00747AE2" w:rsidTr="00C94978">
        <w:tc>
          <w:tcPr>
            <w:tcW w:w="2660" w:type="dxa"/>
            <w:shd w:val="clear" w:color="auto" w:fill="95B3D7" w:themeFill="accent1" w:themeFillTint="99"/>
            <w:vAlign w:val="center"/>
          </w:tcPr>
          <w:p w:rsidR="00747AE2" w:rsidRPr="00747AE2" w:rsidRDefault="00747AE2" w:rsidP="002F5D80">
            <w:pPr>
              <w:pStyle w:val="Sansinterligne"/>
              <w:jc w:val="center"/>
              <w:rPr>
                <w:lang w:eastAsia="fr-CA"/>
              </w:rPr>
            </w:pPr>
            <w:r w:rsidRPr="00747AE2">
              <w:rPr>
                <w:lang w:eastAsia="fr-CA"/>
              </w:rPr>
              <w:t>Diverticulite</w:t>
            </w:r>
          </w:p>
        </w:tc>
        <w:tc>
          <w:tcPr>
            <w:tcW w:w="4252" w:type="dxa"/>
            <w:tcBorders>
              <w:right w:val="single" w:sz="4" w:space="0" w:color="FFFF00"/>
            </w:tcBorders>
            <w:shd w:val="clear" w:color="auto" w:fill="FFFF00"/>
          </w:tcPr>
          <w:p w:rsidR="002719E7" w:rsidRPr="00966591" w:rsidRDefault="002719E7" w:rsidP="006A5715">
            <w:pPr>
              <w:pStyle w:val="Sansinterligne"/>
              <w:numPr>
                <w:ilvl w:val="0"/>
                <w:numId w:val="1570"/>
              </w:numPr>
              <w:rPr>
                <w:b/>
              </w:rPr>
            </w:pPr>
            <w:r w:rsidRPr="00966591">
              <w:rPr>
                <w:b/>
              </w:rPr>
              <w:t>Douleur à la FIG</w:t>
            </w:r>
          </w:p>
          <w:p w:rsidR="002719E7" w:rsidRPr="00966591" w:rsidRDefault="002719E7" w:rsidP="006A5715">
            <w:pPr>
              <w:pStyle w:val="Sansinterligne"/>
              <w:numPr>
                <w:ilvl w:val="0"/>
                <w:numId w:val="1570"/>
              </w:numPr>
              <w:rPr>
                <w:b/>
              </w:rPr>
            </w:pPr>
            <w:r w:rsidRPr="00966591">
              <w:rPr>
                <w:b/>
              </w:rPr>
              <w:t>Apparition progressive</w:t>
            </w:r>
          </w:p>
          <w:p w:rsidR="002719E7" w:rsidRDefault="002719E7" w:rsidP="006A5715">
            <w:pPr>
              <w:pStyle w:val="Sansinterligne"/>
              <w:numPr>
                <w:ilvl w:val="0"/>
                <w:numId w:val="1570"/>
              </w:numPr>
            </w:pPr>
            <w:r>
              <w:t>No/Vo</w:t>
            </w:r>
          </w:p>
          <w:p w:rsidR="002719E7" w:rsidRDefault="002719E7" w:rsidP="006A5715">
            <w:pPr>
              <w:pStyle w:val="Sansinterligne"/>
              <w:numPr>
                <w:ilvl w:val="0"/>
                <w:numId w:val="1570"/>
              </w:numPr>
            </w:pPr>
            <w:r>
              <w:t>Constipation</w:t>
            </w:r>
          </w:p>
        </w:tc>
        <w:tc>
          <w:tcPr>
            <w:tcW w:w="4104" w:type="dxa"/>
            <w:tcBorders>
              <w:left w:val="single" w:sz="4" w:space="0" w:color="FFFF00"/>
            </w:tcBorders>
            <w:shd w:val="clear" w:color="auto" w:fill="FFFF00"/>
          </w:tcPr>
          <w:p w:rsidR="002719E7" w:rsidRDefault="002719E7" w:rsidP="006A5715">
            <w:pPr>
              <w:pStyle w:val="Sansinterligne"/>
              <w:numPr>
                <w:ilvl w:val="0"/>
                <w:numId w:val="1570"/>
              </w:numPr>
            </w:pPr>
            <w:r>
              <w:t>Dysurie, pollakiurie</w:t>
            </w:r>
          </w:p>
          <w:p w:rsidR="002719E7" w:rsidRDefault="002719E7" w:rsidP="006A5715">
            <w:pPr>
              <w:pStyle w:val="Sansinterligne"/>
              <w:numPr>
                <w:ilvl w:val="0"/>
                <w:numId w:val="1570"/>
              </w:numPr>
            </w:pPr>
            <w:r>
              <w:t>Signe de Rovsing +</w:t>
            </w:r>
          </w:p>
          <w:p w:rsidR="002719E7" w:rsidRPr="00966591" w:rsidRDefault="002719E7" w:rsidP="006A5715">
            <w:pPr>
              <w:pStyle w:val="Sansinterligne"/>
              <w:numPr>
                <w:ilvl w:val="0"/>
                <w:numId w:val="1570"/>
              </w:numPr>
              <w:rPr>
                <w:b/>
              </w:rPr>
            </w:pPr>
            <w:r w:rsidRPr="00966591">
              <w:rPr>
                <w:b/>
              </w:rPr>
              <w:t>Signe du rebond +</w:t>
            </w:r>
          </w:p>
        </w:tc>
      </w:tr>
      <w:tr w:rsidR="00747AE2" w:rsidTr="00C94978">
        <w:trPr>
          <w:trHeight w:val="274"/>
        </w:trPr>
        <w:tc>
          <w:tcPr>
            <w:tcW w:w="2660" w:type="dxa"/>
            <w:shd w:val="clear" w:color="auto" w:fill="95B3D7" w:themeFill="accent1" w:themeFillTint="99"/>
            <w:vAlign w:val="center"/>
          </w:tcPr>
          <w:p w:rsidR="00747AE2" w:rsidRDefault="00747AE2" w:rsidP="00825D15">
            <w:pPr>
              <w:jc w:val="center"/>
              <w:rPr>
                <w:lang w:eastAsia="fr-CA"/>
              </w:rPr>
            </w:pPr>
            <w:r>
              <w:rPr>
                <w:lang w:eastAsia="fr-CA"/>
              </w:rPr>
              <w:t xml:space="preserve">Ischémie </w:t>
            </w:r>
            <w:r w:rsidR="00825D15">
              <w:rPr>
                <w:lang w:eastAsia="fr-CA"/>
              </w:rPr>
              <w:t>mésentérique</w:t>
            </w:r>
          </w:p>
        </w:tc>
        <w:tc>
          <w:tcPr>
            <w:tcW w:w="4252" w:type="dxa"/>
            <w:tcBorders>
              <w:right w:val="single" w:sz="4" w:space="0" w:color="FFFFFF" w:themeColor="background1"/>
            </w:tcBorders>
          </w:tcPr>
          <w:p w:rsidR="00747AE2" w:rsidRDefault="00825D15" w:rsidP="006A5715">
            <w:pPr>
              <w:pStyle w:val="Sansinterligne"/>
              <w:numPr>
                <w:ilvl w:val="0"/>
                <w:numId w:val="1573"/>
              </w:numPr>
            </w:pPr>
            <w:r>
              <w:t>Douleur abdominale aigue diffuse</w:t>
            </w:r>
          </w:p>
          <w:p w:rsidR="00825D15" w:rsidRDefault="00825D15" w:rsidP="006A5715">
            <w:pPr>
              <w:pStyle w:val="Sansinterligne"/>
              <w:numPr>
                <w:ilvl w:val="0"/>
                <w:numId w:val="1573"/>
              </w:numPr>
            </w:pPr>
            <w:r>
              <w:t>No/Vo</w:t>
            </w:r>
          </w:p>
          <w:p w:rsidR="00825D15" w:rsidRDefault="00825D15" w:rsidP="006A5715">
            <w:pPr>
              <w:pStyle w:val="Sansinterligne"/>
              <w:numPr>
                <w:ilvl w:val="0"/>
                <w:numId w:val="1573"/>
              </w:numPr>
            </w:pPr>
            <w:r>
              <w:t>Hématochézie</w:t>
            </w:r>
          </w:p>
        </w:tc>
        <w:tc>
          <w:tcPr>
            <w:tcW w:w="4104" w:type="dxa"/>
            <w:tcBorders>
              <w:left w:val="single" w:sz="4" w:space="0" w:color="FFFFFF" w:themeColor="background1"/>
            </w:tcBorders>
          </w:tcPr>
          <w:p w:rsidR="00747AE2" w:rsidRDefault="00825D15" w:rsidP="006A5715">
            <w:pPr>
              <w:pStyle w:val="Sansinterligne"/>
              <w:numPr>
                <w:ilvl w:val="0"/>
                <w:numId w:val="1573"/>
              </w:numPr>
            </w:pPr>
            <w:r>
              <w:t>Hypotension, choc</w:t>
            </w:r>
          </w:p>
          <w:p w:rsidR="00825D15" w:rsidRDefault="00825D15" w:rsidP="006A5715">
            <w:pPr>
              <w:pStyle w:val="Sansinterligne"/>
              <w:numPr>
                <w:ilvl w:val="0"/>
                <w:numId w:val="1573"/>
              </w:numPr>
            </w:pPr>
            <w:r>
              <w:t>Examen physique très discordant (N) avec la douleur</w:t>
            </w:r>
          </w:p>
        </w:tc>
      </w:tr>
      <w:tr w:rsidR="00747AE2" w:rsidTr="00C94978">
        <w:tc>
          <w:tcPr>
            <w:tcW w:w="2660" w:type="dxa"/>
            <w:shd w:val="clear" w:color="auto" w:fill="95B3D7" w:themeFill="accent1" w:themeFillTint="99"/>
            <w:vAlign w:val="center"/>
          </w:tcPr>
          <w:p w:rsidR="00747AE2" w:rsidRDefault="00747AE2" w:rsidP="002F5D80">
            <w:pPr>
              <w:jc w:val="center"/>
              <w:rPr>
                <w:lang w:eastAsia="fr-CA"/>
              </w:rPr>
            </w:pPr>
            <w:r>
              <w:rPr>
                <w:lang w:eastAsia="fr-CA"/>
              </w:rPr>
              <w:lastRenderedPageBreak/>
              <w:t>Rupture d’anévrysme de l’aorte</w:t>
            </w:r>
          </w:p>
        </w:tc>
        <w:tc>
          <w:tcPr>
            <w:tcW w:w="4252" w:type="dxa"/>
            <w:tcBorders>
              <w:right w:val="single" w:sz="4" w:space="0" w:color="FFFF00"/>
            </w:tcBorders>
            <w:shd w:val="clear" w:color="auto" w:fill="FFFF00"/>
          </w:tcPr>
          <w:p w:rsidR="00747AE2" w:rsidRDefault="0044628B" w:rsidP="006A5715">
            <w:pPr>
              <w:pStyle w:val="Sansinterligne"/>
              <w:numPr>
                <w:ilvl w:val="0"/>
                <w:numId w:val="1575"/>
              </w:numPr>
            </w:pPr>
            <w:r>
              <w:t>Douleur aigue intense</w:t>
            </w:r>
            <w:r w:rsidR="00700D2B">
              <w:t xml:space="preserve"> épigastrique</w:t>
            </w:r>
          </w:p>
          <w:p w:rsidR="006F5CE4" w:rsidRPr="00372505" w:rsidRDefault="0044628B" w:rsidP="006A5715">
            <w:pPr>
              <w:pStyle w:val="Sansinterligne"/>
              <w:numPr>
                <w:ilvl w:val="0"/>
                <w:numId w:val="1575"/>
              </w:numPr>
              <w:rPr>
                <w:b/>
              </w:rPr>
            </w:pPr>
            <w:r w:rsidRPr="00372505">
              <w:rPr>
                <w:b/>
              </w:rPr>
              <w:t>Irradiation au dos</w:t>
            </w:r>
          </w:p>
          <w:p w:rsidR="0044628B" w:rsidRDefault="006F5CE4" w:rsidP="006A5715">
            <w:pPr>
              <w:pStyle w:val="Sansinterligne"/>
              <w:numPr>
                <w:ilvl w:val="0"/>
                <w:numId w:val="1575"/>
              </w:numPr>
            </w:pPr>
            <w:r w:rsidRPr="00372505">
              <w:rPr>
                <w:b/>
              </w:rPr>
              <w:t>Perte de conscience</w:t>
            </w:r>
          </w:p>
        </w:tc>
        <w:tc>
          <w:tcPr>
            <w:tcW w:w="4104" w:type="dxa"/>
            <w:tcBorders>
              <w:left w:val="single" w:sz="4" w:space="0" w:color="FFFF00"/>
            </w:tcBorders>
            <w:shd w:val="clear" w:color="auto" w:fill="FFFF00"/>
          </w:tcPr>
          <w:p w:rsidR="00747AE2" w:rsidRPr="00372505" w:rsidRDefault="0044628B" w:rsidP="006A5715">
            <w:pPr>
              <w:pStyle w:val="Sansinterligne"/>
              <w:numPr>
                <w:ilvl w:val="0"/>
                <w:numId w:val="1575"/>
              </w:numPr>
              <w:rPr>
                <w:b/>
              </w:rPr>
            </w:pPr>
            <w:r w:rsidRPr="00372505">
              <w:rPr>
                <w:b/>
              </w:rPr>
              <w:t>Syncope</w:t>
            </w:r>
          </w:p>
          <w:p w:rsidR="006F5CE4" w:rsidRDefault="006F5CE4" w:rsidP="006A5715">
            <w:pPr>
              <w:pStyle w:val="Sansinterligne"/>
              <w:numPr>
                <w:ilvl w:val="0"/>
                <w:numId w:val="1575"/>
              </w:numPr>
            </w:pPr>
            <w:r>
              <w:t>Pâleur</w:t>
            </w:r>
          </w:p>
          <w:p w:rsidR="0044628B" w:rsidRDefault="006F5CE4" w:rsidP="006A5715">
            <w:pPr>
              <w:pStyle w:val="Sansinterligne"/>
              <w:numPr>
                <w:ilvl w:val="0"/>
                <w:numId w:val="1575"/>
              </w:numPr>
            </w:pPr>
            <w:r>
              <w:t>Masse pulsatile palpable à l’abdomen</w:t>
            </w:r>
          </w:p>
        </w:tc>
      </w:tr>
      <w:tr w:rsidR="00A048DC" w:rsidTr="00A07007">
        <w:tc>
          <w:tcPr>
            <w:tcW w:w="2660" w:type="dxa"/>
            <w:shd w:val="clear" w:color="auto" w:fill="95B3D7" w:themeFill="accent1" w:themeFillTint="99"/>
            <w:vAlign w:val="center"/>
          </w:tcPr>
          <w:p w:rsidR="00A048DC" w:rsidRDefault="00A048DC" w:rsidP="002F5D80">
            <w:pPr>
              <w:jc w:val="center"/>
              <w:rPr>
                <w:lang w:eastAsia="fr-CA"/>
              </w:rPr>
            </w:pPr>
            <w:r>
              <w:rPr>
                <w:lang w:eastAsia="fr-CA"/>
              </w:rPr>
              <w:t>Gastro-entérite</w:t>
            </w:r>
          </w:p>
        </w:tc>
        <w:tc>
          <w:tcPr>
            <w:tcW w:w="8356" w:type="dxa"/>
            <w:gridSpan w:val="2"/>
          </w:tcPr>
          <w:p w:rsidR="00A048DC" w:rsidRDefault="00A048DC">
            <w:pPr>
              <w:rPr>
                <w:rFonts w:cs="Times New Roman"/>
                <w:b/>
                <w:color w:val="548DD4" w:themeColor="text2" w:themeTint="99"/>
              </w:rPr>
            </w:pPr>
            <w:r>
              <w:t xml:space="preserve">Voir </w:t>
            </w:r>
            <w:r w:rsidRPr="000E4192">
              <w:rPr>
                <w:i/>
              </w:rPr>
              <w:t>Douleur abdominale chez l’enfant CMC 3-1</w:t>
            </w:r>
          </w:p>
        </w:tc>
      </w:tr>
      <w:tr w:rsidR="00747AE2" w:rsidTr="00C94978">
        <w:tc>
          <w:tcPr>
            <w:tcW w:w="2660" w:type="dxa"/>
            <w:shd w:val="clear" w:color="auto" w:fill="95B3D7" w:themeFill="accent1" w:themeFillTint="99"/>
            <w:vAlign w:val="center"/>
          </w:tcPr>
          <w:p w:rsidR="00747AE2" w:rsidRPr="00747AE2" w:rsidRDefault="00747AE2" w:rsidP="002F5D80">
            <w:pPr>
              <w:jc w:val="center"/>
              <w:rPr>
                <w:lang w:eastAsia="fr-CA"/>
              </w:rPr>
            </w:pPr>
            <w:r>
              <w:rPr>
                <w:lang w:eastAsia="fr-CA"/>
              </w:rPr>
              <w:t>Pyélonéphrite</w:t>
            </w:r>
          </w:p>
        </w:tc>
        <w:tc>
          <w:tcPr>
            <w:tcW w:w="4252" w:type="dxa"/>
            <w:tcBorders>
              <w:right w:val="single" w:sz="4" w:space="0" w:color="FFFF00"/>
            </w:tcBorders>
            <w:shd w:val="clear" w:color="auto" w:fill="FFFF00"/>
          </w:tcPr>
          <w:p w:rsidR="006145F3" w:rsidRPr="00966591" w:rsidRDefault="006145F3" w:rsidP="006A5715">
            <w:pPr>
              <w:pStyle w:val="Sansinterligne"/>
              <w:numPr>
                <w:ilvl w:val="0"/>
                <w:numId w:val="1577"/>
              </w:numPr>
              <w:rPr>
                <w:b/>
              </w:rPr>
            </w:pPr>
            <w:r w:rsidRPr="00966591">
              <w:rPr>
                <w:b/>
              </w:rPr>
              <w:t>Douleur postérieure (</w:t>
            </w:r>
            <w:r w:rsidR="00966591">
              <w:rPr>
                <w:b/>
              </w:rPr>
              <w:t>latéralisée)</w:t>
            </w:r>
          </w:p>
          <w:p w:rsidR="006145F3" w:rsidRDefault="006145F3" w:rsidP="006A5715">
            <w:pPr>
              <w:pStyle w:val="Sansinterligne"/>
              <w:numPr>
                <w:ilvl w:val="0"/>
                <w:numId w:val="1577"/>
              </w:numPr>
            </w:pPr>
            <w:r>
              <w:t>Dysurie</w:t>
            </w:r>
          </w:p>
          <w:p w:rsidR="006145F3" w:rsidRDefault="006145F3" w:rsidP="006A5715">
            <w:pPr>
              <w:pStyle w:val="Sansinterligne"/>
              <w:numPr>
                <w:ilvl w:val="0"/>
                <w:numId w:val="1577"/>
              </w:numPr>
            </w:pPr>
            <w:r>
              <w:t>Pollakiurie</w:t>
            </w:r>
          </w:p>
        </w:tc>
        <w:tc>
          <w:tcPr>
            <w:tcW w:w="4104" w:type="dxa"/>
            <w:tcBorders>
              <w:left w:val="single" w:sz="4" w:space="0" w:color="FFFF00"/>
            </w:tcBorders>
            <w:shd w:val="clear" w:color="auto" w:fill="FFFF00"/>
          </w:tcPr>
          <w:p w:rsidR="00747AE2" w:rsidRPr="00966591" w:rsidRDefault="006145F3" w:rsidP="006A5715">
            <w:pPr>
              <w:pStyle w:val="Sansinterligne"/>
              <w:numPr>
                <w:ilvl w:val="0"/>
                <w:numId w:val="1577"/>
              </w:numPr>
              <w:rPr>
                <w:b/>
              </w:rPr>
            </w:pPr>
            <w:r w:rsidRPr="00966591">
              <w:rPr>
                <w:b/>
              </w:rPr>
              <w:t>Fièvre</w:t>
            </w:r>
          </w:p>
          <w:p w:rsidR="006145F3" w:rsidRDefault="006145F3" w:rsidP="006A5715">
            <w:pPr>
              <w:pStyle w:val="Sansinterligne"/>
              <w:numPr>
                <w:ilvl w:val="0"/>
                <w:numId w:val="1577"/>
              </w:numPr>
            </w:pPr>
            <w:r>
              <w:t>Confusion</w:t>
            </w:r>
          </w:p>
          <w:p w:rsidR="006145F3" w:rsidRDefault="006145F3" w:rsidP="006A5715">
            <w:pPr>
              <w:pStyle w:val="Sansinterligne"/>
              <w:numPr>
                <w:ilvl w:val="0"/>
                <w:numId w:val="1577"/>
              </w:numPr>
            </w:pPr>
            <w:r>
              <w:t>Punch rénal +</w:t>
            </w:r>
          </w:p>
        </w:tc>
      </w:tr>
      <w:tr w:rsidR="00747AE2" w:rsidTr="00C94978">
        <w:tc>
          <w:tcPr>
            <w:tcW w:w="2660" w:type="dxa"/>
            <w:shd w:val="clear" w:color="auto" w:fill="95B3D7" w:themeFill="accent1" w:themeFillTint="99"/>
            <w:vAlign w:val="center"/>
          </w:tcPr>
          <w:p w:rsidR="00747AE2" w:rsidRPr="00747AE2" w:rsidRDefault="00747AE2" w:rsidP="002F5D80">
            <w:pPr>
              <w:jc w:val="center"/>
              <w:rPr>
                <w:lang w:eastAsia="fr-CA"/>
              </w:rPr>
            </w:pPr>
            <w:r>
              <w:rPr>
                <w:lang w:eastAsia="fr-CA"/>
              </w:rPr>
              <w:t>Cystite</w:t>
            </w:r>
          </w:p>
        </w:tc>
        <w:tc>
          <w:tcPr>
            <w:tcW w:w="4252" w:type="dxa"/>
            <w:tcBorders>
              <w:right w:val="single" w:sz="4" w:space="0" w:color="FFFFFF" w:themeColor="background1"/>
            </w:tcBorders>
          </w:tcPr>
          <w:p w:rsidR="006145F3" w:rsidRDefault="006145F3" w:rsidP="006A5715">
            <w:pPr>
              <w:pStyle w:val="Sansinterligne"/>
              <w:numPr>
                <w:ilvl w:val="0"/>
                <w:numId w:val="1578"/>
              </w:numPr>
            </w:pPr>
            <w:r>
              <w:t>Inconfort sus-pubien</w:t>
            </w:r>
          </w:p>
          <w:p w:rsidR="006145F3" w:rsidRDefault="006145F3" w:rsidP="006A5715">
            <w:pPr>
              <w:pStyle w:val="Sansinterligne"/>
              <w:numPr>
                <w:ilvl w:val="0"/>
                <w:numId w:val="1578"/>
              </w:numPr>
            </w:pPr>
            <w:r>
              <w:t>Dysurie</w:t>
            </w:r>
          </w:p>
        </w:tc>
        <w:tc>
          <w:tcPr>
            <w:tcW w:w="4104" w:type="dxa"/>
            <w:tcBorders>
              <w:left w:val="single" w:sz="4" w:space="0" w:color="FFFFFF" w:themeColor="background1"/>
            </w:tcBorders>
          </w:tcPr>
          <w:p w:rsidR="00A07007" w:rsidRDefault="006145F3" w:rsidP="006A5715">
            <w:pPr>
              <w:pStyle w:val="Sansinterligne"/>
              <w:numPr>
                <w:ilvl w:val="0"/>
                <w:numId w:val="1578"/>
              </w:numPr>
            </w:pPr>
            <w:r>
              <w:t>Pollakiurie</w:t>
            </w:r>
            <w:r w:rsidRPr="006145F3">
              <w:t xml:space="preserve"> </w:t>
            </w:r>
            <w:r w:rsidR="00A07007">
              <w:t>/ urgenturie</w:t>
            </w:r>
          </w:p>
          <w:p w:rsidR="00747AE2" w:rsidRPr="006145F3" w:rsidRDefault="006145F3" w:rsidP="006A5715">
            <w:pPr>
              <w:pStyle w:val="Sansinterligne"/>
              <w:numPr>
                <w:ilvl w:val="0"/>
                <w:numId w:val="1578"/>
              </w:numPr>
            </w:pPr>
            <w:r w:rsidRPr="006145F3">
              <w:t>Fièvre légère ou absente</w:t>
            </w:r>
          </w:p>
        </w:tc>
      </w:tr>
      <w:tr w:rsidR="00747AE2" w:rsidTr="00C94978">
        <w:tc>
          <w:tcPr>
            <w:tcW w:w="2660" w:type="dxa"/>
            <w:shd w:val="clear" w:color="auto" w:fill="95B3D7" w:themeFill="accent1" w:themeFillTint="99"/>
            <w:vAlign w:val="center"/>
          </w:tcPr>
          <w:p w:rsidR="00747AE2" w:rsidRDefault="00747AE2" w:rsidP="002F5D80">
            <w:pPr>
              <w:jc w:val="center"/>
              <w:rPr>
                <w:lang w:eastAsia="fr-CA"/>
              </w:rPr>
            </w:pPr>
            <w:r w:rsidRPr="00747AE2">
              <w:rPr>
                <w:lang w:eastAsia="fr-CA"/>
              </w:rPr>
              <w:t>Colique néphrétique</w:t>
            </w:r>
          </w:p>
        </w:tc>
        <w:tc>
          <w:tcPr>
            <w:tcW w:w="4252" w:type="dxa"/>
            <w:tcBorders>
              <w:right w:val="single" w:sz="4" w:space="0" w:color="FFFF00"/>
            </w:tcBorders>
            <w:shd w:val="clear" w:color="auto" w:fill="FFFF00"/>
          </w:tcPr>
          <w:p w:rsidR="00747AE2" w:rsidRPr="00966591" w:rsidRDefault="00700D2B" w:rsidP="006A5715">
            <w:pPr>
              <w:pStyle w:val="Sansinterligne"/>
              <w:numPr>
                <w:ilvl w:val="0"/>
                <w:numId w:val="1576"/>
              </w:numPr>
              <w:rPr>
                <w:b/>
              </w:rPr>
            </w:pPr>
            <w:r w:rsidRPr="00966591">
              <w:rPr>
                <w:b/>
              </w:rPr>
              <w:t>Douleur crampiforme aigue</w:t>
            </w:r>
            <w:r w:rsidR="006F5CE4" w:rsidRPr="00966591">
              <w:rPr>
                <w:b/>
              </w:rPr>
              <w:t xml:space="preserve"> intense</w:t>
            </w:r>
          </w:p>
          <w:p w:rsidR="006F5CE4" w:rsidRPr="00966591" w:rsidRDefault="006F5CE4" w:rsidP="006A5715">
            <w:pPr>
              <w:pStyle w:val="Sansinterligne"/>
              <w:numPr>
                <w:ilvl w:val="0"/>
                <w:numId w:val="1576"/>
              </w:numPr>
              <w:rPr>
                <w:b/>
              </w:rPr>
            </w:pPr>
            <w:r w:rsidRPr="00966591">
              <w:rPr>
                <w:b/>
              </w:rPr>
              <w:t>Aucune position qui soulage</w:t>
            </w:r>
          </w:p>
          <w:p w:rsidR="006145F3" w:rsidRDefault="006145F3" w:rsidP="006A5715">
            <w:pPr>
              <w:pStyle w:val="Sansinterligne"/>
              <w:numPr>
                <w:ilvl w:val="0"/>
                <w:numId w:val="1576"/>
              </w:numPr>
            </w:pPr>
            <w:r>
              <w:t>Au flanc ou dans la région inguinale</w:t>
            </w:r>
          </w:p>
          <w:p w:rsidR="00700D2B" w:rsidRDefault="006F5CE4" w:rsidP="006A5715">
            <w:pPr>
              <w:pStyle w:val="Sansinterligne"/>
              <w:numPr>
                <w:ilvl w:val="0"/>
                <w:numId w:val="1576"/>
              </w:numPr>
            </w:pPr>
            <w:r>
              <w:t>Agitation / mouvements</w:t>
            </w:r>
          </w:p>
        </w:tc>
        <w:tc>
          <w:tcPr>
            <w:tcW w:w="4104" w:type="dxa"/>
            <w:tcBorders>
              <w:left w:val="single" w:sz="4" w:space="0" w:color="FFFF00"/>
            </w:tcBorders>
            <w:shd w:val="clear" w:color="auto" w:fill="FFFF00"/>
          </w:tcPr>
          <w:p w:rsidR="00747AE2" w:rsidRDefault="006F5CE4" w:rsidP="006A5715">
            <w:pPr>
              <w:pStyle w:val="Sansinterligne"/>
              <w:numPr>
                <w:ilvl w:val="0"/>
                <w:numId w:val="1576"/>
              </w:numPr>
            </w:pPr>
            <w:r>
              <w:t>No/Vo</w:t>
            </w:r>
          </w:p>
          <w:p w:rsidR="006F5CE4" w:rsidRDefault="006F5CE4" w:rsidP="006A5715">
            <w:pPr>
              <w:pStyle w:val="Sansinterligne"/>
              <w:numPr>
                <w:ilvl w:val="0"/>
                <w:numId w:val="1576"/>
              </w:numPr>
            </w:pPr>
            <w:r>
              <w:t>Hématurie (surtout microscopique)</w:t>
            </w:r>
          </w:p>
          <w:p w:rsidR="006F5CE4" w:rsidRDefault="006F5CE4" w:rsidP="006145F3">
            <w:pPr>
              <w:pStyle w:val="Sansinterligne"/>
              <w:ind w:left="360"/>
            </w:pPr>
          </w:p>
        </w:tc>
      </w:tr>
      <w:tr w:rsidR="002F5D80" w:rsidTr="009075D0">
        <w:tc>
          <w:tcPr>
            <w:tcW w:w="2660" w:type="dxa"/>
            <w:shd w:val="clear" w:color="auto" w:fill="95B3D7" w:themeFill="accent1" w:themeFillTint="99"/>
            <w:vAlign w:val="center"/>
          </w:tcPr>
          <w:p w:rsidR="002F5D80" w:rsidRDefault="002F5D80" w:rsidP="002F5D80">
            <w:pPr>
              <w:jc w:val="center"/>
              <w:rPr>
                <w:rFonts w:cs="Times New Roman"/>
                <w:b/>
                <w:color w:val="548DD4" w:themeColor="text2" w:themeTint="99"/>
              </w:rPr>
            </w:pPr>
            <w:r w:rsidRPr="00747AE2">
              <w:rPr>
                <w:lang w:eastAsia="fr-CA"/>
              </w:rPr>
              <w:t>Hernie irréductible</w:t>
            </w:r>
          </w:p>
        </w:tc>
        <w:tc>
          <w:tcPr>
            <w:tcW w:w="8356" w:type="dxa"/>
            <w:gridSpan w:val="2"/>
          </w:tcPr>
          <w:p w:rsidR="002F5D80" w:rsidRDefault="002F5D80" w:rsidP="002F5D80">
            <w:pPr>
              <w:pStyle w:val="Sansinterligne"/>
            </w:pPr>
            <w:r>
              <w:t xml:space="preserve">Voir </w:t>
            </w:r>
            <w:r w:rsidRPr="002F5D80">
              <w:rPr>
                <w:i/>
              </w:rPr>
              <w:t>Hernie de la paroi abdominale et hernie inguinale CMC 2-4</w:t>
            </w:r>
          </w:p>
        </w:tc>
      </w:tr>
      <w:tr w:rsidR="002F5D80" w:rsidTr="009075D0">
        <w:tc>
          <w:tcPr>
            <w:tcW w:w="2660" w:type="dxa"/>
            <w:shd w:val="clear" w:color="auto" w:fill="95B3D7" w:themeFill="accent1" w:themeFillTint="99"/>
            <w:vAlign w:val="center"/>
          </w:tcPr>
          <w:p w:rsidR="002F5D80" w:rsidRDefault="002F5D80" w:rsidP="002F5D80">
            <w:pPr>
              <w:jc w:val="center"/>
              <w:rPr>
                <w:rFonts w:cs="Times New Roman"/>
                <w:b/>
                <w:color w:val="548DD4" w:themeColor="text2" w:themeTint="99"/>
              </w:rPr>
            </w:pPr>
            <w:r w:rsidRPr="00747AE2">
              <w:rPr>
                <w:lang w:eastAsia="fr-CA"/>
              </w:rPr>
              <w:t>Grossesse ectopique</w:t>
            </w:r>
          </w:p>
        </w:tc>
        <w:tc>
          <w:tcPr>
            <w:tcW w:w="8356" w:type="dxa"/>
            <w:gridSpan w:val="2"/>
          </w:tcPr>
          <w:p w:rsidR="002F5D80" w:rsidRDefault="002F5D80" w:rsidP="002F5D80">
            <w:pPr>
              <w:pStyle w:val="Sansinterligne"/>
            </w:pPr>
            <w:r>
              <w:t xml:space="preserve">Voir </w:t>
            </w:r>
            <w:r w:rsidRPr="002F5D80">
              <w:rPr>
                <w:i/>
              </w:rPr>
              <w:t>Douleur pelvienne CMC 73</w:t>
            </w:r>
          </w:p>
        </w:tc>
      </w:tr>
      <w:tr w:rsidR="002F5D80" w:rsidTr="009075D0">
        <w:tc>
          <w:tcPr>
            <w:tcW w:w="2660" w:type="dxa"/>
            <w:shd w:val="clear" w:color="auto" w:fill="95B3D7" w:themeFill="accent1" w:themeFillTint="99"/>
            <w:vAlign w:val="center"/>
          </w:tcPr>
          <w:p w:rsidR="002F5D80" w:rsidRDefault="002F5D80" w:rsidP="002F5D80">
            <w:pPr>
              <w:jc w:val="center"/>
              <w:rPr>
                <w:rFonts w:cs="Times New Roman"/>
                <w:b/>
                <w:color w:val="548DD4" w:themeColor="text2" w:themeTint="99"/>
              </w:rPr>
            </w:pPr>
            <w:r w:rsidRPr="00747AE2">
              <w:rPr>
                <w:lang w:eastAsia="fr-CA"/>
              </w:rPr>
              <w:t>Maladie pelvienne inflammatoire</w:t>
            </w:r>
          </w:p>
        </w:tc>
        <w:tc>
          <w:tcPr>
            <w:tcW w:w="8356" w:type="dxa"/>
            <w:gridSpan w:val="2"/>
          </w:tcPr>
          <w:p w:rsidR="002F5D80" w:rsidRDefault="002F5D80">
            <w:pPr>
              <w:rPr>
                <w:rFonts w:cs="Times New Roman"/>
                <w:b/>
                <w:color w:val="548DD4" w:themeColor="text2" w:themeTint="99"/>
              </w:rPr>
            </w:pPr>
            <w:r>
              <w:t xml:space="preserve">Voir </w:t>
            </w:r>
            <w:r w:rsidRPr="002F5D80">
              <w:rPr>
                <w:i/>
              </w:rPr>
              <w:t>Douleur pelvienne CMC 73</w:t>
            </w:r>
          </w:p>
        </w:tc>
      </w:tr>
      <w:tr w:rsidR="002F5D80" w:rsidTr="009075D0">
        <w:tc>
          <w:tcPr>
            <w:tcW w:w="2660" w:type="dxa"/>
            <w:shd w:val="clear" w:color="auto" w:fill="95B3D7" w:themeFill="accent1" w:themeFillTint="99"/>
            <w:vAlign w:val="center"/>
          </w:tcPr>
          <w:p w:rsidR="002F5D80" w:rsidRDefault="002F5D80" w:rsidP="002F5D80">
            <w:pPr>
              <w:jc w:val="center"/>
              <w:rPr>
                <w:rFonts w:cs="Times New Roman"/>
                <w:b/>
                <w:color w:val="548DD4" w:themeColor="text2" w:themeTint="99"/>
              </w:rPr>
            </w:pPr>
            <w:r w:rsidRPr="00747AE2">
              <w:rPr>
                <w:lang w:eastAsia="fr-CA"/>
              </w:rPr>
              <w:t>Torsion</w:t>
            </w:r>
            <w:r>
              <w:rPr>
                <w:lang w:eastAsia="fr-CA"/>
              </w:rPr>
              <w:t xml:space="preserve">/rupture </w:t>
            </w:r>
            <w:r w:rsidRPr="00747AE2">
              <w:rPr>
                <w:lang w:eastAsia="fr-CA"/>
              </w:rPr>
              <w:t>d</w:t>
            </w:r>
            <w:r>
              <w:rPr>
                <w:lang w:eastAsia="fr-CA"/>
              </w:rPr>
              <w:t>e</w:t>
            </w:r>
            <w:r w:rsidRPr="00747AE2">
              <w:rPr>
                <w:lang w:eastAsia="fr-CA"/>
              </w:rPr>
              <w:t xml:space="preserve"> kyste </w:t>
            </w:r>
            <w:r>
              <w:rPr>
                <w:lang w:eastAsia="fr-CA"/>
              </w:rPr>
              <w:t>ovarien</w:t>
            </w:r>
          </w:p>
        </w:tc>
        <w:tc>
          <w:tcPr>
            <w:tcW w:w="8356" w:type="dxa"/>
            <w:gridSpan w:val="2"/>
          </w:tcPr>
          <w:p w:rsidR="002F5D80" w:rsidRDefault="002F5D80">
            <w:pPr>
              <w:rPr>
                <w:rFonts w:cs="Times New Roman"/>
                <w:b/>
                <w:color w:val="548DD4" w:themeColor="text2" w:themeTint="99"/>
              </w:rPr>
            </w:pPr>
            <w:r>
              <w:t xml:space="preserve">Voir </w:t>
            </w:r>
            <w:r w:rsidRPr="002F5D80">
              <w:rPr>
                <w:i/>
              </w:rPr>
              <w:t>Douleur pelvienne CMC 73</w:t>
            </w:r>
          </w:p>
        </w:tc>
      </w:tr>
    </w:tbl>
    <w:p w:rsidR="00765C2E" w:rsidRDefault="00765C2E" w:rsidP="00765C2E">
      <w:pPr>
        <w:pStyle w:val="Sansinterligne"/>
      </w:pPr>
    </w:p>
    <w:p w:rsidR="00765C2E" w:rsidRPr="00765C2E" w:rsidRDefault="00765C2E" w:rsidP="00765C2E">
      <w:pPr>
        <w:pStyle w:val="Sansinterligne"/>
        <w:rPr>
          <w:b/>
          <w:sz w:val="28"/>
          <w:szCs w:val="28"/>
        </w:rPr>
      </w:pPr>
      <w:r w:rsidRPr="00765C2E">
        <w:rPr>
          <w:b/>
          <w:sz w:val="28"/>
          <w:szCs w:val="28"/>
        </w:rPr>
        <w:t>Investigations</w:t>
      </w:r>
    </w:p>
    <w:p w:rsidR="00765C2E" w:rsidRDefault="00765C2E" w:rsidP="00765C2E">
      <w:pPr>
        <w:pStyle w:val="Sansinterligne"/>
      </w:pPr>
    </w:p>
    <w:p w:rsidR="00E9685E" w:rsidRDefault="00E9685E" w:rsidP="00765C2E">
      <w:pPr>
        <w:pStyle w:val="Sansinterligne"/>
        <w:sectPr w:rsidR="00E9685E" w:rsidSect="00E82F88">
          <w:type w:val="continuous"/>
          <w:pgSz w:w="12240" w:h="15840"/>
          <w:pgMar w:top="720" w:right="720" w:bottom="720" w:left="720" w:header="708" w:footer="708" w:gutter="0"/>
          <w:cols w:space="708"/>
          <w:titlePg/>
          <w:docGrid w:linePitch="360"/>
        </w:sectPr>
      </w:pPr>
    </w:p>
    <w:p w:rsidR="00697126" w:rsidRDefault="00D86C41" w:rsidP="006A5715">
      <w:pPr>
        <w:pStyle w:val="Sansinterligne"/>
        <w:numPr>
          <w:ilvl w:val="0"/>
          <w:numId w:val="1586"/>
        </w:numPr>
      </w:pPr>
      <w:r>
        <w:lastRenderedPageBreak/>
        <w:t>FSC</w:t>
      </w:r>
    </w:p>
    <w:p w:rsidR="00697126" w:rsidRDefault="00697126" w:rsidP="006A5715">
      <w:pPr>
        <w:pStyle w:val="Sansinterligne"/>
        <w:numPr>
          <w:ilvl w:val="0"/>
          <w:numId w:val="1586"/>
        </w:numPr>
      </w:pPr>
      <w:r>
        <w:t>CK, Troponines</w:t>
      </w:r>
    </w:p>
    <w:p w:rsidR="00D86C41" w:rsidRDefault="00D86C41" w:rsidP="006A5715">
      <w:pPr>
        <w:pStyle w:val="Sansinterligne"/>
        <w:numPr>
          <w:ilvl w:val="0"/>
          <w:numId w:val="1586"/>
        </w:numPr>
        <w:rPr>
          <w:lang w:val="de-DE"/>
        </w:rPr>
      </w:pPr>
      <w:r w:rsidRPr="00D86C41">
        <w:rPr>
          <w:lang w:val="de-DE"/>
        </w:rPr>
        <w:t>AST, ALT, GGT, Phosphatase alcaline,</w:t>
      </w:r>
      <w:r>
        <w:rPr>
          <w:lang w:val="de-DE"/>
        </w:rPr>
        <w:t xml:space="preserve"> bilirubine,</w:t>
      </w:r>
      <w:r w:rsidRPr="00D86C41">
        <w:rPr>
          <w:lang w:val="de-DE"/>
        </w:rPr>
        <w:t xml:space="preserve"> INR, TCA</w:t>
      </w:r>
    </w:p>
    <w:p w:rsidR="00825D15" w:rsidRPr="00825D15" w:rsidRDefault="00825D15" w:rsidP="006A5715">
      <w:pPr>
        <w:pStyle w:val="Sansinterligne"/>
        <w:numPr>
          <w:ilvl w:val="0"/>
          <w:numId w:val="1586"/>
        </w:numPr>
      </w:pPr>
      <w:r w:rsidRPr="00825D15">
        <w:t>Gaz veineux ou artériel (acidose métabolique en ischémie mésentérique)</w:t>
      </w:r>
    </w:p>
    <w:p w:rsidR="00D86C41" w:rsidRDefault="00D86C41" w:rsidP="006A5715">
      <w:pPr>
        <w:pStyle w:val="Sansinterligne"/>
        <w:numPr>
          <w:ilvl w:val="0"/>
          <w:numId w:val="1586"/>
        </w:numPr>
      </w:pPr>
      <w:r>
        <w:t>ECG</w:t>
      </w:r>
    </w:p>
    <w:p w:rsidR="00765C2E" w:rsidRDefault="0056454B" w:rsidP="006A5715">
      <w:pPr>
        <w:pStyle w:val="Sansinterligne"/>
        <w:numPr>
          <w:ilvl w:val="0"/>
          <w:numId w:val="1586"/>
        </w:numPr>
      </w:pPr>
      <w:r>
        <w:lastRenderedPageBreak/>
        <w:t>Mesure du pH oesophagien x 24h</w:t>
      </w:r>
      <w:r w:rsidR="00FD04D2">
        <w:t xml:space="preserve"> (rarement fait)</w:t>
      </w:r>
    </w:p>
    <w:p w:rsidR="00FD04D2" w:rsidRDefault="00FD04D2" w:rsidP="006A5715">
      <w:pPr>
        <w:pStyle w:val="Sansinterligne"/>
        <w:numPr>
          <w:ilvl w:val="0"/>
          <w:numId w:val="1586"/>
        </w:numPr>
      </w:pPr>
      <w:r>
        <w:t>Échographie abdominale</w:t>
      </w:r>
      <w:r w:rsidR="003D6E61">
        <w:t xml:space="preserve"> (pathologies biliaires)</w:t>
      </w:r>
    </w:p>
    <w:p w:rsidR="00794D11" w:rsidRDefault="00794D11" w:rsidP="006A5715">
      <w:pPr>
        <w:pStyle w:val="Sansinterligne"/>
        <w:numPr>
          <w:ilvl w:val="0"/>
          <w:numId w:val="1586"/>
        </w:numPr>
      </w:pPr>
      <w:r>
        <w:t>TDM abdominal</w:t>
      </w:r>
      <w:r w:rsidR="006F5CE4">
        <w:t xml:space="preserve"> – Uro-TDM</w:t>
      </w:r>
      <w:r w:rsidR="00C94978">
        <w:t xml:space="preserve"> (C-)</w:t>
      </w:r>
    </w:p>
    <w:p w:rsidR="003D6E61" w:rsidRDefault="003D6E61" w:rsidP="006A5715">
      <w:pPr>
        <w:pStyle w:val="Sansinterligne"/>
        <w:numPr>
          <w:ilvl w:val="0"/>
          <w:numId w:val="1586"/>
        </w:numPr>
      </w:pPr>
      <w:r>
        <w:t>Cholangiopancréatographie rétrograde par endoscopie (CPRE)</w:t>
      </w:r>
    </w:p>
    <w:p w:rsidR="00C94978" w:rsidRDefault="00C94978" w:rsidP="006A5715">
      <w:pPr>
        <w:pStyle w:val="Sansinterligne"/>
        <w:numPr>
          <w:ilvl w:val="0"/>
          <w:numId w:val="1586"/>
        </w:numPr>
      </w:pPr>
      <w:r>
        <w:t>RXA (urolithiases, mais ne dit pas si elles sont obstructives)</w:t>
      </w:r>
    </w:p>
    <w:p w:rsidR="00E9685E" w:rsidRDefault="00E9685E" w:rsidP="00765C2E">
      <w:pPr>
        <w:pStyle w:val="Sansinterligne"/>
        <w:sectPr w:rsidR="00E9685E" w:rsidSect="00E9685E">
          <w:type w:val="continuous"/>
          <w:pgSz w:w="12240" w:h="15840"/>
          <w:pgMar w:top="720" w:right="720" w:bottom="720" w:left="720" w:header="708" w:footer="708" w:gutter="0"/>
          <w:cols w:num="2" w:space="708"/>
          <w:titlePg/>
          <w:docGrid w:linePitch="360"/>
        </w:sectPr>
      </w:pPr>
    </w:p>
    <w:p w:rsidR="00FD04D2" w:rsidRDefault="00633367" w:rsidP="00765C2E">
      <w:pPr>
        <w:pStyle w:val="Sansinterligne"/>
      </w:pPr>
      <w:r>
        <w:rPr>
          <w:noProof/>
          <w:lang w:eastAsia="fr-CA"/>
        </w:rPr>
        <w:lastRenderedPageBreak/>
        <w:drawing>
          <wp:anchor distT="0" distB="0" distL="114300" distR="114300" simplePos="0" relativeHeight="252270592" behindDoc="0" locked="0" layoutInCell="1" allowOverlap="1" wp14:anchorId="6CA957F9" wp14:editId="37A0D871">
            <wp:simplePos x="0" y="0"/>
            <wp:positionH relativeFrom="column">
              <wp:posOffset>4013200</wp:posOffset>
            </wp:positionH>
            <wp:positionV relativeFrom="paragraph">
              <wp:posOffset>85090</wp:posOffset>
            </wp:positionV>
            <wp:extent cx="2532380" cy="3559810"/>
            <wp:effectExtent l="0" t="0" r="1270" b="2540"/>
            <wp:wrapNone/>
            <wp:docPr id="713" name="Image 713" descr="Résultats de recherche d'images pour « acute coronary syndrome pathophysiology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Résultats de recherche d'images pour « acute coronary syndrome pathophysiology »"/>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532380" cy="35598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97126" w:rsidRDefault="00765C2E" w:rsidP="00765C2E">
      <w:pPr>
        <w:pStyle w:val="Sansinterligne"/>
        <w:rPr>
          <w:b/>
          <w:sz w:val="28"/>
          <w:szCs w:val="28"/>
        </w:rPr>
      </w:pPr>
      <w:r w:rsidRPr="00765C2E">
        <w:rPr>
          <w:b/>
          <w:sz w:val="28"/>
          <w:szCs w:val="28"/>
        </w:rPr>
        <w:t>Prise en charge</w:t>
      </w:r>
    </w:p>
    <w:p w:rsidR="00697126" w:rsidRPr="00697126" w:rsidRDefault="00697126" w:rsidP="00765C2E">
      <w:pPr>
        <w:pStyle w:val="Sansinterligne"/>
      </w:pPr>
    </w:p>
    <w:p w:rsidR="00697126" w:rsidRPr="0056454B" w:rsidRDefault="00697126" w:rsidP="00765C2E">
      <w:pPr>
        <w:pStyle w:val="Sansinterligne"/>
        <w:rPr>
          <w:b/>
        </w:rPr>
      </w:pPr>
      <w:r w:rsidRPr="0056454B">
        <w:rPr>
          <w:b/>
        </w:rPr>
        <w:t>Syndrome coronarien aigu</w:t>
      </w:r>
    </w:p>
    <w:p w:rsidR="008E3C57" w:rsidRPr="00633367" w:rsidRDefault="008E3C57" w:rsidP="00765C2E">
      <w:pPr>
        <w:pStyle w:val="Sansinterligne"/>
        <w:rPr>
          <w:highlight w:val="yellow"/>
          <w:u w:val="single"/>
        </w:rPr>
      </w:pPr>
      <w:r w:rsidRPr="00633367">
        <w:rPr>
          <w:highlight w:val="yellow"/>
          <w:u w:val="single"/>
        </w:rPr>
        <w:t>En aigu</w:t>
      </w:r>
    </w:p>
    <w:p w:rsidR="00FD04D2" w:rsidRPr="00633367" w:rsidRDefault="00697126" w:rsidP="006A5715">
      <w:pPr>
        <w:pStyle w:val="Sansinterligne"/>
        <w:numPr>
          <w:ilvl w:val="0"/>
          <w:numId w:val="1554"/>
        </w:numPr>
        <w:rPr>
          <w:i/>
          <w:highlight w:val="yellow"/>
        </w:rPr>
      </w:pPr>
      <w:r w:rsidRPr="00633367">
        <w:rPr>
          <w:i/>
          <w:highlight w:val="yellow"/>
        </w:rPr>
        <w:t>Morphine</w:t>
      </w:r>
    </w:p>
    <w:p w:rsidR="00697126" w:rsidRPr="00633367" w:rsidRDefault="00697126" w:rsidP="006A5715">
      <w:pPr>
        <w:pStyle w:val="Sansinterligne"/>
        <w:numPr>
          <w:ilvl w:val="0"/>
          <w:numId w:val="1554"/>
        </w:numPr>
        <w:rPr>
          <w:i/>
          <w:highlight w:val="yellow"/>
        </w:rPr>
      </w:pPr>
      <w:r w:rsidRPr="00633367">
        <w:rPr>
          <w:i/>
          <w:highlight w:val="yellow"/>
        </w:rPr>
        <w:t>O</w:t>
      </w:r>
      <w:r w:rsidRPr="00633367">
        <w:rPr>
          <w:i/>
          <w:highlight w:val="yellow"/>
          <w:vertAlign w:val="subscript"/>
        </w:rPr>
        <w:t>2</w:t>
      </w:r>
    </w:p>
    <w:p w:rsidR="00697126" w:rsidRPr="00633367" w:rsidRDefault="00697126" w:rsidP="006A5715">
      <w:pPr>
        <w:pStyle w:val="Sansinterligne"/>
        <w:numPr>
          <w:ilvl w:val="0"/>
          <w:numId w:val="1554"/>
        </w:numPr>
        <w:rPr>
          <w:highlight w:val="yellow"/>
        </w:rPr>
      </w:pPr>
      <w:r w:rsidRPr="00633367">
        <w:rPr>
          <w:i/>
          <w:highlight w:val="yellow"/>
        </w:rPr>
        <w:t>Nitroglycérine</w:t>
      </w:r>
      <w:r w:rsidRPr="00633367">
        <w:rPr>
          <w:highlight w:val="yellow"/>
        </w:rPr>
        <w:t xml:space="preserve"> S/L (nitrospray) ou IV si 3 S/L insuffisants </w:t>
      </w:r>
    </w:p>
    <w:p w:rsidR="008E3C57" w:rsidRPr="00633367" w:rsidRDefault="008E3C57" w:rsidP="006A5715">
      <w:pPr>
        <w:pStyle w:val="Sansinterligne"/>
        <w:numPr>
          <w:ilvl w:val="0"/>
          <w:numId w:val="1554"/>
        </w:numPr>
        <w:rPr>
          <w:highlight w:val="yellow"/>
        </w:rPr>
      </w:pPr>
      <w:r w:rsidRPr="00633367">
        <w:rPr>
          <w:i/>
          <w:highlight w:val="yellow"/>
        </w:rPr>
        <w:t>Antiplaquettaires</w:t>
      </w:r>
      <w:r w:rsidR="00AD372D" w:rsidRPr="00633367">
        <w:rPr>
          <w:i/>
          <w:highlight w:val="yellow"/>
        </w:rPr>
        <w:t xml:space="preserve"> et anticoagulan</w:t>
      </w:r>
      <w:r w:rsidR="00AD372D" w:rsidRPr="00633367">
        <w:rPr>
          <w:highlight w:val="yellow"/>
        </w:rPr>
        <w:t>t</w:t>
      </w:r>
      <w:r w:rsidR="00633367" w:rsidRPr="00633367">
        <w:t xml:space="preserve"> </w:t>
      </w:r>
    </w:p>
    <w:p w:rsidR="008E3C57" w:rsidRPr="00633367" w:rsidRDefault="008E3C57" w:rsidP="006A5715">
      <w:pPr>
        <w:pStyle w:val="Sansinterligne"/>
        <w:numPr>
          <w:ilvl w:val="1"/>
          <w:numId w:val="1554"/>
        </w:numPr>
        <w:rPr>
          <w:highlight w:val="yellow"/>
        </w:rPr>
      </w:pPr>
      <w:r w:rsidRPr="00633367">
        <w:rPr>
          <w:highlight w:val="yellow"/>
        </w:rPr>
        <w:t>Aspirine 360 mg PO croqué puis 80 mg PO DIE +</w:t>
      </w:r>
    </w:p>
    <w:p w:rsidR="008E3C57" w:rsidRPr="00633367" w:rsidRDefault="008E3C57" w:rsidP="006A5715">
      <w:pPr>
        <w:pStyle w:val="Sansinterligne"/>
        <w:numPr>
          <w:ilvl w:val="1"/>
          <w:numId w:val="1554"/>
        </w:numPr>
        <w:rPr>
          <w:highlight w:val="yellow"/>
          <w:lang w:val="en-CA"/>
        </w:rPr>
      </w:pPr>
      <w:r w:rsidRPr="00633367">
        <w:rPr>
          <w:highlight w:val="yellow"/>
          <w:lang w:val="en-CA"/>
        </w:rPr>
        <w:t>Ticagrelor 180 mg x 1 puis 90 mg PO BID</w:t>
      </w:r>
    </w:p>
    <w:p w:rsidR="008E3C57" w:rsidRPr="00633367" w:rsidRDefault="008E3C57" w:rsidP="006A5715">
      <w:pPr>
        <w:pStyle w:val="Sansinterligne"/>
        <w:numPr>
          <w:ilvl w:val="1"/>
          <w:numId w:val="1554"/>
        </w:numPr>
        <w:rPr>
          <w:highlight w:val="yellow"/>
        </w:rPr>
      </w:pPr>
      <w:r w:rsidRPr="00633367">
        <w:rPr>
          <w:highlight w:val="yellow"/>
        </w:rPr>
        <w:t>OU</w:t>
      </w:r>
    </w:p>
    <w:p w:rsidR="008E3C57" w:rsidRPr="00633367" w:rsidRDefault="008E3C57" w:rsidP="006A5715">
      <w:pPr>
        <w:pStyle w:val="Sansinterligne"/>
        <w:numPr>
          <w:ilvl w:val="1"/>
          <w:numId w:val="1554"/>
        </w:numPr>
        <w:rPr>
          <w:highlight w:val="yellow"/>
        </w:rPr>
      </w:pPr>
      <w:r w:rsidRPr="00633367">
        <w:rPr>
          <w:highlight w:val="yellow"/>
        </w:rPr>
        <w:t>Clopidogrel 300 mg x 1 puis 75 mg PO DIE</w:t>
      </w:r>
    </w:p>
    <w:p w:rsidR="008E3C57" w:rsidRPr="00633367" w:rsidRDefault="008E3C57" w:rsidP="006A5715">
      <w:pPr>
        <w:pStyle w:val="Sansinterligne"/>
        <w:numPr>
          <w:ilvl w:val="1"/>
          <w:numId w:val="1554"/>
        </w:numPr>
        <w:rPr>
          <w:highlight w:val="yellow"/>
        </w:rPr>
      </w:pPr>
      <w:r w:rsidRPr="00633367">
        <w:rPr>
          <w:highlight w:val="yellow"/>
        </w:rPr>
        <w:t>Héparine IV si coronarographie sinon enoxaparine S/C</w:t>
      </w:r>
    </w:p>
    <w:p w:rsidR="008E3C57" w:rsidRPr="00633367" w:rsidRDefault="008E3C57" w:rsidP="006A5715">
      <w:pPr>
        <w:pStyle w:val="Sansinterligne"/>
        <w:numPr>
          <w:ilvl w:val="0"/>
          <w:numId w:val="1554"/>
        </w:numPr>
        <w:rPr>
          <w:highlight w:val="yellow"/>
        </w:rPr>
      </w:pPr>
      <w:r w:rsidRPr="00633367">
        <w:rPr>
          <w:i/>
          <w:highlight w:val="yellow"/>
        </w:rPr>
        <w:t>B-bloqueur</w:t>
      </w:r>
      <w:r w:rsidRPr="00633367">
        <w:rPr>
          <w:highlight w:val="yellow"/>
        </w:rPr>
        <w:t> : metoprolol 25-50 mg PO BID-QID</w:t>
      </w:r>
    </w:p>
    <w:p w:rsidR="00AD372D" w:rsidRPr="00633367" w:rsidRDefault="00AD372D" w:rsidP="006A5715">
      <w:pPr>
        <w:pStyle w:val="Sansinterligne"/>
        <w:numPr>
          <w:ilvl w:val="1"/>
          <w:numId w:val="1554"/>
        </w:numPr>
        <w:rPr>
          <w:highlight w:val="yellow"/>
        </w:rPr>
      </w:pPr>
      <w:r w:rsidRPr="00633367">
        <w:rPr>
          <w:highlight w:val="yellow"/>
        </w:rPr>
        <w:t>S’abstenir si bloc, insuffisance cardiaque ou bradycardie</w:t>
      </w:r>
    </w:p>
    <w:p w:rsidR="008E3C57" w:rsidRPr="00633367" w:rsidRDefault="008E3C57" w:rsidP="006A5715">
      <w:pPr>
        <w:pStyle w:val="Sansinterligne"/>
        <w:numPr>
          <w:ilvl w:val="0"/>
          <w:numId w:val="1554"/>
        </w:numPr>
        <w:rPr>
          <w:highlight w:val="yellow"/>
        </w:rPr>
      </w:pPr>
      <w:r w:rsidRPr="00633367">
        <w:rPr>
          <w:i/>
          <w:highlight w:val="yellow"/>
        </w:rPr>
        <w:t>Thrombolyse</w:t>
      </w:r>
      <w:r w:rsidR="00AD372D" w:rsidRPr="00633367">
        <w:rPr>
          <w:highlight w:val="yellow"/>
        </w:rPr>
        <w:t xml:space="preserve"> si STEMI</w:t>
      </w:r>
    </w:p>
    <w:p w:rsidR="00AD372D" w:rsidRPr="00633367" w:rsidRDefault="00AD372D" w:rsidP="006A5715">
      <w:pPr>
        <w:pStyle w:val="Sansinterligne"/>
        <w:numPr>
          <w:ilvl w:val="0"/>
          <w:numId w:val="1554"/>
        </w:numPr>
        <w:rPr>
          <w:highlight w:val="yellow"/>
        </w:rPr>
      </w:pPr>
      <w:r w:rsidRPr="00633367">
        <w:rPr>
          <w:highlight w:val="yellow"/>
        </w:rPr>
        <w:t xml:space="preserve">Débuter une </w:t>
      </w:r>
      <w:r w:rsidRPr="00633367">
        <w:rPr>
          <w:i/>
          <w:highlight w:val="yellow"/>
        </w:rPr>
        <w:t>statine</w:t>
      </w:r>
      <w:r w:rsidRPr="00633367">
        <w:rPr>
          <w:highlight w:val="yellow"/>
        </w:rPr>
        <w:t>, peu importe le bilan lipidique</w:t>
      </w:r>
    </w:p>
    <w:p w:rsidR="00AD372D" w:rsidRPr="00633367" w:rsidRDefault="00AD372D" w:rsidP="006A5715">
      <w:pPr>
        <w:pStyle w:val="Sansinterligne"/>
        <w:numPr>
          <w:ilvl w:val="1"/>
          <w:numId w:val="1554"/>
        </w:numPr>
        <w:rPr>
          <w:highlight w:val="yellow"/>
        </w:rPr>
      </w:pPr>
      <w:r w:rsidRPr="00633367">
        <w:rPr>
          <w:highlight w:val="yellow"/>
        </w:rPr>
        <w:t>Rosuvastatin 20-40 mg PO DIE</w:t>
      </w:r>
    </w:p>
    <w:p w:rsidR="00AD372D" w:rsidRPr="00633367" w:rsidRDefault="00AD372D" w:rsidP="00765C2E">
      <w:pPr>
        <w:pStyle w:val="Sansinterligne"/>
        <w:rPr>
          <w:highlight w:val="yellow"/>
        </w:rPr>
      </w:pPr>
      <w:r w:rsidRPr="00633367">
        <w:rPr>
          <w:highlight w:val="yellow"/>
          <w:u w:val="single"/>
        </w:rPr>
        <w:t>À long terme</w:t>
      </w:r>
      <w:r w:rsidRPr="00633367">
        <w:rPr>
          <w:highlight w:val="yellow"/>
        </w:rPr>
        <w:t> :</w:t>
      </w:r>
    </w:p>
    <w:p w:rsidR="00AD372D" w:rsidRPr="00633367" w:rsidRDefault="00AD372D" w:rsidP="006A5715">
      <w:pPr>
        <w:pStyle w:val="Sansinterligne"/>
        <w:numPr>
          <w:ilvl w:val="0"/>
          <w:numId w:val="1555"/>
        </w:numPr>
        <w:rPr>
          <w:b/>
          <w:sz w:val="28"/>
          <w:szCs w:val="28"/>
          <w:highlight w:val="yellow"/>
        </w:rPr>
      </w:pPr>
      <w:r w:rsidRPr="00633367">
        <w:rPr>
          <w:highlight w:val="yellow"/>
        </w:rPr>
        <w:t>Stratifier le risque (coronarographie)</w:t>
      </w:r>
    </w:p>
    <w:p w:rsidR="0056454B" w:rsidRDefault="0056454B" w:rsidP="0056454B">
      <w:pPr>
        <w:pStyle w:val="Sansinterligne"/>
        <w:rPr>
          <w:b/>
          <w:sz w:val="28"/>
          <w:szCs w:val="28"/>
        </w:rPr>
      </w:pPr>
    </w:p>
    <w:p w:rsidR="00966591" w:rsidRDefault="00966591" w:rsidP="0056454B">
      <w:pPr>
        <w:pStyle w:val="Sansinterligne"/>
        <w:rPr>
          <w:b/>
          <w:sz w:val="28"/>
          <w:szCs w:val="28"/>
        </w:rPr>
      </w:pPr>
    </w:p>
    <w:p w:rsidR="0056454B" w:rsidRPr="00FD04D2" w:rsidRDefault="0056454B" w:rsidP="0056454B">
      <w:pPr>
        <w:pStyle w:val="Sansinterligne"/>
        <w:rPr>
          <w:b/>
        </w:rPr>
      </w:pPr>
      <w:r w:rsidRPr="00FD04D2">
        <w:rPr>
          <w:b/>
        </w:rPr>
        <w:lastRenderedPageBreak/>
        <w:t>Reflux gastro-oesophagien</w:t>
      </w:r>
    </w:p>
    <w:p w:rsidR="0056454B" w:rsidRDefault="0056454B" w:rsidP="006A5715">
      <w:pPr>
        <w:pStyle w:val="Sansinterligne"/>
        <w:numPr>
          <w:ilvl w:val="0"/>
          <w:numId w:val="1557"/>
        </w:numPr>
      </w:pPr>
      <w:r>
        <w:t xml:space="preserve">Essai </w:t>
      </w:r>
      <w:r w:rsidR="00FD04D2">
        <w:t xml:space="preserve">avec IPP </w:t>
      </w:r>
      <w:r>
        <w:t>(diagnostic et thérapeutique</w:t>
      </w:r>
      <w:r w:rsidR="00FD04D2">
        <w:t>)</w:t>
      </w:r>
    </w:p>
    <w:p w:rsidR="0056454B" w:rsidRDefault="0056454B" w:rsidP="006A5715">
      <w:pPr>
        <w:pStyle w:val="Sansinterligne"/>
        <w:numPr>
          <w:ilvl w:val="1"/>
          <w:numId w:val="1557"/>
        </w:numPr>
      </w:pPr>
      <w:r>
        <w:t>Ex : Pantoprazole 40 mg PO DIE au long cours</w:t>
      </w:r>
    </w:p>
    <w:p w:rsidR="0056454B" w:rsidRDefault="00633367" w:rsidP="006A5715">
      <w:pPr>
        <w:pStyle w:val="Sansinterligne"/>
        <w:numPr>
          <w:ilvl w:val="0"/>
          <w:numId w:val="1557"/>
        </w:numPr>
      </w:pPr>
      <w:r>
        <w:rPr>
          <w:noProof/>
          <w:lang w:eastAsia="fr-CA"/>
        </w:rPr>
        <w:drawing>
          <wp:anchor distT="0" distB="0" distL="114300" distR="114300" simplePos="0" relativeHeight="252269568" behindDoc="0" locked="0" layoutInCell="1" allowOverlap="1" wp14:anchorId="309C355A" wp14:editId="73B7906A">
            <wp:simplePos x="0" y="0"/>
            <wp:positionH relativeFrom="column">
              <wp:posOffset>4405630</wp:posOffset>
            </wp:positionH>
            <wp:positionV relativeFrom="paragraph">
              <wp:posOffset>107315</wp:posOffset>
            </wp:positionV>
            <wp:extent cx="2450465" cy="1940560"/>
            <wp:effectExtent l="0" t="0" r="6985" b="2540"/>
            <wp:wrapNone/>
            <wp:docPr id="712" name="Image 712" descr="Résultats de recherche d'images pour « nissen fundoplic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Résultats de recherche d'images pour « nissen fundoplication »"/>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450465" cy="1940560"/>
                    </a:xfrm>
                    <a:prstGeom prst="rect">
                      <a:avLst/>
                    </a:prstGeom>
                    <a:noFill/>
                    <a:ln>
                      <a:noFill/>
                    </a:ln>
                  </pic:spPr>
                </pic:pic>
              </a:graphicData>
            </a:graphic>
            <wp14:sizeRelH relativeFrom="page">
              <wp14:pctWidth>0</wp14:pctWidth>
            </wp14:sizeRelH>
            <wp14:sizeRelV relativeFrom="page">
              <wp14:pctHeight>0</wp14:pctHeight>
            </wp14:sizeRelV>
          </wp:anchor>
        </w:drawing>
      </w:r>
      <w:r w:rsidR="00FD04D2">
        <w:t>Non-pharmacologique</w:t>
      </w:r>
    </w:p>
    <w:p w:rsidR="00FD04D2" w:rsidRDefault="00FD04D2" w:rsidP="006A5715">
      <w:pPr>
        <w:pStyle w:val="Sansinterligne"/>
        <w:numPr>
          <w:ilvl w:val="1"/>
          <w:numId w:val="1557"/>
        </w:numPr>
      </w:pPr>
      <w:r>
        <w:t>Élever la tête du lit de 30 degrés</w:t>
      </w:r>
    </w:p>
    <w:p w:rsidR="00FD04D2" w:rsidRDefault="00FD04D2" w:rsidP="006A5715">
      <w:pPr>
        <w:pStyle w:val="Sansinterligne"/>
        <w:numPr>
          <w:ilvl w:val="1"/>
          <w:numId w:val="1557"/>
        </w:numPr>
      </w:pPr>
      <w:r>
        <w:t>Éviter alcool, caféine, épices et jus d’agrumes (irritants)</w:t>
      </w:r>
      <w:r w:rsidR="00633367" w:rsidRPr="00633367">
        <w:t xml:space="preserve"> </w:t>
      </w:r>
    </w:p>
    <w:p w:rsidR="00D26D2C" w:rsidRDefault="00D26D2C" w:rsidP="006A5715">
      <w:pPr>
        <w:pStyle w:val="Sansinterligne"/>
        <w:numPr>
          <w:ilvl w:val="0"/>
          <w:numId w:val="1557"/>
        </w:numPr>
      </w:pPr>
      <w:r>
        <w:t>Chirurgical</w:t>
      </w:r>
    </w:p>
    <w:p w:rsidR="00D26D2C" w:rsidRDefault="00D26D2C" w:rsidP="006A5715">
      <w:pPr>
        <w:pStyle w:val="Sansinterligne"/>
        <w:numPr>
          <w:ilvl w:val="1"/>
          <w:numId w:val="1557"/>
        </w:numPr>
      </w:pPr>
      <w:r>
        <w:t>Si échec médical ou complications (oesophagite, Barrett, etc.)</w:t>
      </w:r>
    </w:p>
    <w:p w:rsidR="003D6E61" w:rsidRDefault="00D26D2C" w:rsidP="006A5715">
      <w:pPr>
        <w:pStyle w:val="Sansinterligne"/>
        <w:numPr>
          <w:ilvl w:val="1"/>
          <w:numId w:val="1557"/>
        </w:numPr>
      </w:pPr>
      <w:r>
        <w:t>Fundoplicature de Nissen</w:t>
      </w:r>
    </w:p>
    <w:p w:rsidR="00D26D2C" w:rsidRDefault="00D26D2C" w:rsidP="00D26D2C">
      <w:pPr>
        <w:pStyle w:val="Sansinterligne"/>
        <w:ind w:left="1440"/>
      </w:pPr>
    </w:p>
    <w:p w:rsidR="00FD04D2" w:rsidRPr="003D6E61" w:rsidRDefault="000F68E6" w:rsidP="0056454B">
      <w:pPr>
        <w:pStyle w:val="Sansinterligne"/>
        <w:rPr>
          <w:b/>
        </w:rPr>
      </w:pPr>
      <w:r w:rsidRPr="003D6E61">
        <w:rPr>
          <w:b/>
        </w:rPr>
        <w:t>Colique biliaire</w:t>
      </w:r>
    </w:p>
    <w:p w:rsidR="000F68E6" w:rsidRDefault="000F68E6" w:rsidP="006A5715">
      <w:pPr>
        <w:pStyle w:val="Sansinterligne"/>
        <w:numPr>
          <w:ilvl w:val="0"/>
          <w:numId w:val="1561"/>
        </w:numPr>
      </w:pPr>
      <w:r>
        <w:t>Analgésie</w:t>
      </w:r>
      <w:r w:rsidR="003D6E61">
        <w:t xml:space="preserve"> ad fin de la colique</w:t>
      </w:r>
    </w:p>
    <w:p w:rsidR="000F68E6" w:rsidRDefault="000F68E6" w:rsidP="006A5715">
      <w:pPr>
        <w:pStyle w:val="Sansinterligne"/>
        <w:numPr>
          <w:ilvl w:val="0"/>
          <w:numId w:val="1561"/>
        </w:numPr>
      </w:pPr>
      <w:r>
        <w:t>Réhydratation</w:t>
      </w:r>
    </w:p>
    <w:p w:rsidR="000F68E6" w:rsidRDefault="000F68E6" w:rsidP="006A5715">
      <w:pPr>
        <w:pStyle w:val="Sansinterligne"/>
        <w:numPr>
          <w:ilvl w:val="0"/>
          <w:numId w:val="1561"/>
        </w:numPr>
      </w:pPr>
      <w:r>
        <w:t>Consultation en chirurgie</w:t>
      </w:r>
    </w:p>
    <w:p w:rsidR="003D6E61" w:rsidRDefault="000F68E6" w:rsidP="006A5715">
      <w:pPr>
        <w:pStyle w:val="Sansinterligne"/>
        <w:numPr>
          <w:ilvl w:val="1"/>
          <w:numId w:val="1561"/>
        </w:numPr>
      </w:pPr>
      <w:r>
        <w:t>Cholécystectomie élective</w:t>
      </w:r>
    </w:p>
    <w:p w:rsidR="003D6E61" w:rsidRDefault="003D6E61" w:rsidP="006A5715">
      <w:pPr>
        <w:pStyle w:val="Sansinterligne"/>
        <w:numPr>
          <w:ilvl w:val="2"/>
          <w:numId w:val="1561"/>
        </w:numPr>
      </w:pPr>
      <w:r>
        <w:t>Par laparoscopie</w:t>
      </w:r>
    </w:p>
    <w:p w:rsidR="000F68E6" w:rsidRDefault="000F68E6" w:rsidP="006A5715">
      <w:pPr>
        <w:pStyle w:val="Sansinterligne"/>
        <w:numPr>
          <w:ilvl w:val="2"/>
          <w:numId w:val="1561"/>
        </w:numPr>
      </w:pPr>
      <w:r>
        <w:t>95% de réussite</w:t>
      </w:r>
    </w:p>
    <w:p w:rsidR="003D6E61" w:rsidRDefault="003D6E61" w:rsidP="006A5715">
      <w:pPr>
        <w:pStyle w:val="Sansinterligne"/>
        <w:numPr>
          <w:ilvl w:val="2"/>
          <w:numId w:val="1561"/>
        </w:numPr>
      </w:pPr>
      <w:r>
        <w:t xml:space="preserve">Complications </w:t>
      </w:r>
      <w:r>
        <w:rPr>
          <w:rFonts w:ascii="Century Gothic" w:hAnsi="Century Gothic"/>
        </w:rPr>
        <w:t>&lt;</w:t>
      </w:r>
      <w:r>
        <w:t xml:space="preserve"> 1%</w:t>
      </w:r>
      <w:r w:rsidR="000F68E6">
        <w:t xml:space="preserve"> </w:t>
      </w:r>
    </w:p>
    <w:p w:rsidR="00D86C41" w:rsidRDefault="00D86C41" w:rsidP="0056454B">
      <w:pPr>
        <w:pStyle w:val="Sansinterligne"/>
        <w:rPr>
          <w:b/>
          <w:highlight w:val="yellow"/>
        </w:rPr>
        <w:sectPr w:rsidR="00D86C41" w:rsidSect="00E82F88">
          <w:type w:val="continuous"/>
          <w:pgSz w:w="12240" w:h="15840"/>
          <w:pgMar w:top="720" w:right="720" w:bottom="720" w:left="720" w:header="708" w:footer="708" w:gutter="0"/>
          <w:cols w:space="708"/>
          <w:titlePg/>
          <w:docGrid w:linePitch="360"/>
        </w:sectPr>
      </w:pPr>
    </w:p>
    <w:p w:rsidR="003D6E61" w:rsidRPr="00DE1750" w:rsidRDefault="003D6E61" w:rsidP="0056454B">
      <w:pPr>
        <w:pStyle w:val="Sansinterligne"/>
        <w:rPr>
          <w:b/>
          <w:highlight w:val="yellow"/>
        </w:rPr>
      </w:pPr>
      <w:r w:rsidRPr="00DE1750">
        <w:rPr>
          <w:b/>
          <w:highlight w:val="yellow"/>
        </w:rPr>
        <w:lastRenderedPageBreak/>
        <w:t>Cholécystite</w:t>
      </w:r>
    </w:p>
    <w:p w:rsidR="003D6E61" w:rsidRPr="00DE1750" w:rsidRDefault="003D6E61" w:rsidP="006A5715">
      <w:pPr>
        <w:pStyle w:val="Sansinterligne"/>
        <w:numPr>
          <w:ilvl w:val="0"/>
          <w:numId w:val="1562"/>
        </w:numPr>
        <w:rPr>
          <w:highlight w:val="yellow"/>
        </w:rPr>
      </w:pPr>
      <w:r w:rsidRPr="00DE1750">
        <w:rPr>
          <w:highlight w:val="yellow"/>
        </w:rPr>
        <w:t>Hospitalisation</w:t>
      </w:r>
    </w:p>
    <w:p w:rsidR="003D6E61" w:rsidRPr="00DE1750" w:rsidRDefault="003D6E61" w:rsidP="006A5715">
      <w:pPr>
        <w:pStyle w:val="Sansinterligne"/>
        <w:numPr>
          <w:ilvl w:val="0"/>
          <w:numId w:val="1562"/>
        </w:numPr>
        <w:rPr>
          <w:highlight w:val="yellow"/>
        </w:rPr>
      </w:pPr>
      <w:r w:rsidRPr="00DE1750">
        <w:rPr>
          <w:highlight w:val="yellow"/>
        </w:rPr>
        <w:t>Hydratation</w:t>
      </w:r>
    </w:p>
    <w:p w:rsidR="003D6E61" w:rsidRPr="00DE1750" w:rsidRDefault="003D6E61" w:rsidP="006A5715">
      <w:pPr>
        <w:pStyle w:val="Sansinterligne"/>
        <w:numPr>
          <w:ilvl w:val="0"/>
          <w:numId w:val="1562"/>
        </w:numPr>
        <w:rPr>
          <w:highlight w:val="yellow"/>
        </w:rPr>
      </w:pPr>
      <w:r w:rsidRPr="00DE1750">
        <w:rPr>
          <w:highlight w:val="yellow"/>
        </w:rPr>
        <w:t>Analgésie</w:t>
      </w:r>
    </w:p>
    <w:p w:rsidR="003D6E61" w:rsidRPr="00DE1750" w:rsidRDefault="003D6E61" w:rsidP="006A5715">
      <w:pPr>
        <w:pStyle w:val="Sansinterligne"/>
        <w:numPr>
          <w:ilvl w:val="0"/>
          <w:numId w:val="1562"/>
        </w:numPr>
        <w:rPr>
          <w:highlight w:val="yellow"/>
        </w:rPr>
      </w:pPr>
      <w:r w:rsidRPr="00DE1750">
        <w:rPr>
          <w:highlight w:val="yellow"/>
        </w:rPr>
        <w:t>NPO</w:t>
      </w:r>
    </w:p>
    <w:p w:rsidR="003D6E61" w:rsidRPr="00DE1750" w:rsidRDefault="003D6E61" w:rsidP="006A5715">
      <w:pPr>
        <w:pStyle w:val="Sansinterligne"/>
        <w:numPr>
          <w:ilvl w:val="0"/>
          <w:numId w:val="1562"/>
        </w:numPr>
        <w:rPr>
          <w:highlight w:val="yellow"/>
        </w:rPr>
      </w:pPr>
      <w:r w:rsidRPr="00DE1750">
        <w:rPr>
          <w:highlight w:val="yellow"/>
        </w:rPr>
        <w:t>Cefazolin IV</w:t>
      </w:r>
    </w:p>
    <w:p w:rsidR="003D6E61" w:rsidRPr="00DE1750" w:rsidRDefault="003D6E61" w:rsidP="006A5715">
      <w:pPr>
        <w:pStyle w:val="Sansinterligne"/>
        <w:numPr>
          <w:ilvl w:val="0"/>
          <w:numId w:val="1562"/>
        </w:numPr>
        <w:rPr>
          <w:highlight w:val="yellow"/>
        </w:rPr>
      </w:pPr>
      <w:r w:rsidRPr="00DE1750">
        <w:rPr>
          <w:highlight w:val="yellow"/>
        </w:rPr>
        <w:t>Consultation en chirurgie</w:t>
      </w:r>
    </w:p>
    <w:p w:rsidR="003D6E61" w:rsidRPr="00DE1750" w:rsidRDefault="003D6E61" w:rsidP="006A5715">
      <w:pPr>
        <w:pStyle w:val="Sansinterligne"/>
        <w:numPr>
          <w:ilvl w:val="1"/>
          <w:numId w:val="1562"/>
        </w:numPr>
        <w:rPr>
          <w:highlight w:val="yellow"/>
        </w:rPr>
      </w:pPr>
      <w:r w:rsidRPr="00DE1750">
        <w:rPr>
          <w:highlight w:val="yellow"/>
        </w:rPr>
        <w:t xml:space="preserve">Cholecystectomie </w:t>
      </w:r>
      <w:r w:rsidRPr="00DE1750">
        <w:rPr>
          <w:rFonts w:ascii="Century Gothic" w:hAnsi="Century Gothic"/>
          <w:highlight w:val="yellow"/>
        </w:rPr>
        <w:t>&lt;</w:t>
      </w:r>
      <w:r w:rsidRPr="00DE1750">
        <w:rPr>
          <w:highlight w:val="yellow"/>
        </w:rPr>
        <w:t>72h de la crise</w:t>
      </w:r>
    </w:p>
    <w:p w:rsidR="003D6E61" w:rsidRPr="00DE1750" w:rsidRDefault="003D6E61" w:rsidP="006A5715">
      <w:pPr>
        <w:pStyle w:val="Sansinterligne"/>
        <w:numPr>
          <w:ilvl w:val="1"/>
          <w:numId w:val="1562"/>
        </w:numPr>
        <w:rPr>
          <w:highlight w:val="yellow"/>
        </w:rPr>
      </w:pPr>
      <w:r w:rsidRPr="00DE1750">
        <w:rPr>
          <w:highlight w:val="yellow"/>
        </w:rPr>
        <w:t xml:space="preserve">Cholécystectomie élective dans </w:t>
      </w:r>
      <w:r w:rsidRPr="00DE1750">
        <w:rPr>
          <w:rFonts w:cs="Times New Roman"/>
          <w:highlight w:val="yellow"/>
        </w:rPr>
        <w:t>~</w:t>
      </w:r>
      <w:r w:rsidRPr="00DE1750">
        <w:rPr>
          <w:highlight w:val="yellow"/>
        </w:rPr>
        <w:t xml:space="preserve"> 6 semaines (</w:t>
      </w:r>
      <w:r w:rsidRPr="00DE1750">
        <w:rPr>
          <w:rFonts w:ascii="Century Gothic" w:hAnsi="Century Gothic"/>
          <w:highlight w:val="yellow"/>
        </w:rPr>
        <w:t>&gt;</w:t>
      </w:r>
      <w:r w:rsidRPr="00DE1750">
        <w:rPr>
          <w:highlight w:val="yellow"/>
        </w:rPr>
        <w:t>72h)</w:t>
      </w:r>
    </w:p>
    <w:p w:rsidR="003D6E61" w:rsidRPr="00DE1750" w:rsidRDefault="003D6E61" w:rsidP="006A5715">
      <w:pPr>
        <w:pStyle w:val="Sansinterligne"/>
        <w:numPr>
          <w:ilvl w:val="1"/>
          <w:numId w:val="1562"/>
        </w:numPr>
        <w:rPr>
          <w:highlight w:val="yellow"/>
        </w:rPr>
      </w:pPr>
      <w:r w:rsidRPr="00DE1750">
        <w:rPr>
          <w:highlight w:val="yellow"/>
        </w:rPr>
        <w:t>Cholécystotomie percutanée (drainage) si :</w:t>
      </w:r>
    </w:p>
    <w:p w:rsidR="003D6E61" w:rsidRPr="00DE1750" w:rsidRDefault="003D6E61" w:rsidP="006A5715">
      <w:pPr>
        <w:pStyle w:val="Sansinterligne"/>
        <w:numPr>
          <w:ilvl w:val="2"/>
          <w:numId w:val="1562"/>
        </w:numPr>
        <w:rPr>
          <w:highlight w:val="yellow"/>
        </w:rPr>
      </w:pPr>
      <w:r w:rsidRPr="00DE1750">
        <w:rPr>
          <w:highlight w:val="yellow"/>
        </w:rPr>
        <w:t>Patient dans un état critique</w:t>
      </w:r>
    </w:p>
    <w:p w:rsidR="003D6E61" w:rsidRPr="00DE1750" w:rsidRDefault="003D6E61" w:rsidP="006A5715">
      <w:pPr>
        <w:pStyle w:val="Sansinterligne"/>
        <w:numPr>
          <w:ilvl w:val="2"/>
          <w:numId w:val="1562"/>
        </w:numPr>
        <w:rPr>
          <w:highlight w:val="yellow"/>
        </w:rPr>
      </w:pPr>
      <w:r w:rsidRPr="00DE1750">
        <w:rPr>
          <w:highlight w:val="yellow"/>
        </w:rPr>
        <w:t>Anesthésie générale contre-indiquée</w:t>
      </w:r>
    </w:p>
    <w:p w:rsidR="003D6E61" w:rsidRDefault="003D6E61" w:rsidP="0056454B">
      <w:pPr>
        <w:pStyle w:val="Sansinterligne"/>
        <w:rPr>
          <w:highlight w:val="yellow"/>
        </w:rPr>
      </w:pPr>
    </w:p>
    <w:p w:rsidR="00D86C41" w:rsidRDefault="00D86C41" w:rsidP="0056454B">
      <w:pPr>
        <w:pStyle w:val="Sansinterligne"/>
        <w:rPr>
          <w:highlight w:val="yellow"/>
        </w:rPr>
      </w:pPr>
    </w:p>
    <w:p w:rsidR="00FD04D2" w:rsidRPr="00DE1750" w:rsidRDefault="00FD04D2" w:rsidP="0056454B">
      <w:pPr>
        <w:pStyle w:val="Sansinterligne"/>
        <w:rPr>
          <w:b/>
          <w:highlight w:val="yellow"/>
        </w:rPr>
      </w:pPr>
      <w:r w:rsidRPr="00DE1750">
        <w:rPr>
          <w:b/>
          <w:highlight w:val="yellow"/>
        </w:rPr>
        <w:lastRenderedPageBreak/>
        <w:t>Cholangite</w:t>
      </w:r>
    </w:p>
    <w:p w:rsidR="009C7204" w:rsidRPr="00DE1750" w:rsidRDefault="009C7204" w:rsidP="006A5715">
      <w:pPr>
        <w:pStyle w:val="Sansinterligne"/>
        <w:numPr>
          <w:ilvl w:val="0"/>
          <w:numId w:val="1556"/>
        </w:numPr>
        <w:rPr>
          <w:highlight w:val="yellow"/>
        </w:rPr>
      </w:pPr>
      <w:r w:rsidRPr="00DE1750">
        <w:rPr>
          <w:highlight w:val="yellow"/>
        </w:rPr>
        <w:t xml:space="preserve">NPO </w:t>
      </w:r>
      <w:r w:rsidRPr="00DE1750">
        <w:rPr>
          <w:rFonts w:cs="Times New Roman"/>
          <w:highlight w:val="yellow"/>
        </w:rPr>
        <w:t>±</w:t>
      </w:r>
      <w:r w:rsidRPr="00DE1750">
        <w:rPr>
          <w:highlight w:val="yellow"/>
        </w:rPr>
        <w:t xml:space="preserve"> TNG</w:t>
      </w:r>
    </w:p>
    <w:p w:rsidR="00FD04D2" w:rsidRPr="00DE1750" w:rsidRDefault="00FD04D2" w:rsidP="006A5715">
      <w:pPr>
        <w:pStyle w:val="Sansinterligne"/>
        <w:numPr>
          <w:ilvl w:val="0"/>
          <w:numId w:val="1556"/>
        </w:numPr>
        <w:rPr>
          <w:highlight w:val="yellow"/>
        </w:rPr>
      </w:pPr>
      <w:r w:rsidRPr="00DE1750">
        <w:rPr>
          <w:highlight w:val="yellow"/>
        </w:rPr>
        <w:t>Antibiothérapie large spectre avec couverture des Gram –</w:t>
      </w:r>
    </w:p>
    <w:p w:rsidR="00FD04D2" w:rsidRPr="00DE1750" w:rsidRDefault="00FD04D2" w:rsidP="006A5715">
      <w:pPr>
        <w:pStyle w:val="Sansinterligne"/>
        <w:numPr>
          <w:ilvl w:val="1"/>
          <w:numId w:val="1556"/>
        </w:numPr>
        <w:rPr>
          <w:highlight w:val="yellow"/>
        </w:rPr>
      </w:pPr>
      <w:r w:rsidRPr="00DE1750">
        <w:rPr>
          <w:highlight w:val="yellow"/>
        </w:rPr>
        <w:t>Piperacilline-tazobactam</w:t>
      </w:r>
    </w:p>
    <w:p w:rsidR="00FD04D2" w:rsidRPr="00DE1750" w:rsidRDefault="00FD04D2" w:rsidP="006A5715">
      <w:pPr>
        <w:pStyle w:val="Sansinterligne"/>
        <w:numPr>
          <w:ilvl w:val="1"/>
          <w:numId w:val="1556"/>
        </w:numPr>
        <w:rPr>
          <w:highlight w:val="yellow"/>
        </w:rPr>
      </w:pPr>
      <w:r w:rsidRPr="00DE1750">
        <w:rPr>
          <w:highlight w:val="yellow"/>
        </w:rPr>
        <w:t>Metronidazole + ceftriaxone ou levofloxacin</w:t>
      </w:r>
    </w:p>
    <w:p w:rsidR="00FD04D2" w:rsidRPr="00DE1750" w:rsidRDefault="00FD04D2" w:rsidP="006A5715">
      <w:pPr>
        <w:pStyle w:val="Sansinterligne"/>
        <w:numPr>
          <w:ilvl w:val="1"/>
          <w:numId w:val="1556"/>
        </w:numPr>
        <w:rPr>
          <w:highlight w:val="yellow"/>
        </w:rPr>
      </w:pPr>
      <w:r w:rsidRPr="00DE1750">
        <w:rPr>
          <w:highlight w:val="yellow"/>
        </w:rPr>
        <w:t>Meropenem</w:t>
      </w:r>
    </w:p>
    <w:p w:rsidR="00FD04D2" w:rsidRPr="00DE1750" w:rsidRDefault="00FD04D2" w:rsidP="006A5715">
      <w:pPr>
        <w:pStyle w:val="Sansinterligne"/>
        <w:numPr>
          <w:ilvl w:val="0"/>
          <w:numId w:val="1556"/>
        </w:numPr>
        <w:rPr>
          <w:highlight w:val="yellow"/>
        </w:rPr>
      </w:pPr>
      <w:r w:rsidRPr="00DE1750">
        <w:rPr>
          <w:highlight w:val="yellow"/>
        </w:rPr>
        <w:t>Drainage urgent (référer)</w:t>
      </w:r>
    </w:p>
    <w:p w:rsidR="00FD04D2" w:rsidRPr="00DE1750" w:rsidRDefault="00FD04D2" w:rsidP="006A5715">
      <w:pPr>
        <w:pStyle w:val="Sansinterligne"/>
        <w:numPr>
          <w:ilvl w:val="1"/>
          <w:numId w:val="1556"/>
        </w:numPr>
        <w:rPr>
          <w:highlight w:val="yellow"/>
        </w:rPr>
      </w:pPr>
      <w:r w:rsidRPr="00DE1750">
        <w:rPr>
          <w:highlight w:val="yellow"/>
        </w:rPr>
        <w:t>ERCP</w:t>
      </w:r>
      <w:r w:rsidR="009C7204" w:rsidRPr="00DE1750">
        <w:rPr>
          <w:highlight w:val="yellow"/>
        </w:rPr>
        <w:t xml:space="preserve"> et sphinctérotomie</w:t>
      </w:r>
    </w:p>
    <w:p w:rsidR="00FD04D2" w:rsidRPr="00DE1750" w:rsidRDefault="00FD04D2" w:rsidP="006A5715">
      <w:pPr>
        <w:pStyle w:val="Sansinterligne"/>
        <w:numPr>
          <w:ilvl w:val="1"/>
          <w:numId w:val="1556"/>
        </w:numPr>
        <w:rPr>
          <w:highlight w:val="yellow"/>
        </w:rPr>
      </w:pPr>
      <w:r w:rsidRPr="00DE1750">
        <w:rPr>
          <w:highlight w:val="yellow"/>
        </w:rPr>
        <w:t>Percutané (en radiologie)</w:t>
      </w:r>
    </w:p>
    <w:p w:rsidR="00FD04D2" w:rsidRPr="00DE1750" w:rsidRDefault="00FD04D2" w:rsidP="006A5715">
      <w:pPr>
        <w:pStyle w:val="Sansinterligne"/>
        <w:numPr>
          <w:ilvl w:val="1"/>
          <w:numId w:val="1556"/>
        </w:numPr>
        <w:rPr>
          <w:highlight w:val="yellow"/>
        </w:rPr>
      </w:pPr>
      <w:r w:rsidRPr="00DE1750">
        <w:rPr>
          <w:highlight w:val="yellow"/>
        </w:rPr>
        <w:t>Chirurgical si autres méthodes impossibles</w:t>
      </w:r>
    </w:p>
    <w:p w:rsidR="00FD04D2" w:rsidRPr="00DE1750" w:rsidRDefault="00FD04D2" w:rsidP="006A5715">
      <w:pPr>
        <w:pStyle w:val="Sansinterligne"/>
        <w:numPr>
          <w:ilvl w:val="0"/>
          <w:numId w:val="1556"/>
        </w:numPr>
        <w:rPr>
          <w:highlight w:val="yellow"/>
        </w:rPr>
      </w:pPr>
      <w:r w:rsidRPr="00DE1750">
        <w:rPr>
          <w:highlight w:val="yellow"/>
        </w:rPr>
        <w:t>Traitement de support</w:t>
      </w:r>
    </w:p>
    <w:p w:rsidR="00FD04D2" w:rsidRPr="00DE1750" w:rsidRDefault="00FD04D2" w:rsidP="006A5715">
      <w:pPr>
        <w:pStyle w:val="Sansinterligne"/>
        <w:numPr>
          <w:ilvl w:val="1"/>
          <w:numId w:val="1556"/>
        </w:numPr>
        <w:rPr>
          <w:highlight w:val="yellow"/>
        </w:rPr>
      </w:pPr>
      <w:r w:rsidRPr="00DE1750">
        <w:rPr>
          <w:highlight w:val="yellow"/>
        </w:rPr>
        <w:t>Bolus IV</w:t>
      </w:r>
    </w:p>
    <w:p w:rsidR="00FD04D2" w:rsidRPr="00DE1750" w:rsidRDefault="00FD04D2" w:rsidP="006A5715">
      <w:pPr>
        <w:pStyle w:val="Sansinterligne"/>
        <w:numPr>
          <w:ilvl w:val="1"/>
          <w:numId w:val="1556"/>
        </w:numPr>
        <w:rPr>
          <w:highlight w:val="yellow"/>
        </w:rPr>
      </w:pPr>
      <w:r w:rsidRPr="00DE1750">
        <w:rPr>
          <w:highlight w:val="yellow"/>
        </w:rPr>
        <w:t>Maintien de stabilité hémodynamique</w:t>
      </w:r>
    </w:p>
    <w:p w:rsidR="00D86C41" w:rsidRDefault="00D26D2C" w:rsidP="006A5715">
      <w:pPr>
        <w:pStyle w:val="Sansinterligne"/>
        <w:numPr>
          <w:ilvl w:val="1"/>
          <w:numId w:val="1556"/>
        </w:numPr>
        <w:rPr>
          <w:highlight w:val="yellow"/>
        </w:rPr>
        <w:sectPr w:rsidR="00D86C41" w:rsidSect="00D86C41">
          <w:type w:val="continuous"/>
          <w:pgSz w:w="12240" w:h="15840"/>
          <w:pgMar w:top="720" w:right="720" w:bottom="720" w:left="720" w:header="708" w:footer="708" w:gutter="0"/>
          <w:cols w:num="2" w:space="708"/>
          <w:titlePg/>
          <w:docGrid w:linePitch="360"/>
        </w:sectPr>
      </w:pPr>
      <w:r>
        <w:rPr>
          <w:noProof/>
          <w:lang w:eastAsia="fr-CA"/>
        </w:rPr>
        <mc:AlternateContent>
          <mc:Choice Requires="wps">
            <w:drawing>
              <wp:anchor distT="0" distB="0" distL="114300" distR="114300" simplePos="0" relativeHeight="252261376" behindDoc="0" locked="0" layoutInCell="1" allowOverlap="1" wp14:anchorId="642C20BA" wp14:editId="0BF060E8">
                <wp:simplePos x="0" y="0"/>
                <wp:positionH relativeFrom="column">
                  <wp:posOffset>641350</wp:posOffset>
                </wp:positionH>
                <wp:positionV relativeFrom="paragraph">
                  <wp:posOffset>300990</wp:posOffset>
                </wp:positionV>
                <wp:extent cx="1935480" cy="1403985"/>
                <wp:effectExtent l="0" t="0" r="26670" b="28575"/>
                <wp:wrapNone/>
                <wp:docPr id="70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35480" cy="1403985"/>
                        </a:xfrm>
                        <a:prstGeom prst="rect">
                          <a:avLst/>
                        </a:prstGeom>
                        <a:solidFill>
                          <a:schemeClr val="accent1">
                            <a:lumMod val="60000"/>
                            <a:lumOff val="40000"/>
                          </a:schemeClr>
                        </a:solidFill>
                        <a:ln w="9525">
                          <a:solidFill>
                            <a:srgbClr val="000000"/>
                          </a:solidFill>
                          <a:miter lim="800000"/>
                          <a:headEnd/>
                          <a:tailEnd/>
                        </a:ln>
                      </wps:spPr>
                      <wps:txbx>
                        <w:txbxContent>
                          <w:p w:rsidR="008276DC" w:rsidRPr="009C7204" w:rsidRDefault="008276DC" w:rsidP="009C7204">
                            <w:pPr>
                              <w:jc w:val="center"/>
                              <w:rPr>
                                <w:u w:val="single"/>
                              </w:rPr>
                            </w:pPr>
                            <w:r>
                              <w:rPr>
                                <w:u w:val="single"/>
                              </w:rPr>
                              <w:t>Pathogènes</w:t>
                            </w:r>
                            <w:r w:rsidRPr="009C7204">
                              <w:rPr>
                                <w:u w:val="single"/>
                              </w:rPr>
                              <w:t xml:space="preserve"> fréquents </w:t>
                            </w:r>
                            <w:r>
                              <w:rPr>
                                <w:u w:val="single"/>
                              </w:rPr>
                              <w:t xml:space="preserve">            </w:t>
                            </w:r>
                            <w:r w:rsidRPr="009C7204">
                              <w:rPr>
                                <w:u w:val="single"/>
                              </w:rPr>
                              <w:t>des voies biliaires</w:t>
                            </w:r>
                          </w:p>
                          <w:p w:rsidR="008276DC" w:rsidRDefault="008276DC" w:rsidP="009C7204">
                            <w:pPr>
                              <w:spacing w:after="0"/>
                              <w:ind w:left="708"/>
                            </w:pPr>
                            <w:r w:rsidRPr="009C7204">
                              <w:rPr>
                                <w:b/>
                              </w:rPr>
                              <w:t>K</w:t>
                            </w:r>
                            <w:r>
                              <w:rPr>
                                <w:b/>
                              </w:rPr>
                              <w:t xml:space="preserve"> </w:t>
                            </w:r>
                            <w:r>
                              <w:t>lebsiella</w:t>
                            </w:r>
                          </w:p>
                          <w:p w:rsidR="008276DC" w:rsidRDefault="008276DC" w:rsidP="009C7204">
                            <w:pPr>
                              <w:spacing w:after="0"/>
                              <w:ind w:left="708"/>
                            </w:pPr>
                            <w:r w:rsidRPr="009C7204">
                              <w:rPr>
                                <w:b/>
                              </w:rPr>
                              <w:t>E</w:t>
                            </w:r>
                            <w:r>
                              <w:rPr>
                                <w:b/>
                              </w:rPr>
                              <w:t xml:space="preserve"> </w:t>
                            </w:r>
                            <w:r>
                              <w:t>nterococcus</w:t>
                            </w:r>
                          </w:p>
                          <w:p w:rsidR="008276DC" w:rsidRDefault="008276DC" w:rsidP="009C7204">
                            <w:pPr>
                              <w:spacing w:after="0"/>
                              <w:ind w:left="708"/>
                            </w:pPr>
                            <w:r w:rsidRPr="009C7204">
                              <w:rPr>
                                <w:b/>
                              </w:rPr>
                              <w:t>E</w:t>
                            </w:r>
                            <w:r>
                              <w:t>. Coli, Entérobacter</w:t>
                            </w:r>
                          </w:p>
                          <w:p w:rsidR="008276DC" w:rsidRDefault="008276DC" w:rsidP="009C7204">
                            <w:pPr>
                              <w:spacing w:after="0"/>
                              <w:ind w:left="708"/>
                            </w:pPr>
                            <w:r w:rsidRPr="009C7204">
                              <w:rPr>
                                <w:b/>
                              </w:rPr>
                              <w:t>P</w:t>
                            </w:r>
                            <w:r>
                              <w:rPr>
                                <w:b/>
                              </w:rPr>
                              <w:t xml:space="preserve"> </w:t>
                            </w:r>
                            <w:r>
                              <w:t>roteus, Pseudomonas</w:t>
                            </w:r>
                          </w:p>
                          <w:p w:rsidR="008276DC" w:rsidRDefault="008276DC" w:rsidP="009C7204">
                            <w:pPr>
                              <w:spacing w:after="0"/>
                              <w:ind w:left="708"/>
                            </w:pPr>
                            <w:r w:rsidRPr="009C7204">
                              <w:rPr>
                                <w:b/>
                              </w:rPr>
                              <w:t>S</w:t>
                            </w:r>
                            <w:r>
                              <w:rPr>
                                <w:b/>
                              </w:rPr>
                              <w:t xml:space="preserve"> </w:t>
                            </w:r>
                            <w:r>
                              <w:t xml:space="preserve">erratia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40" type="#_x0000_t202" style="position:absolute;left:0;text-align:left;margin-left:50.5pt;margin-top:23.7pt;width:152.4pt;height:110.55pt;z-index:25226137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" fillcolor="#95b3d7 [1940]">
                <v:textbox style="mso-fit-shape-to-text:t">
                  <w:txbxContent>
                    <w:p w:rsidR="008276DC" w:rsidRPr="009C7204" w:rsidRDefault="008276DC" w:rsidP="009C7204">
                      <w:pPr>
                        <w:jc w:val="center"/>
                        <w:rPr>
                          <w:u w:val="single"/>
                        </w:rPr>
                      </w:pPr>
                      <w:r>
                        <w:rPr>
                          <w:u w:val="single"/>
                        </w:rPr>
                        <w:t>Pathogènes</w:t>
                      </w:r>
                      <w:r w:rsidRPr="009C7204">
                        <w:rPr>
                          <w:u w:val="single"/>
                        </w:rPr>
                        <w:t xml:space="preserve"> fréquents </w:t>
                      </w:r>
                      <w:r>
                        <w:rPr>
                          <w:u w:val="single"/>
                        </w:rPr>
                        <w:t xml:space="preserve">            </w:t>
                      </w:r>
                      <w:r w:rsidRPr="009C7204">
                        <w:rPr>
                          <w:u w:val="single"/>
                        </w:rPr>
                        <w:t>des voies biliaires</w:t>
                      </w:r>
                    </w:p>
                    <w:p w:rsidR="008276DC" w:rsidRDefault="008276DC" w:rsidP="009C7204">
                      <w:pPr>
                        <w:spacing w:after="0"/>
                        <w:ind w:left="708"/>
                      </w:pPr>
                      <w:r w:rsidRPr="009C7204">
                        <w:rPr>
                          <w:b/>
                        </w:rPr>
                        <w:t>K</w:t>
                      </w:r>
                      <w:r>
                        <w:rPr>
                          <w:b/>
                        </w:rPr>
                        <w:t xml:space="preserve"> </w:t>
                      </w:r>
                      <w:r>
                        <w:t>lebsiella</w:t>
                      </w:r>
                    </w:p>
                    <w:p w:rsidR="008276DC" w:rsidRDefault="008276DC" w:rsidP="009C7204">
                      <w:pPr>
                        <w:spacing w:after="0"/>
                        <w:ind w:left="708"/>
                      </w:pPr>
                      <w:r w:rsidRPr="009C7204">
                        <w:rPr>
                          <w:b/>
                        </w:rPr>
                        <w:t>E</w:t>
                      </w:r>
                      <w:r>
                        <w:rPr>
                          <w:b/>
                        </w:rPr>
                        <w:t xml:space="preserve"> </w:t>
                      </w:r>
                      <w:r>
                        <w:t>nterococcus</w:t>
                      </w:r>
                    </w:p>
                    <w:p w:rsidR="008276DC" w:rsidRDefault="008276DC" w:rsidP="009C7204">
                      <w:pPr>
                        <w:spacing w:after="0"/>
                        <w:ind w:left="708"/>
                      </w:pPr>
                      <w:r w:rsidRPr="009C7204">
                        <w:rPr>
                          <w:b/>
                        </w:rPr>
                        <w:t>E</w:t>
                      </w:r>
                      <w:r>
                        <w:t>. Coli, Entérobacter</w:t>
                      </w:r>
                    </w:p>
                    <w:p w:rsidR="008276DC" w:rsidRDefault="008276DC" w:rsidP="009C7204">
                      <w:pPr>
                        <w:spacing w:after="0"/>
                        <w:ind w:left="708"/>
                      </w:pPr>
                      <w:r w:rsidRPr="009C7204">
                        <w:rPr>
                          <w:b/>
                        </w:rPr>
                        <w:t>P</w:t>
                      </w:r>
                      <w:r>
                        <w:rPr>
                          <w:b/>
                        </w:rPr>
                        <w:t xml:space="preserve"> </w:t>
                      </w:r>
                      <w:r>
                        <w:t>roteus, Pseudomonas</w:t>
                      </w:r>
                    </w:p>
                    <w:p w:rsidR="008276DC" w:rsidRDefault="008276DC" w:rsidP="009C7204">
                      <w:pPr>
                        <w:spacing w:after="0"/>
                        <w:ind w:left="708"/>
                      </w:pPr>
                      <w:r w:rsidRPr="009C7204">
                        <w:rPr>
                          <w:b/>
                        </w:rPr>
                        <w:t>S</w:t>
                      </w:r>
                      <w:r>
                        <w:rPr>
                          <w:b/>
                        </w:rPr>
                        <w:t xml:space="preserve"> </w:t>
                      </w:r>
                      <w:r>
                        <w:t xml:space="preserve">erratia </w:t>
                      </w:r>
                    </w:p>
                  </w:txbxContent>
                </v:textbox>
              </v:shape>
            </w:pict>
          </mc:Fallback>
        </mc:AlternateContent>
      </w:r>
      <w:r>
        <w:rPr>
          <w:highlight w:val="yellow"/>
        </w:rPr>
        <w:t>Antipyrétique</w:t>
      </w:r>
    </w:p>
    <w:p w:rsidR="00FD04D2" w:rsidRPr="00D86C41" w:rsidRDefault="00D86C41" w:rsidP="00D86C41">
      <w:pPr>
        <w:pStyle w:val="Sansinterligne"/>
        <w:rPr>
          <w:b/>
        </w:rPr>
      </w:pPr>
      <w:r w:rsidRPr="00D86C41">
        <w:rPr>
          <w:b/>
        </w:rPr>
        <w:lastRenderedPageBreak/>
        <w:t>Hépatite aigu</w:t>
      </w:r>
      <w:r>
        <w:rPr>
          <w:b/>
        </w:rPr>
        <w:t>ë</w:t>
      </w:r>
    </w:p>
    <w:p w:rsidR="00D86C41" w:rsidRDefault="00D86C41" w:rsidP="006A5715">
      <w:pPr>
        <w:pStyle w:val="Sansinterligne"/>
        <w:numPr>
          <w:ilvl w:val="0"/>
          <w:numId w:val="1566"/>
        </w:numPr>
      </w:pPr>
      <w:r>
        <w:t>Traitement de support</w:t>
      </w:r>
    </w:p>
    <w:p w:rsidR="00D86C41" w:rsidRDefault="00D86C41" w:rsidP="006A5715">
      <w:pPr>
        <w:pStyle w:val="Sansinterligne"/>
        <w:numPr>
          <w:ilvl w:val="0"/>
          <w:numId w:val="1566"/>
        </w:numPr>
      </w:pPr>
      <w:r>
        <w:t>Hydratation</w:t>
      </w:r>
    </w:p>
    <w:p w:rsidR="00D86C41" w:rsidRDefault="00D86C41" w:rsidP="006A5715">
      <w:pPr>
        <w:pStyle w:val="Sansinterligne"/>
        <w:numPr>
          <w:ilvl w:val="0"/>
          <w:numId w:val="1566"/>
        </w:numPr>
      </w:pPr>
      <w:r>
        <w:t>Alimentation (PO ou TNG)</w:t>
      </w:r>
    </w:p>
    <w:p w:rsidR="00C73905" w:rsidRDefault="00C73905" w:rsidP="006A5715">
      <w:pPr>
        <w:pStyle w:val="Sansinterligne"/>
        <w:numPr>
          <w:ilvl w:val="0"/>
          <w:numId w:val="1566"/>
        </w:numPr>
      </w:pPr>
      <w:r>
        <w:t>Suivre évolution avec  INR, bilirubine et fonction hépatique</w:t>
      </w:r>
    </w:p>
    <w:p w:rsidR="00D86C41" w:rsidRDefault="00D86C41" w:rsidP="006A5715">
      <w:pPr>
        <w:pStyle w:val="Sansinterligne"/>
        <w:numPr>
          <w:ilvl w:val="0"/>
          <w:numId w:val="1566"/>
        </w:numPr>
      </w:pPr>
      <w:r>
        <w:t>Hospitaliser si :</w:t>
      </w:r>
    </w:p>
    <w:p w:rsidR="00D86C41" w:rsidRDefault="00D86C41" w:rsidP="006A5715">
      <w:pPr>
        <w:pStyle w:val="Sansinterligne"/>
        <w:numPr>
          <w:ilvl w:val="1"/>
          <w:numId w:val="1566"/>
        </w:numPr>
      </w:pPr>
      <w:r>
        <w:t>Encéphalopathie</w:t>
      </w:r>
      <w:r w:rsidR="00D26D2C" w:rsidRPr="00D26D2C">
        <w:t xml:space="preserve"> </w:t>
      </w:r>
    </w:p>
    <w:p w:rsidR="00D86C41" w:rsidRDefault="00D86C41" w:rsidP="006A5715">
      <w:pPr>
        <w:pStyle w:val="Sansinterligne"/>
        <w:numPr>
          <w:ilvl w:val="1"/>
          <w:numId w:val="1566"/>
        </w:numPr>
      </w:pPr>
      <w:r>
        <w:t>Coagulopathie</w:t>
      </w:r>
    </w:p>
    <w:p w:rsidR="00D86C41" w:rsidRDefault="00D86C41" w:rsidP="006A5715">
      <w:pPr>
        <w:pStyle w:val="Sansinterligne"/>
        <w:numPr>
          <w:ilvl w:val="1"/>
          <w:numId w:val="1566"/>
        </w:numPr>
      </w:pPr>
      <w:r>
        <w:t>Vo sévères</w:t>
      </w:r>
    </w:p>
    <w:p w:rsidR="00D86C41" w:rsidRDefault="00D86C41" w:rsidP="006A5715">
      <w:pPr>
        <w:pStyle w:val="Sansinterligne"/>
        <w:numPr>
          <w:ilvl w:val="1"/>
          <w:numId w:val="1566"/>
        </w:numPr>
      </w:pPr>
      <w:r>
        <w:t>Hypoglycémie</w:t>
      </w:r>
    </w:p>
    <w:p w:rsidR="00FD04D2" w:rsidRDefault="00FD04D2" w:rsidP="00D86C41">
      <w:pPr>
        <w:pStyle w:val="Sansinterligne"/>
      </w:pPr>
    </w:p>
    <w:p w:rsidR="00D86C41" w:rsidRPr="00C73905" w:rsidRDefault="00D86C41" w:rsidP="00D86C41">
      <w:pPr>
        <w:pStyle w:val="Sansinterligne"/>
        <w:rPr>
          <w:b/>
        </w:rPr>
      </w:pPr>
      <w:r w:rsidRPr="00C73905">
        <w:rPr>
          <w:b/>
        </w:rPr>
        <w:t xml:space="preserve">Pancréatite aiguë </w:t>
      </w:r>
    </w:p>
    <w:p w:rsidR="00D86C41" w:rsidRDefault="00D26D2C" w:rsidP="006A5715">
      <w:pPr>
        <w:pStyle w:val="Sansinterligne"/>
        <w:numPr>
          <w:ilvl w:val="0"/>
          <w:numId w:val="1565"/>
        </w:numPr>
      </w:pPr>
      <w:r>
        <w:rPr>
          <w:noProof/>
          <w:lang w:eastAsia="fr-CA"/>
        </w:rPr>
        <w:drawing>
          <wp:anchor distT="0" distB="0" distL="114300" distR="114300" simplePos="0" relativeHeight="252268544" behindDoc="1" locked="0" layoutInCell="1" allowOverlap="1" wp14:anchorId="1FC255E3" wp14:editId="7D65A261">
            <wp:simplePos x="0" y="0"/>
            <wp:positionH relativeFrom="column">
              <wp:posOffset>3374390</wp:posOffset>
            </wp:positionH>
            <wp:positionV relativeFrom="paragraph">
              <wp:posOffset>153035</wp:posOffset>
            </wp:positionV>
            <wp:extent cx="3773805" cy="1313815"/>
            <wp:effectExtent l="0" t="0" r="0" b="635"/>
            <wp:wrapNone/>
            <wp:docPr id="711" name="Image 711" descr="Résultats de recherche d'images pour « pancréatit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Résultats de recherche d'images pour « pancréatite »"/>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773805" cy="1313815"/>
                    </a:xfrm>
                    <a:prstGeom prst="rect">
                      <a:avLst/>
                    </a:prstGeom>
                    <a:noFill/>
                    <a:ln>
                      <a:noFill/>
                    </a:ln>
                  </pic:spPr>
                </pic:pic>
              </a:graphicData>
            </a:graphic>
            <wp14:sizeRelH relativeFrom="page">
              <wp14:pctWidth>0</wp14:pctWidth>
            </wp14:sizeRelH>
            <wp14:sizeRelV relativeFrom="page">
              <wp14:pctHeight>0</wp14:pctHeight>
            </wp14:sizeRelV>
          </wp:anchor>
        </w:drawing>
      </w:r>
      <w:r w:rsidR="00794D11">
        <w:t>Stabiliser l’hémodynamie (peut tomber en choc, 3</w:t>
      </w:r>
      <w:r w:rsidR="00794D11" w:rsidRPr="00794D11">
        <w:rPr>
          <w:vertAlign w:val="superscript"/>
        </w:rPr>
        <w:t>e</w:t>
      </w:r>
      <w:r w:rsidR="00794D11">
        <w:t xml:space="preserve"> espace)</w:t>
      </w:r>
    </w:p>
    <w:p w:rsidR="00794D11" w:rsidRDefault="00794D11" w:rsidP="006A5715">
      <w:pPr>
        <w:pStyle w:val="Sansinterligne"/>
        <w:numPr>
          <w:ilvl w:val="0"/>
          <w:numId w:val="1565"/>
        </w:numPr>
      </w:pPr>
      <w:r>
        <w:t>Réhydratation IV</w:t>
      </w:r>
    </w:p>
    <w:p w:rsidR="00794D11" w:rsidRDefault="00794D11" w:rsidP="006A5715">
      <w:pPr>
        <w:pStyle w:val="Sansinterligne"/>
        <w:numPr>
          <w:ilvl w:val="0"/>
          <w:numId w:val="1565"/>
        </w:numPr>
      </w:pPr>
      <w:r>
        <w:t>Sonde urinaire</w:t>
      </w:r>
    </w:p>
    <w:p w:rsidR="00794D11" w:rsidRDefault="00794D11" w:rsidP="006A5715">
      <w:pPr>
        <w:pStyle w:val="Sansinterligne"/>
        <w:numPr>
          <w:ilvl w:val="0"/>
          <w:numId w:val="1565"/>
        </w:numPr>
      </w:pPr>
      <w:r>
        <w:t>Analgésie</w:t>
      </w:r>
    </w:p>
    <w:p w:rsidR="007F7EDD" w:rsidRDefault="007F7EDD" w:rsidP="006A5715">
      <w:pPr>
        <w:pStyle w:val="Sansinterligne"/>
        <w:numPr>
          <w:ilvl w:val="0"/>
          <w:numId w:val="1565"/>
        </w:numPr>
      </w:pPr>
      <w:r>
        <w:t>NPO</w:t>
      </w:r>
    </w:p>
    <w:p w:rsidR="00794D11" w:rsidRDefault="00794D11" w:rsidP="006A5715">
      <w:pPr>
        <w:pStyle w:val="Sansinterligne"/>
        <w:numPr>
          <w:ilvl w:val="0"/>
          <w:numId w:val="1565"/>
        </w:numPr>
      </w:pPr>
      <w:r>
        <w:t>Oxygène</w:t>
      </w:r>
    </w:p>
    <w:p w:rsidR="00794D11" w:rsidRDefault="00C73905" w:rsidP="006A5715">
      <w:pPr>
        <w:pStyle w:val="Sansinterligne"/>
        <w:numPr>
          <w:ilvl w:val="0"/>
          <w:numId w:val="1565"/>
        </w:numPr>
      </w:pPr>
      <w:r>
        <w:t>Si contexte infectieux ou formation de collection/abcès</w:t>
      </w:r>
    </w:p>
    <w:p w:rsidR="00C73905" w:rsidRDefault="00C73905" w:rsidP="006A5715">
      <w:pPr>
        <w:pStyle w:val="Sansinterligne"/>
        <w:numPr>
          <w:ilvl w:val="1"/>
          <w:numId w:val="1565"/>
        </w:numPr>
      </w:pPr>
      <w:r>
        <w:t>ATB large spectre</w:t>
      </w:r>
    </w:p>
    <w:p w:rsidR="00D86C41" w:rsidRDefault="00C73905" w:rsidP="006A5715">
      <w:pPr>
        <w:pStyle w:val="Sansinterligne"/>
        <w:numPr>
          <w:ilvl w:val="1"/>
          <w:numId w:val="1565"/>
        </w:numPr>
      </w:pPr>
      <w:r>
        <w:t>Débridement/drainage chirurgical ou percutané</w:t>
      </w:r>
    </w:p>
    <w:p w:rsidR="00D86C41" w:rsidRDefault="00D86C41" w:rsidP="00D86C41">
      <w:pPr>
        <w:pStyle w:val="Sansinterligne"/>
      </w:pPr>
    </w:p>
    <w:p w:rsidR="00E9685E" w:rsidRDefault="00E9685E" w:rsidP="00D86C41">
      <w:pPr>
        <w:pStyle w:val="Sansinterligne"/>
        <w:rPr>
          <w:b/>
        </w:rPr>
        <w:sectPr w:rsidR="00E9685E" w:rsidSect="00E82F88">
          <w:type w:val="continuous"/>
          <w:pgSz w:w="12240" w:h="15840"/>
          <w:pgMar w:top="720" w:right="720" w:bottom="720" w:left="720" w:header="708" w:footer="708" w:gutter="0"/>
          <w:cols w:space="708"/>
          <w:titlePg/>
          <w:docGrid w:linePitch="360"/>
        </w:sectPr>
      </w:pPr>
    </w:p>
    <w:p w:rsidR="0064245D" w:rsidRPr="0064245D" w:rsidRDefault="0064245D" w:rsidP="00D86C41">
      <w:pPr>
        <w:pStyle w:val="Sansinterligne"/>
        <w:rPr>
          <w:b/>
        </w:rPr>
      </w:pPr>
      <w:r w:rsidRPr="0064245D">
        <w:rPr>
          <w:b/>
        </w:rPr>
        <w:lastRenderedPageBreak/>
        <w:t>Infarctus / rupture splénique</w:t>
      </w:r>
    </w:p>
    <w:p w:rsidR="0064245D" w:rsidRDefault="0064245D" w:rsidP="006A5715">
      <w:pPr>
        <w:pStyle w:val="Sansinterligne"/>
        <w:numPr>
          <w:ilvl w:val="0"/>
          <w:numId w:val="1587"/>
        </w:numPr>
      </w:pPr>
      <w:r>
        <w:t>Traiter la cause sous-jacente si infarctus</w:t>
      </w:r>
    </w:p>
    <w:p w:rsidR="0064245D" w:rsidRPr="00E9685E" w:rsidRDefault="0064245D" w:rsidP="00E9685E">
      <w:pPr>
        <w:pStyle w:val="Sansinterligne"/>
        <w:rPr>
          <w:u w:val="single"/>
        </w:rPr>
      </w:pPr>
      <w:r w:rsidRPr="00E9685E">
        <w:rPr>
          <w:u w:val="single"/>
        </w:rPr>
        <w:t>Rupture</w:t>
      </w:r>
    </w:p>
    <w:p w:rsidR="0064245D" w:rsidRDefault="0064245D" w:rsidP="006A5715">
      <w:pPr>
        <w:pStyle w:val="Sansinterligne"/>
        <w:numPr>
          <w:ilvl w:val="0"/>
          <w:numId w:val="1587"/>
        </w:numPr>
      </w:pPr>
      <w:r>
        <w:t>Si HD stable : hospitalisation et observation</w:t>
      </w:r>
    </w:p>
    <w:p w:rsidR="0064245D" w:rsidRDefault="0064245D" w:rsidP="006A5715">
      <w:pPr>
        <w:pStyle w:val="Sansinterligne"/>
        <w:numPr>
          <w:ilvl w:val="0"/>
          <w:numId w:val="1587"/>
        </w:numPr>
      </w:pPr>
      <w:r>
        <w:t>Si HD instable ou sepsis: intervention chirurgicale immédiate</w:t>
      </w:r>
    </w:p>
    <w:p w:rsidR="0064245D" w:rsidRDefault="0064245D" w:rsidP="006A5715">
      <w:pPr>
        <w:pStyle w:val="Sansinterligne"/>
        <w:numPr>
          <w:ilvl w:val="1"/>
          <w:numId w:val="1587"/>
        </w:numPr>
      </w:pPr>
      <w:r>
        <w:t>Exploration laparoscopi</w:t>
      </w:r>
      <w:r w:rsidR="007F7EDD">
        <w:t>qu</w:t>
      </w:r>
      <w:r>
        <w:t xml:space="preserve">e du trauma </w:t>
      </w:r>
    </w:p>
    <w:p w:rsidR="0064245D" w:rsidRDefault="0064245D" w:rsidP="006A5715">
      <w:pPr>
        <w:pStyle w:val="Sansinterligne"/>
        <w:numPr>
          <w:ilvl w:val="1"/>
          <w:numId w:val="1587"/>
        </w:numPr>
      </w:pPr>
      <w:r>
        <w:t>Splénectomie</w:t>
      </w:r>
    </w:p>
    <w:p w:rsidR="00E9685E" w:rsidRDefault="00E9685E" w:rsidP="00D86C41">
      <w:pPr>
        <w:pStyle w:val="Sansinterligne"/>
      </w:pPr>
    </w:p>
    <w:p w:rsidR="0064245D" w:rsidRPr="0064245D" w:rsidRDefault="0064245D" w:rsidP="00D86C41">
      <w:pPr>
        <w:pStyle w:val="Sansinterligne"/>
        <w:rPr>
          <w:b/>
        </w:rPr>
      </w:pPr>
      <w:r w:rsidRPr="0064245D">
        <w:rPr>
          <w:b/>
        </w:rPr>
        <w:t>Douleur MSK</w:t>
      </w:r>
    </w:p>
    <w:p w:rsidR="0064245D" w:rsidRDefault="0064245D" w:rsidP="006A5715">
      <w:pPr>
        <w:pStyle w:val="Sansinterligne"/>
        <w:numPr>
          <w:ilvl w:val="0"/>
          <w:numId w:val="1569"/>
        </w:numPr>
      </w:pPr>
      <w:r>
        <w:t>Analgésie</w:t>
      </w:r>
    </w:p>
    <w:p w:rsidR="0064245D" w:rsidRDefault="0064245D" w:rsidP="006A5715">
      <w:pPr>
        <w:pStyle w:val="Sansinterligne"/>
        <w:numPr>
          <w:ilvl w:val="0"/>
          <w:numId w:val="1569"/>
        </w:numPr>
      </w:pPr>
      <w:r>
        <w:t>Traitement selon la cause</w:t>
      </w:r>
    </w:p>
    <w:p w:rsidR="00E9685E" w:rsidRDefault="00E9685E" w:rsidP="00D86C41">
      <w:pPr>
        <w:pStyle w:val="Sansinterligne"/>
      </w:pPr>
    </w:p>
    <w:p w:rsidR="00E9685E" w:rsidRDefault="00E94D3C" w:rsidP="00D86C41">
      <w:pPr>
        <w:pStyle w:val="Sansinterligne"/>
      </w:pPr>
      <w:r>
        <w:rPr>
          <w:noProof/>
          <w:lang w:eastAsia="fr-CA"/>
        </w:rPr>
        <w:drawing>
          <wp:anchor distT="0" distB="0" distL="114300" distR="114300" simplePos="0" relativeHeight="252265472" behindDoc="1" locked="0" layoutInCell="1" allowOverlap="1" wp14:anchorId="3F1356EE" wp14:editId="63FAAD51">
            <wp:simplePos x="0" y="0"/>
            <wp:positionH relativeFrom="column">
              <wp:posOffset>-76200</wp:posOffset>
            </wp:positionH>
            <wp:positionV relativeFrom="paragraph">
              <wp:posOffset>71120</wp:posOffset>
            </wp:positionV>
            <wp:extent cx="3220720" cy="1974215"/>
            <wp:effectExtent l="0" t="0" r="0" b="6985"/>
            <wp:wrapNone/>
            <wp:docPr id="708" name="Image 708" descr="Résultats de recherche d'images pour « diverticulite perforé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Résultats de recherche d'images pour « diverticulite perforée »"/>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220720" cy="19742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9685E" w:rsidRDefault="00E9685E" w:rsidP="00D86C41">
      <w:pPr>
        <w:pStyle w:val="Sansinterligne"/>
        <w:sectPr w:rsidR="00E9685E" w:rsidSect="00E9685E">
          <w:type w:val="continuous"/>
          <w:pgSz w:w="12240" w:h="15840"/>
          <w:pgMar w:top="720" w:right="720" w:bottom="720" w:left="720" w:header="708" w:footer="708" w:gutter="0"/>
          <w:cols w:num="2" w:space="708"/>
          <w:titlePg/>
          <w:docGrid w:linePitch="360"/>
        </w:sectPr>
      </w:pPr>
    </w:p>
    <w:p w:rsidR="0064245D" w:rsidRPr="00D26D2C" w:rsidRDefault="0064245D" w:rsidP="00D86C41">
      <w:pPr>
        <w:pStyle w:val="Sansinterligne"/>
        <w:rPr>
          <w:sz w:val="16"/>
          <w:szCs w:val="16"/>
        </w:rPr>
      </w:pPr>
    </w:p>
    <w:p w:rsidR="00D86C41" w:rsidRPr="002E2FB2" w:rsidRDefault="002719E7" w:rsidP="00D86C41">
      <w:pPr>
        <w:pStyle w:val="Sansinterligne"/>
        <w:rPr>
          <w:b/>
        </w:rPr>
      </w:pPr>
      <w:r w:rsidRPr="002E2FB2">
        <w:rPr>
          <w:b/>
        </w:rPr>
        <w:t>Diverticulite</w:t>
      </w:r>
    </w:p>
    <w:p w:rsidR="002E2FB2" w:rsidRDefault="009A794B" w:rsidP="00D86C41">
      <w:pPr>
        <w:pStyle w:val="Sansinterligne"/>
      </w:pPr>
      <w:r w:rsidRPr="002E2FB2">
        <w:rPr>
          <w:u w:val="single"/>
        </w:rPr>
        <w:t>Si</w:t>
      </w:r>
      <w:r w:rsidR="002E2FB2" w:rsidRPr="002E2FB2">
        <w:rPr>
          <w:u w:val="single"/>
        </w:rPr>
        <w:t xml:space="preserve"> non-compliquée</w:t>
      </w:r>
      <w:r w:rsidR="002E2FB2">
        <w:t> :</w:t>
      </w:r>
    </w:p>
    <w:p w:rsidR="002E2FB2" w:rsidRDefault="002E2FB2" w:rsidP="006A5715">
      <w:pPr>
        <w:pStyle w:val="Sansinterligne"/>
        <w:numPr>
          <w:ilvl w:val="0"/>
          <w:numId w:val="1571"/>
        </w:numPr>
      </w:pPr>
      <w:r>
        <w:t>Analgésie</w:t>
      </w:r>
      <w:r w:rsidR="00E94D3C" w:rsidRPr="00E94D3C">
        <w:t xml:space="preserve"> </w:t>
      </w:r>
    </w:p>
    <w:p w:rsidR="002E2FB2" w:rsidRDefault="002E2FB2" w:rsidP="006A5715">
      <w:pPr>
        <w:pStyle w:val="Sansinterligne"/>
        <w:numPr>
          <w:ilvl w:val="0"/>
          <w:numId w:val="1571"/>
        </w:numPr>
      </w:pPr>
      <w:r>
        <w:t>Alimentation : liquides clairs seulement</w:t>
      </w:r>
    </w:p>
    <w:p w:rsidR="002E2FB2" w:rsidRDefault="002E2FB2" w:rsidP="006A5715">
      <w:pPr>
        <w:pStyle w:val="Sansinterligne"/>
        <w:numPr>
          <w:ilvl w:val="0"/>
          <w:numId w:val="1571"/>
        </w:numPr>
      </w:pPr>
      <w:r>
        <w:t>AT</w:t>
      </w:r>
      <w:r w:rsidR="007F7EDD">
        <w:t>B</w:t>
      </w:r>
      <w:r>
        <w:t> : ciprofloxacine + métronidazole x 7 jours</w:t>
      </w:r>
    </w:p>
    <w:p w:rsidR="002E2FB2" w:rsidRDefault="002E2FB2" w:rsidP="006A5715">
      <w:pPr>
        <w:pStyle w:val="Sansinterligne"/>
        <w:numPr>
          <w:ilvl w:val="0"/>
          <w:numId w:val="1571"/>
        </w:numPr>
      </w:pPr>
      <w:r>
        <w:t>Suivi en externe</w:t>
      </w:r>
    </w:p>
    <w:p w:rsidR="002E2FB2" w:rsidRPr="00196CA4" w:rsidRDefault="002E2FB2" w:rsidP="00D86C41">
      <w:pPr>
        <w:pStyle w:val="Sansinterligne"/>
        <w:rPr>
          <w:highlight w:val="yellow"/>
          <w:u w:val="single"/>
        </w:rPr>
      </w:pPr>
      <w:r w:rsidRPr="00196CA4">
        <w:rPr>
          <w:highlight w:val="yellow"/>
          <w:u w:val="single"/>
        </w:rPr>
        <w:t>Hospitaliser si traitement en externe insuffisant ou compliqué</w:t>
      </w:r>
    </w:p>
    <w:p w:rsidR="002E2FB2" w:rsidRPr="00196CA4" w:rsidRDefault="002E2FB2" w:rsidP="006A5715">
      <w:pPr>
        <w:pStyle w:val="Sansinterligne"/>
        <w:numPr>
          <w:ilvl w:val="0"/>
          <w:numId w:val="1572"/>
        </w:numPr>
        <w:rPr>
          <w:highlight w:val="yellow"/>
        </w:rPr>
      </w:pPr>
      <w:r w:rsidRPr="00196CA4">
        <w:rPr>
          <w:highlight w:val="yellow"/>
        </w:rPr>
        <w:t>NPO</w:t>
      </w:r>
    </w:p>
    <w:p w:rsidR="002E2FB2" w:rsidRPr="00196CA4" w:rsidRDefault="002E2FB2" w:rsidP="006A5715">
      <w:pPr>
        <w:pStyle w:val="Sansinterligne"/>
        <w:numPr>
          <w:ilvl w:val="0"/>
          <w:numId w:val="1572"/>
        </w:numPr>
        <w:rPr>
          <w:highlight w:val="yellow"/>
        </w:rPr>
      </w:pPr>
      <w:r w:rsidRPr="00196CA4">
        <w:rPr>
          <w:highlight w:val="yellow"/>
        </w:rPr>
        <w:t>Hydratation IV</w:t>
      </w:r>
    </w:p>
    <w:p w:rsidR="002E2FB2" w:rsidRPr="00196CA4" w:rsidRDefault="002E2FB2" w:rsidP="006A5715">
      <w:pPr>
        <w:pStyle w:val="Sansinterligne"/>
        <w:numPr>
          <w:ilvl w:val="0"/>
          <w:numId w:val="1572"/>
        </w:numPr>
        <w:rPr>
          <w:highlight w:val="yellow"/>
        </w:rPr>
      </w:pPr>
      <w:r w:rsidRPr="00196CA4">
        <w:rPr>
          <w:highlight w:val="yellow"/>
        </w:rPr>
        <w:t>Ceftriaxone + métronidazole IV, ampicilline ou gentamycine</w:t>
      </w:r>
    </w:p>
    <w:p w:rsidR="002E2FB2" w:rsidRPr="00196CA4" w:rsidRDefault="002E2FB2" w:rsidP="006A5715">
      <w:pPr>
        <w:pStyle w:val="Sansinterligne"/>
        <w:numPr>
          <w:ilvl w:val="0"/>
          <w:numId w:val="1572"/>
        </w:numPr>
        <w:rPr>
          <w:highlight w:val="yellow"/>
        </w:rPr>
      </w:pPr>
      <w:r w:rsidRPr="00196CA4">
        <w:rPr>
          <w:highlight w:val="yellow"/>
        </w:rPr>
        <w:t>Référence en chirurgie</w:t>
      </w:r>
    </w:p>
    <w:p w:rsidR="002E2FB2" w:rsidRPr="00196CA4" w:rsidRDefault="002E2FB2" w:rsidP="006A5715">
      <w:pPr>
        <w:pStyle w:val="Sansinterligne"/>
        <w:numPr>
          <w:ilvl w:val="1"/>
          <w:numId w:val="1572"/>
        </w:numPr>
        <w:rPr>
          <w:highlight w:val="yellow"/>
        </w:rPr>
      </w:pPr>
      <w:r w:rsidRPr="00196CA4">
        <w:rPr>
          <w:highlight w:val="yellow"/>
        </w:rPr>
        <w:t>Si instable et péritonisme, échec au traitement médical ou perforation</w:t>
      </w:r>
    </w:p>
    <w:p w:rsidR="002E2FB2" w:rsidRPr="00196CA4" w:rsidRDefault="002E2FB2" w:rsidP="006A5715">
      <w:pPr>
        <w:pStyle w:val="Sansinterligne"/>
        <w:numPr>
          <w:ilvl w:val="1"/>
          <w:numId w:val="1572"/>
        </w:numPr>
        <w:rPr>
          <w:highlight w:val="yellow"/>
        </w:rPr>
      </w:pPr>
      <w:r w:rsidRPr="00196CA4">
        <w:rPr>
          <w:highlight w:val="yellow"/>
        </w:rPr>
        <w:t>2</w:t>
      </w:r>
      <w:r w:rsidRPr="00196CA4">
        <w:rPr>
          <w:highlight w:val="yellow"/>
          <w:vertAlign w:val="superscript"/>
        </w:rPr>
        <w:t>e</w:t>
      </w:r>
      <w:r w:rsidRPr="00196CA4">
        <w:rPr>
          <w:highlight w:val="yellow"/>
        </w:rPr>
        <w:t xml:space="preserve"> épisode ou plus </w:t>
      </w:r>
    </w:p>
    <w:p w:rsidR="002E2FB2" w:rsidRPr="00196CA4" w:rsidRDefault="002E2FB2" w:rsidP="006A5715">
      <w:pPr>
        <w:pStyle w:val="Sansinterligne"/>
        <w:numPr>
          <w:ilvl w:val="1"/>
          <w:numId w:val="1572"/>
        </w:numPr>
        <w:rPr>
          <w:highlight w:val="yellow"/>
        </w:rPr>
      </w:pPr>
      <w:r w:rsidRPr="00196CA4">
        <w:rPr>
          <w:highlight w:val="yellow"/>
        </w:rPr>
        <w:t>Résection colique segmentaire et anastomose primaire</w:t>
      </w:r>
    </w:p>
    <w:p w:rsidR="002E2FB2" w:rsidRPr="00196CA4" w:rsidRDefault="002E2FB2" w:rsidP="006A5715">
      <w:pPr>
        <w:pStyle w:val="Sansinterligne"/>
        <w:numPr>
          <w:ilvl w:val="1"/>
          <w:numId w:val="1572"/>
        </w:numPr>
        <w:rPr>
          <w:highlight w:val="yellow"/>
        </w:rPr>
      </w:pPr>
      <w:r w:rsidRPr="00196CA4">
        <w:rPr>
          <w:highlight w:val="yellow"/>
        </w:rPr>
        <w:t>Procédure de Hartmann (urgence)</w:t>
      </w:r>
    </w:p>
    <w:p w:rsidR="002E2FB2" w:rsidRPr="00196CA4" w:rsidRDefault="002E2FB2" w:rsidP="006A5715">
      <w:pPr>
        <w:pStyle w:val="Sansinterligne"/>
        <w:numPr>
          <w:ilvl w:val="2"/>
          <w:numId w:val="1572"/>
        </w:numPr>
        <w:rPr>
          <w:highlight w:val="yellow"/>
        </w:rPr>
      </w:pPr>
      <w:r w:rsidRPr="00196CA4">
        <w:rPr>
          <w:highlight w:val="yellow"/>
        </w:rPr>
        <w:t>Résection colique, colostomie et fermeture rectale, anastomose dans 3-6 mois</w:t>
      </w:r>
    </w:p>
    <w:p w:rsidR="002E2FB2" w:rsidRDefault="002E2FB2" w:rsidP="002E2FB2">
      <w:pPr>
        <w:pStyle w:val="Sansinterligne"/>
      </w:pPr>
    </w:p>
    <w:p w:rsidR="002E2FB2" w:rsidRPr="00E9685E" w:rsidRDefault="00BA7D09" w:rsidP="002E2FB2">
      <w:pPr>
        <w:pStyle w:val="Sansinterligne"/>
        <w:rPr>
          <w:b/>
        </w:rPr>
      </w:pPr>
      <w:r>
        <w:rPr>
          <w:noProof/>
          <w:lang w:eastAsia="fr-CA"/>
        </w:rPr>
        <mc:AlternateContent>
          <mc:Choice Requires="wps">
            <w:drawing>
              <wp:anchor distT="0" distB="0" distL="114300" distR="114300" simplePos="0" relativeHeight="252272640" behindDoc="0" locked="0" layoutInCell="1" allowOverlap="1" wp14:anchorId="22D7F9DC" wp14:editId="529922F2">
                <wp:simplePos x="0" y="0"/>
                <wp:positionH relativeFrom="column">
                  <wp:posOffset>3624580</wp:posOffset>
                </wp:positionH>
                <wp:positionV relativeFrom="paragraph">
                  <wp:posOffset>29210</wp:posOffset>
                </wp:positionV>
                <wp:extent cx="2849880" cy="1403985"/>
                <wp:effectExtent l="0" t="0" r="26670" b="10160"/>
                <wp:wrapNone/>
                <wp:docPr id="71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49880" cy="1403985"/>
                        </a:xfrm>
                        <a:prstGeom prst="rect">
                          <a:avLst/>
                        </a:prstGeom>
                        <a:solidFill>
                          <a:schemeClr val="accent1">
                            <a:lumMod val="60000"/>
                            <a:lumOff val="40000"/>
                          </a:schemeClr>
                        </a:solidFill>
                        <a:ln w="9525">
                          <a:solidFill>
                            <a:srgbClr val="000000"/>
                          </a:solidFill>
                          <a:miter lim="800000"/>
                          <a:headEnd/>
                          <a:tailEnd/>
                        </a:ln>
                      </wps:spPr>
                      <wps:txbx>
                        <w:txbxContent>
                          <w:p w:rsidR="008276DC" w:rsidRPr="00BA7D09" w:rsidRDefault="008276DC" w:rsidP="00BA7D09">
                            <w:pPr>
                              <w:spacing w:after="0"/>
                              <w:jc w:val="center"/>
                              <w:rPr>
                                <w:b/>
                              </w:rPr>
                            </w:pPr>
                            <w:r w:rsidRPr="00BA7D09">
                              <w:rPr>
                                <w:b/>
                              </w:rPr>
                              <w:t>Péritonite</w:t>
                            </w:r>
                          </w:p>
                          <w:p w:rsidR="008276DC" w:rsidRDefault="008276DC" w:rsidP="006A5715">
                            <w:pPr>
                              <w:pStyle w:val="Paragraphedeliste"/>
                              <w:numPr>
                                <w:ilvl w:val="0"/>
                                <w:numId w:val="1588"/>
                              </w:numPr>
                              <w:spacing w:after="0"/>
                            </w:pPr>
                            <w:r>
                              <w:t>Inflammation du péritoine</w:t>
                            </w:r>
                          </w:p>
                          <w:p w:rsidR="008276DC" w:rsidRDefault="008276DC" w:rsidP="006A5715">
                            <w:pPr>
                              <w:pStyle w:val="Paragraphedeliste"/>
                              <w:numPr>
                                <w:ilvl w:val="0"/>
                                <w:numId w:val="1588"/>
                              </w:numPr>
                              <w:spacing w:after="0"/>
                            </w:pPr>
                            <w:r>
                              <w:t>Spontanée, rupture de viscère ou iatrogène</w:t>
                            </w:r>
                          </w:p>
                          <w:p w:rsidR="008276DC" w:rsidRDefault="008276DC" w:rsidP="006A5715">
                            <w:pPr>
                              <w:pStyle w:val="Paragraphedeliste"/>
                              <w:numPr>
                                <w:ilvl w:val="1"/>
                                <w:numId w:val="1589"/>
                              </w:numPr>
                              <w:spacing w:after="0"/>
                            </w:pPr>
                            <w:r>
                              <w:t>Fièvre</w:t>
                            </w:r>
                          </w:p>
                          <w:p w:rsidR="008276DC" w:rsidRDefault="008276DC" w:rsidP="006A5715">
                            <w:pPr>
                              <w:pStyle w:val="Paragraphedeliste"/>
                              <w:numPr>
                                <w:ilvl w:val="1"/>
                                <w:numId w:val="1589"/>
                              </w:numPr>
                              <w:spacing w:after="0"/>
                            </w:pPr>
                            <w:r>
                              <w:t>Défense abdominale</w:t>
                            </w:r>
                          </w:p>
                          <w:p w:rsidR="008276DC" w:rsidRDefault="008276DC" w:rsidP="006A5715">
                            <w:pPr>
                              <w:pStyle w:val="Paragraphedeliste"/>
                              <w:numPr>
                                <w:ilvl w:val="1"/>
                                <w:numId w:val="1589"/>
                              </w:numPr>
                              <w:spacing w:after="0"/>
                            </w:pPr>
                            <w:r>
                              <w:t>Signes du rebond et de Rovsing</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41" type="#_x0000_t202" style="position:absolute;margin-left:285.4pt;margin-top:2.3pt;width:224.4pt;height:110.55pt;z-index:25227264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" fillcolor="#95b3d7 [1940]">
                <v:textbox style="mso-fit-shape-to-text:t">
                  <w:txbxContent>
                    <w:p w:rsidR="008276DC" w:rsidRPr="00BA7D09" w:rsidRDefault="008276DC" w:rsidP="00BA7D09">
                      <w:pPr>
                        <w:spacing w:after="0"/>
                        <w:jc w:val="center"/>
                        <w:rPr>
                          <w:b/>
                        </w:rPr>
                      </w:pPr>
                      <w:r w:rsidRPr="00BA7D09">
                        <w:rPr>
                          <w:b/>
                        </w:rPr>
                        <w:t>Péritonite</w:t>
                      </w:r>
                    </w:p>
                    <w:p w:rsidR="008276DC" w:rsidRDefault="008276DC" w:rsidP="006A5715">
                      <w:pPr>
                        <w:pStyle w:val="Paragraphedeliste"/>
                        <w:numPr>
                          <w:ilvl w:val="0"/>
                          <w:numId w:val="1588"/>
                        </w:numPr>
                        <w:spacing w:after="0"/>
                      </w:pPr>
                      <w:r>
                        <w:t>Inflammation du péritoine</w:t>
                      </w:r>
                    </w:p>
                    <w:p w:rsidR="008276DC" w:rsidRDefault="008276DC" w:rsidP="006A5715">
                      <w:pPr>
                        <w:pStyle w:val="Paragraphedeliste"/>
                        <w:numPr>
                          <w:ilvl w:val="0"/>
                          <w:numId w:val="1588"/>
                        </w:numPr>
                        <w:spacing w:after="0"/>
                      </w:pPr>
                      <w:r>
                        <w:t>Spontanée, rupture de viscère ou iatrogène</w:t>
                      </w:r>
                    </w:p>
                    <w:p w:rsidR="008276DC" w:rsidRDefault="008276DC" w:rsidP="006A5715">
                      <w:pPr>
                        <w:pStyle w:val="Paragraphedeliste"/>
                        <w:numPr>
                          <w:ilvl w:val="1"/>
                          <w:numId w:val="1589"/>
                        </w:numPr>
                        <w:spacing w:after="0"/>
                      </w:pPr>
                      <w:r>
                        <w:t>Fièvre</w:t>
                      </w:r>
                    </w:p>
                    <w:p w:rsidR="008276DC" w:rsidRDefault="008276DC" w:rsidP="006A5715">
                      <w:pPr>
                        <w:pStyle w:val="Paragraphedeliste"/>
                        <w:numPr>
                          <w:ilvl w:val="1"/>
                          <w:numId w:val="1589"/>
                        </w:numPr>
                        <w:spacing w:after="0"/>
                      </w:pPr>
                      <w:r>
                        <w:t>Défense abdominale</w:t>
                      </w:r>
                    </w:p>
                    <w:p w:rsidR="008276DC" w:rsidRDefault="008276DC" w:rsidP="006A5715">
                      <w:pPr>
                        <w:pStyle w:val="Paragraphedeliste"/>
                        <w:numPr>
                          <w:ilvl w:val="1"/>
                          <w:numId w:val="1589"/>
                        </w:numPr>
                        <w:spacing w:after="0"/>
                      </w:pPr>
                      <w:r>
                        <w:t>Signes du rebond et de Rovsing</w:t>
                      </w:r>
                    </w:p>
                  </w:txbxContent>
                </v:textbox>
              </v:shape>
            </w:pict>
          </mc:Fallback>
        </mc:AlternateContent>
      </w:r>
      <w:r w:rsidR="00825D15" w:rsidRPr="00E9685E">
        <w:rPr>
          <w:b/>
        </w:rPr>
        <w:t>Ischémie mésentérique</w:t>
      </w:r>
    </w:p>
    <w:p w:rsidR="00825D15" w:rsidRDefault="00825D15" w:rsidP="006A5715">
      <w:pPr>
        <w:pStyle w:val="Sansinterligne"/>
        <w:numPr>
          <w:ilvl w:val="0"/>
          <w:numId w:val="1583"/>
        </w:numPr>
      </w:pPr>
      <w:r>
        <w:t>Urgence médicale et chirurgicale</w:t>
      </w:r>
      <w:r w:rsidR="00E94D3C" w:rsidRPr="00E94D3C">
        <w:t xml:space="preserve"> </w:t>
      </w:r>
    </w:p>
    <w:p w:rsidR="00825D15" w:rsidRDefault="00825D15" w:rsidP="006A5715">
      <w:pPr>
        <w:pStyle w:val="Sansinterligne"/>
        <w:numPr>
          <w:ilvl w:val="0"/>
          <w:numId w:val="1583"/>
        </w:numPr>
      </w:pPr>
      <w:r>
        <w:t>Stabilisation hémodynamique, bolus de NS IV</w:t>
      </w:r>
    </w:p>
    <w:p w:rsidR="00825D15" w:rsidRDefault="00825D15" w:rsidP="006A5715">
      <w:pPr>
        <w:pStyle w:val="Sansinterligne"/>
        <w:numPr>
          <w:ilvl w:val="0"/>
          <w:numId w:val="1583"/>
        </w:numPr>
      </w:pPr>
      <w:r>
        <w:t>NPO et TNG</w:t>
      </w:r>
    </w:p>
    <w:p w:rsidR="00825D15" w:rsidRDefault="00825D15" w:rsidP="006A5715">
      <w:pPr>
        <w:pStyle w:val="Sansinterligne"/>
        <w:numPr>
          <w:ilvl w:val="0"/>
          <w:numId w:val="1583"/>
        </w:numPr>
      </w:pPr>
      <w:r>
        <w:t>Référence urgente en chirurgie</w:t>
      </w:r>
    </w:p>
    <w:p w:rsidR="00825D15" w:rsidRDefault="00825D15" w:rsidP="006A5715">
      <w:pPr>
        <w:pStyle w:val="Sansinterligne"/>
        <w:numPr>
          <w:ilvl w:val="1"/>
          <w:numId w:val="1583"/>
        </w:numPr>
      </w:pPr>
      <w:r>
        <w:t>Laparotomie exploratrice</w:t>
      </w:r>
    </w:p>
    <w:p w:rsidR="00825D15" w:rsidRDefault="00825D15" w:rsidP="006A5715">
      <w:pPr>
        <w:pStyle w:val="Sansinterligne"/>
        <w:numPr>
          <w:ilvl w:val="1"/>
          <w:numId w:val="1583"/>
        </w:numPr>
      </w:pPr>
      <w:r>
        <w:t>Résection de l’intestin nécrosé</w:t>
      </w:r>
    </w:p>
    <w:p w:rsidR="00825D15" w:rsidRDefault="00825D15" w:rsidP="006A5715">
      <w:pPr>
        <w:pStyle w:val="Sansinterligne"/>
        <w:numPr>
          <w:ilvl w:val="0"/>
          <w:numId w:val="1583"/>
        </w:numPr>
      </w:pPr>
      <w:r>
        <w:t xml:space="preserve">OU Angiographie et embolectomie </w:t>
      </w:r>
      <w:r>
        <w:rPr>
          <w:rFonts w:cs="Times New Roman"/>
        </w:rPr>
        <w:t>±</w:t>
      </w:r>
      <w:r>
        <w:t xml:space="preserve"> héparine</w:t>
      </w:r>
    </w:p>
    <w:p w:rsidR="00825D15" w:rsidRDefault="00825D15" w:rsidP="002E2FB2">
      <w:pPr>
        <w:pStyle w:val="Sansinterligne"/>
      </w:pPr>
    </w:p>
    <w:p w:rsidR="00E9685E" w:rsidRDefault="00E9685E" w:rsidP="002E2FB2">
      <w:pPr>
        <w:pStyle w:val="Sansinterligne"/>
        <w:rPr>
          <w:b/>
          <w:highlight w:val="yellow"/>
        </w:rPr>
        <w:sectPr w:rsidR="00E9685E" w:rsidSect="00E82F88">
          <w:type w:val="continuous"/>
          <w:pgSz w:w="12240" w:h="15840"/>
          <w:pgMar w:top="720" w:right="720" w:bottom="720" w:left="720" w:header="708" w:footer="708" w:gutter="0"/>
          <w:cols w:space="708"/>
          <w:titlePg/>
          <w:docGrid w:linePitch="360"/>
        </w:sectPr>
      </w:pPr>
    </w:p>
    <w:p w:rsidR="002E2FB2" w:rsidRPr="00E9685E" w:rsidRDefault="00825D15" w:rsidP="002E2FB2">
      <w:pPr>
        <w:pStyle w:val="Sansinterligne"/>
        <w:rPr>
          <w:b/>
          <w:highlight w:val="yellow"/>
        </w:rPr>
      </w:pPr>
      <w:r w:rsidRPr="00E9685E">
        <w:rPr>
          <w:b/>
          <w:highlight w:val="yellow"/>
        </w:rPr>
        <w:lastRenderedPageBreak/>
        <w:t>Rupture de l’anévrysme de l’aorte abdominale (RAAA)</w:t>
      </w:r>
    </w:p>
    <w:p w:rsidR="0044628B" w:rsidRPr="00E9685E" w:rsidRDefault="0044628B" w:rsidP="006A5715">
      <w:pPr>
        <w:pStyle w:val="Sansinterligne"/>
        <w:numPr>
          <w:ilvl w:val="0"/>
          <w:numId w:val="1574"/>
        </w:numPr>
        <w:rPr>
          <w:highlight w:val="yellow"/>
        </w:rPr>
      </w:pPr>
      <w:r w:rsidRPr="00E9685E">
        <w:rPr>
          <w:highlight w:val="yellow"/>
        </w:rPr>
        <w:t xml:space="preserve">50% de décès avant de se rendre à l’hôpital </w:t>
      </w:r>
    </w:p>
    <w:p w:rsidR="00825D15" w:rsidRPr="00E9685E" w:rsidRDefault="00825D15" w:rsidP="006A5715">
      <w:pPr>
        <w:pStyle w:val="Sansinterligne"/>
        <w:numPr>
          <w:ilvl w:val="0"/>
          <w:numId w:val="1574"/>
        </w:numPr>
        <w:rPr>
          <w:highlight w:val="yellow"/>
        </w:rPr>
      </w:pPr>
      <w:r w:rsidRPr="00E9685E">
        <w:rPr>
          <w:highlight w:val="yellow"/>
        </w:rPr>
        <w:t>ABC et réanimation agressive</w:t>
      </w:r>
    </w:p>
    <w:p w:rsidR="00825D15" w:rsidRPr="00E9685E" w:rsidRDefault="00825D15" w:rsidP="006A5715">
      <w:pPr>
        <w:pStyle w:val="Sansinterligne"/>
        <w:numPr>
          <w:ilvl w:val="0"/>
          <w:numId w:val="1574"/>
        </w:numPr>
        <w:rPr>
          <w:highlight w:val="yellow"/>
        </w:rPr>
      </w:pPr>
      <w:r w:rsidRPr="00E9685E">
        <w:rPr>
          <w:highlight w:val="yellow"/>
        </w:rPr>
        <w:t>Laparotomie urgente pour réparation</w:t>
      </w:r>
    </w:p>
    <w:p w:rsidR="00825D15" w:rsidRPr="00E9685E" w:rsidRDefault="00825D15" w:rsidP="006A5715">
      <w:pPr>
        <w:pStyle w:val="Sansinterligne"/>
        <w:numPr>
          <w:ilvl w:val="0"/>
          <w:numId w:val="1574"/>
        </w:numPr>
        <w:rPr>
          <w:highlight w:val="yellow"/>
        </w:rPr>
      </w:pPr>
      <w:r w:rsidRPr="00E9685E">
        <w:rPr>
          <w:highlight w:val="yellow"/>
        </w:rPr>
        <w:t>Groupé-croisé urgent pour 10 unités de sang</w:t>
      </w:r>
    </w:p>
    <w:p w:rsidR="0044628B" w:rsidRDefault="0044628B" w:rsidP="0044628B">
      <w:pPr>
        <w:pStyle w:val="Sansinterligne"/>
      </w:pPr>
    </w:p>
    <w:p w:rsidR="00C94978" w:rsidRPr="00E9685E" w:rsidRDefault="00C94978" w:rsidP="0044628B">
      <w:pPr>
        <w:pStyle w:val="Sansinterligne"/>
        <w:rPr>
          <w:b/>
          <w:highlight w:val="yellow"/>
        </w:rPr>
      </w:pPr>
      <w:r w:rsidRPr="00E9685E">
        <w:rPr>
          <w:b/>
          <w:highlight w:val="yellow"/>
        </w:rPr>
        <w:t>Pyélonéphrite</w:t>
      </w:r>
      <w:r w:rsidR="00A07007" w:rsidRPr="00E9685E">
        <w:rPr>
          <w:b/>
          <w:highlight w:val="yellow"/>
        </w:rPr>
        <w:t xml:space="preserve"> aiguë (PNA)</w:t>
      </w:r>
    </w:p>
    <w:p w:rsidR="00A07007" w:rsidRPr="00E9685E" w:rsidRDefault="00A07007" w:rsidP="006A5715">
      <w:pPr>
        <w:pStyle w:val="Sansinterligne"/>
        <w:numPr>
          <w:ilvl w:val="0"/>
          <w:numId w:val="1582"/>
        </w:numPr>
        <w:rPr>
          <w:highlight w:val="yellow"/>
        </w:rPr>
      </w:pPr>
      <w:r w:rsidRPr="00E9685E">
        <w:rPr>
          <w:highlight w:val="yellow"/>
        </w:rPr>
        <w:t>Ciprofloxacine 500 mg PO BID x 7 jour + Ceftriaxone 1g IV x 1 en externe</w:t>
      </w:r>
    </w:p>
    <w:p w:rsidR="00A07007" w:rsidRPr="00E9685E" w:rsidRDefault="00A07007" w:rsidP="006A5715">
      <w:pPr>
        <w:pStyle w:val="Sansinterligne"/>
        <w:numPr>
          <w:ilvl w:val="0"/>
          <w:numId w:val="1582"/>
        </w:numPr>
        <w:rPr>
          <w:highlight w:val="yellow"/>
        </w:rPr>
      </w:pPr>
      <w:r w:rsidRPr="00E9685E">
        <w:rPr>
          <w:highlight w:val="yellow"/>
        </w:rPr>
        <w:t>Hospitaliser</w:t>
      </w:r>
    </w:p>
    <w:p w:rsidR="00E9685E" w:rsidRPr="00E9685E" w:rsidRDefault="00E9685E" w:rsidP="006A5715">
      <w:pPr>
        <w:pStyle w:val="Sansinterligne"/>
        <w:numPr>
          <w:ilvl w:val="1"/>
          <w:numId w:val="1582"/>
        </w:numPr>
        <w:rPr>
          <w:highlight w:val="yellow"/>
        </w:rPr>
      </w:pPr>
      <w:r w:rsidRPr="00E9685E">
        <w:rPr>
          <w:highlight w:val="yellow"/>
        </w:rPr>
        <w:t>Soluté IV</w:t>
      </w:r>
    </w:p>
    <w:p w:rsidR="00E9685E" w:rsidRPr="00E9685E" w:rsidRDefault="00A07007" w:rsidP="006A5715">
      <w:pPr>
        <w:pStyle w:val="Sansinterligne"/>
        <w:numPr>
          <w:ilvl w:val="1"/>
          <w:numId w:val="1582"/>
        </w:numPr>
        <w:rPr>
          <w:highlight w:val="yellow"/>
        </w:rPr>
      </w:pPr>
      <w:r w:rsidRPr="00E9685E">
        <w:rPr>
          <w:highlight w:val="yellow"/>
        </w:rPr>
        <w:t xml:space="preserve">Ciprofloxacine 400 mg IV </w:t>
      </w:r>
      <w:r w:rsidR="00E9685E" w:rsidRPr="00E9685E">
        <w:rPr>
          <w:highlight w:val="yellow"/>
        </w:rPr>
        <w:t>q 12h</w:t>
      </w:r>
      <w:r w:rsidRPr="00E9685E">
        <w:rPr>
          <w:highlight w:val="yellow"/>
        </w:rPr>
        <w:t xml:space="preserve"> x </w:t>
      </w:r>
      <w:r w:rsidR="00E9685E" w:rsidRPr="00E9685E">
        <w:rPr>
          <w:highlight w:val="yellow"/>
        </w:rPr>
        <w:t>7</w:t>
      </w:r>
      <w:r w:rsidRPr="00E9685E">
        <w:rPr>
          <w:highlight w:val="yellow"/>
        </w:rPr>
        <w:t xml:space="preserve"> jours</w:t>
      </w:r>
      <w:r w:rsidR="00E9685E" w:rsidRPr="00E9685E">
        <w:rPr>
          <w:highlight w:val="yellow"/>
        </w:rPr>
        <w:t xml:space="preserve"> </w:t>
      </w:r>
    </w:p>
    <w:p w:rsidR="00A07007" w:rsidRPr="00E9685E" w:rsidRDefault="00E9685E" w:rsidP="006A5715">
      <w:pPr>
        <w:pStyle w:val="Sansinterligne"/>
        <w:numPr>
          <w:ilvl w:val="2"/>
          <w:numId w:val="1582"/>
        </w:numPr>
        <w:rPr>
          <w:highlight w:val="yellow"/>
        </w:rPr>
      </w:pPr>
      <w:r w:rsidRPr="00E9685E">
        <w:rPr>
          <w:highlight w:val="yellow"/>
        </w:rPr>
        <w:t>Suffisant si PNA légère-modérée</w:t>
      </w:r>
    </w:p>
    <w:p w:rsidR="00E9685E" w:rsidRPr="00E9685E" w:rsidRDefault="00E9685E" w:rsidP="006A5715">
      <w:pPr>
        <w:pStyle w:val="Sansinterligne"/>
        <w:numPr>
          <w:ilvl w:val="1"/>
          <w:numId w:val="1582"/>
        </w:numPr>
        <w:rPr>
          <w:highlight w:val="yellow"/>
        </w:rPr>
      </w:pPr>
      <w:r w:rsidRPr="00E9685E">
        <w:rPr>
          <w:highlight w:val="yellow"/>
        </w:rPr>
        <w:t>Ceftriaxone 1g IV q 24h x 7 jours</w:t>
      </w:r>
    </w:p>
    <w:p w:rsidR="00E9685E" w:rsidRPr="00E9685E" w:rsidRDefault="00E9685E" w:rsidP="006A5715">
      <w:pPr>
        <w:pStyle w:val="Sansinterligne"/>
        <w:numPr>
          <w:ilvl w:val="1"/>
          <w:numId w:val="1582"/>
        </w:numPr>
        <w:rPr>
          <w:highlight w:val="yellow"/>
          <w:lang w:val="en-CA"/>
        </w:rPr>
      </w:pPr>
      <w:r w:rsidRPr="00E9685E">
        <w:rPr>
          <w:highlight w:val="yellow"/>
          <w:lang w:val="en-CA"/>
        </w:rPr>
        <w:t>Meropenem 500 mg IV TID x 7 jours</w:t>
      </w:r>
    </w:p>
    <w:p w:rsidR="00A07007" w:rsidRPr="00E9685E" w:rsidRDefault="00E9685E" w:rsidP="006A5715">
      <w:pPr>
        <w:pStyle w:val="Sansinterligne"/>
        <w:numPr>
          <w:ilvl w:val="2"/>
          <w:numId w:val="1582"/>
        </w:numPr>
        <w:rPr>
          <w:highlight w:val="yellow"/>
        </w:rPr>
      </w:pPr>
      <w:r w:rsidRPr="00E9685E">
        <w:rPr>
          <w:highlight w:val="yellow"/>
        </w:rPr>
        <w:t>Puis compléter avec  7 jours d’ATB PO en externe si possible</w:t>
      </w:r>
    </w:p>
    <w:p w:rsidR="00E9685E" w:rsidRPr="00E9685E" w:rsidRDefault="00E9685E" w:rsidP="0044628B">
      <w:pPr>
        <w:pStyle w:val="Sansinterligne"/>
        <w:rPr>
          <w:highlight w:val="yellow"/>
        </w:rPr>
      </w:pPr>
    </w:p>
    <w:p w:rsidR="00C94978" w:rsidRPr="00E9685E" w:rsidRDefault="00C94978" w:rsidP="0044628B">
      <w:pPr>
        <w:pStyle w:val="Sansinterligne"/>
        <w:rPr>
          <w:b/>
          <w:highlight w:val="yellow"/>
        </w:rPr>
      </w:pPr>
      <w:r w:rsidRPr="00E9685E">
        <w:rPr>
          <w:b/>
          <w:highlight w:val="yellow"/>
        </w:rPr>
        <w:lastRenderedPageBreak/>
        <w:t>Cystite</w:t>
      </w:r>
    </w:p>
    <w:p w:rsidR="00C94978" w:rsidRPr="00E9685E" w:rsidRDefault="00A07007" w:rsidP="006A5715">
      <w:pPr>
        <w:pStyle w:val="Sansinterligne"/>
        <w:numPr>
          <w:ilvl w:val="0"/>
          <w:numId w:val="1584"/>
        </w:numPr>
        <w:rPr>
          <w:highlight w:val="yellow"/>
        </w:rPr>
      </w:pPr>
      <w:r w:rsidRPr="00E9685E">
        <w:rPr>
          <w:highlight w:val="yellow"/>
        </w:rPr>
        <w:t>Traitement en externe</w:t>
      </w:r>
    </w:p>
    <w:p w:rsidR="00A07007" w:rsidRPr="00E9685E" w:rsidRDefault="00A07007" w:rsidP="006A5715">
      <w:pPr>
        <w:pStyle w:val="Sansinterligne"/>
        <w:numPr>
          <w:ilvl w:val="1"/>
          <w:numId w:val="1584"/>
        </w:numPr>
        <w:rPr>
          <w:highlight w:val="yellow"/>
        </w:rPr>
      </w:pPr>
      <w:r w:rsidRPr="00E9685E">
        <w:rPr>
          <w:highlight w:val="yellow"/>
        </w:rPr>
        <w:t>TMP-SMX (Bactrim) 160mg/800 mg PO BID x 3 jours</w:t>
      </w:r>
    </w:p>
    <w:p w:rsidR="00A07007" w:rsidRPr="00E9685E" w:rsidRDefault="00A07007" w:rsidP="006A5715">
      <w:pPr>
        <w:pStyle w:val="Sansinterligne"/>
        <w:numPr>
          <w:ilvl w:val="1"/>
          <w:numId w:val="1584"/>
        </w:numPr>
        <w:rPr>
          <w:highlight w:val="yellow"/>
        </w:rPr>
      </w:pPr>
      <w:r w:rsidRPr="00E9685E">
        <w:rPr>
          <w:highlight w:val="yellow"/>
        </w:rPr>
        <w:t>OU Nitrofurantoin 100 mg PO BID x 5 jours</w:t>
      </w:r>
    </w:p>
    <w:p w:rsidR="00E9685E" w:rsidRPr="00E9685E" w:rsidRDefault="00E9685E" w:rsidP="006A5715">
      <w:pPr>
        <w:pStyle w:val="Sansinterligne"/>
        <w:numPr>
          <w:ilvl w:val="1"/>
          <w:numId w:val="1584"/>
        </w:numPr>
        <w:rPr>
          <w:highlight w:val="yellow"/>
        </w:rPr>
      </w:pPr>
      <w:r w:rsidRPr="00E9685E">
        <w:rPr>
          <w:highlight w:val="yellow"/>
        </w:rPr>
        <w:t>OU Fosfomycine 3g (sachet dissout) PO x 1</w:t>
      </w:r>
    </w:p>
    <w:p w:rsidR="00A07007" w:rsidRPr="00E9685E" w:rsidRDefault="00A07007" w:rsidP="006A5715">
      <w:pPr>
        <w:pStyle w:val="Sansinterligne"/>
        <w:numPr>
          <w:ilvl w:val="1"/>
          <w:numId w:val="1584"/>
        </w:numPr>
        <w:rPr>
          <w:highlight w:val="yellow"/>
        </w:rPr>
      </w:pPr>
      <w:r w:rsidRPr="00E9685E">
        <w:rPr>
          <w:highlight w:val="yellow"/>
        </w:rPr>
        <w:t>OU Ciprofloxacine 250 mg PO BID x 3 jours</w:t>
      </w:r>
    </w:p>
    <w:p w:rsidR="00A07007" w:rsidRDefault="00A07007" w:rsidP="0044628B">
      <w:pPr>
        <w:pStyle w:val="Sansinterligne"/>
      </w:pPr>
    </w:p>
    <w:p w:rsidR="00C94978" w:rsidRPr="00E9685E" w:rsidRDefault="00C94978" w:rsidP="0044628B">
      <w:pPr>
        <w:pStyle w:val="Sansinterligne"/>
        <w:rPr>
          <w:b/>
        </w:rPr>
      </w:pPr>
      <w:r w:rsidRPr="00E9685E">
        <w:rPr>
          <w:b/>
        </w:rPr>
        <w:t>Colique néphrétique</w:t>
      </w:r>
    </w:p>
    <w:p w:rsidR="00C94978" w:rsidRDefault="00A07007" w:rsidP="006A5715">
      <w:pPr>
        <w:pStyle w:val="Sansinterligne"/>
        <w:numPr>
          <w:ilvl w:val="0"/>
          <w:numId w:val="1585"/>
        </w:numPr>
      </w:pPr>
      <w:r>
        <w:t xml:space="preserve">Analgésie avec AINS </w:t>
      </w:r>
      <w:r>
        <w:rPr>
          <w:rFonts w:cs="Times New Roman"/>
        </w:rPr>
        <w:t>±</w:t>
      </w:r>
      <w:r>
        <w:t xml:space="preserve"> opiacés</w:t>
      </w:r>
    </w:p>
    <w:p w:rsidR="00A07007" w:rsidRDefault="00A07007" w:rsidP="006A5715">
      <w:pPr>
        <w:pStyle w:val="Sansinterligne"/>
        <w:numPr>
          <w:ilvl w:val="0"/>
          <w:numId w:val="1585"/>
        </w:numPr>
      </w:pPr>
      <w:r>
        <w:t>Antinauséeu</w:t>
      </w:r>
      <w:r w:rsidR="00E9685E">
        <w:t>x (ex : dimenhydrinate, ondansétron)</w:t>
      </w:r>
      <w:r>
        <w:t xml:space="preserve"> </w:t>
      </w:r>
    </w:p>
    <w:p w:rsidR="00A07007" w:rsidRDefault="00A07007" w:rsidP="006A5715">
      <w:pPr>
        <w:pStyle w:val="Sansinterligne"/>
        <w:numPr>
          <w:ilvl w:val="0"/>
          <w:numId w:val="1585"/>
        </w:numPr>
      </w:pPr>
      <w:r>
        <w:t>Soluté IV</w:t>
      </w:r>
    </w:p>
    <w:p w:rsidR="00E9685E" w:rsidRDefault="00A07007" w:rsidP="006A5715">
      <w:pPr>
        <w:pStyle w:val="Sansinterligne"/>
        <w:numPr>
          <w:ilvl w:val="0"/>
          <w:numId w:val="1585"/>
        </w:numPr>
      </w:pPr>
      <w:r>
        <w:t>Hospitaliser</w:t>
      </w:r>
      <w:r w:rsidR="00E9685E">
        <w:t xml:space="preserve"> si :</w:t>
      </w:r>
    </w:p>
    <w:p w:rsidR="00A07007" w:rsidRDefault="00E9685E" w:rsidP="006A5715">
      <w:pPr>
        <w:pStyle w:val="Sansinterligne"/>
        <w:numPr>
          <w:ilvl w:val="1"/>
          <w:numId w:val="1585"/>
        </w:numPr>
      </w:pPr>
      <w:r>
        <w:t>F</w:t>
      </w:r>
      <w:r w:rsidR="00A07007">
        <w:t>ièvre ou suspicion de PNA surajoutée</w:t>
      </w:r>
    </w:p>
    <w:p w:rsidR="00A07007" w:rsidRDefault="00A07007" w:rsidP="006A5715">
      <w:pPr>
        <w:pStyle w:val="Sansinterligne"/>
        <w:numPr>
          <w:ilvl w:val="1"/>
          <w:numId w:val="1585"/>
        </w:numPr>
      </w:pPr>
      <w:r>
        <w:t>Rein unique</w:t>
      </w:r>
    </w:p>
    <w:p w:rsidR="00A07007" w:rsidRDefault="00A07007" w:rsidP="006A5715">
      <w:pPr>
        <w:pStyle w:val="Sansinterligne"/>
        <w:numPr>
          <w:ilvl w:val="1"/>
          <w:numId w:val="1585"/>
        </w:numPr>
      </w:pPr>
      <w:r>
        <w:t>Urolithiases obstructives bilatérales</w:t>
      </w:r>
    </w:p>
    <w:p w:rsidR="00A07007" w:rsidRDefault="00A07007" w:rsidP="006A5715">
      <w:pPr>
        <w:pStyle w:val="Sansinterligne"/>
        <w:numPr>
          <w:ilvl w:val="1"/>
          <w:numId w:val="1585"/>
        </w:numPr>
      </w:pPr>
      <w:r>
        <w:t>Douleur ou vomissements incoercibles</w:t>
      </w:r>
    </w:p>
    <w:p w:rsidR="00A07007" w:rsidRDefault="00A07007" w:rsidP="006A5715">
      <w:pPr>
        <w:pStyle w:val="Sansinterligne"/>
        <w:numPr>
          <w:ilvl w:val="1"/>
          <w:numId w:val="1585"/>
        </w:numPr>
      </w:pPr>
      <w:r>
        <w:t>Compromis rénal</w:t>
      </w:r>
    </w:p>
    <w:p w:rsidR="00E9685E" w:rsidRDefault="00E9685E" w:rsidP="002E2FB2">
      <w:pPr>
        <w:pStyle w:val="Sansinterligne"/>
        <w:sectPr w:rsidR="00E9685E" w:rsidSect="00E9685E">
          <w:type w:val="continuous"/>
          <w:pgSz w:w="12240" w:h="15840"/>
          <w:pgMar w:top="720" w:right="720" w:bottom="720" w:left="720" w:header="708" w:footer="708" w:gutter="0"/>
          <w:cols w:num="2" w:space="708"/>
          <w:titlePg/>
          <w:docGrid w:linePitch="360"/>
        </w:sectPr>
      </w:pPr>
    </w:p>
    <w:p w:rsidR="00F84B6F" w:rsidRDefault="00F84B6F" w:rsidP="00F84B6F">
      <w:pPr>
        <w:spacing w:after="0"/>
        <w:rPr>
          <w:rFonts w:cs="Times New Roman"/>
          <w:b/>
          <w:color w:val="548DD4" w:themeColor="text2" w:themeTint="99"/>
        </w:rPr>
      </w:pPr>
      <w:r>
        <w:rPr>
          <w:rFonts w:cs="Times New Roman"/>
          <w:b/>
          <w:color w:val="548DD4" w:themeColor="text2" w:themeTint="99"/>
        </w:rPr>
        <w:lastRenderedPageBreak/>
        <w:t>CMC 3-3</w:t>
      </w:r>
    </w:p>
    <w:p w:rsidR="00F84B6F" w:rsidRPr="00F84B6F" w:rsidRDefault="00F84B6F" w:rsidP="00F84B6F">
      <w:pPr>
        <w:pStyle w:val="Titre3"/>
        <w:spacing w:before="0"/>
        <w:rPr>
          <w:rFonts w:ascii="Times New Roman" w:hAnsi="Times New Roman" w:cs="Times New Roman"/>
        </w:rPr>
      </w:pPr>
      <w:bookmarkStart w:id="11" w:name="_Toc480797266"/>
      <w:r w:rsidRPr="00F84B6F">
        <w:rPr>
          <w:rFonts w:ascii="Times New Roman" w:hAnsi="Times New Roman" w:cs="Times New Roman"/>
        </w:rPr>
        <w:t>Douleur abdominale chronique</w:t>
      </w:r>
      <w:bookmarkEnd w:id="11"/>
    </w:p>
    <w:p w:rsidR="00F84B6F" w:rsidRDefault="00F84B6F" w:rsidP="00F84B6F">
      <w:pPr>
        <w:spacing w:after="0"/>
        <w:rPr>
          <w:rFonts w:cs="Times New Roman"/>
          <w:b/>
          <w:color w:val="548DD4" w:themeColor="text2" w:themeTint="99"/>
        </w:rPr>
      </w:pPr>
      <w:r>
        <w:rPr>
          <w:rFonts w:cs="Times New Roman"/>
          <w:b/>
          <w:noProof/>
          <w:color w:val="548DD4" w:themeColor="text2" w:themeTint="99"/>
          <w:lang w:eastAsia="fr-CA"/>
        </w:rPr>
        <mc:AlternateContent>
          <mc:Choice Requires="wps">
            <w:drawing>
              <wp:anchor distT="0" distB="0" distL="114300" distR="114300" simplePos="0" relativeHeight="252251136" behindDoc="0" locked="0" layoutInCell="1" allowOverlap="1" wp14:anchorId="57DE7654" wp14:editId="0C6E5B3F">
                <wp:simplePos x="0" y="0"/>
                <wp:positionH relativeFrom="column">
                  <wp:posOffset>-58366</wp:posOffset>
                </wp:positionH>
                <wp:positionV relativeFrom="paragraph">
                  <wp:posOffset>133863</wp:posOffset>
                </wp:positionV>
                <wp:extent cx="6877455" cy="2383277"/>
                <wp:effectExtent l="0" t="0" r="19050" b="17145"/>
                <wp:wrapNone/>
                <wp:docPr id="696" name="Rectangle 696"/>
                <wp:cNvGraphicFramePr/>
                <a:graphic xmlns:a="http://schemas.openxmlformats.org/drawingml/2006/main">
                  <a:graphicData uri="http://schemas.microsoft.com/office/word/2010/wordprocessingShape">
                    <wps:wsp>
                      <wps:cNvSpPr/>
                      <wps:spPr>
                        <a:xfrm>
                          <a:off x="0" y="0"/>
                          <a:ext cx="6877455" cy="2383277"/>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696" o:spid="_x0000_s1026" style="position:absolute;margin-left:-4.6pt;margin-top:10.55pt;width:541.55pt;height:187.65pt;z-index:2522511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" filled="f" strokecolor="black [1600]" strokeweight="2pt"/>
            </w:pict>
          </mc:Fallback>
        </mc:AlternateContent>
      </w:r>
    </w:p>
    <w:tbl>
      <w:tblPr>
        <w:tblW w:w="3858" w:type="pct"/>
        <w:tblCellSpacing w:w="0" w:type="dxa"/>
        <w:tblCellMar>
          <w:left w:w="0" w:type="dxa"/>
          <w:right w:w="0" w:type="dxa"/>
        </w:tblCellMar>
        <w:tblLook w:val="04A0" w:firstRow="1" w:lastRow="0" w:firstColumn="1" w:lastColumn="0" w:noHBand="0" w:noVBand="1"/>
      </w:tblPr>
      <w:tblGrid>
        <w:gridCol w:w="8333"/>
      </w:tblGrid>
      <w:tr w:rsidR="00F84B6F" w:rsidRPr="00F84B6F" w:rsidTr="00F84B6F">
        <w:trPr>
          <w:tblCellSpacing w:w="0" w:type="dxa"/>
        </w:trPr>
        <w:tc>
          <w:tcPr>
            <w:tcW w:w="0" w:type="auto"/>
            <w:vAlign w:val="bottom"/>
            <w:hideMark/>
          </w:tcPr>
          <w:p w:rsidR="00F84B6F" w:rsidRPr="00F84B6F" w:rsidRDefault="00F84B6F" w:rsidP="00F84B6F">
            <w:pPr>
              <w:pStyle w:val="Sansinterligne"/>
              <w:rPr>
                <w:rFonts w:cs="Times New Roman"/>
                <w:b/>
                <w:sz w:val="18"/>
                <w:szCs w:val="18"/>
              </w:rPr>
            </w:pPr>
            <w:r w:rsidRPr="00F84B6F">
              <w:rPr>
                <w:rFonts w:cs="Times New Roman"/>
                <w:b/>
                <w:sz w:val="18"/>
                <w:szCs w:val="18"/>
              </w:rPr>
              <w:t>Objectifs principaux</w:t>
            </w:r>
          </w:p>
        </w:tc>
      </w:tr>
    </w:tbl>
    <w:p w:rsidR="00F84B6F" w:rsidRPr="00F84B6F" w:rsidRDefault="00F84B6F" w:rsidP="00F84B6F">
      <w:pPr>
        <w:pStyle w:val="NormalWeb"/>
        <w:ind w:left="360"/>
        <w:rPr>
          <w:color w:val="000000"/>
          <w:sz w:val="18"/>
          <w:szCs w:val="18"/>
          <w:shd w:val="clear" w:color="auto" w:fill="FFFFFF"/>
        </w:rPr>
      </w:pPr>
      <w:r w:rsidRPr="00F84B6F">
        <w:rPr>
          <w:color w:val="000000"/>
          <w:sz w:val="18"/>
          <w:szCs w:val="18"/>
          <w:shd w:val="clear" w:color="auto" w:fill="FFFFFF"/>
        </w:rPr>
        <w:t>Dans le cas d'un patient présentant une douleur abdominale chronique, le candidat devra diagnostiquer la cause, la gravité et les complications, et établir un plan de prise en charge approprié.</w:t>
      </w:r>
    </w:p>
    <w:tbl>
      <w:tblPr>
        <w:tblW w:w="3897" w:type="pct"/>
        <w:tblCellSpacing w:w="0" w:type="dxa"/>
        <w:tblCellMar>
          <w:left w:w="0" w:type="dxa"/>
          <w:right w:w="0" w:type="dxa"/>
        </w:tblCellMar>
        <w:tblLook w:val="04A0" w:firstRow="1" w:lastRow="0" w:firstColumn="1" w:lastColumn="0" w:noHBand="0" w:noVBand="1"/>
      </w:tblPr>
      <w:tblGrid>
        <w:gridCol w:w="8418"/>
      </w:tblGrid>
      <w:tr w:rsidR="00F84B6F" w:rsidRPr="00F84B6F" w:rsidTr="00F84B6F">
        <w:trPr>
          <w:tblCellSpacing w:w="0" w:type="dxa"/>
        </w:trPr>
        <w:tc>
          <w:tcPr>
            <w:tcW w:w="0" w:type="auto"/>
            <w:vAlign w:val="bottom"/>
            <w:hideMark/>
          </w:tcPr>
          <w:p w:rsidR="00F84B6F" w:rsidRPr="00F84B6F" w:rsidRDefault="00F84B6F" w:rsidP="00F84B6F">
            <w:pPr>
              <w:pStyle w:val="Sansinterligne"/>
              <w:rPr>
                <w:rFonts w:cs="Times New Roman"/>
                <w:b/>
                <w:sz w:val="16"/>
                <w:szCs w:val="16"/>
              </w:rPr>
            </w:pPr>
            <w:r w:rsidRPr="00F84B6F">
              <w:rPr>
                <w:rFonts w:cs="Times New Roman"/>
                <w:b/>
                <w:sz w:val="16"/>
                <w:szCs w:val="16"/>
              </w:rPr>
              <w:t>Objectifs spécifiques</w:t>
            </w:r>
          </w:p>
        </w:tc>
      </w:tr>
    </w:tbl>
    <w:p w:rsidR="00F84B6F" w:rsidRPr="00F84B6F" w:rsidRDefault="00F84B6F" w:rsidP="00F84B6F">
      <w:pPr>
        <w:pStyle w:val="NormalWeb"/>
        <w:shd w:val="clear" w:color="auto" w:fill="FFFFFF"/>
        <w:ind w:left="360"/>
        <w:rPr>
          <w:color w:val="000000"/>
          <w:sz w:val="16"/>
          <w:szCs w:val="16"/>
          <w:shd w:val="clear" w:color="auto" w:fill="FFFFFF"/>
        </w:rPr>
      </w:pPr>
      <w:r w:rsidRPr="00F84B6F">
        <w:rPr>
          <w:color w:val="000000"/>
          <w:sz w:val="16"/>
          <w:szCs w:val="16"/>
          <w:shd w:val="clear" w:color="auto" w:fill="FFFFFF"/>
        </w:rPr>
        <w:t>Dans le cas d'un patient présentant une douleur abdominale chronique, le candidat devra</w:t>
      </w:r>
    </w:p>
    <w:p w:rsidR="00F84B6F" w:rsidRPr="00F84B6F" w:rsidRDefault="00F84B6F" w:rsidP="006A5715">
      <w:pPr>
        <w:numPr>
          <w:ilvl w:val="0"/>
          <w:numId w:val="1541"/>
        </w:numPr>
        <w:shd w:val="clear" w:color="auto" w:fill="FFFFFF"/>
        <w:spacing w:before="100" w:beforeAutospacing="1" w:after="100" w:afterAutospacing="1" w:line="240" w:lineRule="auto"/>
        <w:rPr>
          <w:rFonts w:cs="Times New Roman"/>
          <w:color w:val="000000"/>
          <w:sz w:val="16"/>
          <w:szCs w:val="16"/>
          <w:shd w:val="clear" w:color="auto" w:fill="FFFFFF"/>
        </w:rPr>
      </w:pPr>
      <w:r w:rsidRPr="00F84B6F">
        <w:rPr>
          <w:rFonts w:cs="Times New Roman"/>
          <w:color w:val="000000"/>
          <w:sz w:val="16"/>
          <w:szCs w:val="16"/>
          <w:shd w:val="clear" w:color="auto" w:fill="FFFFFF"/>
        </w:rPr>
        <w:t>énumérer et interpréter les constatations cliniques cruciales, notamment:</w:t>
      </w:r>
    </w:p>
    <w:p w:rsidR="00F84B6F" w:rsidRPr="00F84B6F" w:rsidRDefault="00F84B6F" w:rsidP="006A5715">
      <w:pPr>
        <w:numPr>
          <w:ilvl w:val="1"/>
          <w:numId w:val="1541"/>
        </w:numPr>
        <w:shd w:val="clear" w:color="auto" w:fill="FFFFFF"/>
        <w:spacing w:before="100" w:beforeAutospacing="1" w:after="100" w:afterAutospacing="1" w:line="240" w:lineRule="auto"/>
        <w:rPr>
          <w:rFonts w:cs="Times New Roman"/>
          <w:color w:val="000000"/>
          <w:sz w:val="16"/>
          <w:szCs w:val="16"/>
          <w:shd w:val="clear" w:color="auto" w:fill="FFFFFF"/>
        </w:rPr>
      </w:pPr>
      <w:r w:rsidRPr="00F84B6F">
        <w:rPr>
          <w:rFonts w:cs="Times New Roman"/>
          <w:color w:val="000000"/>
          <w:sz w:val="16"/>
          <w:szCs w:val="16"/>
          <w:shd w:val="clear" w:color="auto" w:fill="FFFFFF"/>
        </w:rPr>
        <w:t>les éléments fournis par une anamnèse détaillée et un examen physique approprié</w:t>
      </w:r>
    </w:p>
    <w:p w:rsidR="00F84B6F" w:rsidRPr="00F84B6F" w:rsidRDefault="00F84B6F" w:rsidP="006A5715">
      <w:pPr>
        <w:numPr>
          <w:ilvl w:val="0"/>
          <w:numId w:val="1541"/>
        </w:numPr>
        <w:shd w:val="clear" w:color="auto" w:fill="FFFFFF"/>
        <w:spacing w:before="100" w:beforeAutospacing="1" w:after="100" w:afterAutospacing="1" w:line="240" w:lineRule="auto"/>
        <w:rPr>
          <w:rFonts w:cs="Times New Roman"/>
          <w:color w:val="000000"/>
          <w:sz w:val="16"/>
          <w:szCs w:val="16"/>
          <w:shd w:val="clear" w:color="auto" w:fill="FFFFFF"/>
        </w:rPr>
      </w:pPr>
      <w:r w:rsidRPr="00F84B6F">
        <w:rPr>
          <w:rFonts w:cs="Times New Roman"/>
          <w:color w:val="000000"/>
          <w:sz w:val="16"/>
          <w:szCs w:val="16"/>
          <w:shd w:val="clear" w:color="auto" w:fill="FFFFFF"/>
        </w:rPr>
        <w:t>énumérer et interpréter les examens essentiels, notamment:</w:t>
      </w:r>
    </w:p>
    <w:p w:rsidR="00F84B6F" w:rsidRPr="00F84B6F" w:rsidRDefault="00F84B6F" w:rsidP="006A5715">
      <w:pPr>
        <w:numPr>
          <w:ilvl w:val="1"/>
          <w:numId w:val="1541"/>
        </w:numPr>
        <w:shd w:val="clear" w:color="auto" w:fill="FFFFFF"/>
        <w:spacing w:before="100" w:beforeAutospacing="1" w:after="100" w:afterAutospacing="1" w:line="240" w:lineRule="auto"/>
        <w:rPr>
          <w:rFonts w:cs="Times New Roman"/>
          <w:color w:val="000000"/>
          <w:sz w:val="16"/>
          <w:szCs w:val="16"/>
          <w:shd w:val="clear" w:color="auto" w:fill="FFFFFF"/>
        </w:rPr>
      </w:pPr>
      <w:r w:rsidRPr="00F84B6F">
        <w:rPr>
          <w:rFonts w:cs="Times New Roman"/>
          <w:color w:val="000000"/>
          <w:sz w:val="16"/>
          <w:szCs w:val="16"/>
          <w:shd w:val="clear" w:color="auto" w:fill="FFFFFF"/>
        </w:rPr>
        <w:t>les analyses de laboratoire, les examens d'imagerie diagnostique et l'évaluation endoscopique</w:t>
      </w:r>
    </w:p>
    <w:p w:rsidR="00F84B6F" w:rsidRPr="00F84B6F" w:rsidRDefault="00F84B6F" w:rsidP="006A5715">
      <w:pPr>
        <w:numPr>
          <w:ilvl w:val="0"/>
          <w:numId w:val="1541"/>
        </w:numPr>
        <w:shd w:val="clear" w:color="auto" w:fill="FFFFFF"/>
        <w:spacing w:before="100" w:beforeAutospacing="1" w:after="100" w:afterAutospacing="1" w:line="240" w:lineRule="auto"/>
        <w:rPr>
          <w:rFonts w:cs="Times New Roman"/>
          <w:color w:val="000000"/>
          <w:sz w:val="16"/>
          <w:szCs w:val="16"/>
          <w:shd w:val="clear" w:color="auto" w:fill="FFFFFF"/>
        </w:rPr>
      </w:pPr>
      <w:r w:rsidRPr="00F84B6F">
        <w:rPr>
          <w:rFonts w:cs="Times New Roman"/>
          <w:color w:val="000000"/>
          <w:sz w:val="16"/>
          <w:szCs w:val="16"/>
          <w:shd w:val="clear" w:color="auto" w:fill="FFFFFF"/>
        </w:rPr>
        <w:t>élaborer un plan efficace de prise en charge initiale, notamment:</w:t>
      </w:r>
    </w:p>
    <w:p w:rsidR="00F84B6F" w:rsidRPr="00F84B6F" w:rsidRDefault="00F84B6F" w:rsidP="006A5715">
      <w:pPr>
        <w:numPr>
          <w:ilvl w:val="1"/>
          <w:numId w:val="1541"/>
        </w:numPr>
        <w:shd w:val="clear" w:color="auto" w:fill="FFFFFF"/>
        <w:spacing w:before="100" w:beforeAutospacing="1" w:after="100" w:afterAutospacing="1" w:line="240" w:lineRule="auto"/>
        <w:rPr>
          <w:rFonts w:cs="Times New Roman"/>
          <w:color w:val="000000"/>
          <w:sz w:val="16"/>
          <w:szCs w:val="16"/>
          <w:shd w:val="clear" w:color="auto" w:fill="FFFFFF"/>
        </w:rPr>
      </w:pPr>
      <w:r w:rsidRPr="00F84B6F">
        <w:rPr>
          <w:rFonts w:cs="Times New Roman"/>
          <w:color w:val="000000"/>
          <w:sz w:val="16"/>
          <w:szCs w:val="16"/>
          <w:shd w:val="clear" w:color="auto" w:fill="FFFFFF"/>
        </w:rPr>
        <w:t>assurer la prise en charge médicale, chirurgicale et non pharmacologique d'une douleur abdominale chronique</w:t>
      </w:r>
    </w:p>
    <w:p w:rsidR="00F84B6F" w:rsidRPr="00F84B6F" w:rsidRDefault="00F84B6F" w:rsidP="006A5715">
      <w:pPr>
        <w:numPr>
          <w:ilvl w:val="1"/>
          <w:numId w:val="1541"/>
        </w:numPr>
        <w:shd w:val="clear" w:color="auto" w:fill="FFFFFF"/>
        <w:spacing w:before="100" w:beforeAutospacing="1" w:after="100" w:afterAutospacing="1" w:line="240" w:lineRule="auto"/>
        <w:rPr>
          <w:rFonts w:cs="Times New Roman"/>
          <w:color w:val="000000"/>
          <w:sz w:val="16"/>
          <w:szCs w:val="16"/>
          <w:shd w:val="clear" w:color="auto" w:fill="FFFFFF"/>
        </w:rPr>
      </w:pPr>
      <w:r w:rsidRPr="00F84B6F">
        <w:rPr>
          <w:rFonts w:cs="Times New Roman"/>
          <w:color w:val="000000"/>
          <w:sz w:val="16"/>
          <w:szCs w:val="16"/>
          <w:shd w:val="clear" w:color="auto" w:fill="FFFFFF"/>
        </w:rPr>
        <w:t>reconnaître les situations où le patient a besoin d'un suivi à long terme en raison des risques de complications futures (p. ex. œsophage de Barrett).</w:t>
      </w:r>
    </w:p>
    <w:p w:rsidR="00DF5B70" w:rsidRPr="009962B3" w:rsidRDefault="00DF5B70" w:rsidP="00F84B6F">
      <w:pPr>
        <w:pStyle w:val="Sansinterligne"/>
        <w:rPr>
          <w:b/>
          <w:sz w:val="28"/>
          <w:szCs w:val="28"/>
          <w:lang w:eastAsia="fr-CA"/>
        </w:rPr>
      </w:pPr>
      <w:r w:rsidRPr="009962B3">
        <w:rPr>
          <w:b/>
          <w:sz w:val="28"/>
          <w:szCs w:val="28"/>
          <w:lang w:eastAsia="fr-CA"/>
        </w:rPr>
        <w:t>Diagnostics (liste non-exhaustive)</w:t>
      </w:r>
    </w:p>
    <w:p w:rsidR="00DF5B70" w:rsidRDefault="00DF5B70" w:rsidP="00F84B6F">
      <w:pPr>
        <w:pStyle w:val="Sansinterligne"/>
        <w:rPr>
          <w:lang w:eastAsia="fr-CA"/>
        </w:rPr>
      </w:pPr>
    </w:p>
    <w:tbl>
      <w:tblPr>
        <w:tblStyle w:val="Grilledutableau"/>
        <w:tblW w:w="0" w:type="auto"/>
        <w:tblLook w:val="04A0" w:firstRow="1" w:lastRow="0" w:firstColumn="1" w:lastColumn="0" w:noHBand="0" w:noVBand="1"/>
      </w:tblPr>
      <w:tblGrid>
        <w:gridCol w:w="2943"/>
        <w:gridCol w:w="4350"/>
        <w:gridCol w:w="3647"/>
      </w:tblGrid>
      <w:tr w:rsidR="00DF5B70" w:rsidTr="00F83573">
        <w:tc>
          <w:tcPr>
            <w:tcW w:w="2943" w:type="dxa"/>
            <w:shd w:val="clear" w:color="auto" w:fill="4F81BD" w:themeFill="accent1"/>
            <w:vAlign w:val="center"/>
          </w:tcPr>
          <w:p w:rsidR="00DF5B70" w:rsidRPr="00910A4A" w:rsidRDefault="00DF5B70" w:rsidP="00DF5B70">
            <w:pPr>
              <w:pStyle w:val="Sansinterligne"/>
              <w:jc w:val="center"/>
              <w:rPr>
                <w:b/>
                <w:i/>
                <w:lang w:eastAsia="fr-CA"/>
              </w:rPr>
            </w:pPr>
            <w:r w:rsidRPr="00910A4A">
              <w:rPr>
                <w:b/>
                <w:i/>
                <w:lang w:eastAsia="fr-CA"/>
              </w:rPr>
              <w:t>Diagnostic</w:t>
            </w:r>
          </w:p>
        </w:tc>
        <w:tc>
          <w:tcPr>
            <w:tcW w:w="7997" w:type="dxa"/>
            <w:gridSpan w:val="2"/>
            <w:shd w:val="clear" w:color="auto" w:fill="4F81BD" w:themeFill="accent1"/>
            <w:vAlign w:val="center"/>
          </w:tcPr>
          <w:p w:rsidR="00DF5B70" w:rsidRPr="00910A4A" w:rsidRDefault="00DF5B70" w:rsidP="00DF5B70">
            <w:pPr>
              <w:pStyle w:val="Sansinterligne"/>
              <w:jc w:val="center"/>
              <w:rPr>
                <w:b/>
                <w:i/>
                <w:lang w:eastAsia="fr-CA"/>
              </w:rPr>
            </w:pPr>
            <w:r w:rsidRPr="00910A4A">
              <w:rPr>
                <w:b/>
                <w:i/>
                <w:lang w:eastAsia="fr-CA"/>
              </w:rPr>
              <w:t>Manifestations cliniques</w:t>
            </w:r>
          </w:p>
        </w:tc>
      </w:tr>
      <w:tr w:rsidR="00DF5B70" w:rsidTr="00F83573">
        <w:tc>
          <w:tcPr>
            <w:tcW w:w="2943" w:type="dxa"/>
            <w:shd w:val="clear" w:color="auto" w:fill="95B3D7" w:themeFill="accent1" w:themeFillTint="99"/>
            <w:vAlign w:val="center"/>
          </w:tcPr>
          <w:p w:rsidR="00DF5B70" w:rsidRDefault="00DF5B70" w:rsidP="00910A4A">
            <w:pPr>
              <w:pStyle w:val="Sansinterligne"/>
              <w:jc w:val="center"/>
              <w:rPr>
                <w:lang w:eastAsia="fr-CA"/>
              </w:rPr>
            </w:pPr>
            <w:r>
              <w:rPr>
                <w:lang w:eastAsia="fr-CA"/>
              </w:rPr>
              <w:t>Pneumonie</w:t>
            </w:r>
          </w:p>
        </w:tc>
        <w:tc>
          <w:tcPr>
            <w:tcW w:w="4350" w:type="dxa"/>
          </w:tcPr>
          <w:p w:rsidR="00DF5B70" w:rsidRDefault="00EE05BD" w:rsidP="006A5715">
            <w:pPr>
              <w:pStyle w:val="Sansinterligne"/>
              <w:numPr>
                <w:ilvl w:val="0"/>
                <w:numId w:val="1546"/>
              </w:numPr>
              <w:rPr>
                <w:lang w:eastAsia="fr-CA"/>
              </w:rPr>
            </w:pPr>
            <w:r>
              <w:rPr>
                <w:lang w:eastAsia="fr-CA"/>
              </w:rPr>
              <w:t xml:space="preserve">Toux </w:t>
            </w:r>
          </w:p>
          <w:p w:rsidR="00EE05BD" w:rsidRDefault="00EE05BD" w:rsidP="006A5715">
            <w:pPr>
              <w:pStyle w:val="Sansinterligne"/>
              <w:numPr>
                <w:ilvl w:val="0"/>
                <w:numId w:val="1546"/>
              </w:numPr>
              <w:rPr>
                <w:lang w:eastAsia="fr-CA"/>
              </w:rPr>
            </w:pPr>
            <w:r>
              <w:rPr>
                <w:lang w:eastAsia="fr-CA"/>
              </w:rPr>
              <w:t>Expectorations colorées</w:t>
            </w:r>
          </w:p>
          <w:p w:rsidR="00EE05BD" w:rsidRDefault="00EE05BD" w:rsidP="006A5715">
            <w:pPr>
              <w:pStyle w:val="Sansinterligne"/>
              <w:numPr>
                <w:ilvl w:val="0"/>
                <w:numId w:val="1546"/>
              </w:numPr>
              <w:rPr>
                <w:lang w:eastAsia="fr-CA"/>
              </w:rPr>
            </w:pPr>
            <w:r>
              <w:rPr>
                <w:lang w:eastAsia="fr-CA"/>
              </w:rPr>
              <w:t>Dyspnée x jours</w:t>
            </w:r>
          </w:p>
        </w:tc>
        <w:tc>
          <w:tcPr>
            <w:tcW w:w="3647" w:type="dxa"/>
          </w:tcPr>
          <w:p w:rsidR="00DF5B70" w:rsidRDefault="00EE05BD" w:rsidP="006A5715">
            <w:pPr>
              <w:pStyle w:val="Sansinterligne"/>
              <w:numPr>
                <w:ilvl w:val="0"/>
                <w:numId w:val="1546"/>
              </w:numPr>
              <w:rPr>
                <w:lang w:eastAsia="fr-CA"/>
              </w:rPr>
            </w:pPr>
            <w:r>
              <w:rPr>
                <w:lang w:eastAsia="fr-CA"/>
              </w:rPr>
              <w:t>Fièvre</w:t>
            </w:r>
          </w:p>
          <w:p w:rsidR="00EE05BD" w:rsidRDefault="00EE05BD" w:rsidP="006A5715">
            <w:pPr>
              <w:pStyle w:val="Sansinterligne"/>
              <w:numPr>
                <w:ilvl w:val="0"/>
                <w:numId w:val="1546"/>
              </w:numPr>
              <w:rPr>
                <w:lang w:eastAsia="fr-CA"/>
              </w:rPr>
            </w:pPr>
            <w:r>
              <w:rPr>
                <w:lang w:eastAsia="fr-CA"/>
              </w:rPr>
              <w:t>Douleur (si atteinte de la plèvre)</w:t>
            </w:r>
          </w:p>
          <w:p w:rsidR="00EE05BD" w:rsidRDefault="00EE05BD" w:rsidP="006A5715">
            <w:pPr>
              <w:pStyle w:val="Sansinterligne"/>
              <w:numPr>
                <w:ilvl w:val="0"/>
                <w:numId w:val="1546"/>
              </w:numPr>
              <w:rPr>
                <w:lang w:eastAsia="fr-CA"/>
              </w:rPr>
            </w:pPr>
            <w:r>
              <w:rPr>
                <w:lang w:eastAsia="fr-CA"/>
              </w:rPr>
              <w:t>Crépitants aux plages pulmonaires</w:t>
            </w:r>
          </w:p>
        </w:tc>
      </w:tr>
      <w:tr w:rsidR="00DF5B70" w:rsidTr="00F83573">
        <w:tc>
          <w:tcPr>
            <w:tcW w:w="2943" w:type="dxa"/>
            <w:shd w:val="clear" w:color="auto" w:fill="95B3D7" w:themeFill="accent1" w:themeFillTint="99"/>
            <w:vAlign w:val="center"/>
          </w:tcPr>
          <w:p w:rsidR="00DF5B70" w:rsidRDefault="00DF5B70" w:rsidP="00910A4A">
            <w:pPr>
              <w:pStyle w:val="Sansinterligne"/>
              <w:jc w:val="center"/>
              <w:rPr>
                <w:lang w:eastAsia="fr-CA"/>
              </w:rPr>
            </w:pPr>
            <w:r>
              <w:rPr>
                <w:lang w:eastAsia="fr-CA"/>
              </w:rPr>
              <w:t>Ulcère peptique</w:t>
            </w:r>
          </w:p>
        </w:tc>
        <w:tc>
          <w:tcPr>
            <w:tcW w:w="4350" w:type="dxa"/>
            <w:shd w:val="clear" w:color="auto" w:fill="FFFF00"/>
          </w:tcPr>
          <w:p w:rsidR="00DF5B70" w:rsidRPr="00AA47C2" w:rsidRDefault="00EE05BD" w:rsidP="006A5715">
            <w:pPr>
              <w:pStyle w:val="Sansinterligne"/>
              <w:numPr>
                <w:ilvl w:val="0"/>
                <w:numId w:val="1546"/>
              </w:numPr>
              <w:rPr>
                <w:b/>
                <w:lang w:eastAsia="fr-CA"/>
              </w:rPr>
            </w:pPr>
            <w:r w:rsidRPr="00AA47C2">
              <w:rPr>
                <w:b/>
                <w:lang w:eastAsia="fr-CA"/>
              </w:rPr>
              <w:t>Douleur épigastrique, type brûlure</w:t>
            </w:r>
          </w:p>
          <w:p w:rsidR="00EE05BD" w:rsidRPr="00AA47C2" w:rsidRDefault="00EE05BD" w:rsidP="006A5715">
            <w:pPr>
              <w:pStyle w:val="Sansinterligne"/>
              <w:numPr>
                <w:ilvl w:val="0"/>
                <w:numId w:val="1546"/>
              </w:numPr>
              <w:rPr>
                <w:b/>
                <w:lang w:eastAsia="fr-CA"/>
              </w:rPr>
            </w:pPr>
            <w:r w:rsidRPr="00AA47C2">
              <w:rPr>
                <w:b/>
                <w:lang w:eastAsia="fr-CA"/>
              </w:rPr>
              <w:t xml:space="preserve">Exacerbée par le jeune, </w:t>
            </w:r>
            <w:r w:rsidRPr="00AA47C2">
              <w:rPr>
                <w:rFonts w:cs="Times New Roman"/>
                <w:b/>
                <w:lang w:eastAsia="fr-CA"/>
              </w:rPr>
              <w:t>↓</w:t>
            </w:r>
            <w:r w:rsidRPr="00AA47C2">
              <w:rPr>
                <w:b/>
                <w:lang w:eastAsia="fr-CA"/>
              </w:rPr>
              <w:t xml:space="preserve"> alimentation</w:t>
            </w:r>
          </w:p>
          <w:p w:rsidR="00EE05BD" w:rsidRDefault="00EE05BD" w:rsidP="006A5715">
            <w:pPr>
              <w:pStyle w:val="Sansinterligne"/>
              <w:numPr>
                <w:ilvl w:val="0"/>
                <w:numId w:val="1546"/>
              </w:numPr>
              <w:rPr>
                <w:lang w:eastAsia="fr-CA"/>
              </w:rPr>
            </w:pPr>
            <w:r w:rsidRPr="00AA47C2">
              <w:rPr>
                <w:b/>
                <w:lang w:eastAsia="fr-CA"/>
              </w:rPr>
              <w:t>Hx prise ROH, AINS</w:t>
            </w:r>
            <w:r>
              <w:rPr>
                <w:lang w:eastAsia="fr-CA"/>
              </w:rPr>
              <w:t>, épices …</w:t>
            </w:r>
          </w:p>
        </w:tc>
        <w:tc>
          <w:tcPr>
            <w:tcW w:w="3647" w:type="dxa"/>
            <w:shd w:val="clear" w:color="auto" w:fill="FFFF00"/>
          </w:tcPr>
          <w:p w:rsidR="00DF5B70" w:rsidRDefault="00EE05BD" w:rsidP="006A5715">
            <w:pPr>
              <w:pStyle w:val="Sansinterligne"/>
              <w:numPr>
                <w:ilvl w:val="0"/>
                <w:numId w:val="1546"/>
              </w:numPr>
              <w:rPr>
                <w:lang w:eastAsia="fr-CA"/>
              </w:rPr>
            </w:pPr>
            <w:r>
              <w:rPr>
                <w:lang w:eastAsia="fr-CA"/>
              </w:rPr>
              <w:t>No/Vo</w:t>
            </w:r>
          </w:p>
          <w:p w:rsidR="00EE05BD" w:rsidRDefault="00EE05BD" w:rsidP="006A5715">
            <w:pPr>
              <w:pStyle w:val="Sansinterligne"/>
              <w:numPr>
                <w:ilvl w:val="0"/>
                <w:numId w:val="1546"/>
              </w:numPr>
              <w:rPr>
                <w:lang w:eastAsia="fr-CA"/>
              </w:rPr>
            </w:pPr>
            <w:r>
              <w:rPr>
                <w:lang w:eastAsia="fr-CA"/>
              </w:rPr>
              <w:t>Sensibilité à la palpation de l’épigastre</w:t>
            </w:r>
          </w:p>
        </w:tc>
      </w:tr>
      <w:tr w:rsidR="00DF5B70" w:rsidTr="00F83573">
        <w:tc>
          <w:tcPr>
            <w:tcW w:w="2943" w:type="dxa"/>
            <w:shd w:val="clear" w:color="auto" w:fill="95B3D7" w:themeFill="accent1" w:themeFillTint="99"/>
            <w:vAlign w:val="center"/>
          </w:tcPr>
          <w:p w:rsidR="00DF5B70" w:rsidRDefault="00DF5B70" w:rsidP="00910A4A">
            <w:pPr>
              <w:pStyle w:val="Sansinterligne"/>
              <w:jc w:val="center"/>
              <w:rPr>
                <w:lang w:eastAsia="fr-CA"/>
              </w:rPr>
            </w:pPr>
            <w:r>
              <w:rPr>
                <w:lang w:eastAsia="fr-CA"/>
              </w:rPr>
              <w:t>Néoplasie de l’estomac</w:t>
            </w:r>
          </w:p>
        </w:tc>
        <w:tc>
          <w:tcPr>
            <w:tcW w:w="7997" w:type="dxa"/>
            <w:gridSpan w:val="2"/>
          </w:tcPr>
          <w:p w:rsidR="00DF5B70" w:rsidRDefault="00DF5B70" w:rsidP="00F84B6F">
            <w:pPr>
              <w:pStyle w:val="Sansinterligne"/>
              <w:rPr>
                <w:lang w:eastAsia="fr-CA"/>
              </w:rPr>
            </w:pPr>
            <w:r>
              <w:rPr>
                <w:lang w:eastAsia="fr-CA"/>
              </w:rPr>
              <w:t xml:space="preserve">Voir </w:t>
            </w:r>
            <w:r w:rsidRPr="00DF5B70">
              <w:rPr>
                <w:i/>
                <w:lang w:eastAsia="fr-CA"/>
              </w:rPr>
              <w:t>Masse abdominale ou pelvienne CMC 2</w:t>
            </w:r>
          </w:p>
        </w:tc>
      </w:tr>
      <w:tr w:rsidR="00134C5B" w:rsidTr="004C23D8">
        <w:tc>
          <w:tcPr>
            <w:tcW w:w="2943" w:type="dxa"/>
            <w:shd w:val="clear" w:color="auto" w:fill="95B3D7" w:themeFill="accent1" w:themeFillTint="99"/>
            <w:vAlign w:val="center"/>
          </w:tcPr>
          <w:p w:rsidR="00134C5B" w:rsidRDefault="00134C5B" w:rsidP="00910A4A">
            <w:pPr>
              <w:pStyle w:val="Sansinterligne"/>
              <w:jc w:val="center"/>
              <w:rPr>
                <w:lang w:eastAsia="fr-CA"/>
              </w:rPr>
            </w:pPr>
            <w:r>
              <w:rPr>
                <w:lang w:eastAsia="fr-CA"/>
              </w:rPr>
              <w:t>Colique biliaire (récidives)</w:t>
            </w:r>
          </w:p>
        </w:tc>
        <w:tc>
          <w:tcPr>
            <w:tcW w:w="7997" w:type="dxa"/>
            <w:gridSpan w:val="2"/>
          </w:tcPr>
          <w:p w:rsidR="00134C5B" w:rsidRDefault="00134C5B" w:rsidP="00F84B6F">
            <w:pPr>
              <w:pStyle w:val="Sansinterligne"/>
              <w:rPr>
                <w:lang w:eastAsia="fr-CA"/>
              </w:rPr>
            </w:pPr>
            <w:r>
              <w:rPr>
                <w:lang w:eastAsia="fr-CA"/>
              </w:rPr>
              <w:t xml:space="preserve">Voir </w:t>
            </w:r>
            <w:r w:rsidRPr="00134C5B">
              <w:rPr>
                <w:i/>
                <w:lang w:eastAsia="fr-CA"/>
              </w:rPr>
              <w:t>Douleur abdominale aigue CMC 3-2</w:t>
            </w:r>
          </w:p>
        </w:tc>
      </w:tr>
      <w:tr w:rsidR="00910A4A" w:rsidTr="0081342D">
        <w:tc>
          <w:tcPr>
            <w:tcW w:w="2943" w:type="dxa"/>
            <w:shd w:val="clear" w:color="auto" w:fill="95B3D7" w:themeFill="accent1" w:themeFillTint="99"/>
            <w:vAlign w:val="center"/>
          </w:tcPr>
          <w:p w:rsidR="00910A4A" w:rsidRDefault="00910A4A" w:rsidP="00910A4A">
            <w:pPr>
              <w:pStyle w:val="Sansinterligne"/>
              <w:jc w:val="center"/>
              <w:rPr>
                <w:lang w:eastAsia="fr-CA"/>
              </w:rPr>
            </w:pPr>
            <w:r>
              <w:rPr>
                <w:lang w:eastAsia="fr-CA"/>
              </w:rPr>
              <w:t>Cirrhose</w:t>
            </w:r>
          </w:p>
        </w:tc>
        <w:tc>
          <w:tcPr>
            <w:tcW w:w="4350" w:type="dxa"/>
            <w:shd w:val="clear" w:color="auto" w:fill="FFFF00"/>
          </w:tcPr>
          <w:p w:rsidR="00910A4A" w:rsidRDefault="006206AF" w:rsidP="006A5715">
            <w:pPr>
              <w:pStyle w:val="Sansinterligne"/>
              <w:numPr>
                <w:ilvl w:val="0"/>
                <w:numId w:val="1550"/>
              </w:numPr>
              <w:rPr>
                <w:lang w:eastAsia="fr-CA"/>
              </w:rPr>
            </w:pPr>
            <w:r>
              <w:rPr>
                <w:lang w:eastAsia="fr-CA"/>
              </w:rPr>
              <w:t>Hx de ROH, de VHC</w:t>
            </w:r>
            <w:r w:rsidR="00AA47C2">
              <w:rPr>
                <w:lang w:eastAsia="fr-CA"/>
              </w:rPr>
              <w:t>/UDIV+</w:t>
            </w:r>
          </w:p>
          <w:p w:rsidR="006206AF" w:rsidRDefault="00AA47C2" w:rsidP="006A5715">
            <w:pPr>
              <w:pStyle w:val="Sansinterligne"/>
              <w:numPr>
                <w:ilvl w:val="0"/>
                <w:numId w:val="1550"/>
              </w:numPr>
              <w:rPr>
                <w:lang w:eastAsia="fr-CA"/>
              </w:rPr>
            </w:pPr>
            <w:r>
              <w:rPr>
                <w:lang w:eastAsia="fr-CA"/>
              </w:rPr>
              <w:t>Inconfort abdominal</w:t>
            </w:r>
          </w:p>
          <w:p w:rsidR="006206AF" w:rsidRPr="00AA47C2" w:rsidRDefault="006206AF" w:rsidP="006A5715">
            <w:pPr>
              <w:pStyle w:val="Sansinterligne"/>
              <w:numPr>
                <w:ilvl w:val="0"/>
                <w:numId w:val="1550"/>
              </w:numPr>
              <w:rPr>
                <w:b/>
                <w:lang w:eastAsia="fr-CA"/>
              </w:rPr>
            </w:pPr>
            <w:r w:rsidRPr="00AA47C2">
              <w:rPr>
                <w:b/>
                <w:lang w:eastAsia="fr-CA"/>
              </w:rPr>
              <w:t>Ascite</w:t>
            </w:r>
          </w:p>
          <w:p w:rsidR="006206AF" w:rsidRPr="00AA47C2" w:rsidRDefault="006206AF" w:rsidP="006A5715">
            <w:pPr>
              <w:pStyle w:val="Sansinterligne"/>
              <w:numPr>
                <w:ilvl w:val="0"/>
                <w:numId w:val="1550"/>
              </w:numPr>
              <w:rPr>
                <w:b/>
                <w:lang w:eastAsia="fr-CA"/>
              </w:rPr>
            </w:pPr>
            <w:r w:rsidRPr="00AA47C2">
              <w:rPr>
                <w:b/>
                <w:lang w:eastAsia="fr-CA"/>
              </w:rPr>
              <w:t xml:space="preserve">Confusion (encéphalopathie) </w:t>
            </w:r>
          </w:p>
          <w:p w:rsidR="006206AF" w:rsidRPr="00AA47C2" w:rsidRDefault="006206AF" w:rsidP="006A5715">
            <w:pPr>
              <w:pStyle w:val="Sansinterligne"/>
              <w:numPr>
                <w:ilvl w:val="0"/>
                <w:numId w:val="1550"/>
              </w:numPr>
              <w:rPr>
                <w:b/>
                <w:lang w:eastAsia="fr-CA"/>
              </w:rPr>
            </w:pPr>
            <w:r w:rsidRPr="00AA47C2">
              <w:rPr>
                <w:b/>
                <w:lang w:eastAsia="fr-CA"/>
              </w:rPr>
              <w:t>Ictère</w:t>
            </w:r>
          </w:p>
          <w:p w:rsidR="006206AF" w:rsidRPr="00AA47C2" w:rsidRDefault="006206AF" w:rsidP="006A5715">
            <w:pPr>
              <w:pStyle w:val="Sansinterligne"/>
              <w:numPr>
                <w:ilvl w:val="0"/>
                <w:numId w:val="1550"/>
              </w:numPr>
              <w:rPr>
                <w:b/>
                <w:lang w:eastAsia="fr-CA"/>
              </w:rPr>
            </w:pPr>
            <w:r w:rsidRPr="00AA47C2">
              <w:rPr>
                <w:b/>
                <w:lang w:eastAsia="fr-CA"/>
              </w:rPr>
              <w:t>Hypertrophie des parotides</w:t>
            </w:r>
          </w:p>
          <w:p w:rsidR="006206AF" w:rsidRPr="00AA47C2" w:rsidRDefault="006206AF" w:rsidP="006A5715">
            <w:pPr>
              <w:pStyle w:val="Sansinterligne"/>
              <w:numPr>
                <w:ilvl w:val="0"/>
                <w:numId w:val="1550"/>
              </w:numPr>
              <w:rPr>
                <w:b/>
                <w:lang w:eastAsia="fr-CA"/>
              </w:rPr>
            </w:pPr>
            <w:r w:rsidRPr="00AA47C2">
              <w:rPr>
                <w:b/>
                <w:lang w:eastAsia="fr-CA"/>
              </w:rPr>
              <w:t>Haleine fétide</w:t>
            </w:r>
          </w:p>
          <w:p w:rsidR="006206AF" w:rsidRPr="00AA47C2" w:rsidRDefault="006206AF" w:rsidP="006A5715">
            <w:pPr>
              <w:pStyle w:val="Sansinterligne"/>
              <w:numPr>
                <w:ilvl w:val="0"/>
                <w:numId w:val="1550"/>
              </w:numPr>
              <w:rPr>
                <w:b/>
                <w:lang w:eastAsia="fr-CA"/>
              </w:rPr>
            </w:pPr>
            <w:r w:rsidRPr="00AA47C2">
              <w:rPr>
                <w:b/>
                <w:lang w:eastAsia="fr-CA"/>
              </w:rPr>
              <w:t>Angiomes stellaires</w:t>
            </w:r>
          </w:p>
          <w:p w:rsidR="006206AF" w:rsidRPr="00AA47C2" w:rsidRDefault="006206AF" w:rsidP="006A5715">
            <w:pPr>
              <w:pStyle w:val="Sansinterligne"/>
              <w:numPr>
                <w:ilvl w:val="0"/>
                <w:numId w:val="1550"/>
              </w:numPr>
              <w:rPr>
                <w:b/>
                <w:lang w:eastAsia="fr-CA"/>
              </w:rPr>
            </w:pPr>
            <w:r w:rsidRPr="00AA47C2">
              <w:rPr>
                <w:b/>
                <w:lang w:eastAsia="fr-CA"/>
              </w:rPr>
              <w:t>Gynécomastie</w:t>
            </w:r>
          </w:p>
          <w:p w:rsidR="006206AF" w:rsidRDefault="006206AF" w:rsidP="006A5715">
            <w:pPr>
              <w:pStyle w:val="Sansinterligne"/>
              <w:numPr>
                <w:ilvl w:val="0"/>
                <w:numId w:val="1550"/>
              </w:numPr>
              <w:rPr>
                <w:lang w:eastAsia="fr-CA"/>
              </w:rPr>
            </w:pPr>
            <w:r w:rsidRPr="00AA47C2">
              <w:rPr>
                <w:b/>
                <w:lang w:eastAsia="fr-CA"/>
              </w:rPr>
              <w:t>Hypogonadisme</w:t>
            </w:r>
          </w:p>
        </w:tc>
        <w:tc>
          <w:tcPr>
            <w:tcW w:w="3647" w:type="dxa"/>
            <w:shd w:val="clear" w:color="auto" w:fill="FFFF00"/>
          </w:tcPr>
          <w:p w:rsidR="006206AF" w:rsidRPr="00AA47C2" w:rsidRDefault="006206AF" w:rsidP="006A5715">
            <w:pPr>
              <w:pStyle w:val="Sansinterligne"/>
              <w:numPr>
                <w:ilvl w:val="0"/>
                <w:numId w:val="1550"/>
              </w:numPr>
              <w:rPr>
                <w:b/>
                <w:lang w:eastAsia="fr-CA"/>
              </w:rPr>
            </w:pPr>
            <w:r w:rsidRPr="00AA47C2">
              <w:rPr>
                <w:b/>
                <w:lang w:eastAsia="fr-CA"/>
              </w:rPr>
              <w:t>Hépatosplénomégalie</w:t>
            </w:r>
          </w:p>
          <w:p w:rsidR="006206AF" w:rsidRPr="00AA47C2" w:rsidRDefault="006206AF" w:rsidP="006A5715">
            <w:pPr>
              <w:pStyle w:val="Sansinterligne"/>
              <w:numPr>
                <w:ilvl w:val="0"/>
                <w:numId w:val="1550"/>
              </w:numPr>
              <w:rPr>
                <w:b/>
                <w:lang w:eastAsia="fr-CA"/>
              </w:rPr>
            </w:pPr>
            <w:r w:rsidRPr="00AA47C2">
              <w:rPr>
                <w:b/>
                <w:lang w:eastAsia="fr-CA"/>
              </w:rPr>
              <w:t>Caput medusae</w:t>
            </w:r>
          </w:p>
          <w:p w:rsidR="006206AF" w:rsidRPr="00AA47C2" w:rsidRDefault="006206AF" w:rsidP="006A5715">
            <w:pPr>
              <w:pStyle w:val="Sansinterligne"/>
              <w:numPr>
                <w:ilvl w:val="0"/>
                <w:numId w:val="1550"/>
              </w:numPr>
              <w:rPr>
                <w:b/>
                <w:lang w:eastAsia="fr-CA"/>
              </w:rPr>
            </w:pPr>
            <w:r w:rsidRPr="00AA47C2">
              <w:rPr>
                <w:b/>
                <w:lang w:eastAsia="fr-CA"/>
              </w:rPr>
              <w:t>Hippocratisme digital</w:t>
            </w:r>
          </w:p>
          <w:p w:rsidR="006206AF" w:rsidRPr="00AA47C2" w:rsidRDefault="006206AF" w:rsidP="006A5715">
            <w:pPr>
              <w:pStyle w:val="Sansinterligne"/>
              <w:numPr>
                <w:ilvl w:val="0"/>
                <w:numId w:val="1550"/>
              </w:numPr>
              <w:rPr>
                <w:b/>
                <w:lang w:eastAsia="fr-CA"/>
              </w:rPr>
            </w:pPr>
            <w:r w:rsidRPr="00AA47C2">
              <w:rPr>
                <w:b/>
                <w:lang w:eastAsia="fr-CA"/>
              </w:rPr>
              <w:t>Ongles de Terry (leuconychie)</w:t>
            </w:r>
          </w:p>
          <w:p w:rsidR="006206AF" w:rsidRPr="00AA47C2" w:rsidRDefault="006206AF" w:rsidP="006A5715">
            <w:pPr>
              <w:pStyle w:val="Sansinterligne"/>
              <w:numPr>
                <w:ilvl w:val="0"/>
                <w:numId w:val="1550"/>
              </w:numPr>
              <w:rPr>
                <w:b/>
                <w:lang w:eastAsia="fr-CA"/>
              </w:rPr>
            </w:pPr>
            <w:r w:rsidRPr="00AA47C2">
              <w:rPr>
                <w:b/>
                <w:lang w:eastAsia="fr-CA"/>
              </w:rPr>
              <w:t>Astérixis</w:t>
            </w:r>
          </w:p>
          <w:p w:rsidR="006206AF" w:rsidRPr="00AA47C2" w:rsidRDefault="006206AF" w:rsidP="006A5715">
            <w:pPr>
              <w:pStyle w:val="Sansinterligne"/>
              <w:numPr>
                <w:ilvl w:val="0"/>
                <w:numId w:val="1550"/>
              </w:numPr>
              <w:rPr>
                <w:b/>
                <w:lang w:eastAsia="fr-CA"/>
              </w:rPr>
            </w:pPr>
            <w:r w:rsidRPr="00AA47C2">
              <w:rPr>
                <w:b/>
                <w:lang w:eastAsia="fr-CA"/>
              </w:rPr>
              <w:t>Contracture de Dupuytren</w:t>
            </w:r>
          </w:p>
          <w:p w:rsidR="006206AF" w:rsidRPr="00AA47C2" w:rsidRDefault="006206AF" w:rsidP="006A5715">
            <w:pPr>
              <w:pStyle w:val="Sansinterligne"/>
              <w:numPr>
                <w:ilvl w:val="0"/>
                <w:numId w:val="1550"/>
              </w:numPr>
              <w:rPr>
                <w:b/>
                <w:lang w:eastAsia="fr-CA"/>
              </w:rPr>
            </w:pPr>
            <w:r w:rsidRPr="00AA47C2">
              <w:rPr>
                <w:b/>
                <w:lang w:eastAsia="fr-CA"/>
              </w:rPr>
              <w:t>Érythème palmaire</w:t>
            </w:r>
          </w:p>
          <w:p w:rsidR="006206AF" w:rsidRPr="00AA47C2" w:rsidRDefault="006206AF" w:rsidP="006A5715">
            <w:pPr>
              <w:pStyle w:val="Sansinterligne"/>
              <w:numPr>
                <w:ilvl w:val="0"/>
                <w:numId w:val="1550"/>
              </w:numPr>
              <w:rPr>
                <w:b/>
                <w:lang w:eastAsia="fr-CA"/>
              </w:rPr>
            </w:pPr>
            <w:r w:rsidRPr="00AA47C2">
              <w:rPr>
                <w:b/>
                <w:lang w:eastAsia="fr-CA"/>
              </w:rPr>
              <w:t>Œdème</w:t>
            </w:r>
          </w:p>
          <w:p w:rsidR="006206AF" w:rsidRPr="00AA47C2" w:rsidRDefault="006206AF" w:rsidP="006A5715">
            <w:pPr>
              <w:pStyle w:val="Sansinterligne"/>
              <w:numPr>
                <w:ilvl w:val="0"/>
                <w:numId w:val="1550"/>
              </w:numPr>
              <w:rPr>
                <w:b/>
                <w:lang w:eastAsia="fr-CA"/>
              </w:rPr>
            </w:pPr>
            <w:r w:rsidRPr="00AA47C2">
              <w:rPr>
                <w:b/>
                <w:lang w:eastAsia="fr-CA"/>
              </w:rPr>
              <w:t>Hémorroïdes</w:t>
            </w:r>
          </w:p>
          <w:p w:rsidR="006206AF" w:rsidRDefault="006206AF" w:rsidP="006A5715">
            <w:pPr>
              <w:pStyle w:val="Sansinterligne"/>
              <w:numPr>
                <w:ilvl w:val="0"/>
                <w:numId w:val="1550"/>
              </w:numPr>
              <w:rPr>
                <w:lang w:eastAsia="fr-CA"/>
              </w:rPr>
            </w:pPr>
            <w:r w:rsidRPr="00AA47C2">
              <w:rPr>
                <w:b/>
                <w:lang w:eastAsia="fr-CA"/>
              </w:rPr>
              <w:t>Pétéchies / Ecchymoses</w:t>
            </w:r>
          </w:p>
        </w:tc>
      </w:tr>
      <w:tr w:rsidR="00910A4A" w:rsidTr="00F83573">
        <w:tc>
          <w:tcPr>
            <w:tcW w:w="2943" w:type="dxa"/>
            <w:shd w:val="clear" w:color="auto" w:fill="95B3D7" w:themeFill="accent1" w:themeFillTint="99"/>
            <w:vAlign w:val="center"/>
          </w:tcPr>
          <w:p w:rsidR="00910A4A" w:rsidRDefault="00910A4A" w:rsidP="00910A4A">
            <w:pPr>
              <w:pStyle w:val="Sansinterligne"/>
              <w:jc w:val="center"/>
              <w:rPr>
                <w:lang w:eastAsia="fr-CA"/>
              </w:rPr>
            </w:pPr>
            <w:r>
              <w:rPr>
                <w:lang w:eastAsia="fr-CA"/>
              </w:rPr>
              <w:t>Néoplasie hépatique</w:t>
            </w:r>
          </w:p>
        </w:tc>
        <w:tc>
          <w:tcPr>
            <w:tcW w:w="7997" w:type="dxa"/>
            <w:gridSpan w:val="2"/>
          </w:tcPr>
          <w:p w:rsidR="00910A4A" w:rsidRDefault="00910A4A" w:rsidP="00F84B6F">
            <w:pPr>
              <w:pStyle w:val="Sansinterligne"/>
              <w:rPr>
                <w:lang w:eastAsia="fr-CA"/>
              </w:rPr>
            </w:pPr>
            <w:r>
              <w:rPr>
                <w:lang w:eastAsia="fr-CA"/>
              </w:rPr>
              <w:t xml:space="preserve">Voir </w:t>
            </w:r>
            <w:r w:rsidRPr="00DF5B70">
              <w:rPr>
                <w:i/>
                <w:lang w:eastAsia="fr-CA"/>
              </w:rPr>
              <w:t>Masse abdominale ou pelvienne CMC 2</w:t>
            </w:r>
          </w:p>
        </w:tc>
      </w:tr>
      <w:tr w:rsidR="00DF5B70" w:rsidTr="00AA47C2">
        <w:tc>
          <w:tcPr>
            <w:tcW w:w="2943" w:type="dxa"/>
            <w:shd w:val="clear" w:color="auto" w:fill="95B3D7" w:themeFill="accent1" w:themeFillTint="99"/>
            <w:vAlign w:val="center"/>
          </w:tcPr>
          <w:p w:rsidR="00DF5B70" w:rsidRDefault="00DF5B70" w:rsidP="00910A4A">
            <w:pPr>
              <w:pStyle w:val="Sansinterligne"/>
              <w:jc w:val="center"/>
              <w:rPr>
                <w:lang w:eastAsia="fr-CA"/>
              </w:rPr>
            </w:pPr>
            <w:r>
              <w:rPr>
                <w:lang w:eastAsia="fr-CA"/>
              </w:rPr>
              <w:t>Pancréatite chronique</w:t>
            </w:r>
          </w:p>
        </w:tc>
        <w:tc>
          <w:tcPr>
            <w:tcW w:w="4350" w:type="dxa"/>
            <w:shd w:val="clear" w:color="auto" w:fill="FFFF00"/>
          </w:tcPr>
          <w:p w:rsidR="00DF5B70" w:rsidRDefault="000564F8" w:rsidP="006A5715">
            <w:pPr>
              <w:pStyle w:val="Sansinterligne"/>
              <w:numPr>
                <w:ilvl w:val="0"/>
                <w:numId w:val="1551"/>
              </w:numPr>
              <w:rPr>
                <w:lang w:eastAsia="fr-CA"/>
              </w:rPr>
            </w:pPr>
            <w:r>
              <w:rPr>
                <w:lang w:eastAsia="fr-CA"/>
              </w:rPr>
              <w:t>Douleur abdominales paroxystiques</w:t>
            </w:r>
          </w:p>
          <w:p w:rsidR="000564F8" w:rsidRPr="00AA47C2" w:rsidRDefault="000564F8" w:rsidP="006A5715">
            <w:pPr>
              <w:pStyle w:val="Sansinterligne"/>
              <w:numPr>
                <w:ilvl w:val="0"/>
                <w:numId w:val="1551"/>
              </w:numPr>
              <w:rPr>
                <w:b/>
                <w:lang w:eastAsia="fr-CA"/>
              </w:rPr>
            </w:pPr>
            <w:r w:rsidRPr="00AA47C2">
              <w:rPr>
                <w:b/>
                <w:lang w:eastAsia="fr-CA"/>
              </w:rPr>
              <w:t>Irradiation dorsale</w:t>
            </w:r>
          </w:p>
          <w:p w:rsidR="000564F8" w:rsidRDefault="00A82003" w:rsidP="006A5715">
            <w:pPr>
              <w:pStyle w:val="Sansinterligne"/>
              <w:numPr>
                <w:ilvl w:val="0"/>
                <w:numId w:val="1551"/>
              </w:numPr>
              <w:rPr>
                <w:lang w:eastAsia="fr-CA"/>
              </w:rPr>
            </w:pPr>
            <w:r w:rsidRPr="00AA47C2">
              <w:rPr>
                <w:b/>
                <w:lang w:eastAsia="fr-CA"/>
              </w:rPr>
              <w:t>Hx de prise de ROH chronique</w:t>
            </w:r>
          </w:p>
        </w:tc>
        <w:tc>
          <w:tcPr>
            <w:tcW w:w="3647" w:type="dxa"/>
            <w:shd w:val="clear" w:color="auto" w:fill="FFFF00"/>
          </w:tcPr>
          <w:p w:rsidR="00A82003" w:rsidRDefault="00A82003" w:rsidP="006A5715">
            <w:pPr>
              <w:pStyle w:val="Sansinterligne"/>
              <w:numPr>
                <w:ilvl w:val="0"/>
                <w:numId w:val="1551"/>
              </w:numPr>
              <w:rPr>
                <w:lang w:eastAsia="fr-CA"/>
              </w:rPr>
            </w:pPr>
            <w:r>
              <w:rPr>
                <w:lang w:eastAsia="fr-CA"/>
              </w:rPr>
              <w:t xml:space="preserve">Stéatorrhée </w:t>
            </w:r>
          </w:p>
          <w:p w:rsidR="00DF5B70" w:rsidRDefault="000564F8" w:rsidP="006A5715">
            <w:pPr>
              <w:pStyle w:val="Sansinterligne"/>
              <w:numPr>
                <w:ilvl w:val="0"/>
                <w:numId w:val="1551"/>
              </w:numPr>
              <w:rPr>
                <w:lang w:eastAsia="fr-CA"/>
              </w:rPr>
            </w:pPr>
            <w:r>
              <w:rPr>
                <w:lang w:eastAsia="fr-CA"/>
              </w:rPr>
              <w:t>Ictère</w:t>
            </w:r>
          </w:p>
          <w:p w:rsidR="000564F8" w:rsidRDefault="000564F8" w:rsidP="006A5715">
            <w:pPr>
              <w:pStyle w:val="Sansinterligne"/>
              <w:numPr>
                <w:ilvl w:val="0"/>
                <w:numId w:val="1551"/>
              </w:numPr>
              <w:rPr>
                <w:lang w:eastAsia="fr-CA"/>
              </w:rPr>
            </w:pPr>
            <w:r>
              <w:rPr>
                <w:lang w:eastAsia="fr-CA"/>
              </w:rPr>
              <w:t>Perte de poids</w:t>
            </w:r>
          </w:p>
        </w:tc>
      </w:tr>
      <w:tr w:rsidR="00DF5B70" w:rsidTr="00F83573">
        <w:tc>
          <w:tcPr>
            <w:tcW w:w="2943" w:type="dxa"/>
            <w:shd w:val="clear" w:color="auto" w:fill="95B3D7" w:themeFill="accent1" w:themeFillTint="99"/>
            <w:vAlign w:val="center"/>
          </w:tcPr>
          <w:p w:rsidR="00DF5B70" w:rsidRDefault="00DF5B70" w:rsidP="00910A4A">
            <w:pPr>
              <w:pStyle w:val="Sansinterligne"/>
              <w:jc w:val="center"/>
              <w:rPr>
                <w:lang w:eastAsia="fr-CA"/>
              </w:rPr>
            </w:pPr>
            <w:r>
              <w:rPr>
                <w:lang w:eastAsia="fr-CA"/>
              </w:rPr>
              <w:t>Néoplasie du pancréas</w:t>
            </w:r>
          </w:p>
        </w:tc>
        <w:tc>
          <w:tcPr>
            <w:tcW w:w="7997" w:type="dxa"/>
            <w:gridSpan w:val="2"/>
          </w:tcPr>
          <w:p w:rsidR="00DF5B70" w:rsidRDefault="00DF5B70" w:rsidP="00F84B6F">
            <w:pPr>
              <w:pStyle w:val="Sansinterligne"/>
              <w:rPr>
                <w:lang w:eastAsia="fr-CA"/>
              </w:rPr>
            </w:pPr>
            <w:r>
              <w:rPr>
                <w:lang w:eastAsia="fr-CA"/>
              </w:rPr>
              <w:t xml:space="preserve">Voir </w:t>
            </w:r>
            <w:r w:rsidRPr="00DF5B70">
              <w:rPr>
                <w:i/>
                <w:lang w:eastAsia="fr-CA"/>
              </w:rPr>
              <w:t>Masse abdominale ou pelvienne CMC 2</w:t>
            </w:r>
          </w:p>
        </w:tc>
      </w:tr>
    </w:tbl>
    <w:p w:rsidR="00DF5B70" w:rsidRDefault="00A82003" w:rsidP="00F84B6F">
      <w:pPr>
        <w:pStyle w:val="Sansinterligne"/>
        <w:rPr>
          <w:lang w:eastAsia="fr-CA"/>
        </w:rPr>
      </w:pPr>
      <w:r>
        <w:rPr>
          <w:noProof/>
          <w:lang w:eastAsia="fr-CA"/>
        </w:rPr>
        <w:drawing>
          <wp:anchor distT="0" distB="0" distL="114300" distR="114300" simplePos="0" relativeHeight="252257280" behindDoc="1" locked="0" layoutInCell="1" allowOverlap="1" wp14:anchorId="1B0DA551" wp14:editId="758BD0E4">
            <wp:simplePos x="0" y="0"/>
            <wp:positionH relativeFrom="column">
              <wp:posOffset>4766540</wp:posOffset>
            </wp:positionH>
            <wp:positionV relativeFrom="paragraph">
              <wp:posOffset>75309</wp:posOffset>
            </wp:positionV>
            <wp:extent cx="2110902" cy="1433183"/>
            <wp:effectExtent l="0" t="0" r="3810" b="0"/>
            <wp:wrapNone/>
            <wp:docPr id="701" name="Image 701" descr="Résultat de recherche d'images pour &quot;crohn&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ésultat de recherche d'images pour &quot;crohn&quot;"/>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110902" cy="1433183"/>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fr-CA"/>
        </w:rPr>
        <w:drawing>
          <wp:anchor distT="0" distB="0" distL="114300" distR="114300" simplePos="0" relativeHeight="252256256" behindDoc="1" locked="0" layoutInCell="1" allowOverlap="1" wp14:anchorId="0FD9AB13" wp14:editId="2C84AF47">
            <wp:simplePos x="0" y="0"/>
            <wp:positionH relativeFrom="column">
              <wp:posOffset>-58879</wp:posOffset>
            </wp:positionH>
            <wp:positionV relativeFrom="paragraph">
              <wp:posOffset>26670</wp:posOffset>
            </wp:positionV>
            <wp:extent cx="2178685" cy="1656080"/>
            <wp:effectExtent l="0" t="0" r="0" b="1270"/>
            <wp:wrapNone/>
            <wp:docPr id="700" name="Image 700" descr="Résultat de recherche d'images pour &quot;pancréatite aigue&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ésultat de recherche d'images pour &quot;pancréatite aigue&quot;"/>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178685" cy="16560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82003" w:rsidRDefault="00A82003" w:rsidP="00F84B6F">
      <w:pPr>
        <w:pStyle w:val="Sansinterligne"/>
        <w:rPr>
          <w:lang w:eastAsia="fr-CA"/>
        </w:rPr>
      </w:pPr>
    </w:p>
    <w:p w:rsidR="00A82003" w:rsidRDefault="00A82003" w:rsidP="00F84B6F">
      <w:pPr>
        <w:pStyle w:val="Sansinterligne"/>
        <w:rPr>
          <w:lang w:eastAsia="fr-CA"/>
        </w:rPr>
      </w:pPr>
    </w:p>
    <w:p w:rsidR="00A82003" w:rsidRDefault="00A82003" w:rsidP="00F84B6F">
      <w:pPr>
        <w:pStyle w:val="Sansinterligne"/>
        <w:rPr>
          <w:lang w:eastAsia="fr-CA"/>
        </w:rPr>
      </w:pPr>
    </w:p>
    <w:p w:rsidR="00A82003" w:rsidRDefault="00A82003" w:rsidP="00F84B6F">
      <w:pPr>
        <w:pStyle w:val="Sansinterligne"/>
        <w:rPr>
          <w:lang w:eastAsia="fr-CA"/>
        </w:rPr>
      </w:pPr>
    </w:p>
    <w:p w:rsidR="00A82003" w:rsidRDefault="00A82003" w:rsidP="00F84B6F">
      <w:pPr>
        <w:pStyle w:val="Sansinterligne"/>
        <w:rPr>
          <w:lang w:eastAsia="fr-CA"/>
        </w:rPr>
      </w:pPr>
    </w:p>
    <w:p w:rsidR="00A82003" w:rsidRDefault="00A82003" w:rsidP="00F84B6F">
      <w:pPr>
        <w:pStyle w:val="Sansinterligne"/>
        <w:rPr>
          <w:lang w:eastAsia="fr-CA"/>
        </w:rPr>
      </w:pPr>
    </w:p>
    <w:p w:rsidR="008F62C3" w:rsidRDefault="008F62C3" w:rsidP="00F84B6F">
      <w:pPr>
        <w:pStyle w:val="Sansinterligne"/>
        <w:rPr>
          <w:lang w:eastAsia="fr-CA"/>
        </w:rPr>
      </w:pPr>
    </w:p>
    <w:p w:rsidR="008F62C3" w:rsidRDefault="008F62C3" w:rsidP="00F84B6F">
      <w:pPr>
        <w:pStyle w:val="Sansinterligne"/>
        <w:rPr>
          <w:lang w:eastAsia="fr-CA"/>
        </w:rPr>
      </w:pPr>
    </w:p>
    <w:p w:rsidR="00A82003" w:rsidRDefault="00A82003" w:rsidP="00F84B6F">
      <w:pPr>
        <w:pStyle w:val="Sansinterligne"/>
        <w:rPr>
          <w:lang w:eastAsia="fr-CA"/>
        </w:rPr>
      </w:pPr>
    </w:p>
    <w:tbl>
      <w:tblPr>
        <w:tblStyle w:val="Grilledutableau"/>
        <w:tblW w:w="0" w:type="auto"/>
        <w:tblLook w:val="04A0" w:firstRow="1" w:lastRow="0" w:firstColumn="1" w:lastColumn="0" w:noHBand="0" w:noVBand="1"/>
      </w:tblPr>
      <w:tblGrid>
        <w:gridCol w:w="2943"/>
        <w:gridCol w:w="4350"/>
        <w:gridCol w:w="3647"/>
      </w:tblGrid>
      <w:tr w:rsidR="00910A4A" w:rsidTr="00F83573">
        <w:tc>
          <w:tcPr>
            <w:tcW w:w="2943" w:type="dxa"/>
            <w:shd w:val="clear" w:color="auto" w:fill="95B3D7" w:themeFill="accent1" w:themeFillTint="99"/>
            <w:vAlign w:val="center"/>
          </w:tcPr>
          <w:p w:rsidR="00910A4A" w:rsidRDefault="00910A4A" w:rsidP="00910A4A">
            <w:pPr>
              <w:pStyle w:val="Sansinterligne"/>
              <w:jc w:val="center"/>
              <w:rPr>
                <w:lang w:eastAsia="fr-CA"/>
              </w:rPr>
            </w:pPr>
            <w:r>
              <w:rPr>
                <w:lang w:eastAsia="fr-CA"/>
              </w:rPr>
              <w:lastRenderedPageBreak/>
              <w:t>Syndrome du côlon irritable</w:t>
            </w:r>
          </w:p>
        </w:tc>
        <w:tc>
          <w:tcPr>
            <w:tcW w:w="7997" w:type="dxa"/>
            <w:gridSpan w:val="2"/>
          </w:tcPr>
          <w:p w:rsidR="00910A4A" w:rsidRDefault="00910A4A" w:rsidP="00F84B6F">
            <w:pPr>
              <w:pStyle w:val="Sansinterligne"/>
              <w:rPr>
                <w:lang w:eastAsia="fr-CA"/>
              </w:rPr>
            </w:pPr>
            <w:r>
              <w:rPr>
                <w:lang w:eastAsia="fr-CA"/>
              </w:rPr>
              <w:t xml:space="preserve">Voir </w:t>
            </w:r>
            <w:r w:rsidRPr="00910A4A">
              <w:rPr>
                <w:i/>
                <w:lang w:eastAsia="fr-CA"/>
              </w:rPr>
              <w:t>Distension abdominale CMC 1</w:t>
            </w:r>
          </w:p>
        </w:tc>
      </w:tr>
      <w:tr w:rsidR="00DF5B70" w:rsidTr="00F83573">
        <w:tc>
          <w:tcPr>
            <w:tcW w:w="2943" w:type="dxa"/>
            <w:shd w:val="clear" w:color="auto" w:fill="95B3D7" w:themeFill="accent1" w:themeFillTint="99"/>
            <w:vAlign w:val="center"/>
          </w:tcPr>
          <w:p w:rsidR="00DF5B70" w:rsidRDefault="00910A4A" w:rsidP="00910A4A">
            <w:pPr>
              <w:pStyle w:val="Sansinterligne"/>
              <w:jc w:val="center"/>
              <w:rPr>
                <w:lang w:eastAsia="fr-CA"/>
              </w:rPr>
            </w:pPr>
            <w:r>
              <w:rPr>
                <w:lang w:eastAsia="fr-CA"/>
              </w:rPr>
              <w:t>Maladie de Crohn</w:t>
            </w:r>
          </w:p>
        </w:tc>
        <w:tc>
          <w:tcPr>
            <w:tcW w:w="4350" w:type="dxa"/>
            <w:shd w:val="clear" w:color="auto" w:fill="FFFF00"/>
          </w:tcPr>
          <w:p w:rsidR="00DF5B70" w:rsidRDefault="0010629E" w:rsidP="006A5715">
            <w:pPr>
              <w:pStyle w:val="Sansinterligne"/>
              <w:numPr>
                <w:ilvl w:val="0"/>
                <w:numId w:val="1545"/>
              </w:numPr>
              <w:rPr>
                <w:lang w:eastAsia="fr-CA"/>
              </w:rPr>
            </w:pPr>
            <w:r>
              <w:rPr>
                <w:lang w:eastAsia="fr-CA"/>
              </w:rPr>
              <w:t>Crampes abdominales</w:t>
            </w:r>
          </w:p>
          <w:p w:rsidR="0010629E" w:rsidRDefault="0010629E" w:rsidP="006A5715">
            <w:pPr>
              <w:pStyle w:val="Sansinterligne"/>
              <w:numPr>
                <w:ilvl w:val="0"/>
                <w:numId w:val="1545"/>
              </w:numPr>
              <w:rPr>
                <w:lang w:eastAsia="fr-CA"/>
              </w:rPr>
            </w:pPr>
            <w:r>
              <w:rPr>
                <w:lang w:eastAsia="fr-CA"/>
              </w:rPr>
              <w:t>Parfois douleur post-prandriale</w:t>
            </w:r>
          </w:p>
          <w:p w:rsidR="0010629E" w:rsidRDefault="0010629E" w:rsidP="006A5715">
            <w:pPr>
              <w:pStyle w:val="Sansinterligne"/>
              <w:numPr>
                <w:ilvl w:val="0"/>
                <w:numId w:val="1545"/>
              </w:numPr>
              <w:rPr>
                <w:lang w:eastAsia="fr-CA"/>
              </w:rPr>
            </w:pPr>
            <w:r>
              <w:rPr>
                <w:lang w:eastAsia="fr-CA"/>
              </w:rPr>
              <w:t>Diarrhée</w:t>
            </w:r>
          </w:p>
          <w:p w:rsidR="0010629E" w:rsidRDefault="0010629E" w:rsidP="006A5715">
            <w:pPr>
              <w:pStyle w:val="Sansinterligne"/>
              <w:numPr>
                <w:ilvl w:val="0"/>
                <w:numId w:val="1545"/>
              </w:numPr>
              <w:rPr>
                <w:lang w:eastAsia="fr-CA"/>
              </w:rPr>
            </w:pPr>
            <w:r>
              <w:rPr>
                <w:lang w:eastAsia="fr-CA"/>
              </w:rPr>
              <w:t>Perte de poids</w:t>
            </w:r>
          </w:p>
        </w:tc>
        <w:tc>
          <w:tcPr>
            <w:tcW w:w="3647" w:type="dxa"/>
            <w:shd w:val="clear" w:color="auto" w:fill="FFFF00"/>
          </w:tcPr>
          <w:p w:rsidR="0010629E" w:rsidRPr="0010629E" w:rsidRDefault="0010629E" w:rsidP="006A5715">
            <w:pPr>
              <w:pStyle w:val="Sansinterligne"/>
              <w:numPr>
                <w:ilvl w:val="0"/>
                <w:numId w:val="1545"/>
              </w:numPr>
              <w:rPr>
                <w:u w:val="single"/>
                <w:lang w:eastAsia="fr-CA"/>
              </w:rPr>
            </w:pPr>
            <w:r w:rsidRPr="0010629E">
              <w:rPr>
                <w:u w:val="single"/>
                <w:lang w:eastAsia="fr-CA"/>
              </w:rPr>
              <w:t>Atteintes extra-intestinale</w:t>
            </w:r>
          </w:p>
          <w:p w:rsidR="0010629E" w:rsidRDefault="0010629E" w:rsidP="006A5715">
            <w:pPr>
              <w:pStyle w:val="Sansinterligne"/>
              <w:numPr>
                <w:ilvl w:val="0"/>
                <w:numId w:val="1545"/>
              </w:numPr>
              <w:rPr>
                <w:lang w:eastAsia="fr-CA"/>
              </w:rPr>
            </w:pPr>
            <w:r>
              <w:rPr>
                <w:lang w:eastAsia="fr-CA"/>
              </w:rPr>
              <w:t>Érythème noueux, uvéites</w:t>
            </w:r>
            <w:r w:rsidR="00381679">
              <w:rPr>
                <w:lang w:eastAsia="fr-CA"/>
              </w:rPr>
              <w:t>, sclérite</w:t>
            </w:r>
          </w:p>
          <w:p w:rsidR="00381679" w:rsidRDefault="00381679" w:rsidP="006A5715">
            <w:pPr>
              <w:pStyle w:val="Sansinterligne"/>
              <w:numPr>
                <w:ilvl w:val="0"/>
                <w:numId w:val="1545"/>
              </w:numPr>
              <w:rPr>
                <w:lang w:eastAsia="fr-CA"/>
              </w:rPr>
            </w:pPr>
            <w:r>
              <w:rPr>
                <w:lang w:eastAsia="fr-CA"/>
              </w:rPr>
              <w:t>Arthrite, sacro iléite, spondylites</w:t>
            </w:r>
          </w:p>
          <w:p w:rsidR="00DF5B70" w:rsidRDefault="0010629E" w:rsidP="006A5715">
            <w:pPr>
              <w:pStyle w:val="Sansinterligne"/>
              <w:numPr>
                <w:ilvl w:val="0"/>
                <w:numId w:val="1545"/>
              </w:numPr>
              <w:rPr>
                <w:lang w:eastAsia="fr-CA"/>
              </w:rPr>
            </w:pPr>
            <w:r>
              <w:rPr>
                <w:lang w:eastAsia="fr-CA"/>
              </w:rPr>
              <w:t>Fistules, fissures anales latérales</w:t>
            </w:r>
          </w:p>
        </w:tc>
      </w:tr>
      <w:tr w:rsidR="00DF5B70" w:rsidTr="00F83573">
        <w:tc>
          <w:tcPr>
            <w:tcW w:w="2943" w:type="dxa"/>
            <w:shd w:val="clear" w:color="auto" w:fill="95B3D7" w:themeFill="accent1" w:themeFillTint="99"/>
            <w:vAlign w:val="center"/>
          </w:tcPr>
          <w:p w:rsidR="00DF5B70" w:rsidRDefault="00910A4A" w:rsidP="00910A4A">
            <w:pPr>
              <w:pStyle w:val="Sansinterligne"/>
              <w:jc w:val="center"/>
              <w:rPr>
                <w:lang w:eastAsia="fr-CA"/>
              </w:rPr>
            </w:pPr>
            <w:r>
              <w:rPr>
                <w:lang w:eastAsia="fr-CA"/>
              </w:rPr>
              <w:t>Colite ulcéreuse</w:t>
            </w:r>
          </w:p>
        </w:tc>
        <w:tc>
          <w:tcPr>
            <w:tcW w:w="4350" w:type="dxa"/>
            <w:shd w:val="clear" w:color="auto" w:fill="FFFF00"/>
          </w:tcPr>
          <w:p w:rsidR="00381679" w:rsidRDefault="00381679" w:rsidP="006A5715">
            <w:pPr>
              <w:pStyle w:val="Sansinterligne"/>
              <w:numPr>
                <w:ilvl w:val="0"/>
                <w:numId w:val="1545"/>
              </w:numPr>
              <w:rPr>
                <w:lang w:eastAsia="fr-CA"/>
              </w:rPr>
            </w:pPr>
            <w:r>
              <w:rPr>
                <w:lang w:eastAsia="fr-CA"/>
              </w:rPr>
              <w:t>Crampes abdominales</w:t>
            </w:r>
          </w:p>
          <w:p w:rsidR="00381679" w:rsidRDefault="00381679" w:rsidP="006A5715">
            <w:pPr>
              <w:pStyle w:val="Sansinterligne"/>
              <w:numPr>
                <w:ilvl w:val="0"/>
                <w:numId w:val="1545"/>
              </w:numPr>
              <w:rPr>
                <w:lang w:eastAsia="fr-CA"/>
              </w:rPr>
            </w:pPr>
            <w:r>
              <w:rPr>
                <w:lang w:eastAsia="fr-CA"/>
              </w:rPr>
              <w:t>Surtout à la défécation</w:t>
            </w:r>
          </w:p>
          <w:p w:rsidR="00DF5B70" w:rsidRDefault="00381679" w:rsidP="006A5715">
            <w:pPr>
              <w:pStyle w:val="Sansinterligne"/>
              <w:numPr>
                <w:ilvl w:val="0"/>
                <w:numId w:val="1545"/>
              </w:numPr>
              <w:rPr>
                <w:lang w:eastAsia="fr-CA"/>
              </w:rPr>
            </w:pPr>
            <w:r>
              <w:rPr>
                <w:lang w:eastAsia="fr-CA"/>
              </w:rPr>
              <w:t>Rectorragies</w:t>
            </w:r>
          </w:p>
          <w:p w:rsidR="00381679" w:rsidRDefault="00381679" w:rsidP="006A5715">
            <w:pPr>
              <w:pStyle w:val="Sansinterligne"/>
              <w:numPr>
                <w:ilvl w:val="0"/>
                <w:numId w:val="1545"/>
              </w:numPr>
              <w:rPr>
                <w:lang w:eastAsia="fr-CA"/>
              </w:rPr>
            </w:pPr>
            <w:r>
              <w:rPr>
                <w:lang w:eastAsia="fr-CA"/>
              </w:rPr>
              <w:t>Ténesme</w:t>
            </w:r>
          </w:p>
          <w:p w:rsidR="00381679" w:rsidRDefault="00F83573" w:rsidP="006A5715">
            <w:pPr>
              <w:pStyle w:val="Sansinterligne"/>
              <w:numPr>
                <w:ilvl w:val="0"/>
                <w:numId w:val="1545"/>
              </w:numPr>
              <w:rPr>
                <w:lang w:eastAsia="fr-CA"/>
              </w:rPr>
            </w:pPr>
            <w:r>
              <w:rPr>
                <w:lang w:eastAsia="fr-CA"/>
              </w:rPr>
              <w:t xml:space="preserve">Urgence fécale </w:t>
            </w:r>
          </w:p>
        </w:tc>
        <w:tc>
          <w:tcPr>
            <w:tcW w:w="3647" w:type="dxa"/>
            <w:shd w:val="clear" w:color="auto" w:fill="FFFF00"/>
          </w:tcPr>
          <w:p w:rsidR="00F83573" w:rsidRDefault="00F83573" w:rsidP="006A5715">
            <w:pPr>
              <w:pStyle w:val="Sansinterligne"/>
              <w:numPr>
                <w:ilvl w:val="0"/>
                <w:numId w:val="1545"/>
              </w:numPr>
              <w:rPr>
                <w:lang w:eastAsia="fr-CA"/>
              </w:rPr>
            </w:pPr>
            <w:r>
              <w:rPr>
                <w:lang w:eastAsia="fr-CA"/>
              </w:rPr>
              <w:t>Anorexie</w:t>
            </w:r>
          </w:p>
          <w:p w:rsidR="00381679" w:rsidRDefault="00381679" w:rsidP="006A5715">
            <w:pPr>
              <w:pStyle w:val="Sansinterligne"/>
              <w:numPr>
                <w:ilvl w:val="0"/>
                <w:numId w:val="1545"/>
              </w:numPr>
              <w:rPr>
                <w:lang w:eastAsia="fr-CA"/>
              </w:rPr>
            </w:pPr>
            <w:r>
              <w:rPr>
                <w:lang w:eastAsia="fr-CA"/>
              </w:rPr>
              <w:t>Fièvre</w:t>
            </w:r>
          </w:p>
          <w:p w:rsidR="00381679" w:rsidRDefault="00381679" w:rsidP="006A5715">
            <w:pPr>
              <w:pStyle w:val="Sansinterligne"/>
              <w:numPr>
                <w:ilvl w:val="0"/>
                <w:numId w:val="1545"/>
              </w:numPr>
              <w:rPr>
                <w:lang w:eastAsia="fr-CA"/>
              </w:rPr>
            </w:pPr>
            <w:r>
              <w:rPr>
                <w:lang w:eastAsia="fr-CA"/>
              </w:rPr>
              <w:t>Perte de poids</w:t>
            </w:r>
          </w:p>
          <w:p w:rsidR="00F83573" w:rsidRDefault="00F83573" w:rsidP="006A5715">
            <w:pPr>
              <w:pStyle w:val="Sansinterligne"/>
              <w:numPr>
                <w:ilvl w:val="0"/>
                <w:numId w:val="1545"/>
              </w:numPr>
              <w:rPr>
                <w:lang w:eastAsia="fr-CA"/>
              </w:rPr>
            </w:pPr>
            <w:r>
              <w:rPr>
                <w:lang w:eastAsia="fr-CA"/>
              </w:rPr>
              <w:t>Parfois sang au TR</w:t>
            </w:r>
          </w:p>
        </w:tc>
      </w:tr>
      <w:tr w:rsidR="00910A4A" w:rsidTr="00F83573">
        <w:tc>
          <w:tcPr>
            <w:tcW w:w="2943" w:type="dxa"/>
            <w:shd w:val="clear" w:color="auto" w:fill="95B3D7" w:themeFill="accent1" w:themeFillTint="99"/>
            <w:vAlign w:val="center"/>
          </w:tcPr>
          <w:p w:rsidR="00910A4A" w:rsidRDefault="00910A4A" w:rsidP="00910A4A">
            <w:pPr>
              <w:pStyle w:val="Sansinterligne"/>
              <w:jc w:val="center"/>
              <w:rPr>
                <w:lang w:eastAsia="fr-CA"/>
              </w:rPr>
            </w:pPr>
            <w:r>
              <w:rPr>
                <w:lang w:eastAsia="fr-CA"/>
              </w:rPr>
              <w:t>Endométriose</w:t>
            </w:r>
          </w:p>
        </w:tc>
        <w:tc>
          <w:tcPr>
            <w:tcW w:w="7997" w:type="dxa"/>
            <w:gridSpan w:val="2"/>
          </w:tcPr>
          <w:p w:rsidR="00910A4A" w:rsidRDefault="00910A4A" w:rsidP="00F84B6F">
            <w:pPr>
              <w:pStyle w:val="Sansinterligne"/>
              <w:rPr>
                <w:lang w:eastAsia="fr-CA"/>
              </w:rPr>
            </w:pPr>
            <w:r>
              <w:rPr>
                <w:lang w:eastAsia="fr-CA"/>
              </w:rPr>
              <w:t xml:space="preserve">Voir </w:t>
            </w:r>
            <w:r w:rsidRPr="00910A4A">
              <w:rPr>
                <w:i/>
                <w:lang w:eastAsia="fr-CA"/>
              </w:rPr>
              <w:t>Douleur pelvienne CMC 73</w:t>
            </w:r>
          </w:p>
        </w:tc>
      </w:tr>
      <w:tr w:rsidR="00F83573" w:rsidTr="00F83573">
        <w:tc>
          <w:tcPr>
            <w:tcW w:w="2943" w:type="dxa"/>
            <w:shd w:val="clear" w:color="auto" w:fill="95B3D7" w:themeFill="accent1" w:themeFillTint="99"/>
            <w:vAlign w:val="center"/>
          </w:tcPr>
          <w:p w:rsidR="00F83573" w:rsidRDefault="00F83573" w:rsidP="00A82003">
            <w:pPr>
              <w:pStyle w:val="Sansinterligne"/>
              <w:jc w:val="center"/>
              <w:rPr>
                <w:lang w:eastAsia="fr-CA"/>
              </w:rPr>
            </w:pPr>
            <w:r>
              <w:rPr>
                <w:lang w:eastAsia="fr-CA"/>
              </w:rPr>
              <w:t>M</w:t>
            </w:r>
            <w:r w:rsidR="00A82003">
              <w:rPr>
                <w:lang w:eastAsia="fr-CA"/>
              </w:rPr>
              <w:t>x</w:t>
            </w:r>
            <w:r>
              <w:rPr>
                <w:lang w:eastAsia="fr-CA"/>
              </w:rPr>
              <w:t xml:space="preserve"> inflammatoire pelvienne </w:t>
            </w:r>
          </w:p>
        </w:tc>
        <w:tc>
          <w:tcPr>
            <w:tcW w:w="7997" w:type="dxa"/>
            <w:gridSpan w:val="2"/>
          </w:tcPr>
          <w:p w:rsidR="00F83573" w:rsidRDefault="00F83573" w:rsidP="00F84B6F">
            <w:pPr>
              <w:pStyle w:val="Sansinterligne"/>
              <w:rPr>
                <w:lang w:eastAsia="fr-CA"/>
              </w:rPr>
            </w:pPr>
            <w:r>
              <w:rPr>
                <w:lang w:eastAsia="fr-CA"/>
              </w:rPr>
              <w:t xml:space="preserve">Voir </w:t>
            </w:r>
            <w:r w:rsidRPr="00910A4A">
              <w:rPr>
                <w:i/>
                <w:lang w:eastAsia="fr-CA"/>
              </w:rPr>
              <w:t>Douleur pelvienne CMC 73</w:t>
            </w:r>
          </w:p>
        </w:tc>
      </w:tr>
    </w:tbl>
    <w:p w:rsidR="00DF5B70" w:rsidRPr="00A82003" w:rsidRDefault="00DF5B70" w:rsidP="009962B3">
      <w:pPr>
        <w:pStyle w:val="Sansinterligne"/>
        <w:rPr>
          <w:sz w:val="16"/>
          <w:szCs w:val="16"/>
          <w:lang w:eastAsia="fr-CA"/>
        </w:rPr>
      </w:pPr>
    </w:p>
    <w:p w:rsidR="00F84B6F" w:rsidRPr="009962B3" w:rsidRDefault="009962B3" w:rsidP="009962B3">
      <w:pPr>
        <w:pStyle w:val="Sansinterligne"/>
        <w:rPr>
          <w:b/>
          <w:sz w:val="28"/>
          <w:szCs w:val="28"/>
        </w:rPr>
      </w:pPr>
      <w:r w:rsidRPr="009962B3">
        <w:rPr>
          <w:b/>
          <w:sz w:val="28"/>
          <w:szCs w:val="28"/>
        </w:rPr>
        <w:t>Investigations</w:t>
      </w:r>
    </w:p>
    <w:p w:rsidR="009962B3" w:rsidRDefault="009962B3" w:rsidP="009962B3">
      <w:pPr>
        <w:pStyle w:val="Sansinterligne"/>
      </w:pPr>
    </w:p>
    <w:p w:rsidR="00A35A3A" w:rsidRDefault="00A35A3A" w:rsidP="006A5715">
      <w:pPr>
        <w:pStyle w:val="Sansinterligne"/>
        <w:numPr>
          <w:ilvl w:val="0"/>
          <w:numId w:val="1543"/>
        </w:numPr>
        <w:rPr>
          <w:lang w:val="de-DE"/>
        </w:rPr>
        <w:sectPr w:rsidR="00A35A3A" w:rsidSect="00E82F88">
          <w:type w:val="continuous"/>
          <w:pgSz w:w="12240" w:h="15840"/>
          <w:pgMar w:top="720" w:right="720" w:bottom="720" w:left="720" w:header="708" w:footer="708" w:gutter="0"/>
          <w:cols w:space="708"/>
          <w:titlePg/>
          <w:docGrid w:linePitch="360"/>
        </w:sectPr>
      </w:pPr>
    </w:p>
    <w:p w:rsidR="009962B3" w:rsidRPr="00EE05BD" w:rsidRDefault="00EE05BD" w:rsidP="006A5715">
      <w:pPr>
        <w:pStyle w:val="Sansinterligne"/>
        <w:numPr>
          <w:ilvl w:val="0"/>
          <w:numId w:val="1543"/>
        </w:numPr>
        <w:rPr>
          <w:lang w:val="de-DE"/>
        </w:rPr>
      </w:pPr>
      <w:r w:rsidRPr="00EE05BD">
        <w:rPr>
          <w:lang w:val="de-DE"/>
        </w:rPr>
        <w:lastRenderedPageBreak/>
        <w:t>FSC</w:t>
      </w:r>
      <w:r w:rsidR="0005678E">
        <w:rPr>
          <w:lang w:val="de-DE"/>
        </w:rPr>
        <w:t xml:space="preserve"> (anémie, infection – MIP)</w:t>
      </w:r>
    </w:p>
    <w:p w:rsidR="00EE05BD" w:rsidRPr="0005678E" w:rsidRDefault="00EE05BD" w:rsidP="006A5715">
      <w:pPr>
        <w:pStyle w:val="Sansinterligne"/>
        <w:numPr>
          <w:ilvl w:val="0"/>
          <w:numId w:val="1543"/>
        </w:numPr>
      </w:pPr>
      <w:r w:rsidRPr="0005678E">
        <w:t>AST, ALT, GGT, Phosphatase alcaline</w:t>
      </w:r>
      <w:r w:rsidR="0005678E" w:rsidRPr="0005678E">
        <w:t xml:space="preserve"> </w:t>
      </w:r>
      <w:r w:rsidR="00A35A3A">
        <w:t xml:space="preserve">                             </w:t>
      </w:r>
      <w:r w:rsidR="0005678E" w:rsidRPr="0005678E">
        <w:t>(</w:t>
      </w:r>
      <w:r w:rsidR="00A35A3A">
        <w:t>lésion</w:t>
      </w:r>
      <w:r w:rsidR="0005678E" w:rsidRPr="0005678E">
        <w:t xml:space="preserve"> hépatique, stase biliaire)</w:t>
      </w:r>
    </w:p>
    <w:p w:rsidR="00EE05BD" w:rsidRPr="00EE05BD" w:rsidRDefault="00EE05BD" w:rsidP="006A5715">
      <w:pPr>
        <w:pStyle w:val="Sansinterligne"/>
        <w:numPr>
          <w:ilvl w:val="0"/>
          <w:numId w:val="1543"/>
        </w:numPr>
      </w:pPr>
      <w:r w:rsidRPr="00EE05BD">
        <w:t>Lipase</w:t>
      </w:r>
      <w:r w:rsidR="0005678E">
        <w:t xml:space="preserve"> (pancréatite)</w:t>
      </w:r>
    </w:p>
    <w:p w:rsidR="00EE05BD" w:rsidRDefault="00EE05BD" w:rsidP="006A5715">
      <w:pPr>
        <w:pStyle w:val="Sansinterligne"/>
        <w:numPr>
          <w:ilvl w:val="0"/>
          <w:numId w:val="1543"/>
        </w:numPr>
      </w:pPr>
      <w:r w:rsidRPr="00EE05BD">
        <w:t>B-HCG</w:t>
      </w:r>
      <w:r w:rsidR="00A82003">
        <w:t>, ECG</w:t>
      </w:r>
      <w:r w:rsidRPr="00EE05BD">
        <w:t xml:space="preserve"> (toujours exclure)</w:t>
      </w:r>
    </w:p>
    <w:p w:rsidR="0010629E" w:rsidRDefault="0010629E" w:rsidP="006A5715">
      <w:pPr>
        <w:pStyle w:val="Sansinterligne"/>
        <w:numPr>
          <w:ilvl w:val="0"/>
          <w:numId w:val="1543"/>
        </w:numPr>
      </w:pPr>
      <w:r>
        <w:t>CRP</w:t>
      </w:r>
    </w:p>
    <w:p w:rsidR="005204FF" w:rsidRDefault="005204FF" w:rsidP="006A5715">
      <w:pPr>
        <w:pStyle w:val="Sansinterligne"/>
        <w:numPr>
          <w:ilvl w:val="0"/>
          <w:numId w:val="1543"/>
        </w:numPr>
      </w:pPr>
      <w:r>
        <w:t xml:space="preserve">Recherche H. Pylori </w:t>
      </w:r>
      <w:r w:rsidR="00A35A3A">
        <w:t xml:space="preserve">                                                             </w:t>
      </w:r>
      <w:r>
        <w:t>(ex : sérologie, test à l’uréase sur biopsie)</w:t>
      </w:r>
    </w:p>
    <w:p w:rsidR="009962B3" w:rsidRPr="0005678E" w:rsidRDefault="0005678E" w:rsidP="006A5715">
      <w:pPr>
        <w:pStyle w:val="Sansinterligne"/>
        <w:numPr>
          <w:ilvl w:val="0"/>
          <w:numId w:val="1543"/>
        </w:numPr>
      </w:pPr>
      <w:r w:rsidRPr="0005678E">
        <w:lastRenderedPageBreak/>
        <w:t>RXP (pneumonie</w:t>
      </w:r>
      <w:r w:rsidR="00C647E1">
        <w:t xml:space="preserve"> = DX radiologique</w:t>
      </w:r>
      <w:r w:rsidRPr="0005678E">
        <w:t>)</w:t>
      </w:r>
    </w:p>
    <w:p w:rsidR="0005678E" w:rsidRPr="0005678E" w:rsidRDefault="0005678E" w:rsidP="006A5715">
      <w:pPr>
        <w:pStyle w:val="Sansinterligne"/>
        <w:numPr>
          <w:ilvl w:val="0"/>
          <w:numId w:val="1543"/>
        </w:numPr>
      </w:pPr>
      <w:r w:rsidRPr="0005678E">
        <w:t>RXA (pneumopéritoine et complications)</w:t>
      </w:r>
    </w:p>
    <w:p w:rsidR="0005678E" w:rsidRPr="004C23D8" w:rsidRDefault="0005678E" w:rsidP="006A5715">
      <w:pPr>
        <w:pStyle w:val="Sansinterligne"/>
        <w:numPr>
          <w:ilvl w:val="0"/>
          <w:numId w:val="1543"/>
        </w:numPr>
      </w:pPr>
      <w:r w:rsidRPr="004C23D8">
        <w:t>Échographie (colique biliaire</w:t>
      </w:r>
      <w:r w:rsidR="004C23D8" w:rsidRPr="004C23D8">
        <w:t xml:space="preserve"> et cirrhose</w:t>
      </w:r>
      <w:r w:rsidRPr="004C23D8">
        <w:t>)</w:t>
      </w:r>
    </w:p>
    <w:p w:rsidR="0005678E" w:rsidRPr="0005678E" w:rsidRDefault="0005678E" w:rsidP="006A5715">
      <w:pPr>
        <w:pStyle w:val="Sansinterligne"/>
        <w:numPr>
          <w:ilvl w:val="0"/>
          <w:numId w:val="1543"/>
        </w:numPr>
      </w:pPr>
      <w:r w:rsidRPr="0005678E">
        <w:t>TDM abdominopelvien (colite, néoplasies, pancréatite)</w:t>
      </w:r>
    </w:p>
    <w:p w:rsidR="0005678E" w:rsidRPr="00A35A3A" w:rsidRDefault="0005678E" w:rsidP="006A5715">
      <w:pPr>
        <w:pStyle w:val="Sansinterligne"/>
        <w:numPr>
          <w:ilvl w:val="0"/>
          <w:numId w:val="1543"/>
        </w:numPr>
      </w:pPr>
      <w:r w:rsidRPr="00A35A3A">
        <w:t>Gastroscopie (ulcère peptique)</w:t>
      </w:r>
    </w:p>
    <w:p w:rsidR="00A35A3A" w:rsidRPr="00A82003" w:rsidRDefault="00A82003" w:rsidP="006A5715">
      <w:pPr>
        <w:pStyle w:val="Sansinterligne"/>
        <w:numPr>
          <w:ilvl w:val="0"/>
          <w:numId w:val="1543"/>
        </w:numPr>
        <w:sectPr w:rsidR="00A35A3A" w:rsidRPr="00A82003" w:rsidSect="00A35A3A">
          <w:type w:val="continuous"/>
          <w:pgSz w:w="12240" w:h="15840"/>
          <w:pgMar w:top="720" w:right="720" w:bottom="720" w:left="720" w:header="708" w:footer="708" w:gutter="0"/>
          <w:cols w:num="2" w:space="0"/>
          <w:titlePg/>
          <w:docGrid w:linePitch="360"/>
        </w:sectPr>
      </w:pPr>
      <w:r>
        <w:rPr>
          <w:noProof/>
          <w:lang w:eastAsia="fr-CA"/>
        </w:rPr>
        <mc:AlternateContent>
          <mc:Choice Requires="wps">
            <w:drawing>
              <wp:anchor distT="0" distB="0" distL="114300" distR="114300" simplePos="0" relativeHeight="252255232" behindDoc="0" locked="0" layoutInCell="1" allowOverlap="1" wp14:anchorId="0369E26C" wp14:editId="101FFEBD">
                <wp:simplePos x="0" y="0"/>
                <wp:positionH relativeFrom="column">
                  <wp:posOffset>792804</wp:posOffset>
                </wp:positionH>
                <wp:positionV relativeFrom="paragraph">
                  <wp:posOffset>206524</wp:posOffset>
                </wp:positionV>
                <wp:extent cx="2374265" cy="1643974"/>
                <wp:effectExtent l="0" t="0" r="19050" b="13970"/>
                <wp:wrapNone/>
                <wp:docPr id="69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643974"/>
                        </a:xfrm>
                        <a:prstGeom prst="rect">
                          <a:avLst/>
                        </a:prstGeom>
                        <a:solidFill>
                          <a:schemeClr val="accent1">
                            <a:lumMod val="60000"/>
                            <a:lumOff val="40000"/>
                          </a:schemeClr>
                        </a:solidFill>
                        <a:ln w="9525">
                          <a:solidFill>
                            <a:srgbClr val="000000"/>
                          </a:solidFill>
                          <a:miter lim="800000"/>
                          <a:headEnd/>
                          <a:tailEnd/>
                        </a:ln>
                      </wps:spPr>
                      <wps:txbx>
                        <w:txbxContent>
                          <w:p w:rsidR="008276DC" w:rsidRPr="006B56E0" w:rsidRDefault="008276DC" w:rsidP="00A82003">
                            <w:pPr>
                              <w:spacing w:after="0"/>
                              <w:jc w:val="center"/>
                              <w:rPr>
                                <w:b/>
                                <w:sz w:val="20"/>
                                <w:szCs w:val="20"/>
                                <w:u w:val="single"/>
                                <w:lang w:val="es-NI"/>
                              </w:rPr>
                            </w:pPr>
                            <w:r w:rsidRPr="006B56E0">
                              <w:rPr>
                                <w:b/>
                                <w:sz w:val="20"/>
                                <w:szCs w:val="20"/>
                                <w:u w:val="single"/>
                                <w:lang w:val="es-NI"/>
                              </w:rPr>
                              <w:t>CURB-65</w:t>
                            </w:r>
                          </w:p>
                          <w:p w:rsidR="008276DC" w:rsidRPr="006B56E0" w:rsidRDefault="008276DC" w:rsidP="0005678E">
                            <w:pPr>
                              <w:spacing w:after="0"/>
                              <w:rPr>
                                <w:sz w:val="20"/>
                                <w:szCs w:val="20"/>
                                <w:lang w:val="es-NI"/>
                              </w:rPr>
                            </w:pPr>
                            <w:r w:rsidRPr="006B56E0">
                              <w:rPr>
                                <w:b/>
                                <w:sz w:val="20"/>
                                <w:szCs w:val="20"/>
                                <w:lang w:val="es-NI"/>
                              </w:rPr>
                              <w:t>C</w:t>
                            </w:r>
                            <w:r w:rsidRPr="006B56E0">
                              <w:rPr>
                                <w:sz w:val="20"/>
                                <w:szCs w:val="20"/>
                                <w:lang w:val="es-NI"/>
                              </w:rPr>
                              <w:t xml:space="preserve"> onfusion</w:t>
                            </w:r>
                          </w:p>
                          <w:p w:rsidR="008276DC" w:rsidRPr="006B56E0" w:rsidRDefault="008276DC" w:rsidP="0005678E">
                            <w:pPr>
                              <w:spacing w:after="0"/>
                              <w:rPr>
                                <w:sz w:val="20"/>
                                <w:szCs w:val="20"/>
                                <w:lang w:val="es-NI"/>
                              </w:rPr>
                            </w:pPr>
                            <w:r w:rsidRPr="006B56E0">
                              <w:rPr>
                                <w:b/>
                                <w:sz w:val="20"/>
                                <w:szCs w:val="20"/>
                                <w:lang w:val="es-NI"/>
                              </w:rPr>
                              <w:t>U</w:t>
                            </w:r>
                            <w:r w:rsidRPr="006B56E0">
                              <w:rPr>
                                <w:sz w:val="20"/>
                                <w:szCs w:val="20"/>
                                <w:lang w:val="es-NI"/>
                              </w:rPr>
                              <w:t xml:space="preserve"> rea </w:t>
                            </w:r>
                            <w:r w:rsidRPr="006B56E0">
                              <w:rPr>
                                <w:rFonts w:ascii="Century Gothic" w:hAnsi="Century Gothic"/>
                                <w:sz w:val="20"/>
                                <w:szCs w:val="20"/>
                                <w:lang w:val="es-NI"/>
                              </w:rPr>
                              <w:t>&gt;</w:t>
                            </w:r>
                            <w:r w:rsidRPr="006B56E0">
                              <w:rPr>
                                <w:sz w:val="20"/>
                                <w:szCs w:val="20"/>
                                <w:lang w:val="es-NI"/>
                              </w:rPr>
                              <w:t xml:space="preserve"> 7 mmol/L </w:t>
                            </w:r>
                          </w:p>
                          <w:p w:rsidR="008276DC" w:rsidRPr="00A82003" w:rsidRDefault="008276DC" w:rsidP="0005678E">
                            <w:pPr>
                              <w:spacing w:after="0"/>
                              <w:rPr>
                                <w:sz w:val="20"/>
                                <w:szCs w:val="20"/>
                                <w:lang w:val="en-CA"/>
                              </w:rPr>
                            </w:pPr>
                            <w:r w:rsidRPr="00A82003">
                              <w:rPr>
                                <w:b/>
                                <w:sz w:val="20"/>
                                <w:szCs w:val="20"/>
                                <w:lang w:val="en-CA"/>
                              </w:rPr>
                              <w:t>R</w:t>
                            </w:r>
                            <w:r w:rsidRPr="00A82003">
                              <w:rPr>
                                <w:sz w:val="20"/>
                                <w:szCs w:val="20"/>
                                <w:lang w:val="en-CA"/>
                              </w:rPr>
                              <w:t xml:space="preserve"> espiratory rate </w:t>
                            </w:r>
                            <w:r w:rsidRPr="00A82003">
                              <w:rPr>
                                <w:rFonts w:ascii="Century Gothic" w:hAnsi="Century Gothic"/>
                                <w:sz w:val="20"/>
                                <w:szCs w:val="20"/>
                                <w:lang w:val="en-CA"/>
                              </w:rPr>
                              <w:t>&gt;</w:t>
                            </w:r>
                            <w:r w:rsidRPr="00A82003">
                              <w:rPr>
                                <w:sz w:val="20"/>
                                <w:szCs w:val="20"/>
                                <w:lang w:val="en-CA"/>
                              </w:rPr>
                              <w:t xml:space="preserve"> 30</w:t>
                            </w:r>
                          </w:p>
                          <w:p w:rsidR="008276DC" w:rsidRPr="00A82003" w:rsidRDefault="008276DC" w:rsidP="0005678E">
                            <w:pPr>
                              <w:spacing w:after="0"/>
                              <w:rPr>
                                <w:sz w:val="20"/>
                                <w:szCs w:val="20"/>
                                <w:lang w:val="en-CA"/>
                              </w:rPr>
                            </w:pPr>
                            <w:r w:rsidRPr="00A82003">
                              <w:rPr>
                                <w:b/>
                                <w:sz w:val="20"/>
                                <w:szCs w:val="20"/>
                                <w:lang w:val="en-CA"/>
                              </w:rPr>
                              <w:t>B</w:t>
                            </w:r>
                            <w:r w:rsidRPr="00A82003">
                              <w:rPr>
                                <w:sz w:val="20"/>
                                <w:szCs w:val="20"/>
                                <w:lang w:val="en-CA"/>
                              </w:rPr>
                              <w:t xml:space="preserve"> lood pressure </w:t>
                            </w:r>
                            <w:r w:rsidRPr="00A82003">
                              <w:rPr>
                                <w:rFonts w:ascii="Century Gothic" w:hAnsi="Century Gothic"/>
                                <w:sz w:val="20"/>
                                <w:szCs w:val="20"/>
                                <w:lang w:val="en-CA"/>
                              </w:rPr>
                              <w:t>&lt;</w:t>
                            </w:r>
                            <w:r w:rsidRPr="00A82003">
                              <w:rPr>
                                <w:sz w:val="20"/>
                                <w:szCs w:val="20"/>
                                <w:lang w:val="en-CA"/>
                              </w:rPr>
                              <w:t xml:space="preserve"> 90/60</w:t>
                            </w:r>
                          </w:p>
                          <w:p w:rsidR="008276DC" w:rsidRPr="006B56E0" w:rsidRDefault="008276DC" w:rsidP="0005678E">
                            <w:pPr>
                              <w:spacing w:after="0"/>
                              <w:rPr>
                                <w:sz w:val="20"/>
                                <w:szCs w:val="20"/>
                              </w:rPr>
                            </w:pPr>
                            <w:r w:rsidRPr="006B56E0">
                              <w:rPr>
                                <w:b/>
                                <w:sz w:val="20"/>
                                <w:szCs w:val="20"/>
                              </w:rPr>
                              <w:t>65</w:t>
                            </w:r>
                            <w:r w:rsidRPr="006B56E0">
                              <w:rPr>
                                <w:sz w:val="20"/>
                                <w:szCs w:val="20"/>
                              </w:rPr>
                              <w:t xml:space="preserve"> Âge </w:t>
                            </w:r>
                            <w:r w:rsidRPr="006B56E0">
                              <w:rPr>
                                <w:rFonts w:ascii="Century Gothic" w:hAnsi="Century Gothic"/>
                                <w:sz w:val="20"/>
                                <w:szCs w:val="20"/>
                              </w:rPr>
                              <w:t>≥</w:t>
                            </w:r>
                            <w:r w:rsidRPr="006B56E0">
                              <w:rPr>
                                <w:sz w:val="20"/>
                                <w:szCs w:val="20"/>
                              </w:rPr>
                              <w:t xml:space="preserve"> 65</w:t>
                            </w:r>
                          </w:p>
                          <w:p w:rsidR="008276DC" w:rsidRPr="00A82003" w:rsidRDefault="008276DC" w:rsidP="00C647E1">
                            <w:pPr>
                              <w:spacing w:after="0"/>
                              <w:jc w:val="center"/>
                              <w:rPr>
                                <w:sz w:val="20"/>
                                <w:szCs w:val="20"/>
                                <w:u w:val="single"/>
                              </w:rPr>
                            </w:pPr>
                            <w:r w:rsidRPr="00A82003">
                              <w:rPr>
                                <w:sz w:val="20"/>
                                <w:szCs w:val="20"/>
                                <w:u w:val="single"/>
                              </w:rPr>
                              <w:t xml:space="preserve">Si </w:t>
                            </w:r>
                            <w:r w:rsidRPr="00A82003">
                              <w:rPr>
                                <w:rFonts w:ascii="Century Gothic" w:hAnsi="Century Gothic"/>
                                <w:sz w:val="20"/>
                                <w:szCs w:val="20"/>
                                <w:u w:val="single"/>
                              </w:rPr>
                              <w:t>≥</w:t>
                            </w:r>
                            <w:r w:rsidRPr="00A82003">
                              <w:rPr>
                                <w:sz w:val="20"/>
                                <w:szCs w:val="20"/>
                                <w:u w:val="single"/>
                              </w:rPr>
                              <w:t xml:space="preserve"> 2 </w:t>
                            </w:r>
                            <w:r w:rsidRPr="00A82003">
                              <w:rPr>
                                <w:rFonts w:ascii="Century Gothic" w:hAnsi="Century Gothic"/>
                                <w:sz w:val="20"/>
                                <w:szCs w:val="20"/>
                                <w:u w:val="single"/>
                              </w:rPr>
                              <w:t>→</w:t>
                            </w:r>
                            <w:r w:rsidRPr="00A82003">
                              <w:rPr>
                                <w:sz w:val="20"/>
                                <w:szCs w:val="20"/>
                                <w:u w:val="single"/>
                              </w:rPr>
                              <w:t xml:space="preserve"> </w:t>
                            </w:r>
                            <w:r w:rsidRPr="00A82003">
                              <w:rPr>
                                <w:rFonts w:ascii="Century Gothic" w:hAnsi="Century Gothic"/>
                                <w:sz w:val="20"/>
                                <w:szCs w:val="20"/>
                                <w:u w:val="single"/>
                              </w:rPr>
                              <w:t>≥</w:t>
                            </w:r>
                            <w:r w:rsidRPr="00A82003">
                              <w:rPr>
                                <w:sz w:val="20"/>
                                <w:szCs w:val="20"/>
                                <w:u w:val="single"/>
                              </w:rPr>
                              <w:t xml:space="preserve">9% décès </w:t>
                            </w:r>
                            <w:r w:rsidRPr="00A82003">
                              <w:rPr>
                                <w:rFonts w:ascii="Century Gothic" w:hAnsi="Century Gothic"/>
                                <w:sz w:val="20"/>
                                <w:szCs w:val="20"/>
                                <w:u w:val="single"/>
                              </w:rPr>
                              <w:t>→</w:t>
                            </w:r>
                            <w:r w:rsidRPr="00A82003">
                              <w:rPr>
                                <w:sz w:val="20"/>
                                <w:szCs w:val="20"/>
                                <w:u w:val="single"/>
                              </w:rPr>
                              <w:t xml:space="preserve"> hospitaliser</w:t>
                            </w:r>
                          </w:p>
                          <w:p w:rsidR="008276DC" w:rsidRPr="00A82003" w:rsidRDefault="008276DC" w:rsidP="00C647E1">
                            <w:pPr>
                              <w:jc w:val="center"/>
                              <w:rPr>
                                <w:sz w:val="20"/>
                                <w:szCs w:val="20"/>
                                <w:u w:val="single"/>
                              </w:rPr>
                            </w:pPr>
                            <w:r w:rsidRPr="00A82003">
                              <w:rPr>
                                <w:rFonts w:ascii="Century Gothic" w:hAnsi="Century Gothic"/>
                                <w:sz w:val="20"/>
                                <w:szCs w:val="20"/>
                                <w:u w:val="single"/>
                              </w:rPr>
                              <w:t>Si ≥</w:t>
                            </w:r>
                            <w:r w:rsidRPr="00A82003">
                              <w:rPr>
                                <w:sz w:val="20"/>
                                <w:szCs w:val="20"/>
                                <w:u w:val="single"/>
                              </w:rPr>
                              <w:t xml:space="preserve">4-5 </w:t>
                            </w:r>
                            <w:r w:rsidRPr="00A82003">
                              <w:rPr>
                                <w:rFonts w:ascii="Century Gothic" w:hAnsi="Century Gothic"/>
                                <w:sz w:val="20"/>
                                <w:szCs w:val="20"/>
                                <w:u w:val="single"/>
                              </w:rPr>
                              <w:t>→</w:t>
                            </w:r>
                            <w:r w:rsidRPr="00A82003">
                              <w:rPr>
                                <w:sz w:val="20"/>
                                <w:szCs w:val="20"/>
                                <w:u w:val="single"/>
                              </w:rPr>
                              <w:t xml:space="preserve"> 15-30% décès </w:t>
                            </w:r>
                            <w:r w:rsidRPr="00A82003">
                              <w:rPr>
                                <w:rFonts w:ascii="Century Gothic" w:hAnsi="Century Gothic"/>
                                <w:sz w:val="20"/>
                                <w:szCs w:val="20"/>
                                <w:u w:val="single"/>
                              </w:rPr>
                              <w:t>→</w:t>
                            </w:r>
                            <w:r w:rsidRPr="00A82003">
                              <w:rPr>
                                <w:sz w:val="20"/>
                                <w:szCs w:val="20"/>
                                <w:u w:val="single"/>
                              </w:rPr>
                              <w:t xml:space="preserve"> considérer USI</w:t>
                            </w:r>
                          </w:p>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 id="_x0000_s1042" type="#_x0000_t202" style="position:absolute;left:0;text-align:left;margin-left:62.45pt;margin-top:16.25pt;width:186.95pt;height:129.45pt;z-index:252255232;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" fillcolor="#95b3d7 [1940]">
                <v:textbox>
                  <w:txbxContent>
                    <w:p w:rsidR="008276DC" w:rsidRPr="006B56E0" w:rsidRDefault="008276DC" w:rsidP="00A82003">
                      <w:pPr>
                        <w:spacing w:after="0"/>
                        <w:jc w:val="center"/>
                        <w:rPr>
                          <w:b/>
                          <w:sz w:val="20"/>
                          <w:szCs w:val="20"/>
                          <w:u w:val="single"/>
                          <w:lang w:val="es-NI"/>
                        </w:rPr>
                      </w:pPr>
                      <w:r w:rsidRPr="006B56E0">
                        <w:rPr>
                          <w:b/>
                          <w:sz w:val="20"/>
                          <w:szCs w:val="20"/>
                          <w:u w:val="single"/>
                          <w:lang w:val="es-NI"/>
                        </w:rPr>
                        <w:t>CURB-65</w:t>
                      </w:r>
                    </w:p>
                    <w:p w:rsidR="008276DC" w:rsidRPr="006B56E0" w:rsidRDefault="008276DC" w:rsidP="0005678E">
                      <w:pPr>
                        <w:spacing w:after="0"/>
                        <w:rPr>
                          <w:sz w:val="20"/>
                          <w:szCs w:val="20"/>
                          <w:lang w:val="es-NI"/>
                        </w:rPr>
                      </w:pPr>
                      <w:r w:rsidRPr="006B56E0">
                        <w:rPr>
                          <w:b/>
                          <w:sz w:val="20"/>
                          <w:szCs w:val="20"/>
                          <w:lang w:val="es-NI"/>
                        </w:rPr>
                        <w:t>C</w:t>
                      </w:r>
                      <w:r w:rsidRPr="006B56E0">
                        <w:rPr>
                          <w:sz w:val="20"/>
                          <w:szCs w:val="20"/>
                          <w:lang w:val="es-NI"/>
                        </w:rPr>
                        <w:t xml:space="preserve"> onfusion</w:t>
                      </w:r>
                    </w:p>
                    <w:p w:rsidR="008276DC" w:rsidRPr="006B56E0" w:rsidRDefault="008276DC" w:rsidP="0005678E">
                      <w:pPr>
                        <w:spacing w:after="0"/>
                        <w:rPr>
                          <w:sz w:val="20"/>
                          <w:szCs w:val="20"/>
                          <w:lang w:val="es-NI"/>
                        </w:rPr>
                      </w:pPr>
                      <w:r w:rsidRPr="006B56E0">
                        <w:rPr>
                          <w:b/>
                          <w:sz w:val="20"/>
                          <w:szCs w:val="20"/>
                          <w:lang w:val="es-NI"/>
                        </w:rPr>
                        <w:t>U</w:t>
                      </w:r>
                      <w:r w:rsidRPr="006B56E0">
                        <w:rPr>
                          <w:sz w:val="20"/>
                          <w:szCs w:val="20"/>
                          <w:lang w:val="es-NI"/>
                        </w:rPr>
                        <w:t xml:space="preserve"> rea </w:t>
                      </w:r>
                      <w:r w:rsidRPr="006B56E0">
                        <w:rPr>
                          <w:rFonts w:ascii="Century Gothic" w:hAnsi="Century Gothic"/>
                          <w:sz w:val="20"/>
                          <w:szCs w:val="20"/>
                          <w:lang w:val="es-NI"/>
                        </w:rPr>
                        <w:t>&gt;</w:t>
                      </w:r>
                      <w:r w:rsidRPr="006B56E0">
                        <w:rPr>
                          <w:sz w:val="20"/>
                          <w:szCs w:val="20"/>
                          <w:lang w:val="es-NI"/>
                        </w:rPr>
                        <w:t xml:space="preserve"> 7 mmol/L </w:t>
                      </w:r>
                    </w:p>
                    <w:p w:rsidR="008276DC" w:rsidRPr="00A82003" w:rsidRDefault="008276DC" w:rsidP="0005678E">
                      <w:pPr>
                        <w:spacing w:after="0"/>
                        <w:rPr>
                          <w:sz w:val="20"/>
                          <w:szCs w:val="20"/>
                          <w:lang w:val="en-CA"/>
                        </w:rPr>
                      </w:pPr>
                      <w:r w:rsidRPr="00A82003">
                        <w:rPr>
                          <w:b/>
                          <w:sz w:val="20"/>
                          <w:szCs w:val="20"/>
                          <w:lang w:val="en-CA"/>
                        </w:rPr>
                        <w:t>R</w:t>
                      </w:r>
                      <w:r w:rsidRPr="00A82003">
                        <w:rPr>
                          <w:sz w:val="20"/>
                          <w:szCs w:val="20"/>
                          <w:lang w:val="en-CA"/>
                        </w:rPr>
                        <w:t xml:space="preserve"> espiratory rate </w:t>
                      </w:r>
                      <w:r w:rsidRPr="00A82003">
                        <w:rPr>
                          <w:rFonts w:ascii="Century Gothic" w:hAnsi="Century Gothic"/>
                          <w:sz w:val="20"/>
                          <w:szCs w:val="20"/>
                          <w:lang w:val="en-CA"/>
                        </w:rPr>
                        <w:t>&gt;</w:t>
                      </w:r>
                      <w:r w:rsidRPr="00A82003">
                        <w:rPr>
                          <w:sz w:val="20"/>
                          <w:szCs w:val="20"/>
                          <w:lang w:val="en-CA"/>
                        </w:rPr>
                        <w:t xml:space="preserve"> 30</w:t>
                      </w:r>
                    </w:p>
                    <w:p w:rsidR="008276DC" w:rsidRPr="00A82003" w:rsidRDefault="008276DC" w:rsidP="0005678E">
                      <w:pPr>
                        <w:spacing w:after="0"/>
                        <w:rPr>
                          <w:sz w:val="20"/>
                          <w:szCs w:val="20"/>
                          <w:lang w:val="en-CA"/>
                        </w:rPr>
                      </w:pPr>
                      <w:r w:rsidRPr="00A82003">
                        <w:rPr>
                          <w:b/>
                          <w:sz w:val="20"/>
                          <w:szCs w:val="20"/>
                          <w:lang w:val="en-CA"/>
                        </w:rPr>
                        <w:t>B</w:t>
                      </w:r>
                      <w:r w:rsidRPr="00A82003">
                        <w:rPr>
                          <w:sz w:val="20"/>
                          <w:szCs w:val="20"/>
                          <w:lang w:val="en-CA"/>
                        </w:rPr>
                        <w:t xml:space="preserve"> lood pressure </w:t>
                      </w:r>
                      <w:r w:rsidRPr="00A82003">
                        <w:rPr>
                          <w:rFonts w:ascii="Century Gothic" w:hAnsi="Century Gothic"/>
                          <w:sz w:val="20"/>
                          <w:szCs w:val="20"/>
                          <w:lang w:val="en-CA"/>
                        </w:rPr>
                        <w:t>&lt;</w:t>
                      </w:r>
                      <w:r w:rsidRPr="00A82003">
                        <w:rPr>
                          <w:sz w:val="20"/>
                          <w:szCs w:val="20"/>
                          <w:lang w:val="en-CA"/>
                        </w:rPr>
                        <w:t xml:space="preserve"> 90/60</w:t>
                      </w:r>
                    </w:p>
                    <w:p w:rsidR="008276DC" w:rsidRPr="006B56E0" w:rsidRDefault="008276DC" w:rsidP="0005678E">
                      <w:pPr>
                        <w:spacing w:after="0"/>
                        <w:rPr>
                          <w:sz w:val="20"/>
                          <w:szCs w:val="20"/>
                        </w:rPr>
                      </w:pPr>
                      <w:r w:rsidRPr="006B56E0">
                        <w:rPr>
                          <w:b/>
                          <w:sz w:val="20"/>
                          <w:szCs w:val="20"/>
                        </w:rPr>
                        <w:t>65</w:t>
                      </w:r>
                      <w:r w:rsidRPr="006B56E0">
                        <w:rPr>
                          <w:sz w:val="20"/>
                          <w:szCs w:val="20"/>
                        </w:rPr>
                        <w:t xml:space="preserve"> Âge </w:t>
                      </w:r>
                      <w:r w:rsidRPr="006B56E0">
                        <w:rPr>
                          <w:rFonts w:ascii="Century Gothic" w:hAnsi="Century Gothic"/>
                          <w:sz w:val="20"/>
                          <w:szCs w:val="20"/>
                        </w:rPr>
                        <w:t>≥</w:t>
                      </w:r>
                      <w:r w:rsidRPr="006B56E0">
                        <w:rPr>
                          <w:sz w:val="20"/>
                          <w:szCs w:val="20"/>
                        </w:rPr>
                        <w:t xml:space="preserve"> 65</w:t>
                      </w:r>
                    </w:p>
                    <w:p w:rsidR="008276DC" w:rsidRPr="00A82003" w:rsidRDefault="008276DC" w:rsidP="00C647E1">
                      <w:pPr>
                        <w:spacing w:after="0"/>
                        <w:jc w:val="center"/>
                        <w:rPr>
                          <w:sz w:val="20"/>
                          <w:szCs w:val="20"/>
                          <w:u w:val="single"/>
                        </w:rPr>
                      </w:pPr>
                      <w:r w:rsidRPr="00A82003">
                        <w:rPr>
                          <w:sz w:val="20"/>
                          <w:szCs w:val="20"/>
                          <w:u w:val="single"/>
                        </w:rPr>
                        <w:t xml:space="preserve">Si </w:t>
                      </w:r>
                      <w:r w:rsidRPr="00A82003">
                        <w:rPr>
                          <w:rFonts w:ascii="Century Gothic" w:hAnsi="Century Gothic"/>
                          <w:sz w:val="20"/>
                          <w:szCs w:val="20"/>
                          <w:u w:val="single"/>
                        </w:rPr>
                        <w:t>≥</w:t>
                      </w:r>
                      <w:r w:rsidRPr="00A82003">
                        <w:rPr>
                          <w:sz w:val="20"/>
                          <w:szCs w:val="20"/>
                          <w:u w:val="single"/>
                        </w:rPr>
                        <w:t xml:space="preserve"> 2 </w:t>
                      </w:r>
                      <w:r w:rsidRPr="00A82003">
                        <w:rPr>
                          <w:rFonts w:ascii="Century Gothic" w:hAnsi="Century Gothic"/>
                          <w:sz w:val="20"/>
                          <w:szCs w:val="20"/>
                          <w:u w:val="single"/>
                        </w:rPr>
                        <w:t>→</w:t>
                      </w:r>
                      <w:r w:rsidRPr="00A82003">
                        <w:rPr>
                          <w:sz w:val="20"/>
                          <w:szCs w:val="20"/>
                          <w:u w:val="single"/>
                        </w:rPr>
                        <w:t xml:space="preserve"> </w:t>
                      </w:r>
                      <w:r w:rsidRPr="00A82003">
                        <w:rPr>
                          <w:rFonts w:ascii="Century Gothic" w:hAnsi="Century Gothic"/>
                          <w:sz w:val="20"/>
                          <w:szCs w:val="20"/>
                          <w:u w:val="single"/>
                        </w:rPr>
                        <w:t>≥</w:t>
                      </w:r>
                      <w:r w:rsidRPr="00A82003">
                        <w:rPr>
                          <w:sz w:val="20"/>
                          <w:szCs w:val="20"/>
                          <w:u w:val="single"/>
                        </w:rPr>
                        <w:t xml:space="preserve">9% décès </w:t>
                      </w:r>
                      <w:r w:rsidRPr="00A82003">
                        <w:rPr>
                          <w:rFonts w:ascii="Century Gothic" w:hAnsi="Century Gothic"/>
                          <w:sz w:val="20"/>
                          <w:szCs w:val="20"/>
                          <w:u w:val="single"/>
                        </w:rPr>
                        <w:t>→</w:t>
                      </w:r>
                      <w:r w:rsidRPr="00A82003">
                        <w:rPr>
                          <w:sz w:val="20"/>
                          <w:szCs w:val="20"/>
                          <w:u w:val="single"/>
                        </w:rPr>
                        <w:t xml:space="preserve"> hospitaliser</w:t>
                      </w:r>
                    </w:p>
                    <w:p w:rsidR="008276DC" w:rsidRPr="00A82003" w:rsidRDefault="008276DC" w:rsidP="00C647E1">
                      <w:pPr>
                        <w:jc w:val="center"/>
                        <w:rPr>
                          <w:sz w:val="20"/>
                          <w:szCs w:val="20"/>
                          <w:u w:val="single"/>
                        </w:rPr>
                      </w:pPr>
                      <w:r w:rsidRPr="00A82003">
                        <w:rPr>
                          <w:rFonts w:ascii="Century Gothic" w:hAnsi="Century Gothic"/>
                          <w:sz w:val="20"/>
                          <w:szCs w:val="20"/>
                          <w:u w:val="single"/>
                        </w:rPr>
                        <w:t>Si ≥</w:t>
                      </w:r>
                      <w:r w:rsidRPr="00A82003">
                        <w:rPr>
                          <w:sz w:val="20"/>
                          <w:szCs w:val="20"/>
                          <w:u w:val="single"/>
                        </w:rPr>
                        <w:t xml:space="preserve">4-5 </w:t>
                      </w:r>
                      <w:r w:rsidRPr="00A82003">
                        <w:rPr>
                          <w:rFonts w:ascii="Century Gothic" w:hAnsi="Century Gothic"/>
                          <w:sz w:val="20"/>
                          <w:szCs w:val="20"/>
                          <w:u w:val="single"/>
                        </w:rPr>
                        <w:t>→</w:t>
                      </w:r>
                      <w:r w:rsidRPr="00A82003">
                        <w:rPr>
                          <w:sz w:val="20"/>
                          <w:szCs w:val="20"/>
                          <w:u w:val="single"/>
                        </w:rPr>
                        <w:t xml:space="preserve"> 15-30% décès </w:t>
                      </w:r>
                      <w:r w:rsidRPr="00A82003">
                        <w:rPr>
                          <w:rFonts w:ascii="Century Gothic" w:hAnsi="Century Gothic"/>
                          <w:sz w:val="20"/>
                          <w:szCs w:val="20"/>
                          <w:u w:val="single"/>
                        </w:rPr>
                        <w:t>→</w:t>
                      </w:r>
                      <w:r w:rsidRPr="00A82003">
                        <w:rPr>
                          <w:sz w:val="20"/>
                          <w:szCs w:val="20"/>
                          <w:u w:val="single"/>
                        </w:rPr>
                        <w:t xml:space="preserve"> considérer USI</w:t>
                      </w:r>
                    </w:p>
                  </w:txbxContent>
                </v:textbox>
              </v:shape>
            </w:pict>
          </mc:Fallback>
        </mc:AlternateContent>
      </w:r>
      <w:r w:rsidR="0005678E" w:rsidRPr="00A35A3A">
        <w:t>Colonoscopie (MII)</w:t>
      </w:r>
    </w:p>
    <w:p w:rsidR="0005678E" w:rsidRPr="00A82003" w:rsidRDefault="0005678E" w:rsidP="009962B3">
      <w:pPr>
        <w:pStyle w:val="Sansinterligne"/>
        <w:rPr>
          <w:b/>
          <w:sz w:val="16"/>
          <w:szCs w:val="16"/>
        </w:rPr>
      </w:pPr>
    </w:p>
    <w:p w:rsidR="009962B3" w:rsidRPr="009962B3" w:rsidRDefault="009962B3" w:rsidP="009962B3">
      <w:pPr>
        <w:pStyle w:val="Sansinterligne"/>
        <w:rPr>
          <w:b/>
          <w:sz w:val="28"/>
          <w:szCs w:val="28"/>
        </w:rPr>
      </w:pPr>
      <w:r w:rsidRPr="009962B3">
        <w:rPr>
          <w:b/>
          <w:sz w:val="28"/>
          <w:szCs w:val="28"/>
        </w:rPr>
        <w:t>Prise en charge</w:t>
      </w:r>
    </w:p>
    <w:p w:rsidR="0005678E" w:rsidRDefault="0005678E" w:rsidP="009962B3">
      <w:pPr>
        <w:pStyle w:val="Sansinterligne"/>
      </w:pPr>
    </w:p>
    <w:p w:rsidR="0005678E" w:rsidRPr="00A82003" w:rsidRDefault="00A82003" w:rsidP="009962B3">
      <w:pPr>
        <w:pStyle w:val="Sansinterligne"/>
        <w:rPr>
          <w:b/>
        </w:rPr>
      </w:pPr>
      <w:r>
        <w:rPr>
          <w:b/>
        </w:rPr>
        <w:t>Pneumonie</w:t>
      </w:r>
    </w:p>
    <w:p w:rsidR="0005678E" w:rsidRDefault="0005678E" w:rsidP="006A5715">
      <w:pPr>
        <w:pStyle w:val="Sansinterligne"/>
        <w:numPr>
          <w:ilvl w:val="0"/>
          <w:numId w:val="1547"/>
        </w:numPr>
      </w:pPr>
      <w:r>
        <w:t xml:space="preserve">Hospitaliser si sévère (CURB-65 </w:t>
      </w:r>
      <w:r>
        <w:rPr>
          <w:rFonts w:ascii="Century Gothic" w:hAnsi="Century Gothic"/>
        </w:rPr>
        <w:t>≥</w:t>
      </w:r>
      <w:r>
        <w:t xml:space="preserve"> 2)</w:t>
      </w:r>
    </w:p>
    <w:p w:rsidR="00C647E1" w:rsidRDefault="0005678E" w:rsidP="006A5715">
      <w:pPr>
        <w:pStyle w:val="Sansinterligne"/>
        <w:numPr>
          <w:ilvl w:val="0"/>
          <w:numId w:val="1547"/>
        </w:numPr>
      </w:pPr>
      <w:r>
        <w:t>Antibiothérapie</w:t>
      </w:r>
    </w:p>
    <w:p w:rsidR="00C647E1" w:rsidRDefault="00C647E1" w:rsidP="009962B3">
      <w:pPr>
        <w:pStyle w:val="Sansinterligne"/>
      </w:pPr>
      <w:r w:rsidRPr="00C647E1">
        <w:rPr>
          <w:u w:val="single"/>
        </w:rPr>
        <w:t>En externe</w:t>
      </w:r>
      <w:r>
        <w:t xml:space="preserve"> : </w:t>
      </w:r>
    </w:p>
    <w:p w:rsidR="00C647E1" w:rsidRDefault="00C647E1" w:rsidP="006A5715">
      <w:pPr>
        <w:pStyle w:val="Sansinterligne"/>
        <w:numPr>
          <w:ilvl w:val="0"/>
          <w:numId w:val="1548"/>
        </w:numPr>
      </w:pPr>
      <w:r>
        <w:t>Macrolide ou doxycycline x 7-10 jours</w:t>
      </w:r>
    </w:p>
    <w:p w:rsidR="00C647E1" w:rsidRDefault="00C647E1" w:rsidP="006A5715">
      <w:pPr>
        <w:pStyle w:val="Sansinterligne"/>
        <w:numPr>
          <w:ilvl w:val="0"/>
          <w:numId w:val="1548"/>
        </w:numPr>
      </w:pPr>
      <w:r>
        <w:t>Fluoroquinolone si Prise d’ATB 3 dernières mois ou comorbidités</w:t>
      </w:r>
    </w:p>
    <w:p w:rsidR="00C647E1" w:rsidRPr="00C647E1" w:rsidRDefault="00C647E1" w:rsidP="009962B3">
      <w:pPr>
        <w:pStyle w:val="Sansinterligne"/>
        <w:rPr>
          <w:u w:val="single"/>
        </w:rPr>
      </w:pPr>
      <w:r w:rsidRPr="00C647E1">
        <w:rPr>
          <w:u w:val="single"/>
        </w:rPr>
        <w:t>Intra-hospitalier</w:t>
      </w:r>
    </w:p>
    <w:p w:rsidR="00C647E1" w:rsidRDefault="00C647E1" w:rsidP="006A5715">
      <w:pPr>
        <w:pStyle w:val="Sansinterligne"/>
        <w:numPr>
          <w:ilvl w:val="0"/>
          <w:numId w:val="1549"/>
        </w:numPr>
      </w:pPr>
      <w:r>
        <w:t>Fluoroquinolone</w:t>
      </w:r>
    </w:p>
    <w:p w:rsidR="005204FF" w:rsidRDefault="00C647E1" w:rsidP="006A5715">
      <w:pPr>
        <w:pStyle w:val="Sansinterligne"/>
        <w:numPr>
          <w:ilvl w:val="0"/>
          <w:numId w:val="1549"/>
        </w:numPr>
      </w:pPr>
      <w:r>
        <w:t>Soins intensifs (fluoroquinolone/macrolide + B-lactamase)</w:t>
      </w:r>
    </w:p>
    <w:p w:rsidR="005204FF" w:rsidRDefault="004C23D8" w:rsidP="009962B3">
      <w:pPr>
        <w:pStyle w:val="Sansinterligne"/>
      </w:pPr>
      <w:r>
        <w:rPr>
          <w:noProof/>
          <w:lang w:eastAsia="fr-CA"/>
        </w:rPr>
        <w:drawing>
          <wp:anchor distT="0" distB="0" distL="114300" distR="114300" simplePos="0" relativeHeight="252258304" behindDoc="0" locked="0" layoutInCell="1" allowOverlap="1" wp14:anchorId="367C404C" wp14:editId="57BB80D2">
            <wp:simplePos x="0" y="0"/>
            <wp:positionH relativeFrom="column">
              <wp:posOffset>4114165</wp:posOffset>
            </wp:positionH>
            <wp:positionV relativeFrom="paragraph">
              <wp:posOffset>90170</wp:posOffset>
            </wp:positionV>
            <wp:extent cx="2937510" cy="2313940"/>
            <wp:effectExtent l="0" t="0" r="0" b="0"/>
            <wp:wrapNone/>
            <wp:docPr id="702" name="Image 702" descr="Résultats de recherche d'images pour « score de chil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ésultats de recherche d'images pour « score de child »"/>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937510" cy="23139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82003" w:rsidRPr="00AA47C2" w:rsidRDefault="00A82003" w:rsidP="009962B3">
      <w:pPr>
        <w:pStyle w:val="Sansinterligne"/>
        <w:rPr>
          <w:b/>
        </w:rPr>
      </w:pPr>
      <w:r w:rsidRPr="00AA47C2">
        <w:rPr>
          <w:b/>
        </w:rPr>
        <w:t>Cirrhose</w:t>
      </w:r>
    </w:p>
    <w:p w:rsidR="00A82003" w:rsidRDefault="004C23D8" w:rsidP="006A5715">
      <w:pPr>
        <w:pStyle w:val="Sansinterligne"/>
        <w:numPr>
          <w:ilvl w:val="0"/>
          <w:numId w:val="1553"/>
        </w:numPr>
      </w:pPr>
      <w:r>
        <w:t>Traitement de la condition sous-jacente</w:t>
      </w:r>
    </w:p>
    <w:p w:rsidR="004C23D8" w:rsidRDefault="004C23D8" w:rsidP="006A5715">
      <w:pPr>
        <w:pStyle w:val="Sansinterligne"/>
        <w:numPr>
          <w:ilvl w:val="1"/>
          <w:numId w:val="1553"/>
        </w:numPr>
      </w:pPr>
      <w:r>
        <w:t>VHC</w:t>
      </w:r>
    </w:p>
    <w:p w:rsidR="004C23D8" w:rsidRDefault="004C23D8" w:rsidP="006A5715">
      <w:pPr>
        <w:pStyle w:val="Sansinterligne"/>
        <w:numPr>
          <w:ilvl w:val="1"/>
          <w:numId w:val="1553"/>
        </w:numPr>
      </w:pPr>
      <w:r>
        <w:t>Alcoolisme</w:t>
      </w:r>
    </w:p>
    <w:p w:rsidR="004C23D8" w:rsidRDefault="004C23D8" w:rsidP="006A5715">
      <w:pPr>
        <w:pStyle w:val="Sansinterligne"/>
        <w:numPr>
          <w:ilvl w:val="1"/>
          <w:numId w:val="1553"/>
        </w:numPr>
      </w:pPr>
      <w:r>
        <w:t>Insuffisance cardiaque</w:t>
      </w:r>
    </w:p>
    <w:p w:rsidR="004C23D8" w:rsidRDefault="004C23D8" w:rsidP="006A5715">
      <w:pPr>
        <w:pStyle w:val="Sansinterligne"/>
        <w:numPr>
          <w:ilvl w:val="0"/>
          <w:numId w:val="1553"/>
        </w:numPr>
      </w:pPr>
      <w:r>
        <w:t>Arrêt de l’alcool</w:t>
      </w:r>
    </w:p>
    <w:p w:rsidR="004C23D8" w:rsidRDefault="004C23D8" w:rsidP="006A5715">
      <w:pPr>
        <w:pStyle w:val="Sansinterligne"/>
        <w:numPr>
          <w:ilvl w:val="0"/>
          <w:numId w:val="1553"/>
        </w:numPr>
      </w:pPr>
      <w:r>
        <w:t>Vaccination hépatite A et B si non-immun</w:t>
      </w:r>
    </w:p>
    <w:p w:rsidR="004C23D8" w:rsidRDefault="004C23D8" w:rsidP="006A5715">
      <w:pPr>
        <w:pStyle w:val="Sansinterligne"/>
        <w:numPr>
          <w:ilvl w:val="0"/>
          <w:numId w:val="1553"/>
        </w:numPr>
      </w:pPr>
      <w:r>
        <w:t xml:space="preserve">Référence en gastro-entérologie / hépatologie </w:t>
      </w:r>
    </w:p>
    <w:p w:rsidR="004C23D8" w:rsidRDefault="004C23D8" w:rsidP="006A5715">
      <w:pPr>
        <w:pStyle w:val="Sansinterligne"/>
        <w:numPr>
          <w:ilvl w:val="1"/>
          <w:numId w:val="1553"/>
        </w:numPr>
      </w:pPr>
      <w:r>
        <w:t>Suivi régulier</w:t>
      </w:r>
    </w:p>
    <w:p w:rsidR="004C23D8" w:rsidRDefault="004C23D8" w:rsidP="006A5715">
      <w:pPr>
        <w:pStyle w:val="Sansinterligne"/>
        <w:numPr>
          <w:ilvl w:val="1"/>
          <w:numId w:val="1553"/>
        </w:numPr>
      </w:pPr>
      <w:r>
        <w:t xml:space="preserve">Recherche de varices oesophagiennes </w:t>
      </w:r>
    </w:p>
    <w:p w:rsidR="004C23D8" w:rsidRDefault="004C23D8" w:rsidP="006A5715">
      <w:pPr>
        <w:pStyle w:val="Sansinterligne"/>
        <w:numPr>
          <w:ilvl w:val="1"/>
          <w:numId w:val="1553"/>
        </w:numPr>
      </w:pPr>
      <w:r>
        <w:t>Recherche d’ascite</w:t>
      </w:r>
    </w:p>
    <w:p w:rsidR="004C23D8" w:rsidRDefault="004C23D8" w:rsidP="006A5715">
      <w:pPr>
        <w:pStyle w:val="Sansinterligne"/>
        <w:numPr>
          <w:ilvl w:val="0"/>
          <w:numId w:val="1553"/>
        </w:numPr>
      </w:pPr>
      <w:r>
        <w:t>Calculer le score de Child-Pugh (élément pronostic)</w:t>
      </w:r>
    </w:p>
    <w:p w:rsidR="004C23D8" w:rsidRDefault="004C23D8" w:rsidP="006A5715">
      <w:pPr>
        <w:pStyle w:val="Sansinterligne"/>
        <w:numPr>
          <w:ilvl w:val="0"/>
          <w:numId w:val="1553"/>
        </w:numPr>
        <w:tabs>
          <w:tab w:val="left" w:pos="6521"/>
        </w:tabs>
        <w:ind w:right="4279"/>
      </w:pPr>
      <w:r>
        <w:t>Envisager greffe hépatique (liste de greffe) si abstinence d’alcool x 6 mois</w:t>
      </w:r>
    </w:p>
    <w:p w:rsidR="004C23D8" w:rsidRDefault="004C23D8" w:rsidP="004C23D8">
      <w:pPr>
        <w:pStyle w:val="Sansinterligne"/>
        <w:tabs>
          <w:tab w:val="left" w:pos="6521"/>
        </w:tabs>
        <w:ind w:right="4279"/>
      </w:pPr>
    </w:p>
    <w:p w:rsidR="004C23D8" w:rsidRDefault="004C23D8" w:rsidP="004C23D8">
      <w:pPr>
        <w:pStyle w:val="Sansinterligne"/>
        <w:tabs>
          <w:tab w:val="left" w:pos="6521"/>
        </w:tabs>
        <w:ind w:right="4279"/>
      </w:pPr>
    </w:p>
    <w:p w:rsidR="004C23D8" w:rsidRDefault="004C23D8" w:rsidP="004C23D8">
      <w:pPr>
        <w:pStyle w:val="Sansinterligne"/>
        <w:tabs>
          <w:tab w:val="left" w:pos="6521"/>
        </w:tabs>
        <w:ind w:right="4279"/>
      </w:pPr>
    </w:p>
    <w:p w:rsidR="00A82003" w:rsidRPr="004C23D8" w:rsidRDefault="00A82003" w:rsidP="009962B3">
      <w:pPr>
        <w:pStyle w:val="Sansinterligne"/>
        <w:rPr>
          <w:b/>
          <w:highlight w:val="yellow"/>
        </w:rPr>
      </w:pPr>
      <w:r w:rsidRPr="004C23D8">
        <w:rPr>
          <w:b/>
          <w:highlight w:val="yellow"/>
        </w:rPr>
        <w:lastRenderedPageBreak/>
        <w:t>Pancréatite chronique</w:t>
      </w:r>
    </w:p>
    <w:p w:rsidR="00A82003" w:rsidRPr="004C23D8" w:rsidRDefault="008F62C3" w:rsidP="006A5715">
      <w:pPr>
        <w:pStyle w:val="Sansinterligne"/>
        <w:numPr>
          <w:ilvl w:val="0"/>
          <w:numId w:val="1552"/>
        </w:numPr>
        <w:rPr>
          <w:highlight w:val="yellow"/>
        </w:rPr>
      </w:pPr>
      <w:r>
        <w:rPr>
          <w:noProof/>
          <w:lang w:eastAsia="fr-CA"/>
        </w:rPr>
        <w:drawing>
          <wp:anchor distT="0" distB="0" distL="114300" distR="114300" simplePos="0" relativeHeight="252253184" behindDoc="0" locked="0" layoutInCell="1" allowOverlap="1" wp14:anchorId="4F49D0A1" wp14:editId="5DD5903F">
            <wp:simplePos x="0" y="0"/>
            <wp:positionH relativeFrom="column">
              <wp:posOffset>3234690</wp:posOffset>
            </wp:positionH>
            <wp:positionV relativeFrom="paragraph">
              <wp:posOffset>82550</wp:posOffset>
            </wp:positionV>
            <wp:extent cx="3788410" cy="2724150"/>
            <wp:effectExtent l="0" t="1270" r="1270" b="1270"/>
            <wp:wrapNone/>
            <wp:docPr id="698" name="Image 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964.JPG"/>
                    <pic:cNvPicPr/>
                  </pic:nvPicPr>
                  <pic:blipFill rotWithShape="1">
                    <a:blip r:embed="rId42" cstate="print">
                      <a:extLst>
                        <a:ext uri="{28A0092B-C50C-407E-A947-70E740481C1C}">
                          <a14:useLocalDpi xmlns:a14="http://schemas.microsoft.com/office/drawing/2010/main" val="0"/>
                        </a:ext>
                      </a:extLst>
                    </a:blip>
                    <a:srcRect l="5507" t="20218" r="12838" b="1503"/>
                    <a:stretch/>
                  </pic:blipFill>
                  <pic:spPr bwMode="auto">
                    <a:xfrm rot="5400000">
                      <a:off x="0" y="0"/>
                      <a:ext cx="3788410" cy="27241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F59E8" w:rsidRPr="004C23D8">
        <w:rPr>
          <w:highlight w:val="yellow"/>
        </w:rPr>
        <w:t>Douleur difficile à soulager</w:t>
      </w:r>
      <w:r w:rsidR="004C23D8" w:rsidRPr="004C23D8">
        <w:t xml:space="preserve"> </w:t>
      </w:r>
    </w:p>
    <w:p w:rsidR="009F59E8" w:rsidRPr="004C23D8" w:rsidRDefault="009F59E8" w:rsidP="006A5715">
      <w:pPr>
        <w:pStyle w:val="Sansinterligne"/>
        <w:numPr>
          <w:ilvl w:val="1"/>
          <w:numId w:val="1552"/>
        </w:numPr>
        <w:rPr>
          <w:highlight w:val="yellow"/>
        </w:rPr>
      </w:pPr>
      <w:r w:rsidRPr="004C23D8">
        <w:rPr>
          <w:highlight w:val="yellow"/>
        </w:rPr>
        <w:t>Analgésiques (essais)</w:t>
      </w:r>
    </w:p>
    <w:p w:rsidR="009F59E8" w:rsidRPr="004C23D8" w:rsidRDefault="009F59E8" w:rsidP="006A5715">
      <w:pPr>
        <w:pStyle w:val="Sansinterligne"/>
        <w:numPr>
          <w:ilvl w:val="1"/>
          <w:numId w:val="1552"/>
        </w:numPr>
        <w:rPr>
          <w:highlight w:val="yellow"/>
        </w:rPr>
      </w:pPr>
      <w:r w:rsidRPr="004C23D8">
        <w:rPr>
          <w:highlight w:val="yellow"/>
        </w:rPr>
        <w:t>Diminue avec le temps</w:t>
      </w:r>
    </w:p>
    <w:p w:rsidR="009F59E8" w:rsidRPr="004C23D8" w:rsidRDefault="009F59E8" w:rsidP="006A5715">
      <w:pPr>
        <w:pStyle w:val="Sansinterligne"/>
        <w:numPr>
          <w:ilvl w:val="0"/>
          <w:numId w:val="1552"/>
        </w:numPr>
        <w:rPr>
          <w:highlight w:val="yellow"/>
        </w:rPr>
      </w:pPr>
      <w:r w:rsidRPr="004C23D8">
        <w:rPr>
          <w:highlight w:val="yellow"/>
        </w:rPr>
        <w:t>Abstinence d’alcool (élément majeur)</w:t>
      </w:r>
    </w:p>
    <w:p w:rsidR="009F59E8" w:rsidRPr="004C23D8" w:rsidRDefault="009F59E8" w:rsidP="006A5715">
      <w:pPr>
        <w:pStyle w:val="Sansinterligne"/>
        <w:numPr>
          <w:ilvl w:val="0"/>
          <w:numId w:val="1552"/>
        </w:numPr>
        <w:rPr>
          <w:highlight w:val="yellow"/>
        </w:rPr>
      </w:pPr>
      <w:r w:rsidRPr="004C23D8">
        <w:rPr>
          <w:highlight w:val="yellow"/>
        </w:rPr>
        <w:t>Suppléments enzymatiques pour Tx malabsorption</w:t>
      </w:r>
    </w:p>
    <w:p w:rsidR="009F59E8" w:rsidRPr="004C23D8" w:rsidRDefault="009F59E8" w:rsidP="006A5715">
      <w:pPr>
        <w:pStyle w:val="Sansinterligne"/>
        <w:numPr>
          <w:ilvl w:val="0"/>
          <w:numId w:val="1552"/>
        </w:numPr>
        <w:rPr>
          <w:highlight w:val="yellow"/>
        </w:rPr>
      </w:pPr>
      <w:r w:rsidRPr="004C23D8">
        <w:rPr>
          <w:highlight w:val="yellow"/>
        </w:rPr>
        <w:t>Référer en chirurgie</w:t>
      </w:r>
    </w:p>
    <w:p w:rsidR="009F59E8" w:rsidRPr="004C23D8" w:rsidRDefault="009F59E8" w:rsidP="006A5715">
      <w:pPr>
        <w:pStyle w:val="Sansinterligne"/>
        <w:numPr>
          <w:ilvl w:val="1"/>
          <w:numId w:val="1552"/>
        </w:numPr>
        <w:rPr>
          <w:highlight w:val="yellow"/>
        </w:rPr>
      </w:pPr>
      <w:r w:rsidRPr="004C23D8">
        <w:rPr>
          <w:highlight w:val="yellow"/>
        </w:rPr>
        <w:t>Drainage (pancreaticojejunostomie) si canaux dilatés</w:t>
      </w:r>
    </w:p>
    <w:p w:rsidR="009F59E8" w:rsidRPr="004C23D8" w:rsidRDefault="009F59E8" w:rsidP="006A5715">
      <w:pPr>
        <w:pStyle w:val="Sansinterligne"/>
        <w:numPr>
          <w:ilvl w:val="1"/>
          <w:numId w:val="1552"/>
        </w:numPr>
        <w:rPr>
          <w:highlight w:val="yellow"/>
        </w:rPr>
      </w:pPr>
      <w:r w:rsidRPr="004C23D8">
        <w:rPr>
          <w:highlight w:val="yellow"/>
        </w:rPr>
        <w:t>Résection d’une partie du pancréas si canaux sténosés</w:t>
      </w:r>
    </w:p>
    <w:p w:rsidR="009F59E8" w:rsidRDefault="009F59E8" w:rsidP="009962B3">
      <w:pPr>
        <w:pStyle w:val="Sansinterligne"/>
      </w:pPr>
    </w:p>
    <w:p w:rsidR="005204FF" w:rsidRPr="005853E3" w:rsidRDefault="005204FF" w:rsidP="009962B3">
      <w:pPr>
        <w:pStyle w:val="Sansinterligne"/>
        <w:rPr>
          <w:b/>
        </w:rPr>
      </w:pPr>
      <w:r w:rsidRPr="005853E3">
        <w:rPr>
          <w:b/>
        </w:rPr>
        <w:t>Ulcère peptique</w:t>
      </w:r>
    </w:p>
    <w:p w:rsidR="005204FF" w:rsidRDefault="005204FF" w:rsidP="009962B3">
      <w:pPr>
        <w:pStyle w:val="Sansinterligne"/>
      </w:pPr>
    </w:p>
    <w:p w:rsidR="005204FF" w:rsidRPr="004C23D8" w:rsidRDefault="005204FF" w:rsidP="006A5715">
      <w:pPr>
        <w:pStyle w:val="Sansinterligne"/>
        <w:numPr>
          <w:ilvl w:val="0"/>
          <w:numId w:val="1544"/>
        </w:numPr>
        <w:rPr>
          <w:highlight w:val="yellow"/>
        </w:rPr>
      </w:pPr>
      <w:r w:rsidRPr="004C23D8">
        <w:rPr>
          <w:highlight w:val="yellow"/>
        </w:rPr>
        <w:t>Arrêt tabagique</w:t>
      </w:r>
    </w:p>
    <w:p w:rsidR="005204FF" w:rsidRPr="004C23D8" w:rsidRDefault="005204FF" w:rsidP="006A5715">
      <w:pPr>
        <w:pStyle w:val="Sansinterligne"/>
        <w:numPr>
          <w:ilvl w:val="0"/>
          <w:numId w:val="1544"/>
        </w:numPr>
        <w:rPr>
          <w:highlight w:val="yellow"/>
        </w:rPr>
      </w:pPr>
      <w:r w:rsidRPr="004C23D8">
        <w:rPr>
          <w:highlight w:val="yellow"/>
        </w:rPr>
        <w:t>Éviter caféine, alcool, épices</w:t>
      </w:r>
    </w:p>
    <w:p w:rsidR="005204FF" w:rsidRPr="004C23D8" w:rsidRDefault="005204FF" w:rsidP="006A5715">
      <w:pPr>
        <w:pStyle w:val="Sansinterligne"/>
        <w:numPr>
          <w:ilvl w:val="0"/>
          <w:numId w:val="1544"/>
        </w:numPr>
        <w:rPr>
          <w:highlight w:val="yellow"/>
        </w:rPr>
      </w:pPr>
      <w:r w:rsidRPr="004C23D8">
        <w:rPr>
          <w:highlight w:val="yellow"/>
        </w:rPr>
        <w:t>Cesser AINS si possible</w:t>
      </w:r>
    </w:p>
    <w:p w:rsidR="005204FF" w:rsidRPr="004C23D8" w:rsidRDefault="005204FF" w:rsidP="006A5715">
      <w:pPr>
        <w:pStyle w:val="Sansinterligne"/>
        <w:numPr>
          <w:ilvl w:val="1"/>
          <w:numId w:val="1544"/>
        </w:numPr>
        <w:rPr>
          <w:highlight w:val="yellow"/>
        </w:rPr>
      </w:pPr>
      <w:r w:rsidRPr="004C23D8">
        <w:rPr>
          <w:highlight w:val="yellow"/>
        </w:rPr>
        <w:t>Sinon, les prendre en mangeant, réduire la dose</w:t>
      </w:r>
    </w:p>
    <w:p w:rsidR="005204FF" w:rsidRPr="004C23D8" w:rsidRDefault="005204FF" w:rsidP="006A5715">
      <w:pPr>
        <w:pStyle w:val="Sansinterligne"/>
        <w:numPr>
          <w:ilvl w:val="0"/>
          <w:numId w:val="1544"/>
        </w:numPr>
        <w:rPr>
          <w:highlight w:val="yellow"/>
        </w:rPr>
      </w:pPr>
      <w:r w:rsidRPr="004C23D8">
        <w:rPr>
          <w:highlight w:val="yellow"/>
        </w:rPr>
        <w:t>Éradiquer H. Pylori si présent</w:t>
      </w:r>
    </w:p>
    <w:p w:rsidR="005204FF" w:rsidRPr="004C23D8" w:rsidRDefault="005204FF" w:rsidP="006A5715">
      <w:pPr>
        <w:pStyle w:val="Sansinterligne"/>
        <w:numPr>
          <w:ilvl w:val="1"/>
          <w:numId w:val="1544"/>
        </w:numPr>
        <w:ind w:right="4988"/>
        <w:rPr>
          <w:highlight w:val="yellow"/>
          <w:lang w:val="en-CA"/>
        </w:rPr>
      </w:pPr>
      <w:r w:rsidRPr="004C23D8">
        <w:rPr>
          <w:highlight w:val="yellow"/>
          <w:lang w:val="en-CA"/>
        </w:rPr>
        <w:t>Amoxiclline 1g BID + clarithromycine 500 mg BID + IPP BID x 7-14 jours</w:t>
      </w:r>
    </w:p>
    <w:p w:rsidR="005204FF" w:rsidRPr="004C23D8" w:rsidRDefault="005204FF" w:rsidP="006A5715">
      <w:pPr>
        <w:pStyle w:val="Sansinterligne"/>
        <w:numPr>
          <w:ilvl w:val="0"/>
          <w:numId w:val="1544"/>
        </w:numPr>
        <w:rPr>
          <w:highlight w:val="yellow"/>
        </w:rPr>
      </w:pPr>
      <w:r w:rsidRPr="004C23D8">
        <w:rPr>
          <w:highlight w:val="yellow"/>
        </w:rPr>
        <w:t xml:space="preserve">Débuter un IPP </w:t>
      </w:r>
      <w:r w:rsidR="00A35A3A" w:rsidRPr="004C23D8">
        <w:rPr>
          <w:highlight w:val="yellow"/>
        </w:rPr>
        <w:t>régulier</w:t>
      </w:r>
    </w:p>
    <w:p w:rsidR="005204FF" w:rsidRPr="004C23D8" w:rsidRDefault="005204FF" w:rsidP="006A5715">
      <w:pPr>
        <w:pStyle w:val="Sansinterligne"/>
        <w:numPr>
          <w:ilvl w:val="1"/>
          <w:numId w:val="1544"/>
        </w:numPr>
        <w:rPr>
          <w:highlight w:val="yellow"/>
        </w:rPr>
      </w:pPr>
      <w:r w:rsidRPr="004C23D8">
        <w:rPr>
          <w:highlight w:val="yellow"/>
        </w:rPr>
        <w:t>Pantoprazole 40 mg PO DIE</w:t>
      </w:r>
    </w:p>
    <w:p w:rsidR="005853E3" w:rsidRPr="004C23D8" w:rsidRDefault="004C23D8" w:rsidP="006A5715">
      <w:pPr>
        <w:pStyle w:val="Sansinterligne"/>
        <w:numPr>
          <w:ilvl w:val="1"/>
          <w:numId w:val="1544"/>
        </w:numPr>
        <w:rPr>
          <w:highlight w:val="yellow"/>
        </w:rPr>
      </w:pPr>
      <w:r>
        <w:rPr>
          <w:noProof/>
          <w:lang w:eastAsia="fr-CA"/>
        </w:rPr>
        <w:drawing>
          <wp:anchor distT="0" distB="0" distL="114300" distR="114300" simplePos="0" relativeHeight="252259328" behindDoc="0" locked="0" layoutInCell="1" allowOverlap="1" wp14:anchorId="650B9FF8" wp14:editId="0A04DA31">
            <wp:simplePos x="0" y="0"/>
            <wp:positionH relativeFrom="column">
              <wp:posOffset>3442970</wp:posOffset>
            </wp:positionH>
            <wp:positionV relativeFrom="paragraph">
              <wp:posOffset>125730</wp:posOffset>
            </wp:positionV>
            <wp:extent cx="3209925" cy="3394710"/>
            <wp:effectExtent l="0" t="0" r="9525" b="0"/>
            <wp:wrapNone/>
            <wp:docPr id="703" name="Image 703" descr="Résultats de recherche d'images pour « type of ulcerative coliti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ésultats de recherche d'images pour « type of ulcerative colitis »"/>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l="11651" t="2531" r="11907" b="21669"/>
                    <a:stretch/>
                  </pic:blipFill>
                  <pic:spPr bwMode="auto">
                    <a:xfrm>
                      <a:off x="0" y="0"/>
                      <a:ext cx="3209925" cy="339471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204FF" w:rsidRPr="004C23D8">
        <w:rPr>
          <w:highlight w:val="yellow"/>
        </w:rPr>
        <w:t>Lansoprazole 30 mg PO DIE</w:t>
      </w:r>
    </w:p>
    <w:p w:rsidR="005853E3" w:rsidRDefault="005853E3" w:rsidP="009962B3">
      <w:pPr>
        <w:pStyle w:val="Sansinterligne"/>
      </w:pPr>
    </w:p>
    <w:p w:rsidR="001248EC" w:rsidRPr="00A32F8E" w:rsidRDefault="001248EC" w:rsidP="001248EC">
      <w:pPr>
        <w:pStyle w:val="Sansinterligne"/>
        <w:rPr>
          <w:b/>
        </w:rPr>
      </w:pPr>
      <w:r w:rsidRPr="00A32F8E">
        <w:rPr>
          <w:b/>
        </w:rPr>
        <w:t>Maladie de Crohn</w:t>
      </w:r>
    </w:p>
    <w:p w:rsidR="001248EC" w:rsidRPr="004C23D8" w:rsidRDefault="001248EC" w:rsidP="001248EC">
      <w:pPr>
        <w:pStyle w:val="Sansinterligne"/>
        <w:numPr>
          <w:ilvl w:val="0"/>
          <w:numId w:val="1109"/>
        </w:numPr>
        <w:rPr>
          <w:highlight w:val="yellow"/>
        </w:rPr>
      </w:pPr>
      <w:r w:rsidRPr="004C23D8">
        <w:rPr>
          <w:highlight w:val="yellow"/>
        </w:rPr>
        <w:t>Référence en gastro-entérologie</w:t>
      </w:r>
    </w:p>
    <w:p w:rsidR="00381679" w:rsidRPr="004C23D8" w:rsidRDefault="00381679" w:rsidP="001248EC">
      <w:pPr>
        <w:pStyle w:val="Sansinterligne"/>
        <w:numPr>
          <w:ilvl w:val="0"/>
          <w:numId w:val="1109"/>
        </w:numPr>
        <w:rPr>
          <w:highlight w:val="yellow"/>
        </w:rPr>
      </w:pPr>
      <w:r w:rsidRPr="004C23D8">
        <w:rPr>
          <w:highlight w:val="yellow"/>
        </w:rPr>
        <w:t>Hospitalisation</w:t>
      </w:r>
    </w:p>
    <w:p w:rsidR="001248EC" w:rsidRPr="004C23D8" w:rsidRDefault="001248EC" w:rsidP="001248EC">
      <w:pPr>
        <w:pStyle w:val="Sansinterligne"/>
        <w:numPr>
          <w:ilvl w:val="0"/>
          <w:numId w:val="1109"/>
        </w:numPr>
        <w:rPr>
          <w:highlight w:val="yellow"/>
        </w:rPr>
      </w:pPr>
      <w:r w:rsidRPr="004C23D8">
        <w:rPr>
          <w:highlight w:val="yellow"/>
        </w:rPr>
        <w:t>Arrêt tabagique</w:t>
      </w:r>
    </w:p>
    <w:p w:rsidR="001248EC" w:rsidRPr="004C23D8" w:rsidRDefault="001248EC" w:rsidP="001248EC">
      <w:pPr>
        <w:pStyle w:val="Sansinterligne"/>
        <w:numPr>
          <w:ilvl w:val="0"/>
          <w:numId w:val="1109"/>
        </w:numPr>
        <w:rPr>
          <w:highlight w:val="yellow"/>
        </w:rPr>
      </w:pPr>
      <w:r w:rsidRPr="004C23D8">
        <w:rPr>
          <w:highlight w:val="yellow"/>
        </w:rPr>
        <w:t xml:space="preserve">Lopéramide </w:t>
      </w:r>
    </w:p>
    <w:p w:rsidR="001248EC" w:rsidRPr="004C23D8" w:rsidRDefault="001248EC" w:rsidP="001248EC">
      <w:pPr>
        <w:pStyle w:val="Sansinterligne"/>
        <w:numPr>
          <w:ilvl w:val="0"/>
          <w:numId w:val="1109"/>
        </w:numPr>
        <w:rPr>
          <w:highlight w:val="yellow"/>
        </w:rPr>
      </w:pPr>
      <w:r w:rsidRPr="004C23D8">
        <w:rPr>
          <w:highlight w:val="yellow"/>
        </w:rPr>
        <w:t xml:space="preserve">5-ASA </w:t>
      </w:r>
    </w:p>
    <w:p w:rsidR="001248EC" w:rsidRPr="004C23D8" w:rsidRDefault="001248EC" w:rsidP="001248EC">
      <w:pPr>
        <w:pStyle w:val="Sansinterligne"/>
        <w:numPr>
          <w:ilvl w:val="1"/>
          <w:numId w:val="1109"/>
        </w:numPr>
        <w:rPr>
          <w:highlight w:val="yellow"/>
        </w:rPr>
      </w:pPr>
      <w:r w:rsidRPr="004C23D8">
        <w:rPr>
          <w:highlight w:val="yellow"/>
        </w:rPr>
        <w:t>Sulfasalazine ou mesalamine</w:t>
      </w:r>
    </w:p>
    <w:p w:rsidR="001248EC" w:rsidRPr="004C23D8" w:rsidRDefault="001248EC" w:rsidP="001248EC">
      <w:pPr>
        <w:pStyle w:val="Sansinterligne"/>
        <w:numPr>
          <w:ilvl w:val="0"/>
          <w:numId w:val="1109"/>
        </w:numPr>
        <w:rPr>
          <w:highlight w:val="yellow"/>
          <w:lang w:val="de-DE"/>
        </w:rPr>
      </w:pPr>
      <w:r w:rsidRPr="004C23D8">
        <w:rPr>
          <w:highlight w:val="yellow"/>
          <w:lang w:val="de-DE"/>
        </w:rPr>
        <w:t>Prednisone 40 mg PO DIE en aigu</w:t>
      </w:r>
    </w:p>
    <w:p w:rsidR="001248EC" w:rsidRPr="004C23D8" w:rsidRDefault="001248EC" w:rsidP="001248EC">
      <w:pPr>
        <w:pStyle w:val="Sansinterligne"/>
        <w:numPr>
          <w:ilvl w:val="0"/>
          <w:numId w:val="1109"/>
        </w:numPr>
        <w:rPr>
          <w:highlight w:val="yellow"/>
        </w:rPr>
      </w:pPr>
      <w:r w:rsidRPr="004C23D8">
        <w:rPr>
          <w:highlight w:val="yellow"/>
        </w:rPr>
        <w:t>Infliximab (Remicade)</w:t>
      </w:r>
    </w:p>
    <w:p w:rsidR="001248EC" w:rsidRPr="004C23D8" w:rsidRDefault="001248EC" w:rsidP="001248EC">
      <w:pPr>
        <w:pStyle w:val="Sansinterligne"/>
        <w:numPr>
          <w:ilvl w:val="0"/>
          <w:numId w:val="1109"/>
        </w:numPr>
        <w:rPr>
          <w:highlight w:val="yellow"/>
        </w:rPr>
      </w:pPr>
      <w:r w:rsidRPr="004C23D8">
        <w:rPr>
          <w:highlight w:val="yellow"/>
        </w:rPr>
        <w:t>Réparation chx des fistules, fissures, abcès, etc.</w:t>
      </w:r>
    </w:p>
    <w:p w:rsidR="001248EC" w:rsidRDefault="001248EC" w:rsidP="001248EC">
      <w:pPr>
        <w:pStyle w:val="Sansinterligne"/>
      </w:pPr>
    </w:p>
    <w:p w:rsidR="001248EC" w:rsidRPr="0057007C" w:rsidRDefault="001248EC" w:rsidP="001248EC">
      <w:pPr>
        <w:pStyle w:val="Sansinterligne"/>
        <w:rPr>
          <w:b/>
        </w:rPr>
      </w:pPr>
      <w:r w:rsidRPr="0057007C">
        <w:rPr>
          <w:b/>
        </w:rPr>
        <w:t>Colite ulcéreuse</w:t>
      </w:r>
      <w:r w:rsidR="004C23D8" w:rsidRPr="004C23D8">
        <w:t xml:space="preserve"> </w:t>
      </w:r>
    </w:p>
    <w:p w:rsidR="001248EC" w:rsidRPr="004C23D8" w:rsidRDefault="001248EC" w:rsidP="001248EC">
      <w:pPr>
        <w:pStyle w:val="Sansinterligne"/>
        <w:numPr>
          <w:ilvl w:val="0"/>
          <w:numId w:val="1109"/>
        </w:numPr>
        <w:rPr>
          <w:highlight w:val="yellow"/>
        </w:rPr>
      </w:pPr>
      <w:r w:rsidRPr="004C23D8">
        <w:rPr>
          <w:highlight w:val="yellow"/>
        </w:rPr>
        <w:t>Référence en gastro-entérologie</w:t>
      </w:r>
    </w:p>
    <w:p w:rsidR="00381679" w:rsidRPr="004C23D8" w:rsidRDefault="00381679" w:rsidP="001248EC">
      <w:pPr>
        <w:pStyle w:val="Sansinterligne"/>
        <w:numPr>
          <w:ilvl w:val="0"/>
          <w:numId w:val="1109"/>
        </w:numPr>
        <w:rPr>
          <w:highlight w:val="yellow"/>
        </w:rPr>
      </w:pPr>
      <w:r w:rsidRPr="004C23D8">
        <w:rPr>
          <w:highlight w:val="yellow"/>
        </w:rPr>
        <w:t xml:space="preserve">Hospitalisation </w:t>
      </w:r>
    </w:p>
    <w:p w:rsidR="001248EC" w:rsidRPr="004C23D8" w:rsidRDefault="001248EC" w:rsidP="001248EC">
      <w:pPr>
        <w:pStyle w:val="Sansinterligne"/>
        <w:numPr>
          <w:ilvl w:val="0"/>
          <w:numId w:val="1110"/>
        </w:numPr>
        <w:rPr>
          <w:highlight w:val="yellow"/>
        </w:rPr>
      </w:pPr>
      <w:r w:rsidRPr="004C23D8">
        <w:rPr>
          <w:highlight w:val="yellow"/>
        </w:rPr>
        <w:t>5-ASA (mésalamine</w:t>
      </w:r>
      <w:r w:rsidR="00755B92" w:rsidRPr="004C23D8">
        <w:rPr>
          <w:highlight w:val="yellow"/>
        </w:rPr>
        <w:t xml:space="preserve"> 4g/jour</w:t>
      </w:r>
      <w:r w:rsidRPr="004C23D8">
        <w:rPr>
          <w:highlight w:val="yellow"/>
        </w:rPr>
        <w:t>)</w:t>
      </w:r>
      <w:r w:rsidR="00755B92" w:rsidRPr="004C23D8">
        <w:rPr>
          <w:highlight w:val="yellow"/>
        </w:rPr>
        <w:t xml:space="preserve"> </w:t>
      </w:r>
    </w:p>
    <w:p w:rsidR="00755B92" w:rsidRPr="004C23D8" w:rsidRDefault="00755B92" w:rsidP="00755B92">
      <w:pPr>
        <w:pStyle w:val="Sansinterligne"/>
        <w:numPr>
          <w:ilvl w:val="1"/>
          <w:numId w:val="1110"/>
        </w:numPr>
        <w:rPr>
          <w:highlight w:val="yellow"/>
        </w:rPr>
      </w:pPr>
      <w:r w:rsidRPr="004C23D8">
        <w:rPr>
          <w:highlight w:val="yellow"/>
        </w:rPr>
        <w:t>Traitement aigu et de maintien</w:t>
      </w:r>
    </w:p>
    <w:p w:rsidR="001248EC" w:rsidRPr="004C23D8" w:rsidRDefault="001248EC" w:rsidP="001248EC">
      <w:pPr>
        <w:pStyle w:val="Sansinterligne"/>
        <w:numPr>
          <w:ilvl w:val="0"/>
          <w:numId w:val="1110"/>
        </w:numPr>
        <w:rPr>
          <w:highlight w:val="yellow"/>
          <w:lang w:val="es-NI"/>
        </w:rPr>
      </w:pPr>
      <w:r w:rsidRPr="004C23D8">
        <w:rPr>
          <w:highlight w:val="yellow"/>
          <w:lang w:val="es-NI"/>
        </w:rPr>
        <w:t xml:space="preserve">Méthylpredinosolone 30 mg IV q12h </w:t>
      </w:r>
    </w:p>
    <w:p w:rsidR="00755B92" w:rsidRPr="004C23D8" w:rsidRDefault="00755B92" w:rsidP="00755B92">
      <w:pPr>
        <w:pStyle w:val="Sansinterligne"/>
        <w:numPr>
          <w:ilvl w:val="1"/>
          <w:numId w:val="1110"/>
        </w:numPr>
        <w:rPr>
          <w:highlight w:val="yellow"/>
          <w:lang w:val="es-NI"/>
        </w:rPr>
      </w:pPr>
      <w:r w:rsidRPr="004C23D8">
        <w:rPr>
          <w:highlight w:val="yellow"/>
          <w:lang w:val="es-NI"/>
        </w:rPr>
        <w:t>Traitement aigu</w:t>
      </w:r>
    </w:p>
    <w:p w:rsidR="001248EC" w:rsidRPr="004C23D8" w:rsidRDefault="001248EC" w:rsidP="001248EC">
      <w:pPr>
        <w:pStyle w:val="Sansinterligne"/>
        <w:numPr>
          <w:ilvl w:val="0"/>
          <w:numId w:val="1110"/>
        </w:numPr>
        <w:rPr>
          <w:highlight w:val="yellow"/>
        </w:rPr>
      </w:pPr>
      <w:r w:rsidRPr="004C23D8">
        <w:rPr>
          <w:highlight w:val="yellow"/>
        </w:rPr>
        <w:t>Cyclosporine ou infliximab</w:t>
      </w:r>
    </w:p>
    <w:p w:rsidR="00755B92" w:rsidRPr="004C23D8" w:rsidRDefault="00755B92" w:rsidP="00755B92">
      <w:pPr>
        <w:pStyle w:val="Sansinterligne"/>
        <w:numPr>
          <w:ilvl w:val="1"/>
          <w:numId w:val="1110"/>
        </w:numPr>
        <w:rPr>
          <w:highlight w:val="yellow"/>
        </w:rPr>
      </w:pPr>
      <w:r w:rsidRPr="004C23D8">
        <w:rPr>
          <w:highlight w:val="yellow"/>
        </w:rPr>
        <w:t>Traitement aigu (si nécessaire) et de maintien</w:t>
      </w:r>
    </w:p>
    <w:p w:rsidR="001248EC" w:rsidRPr="004C23D8" w:rsidRDefault="001248EC" w:rsidP="001248EC">
      <w:pPr>
        <w:pStyle w:val="Sansinterligne"/>
        <w:numPr>
          <w:ilvl w:val="0"/>
          <w:numId w:val="1110"/>
        </w:numPr>
        <w:rPr>
          <w:highlight w:val="yellow"/>
        </w:rPr>
      </w:pPr>
      <w:r w:rsidRPr="004C23D8">
        <w:rPr>
          <w:highlight w:val="yellow"/>
        </w:rPr>
        <w:t>Colectomie chirurgicale</w:t>
      </w:r>
    </w:p>
    <w:p w:rsidR="001248EC" w:rsidRPr="004C23D8" w:rsidRDefault="00F83573" w:rsidP="001248EC">
      <w:pPr>
        <w:pStyle w:val="Sansinterligne"/>
        <w:numPr>
          <w:ilvl w:val="0"/>
          <w:numId w:val="1110"/>
        </w:numPr>
        <w:rPr>
          <w:highlight w:val="yellow"/>
        </w:rPr>
      </w:pPr>
      <w:r w:rsidRPr="004C23D8">
        <w:rPr>
          <w:highlight w:val="yellow"/>
        </w:rPr>
        <w:t>Complications : s</w:t>
      </w:r>
      <w:r w:rsidR="001248EC" w:rsidRPr="004C23D8">
        <w:rPr>
          <w:highlight w:val="yellow"/>
        </w:rPr>
        <w:t>i réfractaire au traitement médical, néo du côlon, saignements sévères ou mégacôlon toxique</w:t>
      </w:r>
    </w:p>
    <w:p w:rsidR="00F84B6F" w:rsidRPr="009962B3" w:rsidRDefault="00F84B6F" w:rsidP="009962B3">
      <w:pPr>
        <w:pStyle w:val="Sansinterligne"/>
      </w:pPr>
      <w:r w:rsidRPr="009962B3">
        <w:br w:type="page"/>
      </w:r>
    </w:p>
    <w:p w:rsidR="00F84B6F" w:rsidRDefault="00F84B6F" w:rsidP="00F84B6F">
      <w:pPr>
        <w:spacing w:after="0"/>
        <w:rPr>
          <w:rFonts w:cs="Times New Roman"/>
          <w:b/>
          <w:color w:val="548DD4" w:themeColor="text2" w:themeTint="99"/>
        </w:rPr>
      </w:pPr>
      <w:r>
        <w:rPr>
          <w:rFonts w:cs="Times New Roman"/>
          <w:b/>
          <w:color w:val="548DD4" w:themeColor="text2" w:themeTint="99"/>
        </w:rPr>
        <w:lastRenderedPageBreak/>
        <w:t>CMC 3-4</w:t>
      </w:r>
    </w:p>
    <w:p w:rsidR="0053358C" w:rsidRPr="0053358C" w:rsidRDefault="0053358C" w:rsidP="0053358C">
      <w:pPr>
        <w:pStyle w:val="Titre3"/>
        <w:spacing w:before="0"/>
        <w:rPr>
          <w:rFonts w:ascii="Times New Roman" w:hAnsi="Times New Roman" w:cs="Times New Roman"/>
        </w:rPr>
      </w:pPr>
      <w:bookmarkStart w:id="12" w:name="_Toc480797267"/>
      <w:r w:rsidRPr="0053358C">
        <w:rPr>
          <w:rFonts w:ascii="Times New Roman" w:hAnsi="Times New Roman" w:cs="Times New Roman"/>
        </w:rPr>
        <w:t>Douleur ano-rectale</w:t>
      </w:r>
      <w:bookmarkEnd w:id="12"/>
    </w:p>
    <w:p w:rsidR="0053358C" w:rsidRPr="0053358C" w:rsidRDefault="0053358C" w:rsidP="004F6F0C">
      <w:pPr>
        <w:spacing w:after="0"/>
        <w:rPr>
          <w:rFonts w:cs="Times New Roman"/>
          <w:b/>
          <w:color w:val="548DD4" w:themeColor="text2" w:themeTint="99"/>
          <w:sz w:val="18"/>
          <w:szCs w:val="18"/>
        </w:rPr>
      </w:pPr>
      <w:r>
        <w:rPr>
          <w:rFonts w:cs="Times New Roman"/>
          <w:b/>
          <w:noProof/>
          <w:color w:val="548DD4" w:themeColor="text2" w:themeTint="99"/>
          <w:sz w:val="18"/>
          <w:szCs w:val="18"/>
          <w:lang w:eastAsia="fr-CA"/>
        </w:rPr>
        <mc:AlternateContent>
          <mc:Choice Requires="wps">
            <w:drawing>
              <wp:anchor distT="0" distB="0" distL="114300" distR="114300" simplePos="0" relativeHeight="252205056" behindDoc="0" locked="0" layoutInCell="1" allowOverlap="1" wp14:anchorId="77334F42" wp14:editId="06747F6E">
                <wp:simplePos x="0" y="0"/>
                <wp:positionH relativeFrom="column">
                  <wp:posOffset>-77821</wp:posOffset>
                </wp:positionH>
                <wp:positionV relativeFrom="paragraph">
                  <wp:posOffset>75497</wp:posOffset>
                </wp:positionV>
                <wp:extent cx="7023370" cy="2791839"/>
                <wp:effectExtent l="0" t="0" r="25400" b="27940"/>
                <wp:wrapNone/>
                <wp:docPr id="675" name="Rectangle 675"/>
                <wp:cNvGraphicFramePr/>
                <a:graphic xmlns:a="http://schemas.openxmlformats.org/drawingml/2006/main">
                  <a:graphicData uri="http://schemas.microsoft.com/office/word/2010/wordprocessingShape">
                    <wps:wsp>
                      <wps:cNvSpPr/>
                      <wps:spPr>
                        <a:xfrm>
                          <a:off x="0" y="0"/>
                          <a:ext cx="7023370" cy="2791839"/>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675" o:spid="_x0000_s1026" style="position:absolute;margin-left:-6.15pt;margin-top:5.95pt;width:553pt;height:219.85pt;z-index:2522050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" filled="f" strokecolor="black [1600]" strokeweight="2pt"/>
            </w:pict>
          </mc:Fallback>
        </mc:AlternateContent>
      </w:r>
    </w:p>
    <w:tbl>
      <w:tblPr>
        <w:tblW w:w="3858" w:type="pct"/>
        <w:tblCellSpacing w:w="0" w:type="dxa"/>
        <w:tblCellMar>
          <w:left w:w="0" w:type="dxa"/>
          <w:right w:w="0" w:type="dxa"/>
        </w:tblCellMar>
        <w:tblLook w:val="04A0" w:firstRow="1" w:lastRow="0" w:firstColumn="1" w:lastColumn="0" w:noHBand="0" w:noVBand="1"/>
      </w:tblPr>
      <w:tblGrid>
        <w:gridCol w:w="8333"/>
      </w:tblGrid>
      <w:tr w:rsidR="0053358C" w:rsidRPr="0053358C" w:rsidTr="0053358C">
        <w:trPr>
          <w:tblCellSpacing w:w="0" w:type="dxa"/>
        </w:trPr>
        <w:tc>
          <w:tcPr>
            <w:tcW w:w="0" w:type="auto"/>
            <w:vAlign w:val="bottom"/>
            <w:hideMark/>
          </w:tcPr>
          <w:p w:rsidR="0053358C" w:rsidRPr="0053358C" w:rsidRDefault="0053358C" w:rsidP="0053358C">
            <w:pPr>
              <w:pStyle w:val="Sansinterligne"/>
              <w:rPr>
                <w:rFonts w:cs="Times New Roman"/>
                <w:b/>
                <w:sz w:val="18"/>
                <w:szCs w:val="18"/>
              </w:rPr>
            </w:pPr>
            <w:r w:rsidRPr="0053358C">
              <w:rPr>
                <w:rFonts w:cs="Times New Roman"/>
                <w:b/>
                <w:sz w:val="18"/>
                <w:szCs w:val="18"/>
              </w:rPr>
              <w:t>Objectifs principaux</w:t>
            </w:r>
          </w:p>
        </w:tc>
      </w:tr>
    </w:tbl>
    <w:p w:rsidR="0053358C" w:rsidRPr="0053358C" w:rsidRDefault="0053358C" w:rsidP="0053358C">
      <w:pPr>
        <w:pStyle w:val="NormalWeb"/>
        <w:ind w:left="360"/>
        <w:rPr>
          <w:color w:val="000000"/>
          <w:sz w:val="18"/>
          <w:szCs w:val="18"/>
          <w:shd w:val="clear" w:color="auto" w:fill="FFFFFF"/>
        </w:rPr>
      </w:pPr>
      <w:r w:rsidRPr="0053358C">
        <w:rPr>
          <w:color w:val="000000"/>
          <w:sz w:val="18"/>
          <w:szCs w:val="18"/>
          <w:shd w:val="clear" w:color="auto" w:fill="FFFFFF"/>
        </w:rPr>
        <w:t>Dans le cas d'un patient présentant une douleur ano-rectale, le candidat devra en diagnostiquer la cause, la gravité et les complications, et établir un plan de prise en charge approprié. Il devra en particulier s'enquérir des facteurs de risque ou des symptômes évocateurs d'une maladie sous-jacente.</w:t>
      </w:r>
    </w:p>
    <w:tbl>
      <w:tblPr>
        <w:tblW w:w="3897" w:type="pct"/>
        <w:tblCellSpacing w:w="0" w:type="dxa"/>
        <w:tblCellMar>
          <w:left w:w="0" w:type="dxa"/>
          <w:right w:w="0" w:type="dxa"/>
        </w:tblCellMar>
        <w:tblLook w:val="04A0" w:firstRow="1" w:lastRow="0" w:firstColumn="1" w:lastColumn="0" w:noHBand="0" w:noVBand="1"/>
      </w:tblPr>
      <w:tblGrid>
        <w:gridCol w:w="8418"/>
      </w:tblGrid>
      <w:tr w:rsidR="0053358C" w:rsidRPr="0053358C" w:rsidTr="0053358C">
        <w:trPr>
          <w:tblCellSpacing w:w="0" w:type="dxa"/>
        </w:trPr>
        <w:tc>
          <w:tcPr>
            <w:tcW w:w="0" w:type="auto"/>
            <w:vAlign w:val="bottom"/>
            <w:hideMark/>
          </w:tcPr>
          <w:p w:rsidR="0053358C" w:rsidRPr="0053358C" w:rsidRDefault="0053358C" w:rsidP="0053358C">
            <w:pPr>
              <w:pStyle w:val="Sansinterligne"/>
              <w:rPr>
                <w:rFonts w:cs="Times New Roman"/>
                <w:b/>
                <w:sz w:val="16"/>
                <w:szCs w:val="16"/>
              </w:rPr>
            </w:pPr>
            <w:r w:rsidRPr="0053358C">
              <w:rPr>
                <w:rFonts w:cs="Times New Roman"/>
                <w:b/>
                <w:sz w:val="16"/>
                <w:szCs w:val="16"/>
              </w:rPr>
              <w:t>Objectifs spécifiques</w:t>
            </w:r>
          </w:p>
        </w:tc>
      </w:tr>
    </w:tbl>
    <w:p w:rsidR="0053358C" w:rsidRPr="0053358C" w:rsidRDefault="0053358C" w:rsidP="0053358C">
      <w:pPr>
        <w:pStyle w:val="NormalWeb"/>
        <w:shd w:val="clear" w:color="auto" w:fill="FFFFFF"/>
        <w:ind w:left="360"/>
        <w:rPr>
          <w:color w:val="000000"/>
          <w:sz w:val="16"/>
          <w:szCs w:val="16"/>
          <w:shd w:val="clear" w:color="auto" w:fill="FFFFFF"/>
        </w:rPr>
      </w:pPr>
      <w:r w:rsidRPr="0053358C">
        <w:rPr>
          <w:color w:val="000000"/>
          <w:sz w:val="16"/>
          <w:szCs w:val="16"/>
          <w:shd w:val="clear" w:color="auto" w:fill="FFFFFF"/>
        </w:rPr>
        <w:t>Dans le cas d'un patient présentant une douleur ano-rectale, le candidat devra</w:t>
      </w:r>
    </w:p>
    <w:p w:rsidR="0053358C" w:rsidRPr="0053358C" w:rsidRDefault="0053358C" w:rsidP="00F4538E">
      <w:pPr>
        <w:numPr>
          <w:ilvl w:val="0"/>
          <w:numId w:val="1490"/>
        </w:numPr>
        <w:shd w:val="clear" w:color="auto" w:fill="FFFFFF"/>
        <w:spacing w:before="100" w:beforeAutospacing="1" w:after="100" w:afterAutospacing="1" w:line="240" w:lineRule="auto"/>
        <w:rPr>
          <w:rFonts w:cs="Times New Roman"/>
          <w:color w:val="000000"/>
          <w:sz w:val="16"/>
          <w:szCs w:val="16"/>
          <w:shd w:val="clear" w:color="auto" w:fill="FFFFFF"/>
        </w:rPr>
      </w:pPr>
      <w:r w:rsidRPr="0053358C">
        <w:rPr>
          <w:rFonts w:cs="Times New Roman"/>
          <w:color w:val="000000"/>
          <w:sz w:val="16"/>
          <w:szCs w:val="16"/>
          <w:shd w:val="clear" w:color="auto" w:fill="FFFFFF"/>
        </w:rPr>
        <w:t>énumérer et interpréter les constatations cliniques cruciales, notamment:</w:t>
      </w:r>
    </w:p>
    <w:p w:rsidR="0053358C" w:rsidRPr="0053358C" w:rsidRDefault="0053358C" w:rsidP="00F4538E">
      <w:pPr>
        <w:numPr>
          <w:ilvl w:val="1"/>
          <w:numId w:val="1490"/>
        </w:numPr>
        <w:shd w:val="clear" w:color="auto" w:fill="FFFFFF"/>
        <w:spacing w:before="100" w:beforeAutospacing="1" w:after="100" w:afterAutospacing="1" w:line="240" w:lineRule="auto"/>
        <w:rPr>
          <w:rFonts w:cs="Times New Roman"/>
          <w:color w:val="000000"/>
          <w:sz w:val="16"/>
          <w:szCs w:val="16"/>
          <w:shd w:val="clear" w:color="auto" w:fill="FFFFFF"/>
        </w:rPr>
      </w:pPr>
      <w:r w:rsidRPr="0053358C">
        <w:rPr>
          <w:rFonts w:cs="Times New Roman"/>
          <w:color w:val="000000"/>
          <w:sz w:val="16"/>
          <w:szCs w:val="16"/>
          <w:shd w:val="clear" w:color="auto" w:fill="FFFFFF"/>
        </w:rPr>
        <w:t>les antécédents de douleur et de saignements du rectum, de perturbations de la fonction intestinale et de traumatisme anal</w:t>
      </w:r>
    </w:p>
    <w:p w:rsidR="0053358C" w:rsidRPr="0053358C" w:rsidRDefault="0053358C" w:rsidP="00F4538E">
      <w:pPr>
        <w:numPr>
          <w:ilvl w:val="1"/>
          <w:numId w:val="1490"/>
        </w:numPr>
        <w:shd w:val="clear" w:color="auto" w:fill="FFFFFF"/>
        <w:spacing w:before="100" w:beforeAutospacing="1" w:after="100" w:afterAutospacing="1" w:line="240" w:lineRule="auto"/>
        <w:rPr>
          <w:rFonts w:cs="Times New Roman"/>
          <w:color w:val="000000"/>
          <w:sz w:val="16"/>
          <w:szCs w:val="16"/>
          <w:shd w:val="clear" w:color="auto" w:fill="FFFFFF"/>
        </w:rPr>
      </w:pPr>
      <w:r w:rsidRPr="0053358C">
        <w:rPr>
          <w:rFonts w:cs="Times New Roman"/>
          <w:color w:val="000000"/>
          <w:sz w:val="16"/>
          <w:szCs w:val="16"/>
          <w:shd w:val="clear" w:color="auto" w:fill="FFFFFF"/>
        </w:rPr>
        <w:t>les résultats découlant d'un examen physique approprié, y compris le toucher rectal;</w:t>
      </w:r>
    </w:p>
    <w:p w:rsidR="0053358C" w:rsidRPr="0053358C" w:rsidRDefault="0053358C" w:rsidP="00F4538E">
      <w:pPr>
        <w:numPr>
          <w:ilvl w:val="0"/>
          <w:numId w:val="1490"/>
        </w:numPr>
        <w:shd w:val="clear" w:color="auto" w:fill="FFFFFF"/>
        <w:spacing w:before="100" w:beforeAutospacing="1" w:after="100" w:afterAutospacing="1" w:line="240" w:lineRule="auto"/>
        <w:rPr>
          <w:rFonts w:cs="Times New Roman"/>
          <w:color w:val="000000"/>
          <w:sz w:val="16"/>
          <w:szCs w:val="16"/>
          <w:shd w:val="clear" w:color="auto" w:fill="FFFFFF"/>
        </w:rPr>
      </w:pPr>
      <w:r w:rsidRPr="0053358C">
        <w:rPr>
          <w:rFonts w:cs="Times New Roman"/>
          <w:color w:val="000000"/>
          <w:sz w:val="16"/>
          <w:szCs w:val="16"/>
          <w:shd w:val="clear" w:color="auto" w:fill="FFFFFF"/>
        </w:rPr>
        <w:t>énumérer et interpréter les examens essentiels, notamment:</w:t>
      </w:r>
    </w:p>
    <w:p w:rsidR="0053358C" w:rsidRPr="0053358C" w:rsidRDefault="0053358C" w:rsidP="00F4538E">
      <w:pPr>
        <w:numPr>
          <w:ilvl w:val="1"/>
          <w:numId w:val="1490"/>
        </w:numPr>
        <w:shd w:val="clear" w:color="auto" w:fill="FFFFFF"/>
        <w:spacing w:before="100" w:beforeAutospacing="1" w:after="100" w:afterAutospacing="1" w:line="240" w:lineRule="auto"/>
        <w:rPr>
          <w:rFonts w:cs="Times New Roman"/>
          <w:color w:val="000000"/>
          <w:sz w:val="16"/>
          <w:szCs w:val="16"/>
          <w:shd w:val="clear" w:color="auto" w:fill="FFFFFF"/>
        </w:rPr>
      </w:pPr>
      <w:r w:rsidRPr="0053358C">
        <w:rPr>
          <w:rFonts w:cs="Times New Roman"/>
          <w:color w:val="000000"/>
          <w:sz w:val="16"/>
          <w:szCs w:val="16"/>
          <w:shd w:val="clear" w:color="auto" w:fill="FFFFFF"/>
        </w:rPr>
        <w:t>les analyses de laboratoire</w:t>
      </w:r>
    </w:p>
    <w:p w:rsidR="0053358C" w:rsidRPr="0053358C" w:rsidRDefault="0053358C" w:rsidP="00F4538E">
      <w:pPr>
        <w:numPr>
          <w:ilvl w:val="1"/>
          <w:numId w:val="1490"/>
        </w:numPr>
        <w:shd w:val="clear" w:color="auto" w:fill="FFFFFF"/>
        <w:spacing w:before="100" w:beforeAutospacing="1" w:after="100" w:afterAutospacing="1" w:line="240" w:lineRule="auto"/>
        <w:rPr>
          <w:rFonts w:cs="Times New Roman"/>
          <w:color w:val="000000"/>
          <w:sz w:val="16"/>
          <w:szCs w:val="16"/>
          <w:shd w:val="clear" w:color="auto" w:fill="FFFFFF"/>
        </w:rPr>
      </w:pPr>
      <w:r w:rsidRPr="0053358C">
        <w:rPr>
          <w:rFonts w:cs="Times New Roman"/>
          <w:color w:val="000000"/>
          <w:sz w:val="16"/>
          <w:szCs w:val="16"/>
          <w:shd w:val="clear" w:color="auto" w:fill="FFFFFF"/>
        </w:rPr>
        <w:t>l'évaluation endoscopique</w:t>
      </w:r>
    </w:p>
    <w:p w:rsidR="0053358C" w:rsidRPr="0053358C" w:rsidRDefault="0053358C" w:rsidP="00F4538E">
      <w:pPr>
        <w:numPr>
          <w:ilvl w:val="0"/>
          <w:numId w:val="1490"/>
        </w:numPr>
        <w:shd w:val="clear" w:color="auto" w:fill="FFFFFF"/>
        <w:spacing w:before="100" w:beforeAutospacing="1" w:after="100" w:afterAutospacing="1" w:line="240" w:lineRule="auto"/>
        <w:rPr>
          <w:rFonts w:cs="Times New Roman"/>
          <w:color w:val="000000"/>
          <w:sz w:val="16"/>
          <w:szCs w:val="16"/>
          <w:shd w:val="clear" w:color="auto" w:fill="FFFFFF"/>
        </w:rPr>
      </w:pPr>
      <w:r w:rsidRPr="0053358C">
        <w:rPr>
          <w:rFonts w:cs="Times New Roman"/>
          <w:color w:val="000000"/>
          <w:sz w:val="16"/>
          <w:szCs w:val="16"/>
          <w:shd w:val="clear" w:color="auto" w:fill="FFFFFF"/>
        </w:rPr>
        <w:t>élaborer un plan efficace de prise en charge initiale, notamment:</w:t>
      </w:r>
    </w:p>
    <w:p w:rsidR="0053358C" w:rsidRPr="0053358C" w:rsidRDefault="0053358C" w:rsidP="00F4538E">
      <w:pPr>
        <w:numPr>
          <w:ilvl w:val="1"/>
          <w:numId w:val="1490"/>
        </w:numPr>
        <w:shd w:val="clear" w:color="auto" w:fill="FFFFFF"/>
        <w:spacing w:before="100" w:beforeAutospacing="1" w:after="100" w:afterAutospacing="1" w:line="240" w:lineRule="auto"/>
        <w:rPr>
          <w:rFonts w:cs="Times New Roman"/>
          <w:color w:val="000000"/>
          <w:sz w:val="16"/>
          <w:szCs w:val="16"/>
          <w:shd w:val="clear" w:color="auto" w:fill="FFFFFF"/>
        </w:rPr>
      </w:pPr>
      <w:r w:rsidRPr="0053358C">
        <w:rPr>
          <w:rFonts w:cs="Times New Roman"/>
          <w:color w:val="000000"/>
          <w:sz w:val="16"/>
          <w:szCs w:val="16"/>
          <w:shd w:val="clear" w:color="auto" w:fill="FFFFFF"/>
        </w:rPr>
        <w:t>déterminer si le patient a besoin d'un traitement chirurgical d'urgence;</w:t>
      </w:r>
    </w:p>
    <w:p w:rsidR="0053358C" w:rsidRPr="0053358C" w:rsidRDefault="0053358C" w:rsidP="00F4538E">
      <w:pPr>
        <w:numPr>
          <w:ilvl w:val="1"/>
          <w:numId w:val="1490"/>
        </w:numPr>
        <w:shd w:val="clear" w:color="auto" w:fill="FFFFFF"/>
        <w:spacing w:before="100" w:beforeAutospacing="1" w:after="100" w:afterAutospacing="1" w:line="240" w:lineRule="auto"/>
        <w:rPr>
          <w:rFonts w:cs="Times New Roman"/>
          <w:color w:val="000000"/>
          <w:sz w:val="16"/>
          <w:szCs w:val="16"/>
          <w:shd w:val="clear" w:color="auto" w:fill="FFFFFF"/>
        </w:rPr>
      </w:pPr>
      <w:r w:rsidRPr="0053358C">
        <w:rPr>
          <w:rFonts w:cs="Times New Roman"/>
          <w:color w:val="000000"/>
          <w:sz w:val="16"/>
          <w:szCs w:val="16"/>
          <w:shd w:val="clear" w:color="auto" w:fill="FFFFFF"/>
        </w:rPr>
        <w:t>conseiller le patient quant aux options thérapeutiques conservatrices appropriées en cas d'hémorroïdes ou de fissures anales;</w:t>
      </w:r>
    </w:p>
    <w:p w:rsidR="0053358C" w:rsidRPr="0053358C" w:rsidRDefault="0053358C" w:rsidP="0047527F">
      <w:pPr>
        <w:numPr>
          <w:ilvl w:val="1"/>
          <w:numId w:val="1490"/>
        </w:numPr>
        <w:shd w:val="clear" w:color="auto" w:fill="FFFFFF"/>
        <w:spacing w:before="100" w:beforeAutospacing="1" w:after="0" w:line="240" w:lineRule="auto"/>
        <w:rPr>
          <w:rFonts w:cs="Times New Roman"/>
          <w:color w:val="000000"/>
          <w:sz w:val="16"/>
          <w:szCs w:val="16"/>
          <w:shd w:val="clear" w:color="auto" w:fill="FFFFFF"/>
        </w:rPr>
      </w:pPr>
      <w:r w:rsidRPr="0053358C">
        <w:rPr>
          <w:rFonts w:cs="Times New Roman"/>
          <w:color w:val="000000"/>
          <w:sz w:val="16"/>
          <w:szCs w:val="16"/>
          <w:shd w:val="clear" w:color="auto" w:fill="FFFFFF"/>
        </w:rPr>
        <w:t>diriger le patient vers des soins spécialisés, s'il y a lieu.</w:t>
      </w:r>
    </w:p>
    <w:p w:rsidR="0047527F" w:rsidRPr="0047527F" w:rsidRDefault="0047527F" w:rsidP="00985D73">
      <w:pPr>
        <w:pStyle w:val="Sansinterligne"/>
        <w:rPr>
          <w:sz w:val="16"/>
          <w:szCs w:val="16"/>
        </w:rPr>
      </w:pPr>
    </w:p>
    <w:p w:rsidR="0053358C" w:rsidRDefault="00985D73" w:rsidP="00985D73">
      <w:pPr>
        <w:pStyle w:val="Sansinterligne"/>
        <w:rPr>
          <w:b/>
          <w:sz w:val="28"/>
          <w:szCs w:val="28"/>
        </w:rPr>
      </w:pPr>
      <w:r w:rsidRPr="00985D73">
        <w:rPr>
          <w:b/>
          <w:sz w:val="28"/>
          <w:szCs w:val="28"/>
        </w:rPr>
        <w:t>Diagnostics</w:t>
      </w:r>
    </w:p>
    <w:p w:rsidR="00985D73" w:rsidRPr="005C1ACB" w:rsidRDefault="00985D73" w:rsidP="00985D73">
      <w:pPr>
        <w:pStyle w:val="Sansinterligne"/>
        <w:rPr>
          <w:b/>
          <w:sz w:val="16"/>
          <w:szCs w:val="16"/>
        </w:rPr>
      </w:pPr>
    </w:p>
    <w:tbl>
      <w:tblPr>
        <w:tblStyle w:val="Grilledutableau"/>
        <w:tblW w:w="0" w:type="auto"/>
        <w:tblLook w:val="04A0" w:firstRow="1" w:lastRow="0" w:firstColumn="1" w:lastColumn="0" w:noHBand="0" w:noVBand="1"/>
      </w:tblPr>
      <w:tblGrid>
        <w:gridCol w:w="1923"/>
        <w:gridCol w:w="4281"/>
        <w:gridCol w:w="4812"/>
      </w:tblGrid>
      <w:tr w:rsidR="006F6277" w:rsidTr="00924B49">
        <w:tc>
          <w:tcPr>
            <w:tcW w:w="1923" w:type="dxa"/>
            <w:shd w:val="clear" w:color="auto" w:fill="4F81BD" w:themeFill="accent1"/>
          </w:tcPr>
          <w:p w:rsidR="006F6277" w:rsidRPr="00985D73" w:rsidRDefault="006F6277" w:rsidP="00985D73">
            <w:pPr>
              <w:pStyle w:val="Sansinterligne"/>
              <w:jc w:val="center"/>
              <w:rPr>
                <w:b/>
              </w:rPr>
            </w:pPr>
            <w:r w:rsidRPr="00985D73">
              <w:rPr>
                <w:b/>
              </w:rPr>
              <w:t>Diagnostic</w:t>
            </w:r>
          </w:p>
        </w:tc>
        <w:tc>
          <w:tcPr>
            <w:tcW w:w="9093" w:type="dxa"/>
            <w:gridSpan w:val="2"/>
            <w:shd w:val="clear" w:color="auto" w:fill="4F81BD" w:themeFill="accent1"/>
          </w:tcPr>
          <w:p w:rsidR="006F6277" w:rsidRPr="00985D73" w:rsidRDefault="006F6277" w:rsidP="00985D73">
            <w:pPr>
              <w:pStyle w:val="Sansinterligne"/>
              <w:jc w:val="center"/>
              <w:rPr>
                <w:b/>
              </w:rPr>
            </w:pPr>
            <w:r w:rsidRPr="00985D73">
              <w:rPr>
                <w:b/>
              </w:rPr>
              <w:t>Manifestations cliniques</w:t>
            </w:r>
          </w:p>
        </w:tc>
      </w:tr>
      <w:tr w:rsidR="006F6277" w:rsidTr="00345FB5">
        <w:tc>
          <w:tcPr>
            <w:tcW w:w="1923" w:type="dxa"/>
            <w:shd w:val="clear" w:color="auto" w:fill="95B3D7" w:themeFill="accent1" w:themeFillTint="99"/>
            <w:vAlign w:val="center"/>
          </w:tcPr>
          <w:p w:rsidR="006F6277" w:rsidRPr="0047527F" w:rsidRDefault="006F6277" w:rsidP="00D463BD">
            <w:pPr>
              <w:pStyle w:val="Sansinterligne"/>
              <w:jc w:val="center"/>
              <w:rPr>
                <w:b/>
              </w:rPr>
            </w:pPr>
            <w:r w:rsidRPr="0047527F">
              <w:rPr>
                <w:b/>
              </w:rPr>
              <w:t>Fissure anale</w:t>
            </w:r>
          </w:p>
        </w:tc>
        <w:tc>
          <w:tcPr>
            <w:tcW w:w="4281" w:type="dxa"/>
            <w:tcBorders>
              <w:right w:val="single" w:sz="4" w:space="0" w:color="FFFF00"/>
            </w:tcBorders>
            <w:shd w:val="clear" w:color="auto" w:fill="FFFF00"/>
          </w:tcPr>
          <w:p w:rsidR="006F6277" w:rsidRPr="0047527F" w:rsidRDefault="00924B49" w:rsidP="0036676E">
            <w:pPr>
              <w:pStyle w:val="Sansinterligne"/>
              <w:numPr>
                <w:ilvl w:val="0"/>
                <w:numId w:val="1521"/>
              </w:numPr>
              <w:rPr>
                <w:b/>
              </w:rPr>
            </w:pPr>
            <w:r w:rsidRPr="0047527F">
              <w:rPr>
                <w:b/>
              </w:rPr>
              <w:t>Douleur à la défécation ++</w:t>
            </w:r>
          </w:p>
          <w:p w:rsidR="00924B49" w:rsidRDefault="00924B49" w:rsidP="0036676E">
            <w:pPr>
              <w:pStyle w:val="Sansinterligne"/>
              <w:numPr>
                <w:ilvl w:val="0"/>
                <w:numId w:val="1521"/>
              </w:numPr>
            </w:pPr>
            <w:r>
              <w:t>Douleur à l’écartement des fesses /  mvt</w:t>
            </w:r>
          </w:p>
          <w:p w:rsidR="00924B49" w:rsidRDefault="00924B49" w:rsidP="0036676E">
            <w:pPr>
              <w:pStyle w:val="Sansinterligne"/>
              <w:numPr>
                <w:ilvl w:val="0"/>
                <w:numId w:val="1521"/>
              </w:numPr>
            </w:pPr>
            <w:r w:rsidRPr="0047527F">
              <w:rPr>
                <w:b/>
              </w:rPr>
              <w:t>Rectorragies</w:t>
            </w:r>
            <w:r>
              <w:t xml:space="preserve"> (sur le papier </w:t>
            </w:r>
            <w:r w:rsidR="0047527F">
              <w:t>/</w:t>
            </w:r>
            <w:r>
              <w:t xml:space="preserve"> les selles)</w:t>
            </w:r>
          </w:p>
        </w:tc>
        <w:tc>
          <w:tcPr>
            <w:tcW w:w="4812" w:type="dxa"/>
            <w:tcBorders>
              <w:left w:val="single" w:sz="4" w:space="0" w:color="FFFF00"/>
            </w:tcBorders>
            <w:shd w:val="clear" w:color="auto" w:fill="FFFF00"/>
          </w:tcPr>
          <w:p w:rsidR="00924B49" w:rsidRDefault="00924B49" w:rsidP="0036676E">
            <w:pPr>
              <w:pStyle w:val="Sansinterligne"/>
              <w:numPr>
                <w:ilvl w:val="0"/>
                <w:numId w:val="1521"/>
              </w:numPr>
            </w:pPr>
            <w:r>
              <w:t>Fissure visible à l’examen</w:t>
            </w:r>
          </w:p>
          <w:p w:rsidR="006F6277" w:rsidRDefault="00924B49" w:rsidP="0036676E">
            <w:pPr>
              <w:pStyle w:val="Sansinterligne"/>
              <w:numPr>
                <w:ilvl w:val="0"/>
                <w:numId w:val="1521"/>
              </w:numPr>
            </w:pPr>
            <w:r>
              <w:t>Antérieure ou postérieure à la marge anale</w:t>
            </w:r>
          </w:p>
          <w:p w:rsidR="00924B49" w:rsidRDefault="003100CB" w:rsidP="0036676E">
            <w:pPr>
              <w:pStyle w:val="Sansinterligne"/>
              <w:numPr>
                <w:ilvl w:val="0"/>
                <w:numId w:val="1521"/>
              </w:numPr>
            </w:pPr>
            <w:r>
              <w:t>Si latérale penser</w:t>
            </w:r>
            <w:r w:rsidR="00924B49">
              <w:t xml:space="preserve"> </w:t>
            </w:r>
            <w:r w:rsidR="00924B49">
              <w:rPr>
                <w:rFonts w:ascii="Century Gothic" w:hAnsi="Century Gothic"/>
              </w:rPr>
              <w:t>→</w:t>
            </w:r>
            <w:r>
              <w:t xml:space="preserve"> MII, syphilis, TB</w:t>
            </w:r>
          </w:p>
        </w:tc>
      </w:tr>
      <w:tr w:rsidR="006F6277" w:rsidTr="00345FB5">
        <w:tc>
          <w:tcPr>
            <w:tcW w:w="1923" w:type="dxa"/>
            <w:shd w:val="clear" w:color="auto" w:fill="95B3D7" w:themeFill="accent1" w:themeFillTint="99"/>
            <w:vAlign w:val="center"/>
          </w:tcPr>
          <w:p w:rsidR="006F6277" w:rsidRPr="0047527F" w:rsidRDefault="006F6277" w:rsidP="00D463BD">
            <w:pPr>
              <w:pStyle w:val="Sansinterligne"/>
              <w:jc w:val="center"/>
              <w:rPr>
                <w:b/>
              </w:rPr>
            </w:pPr>
            <w:r w:rsidRPr="0047527F">
              <w:rPr>
                <w:b/>
              </w:rPr>
              <w:t>Fistule anale</w:t>
            </w:r>
          </w:p>
        </w:tc>
        <w:tc>
          <w:tcPr>
            <w:tcW w:w="4281" w:type="dxa"/>
            <w:tcBorders>
              <w:right w:val="single" w:sz="4" w:space="0" w:color="FFFF00"/>
            </w:tcBorders>
            <w:shd w:val="clear" w:color="auto" w:fill="FFFF00"/>
          </w:tcPr>
          <w:p w:rsidR="006F6277" w:rsidRDefault="0072600E" w:rsidP="0036676E">
            <w:pPr>
              <w:pStyle w:val="Sansinterligne"/>
              <w:numPr>
                <w:ilvl w:val="0"/>
                <w:numId w:val="1521"/>
              </w:numPr>
            </w:pPr>
            <w:r>
              <w:t>Écoulement purulent périanal</w:t>
            </w:r>
          </w:p>
          <w:p w:rsidR="0072600E" w:rsidRDefault="0072600E" w:rsidP="0036676E">
            <w:pPr>
              <w:pStyle w:val="Sansinterligne"/>
              <w:numPr>
                <w:ilvl w:val="0"/>
                <w:numId w:val="1521"/>
              </w:numPr>
            </w:pPr>
            <w:r>
              <w:t>Douleur</w:t>
            </w:r>
          </w:p>
        </w:tc>
        <w:tc>
          <w:tcPr>
            <w:tcW w:w="4812" w:type="dxa"/>
            <w:tcBorders>
              <w:left w:val="single" w:sz="4" w:space="0" w:color="FFFF00"/>
            </w:tcBorders>
            <w:shd w:val="clear" w:color="auto" w:fill="FFFF00"/>
          </w:tcPr>
          <w:p w:rsidR="0072600E" w:rsidRDefault="003100CB" w:rsidP="003100CB">
            <w:pPr>
              <w:pStyle w:val="Sansinterligne"/>
              <w:ind w:left="360"/>
            </w:pPr>
            <w:r>
              <w:t>Trajet palpable</w:t>
            </w:r>
          </w:p>
        </w:tc>
      </w:tr>
      <w:tr w:rsidR="006F6277" w:rsidTr="003100CB">
        <w:tc>
          <w:tcPr>
            <w:tcW w:w="1923" w:type="dxa"/>
            <w:shd w:val="clear" w:color="auto" w:fill="95B3D7" w:themeFill="accent1" w:themeFillTint="99"/>
            <w:vAlign w:val="center"/>
          </w:tcPr>
          <w:p w:rsidR="006F6277" w:rsidRDefault="00E12E11" w:rsidP="00D463BD">
            <w:pPr>
              <w:pStyle w:val="Sansinterligne"/>
              <w:jc w:val="center"/>
            </w:pPr>
            <w:r>
              <w:t>Abcès périanal</w:t>
            </w:r>
          </w:p>
        </w:tc>
        <w:tc>
          <w:tcPr>
            <w:tcW w:w="4281" w:type="dxa"/>
            <w:tcBorders>
              <w:right w:val="single" w:sz="4" w:space="0" w:color="FFFFFF" w:themeColor="background1"/>
            </w:tcBorders>
          </w:tcPr>
          <w:p w:rsidR="006F6277" w:rsidRDefault="00E12E11" w:rsidP="0036676E">
            <w:pPr>
              <w:pStyle w:val="Sansinterligne"/>
              <w:numPr>
                <w:ilvl w:val="0"/>
                <w:numId w:val="1521"/>
              </w:numPr>
            </w:pPr>
            <w:r>
              <w:t>Douleur pulsatile</w:t>
            </w:r>
          </w:p>
          <w:p w:rsidR="00E12E11" w:rsidRDefault="00E12E11" w:rsidP="0036676E">
            <w:pPr>
              <w:pStyle w:val="Sansinterligne"/>
              <w:numPr>
                <w:ilvl w:val="0"/>
                <w:numId w:val="1521"/>
              </w:numPr>
            </w:pPr>
            <w:r>
              <w:t>Pire au mouvement et à la défécation</w:t>
            </w:r>
          </w:p>
        </w:tc>
        <w:tc>
          <w:tcPr>
            <w:tcW w:w="4812" w:type="dxa"/>
            <w:tcBorders>
              <w:left w:val="single" w:sz="4" w:space="0" w:color="FFFFFF" w:themeColor="background1"/>
            </w:tcBorders>
          </w:tcPr>
          <w:p w:rsidR="006F6277" w:rsidRDefault="00E12E11" w:rsidP="0036676E">
            <w:pPr>
              <w:pStyle w:val="Sansinterligne"/>
              <w:numPr>
                <w:ilvl w:val="0"/>
                <w:numId w:val="1521"/>
              </w:numPr>
            </w:pPr>
            <w:r>
              <w:t>Masse sensible palpable à l’examen</w:t>
            </w:r>
          </w:p>
          <w:p w:rsidR="00E12E11" w:rsidRDefault="00E12E11" w:rsidP="0036676E">
            <w:pPr>
              <w:pStyle w:val="Sansinterligne"/>
              <w:numPr>
                <w:ilvl w:val="0"/>
                <w:numId w:val="1521"/>
              </w:numPr>
            </w:pPr>
            <w:r>
              <w:t>Fièvre (inconstant)</w:t>
            </w:r>
          </w:p>
        </w:tc>
      </w:tr>
      <w:tr w:rsidR="006F6277" w:rsidTr="003100CB">
        <w:tc>
          <w:tcPr>
            <w:tcW w:w="1923" w:type="dxa"/>
            <w:shd w:val="clear" w:color="auto" w:fill="95B3D7" w:themeFill="accent1" w:themeFillTint="99"/>
            <w:vAlign w:val="center"/>
          </w:tcPr>
          <w:p w:rsidR="006F6277" w:rsidRDefault="007F50B9" w:rsidP="00D463BD">
            <w:pPr>
              <w:pStyle w:val="Sansinterligne"/>
              <w:jc w:val="center"/>
            </w:pPr>
            <w:r>
              <w:t>Sinus</w:t>
            </w:r>
            <w:r w:rsidR="006F6277">
              <w:t xml:space="preserve"> pilonidal</w:t>
            </w:r>
          </w:p>
        </w:tc>
        <w:tc>
          <w:tcPr>
            <w:tcW w:w="4281" w:type="dxa"/>
            <w:tcBorders>
              <w:right w:val="single" w:sz="4" w:space="0" w:color="FFFFFF" w:themeColor="background1"/>
            </w:tcBorders>
          </w:tcPr>
          <w:p w:rsidR="006F6277" w:rsidRDefault="007F50B9" w:rsidP="0036676E">
            <w:pPr>
              <w:pStyle w:val="Sansinterligne"/>
              <w:numPr>
                <w:ilvl w:val="0"/>
                <w:numId w:val="1521"/>
              </w:numPr>
            </w:pPr>
            <w:r>
              <w:t>Souvent jeune hommes, pilosité ++</w:t>
            </w:r>
          </w:p>
          <w:p w:rsidR="007F50B9" w:rsidRDefault="007F50B9" w:rsidP="0036676E">
            <w:pPr>
              <w:pStyle w:val="Sansinterligne"/>
              <w:numPr>
                <w:ilvl w:val="0"/>
                <w:numId w:val="1521"/>
              </w:numPr>
            </w:pPr>
            <w:r>
              <w:t xml:space="preserve">Masse a/n pli interfessier </w:t>
            </w:r>
            <w:r>
              <w:rPr>
                <w:rFonts w:cs="Times New Roman"/>
              </w:rPr>
              <w:t>±</w:t>
            </w:r>
            <w:r>
              <w:t xml:space="preserve"> poils</w:t>
            </w:r>
          </w:p>
          <w:p w:rsidR="007F50B9" w:rsidRDefault="007F50B9" w:rsidP="0036676E">
            <w:pPr>
              <w:pStyle w:val="Sansinterligne"/>
              <w:numPr>
                <w:ilvl w:val="0"/>
                <w:numId w:val="1521"/>
              </w:numPr>
            </w:pPr>
            <w:r>
              <w:t>Senti en position assisse</w:t>
            </w:r>
          </w:p>
        </w:tc>
        <w:tc>
          <w:tcPr>
            <w:tcW w:w="4812" w:type="dxa"/>
            <w:tcBorders>
              <w:left w:val="single" w:sz="4" w:space="0" w:color="FFFFFF" w:themeColor="background1"/>
            </w:tcBorders>
          </w:tcPr>
          <w:p w:rsidR="006F6277" w:rsidRDefault="007F50B9" w:rsidP="0036676E">
            <w:pPr>
              <w:pStyle w:val="Sansinterligne"/>
              <w:numPr>
                <w:ilvl w:val="0"/>
                <w:numId w:val="1521"/>
              </w:numPr>
            </w:pPr>
            <w:r>
              <w:t>Asymptomatique</w:t>
            </w:r>
          </w:p>
          <w:p w:rsidR="007F50B9" w:rsidRDefault="007F50B9" w:rsidP="0036676E">
            <w:pPr>
              <w:pStyle w:val="Sansinterligne"/>
              <w:numPr>
                <w:ilvl w:val="0"/>
                <w:numId w:val="1521"/>
              </w:numPr>
            </w:pPr>
            <w:r>
              <w:t xml:space="preserve">Douloureux si inflammé </w:t>
            </w:r>
            <w:r>
              <w:rPr>
                <w:rFonts w:cs="Times New Roman"/>
              </w:rPr>
              <w:t>±</w:t>
            </w:r>
            <w:r>
              <w:t xml:space="preserve"> écoulement</w:t>
            </w:r>
          </w:p>
        </w:tc>
      </w:tr>
      <w:tr w:rsidR="006F6277" w:rsidTr="00345FB5">
        <w:tc>
          <w:tcPr>
            <w:tcW w:w="1923" w:type="dxa"/>
            <w:shd w:val="clear" w:color="auto" w:fill="95B3D7" w:themeFill="accent1" w:themeFillTint="99"/>
            <w:vAlign w:val="center"/>
          </w:tcPr>
          <w:p w:rsidR="006F6277" w:rsidRPr="0047527F" w:rsidRDefault="006F6277" w:rsidP="00D463BD">
            <w:pPr>
              <w:pStyle w:val="Sansinterligne"/>
              <w:jc w:val="center"/>
              <w:rPr>
                <w:b/>
              </w:rPr>
            </w:pPr>
            <w:r w:rsidRPr="0047527F">
              <w:rPr>
                <w:b/>
              </w:rPr>
              <w:t>Hémorroïdes internes</w:t>
            </w:r>
          </w:p>
        </w:tc>
        <w:tc>
          <w:tcPr>
            <w:tcW w:w="4281" w:type="dxa"/>
            <w:tcBorders>
              <w:right w:val="single" w:sz="4" w:space="0" w:color="FFFF00"/>
            </w:tcBorders>
            <w:shd w:val="clear" w:color="auto" w:fill="FFFF00"/>
          </w:tcPr>
          <w:p w:rsidR="006F6277" w:rsidRDefault="0047527F" w:rsidP="0036676E">
            <w:pPr>
              <w:pStyle w:val="Sansinterligne"/>
              <w:numPr>
                <w:ilvl w:val="0"/>
                <w:numId w:val="1521"/>
              </w:numPr>
            </w:pPr>
            <w:r w:rsidRPr="0047527F">
              <w:rPr>
                <w:b/>
              </w:rPr>
              <w:t>Non-douloureuses</w:t>
            </w:r>
            <w:r>
              <w:t xml:space="preserve"> (non-innervées)</w:t>
            </w:r>
          </w:p>
          <w:p w:rsidR="0047527F" w:rsidRDefault="0047527F" w:rsidP="0036676E">
            <w:pPr>
              <w:pStyle w:val="Sansinterligne"/>
              <w:numPr>
                <w:ilvl w:val="0"/>
                <w:numId w:val="1521"/>
              </w:numPr>
            </w:pPr>
            <w:r w:rsidRPr="0047527F">
              <w:rPr>
                <w:b/>
              </w:rPr>
              <w:t>Rectorragies</w:t>
            </w:r>
            <w:r>
              <w:t xml:space="preserve"> à la défécation</w:t>
            </w:r>
          </w:p>
        </w:tc>
        <w:tc>
          <w:tcPr>
            <w:tcW w:w="4812" w:type="dxa"/>
            <w:tcBorders>
              <w:left w:val="single" w:sz="4" w:space="0" w:color="FFFF00"/>
            </w:tcBorders>
            <w:shd w:val="clear" w:color="auto" w:fill="FFFF00"/>
          </w:tcPr>
          <w:p w:rsidR="006F6277" w:rsidRDefault="0047527F" w:rsidP="0036676E">
            <w:pPr>
              <w:pStyle w:val="Sansinterligne"/>
              <w:numPr>
                <w:ilvl w:val="0"/>
                <w:numId w:val="1521"/>
              </w:numPr>
            </w:pPr>
            <w:r>
              <w:t>Parfois palpables au toucher rectal</w:t>
            </w:r>
          </w:p>
        </w:tc>
      </w:tr>
      <w:tr w:rsidR="006F6277" w:rsidTr="00345FB5">
        <w:tc>
          <w:tcPr>
            <w:tcW w:w="1923" w:type="dxa"/>
            <w:shd w:val="clear" w:color="auto" w:fill="95B3D7" w:themeFill="accent1" w:themeFillTint="99"/>
            <w:vAlign w:val="center"/>
          </w:tcPr>
          <w:p w:rsidR="006F6277" w:rsidRPr="0047527F" w:rsidRDefault="006F6277" w:rsidP="00D463BD">
            <w:pPr>
              <w:pStyle w:val="Sansinterligne"/>
              <w:jc w:val="center"/>
              <w:rPr>
                <w:b/>
              </w:rPr>
            </w:pPr>
            <w:r w:rsidRPr="0047527F">
              <w:rPr>
                <w:b/>
              </w:rPr>
              <w:t>Hémorroïdes externes</w:t>
            </w:r>
          </w:p>
        </w:tc>
        <w:tc>
          <w:tcPr>
            <w:tcW w:w="4281" w:type="dxa"/>
            <w:tcBorders>
              <w:right w:val="single" w:sz="4" w:space="0" w:color="FFFF00"/>
            </w:tcBorders>
            <w:shd w:val="clear" w:color="auto" w:fill="FFFF00"/>
          </w:tcPr>
          <w:p w:rsidR="0047527F" w:rsidRDefault="0047527F" w:rsidP="0036676E">
            <w:pPr>
              <w:pStyle w:val="Sansinterligne"/>
              <w:numPr>
                <w:ilvl w:val="0"/>
                <w:numId w:val="1521"/>
              </w:numPr>
            </w:pPr>
            <w:r w:rsidRPr="0047527F">
              <w:rPr>
                <w:b/>
              </w:rPr>
              <w:t>Douloureuses</w:t>
            </w:r>
            <w:r>
              <w:t xml:space="preserve"> si thrombosées</w:t>
            </w:r>
          </w:p>
          <w:p w:rsidR="0047527F" w:rsidRPr="0047527F" w:rsidRDefault="0047527F" w:rsidP="0036676E">
            <w:pPr>
              <w:pStyle w:val="Sansinterligne"/>
              <w:numPr>
                <w:ilvl w:val="0"/>
                <w:numId w:val="1521"/>
              </w:numPr>
              <w:rPr>
                <w:b/>
              </w:rPr>
            </w:pPr>
            <w:r w:rsidRPr="0047527F">
              <w:rPr>
                <w:b/>
              </w:rPr>
              <w:t>Pas de rectorragies</w:t>
            </w:r>
          </w:p>
        </w:tc>
        <w:tc>
          <w:tcPr>
            <w:tcW w:w="4812" w:type="dxa"/>
            <w:tcBorders>
              <w:left w:val="single" w:sz="4" w:space="0" w:color="FFFF00"/>
            </w:tcBorders>
            <w:shd w:val="clear" w:color="auto" w:fill="FFFF00"/>
          </w:tcPr>
          <w:p w:rsidR="0047527F" w:rsidRDefault="0047527F" w:rsidP="0036676E">
            <w:pPr>
              <w:pStyle w:val="Sansinterligne"/>
              <w:numPr>
                <w:ilvl w:val="0"/>
                <w:numId w:val="1521"/>
              </w:numPr>
            </w:pPr>
            <w:r>
              <w:t xml:space="preserve">Veines dilatées visibles et palpables </w:t>
            </w:r>
          </w:p>
          <w:p w:rsidR="006F6277" w:rsidRDefault="006F6277" w:rsidP="003100CB">
            <w:pPr>
              <w:pStyle w:val="Sansinterligne"/>
            </w:pPr>
          </w:p>
        </w:tc>
      </w:tr>
      <w:tr w:rsidR="006F6277" w:rsidTr="00345FB5">
        <w:tc>
          <w:tcPr>
            <w:tcW w:w="1923" w:type="dxa"/>
            <w:shd w:val="clear" w:color="auto" w:fill="95B3D7" w:themeFill="accent1" w:themeFillTint="99"/>
            <w:vAlign w:val="center"/>
          </w:tcPr>
          <w:p w:rsidR="006F6277" w:rsidRDefault="006F6277" w:rsidP="00D463BD">
            <w:pPr>
              <w:pStyle w:val="Sansinterligne"/>
              <w:jc w:val="center"/>
            </w:pPr>
            <w:r>
              <w:t>Prolapsus rectal</w:t>
            </w:r>
          </w:p>
        </w:tc>
        <w:tc>
          <w:tcPr>
            <w:tcW w:w="4281" w:type="dxa"/>
            <w:tcBorders>
              <w:right w:val="single" w:sz="4" w:space="0" w:color="FFFFFF" w:themeColor="background1"/>
            </w:tcBorders>
          </w:tcPr>
          <w:p w:rsidR="006F6277" w:rsidRDefault="00A81F84" w:rsidP="0036676E">
            <w:pPr>
              <w:pStyle w:val="Sansinterligne"/>
              <w:numPr>
                <w:ilvl w:val="0"/>
                <w:numId w:val="1521"/>
              </w:numPr>
            </w:pPr>
            <w:r>
              <w:t>Surtout des femmes (85%),</w:t>
            </w:r>
            <w:r>
              <w:rPr>
                <w:rFonts w:ascii="Century Gothic" w:hAnsi="Century Gothic"/>
              </w:rPr>
              <w:t>&gt;</w:t>
            </w:r>
            <w:r>
              <w:t xml:space="preserve"> 50 ans </w:t>
            </w:r>
          </w:p>
          <w:p w:rsidR="00A81F84" w:rsidRDefault="00A81F84" w:rsidP="0036676E">
            <w:pPr>
              <w:pStyle w:val="Sansinterligne"/>
              <w:numPr>
                <w:ilvl w:val="0"/>
                <w:numId w:val="1521"/>
              </w:numPr>
            </w:pPr>
            <w:r>
              <w:t>Ténesme</w:t>
            </w:r>
          </w:p>
          <w:p w:rsidR="00A81F84" w:rsidRDefault="00D463BD" w:rsidP="0036676E">
            <w:pPr>
              <w:pStyle w:val="Sansinterligne"/>
              <w:numPr>
                <w:ilvl w:val="0"/>
                <w:numId w:val="1521"/>
              </w:numPr>
            </w:pPr>
            <w:r>
              <w:t>Constipation</w:t>
            </w:r>
          </w:p>
        </w:tc>
        <w:tc>
          <w:tcPr>
            <w:tcW w:w="4812" w:type="dxa"/>
            <w:tcBorders>
              <w:left w:val="single" w:sz="4" w:space="0" w:color="FFFFFF" w:themeColor="background1"/>
            </w:tcBorders>
          </w:tcPr>
          <w:p w:rsidR="00D463BD" w:rsidRDefault="00D463BD" w:rsidP="0036676E">
            <w:pPr>
              <w:pStyle w:val="Sansinterligne"/>
              <w:numPr>
                <w:ilvl w:val="0"/>
                <w:numId w:val="1521"/>
              </w:numPr>
            </w:pPr>
            <w:r>
              <w:t>Incontinence fécale</w:t>
            </w:r>
          </w:p>
          <w:p w:rsidR="00A81F84" w:rsidRDefault="00A81F84" w:rsidP="0036676E">
            <w:pPr>
              <w:pStyle w:val="Sansinterligne"/>
              <w:numPr>
                <w:ilvl w:val="0"/>
                <w:numId w:val="1521"/>
              </w:numPr>
            </w:pPr>
            <w:r>
              <w:t xml:space="preserve">Masse sortant de l’anus à l’effort ou </w:t>
            </w:r>
            <w:r>
              <w:rPr>
                <w:rFonts w:ascii="Century Gothic" w:hAnsi="Century Gothic"/>
              </w:rPr>
              <w:t>↑</w:t>
            </w:r>
            <w:r>
              <w:t xml:space="preserve"> PIA</w:t>
            </w:r>
          </w:p>
          <w:p w:rsidR="00A81F84" w:rsidRDefault="00D463BD" w:rsidP="0036676E">
            <w:pPr>
              <w:pStyle w:val="Sansinterligne"/>
              <w:numPr>
                <w:ilvl w:val="0"/>
                <w:numId w:val="1521"/>
              </w:numPr>
            </w:pPr>
            <w:r>
              <w:t>Ulcérations muqueuse si prolapsus permanent</w:t>
            </w:r>
          </w:p>
        </w:tc>
      </w:tr>
      <w:tr w:rsidR="006F6277" w:rsidTr="00345FB5">
        <w:tc>
          <w:tcPr>
            <w:tcW w:w="1923" w:type="dxa"/>
            <w:shd w:val="clear" w:color="auto" w:fill="95B3D7" w:themeFill="accent1" w:themeFillTint="99"/>
            <w:vAlign w:val="center"/>
          </w:tcPr>
          <w:p w:rsidR="006F6277" w:rsidRDefault="006F6277" w:rsidP="00D463BD">
            <w:pPr>
              <w:pStyle w:val="Sansinterligne"/>
              <w:jc w:val="center"/>
            </w:pPr>
            <w:r>
              <w:t>Néoplasie anale</w:t>
            </w:r>
          </w:p>
        </w:tc>
        <w:tc>
          <w:tcPr>
            <w:tcW w:w="4281" w:type="dxa"/>
            <w:tcBorders>
              <w:right w:val="single" w:sz="4" w:space="0" w:color="FFFFFF" w:themeColor="background1"/>
            </w:tcBorders>
          </w:tcPr>
          <w:p w:rsidR="00600725" w:rsidRDefault="00600725" w:rsidP="0036676E">
            <w:pPr>
              <w:pStyle w:val="Sansinterligne"/>
              <w:numPr>
                <w:ilvl w:val="0"/>
                <w:numId w:val="1521"/>
              </w:numPr>
            </w:pPr>
            <w:r>
              <w:t>25% asymptomatiques</w:t>
            </w:r>
          </w:p>
          <w:p w:rsidR="00600725" w:rsidRDefault="00600725" w:rsidP="0036676E">
            <w:pPr>
              <w:pStyle w:val="Sansinterligne"/>
              <w:numPr>
                <w:ilvl w:val="0"/>
                <w:numId w:val="1521"/>
              </w:numPr>
            </w:pPr>
            <w:r>
              <w:t>Rectorragies</w:t>
            </w:r>
          </w:p>
        </w:tc>
        <w:tc>
          <w:tcPr>
            <w:tcW w:w="4812" w:type="dxa"/>
            <w:tcBorders>
              <w:left w:val="single" w:sz="4" w:space="0" w:color="FFFFFF" w:themeColor="background1"/>
            </w:tcBorders>
          </w:tcPr>
          <w:p w:rsidR="00600725" w:rsidRDefault="00600725" w:rsidP="0036676E">
            <w:pPr>
              <w:pStyle w:val="Sansinterligne"/>
              <w:numPr>
                <w:ilvl w:val="0"/>
                <w:numId w:val="1521"/>
              </w:numPr>
            </w:pPr>
            <w:r>
              <w:t xml:space="preserve">Masse anale </w:t>
            </w:r>
            <w:r>
              <w:rPr>
                <w:rFonts w:cs="Times New Roman"/>
              </w:rPr>
              <w:t>±</w:t>
            </w:r>
            <w:r>
              <w:t xml:space="preserve"> ulcération</w:t>
            </w:r>
          </w:p>
          <w:p w:rsidR="006F6277" w:rsidRDefault="003100CB" w:rsidP="0036676E">
            <w:pPr>
              <w:pStyle w:val="Sansinterligne"/>
              <w:numPr>
                <w:ilvl w:val="0"/>
                <w:numId w:val="1521"/>
              </w:numPr>
            </w:pPr>
            <w:r>
              <w:t>Douleur, p</w:t>
            </w:r>
            <w:r w:rsidR="00600725">
              <w:t>rurit</w:t>
            </w:r>
          </w:p>
        </w:tc>
      </w:tr>
      <w:tr w:rsidR="00174AA3" w:rsidTr="00345FB5">
        <w:tc>
          <w:tcPr>
            <w:tcW w:w="1923" w:type="dxa"/>
            <w:shd w:val="clear" w:color="auto" w:fill="95B3D7" w:themeFill="accent1" w:themeFillTint="99"/>
            <w:vAlign w:val="center"/>
          </w:tcPr>
          <w:p w:rsidR="00174AA3" w:rsidRDefault="00174AA3" w:rsidP="00D463BD">
            <w:pPr>
              <w:pStyle w:val="Sansinterligne"/>
              <w:jc w:val="center"/>
            </w:pPr>
            <w:r>
              <w:t>Coccydinie</w:t>
            </w:r>
          </w:p>
        </w:tc>
        <w:tc>
          <w:tcPr>
            <w:tcW w:w="4281" w:type="dxa"/>
            <w:tcBorders>
              <w:right w:val="single" w:sz="4" w:space="0" w:color="FFFFFF" w:themeColor="background1"/>
            </w:tcBorders>
          </w:tcPr>
          <w:p w:rsidR="00174AA3" w:rsidRDefault="00174AA3" w:rsidP="0036676E">
            <w:pPr>
              <w:pStyle w:val="Sansinterligne"/>
              <w:numPr>
                <w:ilvl w:val="0"/>
                <w:numId w:val="1521"/>
              </w:numPr>
            </w:pPr>
            <w:r>
              <w:t>Douleur localisée au coccyx</w:t>
            </w:r>
          </w:p>
          <w:p w:rsidR="00174AA3" w:rsidRDefault="00174AA3" w:rsidP="0036676E">
            <w:pPr>
              <w:pStyle w:val="Sansinterligne"/>
              <w:numPr>
                <w:ilvl w:val="0"/>
                <w:numId w:val="1521"/>
              </w:numPr>
            </w:pPr>
            <w:r>
              <w:t>Hx de trauma /aigue</w:t>
            </w:r>
          </w:p>
        </w:tc>
        <w:tc>
          <w:tcPr>
            <w:tcW w:w="4812" w:type="dxa"/>
            <w:tcBorders>
              <w:left w:val="single" w:sz="4" w:space="0" w:color="FFFFFF" w:themeColor="background1"/>
            </w:tcBorders>
          </w:tcPr>
          <w:p w:rsidR="00174AA3" w:rsidRDefault="00174AA3" w:rsidP="0036676E">
            <w:pPr>
              <w:pStyle w:val="Sansinterligne"/>
              <w:numPr>
                <w:ilvl w:val="0"/>
                <w:numId w:val="1521"/>
              </w:numPr>
            </w:pPr>
            <w:r>
              <w:t>Douleur à la défécation, au relation sexuelle</w:t>
            </w:r>
          </w:p>
          <w:p w:rsidR="00174AA3" w:rsidRDefault="00174AA3" w:rsidP="0036676E">
            <w:pPr>
              <w:pStyle w:val="Sansinterligne"/>
              <w:numPr>
                <w:ilvl w:val="0"/>
                <w:numId w:val="1521"/>
              </w:numPr>
            </w:pPr>
            <w:r>
              <w:t>Douleur reproduite à la palpation du coccyx</w:t>
            </w:r>
          </w:p>
        </w:tc>
      </w:tr>
      <w:tr w:rsidR="005C1ACB" w:rsidTr="00345FB5">
        <w:tc>
          <w:tcPr>
            <w:tcW w:w="1923" w:type="dxa"/>
            <w:shd w:val="clear" w:color="auto" w:fill="95B3D7" w:themeFill="accent1" w:themeFillTint="99"/>
            <w:vAlign w:val="center"/>
          </w:tcPr>
          <w:p w:rsidR="005C1ACB" w:rsidRDefault="005C1ACB" w:rsidP="00D463BD">
            <w:pPr>
              <w:pStyle w:val="Sansinterligne"/>
              <w:jc w:val="center"/>
            </w:pPr>
            <w:r>
              <w:t>Condylomes</w:t>
            </w:r>
          </w:p>
        </w:tc>
        <w:tc>
          <w:tcPr>
            <w:tcW w:w="4281" w:type="dxa"/>
            <w:tcBorders>
              <w:right w:val="single" w:sz="4" w:space="0" w:color="FFFFFF" w:themeColor="background1"/>
            </w:tcBorders>
          </w:tcPr>
          <w:p w:rsidR="005C1ACB" w:rsidRDefault="005C1ACB" w:rsidP="0036676E">
            <w:pPr>
              <w:pStyle w:val="Sansinterligne"/>
              <w:numPr>
                <w:ilvl w:val="0"/>
                <w:numId w:val="1521"/>
              </w:numPr>
            </w:pPr>
            <w:r>
              <w:t>Non-douloureux</w:t>
            </w:r>
          </w:p>
        </w:tc>
        <w:tc>
          <w:tcPr>
            <w:tcW w:w="4812" w:type="dxa"/>
            <w:tcBorders>
              <w:left w:val="single" w:sz="4" w:space="0" w:color="FFFFFF" w:themeColor="background1"/>
            </w:tcBorders>
          </w:tcPr>
          <w:p w:rsidR="005C1ACB" w:rsidRDefault="005C1ACB" w:rsidP="0036676E">
            <w:pPr>
              <w:pStyle w:val="Sansinterligne"/>
              <w:numPr>
                <w:ilvl w:val="0"/>
                <w:numId w:val="1521"/>
              </w:numPr>
            </w:pPr>
            <w:r>
              <w:t>Excroissances cutanées à la marge anale</w:t>
            </w:r>
          </w:p>
        </w:tc>
      </w:tr>
    </w:tbl>
    <w:p w:rsidR="0053358C" w:rsidRPr="0047527F" w:rsidRDefault="0053358C" w:rsidP="006F6277">
      <w:pPr>
        <w:pStyle w:val="Sansinterligne"/>
        <w:rPr>
          <w:sz w:val="16"/>
          <w:szCs w:val="16"/>
        </w:rPr>
      </w:pPr>
    </w:p>
    <w:p w:rsidR="0053358C" w:rsidRPr="006F6277" w:rsidRDefault="006F6277" w:rsidP="006F6277">
      <w:pPr>
        <w:pStyle w:val="Sansinterligne"/>
        <w:rPr>
          <w:b/>
          <w:sz w:val="28"/>
          <w:szCs w:val="28"/>
        </w:rPr>
      </w:pPr>
      <w:r w:rsidRPr="006F6277">
        <w:rPr>
          <w:b/>
          <w:sz w:val="28"/>
          <w:szCs w:val="28"/>
        </w:rPr>
        <w:t>Investigations</w:t>
      </w:r>
    </w:p>
    <w:p w:rsidR="006F6277" w:rsidRPr="0047527F" w:rsidRDefault="006F6277" w:rsidP="006F6277">
      <w:pPr>
        <w:pStyle w:val="Sansinterligne"/>
        <w:rPr>
          <w:sz w:val="16"/>
          <w:szCs w:val="16"/>
        </w:rPr>
      </w:pPr>
    </w:p>
    <w:p w:rsidR="00470C2E" w:rsidRDefault="00470C2E" w:rsidP="0036676E">
      <w:pPr>
        <w:pStyle w:val="Sansinterligne"/>
        <w:numPr>
          <w:ilvl w:val="0"/>
          <w:numId w:val="1520"/>
        </w:numPr>
      </w:pPr>
      <w:r>
        <w:t>FSC</w:t>
      </w:r>
    </w:p>
    <w:p w:rsidR="006F6277" w:rsidRDefault="00924B49" w:rsidP="0036676E">
      <w:pPr>
        <w:pStyle w:val="Sansinterligne"/>
        <w:numPr>
          <w:ilvl w:val="0"/>
          <w:numId w:val="1520"/>
        </w:numPr>
      </w:pPr>
      <w:r>
        <w:t>Examen physique sous anesthésie si douleur trop importante</w:t>
      </w:r>
      <w:r w:rsidR="003100CB" w:rsidRPr="003100CB">
        <w:t xml:space="preserve"> </w:t>
      </w:r>
    </w:p>
    <w:p w:rsidR="0072600E" w:rsidRDefault="0072600E" w:rsidP="0036676E">
      <w:pPr>
        <w:pStyle w:val="Sansinterligne"/>
        <w:numPr>
          <w:ilvl w:val="0"/>
          <w:numId w:val="1520"/>
        </w:numPr>
      </w:pPr>
      <w:r>
        <w:t>Fistulographie</w:t>
      </w:r>
    </w:p>
    <w:p w:rsidR="0047527F" w:rsidRDefault="0047527F" w:rsidP="0036676E">
      <w:pPr>
        <w:pStyle w:val="Sansinterligne"/>
        <w:numPr>
          <w:ilvl w:val="0"/>
          <w:numId w:val="1520"/>
        </w:numPr>
      </w:pPr>
      <w:r>
        <w:t xml:space="preserve">Colonoscopie courte </w:t>
      </w:r>
      <w:r>
        <w:rPr>
          <w:rFonts w:ascii="Century Gothic" w:hAnsi="Century Gothic"/>
        </w:rPr>
        <w:t>→</w:t>
      </w:r>
      <w:r>
        <w:t xml:space="preserve"> exclure autre causes de rectorragies pour DX d’HI</w:t>
      </w:r>
    </w:p>
    <w:p w:rsidR="006F6277" w:rsidRPr="006F6277" w:rsidRDefault="006F6277" w:rsidP="006F6277">
      <w:pPr>
        <w:pStyle w:val="Sansinterligne"/>
        <w:rPr>
          <w:b/>
          <w:sz w:val="28"/>
          <w:szCs w:val="28"/>
        </w:rPr>
      </w:pPr>
      <w:r w:rsidRPr="006F6277">
        <w:rPr>
          <w:b/>
          <w:sz w:val="28"/>
          <w:szCs w:val="28"/>
        </w:rPr>
        <w:lastRenderedPageBreak/>
        <w:t>Prise en charge</w:t>
      </w:r>
    </w:p>
    <w:p w:rsidR="0053358C" w:rsidRDefault="0053358C" w:rsidP="006F6277">
      <w:pPr>
        <w:pStyle w:val="Sansinterligne"/>
      </w:pPr>
    </w:p>
    <w:p w:rsidR="00390436" w:rsidRPr="00390436" w:rsidRDefault="00390436" w:rsidP="006F6277">
      <w:pPr>
        <w:pStyle w:val="Sansinterligne"/>
        <w:rPr>
          <w:b/>
          <w:sz w:val="16"/>
          <w:szCs w:val="16"/>
        </w:rPr>
        <w:sectPr w:rsidR="00390436" w:rsidRPr="00390436" w:rsidSect="00E82F88">
          <w:type w:val="continuous"/>
          <w:pgSz w:w="12240" w:h="15840"/>
          <w:pgMar w:top="720" w:right="720" w:bottom="720" w:left="720" w:header="708" w:footer="708" w:gutter="0"/>
          <w:cols w:space="708"/>
          <w:titlePg/>
          <w:docGrid w:linePitch="360"/>
        </w:sectPr>
      </w:pPr>
    </w:p>
    <w:p w:rsidR="00C5704C" w:rsidRPr="00C5704C" w:rsidRDefault="00C5704C" w:rsidP="006F6277">
      <w:pPr>
        <w:pStyle w:val="Sansinterligne"/>
        <w:rPr>
          <w:b/>
        </w:rPr>
      </w:pPr>
      <w:r w:rsidRPr="00C5704C">
        <w:rPr>
          <w:b/>
        </w:rPr>
        <w:lastRenderedPageBreak/>
        <w:t>Fissure anale</w:t>
      </w:r>
    </w:p>
    <w:p w:rsidR="00924B49" w:rsidRPr="003100CB" w:rsidRDefault="00924B49" w:rsidP="0036676E">
      <w:pPr>
        <w:pStyle w:val="Sansinterligne"/>
        <w:numPr>
          <w:ilvl w:val="0"/>
          <w:numId w:val="1510"/>
        </w:numPr>
        <w:rPr>
          <w:highlight w:val="yellow"/>
        </w:rPr>
      </w:pPr>
      <w:r w:rsidRPr="003100CB">
        <w:rPr>
          <w:highlight w:val="yellow"/>
        </w:rPr>
        <w:t>Bains de siège</w:t>
      </w:r>
    </w:p>
    <w:p w:rsidR="00924B49" w:rsidRPr="003100CB" w:rsidRDefault="00C5704C" w:rsidP="0036676E">
      <w:pPr>
        <w:pStyle w:val="Sansinterligne"/>
        <w:numPr>
          <w:ilvl w:val="0"/>
          <w:numId w:val="1510"/>
        </w:numPr>
        <w:rPr>
          <w:highlight w:val="yellow"/>
        </w:rPr>
      </w:pPr>
      <w:r w:rsidRPr="003100CB">
        <w:rPr>
          <w:highlight w:val="yellow"/>
        </w:rPr>
        <w:t xml:space="preserve">Émollient, osmotiques </w:t>
      </w:r>
      <w:r w:rsidR="00390436" w:rsidRPr="003100CB">
        <w:rPr>
          <w:highlight w:val="yellow"/>
        </w:rPr>
        <w:t xml:space="preserve">(ex : </w:t>
      </w:r>
      <w:r w:rsidR="00924B49" w:rsidRPr="003100CB">
        <w:rPr>
          <w:highlight w:val="yellow"/>
        </w:rPr>
        <w:t>docusate sodique</w:t>
      </w:r>
      <w:r w:rsidRPr="003100CB">
        <w:rPr>
          <w:highlight w:val="yellow"/>
        </w:rPr>
        <w:t>, PEG</w:t>
      </w:r>
      <w:r w:rsidR="00924B49" w:rsidRPr="003100CB">
        <w:rPr>
          <w:highlight w:val="yellow"/>
        </w:rPr>
        <w:t>)</w:t>
      </w:r>
    </w:p>
    <w:p w:rsidR="00C5704C" w:rsidRDefault="00C5704C" w:rsidP="0036676E">
      <w:pPr>
        <w:pStyle w:val="Sansinterligne"/>
        <w:numPr>
          <w:ilvl w:val="0"/>
          <w:numId w:val="1510"/>
        </w:numPr>
      </w:pPr>
      <w:r>
        <w:t>Suivi</w:t>
      </w:r>
    </w:p>
    <w:p w:rsidR="00C5704C" w:rsidRDefault="00C5704C" w:rsidP="0036676E">
      <w:pPr>
        <w:pStyle w:val="Sansinterligne"/>
        <w:numPr>
          <w:ilvl w:val="1"/>
          <w:numId w:val="1510"/>
        </w:numPr>
      </w:pPr>
      <w:r>
        <w:t>Si chronique (</w:t>
      </w:r>
      <w:r>
        <w:rPr>
          <w:rFonts w:ascii="Century Gothic" w:hAnsi="Century Gothic"/>
        </w:rPr>
        <w:t>&gt;</w:t>
      </w:r>
      <w:r>
        <w:t xml:space="preserve"> 3 mois)</w:t>
      </w:r>
    </w:p>
    <w:p w:rsidR="0072600E" w:rsidRDefault="0072600E" w:rsidP="0036676E">
      <w:pPr>
        <w:pStyle w:val="Sansinterligne"/>
        <w:numPr>
          <w:ilvl w:val="1"/>
          <w:numId w:val="1510"/>
        </w:numPr>
      </w:pPr>
      <w:r>
        <w:t>Onguent topique (nifedipine)</w:t>
      </w:r>
    </w:p>
    <w:p w:rsidR="0072600E" w:rsidRDefault="00C5704C" w:rsidP="0036676E">
      <w:pPr>
        <w:pStyle w:val="Sansinterligne"/>
        <w:numPr>
          <w:ilvl w:val="1"/>
          <w:numId w:val="1510"/>
        </w:numPr>
      </w:pPr>
      <w:r>
        <w:t>Envisager sphinctérotomie interne latérale</w:t>
      </w:r>
    </w:p>
    <w:p w:rsidR="0072600E" w:rsidRPr="00AB60E8" w:rsidRDefault="0072600E" w:rsidP="006F6277">
      <w:pPr>
        <w:pStyle w:val="Sansinterligne"/>
        <w:rPr>
          <w:b/>
        </w:rPr>
      </w:pPr>
      <w:r w:rsidRPr="00AB60E8">
        <w:rPr>
          <w:b/>
        </w:rPr>
        <w:lastRenderedPageBreak/>
        <w:t>Fistule anale</w:t>
      </w:r>
    </w:p>
    <w:p w:rsidR="0072600E" w:rsidRPr="003100CB" w:rsidRDefault="0072600E" w:rsidP="0036676E">
      <w:pPr>
        <w:pStyle w:val="Sansinterligne"/>
        <w:numPr>
          <w:ilvl w:val="0"/>
          <w:numId w:val="1511"/>
        </w:numPr>
        <w:rPr>
          <w:highlight w:val="yellow"/>
        </w:rPr>
      </w:pPr>
      <w:r w:rsidRPr="003100CB">
        <w:rPr>
          <w:highlight w:val="yellow"/>
        </w:rPr>
        <w:t>Référence en chirurgie</w:t>
      </w:r>
    </w:p>
    <w:p w:rsidR="0072600E" w:rsidRPr="003100CB" w:rsidRDefault="0072600E" w:rsidP="0036676E">
      <w:pPr>
        <w:pStyle w:val="Sansinterligne"/>
        <w:numPr>
          <w:ilvl w:val="1"/>
          <w:numId w:val="1511"/>
        </w:numPr>
        <w:rPr>
          <w:highlight w:val="yellow"/>
        </w:rPr>
      </w:pPr>
      <w:r w:rsidRPr="003100CB">
        <w:rPr>
          <w:highlight w:val="yellow"/>
        </w:rPr>
        <w:t xml:space="preserve">Fistulotomie </w:t>
      </w:r>
    </w:p>
    <w:p w:rsidR="0072600E" w:rsidRDefault="0072600E" w:rsidP="0036676E">
      <w:pPr>
        <w:pStyle w:val="Sansinterligne"/>
        <w:numPr>
          <w:ilvl w:val="0"/>
          <w:numId w:val="1511"/>
        </w:numPr>
      </w:pPr>
      <w:r>
        <w:t>Post-op :</w:t>
      </w:r>
    </w:p>
    <w:p w:rsidR="00AB60E8" w:rsidRDefault="00AB60E8" w:rsidP="0036676E">
      <w:pPr>
        <w:pStyle w:val="Sansinterligne"/>
        <w:numPr>
          <w:ilvl w:val="1"/>
          <w:numId w:val="1511"/>
        </w:numPr>
      </w:pPr>
      <w:r>
        <w:t>N</w:t>
      </w:r>
      <w:r w:rsidR="0072600E">
        <w:t>ettoyage et pansements</w:t>
      </w:r>
      <w:r>
        <w:t xml:space="preserve"> </w:t>
      </w:r>
      <w:r>
        <w:rPr>
          <w:rFonts w:cs="Times New Roman"/>
        </w:rPr>
        <w:t>±</w:t>
      </w:r>
      <w:r>
        <w:t xml:space="preserve"> mèches</w:t>
      </w:r>
    </w:p>
    <w:p w:rsidR="00AB60E8" w:rsidRDefault="00AB60E8" w:rsidP="0036676E">
      <w:pPr>
        <w:pStyle w:val="Sansinterligne"/>
        <w:numPr>
          <w:ilvl w:val="1"/>
          <w:numId w:val="1511"/>
        </w:numPr>
      </w:pPr>
      <w:r>
        <w:t>Bains de siège</w:t>
      </w:r>
    </w:p>
    <w:p w:rsidR="00390436" w:rsidRDefault="00390436" w:rsidP="0072600E">
      <w:pPr>
        <w:pStyle w:val="Sansinterligne"/>
        <w:sectPr w:rsidR="00390436" w:rsidSect="00390436">
          <w:type w:val="continuous"/>
          <w:pgSz w:w="12240" w:h="15840"/>
          <w:pgMar w:top="720" w:right="720" w:bottom="720" w:left="720" w:header="708" w:footer="708" w:gutter="0"/>
          <w:cols w:num="2" w:space="708"/>
          <w:titlePg/>
          <w:docGrid w:linePitch="360"/>
        </w:sectPr>
      </w:pPr>
    </w:p>
    <w:p w:rsidR="00AB60E8" w:rsidRDefault="00AB60E8" w:rsidP="0072600E">
      <w:pPr>
        <w:pStyle w:val="Sansinterligne"/>
      </w:pPr>
    </w:p>
    <w:p w:rsidR="00390436" w:rsidRPr="00390436" w:rsidRDefault="00390436" w:rsidP="0072600E">
      <w:pPr>
        <w:pStyle w:val="Sansinterligne"/>
        <w:rPr>
          <w:b/>
          <w:sz w:val="16"/>
          <w:szCs w:val="16"/>
        </w:rPr>
        <w:sectPr w:rsidR="00390436" w:rsidRPr="00390436" w:rsidSect="00390436">
          <w:type w:val="continuous"/>
          <w:pgSz w:w="12240" w:h="15840"/>
          <w:pgMar w:top="720" w:right="720" w:bottom="720" w:left="720" w:header="708" w:footer="708" w:gutter="0"/>
          <w:cols w:space="708"/>
          <w:titlePg/>
          <w:docGrid w:linePitch="360"/>
        </w:sectPr>
      </w:pPr>
    </w:p>
    <w:p w:rsidR="00E12E11" w:rsidRPr="0068685F" w:rsidRDefault="00E12E11" w:rsidP="0072600E">
      <w:pPr>
        <w:pStyle w:val="Sansinterligne"/>
        <w:rPr>
          <w:b/>
        </w:rPr>
      </w:pPr>
      <w:r w:rsidRPr="0068685F">
        <w:rPr>
          <w:b/>
        </w:rPr>
        <w:lastRenderedPageBreak/>
        <w:t>Abcès périanal</w:t>
      </w:r>
    </w:p>
    <w:p w:rsidR="00E12E11" w:rsidRDefault="00E12E11" w:rsidP="0036676E">
      <w:pPr>
        <w:pStyle w:val="Sansinterligne"/>
        <w:numPr>
          <w:ilvl w:val="0"/>
          <w:numId w:val="1512"/>
        </w:numPr>
      </w:pPr>
      <w:r>
        <w:t>Référence en chirugie</w:t>
      </w:r>
    </w:p>
    <w:p w:rsidR="0068685F" w:rsidRDefault="00E12E11" w:rsidP="0036676E">
      <w:pPr>
        <w:pStyle w:val="Sansinterligne"/>
        <w:numPr>
          <w:ilvl w:val="1"/>
          <w:numId w:val="1512"/>
        </w:numPr>
      </w:pPr>
      <w:r>
        <w:t>Incision et drainage</w:t>
      </w:r>
      <w:r w:rsidR="007F50B9">
        <w:t xml:space="preserve"> en forme de croix</w:t>
      </w:r>
    </w:p>
    <w:p w:rsidR="007F50B9" w:rsidRDefault="0068685F" w:rsidP="0036676E">
      <w:pPr>
        <w:pStyle w:val="Sansinterligne"/>
        <w:numPr>
          <w:ilvl w:val="0"/>
          <w:numId w:val="1512"/>
        </w:numPr>
      </w:pPr>
      <w:r>
        <w:t>ATB si diabétique, cellulite associée ou atteinte cardiaque (souffles)</w:t>
      </w:r>
    </w:p>
    <w:p w:rsidR="007F50B9" w:rsidRDefault="007F50B9" w:rsidP="0072600E">
      <w:pPr>
        <w:pStyle w:val="Sansinterligne"/>
      </w:pPr>
    </w:p>
    <w:p w:rsidR="00390436" w:rsidRDefault="00390436" w:rsidP="0072600E">
      <w:pPr>
        <w:pStyle w:val="Sansinterligne"/>
      </w:pPr>
    </w:p>
    <w:p w:rsidR="007F50B9" w:rsidRPr="007F50B9" w:rsidRDefault="007F50B9" w:rsidP="0072600E">
      <w:pPr>
        <w:pStyle w:val="Sansinterligne"/>
        <w:rPr>
          <w:b/>
        </w:rPr>
      </w:pPr>
      <w:r w:rsidRPr="007F50B9">
        <w:rPr>
          <w:b/>
        </w:rPr>
        <w:lastRenderedPageBreak/>
        <w:t>Sinus pilonidal</w:t>
      </w:r>
    </w:p>
    <w:p w:rsidR="007F50B9" w:rsidRDefault="007F50B9" w:rsidP="0036676E">
      <w:pPr>
        <w:pStyle w:val="Sansinterligne"/>
        <w:numPr>
          <w:ilvl w:val="0"/>
          <w:numId w:val="1513"/>
        </w:numPr>
      </w:pPr>
      <w:r>
        <w:t>Sinus  peut évoluer vers abcès</w:t>
      </w:r>
    </w:p>
    <w:p w:rsidR="007F50B9" w:rsidRPr="003100CB" w:rsidRDefault="007F50B9" w:rsidP="0036676E">
      <w:pPr>
        <w:pStyle w:val="Sansinterligne"/>
        <w:numPr>
          <w:ilvl w:val="0"/>
          <w:numId w:val="1513"/>
        </w:numPr>
        <w:rPr>
          <w:highlight w:val="yellow"/>
        </w:rPr>
      </w:pPr>
      <w:r w:rsidRPr="003100CB">
        <w:rPr>
          <w:highlight w:val="yellow"/>
        </w:rPr>
        <w:t>Incision et drainage (en médecine familiale)</w:t>
      </w:r>
    </w:p>
    <w:p w:rsidR="007F50B9" w:rsidRDefault="007F50B9" w:rsidP="0036676E">
      <w:pPr>
        <w:pStyle w:val="Sansinterligne"/>
        <w:numPr>
          <w:ilvl w:val="1"/>
          <w:numId w:val="1513"/>
        </w:numPr>
      </w:pPr>
      <w:r>
        <w:t>Guérison ouverte avec pansements</w:t>
      </w:r>
    </w:p>
    <w:p w:rsidR="007F50B9" w:rsidRDefault="007F50B9" w:rsidP="0036676E">
      <w:pPr>
        <w:pStyle w:val="Sansinterligne"/>
        <w:numPr>
          <w:ilvl w:val="0"/>
          <w:numId w:val="1513"/>
        </w:numPr>
      </w:pPr>
      <w:r>
        <w:t>Référence en chirurgie</w:t>
      </w:r>
    </w:p>
    <w:p w:rsidR="007F50B9" w:rsidRDefault="007F50B9" w:rsidP="0036676E">
      <w:pPr>
        <w:pStyle w:val="Sansinterligne"/>
        <w:numPr>
          <w:ilvl w:val="1"/>
          <w:numId w:val="1513"/>
        </w:numPr>
      </w:pPr>
      <w:r>
        <w:t>Cystostomie pilonidale</w:t>
      </w:r>
    </w:p>
    <w:p w:rsidR="00390436" w:rsidRDefault="003100CB" w:rsidP="0036676E">
      <w:pPr>
        <w:pStyle w:val="Sansinterligne"/>
        <w:numPr>
          <w:ilvl w:val="1"/>
          <w:numId w:val="1513"/>
        </w:numPr>
        <w:sectPr w:rsidR="00390436" w:rsidSect="00390436">
          <w:type w:val="continuous"/>
          <w:pgSz w:w="12240" w:h="15840"/>
          <w:pgMar w:top="720" w:right="720" w:bottom="720" w:left="720" w:header="708" w:footer="708" w:gutter="0"/>
          <w:cols w:num="2" w:space="708"/>
          <w:titlePg/>
          <w:docGrid w:linePitch="360"/>
        </w:sectPr>
      </w:pPr>
      <w:r>
        <w:rPr>
          <w:noProof/>
          <w:lang w:eastAsia="fr-CA"/>
        </w:rPr>
        <w:drawing>
          <wp:anchor distT="0" distB="0" distL="114300" distR="114300" simplePos="0" relativeHeight="252226560" behindDoc="1" locked="0" layoutInCell="1" allowOverlap="1" wp14:anchorId="5C2D336D" wp14:editId="4D1AC439">
            <wp:simplePos x="0" y="0"/>
            <wp:positionH relativeFrom="column">
              <wp:posOffset>518930</wp:posOffset>
            </wp:positionH>
            <wp:positionV relativeFrom="paragraph">
              <wp:posOffset>116205</wp:posOffset>
            </wp:positionV>
            <wp:extent cx="2421890" cy="2148840"/>
            <wp:effectExtent l="0" t="0" r="0" b="3810"/>
            <wp:wrapNone/>
            <wp:docPr id="688" name="Image 68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421890" cy="2148840"/>
                    </a:xfrm>
                    <a:prstGeom prst="rect">
                      <a:avLst/>
                    </a:prstGeom>
                    <a:noFill/>
                    <a:ln>
                      <a:noFill/>
                    </a:ln>
                  </pic:spPr>
                </pic:pic>
              </a:graphicData>
            </a:graphic>
            <wp14:sizeRelH relativeFrom="page">
              <wp14:pctWidth>0</wp14:pctWidth>
            </wp14:sizeRelH>
            <wp14:sizeRelV relativeFrom="page">
              <wp14:pctHeight>0</wp14:pctHeight>
            </wp14:sizeRelV>
          </wp:anchor>
        </w:drawing>
      </w:r>
      <w:r w:rsidR="007F50B9">
        <w:t>Si récidive ou échec au drainage initial</w:t>
      </w:r>
    </w:p>
    <w:p w:rsidR="007F50B9" w:rsidRPr="0047527F" w:rsidRDefault="007F50B9" w:rsidP="0072600E">
      <w:pPr>
        <w:pStyle w:val="Sansinterligne"/>
        <w:rPr>
          <w:b/>
        </w:rPr>
      </w:pPr>
      <w:r w:rsidRPr="00390436">
        <w:rPr>
          <w:b/>
          <w:highlight w:val="yellow"/>
        </w:rPr>
        <w:lastRenderedPageBreak/>
        <w:t xml:space="preserve">Hémorroïdes </w:t>
      </w:r>
      <w:r w:rsidR="0047527F" w:rsidRPr="00390436">
        <w:rPr>
          <w:b/>
          <w:highlight w:val="yellow"/>
        </w:rPr>
        <w:t>externes</w:t>
      </w:r>
      <w:r w:rsidR="00390436" w:rsidRPr="00390436">
        <w:rPr>
          <w:b/>
          <w:highlight w:val="yellow"/>
        </w:rPr>
        <w:t xml:space="preserve"> thrombosées</w:t>
      </w:r>
    </w:p>
    <w:p w:rsidR="007F50B9" w:rsidRPr="00390436" w:rsidRDefault="0047527F" w:rsidP="0036676E">
      <w:pPr>
        <w:pStyle w:val="Sansinterligne"/>
        <w:numPr>
          <w:ilvl w:val="0"/>
          <w:numId w:val="1514"/>
        </w:numPr>
        <w:rPr>
          <w:highlight w:val="yellow"/>
        </w:rPr>
      </w:pPr>
      <w:r w:rsidRPr="00390436">
        <w:rPr>
          <w:highlight w:val="yellow"/>
        </w:rPr>
        <w:t xml:space="preserve">Si douleur </w:t>
      </w:r>
      <w:r w:rsidRPr="00390436">
        <w:rPr>
          <w:rFonts w:ascii="Century Gothic" w:hAnsi="Century Gothic"/>
          <w:highlight w:val="yellow"/>
        </w:rPr>
        <w:t>&lt;</w:t>
      </w:r>
      <w:r w:rsidRPr="00390436">
        <w:rPr>
          <w:highlight w:val="yellow"/>
        </w:rPr>
        <w:t xml:space="preserve"> 48h</w:t>
      </w:r>
    </w:p>
    <w:p w:rsidR="0047527F" w:rsidRPr="00390436" w:rsidRDefault="0047527F" w:rsidP="0036676E">
      <w:pPr>
        <w:pStyle w:val="Sansinterligne"/>
        <w:numPr>
          <w:ilvl w:val="1"/>
          <w:numId w:val="1514"/>
        </w:numPr>
        <w:rPr>
          <w:highlight w:val="yellow"/>
        </w:rPr>
      </w:pPr>
      <w:r w:rsidRPr="00390436">
        <w:rPr>
          <w:highlight w:val="yellow"/>
        </w:rPr>
        <w:t>Référence en chirurgie et excision</w:t>
      </w:r>
    </w:p>
    <w:p w:rsidR="0047527F" w:rsidRPr="00390436" w:rsidRDefault="0047527F" w:rsidP="0036676E">
      <w:pPr>
        <w:pStyle w:val="Sansinterligne"/>
        <w:numPr>
          <w:ilvl w:val="0"/>
          <w:numId w:val="1514"/>
        </w:numPr>
        <w:rPr>
          <w:highlight w:val="yellow"/>
        </w:rPr>
      </w:pPr>
      <w:r w:rsidRPr="00390436">
        <w:rPr>
          <w:highlight w:val="yellow"/>
        </w:rPr>
        <w:t xml:space="preserve">Si douleur </w:t>
      </w:r>
      <w:r w:rsidRPr="00390436">
        <w:rPr>
          <w:rFonts w:ascii="Century Gothic" w:hAnsi="Century Gothic"/>
          <w:highlight w:val="yellow"/>
        </w:rPr>
        <w:t>&gt;</w:t>
      </w:r>
      <w:r w:rsidRPr="00390436">
        <w:rPr>
          <w:highlight w:val="yellow"/>
        </w:rPr>
        <w:t xml:space="preserve"> 48h</w:t>
      </w:r>
    </w:p>
    <w:p w:rsidR="0047527F" w:rsidRPr="00390436" w:rsidRDefault="0047527F" w:rsidP="0036676E">
      <w:pPr>
        <w:pStyle w:val="Sansinterligne"/>
        <w:numPr>
          <w:ilvl w:val="1"/>
          <w:numId w:val="1514"/>
        </w:numPr>
        <w:rPr>
          <w:highlight w:val="yellow"/>
        </w:rPr>
      </w:pPr>
      <w:r w:rsidRPr="00390436">
        <w:rPr>
          <w:highlight w:val="yellow"/>
        </w:rPr>
        <w:t>Émollients</w:t>
      </w:r>
      <w:r w:rsidR="00390436">
        <w:rPr>
          <w:highlight w:val="yellow"/>
        </w:rPr>
        <w:t>, bain de siège</w:t>
      </w:r>
    </w:p>
    <w:p w:rsidR="0047527F" w:rsidRPr="00390436" w:rsidRDefault="0047527F" w:rsidP="0036676E">
      <w:pPr>
        <w:pStyle w:val="Sansinterligne"/>
        <w:numPr>
          <w:ilvl w:val="1"/>
          <w:numId w:val="1514"/>
        </w:numPr>
        <w:rPr>
          <w:highlight w:val="yellow"/>
        </w:rPr>
      </w:pPr>
      <w:r w:rsidRPr="00390436">
        <w:rPr>
          <w:highlight w:val="yellow"/>
        </w:rPr>
        <w:t>Alimentation riche en fibre</w:t>
      </w:r>
    </w:p>
    <w:p w:rsidR="0047527F" w:rsidRPr="00390436" w:rsidRDefault="0047527F" w:rsidP="0036676E">
      <w:pPr>
        <w:pStyle w:val="Sansinterligne"/>
        <w:numPr>
          <w:ilvl w:val="1"/>
          <w:numId w:val="1514"/>
        </w:numPr>
        <w:rPr>
          <w:highlight w:val="yellow"/>
        </w:rPr>
      </w:pPr>
      <w:r w:rsidRPr="00390436">
        <w:rPr>
          <w:highlight w:val="yellow"/>
        </w:rPr>
        <w:t>Autorésolutif</w:t>
      </w:r>
      <w:r w:rsidR="003100CB" w:rsidRPr="003100CB">
        <w:t xml:space="preserve"> </w:t>
      </w:r>
    </w:p>
    <w:p w:rsidR="007F50B9" w:rsidRPr="00390436" w:rsidRDefault="007F50B9" w:rsidP="0072600E">
      <w:pPr>
        <w:pStyle w:val="Sansinterligne"/>
        <w:rPr>
          <w:sz w:val="16"/>
          <w:szCs w:val="16"/>
        </w:rPr>
      </w:pPr>
    </w:p>
    <w:p w:rsidR="0047527F" w:rsidRPr="0062022E" w:rsidRDefault="0047527F" w:rsidP="0072600E">
      <w:pPr>
        <w:pStyle w:val="Sansinterligne"/>
        <w:rPr>
          <w:b/>
          <w:highlight w:val="yellow"/>
        </w:rPr>
      </w:pPr>
      <w:r w:rsidRPr="0062022E">
        <w:rPr>
          <w:b/>
          <w:highlight w:val="yellow"/>
        </w:rPr>
        <w:t>Hémorroïdes internes</w:t>
      </w:r>
    </w:p>
    <w:p w:rsidR="003C1B3E" w:rsidRPr="0062022E" w:rsidRDefault="0047527F" w:rsidP="0036676E">
      <w:pPr>
        <w:pStyle w:val="Sansinterligne"/>
        <w:numPr>
          <w:ilvl w:val="0"/>
          <w:numId w:val="1515"/>
        </w:numPr>
        <w:rPr>
          <w:highlight w:val="yellow"/>
        </w:rPr>
      </w:pPr>
      <w:r w:rsidRPr="0062022E">
        <w:rPr>
          <w:highlight w:val="yellow"/>
        </w:rPr>
        <w:t>Grade 1</w:t>
      </w:r>
    </w:p>
    <w:p w:rsidR="0047527F" w:rsidRPr="0062022E" w:rsidRDefault="003C1B3E" w:rsidP="0036676E">
      <w:pPr>
        <w:pStyle w:val="Sansinterligne"/>
        <w:numPr>
          <w:ilvl w:val="1"/>
          <w:numId w:val="1515"/>
        </w:numPr>
        <w:rPr>
          <w:highlight w:val="yellow"/>
        </w:rPr>
      </w:pPr>
      <w:r w:rsidRPr="0062022E">
        <w:rPr>
          <w:highlight w:val="yellow"/>
        </w:rPr>
        <w:t>B</w:t>
      </w:r>
      <w:r w:rsidR="0047527F" w:rsidRPr="0062022E">
        <w:rPr>
          <w:highlight w:val="yellow"/>
        </w:rPr>
        <w:t>ains de siège, crème de stéroïde (Anusol)</w:t>
      </w:r>
    </w:p>
    <w:p w:rsidR="003C1B3E" w:rsidRPr="0062022E" w:rsidRDefault="003C1B3E" w:rsidP="0036676E">
      <w:pPr>
        <w:pStyle w:val="Sansinterligne"/>
        <w:numPr>
          <w:ilvl w:val="1"/>
          <w:numId w:val="1515"/>
        </w:numPr>
        <w:rPr>
          <w:highlight w:val="yellow"/>
        </w:rPr>
      </w:pPr>
      <w:r w:rsidRPr="0062022E">
        <w:rPr>
          <w:highlight w:val="yellow"/>
        </w:rPr>
        <w:t>Ligature avec élastiques</w:t>
      </w:r>
    </w:p>
    <w:p w:rsidR="003C1B3E" w:rsidRPr="0062022E" w:rsidRDefault="003C1B3E" w:rsidP="0036676E">
      <w:pPr>
        <w:pStyle w:val="Sansinterligne"/>
        <w:numPr>
          <w:ilvl w:val="1"/>
          <w:numId w:val="1515"/>
        </w:numPr>
        <w:rPr>
          <w:highlight w:val="yellow"/>
        </w:rPr>
      </w:pPr>
      <w:r w:rsidRPr="0062022E">
        <w:rPr>
          <w:highlight w:val="yellow"/>
        </w:rPr>
        <w:t>Sclérothérapie</w:t>
      </w:r>
    </w:p>
    <w:p w:rsidR="003C1B3E" w:rsidRPr="0062022E" w:rsidRDefault="00390436" w:rsidP="0036676E">
      <w:pPr>
        <w:pStyle w:val="Sansinterligne"/>
        <w:numPr>
          <w:ilvl w:val="1"/>
          <w:numId w:val="1515"/>
        </w:numPr>
        <w:rPr>
          <w:highlight w:val="yellow"/>
        </w:rPr>
      </w:pPr>
      <w:r w:rsidRPr="0062022E">
        <w:rPr>
          <w:b/>
          <w:noProof/>
          <w:highlight w:val="yellow"/>
          <w:lang w:eastAsia="fr-CA"/>
        </w:rPr>
        <mc:AlternateContent>
          <mc:Choice Requires="wps">
            <w:drawing>
              <wp:anchor distT="0" distB="0" distL="114300" distR="114300" simplePos="0" relativeHeight="252225536" behindDoc="0" locked="0" layoutInCell="1" allowOverlap="1" wp14:anchorId="16E6A091" wp14:editId="28AA96B2">
                <wp:simplePos x="0" y="0"/>
                <wp:positionH relativeFrom="column">
                  <wp:posOffset>3205480</wp:posOffset>
                </wp:positionH>
                <wp:positionV relativeFrom="paragraph">
                  <wp:posOffset>43815</wp:posOffset>
                </wp:positionV>
                <wp:extent cx="3773805" cy="1403985"/>
                <wp:effectExtent l="0" t="0" r="17145" b="19050"/>
                <wp:wrapNone/>
                <wp:docPr id="68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73805" cy="1403985"/>
                        </a:xfrm>
                        <a:prstGeom prst="rect">
                          <a:avLst/>
                        </a:prstGeom>
                        <a:solidFill>
                          <a:schemeClr val="accent1">
                            <a:lumMod val="60000"/>
                            <a:lumOff val="40000"/>
                          </a:schemeClr>
                        </a:solidFill>
                        <a:ln w="9525">
                          <a:solidFill>
                            <a:srgbClr val="000000"/>
                          </a:solidFill>
                          <a:miter lim="800000"/>
                          <a:headEnd/>
                          <a:tailEnd/>
                        </a:ln>
                      </wps:spPr>
                      <wps:txbx>
                        <w:txbxContent>
                          <w:p w:rsidR="008276DC" w:rsidRPr="0047527F" w:rsidRDefault="008276DC" w:rsidP="0047527F">
                            <w:pPr>
                              <w:jc w:val="center"/>
                              <w:rPr>
                                <w:b/>
                              </w:rPr>
                            </w:pPr>
                            <w:r w:rsidRPr="0047527F">
                              <w:rPr>
                                <w:b/>
                              </w:rPr>
                              <w:t>Hémorroïdes internes</w:t>
                            </w:r>
                          </w:p>
                          <w:p w:rsidR="008276DC" w:rsidRDefault="008276DC" w:rsidP="0047527F">
                            <w:pPr>
                              <w:spacing w:after="0"/>
                            </w:pPr>
                            <w:r>
                              <w:t xml:space="preserve">Grade 1 </w:t>
                            </w:r>
                            <w:r>
                              <w:rPr>
                                <w:rFonts w:ascii="Century Gothic" w:hAnsi="Century Gothic"/>
                              </w:rPr>
                              <w:t>→</w:t>
                            </w:r>
                            <w:r>
                              <w:t xml:space="preserve"> Pas de prolapsus rectal</w:t>
                            </w:r>
                          </w:p>
                          <w:p w:rsidR="008276DC" w:rsidRDefault="008276DC" w:rsidP="0047527F">
                            <w:pPr>
                              <w:spacing w:after="0"/>
                            </w:pPr>
                            <w:r>
                              <w:t xml:space="preserve">Grade 2 </w:t>
                            </w:r>
                            <w:r>
                              <w:rPr>
                                <w:rFonts w:ascii="Century Gothic" w:hAnsi="Century Gothic"/>
                              </w:rPr>
                              <w:t>→</w:t>
                            </w:r>
                            <w:r>
                              <w:t xml:space="preserve"> Prolapsus à l’effort, réduction spontanée</w:t>
                            </w:r>
                          </w:p>
                          <w:p w:rsidR="008276DC" w:rsidRDefault="008276DC" w:rsidP="0047527F">
                            <w:pPr>
                              <w:spacing w:after="0"/>
                            </w:pPr>
                            <w:r>
                              <w:t xml:space="preserve">Grade 3 </w:t>
                            </w:r>
                            <w:r>
                              <w:rPr>
                                <w:rFonts w:ascii="Century Gothic" w:hAnsi="Century Gothic"/>
                              </w:rPr>
                              <w:t>→</w:t>
                            </w:r>
                            <w:r>
                              <w:t xml:space="preserve"> Prolapsus à l’effort, réduction manuelle nécessaire</w:t>
                            </w:r>
                          </w:p>
                          <w:p w:rsidR="008276DC" w:rsidRDefault="008276DC" w:rsidP="0047527F">
                            <w:pPr>
                              <w:spacing w:after="0"/>
                            </w:pPr>
                            <w:r>
                              <w:t xml:space="preserve">Grade 4 </w:t>
                            </w:r>
                            <w:r>
                              <w:rPr>
                                <w:rFonts w:ascii="Century Gothic" w:hAnsi="Century Gothic"/>
                              </w:rPr>
                              <w:t>→</w:t>
                            </w:r>
                            <w:r>
                              <w:t xml:space="preserve"> Prolapsus constant ou récidivant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43" type="#_x0000_t202" style="position:absolute;left:0;text-align:left;margin-left:252.4pt;margin-top:3.45pt;width:297.15pt;height:110.55pt;z-index:25222553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" fillcolor="#95b3d7 [1940]">
                <v:textbox style="mso-fit-shape-to-text:t">
                  <w:txbxContent>
                    <w:p w:rsidR="008276DC" w:rsidRPr="0047527F" w:rsidRDefault="008276DC" w:rsidP="0047527F">
                      <w:pPr>
                        <w:jc w:val="center"/>
                        <w:rPr>
                          <w:b/>
                        </w:rPr>
                      </w:pPr>
                      <w:r w:rsidRPr="0047527F">
                        <w:rPr>
                          <w:b/>
                        </w:rPr>
                        <w:t>Hémorroïdes internes</w:t>
                      </w:r>
                    </w:p>
                    <w:p w:rsidR="008276DC" w:rsidRDefault="008276DC" w:rsidP="0047527F">
                      <w:pPr>
                        <w:spacing w:after="0"/>
                      </w:pPr>
                      <w:r>
                        <w:t xml:space="preserve">Grade 1 </w:t>
                      </w:r>
                      <w:r>
                        <w:rPr>
                          <w:rFonts w:ascii="Century Gothic" w:hAnsi="Century Gothic"/>
                        </w:rPr>
                        <w:t>→</w:t>
                      </w:r>
                      <w:r>
                        <w:t xml:space="preserve"> Pas de prolapsus rectal</w:t>
                      </w:r>
                    </w:p>
                    <w:p w:rsidR="008276DC" w:rsidRDefault="008276DC" w:rsidP="0047527F">
                      <w:pPr>
                        <w:spacing w:after="0"/>
                      </w:pPr>
                      <w:r>
                        <w:t xml:space="preserve">Grade 2 </w:t>
                      </w:r>
                      <w:r>
                        <w:rPr>
                          <w:rFonts w:ascii="Century Gothic" w:hAnsi="Century Gothic"/>
                        </w:rPr>
                        <w:t>→</w:t>
                      </w:r>
                      <w:r>
                        <w:t xml:space="preserve"> Prolapsus à l’effort, réduction spontanée</w:t>
                      </w:r>
                    </w:p>
                    <w:p w:rsidR="008276DC" w:rsidRDefault="008276DC" w:rsidP="0047527F">
                      <w:pPr>
                        <w:spacing w:after="0"/>
                      </w:pPr>
                      <w:r>
                        <w:t xml:space="preserve">Grade 3 </w:t>
                      </w:r>
                      <w:r>
                        <w:rPr>
                          <w:rFonts w:ascii="Century Gothic" w:hAnsi="Century Gothic"/>
                        </w:rPr>
                        <w:t>→</w:t>
                      </w:r>
                      <w:r>
                        <w:t xml:space="preserve"> Prolapsus à l’effort, réduction manuelle nécessaire</w:t>
                      </w:r>
                    </w:p>
                    <w:p w:rsidR="008276DC" w:rsidRDefault="008276DC" w:rsidP="0047527F">
                      <w:pPr>
                        <w:spacing w:after="0"/>
                      </w:pPr>
                      <w:r>
                        <w:t xml:space="preserve">Grade 4 </w:t>
                      </w:r>
                      <w:r>
                        <w:rPr>
                          <w:rFonts w:ascii="Century Gothic" w:hAnsi="Century Gothic"/>
                        </w:rPr>
                        <w:t>→</w:t>
                      </w:r>
                      <w:r>
                        <w:t xml:space="preserve"> Prolapsus constant ou récidivant</w:t>
                      </w:r>
                    </w:p>
                  </w:txbxContent>
                </v:textbox>
              </v:shape>
            </w:pict>
          </mc:Fallback>
        </mc:AlternateContent>
      </w:r>
      <w:r w:rsidR="003C1B3E" w:rsidRPr="0062022E">
        <w:rPr>
          <w:highlight w:val="yellow"/>
        </w:rPr>
        <w:t>Photocoagulation</w:t>
      </w:r>
    </w:p>
    <w:p w:rsidR="003C1B3E" w:rsidRPr="0062022E" w:rsidRDefault="003C1B3E" w:rsidP="0036676E">
      <w:pPr>
        <w:pStyle w:val="Sansinterligne"/>
        <w:numPr>
          <w:ilvl w:val="0"/>
          <w:numId w:val="1515"/>
        </w:numPr>
        <w:rPr>
          <w:highlight w:val="yellow"/>
        </w:rPr>
      </w:pPr>
      <w:r w:rsidRPr="0062022E">
        <w:rPr>
          <w:highlight w:val="yellow"/>
        </w:rPr>
        <w:t>Grade 2</w:t>
      </w:r>
      <w:r w:rsidR="00C15A50" w:rsidRPr="0062022E">
        <w:rPr>
          <w:highlight w:val="yellow"/>
        </w:rPr>
        <w:t xml:space="preserve"> -3</w:t>
      </w:r>
    </w:p>
    <w:p w:rsidR="003C1B3E" w:rsidRPr="0062022E" w:rsidRDefault="003C1B3E" w:rsidP="0036676E">
      <w:pPr>
        <w:pStyle w:val="Sansinterligne"/>
        <w:numPr>
          <w:ilvl w:val="1"/>
          <w:numId w:val="1515"/>
        </w:numPr>
        <w:rPr>
          <w:highlight w:val="yellow"/>
        </w:rPr>
      </w:pPr>
      <w:r w:rsidRPr="0062022E">
        <w:rPr>
          <w:highlight w:val="yellow"/>
        </w:rPr>
        <w:t>Ligature avec élastique</w:t>
      </w:r>
    </w:p>
    <w:p w:rsidR="0047527F" w:rsidRPr="0062022E" w:rsidRDefault="00C15A50" w:rsidP="0036676E">
      <w:pPr>
        <w:pStyle w:val="Sansinterligne"/>
        <w:numPr>
          <w:ilvl w:val="1"/>
          <w:numId w:val="1515"/>
        </w:numPr>
        <w:rPr>
          <w:highlight w:val="yellow"/>
        </w:rPr>
      </w:pPr>
      <w:r w:rsidRPr="0062022E">
        <w:rPr>
          <w:highlight w:val="yellow"/>
        </w:rPr>
        <w:t>Photocoagulation</w:t>
      </w:r>
    </w:p>
    <w:p w:rsidR="00C15A50" w:rsidRPr="0062022E" w:rsidRDefault="00C15A50" w:rsidP="0036676E">
      <w:pPr>
        <w:pStyle w:val="Sansinterligne"/>
        <w:numPr>
          <w:ilvl w:val="0"/>
          <w:numId w:val="1515"/>
        </w:numPr>
        <w:rPr>
          <w:highlight w:val="yellow"/>
        </w:rPr>
      </w:pPr>
      <w:r w:rsidRPr="0062022E">
        <w:rPr>
          <w:highlight w:val="yellow"/>
        </w:rPr>
        <w:t>Grade 4</w:t>
      </w:r>
    </w:p>
    <w:p w:rsidR="00C15A50" w:rsidRPr="0062022E" w:rsidRDefault="00C15A50" w:rsidP="0036676E">
      <w:pPr>
        <w:pStyle w:val="Sansinterligne"/>
        <w:numPr>
          <w:ilvl w:val="1"/>
          <w:numId w:val="1515"/>
        </w:numPr>
        <w:rPr>
          <w:highlight w:val="yellow"/>
        </w:rPr>
      </w:pPr>
      <w:r w:rsidRPr="0062022E">
        <w:rPr>
          <w:highlight w:val="yellow"/>
        </w:rPr>
        <w:t xml:space="preserve">Hémorroidectomie fermée </w:t>
      </w:r>
    </w:p>
    <w:p w:rsidR="00C15A50" w:rsidRPr="00390436" w:rsidRDefault="00C15A50" w:rsidP="0072600E">
      <w:pPr>
        <w:pStyle w:val="Sansinterligne"/>
        <w:rPr>
          <w:b/>
          <w:sz w:val="16"/>
          <w:szCs w:val="16"/>
        </w:rPr>
      </w:pPr>
    </w:p>
    <w:p w:rsidR="007F50B9" w:rsidRPr="00D463BD" w:rsidRDefault="007F50B9" w:rsidP="0072600E">
      <w:pPr>
        <w:pStyle w:val="Sansinterligne"/>
        <w:rPr>
          <w:b/>
        </w:rPr>
      </w:pPr>
      <w:r w:rsidRPr="00D463BD">
        <w:rPr>
          <w:b/>
        </w:rPr>
        <w:t>Prolapsus rectal</w:t>
      </w:r>
    </w:p>
    <w:p w:rsidR="00D463BD" w:rsidRDefault="00D463BD" w:rsidP="0036676E">
      <w:pPr>
        <w:pStyle w:val="Sansinterligne"/>
        <w:numPr>
          <w:ilvl w:val="0"/>
          <w:numId w:val="1516"/>
        </w:numPr>
      </w:pPr>
      <w:r>
        <w:t>Référence en chirurgie</w:t>
      </w:r>
    </w:p>
    <w:p w:rsidR="00D463BD" w:rsidRDefault="00D463BD" w:rsidP="0036676E">
      <w:pPr>
        <w:pStyle w:val="Sansinterligne"/>
        <w:numPr>
          <w:ilvl w:val="1"/>
          <w:numId w:val="1516"/>
        </w:numPr>
      </w:pPr>
      <w:r>
        <w:t>Traitement conservateur : réduction manuelle</w:t>
      </w:r>
    </w:p>
    <w:p w:rsidR="00D463BD" w:rsidRDefault="00D463BD" w:rsidP="0036676E">
      <w:pPr>
        <w:pStyle w:val="Sansinterligne"/>
        <w:numPr>
          <w:ilvl w:val="1"/>
          <w:numId w:val="1516"/>
        </w:numPr>
      </w:pPr>
      <w:r>
        <w:t xml:space="preserve">Traitement chirurgical </w:t>
      </w:r>
    </w:p>
    <w:p w:rsidR="00D463BD" w:rsidRDefault="00D463BD" w:rsidP="0036676E">
      <w:pPr>
        <w:pStyle w:val="Sansinterligne"/>
        <w:numPr>
          <w:ilvl w:val="2"/>
          <w:numId w:val="1516"/>
        </w:numPr>
      </w:pPr>
      <w:r>
        <w:t>Résection de muqueuse redondante (prolapsus type I)</w:t>
      </w:r>
    </w:p>
    <w:p w:rsidR="00D463BD" w:rsidRDefault="00D463BD" w:rsidP="0036676E">
      <w:pPr>
        <w:pStyle w:val="Sansinterligne"/>
        <w:numPr>
          <w:ilvl w:val="2"/>
          <w:numId w:val="1516"/>
        </w:numPr>
      </w:pPr>
      <w:r>
        <w:t>Correction de prolapsus type II</w:t>
      </w:r>
    </w:p>
    <w:p w:rsidR="007F50B9" w:rsidRDefault="007F50B9" w:rsidP="0072600E">
      <w:pPr>
        <w:pStyle w:val="Sansinterligne"/>
      </w:pPr>
    </w:p>
    <w:p w:rsidR="00390436" w:rsidRPr="00390436" w:rsidRDefault="00390436" w:rsidP="0072600E">
      <w:pPr>
        <w:pStyle w:val="Sansinterligne"/>
        <w:rPr>
          <w:b/>
          <w:sz w:val="16"/>
          <w:szCs w:val="16"/>
        </w:rPr>
        <w:sectPr w:rsidR="00390436" w:rsidRPr="00390436" w:rsidSect="00390436">
          <w:type w:val="continuous"/>
          <w:pgSz w:w="12240" w:h="15840"/>
          <w:pgMar w:top="720" w:right="720" w:bottom="720" w:left="720" w:header="708" w:footer="708" w:gutter="0"/>
          <w:cols w:space="708"/>
          <w:titlePg/>
          <w:docGrid w:linePitch="360"/>
        </w:sectPr>
      </w:pPr>
    </w:p>
    <w:p w:rsidR="007F50B9" w:rsidRPr="00600725" w:rsidRDefault="007F50B9" w:rsidP="0072600E">
      <w:pPr>
        <w:pStyle w:val="Sansinterligne"/>
        <w:rPr>
          <w:b/>
        </w:rPr>
      </w:pPr>
      <w:r w:rsidRPr="00600725">
        <w:rPr>
          <w:b/>
        </w:rPr>
        <w:lastRenderedPageBreak/>
        <w:t>Néoplasie anale</w:t>
      </w:r>
    </w:p>
    <w:p w:rsidR="00600725" w:rsidRPr="00600725" w:rsidRDefault="00600725" w:rsidP="00390436">
      <w:pPr>
        <w:pStyle w:val="Sansinterligne"/>
        <w:rPr>
          <w:u w:val="single"/>
        </w:rPr>
      </w:pPr>
      <w:r w:rsidRPr="00600725">
        <w:rPr>
          <w:u w:val="single"/>
        </w:rPr>
        <w:t>Néoplasie épidermoïde (75%)</w:t>
      </w:r>
      <w:r w:rsidR="005C1ACB">
        <w:rPr>
          <w:u w:val="single"/>
        </w:rPr>
        <w:t xml:space="preserve"> </w:t>
      </w:r>
      <w:r w:rsidR="005C1ACB" w:rsidRPr="005C1ACB">
        <w:t>– as</w:t>
      </w:r>
      <w:r w:rsidR="005C1ACB">
        <w:t>s</w:t>
      </w:r>
      <w:r w:rsidR="005C1ACB" w:rsidRPr="005C1ACB">
        <w:t>ocié au VPH</w:t>
      </w:r>
    </w:p>
    <w:p w:rsidR="00600725" w:rsidRDefault="00600725" w:rsidP="0036676E">
      <w:pPr>
        <w:pStyle w:val="Sansinterligne"/>
        <w:numPr>
          <w:ilvl w:val="0"/>
          <w:numId w:val="1517"/>
        </w:numPr>
      </w:pPr>
      <w:r>
        <w:t>Référence en chirurgie</w:t>
      </w:r>
    </w:p>
    <w:p w:rsidR="00600725" w:rsidRDefault="00600725" w:rsidP="0036676E">
      <w:pPr>
        <w:pStyle w:val="Sansinterligne"/>
        <w:numPr>
          <w:ilvl w:val="0"/>
          <w:numId w:val="1517"/>
        </w:numPr>
      </w:pPr>
      <w:r>
        <w:t>Radiothérapie, chimiothérapie, chirurgie s</w:t>
      </w:r>
      <w:r w:rsidR="00390436">
        <w:t>elon investigation</w:t>
      </w:r>
    </w:p>
    <w:p w:rsidR="00600725" w:rsidRPr="0062022E" w:rsidRDefault="00600725" w:rsidP="0036676E">
      <w:pPr>
        <w:pStyle w:val="Sansinterligne"/>
        <w:numPr>
          <w:ilvl w:val="0"/>
          <w:numId w:val="1517"/>
        </w:numPr>
        <w:rPr>
          <w:highlight w:val="yellow"/>
        </w:rPr>
      </w:pPr>
      <w:r w:rsidRPr="0062022E">
        <w:rPr>
          <w:highlight w:val="yellow"/>
        </w:rPr>
        <w:t>Bon pronostic (80% de survie à 5 ans)</w:t>
      </w:r>
    </w:p>
    <w:p w:rsidR="00600725" w:rsidRPr="00600725" w:rsidRDefault="00600725" w:rsidP="00390436">
      <w:pPr>
        <w:pStyle w:val="Sansinterligne"/>
        <w:rPr>
          <w:u w:val="single"/>
        </w:rPr>
      </w:pPr>
      <w:r w:rsidRPr="00600725">
        <w:rPr>
          <w:u w:val="single"/>
        </w:rPr>
        <w:t>Mélanome malin anal</w:t>
      </w:r>
    </w:p>
    <w:p w:rsidR="00600725" w:rsidRDefault="00600725" w:rsidP="0036676E">
      <w:pPr>
        <w:pStyle w:val="Sansinterligne"/>
        <w:numPr>
          <w:ilvl w:val="0"/>
          <w:numId w:val="1517"/>
        </w:numPr>
      </w:pPr>
      <w:r>
        <w:t>Référence en chirurgie et dermatologie</w:t>
      </w:r>
    </w:p>
    <w:p w:rsidR="00600725" w:rsidRDefault="00600725" w:rsidP="0036676E">
      <w:pPr>
        <w:pStyle w:val="Sansinterligne"/>
        <w:numPr>
          <w:ilvl w:val="0"/>
          <w:numId w:val="1517"/>
        </w:numPr>
      </w:pPr>
      <w:r>
        <w:t xml:space="preserve">Résection large </w:t>
      </w:r>
      <w:r>
        <w:rPr>
          <w:rFonts w:cs="Times New Roman"/>
        </w:rPr>
        <w:t>±</w:t>
      </w:r>
      <w:r>
        <w:t xml:space="preserve"> radio/chimiothérapie</w:t>
      </w:r>
    </w:p>
    <w:p w:rsidR="00600725" w:rsidRPr="0062022E" w:rsidRDefault="00600725" w:rsidP="0036676E">
      <w:pPr>
        <w:pStyle w:val="Sansinterligne"/>
        <w:numPr>
          <w:ilvl w:val="0"/>
          <w:numId w:val="1517"/>
        </w:numPr>
        <w:rPr>
          <w:highlight w:val="yellow"/>
        </w:rPr>
      </w:pPr>
      <w:r w:rsidRPr="0062022E">
        <w:rPr>
          <w:highlight w:val="yellow"/>
        </w:rPr>
        <w:t>Pronostic très sombre (5% survie à 5 ans)</w:t>
      </w:r>
    </w:p>
    <w:p w:rsidR="00600725" w:rsidRDefault="00600725" w:rsidP="00390436">
      <w:pPr>
        <w:pStyle w:val="Sansinterligne"/>
      </w:pPr>
      <w:r w:rsidRPr="00600725">
        <w:rPr>
          <w:u w:val="single"/>
        </w:rPr>
        <w:t>Autres néoplasies cutanées</w:t>
      </w:r>
      <w:r>
        <w:t xml:space="preserve"> (sous la marge anale)</w:t>
      </w:r>
    </w:p>
    <w:p w:rsidR="00390436" w:rsidRDefault="00600725" w:rsidP="0036676E">
      <w:pPr>
        <w:pStyle w:val="Sansinterligne"/>
        <w:numPr>
          <w:ilvl w:val="0"/>
          <w:numId w:val="1517"/>
        </w:numPr>
      </w:pPr>
      <w:r>
        <w:t>Référence en dermatologie</w:t>
      </w:r>
    </w:p>
    <w:p w:rsidR="00174AA3" w:rsidRPr="00174AA3" w:rsidRDefault="00174AA3" w:rsidP="0072600E">
      <w:pPr>
        <w:pStyle w:val="Sansinterligne"/>
        <w:rPr>
          <w:b/>
        </w:rPr>
      </w:pPr>
      <w:r w:rsidRPr="00174AA3">
        <w:rPr>
          <w:b/>
        </w:rPr>
        <w:lastRenderedPageBreak/>
        <w:t>Coccydinie</w:t>
      </w:r>
    </w:p>
    <w:p w:rsidR="00174AA3" w:rsidRDefault="00174AA3" w:rsidP="0036676E">
      <w:pPr>
        <w:pStyle w:val="Sansinterligne"/>
        <w:numPr>
          <w:ilvl w:val="0"/>
          <w:numId w:val="1518"/>
        </w:numPr>
      </w:pPr>
      <w:r>
        <w:t xml:space="preserve">Résolution spontanée ou avec Tx conservateur </w:t>
      </w:r>
    </w:p>
    <w:p w:rsidR="00174AA3" w:rsidRDefault="00174AA3" w:rsidP="0036676E">
      <w:pPr>
        <w:pStyle w:val="Sansinterligne"/>
        <w:numPr>
          <w:ilvl w:val="0"/>
          <w:numId w:val="1518"/>
        </w:numPr>
      </w:pPr>
      <w:r>
        <w:t>Usage du coussin en forme de beigne</w:t>
      </w:r>
    </w:p>
    <w:p w:rsidR="00174AA3" w:rsidRDefault="00174AA3" w:rsidP="0036676E">
      <w:pPr>
        <w:pStyle w:val="Sansinterligne"/>
        <w:numPr>
          <w:ilvl w:val="0"/>
          <w:numId w:val="1518"/>
        </w:numPr>
      </w:pPr>
      <w:r>
        <w:t>S’asseoir vers l’arrière (transfert du poids)</w:t>
      </w:r>
    </w:p>
    <w:p w:rsidR="00174AA3" w:rsidRDefault="00174AA3" w:rsidP="0036676E">
      <w:pPr>
        <w:pStyle w:val="Sansinterligne"/>
        <w:numPr>
          <w:ilvl w:val="0"/>
          <w:numId w:val="1518"/>
        </w:numPr>
      </w:pPr>
      <w:r>
        <w:t>AINS PRN</w:t>
      </w:r>
    </w:p>
    <w:p w:rsidR="005C1ACB" w:rsidRDefault="005C1ACB" w:rsidP="0072600E">
      <w:pPr>
        <w:pStyle w:val="Sansinterligne"/>
      </w:pPr>
    </w:p>
    <w:p w:rsidR="005C1ACB" w:rsidRPr="005C1ACB" w:rsidRDefault="005C1ACB" w:rsidP="0072600E">
      <w:pPr>
        <w:pStyle w:val="Sansinterligne"/>
        <w:rPr>
          <w:b/>
        </w:rPr>
      </w:pPr>
      <w:r w:rsidRPr="005C1ACB">
        <w:rPr>
          <w:b/>
        </w:rPr>
        <w:t>Condylomes</w:t>
      </w:r>
    </w:p>
    <w:p w:rsidR="005C1ACB" w:rsidRDefault="005C1ACB" w:rsidP="0036676E">
      <w:pPr>
        <w:pStyle w:val="Sansinterligne"/>
        <w:numPr>
          <w:ilvl w:val="0"/>
          <w:numId w:val="1519"/>
        </w:numPr>
      </w:pPr>
      <w:r>
        <w:t>Référence en chirurgie</w:t>
      </w:r>
    </w:p>
    <w:p w:rsidR="005C1ACB" w:rsidRDefault="005C1ACB" w:rsidP="0036676E">
      <w:pPr>
        <w:pStyle w:val="Sansinterligne"/>
        <w:numPr>
          <w:ilvl w:val="0"/>
          <w:numId w:val="1519"/>
        </w:numPr>
      </w:pPr>
      <w:r>
        <w:t>Brûlure à l’acide trichloroacétique</w:t>
      </w:r>
    </w:p>
    <w:p w:rsidR="00390436" w:rsidRDefault="005C1ACB" w:rsidP="0036676E">
      <w:pPr>
        <w:pStyle w:val="Sansinterligne"/>
        <w:numPr>
          <w:ilvl w:val="0"/>
          <w:numId w:val="1519"/>
        </w:numPr>
        <w:sectPr w:rsidR="00390436" w:rsidSect="00390436">
          <w:type w:val="continuous"/>
          <w:pgSz w:w="12240" w:h="15840"/>
          <w:pgMar w:top="720" w:right="720" w:bottom="720" w:left="720" w:header="708" w:footer="708" w:gutter="0"/>
          <w:cols w:num="2" w:space="0" w:equalWidth="0">
            <w:col w:w="5670" w:space="0"/>
            <w:col w:w="5130"/>
          </w:cols>
          <w:titlePg/>
          <w:docGrid w:linePitch="360"/>
        </w:sectPr>
      </w:pPr>
      <w:r>
        <w:t>Résection chirurgicale (fulguration) – attention à la propagation du VPH</w:t>
      </w:r>
    </w:p>
    <w:p w:rsidR="004F6F0C" w:rsidRDefault="004F6F0C" w:rsidP="004F6F0C">
      <w:pPr>
        <w:spacing w:after="0"/>
        <w:rPr>
          <w:rFonts w:cs="Times New Roman"/>
          <w:b/>
          <w:color w:val="548DD4" w:themeColor="text2" w:themeTint="99"/>
        </w:rPr>
      </w:pPr>
      <w:r>
        <w:rPr>
          <w:rFonts w:cs="Times New Roman"/>
          <w:b/>
          <w:color w:val="548DD4" w:themeColor="text2" w:themeTint="99"/>
        </w:rPr>
        <w:lastRenderedPageBreak/>
        <w:t>CMC 9-1-4</w:t>
      </w:r>
    </w:p>
    <w:p w:rsidR="004F6F0C" w:rsidRPr="00287CDB" w:rsidRDefault="004F6F0C" w:rsidP="004F6F0C">
      <w:pPr>
        <w:pStyle w:val="Titre3"/>
        <w:spacing w:before="0"/>
        <w:rPr>
          <w:rFonts w:ascii="Times New Roman" w:hAnsi="Times New Roman" w:cs="Times New Roman"/>
        </w:rPr>
      </w:pPr>
      <w:bookmarkStart w:id="13" w:name="_Toc480797268"/>
      <w:r>
        <w:rPr>
          <w:rFonts w:ascii="Times New Roman" w:hAnsi="Times New Roman" w:cs="Times New Roman"/>
        </w:rPr>
        <w:t>Troubles hypertensifs de la grossesse</w:t>
      </w:r>
      <w:bookmarkEnd w:id="13"/>
    </w:p>
    <w:p w:rsidR="004F6F0C" w:rsidRDefault="004F6F0C" w:rsidP="004D5722">
      <w:pPr>
        <w:spacing w:after="0"/>
        <w:rPr>
          <w:rFonts w:cs="Times New Roman"/>
          <w:b/>
          <w:color w:val="548DD4" w:themeColor="text2" w:themeTint="99"/>
        </w:rPr>
      </w:pPr>
      <w:r>
        <w:rPr>
          <w:rFonts w:cs="Times New Roman"/>
          <w:b/>
          <w:noProof/>
          <w:color w:val="548DD4" w:themeColor="text2" w:themeTint="99"/>
          <w:lang w:eastAsia="fr-CA"/>
        </w:rPr>
        <mc:AlternateContent>
          <mc:Choice Requires="wps">
            <w:drawing>
              <wp:anchor distT="0" distB="0" distL="114300" distR="114300" simplePos="0" relativeHeight="251720704" behindDoc="0" locked="0" layoutInCell="1" allowOverlap="1" wp14:anchorId="3363F119" wp14:editId="1C251C08">
                <wp:simplePos x="0" y="0"/>
                <wp:positionH relativeFrom="column">
                  <wp:posOffset>-29183</wp:posOffset>
                </wp:positionH>
                <wp:positionV relativeFrom="paragraph">
                  <wp:posOffset>133863</wp:posOffset>
                </wp:positionV>
                <wp:extent cx="6731540" cy="2441643"/>
                <wp:effectExtent l="0" t="0" r="12700" b="15875"/>
                <wp:wrapNone/>
                <wp:docPr id="50" name="Rectangle 50"/>
                <wp:cNvGraphicFramePr/>
                <a:graphic xmlns:a="http://schemas.openxmlformats.org/drawingml/2006/main">
                  <a:graphicData uri="http://schemas.microsoft.com/office/word/2010/wordprocessingShape">
                    <wps:wsp>
                      <wps:cNvSpPr/>
                      <wps:spPr>
                        <a:xfrm>
                          <a:off x="0" y="0"/>
                          <a:ext cx="6731540" cy="2441643"/>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50" o:spid="_x0000_s1026" style="position:absolute;margin-left:-2.3pt;margin-top:10.55pt;width:530.05pt;height:192.25pt;z-index:2517207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" filled="f" strokecolor="black [1600]" strokeweight="2pt"/>
            </w:pict>
          </mc:Fallback>
        </mc:AlternateContent>
      </w:r>
    </w:p>
    <w:tbl>
      <w:tblPr>
        <w:tblW w:w="5000" w:type="pct"/>
        <w:tblCellSpacing w:w="0" w:type="dxa"/>
        <w:tblCellMar>
          <w:left w:w="0" w:type="dxa"/>
          <w:right w:w="0" w:type="dxa"/>
        </w:tblCellMar>
        <w:tblLook w:val="04A0" w:firstRow="1" w:lastRow="0" w:firstColumn="1" w:lastColumn="0" w:noHBand="0" w:noVBand="1"/>
      </w:tblPr>
      <w:tblGrid>
        <w:gridCol w:w="10759"/>
        <w:gridCol w:w="41"/>
      </w:tblGrid>
      <w:tr w:rsidR="004F6F0C" w:rsidRPr="004F6F0C" w:rsidTr="004F6F0C">
        <w:trPr>
          <w:tblCellSpacing w:w="0" w:type="dxa"/>
        </w:trPr>
        <w:tc>
          <w:tcPr>
            <w:tcW w:w="0" w:type="auto"/>
            <w:vAlign w:val="bottom"/>
            <w:hideMark/>
          </w:tcPr>
          <w:p w:rsidR="004F6F0C" w:rsidRPr="00EB0C1F" w:rsidRDefault="004F6F0C" w:rsidP="00EB0C1F">
            <w:pPr>
              <w:pStyle w:val="Sansinterligne"/>
              <w:rPr>
                <w:b/>
                <w:sz w:val="18"/>
                <w:szCs w:val="18"/>
              </w:rPr>
            </w:pPr>
            <w:bookmarkStart w:id="14" w:name="_Toc474769806"/>
            <w:bookmarkStart w:id="15" w:name="_Toc475198190"/>
            <w:bookmarkStart w:id="16" w:name="_Toc475563815"/>
            <w:r w:rsidRPr="00EB0C1F">
              <w:rPr>
                <w:b/>
                <w:sz w:val="18"/>
                <w:szCs w:val="18"/>
              </w:rPr>
              <w:t>Objectifs principaux</w:t>
            </w:r>
            <w:bookmarkEnd w:id="14"/>
            <w:bookmarkEnd w:id="15"/>
            <w:bookmarkEnd w:id="16"/>
          </w:p>
        </w:tc>
        <w:tc>
          <w:tcPr>
            <w:tcW w:w="0" w:type="auto"/>
            <w:vAlign w:val="bottom"/>
            <w:hideMark/>
          </w:tcPr>
          <w:p w:rsidR="004F6F0C" w:rsidRPr="004F6F0C" w:rsidRDefault="004F6F0C">
            <w:pPr>
              <w:jc w:val="right"/>
              <w:rPr>
                <w:rFonts w:cs="Times New Roman"/>
                <w:color w:val="000000"/>
                <w:sz w:val="18"/>
                <w:szCs w:val="18"/>
              </w:rPr>
            </w:pPr>
          </w:p>
        </w:tc>
      </w:tr>
    </w:tbl>
    <w:p w:rsidR="004F6F0C" w:rsidRPr="004F6F0C" w:rsidRDefault="004F6F0C" w:rsidP="004F6F0C">
      <w:pPr>
        <w:pStyle w:val="NormalWeb"/>
        <w:ind w:left="360"/>
        <w:rPr>
          <w:color w:val="000000"/>
          <w:sz w:val="18"/>
          <w:szCs w:val="18"/>
          <w:shd w:val="clear" w:color="auto" w:fill="FFFFFF"/>
        </w:rPr>
      </w:pPr>
      <w:r w:rsidRPr="004F6F0C">
        <w:rPr>
          <w:color w:val="000000"/>
          <w:sz w:val="18"/>
          <w:szCs w:val="18"/>
          <w:shd w:val="clear" w:color="auto" w:fill="FFFFFF"/>
        </w:rPr>
        <w:t>Dans le cas d'une patiente enceinte présentant un trouble hypertensif et/ou une protéinurie, le candidat devra poser un diagnostic précis, en déterminer les causes, la gravité et les complications, puis mettre en place un plan de prise en charge approprié. Il devra en particulier déterminer les mesures d'urgence à prendre en cas de prééclampsie ou d'éclampsie et les mettre à exécution.</w:t>
      </w:r>
    </w:p>
    <w:tbl>
      <w:tblPr>
        <w:tblW w:w="3702" w:type="pct"/>
        <w:tblCellSpacing w:w="0" w:type="dxa"/>
        <w:tblCellMar>
          <w:left w:w="0" w:type="dxa"/>
          <w:right w:w="0" w:type="dxa"/>
        </w:tblCellMar>
        <w:tblLook w:val="04A0" w:firstRow="1" w:lastRow="0" w:firstColumn="1" w:lastColumn="0" w:noHBand="0" w:noVBand="1"/>
      </w:tblPr>
      <w:tblGrid>
        <w:gridCol w:w="7996"/>
      </w:tblGrid>
      <w:tr w:rsidR="004F6F0C" w:rsidRPr="004F6F0C" w:rsidTr="004F6F0C">
        <w:trPr>
          <w:tblCellSpacing w:w="0" w:type="dxa"/>
        </w:trPr>
        <w:tc>
          <w:tcPr>
            <w:tcW w:w="0" w:type="auto"/>
            <w:vAlign w:val="bottom"/>
            <w:hideMark/>
          </w:tcPr>
          <w:p w:rsidR="004F6F0C" w:rsidRPr="00EB0C1F" w:rsidRDefault="004F6F0C" w:rsidP="00EB0C1F">
            <w:pPr>
              <w:pStyle w:val="Sansinterligne"/>
              <w:rPr>
                <w:b/>
                <w:sz w:val="16"/>
                <w:szCs w:val="16"/>
              </w:rPr>
            </w:pPr>
            <w:bookmarkStart w:id="17" w:name="_Toc474769807"/>
            <w:bookmarkStart w:id="18" w:name="_Toc475198191"/>
            <w:bookmarkStart w:id="19" w:name="_Toc475563816"/>
            <w:r w:rsidRPr="00EB0C1F">
              <w:rPr>
                <w:b/>
                <w:sz w:val="16"/>
                <w:szCs w:val="16"/>
              </w:rPr>
              <w:t>Objectifs spécifiques</w:t>
            </w:r>
            <w:bookmarkEnd w:id="17"/>
            <w:bookmarkEnd w:id="18"/>
            <w:bookmarkEnd w:id="19"/>
          </w:p>
        </w:tc>
      </w:tr>
    </w:tbl>
    <w:p w:rsidR="004F6F0C" w:rsidRPr="004F6F0C" w:rsidRDefault="004F6F0C" w:rsidP="004F6F0C">
      <w:pPr>
        <w:pStyle w:val="NormalWeb"/>
        <w:shd w:val="clear" w:color="auto" w:fill="FFFFFF"/>
        <w:ind w:left="360"/>
        <w:rPr>
          <w:color w:val="000000"/>
          <w:sz w:val="16"/>
          <w:szCs w:val="16"/>
          <w:shd w:val="clear" w:color="auto" w:fill="FFFFFF"/>
        </w:rPr>
      </w:pPr>
      <w:r w:rsidRPr="004F6F0C">
        <w:rPr>
          <w:color w:val="000000"/>
          <w:sz w:val="16"/>
          <w:szCs w:val="16"/>
          <w:shd w:val="clear" w:color="auto" w:fill="FFFFFF"/>
        </w:rPr>
        <w:t>Dans le cas d'une patiente enceinte présentant un trouble hypertensif, le candidat devra</w:t>
      </w:r>
    </w:p>
    <w:p w:rsidR="004F6F0C" w:rsidRPr="004F6F0C" w:rsidRDefault="004F6F0C" w:rsidP="002F7D99">
      <w:pPr>
        <w:numPr>
          <w:ilvl w:val="0"/>
          <w:numId w:val="215"/>
        </w:numPr>
        <w:shd w:val="clear" w:color="auto" w:fill="FFFFFF"/>
        <w:spacing w:before="100" w:beforeAutospacing="1" w:after="100" w:afterAutospacing="1" w:line="240" w:lineRule="auto"/>
        <w:rPr>
          <w:rFonts w:cs="Times New Roman"/>
          <w:color w:val="000000"/>
          <w:sz w:val="16"/>
          <w:szCs w:val="16"/>
          <w:shd w:val="clear" w:color="auto" w:fill="FFFFFF"/>
        </w:rPr>
      </w:pPr>
      <w:r w:rsidRPr="004F6F0C">
        <w:rPr>
          <w:rFonts w:cs="Times New Roman"/>
          <w:color w:val="000000"/>
          <w:sz w:val="16"/>
          <w:szCs w:val="16"/>
          <w:shd w:val="clear" w:color="auto" w:fill="FFFFFF"/>
        </w:rPr>
        <w:t>énumérer et interpréter les constatations cliniques cruciales, notamment :</w:t>
      </w:r>
    </w:p>
    <w:p w:rsidR="004F6F0C" w:rsidRPr="004F6F0C" w:rsidRDefault="004F6F0C" w:rsidP="002F7D99">
      <w:pPr>
        <w:numPr>
          <w:ilvl w:val="1"/>
          <w:numId w:val="215"/>
        </w:numPr>
        <w:shd w:val="clear" w:color="auto" w:fill="FFFFFF"/>
        <w:spacing w:before="100" w:beforeAutospacing="1" w:after="100" w:afterAutospacing="1" w:line="240" w:lineRule="auto"/>
        <w:rPr>
          <w:rFonts w:cs="Times New Roman"/>
          <w:color w:val="000000"/>
          <w:sz w:val="16"/>
          <w:szCs w:val="16"/>
          <w:shd w:val="clear" w:color="auto" w:fill="FFFFFF"/>
        </w:rPr>
      </w:pPr>
      <w:r w:rsidRPr="004F6F0C">
        <w:rPr>
          <w:rFonts w:cs="Times New Roman"/>
          <w:color w:val="000000"/>
          <w:sz w:val="16"/>
          <w:szCs w:val="16"/>
          <w:shd w:val="clear" w:color="auto" w:fill="FFFFFF"/>
        </w:rPr>
        <w:t>diagnostiquer la présence d'une prééclampsie ou d'une éclampsie;</w:t>
      </w:r>
    </w:p>
    <w:p w:rsidR="004F6F0C" w:rsidRPr="004F6F0C" w:rsidRDefault="004F6F0C" w:rsidP="002F7D99">
      <w:pPr>
        <w:numPr>
          <w:ilvl w:val="0"/>
          <w:numId w:val="215"/>
        </w:numPr>
        <w:shd w:val="clear" w:color="auto" w:fill="FFFFFF"/>
        <w:spacing w:before="100" w:beforeAutospacing="1" w:after="100" w:afterAutospacing="1" w:line="240" w:lineRule="auto"/>
        <w:rPr>
          <w:rFonts w:cs="Times New Roman"/>
          <w:color w:val="000000"/>
          <w:sz w:val="16"/>
          <w:szCs w:val="16"/>
          <w:shd w:val="clear" w:color="auto" w:fill="FFFFFF"/>
        </w:rPr>
      </w:pPr>
      <w:r w:rsidRPr="004F6F0C">
        <w:rPr>
          <w:rFonts w:cs="Times New Roman"/>
          <w:color w:val="000000"/>
          <w:sz w:val="16"/>
          <w:szCs w:val="16"/>
          <w:shd w:val="clear" w:color="auto" w:fill="FFFFFF"/>
        </w:rPr>
        <w:t>énumérer et interpréter les données cliniques et les résultats des examens de laboratoire, notamment :</w:t>
      </w:r>
    </w:p>
    <w:p w:rsidR="004F6F0C" w:rsidRPr="004F6F0C" w:rsidRDefault="004F6F0C" w:rsidP="002F7D99">
      <w:pPr>
        <w:numPr>
          <w:ilvl w:val="1"/>
          <w:numId w:val="215"/>
        </w:numPr>
        <w:shd w:val="clear" w:color="auto" w:fill="FFFFFF"/>
        <w:spacing w:before="100" w:beforeAutospacing="1" w:after="100" w:afterAutospacing="1" w:line="240" w:lineRule="auto"/>
        <w:rPr>
          <w:rFonts w:cs="Times New Roman"/>
          <w:color w:val="000000"/>
          <w:sz w:val="16"/>
          <w:szCs w:val="16"/>
          <w:shd w:val="clear" w:color="auto" w:fill="FFFFFF"/>
        </w:rPr>
      </w:pPr>
      <w:r w:rsidRPr="004F6F0C">
        <w:rPr>
          <w:rFonts w:cs="Times New Roman"/>
          <w:color w:val="000000"/>
          <w:sz w:val="16"/>
          <w:szCs w:val="16"/>
          <w:shd w:val="clear" w:color="auto" w:fill="FFFFFF"/>
        </w:rPr>
        <w:t>les analyses d'urine et les tests hématologiques pertinents;</w:t>
      </w:r>
    </w:p>
    <w:p w:rsidR="004F6F0C" w:rsidRPr="004F6F0C" w:rsidRDefault="004F6F0C" w:rsidP="002F7D99">
      <w:pPr>
        <w:numPr>
          <w:ilvl w:val="0"/>
          <w:numId w:val="215"/>
        </w:numPr>
        <w:shd w:val="clear" w:color="auto" w:fill="FFFFFF"/>
        <w:spacing w:before="100" w:beforeAutospacing="1" w:after="100" w:afterAutospacing="1" w:line="240" w:lineRule="auto"/>
        <w:rPr>
          <w:rFonts w:cs="Times New Roman"/>
          <w:color w:val="000000"/>
          <w:sz w:val="16"/>
          <w:szCs w:val="16"/>
          <w:shd w:val="clear" w:color="auto" w:fill="FFFFFF"/>
        </w:rPr>
      </w:pPr>
      <w:r w:rsidRPr="004F6F0C">
        <w:rPr>
          <w:rFonts w:cs="Times New Roman"/>
          <w:color w:val="000000"/>
          <w:sz w:val="16"/>
          <w:szCs w:val="16"/>
          <w:shd w:val="clear" w:color="auto" w:fill="FFFFFF"/>
        </w:rPr>
        <w:t>établir un plan de prise en charge efficace, notamment :</w:t>
      </w:r>
    </w:p>
    <w:p w:rsidR="004F6F0C" w:rsidRPr="004F6F0C" w:rsidRDefault="004F6F0C" w:rsidP="002F7D99">
      <w:pPr>
        <w:numPr>
          <w:ilvl w:val="1"/>
          <w:numId w:val="215"/>
        </w:numPr>
        <w:shd w:val="clear" w:color="auto" w:fill="FFFFFF"/>
        <w:spacing w:before="100" w:beforeAutospacing="1" w:after="100" w:afterAutospacing="1" w:line="240" w:lineRule="auto"/>
        <w:rPr>
          <w:rFonts w:cs="Times New Roman"/>
          <w:color w:val="000000"/>
          <w:sz w:val="16"/>
          <w:szCs w:val="16"/>
          <w:shd w:val="clear" w:color="auto" w:fill="FFFFFF"/>
        </w:rPr>
      </w:pPr>
      <w:r w:rsidRPr="004F6F0C">
        <w:rPr>
          <w:rFonts w:cs="Times New Roman"/>
          <w:color w:val="000000"/>
          <w:sz w:val="16"/>
          <w:szCs w:val="16"/>
          <w:shd w:val="clear" w:color="auto" w:fill="FFFFFF"/>
        </w:rPr>
        <w:t>établir des mesures d'urgence pour le traitement d'une prééclampsie ou d'une éclampsie;</w:t>
      </w:r>
    </w:p>
    <w:p w:rsidR="004F6F0C" w:rsidRPr="004F6F0C" w:rsidRDefault="004F6F0C" w:rsidP="002F7D99">
      <w:pPr>
        <w:numPr>
          <w:ilvl w:val="1"/>
          <w:numId w:val="215"/>
        </w:numPr>
        <w:shd w:val="clear" w:color="auto" w:fill="FFFFFF"/>
        <w:spacing w:before="100" w:beforeAutospacing="1" w:after="100" w:afterAutospacing="1" w:line="240" w:lineRule="auto"/>
        <w:rPr>
          <w:rFonts w:cs="Times New Roman"/>
          <w:color w:val="000000"/>
          <w:sz w:val="16"/>
          <w:szCs w:val="16"/>
          <w:shd w:val="clear" w:color="auto" w:fill="FFFFFF"/>
        </w:rPr>
      </w:pPr>
      <w:r w:rsidRPr="004F6F0C">
        <w:rPr>
          <w:rFonts w:cs="Times New Roman"/>
          <w:color w:val="000000"/>
          <w:sz w:val="16"/>
          <w:szCs w:val="16"/>
          <w:shd w:val="clear" w:color="auto" w:fill="FFFFFF"/>
        </w:rPr>
        <w:t>diriger la patiente vers des soins spécialisés, s'il y a lieu.</w:t>
      </w:r>
    </w:p>
    <w:p w:rsidR="004F6F0C" w:rsidRPr="00941BB4" w:rsidRDefault="00FC650B">
      <w:pPr>
        <w:rPr>
          <w:rFonts w:cs="Times New Roman"/>
          <w:b/>
          <w:sz w:val="28"/>
          <w:szCs w:val="28"/>
        </w:rPr>
      </w:pPr>
      <w:r w:rsidRPr="00941BB4">
        <w:rPr>
          <w:rFonts w:cs="Times New Roman"/>
          <w:b/>
          <w:sz w:val="28"/>
          <w:szCs w:val="28"/>
        </w:rPr>
        <w:t>Continuum et conditions</w:t>
      </w:r>
    </w:p>
    <w:p w:rsidR="00510D00" w:rsidRDefault="007369B4">
      <w:pPr>
        <w:rPr>
          <w:rFonts w:cs="Times New Roman"/>
        </w:rPr>
      </w:pPr>
      <w:r>
        <w:rPr>
          <w:rFonts w:cs="Times New Roman"/>
        </w:rPr>
        <w:t>Dans tous les cas d’hypertension en grossesse, symptomatique ou non, on veut éliminer la possibilité d’une prééclampsie, d’une éclampsie ou du syndrome de HELLP (Hémolyse, Elevated Liver enzymes, Low Platelets).</w:t>
      </w:r>
    </w:p>
    <w:p w:rsidR="007369B4" w:rsidRDefault="007369B4">
      <w:pPr>
        <w:rPr>
          <w:rFonts w:cs="Times New Roman"/>
        </w:rPr>
      </w:pPr>
      <w:r>
        <w:rPr>
          <w:rFonts w:cs="Times New Roman"/>
        </w:rPr>
        <w:t>Les examens suivant peuvent donc être demandés :</w:t>
      </w:r>
    </w:p>
    <w:p w:rsidR="007369B4" w:rsidRPr="007369B4" w:rsidRDefault="00404916" w:rsidP="007369B4">
      <w:pPr>
        <w:pStyle w:val="Paragraphedeliste"/>
        <w:numPr>
          <w:ilvl w:val="0"/>
          <w:numId w:val="216"/>
        </w:numPr>
        <w:rPr>
          <w:rFonts w:cs="Times New Roman"/>
        </w:rPr>
      </w:pPr>
      <w:r w:rsidRPr="00FD7A70">
        <w:rPr>
          <w:noProof/>
          <w:highlight w:val="yellow"/>
          <w:lang w:eastAsia="fr-CA"/>
        </w:rPr>
        <w:drawing>
          <wp:anchor distT="0" distB="0" distL="114300" distR="114300" simplePos="0" relativeHeight="251721728" behindDoc="1" locked="0" layoutInCell="1" allowOverlap="1" wp14:anchorId="56B1317A" wp14:editId="66C3F59A">
            <wp:simplePos x="0" y="0"/>
            <wp:positionH relativeFrom="column">
              <wp:posOffset>3124200</wp:posOffset>
            </wp:positionH>
            <wp:positionV relativeFrom="paragraph">
              <wp:posOffset>17145</wp:posOffset>
            </wp:positionV>
            <wp:extent cx="3644900" cy="2402205"/>
            <wp:effectExtent l="0" t="0" r="0" b="0"/>
            <wp:wrapNone/>
            <wp:docPr id="52" name="Image 52" descr="Résultats de recherche d'images pour « prééclampsi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ésultats de recherche d'images pour « prééclampsie »"/>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644900" cy="2402205"/>
                    </a:xfrm>
                    <a:prstGeom prst="rect">
                      <a:avLst/>
                    </a:prstGeom>
                    <a:noFill/>
                    <a:ln>
                      <a:noFill/>
                    </a:ln>
                  </pic:spPr>
                </pic:pic>
              </a:graphicData>
            </a:graphic>
            <wp14:sizeRelH relativeFrom="page">
              <wp14:pctWidth>0</wp14:pctWidth>
            </wp14:sizeRelH>
            <wp14:sizeRelV relativeFrom="page">
              <wp14:pctHeight>0</wp14:pctHeight>
            </wp14:sizeRelV>
          </wp:anchor>
        </w:drawing>
      </w:r>
      <w:r w:rsidR="007369B4" w:rsidRPr="00FD7A70">
        <w:rPr>
          <w:rFonts w:cs="Times New Roman"/>
          <w:highlight w:val="yellow"/>
        </w:rPr>
        <w:t>SMU</w:t>
      </w:r>
      <w:r w:rsidR="007369B4" w:rsidRPr="007369B4">
        <w:rPr>
          <w:rFonts w:cs="Times New Roman"/>
        </w:rPr>
        <w:t xml:space="preserve"> (analyse, protéines urinaires)</w:t>
      </w:r>
      <w:r w:rsidR="00B17036">
        <w:rPr>
          <w:rFonts w:cs="Times New Roman"/>
        </w:rPr>
        <w:t xml:space="preserve"> ou collecte 24h</w:t>
      </w:r>
    </w:p>
    <w:p w:rsidR="007369B4" w:rsidRPr="007369B4" w:rsidRDefault="007369B4" w:rsidP="007369B4">
      <w:pPr>
        <w:pStyle w:val="Paragraphedeliste"/>
        <w:numPr>
          <w:ilvl w:val="0"/>
          <w:numId w:val="216"/>
        </w:numPr>
        <w:rPr>
          <w:rFonts w:cs="Times New Roman"/>
        </w:rPr>
      </w:pPr>
      <w:r w:rsidRPr="00FD7A70">
        <w:rPr>
          <w:rFonts w:cs="Times New Roman"/>
          <w:highlight w:val="yellow"/>
        </w:rPr>
        <w:t>Créatinine</w:t>
      </w:r>
      <w:r w:rsidRPr="007369B4">
        <w:rPr>
          <w:rFonts w:cs="Times New Roman"/>
        </w:rPr>
        <w:t xml:space="preserve"> (pour ratio protéines/créatinine urinaire)</w:t>
      </w:r>
    </w:p>
    <w:p w:rsidR="007369B4" w:rsidRPr="007369B4" w:rsidRDefault="007369B4" w:rsidP="007369B4">
      <w:pPr>
        <w:pStyle w:val="Paragraphedeliste"/>
        <w:numPr>
          <w:ilvl w:val="0"/>
          <w:numId w:val="216"/>
        </w:numPr>
        <w:rPr>
          <w:rFonts w:cs="Times New Roman"/>
        </w:rPr>
      </w:pPr>
      <w:r w:rsidRPr="00FD7A70">
        <w:rPr>
          <w:rFonts w:cs="Times New Roman"/>
          <w:highlight w:val="yellow"/>
        </w:rPr>
        <w:t>HbHt</w:t>
      </w:r>
      <w:r w:rsidRPr="007369B4">
        <w:rPr>
          <w:rFonts w:cs="Times New Roman"/>
        </w:rPr>
        <w:t xml:space="preserve"> (recherche de thrombopénie)</w:t>
      </w:r>
    </w:p>
    <w:p w:rsidR="007369B4" w:rsidRPr="00FD7A70" w:rsidRDefault="007369B4" w:rsidP="007369B4">
      <w:pPr>
        <w:pStyle w:val="Paragraphedeliste"/>
        <w:numPr>
          <w:ilvl w:val="0"/>
          <w:numId w:val="216"/>
        </w:numPr>
        <w:rPr>
          <w:rFonts w:cs="Times New Roman"/>
          <w:highlight w:val="yellow"/>
        </w:rPr>
      </w:pPr>
      <w:r w:rsidRPr="00FD7A70">
        <w:rPr>
          <w:rFonts w:cs="Times New Roman"/>
          <w:highlight w:val="yellow"/>
        </w:rPr>
        <w:t>Enzymes hépatiques (ALT, AST)</w:t>
      </w:r>
    </w:p>
    <w:p w:rsidR="007369B4" w:rsidRPr="007369B4" w:rsidRDefault="007369B4" w:rsidP="007369B4">
      <w:pPr>
        <w:pStyle w:val="Paragraphedeliste"/>
        <w:numPr>
          <w:ilvl w:val="0"/>
          <w:numId w:val="216"/>
        </w:numPr>
        <w:rPr>
          <w:rFonts w:cs="Times New Roman"/>
        </w:rPr>
      </w:pPr>
      <w:r w:rsidRPr="007369B4">
        <w:rPr>
          <w:rFonts w:cs="Times New Roman"/>
        </w:rPr>
        <w:t>INR, Temps de prothrombine</w:t>
      </w:r>
    </w:p>
    <w:p w:rsidR="007369B4" w:rsidRPr="00FD7A70" w:rsidRDefault="007369B4" w:rsidP="007369B4">
      <w:pPr>
        <w:pStyle w:val="Paragraphedeliste"/>
        <w:numPr>
          <w:ilvl w:val="0"/>
          <w:numId w:val="216"/>
        </w:numPr>
        <w:rPr>
          <w:rFonts w:cs="Times New Roman"/>
          <w:highlight w:val="yellow"/>
        </w:rPr>
      </w:pPr>
      <w:r w:rsidRPr="00FD7A70">
        <w:rPr>
          <w:rFonts w:cs="Times New Roman"/>
          <w:highlight w:val="yellow"/>
        </w:rPr>
        <w:t>LDH</w:t>
      </w:r>
    </w:p>
    <w:p w:rsidR="00660DBE" w:rsidRPr="007369B4" w:rsidRDefault="00660DBE" w:rsidP="007369B4">
      <w:pPr>
        <w:pStyle w:val="Paragraphedeliste"/>
        <w:numPr>
          <w:ilvl w:val="0"/>
          <w:numId w:val="216"/>
        </w:numPr>
        <w:rPr>
          <w:rFonts w:cs="Times New Roman"/>
        </w:rPr>
      </w:pPr>
      <w:r>
        <w:rPr>
          <w:rFonts w:cs="Times New Roman"/>
        </w:rPr>
        <w:t>Bilirubine</w:t>
      </w:r>
    </w:p>
    <w:p w:rsidR="007369B4" w:rsidRPr="007369B4" w:rsidRDefault="007369B4" w:rsidP="007369B4">
      <w:pPr>
        <w:pStyle w:val="Paragraphedeliste"/>
        <w:numPr>
          <w:ilvl w:val="0"/>
          <w:numId w:val="216"/>
        </w:numPr>
        <w:rPr>
          <w:rFonts w:cs="Times New Roman"/>
        </w:rPr>
      </w:pPr>
      <w:r w:rsidRPr="007369B4">
        <w:rPr>
          <w:rFonts w:cs="Times New Roman"/>
        </w:rPr>
        <w:t>Albumine</w:t>
      </w:r>
      <w:r w:rsidR="00941BB4" w:rsidRPr="00941BB4">
        <w:t xml:space="preserve"> </w:t>
      </w:r>
      <w:r w:rsidR="00737075">
        <w:t>urinaire</w:t>
      </w:r>
    </w:p>
    <w:p w:rsidR="00404916" w:rsidRDefault="00404916">
      <w:pPr>
        <w:rPr>
          <w:rFonts w:cs="Times New Roman"/>
        </w:rPr>
      </w:pPr>
    </w:p>
    <w:p w:rsidR="00404916" w:rsidRDefault="00404916">
      <w:pPr>
        <w:rPr>
          <w:rFonts w:cs="Times New Roman"/>
        </w:rPr>
      </w:pPr>
      <w:r>
        <w:rPr>
          <w:rFonts w:cs="Times New Roman"/>
        </w:rPr>
        <w:t>En effet, l’HTA gestationnelle augmente le risque de :</w:t>
      </w:r>
    </w:p>
    <w:p w:rsidR="00404916" w:rsidRPr="00404916" w:rsidRDefault="00404916" w:rsidP="00E648E3">
      <w:pPr>
        <w:pStyle w:val="Paragraphedeliste"/>
        <w:numPr>
          <w:ilvl w:val="0"/>
          <w:numId w:val="226"/>
        </w:numPr>
        <w:spacing w:after="0"/>
        <w:rPr>
          <w:rFonts w:cs="Times New Roman"/>
        </w:rPr>
      </w:pPr>
      <w:r w:rsidRPr="00404916">
        <w:rPr>
          <w:rFonts w:cs="Times New Roman"/>
        </w:rPr>
        <w:t>Dysfonction hépatique et rénale</w:t>
      </w:r>
    </w:p>
    <w:p w:rsidR="00404916" w:rsidRPr="00404916" w:rsidRDefault="00404916" w:rsidP="00E648E3">
      <w:pPr>
        <w:pStyle w:val="Paragraphedeliste"/>
        <w:numPr>
          <w:ilvl w:val="0"/>
          <w:numId w:val="226"/>
        </w:numPr>
        <w:spacing w:after="0"/>
        <w:rPr>
          <w:rFonts w:cs="Times New Roman"/>
        </w:rPr>
      </w:pPr>
      <w:r w:rsidRPr="00404916">
        <w:rPr>
          <w:rFonts w:cs="Times New Roman"/>
        </w:rPr>
        <w:t>Convulsion (éclampsie)</w:t>
      </w:r>
    </w:p>
    <w:p w:rsidR="00404916" w:rsidRPr="00404916" w:rsidRDefault="00404916" w:rsidP="00E648E3">
      <w:pPr>
        <w:pStyle w:val="Paragraphedeliste"/>
        <w:numPr>
          <w:ilvl w:val="0"/>
          <w:numId w:val="226"/>
        </w:numPr>
        <w:spacing w:after="0"/>
        <w:rPr>
          <w:rFonts w:cs="Times New Roman"/>
        </w:rPr>
      </w:pPr>
      <w:r w:rsidRPr="00404916">
        <w:rPr>
          <w:rFonts w:cs="Times New Roman"/>
        </w:rPr>
        <w:t>Décollement prématuré du placenta normalement inséré (DPPNI)</w:t>
      </w:r>
    </w:p>
    <w:p w:rsidR="00404916" w:rsidRPr="00404916" w:rsidRDefault="00404916" w:rsidP="00E648E3">
      <w:pPr>
        <w:pStyle w:val="Paragraphedeliste"/>
        <w:numPr>
          <w:ilvl w:val="0"/>
          <w:numId w:val="226"/>
        </w:numPr>
        <w:spacing w:after="0"/>
        <w:rPr>
          <w:rFonts w:cs="Times New Roman"/>
        </w:rPr>
      </w:pPr>
      <w:r w:rsidRPr="00404916">
        <w:rPr>
          <w:rFonts w:cs="Times New Roman"/>
        </w:rPr>
        <w:t>Insuffisance cardiaque gauche</w:t>
      </w:r>
    </w:p>
    <w:p w:rsidR="00404916" w:rsidRPr="00404916" w:rsidRDefault="00404916" w:rsidP="00E648E3">
      <w:pPr>
        <w:pStyle w:val="Paragraphedeliste"/>
        <w:numPr>
          <w:ilvl w:val="0"/>
          <w:numId w:val="226"/>
        </w:numPr>
        <w:spacing w:after="0"/>
        <w:rPr>
          <w:rFonts w:cs="Times New Roman"/>
        </w:rPr>
      </w:pPr>
      <w:r w:rsidRPr="00404916">
        <w:rPr>
          <w:rFonts w:cs="Times New Roman"/>
        </w:rPr>
        <w:t>Œdème pulmonaire</w:t>
      </w:r>
    </w:p>
    <w:p w:rsidR="00404916" w:rsidRPr="00404916" w:rsidRDefault="00404916" w:rsidP="00E648E3">
      <w:pPr>
        <w:pStyle w:val="Paragraphedeliste"/>
        <w:numPr>
          <w:ilvl w:val="0"/>
          <w:numId w:val="226"/>
        </w:numPr>
        <w:spacing w:after="0"/>
        <w:rPr>
          <w:rFonts w:cs="Times New Roman"/>
        </w:rPr>
      </w:pPr>
      <w:r w:rsidRPr="00404916">
        <w:rPr>
          <w:rFonts w:cs="Times New Roman"/>
        </w:rPr>
        <w:t>CIVD</w:t>
      </w:r>
    </w:p>
    <w:p w:rsidR="00404916" w:rsidRPr="00404916" w:rsidRDefault="00404916" w:rsidP="00E648E3">
      <w:pPr>
        <w:pStyle w:val="Paragraphedeliste"/>
        <w:numPr>
          <w:ilvl w:val="0"/>
          <w:numId w:val="226"/>
        </w:numPr>
        <w:spacing w:after="0"/>
        <w:rPr>
          <w:rFonts w:cs="Times New Roman"/>
        </w:rPr>
      </w:pPr>
      <w:r w:rsidRPr="00404916">
        <w:rPr>
          <w:rFonts w:cs="Times New Roman"/>
        </w:rPr>
        <w:t>Syndrome de HELLP</w:t>
      </w:r>
    </w:p>
    <w:p w:rsidR="00404916" w:rsidRPr="00404916" w:rsidRDefault="00404916" w:rsidP="00E648E3">
      <w:pPr>
        <w:pStyle w:val="Paragraphedeliste"/>
        <w:numPr>
          <w:ilvl w:val="0"/>
          <w:numId w:val="226"/>
        </w:numPr>
        <w:spacing w:after="0"/>
        <w:rPr>
          <w:rFonts w:cs="Times New Roman"/>
        </w:rPr>
      </w:pPr>
      <w:r w:rsidRPr="00404916">
        <w:rPr>
          <w:rFonts w:cs="Times New Roman"/>
        </w:rPr>
        <w:t>AVC hémorragique</w:t>
      </w:r>
    </w:p>
    <w:p w:rsidR="00404916" w:rsidRPr="00404916" w:rsidRDefault="00404916" w:rsidP="00E648E3">
      <w:pPr>
        <w:pStyle w:val="Paragraphedeliste"/>
        <w:numPr>
          <w:ilvl w:val="0"/>
          <w:numId w:val="226"/>
        </w:numPr>
        <w:spacing w:after="0"/>
        <w:rPr>
          <w:rFonts w:cs="Times New Roman"/>
        </w:rPr>
      </w:pPr>
      <w:r w:rsidRPr="00404916">
        <w:rPr>
          <w:rFonts w:cs="Times New Roman"/>
        </w:rPr>
        <w:t>RCIU</w:t>
      </w:r>
    </w:p>
    <w:p w:rsidR="00404916" w:rsidRPr="00404916" w:rsidRDefault="00404916" w:rsidP="00E648E3">
      <w:pPr>
        <w:pStyle w:val="Paragraphedeliste"/>
        <w:numPr>
          <w:ilvl w:val="0"/>
          <w:numId w:val="226"/>
        </w:numPr>
        <w:spacing w:after="0"/>
        <w:rPr>
          <w:rFonts w:cs="Times New Roman"/>
        </w:rPr>
      </w:pPr>
      <w:r w:rsidRPr="00404916">
        <w:rPr>
          <w:rFonts w:cs="Times New Roman"/>
        </w:rPr>
        <w:t>Prématurité</w:t>
      </w:r>
    </w:p>
    <w:p w:rsidR="00404916" w:rsidRPr="00404916" w:rsidRDefault="00404916" w:rsidP="00E648E3">
      <w:pPr>
        <w:pStyle w:val="Paragraphedeliste"/>
        <w:numPr>
          <w:ilvl w:val="0"/>
          <w:numId w:val="226"/>
        </w:numPr>
        <w:spacing w:after="0"/>
        <w:rPr>
          <w:rFonts w:cs="Times New Roman"/>
        </w:rPr>
      </w:pPr>
      <w:r w:rsidRPr="00404916">
        <w:rPr>
          <w:rFonts w:cs="Times New Roman"/>
        </w:rPr>
        <w:t xml:space="preserve">Mort </w:t>
      </w:r>
      <w:r w:rsidRPr="00404916">
        <w:rPr>
          <w:rFonts w:cs="Times New Roman"/>
          <w:i/>
        </w:rPr>
        <w:t>in utero</w:t>
      </w:r>
    </w:p>
    <w:p w:rsidR="00404916" w:rsidRDefault="00404916">
      <w:pPr>
        <w:rPr>
          <w:rFonts w:cs="Times New Roman"/>
        </w:rPr>
      </w:pPr>
    </w:p>
    <w:p w:rsidR="007F7EDD" w:rsidRDefault="007F7EDD">
      <w:pPr>
        <w:rPr>
          <w:rFonts w:cs="Times New Roman"/>
        </w:rPr>
      </w:pPr>
    </w:p>
    <w:tbl>
      <w:tblPr>
        <w:tblStyle w:val="Grilledutableau"/>
        <w:tblW w:w="0" w:type="auto"/>
        <w:tblLook w:val="04A0" w:firstRow="1" w:lastRow="0" w:firstColumn="1" w:lastColumn="0" w:noHBand="0" w:noVBand="1"/>
      </w:tblPr>
      <w:tblGrid>
        <w:gridCol w:w="1526"/>
        <w:gridCol w:w="4111"/>
        <w:gridCol w:w="2835"/>
        <w:gridCol w:w="2126"/>
      </w:tblGrid>
      <w:tr w:rsidR="00E66CF2" w:rsidTr="002A1F06">
        <w:tc>
          <w:tcPr>
            <w:tcW w:w="1526" w:type="dxa"/>
            <w:shd w:val="clear" w:color="auto" w:fill="D99594" w:themeFill="accent2" w:themeFillTint="99"/>
          </w:tcPr>
          <w:p w:rsidR="00E66CF2" w:rsidRPr="00404916" w:rsidRDefault="00E66CF2" w:rsidP="00404916">
            <w:pPr>
              <w:jc w:val="center"/>
              <w:rPr>
                <w:rFonts w:cs="Times New Roman"/>
                <w:b/>
              </w:rPr>
            </w:pPr>
            <w:r w:rsidRPr="00404916">
              <w:rPr>
                <w:rFonts w:cs="Times New Roman"/>
                <w:b/>
              </w:rPr>
              <w:lastRenderedPageBreak/>
              <w:t>Condition</w:t>
            </w:r>
          </w:p>
        </w:tc>
        <w:tc>
          <w:tcPr>
            <w:tcW w:w="4111" w:type="dxa"/>
            <w:shd w:val="clear" w:color="auto" w:fill="D99594" w:themeFill="accent2" w:themeFillTint="99"/>
          </w:tcPr>
          <w:p w:rsidR="00E66CF2" w:rsidRPr="00404916" w:rsidRDefault="00E66CF2" w:rsidP="00404916">
            <w:pPr>
              <w:jc w:val="center"/>
              <w:rPr>
                <w:rFonts w:cs="Times New Roman"/>
                <w:b/>
              </w:rPr>
            </w:pPr>
            <w:r w:rsidRPr="00404916">
              <w:rPr>
                <w:rFonts w:cs="Times New Roman"/>
                <w:b/>
              </w:rPr>
              <w:t>Facteurs de risque</w:t>
            </w:r>
          </w:p>
        </w:tc>
        <w:tc>
          <w:tcPr>
            <w:tcW w:w="2835" w:type="dxa"/>
            <w:shd w:val="clear" w:color="auto" w:fill="D99594" w:themeFill="accent2" w:themeFillTint="99"/>
          </w:tcPr>
          <w:p w:rsidR="00E66CF2" w:rsidRPr="00404916" w:rsidRDefault="00E66CF2" w:rsidP="00404916">
            <w:pPr>
              <w:jc w:val="center"/>
              <w:rPr>
                <w:rFonts w:cs="Times New Roman"/>
                <w:b/>
              </w:rPr>
            </w:pPr>
            <w:r w:rsidRPr="00404916">
              <w:rPr>
                <w:rFonts w:cs="Times New Roman"/>
                <w:b/>
              </w:rPr>
              <w:t>Manifestation cliniques</w:t>
            </w:r>
          </w:p>
        </w:tc>
        <w:tc>
          <w:tcPr>
            <w:tcW w:w="2126" w:type="dxa"/>
            <w:shd w:val="clear" w:color="auto" w:fill="D99594" w:themeFill="accent2" w:themeFillTint="99"/>
          </w:tcPr>
          <w:p w:rsidR="00E66CF2" w:rsidRPr="00404916" w:rsidRDefault="00E66CF2" w:rsidP="00404916">
            <w:pPr>
              <w:jc w:val="center"/>
              <w:rPr>
                <w:rFonts w:cs="Times New Roman"/>
                <w:b/>
              </w:rPr>
            </w:pPr>
            <w:r w:rsidRPr="00404916">
              <w:rPr>
                <w:rFonts w:cs="Times New Roman"/>
                <w:b/>
              </w:rPr>
              <w:t>Laboratoires</w:t>
            </w:r>
          </w:p>
        </w:tc>
      </w:tr>
      <w:tr w:rsidR="00E66CF2" w:rsidTr="00913123">
        <w:tc>
          <w:tcPr>
            <w:tcW w:w="1526" w:type="dxa"/>
          </w:tcPr>
          <w:p w:rsidR="00E66CF2" w:rsidRDefault="00E66CF2">
            <w:pPr>
              <w:rPr>
                <w:rFonts w:cs="Times New Roman"/>
              </w:rPr>
            </w:pPr>
            <w:r>
              <w:rPr>
                <w:rFonts w:cs="Times New Roman"/>
              </w:rPr>
              <w:t>Hypertension préexistante</w:t>
            </w:r>
          </w:p>
        </w:tc>
        <w:tc>
          <w:tcPr>
            <w:tcW w:w="4111" w:type="dxa"/>
          </w:tcPr>
          <w:p w:rsidR="00E66CF2" w:rsidRDefault="00E66CF2">
            <w:pPr>
              <w:rPr>
                <w:rFonts w:cs="Times New Roman"/>
              </w:rPr>
            </w:pPr>
            <w:r>
              <w:rPr>
                <w:rFonts w:cs="Times New Roman"/>
              </w:rPr>
              <w:t xml:space="preserve">Voir </w:t>
            </w:r>
            <w:r w:rsidRPr="00E66CF2">
              <w:rPr>
                <w:rFonts w:cs="Times New Roman"/>
                <w:i/>
              </w:rPr>
              <w:t>Hypertension artérielle CMC 9-1-1</w:t>
            </w:r>
          </w:p>
          <w:p w:rsidR="00E66CF2" w:rsidRDefault="00E66CF2" w:rsidP="00B17036">
            <w:pPr>
              <w:rPr>
                <w:rFonts w:cs="Times New Roman"/>
              </w:rPr>
            </w:pPr>
            <w:r>
              <w:rPr>
                <w:rFonts w:ascii="Century Gothic" w:hAnsi="Century Gothic" w:cs="Times New Roman"/>
              </w:rPr>
              <w:t>↑</w:t>
            </w:r>
            <w:r>
              <w:rPr>
                <w:rFonts w:cs="Times New Roman"/>
              </w:rPr>
              <w:t xml:space="preserve"> </w:t>
            </w:r>
            <w:r w:rsidR="00B17036">
              <w:rPr>
                <w:rFonts w:cs="Times New Roman"/>
              </w:rPr>
              <w:t>risque</w:t>
            </w:r>
            <w:r>
              <w:rPr>
                <w:rFonts w:cs="Times New Roman"/>
              </w:rPr>
              <w:t xml:space="preserve"> de DPPNI, RCIU et mort in utero</w:t>
            </w:r>
          </w:p>
        </w:tc>
        <w:tc>
          <w:tcPr>
            <w:tcW w:w="2835" w:type="dxa"/>
          </w:tcPr>
          <w:p w:rsidR="00E66CF2" w:rsidRPr="00E66CF2" w:rsidRDefault="00E66CF2" w:rsidP="00E66CF2">
            <w:pPr>
              <w:rPr>
                <w:rFonts w:cs="Times New Roman"/>
              </w:rPr>
            </w:pPr>
            <w:r w:rsidRPr="00E66CF2">
              <w:rPr>
                <w:rFonts w:ascii="Century Gothic" w:hAnsi="Century Gothic" w:cs="Times New Roman"/>
              </w:rPr>
              <w:t>&gt;</w:t>
            </w:r>
            <w:r w:rsidRPr="00E66CF2">
              <w:rPr>
                <w:rFonts w:cs="Times New Roman"/>
              </w:rPr>
              <w:t xml:space="preserve">  140/90 avant 20 semaines</w:t>
            </w:r>
          </w:p>
          <w:p w:rsidR="00E66CF2" w:rsidRPr="00E66CF2" w:rsidRDefault="00E66CF2" w:rsidP="00E66CF2">
            <w:pPr>
              <w:rPr>
                <w:rFonts w:cs="Times New Roman"/>
              </w:rPr>
            </w:pPr>
            <w:r w:rsidRPr="00E66CF2">
              <w:rPr>
                <w:rFonts w:cs="Times New Roman"/>
              </w:rPr>
              <w:t xml:space="preserve">Persistance de l’HTA </w:t>
            </w:r>
            <w:r w:rsidRPr="00E66CF2">
              <w:rPr>
                <w:rFonts w:ascii="Century Gothic" w:hAnsi="Century Gothic" w:cs="Times New Roman"/>
              </w:rPr>
              <w:t>&gt;</w:t>
            </w:r>
            <w:r w:rsidRPr="00E66CF2">
              <w:rPr>
                <w:rFonts w:cs="Times New Roman"/>
              </w:rPr>
              <w:t xml:space="preserve"> 7</w:t>
            </w:r>
            <w:r w:rsidR="006F0917">
              <w:rPr>
                <w:rFonts w:cs="Times New Roman"/>
              </w:rPr>
              <w:t>-12</w:t>
            </w:r>
            <w:r w:rsidRPr="00E66CF2">
              <w:rPr>
                <w:rFonts w:cs="Times New Roman"/>
              </w:rPr>
              <w:t xml:space="preserve"> semaines post-partum</w:t>
            </w:r>
          </w:p>
        </w:tc>
        <w:tc>
          <w:tcPr>
            <w:tcW w:w="2126" w:type="dxa"/>
            <w:shd w:val="clear" w:color="auto" w:fill="000000" w:themeFill="text1"/>
          </w:tcPr>
          <w:p w:rsidR="00E66CF2" w:rsidRDefault="00E66CF2">
            <w:pPr>
              <w:rPr>
                <w:rFonts w:cs="Times New Roman"/>
              </w:rPr>
            </w:pPr>
          </w:p>
        </w:tc>
      </w:tr>
      <w:tr w:rsidR="00E66CF2" w:rsidTr="00913123">
        <w:tc>
          <w:tcPr>
            <w:tcW w:w="1526" w:type="dxa"/>
          </w:tcPr>
          <w:p w:rsidR="00E66CF2" w:rsidRDefault="00913123">
            <w:pPr>
              <w:rPr>
                <w:rFonts w:cs="Times New Roman"/>
              </w:rPr>
            </w:pPr>
            <w:r w:rsidRPr="00FD7A70">
              <w:rPr>
                <w:rFonts w:cs="Times New Roman"/>
                <w:noProof/>
                <w:highlight w:val="yellow"/>
                <w:lang w:eastAsia="fr-CA"/>
              </w:rPr>
              <mc:AlternateContent>
                <mc:Choice Requires="wps">
                  <w:drawing>
                    <wp:anchor distT="0" distB="0" distL="114300" distR="114300" simplePos="0" relativeHeight="251724800" behindDoc="0" locked="0" layoutInCell="1" allowOverlap="1" wp14:anchorId="1083A65A" wp14:editId="25918883">
                      <wp:simplePos x="0" y="0"/>
                      <wp:positionH relativeFrom="column">
                        <wp:posOffset>797560</wp:posOffset>
                      </wp:positionH>
                      <wp:positionV relativeFrom="paragraph">
                        <wp:posOffset>540385</wp:posOffset>
                      </wp:positionV>
                      <wp:extent cx="155575" cy="5718810"/>
                      <wp:effectExtent l="19050" t="0" r="15875" b="34290"/>
                      <wp:wrapNone/>
                      <wp:docPr id="56" name="Flèche vers le bas 56"/>
                      <wp:cNvGraphicFramePr/>
                      <a:graphic xmlns:a="http://schemas.openxmlformats.org/drawingml/2006/main">
                        <a:graphicData uri="http://schemas.microsoft.com/office/word/2010/wordprocessingShape">
                          <wps:wsp>
                            <wps:cNvSpPr/>
                            <wps:spPr>
                              <a:xfrm>
                                <a:off x="0" y="0"/>
                                <a:ext cx="155575" cy="571881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Flèche vers le bas 56" o:spid="_x0000_s1026" type="#_x0000_t67" style="position:absolute;margin-left:62.8pt;margin-top:42.55pt;width:12.25pt;height:450.3pt;z-index:2517248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" adj="21306" fillcolor="#4f81bd [3204]" strokecolor="#243f60 [1604]" strokeweight="2pt"/>
                  </w:pict>
                </mc:Fallback>
              </mc:AlternateContent>
            </w:r>
            <w:r w:rsidR="00E66CF2" w:rsidRPr="00FD7A70">
              <w:rPr>
                <w:rFonts w:cs="Times New Roman"/>
                <w:highlight w:val="yellow"/>
              </w:rPr>
              <w:t>Hypertension gestationnelle</w:t>
            </w:r>
          </w:p>
        </w:tc>
        <w:tc>
          <w:tcPr>
            <w:tcW w:w="4111" w:type="dxa"/>
          </w:tcPr>
          <w:p w:rsidR="00E66CF2" w:rsidRPr="00FD7A70" w:rsidRDefault="006B40F2" w:rsidP="00E648E3">
            <w:pPr>
              <w:pStyle w:val="Paragraphedeliste"/>
              <w:numPr>
                <w:ilvl w:val="0"/>
                <w:numId w:val="219"/>
              </w:numPr>
              <w:rPr>
                <w:rFonts w:cs="Times New Roman"/>
                <w:highlight w:val="yellow"/>
              </w:rPr>
            </w:pPr>
            <w:r w:rsidRPr="00FD7A70">
              <w:rPr>
                <w:rFonts w:cs="Times New Roman"/>
                <w:highlight w:val="yellow"/>
              </w:rPr>
              <w:t>P</w:t>
            </w:r>
            <w:r w:rsidR="00B17036" w:rsidRPr="00FD7A70">
              <w:rPr>
                <w:rFonts w:cs="Times New Roman"/>
                <w:highlight w:val="yellow"/>
              </w:rPr>
              <w:t>r</w:t>
            </w:r>
            <w:r w:rsidRPr="00FD7A70">
              <w:rPr>
                <w:rFonts w:cs="Times New Roman"/>
                <w:highlight w:val="yellow"/>
              </w:rPr>
              <w:t>imigravida</w:t>
            </w:r>
          </w:p>
          <w:p w:rsidR="006B40F2" w:rsidRPr="00FD7A70" w:rsidRDefault="006B40F2" w:rsidP="00E648E3">
            <w:pPr>
              <w:pStyle w:val="Paragraphedeliste"/>
              <w:numPr>
                <w:ilvl w:val="0"/>
                <w:numId w:val="219"/>
              </w:numPr>
              <w:rPr>
                <w:rFonts w:cs="Times New Roman"/>
                <w:highlight w:val="yellow"/>
              </w:rPr>
            </w:pPr>
            <w:r w:rsidRPr="00FD7A70">
              <w:rPr>
                <w:rFonts w:cs="Times New Roman"/>
                <w:highlight w:val="yellow"/>
              </w:rPr>
              <w:t>Nouveau partenaire</w:t>
            </w:r>
          </w:p>
          <w:p w:rsidR="006B40F2" w:rsidRPr="00FD7A70" w:rsidRDefault="006B40F2" w:rsidP="00E648E3">
            <w:pPr>
              <w:pStyle w:val="Paragraphedeliste"/>
              <w:numPr>
                <w:ilvl w:val="0"/>
                <w:numId w:val="219"/>
              </w:numPr>
              <w:rPr>
                <w:rFonts w:cs="Times New Roman"/>
                <w:highlight w:val="yellow"/>
              </w:rPr>
            </w:pPr>
            <w:r w:rsidRPr="00FD7A70">
              <w:rPr>
                <w:rFonts w:cs="Times New Roman"/>
                <w:highlight w:val="yellow"/>
              </w:rPr>
              <w:t>ATCD perso</w:t>
            </w:r>
            <w:r w:rsidR="00913123" w:rsidRPr="00FD7A70">
              <w:rPr>
                <w:rFonts w:cs="Times New Roman"/>
                <w:highlight w:val="yellow"/>
              </w:rPr>
              <w:t>/</w:t>
            </w:r>
            <w:r w:rsidRPr="00FD7A70">
              <w:rPr>
                <w:rFonts w:cs="Times New Roman"/>
                <w:highlight w:val="yellow"/>
              </w:rPr>
              <w:t>fam</w:t>
            </w:r>
            <w:r w:rsidR="00B17036" w:rsidRPr="00FD7A70">
              <w:rPr>
                <w:rFonts w:cs="Times New Roman"/>
                <w:highlight w:val="yellow"/>
              </w:rPr>
              <w:t>.</w:t>
            </w:r>
            <w:r w:rsidRPr="00FD7A70">
              <w:rPr>
                <w:rFonts w:cs="Times New Roman"/>
                <w:highlight w:val="yellow"/>
              </w:rPr>
              <w:t xml:space="preserve"> d’HTA gestationnelle</w:t>
            </w:r>
          </w:p>
          <w:p w:rsidR="006B40F2" w:rsidRPr="00FD7A70" w:rsidRDefault="006B40F2" w:rsidP="00E648E3">
            <w:pPr>
              <w:pStyle w:val="Paragraphedeliste"/>
              <w:numPr>
                <w:ilvl w:val="0"/>
                <w:numId w:val="219"/>
              </w:numPr>
              <w:rPr>
                <w:rFonts w:cs="Times New Roman"/>
                <w:highlight w:val="yellow"/>
              </w:rPr>
            </w:pPr>
            <w:r w:rsidRPr="00FD7A70">
              <w:rPr>
                <w:rFonts w:cs="Times New Roman"/>
                <w:highlight w:val="yellow"/>
              </w:rPr>
              <w:t>DM</w:t>
            </w:r>
          </w:p>
          <w:p w:rsidR="006B40F2" w:rsidRPr="00FD7A70" w:rsidRDefault="006B40F2" w:rsidP="00E648E3">
            <w:pPr>
              <w:pStyle w:val="Paragraphedeliste"/>
              <w:numPr>
                <w:ilvl w:val="0"/>
                <w:numId w:val="219"/>
              </w:numPr>
              <w:rPr>
                <w:rFonts w:cs="Times New Roman"/>
                <w:highlight w:val="yellow"/>
              </w:rPr>
            </w:pPr>
            <w:r w:rsidRPr="00FD7A70">
              <w:rPr>
                <w:rFonts w:cs="Times New Roman"/>
                <w:highlight w:val="yellow"/>
              </w:rPr>
              <w:t>IRC</w:t>
            </w:r>
          </w:p>
          <w:p w:rsidR="006B40F2" w:rsidRPr="00FD7A70" w:rsidRDefault="006B40F2" w:rsidP="00E648E3">
            <w:pPr>
              <w:pStyle w:val="Paragraphedeliste"/>
              <w:numPr>
                <w:ilvl w:val="0"/>
                <w:numId w:val="219"/>
              </w:numPr>
              <w:rPr>
                <w:rFonts w:cs="Times New Roman"/>
                <w:highlight w:val="yellow"/>
              </w:rPr>
            </w:pPr>
            <w:r w:rsidRPr="00FD7A70">
              <w:rPr>
                <w:rFonts w:cs="Times New Roman"/>
                <w:highlight w:val="yellow"/>
              </w:rPr>
              <w:t>H</w:t>
            </w:r>
            <w:r w:rsidR="00B17036" w:rsidRPr="00FD7A70">
              <w:rPr>
                <w:rFonts w:cs="Times New Roman"/>
                <w:highlight w:val="yellow"/>
              </w:rPr>
              <w:t>T</w:t>
            </w:r>
            <w:r w:rsidRPr="00FD7A70">
              <w:rPr>
                <w:rFonts w:cs="Times New Roman"/>
                <w:highlight w:val="yellow"/>
              </w:rPr>
              <w:t>A chronique</w:t>
            </w:r>
          </w:p>
          <w:p w:rsidR="00B17036" w:rsidRPr="00FD7A70" w:rsidRDefault="00B17036" w:rsidP="00E648E3">
            <w:pPr>
              <w:pStyle w:val="Paragraphedeliste"/>
              <w:numPr>
                <w:ilvl w:val="0"/>
                <w:numId w:val="219"/>
              </w:numPr>
              <w:rPr>
                <w:rFonts w:cs="Times New Roman"/>
                <w:highlight w:val="yellow"/>
              </w:rPr>
            </w:pPr>
            <w:r w:rsidRPr="00FD7A70">
              <w:rPr>
                <w:rFonts w:cs="Times New Roman"/>
                <w:highlight w:val="yellow"/>
              </w:rPr>
              <w:t>Syndrome antiphospholipide</w:t>
            </w:r>
          </w:p>
          <w:p w:rsidR="006B40F2" w:rsidRPr="00FD7A70" w:rsidRDefault="006B40F2" w:rsidP="00E648E3">
            <w:pPr>
              <w:pStyle w:val="Paragraphedeliste"/>
              <w:numPr>
                <w:ilvl w:val="0"/>
                <w:numId w:val="219"/>
              </w:numPr>
              <w:rPr>
                <w:rFonts w:cs="Times New Roman"/>
                <w:highlight w:val="yellow"/>
              </w:rPr>
            </w:pPr>
            <w:r w:rsidRPr="00FD7A70">
              <w:rPr>
                <w:rFonts w:cs="Times New Roman"/>
                <w:highlight w:val="yellow"/>
              </w:rPr>
              <w:t>18</w:t>
            </w:r>
            <w:r w:rsidR="00B17036" w:rsidRPr="00FD7A70">
              <w:rPr>
                <w:rFonts w:cs="Times New Roman"/>
                <w:highlight w:val="yellow"/>
              </w:rPr>
              <w:t xml:space="preserve">&gt; Âge </w:t>
            </w:r>
            <w:r w:rsidRPr="00FD7A70">
              <w:rPr>
                <w:rFonts w:cs="Times New Roman"/>
                <w:highlight w:val="yellow"/>
              </w:rPr>
              <w:t>&gt;</w:t>
            </w:r>
            <w:r w:rsidR="00B17036" w:rsidRPr="00FD7A70">
              <w:rPr>
                <w:rFonts w:cs="Times New Roman"/>
                <w:highlight w:val="yellow"/>
              </w:rPr>
              <w:t>35</w:t>
            </w:r>
          </w:p>
          <w:p w:rsidR="00B17036" w:rsidRPr="00FD7A70" w:rsidRDefault="00913123" w:rsidP="00E648E3">
            <w:pPr>
              <w:pStyle w:val="Paragraphedeliste"/>
              <w:numPr>
                <w:ilvl w:val="0"/>
                <w:numId w:val="219"/>
              </w:numPr>
              <w:rPr>
                <w:rFonts w:cs="Times New Roman"/>
                <w:highlight w:val="yellow"/>
              </w:rPr>
            </w:pPr>
            <w:r w:rsidRPr="00FD7A70">
              <w:rPr>
                <w:rFonts w:cs="Times New Roman"/>
                <w:highlight w:val="yellow"/>
              </w:rPr>
              <w:t>Fétus avec RCIU ou</w:t>
            </w:r>
            <w:r w:rsidR="00B17036" w:rsidRPr="00FD7A70">
              <w:rPr>
                <w:rFonts w:cs="Times New Roman"/>
                <w:highlight w:val="yellow"/>
              </w:rPr>
              <w:t xml:space="preserve"> oligohydramnios</w:t>
            </w:r>
          </w:p>
          <w:p w:rsidR="00B17036" w:rsidRPr="00FD7A70" w:rsidRDefault="00B17036" w:rsidP="00E648E3">
            <w:pPr>
              <w:pStyle w:val="Paragraphedeliste"/>
              <w:numPr>
                <w:ilvl w:val="0"/>
                <w:numId w:val="219"/>
              </w:numPr>
              <w:rPr>
                <w:rFonts w:cs="Times New Roman"/>
                <w:highlight w:val="yellow"/>
              </w:rPr>
            </w:pPr>
            <w:r w:rsidRPr="00FD7A70">
              <w:rPr>
                <w:rFonts w:cs="Times New Roman"/>
                <w:highlight w:val="yellow"/>
              </w:rPr>
              <w:t>Grossesse gémellaire</w:t>
            </w:r>
          </w:p>
          <w:p w:rsidR="00B17036" w:rsidRPr="00FF044D" w:rsidRDefault="00B17036" w:rsidP="00E648E3">
            <w:pPr>
              <w:pStyle w:val="Paragraphedeliste"/>
              <w:numPr>
                <w:ilvl w:val="0"/>
                <w:numId w:val="219"/>
              </w:numPr>
              <w:rPr>
                <w:rFonts w:cs="Times New Roman"/>
              </w:rPr>
            </w:pPr>
            <w:r w:rsidRPr="00FD7A70">
              <w:rPr>
                <w:rFonts w:cs="Times New Roman"/>
                <w:highlight w:val="yellow"/>
              </w:rPr>
              <w:t xml:space="preserve">ATCD de mort-né ou mort </w:t>
            </w:r>
            <w:r w:rsidRPr="00FD7A70">
              <w:rPr>
                <w:rFonts w:cs="Times New Roman"/>
                <w:i/>
                <w:highlight w:val="yellow"/>
              </w:rPr>
              <w:t>in utero</w:t>
            </w:r>
          </w:p>
        </w:tc>
        <w:tc>
          <w:tcPr>
            <w:tcW w:w="2835" w:type="dxa"/>
          </w:tcPr>
          <w:p w:rsidR="006B40F2" w:rsidRPr="00E66CF2" w:rsidRDefault="006B40F2" w:rsidP="006B40F2">
            <w:pPr>
              <w:rPr>
                <w:rFonts w:cs="Times New Roman"/>
              </w:rPr>
            </w:pPr>
            <w:r w:rsidRPr="00FD7A70">
              <w:rPr>
                <w:rFonts w:ascii="Century Gothic" w:hAnsi="Century Gothic" w:cs="Times New Roman"/>
                <w:highlight w:val="yellow"/>
              </w:rPr>
              <w:t>&gt;</w:t>
            </w:r>
            <w:r w:rsidRPr="00FD7A70">
              <w:rPr>
                <w:rFonts w:cs="Times New Roman"/>
                <w:highlight w:val="yellow"/>
              </w:rPr>
              <w:t xml:space="preserve">  140/90 après 20 semaines chez </w:t>
            </w:r>
            <w:r w:rsidRPr="00FD7A70">
              <w:rPr>
                <w:rFonts w:cs="Times New Roman"/>
                <w:bCs/>
                <w:color w:val="252525"/>
                <w:sz w:val="21"/>
                <w:szCs w:val="21"/>
                <w:highlight w:val="yellow"/>
                <w:shd w:val="clear" w:color="auto" w:fill="FFFFFF"/>
              </w:rPr>
              <w:t>♀</w:t>
            </w:r>
            <w:r w:rsidR="00913123" w:rsidRPr="00FD7A70">
              <w:rPr>
                <w:rFonts w:cs="Times New Roman"/>
                <w:bCs/>
                <w:color w:val="252525"/>
                <w:sz w:val="21"/>
                <w:szCs w:val="21"/>
                <w:highlight w:val="yellow"/>
                <w:shd w:val="clear" w:color="auto" w:fill="FFFFFF"/>
              </w:rPr>
              <w:t xml:space="preserve"> </w:t>
            </w:r>
            <w:r w:rsidRPr="00FD7A70">
              <w:rPr>
                <w:rFonts w:cs="Times New Roman"/>
                <w:bCs/>
                <w:color w:val="252525"/>
                <w:sz w:val="21"/>
                <w:szCs w:val="21"/>
                <w:highlight w:val="yellow"/>
                <w:shd w:val="clear" w:color="auto" w:fill="FFFFFF"/>
              </w:rPr>
              <w:t>sans HTA préalable</w:t>
            </w:r>
          </w:p>
          <w:p w:rsidR="00E66CF2" w:rsidRDefault="00E66CF2">
            <w:pPr>
              <w:rPr>
                <w:rFonts w:cs="Times New Roman"/>
              </w:rPr>
            </w:pPr>
          </w:p>
          <w:p w:rsidR="006F0917" w:rsidRPr="00FF044D" w:rsidRDefault="006F0917" w:rsidP="00FF044D">
            <w:pPr>
              <w:rPr>
                <w:rFonts w:cs="Times New Roman"/>
              </w:rPr>
            </w:pPr>
          </w:p>
        </w:tc>
        <w:tc>
          <w:tcPr>
            <w:tcW w:w="2126" w:type="dxa"/>
            <w:shd w:val="clear" w:color="auto" w:fill="000000" w:themeFill="text1"/>
          </w:tcPr>
          <w:p w:rsidR="00E66CF2" w:rsidRDefault="00E66CF2">
            <w:pPr>
              <w:rPr>
                <w:rFonts w:cs="Times New Roman"/>
              </w:rPr>
            </w:pPr>
          </w:p>
        </w:tc>
      </w:tr>
      <w:tr w:rsidR="00E66CF2" w:rsidRPr="00B17036" w:rsidTr="00B17036">
        <w:tc>
          <w:tcPr>
            <w:tcW w:w="1526" w:type="dxa"/>
          </w:tcPr>
          <w:p w:rsidR="00E66CF2" w:rsidRDefault="00E66CF2">
            <w:pPr>
              <w:rPr>
                <w:rFonts w:cs="Times New Roman"/>
              </w:rPr>
            </w:pPr>
            <w:r w:rsidRPr="00FD7A70">
              <w:rPr>
                <w:rFonts w:cs="Times New Roman"/>
                <w:highlight w:val="yellow"/>
              </w:rPr>
              <w:t>Prééclampsie</w:t>
            </w:r>
          </w:p>
        </w:tc>
        <w:tc>
          <w:tcPr>
            <w:tcW w:w="4111" w:type="dxa"/>
          </w:tcPr>
          <w:p w:rsidR="00C74908" w:rsidRPr="00FF044D" w:rsidRDefault="006F0917" w:rsidP="00E648E3">
            <w:pPr>
              <w:pStyle w:val="Paragraphedeliste"/>
              <w:numPr>
                <w:ilvl w:val="0"/>
                <w:numId w:val="218"/>
              </w:numPr>
              <w:rPr>
                <w:rFonts w:cs="Times New Roman"/>
              </w:rPr>
            </w:pPr>
            <w:r w:rsidRPr="00FF044D">
              <w:rPr>
                <w:rFonts w:cs="Times New Roman"/>
              </w:rPr>
              <w:t>Nulliparité</w:t>
            </w:r>
          </w:p>
          <w:p w:rsidR="006F0917" w:rsidRPr="00FF044D" w:rsidRDefault="006F0917" w:rsidP="00E648E3">
            <w:pPr>
              <w:pStyle w:val="Paragraphedeliste"/>
              <w:numPr>
                <w:ilvl w:val="0"/>
                <w:numId w:val="218"/>
              </w:numPr>
              <w:rPr>
                <w:rFonts w:cs="Times New Roman"/>
              </w:rPr>
            </w:pPr>
            <w:r w:rsidRPr="00FF044D">
              <w:rPr>
                <w:rFonts w:cs="Times New Roman"/>
              </w:rPr>
              <w:t>18&gt; Âge &gt;¸40</w:t>
            </w:r>
          </w:p>
          <w:p w:rsidR="00C74908" w:rsidRPr="00FF044D" w:rsidRDefault="00C74908" w:rsidP="00E648E3">
            <w:pPr>
              <w:pStyle w:val="Paragraphedeliste"/>
              <w:numPr>
                <w:ilvl w:val="0"/>
                <w:numId w:val="218"/>
              </w:numPr>
              <w:rPr>
                <w:rFonts w:cs="Times New Roman"/>
              </w:rPr>
            </w:pPr>
            <w:r w:rsidRPr="00FF044D">
              <w:rPr>
                <w:rFonts w:cs="Times New Roman"/>
              </w:rPr>
              <w:t>IMC élevé</w:t>
            </w:r>
          </w:p>
          <w:p w:rsidR="00C74908" w:rsidRPr="00FF044D" w:rsidRDefault="00C74908" w:rsidP="00E648E3">
            <w:pPr>
              <w:pStyle w:val="Paragraphedeliste"/>
              <w:numPr>
                <w:ilvl w:val="0"/>
                <w:numId w:val="218"/>
              </w:numPr>
              <w:rPr>
                <w:rFonts w:cs="Times New Roman"/>
              </w:rPr>
            </w:pPr>
            <w:r w:rsidRPr="00FF044D">
              <w:rPr>
                <w:rFonts w:cs="Times New Roman"/>
              </w:rPr>
              <w:t>Hydrops fetalis</w:t>
            </w:r>
          </w:p>
          <w:p w:rsidR="00C74908" w:rsidRPr="00FF044D" w:rsidRDefault="00C74908" w:rsidP="00E648E3">
            <w:pPr>
              <w:pStyle w:val="Paragraphedeliste"/>
              <w:numPr>
                <w:ilvl w:val="0"/>
                <w:numId w:val="218"/>
              </w:numPr>
              <w:rPr>
                <w:rFonts w:cs="Times New Roman"/>
              </w:rPr>
            </w:pPr>
            <w:r w:rsidRPr="00FF044D">
              <w:rPr>
                <w:rFonts w:cs="Times New Roman"/>
              </w:rPr>
              <w:t>DPPNI</w:t>
            </w:r>
          </w:p>
          <w:p w:rsidR="00C74908" w:rsidRPr="00FF044D" w:rsidRDefault="00C74908" w:rsidP="00E648E3">
            <w:pPr>
              <w:pStyle w:val="Paragraphedeliste"/>
              <w:numPr>
                <w:ilvl w:val="0"/>
                <w:numId w:val="218"/>
              </w:numPr>
              <w:rPr>
                <w:rFonts w:cs="Times New Roman"/>
              </w:rPr>
            </w:pPr>
            <w:r w:rsidRPr="00FF044D">
              <w:rPr>
                <w:rFonts w:cs="Times New Roman"/>
              </w:rPr>
              <w:t>Maladie du tissu conjonctif ou vasculaire</w:t>
            </w:r>
          </w:p>
          <w:p w:rsidR="006F0917" w:rsidRPr="00FF044D" w:rsidRDefault="00C74908" w:rsidP="00E648E3">
            <w:pPr>
              <w:pStyle w:val="Paragraphedeliste"/>
              <w:numPr>
                <w:ilvl w:val="0"/>
                <w:numId w:val="218"/>
              </w:numPr>
              <w:rPr>
                <w:rFonts w:cs="Times New Roman"/>
              </w:rPr>
            </w:pPr>
            <w:r w:rsidRPr="00FF044D">
              <w:rPr>
                <w:rFonts w:cs="Times New Roman"/>
              </w:rPr>
              <w:t>Voir autres FR d’HTA gestationnelle</w:t>
            </w:r>
          </w:p>
        </w:tc>
        <w:tc>
          <w:tcPr>
            <w:tcW w:w="2835" w:type="dxa"/>
          </w:tcPr>
          <w:p w:rsidR="005738E3" w:rsidRPr="00913123" w:rsidRDefault="00B17036" w:rsidP="00E648E3">
            <w:pPr>
              <w:pStyle w:val="Paragraphedeliste"/>
              <w:numPr>
                <w:ilvl w:val="0"/>
                <w:numId w:val="225"/>
              </w:numPr>
              <w:rPr>
                <w:rFonts w:cs="Times New Roman"/>
                <w:bCs/>
                <w:color w:val="252525"/>
                <w:sz w:val="21"/>
                <w:szCs w:val="21"/>
                <w:shd w:val="clear" w:color="auto" w:fill="FFFFFF"/>
              </w:rPr>
            </w:pPr>
            <w:r w:rsidRPr="00824D55">
              <w:rPr>
                <w:rFonts w:cs="Times New Roman"/>
              </w:rPr>
              <w:t xml:space="preserve">HTA préexistante ou </w:t>
            </w:r>
            <w:r w:rsidRPr="00824D55">
              <w:rPr>
                <w:rFonts w:ascii="Century Gothic" w:hAnsi="Century Gothic" w:cs="Times New Roman"/>
              </w:rPr>
              <w:t>&gt;</w:t>
            </w:r>
            <w:r w:rsidRPr="00824D55">
              <w:rPr>
                <w:rFonts w:cs="Times New Roman"/>
              </w:rPr>
              <w:t xml:space="preserve">  140/90 après 20 semaines chez </w:t>
            </w:r>
            <w:r w:rsidRPr="00824D55">
              <w:rPr>
                <w:rFonts w:cs="Times New Roman"/>
                <w:bCs/>
                <w:color w:val="252525"/>
                <w:sz w:val="21"/>
                <w:szCs w:val="21"/>
                <w:shd w:val="clear" w:color="auto" w:fill="FFFFFF"/>
              </w:rPr>
              <w:t>♀sans HTA préalable</w:t>
            </w:r>
          </w:p>
          <w:p w:rsidR="00E66CF2" w:rsidRPr="005738E3" w:rsidRDefault="00B17036" w:rsidP="00824D55">
            <w:pPr>
              <w:jc w:val="center"/>
              <w:rPr>
                <w:rFonts w:cs="Times New Roman"/>
                <w:u w:val="single"/>
              </w:rPr>
            </w:pPr>
            <w:r w:rsidRPr="00824D55">
              <w:rPr>
                <w:rFonts w:cs="Times New Roman"/>
                <w:highlight w:val="yellow"/>
                <w:u w:val="single"/>
              </w:rPr>
              <w:t>+ protéinurie</w:t>
            </w:r>
          </w:p>
          <w:p w:rsidR="006F0917" w:rsidRDefault="006F0917">
            <w:pPr>
              <w:rPr>
                <w:rFonts w:cs="Times New Roman"/>
              </w:rPr>
            </w:pPr>
          </w:p>
          <w:p w:rsidR="006F0917" w:rsidRDefault="005738E3">
            <w:pPr>
              <w:rPr>
                <w:rFonts w:cs="Times New Roman"/>
              </w:rPr>
            </w:pPr>
            <w:r>
              <w:rPr>
                <w:rFonts w:cs="Times New Roman"/>
              </w:rPr>
              <w:t>Surt</w:t>
            </w:r>
            <w:r w:rsidR="006F0917">
              <w:rPr>
                <w:rFonts w:cs="Times New Roman"/>
              </w:rPr>
              <w:t>out au 3</w:t>
            </w:r>
            <w:r w:rsidR="006F0917" w:rsidRPr="006F0917">
              <w:rPr>
                <w:rFonts w:cs="Times New Roman"/>
                <w:vertAlign w:val="superscript"/>
              </w:rPr>
              <w:t>e</w:t>
            </w:r>
            <w:r w:rsidR="006F0917">
              <w:rPr>
                <w:rFonts w:cs="Times New Roman"/>
              </w:rPr>
              <w:t xml:space="preserve"> trimestre</w:t>
            </w:r>
          </w:p>
          <w:p w:rsidR="00FF044D" w:rsidRDefault="00FF044D">
            <w:pPr>
              <w:rPr>
                <w:rFonts w:cs="Times New Roman"/>
              </w:rPr>
            </w:pPr>
          </w:p>
          <w:p w:rsidR="00FF044D" w:rsidRPr="00737075" w:rsidRDefault="00FF044D" w:rsidP="00FF044D">
            <w:pPr>
              <w:rPr>
                <w:rFonts w:cs="Times New Roman"/>
                <w:highlight w:val="yellow"/>
                <w:u w:val="single"/>
              </w:rPr>
            </w:pPr>
            <w:r w:rsidRPr="00737075">
              <w:rPr>
                <w:rFonts w:cs="Times New Roman"/>
                <w:highlight w:val="yellow"/>
                <w:u w:val="single"/>
              </w:rPr>
              <w:t xml:space="preserve">Rechercher les symptômes </w:t>
            </w:r>
            <w:r>
              <w:rPr>
                <w:rFonts w:cs="Times New Roman"/>
                <w:highlight w:val="yellow"/>
                <w:u w:val="single"/>
              </w:rPr>
              <w:t>de sévérité</w:t>
            </w:r>
            <w:r w:rsidRPr="00737075">
              <w:rPr>
                <w:rFonts w:cs="Times New Roman"/>
                <w:highlight w:val="yellow"/>
                <w:u w:val="single"/>
              </w:rPr>
              <w:t xml:space="preserve"> suivants :</w:t>
            </w:r>
          </w:p>
          <w:p w:rsidR="00FF044D" w:rsidRPr="00737075" w:rsidRDefault="00FF044D" w:rsidP="00E648E3">
            <w:pPr>
              <w:pStyle w:val="Paragraphedeliste"/>
              <w:numPr>
                <w:ilvl w:val="0"/>
                <w:numId w:val="217"/>
              </w:numPr>
              <w:rPr>
                <w:rFonts w:cs="Times New Roman"/>
                <w:highlight w:val="yellow"/>
              </w:rPr>
            </w:pPr>
            <w:r w:rsidRPr="00737075">
              <w:rPr>
                <w:rFonts w:cs="Times New Roman"/>
                <w:highlight w:val="yellow"/>
              </w:rPr>
              <w:t>Douleur QSD/épigastre</w:t>
            </w:r>
          </w:p>
          <w:p w:rsidR="00FF044D" w:rsidRPr="00737075" w:rsidRDefault="00FF044D" w:rsidP="00E648E3">
            <w:pPr>
              <w:pStyle w:val="Paragraphedeliste"/>
              <w:numPr>
                <w:ilvl w:val="0"/>
                <w:numId w:val="217"/>
              </w:numPr>
              <w:rPr>
                <w:rFonts w:cs="Times New Roman"/>
                <w:highlight w:val="yellow"/>
              </w:rPr>
            </w:pPr>
            <w:r w:rsidRPr="00737075">
              <w:rPr>
                <w:rFonts w:cs="Times New Roman"/>
                <w:highlight w:val="yellow"/>
              </w:rPr>
              <w:t>Céphalée</w:t>
            </w:r>
          </w:p>
          <w:p w:rsidR="00FF044D" w:rsidRDefault="00FF044D" w:rsidP="00E648E3">
            <w:pPr>
              <w:pStyle w:val="Paragraphedeliste"/>
              <w:numPr>
                <w:ilvl w:val="0"/>
                <w:numId w:val="217"/>
              </w:numPr>
              <w:rPr>
                <w:rFonts w:cs="Times New Roman"/>
                <w:highlight w:val="yellow"/>
              </w:rPr>
            </w:pPr>
            <w:r w:rsidRPr="00737075">
              <w:rPr>
                <w:rFonts w:cs="Times New Roman"/>
                <w:highlight w:val="yellow"/>
              </w:rPr>
              <w:t>Trouble visuel (flou)</w:t>
            </w:r>
          </w:p>
          <w:p w:rsidR="00FF044D" w:rsidRDefault="00FF044D" w:rsidP="00E648E3">
            <w:pPr>
              <w:pStyle w:val="Paragraphedeliste"/>
              <w:numPr>
                <w:ilvl w:val="0"/>
                <w:numId w:val="217"/>
              </w:numPr>
              <w:rPr>
                <w:rFonts w:cs="Times New Roman"/>
                <w:highlight w:val="yellow"/>
              </w:rPr>
            </w:pPr>
            <w:r>
              <w:rPr>
                <w:rFonts w:cs="Times New Roman"/>
                <w:highlight w:val="yellow"/>
              </w:rPr>
              <w:t>Photophobie</w:t>
            </w:r>
          </w:p>
          <w:p w:rsidR="00FF044D" w:rsidRPr="00053487" w:rsidRDefault="004422C3" w:rsidP="00E648E3">
            <w:pPr>
              <w:pStyle w:val="Paragraphedeliste"/>
              <w:numPr>
                <w:ilvl w:val="0"/>
                <w:numId w:val="217"/>
              </w:numPr>
              <w:rPr>
                <w:rFonts w:cs="Times New Roman"/>
                <w:highlight w:val="yellow"/>
              </w:rPr>
            </w:pPr>
            <w:r>
              <w:rPr>
                <w:rFonts w:cs="Times New Roman"/>
                <w:highlight w:val="yellow"/>
              </w:rPr>
              <w:t>Œdème</w:t>
            </w:r>
          </w:p>
          <w:p w:rsidR="00FF044D" w:rsidRPr="00737075" w:rsidRDefault="00FF044D" w:rsidP="00E648E3">
            <w:pPr>
              <w:pStyle w:val="Paragraphedeliste"/>
              <w:numPr>
                <w:ilvl w:val="0"/>
                <w:numId w:val="217"/>
              </w:numPr>
              <w:rPr>
                <w:rFonts w:cs="Times New Roman"/>
                <w:highlight w:val="yellow"/>
              </w:rPr>
            </w:pPr>
            <w:r w:rsidRPr="00737075">
              <w:rPr>
                <w:rFonts w:cs="Times New Roman"/>
                <w:highlight w:val="yellow"/>
              </w:rPr>
              <w:t>Tremblements</w:t>
            </w:r>
          </w:p>
          <w:p w:rsidR="00FF044D" w:rsidRDefault="00FF044D" w:rsidP="00E648E3">
            <w:pPr>
              <w:pStyle w:val="Paragraphedeliste"/>
              <w:numPr>
                <w:ilvl w:val="0"/>
                <w:numId w:val="217"/>
              </w:numPr>
              <w:rPr>
                <w:rFonts w:cs="Times New Roman"/>
              </w:rPr>
            </w:pPr>
            <w:r w:rsidRPr="00737075">
              <w:rPr>
                <w:rFonts w:cs="Times New Roman"/>
                <w:highlight w:val="yellow"/>
              </w:rPr>
              <w:t>Irritabilités</w:t>
            </w:r>
          </w:p>
          <w:p w:rsidR="00FF044D" w:rsidRPr="00FF044D" w:rsidRDefault="00FF044D" w:rsidP="00E648E3">
            <w:pPr>
              <w:pStyle w:val="Paragraphedeliste"/>
              <w:numPr>
                <w:ilvl w:val="0"/>
                <w:numId w:val="217"/>
              </w:numPr>
              <w:rPr>
                <w:rFonts w:cs="Times New Roman"/>
              </w:rPr>
            </w:pPr>
            <w:r w:rsidRPr="00FF044D">
              <w:rPr>
                <w:rFonts w:cs="Times New Roman"/>
                <w:highlight w:val="yellow"/>
              </w:rPr>
              <w:t>TA</w:t>
            </w:r>
            <w:r w:rsidRPr="00FF044D">
              <w:rPr>
                <w:rFonts w:ascii="Century Gothic" w:hAnsi="Century Gothic" w:cs="Times New Roman"/>
                <w:highlight w:val="yellow"/>
              </w:rPr>
              <w:t>&gt;</w:t>
            </w:r>
            <w:r w:rsidRPr="00FF044D">
              <w:rPr>
                <w:rFonts w:cs="Times New Roman"/>
                <w:highlight w:val="yellow"/>
              </w:rPr>
              <w:t>160/110</w:t>
            </w:r>
          </w:p>
        </w:tc>
        <w:tc>
          <w:tcPr>
            <w:tcW w:w="2126" w:type="dxa"/>
          </w:tcPr>
          <w:p w:rsidR="006F0917" w:rsidRPr="006F0917" w:rsidRDefault="006F0917" w:rsidP="00E648E3">
            <w:pPr>
              <w:pStyle w:val="Paragraphedeliste"/>
              <w:numPr>
                <w:ilvl w:val="0"/>
                <w:numId w:val="224"/>
              </w:numPr>
              <w:ind w:left="360"/>
              <w:rPr>
                <w:rFonts w:cs="Times New Roman"/>
                <w:color w:val="000000"/>
                <w:shd w:val="clear" w:color="auto" w:fill="FFFFFF"/>
              </w:rPr>
            </w:pPr>
            <w:r w:rsidRPr="006F0917">
              <w:rPr>
                <w:rFonts w:cs="Times New Roman"/>
                <w:color w:val="000000"/>
                <w:shd w:val="clear" w:color="auto" w:fill="FFFFFF"/>
              </w:rPr>
              <w:t xml:space="preserve">Collecte 24h ou SMU aléatoire </w:t>
            </w:r>
            <w:r w:rsidRPr="006F0917">
              <w:rPr>
                <w:rFonts w:ascii="Century Gothic" w:hAnsi="Century Gothic" w:cs="Times New Roman"/>
                <w:color w:val="000000"/>
                <w:shd w:val="clear" w:color="auto" w:fill="FFFFFF"/>
              </w:rPr>
              <w:t>&gt;</w:t>
            </w:r>
            <w:r w:rsidRPr="006F0917">
              <w:rPr>
                <w:rFonts w:cs="Times New Roman"/>
                <w:color w:val="000000"/>
                <w:shd w:val="clear" w:color="auto" w:fill="FFFFFF"/>
              </w:rPr>
              <w:t xml:space="preserve"> 300 mg de protéines</w:t>
            </w:r>
          </w:p>
          <w:p w:rsidR="006F0917" w:rsidRDefault="006F0917" w:rsidP="00824D55">
            <w:pPr>
              <w:rPr>
                <w:rFonts w:cs="Times New Roman"/>
                <w:color w:val="000000"/>
                <w:shd w:val="clear" w:color="auto" w:fill="FFFFFF"/>
              </w:rPr>
            </w:pPr>
          </w:p>
          <w:p w:rsidR="00B17036" w:rsidRPr="005738E3" w:rsidRDefault="00B17036" w:rsidP="00E648E3">
            <w:pPr>
              <w:pStyle w:val="Paragraphedeliste"/>
              <w:numPr>
                <w:ilvl w:val="0"/>
                <w:numId w:val="224"/>
              </w:numPr>
              <w:ind w:left="360"/>
              <w:rPr>
                <w:rFonts w:cs="Times New Roman"/>
                <w:color w:val="000000"/>
                <w:shd w:val="clear" w:color="auto" w:fill="FFFFFF"/>
              </w:rPr>
            </w:pPr>
            <w:r w:rsidRPr="006F0917">
              <w:rPr>
                <w:rFonts w:cs="Times New Roman"/>
                <w:color w:val="000000"/>
                <w:shd w:val="clear" w:color="auto" w:fill="FFFFFF"/>
              </w:rPr>
              <w:t>Ratio prot./créat. urinaire &gt;</w:t>
            </w:r>
            <w:r w:rsidR="005738E3">
              <w:rPr>
                <w:rFonts w:cs="Times New Roman"/>
                <w:color w:val="000000"/>
                <w:shd w:val="clear" w:color="auto" w:fill="FFFFFF"/>
              </w:rPr>
              <w:t xml:space="preserve"> 0,7 </w:t>
            </w:r>
          </w:p>
        </w:tc>
      </w:tr>
      <w:tr w:rsidR="00660DBE" w:rsidTr="00F56BB8">
        <w:tc>
          <w:tcPr>
            <w:tcW w:w="1526" w:type="dxa"/>
          </w:tcPr>
          <w:p w:rsidR="00660DBE" w:rsidRDefault="00660DBE">
            <w:pPr>
              <w:rPr>
                <w:rFonts w:cs="Times New Roman"/>
              </w:rPr>
            </w:pPr>
            <w:r>
              <w:rPr>
                <w:rFonts w:cs="Times New Roman"/>
              </w:rPr>
              <w:t>Syndrome de HELLP</w:t>
            </w:r>
          </w:p>
        </w:tc>
        <w:tc>
          <w:tcPr>
            <w:tcW w:w="6946" w:type="dxa"/>
            <w:gridSpan w:val="2"/>
          </w:tcPr>
          <w:p w:rsidR="00660DBE" w:rsidRDefault="00660DBE">
            <w:pPr>
              <w:rPr>
                <w:rFonts w:cs="Times New Roman"/>
              </w:rPr>
            </w:pPr>
            <w:r>
              <w:rPr>
                <w:rFonts w:cs="Times New Roman"/>
              </w:rPr>
              <w:t>Signe de sévérité de la prééclampsie</w:t>
            </w:r>
          </w:p>
        </w:tc>
        <w:tc>
          <w:tcPr>
            <w:tcW w:w="2126" w:type="dxa"/>
          </w:tcPr>
          <w:p w:rsidR="00660DBE" w:rsidRDefault="00660DBE">
            <w:pPr>
              <w:rPr>
                <w:rFonts w:cs="Times New Roman"/>
              </w:rPr>
            </w:pPr>
            <w:r>
              <w:rPr>
                <w:rFonts w:ascii="Century Gothic" w:hAnsi="Century Gothic" w:cs="Times New Roman"/>
              </w:rPr>
              <w:t>↑</w:t>
            </w:r>
            <w:r>
              <w:rPr>
                <w:rFonts w:cs="Times New Roman"/>
              </w:rPr>
              <w:t xml:space="preserve"> LDH</w:t>
            </w:r>
          </w:p>
          <w:p w:rsidR="00660DBE" w:rsidRDefault="00660DBE">
            <w:pPr>
              <w:rPr>
                <w:rFonts w:cs="Times New Roman"/>
              </w:rPr>
            </w:pPr>
            <w:r>
              <w:rPr>
                <w:rFonts w:ascii="Century Gothic" w:hAnsi="Century Gothic" w:cs="Times New Roman"/>
              </w:rPr>
              <w:t>↑</w:t>
            </w:r>
            <w:r>
              <w:rPr>
                <w:rFonts w:cs="Times New Roman"/>
              </w:rPr>
              <w:t xml:space="preserve"> AST/ALT</w:t>
            </w:r>
          </w:p>
          <w:p w:rsidR="00660DBE" w:rsidRDefault="00660DBE">
            <w:pPr>
              <w:rPr>
                <w:rFonts w:cs="Times New Roman"/>
              </w:rPr>
            </w:pPr>
            <w:r>
              <w:rPr>
                <w:rFonts w:cs="Times New Roman"/>
              </w:rPr>
              <w:t xml:space="preserve">Plaquettes </w:t>
            </w:r>
            <w:r>
              <w:rPr>
                <w:rFonts w:ascii="Century Gothic" w:hAnsi="Century Gothic" w:cs="Times New Roman"/>
              </w:rPr>
              <w:t>&lt;</w:t>
            </w:r>
            <w:r w:rsidR="00FF044D">
              <w:rPr>
                <w:rFonts w:cs="Times New Roman"/>
              </w:rPr>
              <w:t xml:space="preserve"> 100</w:t>
            </w:r>
          </w:p>
        </w:tc>
      </w:tr>
      <w:tr w:rsidR="00E66CF2" w:rsidTr="00B17036">
        <w:tc>
          <w:tcPr>
            <w:tcW w:w="1526" w:type="dxa"/>
          </w:tcPr>
          <w:p w:rsidR="00E66CF2" w:rsidRDefault="00E66CF2">
            <w:pPr>
              <w:rPr>
                <w:rFonts w:cs="Times New Roman"/>
              </w:rPr>
            </w:pPr>
            <w:r w:rsidRPr="00FD7A70">
              <w:rPr>
                <w:rFonts w:cs="Times New Roman"/>
                <w:highlight w:val="yellow"/>
              </w:rPr>
              <w:t>Éclampsie</w:t>
            </w:r>
          </w:p>
        </w:tc>
        <w:tc>
          <w:tcPr>
            <w:tcW w:w="4111" w:type="dxa"/>
          </w:tcPr>
          <w:p w:rsidR="00E66CF2" w:rsidRDefault="00FF044D">
            <w:pPr>
              <w:rPr>
                <w:rFonts w:cs="Times New Roman"/>
              </w:rPr>
            </w:pPr>
            <w:r>
              <w:rPr>
                <w:rFonts w:cs="Times New Roman"/>
              </w:rPr>
              <w:t>Voir FR de prééclampsie</w:t>
            </w:r>
          </w:p>
        </w:tc>
        <w:tc>
          <w:tcPr>
            <w:tcW w:w="2835" w:type="dxa"/>
          </w:tcPr>
          <w:p w:rsidR="00E66CF2" w:rsidRPr="00FF044D" w:rsidRDefault="006F0917" w:rsidP="00E648E3">
            <w:pPr>
              <w:pStyle w:val="Paragraphedeliste"/>
              <w:numPr>
                <w:ilvl w:val="0"/>
                <w:numId w:val="222"/>
              </w:numPr>
              <w:rPr>
                <w:rFonts w:cs="Times New Roman"/>
              </w:rPr>
            </w:pPr>
            <w:r w:rsidRPr="00FF044D">
              <w:rPr>
                <w:rFonts w:cs="Times New Roman"/>
              </w:rPr>
              <w:t>Prééclampsie + convulsions</w:t>
            </w:r>
          </w:p>
          <w:p w:rsidR="006F0917" w:rsidRPr="00FF044D" w:rsidRDefault="00FF044D" w:rsidP="00E648E3">
            <w:pPr>
              <w:pStyle w:val="Paragraphedeliste"/>
              <w:numPr>
                <w:ilvl w:val="0"/>
                <w:numId w:val="220"/>
              </w:numPr>
              <w:rPr>
                <w:rFonts w:cs="Times New Roman"/>
              </w:rPr>
            </w:pPr>
            <w:r w:rsidRPr="00FF044D">
              <w:rPr>
                <w:rFonts w:cs="Times New Roman"/>
              </w:rPr>
              <w:t>Généralement tonico-clonique</w:t>
            </w:r>
          </w:p>
          <w:p w:rsidR="00FF044D" w:rsidRPr="00FF044D" w:rsidRDefault="00FF044D" w:rsidP="00E648E3">
            <w:pPr>
              <w:pStyle w:val="Paragraphedeliste"/>
              <w:numPr>
                <w:ilvl w:val="0"/>
                <w:numId w:val="220"/>
              </w:numPr>
              <w:rPr>
                <w:rFonts w:cs="Times New Roman"/>
              </w:rPr>
            </w:pPr>
            <w:r w:rsidRPr="00FF044D">
              <w:rPr>
                <w:rFonts w:cs="Times New Roman"/>
              </w:rPr>
              <w:t>~60-75s</w:t>
            </w:r>
          </w:p>
          <w:p w:rsidR="00FF044D" w:rsidRPr="00F13545" w:rsidRDefault="00FF044D" w:rsidP="00E648E3">
            <w:pPr>
              <w:pStyle w:val="Paragraphedeliste"/>
              <w:numPr>
                <w:ilvl w:val="0"/>
                <w:numId w:val="221"/>
              </w:numPr>
              <w:rPr>
                <w:rFonts w:cs="Times New Roman"/>
                <w:highlight w:val="yellow"/>
              </w:rPr>
            </w:pPr>
            <w:r w:rsidRPr="00F13545">
              <w:rPr>
                <w:rFonts w:cs="Times New Roman"/>
                <w:highlight w:val="yellow"/>
              </w:rPr>
              <w:t>Hyperréflexie</w:t>
            </w:r>
          </w:p>
          <w:p w:rsidR="006F0917" w:rsidRPr="00FF044D" w:rsidRDefault="006F0917" w:rsidP="00E648E3">
            <w:pPr>
              <w:pStyle w:val="Paragraphedeliste"/>
              <w:numPr>
                <w:ilvl w:val="0"/>
                <w:numId w:val="221"/>
              </w:numPr>
              <w:rPr>
                <w:rFonts w:cs="Times New Roman"/>
              </w:rPr>
            </w:pPr>
            <w:r w:rsidRPr="00FF044D">
              <w:rPr>
                <w:rFonts w:cs="Times New Roman"/>
              </w:rPr>
              <w:t>Surtout au 3</w:t>
            </w:r>
            <w:r w:rsidRPr="00FF044D">
              <w:rPr>
                <w:rFonts w:cs="Times New Roman"/>
                <w:vertAlign w:val="superscript"/>
              </w:rPr>
              <w:t>e</w:t>
            </w:r>
            <w:r w:rsidRPr="00FF044D">
              <w:rPr>
                <w:rFonts w:cs="Times New Roman"/>
              </w:rPr>
              <w:t xml:space="preserve"> trimestre</w:t>
            </w:r>
          </w:p>
        </w:tc>
        <w:tc>
          <w:tcPr>
            <w:tcW w:w="2126" w:type="dxa"/>
          </w:tcPr>
          <w:p w:rsidR="00E66CF2" w:rsidRPr="00824D55" w:rsidRDefault="00824D55" w:rsidP="00E648E3">
            <w:pPr>
              <w:pStyle w:val="Paragraphedeliste"/>
              <w:numPr>
                <w:ilvl w:val="0"/>
                <w:numId w:val="223"/>
              </w:numPr>
              <w:rPr>
                <w:rFonts w:cs="Times New Roman"/>
              </w:rPr>
            </w:pPr>
            <w:r w:rsidRPr="00824D55">
              <w:rPr>
                <w:rFonts w:cs="Times New Roman"/>
              </w:rPr>
              <w:t>Idem que prééclampsie</w:t>
            </w:r>
          </w:p>
        </w:tc>
      </w:tr>
    </w:tbl>
    <w:p w:rsidR="00E66CF2" w:rsidRPr="00FC650B" w:rsidRDefault="00913123">
      <w:pPr>
        <w:rPr>
          <w:rFonts w:cs="Times New Roman"/>
        </w:rPr>
      </w:pPr>
      <w:r>
        <w:rPr>
          <w:noProof/>
          <w:lang w:eastAsia="fr-CA"/>
        </w:rPr>
        <w:drawing>
          <wp:anchor distT="0" distB="0" distL="114300" distR="114300" simplePos="0" relativeHeight="251726848" behindDoc="0" locked="0" layoutInCell="1" allowOverlap="1" wp14:anchorId="4794251F" wp14:editId="1960F426">
            <wp:simplePos x="0" y="0"/>
            <wp:positionH relativeFrom="column">
              <wp:posOffset>1857821</wp:posOffset>
            </wp:positionH>
            <wp:positionV relativeFrom="paragraph">
              <wp:posOffset>60960</wp:posOffset>
            </wp:positionV>
            <wp:extent cx="3044190" cy="1867535"/>
            <wp:effectExtent l="0" t="0" r="3810" b="0"/>
            <wp:wrapNone/>
            <wp:docPr id="58" name="Image 58" descr="Résultats de recherche d'images pour « hypertension artériel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Résultats de recherche d'images pour « hypertension artérielle »"/>
                    <pic:cNvPicPr>
                      <a:picLocks noChangeAspect="1" noChangeArrowheads="1"/>
                    </pic:cNvPicPr>
                  </pic:nvPicPr>
                  <pic:blipFill rotWithShape="1">
                    <a:blip r:embed="rId46">
                      <a:extLst>
                        <a:ext uri="{28A0092B-C50C-407E-A947-70E740481C1C}">
                          <a14:useLocalDpi xmlns:a14="http://schemas.microsoft.com/office/drawing/2010/main" val="0"/>
                        </a:ext>
                      </a:extLst>
                    </a:blip>
                    <a:srcRect t="8937" b="9360"/>
                    <a:stretch/>
                  </pic:blipFill>
                  <pic:spPr bwMode="auto">
                    <a:xfrm>
                      <a:off x="0" y="0"/>
                      <a:ext cx="3044190" cy="186753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404916" w:rsidRDefault="00404916">
      <w:pPr>
        <w:rPr>
          <w:rFonts w:cs="Times New Roman"/>
        </w:rPr>
      </w:pPr>
    </w:p>
    <w:p w:rsidR="00404916" w:rsidRDefault="00404916">
      <w:pPr>
        <w:rPr>
          <w:rFonts w:cs="Times New Roman"/>
        </w:rPr>
      </w:pPr>
    </w:p>
    <w:p w:rsidR="00404916" w:rsidRDefault="00404916">
      <w:pPr>
        <w:rPr>
          <w:rFonts w:cs="Times New Roman"/>
        </w:rPr>
      </w:pPr>
    </w:p>
    <w:p w:rsidR="00913123" w:rsidRDefault="00913123">
      <w:pPr>
        <w:rPr>
          <w:rFonts w:cs="Times New Roman"/>
        </w:rPr>
      </w:pPr>
    </w:p>
    <w:p w:rsidR="00FC650B" w:rsidRPr="00FC650B" w:rsidRDefault="00FC650B">
      <w:pPr>
        <w:rPr>
          <w:rFonts w:cs="Times New Roman"/>
        </w:rPr>
      </w:pPr>
      <w:r w:rsidRPr="00FC650B">
        <w:rPr>
          <w:rFonts w:cs="Times New Roman"/>
        </w:rPr>
        <w:lastRenderedPageBreak/>
        <w:t>Traitement, déclenchement, référence en gynécologie,</w:t>
      </w:r>
    </w:p>
    <w:p w:rsidR="00C6708E" w:rsidRDefault="00C6708E" w:rsidP="00C6708E">
      <w:pPr>
        <w:rPr>
          <w:rFonts w:cs="Times New Roman"/>
        </w:rPr>
      </w:pPr>
      <w:r w:rsidRPr="00121AD6">
        <w:rPr>
          <w:rFonts w:cs="Times New Roman"/>
          <w:b/>
          <w:color w:val="000000" w:themeColor="text1"/>
        </w:rPr>
        <w:t>Hypertension préexistante</w:t>
      </w:r>
      <w:r w:rsidRPr="00556E7A">
        <w:rPr>
          <w:rFonts w:cs="Times New Roman"/>
          <w:color w:val="000000" w:themeColor="text1"/>
        </w:rPr>
        <w:t xml:space="preserve"> </w:t>
      </w:r>
      <w:r w:rsidRPr="00556E7A">
        <w:rPr>
          <w:rFonts w:ascii="Century Gothic" w:hAnsi="Century Gothic" w:cs="Times New Roman"/>
          <w:color w:val="000000" w:themeColor="text1"/>
        </w:rPr>
        <w:t>→</w:t>
      </w:r>
      <w:r w:rsidRPr="00556E7A">
        <w:rPr>
          <w:rFonts w:ascii="Century Gothic" w:hAnsi="Century Gothic" w:cs="Times New Roman"/>
          <w:b/>
          <w:color w:val="000000" w:themeColor="text1"/>
        </w:rPr>
        <w:t xml:space="preserve"> </w:t>
      </w:r>
      <w:r>
        <w:rPr>
          <w:rFonts w:cs="Times New Roman"/>
        </w:rPr>
        <w:t xml:space="preserve">Voir </w:t>
      </w:r>
      <w:r w:rsidRPr="00E66CF2">
        <w:rPr>
          <w:rFonts w:cs="Times New Roman"/>
          <w:i/>
        </w:rPr>
        <w:t xml:space="preserve">Hypertension artérielle </w:t>
      </w:r>
      <w:r>
        <w:rPr>
          <w:rFonts w:cs="Times New Roman"/>
          <w:i/>
        </w:rPr>
        <w:t>(</w:t>
      </w:r>
      <w:r w:rsidRPr="00E66CF2">
        <w:rPr>
          <w:rFonts w:cs="Times New Roman"/>
          <w:i/>
        </w:rPr>
        <w:t>CMC 9-1-1</w:t>
      </w:r>
      <w:r w:rsidR="007657C9" w:rsidRPr="007657C9">
        <w:rPr>
          <w:rFonts w:cs="Times New Roman"/>
        </w:rPr>
        <w:t>, durant la grossesse,</w:t>
      </w:r>
      <w:r w:rsidR="007657C9">
        <w:rPr>
          <w:rFonts w:cs="Times New Roman"/>
          <w:i/>
        </w:rPr>
        <w:t xml:space="preserve"> voir ci-bas</w:t>
      </w:r>
    </w:p>
    <w:p w:rsidR="00FC650B" w:rsidRPr="00121AD6" w:rsidRDefault="00383AF6">
      <w:pPr>
        <w:rPr>
          <w:rFonts w:cs="Times New Roman"/>
          <w:b/>
          <w:color w:val="000000" w:themeColor="text1"/>
        </w:rPr>
      </w:pPr>
      <w:r w:rsidRPr="00121AD6">
        <w:rPr>
          <w:rFonts w:cs="Times New Roman"/>
          <w:b/>
          <w:color w:val="000000" w:themeColor="text1"/>
        </w:rPr>
        <w:t xml:space="preserve">Hypertension gestationnelle </w:t>
      </w:r>
    </w:p>
    <w:p w:rsidR="00383AF6" w:rsidRPr="007657C9" w:rsidRDefault="00383AF6" w:rsidP="00E648E3">
      <w:pPr>
        <w:pStyle w:val="Paragraphedeliste"/>
        <w:numPr>
          <w:ilvl w:val="0"/>
          <w:numId w:val="227"/>
        </w:numPr>
        <w:spacing w:after="0"/>
        <w:rPr>
          <w:rFonts w:cs="Times New Roman"/>
          <w:color w:val="000000" w:themeColor="text1"/>
        </w:rPr>
      </w:pPr>
      <w:r w:rsidRPr="007657C9">
        <w:rPr>
          <w:rFonts w:cs="Times New Roman"/>
          <w:color w:val="000000" w:themeColor="text1"/>
        </w:rPr>
        <w:t>Cible</w:t>
      </w:r>
      <w:r w:rsidR="00121AD6" w:rsidRPr="007657C9">
        <w:rPr>
          <w:rFonts w:cs="Times New Roman"/>
          <w:color w:val="000000" w:themeColor="text1"/>
        </w:rPr>
        <w:t>r</w:t>
      </w:r>
      <w:r w:rsidRPr="007657C9">
        <w:rPr>
          <w:rFonts w:cs="Times New Roman"/>
          <w:color w:val="000000" w:themeColor="text1"/>
        </w:rPr>
        <w:t xml:space="preserve"> de</w:t>
      </w:r>
      <w:r w:rsidR="00121AD6" w:rsidRPr="007657C9">
        <w:rPr>
          <w:rFonts w:cs="Times New Roman"/>
          <w:color w:val="000000" w:themeColor="text1"/>
        </w:rPr>
        <w:t>s</w:t>
      </w:r>
      <w:r w:rsidRPr="007657C9">
        <w:rPr>
          <w:rFonts w:cs="Times New Roman"/>
          <w:color w:val="000000" w:themeColor="text1"/>
        </w:rPr>
        <w:t xml:space="preserve"> TA entre 130-155/80-105 si absence de comorbidités ou 130-139/80/89 si comorbidités</w:t>
      </w:r>
    </w:p>
    <w:p w:rsidR="00121AD6" w:rsidRPr="00A151B0" w:rsidRDefault="00121AD6" w:rsidP="00E648E3">
      <w:pPr>
        <w:pStyle w:val="Paragraphedeliste"/>
        <w:numPr>
          <w:ilvl w:val="0"/>
          <w:numId w:val="227"/>
        </w:numPr>
        <w:spacing w:after="0"/>
        <w:rPr>
          <w:rFonts w:cs="Times New Roman"/>
          <w:color w:val="000000" w:themeColor="text1"/>
          <w:highlight w:val="yellow"/>
        </w:rPr>
      </w:pPr>
      <w:r w:rsidRPr="00A151B0">
        <w:rPr>
          <w:rFonts w:cs="Times New Roman"/>
          <w:color w:val="000000" w:themeColor="text1"/>
          <w:highlight w:val="yellow"/>
        </w:rPr>
        <w:t>Si absence de complications, suivi régulier ad 37 semaines puis déclenchement médical</w:t>
      </w:r>
    </w:p>
    <w:p w:rsidR="00076F9E" w:rsidRPr="00A151B0" w:rsidRDefault="00076F9E" w:rsidP="00E648E3">
      <w:pPr>
        <w:pStyle w:val="Paragraphedeliste"/>
        <w:numPr>
          <w:ilvl w:val="0"/>
          <w:numId w:val="227"/>
        </w:numPr>
        <w:spacing w:after="0"/>
        <w:rPr>
          <w:rFonts w:cs="Times New Roman"/>
          <w:color w:val="000000" w:themeColor="text1"/>
          <w:highlight w:val="yellow"/>
        </w:rPr>
      </w:pPr>
      <w:r w:rsidRPr="00A151B0">
        <w:rPr>
          <w:rFonts w:cs="Times New Roman"/>
          <w:color w:val="000000" w:themeColor="text1"/>
          <w:highlight w:val="yellow"/>
        </w:rPr>
        <w:t>Aspirine 80 mg PO DIE si facteurs de risques de prééclampsie</w:t>
      </w:r>
    </w:p>
    <w:tbl>
      <w:tblPr>
        <w:tblStyle w:val="Grilledutableau"/>
        <w:tblW w:w="0" w:type="auto"/>
        <w:tblLook w:val="04A0" w:firstRow="1" w:lastRow="0" w:firstColumn="1" w:lastColumn="0" w:noHBand="0" w:noVBand="1"/>
      </w:tblPr>
      <w:tblGrid>
        <w:gridCol w:w="2794"/>
        <w:gridCol w:w="2832"/>
        <w:gridCol w:w="2864"/>
        <w:gridCol w:w="2526"/>
      </w:tblGrid>
      <w:tr w:rsidR="00121AD6" w:rsidRPr="00B4325E" w:rsidTr="002A1F06">
        <w:tc>
          <w:tcPr>
            <w:tcW w:w="2794" w:type="dxa"/>
            <w:shd w:val="clear" w:color="auto" w:fill="D99594" w:themeFill="accent2" w:themeFillTint="99"/>
          </w:tcPr>
          <w:p w:rsidR="00121AD6" w:rsidRPr="00121AD6" w:rsidRDefault="00121AD6" w:rsidP="00121AD6">
            <w:pPr>
              <w:jc w:val="center"/>
              <w:rPr>
                <w:rFonts w:cs="Times New Roman"/>
                <w:color w:val="000000" w:themeColor="text1"/>
              </w:rPr>
            </w:pPr>
            <w:r w:rsidRPr="00121AD6">
              <w:rPr>
                <w:rFonts w:cs="Times New Roman"/>
                <w:color w:val="000000" w:themeColor="text1"/>
              </w:rPr>
              <w:t>Labetalol</w:t>
            </w:r>
          </w:p>
        </w:tc>
        <w:tc>
          <w:tcPr>
            <w:tcW w:w="2832" w:type="dxa"/>
            <w:shd w:val="clear" w:color="auto" w:fill="D99594" w:themeFill="accent2" w:themeFillTint="99"/>
          </w:tcPr>
          <w:p w:rsidR="00121AD6" w:rsidRPr="00121AD6" w:rsidRDefault="00121AD6" w:rsidP="00121AD6">
            <w:pPr>
              <w:jc w:val="center"/>
              <w:rPr>
                <w:rFonts w:cs="Times New Roman"/>
                <w:color w:val="000000" w:themeColor="text1"/>
              </w:rPr>
            </w:pPr>
            <w:r w:rsidRPr="00121AD6">
              <w:rPr>
                <w:rFonts w:cs="Times New Roman"/>
                <w:color w:val="000000" w:themeColor="text1"/>
              </w:rPr>
              <w:t>Nifedipine XL</w:t>
            </w:r>
          </w:p>
        </w:tc>
        <w:tc>
          <w:tcPr>
            <w:tcW w:w="2864" w:type="dxa"/>
            <w:shd w:val="clear" w:color="auto" w:fill="D99594" w:themeFill="accent2" w:themeFillTint="99"/>
          </w:tcPr>
          <w:p w:rsidR="00121AD6" w:rsidRPr="00121AD6" w:rsidRDefault="00121AD6" w:rsidP="00121AD6">
            <w:pPr>
              <w:jc w:val="center"/>
              <w:rPr>
                <w:rFonts w:cs="Times New Roman"/>
                <w:color w:val="000000" w:themeColor="text1"/>
                <w:lang w:val="en-CA"/>
              </w:rPr>
            </w:pPr>
            <w:r w:rsidRPr="00121AD6">
              <w:rPr>
                <w:rFonts w:cs="Times New Roman"/>
                <w:color w:val="000000" w:themeColor="text1"/>
              </w:rPr>
              <w:t>α</w:t>
            </w:r>
            <w:r w:rsidRPr="00121AD6">
              <w:rPr>
                <w:rFonts w:cs="Times New Roman"/>
                <w:color w:val="000000" w:themeColor="text1"/>
                <w:lang w:val="en-CA"/>
              </w:rPr>
              <w:t>-methyldopa</w:t>
            </w:r>
          </w:p>
        </w:tc>
        <w:tc>
          <w:tcPr>
            <w:tcW w:w="2526" w:type="dxa"/>
            <w:shd w:val="clear" w:color="auto" w:fill="D99594" w:themeFill="accent2" w:themeFillTint="99"/>
          </w:tcPr>
          <w:p w:rsidR="00121AD6" w:rsidRPr="00121AD6" w:rsidRDefault="00121AD6" w:rsidP="00121AD6">
            <w:pPr>
              <w:jc w:val="center"/>
              <w:rPr>
                <w:rFonts w:cs="Times New Roman"/>
                <w:color w:val="000000" w:themeColor="text1"/>
              </w:rPr>
            </w:pPr>
            <w:r w:rsidRPr="00121AD6">
              <w:rPr>
                <w:rFonts w:cs="Times New Roman"/>
                <w:color w:val="000000" w:themeColor="text1"/>
              </w:rPr>
              <w:t>Hydralazine</w:t>
            </w:r>
          </w:p>
        </w:tc>
      </w:tr>
      <w:tr w:rsidR="00121AD6" w:rsidTr="00121AD6">
        <w:tc>
          <w:tcPr>
            <w:tcW w:w="2794" w:type="dxa"/>
          </w:tcPr>
          <w:p w:rsidR="00121AD6" w:rsidRDefault="00121AD6">
            <w:pPr>
              <w:rPr>
                <w:rFonts w:cs="Times New Roman"/>
                <w:color w:val="000000" w:themeColor="text1"/>
              </w:rPr>
            </w:pPr>
            <w:r>
              <w:rPr>
                <w:rFonts w:cs="Times New Roman"/>
                <w:color w:val="000000" w:themeColor="text1"/>
              </w:rPr>
              <w:t>100-400 mg PO BID-TID</w:t>
            </w:r>
          </w:p>
        </w:tc>
        <w:tc>
          <w:tcPr>
            <w:tcW w:w="2832" w:type="dxa"/>
          </w:tcPr>
          <w:p w:rsidR="00121AD6" w:rsidRDefault="00121AD6">
            <w:pPr>
              <w:rPr>
                <w:rFonts w:cs="Times New Roman"/>
                <w:color w:val="000000" w:themeColor="text1"/>
              </w:rPr>
            </w:pPr>
            <w:r>
              <w:rPr>
                <w:rFonts w:cs="Times New Roman"/>
                <w:color w:val="000000" w:themeColor="text1"/>
              </w:rPr>
              <w:t>20-60mg PO DIE</w:t>
            </w:r>
          </w:p>
        </w:tc>
        <w:tc>
          <w:tcPr>
            <w:tcW w:w="2864" w:type="dxa"/>
          </w:tcPr>
          <w:p w:rsidR="00121AD6" w:rsidRDefault="00121AD6" w:rsidP="00B4325E">
            <w:pPr>
              <w:rPr>
                <w:rFonts w:cs="Times New Roman"/>
                <w:color w:val="000000" w:themeColor="text1"/>
              </w:rPr>
            </w:pPr>
            <w:r w:rsidRPr="00B4325E">
              <w:rPr>
                <w:rFonts w:cs="Times New Roman"/>
                <w:color w:val="000000" w:themeColor="text1"/>
                <w:lang w:val="en-CA"/>
              </w:rPr>
              <w:t xml:space="preserve">250-500 </w:t>
            </w:r>
            <w:r>
              <w:rPr>
                <w:rFonts w:cs="Times New Roman"/>
                <w:color w:val="000000" w:themeColor="text1"/>
                <w:lang w:val="en-CA"/>
              </w:rPr>
              <w:t>mg PO BID-TID</w:t>
            </w:r>
          </w:p>
        </w:tc>
        <w:tc>
          <w:tcPr>
            <w:tcW w:w="2526" w:type="dxa"/>
          </w:tcPr>
          <w:p w:rsidR="00121AD6" w:rsidRPr="00B4325E" w:rsidRDefault="00121AD6" w:rsidP="00B4325E">
            <w:pPr>
              <w:rPr>
                <w:rFonts w:cs="Times New Roman"/>
                <w:color w:val="000000" w:themeColor="text1"/>
                <w:lang w:val="en-CA"/>
              </w:rPr>
            </w:pPr>
          </w:p>
        </w:tc>
      </w:tr>
      <w:tr w:rsidR="00121AD6" w:rsidRPr="00C6143D" w:rsidTr="00121AD6">
        <w:trPr>
          <w:trHeight w:val="381"/>
        </w:trPr>
        <w:tc>
          <w:tcPr>
            <w:tcW w:w="2794" w:type="dxa"/>
          </w:tcPr>
          <w:p w:rsidR="00121AD6" w:rsidRPr="00121AD6" w:rsidRDefault="00121AD6">
            <w:pPr>
              <w:rPr>
                <w:rFonts w:cs="Times New Roman"/>
                <w:color w:val="000000" w:themeColor="text1"/>
              </w:rPr>
            </w:pPr>
            <w:r w:rsidRPr="00121AD6">
              <w:rPr>
                <w:rFonts w:cs="Times New Roman"/>
                <w:color w:val="000000" w:themeColor="text1"/>
              </w:rPr>
              <w:t>20 mg IV x 1</w:t>
            </w:r>
          </w:p>
          <w:p w:rsidR="00121AD6" w:rsidRDefault="00121AD6">
            <w:pPr>
              <w:rPr>
                <w:rFonts w:cs="Times New Roman"/>
                <w:color w:val="000000" w:themeColor="text1"/>
              </w:rPr>
            </w:pPr>
            <w:r>
              <w:rPr>
                <w:rFonts w:cs="Times New Roman"/>
                <w:color w:val="000000" w:themeColor="text1"/>
              </w:rPr>
              <w:t>p</w:t>
            </w:r>
            <w:r w:rsidRPr="00121AD6">
              <w:rPr>
                <w:rFonts w:cs="Times New Roman"/>
                <w:color w:val="000000" w:themeColor="text1"/>
              </w:rPr>
              <w:t>uis 20-80 mg IV q 30 min</w:t>
            </w:r>
          </w:p>
          <w:p w:rsidR="00121AD6" w:rsidRPr="00121AD6" w:rsidRDefault="00121AD6">
            <w:pPr>
              <w:rPr>
                <w:rFonts w:cs="Times New Roman"/>
                <w:color w:val="000000" w:themeColor="text1"/>
              </w:rPr>
            </w:pPr>
            <w:r>
              <w:rPr>
                <w:rFonts w:cs="Times New Roman"/>
                <w:color w:val="000000" w:themeColor="text1"/>
              </w:rPr>
              <w:t>(Max 300 mg IV)</w:t>
            </w:r>
          </w:p>
        </w:tc>
        <w:tc>
          <w:tcPr>
            <w:tcW w:w="2832" w:type="dxa"/>
          </w:tcPr>
          <w:p w:rsidR="00121AD6" w:rsidRPr="00B4325E" w:rsidRDefault="00121AD6">
            <w:pPr>
              <w:rPr>
                <w:rFonts w:cs="Times New Roman"/>
                <w:color w:val="000000" w:themeColor="text1"/>
                <w:lang w:val="de-DE"/>
              </w:rPr>
            </w:pPr>
            <w:r>
              <w:rPr>
                <w:rFonts w:cs="Times New Roman"/>
                <w:color w:val="000000" w:themeColor="text1"/>
                <w:lang w:val="de-DE"/>
              </w:rPr>
              <w:t>5-10 mg capsule q 30 min</w:t>
            </w:r>
          </w:p>
        </w:tc>
        <w:tc>
          <w:tcPr>
            <w:tcW w:w="2864" w:type="dxa"/>
          </w:tcPr>
          <w:p w:rsidR="00121AD6" w:rsidRPr="00B4325E" w:rsidRDefault="00121AD6" w:rsidP="00B4325E">
            <w:pPr>
              <w:rPr>
                <w:rFonts w:cs="Times New Roman"/>
                <w:color w:val="000000" w:themeColor="text1"/>
                <w:lang w:val="de-DE"/>
              </w:rPr>
            </w:pPr>
          </w:p>
        </w:tc>
        <w:tc>
          <w:tcPr>
            <w:tcW w:w="2526" w:type="dxa"/>
          </w:tcPr>
          <w:p w:rsidR="00121AD6" w:rsidRDefault="00121AD6" w:rsidP="00B4325E">
            <w:pPr>
              <w:rPr>
                <w:rFonts w:cs="Times New Roman"/>
                <w:color w:val="000000" w:themeColor="text1"/>
                <w:lang w:val="de-DE"/>
              </w:rPr>
            </w:pPr>
            <w:r>
              <w:rPr>
                <w:rFonts w:cs="Times New Roman"/>
                <w:color w:val="000000" w:themeColor="text1"/>
                <w:lang w:val="de-DE"/>
              </w:rPr>
              <w:t>5-10 mg IV q 30 min</w:t>
            </w:r>
          </w:p>
          <w:p w:rsidR="00121AD6" w:rsidRPr="00B4325E" w:rsidRDefault="00121AD6" w:rsidP="00121AD6">
            <w:pPr>
              <w:rPr>
                <w:rFonts w:cs="Times New Roman"/>
                <w:color w:val="000000" w:themeColor="text1"/>
                <w:lang w:val="de-DE"/>
              </w:rPr>
            </w:pPr>
            <w:r>
              <w:rPr>
                <w:rFonts w:cs="Times New Roman"/>
                <w:color w:val="000000" w:themeColor="text1"/>
                <w:lang w:val="de-DE"/>
              </w:rPr>
              <w:t>(max 20 mg IV)</w:t>
            </w:r>
          </w:p>
        </w:tc>
      </w:tr>
    </w:tbl>
    <w:p w:rsidR="00121AD6" w:rsidRPr="00C536EC" w:rsidRDefault="00121AD6" w:rsidP="00121AD6">
      <w:pPr>
        <w:pStyle w:val="Sansinterligne"/>
        <w:rPr>
          <w:lang w:val="de-DE"/>
        </w:rPr>
      </w:pPr>
    </w:p>
    <w:p w:rsidR="00121AD6" w:rsidRPr="00A151B0" w:rsidRDefault="00076F9E" w:rsidP="00121AD6">
      <w:pPr>
        <w:pStyle w:val="Sansinterligne"/>
        <w:rPr>
          <w:b/>
        </w:rPr>
      </w:pPr>
      <w:r w:rsidRPr="00A151B0">
        <w:rPr>
          <w:b/>
        </w:rPr>
        <w:t>Prééclampsie</w:t>
      </w:r>
    </w:p>
    <w:p w:rsidR="00076F9E" w:rsidRDefault="00076F9E" w:rsidP="00121AD6">
      <w:pPr>
        <w:pStyle w:val="Sansinterligne"/>
      </w:pPr>
    </w:p>
    <w:p w:rsidR="00076F9E" w:rsidRDefault="00076F9E" w:rsidP="00E648E3">
      <w:pPr>
        <w:pStyle w:val="Sansinterligne"/>
        <w:numPr>
          <w:ilvl w:val="0"/>
          <w:numId w:val="230"/>
        </w:numPr>
      </w:pPr>
      <w:r>
        <w:t xml:space="preserve">Surveillance étroite à domicile ou hospitalisation, idéalement en </w:t>
      </w:r>
      <w:r w:rsidRPr="00A151B0">
        <w:rPr>
          <w:highlight w:val="yellow"/>
          <w:u w:val="single"/>
        </w:rPr>
        <w:t>gynéco-obstétrique</w:t>
      </w:r>
    </w:p>
    <w:p w:rsidR="00076F9E" w:rsidRPr="00A151B0" w:rsidRDefault="00076F9E" w:rsidP="00E648E3">
      <w:pPr>
        <w:pStyle w:val="Sansinterligne"/>
        <w:numPr>
          <w:ilvl w:val="0"/>
          <w:numId w:val="230"/>
        </w:numPr>
        <w:rPr>
          <w:highlight w:val="yellow"/>
        </w:rPr>
      </w:pPr>
      <w:r w:rsidRPr="00A151B0">
        <w:rPr>
          <w:highlight w:val="yellow"/>
        </w:rPr>
        <w:t>Si hospitalisation :</w:t>
      </w:r>
    </w:p>
    <w:p w:rsidR="00076F9E" w:rsidRPr="00A151B0" w:rsidRDefault="00076F9E" w:rsidP="00E648E3">
      <w:pPr>
        <w:pStyle w:val="Sansinterligne"/>
        <w:numPr>
          <w:ilvl w:val="0"/>
          <w:numId w:val="230"/>
        </w:numPr>
        <w:rPr>
          <w:highlight w:val="yellow"/>
        </w:rPr>
      </w:pPr>
      <w:r w:rsidRPr="00A151B0">
        <w:rPr>
          <w:highlight w:val="yellow"/>
        </w:rPr>
        <w:t>Gérer TA idem comme HTA gestationnelle</w:t>
      </w:r>
    </w:p>
    <w:p w:rsidR="00076F9E" w:rsidRPr="00A151B0" w:rsidRDefault="00076F9E" w:rsidP="00E648E3">
      <w:pPr>
        <w:pStyle w:val="Sansinterligne"/>
        <w:numPr>
          <w:ilvl w:val="0"/>
          <w:numId w:val="230"/>
        </w:numPr>
        <w:rPr>
          <w:highlight w:val="yellow"/>
        </w:rPr>
      </w:pPr>
      <w:r w:rsidRPr="00A151B0">
        <w:rPr>
          <w:highlight w:val="yellow"/>
        </w:rPr>
        <w:t>TA DIE</w:t>
      </w:r>
    </w:p>
    <w:p w:rsidR="00076F9E" w:rsidRPr="00A151B0" w:rsidRDefault="00076F9E" w:rsidP="00E648E3">
      <w:pPr>
        <w:pStyle w:val="Sansinterligne"/>
        <w:numPr>
          <w:ilvl w:val="0"/>
          <w:numId w:val="230"/>
        </w:numPr>
        <w:rPr>
          <w:highlight w:val="yellow"/>
        </w:rPr>
      </w:pPr>
      <w:r w:rsidRPr="00A151B0">
        <w:rPr>
          <w:highlight w:val="yellow"/>
        </w:rPr>
        <w:t>Mesure de la protéinurie + diurèse DIE</w:t>
      </w:r>
    </w:p>
    <w:p w:rsidR="00076F9E" w:rsidRPr="00A151B0" w:rsidRDefault="00076F9E" w:rsidP="00E648E3">
      <w:pPr>
        <w:pStyle w:val="Sansinterligne"/>
        <w:numPr>
          <w:ilvl w:val="0"/>
          <w:numId w:val="230"/>
        </w:numPr>
        <w:rPr>
          <w:highlight w:val="yellow"/>
        </w:rPr>
      </w:pPr>
      <w:r w:rsidRPr="00A151B0">
        <w:rPr>
          <w:highlight w:val="yellow"/>
        </w:rPr>
        <w:t>Pesée 2 fois par semaine</w:t>
      </w:r>
    </w:p>
    <w:p w:rsidR="00076F9E" w:rsidRDefault="00076F9E" w:rsidP="00E648E3">
      <w:pPr>
        <w:pStyle w:val="Sansinterligne"/>
        <w:numPr>
          <w:ilvl w:val="0"/>
          <w:numId w:val="230"/>
        </w:numPr>
      </w:pPr>
      <w:r>
        <w:t>Bilan biologique régulier, notamment bilan HELLP</w:t>
      </w:r>
    </w:p>
    <w:p w:rsidR="00076F9E" w:rsidRPr="00A151B0" w:rsidRDefault="00076F9E" w:rsidP="00E648E3">
      <w:pPr>
        <w:pStyle w:val="Sansinterligne"/>
        <w:numPr>
          <w:ilvl w:val="0"/>
          <w:numId w:val="230"/>
        </w:numPr>
        <w:rPr>
          <w:highlight w:val="yellow"/>
        </w:rPr>
      </w:pPr>
      <w:r w:rsidRPr="00A151B0">
        <w:rPr>
          <w:highlight w:val="yellow"/>
        </w:rPr>
        <w:t>Écho de croissance fœtale q 2 semaines et profil biophysique + TRF q 7 jours</w:t>
      </w:r>
    </w:p>
    <w:p w:rsidR="00121AD6" w:rsidRPr="00A151B0" w:rsidRDefault="00076F9E" w:rsidP="00E648E3">
      <w:pPr>
        <w:pStyle w:val="Sansinterligne"/>
        <w:numPr>
          <w:ilvl w:val="0"/>
          <w:numId w:val="230"/>
        </w:numPr>
        <w:rPr>
          <w:highlight w:val="yellow"/>
        </w:rPr>
      </w:pPr>
      <w:r w:rsidRPr="00A151B0">
        <w:rPr>
          <w:highlight w:val="yellow"/>
        </w:rPr>
        <w:t>Déclenchement médical à 37 semaines</w:t>
      </w:r>
    </w:p>
    <w:p w:rsidR="00076F9E" w:rsidRDefault="00076F9E" w:rsidP="00121AD6">
      <w:pPr>
        <w:pStyle w:val="Sansinterligne"/>
      </w:pPr>
    </w:p>
    <w:p w:rsidR="00A151B0" w:rsidRDefault="00076F9E" w:rsidP="00121AD6">
      <w:pPr>
        <w:pStyle w:val="Sansinterligne"/>
      </w:pPr>
      <w:r w:rsidRPr="00A151B0">
        <w:rPr>
          <w:b/>
        </w:rPr>
        <w:t>Si symptômes de prééclampsie sévère (voir ci-haut) ou HELLP</w:t>
      </w:r>
      <w:r w:rsidR="00A151B0">
        <w:t xml:space="preserve">, </w:t>
      </w:r>
    </w:p>
    <w:p w:rsidR="00076F9E" w:rsidRDefault="00A151B0" w:rsidP="00E648E3">
      <w:pPr>
        <w:pStyle w:val="Sansinterligne"/>
        <w:numPr>
          <w:ilvl w:val="0"/>
          <w:numId w:val="232"/>
        </w:numPr>
      </w:pPr>
      <w:r>
        <w:t>R</w:t>
      </w:r>
      <w:r w:rsidR="00076F9E">
        <w:t>éférer d’urgence en gynéco-obstétrique pour prise en charge et accouchement</w:t>
      </w:r>
      <w:r>
        <w:t xml:space="preserve"> avec signes vitaux et neurologiques q 1h et monitoring fœtal continu.</w:t>
      </w:r>
    </w:p>
    <w:p w:rsidR="00121AD6" w:rsidRDefault="008A183E" w:rsidP="00E648E3">
      <w:pPr>
        <w:pStyle w:val="Sansinterligne"/>
        <w:numPr>
          <w:ilvl w:val="0"/>
          <w:numId w:val="231"/>
        </w:numPr>
      </w:pPr>
      <w:r w:rsidRPr="00556E7A">
        <w:rPr>
          <w:noProof/>
          <w:color w:val="000000" w:themeColor="text1"/>
          <w:lang w:eastAsia="fr-CA"/>
        </w:rPr>
        <w:drawing>
          <wp:anchor distT="0" distB="0" distL="114300" distR="114300" simplePos="0" relativeHeight="251725824" behindDoc="0" locked="0" layoutInCell="1" allowOverlap="1" wp14:anchorId="68CDB196" wp14:editId="3622B45D">
            <wp:simplePos x="0" y="0"/>
            <wp:positionH relativeFrom="column">
              <wp:posOffset>4435556</wp:posOffset>
            </wp:positionH>
            <wp:positionV relativeFrom="paragraph">
              <wp:posOffset>9147</wp:posOffset>
            </wp:positionV>
            <wp:extent cx="2528570" cy="2684780"/>
            <wp:effectExtent l="0" t="0" r="5080" b="1270"/>
            <wp:wrapNone/>
            <wp:docPr id="57" name="Image 57" descr="Résultats de recherche d'images pour « grossess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Résultats de recherche d'images pour « grossesse »"/>
                    <pic:cNvPicPr>
                      <a:picLocks noChangeAspect="1" noChangeArrowheads="1"/>
                    </pic:cNvPicPr>
                  </pic:nvPicPr>
                  <pic:blipFill rotWithShape="1">
                    <a:blip r:embed="rId47">
                      <a:extLst>
                        <a:ext uri="{28A0092B-C50C-407E-A947-70E740481C1C}">
                          <a14:useLocalDpi xmlns:a14="http://schemas.microsoft.com/office/drawing/2010/main" val="0"/>
                        </a:ext>
                      </a:extLst>
                    </a:blip>
                    <a:srcRect r="35321"/>
                    <a:stretch/>
                  </pic:blipFill>
                  <pic:spPr bwMode="auto">
                    <a:xfrm>
                      <a:off x="0" y="0"/>
                      <a:ext cx="2528570" cy="268478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47262">
        <w:t>Sulfate de magnésie (MgSO4)</w:t>
      </w:r>
      <w:r w:rsidR="00A151B0">
        <w:t xml:space="preserve"> IV ad 24h post-partum</w:t>
      </w:r>
    </w:p>
    <w:p w:rsidR="00A151B0" w:rsidRDefault="00A151B0" w:rsidP="00347262">
      <w:pPr>
        <w:pStyle w:val="Sansinterligne"/>
      </w:pPr>
    </w:p>
    <w:p w:rsidR="00A151B0" w:rsidRPr="00A151B0" w:rsidRDefault="00A151B0" w:rsidP="00A151B0">
      <w:pPr>
        <w:pStyle w:val="Sansinterligne"/>
        <w:rPr>
          <w:b/>
        </w:rPr>
      </w:pPr>
      <w:r w:rsidRPr="00A151B0">
        <w:rPr>
          <w:b/>
        </w:rPr>
        <w:t>HELLP</w:t>
      </w:r>
    </w:p>
    <w:p w:rsidR="00A151B0" w:rsidRDefault="00A151B0" w:rsidP="00A151B0">
      <w:pPr>
        <w:pStyle w:val="Sansinterligne"/>
      </w:pPr>
    </w:p>
    <w:p w:rsidR="00A151B0" w:rsidRDefault="00A151B0" w:rsidP="00E648E3">
      <w:pPr>
        <w:pStyle w:val="Sansinterligne"/>
        <w:numPr>
          <w:ilvl w:val="0"/>
          <w:numId w:val="229"/>
        </w:numPr>
      </w:pPr>
      <w:r>
        <w:t>Infusion de plasma frais ou plasmaphérèse</w:t>
      </w:r>
    </w:p>
    <w:p w:rsidR="00A151B0" w:rsidRDefault="00A151B0" w:rsidP="00A151B0">
      <w:pPr>
        <w:pStyle w:val="Sansinterligne"/>
        <w:ind w:left="720"/>
      </w:pPr>
    </w:p>
    <w:p w:rsidR="00A151B0" w:rsidRPr="00A151B0" w:rsidRDefault="00A151B0" w:rsidP="00347262">
      <w:pPr>
        <w:pStyle w:val="Sansinterligne"/>
        <w:rPr>
          <w:b/>
        </w:rPr>
      </w:pPr>
      <w:r w:rsidRPr="00A151B0">
        <w:rPr>
          <w:b/>
        </w:rPr>
        <w:t>Éclampsie</w:t>
      </w:r>
    </w:p>
    <w:p w:rsidR="00A151B0" w:rsidRDefault="00A151B0" w:rsidP="00E648E3">
      <w:pPr>
        <w:pStyle w:val="Sansinterligne"/>
        <w:numPr>
          <w:ilvl w:val="0"/>
          <w:numId w:val="228"/>
        </w:numPr>
      </w:pPr>
      <w:r>
        <w:t>ABC</w:t>
      </w:r>
    </w:p>
    <w:p w:rsidR="00A151B0" w:rsidRDefault="00A151B0" w:rsidP="00E648E3">
      <w:pPr>
        <w:pStyle w:val="Sansinterligne"/>
        <w:numPr>
          <w:ilvl w:val="0"/>
          <w:numId w:val="228"/>
        </w:numPr>
      </w:pPr>
      <w:r>
        <w:t>O2</w:t>
      </w:r>
    </w:p>
    <w:p w:rsidR="00A151B0" w:rsidRDefault="00A151B0" w:rsidP="00E648E3">
      <w:pPr>
        <w:pStyle w:val="Sansinterligne"/>
        <w:numPr>
          <w:ilvl w:val="0"/>
          <w:numId w:val="228"/>
        </w:numPr>
      </w:pPr>
      <w:r>
        <w:t>Décubitus latéral gauche</w:t>
      </w:r>
    </w:p>
    <w:p w:rsidR="00A151B0" w:rsidRPr="00A151B0" w:rsidRDefault="00A151B0" w:rsidP="00E648E3">
      <w:pPr>
        <w:pStyle w:val="Sansinterligne"/>
        <w:numPr>
          <w:ilvl w:val="0"/>
          <w:numId w:val="228"/>
        </w:numPr>
        <w:rPr>
          <w:highlight w:val="yellow"/>
        </w:rPr>
      </w:pPr>
      <w:r w:rsidRPr="00A151B0">
        <w:rPr>
          <w:highlight w:val="yellow"/>
        </w:rPr>
        <w:t>Appel d’urgence en obstétrique si pas déjà fait.</w:t>
      </w:r>
    </w:p>
    <w:p w:rsidR="00A151B0" w:rsidRDefault="00A151B0" w:rsidP="00E648E3">
      <w:pPr>
        <w:pStyle w:val="Sansinterligne"/>
        <w:numPr>
          <w:ilvl w:val="0"/>
          <w:numId w:val="228"/>
        </w:numPr>
      </w:pPr>
      <w:r>
        <w:t>Traitement agressif de l’HTA avec médicaments ci-haut</w:t>
      </w:r>
    </w:p>
    <w:p w:rsidR="00121AD6" w:rsidRDefault="00A151B0" w:rsidP="00E648E3">
      <w:pPr>
        <w:pStyle w:val="Sansinterligne"/>
        <w:numPr>
          <w:ilvl w:val="0"/>
          <w:numId w:val="228"/>
        </w:numPr>
      </w:pPr>
      <w:r>
        <w:t>MgSO</w:t>
      </w:r>
      <w:r w:rsidRPr="00687F2D">
        <w:rPr>
          <w:vertAlign w:val="subscript"/>
        </w:rPr>
        <w:t>4</w:t>
      </w:r>
      <w:r>
        <w:t>, diazepam, phenytoin</w:t>
      </w:r>
    </w:p>
    <w:p w:rsidR="009A4723" w:rsidRPr="009A4723" w:rsidRDefault="009A4723" w:rsidP="00E648E3">
      <w:pPr>
        <w:pStyle w:val="Sansinterligne"/>
        <w:numPr>
          <w:ilvl w:val="0"/>
          <w:numId w:val="234"/>
        </w:numPr>
      </w:pPr>
      <w:r w:rsidRPr="009A4723">
        <w:t>Accouchement d’urgence peu importe l’âge fœtal</w:t>
      </w:r>
    </w:p>
    <w:p w:rsidR="00A151B0" w:rsidRDefault="00A151B0" w:rsidP="00A151B0">
      <w:pPr>
        <w:pStyle w:val="Sansinterligne"/>
      </w:pPr>
    </w:p>
    <w:p w:rsidR="00A151B0" w:rsidRDefault="00A151B0" w:rsidP="00D03E17">
      <w:pPr>
        <w:pStyle w:val="Sansinterligne"/>
        <w:ind w:left="3192"/>
      </w:pPr>
      <w:r w:rsidRPr="00D03E17">
        <w:rPr>
          <w:b/>
          <w:i/>
          <w:u w:val="single"/>
        </w:rPr>
        <w:t>À surveiller avec le sulfate de magnésie</w:t>
      </w:r>
      <w:r>
        <w:t> :</w:t>
      </w:r>
    </w:p>
    <w:p w:rsidR="00A151B0" w:rsidRDefault="00A151B0" w:rsidP="00E648E3">
      <w:pPr>
        <w:pStyle w:val="Sansinterligne"/>
        <w:numPr>
          <w:ilvl w:val="0"/>
          <w:numId w:val="233"/>
        </w:numPr>
        <w:ind w:left="3912"/>
      </w:pPr>
      <w:r>
        <w:t>Flushing</w:t>
      </w:r>
    </w:p>
    <w:p w:rsidR="00A151B0" w:rsidRDefault="0069743D" w:rsidP="00E648E3">
      <w:pPr>
        <w:pStyle w:val="Sansinterligne"/>
        <w:numPr>
          <w:ilvl w:val="0"/>
          <w:numId w:val="233"/>
        </w:numPr>
        <w:ind w:left="3912"/>
      </w:pPr>
      <w:r>
        <w:t>Hypor</w:t>
      </w:r>
      <w:r w:rsidR="00A151B0">
        <w:t>é</w:t>
      </w:r>
      <w:r>
        <w:t>f</w:t>
      </w:r>
      <w:r w:rsidR="00A151B0">
        <w:t>lexie (vérifier les réflexes)</w:t>
      </w:r>
    </w:p>
    <w:p w:rsidR="00A151B0" w:rsidRDefault="00A151B0" w:rsidP="00E648E3">
      <w:pPr>
        <w:pStyle w:val="Sansinterligne"/>
        <w:numPr>
          <w:ilvl w:val="0"/>
          <w:numId w:val="233"/>
        </w:numPr>
        <w:ind w:left="3912"/>
      </w:pPr>
      <w:r>
        <w:t>Somnolence</w:t>
      </w:r>
    </w:p>
    <w:p w:rsidR="00A151B0" w:rsidRDefault="00A151B0" w:rsidP="00E648E3">
      <w:pPr>
        <w:pStyle w:val="Sansinterligne"/>
        <w:numPr>
          <w:ilvl w:val="0"/>
          <w:numId w:val="233"/>
        </w:numPr>
        <w:ind w:left="3912"/>
      </w:pPr>
      <w:r>
        <w:t>Dépression respiratoire/cardiaque</w:t>
      </w:r>
    </w:p>
    <w:p w:rsidR="00A151B0" w:rsidRDefault="00A151B0" w:rsidP="00E648E3">
      <w:pPr>
        <w:pStyle w:val="Sansinterligne"/>
        <w:numPr>
          <w:ilvl w:val="0"/>
          <w:numId w:val="233"/>
        </w:numPr>
        <w:ind w:left="3912"/>
      </w:pPr>
      <w:r>
        <w:t>Faiblesse</w:t>
      </w:r>
    </w:p>
    <w:p w:rsidR="00A151B0" w:rsidRDefault="00A151B0" w:rsidP="00E648E3">
      <w:pPr>
        <w:pStyle w:val="Sansinterligne"/>
        <w:numPr>
          <w:ilvl w:val="0"/>
          <w:numId w:val="233"/>
        </w:numPr>
        <w:ind w:left="3912"/>
      </w:pPr>
      <w:r>
        <w:t>Toxicité si IR ou BCC concomitant</w:t>
      </w:r>
    </w:p>
    <w:p w:rsidR="00A151B0" w:rsidRPr="00D03E17" w:rsidRDefault="00A151B0" w:rsidP="00D03E17">
      <w:pPr>
        <w:pStyle w:val="Sansinterligne"/>
        <w:jc w:val="center"/>
        <w:rPr>
          <w:u w:val="single"/>
        </w:rPr>
      </w:pPr>
      <w:r w:rsidRPr="00D03E17">
        <w:rPr>
          <w:u w:val="single"/>
        </w:rPr>
        <w:t>Cesser MgS</w:t>
      </w:r>
      <w:r w:rsidR="0069743D">
        <w:rPr>
          <w:u w:val="single"/>
        </w:rPr>
        <w:t>O</w:t>
      </w:r>
      <w:r w:rsidRPr="00687F2D">
        <w:rPr>
          <w:u w:val="single"/>
          <w:vertAlign w:val="subscript"/>
        </w:rPr>
        <w:t>4</w:t>
      </w:r>
    </w:p>
    <w:p w:rsidR="00A151B0" w:rsidRPr="00D03E17" w:rsidRDefault="00A151B0" w:rsidP="00D03E17">
      <w:pPr>
        <w:pStyle w:val="Sansinterligne"/>
        <w:jc w:val="center"/>
        <w:rPr>
          <w:u w:val="single"/>
        </w:rPr>
      </w:pPr>
      <w:r w:rsidRPr="00D03E17">
        <w:rPr>
          <w:u w:val="single"/>
        </w:rPr>
        <w:t>Gluconate de Calcium</w:t>
      </w:r>
      <w:r w:rsidR="00D03E17" w:rsidRPr="00D03E17">
        <w:rPr>
          <w:u w:val="single"/>
        </w:rPr>
        <w:t xml:space="preserve"> 10 ml IV</w:t>
      </w:r>
      <w:r w:rsidRPr="00D03E17">
        <w:rPr>
          <w:u w:val="single"/>
        </w:rPr>
        <w:t xml:space="preserve"> 10%</w:t>
      </w:r>
    </w:p>
    <w:p w:rsidR="00F84B6F" w:rsidRDefault="00F84B6F" w:rsidP="004D5722">
      <w:pPr>
        <w:spacing w:after="0"/>
        <w:rPr>
          <w:rFonts w:cs="Times New Roman"/>
          <w:b/>
          <w:color w:val="548DD4" w:themeColor="text2" w:themeTint="99"/>
        </w:rPr>
      </w:pPr>
    </w:p>
    <w:p w:rsidR="00F84B6F" w:rsidRDefault="00F84B6F" w:rsidP="004D5722">
      <w:pPr>
        <w:spacing w:after="0"/>
        <w:rPr>
          <w:rFonts w:cs="Times New Roman"/>
          <w:b/>
          <w:color w:val="548DD4" w:themeColor="text2" w:themeTint="99"/>
        </w:rPr>
      </w:pPr>
    </w:p>
    <w:p w:rsidR="0004423B" w:rsidRDefault="0004423B" w:rsidP="004D5722">
      <w:pPr>
        <w:spacing w:after="0"/>
        <w:rPr>
          <w:rFonts w:cs="Times New Roman"/>
          <w:b/>
          <w:color w:val="548DD4" w:themeColor="text2" w:themeTint="99"/>
        </w:rPr>
      </w:pPr>
      <w:r>
        <w:rPr>
          <w:rFonts w:cs="Times New Roman"/>
          <w:b/>
          <w:color w:val="548DD4" w:themeColor="text2" w:themeTint="99"/>
        </w:rPr>
        <w:t>CMC 10-1</w:t>
      </w:r>
    </w:p>
    <w:p w:rsidR="0004423B" w:rsidRPr="00287CDB" w:rsidRDefault="0004423B" w:rsidP="00E95637">
      <w:pPr>
        <w:pStyle w:val="Titre3"/>
        <w:spacing w:before="0"/>
        <w:rPr>
          <w:rFonts w:ascii="Times New Roman" w:hAnsi="Times New Roman" w:cs="Times New Roman"/>
        </w:rPr>
      </w:pPr>
      <w:bookmarkStart w:id="20" w:name="_Toc480797269"/>
      <w:r w:rsidRPr="00287CDB">
        <w:rPr>
          <w:rFonts w:ascii="Times New Roman" w:hAnsi="Times New Roman" w:cs="Times New Roman"/>
        </w:rPr>
        <w:t>Masse au sein, dépistage du cancer du sein</w:t>
      </w:r>
      <w:bookmarkEnd w:id="20"/>
    </w:p>
    <w:tbl>
      <w:tblPr>
        <w:tblW w:w="3704" w:type="pct"/>
        <w:tblCellSpacing w:w="0" w:type="dxa"/>
        <w:tblCellMar>
          <w:left w:w="0" w:type="dxa"/>
          <w:right w:w="0" w:type="dxa"/>
        </w:tblCellMar>
        <w:tblLook w:val="04A0" w:firstRow="1" w:lastRow="0" w:firstColumn="1" w:lastColumn="0" w:noHBand="0" w:noVBand="1"/>
      </w:tblPr>
      <w:tblGrid>
        <w:gridCol w:w="8001"/>
      </w:tblGrid>
      <w:tr w:rsidR="002D21F1" w:rsidRPr="00287CDB" w:rsidTr="002D21F1">
        <w:trPr>
          <w:tblCellSpacing w:w="0" w:type="dxa"/>
        </w:trPr>
        <w:tc>
          <w:tcPr>
            <w:tcW w:w="0" w:type="auto"/>
            <w:vAlign w:val="bottom"/>
            <w:hideMark/>
          </w:tcPr>
          <w:bookmarkStart w:id="21" w:name="_Toc474769809"/>
          <w:bookmarkStart w:id="22" w:name="_Toc475198193"/>
          <w:bookmarkStart w:id="23" w:name="_Toc475563818"/>
          <w:p w:rsidR="002D21F1" w:rsidRDefault="00490231" w:rsidP="00012286">
            <w:pPr>
              <w:pStyle w:val="Sansinterligne"/>
            </w:pPr>
            <w:r>
              <w:rPr>
                <w:noProof/>
                <w:lang w:eastAsia="fr-CA"/>
              </w:rPr>
              <mc:AlternateContent>
                <mc:Choice Requires="wps">
                  <w:drawing>
                    <wp:anchor distT="0" distB="0" distL="114300" distR="114300" simplePos="0" relativeHeight="251712512" behindDoc="0" locked="0" layoutInCell="1" allowOverlap="1" wp14:anchorId="6C6E2AB3" wp14:editId="596909D7">
                      <wp:simplePos x="0" y="0"/>
                      <wp:positionH relativeFrom="column">
                        <wp:posOffset>-29210</wp:posOffset>
                      </wp:positionH>
                      <wp:positionV relativeFrom="paragraph">
                        <wp:posOffset>90170</wp:posOffset>
                      </wp:positionV>
                      <wp:extent cx="7013575" cy="2616200"/>
                      <wp:effectExtent l="0" t="0" r="15875" b="12700"/>
                      <wp:wrapNone/>
                      <wp:docPr id="30" name="Rectangle 30"/>
                      <wp:cNvGraphicFramePr/>
                      <a:graphic xmlns:a="http://schemas.openxmlformats.org/drawingml/2006/main">
                        <a:graphicData uri="http://schemas.microsoft.com/office/word/2010/wordprocessingShape">
                          <wps:wsp>
                            <wps:cNvSpPr/>
                            <wps:spPr>
                              <a:xfrm>
                                <a:off x="0" y="0"/>
                                <a:ext cx="7013575" cy="2616200"/>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0" o:spid="_x0000_s1026" style="position:absolute;margin-left:-2.3pt;margin-top:7.1pt;width:552.25pt;height:206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" filled="f" strokecolor="black [1600]" strokeweight="2pt"/>
                  </w:pict>
                </mc:Fallback>
              </mc:AlternateContent>
            </w:r>
            <w:bookmarkEnd w:id="21"/>
            <w:bookmarkEnd w:id="22"/>
            <w:bookmarkEnd w:id="23"/>
          </w:p>
          <w:p w:rsidR="002D21F1" w:rsidRPr="00EB0C1F" w:rsidRDefault="002D21F1" w:rsidP="00EB0C1F">
            <w:pPr>
              <w:pStyle w:val="Sansinterligne"/>
              <w:rPr>
                <w:b/>
                <w:sz w:val="18"/>
                <w:szCs w:val="18"/>
              </w:rPr>
            </w:pPr>
            <w:bookmarkStart w:id="24" w:name="_Toc474769810"/>
            <w:bookmarkStart w:id="25" w:name="_Toc475198194"/>
            <w:bookmarkStart w:id="26" w:name="_Toc475563819"/>
            <w:r w:rsidRPr="00EB0C1F">
              <w:rPr>
                <w:b/>
                <w:sz w:val="18"/>
                <w:szCs w:val="18"/>
              </w:rPr>
              <w:t>Objectifs principaux</w:t>
            </w:r>
            <w:bookmarkEnd w:id="24"/>
            <w:bookmarkEnd w:id="25"/>
            <w:bookmarkEnd w:id="26"/>
          </w:p>
        </w:tc>
      </w:tr>
    </w:tbl>
    <w:p w:rsidR="0004423B" w:rsidRPr="00287CDB" w:rsidRDefault="0004423B" w:rsidP="00287CDB">
      <w:pPr>
        <w:pStyle w:val="NormalWeb"/>
        <w:spacing w:after="0" w:afterAutospacing="0"/>
        <w:ind w:left="360"/>
        <w:rPr>
          <w:color w:val="000000"/>
          <w:sz w:val="18"/>
          <w:szCs w:val="18"/>
          <w:shd w:val="clear" w:color="auto" w:fill="FFFFFF"/>
        </w:rPr>
      </w:pPr>
      <w:r w:rsidRPr="00287CDB">
        <w:rPr>
          <w:color w:val="000000"/>
          <w:sz w:val="18"/>
          <w:szCs w:val="18"/>
          <w:shd w:val="clear" w:color="auto" w:fill="FFFFFF"/>
        </w:rPr>
        <w:t>Dans le cas d'une patiente ou d'un patient ayant une masse au sein ou un résultat de dépistage anormal (mammographie, examen physique), le candidat devra en diagnostiquer la cause, la gravité et le degré d'urgence, et mettre en place un plan de prise en charge approprié, en mettant l'accent sur la nécessité d'exclure un éventuel cancer du sein.</w:t>
      </w:r>
    </w:p>
    <w:tbl>
      <w:tblPr>
        <w:tblW w:w="5000" w:type="pct"/>
        <w:tblCellSpacing w:w="0" w:type="dxa"/>
        <w:tblCellMar>
          <w:left w:w="0" w:type="dxa"/>
          <w:right w:w="0" w:type="dxa"/>
        </w:tblCellMar>
        <w:tblLook w:val="04A0" w:firstRow="1" w:lastRow="0" w:firstColumn="1" w:lastColumn="0" w:noHBand="0" w:noVBand="1"/>
      </w:tblPr>
      <w:tblGrid>
        <w:gridCol w:w="10754"/>
        <w:gridCol w:w="46"/>
      </w:tblGrid>
      <w:tr w:rsidR="0004423B" w:rsidRPr="00287CDB" w:rsidTr="0004423B">
        <w:trPr>
          <w:tblCellSpacing w:w="0" w:type="dxa"/>
        </w:trPr>
        <w:tc>
          <w:tcPr>
            <w:tcW w:w="0" w:type="auto"/>
            <w:vAlign w:val="bottom"/>
            <w:hideMark/>
          </w:tcPr>
          <w:p w:rsidR="0004423B" w:rsidRPr="00EB0C1F" w:rsidRDefault="0004423B" w:rsidP="00EB0C1F">
            <w:pPr>
              <w:pStyle w:val="Sansinterligne"/>
              <w:spacing w:before="240"/>
              <w:rPr>
                <w:b/>
                <w:sz w:val="16"/>
                <w:szCs w:val="16"/>
              </w:rPr>
            </w:pPr>
            <w:bookmarkStart w:id="27" w:name="_Toc474769811"/>
            <w:bookmarkStart w:id="28" w:name="_Toc475198195"/>
            <w:bookmarkStart w:id="29" w:name="_Toc475563820"/>
            <w:r w:rsidRPr="00EB0C1F">
              <w:rPr>
                <w:b/>
                <w:sz w:val="16"/>
                <w:szCs w:val="16"/>
              </w:rPr>
              <w:t>Objectifs spécifiques</w:t>
            </w:r>
            <w:bookmarkEnd w:id="27"/>
            <w:bookmarkEnd w:id="28"/>
            <w:bookmarkEnd w:id="29"/>
          </w:p>
        </w:tc>
        <w:tc>
          <w:tcPr>
            <w:tcW w:w="0" w:type="auto"/>
            <w:vAlign w:val="bottom"/>
            <w:hideMark/>
          </w:tcPr>
          <w:p w:rsidR="0004423B" w:rsidRPr="00287CDB" w:rsidRDefault="0004423B">
            <w:pPr>
              <w:jc w:val="right"/>
              <w:rPr>
                <w:rFonts w:cs="Times New Roman"/>
                <w:color w:val="000000"/>
                <w:sz w:val="16"/>
                <w:szCs w:val="16"/>
              </w:rPr>
            </w:pPr>
          </w:p>
        </w:tc>
      </w:tr>
    </w:tbl>
    <w:p w:rsidR="0004423B" w:rsidRPr="00287CDB" w:rsidRDefault="0004423B" w:rsidP="0004423B">
      <w:pPr>
        <w:pStyle w:val="NormalWeb"/>
        <w:shd w:val="clear" w:color="auto" w:fill="FFFFFF"/>
        <w:ind w:left="360"/>
        <w:rPr>
          <w:color w:val="000000"/>
          <w:sz w:val="16"/>
          <w:szCs w:val="16"/>
          <w:shd w:val="clear" w:color="auto" w:fill="FFFFFF"/>
        </w:rPr>
      </w:pPr>
      <w:r w:rsidRPr="00287CDB">
        <w:rPr>
          <w:color w:val="000000"/>
          <w:sz w:val="16"/>
          <w:szCs w:val="16"/>
          <w:shd w:val="clear" w:color="auto" w:fill="FFFFFF"/>
        </w:rPr>
        <w:t>Dans le cas d'une patiente ou d'un patient ayant une masse au sein ou un résultat de dépistage anormal, le candidat devra</w:t>
      </w:r>
    </w:p>
    <w:p w:rsidR="0004423B" w:rsidRPr="00287CDB" w:rsidRDefault="0004423B" w:rsidP="0004423B">
      <w:pPr>
        <w:numPr>
          <w:ilvl w:val="0"/>
          <w:numId w:val="184"/>
        </w:numPr>
        <w:shd w:val="clear" w:color="auto" w:fill="FFFFFF"/>
        <w:spacing w:before="100" w:beforeAutospacing="1" w:after="100" w:afterAutospacing="1" w:line="240" w:lineRule="auto"/>
        <w:rPr>
          <w:rFonts w:cs="Times New Roman"/>
          <w:color w:val="000000"/>
          <w:sz w:val="16"/>
          <w:szCs w:val="16"/>
          <w:shd w:val="clear" w:color="auto" w:fill="FFFFFF"/>
        </w:rPr>
      </w:pPr>
      <w:r w:rsidRPr="00287CDB">
        <w:rPr>
          <w:rFonts w:cs="Times New Roman"/>
          <w:color w:val="000000"/>
          <w:sz w:val="16"/>
          <w:szCs w:val="16"/>
          <w:shd w:val="clear" w:color="auto" w:fill="FFFFFF"/>
        </w:rPr>
        <w:t>énumérer et interpréter les constatations cliniques cruciales, notamment :</w:t>
      </w:r>
    </w:p>
    <w:p w:rsidR="0004423B" w:rsidRPr="00287CDB" w:rsidRDefault="0004423B" w:rsidP="0004423B">
      <w:pPr>
        <w:numPr>
          <w:ilvl w:val="1"/>
          <w:numId w:val="184"/>
        </w:numPr>
        <w:shd w:val="clear" w:color="auto" w:fill="FFFFFF"/>
        <w:spacing w:before="100" w:beforeAutospacing="1" w:after="100" w:afterAutospacing="1" w:line="240" w:lineRule="auto"/>
        <w:rPr>
          <w:rFonts w:cs="Times New Roman"/>
          <w:color w:val="000000"/>
          <w:sz w:val="16"/>
          <w:szCs w:val="16"/>
          <w:shd w:val="clear" w:color="auto" w:fill="FFFFFF"/>
        </w:rPr>
      </w:pPr>
      <w:r w:rsidRPr="00287CDB">
        <w:rPr>
          <w:rFonts w:cs="Times New Roman"/>
          <w:color w:val="000000"/>
          <w:sz w:val="16"/>
          <w:szCs w:val="16"/>
          <w:shd w:val="clear" w:color="auto" w:fill="FFFFFF"/>
        </w:rPr>
        <w:t>connaître les éléments d'une anamnèse et d'un examen physique appropriés;</w:t>
      </w:r>
    </w:p>
    <w:p w:rsidR="0004423B" w:rsidRPr="00287CDB" w:rsidRDefault="0004423B" w:rsidP="0004423B">
      <w:pPr>
        <w:numPr>
          <w:ilvl w:val="1"/>
          <w:numId w:val="184"/>
        </w:numPr>
        <w:shd w:val="clear" w:color="auto" w:fill="FFFFFF"/>
        <w:spacing w:before="100" w:beforeAutospacing="1" w:after="100" w:afterAutospacing="1" w:line="240" w:lineRule="auto"/>
        <w:rPr>
          <w:rFonts w:cs="Times New Roman"/>
          <w:color w:val="000000"/>
          <w:sz w:val="16"/>
          <w:szCs w:val="16"/>
          <w:shd w:val="clear" w:color="auto" w:fill="FFFFFF"/>
        </w:rPr>
      </w:pPr>
      <w:r w:rsidRPr="00287CDB">
        <w:rPr>
          <w:rFonts w:cs="Times New Roman"/>
          <w:color w:val="000000"/>
          <w:sz w:val="16"/>
          <w:szCs w:val="16"/>
          <w:shd w:val="clear" w:color="auto" w:fill="FFFFFF"/>
        </w:rPr>
        <w:t>déceler les facteurs de risque de tumeur maligne;</w:t>
      </w:r>
    </w:p>
    <w:p w:rsidR="0004423B" w:rsidRPr="00287CDB" w:rsidRDefault="0004423B" w:rsidP="0004423B">
      <w:pPr>
        <w:numPr>
          <w:ilvl w:val="1"/>
          <w:numId w:val="184"/>
        </w:numPr>
        <w:shd w:val="clear" w:color="auto" w:fill="FFFFFF"/>
        <w:spacing w:before="100" w:beforeAutospacing="1" w:after="100" w:afterAutospacing="1" w:line="240" w:lineRule="auto"/>
        <w:rPr>
          <w:rFonts w:cs="Times New Roman"/>
          <w:color w:val="000000"/>
          <w:sz w:val="16"/>
          <w:szCs w:val="16"/>
          <w:shd w:val="clear" w:color="auto" w:fill="FFFFFF"/>
        </w:rPr>
      </w:pPr>
      <w:r w:rsidRPr="00287CDB">
        <w:rPr>
          <w:rFonts w:cs="Times New Roman"/>
          <w:color w:val="000000"/>
          <w:sz w:val="16"/>
          <w:szCs w:val="16"/>
          <w:shd w:val="clear" w:color="auto" w:fill="FFFFFF"/>
        </w:rPr>
        <w:t>distinguer les affections malignes et bénignes;</w:t>
      </w:r>
    </w:p>
    <w:p w:rsidR="0004423B" w:rsidRPr="00287CDB" w:rsidRDefault="0004423B" w:rsidP="0004423B">
      <w:pPr>
        <w:numPr>
          <w:ilvl w:val="0"/>
          <w:numId w:val="184"/>
        </w:numPr>
        <w:shd w:val="clear" w:color="auto" w:fill="FFFFFF"/>
        <w:spacing w:before="100" w:beforeAutospacing="1" w:after="100" w:afterAutospacing="1" w:line="240" w:lineRule="auto"/>
        <w:rPr>
          <w:rFonts w:cs="Times New Roman"/>
          <w:color w:val="000000"/>
          <w:sz w:val="16"/>
          <w:szCs w:val="16"/>
          <w:shd w:val="clear" w:color="auto" w:fill="FFFFFF"/>
        </w:rPr>
      </w:pPr>
      <w:r w:rsidRPr="00287CDB">
        <w:rPr>
          <w:rFonts w:cs="Times New Roman"/>
          <w:color w:val="000000"/>
          <w:sz w:val="16"/>
          <w:szCs w:val="16"/>
          <w:shd w:val="clear" w:color="auto" w:fill="FFFFFF"/>
        </w:rPr>
        <w:t>énumérer et interpréter les examens essentiels;</w:t>
      </w:r>
    </w:p>
    <w:p w:rsidR="0004423B" w:rsidRPr="00287CDB" w:rsidRDefault="0004423B" w:rsidP="0004423B">
      <w:pPr>
        <w:numPr>
          <w:ilvl w:val="0"/>
          <w:numId w:val="184"/>
        </w:numPr>
        <w:shd w:val="clear" w:color="auto" w:fill="FFFFFF"/>
        <w:spacing w:before="100" w:beforeAutospacing="1" w:after="100" w:afterAutospacing="1" w:line="240" w:lineRule="auto"/>
        <w:rPr>
          <w:rFonts w:cs="Times New Roman"/>
          <w:color w:val="000000"/>
          <w:sz w:val="16"/>
          <w:szCs w:val="16"/>
          <w:shd w:val="clear" w:color="auto" w:fill="FFFFFF"/>
        </w:rPr>
      </w:pPr>
      <w:r w:rsidRPr="00287CDB">
        <w:rPr>
          <w:rFonts w:cs="Times New Roman"/>
          <w:color w:val="000000"/>
          <w:sz w:val="16"/>
          <w:szCs w:val="16"/>
          <w:shd w:val="clear" w:color="auto" w:fill="FFFFFF"/>
        </w:rPr>
        <w:t>établir un plan efficace de prise en charge, notamment :</w:t>
      </w:r>
    </w:p>
    <w:p w:rsidR="0004423B" w:rsidRPr="00287CDB" w:rsidRDefault="0004423B" w:rsidP="0004423B">
      <w:pPr>
        <w:numPr>
          <w:ilvl w:val="1"/>
          <w:numId w:val="184"/>
        </w:numPr>
        <w:shd w:val="clear" w:color="auto" w:fill="FFFFFF"/>
        <w:spacing w:before="100" w:beforeAutospacing="1" w:after="100" w:afterAutospacing="1" w:line="240" w:lineRule="auto"/>
        <w:rPr>
          <w:rFonts w:cs="Times New Roman"/>
          <w:color w:val="000000"/>
          <w:sz w:val="16"/>
          <w:szCs w:val="16"/>
          <w:shd w:val="clear" w:color="auto" w:fill="FFFFFF"/>
        </w:rPr>
      </w:pPr>
      <w:r w:rsidRPr="00287CDB">
        <w:rPr>
          <w:rFonts w:cs="Times New Roman"/>
          <w:color w:val="000000"/>
          <w:sz w:val="16"/>
          <w:szCs w:val="16"/>
          <w:shd w:val="clear" w:color="auto" w:fill="FFFFFF"/>
        </w:rPr>
        <w:t>le traitement;</w:t>
      </w:r>
    </w:p>
    <w:p w:rsidR="0004423B" w:rsidRPr="00287CDB" w:rsidRDefault="0004423B" w:rsidP="0004423B">
      <w:pPr>
        <w:numPr>
          <w:ilvl w:val="1"/>
          <w:numId w:val="184"/>
        </w:numPr>
        <w:shd w:val="clear" w:color="auto" w:fill="FFFFFF"/>
        <w:spacing w:before="100" w:beforeAutospacing="1" w:after="100" w:afterAutospacing="1" w:line="240" w:lineRule="auto"/>
        <w:rPr>
          <w:rFonts w:cs="Times New Roman"/>
          <w:color w:val="000000"/>
          <w:sz w:val="16"/>
          <w:szCs w:val="16"/>
          <w:shd w:val="clear" w:color="auto" w:fill="FFFFFF"/>
        </w:rPr>
      </w:pPr>
      <w:r w:rsidRPr="00287CDB">
        <w:rPr>
          <w:rFonts w:cs="Times New Roman"/>
          <w:color w:val="000000"/>
          <w:sz w:val="16"/>
          <w:szCs w:val="16"/>
          <w:shd w:val="clear" w:color="auto" w:fill="FFFFFF"/>
        </w:rPr>
        <w:t>l'orientation de la patiente ou du patient vers les ressources appropriées, s'il y a lieu;</w:t>
      </w:r>
    </w:p>
    <w:p w:rsidR="0004423B" w:rsidRPr="00287CDB" w:rsidRDefault="0004423B" w:rsidP="0004423B">
      <w:pPr>
        <w:numPr>
          <w:ilvl w:val="1"/>
          <w:numId w:val="184"/>
        </w:numPr>
        <w:shd w:val="clear" w:color="auto" w:fill="FFFFFF"/>
        <w:spacing w:before="100" w:beforeAutospacing="1" w:after="100" w:afterAutospacing="1" w:line="240" w:lineRule="auto"/>
        <w:rPr>
          <w:rFonts w:cs="Times New Roman"/>
          <w:color w:val="000000"/>
          <w:sz w:val="16"/>
          <w:szCs w:val="16"/>
          <w:shd w:val="clear" w:color="auto" w:fill="FFFFFF"/>
        </w:rPr>
      </w:pPr>
      <w:r w:rsidRPr="00287CDB">
        <w:rPr>
          <w:rFonts w:cs="Times New Roman"/>
          <w:color w:val="000000"/>
          <w:sz w:val="16"/>
          <w:szCs w:val="16"/>
          <w:shd w:val="clear" w:color="auto" w:fill="FFFFFF"/>
        </w:rPr>
        <w:t>le suivi et le soutien de la patiente ou du patient.</w:t>
      </w:r>
    </w:p>
    <w:p w:rsidR="0004423B" w:rsidRPr="00821A57" w:rsidRDefault="00821A57">
      <w:pPr>
        <w:rPr>
          <w:rFonts w:cs="Times New Roman"/>
          <w:b/>
          <w:sz w:val="28"/>
          <w:szCs w:val="28"/>
        </w:rPr>
      </w:pPr>
      <w:r w:rsidRPr="00821A57">
        <w:rPr>
          <w:rFonts w:cs="Times New Roman"/>
          <w:b/>
          <w:sz w:val="28"/>
          <w:szCs w:val="28"/>
        </w:rPr>
        <w:t>Étiologie(s)</w:t>
      </w:r>
    </w:p>
    <w:p w:rsidR="00DB2A15" w:rsidRPr="006505B2" w:rsidRDefault="00DB2A15" w:rsidP="00DB2A15">
      <w:pPr>
        <w:rPr>
          <w:rFonts w:cs="Times New Roman"/>
          <w:i/>
        </w:rPr>
      </w:pPr>
      <w:r w:rsidRPr="006505B2">
        <w:rPr>
          <w:rFonts w:cs="Times New Roman"/>
          <w:i/>
        </w:rPr>
        <w:t>Étiologies</w:t>
      </w:r>
    </w:p>
    <w:p w:rsidR="00DB2A15" w:rsidRDefault="00DB2A15" w:rsidP="00DB2A15">
      <w:pPr>
        <w:rPr>
          <w:rFonts w:cs="Times New Roman"/>
        </w:rPr>
      </w:pPr>
      <w:r>
        <w:rPr>
          <w:rFonts w:cs="Times New Roman"/>
        </w:rPr>
        <w:t>Les</w:t>
      </w:r>
      <w:r w:rsidRPr="00C253E9">
        <w:rPr>
          <w:rFonts w:cs="Times New Roman"/>
        </w:rPr>
        <w:t xml:space="preserve"> conditions affectant le sein sont nombreuses et doivent être distinguée du cancer, qui </w:t>
      </w:r>
      <w:r>
        <w:rPr>
          <w:rFonts w:cs="Times New Roman"/>
        </w:rPr>
        <w:t>doit être rapidement diagnostiqué pour sa part.</w:t>
      </w:r>
    </w:p>
    <w:p w:rsidR="00DB2A15" w:rsidRPr="004F0FD4" w:rsidRDefault="00DB2A15" w:rsidP="00DB2A15">
      <w:pPr>
        <w:shd w:val="clear" w:color="auto" w:fill="FFFFFF"/>
        <w:spacing w:before="100" w:beforeAutospacing="1" w:after="100" w:afterAutospacing="1" w:line="240" w:lineRule="auto"/>
        <w:rPr>
          <w:rFonts w:eastAsia="Times New Roman" w:cs="Times New Roman"/>
          <w:color w:val="000000"/>
          <w:lang w:eastAsia="fr-CA"/>
        </w:rPr>
      </w:pPr>
      <w:r>
        <w:rPr>
          <w:rFonts w:eastAsia="Times New Roman" w:cs="Times New Roman"/>
          <w:color w:val="000000"/>
          <w:lang w:eastAsia="fr-CA"/>
        </w:rPr>
        <w:t>Les questions pertinentes dans l’évaluation de l’étiologie comprennent les modifications du sein, la temporalité (chronique, cyclique (fibrokystique)</w:t>
      </w:r>
      <w:r w:rsidR="00687F2D">
        <w:rPr>
          <w:rFonts w:eastAsia="Times New Roman" w:cs="Times New Roman"/>
          <w:color w:val="000000"/>
          <w:lang w:eastAsia="fr-CA"/>
        </w:rPr>
        <w:t>)</w:t>
      </w:r>
      <w:r>
        <w:rPr>
          <w:rFonts w:eastAsia="Times New Roman" w:cs="Times New Roman"/>
          <w:color w:val="000000"/>
          <w:lang w:eastAsia="fr-CA"/>
        </w:rPr>
        <w:t>, la présence d’écoulements mammaires et l’atteinte systémique.</w:t>
      </w:r>
    </w:p>
    <w:p w:rsidR="00DB2A15" w:rsidRDefault="00DB2A15" w:rsidP="00DB2A15">
      <w:pPr>
        <w:spacing w:after="0"/>
        <w:rPr>
          <w:rFonts w:cs="Times New Roman"/>
        </w:rPr>
      </w:pPr>
      <w:r>
        <w:rPr>
          <w:rFonts w:cs="Times New Roman"/>
        </w:rPr>
        <w:t>Notons :</w:t>
      </w:r>
    </w:p>
    <w:p w:rsidR="00DB2A15" w:rsidRPr="00821A57" w:rsidRDefault="00DB2A15" w:rsidP="00DB2A15">
      <w:pPr>
        <w:numPr>
          <w:ilvl w:val="0"/>
          <w:numId w:val="185"/>
        </w:numPr>
        <w:shd w:val="clear" w:color="auto" w:fill="FFFFFF"/>
        <w:spacing w:after="100" w:afterAutospacing="1" w:line="240" w:lineRule="auto"/>
        <w:rPr>
          <w:rFonts w:eastAsia="Times New Roman" w:cs="Times New Roman"/>
          <w:b/>
          <w:color w:val="000000"/>
          <w:lang w:eastAsia="fr-CA"/>
        </w:rPr>
      </w:pPr>
      <w:r>
        <w:rPr>
          <w:noProof/>
          <w:lang w:eastAsia="fr-CA"/>
        </w:rPr>
        <w:drawing>
          <wp:anchor distT="0" distB="0" distL="114300" distR="114300" simplePos="0" relativeHeight="251714560" behindDoc="0" locked="0" layoutInCell="1" allowOverlap="1" wp14:anchorId="2DAB5DD7" wp14:editId="223BC7B1">
            <wp:simplePos x="0" y="0"/>
            <wp:positionH relativeFrom="column">
              <wp:posOffset>3530694</wp:posOffset>
            </wp:positionH>
            <wp:positionV relativeFrom="paragraph">
              <wp:posOffset>52962</wp:posOffset>
            </wp:positionV>
            <wp:extent cx="3015574" cy="2700566"/>
            <wp:effectExtent l="0" t="0" r="0" b="5080"/>
            <wp:wrapNone/>
            <wp:docPr id="48" name="Image 48" descr="Résultats de recherche d'images pour « anatomie du sei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ésultats de recherche d'images pour « anatomie du sein »"/>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015574" cy="2700566"/>
                    </a:xfrm>
                    <a:prstGeom prst="rect">
                      <a:avLst/>
                    </a:prstGeom>
                    <a:noFill/>
                    <a:ln>
                      <a:noFill/>
                    </a:ln>
                  </pic:spPr>
                </pic:pic>
              </a:graphicData>
            </a:graphic>
            <wp14:sizeRelH relativeFrom="page">
              <wp14:pctWidth>0</wp14:pctWidth>
            </wp14:sizeRelH>
            <wp14:sizeRelV relativeFrom="page">
              <wp14:pctHeight>0</wp14:pctHeight>
            </wp14:sizeRelV>
          </wp:anchor>
        </w:drawing>
      </w:r>
      <w:r w:rsidRPr="00821A57">
        <w:rPr>
          <w:rFonts w:eastAsia="Times New Roman" w:cs="Times New Roman"/>
          <w:b/>
          <w:color w:val="000000"/>
          <w:lang w:eastAsia="fr-CA"/>
        </w:rPr>
        <w:t>Ca</w:t>
      </w:r>
      <w:r w:rsidRPr="00EC64F3">
        <w:rPr>
          <w:rFonts w:eastAsia="Times New Roman" w:cs="Times New Roman"/>
          <w:b/>
          <w:color w:val="000000"/>
          <w:lang w:eastAsia="fr-CA"/>
        </w:rPr>
        <w:t>ncer</w:t>
      </w:r>
      <w:r w:rsidRPr="00821A57">
        <w:rPr>
          <w:rFonts w:eastAsia="Times New Roman" w:cs="Times New Roman"/>
          <w:b/>
          <w:color w:val="000000"/>
          <w:lang w:eastAsia="fr-CA"/>
        </w:rPr>
        <w:t xml:space="preserve"> du sein</w:t>
      </w:r>
    </w:p>
    <w:p w:rsidR="00DB2A15" w:rsidRDefault="00DB2A15" w:rsidP="00DB2A15">
      <w:pPr>
        <w:numPr>
          <w:ilvl w:val="1"/>
          <w:numId w:val="185"/>
        </w:numPr>
        <w:shd w:val="clear" w:color="auto" w:fill="FFFFFF"/>
        <w:spacing w:before="100" w:beforeAutospacing="1" w:after="100" w:afterAutospacing="1" w:line="240" w:lineRule="auto"/>
        <w:rPr>
          <w:rFonts w:eastAsia="Times New Roman" w:cs="Times New Roman"/>
          <w:color w:val="000000"/>
          <w:lang w:eastAsia="fr-CA"/>
        </w:rPr>
      </w:pPr>
      <w:r w:rsidRPr="00821A57">
        <w:rPr>
          <w:rFonts w:eastAsia="Times New Roman" w:cs="Times New Roman"/>
          <w:color w:val="000000"/>
          <w:lang w:eastAsia="fr-CA"/>
        </w:rPr>
        <w:t>Non invasif</w:t>
      </w:r>
      <w:r>
        <w:rPr>
          <w:rFonts w:eastAsia="Times New Roman" w:cs="Times New Roman"/>
          <w:color w:val="000000"/>
          <w:lang w:eastAsia="fr-CA"/>
        </w:rPr>
        <w:t xml:space="preserve"> </w:t>
      </w:r>
    </w:p>
    <w:p w:rsidR="00DB2A15" w:rsidRDefault="00DB2A15" w:rsidP="00DB2A15">
      <w:pPr>
        <w:numPr>
          <w:ilvl w:val="2"/>
          <w:numId w:val="185"/>
        </w:numPr>
        <w:shd w:val="clear" w:color="auto" w:fill="FFFFFF"/>
        <w:spacing w:before="100" w:beforeAutospacing="1" w:after="100" w:afterAutospacing="1" w:line="240" w:lineRule="auto"/>
        <w:rPr>
          <w:rFonts w:eastAsia="Times New Roman" w:cs="Times New Roman"/>
          <w:color w:val="000000"/>
          <w:lang w:eastAsia="fr-CA"/>
        </w:rPr>
      </w:pPr>
      <w:r>
        <w:rPr>
          <w:rFonts w:eastAsia="Times New Roman" w:cs="Times New Roman"/>
          <w:color w:val="000000"/>
          <w:lang w:eastAsia="fr-CA"/>
        </w:rPr>
        <w:t xml:space="preserve">Carcinome canalaire </w:t>
      </w:r>
      <w:r w:rsidRPr="00BD21AF">
        <w:rPr>
          <w:rFonts w:eastAsia="Times New Roman" w:cs="Times New Roman"/>
          <w:i/>
          <w:color w:val="000000"/>
          <w:lang w:eastAsia="fr-CA"/>
        </w:rPr>
        <w:t xml:space="preserve">in situ </w:t>
      </w:r>
      <w:r>
        <w:rPr>
          <w:rFonts w:eastAsia="Times New Roman" w:cs="Times New Roman"/>
          <w:color w:val="000000"/>
          <w:lang w:eastAsia="fr-CA"/>
        </w:rPr>
        <w:t xml:space="preserve">(DCIS) </w:t>
      </w:r>
    </w:p>
    <w:p w:rsidR="00DB2A15" w:rsidRPr="00821A57" w:rsidRDefault="00DB2A15" w:rsidP="00DB2A15">
      <w:pPr>
        <w:numPr>
          <w:ilvl w:val="2"/>
          <w:numId w:val="185"/>
        </w:numPr>
        <w:shd w:val="clear" w:color="auto" w:fill="FFFFFF"/>
        <w:spacing w:before="100" w:beforeAutospacing="1" w:after="100" w:afterAutospacing="1" w:line="240" w:lineRule="auto"/>
        <w:rPr>
          <w:rFonts w:eastAsia="Times New Roman" w:cs="Times New Roman"/>
          <w:color w:val="000000"/>
          <w:lang w:eastAsia="fr-CA"/>
        </w:rPr>
      </w:pPr>
      <w:r>
        <w:rPr>
          <w:rFonts w:eastAsia="Times New Roman" w:cs="Times New Roman"/>
          <w:color w:val="000000"/>
          <w:lang w:eastAsia="fr-CA"/>
        </w:rPr>
        <w:t xml:space="preserve">Carcinome lobaire </w:t>
      </w:r>
      <w:r w:rsidRPr="00BD21AF">
        <w:rPr>
          <w:rFonts w:eastAsia="Times New Roman" w:cs="Times New Roman"/>
          <w:i/>
          <w:color w:val="000000"/>
          <w:lang w:eastAsia="fr-CA"/>
        </w:rPr>
        <w:t xml:space="preserve">in situ </w:t>
      </w:r>
      <w:r>
        <w:rPr>
          <w:rFonts w:eastAsia="Times New Roman" w:cs="Times New Roman"/>
          <w:color w:val="000000"/>
          <w:lang w:eastAsia="fr-CA"/>
        </w:rPr>
        <w:t>(LCIS)</w:t>
      </w:r>
    </w:p>
    <w:p w:rsidR="00DB2A15" w:rsidRDefault="00DB2A15" w:rsidP="00DB2A15">
      <w:pPr>
        <w:numPr>
          <w:ilvl w:val="1"/>
          <w:numId w:val="185"/>
        </w:numPr>
        <w:shd w:val="clear" w:color="auto" w:fill="FFFFFF"/>
        <w:spacing w:before="100" w:beforeAutospacing="1" w:after="100" w:afterAutospacing="1" w:line="240" w:lineRule="auto"/>
        <w:rPr>
          <w:rFonts w:eastAsia="Times New Roman" w:cs="Times New Roman"/>
          <w:color w:val="000000"/>
          <w:lang w:eastAsia="fr-CA"/>
        </w:rPr>
      </w:pPr>
      <w:r w:rsidRPr="00821A57">
        <w:rPr>
          <w:rFonts w:eastAsia="Times New Roman" w:cs="Times New Roman"/>
          <w:color w:val="000000"/>
          <w:lang w:eastAsia="fr-CA"/>
        </w:rPr>
        <w:t>Invasif</w:t>
      </w:r>
      <w:r>
        <w:rPr>
          <w:rFonts w:eastAsia="Times New Roman" w:cs="Times New Roman"/>
          <w:color w:val="000000"/>
          <w:lang w:eastAsia="fr-CA"/>
        </w:rPr>
        <w:t xml:space="preserve"> </w:t>
      </w:r>
    </w:p>
    <w:p w:rsidR="00DB2A15" w:rsidRDefault="00DB2A15" w:rsidP="00DB2A15">
      <w:pPr>
        <w:numPr>
          <w:ilvl w:val="2"/>
          <w:numId w:val="185"/>
        </w:numPr>
        <w:shd w:val="clear" w:color="auto" w:fill="FFFFFF"/>
        <w:spacing w:before="100" w:beforeAutospacing="1" w:after="100" w:afterAutospacing="1" w:line="240" w:lineRule="auto"/>
        <w:rPr>
          <w:rFonts w:eastAsia="Times New Roman" w:cs="Times New Roman"/>
          <w:color w:val="000000"/>
          <w:lang w:eastAsia="fr-CA"/>
        </w:rPr>
      </w:pPr>
      <w:r>
        <w:rPr>
          <w:rFonts w:eastAsia="Times New Roman" w:cs="Times New Roman"/>
          <w:color w:val="000000"/>
          <w:lang w:eastAsia="fr-CA"/>
        </w:rPr>
        <w:t xml:space="preserve">Carcinome canalaire invasif </w:t>
      </w:r>
    </w:p>
    <w:p w:rsidR="00DB2A15" w:rsidRDefault="00DB2A15" w:rsidP="00DB2A15">
      <w:pPr>
        <w:numPr>
          <w:ilvl w:val="2"/>
          <w:numId w:val="185"/>
        </w:numPr>
        <w:shd w:val="clear" w:color="auto" w:fill="FFFFFF"/>
        <w:spacing w:before="100" w:beforeAutospacing="1" w:after="100" w:afterAutospacing="1" w:line="240" w:lineRule="auto"/>
        <w:rPr>
          <w:rFonts w:eastAsia="Times New Roman" w:cs="Times New Roman"/>
          <w:color w:val="000000"/>
          <w:lang w:eastAsia="fr-CA"/>
        </w:rPr>
      </w:pPr>
      <w:r>
        <w:rPr>
          <w:rFonts w:eastAsia="Times New Roman" w:cs="Times New Roman"/>
          <w:color w:val="000000"/>
          <w:lang w:eastAsia="fr-CA"/>
        </w:rPr>
        <w:t>Carcinome lobulaire invasif,</w:t>
      </w:r>
    </w:p>
    <w:p w:rsidR="00DB2A15" w:rsidRDefault="00DB2A15" w:rsidP="00DB2A15">
      <w:pPr>
        <w:numPr>
          <w:ilvl w:val="2"/>
          <w:numId w:val="185"/>
        </w:numPr>
        <w:shd w:val="clear" w:color="auto" w:fill="FFFFFF"/>
        <w:spacing w:before="100" w:beforeAutospacing="1" w:after="100" w:afterAutospacing="1" w:line="240" w:lineRule="auto"/>
        <w:rPr>
          <w:rFonts w:eastAsia="Times New Roman" w:cs="Times New Roman"/>
          <w:color w:val="000000"/>
          <w:lang w:eastAsia="fr-CA"/>
        </w:rPr>
      </w:pPr>
      <w:r>
        <w:rPr>
          <w:rFonts w:eastAsia="Times New Roman" w:cs="Times New Roman"/>
          <w:color w:val="000000"/>
          <w:lang w:eastAsia="fr-CA"/>
        </w:rPr>
        <w:t xml:space="preserve"> Maladie de Paget du sein</w:t>
      </w:r>
    </w:p>
    <w:p w:rsidR="00DB2A15" w:rsidRDefault="00DB2A15" w:rsidP="00DB2A15">
      <w:pPr>
        <w:numPr>
          <w:ilvl w:val="2"/>
          <w:numId w:val="185"/>
        </w:numPr>
        <w:shd w:val="clear" w:color="auto" w:fill="FFFFFF"/>
        <w:spacing w:before="100" w:beforeAutospacing="1" w:after="100" w:afterAutospacing="1" w:line="240" w:lineRule="auto"/>
        <w:rPr>
          <w:rFonts w:eastAsia="Times New Roman" w:cs="Times New Roman"/>
          <w:color w:val="000000"/>
          <w:lang w:eastAsia="fr-CA"/>
        </w:rPr>
      </w:pPr>
      <w:r>
        <w:rPr>
          <w:rFonts w:eastAsia="Times New Roman" w:cs="Times New Roman"/>
          <w:color w:val="000000"/>
          <w:lang w:eastAsia="fr-CA"/>
        </w:rPr>
        <w:t xml:space="preserve"> Carcinome inflammatoire</w:t>
      </w:r>
    </w:p>
    <w:p w:rsidR="00DB2A15" w:rsidRDefault="00DB2A15" w:rsidP="00DB2A15">
      <w:pPr>
        <w:numPr>
          <w:ilvl w:val="2"/>
          <w:numId w:val="185"/>
        </w:numPr>
        <w:shd w:val="clear" w:color="auto" w:fill="FFFFFF"/>
        <w:spacing w:before="100" w:beforeAutospacing="1" w:after="0" w:line="240" w:lineRule="auto"/>
        <w:rPr>
          <w:rFonts w:eastAsia="Times New Roman" w:cs="Times New Roman"/>
          <w:color w:val="000000"/>
          <w:lang w:eastAsia="fr-CA"/>
        </w:rPr>
      </w:pPr>
      <w:r>
        <w:rPr>
          <w:rFonts w:eastAsia="Times New Roman" w:cs="Times New Roman"/>
          <w:color w:val="000000"/>
          <w:lang w:eastAsia="fr-CA"/>
        </w:rPr>
        <w:t xml:space="preserve"> Cancer du sein masculin</w:t>
      </w:r>
      <w:r w:rsidR="003A557B">
        <w:rPr>
          <w:rFonts w:eastAsia="Times New Roman" w:cs="Times New Roman"/>
          <w:color w:val="000000"/>
          <w:lang w:eastAsia="fr-CA"/>
        </w:rPr>
        <w:t xml:space="preserve"> (</w:t>
      </w:r>
      <w:r w:rsidR="003A557B">
        <w:rPr>
          <w:rFonts w:ascii="Century Gothic" w:eastAsia="Times New Roman" w:hAnsi="Century Gothic" w:cs="Times New Roman"/>
          <w:color w:val="000000"/>
          <w:lang w:eastAsia="fr-CA"/>
        </w:rPr>
        <w:t>&lt;</w:t>
      </w:r>
      <w:r w:rsidR="003A557B">
        <w:rPr>
          <w:rFonts w:eastAsia="Times New Roman" w:cs="Times New Roman"/>
          <w:color w:val="000000"/>
          <w:lang w:eastAsia="fr-CA"/>
        </w:rPr>
        <w:t>1%)</w:t>
      </w:r>
    </w:p>
    <w:p w:rsidR="00DB2A15" w:rsidRDefault="00DB2A15" w:rsidP="00DB2A15">
      <w:pPr>
        <w:shd w:val="clear" w:color="auto" w:fill="FFFFFF"/>
        <w:spacing w:after="0" w:line="240" w:lineRule="auto"/>
        <w:ind w:left="2160"/>
        <w:rPr>
          <w:rFonts w:eastAsia="Times New Roman" w:cs="Times New Roman"/>
          <w:color w:val="000000"/>
          <w:lang w:eastAsia="fr-CA"/>
        </w:rPr>
      </w:pPr>
    </w:p>
    <w:p w:rsidR="00DB2A15" w:rsidRPr="00821A57" w:rsidRDefault="00DB2A15" w:rsidP="00DB2A15">
      <w:pPr>
        <w:numPr>
          <w:ilvl w:val="0"/>
          <w:numId w:val="185"/>
        </w:numPr>
        <w:shd w:val="clear" w:color="auto" w:fill="FFFFFF"/>
        <w:spacing w:after="100" w:afterAutospacing="1" w:line="240" w:lineRule="auto"/>
        <w:rPr>
          <w:rFonts w:eastAsia="Times New Roman" w:cs="Times New Roman"/>
          <w:b/>
          <w:color w:val="000000"/>
          <w:lang w:eastAsia="fr-CA"/>
        </w:rPr>
      </w:pPr>
      <w:r w:rsidRPr="00EC64F3">
        <w:rPr>
          <w:rFonts w:eastAsia="Times New Roman" w:cs="Times New Roman"/>
          <w:b/>
          <w:color w:val="000000"/>
          <w:lang w:eastAsia="fr-CA"/>
        </w:rPr>
        <w:t>Pathologies bénignes du sein</w:t>
      </w:r>
    </w:p>
    <w:p w:rsidR="00DB2A15" w:rsidRDefault="00DB2A15" w:rsidP="00DB2A15">
      <w:pPr>
        <w:numPr>
          <w:ilvl w:val="1"/>
          <w:numId w:val="185"/>
        </w:numPr>
        <w:shd w:val="clear" w:color="auto" w:fill="FFFFFF"/>
        <w:spacing w:before="100" w:beforeAutospacing="1" w:after="100" w:afterAutospacing="1" w:line="240" w:lineRule="auto"/>
        <w:rPr>
          <w:rFonts w:eastAsia="Times New Roman" w:cs="Times New Roman"/>
          <w:color w:val="000000"/>
          <w:lang w:eastAsia="fr-CA"/>
        </w:rPr>
      </w:pPr>
      <w:r>
        <w:rPr>
          <w:rFonts w:eastAsia="Times New Roman" w:cs="Times New Roman"/>
          <w:color w:val="000000"/>
          <w:lang w:eastAsia="fr-CA"/>
        </w:rPr>
        <w:t>Fibroadénome</w:t>
      </w:r>
    </w:p>
    <w:p w:rsidR="00DB2A15" w:rsidRPr="00821A57" w:rsidRDefault="00DD7B33" w:rsidP="00DB2A15">
      <w:pPr>
        <w:numPr>
          <w:ilvl w:val="1"/>
          <w:numId w:val="185"/>
        </w:numPr>
        <w:shd w:val="clear" w:color="auto" w:fill="FFFFFF"/>
        <w:spacing w:before="100" w:beforeAutospacing="1" w:after="100" w:afterAutospacing="1" w:line="240" w:lineRule="auto"/>
        <w:rPr>
          <w:rFonts w:eastAsia="Times New Roman" w:cs="Times New Roman"/>
          <w:color w:val="000000"/>
          <w:lang w:eastAsia="fr-CA"/>
        </w:rPr>
      </w:pPr>
      <w:r>
        <w:rPr>
          <w:rFonts w:eastAsia="Times New Roman" w:cs="Times New Roman"/>
          <w:color w:val="000000"/>
          <w:lang w:eastAsia="fr-CA"/>
        </w:rPr>
        <w:t>Maladie fibrokystique</w:t>
      </w:r>
      <w:r w:rsidR="00DB2A15">
        <w:rPr>
          <w:rFonts w:eastAsia="Times New Roman" w:cs="Times New Roman"/>
          <w:color w:val="000000"/>
          <w:lang w:eastAsia="fr-CA"/>
        </w:rPr>
        <w:t xml:space="preserve"> du sein</w:t>
      </w:r>
    </w:p>
    <w:p w:rsidR="00DB2A15" w:rsidRPr="00821A57" w:rsidRDefault="00DB2A15" w:rsidP="00DB2A15">
      <w:pPr>
        <w:numPr>
          <w:ilvl w:val="1"/>
          <w:numId w:val="185"/>
        </w:numPr>
        <w:shd w:val="clear" w:color="auto" w:fill="FFFFFF"/>
        <w:spacing w:before="100" w:beforeAutospacing="1" w:after="100" w:afterAutospacing="1" w:line="240" w:lineRule="auto"/>
        <w:rPr>
          <w:rFonts w:eastAsia="Times New Roman" w:cs="Times New Roman"/>
          <w:color w:val="000000"/>
          <w:lang w:eastAsia="fr-CA"/>
        </w:rPr>
      </w:pPr>
      <w:r>
        <w:rPr>
          <w:rFonts w:eastAsia="Times New Roman" w:cs="Times New Roman"/>
          <w:color w:val="000000"/>
          <w:lang w:eastAsia="fr-CA"/>
        </w:rPr>
        <w:t>Papillome intracanalaire</w:t>
      </w:r>
    </w:p>
    <w:p w:rsidR="00DB2A15" w:rsidRPr="00821A57" w:rsidRDefault="00DB2A15" w:rsidP="00DB2A15">
      <w:pPr>
        <w:numPr>
          <w:ilvl w:val="1"/>
          <w:numId w:val="185"/>
        </w:numPr>
        <w:shd w:val="clear" w:color="auto" w:fill="FFFFFF"/>
        <w:spacing w:before="100" w:beforeAutospacing="1" w:after="100" w:afterAutospacing="1" w:line="240" w:lineRule="auto"/>
        <w:rPr>
          <w:rFonts w:eastAsia="Times New Roman" w:cs="Times New Roman"/>
          <w:color w:val="000000"/>
          <w:lang w:eastAsia="fr-CA"/>
        </w:rPr>
      </w:pPr>
      <w:r>
        <w:rPr>
          <w:rFonts w:eastAsia="Times New Roman" w:cs="Times New Roman"/>
          <w:color w:val="000000"/>
          <w:lang w:eastAsia="fr-CA"/>
        </w:rPr>
        <w:t>Mastite / Abcès</w:t>
      </w:r>
    </w:p>
    <w:p w:rsidR="00DB2A15" w:rsidRPr="00821A57" w:rsidRDefault="00DB2A15" w:rsidP="00DB2A15">
      <w:pPr>
        <w:numPr>
          <w:ilvl w:val="1"/>
          <w:numId w:val="185"/>
        </w:numPr>
        <w:shd w:val="clear" w:color="auto" w:fill="FFFFFF"/>
        <w:spacing w:before="100" w:beforeAutospacing="1" w:after="100" w:afterAutospacing="1" w:line="240" w:lineRule="auto"/>
        <w:rPr>
          <w:rFonts w:eastAsia="Times New Roman" w:cs="Times New Roman"/>
          <w:color w:val="000000"/>
          <w:lang w:eastAsia="fr-CA"/>
        </w:rPr>
      </w:pPr>
      <w:r>
        <w:rPr>
          <w:rFonts w:eastAsia="Times New Roman" w:cs="Times New Roman"/>
          <w:color w:val="000000"/>
          <w:lang w:eastAsia="fr-CA"/>
        </w:rPr>
        <w:t>Ectasie canalaire</w:t>
      </w:r>
    </w:p>
    <w:p w:rsidR="00DB2A15" w:rsidRDefault="00DB2A15" w:rsidP="00DB2A15">
      <w:pPr>
        <w:numPr>
          <w:ilvl w:val="1"/>
          <w:numId w:val="185"/>
        </w:numPr>
        <w:shd w:val="clear" w:color="auto" w:fill="FFFFFF"/>
        <w:spacing w:before="100" w:beforeAutospacing="1" w:after="100" w:afterAutospacing="1" w:line="240" w:lineRule="auto"/>
        <w:rPr>
          <w:rFonts w:eastAsia="Times New Roman" w:cs="Times New Roman"/>
          <w:color w:val="000000"/>
          <w:lang w:eastAsia="fr-CA"/>
        </w:rPr>
      </w:pPr>
      <w:r>
        <w:rPr>
          <w:rFonts w:eastAsia="Times New Roman" w:cs="Times New Roman"/>
          <w:color w:val="000000"/>
          <w:lang w:eastAsia="fr-CA"/>
        </w:rPr>
        <w:t>Tubercule de Montgmomery</w:t>
      </w:r>
    </w:p>
    <w:p w:rsidR="00DB2A15" w:rsidRPr="002B5654" w:rsidRDefault="00DB2A15" w:rsidP="00DB2A15">
      <w:pPr>
        <w:numPr>
          <w:ilvl w:val="1"/>
          <w:numId w:val="185"/>
        </w:numPr>
        <w:shd w:val="clear" w:color="auto" w:fill="FFFFFF"/>
        <w:spacing w:before="100" w:beforeAutospacing="1" w:after="100" w:afterAutospacing="1" w:line="240" w:lineRule="auto"/>
        <w:rPr>
          <w:rFonts w:eastAsia="Times New Roman" w:cs="Times New Roman"/>
          <w:color w:val="000000"/>
          <w:lang w:eastAsia="fr-CA"/>
        </w:rPr>
      </w:pPr>
      <w:r>
        <w:rPr>
          <w:rFonts w:eastAsia="Times New Roman" w:cs="Times New Roman"/>
          <w:color w:val="000000"/>
          <w:lang w:eastAsia="fr-CA"/>
        </w:rPr>
        <w:t>Nécrose graisseuse</w:t>
      </w:r>
    </w:p>
    <w:p w:rsidR="00DB2A15" w:rsidRDefault="00DB2A15">
      <w:pPr>
        <w:rPr>
          <w:rFonts w:cs="Times New Roman"/>
          <w:i/>
        </w:rPr>
      </w:pPr>
    </w:p>
    <w:p w:rsidR="00DB2A15" w:rsidRDefault="00DB2A15">
      <w:pPr>
        <w:rPr>
          <w:rFonts w:cs="Times New Roman"/>
          <w:i/>
        </w:rPr>
      </w:pPr>
    </w:p>
    <w:p w:rsidR="00496DD5" w:rsidRPr="00DD6343" w:rsidRDefault="00435E1A">
      <w:pPr>
        <w:rPr>
          <w:rFonts w:cs="Times New Roman"/>
          <w:i/>
        </w:rPr>
      </w:pPr>
      <w:r>
        <w:rPr>
          <w:noProof/>
          <w:lang w:eastAsia="fr-CA"/>
        </w:rPr>
        <w:drawing>
          <wp:anchor distT="0" distB="0" distL="114300" distR="114300" simplePos="0" relativeHeight="251715584" behindDoc="0" locked="0" layoutInCell="1" allowOverlap="1" wp14:anchorId="6A6888D2" wp14:editId="4755D0FB">
            <wp:simplePos x="0" y="0"/>
            <wp:positionH relativeFrom="column">
              <wp:posOffset>5437519</wp:posOffset>
            </wp:positionH>
            <wp:positionV relativeFrom="paragraph">
              <wp:posOffset>-314181</wp:posOffset>
            </wp:positionV>
            <wp:extent cx="1031240" cy="1371600"/>
            <wp:effectExtent l="0" t="0" r="0" b="0"/>
            <wp:wrapNone/>
            <wp:docPr id="49" name="Image 49" descr="Résultats de recherche d'images pour « néoplasie du sei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ésultats de recherche d'images pour « néoplasie du sein »"/>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031240" cy="1371600"/>
                    </a:xfrm>
                    <a:prstGeom prst="rect">
                      <a:avLst/>
                    </a:prstGeom>
                    <a:noFill/>
                    <a:ln>
                      <a:noFill/>
                    </a:ln>
                  </pic:spPr>
                </pic:pic>
              </a:graphicData>
            </a:graphic>
            <wp14:sizeRelH relativeFrom="page">
              <wp14:pctWidth>0</wp14:pctWidth>
            </wp14:sizeRelH>
            <wp14:sizeRelV relativeFrom="page">
              <wp14:pctHeight>0</wp14:pctHeight>
            </wp14:sizeRelV>
          </wp:anchor>
        </w:drawing>
      </w:r>
      <w:r w:rsidR="00C253E9" w:rsidRPr="00DD6343">
        <w:rPr>
          <w:rFonts w:cs="Times New Roman"/>
          <w:i/>
        </w:rPr>
        <w:t>Dépistage du cancer du sein</w:t>
      </w:r>
    </w:p>
    <w:p w:rsidR="00496DD5" w:rsidRDefault="00496DD5" w:rsidP="00496DD5">
      <w:pPr>
        <w:pStyle w:val="Paragraphedeliste"/>
        <w:numPr>
          <w:ilvl w:val="0"/>
          <w:numId w:val="186"/>
        </w:numPr>
        <w:rPr>
          <w:rFonts w:cs="Times New Roman"/>
        </w:rPr>
      </w:pPr>
      <w:r w:rsidRPr="00496DD5">
        <w:rPr>
          <w:rFonts w:cs="Times New Roman"/>
        </w:rPr>
        <w:t>Comme tout dépistage, il est fait chez des femmes asymptomatiques.</w:t>
      </w:r>
      <w:r w:rsidR="00435E1A" w:rsidRPr="00435E1A">
        <w:t xml:space="preserve"> </w:t>
      </w:r>
    </w:p>
    <w:p w:rsidR="00E95637" w:rsidRDefault="00E95637" w:rsidP="00E95637">
      <w:pPr>
        <w:pStyle w:val="Paragraphedeliste"/>
        <w:numPr>
          <w:ilvl w:val="0"/>
          <w:numId w:val="186"/>
        </w:numPr>
        <w:rPr>
          <w:rFonts w:cs="Times New Roman"/>
        </w:rPr>
      </w:pPr>
      <w:r>
        <w:rPr>
          <w:rFonts w:cs="Times New Roman"/>
        </w:rPr>
        <w:t xml:space="preserve">1 femme sur 9 au </w:t>
      </w:r>
      <w:r w:rsidR="00687F2D">
        <w:rPr>
          <w:rFonts w:cs="Times New Roman"/>
        </w:rPr>
        <w:t>C</w:t>
      </w:r>
      <w:r>
        <w:rPr>
          <w:rFonts w:cs="Times New Roman"/>
        </w:rPr>
        <w:t>anada sera atteinte du cancer du sein</w:t>
      </w:r>
    </w:p>
    <w:p w:rsidR="00DD6343" w:rsidRDefault="00DD6343" w:rsidP="00496DD5">
      <w:pPr>
        <w:pStyle w:val="Paragraphedeliste"/>
        <w:numPr>
          <w:ilvl w:val="0"/>
          <w:numId w:val="186"/>
        </w:numPr>
        <w:rPr>
          <w:rFonts w:cs="Times New Roman"/>
        </w:rPr>
      </w:pPr>
      <w:r>
        <w:rPr>
          <w:rFonts w:cs="Times New Roman"/>
        </w:rPr>
        <w:t>Peut réduire la mortalité associée jusqu’à 25% si participation adéquate (</w:t>
      </w:r>
      <w:r>
        <w:rPr>
          <w:rFonts w:ascii="Century Gothic" w:hAnsi="Century Gothic" w:cs="Times New Roman"/>
        </w:rPr>
        <w:t>≥</w:t>
      </w:r>
      <w:r>
        <w:rPr>
          <w:rFonts w:cs="Times New Roman"/>
        </w:rPr>
        <w:t>70%)</w:t>
      </w:r>
    </w:p>
    <w:p w:rsidR="00E95637" w:rsidRDefault="00E95637" w:rsidP="00496DD5">
      <w:pPr>
        <w:pStyle w:val="Paragraphedeliste"/>
        <w:numPr>
          <w:ilvl w:val="0"/>
          <w:numId w:val="186"/>
        </w:numPr>
        <w:rPr>
          <w:rFonts w:cs="Times New Roman"/>
        </w:rPr>
      </w:pPr>
      <w:r>
        <w:rPr>
          <w:rFonts w:cs="Times New Roman"/>
        </w:rPr>
        <w:t xml:space="preserve">Taux de survie à 5 an </w:t>
      </w:r>
      <w:r>
        <w:rPr>
          <w:rFonts w:ascii="Century Gothic" w:hAnsi="Century Gothic" w:cs="Times New Roman"/>
        </w:rPr>
        <w:t>≥</w:t>
      </w:r>
      <w:r>
        <w:rPr>
          <w:rFonts w:cs="Times New Roman"/>
        </w:rPr>
        <w:t xml:space="preserve"> 95% si détecté au stade I, et de </w:t>
      </w:r>
      <w:r>
        <w:rPr>
          <w:rFonts w:ascii="Century Gothic" w:hAnsi="Century Gothic" w:cs="Times New Roman"/>
        </w:rPr>
        <w:t>≥</w:t>
      </w:r>
      <w:r>
        <w:rPr>
          <w:rFonts w:cs="Times New Roman"/>
        </w:rPr>
        <w:t>85% au stade II</w:t>
      </w:r>
    </w:p>
    <w:p w:rsidR="00EC64F3" w:rsidRPr="00496DD5" w:rsidRDefault="00EC64F3" w:rsidP="00E95637">
      <w:pPr>
        <w:pStyle w:val="Paragraphedeliste"/>
        <w:ind w:left="360"/>
        <w:rPr>
          <w:rFonts w:cs="Times New Roman"/>
        </w:rPr>
      </w:pPr>
    </w:p>
    <w:p w:rsidR="00496DD5" w:rsidRPr="00496DD5" w:rsidRDefault="00496DD5" w:rsidP="00496DD5">
      <w:pPr>
        <w:pStyle w:val="Paragraphedeliste"/>
        <w:numPr>
          <w:ilvl w:val="0"/>
          <w:numId w:val="186"/>
        </w:numPr>
        <w:rPr>
          <w:rFonts w:cs="Times New Roman"/>
        </w:rPr>
      </w:pPr>
      <w:r w:rsidRPr="00496DD5">
        <w:rPr>
          <w:rFonts w:cs="Times New Roman"/>
        </w:rPr>
        <w:t>Comprend une mammographie de dépistage tous les 2 ans, chez les femmes de 50 à 69 ans (systématique)</w:t>
      </w:r>
    </w:p>
    <w:p w:rsidR="00496DD5" w:rsidRPr="00046A61" w:rsidRDefault="00496DD5" w:rsidP="00046A61">
      <w:pPr>
        <w:pStyle w:val="Paragraphedeliste"/>
        <w:numPr>
          <w:ilvl w:val="0"/>
          <w:numId w:val="186"/>
        </w:numPr>
        <w:rPr>
          <w:rFonts w:cs="Times New Roman"/>
        </w:rPr>
      </w:pPr>
      <w:r w:rsidRPr="00046A61">
        <w:rPr>
          <w:rFonts w:cs="Times New Roman"/>
        </w:rPr>
        <w:t xml:space="preserve">Cet examen de dépistage est également indiqué : </w:t>
      </w:r>
    </w:p>
    <w:p w:rsidR="00073F96" w:rsidRDefault="00496DD5" w:rsidP="00073F96">
      <w:pPr>
        <w:pStyle w:val="Paragraphedeliste"/>
        <w:numPr>
          <w:ilvl w:val="1"/>
          <w:numId w:val="186"/>
        </w:numPr>
        <w:rPr>
          <w:rFonts w:cs="Times New Roman"/>
        </w:rPr>
      </w:pPr>
      <w:r w:rsidRPr="00496DD5">
        <w:rPr>
          <w:rFonts w:cs="Times New Roman"/>
        </w:rPr>
        <w:t>chez des femmes asymptomatiques de moins de 50 ans s’il y a des facteurs de risques particuliers.</w:t>
      </w:r>
    </w:p>
    <w:p w:rsidR="00496DD5" w:rsidRPr="00073F96" w:rsidRDefault="00073F96" w:rsidP="00073F96">
      <w:pPr>
        <w:pStyle w:val="Paragraphedeliste"/>
        <w:numPr>
          <w:ilvl w:val="1"/>
          <w:numId w:val="186"/>
        </w:numPr>
        <w:rPr>
          <w:rFonts w:cs="Times New Roman"/>
        </w:rPr>
      </w:pPr>
      <w:r w:rsidRPr="00073F96">
        <w:rPr>
          <w:rFonts w:cs="Times New Roman"/>
        </w:rPr>
        <w:t xml:space="preserve">chez des femmes de 70 ans et plus si leur espérance de vie est </w:t>
      </w:r>
      <w:r w:rsidRPr="00073F96">
        <w:rPr>
          <w:rFonts w:ascii="Century Gothic" w:hAnsi="Century Gothic" w:cs="Times New Roman"/>
        </w:rPr>
        <w:t>≥</w:t>
      </w:r>
      <w:r w:rsidRPr="00073F96">
        <w:rPr>
          <w:rFonts w:cs="Times New Roman"/>
        </w:rPr>
        <w:t xml:space="preserve"> 5 ans</w:t>
      </w:r>
    </w:p>
    <w:tbl>
      <w:tblPr>
        <w:tblStyle w:val="Grilledutableau"/>
        <w:tblW w:w="0" w:type="auto"/>
        <w:tblInd w:w="708" w:type="dxa"/>
        <w:tblLook w:val="04A0" w:firstRow="1" w:lastRow="0" w:firstColumn="1" w:lastColumn="0" w:noHBand="0" w:noVBand="1"/>
      </w:tblPr>
      <w:tblGrid>
        <w:gridCol w:w="3113"/>
        <w:gridCol w:w="3018"/>
        <w:gridCol w:w="3085"/>
      </w:tblGrid>
      <w:tr w:rsidR="00DD6343" w:rsidTr="00046A61">
        <w:tc>
          <w:tcPr>
            <w:tcW w:w="3113" w:type="dxa"/>
            <w:shd w:val="clear" w:color="auto" w:fill="CCC0D9" w:themeFill="accent4" w:themeFillTint="66"/>
          </w:tcPr>
          <w:p w:rsidR="00DD6343" w:rsidRPr="00DD6343" w:rsidRDefault="00DD6343" w:rsidP="00DD6343">
            <w:pPr>
              <w:pStyle w:val="Paragraphedeliste"/>
              <w:ind w:left="0"/>
              <w:jc w:val="center"/>
              <w:rPr>
                <w:rFonts w:cs="Times New Roman"/>
              </w:rPr>
            </w:pPr>
            <w:r w:rsidRPr="00DD6343">
              <w:rPr>
                <w:rFonts w:cs="Times New Roman"/>
              </w:rPr>
              <w:t>Indications</w:t>
            </w:r>
          </w:p>
        </w:tc>
        <w:tc>
          <w:tcPr>
            <w:tcW w:w="3018" w:type="dxa"/>
            <w:shd w:val="clear" w:color="auto" w:fill="CCC0D9" w:themeFill="accent4" w:themeFillTint="66"/>
          </w:tcPr>
          <w:p w:rsidR="00DD6343" w:rsidRPr="00DD6343" w:rsidRDefault="00DD6343" w:rsidP="00DD6343">
            <w:pPr>
              <w:pStyle w:val="Paragraphedeliste"/>
              <w:ind w:left="0"/>
              <w:jc w:val="center"/>
              <w:rPr>
                <w:rFonts w:cs="Times New Roman"/>
              </w:rPr>
            </w:pPr>
            <w:r w:rsidRPr="00DD6343">
              <w:rPr>
                <w:rFonts w:cs="Times New Roman"/>
              </w:rPr>
              <w:t>Début</w:t>
            </w:r>
          </w:p>
        </w:tc>
        <w:tc>
          <w:tcPr>
            <w:tcW w:w="3085" w:type="dxa"/>
            <w:shd w:val="clear" w:color="auto" w:fill="CCC0D9" w:themeFill="accent4" w:themeFillTint="66"/>
          </w:tcPr>
          <w:p w:rsidR="00DD6343" w:rsidRPr="00DD6343" w:rsidRDefault="00DD6343" w:rsidP="00DD6343">
            <w:pPr>
              <w:jc w:val="center"/>
              <w:rPr>
                <w:rFonts w:cs="Times New Roman"/>
              </w:rPr>
            </w:pPr>
            <w:r w:rsidRPr="00DD6343">
              <w:rPr>
                <w:rFonts w:cs="Times New Roman"/>
              </w:rPr>
              <w:t>Intervalle</w:t>
            </w:r>
          </w:p>
        </w:tc>
      </w:tr>
      <w:tr w:rsidR="00DD6343" w:rsidRPr="00046A61" w:rsidTr="00046A61">
        <w:tc>
          <w:tcPr>
            <w:tcW w:w="3113" w:type="dxa"/>
          </w:tcPr>
          <w:p w:rsidR="00DD6343" w:rsidRPr="00046A61" w:rsidRDefault="00DD6343" w:rsidP="00DD6343">
            <w:pPr>
              <w:pStyle w:val="Paragraphedeliste"/>
              <w:ind w:left="0"/>
              <w:jc w:val="center"/>
              <w:rPr>
                <w:rFonts w:cs="Times New Roman"/>
              </w:rPr>
            </w:pPr>
            <w:r w:rsidRPr="00046A61">
              <w:rPr>
                <w:rFonts w:cs="Times New Roman"/>
              </w:rPr>
              <w:t>Histoire familiale de cancer du sein 1</w:t>
            </w:r>
            <w:r w:rsidRPr="00046A61">
              <w:rPr>
                <w:rFonts w:cs="Times New Roman"/>
                <w:vertAlign w:val="superscript"/>
              </w:rPr>
              <w:t>er</w:t>
            </w:r>
            <w:r w:rsidRPr="00046A61">
              <w:rPr>
                <w:rFonts w:cs="Times New Roman"/>
              </w:rPr>
              <w:t xml:space="preserve"> degré</w:t>
            </w:r>
          </w:p>
        </w:tc>
        <w:tc>
          <w:tcPr>
            <w:tcW w:w="3018" w:type="dxa"/>
          </w:tcPr>
          <w:p w:rsidR="00DD6343" w:rsidRPr="00046A61" w:rsidRDefault="00DD6343" w:rsidP="00DD6343">
            <w:pPr>
              <w:pStyle w:val="Paragraphedeliste"/>
              <w:ind w:left="0"/>
              <w:jc w:val="center"/>
              <w:rPr>
                <w:rFonts w:cs="Times New Roman"/>
              </w:rPr>
            </w:pPr>
            <w:r w:rsidRPr="00046A61">
              <w:rPr>
                <w:rFonts w:ascii="Century Gothic" w:hAnsi="Century Gothic" w:cs="Times New Roman"/>
              </w:rPr>
              <w:t>≥</w:t>
            </w:r>
            <w:r w:rsidRPr="00046A61">
              <w:rPr>
                <w:rFonts w:cs="Times New Roman"/>
              </w:rPr>
              <w:t>40 ans</w:t>
            </w:r>
          </w:p>
        </w:tc>
        <w:tc>
          <w:tcPr>
            <w:tcW w:w="3085" w:type="dxa"/>
          </w:tcPr>
          <w:p w:rsidR="00DD6343" w:rsidRPr="00046A61" w:rsidRDefault="00DD6343" w:rsidP="00DD6343">
            <w:pPr>
              <w:jc w:val="center"/>
              <w:rPr>
                <w:rFonts w:cs="Times New Roman"/>
              </w:rPr>
            </w:pPr>
            <w:r w:rsidRPr="00046A61">
              <w:rPr>
                <w:rFonts w:cs="Times New Roman"/>
              </w:rPr>
              <w:t>q 12-18 mois</w:t>
            </w:r>
          </w:p>
        </w:tc>
      </w:tr>
      <w:tr w:rsidR="00DD6343" w:rsidTr="00046A61">
        <w:tc>
          <w:tcPr>
            <w:tcW w:w="3113" w:type="dxa"/>
          </w:tcPr>
          <w:p w:rsidR="00DD6343" w:rsidRDefault="00DD6343" w:rsidP="00046A61">
            <w:pPr>
              <w:pStyle w:val="Paragraphedeliste"/>
              <w:ind w:left="0"/>
              <w:jc w:val="center"/>
              <w:rPr>
                <w:rFonts w:cs="Times New Roman"/>
              </w:rPr>
            </w:pPr>
            <w:r>
              <w:rPr>
                <w:rFonts w:cs="Times New Roman"/>
              </w:rPr>
              <w:t>Connue porteuse du gène BRCA1 ou BRCA2</w:t>
            </w:r>
          </w:p>
        </w:tc>
        <w:tc>
          <w:tcPr>
            <w:tcW w:w="3018" w:type="dxa"/>
          </w:tcPr>
          <w:p w:rsidR="00DD6343" w:rsidRDefault="00DD6343" w:rsidP="00DD6343">
            <w:pPr>
              <w:pStyle w:val="Paragraphedeliste"/>
              <w:ind w:left="0"/>
              <w:jc w:val="center"/>
              <w:rPr>
                <w:rFonts w:cs="Times New Roman"/>
              </w:rPr>
            </w:pPr>
            <w:r>
              <w:rPr>
                <w:rFonts w:ascii="Century Gothic" w:hAnsi="Century Gothic" w:cs="Times New Roman"/>
              </w:rPr>
              <w:t>≥</w:t>
            </w:r>
            <w:r>
              <w:rPr>
                <w:rFonts w:cs="Times New Roman"/>
              </w:rPr>
              <w:t xml:space="preserve"> 35 ans</w:t>
            </w:r>
          </w:p>
        </w:tc>
        <w:tc>
          <w:tcPr>
            <w:tcW w:w="3085" w:type="dxa"/>
          </w:tcPr>
          <w:p w:rsidR="00DD6343" w:rsidRDefault="00DD6343" w:rsidP="00DD6343">
            <w:pPr>
              <w:pStyle w:val="Paragraphedeliste"/>
              <w:ind w:left="0"/>
              <w:jc w:val="center"/>
              <w:rPr>
                <w:rFonts w:cs="Times New Roman"/>
              </w:rPr>
            </w:pPr>
            <w:r>
              <w:rPr>
                <w:rFonts w:cs="Times New Roman"/>
              </w:rPr>
              <w:t>q 12-18 mois</w:t>
            </w:r>
          </w:p>
        </w:tc>
      </w:tr>
    </w:tbl>
    <w:p w:rsidR="00496DD5" w:rsidRPr="00496DD5" w:rsidRDefault="00496DD5" w:rsidP="00073F96">
      <w:pPr>
        <w:pStyle w:val="Paragraphedeliste"/>
        <w:ind w:left="1080"/>
        <w:rPr>
          <w:rFonts w:cs="Times New Roman"/>
        </w:rPr>
      </w:pPr>
    </w:p>
    <w:p w:rsidR="00E95637" w:rsidRDefault="00E95637" w:rsidP="00E95637">
      <w:pPr>
        <w:pStyle w:val="Paragraphedeliste"/>
        <w:numPr>
          <w:ilvl w:val="0"/>
          <w:numId w:val="187"/>
        </w:numPr>
        <w:rPr>
          <w:rFonts w:cs="Times New Roman"/>
        </w:rPr>
      </w:pPr>
      <w:r w:rsidRPr="00E95637">
        <w:rPr>
          <w:rFonts w:cs="Times New Roman"/>
        </w:rPr>
        <w:t>L’accès aux examens diagnostiques et au traitement doit être rapide et garanti pour une femme avec un résultat positif (sinon dépistage = inutile)</w:t>
      </w:r>
    </w:p>
    <w:p w:rsidR="00E95637" w:rsidRDefault="00E95637" w:rsidP="00E95637">
      <w:pPr>
        <w:pStyle w:val="Paragraphedeliste"/>
        <w:numPr>
          <w:ilvl w:val="0"/>
          <w:numId w:val="187"/>
        </w:numPr>
        <w:rPr>
          <w:rFonts w:cs="Times New Roman"/>
        </w:rPr>
      </w:pPr>
      <w:r>
        <w:rPr>
          <w:rFonts w:cs="Times New Roman"/>
        </w:rPr>
        <w:t xml:space="preserve">Effets négatifs du dépistage : </w:t>
      </w:r>
    </w:p>
    <w:p w:rsidR="00E95637" w:rsidRDefault="00E95637" w:rsidP="00E95637">
      <w:pPr>
        <w:pStyle w:val="Paragraphedeliste"/>
        <w:numPr>
          <w:ilvl w:val="1"/>
          <w:numId w:val="187"/>
        </w:numPr>
        <w:rPr>
          <w:rFonts w:cs="Times New Roman"/>
        </w:rPr>
      </w:pPr>
      <w:r>
        <w:rPr>
          <w:rFonts w:cs="Times New Roman"/>
        </w:rPr>
        <w:t>Peut générer de l’anxiété chez les femmes, notamment si faux positif</w:t>
      </w:r>
    </w:p>
    <w:p w:rsidR="00E95637" w:rsidRDefault="00E95637" w:rsidP="00E95637">
      <w:pPr>
        <w:pStyle w:val="Paragraphedeliste"/>
        <w:numPr>
          <w:ilvl w:val="1"/>
          <w:numId w:val="187"/>
        </w:numPr>
        <w:rPr>
          <w:rFonts w:cs="Times New Roman"/>
        </w:rPr>
      </w:pPr>
      <w:r>
        <w:rPr>
          <w:rFonts w:cs="Times New Roman"/>
        </w:rPr>
        <w:t>Désagréable</w:t>
      </w:r>
    </w:p>
    <w:p w:rsidR="00E95637" w:rsidRDefault="00E95637" w:rsidP="00E95637">
      <w:pPr>
        <w:pStyle w:val="Paragraphedeliste"/>
        <w:numPr>
          <w:ilvl w:val="1"/>
          <w:numId w:val="187"/>
        </w:numPr>
        <w:rPr>
          <w:rFonts w:cs="Times New Roman"/>
        </w:rPr>
      </w:pPr>
      <w:r>
        <w:rPr>
          <w:rFonts w:cs="Times New Roman"/>
        </w:rPr>
        <w:t>Engendre des examens invasifs parfois inutiles (</w:t>
      </w:r>
      <w:r w:rsidR="00687F2D">
        <w:rPr>
          <w:rFonts w:cs="Times New Roman"/>
        </w:rPr>
        <w:t>2</w:t>
      </w:r>
      <w:r w:rsidR="00687F2D" w:rsidRPr="00687F2D">
        <w:rPr>
          <w:rFonts w:cs="Times New Roman"/>
          <w:vertAlign w:val="superscript"/>
        </w:rPr>
        <w:t>aire</w:t>
      </w:r>
      <w:r w:rsidR="00687F2D">
        <w:rPr>
          <w:rFonts w:cs="Times New Roman"/>
        </w:rPr>
        <w:t xml:space="preserve"> aux </w:t>
      </w:r>
      <w:r>
        <w:rPr>
          <w:rFonts w:cs="Times New Roman"/>
        </w:rPr>
        <w:t>faux positifs) ~ 10%</w:t>
      </w:r>
    </w:p>
    <w:p w:rsidR="00E95637" w:rsidRDefault="00E95637" w:rsidP="00E95637">
      <w:pPr>
        <w:pStyle w:val="Paragraphedeliste"/>
        <w:numPr>
          <w:ilvl w:val="1"/>
          <w:numId w:val="187"/>
        </w:numPr>
        <w:rPr>
          <w:rFonts w:cs="Times New Roman"/>
        </w:rPr>
      </w:pPr>
      <w:r>
        <w:rPr>
          <w:rFonts w:cs="Times New Roman"/>
        </w:rPr>
        <w:t>Faux négatifs ~ 10%, d’où l’importance de l’examen systématique et de l’examen clinique du sein</w:t>
      </w:r>
    </w:p>
    <w:p w:rsidR="00073F96" w:rsidRPr="00687F2D" w:rsidRDefault="00073F96" w:rsidP="00073F96">
      <w:pPr>
        <w:rPr>
          <w:rFonts w:cs="Times New Roman"/>
          <w:b/>
          <w:sz w:val="28"/>
          <w:szCs w:val="28"/>
        </w:rPr>
      </w:pPr>
      <w:r w:rsidRPr="00687F2D">
        <w:rPr>
          <w:rFonts w:cs="Times New Roman"/>
          <w:b/>
          <w:sz w:val="28"/>
          <w:szCs w:val="28"/>
        </w:rPr>
        <w:t>Facteurs de risque du cancer du sein :</w:t>
      </w:r>
    </w:p>
    <w:tbl>
      <w:tblPr>
        <w:tblStyle w:val="Grilledutableau"/>
        <w:tblW w:w="0" w:type="auto"/>
        <w:tblLook w:val="04A0" w:firstRow="1" w:lastRow="0" w:firstColumn="1" w:lastColumn="0" w:noHBand="0" w:noVBand="1"/>
      </w:tblPr>
      <w:tblGrid>
        <w:gridCol w:w="5470"/>
        <w:gridCol w:w="5470"/>
      </w:tblGrid>
      <w:tr w:rsidR="00073F96" w:rsidTr="00634F50">
        <w:tc>
          <w:tcPr>
            <w:tcW w:w="5470" w:type="dxa"/>
            <w:shd w:val="clear" w:color="auto" w:fill="CCC0D9" w:themeFill="accent4" w:themeFillTint="66"/>
          </w:tcPr>
          <w:p w:rsidR="00073F96" w:rsidRDefault="00073F96" w:rsidP="00634F50">
            <w:pPr>
              <w:jc w:val="center"/>
              <w:rPr>
                <w:rFonts w:cs="Times New Roman"/>
              </w:rPr>
            </w:pPr>
            <w:r>
              <w:rPr>
                <w:rFonts w:cs="Times New Roman"/>
              </w:rPr>
              <w:t>Facteurs de risques personnels</w:t>
            </w:r>
          </w:p>
        </w:tc>
        <w:tc>
          <w:tcPr>
            <w:tcW w:w="5470" w:type="dxa"/>
            <w:shd w:val="clear" w:color="auto" w:fill="CCC0D9" w:themeFill="accent4" w:themeFillTint="66"/>
          </w:tcPr>
          <w:p w:rsidR="00073F96" w:rsidRDefault="00073F96" w:rsidP="00634F50">
            <w:pPr>
              <w:jc w:val="center"/>
              <w:rPr>
                <w:rFonts w:cs="Times New Roman"/>
              </w:rPr>
            </w:pPr>
            <w:r>
              <w:rPr>
                <w:rFonts w:cs="Times New Roman"/>
              </w:rPr>
              <w:t>Facteurs de risques familiaux</w:t>
            </w:r>
          </w:p>
        </w:tc>
      </w:tr>
      <w:tr w:rsidR="00073F96" w:rsidTr="00073F96">
        <w:tc>
          <w:tcPr>
            <w:tcW w:w="5470" w:type="dxa"/>
          </w:tcPr>
          <w:p w:rsidR="00320274" w:rsidRPr="00320274" w:rsidRDefault="00320274" w:rsidP="00320274">
            <w:pPr>
              <w:pStyle w:val="Paragraphedeliste"/>
              <w:ind w:left="0"/>
              <w:rPr>
                <w:rFonts w:cs="Times New Roman"/>
                <w:u w:val="single"/>
              </w:rPr>
            </w:pPr>
            <w:r w:rsidRPr="00320274">
              <w:rPr>
                <w:rFonts w:cs="Times New Roman"/>
                <w:u w:val="single"/>
              </w:rPr>
              <w:t>Intrinsèques</w:t>
            </w:r>
          </w:p>
          <w:p w:rsidR="00073F96" w:rsidRPr="00B66FD5" w:rsidRDefault="00073F96" w:rsidP="00B66FD5">
            <w:pPr>
              <w:pStyle w:val="Paragraphedeliste"/>
              <w:numPr>
                <w:ilvl w:val="0"/>
                <w:numId w:val="188"/>
              </w:numPr>
              <w:ind w:left="360"/>
              <w:rPr>
                <w:rFonts w:cs="Times New Roman"/>
                <w:highlight w:val="yellow"/>
              </w:rPr>
            </w:pPr>
            <w:r w:rsidRPr="00B66FD5">
              <w:rPr>
                <w:rFonts w:cs="Times New Roman"/>
                <w:highlight w:val="yellow"/>
              </w:rPr>
              <w:t>Sexe</w:t>
            </w:r>
          </w:p>
          <w:p w:rsidR="00073F96" w:rsidRPr="00B66FD5" w:rsidRDefault="00073F96" w:rsidP="00B66FD5">
            <w:pPr>
              <w:pStyle w:val="Paragraphedeliste"/>
              <w:numPr>
                <w:ilvl w:val="0"/>
                <w:numId w:val="188"/>
              </w:numPr>
              <w:ind w:left="360"/>
              <w:rPr>
                <w:rFonts w:cs="Times New Roman"/>
                <w:highlight w:val="yellow"/>
              </w:rPr>
            </w:pPr>
            <w:r w:rsidRPr="00B66FD5">
              <w:rPr>
                <w:rFonts w:cs="Times New Roman"/>
                <w:highlight w:val="yellow"/>
              </w:rPr>
              <w:t>Âge (</w:t>
            </w:r>
            <w:r w:rsidRPr="00B66FD5">
              <w:rPr>
                <w:rFonts w:ascii="Century Gothic" w:hAnsi="Century Gothic" w:cs="Times New Roman"/>
                <w:highlight w:val="yellow"/>
              </w:rPr>
              <w:t>≥</w:t>
            </w:r>
            <w:r w:rsidRPr="00B66FD5">
              <w:rPr>
                <w:rFonts w:cs="Times New Roman"/>
                <w:highlight w:val="yellow"/>
              </w:rPr>
              <w:t>50 ans = 80% des cancers)</w:t>
            </w:r>
          </w:p>
          <w:p w:rsidR="00073F96" w:rsidRPr="00B66FD5" w:rsidRDefault="00073F96" w:rsidP="00B66FD5">
            <w:pPr>
              <w:pStyle w:val="Paragraphedeliste"/>
              <w:numPr>
                <w:ilvl w:val="0"/>
                <w:numId w:val="188"/>
              </w:numPr>
              <w:ind w:left="360"/>
              <w:rPr>
                <w:rFonts w:cs="Times New Roman"/>
                <w:highlight w:val="yellow"/>
              </w:rPr>
            </w:pPr>
            <w:r w:rsidRPr="00B66FD5">
              <w:rPr>
                <w:rFonts w:cs="Times New Roman"/>
                <w:highlight w:val="yellow"/>
              </w:rPr>
              <w:t>ATCD personnel de néoplasie du sein</w:t>
            </w:r>
          </w:p>
          <w:p w:rsidR="00073F96" w:rsidRPr="00B66FD5" w:rsidRDefault="00073F96" w:rsidP="00B66FD5">
            <w:pPr>
              <w:pStyle w:val="Paragraphedeliste"/>
              <w:numPr>
                <w:ilvl w:val="0"/>
                <w:numId w:val="188"/>
              </w:numPr>
              <w:ind w:left="360"/>
              <w:rPr>
                <w:rFonts w:cs="Times New Roman"/>
                <w:highlight w:val="yellow"/>
              </w:rPr>
            </w:pPr>
            <w:r w:rsidRPr="00B66FD5">
              <w:rPr>
                <w:rFonts w:cs="Times New Roman"/>
                <w:highlight w:val="yellow"/>
              </w:rPr>
              <w:t>Mutation BRCA1, BRCA 2 (porteuse)</w:t>
            </w:r>
          </w:p>
          <w:p w:rsidR="00073F96" w:rsidRPr="00B66FD5" w:rsidRDefault="00073F96" w:rsidP="00B66FD5">
            <w:pPr>
              <w:pStyle w:val="Paragraphedeliste"/>
              <w:numPr>
                <w:ilvl w:val="0"/>
                <w:numId w:val="188"/>
              </w:numPr>
              <w:ind w:left="360"/>
              <w:rPr>
                <w:rFonts w:cs="Times New Roman"/>
                <w:highlight w:val="yellow"/>
              </w:rPr>
            </w:pPr>
            <w:r w:rsidRPr="00B66FD5">
              <w:rPr>
                <w:rFonts w:cs="Times New Roman"/>
                <w:highlight w:val="yellow"/>
              </w:rPr>
              <w:t xml:space="preserve">Prolifération atypique sur biopsie du sein </w:t>
            </w:r>
          </w:p>
          <w:p w:rsidR="00073F96" w:rsidRPr="00B66FD5" w:rsidRDefault="00073F96" w:rsidP="00B66FD5">
            <w:pPr>
              <w:pStyle w:val="Paragraphedeliste"/>
              <w:numPr>
                <w:ilvl w:val="0"/>
                <w:numId w:val="188"/>
              </w:numPr>
              <w:ind w:left="360"/>
              <w:rPr>
                <w:rFonts w:cs="Times New Roman"/>
                <w:highlight w:val="yellow"/>
              </w:rPr>
            </w:pPr>
            <w:r w:rsidRPr="00B66FD5">
              <w:rPr>
                <w:rFonts w:cs="Times New Roman"/>
                <w:highlight w:val="yellow"/>
              </w:rPr>
              <w:t>ATC</w:t>
            </w:r>
            <w:r w:rsidR="00687F2D">
              <w:rPr>
                <w:rFonts w:cs="Times New Roman"/>
                <w:highlight w:val="yellow"/>
              </w:rPr>
              <w:t>D</w:t>
            </w:r>
            <w:r w:rsidRPr="00B66FD5">
              <w:rPr>
                <w:rFonts w:cs="Times New Roman"/>
                <w:highlight w:val="yellow"/>
              </w:rPr>
              <w:t xml:space="preserve"> de radiothérapie thoracique </w:t>
            </w:r>
          </w:p>
          <w:p w:rsidR="00073F96" w:rsidRPr="00B66FD5" w:rsidRDefault="00073F96" w:rsidP="00B66FD5">
            <w:pPr>
              <w:pStyle w:val="Paragraphedeliste"/>
              <w:numPr>
                <w:ilvl w:val="0"/>
                <w:numId w:val="188"/>
              </w:numPr>
              <w:ind w:left="360"/>
              <w:rPr>
                <w:rFonts w:cs="Times New Roman"/>
                <w:highlight w:val="yellow"/>
              </w:rPr>
            </w:pPr>
            <w:r w:rsidRPr="00B66FD5">
              <w:rPr>
                <w:rFonts w:cs="Times New Roman"/>
                <w:highlight w:val="yellow"/>
              </w:rPr>
              <w:t>Densité mammaire élevée à la radiographie</w:t>
            </w:r>
          </w:p>
          <w:p w:rsidR="00073F96" w:rsidRDefault="00073F96" w:rsidP="00B66FD5">
            <w:pPr>
              <w:pStyle w:val="Paragraphedeliste"/>
              <w:numPr>
                <w:ilvl w:val="0"/>
                <w:numId w:val="188"/>
              </w:numPr>
              <w:ind w:left="360"/>
              <w:rPr>
                <w:rFonts w:cs="Times New Roman"/>
                <w:highlight w:val="yellow"/>
              </w:rPr>
            </w:pPr>
            <w:r w:rsidRPr="00B66FD5">
              <w:rPr>
                <w:rFonts w:cs="Times New Roman"/>
                <w:highlight w:val="yellow"/>
              </w:rPr>
              <w:t>Nulliparité ou 1</w:t>
            </w:r>
            <w:r w:rsidRPr="00B66FD5">
              <w:rPr>
                <w:rFonts w:cs="Times New Roman"/>
                <w:highlight w:val="yellow"/>
                <w:vertAlign w:val="superscript"/>
              </w:rPr>
              <w:t>ère</w:t>
            </w:r>
            <w:r w:rsidRPr="00B66FD5">
              <w:rPr>
                <w:rFonts w:cs="Times New Roman"/>
                <w:highlight w:val="yellow"/>
              </w:rPr>
              <w:t xml:space="preserve"> grossesse </w:t>
            </w:r>
            <w:r w:rsidRPr="00B66FD5">
              <w:rPr>
                <w:rFonts w:ascii="Century Gothic" w:hAnsi="Century Gothic" w:cs="Times New Roman"/>
                <w:highlight w:val="yellow"/>
              </w:rPr>
              <w:t>≥</w:t>
            </w:r>
            <w:r w:rsidRPr="00B66FD5">
              <w:rPr>
                <w:rFonts w:cs="Times New Roman"/>
                <w:highlight w:val="yellow"/>
              </w:rPr>
              <w:t xml:space="preserve"> 30 ans</w:t>
            </w:r>
          </w:p>
          <w:p w:rsidR="00535A59" w:rsidRPr="00B66FD5" w:rsidRDefault="00535A59" w:rsidP="00B66FD5">
            <w:pPr>
              <w:pStyle w:val="Paragraphedeliste"/>
              <w:numPr>
                <w:ilvl w:val="0"/>
                <w:numId w:val="188"/>
              </w:numPr>
              <w:ind w:left="360"/>
              <w:rPr>
                <w:rFonts w:cs="Times New Roman"/>
                <w:highlight w:val="yellow"/>
              </w:rPr>
            </w:pPr>
            <w:r>
              <w:rPr>
                <w:rFonts w:cs="Times New Roman"/>
                <w:highlight w:val="yellow"/>
              </w:rPr>
              <w:t>Ménopause tardive</w:t>
            </w:r>
          </w:p>
          <w:p w:rsidR="00073F96" w:rsidRDefault="00073F96" w:rsidP="00B66FD5">
            <w:pPr>
              <w:rPr>
                <w:rFonts w:cs="Times New Roman"/>
              </w:rPr>
            </w:pPr>
          </w:p>
          <w:p w:rsidR="00320274" w:rsidRPr="00320274" w:rsidRDefault="00320274" w:rsidP="00B66FD5">
            <w:pPr>
              <w:rPr>
                <w:rFonts w:cs="Times New Roman"/>
                <w:u w:val="single"/>
              </w:rPr>
            </w:pPr>
            <w:r w:rsidRPr="00320274">
              <w:rPr>
                <w:rFonts w:cs="Times New Roman"/>
                <w:u w:val="single"/>
              </w:rPr>
              <w:t>Modifiables</w:t>
            </w:r>
          </w:p>
          <w:p w:rsidR="00073F96" w:rsidRPr="00B66FD5" w:rsidRDefault="00073F96" w:rsidP="00B66FD5">
            <w:pPr>
              <w:pStyle w:val="Paragraphedeliste"/>
              <w:numPr>
                <w:ilvl w:val="0"/>
                <w:numId w:val="188"/>
              </w:numPr>
              <w:ind w:left="360"/>
              <w:rPr>
                <w:rFonts w:cs="Times New Roman"/>
              </w:rPr>
            </w:pPr>
            <w:r w:rsidRPr="00B66FD5">
              <w:rPr>
                <w:rFonts w:cs="Times New Roman"/>
              </w:rPr>
              <w:t>Sédentarité</w:t>
            </w:r>
          </w:p>
          <w:p w:rsidR="00073F96" w:rsidRPr="00B66FD5" w:rsidRDefault="00073F96" w:rsidP="00B66FD5">
            <w:pPr>
              <w:pStyle w:val="Paragraphedeliste"/>
              <w:numPr>
                <w:ilvl w:val="0"/>
                <w:numId w:val="188"/>
              </w:numPr>
              <w:ind w:left="360"/>
              <w:rPr>
                <w:rFonts w:cs="Times New Roman"/>
              </w:rPr>
            </w:pPr>
            <w:r w:rsidRPr="00B66FD5">
              <w:rPr>
                <w:rFonts w:cs="Times New Roman"/>
              </w:rPr>
              <w:t>Consommation d’alcool</w:t>
            </w:r>
          </w:p>
          <w:p w:rsidR="00073F96" w:rsidRPr="00B66FD5" w:rsidRDefault="00073F96" w:rsidP="00B66FD5">
            <w:pPr>
              <w:pStyle w:val="Paragraphedeliste"/>
              <w:numPr>
                <w:ilvl w:val="0"/>
                <w:numId w:val="188"/>
              </w:numPr>
              <w:ind w:left="360"/>
              <w:rPr>
                <w:rFonts w:cs="Times New Roman"/>
              </w:rPr>
            </w:pPr>
            <w:r w:rsidRPr="00B66FD5">
              <w:rPr>
                <w:rFonts w:cs="Times New Roman"/>
              </w:rPr>
              <w:t>Gain de poids post-ménopause</w:t>
            </w:r>
          </w:p>
          <w:p w:rsidR="00073F96" w:rsidRPr="00B66FD5" w:rsidRDefault="00073F96" w:rsidP="00B66FD5">
            <w:pPr>
              <w:pStyle w:val="Paragraphedeliste"/>
              <w:numPr>
                <w:ilvl w:val="0"/>
                <w:numId w:val="188"/>
              </w:numPr>
              <w:ind w:left="360"/>
              <w:rPr>
                <w:rFonts w:cs="Times New Roman"/>
                <w:highlight w:val="yellow"/>
              </w:rPr>
            </w:pPr>
            <w:r w:rsidRPr="00B66FD5">
              <w:rPr>
                <w:rFonts w:cs="Times New Roman"/>
                <w:highlight w:val="yellow"/>
              </w:rPr>
              <w:t xml:space="preserve">Hormonothérapie de remplacement </w:t>
            </w:r>
            <w:r w:rsidRPr="00B66FD5">
              <w:rPr>
                <w:rFonts w:ascii="Century Gothic" w:hAnsi="Century Gothic" w:cs="Times New Roman"/>
                <w:highlight w:val="yellow"/>
              </w:rPr>
              <w:t>≥</w:t>
            </w:r>
            <w:r w:rsidRPr="00B66FD5">
              <w:rPr>
                <w:rFonts w:cs="Times New Roman"/>
                <w:highlight w:val="yellow"/>
              </w:rPr>
              <w:t xml:space="preserve"> 5 ans</w:t>
            </w:r>
          </w:p>
          <w:p w:rsidR="00073F96" w:rsidRPr="00320274" w:rsidRDefault="00073F96" w:rsidP="00320274">
            <w:pPr>
              <w:pStyle w:val="Paragraphedeliste"/>
              <w:numPr>
                <w:ilvl w:val="0"/>
                <w:numId w:val="188"/>
              </w:numPr>
              <w:ind w:left="360"/>
              <w:rPr>
                <w:rFonts w:cs="Times New Roman"/>
              </w:rPr>
            </w:pPr>
            <w:r w:rsidRPr="00B66FD5">
              <w:rPr>
                <w:rFonts w:cs="Times New Roman"/>
              </w:rPr>
              <w:t>Tabagisme</w:t>
            </w:r>
          </w:p>
        </w:tc>
        <w:tc>
          <w:tcPr>
            <w:tcW w:w="5470" w:type="dxa"/>
          </w:tcPr>
          <w:p w:rsidR="00A37D28" w:rsidRDefault="00A37D28" w:rsidP="00A37D28">
            <w:pPr>
              <w:pStyle w:val="Paragraphedeliste"/>
              <w:ind w:left="360"/>
              <w:rPr>
                <w:rFonts w:cs="Times New Roman"/>
              </w:rPr>
            </w:pPr>
          </w:p>
          <w:p w:rsidR="00A37D28" w:rsidRDefault="00A37D28" w:rsidP="00A37D28">
            <w:pPr>
              <w:pStyle w:val="Paragraphedeliste"/>
              <w:ind w:left="360"/>
              <w:rPr>
                <w:rFonts w:cs="Times New Roman"/>
              </w:rPr>
            </w:pPr>
          </w:p>
          <w:p w:rsidR="00073F96" w:rsidRPr="00B66FD5" w:rsidRDefault="00073F96" w:rsidP="00B66FD5">
            <w:pPr>
              <w:pStyle w:val="Paragraphedeliste"/>
              <w:numPr>
                <w:ilvl w:val="0"/>
                <w:numId w:val="188"/>
              </w:numPr>
              <w:ind w:left="360"/>
              <w:rPr>
                <w:rFonts w:cs="Times New Roman"/>
              </w:rPr>
            </w:pPr>
            <w:r w:rsidRPr="00B66FD5">
              <w:rPr>
                <w:rFonts w:cs="Times New Roman"/>
              </w:rPr>
              <w:t>1-2 parent du 1</w:t>
            </w:r>
            <w:r w:rsidRPr="00B66FD5">
              <w:rPr>
                <w:rFonts w:cs="Times New Roman"/>
                <w:vertAlign w:val="superscript"/>
              </w:rPr>
              <w:t>er</w:t>
            </w:r>
            <w:r w:rsidRPr="00B66FD5">
              <w:rPr>
                <w:rFonts w:cs="Times New Roman"/>
              </w:rPr>
              <w:t xml:space="preserve"> degré sans facteur de risque avec cancer du sein avant 50 ans (modéré)</w:t>
            </w:r>
          </w:p>
          <w:p w:rsidR="00B66FD5" w:rsidRPr="00B66FD5" w:rsidRDefault="00B66FD5" w:rsidP="00B66FD5">
            <w:pPr>
              <w:pStyle w:val="Paragraphedeliste"/>
              <w:numPr>
                <w:ilvl w:val="0"/>
                <w:numId w:val="188"/>
              </w:numPr>
              <w:ind w:left="360"/>
              <w:rPr>
                <w:rFonts w:cs="Times New Roman"/>
              </w:rPr>
            </w:pPr>
            <w:r w:rsidRPr="00B66FD5">
              <w:rPr>
                <w:rFonts w:cs="Times New Roman"/>
              </w:rPr>
              <w:t>2 parents de 1</w:t>
            </w:r>
            <w:r w:rsidRPr="00B66FD5">
              <w:rPr>
                <w:rFonts w:cs="Times New Roman"/>
                <w:vertAlign w:val="superscript"/>
              </w:rPr>
              <w:t>er</w:t>
            </w:r>
            <w:r w:rsidRPr="00B66FD5">
              <w:rPr>
                <w:rFonts w:cs="Times New Roman"/>
              </w:rPr>
              <w:t xml:space="preserve"> ou 2</w:t>
            </w:r>
            <w:r w:rsidRPr="00B66FD5">
              <w:rPr>
                <w:rFonts w:cs="Times New Roman"/>
                <w:vertAlign w:val="superscript"/>
              </w:rPr>
              <w:t>e</w:t>
            </w:r>
            <w:r w:rsidRPr="00B66FD5">
              <w:rPr>
                <w:rFonts w:cs="Times New Roman"/>
              </w:rPr>
              <w:t xml:space="preserve"> degré du même côté de la famille avec néoplasie du sein ou de l’ovaire (modéré)</w:t>
            </w:r>
          </w:p>
          <w:p w:rsidR="00073F96" w:rsidRPr="00B66FD5" w:rsidRDefault="00073F96" w:rsidP="00B66FD5">
            <w:pPr>
              <w:pStyle w:val="Paragraphedeliste"/>
              <w:numPr>
                <w:ilvl w:val="0"/>
                <w:numId w:val="188"/>
              </w:numPr>
              <w:ind w:left="360"/>
              <w:rPr>
                <w:rFonts w:cs="Times New Roman"/>
              </w:rPr>
            </w:pPr>
            <w:r w:rsidRPr="00B66FD5">
              <w:rPr>
                <w:rFonts w:cs="Times New Roman"/>
              </w:rPr>
              <w:t>3 parents ou plus du 1</w:t>
            </w:r>
            <w:r w:rsidRPr="00B66FD5">
              <w:rPr>
                <w:rFonts w:cs="Times New Roman"/>
                <w:vertAlign w:val="superscript"/>
              </w:rPr>
              <w:t>er</w:t>
            </w:r>
            <w:r w:rsidRPr="00B66FD5">
              <w:rPr>
                <w:rFonts w:cs="Times New Roman"/>
              </w:rPr>
              <w:t xml:space="preserve"> ou 2</w:t>
            </w:r>
            <w:r w:rsidRPr="00B66FD5">
              <w:rPr>
                <w:rFonts w:cs="Times New Roman"/>
                <w:vertAlign w:val="superscript"/>
              </w:rPr>
              <w:t>e</w:t>
            </w:r>
            <w:r w:rsidRPr="00B66FD5">
              <w:rPr>
                <w:rFonts w:cs="Times New Roman"/>
              </w:rPr>
              <w:t xml:space="preserve"> </w:t>
            </w:r>
            <w:r w:rsidR="00B66FD5" w:rsidRPr="00B66FD5">
              <w:rPr>
                <w:rFonts w:cs="Times New Roman"/>
              </w:rPr>
              <w:t>degré du même côté de la famille avec néoplasie du sein ou de l’ovair</w:t>
            </w:r>
            <w:r w:rsidR="00687F2D">
              <w:rPr>
                <w:rFonts w:cs="Times New Roman"/>
              </w:rPr>
              <w:t>E</w:t>
            </w:r>
            <w:r w:rsidR="00B66FD5" w:rsidRPr="00B66FD5">
              <w:rPr>
                <w:rFonts w:cs="Times New Roman"/>
              </w:rPr>
              <w:t xml:space="preserve"> (élevé)</w:t>
            </w:r>
          </w:p>
          <w:p w:rsidR="00B66FD5" w:rsidRPr="00B66FD5" w:rsidRDefault="00B66FD5" w:rsidP="00B66FD5">
            <w:pPr>
              <w:pStyle w:val="Paragraphedeliste"/>
              <w:numPr>
                <w:ilvl w:val="0"/>
                <w:numId w:val="188"/>
              </w:numPr>
              <w:ind w:left="360"/>
              <w:rPr>
                <w:rFonts w:cs="Times New Roman"/>
              </w:rPr>
            </w:pPr>
            <w:r w:rsidRPr="00B66FD5">
              <w:rPr>
                <w:rFonts w:cs="Times New Roman"/>
              </w:rPr>
              <w:t>2 parents ou plus du 1</w:t>
            </w:r>
            <w:r w:rsidRPr="00B66FD5">
              <w:rPr>
                <w:rFonts w:cs="Times New Roman"/>
                <w:vertAlign w:val="superscript"/>
              </w:rPr>
              <w:t>er</w:t>
            </w:r>
            <w:r w:rsidRPr="00B66FD5">
              <w:rPr>
                <w:rFonts w:cs="Times New Roman"/>
              </w:rPr>
              <w:t xml:space="preserve"> ou 2</w:t>
            </w:r>
            <w:r w:rsidRPr="00B66FD5">
              <w:rPr>
                <w:rFonts w:cs="Times New Roman"/>
                <w:vertAlign w:val="superscript"/>
              </w:rPr>
              <w:t>e</w:t>
            </w:r>
            <w:r w:rsidRPr="00B66FD5">
              <w:rPr>
                <w:rFonts w:cs="Times New Roman"/>
              </w:rPr>
              <w:t xml:space="preserve"> degré du même côté de la famille avec néoplasie du sein ou de l’ovaire avec un facteur de risque </w:t>
            </w:r>
          </w:p>
          <w:p w:rsidR="00B66FD5" w:rsidRPr="00B66FD5" w:rsidRDefault="00B66FD5" w:rsidP="00B66FD5">
            <w:pPr>
              <w:pStyle w:val="Paragraphedeliste"/>
              <w:numPr>
                <w:ilvl w:val="1"/>
                <w:numId w:val="188"/>
              </w:numPr>
              <w:rPr>
                <w:rFonts w:cs="Times New Roman"/>
              </w:rPr>
            </w:pPr>
            <w:r w:rsidRPr="00B66FD5">
              <w:rPr>
                <w:rFonts w:cs="Times New Roman"/>
              </w:rPr>
              <w:t>Cancer bilatéral</w:t>
            </w:r>
          </w:p>
          <w:p w:rsidR="00B66FD5" w:rsidRPr="00B66FD5" w:rsidRDefault="00B66FD5" w:rsidP="00B66FD5">
            <w:pPr>
              <w:pStyle w:val="Paragraphedeliste"/>
              <w:numPr>
                <w:ilvl w:val="1"/>
                <w:numId w:val="188"/>
              </w:numPr>
              <w:rPr>
                <w:rFonts w:cs="Times New Roman"/>
              </w:rPr>
            </w:pPr>
            <w:r w:rsidRPr="00B66FD5">
              <w:rPr>
                <w:rFonts w:ascii="Century Gothic" w:hAnsi="Century Gothic" w:cs="Times New Roman"/>
              </w:rPr>
              <w:t>&lt;</w:t>
            </w:r>
            <w:r w:rsidRPr="00B66FD5">
              <w:rPr>
                <w:rFonts w:cs="Times New Roman"/>
              </w:rPr>
              <w:t>40 ans</w:t>
            </w:r>
          </w:p>
          <w:p w:rsidR="00B66FD5" w:rsidRPr="00B66FD5" w:rsidRDefault="00B66FD5" w:rsidP="00B66FD5">
            <w:pPr>
              <w:pStyle w:val="Paragraphedeliste"/>
              <w:numPr>
                <w:ilvl w:val="1"/>
                <w:numId w:val="188"/>
              </w:numPr>
              <w:rPr>
                <w:rFonts w:cs="Times New Roman"/>
              </w:rPr>
            </w:pPr>
            <w:r w:rsidRPr="00B66FD5">
              <w:rPr>
                <w:rFonts w:cs="Times New Roman"/>
              </w:rPr>
              <w:t>Homme</w:t>
            </w:r>
          </w:p>
          <w:p w:rsidR="00B66FD5" w:rsidRPr="00B66FD5" w:rsidRDefault="00B66FD5" w:rsidP="00B66FD5">
            <w:pPr>
              <w:pStyle w:val="Paragraphedeliste"/>
              <w:numPr>
                <w:ilvl w:val="1"/>
                <w:numId w:val="188"/>
              </w:numPr>
              <w:rPr>
                <w:rFonts w:cs="Times New Roman"/>
              </w:rPr>
            </w:pPr>
            <w:r w:rsidRPr="00B66FD5">
              <w:rPr>
                <w:rFonts w:cs="Times New Roman"/>
              </w:rPr>
              <w:t>Mutation familiale</w:t>
            </w:r>
          </w:p>
        </w:tc>
      </w:tr>
    </w:tbl>
    <w:p w:rsidR="00A72ED6" w:rsidRDefault="00A72ED6">
      <w:pPr>
        <w:rPr>
          <w:rFonts w:cs="Times New Roman"/>
          <w:b/>
          <w:sz w:val="28"/>
          <w:szCs w:val="28"/>
        </w:rPr>
      </w:pPr>
    </w:p>
    <w:p w:rsidR="00A72ED6" w:rsidRDefault="00A72ED6">
      <w:pPr>
        <w:rPr>
          <w:rFonts w:cs="Times New Roman"/>
          <w:b/>
          <w:sz w:val="28"/>
          <w:szCs w:val="28"/>
        </w:rPr>
      </w:pPr>
    </w:p>
    <w:p w:rsidR="00A72ED6" w:rsidRDefault="00A72ED6">
      <w:pPr>
        <w:rPr>
          <w:rFonts w:cs="Times New Roman"/>
          <w:b/>
          <w:sz w:val="28"/>
          <w:szCs w:val="28"/>
        </w:rPr>
      </w:pPr>
    </w:p>
    <w:p w:rsidR="00821A57" w:rsidRPr="00821A57" w:rsidRDefault="00821A57">
      <w:pPr>
        <w:rPr>
          <w:rFonts w:cs="Times New Roman"/>
          <w:b/>
          <w:color w:val="548DD4" w:themeColor="text2" w:themeTint="99"/>
          <w:sz w:val="28"/>
          <w:szCs w:val="28"/>
        </w:rPr>
      </w:pPr>
      <w:r w:rsidRPr="00821A57">
        <w:rPr>
          <w:rFonts w:cs="Times New Roman"/>
          <w:b/>
          <w:sz w:val="28"/>
          <w:szCs w:val="28"/>
        </w:rPr>
        <w:t>Diagnostic</w:t>
      </w:r>
    </w:p>
    <w:tbl>
      <w:tblPr>
        <w:tblStyle w:val="Grilledutableau"/>
        <w:tblW w:w="0" w:type="auto"/>
        <w:tblLook w:val="04A0" w:firstRow="1" w:lastRow="0" w:firstColumn="1" w:lastColumn="0" w:noHBand="0" w:noVBand="1"/>
      </w:tblPr>
      <w:tblGrid>
        <w:gridCol w:w="2735"/>
        <w:gridCol w:w="2735"/>
        <w:gridCol w:w="2735"/>
        <w:gridCol w:w="2735"/>
      </w:tblGrid>
      <w:tr w:rsidR="00735E1C" w:rsidTr="00735E1C">
        <w:tc>
          <w:tcPr>
            <w:tcW w:w="10940" w:type="dxa"/>
            <w:gridSpan w:val="4"/>
            <w:shd w:val="clear" w:color="auto" w:fill="CCC0D9" w:themeFill="accent4" w:themeFillTint="66"/>
          </w:tcPr>
          <w:p w:rsidR="00735E1C" w:rsidRDefault="00735E1C" w:rsidP="00735E1C">
            <w:pPr>
              <w:jc w:val="center"/>
              <w:rPr>
                <w:rFonts w:cs="Times New Roman"/>
              </w:rPr>
            </w:pPr>
            <w:r>
              <w:rPr>
                <w:rFonts w:cs="Times New Roman"/>
              </w:rPr>
              <w:t>Pathologies bénignes du sein</w:t>
            </w:r>
          </w:p>
        </w:tc>
      </w:tr>
      <w:tr w:rsidR="00735E1C" w:rsidTr="00735E1C">
        <w:tc>
          <w:tcPr>
            <w:tcW w:w="2735" w:type="dxa"/>
          </w:tcPr>
          <w:p w:rsidR="00735E1C" w:rsidRPr="0041509E" w:rsidRDefault="00735E1C" w:rsidP="009B2A16">
            <w:pPr>
              <w:jc w:val="center"/>
              <w:rPr>
                <w:rFonts w:cs="Times New Roman"/>
                <w:i/>
              </w:rPr>
            </w:pPr>
            <w:r w:rsidRPr="0041509E">
              <w:rPr>
                <w:rFonts w:cs="Times New Roman"/>
                <w:i/>
              </w:rPr>
              <w:t>Diagnostic</w:t>
            </w:r>
          </w:p>
        </w:tc>
        <w:tc>
          <w:tcPr>
            <w:tcW w:w="2735" w:type="dxa"/>
          </w:tcPr>
          <w:p w:rsidR="00735E1C" w:rsidRPr="0041509E" w:rsidRDefault="00735E1C" w:rsidP="009B2A16">
            <w:pPr>
              <w:jc w:val="center"/>
              <w:rPr>
                <w:rFonts w:cs="Times New Roman"/>
                <w:i/>
              </w:rPr>
            </w:pPr>
            <w:r w:rsidRPr="0041509E">
              <w:rPr>
                <w:rFonts w:cs="Times New Roman"/>
                <w:i/>
              </w:rPr>
              <w:t>Épidémiologie</w:t>
            </w:r>
          </w:p>
        </w:tc>
        <w:tc>
          <w:tcPr>
            <w:tcW w:w="2735" w:type="dxa"/>
          </w:tcPr>
          <w:p w:rsidR="00735E1C" w:rsidRPr="0041509E" w:rsidRDefault="00735E1C" w:rsidP="009B2A16">
            <w:pPr>
              <w:jc w:val="center"/>
              <w:rPr>
                <w:rFonts w:cs="Times New Roman"/>
                <w:i/>
              </w:rPr>
            </w:pPr>
            <w:r w:rsidRPr="0041509E">
              <w:rPr>
                <w:rFonts w:cs="Times New Roman"/>
                <w:i/>
              </w:rPr>
              <w:t>Symptômes</w:t>
            </w:r>
          </w:p>
        </w:tc>
        <w:tc>
          <w:tcPr>
            <w:tcW w:w="2735" w:type="dxa"/>
          </w:tcPr>
          <w:p w:rsidR="00735E1C" w:rsidRPr="0041509E" w:rsidRDefault="00735E1C" w:rsidP="009B2A16">
            <w:pPr>
              <w:jc w:val="center"/>
              <w:rPr>
                <w:rFonts w:cs="Times New Roman"/>
                <w:i/>
              </w:rPr>
            </w:pPr>
            <w:r w:rsidRPr="0041509E">
              <w:rPr>
                <w:rFonts w:cs="Times New Roman"/>
                <w:i/>
              </w:rPr>
              <w:t>Signes physiques</w:t>
            </w:r>
          </w:p>
        </w:tc>
      </w:tr>
      <w:tr w:rsidR="00735E1C" w:rsidTr="00C57E45">
        <w:tc>
          <w:tcPr>
            <w:tcW w:w="2735" w:type="dxa"/>
            <w:vAlign w:val="center"/>
          </w:tcPr>
          <w:p w:rsidR="00735E1C" w:rsidRPr="00873485" w:rsidRDefault="00EC64F3" w:rsidP="00C57E45">
            <w:pPr>
              <w:jc w:val="center"/>
              <w:rPr>
                <w:rFonts w:cs="Times New Roman"/>
                <w:highlight w:val="yellow"/>
              </w:rPr>
            </w:pPr>
            <w:r w:rsidRPr="00873485">
              <w:rPr>
                <w:rFonts w:cs="Times New Roman"/>
                <w:highlight w:val="yellow"/>
              </w:rPr>
              <w:t>Fibroadénome</w:t>
            </w:r>
          </w:p>
        </w:tc>
        <w:tc>
          <w:tcPr>
            <w:tcW w:w="2735" w:type="dxa"/>
          </w:tcPr>
          <w:p w:rsidR="00735E1C" w:rsidRPr="00873485" w:rsidRDefault="00082D42" w:rsidP="00082D42">
            <w:pPr>
              <w:pStyle w:val="Paragraphedeliste"/>
              <w:numPr>
                <w:ilvl w:val="0"/>
                <w:numId w:val="192"/>
              </w:numPr>
              <w:rPr>
                <w:rFonts w:cs="Times New Roman"/>
                <w:highlight w:val="yellow"/>
              </w:rPr>
            </w:pPr>
            <w:r w:rsidRPr="00873485">
              <w:rPr>
                <w:rFonts w:cs="Times New Roman"/>
                <w:highlight w:val="yellow"/>
              </w:rPr>
              <w:t>Masse au sein la plus fréquente &lt; 30 ans</w:t>
            </w:r>
          </w:p>
        </w:tc>
        <w:tc>
          <w:tcPr>
            <w:tcW w:w="2735" w:type="dxa"/>
          </w:tcPr>
          <w:p w:rsidR="00735E1C" w:rsidRPr="00873485" w:rsidRDefault="00534161">
            <w:pPr>
              <w:rPr>
                <w:rFonts w:cs="Times New Roman"/>
                <w:highlight w:val="yellow"/>
              </w:rPr>
            </w:pPr>
            <w:r w:rsidRPr="00873485">
              <w:rPr>
                <w:rFonts w:cs="Times New Roman"/>
                <w:highlight w:val="yellow"/>
              </w:rPr>
              <w:t>Souvent asymptomatique</w:t>
            </w:r>
          </w:p>
        </w:tc>
        <w:tc>
          <w:tcPr>
            <w:tcW w:w="2735" w:type="dxa"/>
          </w:tcPr>
          <w:p w:rsidR="00735E1C" w:rsidRPr="00873485" w:rsidRDefault="006B5A5F" w:rsidP="00534161">
            <w:pPr>
              <w:pStyle w:val="Paragraphedeliste"/>
              <w:numPr>
                <w:ilvl w:val="0"/>
                <w:numId w:val="192"/>
              </w:numPr>
              <w:rPr>
                <w:rFonts w:cs="Times New Roman"/>
                <w:highlight w:val="yellow"/>
              </w:rPr>
            </w:pPr>
            <w:r w:rsidRPr="00873485">
              <w:rPr>
                <w:rFonts w:cs="Times New Roman"/>
                <w:highlight w:val="yellow"/>
              </w:rPr>
              <w:t xml:space="preserve">Nodule mou et </w:t>
            </w:r>
            <w:r w:rsidR="00C964B3" w:rsidRPr="00873485">
              <w:rPr>
                <w:rFonts w:cs="Times New Roman"/>
                <w:highlight w:val="yellow"/>
              </w:rPr>
              <w:t>rénitent</w:t>
            </w:r>
          </w:p>
          <w:p w:rsidR="006B5A5F" w:rsidRPr="00873485" w:rsidRDefault="006B5A5F" w:rsidP="00534161">
            <w:pPr>
              <w:pStyle w:val="Paragraphedeliste"/>
              <w:numPr>
                <w:ilvl w:val="0"/>
                <w:numId w:val="192"/>
              </w:numPr>
              <w:rPr>
                <w:rFonts w:cs="Times New Roman"/>
                <w:highlight w:val="yellow"/>
              </w:rPr>
            </w:pPr>
            <w:r w:rsidRPr="00873485">
              <w:rPr>
                <w:rFonts w:cs="Times New Roman"/>
                <w:highlight w:val="yellow"/>
              </w:rPr>
              <w:t>Unique/solitaire</w:t>
            </w:r>
          </w:p>
          <w:p w:rsidR="006B5A5F" w:rsidRPr="00873485" w:rsidRDefault="006B5A5F" w:rsidP="00534161">
            <w:pPr>
              <w:pStyle w:val="Paragraphedeliste"/>
              <w:numPr>
                <w:ilvl w:val="0"/>
                <w:numId w:val="192"/>
              </w:numPr>
              <w:rPr>
                <w:rFonts w:cs="Times New Roman"/>
                <w:highlight w:val="yellow"/>
              </w:rPr>
            </w:pPr>
            <w:r w:rsidRPr="00873485">
              <w:rPr>
                <w:rFonts w:cs="Times New Roman"/>
                <w:highlight w:val="yellow"/>
              </w:rPr>
              <w:t>Bien défini</w:t>
            </w:r>
          </w:p>
          <w:p w:rsidR="006B5A5F" w:rsidRPr="00873485" w:rsidRDefault="006B5A5F" w:rsidP="00534161">
            <w:pPr>
              <w:pStyle w:val="Paragraphedeliste"/>
              <w:numPr>
                <w:ilvl w:val="0"/>
                <w:numId w:val="192"/>
              </w:numPr>
              <w:rPr>
                <w:rFonts w:cs="Times New Roman"/>
                <w:highlight w:val="yellow"/>
              </w:rPr>
            </w:pPr>
            <w:r w:rsidRPr="00873485">
              <w:rPr>
                <w:rFonts w:cs="Times New Roman"/>
                <w:highlight w:val="yellow"/>
              </w:rPr>
              <w:t>Non-douloureux</w:t>
            </w:r>
          </w:p>
          <w:p w:rsidR="006B5A5F" w:rsidRPr="00873485" w:rsidRDefault="006B5A5F" w:rsidP="00534161">
            <w:pPr>
              <w:pStyle w:val="Paragraphedeliste"/>
              <w:numPr>
                <w:ilvl w:val="0"/>
                <w:numId w:val="192"/>
              </w:numPr>
              <w:rPr>
                <w:rFonts w:cs="Times New Roman"/>
                <w:highlight w:val="yellow"/>
              </w:rPr>
            </w:pPr>
            <w:r w:rsidRPr="00873485">
              <w:rPr>
                <w:rFonts w:cs="Times New Roman"/>
                <w:highlight w:val="yellow"/>
              </w:rPr>
              <w:t>Mobile</w:t>
            </w:r>
          </w:p>
          <w:p w:rsidR="00534161" w:rsidRPr="00873485" w:rsidRDefault="00534161" w:rsidP="00534161">
            <w:pPr>
              <w:pStyle w:val="Paragraphedeliste"/>
              <w:numPr>
                <w:ilvl w:val="0"/>
                <w:numId w:val="192"/>
              </w:numPr>
              <w:rPr>
                <w:rFonts w:cs="Times New Roman"/>
                <w:highlight w:val="yellow"/>
              </w:rPr>
            </w:pPr>
            <w:r w:rsidRPr="00873485">
              <w:rPr>
                <w:rFonts w:cs="Times New Roman"/>
                <w:highlight w:val="yellow"/>
              </w:rPr>
              <w:t>Fluctuation hormonale</w:t>
            </w:r>
          </w:p>
        </w:tc>
      </w:tr>
      <w:tr w:rsidR="00735E1C" w:rsidTr="00C57E45">
        <w:tc>
          <w:tcPr>
            <w:tcW w:w="2735" w:type="dxa"/>
            <w:vAlign w:val="center"/>
          </w:tcPr>
          <w:p w:rsidR="00735E1C" w:rsidRPr="00873485" w:rsidRDefault="00DD7B33" w:rsidP="00C57E45">
            <w:pPr>
              <w:jc w:val="center"/>
              <w:rPr>
                <w:rFonts w:cs="Times New Roman"/>
                <w:highlight w:val="yellow"/>
              </w:rPr>
            </w:pPr>
            <w:r w:rsidRPr="00873485">
              <w:rPr>
                <w:rFonts w:cs="Times New Roman"/>
                <w:highlight w:val="yellow"/>
              </w:rPr>
              <w:t>Maladie fibrokystique du sein</w:t>
            </w:r>
          </w:p>
        </w:tc>
        <w:tc>
          <w:tcPr>
            <w:tcW w:w="2735" w:type="dxa"/>
          </w:tcPr>
          <w:p w:rsidR="00735E1C" w:rsidRPr="00873485" w:rsidRDefault="00DD7B33" w:rsidP="00124714">
            <w:pPr>
              <w:pStyle w:val="Paragraphedeliste"/>
              <w:numPr>
                <w:ilvl w:val="0"/>
                <w:numId w:val="191"/>
              </w:numPr>
              <w:rPr>
                <w:rFonts w:cs="Times New Roman"/>
                <w:highlight w:val="yellow"/>
              </w:rPr>
            </w:pPr>
            <w:r w:rsidRPr="00873485">
              <w:rPr>
                <w:rFonts w:cs="Times New Roman"/>
                <w:highlight w:val="yellow"/>
              </w:rPr>
              <w:t>30-50 ans</w:t>
            </w:r>
          </w:p>
          <w:p w:rsidR="00124714" w:rsidRPr="00873485" w:rsidRDefault="00124714" w:rsidP="00124714">
            <w:pPr>
              <w:pStyle w:val="Paragraphedeliste"/>
              <w:numPr>
                <w:ilvl w:val="0"/>
                <w:numId w:val="191"/>
              </w:numPr>
              <w:rPr>
                <w:rFonts w:cs="Times New Roman"/>
                <w:highlight w:val="yellow"/>
              </w:rPr>
            </w:pPr>
            <w:r w:rsidRPr="00873485">
              <w:rPr>
                <w:rFonts w:cs="Times New Roman"/>
                <w:highlight w:val="yellow"/>
              </w:rPr>
              <w:t>Parfois plus si HTR</w:t>
            </w:r>
          </w:p>
        </w:tc>
        <w:tc>
          <w:tcPr>
            <w:tcW w:w="2735" w:type="dxa"/>
          </w:tcPr>
          <w:p w:rsidR="00735E1C" w:rsidRPr="00873485" w:rsidRDefault="00DD7B33" w:rsidP="00124714">
            <w:pPr>
              <w:pStyle w:val="Paragraphedeliste"/>
              <w:numPr>
                <w:ilvl w:val="0"/>
                <w:numId w:val="190"/>
              </w:numPr>
              <w:rPr>
                <w:rFonts w:cs="Times New Roman"/>
                <w:highlight w:val="yellow"/>
              </w:rPr>
            </w:pPr>
            <w:r w:rsidRPr="00873485">
              <w:rPr>
                <w:rFonts w:cs="Times New Roman"/>
                <w:highlight w:val="yellow"/>
              </w:rPr>
              <w:t>Sensibilité mammaire</w:t>
            </w:r>
          </w:p>
          <w:p w:rsidR="00124714" w:rsidRPr="00873485" w:rsidRDefault="00124714" w:rsidP="00124714">
            <w:pPr>
              <w:pStyle w:val="Paragraphedeliste"/>
              <w:numPr>
                <w:ilvl w:val="0"/>
                <w:numId w:val="190"/>
              </w:numPr>
              <w:rPr>
                <w:rFonts w:cs="Times New Roman"/>
                <w:highlight w:val="yellow"/>
              </w:rPr>
            </w:pPr>
            <w:r w:rsidRPr="00873485">
              <w:rPr>
                <w:rFonts w:cs="Times New Roman"/>
                <w:highlight w:val="yellow"/>
              </w:rPr>
              <w:t xml:space="preserve">Variation avec le cycle </w:t>
            </w:r>
            <w:r w:rsidR="00DC375F" w:rsidRPr="00873485">
              <w:rPr>
                <w:rFonts w:cs="Times New Roman"/>
                <w:highlight w:val="yellow"/>
              </w:rPr>
              <w:t>menstruel</w:t>
            </w:r>
          </w:p>
          <w:p w:rsidR="00124714" w:rsidRPr="00873485" w:rsidRDefault="00124714" w:rsidP="00124714">
            <w:pPr>
              <w:pStyle w:val="Paragraphedeliste"/>
              <w:numPr>
                <w:ilvl w:val="0"/>
                <w:numId w:val="190"/>
              </w:numPr>
              <w:rPr>
                <w:rFonts w:cs="Times New Roman"/>
                <w:highlight w:val="yellow"/>
              </w:rPr>
            </w:pPr>
            <w:r w:rsidRPr="00873485">
              <w:rPr>
                <w:rFonts w:cs="Times New Roman"/>
                <w:highlight w:val="yellow"/>
              </w:rPr>
              <w:t>Écoulement brun/vert/jaunâtre</w:t>
            </w:r>
          </w:p>
        </w:tc>
        <w:tc>
          <w:tcPr>
            <w:tcW w:w="2735" w:type="dxa"/>
          </w:tcPr>
          <w:p w:rsidR="00735E1C" w:rsidRPr="00873485" w:rsidRDefault="00DD7B33" w:rsidP="00124714">
            <w:pPr>
              <w:pStyle w:val="Paragraphedeliste"/>
              <w:numPr>
                <w:ilvl w:val="0"/>
                <w:numId w:val="189"/>
              </w:numPr>
              <w:rPr>
                <w:rFonts w:cs="Times New Roman"/>
                <w:highlight w:val="yellow"/>
              </w:rPr>
            </w:pPr>
            <w:r w:rsidRPr="00873485">
              <w:rPr>
                <w:rFonts w:cs="Times New Roman"/>
                <w:highlight w:val="yellow"/>
              </w:rPr>
              <w:t>Kystes nodulaires</w:t>
            </w:r>
          </w:p>
          <w:p w:rsidR="00124714" w:rsidRPr="00873485" w:rsidRDefault="00124714" w:rsidP="00124714">
            <w:pPr>
              <w:pStyle w:val="Paragraphedeliste"/>
              <w:numPr>
                <w:ilvl w:val="0"/>
                <w:numId w:val="189"/>
              </w:numPr>
              <w:rPr>
                <w:rFonts w:cs="Times New Roman"/>
                <w:highlight w:val="yellow"/>
              </w:rPr>
            </w:pPr>
            <w:r w:rsidRPr="00873485">
              <w:rPr>
                <w:rFonts w:cs="Times New Roman"/>
                <w:highlight w:val="yellow"/>
              </w:rPr>
              <w:t>Souvent bilatéraux</w:t>
            </w:r>
          </w:p>
          <w:p w:rsidR="00124714" w:rsidRPr="00873485" w:rsidRDefault="00124714" w:rsidP="00124714">
            <w:pPr>
              <w:pStyle w:val="Paragraphedeliste"/>
              <w:numPr>
                <w:ilvl w:val="0"/>
                <w:numId w:val="189"/>
              </w:numPr>
              <w:rPr>
                <w:rFonts w:cs="Times New Roman"/>
                <w:highlight w:val="yellow"/>
              </w:rPr>
            </w:pPr>
            <w:r w:rsidRPr="00873485">
              <w:rPr>
                <w:rFonts w:cs="Times New Roman"/>
                <w:highlight w:val="yellow"/>
              </w:rPr>
              <w:t>Quadrant supéro-externe</w:t>
            </w:r>
          </w:p>
          <w:p w:rsidR="00DD7B33" w:rsidRPr="00873485" w:rsidRDefault="00DD7B33" w:rsidP="00124714">
            <w:pPr>
              <w:pStyle w:val="Paragraphedeliste"/>
              <w:numPr>
                <w:ilvl w:val="0"/>
                <w:numId w:val="189"/>
              </w:numPr>
              <w:rPr>
                <w:rFonts w:cs="Times New Roman"/>
                <w:highlight w:val="yellow"/>
              </w:rPr>
            </w:pPr>
            <w:r w:rsidRPr="00873485">
              <w:rPr>
                <w:rFonts w:cs="Times New Roman"/>
                <w:highlight w:val="yellow"/>
              </w:rPr>
              <w:t>Mous et rénitents</w:t>
            </w:r>
          </w:p>
          <w:p w:rsidR="00124714" w:rsidRPr="00873485" w:rsidRDefault="00124714" w:rsidP="00124714">
            <w:pPr>
              <w:pStyle w:val="Paragraphedeliste"/>
              <w:numPr>
                <w:ilvl w:val="0"/>
                <w:numId w:val="189"/>
              </w:numPr>
              <w:rPr>
                <w:rFonts w:cs="Times New Roman"/>
                <w:highlight w:val="yellow"/>
              </w:rPr>
            </w:pPr>
            <w:r w:rsidRPr="00873485">
              <w:rPr>
                <w:rFonts w:cs="Times New Roman"/>
                <w:highlight w:val="yellow"/>
              </w:rPr>
              <w:t>Mobiles</w:t>
            </w:r>
          </w:p>
        </w:tc>
      </w:tr>
      <w:tr w:rsidR="000968EE" w:rsidTr="00C57E45">
        <w:tc>
          <w:tcPr>
            <w:tcW w:w="2735" w:type="dxa"/>
            <w:vAlign w:val="center"/>
          </w:tcPr>
          <w:p w:rsidR="000968EE" w:rsidRDefault="000968EE" w:rsidP="00C57E45">
            <w:pPr>
              <w:jc w:val="center"/>
              <w:rPr>
                <w:rFonts w:cs="Times New Roman"/>
              </w:rPr>
            </w:pPr>
            <w:r>
              <w:rPr>
                <w:rFonts w:cs="Times New Roman"/>
              </w:rPr>
              <w:t>Papillome intra canalaire</w:t>
            </w:r>
          </w:p>
        </w:tc>
        <w:tc>
          <w:tcPr>
            <w:tcW w:w="8205" w:type="dxa"/>
            <w:gridSpan w:val="3"/>
          </w:tcPr>
          <w:p w:rsidR="000968EE" w:rsidRPr="000968EE" w:rsidRDefault="000968EE" w:rsidP="000968EE">
            <w:pPr>
              <w:jc w:val="center"/>
              <w:rPr>
                <w:rFonts w:cs="Times New Roman"/>
                <w:i/>
              </w:rPr>
            </w:pPr>
            <w:r w:rsidRPr="000968EE">
              <w:rPr>
                <w:rFonts w:cs="Times New Roman"/>
                <w:i/>
              </w:rPr>
              <w:t>Voir Écoulement mammaire (CMC 10-2)</w:t>
            </w:r>
          </w:p>
        </w:tc>
      </w:tr>
      <w:tr w:rsidR="00534161" w:rsidTr="00C57E45">
        <w:tc>
          <w:tcPr>
            <w:tcW w:w="2735" w:type="dxa"/>
            <w:vAlign w:val="center"/>
          </w:tcPr>
          <w:p w:rsidR="00534161" w:rsidRDefault="00534161" w:rsidP="00C57E45">
            <w:pPr>
              <w:jc w:val="center"/>
              <w:rPr>
                <w:rFonts w:cs="Times New Roman"/>
              </w:rPr>
            </w:pPr>
            <w:r>
              <w:rPr>
                <w:rFonts w:cs="Times New Roman"/>
              </w:rPr>
              <w:t>Tumeur Phyllode</w:t>
            </w:r>
          </w:p>
        </w:tc>
        <w:tc>
          <w:tcPr>
            <w:tcW w:w="2735" w:type="dxa"/>
          </w:tcPr>
          <w:p w:rsidR="00534161" w:rsidRPr="00C57E45" w:rsidRDefault="00534161" w:rsidP="00C57E45">
            <w:pPr>
              <w:pStyle w:val="Paragraphedeliste"/>
              <w:numPr>
                <w:ilvl w:val="0"/>
                <w:numId w:val="193"/>
              </w:numPr>
              <w:rPr>
                <w:rFonts w:cs="Times New Roman"/>
              </w:rPr>
            </w:pPr>
            <w:r w:rsidRPr="00C57E45">
              <w:rPr>
                <w:rFonts w:cs="Times New Roman"/>
              </w:rPr>
              <w:t>Bénin ou malin</w:t>
            </w:r>
          </w:p>
          <w:p w:rsidR="00C57E45" w:rsidRPr="00C57E45" w:rsidRDefault="00C57E45" w:rsidP="00C57E45">
            <w:pPr>
              <w:pStyle w:val="Paragraphedeliste"/>
              <w:numPr>
                <w:ilvl w:val="0"/>
                <w:numId w:val="193"/>
              </w:numPr>
              <w:rPr>
                <w:rFonts w:cs="Times New Roman"/>
              </w:rPr>
            </w:pPr>
            <w:r w:rsidRPr="00C57E45">
              <w:rPr>
                <w:rFonts w:cs="Times New Roman"/>
              </w:rPr>
              <w:t>Présences d’atypies cellulaires</w:t>
            </w:r>
          </w:p>
          <w:p w:rsidR="00C57E45" w:rsidRPr="00C57E45" w:rsidRDefault="00637863" w:rsidP="00C57E45">
            <w:pPr>
              <w:pStyle w:val="Paragraphedeliste"/>
              <w:numPr>
                <w:ilvl w:val="0"/>
                <w:numId w:val="193"/>
              </w:numPr>
              <w:rPr>
                <w:rFonts w:cs="Times New Roman"/>
              </w:rPr>
            </w:pPr>
            <w:r>
              <w:rPr>
                <w:rFonts w:cs="Times New Roman"/>
              </w:rPr>
              <w:t>35-55 ans</w:t>
            </w:r>
          </w:p>
        </w:tc>
        <w:tc>
          <w:tcPr>
            <w:tcW w:w="2735" w:type="dxa"/>
          </w:tcPr>
          <w:p w:rsidR="00534161" w:rsidRPr="00C57E45" w:rsidRDefault="00534161" w:rsidP="00C57E45">
            <w:pPr>
              <w:pStyle w:val="Paragraphedeliste"/>
              <w:numPr>
                <w:ilvl w:val="0"/>
                <w:numId w:val="193"/>
              </w:numPr>
              <w:rPr>
                <w:rFonts w:cs="Times New Roman"/>
              </w:rPr>
            </w:pPr>
            <w:r w:rsidRPr="00C57E45">
              <w:rPr>
                <w:rFonts w:cs="Times New Roman"/>
              </w:rPr>
              <w:t>Croissance rapide</w:t>
            </w:r>
          </w:p>
        </w:tc>
        <w:tc>
          <w:tcPr>
            <w:tcW w:w="2735" w:type="dxa"/>
          </w:tcPr>
          <w:p w:rsidR="00534161" w:rsidRPr="00C57E45" w:rsidRDefault="00C57E45" w:rsidP="00C57E45">
            <w:pPr>
              <w:pStyle w:val="Paragraphedeliste"/>
              <w:numPr>
                <w:ilvl w:val="0"/>
                <w:numId w:val="193"/>
              </w:numPr>
              <w:rPr>
                <w:rFonts w:cs="Times New Roman"/>
              </w:rPr>
            </w:pPr>
            <w:r w:rsidRPr="00C57E45">
              <w:rPr>
                <w:rFonts w:cs="Times New Roman"/>
              </w:rPr>
              <w:t>Voussure du sein</w:t>
            </w:r>
          </w:p>
          <w:p w:rsidR="00C57E45" w:rsidRPr="00C57E45" w:rsidRDefault="00C57E45" w:rsidP="00C57E45">
            <w:pPr>
              <w:pStyle w:val="Paragraphedeliste"/>
              <w:numPr>
                <w:ilvl w:val="0"/>
                <w:numId w:val="193"/>
              </w:numPr>
              <w:rPr>
                <w:rFonts w:cs="Times New Roman"/>
                <w:i/>
              </w:rPr>
            </w:pPr>
            <w:r w:rsidRPr="00C57E45">
              <w:rPr>
                <w:rFonts w:cs="Times New Roman"/>
              </w:rPr>
              <w:t xml:space="preserve">Nodule </w:t>
            </w:r>
            <w:r w:rsidR="00C964B3" w:rsidRPr="00C57E45">
              <w:rPr>
                <w:rFonts w:cs="Times New Roman"/>
              </w:rPr>
              <w:t>polylobé</w:t>
            </w:r>
          </w:p>
        </w:tc>
      </w:tr>
      <w:tr w:rsidR="00BA4DA1" w:rsidTr="001660C1">
        <w:tc>
          <w:tcPr>
            <w:tcW w:w="2735" w:type="dxa"/>
            <w:vAlign w:val="center"/>
          </w:tcPr>
          <w:p w:rsidR="00BA4DA1" w:rsidRDefault="00BA4DA1" w:rsidP="00C57E45">
            <w:pPr>
              <w:jc w:val="center"/>
              <w:rPr>
                <w:rFonts w:cs="Times New Roman"/>
              </w:rPr>
            </w:pPr>
            <w:r>
              <w:rPr>
                <w:rFonts w:cs="Times New Roman"/>
              </w:rPr>
              <w:t>Mastite / Abcès</w:t>
            </w:r>
          </w:p>
        </w:tc>
        <w:tc>
          <w:tcPr>
            <w:tcW w:w="8205" w:type="dxa"/>
            <w:gridSpan w:val="3"/>
          </w:tcPr>
          <w:p w:rsidR="00BA4DA1" w:rsidRDefault="00BA4DA1" w:rsidP="00BA4DA1">
            <w:pPr>
              <w:jc w:val="center"/>
              <w:rPr>
                <w:rFonts w:cs="Times New Roman"/>
              </w:rPr>
            </w:pPr>
            <w:r w:rsidRPr="000968EE">
              <w:rPr>
                <w:rFonts w:cs="Times New Roman"/>
                <w:i/>
              </w:rPr>
              <w:t>Voir Écoulement mammaire (CMC 10-2)</w:t>
            </w:r>
          </w:p>
        </w:tc>
      </w:tr>
      <w:tr w:rsidR="000968EE" w:rsidTr="00C57E45">
        <w:tc>
          <w:tcPr>
            <w:tcW w:w="2735" w:type="dxa"/>
            <w:vAlign w:val="center"/>
          </w:tcPr>
          <w:p w:rsidR="000968EE" w:rsidRDefault="000968EE" w:rsidP="00C57E45">
            <w:pPr>
              <w:jc w:val="center"/>
              <w:rPr>
                <w:rFonts w:cs="Times New Roman"/>
              </w:rPr>
            </w:pPr>
            <w:r>
              <w:rPr>
                <w:rFonts w:cs="Times New Roman"/>
              </w:rPr>
              <w:t>Ectasie canalaire</w:t>
            </w:r>
          </w:p>
        </w:tc>
        <w:tc>
          <w:tcPr>
            <w:tcW w:w="8205" w:type="dxa"/>
            <w:gridSpan w:val="3"/>
          </w:tcPr>
          <w:p w:rsidR="000968EE" w:rsidRPr="000968EE" w:rsidRDefault="000968EE" w:rsidP="000968EE">
            <w:pPr>
              <w:jc w:val="center"/>
              <w:rPr>
                <w:rFonts w:cs="Times New Roman"/>
                <w:i/>
              </w:rPr>
            </w:pPr>
            <w:r w:rsidRPr="000968EE">
              <w:rPr>
                <w:rFonts w:cs="Times New Roman"/>
                <w:i/>
              </w:rPr>
              <w:t>Voir Écoulement mammaire (CMC 10-2)</w:t>
            </w:r>
          </w:p>
        </w:tc>
      </w:tr>
      <w:tr w:rsidR="007D01BC" w:rsidTr="001660C1">
        <w:tc>
          <w:tcPr>
            <w:tcW w:w="2735" w:type="dxa"/>
            <w:vAlign w:val="center"/>
          </w:tcPr>
          <w:p w:rsidR="007D01BC" w:rsidRDefault="007D01BC" w:rsidP="007D01BC">
            <w:pPr>
              <w:jc w:val="center"/>
              <w:rPr>
                <w:rFonts w:cs="Times New Roman"/>
              </w:rPr>
            </w:pPr>
            <w:r>
              <w:rPr>
                <w:rFonts w:cs="Times New Roman"/>
              </w:rPr>
              <w:t>Kystes de Montgomery</w:t>
            </w:r>
          </w:p>
        </w:tc>
        <w:tc>
          <w:tcPr>
            <w:tcW w:w="5470" w:type="dxa"/>
            <w:gridSpan w:val="2"/>
          </w:tcPr>
          <w:p w:rsidR="007D01BC" w:rsidRDefault="007D01BC" w:rsidP="007D01BC">
            <w:pPr>
              <w:rPr>
                <w:rFonts w:cs="Times New Roman"/>
              </w:rPr>
            </w:pPr>
            <w:r>
              <w:rPr>
                <w:rFonts w:cs="Times New Roman"/>
              </w:rPr>
              <w:t>Inflammation des tubercules de Montgmorey (projections populaires des glandes du même nom dans  l’aréole)</w:t>
            </w:r>
          </w:p>
        </w:tc>
        <w:tc>
          <w:tcPr>
            <w:tcW w:w="2735" w:type="dxa"/>
          </w:tcPr>
          <w:p w:rsidR="007D01BC" w:rsidRPr="007D01BC" w:rsidRDefault="007D01BC" w:rsidP="007D01BC">
            <w:pPr>
              <w:pStyle w:val="Paragraphedeliste"/>
              <w:numPr>
                <w:ilvl w:val="0"/>
                <w:numId w:val="194"/>
              </w:numPr>
              <w:rPr>
                <w:rFonts w:cs="Times New Roman"/>
              </w:rPr>
            </w:pPr>
            <w:r w:rsidRPr="007D01BC">
              <w:rPr>
                <w:rFonts w:cs="Times New Roman"/>
              </w:rPr>
              <w:t>Kystes inflammés au niveau de l’aréole</w:t>
            </w:r>
          </w:p>
        </w:tc>
      </w:tr>
      <w:tr w:rsidR="00735E1C" w:rsidTr="007D01BC">
        <w:tc>
          <w:tcPr>
            <w:tcW w:w="2735" w:type="dxa"/>
            <w:vAlign w:val="center"/>
          </w:tcPr>
          <w:p w:rsidR="00735E1C" w:rsidRDefault="00DD7B33" w:rsidP="00B41088">
            <w:pPr>
              <w:jc w:val="center"/>
              <w:rPr>
                <w:rFonts w:cs="Times New Roman"/>
              </w:rPr>
            </w:pPr>
            <w:r>
              <w:rPr>
                <w:rFonts w:cs="Times New Roman"/>
              </w:rPr>
              <w:t>Nécrose</w:t>
            </w:r>
            <w:r w:rsidR="00B41088">
              <w:rPr>
                <w:rFonts w:cs="Times New Roman"/>
              </w:rPr>
              <w:t xml:space="preserve"> adipeuse</w:t>
            </w:r>
          </w:p>
        </w:tc>
        <w:tc>
          <w:tcPr>
            <w:tcW w:w="2735" w:type="dxa"/>
          </w:tcPr>
          <w:p w:rsidR="007D01BC" w:rsidRPr="007D01BC" w:rsidRDefault="007D01BC" w:rsidP="007D01BC">
            <w:pPr>
              <w:pStyle w:val="Paragraphedeliste"/>
              <w:numPr>
                <w:ilvl w:val="0"/>
                <w:numId w:val="194"/>
              </w:numPr>
              <w:rPr>
                <w:rFonts w:cs="Times New Roman"/>
              </w:rPr>
            </w:pPr>
            <w:r w:rsidRPr="007D01BC">
              <w:rPr>
                <w:rFonts w:cs="Times New Roman"/>
              </w:rPr>
              <w:t>Post-traumatique</w:t>
            </w:r>
          </w:p>
          <w:p w:rsidR="007D01BC" w:rsidRPr="007D01BC" w:rsidRDefault="007D01BC" w:rsidP="007D01BC">
            <w:pPr>
              <w:pStyle w:val="Paragraphedeliste"/>
              <w:numPr>
                <w:ilvl w:val="1"/>
                <w:numId w:val="194"/>
              </w:numPr>
              <w:rPr>
                <w:rFonts w:cs="Times New Roman"/>
              </w:rPr>
            </w:pPr>
            <w:r w:rsidRPr="007D01BC">
              <w:rPr>
                <w:rFonts w:cs="Times New Roman"/>
              </w:rPr>
              <w:t>Parfois mineurs</w:t>
            </w:r>
          </w:p>
          <w:p w:rsidR="007D01BC" w:rsidRPr="007D01BC" w:rsidRDefault="007D01BC" w:rsidP="007D01BC">
            <w:pPr>
              <w:pStyle w:val="Paragraphedeliste"/>
              <w:numPr>
                <w:ilvl w:val="0"/>
                <w:numId w:val="194"/>
              </w:numPr>
              <w:rPr>
                <w:rFonts w:cs="Times New Roman"/>
              </w:rPr>
            </w:pPr>
            <w:r w:rsidRPr="007D01BC">
              <w:rPr>
                <w:rFonts w:cs="Times New Roman"/>
              </w:rPr>
              <w:t>Post-chirurgie du sein</w:t>
            </w:r>
          </w:p>
          <w:p w:rsidR="007D01BC" w:rsidRPr="007D01BC" w:rsidRDefault="007D01BC" w:rsidP="007D01BC">
            <w:pPr>
              <w:pStyle w:val="Paragraphedeliste"/>
              <w:numPr>
                <w:ilvl w:val="0"/>
                <w:numId w:val="194"/>
              </w:numPr>
              <w:rPr>
                <w:rFonts w:cs="Times New Roman"/>
              </w:rPr>
            </w:pPr>
            <w:r w:rsidRPr="007D01BC">
              <w:rPr>
                <w:rFonts w:cs="Times New Roman"/>
              </w:rPr>
              <w:t>Souvent chez seins volumineux</w:t>
            </w:r>
          </w:p>
        </w:tc>
        <w:tc>
          <w:tcPr>
            <w:tcW w:w="2735" w:type="dxa"/>
            <w:shd w:val="clear" w:color="auto" w:fill="000000" w:themeFill="text1"/>
          </w:tcPr>
          <w:p w:rsidR="00735E1C" w:rsidRDefault="00735E1C">
            <w:pPr>
              <w:rPr>
                <w:rFonts w:cs="Times New Roman"/>
              </w:rPr>
            </w:pPr>
          </w:p>
        </w:tc>
        <w:tc>
          <w:tcPr>
            <w:tcW w:w="2735" w:type="dxa"/>
          </w:tcPr>
          <w:p w:rsidR="00735E1C" w:rsidRPr="007D01BC" w:rsidRDefault="007D01BC" w:rsidP="007D01BC">
            <w:pPr>
              <w:pStyle w:val="Paragraphedeliste"/>
              <w:numPr>
                <w:ilvl w:val="0"/>
                <w:numId w:val="194"/>
              </w:numPr>
              <w:rPr>
                <w:rFonts w:cs="Times New Roman"/>
              </w:rPr>
            </w:pPr>
            <w:r w:rsidRPr="007D01BC">
              <w:rPr>
                <w:rFonts w:cs="Times New Roman"/>
              </w:rPr>
              <w:t>Masse ferme</w:t>
            </w:r>
          </w:p>
          <w:p w:rsidR="007D01BC" w:rsidRPr="007D01BC" w:rsidRDefault="007D01BC" w:rsidP="007D01BC">
            <w:pPr>
              <w:pStyle w:val="Paragraphedeliste"/>
              <w:numPr>
                <w:ilvl w:val="0"/>
                <w:numId w:val="194"/>
              </w:numPr>
              <w:rPr>
                <w:rFonts w:cs="Times New Roman"/>
              </w:rPr>
            </w:pPr>
            <w:r w:rsidRPr="007D01BC">
              <w:rPr>
                <w:rFonts w:cs="Times New Roman"/>
              </w:rPr>
              <w:t>Mal définie</w:t>
            </w:r>
          </w:p>
          <w:p w:rsidR="007D01BC" w:rsidRPr="007D01BC" w:rsidRDefault="007D01BC" w:rsidP="007D01BC">
            <w:pPr>
              <w:pStyle w:val="Paragraphedeliste"/>
              <w:numPr>
                <w:ilvl w:val="0"/>
                <w:numId w:val="194"/>
              </w:numPr>
              <w:rPr>
                <w:rFonts w:cs="Times New Roman"/>
              </w:rPr>
            </w:pPr>
            <w:r w:rsidRPr="007D01BC">
              <w:rPr>
                <w:rFonts w:cs="Times New Roman"/>
              </w:rPr>
              <w:t>Parfois rétraction cutanée</w:t>
            </w:r>
          </w:p>
          <w:p w:rsidR="007D01BC" w:rsidRPr="007D01BC" w:rsidRDefault="007D01BC" w:rsidP="007D01BC">
            <w:pPr>
              <w:pStyle w:val="Paragraphedeliste"/>
              <w:numPr>
                <w:ilvl w:val="0"/>
                <w:numId w:val="194"/>
              </w:numPr>
              <w:rPr>
                <w:rFonts w:cs="Times New Roman"/>
              </w:rPr>
            </w:pPr>
            <w:r w:rsidRPr="007D01BC">
              <w:rPr>
                <w:rFonts w:cs="Times New Roman"/>
              </w:rPr>
              <w:t>Régression spontanée</w:t>
            </w:r>
          </w:p>
        </w:tc>
      </w:tr>
      <w:tr w:rsidR="00735E1C" w:rsidTr="00735E1C">
        <w:tc>
          <w:tcPr>
            <w:tcW w:w="10940" w:type="dxa"/>
            <w:gridSpan w:val="4"/>
            <w:shd w:val="clear" w:color="auto" w:fill="CCC0D9" w:themeFill="accent4" w:themeFillTint="66"/>
          </w:tcPr>
          <w:p w:rsidR="00735E1C" w:rsidRDefault="00735E1C" w:rsidP="00735E1C">
            <w:pPr>
              <w:jc w:val="center"/>
              <w:rPr>
                <w:rFonts w:cs="Times New Roman"/>
              </w:rPr>
            </w:pPr>
            <w:r>
              <w:rPr>
                <w:rFonts w:cs="Times New Roman"/>
              </w:rPr>
              <w:t>Cancer du sein</w:t>
            </w:r>
          </w:p>
        </w:tc>
      </w:tr>
      <w:tr w:rsidR="009B2A16" w:rsidTr="00735E1C">
        <w:tc>
          <w:tcPr>
            <w:tcW w:w="2735" w:type="dxa"/>
          </w:tcPr>
          <w:p w:rsidR="009B2A16" w:rsidRPr="0041509E" w:rsidRDefault="009B2A16" w:rsidP="00073F96">
            <w:pPr>
              <w:jc w:val="center"/>
              <w:rPr>
                <w:rFonts w:cs="Times New Roman"/>
                <w:i/>
              </w:rPr>
            </w:pPr>
            <w:r w:rsidRPr="0041509E">
              <w:rPr>
                <w:rFonts w:cs="Times New Roman"/>
                <w:i/>
              </w:rPr>
              <w:t>Diagnostic</w:t>
            </w:r>
          </w:p>
        </w:tc>
        <w:tc>
          <w:tcPr>
            <w:tcW w:w="2735" w:type="dxa"/>
          </w:tcPr>
          <w:p w:rsidR="009B2A16" w:rsidRPr="0041509E" w:rsidRDefault="009B2A16" w:rsidP="00073F96">
            <w:pPr>
              <w:jc w:val="center"/>
              <w:rPr>
                <w:rFonts w:cs="Times New Roman"/>
                <w:i/>
              </w:rPr>
            </w:pPr>
            <w:r w:rsidRPr="0041509E">
              <w:rPr>
                <w:rFonts w:cs="Times New Roman"/>
                <w:i/>
              </w:rPr>
              <w:t>Épidémiologie</w:t>
            </w:r>
          </w:p>
        </w:tc>
        <w:tc>
          <w:tcPr>
            <w:tcW w:w="2735" w:type="dxa"/>
          </w:tcPr>
          <w:p w:rsidR="009B2A16" w:rsidRPr="0041509E" w:rsidRDefault="009B2A16" w:rsidP="00073F96">
            <w:pPr>
              <w:jc w:val="center"/>
              <w:rPr>
                <w:rFonts w:cs="Times New Roman"/>
                <w:i/>
              </w:rPr>
            </w:pPr>
            <w:r w:rsidRPr="0041509E">
              <w:rPr>
                <w:rFonts w:cs="Times New Roman"/>
                <w:i/>
              </w:rPr>
              <w:t>Symptômes</w:t>
            </w:r>
          </w:p>
        </w:tc>
        <w:tc>
          <w:tcPr>
            <w:tcW w:w="2735" w:type="dxa"/>
          </w:tcPr>
          <w:p w:rsidR="009B2A16" w:rsidRPr="0041509E" w:rsidRDefault="009B2A16" w:rsidP="00073F96">
            <w:pPr>
              <w:jc w:val="center"/>
              <w:rPr>
                <w:rFonts w:cs="Times New Roman"/>
                <w:i/>
              </w:rPr>
            </w:pPr>
            <w:r w:rsidRPr="0041509E">
              <w:rPr>
                <w:rFonts w:cs="Times New Roman"/>
                <w:i/>
              </w:rPr>
              <w:t>Signes physiques</w:t>
            </w:r>
          </w:p>
        </w:tc>
      </w:tr>
      <w:tr w:rsidR="00726865" w:rsidTr="00735E1C">
        <w:tc>
          <w:tcPr>
            <w:tcW w:w="2735" w:type="dxa"/>
          </w:tcPr>
          <w:p w:rsidR="00726865" w:rsidRDefault="0000248A">
            <w:pPr>
              <w:rPr>
                <w:rFonts w:cs="Times New Roman"/>
              </w:rPr>
            </w:pPr>
            <w:r>
              <w:rPr>
                <w:rFonts w:cs="Times New Roman"/>
              </w:rPr>
              <w:t>DCIS</w:t>
            </w:r>
          </w:p>
        </w:tc>
        <w:tc>
          <w:tcPr>
            <w:tcW w:w="2735" w:type="dxa"/>
          </w:tcPr>
          <w:p w:rsidR="001660C1" w:rsidRPr="001660C1" w:rsidRDefault="001660C1" w:rsidP="009919B5">
            <w:pPr>
              <w:pStyle w:val="Paragraphedeliste"/>
              <w:numPr>
                <w:ilvl w:val="0"/>
                <w:numId w:val="195"/>
              </w:numPr>
              <w:rPr>
                <w:rFonts w:cs="Times New Roman"/>
              </w:rPr>
            </w:pPr>
            <w:r w:rsidRPr="001660C1">
              <w:rPr>
                <w:rFonts w:cs="Times New Roman"/>
              </w:rPr>
              <w:t>Risque de cancer invasif ipsi</w:t>
            </w:r>
            <w:r w:rsidR="009919B5">
              <w:rPr>
                <w:rFonts w:cs="Times New Roman"/>
              </w:rPr>
              <w:t>.</w:t>
            </w:r>
            <w:r w:rsidRPr="001660C1">
              <w:rPr>
                <w:rFonts w:cs="Times New Roman"/>
              </w:rPr>
              <w:t xml:space="preserve"> à 10 ans (35%)</w:t>
            </w:r>
          </w:p>
        </w:tc>
        <w:tc>
          <w:tcPr>
            <w:tcW w:w="2735" w:type="dxa"/>
          </w:tcPr>
          <w:p w:rsidR="00726865" w:rsidRPr="009919B5" w:rsidRDefault="009919B5" w:rsidP="009919B5">
            <w:pPr>
              <w:jc w:val="center"/>
              <w:rPr>
                <w:rFonts w:cs="Times New Roman"/>
                <w:i/>
              </w:rPr>
            </w:pPr>
            <w:r w:rsidRPr="009919B5">
              <w:rPr>
                <w:rFonts w:cs="Times New Roman"/>
                <w:i/>
              </w:rPr>
              <w:t>Voir Carcinomes invasifs</w:t>
            </w:r>
          </w:p>
        </w:tc>
        <w:tc>
          <w:tcPr>
            <w:tcW w:w="2735" w:type="dxa"/>
          </w:tcPr>
          <w:p w:rsidR="001660C1" w:rsidRPr="001660C1" w:rsidRDefault="001660C1" w:rsidP="001660C1">
            <w:pPr>
              <w:pStyle w:val="Paragraphedeliste"/>
              <w:numPr>
                <w:ilvl w:val="0"/>
                <w:numId w:val="195"/>
              </w:numPr>
              <w:rPr>
                <w:rFonts w:cs="Times New Roman"/>
              </w:rPr>
            </w:pPr>
            <w:r w:rsidRPr="001660C1">
              <w:rPr>
                <w:rFonts w:cs="Times New Roman"/>
              </w:rPr>
              <w:t>80% non-palpables</w:t>
            </w:r>
          </w:p>
          <w:p w:rsidR="00726865" w:rsidRDefault="00726865">
            <w:pPr>
              <w:rPr>
                <w:rFonts w:cs="Times New Roman"/>
              </w:rPr>
            </w:pPr>
          </w:p>
        </w:tc>
      </w:tr>
      <w:tr w:rsidR="00726865" w:rsidTr="006C095B">
        <w:tc>
          <w:tcPr>
            <w:tcW w:w="2735" w:type="dxa"/>
          </w:tcPr>
          <w:p w:rsidR="00726865" w:rsidRDefault="0000248A">
            <w:pPr>
              <w:rPr>
                <w:rFonts w:cs="Times New Roman"/>
              </w:rPr>
            </w:pPr>
            <w:r>
              <w:rPr>
                <w:rFonts w:cs="Times New Roman"/>
              </w:rPr>
              <w:t>LCIS</w:t>
            </w:r>
          </w:p>
        </w:tc>
        <w:tc>
          <w:tcPr>
            <w:tcW w:w="2735" w:type="dxa"/>
          </w:tcPr>
          <w:p w:rsidR="00726865" w:rsidRPr="001660C1" w:rsidRDefault="003A557B" w:rsidP="001660C1">
            <w:pPr>
              <w:pStyle w:val="Paragraphedeliste"/>
              <w:numPr>
                <w:ilvl w:val="0"/>
                <w:numId w:val="196"/>
              </w:numPr>
              <w:rPr>
                <w:rFonts w:cs="Times New Roman"/>
              </w:rPr>
            </w:pPr>
            <w:r>
              <w:rPr>
                <w:rFonts w:cs="Times New Roman"/>
              </w:rPr>
              <w:t>FR</w:t>
            </w:r>
            <w:r w:rsidR="001660C1" w:rsidRPr="001660C1">
              <w:rPr>
                <w:rFonts w:cs="Times New Roman"/>
              </w:rPr>
              <w:t xml:space="preserve"> de cancer invasif</w:t>
            </w:r>
          </w:p>
        </w:tc>
        <w:tc>
          <w:tcPr>
            <w:tcW w:w="2735" w:type="dxa"/>
            <w:shd w:val="clear" w:color="auto" w:fill="000000" w:themeFill="text1"/>
          </w:tcPr>
          <w:p w:rsidR="00726865" w:rsidRDefault="00726865">
            <w:pPr>
              <w:rPr>
                <w:rFonts w:cs="Times New Roman"/>
              </w:rPr>
            </w:pPr>
          </w:p>
        </w:tc>
        <w:tc>
          <w:tcPr>
            <w:tcW w:w="2735" w:type="dxa"/>
          </w:tcPr>
          <w:p w:rsidR="00726865" w:rsidRDefault="001660C1">
            <w:pPr>
              <w:rPr>
                <w:rFonts w:cs="Times New Roman"/>
              </w:rPr>
            </w:pPr>
            <w:r>
              <w:rPr>
                <w:rFonts w:cs="Times New Roman"/>
              </w:rPr>
              <w:t>Non palpables</w:t>
            </w:r>
          </w:p>
        </w:tc>
      </w:tr>
      <w:tr w:rsidR="006C095B" w:rsidTr="006C095B">
        <w:tc>
          <w:tcPr>
            <w:tcW w:w="2735" w:type="dxa"/>
          </w:tcPr>
          <w:p w:rsidR="006C095B" w:rsidRPr="00193AB3" w:rsidRDefault="006C095B">
            <w:pPr>
              <w:rPr>
                <w:rFonts w:cs="Times New Roman"/>
                <w:highlight w:val="yellow"/>
              </w:rPr>
            </w:pPr>
            <w:r w:rsidRPr="00193AB3">
              <w:rPr>
                <w:rFonts w:cs="Times New Roman"/>
                <w:highlight w:val="yellow"/>
              </w:rPr>
              <w:t>Carcinome canalaire invasif</w:t>
            </w:r>
          </w:p>
        </w:tc>
        <w:tc>
          <w:tcPr>
            <w:tcW w:w="2735" w:type="dxa"/>
          </w:tcPr>
          <w:p w:rsidR="006C095B" w:rsidRPr="00193AB3" w:rsidRDefault="006C095B">
            <w:pPr>
              <w:rPr>
                <w:rFonts w:cs="Times New Roman"/>
                <w:highlight w:val="yellow"/>
              </w:rPr>
            </w:pPr>
            <w:r w:rsidRPr="00193AB3">
              <w:rPr>
                <w:rFonts w:cs="Times New Roman"/>
                <w:highlight w:val="yellow"/>
              </w:rPr>
              <w:t>Le + fréquent (80%)</w:t>
            </w:r>
          </w:p>
          <w:p w:rsidR="006C095B" w:rsidRPr="00193AB3" w:rsidRDefault="006C095B">
            <w:pPr>
              <w:rPr>
                <w:rFonts w:cs="Times New Roman"/>
                <w:highlight w:val="yellow"/>
              </w:rPr>
            </w:pPr>
          </w:p>
        </w:tc>
        <w:tc>
          <w:tcPr>
            <w:tcW w:w="2735" w:type="dxa"/>
            <w:vMerge w:val="restart"/>
            <w:vAlign w:val="center"/>
          </w:tcPr>
          <w:p w:rsidR="006C095B" w:rsidRPr="00193AB3" w:rsidRDefault="006C095B" w:rsidP="006C095B">
            <w:pPr>
              <w:pStyle w:val="Paragraphedeliste"/>
              <w:numPr>
                <w:ilvl w:val="0"/>
                <w:numId w:val="196"/>
              </w:numPr>
              <w:rPr>
                <w:rFonts w:cs="Times New Roman"/>
                <w:highlight w:val="yellow"/>
              </w:rPr>
            </w:pPr>
            <w:r w:rsidRPr="00193AB3">
              <w:rPr>
                <w:rFonts w:cs="Times New Roman"/>
                <w:highlight w:val="yellow"/>
              </w:rPr>
              <w:t>Masse palpable</w:t>
            </w:r>
          </w:p>
          <w:p w:rsidR="006C095B" w:rsidRPr="00193AB3" w:rsidRDefault="006C095B" w:rsidP="006C095B">
            <w:pPr>
              <w:pStyle w:val="Paragraphedeliste"/>
              <w:numPr>
                <w:ilvl w:val="0"/>
                <w:numId w:val="196"/>
              </w:numPr>
              <w:rPr>
                <w:rFonts w:cs="Times New Roman"/>
                <w:highlight w:val="yellow"/>
              </w:rPr>
            </w:pPr>
            <w:r w:rsidRPr="00193AB3">
              <w:rPr>
                <w:rFonts w:cs="Times New Roman"/>
                <w:highlight w:val="yellow"/>
              </w:rPr>
              <w:t>Changements cutanés</w:t>
            </w:r>
          </w:p>
          <w:p w:rsidR="006C095B" w:rsidRPr="00193AB3" w:rsidRDefault="006C095B" w:rsidP="006C095B">
            <w:pPr>
              <w:pStyle w:val="Paragraphedeliste"/>
              <w:numPr>
                <w:ilvl w:val="0"/>
                <w:numId w:val="196"/>
              </w:numPr>
              <w:rPr>
                <w:rFonts w:cs="Times New Roman"/>
                <w:highlight w:val="yellow"/>
              </w:rPr>
            </w:pPr>
            <w:r w:rsidRPr="00193AB3">
              <w:rPr>
                <w:rFonts w:cs="Times New Roman"/>
                <w:highlight w:val="yellow"/>
              </w:rPr>
              <w:t>Déformation</w:t>
            </w:r>
          </w:p>
          <w:p w:rsidR="006C095B" w:rsidRPr="00193AB3" w:rsidRDefault="006C095B" w:rsidP="006C095B">
            <w:pPr>
              <w:pStyle w:val="Paragraphedeliste"/>
              <w:numPr>
                <w:ilvl w:val="0"/>
                <w:numId w:val="196"/>
              </w:numPr>
              <w:rPr>
                <w:rFonts w:cs="Times New Roman"/>
                <w:highlight w:val="yellow"/>
              </w:rPr>
            </w:pPr>
            <w:r w:rsidRPr="00193AB3">
              <w:rPr>
                <w:rFonts w:cs="Times New Roman"/>
                <w:highlight w:val="yellow"/>
              </w:rPr>
              <w:t>Écoulements mammaires</w:t>
            </w:r>
          </w:p>
          <w:p w:rsidR="006C095B" w:rsidRPr="00193AB3" w:rsidRDefault="006C095B" w:rsidP="006C095B">
            <w:pPr>
              <w:rPr>
                <w:rFonts w:cs="Times New Roman"/>
                <w:highlight w:val="yellow"/>
              </w:rPr>
            </w:pPr>
          </w:p>
        </w:tc>
        <w:tc>
          <w:tcPr>
            <w:tcW w:w="2735" w:type="dxa"/>
            <w:vMerge w:val="restart"/>
          </w:tcPr>
          <w:p w:rsidR="006C095B" w:rsidRPr="00193AB3" w:rsidRDefault="006C095B">
            <w:pPr>
              <w:rPr>
                <w:rFonts w:cs="Times New Roman"/>
                <w:highlight w:val="yellow"/>
              </w:rPr>
            </w:pPr>
            <w:r w:rsidRPr="00193AB3">
              <w:rPr>
                <w:rFonts w:cs="Times New Roman"/>
                <w:highlight w:val="yellow"/>
              </w:rPr>
              <w:t>Masse dure</w:t>
            </w:r>
          </w:p>
          <w:p w:rsidR="006C095B" w:rsidRPr="00193AB3" w:rsidRDefault="006C095B">
            <w:pPr>
              <w:rPr>
                <w:rFonts w:cs="Times New Roman"/>
                <w:highlight w:val="yellow"/>
              </w:rPr>
            </w:pPr>
            <w:r w:rsidRPr="00193AB3">
              <w:rPr>
                <w:rFonts w:cs="Times New Roman"/>
                <w:highlight w:val="yellow"/>
              </w:rPr>
              <w:t>Cireuse</w:t>
            </w:r>
          </w:p>
          <w:p w:rsidR="006C095B" w:rsidRPr="00193AB3" w:rsidRDefault="006C095B">
            <w:pPr>
              <w:rPr>
                <w:rFonts w:cs="Times New Roman"/>
                <w:highlight w:val="yellow"/>
              </w:rPr>
            </w:pPr>
            <w:r w:rsidRPr="00193AB3">
              <w:rPr>
                <w:rFonts w:cs="Times New Roman"/>
                <w:highlight w:val="yellow"/>
              </w:rPr>
              <w:t>Tentaculaire</w:t>
            </w:r>
          </w:p>
          <w:p w:rsidR="006C095B" w:rsidRDefault="006C095B">
            <w:pPr>
              <w:rPr>
                <w:rFonts w:cs="Times New Roman"/>
                <w:highlight w:val="yellow"/>
              </w:rPr>
            </w:pPr>
            <w:r w:rsidRPr="00193AB3">
              <w:rPr>
                <w:rFonts w:cs="Times New Roman"/>
                <w:highlight w:val="yellow"/>
              </w:rPr>
              <w:t>Voussure / rétraction</w:t>
            </w:r>
          </w:p>
          <w:p w:rsidR="003A557B" w:rsidRPr="00193AB3" w:rsidRDefault="003A557B">
            <w:pPr>
              <w:rPr>
                <w:rFonts w:cs="Times New Roman"/>
                <w:highlight w:val="yellow"/>
              </w:rPr>
            </w:pPr>
            <w:r>
              <w:rPr>
                <w:rFonts w:cs="Times New Roman"/>
                <w:highlight w:val="yellow"/>
              </w:rPr>
              <w:t>Adénopathies (avancé)</w:t>
            </w:r>
          </w:p>
        </w:tc>
      </w:tr>
      <w:tr w:rsidR="006C095B" w:rsidTr="006C095B">
        <w:tc>
          <w:tcPr>
            <w:tcW w:w="2735" w:type="dxa"/>
          </w:tcPr>
          <w:p w:rsidR="006C095B" w:rsidRPr="00193AB3" w:rsidRDefault="006C095B">
            <w:pPr>
              <w:rPr>
                <w:rFonts w:cs="Times New Roman"/>
                <w:highlight w:val="yellow"/>
              </w:rPr>
            </w:pPr>
            <w:r w:rsidRPr="00193AB3">
              <w:rPr>
                <w:rFonts w:cs="Times New Roman"/>
                <w:highlight w:val="yellow"/>
              </w:rPr>
              <w:t>Carcinome lobaire invasif</w:t>
            </w:r>
          </w:p>
        </w:tc>
        <w:tc>
          <w:tcPr>
            <w:tcW w:w="2735" w:type="dxa"/>
          </w:tcPr>
          <w:p w:rsidR="006C095B" w:rsidRPr="00193AB3" w:rsidRDefault="006C095B">
            <w:pPr>
              <w:rPr>
                <w:rFonts w:cs="Times New Roman"/>
                <w:highlight w:val="yellow"/>
              </w:rPr>
            </w:pPr>
            <w:r w:rsidRPr="00193AB3">
              <w:rPr>
                <w:rFonts w:cs="Times New Roman"/>
                <w:highlight w:val="yellow"/>
              </w:rPr>
              <w:t>~8-15% des néoplasies mammaires</w:t>
            </w:r>
          </w:p>
          <w:p w:rsidR="006C095B" w:rsidRPr="00193AB3" w:rsidRDefault="006C095B">
            <w:pPr>
              <w:rPr>
                <w:rFonts w:cs="Times New Roman"/>
                <w:highlight w:val="yellow"/>
              </w:rPr>
            </w:pPr>
            <w:r w:rsidRPr="00193AB3">
              <w:rPr>
                <w:rFonts w:cs="Times New Roman"/>
                <w:highlight w:val="yellow"/>
              </w:rPr>
              <w:t>20% sont bilatéraux</w:t>
            </w:r>
          </w:p>
        </w:tc>
        <w:tc>
          <w:tcPr>
            <w:tcW w:w="2735" w:type="dxa"/>
            <w:vMerge/>
          </w:tcPr>
          <w:p w:rsidR="006C095B" w:rsidRPr="00193AB3" w:rsidRDefault="006C095B">
            <w:pPr>
              <w:rPr>
                <w:rFonts w:cs="Times New Roman"/>
                <w:highlight w:val="yellow"/>
              </w:rPr>
            </w:pPr>
          </w:p>
        </w:tc>
        <w:tc>
          <w:tcPr>
            <w:tcW w:w="2735" w:type="dxa"/>
            <w:vMerge/>
          </w:tcPr>
          <w:p w:rsidR="006C095B" w:rsidRPr="00193AB3" w:rsidRDefault="006C095B">
            <w:pPr>
              <w:rPr>
                <w:rFonts w:cs="Times New Roman"/>
                <w:highlight w:val="yellow"/>
              </w:rPr>
            </w:pPr>
          </w:p>
        </w:tc>
      </w:tr>
      <w:tr w:rsidR="006C095B" w:rsidTr="006C095B">
        <w:tc>
          <w:tcPr>
            <w:tcW w:w="2735" w:type="dxa"/>
          </w:tcPr>
          <w:p w:rsidR="006C095B" w:rsidRPr="00193AB3" w:rsidRDefault="006C095B">
            <w:pPr>
              <w:rPr>
                <w:rFonts w:cs="Times New Roman"/>
                <w:highlight w:val="yellow"/>
              </w:rPr>
            </w:pPr>
            <w:r w:rsidRPr="00193AB3">
              <w:rPr>
                <w:rFonts w:cs="Times New Roman"/>
                <w:highlight w:val="yellow"/>
              </w:rPr>
              <w:t>Maladie de Paget du sein</w:t>
            </w:r>
          </w:p>
        </w:tc>
        <w:tc>
          <w:tcPr>
            <w:tcW w:w="2735" w:type="dxa"/>
          </w:tcPr>
          <w:p w:rsidR="006C095B" w:rsidRPr="00193AB3" w:rsidRDefault="006C095B">
            <w:pPr>
              <w:rPr>
                <w:rFonts w:cs="Times New Roman"/>
                <w:highlight w:val="yellow"/>
              </w:rPr>
            </w:pPr>
            <w:r w:rsidRPr="00193AB3">
              <w:rPr>
                <w:rFonts w:cs="Times New Roman"/>
                <w:highlight w:val="yellow"/>
              </w:rPr>
              <w:t>Envahissement du mamelon</w:t>
            </w:r>
          </w:p>
        </w:tc>
        <w:tc>
          <w:tcPr>
            <w:tcW w:w="2735" w:type="dxa"/>
            <w:vMerge/>
          </w:tcPr>
          <w:p w:rsidR="006C095B" w:rsidRPr="00193AB3" w:rsidRDefault="006C095B">
            <w:pPr>
              <w:rPr>
                <w:rFonts w:cs="Times New Roman"/>
                <w:highlight w:val="yellow"/>
              </w:rPr>
            </w:pPr>
          </w:p>
        </w:tc>
        <w:tc>
          <w:tcPr>
            <w:tcW w:w="2735" w:type="dxa"/>
          </w:tcPr>
          <w:p w:rsidR="006C095B" w:rsidRPr="00193AB3" w:rsidRDefault="006C095B">
            <w:pPr>
              <w:rPr>
                <w:rFonts w:cs="Times New Roman"/>
                <w:highlight w:val="yellow"/>
              </w:rPr>
            </w:pPr>
            <w:r w:rsidRPr="00193AB3">
              <w:rPr>
                <w:rFonts w:cs="Times New Roman"/>
                <w:highlight w:val="yellow"/>
              </w:rPr>
              <w:t>Lésion eczémateuse</w:t>
            </w:r>
          </w:p>
          <w:p w:rsidR="006C095B" w:rsidRDefault="006C095B">
            <w:pPr>
              <w:rPr>
                <w:rFonts w:cs="Times New Roman"/>
                <w:highlight w:val="yellow"/>
              </w:rPr>
            </w:pPr>
            <w:r w:rsidRPr="00193AB3">
              <w:rPr>
                <w:rFonts w:cs="Times New Roman"/>
                <w:highlight w:val="yellow"/>
              </w:rPr>
              <w:t>Desquamation</w:t>
            </w:r>
          </w:p>
          <w:p w:rsidR="003A557B" w:rsidRPr="00193AB3" w:rsidRDefault="003A557B">
            <w:pPr>
              <w:rPr>
                <w:rFonts w:cs="Times New Roman"/>
                <w:highlight w:val="yellow"/>
              </w:rPr>
            </w:pPr>
            <w:r>
              <w:rPr>
                <w:rFonts w:cs="Times New Roman"/>
                <w:highlight w:val="yellow"/>
              </w:rPr>
              <w:t>Adénopathies (avancé)</w:t>
            </w:r>
          </w:p>
        </w:tc>
      </w:tr>
      <w:tr w:rsidR="00726865" w:rsidTr="00735E1C">
        <w:tc>
          <w:tcPr>
            <w:tcW w:w="2735" w:type="dxa"/>
          </w:tcPr>
          <w:p w:rsidR="00726865" w:rsidRPr="00193AB3" w:rsidRDefault="001660C1">
            <w:pPr>
              <w:rPr>
                <w:rFonts w:ascii="Georgia" w:hAnsi="Georgia"/>
                <w:color w:val="000000"/>
                <w:highlight w:val="yellow"/>
                <w:lang w:val="fr-FR"/>
              </w:rPr>
            </w:pPr>
            <w:r w:rsidRPr="00193AB3">
              <w:rPr>
                <w:highlight w:val="yellow"/>
              </w:rPr>
              <w:t>Cancer inflammatoire</w:t>
            </w:r>
          </w:p>
        </w:tc>
        <w:tc>
          <w:tcPr>
            <w:tcW w:w="2735" w:type="dxa"/>
          </w:tcPr>
          <w:p w:rsidR="001660C1" w:rsidRPr="00193AB3" w:rsidRDefault="001660C1">
            <w:pPr>
              <w:rPr>
                <w:rFonts w:cs="Times New Roman"/>
                <w:highlight w:val="yellow"/>
              </w:rPr>
            </w:pPr>
            <w:r w:rsidRPr="00193AB3">
              <w:rPr>
                <w:rFonts w:cs="Times New Roman"/>
                <w:highlight w:val="yellow"/>
              </w:rPr>
              <w:t>Carcinome canalaire envahissant le réseau lymphatique</w:t>
            </w:r>
          </w:p>
          <w:p w:rsidR="001660C1" w:rsidRPr="00193AB3" w:rsidRDefault="001660C1">
            <w:pPr>
              <w:rPr>
                <w:rFonts w:cs="Times New Roman"/>
                <w:highlight w:val="yellow"/>
              </w:rPr>
            </w:pPr>
            <w:r w:rsidRPr="00193AB3">
              <w:rPr>
                <w:rFonts w:cs="Times New Roman"/>
                <w:highlight w:val="yellow"/>
              </w:rPr>
              <w:t>Le plus agressif</w:t>
            </w:r>
          </w:p>
        </w:tc>
        <w:tc>
          <w:tcPr>
            <w:tcW w:w="2735" w:type="dxa"/>
          </w:tcPr>
          <w:p w:rsidR="00726865" w:rsidRPr="00193AB3" w:rsidRDefault="006C095B">
            <w:pPr>
              <w:rPr>
                <w:rFonts w:cs="Times New Roman"/>
                <w:highlight w:val="yellow"/>
              </w:rPr>
            </w:pPr>
            <w:r w:rsidRPr="00193AB3">
              <w:rPr>
                <w:rFonts w:cs="Times New Roman"/>
                <w:highlight w:val="yellow"/>
              </w:rPr>
              <w:t>Douleur mammaire</w:t>
            </w:r>
          </w:p>
          <w:p w:rsidR="006C095B" w:rsidRPr="00193AB3" w:rsidRDefault="006C095B">
            <w:pPr>
              <w:rPr>
                <w:rFonts w:cs="Times New Roman"/>
                <w:highlight w:val="yellow"/>
              </w:rPr>
            </w:pPr>
            <w:r w:rsidRPr="00193AB3">
              <w:rPr>
                <w:rFonts w:cs="Times New Roman"/>
                <w:highlight w:val="yellow"/>
              </w:rPr>
              <w:t>Changements au niveau du sein</w:t>
            </w:r>
          </w:p>
          <w:p w:rsidR="006C095B" w:rsidRPr="00193AB3" w:rsidRDefault="006C095B">
            <w:pPr>
              <w:rPr>
                <w:rFonts w:cs="Times New Roman"/>
                <w:highlight w:val="yellow"/>
              </w:rPr>
            </w:pPr>
            <w:r w:rsidRPr="00193AB3">
              <w:rPr>
                <w:rFonts w:cs="Times New Roman"/>
                <w:highlight w:val="yellow"/>
              </w:rPr>
              <w:t>Rapide</w:t>
            </w:r>
          </w:p>
          <w:p w:rsidR="006C095B" w:rsidRPr="00193AB3" w:rsidRDefault="006C095B">
            <w:pPr>
              <w:rPr>
                <w:rFonts w:cs="Times New Roman"/>
                <w:highlight w:val="yellow"/>
              </w:rPr>
            </w:pPr>
            <w:r w:rsidRPr="00193AB3">
              <w:rPr>
                <w:rFonts w:cs="Times New Roman"/>
                <w:highlight w:val="yellow"/>
              </w:rPr>
              <w:t>Atteinte d’au moins 50%</w:t>
            </w:r>
          </w:p>
        </w:tc>
        <w:tc>
          <w:tcPr>
            <w:tcW w:w="2735" w:type="dxa"/>
          </w:tcPr>
          <w:p w:rsidR="00726865" w:rsidRPr="00193AB3" w:rsidRDefault="001660C1">
            <w:pPr>
              <w:rPr>
                <w:rFonts w:cs="Times New Roman"/>
                <w:highlight w:val="yellow"/>
              </w:rPr>
            </w:pPr>
            <w:r w:rsidRPr="00193AB3">
              <w:rPr>
                <w:rFonts w:cs="Times New Roman"/>
                <w:highlight w:val="yellow"/>
              </w:rPr>
              <w:t>Érythème</w:t>
            </w:r>
          </w:p>
          <w:p w:rsidR="001660C1" w:rsidRPr="00193AB3" w:rsidRDefault="001660C1">
            <w:pPr>
              <w:rPr>
                <w:rFonts w:cs="Times New Roman"/>
                <w:highlight w:val="yellow"/>
              </w:rPr>
            </w:pPr>
            <w:r w:rsidRPr="00193AB3">
              <w:rPr>
                <w:rFonts w:cs="Times New Roman"/>
                <w:highlight w:val="yellow"/>
              </w:rPr>
              <w:t>Œdème cutané</w:t>
            </w:r>
          </w:p>
          <w:p w:rsidR="001660C1" w:rsidRPr="00193AB3" w:rsidRDefault="001660C1">
            <w:pPr>
              <w:rPr>
                <w:rFonts w:cs="Times New Roman"/>
                <w:highlight w:val="yellow"/>
              </w:rPr>
            </w:pPr>
            <w:r w:rsidRPr="00193AB3">
              <w:rPr>
                <w:rFonts w:cs="Times New Roman"/>
                <w:highlight w:val="yellow"/>
              </w:rPr>
              <w:t>Chaleur</w:t>
            </w:r>
          </w:p>
          <w:p w:rsidR="001660C1" w:rsidRPr="00193AB3" w:rsidRDefault="001660C1">
            <w:pPr>
              <w:rPr>
                <w:rFonts w:cs="Times New Roman"/>
                <w:highlight w:val="yellow"/>
              </w:rPr>
            </w:pPr>
            <w:r w:rsidRPr="00193AB3">
              <w:rPr>
                <w:rFonts w:cs="Times New Roman"/>
                <w:highlight w:val="yellow"/>
              </w:rPr>
              <w:t>Peau d’orange</w:t>
            </w:r>
          </w:p>
          <w:p w:rsidR="006C095B" w:rsidRDefault="006C095B">
            <w:pPr>
              <w:rPr>
                <w:rFonts w:cs="Times New Roman"/>
                <w:highlight w:val="yellow"/>
              </w:rPr>
            </w:pPr>
            <w:r w:rsidRPr="00193AB3">
              <w:rPr>
                <w:rFonts w:cs="Times New Roman"/>
                <w:highlight w:val="yellow"/>
              </w:rPr>
              <w:t>Sensibilité mammaire</w:t>
            </w:r>
          </w:p>
          <w:p w:rsidR="003A557B" w:rsidRPr="00193AB3" w:rsidRDefault="003A557B">
            <w:pPr>
              <w:rPr>
                <w:rFonts w:cs="Times New Roman"/>
                <w:highlight w:val="yellow"/>
              </w:rPr>
            </w:pPr>
            <w:r>
              <w:rPr>
                <w:rFonts w:cs="Times New Roman"/>
                <w:highlight w:val="yellow"/>
              </w:rPr>
              <w:lastRenderedPageBreak/>
              <w:t>Adénopathies (avancé)</w:t>
            </w:r>
          </w:p>
        </w:tc>
      </w:tr>
    </w:tbl>
    <w:p w:rsidR="003A557B" w:rsidRDefault="003A557B">
      <w:pPr>
        <w:rPr>
          <w:rFonts w:cs="Times New Roman"/>
          <w:b/>
          <w:sz w:val="28"/>
          <w:szCs w:val="28"/>
        </w:rPr>
      </w:pPr>
    </w:p>
    <w:p w:rsidR="003A557B" w:rsidRDefault="003A557B">
      <w:pPr>
        <w:rPr>
          <w:rFonts w:cs="Times New Roman"/>
          <w:b/>
          <w:sz w:val="28"/>
          <w:szCs w:val="28"/>
        </w:rPr>
      </w:pPr>
    </w:p>
    <w:p w:rsidR="00821A57" w:rsidRDefault="00166367">
      <w:pPr>
        <w:rPr>
          <w:rFonts w:cs="Times New Roman"/>
          <w:b/>
          <w:sz w:val="28"/>
          <w:szCs w:val="28"/>
        </w:rPr>
      </w:pPr>
      <w:r>
        <w:rPr>
          <w:rFonts w:cs="Times New Roman"/>
          <w:noProof/>
          <w:lang w:eastAsia="fr-CA"/>
        </w:rPr>
        <w:drawing>
          <wp:anchor distT="0" distB="0" distL="114300" distR="114300" simplePos="0" relativeHeight="251718656" behindDoc="1" locked="0" layoutInCell="1" allowOverlap="1" wp14:anchorId="0062A50E" wp14:editId="6362C2E1">
            <wp:simplePos x="0" y="0"/>
            <wp:positionH relativeFrom="column">
              <wp:posOffset>4000500</wp:posOffset>
            </wp:positionH>
            <wp:positionV relativeFrom="paragraph">
              <wp:posOffset>-248920</wp:posOffset>
            </wp:positionV>
            <wp:extent cx="2772383" cy="2675107"/>
            <wp:effectExtent l="0" t="0" r="9525" b="0"/>
            <wp:wrapNone/>
            <wp:docPr id="51" name="Imag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ympha.PNG"/>
                    <pic:cNvPicPr/>
                  </pic:nvPicPr>
                  <pic:blipFill rotWithShape="1">
                    <a:blip r:embed="rId50">
                      <a:extLst>
                        <a:ext uri="{28A0092B-C50C-407E-A947-70E740481C1C}">
                          <a14:useLocalDpi xmlns:a14="http://schemas.microsoft.com/office/drawing/2010/main" val="0"/>
                        </a:ext>
                      </a:extLst>
                    </a:blip>
                    <a:srcRect b="2097"/>
                    <a:stretch/>
                  </pic:blipFill>
                  <pic:spPr bwMode="auto">
                    <a:xfrm>
                      <a:off x="0" y="0"/>
                      <a:ext cx="2772383" cy="2675107"/>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21A57" w:rsidRPr="00821A57">
        <w:rPr>
          <w:rFonts w:cs="Times New Roman"/>
          <w:b/>
          <w:sz w:val="28"/>
          <w:szCs w:val="28"/>
        </w:rPr>
        <w:t>Investigation</w:t>
      </w:r>
    </w:p>
    <w:p w:rsidR="00865BCD" w:rsidRPr="00F012F8" w:rsidRDefault="00865BCD" w:rsidP="00865BCD">
      <w:pPr>
        <w:rPr>
          <w:rFonts w:cs="Times New Roman"/>
        </w:rPr>
      </w:pPr>
      <w:r w:rsidRPr="00F012F8">
        <w:rPr>
          <w:rFonts w:cs="Times New Roman"/>
          <w:u w:val="single"/>
        </w:rPr>
        <w:t>Mammographie</w:t>
      </w:r>
      <w:r w:rsidRPr="00F012F8">
        <w:rPr>
          <w:rFonts w:cs="Times New Roman"/>
        </w:rPr>
        <w:t xml:space="preserve"> → 1</w:t>
      </w:r>
      <w:r w:rsidRPr="00F012F8">
        <w:rPr>
          <w:rFonts w:cs="Times New Roman"/>
          <w:vertAlign w:val="superscript"/>
        </w:rPr>
        <w:t>er</w:t>
      </w:r>
      <w:r w:rsidRPr="00F012F8">
        <w:rPr>
          <w:rFonts w:cs="Times New Roman"/>
        </w:rPr>
        <w:t xml:space="preserve"> examen pour évaluer masse si &gt; 30 ans</w:t>
      </w:r>
    </w:p>
    <w:p w:rsidR="00865BCD" w:rsidRPr="00F012F8" w:rsidRDefault="00865BCD" w:rsidP="00865BCD">
      <w:pPr>
        <w:pStyle w:val="Paragraphedeliste"/>
        <w:numPr>
          <w:ilvl w:val="0"/>
          <w:numId w:val="175"/>
        </w:numPr>
        <w:rPr>
          <w:rFonts w:cs="Times New Roman"/>
          <w:highlight w:val="yellow"/>
        </w:rPr>
      </w:pPr>
      <w:r w:rsidRPr="00F012F8">
        <w:rPr>
          <w:rFonts w:cs="Times New Roman"/>
          <w:highlight w:val="yellow"/>
        </w:rPr>
        <w:t xml:space="preserve">Signes de malignité recherchés: masse mal définie avec </w:t>
      </w:r>
    </w:p>
    <w:p w:rsidR="00865BCD" w:rsidRPr="00F012F8" w:rsidRDefault="00865BCD" w:rsidP="00865BCD">
      <w:pPr>
        <w:pStyle w:val="Paragraphedeliste"/>
        <w:rPr>
          <w:rFonts w:cs="Times New Roman"/>
          <w:highlight w:val="yellow"/>
        </w:rPr>
      </w:pPr>
      <w:r w:rsidRPr="00F012F8">
        <w:rPr>
          <w:rFonts w:cs="Times New Roman"/>
          <w:highlight w:val="yellow"/>
        </w:rPr>
        <w:t xml:space="preserve">contours spiculés, micocalcifications, perturbation de </w:t>
      </w:r>
    </w:p>
    <w:p w:rsidR="00865BCD" w:rsidRPr="00F012F8" w:rsidRDefault="00865BCD" w:rsidP="00865BCD">
      <w:pPr>
        <w:pStyle w:val="Paragraphedeliste"/>
        <w:rPr>
          <w:rFonts w:cs="Times New Roman"/>
        </w:rPr>
      </w:pPr>
      <w:r w:rsidRPr="00F012F8">
        <w:rPr>
          <w:rFonts w:cs="Times New Roman"/>
          <w:highlight w:val="yellow"/>
        </w:rPr>
        <w:t>l’architecture, changements par rapport au dernier examen</w:t>
      </w:r>
      <w:r w:rsidRPr="00865BCD">
        <w:rPr>
          <w:rFonts w:cs="Times New Roman"/>
          <w:i/>
          <w:noProof/>
          <w:lang w:eastAsia="fr-CA"/>
        </w:rPr>
        <w:t xml:space="preserve"> </w:t>
      </w:r>
    </w:p>
    <w:p w:rsidR="00865BCD" w:rsidRPr="00F012F8" w:rsidRDefault="00865BCD" w:rsidP="00865BCD">
      <w:pPr>
        <w:pStyle w:val="Paragraphedeliste"/>
        <w:numPr>
          <w:ilvl w:val="0"/>
          <w:numId w:val="175"/>
        </w:numPr>
        <w:rPr>
          <w:rFonts w:cs="Times New Roman"/>
        </w:rPr>
      </w:pPr>
      <w:r w:rsidRPr="00F012F8">
        <w:rPr>
          <w:rFonts w:cs="Times New Roman"/>
        </w:rPr>
        <w:t>Ne permet pas d’exclure le diagnostic si suspicion clinique</w:t>
      </w:r>
    </w:p>
    <w:p w:rsidR="00865BCD" w:rsidRPr="00F012F8" w:rsidRDefault="00865BCD" w:rsidP="003A557B">
      <w:pPr>
        <w:spacing w:after="0"/>
        <w:rPr>
          <w:rFonts w:cs="Times New Roman"/>
        </w:rPr>
      </w:pPr>
      <w:r w:rsidRPr="00F012F8">
        <w:rPr>
          <w:rFonts w:cs="Times New Roman"/>
          <w:u w:val="single"/>
        </w:rPr>
        <w:t>Écho</w:t>
      </w:r>
      <w:r w:rsidRPr="00F012F8">
        <w:rPr>
          <w:rFonts w:cs="Times New Roman"/>
        </w:rPr>
        <w:t xml:space="preserve"> </w:t>
      </w:r>
    </w:p>
    <w:p w:rsidR="00865BCD" w:rsidRPr="00F012F8" w:rsidRDefault="00865BCD" w:rsidP="00865BCD">
      <w:pPr>
        <w:pStyle w:val="Paragraphedeliste"/>
        <w:numPr>
          <w:ilvl w:val="0"/>
          <w:numId w:val="174"/>
        </w:numPr>
        <w:rPr>
          <w:rFonts w:cs="Times New Roman"/>
        </w:rPr>
      </w:pPr>
      <w:r w:rsidRPr="00F012F8">
        <w:rPr>
          <w:rFonts w:cs="Times New Roman"/>
        </w:rPr>
        <w:t>Permet de différentier masse solide/kystique (abcès, néo</w:t>
      </w:r>
      <w:r w:rsidR="00D571F5">
        <w:rPr>
          <w:rFonts w:cs="Times New Roman"/>
        </w:rPr>
        <w:t>, kyste</w:t>
      </w:r>
      <w:r w:rsidRPr="00F012F8">
        <w:rPr>
          <w:rFonts w:cs="Times New Roman"/>
        </w:rPr>
        <w:t>)</w:t>
      </w:r>
    </w:p>
    <w:p w:rsidR="00865BCD" w:rsidRPr="00F012F8" w:rsidRDefault="00865BCD" w:rsidP="00865BCD">
      <w:pPr>
        <w:pStyle w:val="Paragraphedeliste"/>
        <w:numPr>
          <w:ilvl w:val="0"/>
          <w:numId w:val="174"/>
        </w:numPr>
        <w:rPr>
          <w:rFonts w:cs="Times New Roman"/>
        </w:rPr>
      </w:pPr>
      <w:r w:rsidRPr="00F012F8">
        <w:rPr>
          <w:rFonts w:cs="Times New Roman"/>
        </w:rPr>
        <w:t>Bon examen globalement</w:t>
      </w:r>
    </w:p>
    <w:p w:rsidR="00865BCD" w:rsidRPr="00F012F8" w:rsidRDefault="00865BCD" w:rsidP="00865BCD">
      <w:pPr>
        <w:pStyle w:val="Paragraphedeliste"/>
        <w:numPr>
          <w:ilvl w:val="0"/>
          <w:numId w:val="174"/>
        </w:numPr>
        <w:rPr>
          <w:rFonts w:cs="Times New Roman"/>
        </w:rPr>
      </w:pPr>
      <w:r w:rsidRPr="00F012F8">
        <w:rPr>
          <w:rFonts w:cs="Times New Roman"/>
        </w:rPr>
        <w:t>Permet d’évaluer les pathologies canalaires</w:t>
      </w:r>
    </w:p>
    <w:p w:rsidR="00865BCD" w:rsidRPr="00F012F8" w:rsidRDefault="00865BCD" w:rsidP="00865BCD">
      <w:pPr>
        <w:rPr>
          <w:rFonts w:cs="Times New Roman"/>
        </w:rPr>
      </w:pPr>
      <w:r w:rsidRPr="00F012F8">
        <w:rPr>
          <w:rFonts w:cs="Times New Roman"/>
          <w:u w:val="single"/>
        </w:rPr>
        <w:t>Galactogramme, galactoscopie</w:t>
      </w:r>
      <w:r w:rsidRPr="00F012F8">
        <w:rPr>
          <w:rFonts w:cs="Times New Roman"/>
        </w:rPr>
        <w:t xml:space="preserve"> → recherche de lésions canalaires</w:t>
      </w:r>
      <w:r>
        <w:rPr>
          <w:rFonts w:cs="Times New Roman"/>
        </w:rPr>
        <w:t xml:space="preserve"> (peu</w:t>
      </w:r>
      <w:r w:rsidRPr="00F012F8">
        <w:rPr>
          <w:rFonts w:cs="Times New Roman"/>
        </w:rPr>
        <w:t xml:space="preserve"> utile)</w:t>
      </w:r>
    </w:p>
    <w:p w:rsidR="00865BCD" w:rsidRPr="00F012F8" w:rsidRDefault="00865BCD" w:rsidP="00865BCD">
      <w:pPr>
        <w:rPr>
          <w:rFonts w:cs="Times New Roman"/>
        </w:rPr>
      </w:pPr>
      <w:r w:rsidRPr="00F012F8">
        <w:rPr>
          <w:rFonts w:cs="Times New Roman"/>
          <w:u w:val="single"/>
        </w:rPr>
        <w:t>IRM de la selle turcique</w:t>
      </w:r>
      <w:r w:rsidRPr="00F012F8">
        <w:rPr>
          <w:rFonts w:cs="Times New Roman"/>
        </w:rPr>
        <w:t xml:space="preserve"> → recherche d’adénome hypophysaire / prolactinome</w:t>
      </w:r>
    </w:p>
    <w:p w:rsidR="00865BCD" w:rsidRPr="00F012F8" w:rsidRDefault="00865BCD" w:rsidP="00865BCD">
      <w:pPr>
        <w:rPr>
          <w:rFonts w:cs="Times New Roman"/>
          <w:u w:val="single"/>
        </w:rPr>
      </w:pPr>
      <w:r w:rsidRPr="00F012F8">
        <w:rPr>
          <w:rFonts w:cs="Times New Roman"/>
          <w:u w:val="single"/>
        </w:rPr>
        <w:t xml:space="preserve">Biopsie à l’aiguille sous guidage échographique </w:t>
      </w:r>
      <w:r w:rsidRPr="00F012F8">
        <w:rPr>
          <w:rFonts w:cs="Times New Roman"/>
        </w:rPr>
        <w:t xml:space="preserve">→ chez toute masse palpable </w:t>
      </w:r>
      <w:r w:rsidR="00271E08">
        <w:rPr>
          <w:rFonts w:cs="Times New Roman"/>
        </w:rPr>
        <w:t>suspecte</w:t>
      </w:r>
    </w:p>
    <w:p w:rsidR="00865BCD" w:rsidRPr="00F012F8" w:rsidRDefault="00865BCD" w:rsidP="00865BCD">
      <w:pPr>
        <w:pStyle w:val="Paragraphedeliste"/>
        <w:numPr>
          <w:ilvl w:val="0"/>
          <w:numId w:val="176"/>
        </w:numPr>
        <w:rPr>
          <w:rFonts w:cs="Times New Roman"/>
        </w:rPr>
      </w:pPr>
      <w:r w:rsidRPr="00F012F8">
        <w:rPr>
          <w:rFonts w:cs="Times New Roman"/>
        </w:rPr>
        <w:t>Aspiration à l’aiguille fine si lésion palpable = alternative</w:t>
      </w:r>
    </w:p>
    <w:p w:rsidR="00865BCD" w:rsidRPr="00F012F8" w:rsidRDefault="00865BCD" w:rsidP="00865BCD">
      <w:pPr>
        <w:pStyle w:val="Paragraphedeliste"/>
        <w:numPr>
          <w:ilvl w:val="0"/>
          <w:numId w:val="177"/>
        </w:numPr>
        <w:rPr>
          <w:rFonts w:cs="Times New Roman"/>
        </w:rPr>
      </w:pPr>
      <w:r w:rsidRPr="00F012F8">
        <w:rPr>
          <w:rFonts w:cs="Times New Roman"/>
        </w:rPr>
        <w:t>Cytologie permet d’établir un diagnostic précis = carcinome canalaire ou lobaire in situ (DCIS / LCIS), carcinome canalaire invasif, carcinome lobulaire invasif, Mx de Paget du sein, tumeur Phyllodes (sarcome), lésion proliférative bénigne avec ou sans atypies</w:t>
      </w:r>
    </w:p>
    <w:p w:rsidR="003A557B" w:rsidRPr="003A557B" w:rsidRDefault="003A557B" w:rsidP="003A557B">
      <w:pPr>
        <w:rPr>
          <w:rFonts w:cs="Times New Roman"/>
          <w:u w:val="single"/>
        </w:rPr>
      </w:pPr>
      <w:r w:rsidRPr="003A557B">
        <w:rPr>
          <w:rFonts w:cs="Times New Roman"/>
          <w:u w:val="single"/>
        </w:rPr>
        <w:t>Staging</w:t>
      </w:r>
    </w:p>
    <w:p w:rsidR="003A557B" w:rsidRDefault="003A557B" w:rsidP="003A557B">
      <w:pPr>
        <w:pStyle w:val="Paragraphedeliste"/>
        <w:numPr>
          <w:ilvl w:val="0"/>
          <w:numId w:val="204"/>
        </w:numPr>
        <w:rPr>
          <w:rFonts w:cs="Times New Roman"/>
        </w:rPr>
      </w:pPr>
      <w:r>
        <w:rPr>
          <w:rFonts w:cs="Times New Roman"/>
        </w:rPr>
        <w:t>Rechercher toutes adénopathies ou signes de métastases, décrire la taille de la tumeur palpée</w:t>
      </w:r>
    </w:p>
    <w:p w:rsidR="003A557B" w:rsidRPr="00F012F8" w:rsidRDefault="003A557B" w:rsidP="003A557B">
      <w:pPr>
        <w:pStyle w:val="Paragraphedeliste"/>
        <w:numPr>
          <w:ilvl w:val="0"/>
          <w:numId w:val="204"/>
        </w:numPr>
        <w:rPr>
          <w:rFonts w:cs="Times New Roman"/>
        </w:rPr>
      </w:pPr>
      <w:r>
        <w:rPr>
          <w:rFonts w:cs="Times New Roman"/>
        </w:rPr>
        <w:t>Pathologie</w:t>
      </w:r>
    </w:p>
    <w:p w:rsidR="00821A57" w:rsidRPr="00903896" w:rsidRDefault="00903896">
      <w:pPr>
        <w:rPr>
          <w:rFonts w:cs="Times New Roman"/>
          <w:u w:val="single"/>
        </w:rPr>
      </w:pPr>
      <w:r w:rsidRPr="00903896">
        <w:rPr>
          <w:rFonts w:cs="Times New Roman"/>
          <w:u w:val="single"/>
        </w:rPr>
        <w:t>Bilan d’extension (si suspicion de métastases)</w:t>
      </w:r>
    </w:p>
    <w:p w:rsidR="00903896" w:rsidRPr="003A557B" w:rsidRDefault="00903896" w:rsidP="003A557B">
      <w:pPr>
        <w:pStyle w:val="Paragraphedeliste"/>
        <w:numPr>
          <w:ilvl w:val="0"/>
          <w:numId w:val="203"/>
        </w:numPr>
        <w:rPr>
          <w:rFonts w:cs="Times New Roman"/>
        </w:rPr>
      </w:pPr>
      <w:r w:rsidRPr="003A557B">
        <w:rPr>
          <w:rFonts w:cs="Times New Roman"/>
        </w:rPr>
        <w:t>Scintigraphie osseuse, RXP, TDM thoraco-abdo-pelvien, TDM cérébral (seulement si Signes neuro focaux)</w:t>
      </w:r>
    </w:p>
    <w:p w:rsidR="00271E08" w:rsidRDefault="00821A57">
      <w:pPr>
        <w:rPr>
          <w:rFonts w:cs="Times New Roman"/>
          <w:b/>
          <w:sz w:val="28"/>
          <w:szCs w:val="28"/>
        </w:rPr>
      </w:pPr>
      <w:r w:rsidRPr="00821A57">
        <w:rPr>
          <w:rFonts w:cs="Times New Roman"/>
          <w:b/>
          <w:sz w:val="28"/>
          <w:szCs w:val="28"/>
        </w:rPr>
        <w:t>Prise en charge (traitement, référence et suivi)</w:t>
      </w:r>
    </w:p>
    <w:p w:rsidR="00271E08" w:rsidRDefault="00271E08">
      <w:pPr>
        <w:rPr>
          <w:rFonts w:cs="Times New Roman"/>
        </w:rPr>
      </w:pPr>
      <w:r>
        <w:rPr>
          <w:rFonts w:cs="Times New Roman"/>
        </w:rPr>
        <w:t xml:space="preserve">Si dépistage positif </w:t>
      </w:r>
      <w:r>
        <w:rPr>
          <w:rFonts w:ascii="Century Gothic" w:hAnsi="Century Gothic" w:cs="Times New Roman"/>
        </w:rPr>
        <w:t>→</w:t>
      </w:r>
      <w:r>
        <w:rPr>
          <w:rFonts w:cs="Times New Roman"/>
        </w:rPr>
        <w:t xml:space="preserve"> suivi rapide en clinique d’investigation du sein pour </w:t>
      </w:r>
      <w:r w:rsidRPr="00B41088">
        <w:rPr>
          <w:rFonts w:cs="Times New Roman"/>
          <w:i/>
        </w:rPr>
        <w:t>staging</w:t>
      </w:r>
      <w:r>
        <w:rPr>
          <w:rFonts w:cs="Times New Roman"/>
        </w:rPr>
        <w:t xml:space="preserve"> et traitement</w:t>
      </w:r>
    </w:p>
    <w:p w:rsidR="003A557B" w:rsidRDefault="003A557B">
      <w:pPr>
        <w:rPr>
          <w:rFonts w:cs="Times New Roman"/>
          <w:b/>
        </w:rPr>
        <w:sectPr w:rsidR="003A557B" w:rsidSect="00390436">
          <w:type w:val="continuous"/>
          <w:pgSz w:w="12240" w:h="15840"/>
          <w:pgMar w:top="720" w:right="720" w:bottom="720" w:left="720" w:header="708" w:footer="708" w:gutter="0"/>
          <w:cols w:space="708"/>
          <w:titlePg/>
          <w:docGrid w:linePitch="360"/>
        </w:sectPr>
      </w:pPr>
    </w:p>
    <w:p w:rsidR="00271E08" w:rsidRPr="00271E08" w:rsidRDefault="00271E08">
      <w:pPr>
        <w:rPr>
          <w:rFonts w:cs="Times New Roman"/>
          <w:b/>
        </w:rPr>
      </w:pPr>
      <w:r w:rsidRPr="00271E08">
        <w:rPr>
          <w:rFonts w:cs="Times New Roman"/>
          <w:b/>
        </w:rPr>
        <w:lastRenderedPageBreak/>
        <w:t>Maladie fibrokystique du sein</w:t>
      </w:r>
    </w:p>
    <w:p w:rsidR="00271E08" w:rsidRPr="002A6BF9" w:rsidRDefault="00271E08" w:rsidP="00271E08">
      <w:pPr>
        <w:pStyle w:val="Paragraphedeliste"/>
        <w:numPr>
          <w:ilvl w:val="0"/>
          <w:numId w:val="197"/>
        </w:numPr>
        <w:rPr>
          <w:rFonts w:cs="Times New Roman"/>
          <w:highlight w:val="yellow"/>
        </w:rPr>
      </w:pPr>
      <w:r w:rsidRPr="002A6BF9">
        <w:rPr>
          <w:rFonts w:cs="Times New Roman"/>
          <w:highlight w:val="yellow"/>
        </w:rPr>
        <w:t>Réassurance, suivi.</w:t>
      </w:r>
    </w:p>
    <w:p w:rsidR="00271E08" w:rsidRPr="002A6BF9" w:rsidRDefault="00271E08" w:rsidP="00271E08">
      <w:pPr>
        <w:pStyle w:val="Paragraphedeliste"/>
        <w:numPr>
          <w:ilvl w:val="0"/>
          <w:numId w:val="197"/>
        </w:numPr>
        <w:rPr>
          <w:rFonts w:cs="Times New Roman"/>
          <w:highlight w:val="yellow"/>
        </w:rPr>
      </w:pPr>
      <w:r w:rsidRPr="002A6BF9">
        <w:rPr>
          <w:rFonts w:cs="Times New Roman"/>
          <w:highlight w:val="yellow"/>
        </w:rPr>
        <w:t>Mam</w:t>
      </w:r>
      <w:r w:rsidR="002A6BF9" w:rsidRPr="002A6BF9">
        <w:rPr>
          <w:rFonts w:cs="Times New Roman"/>
          <w:highlight w:val="yellow"/>
        </w:rPr>
        <w:t>m</w:t>
      </w:r>
      <w:r w:rsidRPr="002A6BF9">
        <w:rPr>
          <w:rFonts w:cs="Times New Roman"/>
          <w:highlight w:val="yellow"/>
        </w:rPr>
        <w:t xml:space="preserve">ographie q 2-3 ans si </w:t>
      </w:r>
      <w:r w:rsidRPr="002A6BF9">
        <w:rPr>
          <w:rFonts w:ascii="Century Gothic" w:hAnsi="Century Gothic" w:cs="Times New Roman"/>
          <w:highlight w:val="yellow"/>
        </w:rPr>
        <w:t>≥</w:t>
      </w:r>
      <w:r w:rsidRPr="002A6BF9">
        <w:rPr>
          <w:rFonts w:cs="Times New Roman"/>
          <w:highlight w:val="yellow"/>
        </w:rPr>
        <w:t xml:space="preserve"> 40 ans</w:t>
      </w:r>
    </w:p>
    <w:p w:rsidR="00271E08" w:rsidRPr="002A6BF9" w:rsidRDefault="00271E08" w:rsidP="00271E08">
      <w:pPr>
        <w:pStyle w:val="Paragraphedeliste"/>
        <w:numPr>
          <w:ilvl w:val="0"/>
          <w:numId w:val="197"/>
        </w:numPr>
        <w:rPr>
          <w:rFonts w:cs="Times New Roman"/>
          <w:highlight w:val="yellow"/>
        </w:rPr>
      </w:pPr>
      <w:r w:rsidRPr="002A6BF9">
        <w:rPr>
          <w:rFonts w:cs="Times New Roman"/>
          <w:highlight w:val="yellow"/>
        </w:rPr>
        <w:t>Analgésie</w:t>
      </w:r>
    </w:p>
    <w:p w:rsidR="00271E08" w:rsidRPr="00271E08" w:rsidRDefault="00271E08" w:rsidP="00271E08">
      <w:pPr>
        <w:pStyle w:val="Paragraphedeliste"/>
        <w:numPr>
          <w:ilvl w:val="0"/>
          <w:numId w:val="197"/>
        </w:numPr>
        <w:rPr>
          <w:rFonts w:cs="Times New Roman"/>
          <w:b/>
          <w:color w:val="548DD4" w:themeColor="text2" w:themeTint="99"/>
          <w:sz w:val="28"/>
          <w:szCs w:val="28"/>
        </w:rPr>
      </w:pPr>
      <w:r w:rsidRPr="00271E08">
        <w:rPr>
          <w:rFonts w:cs="Times New Roman"/>
        </w:rPr>
        <w:t>COC PRN, bromocriptine ou danazol</w:t>
      </w:r>
    </w:p>
    <w:p w:rsidR="00271E08" w:rsidRPr="00271E08" w:rsidRDefault="00271E08" w:rsidP="00271E08">
      <w:pPr>
        <w:rPr>
          <w:rFonts w:cs="Times New Roman"/>
          <w:b/>
          <w:color w:val="548DD4" w:themeColor="text2" w:themeTint="99"/>
        </w:rPr>
      </w:pPr>
      <w:r w:rsidRPr="00271E08">
        <w:rPr>
          <w:rFonts w:cs="Times New Roman"/>
          <w:b/>
        </w:rPr>
        <w:t>Fibroadénome</w:t>
      </w:r>
    </w:p>
    <w:p w:rsidR="00271E08" w:rsidRPr="002A6BF9" w:rsidRDefault="00271E08" w:rsidP="00271E08">
      <w:pPr>
        <w:pStyle w:val="Paragraphedeliste"/>
        <w:numPr>
          <w:ilvl w:val="0"/>
          <w:numId w:val="198"/>
        </w:numPr>
        <w:rPr>
          <w:rFonts w:cs="Times New Roman"/>
          <w:highlight w:val="yellow"/>
          <w:u w:val="single"/>
        </w:rPr>
      </w:pPr>
      <w:r w:rsidRPr="002A6BF9">
        <w:rPr>
          <w:rFonts w:cs="Times New Roman"/>
          <w:highlight w:val="yellow"/>
          <w:u w:val="single"/>
        </w:rPr>
        <w:lastRenderedPageBreak/>
        <w:t>Doit être biopsié</w:t>
      </w:r>
    </w:p>
    <w:p w:rsidR="00271E08" w:rsidRPr="002A6BF9" w:rsidRDefault="00271E08" w:rsidP="00271E08">
      <w:pPr>
        <w:pStyle w:val="Paragraphedeliste"/>
        <w:numPr>
          <w:ilvl w:val="0"/>
          <w:numId w:val="198"/>
        </w:numPr>
        <w:rPr>
          <w:rFonts w:cs="Times New Roman"/>
          <w:highlight w:val="yellow"/>
        </w:rPr>
      </w:pPr>
      <w:r w:rsidRPr="002A6BF9">
        <w:rPr>
          <w:rFonts w:cs="Times New Roman"/>
          <w:highlight w:val="yellow"/>
        </w:rPr>
        <w:t>Observation, échographique q 6 mois x 2 ans</w:t>
      </w:r>
    </w:p>
    <w:p w:rsidR="003A557B" w:rsidRPr="003A557B" w:rsidRDefault="00271E08" w:rsidP="00271E08">
      <w:pPr>
        <w:pStyle w:val="Paragraphedeliste"/>
        <w:numPr>
          <w:ilvl w:val="0"/>
          <w:numId w:val="198"/>
        </w:numPr>
        <w:rPr>
          <w:rFonts w:cs="Times New Roman"/>
          <w:color w:val="548DD4" w:themeColor="text2" w:themeTint="99"/>
        </w:rPr>
      </w:pPr>
      <w:r w:rsidRPr="00271E08">
        <w:rPr>
          <w:rFonts w:cs="Times New Roman"/>
        </w:rPr>
        <w:t xml:space="preserve">Exérèse si symptomatique, si préférence du patient ou </w:t>
      </w:r>
      <w:r w:rsidRPr="00271E08">
        <w:rPr>
          <w:rFonts w:ascii="Century Gothic" w:hAnsi="Century Gothic" w:cs="Times New Roman"/>
        </w:rPr>
        <w:t>≥</w:t>
      </w:r>
      <w:r w:rsidRPr="00271E08">
        <w:rPr>
          <w:rFonts w:cs="Times New Roman"/>
        </w:rPr>
        <w:t>2-3 cm et croissance échographique</w:t>
      </w:r>
    </w:p>
    <w:p w:rsidR="00271E08" w:rsidRPr="00271E08" w:rsidRDefault="00271E08" w:rsidP="003A557B">
      <w:pPr>
        <w:spacing w:after="0"/>
        <w:rPr>
          <w:rFonts w:cs="Times New Roman"/>
          <w:b/>
        </w:rPr>
      </w:pPr>
      <w:r w:rsidRPr="00271E08">
        <w:rPr>
          <w:rFonts w:cs="Times New Roman"/>
          <w:b/>
        </w:rPr>
        <w:t>Papillome intra canalaire</w:t>
      </w:r>
    </w:p>
    <w:p w:rsidR="00271E08" w:rsidRPr="00271E08" w:rsidRDefault="00271E08" w:rsidP="00271E08">
      <w:pPr>
        <w:pStyle w:val="Paragraphedeliste"/>
        <w:numPr>
          <w:ilvl w:val="0"/>
          <w:numId w:val="181"/>
        </w:numPr>
        <w:rPr>
          <w:rFonts w:cs="Times New Roman"/>
        </w:rPr>
      </w:pPr>
      <w:r w:rsidRPr="00271E08">
        <w:rPr>
          <w:rFonts w:cs="Times New Roman"/>
        </w:rPr>
        <w:t>Référence en chirurgie + pour excision</w:t>
      </w:r>
    </w:p>
    <w:p w:rsidR="00821A57" w:rsidRPr="00B41088" w:rsidRDefault="00271E08" w:rsidP="003A557B">
      <w:pPr>
        <w:spacing w:after="0"/>
        <w:rPr>
          <w:rFonts w:cs="Times New Roman"/>
          <w:b/>
        </w:rPr>
      </w:pPr>
      <w:r w:rsidRPr="00B41088">
        <w:rPr>
          <w:rFonts w:cs="Times New Roman"/>
          <w:b/>
        </w:rPr>
        <w:t>Tumeur Phyllode</w:t>
      </w:r>
    </w:p>
    <w:p w:rsidR="00B41088" w:rsidRPr="00B41088" w:rsidRDefault="00B41088" w:rsidP="00B41088">
      <w:pPr>
        <w:pStyle w:val="Paragraphedeliste"/>
        <w:numPr>
          <w:ilvl w:val="0"/>
          <w:numId w:val="181"/>
        </w:numPr>
        <w:rPr>
          <w:rFonts w:cs="Times New Roman"/>
        </w:rPr>
      </w:pPr>
      <w:r w:rsidRPr="00B41088">
        <w:rPr>
          <w:rFonts w:cs="Times New Roman"/>
        </w:rPr>
        <w:lastRenderedPageBreak/>
        <w:t>Référence en chirurgie + pour excision</w:t>
      </w:r>
    </w:p>
    <w:p w:rsidR="00271E08" w:rsidRPr="00B41088" w:rsidRDefault="00B41088" w:rsidP="003A557B">
      <w:pPr>
        <w:spacing w:after="0"/>
        <w:rPr>
          <w:rFonts w:cs="Times New Roman"/>
          <w:b/>
        </w:rPr>
      </w:pPr>
      <w:r w:rsidRPr="00B41088">
        <w:rPr>
          <w:rFonts w:cs="Times New Roman"/>
          <w:b/>
        </w:rPr>
        <w:t>Nécrose adipeuse</w:t>
      </w:r>
    </w:p>
    <w:p w:rsidR="00B41088" w:rsidRPr="00B41088" w:rsidRDefault="00B41088" w:rsidP="00B41088">
      <w:pPr>
        <w:pStyle w:val="Paragraphedeliste"/>
        <w:numPr>
          <w:ilvl w:val="0"/>
          <w:numId w:val="200"/>
        </w:numPr>
        <w:rPr>
          <w:rFonts w:cs="Times New Roman"/>
        </w:rPr>
      </w:pPr>
      <w:r w:rsidRPr="00B41088">
        <w:rPr>
          <w:rFonts w:cs="Times New Roman"/>
        </w:rPr>
        <w:t>Biopsie / imagerie</w:t>
      </w:r>
    </w:p>
    <w:p w:rsidR="00B41088" w:rsidRPr="00B41088" w:rsidRDefault="00B41088" w:rsidP="00B41088">
      <w:pPr>
        <w:pStyle w:val="Paragraphedeliste"/>
        <w:numPr>
          <w:ilvl w:val="0"/>
          <w:numId w:val="200"/>
        </w:numPr>
        <w:rPr>
          <w:rFonts w:cs="Times New Roman"/>
        </w:rPr>
      </w:pPr>
      <w:r w:rsidRPr="00B41088">
        <w:rPr>
          <w:rFonts w:cs="Times New Roman"/>
        </w:rPr>
        <w:t>Régression spontanée</w:t>
      </w:r>
    </w:p>
    <w:p w:rsidR="00B41088" w:rsidRPr="00B41088" w:rsidRDefault="00B41088" w:rsidP="00271E08">
      <w:pPr>
        <w:rPr>
          <w:rFonts w:cs="Times New Roman"/>
          <w:b/>
        </w:rPr>
      </w:pPr>
      <w:r w:rsidRPr="00B41088">
        <w:rPr>
          <w:rFonts w:cs="Times New Roman"/>
          <w:b/>
        </w:rPr>
        <w:lastRenderedPageBreak/>
        <w:t>Ectasie canalaire/ Mastite / Abcès / Tubercule de Montgomery surinfectés</w:t>
      </w:r>
    </w:p>
    <w:p w:rsidR="00B41088" w:rsidRPr="00B41088" w:rsidRDefault="00B41088" w:rsidP="00B41088">
      <w:pPr>
        <w:pStyle w:val="Paragraphedeliste"/>
        <w:numPr>
          <w:ilvl w:val="0"/>
          <w:numId w:val="199"/>
        </w:numPr>
        <w:rPr>
          <w:rFonts w:cs="Times New Roman"/>
        </w:rPr>
      </w:pPr>
      <w:r w:rsidRPr="00B41088">
        <w:rPr>
          <w:rFonts w:cs="Times New Roman"/>
        </w:rPr>
        <w:t xml:space="preserve">Voir </w:t>
      </w:r>
      <w:r w:rsidRPr="00B41088">
        <w:rPr>
          <w:rFonts w:cs="Times New Roman"/>
          <w:i/>
        </w:rPr>
        <w:t>Écoulement mammaire CMC 10-2</w:t>
      </w:r>
    </w:p>
    <w:p w:rsidR="003A557B" w:rsidRDefault="003A557B" w:rsidP="00B41088">
      <w:pPr>
        <w:jc w:val="center"/>
        <w:rPr>
          <w:rFonts w:cs="Times New Roman"/>
          <w:b/>
        </w:rPr>
        <w:sectPr w:rsidR="003A557B" w:rsidSect="003A557B">
          <w:type w:val="continuous"/>
          <w:pgSz w:w="12240" w:h="15840"/>
          <w:pgMar w:top="720" w:right="720" w:bottom="720" w:left="720" w:header="708" w:footer="708" w:gutter="0"/>
          <w:cols w:num="2" w:space="708"/>
          <w:titlePg/>
          <w:docGrid w:linePitch="360"/>
        </w:sectPr>
      </w:pPr>
    </w:p>
    <w:tbl>
      <w:tblPr>
        <w:tblStyle w:val="Grilledutableau"/>
        <w:tblW w:w="0" w:type="auto"/>
        <w:tblLook w:val="04A0" w:firstRow="1" w:lastRow="0" w:firstColumn="1" w:lastColumn="0" w:noHBand="0" w:noVBand="1"/>
      </w:tblPr>
      <w:tblGrid>
        <w:gridCol w:w="1668"/>
        <w:gridCol w:w="9272"/>
      </w:tblGrid>
      <w:tr w:rsidR="00B41088" w:rsidTr="002C0179">
        <w:tc>
          <w:tcPr>
            <w:tcW w:w="10940" w:type="dxa"/>
            <w:gridSpan w:val="2"/>
          </w:tcPr>
          <w:p w:rsidR="00B41088" w:rsidRPr="00B41088" w:rsidRDefault="00B41088" w:rsidP="00B41088">
            <w:pPr>
              <w:jc w:val="center"/>
              <w:rPr>
                <w:rFonts w:cs="Times New Roman"/>
                <w:b/>
              </w:rPr>
            </w:pPr>
            <w:r w:rsidRPr="00B41088">
              <w:rPr>
                <w:rFonts w:cs="Times New Roman"/>
                <w:b/>
              </w:rPr>
              <w:lastRenderedPageBreak/>
              <w:t>Prise en charge si néoplasie</w:t>
            </w:r>
          </w:p>
        </w:tc>
      </w:tr>
      <w:tr w:rsidR="00B41088" w:rsidTr="00DE7E5C">
        <w:tc>
          <w:tcPr>
            <w:tcW w:w="1668" w:type="dxa"/>
          </w:tcPr>
          <w:p w:rsidR="00B41088" w:rsidRDefault="00DE7E5C" w:rsidP="00B41088">
            <w:pPr>
              <w:rPr>
                <w:rFonts w:cs="Times New Roman"/>
              </w:rPr>
            </w:pPr>
            <w:r>
              <w:rPr>
                <w:rFonts w:cs="Times New Roman"/>
              </w:rPr>
              <w:t>DCIS</w:t>
            </w:r>
          </w:p>
        </w:tc>
        <w:tc>
          <w:tcPr>
            <w:tcW w:w="9272" w:type="dxa"/>
          </w:tcPr>
          <w:p w:rsidR="00DE7E5C" w:rsidRPr="00166367" w:rsidRDefault="00DE7E5C" w:rsidP="00DE7E5C">
            <w:pPr>
              <w:pStyle w:val="Paragraphedeliste"/>
              <w:numPr>
                <w:ilvl w:val="0"/>
                <w:numId w:val="199"/>
              </w:numPr>
              <w:rPr>
                <w:rFonts w:cs="Times New Roman"/>
                <w:highlight w:val="yellow"/>
              </w:rPr>
            </w:pPr>
            <w:r w:rsidRPr="00166367">
              <w:rPr>
                <w:rFonts w:cs="Times New Roman"/>
                <w:highlight w:val="yellow"/>
              </w:rPr>
              <w:t>Référence en chirurgie</w:t>
            </w:r>
          </w:p>
          <w:p w:rsidR="00B41088" w:rsidRPr="00DE7E5C" w:rsidRDefault="00DE7E5C" w:rsidP="00DE7E5C">
            <w:pPr>
              <w:pStyle w:val="Paragraphedeliste"/>
              <w:numPr>
                <w:ilvl w:val="0"/>
                <w:numId w:val="199"/>
              </w:numPr>
              <w:rPr>
                <w:rFonts w:cs="Times New Roman"/>
              </w:rPr>
            </w:pPr>
            <w:r w:rsidRPr="00DE7E5C">
              <w:rPr>
                <w:rFonts w:cs="Times New Roman"/>
              </w:rPr>
              <w:t>Tumorectomie avec marges sécuritaires</w:t>
            </w:r>
          </w:p>
          <w:p w:rsidR="00DE7E5C" w:rsidRPr="00DE7E5C" w:rsidRDefault="00DE7E5C" w:rsidP="00DE7E5C">
            <w:pPr>
              <w:pStyle w:val="Paragraphedeliste"/>
              <w:numPr>
                <w:ilvl w:val="0"/>
                <w:numId w:val="199"/>
              </w:numPr>
              <w:rPr>
                <w:rFonts w:cs="Times New Roman"/>
              </w:rPr>
            </w:pPr>
            <w:r w:rsidRPr="00DE7E5C">
              <w:rPr>
                <w:rFonts w:cs="Times New Roman"/>
              </w:rPr>
              <w:t>Mastectomie si haut grade ou grande surface ou multifocal</w:t>
            </w:r>
          </w:p>
          <w:p w:rsidR="00DE7E5C" w:rsidRPr="00DE7E5C" w:rsidRDefault="00DE7E5C" w:rsidP="00DE7E5C">
            <w:pPr>
              <w:pStyle w:val="Paragraphedeliste"/>
              <w:numPr>
                <w:ilvl w:val="0"/>
                <w:numId w:val="199"/>
              </w:numPr>
              <w:rPr>
                <w:rFonts w:cs="Times New Roman"/>
              </w:rPr>
            </w:pPr>
            <w:r w:rsidRPr="00DE7E5C">
              <w:rPr>
                <w:rFonts w:cs="Times New Roman"/>
              </w:rPr>
              <w:t xml:space="preserve">Tamoxifène en adjuvant </w:t>
            </w:r>
          </w:p>
        </w:tc>
      </w:tr>
      <w:tr w:rsidR="00B41088" w:rsidTr="00DE7E5C">
        <w:tc>
          <w:tcPr>
            <w:tcW w:w="1668" w:type="dxa"/>
          </w:tcPr>
          <w:p w:rsidR="00B41088" w:rsidRDefault="00DE7E5C" w:rsidP="00B41088">
            <w:pPr>
              <w:rPr>
                <w:rFonts w:cs="Times New Roman"/>
              </w:rPr>
            </w:pPr>
            <w:r>
              <w:rPr>
                <w:rFonts w:cs="Times New Roman"/>
              </w:rPr>
              <w:t>LCIS</w:t>
            </w:r>
          </w:p>
        </w:tc>
        <w:tc>
          <w:tcPr>
            <w:tcW w:w="9272" w:type="dxa"/>
          </w:tcPr>
          <w:p w:rsidR="00B41088" w:rsidRPr="00166367" w:rsidRDefault="00DE7E5C" w:rsidP="00DE7E5C">
            <w:pPr>
              <w:pStyle w:val="Paragraphedeliste"/>
              <w:numPr>
                <w:ilvl w:val="0"/>
                <w:numId w:val="201"/>
              </w:numPr>
              <w:rPr>
                <w:rFonts w:cs="Times New Roman"/>
                <w:highlight w:val="yellow"/>
              </w:rPr>
            </w:pPr>
            <w:r w:rsidRPr="00166367">
              <w:rPr>
                <w:rFonts w:cs="Times New Roman"/>
                <w:highlight w:val="yellow"/>
              </w:rPr>
              <w:t>Suivi</w:t>
            </w:r>
          </w:p>
          <w:p w:rsidR="00DE7E5C" w:rsidRPr="00DE7E5C" w:rsidRDefault="00DE7E5C" w:rsidP="00DE7E5C">
            <w:pPr>
              <w:pStyle w:val="Paragraphedeliste"/>
              <w:numPr>
                <w:ilvl w:val="0"/>
                <w:numId w:val="201"/>
              </w:numPr>
              <w:rPr>
                <w:rFonts w:cs="Times New Roman"/>
              </w:rPr>
            </w:pPr>
            <w:r w:rsidRPr="00DE7E5C">
              <w:rPr>
                <w:rFonts w:cs="Times New Roman"/>
              </w:rPr>
              <w:t>Tamoxifène (prévention)</w:t>
            </w:r>
          </w:p>
        </w:tc>
      </w:tr>
      <w:tr w:rsidR="00B41088" w:rsidTr="00DE7E5C">
        <w:tc>
          <w:tcPr>
            <w:tcW w:w="1668" w:type="dxa"/>
          </w:tcPr>
          <w:p w:rsidR="00B41088" w:rsidRDefault="00DE7E5C" w:rsidP="00B41088">
            <w:pPr>
              <w:rPr>
                <w:rFonts w:cs="Times New Roman"/>
              </w:rPr>
            </w:pPr>
            <w:r>
              <w:rPr>
                <w:rFonts w:cs="Times New Roman"/>
              </w:rPr>
              <w:t>Tous les autres</w:t>
            </w:r>
          </w:p>
        </w:tc>
        <w:tc>
          <w:tcPr>
            <w:tcW w:w="9272" w:type="dxa"/>
          </w:tcPr>
          <w:p w:rsidR="003A557B" w:rsidRPr="00166367" w:rsidRDefault="003A557B" w:rsidP="00DE7E5C">
            <w:pPr>
              <w:pStyle w:val="Paragraphedeliste"/>
              <w:numPr>
                <w:ilvl w:val="0"/>
                <w:numId w:val="202"/>
              </w:numPr>
              <w:rPr>
                <w:rFonts w:cs="Times New Roman"/>
                <w:highlight w:val="yellow"/>
              </w:rPr>
            </w:pPr>
            <w:r w:rsidRPr="00166367">
              <w:rPr>
                <w:rFonts w:cs="Times New Roman"/>
                <w:highlight w:val="yellow"/>
              </w:rPr>
              <w:t>Référence rapide en chirurgie</w:t>
            </w:r>
          </w:p>
          <w:p w:rsidR="003A557B" w:rsidRPr="00166367" w:rsidRDefault="003A557B" w:rsidP="00DE7E5C">
            <w:pPr>
              <w:pStyle w:val="Paragraphedeliste"/>
              <w:numPr>
                <w:ilvl w:val="0"/>
                <w:numId w:val="202"/>
              </w:numPr>
              <w:rPr>
                <w:rFonts w:cs="Times New Roman"/>
                <w:highlight w:val="yellow"/>
              </w:rPr>
            </w:pPr>
            <w:r w:rsidRPr="00166367">
              <w:rPr>
                <w:rFonts w:cs="Times New Roman"/>
                <w:highlight w:val="yellow"/>
              </w:rPr>
              <w:t>Staging clinique et pathologique (Système TNM)</w:t>
            </w:r>
          </w:p>
          <w:p w:rsidR="00B41088" w:rsidRPr="00DE7E5C" w:rsidRDefault="003A557B" w:rsidP="00166367">
            <w:pPr>
              <w:pStyle w:val="Paragraphedeliste"/>
              <w:numPr>
                <w:ilvl w:val="0"/>
                <w:numId w:val="202"/>
              </w:numPr>
              <w:rPr>
                <w:rFonts w:cs="Times New Roman"/>
              </w:rPr>
            </w:pPr>
            <w:r>
              <w:rPr>
                <w:rFonts w:cs="Times New Roman"/>
              </w:rPr>
              <w:t xml:space="preserve">Chirurgie / dissection </w:t>
            </w:r>
            <w:r w:rsidR="00166367">
              <w:rPr>
                <w:rFonts w:cs="Times New Roman"/>
              </w:rPr>
              <w:t>ganglionnaire</w:t>
            </w:r>
            <w:r>
              <w:rPr>
                <w:rFonts w:cs="Times New Roman"/>
              </w:rPr>
              <w:t xml:space="preserve"> / radiothérapie selon staging</w:t>
            </w:r>
          </w:p>
        </w:tc>
      </w:tr>
    </w:tbl>
    <w:p w:rsidR="00B41088" w:rsidRPr="00B41088" w:rsidRDefault="00B41088" w:rsidP="00B41088">
      <w:pPr>
        <w:rPr>
          <w:rFonts w:cs="Times New Roman"/>
        </w:rPr>
      </w:pPr>
    </w:p>
    <w:p w:rsidR="003A557B" w:rsidRPr="002A6BF9" w:rsidRDefault="00166367" w:rsidP="00166367">
      <w:pPr>
        <w:pStyle w:val="Sansinterligne"/>
        <w:numPr>
          <w:ilvl w:val="0"/>
          <w:numId w:val="205"/>
        </w:numPr>
        <w:rPr>
          <w:rFonts w:cs="Times New Roman"/>
          <w:highlight w:val="yellow"/>
        </w:rPr>
      </w:pPr>
      <w:r w:rsidRPr="002A6BF9">
        <w:rPr>
          <w:rFonts w:cs="Times New Roman"/>
          <w:highlight w:val="yellow"/>
        </w:rPr>
        <w:t>Suivi q 3-6 mois 2 ans puis annuellement</w:t>
      </w:r>
    </w:p>
    <w:p w:rsidR="00166367" w:rsidRPr="002A6BF9" w:rsidRDefault="00166367" w:rsidP="00166367">
      <w:pPr>
        <w:pStyle w:val="Sansinterligne"/>
        <w:numPr>
          <w:ilvl w:val="0"/>
          <w:numId w:val="205"/>
        </w:numPr>
        <w:rPr>
          <w:rFonts w:cs="Times New Roman"/>
          <w:highlight w:val="yellow"/>
        </w:rPr>
      </w:pPr>
      <w:r w:rsidRPr="002A6BF9">
        <w:rPr>
          <w:rFonts w:cs="Times New Roman"/>
          <w:highlight w:val="yellow"/>
        </w:rPr>
        <w:t>Mammographie de dépistage annuelle</w:t>
      </w:r>
    </w:p>
    <w:p w:rsidR="00166367" w:rsidRPr="002A6BF9" w:rsidRDefault="00166367" w:rsidP="00166367">
      <w:pPr>
        <w:pStyle w:val="Sansinterligne"/>
        <w:numPr>
          <w:ilvl w:val="0"/>
          <w:numId w:val="205"/>
        </w:numPr>
        <w:rPr>
          <w:rFonts w:cs="Times New Roman"/>
          <w:highlight w:val="yellow"/>
        </w:rPr>
      </w:pPr>
      <w:r w:rsidRPr="002A6BF9">
        <w:rPr>
          <w:rFonts w:cs="Times New Roman"/>
          <w:highlight w:val="yellow"/>
        </w:rPr>
        <w:t>Surveillance de métastases (os&gt;poumons&gt;plèvre&gt;foie&gt;cerveau)</w:t>
      </w:r>
    </w:p>
    <w:p w:rsidR="003A557B" w:rsidRDefault="003A557B" w:rsidP="00F62E2A">
      <w:pPr>
        <w:pStyle w:val="Sansinterligne"/>
        <w:rPr>
          <w:rFonts w:cs="Times New Roman"/>
          <w:b/>
          <w:color w:val="548DD4" w:themeColor="text2" w:themeTint="99"/>
        </w:rPr>
      </w:pPr>
    </w:p>
    <w:p w:rsidR="003A557B" w:rsidRDefault="003A557B" w:rsidP="00F62E2A">
      <w:pPr>
        <w:pStyle w:val="Sansinterligne"/>
        <w:rPr>
          <w:rFonts w:cs="Times New Roman"/>
          <w:b/>
          <w:color w:val="548DD4" w:themeColor="text2" w:themeTint="99"/>
        </w:rPr>
      </w:pPr>
    </w:p>
    <w:p w:rsidR="003A557B" w:rsidRDefault="003A557B" w:rsidP="00F62E2A">
      <w:pPr>
        <w:pStyle w:val="Sansinterligne"/>
        <w:rPr>
          <w:rFonts w:cs="Times New Roman"/>
          <w:b/>
          <w:color w:val="548DD4" w:themeColor="text2" w:themeTint="99"/>
        </w:rPr>
      </w:pPr>
    </w:p>
    <w:p w:rsidR="003A557B" w:rsidRDefault="003A557B" w:rsidP="00F62E2A">
      <w:pPr>
        <w:pStyle w:val="Sansinterligne"/>
        <w:rPr>
          <w:rFonts w:cs="Times New Roman"/>
          <w:b/>
          <w:color w:val="548DD4" w:themeColor="text2" w:themeTint="99"/>
        </w:rPr>
      </w:pPr>
    </w:p>
    <w:p w:rsidR="003A557B" w:rsidRDefault="00166367" w:rsidP="00F62E2A">
      <w:pPr>
        <w:pStyle w:val="Sansinterligne"/>
        <w:rPr>
          <w:rFonts w:cs="Times New Roman"/>
          <w:b/>
          <w:color w:val="548DD4" w:themeColor="text2" w:themeTint="99"/>
        </w:rPr>
      </w:pPr>
      <w:r w:rsidRPr="00F012F8">
        <w:rPr>
          <w:rFonts w:cs="Times New Roman"/>
          <w:noProof/>
          <w:lang w:eastAsia="fr-CA"/>
        </w:rPr>
        <w:drawing>
          <wp:anchor distT="0" distB="0" distL="114300" distR="114300" simplePos="0" relativeHeight="251717632" behindDoc="0" locked="0" layoutInCell="1" allowOverlap="1" wp14:anchorId="5EDB25CD" wp14:editId="18461F90">
            <wp:simplePos x="0" y="0"/>
            <wp:positionH relativeFrom="column">
              <wp:posOffset>915035</wp:posOffset>
            </wp:positionH>
            <wp:positionV relativeFrom="paragraph">
              <wp:posOffset>80645</wp:posOffset>
            </wp:positionV>
            <wp:extent cx="5073015" cy="3818890"/>
            <wp:effectExtent l="0" t="0" r="0" b="0"/>
            <wp:wrapNone/>
            <wp:docPr id="27" name="Image 27" descr="Résultats de recherche d'images pour « ductal carcinoma in situ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ésultats de recherche d'images pour « ductal carcinoma in situ »"/>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073015" cy="38188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A557B" w:rsidRDefault="003A557B" w:rsidP="00F62E2A">
      <w:pPr>
        <w:pStyle w:val="Sansinterligne"/>
        <w:rPr>
          <w:rFonts w:cs="Times New Roman"/>
          <w:b/>
          <w:color w:val="548DD4" w:themeColor="text2" w:themeTint="99"/>
        </w:rPr>
      </w:pPr>
    </w:p>
    <w:p w:rsidR="003A557B" w:rsidRDefault="003A557B" w:rsidP="00F62E2A">
      <w:pPr>
        <w:pStyle w:val="Sansinterligne"/>
        <w:rPr>
          <w:rFonts w:cs="Times New Roman"/>
          <w:b/>
          <w:color w:val="548DD4" w:themeColor="text2" w:themeTint="99"/>
        </w:rPr>
      </w:pPr>
    </w:p>
    <w:p w:rsidR="003A557B" w:rsidRDefault="003A557B" w:rsidP="00F62E2A">
      <w:pPr>
        <w:pStyle w:val="Sansinterligne"/>
        <w:rPr>
          <w:rFonts w:cs="Times New Roman"/>
          <w:b/>
          <w:color w:val="548DD4" w:themeColor="text2" w:themeTint="99"/>
        </w:rPr>
      </w:pPr>
    </w:p>
    <w:p w:rsidR="003A557B" w:rsidRDefault="003A557B" w:rsidP="00F62E2A">
      <w:pPr>
        <w:pStyle w:val="Sansinterligne"/>
        <w:rPr>
          <w:rFonts w:cs="Times New Roman"/>
          <w:b/>
          <w:color w:val="548DD4" w:themeColor="text2" w:themeTint="99"/>
        </w:rPr>
      </w:pPr>
    </w:p>
    <w:p w:rsidR="003A557B" w:rsidRDefault="003A557B" w:rsidP="00F62E2A">
      <w:pPr>
        <w:pStyle w:val="Sansinterligne"/>
        <w:rPr>
          <w:rFonts w:cs="Times New Roman"/>
          <w:b/>
          <w:color w:val="548DD4" w:themeColor="text2" w:themeTint="99"/>
        </w:rPr>
      </w:pPr>
    </w:p>
    <w:p w:rsidR="003A557B" w:rsidRDefault="003A557B" w:rsidP="00F62E2A">
      <w:pPr>
        <w:pStyle w:val="Sansinterligne"/>
        <w:rPr>
          <w:rFonts w:cs="Times New Roman"/>
          <w:b/>
          <w:color w:val="548DD4" w:themeColor="text2" w:themeTint="99"/>
        </w:rPr>
      </w:pPr>
    </w:p>
    <w:p w:rsidR="003A557B" w:rsidRDefault="003A557B" w:rsidP="00F62E2A">
      <w:pPr>
        <w:pStyle w:val="Sansinterligne"/>
        <w:rPr>
          <w:rFonts w:cs="Times New Roman"/>
          <w:b/>
          <w:color w:val="548DD4" w:themeColor="text2" w:themeTint="99"/>
        </w:rPr>
      </w:pPr>
    </w:p>
    <w:p w:rsidR="003A557B" w:rsidRDefault="003A557B" w:rsidP="00F62E2A">
      <w:pPr>
        <w:pStyle w:val="Sansinterligne"/>
        <w:rPr>
          <w:rFonts w:cs="Times New Roman"/>
          <w:b/>
          <w:color w:val="548DD4" w:themeColor="text2" w:themeTint="99"/>
        </w:rPr>
      </w:pPr>
    </w:p>
    <w:p w:rsidR="003A557B" w:rsidRDefault="003A557B" w:rsidP="00F62E2A">
      <w:pPr>
        <w:pStyle w:val="Sansinterligne"/>
        <w:rPr>
          <w:rFonts w:cs="Times New Roman"/>
          <w:b/>
          <w:color w:val="548DD4" w:themeColor="text2" w:themeTint="99"/>
        </w:rPr>
      </w:pPr>
    </w:p>
    <w:p w:rsidR="003A557B" w:rsidRDefault="003A557B" w:rsidP="00F62E2A">
      <w:pPr>
        <w:pStyle w:val="Sansinterligne"/>
        <w:rPr>
          <w:rFonts w:cs="Times New Roman"/>
          <w:b/>
          <w:color w:val="548DD4" w:themeColor="text2" w:themeTint="99"/>
        </w:rPr>
      </w:pPr>
    </w:p>
    <w:p w:rsidR="003A557B" w:rsidRDefault="003A557B" w:rsidP="00F62E2A">
      <w:pPr>
        <w:pStyle w:val="Sansinterligne"/>
        <w:rPr>
          <w:rFonts w:cs="Times New Roman"/>
          <w:b/>
          <w:color w:val="548DD4" w:themeColor="text2" w:themeTint="99"/>
        </w:rPr>
      </w:pPr>
    </w:p>
    <w:p w:rsidR="003A557B" w:rsidRDefault="003A557B" w:rsidP="00F62E2A">
      <w:pPr>
        <w:pStyle w:val="Sansinterligne"/>
        <w:rPr>
          <w:rFonts w:cs="Times New Roman"/>
          <w:b/>
          <w:color w:val="548DD4" w:themeColor="text2" w:themeTint="99"/>
        </w:rPr>
      </w:pPr>
    </w:p>
    <w:p w:rsidR="003A557B" w:rsidRDefault="003A557B" w:rsidP="00F62E2A">
      <w:pPr>
        <w:pStyle w:val="Sansinterligne"/>
        <w:rPr>
          <w:rFonts w:cs="Times New Roman"/>
          <w:b/>
          <w:color w:val="548DD4" w:themeColor="text2" w:themeTint="99"/>
        </w:rPr>
      </w:pPr>
    </w:p>
    <w:p w:rsidR="003A557B" w:rsidRDefault="003A557B" w:rsidP="00F62E2A">
      <w:pPr>
        <w:pStyle w:val="Sansinterligne"/>
        <w:rPr>
          <w:rFonts w:cs="Times New Roman"/>
          <w:b/>
          <w:color w:val="548DD4" w:themeColor="text2" w:themeTint="99"/>
        </w:rPr>
      </w:pPr>
    </w:p>
    <w:p w:rsidR="00FC7296" w:rsidRDefault="00FC7296">
      <w:pPr>
        <w:rPr>
          <w:rFonts w:cs="Times New Roman"/>
          <w:b/>
          <w:color w:val="548DD4" w:themeColor="text2" w:themeTint="99"/>
        </w:rPr>
      </w:pPr>
      <w:r>
        <w:rPr>
          <w:rFonts w:cs="Times New Roman"/>
          <w:b/>
          <w:color w:val="548DD4" w:themeColor="text2" w:themeTint="99"/>
        </w:rPr>
        <w:br w:type="page"/>
      </w:r>
    </w:p>
    <w:p w:rsidR="00B1454F" w:rsidRPr="00F62E2A" w:rsidRDefault="00B1454F" w:rsidP="00F62E2A">
      <w:pPr>
        <w:pStyle w:val="Sansinterligne"/>
        <w:rPr>
          <w:rFonts w:cs="Times New Roman"/>
          <w:b/>
          <w:color w:val="548DD4" w:themeColor="text2" w:themeTint="99"/>
        </w:rPr>
      </w:pPr>
      <w:r w:rsidRPr="00F62E2A">
        <w:rPr>
          <w:rFonts w:cs="Times New Roman"/>
          <w:b/>
          <w:color w:val="548DD4" w:themeColor="text2" w:themeTint="99"/>
        </w:rPr>
        <w:lastRenderedPageBreak/>
        <w:t>CMC 10-2</w:t>
      </w:r>
    </w:p>
    <w:p w:rsidR="00B1454F" w:rsidRPr="00F012F8" w:rsidRDefault="00B1454F" w:rsidP="00B1454F">
      <w:pPr>
        <w:pStyle w:val="Titre3"/>
        <w:spacing w:before="0"/>
        <w:rPr>
          <w:rFonts w:ascii="Times New Roman" w:hAnsi="Times New Roman" w:cs="Times New Roman"/>
        </w:rPr>
      </w:pPr>
      <w:bookmarkStart w:id="30" w:name="_Toc480797270"/>
      <w:r w:rsidRPr="00F012F8">
        <w:rPr>
          <w:rFonts w:ascii="Times New Roman" w:hAnsi="Times New Roman" w:cs="Times New Roman"/>
        </w:rPr>
        <w:t>Écoulement mammaire</w:t>
      </w:r>
      <w:bookmarkEnd w:id="30"/>
    </w:p>
    <w:tbl>
      <w:tblPr>
        <w:tblW w:w="5000" w:type="pct"/>
        <w:tblCellSpacing w:w="0" w:type="dxa"/>
        <w:tblCellMar>
          <w:left w:w="0" w:type="dxa"/>
          <w:right w:w="0" w:type="dxa"/>
        </w:tblCellMar>
        <w:tblLook w:val="04A0" w:firstRow="1" w:lastRow="0" w:firstColumn="1" w:lastColumn="0" w:noHBand="0" w:noVBand="1"/>
      </w:tblPr>
      <w:tblGrid>
        <w:gridCol w:w="10759"/>
        <w:gridCol w:w="41"/>
      </w:tblGrid>
      <w:tr w:rsidR="00AC6ABD" w:rsidRPr="00F012F8" w:rsidTr="00AC6ABD">
        <w:trPr>
          <w:tblCellSpacing w:w="0" w:type="dxa"/>
        </w:trPr>
        <w:tc>
          <w:tcPr>
            <w:tcW w:w="0" w:type="auto"/>
            <w:vAlign w:val="bottom"/>
            <w:hideMark/>
          </w:tcPr>
          <w:bookmarkStart w:id="31" w:name="_Toc474266694"/>
          <w:bookmarkStart w:id="32" w:name="_Toc474274449"/>
          <w:bookmarkStart w:id="33" w:name="_Toc474769813"/>
          <w:bookmarkStart w:id="34" w:name="_Toc475198197"/>
          <w:bookmarkStart w:id="35" w:name="_Toc475563822"/>
          <w:p w:rsidR="00AC6ABD" w:rsidRPr="00EB0C1F" w:rsidRDefault="00AC6ABD" w:rsidP="00EB0C1F">
            <w:pPr>
              <w:pStyle w:val="Sansinterligne"/>
              <w:spacing w:before="240"/>
              <w:rPr>
                <w:b/>
                <w:sz w:val="18"/>
                <w:szCs w:val="18"/>
              </w:rPr>
            </w:pPr>
            <w:r w:rsidRPr="00EB0C1F">
              <w:rPr>
                <w:b/>
                <w:noProof/>
                <w:sz w:val="18"/>
                <w:szCs w:val="18"/>
                <w:lang w:eastAsia="fr-CA"/>
              </w:rPr>
              <mc:AlternateContent>
                <mc:Choice Requires="wps">
                  <w:drawing>
                    <wp:anchor distT="0" distB="0" distL="114300" distR="114300" simplePos="0" relativeHeight="251704320" behindDoc="0" locked="0" layoutInCell="1" allowOverlap="1" wp14:anchorId="553594FA" wp14:editId="03A12778">
                      <wp:simplePos x="0" y="0"/>
                      <wp:positionH relativeFrom="column">
                        <wp:posOffset>-107315</wp:posOffset>
                      </wp:positionH>
                      <wp:positionV relativeFrom="paragraph">
                        <wp:posOffset>2540</wp:posOffset>
                      </wp:positionV>
                      <wp:extent cx="7094855" cy="2781935"/>
                      <wp:effectExtent l="0" t="0" r="10795" b="18415"/>
                      <wp:wrapNone/>
                      <wp:docPr id="21" name="Rectangle 21"/>
                      <wp:cNvGraphicFramePr/>
                      <a:graphic xmlns:a="http://schemas.openxmlformats.org/drawingml/2006/main">
                        <a:graphicData uri="http://schemas.microsoft.com/office/word/2010/wordprocessingShape">
                          <wps:wsp>
                            <wps:cNvSpPr/>
                            <wps:spPr>
                              <a:xfrm>
                                <a:off x="0" y="0"/>
                                <a:ext cx="7094855" cy="2781935"/>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1" o:spid="_x0000_s1026" style="position:absolute;margin-left:-8.45pt;margin-top:.2pt;width:558.65pt;height:219.0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" filled="f" strokecolor="black [1600]" strokeweight="2pt"/>
                  </w:pict>
                </mc:Fallback>
              </mc:AlternateContent>
            </w:r>
            <w:r w:rsidRPr="00EB0C1F">
              <w:rPr>
                <w:b/>
                <w:sz w:val="18"/>
                <w:szCs w:val="18"/>
              </w:rPr>
              <w:t>Objectifs principaux</w:t>
            </w:r>
            <w:bookmarkEnd w:id="31"/>
            <w:bookmarkEnd w:id="32"/>
            <w:bookmarkEnd w:id="33"/>
            <w:bookmarkEnd w:id="34"/>
            <w:bookmarkEnd w:id="35"/>
          </w:p>
        </w:tc>
        <w:tc>
          <w:tcPr>
            <w:tcW w:w="0" w:type="auto"/>
            <w:vAlign w:val="bottom"/>
            <w:hideMark/>
          </w:tcPr>
          <w:p w:rsidR="00AC6ABD" w:rsidRPr="00F012F8" w:rsidRDefault="00AC6ABD">
            <w:pPr>
              <w:jc w:val="right"/>
              <w:rPr>
                <w:rFonts w:cs="Times New Roman"/>
                <w:color w:val="000000"/>
                <w:sz w:val="18"/>
                <w:szCs w:val="18"/>
              </w:rPr>
            </w:pPr>
          </w:p>
        </w:tc>
      </w:tr>
    </w:tbl>
    <w:p w:rsidR="00AC6ABD" w:rsidRPr="00F012F8" w:rsidRDefault="00AC6ABD" w:rsidP="00AC6ABD">
      <w:pPr>
        <w:pStyle w:val="NormalWeb"/>
        <w:spacing w:after="0" w:afterAutospacing="0"/>
        <w:ind w:left="360"/>
        <w:rPr>
          <w:color w:val="000000"/>
          <w:sz w:val="18"/>
          <w:szCs w:val="18"/>
          <w:shd w:val="clear" w:color="auto" w:fill="FFFFFF"/>
        </w:rPr>
      </w:pPr>
      <w:r w:rsidRPr="00F012F8">
        <w:rPr>
          <w:color w:val="000000"/>
          <w:sz w:val="18"/>
          <w:szCs w:val="18"/>
          <w:shd w:val="clear" w:color="auto" w:fill="FFFFFF"/>
        </w:rPr>
        <w:t>Dans le cas d'une patiente ayant un écoulement mammaire, le candidat devra en diagnostiquer la cause, la gravité et les complications, et mettre en place un plan de prise en charge approprié, en mettant l'accent sur la distinction entre la galactorrhée et les autres causes d'écoulement mammaire.</w:t>
      </w:r>
    </w:p>
    <w:tbl>
      <w:tblPr>
        <w:tblW w:w="5000" w:type="pct"/>
        <w:tblCellSpacing w:w="0" w:type="dxa"/>
        <w:tblCellMar>
          <w:left w:w="0" w:type="dxa"/>
          <w:right w:w="0" w:type="dxa"/>
        </w:tblCellMar>
        <w:tblLook w:val="04A0" w:firstRow="1" w:lastRow="0" w:firstColumn="1" w:lastColumn="0" w:noHBand="0" w:noVBand="1"/>
      </w:tblPr>
      <w:tblGrid>
        <w:gridCol w:w="10754"/>
        <w:gridCol w:w="46"/>
      </w:tblGrid>
      <w:tr w:rsidR="00AC6ABD" w:rsidRPr="00F012F8" w:rsidTr="00EB0C1F">
        <w:trPr>
          <w:trHeight w:val="310"/>
          <w:tblCellSpacing w:w="0" w:type="dxa"/>
        </w:trPr>
        <w:tc>
          <w:tcPr>
            <w:tcW w:w="0" w:type="auto"/>
            <w:vAlign w:val="bottom"/>
            <w:hideMark/>
          </w:tcPr>
          <w:p w:rsidR="00AC6ABD" w:rsidRPr="00EB0C1F" w:rsidRDefault="00AC6ABD" w:rsidP="00EB0C1F">
            <w:pPr>
              <w:pStyle w:val="Sansinterligne"/>
              <w:rPr>
                <w:b/>
                <w:sz w:val="16"/>
                <w:szCs w:val="16"/>
              </w:rPr>
            </w:pPr>
            <w:bookmarkStart w:id="36" w:name="_Toc474266695"/>
            <w:bookmarkStart w:id="37" w:name="_Toc474274450"/>
            <w:bookmarkStart w:id="38" w:name="_Toc474769814"/>
            <w:bookmarkStart w:id="39" w:name="_Toc475198198"/>
            <w:bookmarkStart w:id="40" w:name="_Toc475563823"/>
            <w:r w:rsidRPr="00EB0C1F">
              <w:rPr>
                <w:b/>
                <w:sz w:val="16"/>
                <w:szCs w:val="16"/>
              </w:rPr>
              <w:t>Objectifs spécifiques</w:t>
            </w:r>
            <w:bookmarkEnd w:id="36"/>
            <w:bookmarkEnd w:id="37"/>
            <w:bookmarkEnd w:id="38"/>
            <w:bookmarkEnd w:id="39"/>
            <w:bookmarkEnd w:id="40"/>
          </w:p>
        </w:tc>
        <w:tc>
          <w:tcPr>
            <w:tcW w:w="0" w:type="auto"/>
            <w:vAlign w:val="bottom"/>
            <w:hideMark/>
          </w:tcPr>
          <w:p w:rsidR="00AC6ABD" w:rsidRPr="00F012F8" w:rsidRDefault="00AC6ABD">
            <w:pPr>
              <w:jc w:val="right"/>
              <w:rPr>
                <w:rFonts w:cs="Times New Roman"/>
                <w:color w:val="000000"/>
                <w:sz w:val="16"/>
                <w:szCs w:val="16"/>
              </w:rPr>
            </w:pPr>
          </w:p>
        </w:tc>
      </w:tr>
    </w:tbl>
    <w:p w:rsidR="00AC6ABD" w:rsidRPr="00F012F8" w:rsidRDefault="00AC6ABD" w:rsidP="00AC6ABD">
      <w:pPr>
        <w:pStyle w:val="NormalWeb"/>
        <w:shd w:val="clear" w:color="auto" w:fill="FFFFFF"/>
        <w:ind w:left="360"/>
        <w:rPr>
          <w:color w:val="000000"/>
          <w:sz w:val="16"/>
          <w:szCs w:val="16"/>
          <w:shd w:val="clear" w:color="auto" w:fill="FFFFFF"/>
        </w:rPr>
      </w:pPr>
      <w:r w:rsidRPr="00F012F8">
        <w:rPr>
          <w:color w:val="000000"/>
          <w:sz w:val="16"/>
          <w:szCs w:val="16"/>
          <w:shd w:val="clear" w:color="auto" w:fill="FFFFFF"/>
        </w:rPr>
        <w:t>Dans le cas d'une patiente ayant un écoulement mammaire, le candidat devra</w:t>
      </w:r>
    </w:p>
    <w:p w:rsidR="00AC6ABD" w:rsidRPr="00F012F8" w:rsidRDefault="00AC6ABD" w:rsidP="00AC6ABD">
      <w:pPr>
        <w:numPr>
          <w:ilvl w:val="0"/>
          <w:numId w:val="160"/>
        </w:numPr>
        <w:shd w:val="clear" w:color="auto" w:fill="FFFFFF"/>
        <w:spacing w:before="100" w:beforeAutospacing="1" w:after="100" w:afterAutospacing="1" w:line="240" w:lineRule="auto"/>
        <w:rPr>
          <w:rFonts w:cs="Times New Roman"/>
          <w:color w:val="000000"/>
          <w:sz w:val="16"/>
          <w:szCs w:val="16"/>
          <w:shd w:val="clear" w:color="auto" w:fill="FFFFFF"/>
        </w:rPr>
      </w:pPr>
      <w:r w:rsidRPr="00F012F8">
        <w:rPr>
          <w:rFonts w:cs="Times New Roman"/>
          <w:color w:val="000000"/>
          <w:sz w:val="16"/>
          <w:szCs w:val="16"/>
          <w:shd w:val="clear" w:color="auto" w:fill="FFFFFF"/>
        </w:rPr>
        <w:t>énumérer et interpréter les constatations cliniques cruciales, notamment :</w:t>
      </w:r>
    </w:p>
    <w:p w:rsidR="00AC6ABD" w:rsidRPr="00F012F8" w:rsidRDefault="00AC6ABD" w:rsidP="00AC6ABD">
      <w:pPr>
        <w:numPr>
          <w:ilvl w:val="1"/>
          <w:numId w:val="160"/>
        </w:numPr>
        <w:shd w:val="clear" w:color="auto" w:fill="FFFFFF"/>
        <w:spacing w:before="100" w:beforeAutospacing="1" w:after="100" w:afterAutospacing="1" w:line="240" w:lineRule="auto"/>
        <w:rPr>
          <w:rFonts w:cs="Times New Roman"/>
          <w:color w:val="000000"/>
          <w:sz w:val="16"/>
          <w:szCs w:val="16"/>
          <w:shd w:val="clear" w:color="auto" w:fill="FFFFFF"/>
        </w:rPr>
      </w:pPr>
      <w:r w:rsidRPr="00F012F8">
        <w:rPr>
          <w:rFonts w:cs="Times New Roman"/>
          <w:color w:val="000000"/>
          <w:sz w:val="16"/>
          <w:szCs w:val="16"/>
          <w:shd w:val="clear" w:color="auto" w:fill="FFFFFF"/>
        </w:rPr>
        <w:t>la présence de lésions cutanées aux seins;</w:t>
      </w:r>
    </w:p>
    <w:p w:rsidR="00AC6ABD" w:rsidRPr="00F012F8" w:rsidRDefault="00AC6ABD" w:rsidP="00AC6ABD">
      <w:pPr>
        <w:numPr>
          <w:ilvl w:val="1"/>
          <w:numId w:val="160"/>
        </w:numPr>
        <w:shd w:val="clear" w:color="auto" w:fill="FFFFFF"/>
        <w:spacing w:before="100" w:beforeAutospacing="1" w:after="100" w:afterAutospacing="1" w:line="240" w:lineRule="auto"/>
        <w:rPr>
          <w:rFonts w:cs="Times New Roman"/>
          <w:color w:val="000000"/>
          <w:sz w:val="16"/>
          <w:szCs w:val="16"/>
          <w:shd w:val="clear" w:color="auto" w:fill="FFFFFF"/>
        </w:rPr>
      </w:pPr>
      <w:r w:rsidRPr="00F012F8">
        <w:rPr>
          <w:rFonts w:cs="Times New Roman"/>
          <w:color w:val="000000"/>
          <w:sz w:val="16"/>
          <w:szCs w:val="16"/>
          <w:shd w:val="clear" w:color="auto" w:fill="FFFFFF"/>
        </w:rPr>
        <w:t>les caractéristiques de l'écoulement;</w:t>
      </w:r>
    </w:p>
    <w:p w:rsidR="00AC6ABD" w:rsidRPr="00F012F8" w:rsidRDefault="00AC6ABD" w:rsidP="00AC6ABD">
      <w:pPr>
        <w:numPr>
          <w:ilvl w:val="1"/>
          <w:numId w:val="160"/>
        </w:numPr>
        <w:shd w:val="clear" w:color="auto" w:fill="FFFFFF"/>
        <w:spacing w:before="100" w:beforeAutospacing="1" w:after="100" w:afterAutospacing="1" w:line="240" w:lineRule="auto"/>
        <w:rPr>
          <w:rFonts w:cs="Times New Roman"/>
          <w:color w:val="000000"/>
          <w:sz w:val="16"/>
          <w:szCs w:val="16"/>
          <w:shd w:val="clear" w:color="auto" w:fill="FFFFFF"/>
        </w:rPr>
      </w:pPr>
      <w:r w:rsidRPr="00F012F8">
        <w:rPr>
          <w:rFonts w:cs="Times New Roman"/>
          <w:color w:val="000000"/>
          <w:sz w:val="16"/>
          <w:szCs w:val="16"/>
          <w:shd w:val="clear" w:color="auto" w:fill="FFFFFF"/>
        </w:rPr>
        <w:t>la présence de masses aux seins;</w:t>
      </w:r>
    </w:p>
    <w:p w:rsidR="00AC6ABD" w:rsidRPr="00F012F8" w:rsidRDefault="00AC6ABD" w:rsidP="00AC6ABD">
      <w:pPr>
        <w:numPr>
          <w:ilvl w:val="0"/>
          <w:numId w:val="160"/>
        </w:numPr>
        <w:shd w:val="clear" w:color="auto" w:fill="FFFFFF"/>
        <w:spacing w:before="100" w:beforeAutospacing="1" w:after="100" w:afterAutospacing="1" w:line="240" w:lineRule="auto"/>
        <w:rPr>
          <w:rFonts w:cs="Times New Roman"/>
          <w:color w:val="000000"/>
          <w:sz w:val="16"/>
          <w:szCs w:val="16"/>
          <w:shd w:val="clear" w:color="auto" w:fill="FFFFFF"/>
        </w:rPr>
      </w:pPr>
      <w:r w:rsidRPr="00F012F8">
        <w:rPr>
          <w:rFonts w:cs="Times New Roman"/>
          <w:color w:val="000000"/>
          <w:sz w:val="16"/>
          <w:szCs w:val="16"/>
          <w:shd w:val="clear" w:color="auto" w:fill="FFFFFF"/>
        </w:rPr>
        <w:t>énumérer et interpréter les examens et les résultats de laboratoire essentiels, notamment :</w:t>
      </w:r>
    </w:p>
    <w:p w:rsidR="00AC6ABD" w:rsidRPr="00F012F8" w:rsidRDefault="00AC6ABD" w:rsidP="00AC6ABD">
      <w:pPr>
        <w:numPr>
          <w:ilvl w:val="1"/>
          <w:numId w:val="160"/>
        </w:numPr>
        <w:shd w:val="clear" w:color="auto" w:fill="FFFFFF"/>
        <w:spacing w:before="100" w:beforeAutospacing="1" w:after="100" w:afterAutospacing="1" w:line="240" w:lineRule="auto"/>
        <w:rPr>
          <w:rFonts w:cs="Times New Roman"/>
          <w:color w:val="000000"/>
          <w:sz w:val="16"/>
          <w:szCs w:val="16"/>
          <w:shd w:val="clear" w:color="auto" w:fill="FFFFFF"/>
        </w:rPr>
      </w:pPr>
      <w:r w:rsidRPr="00F012F8">
        <w:rPr>
          <w:rFonts w:cs="Times New Roman"/>
          <w:color w:val="000000"/>
          <w:sz w:val="16"/>
          <w:szCs w:val="16"/>
          <w:shd w:val="clear" w:color="auto" w:fill="FFFFFF"/>
        </w:rPr>
        <w:t>la cytologie diagnostique;</w:t>
      </w:r>
    </w:p>
    <w:p w:rsidR="00AC6ABD" w:rsidRPr="00F012F8" w:rsidRDefault="00AC6ABD" w:rsidP="00AC6ABD">
      <w:pPr>
        <w:numPr>
          <w:ilvl w:val="1"/>
          <w:numId w:val="160"/>
        </w:numPr>
        <w:shd w:val="clear" w:color="auto" w:fill="FFFFFF"/>
        <w:spacing w:before="100" w:beforeAutospacing="1" w:after="100" w:afterAutospacing="1" w:line="240" w:lineRule="auto"/>
        <w:rPr>
          <w:rFonts w:cs="Times New Roman"/>
          <w:color w:val="000000"/>
          <w:sz w:val="16"/>
          <w:szCs w:val="16"/>
          <w:shd w:val="clear" w:color="auto" w:fill="FFFFFF"/>
        </w:rPr>
      </w:pPr>
      <w:r w:rsidRPr="00F012F8">
        <w:rPr>
          <w:rFonts w:cs="Times New Roman"/>
          <w:color w:val="000000"/>
          <w:sz w:val="16"/>
          <w:szCs w:val="16"/>
          <w:shd w:val="clear" w:color="auto" w:fill="FFFFFF"/>
        </w:rPr>
        <w:t>l'imagerie diagnostique;</w:t>
      </w:r>
    </w:p>
    <w:p w:rsidR="00AC6ABD" w:rsidRPr="00F012F8" w:rsidRDefault="00AC6ABD" w:rsidP="00AC6ABD">
      <w:pPr>
        <w:numPr>
          <w:ilvl w:val="0"/>
          <w:numId w:val="160"/>
        </w:numPr>
        <w:shd w:val="clear" w:color="auto" w:fill="FFFFFF"/>
        <w:spacing w:before="100" w:beforeAutospacing="1" w:after="100" w:afterAutospacing="1" w:line="240" w:lineRule="auto"/>
        <w:rPr>
          <w:rFonts w:cs="Times New Roman"/>
          <w:color w:val="000000"/>
          <w:sz w:val="16"/>
          <w:szCs w:val="16"/>
          <w:shd w:val="clear" w:color="auto" w:fill="FFFFFF"/>
        </w:rPr>
      </w:pPr>
      <w:r w:rsidRPr="00F012F8">
        <w:rPr>
          <w:rFonts w:cs="Times New Roman"/>
          <w:color w:val="000000"/>
          <w:sz w:val="16"/>
          <w:szCs w:val="16"/>
          <w:shd w:val="clear" w:color="auto" w:fill="FFFFFF"/>
        </w:rPr>
        <w:t>élaborer un plan efficace de prise en charge et déterminer le suivi approprié, notamment :</w:t>
      </w:r>
    </w:p>
    <w:p w:rsidR="00AC6ABD" w:rsidRPr="00F012F8" w:rsidRDefault="00AC6ABD" w:rsidP="00AC6ABD">
      <w:pPr>
        <w:numPr>
          <w:ilvl w:val="1"/>
          <w:numId w:val="160"/>
        </w:numPr>
        <w:shd w:val="clear" w:color="auto" w:fill="FFFFFF"/>
        <w:spacing w:before="100" w:beforeAutospacing="1" w:after="100" w:afterAutospacing="1" w:line="240" w:lineRule="auto"/>
        <w:rPr>
          <w:rFonts w:cs="Times New Roman"/>
          <w:color w:val="000000"/>
          <w:sz w:val="16"/>
          <w:szCs w:val="16"/>
          <w:shd w:val="clear" w:color="auto" w:fill="FFFFFF"/>
        </w:rPr>
      </w:pPr>
      <w:r w:rsidRPr="00F012F8">
        <w:rPr>
          <w:rFonts w:cs="Times New Roman"/>
          <w:color w:val="000000"/>
          <w:sz w:val="16"/>
          <w:szCs w:val="16"/>
          <w:shd w:val="clear" w:color="auto" w:fill="FFFFFF"/>
        </w:rPr>
        <w:t>conseiller et renseigner la patiente (p. ex. crainte possible d'un cancer);</w:t>
      </w:r>
    </w:p>
    <w:p w:rsidR="00AC6ABD" w:rsidRPr="00F012F8" w:rsidRDefault="00AC6ABD" w:rsidP="00AC6ABD">
      <w:pPr>
        <w:numPr>
          <w:ilvl w:val="1"/>
          <w:numId w:val="160"/>
        </w:numPr>
        <w:shd w:val="clear" w:color="auto" w:fill="FFFFFF"/>
        <w:spacing w:before="100" w:beforeAutospacing="1" w:after="100" w:afterAutospacing="1" w:line="240" w:lineRule="auto"/>
        <w:rPr>
          <w:rFonts w:cs="Times New Roman"/>
          <w:color w:val="000000"/>
          <w:sz w:val="16"/>
          <w:szCs w:val="16"/>
          <w:shd w:val="clear" w:color="auto" w:fill="FFFFFF"/>
        </w:rPr>
      </w:pPr>
      <w:r w:rsidRPr="00F012F8">
        <w:rPr>
          <w:rFonts w:cs="Times New Roman"/>
          <w:color w:val="000000"/>
          <w:sz w:val="16"/>
          <w:szCs w:val="16"/>
          <w:shd w:val="clear" w:color="auto" w:fill="FFFFFF"/>
        </w:rPr>
        <w:t>déterminer si la patiente a besoin de soins spécialisés.</w:t>
      </w:r>
    </w:p>
    <w:p w:rsidR="00B1454F" w:rsidRPr="00F012F8" w:rsidRDefault="00AC6ABD" w:rsidP="00D76C70">
      <w:pPr>
        <w:spacing w:before="240"/>
        <w:rPr>
          <w:rFonts w:cs="Times New Roman"/>
          <w:b/>
          <w:sz w:val="28"/>
          <w:szCs w:val="28"/>
        </w:rPr>
      </w:pPr>
      <w:r w:rsidRPr="00F012F8">
        <w:rPr>
          <w:rFonts w:cs="Times New Roman"/>
          <w:b/>
          <w:sz w:val="28"/>
          <w:szCs w:val="28"/>
        </w:rPr>
        <w:t>Étiologie</w:t>
      </w:r>
    </w:p>
    <w:p w:rsidR="00D76C70" w:rsidRPr="00F012F8" w:rsidRDefault="009D1719" w:rsidP="00AC6ABD">
      <w:pPr>
        <w:rPr>
          <w:rFonts w:cs="Times New Roman"/>
        </w:rPr>
      </w:pPr>
      <w:r w:rsidRPr="00F012F8">
        <w:rPr>
          <w:rFonts w:cs="Times New Roman"/>
          <w:noProof/>
          <w:lang w:eastAsia="fr-CA"/>
        </w:rPr>
        <w:drawing>
          <wp:anchor distT="0" distB="0" distL="114300" distR="114300" simplePos="0" relativeHeight="251709440" behindDoc="0" locked="0" layoutInCell="1" allowOverlap="1" wp14:anchorId="5873E89B" wp14:editId="71AF5D1E">
            <wp:simplePos x="0" y="0"/>
            <wp:positionH relativeFrom="column">
              <wp:posOffset>3411073</wp:posOffset>
            </wp:positionH>
            <wp:positionV relativeFrom="paragraph">
              <wp:posOffset>199390</wp:posOffset>
            </wp:positionV>
            <wp:extent cx="3192228" cy="2787161"/>
            <wp:effectExtent l="0" t="0" r="8255" b="0"/>
            <wp:wrapNone/>
            <wp:docPr id="26" name="Image 26" descr="Résultats de recherche d'images pour « ductal ectasi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ésultats de recherche d'images pour « ductal ectasia »"/>
                    <pic:cNvPicPr>
                      <a:picLocks noChangeAspect="1" noChangeArrowheads="1"/>
                    </pic:cNvPicPr>
                  </pic:nvPicPr>
                  <pic:blipFill rotWithShape="1">
                    <a:blip r:embed="rId52">
                      <a:extLst>
                        <a:ext uri="{28A0092B-C50C-407E-A947-70E740481C1C}">
                          <a14:useLocalDpi xmlns:a14="http://schemas.microsoft.com/office/drawing/2010/main" val="0"/>
                        </a:ext>
                      </a:extLst>
                    </a:blip>
                    <a:srcRect b="4785"/>
                    <a:stretch/>
                  </pic:blipFill>
                  <pic:spPr bwMode="auto">
                    <a:xfrm>
                      <a:off x="0" y="0"/>
                      <a:ext cx="3192228" cy="2787161"/>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76C70" w:rsidRPr="00F012F8">
        <w:rPr>
          <w:rFonts w:cs="Times New Roman"/>
          <w:i/>
        </w:rPr>
        <w:t>Galactorrhée</w:t>
      </w:r>
      <w:r w:rsidR="00D76C70" w:rsidRPr="00F012F8">
        <w:rPr>
          <w:rFonts w:cs="Times New Roman"/>
        </w:rPr>
        <w:t> : écoulement de lait au niveau du mamelon</w:t>
      </w:r>
      <w:r w:rsidR="004D7C1C" w:rsidRPr="00F012F8">
        <w:rPr>
          <w:rFonts w:cs="Times New Roman"/>
        </w:rPr>
        <w:t xml:space="preserve"> (hors allaitement)</w:t>
      </w:r>
    </w:p>
    <w:p w:rsidR="00D76C70" w:rsidRPr="00F012F8" w:rsidRDefault="00D76C70" w:rsidP="00D76C70">
      <w:pPr>
        <w:pStyle w:val="Paragraphedeliste"/>
        <w:numPr>
          <w:ilvl w:val="0"/>
          <w:numId w:val="161"/>
        </w:numPr>
        <w:rPr>
          <w:rFonts w:cs="Times New Roman"/>
        </w:rPr>
      </w:pPr>
      <w:r w:rsidRPr="00F012F8">
        <w:rPr>
          <w:rFonts w:cs="Times New Roman"/>
        </w:rPr>
        <w:t>Idiopathique</w:t>
      </w:r>
    </w:p>
    <w:p w:rsidR="00D76C70" w:rsidRPr="00F012F8" w:rsidRDefault="00D76C70" w:rsidP="00D76C70">
      <w:pPr>
        <w:pStyle w:val="Paragraphedeliste"/>
        <w:numPr>
          <w:ilvl w:val="0"/>
          <w:numId w:val="161"/>
        </w:numPr>
        <w:rPr>
          <w:rFonts w:cs="Times New Roman"/>
        </w:rPr>
      </w:pPr>
      <w:r w:rsidRPr="00F012F8">
        <w:rPr>
          <w:rFonts w:cs="Times New Roman"/>
        </w:rPr>
        <w:t>2</w:t>
      </w:r>
      <w:r w:rsidRPr="00871CED">
        <w:rPr>
          <w:rFonts w:cs="Times New Roman"/>
          <w:vertAlign w:val="superscript"/>
        </w:rPr>
        <w:t>aire</w:t>
      </w:r>
      <w:r w:rsidRPr="00F012F8">
        <w:rPr>
          <w:rFonts w:cs="Times New Roman"/>
        </w:rPr>
        <w:t xml:space="preserve"> à une hyperprolactinémie</w:t>
      </w:r>
      <w:r w:rsidR="00945839" w:rsidRPr="00F012F8">
        <w:rPr>
          <w:rFonts w:cs="Times New Roman"/>
        </w:rPr>
        <w:t xml:space="preserve"> (hyperPRL)</w:t>
      </w:r>
    </w:p>
    <w:p w:rsidR="00D76C70" w:rsidRPr="00F012F8" w:rsidRDefault="00D76C70" w:rsidP="00AC6ABD">
      <w:pPr>
        <w:rPr>
          <w:rFonts w:cs="Times New Roman"/>
          <w:i/>
        </w:rPr>
      </w:pPr>
      <w:r w:rsidRPr="00F012F8">
        <w:rPr>
          <w:rFonts w:cs="Times New Roman"/>
          <w:i/>
        </w:rPr>
        <w:t xml:space="preserve">Écoulement </w:t>
      </w:r>
      <w:r w:rsidR="004D7C1C" w:rsidRPr="00F012F8">
        <w:rPr>
          <w:rFonts w:cs="Times New Roman"/>
          <w:i/>
        </w:rPr>
        <w:t xml:space="preserve">mammaire </w:t>
      </w:r>
      <w:r w:rsidRPr="00F012F8">
        <w:rPr>
          <w:rFonts w:cs="Times New Roman"/>
          <w:i/>
        </w:rPr>
        <w:t>sérosanguin</w:t>
      </w:r>
    </w:p>
    <w:p w:rsidR="00AC6ABD" w:rsidRPr="00F012F8" w:rsidRDefault="008778FA" w:rsidP="00D76C70">
      <w:pPr>
        <w:pStyle w:val="Paragraphedeliste"/>
        <w:numPr>
          <w:ilvl w:val="0"/>
          <w:numId w:val="162"/>
        </w:numPr>
        <w:rPr>
          <w:rFonts w:cs="Times New Roman"/>
        </w:rPr>
      </w:pPr>
      <w:r w:rsidRPr="00F012F8">
        <w:rPr>
          <w:rFonts w:cs="Times New Roman"/>
        </w:rPr>
        <w:t>Néoplasie mammaire</w:t>
      </w:r>
    </w:p>
    <w:p w:rsidR="0025340C" w:rsidRPr="00F012F8" w:rsidRDefault="0025340C" w:rsidP="0025340C">
      <w:pPr>
        <w:pStyle w:val="Paragraphedeliste"/>
        <w:numPr>
          <w:ilvl w:val="0"/>
          <w:numId w:val="162"/>
        </w:numPr>
        <w:rPr>
          <w:rFonts w:cs="Times New Roman"/>
        </w:rPr>
      </w:pPr>
      <w:r w:rsidRPr="00F012F8">
        <w:rPr>
          <w:rFonts w:cs="Times New Roman"/>
        </w:rPr>
        <w:t>Papillome intra canalaire (PIC)</w:t>
      </w:r>
    </w:p>
    <w:p w:rsidR="008778FA" w:rsidRDefault="00D76C70" w:rsidP="0025340C">
      <w:pPr>
        <w:pStyle w:val="Paragraphedeliste"/>
        <w:numPr>
          <w:ilvl w:val="0"/>
          <w:numId w:val="162"/>
        </w:numPr>
        <w:rPr>
          <w:rFonts w:cs="Times New Roman"/>
        </w:rPr>
      </w:pPr>
      <w:r w:rsidRPr="00F012F8">
        <w:rPr>
          <w:rFonts w:cs="Times New Roman"/>
        </w:rPr>
        <w:t>Ectasie canalaire</w:t>
      </w:r>
    </w:p>
    <w:p w:rsidR="008E45D2" w:rsidRPr="00F012F8" w:rsidRDefault="008E45D2" w:rsidP="0025340C">
      <w:pPr>
        <w:pStyle w:val="Paragraphedeliste"/>
        <w:numPr>
          <w:ilvl w:val="0"/>
          <w:numId w:val="162"/>
        </w:numPr>
        <w:rPr>
          <w:rFonts w:cs="Times New Roman"/>
        </w:rPr>
      </w:pPr>
      <w:r>
        <w:rPr>
          <w:rFonts w:cs="Times New Roman"/>
        </w:rPr>
        <w:t>Maladie fibrokystique du sein</w:t>
      </w:r>
    </w:p>
    <w:p w:rsidR="008778FA" w:rsidRPr="00F012F8" w:rsidRDefault="008778FA" w:rsidP="00D76C70">
      <w:pPr>
        <w:pStyle w:val="Paragraphedeliste"/>
        <w:numPr>
          <w:ilvl w:val="0"/>
          <w:numId w:val="162"/>
        </w:numPr>
        <w:rPr>
          <w:rFonts w:cs="Times New Roman"/>
        </w:rPr>
      </w:pPr>
      <w:r w:rsidRPr="00F012F8">
        <w:rPr>
          <w:rFonts w:cs="Times New Roman"/>
        </w:rPr>
        <w:t>Abcès</w:t>
      </w:r>
      <w:r w:rsidR="009D1719" w:rsidRPr="00F012F8">
        <w:rPr>
          <w:rFonts w:cs="Times New Roman"/>
        </w:rPr>
        <w:t xml:space="preserve"> </w:t>
      </w:r>
    </w:p>
    <w:p w:rsidR="00F238DB" w:rsidRPr="00F012F8" w:rsidRDefault="00F238DB" w:rsidP="00AC6ABD">
      <w:pPr>
        <w:rPr>
          <w:rFonts w:cs="Times New Roman"/>
        </w:rPr>
      </w:pPr>
    </w:p>
    <w:p w:rsidR="005F3039" w:rsidRPr="00F012F8" w:rsidRDefault="005F3039" w:rsidP="00AC6ABD">
      <w:pPr>
        <w:rPr>
          <w:rFonts w:cs="Times New Roman"/>
          <w:b/>
          <w:sz w:val="28"/>
          <w:szCs w:val="28"/>
        </w:rPr>
      </w:pPr>
    </w:p>
    <w:p w:rsidR="00507D41" w:rsidRPr="00F012F8" w:rsidRDefault="00507D41" w:rsidP="005F3039">
      <w:pPr>
        <w:jc w:val="center"/>
        <w:rPr>
          <w:rFonts w:cs="Times New Roman"/>
          <w:b/>
          <w:sz w:val="24"/>
          <w:szCs w:val="24"/>
        </w:rPr>
      </w:pPr>
    </w:p>
    <w:p w:rsidR="00B0708D" w:rsidRPr="00F012F8" w:rsidRDefault="00B0708D" w:rsidP="005F3039">
      <w:pPr>
        <w:jc w:val="center"/>
        <w:rPr>
          <w:rFonts w:cs="Times New Roman"/>
          <w:b/>
          <w:sz w:val="24"/>
          <w:szCs w:val="24"/>
        </w:rPr>
      </w:pPr>
    </w:p>
    <w:p w:rsidR="005F3039" w:rsidRPr="00F012F8" w:rsidRDefault="005F3039" w:rsidP="005F3039">
      <w:pPr>
        <w:jc w:val="center"/>
        <w:rPr>
          <w:rFonts w:cs="Times New Roman"/>
          <w:b/>
          <w:sz w:val="24"/>
          <w:szCs w:val="24"/>
        </w:rPr>
      </w:pPr>
      <w:r w:rsidRPr="00F012F8">
        <w:rPr>
          <w:rFonts w:cs="Times New Roman"/>
          <w:b/>
          <w:sz w:val="24"/>
          <w:szCs w:val="24"/>
        </w:rPr>
        <w:t>Caractéristiques des écoulements</w:t>
      </w:r>
    </w:p>
    <w:p w:rsidR="005F3039" w:rsidRPr="00F012F8" w:rsidRDefault="005F3039" w:rsidP="005F3039">
      <w:pPr>
        <w:pStyle w:val="Paragraphedeliste"/>
        <w:numPr>
          <w:ilvl w:val="0"/>
          <w:numId w:val="163"/>
        </w:numPr>
        <w:spacing w:after="0" w:line="240" w:lineRule="auto"/>
        <w:jc w:val="center"/>
        <w:rPr>
          <w:rFonts w:cs="Times New Roman"/>
        </w:rPr>
        <w:sectPr w:rsidR="005F3039" w:rsidRPr="00F012F8" w:rsidSect="003A557B">
          <w:type w:val="continuous"/>
          <w:pgSz w:w="12240" w:h="15840"/>
          <w:pgMar w:top="720" w:right="720" w:bottom="720" w:left="720" w:header="708" w:footer="708" w:gutter="0"/>
          <w:cols w:space="708"/>
          <w:titlePg/>
          <w:docGrid w:linePitch="360"/>
        </w:sectPr>
      </w:pPr>
    </w:p>
    <w:p w:rsidR="005F3039" w:rsidRPr="00F012F8" w:rsidRDefault="005F3039" w:rsidP="005F3039">
      <w:pPr>
        <w:spacing w:after="0" w:line="240" w:lineRule="auto"/>
        <w:ind w:left="1776"/>
        <w:rPr>
          <w:rFonts w:cs="Times New Roman"/>
          <w:u w:val="single"/>
        </w:rPr>
      </w:pPr>
      <w:r w:rsidRPr="00F012F8">
        <w:rPr>
          <w:rFonts w:cs="Times New Roman"/>
          <w:u w:val="single"/>
        </w:rPr>
        <w:lastRenderedPageBreak/>
        <w:t>Bénin</w:t>
      </w:r>
    </w:p>
    <w:p w:rsidR="005F3039" w:rsidRPr="00F012F8" w:rsidRDefault="005F3039" w:rsidP="005F3039">
      <w:pPr>
        <w:pStyle w:val="Paragraphedeliste"/>
        <w:numPr>
          <w:ilvl w:val="0"/>
          <w:numId w:val="163"/>
        </w:numPr>
        <w:spacing w:after="0" w:line="240" w:lineRule="auto"/>
        <w:ind w:left="2496"/>
        <w:rPr>
          <w:rFonts w:cs="Times New Roman"/>
        </w:rPr>
      </w:pPr>
      <w:r w:rsidRPr="00F012F8">
        <w:rPr>
          <w:rFonts w:cs="Times New Roman"/>
        </w:rPr>
        <w:t>Bilatéral</w:t>
      </w:r>
    </w:p>
    <w:p w:rsidR="005F3039" w:rsidRPr="00F012F8" w:rsidRDefault="005F3039" w:rsidP="005F3039">
      <w:pPr>
        <w:pStyle w:val="Paragraphedeliste"/>
        <w:numPr>
          <w:ilvl w:val="0"/>
          <w:numId w:val="163"/>
        </w:numPr>
        <w:spacing w:after="0" w:line="240" w:lineRule="auto"/>
        <w:ind w:left="2496"/>
        <w:rPr>
          <w:rFonts w:cs="Times New Roman"/>
        </w:rPr>
      </w:pPr>
      <w:r w:rsidRPr="00F012F8">
        <w:rPr>
          <w:rFonts w:cs="Times New Roman"/>
        </w:rPr>
        <w:t>Multicanalaire</w:t>
      </w:r>
    </w:p>
    <w:p w:rsidR="005F3039" w:rsidRPr="00F012F8" w:rsidRDefault="005F3039" w:rsidP="005F3039">
      <w:pPr>
        <w:pStyle w:val="Paragraphedeliste"/>
        <w:numPr>
          <w:ilvl w:val="0"/>
          <w:numId w:val="163"/>
        </w:numPr>
        <w:spacing w:after="0" w:line="240" w:lineRule="auto"/>
        <w:ind w:left="2496"/>
        <w:rPr>
          <w:rFonts w:cs="Times New Roman"/>
        </w:rPr>
      </w:pPr>
      <w:r w:rsidRPr="00F012F8">
        <w:rPr>
          <w:rFonts w:cs="Times New Roman"/>
        </w:rPr>
        <w:t>Reproduit par la palpation</w:t>
      </w:r>
    </w:p>
    <w:p w:rsidR="005F3039" w:rsidRPr="00F012F8" w:rsidRDefault="005F3039" w:rsidP="005F3039">
      <w:pPr>
        <w:spacing w:after="0" w:line="240" w:lineRule="auto"/>
        <w:ind w:left="1776"/>
        <w:rPr>
          <w:rFonts w:cs="Times New Roman"/>
        </w:rPr>
      </w:pPr>
    </w:p>
    <w:p w:rsidR="005F3039" w:rsidRPr="00F012F8" w:rsidRDefault="005F3039" w:rsidP="005F3039">
      <w:pPr>
        <w:spacing w:after="0" w:line="240" w:lineRule="auto"/>
        <w:ind w:left="1776"/>
        <w:rPr>
          <w:rFonts w:cs="Times New Roman"/>
        </w:rPr>
      </w:pPr>
    </w:p>
    <w:p w:rsidR="005F3039" w:rsidRDefault="005F3039" w:rsidP="005F3039">
      <w:pPr>
        <w:spacing w:after="0" w:line="240" w:lineRule="auto"/>
        <w:ind w:left="1776"/>
        <w:rPr>
          <w:rFonts w:cs="Times New Roman"/>
        </w:rPr>
      </w:pPr>
    </w:p>
    <w:p w:rsidR="00EB0C1F" w:rsidRPr="00F012F8" w:rsidRDefault="00EB0C1F" w:rsidP="005F3039">
      <w:pPr>
        <w:spacing w:after="0" w:line="240" w:lineRule="auto"/>
        <w:ind w:left="1776"/>
        <w:rPr>
          <w:rFonts w:cs="Times New Roman"/>
        </w:rPr>
      </w:pPr>
    </w:p>
    <w:p w:rsidR="005F3039" w:rsidRPr="00F012F8" w:rsidRDefault="005F3039" w:rsidP="005F3039">
      <w:pPr>
        <w:spacing w:after="0" w:line="240" w:lineRule="auto"/>
        <w:ind w:left="1776"/>
        <w:rPr>
          <w:rFonts w:cs="Times New Roman"/>
          <w:u w:val="single"/>
        </w:rPr>
      </w:pPr>
      <w:r w:rsidRPr="00F012F8">
        <w:rPr>
          <w:rFonts w:cs="Times New Roman"/>
          <w:u w:val="single"/>
        </w:rPr>
        <w:lastRenderedPageBreak/>
        <w:t>Malin</w:t>
      </w:r>
    </w:p>
    <w:p w:rsidR="005F3039" w:rsidRPr="00F012F8" w:rsidRDefault="005F3039" w:rsidP="005F3039">
      <w:pPr>
        <w:pStyle w:val="Paragraphedeliste"/>
        <w:numPr>
          <w:ilvl w:val="0"/>
          <w:numId w:val="163"/>
        </w:numPr>
        <w:spacing w:after="0" w:line="240" w:lineRule="auto"/>
        <w:ind w:left="2496"/>
        <w:rPr>
          <w:rFonts w:cs="Times New Roman"/>
        </w:rPr>
      </w:pPr>
      <w:r w:rsidRPr="00F012F8">
        <w:rPr>
          <w:rFonts w:cs="Times New Roman"/>
        </w:rPr>
        <w:t>Unilatéral</w:t>
      </w:r>
    </w:p>
    <w:p w:rsidR="005F3039" w:rsidRPr="00F012F8" w:rsidRDefault="005F3039" w:rsidP="005F3039">
      <w:pPr>
        <w:pStyle w:val="Paragraphedeliste"/>
        <w:numPr>
          <w:ilvl w:val="0"/>
          <w:numId w:val="163"/>
        </w:numPr>
        <w:spacing w:after="0" w:line="240" w:lineRule="auto"/>
        <w:ind w:left="2496"/>
        <w:rPr>
          <w:rFonts w:cs="Times New Roman"/>
        </w:rPr>
      </w:pPr>
      <w:r w:rsidRPr="00F012F8">
        <w:rPr>
          <w:rFonts w:cs="Times New Roman"/>
        </w:rPr>
        <w:t>Unicanalaire</w:t>
      </w:r>
    </w:p>
    <w:p w:rsidR="005F3039" w:rsidRPr="00F012F8" w:rsidRDefault="005F3039" w:rsidP="005F3039">
      <w:pPr>
        <w:pStyle w:val="Paragraphedeliste"/>
        <w:numPr>
          <w:ilvl w:val="0"/>
          <w:numId w:val="163"/>
        </w:numPr>
        <w:spacing w:after="0" w:line="240" w:lineRule="auto"/>
        <w:ind w:left="2496"/>
        <w:rPr>
          <w:rFonts w:cs="Times New Roman"/>
        </w:rPr>
      </w:pPr>
      <w:r w:rsidRPr="00F012F8">
        <w:rPr>
          <w:rFonts w:cs="Times New Roman"/>
        </w:rPr>
        <w:t>Masse associée</w:t>
      </w:r>
    </w:p>
    <w:p w:rsidR="005F3039" w:rsidRPr="00F012F8" w:rsidRDefault="005F3039" w:rsidP="005F3039">
      <w:pPr>
        <w:pStyle w:val="Paragraphedeliste"/>
        <w:numPr>
          <w:ilvl w:val="0"/>
          <w:numId w:val="163"/>
        </w:numPr>
        <w:spacing w:after="0" w:line="240" w:lineRule="auto"/>
        <w:ind w:left="2496"/>
        <w:rPr>
          <w:rFonts w:cs="Times New Roman"/>
        </w:rPr>
      </w:pPr>
      <w:r w:rsidRPr="00F012F8">
        <w:rPr>
          <w:rFonts w:cs="Times New Roman"/>
        </w:rPr>
        <w:t>Sanguin</w:t>
      </w:r>
    </w:p>
    <w:p w:rsidR="005F3039" w:rsidRPr="00F012F8" w:rsidRDefault="005F3039" w:rsidP="005F3039">
      <w:pPr>
        <w:pStyle w:val="Paragraphedeliste"/>
        <w:numPr>
          <w:ilvl w:val="0"/>
          <w:numId w:val="163"/>
        </w:numPr>
        <w:spacing w:after="0" w:line="240" w:lineRule="auto"/>
        <w:ind w:left="2496"/>
        <w:rPr>
          <w:rFonts w:cs="Times New Roman"/>
        </w:rPr>
      </w:pPr>
      <w:r w:rsidRPr="00F012F8">
        <w:rPr>
          <w:rFonts w:cs="Times New Roman"/>
        </w:rPr>
        <w:t>Spontané</w:t>
      </w:r>
    </w:p>
    <w:p w:rsidR="005F3039" w:rsidRPr="00F012F8" w:rsidRDefault="00871CED" w:rsidP="005F3039">
      <w:pPr>
        <w:pStyle w:val="Paragraphedeliste"/>
        <w:numPr>
          <w:ilvl w:val="0"/>
          <w:numId w:val="163"/>
        </w:numPr>
        <w:spacing w:after="0" w:line="240" w:lineRule="auto"/>
        <w:ind w:left="2496"/>
        <w:rPr>
          <w:rFonts w:cs="Times New Roman"/>
        </w:rPr>
      </w:pPr>
      <w:r>
        <w:rPr>
          <w:rFonts w:ascii="Century Gothic" w:hAnsi="Century Gothic" w:cs="Times New Roman"/>
        </w:rPr>
        <w:t>&gt;</w:t>
      </w:r>
      <w:r w:rsidR="005F3039" w:rsidRPr="00F012F8">
        <w:rPr>
          <w:rFonts w:cs="Times New Roman"/>
        </w:rPr>
        <w:t>40 ans</w:t>
      </w:r>
    </w:p>
    <w:p w:rsidR="005F3039" w:rsidRPr="00F012F8" w:rsidRDefault="005F3039" w:rsidP="00AC6ABD">
      <w:pPr>
        <w:rPr>
          <w:rFonts w:cs="Times New Roman"/>
          <w:b/>
          <w:sz w:val="28"/>
          <w:szCs w:val="28"/>
        </w:rPr>
        <w:sectPr w:rsidR="005F3039" w:rsidRPr="00F012F8" w:rsidSect="005F3039">
          <w:type w:val="continuous"/>
          <w:pgSz w:w="12240" w:h="15840"/>
          <w:pgMar w:top="720" w:right="720" w:bottom="720" w:left="720" w:header="708" w:footer="708" w:gutter="0"/>
          <w:cols w:num="2" w:space="708"/>
          <w:docGrid w:linePitch="360"/>
        </w:sectPr>
      </w:pPr>
    </w:p>
    <w:p w:rsidR="00AC6ABD" w:rsidRPr="00F012F8" w:rsidRDefault="00AC6ABD" w:rsidP="00AC6ABD">
      <w:pPr>
        <w:rPr>
          <w:rFonts w:cs="Times New Roman"/>
          <w:b/>
          <w:sz w:val="28"/>
          <w:szCs w:val="28"/>
        </w:rPr>
      </w:pPr>
      <w:r w:rsidRPr="00F012F8">
        <w:rPr>
          <w:rFonts w:cs="Times New Roman"/>
          <w:b/>
          <w:sz w:val="28"/>
          <w:szCs w:val="28"/>
        </w:rPr>
        <w:lastRenderedPageBreak/>
        <w:t>Diagnostic</w:t>
      </w:r>
    </w:p>
    <w:tbl>
      <w:tblPr>
        <w:tblStyle w:val="Grilledutableau"/>
        <w:tblW w:w="0" w:type="auto"/>
        <w:tblLook w:val="04A0" w:firstRow="1" w:lastRow="0" w:firstColumn="1" w:lastColumn="0" w:noHBand="0" w:noVBand="1"/>
      </w:tblPr>
      <w:tblGrid>
        <w:gridCol w:w="2518"/>
        <w:gridCol w:w="4775"/>
        <w:gridCol w:w="3647"/>
      </w:tblGrid>
      <w:tr w:rsidR="00945839" w:rsidRPr="00F012F8" w:rsidTr="002A1F06">
        <w:tc>
          <w:tcPr>
            <w:tcW w:w="10940" w:type="dxa"/>
            <w:gridSpan w:val="3"/>
            <w:shd w:val="clear" w:color="auto" w:fill="CCC0D9" w:themeFill="accent4" w:themeFillTint="66"/>
          </w:tcPr>
          <w:p w:rsidR="00507D41" w:rsidRPr="00F012F8" w:rsidRDefault="00945839" w:rsidP="00507D41">
            <w:pPr>
              <w:jc w:val="center"/>
              <w:rPr>
                <w:rFonts w:cs="Times New Roman"/>
              </w:rPr>
            </w:pPr>
            <w:r w:rsidRPr="00F012F8">
              <w:rPr>
                <w:rFonts w:cs="Times New Roman"/>
              </w:rPr>
              <w:t>Galactorrhée</w:t>
            </w:r>
            <w:r w:rsidR="00507D41" w:rsidRPr="00F012F8">
              <w:rPr>
                <w:rFonts w:cs="Times New Roman"/>
              </w:rPr>
              <w:t xml:space="preserve"> (bilatéral</w:t>
            </w:r>
            <w:r w:rsidR="00FA1B3A" w:rsidRPr="00F012F8">
              <w:rPr>
                <w:rFonts w:cs="Times New Roman"/>
              </w:rPr>
              <w:t>e, multicanalaire</w:t>
            </w:r>
            <w:r w:rsidR="00507D41" w:rsidRPr="00F012F8">
              <w:rPr>
                <w:rFonts w:cs="Times New Roman"/>
              </w:rPr>
              <w:t>)</w:t>
            </w:r>
          </w:p>
        </w:tc>
      </w:tr>
      <w:tr w:rsidR="006E50BE" w:rsidRPr="00F012F8" w:rsidTr="007218A5">
        <w:tc>
          <w:tcPr>
            <w:tcW w:w="2518" w:type="dxa"/>
          </w:tcPr>
          <w:p w:rsidR="006E50BE" w:rsidRPr="00F012F8" w:rsidRDefault="0025340C" w:rsidP="00F54098">
            <w:pPr>
              <w:jc w:val="center"/>
              <w:rPr>
                <w:rFonts w:cs="Times New Roman"/>
              </w:rPr>
            </w:pPr>
            <w:r w:rsidRPr="00F012F8">
              <w:rPr>
                <w:rFonts w:cs="Times New Roman"/>
              </w:rPr>
              <w:t>Diagnostic</w:t>
            </w:r>
          </w:p>
        </w:tc>
        <w:tc>
          <w:tcPr>
            <w:tcW w:w="4775" w:type="dxa"/>
          </w:tcPr>
          <w:p w:rsidR="006E50BE" w:rsidRPr="00F012F8" w:rsidRDefault="0025340C" w:rsidP="00F54098">
            <w:pPr>
              <w:jc w:val="center"/>
              <w:rPr>
                <w:rFonts w:cs="Times New Roman"/>
              </w:rPr>
            </w:pPr>
            <w:r w:rsidRPr="00F012F8">
              <w:rPr>
                <w:rFonts w:cs="Times New Roman"/>
              </w:rPr>
              <w:t>Manifestations cliniques</w:t>
            </w:r>
          </w:p>
        </w:tc>
        <w:tc>
          <w:tcPr>
            <w:tcW w:w="3647" w:type="dxa"/>
          </w:tcPr>
          <w:p w:rsidR="006E50BE" w:rsidRPr="00F012F8" w:rsidRDefault="0025340C" w:rsidP="00F54098">
            <w:pPr>
              <w:jc w:val="center"/>
              <w:rPr>
                <w:rFonts w:cs="Times New Roman"/>
              </w:rPr>
            </w:pPr>
            <w:r w:rsidRPr="00F012F8">
              <w:rPr>
                <w:rFonts w:cs="Times New Roman"/>
              </w:rPr>
              <w:t>Notes</w:t>
            </w:r>
          </w:p>
        </w:tc>
      </w:tr>
      <w:tr w:rsidR="00F54098" w:rsidRPr="00F012F8" w:rsidTr="007218A5">
        <w:tc>
          <w:tcPr>
            <w:tcW w:w="2518" w:type="dxa"/>
          </w:tcPr>
          <w:p w:rsidR="00F54098" w:rsidRPr="00F012F8" w:rsidRDefault="00F54098" w:rsidP="00AC6ABD">
            <w:pPr>
              <w:rPr>
                <w:rFonts w:cs="Times New Roman"/>
              </w:rPr>
            </w:pPr>
            <w:r w:rsidRPr="00F012F8">
              <w:rPr>
                <w:rFonts w:cs="Times New Roman"/>
              </w:rPr>
              <w:t>Hyperprolactinémie physiologique</w:t>
            </w:r>
          </w:p>
        </w:tc>
        <w:tc>
          <w:tcPr>
            <w:tcW w:w="8422" w:type="dxa"/>
            <w:gridSpan w:val="2"/>
          </w:tcPr>
          <w:p w:rsidR="00F54098" w:rsidRPr="00F012F8" w:rsidRDefault="00F54098" w:rsidP="00F54098">
            <w:pPr>
              <w:pStyle w:val="Paragraphedeliste"/>
              <w:numPr>
                <w:ilvl w:val="0"/>
                <w:numId w:val="164"/>
              </w:numPr>
              <w:rPr>
                <w:rFonts w:cs="Times New Roman"/>
              </w:rPr>
            </w:pPr>
            <w:r w:rsidRPr="00F012F8">
              <w:rPr>
                <w:rFonts w:cs="Times New Roman"/>
              </w:rPr>
              <w:t>Grossesse et jusqu’à 6 semaines après l’accouchement (Signes et Sx de grossesse)</w:t>
            </w:r>
          </w:p>
          <w:p w:rsidR="00F54098" w:rsidRPr="00F012F8" w:rsidRDefault="00F54098" w:rsidP="00F54098">
            <w:pPr>
              <w:pStyle w:val="Paragraphedeliste"/>
              <w:numPr>
                <w:ilvl w:val="0"/>
                <w:numId w:val="164"/>
              </w:numPr>
              <w:rPr>
                <w:rFonts w:cs="Times New Roman"/>
              </w:rPr>
            </w:pPr>
            <w:r w:rsidRPr="00F012F8">
              <w:rPr>
                <w:rFonts w:cs="Times New Roman"/>
              </w:rPr>
              <w:t>Stimulation par allaitement (Ø manipulations)</w:t>
            </w:r>
            <w:r w:rsidR="00507D41" w:rsidRPr="00F012F8">
              <w:rPr>
                <w:rFonts w:cs="Times New Roman"/>
              </w:rPr>
              <w:t>, parfois teinté de sang (ad 20%)</w:t>
            </w:r>
          </w:p>
          <w:p w:rsidR="00F54098" w:rsidRPr="00F012F8" w:rsidRDefault="00F54098" w:rsidP="00F54098">
            <w:pPr>
              <w:pStyle w:val="Paragraphedeliste"/>
              <w:numPr>
                <w:ilvl w:val="0"/>
                <w:numId w:val="164"/>
              </w:numPr>
              <w:rPr>
                <w:rFonts w:cs="Times New Roman"/>
              </w:rPr>
            </w:pPr>
            <w:r w:rsidRPr="00F012F8">
              <w:rPr>
                <w:rFonts w:cs="Times New Roman"/>
              </w:rPr>
              <w:t>Le stress peut légèrement augmenter la sécrétion de PRL.</w:t>
            </w:r>
          </w:p>
        </w:tc>
      </w:tr>
      <w:tr w:rsidR="008F55FB" w:rsidRPr="00F012F8" w:rsidTr="007218A5">
        <w:tc>
          <w:tcPr>
            <w:tcW w:w="2518" w:type="dxa"/>
          </w:tcPr>
          <w:p w:rsidR="008F55FB" w:rsidRPr="00F012F8" w:rsidRDefault="008F55FB" w:rsidP="007A3D83">
            <w:pPr>
              <w:rPr>
                <w:rFonts w:cs="Times New Roman"/>
              </w:rPr>
            </w:pPr>
            <w:r w:rsidRPr="00F012F8">
              <w:rPr>
                <w:rFonts w:cs="Times New Roman"/>
                <w:highlight w:val="yellow"/>
              </w:rPr>
              <w:t>Prolactinome</w:t>
            </w:r>
          </w:p>
        </w:tc>
        <w:tc>
          <w:tcPr>
            <w:tcW w:w="4775" w:type="dxa"/>
          </w:tcPr>
          <w:p w:rsidR="00F038DB" w:rsidRPr="00F012F8" w:rsidRDefault="00F038DB" w:rsidP="00F038DB">
            <w:pPr>
              <w:pStyle w:val="Paragraphedeliste"/>
              <w:numPr>
                <w:ilvl w:val="0"/>
                <w:numId w:val="167"/>
              </w:numPr>
              <w:rPr>
                <w:rFonts w:cs="Times New Roman"/>
                <w:highlight w:val="yellow"/>
              </w:rPr>
            </w:pPr>
            <w:r w:rsidRPr="00F012F8">
              <w:rPr>
                <w:rFonts w:cs="Times New Roman"/>
                <w:highlight w:val="yellow"/>
              </w:rPr>
              <w:t>Aménorrhée</w:t>
            </w:r>
          </w:p>
          <w:p w:rsidR="00F038DB" w:rsidRPr="00F012F8" w:rsidRDefault="00F038DB" w:rsidP="00F038DB">
            <w:pPr>
              <w:pStyle w:val="Paragraphedeliste"/>
              <w:numPr>
                <w:ilvl w:val="0"/>
                <w:numId w:val="167"/>
              </w:numPr>
              <w:rPr>
                <w:rFonts w:cs="Times New Roman"/>
                <w:highlight w:val="yellow"/>
              </w:rPr>
            </w:pPr>
            <w:r w:rsidRPr="00F012F8">
              <w:rPr>
                <w:rFonts w:cs="Times New Roman"/>
                <w:highlight w:val="yellow"/>
              </w:rPr>
              <w:t>Galactorrhée</w:t>
            </w:r>
          </w:p>
          <w:p w:rsidR="00B00CD6" w:rsidRPr="00F012F8" w:rsidRDefault="00F038DB" w:rsidP="00F038DB">
            <w:pPr>
              <w:pStyle w:val="Paragraphedeliste"/>
              <w:numPr>
                <w:ilvl w:val="0"/>
                <w:numId w:val="167"/>
              </w:numPr>
              <w:rPr>
                <w:rFonts w:cs="Times New Roman"/>
                <w:highlight w:val="yellow"/>
              </w:rPr>
            </w:pPr>
            <w:r w:rsidRPr="00F012F8">
              <w:rPr>
                <w:rFonts w:cs="Times New Roman"/>
                <w:highlight w:val="yellow"/>
              </w:rPr>
              <w:t>Céphalées</w:t>
            </w:r>
          </w:p>
          <w:p w:rsidR="00F038DB" w:rsidRPr="00F012F8" w:rsidRDefault="00F038DB" w:rsidP="00F038DB">
            <w:pPr>
              <w:pStyle w:val="Paragraphedeliste"/>
              <w:numPr>
                <w:ilvl w:val="0"/>
                <w:numId w:val="167"/>
              </w:numPr>
              <w:rPr>
                <w:rFonts w:cs="Times New Roman"/>
              </w:rPr>
            </w:pPr>
            <w:r w:rsidRPr="00F012F8">
              <w:rPr>
                <w:rFonts w:cs="Times New Roman"/>
                <w:highlight w:val="yellow"/>
              </w:rPr>
              <w:t>Troubles visuels</w:t>
            </w:r>
            <w:r w:rsidRPr="00F012F8">
              <w:rPr>
                <w:rFonts w:cs="Times New Roman"/>
              </w:rPr>
              <w:t xml:space="preserve"> </w:t>
            </w:r>
            <w:r w:rsidRPr="00F012F8">
              <w:rPr>
                <w:rFonts w:cs="Times New Roman"/>
                <w:sz w:val="16"/>
                <w:szCs w:val="16"/>
              </w:rPr>
              <w:t>(</w:t>
            </w:r>
            <w:r w:rsidRPr="00F012F8">
              <w:rPr>
                <w:rFonts w:cs="Times New Roman"/>
                <w:sz w:val="20"/>
                <w:szCs w:val="20"/>
              </w:rPr>
              <w:t>hémianopsie bitemporale</w:t>
            </w:r>
            <w:r w:rsidRPr="00F012F8">
              <w:rPr>
                <w:rFonts w:cs="Times New Roman"/>
                <w:sz w:val="16"/>
                <w:szCs w:val="16"/>
              </w:rPr>
              <w:t>)</w:t>
            </w:r>
          </w:p>
        </w:tc>
        <w:tc>
          <w:tcPr>
            <w:tcW w:w="3647" w:type="dxa"/>
          </w:tcPr>
          <w:p w:rsidR="008F55FB" w:rsidRPr="00F012F8" w:rsidRDefault="00F038DB" w:rsidP="001D1472">
            <w:pPr>
              <w:rPr>
                <w:rStyle w:val="nowrap"/>
                <w:rFonts w:cs="Times New Roman"/>
                <w:color w:val="000000"/>
                <w:shd w:val="clear" w:color="auto" w:fill="FFFFFF"/>
              </w:rPr>
            </w:pPr>
            <w:r w:rsidRPr="00F012F8">
              <w:rPr>
                <w:rStyle w:val="nowrap"/>
                <w:rFonts w:cs="Times New Roman"/>
                <w:color w:val="000000"/>
                <w:shd w:val="clear" w:color="auto" w:fill="FFFFFF"/>
              </w:rPr>
              <w:t>PRL peut↑ jusqu’à 50 000 ng/mL</w:t>
            </w:r>
          </w:p>
          <w:p w:rsidR="00F038DB" w:rsidRPr="00F012F8" w:rsidRDefault="00F038DB" w:rsidP="001D1472">
            <w:pPr>
              <w:rPr>
                <w:rStyle w:val="nowrap"/>
                <w:rFonts w:cs="Times New Roman"/>
                <w:color w:val="000000"/>
                <w:shd w:val="clear" w:color="auto" w:fill="FFFFFF"/>
              </w:rPr>
            </w:pPr>
          </w:p>
          <w:p w:rsidR="00F038DB" w:rsidRPr="00F012F8" w:rsidRDefault="00F038DB" w:rsidP="001D1472">
            <w:pPr>
              <w:rPr>
                <w:rStyle w:val="nowrap"/>
                <w:rFonts w:cs="Times New Roman"/>
                <w:color w:val="000000"/>
                <w:shd w:val="clear" w:color="auto" w:fill="FFFFFF"/>
              </w:rPr>
            </w:pPr>
            <w:r w:rsidRPr="00F012F8">
              <w:rPr>
                <w:rStyle w:val="nowrap"/>
                <w:rFonts w:cs="Times New Roman"/>
                <w:color w:val="000000"/>
                <w:shd w:val="clear" w:color="auto" w:fill="FFFFFF"/>
              </w:rPr>
              <w:t>30-40% des adénomes hypophysaires</w:t>
            </w:r>
          </w:p>
          <w:p w:rsidR="00F038DB" w:rsidRPr="00F012F8" w:rsidRDefault="00F038DB" w:rsidP="00B00CD6">
            <w:pPr>
              <w:rPr>
                <w:rFonts w:cs="Times New Roman"/>
              </w:rPr>
            </w:pPr>
          </w:p>
        </w:tc>
      </w:tr>
      <w:tr w:rsidR="001D1472" w:rsidRPr="00F012F8" w:rsidTr="007218A5">
        <w:tc>
          <w:tcPr>
            <w:tcW w:w="2518" w:type="dxa"/>
          </w:tcPr>
          <w:p w:rsidR="001D1472" w:rsidRPr="00F012F8" w:rsidRDefault="001D1472" w:rsidP="007A3D83">
            <w:pPr>
              <w:rPr>
                <w:rFonts w:cs="Times New Roman"/>
              </w:rPr>
            </w:pPr>
            <w:r w:rsidRPr="00F012F8">
              <w:rPr>
                <w:rFonts w:cs="Times New Roman"/>
              </w:rPr>
              <w:t>Hypothyroïdie</w:t>
            </w:r>
          </w:p>
        </w:tc>
        <w:tc>
          <w:tcPr>
            <w:tcW w:w="4775" w:type="dxa"/>
          </w:tcPr>
          <w:p w:rsidR="001D1472" w:rsidRPr="00F012F8" w:rsidRDefault="000E5663" w:rsidP="009D1719">
            <w:pPr>
              <w:pStyle w:val="Paragraphedeliste"/>
              <w:numPr>
                <w:ilvl w:val="0"/>
                <w:numId w:val="168"/>
              </w:numPr>
              <w:rPr>
                <w:rFonts w:cs="Times New Roman"/>
              </w:rPr>
            </w:pPr>
            <w:r w:rsidRPr="00F012F8">
              <w:rPr>
                <w:rFonts w:cs="Times New Roman"/>
              </w:rPr>
              <w:t>Fatigue</w:t>
            </w:r>
          </w:p>
          <w:p w:rsidR="000E5663" w:rsidRPr="00F012F8" w:rsidRDefault="000E5663" w:rsidP="009D1719">
            <w:pPr>
              <w:pStyle w:val="Paragraphedeliste"/>
              <w:numPr>
                <w:ilvl w:val="0"/>
                <w:numId w:val="168"/>
              </w:numPr>
              <w:rPr>
                <w:rFonts w:cs="Times New Roman"/>
              </w:rPr>
            </w:pPr>
            <w:r w:rsidRPr="00F012F8">
              <w:rPr>
                <w:rFonts w:cs="Times New Roman"/>
              </w:rPr>
              <w:t>Constipation</w:t>
            </w:r>
          </w:p>
          <w:p w:rsidR="000E5663" w:rsidRPr="00F012F8" w:rsidRDefault="000E5663" w:rsidP="009D1719">
            <w:pPr>
              <w:pStyle w:val="Paragraphedeliste"/>
              <w:numPr>
                <w:ilvl w:val="0"/>
                <w:numId w:val="168"/>
              </w:numPr>
              <w:rPr>
                <w:rFonts w:cs="Times New Roman"/>
              </w:rPr>
            </w:pPr>
            <w:r w:rsidRPr="00F012F8">
              <w:rPr>
                <w:rFonts w:cs="Times New Roman"/>
              </w:rPr>
              <w:t>Intolérance au froid</w:t>
            </w:r>
          </w:p>
          <w:p w:rsidR="000E5663" w:rsidRPr="00F012F8" w:rsidRDefault="000E5663" w:rsidP="009D1719">
            <w:pPr>
              <w:pStyle w:val="Paragraphedeliste"/>
              <w:numPr>
                <w:ilvl w:val="0"/>
                <w:numId w:val="168"/>
              </w:numPr>
              <w:rPr>
                <w:rFonts w:cs="Times New Roman"/>
              </w:rPr>
            </w:pPr>
            <w:r w:rsidRPr="00F012F8">
              <w:rPr>
                <w:rFonts w:cs="Times New Roman"/>
              </w:rPr>
              <w:t>Prise de poids</w:t>
            </w:r>
          </w:p>
          <w:p w:rsidR="000E5663" w:rsidRPr="00F012F8" w:rsidRDefault="000E5663" w:rsidP="009D1719">
            <w:pPr>
              <w:pStyle w:val="Paragraphedeliste"/>
              <w:numPr>
                <w:ilvl w:val="0"/>
                <w:numId w:val="168"/>
              </w:numPr>
              <w:rPr>
                <w:rFonts w:cs="Times New Roman"/>
              </w:rPr>
            </w:pPr>
            <w:r w:rsidRPr="00F012F8">
              <w:rPr>
                <w:rFonts w:cs="Times New Roman"/>
              </w:rPr>
              <w:t>Oligoaménorrhée</w:t>
            </w:r>
          </w:p>
          <w:p w:rsidR="000E5663" w:rsidRPr="00F012F8" w:rsidRDefault="000E5663" w:rsidP="009D1719">
            <w:pPr>
              <w:pStyle w:val="Paragraphedeliste"/>
              <w:numPr>
                <w:ilvl w:val="0"/>
                <w:numId w:val="168"/>
              </w:numPr>
              <w:rPr>
                <w:rFonts w:cs="Times New Roman"/>
              </w:rPr>
            </w:pPr>
            <w:r w:rsidRPr="00F012F8">
              <w:rPr>
                <w:rFonts w:cs="Times New Roman"/>
              </w:rPr>
              <w:t>Peau sèche</w:t>
            </w:r>
          </w:p>
          <w:p w:rsidR="000E5663" w:rsidRPr="00F012F8" w:rsidRDefault="000E5663" w:rsidP="009D1719">
            <w:pPr>
              <w:pStyle w:val="Paragraphedeliste"/>
              <w:numPr>
                <w:ilvl w:val="0"/>
                <w:numId w:val="168"/>
              </w:numPr>
              <w:rPr>
                <w:rFonts w:cs="Times New Roman"/>
              </w:rPr>
            </w:pPr>
            <w:r w:rsidRPr="00F012F8">
              <w:rPr>
                <w:rFonts w:cs="Times New Roman"/>
              </w:rPr>
              <w:t>Goitre (parfois)</w:t>
            </w:r>
          </w:p>
          <w:p w:rsidR="007218A5" w:rsidRPr="00F012F8" w:rsidRDefault="007218A5" w:rsidP="009D1719">
            <w:pPr>
              <w:pStyle w:val="Paragraphedeliste"/>
              <w:numPr>
                <w:ilvl w:val="0"/>
                <w:numId w:val="168"/>
              </w:numPr>
              <w:rPr>
                <w:rFonts w:cs="Times New Roman"/>
              </w:rPr>
            </w:pPr>
            <w:r w:rsidRPr="00F012F8">
              <w:rPr>
                <w:rFonts w:cs="Times New Roman"/>
              </w:rPr>
              <w:t>Galactorrhée</w:t>
            </w:r>
          </w:p>
        </w:tc>
        <w:tc>
          <w:tcPr>
            <w:tcW w:w="3647" w:type="dxa"/>
          </w:tcPr>
          <w:p w:rsidR="001D1472" w:rsidRPr="00F012F8" w:rsidRDefault="000E5663" w:rsidP="00AC6ABD">
            <w:pPr>
              <w:rPr>
                <w:rFonts w:cs="Times New Roman"/>
              </w:rPr>
            </w:pPr>
            <w:r w:rsidRPr="00F012F8">
              <w:rPr>
                <w:rFonts w:cs="Times New Roman"/>
              </w:rPr>
              <w:t>Hyperplasie du tissu thyréotrope de l’hypophyse avec ↑ TRH, qui augmente la sécrétion de PRL</w:t>
            </w:r>
          </w:p>
        </w:tc>
      </w:tr>
      <w:tr w:rsidR="00184EB5" w:rsidRPr="00F012F8" w:rsidTr="007218A5">
        <w:tc>
          <w:tcPr>
            <w:tcW w:w="2518" w:type="dxa"/>
          </w:tcPr>
          <w:p w:rsidR="00184EB5" w:rsidRPr="00F012F8" w:rsidRDefault="00184EB5" w:rsidP="007A3D83">
            <w:pPr>
              <w:rPr>
                <w:rFonts w:cs="Times New Roman"/>
              </w:rPr>
            </w:pPr>
            <w:r w:rsidRPr="00F012F8">
              <w:rPr>
                <w:rFonts w:cs="Times New Roman"/>
              </w:rPr>
              <w:t>Galactorrhée médicamenteuse</w:t>
            </w:r>
          </w:p>
        </w:tc>
        <w:tc>
          <w:tcPr>
            <w:tcW w:w="4775" w:type="dxa"/>
          </w:tcPr>
          <w:p w:rsidR="00184EB5" w:rsidRPr="00F012F8" w:rsidRDefault="00184EB5" w:rsidP="007A3D83">
            <w:pPr>
              <w:pStyle w:val="Paragraphedeliste"/>
              <w:numPr>
                <w:ilvl w:val="0"/>
                <w:numId w:val="166"/>
              </w:numPr>
              <w:rPr>
                <w:rFonts w:cs="Times New Roman"/>
                <w:highlight w:val="yellow"/>
              </w:rPr>
            </w:pPr>
            <w:r w:rsidRPr="00F012F8">
              <w:rPr>
                <w:rFonts w:cs="Times New Roman"/>
                <w:highlight w:val="yellow"/>
              </w:rPr>
              <w:t>Aménorrhée</w:t>
            </w:r>
          </w:p>
          <w:p w:rsidR="00184EB5" w:rsidRPr="00F012F8" w:rsidRDefault="00184EB5" w:rsidP="007A3D83">
            <w:pPr>
              <w:pStyle w:val="Paragraphedeliste"/>
              <w:numPr>
                <w:ilvl w:val="0"/>
                <w:numId w:val="166"/>
              </w:numPr>
              <w:rPr>
                <w:rFonts w:cs="Times New Roman"/>
                <w:highlight w:val="yellow"/>
              </w:rPr>
            </w:pPr>
            <w:r w:rsidRPr="00F012F8">
              <w:rPr>
                <w:rFonts w:cs="Times New Roman"/>
                <w:highlight w:val="yellow"/>
              </w:rPr>
              <w:t>Galactorrhée</w:t>
            </w:r>
          </w:p>
          <w:p w:rsidR="00184EB5" w:rsidRPr="00F012F8" w:rsidRDefault="00184EB5" w:rsidP="007A3D83">
            <w:pPr>
              <w:pStyle w:val="Paragraphedeliste"/>
              <w:numPr>
                <w:ilvl w:val="0"/>
                <w:numId w:val="166"/>
              </w:numPr>
              <w:rPr>
                <w:rFonts w:cs="Times New Roman"/>
                <w:highlight w:val="yellow"/>
              </w:rPr>
            </w:pPr>
            <w:r w:rsidRPr="00F012F8">
              <w:rPr>
                <w:rFonts w:cs="Times New Roman"/>
                <w:highlight w:val="yellow"/>
              </w:rPr>
              <w:t>↓ libido et dysfonction érectile (homme)</w:t>
            </w:r>
          </w:p>
          <w:p w:rsidR="00184EB5" w:rsidRPr="00F012F8" w:rsidRDefault="00184EB5" w:rsidP="007A3D83">
            <w:pPr>
              <w:pStyle w:val="Paragraphedeliste"/>
              <w:numPr>
                <w:ilvl w:val="1"/>
                <w:numId w:val="165"/>
              </w:numPr>
              <w:rPr>
                <w:rFonts w:cs="Times New Roman"/>
                <w:highlight w:val="yellow"/>
                <w:u w:val="single"/>
              </w:rPr>
            </w:pPr>
            <w:r w:rsidRPr="00F012F8">
              <w:rPr>
                <w:rFonts w:cs="Times New Roman"/>
                <w:highlight w:val="yellow"/>
                <w:u w:val="single"/>
              </w:rPr>
              <w:t>Halopéridol</w:t>
            </w:r>
          </w:p>
          <w:p w:rsidR="00184EB5" w:rsidRPr="00F012F8" w:rsidRDefault="00184EB5" w:rsidP="007A3D83">
            <w:pPr>
              <w:pStyle w:val="Paragraphedeliste"/>
              <w:numPr>
                <w:ilvl w:val="1"/>
                <w:numId w:val="165"/>
              </w:numPr>
              <w:rPr>
                <w:rFonts w:cs="Times New Roman"/>
              </w:rPr>
            </w:pPr>
            <w:r w:rsidRPr="00F012F8">
              <w:rPr>
                <w:rFonts w:cs="Times New Roman"/>
              </w:rPr>
              <w:t>Fluphénazine</w:t>
            </w:r>
          </w:p>
          <w:p w:rsidR="00184EB5" w:rsidRPr="00F012F8" w:rsidRDefault="00184EB5" w:rsidP="007A3D83">
            <w:pPr>
              <w:pStyle w:val="Paragraphedeliste"/>
              <w:numPr>
                <w:ilvl w:val="1"/>
                <w:numId w:val="165"/>
              </w:numPr>
              <w:rPr>
                <w:rFonts w:cs="Times New Roman"/>
              </w:rPr>
            </w:pPr>
            <w:r w:rsidRPr="00F012F8">
              <w:rPr>
                <w:rFonts w:cs="Times New Roman"/>
              </w:rPr>
              <w:t>Palipéridone</w:t>
            </w:r>
          </w:p>
          <w:p w:rsidR="00184EB5" w:rsidRPr="00F012F8" w:rsidRDefault="00184EB5" w:rsidP="007A3D83">
            <w:pPr>
              <w:pStyle w:val="Paragraphedeliste"/>
              <w:numPr>
                <w:ilvl w:val="1"/>
                <w:numId w:val="165"/>
              </w:numPr>
              <w:rPr>
                <w:rFonts w:cs="Times New Roman"/>
                <w:highlight w:val="yellow"/>
                <w:u w:val="single"/>
              </w:rPr>
            </w:pPr>
            <w:r w:rsidRPr="00F012F8">
              <w:rPr>
                <w:rFonts w:cs="Times New Roman"/>
                <w:highlight w:val="yellow"/>
                <w:u w:val="single"/>
              </w:rPr>
              <w:t>Risperidone</w:t>
            </w:r>
          </w:p>
          <w:p w:rsidR="00184EB5" w:rsidRPr="00F012F8" w:rsidRDefault="00184EB5" w:rsidP="007A3D83">
            <w:pPr>
              <w:pStyle w:val="Paragraphedeliste"/>
              <w:numPr>
                <w:ilvl w:val="1"/>
                <w:numId w:val="165"/>
              </w:numPr>
              <w:rPr>
                <w:rFonts w:cs="Times New Roman"/>
              </w:rPr>
            </w:pPr>
            <w:r w:rsidRPr="00F012F8">
              <w:rPr>
                <w:rFonts w:cs="Times New Roman"/>
              </w:rPr>
              <w:t>Clomipramine</w:t>
            </w:r>
          </w:p>
          <w:p w:rsidR="00184EB5" w:rsidRPr="00F012F8" w:rsidRDefault="00184EB5" w:rsidP="007A3D83">
            <w:pPr>
              <w:pStyle w:val="Paragraphedeliste"/>
              <w:numPr>
                <w:ilvl w:val="1"/>
                <w:numId w:val="165"/>
              </w:numPr>
              <w:rPr>
                <w:rFonts w:cs="Times New Roman"/>
                <w:highlight w:val="yellow"/>
              </w:rPr>
            </w:pPr>
            <w:r w:rsidRPr="00F012F8">
              <w:rPr>
                <w:rFonts w:cs="Times New Roman"/>
                <w:highlight w:val="yellow"/>
              </w:rPr>
              <w:t>Métoclopramide</w:t>
            </w:r>
          </w:p>
          <w:p w:rsidR="00184EB5" w:rsidRPr="00F012F8" w:rsidRDefault="00184EB5" w:rsidP="007A3D83">
            <w:pPr>
              <w:pStyle w:val="Paragraphedeliste"/>
              <w:numPr>
                <w:ilvl w:val="1"/>
                <w:numId w:val="165"/>
              </w:numPr>
              <w:rPr>
                <w:rFonts w:cs="Times New Roman"/>
                <w:u w:val="single"/>
              </w:rPr>
            </w:pPr>
            <w:r w:rsidRPr="00F012F8">
              <w:rPr>
                <w:rFonts w:cs="Times New Roman"/>
                <w:highlight w:val="yellow"/>
                <w:u w:val="single"/>
              </w:rPr>
              <w:t>Dompéridone</w:t>
            </w:r>
          </w:p>
        </w:tc>
        <w:tc>
          <w:tcPr>
            <w:tcW w:w="3647" w:type="dxa"/>
          </w:tcPr>
          <w:p w:rsidR="00184EB5" w:rsidRPr="00F012F8" w:rsidRDefault="00184EB5" w:rsidP="007A3D83">
            <w:pPr>
              <w:rPr>
                <w:rStyle w:val="nowrap"/>
                <w:rFonts w:cs="Times New Roman"/>
                <w:color w:val="000000"/>
                <w:shd w:val="clear" w:color="auto" w:fill="FFFFFF"/>
              </w:rPr>
            </w:pPr>
            <w:r w:rsidRPr="00F012F8">
              <w:rPr>
                <w:rFonts w:cs="Times New Roman"/>
                <w:color w:val="000000"/>
                <w:shd w:val="clear" w:color="auto" w:fill="FFFFFF"/>
              </w:rPr>
              <w:t>Prolactinémie généralement dans un écart de 25 à 100</w:t>
            </w:r>
            <w:r w:rsidRPr="00F012F8">
              <w:rPr>
                <w:rStyle w:val="apple-converted-space"/>
                <w:rFonts w:cs="Times New Roman"/>
                <w:color w:val="000000"/>
                <w:shd w:val="clear" w:color="auto" w:fill="FFFFFF"/>
              </w:rPr>
              <w:t> </w:t>
            </w:r>
            <w:r w:rsidRPr="00F012F8">
              <w:rPr>
                <w:rStyle w:val="nowrap"/>
                <w:rFonts w:cs="Times New Roman"/>
                <w:color w:val="000000"/>
                <w:shd w:val="clear" w:color="auto" w:fill="FFFFFF"/>
              </w:rPr>
              <w:t>ng/mL</w:t>
            </w:r>
          </w:p>
          <w:p w:rsidR="00184EB5" w:rsidRPr="00F012F8" w:rsidRDefault="00184EB5" w:rsidP="007A3D83">
            <w:pPr>
              <w:rPr>
                <w:rStyle w:val="nowrap"/>
                <w:rFonts w:cs="Times New Roman"/>
                <w:color w:val="000000"/>
                <w:shd w:val="clear" w:color="auto" w:fill="FFFFFF"/>
              </w:rPr>
            </w:pPr>
          </w:p>
          <w:p w:rsidR="00184EB5" w:rsidRPr="00F012F8" w:rsidRDefault="00184EB5" w:rsidP="007A3D83">
            <w:pPr>
              <w:rPr>
                <w:rStyle w:val="nowrap"/>
                <w:rFonts w:cs="Times New Roman"/>
                <w:color w:val="000000"/>
                <w:shd w:val="clear" w:color="auto" w:fill="FFFFFF"/>
              </w:rPr>
            </w:pPr>
            <w:r w:rsidRPr="00F012F8">
              <w:rPr>
                <w:rStyle w:val="nowrap"/>
                <w:rFonts w:cs="Times New Roman"/>
                <w:color w:val="000000"/>
                <w:shd w:val="clear" w:color="auto" w:fill="FFFFFF"/>
              </w:rPr>
              <w:t>Liste importante de médicaments avec effet d’↑ PRL (ci-joint les + à risque)</w:t>
            </w:r>
          </w:p>
          <w:p w:rsidR="00184EB5" w:rsidRPr="00F012F8" w:rsidRDefault="00184EB5" w:rsidP="007A3D83">
            <w:pPr>
              <w:rPr>
                <w:rStyle w:val="nowrap"/>
                <w:rFonts w:cs="Times New Roman"/>
                <w:color w:val="000000"/>
                <w:shd w:val="clear" w:color="auto" w:fill="FFFFFF"/>
              </w:rPr>
            </w:pPr>
          </w:p>
          <w:p w:rsidR="00184EB5" w:rsidRPr="00F012F8" w:rsidRDefault="00184EB5" w:rsidP="007A3D83">
            <w:pPr>
              <w:rPr>
                <w:rFonts w:cs="Times New Roman"/>
              </w:rPr>
            </w:pPr>
            <w:r w:rsidRPr="00F012F8">
              <w:rPr>
                <w:rStyle w:val="nowrap"/>
                <w:rFonts w:cs="Times New Roman"/>
                <w:color w:val="000000"/>
                <w:shd w:val="clear" w:color="auto" w:fill="FFFFFF"/>
              </w:rPr>
              <w:t>Essentiellement effet antagoniste de la dopamine sur l’hypophyse</w:t>
            </w:r>
          </w:p>
        </w:tc>
      </w:tr>
      <w:tr w:rsidR="00184EB5" w:rsidRPr="00F012F8" w:rsidTr="007218A5">
        <w:tc>
          <w:tcPr>
            <w:tcW w:w="2518" w:type="dxa"/>
          </w:tcPr>
          <w:p w:rsidR="00184EB5" w:rsidRPr="00F012F8" w:rsidRDefault="00184EB5" w:rsidP="007A3D83">
            <w:pPr>
              <w:rPr>
                <w:rFonts w:cs="Times New Roman"/>
              </w:rPr>
            </w:pPr>
            <w:r w:rsidRPr="00F012F8">
              <w:rPr>
                <w:rFonts w:cs="Times New Roman"/>
              </w:rPr>
              <w:t>Galactorrhée idiopathique</w:t>
            </w:r>
          </w:p>
        </w:tc>
        <w:tc>
          <w:tcPr>
            <w:tcW w:w="4775" w:type="dxa"/>
          </w:tcPr>
          <w:p w:rsidR="00184EB5" w:rsidRPr="00F012F8" w:rsidRDefault="00184EB5" w:rsidP="009D1719">
            <w:pPr>
              <w:pStyle w:val="Paragraphedeliste"/>
              <w:numPr>
                <w:ilvl w:val="0"/>
                <w:numId w:val="169"/>
              </w:numPr>
              <w:rPr>
                <w:rFonts w:cs="Times New Roman"/>
              </w:rPr>
            </w:pPr>
            <w:r w:rsidRPr="00F012F8">
              <w:rPr>
                <w:rFonts w:cs="Times New Roman"/>
              </w:rPr>
              <w:t>Galactorrhée seule</w:t>
            </w:r>
          </w:p>
        </w:tc>
        <w:tc>
          <w:tcPr>
            <w:tcW w:w="3647" w:type="dxa"/>
          </w:tcPr>
          <w:p w:rsidR="00184EB5" w:rsidRPr="00F012F8" w:rsidRDefault="00184EB5" w:rsidP="00AC6ABD">
            <w:pPr>
              <w:rPr>
                <w:rFonts w:cs="Times New Roman"/>
              </w:rPr>
            </w:pPr>
            <w:r w:rsidRPr="00F012F8">
              <w:rPr>
                <w:rFonts w:cs="Times New Roman"/>
              </w:rPr>
              <w:t>Aucune cause identifiable, stable</w:t>
            </w:r>
          </w:p>
        </w:tc>
      </w:tr>
      <w:tr w:rsidR="00184EB5" w:rsidRPr="00F012F8" w:rsidTr="002A1F06">
        <w:tc>
          <w:tcPr>
            <w:tcW w:w="10940" w:type="dxa"/>
            <w:gridSpan w:val="3"/>
            <w:shd w:val="clear" w:color="auto" w:fill="CCC0D9" w:themeFill="accent4" w:themeFillTint="66"/>
          </w:tcPr>
          <w:p w:rsidR="00184EB5" w:rsidRPr="00F012F8" w:rsidRDefault="00184EB5" w:rsidP="00C21207">
            <w:pPr>
              <w:jc w:val="center"/>
              <w:rPr>
                <w:rFonts w:cs="Times New Roman"/>
              </w:rPr>
            </w:pPr>
            <w:r w:rsidRPr="00F012F8">
              <w:rPr>
                <w:rFonts w:cs="Times New Roman"/>
              </w:rPr>
              <w:t>Écoulement non laiteux</w:t>
            </w:r>
          </w:p>
        </w:tc>
      </w:tr>
      <w:tr w:rsidR="00184EB5" w:rsidRPr="00F012F8" w:rsidTr="007218A5">
        <w:tc>
          <w:tcPr>
            <w:tcW w:w="2518" w:type="dxa"/>
          </w:tcPr>
          <w:p w:rsidR="00184EB5" w:rsidRPr="00F012F8" w:rsidRDefault="00184EB5" w:rsidP="00F54098">
            <w:pPr>
              <w:jc w:val="center"/>
              <w:rPr>
                <w:rFonts w:cs="Times New Roman"/>
              </w:rPr>
            </w:pPr>
            <w:r w:rsidRPr="00F012F8">
              <w:rPr>
                <w:rFonts w:cs="Times New Roman"/>
              </w:rPr>
              <w:t>Diagnostic</w:t>
            </w:r>
          </w:p>
        </w:tc>
        <w:tc>
          <w:tcPr>
            <w:tcW w:w="4775" w:type="dxa"/>
          </w:tcPr>
          <w:p w:rsidR="00184EB5" w:rsidRPr="00F012F8" w:rsidRDefault="00184EB5" w:rsidP="00F54098">
            <w:pPr>
              <w:jc w:val="center"/>
              <w:rPr>
                <w:rFonts w:cs="Times New Roman"/>
              </w:rPr>
            </w:pPr>
            <w:r w:rsidRPr="00F012F8">
              <w:rPr>
                <w:rFonts w:cs="Times New Roman"/>
              </w:rPr>
              <w:t>Manifestations cliniques</w:t>
            </w:r>
          </w:p>
        </w:tc>
        <w:tc>
          <w:tcPr>
            <w:tcW w:w="3647" w:type="dxa"/>
          </w:tcPr>
          <w:p w:rsidR="00184EB5" w:rsidRPr="00F012F8" w:rsidRDefault="00184EB5" w:rsidP="00F54098">
            <w:pPr>
              <w:jc w:val="center"/>
              <w:rPr>
                <w:rFonts w:cs="Times New Roman"/>
              </w:rPr>
            </w:pPr>
            <w:r w:rsidRPr="00F012F8">
              <w:rPr>
                <w:rFonts w:cs="Times New Roman"/>
              </w:rPr>
              <w:t>Notes</w:t>
            </w:r>
          </w:p>
        </w:tc>
      </w:tr>
      <w:tr w:rsidR="00184EB5" w:rsidRPr="00F012F8" w:rsidTr="007218A5">
        <w:tc>
          <w:tcPr>
            <w:tcW w:w="2518" w:type="dxa"/>
          </w:tcPr>
          <w:p w:rsidR="00184EB5" w:rsidRPr="00F012F8" w:rsidRDefault="00184EB5" w:rsidP="00AC6ABD">
            <w:pPr>
              <w:rPr>
                <w:rFonts w:cs="Times New Roman"/>
              </w:rPr>
            </w:pPr>
            <w:r w:rsidRPr="00F012F8">
              <w:rPr>
                <w:rFonts w:cs="Times New Roman"/>
                <w:highlight w:val="yellow"/>
              </w:rPr>
              <w:t>Néoplasie mammaire</w:t>
            </w:r>
          </w:p>
        </w:tc>
        <w:tc>
          <w:tcPr>
            <w:tcW w:w="4775" w:type="dxa"/>
          </w:tcPr>
          <w:p w:rsidR="00184EB5" w:rsidRPr="00F012F8" w:rsidRDefault="00FD428F" w:rsidP="00FD428F">
            <w:pPr>
              <w:ind w:left="708"/>
              <w:rPr>
                <w:rFonts w:cs="Times New Roman"/>
                <w:i/>
              </w:rPr>
            </w:pPr>
            <w:r w:rsidRPr="00F012F8">
              <w:rPr>
                <w:rFonts w:cs="Times New Roman"/>
                <w:i/>
                <w:highlight w:val="yellow"/>
              </w:rPr>
              <w:t>*Voir Masse au sein (CMC 10-1)</w:t>
            </w:r>
          </w:p>
          <w:p w:rsidR="004C503E" w:rsidRPr="00F012F8" w:rsidRDefault="004C503E" w:rsidP="009D1719">
            <w:pPr>
              <w:pStyle w:val="Paragraphedeliste"/>
              <w:numPr>
                <w:ilvl w:val="0"/>
                <w:numId w:val="173"/>
              </w:numPr>
              <w:rPr>
                <w:rFonts w:cs="Times New Roman"/>
              </w:rPr>
            </w:pPr>
            <w:r w:rsidRPr="00F012F8">
              <w:rPr>
                <w:rFonts w:cs="Times New Roman"/>
              </w:rPr>
              <w:t xml:space="preserve">Lésions cutanées </w:t>
            </w:r>
            <w:r w:rsidRPr="00F012F8">
              <w:rPr>
                <w:rFonts w:cs="Times New Roman"/>
                <w:sz w:val="20"/>
                <w:szCs w:val="20"/>
              </w:rPr>
              <w:t>(eczéma, peau d’orange, ulcère)</w:t>
            </w:r>
          </w:p>
          <w:p w:rsidR="004C503E" w:rsidRPr="00F012F8" w:rsidRDefault="004C503E" w:rsidP="009D1719">
            <w:pPr>
              <w:pStyle w:val="Paragraphedeliste"/>
              <w:numPr>
                <w:ilvl w:val="0"/>
                <w:numId w:val="173"/>
              </w:numPr>
              <w:rPr>
                <w:rFonts w:cs="Times New Roman"/>
              </w:rPr>
            </w:pPr>
            <w:r w:rsidRPr="00F012F8">
              <w:rPr>
                <w:rFonts w:cs="Times New Roman"/>
              </w:rPr>
              <w:t>Érythème, œdème</w:t>
            </w:r>
          </w:p>
          <w:p w:rsidR="004C503E" w:rsidRPr="00F012F8" w:rsidRDefault="004C503E" w:rsidP="009D1719">
            <w:pPr>
              <w:pStyle w:val="Paragraphedeliste"/>
              <w:numPr>
                <w:ilvl w:val="0"/>
                <w:numId w:val="173"/>
              </w:numPr>
              <w:rPr>
                <w:rFonts w:cs="Times New Roman"/>
              </w:rPr>
            </w:pPr>
            <w:r w:rsidRPr="00F012F8">
              <w:rPr>
                <w:rFonts w:cs="Times New Roman"/>
              </w:rPr>
              <w:t>Lymphadénopathies</w:t>
            </w:r>
          </w:p>
          <w:p w:rsidR="004C503E" w:rsidRPr="00F012F8" w:rsidRDefault="004C503E" w:rsidP="009D1719">
            <w:pPr>
              <w:pStyle w:val="Paragraphedeliste"/>
              <w:numPr>
                <w:ilvl w:val="0"/>
                <w:numId w:val="173"/>
              </w:numPr>
              <w:rPr>
                <w:rFonts w:cs="Times New Roman"/>
              </w:rPr>
            </w:pPr>
            <w:r w:rsidRPr="00F012F8">
              <w:rPr>
                <w:rFonts w:cs="Times New Roman"/>
              </w:rPr>
              <w:t xml:space="preserve">Masse palpable </w:t>
            </w:r>
          </w:p>
          <w:p w:rsidR="004C503E" w:rsidRPr="00CF5283" w:rsidRDefault="004C503E" w:rsidP="00CF5283">
            <w:pPr>
              <w:pStyle w:val="Paragraphedeliste"/>
              <w:numPr>
                <w:ilvl w:val="0"/>
                <w:numId w:val="173"/>
              </w:numPr>
              <w:rPr>
                <w:rFonts w:cs="Times New Roman"/>
              </w:rPr>
            </w:pPr>
            <w:r w:rsidRPr="00F012F8">
              <w:rPr>
                <w:rFonts w:cs="Times New Roman"/>
              </w:rPr>
              <w:t>Écoulement unilatéral</w:t>
            </w:r>
            <w:r w:rsidR="00CF5283">
              <w:rPr>
                <w:rFonts w:cs="Times New Roman"/>
              </w:rPr>
              <w:t>, s</w:t>
            </w:r>
            <w:r w:rsidR="00CF5283" w:rsidRPr="00F012F8">
              <w:rPr>
                <w:rFonts w:cs="Times New Roman"/>
              </w:rPr>
              <w:t>érosanguin</w:t>
            </w:r>
          </w:p>
        </w:tc>
        <w:tc>
          <w:tcPr>
            <w:tcW w:w="3647" w:type="dxa"/>
          </w:tcPr>
          <w:p w:rsidR="00184EB5" w:rsidRPr="00F012F8" w:rsidRDefault="004C503E" w:rsidP="00AC6ABD">
            <w:pPr>
              <w:rPr>
                <w:rFonts w:cs="Times New Roman"/>
              </w:rPr>
            </w:pPr>
            <w:r w:rsidRPr="00F012F8">
              <w:rPr>
                <w:rFonts w:cs="Times New Roman"/>
              </w:rPr>
              <w:t>5-15 % d’écoulement pathologique</w:t>
            </w:r>
          </w:p>
        </w:tc>
      </w:tr>
      <w:tr w:rsidR="00184EB5" w:rsidRPr="00F012F8" w:rsidTr="007218A5">
        <w:tc>
          <w:tcPr>
            <w:tcW w:w="2518" w:type="dxa"/>
          </w:tcPr>
          <w:p w:rsidR="00184EB5" w:rsidRPr="00F012F8" w:rsidRDefault="00184EB5" w:rsidP="00AC6ABD">
            <w:pPr>
              <w:rPr>
                <w:rFonts w:cs="Times New Roman"/>
              </w:rPr>
            </w:pPr>
            <w:r w:rsidRPr="00F012F8">
              <w:rPr>
                <w:rFonts w:cs="Times New Roman"/>
                <w:highlight w:val="yellow"/>
              </w:rPr>
              <w:t>Papillome intra canalaire</w:t>
            </w:r>
          </w:p>
        </w:tc>
        <w:tc>
          <w:tcPr>
            <w:tcW w:w="4775" w:type="dxa"/>
          </w:tcPr>
          <w:p w:rsidR="00184EB5" w:rsidRPr="00F012F8" w:rsidRDefault="00507D41" w:rsidP="009D1719">
            <w:pPr>
              <w:pStyle w:val="Paragraphedeliste"/>
              <w:numPr>
                <w:ilvl w:val="0"/>
                <w:numId w:val="170"/>
              </w:numPr>
              <w:rPr>
                <w:rFonts w:cs="Times New Roman"/>
                <w:highlight w:val="yellow"/>
              </w:rPr>
            </w:pPr>
            <w:r w:rsidRPr="00F012F8">
              <w:rPr>
                <w:rFonts w:cs="Times New Roman"/>
                <w:highlight w:val="yellow"/>
              </w:rPr>
              <w:t>Écoulement unilatéral</w:t>
            </w:r>
            <w:r w:rsidR="00534161">
              <w:rPr>
                <w:rFonts w:cs="Times New Roman"/>
                <w:highlight w:val="yellow"/>
              </w:rPr>
              <w:t>, spontané</w:t>
            </w:r>
          </w:p>
          <w:p w:rsidR="00036B6B" w:rsidRPr="00F012F8" w:rsidRDefault="00036B6B" w:rsidP="009D1719">
            <w:pPr>
              <w:pStyle w:val="Paragraphedeliste"/>
              <w:numPr>
                <w:ilvl w:val="0"/>
                <w:numId w:val="170"/>
              </w:numPr>
              <w:rPr>
                <w:rFonts w:cs="Times New Roman"/>
                <w:highlight w:val="yellow"/>
              </w:rPr>
            </w:pPr>
            <w:r w:rsidRPr="00F012F8">
              <w:rPr>
                <w:rFonts w:cs="Times New Roman"/>
                <w:highlight w:val="yellow"/>
              </w:rPr>
              <w:t>Unicanalaire</w:t>
            </w:r>
          </w:p>
          <w:p w:rsidR="00507D41" w:rsidRPr="00F012F8" w:rsidRDefault="00507D41" w:rsidP="009D1719">
            <w:pPr>
              <w:pStyle w:val="Paragraphedeliste"/>
              <w:numPr>
                <w:ilvl w:val="0"/>
                <w:numId w:val="170"/>
              </w:numPr>
              <w:rPr>
                <w:rFonts w:cs="Times New Roman"/>
                <w:highlight w:val="yellow"/>
              </w:rPr>
            </w:pPr>
            <w:r w:rsidRPr="00F012F8">
              <w:rPr>
                <w:rFonts w:cs="Times New Roman"/>
                <w:highlight w:val="yellow"/>
              </w:rPr>
              <w:t>Sanguin</w:t>
            </w:r>
            <w:r w:rsidR="00036B6B" w:rsidRPr="00F012F8">
              <w:rPr>
                <w:rFonts w:cs="Times New Roman"/>
                <w:highlight w:val="yellow"/>
              </w:rPr>
              <w:t xml:space="preserve"> ou jaune séreux</w:t>
            </w:r>
          </w:p>
          <w:p w:rsidR="00507D41" w:rsidRPr="00F012F8" w:rsidRDefault="00507D41" w:rsidP="009D1719">
            <w:pPr>
              <w:pStyle w:val="Paragraphedeliste"/>
              <w:numPr>
                <w:ilvl w:val="0"/>
                <w:numId w:val="170"/>
              </w:numPr>
              <w:rPr>
                <w:rFonts w:cs="Times New Roman"/>
              </w:rPr>
            </w:pPr>
            <w:r w:rsidRPr="00F012F8">
              <w:rPr>
                <w:rFonts w:cs="Times New Roman"/>
              </w:rPr>
              <w:t>Parfois petite masse palpable au niveau d</w:t>
            </w:r>
            <w:r w:rsidR="00521D3A" w:rsidRPr="00F012F8">
              <w:rPr>
                <w:rFonts w:cs="Times New Roman"/>
              </w:rPr>
              <w:t xml:space="preserve">u </w:t>
            </w:r>
            <w:r w:rsidRPr="00F012F8">
              <w:rPr>
                <w:rFonts w:cs="Times New Roman"/>
              </w:rPr>
              <w:t>canal</w:t>
            </w:r>
          </w:p>
        </w:tc>
        <w:tc>
          <w:tcPr>
            <w:tcW w:w="3647" w:type="dxa"/>
          </w:tcPr>
          <w:p w:rsidR="00184EB5" w:rsidRPr="00F012F8" w:rsidRDefault="00036B6B" w:rsidP="00AC6ABD">
            <w:pPr>
              <w:rPr>
                <w:rFonts w:cs="Times New Roman"/>
              </w:rPr>
            </w:pPr>
            <w:r w:rsidRPr="00F012F8">
              <w:rPr>
                <w:rFonts w:cs="Times New Roman"/>
              </w:rPr>
              <w:t>Bénin</w:t>
            </w:r>
          </w:p>
          <w:p w:rsidR="00521D3A" w:rsidRPr="00F012F8" w:rsidRDefault="00521D3A" w:rsidP="00AC6ABD">
            <w:pPr>
              <w:rPr>
                <w:rFonts w:cs="Times New Roman"/>
                <w:highlight w:val="yellow"/>
              </w:rPr>
            </w:pPr>
            <w:r w:rsidRPr="00F012F8">
              <w:rPr>
                <w:rFonts w:cs="Times New Roman"/>
                <w:highlight w:val="yellow"/>
              </w:rPr>
              <w:t xml:space="preserve">52-57% des écoulements pathologiques </w:t>
            </w:r>
          </w:p>
          <w:p w:rsidR="004C503E" w:rsidRPr="00F012F8" w:rsidRDefault="00036B6B" w:rsidP="00AC6ABD">
            <w:pPr>
              <w:rPr>
                <w:rFonts w:cs="Times New Roman"/>
                <w:highlight w:val="yellow"/>
              </w:rPr>
            </w:pPr>
            <w:r w:rsidRPr="00F012F8">
              <w:rPr>
                <w:rFonts w:cs="Times New Roman"/>
                <w:highlight w:val="yellow"/>
              </w:rPr>
              <w:t>Présente parfois des cellules atypiques à risque de DCIS</w:t>
            </w:r>
          </w:p>
        </w:tc>
      </w:tr>
      <w:tr w:rsidR="00184EB5" w:rsidRPr="00F012F8" w:rsidTr="007218A5">
        <w:tc>
          <w:tcPr>
            <w:tcW w:w="2518" w:type="dxa"/>
          </w:tcPr>
          <w:p w:rsidR="00184EB5" w:rsidRPr="00F012F8" w:rsidRDefault="00184EB5" w:rsidP="00AC6ABD">
            <w:pPr>
              <w:rPr>
                <w:rFonts w:cs="Times New Roman"/>
              </w:rPr>
            </w:pPr>
            <w:r w:rsidRPr="00F012F8">
              <w:rPr>
                <w:rFonts w:cs="Times New Roman"/>
                <w:highlight w:val="yellow"/>
              </w:rPr>
              <w:t>Ectasie canalaire</w:t>
            </w:r>
          </w:p>
        </w:tc>
        <w:tc>
          <w:tcPr>
            <w:tcW w:w="4775" w:type="dxa"/>
          </w:tcPr>
          <w:p w:rsidR="00A263D2" w:rsidRDefault="00A263D2" w:rsidP="00534161">
            <w:pPr>
              <w:pStyle w:val="Paragraphedeliste"/>
              <w:numPr>
                <w:ilvl w:val="0"/>
                <w:numId w:val="171"/>
              </w:numPr>
              <w:rPr>
                <w:rFonts w:cs="Times New Roman"/>
                <w:highlight w:val="yellow"/>
              </w:rPr>
            </w:pPr>
            <w:r w:rsidRPr="00F012F8">
              <w:rPr>
                <w:rFonts w:cs="Times New Roman"/>
                <w:highlight w:val="yellow"/>
              </w:rPr>
              <w:t>Écoulement unilatéral</w:t>
            </w:r>
            <w:r w:rsidR="00534161">
              <w:rPr>
                <w:rFonts w:cs="Times New Roman"/>
                <w:highlight w:val="yellow"/>
              </w:rPr>
              <w:t>, s</w:t>
            </w:r>
            <w:r w:rsidRPr="00534161">
              <w:rPr>
                <w:rFonts w:cs="Times New Roman"/>
                <w:highlight w:val="yellow"/>
              </w:rPr>
              <w:t>ouvent unicanalaire</w:t>
            </w:r>
          </w:p>
          <w:p w:rsidR="00534161" w:rsidRPr="00534161" w:rsidRDefault="00534161" w:rsidP="00534161">
            <w:pPr>
              <w:pStyle w:val="Paragraphedeliste"/>
              <w:numPr>
                <w:ilvl w:val="0"/>
                <w:numId w:val="171"/>
              </w:numPr>
              <w:rPr>
                <w:rFonts w:cs="Times New Roman"/>
                <w:highlight w:val="yellow"/>
              </w:rPr>
            </w:pPr>
            <w:r>
              <w:rPr>
                <w:rFonts w:cs="Times New Roman"/>
                <w:highlight w:val="yellow"/>
              </w:rPr>
              <w:t>Écoulement provoqué</w:t>
            </w:r>
          </w:p>
          <w:p w:rsidR="00A263D2" w:rsidRPr="00F012F8" w:rsidRDefault="00A263D2" w:rsidP="009D1719">
            <w:pPr>
              <w:pStyle w:val="Paragraphedeliste"/>
              <w:numPr>
                <w:ilvl w:val="0"/>
                <w:numId w:val="171"/>
              </w:numPr>
              <w:rPr>
                <w:rFonts w:cs="Times New Roman"/>
                <w:highlight w:val="yellow"/>
              </w:rPr>
            </w:pPr>
            <w:r w:rsidRPr="00F012F8">
              <w:rPr>
                <w:rFonts w:cs="Times New Roman"/>
                <w:highlight w:val="yellow"/>
              </w:rPr>
              <w:t>Vert, brun, noir, …</w:t>
            </w:r>
          </w:p>
          <w:p w:rsidR="00A263D2" w:rsidRPr="00F012F8" w:rsidRDefault="00A263D2" w:rsidP="009D1719">
            <w:pPr>
              <w:pStyle w:val="Paragraphedeliste"/>
              <w:numPr>
                <w:ilvl w:val="0"/>
                <w:numId w:val="171"/>
              </w:numPr>
              <w:rPr>
                <w:rFonts w:cs="Times New Roman"/>
              </w:rPr>
            </w:pPr>
            <w:r w:rsidRPr="00F012F8">
              <w:rPr>
                <w:rFonts w:cs="Times New Roman"/>
              </w:rPr>
              <w:t>Épais, laiteux</w:t>
            </w:r>
          </w:p>
          <w:p w:rsidR="00A263D2" w:rsidRPr="00F012F8" w:rsidRDefault="00A263D2" w:rsidP="009D1719">
            <w:pPr>
              <w:pStyle w:val="Paragraphedeliste"/>
              <w:numPr>
                <w:ilvl w:val="0"/>
                <w:numId w:val="171"/>
              </w:numPr>
              <w:rPr>
                <w:rFonts w:cs="Times New Roman"/>
              </w:rPr>
            </w:pPr>
            <w:r w:rsidRPr="00F012F8">
              <w:rPr>
                <w:rFonts w:cs="Times New Roman"/>
              </w:rPr>
              <w:t>Masse parfois palpable</w:t>
            </w:r>
          </w:p>
        </w:tc>
        <w:tc>
          <w:tcPr>
            <w:tcW w:w="3647" w:type="dxa"/>
          </w:tcPr>
          <w:p w:rsidR="00184EB5" w:rsidRPr="00F012F8" w:rsidRDefault="00A263D2" w:rsidP="00AC6ABD">
            <w:pPr>
              <w:rPr>
                <w:rFonts w:cs="Times New Roman"/>
              </w:rPr>
            </w:pPr>
            <w:r w:rsidRPr="00F012F8">
              <w:rPr>
                <w:rFonts w:cs="Times New Roman"/>
              </w:rPr>
              <w:t>Bénin</w:t>
            </w:r>
          </w:p>
          <w:p w:rsidR="00A263D2" w:rsidRPr="00F012F8" w:rsidRDefault="00A263D2" w:rsidP="00A263D2">
            <w:pPr>
              <w:rPr>
                <w:rFonts w:cs="Times New Roman"/>
              </w:rPr>
            </w:pPr>
            <w:r w:rsidRPr="00F012F8">
              <w:rPr>
                <w:rFonts w:cs="Times New Roman"/>
              </w:rPr>
              <w:t>Épaississement et inflammation des parois du canal avec rétention</w:t>
            </w:r>
          </w:p>
        </w:tc>
      </w:tr>
      <w:tr w:rsidR="00184EB5" w:rsidRPr="00F012F8" w:rsidTr="007218A5">
        <w:tc>
          <w:tcPr>
            <w:tcW w:w="2518" w:type="dxa"/>
          </w:tcPr>
          <w:p w:rsidR="00184EB5" w:rsidRPr="00F012F8" w:rsidRDefault="00FD428F" w:rsidP="00AC6ABD">
            <w:pPr>
              <w:rPr>
                <w:rFonts w:cs="Times New Roman"/>
              </w:rPr>
            </w:pPr>
            <w:r w:rsidRPr="00F012F8">
              <w:rPr>
                <w:rFonts w:cs="Times New Roman"/>
              </w:rPr>
              <w:t>Mastite / Abcès</w:t>
            </w:r>
          </w:p>
        </w:tc>
        <w:tc>
          <w:tcPr>
            <w:tcW w:w="4775" w:type="dxa"/>
          </w:tcPr>
          <w:p w:rsidR="00184EB5" w:rsidRPr="00F012F8" w:rsidRDefault="004C503E" w:rsidP="009D1719">
            <w:pPr>
              <w:pStyle w:val="Paragraphedeliste"/>
              <w:numPr>
                <w:ilvl w:val="0"/>
                <w:numId w:val="172"/>
              </w:numPr>
              <w:rPr>
                <w:rFonts w:cs="Times New Roman"/>
              </w:rPr>
            </w:pPr>
            <w:r w:rsidRPr="00F012F8">
              <w:rPr>
                <w:rFonts w:cs="Times New Roman"/>
              </w:rPr>
              <w:t>Douleur unilatérale localisée</w:t>
            </w:r>
            <w:r w:rsidR="00124714">
              <w:rPr>
                <w:rFonts w:cs="Times New Roman"/>
              </w:rPr>
              <w:t>, érythème</w:t>
            </w:r>
          </w:p>
          <w:p w:rsidR="004C503E" w:rsidRPr="00F012F8" w:rsidRDefault="004C503E" w:rsidP="009D1719">
            <w:pPr>
              <w:pStyle w:val="Paragraphedeliste"/>
              <w:numPr>
                <w:ilvl w:val="0"/>
                <w:numId w:val="172"/>
              </w:numPr>
              <w:rPr>
                <w:rFonts w:cs="Times New Roman"/>
              </w:rPr>
            </w:pPr>
            <w:r w:rsidRPr="00F012F8">
              <w:rPr>
                <w:rFonts w:cs="Times New Roman"/>
              </w:rPr>
              <w:t>Masse sous-aréolaire/péricanalaire (abcès)</w:t>
            </w:r>
          </w:p>
          <w:p w:rsidR="004C503E" w:rsidRPr="00F012F8" w:rsidRDefault="004C503E" w:rsidP="009D1719">
            <w:pPr>
              <w:pStyle w:val="Paragraphedeliste"/>
              <w:numPr>
                <w:ilvl w:val="0"/>
                <w:numId w:val="172"/>
              </w:numPr>
              <w:rPr>
                <w:rFonts w:cs="Times New Roman"/>
              </w:rPr>
            </w:pPr>
            <w:r w:rsidRPr="00F012F8">
              <w:rPr>
                <w:rFonts w:cs="Times New Roman"/>
              </w:rPr>
              <w:t>Déformation</w:t>
            </w:r>
          </w:p>
          <w:p w:rsidR="004C503E" w:rsidRPr="00F012F8" w:rsidRDefault="004C503E" w:rsidP="009D1719">
            <w:pPr>
              <w:pStyle w:val="Paragraphedeliste"/>
              <w:numPr>
                <w:ilvl w:val="0"/>
                <w:numId w:val="172"/>
              </w:numPr>
              <w:rPr>
                <w:rFonts w:cs="Times New Roman"/>
              </w:rPr>
            </w:pPr>
            <w:r w:rsidRPr="00F012F8">
              <w:rPr>
                <w:rFonts w:cs="Times New Roman"/>
              </w:rPr>
              <w:t>Fièvre</w:t>
            </w:r>
          </w:p>
        </w:tc>
        <w:tc>
          <w:tcPr>
            <w:tcW w:w="3647" w:type="dxa"/>
          </w:tcPr>
          <w:p w:rsidR="00184EB5" w:rsidRPr="00F012F8" w:rsidRDefault="004C503E" w:rsidP="00AC6ABD">
            <w:pPr>
              <w:rPr>
                <w:rFonts w:cs="Times New Roman"/>
              </w:rPr>
            </w:pPr>
            <w:r w:rsidRPr="00F012F8">
              <w:rPr>
                <w:rFonts w:cs="Times New Roman"/>
              </w:rPr>
              <w:t>Bien évaluer la lésion</w:t>
            </w:r>
          </w:p>
          <w:p w:rsidR="004C503E" w:rsidRPr="00F012F8" w:rsidRDefault="004C503E" w:rsidP="00AC6ABD">
            <w:pPr>
              <w:rPr>
                <w:rFonts w:cs="Times New Roman"/>
              </w:rPr>
            </w:pPr>
            <w:r w:rsidRPr="00F012F8">
              <w:rPr>
                <w:rFonts w:cs="Times New Roman"/>
              </w:rPr>
              <w:t>Éliminer cancer inflammatoire</w:t>
            </w:r>
          </w:p>
        </w:tc>
      </w:tr>
      <w:tr w:rsidR="00124714" w:rsidRPr="00F012F8" w:rsidTr="001660C1">
        <w:tc>
          <w:tcPr>
            <w:tcW w:w="2518" w:type="dxa"/>
          </w:tcPr>
          <w:p w:rsidR="00124714" w:rsidRPr="00F012F8" w:rsidRDefault="00124714" w:rsidP="00CF5283">
            <w:pPr>
              <w:jc w:val="center"/>
              <w:rPr>
                <w:rFonts w:cs="Times New Roman"/>
              </w:rPr>
            </w:pPr>
            <w:r>
              <w:rPr>
                <w:rFonts w:cs="Times New Roman"/>
              </w:rPr>
              <w:t>Maladie fibrokystique du sein</w:t>
            </w:r>
          </w:p>
        </w:tc>
        <w:tc>
          <w:tcPr>
            <w:tcW w:w="8422" w:type="dxa"/>
            <w:gridSpan w:val="2"/>
          </w:tcPr>
          <w:p w:rsidR="00124714" w:rsidRPr="00124714" w:rsidRDefault="00124714" w:rsidP="00124714">
            <w:pPr>
              <w:jc w:val="center"/>
              <w:rPr>
                <w:rFonts w:cs="Times New Roman"/>
                <w:i/>
              </w:rPr>
            </w:pPr>
            <w:r w:rsidRPr="00124714">
              <w:rPr>
                <w:rFonts w:cs="Times New Roman"/>
                <w:i/>
              </w:rPr>
              <w:t>Voir Masse au sein CMC 10-1</w:t>
            </w:r>
          </w:p>
        </w:tc>
      </w:tr>
    </w:tbl>
    <w:p w:rsidR="00D571F5" w:rsidRPr="00D571F5" w:rsidRDefault="00D571F5" w:rsidP="00AC6ABD">
      <w:pPr>
        <w:rPr>
          <w:rFonts w:cs="Times New Roman"/>
          <w:b/>
          <w:sz w:val="28"/>
          <w:szCs w:val="28"/>
        </w:rPr>
      </w:pPr>
      <w:r>
        <w:rPr>
          <w:rFonts w:cs="Times New Roman"/>
          <w:b/>
          <w:sz w:val="28"/>
          <w:szCs w:val="28"/>
        </w:rPr>
        <w:lastRenderedPageBreak/>
        <w:t>Investigation</w:t>
      </w:r>
    </w:p>
    <w:p w:rsidR="00876C90" w:rsidRPr="00F012F8" w:rsidRDefault="00054C98" w:rsidP="00AC6ABD">
      <w:pPr>
        <w:rPr>
          <w:rFonts w:cs="Times New Roman"/>
        </w:rPr>
      </w:pPr>
      <w:r w:rsidRPr="00F012F8">
        <w:rPr>
          <w:rFonts w:cs="Times New Roman"/>
          <w:noProof/>
          <w:lang w:eastAsia="fr-CA"/>
        </w:rPr>
        <w:drawing>
          <wp:anchor distT="0" distB="0" distL="114300" distR="114300" simplePos="0" relativeHeight="251706368" behindDoc="0" locked="0" layoutInCell="1" allowOverlap="1" wp14:anchorId="79688727" wp14:editId="3A15CDA4">
            <wp:simplePos x="0" y="0"/>
            <wp:positionH relativeFrom="column">
              <wp:posOffset>4165006</wp:posOffset>
            </wp:positionH>
            <wp:positionV relativeFrom="paragraph">
              <wp:posOffset>-462645</wp:posOffset>
            </wp:positionV>
            <wp:extent cx="2844800" cy="2540635"/>
            <wp:effectExtent l="0" t="0" r="0" b="0"/>
            <wp:wrapNone/>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lactine.PNG"/>
                    <pic:cNvPicPr/>
                  </pic:nvPicPr>
                  <pic:blipFill>
                    <a:blip r:embed="rId53">
                      <a:extLst>
                        <a:ext uri="{28A0092B-C50C-407E-A947-70E740481C1C}">
                          <a14:useLocalDpi xmlns:a14="http://schemas.microsoft.com/office/drawing/2010/main" val="0"/>
                        </a:ext>
                      </a:extLst>
                    </a:blip>
                    <a:stretch>
                      <a:fillRect/>
                    </a:stretch>
                  </pic:blipFill>
                  <pic:spPr>
                    <a:xfrm>
                      <a:off x="0" y="0"/>
                      <a:ext cx="2844800" cy="2540635"/>
                    </a:xfrm>
                    <a:prstGeom prst="rect">
                      <a:avLst/>
                    </a:prstGeom>
                  </pic:spPr>
                </pic:pic>
              </a:graphicData>
            </a:graphic>
            <wp14:sizeRelH relativeFrom="page">
              <wp14:pctWidth>0</wp14:pctWidth>
            </wp14:sizeRelH>
            <wp14:sizeRelV relativeFrom="page">
              <wp14:pctHeight>0</wp14:pctHeight>
            </wp14:sizeRelV>
          </wp:anchor>
        </w:drawing>
      </w:r>
      <w:r w:rsidR="00D76AA2" w:rsidRPr="00F012F8">
        <w:rPr>
          <w:rFonts w:cs="Times New Roman"/>
          <w:u w:val="single"/>
        </w:rPr>
        <w:t>Laboratoires</w:t>
      </w:r>
      <w:r w:rsidR="00D76AA2" w:rsidRPr="00F012F8">
        <w:rPr>
          <w:rFonts w:cs="Times New Roman"/>
        </w:rPr>
        <w:t xml:space="preserve"> : </w:t>
      </w:r>
    </w:p>
    <w:p w:rsidR="00D76AA2" w:rsidRPr="00F012F8" w:rsidRDefault="00D76AA2" w:rsidP="00AC6ABD">
      <w:pPr>
        <w:rPr>
          <w:rFonts w:cs="Times New Roman"/>
          <w:u w:val="single"/>
        </w:rPr>
      </w:pPr>
      <w:r w:rsidRPr="00F012F8">
        <w:rPr>
          <w:rFonts w:cs="Times New Roman"/>
        </w:rPr>
        <w:t xml:space="preserve">FSC, </w:t>
      </w:r>
      <w:r w:rsidRPr="00F012F8">
        <w:rPr>
          <w:rFonts w:cs="Times New Roman"/>
          <w:highlight w:val="yellow"/>
        </w:rPr>
        <w:t>PRL</w:t>
      </w:r>
      <w:r w:rsidR="008211F8" w:rsidRPr="00F012F8">
        <w:rPr>
          <w:rFonts w:cs="Times New Roman"/>
          <w:highlight w:val="yellow"/>
        </w:rPr>
        <w:t>, TSH</w:t>
      </w:r>
      <w:r w:rsidR="008211F8" w:rsidRPr="00F012F8">
        <w:rPr>
          <w:rFonts w:cs="Times New Roman"/>
        </w:rPr>
        <w:t>, β-HCG→ si suspicion de mastite ou d’hyper</w:t>
      </w:r>
      <w:r w:rsidR="00876C90" w:rsidRPr="00F012F8">
        <w:rPr>
          <w:rFonts w:cs="Times New Roman"/>
        </w:rPr>
        <w:t>PRL</w:t>
      </w:r>
    </w:p>
    <w:p w:rsidR="00945839" w:rsidRPr="00865BCD" w:rsidRDefault="00865BCD" w:rsidP="00865BCD">
      <w:pPr>
        <w:rPr>
          <w:rFonts w:cs="Times New Roman"/>
          <w:u w:val="single"/>
        </w:rPr>
      </w:pPr>
      <w:r w:rsidRPr="00865BCD">
        <w:rPr>
          <w:rFonts w:cs="Times New Roman"/>
          <w:u w:val="single"/>
        </w:rPr>
        <w:t>Imagerie et biopsies/cytologie</w:t>
      </w:r>
    </w:p>
    <w:p w:rsidR="00AC6ABD" w:rsidRDefault="00945839" w:rsidP="00865BCD">
      <w:pPr>
        <w:ind w:left="708"/>
        <w:rPr>
          <w:rFonts w:cs="Times New Roman"/>
          <w:i/>
        </w:rPr>
      </w:pPr>
      <w:r w:rsidRPr="00F012F8">
        <w:rPr>
          <w:rFonts w:cs="Times New Roman"/>
          <w:i/>
        </w:rPr>
        <w:t>(</w:t>
      </w:r>
      <w:r w:rsidR="00876C90" w:rsidRPr="00F012F8">
        <w:rPr>
          <w:rFonts w:cs="Times New Roman"/>
          <w:i/>
        </w:rPr>
        <w:t>Voir</w:t>
      </w:r>
      <w:r w:rsidRPr="00F012F8">
        <w:rPr>
          <w:rFonts w:cs="Times New Roman"/>
          <w:i/>
        </w:rPr>
        <w:t xml:space="preserve"> Masse </w:t>
      </w:r>
      <w:r w:rsidR="00876C90" w:rsidRPr="00F012F8">
        <w:rPr>
          <w:rFonts w:cs="Times New Roman"/>
          <w:i/>
        </w:rPr>
        <w:t>au sein</w:t>
      </w:r>
      <w:r w:rsidRPr="00F012F8">
        <w:rPr>
          <w:rFonts w:cs="Times New Roman"/>
          <w:i/>
        </w:rPr>
        <w:t xml:space="preserve"> sein CMC 10-1)</w:t>
      </w:r>
    </w:p>
    <w:p w:rsidR="00D571F5" w:rsidRDefault="00D571F5" w:rsidP="00D571F5">
      <w:pPr>
        <w:rPr>
          <w:rFonts w:cs="Times New Roman"/>
        </w:rPr>
      </w:pPr>
      <w:r w:rsidRPr="00F012F8">
        <w:rPr>
          <w:rFonts w:cs="Times New Roman"/>
          <w:u w:val="single"/>
        </w:rPr>
        <w:t>IRM de la selle turcique</w:t>
      </w:r>
      <w:r w:rsidRPr="00F012F8">
        <w:rPr>
          <w:rFonts w:cs="Times New Roman"/>
        </w:rPr>
        <w:t xml:space="preserve"> </w:t>
      </w:r>
    </w:p>
    <w:p w:rsidR="00D571F5" w:rsidRPr="00D571F5" w:rsidRDefault="00D571F5" w:rsidP="00D571F5">
      <w:pPr>
        <w:rPr>
          <w:rFonts w:cs="Times New Roman"/>
        </w:rPr>
      </w:pPr>
      <w:r w:rsidRPr="00F012F8">
        <w:rPr>
          <w:rFonts w:cs="Times New Roman"/>
        </w:rPr>
        <w:t>→ recherche d’adén</w:t>
      </w:r>
      <w:r>
        <w:rPr>
          <w:rFonts w:cs="Times New Roman"/>
        </w:rPr>
        <w:t>ome hypophysaire / prolactinome</w:t>
      </w:r>
    </w:p>
    <w:p w:rsidR="008778FA" w:rsidRPr="00F012F8" w:rsidRDefault="00AC6ABD">
      <w:pPr>
        <w:rPr>
          <w:rFonts w:cs="Times New Roman"/>
          <w:b/>
          <w:sz w:val="28"/>
          <w:szCs w:val="28"/>
        </w:rPr>
      </w:pPr>
      <w:r w:rsidRPr="00F012F8">
        <w:rPr>
          <w:rFonts w:cs="Times New Roman"/>
          <w:b/>
          <w:sz w:val="28"/>
          <w:szCs w:val="28"/>
        </w:rPr>
        <w:t>Prise en charge</w:t>
      </w:r>
    </w:p>
    <w:p w:rsidR="00D03E90" w:rsidRPr="00F012F8" w:rsidRDefault="00D03E90">
      <w:pPr>
        <w:rPr>
          <w:rFonts w:cs="Times New Roman"/>
        </w:rPr>
      </w:pPr>
      <w:r w:rsidRPr="00F012F8">
        <w:rPr>
          <w:rFonts w:cs="Times New Roman"/>
          <w:u w:val="single"/>
        </w:rPr>
        <w:t>Hyperprolactinémie physiologique ou idiopathique</w:t>
      </w:r>
      <w:r w:rsidR="00F74E9E" w:rsidRPr="00F012F8">
        <w:rPr>
          <w:rFonts w:cs="Times New Roman"/>
        </w:rPr>
        <w:t xml:space="preserve"> → expectative</w:t>
      </w:r>
      <w:r w:rsidR="00085DD5" w:rsidRPr="00F012F8">
        <w:rPr>
          <w:rFonts w:cs="Times New Roman"/>
        </w:rPr>
        <w:t xml:space="preserve">, suivi PRL q 1an, </w:t>
      </w:r>
      <w:r w:rsidR="00EB6CF8" w:rsidRPr="00F012F8">
        <w:rPr>
          <w:rFonts w:cs="Times New Roman"/>
        </w:rPr>
        <w:t xml:space="preserve">si </w:t>
      </w:r>
      <w:r w:rsidR="002C5E41" w:rsidRPr="00F012F8">
        <w:rPr>
          <w:rFonts w:cs="Times New Roman"/>
        </w:rPr>
        <w:t>très Sx</w:t>
      </w:r>
      <w:r w:rsidR="009D1719" w:rsidRPr="00F012F8">
        <w:rPr>
          <w:rFonts w:cs="Times New Roman"/>
        </w:rPr>
        <w:t xml:space="preserve"> utiliser cabergoline</w:t>
      </w:r>
    </w:p>
    <w:p w:rsidR="00D03E90" w:rsidRPr="00F012F8" w:rsidRDefault="00D03E90">
      <w:pPr>
        <w:rPr>
          <w:rFonts w:cs="Times New Roman"/>
          <w:u w:val="single"/>
        </w:rPr>
      </w:pPr>
      <w:r w:rsidRPr="00F012F8">
        <w:rPr>
          <w:rFonts w:cs="Times New Roman"/>
          <w:u w:val="single"/>
        </w:rPr>
        <w:t>Prolactinome</w:t>
      </w:r>
      <w:r w:rsidR="002C5E41" w:rsidRPr="00F012F8">
        <w:rPr>
          <w:rFonts w:cs="Times New Roman"/>
          <w:u w:val="single"/>
        </w:rPr>
        <w:t xml:space="preserve"> </w:t>
      </w:r>
    </w:p>
    <w:p w:rsidR="002C5E41" w:rsidRPr="00F012F8" w:rsidRDefault="002C5E41" w:rsidP="009D1719">
      <w:pPr>
        <w:pStyle w:val="Paragraphedeliste"/>
        <w:numPr>
          <w:ilvl w:val="0"/>
          <w:numId w:val="178"/>
        </w:numPr>
        <w:rPr>
          <w:rFonts w:cs="Times New Roman"/>
          <w:color w:val="000000"/>
          <w:highlight w:val="yellow"/>
          <w:shd w:val="clear" w:color="auto" w:fill="FFFFFF"/>
        </w:rPr>
      </w:pPr>
      <w:r w:rsidRPr="00F012F8">
        <w:rPr>
          <w:rFonts w:cs="Times New Roman"/>
          <w:color w:val="000000"/>
          <w:highlight w:val="yellow"/>
          <w:shd w:val="clear" w:color="auto" w:fill="FFFFFF"/>
        </w:rPr>
        <w:t>Cabergoline 0,25 mg PO 2x/sem ou PO 0,5 mg q 7 jours ou bromocriptine 1,25 mg DIE (si souhait de grossesse)</w:t>
      </w:r>
    </w:p>
    <w:p w:rsidR="002C5E41" w:rsidRPr="00F012F8" w:rsidRDefault="002C5E41" w:rsidP="009D1719">
      <w:pPr>
        <w:pStyle w:val="Paragraphedeliste"/>
        <w:numPr>
          <w:ilvl w:val="0"/>
          <w:numId w:val="178"/>
        </w:numPr>
        <w:rPr>
          <w:rFonts w:cs="Times New Roman"/>
          <w:color w:val="000000"/>
          <w:highlight w:val="yellow"/>
          <w:shd w:val="clear" w:color="auto" w:fill="FFFFFF"/>
        </w:rPr>
      </w:pPr>
      <w:r w:rsidRPr="00F012F8">
        <w:rPr>
          <w:rFonts w:cs="Times New Roman"/>
          <w:color w:val="000000"/>
          <w:highlight w:val="yellow"/>
          <w:shd w:val="clear" w:color="auto" w:fill="FFFFFF"/>
        </w:rPr>
        <w:t>Titrer selon la réponse</w:t>
      </w:r>
      <w:r w:rsidR="009D1719" w:rsidRPr="00F012F8">
        <w:rPr>
          <w:rFonts w:cs="Times New Roman"/>
          <w:color w:val="000000"/>
          <w:highlight w:val="yellow"/>
          <w:shd w:val="clear" w:color="auto" w:fill="FFFFFF"/>
        </w:rPr>
        <w:t xml:space="preserve"> de la prolactinémie et les symptômes</w:t>
      </w:r>
    </w:p>
    <w:p w:rsidR="002C5E41" w:rsidRPr="00F012F8" w:rsidRDefault="002C5E41" w:rsidP="009D1719">
      <w:pPr>
        <w:pStyle w:val="Paragraphedeliste"/>
        <w:numPr>
          <w:ilvl w:val="0"/>
          <w:numId w:val="178"/>
        </w:numPr>
        <w:rPr>
          <w:rFonts w:cs="Times New Roman"/>
          <w:u w:val="single"/>
        </w:rPr>
      </w:pPr>
      <w:r w:rsidRPr="00F012F8">
        <w:rPr>
          <w:rFonts w:cs="Times New Roman"/>
          <w:color w:val="000000"/>
          <w:shd w:val="clear" w:color="auto" w:fill="FFFFFF"/>
        </w:rPr>
        <w:t>Résection transphénoïdale à considérer si échec au traitement symptomatique</w:t>
      </w:r>
      <w:r w:rsidR="00A03B8A" w:rsidRPr="00F012F8">
        <w:rPr>
          <w:rFonts w:cs="Times New Roman"/>
          <w:color w:val="000000"/>
          <w:shd w:val="clear" w:color="auto" w:fill="FFFFFF"/>
        </w:rPr>
        <w:t xml:space="preserve"> médical</w:t>
      </w:r>
    </w:p>
    <w:p w:rsidR="00D03E90" w:rsidRPr="00F012F8" w:rsidRDefault="00D03E90">
      <w:pPr>
        <w:rPr>
          <w:rFonts w:cs="Times New Roman"/>
          <w:u w:val="single"/>
        </w:rPr>
      </w:pPr>
      <w:r w:rsidRPr="00F012F8">
        <w:rPr>
          <w:rFonts w:cs="Times New Roman"/>
          <w:u w:val="single"/>
        </w:rPr>
        <w:t>Hypothyroïdie</w:t>
      </w:r>
    </w:p>
    <w:p w:rsidR="00D03E90" w:rsidRPr="00F012F8" w:rsidRDefault="00BA6ADF" w:rsidP="009D1719">
      <w:pPr>
        <w:pStyle w:val="Paragraphedeliste"/>
        <w:numPr>
          <w:ilvl w:val="0"/>
          <w:numId w:val="179"/>
        </w:numPr>
        <w:rPr>
          <w:rFonts w:cs="Times New Roman"/>
        </w:rPr>
      </w:pPr>
      <w:r w:rsidRPr="00F012F8">
        <w:rPr>
          <w:rFonts w:cs="Times New Roman"/>
        </w:rPr>
        <w:t>Lévothyroxine</w:t>
      </w:r>
      <w:r w:rsidR="00D72FCC" w:rsidRPr="00F012F8">
        <w:rPr>
          <w:rFonts w:cs="Times New Roman"/>
        </w:rPr>
        <w:t> </w:t>
      </w:r>
      <w:r w:rsidR="00527123" w:rsidRPr="00F012F8">
        <w:rPr>
          <w:rFonts w:cs="Times New Roman"/>
        </w:rPr>
        <w:t>→</w:t>
      </w:r>
      <w:r w:rsidRPr="00F012F8">
        <w:rPr>
          <w:rFonts w:cs="Times New Roman"/>
        </w:rPr>
        <w:t xml:space="preserve"> la correction de l’hypo</w:t>
      </w:r>
      <w:r w:rsidR="00D72FCC" w:rsidRPr="00F012F8">
        <w:rPr>
          <w:rFonts w:cs="Times New Roman"/>
        </w:rPr>
        <w:t>T</w:t>
      </w:r>
      <w:r w:rsidR="00D72FCC" w:rsidRPr="00F012F8">
        <w:rPr>
          <w:rFonts w:cs="Times New Roman"/>
          <w:vertAlign w:val="subscript"/>
        </w:rPr>
        <w:t>4</w:t>
      </w:r>
      <w:r w:rsidRPr="00F012F8">
        <w:rPr>
          <w:rFonts w:cs="Times New Roman"/>
        </w:rPr>
        <w:t xml:space="preserve"> normalise la PRN</w:t>
      </w:r>
    </w:p>
    <w:p w:rsidR="00D03E90" w:rsidRPr="00F012F8" w:rsidRDefault="00D03E90">
      <w:pPr>
        <w:rPr>
          <w:rFonts w:cs="Times New Roman"/>
          <w:u w:val="single"/>
        </w:rPr>
      </w:pPr>
      <w:r w:rsidRPr="00F012F8">
        <w:rPr>
          <w:rFonts w:cs="Times New Roman"/>
          <w:u w:val="single"/>
        </w:rPr>
        <w:t>Galactorrhée médicamenteuse</w:t>
      </w:r>
    </w:p>
    <w:p w:rsidR="002124ED" w:rsidRPr="00F012F8" w:rsidRDefault="002124ED" w:rsidP="009D1719">
      <w:pPr>
        <w:pStyle w:val="Paragraphedeliste"/>
        <w:numPr>
          <w:ilvl w:val="0"/>
          <w:numId w:val="180"/>
        </w:numPr>
        <w:rPr>
          <w:rFonts w:cs="Times New Roman"/>
        </w:rPr>
      </w:pPr>
      <w:r w:rsidRPr="00F012F8">
        <w:rPr>
          <w:rFonts w:cs="Times New Roman"/>
        </w:rPr>
        <w:t>Explication au patient de l’effet secondaire</w:t>
      </w:r>
    </w:p>
    <w:p w:rsidR="0067515D" w:rsidRPr="00F012F8" w:rsidRDefault="0067515D" w:rsidP="009D1719">
      <w:pPr>
        <w:pStyle w:val="Paragraphedeliste"/>
        <w:numPr>
          <w:ilvl w:val="0"/>
          <w:numId w:val="180"/>
        </w:numPr>
        <w:rPr>
          <w:rFonts w:cs="Times New Roman"/>
        </w:rPr>
      </w:pPr>
      <w:r w:rsidRPr="00F012F8">
        <w:rPr>
          <w:rFonts w:cs="Times New Roman"/>
        </w:rPr>
        <w:t>Changement ou réduction de la dose du médicament causal</w:t>
      </w:r>
    </w:p>
    <w:p w:rsidR="00D03E90" w:rsidRPr="00F012F8" w:rsidRDefault="00865BCD">
      <w:pPr>
        <w:rPr>
          <w:rFonts w:cs="Times New Roman"/>
          <w:u w:val="single"/>
        </w:rPr>
      </w:pPr>
      <w:r w:rsidRPr="00F012F8">
        <w:rPr>
          <w:rFonts w:cs="Times New Roman"/>
          <w:noProof/>
          <w:u w:val="single"/>
          <w:lang w:eastAsia="fr-CA"/>
        </w:rPr>
        <w:drawing>
          <wp:anchor distT="0" distB="0" distL="114300" distR="114300" simplePos="0" relativeHeight="251708416" behindDoc="0" locked="0" layoutInCell="1" allowOverlap="1" wp14:anchorId="717EEAC3" wp14:editId="2D01210B">
            <wp:simplePos x="0" y="0"/>
            <wp:positionH relativeFrom="column">
              <wp:posOffset>3771900</wp:posOffset>
            </wp:positionH>
            <wp:positionV relativeFrom="paragraph">
              <wp:posOffset>132080</wp:posOffset>
            </wp:positionV>
            <wp:extent cx="3226435" cy="2320925"/>
            <wp:effectExtent l="0" t="0" r="0" b="3175"/>
            <wp:wrapNone/>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Écoulement algo.PNG"/>
                    <pic:cNvPicPr/>
                  </pic:nvPicPr>
                  <pic:blipFill rotWithShape="1">
                    <a:blip r:embed="rId54">
                      <a:extLst>
                        <a:ext uri="{28A0092B-C50C-407E-A947-70E740481C1C}">
                          <a14:useLocalDpi xmlns:a14="http://schemas.microsoft.com/office/drawing/2010/main" val="0"/>
                        </a:ext>
                      </a:extLst>
                    </a:blip>
                    <a:srcRect b="2116"/>
                    <a:stretch/>
                  </pic:blipFill>
                  <pic:spPr bwMode="auto">
                    <a:xfrm>
                      <a:off x="0" y="0"/>
                      <a:ext cx="3226435" cy="23209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03E90" w:rsidRPr="00F012F8">
        <w:rPr>
          <w:rFonts w:cs="Times New Roman"/>
          <w:u w:val="single"/>
        </w:rPr>
        <w:t>Papillome intra canalaire</w:t>
      </w:r>
    </w:p>
    <w:p w:rsidR="002124ED" w:rsidRPr="00F012F8" w:rsidRDefault="002124ED" w:rsidP="009D1719">
      <w:pPr>
        <w:pStyle w:val="Paragraphedeliste"/>
        <w:numPr>
          <w:ilvl w:val="0"/>
          <w:numId w:val="181"/>
        </w:numPr>
        <w:rPr>
          <w:rFonts w:cs="Times New Roman"/>
          <w:highlight w:val="yellow"/>
        </w:rPr>
      </w:pPr>
      <w:r w:rsidRPr="00F012F8">
        <w:rPr>
          <w:rFonts w:cs="Times New Roman"/>
          <w:highlight w:val="yellow"/>
        </w:rPr>
        <w:t>Référence en chirurgie + pour excision</w:t>
      </w:r>
    </w:p>
    <w:p w:rsidR="00D03E90" w:rsidRPr="00F012F8" w:rsidRDefault="00D03E90">
      <w:pPr>
        <w:rPr>
          <w:rFonts w:cs="Times New Roman"/>
          <w:u w:val="single"/>
        </w:rPr>
      </w:pPr>
      <w:r w:rsidRPr="00F012F8">
        <w:rPr>
          <w:rFonts w:cs="Times New Roman"/>
          <w:u w:val="single"/>
        </w:rPr>
        <w:t>Ectasie canalaire</w:t>
      </w:r>
    </w:p>
    <w:p w:rsidR="00D03E90" w:rsidRPr="00F012F8" w:rsidRDefault="002124ED" w:rsidP="009D1719">
      <w:pPr>
        <w:pStyle w:val="Paragraphedeliste"/>
        <w:numPr>
          <w:ilvl w:val="0"/>
          <w:numId w:val="181"/>
        </w:numPr>
        <w:rPr>
          <w:rFonts w:cs="Times New Roman"/>
        </w:rPr>
      </w:pPr>
      <w:r w:rsidRPr="00F012F8">
        <w:rPr>
          <w:rFonts w:cs="Times New Roman"/>
        </w:rPr>
        <w:t>Référence en chirurgie + pour excision du canal en cause</w:t>
      </w:r>
    </w:p>
    <w:p w:rsidR="00D03E90" w:rsidRPr="00F012F8" w:rsidRDefault="00D03E90">
      <w:pPr>
        <w:rPr>
          <w:rFonts w:cs="Times New Roman"/>
          <w:u w:val="single"/>
        </w:rPr>
      </w:pPr>
      <w:r w:rsidRPr="00F012F8">
        <w:rPr>
          <w:rFonts w:cs="Times New Roman"/>
          <w:u w:val="single"/>
        </w:rPr>
        <w:t>Mastite / Abcès</w:t>
      </w:r>
    </w:p>
    <w:p w:rsidR="002124ED" w:rsidRPr="00F012F8" w:rsidRDefault="002124ED" w:rsidP="009D1719">
      <w:pPr>
        <w:pStyle w:val="Paragraphedeliste"/>
        <w:numPr>
          <w:ilvl w:val="0"/>
          <w:numId w:val="182"/>
        </w:numPr>
        <w:rPr>
          <w:rFonts w:cs="Times New Roman"/>
          <w:highlight w:val="yellow"/>
        </w:rPr>
      </w:pPr>
      <w:r w:rsidRPr="00F012F8">
        <w:rPr>
          <w:rFonts w:cs="Times New Roman"/>
          <w:highlight w:val="yellow"/>
        </w:rPr>
        <w:t>Aspiration à l’aiguille du contenu de l’abcès</w:t>
      </w:r>
    </w:p>
    <w:p w:rsidR="002124ED" w:rsidRPr="00F012F8" w:rsidRDefault="002124ED" w:rsidP="009D1719">
      <w:pPr>
        <w:pStyle w:val="Paragraphedeliste"/>
        <w:numPr>
          <w:ilvl w:val="0"/>
          <w:numId w:val="182"/>
        </w:numPr>
        <w:rPr>
          <w:rFonts w:cs="Times New Roman"/>
          <w:highlight w:val="yellow"/>
        </w:rPr>
      </w:pPr>
      <w:r w:rsidRPr="00F012F8">
        <w:rPr>
          <w:rFonts w:cs="Times New Roman"/>
          <w:highlight w:val="yellow"/>
        </w:rPr>
        <w:t xml:space="preserve">Antibiothérapie selon le germe en cause </w:t>
      </w:r>
    </w:p>
    <w:p w:rsidR="002124ED" w:rsidRPr="00F012F8" w:rsidRDefault="002124ED" w:rsidP="009D1719">
      <w:pPr>
        <w:pStyle w:val="Paragraphedeliste"/>
        <w:numPr>
          <w:ilvl w:val="0"/>
          <w:numId w:val="182"/>
        </w:numPr>
        <w:rPr>
          <w:rFonts w:cs="Times New Roman"/>
          <w:highlight w:val="yellow"/>
        </w:rPr>
      </w:pPr>
      <w:r w:rsidRPr="00F012F8">
        <w:rPr>
          <w:rFonts w:cs="Times New Roman"/>
          <w:highlight w:val="yellow"/>
        </w:rPr>
        <w:t>Référence en chirurgie pour drainage</w:t>
      </w:r>
    </w:p>
    <w:p w:rsidR="00D03E90" w:rsidRPr="00F012F8" w:rsidRDefault="00D03E90">
      <w:pPr>
        <w:rPr>
          <w:rFonts w:cs="Times New Roman"/>
        </w:rPr>
      </w:pPr>
      <w:r w:rsidRPr="00F012F8">
        <w:rPr>
          <w:rFonts w:cs="Times New Roman"/>
          <w:u w:val="single"/>
        </w:rPr>
        <w:t>Néoplasie</w:t>
      </w:r>
      <w:r w:rsidRPr="00F012F8">
        <w:rPr>
          <w:rFonts w:cs="Times New Roman"/>
        </w:rPr>
        <w:t xml:space="preserve"> → </w:t>
      </w:r>
      <w:r w:rsidRPr="00F012F8">
        <w:rPr>
          <w:rFonts w:cs="Times New Roman"/>
          <w:i/>
          <w:highlight w:val="yellow"/>
        </w:rPr>
        <w:t>Voir Masse au sein CMC 10-1</w:t>
      </w:r>
      <w:r w:rsidR="002A0866" w:rsidRPr="00F012F8">
        <w:rPr>
          <w:rFonts w:cs="Times New Roman"/>
          <w:i/>
          <w:highlight w:val="yellow"/>
        </w:rPr>
        <w:t xml:space="preserve"> </w:t>
      </w:r>
      <w:r w:rsidRPr="00F012F8">
        <w:rPr>
          <w:rFonts w:cs="Times New Roman"/>
          <w:i/>
          <w:highlight w:val="yellow"/>
        </w:rPr>
        <w:t>(prise en charge)</w:t>
      </w:r>
    </w:p>
    <w:p w:rsidR="00D03E90" w:rsidRPr="00F012F8" w:rsidRDefault="002A0866" w:rsidP="009D1719">
      <w:pPr>
        <w:pStyle w:val="Paragraphedeliste"/>
        <w:numPr>
          <w:ilvl w:val="0"/>
          <w:numId w:val="183"/>
        </w:numPr>
        <w:rPr>
          <w:rFonts w:cs="Times New Roman"/>
        </w:rPr>
      </w:pPr>
      <w:r w:rsidRPr="00F012F8">
        <w:rPr>
          <w:rFonts w:cs="Times New Roman"/>
        </w:rPr>
        <w:t>Inclut un bilan d’ex</w:t>
      </w:r>
      <w:r w:rsidR="009D1719" w:rsidRPr="00F012F8">
        <w:rPr>
          <w:rFonts w:cs="Times New Roman"/>
        </w:rPr>
        <w:t>tension si suspicion de métastas</w:t>
      </w:r>
      <w:r w:rsidRPr="00F012F8">
        <w:rPr>
          <w:rFonts w:cs="Times New Roman"/>
        </w:rPr>
        <w:t>es</w:t>
      </w:r>
    </w:p>
    <w:p w:rsidR="002A0866" w:rsidRPr="00F012F8" w:rsidRDefault="002A0866">
      <w:pPr>
        <w:rPr>
          <w:rFonts w:eastAsiaTheme="majorEastAsia" w:cs="Times New Roman"/>
          <w:b/>
          <w:bCs/>
          <w:color w:val="4F81BD" w:themeColor="accent1"/>
        </w:rPr>
      </w:pPr>
      <w:r w:rsidRPr="00F012F8">
        <w:rPr>
          <w:rFonts w:cs="Times New Roman"/>
        </w:rPr>
        <w:br w:type="page"/>
      </w:r>
    </w:p>
    <w:p w:rsidR="000F76F0" w:rsidRPr="00F62E2A" w:rsidRDefault="000F76F0" w:rsidP="00F62E2A">
      <w:pPr>
        <w:pStyle w:val="Sansinterligne"/>
        <w:rPr>
          <w:rFonts w:cs="Times New Roman"/>
          <w:b/>
          <w:color w:val="548DD4" w:themeColor="text2" w:themeTint="99"/>
        </w:rPr>
      </w:pPr>
      <w:r w:rsidRPr="00F62E2A">
        <w:rPr>
          <w:rFonts w:cs="Times New Roman"/>
          <w:b/>
          <w:color w:val="548DD4" w:themeColor="text2" w:themeTint="99"/>
        </w:rPr>
        <w:lastRenderedPageBreak/>
        <w:t>CMC 10-3</w:t>
      </w:r>
    </w:p>
    <w:p w:rsidR="000F76F0" w:rsidRPr="00F012F8" w:rsidRDefault="000F76F0" w:rsidP="000F76F0">
      <w:pPr>
        <w:pStyle w:val="Titre3"/>
        <w:spacing w:before="0"/>
        <w:rPr>
          <w:rFonts w:ascii="Times New Roman" w:hAnsi="Times New Roman" w:cs="Times New Roman"/>
        </w:rPr>
      </w:pPr>
      <w:bookmarkStart w:id="41" w:name="_Toc480797271"/>
      <w:r w:rsidRPr="00F012F8">
        <w:rPr>
          <w:rFonts w:ascii="Times New Roman" w:hAnsi="Times New Roman" w:cs="Times New Roman"/>
        </w:rPr>
        <w:t>Gynécomastie</w:t>
      </w:r>
      <w:bookmarkEnd w:id="41"/>
    </w:p>
    <w:tbl>
      <w:tblPr>
        <w:tblW w:w="5000" w:type="pct"/>
        <w:tblCellSpacing w:w="0" w:type="dxa"/>
        <w:tblCellMar>
          <w:left w:w="0" w:type="dxa"/>
          <w:right w:w="0" w:type="dxa"/>
        </w:tblCellMar>
        <w:tblLook w:val="04A0" w:firstRow="1" w:lastRow="0" w:firstColumn="1" w:lastColumn="0" w:noHBand="0" w:noVBand="1"/>
      </w:tblPr>
      <w:tblGrid>
        <w:gridCol w:w="10759"/>
        <w:gridCol w:w="41"/>
      </w:tblGrid>
      <w:tr w:rsidR="000F76F0" w:rsidRPr="00F012F8" w:rsidTr="000F76F0">
        <w:trPr>
          <w:tblCellSpacing w:w="0" w:type="dxa"/>
        </w:trPr>
        <w:tc>
          <w:tcPr>
            <w:tcW w:w="0" w:type="auto"/>
            <w:vAlign w:val="bottom"/>
            <w:hideMark/>
          </w:tcPr>
          <w:bookmarkStart w:id="42" w:name="_Toc474266697"/>
          <w:bookmarkStart w:id="43" w:name="_Toc474274452"/>
          <w:bookmarkStart w:id="44" w:name="_Toc474769816"/>
          <w:bookmarkStart w:id="45" w:name="_Toc475198200"/>
          <w:bookmarkStart w:id="46" w:name="_Toc475563825"/>
          <w:p w:rsidR="000F76F0" w:rsidRPr="00EB0C1F" w:rsidRDefault="000F76F0" w:rsidP="00EB0C1F">
            <w:pPr>
              <w:pStyle w:val="Sansinterligne"/>
              <w:spacing w:before="240"/>
              <w:rPr>
                <w:b/>
                <w:sz w:val="18"/>
                <w:szCs w:val="18"/>
              </w:rPr>
            </w:pPr>
            <w:r w:rsidRPr="00EB0C1F">
              <w:rPr>
                <w:b/>
                <w:noProof/>
                <w:sz w:val="18"/>
                <w:szCs w:val="18"/>
                <w:lang w:eastAsia="fr-CA"/>
              </w:rPr>
              <mc:AlternateContent>
                <mc:Choice Requires="wps">
                  <w:drawing>
                    <wp:anchor distT="0" distB="0" distL="114300" distR="114300" simplePos="0" relativeHeight="251701248" behindDoc="0" locked="0" layoutInCell="1" allowOverlap="1" wp14:anchorId="1F5D738C" wp14:editId="5F267F73">
                      <wp:simplePos x="0" y="0"/>
                      <wp:positionH relativeFrom="column">
                        <wp:posOffset>-52754</wp:posOffset>
                      </wp:positionH>
                      <wp:positionV relativeFrom="paragraph">
                        <wp:posOffset>10307</wp:posOffset>
                      </wp:positionV>
                      <wp:extent cx="7016262" cy="2620107"/>
                      <wp:effectExtent l="0" t="0" r="13335" b="27940"/>
                      <wp:wrapNone/>
                      <wp:docPr id="18" name="Rectangle 18"/>
                      <wp:cNvGraphicFramePr/>
                      <a:graphic xmlns:a="http://schemas.openxmlformats.org/drawingml/2006/main">
                        <a:graphicData uri="http://schemas.microsoft.com/office/word/2010/wordprocessingShape">
                          <wps:wsp>
                            <wps:cNvSpPr/>
                            <wps:spPr>
                              <a:xfrm>
                                <a:off x="0" y="0"/>
                                <a:ext cx="7016262" cy="2620107"/>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18" o:spid="_x0000_s1026" style="position:absolute;margin-left:-4.15pt;margin-top:.8pt;width:552.45pt;height:206.3pt;z-index:2517012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" filled="f" strokecolor="black [1600]" strokeweight="2pt"/>
                  </w:pict>
                </mc:Fallback>
              </mc:AlternateContent>
            </w:r>
            <w:r w:rsidRPr="00EB0C1F">
              <w:rPr>
                <w:b/>
                <w:sz w:val="18"/>
                <w:szCs w:val="18"/>
              </w:rPr>
              <w:t>Objectifs principaux</w:t>
            </w:r>
            <w:bookmarkEnd w:id="42"/>
            <w:bookmarkEnd w:id="43"/>
            <w:bookmarkEnd w:id="44"/>
            <w:bookmarkEnd w:id="45"/>
            <w:bookmarkEnd w:id="46"/>
          </w:p>
        </w:tc>
        <w:tc>
          <w:tcPr>
            <w:tcW w:w="0" w:type="auto"/>
            <w:vAlign w:val="bottom"/>
            <w:hideMark/>
          </w:tcPr>
          <w:p w:rsidR="000F76F0" w:rsidRPr="00F012F8" w:rsidRDefault="000F76F0">
            <w:pPr>
              <w:jc w:val="right"/>
              <w:rPr>
                <w:rFonts w:cs="Times New Roman"/>
                <w:color w:val="000000"/>
                <w:sz w:val="18"/>
                <w:szCs w:val="18"/>
              </w:rPr>
            </w:pPr>
          </w:p>
        </w:tc>
      </w:tr>
    </w:tbl>
    <w:p w:rsidR="000F76F0" w:rsidRPr="00F012F8" w:rsidRDefault="000F76F0" w:rsidP="000F76F0">
      <w:pPr>
        <w:pStyle w:val="NormalWeb"/>
        <w:spacing w:after="0" w:afterAutospacing="0"/>
        <w:ind w:left="360"/>
        <w:rPr>
          <w:color w:val="000000"/>
          <w:sz w:val="18"/>
          <w:szCs w:val="18"/>
          <w:shd w:val="clear" w:color="auto" w:fill="FFFFFF"/>
        </w:rPr>
      </w:pPr>
      <w:r w:rsidRPr="00F012F8">
        <w:rPr>
          <w:color w:val="000000"/>
          <w:sz w:val="18"/>
          <w:szCs w:val="18"/>
          <w:shd w:val="clear" w:color="auto" w:fill="FFFFFF"/>
        </w:rPr>
        <w:t>Dans le cas d'un patient présentant une gynécomastie, le candidat devra en diagnostiquer la cause, la gravité et les complications, et mettre en place un plan de prise en charge approprié. Il devra en outre distinguer une gynécomastie d'un carcinome mammaire.</w:t>
      </w:r>
    </w:p>
    <w:tbl>
      <w:tblPr>
        <w:tblW w:w="3702" w:type="pct"/>
        <w:tblCellSpacing w:w="0" w:type="dxa"/>
        <w:tblCellMar>
          <w:left w:w="0" w:type="dxa"/>
          <w:right w:w="0" w:type="dxa"/>
        </w:tblCellMar>
        <w:tblLook w:val="04A0" w:firstRow="1" w:lastRow="0" w:firstColumn="1" w:lastColumn="0" w:noHBand="0" w:noVBand="1"/>
      </w:tblPr>
      <w:tblGrid>
        <w:gridCol w:w="7996"/>
      </w:tblGrid>
      <w:tr w:rsidR="002D21F1" w:rsidRPr="00F012F8" w:rsidTr="002D21F1">
        <w:trPr>
          <w:tblCellSpacing w:w="0" w:type="dxa"/>
        </w:trPr>
        <w:tc>
          <w:tcPr>
            <w:tcW w:w="0" w:type="auto"/>
            <w:vAlign w:val="bottom"/>
            <w:hideMark/>
          </w:tcPr>
          <w:p w:rsidR="002D21F1" w:rsidRPr="00EB0C1F" w:rsidRDefault="002D21F1" w:rsidP="00EB0C1F">
            <w:pPr>
              <w:pStyle w:val="Sansinterligne"/>
              <w:spacing w:before="240"/>
              <w:rPr>
                <w:b/>
                <w:sz w:val="16"/>
                <w:szCs w:val="16"/>
              </w:rPr>
            </w:pPr>
            <w:bookmarkStart w:id="47" w:name="_Toc474266698"/>
            <w:bookmarkStart w:id="48" w:name="_Toc474274453"/>
            <w:bookmarkStart w:id="49" w:name="_Toc474769817"/>
            <w:bookmarkStart w:id="50" w:name="_Toc475198201"/>
            <w:bookmarkStart w:id="51" w:name="_Toc475563826"/>
            <w:r w:rsidRPr="00EB0C1F">
              <w:rPr>
                <w:b/>
                <w:sz w:val="16"/>
                <w:szCs w:val="16"/>
              </w:rPr>
              <w:t>Objectifs spécifiques</w:t>
            </w:r>
            <w:bookmarkEnd w:id="47"/>
            <w:bookmarkEnd w:id="48"/>
            <w:bookmarkEnd w:id="49"/>
            <w:bookmarkEnd w:id="50"/>
            <w:bookmarkEnd w:id="51"/>
          </w:p>
        </w:tc>
      </w:tr>
    </w:tbl>
    <w:p w:rsidR="000F76F0" w:rsidRPr="00F012F8" w:rsidRDefault="000F76F0" w:rsidP="000F76F0">
      <w:pPr>
        <w:pStyle w:val="NormalWeb"/>
        <w:shd w:val="clear" w:color="auto" w:fill="FFFFFF"/>
        <w:ind w:left="360"/>
        <w:rPr>
          <w:color w:val="000000"/>
          <w:sz w:val="16"/>
          <w:szCs w:val="16"/>
          <w:shd w:val="clear" w:color="auto" w:fill="FFFFFF"/>
        </w:rPr>
      </w:pPr>
      <w:r w:rsidRPr="00F012F8">
        <w:rPr>
          <w:color w:val="000000"/>
          <w:sz w:val="16"/>
          <w:szCs w:val="16"/>
          <w:shd w:val="clear" w:color="auto" w:fill="FFFFFF"/>
        </w:rPr>
        <w:t>Dans le cas d'un patient présentant une gynécomastie, le candidat devra</w:t>
      </w:r>
    </w:p>
    <w:p w:rsidR="000F76F0" w:rsidRPr="00F012F8" w:rsidRDefault="000F76F0" w:rsidP="00D02E37">
      <w:pPr>
        <w:numPr>
          <w:ilvl w:val="0"/>
          <w:numId w:val="143"/>
        </w:numPr>
        <w:shd w:val="clear" w:color="auto" w:fill="FFFFFF"/>
        <w:spacing w:before="100" w:beforeAutospacing="1" w:after="100" w:afterAutospacing="1" w:line="240" w:lineRule="auto"/>
        <w:rPr>
          <w:rFonts w:cs="Times New Roman"/>
          <w:color w:val="000000"/>
          <w:sz w:val="16"/>
          <w:szCs w:val="16"/>
          <w:shd w:val="clear" w:color="auto" w:fill="FFFFFF"/>
        </w:rPr>
      </w:pPr>
      <w:r w:rsidRPr="00F012F8">
        <w:rPr>
          <w:rFonts w:cs="Times New Roman"/>
          <w:color w:val="000000"/>
          <w:sz w:val="16"/>
          <w:szCs w:val="16"/>
          <w:shd w:val="clear" w:color="auto" w:fill="FFFFFF"/>
        </w:rPr>
        <w:t>énumérer et interpréter les constatations cliniques cruciales, notamment :</w:t>
      </w:r>
    </w:p>
    <w:p w:rsidR="000F76F0" w:rsidRPr="00F012F8" w:rsidRDefault="000F76F0" w:rsidP="00D02E37">
      <w:pPr>
        <w:numPr>
          <w:ilvl w:val="1"/>
          <w:numId w:val="143"/>
        </w:numPr>
        <w:shd w:val="clear" w:color="auto" w:fill="FFFFFF"/>
        <w:spacing w:before="100" w:beforeAutospacing="1" w:after="100" w:afterAutospacing="1" w:line="240" w:lineRule="auto"/>
        <w:rPr>
          <w:rFonts w:cs="Times New Roman"/>
          <w:color w:val="000000"/>
          <w:sz w:val="16"/>
          <w:szCs w:val="16"/>
          <w:shd w:val="clear" w:color="auto" w:fill="FFFFFF"/>
        </w:rPr>
      </w:pPr>
      <w:r w:rsidRPr="00F012F8">
        <w:rPr>
          <w:rFonts w:cs="Times New Roman"/>
          <w:color w:val="000000"/>
          <w:sz w:val="16"/>
          <w:szCs w:val="16"/>
          <w:shd w:val="clear" w:color="auto" w:fill="FFFFFF"/>
        </w:rPr>
        <w:t>déterminer si le patient a besoin d'examens plus poussés;</w:t>
      </w:r>
    </w:p>
    <w:p w:rsidR="000F76F0" w:rsidRPr="00F012F8" w:rsidRDefault="000F76F0" w:rsidP="00D02E37">
      <w:pPr>
        <w:numPr>
          <w:ilvl w:val="1"/>
          <w:numId w:val="143"/>
        </w:numPr>
        <w:shd w:val="clear" w:color="auto" w:fill="FFFFFF"/>
        <w:spacing w:before="100" w:beforeAutospacing="1" w:after="100" w:afterAutospacing="1" w:line="240" w:lineRule="auto"/>
        <w:rPr>
          <w:rFonts w:cs="Times New Roman"/>
          <w:color w:val="000000"/>
          <w:sz w:val="16"/>
          <w:szCs w:val="16"/>
          <w:shd w:val="clear" w:color="auto" w:fill="FFFFFF"/>
        </w:rPr>
      </w:pPr>
      <w:r w:rsidRPr="00F012F8">
        <w:rPr>
          <w:rFonts w:cs="Times New Roman"/>
          <w:color w:val="000000"/>
          <w:sz w:val="16"/>
          <w:szCs w:val="16"/>
          <w:shd w:val="clear" w:color="auto" w:fill="FFFFFF"/>
        </w:rPr>
        <w:t>distinguer une gynécomastie physiologique d'une gynécomastie pathologique;</w:t>
      </w:r>
    </w:p>
    <w:p w:rsidR="000F76F0" w:rsidRPr="00F012F8" w:rsidRDefault="000F76F0" w:rsidP="00D02E37">
      <w:pPr>
        <w:numPr>
          <w:ilvl w:val="0"/>
          <w:numId w:val="143"/>
        </w:numPr>
        <w:shd w:val="clear" w:color="auto" w:fill="FFFFFF"/>
        <w:spacing w:before="100" w:beforeAutospacing="1" w:after="100" w:afterAutospacing="1" w:line="240" w:lineRule="auto"/>
        <w:rPr>
          <w:rFonts w:cs="Times New Roman"/>
          <w:color w:val="000000"/>
          <w:sz w:val="16"/>
          <w:szCs w:val="16"/>
          <w:shd w:val="clear" w:color="auto" w:fill="FFFFFF"/>
        </w:rPr>
      </w:pPr>
      <w:r w:rsidRPr="00F012F8">
        <w:rPr>
          <w:rFonts w:cs="Times New Roman"/>
          <w:color w:val="000000"/>
          <w:sz w:val="16"/>
          <w:szCs w:val="16"/>
          <w:shd w:val="clear" w:color="auto" w:fill="FFFFFF"/>
        </w:rPr>
        <w:t>énumérer et interpréter les examens essentiels, notamment :</w:t>
      </w:r>
    </w:p>
    <w:p w:rsidR="000F76F0" w:rsidRPr="00F012F8" w:rsidRDefault="000F76F0" w:rsidP="00D02E37">
      <w:pPr>
        <w:numPr>
          <w:ilvl w:val="1"/>
          <w:numId w:val="143"/>
        </w:numPr>
        <w:shd w:val="clear" w:color="auto" w:fill="FFFFFF"/>
        <w:spacing w:before="100" w:beforeAutospacing="1" w:after="100" w:afterAutospacing="1" w:line="240" w:lineRule="auto"/>
        <w:rPr>
          <w:rFonts w:cs="Times New Roman"/>
          <w:color w:val="000000"/>
          <w:sz w:val="16"/>
          <w:szCs w:val="16"/>
          <w:shd w:val="clear" w:color="auto" w:fill="FFFFFF"/>
        </w:rPr>
      </w:pPr>
      <w:r w:rsidRPr="00F012F8">
        <w:rPr>
          <w:rFonts w:cs="Times New Roman"/>
          <w:color w:val="000000"/>
          <w:sz w:val="16"/>
          <w:szCs w:val="16"/>
          <w:shd w:val="clear" w:color="auto" w:fill="FFFFFF"/>
        </w:rPr>
        <w:t>les examens d'imagerie diagnostique pertinents;</w:t>
      </w:r>
    </w:p>
    <w:p w:rsidR="000F76F0" w:rsidRPr="00F012F8" w:rsidRDefault="000F76F0" w:rsidP="00D02E37">
      <w:pPr>
        <w:numPr>
          <w:ilvl w:val="1"/>
          <w:numId w:val="143"/>
        </w:numPr>
        <w:shd w:val="clear" w:color="auto" w:fill="FFFFFF"/>
        <w:spacing w:before="100" w:beforeAutospacing="1" w:after="100" w:afterAutospacing="1" w:line="240" w:lineRule="auto"/>
        <w:rPr>
          <w:rFonts w:cs="Times New Roman"/>
          <w:color w:val="000000"/>
          <w:sz w:val="16"/>
          <w:szCs w:val="16"/>
          <w:shd w:val="clear" w:color="auto" w:fill="FFFFFF"/>
        </w:rPr>
      </w:pPr>
      <w:r w:rsidRPr="00F012F8">
        <w:rPr>
          <w:rFonts w:cs="Times New Roman"/>
          <w:color w:val="000000"/>
          <w:sz w:val="16"/>
          <w:szCs w:val="16"/>
          <w:shd w:val="clear" w:color="auto" w:fill="FFFFFF"/>
        </w:rPr>
        <w:t>les examens de laboratoire pertinents;</w:t>
      </w:r>
    </w:p>
    <w:p w:rsidR="000F76F0" w:rsidRPr="00F012F8" w:rsidRDefault="000F76F0" w:rsidP="00D02E37">
      <w:pPr>
        <w:numPr>
          <w:ilvl w:val="0"/>
          <w:numId w:val="143"/>
        </w:numPr>
        <w:shd w:val="clear" w:color="auto" w:fill="FFFFFF"/>
        <w:spacing w:before="100" w:beforeAutospacing="1" w:after="100" w:afterAutospacing="1" w:line="240" w:lineRule="auto"/>
        <w:rPr>
          <w:rFonts w:cs="Times New Roman"/>
          <w:color w:val="000000"/>
          <w:sz w:val="16"/>
          <w:szCs w:val="16"/>
          <w:shd w:val="clear" w:color="auto" w:fill="FFFFFF"/>
        </w:rPr>
      </w:pPr>
      <w:r w:rsidRPr="00F012F8">
        <w:rPr>
          <w:rFonts w:cs="Times New Roman"/>
          <w:color w:val="000000"/>
          <w:sz w:val="16"/>
          <w:szCs w:val="16"/>
          <w:shd w:val="clear" w:color="auto" w:fill="FFFFFF"/>
        </w:rPr>
        <w:t>établir un plan efficace de prise en charge initiale, notamment :</w:t>
      </w:r>
    </w:p>
    <w:p w:rsidR="000F76F0" w:rsidRPr="00F012F8" w:rsidRDefault="000F76F0" w:rsidP="00D02E37">
      <w:pPr>
        <w:numPr>
          <w:ilvl w:val="1"/>
          <w:numId w:val="143"/>
        </w:numPr>
        <w:shd w:val="clear" w:color="auto" w:fill="FFFFFF"/>
        <w:spacing w:before="100" w:beforeAutospacing="1" w:after="100" w:afterAutospacing="1" w:line="240" w:lineRule="auto"/>
        <w:rPr>
          <w:rFonts w:cs="Times New Roman"/>
          <w:color w:val="000000"/>
          <w:sz w:val="16"/>
          <w:szCs w:val="16"/>
          <w:shd w:val="clear" w:color="auto" w:fill="FFFFFF"/>
        </w:rPr>
      </w:pPr>
      <w:r w:rsidRPr="00F012F8">
        <w:rPr>
          <w:rFonts w:cs="Times New Roman"/>
          <w:color w:val="000000"/>
          <w:sz w:val="16"/>
          <w:szCs w:val="16"/>
          <w:shd w:val="clear" w:color="auto" w:fill="FFFFFF"/>
        </w:rPr>
        <w:t>rassurer le patient qui présente une gynécomastie physiologique;</w:t>
      </w:r>
    </w:p>
    <w:p w:rsidR="000F76F0" w:rsidRPr="00F012F8" w:rsidRDefault="000F76F0" w:rsidP="00D02E37">
      <w:pPr>
        <w:numPr>
          <w:ilvl w:val="1"/>
          <w:numId w:val="143"/>
        </w:numPr>
        <w:shd w:val="clear" w:color="auto" w:fill="FFFFFF"/>
        <w:spacing w:before="100" w:beforeAutospacing="1" w:after="100" w:afterAutospacing="1" w:line="240" w:lineRule="auto"/>
        <w:rPr>
          <w:rFonts w:cs="Times New Roman"/>
          <w:color w:val="000000"/>
          <w:sz w:val="16"/>
          <w:szCs w:val="16"/>
          <w:shd w:val="clear" w:color="auto" w:fill="FFFFFF"/>
        </w:rPr>
      </w:pPr>
      <w:r w:rsidRPr="00F012F8">
        <w:rPr>
          <w:rFonts w:cs="Times New Roman"/>
          <w:color w:val="000000"/>
          <w:sz w:val="16"/>
          <w:szCs w:val="16"/>
          <w:shd w:val="clear" w:color="auto" w:fill="FFFFFF"/>
        </w:rPr>
        <w:t>déterminer si le patient a besoin de soins spécialisés.</w:t>
      </w:r>
    </w:p>
    <w:p w:rsidR="000F76F0" w:rsidRPr="00F012F8" w:rsidRDefault="00D02E37" w:rsidP="00D02E37">
      <w:pPr>
        <w:rPr>
          <w:rFonts w:cs="Times New Roman"/>
          <w:b/>
          <w:sz w:val="28"/>
          <w:szCs w:val="28"/>
        </w:rPr>
      </w:pPr>
      <w:r w:rsidRPr="00F012F8">
        <w:rPr>
          <w:rFonts w:cs="Times New Roman"/>
          <w:b/>
          <w:sz w:val="28"/>
          <w:szCs w:val="28"/>
        </w:rPr>
        <w:t>Étiologie(s)</w:t>
      </w:r>
    </w:p>
    <w:p w:rsidR="00D02E37" w:rsidRPr="00F012F8" w:rsidRDefault="00142595" w:rsidP="00D02E37">
      <w:pPr>
        <w:rPr>
          <w:rFonts w:cs="Times New Roman"/>
        </w:rPr>
      </w:pPr>
      <w:r w:rsidRPr="00F012F8">
        <w:rPr>
          <w:rFonts w:cs="Times New Roman"/>
        </w:rPr>
        <w:t xml:space="preserve">La gynécomastie correspond à la </w:t>
      </w:r>
      <w:r w:rsidRPr="00F012F8">
        <w:rPr>
          <w:rFonts w:cs="Times New Roman"/>
          <w:highlight w:val="yellow"/>
        </w:rPr>
        <w:t xml:space="preserve">prolifération </w:t>
      </w:r>
      <w:r w:rsidRPr="00F012F8">
        <w:rPr>
          <w:rFonts w:cs="Times New Roman"/>
          <w:highlight w:val="yellow"/>
          <w:u w:val="single"/>
        </w:rPr>
        <w:t>bénigne</w:t>
      </w:r>
      <w:r w:rsidRPr="00F012F8">
        <w:rPr>
          <w:rFonts w:cs="Times New Roman"/>
          <w:highlight w:val="yellow"/>
        </w:rPr>
        <w:t xml:space="preserve"> de tissu glandulaire</w:t>
      </w:r>
      <w:r w:rsidRPr="00F012F8">
        <w:rPr>
          <w:rFonts w:cs="Times New Roman"/>
        </w:rPr>
        <w:t xml:space="preserve"> dans la zone du mamelon chez l’homme.     </w:t>
      </w:r>
      <w:r w:rsidR="00803564" w:rsidRPr="00F012F8">
        <w:rPr>
          <w:rFonts w:cs="Times New Roman"/>
        </w:rPr>
        <w:t xml:space="preserve"> </w:t>
      </w:r>
      <w:r w:rsidRPr="00F012F8">
        <w:rPr>
          <w:rFonts w:cs="Times New Roman"/>
        </w:rPr>
        <w:t xml:space="preserve"> La pseudogynécomastie se définit plutôt comme dépôt graisseux à cet endroit sans prolifération glandulaire.</w:t>
      </w:r>
    </w:p>
    <w:p w:rsidR="00EB1701" w:rsidRPr="00F012F8" w:rsidRDefault="00EB1701" w:rsidP="00EB1701">
      <w:pPr>
        <w:pStyle w:val="Paragraphedeliste"/>
        <w:spacing w:after="0" w:line="240" w:lineRule="auto"/>
        <w:ind w:left="0"/>
        <w:rPr>
          <w:rFonts w:cs="Times New Roman"/>
          <w:u w:val="single"/>
        </w:rPr>
      </w:pPr>
      <w:r w:rsidRPr="00F012F8">
        <w:rPr>
          <w:rFonts w:cs="Times New Roman"/>
          <w:highlight w:val="yellow"/>
        </w:rPr>
        <w:t>À l’examen = masse centrale</w:t>
      </w:r>
      <w:r w:rsidR="00AC0530" w:rsidRPr="00F012F8">
        <w:rPr>
          <w:rFonts w:cs="Times New Roman"/>
          <w:highlight w:val="yellow"/>
        </w:rPr>
        <w:t xml:space="preserve"> par rapport à l’aréole</w:t>
      </w:r>
      <w:r w:rsidRPr="00F012F8">
        <w:rPr>
          <w:rFonts w:cs="Times New Roman"/>
          <w:highlight w:val="yellow"/>
        </w:rPr>
        <w:t>, définie, symétrique</w:t>
      </w:r>
      <w:r w:rsidR="00AC0530" w:rsidRPr="00F012F8">
        <w:rPr>
          <w:rFonts w:cs="Times New Roman"/>
          <w:highlight w:val="yellow"/>
        </w:rPr>
        <w:t>, généralement bilatéral, sensible à a palpation (initialement)</w:t>
      </w:r>
    </w:p>
    <w:p w:rsidR="00EB1701" w:rsidRPr="00F012F8" w:rsidRDefault="00EB1701" w:rsidP="00EB1701">
      <w:pPr>
        <w:pStyle w:val="Paragraphedeliste"/>
        <w:spacing w:after="0" w:line="240" w:lineRule="auto"/>
        <w:ind w:left="360"/>
        <w:rPr>
          <w:rFonts w:cs="Times New Roman"/>
          <w:u w:val="single"/>
        </w:rPr>
      </w:pPr>
    </w:p>
    <w:p w:rsidR="00AC0530" w:rsidRPr="00F012F8" w:rsidRDefault="00AC0530" w:rsidP="00EB1701">
      <w:pPr>
        <w:pStyle w:val="Paragraphedeliste"/>
        <w:spacing w:after="0" w:line="240" w:lineRule="auto"/>
        <w:ind w:left="360"/>
        <w:rPr>
          <w:rFonts w:cs="Times New Roman"/>
          <w:u w:val="single"/>
        </w:rPr>
        <w:sectPr w:rsidR="00AC0530" w:rsidRPr="00F012F8" w:rsidSect="005F3039">
          <w:type w:val="continuous"/>
          <w:pgSz w:w="12240" w:h="15840"/>
          <w:pgMar w:top="720" w:right="720" w:bottom="720" w:left="720" w:header="708" w:footer="708" w:gutter="0"/>
          <w:cols w:space="708"/>
          <w:docGrid w:linePitch="360"/>
        </w:sectPr>
      </w:pPr>
    </w:p>
    <w:p w:rsidR="00A431C4" w:rsidRPr="00F012F8" w:rsidRDefault="00A431C4" w:rsidP="00EB1701">
      <w:pPr>
        <w:pStyle w:val="Paragraphedeliste"/>
        <w:spacing w:after="0" w:line="240" w:lineRule="auto"/>
        <w:ind w:left="360"/>
        <w:rPr>
          <w:rFonts w:cs="Times New Roman"/>
          <w:u w:val="single"/>
        </w:rPr>
      </w:pPr>
      <w:r w:rsidRPr="00F012F8">
        <w:rPr>
          <w:rFonts w:cs="Times New Roman"/>
          <w:u w:val="single"/>
        </w:rPr>
        <w:lastRenderedPageBreak/>
        <w:t>Diverses étiologies selon</w:t>
      </w:r>
      <w:r w:rsidR="00DB1F4D" w:rsidRPr="00F012F8">
        <w:rPr>
          <w:rFonts w:cs="Times New Roman"/>
          <w:u w:val="single"/>
        </w:rPr>
        <w:t xml:space="preserve"> la</w:t>
      </w:r>
      <w:r w:rsidRPr="00F012F8">
        <w:rPr>
          <w:rFonts w:cs="Times New Roman"/>
          <w:u w:val="single"/>
        </w:rPr>
        <w:t xml:space="preserve"> pathophysiologi</w:t>
      </w:r>
      <w:r w:rsidR="00DB1F4D" w:rsidRPr="00F012F8">
        <w:rPr>
          <w:rFonts w:cs="Times New Roman"/>
          <w:u w:val="single"/>
        </w:rPr>
        <w:t>e</w:t>
      </w:r>
    </w:p>
    <w:p w:rsidR="00142595" w:rsidRPr="00F012F8" w:rsidRDefault="00613AFE" w:rsidP="00A431C4">
      <w:pPr>
        <w:pStyle w:val="Paragraphedeliste"/>
        <w:numPr>
          <w:ilvl w:val="0"/>
          <w:numId w:val="144"/>
        </w:numPr>
        <w:rPr>
          <w:rFonts w:cs="Times New Roman"/>
        </w:rPr>
      </w:pPr>
      <w:r w:rsidRPr="00F012F8">
        <w:rPr>
          <w:rFonts w:cs="Times New Roman"/>
        </w:rPr>
        <w:t>Physiologique</w:t>
      </w:r>
      <w:r w:rsidR="004044D0" w:rsidRPr="00F012F8">
        <w:rPr>
          <w:rFonts w:cs="Times New Roman"/>
        </w:rPr>
        <w:t xml:space="preserve"> (peut persister à l’âge adulte)</w:t>
      </w:r>
    </w:p>
    <w:p w:rsidR="004044D0" w:rsidRPr="00F012F8" w:rsidRDefault="004044D0" w:rsidP="00A431C4">
      <w:pPr>
        <w:pStyle w:val="Paragraphedeliste"/>
        <w:numPr>
          <w:ilvl w:val="0"/>
          <w:numId w:val="144"/>
        </w:numPr>
        <w:rPr>
          <w:rFonts w:cs="Times New Roman"/>
        </w:rPr>
      </w:pPr>
      <w:r w:rsidRPr="00F012F8">
        <w:rPr>
          <w:rFonts w:cs="Times New Roman"/>
        </w:rPr>
        <w:t>Idiopathique 25%</w:t>
      </w:r>
    </w:p>
    <w:p w:rsidR="00613AFE" w:rsidRPr="00F012F8" w:rsidRDefault="00613AFE" w:rsidP="00A431C4">
      <w:pPr>
        <w:pStyle w:val="Paragraphedeliste"/>
        <w:numPr>
          <w:ilvl w:val="0"/>
          <w:numId w:val="144"/>
        </w:numPr>
        <w:rPr>
          <w:rFonts w:cs="Times New Roman"/>
        </w:rPr>
      </w:pPr>
      <w:r w:rsidRPr="00F012F8">
        <w:rPr>
          <w:rFonts w:cs="Times New Roman"/>
        </w:rPr>
        <w:t>Médicamenteuse</w:t>
      </w:r>
    </w:p>
    <w:p w:rsidR="004044D0" w:rsidRPr="00F012F8" w:rsidRDefault="004044D0" w:rsidP="00A431C4">
      <w:pPr>
        <w:pStyle w:val="Paragraphedeliste"/>
        <w:numPr>
          <w:ilvl w:val="0"/>
          <w:numId w:val="144"/>
        </w:numPr>
        <w:rPr>
          <w:rFonts w:cs="Times New Roman"/>
        </w:rPr>
      </w:pPr>
      <w:r w:rsidRPr="00F012F8">
        <w:rPr>
          <w:rFonts w:cs="Times New Roman"/>
        </w:rPr>
        <w:t>Cirrhose</w:t>
      </w:r>
      <w:r w:rsidR="00536767" w:rsidRPr="00F012F8">
        <w:rPr>
          <w:rFonts w:cs="Times New Roman"/>
        </w:rPr>
        <w:t>, dénutrition (↓ SHBG)</w:t>
      </w:r>
      <w:r w:rsidRPr="00F012F8">
        <w:rPr>
          <w:rFonts w:cs="Times New Roman"/>
        </w:rPr>
        <w:t xml:space="preserve"> 8%</w:t>
      </w:r>
    </w:p>
    <w:p w:rsidR="00AC0530" w:rsidRPr="00F012F8" w:rsidRDefault="00AC0530" w:rsidP="00AC0530">
      <w:pPr>
        <w:pStyle w:val="Paragraphedeliste"/>
        <w:numPr>
          <w:ilvl w:val="0"/>
          <w:numId w:val="144"/>
        </w:numPr>
        <w:rPr>
          <w:rFonts w:cs="Times New Roman"/>
        </w:rPr>
      </w:pPr>
      <w:r w:rsidRPr="00F012F8">
        <w:rPr>
          <w:rFonts w:cs="Times New Roman"/>
          <w:noProof/>
          <w:lang w:eastAsia="fr-CA"/>
        </w:rPr>
        <w:drawing>
          <wp:anchor distT="0" distB="0" distL="114300" distR="114300" simplePos="0" relativeHeight="251703296" behindDoc="0" locked="0" layoutInCell="1" allowOverlap="1" wp14:anchorId="62F44474" wp14:editId="4FF302A3">
            <wp:simplePos x="0" y="0"/>
            <wp:positionH relativeFrom="column">
              <wp:posOffset>2144737</wp:posOffset>
            </wp:positionH>
            <wp:positionV relativeFrom="paragraph">
              <wp:posOffset>130175</wp:posOffset>
            </wp:positionV>
            <wp:extent cx="2083435" cy="1510665"/>
            <wp:effectExtent l="0" t="0" r="0" b="0"/>
            <wp:wrapNone/>
            <wp:docPr id="20" name="Image 20" descr="Résultats de recherche d'images pour « gynécomasti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ésultats de recherche d'images pour « gynécomastie »"/>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083435" cy="1510665"/>
                    </a:xfrm>
                    <a:prstGeom prst="rect">
                      <a:avLst/>
                    </a:prstGeom>
                    <a:noFill/>
                    <a:ln>
                      <a:noFill/>
                    </a:ln>
                  </pic:spPr>
                </pic:pic>
              </a:graphicData>
            </a:graphic>
            <wp14:sizeRelH relativeFrom="page">
              <wp14:pctWidth>0</wp14:pctWidth>
            </wp14:sizeRelH>
            <wp14:sizeRelV relativeFrom="page">
              <wp14:pctHeight>0</wp14:pctHeight>
            </wp14:sizeRelV>
          </wp:anchor>
        </w:drawing>
      </w:r>
      <w:r w:rsidR="00536767" w:rsidRPr="00F012F8">
        <w:rPr>
          <w:rFonts w:cs="Times New Roman"/>
        </w:rPr>
        <w:t xml:space="preserve"> </w:t>
      </w:r>
      <w:r w:rsidRPr="00F012F8">
        <w:rPr>
          <w:rFonts w:cs="Times New Roman"/>
        </w:rPr>
        <w:t>IRC</w:t>
      </w:r>
    </w:p>
    <w:p w:rsidR="00AC0530" w:rsidRPr="00F012F8" w:rsidRDefault="00AC0530" w:rsidP="00AC0530">
      <w:pPr>
        <w:pStyle w:val="Paragraphedeliste"/>
        <w:rPr>
          <w:rFonts w:cs="Times New Roman"/>
        </w:rPr>
      </w:pPr>
      <w:r w:rsidRPr="00F012F8">
        <w:rPr>
          <w:rFonts w:cs="Times New Roman"/>
        </w:rPr>
        <w:t xml:space="preserve"> </w:t>
      </w:r>
    </w:p>
    <w:p w:rsidR="00AC0530" w:rsidRPr="00F012F8" w:rsidRDefault="00AC0530" w:rsidP="00AC0530">
      <w:pPr>
        <w:pStyle w:val="Paragraphedeliste"/>
        <w:rPr>
          <w:rFonts w:cs="Times New Roman"/>
        </w:rPr>
      </w:pPr>
    </w:p>
    <w:p w:rsidR="00AC0530" w:rsidRPr="00F012F8" w:rsidRDefault="00AC0530" w:rsidP="00AC0530">
      <w:pPr>
        <w:pStyle w:val="Paragraphedeliste"/>
        <w:rPr>
          <w:rFonts w:cs="Times New Roman"/>
        </w:rPr>
      </w:pPr>
    </w:p>
    <w:p w:rsidR="00AC0530" w:rsidRPr="00F012F8" w:rsidRDefault="00AC0530" w:rsidP="00AC0530">
      <w:pPr>
        <w:pStyle w:val="Paragraphedeliste"/>
        <w:rPr>
          <w:rFonts w:cs="Times New Roman"/>
        </w:rPr>
      </w:pPr>
    </w:p>
    <w:p w:rsidR="00AC0530" w:rsidRPr="00F012F8" w:rsidRDefault="00AC0530" w:rsidP="00AC0530">
      <w:pPr>
        <w:pStyle w:val="Paragraphedeliste"/>
        <w:rPr>
          <w:rFonts w:cs="Times New Roman"/>
        </w:rPr>
      </w:pPr>
    </w:p>
    <w:p w:rsidR="00536767" w:rsidRPr="00F012F8" w:rsidRDefault="00536767" w:rsidP="00AC0530">
      <w:pPr>
        <w:pStyle w:val="Paragraphedeliste"/>
        <w:numPr>
          <w:ilvl w:val="0"/>
          <w:numId w:val="144"/>
        </w:numPr>
        <w:rPr>
          <w:rFonts w:cs="Times New Roman"/>
        </w:rPr>
      </w:pPr>
      <w:r w:rsidRPr="00F012F8">
        <w:rPr>
          <w:rFonts w:cs="Times New Roman"/>
        </w:rPr>
        <w:lastRenderedPageBreak/>
        <w:t xml:space="preserve">(∆ rapport </w:t>
      </w:r>
      <w:r w:rsidR="008E60EF" w:rsidRPr="00F012F8">
        <w:rPr>
          <w:rFonts w:cs="Times New Roman"/>
        </w:rPr>
        <w:t>testostérone</w:t>
      </w:r>
      <w:r w:rsidRPr="00F012F8">
        <w:rPr>
          <w:rFonts w:cs="Times New Roman"/>
        </w:rPr>
        <w:t>/estrogènes)</w:t>
      </w:r>
    </w:p>
    <w:p w:rsidR="00DB1F4D" w:rsidRPr="00F012F8" w:rsidRDefault="004044D0" w:rsidP="00536767">
      <w:pPr>
        <w:pStyle w:val="Paragraphedeliste"/>
        <w:numPr>
          <w:ilvl w:val="1"/>
          <w:numId w:val="144"/>
        </w:numPr>
        <w:rPr>
          <w:rFonts w:cs="Times New Roman"/>
        </w:rPr>
      </w:pPr>
      <w:r w:rsidRPr="00F012F8">
        <w:rPr>
          <w:rFonts w:cs="Times New Roman"/>
        </w:rPr>
        <w:t xml:space="preserve">Hypogonadisme </w:t>
      </w:r>
      <w:r w:rsidR="00536767" w:rsidRPr="00F012F8">
        <w:rPr>
          <w:rFonts w:cs="Times New Roman"/>
        </w:rPr>
        <w:t>10%</w:t>
      </w:r>
    </w:p>
    <w:p w:rsidR="00DB1F4D" w:rsidRPr="00F012F8" w:rsidRDefault="00DB1F4D" w:rsidP="00536767">
      <w:pPr>
        <w:pStyle w:val="Paragraphedeliste"/>
        <w:numPr>
          <w:ilvl w:val="2"/>
          <w:numId w:val="144"/>
        </w:numPr>
        <w:rPr>
          <w:rFonts w:cs="Times New Roman"/>
        </w:rPr>
      </w:pPr>
      <w:r w:rsidRPr="00F012F8">
        <w:rPr>
          <w:rFonts w:cs="Times New Roman"/>
        </w:rPr>
        <w:t>Klinefelter</w:t>
      </w:r>
    </w:p>
    <w:p w:rsidR="00DB1F4D" w:rsidRPr="00F012F8" w:rsidRDefault="00DB1F4D" w:rsidP="00536767">
      <w:pPr>
        <w:pStyle w:val="Paragraphedeliste"/>
        <w:numPr>
          <w:ilvl w:val="2"/>
          <w:numId w:val="144"/>
        </w:numPr>
        <w:rPr>
          <w:rFonts w:cs="Times New Roman"/>
        </w:rPr>
      </w:pPr>
      <w:r w:rsidRPr="00F012F8">
        <w:rPr>
          <w:rFonts w:cs="Times New Roman"/>
        </w:rPr>
        <w:t>Trauma</w:t>
      </w:r>
      <w:r w:rsidR="002E1BD0" w:rsidRPr="00F012F8">
        <w:rPr>
          <w:rFonts w:cs="Times New Roman"/>
        </w:rPr>
        <w:t xml:space="preserve"> testiculaire</w:t>
      </w:r>
    </w:p>
    <w:p w:rsidR="00DB1F4D" w:rsidRPr="00F012F8" w:rsidRDefault="00DB1F4D" w:rsidP="00536767">
      <w:pPr>
        <w:pStyle w:val="Paragraphedeliste"/>
        <w:numPr>
          <w:ilvl w:val="2"/>
          <w:numId w:val="144"/>
        </w:numPr>
        <w:rPr>
          <w:rFonts w:cs="Times New Roman"/>
        </w:rPr>
      </w:pPr>
      <w:r w:rsidRPr="00F012F8">
        <w:rPr>
          <w:rFonts w:cs="Times New Roman"/>
        </w:rPr>
        <w:t>Or</w:t>
      </w:r>
      <w:r w:rsidR="002E1BD0" w:rsidRPr="00F012F8">
        <w:rPr>
          <w:rFonts w:cs="Times New Roman"/>
        </w:rPr>
        <w:t>chite</w:t>
      </w:r>
    </w:p>
    <w:p w:rsidR="004044D0" w:rsidRPr="00F012F8" w:rsidRDefault="00DB1F4D" w:rsidP="00536767">
      <w:pPr>
        <w:pStyle w:val="Paragraphedeliste"/>
        <w:numPr>
          <w:ilvl w:val="2"/>
          <w:numId w:val="144"/>
        </w:numPr>
        <w:rPr>
          <w:rFonts w:cs="Times New Roman"/>
        </w:rPr>
      </w:pPr>
      <w:r w:rsidRPr="00F012F8">
        <w:rPr>
          <w:rFonts w:cs="Times New Roman"/>
        </w:rPr>
        <w:t>Insuffisance vasculaire</w:t>
      </w:r>
    </w:p>
    <w:p w:rsidR="00536767" w:rsidRPr="00F012F8" w:rsidRDefault="00DB1F4D" w:rsidP="00536767">
      <w:pPr>
        <w:pStyle w:val="Paragraphedeliste"/>
        <w:numPr>
          <w:ilvl w:val="2"/>
          <w:numId w:val="144"/>
        </w:numPr>
        <w:rPr>
          <w:rFonts w:cs="Times New Roman"/>
        </w:rPr>
      </w:pPr>
      <w:r w:rsidRPr="00F012F8">
        <w:rPr>
          <w:rFonts w:cs="Times New Roman"/>
        </w:rPr>
        <w:t xml:space="preserve">Anomalie de la testostérone </w:t>
      </w:r>
    </w:p>
    <w:p w:rsidR="00DB1F4D" w:rsidRPr="00F012F8" w:rsidRDefault="00DB1F4D" w:rsidP="00536767">
      <w:pPr>
        <w:pStyle w:val="Paragraphedeliste"/>
        <w:ind w:left="2160"/>
        <w:rPr>
          <w:rFonts w:cs="Times New Roman"/>
        </w:rPr>
      </w:pPr>
      <w:r w:rsidRPr="00F012F8">
        <w:rPr>
          <w:rFonts w:cs="Times New Roman"/>
        </w:rPr>
        <w:t>(synthèse)</w:t>
      </w:r>
    </w:p>
    <w:p w:rsidR="00536767" w:rsidRPr="00F012F8" w:rsidRDefault="00297EFE" w:rsidP="00536767">
      <w:pPr>
        <w:pStyle w:val="Paragraphedeliste"/>
        <w:numPr>
          <w:ilvl w:val="1"/>
          <w:numId w:val="144"/>
        </w:numPr>
        <w:rPr>
          <w:rFonts w:cs="Times New Roman"/>
        </w:rPr>
      </w:pPr>
      <w:r w:rsidRPr="00F012F8">
        <w:rPr>
          <w:rFonts w:cs="Times New Roman"/>
        </w:rPr>
        <w:t xml:space="preserve">Tumeur testiculaire </w:t>
      </w:r>
    </w:p>
    <w:p w:rsidR="00297EFE" w:rsidRPr="00F012F8" w:rsidRDefault="00536767" w:rsidP="00536767">
      <w:pPr>
        <w:pStyle w:val="Paragraphedeliste"/>
        <w:numPr>
          <w:ilvl w:val="1"/>
          <w:numId w:val="144"/>
        </w:numPr>
        <w:rPr>
          <w:rFonts w:cs="Times New Roman"/>
        </w:rPr>
      </w:pPr>
      <w:r w:rsidRPr="00F012F8">
        <w:rPr>
          <w:rFonts w:cs="Times New Roman"/>
        </w:rPr>
        <w:t>Hyperthyroïdisme</w:t>
      </w:r>
    </w:p>
    <w:p w:rsidR="00AA75B1" w:rsidRPr="00F012F8" w:rsidRDefault="00AA75B1" w:rsidP="00536767">
      <w:pPr>
        <w:pStyle w:val="Paragraphedeliste"/>
        <w:numPr>
          <w:ilvl w:val="1"/>
          <w:numId w:val="144"/>
        </w:numPr>
        <w:rPr>
          <w:rFonts w:cs="Times New Roman"/>
        </w:rPr>
      </w:pPr>
      <w:r w:rsidRPr="00F012F8">
        <w:rPr>
          <w:rFonts w:cs="Times New Roman"/>
        </w:rPr>
        <w:t>Hyperprolactinémie</w:t>
      </w:r>
    </w:p>
    <w:p w:rsidR="00AC0530" w:rsidRPr="00F012F8" w:rsidRDefault="00AC0530" w:rsidP="00D02E37">
      <w:pPr>
        <w:rPr>
          <w:rFonts w:cs="Times New Roman"/>
          <w:b/>
        </w:rPr>
        <w:sectPr w:rsidR="00AC0530" w:rsidRPr="00F012F8" w:rsidSect="00AC0530">
          <w:type w:val="continuous"/>
          <w:pgSz w:w="12240" w:h="15840"/>
          <w:pgMar w:top="720" w:right="720" w:bottom="720" w:left="720" w:header="708" w:footer="708" w:gutter="0"/>
          <w:cols w:num="2" w:space="708"/>
          <w:docGrid w:linePitch="360"/>
        </w:sectPr>
      </w:pPr>
    </w:p>
    <w:p w:rsidR="00AC0530" w:rsidRPr="00F012F8" w:rsidRDefault="00AC0530" w:rsidP="00D02E37">
      <w:pPr>
        <w:rPr>
          <w:rFonts w:cs="Times New Roman"/>
          <w:b/>
        </w:rPr>
      </w:pPr>
    </w:p>
    <w:p w:rsidR="00AC0530" w:rsidRPr="00F012F8" w:rsidRDefault="00AC0530" w:rsidP="00D02E37">
      <w:pPr>
        <w:rPr>
          <w:rFonts w:cs="Times New Roman"/>
          <w:b/>
        </w:rPr>
      </w:pPr>
    </w:p>
    <w:p w:rsidR="00D02E37" w:rsidRPr="00F012F8" w:rsidRDefault="00D02E37" w:rsidP="00D02E37">
      <w:pPr>
        <w:rPr>
          <w:rFonts w:cs="Times New Roman"/>
          <w:b/>
          <w:sz w:val="28"/>
          <w:szCs w:val="28"/>
        </w:rPr>
      </w:pPr>
      <w:r w:rsidRPr="00F012F8">
        <w:rPr>
          <w:rFonts w:cs="Times New Roman"/>
          <w:b/>
          <w:sz w:val="28"/>
          <w:szCs w:val="28"/>
        </w:rPr>
        <w:t>Diagnostic(s)</w:t>
      </w:r>
      <w:r w:rsidR="00B864C5" w:rsidRPr="00F012F8">
        <w:rPr>
          <w:rFonts w:cs="Times New Roman"/>
          <w:b/>
          <w:sz w:val="28"/>
          <w:szCs w:val="28"/>
        </w:rPr>
        <w:t xml:space="preserve"> </w:t>
      </w:r>
      <w:r w:rsidR="002E1BD0" w:rsidRPr="00F012F8">
        <w:rPr>
          <w:rFonts w:cs="Times New Roman"/>
          <w:b/>
          <w:sz w:val="28"/>
          <w:szCs w:val="28"/>
        </w:rPr>
        <w:t xml:space="preserve">principaux </w:t>
      </w:r>
      <w:r w:rsidR="00B864C5" w:rsidRPr="00F012F8">
        <w:rPr>
          <w:rFonts w:cs="Times New Roman"/>
          <w:b/>
          <w:sz w:val="28"/>
          <w:szCs w:val="28"/>
        </w:rPr>
        <w:t>et différentiel</w:t>
      </w:r>
    </w:p>
    <w:tbl>
      <w:tblPr>
        <w:tblStyle w:val="Grilledutableau"/>
        <w:tblW w:w="0" w:type="auto"/>
        <w:tblLook w:val="04A0" w:firstRow="1" w:lastRow="0" w:firstColumn="1" w:lastColumn="0" w:noHBand="0" w:noVBand="1"/>
      </w:tblPr>
      <w:tblGrid>
        <w:gridCol w:w="2497"/>
        <w:gridCol w:w="1659"/>
        <w:gridCol w:w="6860"/>
      </w:tblGrid>
      <w:tr w:rsidR="0074749C" w:rsidRPr="00F012F8" w:rsidTr="002A1F06">
        <w:tc>
          <w:tcPr>
            <w:tcW w:w="2497" w:type="dxa"/>
            <w:shd w:val="clear" w:color="auto" w:fill="CCC0D9" w:themeFill="accent4" w:themeFillTint="66"/>
          </w:tcPr>
          <w:p w:rsidR="0074749C" w:rsidRPr="00F012F8" w:rsidRDefault="0074749C" w:rsidP="00FE0F63">
            <w:pPr>
              <w:jc w:val="center"/>
              <w:rPr>
                <w:rFonts w:cs="Times New Roman"/>
                <w:i/>
              </w:rPr>
            </w:pPr>
            <w:r w:rsidRPr="00F012F8">
              <w:rPr>
                <w:rFonts w:cs="Times New Roman"/>
                <w:i/>
              </w:rPr>
              <w:t>Diagnostic</w:t>
            </w:r>
          </w:p>
        </w:tc>
        <w:tc>
          <w:tcPr>
            <w:tcW w:w="1659" w:type="dxa"/>
            <w:shd w:val="clear" w:color="auto" w:fill="CCC0D9" w:themeFill="accent4" w:themeFillTint="66"/>
          </w:tcPr>
          <w:p w:rsidR="0074749C" w:rsidRPr="00F012F8" w:rsidRDefault="0074749C" w:rsidP="00FE0F63">
            <w:pPr>
              <w:jc w:val="center"/>
              <w:rPr>
                <w:rFonts w:cs="Times New Roman"/>
                <w:i/>
              </w:rPr>
            </w:pPr>
            <w:r w:rsidRPr="00F012F8">
              <w:rPr>
                <w:rFonts w:cs="Times New Roman"/>
                <w:i/>
              </w:rPr>
              <w:t>Notes</w:t>
            </w:r>
          </w:p>
        </w:tc>
        <w:tc>
          <w:tcPr>
            <w:tcW w:w="6860" w:type="dxa"/>
            <w:shd w:val="clear" w:color="auto" w:fill="CCC0D9" w:themeFill="accent4" w:themeFillTint="66"/>
          </w:tcPr>
          <w:p w:rsidR="0074749C" w:rsidRPr="00F012F8" w:rsidRDefault="0074749C" w:rsidP="00FE0F63">
            <w:pPr>
              <w:jc w:val="center"/>
              <w:rPr>
                <w:rFonts w:cs="Times New Roman"/>
                <w:i/>
              </w:rPr>
            </w:pPr>
            <w:r w:rsidRPr="00F012F8">
              <w:rPr>
                <w:rFonts w:cs="Times New Roman"/>
                <w:i/>
              </w:rPr>
              <w:t>Manifestations cliniques (signes et symptômes)</w:t>
            </w:r>
          </w:p>
        </w:tc>
      </w:tr>
      <w:tr w:rsidR="0074749C" w:rsidRPr="00F012F8" w:rsidTr="008E60EF">
        <w:tc>
          <w:tcPr>
            <w:tcW w:w="2497" w:type="dxa"/>
          </w:tcPr>
          <w:p w:rsidR="0074749C" w:rsidRPr="00F012F8" w:rsidRDefault="0074749C" w:rsidP="00D02E37">
            <w:pPr>
              <w:rPr>
                <w:rFonts w:cs="Times New Roman"/>
              </w:rPr>
            </w:pPr>
            <w:r w:rsidRPr="00F012F8">
              <w:rPr>
                <w:rFonts w:cs="Times New Roman"/>
                <w:highlight w:val="yellow"/>
              </w:rPr>
              <w:t>Physiologique</w:t>
            </w:r>
          </w:p>
        </w:tc>
        <w:tc>
          <w:tcPr>
            <w:tcW w:w="1659" w:type="dxa"/>
          </w:tcPr>
          <w:p w:rsidR="0074749C" w:rsidRPr="00F012F8" w:rsidRDefault="0074749C" w:rsidP="00D02E37">
            <w:pPr>
              <w:rPr>
                <w:rFonts w:cs="Times New Roman"/>
                <w:highlight w:val="yellow"/>
              </w:rPr>
            </w:pPr>
            <w:r w:rsidRPr="00F012F8">
              <w:rPr>
                <w:rFonts w:cs="Times New Roman"/>
                <w:highlight w:val="yellow"/>
              </w:rPr>
              <w:t>Nouveaux-nés</w:t>
            </w:r>
          </w:p>
          <w:p w:rsidR="0074749C" w:rsidRPr="00F012F8" w:rsidRDefault="0074749C" w:rsidP="00D02E37">
            <w:pPr>
              <w:rPr>
                <w:rFonts w:cs="Times New Roman"/>
                <w:sz w:val="16"/>
                <w:szCs w:val="16"/>
                <w:highlight w:val="yellow"/>
              </w:rPr>
            </w:pPr>
            <w:r w:rsidRPr="00F012F8">
              <w:rPr>
                <w:rFonts w:cs="Times New Roman"/>
                <w:sz w:val="16"/>
                <w:szCs w:val="16"/>
                <w:highlight w:val="yellow"/>
              </w:rPr>
              <w:t>(Prévalence 60-90%)</w:t>
            </w:r>
          </w:p>
          <w:p w:rsidR="0074749C" w:rsidRPr="00F012F8" w:rsidRDefault="0074749C" w:rsidP="00D02E37">
            <w:pPr>
              <w:rPr>
                <w:rFonts w:cs="Times New Roman"/>
                <w:sz w:val="16"/>
                <w:szCs w:val="16"/>
                <w:highlight w:val="yellow"/>
              </w:rPr>
            </w:pPr>
          </w:p>
          <w:p w:rsidR="0074749C" w:rsidRPr="00F012F8" w:rsidRDefault="0074749C" w:rsidP="00D02E37">
            <w:pPr>
              <w:rPr>
                <w:rFonts w:cs="Times New Roman"/>
                <w:highlight w:val="yellow"/>
              </w:rPr>
            </w:pPr>
            <w:r w:rsidRPr="00F012F8">
              <w:rPr>
                <w:rFonts w:cs="Times New Roman"/>
                <w:highlight w:val="yellow"/>
              </w:rPr>
              <w:t>Adolescents</w:t>
            </w:r>
          </w:p>
          <w:p w:rsidR="0074749C" w:rsidRPr="00F012F8" w:rsidRDefault="0074749C" w:rsidP="00D02E37">
            <w:pPr>
              <w:rPr>
                <w:rFonts w:cs="Times New Roman"/>
                <w:sz w:val="16"/>
                <w:szCs w:val="16"/>
                <w:highlight w:val="yellow"/>
              </w:rPr>
            </w:pPr>
            <w:r w:rsidRPr="00F012F8">
              <w:rPr>
                <w:rFonts w:cs="Times New Roman"/>
                <w:sz w:val="16"/>
                <w:szCs w:val="16"/>
                <w:highlight w:val="yellow"/>
              </w:rPr>
              <w:t xml:space="preserve">(Prév. </w:t>
            </w:r>
            <w:r w:rsidR="00C94F3B" w:rsidRPr="00F012F8">
              <w:rPr>
                <w:rFonts w:cs="Times New Roman"/>
                <w:sz w:val="16"/>
                <w:szCs w:val="16"/>
                <w:highlight w:val="yellow"/>
              </w:rPr>
              <w:t>4</w:t>
            </w:r>
            <w:r w:rsidRPr="00F012F8">
              <w:rPr>
                <w:rFonts w:cs="Times New Roman"/>
                <w:sz w:val="16"/>
                <w:szCs w:val="16"/>
                <w:highlight w:val="yellow"/>
              </w:rPr>
              <w:t>-</w:t>
            </w:r>
            <w:r w:rsidR="00C94F3B" w:rsidRPr="00F012F8">
              <w:rPr>
                <w:rFonts w:cs="Times New Roman"/>
                <w:sz w:val="16"/>
                <w:szCs w:val="16"/>
                <w:highlight w:val="yellow"/>
              </w:rPr>
              <w:t>7</w:t>
            </w:r>
            <w:r w:rsidRPr="00F012F8">
              <w:rPr>
                <w:rFonts w:cs="Times New Roman"/>
                <w:sz w:val="16"/>
                <w:szCs w:val="16"/>
                <w:highlight w:val="yellow"/>
              </w:rPr>
              <w:t>0%)</w:t>
            </w:r>
          </w:p>
          <w:p w:rsidR="0074749C" w:rsidRPr="00F012F8" w:rsidRDefault="0074749C" w:rsidP="00D02E37">
            <w:pPr>
              <w:rPr>
                <w:rFonts w:cs="Times New Roman"/>
                <w:sz w:val="16"/>
                <w:szCs w:val="16"/>
                <w:highlight w:val="yellow"/>
              </w:rPr>
            </w:pPr>
          </w:p>
          <w:p w:rsidR="0074749C" w:rsidRPr="00F012F8" w:rsidRDefault="0074749C" w:rsidP="00D02E37">
            <w:pPr>
              <w:rPr>
                <w:rFonts w:cs="Times New Roman"/>
                <w:highlight w:val="yellow"/>
              </w:rPr>
            </w:pPr>
            <w:r w:rsidRPr="00F012F8">
              <w:rPr>
                <w:rFonts w:cs="Times New Roman"/>
                <w:highlight w:val="yellow"/>
              </w:rPr>
              <w:t>50-70 ans</w:t>
            </w:r>
          </w:p>
          <w:p w:rsidR="0074749C" w:rsidRPr="00F012F8" w:rsidRDefault="0074749C" w:rsidP="00D02E37">
            <w:pPr>
              <w:rPr>
                <w:rFonts w:cs="Times New Roman"/>
                <w:sz w:val="16"/>
                <w:szCs w:val="16"/>
              </w:rPr>
            </w:pPr>
            <w:r w:rsidRPr="00F012F8">
              <w:rPr>
                <w:rFonts w:cs="Times New Roman"/>
                <w:sz w:val="16"/>
                <w:szCs w:val="16"/>
                <w:highlight w:val="yellow"/>
              </w:rPr>
              <w:t xml:space="preserve">(Prév. </w:t>
            </w:r>
            <w:r w:rsidR="00C94F3B" w:rsidRPr="00F012F8">
              <w:rPr>
                <w:rFonts w:cs="Times New Roman"/>
                <w:sz w:val="16"/>
                <w:szCs w:val="16"/>
                <w:highlight w:val="yellow"/>
              </w:rPr>
              <w:t>2</w:t>
            </w:r>
            <w:r w:rsidRPr="00F012F8">
              <w:rPr>
                <w:rFonts w:cs="Times New Roman"/>
                <w:sz w:val="16"/>
                <w:szCs w:val="16"/>
                <w:highlight w:val="yellow"/>
              </w:rPr>
              <w:t>5-65%)</w:t>
            </w:r>
          </w:p>
        </w:tc>
        <w:tc>
          <w:tcPr>
            <w:tcW w:w="6860" w:type="dxa"/>
          </w:tcPr>
          <w:p w:rsidR="0074749C" w:rsidRPr="00F012F8" w:rsidRDefault="00AA75B1" w:rsidP="00FC5303">
            <w:pPr>
              <w:pStyle w:val="Paragraphedeliste"/>
              <w:numPr>
                <w:ilvl w:val="0"/>
                <w:numId w:val="147"/>
              </w:numPr>
              <w:ind w:left="360"/>
              <w:rPr>
                <w:rFonts w:cs="Times New Roman"/>
              </w:rPr>
            </w:pPr>
            <w:r w:rsidRPr="00F012F8">
              <w:rPr>
                <w:rFonts w:cs="Times New Roman"/>
              </w:rPr>
              <w:t>Exposition in utero aux estrogènes maternels et aromatisation des androgènes par le placenta.</w:t>
            </w:r>
          </w:p>
          <w:p w:rsidR="00AA75B1" w:rsidRPr="00F012F8" w:rsidRDefault="00AA75B1" w:rsidP="00E7139A">
            <w:pPr>
              <w:rPr>
                <w:rFonts w:cs="Times New Roman"/>
              </w:rPr>
            </w:pPr>
          </w:p>
          <w:p w:rsidR="00AA75B1" w:rsidRPr="00F012F8" w:rsidRDefault="00AA75B1" w:rsidP="00FC5303">
            <w:pPr>
              <w:pStyle w:val="Paragraphedeliste"/>
              <w:numPr>
                <w:ilvl w:val="0"/>
                <w:numId w:val="147"/>
              </w:numPr>
              <w:ind w:left="360"/>
              <w:rPr>
                <w:rFonts w:cs="Times New Roman"/>
              </w:rPr>
            </w:pPr>
            <w:r w:rsidRPr="00F012F8">
              <w:rPr>
                <w:rFonts w:cs="Times New Roman"/>
              </w:rPr>
              <w:t>Adrénarche engendre une augmentation de testostérone (aromatisés en périphérie)</w:t>
            </w:r>
          </w:p>
          <w:p w:rsidR="00C94F3B" w:rsidRPr="00F012F8" w:rsidRDefault="00C94F3B" w:rsidP="00E7139A">
            <w:pPr>
              <w:rPr>
                <w:rFonts w:cs="Times New Roman"/>
              </w:rPr>
            </w:pPr>
          </w:p>
          <w:p w:rsidR="00C94F3B" w:rsidRPr="00F012F8" w:rsidRDefault="00C94F3B" w:rsidP="00FC5303">
            <w:pPr>
              <w:pStyle w:val="Paragraphedeliste"/>
              <w:numPr>
                <w:ilvl w:val="0"/>
                <w:numId w:val="147"/>
              </w:numPr>
              <w:ind w:left="360"/>
              <w:rPr>
                <w:rFonts w:cs="Times New Roman"/>
              </w:rPr>
            </w:pPr>
            <w:r w:rsidRPr="00F012F8">
              <w:rPr>
                <w:rFonts w:cs="Times New Roman"/>
                <w:highlight w:val="yellow"/>
              </w:rPr>
              <w:t xml:space="preserve">Gynécomastie pédiatrique </w:t>
            </w:r>
            <w:r w:rsidRPr="00F012F8">
              <w:rPr>
                <w:rFonts w:cs="Times New Roman"/>
                <w:highlight w:val="yellow"/>
                <w:u w:val="single"/>
              </w:rPr>
              <w:t>pré-pubertaire</w:t>
            </w:r>
            <w:r w:rsidRPr="00F012F8">
              <w:rPr>
                <w:rFonts w:cs="Times New Roman"/>
                <w:highlight w:val="yellow"/>
              </w:rPr>
              <w:t xml:space="preserve"> = toujours pathologique</w:t>
            </w:r>
          </w:p>
        </w:tc>
      </w:tr>
      <w:tr w:rsidR="0074749C" w:rsidRPr="00F012F8" w:rsidTr="008E60EF">
        <w:tc>
          <w:tcPr>
            <w:tcW w:w="2497" w:type="dxa"/>
          </w:tcPr>
          <w:p w:rsidR="0074749C" w:rsidRPr="00F012F8" w:rsidRDefault="0074749C" w:rsidP="00D02E37">
            <w:pPr>
              <w:rPr>
                <w:rFonts w:cs="Times New Roman"/>
                <w:highlight w:val="yellow"/>
              </w:rPr>
            </w:pPr>
            <w:r w:rsidRPr="00F012F8">
              <w:rPr>
                <w:rFonts w:cs="Times New Roman"/>
                <w:highlight w:val="yellow"/>
              </w:rPr>
              <w:lastRenderedPageBreak/>
              <w:t>Idiopathique</w:t>
            </w:r>
          </w:p>
        </w:tc>
        <w:tc>
          <w:tcPr>
            <w:tcW w:w="1659" w:type="dxa"/>
          </w:tcPr>
          <w:p w:rsidR="0074749C" w:rsidRPr="00F012F8" w:rsidRDefault="0074749C" w:rsidP="00D02E37">
            <w:pPr>
              <w:rPr>
                <w:rFonts w:cs="Times New Roman"/>
                <w:highlight w:val="yellow"/>
              </w:rPr>
            </w:pPr>
          </w:p>
        </w:tc>
        <w:tc>
          <w:tcPr>
            <w:tcW w:w="6860" w:type="dxa"/>
          </w:tcPr>
          <w:p w:rsidR="0074749C" w:rsidRPr="00F012F8" w:rsidRDefault="005B5859" w:rsidP="005F15AE">
            <w:pPr>
              <w:rPr>
                <w:rFonts w:cs="Times New Roman"/>
                <w:highlight w:val="yellow"/>
              </w:rPr>
            </w:pPr>
            <w:r w:rsidRPr="00F012F8">
              <w:rPr>
                <w:rFonts w:cs="Times New Roman"/>
              </w:rPr>
              <w:t xml:space="preserve">Aucune cause identifiée. </w:t>
            </w:r>
            <w:r w:rsidR="005F15AE" w:rsidRPr="00F012F8">
              <w:rPr>
                <w:rFonts w:cs="Times New Roman"/>
              </w:rPr>
              <w:t>Souvent</w:t>
            </w:r>
            <w:r w:rsidRPr="00F012F8">
              <w:rPr>
                <w:rFonts w:cs="Times New Roman"/>
              </w:rPr>
              <w:t xml:space="preserve"> persistance de la gynécomastie pubertaire chez le jeune adulte.</w:t>
            </w:r>
          </w:p>
        </w:tc>
      </w:tr>
      <w:tr w:rsidR="00086E72" w:rsidRPr="00F012F8" w:rsidTr="008E60EF">
        <w:tc>
          <w:tcPr>
            <w:tcW w:w="2497" w:type="dxa"/>
          </w:tcPr>
          <w:p w:rsidR="00086E72" w:rsidRPr="00F012F8" w:rsidRDefault="00086E72" w:rsidP="00A969E6">
            <w:pPr>
              <w:rPr>
                <w:rFonts w:cs="Times New Roman"/>
                <w:highlight w:val="yellow"/>
              </w:rPr>
            </w:pPr>
            <w:r w:rsidRPr="00F012F8">
              <w:rPr>
                <w:rFonts w:cs="Times New Roman"/>
                <w:highlight w:val="yellow"/>
              </w:rPr>
              <w:t>Pseudogynécomastie (lipomastie)</w:t>
            </w:r>
          </w:p>
        </w:tc>
        <w:tc>
          <w:tcPr>
            <w:tcW w:w="1659" w:type="dxa"/>
          </w:tcPr>
          <w:p w:rsidR="00086E72" w:rsidRPr="00F012F8" w:rsidRDefault="00086E72" w:rsidP="00A969E6">
            <w:pPr>
              <w:rPr>
                <w:rFonts w:cs="Times New Roman"/>
                <w:highlight w:val="yellow"/>
              </w:rPr>
            </w:pPr>
            <w:r w:rsidRPr="00F012F8">
              <w:rPr>
                <w:rFonts w:cs="Times New Roman"/>
                <w:highlight w:val="yellow"/>
              </w:rPr>
              <w:t>Fréquent</w:t>
            </w:r>
          </w:p>
        </w:tc>
        <w:tc>
          <w:tcPr>
            <w:tcW w:w="6860" w:type="dxa"/>
          </w:tcPr>
          <w:p w:rsidR="00086E72" w:rsidRPr="00F012F8" w:rsidRDefault="00086E72" w:rsidP="00A969E6">
            <w:pPr>
              <w:rPr>
                <w:rFonts w:cs="Times New Roman"/>
                <w:highlight w:val="yellow"/>
              </w:rPr>
            </w:pPr>
            <w:r w:rsidRPr="00F012F8">
              <w:rPr>
                <w:rFonts w:cs="Times New Roman"/>
                <w:highlight w:val="yellow"/>
              </w:rPr>
              <w:t>Pas de différence à la palpation avec le tissu adipeux adjacent</w:t>
            </w:r>
          </w:p>
          <w:p w:rsidR="00086E72" w:rsidRPr="00F012F8" w:rsidRDefault="00086E72" w:rsidP="00A969E6">
            <w:pPr>
              <w:rPr>
                <w:rFonts w:cs="Times New Roman"/>
                <w:highlight w:val="yellow"/>
              </w:rPr>
            </w:pPr>
            <w:r w:rsidRPr="00F012F8">
              <w:rPr>
                <w:rFonts w:cs="Times New Roman"/>
                <w:highlight w:val="yellow"/>
              </w:rPr>
              <w:t>Absence de masse/rebord glandulaire à la palpation</w:t>
            </w:r>
          </w:p>
        </w:tc>
      </w:tr>
      <w:tr w:rsidR="00086E72" w:rsidRPr="00F012F8" w:rsidTr="008E60EF">
        <w:tc>
          <w:tcPr>
            <w:tcW w:w="2497" w:type="dxa"/>
          </w:tcPr>
          <w:p w:rsidR="00086E72" w:rsidRPr="00F012F8" w:rsidRDefault="00086E72" w:rsidP="00D02E37">
            <w:pPr>
              <w:rPr>
                <w:rFonts w:cs="Times New Roman"/>
              </w:rPr>
            </w:pPr>
            <w:r w:rsidRPr="00F012F8">
              <w:rPr>
                <w:rFonts w:cs="Times New Roman"/>
                <w:highlight w:val="yellow"/>
              </w:rPr>
              <w:t>Gynécomastie d’origine médicamenteuse</w:t>
            </w:r>
          </w:p>
        </w:tc>
        <w:tc>
          <w:tcPr>
            <w:tcW w:w="1659" w:type="dxa"/>
          </w:tcPr>
          <w:p w:rsidR="00086E72" w:rsidRPr="00F012F8" w:rsidRDefault="00086E72" w:rsidP="00D02E37">
            <w:pPr>
              <w:rPr>
                <w:rFonts w:cs="Times New Roman"/>
              </w:rPr>
            </w:pPr>
            <w:r w:rsidRPr="00F012F8">
              <w:rPr>
                <w:rFonts w:cs="Times New Roman"/>
              </w:rPr>
              <w:t xml:space="preserve">Multiples médicaments en cause </w:t>
            </w:r>
          </w:p>
          <w:p w:rsidR="00086E72" w:rsidRPr="00F012F8" w:rsidRDefault="00086E72" w:rsidP="00D02E37">
            <w:pPr>
              <w:rPr>
                <w:rFonts w:cs="Times New Roman"/>
              </w:rPr>
            </w:pPr>
            <w:r w:rsidRPr="00F012F8">
              <w:rPr>
                <w:rFonts w:cs="Times New Roman"/>
              </w:rPr>
              <w:t>(voir liste exhaustive)</w:t>
            </w:r>
          </w:p>
        </w:tc>
        <w:tc>
          <w:tcPr>
            <w:tcW w:w="6860" w:type="dxa"/>
          </w:tcPr>
          <w:p w:rsidR="00086E72" w:rsidRPr="00F012F8" w:rsidRDefault="00086E72" w:rsidP="00FC5303">
            <w:pPr>
              <w:pStyle w:val="Paragraphedeliste"/>
              <w:numPr>
                <w:ilvl w:val="0"/>
                <w:numId w:val="146"/>
              </w:numPr>
              <w:rPr>
                <w:rFonts w:cs="Times New Roman"/>
              </w:rPr>
            </w:pPr>
            <w:r w:rsidRPr="00F012F8">
              <w:rPr>
                <w:rFonts w:cs="Times New Roman"/>
                <w:highlight w:val="yellow"/>
              </w:rPr>
              <w:t>Suspecter si histoire de prise des médicaments suivants</w:t>
            </w:r>
            <w:r w:rsidRPr="00F012F8">
              <w:rPr>
                <w:rFonts w:cs="Times New Roman"/>
              </w:rPr>
              <w:t> :</w:t>
            </w:r>
          </w:p>
          <w:p w:rsidR="00086E72" w:rsidRPr="00F012F8" w:rsidRDefault="00086E72" w:rsidP="00C35EEF">
            <w:pPr>
              <w:pStyle w:val="Paragraphedeliste"/>
              <w:numPr>
                <w:ilvl w:val="0"/>
                <w:numId w:val="145"/>
              </w:numPr>
              <w:rPr>
                <w:rFonts w:cs="Times New Roman"/>
              </w:rPr>
            </w:pPr>
            <w:r w:rsidRPr="00F012F8">
              <w:rPr>
                <w:rFonts w:cs="Times New Roman"/>
              </w:rPr>
              <w:t>Spironolactone</w:t>
            </w:r>
          </w:p>
          <w:p w:rsidR="00086E72" w:rsidRPr="00F012F8" w:rsidRDefault="00086E72" w:rsidP="00C35EEF">
            <w:pPr>
              <w:pStyle w:val="Paragraphedeliste"/>
              <w:numPr>
                <w:ilvl w:val="0"/>
                <w:numId w:val="145"/>
              </w:numPr>
              <w:rPr>
                <w:rFonts w:cs="Times New Roman"/>
              </w:rPr>
            </w:pPr>
            <w:r w:rsidRPr="00F012F8">
              <w:rPr>
                <w:rFonts w:cs="Times New Roman"/>
              </w:rPr>
              <w:t>Ketoconazole</w:t>
            </w:r>
          </w:p>
          <w:p w:rsidR="00086E72" w:rsidRPr="00F012F8" w:rsidRDefault="00086E72" w:rsidP="00C35EEF">
            <w:pPr>
              <w:pStyle w:val="Paragraphedeliste"/>
              <w:numPr>
                <w:ilvl w:val="0"/>
                <w:numId w:val="145"/>
              </w:numPr>
              <w:rPr>
                <w:rFonts w:cs="Times New Roman"/>
              </w:rPr>
            </w:pPr>
            <w:r w:rsidRPr="00F012F8">
              <w:rPr>
                <w:rFonts w:cs="Times New Roman"/>
              </w:rPr>
              <w:t>Cimetidine</w:t>
            </w:r>
          </w:p>
          <w:p w:rsidR="00086E72" w:rsidRPr="00F012F8" w:rsidRDefault="00086E72" w:rsidP="00C35EEF">
            <w:pPr>
              <w:pStyle w:val="Paragraphedeliste"/>
              <w:numPr>
                <w:ilvl w:val="0"/>
                <w:numId w:val="145"/>
              </w:numPr>
              <w:rPr>
                <w:rFonts w:cs="Times New Roman"/>
              </w:rPr>
            </w:pPr>
            <w:r w:rsidRPr="00F012F8">
              <w:rPr>
                <w:rFonts w:cs="Times New Roman"/>
              </w:rPr>
              <w:t xml:space="preserve">Digitale </w:t>
            </w:r>
          </w:p>
          <w:p w:rsidR="00086E72" w:rsidRPr="00F012F8" w:rsidRDefault="00086E72" w:rsidP="00946E1F">
            <w:pPr>
              <w:pStyle w:val="Paragraphedeliste"/>
              <w:numPr>
                <w:ilvl w:val="0"/>
                <w:numId w:val="145"/>
              </w:numPr>
              <w:rPr>
                <w:rFonts w:cs="Times New Roman"/>
              </w:rPr>
            </w:pPr>
            <w:r w:rsidRPr="00F012F8">
              <w:rPr>
                <w:rFonts w:cs="Times New Roman"/>
              </w:rPr>
              <w:t>Estrogènes, testostérone, HCG, etc.</w:t>
            </w:r>
          </w:p>
        </w:tc>
      </w:tr>
      <w:tr w:rsidR="00086E72" w:rsidRPr="00F012F8" w:rsidTr="008E60EF">
        <w:tc>
          <w:tcPr>
            <w:tcW w:w="2497" w:type="dxa"/>
          </w:tcPr>
          <w:p w:rsidR="00086E72" w:rsidRPr="00F012F8" w:rsidRDefault="00086E72" w:rsidP="008E60EF">
            <w:pPr>
              <w:rPr>
                <w:rFonts w:cs="Times New Roman"/>
              </w:rPr>
            </w:pPr>
            <w:r w:rsidRPr="00F012F8">
              <w:rPr>
                <w:rFonts w:cs="Times New Roman"/>
              </w:rPr>
              <w:t xml:space="preserve">Cirrhose </w:t>
            </w:r>
          </w:p>
        </w:tc>
        <w:tc>
          <w:tcPr>
            <w:tcW w:w="1659" w:type="dxa"/>
          </w:tcPr>
          <w:p w:rsidR="00086E72" w:rsidRPr="00F012F8" w:rsidRDefault="00086E72" w:rsidP="00D02E37">
            <w:pPr>
              <w:rPr>
                <w:rFonts w:cs="Times New Roman"/>
              </w:rPr>
            </w:pPr>
          </w:p>
        </w:tc>
        <w:tc>
          <w:tcPr>
            <w:tcW w:w="6860" w:type="dxa"/>
          </w:tcPr>
          <w:p w:rsidR="00086E72" w:rsidRPr="00F012F8" w:rsidRDefault="00086E72" w:rsidP="00FC5303">
            <w:pPr>
              <w:pStyle w:val="Paragraphedeliste"/>
              <w:numPr>
                <w:ilvl w:val="0"/>
                <w:numId w:val="148"/>
              </w:numPr>
              <w:rPr>
                <w:rFonts w:cs="Times New Roman"/>
              </w:rPr>
            </w:pPr>
            <w:r w:rsidRPr="00F012F8">
              <w:rPr>
                <w:rFonts w:cs="Times New Roman"/>
              </w:rPr>
              <w:t>Anorexie</w:t>
            </w:r>
          </w:p>
          <w:p w:rsidR="00086E72" w:rsidRPr="00F012F8" w:rsidRDefault="00086E72" w:rsidP="00FC5303">
            <w:pPr>
              <w:pStyle w:val="Paragraphedeliste"/>
              <w:numPr>
                <w:ilvl w:val="0"/>
                <w:numId w:val="148"/>
              </w:numPr>
              <w:rPr>
                <w:rFonts w:cs="Times New Roman"/>
              </w:rPr>
            </w:pPr>
            <w:r w:rsidRPr="00F012F8">
              <w:rPr>
                <w:rFonts w:cs="Times New Roman"/>
              </w:rPr>
              <w:t>No/Vo</w:t>
            </w:r>
          </w:p>
          <w:p w:rsidR="00086E72" w:rsidRPr="00F012F8" w:rsidRDefault="00086E72" w:rsidP="008E60EF">
            <w:pPr>
              <w:pStyle w:val="Paragraphedeliste"/>
              <w:ind w:left="360"/>
              <w:rPr>
                <w:rFonts w:cs="Times New Roman"/>
              </w:rPr>
            </w:pPr>
          </w:p>
          <w:p w:rsidR="00086E72" w:rsidRPr="00F012F8" w:rsidRDefault="00086E72" w:rsidP="00FC5303">
            <w:pPr>
              <w:pStyle w:val="Paragraphedeliste"/>
              <w:numPr>
                <w:ilvl w:val="0"/>
                <w:numId w:val="148"/>
              </w:numPr>
              <w:rPr>
                <w:rFonts w:cs="Times New Roman"/>
                <w:highlight w:val="yellow"/>
              </w:rPr>
            </w:pPr>
            <w:r w:rsidRPr="00F012F8">
              <w:rPr>
                <w:rFonts w:cs="Times New Roman"/>
                <w:highlight w:val="yellow"/>
              </w:rPr>
              <w:t>Ictère</w:t>
            </w:r>
          </w:p>
          <w:p w:rsidR="00086E72" w:rsidRPr="00F012F8" w:rsidRDefault="00086E72" w:rsidP="00FC5303">
            <w:pPr>
              <w:pStyle w:val="Paragraphedeliste"/>
              <w:numPr>
                <w:ilvl w:val="0"/>
                <w:numId w:val="148"/>
              </w:numPr>
              <w:rPr>
                <w:rFonts w:cs="Times New Roman"/>
                <w:highlight w:val="yellow"/>
              </w:rPr>
            </w:pPr>
            <w:r w:rsidRPr="00F012F8">
              <w:rPr>
                <w:rFonts w:cs="Times New Roman"/>
                <w:highlight w:val="yellow"/>
              </w:rPr>
              <w:t>Œdème</w:t>
            </w:r>
          </w:p>
          <w:p w:rsidR="00086E72" w:rsidRPr="00F012F8" w:rsidRDefault="00086E72" w:rsidP="00FC5303">
            <w:pPr>
              <w:pStyle w:val="Paragraphedeliste"/>
              <w:numPr>
                <w:ilvl w:val="0"/>
                <w:numId w:val="148"/>
              </w:numPr>
              <w:rPr>
                <w:rFonts w:cs="Times New Roman"/>
                <w:highlight w:val="yellow"/>
              </w:rPr>
            </w:pPr>
            <w:r w:rsidRPr="00F012F8">
              <w:rPr>
                <w:rFonts w:cs="Times New Roman"/>
                <w:highlight w:val="yellow"/>
              </w:rPr>
              <w:t>Dénutrition avec réalimentation rapide</w:t>
            </w:r>
          </w:p>
          <w:p w:rsidR="00086E72" w:rsidRPr="00F012F8" w:rsidRDefault="00086E72" w:rsidP="00FC5303">
            <w:pPr>
              <w:pStyle w:val="Paragraphedeliste"/>
              <w:numPr>
                <w:ilvl w:val="0"/>
                <w:numId w:val="148"/>
              </w:numPr>
              <w:rPr>
                <w:rFonts w:cs="Times New Roman"/>
                <w:highlight w:val="yellow"/>
              </w:rPr>
            </w:pPr>
            <w:r w:rsidRPr="00F012F8">
              <w:rPr>
                <w:rFonts w:cs="Times New Roman"/>
                <w:highlight w:val="yellow"/>
              </w:rPr>
              <w:t>Foie nodulaire et augmenté de volume à la palpation</w:t>
            </w:r>
          </w:p>
          <w:p w:rsidR="00086E72" w:rsidRPr="00F012F8" w:rsidRDefault="00086E72" w:rsidP="00446F8B">
            <w:pPr>
              <w:jc w:val="center"/>
              <w:rPr>
                <w:rFonts w:cs="Times New Roman"/>
              </w:rPr>
            </w:pPr>
            <w:r w:rsidRPr="00446F8B">
              <w:rPr>
                <w:rFonts w:cs="Times New Roman"/>
              </w:rPr>
              <w:t xml:space="preserve">( Voir </w:t>
            </w:r>
            <w:r w:rsidR="00446F8B" w:rsidRPr="00446F8B">
              <w:rPr>
                <w:rFonts w:cs="Times New Roman"/>
                <w:i/>
              </w:rPr>
              <w:t>Douleur abdominale chronique CMC 3-4</w:t>
            </w:r>
            <w:r w:rsidRPr="00446F8B">
              <w:rPr>
                <w:rFonts w:cs="Times New Roman"/>
              </w:rPr>
              <w:t xml:space="preserve"> )</w:t>
            </w:r>
            <w:r w:rsidRPr="00F012F8">
              <w:rPr>
                <w:rFonts w:cs="Times New Roman"/>
              </w:rPr>
              <w:t xml:space="preserve"> pour les stigmates</w:t>
            </w:r>
          </w:p>
        </w:tc>
      </w:tr>
      <w:tr w:rsidR="00086E72" w:rsidRPr="00F012F8" w:rsidTr="008E60EF">
        <w:tc>
          <w:tcPr>
            <w:tcW w:w="2497" w:type="dxa"/>
          </w:tcPr>
          <w:p w:rsidR="00086E72" w:rsidRPr="00F012F8" w:rsidRDefault="00086E72" w:rsidP="00D02E37">
            <w:pPr>
              <w:rPr>
                <w:rFonts w:cs="Times New Roman"/>
              </w:rPr>
            </w:pPr>
            <w:r w:rsidRPr="00F012F8">
              <w:rPr>
                <w:rFonts w:cs="Times New Roman"/>
              </w:rPr>
              <w:t xml:space="preserve">Hyperthyroïdisme </w:t>
            </w:r>
          </w:p>
          <w:p w:rsidR="00086E72" w:rsidRPr="00F012F8" w:rsidRDefault="00086E72" w:rsidP="00D02E37">
            <w:pPr>
              <w:rPr>
                <w:rFonts w:cs="Times New Roman"/>
              </w:rPr>
            </w:pPr>
            <w:r w:rsidRPr="00F012F8">
              <w:rPr>
                <w:rFonts w:cs="Times New Roman"/>
              </w:rPr>
              <w:t>(Maladie de Graves ou autre cause)</w:t>
            </w:r>
          </w:p>
        </w:tc>
        <w:tc>
          <w:tcPr>
            <w:tcW w:w="1659" w:type="dxa"/>
          </w:tcPr>
          <w:p w:rsidR="00086E72" w:rsidRPr="00F012F8" w:rsidRDefault="00086E72" w:rsidP="00D02E37">
            <w:pPr>
              <w:rPr>
                <w:rFonts w:cs="Times New Roman"/>
              </w:rPr>
            </w:pPr>
          </w:p>
        </w:tc>
        <w:tc>
          <w:tcPr>
            <w:tcW w:w="6860" w:type="dxa"/>
          </w:tcPr>
          <w:p w:rsidR="00086E72" w:rsidRPr="00F012F8" w:rsidRDefault="00086E72" w:rsidP="00FC5303">
            <w:pPr>
              <w:pStyle w:val="Paragraphedeliste"/>
              <w:numPr>
                <w:ilvl w:val="0"/>
                <w:numId w:val="149"/>
              </w:numPr>
              <w:ind w:left="360"/>
              <w:rPr>
                <w:rFonts w:cs="Times New Roman"/>
              </w:rPr>
            </w:pPr>
            <w:r w:rsidRPr="00F012F8">
              <w:rPr>
                <w:rFonts w:cs="Times New Roman"/>
              </w:rPr>
              <w:t>Appétit augmenté</w:t>
            </w:r>
          </w:p>
          <w:p w:rsidR="00086E72" w:rsidRPr="00F012F8" w:rsidRDefault="00086E72" w:rsidP="00FC5303">
            <w:pPr>
              <w:pStyle w:val="Paragraphedeliste"/>
              <w:numPr>
                <w:ilvl w:val="0"/>
                <w:numId w:val="149"/>
              </w:numPr>
              <w:ind w:left="360"/>
              <w:rPr>
                <w:rFonts w:cs="Times New Roman"/>
              </w:rPr>
            </w:pPr>
            <w:r w:rsidRPr="00F012F8">
              <w:rPr>
                <w:rFonts w:cs="Times New Roman"/>
              </w:rPr>
              <w:t>Intolérance à la chaleur</w:t>
            </w:r>
          </w:p>
          <w:p w:rsidR="00086E72" w:rsidRPr="00F012F8" w:rsidRDefault="00086E72" w:rsidP="00FC5303">
            <w:pPr>
              <w:pStyle w:val="Paragraphedeliste"/>
              <w:numPr>
                <w:ilvl w:val="0"/>
                <w:numId w:val="149"/>
              </w:numPr>
              <w:ind w:left="360"/>
              <w:rPr>
                <w:rFonts w:cs="Times New Roman"/>
              </w:rPr>
            </w:pPr>
            <w:r w:rsidRPr="00F012F8">
              <w:rPr>
                <w:rFonts w:cs="Times New Roman"/>
              </w:rPr>
              <w:t>Perte de poids</w:t>
            </w:r>
          </w:p>
          <w:p w:rsidR="00086E72" w:rsidRPr="00F012F8" w:rsidRDefault="00086E72" w:rsidP="00FC5303">
            <w:pPr>
              <w:pStyle w:val="Paragraphedeliste"/>
              <w:numPr>
                <w:ilvl w:val="0"/>
                <w:numId w:val="149"/>
              </w:numPr>
              <w:ind w:left="360"/>
              <w:rPr>
                <w:rFonts w:cs="Times New Roman"/>
              </w:rPr>
            </w:pPr>
            <w:r w:rsidRPr="00F012F8">
              <w:rPr>
                <w:rFonts w:cs="Times New Roman"/>
              </w:rPr>
              <w:t>Tremblements</w:t>
            </w:r>
          </w:p>
          <w:p w:rsidR="00086E72" w:rsidRPr="00F012F8" w:rsidRDefault="00086E72" w:rsidP="008E60EF">
            <w:pPr>
              <w:rPr>
                <w:rFonts w:cs="Times New Roman"/>
              </w:rPr>
            </w:pPr>
          </w:p>
          <w:p w:rsidR="00086E72" w:rsidRPr="00F012F8" w:rsidRDefault="00086E72" w:rsidP="00FC5303">
            <w:pPr>
              <w:pStyle w:val="Paragraphedeliste"/>
              <w:numPr>
                <w:ilvl w:val="0"/>
                <w:numId w:val="149"/>
              </w:numPr>
              <w:ind w:left="360"/>
              <w:rPr>
                <w:rFonts w:cs="Times New Roman"/>
              </w:rPr>
            </w:pPr>
            <w:r w:rsidRPr="00F012F8">
              <w:rPr>
                <w:rFonts w:cs="Times New Roman"/>
              </w:rPr>
              <w:t xml:space="preserve">Cheveux fins </w:t>
            </w:r>
          </w:p>
          <w:p w:rsidR="00086E72" w:rsidRPr="00F012F8" w:rsidRDefault="00086E72" w:rsidP="00FC5303">
            <w:pPr>
              <w:pStyle w:val="Paragraphedeliste"/>
              <w:numPr>
                <w:ilvl w:val="0"/>
                <w:numId w:val="149"/>
              </w:numPr>
              <w:ind w:left="360"/>
              <w:rPr>
                <w:rFonts w:cs="Times New Roman"/>
              </w:rPr>
            </w:pPr>
            <w:r w:rsidRPr="00F012F8">
              <w:rPr>
                <w:rFonts w:cs="Times New Roman"/>
              </w:rPr>
              <w:t xml:space="preserve">Peau </w:t>
            </w:r>
            <w:r w:rsidR="004F4825">
              <w:rPr>
                <w:rFonts w:cs="Times New Roman"/>
              </w:rPr>
              <w:t>moite</w:t>
            </w:r>
          </w:p>
          <w:p w:rsidR="00086E72" w:rsidRPr="00F012F8" w:rsidRDefault="00086E72" w:rsidP="00FC5303">
            <w:pPr>
              <w:pStyle w:val="Paragraphedeliste"/>
              <w:numPr>
                <w:ilvl w:val="0"/>
                <w:numId w:val="150"/>
              </w:numPr>
              <w:rPr>
                <w:rFonts w:cs="Times New Roman"/>
              </w:rPr>
            </w:pPr>
            <w:r w:rsidRPr="00F012F8">
              <w:rPr>
                <w:rFonts w:cs="Times New Roman"/>
              </w:rPr>
              <w:t>Goitre, exophtalmie (Graves)</w:t>
            </w:r>
          </w:p>
        </w:tc>
      </w:tr>
      <w:tr w:rsidR="00086E72" w:rsidRPr="00F012F8" w:rsidTr="008E60EF">
        <w:tc>
          <w:tcPr>
            <w:tcW w:w="2497" w:type="dxa"/>
          </w:tcPr>
          <w:p w:rsidR="00086E72" w:rsidRPr="00F012F8" w:rsidRDefault="00086E72" w:rsidP="00A969E6">
            <w:pPr>
              <w:rPr>
                <w:rFonts w:cs="Times New Roman"/>
              </w:rPr>
            </w:pPr>
            <w:r w:rsidRPr="00F012F8">
              <w:rPr>
                <w:rFonts w:cs="Times New Roman"/>
                <w:highlight w:val="yellow"/>
              </w:rPr>
              <w:t>Syndrome de Klinefelter (Hypogonadisme congénital)</w:t>
            </w:r>
          </w:p>
        </w:tc>
        <w:tc>
          <w:tcPr>
            <w:tcW w:w="1659" w:type="dxa"/>
          </w:tcPr>
          <w:p w:rsidR="00086E72" w:rsidRPr="00F012F8" w:rsidRDefault="00086E72" w:rsidP="00A969E6">
            <w:pPr>
              <w:rPr>
                <w:rFonts w:cs="Times New Roman"/>
              </w:rPr>
            </w:pPr>
            <w:r w:rsidRPr="00F012F8">
              <w:rPr>
                <w:rFonts w:cs="Times New Roman"/>
              </w:rPr>
              <w:t xml:space="preserve">47 XXY </w:t>
            </w:r>
          </w:p>
          <w:p w:rsidR="00086E72" w:rsidRPr="00F012F8" w:rsidRDefault="00086E72" w:rsidP="00A969E6">
            <w:pPr>
              <w:rPr>
                <w:rFonts w:cs="Times New Roman"/>
              </w:rPr>
            </w:pPr>
            <w:r w:rsidRPr="00F012F8">
              <w:rPr>
                <w:rFonts w:cs="Times New Roman"/>
              </w:rPr>
              <w:t>(autres caryotypes possibles)</w:t>
            </w:r>
          </w:p>
        </w:tc>
        <w:tc>
          <w:tcPr>
            <w:tcW w:w="6860" w:type="dxa"/>
          </w:tcPr>
          <w:p w:rsidR="00086E72" w:rsidRPr="00F012F8" w:rsidRDefault="00086E72" w:rsidP="008E60EF">
            <w:pPr>
              <w:rPr>
                <w:rFonts w:cs="Times New Roman"/>
                <w:color w:val="000000"/>
                <w:shd w:val="clear" w:color="auto" w:fill="FFFFFF"/>
              </w:rPr>
            </w:pPr>
            <w:r w:rsidRPr="00F012F8">
              <w:rPr>
                <w:rFonts w:cs="Times New Roman"/>
                <w:i/>
                <w:color w:val="000000"/>
                <w:shd w:val="clear" w:color="auto" w:fill="FFFFFF"/>
              </w:rPr>
              <w:t>Voir dysfonction olfactive/gustative (CMC 100-1 – Klinefelter</w:t>
            </w:r>
            <w:r w:rsidRPr="00F012F8">
              <w:rPr>
                <w:rFonts w:cs="Times New Roman"/>
                <w:color w:val="000000"/>
                <w:shd w:val="clear" w:color="auto" w:fill="FFFFFF"/>
              </w:rPr>
              <w:t xml:space="preserve">) </w:t>
            </w:r>
          </w:p>
          <w:p w:rsidR="00086E72" w:rsidRPr="00F012F8" w:rsidRDefault="00086E72" w:rsidP="008E60EF">
            <w:pPr>
              <w:rPr>
                <w:rFonts w:cs="Times New Roman"/>
                <w:color w:val="000000"/>
                <w:shd w:val="clear" w:color="auto" w:fill="FFFFFF"/>
              </w:rPr>
            </w:pPr>
          </w:p>
          <w:p w:rsidR="00086E72" w:rsidRPr="00F012F8" w:rsidRDefault="00086E72" w:rsidP="008E60EF">
            <w:pPr>
              <w:rPr>
                <w:rFonts w:cs="Times New Roman"/>
                <w:color w:val="000000"/>
                <w:u w:val="single"/>
                <w:shd w:val="clear" w:color="auto" w:fill="FFFFFF"/>
              </w:rPr>
            </w:pPr>
            <w:r w:rsidRPr="00F012F8">
              <w:rPr>
                <w:rFonts w:cs="Times New Roman"/>
                <w:color w:val="000000"/>
                <w:u w:val="single"/>
                <w:shd w:val="clear" w:color="auto" w:fill="FFFFFF"/>
              </w:rPr>
              <w:t xml:space="preserve">Ici noter : </w:t>
            </w:r>
          </w:p>
          <w:p w:rsidR="00086E72" w:rsidRPr="00F012F8" w:rsidRDefault="00086E72" w:rsidP="00FC5303">
            <w:pPr>
              <w:pStyle w:val="Paragraphedeliste"/>
              <w:numPr>
                <w:ilvl w:val="0"/>
                <w:numId w:val="150"/>
              </w:numPr>
              <w:rPr>
                <w:rFonts w:cs="Times New Roman"/>
                <w:color w:val="000000"/>
                <w:shd w:val="clear" w:color="auto" w:fill="FFFFFF"/>
              </w:rPr>
            </w:pPr>
            <w:r w:rsidRPr="00F012F8">
              <w:rPr>
                <w:rFonts w:cs="Times New Roman"/>
                <w:color w:val="000000"/>
                <w:shd w:val="clear" w:color="auto" w:fill="FFFFFF"/>
              </w:rPr>
              <w:t xml:space="preserve">Infertilité </w:t>
            </w:r>
          </w:p>
          <w:p w:rsidR="00086E72" w:rsidRPr="00F012F8" w:rsidRDefault="00086E72" w:rsidP="00FC5303">
            <w:pPr>
              <w:pStyle w:val="Paragraphedeliste"/>
              <w:numPr>
                <w:ilvl w:val="0"/>
                <w:numId w:val="150"/>
              </w:numPr>
              <w:rPr>
                <w:rFonts w:cs="Times New Roman"/>
                <w:color w:val="000000"/>
                <w:shd w:val="clear" w:color="auto" w:fill="FFFFFF"/>
              </w:rPr>
            </w:pPr>
            <w:r w:rsidRPr="00F012F8">
              <w:rPr>
                <w:rFonts w:cs="Times New Roman"/>
                <w:color w:val="000000"/>
                <w:shd w:val="clear" w:color="auto" w:fill="FFFFFF"/>
              </w:rPr>
              <w:t>Petits testicules fermes</w:t>
            </w:r>
          </w:p>
          <w:p w:rsidR="00086E72" w:rsidRPr="00F012F8" w:rsidRDefault="00086E72" w:rsidP="00FC5303">
            <w:pPr>
              <w:pStyle w:val="Paragraphedeliste"/>
              <w:numPr>
                <w:ilvl w:val="0"/>
                <w:numId w:val="150"/>
              </w:numPr>
              <w:rPr>
                <w:rFonts w:cs="Times New Roman"/>
              </w:rPr>
            </w:pPr>
            <w:r w:rsidRPr="00F012F8">
              <w:rPr>
                <w:rFonts w:cs="Times New Roman"/>
                <w:color w:val="000000"/>
                <w:shd w:val="clear" w:color="auto" w:fill="FFFFFF"/>
              </w:rPr>
              <w:t>Cryptorchidie (parfois)</w:t>
            </w:r>
          </w:p>
          <w:p w:rsidR="00086E72" w:rsidRPr="00F012F8" w:rsidRDefault="00086E72" w:rsidP="00FC5303">
            <w:pPr>
              <w:pStyle w:val="Paragraphedeliste"/>
              <w:numPr>
                <w:ilvl w:val="0"/>
                <w:numId w:val="150"/>
              </w:numPr>
              <w:rPr>
                <w:rFonts w:cs="Times New Roman"/>
              </w:rPr>
            </w:pPr>
            <w:r w:rsidRPr="00F012F8">
              <w:rPr>
                <w:rFonts w:cs="Times New Roman"/>
                <w:color w:val="000000"/>
                <w:shd w:val="clear" w:color="auto" w:fill="FFFFFF"/>
              </w:rPr>
              <w:t>Grands minces, longs bras et jambes</w:t>
            </w:r>
          </w:p>
        </w:tc>
      </w:tr>
      <w:tr w:rsidR="00086E72" w:rsidRPr="00F012F8" w:rsidTr="00A346A0">
        <w:tc>
          <w:tcPr>
            <w:tcW w:w="2497" w:type="dxa"/>
            <w:tcBorders>
              <w:bottom w:val="single" w:sz="18" w:space="0" w:color="auto"/>
            </w:tcBorders>
          </w:tcPr>
          <w:p w:rsidR="00086E72" w:rsidRPr="00F012F8" w:rsidRDefault="00086E72" w:rsidP="00D02E37">
            <w:pPr>
              <w:rPr>
                <w:rFonts w:cs="Times New Roman"/>
              </w:rPr>
            </w:pPr>
            <w:r w:rsidRPr="00F012F8">
              <w:rPr>
                <w:rFonts w:cs="Times New Roman"/>
              </w:rPr>
              <w:t>Hyperprolactinémie</w:t>
            </w:r>
          </w:p>
        </w:tc>
        <w:tc>
          <w:tcPr>
            <w:tcW w:w="1659" w:type="dxa"/>
            <w:tcBorders>
              <w:bottom w:val="single" w:sz="18" w:space="0" w:color="auto"/>
            </w:tcBorders>
          </w:tcPr>
          <w:p w:rsidR="00086E72" w:rsidRPr="00F012F8" w:rsidRDefault="00086E72" w:rsidP="00D02E37">
            <w:pPr>
              <w:rPr>
                <w:rFonts w:cs="Times New Roman"/>
              </w:rPr>
            </w:pPr>
          </w:p>
        </w:tc>
        <w:tc>
          <w:tcPr>
            <w:tcW w:w="6860" w:type="dxa"/>
            <w:tcBorders>
              <w:bottom w:val="single" w:sz="18" w:space="0" w:color="auto"/>
            </w:tcBorders>
          </w:tcPr>
          <w:p w:rsidR="00086E72" w:rsidRPr="00F012F8" w:rsidRDefault="00086E72" w:rsidP="00FC5303">
            <w:pPr>
              <w:pStyle w:val="Paragraphedeliste"/>
              <w:numPr>
                <w:ilvl w:val="0"/>
                <w:numId w:val="151"/>
              </w:numPr>
              <w:rPr>
                <w:rFonts w:cs="Times New Roman"/>
              </w:rPr>
            </w:pPr>
            <w:r w:rsidRPr="00F012F8">
              <w:rPr>
                <w:rFonts w:cs="Times New Roman"/>
              </w:rPr>
              <w:t>Galactorrhée associée à la gynécomastie</w:t>
            </w:r>
          </w:p>
        </w:tc>
      </w:tr>
      <w:tr w:rsidR="00086E72" w:rsidRPr="00F012F8" w:rsidTr="00A346A0">
        <w:tc>
          <w:tcPr>
            <w:tcW w:w="2497" w:type="dxa"/>
            <w:tcBorders>
              <w:top w:val="single" w:sz="18" w:space="0" w:color="auto"/>
            </w:tcBorders>
          </w:tcPr>
          <w:p w:rsidR="00086E72" w:rsidRPr="00F012F8" w:rsidRDefault="00086E72" w:rsidP="00D02E37">
            <w:pPr>
              <w:rPr>
                <w:rFonts w:cs="Times New Roman"/>
              </w:rPr>
            </w:pPr>
            <w:r w:rsidRPr="00F012F8">
              <w:rPr>
                <w:rFonts w:cs="Times New Roman"/>
              </w:rPr>
              <w:t>Tumeur testiculaire</w:t>
            </w:r>
          </w:p>
        </w:tc>
        <w:tc>
          <w:tcPr>
            <w:tcW w:w="1659" w:type="dxa"/>
            <w:tcBorders>
              <w:top w:val="single" w:sz="18" w:space="0" w:color="auto"/>
            </w:tcBorders>
          </w:tcPr>
          <w:p w:rsidR="00086E72" w:rsidRPr="00F012F8" w:rsidRDefault="00086E72" w:rsidP="00D02E37">
            <w:pPr>
              <w:rPr>
                <w:rFonts w:cs="Times New Roman"/>
              </w:rPr>
            </w:pPr>
          </w:p>
        </w:tc>
        <w:tc>
          <w:tcPr>
            <w:tcW w:w="6860" w:type="dxa"/>
            <w:tcBorders>
              <w:top w:val="single" w:sz="18" w:space="0" w:color="auto"/>
            </w:tcBorders>
          </w:tcPr>
          <w:p w:rsidR="00086E72" w:rsidRPr="00F012F8" w:rsidRDefault="00086E72" w:rsidP="00FC5303">
            <w:pPr>
              <w:pStyle w:val="Paragraphedeliste"/>
              <w:numPr>
                <w:ilvl w:val="0"/>
                <w:numId w:val="152"/>
              </w:numPr>
              <w:rPr>
                <w:rFonts w:cs="Times New Roman"/>
              </w:rPr>
            </w:pPr>
            <w:r w:rsidRPr="00F012F8">
              <w:rPr>
                <w:rFonts w:cs="Times New Roman"/>
              </w:rPr>
              <w:t>Douleur testiculaire</w:t>
            </w:r>
          </w:p>
          <w:p w:rsidR="00086E72" w:rsidRPr="00F012F8" w:rsidRDefault="00086E72" w:rsidP="00FC5303">
            <w:pPr>
              <w:pStyle w:val="Paragraphedeliste"/>
              <w:numPr>
                <w:ilvl w:val="0"/>
                <w:numId w:val="152"/>
              </w:numPr>
              <w:rPr>
                <w:rFonts w:cs="Times New Roman"/>
              </w:rPr>
            </w:pPr>
            <w:r w:rsidRPr="00F012F8">
              <w:rPr>
                <w:rFonts w:cs="Times New Roman"/>
              </w:rPr>
              <w:t>Grossissement d’un testicule</w:t>
            </w:r>
          </w:p>
        </w:tc>
      </w:tr>
      <w:tr w:rsidR="00086E72" w:rsidRPr="00F012F8" w:rsidTr="008E60EF">
        <w:tc>
          <w:tcPr>
            <w:tcW w:w="2497" w:type="dxa"/>
          </w:tcPr>
          <w:p w:rsidR="00086E72" w:rsidRPr="00F012F8" w:rsidRDefault="00086E72" w:rsidP="00D02E37">
            <w:pPr>
              <w:rPr>
                <w:rFonts w:cs="Times New Roman"/>
              </w:rPr>
            </w:pPr>
            <w:r w:rsidRPr="00F012F8">
              <w:rPr>
                <w:rFonts w:cs="Times New Roman"/>
              </w:rPr>
              <w:t>Carcinome mammaire</w:t>
            </w:r>
          </w:p>
        </w:tc>
        <w:tc>
          <w:tcPr>
            <w:tcW w:w="1659" w:type="dxa"/>
          </w:tcPr>
          <w:p w:rsidR="00086E72" w:rsidRPr="00F012F8" w:rsidRDefault="00EE0F04" w:rsidP="00335B93">
            <w:pPr>
              <w:jc w:val="center"/>
              <w:rPr>
                <w:rFonts w:cs="Times New Roman"/>
              </w:rPr>
            </w:pPr>
            <w:r w:rsidRPr="00F012F8">
              <w:rPr>
                <w:rFonts w:cs="Times New Roman"/>
              </w:rPr>
              <w:t>Rare, mais à</w:t>
            </w:r>
            <w:r w:rsidR="00335B93" w:rsidRPr="00F012F8">
              <w:rPr>
                <w:rFonts w:cs="Times New Roman"/>
              </w:rPr>
              <w:t xml:space="preserve"> éliminer</w:t>
            </w:r>
          </w:p>
        </w:tc>
        <w:tc>
          <w:tcPr>
            <w:tcW w:w="6860" w:type="dxa"/>
          </w:tcPr>
          <w:p w:rsidR="00086E72" w:rsidRPr="00F012F8" w:rsidRDefault="00086E72" w:rsidP="00FC5303">
            <w:pPr>
              <w:pStyle w:val="Paragraphedeliste"/>
              <w:numPr>
                <w:ilvl w:val="0"/>
                <w:numId w:val="153"/>
              </w:numPr>
              <w:rPr>
                <w:rFonts w:cs="Times New Roman"/>
              </w:rPr>
            </w:pPr>
            <w:r w:rsidRPr="00F012F8">
              <w:rPr>
                <w:rFonts w:cs="Times New Roman"/>
              </w:rPr>
              <w:t>À l’histoire : parfois écoulement mammaire</w:t>
            </w:r>
          </w:p>
          <w:p w:rsidR="00086E72" w:rsidRPr="00F012F8" w:rsidRDefault="00086E72" w:rsidP="00FC5303">
            <w:pPr>
              <w:pStyle w:val="Paragraphedeliste"/>
              <w:numPr>
                <w:ilvl w:val="0"/>
                <w:numId w:val="153"/>
              </w:numPr>
              <w:rPr>
                <w:rFonts w:cs="Times New Roman"/>
              </w:rPr>
            </w:pPr>
            <w:r w:rsidRPr="00F012F8">
              <w:rPr>
                <w:rFonts w:cs="Times New Roman"/>
              </w:rPr>
              <w:t>Masse unilatérale</w:t>
            </w:r>
          </w:p>
          <w:p w:rsidR="00086E72" w:rsidRPr="00F012F8" w:rsidRDefault="00086E72" w:rsidP="00FC5303">
            <w:pPr>
              <w:pStyle w:val="Paragraphedeliste"/>
              <w:numPr>
                <w:ilvl w:val="0"/>
                <w:numId w:val="153"/>
              </w:numPr>
              <w:rPr>
                <w:rFonts w:cs="Times New Roman"/>
              </w:rPr>
            </w:pPr>
            <w:r w:rsidRPr="00F012F8">
              <w:rPr>
                <w:rFonts w:cs="Times New Roman"/>
              </w:rPr>
              <w:t>Non-douloureux</w:t>
            </w:r>
          </w:p>
          <w:p w:rsidR="00086E72" w:rsidRPr="00F012F8" w:rsidRDefault="00086E72" w:rsidP="00FC5303">
            <w:pPr>
              <w:pStyle w:val="Paragraphedeliste"/>
              <w:numPr>
                <w:ilvl w:val="0"/>
                <w:numId w:val="153"/>
              </w:numPr>
              <w:rPr>
                <w:rFonts w:cs="Times New Roman"/>
              </w:rPr>
            </w:pPr>
            <w:r w:rsidRPr="00F012F8">
              <w:rPr>
                <w:rFonts w:cs="Times New Roman"/>
              </w:rPr>
              <w:t>Fixe, déformant</w:t>
            </w:r>
          </w:p>
          <w:p w:rsidR="00086E72" w:rsidRPr="00F012F8" w:rsidRDefault="00086E72" w:rsidP="00FC5303">
            <w:pPr>
              <w:pStyle w:val="Paragraphedeliste"/>
              <w:numPr>
                <w:ilvl w:val="0"/>
                <w:numId w:val="153"/>
              </w:numPr>
              <w:rPr>
                <w:rFonts w:cs="Times New Roman"/>
              </w:rPr>
            </w:pPr>
            <w:r w:rsidRPr="00F012F8">
              <w:rPr>
                <w:rFonts w:cs="Times New Roman"/>
              </w:rPr>
              <w:t>Excentré par rapport à l’aréole</w:t>
            </w:r>
          </w:p>
          <w:p w:rsidR="00086E72" w:rsidRPr="00F012F8" w:rsidRDefault="00086E72" w:rsidP="00FC5303">
            <w:pPr>
              <w:pStyle w:val="Paragraphedeliste"/>
              <w:numPr>
                <w:ilvl w:val="0"/>
                <w:numId w:val="153"/>
              </w:numPr>
              <w:rPr>
                <w:rFonts w:cs="Times New Roman"/>
              </w:rPr>
            </w:pPr>
            <w:r w:rsidRPr="00F012F8">
              <w:rPr>
                <w:rFonts w:cs="Times New Roman"/>
              </w:rPr>
              <w:t>Adénopathies (parfois)</w:t>
            </w:r>
          </w:p>
          <w:p w:rsidR="00086E72" w:rsidRPr="00F012F8" w:rsidRDefault="00086E72" w:rsidP="002C1399">
            <w:pPr>
              <w:jc w:val="center"/>
              <w:rPr>
                <w:rFonts w:cs="Times New Roman"/>
                <w:i/>
              </w:rPr>
            </w:pPr>
            <w:r w:rsidRPr="00F012F8">
              <w:rPr>
                <w:rFonts w:cs="Times New Roman"/>
                <w:i/>
              </w:rPr>
              <w:t>Voir Masse au sein (CMC 10-1)</w:t>
            </w:r>
          </w:p>
        </w:tc>
      </w:tr>
    </w:tbl>
    <w:p w:rsidR="00D02E37" w:rsidRPr="00F012F8" w:rsidRDefault="00D02E37" w:rsidP="00BB2138">
      <w:pPr>
        <w:spacing w:before="240"/>
        <w:rPr>
          <w:rFonts w:cs="Times New Roman"/>
          <w:b/>
          <w:sz w:val="28"/>
          <w:szCs w:val="28"/>
        </w:rPr>
      </w:pPr>
      <w:r w:rsidRPr="00F012F8">
        <w:rPr>
          <w:rFonts w:cs="Times New Roman"/>
          <w:b/>
          <w:sz w:val="28"/>
          <w:szCs w:val="28"/>
        </w:rPr>
        <w:t>Investigations</w:t>
      </w:r>
    </w:p>
    <w:p w:rsidR="00D02E37" w:rsidRPr="00F012F8" w:rsidRDefault="00BB2138" w:rsidP="00D02E37">
      <w:pPr>
        <w:rPr>
          <w:rFonts w:cs="Times New Roman"/>
        </w:rPr>
      </w:pPr>
      <w:r w:rsidRPr="00F012F8">
        <w:rPr>
          <w:rFonts w:cs="Times New Roman"/>
        </w:rPr>
        <w:t>Examen physique et histoire complète. Incluant un examen des organes génitaux vu la pathophysiologie endocrine.</w:t>
      </w:r>
    </w:p>
    <w:p w:rsidR="001A3611" w:rsidRPr="00F012F8" w:rsidRDefault="00BB2138" w:rsidP="00D02E37">
      <w:pPr>
        <w:rPr>
          <w:rFonts w:cs="Times New Roman"/>
          <w:color w:val="000000"/>
          <w:shd w:val="clear" w:color="auto" w:fill="FFFFFF"/>
        </w:rPr>
      </w:pPr>
      <w:r w:rsidRPr="00F012F8">
        <w:rPr>
          <w:rFonts w:cs="Times New Roman"/>
          <w:color w:val="000000"/>
          <w:highlight w:val="yellow"/>
          <w:shd w:val="clear" w:color="auto" w:fill="FFFFFF"/>
        </w:rPr>
        <w:t>Rester à l’affut, et suspecter une lésion maligne si atypies cliniques : progression rapide, diamètre &gt; 4 cm, persistance à l’âge adulte ou &gt;1 an, écoulements, etc.</w:t>
      </w:r>
      <w:r w:rsidRPr="00F012F8">
        <w:rPr>
          <w:rFonts w:cs="Times New Roman"/>
          <w:color w:val="000000"/>
          <w:shd w:val="clear" w:color="auto" w:fill="FFFFFF"/>
        </w:rPr>
        <w:t xml:space="preserve"> </w:t>
      </w:r>
    </w:p>
    <w:p w:rsidR="00311193" w:rsidRPr="00F012F8" w:rsidRDefault="00FC5303" w:rsidP="00D02E37">
      <w:pPr>
        <w:rPr>
          <w:rFonts w:cs="Times New Roman"/>
          <w:color w:val="000000"/>
          <w:shd w:val="clear" w:color="auto" w:fill="FFFFFF"/>
        </w:rPr>
      </w:pPr>
      <w:r w:rsidRPr="00F012F8">
        <w:rPr>
          <w:rFonts w:cs="Times New Roman"/>
          <w:color w:val="000000"/>
          <w:shd w:val="clear" w:color="auto" w:fill="FFFFFF"/>
        </w:rPr>
        <w:t>Selon les indices cliniques, l’âge et l’accord du patient :</w:t>
      </w:r>
    </w:p>
    <w:p w:rsidR="00311193" w:rsidRPr="00F012F8" w:rsidRDefault="00311193" w:rsidP="00D02E37">
      <w:pPr>
        <w:rPr>
          <w:rFonts w:cs="Times New Roman"/>
          <w:color w:val="000000"/>
          <w:shd w:val="clear" w:color="auto" w:fill="FFFFFF"/>
        </w:rPr>
      </w:pPr>
      <w:r w:rsidRPr="00F012F8">
        <w:rPr>
          <w:rFonts w:cs="Times New Roman"/>
          <w:color w:val="000000"/>
          <w:shd w:val="clear" w:color="auto" w:fill="FFFFFF"/>
        </w:rPr>
        <w:lastRenderedPageBreak/>
        <w:t>LH, FSH,</w:t>
      </w:r>
      <w:r w:rsidR="00FC5303" w:rsidRPr="00F012F8">
        <w:rPr>
          <w:rFonts w:cs="Times New Roman"/>
          <w:color w:val="000000"/>
          <w:shd w:val="clear" w:color="auto" w:fill="FFFFFF"/>
        </w:rPr>
        <w:t xml:space="preserve"> HCG,</w:t>
      </w:r>
      <w:r w:rsidRPr="00F012F8">
        <w:rPr>
          <w:rFonts w:cs="Times New Roman"/>
          <w:color w:val="000000"/>
          <w:shd w:val="clear" w:color="auto" w:fill="FFFFFF"/>
        </w:rPr>
        <w:t xml:space="preserve"> </w:t>
      </w:r>
      <w:r w:rsidRPr="00F012F8">
        <w:rPr>
          <w:rFonts w:cs="Times New Roman"/>
          <w:color w:val="000000"/>
          <w:u w:val="single"/>
          <w:shd w:val="clear" w:color="auto" w:fill="FFFFFF"/>
        </w:rPr>
        <w:t>TSH</w:t>
      </w:r>
      <w:r w:rsidRPr="00F012F8">
        <w:rPr>
          <w:rFonts w:cs="Times New Roman"/>
          <w:color w:val="000000"/>
          <w:shd w:val="clear" w:color="auto" w:fill="FFFFFF"/>
        </w:rPr>
        <w:t>, PRL, testostérone, estradio</w:t>
      </w:r>
      <w:r w:rsidR="00FC5303" w:rsidRPr="00F012F8">
        <w:rPr>
          <w:rFonts w:cs="Times New Roman"/>
          <w:color w:val="000000"/>
          <w:shd w:val="clear" w:color="auto" w:fill="FFFFFF"/>
        </w:rPr>
        <w:t>l, bilan hépatique, créatinine …</w:t>
      </w:r>
    </w:p>
    <w:p w:rsidR="00311193" w:rsidRPr="00F012F8" w:rsidRDefault="00FC5303" w:rsidP="00D02E37">
      <w:pPr>
        <w:rPr>
          <w:rFonts w:cs="Times New Roman"/>
        </w:rPr>
      </w:pPr>
      <w:r w:rsidRPr="00F012F8">
        <w:rPr>
          <w:rFonts w:cs="Times New Roman"/>
          <w:color w:val="000000"/>
          <w:u w:val="single"/>
          <w:shd w:val="clear" w:color="auto" w:fill="FFFFFF"/>
        </w:rPr>
        <w:t>Si suspicion de néoplasie :</w:t>
      </w:r>
      <w:r w:rsidRPr="00F012F8">
        <w:rPr>
          <w:rFonts w:cs="Times New Roman"/>
          <w:color w:val="000000"/>
          <w:shd w:val="clear" w:color="auto" w:fill="FFFFFF"/>
        </w:rPr>
        <w:t xml:space="preserve"> </w:t>
      </w:r>
      <w:r w:rsidR="00311193" w:rsidRPr="00F012F8">
        <w:rPr>
          <w:rFonts w:cs="Times New Roman"/>
          <w:color w:val="000000"/>
          <w:shd w:val="clear" w:color="auto" w:fill="FFFFFF"/>
        </w:rPr>
        <w:t>Radiographie pulmonaire</w:t>
      </w:r>
      <w:r w:rsidRPr="00F012F8">
        <w:rPr>
          <w:rFonts w:cs="Times New Roman"/>
          <w:color w:val="000000"/>
          <w:shd w:val="clear" w:color="auto" w:fill="FFFFFF"/>
        </w:rPr>
        <w:t>, mammographie, échographie</w:t>
      </w:r>
      <w:r w:rsidR="00311193" w:rsidRPr="00F012F8">
        <w:rPr>
          <w:rFonts w:cs="Times New Roman"/>
          <w:color w:val="000000"/>
          <w:shd w:val="clear" w:color="auto" w:fill="FFFFFF"/>
        </w:rPr>
        <w:t xml:space="preserve"> </w:t>
      </w:r>
      <w:r w:rsidRPr="00F012F8">
        <w:rPr>
          <w:rFonts w:cs="Times New Roman"/>
          <w:color w:val="000000"/>
          <w:shd w:val="clear" w:color="auto" w:fill="FFFFFF"/>
        </w:rPr>
        <w:t xml:space="preserve">mammaire </w:t>
      </w:r>
      <w:r w:rsidR="00311193" w:rsidRPr="00F012F8">
        <w:rPr>
          <w:rFonts w:cs="Times New Roman"/>
          <w:color w:val="000000"/>
          <w:shd w:val="clear" w:color="auto" w:fill="FFFFFF"/>
        </w:rPr>
        <w:t xml:space="preserve">et/ou </w:t>
      </w:r>
      <w:r w:rsidR="002C1399" w:rsidRPr="00F012F8">
        <w:rPr>
          <w:rFonts w:cs="Times New Roman"/>
          <w:color w:val="000000"/>
          <w:shd w:val="clear" w:color="auto" w:fill="FFFFFF"/>
        </w:rPr>
        <w:t>testiculaire</w:t>
      </w:r>
      <w:r w:rsidR="00311193" w:rsidRPr="00F012F8">
        <w:rPr>
          <w:rFonts w:cs="Times New Roman"/>
          <w:color w:val="000000"/>
          <w:shd w:val="clear" w:color="auto" w:fill="FFFFFF"/>
        </w:rPr>
        <w:t xml:space="preserve"> </w:t>
      </w:r>
    </w:p>
    <w:p w:rsidR="00D02E37" w:rsidRPr="00F012F8" w:rsidRDefault="00D02E37" w:rsidP="00D02E37">
      <w:pPr>
        <w:rPr>
          <w:rFonts w:cs="Times New Roman"/>
          <w:b/>
          <w:sz w:val="28"/>
          <w:szCs w:val="28"/>
          <w:lang w:val="en-CA"/>
        </w:rPr>
      </w:pPr>
      <w:r w:rsidRPr="00F012F8">
        <w:rPr>
          <w:rFonts w:cs="Times New Roman"/>
          <w:b/>
          <w:sz w:val="28"/>
          <w:szCs w:val="28"/>
          <w:lang w:val="en-CA"/>
        </w:rPr>
        <w:t>Prise en charge</w:t>
      </w:r>
    </w:p>
    <w:p w:rsidR="00A969E6" w:rsidRPr="00F012F8" w:rsidRDefault="005F15AE" w:rsidP="005F15AE">
      <w:pPr>
        <w:pStyle w:val="NormalWeb"/>
        <w:shd w:val="clear" w:color="auto" w:fill="FFFFFF"/>
        <w:spacing w:before="0" w:beforeAutospacing="0" w:after="0" w:afterAutospacing="0"/>
        <w:rPr>
          <w:color w:val="000000"/>
          <w:sz w:val="18"/>
          <w:szCs w:val="18"/>
          <w:lang w:val="en-CA"/>
        </w:rPr>
      </w:pPr>
      <w:r w:rsidRPr="00F012F8">
        <w:rPr>
          <w:color w:val="000000"/>
          <w:sz w:val="18"/>
          <w:szCs w:val="18"/>
          <w:lang w:val="en-CA"/>
        </w:rPr>
        <w:t>«</w:t>
      </w:r>
      <w:r w:rsidR="00FE0F63" w:rsidRPr="00F012F8">
        <w:rPr>
          <w:color w:val="000000"/>
          <w:sz w:val="18"/>
          <w:szCs w:val="18"/>
          <w:lang w:val="en-CA"/>
        </w:rPr>
        <w:t>A major factor that should influence the initial approach to management is the duration of gynecomastia. Histologic studies show that the glandular changes in the breast are the same regardless of etiology, and that the extent of glandular proliferation depends upon the intensity and duration of the stimulation. The histologic picture changes over time with ductal hyperplasia and periductal inflammation in the early stages (first six months). During this time period, gynecomastia is the most symptomatic and also most treatable with medications</w:t>
      </w:r>
      <w:r w:rsidRPr="00F012F8">
        <w:rPr>
          <w:color w:val="000000"/>
          <w:sz w:val="18"/>
          <w:szCs w:val="18"/>
          <w:lang w:val="en-CA"/>
        </w:rPr>
        <w:t>. »</w:t>
      </w:r>
      <w:r w:rsidR="00A969E6" w:rsidRPr="00F012F8">
        <w:rPr>
          <w:color w:val="000000"/>
          <w:sz w:val="18"/>
          <w:szCs w:val="18"/>
          <w:lang w:val="en-CA"/>
        </w:rPr>
        <w:t xml:space="preserve"> </w:t>
      </w:r>
    </w:p>
    <w:p w:rsidR="00FE0F63" w:rsidRPr="00F012F8" w:rsidRDefault="005F15AE" w:rsidP="005F15AE">
      <w:pPr>
        <w:pStyle w:val="NormalWeb"/>
        <w:shd w:val="clear" w:color="auto" w:fill="FFFFFF"/>
        <w:spacing w:before="0" w:beforeAutospacing="0" w:after="0" w:afterAutospacing="0"/>
        <w:rPr>
          <w:color w:val="000000"/>
          <w:sz w:val="18"/>
          <w:szCs w:val="18"/>
          <w:lang w:val="en-CA"/>
        </w:rPr>
      </w:pPr>
      <w:r w:rsidRPr="00F012F8">
        <w:rPr>
          <w:color w:val="000000"/>
          <w:sz w:val="18"/>
          <w:szCs w:val="18"/>
          <w:lang w:val="en-CA"/>
        </w:rPr>
        <w:t>(</w:t>
      </w:r>
      <w:r w:rsidRPr="00F012F8">
        <w:rPr>
          <w:i/>
          <w:color w:val="000000"/>
          <w:sz w:val="18"/>
          <w:szCs w:val="18"/>
          <w:lang w:val="en-CA"/>
        </w:rPr>
        <w:t>UpToDate</w:t>
      </w:r>
      <w:r w:rsidR="00A969E6" w:rsidRPr="00F012F8">
        <w:rPr>
          <w:i/>
          <w:color w:val="000000"/>
          <w:sz w:val="18"/>
          <w:szCs w:val="18"/>
          <w:lang w:val="en-CA"/>
        </w:rPr>
        <w:t>,</w:t>
      </w:r>
      <w:r w:rsidR="001B5B0B" w:rsidRPr="00F012F8">
        <w:rPr>
          <w:i/>
          <w:color w:val="000000"/>
          <w:sz w:val="18"/>
          <w:szCs w:val="18"/>
          <w:lang w:val="en-CA"/>
        </w:rPr>
        <w:t xml:space="preserve"> 2015</w:t>
      </w:r>
      <w:r w:rsidR="00A969E6" w:rsidRPr="00F012F8">
        <w:rPr>
          <w:i/>
          <w:color w:val="000000"/>
          <w:sz w:val="18"/>
          <w:szCs w:val="18"/>
          <w:lang w:val="en-CA"/>
        </w:rPr>
        <w:t xml:space="preserve"> Management of gynecomastia)</w:t>
      </w:r>
    </w:p>
    <w:p w:rsidR="00FC5303" w:rsidRPr="00F012F8" w:rsidRDefault="00FC5303" w:rsidP="001B5B0B">
      <w:pPr>
        <w:spacing w:before="240"/>
        <w:rPr>
          <w:rFonts w:cs="Times New Roman"/>
          <w:b/>
          <w:sz w:val="24"/>
          <w:szCs w:val="24"/>
          <w:lang w:val="en-CA"/>
        </w:rPr>
      </w:pPr>
      <w:r w:rsidRPr="00F012F8">
        <w:rPr>
          <w:rFonts w:cs="Times New Roman"/>
          <w:b/>
          <w:sz w:val="24"/>
          <w:szCs w:val="24"/>
          <w:lang w:val="en-CA"/>
        </w:rPr>
        <w:t>Pseudogynécomastie (lipomastie)</w:t>
      </w:r>
    </w:p>
    <w:p w:rsidR="00FC5303" w:rsidRPr="00F012F8" w:rsidRDefault="00FC5303" w:rsidP="001B5B0B">
      <w:pPr>
        <w:pStyle w:val="Paragraphedeliste"/>
        <w:numPr>
          <w:ilvl w:val="0"/>
          <w:numId w:val="154"/>
        </w:numPr>
        <w:rPr>
          <w:rFonts w:cs="Times New Roman"/>
          <w:highlight w:val="yellow"/>
        </w:rPr>
      </w:pPr>
      <w:r w:rsidRPr="00F012F8">
        <w:rPr>
          <w:rFonts w:cs="Times New Roman"/>
          <w:highlight w:val="yellow"/>
        </w:rPr>
        <w:t>Perte de poids</w:t>
      </w:r>
    </w:p>
    <w:p w:rsidR="00FC5303" w:rsidRPr="00F012F8" w:rsidRDefault="00FC5303" w:rsidP="00FE0F63">
      <w:pPr>
        <w:rPr>
          <w:rFonts w:cs="Times New Roman"/>
          <w:b/>
          <w:sz w:val="24"/>
          <w:szCs w:val="24"/>
        </w:rPr>
      </w:pPr>
      <w:r w:rsidRPr="00F012F8">
        <w:rPr>
          <w:rFonts w:cs="Times New Roman"/>
          <w:b/>
          <w:sz w:val="24"/>
          <w:szCs w:val="24"/>
        </w:rPr>
        <w:t>Vraie gynécomastie</w:t>
      </w:r>
    </w:p>
    <w:p w:rsidR="006B62F2" w:rsidRPr="00F012F8" w:rsidRDefault="006B62F2" w:rsidP="006B62F2">
      <w:pPr>
        <w:pStyle w:val="Paragraphedeliste"/>
        <w:numPr>
          <w:ilvl w:val="0"/>
          <w:numId w:val="155"/>
        </w:numPr>
        <w:rPr>
          <w:rFonts w:cs="Times New Roman"/>
          <w:highlight w:val="yellow"/>
        </w:rPr>
      </w:pPr>
      <w:r w:rsidRPr="00F012F8">
        <w:rPr>
          <w:rFonts w:cs="Times New Roman"/>
          <w:highlight w:val="yellow"/>
        </w:rPr>
        <w:t>Retrait de la médication contribuant à la gynécomastie (hommes âgés + fréquent)</w:t>
      </w:r>
    </w:p>
    <w:p w:rsidR="00FC5303" w:rsidRPr="00F012F8" w:rsidRDefault="00FC5303" w:rsidP="001B5B0B">
      <w:pPr>
        <w:pStyle w:val="Paragraphedeliste"/>
        <w:numPr>
          <w:ilvl w:val="0"/>
          <w:numId w:val="155"/>
        </w:numPr>
        <w:rPr>
          <w:rFonts w:cs="Times New Roman"/>
          <w:highlight w:val="yellow"/>
        </w:rPr>
      </w:pPr>
      <w:r w:rsidRPr="00F012F8">
        <w:rPr>
          <w:rFonts w:cs="Times New Roman"/>
          <w:highlight w:val="yellow"/>
        </w:rPr>
        <w:t>Observation</w:t>
      </w:r>
      <w:r w:rsidR="006B62F2" w:rsidRPr="00F012F8">
        <w:rPr>
          <w:rFonts w:cs="Times New Roman"/>
          <w:highlight w:val="yellow"/>
        </w:rPr>
        <w:t xml:space="preserve"> (régression spontanée fréquente si physiologique). </w:t>
      </w:r>
      <w:r w:rsidR="006B62F2" w:rsidRPr="00F012F8">
        <w:rPr>
          <w:rFonts w:cs="Times New Roman"/>
          <w:i/>
          <w:highlight w:val="yellow"/>
          <w:u w:val="single"/>
        </w:rPr>
        <w:t>1</w:t>
      </w:r>
      <w:r w:rsidR="006B62F2" w:rsidRPr="00F012F8">
        <w:rPr>
          <w:rFonts w:cs="Times New Roman"/>
          <w:i/>
          <w:highlight w:val="yellow"/>
          <w:u w:val="single"/>
          <w:vertAlign w:val="superscript"/>
        </w:rPr>
        <w:t>ère</w:t>
      </w:r>
      <w:r w:rsidR="006B62F2" w:rsidRPr="00F012F8">
        <w:rPr>
          <w:rFonts w:cs="Times New Roman"/>
          <w:i/>
          <w:highlight w:val="yellow"/>
          <w:u w:val="single"/>
        </w:rPr>
        <w:t xml:space="preserve"> étape</w:t>
      </w:r>
    </w:p>
    <w:p w:rsidR="00FC5303" w:rsidRPr="00F012F8" w:rsidRDefault="00FC5303" w:rsidP="001B5B0B">
      <w:pPr>
        <w:pStyle w:val="Paragraphedeliste"/>
        <w:numPr>
          <w:ilvl w:val="0"/>
          <w:numId w:val="155"/>
        </w:numPr>
        <w:rPr>
          <w:rFonts w:cs="Times New Roman"/>
          <w:highlight w:val="yellow"/>
        </w:rPr>
      </w:pPr>
      <w:r w:rsidRPr="00F012F8">
        <w:rPr>
          <w:rFonts w:cs="Times New Roman"/>
          <w:highlight w:val="yellow"/>
        </w:rPr>
        <w:t xml:space="preserve">Traitement de la </w:t>
      </w:r>
      <w:r w:rsidR="006B62F2" w:rsidRPr="00F012F8">
        <w:rPr>
          <w:rFonts w:cs="Times New Roman"/>
          <w:highlight w:val="yellow"/>
        </w:rPr>
        <w:t xml:space="preserve">pathologie </w:t>
      </w:r>
      <w:r w:rsidRPr="00F012F8">
        <w:rPr>
          <w:rFonts w:cs="Times New Roman"/>
          <w:highlight w:val="yellow"/>
        </w:rPr>
        <w:t>sous-jacente</w:t>
      </w:r>
      <w:r w:rsidR="006B62F2" w:rsidRPr="00F012F8">
        <w:rPr>
          <w:rFonts w:cs="Times New Roman"/>
          <w:highlight w:val="yellow"/>
        </w:rPr>
        <w:t xml:space="preserve"> (hypogonadisme, hyperthyroïdie, atteintes hépatiques)</w:t>
      </w:r>
    </w:p>
    <w:p w:rsidR="006B62F2" w:rsidRPr="00F012F8" w:rsidRDefault="006B62F2" w:rsidP="006B62F2">
      <w:pPr>
        <w:pStyle w:val="Paragraphedeliste"/>
        <w:rPr>
          <w:rFonts w:cs="Times New Roman"/>
          <w:highlight w:val="yellow"/>
        </w:rPr>
      </w:pPr>
    </w:p>
    <w:p w:rsidR="00FC5303" w:rsidRPr="00F012F8" w:rsidRDefault="00FC5303" w:rsidP="006B62F2">
      <w:pPr>
        <w:pStyle w:val="Paragraphedeliste"/>
        <w:ind w:left="360"/>
        <w:rPr>
          <w:rFonts w:cs="Times New Roman"/>
          <w:highlight w:val="yellow"/>
          <w:u w:val="single"/>
        </w:rPr>
      </w:pPr>
      <w:r w:rsidRPr="00F012F8">
        <w:rPr>
          <w:rFonts w:cs="Times New Roman"/>
          <w:highlight w:val="yellow"/>
          <w:u w:val="single"/>
        </w:rPr>
        <w:t>Pharmacothérapie</w:t>
      </w:r>
    </w:p>
    <w:p w:rsidR="006B62F2" w:rsidRPr="00F012F8" w:rsidRDefault="006B62F2" w:rsidP="006B62F2">
      <w:pPr>
        <w:pStyle w:val="Paragraphedeliste"/>
        <w:rPr>
          <w:rFonts w:cs="Times New Roman"/>
          <w:highlight w:val="yellow"/>
          <w:u w:val="single"/>
        </w:rPr>
      </w:pPr>
    </w:p>
    <w:p w:rsidR="00E17411" w:rsidRPr="00F012F8" w:rsidRDefault="00FC5303" w:rsidP="00E17411">
      <w:pPr>
        <w:pStyle w:val="Paragraphedeliste"/>
        <w:numPr>
          <w:ilvl w:val="0"/>
          <w:numId w:val="155"/>
        </w:numPr>
        <w:rPr>
          <w:rFonts w:cs="Times New Roman"/>
          <w:highlight w:val="yellow"/>
        </w:rPr>
      </w:pPr>
      <w:r w:rsidRPr="00F012F8">
        <w:rPr>
          <w:rFonts w:cs="Times New Roman"/>
          <w:highlight w:val="yellow"/>
        </w:rPr>
        <w:t xml:space="preserve">Si incommodant, </w:t>
      </w:r>
      <w:r w:rsidR="00AB0EE5" w:rsidRPr="00F012F8">
        <w:rPr>
          <w:rFonts w:cs="Times New Roman"/>
          <w:highlight w:val="yellow"/>
        </w:rPr>
        <w:t>douloureux,</w:t>
      </w:r>
      <w:r w:rsidR="00E17411" w:rsidRPr="00F012F8">
        <w:rPr>
          <w:rFonts w:cs="Times New Roman"/>
          <w:highlight w:val="yellow"/>
        </w:rPr>
        <w:t xml:space="preserve"> </w:t>
      </w:r>
    </w:p>
    <w:p w:rsidR="00FC5303" w:rsidRPr="00F012F8" w:rsidRDefault="00FC5303" w:rsidP="001B5B0B">
      <w:pPr>
        <w:pStyle w:val="Paragraphedeliste"/>
        <w:numPr>
          <w:ilvl w:val="0"/>
          <w:numId w:val="155"/>
        </w:numPr>
        <w:rPr>
          <w:rFonts w:cs="Times New Roman"/>
          <w:highlight w:val="yellow"/>
        </w:rPr>
      </w:pPr>
      <w:r w:rsidRPr="00F012F8">
        <w:rPr>
          <w:rFonts w:cs="Times New Roman"/>
          <w:highlight w:val="yellow"/>
        </w:rPr>
        <w:t>Tamoxifène 10 mg BID (</w:t>
      </w:r>
      <w:r w:rsidR="006B62F2" w:rsidRPr="00F012F8">
        <w:rPr>
          <w:rFonts w:cs="Times New Roman"/>
          <w:highlight w:val="yellow"/>
        </w:rPr>
        <w:t>3-6 mois</w:t>
      </w:r>
      <w:r w:rsidRPr="00F012F8">
        <w:rPr>
          <w:rFonts w:cs="Times New Roman"/>
          <w:highlight w:val="yellow"/>
        </w:rPr>
        <w:t xml:space="preserve">), aviser les patients </w:t>
      </w:r>
      <w:r w:rsidR="006B62F2" w:rsidRPr="00F012F8">
        <w:rPr>
          <w:rFonts w:cs="Times New Roman"/>
          <w:highlight w:val="yellow"/>
        </w:rPr>
        <w:t>de l’absence d’indication officielle</w:t>
      </w:r>
    </w:p>
    <w:p w:rsidR="00FC5303" w:rsidRPr="00F012F8" w:rsidRDefault="00FC5303" w:rsidP="001B5B0B">
      <w:pPr>
        <w:pStyle w:val="Paragraphedeliste"/>
        <w:numPr>
          <w:ilvl w:val="0"/>
          <w:numId w:val="155"/>
        </w:numPr>
        <w:rPr>
          <w:rFonts w:cs="Times New Roman"/>
          <w:highlight w:val="yellow"/>
        </w:rPr>
      </w:pPr>
      <w:r w:rsidRPr="00F012F8">
        <w:rPr>
          <w:rFonts w:cs="Times New Roman"/>
          <w:highlight w:val="yellow"/>
        </w:rPr>
        <w:t>Testostérone</w:t>
      </w:r>
      <w:r w:rsidR="00A75416" w:rsidRPr="00F012F8">
        <w:rPr>
          <w:rFonts w:cs="Times New Roman"/>
          <w:highlight w:val="yellow"/>
        </w:rPr>
        <w:t xml:space="preserve"> = 1</w:t>
      </w:r>
      <w:r w:rsidR="00A75416" w:rsidRPr="00F012F8">
        <w:rPr>
          <w:rFonts w:cs="Times New Roman"/>
          <w:highlight w:val="yellow"/>
          <w:vertAlign w:val="superscript"/>
        </w:rPr>
        <w:t>er</w:t>
      </w:r>
      <w:r w:rsidR="00A75416" w:rsidRPr="00F012F8">
        <w:rPr>
          <w:rFonts w:cs="Times New Roman"/>
          <w:highlight w:val="yellow"/>
        </w:rPr>
        <w:t xml:space="preserve"> choix</w:t>
      </w:r>
      <w:r w:rsidRPr="00F012F8">
        <w:rPr>
          <w:rFonts w:cs="Times New Roman"/>
          <w:highlight w:val="yellow"/>
        </w:rPr>
        <w:t xml:space="preserve"> </w:t>
      </w:r>
      <w:r w:rsidRPr="00F012F8">
        <w:rPr>
          <w:rFonts w:cs="Times New Roman"/>
          <w:highlight w:val="yellow"/>
          <w:u w:val="single"/>
        </w:rPr>
        <w:t>si hypogonadisme</w:t>
      </w:r>
    </w:p>
    <w:p w:rsidR="00FC5303" w:rsidRPr="00F012F8" w:rsidRDefault="00AB0EE5" w:rsidP="00AB0EE5">
      <w:pPr>
        <w:ind w:left="360"/>
        <w:rPr>
          <w:rFonts w:cs="Times New Roman"/>
          <w:u w:val="single"/>
        </w:rPr>
      </w:pPr>
      <w:r w:rsidRPr="00F012F8">
        <w:rPr>
          <w:rFonts w:cs="Times New Roman"/>
          <w:u w:val="single"/>
        </w:rPr>
        <w:t>Chirurgie</w:t>
      </w:r>
    </w:p>
    <w:p w:rsidR="00AB0EE5" w:rsidRPr="00F012F8" w:rsidRDefault="00AB0EE5" w:rsidP="00AB0EE5">
      <w:pPr>
        <w:pStyle w:val="Paragraphedeliste"/>
        <w:numPr>
          <w:ilvl w:val="0"/>
          <w:numId w:val="155"/>
        </w:numPr>
        <w:rPr>
          <w:rFonts w:cs="Times New Roman"/>
        </w:rPr>
      </w:pPr>
      <w:r w:rsidRPr="00F012F8">
        <w:rPr>
          <w:rFonts w:cs="Times New Roman"/>
        </w:rPr>
        <w:t>Si durée &gt; 12 mois et symptômes persistants, absence de régression spontanée ou très inconfortable ou &gt; 4 cm</w:t>
      </w:r>
    </w:p>
    <w:p w:rsidR="00AB0EE5" w:rsidRPr="00F012F8" w:rsidRDefault="00AB0EE5" w:rsidP="00AB0EE5">
      <w:pPr>
        <w:pStyle w:val="Paragraphedeliste"/>
        <w:numPr>
          <w:ilvl w:val="0"/>
          <w:numId w:val="155"/>
        </w:numPr>
        <w:rPr>
          <w:rFonts w:cs="Times New Roman"/>
        </w:rPr>
      </w:pPr>
      <w:r w:rsidRPr="00F012F8">
        <w:rPr>
          <w:rFonts w:cs="Times New Roman"/>
        </w:rPr>
        <w:t>Résection chirurgicale du tissu glandulaire ± liposuccion</w:t>
      </w:r>
    </w:p>
    <w:p w:rsidR="005A16A0" w:rsidRPr="00F012F8" w:rsidRDefault="00662F6C" w:rsidP="00FE0F63">
      <w:pPr>
        <w:rPr>
          <w:rFonts w:cs="Times New Roman"/>
          <w:b/>
          <w:sz w:val="24"/>
          <w:szCs w:val="24"/>
        </w:rPr>
      </w:pPr>
      <w:r w:rsidRPr="00F012F8">
        <w:rPr>
          <w:rFonts w:cs="Times New Roman"/>
          <w:b/>
          <w:noProof/>
          <w:highlight w:val="red"/>
          <w:lang w:eastAsia="fr-CA"/>
        </w:rPr>
        <w:drawing>
          <wp:anchor distT="0" distB="0" distL="114300" distR="114300" simplePos="0" relativeHeight="251702272" behindDoc="0" locked="0" layoutInCell="1" allowOverlap="1" wp14:anchorId="5A924F96" wp14:editId="3A040A7B">
            <wp:simplePos x="0" y="0"/>
            <wp:positionH relativeFrom="column">
              <wp:posOffset>3239311</wp:posOffset>
            </wp:positionH>
            <wp:positionV relativeFrom="paragraph">
              <wp:posOffset>141510</wp:posOffset>
            </wp:positionV>
            <wp:extent cx="3782730" cy="3570051"/>
            <wp:effectExtent l="19050" t="19050" r="27305" b="11430"/>
            <wp:wrapNone/>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ynécomastie.PNG"/>
                    <pic:cNvPicPr/>
                  </pic:nvPicPr>
                  <pic:blipFill rotWithShape="1">
                    <a:blip r:embed="rId56">
                      <a:extLst>
                        <a:ext uri="{28A0092B-C50C-407E-A947-70E740481C1C}">
                          <a14:useLocalDpi xmlns:a14="http://schemas.microsoft.com/office/drawing/2010/main" val="0"/>
                        </a:ext>
                      </a:extLst>
                    </a:blip>
                    <a:srcRect t="-1453" b="1937"/>
                    <a:stretch/>
                  </pic:blipFill>
                  <pic:spPr bwMode="auto">
                    <a:xfrm>
                      <a:off x="0" y="0"/>
                      <a:ext cx="3779363" cy="3566873"/>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A16A0" w:rsidRPr="00F012F8">
        <w:rPr>
          <w:rFonts w:cs="Times New Roman"/>
          <w:b/>
          <w:sz w:val="24"/>
          <w:szCs w:val="24"/>
        </w:rPr>
        <w:t>Cas particuliers</w:t>
      </w:r>
    </w:p>
    <w:p w:rsidR="005A16A0" w:rsidRPr="00F012F8" w:rsidRDefault="005A16A0" w:rsidP="00FE0F63">
      <w:pPr>
        <w:rPr>
          <w:rFonts w:cs="Times New Roman"/>
          <w:u w:val="single"/>
        </w:rPr>
      </w:pPr>
      <w:r w:rsidRPr="00F012F8">
        <w:rPr>
          <w:rFonts w:cs="Times New Roman"/>
          <w:u w:val="single"/>
        </w:rPr>
        <w:t>Gynécomastie prépubertaire, anomalies endocrinienne</w:t>
      </w:r>
    </w:p>
    <w:p w:rsidR="005A16A0" w:rsidRPr="00F012F8" w:rsidRDefault="005A16A0" w:rsidP="005A16A0">
      <w:pPr>
        <w:pStyle w:val="Paragraphedeliste"/>
        <w:numPr>
          <w:ilvl w:val="0"/>
          <w:numId w:val="156"/>
        </w:numPr>
        <w:rPr>
          <w:rFonts w:cs="Times New Roman"/>
          <w:sz w:val="21"/>
          <w:szCs w:val="21"/>
        </w:rPr>
      </w:pPr>
      <w:r w:rsidRPr="00F012F8">
        <w:rPr>
          <w:rFonts w:cs="Times New Roman"/>
          <w:sz w:val="21"/>
          <w:szCs w:val="21"/>
        </w:rPr>
        <w:t>Indication de référe</w:t>
      </w:r>
      <w:r w:rsidR="00662F6C" w:rsidRPr="00F012F8">
        <w:rPr>
          <w:rFonts w:cs="Times New Roman"/>
          <w:sz w:val="21"/>
          <w:szCs w:val="21"/>
        </w:rPr>
        <w:t>r</w:t>
      </w:r>
      <w:r w:rsidRPr="00F012F8">
        <w:rPr>
          <w:rFonts w:cs="Times New Roman"/>
          <w:sz w:val="21"/>
          <w:szCs w:val="21"/>
        </w:rPr>
        <w:t xml:space="preserve"> en endocrinologie pédiatrique</w:t>
      </w:r>
    </w:p>
    <w:p w:rsidR="005A16A0" w:rsidRPr="00F012F8" w:rsidRDefault="005A16A0" w:rsidP="00FE0F63">
      <w:pPr>
        <w:rPr>
          <w:rFonts w:cs="Times New Roman"/>
          <w:u w:val="single"/>
        </w:rPr>
      </w:pPr>
      <w:r w:rsidRPr="00F012F8">
        <w:rPr>
          <w:rFonts w:cs="Times New Roman"/>
          <w:u w:val="single"/>
        </w:rPr>
        <w:t>Masse testiculaire visualisée à l’échographie</w:t>
      </w:r>
    </w:p>
    <w:p w:rsidR="005A16A0" w:rsidRPr="00F012F8" w:rsidRDefault="005A16A0" w:rsidP="005A16A0">
      <w:pPr>
        <w:pStyle w:val="Paragraphedeliste"/>
        <w:numPr>
          <w:ilvl w:val="0"/>
          <w:numId w:val="157"/>
        </w:numPr>
        <w:rPr>
          <w:rFonts w:cs="Times New Roman"/>
        </w:rPr>
      </w:pPr>
      <w:r w:rsidRPr="00F012F8">
        <w:rPr>
          <w:rFonts w:cs="Times New Roman"/>
        </w:rPr>
        <w:t>Référence rapide en urologie</w:t>
      </w:r>
    </w:p>
    <w:p w:rsidR="005A16A0" w:rsidRPr="00F012F8" w:rsidRDefault="005A16A0" w:rsidP="00FE0F63">
      <w:pPr>
        <w:rPr>
          <w:rFonts w:cs="Times New Roman"/>
          <w:b/>
          <w:sz w:val="24"/>
          <w:szCs w:val="24"/>
        </w:rPr>
      </w:pPr>
      <w:r w:rsidRPr="00F012F8">
        <w:rPr>
          <w:rFonts w:cs="Times New Roman"/>
          <w:u w:val="single"/>
        </w:rPr>
        <w:t>Suspicion de lésion maligne du sein</w:t>
      </w:r>
    </w:p>
    <w:p w:rsidR="00FC5303" w:rsidRPr="00F012F8" w:rsidRDefault="00FC5303" w:rsidP="005A16A0">
      <w:pPr>
        <w:pStyle w:val="Paragraphedeliste"/>
        <w:numPr>
          <w:ilvl w:val="0"/>
          <w:numId w:val="158"/>
        </w:numPr>
        <w:spacing w:after="0"/>
        <w:rPr>
          <w:rFonts w:cs="Times New Roman"/>
        </w:rPr>
      </w:pPr>
      <w:r w:rsidRPr="00F012F8">
        <w:rPr>
          <w:rFonts w:cs="Times New Roman"/>
        </w:rPr>
        <w:t>Mammographie / échographie selon l’âge</w:t>
      </w:r>
    </w:p>
    <w:p w:rsidR="00FC5303" w:rsidRPr="00F012F8" w:rsidRDefault="00FC5303" w:rsidP="005A16A0">
      <w:pPr>
        <w:pStyle w:val="Paragraphedeliste"/>
        <w:numPr>
          <w:ilvl w:val="0"/>
          <w:numId w:val="158"/>
        </w:numPr>
        <w:spacing w:after="0"/>
        <w:rPr>
          <w:rFonts w:cs="Times New Roman"/>
        </w:rPr>
      </w:pPr>
      <w:r w:rsidRPr="00F012F8">
        <w:rPr>
          <w:rFonts w:cs="Times New Roman"/>
        </w:rPr>
        <w:t xml:space="preserve">Référence rapide en clinique du sein </w:t>
      </w:r>
      <w:r w:rsidR="00662F6C" w:rsidRPr="00F012F8">
        <w:rPr>
          <w:rFonts w:cs="Times New Roman"/>
        </w:rPr>
        <w:t>/</w:t>
      </w:r>
      <w:r w:rsidRPr="00F012F8">
        <w:rPr>
          <w:rFonts w:cs="Times New Roman"/>
        </w:rPr>
        <w:t xml:space="preserve"> chirurgien</w:t>
      </w:r>
    </w:p>
    <w:p w:rsidR="005A16A0" w:rsidRPr="00F012F8" w:rsidRDefault="005A16A0" w:rsidP="005A16A0">
      <w:pPr>
        <w:pStyle w:val="Paragraphedeliste"/>
        <w:spacing w:after="0"/>
        <w:rPr>
          <w:rFonts w:cs="Times New Roman"/>
        </w:rPr>
      </w:pPr>
    </w:p>
    <w:p w:rsidR="005A16A0" w:rsidRPr="00F012F8" w:rsidRDefault="005A16A0" w:rsidP="005A16A0">
      <w:pPr>
        <w:pStyle w:val="Paragraphedeliste"/>
        <w:spacing w:after="0"/>
        <w:ind w:left="0"/>
        <w:rPr>
          <w:rFonts w:cs="Times New Roman"/>
        </w:rPr>
      </w:pPr>
      <w:r w:rsidRPr="00F012F8">
        <w:rPr>
          <w:rFonts w:cs="Times New Roman"/>
          <w:u w:val="single"/>
        </w:rPr>
        <w:t>Suspicion d’autre néoplasie</w:t>
      </w:r>
      <w:r w:rsidRPr="00F012F8">
        <w:rPr>
          <w:rFonts w:cs="Times New Roman"/>
        </w:rPr>
        <w:t xml:space="preserve"> </w:t>
      </w:r>
    </w:p>
    <w:p w:rsidR="005A16A0" w:rsidRPr="00F012F8" w:rsidRDefault="005A16A0" w:rsidP="005A16A0">
      <w:pPr>
        <w:pStyle w:val="Paragraphedeliste"/>
        <w:spacing w:after="0"/>
        <w:ind w:left="0"/>
        <w:rPr>
          <w:rFonts w:cs="Times New Roman"/>
        </w:rPr>
      </w:pPr>
      <w:r w:rsidRPr="00F012F8">
        <w:rPr>
          <w:rFonts w:cs="Times New Roman"/>
        </w:rPr>
        <w:t>(hypophysaire, testiculaire, adénome surrénalien, etc.)</w:t>
      </w:r>
    </w:p>
    <w:p w:rsidR="005A16A0" w:rsidRPr="00F012F8" w:rsidRDefault="005A16A0" w:rsidP="005A16A0">
      <w:pPr>
        <w:pStyle w:val="Paragraphedeliste"/>
        <w:spacing w:after="0"/>
        <w:ind w:left="0"/>
        <w:rPr>
          <w:rFonts w:cs="Times New Roman"/>
        </w:rPr>
      </w:pPr>
    </w:p>
    <w:p w:rsidR="005A16A0" w:rsidRPr="00F012F8" w:rsidRDefault="005A16A0" w:rsidP="005A16A0">
      <w:pPr>
        <w:pStyle w:val="Paragraphedeliste"/>
        <w:numPr>
          <w:ilvl w:val="0"/>
          <w:numId w:val="159"/>
        </w:numPr>
        <w:spacing w:after="0"/>
        <w:rPr>
          <w:rFonts w:cs="Times New Roman"/>
        </w:rPr>
      </w:pPr>
      <w:r w:rsidRPr="00F012F8">
        <w:rPr>
          <w:rFonts w:cs="Times New Roman"/>
        </w:rPr>
        <w:t>Imager</w:t>
      </w:r>
    </w:p>
    <w:p w:rsidR="005A16A0" w:rsidRPr="00F012F8" w:rsidRDefault="005A16A0" w:rsidP="00217865">
      <w:pPr>
        <w:pStyle w:val="Paragraphedeliste"/>
        <w:numPr>
          <w:ilvl w:val="0"/>
          <w:numId w:val="159"/>
        </w:numPr>
        <w:spacing w:after="0"/>
        <w:rPr>
          <w:rFonts w:cs="Times New Roman"/>
        </w:rPr>
      </w:pPr>
      <w:r w:rsidRPr="00F012F8">
        <w:rPr>
          <w:rFonts w:cs="Times New Roman"/>
        </w:rPr>
        <w:t>Référence en oncologie</w:t>
      </w:r>
    </w:p>
    <w:p w:rsidR="00217865" w:rsidRPr="00F62E2A" w:rsidRDefault="00217865" w:rsidP="00F62E2A">
      <w:pPr>
        <w:pStyle w:val="Sansinterligne"/>
        <w:rPr>
          <w:rFonts w:cs="Times New Roman"/>
          <w:b/>
          <w:color w:val="548DD4" w:themeColor="text2" w:themeTint="99"/>
        </w:rPr>
      </w:pPr>
      <w:r w:rsidRPr="00F62E2A">
        <w:rPr>
          <w:rFonts w:cs="Times New Roman"/>
          <w:b/>
          <w:color w:val="548DD4" w:themeColor="text2" w:themeTint="99"/>
        </w:rPr>
        <w:lastRenderedPageBreak/>
        <w:t>CMC 11</w:t>
      </w:r>
    </w:p>
    <w:p w:rsidR="00217865" w:rsidRPr="00F012F8" w:rsidRDefault="00217865" w:rsidP="00217865">
      <w:pPr>
        <w:pStyle w:val="Titre3"/>
        <w:spacing w:before="0"/>
        <w:rPr>
          <w:rFonts w:ascii="Times New Roman" w:hAnsi="Times New Roman" w:cs="Times New Roman"/>
        </w:rPr>
      </w:pPr>
      <w:bookmarkStart w:id="52" w:name="_Toc480797272"/>
      <w:r w:rsidRPr="00F012F8">
        <w:rPr>
          <w:rFonts w:ascii="Times New Roman" w:hAnsi="Times New Roman" w:cs="Times New Roman"/>
        </w:rPr>
        <w:t>Brûlures</w:t>
      </w:r>
      <w:bookmarkEnd w:id="52"/>
    </w:p>
    <w:tbl>
      <w:tblPr>
        <w:tblW w:w="5000" w:type="pct"/>
        <w:tblCellSpacing w:w="0" w:type="dxa"/>
        <w:tblCellMar>
          <w:left w:w="0" w:type="dxa"/>
          <w:right w:w="0" w:type="dxa"/>
        </w:tblCellMar>
        <w:tblLook w:val="04A0" w:firstRow="1" w:lastRow="0" w:firstColumn="1" w:lastColumn="0" w:noHBand="0" w:noVBand="1"/>
      </w:tblPr>
      <w:tblGrid>
        <w:gridCol w:w="10759"/>
        <w:gridCol w:w="41"/>
      </w:tblGrid>
      <w:tr w:rsidR="00217865" w:rsidRPr="00F012F8" w:rsidTr="00E63664">
        <w:trPr>
          <w:tblCellSpacing w:w="0" w:type="dxa"/>
        </w:trPr>
        <w:tc>
          <w:tcPr>
            <w:tcW w:w="0" w:type="auto"/>
            <w:vAlign w:val="bottom"/>
            <w:hideMark/>
          </w:tcPr>
          <w:bookmarkStart w:id="53" w:name="_Toc474266700"/>
          <w:bookmarkStart w:id="54" w:name="_Toc474274455"/>
          <w:bookmarkStart w:id="55" w:name="_Toc474769819"/>
          <w:bookmarkStart w:id="56" w:name="_Toc475198203"/>
          <w:bookmarkStart w:id="57" w:name="_Toc475563828"/>
          <w:p w:rsidR="00217865" w:rsidRPr="00EB0C1F" w:rsidRDefault="00EB0C1F" w:rsidP="00EB0C1F">
            <w:pPr>
              <w:pStyle w:val="Sansinterligne"/>
              <w:spacing w:before="240"/>
              <w:rPr>
                <w:b/>
                <w:sz w:val="18"/>
                <w:szCs w:val="18"/>
                <w:lang w:eastAsia="fr-CA"/>
              </w:rPr>
            </w:pPr>
            <w:r w:rsidRPr="00F012F8">
              <w:rPr>
                <w:rFonts w:cs="Times New Roman"/>
                <w:noProof/>
                <w:lang w:eastAsia="fr-CA"/>
              </w:rPr>
              <mc:AlternateContent>
                <mc:Choice Requires="wps">
                  <w:drawing>
                    <wp:anchor distT="0" distB="0" distL="114300" distR="114300" simplePos="0" relativeHeight="251665408" behindDoc="0" locked="0" layoutInCell="1" allowOverlap="1" wp14:anchorId="4812D41E" wp14:editId="15606F06">
                      <wp:simplePos x="0" y="0"/>
                      <wp:positionH relativeFrom="column">
                        <wp:posOffset>-68580</wp:posOffset>
                      </wp:positionH>
                      <wp:positionV relativeFrom="paragraph">
                        <wp:posOffset>50800</wp:posOffset>
                      </wp:positionV>
                      <wp:extent cx="6963410" cy="2606675"/>
                      <wp:effectExtent l="0" t="0" r="27940" b="22225"/>
                      <wp:wrapNone/>
                      <wp:docPr id="2" name="Rectangle 2"/>
                      <wp:cNvGraphicFramePr/>
                      <a:graphic xmlns:a="http://schemas.openxmlformats.org/drawingml/2006/main">
                        <a:graphicData uri="http://schemas.microsoft.com/office/word/2010/wordprocessingShape">
                          <wps:wsp>
                            <wps:cNvSpPr/>
                            <wps:spPr>
                              <a:xfrm>
                                <a:off x="0" y="0"/>
                                <a:ext cx="6963410" cy="2606675"/>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 o:spid="_x0000_s1026" style="position:absolute;margin-left:-5.4pt;margin-top:4pt;width:548.3pt;height:205.2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" filled="f" strokecolor="black [1600]" strokeweight="2pt"/>
                  </w:pict>
                </mc:Fallback>
              </mc:AlternateContent>
            </w:r>
            <w:r w:rsidR="00217865" w:rsidRPr="00EB0C1F">
              <w:rPr>
                <w:b/>
                <w:sz w:val="18"/>
                <w:szCs w:val="18"/>
                <w:lang w:eastAsia="fr-CA"/>
              </w:rPr>
              <w:t>Objectifs principaux</w:t>
            </w:r>
            <w:bookmarkEnd w:id="53"/>
            <w:bookmarkEnd w:id="54"/>
            <w:bookmarkEnd w:id="55"/>
            <w:bookmarkEnd w:id="56"/>
            <w:bookmarkEnd w:id="57"/>
          </w:p>
        </w:tc>
        <w:tc>
          <w:tcPr>
            <w:tcW w:w="0" w:type="auto"/>
            <w:vAlign w:val="bottom"/>
            <w:hideMark/>
          </w:tcPr>
          <w:p w:rsidR="00217865" w:rsidRPr="00F012F8" w:rsidRDefault="00217865" w:rsidP="00EB0C1F">
            <w:pPr>
              <w:spacing w:before="240" w:after="0" w:line="240" w:lineRule="auto"/>
              <w:jc w:val="right"/>
              <w:rPr>
                <w:rFonts w:eastAsia="Times New Roman" w:cs="Times New Roman"/>
                <w:color w:val="000000"/>
                <w:sz w:val="18"/>
                <w:szCs w:val="18"/>
                <w:lang w:eastAsia="fr-CA"/>
              </w:rPr>
            </w:pPr>
          </w:p>
        </w:tc>
      </w:tr>
    </w:tbl>
    <w:p w:rsidR="00217865" w:rsidRPr="00F012F8" w:rsidRDefault="00217865" w:rsidP="00217865">
      <w:pPr>
        <w:spacing w:before="100" w:beforeAutospacing="1" w:after="0" w:line="240" w:lineRule="auto"/>
        <w:ind w:left="360"/>
        <w:rPr>
          <w:rFonts w:eastAsia="Times New Roman" w:cs="Times New Roman"/>
          <w:color w:val="000000"/>
          <w:sz w:val="18"/>
          <w:szCs w:val="18"/>
          <w:shd w:val="clear" w:color="auto" w:fill="FFFFFF"/>
          <w:lang w:eastAsia="fr-CA"/>
        </w:rPr>
      </w:pPr>
      <w:r w:rsidRPr="00F012F8">
        <w:rPr>
          <w:rFonts w:eastAsia="Times New Roman" w:cs="Times New Roman"/>
          <w:color w:val="000000"/>
          <w:sz w:val="18"/>
          <w:szCs w:val="18"/>
          <w:shd w:val="clear" w:color="auto" w:fill="FFFFFF"/>
          <w:lang w:eastAsia="fr-CA"/>
        </w:rPr>
        <w:t>Dans le cas d'un patient ayant des brûlures, le candidat devra en déterminer la sévérité et en traiter les complications. En particulier il devra mettre en place la prise en charge initiale d'un traumatisme thermique majeur.</w:t>
      </w:r>
    </w:p>
    <w:tbl>
      <w:tblPr>
        <w:tblW w:w="5000" w:type="pct"/>
        <w:tblCellSpacing w:w="0" w:type="dxa"/>
        <w:tblCellMar>
          <w:left w:w="0" w:type="dxa"/>
          <w:right w:w="0" w:type="dxa"/>
        </w:tblCellMar>
        <w:tblLook w:val="04A0" w:firstRow="1" w:lastRow="0" w:firstColumn="1" w:lastColumn="0" w:noHBand="0" w:noVBand="1"/>
      </w:tblPr>
      <w:tblGrid>
        <w:gridCol w:w="10754"/>
        <w:gridCol w:w="46"/>
      </w:tblGrid>
      <w:tr w:rsidR="00217865" w:rsidRPr="00F012F8" w:rsidTr="00E63664">
        <w:trPr>
          <w:tblCellSpacing w:w="0" w:type="dxa"/>
        </w:trPr>
        <w:tc>
          <w:tcPr>
            <w:tcW w:w="0" w:type="auto"/>
            <w:vAlign w:val="bottom"/>
            <w:hideMark/>
          </w:tcPr>
          <w:p w:rsidR="00217865" w:rsidRPr="00EB0C1F" w:rsidRDefault="00217865" w:rsidP="00EB0C1F">
            <w:pPr>
              <w:pStyle w:val="Sansinterligne"/>
              <w:spacing w:before="240"/>
              <w:rPr>
                <w:b/>
                <w:sz w:val="16"/>
                <w:szCs w:val="16"/>
                <w:lang w:eastAsia="fr-CA"/>
              </w:rPr>
            </w:pPr>
            <w:bookmarkStart w:id="58" w:name="_Toc474266701"/>
            <w:bookmarkStart w:id="59" w:name="_Toc474274456"/>
            <w:bookmarkStart w:id="60" w:name="_Toc474769820"/>
            <w:bookmarkStart w:id="61" w:name="_Toc475198204"/>
            <w:bookmarkStart w:id="62" w:name="_Toc475563829"/>
            <w:r w:rsidRPr="00EB0C1F">
              <w:rPr>
                <w:b/>
                <w:sz w:val="16"/>
                <w:szCs w:val="16"/>
                <w:lang w:eastAsia="fr-CA"/>
              </w:rPr>
              <w:t>Objectifs spécifiques</w:t>
            </w:r>
            <w:bookmarkEnd w:id="58"/>
            <w:bookmarkEnd w:id="59"/>
            <w:bookmarkEnd w:id="60"/>
            <w:bookmarkEnd w:id="61"/>
            <w:bookmarkEnd w:id="62"/>
          </w:p>
        </w:tc>
        <w:tc>
          <w:tcPr>
            <w:tcW w:w="0" w:type="auto"/>
            <w:vAlign w:val="bottom"/>
            <w:hideMark/>
          </w:tcPr>
          <w:p w:rsidR="00217865" w:rsidRPr="00F012F8" w:rsidRDefault="00217865" w:rsidP="00EB0C1F">
            <w:pPr>
              <w:spacing w:before="240" w:after="0" w:line="240" w:lineRule="auto"/>
              <w:jc w:val="right"/>
              <w:rPr>
                <w:rFonts w:eastAsia="Times New Roman" w:cs="Times New Roman"/>
                <w:color w:val="000000"/>
                <w:sz w:val="16"/>
                <w:szCs w:val="16"/>
                <w:lang w:eastAsia="fr-CA"/>
              </w:rPr>
            </w:pPr>
          </w:p>
        </w:tc>
      </w:tr>
    </w:tbl>
    <w:p w:rsidR="00217865" w:rsidRPr="00F012F8" w:rsidRDefault="00217865" w:rsidP="00217865">
      <w:pPr>
        <w:shd w:val="clear" w:color="auto" w:fill="FFFFFF"/>
        <w:spacing w:before="100" w:beforeAutospacing="1" w:after="100" w:afterAutospacing="1" w:line="240" w:lineRule="auto"/>
        <w:ind w:left="360"/>
        <w:rPr>
          <w:rFonts w:eastAsia="Times New Roman" w:cs="Times New Roman"/>
          <w:color w:val="000000"/>
          <w:sz w:val="16"/>
          <w:szCs w:val="16"/>
          <w:shd w:val="clear" w:color="auto" w:fill="FFFFFF"/>
          <w:lang w:eastAsia="fr-CA"/>
        </w:rPr>
      </w:pPr>
      <w:r w:rsidRPr="00F012F8">
        <w:rPr>
          <w:rFonts w:eastAsia="Times New Roman" w:cs="Times New Roman"/>
          <w:color w:val="000000"/>
          <w:sz w:val="16"/>
          <w:szCs w:val="16"/>
          <w:shd w:val="clear" w:color="auto" w:fill="FFFFFF"/>
          <w:lang w:eastAsia="fr-CA"/>
        </w:rPr>
        <w:t>Dans le cas d'un patient ayant des brûlures, le candidat devra</w:t>
      </w:r>
    </w:p>
    <w:p w:rsidR="00217865" w:rsidRPr="00F012F8" w:rsidRDefault="00217865" w:rsidP="001A1752">
      <w:pPr>
        <w:numPr>
          <w:ilvl w:val="0"/>
          <w:numId w:val="5"/>
        </w:numPr>
        <w:shd w:val="clear" w:color="auto" w:fill="FFFFFF"/>
        <w:spacing w:before="100" w:beforeAutospacing="1" w:after="100" w:afterAutospacing="1" w:line="240" w:lineRule="auto"/>
        <w:rPr>
          <w:rFonts w:eastAsia="Times New Roman" w:cs="Times New Roman"/>
          <w:color w:val="000000"/>
          <w:sz w:val="16"/>
          <w:szCs w:val="16"/>
          <w:shd w:val="clear" w:color="auto" w:fill="FFFFFF"/>
          <w:lang w:eastAsia="fr-CA"/>
        </w:rPr>
      </w:pPr>
      <w:r w:rsidRPr="00F012F8">
        <w:rPr>
          <w:rFonts w:eastAsia="Times New Roman" w:cs="Times New Roman"/>
          <w:color w:val="000000"/>
          <w:sz w:val="16"/>
          <w:szCs w:val="16"/>
          <w:shd w:val="clear" w:color="auto" w:fill="FFFFFF"/>
          <w:lang w:eastAsia="fr-CA"/>
        </w:rPr>
        <w:t>énumérer et interpréter les constatations cliniques cruciales, notamment :</w:t>
      </w:r>
    </w:p>
    <w:p w:rsidR="00217865" w:rsidRPr="00F012F8" w:rsidRDefault="00217865" w:rsidP="001A1752">
      <w:pPr>
        <w:numPr>
          <w:ilvl w:val="1"/>
          <w:numId w:val="5"/>
        </w:numPr>
        <w:shd w:val="clear" w:color="auto" w:fill="FFFFFF"/>
        <w:spacing w:before="100" w:beforeAutospacing="1" w:after="100" w:afterAutospacing="1" w:line="240" w:lineRule="auto"/>
        <w:rPr>
          <w:rFonts w:eastAsia="Times New Roman" w:cs="Times New Roman"/>
          <w:color w:val="000000"/>
          <w:sz w:val="16"/>
          <w:szCs w:val="16"/>
          <w:shd w:val="clear" w:color="auto" w:fill="FFFFFF"/>
          <w:lang w:eastAsia="fr-CA"/>
        </w:rPr>
      </w:pPr>
      <w:r w:rsidRPr="00F012F8">
        <w:rPr>
          <w:rFonts w:eastAsia="Times New Roman" w:cs="Times New Roman"/>
          <w:color w:val="000000"/>
          <w:sz w:val="16"/>
          <w:szCs w:val="16"/>
          <w:shd w:val="clear" w:color="auto" w:fill="FFFFFF"/>
          <w:lang w:eastAsia="fr-CA"/>
        </w:rPr>
        <w:t>déterminer la gravité et l'étendue des brûlures</w:t>
      </w:r>
    </w:p>
    <w:p w:rsidR="00217865" w:rsidRPr="00F012F8" w:rsidRDefault="00217865" w:rsidP="001A1752">
      <w:pPr>
        <w:numPr>
          <w:ilvl w:val="1"/>
          <w:numId w:val="5"/>
        </w:numPr>
        <w:shd w:val="clear" w:color="auto" w:fill="FFFFFF"/>
        <w:spacing w:before="100" w:beforeAutospacing="1" w:after="100" w:afterAutospacing="1" w:line="240" w:lineRule="auto"/>
        <w:rPr>
          <w:rFonts w:eastAsia="Times New Roman" w:cs="Times New Roman"/>
          <w:color w:val="000000"/>
          <w:sz w:val="16"/>
          <w:szCs w:val="16"/>
          <w:shd w:val="clear" w:color="auto" w:fill="FFFFFF"/>
          <w:lang w:eastAsia="fr-CA"/>
        </w:rPr>
      </w:pPr>
      <w:r w:rsidRPr="00F012F8">
        <w:rPr>
          <w:rFonts w:eastAsia="Times New Roman" w:cs="Times New Roman"/>
          <w:color w:val="000000"/>
          <w:sz w:val="16"/>
          <w:szCs w:val="16"/>
          <w:shd w:val="clear" w:color="auto" w:fill="FFFFFF"/>
          <w:lang w:eastAsia="fr-CA"/>
        </w:rPr>
        <w:t>déterminer le risque de brûlure par inhalation ou autres problèmes cliniques associés aux brûlures</w:t>
      </w:r>
    </w:p>
    <w:p w:rsidR="00217865" w:rsidRPr="00F012F8" w:rsidRDefault="00217865" w:rsidP="001A1752">
      <w:pPr>
        <w:numPr>
          <w:ilvl w:val="1"/>
          <w:numId w:val="5"/>
        </w:numPr>
        <w:shd w:val="clear" w:color="auto" w:fill="FFFFFF"/>
        <w:spacing w:before="100" w:beforeAutospacing="1" w:after="100" w:afterAutospacing="1" w:line="240" w:lineRule="auto"/>
        <w:rPr>
          <w:rFonts w:eastAsia="Times New Roman" w:cs="Times New Roman"/>
          <w:color w:val="000000"/>
          <w:sz w:val="16"/>
          <w:szCs w:val="16"/>
          <w:shd w:val="clear" w:color="auto" w:fill="FFFFFF"/>
          <w:lang w:eastAsia="fr-CA"/>
        </w:rPr>
      </w:pPr>
      <w:r w:rsidRPr="00F012F8">
        <w:rPr>
          <w:rFonts w:eastAsia="Times New Roman" w:cs="Times New Roman"/>
          <w:color w:val="000000"/>
          <w:sz w:val="16"/>
          <w:szCs w:val="16"/>
          <w:shd w:val="clear" w:color="auto" w:fill="FFFFFF"/>
          <w:lang w:eastAsia="fr-CA"/>
        </w:rPr>
        <w:t>déterminer l'état d'immunisation du patient contre le tétanos</w:t>
      </w:r>
    </w:p>
    <w:p w:rsidR="00217865" w:rsidRPr="00F012F8" w:rsidRDefault="00217865" w:rsidP="001A1752">
      <w:pPr>
        <w:numPr>
          <w:ilvl w:val="0"/>
          <w:numId w:val="5"/>
        </w:numPr>
        <w:shd w:val="clear" w:color="auto" w:fill="FFFFFF"/>
        <w:spacing w:before="100" w:beforeAutospacing="1" w:after="100" w:afterAutospacing="1" w:line="240" w:lineRule="auto"/>
        <w:rPr>
          <w:rFonts w:eastAsia="Times New Roman" w:cs="Times New Roman"/>
          <w:color w:val="000000"/>
          <w:sz w:val="16"/>
          <w:szCs w:val="16"/>
          <w:shd w:val="clear" w:color="auto" w:fill="FFFFFF"/>
          <w:lang w:eastAsia="fr-CA"/>
        </w:rPr>
      </w:pPr>
      <w:r w:rsidRPr="00F012F8">
        <w:rPr>
          <w:rFonts w:eastAsia="Times New Roman" w:cs="Times New Roman"/>
          <w:color w:val="000000"/>
          <w:sz w:val="16"/>
          <w:szCs w:val="16"/>
          <w:shd w:val="clear" w:color="auto" w:fill="FFFFFF"/>
          <w:lang w:eastAsia="fr-CA"/>
        </w:rPr>
        <w:t>énumérer et interpréter les examens essentiels, notamment :</w:t>
      </w:r>
    </w:p>
    <w:p w:rsidR="00217865" w:rsidRPr="00F012F8" w:rsidRDefault="00217865" w:rsidP="001A1752">
      <w:pPr>
        <w:numPr>
          <w:ilvl w:val="1"/>
          <w:numId w:val="5"/>
        </w:numPr>
        <w:shd w:val="clear" w:color="auto" w:fill="FFFFFF"/>
        <w:spacing w:before="100" w:beforeAutospacing="1" w:after="100" w:afterAutospacing="1" w:line="240" w:lineRule="auto"/>
        <w:rPr>
          <w:rFonts w:eastAsia="Times New Roman" w:cs="Times New Roman"/>
          <w:color w:val="000000"/>
          <w:sz w:val="16"/>
          <w:szCs w:val="16"/>
          <w:shd w:val="clear" w:color="auto" w:fill="FFFFFF"/>
          <w:lang w:eastAsia="fr-CA"/>
        </w:rPr>
      </w:pPr>
      <w:r w:rsidRPr="00F012F8">
        <w:rPr>
          <w:rFonts w:eastAsia="Times New Roman" w:cs="Times New Roman"/>
          <w:color w:val="000000"/>
          <w:sz w:val="16"/>
          <w:szCs w:val="16"/>
          <w:shd w:val="clear" w:color="auto" w:fill="FFFFFF"/>
          <w:lang w:eastAsia="fr-CA"/>
        </w:rPr>
        <w:t>les analyses de laboratoire et les examens d'imagerie diagnostique</w:t>
      </w:r>
    </w:p>
    <w:p w:rsidR="00217865" w:rsidRPr="00F012F8" w:rsidRDefault="00217865" w:rsidP="001A1752">
      <w:pPr>
        <w:numPr>
          <w:ilvl w:val="0"/>
          <w:numId w:val="5"/>
        </w:numPr>
        <w:shd w:val="clear" w:color="auto" w:fill="FFFFFF"/>
        <w:spacing w:before="100" w:beforeAutospacing="1" w:after="100" w:afterAutospacing="1" w:line="240" w:lineRule="auto"/>
        <w:rPr>
          <w:rFonts w:eastAsia="Times New Roman" w:cs="Times New Roman"/>
          <w:color w:val="000000"/>
          <w:sz w:val="16"/>
          <w:szCs w:val="16"/>
          <w:shd w:val="clear" w:color="auto" w:fill="FFFFFF"/>
          <w:lang w:eastAsia="fr-CA"/>
        </w:rPr>
      </w:pPr>
      <w:r w:rsidRPr="00F012F8">
        <w:rPr>
          <w:rFonts w:eastAsia="Times New Roman" w:cs="Times New Roman"/>
          <w:color w:val="000000"/>
          <w:sz w:val="16"/>
          <w:szCs w:val="16"/>
          <w:shd w:val="clear" w:color="auto" w:fill="FFFFFF"/>
          <w:lang w:eastAsia="fr-CA"/>
        </w:rPr>
        <w:t>élaborer un plan efficace de prise en charge initiale, notamment :</w:t>
      </w:r>
    </w:p>
    <w:p w:rsidR="00217865" w:rsidRPr="00F012F8" w:rsidRDefault="00217865" w:rsidP="001A1752">
      <w:pPr>
        <w:numPr>
          <w:ilvl w:val="1"/>
          <w:numId w:val="5"/>
        </w:numPr>
        <w:shd w:val="clear" w:color="auto" w:fill="FFFFFF"/>
        <w:spacing w:before="100" w:beforeAutospacing="1" w:after="100" w:afterAutospacing="1" w:line="240" w:lineRule="auto"/>
        <w:rPr>
          <w:rFonts w:eastAsia="Times New Roman" w:cs="Times New Roman"/>
          <w:color w:val="000000"/>
          <w:sz w:val="16"/>
          <w:szCs w:val="16"/>
          <w:shd w:val="clear" w:color="auto" w:fill="FFFFFF"/>
          <w:lang w:eastAsia="fr-CA"/>
        </w:rPr>
      </w:pPr>
      <w:r w:rsidRPr="00F012F8">
        <w:rPr>
          <w:rFonts w:eastAsia="Times New Roman" w:cs="Times New Roman"/>
          <w:color w:val="000000"/>
          <w:sz w:val="16"/>
          <w:szCs w:val="16"/>
          <w:shd w:val="clear" w:color="auto" w:fill="FFFFFF"/>
          <w:lang w:eastAsia="fr-CA"/>
        </w:rPr>
        <w:t>réanimer et stabiliser le patient, notamment en lui administrant les solutés intraveineux appropriés par voie intraveineuse</w:t>
      </w:r>
    </w:p>
    <w:p w:rsidR="00217865" w:rsidRPr="00F012F8" w:rsidRDefault="00217865" w:rsidP="001A1752">
      <w:pPr>
        <w:numPr>
          <w:ilvl w:val="1"/>
          <w:numId w:val="5"/>
        </w:numPr>
        <w:shd w:val="clear" w:color="auto" w:fill="FFFFFF"/>
        <w:spacing w:before="100" w:beforeAutospacing="1" w:after="100" w:afterAutospacing="1" w:line="240" w:lineRule="auto"/>
        <w:rPr>
          <w:rFonts w:eastAsia="Times New Roman" w:cs="Times New Roman"/>
          <w:color w:val="000000"/>
          <w:sz w:val="16"/>
          <w:szCs w:val="16"/>
          <w:shd w:val="clear" w:color="auto" w:fill="FFFFFF"/>
          <w:lang w:eastAsia="fr-CA"/>
        </w:rPr>
      </w:pPr>
      <w:r w:rsidRPr="00F012F8">
        <w:rPr>
          <w:rFonts w:eastAsia="Times New Roman" w:cs="Times New Roman"/>
          <w:color w:val="000000"/>
          <w:sz w:val="16"/>
          <w:szCs w:val="16"/>
          <w:shd w:val="clear" w:color="auto" w:fill="FFFFFF"/>
          <w:lang w:eastAsia="fr-CA"/>
        </w:rPr>
        <w:t>assurer une surveillance physiologique et un contrôle de la douleur</w:t>
      </w:r>
    </w:p>
    <w:p w:rsidR="00217865" w:rsidRPr="00F012F8" w:rsidRDefault="00217865" w:rsidP="001A1752">
      <w:pPr>
        <w:numPr>
          <w:ilvl w:val="1"/>
          <w:numId w:val="5"/>
        </w:numPr>
        <w:shd w:val="clear" w:color="auto" w:fill="FFFFFF"/>
        <w:spacing w:before="100" w:beforeAutospacing="1" w:after="0" w:line="240" w:lineRule="auto"/>
        <w:rPr>
          <w:rFonts w:eastAsia="Times New Roman" w:cs="Times New Roman"/>
          <w:color w:val="000000"/>
          <w:sz w:val="16"/>
          <w:szCs w:val="16"/>
          <w:shd w:val="clear" w:color="auto" w:fill="FFFFFF"/>
          <w:lang w:eastAsia="fr-CA"/>
        </w:rPr>
      </w:pPr>
      <w:r w:rsidRPr="00F012F8">
        <w:rPr>
          <w:rFonts w:eastAsia="Times New Roman" w:cs="Times New Roman"/>
          <w:color w:val="000000"/>
          <w:sz w:val="16"/>
          <w:szCs w:val="16"/>
          <w:shd w:val="clear" w:color="auto" w:fill="FFFFFF"/>
          <w:lang w:eastAsia="fr-CA"/>
        </w:rPr>
        <w:t>déterminer quels patients ont besoin de soins particuliers.</w:t>
      </w:r>
    </w:p>
    <w:p w:rsidR="00217865" w:rsidRPr="00F012F8" w:rsidRDefault="00217865" w:rsidP="00217865">
      <w:pPr>
        <w:shd w:val="clear" w:color="auto" w:fill="FFFFFF"/>
        <w:spacing w:before="100" w:beforeAutospacing="1" w:after="0" w:line="240" w:lineRule="auto"/>
        <w:rPr>
          <w:rFonts w:eastAsia="Times New Roman" w:cs="Times New Roman"/>
          <w:color w:val="000000"/>
          <w:sz w:val="16"/>
          <w:szCs w:val="16"/>
          <w:shd w:val="clear" w:color="auto" w:fill="FFFFFF"/>
          <w:lang w:eastAsia="fr-CA"/>
        </w:rPr>
      </w:pPr>
      <w:r w:rsidRPr="00F012F8">
        <w:rPr>
          <w:rFonts w:cs="Times New Roman"/>
          <w:noProof/>
          <w:lang w:eastAsia="fr-CA"/>
        </w:rPr>
        <w:drawing>
          <wp:anchor distT="0" distB="0" distL="114300" distR="114300" simplePos="0" relativeHeight="251667456" behindDoc="0" locked="0" layoutInCell="1" allowOverlap="1" wp14:anchorId="2F8FF0C7" wp14:editId="4014D397">
            <wp:simplePos x="0" y="0"/>
            <wp:positionH relativeFrom="column">
              <wp:posOffset>3761105</wp:posOffset>
            </wp:positionH>
            <wp:positionV relativeFrom="paragraph">
              <wp:posOffset>110539</wp:posOffset>
            </wp:positionV>
            <wp:extent cx="2672715" cy="1863725"/>
            <wp:effectExtent l="0" t="0" r="0" b="3175"/>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rotWithShape="1">
                    <a:blip r:embed="rId57">
                      <a:extLst>
                        <a:ext uri="{28A0092B-C50C-407E-A947-70E740481C1C}">
                          <a14:useLocalDpi xmlns:a14="http://schemas.microsoft.com/office/drawing/2010/main" val="0"/>
                        </a:ext>
                      </a:extLst>
                    </a:blip>
                    <a:srcRect t="5107" b="4584"/>
                    <a:stretch/>
                  </pic:blipFill>
                  <pic:spPr bwMode="auto">
                    <a:xfrm>
                      <a:off x="0" y="0"/>
                      <a:ext cx="2672715" cy="18637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F012F8">
        <w:rPr>
          <w:rFonts w:cs="Times New Roman"/>
          <w:b/>
        </w:rPr>
        <w:t>Étiologie(s) principales</w:t>
      </w:r>
    </w:p>
    <w:p w:rsidR="00217865" w:rsidRPr="00F012F8" w:rsidRDefault="00217865" w:rsidP="001A1752">
      <w:pPr>
        <w:pStyle w:val="Paragraphedeliste"/>
        <w:numPr>
          <w:ilvl w:val="0"/>
          <w:numId w:val="6"/>
        </w:numPr>
        <w:spacing w:after="0" w:line="240" w:lineRule="auto"/>
        <w:rPr>
          <w:rFonts w:cs="Times New Roman"/>
        </w:rPr>
      </w:pPr>
      <w:r w:rsidRPr="00F012F8">
        <w:rPr>
          <w:rFonts w:cs="Times New Roman"/>
        </w:rPr>
        <w:t>Chaleur</w:t>
      </w:r>
    </w:p>
    <w:p w:rsidR="00217865" w:rsidRPr="00F012F8" w:rsidRDefault="00217865" w:rsidP="001A1752">
      <w:pPr>
        <w:pStyle w:val="Paragraphedeliste"/>
        <w:numPr>
          <w:ilvl w:val="1"/>
          <w:numId w:val="6"/>
        </w:numPr>
        <w:spacing w:after="0" w:line="240" w:lineRule="auto"/>
        <w:rPr>
          <w:rFonts w:cs="Times New Roman"/>
        </w:rPr>
      </w:pPr>
      <w:r w:rsidRPr="00F012F8">
        <w:rPr>
          <w:rFonts w:cs="Times New Roman"/>
        </w:rPr>
        <w:t>Chez l’adulte, principale cause = feu</w:t>
      </w:r>
    </w:p>
    <w:p w:rsidR="00217865" w:rsidRPr="00F012F8" w:rsidRDefault="00217865" w:rsidP="001A1752">
      <w:pPr>
        <w:pStyle w:val="Paragraphedeliste"/>
        <w:numPr>
          <w:ilvl w:val="1"/>
          <w:numId w:val="6"/>
        </w:numPr>
        <w:spacing w:after="0" w:line="240" w:lineRule="auto"/>
        <w:rPr>
          <w:rFonts w:cs="Times New Roman"/>
        </w:rPr>
      </w:pPr>
      <w:r w:rsidRPr="00F012F8">
        <w:rPr>
          <w:rFonts w:cs="Times New Roman"/>
        </w:rPr>
        <w:t>Chez l’enfant 1</w:t>
      </w:r>
      <w:r w:rsidRPr="00F012F8">
        <w:rPr>
          <w:rFonts w:cs="Times New Roman"/>
          <w:vertAlign w:val="superscript"/>
        </w:rPr>
        <w:t>ère</w:t>
      </w:r>
      <w:r w:rsidRPr="00F012F8">
        <w:rPr>
          <w:rFonts w:cs="Times New Roman"/>
        </w:rPr>
        <w:t xml:space="preserve"> cause = eau bouillante</w:t>
      </w:r>
    </w:p>
    <w:p w:rsidR="00217865" w:rsidRPr="00F012F8" w:rsidRDefault="00217865" w:rsidP="000611A9">
      <w:pPr>
        <w:pStyle w:val="Paragraphedeliste"/>
        <w:spacing w:after="0" w:line="240" w:lineRule="auto"/>
        <w:ind w:left="1440"/>
        <w:rPr>
          <w:rFonts w:cs="Times New Roman"/>
        </w:rPr>
      </w:pPr>
    </w:p>
    <w:p w:rsidR="00217865" w:rsidRPr="00F012F8" w:rsidRDefault="00217865" w:rsidP="001A1752">
      <w:pPr>
        <w:pStyle w:val="Paragraphedeliste"/>
        <w:numPr>
          <w:ilvl w:val="0"/>
          <w:numId w:val="6"/>
        </w:numPr>
        <w:spacing w:after="0" w:line="240" w:lineRule="auto"/>
        <w:rPr>
          <w:rFonts w:cs="Times New Roman"/>
        </w:rPr>
      </w:pPr>
      <w:r w:rsidRPr="00F012F8">
        <w:rPr>
          <w:rFonts w:cs="Times New Roman"/>
        </w:rPr>
        <w:t>Agent chimique (4% des brûlures)</w:t>
      </w:r>
    </w:p>
    <w:p w:rsidR="00217865" w:rsidRPr="00F012F8" w:rsidRDefault="00217865" w:rsidP="001A1752">
      <w:pPr>
        <w:pStyle w:val="Paragraphedeliste"/>
        <w:numPr>
          <w:ilvl w:val="0"/>
          <w:numId w:val="6"/>
        </w:numPr>
        <w:spacing w:after="0" w:line="240" w:lineRule="auto"/>
        <w:rPr>
          <w:rFonts w:cs="Times New Roman"/>
        </w:rPr>
      </w:pPr>
      <w:r w:rsidRPr="00F012F8">
        <w:rPr>
          <w:rFonts w:cs="Times New Roman"/>
        </w:rPr>
        <w:t>Rayonnement (UV, radiothérapie)</w:t>
      </w:r>
    </w:p>
    <w:p w:rsidR="00217865" w:rsidRPr="00F012F8" w:rsidRDefault="00217865" w:rsidP="001A1752">
      <w:pPr>
        <w:pStyle w:val="Paragraphedeliste"/>
        <w:numPr>
          <w:ilvl w:val="0"/>
          <w:numId w:val="6"/>
        </w:numPr>
        <w:spacing w:after="0" w:line="240" w:lineRule="auto"/>
        <w:rPr>
          <w:rFonts w:cs="Times New Roman"/>
        </w:rPr>
      </w:pPr>
      <w:r w:rsidRPr="00F012F8">
        <w:rPr>
          <w:rFonts w:cs="Times New Roman"/>
        </w:rPr>
        <w:t>Électrique (3-4% des brûlures)</w:t>
      </w:r>
    </w:p>
    <w:p w:rsidR="00217865" w:rsidRPr="00F012F8" w:rsidRDefault="00217865" w:rsidP="001A1752">
      <w:pPr>
        <w:pStyle w:val="Paragraphedeliste"/>
        <w:numPr>
          <w:ilvl w:val="0"/>
          <w:numId w:val="6"/>
        </w:numPr>
        <w:spacing w:after="0" w:line="240" w:lineRule="auto"/>
        <w:rPr>
          <w:rFonts w:cs="Times New Roman"/>
        </w:rPr>
      </w:pPr>
      <w:r w:rsidRPr="00F012F8">
        <w:rPr>
          <w:rFonts w:cs="Times New Roman"/>
        </w:rPr>
        <w:t>Froid (engelure)</w:t>
      </w:r>
    </w:p>
    <w:p w:rsidR="00217865" w:rsidRPr="00F012F8" w:rsidRDefault="00217865" w:rsidP="00217865">
      <w:pPr>
        <w:pStyle w:val="Paragraphedeliste"/>
        <w:spacing w:after="0" w:line="240" w:lineRule="auto"/>
        <w:rPr>
          <w:rFonts w:cs="Times New Roman"/>
        </w:rPr>
      </w:pPr>
    </w:p>
    <w:p w:rsidR="00217865" w:rsidRPr="00F012F8" w:rsidRDefault="00217865" w:rsidP="00217865">
      <w:pPr>
        <w:rPr>
          <w:rFonts w:cs="Times New Roman"/>
          <w:b/>
        </w:rPr>
      </w:pPr>
      <w:r w:rsidRPr="00F012F8">
        <w:rPr>
          <w:rFonts w:cs="Times New Roman"/>
          <w:b/>
        </w:rPr>
        <w:t>Diagnostic</w:t>
      </w:r>
    </w:p>
    <w:p w:rsidR="00217865" w:rsidRPr="00F012F8" w:rsidRDefault="00217865" w:rsidP="00217865">
      <w:pPr>
        <w:rPr>
          <w:rFonts w:cs="Times New Roman"/>
          <w:i/>
        </w:rPr>
      </w:pPr>
      <w:r w:rsidRPr="00F012F8">
        <w:rPr>
          <w:rFonts w:cs="Times New Roman"/>
          <w:i/>
        </w:rPr>
        <w:t>Faire l’histoire pertinente (moment de l’évènement, durée de l’exposition, Sx relatifs-respiratoires, céphalées, etc)</w:t>
      </w:r>
    </w:p>
    <w:p w:rsidR="00217865" w:rsidRPr="00F012F8" w:rsidRDefault="00217865" w:rsidP="001A1752">
      <w:pPr>
        <w:pStyle w:val="Paragraphedeliste"/>
        <w:numPr>
          <w:ilvl w:val="0"/>
          <w:numId w:val="11"/>
        </w:numPr>
        <w:rPr>
          <w:rFonts w:cs="Times New Roman"/>
        </w:rPr>
      </w:pPr>
      <w:r w:rsidRPr="00F012F8">
        <w:rPr>
          <w:rFonts w:cs="Times New Roman"/>
          <w:highlight w:val="yellow"/>
        </w:rPr>
        <w:t>Suspecter brûlure des voies aériennes et inhalation de fumée +/- intox au CO si</w:t>
      </w:r>
      <w:r w:rsidRPr="00F012F8">
        <w:rPr>
          <w:rFonts w:cs="Times New Roman"/>
        </w:rPr>
        <w:t xml:space="preserve"> : </w:t>
      </w:r>
    </w:p>
    <w:p w:rsidR="00217865" w:rsidRPr="00F012F8" w:rsidRDefault="00217865" w:rsidP="001A1752">
      <w:pPr>
        <w:pStyle w:val="Paragraphedeliste"/>
        <w:numPr>
          <w:ilvl w:val="1"/>
          <w:numId w:val="11"/>
        </w:numPr>
        <w:rPr>
          <w:rFonts w:cs="Times New Roman"/>
        </w:rPr>
        <w:sectPr w:rsidR="00217865" w:rsidRPr="00F012F8" w:rsidSect="00AC0530">
          <w:type w:val="continuous"/>
          <w:pgSz w:w="12240" w:h="15840"/>
          <w:pgMar w:top="720" w:right="720" w:bottom="720" w:left="720" w:header="708" w:footer="708" w:gutter="0"/>
          <w:cols w:space="708"/>
          <w:docGrid w:linePitch="360"/>
        </w:sectPr>
      </w:pPr>
    </w:p>
    <w:p w:rsidR="00217865" w:rsidRPr="00F012F8" w:rsidRDefault="00217865" w:rsidP="001A1752">
      <w:pPr>
        <w:pStyle w:val="Paragraphedeliste"/>
        <w:numPr>
          <w:ilvl w:val="1"/>
          <w:numId w:val="11"/>
        </w:numPr>
        <w:rPr>
          <w:rFonts w:cs="Times New Roman"/>
        </w:rPr>
      </w:pPr>
      <w:r w:rsidRPr="00F012F8">
        <w:rPr>
          <w:rFonts w:cs="Times New Roman"/>
        </w:rPr>
        <w:lastRenderedPageBreak/>
        <w:t xml:space="preserve">poils de nez, sourcils ou moustaches brûlés, </w:t>
      </w:r>
    </w:p>
    <w:p w:rsidR="00217865" w:rsidRPr="00F012F8" w:rsidRDefault="00217865" w:rsidP="001A1752">
      <w:pPr>
        <w:pStyle w:val="Paragraphedeliste"/>
        <w:numPr>
          <w:ilvl w:val="1"/>
          <w:numId w:val="11"/>
        </w:numPr>
        <w:rPr>
          <w:rFonts w:cs="Times New Roman"/>
        </w:rPr>
      </w:pPr>
      <w:r w:rsidRPr="00F012F8">
        <w:rPr>
          <w:rFonts w:cs="Times New Roman"/>
        </w:rPr>
        <w:t>mécanisme explosif ou espace clos</w:t>
      </w:r>
    </w:p>
    <w:p w:rsidR="00217865" w:rsidRPr="00F012F8" w:rsidRDefault="00217865" w:rsidP="001A1752">
      <w:pPr>
        <w:pStyle w:val="Paragraphedeliste"/>
        <w:numPr>
          <w:ilvl w:val="1"/>
          <w:numId w:val="11"/>
        </w:numPr>
        <w:rPr>
          <w:rFonts w:cs="Times New Roman"/>
        </w:rPr>
      </w:pPr>
      <w:r w:rsidRPr="00F012F8">
        <w:rPr>
          <w:rFonts w:cs="Times New Roman"/>
        </w:rPr>
        <w:t>présence de suie dans le nez ou la bouche</w:t>
      </w:r>
    </w:p>
    <w:p w:rsidR="00217865" w:rsidRPr="00F012F8" w:rsidRDefault="00217865" w:rsidP="001A1752">
      <w:pPr>
        <w:pStyle w:val="Paragraphedeliste"/>
        <w:numPr>
          <w:ilvl w:val="1"/>
          <w:numId w:val="11"/>
        </w:numPr>
        <w:rPr>
          <w:rFonts w:cs="Times New Roman"/>
        </w:rPr>
      </w:pPr>
      <w:r w:rsidRPr="00F012F8">
        <w:rPr>
          <w:rFonts w:cs="Times New Roman"/>
        </w:rPr>
        <w:t>voix rauque</w:t>
      </w:r>
    </w:p>
    <w:p w:rsidR="00217865" w:rsidRPr="00F012F8" w:rsidRDefault="00217865" w:rsidP="001A1752">
      <w:pPr>
        <w:pStyle w:val="Paragraphedeliste"/>
        <w:numPr>
          <w:ilvl w:val="1"/>
          <w:numId w:val="11"/>
        </w:numPr>
        <w:rPr>
          <w:rFonts w:cs="Times New Roman"/>
        </w:rPr>
      </w:pPr>
      <w:r w:rsidRPr="00F012F8">
        <w:rPr>
          <w:rFonts w:cs="Times New Roman"/>
        </w:rPr>
        <w:lastRenderedPageBreak/>
        <w:t>brûlures au visage</w:t>
      </w:r>
    </w:p>
    <w:p w:rsidR="00217865" w:rsidRPr="00F012F8" w:rsidRDefault="00217865" w:rsidP="001A1752">
      <w:pPr>
        <w:pStyle w:val="Paragraphedeliste"/>
        <w:numPr>
          <w:ilvl w:val="1"/>
          <w:numId w:val="11"/>
        </w:numPr>
        <w:rPr>
          <w:rFonts w:cs="Times New Roman"/>
        </w:rPr>
      </w:pPr>
      <w:r w:rsidRPr="00F012F8">
        <w:rPr>
          <w:rFonts w:cs="Times New Roman"/>
        </w:rPr>
        <w:t>conjonctivite</w:t>
      </w:r>
    </w:p>
    <w:p w:rsidR="00217865" w:rsidRPr="00F012F8" w:rsidRDefault="00217865" w:rsidP="001A1752">
      <w:pPr>
        <w:pStyle w:val="Paragraphedeliste"/>
        <w:numPr>
          <w:ilvl w:val="1"/>
          <w:numId w:val="11"/>
        </w:numPr>
        <w:rPr>
          <w:rFonts w:cs="Times New Roman"/>
        </w:rPr>
        <w:sectPr w:rsidR="00217865" w:rsidRPr="00F012F8" w:rsidSect="00217865">
          <w:type w:val="continuous"/>
          <w:pgSz w:w="12240" w:h="15840"/>
          <w:pgMar w:top="720" w:right="720" w:bottom="720" w:left="720" w:header="708" w:footer="708" w:gutter="0"/>
          <w:cols w:num="2" w:space="708"/>
          <w:docGrid w:linePitch="360"/>
        </w:sectPr>
      </w:pPr>
      <w:r w:rsidRPr="00F012F8">
        <w:rPr>
          <w:rFonts w:cs="Times New Roman"/>
        </w:rPr>
        <w:t>tachypnée</w:t>
      </w:r>
    </w:p>
    <w:p w:rsidR="00217865" w:rsidRPr="00F012F8" w:rsidRDefault="00217865" w:rsidP="001A1752">
      <w:pPr>
        <w:pStyle w:val="Paragraphedeliste"/>
        <w:numPr>
          <w:ilvl w:val="0"/>
          <w:numId w:val="11"/>
        </w:numPr>
        <w:rPr>
          <w:rFonts w:cs="Times New Roman"/>
        </w:rPr>
      </w:pPr>
      <w:r w:rsidRPr="00F012F8">
        <w:rPr>
          <w:rFonts w:cs="Times New Roman"/>
        </w:rPr>
        <w:lastRenderedPageBreak/>
        <w:t>Porter attention à la présence de brûlure circonférentielle qui peut créer une escarre exerçant une pression compromettant la respiration ou la circulation sanguine.</w:t>
      </w:r>
    </w:p>
    <w:p w:rsidR="00217865" w:rsidRPr="00F012F8" w:rsidRDefault="00217865" w:rsidP="001A1752">
      <w:pPr>
        <w:pStyle w:val="Paragraphedeliste"/>
        <w:numPr>
          <w:ilvl w:val="0"/>
          <w:numId w:val="11"/>
        </w:numPr>
        <w:rPr>
          <w:rFonts w:cs="Times New Roman"/>
        </w:rPr>
      </w:pPr>
      <w:r w:rsidRPr="00F012F8">
        <w:rPr>
          <w:rFonts w:cs="Times New Roman"/>
        </w:rPr>
        <w:t>Électrocution : identifier le point d’entrée et de sortie</w:t>
      </w:r>
    </w:p>
    <w:p w:rsidR="00217865" w:rsidRPr="00F012F8" w:rsidRDefault="00217865" w:rsidP="001A1752">
      <w:pPr>
        <w:pStyle w:val="Paragraphedeliste"/>
        <w:numPr>
          <w:ilvl w:val="0"/>
          <w:numId w:val="11"/>
        </w:numPr>
        <w:rPr>
          <w:rFonts w:cs="Times New Roman"/>
        </w:rPr>
      </w:pPr>
      <w:r w:rsidRPr="00F012F8">
        <w:rPr>
          <w:rFonts w:cs="Times New Roman"/>
        </w:rPr>
        <w:t>Identifier l’agent chimique en cause PRN et la durée de l’exposition</w:t>
      </w:r>
    </w:p>
    <w:p w:rsidR="00217865" w:rsidRPr="00F012F8" w:rsidRDefault="00217865" w:rsidP="001A1752">
      <w:pPr>
        <w:pStyle w:val="Paragraphedeliste"/>
        <w:numPr>
          <w:ilvl w:val="0"/>
          <w:numId w:val="11"/>
        </w:numPr>
        <w:rPr>
          <w:rFonts w:cs="Times New Roman"/>
        </w:rPr>
      </w:pPr>
      <w:r w:rsidRPr="00F012F8">
        <w:rPr>
          <w:rFonts w:cs="Times New Roman"/>
        </w:rPr>
        <w:t>Identifier les facteurs compromettants la guérison (diabète, etc.)</w:t>
      </w:r>
    </w:p>
    <w:p w:rsidR="00217865" w:rsidRPr="00F012F8" w:rsidRDefault="00217865" w:rsidP="00217865">
      <w:pPr>
        <w:pStyle w:val="Paragraphedeliste"/>
        <w:ind w:left="360"/>
        <w:rPr>
          <w:rFonts w:cs="Times New Roman"/>
        </w:rPr>
      </w:pPr>
      <w:r w:rsidRPr="00F012F8">
        <w:rPr>
          <w:rFonts w:cs="Times New Roman"/>
          <w:highlight w:val="yellow"/>
        </w:rPr>
        <w:t>Déterminer l’étendue et la gravité des brûlures</w:t>
      </w:r>
    </w:p>
    <w:tbl>
      <w:tblPr>
        <w:tblStyle w:val="Grilledutableau"/>
        <w:tblpPr w:leftFromText="141" w:rightFromText="141" w:vertAnchor="text" w:horzAnchor="margin" w:tblpY="-29"/>
        <w:tblW w:w="0" w:type="auto"/>
        <w:tblLayout w:type="fixed"/>
        <w:tblLook w:val="04A0" w:firstRow="1" w:lastRow="0" w:firstColumn="1" w:lastColumn="0" w:noHBand="0" w:noVBand="1"/>
      </w:tblPr>
      <w:tblGrid>
        <w:gridCol w:w="2093"/>
        <w:gridCol w:w="2126"/>
        <w:gridCol w:w="4678"/>
        <w:gridCol w:w="1417"/>
      </w:tblGrid>
      <w:tr w:rsidR="00217865" w:rsidRPr="00F012F8" w:rsidTr="00184EB5">
        <w:tc>
          <w:tcPr>
            <w:tcW w:w="2093" w:type="dxa"/>
            <w:shd w:val="clear" w:color="auto" w:fill="C6D9F1" w:themeFill="text2" w:themeFillTint="33"/>
          </w:tcPr>
          <w:p w:rsidR="00217865" w:rsidRPr="00F012F8" w:rsidRDefault="00217865" w:rsidP="00E63664">
            <w:pPr>
              <w:jc w:val="center"/>
              <w:rPr>
                <w:rFonts w:cs="Times New Roman"/>
                <w:b/>
                <w:i/>
                <w:sz w:val="18"/>
                <w:szCs w:val="18"/>
              </w:rPr>
            </w:pPr>
            <w:r w:rsidRPr="00F012F8">
              <w:rPr>
                <w:rFonts w:cs="Times New Roman"/>
                <w:b/>
                <w:i/>
                <w:sz w:val="18"/>
                <w:szCs w:val="18"/>
              </w:rPr>
              <w:lastRenderedPageBreak/>
              <w:t>Nom</w:t>
            </w:r>
          </w:p>
        </w:tc>
        <w:tc>
          <w:tcPr>
            <w:tcW w:w="2126" w:type="dxa"/>
            <w:shd w:val="clear" w:color="auto" w:fill="C6D9F1" w:themeFill="text2" w:themeFillTint="33"/>
          </w:tcPr>
          <w:p w:rsidR="00217865" w:rsidRPr="00F012F8" w:rsidRDefault="00217865" w:rsidP="00E63664">
            <w:pPr>
              <w:jc w:val="center"/>
              <w:rPr>
                <w:rFonts w:cs="Times New Roman"/>
                <w:b/>
                <w:i/>
                <w:sz w:val="18"/>
                <w:szCs w:val="18"/>
              </w:rPr>
            </w:pPr>
            <w:r w:rsidRPr="00F012F8">
              <w:rPr>
                <w:rFonts w:cs="Times New Roman"/>
                <w:b/>
                <w:i/>
                <w:sz w:val="18"/>
                <w:szCs w:val="18"/>
              </w:rPr>
              <w:t>Structures atteintes</w:t>
            </w:r>
          </w:p>
        </w:tc>
        <w:tc>
          <w:tcPr>
            <w:tcW w:w="4678" w:type="dxa"/>
            <w:shd w:val="clear" w:color="auto" w:fill="C6D9F1" w:themeFill="text2" w:themeFillTint="33"/>
          </w:tcPr>
          <w:p w:rsidR="00217865" w:rsidRPr="00F012F8" w:rsidRDefault="00217865" w:rsidP="00E63664">
            <w:pPr>
              <w:jc w:val="center"/>
              <w:rPr>
                <w:rFonts w:cs="Times New Roman"/>
                <w:b/>
                <w:i/>
                <w:sz w:val="18"/>
                <w:szCs w:val="18"/>
              </w:rPr>
            </w:pPr>
            <w:r w:rsidRPr="00F012F8">
              <w:rPr>
                <w:rFonts w:cs="Times New Roman"/>
                <w:b/>
                <w:i/>
                <w:sz w:val="18"/>
                <w:szCs w:val="18"/>
              </w:rPr>
              <w:t>Caractéristiques</w:t>
            </w:r>
          </w:p>
        </w:tc>
        <w:tc>
          <w:tcPr>
            <w:tcW w:w="1417" w:type="dxa"/>
            <w:shd w:val="clear" w:color="auto" w:fill="C6D9F1" w:themeFill="text2" w:themeFillTint="33"/>
          </w:tcPr>
          <w:p w:rsidR="00217865" w:rsidRPr="00F012F8" w:rsidRDefault="00217865" w:rsidP="00E63664">
            <w:pPr>
              <w:jc w:val="center"/>
              <w:rPr>
                <w:rFonts w:cs="Times New Roman"/>
                <w:b/>
                <w:i/>
                <w:sz w:val="18"/>
                <w:szCs w:val="18"/>
              </w:rPr>
            </w:pPr>
            <w:r w:rsidRPr="00F012F8">
              <w:rPr>
                <w:rFonts w:cs="Times New Roman"/>
                <w:b/>
                <w:i/>
                <w:sz w:val="18"/>
                <w:szCs w:val="18"/>
              </w:rPr>
              <w:t>Temps de guérison</w:t>
            </w:r>
          </w:p>
        </w:tc>
      </w:tr>
      <w:tr w:rsidR="00217865" w:rsidRPr="00F012F8" w:rsidTr="00217865">
        <w:tc>
          <w:tcPr>
            <w:tcW w:w="2093" w:type="dxa"/>
          </w:tcPr>
          <w:p w:rsidR="00217865" w:rsidRPr="00F012F8" w:rsidRDefault="00217865" w:rsidP="00E63664">
            <w:pPr>
              <w:rPr>
                <w:rFonts w:cs="Times New Roman"/>
                <w:sz w:val="18"/>
                <w:szCs w:val="18"/>
              </w:rPr>
            </w:pPr>
            <w:r w:rsidRPr="00F012F8">
              <w:rPr>
                <w:rFonts w:cs="Times New Roman"/>
                <w:sz w:val="18"/>
                <w:szCs w:val="18"/>
              </w:rPr>
              <w:t xml:space="preserve">Superficiel </w:t>
            </w:r>
          </w:p>
          <w:p w:rsidR="00217865" w:rsidRPr="00F012F8" w:rsidRDefault="00217865" w:rsidP="00E63664">
            <w:pPr>
              <w:rPr>
                <w:rFonts w:cs="Times New Roman"/>
                <w:sz w:val="18"/>
                <w:szCs w:val="18"/>
              </w:rPr>
            </w:pPr>
            <w:r w:rsidRPr="00F012F8">
              <w:rPr>
                <w:rFonts w:cs="Times New Roman"/>
                <w:sz w:val="18"/>
                <w:szCs w:val="18"/>
              </w:rPr>
              <w:t>(1</w:t>
            </w:r>
            <w:r w:rsidRPr="00F012F8">
              <w:rPr>
                <w:rFonts w:cs="Times New Roman"/>
                <w:sz w:val="18"/>
                <w:szCs w:val="18"/>
                <w:vertAlign w:val="superscript"/>
              </w:rPr>
              <w:t>er</w:t>
            </w:r>
            <w:r w:rsidRPr="00F012F8">
              <w:rPr>
                <w:rFonts w:cs="Times New Roman"/>
                <w:sz w:val="18"/>
                <w:szCs w:val="18"/>
              </w:rPr>
              <w:t xml:space="preserve"> degré)</w:t>
            </w:r>
          </w:p>
        </w:tc>
        <w:tc>
          <w:tcPr>
            <w:tcW w:w="2126" w:type="dxa"/>
          </w:tcPr>
          <w:p w:rsidR="00217865" w:rsidRPr="00F012F8" w:rsidRDefault="00217865" w:rsidP="00E63664">
            <w:pPr>
              <w:rPr>
                <w:rFonts w:cs="Times New Roman"/>
                <w:sz w:val="18"/>
                <w:szCs w:val="18"/>
              </w:rPr>
            </w:pPr>
            <w:r w:rsidRPr="00F012F8">
              <w:rPr>
                <w:rFonts w:cs="Times New Roman"/>
                <w:sz w:val="18"/>
                <w:szCs w:val="18"/>
              </w:rPr>
              <w:t>Épiderme</w:t>
            </w:r>
          </w:p>
        </w:tc>
        <w:tc>
          <w:tcPr>
            <w:tcW w:w="4678" w:type="dxa"/>
          </w:tcPr>
          <w:p w:rsidR="00217865" w:rsidRPr="00F012F8" w:rsidRDefault="00217865" w:rsidP="001A1752">
            <w:pPr>
              <w:pStyle w:val="Paragraphedeliste"/>
              <w:numPr>
                <w:ilvl w:val="0"/>
                <w:numId w:val="10"/>
              </w:numPr>
              <w:rPr>
                <w:rFonts w:cs="Times New Roman"/>
                <w:sz w:val="18"/>
                <w:szCs w:val="18"/>
              </w:rPr>
            </w:pPr>
            <w:r w:rsidRPr="00F012F8">
              <w:rPr>
                <w:rFonts w:cs="Times New Roman"/>
                <w:sz w:val="18"/>
                <w:szCs w:val="18"/>
              </w:rPr>
              <w:t>Érythèmateux</w:t>
            </w:r>
          </w:p>
          <w:p w:rsidR="00217865" w:rsidRPr="00F012F8" w:rsidRDefault="00217865" w:rsidP="001A1752">
            <w:pPr>
              <w:pStyle w:val="Paragraphedeliste"/>
              <w:numPr>
                <w:ilvl w:val="0"/>
                <w:numId w:val="10"/>
              </w:numPr>
              <w:rPr>
                <w:rFonts w:cs="Times New Roman"/>
                <w:sz w:val="18"/>
                <w:szCs w:val="18"/>
              </w:rPr>
            </w:pPr>
            <w:r w:rsidRPr="00F012F8">
              <w:rPr>
                <w:rFonts w:cs="Times New Roman"/>
                <w:sz w:val="18"/>
                <w:szCs w:val="18"/>
              </w:rPr>
              <w:t>Peau sèche</w:t>
            </w:r>
          </w:p>
          <w:p w:rsidR="00217865" w:rsidRPr="00F012F8" w:rsidRDefault="00217865" w:rsidP="001A1752">
            <w:pPr>
              <w:pStyle w:val="Paragraphedeliste"/>
              <w:numPr>
                <w:ilvl w:val="0"/>
                <w:numId w:val="10"/>
              </w:numPr>
              <w:rPr>
                <w:rFonts w:cs="Times New Roman"/>
                <w:sz w:val="18"/>
                <w:szCs w:val="18"/>
              </w:rPr>
            </w:pPr>
            <w:r w:rsidRPr="00F012F8">
              <w:rPr>
                <w:rFonts w:cs="Times New Roman"/>
                <w:sz w:val="18"/>
                <w:szCs w:val="18"/>
              </w:rPr>
              <w:t>Blanchit à la vitropression</w:t>
            </w:r>
          </w:p>
          <w:p w:rsidR="00217865" w:rsidRPr="00F012F8" w:rsidRDefault="00217865" w:rsidP="001A1752">
            <w:pPr>
              <w:pStyle w:val="Paragraphedeliste"/>
              <w:numPr>
                <w:ilvl w:val="0"/>
                <w:numId w:val="10"/>
              </w:numPr>
              <w:rPr>
                <w:rFonts w:cs="Times New Roman"/>
                <w:sz w:val="18"/>
                <w:szCs w:val="18"/>
              </w:rPr>
            </w:pPr>
            <w:r w:rsidRPr="00F012F8">
              <w:rPr>
                <w:rFonts w:cs="Times New Roman"/>
                <w:sz w:val="18"/>
                <w:szCs w:val="18"/>
              </w:rPr>
              <w:t>Douloureux</w:t>
            </w:r>
          </w:p>
          <w:p w:rsidR="00217865" w:rsidRPr="00F012F8" w:rsidRDefault="00217865" w:rsidP="001A1752">
            <w:pPr>
              <w:pStyle w:val="Paragraphedeliste"/>
              <w:numPr>
                <w:ilvl w:val="0"/>
                <w:numId w:val="10"/>
              </w:numPr>
              <w:rPr>
                <w:rFonts w:cs="Times New Roman"/>
                <w:sz w:val="18"/>
                <w:szCs w:val="18"/>
              </w:rPr>
            </w:pPr>
            <w:r w:rsidRPr="00F012F8">
              <w:rPr>
                <w:rFonts w:cs="Times New Roman"/>
                <w:sz w:val="18"/>
                <w:szCs w:val="18"/>
              </w:rPr>
              <w:t>Tact présent</w:t>
            </w:r>
          </w:p>
        </w:tc>
        <w:tc>
          <w:tcPr>
            <w:tcW w:w="1417" w:type="dxa"/>
          </w:tcPr>
          <w:p w:rsidR="00217865" w:rsidRPr="00F012F8" w:rsidRDefault="00217865" w:rsidP="00E63664">
            <w:pPr>
              <w:rPr>
                <w:rFonts w:cs="Times New Roman"/>
                <w:sz w:val="18"/>
                <w:szCs w:val="18"/>
              </w:rPr>
            </w:pPr>
            <w:r w:rsidRPr="00F012F8">
              <w:rPr>
                <w:rFonts w:cs="Times New Roman"/>
                <w:sz w:val="18"/>
                <w:szCs w:val="18"/>
              </w:rPr>
              <w:t>3-6 jours</w:t>
            </w:r>
          </w:p>
        </w:tc>
      </w:tr>
      <w:tr w:rsidR="00217865" w:rsidRPr="00F012F8" w:rsidTr="00217865">
        <w:tc>
          <w:tcPr>
            <w:tcW w:w="2093" w:type="dxa"/>
          </w:tcPr>
          <w:p w:rsidR="00217865" w:rsidRPr="00F012F8" w:rsidRDefault="00217865" w:rsidP="00E63664">
            <w:pPr>
              <w:rPr>
                <w:rFonts w:cs="Times New Roman"/>
                <w:sz w:val="18"/>
                <w:szCs w:val="18"/>
              </w:rPr>
            </w:pPr>
            <w:r w:rsidRPr="00F012F8">
              <w:rPr>
                <w:rFonts w:cs="Times New Roman"/>
                <w:sz w:val="18"/>
                <w:szCs w:val="18"/>
              </w:rPr>
              <w:t xml:space="preserve">Épaisseur partielle </w:t>
            </w:r>
          </w:p>
          <w:p w:rsidR="00217865" w:rsidRPr="00F012F8" w:rsidRDefault="00217865" w:rsidP="00E63664">
            <w:pPr>
              <w:rPr>
                <w:rFonts w:cs="Times New Roman"/>
                <w:sz w:val="18"/>
                <w:szCs w:val="18"/>
              </w:rPr>
            </w:pPr>
            <w:r w:rsidRPr="00F012F8">
              <w:rPr>
                <w:rFonts w:cs="Times New Roman"/>
                <w:sz w:val="18"/>
                <w:szCs w:val="18"/>
              </w:rPr>
              <w:t>(2</w:t>
            </w:r>
            <w:r w:rsidRPr="00F012F8">
              <w:rPr>
                <w:rFonts w:cs="Times New Roman"/>
                <w:sz w:val="18"/>
                <w:szCs w:val="18"/>
                <w:vertAlign w:val="superscript"/>
              </w:rPr>
              <w:t>e</w:t>
            </w:r>
            <w:r w:rsidRPr="00F012F8">
              <w:rPr>
                <w:rFonts w:cs="Times New Roman"/>
                <w:sz w:val="18"/>
                <w:szCs w:val="18"/>
              </w:rPr>
              <w:t xml:space="preserve"> degré superficiel)</w:t>
            </w:r>
          </w:p>
        </w:tc>
        <w:tc>
          <w:tcPr>
            <w:tcW w:w="2126" w:type="dxa"/>
          </w:tcPr>
          <w:p w:rsidR="00217865" w:rsidRPr="00F012F8" w:rsidRDefault="00217865" w:rsidP="00E63664">
            <w:pPr>
              <w:rPr>
                <w:rFonts w:cs="Times New Roman"/>
                <w:sz w:val="18"/>
                <w:szCs w:val="18"/>
              </w:rPr>
            </w:pPr>
            <w:r w:rsidRPr="00F012F8">
              <w:rPr>
                <w:rFonts w:cs="Times New Roman"/>
                <w:sz w:val="18"/>
                <w:szCs w:val="18"/>
              </w:rPr>
              <w:t>Derme superficiel et membrane basale</w:t>
            </w:r>
          </w:p>
        </w:tc>
        <w:tc>
          <w:tcPr>
            <w:tcW w:w="4678" w:type="dxa"/>
          </w:tcPr>
          <w:p w:rsidR="00217865" w:rsidRPr="00F012F8" w:rsidRDefault="00217865" w:rsidP="001A1752">
            <w:pPr>
              <w:pStyle w:val="Paragraphedeliste"/>
              <w:numPr>
                <w:ilvl w:val="0"/>
                <w:numId w:val="9"/>
              </w:numPr>
              <w:rPr>
                <w:rFonts w:cs="Times New Roman"/>
                <w:sz w:val="18"/>
                <w:szCs w:val="18"/>
              </w:rPr>
            </w:pPr>
            <w:r w:rsidRPr="00F012F8">
              <w:rPr>
                <w:rFonts w:cs="Times New Roman"/>
                <w:sz w:val="18"/>
                <w:szCs w:val="18"/>
              </w:rPr>
              <w:t xml:space="preserve">Phlyctènes </w:t>
            </w:r>
          </w:p>
          <w:p w:rsidR="00217865" w:rsidRPr="00F012F8" w:rsidRDefault="00217865" w:rsidP="001A1752">
            <w:pPr>
              <w:pStyle w:val="Paragraphedeliste"/>
              <w:numPr>
                <w:ilvl w:val="0"/>
                <w:numId w:val="9"/>
              </w:numPr>
              <w:rPr>
                <w:rFonts w:cs="Times New Roman"/>
                <w:sz w:val="18"/>
                <w:szCs w:val="18"/>
              </w:rPr>
            </w:pPr>
            <w:r w:rsidRPr="00F012F8">
              <w:rPr>
                <w:rFonts w:cs="Times New Roman"/>
                <w:sz w:val="18"/>
                <w:szCs w:val="18"/>
              </w:rPr>
              <w:t>Érythèmateux</w:t>
            </w:r>
          </w:p>
          <w:p w:rsidR="00217865" w:rsidRPr="00F012F8" w:rsidRDefault="00217865" w:rsidP="001A1752">
            <w:pPr>
              <w:pStyle w:val="Paragraphedeliste"/>
              <w:numPr>
                <w:ilvl w:val="0"/>
                <w:numId w:val="9"/>
              </w:numPr>
              <w:rPr>
                <w:rFonts w:cs="Times New Roman"/>
                <w:sz w:val="18"/>
                <w:szCs w:val="18"/>
              </w:rPr>
            </w:pPr>
            <w:r w:rsidRPr="00F012F8">
              <w:rPr>
                <w:rFonts w:cs="Times New Roman"/>
                <w:sz w:val="18"/>
                <w:szCs w:val="18"/>
              </w:rPr>
              <w:t>Moite</w:t>
            </w:r>
          </w:p>
          <w:p w:rsidR="00217865" w:rsidRPr="00F012F8" w:rsidRDefault="00217865" w:rsidP="001A1752">
            <w:pPr>
              <w:pStyle w:val="Paragraphedeliste"/>
              <w:numPr>
                <w:ilvl w:val="0"/>
                <w:numId w:val="9"/>
              </w:numPr>
              <w:rPr>
                <w:rFonts w:cs="Times New Roman"/>
                <w:sz w:val="18"/>
                <w:szCs w:val="18"/>
              </w:rPr>
            </w:pPr>
            <w:r w:rsidRPr="00F012F8">
              <w:rPr>
                <w:rFonts w:cs="Times New Roman"/>
                <w:sz w:val="18"/>
                <w:szCs w:val="18"/>
              </w:rPr>
              <w:t>Blanchit à la vitropression</w:t>
            </w:r>
          </w:p>
          <w:p w:rsidR="00217865" w:rsidRPr="00F012F8" w:rsidRDefault="00217865" w:rsidP="001A1752">
            <w:pPr>
              <w:pStyle w:val="Paragraphedeliste"/>
              <w:numPr>
                <w:ilvl w:val="0"/>
                <w:numId w:val="9"/>
              </w:numPr>
              <w:rPr>
                <w:rFonts w:cs="Times New Roman"/>
                <w:sz w:val="18"/>
                <w:szCs w:val="18"/>
              </w:rPr>
            </w:pPr>
            <w:r w:rsidRPr="00F012F8">
              <w:rPr>
                <w:rFonts w:cs="Times New Roman"/>
                <w:sz w:val="18"/>
                <w:szCs w:val="18"/>
              </w:rPr>
              <w:t>Très douloureux</w:t>
            </w:r>
          </w:p>
          <w:p w:rsidR="00217865" w:rsidRPr="00F012F8" w:rsidRDefault="00217865" w:rsidP="001A1752">
            <w:pPr>
              <w:pStyle w:val="Paragraphedeliste"/>
              <w:numPr>
                <w:ilvl w:val="0"/>
                <w:numId w:val="9"/>
              </w:numPr>
              <w:rPr>
                <w:rFonts w:cs="Times New Roman"/>
                <w:sz w:val="18"/>
                <w:szCs w:val="18"/>
              </w:rPr>
            </w:pPr>
            <w:r w:rsidRPr="00F012F8">
              <w:rPr>
                <w:rFonts w:cs="Times New Roman"/>
                <w:sz w:val="18"/>
                <w:szCs w:val="18"/>
              </w:rPr>
              <w:t>Follicules pileux présents</w:t>
            </w:r>
          </w:p>
          <w:p w:rsidR="00217865" w:rsidRPr="00F012F8" w:rsidRDefault="00217865" w:rsidP="001A1752">
            <w:pPr>
              <w:pStyle w:val="Paragraphedeliste"/>
              <w:numPr>
                <w:ilvl w:val="0"/>
                <w:numId w:val="9"/>
              </w:numPr>
              <w:rPr>
                <w:rFonts w:cs="Times New Roman"/>
                <w:sz w:val="18"/>
                <w:szCs w:val="18"/>
              </w:rPr>
            </w:pPr>
            <w:r w:rsidRPr="00F012F8">
              <w:rPr>
                <w:rFonts w:cs="Times New Roman"/>
                <w:sz w:val="18"/>
                <w:szCs w:val="18"/>
              </w:rPr>
              <w:t>Tact présent</w:t>
            </w:r>
          </w:p>
        </w:tc>
        <w:tc>
          <w:tcPr>
            <w:tcW w:w="1417" w:type="dxa"/>
          </w:tcPr>
          <w:p w:rsidR="00217865" w:rsidRPr="00F012F8" w:rsidRDefault="00217865" w:rsidP="00E63664">
            <w:pPr>
              <w:rPr>
                <w:rFonts w:cs="Times New Roman"/>
                <w:sz w:val="18"/>
                <w:szCs w:val="18"/>
              </w:rPr>
            </w:pPr>
            <w:r w:rsidRPr="00F012F8">
              <w:rPr>
                <w:rFonts w:cs="Times New Roman"/>
                <w:sz w:val="18"/>
                <w:szCs w:val="18"/>
              </w:rPr>
              <w:t>7-20 jours</w:t>
            </w:r>
          </w:p>
        </w:tc>
      </w:tr>
      <w:tr w:rsidR="00217865" w:rsidRPr="00F012F8" w:rsidTr="00217865">
        <w:tc>
          <w:tcPr>
            <w:tcW w:w="2093" w:type="dxa"/>
          </w:tcPr>
          <w:p w:rsidR="00217865" w:rsidRPr="00F012F8" w:rsidRDefault="00217865" w:rsidP="00E63664">
            <w:pPr>
              <w:rPr>
                <w:rFonts w:cs="Times New Roman"/>
                <w:sz w:val="18"/>
                <w:szCs w:val="18"/>
              </w:rPr>
            </w:pPr>
            <w:r w:rsidRPr="00F012F8">
              <w:rPr>
                <w:rFonts w:cs="Times New Roman"/>
                <w:sz w:val="18"/>
                <w:szCs w:val="18"/>
              </w:rPr>
              <w:t xml:space="preserve">Épaisseur partielle </w:t>
            </w:r>
          </w:p>
          <w:p w:rsidR="00217865" w:rsidRPr="00F012F8" w:rsidRDefault="00217865" w:rsidP="00E63664">
            <w:pPr>
              <w:rPr>
                <w:rFonts w:cs="Times New Roman"/>
                <w:sz w:val="18"/>
                <w:szCs w:val="18"/>
              </w:rPr>
            </w:pPr>
            <w:r w:rsidRPr="00F012F8">
              <w:rPr>
                <w:rFonts w:cs="Times New Roman"/>
                <w:sz w:val="18"/>
                <w:szCs w:val="18"/>
              </w:rPr>
              <w:t>(2</w:t>
            </w:r>
            <w:r w:rsidRPr="00F012F8">
              <w:rPr>
                <w:rFonts w:cs="Times New Roman"/>
                <w:sz w:val="18"/>
                <w:szCs w:val="18"/>
                <w:vertAlign w:val="superscript"/>
              </w:rPr>
              <w:t>e</w:t>
            </w:r>
            <w:r w:rsidRPr="00F012F8">
              <w:rPr>
                <w:rFonts w:cs="Times New Roman"/>
                <w:sz w:val="18"/>
                <w:szCs w:val="18"/>
              </w:rPr>
              <w:t xml:space="preserve"> degré profond)</w:t>
            </w:r>
          </w:p>
        </w:tc>
        <w:tc>
          <w:tcPr>
            <w:tcW w:w="2126" w:type="dxa"/>
          </w:tcPr>
          <w:p w:rsidR="00217865" w:rsidRPr="00F012F8" w:rsidRDefault="00217865" w:rsidP="00E63664">
            <w:pPr>
              <w:rPr>
                <w:rFonts w:cs="Times New Roman"/>
                <w:sz w:val="18"/>
                <w:szCs w:val="18"/>
              </w:rPr>
            </w:pPr>
            <w:r w:rsidRPr="00F012F8">
              <w:rPr>
                <w:rFonts w:cs="Times New Roman"/>
                <w:sz w:val="18"/>
                <w:szCs w:val="18"/>
              </w:rPr>
              <w:t>Derme profond (réticulé)</w:t>
            </w:r>
          </w:p>
        </w:tc>
        <w:tc>
          <w:tcPr>
            <w:tcW w:w="4678" w:type="dxa"/>
          </w:tcPr>
          <w:p w:rsidR="00217865" w:rsidRPr="00F012F8" w:rsidRDefault="00217865" w:rsidP="001A1752">
            <w:pPr>
              <w:pStyle w:val="Paragraphedeliste"/>
              <w:numPr>
                <w:ilvl w:val="0"/>
                <w:numId w:val="8"/>
              </w:numPr>
              <w:rPr>
                <w:rFonts w:cs="Times New Roman"/>
                <w:sz w:val="18"/>
                <w:szCs w:val="18"/>
              </w:rPr>
            </w:pPr>
            <w:r w:rsidRPr="00F012F8">
              <w:rPr>
                <w:rFonts w:cs="Times New Roman"/>
                <w:sz w:val="18"/>
                <w:szCs w:val="18"/>
              </w:rPr>
              <w:t>Coloration variable</w:t>
            </w:r>
          </w:p>
          <w:p w:rsidR="00217865" w:rsidRPr="00F012F8" w:rsidRDefault="00217865" w:rsidP="001A1752">
            <w:pPr>
              <w:pStyle w:val="Paragraphedeliste"/>
              <w:numPr>
                <w:ilvl w:val="0"/>
                <w:numId w:val="8"/>
              </w:numPr>
              <w:rPr>
                <w:rFonts w:cs="Times New Roman"/>
                <w:sz w:val="18"/>
                <w:szCs w:val="18"/>
              </w:rPr>
            </w:pPr>
            <w:r w:rsidRPr="00F012F8">
              <w:rPr>
                <w:rFonts w:cs="Times New Roman"/>
                <w:sz w:val="18"/>
                <w:szCs w:val="18"/>
              </w:rPr>
              <w:t>Humide ou cireux</w:t>
            </w:r>
          </w:p>
          <w:p w:rsidR="00217865" w:rsidRPr="00F012F8" w:rsidRDefault="00217865" w:rsidP="001A1752">
            <w:pPr>
              <w:pStyle w:val="Paragraphedeliste"/>
              <w:numPr>
                <w:ilvl w:val="0"/>
                <w:numId w:val="8"/>
              </w:numPr>
              <w:rPr>
                <w:rFonts w:cs="Times New Roman"/>
                <w:sz w:val="18"/>
                <w:szCs w:val="18"/>
              </w:rPr>
            </w:pPr>
            <w:r w:rsidRPr="00F012F8">
              <w:rPr>
                <w:rFonts w:cs="Times New Roman"/>
                <w:sz w:val="18"/>
                <w:szCs w:val="18"/>
              </w:rPr>
              <w:t>Ne blanchit pas à la vitropression</w:t>
            </w:r>
          </w:p>
          <w:p w:rsidR="00217865" w:rsidRPr="00F012F8" w:rsidRDefault="00217865" w:rsidP="001A1752">
            <w:pPr>
              <w:pStyle w:val="Paragraphedeliste"/>
              <w:numPr>
                <w:ilvl w:val="0"/>
                <w:numId w:val="8"/>
              </w:numPr>
              <w:rPr>
                <w:rFonts w:cs="Times New Roman"/>
                <w:sz w:val="18"/>
                <w:szCs w:val="18"/>
              </w:rPr>
            </w:pPr>
            <w:r w:rsidRPr="00F012F8">
              <w:rPr>
                <w:rFonts w:cs="Times New Roman"/>
                <w:sz w:val="18"/>
                <w:szCs w:val="18"/>
              </w:rPr>
              <w:t>Insensible, tact présent</w:t>
            </w:r>
          </w:p>
        </w:tc>
        <w:tc>
          <w:tcPr>
            <w:tcW w:w="1417" w:type="dxa"/>
          </w:tcPr>
          <w:p w:rsidR="00217865" w:rsidRPr="00F012F8" w:rsidRDefault="00217865" w:rsidP="00E63664">
            <w:pPr>
              <w:rPr>
                <w:rFonts w:cs="Times New Roman"/>
                <w:sz w:val="18"/>
                <w:szCs w:val="18"/>
              </w:rPr>
            </w:pPr>
            <w:r w:rsidRPr="00F012F8">
              <w:rPr>
                <w:rFonts w:cs="Times New Roman"/>
                <w:sz w:val="18"/>
                <w:szCs w:val="18"/>
              </w:rPr>
              <w:t>+ de 21 jours</w:t>
            </w:r>
          </w:p>
        </w:tc>
      </w:tr>
      <w:tr w:rsidR="00217865" w:rsidRPr="00F012F8" w:rsidTr="00217865">
        <w:tc>
          <w:tcPr>
            <w:tcW w:w="2093" w:type="dxa"/>
          </w:tcPr>
          <w:p w:rsidR="00217865" w:rsidRPr="00F012F8" w:rsidRDefault="00217865" w:rsidP="00E63664">
            <w:pPr>
              <w:rPr>
                <w:rFonts w:cs="Times New Roman"/>
                <w:sz w:val="18"/>
                <w:szCs w:val="18"/>
              </w:rPr>
            </w:pPr>
            <w:r w:rsidRPr="00F012F8">
              <w:rPr>
                <w:rFonts w:cs="Times New Roman"/>
                <w:sz w:val="18"/>
                <w:szCs w:val="18"/>
              </w:rPr>
              <w:t xml:space="preserve">Pleine épaisseur </w:t>
            </w:r>
          </w:p>
          <w:p w:rsidR="00217865" w:rsidRPr="00F012F8" w:rsidRDefault="00217865" w:rsidP="00E63664">
            <w:pPr>
              <w:rPr>
                <w:rFonts w:cs="Times New Roman"/>
                <w:sz w:val="18"/>
                <w:szCs w:val="18"/>
              </w:rPr>
            </w:pPr>
            <w:r w:rsidRPr="00F012F8">
              <w:rPr>
                <w:rFonts w:cs="Times New Roman"/>
                <w:sz w:val="18"/>
                <w:szCs w:val="18"/>
              </w:rPr>
              <w:t>(3</w:t>
            </w:r>
            <w:r w:rsidRPr="00F012F8">
              <w:rPr>
                <w:rFonts w:cs="Times New Roman"/>
                <w:sz w:val="18"/>
                <w:szCs w:val="18"/>
                <w:vertAlign w:val="superscript"/>
              </w:rPr>
              <w:t>e</w:t>
            </w:r>
            <w:r w:rsidRPr="00F012F8">
              <w:rPr>
                <w:rFonts w:cs="Times New Roman"/>
                <w:sz w:val="18"/>
                <w:szCs w:val="18"/>
              </w:rPr>
              <w:t xml:space="preserve"> et 4</w:t>
            </w:r>
            <w:r w:rsidRPr="00F012F8">
              <w:rPr>
                <w:rFonts w:cs="Times New Roman"/>
                <w:sz w:val="18"/>
                <w:szCs w:val="18"/>
                <w:vertAlign w:val="superscript"/>
              </w:rPr>
              <w:t>e</w:t>
            </w:r>
            <w:r w:rsidRPr="00F012F8">
              <w:rPr>
                <w:rFonts w:cs="Times New Roman"/>
                <w:sz w:val="18"/>
                <w:szCs w:val="18"/>
              </w:rPr>
              <w:t xml:space="preserve"> degré)</w:t>
            </w:r>
          </w:p>
        </w:tc>
        <w:tc>
          <w:tcPr>
            <w:tcW w:w="2126" w:type="dxa"/>
          </w:tcPr>
          <w:p w:rsidR="00217865" w:rsidRPr="00F012F8" w:rsidRDefault="00217865" w:rsidP="00E63664">
            <w:pPr>
              <w:rPr>
                <w:rFonts w:cs="Times New Roman"/>
                <w:sz w:val="18"/>
                <w:szCs w:val="18"/>
              </w:rPr>
            </w:pPr>
            <w:r w:rsidRPr="00F012F8">
              <w:rPr>
                <w:rFonts w:cs="Times New Roman"/>
                <w:sz w:val="18"/>
                <w:szCs w:val="18"/>
              </w:rPr>
              <w:t>De l’épiderme jusqu’au derme profond ± muscle/vaisseau/os/nerf</w:t>
            </w:r>
          </w:p>
        </w:tc>
        <w:tc>
          <w:tcPr>
            <w:tcW w:w="4678" w:type="dxa"/>
          </w:tcPr>
          <w:p w:rsidR="00217865" w:rsidRPr="00F012F8" w:rsidRDefault="00217865" w:rsidP="001A1752">
            <w:pPr>
              <w:pStyle w:val="Paragraphedeliste"/>
              <w:numPr>
                <w:ilvl w:val="0"/>
                <w:numId w:val="7"/>
              </w:numPr>
              <w:rPr>
                <w:rFonts w:cs="Times New Roman"/>
                <w:sz w:val="18"/>
                <w:szCs w:val="18"/>
              </w:rPr>
            </w:pPr>
            <w:r w:rsidRPr="00F012F8">
              <w:rPr>
                <w:rFonts w:cs="Times New Roman"/>
                <w:sz w:val="18"/>
                <w:szCs w:val="18"/>
              </w:rPr>
              <w:t>Blanc cireux ad noir</w:t>
            </w:r>
          </w:p>
          <w:p w:rsidR="00217865" w:rsidRPr="00F012F8" w:rsidRDefault="00217865" w:rsidP="001A1752">
            <w:pPr>
              <w:pStyle w:val="Paragraphedeliste"/>
              <w:numPr>
                <w:ilvl w:val="0"/>
                <w:numId w:val="7"/>
              </w:numPr>
              <w:rPr>
                <w:rFonts w:cs="Times New Roman"/>
                <w:sz w:val="18"/>
                <w:szCs w:val="18"/>
              </w:rPr>
            </w:pPr>
            <w:r w:rsidRPr="00F012F8">
              <w:rPr>
                <w:rFonts w:cs="Times New Roman"/>
                <w:sz w:val="18"/>
                <w:szCs w:val="18"/>
              </w:rPr>
              <w:t>Sec et rigide</w:t>
            </w:r>
          </w:p>
          <w:p w:rsidR="00217865" w:rsidRPr="00F012F8" w:rsidRDefault="00217865" w:rsidP="001A1752">
            <w:pPr>
              <w:pStyle w:val="Paragraphedeliste"/>
              <w:numPr>
                <w:ilvl w:val="0"/>
                <w:numId w:val="7"/>
              </w:numPr>
              <w:rPr>
                <w:rFonts w:cs="Times New Roman"/>
                <w:sz w:val="18"/>
                <w:szCs w:val="18"/>
              </w:rPr>
            </w:pPr>
            <w:r w:rsidRPr="00F012F8">
              <w:rPr>
                <w:rFonts w:cs="Times New Roman"/>
                <w:sz w:val="18"/>
                <w:szCs w:val="18"/>
              </w:rPr>
              <w:t>Ne blanchit pas à la vitropression</w:t>
            </w:r>
          </w:p>
          <w:p w:rsidR="00217865" w:rsidRPr="00F012F8" w:rsidRDefault="00217865" w:rsidP="001A1752">
            <w:pPr>
              <w:pStyle w:val="Paragraphedeliste"/>
              <w:numPr>
                <w:ilvl w:val="0"/>
                <w:numId w:val="7"/>
              </w:numPr>
              <w:rPr>
                <w:rFonts w:cs="Times New Roman"/>
                <w:sz w:val="18"/>
                <w:szCs w:val="18"/>
              </w:rPr>
            </w:pPr>
            <w:r w:rsidRPr="00F012F8">
              <w:rPr>
                <w:rFonts w:cs="Times New Roman"/>
                <w:sz w:val="18"/>
                <w:szCs w:val="18"/>
              </w:rPr>
              <w:t>Insensible</w:t>
            </w:r>
          </w:p>
        </w:tc>
        <w:tc>
          <w:tcPr>
            <w:tcW w:w="1417" w:type="dxa"/>
          </w:tcPr>
          <w:p w:rsidR="00217865" w:rsidRPr="00F012F8" w:rsidRDefault="00217865" w:rsidP="00E63664">
            <w:pPr>
              <w:rPr>
                <w:rFonts w:cs="Times New Roman"/>
                <w:sz w:val="18"/>
                <w:szCs w:val="18"/>
              </w:rPr>
            </w:pPr>
            <w:r w:rsidRPr="00F012F8">
              <w:rPr>
                <w:rFonts w:cs="Times New Roman"/>
                <w:sz w:val="18"/>
                <w:szCs w:val="18"/>
              </w:rPr>
              <w:t xml:space="preserve">Aucune guérison </w:t>
            </w:r>
          </w:p>
          <w:p w:rsidR="00217865" w:rsidRPr="00F012F8" w:rsidRDefault="00217865" w:rsidP="00E63664">
            <w:pPr>
              <w:rPr>
                <w:rFonts w:cs="Times New Roman"/>
                <w:sz w:val="18"/>
                <w:szCs w:val="18"/>
              </w:rPr>
            </w:pPr>
            <w:r w:rsidRPr="00F012F8">
              <w:rPr>
                <w:rFonts w:cs="Times New Roman"/>
                <w:sz w:val="18"/>
                <w:szCs w:val="18"/>
              </w:rPr>
              <w:t>(si + de 2% SCT)</w:t>
            </w:r>
          </w:p>
        </w:tc>
      </w:tr>
    </w:tbl>
    <w:tbl>
      <w:tblPr>
        <w:tblStyle w:val="Grilledutableau"/>
        <w:tblpPr w:leftFromText="141" w:rightFromText="141" w:vertAnchor="page" w:horzAnchor="margin" w:tblpY="6451"/>
        <w:tblW w:w="0" w:type="auto"/>
        <w:tblLook w:val="04A0" w:firstRow="1" w:lastRow="0" w:firstColumn="1" w:lastColumn="0" w:noHBand="0" w:noVBand="1"/>
      </w:tblPr>
      <w:tblGrid>
        <w:gridCol w:w="3652"/>
        <w:gridCol w:w="2835"/>
        <w:gridCol w:w="1276"/>
      </w:tblGrid>
      <w:tr w:rsidR="00217865" w:rsidRPr="00F012F8" w:rsidTr="006C6430">
        <w:tc>
          <w:tcPr>
            <w:tcW w:w="7763" w:type="dxa"/>
            <w:gridSpan w:val="3"/>
          </w:tcPr>
          <w:p w:rsidR="00217865" w:rsidRPr="00F012F8" w:rsidRDefault="00217865" w:rsidP="006C6430">
            <w:pPr>
              <w:jc w:val="center"/>
              <w:rPr>
                <w:rFonts w:cs="Times New Roman"/>
              </w:rPr>
            </w:pPr>
            <w:r w:rsidRPr="00F012F8">
              <w:rPr>
                <w:rFonts w:cs="Times New Roman"/>
                <w:b/>
              </w:rPr>
              <w:t>% de surface corporelle atteinte (Règle des neufs)</w:t>
            </w:r>
          </w:p>
        </w:tc>
      </w:tr>
      <w:tr w:rsidR="00217865" w:rsidRPr="00F012F8" w:rsidTr="006C6430">
        <w:tc>
          <w:tcPr>
            <w:tcW w:w="3652" w:type="dxa"/>
          </w:tcPr>
          <w:p w:rsidR="00217865" w:rsidRPr="00F012F8" w:rsidRDefault="00217865" w:rsidP="006C6430">
            <w:pPr>
              <w:rPr>
                <w:rFonts w:cs="Times New Roman"/>
              </w:rPr>
            </w:pPr>
            <w:r w:rsidRPr="00F012F8">
              <w:rPr>
                <w:rFonts w:cs="Times New Roman"/>
              </w:rPr>
              <w:t>Hémicorps antérieur</w:t>
            </w:r>
          </w:p>
        </w:tc>
        <w:tc>
          <w:tcPr>
            <w:tcW w:w="2835" w:type="dxa"/>
          </w:tcPr>
          <w:p w:rsidR="00217865" w:rsidRPr="00F012F8" w:rsidRDefault="00217865" w:rsidP="006C6430">
            <w:pPr>
              <w:rPr>
                <w:rFonts w:cs="Times New Roman"/>
              </w:rPr>
            </w:pPr>
            <w:r w:rsidRPr="00F012F8">
              <w:rPr>
                <w:rFonts w:cs="Times New Roman"/>
              </w:rPr>
              <w:t>Hémicorps postérieur</w:t>
            </w:r>
          </w:p>
        </w:tc>
        <w:tc>
          <w:tcPr>
            <w:tcW w:w="1276" w:type="dxa"/>
          </w:tcPr>
          <w:p w:rsidR="00217865" w:rsidRPr="00F012F8" w:rsidRDefault="00217865" w:rsidP="006C6430">
            <w:pPr>
              <w:rPr>
                <w:rFonts w:cs="Times New Roman"/>
              </w:rPr>
            </w:pPr>
            <w:r w:rsidRPr="00F012F8">
              <w:rPr>
                <w:rFonts w:cs="Times New Roman"/>
              </w:rPr>
              <w:t>Total</w:t>
            </w:r>
          </w:p>
        </w:tc>
      </w:tr>
      <w:tr w:rsidR="00217865" w:rsidRPr="00F012F8" w:rsidTr="006C6430">
        <w:tc>
          <w:tcPr>
            <w:tcW w:w="3652" w:type="dxa"/>
          </w:tcPr>
          <w:p w:rsidR="00217865" w:rsidRPr="00F012F8" w:rsidRDefault="00217865" w:rsidP="006C6430">
            <w:pPr>
              <w:rPr>
                <w:rFonts w:cs="Times New Roman"/>
              </w:rPr>
            </w:pPr>
            <w:r w:rsidRPr="00F012F8">
              <w:rPr>
                <w:rFonts w:cs="Times New Roman"/>
              </w:rPr>
              <w:t xml:space="preserve">Visage 4 ½ </w:t>
            </w:r>
          </w:p>
        </w:tc>
        <w:tc>
          <w:tcPr>
            <w:tcW w:w="2835" w:type="dxa"/>
          </w:tcPr>
          <w:p w:rsidR="00217865" w:rsidRPr="00F012F8" w:rsidRDefault="00217865" w:rsidP="006C6430">
            <w:pPr>
              <w:rPr>
                <w:rFonts w:cs="Times New Roman"/>
              </w:rPr>
            </w:pPr>
            <w:r w:rsidRPr="00F012F8">
              <w:rPr>
                <w:rFonts w:cs="Times New Roman"/>
              </w:rPr>
              <w:t xml:space="preserve">Cuir chevelu et nuque 4 ½ </w:t>
            </w:r>
          </w:p>
        </w:tc>
        <w:tc>
          <w:tcPr>
            <w:tcW w:w="1276" w:type="dxa"/>
          </w:tcPr>
          <w:p w:rsidR="00217865" w:rsidRPr="00F012F8" w:rsidRDefault="00217865" w:rsidP="006C6430">
            <w:pPr>
              <w:rPr>
                <w:rFonts w:cs="Times New Roman"/>
              </w:rPr>
            </w:pPr>
            <w:r w:rsidRPr="00F012F8">
              <w:rPr>
                <w:rFonts w:cs="Times New Roman"/>
              </w:rPr>
              <w:t xml:space="preserve">Tête 9 </w:t>
            </w:r>
          </w:p>
        </w:tc>
      </w:tr>
      <w:tr w:rsidR="00217865" w:rsidRPr="00F012F8" w:rsidTr="006C6430">
        <w:tc>
          <w:tcPr>
            <w:tcW w:w="3652" w:type="dxa"/>
          </w:tcPr>
          <w:p w:rsidR="00217865" w:rsidRPr="00F012F8" w:rsidRDefault="00217865" w:rsidP="006C6430">
            <w:pPr>
              <w:rPr>
                <w:rFonts w:cs="Times New Roman"/>
              </w:rPr>
            </w:pPr>
            <w:r w:rsidRPr="00F012F8">
              <w:rPr>
                <w:rFonts w:cs="Times New Roman"/>
              </w:rPr>
              <w:t>Tronc 18</w:t>
            </w:r>
          </w:p>
        </w:tc>
        <w:tc>
          <w:tcPr>
            <w:tcW w:w="2835" w:type="dxa"/>
          </w:tcPr>
          <w:p w:rsidR="00217865" w:rsidRPr="00F012F8" w:rsidRDefault="00217865" w:rsidP="006C6430">
            <w:pPr>
              <w:rPr>
                <w:rFonts w:cs="Times New Roman"/>
              </w:rPr>
            </w:pPr>
            <w:r w:rsidRPr="00F012F8">
              <w:rPr>
                <w:rFonts w:cs="Times New Roman"/>
              </w:rPr>
              <w:t>Tronc 18</w:t>
            </w:r>
          </w:p>
        </w:tc>
        <w:tc>
          <w:tcPr>
            <w:tcW w:w="1276" w:type="dxa"/>
          </w:tcPr>
          <w:p w:rsidR="00217865" w:rsidRPr="00F012F8" w:rsidRDefault="00217865" w:rsidP="006C6430">
            <w:pPr>
              <w:rPr>
                <w:rFonts w:cs="Times New Roman"/>
              </w:rPr>
            </w:pPr>
            <w:r w:rsidRPr="00F012F8">
              <w:rPr>
                <w:rFonts w:cs="Times New Roman"/>
              </w:rPr>
              <w:t>Tronc 36</w:t>
            </w:r>
          </w:p>
        </w:tc>
      </w:tr>
      <w:tr w:rsidR="00217865" w:rsidRPr="00F012F8" w:rsidTr="006C6430">
        <w:tc>
          <w:tcPr>
            <w:tcW w:w="3652" w:type="dxa"/>
          </w:tcPr>
          <w:p w:rsidR="00217865" w:rsidRPr="00F012F8" w:rsidRDefault="00217865" w:rsidP="006C6430">
            <w:pPr>
              <w:rPr>
                <w:rFonts w:cs="Times New Roman"/>
              </w:rPr>
            </w:pPr>
            <w:r w:rsidRPr="00F012F8">
              <w:rPr>
                <w:rFonts w:cs="Times New Roman"/>
              </w:rPr>
              <w:t>MS 4 ½ x 2</w:t>
            </w:r>
          </w:p>
        </w:tc>
        <w:tc>
          <w:tcPr>
            <w:tcW w:w="2835" w:type="dxa"/>
          </w:tcPr>
          <w:p w:rsidR="00217865" w:rsidRPr="00F012F8" w:rsidRDefault="00217865" w:rsidP="006C6430">
            <w:pPr>
              <w:rPr>
                <w:rFonts w:cs="Times New Roman"/>
              </w:rPr>
            </w:pPr>
            <w:r w:rsidRPr="00F012F8">
              <w:rPr>
                <w:rFonts w:cs="Times New Roman"/>
              </w:rPr>
              <w:t>MS 4 ½ x 2</w:t>
            </w:r>
          </w:p>
        </w:tc>
        <w:tc>
          <w:tcPr>
            <w:tcW w:w="1276" w:type="dxa"/>
          </w:tcPr>
          <w:p w:rsidR="00217865" w:rsidRPr="00F012F8" w:rsidRDefault="00217865" w:rsidP="006C6430">
            <w:pPr>
              <w:rPr>
                <w:rFonts w:cs="Times New Roman"/>
              </w:rPr>
            </w:pPr>
            <w:r w:rsidRPr="00F012F8">
              <w:rPr>
                <w:rFonts w:cs="Times New Roman"/>
              </w:rPr>
              <w:t>MS (2) 18</w:t>
            </w:r>
          </w:p>
        </w:tc>
      </w:tr>
      <w:tr w:rsidR="00217865" w:rsidRPr="00F012F8" w:rsidTr="006C6430">
        <w:tc>
          <w:tcPr>
            <w:tcW w:w="3652" w:type="dxa"/>
          </w:tcPr>
          <w:p w:rsidR="00217865" w:rsidRPr="00F012F8" w:rsidRDefault="00217865" w:rsidP="006C6430">
            <w:pPr>
              <w:rPr>
                <w:rFonts w:cs="Times New Roman"/>
              </w:rPr>
            </w:pPr>
            <w:r w:rsidRPr="00F012F8">
              <w:rPr>
                <w:rFonts w:cs="Times New Roman"/>
              </w:rPr>
              <w:t>MI 9 x 2</w:t>
            </w:r>
          </w:p>
        </w:tc>
        <w:tc>
          <w:tcPr>
            <w:tcW w:w="2835" w:type="dxa"/>
          </w:tcPr>
          <w:p w:rsidR="00217865" w:rsidRPr="00F012F8" w:rsidRDefault="00217865" w:rsidP="006C6430">
            <w:pPr>
              <w:rPr>
                <w:rFonts w:cs="Times New Roman"/>
              </w:rPr>
            </w:pPr>
            <w:r w:rsidRPr="00F012F8">
              <w:rPr>
                <w:rFonts w:cs="Times New Roman"/>
              </w:rPr>
              <w:t>MI 9 x 2</w:t>
            </w:r>
          </w:p>
        </w:tc>
        <w:tc>
          <w:tcPr>
            <w:tcW w:w="1276" w:type="dxa"/>
          </w:tcPr>
          <w:p w:rsidR="00217865" w:rsidRPr="00F012F8" w:rsidRDefault="00217865" w:rsidP="006C6430">
            <w:pPr>
              <w:rPr>
                <w:rFonts w:cs="Times New Roman"/>
              </w:rPr>
            </w:pPr>
            <w:r w:rsidRPr="00F012F8">
              <w:rPr>
                <w:rFonts w:cs="Times New Roman"/>
              </w:rPr>
              <w:t>MI (2) 36</w:t>
            </w:r>
          </w:p>
        </w:tc>
      </w:tr>
      <w:tr w:rsidR="00217865" w:rsidRPr="00F012F8" w:rsidTr="006C6430">
        <w:tc>
          <w:tcPr>
            <w:tcW w:w="3652" w:type="dxa"/>
          </w:tcPr>
          <w:p w:rsidR="00217865" w:rsidRPr="00F012F8" w:rsidRDefault="00217865" w:rsidP="006C6430">
            <w:pPr>
              <w:rPr>
                <w:rFonts w:cs="Times New Roman"/>
              </w:rPr>
            </w:pPr>
            <w:r w:rsidRPr="00F012F8">
              <w:rPr>
                <w:rFonts w:cs="Times New Roman"/>
              </w:rPr>
              <w:t>OGE 1</w:t>
            </w:r>
          </w:p>
        </w:tc>
        <w:tc>
          <w:tcPr>
            <w:tcW w:w="2835" w:type="dxa"/>
            <w:shd w:val="clear" w:color="auto" w:fill="000000" w:themeFill="text1"/>
          </w:tcPr>
          <w:p w:rsidR="00217865" w:rsidRPr="00F012F8" w:rsidRDefault="00217865" w:rsidP="006C6430">
            <w:pPr>
              <w:rPr>
                <w:rFonts w:cs="Times New Roman"/>
              </w:rPr>
            </w:pPr>
          </w:p>
        </w:tc>
        <w:tc>
          <w:tcPr>
            <w:tcW w:w="1276" w:type="dxa"/>
          </w:tcPr>
          <w:p w:rsidR="00217865" w:rsidRPr="00F012F8" w:rsidRDefault="00217865" w:rsidP="006C6430">
            <w:pPr>
              <w:rPr>
                <w:rFonts w:cs="Times New Roman"/>
              </w:rPr>
            </w:pPr>
            <w:r w:rsidRPr="00F012F8">
              <w:rPr>
                <w:rFonts w:cs="Times New Roman"/>
              </w:rPr>
              <w:t>OGE 1</w:t>
            </w:r>
          </w:p>
        </w:tc>
      </w:tr>
    </w:tbl>
    <w:p w:rsidR="00217865" w:rsidRPr="00F012F8" w:rsidRDefault="00217865" w:rsidP="00217865">
      <w:pPr>
        <w:rPr>
          <w:rFonts w:cs="Times New Roman"/>
        </w:rPr>
      </w:pPr>
    </w:p>
    <w:p w:rsidR="00217865" w:rsidRPr="00F012F8" w:rsidRDefault="00217865" w:rsidP="00217865">
      <w:pPr>
        <w:rPr>
          <w:rFonts w:cs="Times New Roman"/>
          <w:b/>
        </w:rPr>
      </w:pPr>
    </w:p>
    <w:p w:rsidR="00217865" w:rsidRPr="00F012F8" w:rsidRDefault="00217865" w:rsidP="00217865">
      <w:pPr>
        <w:rPr>
          <w:rFonts w:cs="Times New Roman"/>
          <w:b/>
        </w:rPr>
      </w:pPr>
    </w:p>
    <w:p w:rsidR="00217865" w:rsidRPr="00F012F8" w:rsidRDefault="00217865" w:rsidP="00217865">
      <w:pPr>
        <w:rPr>
          <w:rFonts w:cs="Times New Roman"/>
          <w:b/>
        </w:rPr>
      </w:pPr>
    </w:p>
    <w:p w:rsidR="00217865" w:rsidRPr="00F012F8" w:rsidRDefault="00217865" w:rsidP="00217865">
      <w:pPr>
        <w:rPr>
          <w:rFonts w:cs="Times New Roman"/>
          <w:b/>
        </w:rPr>
      </w:pPr>
    </w:p>
    <w:p w:rsidR="00217865" w:rsidRPr="00F012F8" w:rsidRDefault="00217865" w:rsidP="00217865">
      <w:pPr>
        <w:rPr>
          <w:rFonts w:cs="Times New Roman"/>
          <w:b/>
        </w:rPr>
      </w:pPr>
    </w:p>
    <w:p w:rsidR="00217865" w:rsidRPr="00F012F8" w:rsidRDefault="00217865" w:rsidP="00217865">
      <w:pPr>
        <w:rPr>
          <w:rFonts w:cs="Times New Roman"/>
          <w:b/>
        </w:rPr>
      </w:pPr>
    </w:p>
    <w:p w:rsidR="00217865" w:rsidRPr="00F012F8" w:rsidRDefault="00217865" w:rsidP="00217865">
      <w:pPr>
        <w:rPr>
          <w:rFonts w:cs="Times New Roman"/>
          <w:b/>
        </w:rPr>
      </w:pPr>
    </w:p>
    <w:p w:rsidR="00217865" w:rsidRPr="00F012F8" w:rsidRDefault="00217865" w:rsidP="00217865">
      <w:pPr>
        <w:rPr>
          <w:rFonts w:cs="Times New Roman"/>
          <w:b/>
        </w:rPr>
      </w:pPr>
    </w:p>
    <w:p w:rsidR="00217865" w:rsidRPr="00F012F8" w:rsidRDefault="00217865" w:rsidP="00217865">
      <w:pPr>
        <w:rPr>
          <w:rFonts w:cs="Times New Roman"/>
          <w:b/>
        </w:rPr>
      </w:pPr>
    </w:p>
    <w:p w:rsidR="00217865" w:rsidRPr="00F012F8" w:rsidRDefault="00217865" w:rsidP="00217865">
      <w:pPr>
        <w:rPr>
          <w:rFonts w:cs="Times New Roman"/>
          <w:b/>
        </w:rPr>
      </w:pPr>
      <w:r w:rsidRPr="00F012F8">
        <w:rPr>
          <w:rFonts w:cs="Times New Roman"/>
          <w:noProof/>
          <w:color w:val="FF0000"/>
          <w:lang w:eastAsia="fr-CA"/>
        </w:rPr>
        <w:drawing>
          <wp:anchor distT="0" distB="0" distL="114300" distR="114300" simplePos="0" relativeHeight="251666432" behindDoc="0" locked="0" layoutInCell="1" allowOverlap="1" wp14:anchorId="3FD3B016" wp14:editId="37170C2B">
            <wp:simplePos x="0" y="0"/>
            <wp:positionH relativeFrom="column">
              <wp:posOffset>-12359</wp:posOffset>
            </wp:positionH>
            <wp:positionV relativeFrom="paragraph">
              <wp:posOffset>127147</wp:posOffset>
            </wp:positionV>
            <wp:extent cx="1292469" cy="3738492"/>
            <wp:effectExtent l="0" t="0" r="3175" b="0"/>
            <wp:wrapNone/>
            <wp:docPr id="3" name="Image 3" descr="Résultats de recherche d'images pour « règle des neuf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ésultats de recherche d'images pour « règle des neufs »"/>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292383" cy="3738244"/>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217865" w:rsidRPr="00F012F8" w:rsidRDefault="00217865" w:rsidP="00217865">
      <w:pPr>
        <w:rPr>
          <w:rFonts w:cs="Times New Roman"/>
          <w:b/>
        </w:rPr>
      </w:pPr>
    </w:p>
    <w:p w:rsidR="00217865" w:rsidRPr="00F012F8" w:rsidRDefault="00217865" w:rsidP="00217865">
      <w:pPr>
        <w:rPr>
          <w:rFonts w:cs="Times New Roman"/>
          <w:b/>
        </w:rPr>
      </w:pPr>
    </w:p>
    <w:p w:rsidR="00217865" w:rsidRPr="00F012F8" w:rsidRDefault="00217865" w:rsidP="00217865">
      <w:pPr>
        <w:rPr>
          <w:rFonts w:cs="Times New Roman"/>
          <w:b/>
        </w:rPr>
      </w:pPr>
    </w:p>
    <w:p w:rsidR="00217865" w:rsidRPr="00F012F8" w:rsidRDefault="00217865" w:rsidP="00217865">
      <w:pPr>
        <w:rPr>
          <w:rFonts w:cs="Times New Roman"/>
          <w:b/>
        </w:rPr>
      </w:pPr>
    </w:p>
    <w:p w:rsidR="00217865" w:rsidRPr="00F012F8" w:rsidRDefault="00217865" w:rsidP="00217865">
      <w:pPr>
        <w:rPr>
          <w:rFonts w:cs="Times New Roman"/>
          <w:b/>
        </w:rPr>
      </w:pPr>
      <w:r w:rsidRPr="00F012F8">
        <w:rPr>
          <w:rFonts w:cs="Times New Roman"/>
          <w:b/>
        </w:rPr>
        <w:t>Investigations</w:t>
      </w:r>
    </w:p>
    <w:p w:rsidR="00217865" w:rsidRPr="00F012F8" w:rsidRDefault="00217865" w:rsidP="001A1752">
      <w:pPr>
        <w:pStyle w:val="Paragraphedeliste"/>
        <w:numPr>
          <w:ilvl w:val="0"/>
          <w:numId w:val="13"/>
        </w:numPr>
        <w:spacing w:after="0"/>
        <w:rPr>
          <w:rFonts w:cs="Times New Roman"/>
        </w:rPr>
      </w:pPr>
      <w:r w:rsidRPr="00F012F8">
        <w:rPr>
          <w:rFonts w:cs="Times New Roman"/>
        </w:rPr>
        <w:t>FSC, ionogramme, créatinine, gaz sanguin, groupé-croisé</w:t>
      </w:r>
    </w:p>
    <w:p w:rsidR="00217865" w:rsidRPr="00F012F8" w:rsidRDefault="00217865" w:rsidP="00217865">
      <w:pPr>
        <w:spacing w:after="0"/>
        <w:rPr>
          <w:rFonts w:cs="Times New Roman"/>
        </w:rPr>
      </w:pPr>
      <w:r w:rsidRPr="00F012F8">
        <w:rPr>
          <w:rFonts w:cs="Times New Roman"/>
        </w:rPr>
        <w:t>Selon le type de brûlure :</w:t>
      </w:r>
    </w:p>
    <w:p w:rsidR="00217865" w:rsidRPr="00F012F8" w:rsidRDefault="00217865" w:rsidP="001A1752">
      <w:pPr>
        <w:pStyle w:val="Paragraphedeliste"/>
        <w:numPr>
          <w:ilvl w:val="0"/>
          <w:numId w:val="12"/>
        </w:numPr>
        <w:rPr>
          <w:rFonts w:cs="Times New Roman"/>
        </w:rPr>
      </w:pPr>
      <w:r w:rsidRPr="00F012F8">
        <w:rPr>
          <w:rFonts w:cs="Times New Roman"/>
        </w:rPr>
        <w:t>RXP, ECG (électrocution), lampe à fente, etc.</w:t>
      </w:r>
    </w:p>
    <w:p w:rsidR="00217865" w:rsidRPr="00F012F8" w:rsidRDefault="00217865" w:rsidP="00217865">
      <w:pPr>
        <w:rPr>
          <w:rFonts w:cs="Times New Roman"/>
          <w:b/>
        </w:rPr>
      </w:pPr>
      <w:r w:rsidRPr="00F012F8">
        <w:rPr>
          <w:rFonts w:cs="Times New Roman"/>
          <w:b/>
        </w:rPr>
        <w:t>Prise en charge</w:t>
      </w:r>
    </w:p>
    <w:p w:rsidR="00217865" w:rsidRPr="00F012F8" w:rsidRDefault="00217865" w:rsidP="00C50876">
      <w:pPr>
        <w:pStyle w:val="Paragraphedeliste"/>
        <w:ind w:left="360"/>
        <w:rPr>
          <w:rFonts w:cs="Times New Roman"/>
          <w:i/>
          <w:u w:val="single"/>
        </w:rPr>
      </w:pPr>
      <w:r w:rsidRPr="00F012F8">
        <w:rPr>
          <w:rFonts w:cs="Times New Roman"/>
          <w:i/>
          <w:u w:val="single"/>
        </w:rPr>
        <w:t>Initiale</w:t>
      </w:r>
    </w:p>
    <w:p w:rsidR="00217865" w:rsidRPr="00F012F8" w:rsidRDefault="00217865" w:rsidP="001A1752">
      <w:pPr>
        <w:pStyle w:val="Paragraphedeliste"/>
        <w:numPr>
          <w:ilvl w:val="0"/>
          <w:numId w:val="21"/>
        </w:numPr>
        <w:rPr>
          <w:rFonts w:cs="Times New Roman"/>
          <w:highlight w:val="yellow"/>
        </w:rPr>
      </w:pPr>
      <w:r w:rsidRPr="00F012F8">
        <w:rPr>
          <w:rFonts w:cs="Times New Roman"/>
          <w:highlight w:val="yellow"/>
        </w:rPr>
        <w:t>Retirer les vêtements/bijoux/liquides qui peuvent poursuivre la brûlure</w:t>
      </w:r>
    </w:p>
    <w:p w:rsidR="00217865" w:rsidRPr="00F012F8" w:rsidRDefault="00217865" w:rsidP="001A1752">
      <w:pPr>
        <w:pStyle w:val="Paragraphedeliste"/>
        <w:numPr>
          <w:ilvl w:val="0"/>
          <w:numId w:val="14"/>
        </w:numPr>
        <w:rPr>
          <w:rFonts w:cs="Times New Roman"/>
        </w:rPr>
      </w:pPr>
      <w:r w:rsidRPr="00F012F8">
        <w:rPr>
          <w:rFonts w:cs="Times New Roman"/>
          <w:highlight w:val="yellow"/>
        </w:rPr>
        <w:t>Réanimation volémique</w:t>
      </w:r>
    </w:p>
    <w:p w:rsidR="00217865" w:rsidRPr="00F012F8" w:rsidRDefault="00217865" w:rsidP="001A1752">
      <w:pPr>
        <w:pStyle w:val="Paragraphedeliste"/>
        <w:numPr>
          <w:ilvl w:val="1"/>
          <w:numId w:val="14"/>
        </w:numPr>
        <w:rPr>
          <w:rFonts w:cs="Times New Roman"/>
        </w:rPr>
      </w:pPr>
      <w:r w:rsidRPr="00F012F8">
        <w:rPr>
          <w:rFonts w:cs="Times New Roman"/>
        </w:rPr>
        <w:t xml:space="preserve">4 cc de LR * poids (kg) * % SCT brûlée (formule de Parkland – ATLS) </w:t>
      </w:r>
    </w:p>
    <w:p w:rsidR="00217865" w:rsidRPr="00F012F8" w:rsidRDefault="00217865" w:rsidP="001A1752">
      <w:pPr>
        <w:pStyle w:val="Paragraphedeliste"/>
        <w:numPr>
          <w:ilvl w:val="1"/>
          <w:numId w:val="14"/>
        </w:numPr>
        <w:rPr>
          <w:rFonts w:cs="Times New Roman"/>
        </w:rPr>
      </w:pPr>
      <w:r w:rsidRPr="00F012F8">
        <w:rPr>
          <w:rFonts w:cs="Times New Roman"/>
        </w:rPr>
        <w:t>Davantage si sévère, électrocution, 4</w:t>
      </w:r>
      <w:r w:rsidRPr="00F012F8">
        <w:rPr>
          <w:rFonts w:cs="Times New Roman"/>
          <w:vertAlign w:val="superscript"/>
        </w:rPr>
        <w:t>e</w:t>
      </w:r>
      <w:r w:rsidRPr="00F012F8">
        <w:rPr>
          <w:rFonts w:cs="Times New Roman"/>
        </w:rPr>
        <w:t xml:space="preserve"> degré, selon jugement</w:t>
      </w:r>
    </w:p>
    <w:p w:rsidR="00217865" w:rsidRPr="00F012F8" w:rsidRDefault="00217865" w:rsidP="001A1752">
      <w:pPr>
        <w:pStyle w:val="Paragraphedeliste"/>
        <w:numPr>
          <w:ilvl w:val="0"/>
          <w:numId w:val="14"/>
        </w:numPr>
        <w:rPr>
          <w:rFonts w:cs="Times New Roman"/>
        </w:rPr>
      </w:pPr>
      <w:r w:rsidRPr="00F012F8">
        <w:rPr>
          <w:rFonts w:cs="Times New Roman"/>
        </w:rPr>
        <w:t>Maintien des SV et monitoring</w:t>
      </w:r>
    </w:p>
    <w:p w:rsidR="00217865" w:rsidRPr="00F012F8" w:rsidRDefault="00217865" w:rsidP="001A1752">
      <w:pPr>
        <w:pStyle w:val="Paragraphedeliste"/>
        <w:numPr>
          <w:ilvl w:val="0"/>
          <w:numId w:val="14"/>
        </w:numPr>
        <w:rPr>
          <w:rFonts w:cs="Times New Roman"/>
        </w:rPr>
      </w:pPr>
      <w:r w:rsidRPr="00F012F8">
        <w:rPr>
          <w:rFonts w:cs="Times New Roman"/>
        </w:rPr>
        <w:t xml:space="preserve">Intubation précoce PRN (si signes de lésions d’inhalation ou insuffisance respiratoire) </w:t>
      </w:r>
    </w:p>
    <w:p w:rsidR="00217865" w:rsidRPr="00F012F8" w:rsidRDefault="00217865" w:rsidP="001A1752">
      <w:pPr>
        <w:pStyle w:val="Paragraphedeliste"/>
        <w:numPr>
          <w:ilvl w:val="0"/>
          <w:numId w:val="14"/>
        </w:numPr>
        <w:rPr>
          <w:rFonts w:cs="Times New Roman"/>
        </w:rPr>
      </w:pPr>
      <w:r w:rsidRPr="00F012F8">
        <w:rPr>
          <w:rFonts w:cs="Times New Roman"/>
        </w:rPr>
        <w:t>Escarrotomie si compromis respiratoire/circulatoire</w:t>
      </w:r>
    </w:p>
    <w:p w:rsidR="00217865" w:rsidRPr="00F012F8" w:rsidRDefault="00217865" w:rsidP="001A1752">
      <w:pPr>
        <w:pStyle w:val="Paragraphedeliste"/>
        <w:numPr>
          <w:ilvl w:val="0"/>
          <w:numId w:val="14"/>
        </w:numPr>
        <w:rPr>
          <w:rFonts w:cs="Times New Roman"/>
        </w:rPr>
      </w:pPr>
      <w:r w:rsidRPr="00F012F8">
        <w:rPr>
          <w:rFonts w:cs="Times New Roman"/>
        </w:rPr>
        <w:t>Éliminer intoxication au CO (carboxyHB) – si présente =&gt; Ventimask 0</w:t>
      </w:r>
      <w:r w:rsidRPr="00F012F8">
        <w:rPr>
          <w:rFonts w:cs="Times New Roman"/>
          <w:vertAlign w:val="subscript"/>
        </w:rPr>
        <w:t>2</w:t>
      </w:r>
      <w:r w:rsidRPr="00F012F8">
        <w:rPr>
          <w:rFonts w:cs="Times New Roman"/>
        </w:rPr>
        <w:t> 100% ad &lt;10%</w:t>
      </w:r>
    </w:p>
    <w:p w:rsidR="00217865" w:rsidRPr="00F012F8" w:rsidRDefault="00217865" w:rsidP="001A1752">
      <w:pPr>
        <w:pStyle w:val="Paragraphedeliste"/>
        <w:numPr>
          <w:ilvl w:val="0"/>
          <w:numId w:val="14"/>
        </w:numPr>
        <w:rPr>
          <w:rFonts w:cs="Times New Roman"/>
        </w:rPr>
      </w:pPr>
      <w:r w:rsidRPr="00F012F8">
        <w:rPr>
          <w:rFonts w:cs="Times New Roman"/>
        </w:rPr>
        <w:t>Installation d’une sonde urinaire</w:t>
      </w:r>
    </w:p>
    <w:p w:rsidR="00217865" w:rsidRPr="00F012F8" w:rsidRDefault="00217865" w:rsidP="001A1752">
      <w:pPr>
        <w:pStyle w:val="Paragraphedeliste"/>
        <w:numPr>
          <w:ilvl w:val="1"/>
          <w:numId w:val="14"/>
        </w:numPr>
        <w:rPr>
          <w:rFonts w:cs="Times New Roman"/>
        </w:rPr>
      </w:pPr>
      <w:r w:rsidRPr="00F012F8">
        <w:rPr>
          <w:rFonts w:cs="Times New Roman"/>
        </w:rPr>
        <w:t>Surveiller la diurèse si possible ( + de 0,5 cc/kg/h visé)</w:t>
      </w:r>
    </w:p>
    <w:p w:rsidR="00217865" w:rsidRPr="00F012F8" w:rsidRDefault="00217865" w:rsidP="001A1752">
      <w:pPr>
        <w:pStyle w:val="Paragraphedeliste"/>
        <w:numPr>
          <w:ilvl w:val="0"/>
          <w:numId w:val="14"/>
        </w:numPr>
        <w:rPr>
          <w:rFonts w:cs="Times New Roman"/>
        </w:rPr>
      </w:pPr>
      <w:r w:rsidRPr="00F012F8">
        <w:rPr>
          <w:rFonts w:cs="Times New Roman"/>
        </w:rPr>
        <w:t>Analgésie (si sévère, morphine IV en perfusion)</w:t>
      </w:r>
    </w:p>
    <w:p w:rsidR="00217865" w:rsidRPr="00F012F8" w:rsidRDefault="00217865" w:rsidP="001A1752">
      <w:pPr>
        <w:pStyle w:val="Paragraphedeliste"/>
        <w:numPr>
          <w:ilvl w:val="0"/>
          <w:numId w:val="14"/>
        </w:numPr>
        <w:rPr>
          <w:rFonts w:cs="Times New Roman"/>
          <w:highlight w:val="yellow"/>
        </w:rPr>
      </w:pPr>
      <w:r w:rsidRPr="00F012F8">
        <w:rPr>
          <w:rFonts w:cs="Times New Roman"/>
          <w:highlight w:val="yellow"/>
        </w:rPr>
        <w:t>Si engelure, réchauffer (eau à 40°C)</w:t>
      </w:r>
    </w:p>
    <w:p w:rsidR="00217865" w:rsidRPr="00F012F8" w:rsidRDefault="00217865" w:rsidP="001A1752">
      <w:pPr>
        <w:pStyle w:val="Paragraphedeliste"/>
        <w:numPr>
          <w:ilvl w:val="0"/>
          <w:numId w:val="14"/>
        </w:numPr>
        <w:rPr>
          <w:rFonts w:cs="Times New Roman"/>
          <w:highlight w:val="yellow"/>
        </w:rPr>
      </w:pPr>
      <w:r w:rsidRPr="00F012F8">
        <w:rPr>
          <w:rFonts w:cs="Times New Roman"/>
          <w:highlight w:val="yellow"/>
        </w:rPr>
        <w:t>Si brûlure chimique, irriguer abondamment au moins 20-30 min avec du NS</w:t>
      </w:r>
    </w:p>
    <w:p w:rsidR="00C50876" w:rsidRPr="00F012F8" w:rsidRDefault="00C50876" w:rsidP="00C50876">
      <w:pPr>
        <w:rPr>
          <w:rFonts w:cs="Times New Roman"/>
          <w:highlight w:val="yellow"/>
        </w:rPr>
      </w:pPr>
    </w:p>
    <w:p w:rsidR="00217865" w:rsidRPr="00F012F8" w:rsidRDefault="00217865" w:rsidP="001A1752">
      <w:pPr>
        <w:pStyle w:val="Paragraphedeliste"/>
        <w:numPr>
          <w:ilvl w:val="0"/>
          <w:numId w:val="15"/>
        </w:numPr>
        <w:rPr>
          <w:rFonts w:cs="Times New Roman"/>
          <w:b/>
        </w:rPr>
      </w:pPr>
      <w:r w:rsidRPr="00F012F8">
        <w:rPr>
          <w:rFonts w:cs="Times New Roman"/>
          <w:b/>
        </w:rPr>
        <w:t>Déterminer rapidement si transfert est nécessaire vers un centre des grands brûlés.</w:t>
      </w:r>
    </w:p>
    <w:tbl>
      <w:tblPr>
        <w:tblStyle w:val="Grilledutableau"/>
        <w:tblW w:w="0" w:type="auto"/>
        <w:tblInd w:w="720" w:type="dxa"/>
        <w:tblLook w:val="04A0" w:firstRow="1" w:lastRow="0" w:firstColumn="1" w:lastColumn="0" w:noHBand="0" w:noVBand="1"/>
      </w:tblPr>
      <w:tblGrid>
        <w:gridCol w:w="8780"/>
      </w:tblGrid>
      <w:tr w:rsidR="00217865" w:rsidRPr="00F012F8" w:rsidTr="00E63664">
        <w:tc>
          <w:tcPr>
            <w:tcW w:w="8780" w:type="dxa"/>
          </w:tcPr>
          <w:p w:rsidR="00217865" w:rsidRPr="00F012F8" w:rsidRDefault="00217865" w:rsidP="00E63664">
            <w:pPr>
              <w:pStyle w:val="Paragraphedeliste"/>
              <w:ind w:left="0"/>
              <w:jc w:val="center"/>
              <w:rPr>
                <w:rFonts w:cs="Times New Roman"/>
                <w:i/>
              </w:rPr>
            </w:pPr>
            <w:r w:rsidRPr="00F012F8">
              <w:rPr>
                <w:rFonts w:cs="Times New Roman"/>
                <w:i/>
                <w:highlight w:val="yellow"/>
              </w:rPr>
              <w:t>Indication de transfert en centre tertiaire pour grands brûlés</w:t>
            </w:r>
          </w:p>
        </w:tc>
      </w:tr>
      <w:tr w:rsidR="00217865" w:rsidRPr="00F012F8" w:rsidTr="00E63664">
        <w:tc>
          <w:tcPr>
            <w:tcW w:w="8780" w:type="dxa"/>
          </w:tcPr>
          <w:p w:rsidR="00217865" w:rsidRPr="00F012F8" w:rsidRDefault="00217865" w:rsidP="001A1752">
            <w:pPr>
              <w:pStyle w:val="Paragraphedeliste"/>
              <w:numPr>
                <w:ilvl w:val="0"/>
                <w:numId w:val="20"/>
              </w:numPr>
              <w:rPr>
                <w:rFonts w:cs="Times New Roman"/>
                <w:u w:val="single"/>
              </w:rPr>
            </w:pPr>
            <w:r w:rsidRPr="00F012F8">
              <w:rPr>
                <w:rFonts w:cs="Times New Roman"/>
                <w:u w:val="single"/>
              </w:rPr>
              <w:t>Épaisseur partielle &gt; 20% chez 10-50 ans ou &gt; 10% aux extrémités de l’âge</w:t>
            </w:r>
          </w:p>
        </w:tc>
      </w:tr>
      <w:tr w:rsidR="00217865" w:rsidRPr="00F012F8" w:rsidTr="00E63664">
        <w:tc>
          <w:tcPr>
            <w:tcW w:w="8780" w:type="dxa"/>
          </w:tcPr>
          <w:p w:rsidR="00217865" w:rsidRPr="00F012F8" w:rsidRDefault="00217865" w:rsidP="001A1752">
            <w:pPr>
              <w:pStyle w:val="Paragraphedeliste"/>
              <w:numPr>
                <w:ilvl w:val="0"/>
                <w:numId w:val="20"/>
              </w:numPr>
              <w:rPr>
                <w:rFonts w:cs="Times New Roman"/>
                <w:u w:val="single"/>
              </w:rPr>
            </w:pPr>
            <w:r w:rsidRPr="00F012F8">
              <w:rPr>
                <w:rFonts w:cs="Times New Roman"/>
                <w:u w:val="single"/>
              </w:rPr>
              <w:t>Pleine épaisseur ≥ 5% de SCT peu importe l’âge</w:t>
            </w:r>
          </w:p>
        </w:tc>
      </w:tr>
      <w:tr w:rsidR="00217865" w:rsidRPr="00F012F8" w:rsidTr="00E63664">
        <w:tc>
          <w:tcPr>
            <w:tcW w:w="8780" w:type="dxa"/>
          </w:tcPr>
          <w:p w:rsidR="00217865" w:rsidRPr="00F012F8" w:rsidRDefault="00217865" w:rsidP="001A1752">
            <w:pPr>
              <w:pStyle w:val="Paragraphedeliste"/>
              <w:numPr>
                <w:ilvl w:val="0"/>
                <w:numId w:val="20"/>
              </w:numPr>
              <w:rPr>
                <w:rFonts w:cs="Times New Roman"/>
                <w:b/>
                <w:u w:val="single"/>
              </w:rPr>
            </w:pPr>
            <w:r w:rsidRPr="00F012F8">
              <w:rPr>
                <w:rFonts w:cs="Times New Roman"/>
                <w:u w:val="single"/>
              </w:rPr>
              <w:t>Épaisseur partielle ou complète – mains, pieds, OGE, visage, yeux, oreilles, articulations majeurs ou périnée</w:t>
            </w:r>
          </w:p>
        </w:tc>
      </w:tr>
      <w:tr w:rsidR="00217865" w:rsidRPr="00F012F8" w:rsidTr="00E63664">
        <w:tc>
          <w:tcPr>
            <w:tcW w:w="8780" w:type="dxa"/>
          </w:tcPr>
          <w:p w:rsidR="00217865" w:rsidRPr="00F012F8" w:rsidRDefault="00217865" w:rsidP="001A1752">
            <w:pPr>
              <w:pStyle w:val="Paragraphedeliste"/>
              <w:numPr>
                <w:ilvl w:val="0"/>
                <w:numId w:val="20"/>
              </w:numPr>
              <w:rPr>
                <w:rFonts w:cs="Times New Roman"/>
                <w:u w:val="single"/>
              </w:rPr>
            </w:pPr>
            <w:r w:rsidRPr="00F012F8">
              <w:rPr>
                <w:rFonts w:cs="Times New Roman"/>
                <w:u w:val="single"/>
              </w:rPr>
              <w:t>Électrocution</w:t>
            </w:r>
          </w:p>
        </w:tc>
      </w:tr>
      <w:tr w:rsidR="00217865" w:rsidRPr="00F012F8" w:rsidTr="00E63664">
        <w:tc>
          <w:tcPr>
            <w:tcW w:w="8780" w:type="dxa"/>
          </w:tcPr>
          <w:p w:rsidR="00217865" w:rsidRPr="00F012F8" w:rsidRDefault="00217865" w:rsidP="001A1752">
            <w:pPr>
              <w:pStyle w:val="Paragraphedeliste"/>
              <w:numPr>
                <w:ilvl w:val="0"/>
                <w:numId w:val="20"/>
              </w:numPr>
              <w:rPr>
                <w:rFonts w:cs="Times New Roman"/>
                <w:u w:val="single"/>
              </w:rPr>
            </w:pPr>
            <w:r w:rsidRPr="00F012F8">
              <w:rPr>
                <w:rFonts w:cs="Times New Roman"/>
                <w:u w:val="single"/>
              </w:rPr>
              <w:t>Brûlures chimiques</w:t>
            </w:r>
          </w:p>
        </w:tc>
      </w:tr>
      <w:tr w:rsidR="00217865" w:rsidRPr="00F012F8" w:rsidTr="00E63664">
        <w:tc>
          <w:tcPr>
            <w:tcW w:w="8780" w:type="dxa"/>
          </w:tcPr>
          <w:p w:rsidR="00217865" w:rsidRPr="00F012F8" w:rsidRDefault="00217865" w:rsidP="001A1752">
            <w:pPr>
              <w:pStyle w:val="Paragraphedeliste"/>
              <w:numPr>
                <w:ilvl w:val="0"/>
                <w:numId w:val="20"/>
              </w:numPr>
              <w:rPr>
                <w:rFonts w:cs="Times New Roman"/>
                <w:u w:val="single"/>
              </w:rPr>
            </w:pPr>
            <w:r w:rsidRPr="00F012F8">
              <w:rPr>
                <w:rFonts w:cs="Times New Roman"/>
                <w:u w:val="single"/>
              </w:rPr>
              <w:t>Lésions d’inhalation</w:t>
            </w:r>
          </w:p>
        </w:tc>
      </w:tr>
      <w:tr w:rsidR="00217865" w:rsidRPr="00F012F8" w:rsidTr="00E63664">
        <w:tc>
          <w:tcPr>
            <w:tcW w:w="8780" w:type="dxa"/>
          </w:tcPr>
          <w:p w:rsidR="00217865" w:rsidRPr="00F012F8" w:rsidRDefault="00217865" w:rsidP="001A1752">
            <w:pPr>
              <w:pStyle w:val="Paragraphedeliste"/>
              <w:numPr>
                <w:ilvl w:val="0"/>
                <w:numId w:val="20"/>
              </w:numPr>
              <w:rPr>
                <w:rFonts w:cs="Times New Roman"/>
              </w:rPr>
            </w:pPr>
            <w:r w:rsidRPr="00F012F8">
              <w:rPr>
                <w:rFonts w:cs="Times New Roman"/>
              </w:rPr>
              <w:t>Présence de comorbidités pouvant compliquer la prise en charge/guérison</w:t>
            </w:r>
          </w:p>
        </w:tc>
      </w:tr>
      <w:tr w:rsidR="00217865" w:rsidRPr="00F012F8" w:rsidTr="00E63664">
        <w:tc>
          <w:tcPr>
            <w:tcW w:w="8780" w:type="dxa"/>
          </w:tcPr>
          <w:p w:rsidR="00217865" w:rsidRPr="00F012F8" w:rsidRDefault="00217865" w:rsidP="001A1752">
            <w:pPr>
              <w:pStyle w:val="Paragraphedeliste"/>
              <w:numPr>
                <w:ilvl w:val="0"/>
                <w:numId w:val="20"/>
              </w:numPr>
              <w:rPr>
                <w:rFonts w:cs="Times New Roman"/>
              </w:rPr>
            </w:pPr>
            <w:r w:rsidRPr="00F012F8">
              <w:rPr>
                <w:rFonts w:cs="Times New Roman"/>
              </w:rPr>
              <w:t>Polytraumatisés avec brûlures</w:t>
            </w:r>
          </w:p>
        </w:tc>
      </w:tr>
      <w:tr w:rsidR="00217865" w:rsidRPr="00F012F8" w:rsidTr="00E63664">
        <w:tc>
          <w:tcPr>
            <w:tcW w:w="8780" w:type="dxa"/>
          </w:tcPr>
          <w:p w:rsidR="00217865" w:rsidRPr="00F012F8" w:rsidRDefault="00217865" w:rsidP="001A1752">
            <w:pPr>
              <w:pStyle w:val="Paragraphedeliste"/>
              <w:numPr>
                <w:ilvl w:val="0"/>
                <w:numId w:val="20"/>
              </w:numPr>
              <w:rPr>
                <w:rFonts w:cs="Times New Roman"/>
              </w:rPr>
            </w:pPr>
            <w:r w:rsidRPr="00F012F8">
              <w:rPr>
                <w:rFonts w:cs="Times New Roman"/>
              </w:rPr>
              <w:t>Besoins d’interventions particulières supplémentaires</w:t>
            </w:r>
          </w:p>
        </w:tc>
      </w:tr>
      <w:tr w:rsidR="00217865" w:rsidRPr="00F012F8" w:rsidTr="00E63664">
        <w:tc>
          <w:tcPr>
            <w:tcW w:w="8780" w:type="dxa"/>
          </w:tcPr>
          <w:p w:rsidR="00217865" w:rsidRPr="00F012F8" w:rsidRDefault="00217865" w:rsidP="001A1752">
            <w:pPr>
              <w:pStyle w:val="Paragraphedeliste"/>
              <w:numPr>
                <w:ilvl w:val="0"/>
                <w:numId w:val="20"/>
              </w:numPr>
              <w:rPr>
                <w:rFonts w:cs="Times New Roman"/>
              </w:rPr>
            </w:pPr>
            <w:r w:rsidRPr="00F012F8">
              <w:rPr>
                <w:rFonts w:cs="Times New Roman"/>
              </w:rPr>
              <w:t>Enfants si absence de pédiatre dans le centre hospitalier</w:t>
            </w:r>
          </w:p>
        </w:tc>
      </w:tr>
    </w:tbl>
    <w:p w:rsidR="00217865" w:rsidRPr="00F012F8" w:rsidRDefault="00217865" w:rsidP="00217865">
      <w:pPr>
        <w:pStyle w:val="Paragraphedeliste"/>
        <w:rPr>
          <w:rFonts w:cs="Times New Roman"/>
          <w:b/>
        </w:rPr>
      </w:pPr>
    </w:p>
    <w:p w:rsidR="00217865" w:rsidRPr="00F012F8" w:rsidRDefault="00217865" w:rsidP="00217865">
      <w:pPr>
        <w:pStyle w:val="Paragraphedeliste"/>
        <w:ind w:left="360"/>
        <w:rPr>
          <w:rFonts w:cs="Times New Roman"/>
          <w:i/>
          <w:u w:val="single"/>
        </w:rPr>
      </w:pPr>
      <w:r w:rsidRPr="00F012F8">
        <w:rPr>
          <w:rFonts w:cs="Times New Roman"/>
          <w:i/>
          <w:u w:val="single"/>
        </w:rPr>
        <w:t>Secondaire </w:t>
      </w:r>
    </w:p>
    <w:p w:rsidR="00217865" w:rsidRPr="00F012F8" w:rsidRDefault="00217865" w:rsidP="001A1752">
      <w:pPr>
        <w:pStyle w:val="Paragraphedeliste"/>
        <w:numPr>
          <w:ilvl w:val="0"/>
          <w:numId w:val="16"/>
        </w:numPr>
        <w:ind w:left="360"/>
        <w:rPr>
          <w:rFonts w:cs="Times New Roman"/>
        </w:rPr>
      </w:pPr>
      <w:r w:rsidRPr="00F012F8">
        <w:rPr>
          <w:rFonts w:cs="Times New Roman"/>
        </w:rPr>
        <w:t>Nettoyage et débridement des lésions</w:t>
      </w:r>
    </w:p>
    <w:p w:rsidR="00217865" w:rsidRPr="00F012F8" w:rsidRDefault="00217865" w:rsidP="001A1752">
      <w:pPr>
        <w:pStyle w:val="Paragraphedeliste"/>
        <w:numPr>
          <w:ilvl w:val="0"/>
          <w:numId w:val="16"/>
        </w:numPr>
        <w:ind w:left="360"/>
        <w:rPr>
          <w:rFonts w:cs="Times New Roman"/>
          <w:u w:val="single"/>
        </w:rPr>
      </w:pPr>
      <w:r w:rsidRPr="00F012F8">
        <w:rPr>
          <w:rFonts w:cs="Times New Roman"/>
          <w:highlight w:val="yellow"/>
          <w:u w:val="single"/>
        </w:rPr>
        <w:t>Vérifier la vaccination tétanique</w:t>
      </w:r>
      <w:r w:rsidRPr="00F012F8">
        <w:rPr>
          <w:rFonts w:cs="Times New Roman"/>
          <w:u w:val="single"/>
        </w:rPr>
        <w:t xml:space="preserve">. </w:t>
      </w:r>
    </w:p>
    <w:p w:rsidR="00217865" w:rsidRPr="00F012F8" w:rsidRDefault="00217865" w:rsidP="001A1752">
      <w:pPr>
        <w:pStyle w:val="Paragraphedeliste"/>
        <w:numPr>
          <w:ilvl w:val="1"/>
          <w:numId w:val="16"/>
        </w:numPr>
        <w:ind w:left="1080"/>
        <w:rPr>
          <w:rFonts w:cs="Times New Roman"/>
        </w:rPr>
      </w:pPr>
      <w:r w:rsidRPr="00F012F8">
        <w:rPr>
          <w:rFonts w:cs="Times New Roman"/>
        </w:rPr>
        <w:t>Si + de 10% SCT =&gt; vacciner</w:t>
      </w:r>
    </w:p>
    <w:p w:rsidR="00217865" w:rsidRPr="00F012F8" w:rsidRDefault="00217865" w:rsidP="001A1752">
      <w:pPr>
        <w:pStyle w:val="Paragraphedeliste"/>
        <w:numPr>
          <w:ilvl w:val="1"/>
          <w:numId w:val="16"/>
        </w:numPr>
        <w:ind w:left="1080"/>
        <w:rPr>
          <w:rFonts w:cs="Times New Roman"/>
        </w:rPr>
      </w:pPr>
      <w:r w:rsidRPr="00F012F8">
        <w:rPr>
          <w:rFonts w:cs="Times New Roman"/>
        </w:rPr>
        <w:t>Si absente, plus de 10 ans ou doute :</w:t>
      </w:r>
    </w:p>
    <w:p w:rsidR="00217865" w:rsidRPr="00F012F8" w:rsidRDefault="00217865" w:rsidP="001A1752">
      <w:pPr>
        <w:pStyle w:val="Paragraphedeliste"/>
        <w:numPr>
          <w:ilvl w:val="2"/>
          <w:numId w:val="16"/>
        </w:numPr>
        <w:ind w:left="1800"/>
        <w:rPr>
          <w:rFonts w:cs="Times New Roman"/>
        </w:rPr>
      </w:pPr>
      <w:r w:rsidRPr="00F012F8">
        <w:rPr>
          <w:rFonts w:cs="Times New Roman"/>
        </w:rPr>
        <w:t>250 unités d’Ig tétanique</w:t>
      </w:r>
    </w:p>
    <w:p w:rsidR="00217865" w:rsidRPr="00F012F8" w:rsidRDefault="00217865" w:rsidP="001A1752">
      <w:pPr>
        <w:pStyle w:val="Paragraphedeliste"/>
        <w:numPr>
          <w:ilvl w:val="0"/>
          <w:numId w:val="16"/>
        </w:numPr>
        <w:ind w:left="360"/>
        <w:rPr>
          <w:rFonts w:cs="Times New Roman"/>
        </w:rPr>
      </w:pPr>
      <w:r w:rsidRPr="00F012F8">
        <w:rPr>
          <w:rFonts w:cs="Times New Roman"/>
          <w:highlight w:val="yellow"/>
        </w:rPr>
        <w:t>Selon le degré</w:t>
      </w:r>
      <w:r w:rsidRPr="00F012F8">
        <w:rPr>
          <w:rFonts w:cs="Times New Roman"/>
        </w:rPr>
        <w:t> :</w:t>
      </w:r>
    </w:p>
    <w:p w:rsidR="00217865" w:rsidRPr="00F012F8" w:rsidRDefault="00217865" w:rsidP="001A1752">
      <w:pPr>
        <w:pStyle w:val="Paragraphedeliste"/>
        <w:numPr>
          <w:ilvl w:val="1"/>
          <w:numId w:val="16"/>
        </w:numPr>
        <w:ind w:left="1080"/>
        <w:rPr>
          <w:rFonts w:cs="Times New Roman"/>
        </w:rPr>
        <w:sectPr w:rsidR="00217865" w:rsidRPr="00F012F8" w:rsidSect="00217865">
          <w:type w:val="continuous"/>
          <w:pgSz w:w="12240" w:h="15840"/>
          <w:pgMar w:top="720" w:right="720" w:bottom="720" w:left="720" w:header="708" w:footer="708" w:gutter="0"/>
          <w:cols w:space="708"/>
          <w:docGrid w:linePitch="360"/>
        </w:sectPr>
      </w:pPr>
    </w:p>
    <w:p w:rsidR="00217865" w:rsidRPr="00F012F8" w:rsidRDefault="00217865" w:rsidP="001A1752">
      <w:pPr>
        <w:pStyle w:val="Paragraphedeliste"/>
        <w:numPr>
          <w:ilvl w:val="1"/>
          <w:numId w:val="16"/>
        </w:numPr>
        <w:ind w:left="1080"/>
        <w:rPr>
          <w:rFonts w:cs="Times New Roman"/>
          <w:u w:val="single"/>
        </w:rPr>
      </w:pPr>
      <w:r w:rsidRPr="00F012F8">
        <w:rPr>
          <w:rFonts w:cs="Times New Roman"/>
          <w:u w:val="single"/>
        </w:rPr>
        <w:lastRenderedPageBreak/>
        <w:t>1</w:t>
      </w:r>
      <w:r w:rsidRPr="00F012F8">
        <w:rPr>
          <w:rFonts w:cs="Times New Roman"/>
          <w:u w:val="single"/>
          <w:vertAlign w:val="superscript"/>
        </w:rPr>
        <w:t>er</w:t>
      </w:r>
      <w:r w:rsidRPr="00F012F8">
        <w:rPr>
          <w:rFonts w:cs="Times New Roman"/>
          <w:u w:val="single"/>
        </w:rPr>
        <w:t xml:space="preserve"> degré</w:t>
      </w:r>
    </w:p>
    <w:p w:rsidR="00217865" w:rsidRPr="00F012F8" w:rsidRDefault="00217865" w:rsidP="001A1752">
      <w:pPr>
        <w:pStyle w:val="Paragraphedeliste"/>
        <w:numPr>
          <w:ilvl w:val="2"/>
          <w:numId w:val="16"/>
        </w:numPr>
        <w:ind w:left="1800"/>
        <w:rPr>
          <w:rFonts w:cs="Times New Roman"/>
        </w:rPr>
      </w:pPr>
      <w:r w:rsidRPr="00F012F8">
        <w:rPr>
          <w:rFonts w:cs="Times New Roman"/>
        </w:rPr>
        <w:t xml:space="preserve">Humidifier </w:t>
      </w:r>
    </w:p>
    <w:p w:rsidR="00217865" w:rsidRPr="00F012F8" w:rsidRDefault="00217865" w:rsidP="00217865">
      <w:pPr>
        <w:pStyle w:val="Paragraphedeliste"/>
        <w:ind w:left="1800"/>
        <w:rPr>
          <w:rFonts w:cs="Times New Roman"/>
        </w:rPr>
      </w:pPr>
      <w:r w:rsidRPr="00F012F8">
        <w:rPr>
          <w:rFonts w:cs="Times New Roman"/>
        </w:rPr>
        <w:t>(crème topique ± aloès)</w:t>
      </w:r>
    </w:p>
    <w:p w:rsidR="00217865" w:rsidRPr="00F012F8" w:rsidRDefault="00217865" w:rsidP="001A1752">
      <w:pPr>
        <w:pStyle w:val="Paragraphedeliste"/>
        <w:numPr>
          <w:ilvl w:val="2"/>
          <w:numId w:val="16"/>
        </w:numPr>
        <w:ind w:left="1800"/>
        <w:rPr>
          <w:rFonts w:cs="Times New Roman"/>
        </w:rPr>
      </w:pPr>
      <w:r w:rsidRPr="00F012F8">
        <w:rPr>
          <w:rFonts w:cs="Times New Roman"/>
        </w:rPr>
        <w:t>Analgésie PO (AINS)</w:t>
      </w:r>
    </w:p>
    <w:p w:rsidR="00217865" w:rsidRPr="00F012F8" w:rsidRDefault="00217865" w:rsidP="001A1752">
      <w:pPr>
        <w:pStyle w:val="Paragraphedeliste"/>
        <w:numPr>
          <w:ilvl w:val="1"/>
          <w:numId w:val="16"/>
        </w:numPr>
        <w:ind w:left="1080"/>
        <w:rPr>
          <w:rFonts w:cs="Times New Roman"/>
          <w:u w:val="single"/>
        </w:rPr>
      </w:pPr>
      <w:r w:rsidRPr="00F012F8">
        <w:rPr>
          <w:rFonts w:cs="Times New Roman"/>
          <w:u w:val="single"/>
        </w:rPr>
        <w:t>2</w:t>
      </w:r>
      <w:r w:rsidRPr="00F012F8">
        <w:rPr>
          <w:rFonts w:cs="Times New Roman"/>
          <w:u w:val="single"/>
          <w:vertAlign w:val="superscript"/>
        </w:rPr>
        <w:t>e</w:t>
      </w:r>
      <w:r w:rsidRPr="00F012F8">
        <w:rPr>
          <w:rFonts w:cs="Times New Roman"/>
          <w:u w:val="single"/>
        </w:rPr>
        <w:t xml:space="preserve"> degré superficiel</w:t>
      </w:r>
    </w:p>
    <w:p w:rsidR="00217865" w:rsidRPr="00F012F8" w:rsidRDefault="00217865" w:rsidP="001A1752">
      <w:pPr>
        <w:pStyle w:val="Paragraphedeliste"/>
        <w:numPr>
          <w:ilvl w:val="2"/>
          <w:numId w:val="16"/>
        </w:numPr>
        <w:ind w:left="1800"/>
        <w:rPr>
          <w:rFonts w:cs="Times New Roman"/>
        </w:rPr>
      </w:pPr>
      <w:r w:rsidRPr="00F012F8">
        <w:rPr>
          <w:rFonts w:cs="Times New Roman"/>
        </w:rPr>
        <w:t>∆ Pansement quotidien</w:t>
      </w:r>
    </w:p>
    <w:p w:rsidR="00217865" w:rsidRPr="00F012F8" w:rsidRDefault="00217865" w:rsidP="001A1752">
      <w:pPr>
        <w:pStyle w:val="Paragraphedeliste"/>
        <w:numPr>
          <w:ilvl w:val="2"/>
          <w:numId w:val="16"/>
        </w:numPr>
        <w:ind w:left="1800"/>
        <w:rPr>
          <w:rFonts w:cs="Times New Roman"/>
        </w:rPr>
      </w:pPr>
      <w:r w:rsidRPr="00F012F8">
        <w:rPr>
          <w:rFonts w:cs="Times New Roman"/>
        </w:rPr>
        <w:t>Polysporin/ ATB topique</w:t>
      </w:r>
    </w:p>
    <w:p w:rsidR="00217865" w:rsidRPr="00F012F8" w:rsidRDefault="00217865" w:rsidP="001A1752">
      <w:pPr>
        <w:pStyle w:val="Paragraphedeliste"/>
        <w:numPr>
          <w:ilvl w:val="2"/>
          <w:numId w:val="16"/>
        </w:numPr>
        <w:ind w:left="1800"/>
        <w:rPr>
          <w:rFonts w:cs="Times New Roman"/>
        </w:rPr>
      </w:pPr>
      <w:r w:rsidRPr="00F012F8">
        <w:rPr>
          <w:rFonts w:cs="Times New Roman"/>
        </w:rPr>
        <w:t>Ne pas crever les phlyctènes</w:t>
      </w:r>
    </w:p>
    <w:p w:rsidR="00217865" w:rsidRPr="00F012F8" w:rsidRDefault="00217865" w:rsidP="001A1752">
      <w:pPr>
        <w:pStyle w:val="Paragraphedeliste"/>
        <w:numPr>
          <w:ilvl w:val="2"/>
          <w:numId w:val="16"/>
        </w:numPr>
        <w:ind w:left="1800"/>
        <w:rPr>
          <w:rFonts w:cs="Times New Roman"/>
        </w:rPr>
      </w:pPr>
      <w:r w:rsidRPr="00F012F8">
        <w:rPr>
          <w:rFonts w:cs="Times New Roman"/>
        </w:rPr>
        <w:t>Analgésie</w:t>
      </w:r>
    </w:p>
    <w:p w:rsidR="00540770" w:rsidRPr="00F012F8" w:rsidRDefault="00540770" w:rsidP="001A1752">
      <w:pPr>
        <w:pStyle w:val="Paragraphedeliste"/>
        <w:numPr>
          <w:ilvl w:val="1"/>
          <w:numId w:val="16"/>
        </w:numPr>
        <w:ind w:left="1080"/>
        <w:rPr>
          <w:rFonts w:cs="Times New Roman"/>
          <w:u w:val="single"/>
        </w:rPr>
      </w:pPr>
      <w:r w:rsidRPr="00F012F8">
        <w:rPr>
          <w:rFonts w:cs="Times New Roman"/>
          <w:u w:val="single"/>
        </w:rPr>
        <w:t>2</w:t>
      </w:r>
      <w:r w:rsidRPr="00F012F8">
        <w:rPr>
          <w:rFonts w:cs="Times New Roman"/>
          <w:u w:val="single"/>
          <w:vertAlign w:val="superscript"/>
        </w:rPr>
        <w:t>e</w:t>
      </w:r>
      <w:r w:rsidRPr="00F012F8">
        <w:rPr>
          <w:rFonts w:cs="Times New Roman"/>
          <w:u w:val="single"/>
        </w:rPr>
        <w:t xml:space="preserve"> degré profond / 3</w:t>
      </w:r>
      <w:r w:rsidRPr="00F012F8">
        <w:rPr>
          <w:rFonts w:cs="Times New Roman"/>
          <w:u w:val="single"/>
          <w:vertAlign w:val="superscript"/>
        </w:rPr>
        <w:t>e</w:t>
      </w:r>
      <w:r w:rsidRPr="00F012F8">
        <w:rPr>
          <w:rFonts w:cs="Times New Roman"/>
          <w:u w:val="single"/>
        </w:rPr>
        <w:t xml:space="preserve"> degré / 4</w:t>
      </w:r>
      <w:r w:rsidRPr="00F012F8">
        <w:rPr>
          <w:rFonts w:cs="Times New Roman"/>
          <w:u w:val="single"/>
          <w:vertAlign w:val="superscript"/>
        </w:rPr>
        <w:t>e</w:t>
      </w:r>
      <w:r w:rsidRPr="00F012F8">
        <w:rPr>
          <w:rFonts w:cs="Times New Roman"/>
          <w:u w:val="single"/>
        </w:rPr>
        <w:t xml:space="preserve"> degré</w:t>
      </w:r>
    </w:p>
    <w:p w:rsidR="00540770" w:rsidRPr="00F012F8" w:rsidRDefault="00540770" w:rsidP="001A1752">
      <w:pPr>
        <w:pStyle w:val="Paragraphedeliste"/>
        <w:numPr>
          <w:ilvl w:val="2"/>
          <w:numId w:val="16"/>
        </w:numPr>
        <w:ind w:left="1800"/>
        <w:rPr>
          <w:rFonts w:cs="Times New Roman"/>
        </w:rPr>
      </w:pPr>
      <w:r w:rsidRPr="00F012F8">
        <w:rPr>
          <w:rFonts w:cs="Times New Roman"/>
        </w:rPr>
        <w:t>∆ Pansement quotidien</w:t>
      </w:r>
    </w:p>
    <w:p w:rsidR="00540770" w:rsidRPr="00F012F8" w:rsidRDefault="00540770" w:rsidP="001A1752">
      <w:pPr>
        <w:pStyle w:val="Paragraphedeliste"/>
        <w:numPr>
          <w:ilvl w:val="2"/>
          <w:numId w:val="16"/>
        </w:numPr>
        <w:ind w:left="1800"/>
        <w:rPr>
          <w:rFonts w:cs="Times New Roman"/>
        </w:rPr>
      </w:pPr>
      <w:r w:rsidRPr="00F012F8">
        <w:rPr>
          <w:rFonts w:cs="Times New Roman"/>
        </w:rPr>
        <w:t xml:space="preserve">ATB topique (principaux germes : </w:t>
      </w:r>
      <w:r w:rsidRPr="00F012F8">
        <w:rPr>
          <w:rFonts w:cs="Times New Roman"/>
          <w:i/>
        </w:rPr>
        <w:t xml:space="preserve">Staph. </w:t>
      </w:r>
      <w:r w:rsidRPr="00D81CCE">
        <w:rPr>
          <w:rFonts w:cs="Times New Roman"/>
          <w:i/>
          <w:lang w:val="es-NI"/>
        </w:rPr>
        <w:t>Aureus, P. Aeruginosa, C. Albicans</w:t>
      </w:r>
      <w:r w:rsidRPr="00D81CCE">
        <w:rPr>
          <w:rFonts w:cs="Times New Roman"/>
          <w:lang w:val="es-NI"/>
        </w:rPr>
        <w:t xml:space="preserve">. </w:t>
      </w:r>
      <w:r w:rsidRPr="00F012F8">
        <w:rPr>
          <w:rFonts w:cs="Times New Roman"/>
        </w:rPr>
        <w:t>± BGN jours 3-5)</w:t>
      </w:r>
    </w:p>
    <w:p w:rsidR="00540770" w:rsidRPr="00F012F8" w:rsidRDefault="00540770" w:rsidP="001A1752">
      <w:pPr>
        <w:pStyle w:val="Paragraphedeliste"/>
        <w:numPr>
          <w:ilvl w:val="2"/>
          <w:numId w:val="16"/>
        </w:numPr>
        <w:ind w:left="1800"/>
        <w:rPr>
          <w:rFonts w:cs="Times New Roman"/>
        </w:rPr>
      </w:pPr>
      <w:r w:rsidRPr="00F012F8">
        <w:rPr>
          <w:rFonts w:cs="Times New Roman"/>
        </w:rPr>
        <w:t>Surveiller l’apparition de signes de sepsis</w:t>
      </w:r>
    </w:p>
    <w:p w:rsidR="00540770" w:rsidRPr="00F012F8" w:rsidRDefault="00540770" w:rsidP="001A1752">
      <w:pPr>
        <w:pStyle w:val="Paragraphedeliste"/>
        <w:numPr>
          <w:ilvl w:val="2"/>
          <w:numId w:val="16"/>
        </w:numPr>
        <w:ind w:left="1800"/>
        <w:rPr>
          <w:rFonts w:cs="Times New Roman"/>
        </w:rPr>
      </w:pPr>
      <w:r w:rsidRPr="00F012F8">
        <w:rPr>
          <w:rFonts w:cs="Times New Roman"/>
        </w:rPr>
        <w:t>Débridement</w:t>
      </w:r>
    </w:p>
    <w:p w:rsidR="00C50876" w:rsidRPr="00F012F8" w:rsidRDefault="00540770" w:rsidP="001A1752">
      <w:pPr>
        <w:pStyle w:val="Paragraphedeliste"/>
        <w:numPr>
          <w:ilvl w:val="2"/>
          <w:numId w:val="16"/>
        </w:numPr>
        <w:ind w:left="1800"/>
        <w:rPr>
          <w:rFonts w:cs="Times New Roman"/>
        </w:rPr>
      </w:pPr>
      <w:r w:rsidRPr="00F012F8">
        <w:rPr>
          <w:rFonts w:cs="Times New Roman"/>
        </w:rPr>
        <w:t>Analgésie PRN</w:t>
      </w:r>
    </w:p>
    <w:p w:rsidR="00540770" w:rsidRPr="00F012F8" w:rsidRDefault="00540770" w:rsidP="001A1752">
      <w:pPr>
        <w:pStyle w:val="Paragraphedeliste"/>
        <w:numPr>
          <w:ilvl w:val="2"/>
          <w:numId w:val="16"/>
        </w:numPr>
        <w:ind w:left="1800"/>
        <w:rPr>
          <w:rFonts w:cs="Times New Roman"/>
        </w:rPr>
      </w:pPr>
    </w:p>
    <w:p w:rsidR="00C50876" w:rsidRPr="00F012F8" w:rsidRDefault="00C50876" w:rsidP="001A1752">
      <w:pPr>
        <w:pStyle w:val="Paragraphedeliste"/>
        <w:numPr>
          <w:ilvl w:val="0"/>
          <w:numId w:val="17"/>
        </w:numPr>
        <w:ind w:left="348"/>
        <w:rPr>
          <w:rFonts w:cs="Times New Roman"/>
        </w:rPr>
      </w:pPr>
      <w:r w:rsidRPr="00F012F8">
        <w:rPr>
          <w:rFonts w:cs="Times New Roman"/>
        </w:rPr>
        <w:t>Greffe de peau lorsque nécessaire</w:t>
      </w:r>
    </w:p>
    <w:p w:rsidR="00C50876" w:rsidRPr="00F012F8" w:rsidRDefault="00C50876" w:rsidP="001A1752">
      <w:pPr>
        <w:pStyle w:val="Paragraphedeliste"/>
        <w:numPr>
          <w:ilvl w:val="0"/>
          <w:numId w:val="17"/>
        </w:numPr>
        <w:ind w:left="348"/>
        <w:rPr>
          <w:rFonts w:cs="Times New Roman"/>
        </w:rPr>
      </w:pPr>
      <w:r w:rsidRPr="00F012F8">
        <w:rPr>
          <w:rFonts w:cs="Times New Roman"/>
        </w:rPr>
        <w:t>Physiothérapie précoce pour éviter contractures et perte de fonction</w:t>
      </w:r>
    </w:p>
    <w:p w:rsidR="00C50876" w:rsidRPr="00F012F8" w:rsidRDefault="00C50876" w:rsidP="001A1752">
      <w:pPr>
        <w:pStyle w:val="Paragraphedeliste"/>
        <w:numPr>
          <w:ilvl w:val="0"/>
          <w:numId w:val="17"/>
        </w:numPr>
        <w:ind w:left="348"/>
        <w:rPr>
          <w:rFonts w:cs="Times New Roman"/>
        </w:rPr>
      </w:pPr>
      <w:r w:rsidRPr="00F012F8">
        <w:rPr>
          <w:rFonts w:cs="Times New Roman"/>
        </w:rPr>
        <w:t>Surveiller les pertes cutanées et la fonction rénale</w:t>
      </w:r>
    </w:p>
    <w:p w:rsidR="00C50876" w:rsidRPr="00F012F8" w:rsidRDefault="00C50876" w:rsidP="001A1752">
      <w:pPr>
        <w:pStyle w:val="Paragraphedeliste"/>
        <w:numPr>
          <w:ilvl w:val="0"/>
          <w:numId w:val="17"/>
        </w:numPr>
        <w:ind w:left="348"/>
        <w:rPr>
          <w:rFonts w:cs="Times New Roman"/>
        </w:rPr>
      </w:pPr>
      <w:r w:rsidRPr="00F012F8">
        <w:rPr>
          <w:rFonts w:cs="Times New Roman"/>
        </w:rPr>
        <w:t>Besoins alimentaires augmentés x 2</w:t>
      </w:r>
    </w:p>
    <w:p w:rsidR="00C50876" w:rsidRPr="00F012F8" w:rsidRDefault="00C50876" w:rsidP="00C50876">
      <w:pPr>
        <w:rPr>
          <w:rFonts w:cs="Times New Roman"/>
        </w:rPr>
      </w:pPr>
    </w:p>
    <w:p w:rsidR="00C50876" w:rsidRPr="00F012F8" w:rsidRDefault="00C50876" w:rsidP="00C50876">
      <w:pPr>
        <w:rPr>
          <w:rFonts w:cs="Times New Roman"/>
        </w:rPr>
      </w:pPr>
    </w:p>
    <w:p w:rsidR="00540770" w:rsidRPr="00F012F8" w:rsidRDefault="00540770">
      <w:pPr>
        <w:rPr>
          <w:rFonts w:cs="Times New Roman"/>
        </w:rPr>
      </w:pPr>
    </w:p>
    <w:p w:rsidR="00E163ED" w:rsidRDefault="00E163ED" w:rsidP="00C76CAC">
      <w:pPr>
        <w:spacing w:after="0"/>
        <w:rPr>
          <w:rFonts w:cs="Times New Roman"/>
          <w:b/>
          <w:color w:val="548DD4" w:themeColor="text2" w:themeTint="99"/>
          <w:sz w:val="24"/>
          <w:szCs w:val="24"/>
        </w:rPr>
      </w:pPr>
      <w:r>
        <w:rPr>
          <w:rFonts w:cs="Times New Roman"/>
          <w:b/>
          <w:color w:val="548DD4" w:themeColor="text2" w:themeTint="99"/>
          <w:sz w:val="24"/>
          <w:szCs w:val="24"/>
        </w:rPr>
        <w:lastRenderedPageBreak/>
        <w:t>CMC 16</w:t>
      </w:r>
      <w:r w:rsidR="00B82493">
        <w:rPr>
          <w:rFonts w:cs="Times New Roman"/>
          <w:b/>
          <w:color w:val="548DD4" w:themeColor="text2" w:themeTint="99"/>
          <w:sz w:val="24"/>
          <w:szCs w:val="24"/>
        </w:rPr>
        <w:t>-</w:t>
      </w:r>
      <w:r>
        <w:rPr>
          <w:rFonts w:cs="Times New Roman"/>
          <w:b/>
          <w:color w:val="548DD4" w:themeColor="text2" w:themeTint="99"/>
          <w:sz w:val="24"/>
          <w:szCs w:val="24"/>
        </w:rPr>
        <w:t>2</w:t>
      </w:r>
    </w:p>
    <w:p w:rsidR="00E163ED" w:rsidRPr="00E163ED" w:rsidRDefault="00E163ED" w:rsidP="00E163ED">
      <w:pPr>
        <w:pStyle w:val="Titre3"/>
        <w:spacing w:before="0"/>
        <w:rPr>
          <w:rFonts w:ascii="Times New Roman" w:hAnsi="Times New Roman" w:cs="Times New Roman"/>
        </w:rPr>
      </w:pPr>
      <w:bookmarkStart w:id="63" w:name="_Toc480797273"/>
      <w:r w:rsidRPr="00E163ED">
        <w:rPr>
          <w:rFonts w:ascii="Times New Roman" w:hAnsi="Times New Roman" w:cs="Times New Roman"/>
        </w:rPr>
        <w:t>Constipation chez l’enfant</w:t>
      </w:r>
      <w:bookmarkEnd w:id="63"/>
    </w:p>
    <w:tbl>
      <w:tblPr>
        <w:tblW w:w="3858" w:type="pct"/>
        <w:tblCellSpacing w:w="0" w:type="dxa"/>
        <w:tblCellMar>
          <w:left w:w="0" w:type="dxa"/>
          <w:right w:w="0" w:type="dxa"/>
        </w:tblCellMar>
        <w:tblLook w:val="04A0" w:firstRow="1" w:lastRow="0" w:firstColumn="1" w:lastColumn="0" w:noHBand="0" w:noVBand="1"/>
      </w:tblPr>
      <w:tblGrid>
        <w:gridCol w:w="8333"/>
      </w:tblGrid>
      <w:tr w:rsidR="00E163ED" w:rsidRPr="00E163ED" w:rsidTr="00E163ED">
        <w:trPr>
          <w:tblCellSpacing w:w="0" w:type="dxa"/>
        </w:trPr>
        <w:tc>
          <w:tcPr>
            <w:tcW w:w="0" w:type="auto"/>
            <w:vAlign w:val="bottom"/>
            <w:hideMark/>
          </w:tcPr>
          <w:p w:rsidR="00E163ED" w:rsidRPr="00E163ED" w:rsidRDefault="00C10F90" w:rsidP="00E163ED">
            <w:pPr>
              <w:pStyle w:val="Sansinterligne"/>
              <w:spacing w:before="240"/>
              <w:rPr>
                <w:rFonts w:cs="Times New Roman"/>
                <w:b/>
                <w:sz w:val="18"/>
                <w:szCs w:val="18"/>
              </w:rPr>
            </w:pPr>
            <w:r>
              <w:rPr>
                <w:rFonts w:cs="Times New Roman"/>
                <w:b/>
                <w:noProof/>
                <w:sz w:val="18"/>
                <w:szCs w:val="18"/>
                <w:lang w:eastAsia="fr-CA"/>
              </w:rPr>
              <mc:AlternateContent>
                <mc:Choice Requires="wps">
                  <w:drawing>
                    <wp:anchor distT="0" distB="0" distL="114300" distR="114300" simplePos="0" relativeHeight="252012544" behindDoc="0" locked="0" layoutInCell="1" allowOverlap="1" wp14:anchorId="0A3A8EBD" wp14:editId="03829638">
                      <wp:simplePos x="0" y="0"/>
                      <wp:positionH relativeFrom="column">
                        <wp:posOffset>-58420</wp:posOffset>
                      </wp:positionH>
                      <wp:positionV relativeFrom="paragraph">
                        <wp:posOffset>50800</wp:posOffset>
                      </wp:positionV>
                      <wp:extent cx="6896735" cy="2421255"/>
                      <wp:effectExtent l="0" t="0" r="18415" b="17145"/>
                      <wp:wrapNone/>
                      <wp:docPr id="523" name="Rectangle 523"/>
                      <wp:cNvGraphicFramePr/>
                      <a:graphic xmlns:a="http://schemas.openxmlformats.org/drawingml/2006/main">
                        <a:graphicData uri="http://schemas.microsoft.com/office/word/2010/wordprocessingShape">
                          <wps:wsp>
                            <wps:cNvSpPr/>
                            <wps:spPr>
                              <a:xfrm>
                                <a:off x="0" y="0"/>
                                <a:ext cx="6896735" cy="2421255"/>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523" o:spid="_x0000_s1026" style="position:absolute;margin-left:-4.6pt;margin-top:4pt;width:543.05pt;height:190.65pt;z-index:25201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" filled="f" strokecolor="black [1600]" strokeweight="2pt"/>
                  </w:pict>
                </mc:Fallback>
              </mc:AlternateContent>
            </w:r>
            <w:r w:rsidR="00E163ED" w:rsidRPr="00E163ED">
              <w:rPr>
                <w:rFonts w:cs="Times New Roman"/>
                <w:b/>
                <w:sz w:val="18"/>
                <w:szCs w:val="18"/>
              </w:rPr>
              <w:t>Objectifs principaux</w:t>
            </w:r>
          </w:p>
        </w:tc>
      </w:tr>
    </w:tbl>
    <w:p w:rsidR="00E163ED" w:rsidRPr="00E163ED" w:rsidRDefault="00E163ED" w:rsidP="00E163ED">
      <w:pPr>
        <w:pStyle w:val="NormalWeb"/>
        <w:ind w:left="360"/>
        <w:rPr>
          <w:color w:val="000000"/>
          <w:sz w:val="18"/>
          <w:szCs w:val="18"/>
          <w:shd w:val="clear" w:color="auto" w:fill="FFFFFF"/>
        </w:rPr>
      </w:pPr>
      <w:r w:rsidRPr="00E163ED">
        <w:rPr>
          <w:color w:val="000000"/>
          <w:sz w:val="18"/>
          <w:szCs w:val="18"/>
          <w:shd w:val="clear" w:color="auto" w:fill="FFFFFF"/>
        </w:rPr>
        <w:t>Dans le cas d'un enfant atteint de constipation, le candidat devra en diagnostiquer la cause, la gravité et les complications, et mettre en place un plan de prise en charge approprié.</w:t>
      </w:r>
    </w:p>
    <w:tbl>
      <w:tblPr>
        <w:tblW w:w="3897" w:type="pct"/>
        <w:tblCellSpacing w:w="0" w:type="dxa"/>
        <w:tblCellMar>
          <w:left w:w="0" w:type="dxa"/>
          <w:right w:w="0" w:type="dxa"/>
        </w:tblCellMar>
        <w:tblLook w:val="04A0" w:firstRow="1" w:lastRow="0" w:firstColumn="1" w:lastColumn="0" w:noHBand="0" w:noVBand="1"/>
      </w:tblPr>
      <w:tblGrid>
        <w:gridCol w:w="8418"/>
      </w:tblGrid>
      <w:tr w:rsidR="00E163ED" w:rsidRPr="00E163ED" w:rsidTr="00E163ED">
        <w:trPr>
          <w:tblCellSpacing w:w="0" w:type="dxa"/>
        </w:trPr>
        <w:tc>
          <w:tcPr>
            <w:tcW w:w="0" w:type="auto"/>
            <w:vAlign w:val="bottom"/>
            <w:hideMark/>
          </w:tcPr>
          <w:p w:rsidR="00E163ED" w:rsidRPr="00E163ED" w:rsidRDefault="00E163ED" w:rsidP="00E163ED">
            <w:pPr>
              <w:pStyle w:val="Sansinterligne"/>
              <w:rPr>
                <w:rFonts w:cs="Times New Roman"/>
                <w:b/>
                <w:sz w:val="16"/>
                <w:szCs w:val="16"/>
              </w:rPr>
            </w:pPr>
            <w:r w:rsidRPr="00E163ED">
              <w:rPr>
                <w:rFonts w:cs="Times New Roman"/>
                <w:b/>
                <w:sz w:val="16"/>
                <w:szCs w:val="16"/>
              </w:rPr>
              <w:t>Objectifs spécifiques</w:t>
            </w:r>
          </w:p>
        </w:tc>
      </w:tr>
    </w:tbl>
    <w:p w:rsidR="00E163ED" w:rsidRPr="00E163ED" w:rsidRDefault="00E163ED" w:rsidP="00E163ED">
      <w:pPr>
        <w:pStyle w:val="NormalWeb"/>
        <w:shd w:val="clear" w:color="auto" w:fill="FFFFFF"/>
        <w:ind w:left="360"/>
        <w:rPr>
          <w:color w:val="000000"/>
          <w:sz w:val="16"/>
          <w:szCs w:val="16"/>
          <w:shd w:val="clear" w:color="auto" w:fill="FFFFFF"/>
        </w:rPr>
      </w:pPr>
      <w:r w:rsidRPr="00E163ED">
        <w:rPr>
          <w:color w:val="000000"/>
          <w:sz w:val="16"/>
          <w:szCs w:val="16"/>
          <w:shd w:val="clear" w:color="auto" w:fill="FFFFFF"/>
        </w:rPr>
        <w:t>Dans le cas d'un enfant atteint de constipation, le candidat devra</w:t>
      </w:r>
    </w:p>
    <w:p w:rsidR="00E163ED" w:rsidRPr="00E163ED" w:rsidRDefault="00E163ED" w:rsidP="005D429F">
      <w:pPr>
        <w:numPr>
          <w:ilvl w:val="0"/>
          <w:numId w:val="1117"/>
        </w:numPr>
        <w:shd w:val="clear" w:color="auto" w:fill="FFFFFF"/>
        <w:spacing w:before="100" w:beforeAutospacing="1" w:after="100" w:afterAutospacing="1" w:line="240" w:lineRule="auto"/>
        <w:rPr>
          <w:rFonts w:cs="Times New Roman"/>
          <w:color w:val="000000"/>
          <w:sz w:val="16"/>
          <w:szCs w:val="16"/>
          <w:shd w:val="clear" w:color="auto" w:fill="FFFFFF"/>
        </w:rPr>
      </w:pPr>
      <w:r w:rsidRPr="00E163ED">
        <w:rPr>
          <w:rFonts w:cs="Times New Roman"/>
          <w:color w:val="000000"/>
          <w:sz w:val="16"/>
          <w:szCs w:val="16"/>
          <w:shd w:val="clear" w:color="auto" w:fill="FFFFFF"/>
        </w:rPr>
        <w:t>énumérer et interpréter les constatations cliniques cruciales, notamment :</w:t>
      </w:r>
    </w:p>
    <w:p w:rsidR="00E163ED" w:rsidRPr="00E163ED" w:rsidRDefault="00E163ED" w:rsidP="005D429F">
      <w:pPr>
        <w:numPr>
          <w:ilvl w:val="1"/>
          <w:numId w:val="1117"/>
        </w:numPr>
        <w:shd w:val="clear" w:color="auto" w:fill="FFFFFF"/>
        <w:spacing w:before="100" w:beforeAutospacing="1" w:after="100" w:afterAutospacing="1" w:line="240" w:lineRule="auto"/>
        <w:rPr>
          <w:rFonts w:cs="Times New Roman"/>
          <w:color w:val="000000"/>
          <w:sz w:val="16"/>
          <w:szCs w:val="16"/>
          <w:shd w:val="clear" w:color="auto" w:fill="FFFFFF"/>
        </w:rPr>
      </w:pPr>
      <w:r w:rsidRPr="00E163ED">
        <w:rPr>
          <w:rFonts w:cs="Times New Roman"/>
          <w:color w:val="000000"/>
          <w:sz w:val="16"/>
          <w:szCs w:val="16"/>
          <w:shd w:val="clear" w:color="auto" w:fill="FFFFFF"/>
        </w:rPr>
        <w:t>les signes cliniques permettant de distinguer les causes fonctionnelles des causes organiques;</w:t>
      </w:r>
    </w:p>
    <w:p w:rsidR="00E163ED" w:rsidRPr="00E163ED" w:rsidRDefault="00E163ED" w:rsidP="005D429F">
      <w:pPr>
        <w:numPr>
          <w:ilvl w:val="1"/>
          <w:numId w:val="1117"/>
        </w:numPr>
        <w:shd w:val="clear" w:color="auto" w:fill="FFFFFF"/>
        <w:spacing w:before="100" w:beforeAutospacing="1" w:after="100" w:afterAutospacing="1" w:line="240" w:lineRule="auto"/>
        <w:rPr>
          <w:rFonts w:cs="Times New Roman"/>
          <w:color w:val="000000"/>
          <w:sz w:val="16"/>
          <w:szCs w:val="16"/>
          <w:shd w:val="clear" w:color="auto" w:fill="FFFFFF"/>
        </w:rPr>
      </w:pPr>
      <w:r w:rsidRPr="00E163ED">
        <w:rPr>
          <w:rFonts w:cs="Times New Roman"/>
          <w:color w:val="000000"/>
          <w:sz w:val="16"/>
          <w:szCs w:val="16"/>
          <w:shd w:val="clear" w:color="auto" w:fill="FFFFFF"/>
        </w:rPr>
        <w:t>les effets sociaux et psychologiques de la constipation chronique;</w:t>
      </w:r>
    </w:p>
    <w:p w:rsidR="00E163ED" w:rsidRPr="00E163ED" w:rsidRDefault="00E163ED" w:rsidP="005D429F">
      <w:pPr>
        <w:numPr>
          <w:ilvl w:val="0"/>
          <w:numId w:val="1117"/>
        </w:numPr>
        <w:shd w:val="clear" w:color="auto" w:fill="FFFFFF"/>
        <w:spacing w:before="100" w:beforeAutospacing="1" w:after="100" w:afterAutospacing="1" w:line="240" w:lineRule="auto"/>
        <w:rPr>
          <w:rFonts w:cs="Times New Roman"/>
          <w:color w:val="000000"/>
          <w:sz w:val="16"/>
          <w:szCs w:val="16"/>
          <w:shd w:val="clear" w:color="auto" w:fill="FFFFFF"/>
        </w:rPr>
      </w:pPr>
      <w:r w:rsidRPr="00E163ED">
        <w:rPr>
          <w:rFonts w:cs="Times New Roman"/>
          <w:color w:val="000000"/>
          <w:sz w:val="16"/>
          <w:szCs w:val="16"/>
          <w:shd w:val="clear" w:color="auto" w:fill="FFFFFF"/>
        </w:rPr>
        <w:t>énumérer et interpréter les examens essentiels, notamment :</w:t>
      </w:r>
    </w:p>
    <w:p w:rsidR="00E163ED" w:rsidRPr="00E163ED" w:rsidRDefault="00E163ED" w:rsidP="005D429F">
      <w:pPr>
        <w:numPr>
          <w:ilvl w:val="1"/>
          <w:numId w:val="1117"/>
        </w:numPr>
        <w:shd w:val="clear" w:color="auto" w:fill="FFFFFF"/>
        <w:spacing w:before="100" w:beforeAutospacing="1" w:after="100" w:afterAutospacing="1" w:line="240" w:lineRule="auto"/>
        <w:rPr>
          <w:rFonts w:cs="Times New Roman"/>
          <w:color w:val="000000"/>
          <w:sz w:val="16"/>
          <w:szCs w:val="16"/>
          <w:shd w:val="clear" w:color="auto" w:fill="FFFFFF"/>
        </w:rPr>
      </w:pPr>
      <w:r w:rsidRPr="00E163ED">
        <w:rPr>
          <w:rFonts w:cs="Times New Roman"/>
          <w:color w:val="000000"/>
          <w:sz w:val="16"/>
          <w:szCs w:val="16"/>
          <w:shd w:val="clear" w:color="auto" w:fill="FFFFFF"/>
        </w:rPr>
        <w:t>la possibilité qu'aucun examen ne soit nécessaire;</w:t>
      </w:r>
    </w:p>
    <w:p w:rsidR="00E163ED" w:rsidRPr="00E163ED" w:rsidRDefault="00E163ED" w:rsidP="005D429F">
      <w:pPr>
        <w:numPr>
          <w:ilvl w:val="0"/>
          <w:numId w:val="1117"/>
        </w:numPr>
        <w:shd w:val="clear" w:color="auto" w:fill="FFFFFF"/>
        <w:spacing w:before="100" w:beforeAutospacing="1" w:after="100" w:afterAutospacing="1" w:line="240" w:lineRule="auto"/>
        <w:rPr>
          <w:rFonts w:cs="Times New Roman"/>
          <w:color w:val="000000"/>
          <w:sz w:val="16"/>
          <w:szCs w:val="16"/>
          <w:shd w:val="clear" w:color="auto" w:fill="FFFFFF"/>
        </w:rPr>
      </w:pPr>
      <w:r w:rsidRPr="00E163ED">
        <w:rPr>
          <w:rFonts w:cs="Times New Roman"/>
          <w:color w:val="000000"/>
          <w:sz w:val="16"/>
          <w:szCs w:val="16"/>
          <w:shd w:val="clear" w:color="auto" w:fill="FFFFFF"/>
        </w:rPr>
        <w:t>établir un plan efficace de prise en charge initiale, notamment :</w:t>
      </w:r>
    </w:p>
    <w:p w:rsidR="00E163ED" w:rsidRPr="00E163ED" w:rsidRDefault="00E163ED" w:rsidP="005D429F">
      <w:pPr>
        <w:numPr>
          <w:ilvl w:val="1"/>
          <w:numId w:val="1117"/>
        </w:numPr>
        <w:shd w:val="clear" w:color="auto" w:fill="FFFFFF"/>
        <w:spacing w:before="100" w:beforeAutospacing="1" w:after="100" w:afterAutospacing="1" w:line="240" w:lineRule="auto"/>
        <w:rPr>
          <w:rFonts w:cs="Times New Roman"/>
          <w:color w:val="000000"/>
          <w:sz w:val="16"/>
          <w:szCs w:val="16"/>
          <w:shd w:val="clear" w:color="auto" w:fill="FFFFFF"/>
        </w:rPr>
      </w:pPr>
      <w:r w:rsidRPr="00E163ED">
        <w:rPr>
          <w:rFonts w:cs="Times New Roman"/>
          <w:color w:val="000000"/>
          <w:sz w:val="16"/>
          <w:szCs w:val="16"/>
          <w:shd w:val="clear" w:color="auto" w:fill="FFFFFF"/>
        </w:rPr>
        <w:t>un programme thérapeutique initial et à long terme comprenant l'utilisation de laxatifs, la diète et l'éducation;</w:t>
      </w:r>
    </w:p>
    <w:p w:rsidR="00E163ED" w:rsidRPr="00E163ED" w:rsidRDefault="00E163ED" w:rsidP="005D429F">
      <w:pPr>
        <w:numPr>
          <w:ilvl w:val="1"/>
          <w:numId w:val="1117"/>
        </w:numPr>
        <w:shd w:val="clear" w:color="auto" w:fill="FFFFFF"/>
        <w:spacing w:before="100" w:beforeAutospacing="1" w:after="0" w:line="240" w:lineRule="auto"/>
        <w:rPr>
          <w:rFonts w:cs="Times New Roman"/>
          <w:color w:val="000000"/>
          <w:sz w:val="16"/>
          <w:szCs w:val="16"/>
          <w:shd w:val="clear" w:color="auto" w:fill="FFFFFF"/>
        </w:rPr>
      </w:pPr>
      <w:r w:rsidRPr="00E163ED">
        <w:rPr>
          <w:rFonts w:cs="Times New Roman"/>
          <w:color w:val="000000"/>
          <w:sz w:val="16"/>
          <w:szCs w:val="16"/>
          <w:shd w:val="clear" w:color="auto" w:fill="FFFFFF"/>
        </w:rPr>
        <w:t>l'adoption d'une approche pluridisciplinaire, au besoin.</w:t>
      </w:r>
    </w:p>
    <w:p w:rsidR="002F0183" w:rsidRPr="002F0183" w:rsidRDefault="002F0183" w:rsidP="00104E7B">
      <w:pPr>
        <w:pStyle w:val="Sansinterligne"/>
        <w:rPr>
          <w:b/>
          <w:sz w:val="16"/>
          <w:szCs w:val="16"/>
        </w:rPr>
      </w:pPr>
    </w:p>
    <w:p w:rsidR="00104E7B" w:rsidRPr="00BC4B8F" w:rsidRDefault="00104E7B" w:rsidP="00104E7B">
      <w:pPr>
        <w:pStyle w:val="Sansinterligne"/>
        <w:rPr>
          <w:b/>
          <w:sz w:val="28"/>
          <w:szCs w:val="28"/>
        </w:rPr>
      </w:pPr>
      <w:r w:rsidRPr="00BC4B8F">
        <w:rPr>
          <w:b/>
          <w:sz w:val="28"/>
          <w:szCs w:val="28"/>
        </w:rPr>
        <w:t>Définition</w:t>
      </w:r>
    </w:p>
    <w:p w:rsidR="002F0183" w:rsidRPr="002F0183" w:rsidRDefault="002F0183" w:rsidP="00104E7B">
      <w:pPr>
        <w:pStyle w:val="Sansinterligne"/>
        <w:rPr>
          <w:sz w:val="16"/>
          <w:szCs w:val="16"/>
        </w:rPr>
      </w:pPr>
    </w:p>
    <w:p w:rsidR="00104E7B" w:rsidRDefault="002F0183" w:rsidP="00104E7B">
      <w:pPr>
        <w:pStyle w:val="Sansinterligne"/>
      </w:pPr>
      <w:r>
        <w:t xml:space="preserve">Diminution de la fréquence des selles (moins de 3/semaine) et/ou </w:t>
      </w:r>
      <w:r>
        <w:rPr>
          <w:rFonts w:cs="Times New Roman"/>
        </w:rPr>
        <w:t>∆</w:t>
      </w:r>
      <w:r>
        <w:t xml:space="preserve"> de la consistance des selles (dures, en boules)</w:t>
      </w:r>
    </w:p>
    <w:p w:rsidR="002F0183" w:rsidRPr="002F0183" w:rsidRDefault="002F0183" w:rsidP="00104E7B">
      <w:pPr>
        <w:pStyle w:val="Sansinterligne"/>
        <w:rPr>
          <w:sz w:val="16"/>
          <w:szCs w:val="16"/>
        </w:rPr>
      </w:pPr>
    </w:p>
    <w:p w:rsidR="00104E7B" w:rsidRPr="00BC4B8F" w:rsidRDefault="00104E7B" w:rsidP="00104E7B">
      <w:pPr>
        <w:pStyle w:val="Sansinterligne"/>
        <w:rPr>
          <w:b/>
          <w:sz w:val="28"/>
          <w:szCs w:val="28"/>
        </w:rPr>
      </w:pPr>
      <w:r w:rsidRPr="00BC4B8F">
        <w:rPr>
          <w:b/>
          <w:sz w:val="28"/>
          <w:szCs w:val="28"/>
        </w:rPr>
        <w:t>Diagnostics</w:t>
      </w:r>
      <w:r w:rsidR="0040662E">
        <w:rPr>
          <w:b/>
          <w:sz w:val="28"/>
          <w:szCs w:val="28"/>
        </w:rPr>
        <w:t xml:space="preserve"> (liste non-exhaustive)</w:t>
      </w:r>
    </w:p>
    <w:p w:rsidR="00104E7B" w:rsidRPr="00350A9A" w:rsidRDefault="00104E7B" w:rsidP="00104E7B">
      <w:pPr>
        <w:pStyle w:val="Sansinterligne"/>
        <w:rPr>
          <w:sz w:val="16"/>
          <w:szCs w:val="16"/>
        </w:rPr>
      </w:pPr>
    </w:p>
    <w:tbl>
      <w:tblPr>
        <w:tblStyle w:val="Grilledutableau"/>
        <w:tblW w:w="0" w:type="auto"/>
        <w:tblLook w:val="04A0" w:firstRow="1" w:lastRow="0" w:firstColumn="1" w:lastColumn="0" w:noHBand="0" w:noVBand="1"/>
      </w:tblPr>
      <w:tblGrid>
        <w:gridCol w:w="2518"/>
        <w:gridCol w:w="2807"/>
        <w:gridCol w:w="1404"/>
        <w:gridCol w:w="1403"/>
        <w:gridCol w:w="2808"/>
      </w:tblGrid>
      <w:tr w:rsidR="00104E7B" w:rsidTr="00104E7B">
        <w:tc>
          <w:tcPr>
            <w:tcW w:w="10940" w:type="dxa"/>
            <w:gridSpan w:val="5"/>
            <w:shd w:val="clear" w:color="auto" w:fill="FFC000"/>
          </w:tcPr>
          <w:p w:rsidR="00104E7B" w:rsidRDefault="00104E7B" w:rsidP="00104E7B">
            <w:pPr>
              <w:pStyle w:val="Sansinterligne"/>
              <w:jc w:val="center"/>
            </w:pPr>
            <w:r>
              <w:t>Constipation chez l’enfant</w:t>
            </w:r>
          </w:p>
        </w:tc>
      </w:tr>
      <w:tr w:rsidR="00104E7B" w:rsidTr="00F844BA">
        <w:tc>
          <w:tcPr>
            <w:tcW w:w="2518" w:type="dxa"/>
            <w:shd w:val="clear" w:color="auto" w:fill="C2D69B" w:themeFill="accent3" w:themeFillTint="99"/>
          </w:tcPr>
          <w:p w:rsidR="00104E7B" w:rsidRPr="00F844BA" w:rsidRDefault="00104E7B" w:rsidP="00104E7B">
            <w:pPr>
              <w:pStyle w:val="Sansinterligne"/>
              <w:jc w:val="center"/>
              <w:rPr>
                <w:i/>
              </w:rPr>
            </w:pPr>
            <w:r w:rsidRPr="00F844BA">
              <w:rPr>
                <w:i/>
              </w:rPr>
              <w:t>Diagnostic</w:t>
            </w:r>
          </w:p>
        </w:tc>
        <w:tc>
          <w:tcPr>
            <w:tcW w:w="8422" w:type="dxa"/>
            <w:gridSpan w:val="4"/>
            <w:shd w:val="clear" w:color="auto" w:fill="C2D69B" w:themeFill="accent3" w:themeFillTint="99"/>
          </w:tcPr>
          <w:p w:rsidR="00104E7B" w:rsidRPr="00F844BA" w:rsidRDefault="00104E7B" w:rsidP="00104E7B">
            <w:pPr>
              <w:pStyle w:val="Sansinterligne"/>
              <w:jc w:val="center"/>
              <w:rPr>
                <w:i/>
              </w:rPr>
            </w:pPr>
            <w:r w:rsidRPr="00F844BA">
              <w:rPr>
                <w:i/>
              </w:rPr>
              <w:t>Caractéristiques cliniques et éléments d’anamnèse</w:t>
            </w:r>
          </w:p>
        </w:tc>
      </w:tr>
      <w:tr w:rsidR="00104E7B" w:rsidTr="00BB6DC1">
        <w:tc>
          <w:tcPr>
            <w:tcW w:w="2518" w:type="dxa"/>
            <w:shd w:val="clear" w:color="auto" w:fill="C2D69B" w:themeFill="accent3" w:themeFillTint="99"/>
            <w:vAlign w:val="center"/>
          </w:tcPr>
          <w:p w:rsidR="00104E7B" w:rsidRPr="00AF3B81" w:rsidRDefault="00104E7B" w:rsidP="00F844BA">
            <w:pPr>
              <w:pStyle w:val="Sansinterligne"/>
              <w:jc w:val="center"/>
              <w:rPr>
                <w:b/>
              </w:rPr>
            </w:pPr>
            <w:r w:rsidRPr="00AF3B81">
              <w:rPr>
                <w:b/>
              </w:rPr>
              <w:t>Constipation fonctionnelle</w:t>
            </w:r>
          </w:p>
          <w:p w:rsidR="00507CEC" w:rsidRPr="00AF3B81" w:rsidRDefault="00507CEC" w:rsidP="00F844BA">
            <w:pPr>
              <w:pStyle w:val="Sansinterligne"/>
              <w:jc w:val="center"/>
              <w:rPr>
                <w:b/>
              </w:rPr>
            </w:pPr>
            <w:r w:rsidRPr="00AF3B81">
              <w:rPr>
                <w:b/>
              </w:rPr>
              <w:t>(99% des cas de constipation)</w:t>
            </w:r>
          </w:p>
        </w:tc>
        <w:tc>
          <w:tcPr>
            <w:tcW w:w="8422" w:type="dxa"/>
            <w:gridSpan w:val="4"/>
            <w:shd w:val="clear" w:color="auto" w:fill="FFFF00"/>
          </w:tcPr>
          <w:p w:rsidR="00104E7B" w:rsidRDefault="00341CB8" w:rsidP="00104E7B">
            <w:pPr>
              <w:pStyle w:val="Sansinterligne"/>
            </w:pPr>
            <w:r>
              <w:rPr>
                <w:rFonts w:ascii="Century Gothic" w:hAnsi="Century Gothic"/>
              </w:rPr>
              <w:t>≥</w:t>
            </w:r>
            <w:r>
              <w:t>2 </w:t>
            </w:r>
            <w:r w:rsidR="00604207">
              <w:t xml:space="preserve">critères </w:t>
            </w:r>
            <w:r>
              <w:t>de</w:t>
            </w:r>
            <w:r w:rsidR="00604207">
              <w:t xml:space="preserve"> Rome III</w:t>
            </w:r>
            <w:r>
              <w:t> </w:t>
            </w:r>
            <w:r w:rsidR="00966068">
              <w:t xml:space="preserve"> x 1 mois</w:t>
            </w:r>
            <w:r>
              <w:t>:</w:t>
            </w:r>
          </w:p>
          <w:p w:rsidR="00341CB8" w:rsidRDefault="00341CB8" w:rsidP="005D429F">
            <w:pPr>
              <w:pStyle w:val="Sansinterligne"/>
              <w:numPr>
                <w:ilvl w:val="0"/>
                <w:numId w:val="1118"/>
              </w:numPr>
            </w:pPr>
            <w:r>
              <w:rPr>
                <w:rFonts w:ascii="Century Gothic" w:hAnsi="Century Gothic"/>
              </w:rPr>
              <w:t>≤</w:t>
            </w:r>
            <w:r w:rsidR="00F55165">
              <w:t>2 selles/semaine</w:t>
            </w:r>
          </w:p>
          <w:p w:rsidR="00F55165" w:rsidRDefault="00F55165" w:rsidP="005D429F">
            <w:pPr>
              <w:pStyle w:val="Sansinterligne"/>
              <w:numPr>
                <w:ilvl w:val="0"/>
                <w:numId w:val="1118"/>
              </w:numPr>
            </w:pPr>
            <w:r>
              <w:rPr>
                <w:rFonts w:ascii="Century Gothic" w:hAnsi="Century Gothic"/>
              </w:rPr>
              <w:t>≥</w:t>
            </w:r>
            <w:r>
              <w:t xml:space="preserve"> 1 incontinence fécale / semaine</w:t>
            </w:r>
          </w:p>
          <w:p w:rsidR="00F55165" w:rsidRDefault="00F55165" w:rsidP="005D429F">
            <w:pPr>
              <w:pStyle w:val="Sansinterligne"/>
              <w:numPr>
                <w:ilvl w:val="0"/>
                <w:numId w:val="1118"/>
              </w:numPr>
            </w:pPr>
            <w:r>
              <w:t xml:space="preserve">Hx </w:t>
            </w:r>
            <w:r w:rsidR="00604207">
              <w:t>de rétention positionnelle ou volontaire excessive</w:t>
            </w:r>
          </w:p>
          <w:p w:rsidR="00604207" w:rsidRDefault="00604207" w:rsidP="005D429F">
            <w:pPr>
              <w:pStyle w:val="Sansinterligne"/>
              <w:numPr>
                <w:ilvl w:val="0"/>
                <w:numId w:val="1118"/>
              </w:numPr>
            </w:pPr>
            <w:r>
              <w:t xml:space="preserve">Hx de </w:t>
            </w:r>
            <w:r w:rsidR="00966068">
              <w:t xml:space="preserve">défécation </w:t>
            </w:r>
            <w:r>
              <w:t>douloureu</w:t>
            </w:r>
            <w:r w:rsidR="00966068">
              <w:t>se</w:t>
            </w:r>
            <w:r>
              <w:t xml:space="preserve"> ou difficile</w:t>
            </w:r>
          </w:p>
          <w:p w:rsidR="00604207" w:rsidRDefault="00604207" w:rsidP="005D429F">
            <w:pPr>
              <w:pStyle w:val="Sansinterligne"/>
              <w:numPr>
                <w:ilvl w:val="0"/>
                <w:numId w:val="1118"/>
              </w:numPr>
            </w:pPr>
            <w:r>
              <w:t>Masse fécale massive dans le rectum</w:t>
            </w:r>
          </w:p>
          <w:p w:rsidR="00604207" w:rsidRDefault="00604207" w:rsidP="005D429F">
            <w:pPr>
              <w:pStyle w:val="Sansinterligne"/>
              <w:numPr>
                <w:ilvl w:val="0"/>
                <w:numId w:val="1118"/>
              </w:numPr>
            </w:pPr>
            <w:r>
              <w:t>Hx de selles de gros diamètres qui bloquent la toilette</w:t>
            </w:r>
          </w:p>
        </w:tc>
      </w:tr>
      <w:tr w:rsidR="009D23E2" w:rsidTr="00AF3B81">
        <w:tc>
          <w:tcPr>
            <w:tcW w:w="2518" w:type="dxa"/>
            <w:shd w:val="clear" w:color="auto" w:fill="C2D69B" w:themeFill="accent3" w:themeFillTint="99"/>
            <w:vAlign w:val="center"/>
          </w:tcPr>
          <w:p w:rsidR="009D23E2" w:rsidRPr="00AF3B81" w:rsidRDefault="009D23E2" w:rsidP="00F844BA">
            <w:pPr>
              <w:pStyle w:val="Sansinterligne"/>
              <w:jc w:val="center"/>
              <w:rPr>
                <w:b/>
              </w:rPr>
            </w:pPr>
            <w:r w:rsidRPr="00AF3B81">
              <w:rPr>
                <w:b/>
              </w:rPr>
              <w:t>Maladie de Hirschprung</w:t>
            </w:r>
          </w:p>
        </w:tc>
        <w:tc>
          <w:tcPr>
            <w:tcW w:w="4211" w:type="dxa"/>
            <w:gridSpan w:val="2"/>
            <w:tcBorders>
              <w:right w:val="single" w:sz="4" w:space="0" w:color="FFFF00"/>
            </w:tcBorders>
            <w:shd w:val="clear" w:color="auto" w:fill="FFFF00"/>
          </w:tcPr>
          <w:p w:rsidR="009D23E2" w:rsidRDefault="009D23E2" w:rsidP="005D429F">
            <w:pPr>
              <w:pStyle w:val="Sansinterligne"/>
              <w:numPr>
                <w:ilvl w:val="0"/>
                <w:numId w:val="1119"/>
              </w:numPr>
            </w:pPr>
            <w:r>
              <w:t>Absence de méconium dans les 48h de la naissance</w:t>
            </w:r>
            <w:r w:rsidR="002175E8">
              <w:t xml:space="preserve"> (nouveau-né)</w:t>
            </w:r>
          </w:p>
          <w:p w:rsidR="009D23E2" w:rsidRDefault="009D23E2" w:rsidP="005D429F">
            <w:pPr>
              <w:pStyle w:val="Sansinterligne"/>
              <w:numPr>
                <w:ilvl w:val="0"/>
                <w:numId w:val="1119"/>
              </w:numPr>
            </w:pPr>
            <w:r>
              <w:t>Distension abdominale</w:t>
            </w:r>
          </w:p>
          <w:p w:rsidR="009D23E2" w:rsidRDefault="009D23E2" w:rsidP="005D429F">
            <w:pPr>
              <w:pStyle w:val="Sansinterligne"/>
              <w:numPr>
                <w:ilvl w:val="0"/>
                <w:numId w:val="1119"/>
              </w:numPr>
            </w:pPr>
            <w:r>
              <w:t>Constipation</w:t>
            </w:r>
          </w:p>
        </w:tc>
        <w:tc>
          <w:tcPr>
            <w:tcW w:w="4211" w:type="dxa"/>
            <w:gridSpan w:val="2"/>
            <w:tcBorders>
              <w:left w:val="single" w:sz="4" w:space="0" w:color="FFFF00"/>
            </w:tcBorders>
            <w:shd w:val="clear" w:color="auto" w:fill="FFFF00"/>
          </w:tcPr>
          <w:p w:rsidR="009D23E2" w:rsidRDefault="009D23E2" w:rsidP="005D429F">
            <w:pPr>
              <w:pStyle w:val="Sansinterligne"/>
              <w:numPr>
                <w:ilvl w:val="0"/>
                <w:numId w:val="1119"/>
              </w:numPr>
            </w:pPr>
            <w:r>
              <w:t>Vomissements bilieux</w:t>
            </w:r>
          </w:p>
          <w:p w:rsidR="009D23E2" w:rsidRDefault="009D23E2" w:rsidP="005D429F">
            <w:pPr>
              <w:pStyle w:val="Sansinterligne"/>
              <w:numPr>
                <w:ilvl w:val="0"/>
                <w:numId w:val="1119"/>
              </w:numPr>
            </w:pPr>
            <w:r>
              <w:t>Enté</w:t>
            </w:r>
            <w:r w:rsidR="0012016D">
              <w:t>r</w:t>
            </w:r>
            <w:r>
              <w:t>o</w:t>
            </w:r>
            <w:r w:rsidR="0012016D">
              <w:t>c</w:t>
            </w:r>
            <w:r>
              <w:t>olite</w:t>
            </w:r>
          </w:p>
          <w:p w:rsidR="009D23E2" w:rsidRDefault="009D23E2" w:rsidP="005D429F">
            <w:pPr>
              <w:pStyle w:val="Sansinterligne"/>
              <w:numPr>
                <w:ilvl w:val="0"/>
                <w:numId w:val="1119"/>
              </w:numPr>
            </w:pPr>
            <w:r>
              <w:t>Retard staturo-pondéral</w:t>
            </w:r>
          </w:p>
          <w:p w:rsidR="00AF3B81" w:rsidRPr="00AF3B81" w:rsidRDefault="00AF3B81" w:rsidP="005D429F">
            <w:pPr>
              <w:pStyle w:val="Sansinterligne"/>
              <w:numPr>
                <w:ilvl w:val="0"/>
                <w:numId w:val="1119"/>
              </w:numPr>
              <w:rPr>
                <w:u w:val="single"/>
              </w:rPr>
            </w:pPr>
            <w:r w:rsidRPr="00AF3B81">
              <w:rPr>
                <w:u w:val="single"/>
              </w:rPr>
              <w:t>Selles explosives au toucher rectal</w:t>
            </w:r>
          </w:p>
        </w:tc>
      </w:tr>
      <w:tr w:rsidR="004115D4" w:rsidTr="00483212">
        <w:tc>
          <w:tcPr>
            <w:tcW w:w="2518" w:type="dxa"/>
            <w:shd w:val="clear" w:color="auto" w:fill="C2D69B" w:themeFill="accent3" w:themeFillTint="99"/>
            <w:vAlign w:val="center"/>
          </w:tcPr>
          <w:p w:rsidR="004115D4" w:rsidRPr="00011914" w:rsidRDefault="004115D4" w:rsidP="00F844BA">
            <w:pPr>
              <w:pStyle w:val="Sansinterligne"/>
              <w:jc w:val="center"/>
              <w:rPr>
                <w:b/>
              </w:rPr>
            </w:pPr>
            <w:r w:rsidRPr="00011914">
              <w:rPr>
                <w:b/>
              </w:rPr>
              <w:t xml:space="preserve">Syndrome d’occlusion intestinale distale </w:t>
            </w:r>
          </w:p>
          <w:p w:rsidR="004115D4" w:rsidRPr="00011914" w:rsidRDefault="00011914" w:rsidP="00F844BA">
            <w:pPr>
              <w:pStyle w:val="Sansinterligne"/>
              <w:jc w:val="center"/>
            </w:pPr>
            <w:r>
              <w:t>o</w:t>
            </w:r>
            <w:r w:rsidR="004115D4" w:rsidRPr="00011914">
              <w:t>u</w:t>
            </w:r>
          </w:p>
          <w:p w:rsidR="004115D4" w:rsidRDefault="004115D4" w:rsidP="00F844BA">
            <w:pPr>
              <w:pStyle w:val="Sansinterligne"/>
              <w:jc w:val="center"/>
            </w:pPr>
            <w:r w:rsidRPr="00011914">
              <w:t>Équivalent méconial</w:t>
            </w:r>
          </w:p>
        </w:tc>
        <w:tc>
          <w:tcPr>
            <w:tcW w:w="4211" w:type="dxa"/>
            <w:gridSpan w:val="2"/>
            <w:tcBorders>
              <w:right w:val="single" w:sz="4" w:space="0" w:color="FFFF00"/>
            </w:tcBorders>
            <w:shd w:val="clear" w:color="auto" w:fill="FFFF00"/>
          </w:tcPr>
          <w:p w:rsidR="004115D4" w:rsidRPr="00011914" w:rsidRDefault="004115D4" w:rsidP="005D429F">
            <w:pPr>
              <w:pStyle w:val="Sansinterligne"/>
              <w:numPr>
                <w:ilvl w:val="0"/>
                <w:numId w:val="1123"/>
              </w:numPr>
              <w:rPr>
                <w:u w:val="single"/>
              </w:rPr>
            </w:pPr>
            <w:r w:rsidRPr="00011914">
              <w:rPr>
                <w:u w:val="single"/>
              </w:rPr>
              <w:t>Crampes abdominales QID</w:t>
            </w:r>
          </w:p>
          <w:p w:rsidR="004115D4" w:rsidRDefault="004115D4" w:rsidP="005D429F">
            <w:pPr>
              <w:pStyle w:val="Sansinterligne"/>
              <w:numPr>
                <w:ilvl w:val="0"/>
                <w:numId w:val="1123"/>
              </w:numPr>
            </w:pPr>
            <w:r>
              <w:t>Aigu ou intermittente et progressives</w:t>
            </w:r>
          </w:p>
          <w:p w:rsidR="004115D4" w:rsidRPr="00011914" w:rsidRDefault="004115D4" w:rsidP="005D429F">
            <w:pPr>
              <w:pStyle w:val="Sansinterligne"/>
              <w:numPr>
                <w:ilvl w:val="0"/>
                <w:numId w:val="1123"/>
              </w:numPr>
              <w:rPr>
                <w:u w:val="single"/>
              </w:rPr>
            </w:pPr>
            <w:r w:rsidRPr="00011914">
              <w:rPr>
                <w:u w:val="single"/>
              </w:rPr>
              <w:t xml:space="preserve">Masse au QID </w:t>
            </w:r>
          </w:p>
          <w:p w:rsidR="004115D4" w:rsidRDefault="004115D4" w:rsidP="005D429F">
            <w:pPr>
              <w:pStyle w:val="Sansinterligne"/>
              <w:numPr>
                <w:ilvl w:val="0"/>
                <w:numId w:val="1123"/>
              </w:numPr>
            </w:pPr>
            <w:r>
              <w:t>Ballonnement</w:t>
            </w:r>
          </w:p>
        </w:tc>
        <w:tc>
          <w:tcPr>
            <w:tcW w:w="4211" w:type="dxa"/>
            <w:gridSpan w:val="2"/>
            <w:tcBorders>
              <w:left w:val="single" w:sz="4" w:space="0" w:color="FFFF00"/>
            </w:tcBorders>
            <w:shd w:val="clear" w:color="auto" w:fill="FFFF00"/>
          </w:tcPr>
          <w:p w:rsidR="004115D4" w:rsidRPr="00011914" w:rsidRDefault="004115D4" w:rsidP="005D429F">
            <w:pPr>
              <w:pStyle w:val="Sansinterligne"/>
              <w:numPr>
                <w:ilvl w:val="0"/>
                <w:numId w:val="1123"/>
              </w:numPr>
              <w:rPr>
                <w:u w:val="single"/>
              </w:rPr>
            </w:pPr>
            <w:r w:rsidRPr="00011914">
              <w:rPr>
                <w:u w:val="single"/>
              </w:rPr>
              <w:t xml:space="preserve">Patients FKP </w:t>
            </w:r>
          </w:p>
          <w:p w:rsidR="004115D4" w:rsidRPr="00011914" w:rsidRDefault="004115D4" w:rsidP="005D429F">
            <w:pPr>
              <w:pStyle w:val="Sansinterligne"/>
              <w:numPr>
                <w:ilvl w:val="0"/>
                <w:numId w:val="1123"/>
              </w:numPr>
              <w:rPr>
                <w:u w:val="single"/>
              </w:rPr>
            </w:pPr>
            <w:r w:rsidRPr="00011914">
              <w:rPr>
                <w:u w:val="single"/>
              </w:rPr>
              <w:t xml:space="preserve">Hx </w:t>
            </w:r>
            <w:r w:rsidRPr="00011914">
              <w:rPr>
                <w:rFonts w:cs="Times New Roman"/>
                <w:u w:val="single"/>
              </w:rPr>
              <w:t>Ø méconium à la naissance</w:t>
            </w:r>
          </w:p>
          <w:p w:rsidR="004115D4" w:rsidRDefault="004115D4" w:rsidP="005D429F">
            <w:pPr>
              <w:pStyle w:val="Sansinterligne"/>
              <w:numPr>
                <w:ilvl w:val="0"/>
                <w:numId w:val="1123"/>
              </w:numPr>
            </w:pPr>
            <w:r>
              <w:t>Flatulences</w:t>
            </w:r>
          </w:p>
          <w:p w:rsidR="004115D4" w:rsidRDefault="004115D4" w:rsidP="005D429F">
            <w:pPr>
              <w:pStyle w:val="Sansinterligne"/>
              <w:numPr>
                <w:ilvl w:val="0"/>
                <w:numId w:val="1123"/>
              </w:numPr>
            </w:pPr>
            <w:r>
              <w:t>Faible appétit</w:t>
            </w:r>
          </w:p>
        </w:tc>
      </w:tr>
      <w:tr w:rsidR="00A803BF" w:rsidTr="00F844BA">
        <w:tc>
          <w:tcPr>
            <w:tcW w:w="2518" w:type="dxa"/>
            <w:shd w:val="clear" w:color="auto" w:fill="C2D69B" w:themeFill="accent3" w:themeFillTint="99"/>
            <w:vAlign w:val="center"/>
          </w:tcPr>
          <w:p w:rsidR="00A803BF" w:rsidRDefault="00A803BF" w:rsidP="00F844BA">
            <w:pPr>
              <w:pStyle w:val="Sansinterligne"/>
              <w:jc w:val="center"/>
            </w:pPr>
            <w:r>
              <w:t>Occlusion intestinale</w:t>
            </w:r>
          </w:p>
        </w:tc>
        <w:tc>
          <w:tcPr>
            <w:tcW w:w="8422" w:type="dxa"/>
            <w:gridSpan w:val="4"/>
          </w:tcPr>
          <w:p w:rsidR="00A803BF" w:rsidRDefault="00A803BF" w:rsidP="00104E7B">
            <w:pPr>
              <w:pStyle w:val="Sansinterligne"/>
            </w:pPr>
            <w:r>
              <w:t xml:space="preserve">Voir </w:t>
            </w:r>
            <w:r w:rsidRPr="00973BDB">
              <w:rPr>
                <w:i/>
              </w:rPr>
              <w:t>Douleur abdominale chez l’enfant CMC 3-1</w:t>
            </w:r>
          </w:p>
        </w:tc>
      </w:tr>
      <w:tr w:rsidR="00995C0A" w:rsidTr="00995C0A">
        <w:tc>
          <w:tcPr>
            <w:tcW w:w="2518" w:type="dxa"/>
            <w:shd w:val="clear" w:color="auto" w:fill="C2D69B" w:themeFill="accent3" w:themeFillTint="99"/>
            <w:vAlign w:val="center"/>
          </w:tcPr>
          <w:p w:rsidR="00995C0A" w:rsidRDefault="00995C0A" w:rsidP="00F844BA">
            <w:pPr>
              <w:pStyle w:val="Sansinterligne"/>
              <w:jc w:val="center"/>
            </w:pPr>
            <w:r>
              <w:t>Fissure anale</w:t>
            </w:r>
          </w:p>
        </w:tc>
        <w:tc>
          <w:tcPr>
            <w:tcW w:w="4211" w:type="dxa"/>
            <w:gridSpan w:val="2"/>
            <w:tcBorders>
              <w:right w:val="single" w:sz="4" w:space="0" w:color="FFFFFF" w:themeColor="background1"/>
            </w:tcBorders>
          </w:tcPr>
          <w:p w:rsidR="00995C0A" w:rsidRDefault="00995C0A" w:rsidP="005D429F">
            <w:pPr>
              <w:pStyle w:val="Sansinterligne"/>
              <w:numPr>
                <w:ilvl w:val="0"/>
                <w:numId w:val="1124"/>
              </w:numPr>
            </w:pPr>
            <w:r>
              <w:t>Saignement rouge clair sur le papier</w:t>
            </w:r>
          </w:p>
          <w:p w:rsidR="00995C0A" w:rsidRDefault="00995C0A" w:rsidP="005D429F">
            <w:pPr>
              <w:pStyle w:val="Sansinterligne"/>
              <w:numPr>
                <w:ilvl w:val="0"/>
                <w:numId w:val="1124"/>
              </w:numPr>
            </w:pPr>
            <w:r>
              <w:t>Douleur à la défécation ou juste après</w:t>
            </w:r>
          </w:p>
        </w:tc>
        <w:tc>
          <w:tcPr>
            <w:tcW w:w="4211" w:type="dxa"/>
            <w:gridSpan w:val="2"/>
            <w:tcBorders>
              <w:left w:val="single" w:sz="4" w:space="0" w:color="FFFFFF" w:themeColor="background1"/>
            </w:tcBorders>
          </w:tcPr>
          <w:p w:rsidR="00995C0A" w:rsidRDefault="00995C0A" w:rsidP="005D429F">
            <w:pPr>
              <w:pStyle w:val="Sansinterligne"/>
              <w:numPr>
                <w:ilvl w:val="0"/>
                <w:numId w:val="1124"/>
              </w:numPr>
            </w:pPr>
            <w:r>
              <w:t>Fissure visible (généralement postérieure)</w:t>
            </w:r>
          </w:p>
        </w:tc>
      </w:tr>
      <w:tr w:rsidR="00350A9A" w:rsidTr="00350A9A">
        <w:tc>
          <w:tcPr>
            <w:tcW w:w="2518" w:type="dxa"/>
            <w:shd w:val="clear" w:color="auto" w:fill="C2D69B" w:themeFill="accent3" w:themeFillTint="99"/>
            <w:vAlign w:val="center"/>
          </w:tcPr>
          <w:p w:rsidR="00350A9A" w:rsidRDefault="00350A9A" w:rsidP="00F844BA">
            <w:pPr>
              <w:pStyle w:val="Sansinterligne"/>
              <w:jc w:val="center"/>
            </w:pPr>
            <w:r>
              <w:t>Anus imperforé</w:t>
            </w:r>
          </w:p>
        </w:tc>
        <w:tc>
          <w:tcPr>
            <w:tcW w:w="4211" w:type="dxa"/>
            <w:gridSpan w:val="2"/>
            <w:tcBorders>
              <w:right w:val="single" w:sz="4" w:space="0" w:color="FFFFFF" w:themeColor="background1"/>
            </w:tcBorders>
          </w:tcPr>
          <w:p w:rsidR="00350A9A" w:rsidRDefault="00350A9A" w:rsidP="005D429F">
            <w:pPr>
              <w:pStyle w:val="Sansinterligne"/>
              <w:numPr>
                <w:ilvl w:val="0"/>
                <w:numId w:val="1125"/>
              </w:numPr>
            </w:pPr>
            <w:r>
              <w:t>Absence de méconium</w:t>
            </w:r>
          </w:p>
        </w:tc>
        <w:tc>
          <w:tcPr>
            <w:tcW w:w="4211" w:type="dxa"/>
            <w:gridSpan w:val="2"/>
            <w:tcBorders>
              <w:left w:val="single" w:sz="4" w:space="0" w:color="FFFFFF" w:themeColor="background1"/>
            </w:tcBorders>
          </w:tcPr>
          <w:p w:rsidR="00350A9A" w:rsidRDefault="00350A9A" w:rsidP="005D429F">
            <w:pPr>
              <w:pStyle w:val="Sansinterligne"/>
              <w:numPr>
                <w:ilvl w:val="0"/>
                <w:numId w:val="1125"/>
              </w:numPr>
            </w:pPr>
            <w:r>
              <w:t>Aucun anus visible à la naissance</w:t>
            </w:r>
          </w:p>
        </w:tc>
      </w:tr>
      <w:tr w:rsidR="00570725" w:rsidTr="00570725">
        <w:tc>
          <w:tcPr>
            <w:tcW w:w="2518" w:type="dxa"/>
            <w:shd w:val="clear" w:color="auto" w:fill="C2D69B" w:themeFill="accent3" w:themeFillTint="99"/>
            <w:vAlign w:val="center"/>
          </w:tcPr>
          <w:p w:rsidR="00570725" w:rsidRDefault="00570725" w:rsidP="00F844BA">
            <w:pPr>
              <w:pStyle w:val="Sansinterligne"/>
              <w:jc w:val="center"/>
            </w:pPr>
            <w:r>
              <w:t>Spina bifida</w:t>
            </w:r>
          </w:p>
        </w:tc>
        <w:tc>
          <w:tcPr>
            <w:tcW w:w="4211" w:type="dxa"/>
            <w:gridSpan w:val="2"/>
            <w:tcBorders>
              <w:right w:val="single" w:sz="4" w:space="0" w:color="FFFFFF" w:themeColor="background1"/>
            </w:tcBorders>
          </w:tcPr>
          <w:p w:rsidR="00570725" w:rsidRDefault="00570725" w:rsidP="005D429F">
            <w:pPr>
              <w:pStyle w:val="Sansinterligne"/>
              <w:numPr>
                <w:ilvl w:val="0"/>
                <w:numId w:val="1130"/>
              </w:numPr>
            </w:pPr>
            <w:r>
              <w:t>Hiatus visible a/n moelle dorsale</w:t>
            </w:r>
          </w:p>
        </w:tc>
        <w:tc>
          <w:tcPr>
            <w:tcW w:w="4211" w:type="dxa"/>
            <w:gridSpan w:val="2"/>
            <w:tcBorders>
              <w:left w:val="single" w:sz="4" w:space="0" w:color="FFFFFF" w:themeColor="background1"/>
            </w:tcBorders>
          </w:tcPr>
          <w:p w:rsidR="00570725" w:rsidRDefault="00570725" w:rsidP="005D429F">
            <w:pPr>
              <w:pStyle w:val="Sansinterligne"/>
              <w:numPr>
                <w:ilvl w:val="0"/>
                <w:numId w:val="1130"/>
              </w:numPr>
            </w:pPr>
            <w:r>
              <w:t>Anomalie médiane (pilosité, taches, etc.)</w:t>
            </w:r>
          </w:p>
        </w:tc>
      </w:tr>
      <w:tr w:rsidR="00104E7B" w:rsidTr="00F844BA">
        <w:tc>
          <w:tcPr>
            <w:tcW w:w="2518" w:type="dxa"/>
            <w:shd w:val="clear" w:color="auto" w:fill="C2D69B" w:themeFill="accent3" w:themeFillTint="99"/>
            <w:vAlign w:val="center"/>
          </w:tcPr>
          <w:p w:rsidR="00104E7B" w:rsidRDefault="00104E7B" w:rsidP="00F844BA">
            <w:pPr>
              <w:pStyle w:val="Sansinterligne"/>
              <w:jc w:val="center"/>
            </w:pPr>
            <w:r>
              <w:t>Hypothyroïdie</w:t>
            </w:r>
          </w:p>
        </w:tc>
        <w:tc>
          <w:tcPr>
            <w:tcW w:w="8422" w:type="dxa"/>
            <w:gridSpan w:val="4"/>
          </w:tcPr>
          <w:p w:rsidR="00104E7B" w:rsidRDefault="00966068" w:rsidP="00104E7B">
            <w:pPr>
              <w:pStyle w:val="Sansinterligne"/>
            </w:pPr>
            <w:r>
              <w:t xml:space="preserve">Voir </w:t>
            </w:r>
            <w:r w:rsidRPr="00966068">
              <w:rPr>
                <w:i/>
              </w:rPr>
              <w:t>Écoulement mammaire CMC 10-2</w:t>
            </w:r>
          </w:p>
        </w:tc>
      </w:tr>
      <w:tr w:rsidR="002175E8" w:rsidTr="00B5241B">
        <w:tc>
          <w:tcPr>
            <w:tcW w:w="2518" w:type="dxa"/>
            <w:shd w:val="clear" w:color="auto" w:fill="C2D69B" w:themeFill="accent3" w:themeFillTint="99"/>
            <w:vAlign w:val="center"/>
          </w:tcPr>
          <w:p w:rsidR="002175E8" w:rsidRDefault="002175E8" w:rsidP="00F844BA">
            <w:pPr>
              <w:pStyle w:val="Sansinterligne"/>
              <w:jc w:val="center"/>
            </w:pPr>
            <w:r>
              <w:t>Encoprésie</w:t>
            </w:r>
          </w:p>
        </w:tc>
        <w:tc>
          <w:tcPr>
            <w:tcW w:w="4211" w:type="dxa"/>
            <w:gridSpan w:val="2"/>
            <w:tcBorders>
              <w:right w:val="single" w:sz="4" w:space="0" w:color="FFFFFF" w:themeColor="background1"/>
            </w:tcBorders>
            <w:shd w:val="clear" w:color="auto" w:fill="FFFF00"/>
          </w:tcPr>
          <w:p w:rsidR="002175E8" w:rsidRDefault="002175E8" w:rsidP="005D429F">
            <w:pPr>
              <w:pStyle w:val="Sansinterligne"/>
              <w:numPr>
                <w:ilvl w:val="0"/>
                <w:numId w:val="1122"/>
              </w:numPr>
              <w:rPr>
                <w:rFonts w:cs="Times New Roman"/>
              </w:rPr>
            </w:pPr>
            <w:r w:rsidRPr="00966068">
              <w:rPr>
                <w:rFonts w:cs="Times New Roman"/>
              </w:rPr>
              <w:t>Âge ≥4 ans</w:t>
            </w:r>
          </w:p>
          <w:p w:rsidR="002175E8" w:rsidRDefault="002175E8" w:rsidP="005D429F">
            <w:pPr>
              <w:pStyle w:val="Sansinterligne"/>
              <w:numPr>
                <w:ilvl w:val="1"/>
                <w:numId w:val="1122"/>
              </w:numPr>
              <w:rPr>
                <w:rFonts w:cs="Times New Roman"/>
              </w:rPr>
            </w:pPr>
            <w:r>
              <w:rPr>
                <w:rFonts w:cs="Times New Roman"/>
              </w:rPr>
              <w:t>Défécation dans un endroit inapproprié volontaire ou non</w:t>
            </w:r>
          </w:p>
          <w:p w:rsidR="002175E8" w:rsidRDefault="002175E8" w:rsidP="005D429F">
            <w:pPr>
              <w:pStyle w:val="Sansinterligne"/>
              <w:numPr>
                <w:ilvl w:val="1"/>
                <w:numId w:val="1122"/>
              </w:numPr>
              <w:rPr>
                <w:rFonts w:cs="Times New Roman"/>
              </w:rPr>
            </w:pPr>
            <w:r>
              <w:rPr>
                <w:rFonts w:ascii="Century Gothic" w:hAnsi="Century Gothic" w:cs="Times New Roman"/>
              </w:rPr>
              <w:t>≥</w:t>
            </w:r>
            <w:r>
              <w:rPr>
                <w:rFonts w:cs="Times New Roman"/>
              </w:rPr>
              <w:t xml:space="preserve"> 1 fois par mois</w:t>
            </w:r>
          </w:p>
          <w:p w:rsidR="002175E8" w:rsidRDefault="002175E8" w:rsidP="005D429F">
            <w:pPr>
              <w:pStyle w:val="Sansinterligne"/>
              <w:numPr>
                <w:ilvl w:val="1"/>
                <w:numId w:val="1122"/>
              </w:numPr>
              <w:rPr>
                <w:rFonts w:cs="Times New Roman"/>
              </w:rPr>
            </w:pPr>
            <w:r>
              <w:rPr>
                <w:rFonts w:ascii="Century Gothic" w:hAnsi="Century Gothic" w:cs="Times New Roman"/>
              </w:rPr>
              <w:t>≥</w:t>
            </w:r>
            <w:r>
              <w:rPr>
                <w:rFonts w:cs="Times New Roman"/>
              </w:rPr>
              <w:t>3 mois</w:t>
            </w:r>
          </w:p>
          <w:p w:rsidR="002175E8" w:rsidRDefault="002175E8" w:rsidP="002175E8">
            <w:pPr>
              <w:pStyle w:val="Sansinterligne"/>
              <w:ind w:left="360"/>
              <w:rPr>
                <w:rFonts w:cs="Times New Roman"/>
              </w:rPr>
            </w:pPr>
          </w:p>
        </w:tc>
        <w:tc>
          <w:tcPr>
            <w:tcW w:w="4211" w:type="dxa"/>
            <w:gridSpan w:val="2"/>
            <w:tcBorders>
              <w:left w:val="single" w:sz="4" w:space="0" w:color="FFFFFF" w:themeColor="background1"/>
            </w:tcBorders>
            <w:shd w:val="clear" w:color="auto" w:fill="FFFF00"/>
          </w:tcPr>
          <w:p w:rsidR="002175E8" w:rsidRDefault="002175E8" w:rsidP="005D429F">
            <w:pPr>
              <w:pStyle w:val="Sansinterligne"/>
              <w:numPr>
                <w:ilvl w:val="0"/>
                <w:numId w:val="1122"/>
              </w:numPr>
              <w:rPr>
                <w:rFonts w:cs="Times New Roman"/>
              </w:rPr>
            </w:pPr>
            <w:r>
              <w:rPr>
                <w:rFonts w:cs="Times New Roman"/>
              </w:rPr>
              <w:t>Se souille le jour, pas la nuit</w:t>
            </w:r>
          </w:p>
          <w:p w:rsidR="002175E8" w:rsidRDefault="002175E8" w:rsidP="005D429F">
            <w:pPr>
              <w:pStyle w:val="Sansinterligne"/>
              <w:numPr>
                <w:ilvl w:val="0"/>
                <w:numId w:val="1122"/>
              </w:numPr>
              <w:rPr>
                <w:rFonts w:cs="Times New Roman"/>
              </w:rPr>
            </w:pPr>
            <w:r>
              <w:rPr>
                <w:rFonts w:cs="Times New Roman"/>
              </w:rPr>
              <w:t>Douleur abdominale récidivante</w:t>
            </w:r>
          </w:p>
          <w:p w:rsidR="002175E8" w:rsidRDefault="002175E8" w:rsidP="005D429F">
            <w:pPr>
              <w:pStyle w:val="Sansinterligne"/>
              <w:numPr>
                <w:ilvl w:val="0"/>
                <w:numId w:val="1122"/>
              </w:numPr>
              <w:rPr>
                <w:rFonts w:cs="Times New Roman"/>
              </w:rPr>
            </w:pPr>
            <w:r>
              <w:rPr>
                <w:rFonts w:cs="Times New Roman"/>
              </w:rPr>
              <w:t>Ballonnement</w:t>
            </w:r>
          </w:p>
          <w:p w:rsidR="002175E8" w:rsidRDefault="002175E8" w:rsidP="005D429F">
            <w:pPr>
              <w:pStyle w:val="Sansinterligne"/>
              <w:numPr>
                <w:ilvl w:val="0"/>
                <w:numId w:val="1122"/>
              </w:numPr>
              <w:rPr>
                <w:rFonts w:cs="Times New Roman"/>
              </w:rPr>
            </w:pPr>
            <w:r>
              <w:rPr>
                <w:rFonts w:cs="Times New Roman"/>
              </w:rPr>
              <w:t>Souvent avec constipation fonctionnelle</w:t>
            </w:r>
          </w:p>
          <w:p w:rsidR="002175E8" w:rsidRPr="00966068" w:rsidRDefault="002175E8" w:rsidP="005D429F">
            <w:pPr>
              <w:pStyle w:val="Sansinterligne"/>
              <w:numPr>
                <w:ilvl w:val="0"/>
                <w:numId w:val="1122"/>
              </w:numPr>
              <w:rPr>
                <w:rFonts w:cs="Times New Roman"/>
              </w:rPr>
            </w:pPr>
            <w:r>
              <w:rPr>
                <w:rFonts w:cs="Times New Roman"/>
              </w:rPr>
              <w:t xml:space="preserve">Fécalome au toucher rectal </w:t>
            </w:r>
            <w:r>
              <w:rPr>
                <w:rFonts w:ascii="Century Gothic" w:hAnsi="Century Gothic" w:cs="Times New Roman"/>
              </w:rPr>
              <w:t>→</w:t>
            </w:r>
            <w:r>
              <w:rPr>
                <w:rFonts w:cs="Times New Roman"/>
              </w:rPr>
              <w:t xml:space="preserve"> incontinence par débordement</w:t>
            </w:r>
          </w:p>
        </w:tc>
      </w:tr>
      <w:tr w:rsidR="00AD5989" w:rsidTr="00AD5989">
        <w:tc>
          <w:tcPr>
            <w:tcW w:w="2518" w:type="dxa"/>
            <w:shd w:val="clear" w:color="auto" w:fill="C2D69B" w:themeFill="accent3" w:themeFillTint="99"/>
            <w:vAlign w:val="center"/>
          </w:tcPr>
          <w:p w:rsidR="00AD5989" w:rsidRDefault="00AD5989" w:rsidP="00F844BA">
            <w:pPr>
              <w:pStyle w:val="Sansinterligne"/>
              <w:jc w:val="center"/>
            </w:pPr>
            <w:r>
              <w:lastRenderedPageBreak/>
              <w:t>Iatrogénique</w:t>
            </w:r>
          </w:p>
        </w:tc>
        <w:tc>
          <w:tcPr>
            <w:tcW w:w="2807" w:type="dxa"/>
            <w:tcBorders>
              <w:right w:val="single" w:sz="4" w:space="0" w:color="FFFFFF" w:themeColor="background1"/>
            </w:tcBorders>
          </w:tcPr>
          <w:p w:rsidR="00AD5989" w:rsidRDefault="00AD5989" w:rsidP="005D429F">
            <w:pPr>
              <w:pStyle w:val="Sansinterligne"/>
              <w:numPr>
                <w:ilvl w:val="0"/>
                <w:numId w:val="1126"/>
              </w:numPr>
            </w:pPr>
            <w:r>
              <w:t>Opiacés</w:t>
            </w:r>
          </w:p>
        </w:tc>
        <w:tc>
          <w:tcPr>
            <w:tcW w:w="2807" w:type="dxa"/>
            <w:gridSpan w:val="2"/>
            <w:tcBorders>
              <w:left w:val="single" w:sz="4" w:space="0" w:color="FFFFFF" w:themeColor="background1"/>
              <w:right w:val="single" w:sz="4" w:space="0" w:color="FFFFFF" w:themeColor="background1"/>
            </w:tcBorders>
          </w:tcPr>
          <w:p w:rsidR="00AD5989" w:rsidRDefault="00AD5989" w:rsidP="005D429F">
            <w:pPr>
              <w:pStyle w:val="Sansinterligne"/>
              <w:numPr>
                <w:ilvl w:val="0"/>
                <w:numId w:val="1126"/>
              </w:numPr>
            </w:pPr>
            <w:r>
              <w:t>ISRS</w:t>
            </w:r>
          </w:p>
        </w:tc>
        <w:tc>
          <w:tcPr>
            <w:tcW w:w="2808" w:type="dxa"/>
            <w:tcBorders>
              <w:left w:val="single" w:sz="4" w:space="0" w:color="FFFFFF" w:themeColor="background1"/>
            </w:tcBorders>
          </w:tcPr>
          <w:p w:rsidR="00AD5989" w:rsidRDefault="00AD5989" w:rsidP="005D429F">
            <w:pPr>
              <w:pStyle w:val="Sansinterligne"/>
              <w:numPr>
                <w:ilvl w:val="0"/>
                <w:numId w:val="1126"/>
              </w:numPr>
            </w:pPr>
            <w:r>
              <w:t>Anticholinergiques</w:t>
            </w:r>
          </w:p>
        </w:tc>
      </w:tr>
    </w:tbl>
    <w:p w:rsidR="009E18CA" w:rsidRDefault="00C02D12" w:rsidP="00104E7B">
      <w:pPr>
        <w:pStyle w:val="Sansinterligne"/>
        <w:rPr>
          <w:b/>
          <w:sz w:val="28"/>
          <w:szCs w:val="28"/>
        </w:rPr>
      </w:pPr>
      <w:r>
        <w:rPr>
          <w:noProof/>
          <w:lang w:eastAsia="fr-CA"/>
        </w:rPr>
        <mc:AlternateContent>
          <mc:Choice Requires="wpg">
            <w:drawing>
              <wp:anchor distT="0" distB="0" distL="114300" distR="114300" simplePos="0" relativeHeight="252015616" behindDoc="0" locked="0" layoutInCell="1" allowOverlap="1" wp14:anchorId="3C63B6B6" wp14:editId="58654812">
                <wp:simplePos x="0" y="0"/>
                <wp:positionH relativeFrom="column">
                  <wp:posOffset>5121910</wp:posOffset>
                </wp:positionH>
                <wp:positionV relativeFrom="paragraph">
                  <wp:posOffset>146550</wp:posOffset>
                </wp:positionV>
                <wp:extent cx="1614170" cy="3521075"/>
                <wp:effectExtent l="0" t="0" r="5080" b="3175"/>
                <wp:wrapNone/>
                <wp:docPr id="526" name="Groupe 526"/>
                <wp:cNvGraphicFramePr/>
                <a:graphic xmlns:a="http://schemas.openxmlformats.org/drawingml/2006/main">
                  <a:graphicData uri="http://schemas.microsoft.com/office/word/2010/wordprocessingGroup">
                    <wpg:wgp>
                      <wpg:cNvGrpSpPr/>
                      <wpg:grpSpPr>
                        <a:xfrm>
                          <a:off x="0" y="0"/>
                          <a:ext cx="1614170" cy="3521075"/>
                          <a:chOff x="0" y="0"/>
                          <a:chExt cx="1614791" cy="3521413"/>
                        </a:xfrm>
                      </wpg:grpSpPr>
                      <pic:pic xmlns:pic="http://schemas.openxmlformats.org/drawingml/2006/picture">
                        <pic:nvPicPr>
                          <pic:cNvPr id="524" name="Image 524" descr="Résultats de recherche d'images pour « échelle de bristol »"/>
                          <pic:cNvPicPr>
                            <a:picLocks noChangeAspect="1"/>
                          </pic:cNvPicPr>
                        </pic:nvPicPr>
                        <pic:blipFill>
                          <a:blip r:embed="rId59">
                            <a:extLst>
                              <a:ext uri="{28A0092B-C50C-407E-A947-70E740481C1C}">
                                <a14:useLocalDpi xmlns:a14="http://schemas.microsoft.com/office/drawing/2010/main" val="0"/>
                              </a:ext>
                            </a:extLst>
                          </a:blip>
                          <a:srcRect/>
                          <a:stretch>
                            <a:fillRect/>
                          </a:stretch>
                        </pic:blipFill>
                        <pic:spPr bwMode="auto">
                          <a:xfrm>
                            <a:off x="0" y="252919"/>
                            <a:ext cx="1614791" cy="3268494"/>
                          </a:xfrm>
                          <a:prstGeom prst="rect">
                            <a:avLst/>
                          </a:prstGeom>
                          <a:noFill/>
                          <a:ln>
                            <a:noFill/>
                          </a:ln>
                        </pic:spPr>
                      </pic:pic>
                      <wps:wsp>
                        <wps:cNvPr id="525" name="Zone de texte 2"/>
                        <wps:cNvSpPr txBox="1">
                          <a:spLocks noChangeArrowheads="1"/>
                        </wps:cNvSpPr>
                        <wps:spPr bwMode="auto">
                          <a:xfrm>
                            <a:off x="145914" y="0"/>
                            <a:ext cx="1361440" cy="252730"/>
                          </a:xfrm>
                          <a:prstGeom prst="rect">
                            <a:avLst/>
                          </a:prstGeom>
                          <a:solidFill>
                            <a:srgbClr val="FFFFFF"/>
                          </a:solidFill>
                          <a:ln w="9525">
                            <a:noFill/>
                            <a:miter lim="800000"/>
                            <a:headEnd/>
                            <a:tailEnd/>
                          </a:ln>
                        </wps:spPr>
                        <wps:txbx>
                          <w:txbxContent>
                            <w:p w:rsidR="008276DC" w:rsidRPr="00604207" w:rsidRDefault="008276DC">
                              <w:pPr>
                                <w:rPr>
                                  <w:b/>
                                </w:rPr>
                              </w:pPr>
                              <w:r w:rsidRPr="00604207">
                                <w:rPr>
                                  <w:b/>
                                </w:rPr>
                                <w:t>Échelle de Bristol</w:t>
                              </w:r>
                            </w:p>
                          </w:txbxContent>
                        </wps:txbx>
                        <wps:bodyPr rot="0" vert="horz" wrap="square" lIns="91440" tIns="45720" rIns="91440" bIns="45720" anchor="t" anchorCtr="0">
                          <a:noAutofit/>
                        </wps:bodyPr>
                      </wps:wsp>
                    </wpg:wgp>
                  </a:graphicData>
                </a:graphic>
              </wp:anchor>
            </w:drawing>
          </mc:Choice>
          <mc:Fallback>
            <w:pict>
              <v:group id="Groupe 526" o:spid="_x0000_s1044" style="position:absolute;margin-left:403.3pt;margin-top:11.55pt;width:127.1pt;height:277.25pt;z-index:252015616" coordsize="16147,352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">
                <v:shape id="Image 524" o:spid="_x0000_s1045" type="#_x0000_t75" alt="Résultats de recherche d'images pour « échelle de bristol »" style="position:absolute;top:2529;width:16147;height:3268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DY7ZPEAAAA3AAAAA8AAABkcnMvZG93bnJldi54bWxEj0trwzAQhO+F/AexgdwauSEpxo0SnBfp&#10;tXkcelusrW0irYykOO6/rwqFHoeZ+YZZrgdrRE8+tI4VvEwzEMSV0y3XCi7nw3MOIkRkjcYxKfim&#10;AOvV6GmJhXYP/qD+FGuRIBwKVNDE2BVShqohi2HqOuLkfTlvMSbpa6k9PhLcGjnLsldpseW00GBH&#10;24aq2+luFZTzodz5Y8jL/cGZm99c8/7TKDUZD+UbiEhD/A//td+1gsVsDr9n0hGQqx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DY7ZPEAAAA3AAAAA8AAAAAAAAAAAAAAAAA&#10;nwIAAGRycy9kb3ducmV2LnhtbFBLBQYAAAAABAAEAPcAAACQAwAAAAA=&#10;">
                  <v:imagedata r:id="rId60" o:title="Résultats de recherche d'images pour « échelle de bristol »"/>
                  <v:path arrowok="t"/>
                </v:shape>
                <v:shape id="_x0000_s1046" type="#_x0000_t202" style="position:absolute;left:1459;width:13614;height:25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Ec8MIA&#10;AADcAAAADwAAAGRycy9kb3ducmV2LnhtbESP3YrCMBSE7wXfIRzBG9FUsf5Uo+iCi7f+PMCxObbF&#10;5qQ00da33ywIXg4z8w2z3ramFC+qXWFZwXgUgSBOrS44U3C9HIYLEM4jaywtk4I3Odhuup01Jto2&#10;fKLX2WciQNglqCD3vkqkdGlOBt3IVsTBu9vaoA+yzqSusQlwU8pJFM2kwYLDQo4V/eSUPs5Po+B+&#10;bAbxsrn9+uv8NJ3tsZjf7Fupfq/drUB4av03/GkftYJ4EsP/mXAE5OY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0RzwwgAAANwAAAAPAAAAAAAAAAAAAAAAAJgCAABkcnMvZG93&#10;bnJldi54bWxQSwUGAAAAAAQABAD1AAAAhwMAAAAA&#10;" stroked="f">
                  <v:textbox>
                    <w:txbxContent>
                      <w:p w:rsidR="008276DC" w:rsidRPr="00604207" w:rsidRDefault="008276DC">
                        <w:pPr>
                          <w:rPr>
                            <w:b/>
                          </w:rPr>
                        </w:pPr>
                        <w:r w:rsidRPr="00604207">
                          <w:rPr>
                            <w:b/>
                          </w:rPr>
                          <w:t>Échelle de Bristol</w:t>
                        </w:r>
                      </w:p>
                    </w:txbxContent>
                  </v:textbox>
                </v:shape>
              </v:group>
            </w:pict>
          </mc:Fallback>
        </mc:AlternateContent>
      </w:r>
    </w:p>
    <w:p w:rsidR="00104E7B" w:rsidRPr="00EC122E" w:rsidRDefault="00104E7B" w:rsidP="00104E7B">
      <w:pPr>
        <w:pStyle w:val="Sansinterligne"/>
        <w:rPr>
          <w:b/>
          <w:sz w:val="28"/>
          <w:szCs w:val="28"/>
        </w:rPr>
      </w:pPr>
      <w:r w:rsidRPr="00EC122E">
        <w:rPr>
          <w:b/>
          <w:sz w:val="28"/>
          <w:szCs w:val="28"/>
        </w:rPr>
        <w:t>Investigations</w:t>
      </w:r>
    </w:p>
    <w:p w:rsidR="00E64C50" w:rsidRDefault="00E64C50" w:rsidP="00E64C50">
      <w:pPr>
        <w:pStyle w:val="Sansinterligne"/>
      </w:pPr>
    </w:p>
    <w:p w:rsidR="00EC122E" w:rsidRDefault="00E64C50" w:rsidP="005D429F">
      <w:pPr>
        <w:pStyle w:val="Sansinterligne"/>
        <w:numPr>
          <w:ilvl w:val="0"/>
          <w:numId w:val="1133"/>
        </w:numPr>
      </w:pPr>
      <w:r>
        <w:t>Toucher rectal et examen de la région anale</w:t>
      </w:r>
    </w:p>
    <w:p w:rsidR="00104E7B" w:rsidRDefault="007D37CF" w:rsidP="005D429F">
      <w:pPr>
        <w:pStyle w:val="Sansinterligne"/>
        <w:numPr>
          <w:ilvl w:val="0"/>
          <w:numId w:val="1133"/>
        </w:numPr>
      </w:pPr>
      <w:r>
        <w:t>Biopsie rectale</w:t>
      </w:r>
      <w:r w:rsidR="00EC122E">
        <w:t xml:space="preserve"> (Dx de Maladie de Hirschprung</w:t>
      </w:r>
      <w:r w:rsidR="008566C9">
        <w:t>)</w:t>
      </w:r>
    </w:p>
    <w:p w:rsidR="005803E5" w:rsidRDefault="004115D4" w:rsidP="005D429F">
      <w:pPr>
        <w:pStyle w:val="Sansinterligne"/>
        <w:numPr>
          <w:ilvl w:val="0"/>
          <w:numId w:val="1133"/>
        </w:numPr>
      </w:pPr>
      <w:r>
        <w:t xml:space="preserve">Radiographie abdominale </w:t>
      </w:r>
    </w:p>
    <w:p w:rsidR="004115D4" w:rsidRDefault="004115D4" w:rsidP="005803E5">
      <w:pPr>
        <w:pStyle w:val="Sansinterligne"/>
        <w:ind w:left="360"/>
      </w:pPr>
      <w:r>
        <w:t xml:space="preserve">(masse </w:t>
      </w:r>
      <w:r w:rsidR="002528CB">
        <w:t xml:space="preserve">de </w:t>
      </w:r>
      <w:r>
        <w:t xml:space="preserve">selles à l’iléon distal et colon proximal </w:t>
      </w:r>
      <w:r w:rsidR="005803E5">
        <w:t>–</w:t>
      </w:r>
      <w:r>
        <w:t xml:space="preserve"> DIOS</w:t>
      </w:r>
      <w:r w:rsidR="005803E5">
        <w:t>, occlusion</w:t>
      </w:r>
      <w:r w:rsidR="004E4C54">
        <w:t xml:space="preserve"> visible …</w:t>
      </w:r>
      <w:r>
        <w:t>)</w:t>
      </w:r>
    </w:p>
    <w:p w:rsidR="007D37CF" w:rsidRDefault="00C02D12" w:rsidP="00104E7B">
      <w:pPr>
        <w:pStyle w:val="Sansinterligne"/>
      </w:pPr>
      <w:r>
        <w:rPr>
          <w:noProof/>
          <w:lang w:eastAsia="fr-CA"/>
        </w:rPr>
        <w:drawing>
          <wp:anchor distT="0" distB="0" distL="114300" distR="114300" simplePos="0" relativeHeight="252016640" behindDoc="0" locked="0" layoutInCell="1" allowOverlap="1" wp14:anchorId="408AC038" wp14:editId="25FCEA7B">
            <wp:simplePos x="0" y="0"/>
            <wp:positionH relativeFrom="column">
              <wp:posOffset>1867710</wp:posOffset>
            </wp:positionH>
            <wp:positionV relativeFrom="paragraph">
              <wp:posOffset>138173</wp:posOffset>
            </wp:positionV>
            <wp:extent cx="2704289" cy="1758873"/>
            <wp:effectExtent l="0" t="0" r="1270" b="0"/>
            <wp:wrapNone/>
            <wp:docPr id="528" name="Image 528" descr="Résultats de recherche d'images pour « maladie de hirschspru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ésultats de recherche d'images pour « maladie de hirschsprung »"/>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703982" cy="1758673"/>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02D12" w:rsidRDefault="00C02D12" w:rsidP="00104E7B">
      <w:pPr>
        <w:pStyle w:val="Sansinterligne"/>
      </w:pPr>
    </w:p>
    <w:p w:rsidR="00C02D12" w:rsidRDefault="00C02D12" w:rsidP="00104E7B">
      <w:pPr>
        <w:pStyle w:val="Sansinterligne"/>
      </w:pPr>
    </w:p>
    <w:p w:rsidR="00C02D12" w:rsidRDefault="00C02D12" w:rsidP="00104E7B">
      <w:pPr>
        <w:pStyle w:val="Sansinterligne"/>
      </w:pPr>
    </w:p>
    <w:p w:rsidR="00C02D12" w:rsidRDefault="00C02D12" w:rsidP="00104E7B">
      <w:pPr>
        <w:pStyle w:val="Sansinterligne"/>
      </w:pPr>
    </w:p>
    <w:p w:rsidR="00C02D12" w:rsidRDefault="00C02D12" w:rsidP="00104E7B">
      <w:pPr>
        <w:pStyle w:val="Sansinterligne"/>
      </w:pPr>
    </w:p>
    <w:p w:rsidR="00C02D12" w:rsidRDefault="00C02D12" w:rsidP="00104E7B">
      <w:pPr>
        <w:pStyle w:val="Sansinterligne"/>
        <w:rPr>
          <w:b/>
          <w:sz w:val="28"/>
          <w:szCs w:val="28"/>
        </w:rPr>
      </w:pPr>
    </w:p>
    <w:p w:rsidR="00C02D12" w:rsidRDefault="00C02D12" w:rsidP="00104E7B">
      <w:pPr>
        <w:pStyle w:val="Sansinterligne"/>
        <w:rPr>
          <w:b/>
          <w:sz w:val="28"/>
          <w:szCs w:val="28"/>
        </w:rPr>
      </w:pPr>
    </w:p>
    <w:p w:rsidR="00C02D12" w:rsidRDefault="00C02D12" w:rsidP="00104E7B">
      <w:pPr>
        <w:pStyle w:val="Sansinterligne"/>
        <w:rPr>
          <w:b/>
          <w:sz w:val="28"/>
          <w:szCs w:val="28"/>
        </w:rPr>
      </w:pPr>
    </w:p>
    <w:p w:rsidR="007D37CF" w:rsidRPr="00EC122E" w:rsidRDefault="00104E7B" w:rsidP="00104E7B">
      <w:pPr>
        <w:pStyle w:val="Sansinterligne"/>
        <w:rPr>
          <w:b/>
          <w:sz w:val="28"/>
          <w:szCs w:val="28"/>
        </w:rPr>
      </w:pPr>
      <w:r w:rsidRPr="00EC122E">
        <w:rPr>
          <w:b/>
          <w:sz w:val="28"/>
          <w:szCs w:val="28"/>
        </w:rPr>
        <w:t>Prise en charge</w:t>
      </w:r>
    </w:p>
    <w:p w:rsidR="007D37CF" w:rsidRDefault="007D37CF" w:rsidP="00104E7B">
      <w:pPr>
        <w:pStyle w:val="Sansinterligne"/>
      </w:pPr>
    </w:p>
    <w:p w:rsidR="009E18CA" w:rsidRDefault="009E18CA" w:rsidP="00104E7B">
      <w:pPr>
        <w:pStyle w:val="Sansinterligne"/>
        <w:rPr>
          <w:u w:val="single"/>
        </w:rPr>
        <w:sectPr w:rsidR="009E18CA" w:rsidSect="00540770">
          <w:type w:val="continuous"/>
          <w:pgSz w:w="12240" w:h="15840"/>
          <w:pgMar w:top="720" w:right="720" w:bottom="720" w:left="720" w:header="708" w:footer="708" w:gutter="0"/>
          <w:cols w:space="708"/>
          <w:docGrid w:linePitch="360"/>
        </w:sectPr>
      </w:pPr>
    </w:p>
    <w:p w:rsidR="007D37CF" w:rsidRPr="00EB6689" w:rsidRDefault="007D37CF" w:rsidP="00104E7B">
      <w:pPr>
        <w:pStyle w:val="Sansinterligne"/>
        <w:rPr>
          <w:b/>
          <w:highlight w:val="yellow"/>
        </w:rPr>
      </w:pPr>
      <w:r w:rsidRPr="00EB6689">
        <w:rPr>
          <w:b/>
          <w:highlight w:val="yellow"/>
        </w:rPr>
        <w:lastRenderedPageBreak/>
        <w:t>Constipation fonctionnelle</w:t>
      </w:r>
    </w:p>
    <w:p w:rsidR="00FB285C" w:rsidRPr="00C02D12" w:rsidRDefault="00FB285C" w:rsidP="005D429F">
      <w:pPr>
        <w:pStyle w:val="Sansinterligne"/>
        <w:numPr>
          <w:ilvl w:val="0"/>
          <w:numId w:val="1120"/>
        </w:numPr>
        <w:rPr>
          <w:highlight w:val="yellow"/>
        </w:rPr>
      </w:pPr>
      <w:r w:rsidRPr="00C02D12">
        <w:rPr>
          <w:highlight w:val="yellow"/>
        </w:rPr>
        <w:t>Aigu :</w:t>
      </w:r>
    </w:p>
    <w:p w:rsidR="00FB285C" w:rsidRPr="00C02D12" w:rsidRDefault="00FB285C" w:rsidP="005D429F">
      <w:pPr>
        <w:pStyle w:val="Sansinterligne"/>
        <w:numPr>
          <w:ilvl w:val="1"/>
          <w:numId w:val="1120"/>
        </w:numPr>
        <w:rPr>
          <w:highlight w:val="yellow"/>
        </w:rPr>
      </w:pPr>
      <w:r w:rsidRPr="00C02D12">
        <w:rPr>
          <w:highlight w:val="yellow"/>
        </w:rPr>
        <w:t>Poly-éthylène-glycol (PEG) – PEGlyte)</w:t>
      </w:r>
    </w:p>
    <w:p w:rsidR="00FB285C" w:rsidRPr="00C02D12" w:rsidRDefault="00FB285C" w:rsidP="005D429F">
      <w:pPr>
        <w:pStyle w:val="Sansinterligne"/>
        <w:numPr>
          <w:ilvl w:val="2"/>
          <w:numId w:val="1120"/>
        </w:numPr>
        <w:rPr>
          <w:highlight w:val="yellow"/>
        </w:rPr>
      </w:pPr>
      <w:r w:rsidRPr="00C02D12">
        <w:rPr>
          <w:highlight w:val="yellow"/>
        </w:rPr>
        <w:t>Peut aussi être pris PRN, huile minérale pour ramollir</w:t>
      </w:r>
    </w:p>
    <w:p w:rsidR="007D37CF" w:rsidRPr="00C02D12" w:rsidRDefault="00FB285C" w:rsidP="005D429F">
      <w:pPr>
        <w:pStyle w:val="Sansinterligne"/>
        <w:numPr>
          <w:ilvl w:val="0"/>
          <w:numId w:val="1120"/>
        </w:numPr>
        <w:rPr>
          <w:highlight w:val="yellow"/>
        </w:rPr>
      </w:pPr>
      <w:r w:rsidRPr="00C02D12">
        <w:rPr>
          <w:highlight w:val="yellow"/>
        </w:rPr>
        <w:t>Expliquer aux parents à l’enfant la cause et le mécanisme</w:t>
      </w:r>
    </w:p>
    <w:p w:rsidR="00FB285C" w:rsidRPr="00C02D12" w:rsidRDefault="00FB285C" w:rsidP="005D429F">
      <w:pPr>
        <w:pStyle w:val="Sansinterligne"/>
        <w:numPr>
          <w:ilvl w:val="0"/>
          <w:numId w:val="1120"/>
        </w:numPr>
        <w:rPr>
          <w:highlight w:val="yellow"/>
        </w:rPr>
      </w:pPr>
      <w:r w:rsidRPr="00C02D12">
        <w:rPr>
          <w:highlight w:val="yellow"/>
        </w:rPr>
        <w:t>Diète :</w:t>
      </w:r>
    </w:p>
    <w:p w:rsidR="00FB285C" w:rsidRPr="00C02D12" w:rsidRDefault="00FB285C" w:rsidP="005D429F">
      <w:pPr>
        <w:pStyle w:val="Sansinterligne"/>
        <w:numPr>
          <w:ilvl w:val="1"/>
          <w:numId w:val="1120"/>
        </w:numPr>
        <w:rPr>
          <w:highlight w:val="yellow"/>
        </w:rPr>
      </w:pPr>
      <w:r w:rsidRPr="00C02D12">
        <w:rPr>
          <w:highlight w:val="yellow"/>
        </w:rPr>
        <w:t>Hydratation ++</w:t>
      </w:r>
    </w:p>
    <w:p w:rsidR="00FB285C" w:rsidRPr="00C02D12" w:rsidRDefault="00FB285C" w:rsidP="005D429F">
      <w:pPr>
        <w:pStyle w:val="Sansinterligne"/>
        <w:numPr>
          <w:ilvl w:val="1"/>
          <w:numId w:val="1120"/>
        </w:numPr>
        <w:rPr>
          <w:highlight w:val="yellow"/>
        </w:rPr>
      </w:pPr>
      <w:r w:rsidRPr="00C02D12">
        <w:rPr>
          <w:rFonts w:ascii="Century Gothic" w:hAnsi="Century Gothic"/>
          <w:highlight w:val="yellow"/>
        </w:rPr>
        <w:t>↑</w:t>
      </w:r>
      <w:r w:rsidRPr="00C02D12">
        <w:rPr>
          <w:highlight w:val="yellow"/>
        </w:rPr>
        <w:t xml:space="preserve"> apport en fibres (fruits, légumes, grains entiers)</w:t>
      </w:r>
    </w:p>
    <w:p w:rsidR="00FB285C" w:rsidRPr="00C02D12" w:rsidRDefault="00FB285C" w:rsidP="005D429F">
      <w:pPr>
        <w:pStyle w:val="Sansinterligne"/>
        <w:numPr>
          <w:ilvl w:val="0"/>
          <w:numId w:val="1120"/>
        </w:numPr>
        <w:rPr>
          <w:highlight w:val="yellow"/>
        </w:rPr>
      </w:pPr>
      <w:r w:rsidRPr="00C02D12">
        <w:rPr>
          <w:highlight w:val="yellow"/>
        </w:rPr>
        <w:t>Enseignement</w:t>
      </w:r>
    </w:p>
    <w:p w:rsidR="00FB285C" w:rsidRPr="00C02D12" w:rsidRDefault="00FB285C" w:rsidP="005D429F">
      <w:pPr>
        <w:pStyle w:val="Sansinterligne"/>
        <w:numPr>
          <w:ilvl w:val="1"/>
          <w:numId w:val="1120"/>
        </w:numPr>
        <w:rPr>
          <w:highlight w:val="yellow"/>
        </w:rPr>
      </w:pPr>
      <w:r w:rsidRPr="00C02D12">
        <w:rPr>
          <w:highlight w:val="yellow"/>
        </w:rPr>
        <w:t>Prendre le temps d’aller à la selle</w:t>
      </w:r>
    </w:p>
    <w:p w:rsidR="00FB285C" w:rsidRPr="00C02D12" w:rsidRDefault="00FB285C" w:rsidP="005D429F">
      <w:pPr>
        <w:pStyle w:val="Sansinterligne"/>
        <w:numPr>
          <w:ilvl w:val="1"/>
          <w:numId w:val="1120"/>
        </w:numPr>
        <w:rPr>
          <w:highlight w:val="yellow"/>
        </w:rPr>
      </w:pPr>
      <w:r w:rsidRPr="00C02D12">
        <w:rPr>
          <w:highlight w:val="yellow"/>
        </w:rPr>
        <w:t>Hygiène, routine</w:t>
      </w:r>
    </w:p>
    <w:p w:rsidR="00FB285C" w:rsidRPr="00C02D12" w:rsidRDefault="00FB285C" w:rsidP="005D429F">
      <w:pPr>
        <w:pStyle w:val="Sansinterligne"/>
        <w:numPr>
          <w:ilvl w:val="2"/>
          <w:numId w:val="1120"/>
        </w:numPr>
        <w:rPr>
          <w:highlight w:val="yellow"/>
        </w:rPr>
      </w:pPr>
      <w:r w:rsidRPr="00C02D12">
        <w:rPr>
          <w:highlight w:val="yellow"/>
        </w:rPr>
        <w:t>1-2x/jour, 3-10 minutes</w:t>
      </w:r>
    </w:p>
    <w:p w:rsidR="00FB285C" w:rsidRPr="00C02D12" w:rsidRDefault="00FB285C" w:rsidP="005D429F">
      <w:pPr>
        <w:pStyle w:val="Sansinterligne"/>
        <w:numPr>
          <w:ilvl w:val="0"/>
          <w:numId w:val="1120"/>
        </w:numPr>
        <w:rPr>
          <w:highlight w:val="yellow"/>
        </w:rPr>
      </w:pPr>
      <w:r w:rsidRPr="00C02D12">
        <w:rPr>
          <w:highlight w:val="yellow"/>
        </w:rPr>
        <w:t>Suivi et encouragement</w:t>
      </w:r>
    </w:p>
    <w:p w:rsidR="00FB285C" w:rsidRPr="00C02D12" w:rsidRDefault="00FB285C" w:rsidP="00104E7B">
      <w:pPr>
        <w:pStyle w:val="Sansinterligne"/>
        <w:rPr>
          <w:highlight w:val="yellow"/>
        </w:rPr>
      </w:pPr>
    </w:p>
    <w:p w:rsidR="007D37CF" w:rsidRPr="00EB6689" w:rsidRDefault="007D37CF" w:rsidP="00104E7B">
      <w:pPr>
        <w:pStyle w:val="Sansinterligne"/>
        <w:rPr>
          <w:b/>
          <w:highlight w:val="yellow"/>
        </w:rPr>
      </w:pPr>
      <w:r w:rsidRPr="00EB6689">
        <w:rPr>
          <w:b/>
          <w:highlight w:val="yellow"/>
        </w:rPr>
        <w:t>Maladie de Hirschprung</w:t>
      </w:r>
    </w:p>
    <w:p w:rsidR="00870DBE" w:rsidRPr="00C02D12" w:rsidRDefault="00870DBE" w:rsidP="005D429F">
      <w:pPr>
        <w:pStyle w:val="Sansinterligne"/>
        <w:numPr>
          <w:ilvl w:val="0"/>
          <w:numId w:val="1121"/>
        </w:numPr>
        <w:rPr>
          <w:highlight w:val="yellow"/>
        </w:rPr>
      </w:pPr>
      <w:r w:rsidRPr="00C02D12">
        <w:rPr>
          <w:highlight w:val="yellow"/>
        </w:rPr>
        <w:t>Consultation en chirurgie pédiatrique</w:t>
      </w:r>
    </w:p>
    <w:p w:rsidR="007D37CF" w:rsidRPr="00C02D12" w:rsidRDefault="007D37CF" w:rsidP="005D429F">
      <w:pPr>
        <w:pStyle w:val="Sansinterligne"/>
        <w:numPr>
          <w:ilvl w:val="1"/>
          <w:numId w:val="1121"/>
        </w:numPr>
        <w:rPr>
          <w:highlight w:val="yellow"/>
        </w:rPr>
      </w:pPr>
      <w:r w:rsidRPr="00C02D12">
        <w:rPr>
          <w:highlight w:val="yellow"/>
        </w:rPr>
        <w:t>Résection du segment rectal pathologique (sans ganglions) avec anastomose</w:t>
      </w:r>
    </w:p>
    <w:p w:rsidR="004115D4" w:rsidRPr="00C02D12" w:rsidRDefault="007D37CF" w:rsidP="005D429F">
      <w:pPr>
        <w:pStyle w:val="Sansinterligne"/>
        <w:numPr>
          <w:ilvl w:val="0"/>
          <w:numId w:val="1121"/>
        </w:numPr>
        <w:rPr>
          <w:highlight w:val="yellow"/>
        </w:rPr>
      </w:pPr>
      <w:r w:rsidRPr="00C02D12">
        <w:rPr>
          <w:highlight w:val="yellow"/>
        </w:rPr>
        <w:t>Pronostic : Peut parfois rester avec incontinence fécale ou constipation</w:t>
      </w:r>
    </w:p>
    <w:p w:rsidR="004115D4" w:rsidRPr="00C02D12" w:rsidRDefault="004115D4" w:rsidP="004115D4">
      <w:pPr>
        <w:pStyle w:val="Sansinterligne"/>
        <w:ind w:left="360"/>
        <w:rPr>
          <w:highlight w:val="yellow"/>
        </w:rPr>
      </w:pPr>
    </w:p>
    <w:p w:rsidR="004115D4" w:rsidRPr="00EB6689" w:rsidRDefault="004115D4" w:rsidP="004115D4">
      <w:pPr>
        <w:pStyle w:val="Sansinterligne"/>
        <w:rPr>
          <w:b/>
          <w:highlight w:val="yellow"/>
        </w:rPr>
      </w:pPr>
      <w:r w:rsidRPr="00EB6689">
        <w:rPr>
          <w:b/>
          <w:highlight w:val="yellow"/>
        </w:rPr>
        <w:t>Syndrome d’occlusion intestinale distale (DIOS)</w:t>
      </w:r>
    </w:p>
    <w:p w:rsidR="004115D4" w:rsidRPr="00C02D12" w:rsidRDefault="004115D4" w:rsidP="005D429F">
      <w:pPr>
        <w:pStyle w:val="Sansinterligne"/>
        <w:numPr>
          <w:ilvl w:val="0"/>
          <w:numId w:val="1127"/>
        </w:numPr>
        <w:rPr>
          <w:highlight w:val="yellow"/>
        </w:rPr>
      </w:pPr>
      <w:r w:rsidRPr="00C02D12">
        <w:rPr>
          <w:highlight w:val="yellow"/>
        </w:rPr>
        <w:t>Incomplet : laxatifs osmotiques et réhydratation</w:t>
      </w:r>
    </w:p>
    <w:p w:rsidR="004115D4" w:rsidRPr="00C02D12" w:rsidRDefault="004115D4" w:rsidP="005D429F">
      <w:pPr>
        <w:pStyle w:val="Sansinterligne"/>
        <w:numPr>
          <w:ilvl w:val="0"/>
          <w:numId w:val="1127"/>
        </w:numPr>
        <w:rPr>
          <w:highlight w:val="yellow"/>
        </w:rPr>
      </w:pPr>
      <w:r w:rsidRPr="00C02D12">
        <w:rPr>
          <w:highlight w:val="yellow"/>
        </w:rPr>
        <w:t>Complet :</w:t>
      </w:r>
    </w:p>
    <w:p w:rsidR="004115D4" w:rsidRPr="00C02D12" w:rsidRDefault="004115D4" w:rsidP="005D429F">
      <w:pPr>
        <w:pStyle w:val="Sansinterligne"/>
        <w:numPr>
          <w:ilvl w:val="1"/>
          <w:numId w:val="1127"/>
        </w:numPr>
        <w:rPr>
          <w:highlight w:val="yellow"/>
          <w:lang w:val="en-CA"/>
        </w:rPr>
      </w:pPr>
      <w:r w:rsidRPr="00C02D12">
        <w:rPr>
          <w:highlight w:val="yellow"/>
          <w:lang w:val="en-CA"/>
        </w:rPr>
        <w:t>Lavage intestinal</w:t>
      </w:r>
    </w:p>
    <w:p w:rsidR="004115D4" w:rsidRPr="00C02D12" w:rsidRDefault="004115D4" w:rsidP="005D429F">
      <w:pPr>
        <w:pStyle w:val="Sansinterligne"/>
        <w:numPr>
          <w:ilvl w:val="2"/>
          <w:numId w:val="1127"/>
        </w:numPr>
        <w:rPr>
          <w:highlight w:val="yellow"/>
        </w:rPr>
      </w:pPr>
      <w:r w:rsidRPr="00C02D12">
        <w:rPr>
          <w:highlight w:val="yellow"/>
        </w:rPr>
        <w:t>GoLYTELY 20-40 ml/kg/heure</w:t>
      </w:r>
    </w:p>
    <w:p w:rsidR="004115D4" w:rsidRPr="00C02D12" w:rsidRDefault="002D4595" w:rsidP="002D4595">
      <w:pPr>
        <w:pStyle w:val="Sansinterligne"/>
        <w:ind w:left="2124"/>
        <w:rPr>
          <w:highlight w:val="yellow"/>
        </w:rPr>
      </w:pPr>
      <w:r w:rsidRPr="00C02D12">
        <w:rPr>
          <w:highlight w:val="yellow"/>
        </w:rPr>
        <w:t>o</w:t>
      </w:r>
      <w:r w:rsidR="004115D4" w:rsidRPr="00C02D12">
        <w:rPr>
          <w:highlight w:val="yellow"/>
        </w:rPr>
        <w:t>u</w:t>
      </w:r>
    </w:p>
    <w:p w:rsidR="002D4595" w:rsidRPr="00C02D12" w:rsidRDefault="004115D4" w:rsidP="005D429F">
      <w:pPr>
        <w:pStyle w:val="Sansinterligne"/>
        <w:numPr>
          <w:ilvl w:val="2"/>
          <w:numId w:val="1127"/>
        </w:numPr>
        <w:rPr>
          <w:highlight w:val="yellow"/>
        </w:rPr>
      </w:pPr>
      <w:r w:rsidRPr="00C02D12">
        <w:rPr>
          <w:highlight w:val="yellow"/>
        </w:rPr>
        <w:t>Gastrografin 50 ml/200 ml de jus (</w:t>
      </w:r>
      <w:r w:rsidRPr="00C02D12">
        <w:rPr>
          <w:rFonts w:ascii="Century Gothic" w:hAnsi="Century Gothic"/>
          <w:highlight w:val="yellow"/>
        </w:rPr>
        <w:t>&lt;</w:t>
      </w:r>
      <w:r w:rsidRPr="00C02D12">
        <w:rPr>
          <w:highlight w:val="yellow"/>
        </w:rPr>
        <w:t xml:space="preserve"> 6 ans) – 100 ml/400 ml de jus (</w:t>
      </w:r>
      <w:r w:rsidRPr="00C02D12">
        <w:rPr>
          <w:rFonts w:ascii="Century Gothic" w:hAnsi="Century Gothic"/>
          <w:highlight w:val="yellow"/>
        </w:rPr>
        <w:t>&gt;</w:t>
      </w:r>
      <w:r w:rsidRPr="00C02D12">
        <w:rPr>
          <w:highlight w:val="yellow"/>
        </w:rPr>
        <w:t xml:space="preserve"> 6 ans)</w:t>
      </w:r>
    </w:p>
    <w:p w:rsidR="00570725" w:rsidRDefault="002D4595" w:rsidP="005D429F">
      <w:pPr>
        <w:pStyle w:val="Sansinterligne"/>
        <w:numPr>
          <w:ilvl w:val="0"/>
          <w:numId w:val="1127"/>
        </w:numPr>
      </w:pPr>
      <w:r w:rsidRPr="00C02D12">
        <w:rPr>
          <w:highlight w:val="yellow"/>
        </w:rPr>
        <w:t xml:space="preserve">Prise en charge de la </w:t>
      </w:r>
      <w:r w:rsidR="00D13BCC">
        <w:rPr>
          <w:highlight w:val="yellow"/>
        </w:rPr>
        <w:t>f</w:t>
      </w:r>
      <w:r w:rsidRPr="00C02D12">
        <w:rPr>
          <w:highlight w:val="yellow"/>
        </w:rPr>
        <w:t>ibrose kystique sous-jacente</w:t>
      </w:r>
    </w:p>
    <w:p w:rsidR="00C02D12" w:rsidRDefault="00C02D12" w:rsidP="00570725">
      <w:pPr>
        <w:pStyle w:val="Sansinterligne"/>
        <w:rPr>
          <w:u w:val="single"/>
        </w:rPr>
      </w:pPr>
    </w:p>
    <w:p w:rsidR="00C02D12" w:rsidRDefault="00C02D12" w:rsidP="00570725">
      <w:pPr>
        <w:pStyle w:val="Sansinterligne"/>
        <w:rPr>
          <w:u w:val="single"/>
        </w:rPr>
      </w:pPr>
    </w:p>
    <w:p w:rsidR="00570725" w:rsidRPr="00EB6689" w:rsidRDefault="00570725" w:rsidP="00570725">
      <w:pPr>
        <w:pStyle w:val="Sansinterligne"/>
        <w:rPr>
          <w:b/>
        </w:rPr>
      </w:pPr>
      <w:r w:rsidRPr="00EB6689">
        <w:rPr>
          <w:b/>
        </w:rPr>
        <w:t>Anus imperforé</w:t>
      </w:r>
    </w:p>
    <w:p w:rsidR="009E18CA" w:rsidRPr="009E18CA" w:rsidRDefault="009E18CA" w:rsidP="005D429F">
      <w:pPr>
        <w:pStyle w:val="Sansinterligne"/>
        <w:numPr>
          <w:ilvl w:val="0"/>
          <w:numId w:val="1134"/>
        </w:numPr>
      </w:pPr>
      <w:r w:rsidRPr="009E18CA">
        <w:t>Référence en chirurgie pédiatrique</w:t>
      </w:r>
    </w:p>
    <w:p w:rsidR="009E18CA" w:rsidRPr="009E18CA" w:rsidRDefault="009E18CA" w:rsidP="005D429F">
      <w:pPr>
        <w:pStyle w:val="Sansinterligne"/>
        <w:numPr>
          <w:ilvl w:val="0"/>
          <w:numId w:val="1128"/>
        </w:numPr>
      </w:pPr>
      <w:r w:rsidRPr="009E18CA">
        <w:t>Réparation chirurgicale</w:t>
      </w:r>
    </w:p>
    <w:p w:rsidR="00570725" w:rsidRDefault="00570725" w:rsidP="00570725">
      <w:pPr>
        <w:pStyle w:val="Sansinterligne"/>
      </w:pPr>
    </w:p>
    <w:p w:rsidR="00570725" w:rsidRPr="00EB6689" w:rsidRDefault="00570725" w:rsidP="00570725">
      <w:pPr>
        <w:pStyle w:val="Sansinterligne"/>
        <w:rPr>
          <w:b/>
        </w:rPr>
      </w:pPr>
      <w:r w:rsidRPr="00EB6689">
        <w:rPr>
          <w:b/>
        </w:rPr>
        <w:t>Fissure anale</w:t>
      </w:r>
    </w:p>
    <w:p w:rsidR="00570725" w:rsidRDefault="00570725" w:rsidP="005D429F">
      <w:pPr>
        <w:pStyle w:val="Sansinterligne"/>
        <w:numPr>
          <w:ilvl w:val="0"/>
          <w:numId w:val="1129"/>
        </w:numPr>
      </w:pPr>
      <w:r>
        <w:t>Bains de siège chauds et assèchement de la zone</w:t>
      </w:r>
    </w:p>
    <w:p w:rsidR="004F6224" w:rsidRDefault="004F6224" w:rsidP="005D429F">
      <w:pPr>
        <w:pStyle w:val="Sansinterligne"/>
        <w:numPr>
          <w:ilvl w:val="0"/>
          <w:numId w:val="1129"/>
        </w:numPr>
      </w:pPr>
      <w:r>
        <w:t>Émollients</w:t>
      </w:r>
    </w:p>
    <w:p w:rsidR="004F6224" w:rsidRDefault="004F6224" w:rsidP="005D429F">
      <w:pPr>
        <w:pStyle w:val="Sansinterligne"/>
        <w:numPr>
          <w:ilvl w:val="0"/>
          <w:numId w:val="1129"/>
        </w:numPr>
      </w:pPr>
      <w:r>
        <w:t>Nifedipine topique si sévère et chronique</w:t>
      </w:r>
    </w:p>
    <w:p w:rsidR="00570725" w:rsidRDefault="00570725" w:rsidP="00570725">
      <w:pPr>
        <w:pStyle w:val="Sansinterligne"/>
        <w:ind w:left="720"/>
      </w:pPr>
    </w:p>
    <w:p w:rsidR="00350499" w:rsidRDefault="00350499" w:rsidP="00350499">
      <w:pPr>
        <w:pStyle w:val="Sansinterligne"/>
        <w:ind w:left="720"/>
      </w:pPr>
    </w:p>
    <w:p w:rsidR="00350499" w:rsidRPr="00EB6689" w:rsidRDefault="00350499" w:rsidP="00350499">
      <w:pPr>
        <w:pStyle w:val="Sansinterligne"/>
        <w:rPr>
          <w:b/>
        </w:rPr>
      </w:pPr>
      <w:r w:rsidRPr="00EB6689">
        <w:rPr>
          <w:b/>
        </w:rPr>
        <w:t>Spina bifida</w:t>
      </w:r>
    </w:p>
    <w:p w:rsidR="00350499" w:rsidRDefault="00350499" w:rsidP="005D429F">
      <w:pPr>
        <w:pStyle w:val="Sansinterligne"/>
        <w:numPr>
          <w:ilvl w:val="0"/>
          <w:numId w:val="1131"/>
        </w:numPr>
      </w:pPr>
      <w:r>
        <w:t>Fermer le hiatus avec un pansement de plastique occlusif</w:t>
      </w:r>
    </w:p>
    <w:p w:rsidR="00350499" w:rsidRDefault="00350499" w:rsidP="005D429F">
      <w:pPr>
        <w:pStyle w:val="Sansinterligne"/>
        <w:numPr>
          <w:ilvl w:val="0"/>
          <w:numId w:val="1131"/>
        </w:numPr>
      </w:pPr>
      <w:r>
        <w:t>Référence en neurochirurgie</w:t>
      </w:r>
    </w:p>
    <w:p w:rsidR="00350499" w:rsidRDefault="00350499" w:rsidP="005D429F">
      <w:pPr>
        <w:pStyle w:val="Sansinterligne"/>
        <w:numPr>
          <w:ilvl w:val="0"/>
          <w:numId w:val="1131"/>
        </w:numPr>
      </w:pPr>
      <w:r>
        <w:t>Évaluation neurologique complète et ATB large spectre en prophylaxie</w:t>
      </w:r>
    </w:p>
    <w:p w:rsidR="00E64C50" w:rsidRDefault="00350499" w:rsidP="005D429F">
      <w:pPr>
        <w:pStyle w:val="Sansinterligne"/>
        <w:numPr>
          <w:ilvl w:val="0"/>
          <w:numId w:val="1131"/>
        </w:numPr>
      </w:pPr>
      <w:r>
        <w:t>Traitement de la constipation avec émollients, suppositoires ou laxatifs</w:t>
      </w:r>
    </w:p>
    <w:p w:rsidR="00E64C50" w:rsidRDefault="00E64C50" w:rsidP="00E64C50">
      <w:pPr>
        <w:pStyle w:val="Sansinterligne"/>
        <w:ind w:left="360"/>
      </w:pPr>
    </w:p>
    <w:p w:rsidR="00E64C50" w:rsidRPr="00EB6689" w:rsidRDefault="00E64C50" w:rsidP="00E64C50">
      <w:pPr>
        <w:pStyle w:val="Sansinterligne"/>
        <w:rPr>
          <w:b/>
          <w:highlight w:val="yellow"/>
        </w:rPr>
      </w:pPr>
      <w:r w:rsidRPr="00EB6689">
        <w:rPr>
          <w:b/>
          <w:highlight w:val="yellow"/>
        </w:rPr>
        <w:t>Encoprésie</w:t>
      </w:r>
    </w:p>
    <w:p w:rsidR="00E64C50" w:rsidRPr="00957F46" w:rsidRDefault="00E64C50" w:rsidP="005D429F">
      <w:pPr>
        <w:pStyle w:val="Sansinterligne"/>
        <w:numPr>
          <w:ilvl w:val="0"/>
          <w:numId w:val="1132"/>
        </w:numPr>
        <w:rPr>
          <w:highlight w:val="yellow"/>
        </w:rPr>
      </w:pPr>
      <w:r w:rsidRPr="00957F46">
        <w:rPr>
          <w:highlight w:val="yellow"/>
        </w:rPr>
        <w:t>Conseils idem que constipation fonctionnelle</w:t>
      </w:r>
    </w:p>
    <w:p w:rsidR="00E64C50" w:rsidRPr="00957F46" w:rsidRDefault="00E64C50" w:rsidP="005D429F">
      <w:pPr>
        <w:pStyle w:val="Sansinterligne"/>
        <w:numPr>
          <w:ilvl w:val="0"/>
          <w:numId w:val="1132"/>
        </w:numPr>
        <w:rPr>
          <w:highlight w:val="yellow"/>
        </w:rPr>
      </w:pPr>
      <w:r w:rsidRPr="00957F46">
        <w:rPr>
          <w:highlight w:val="yellow"/>
        </w:rPr>
        <w:t>Responsabiliser l’enfant (laver son linge) et expliquer au parent que ce n’est pas la faute de l’enfant</w:t>
      </w:r>
    </w:p>
    <w:p w:rsidR="00E64C50" w:rsidRPr="00957F46" w:rsidRDefault="00E64C50" w:rsidP="005D429F">
      <w:pPr>
        <w:pStyle w:val="Sansinterligne"/>
        <w:numPr>
          <w:ilvl w:val="0"/>
          <w:numId w:val="1132"/>
        </w:numPr>
        <w:rPr>
          <w:highlight w:val="yellow"/>
        </w:rPr>
      </w:pPr>
      <w:r w:rsidRPr="00957F46">
        <w:rPr>
          <w:highlight w:val="yellow"/>
        </w:rPr>
        <w:t>Aigu</w:t>
      </w:r>
    </w:p>
    <w:p w:rsidR="00E64C50" w:rsidRPr="00957F46" w:rsidRDefault="00E64C50" w:rsidP="005D429F">
      <w:pPr>
        <w:pStyle w:val="Sansinterligne"/>
        <w:numPr>
          <w:ilvl w:val="1"/>
          <w:numId w:val="1132"/>
        </w:numPr>
        <w:rPr>
          <w:highlight w:val="yellow"/>
        </w:rPr>
      </w:pPr>
      <w:r w:rsidRPr="00957F46">
        <w:rPr>
          <w:highlight w:val="yellow"/>
        </w:rPr>
        <w:t>Extraction de fécalome PRN</w:t>
      </w:r>
    </w:p>
    <w:p w:rsidR="00E64C50" w:rsidRPr="00957F46" w:rsidRDefault="00E64C50" w:rsidP="005D429F">
      <w:pPr>
        <w:pStyle w:val="Sansinterligne"/>
        <w:numPr>
          <w:ilvl w:val="1"/>
          <w:numId w:val="1132"/>
        </w:numPr>
        <w:rPr>
          <w:highlight w:val="yellow"/>
        </w:rPr>
      </w:pPr>
      <w:r w:rsidRPr="00957F46">
        <w:rPr>
          <w:highlight w:val="yellow"/>
        </w:rPr>
        <w:t>Lavement à l’huile minérale DIE x 7 jours OU</w:t>
      </w:r>
    </w:p>
    <w:p w:rsidR="00E64C50" w:rsidRPr="00957F46" w:rsidRDefault="00E64C50" w:rsidP="005D429F">
      <w:pPr>
        <w:pStyle w:val="Sansinterligne"/>
        <w:numPr>
          <w:ilvl w:val="1"/>
          <w:numId w:val="1132"/>
        </w:numPr>
        <w:rPr>
          <w:highlight w:val="yellow"/>
        </w:rPr>
      </w:pPr>
      <w:r w:rsidRPr="00957F46">
        <w:rPr>
          <w:highlight w:val="yellow"/>
        </w:rPr>
        <w:t>Lavement huile minérale x 1, Bisacodyl 5 mg IR le lendemain et Bisacodyl 5 mg PO le surlendemain</w:t>
      </w:r>
    </w:p>
    <w:p w:rsidR="009E18CA" w:rsidRPr="00957F46" w:rsidRDefault="00E64C50" w:rsidP="005D429F">
      <w:pPr>
        <w:pStyle w:val="Sansinterligne"/>
        <w:numPr>
          <w:ilvl w:val="0"/>
          <w:numId w:val="1132"/>
        </w:numPr>
        <w:rPr>
          <w:highlight w:val="yellow"/>
        </w:rPr>
        <w:sectPr w:rsidR="009E18CA" w:rsidRPr="00957F46" w:rsidSect="00C02D12">
          <w:type w:val="continuous"/>
          <w:pgSz w:w="12240" w:h="15840"/>
          <w:pgMar w:top="720" w:right="720" w:bottom="720" w:left="720" w:header="708" w:footer="708" w:gutter="0"/>
          <w:cols w:num="2" w:space="0"/>
          <w:docGrid w:linePitch="360"/>
        </w:sectPr>
      </w:pPr>
      <w:r w:rsidRPr="00957F46">
        <w:rPr>
          <w:highlight w:val="yellow"/>
        </w:rPr>
        <w:t xml:space="preserve">Traitement avec laxatif continu (PEG ou lactulose) </w:t>
      </w:r>
      <w:r w:rsidR="00293D9F" w:rsidRPr="00957F46">
        <w:rPr>
          <w:highlight w:val="yellow"/>
        </w:rPr>
        <w:t>x 4-6 mois puis sevrage graduel</w:t>
      </w:r>
    </w:p>
    <w:p w:rsidR="00C76CAC" w:rsidRPr="00372C13" w:rsidRDefault="00C76CAC" w:rsidP="00293D9F">
      <w:pPr>
        <w:spacing w:after="0"/>
        <w:rPr>
          <w:rFonts w:cs="Times New Roman"/>
          <w:b/>
          <w:color w:val="548DD4" w:themeColor="text2" w:themeTint="99"/>
        </w:rPr>
      </w:pPr>
      <w:r w:rsidRPr="00372C13">
        <w:rPr>
          <w:rFonts w:cs="Times New Roman"/>
          <w:b/>
          <w:color w:val="548DD4" w:themeColor="text2" w:themeTint="99"/>
        </w:rPr>
        <w:lastRenderedPageBreak/>
        <w:t>CMC 17</w:t>
      </w:r>
    </w:p>
    <w:p w:rsidR="00C76CAC" w:rsidRPr="00372C13" w:rsidRDefault="00C76CAC" w:rsidP="00C76CAC">
      <w:pPr>
        <w:pStyle w:val="Titre3"/>
        <w:spacing w:before="0"/>
        <w:rPr>
          <w:rFonts w:ascii="Times New Roman" w:hAnsi="Times New Roman" w:cs="Times New Roman"/>
        </w:rPr>
      </w:pPr>
      <w:bookmarkStart w:id="64" w:name="_Toc480797274"/>
      <w:r w:rsidRPr="00372C13">
        <w:rPr>
          <w:rFonts w:ascii="Times New Roman" w:hAnsi="Times New Roman" w:cs="Times New Roman"/>
        </w:rPr>
        <w:t>Contraception</w:t>
      </w:r>
      <w:bookmarkEnd w:id="64"/>
    </w:p>
    <w:tbl>
      <w:tblPr>
        <w:tblW w:w="3704" w:type="pct"/>
        <w:tblCellSpacing w:w="0" w:type="dxa"/>
        <w:tblCellMar>
          <w:left w:w="0" w:type="dxa"/>
          <w:right w:w="0" w:type="dxa"/>
        </w:tblCellMar>
        <w:tblLook w:val="04A0" w:firstRow="1" w:lastRow="0" w:firstColumn="1" w:lastColumn="0" w:noHBand="0" w:noVBand="1"/>
      </w:tblPr>
      <w:tblGrid>
        <w:gridCol w:w="8001"/>
      </w:tblGrid>
      <w:tr w:rsidR="00C76CAC" w:rsidRPr="00C76CAC" w:rsidTr="00C76CAC">
        <w:trPr>
          <w:tblCellSpacing w:w="0" w:type="dxa"/>
        </w:trPr>
        <w:tc>
          <w:tcPr>
            <w:tcW w:w="0" w:type="auto"/>
            <w:vAlign w:val="bottom"/>
            <w:hideMark/>
          </w:tcPr>
          <w:bookmarkStart w:id="65" w:name="_Toc474769822"/>
          <w:bookmarkStart w:id="66" w:name="_Toc475198206"/>
          <w:bookmarkStart w:id="67" w:name="_Toc475563831"/>
          <w:bookmarkStart w:id="68" w:name="Objectifsprincipaux"/>
          <w:p w:rsidR="00C76CAC" w:rsidRPr="00EB0C1F" w:rsidRDefault="00C76CAC" w:rsidP="00EB0C1F">
            <w:pPr>
              <w:pStyle w:val="Sansinterligne"/>
              <w:spacing w:before="240"/>
              <w:rPr>
                <w:b/>
                <w:sz w:val="18"/>
                <w:szCs w:val="18"/>
              </w:rPr>
            </w:pPr>
            <w:r w:rsidRPr="00EB0C1F">
              <w:rPr>
                <w:b/>
                <w:noProof/>
                <w:sz w:val="18"/>
                <w:szCs w:val="18"/>
                <w:lang w:eastAsia="fr-CA"/>
              </w:rPr>
              <mc:AlternateContent>
                <mc:Choice Requires="wps">
                  <w:drawing>
                    <wp:anchor distT="0" distB="0" distL="114300" distR="114300" simplePos="0" relativeHeight="251719680" behindDoc="0" locked="0" layoutInCell="1" allowOverlap="1" wp14:anchorId="72BC24C2" wp14:editId="36DB0988">
                      <wp:simplePos x="0" y="0"/>
                      <wp:positionH relativeFrom="column">
                        <wp:posOffset>-58420</wp:posOffset>
                      </wp:positionH>
                      <wp:positionV relativeFrom="paragraph">
                        <wp:posOffset>70485</wp:posOffset>
                      </wp:positionV>
                      <wp:extent cx="6886575" cy="2849245"/>
                      <wp:effectExtent l="0" t="0" r="28575" b="27305"/>
                      <wp:wrapNone/>
                      <wp:docPr id="22" name="Rectangle 22"/>
                      <wp:cNvGraphicFramePr/>
                      <a:graphic xmlns:a="http://schemas.openxmlformats.org/drawingml/2006/main">
                        <a:graphicData uri="http://schemas.microsoft.com/office/word/2010/wordprocessingShape">
                          <wps:wsp>
                            <wps:cNvSpPr/>
                            <wps:spPr>
                              <a:xfrm>
                                <a:off x="0" y="0"/>
                                <a:ext cx="6886575" cy="2849245"/>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2" o:spid="_x0000_s1026" style="position:absolute;margin-left:-4.6pt;margin-top:5.55pt;width:542.25pt;height:224.3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" filled="f" strokecolor="black [1600]" strokeweight="2pt"/>
                  </w:pict>
                </mc:Fallback>
              </mc:AlternateContent>
            </w:r>
            <w:r w:rsidRPr="00EB0C1F">
              <w:rPr>
                <w:b/>
                <w:sz w:val="18"/>
                <w:szCs w:val="18"/>
              </w:rPr>
              <w:t>Objectifs principaux</w:t>
            </w:r>
            <w:bookmarkEnd w:id="65"/>
            <w:bookmarkEnd w:id="66"/>
            <w:bookmarkEnd w:id="67"/>
          </w:p>
        </w:tc>
        <w:bookmarkEnd w:id="68"/>
      </w:tr>
    </w:tbl>
    <w:p w:rsidR="00C76CAC" w:rsidRPr="00C76CAC" w:rsidRDefault="00C76CAC" w:rsidP="00C76CAC">
      <w:pPr>
        <w:pStyle w:val="NormalWeb"/>
        <w:spacing w:after="0" w:afterAutospacing="0"/>
        <w:ind w:left="360"/>
        <w:rPr>
          <w:color w:val="000000"/>
          <w:sz w:val="18"/>
          <w:szCs w:val="18"/>
          <w:shd w:val="clear" w:color="auto" w:fill="FFFFFF"/>
        </w:rPr>
      </w:pPr>
      <w:r w:rsidRPr="00C76CAC">
        <w:rPr>
          <w:color w:val="000000"/>
          <w:sz w:val="18"/>
          <w:szCs w:val="18"/>
          <w:shd w:val="clear" w:color="auto" w:fill="FFFFFF"/>
        </w:rPr>
        <w:t>Dans le cas d'un patient qui a besoin ou qui formule une demande de contraception, le candidat devra discuter des options de traitement disponibles et établir un plan de prise en charge approprié.</w:t>
      </w:r>
    </w:p>
    <w:tbl>
      <w:tblPr>
        <w:tblW w:w="3702" w:type="pct"/>
        <w:tblCellSpacing w:w="0" w:type="dxa"/>
        <w:tblCellMar>
          <w:left w:w="0" w:type="dxa"/>
          <w:right w:w="0" w:type="dxa"/>
        </w:tblCellMar>
        <w:tblLook w:val="04A0" w:firstRow="1" w:lastRow="0" w:firstColumn="1" w:lastColumn="0" w:noHBand="0" w:noVBand="1"/>
      </w:tblPr>
      <w:tblGrid>
        <w:gridCol w:w="7996"/>
      </w:tblGrid>
      <w:tr w:rsidR="00C76CAC" w:rsidRPr="00C76CAC" w:rsidTr="00C76CAC">
        <w:trPr>
          <w:tblCellSpacing w:w="0" w:type="dxa"/>
        </w:trPr>
        <w:tc>
          <w:tcPr>
            <w:tcW w:w="0" w:type="auto"/>
            <w:vAlign w:val="bottom"/>
            <w:hideMark/>
          </w:tcPr>
          <w:p w:rsidR="00C76CAC" w:rsidRDefault="00C76CAC" w:rsidP="00C76CAC">
            <w:pPr>
              <w:pStyle w:val="Titre2"/>
              <w:spacing w:before="0" w:beforeAutospacing="0" w:after="0" w:afterAutospacing="0"/>
              <w:rPr>
                <w:color w:val="000000"/>
                <w:sz w:val="16"/>
                <w:szCs w:val="16"/>
              </w:rPr>
            </w:pPr>
          </w:p>
          <w:p w:rsidR="00C76CAC" w:rsidRPr="00EB0C1F" w:rsidRDefault="00C76CAC" w:rsidP="00EB0C1F">
            <w:pPr>
              <w:pStyle w:val="Sansinterligne"/>
              <w:rPr>
                <w:b/>
                <w:sz w:val="16"/>
                <w:szCs w:val="16"/>
              </w:rPr>
            </w:pPr>
            <w:bookmarkStart w:id="69" w:name="_Toc474769823"/>
            <w:bookmarkStart w:id="70" w:name="_Toc475198207"/>
            <w:bookmarkStart w:id="71" w:name="_Toc475563832"/>
            <w:r w:rsidRPr="00EB0C1F">
              <w:rPr>
                <w:b/>
                <w:sz w:val="16"/>
                <w:szCs w:val="16"/>
              </w:rPr>
              <w:t>Objectifs spécifiques</w:t>
            </w:r>
            <w:bookmarkEnd w:id="69"/>
            <w:bookmarkEnd w:id="70"/>
            <w:bookmarkEnd w:id="71"/>
          </w:p>
        </w:tc>
      </w:tr>
    </w:tbl>
    <w:p w:rsidR="00C76CAC" w:rsidRPr="00C76CAC" w:rsidRDefault="00C76CAC" w:rsidP="00C76CAC">
      <w:pPr>
        <w:pStyle w:val="NormalWeb"/>
        <w:shd w:val="clear" w:color="auto" w:fill="FFFFFF"/>
        <w:ind w:left="360"/>
        <w:rPr>
          <w:color w:val="000000"/>
          <w:sz w:val="16"/>
          <w:szCs w:val="16"/>
          <w:shd w:val="clear" w:color="auto" w:fill="FFFFFF"/>
        </w:rPr>
      </w:pPr>
      <w:r w:rsidRPr="00C76CAC">
        <w:rPr>
          <w:color w:val="000000"/>
          <w:sz w:val="16"/>
          <w:szCs w:val="16"/>
          <w:shd w:val="clear" w:color="auto" w:fill="FFFFFF"/>
        </w:rPr>
        <w:t>Dans le cas d'un patient qui a besoin ou qui formule une demande de contraception, le candidat devra</w:t>
      </w:r>
    </w:p>
    <w:p w:rsidR="00C76CAC" w:rsidRPr="00C76CAC" w:rsidRDefault="00C76CAC" w:rsidP="00C76CAC">
      <w:pPr>
        <w:numPr>
          <w:ilvl w:val="0"/>
          <w:numId w:val="206"/>
        </w:numPr>
        <w:shd w:val="clear" w:color="auto" w:fill="FFFFFF"/>
        <w:spacing w:before="100" w:beforeAutospacing="1" w:after="100" w:afterAutospacing="1" w:line="240" w:lineRule="auto"/>
        <w:rPr>
          <w:rFonts w:cs="Times New Roman"/>
          <w:color w:val="000000"/>
          <w:sz w:val="16"/>
          <w:szCs w:val="16"/>
          <w:shd w:val="clear" w:color="auto" w:fill="FFFFFF"/>
        </w:rPr>
      </w:pPr>
      <w:bookmarkStart w:id="72" w:name="Objectifssp%C3%A9cifiques"/>
      <w:bookmarkStart w:id="73" w:name="Objectifssp%C3%A9cifiques1"/>
      <w:bookmarkEnd w:id="72"/>
      <w:r w:rsidRPr="00C76CAC">
        <w:rPr>
          <w:rFonts w:cs="Times New Roman"/>
          <w:color w:val="000000"/>
          <w:sz w:val="16"/>
          <w:szCs w:val="16"/>
          <w:shd w:val="clear" w:color="auto" w:fill="FFFFFF"/>
        </w:rPr>
        <w:t>énumérer et interpréter les constatations cliniques cruciales, notamment :</w:t>
      </w:r>
    </w:p>
    <w:p w:rsidR="00C76CAC" w:rsidRPr="00C76CAC" w:rsidRDefault="00C76CAC" w:rsidP="00C76CAC">
      <w:pPr>
        <w:numPr>
          <w:ilvl w:val="1"/>
          <w:numId w:val="206"/>
        </w:numPr>
        <w:shd w:val="clear" w:color="auto" w:fill="FFFFFF"/>
        <w:spacing w:before="100" w:beforeAutospacing="1" w:after="100" w:afterAutospacing="1" w:line="240" w:lineRule="auto"/>
        <w:rPr>
          <w:rFonts w:cs="Times New Roman"/>
          <w:color w:val="000000"/>
          <w:sz w:val="16"/>
          <w:szCs w:val="16"/>
          <w:shd w:val="clear" w:color="auto" w:fill="FFFFFF"/>
        </w:rPr>
      </w:pPr>
      <w:bookmarkStart w:id="74" w:name="Objectifssp%C3%A9cifiques1.1"/>
      <w:bookmarkEnd w:id="73"/>
      <w:r w:rsidRPr="00C76CAC">
        <w:rPr>
          <w:rFonts w:cs="Times New Roman"/>
          <w:color w:val="000000"/>
          <w:sz w:val="16"/>
          <w:szCs w:val="16"/>
          <w:shd w:val="clear" w:color="auto" w:fill="FFFFFF"/>
        </w:rPr>
        <w:t>obtenir les antécédents généraux et sexuels, y compris les facteurs de risque de complications</w:t>
      </w:r>
    </w:p>
    <w:p w:rsidR="00C76CAC" w:rsidRPr="00C76CAC" w:rsidRDefault="00C76CAC" w:rsidP="00C76CAC">
      <w:pPr>
        <w:numPr>
          <w:ilvl w:val="1"/>
          <w:numId w:val="206"/>
        </w:numPr>
        <w:shd w:val="clear" w:color="auto" w:fill="FFFFFF"/>
        <w:spacing w:before="100" w:beforeAutospacing="1" w:after="100" w:afterAutospacing="1" w:line="240" w:lineRule="auto"/>
        <w:rPr>
          <w:rFonts w:cs="Times New Roman"/>
          <w:color w:val="000000"/>
          <w:sz w:val="16"/>
          <w:szCs w:val="16"/>
          <w:shd w:val="clear" w:color="auto" w:fill="FFFFFF"/>
        </w:rPr>
      </w:pPr>
      <w:bookmarkStart w:id="75" w:name="Objectifssp%C3%A9cifiques1.2"/>
      <w:bookmarkEnd w:id="74"/>
      <w:r w:rsidRPr="00C76CAC">
        <w:rPr>
          <w:rFonts w:cs="Times New Roman"/>
          <w:color w:val="000000"/>
          <w:sz w:val="16"/>
          <w:szCs w:val="16"/>
          <w:shd w:val="clear" w:color="auto" w:fill="FFFFFF"/>
        </w:rPr>
        <w:t>effectuer un examen physique approprié</w:t>
      </w:r>
    </w:p>
    <w:p w:rsidR="00C76CAC" w:rsidRPr="00C76CAC" w:rsidRDefault="00C76CAC" w:rsidP="00C76CAC">
      <w:pPr>
        <w:numPr>
          <w:ilvl w:val="0"/>
          <w:numId w:val="206"/>
        </w:numPr>
        <w:shd w:val="clear" w:color="auto" w:fill="FFFFFF"/>
        <w:spacing w:before="100" w:beforeAutospacing="1" w:after="100" w:afterAutospacing="1" w:line="240" w:lineRule="auto"/>
        <w:rPr>
          <w:rFonts w:cs="Times New Roman"/>
          <w:color w:val="000000"/>
          <w:sz w:val="16"/>
          <w:szCs w:val="16"/>
          <w:shd w:val="clear" w:color="auto" w:fill="FFFFFF"/>
        </w:rPr>
      </w:pPr>
      <w:bookmarkStart w:id="76" w:name="Objectifssp%C3%A9cifiques2"/>
      <w:bookmarkEnd w:id="75"/>
      <w:r w:rsidRPr="00C76CAC">
        <w:rPr>
          <w:rFonts w:cs="Times New Roman"/>
          <w:color w:val="000000"/>
          <w:sz w:val="16"/>
          <w:szCs w:val="16"/>
          <w:shd w:val="clear" w:color="auto" w:fill="FFFFFF"/>
        </w:rPr>
        <w:t>énumérer et interpréter les examens cliniques essentiels, notamment :</w:t>
      </w:r>
    </w:p>
    <w:p w:rsidR="00C76CAC" w:rsidRPr="00C76CAC" w:rsidRDefault="00C76CAC" w:rsidP="00C76CAC">
      <w:pPr>
        <w:numPr>
          <w:ilvl w:val="1"/>
          <w:numId w:val="206"/>
        </w:numPr>
        <w:shd w:val="clear" w:color="auto" w:fill="FFFFFF"/>
        <w:spacing w:before="100" w:beforeAutospacing="1" w:after="100" w:afterAutospacing="1" w:line="240" w:lineRule="auto"/>
        <w:rPr>
          <w:rFonts w:cs="Times New Roman"/>
          <w:color w:val="000000"/>
          <w:sz w:val="16"/>
          <w:szCs w:val="16"/>
          <w:shd w:val="clear" w:color="auto" w:fill="FFFFFF"/>
        </w:rPr>
      </w:pPr>
      <w:bookmarkStart w:id="77" w:name="Objectifssp%C3%A9cifiques2.1"/>
      <w:bookmarkEnd w:id="76"/>
      <w:r w:rsidRPr="00C76CAC">
        <w:rPr>
          <w:rFonts w:cs="Times New Roman"/>
          <w:color w:val="000000"/>
          <w:sz w:val="16"/>
          <w:szCs w:val="16"/>
          <w:shd w:val="clear" w:color="auto" w:fill="FFFFFF"/>
        </w:rPr>
        <w:t>effectuer un prélèvement pour des cultures, un test de Papanicolaou et un test de grossesse</w:t>
      </w:r>
    </w:p>
    <w:p w:rsidR="00C76CAC" w:rsidRPr="00C76CAC" w:rsidRDefault="00C76CAC" w:rsidP="00C76CAC">
      <w:pPr>
        <w:numPr>
          <w:ilvl w:val="0"/>
          <w:numId w:val="206"/>
        </w:numPr>
        <w:shd w:val="clear" w:color="auto" w:fill="FFFFFF"/>
        <w:spacing w:before="100" w:beforeAutospacing="1" w:after="100" w:afterAutospacing="1" w:line="240" w:lineRule="auto"/>
        <w:rPr>
          <w:rFonts w:cs="Times New Roman"/>
          <w:color w:val="000000"/>
          <w:sz w:val="16"/>
          <w:szCs w:val="16"/>
          <w:shd w:val="clear" w:color="auto" w:fill="FFFFFF"/>
        </w:rPr>
      </w:pPr>
      <w:bookmarkStart w:id="78" w:name="Objectifssp%C3%A9cifiques3"/>
      <w:bookmarkEnd w:id="77"/>
      <w:r w:rsidRPr="00C76CAC">
        <w:rPr>
          <w:rFonts w:cs="Times New Roman"/>
          <w:color w:val="000000"/>
          <w:sz w:val="16"/>
          <w:szCs w:val="16"/>
          <w:shd w:val="clear" w:color="auto" w:fill="FFFFFF"/>
        </w:rPr>
        <w:t>élaborer un plan efficace de prise en charge initiale et de prévention, notamment :</w:t>
      </w:r>
    </w:p>
    <w:p w:rsidR="00C76CAC" w:rsidRPr="00C76CAC" w:rsidRDefault="00C76CAC" w:rsidP="00C76CAC">
      <w:pPr>
        <w:numPr>
          <w:ilvl w:val="1"/>
          <w:numId w:val="206"/>
        </w:numPr>
        <w:shd w:val="clear" w:color="auto" w:fill="FFFFFF"/>
        <w:spacing w:before="100" w:beforeAutospacing="1" w:after="100" w:afterAutospacing="1" w:line="240" w:lineRule="auto"/>
        <w:rPr>
          <w:rFonts w:cs="Times New Roman"/>
          <w:color w:val="000000"/>
          <w:sz w:val="16"/>
          <w:szCs w:val="16"/>
          <w:shd w:val="clear" w:color="auto" w:fill="FFFFFF"/>
        </w:rPr>
      </w:pPr>
      <w:bookmarkStart w:id="79" w:name="Objectifssp%C3%A9cifiques3.1"/>
      <w:bookmarkEnd w:id="78"/>
      <w:r w:rsidRPr="00C76CAC">
        <w:rPr>
          <w:rFonts w:cs="Times New Roman"/>
          <w:color w:val="000000"/>
          <w:sz w:val="16"/>
          <w:szCs w:val="16"/>
          <w:shd w:val="clear" w:color="auto" w:fill="FFFFFF"/>
        </w:rPr>
        <w:t>discuter avec le patient des diverses options de contraception, et notamment des points suivants :</w:t>
      </w:r>
    </w:p>
    <w:p w:rsidR="00C76CAC" w:rsidRPr="00C76CAC" w:rsidRDefault="00C76CAC" w:rsidP="00C76CAC">
      <w:pPr>
        <w:numPr>
          <w:ilvl w:val="2"/>
          <w:numId w:val="206"/>
        </w:numPr>
        <w:shd w:val="clear" w:color="auto" w:fill="FFFFFF"/>
        <w:spacing w:before="100" w:beforeAutospacing="1" w:after="100" w:afterAutospacing="1" w:line="240" w:lineRule="auto"/>
        <w:rPr>
          <w:rFonts w:cs="Times New Roman"/>
          <w:color w:val="000000"/>
          <w:sz w:val="16"/>
          <w:szCs w:val="16"/>
          <w:shd w:val="clear" w:color="auto" w:fill="FFFFFF"/>
        </w:rPr>
      </w:pPr>
      <w:bookmarkStart w:id="80" w:name="Objectifssp%C3%A9cifiques3.1.1"/>
      <w:bookmarkEnd w:id="79"/>
      <w:r w:rsidRPr="00C76CAC">
        <w:rPr>
          <w:rFonts w:cs="Times New Roman"/>
          <w:color w:val="000000"/>
          <w:sz w:val="16"/>
          <w:szCs w:val="16"/>
          <w:shd w:val="clear" w:color="auto" w:fill="FFFFFF"/>
        </w:rPr>
        <w:t>les risques d'échec</w:t>
      </w:r>
    </w:p>
    <w:p w:rsidR="00C76CAC" w:rsidRPr="00C76CAC" w:rsidRDefault="00C76CAC" w:rsidP="00C76CAC">
      <w:pPr>
        <w:numPr>
          <w:ilvl w:val="2"/>
          <w:numId w:val="206"/>
        </w:numPr>
        <w:shd w:val="clear" w:color="auto" w:fill="FFFFFF"/>
        <w:spacing w:before="100" w:beforeAutospacing="1" w:after="100" w:afterAutospacing="1" w:line="240" w:lineRule="auto"/>
        <w:rPr>
          <w:rFonts w:cs="Times New Roman"/>
          <w:color w:val="000000"/>
          <w:sz w:val="16"/>
          <w:szCs w:val="16"/>
          <w:shd w:val="clear" w:color="auto" w:fill="FFFFFF"/>
        </w:rPr>
      </w:pPr>
      <w:bookmarkStart w:id="81" w:name="Objectifssp%C3%A9cifiques3.1.2"/>
      <w:bookmarkEnd w:id="80"/>
      <w:r w:rsidRPr="00C76CAC">
        <w:rPr>
          <w:rFonts w:cs="Times New Roman"/>
          <w:color w:val="000000"/>
          <w:sz w:val="16"/>
          <w:szCs w:val="16"/>
          <w:shd w:val="clear" w:color="auto" w:fill="FFFFFF"/>
        </w:rPr>
        <w:t>les complications possibles</w:t>
      </w:r>
    </w:p>
    <w:p w:rsidR="00C76CAC" w:rsidRPr="00C76CAC" w:rsidRDefault="00C76CAC" w:rsidP="00C76CAC">
      <w:pPr>
        <w:numPr>
          <w:ilvl w:val="2"/>
          <w:numId w:val="206"/>
        </w:numPr>
        <w:shd w:val="clear" w:color="auto" w:fill="FFFFFF"/>
        <w:spacing w:before="100" w:beforeAutospacing="1" w:after="100" w:afterAutospacing="1" w:line="240" w:lineRule="auto"/>
        <w:rPr>
          <w:rFonts w:cs="Times New Roman"/>
          <w:color w:val="000000"/>
          <w:sz w:val="16"/>
          <w:szCs w:val="16"/>
          <w:shd w:val="clear" w:color="auto" w:fill="FFFFFF"/>
        </w:rPr>
      </w:pPr>
      <w:bookmarkStart w:id="82" w:name="Objectifssp%C3%A9cifiques3.1.3"/>
      <w:bookmarkEnd w:id="81"/>
      <w:r w:rsidRPr="00C76CAC">
        <w:rPr>
          <w:rFonts w:cs="Times New Roman"/>
          <w:color w:val="000000"/>
          <w:sz w:val="16"/>
          <w:szCs w:val="16"/>
          <w:shd w:val="clear" w:color="auto" w:fill="FFFFFF"/>
        </w:rPr>
        <w:t>la protection contre les infections transmissibles sexuellement</w:t>
      </w:r>
    </w:p>
    <w:p w:rsidR="00C76CAC" w:rsidRPr="00C76CAC" w:rsidRDefault="00C76CAC" w:rsidP="00C76CAC">
      <w:pPr>
        <w:numPr>
          <w:ilvl w:val="2"/>
          <w:numId w:val="206"/>
        </w:numPr>
        <w:shd w:val="clear" w:color="auto" w:fill="FFFFFF"/>
        <w:spacing w:before="100" w:beforeAutospacing="1" w:after="100" w:afterAutospacing="1" w:line="240" w:lineRule="auto"/>
        <w:rPr>
          <w:rFonts w:cs="Times New Roman"/>
          <w:color w:val="000000"/>
          <w:sz w:val="16"/>
          <w:szCs w:val="16"/>
          <w:shd w:val="clear" w:color="auto" w:fill="FFFFFF"/>
        </w:rPr>
      </w:pPr>
      <w:bookmarkStart w:id="83" w:name="Objectifssp%C3%A9cifiques3.1.4"/>
      <w:bookmarkEnd w:id="82"/>
      <w:r w:rsidRPr="00C76CAC">
        <w:rPr>
          <w:rFonts w:cs="Times New Roman"/>
          <w:color w:val="000000"/>
          <w:sz w:val="16"/>
          <w:szCs w:val="16"/>
          <w:shd w:val="clear" w:color="auto" w:fill="FFFFFF"/>
        </w:rPr>
        <w:t>les interactions médicamenteuses de chaque méthode</w:t>
      </w:r>
    </w:p>
    <w:p w:rsidR="00C76CAC" w:rsidRPr="002C0179" w:rsidRDefault="00C76CAC" w:rsidP="00C76CAC">
      <w:pPr>
        <w:numPr>
          <w:ilvl w:val="1"/>
          <w:numId w:val="206"/>
        </w:numPr>
        <w:shd w:val="clear" w:color="auto" w:fill="FFFFFF"/>
        <w:spacing w:before="100" w:beforeAutospacing="1" w:after="100" w:afterAutospacing="1" w:line="240" w:lineRule="auto"/>
        <w:rPr>
          <w:rFonts w:cs="Times New Roman"/>
          <w:color w:val="000000"/>
          <w:sz w:val="16"/>
          <w:szCs w:val="16"/>
          <w:shd w:val="clear" w:color="auto" w:fill="FFFFFF"/>
        </w:rPr>
      </w:pPr>
      <w:bookmarkStart w:id="84" w:name="Objectifssp%C3%A9cifiques3.2"/>
      <w:bookmarkEnd w:id="83"/>
      <w:r w:rsidRPr="00C76CAC">
        <w:rPr>
          <w:rFonts w:cs="Times New Roman"/>
          <w:color w:val="000000"/>
          <w:sz w:val="16"/>
          <w:szCs w:val="16"/>
          <w:shd w:val="clear" w:color="auto" w:fill="FFFFFF"/>
        </w:rPr>
        <w:t>discuter des contraceptifs d'urgence comme solution de rechange au besoin.</w:t>
      </w:r>
      <w:bookmarkEnd w:id="84"/>
    </w:p>
    <w:p w:rsidR="002C0179" w:rsidRPr="001A5F92" w:rsidRDefault="002C0179" w:rsidP="002C0179">
      <w:pPr>
        <w:pStyle w:val="Sansinterligne"/>
        <w:rPr>
          <w:b/>
          <w:sz w:val="28"/>
          <w:szCs w:val="28"/>
        </w:rPr>
      </w:pPr>
      <w:r w:rsidRPr="001A5F92">
        <w:rPr>
          <w:b/>
          <w:sz w:val="28"/>
          <w:szCs w:val="28"/>
        </w:rPr>
        <w:t>Questionnaire, examen physique et investigation préalables</w:t>
      </w:r>
    </w:p>
    <w:p w:rsidR="002C0179" w:rsidRDefault="002C0179" w:rsidP="002C0179">
      <w:pPr>
        <w:pStyle w:val="Sansinterligne"/>
      </w:pPr>
    </w:p>
    <w:p w:rsidR="001A5F92" w:rsidRDefault="001A5F92" w:rsidP="002C0179">
      <w:pPr>
        <w:pStyle w:val="Sansinterligne"/>
        <w:sectPr w:rsidR="001A5F92" w:rsidSect="00540770">
          <w:type w:val="continuous"/>
          <w:pgSz w:w="12240" w:h="15840"/>
          <w:pgMar w:top="720" w:right="720" w:bottom="720" w:left="720" w:header="708" w:footer="708" w:gutter="0"/>
          <w:cols w:space="708"/>
          <w:docGrid w:linePitch="360"/>
        </w:sectPr>
      </w:pPr>
    </w:p>
    <w:p w:rsidR="001A5F92" w:rsidRDefault="002C0179" w:rsidP="002F7D99">
      <w:pPr>
        <w:pStyle w:val="Sansinterligne"/>
        <w:numPr>
          <w:ilvl w:val="0"/>
          <w:numId w:val="209"/>
        </w:numPr>
      </w:pPr>
      <w:r>
        <w:lastRenderedPageBreak/>
        <w:t>Âge (</w:t>
      </w:r>
      <w:r>
        <w:rPr>
          <w:rFonts w:ascii="Century Gothic" w:hAnsi="Century Gothic"/>
        </w:rPr>
        <w:t>&gt;</w:t>
      </w:r>
      <w:r>
        <w:t xml:space="preserve">35) </w:t>
      </w:r>
    </w:p>
    <w:p w:rsidR="002C0179" w:rsidRDefault="001A5F92" w:rsidP="002F7D99">
      <w:pPr>
        <w:pStyle w:val="Sansinterligne"/>
        <w:numPr>
          <w:ilvl w:val="0"/>
          <w:numId w:val="209"/>
        </w:numPr>
      </w:pPr>
      <w:r>
        <w:t>T</w:t>
      </w:r>
      <w:r w:rsidR="002C0179">
        <w:t>abagisme ?</w:t>
      </w:r>
    </w:p>
    <w:p w:rsidR="001A5F92" w:rsidRDefault="001A5F92" w:rsidP="002F7D99">
      <w:pPr>
        <w:pStyle w:val="Sansinterligne"/>
        <w:numPr>
          <w:ilvl w:val="0"/>
          <w:numId w:val="209"/>
        </w:numPr>
      </w:pPr>
      <w:r>
        <w:t>Médication actuelle ? (risques d’interactions)</w:t>
      </w:r>
    </w:p>
    <w:p w:rsidR="001A5F92" w:rsidRPr="00B331FA" w:rsidRDefault="002C0179" w:rsidP="002F7D99">
      <w:pPr>
        <w:pStyle w:val="Sansinterligne"/>
        <w:numPr>
          <w:ilvl w:val="0"/>
          <w:numId w:val="209"/>
        </w:numPr>
        <w:rPr>
          <w:highlight w:val="yellow"/>
        </w:rPr>
      </w:pPr>
      <w:r w:rsidRPr="00B331FA">
        <w:rPr>
          <w:highlight w:val="yellow"/>
        </w:rPr>
        <w:t xml:space="preserve">Antécédents sexuels : </w:t>
      </w:r>
    </w:p>
    <w:p w:rsidR="001A5F92" w:rsidRDefault="001A5F92" w:rsidP="001A5F92">
      <w:pPr>
        <w:pStyle w:val="Sansinterligne"/>
        <w:numPr>
          <w:ilvl w:val="0"/>
          <w:numId w:val="208"/>
        </w:numPr>
      </w:pPr>
      <w:r>
        <w:t>Ménarche</w:t>
      </w:r>
    </w:p>
    <w:p w:rsidR="001A5F92" w:rsidRDefault="001A5F92" w:rsidP="001A5F92">
      <w:pPr>
        <w:pStyle w:val="Sansinterligne"/>
        <w:numPr>
          <w:ilvl w:val="0"/>
          <w:numId w:val="208"/>
        </w:numPr>
      </w:pPr>
      <w:r>
        <w:t>Coïtarche</w:t>
      </w:r>
    </w:p>
    <w:p w:rsidR="001A5F92" w:rsidRDefault="001A5F92" w:rsidP="001A5F92">
      <w:pPr>
        <w:pStyle w:val="Sansinterligne"/>
        <w:numPr>
          <w:ilvl w:val="0"/>
          <w:numId w:val="208"/>
        </w:numPr>
      </w:pPr>
      <w:r>
        <w:t>R</w:t>
      </w:r>
      <w:r w:rsidR="002C0179">
        <w:t>égularité et durée du cycle, etc.</w:t>
      </w:r>
      <w:r w:rsidR="00CE2A94">
        <w:t xml:space="preserve"> </w:t>
      </w:r>
    </w:p>
    <w:p w:rsidR="001A5F92" w:rsidRDefault="001A5F92" w:rsidP="001A5F92">
      <w:pPr>
        <w:pStyle w:val="Sansinterligne"/>
        <w:numPr>
          <w:ilvl w:val="0"/>
          <w:numId w:val="208"/>
        </w:numPr>
      </w:pPr>
      <w:r>
        <w:t>N</w:t>
      </w:r>
      <w:r w:rsidR="00CE2A94">
        <w:t>ombre de partenaires</w:t>
      </w:r>
    </w:p>
    <w:p w:rsidR="00CE2A94" w:rsidRDefault="001A5F92" w:rsidP="001A5F92">
      <w:pPr>
        <w:pStyle w:val="Sansinterligne"/>
        <w:numPr>
          <w:ilvl w:val="0"/>
          <w:numId w:val="208"/>
        </w:numPr>
      </w:pPr>
      <w:r>
        <w:t>R</w:t>
      </w:r>
      <w:r w:rsidR="00CE2A94">
        <w:t>elations sexuelles à risque</w:t>
      </w:r>
    </w:p>
    <w:p w:rsidR="001A5F92" w:rsidRDefault="001A5F92" w:rsidP="002C0179">
      <w:pPr>
        <w:pStyle w:val="Sansinterligne"/>
      </w:pPr>
    </w:p>
    <w:p w:rsidR="001A5F92" w:rsidRDefault="001A5F92" w:rsidP="002C0179">
      <w:pPr>
        <w:pStyle w:val="Sansinterligne"/>
      </w:pPr>
    </w:p>
    <w:p w:rsidR="001A5F92" w:rsidRDefault="001A5F92" w:rsidP="002C0179">
      <w:pPr>
        <w:pStyle w:val="Sansinterligne"/>
      </w:pPr>
    </w:p>
    <w:p w:rsidR="001A5F92" w:rsidRPr="00D13BCC" w:rsidRDefault="001A5F92" w:rsidP="002C0179">
      <w:pPr>
        <w:pStyle w:val="Sansinterligne"/>
        <w:rPr>
          <w:sz w:val="16"/>
          <w:szCs w:val="16"/>
        </w:rPr>
      </w:pPr>
    </w:p>
    <w:p w:rsidR="001A5F92" w:rsidRDefault="001A5F92" w:rsidP="002C0179">
      <w:pPr>
        <w:pStyle w:val="Sansinterligne"/>
      </w:pPr>
    </w:p>
    <w:p w:rsidR="002C0179" w:rsidRPr="00B331FA" w:rsidRDefault="002C0179" w:rsidP="002F7D99">
      <w:pPr>
        <w:pStyle w:val="Sansinterligne"/>
        <w:numPr>
          <w:ilvl w:val="0"/>
          <w:numId w:val="210"/>
        </w:numPr>
        <w:rPr>
          <w:highlight w:val="yellow"/>
        </w:rPr>
      </w:pPr>
      <w:r w:rsidRPr="00B331FA">
        <w:rPr>
          <w:highlight w:val="yellow"/>
        </w:rPr>
        <w:t>Antécédents de :</w:t>
      </w:r>
    </w:p>
    <w:p w:rsidR="002C0179" w:rsidRPr="00B331FA" w:rsidRDefault="002C0179" w:rsidP="001A5F92">
      <w:pPr>
        <w:pStyle w:val="Sansinterligne"/>
        <w:numPr>
          <w:ilvl w:val="0"/>
          <w:numId w:val="207"/>
        </w:numPr>
        <w:rPr>
          <w:highlight w:val="yellow"/>
        </w:rPr>
      </w:pPr>
      <w:r w:rsidRPr="00B331FA">
        <w:rPr>
          <w:highlight w:val="yellow"/>
        </w:rPr>
        <w:t xml:space="preserve">Migraine </w:t>
      </w:r>
      <w:r w:rsidR="00CE2A94" w:rsidRPr="00B331FA">
        <w:rPr>
          <w:highlight w:val="yellow"/>
        </w:rPr>
        <w:t>avec symptômes neurologiques</w:t>
      </w:r>
    </w:p>
    <w:p w:rsidR="00CE2A94" w:rsidRDefault="00CE2A94" w:rsidP="001A5F92">
      <w:pPr>
        <w:pStyle w:val="Sansinterligne"/>
        <w:numPr>
          <w:ilvl w:val="0"/>
          <w:numId w:val="207"/>
        </w:numPr>
      </w:pPr>
      <w:r>
        <w:t xml:space="preserve">HTA non contrôlée </w:t>
      </w:r>
    </w:p>
    <w:p w:rsidR="002C0179" w:rsidRDefault="002C0179" w:rsidP="001A5F92">
      <w:pPr>
        <w:pStyle w:val="Sansinterligne"/>
        <w:numPr>
          <w:ilvl w:val="0"/>
          <w:numId w:val="207"/>
        </w:numPr>
      </w:pPr>
      <w:r>
        <w:t>AVC / MCAS</w:t>
      </w:r>
    </w:p>
    <w:p w:rsidR="00CE2A94" w:rsidRDefault="00CE2A94" w:rsidP="001A5F92">
      <w:pPr>
        <w:pStyle w:val="Sansinterligne"/>
        <w:numPr>
          <w:ilvl w:val="0"/>
          <w:numId w:val="207"/>
        </w:numPr>
      </w:pPr>
      <w:r>
        <w:t>Néoplasies hormonodépendantes</w:t>
      </w:r>
    </w:p>
    <w:p w:rsidR="00CE2A94" w:rsidRDefault="00CE2A94" w:rsidP="001A5F92">
      <w:pPr>
        <w:pStyle w:val="Sansinterligne"/>
        <w:numPr>
          <w:ilvl w:val="0"/>
          <w:numId w:val="207"/>
        </w:numPr>
      </w:pPr>
      <w:r>
        <w:t xml:space="preserve">Cirrhose ou atteinte hépatique </w:t>
      </w:r>
    </w:p>
    <w:p w:rsidR="00CE2A94" w:rsidRDefault="00CE2A94" w:rsidP="001A5F92">
      <w:pPr>
        <w:pStyle w:val="Sansinterligne"/>
        <w:numPr>
          <w:ilvl w:val="0"/>
          <w:numId w:val="207"/>
        </w:numPr>
      </w:pPr>
      <w:r>
        <w:t>Hypertryglycéridémie familiale</w:t>
      </w:r>
    </w:p>
    <w:p w:rsidR="002C0179" w:rsidRPr="00B331FA" w:rsidRDefault="002C0179" w:rsidP="001A5F92">
      <w:pPr>
        <w:pStyle w:val="Sansinterligne"/>
        <w:numPr>
          <w:ilvl w:val="0"/>
          <w:numId w:val="207"/>
        </w:numPr>
        <w:rPr>
          <w:highlight w:val="yellow"/>
        </w:rPr>
      </w:pPr>
      <w:r w:rsidRPr="00B331FA">
        <w:rPr>
          <w:highlight w:val="yellow"/>
        </w:rPr>
        <w:t>Thrombose veineuse/ embolie pulmonaire</w:t>
      </w:r>
    </w:p>
    <w:p w:rsidR="00CE2A94" w:rsidRPr="00B331FA" w:rsidRDefault="00CE2A94" w:rsidP="002F7D99">
      <w:pPr>
        <w:pStyle w:val="Sansinterligne"/>
        <w:numPr>
          <w:ilvl w:val="0"/>
          <w:numId w:val="211"/>
        </w:numPr>
        <w:rPr>
          <w:highlight w:val="yellow"/>
        </w:rPr>
      </w:pPr>
      <w:r w:rsidRPr="00B331FA">
        <w:rPr>
          <w:highlight w:val="yellow"/>
        </w:rPr>
        <w:t>Actuellement enceinte ?</w:t>
      </w:r>
    </w:p>
    <w:p w:rsidR="00CE2A94" w:rsidRPr="00B331FA" w:rsidRDefault="00CE2A94" w:rsidP="002F7D99">
      <w:pPr>
        <w:pStyle w:val="Sansinterligne"/>
        <w:numPr>
          <w:ilvl w:val="0"/>
          <w:numId w:val="211"/>
        </w:numPr>
        <w:rPr>
          <w:highlight w:val="yellow"/>
        </w:rPr>
      </w:pPr>
      <w:r w:rsidRPr="00B331FA">
        <w:rPr>
          <w:highlight w:val="yellow"/>
        </w:rPr>
        <w:t>Autre problème gynécologique ? (ITSS, salpingite, saignements anormaux</w:t>
      </w:r>
      <w:r w:rsidR="001A5F92" w:rsidRPr="00B331FA">
        <w:rPr>
          <w:highlight w:val="yellow"/>
        </w:rPr>
        <w:t>, SOPK, etc.</w:t>
      </w:r>
      <w:r w:rsidRPr="00B331FA">
        <w:rPr>
          <w:highlight w:val="yellow"/>
        </w:rPr>
        <w:t xml:space="preserve"> ?)</w:t>
      </w:r>
    </w:p>
    <w:p w:rsidR="001A5F92" w:rsidRDefault="001A5F92" w:rsidP="00CE2A94">
      <w:pPr>
        <w:pStyle w:val="Sansinterligne"/>
        <w:sectPr w:rsidR="001A5F92" w:rsidSect="001A5F92">
          <w:type w:val="continuous"/>
          <w:pgSz w:w="12240" w:h="15840"/>
          <w:pgMar w:top="720" w:right="720" w:bottom="720" w:left="720" w:header="708" w:footer="708" w:gutter="0"/>
          <w:cols w:num="2" w:space="708"/>
          <w:docGrid w:linePitch="360"/>
        </w:sectPr>
      </w:pPr>
    </w:p>
    <w:p w:rsidR="00B331FA" w:rsidRDefault="00CE2A94" w:rsidP="00CE2A94">
      <w:pPr>
        <w:pStyle w:val="Sansinterligne"/>
      </w:pPr>
      <w:r w:rsidRPr="00B331FA">
        <w:rPr>
          <w:i/>
        </w:rPr>
        <w:lastRenderedPageBreak/>
        <w:t>Examen physique</w:t>
      </w:r>
      <w:r>
        <w:t xml:space="preserve"> : </w:t>
      </w:r>
    </w:p>
    <w:p w:rsidR="00CE2A94" w:rsidRDefault="00B331FA" w:rsidP="00CE2A94">
      <w:pPr>
        <w:pStyle w:val="Sansinterligne"/>
      </w:pPr>
      <w:r>
        <w:t>P</w:t>
      </w:r>
      <w:r w:rsidR="00CE2A94">
        <w:t xml:space="preserve">elvien et MI si active sexuellement ou </w:t>
      </w:r>
      <w:r w:rsidR="00CE2A94">
        <w:rPr>
          <w:rFonts w:ascii="Century Gothic" w:hAnsi="Century Gothic"/>
        </w:rPr>
        <w:t>&gt;</w:t>
      </w:r>
      <w:r w:rsidR="00CE2A94">
        <w:t xml:space="preserve"> 21 ans (avant d’initier l’hormonothérapie)</w:t>
      </w:r>
    </w:p>
    <w:p w:rsidR="002C0179" w:rsidRDefault="00A33D49" w:rsidP="002C0179">
      <w:pPr>
        <w:pStyle w:val="Sansinterligne"/>
      </w:pPr>
      <w:r>
        <w:t>S’abstenir d’examen gynécologique si n’a jamais eu de relation</w:t>
      </w:r>
      <w:r w:rsidR="00B331FA">
        <w:t>s et sans autre contexte</w:t>
      </w:r>
      <w:r>
        <w:t xml:space="preserve"> (douloureux et intimidant)</w:t>
      </w:r>
    </w:p>
    <w:p w:rsidR="00A33D49" w:rsidRDefault="00A33D49" w:rsidP="002C0179">
      <w:pPr>
        <w:pStyle w:val="Sansinterligne"/>
      </w:pPr>
    </w:p>
    <w:p w:rsidR="00B331FA" w:rsidRDefault="00B331FA" w:rsidP="002C0179">
      <w:pPr>
        <w:pStyle w:val="Sansinterligne"/>
      </w:pPr>
      <w:r w:rsidRPr="00B331FA">
        <w:rPr>
          <w:i/>
        </w:rPr>
        <w:t>Examens</w:t>
      </w:r>
      <w:r>
        <w:t> :</w:t>
      </w:r>
    </w:p>
    <w:p w:rsidR="001A5F92" w:rsidRDefault="001A5F92" w:rsidP="002F7D99">
      <w:pPr>
        <w:pStyle w:val="Sansinterligne"/>
        <w:numPr>
          <w:ilvl w:val="0"/>
          <w:numId w:val="213"/>
        </w:numPr>
      </w:pPr>
      <w:r>
        <w:t>Culture vaginale si contexte approprié (suspicion d’ITSS, pré-installation d’un DIU, à la demande de la patiente)</w:t>
      </w:r>
    </w:p>
    <w:p w:rsidR="001A5F92" w:rsidRDefault="001A5F92" w:rsidP="002F7D99">
      <w:pPr>
        <w:pStyle w:val="Sansinterligne"/>
        <w:numPr>
          <w:ilvl w:val="0"/>
          <w:numId w:val="213"/>
        </w:numPr>
      </w:pPr>
      <w:r>
        <w:t>Test de Papanicolaou si examen gynécologique de routine concomitant ou lésion</w:t>
      </w:r>
    </w:p>
    <w:p w:rsidR="00A33D49" w:rsidRDefault="001A5F92" w:rsidP="002F7D99">
      <w:pPr>
        <w:pStyle w:val="Sansinterligne"/>
        <w:numPr>
          <w:ilvl w:val="0"/>
          <w:numId w:val="213"/>
        </w:numPr>
      </w:pPr>
      <w:r>
        <w:rPr>
          <w:rFonts w:cs="Times New Roman"/>
        </w:rPr>
        <w:t>Β</w:t>
      </w:r>
      <w:r>
        <w:t>-HCG</w:t>
      </w:r>
      <w:r w:rsidR="00B331FA">
        <w:t xml:space="preserve"> pour éliminer grossesse avant début de contraception</w:t>
      </w:r>
    </w:p>
    <w:p w:rsidR="00B331FA" w:rsidRPr="002C0179" w:rsidRDefault="00B331FA" w:rsidP="002C0179">
      <w:pPr>
        <w:pStyle w:val="Sansinterligne"/>
      </w:pPr>
    </w:p>
    <w:p w:rsidR="002C0179" w:rsidRDefault="002C0179" w:rsidP="002C0179">
      <w:pPr>
        <w:pStyle w:val="Sansinterligne"/>
      </w:pPr>
      <w:r w:rsidRPr="00833FBD">
        <w:rPr>
          <w:b/>
          <w:sz w:val="28"/>
          <w:szCs w:val="28"/>
        </w:rPr>
        <w:t>Moyens de contraception </w:t>
      </w:r>
      <w:r w:rsidR="006C2791">
        <w:rPr>
          <w:b/>
          <w:sz w:val="28"/>
          <w:szCs w:val="28"/>
        </w:rPr>
        <w:t>recommandés</w:t>
      </w:r>
      <w:r w:rsidRPr="00833FBD">
        <w:rPr>
          <w:b/>
          <w:sz w:val="28"/>
          <w:szCs w:val="28"/>
        </w:rPr>
        <w:t>: avantage, inconvénients etc</w:t>
      </w:r>
      <w:r>
        <w:t>.</w:t>
      </w:r>
    </w:p>
    <w:p w:rsidR="002C0179" w:rsidRDefault="002C0179" w:rsidP="002C0179">
      <w:pPr>
        <w:pStyle w:val="Sansinterligne"/>
      </w:pPr>
    </w:p>
    <w:tbl>
      <w:tblPr>
        <w:tblStyle w:val="Grilledutableau"/>
        <w:tblW w:w="0" w:type="auto"/>
        <w:tblLook w:val="04A0" w:firstRow="1" w:lastRow="0" w:firstColumn="1" w:lastColumn="0" w:noHBand="0" w:noVBand="1"/>
      </w:tblPr>
      <w:tblGrid>
        <w:gridCol w:w="2078"/>
        <w:gridCol w:w="60"/>
        <w:gridCol w:w="1209"/>
        <w:gridCol w:w="1685"/>
        <w:gridCol w:w="3764"/>
        <w:gridCol w:w="2220"/>
      </w:tblGrid>
      <w:tr w:rsidR="004F16E8" w:rsidTr="002A1F06">
        <w:tc>
          <w:tcPr>
            <w:tcW w:w="11016" w:type="dxa"/>
            <w:gridSpan w:val="6"/>
            <w:shd w:val="clear" w:color="auto" w:fill="CCC0D9" w:themeFill="accent4" w:themeFillTint="66"/>
          </w:tcPr>
          <w:p w:rsidR="004F16E8" w:rsidRDefault="004F16E8" w:rsidP="004F16E8">
            <w:pPr>
              <w:pStyle w:val="Sansinterligne"/>
              <w:jc w:val="center"/>
            </w:pPr>
            <w:r>
              <w:t>Méthodes barrières</w:t>
            </w:r>
          </w:p>
        </w:tc>
      </w:tr>
      <w:tr w:rsidR="00F24EB7" w:rsidTr="00D413D2">
        <w:tc>
          <w:tcPr>
            <w:tcW w:w="2078" w:type="dxa"/>
          </w:tcPr>
          <w:p w:rsidR="004F16E8" w:rsidRPr="00F3579A" w:rsidRDefault="004F16E8" w:rsidP="00455EF8">
            <w:pPr>
              <w:pStyle w:val="Sansinterligne"/>
              <w:jc w:val="center"/>
              <w:rPr>
                <w:i/>
              </w:rPr>
            </w:pPr>
            <w:r w:rsidRPr="00F3579A">
              <w:rPr>
                <w:i/>
              </w:rPr>
              <w:t>Méthode</w:t>
            </w:r>
          </w:p>
        </w:tc>
        <w:tc>
          <w:tcPr>
            <w:tcW w:w="1309" w:type="dxa"/>
            <w:gridSpan w:val="2"/>
          </w:tcPr>
          <w:p w:rsidR="004F16E8" w:rsidRPr="00F3579A" w:rsidRDefault="004F16E8" w:rsidP="00455EF8">
            <w:pPr>
              <w:pStyle w:val="Sansinterligne"/>
              <w:jc w:val="center"/>
              <w:rPr>
                <w:i/>
              </w:rPr>
            </w:pPr>
            <w:r w:rsidRPr="00F3579A">
              <w:rPr>
                <w:i/>
              </w:rPr>
              <w:t>Efficacité</w:t>
            </w:r>
          </w:p>
        </w:tc>
        <w:tc>
          <w:tcPr>
            <w:tcW w:w="1992" w:type="dxa"/>
          </w:tcPr>
          <w:p w:rsidR="004F16E8" w:rsidRPr="00F3579A" w:rsidRDefault="004F16E8" w:rsidP="00455EF8">
            <w:pPr>
              <w:pStyle w:val="Sansinterligne"/>
              <w:jc w:val="center"/>
              <w:rPr>
                <w:i/>
              </w:rPr>
            </w:pPr>
            <w:r w:rsidRPr="00F3579A">
              <w:rPr>
                <w:i/>
              </w:rPr>
              <w:t>Avantages</w:t>
            </w:r>
          </w:p>
        </w:tc>
        <w:tc>
          <w:tcPr>
            <w:tcW w:w="3764" w:type="dxa"/>
          </w:tcPr>
          <w:p w:rsidR="004F16E8" w:rsidRPr="00F3579A" w:rsidRDefault="004F16E8" w:rsidP="00455EF8">
            <w:pPr>
              <w:pStyle w:val="Sansinterligne"/>
              <w:jc w:val="center"/>
              <w:rPr>
                <w:i/>
              </w:rPr>
            </w:pPr>
            <w:r w:rsidRPr="00F3579A">
              <w:rPr>
                <w:i/>
              </w:rPr>
              <w:t>Inconvénients</w:t>
            </w:r>
          </w:p>
        </w:tc>
        <w:tc>
          <w:tcPr>
            <w:tcW w:w="1873" w:type="dxa"/>
          </w:tcPr>
          <w:p w:rsidR="004F16E8" w:rsidRPr="00F3579A" w:rsidRDefault="004F16E8" w:rsidP="00455EF8">
            <w:pPr>
              <w:pStyle w:val="Sansinterligne"/>
              <w:jc w:val="center"/>
              <w:rPr>
                <w:i/>
              </w:rPr>
            </w:pPr>
            <w:r w:rsidRPr="00F3579A">
              <w:rPr>
                <w:i/>
              </w:rPr>
              <w:t>Interactions</w:t>
            </w:r>
          </w:p>
        </w:tc>
      </w:tr>
      <w:tr w:rsidR="00763F8D" w:rsidTr="00D413D2">
        <w:tc>
          <w:tcPr>
            <w:tcW w:w="2078" w:type="dxa"/>
          </w:tcPr>
          <w:p w:rsidR="00F3579A" w:rsidRPr="00455EF8" w:rsidRDefault="00F3579A" w:rsidP="002C0179">
            <w:pPr>
              <w:pStyle w:val="Sansinterligne"/>
              <w:rPr>
                <w:highlight w:val="yellow"/>
              </w:rPr>
            </w:pPr>
            <w:r w:rsidRPr="00455EF8">
              <w:rPr>
                <w:highlight w:val="yellow"/>
              </w:rPr>
              <w:t>Condom masculin</w:t>
            </w:r>
          </w:p>
        </w:tc>
        <w:tc>
          <w:tcPr>
            <w:tcW w:w="1309" w:type="dxa"/>
            <w:gridSpan w:val="2"/>
          </w:tcPr>
          <w:p w:rsidR="00F3579A" w:rsidRPr="003D3C52" w:rsidRDefault="00F3579A" w:rsidP="003842B2">
            <w:pPr>
              <w:pStyle w:val="Sansinterligne"/>
              <w:tabs>
                <w:tab w:val="left" w:pos="1103"/>
              </w:tabs>
              <w:jc w:val="center"/>
            </w:pPr>
            <w:r w:rsidRPr="003D3C52">
              <w:t>97% (théorique)</w:t>
            </w:r>
          </w:p>
          <w:p w:rsidR="003D3C52" w:rsidRPr="00455EF8" w:rsidRDefault="003D3C52" w:rsidP="003D3C52">
            <w:pPr>
              <w:pStyle w:val="Sansinterligne"/>
              <w:tabs>
                <w:tab w:val="left" w:pos="1103"/>
              </w:tabs>
              <w:jc w:val="center"/>
              <w:rPr>
                <w:highlight w:val="yellow"/>
              </w:rPr>
            </w:pPr>
            <w:r>
              <w:rPr>
                <w:highlight w:val="yellow"/>
              </w:rPr>
              <w:t>85% (réel)</w:t>
            </w:r>
          </w:p>
        </w:tc>
        <w:tc>
          <w:tcPr>
            <w:tcW w:w="1992" w:type="dxa"/>
          </w:tcPr>
          <w:p w:rsidR="00F3579A" w:rsidRPr="00455EF8" w:rsidRDefault="003D3C52" w:rsidP="002C0179">
            <w:pPr>
              <w:pStyle w:val="Sansinterligne"/>
              <w:rPr>
                <w:highlight w:val="yellow"/>
              </w:rPr>
            </w:pPr>
            <w:r>
              <w:rPr>
                <w:highlight w:val="yellow"/>
              </w:rPr>
              <w:t>Efficace</w:t>
            </w:r>
          </w:p>
          <w:p w:rsidR="00F3579A" w:rsidRPr="00455EF8" w:rsidRDefault="00F3579A" w:rsidP="00F3579A">
            <w:pPr>
              <w:pStyle w:val="Sansinterligne"/>
              <w:rPr>
                <w:highlight w:val="yellow"/>
              </w:rPr>
            </w:pPr>
            <w:r w:rsidRPr="00455EF8">
              <w:rPr>
                <w:highlight w:val="yellow"/>
              </w:rPr>
              <w:t>Protège également contre les MTS</w:t>
            </w:r>
          </w:p>
          <w:p w:rsidR="00F3579A" w:rsidRPr="00455EF8" w:rsidRDefault="00F3579A" w:rsidP="00F3579A">
            <w:pPr>
              <w:pStyle w:val="Sansinterligne"/>
              <w:rPr>
                <w:highlight w:val="yellow"/>
              </w:rPr>
            </w:pPr>
            <w:r w:rsidRPr="00455EF8">
              <w:rPr>
                <w:highlight w:val="yellow"/>
              </w:rPr>
              <w:lastRenderedPageBreak/>
              <w:t xml:space="preserve">Non-hormonal </w:t>
            </w:r>
          </w:p>
          <w:p w:rsidR="00F3579A" w:rsidRPr="00455EF8" w:rsidRDefault="00F3579A" w:rsidP="00F3579A">
            <w:pPr>
              <w:pStyle w:val="Sansinterligne"/>
              <w:rPr>
                <w:highlight w:val="yellow"/>
              </w:rPr>
            </w:pPr>
            <w:r w:rsidRPr="00455EF8">
              <w:rPr>
                <w:highlight w:val="yellow"/>
              </w:rPr>
              <w:t>Peu dispendieux</w:t>
            </w:r>
          </w:p>
          <w:p w:rsidR="00F3579A" w:rsidRPr="00455EF8" w:rsidRDefault="00F3579A" w:rsidP="00F3579A">
            <w:pPr>
              <w:pStyle w:val="Sansinterligne"/>
              <w:rPr>
                <w:highlight w:val="yellow"/>
              </w:rPr>
            </w:pPr>
            <w:r w:rsidRPr="00455EF8">
              <w:rPr>
                <w:highlight w:val="yellow"/>
              </w:rPr>
              <w:t>Accessibles</w:t>
            </w:r>
          </w:p>
        </w:tc>
        <w:tc>
          <w:tcPr>
            <w:tcW w:w="3764" w:type="dxa"/>
          </w:tcPr>
          <w:p w:rsidR="00F3579A" w:rsidRPr="00455EF8" w:rsidRDefault="00F3579A" w:rsidP="002C0179">
            <w:pPr>
              <w:pStyle w:val="Sansinterligne"/>
              <w:rPr>
                <w:highlight w:val="yellow"/>
              </w:rPr>
            </w:pPr>
            <w:r w:rsidRPr="00455EF8">
              <w:rPr>
                <w:highlight w:val="yellow"/>
              </w:rPr>
              <w:lastRenderedPageBreak/>
              <w:t>Utilisation sous-optimale</w:t>
            </w:r>
          </w:p>
          <w:p w:rsidR="00F3579A" w:rsidRPr="00455EF8" w:rsidRDefault="00F3579A" w:rsidP="002C0179">
            <w:pPr>
              <w:pStyle w:val="Sansinterligne"/>
              <w:rPr>
                <w:highlight w:val="yellow"/>
              </w:rPr>
            </w:pPr>
            <w:r w:rsidRPr="00455EF8">
              <w:rPr>
                <w:highlight w:val="yellow"/>
              </w:rPr>
              <w:t>Inconfort, sensation</w:t>
            </w:r>
          </w:p>
          <w:p w:rsidR="00F3579A" w:rsidRPr="00455EF8" w:rsidRDefault="00F3579A" w:rsidP="002C0179">
            <w:pPr>
              <w:pStyle w:val="Sansinterligne"/>
              <w:rPr>
                <w:highlight w:val="yellow"/>
              </w:rPr>
            </w:pPr>
            <w:r w:rsidRPr="00455EF8">
              <w:rPr>
                <w:highlight w:val="yellow"/>
              </w:rPr>
              <w:t>Allergie au latex (parfois)</w:t>
            </w:r>
          </w:p>
          <w:p w:rsidR="00F3579A" w:rsidRPr="00455EF8" w:rsidRDefault="00F3579A" w:rsidP="002C0179">
            <w:pPr>
              <w:pStyle w:val="Sansinterligne"/>
              <w:rPr>
                <w:highlight w:val="yellow"/>
              </w:rPr>
            </w:pPr>
            <w:r w:rsidRPr="00455EF8">
              <w:rPr>
                <w:highlight w:val="yellow"/>
              </w:rPr>
              <w:t>Usage unique</w:t>
            </w:r>
          </w:p>
          <w:p w:rsidR="00F3579A" w:rsidRPr="00455EF8" w:rsidRDefault="00F3579A" w:rsidP="002C0179">
            <w:pPr>
              <w:pStyle w:val="Sansinterligne"/>
              <w:rPr>
                <w:highlight w:val="yellow"/>
              </w:rPr>
            </w:pPr>
          </w:p>
        </w:tc>
        <w:tc>
          <w:tcPr>
            <w:tcW w:w="1873" w:type="dxa"/>
          </w:tcPr>
          <w:p w:rsidR="00F3579A" w:rsidRPr="00455EF8" w:rsidRDefault="00F3579A" w:rsidP="002C0179">
            <w:pPr>
              <w:pStyle w:val="Sansinterligne"/>
              <w:rPr>
                <w:highlight w:val="yellow"/>
              </w:rPr>
            </w:pPr>
            <w:r w:rsidRPr="00455EF8">
              <w:rPr>
                <w:highlight w:val="yellow"/>
              </w:rPr>
              <w:lastRenderedPageBreak/>
              <w:t>Aucune</w:t>
            </w:r>
          </w:p>
        </w:tc>
      </w:tr>
      <w:tr w:rsidR="00763F8D" w:rsidTr="00D413D2">
        <w:tc>
          <w:tcPr>
            <w:tcW w:w="2078" w:type="dxa"/>
          </w:tcPr>
          <w:p w:rsidR="00F3579A" w:rsidRDefault="00E148D6" w:rsidP="00E148D6">
            <w:pPr>
              <w:pStyle w:val="Sansinterligne"/>
            </w:pPr>
            <w:r>
              <w:lastRenderedPageBreak/>
              <w:t>Spermicide</w:t>
            </w:r>
          </w:p>
        </w:tc>
        <w:tc>
          <w:tcPr>
            <w:tcW w:w="1309" w:type="dxa"/>
            <w:gridSpan w:val="2"/>
          </w:tcPr>
          <w:p w:rsidR="00F3579A" w:rsidRDefault="00E148D6" w:rsidP="00E148D6">
            <w:pPr>
              <w:pStyle w:val="Sansinterligne"/>
            </w:pPr>
            <w:r>
              <w:t>75%</w:t>
            </w:r>
          </w:p>
        </w:tc>
        <w:tc>
          <w:tcPr>
            <w:tcW w:w="1992" w:type="dxa"/>
          </w:tcPr>
          <w:p w:rsidR="00E148D6" w:rsidRDefault="00C96326" w:rsidP="002C0179">
            <w:pPr>
              <w:pStyle w:val="Sansinterligne"/>
            </w:pPr>
            <w:r>
              <w:t>Utilisé seulement lors de la relation</w:t>
            </w:r>
          </w:p>
          <w:p w:rsidR="00C96326" w:rsidRDefault="00C96326" w:rsidP="002C0179">
            <w:pPr>
              <w:pStyle w:val="Sansinterligne"/>
            </w:pPr>
            <w:r>
              <w:t>Abordable</w:t>
            </w:r>
          </w:p>
          <w:p w:rsidR="00C96326" w:rsidRDefault="00C96326" w:rsidP="002C0179">
            <w:pPr>
              <w:pStyle w:val="Sansinterligne"/>
            </w:pPr>
            <w:r>
              <w:t>Sécuritaire</w:t>
            </w:r>
          </w:p>
          <w:p w:rsidR="00C96326" w:rsidRDefault="00C96326" w:rsidP="002C0179">
            <w:pPr>
              <w:pStyle w:val="Sansinterligne"/>
            </w:pPr>
          </w:p>
        </w:tc>
        <w:tc>
          <w:tcPr>
            <w:tcW w:w="3764" w:type="dxa"/>
          </w:tcPr>
          <w:p w:rsidR="00E148D6" w:rsidRDefault="00E148D6" w:rsidP="00E148D6">
            <w:pPr>
              <w:pStyle w:val="Sansinterligne"/>
            </w:pPr>
            <w:r>
              <w:t>Peu efficace</w:t>
            </w:r>
          </w:p>
          <w:p w:rsidR="00E148D6" w:rsidRDefault="00E148D6" w:rsidP="00E148D6">
            <w:pPr>
              <w:pStyle w:val="Sansinterligne"/>
            </w:pPr>
            <w:r w:rsidRPr="00C96326">
              <w:rPr>
                <w:highlight w:val="yellow"/>
              </w:rPr>
              <w:t>Doit être combiné</w:t>
            </w:r>
          </w:p>
          <w:p w:rsidR="00E148D6" w:rsidRDefault="00E148D6" w:rsidP="00E148D6">
            <w:pPr>
              <w:pStyle w:val="Sansinterligne"/>
            </w:pPr>
            <w:r>
              <w:rPr>
                <w:rFonts w:ascii="Century Gothic" w:hAnsi="Century Gothic"/>
              </w:rPr>
              <w:t>↑</w:t>
            </w:r>
            <w:r>
              <w:t xml:space="preserve"> vaginose et risque de transmission du VIH</w:t>
            </w:r>
          </w:p>
          <w:p w:rsidR="00F3579A" w:rsidRDefault="00E148D6" w:rsidP="00E148D6">
            <w:pPr>
              <w:pStyle w:val="Sansinterligne"/>
            </w:pPr>
            <w:r w:rsidRPr="00916776">
              <w:t>Ne protège pas contre plusieurs ITS</w:t>
            </w:r>
            <w:r>
              <w:t xml:space="preserve"> </w:t>
            </w:r>
            <w:r w:rsidR="00F3579A">
              <w:t>Irritant</w:t>
            </w:r>
          </w:p>
        </w:tc>
        <w:tc>
          <w:tcPr>
            <w:tcW w:w="1873" w:type="dxa"/>
          </w:tcPr>
          <w:p w:rsidR="00F3579A" w:rsidRDefault="00C96326" w:rsidP="002C0179">
            <w:pPr>
              <w:pStyle w:val="Sansinterligne"/>
            </w:pPr>
            <w:r>
              <w:t>Aucun</w:t>
            </w:r>
          </w:p>
        </w:tc>
      </w:tr>
      <w:tr w:rsidR="00F24EB7" w:rsidTr="00D413D2">
        <w:tc>
          <w:tcPr>
            <w:tcW w:w="2078" w:type="dxa"/>
          </w:tcPr>
          <w:p w:rsidR="004F16E8" w:rsidRPr="00455EF8" w:rsidRDefault="009C1749" w:rsidP="002C0179">
            <w:pPr>
              <w:pStyle w:val="Sansinterligne"/>
              <w:rPr>
                <w:highlight w:val="yellow"/>
              </w:rPr>
            </w:pPr>
            <w:r w:rsidRPr="00455EF8">
              <w:rPr>
                <w:highlight w:val="yellow"/>
              </w:rPr>
              <w:t>Diaphragme</w:t>
            </w:r>
            <w:r w:rsidR="003D3C52">
              <w:rPr>
                <w:highlight w:val="yellow"/>
              </w:rPr>
              <w:t xml:space="preserve"> avec spermicide</w:t>
            </w:r>
          </w:p>
        </w:tc>
        <w:tc>
          <w:tcPr>
            <w:tcW w:w="1309" w:type="dxa"/>
            <w:gridSpan w:val="2"/>
          </w:tcPr>
          <w:p w:rsidR="004F16E8" w:rsidRDefault="003D3C52" w:rsidP="003842B2">
            <w:pPr>
              <w:pStyle w:val="Sansinterligne"/>
              <w:jc w:val="center"/>
              <w:rPr>
                <w:highlight w:val="yellow"/>
              </w:rPr>
            </w:pPr>
            <w:r>
              <w:rPr>
                <w:highlight w:val="yellow"/>
              </w:rPr>
              <w:t>94</w:t>
            </w:r>
            <w:r w:rsidR="00F3579A" w:rsidRPr="00455EF8">
              <w:rPr>
                <w:highlight w:val="yellow"/>
              </w:rPr>
              <w:t>% (usage parfait)</w:t>
            </w:r>
          </w:p>
          <w:p w:rsidR="003D3C52" w:rsidRDefault="003D3C52" w:rsidP="003842B2">
            <w:pPr>
              <w:pStyle w:val="Sansinterligne"/>
              <w:jc w:val="center"/>
              <w:rPr>
                <w:highlight w:val="yellow"/>
              </w:rPr>
            </w:pPr>
          </w:p>
          <w:p w:rsidR="003D3C52" w:rsidRPr="00455EF8" w:rsidRDefault="003D3C52" w:rsidP="003D3C52">
            <w:pPr>
              <w:pStyle w:val="Sansinterligne"/>
              <w:jc w:val="center"/>
              <w:rPr>
                <w:highlight w:val="yellow"/>
              </w:rPr>
            </w:pPr>
            <w:r>
              <w:rPr>
                <w:highlight w:val="yellow"/>
              </w:rPr>
              <w:t>84% (réel)</w:t>
            </w:r>
          </w:p>
        </w:tc>
        <w:tc>
          <w:tcPr>
            <w:tcW w:w="1992" w:type="dxa"/>
          </w:tcPr>
          <w:p w:rsidR="003D3C52" w:rsidRDefault="003D3C52" w:rsidP="002C0179">
            <w:pPr>
              <w:pStyle w:val="Sansinterligne"/>
              <w:rPr>
                <w:highlight w:val="yellow"/>
              </w:rPr>
            </w:pPr>
            <w:r>
              <w:rPr>
                <w:highlight w:val="yellow"/>
              </w:rPr>
              <w:t>Efficace</w:t>
            </w:r>
          </w:p>
          <w:p w:rsidR="004F16E8" w:rsidRPr="00455EF8" w:rsidRDefault="00F3579A" w:rsidP="002C0179">
            <w:pPr>
              <w:pStyle w:val="Sansinterligne"/>
              <w:rPr>
                <w:highlight w:val="yellow"/>
              </w:rPr>
            </w:pPr>
            <w:r w:rsidRPr="00455EF8">
              <w:rPr>
                <w:highlight w:val="yellow"/>
              </w:rPr>
              <w:t>Sous contrôle féminin</w:t>
            </w:r>
          </w:p>
          <w:p w:rsidR="00F3579A" w:rsidRPr="00455EF8" w:rsidRDefault="00F3579A" w:rsidP="002C0179">
            <w:pPr>
              <w:pStyle w:val="Sansinterligne"/>
              <w:rPr>
                <w:highlight w:val="yellow"/>
              </w:rPr>
            </w:pPr>
            <w:r w:rsidRPr="00455EF8">
              <w:rPr>
                <w:highlight w:val="yellow"/>
              </w:rPr>
              <w:t>Non-hormonal</w:t>
            </w:r>
          </w:p>
          <w:p w:rsidR="00F3579A" w:rsidRPr="00455EF8" w:rsidRDefault="00F3579A" w:rsidP="002C0179">
            <w:pPr>
              <w:pStyle w:val="Sansinterligne"/>
              <w:rPr>
                <w:highlight w:val="yellow"/>
              </w:rPr>
            </w:pPr>
            <w:r w:rsidRPr="00455EF8">
              <w:rPr>
                <w:highlight w:val="yellow"/>
              </w:rPr>
              <w:t>Réutilisable</w:t>
            </w:r>
          </w:p>
          <w:p w:rsidR="00F3579A" w:rsidRPr="00455EF8" w:rsidRDefault="00F3579A" w:rsidP="002C0179">
            <w:pPr>
              <w:pStyle w:val="Sansinterligne"/>
              <w:rPr>
                <w:highlight w:val="yellow"/>
              </w:rPr>
            </w:pPr>
            <w:r w:rsidRPr="00455EF8">
              <w:rPr>
                <w:rFonts w:cs="Times New Roman"/>
                <w:highlight w:val="yellow"/>
              </w:rPr>
              <w:t>↓</w:t>
            </w:r>
            <w:r w:rsidRPr="00455EF8">
              <w:rPr>
                <w:highlight w:val="yellow"/>
              </w:rPr>
              <w:t xml:space="preserve"> risque cancer du col</w:t>
            </w:r>
          </w:p>
        </w:tc>
        <w:tc>
          <w:tcPr>
            <w:tcW w:w="3764" w:type="dxa"/>
          </w:tcPr>
          <w:p w:rsidR="004F16E8" w:rsidRPr="00455EF8" w:rsidRDefault="00F3579A" w:rsidP="002C0179">
            <w:pPr>
              <w:pStyle w:val="Sansinterligne"/>
              <w:rPr>
                <w:highlight w:val="yellow"/>
              </w:rPr>
            </w:pPr>
            <w:r w:rsidRPr="00455EF8">
              <w:rPr>
                <w:highlight w:val="yellow"/>
              </w:rPr>
              <w:t>Doit être en place x 6h post-coital</w:t>
            </w:r>
          </w:p>
          <w:p w:rsidR="00F3579A" w:rsidRPr="00455EF8" w:rsidRDefault="00F3579A" w:rsidP="002C0179">
            <w:pPr>
              <w:pStyle w:val="Sansinterligne"/>
              <w:rPr>
                <w:highlight w:val="yellow"/>
              </w:rPr>
            </w:pPr>
            <w:r w:rsidRPr="00455EF8">
              <w:rPr>
                <w:highlight w:val="yellow"/>
              </w:rPr>
              <w:t>Doit être utilisé avec spermicide</w:t>
            </w:r>
          </w:p>
          <w:p w:rsidR="00F3579A" w:rsidRPr="00455EF8" w:rsidRDefault="00F3579A" w:rsidP="002C0179">
            <w:pPr>
              <w:pStyle w:val="Sansinterligne"/>
              <w:rPr>
                <w:highlight w:val="yellow"/>
              </w:rPr>
            </w:pPr>
            <w:r w:rsidRPr="00455EF8">
              <w:rPr>
                <w:highlight w:val="yellow"/>
              </w:rPr>
              <w:t>Ne protège pas contre plusieurs ITS</w:t>
            </w:r>
          </w:p>
          <w:p w:rsidR="00F3579A" w:rsidRPr="00455EF8" w:rsidRDefault="00F3579A" w:rsidP="002C0179">
            <w:pPr>
              <w:pStyle w:val="Sansinterligne"/>
              <w:rPr>
                <w:highlight w:val="yellow"/>
              </w:rPr>
            </w:pPr>
            <w:r w:rsidRPr="00455EF8">
              <w:rPr>
                <w:rFonts w:ascii="Century Gothic" w:hAnsi="Century Gothic"/>
                <w:highlight w:val="yellow"/>
              </w:rPr>
              <w:t>↑</w:t>
            </w:r>
            <w:r w:rsidRPr="00455EF8">
              <w:rPr>
                <w:highlight w:val="yellow"/>
              </w:rPr>
              <w:t xml:space="preserve"> risque d’ITS et de SCT</w:t>
            </w:r>
          </w:p>
          <w:p w:rsidR="00F3579A" w:rsidRPr="00455EF8" w:rsidRDefault="00F3579A" w:rsidP="002C0179">
            <w:pPr>
              <w:pStyle w:val="Sansinterligne"/>
              <w:rPr>
                <w:highlight w:val="yellow"/>
              </w:rPr>
            </w:pPr>
            <w:r w:rsidRPr="00455EF8">
              <w:rPr>
                <w:highlight w:val="yellow"/>
              </w:rPr>
              <w:t>Doit être ajusté par un médecin/infirmière</w:t>
            </w:r>
          </w:p>
        </w:tc>
        <w:tc>
          <w:tcPr>
            <w:tcW w:w="1873" w:type="dxa"/>
          </w:tcPr>
          <w:p w:rsidR="004F16E8" w:rsidRDefault="00F3579A" w:rsidP="002C0179">
            <w:pPr>
              <w:pStyle w:val="Sansinterligne"/>
            </w:pPr>
            <w:r>
              <w:t>Aucun</w:t>
            </w:r>
          </w:p>
        </w:tc>
      </w:tr>
      <w:tr w:rsidR="00F24EB7" w:rsidTr="00D413D2">
        <w:tc>
          <w:tcPr>
            <w:tcW w:w="2078" w:type="dxa"/>
          </w:tcPr>
          <w:p w:rsidR="004F16E8" w:rsidRDefault="009C1749" w:rsidP="002C0179">
            <w:pPr>
              <w:pStyle w:val="Sansinterligne"/>
            </w:pPr>
            <w:r>
              <w:t>Éponge</w:t>
            </w:r>
          </w:p>
        </w:tc>
        <w:tc>
          <w:tcPr>
            <w:tcW w:w="1309" w:type="dxa"/>
            <w:gridSpan w:val="2"/>
          </w:tcPr>
          <w:p w:rsidR="004F16E8" w:rsidRDefault="003D3C52" w:rsidP="003842B2">
            <w:pPr>
              <w:pStyle w:val="Sansinterligne"/>
              <w:jc w:val="center"/>
            </w:pPr>
            <w:r>
              <w:t>68-84</w:t>
            </w:r>
            <w:r w:rsidR="00F3579A">
              <w:t>%</w:t>
            </w:r>
            <w:r>
              <w:t xml:space="preserve"> (réel)</w:t>
            </w:r>
          </w:p>
          <w:p w:rsidR="00F3579A" w:rsidRDefault="00F3579A" w:rsidP="003842B2">
            <w:pPr>
              <w:pStyle w:val="Sansinterligne"/>
              <w:jc w:val="center"/>
            </w:pPr>
            <w:r>
              <w:t>98% avec condom</w:t>
            </w:r>
          </w:p>
        </w:tc>
        <w:tc>
          <w:tcPr>
            <w:tcW w:w="1992" w:type="dxa"/>
          </w:tcPr>
          <w:p w:rsidR="004F16E8" w:rsidRDefault="00F3579A" w:rsidP="002C0179">
            <w:pPr>
              <w:pStyle w:val="Sansinterligne"/>
            </w:pPr>
            <w:r>
              <w:t>Pas besoin d’ajustement</w:t>
            </w:r>
          </w:p>
          <w:p w:rsidR="00F3579A" w:rsidRDefault="00F3579A" w:rsidP="002C0179">
            <w:pPr>
              <w:pStyle w:val="Sansinterligne"/>
            </w:pPr>
            <w:r>
              <w:t>Disponible en pharmacie</w:t>
            </w:r>
          </w:p>
        </w:tc>
        <w:tc>
          <w:tcPr>
            <w:tcW w:w="3764" w:type="dxa"/>
          </w:tcPr>
          <w:p w:rsidR="004F16E8" w:rsidRDefault="00F3579A" w:rsidP="002C0179">
            <w:pPr>
              <w:pStyle w:val="Sansinterligne"/>
            </w:pPr>
            <w:r>
              <w:t>Dispendieux</w:t>
            </w:r>
          </w:p>
          <w:p w:rsidR="00F3579A" w:rsidRDefault="00F3579A" w:rsidP="00F3579A">
            <w:pPr>
              <w:pStyle w:val="Sansinterligne"/>
            </w:pPr>
            <w:r>
              <w:t>Ne protège pas contre les ITS</w:t>
            </w:r>
          </w:p>
          <w:p w:rsidR="00F3579A" w:rsidRDefault="00F3579A" w:rsidP="002C0179">
            <w:pPr>
              <w:pStyle w:val="Sansinterligne"/>
            </w:pPr>
            <w:r>
              <w:rPr>
                <w:rFonts w:ascii="Century Gothic" w:hAnsi="Century Gothic"/>
              </w:rPr>
              <w:t>↑</w:t>
            </w:r>
            <w:r>
              <w:t xml:space="preserve"> risque de SCT (STSS)</w:t>
            </w:r>
          </w:p>
        </w:tc>
        <w:tc>
          <w:tcPr>
            <w:tcW w:w="1873" w:type="dxa"/>
          </w:tcPr>
          <w:p w:rsidR="004F16E8" w:rsidRDefault="00F3579A" w:rsidP="002C0179">
            <w:pPr>
              <w:pStyle w:val="Sansinterligne"/>
            </w:pPr>
            <w:r>
              <w:t>Aucun</w:t>
            </w:r>
          </w:p>
        </w:tc>
      </w:tr>
      <w:tr w:rsidR="004F16E8" w:rsidTr="002A1F06">
        <w:tc>
          <w:tcPr>
            <w:tcW w:w="11016" w:type="dxa"/>
            <w:gridSpan w:val="6"/>
            <w:shd w:val="clear" w:color="auto" w:fill="CCC0D9" w:themeFill="accent4" w:themeFillTint="66"/>
          </w:tcPr>
          <w:p w:rsidR="004F16E8" w:rsidRDefault="004F16E8" w:rsidP="009C1749">
            <w:pPr>
              <w:pStyle w:val="Sansinterligne"/>
              <w:jc w:val="center"/>
            </w:pPr>
            <w:r>
              <w:t>Méthodes hormonales</w:t>
            </w:r>
          </w:p>
        </w:tc>
      </w:tr>
      <w:tr w:rsidR="00F24EB7" w:rsidTr="00D413D2">
        <w:tc>
          <w:tcPr>
            <w:tcW w:w="2144" w:type="dxa"/>
            <w:gridSpan w:val="2"/>
          </w:tcPr>
          <w:p w:rsidR="008E6ED5" w:rsidRPr="00F3579A" w:rsidRDefault="008E6ED5" w:rsidP="00F3579A">
            <w:pPr>
              <w:pStyle w:val="Sansinterligne"/>
              <w:jc w:val="center"/>
              <w:rPr>
                <w:i/>
              </w:rPr>
            </w:pPr>
            <w:r w:rsidRPr="00F3579A">
              <w:rPr>
                <w:i/>
              </w:rPr>
              <w:t>Méthode</w:t>
            </w:r>
          </w:p>
        </w:tc>
        <w:tc>
          <w:tcPr>
            <w:tcW w:w="1243" w:type="dxa"/>
          </w:tcPr>
          <w:p w:rsidR="008E6ED5" w:rsidRPr="00F3579A" w:rsidRDefault="008E6ED5" w:rsidP="00F3579A">
            <w:pPr>
              <w:pStyle w:val="Sansinterligne"/>
              <w:jc w:val="center"/>
              <w:rPr>
                <w:i/>
              </w:rPr>
            </w:pPr>
            <w:r>
              <w:rPr>
                <w:i/>
              </w:rPr>
              <w:t>Efficacité</w:t>
            </w:r>
          </w:p>
        </w:tc>
        <w:tc>
          <w:tcPr>
            <w:tcW w:w="1992" w:type="dxa"/>
          </w:tcPr>
          <w:p w:rsidR="008E6ED5" w:rsidRPr="00F3579A" w:rsidRDefault="008E6ED5" w:rsidP="00916776">
            <w:pPr>
              <w:pStyle w:val="Sansinterligne"/>
              <w:jc w:val="center"/>
              <w:rPr>
                <w:i/>
              </w:rPr>
            </w:pPr>
            <w:r w:rsidRPr="00F3579A">
              <w:rPr>
                <w:i/>
              </w:rPr>
              <w:t>Avantages</w:t>
            </w:r>
          </w:p>
        </w:tc>
        <w:tc>
          <w:tcPr>
            <w:tcW w:w="3764" w:type="dxa"/>
          </w:tcPr>
          <w:p w:rsidR="008E6ED5" w:rsidRPr="00F3579A" w:rsidRDefault="008E6ED5" w:rsidP="00916776">
            <w:pPr>
              <w:pStyle w:val="Sansinterligne"/>
              <w:jc w:val="center"/>
              <w:rPr>
                <w:i/>
              </w:rPr>
            </w:pPr>
            <w:r w:rsidRPr="00F3579A">
              <w:rPr>
                <w:i/>
              </w:rPr>
              <w:t>Inconvénients</w:t>
            </w:r>
          </w:p>
        </w:tc>
        <w:tc>
          <w:tcPr>
            <w:tcW w:w="1873" w:type="dxa"/>
          </w:tcPr>
          <w:p w:rsidR="008E6ED5" w:rsidRPr="00F3579A" w:rsidRDefault="008E6ED5" w:rsidP="00916776">
            <w:pPr>
              <w:pStyle w:val="Sansinterligne"/>
              <w:jc w:val="center"/>
              <w:rPr>
                <w:i/>
              </w:rPr>
            </w:pPr>
            <w:r w:rsidRPr="00F3579A">
              <w:rPr>
                <w:i/>
              </w:rPr>
              <w:t>Interactions</w:t>
            </w:r>
          </w:p>
        </w:tc>
      </w:tr>
      <w:tr w:rsidR="00F24EB7" w:rsidTr="00D413D2">
        <w:tc>
          <w:tcPr>
            <w:tcW w:w="2144" w:type="dxa"/>
            <w:gridSpan w:val="2"/>
          </w:tcPr>
          <w:p w:rsidR="008E6ED5" w:rsidRDefault="008E6ED5" w:rsidP="002C0179">
            <w:pPr>
              <w:pStyle w:val="Sansinterligne"/>
            </w:pPr>
            <w:r>
              <w:t>Contraceptifs oraux combinés</w:t>
            </w:r>
            <w:r w:rsidR="00145D9D">
              <w:t xml:space="preserve"> (COC)</w:t>
            </w:r>
          </w:p>
        </w:tc>
        <w:tc>
          <w:tcPr>
            <w:tcW w:w="1243" w:type="dxa"/>
          </w:tcPr>
          <w:p w:rsidR="008E6ED5" w:rsidRDefault="008E6ED5" w:rsidP="002C0179">
            <w:pPr>
              <w:pStyle w:val="Sansinterligne"/>
            </w:pPr>
            <w:r>
              <w:t>97-99%</w:t>
            </w:r>
          </w:p>
        </w:tc>
        <w:tc>
          <w:tcPr>
            <w:tcW w:w="1992" w:type="dxa"/>
          </w:tcPr>
          <w:p w:rsidR="008E6ED5" w:rsidRPr="00E56305" w:rsidRDefault="008E6ED5" w:rsidP="002C0179">
            <w:pPr>
              <w:pStyle w:val="Sansinterligne"/>
              <w:rPr>
                <w:highlight w:val="yellow"/>
              </w:rPr>
            </w:pPr>
            <w:r w:rsidRPr="00E56305">
              <w:rPr>
                <w:highlight w:val="yellow"/>
              </w:rPr>
              <w:t>Très efficace</w:t>
            </w:r>
          </w:p>
          <w:p w:rsidR="008E6ED5" w:rsidRPr="00E56305" w:rsidRDefault="008E6ED5" w:rsidP="002C0179">
            <w:pPr>
              <w:pStyle w:val="Sansinterligne"/>
              <w:rPr>
                <w:highlight w:val="yellow"/>
              </w:rPr>
            </w:pPr>
            <w:r w:rsidRPr="00E56305">
              <w:rPr>
                <w:highlight w:val="yellow"/>
              </w:rPr>
              <w:t>Régularise le cycle</w:t>
            </w:r>
          </w:p>
          <w:p w:rsidR="008E6ED5" w:rsidRPr="00E56305" w:rsidRDefault="008E6ED5" w:rsidP="002C0179">
            <w:pPr>
              <w:pStyle w:val="Sansinterligne"/>
              <w:rPr>
                <w:highlight w:val="yellow"/>
              </w:rPr>
            </w:pPr>
            <w:r w:rsidRPr="00E56305">
              <w:rPr>
                <w:rFonts w:cs="Times New Roman"/>
                <w:highlight w:val="yellow"/>
              </w:rPr>
              <w:t>↓</w:t>
            </w:r>
            <w:r w:rsidRPr="00E56305">
              <w:rPr>
                <w:highlight w:val="yellow"/>
              </w:rPr>
              <w:t xml:space="preserve"> dysménorrhée</w:t>
            </w:r>
          </w:p>
          <w:p w:rsidR="008E6ED5" w:rsidRPr="00E56305" w:rsidRDefault="008E6ED5" w:rsidP="002C0179">
            <w:pPr>
              <w:pStyle w:val="Sansinterligne"/>
              <w:rPr>
                <w:rFonts w:cs="Times New Roman"/>
                <w:highlight w:val="yellow"/>
              </w:rPr>
            </w:pPr>
            <w:r w:rsidRPr="00E56305">
              <w:rPr>
                <w:rFonts w:cs="Times New Roman"/>
                <w:highlight w:val="yellow"/>
              </w:rPr>
              <w:t>↓ acné</w:t>
            </w:r>
          </w:p>
          <w:p w:rsidR="008E6ED5" w:rsidRPr="00E56305" w:rsidRDefault="008E6ED5" w:rsidP="002C0179">
            <w:pPr>
              <w:pStyle w:val="Sansinterligne"/>
              <w:rPr>
                <w:rFonts w:cs="Times New Roman"/>
                <w:highlight w:val="yellow"/>
              </w:rPr>
            </w:pPr>
            <w:r w:rsidRPr="00E56305">
              <w:rPr>
                <w:rFonts w:cs="Times New Roman"/>
                <w:highlight w:val="yellow"/>
              </w:rPr>
              <w:t>↓ flot menstruel</w:t>
            </w:r>
          </w:p>
          <w:p w:rsidR="008E6ED5" w:rsidRPr="00E56305" w:rsidRDefault="008E6ED5" w:rsidP="002C0179">
            <w:pPr>
              <w:pStyle w:val="Sansinterligne"/>
              <w:rPr>
                <w:rFonts w:cs="Times New Roman"/>
                <w:highlight w:val="yellow"/>
              </w:rPr>
            </w:pPr>
            <w:r w:rsidRPr="00E56305">
              <w:rPr>
                <w:rFonts w:cs="Times New Roman"/>
                <w:highlight w:val="yellow"/>
              </w:rPr>
              <w:t>↓ risque de néoplasie de l’endomètre et de l’ovaire</w:t>
            </w:r>
          </w:p>
          <w:p w:rsidR="008E6ED5" w:rsidRDefault="008E6ED5" w:rsidP="002C0179">
            <w:pPr>
              <w:pStyle w:val="Sansinterligne"/>
            </w:pPr>
            <w:r w:rsidRPr="00E56305">
              <w:rPr>
                <w:rFonts w:cs="Times New Roman"/>
                <w:highlight w:val="yellow"/>
              </w:rPr>
              <w:t>↓ risque de léiomyomes utérins</w:t>
            </w:r>
          </w:p>
          <w:p w:rsidR="008E6ED5" w:rsidRDefault="008E6ED5" w:rsidP="002C0179">
            <w:pPr>
              <w:pStyle w:val="Sansinterligne"/>
            </w:pPr>
          </w:p>
        </w:tc>
        <w:tc>
          <w:tcPr>
            <w:tcW w:w="3764" w:type="dxa"/>
          </w:tcPr>
          <w:p w:rsidR="008E6ED5" w:rsidRDefault="008E6ED5" w:rsidP="002C0179">
            <w:pPr>
              <w:pStyle w:val="Sansinterligne"/>
            </w:pPr>
            <w:r w:rsidRPr="00E56305">
              <w:rPr>
                <w:highlight w:val="yellow"/>
              </w:rPr>
              <w:t>Exige une assiduité</w:t>
            </w:r>
          </w:p>
          <w:p w:rsidR="008E6ED5" w:rsidRDefault="008E6ED5" w:rsidP="002C0179">
            <w:pPr>
              <w:pStyle w:val="Sansinterligne"/>
            </w:pPr>
            <w:r>
              <w:t>Saignements irréguliers</w:t>
            </w:r>
          </w:p>
          <w:p w:rsidR="008E6ED5" w:rsidRDefault="008E6ED5" w:rsidP="002C0179">
            <w:pPr>
              <w:pStyle w:val="Sansinterligne"/>
            </w:pPr>
            <w:r>
              <w:t>Effets 2</w:t>
            </w:r>
            <w:r w:rsidRPr="00597BE0">
              <w:rPr>
                <w:vertAlign w:val="superscript"/>
              </w:rPr>
              <w:t>aire</w:t>
            </w:r>
            <w:r>
              <w:t xml:space="preserve"> ho</w:t>
            </w:r>
            <w:r w:rsidR="00597BE0">
              <w:t>r</w:t>
            </w:r>
            <w:r>
              <w:t>monaux</w:t>
            </w:r>
            <w:r w:rsidR="00193046">
              <w:t>*</w:t>
            </w:r>
          </w:p>
          <w:p w:rsidR="00E427B8" w:rsidRDefault="00E427B8" w:rsidP="00E427B8">
            <w:pPr>
              <w:pStyle w:val="Sansinterligne"/>
            </w:pPr>
            <w:r>
              <w:t>Absence de protection contre les MTS</w:t>
            </w:r>
          </w:p>
          <w:p w:rsidR="008E6ED5" w:rsidRDefault="008E6ED5" w:rsidP="002C0179">
            <w:pPr>
              <w:pStyle w:val="Sansinterligne"/>
            </w:pPr>
          </w:p>
          <w:p w:rsidR="008E6ED5" w:rsidRPr="003D3C52" w:rsidRDefault="008E6ED5" w:rsidP="002C0179">
            <w:pPr>
              <w:pStyle w:val="Sansinterligne"/>
              <w:rPr>
                <w:highlight w:val="yellow"/>
              </w:rPr>
            </w:pPr>
            <w:r w:rsidRPr="003D3C52">
              <w:rPr>
                <w:rFonts w:ascii="Century Gothic" w:hAnsi="Century Gothic"/>
                <w:highlight w:val="yellow"/>
              </w:rPr>
              <w:t>↑</w:t>
            </w:r>
            <w:r w:rsidRPr="003D3C52">
              <w:rPr>
                <w:highlight w:val="yellow"/>
              </w:rPr>
              <w:t xml:space="preserve"> risque de TEV, IM, AVC </w:t>
            </w:r>
            <w:r w:rsidRPr="003D3C52">
              <w:rPr>
                <w:rFonts w:cs="Times New Roman"/>
                <w:highlight w:val="yellow"/>
              </w:rPr>
              <w:t>[~ RR : 2]</w:t>
            </w:r>
          </w:p>
          <w:p w:rsidR="003842B2" w:rsidRDefault="003842B2" w:rsidP="002C0179">
            <w:pPr>
              <w:pStyle w:val="Sansinterligne"/>
            </w:pPr>
            <w:r w:rsidRPr="003D3C52">
              <w:rPr>
                <w:rFonts w:cs="Times New Roman"/>
                <w:highlight w:val="yellow"/>
              </w:rPr>
              <w:t>↓</w:t>
            </w:r>
            <w:r w:rsidRPr="003D3C52">
              <w:rPr>
                <w:highlight w:val="yellow"/>
              </w:rPr>
              <w:t xml:space="preserve"> production laiteuse</w:t>
            </w:r>
          </w:p>
          <w:p w:rsidR="00E427B8" w:rsidRDefault="00E427B8" w:rsidP="002C0179">
            <w:pPr>
              <w:pStyle w:val="Sansinterligne"/>
            </w:pPr>
          </w:p>
          <w:p w:rsidR="00E427B8" w:rsidRDefault="00E427B8" w:rsidP="002C0179">
            <w:pPr>
              <w:pStyle w:val="Sansinterligne"/>
            </w:pPr>
            <w:r w:rsidRPr="003D3C52">
              <w:rPr>
                <w:highlight w:val="yellow"/>
              </w:rPr>
              <w:t>C-I. nombreuses :</w:t>
            </w:r>
          </w:p>
          <w:p w:rsidR="00E427B8" w:rsidRDefault="00E427B8" w:rsidP="00E427B8">
            <w:pPr>
              <w:pStyle w:val="Sansinterligne"/>
            </w:pPr>
            <w:r>
              <w:t xml:space="preserve">Tabagisme </w:t>
            </w:r>
            <w:r>
              <w:rPr>
                <w:rFonts w:ascii="Century Gothic" w:hAnsi="Century Gothic"/>
              </w:rPr>
              <w:t>&gt;</w:t>
            </w:r>
            <w:r>
              <w:t xml:space="preserve"> 15 cig-jr si </w:t>
            </w:r>
            <w:r>
              <w:rPr>
                <w:rFonts w:ascii="Century Gothic" w:hAnsi="Century Gothic"/>
              </w:rPr>
              <w:t>&gt;</w:t>
            </w:r>
            <w:r>
              <w:t>35 ans</w:t>
            </w:r>
          </w:p>
          <w:p w:rsidR="00E427B8" w:rsidRDefault="00E427B8" w:rsidP="00E427B8">
            <w:pPr>
              <w:pStyle w:val="Sansinterligne"/>
            </w:pPr>
            <w:r>
              <w:t>ATCD</w:t>
            </w:r>
          </w:p>
        </w:tc>
        <w:tc>
          <w:tcPr>
            <w:tcW w:w="1873" w:type="dxa"/>
          </w:tcPr>
          <w:p w:rsidR="00597BE0" w:rsidRDefault="00597BE0" w:rsidP="00597BE0">
            <w:pPr>
              <w:pStyle w:val="Sansinterligne"/>
              <w:jc w:val="center"/>
            </w:pPr>
            <w:r w:rsidRPr="00597BE0">
              <w:rPr>
                <w:rFonts w:cs="Times New Roman"/>
                <w:u w:val="single"/>
              </w:rPr>
              <w:t>↓</w:t>
            </w:r>
            <w:r w:rsidRPr="00597BE0">
              <w:rPr>
                <w:u w:val="single"/>
              </w:rPr>
              <w:t xml:space="preserve"> efficacité</w:t>
            </w:r>
          </w:p>
          <w:p w:rsidR="008E6ED5" w:rsidRPr="00E56305" w:rsidRDefault="00597BE0" w:rsidP="002C0179">
            <w:pPr>
              <w:pStyle w:val="Sansinterligne"/>
              <w:rPr>
                <w:highlight w:val="yellow"/>
              </w:rPr>
            </w:pPr>
            <w:r w:rsidRPr="00E56305">
              <w:rPr>
                <w:highlight w:val="yellow"/>
              </w:rPr>
              <w:t>Rifampin</w:t>
            </w:r>
          </w:p>
          <w:p w:rsidR="00597BE0" w:rsidRPr="00E56305" w:rsidRDefault="00597BE0" w:rsidP="002C0179">
            <w:pPr>
              <w:pStyle w:val="Sansinterligne"/>
              <w:rPr>
                <w:highlight w:val="yellow"/>
              </w:rPr>
            </w:pPr>
            <w:r w:rsidRPr="00E56305">
              <w:rPr>
                <w:highlight w:val="yellow"/>
              </w:rPr>
              <w:t>Phénobarbital</w:t>
            </w:r>
          </w:p>
          <w:p w:rsidR="00F24EB7" w:rsidRDefault="00597BE0" w:rsidP="002C0179">
            <w:pPr>
              <w:pStyle w:val="Sansinterligne"/>
              <w:rPr>
                <w:highlight w:val="yellow"/>
              </w:rPr>
            </w:pPr>
            <w:r w:rsidRPr="00E56305">
              <w:rPr>
                <w:highlight w:val="yellow"/>
              </w:rPr>
              <w:t>Phényto</w:t>
            </w:r>
            <w:r w:rsidR="00F24EB7">
              <w:rPr>
                <w:highlight w:val="yellow"/>
              </w:rPr>
              <w:t>ïne</w:t>
            </w:r>
          </w:p>
          <w:p w:rsidR="00597BE0" w:rsidRDefault="00597BE0" w:rsidP="00F24EB7">
            <w:pPr>
              <w:pStyle w:val="Sansinterligne"/>
              <w:ind w:left="708"/>
            </w:pPr>
            <w:r w:rsidRPr="00E56305">
              <w:rPr>
                <w:highlight w:val="yellow"/>
              </w:rPr>
              <w:t>(Dilantin)</w:t>
            </w:r>
          </w:p>
          <w:p w:rsidR="00597BE0" w:rsidRDefault="00597BE0" w:rsidP="002C0179">
            <w:pPr>
              <w:pStyle w:val="Sansinterligne"/>
            </w:pPr>
            <w:r>
              <w:t>Primidone</w:t>
            </w:r>
          </w:p>
          <w:p w:rsidR="001E2E17" w:rsidRDefault="001E2E17" w:rsidP="002C0179">
            <w:pPr>
              <w:pStyle w:val="Sansinterligne"/>
            </w:pPr>
            <w:r>
              <w:t>CMZ</w:t>
            </w:r>
          </w:p>
          <w:p w:rsidR="001E2E17" w:rsidRDefault="001E2E17" w:rsidP="002C0179">
            <w:pPr>
              <w:pStyle w:val="Sansinterligne"/>
            </w:pPr>
            <w:r>
              <w:t>Warfarine</w:t>
            </w:r>
          </w:p>
          <w:p w:rsidR="00F24EB7" w:rsidRDefault="00F24EB7" w:rsidP="002C0179">
            <w:pPr>
              <w:pStyle w:val="Sansinterligne"/>
            </w:pPr>
            <w:r>
              <w:t>Acide tranexamique</w:t>
            </w:r>
          </w:p>
          <w:p w:rsidR="001E2E17" w:rsidRDefault="001E2E17" w:rsidP="00F24EB7">
            <w:pPr>
              <w:pStyle w:val="Sansinterligne"/>
              <w:ind w:left="708"/>
            </w:pPr>
            <w:r>
              <w:t>(</w:t>
            </w:r>
            <w:r w:rsidR="00936385">
              <w:t>Cyklokapron</w:t>
            </w:r>
            <w:r>
              <w:t>)</w:t>
            </w:r>
          </w:p>
          <w:p w:rsidR="00597BE0" w:rsidRDefault="00597BE0" w:rsidP="00597BE0">
            <w:pPr>
              <w:pStyle w:val="Sansinterligne"/>
              <w:jc w:val="center"/>
              <w:rPr>
                <w:u w:val="single"/>
              </w:rPr>
            </w:pPr>
          </w:p>
          <w:p w:rsidR="00E427B8" w:rsidRPr="00597BE0" w:rsidRDefault="00E427B8" w:rsidP="00597BE0">
            <w:pPr>
              <w:pStyle w:val="Sansinterligne"/>
              <w:jc w:val="center"/>
              <w:rPr>
                <w:u w:val="single"/>
              </w:rPr>
            </w:pPr>
            <w:r>
              <w:rPr>
                <w:u w:val="single"/>
              </w:rPr>
              <w:t>Multiples autres</w:t>
            </w:r>
          </w:p>
        </w:tc>
      </w:tr>
      <w:tr w:rsidR="00763F8D" w:rsidTr="00D413D2">
        <w:tc>
          <w:tcPr>
            <w:tcW w:w="2144" w:type="dxa"/>
            <w:gridSpan w:val="2"/>
          </w:tcPr>
          <w:p w:rsidR="008E6ED5" w:rsidRDefault="003842B2" w:rsidP="002C0179">
            <w:pPr>
              <w:pStyle w:val="Sansinterligne"/>
            </w:pPr>
            <w:r>
              <w:t xml:space="preserve">Progestatif </w:t>
            </w:r>
            <w:r w:rsidR="0066604E">
              <w:t xml:space="preserve">oral </w:t>
            </w:r>
            <w:r>
              <w:t xml:space="preserve">seul </w:t>
            </w:r>
          </w:p>
          <w:p w:rsidR="0066604E" w:rsidRDefault="0066604E" w:rsidP="0066604E">
            <w:pPr>
              <w:pStyle w:val="Sansinterligne"/>
              <w:jc w:val="center"/>
            </w:pPr>
            <w:r>
              <w:t>(Micronor)</w:t>
            </w:r>
          </w:p>
        </w:tc>
        <w:tc>
          <w:tcPr>
            <w:tcW w:w="1243" w:type="dxa"/>
          </w:tcPr>
          <w:p w:rsidR="008E6ED5" w:rsidRDefault="003842B2" w:rsidP="002C0179">
            <w:pPr>
              <w:pStyle w:val="Sansinterligne"/>
            </w:pPr>
            <w:r>
              <w:t>9</w:t>
            </w:r>
            <w:r w:rsidR="00E56305">
              <w:t>0-99</w:t>
            </w:r>
            <w:r>
              <w:t>%</w:t>
            </w:r>
          </w:p>
        </w:tc>
        <w:tc>
          <w:tcPr>
            <w:tcW w:w="1992" w:type="dxa"/>
          </w:tcPr>
          <w:p w:rsidR="00E427B8" w:rsidRDefault="00E427B8" w:rsidP="00E427B8">
            <w:pPr>
              <w:pStyle w:val="Sansinterligne"/>
            </w:pPr>
            <w:r>
              <w:t>Très efficace</w:t>
            </w:r>
          </w:p>
          <w:p w:rsidR="008E6ED5" w:rsidRPr="00E56305" w:rsidRDefault="003842B2" w:rsidP="002C0179">
            <w:pPr>
              <w:pStyle w:val="Sansinterligne"/>
              <w:rPr>
                <w:highlight w:val="yellow"/>
              </w:rPr>
            </w:pPr>
            <w:r w:rsidRPr="00E56305">
              <w:rPr>
                <w:highlight w:val="yellow"/>
              </w:rPr>
              <w:t xml:space="preserve">Pas de </w:t>
            </w:r>
            <w:r w:rsidRPr="00E56305">
              <w:rPr>
                <w:rFonts w:ascii="Century Gothic" w:hAnsi="Century Gothic"/>
                <w:highlight w:val="yellow"/>
              </w:rPr>
              <w:t>↑</w:t>
            </w:r>
            <w:r w:rsidRPr="00E56305">
              <w:rPr>
                <w:highlight w:val="yellow"/>
              </w:rPr>
              <w:t xml:space="preserve">  risque de TVE, IM, AVC</w:t>
            </w:r>
          </w:p>
          <w:p w:rsidR="003842B2" w:rsidRDefault="003842B2" w:rsidP="002C0179">
            <w:pPr>
              <w:pStyle w:val="Sansinterligne"/>
            </w:pPr>
            <w:r w:rsidRPr="00E56305">
              <w:rPr>
                <w:highlight w:val="yellow"/>
              </w:rPr>
              <w:t>Compatible avec allaitement</w:t>
            </w:r>
          </w:p>
          <w:p w:rsidR="003842B2" w:rsidRDefault="003842B2" w:rsidP="00E427B8">
            <w:pPr>
              <w:pStyle w:val="Sansinterligne"/>
            </w:pPr>
          </w:p>
        </w:tc>
        <w:tc>
          <w:tcPr>
            <w:tcW w:w="3764" w:type="dxa"/>
          </w:tcPr>
          <w:p w:rsidR="008E6ED5" w:rsidRDefault="00E427B8" w:rsidP="002C0179">
            <w:pPr>
              <w:pStyle w:val="Sansinterligne"/>
            </w:pPr>
            <w:r w:rsidRPr="00E56305">
              <w:rPr>
                <w:highlight w:val="yellow"/>
              </w:rPr>
              <w:t>Assiduité exigeante (même heure DIE)</w:t>
            </w:r>
          </w:p>
          <w:p w:rsidR="00E427B8" w:rsidRDefault="00E427B8" w:rsidP="002C0179">
            <w:pPr>
              <w:pStyle w:val="Sansinterligne"/>
            </w:pPr>
            <w:r>
              <w:t>Échec si manque 1 jour</w:t>
            </w:r>
          </w:p>
          <w:p w:rsidR="00E427B8" w:rsidRDefault="00E427B8" w:rsidP="002C0179">
            <w:pPr>
              <w:pStyle w:val="Sansinterligne"/>
            </w:pPr>
            <w:r w:rsidRPr="00E56305">
              <w:rPr>
                <w:highlight w:val="yellow"/>
              </w:rPr>
              <w:t>Saignements irréguliers</w:t>
            </w:r>
          </w:p>
          <w:p w:rsidR="00E427B8" w:rsidRDefault="00E427B8" w:rsidP="00E427B8">
            <w:pPr>
              <w:pStyle w:val="Sansinterligne"/>
            </w:pPr>
            <w:r>
              <w:t>Effets 2</w:t>
            </w:r>
            <w:r w:rsidRPr="00597BE0">
              <w:rPr>
                <w:vertAlign w:val="superscript"/>
              </w:rPr>
              <w:t>aire</w:t>
            </w:r>
            <w:r>
              <w:t xml:space="preserve"> hormonaux*</w:t>
            </w:r>
          </w:p>
          <w:p w:rsidR="00E427B8" w:rsidRDefault="00E427B8" w:rsidP="00E427B8">
            <w:pPr>
              <w:pStyle w:val="Sansinterligne"/>
            </w:pPr>
            <w:r>
              <w:t>Absence de protection contre les MTS</w:t>
            </w:r>
          </w:p>
          <w:p w:rsidR="00E427B8" w:rsidRDefault="00E427B8" w:rsidP="002C0179">
            <w:pPr>
              <w:pStyle w:val="Sansinterligne"/>
            </w:pPr>
          </w:p>
        </w:tc>
        <w:tc>
          <w:tcPr>
            <w:tcW w:w="1873" w:type="dxa"/>
          </w:tcPr>
          <w:p w:rsidR="008E6ED5" w:rsidRDefault="008E6ED5" w:rsidP="002C0179">
            <w:pPr>
              <w:pStyle w:val="Sansinterligne"/>
            </w:pPr>
          </w:p>
          <w:p w:rsidR="00E427B8" w:rsidRDefault="00E427B8" w:rsidP="002C0179">
            <w:pPr>
              <w:pStyle w:val="Sansinterligne"/>
            </w:pPr>
            <w:r>
              <w:t>Multiples interactions</w:t>
            </w:r>
          </w:p>
          <w:p w:rsidR="001E2E17" w:rsidRDefault="001E2E17" w:rsidP="002C0179">
            <w:pPr>
              <w:pStyle w:val="Sansinterligne"/>
            </w:pPr>
            <w:r>
              <w:t>Semblables à COC</w:t>
            </w:r>
          </w:p>
        </w:tc>
      </w:tr>
      <w:tr w:rsidR="00763F8D" w:rsidTr="00D413D2">
        <w:tc>
          <w:tcPr>
            <w:tcW w:w="2144" w:type="dxa"/>
            <w:gridSpan w:val="2"/>
          </w:tcPr>
          <w:p w:rsidR="008E6ED5" w:rsidRDefault="0066604E" w:rsidP="0066604E">
            <w:pPr>
              <w:pStyle w:val="Sansinterligne"/>
            </w:pPr>
            <w:r>
              <w:t>Progestatif IM</w:t>
            </w:r>
          </w:p>
          <w:p w:rsidR="0066604E" w:rsidRDefault="0066604E" w:rsidP="0066604E">
            <w:pPr>
              <w:pStyle w:val="Sansinterligne"/>
            </w:pPr>
            <w:r>
              <w:t>(Depo-Provera)</w:t>
            </w:r>
          </w:p>
          <w:p w:rsidR="0066604E" w:rsidRDefault="0066604E" w:rsidP="0066604E">
            <w:pPr>
              <w:pStyle w:val="Sansinterligne"/>
            </w:pPr>
          </w:p>
          <w:p w:rsidR="0066604E" w:rsidRPr="0066604E" w:rsidRDefault="0066604E" w:rsidP="0066604E">
            <w:pPr>
              <w:pStyle w:val="Sansinterligne"/>
            </w:pPr>
            <w:r w:rsidRPr="0066604E">
              <w:t>Acétate de médroxyprogestérone</w:t>
            </w:r>
          </w:p>
          <w:p w:rsidR="0066604E" w:rsidRPr="0066604E" w:rsidRDefault="0066604E" w:rsidP="0066604E">
            <w:pPr>
              <w:pStyle w:val="Sansinterligne"/>
            </w:pPr>
            <w:r w:rsidRPr="0066604E">
              <w:t>150 mg IM q 12 sem</w:t>
            </w:r>
          </w:p>
        </w:tc>
        <w:tc>
          <w:tcPr>
            <w:tcW w:w="1243" w:type="dxa"/>
          </w:tcPr>
          <w:p w:rsidR="008E6ED5" w:rsidRDefault="00E56305" w:rsidP="002C0179">
            <w:pPr>
              <w:pStyle w:val="Sansinterligne"/>
            </w:pPr>
            <w:r>
              <w:t>97</w:t>
            </w:r>
            <w:r w:rsidR="0066604E">
              <w:t>%</w:t>
            </w:r>
          </w:p>
        </w:tc>
        <w:tc>
          <w:tcPr>
            <w:tcW w:w="1992" w:type="dxa"/>
          </w:tcPr>
          <w:p w:rsidR="0066604E" w:rsidRPr="00E56305" w:rsidRDefault="0066604E" w:rsidP="002C0179">
            <w:pPr>
              <w:pStyle w:val="Sansinterligne"/>
              <w:rPr>
                <w:rFonts w:cs="Times New Roman"/>
                <w:highlight w:val="yellow"/>
              </w:rPr>
            </w:pPr>
            <w:r w:rsidRPr="00E56305">
              <w:rPr>
                <w:rFonts w:cs="Times New Roman"/>
                <w:highlight w:val="yellow"/>
              </w:rPr>
              <w:t>Très efficace</w:t>
            </w:r>
          </w:p>
          <w:p w:rsidR="0066604E" w:rsidRPr="00E56305" w:rsidRDefault="0066604E" w:rsidP="002C0179">
            <w:pPr>
              <w:pStyle w:val="Sansinterligne"/>
              <w:rPr>
                <w:rFonts w:cs="Times New Roman"/>
                <w:highlight w:val="yellow"/>
              </w:rPr>
            </w:pPr>
            <w:r w:rsidRPr="00E56305">
              <w:rPr>
                <w:rFonts w:cs="Times New Roman"/>
                <w:highlight w:val="yellow"/>
              </w:rPr>
              <w:t>Utile chez patiente peu compliante aux COC</w:t>
            </w:r>
          </w:p>
          <w:p w:rsidR="0066604E" w:rsidRPr="00E56305" w:rsidRDefault="0066604E" w:rsidP="002C0179">
            <w:pPr>
              <w:pStyle w:val="Sansinterligne"/>
              <w:rPr>
                <w:rFonts w:cs="Times New Roman"/>
                <w:highlight w:val="yellow"/>
              </w:rPr>
            </w:pPr>
            <w:r w:rsidRPr="00E56305">
              <w:rPr>
                <w:rFonts w:cs="Times New Roman"/>
                <w:highlight w:val="yellow"/>
              </w:rPr>
              <w:t>Pas d’effet ostrogénique</w:t>
            </w:r>
          </w:p>
          <w:p w:rsidR="0066604E" w:rsidRPr="00E56305" w:rsidRDefault="0066604E" w:rsidP="002C0179">
            <w:pPr>
              <w:pStyle w:val="Sansinterligne"/>
              <w:rPr>
                <w:rFonts w:cs="Times New Roman"/>
                <w:highlight w:val="yellow"/>
              </w:rPr>
            </w:pPr>
            <w:r w:rsidRPr="00E56305">
              <w:rPr>
                <w:rFonts w:cs="Times New Roman"/>
                <w:highlight w:val="yellow"/>
              </w:rPr>
              <w:t>↓ flot menstruel</w:t>
            </w:r>
          </w:p>
          <w:p w:rsidR="008E6ED5" w:rsidRDefault="0066604E" w:rsidP="002C0179">
            <w:pPr>
              <w:pStyle w:val="Sansinterligne"/>
            </w:pPr>
            <w:r w:rsidRPr="00E56305">
              <w:rPr>
                <w:rFonts w:asciiTheme="minorBidi" w:hAnsiTheme="minorBidi"/>
                <w:highlight w:val="yellow"/>
              </w:rPr>
              <w:t>↓ risque néo endomètre</w:t>
            </w:r>
          </w:p>
        </w:tc>
        <w:tc>
          <w:tcPr>
            <w:tcW w:w="3764" w:type="dxa"/>
          </w:tcPr>
          <w:p w:rsidR="0066604E" w:rsidRDefault="0066604E" w:rsidP="002C0179">
            <w:pPr>
              <w:pStyle w:val="Sansinterligne"/>
            </w:pPr>
            <w:r w:rsidRPr="00E56305">
              <w:rPr>
                <w:highlight w:val="yellow"/>
              </w:rPr>
              <w:t>Spotting ++ au début</w:t>
            </w:r>
          </w:p>
          <w:p w:rsidR="0066604E" w:rsidRPr="00E56305" w:rsidRDefault="0066604E" w:rsidP="002C0179">
            <w:pPr>
              <w:pStyle w:val="Sansinterligne"/>
              <w:rPr>
                <w:highlight w:val="yellow"/>
              </w:rPr>
            </w:pPr>
            <w:r w:rsidRPr="00E56305">
              <w:rPr>
                <w:rFonts w:cs="Times New Roman"/>
                <w:highlight w:val="yellow"/>
              </w:rPr>
              <w:t>↓</w:t>
            </w:r>
            <w:r w:rsidRPr="00E56305">
              <w:rPr>
                <w:highlight w:val="yellow"/>
              </w:rPr>
              <w:t xml:space="preserve"> densité minérale osseuse</w:t>
            </w:r>
            <w:r w:rsidR="004A7187">
              <w:rPr>
                <w:highlight w:val="yellow"/>
              </w:rPr>
              <w:t xml:space="preserve"> si utilisé </w:t>
            </w:r>
            <w:r w:rsidR="004A7187">
              <w:rPr>
                <w:rFonts w:ascii="Century Gothic" w:hAnsi="Century Gothic"/>
                <w:highlight w:val="yellow"/>
              </w:rPr>
              <w:t>&gt;</w:t>
            </w:r>
            <w:r w:rsidR="004A7187">
              <w:rPr>
                <w:highlight w:val="yellow"/>
              </w:rPr>
              <w:t xml:space="preserve"> 5 ans</w:t>
            </w:r>
          </w:p>
          <w:p w:rsidR="0066604E" w:rsidRDefault="0066604E" w:rsidP="002C0179">
            <w:pPr>
              <w:pStyle w:val="Sansinterligne"/>
            </w:pPr>
            <w:r w:rsidRPr="00E56305">
              <w:rPr>
                <w:highlight w:val="yellow"/>
              </w:rPr>
              <w:t>Reprise plus longue de la fertilité (1-2 an)</w:t>
            </w:r>
          </w:p>
          <w:p w:rsidR="00F24EB7" w:rsidRDefault="00F24EB7" w:rsidP="002C0179">
            <w:pPr>
              <w:pStyle w:val="Sansinterligne"/>
            </w:pPr>
            <w:r>
              <w:t>Absence de protection contre les MTS</w:t>
            </w:r>
          </w:p>
        </w:tc>
        <w:tc>
          <w:tcPr>
            <w:tcW w:w="1873" w:type="dxa"/>
          </w:tcPr>
          <w:p w:rsidR="00E56305" w:rsidRDefault="00E56305" w:rsidP="00E56305">
            <w:pPr>
              <w:pStyle w:val="Sansinterligne"/>
            </w:pPr>
            <w:r>
              <w:t>Multiples interactions</w:t>
            </w:r>
          </w:p>
          <w:p w:rsidR="008E6ED5" w:rsidRDefault="00E56305" w:rsidP="00E56305">
            <w:pPr>
              <w:pStyle w:val="Sansinterligne"/>
            </w:pPr>
            <w:r>
              <w:t>Semblables à COC</w:t>
            </w:r>
          </w:p>
        </w:tc>
      </w:tr>
      <w:tr w:rsidR="00763F8D" w:rsidTr="00D413D2">
        <w:tc>
          <w:tcPr>
            <w:tcW w:w="2144" w:type="dxa"/>
            <w:gridSpan w:val="2"/>
          </w:tcPr>
          <w:p w:rsidR="008E6ED5" w:rsidRDefault="00E56305" w:rsidP="002C0179">
            <w:pPr>
              <w:pStyle w:val="Sansinterligne"/>
            </w:pPr>
            <w:r>
              <w:t>Anneau vaginal</w:t>
            </w:r>
          </w:p>
          <w:p w:rsidR="00E56305" w:rsidRDefault="00E56305" w:rsidP="002C0179">
            <w:pPr>
              <w:pStyle w:val="Sansinterligne"/>
            </w:pPr>
          </w:p>
          <w:p w:rsidR="00E56305" w:rsidRDefault="00E56305" w:rsidP="00E56305">
            <w:pPr>
              <w:pStyle w:val="Sansinterligne"/>
            </w:pPr>
            <w:r>
              <w:t>(combinés)</w:t>
            </w:r>
          </w:p>
        </w:tc>
        <w:tc>
          <w:tcPr>
            <w:tcW w:w="1243" w:type="dxa"/>
          </w:tcPr>
          <w:p w:rsidR="008E6ED5" w:rsidRDefault="00E56305" w:rsidP="002C0179">
            <w:pPr>
              <w:pStyle w:val="Sansinterligne"/>
            </w:pPr>
            <w:r>
              <w:lastRenderedPageBreak/>
              <w:t>92% (réel)</w:t>
            </w:r>
          </w:p>
        </w:tc>
        <w:tc>
          <w:tcPr>
            <w:tcW w:w="1992" w:type="dxa"/>
          </w:tcPr>
          <w:p w:rsidR="00E56305" w:rsidRDefault="00E56305" w:rsidP="002C0179">
            <w:pPr>
              <w:pStyle w:val="Sansinterligne"/>
            </w:pPr>
            <w:r>
              <w:t>Efficace</w:t>
            </w:r>
          </w:p>
          <w:p w:rsidR="008E6ED5" w:rsidRDefault="00E56305" w:rsidP="002C0179">
            <w:pPr>
              <w:pStyle w:val="Sansinterligne"/>
            </w:pPr>
            <w:r>
              <w:lastRenderedPageBreak/>
              <w:t>Meilleur contrôle du cycle</w:t>
            </w:r>
          </w:p>
          <w:p w:rsidR="00E56305" w:rsidRDefault="00E56305" w:rsidP="002C0179">
            <w:pPr>
              <w:pStyle w:val="Sansinterligne"/>
            </w:pPr>
            <w:r>
              <w:t>Usage simple</w:t>
            </w:r>
          </w:p>
          <w:p w:rsidR="00E56305" w:rsidRDefault="00E56305" w:rsidP="002C0179">
            <w:pPr>
              <w:pStyle w:val="Sansinterligne"/>
            </w:pPr>
            <w:r>
              <w:t>Reste en place 3 sem (utile pour compliance difficile)</w:t>
            </w:r>
          </w:p>
          <w:p w:rsidR="00E56305" w:rsidRDefault="00E56305" w:rsidP="002C0179">
            <w:pPr>
              <w:pStyle w:val="Sansinterligne"/>
            </w:pPr>
            <w:r>
              <w:t>Évite un premier passage hépatique</w:t>
            </w:r>
          </w:p>
        </w:tc>
        <w:tc>
          <w:tcPr>
            <w:tcW w:w="3764" w:type="dxa"/>
          </w:tcPr>
          <w:p w:rsidR="008E6ED5" w:rsidRDefault="00E56305" w:rsidP="002C0179">
            <w:pPr>
              <w:pStyle w:val="Sansinterligne"/>
            </w:pPr>
            <w:r>
              <w:lastRenderedPageBreak/>
              <w:t>Peut se déplacer</w:t>
            </w:r>
          </w:p>
          <w:p w:rsidR="00E56305" w:rsidRDefault="00E56305" w:rsidP="002C0179">
            <w:pPr>
              <w:pStyle w:val="Sansinterligne"/>
            </w:pPr>
            <w:r>
              <w:lastRenderedPageBreak/>
              <w:t>Inconfortable pour certaines</w:t>
            </w:r>
          </w:p>
          <w:p w:rsidR="00E56305" w:rsidRDefault="00E56305" w:rsidP="002C0179">
            <w:pPr>
              <w:pStyle w:val="Sansinterligne"/>
            </w:pPr>
            <w:r>
              <w:t>Vaginites</w:t>
            </w:r>
          </w:p>
          <w:p w:rsidR="00F24EB7" w:rsidRDefault="00F24EB7" w:rsidP="00F24EB7">
            <w:pPr>
              <w:pStyle w:val="Sansinterligne"/>
            </w:pPr>
            <w:r>
              <w:t>Absence de protection contre les MTS</w:t>
            </w:r>
          </w:p>
          <w:p w:rsidR="00F24EB7" w:rsidRDefault="00F24EB7" w:rsidP="002C0179">
            <w:pPr>
              <w:pStyle w:val="Sansinterligne"/>
            </w:pPr>
          </w:p>
        </w:tc>
        <w:tc>
          <w:tcPr>
            <w:tcW w:w="1873" w:type="dxa"/>
          </w:tcPr>
          <w:p w:rsidR="008E6ED5" w:rsidRDefault="00E56305" w:rsidP="002C0179">
            <w:pPr>
              <w:pStyle w:val="Sansinterligne"/>
            </w:pPr>
            <w:r>
              <w:lastRenderedPageBreak/>
              <w:t>Voir COC</w:t>
            </w:r>
          </w:p>
        </w:tc>
      </w:tr>
      <w:tr w:rsidR="00763F8D" w:rsidTr="00D413D2">
        <w:tc>
          <w:tcPr>
            <w:tcW w:w="2144" w:type="dxa"/>
            <w:gridSpan w:val="2"/>
          </w:tcPr>
          <w:p w:rsidR="008E6ED5" w:rsidRDefault="00E56305" w:rsidP="002C0179">
            <w:pPr>
              <w:pStyle w:val="Sansinterligne"/>
            </w:pPr>
            <w:r>
              <w:lastRenderedPageBreak/>
              <w:t>Timbre transdermique (combinés)</w:t>
            </w:r>
          </w:p>
        </w:tc>
        <w:tc>
          <w:tcPr>
            <w:tcW w:w="1243" w:type="dxa"/>
          </w:tcPr>
          <w:p w:rsidR="008E6ED5" w:rsidRDefault="00E56305" w:rsidP="002C0179">
            <w:pPr>
              <w:pStyle w:val="Sansinterligne"/>
            </w:pPr>
            <w:r>
              <w:t>92% (réel)</w:t>
            </w:r>
          </w:p>
        </w:tc>
        <w:tc>
          <w:tcPr>
            <w:tcW w:w="1992" w:type="dxa"/>
          </w:tcPr>
          <w:p w:rsidR="00E56305" w:rsidRDefault="00E56305" w:rsidP="00E56305">
            <w:pPr>
              <w:pStyle w:val="Sansinterligne"/>
            </w:pPr>
            <w:r>
              <w:t>Efficace</w:t>
            </w:r>
          </w:p>
          <w:p w:rsidR="00E56305" w:rsidRDefault="00E56305" w:rsidP="00E56305">
            <w:pPr>
              <w:pStyle w:val="Sansinterligne"/>
            </w:pPr>
            <w:r>
              <w:t>Reste en place 7 jours (utile pour compliance difficile)</w:t>
            </w:r>
          </w:p>
          <w:p w:rsidR="008E6ED5" w:rsidRDefault="008E6ED5" w:rsidP="002C0179">
            <w:pPr>
              <w:pStyle w:val="Sansinterligne"/>
            </w:pPr>
          </w:p>
        </w:tc>
        <w:tc>
          <w:tcPr>
            <w:tcW w:w="3764" w:type="dxa"/>
          </w:tcPr>
          <w:p w:rsidR="008E6ED5" w:rsidRDefault="004A7187" w:rsidP="002C0179">
            <w:pPr>
              <w:pStyle w:val="Sansinterligne"/>
            </w:pPr>
            <w:r>
              <w:t>Peut tomber</w:t>
            </w:r>
          </w:p>
          <w:p w:rsidR="004A7187" w:rsidRDefault="004A7187" w:rsidP="002C0179">
            <w:pPr>
              <w:pStyle w:val="Sansinterligne"/>
            </w:pPr>
            <w:r>
              <w:t>Irritation cutanée</w:t>
            </w:r>
          </w:p>
          <w:p w:rsidR="00F24EB7" w:rsidRDefault="00F24EB7" w:rsidP="002C0179">
            <w:pPr>
              <w:pStyle w:val="Sansinterligne"/>
            </w:pPr>
            <w:r>
              <w:t>Absence de protection contre les MTS</w:t>
            </w:r>
          </w:p>
        </w:tc>
        <w:tc>
          <w:tcPr>
            <w:tcW w:w="1873" w:type="dxa"/>
          </w:tcPr>
          <w:p w:rsidR="008E6ED5" w:rsidRDefault="00E56305" w:rsidP="002C0179">
            <w:pPr>
              <w:pStyle w:val="Sansinterligne"/>
            </w:pPr>
            <w:r>
              <w:t>Voir COC</w:t>
            </w:r>
          </w:p>
        </w:tc>
      </w:tr>
      <w:tr w:rsidR="004A7187" w:rsidTr="002A1F06">
        <w:tc>
          <w:tcPr>
            <w:tcW w:w="11016" w:type="dxa"/>
            <w:gridSpan w:val="6"/>
            <w:shd w:val="clear" w:color="auto" w:fill="CCC0D9" w:themeFill="accent4" w:themeFillTint="66"/>
          </w:tcPr>
          <w:p w:rsidR="004A7187" w:rsidRDefault="004A7187" w:rsidP="004A7187">
            <w:pPr>
              <w:pStyle w:val="Sansinterligne"/>
              <w:jc w:val="center"/>
            </w:pPr>
            <w:r>
              <w:t>Dispositifs intra-utérin (DIU) / stérilets</w:t>
            </w:r>
          </w:p>
        </w:tc>
      </w:tr>
      <w:tr w:rsidR="00763F8D" w:rsidTr="00D413D2">
        <w:tc>
          <w:tcPr>
            <w:tcW w:w="2144" w:type="dxa"/>
            <w:gridSpan w:val="2"/>
          </w:tcPr>
          <w:p w:rsidR="008E6ED5" w:rsidRPr="006C2791" w:rsidRDefault="004A7187" w:rsidP="002C0179">
            <w:pPr>
              <w:pStyle w:val="Sansinterligne"/>
              <w:rPr>
                <w:highlight w:val="yellow"/>
              </w:rPr>
            </w:pPr>
            <w:r w:rsidRPr="006C2791">
              <w:rPr>
                <w:highlight w:val="yellow"/>
              </w:rPr>
              <w:t>DIU cuivre</w:t>
            </w:r>
          </w:p>
          <w:p w:rsidR="004A7187" w:rsidRPr="006C2791" w:rsidRDefault="004A7187" w:rsidP="002C0179">
            <w:pPr>
              <w:pStyle w:val="Sansinterligne"/>
              <w:rPr>
                <w:highlight w:val="yellow"/>
              </w:rPr>
            </w:pPr>
            <w:r w:rsidRPr="006C2791">
              <w:rPr>
                <w:highlight w:val="yellow"/>
              </w:rPr>
              <w:t>(Nova-T)</w:t>
            </w:r>
          </w:p>
        </w:tc>
        <w:tc>
          <w:tcPr>
            <w:tcW w:w="1243" w:type="dxa"/>
          </w:tcPr>
          <w:p w:rsidR="008E6ED5" w:rsidRPr="006C2791" w:rsidRDefault="003C4C4D" w:rsidP="002C0179">
            <w:pPr>
              <w:pStyle w:val="Sansinterligne"/>
              <w:rPr>
                <w:highlight w:val="yellow"/>
              </w:rPr>
            </w:pPr>
            <w:r w:rsidRPr="006C2791">
              <w:rPr>
                <w:highlight w:val="yellow"/>
              </w:rPr>
              <w:t>99%</w:t>
            </w:r>
          </w:p>
        </w:tc>
        <w:tc>
          <w:tcPr>
            <w:tcW w:w="1992" w:type="dxa"/>
          </w:tcPr>
          <w:p w:rsidR="008E6ED5" w:rsidRPr="006C2791" w:rsidRDefault="00F24EB7" w:rsidP="002C0179">
            <w:pPr>
              <w:pStyle w:val="Sansinterligne"/>
              <w:rPr>
                <w:highlight w:val="yellow"/>
              </w:rPr>
            </w:pPr>
            <w:r w:rsidRPr="006C2791">
              <w:rPr>
                <w:highlight w:val="yellow"/>
              </w:rPr>
              <w:t>Bon pour 5 ans</w:t>
            </w:r>
          </w:p>
          <w:p w:rsidR="00F24EB7" w:rsidRPr="006C2791" w:rsidRDefault="00F24EB7" w:rsidP="002C0179">
            <w:pPr>
              <w:pStyle w:val="Sansinterligne"/>
              <w:rPr>
                <w:highlight w:val="yellow"/>
              </w:rPr>
            </w:pPr>
            <w:r w:rsidRPr="006C2791">
              <w:rPr>
                <w:highlight w:val="yellow"/>
              </w:rPr>
              <w:t xml:space="preserve">Facilement </w:t>
            </w:r>
            <w:r w:rsidR="006C2791" w:rsidRPr="006C2791">
              <w:rPr>
                <w:highlight w:val="yellow"/>
              </w:rPr>
              <w:t>retirable</w:t>
            </w:r>
          </w:p>
          <w:p w:rsidR="006C2791" w:rsidRPr="006C2791" w:rsidRDefault="006C2791" w:rsidP="002C0179">
            <w:pPr>
              <w:pStyle w:val="Sansinterligne"/>
              <w:rPr>
                <w:highlight w:val="yellow"/>
              </w:rPr>
            </w:pPr>
            <w:r w:rsidRPr="006C2791">
              <w:rPr>
                <w:rFonts w:cs="Times New Roman"/>
                <w:highlight w:val="yellow"/>
              </w:rPr>
              <w:t>↓</w:t>
            </w:r>
            <w:r w:rsidRPr="006C2791">
              <w:rPr>
                <w:highlight w:val="yellow"/>
              </w:rPr>
              <w:t xml:space="preserve"> risque néo endomètre</w:t>
            </w:r>
          </w:p>
        </w:tc>
        <w:tc>
          <w:tcPr>
            <w:tcW w:w="3764" w:type="dxa"/>
          </w:tcPr>
          <w:p w:rsidR="006C2791" w:rsidRDefault="006C2791" w:rsidP="002C0179">
            <w:pPr>
              <w:pStyle w:val="Sansinterligne"/>
              <w:rPr>
                <w:highlight w:val="yellow"/>
              </w:rPr>
            </w:pPr>
            <w:r w:rsidRPr="006C2791">
              <w:rPr>
                <w:highlight w:val="yellow"/>
              </w:rPr>
              <w:t>Spotting ++</w:t>
            </w:r>
          </w:p>
          <w:p w:rsidR="008E6ED5" w:rsidRDefault="00F24EB7" w:rsidP="002C0179">
            <w:pPr>
              <w:pStyle w:val="Sansinterligne"/>
              <w:rPr>
                <w:highlight w:val="yellow"/>
              </w:rPr>
            </w:pPr>
            <w:r w:rsidRPr="006C2791">
              <w:rPr>
                <w:highlight w:val="yellow"/>
              </w:rPr>
              <w:t>Absence de protection contre les MTS</w:t>
            </w:r>
          </w:p>
          <w:p w:rsidR="006C2791" w:rsidRDefault="006C2791" w:rsidP="002C0179">
            <w:pPr>
              <w:pStyle w:val="Sansinterligne"/>
              <w:rPr>
                <w:highlight w:val="yellow"/>
              </w:rPr>
            </w:pPr>
            <w:r>
              <w:rPr>
                <w:rFonts w:ascii="Century Gothic" w:hAnsi="Century Gothic"/>
                <w:highlight w:val="yellow"/>
              </w:rPr>
              <w:t>↑</w:t>
            </w:r>
            <w:r>
              <w:rPr>
                <w:highlight w:val="yellow"/>
              </w:rPr>
              <w:t xml:space="preserve"> risque PID à l’insertion</w:t>
            </w:r>
          </w:p>
          <w:p w:rsidR="006C2791" w:rsidRPr="006C2791" w:rsidRDefault="006C2791" w:rsidP="002C0179">
            <w:pPr>
              <w:pStyle w:val="Sansinterligne"/>
              <w:rPr>
                <w:highlight w:val="yellow"/>
              </w:rPr>
            </w:pPr>
            <w:r>
              <w:rPr>
                <w:highlight w:val="yellow"/>
              </w:rPr>
              <w:t>Perforation utérine 1/1000</w:t>
            </w:r>
          </w:p>
          <w:p w:rsidR="006C2791" w:rsidRDefault="006C2791" w:rsidP="006C2791">
            <w:pPr>
              <w:pStyle w:val="Sansinterligne"/>
              <w:rPr>
                <w:highlight w:val="yellow"/>
              </w:rPr>
            </w:pPr>
            <w:r>
              <w:rPr>
                <w:highlight w:val="yellow"/>
              </w:rPr>
              <w:t xml:space="preserve">C-I : </w:t>
            </w:r>
          </w:p>
          <w:p w:rsidR="006C2791" w:rsidRDefault="006C2791" w:rsidP="002F7D99">
            <w:pPr>
              <w:pStyle w:val="Sansinterligne"/>
              <w:numPr>
                <w:ilvl w:val="0"/>
                <w:numId w:val="212"/>
              </w:numPr>
              <w:rPr>
                <w:highlight w:val="yellow"/>
              </w:rPr>
            </w:pPr>
            <w:r>
              <w:rPr>
                <w:highlight w:val="yellow"/>
              </w:rPr>
              <w:t xml:space="preserve">Allergie au cuivre </w:t>
            </w:r>
          </w:p>
          <w:p w:rsidR="006C2791" w:rsidRDefault="006C2791" w:rsidP="002F7D99">
            <w:pPr>
              <w:pStyle w:val="Sansinterligne"/>
              <w:numPr>
                <w:ilvl w:val="0"/>
                <w:numId w:val="212"/>
              </w:numPr>
              <w:rPr>
                <w:highlight w:val="yellow"/>
              </w:rPr>
            </w:pPr>
            <w:r>
              <w:rPr>
                <w:highlight w:val="yellow"/>
              </w:rPr>
              <w:t>Maladie de Wilson</w:t>
            </w:r>
          </w:p>
          <w:p w:rsidR="00763F8D" w:rsidRPr="006C2791" w:rsidRDefault="00763F8D" w:rsidP="002F7D99">
            <w:pPr>
              <w:pStyle w:val="Sansinterligne"/>
              <w:numPr>
                <w:ilvl w:val="0"/>
                <w:numId w:val="212"/>
              </w:numPr>
              <w:rPr>
                <w:highlight w:val="yellow"/>
              </w:rPr>
            </w:pPr>
            <w:r>
              <w:rPr>
                <w:highlight w:val="yellow"/>
              </w:rPr>
              <w:t>Dysménorrhée/ménorrhagie sévère</w:t>
            </w:r>
          </w:p>
        </w:tc>
        <w:tc>
          <w:tcPr>
            <w:tcW w:w="1873" w:type="dxa"/>
          </w:tcPr>
          <w:p w:rsidR="008E6ED5" w:rsidRPr="006C2791" w:rsidRDefault="006C2791" w:rsidP="002C0179">
            <w:pPr>
              <w:pStyle w:val="Sansinterligne"/>
              <w:rPr>
                <w:highlight w:val="yellow"/>
              </w:rPr>
            </w:pPr>
            <w:r w:rsidRPr="006C2791">
              <w:rPr>
                <w:highlight w:val="yellow"/>
              </w:rPr>
              <w:t>Aucune</w:t>
            </w:r>
          </w:p>
        </w:tc>
      </w:tr>
      <w:tr w:rsidR="00763F8D" w:rsidTr="00D413D2">
        <w:tc>
          <w:tcPr>
            <w:tcW w:w="2144" w:type="dxa"/>
            <w:gridSpan w:val="2"/>
          </w:tcPr>
          <w:p w:rsidR="008E6ED5" w:rsidRPr="006C2791" w:rsidRDefault="004A7187" w:rsidP="003C4C4D">
            <w:pPr>
              <w:pStyle w:val="Sansinterligne"/>
              <w:rPr>
                <w:highlight w:val="yellow"/>
              </w:rPr>
            </w:pPr>
            <w:r w:rsidRPr="006C2791">
              <w:rPr>
                <w:highlight w:val="yellow"/>
              </w:rPr>
              <w:t>DIU l</w:t>
            </w:r>
            <w:r w:rsidR="003C4C4D" w:rsidRPr="006C2791">
              <w:rPr>
                <w:highlight w:val="yellow"/>
              </w:rPr>
              <w:t>év</w:t>
            </w:r>
            <w:r w:rsidRPr="006C2791">
              <w:rPr>
                <w:highlight w:val="yellow"/>
              </w:rPr>
              <w:t>onorgestrel (Mirena)</w:t>
            </w:r>
          </w:p>
        </w:tc>
        <w:tc>
          <w:tcPr>
            <w:tcW w:w="1243" w:type="dxa"/>
          </w:tcPr>
          <w:p w:rsidR="008E6ED5" w:rsidRPr="006C2791" w:rsidRDefault="006C2791" w:rsidP="002C0179">
            <w:pPr>
              <w:pStyle w:val="Sansinterligne"/>
              <w:rPr>
                <w:highlight w:val="yellow"/>
              </w:rPr>
            </w:pPr>
            <w:r>
              <w:rPr>
                <w:highlight w:val="yellow"/>
              </w:rPr>
              <w:t>95-99%</w:t>
            </w:r>
          </w:p>
        </w:tc>
        <w:tc>
          <w:tcPr>
            <w:tcW w:w="1992" w:type="dxa"/>
          </w:tcPr>
          <w:p w:rsidR="008E6ED5" w:rsidRPr="006C2791" w:rsidRDefault="006C2791" w:rsidP="002C0179">
            <w:pPr>
              <w:pStyle w:val="Sansinterligne"/>
              <w:rPr>
                <w:highlight w:val="yellow"/>
              </w:rPr>
            </w:pPr>
            <w:r w:rsidRPr="006C2791">
              <w:rPr>
                <w:highlight w:val="yellow"/>
              </w:rPr>
              <w:t>Moins d’effets systémiques que COC</w:t>
            </w:r>
          </w:p>
        </w:tc>
        <w:tc>
          <w:tcPr>
            <w:tcW w:w="3764" w:type="dxa"/>
          </w:tcPr>
          <w:p w:rsidR="008E6ED5" w:rsidRDefault="00F24EB7" w:rsidP="002C0179">
            <w:pPr>
              <w:pStyle w:val="Sansinterligne"/>
              <w:rPr>
                <w:highlight w:val="yellow"/>
              </w:rPr>
            </w:pPr>
            <w:r w:rsidRPr="006C2791">
              <w:rPr>
                <w:highlight w:val="yellow"/>
              </w:rPr>
              <w:t>Absence de protection contre les MTS</w:t>
            </w:r>
          </w:p>
          <w:p w:rsidR="006C2791" w:rsidRPr="006C2791" w:rsidRDefault="006C2791" w:rsidP="006C2791">
            <w:pPr>
              <w:pStyle w:val="Sansinterligne"/>
              <w:rPr>
                <w:highlight w:val="yellow"/>
              </w:rPr>
            </w:pPr>
            <w:r>
              <w:rPr>
                <w:rFonts w:ascii="Century Gothic" w:hAnsi="Century Gothic"/>
                <w:highlight w:val="yellow"/>
              </w:rPr>
              <w:t>↑</w:t>
            </w:r>
            <w:r>
              <w:rPr>
                <w:highlight w:val="yellow"/>
              </w:rPr>
              <w:t xml:space="preserve"> risque PID à l’insertion</w:t>
            </w:r>
          </w:p>
          <w:p w:rsidR="006C2791" w:rsidRPr="006C2791" w:rsidRDefault="006C2791" w:rsidP="002C0179">
            <w:pPr>
              <w:pStyle w:val="Sansinterligne"/>
              <w:rPr>
                <w:highlight w:val="yellow"/>
              </w:rPr>
            </w:pPr>
            <w:r>
              <w:rPr>
                <w:highlight w:val="yellow"/>
              </w:rPr>
              <w:t>Perforation utérine 1/1000</w:t>
            </w:r>
          </w:p>
        </w:tc>
        <w:tc>
          <w:tcPr>
            <w:tcW w:w="1873" w:type="dxa"/>
          </w:tcPr>
          <w:p w:rsidR="008E6ED5" w:rsidRPr="006C2791" w:rsidRDefault="006C2791" w:rsidP="002C0179">
            <w:pPr>
              <w:pStyle w:val="Sansinterligne"/>
              <w:rPr>
                <w:highlight w:val="yellow"/>
              </w:rPr>
            </w:pPr>
            <w:r w:rsidRPr="006C2791">
              <w:rPr>
                <w:highlight w:val="yellow"/>
              </w:rPr>
              <w:t>Peu</w:t>
            </w:r>
          </w:p>
        </w:tc>
      </w:tr>
      <w:tr w:rsidR="006C2791" w:rsidTr="002A1F06">
        <w:tc>
          <w:tcPr>
            <w:tcW w:w="11016" w:type="dxa"/>
            <w:gridSpan w:val="6"/>
            <w:shd w:val="clear" w:color="auto" w:fill="CCC0D9" w:themeFill="accent4" w:themeFillTint="66"/>
          </w:tcPr>
          <w:p w:rsidR="006C2791" w:rsidRDefault="006C2791" w:rsidP="006C2791">
            <w:pPr>
              <w:pStyle w:val="Sansinterligne"/>
              <w:jc w:val="center"/>
            </w:pPr>
            <w:r>
              <w:t>Chirurgicaux</w:t>
            </w:r>
          </w:p>
        </w:tc>
      </w:tr>
      <w:tr w:rsidR="00763F8D" w:rsidTr="00D413D2">
        <w:tc>
          <w:tcPr>
            <w:tcW w:w="2144" w:type="dxa"/>
            <w:gridSpan w:val="2"/>
          </w:tcPr>
          <w:p w:rsidR="008E6ED5" w:rsidRDefault="006C2791" w:rsidP="002C0179">
            <w:pPr>
              <w:pStyle w:val="Sansinterligne"/>
            </w:pPr>
            <w:r>
              <w:t>Ligature tubaire / Hystérectomie</w:t>
            </w:r>
          </w:p>
        </w:tc>
        <w:tc>
          <w:tcPr>
            <w:tcW w:w="1243" w:type="dxa"/>
          </w:tcPr>
          <w:p w:rsidR="008E6ED5" w:rsidRDefault="006C2791" w:rsidP="002C0179">
            <w:pPr>
              <w:pStyle w:val="Sansinterligne"/>
            </w:pPr>
            <w:r>
              <w:t>99,7%</w:t>
            </w:r>
          </w:p>
          <w:p w:rsidR="00D413D2" w:rsidRDefault="00D413D2" w:rsidP="00D413D2">
            <w:pPr>
              <w:pStyle w:val="Sansinterligne"/>
            </w:pPr>
          </w:p>
        </w:tc>
        <w:tc>
          <w:tcPr>
            <w:tcW w:w="1992" w:type="dxa"/>
          </w:tcPr>
          <w:p w:rsidR="008E6ED5" w:rsidRDefault="006C2791" w:rsidP="002C0179">
            <w:pPr>
              <w:pStyle w:val="Sansinterligne"/>
            </w:pPr>
            <w:r>
              <w:t>Définitif</w:t>
            </w:r>
          </w:p>
          <w:p w:rsidR="006C2791" w:rsidRDefault="006C2791" w:rsidP="002C0179">
            <w:pPr>
              <w:pStyle w:val="Sansinterligne"/>
            </w:pPr>
            <w:r>
              <w:t>Très efficace</w:t>
            </w:r>
          </w:p>
          <w:p w:rsidR="00D413D2" w:rsidRDefault="00D413D2" w:rsidP="002C0179">
            <w:pPr>
              <w:pStyle w:val="Sansinterligne"/>
            </w:pPr>
            <w:r>
              <w:t>Échec : 5 :1000 à 10 ans</w:t>
            </w:r>
          </w:p>
        </w:tc>
        <w:tc>
          <w:tcPr>
            <w:tcW w:w="3764" w:type="dxa"/>
          </w:tcPr>
          <w:p w:rsidR="008E6ED5" w:rsidRDefault="00D413D2" w:rsidP="002C0179">
            <w:pPr>
              <w:pStyle w:val="Sansinterligne"/>
            </w:pPr>
            <w:r>
              <w:t>Risques chirurgicaux</w:t>
            </w:r>
          </w:p>
          <w:p w:rsidR="006C2791" w:rsidRDefault="006C2791" w:rsidP="002C0179">
            <w:pPr>
              <w:pStyle w:val="Sansinterligne"/>
            </w:pPr>
            <w:r>
              <w:t>Définitif</w:t>
            </w:r>
          </w:p>
          <w:p w:rsidR="00D413D2" w:rsidRDefault="00D413D2" w:rsidP="002C0179">
            <w:pPr>
              <w:pStyle w:val="Sansinterligne"/>
            </w:pPr>
            <w:r>
              <w:t>C-I si désir de grossesse future</w:t>
            </w:r>
          </w:p>
        </w:tc>
        <w:tc>
          <w:tcPr>
            <w:tcW w:w="1873" w:type="dxa"/>
            <w:shd w:val="clear" w:color="auto" w:fill="000000" w:themeFill="text1"/>
          </w:tcPr>
          <w:p w:rsidR="008E6ED5" w:rsidRDefault="008E6ED5" w:rsidP="002C0179">
            <w:pPr>
              <w:pStyle w:val="Sansinterligne"/>
            </w:pPr>
          </w:p>
        </w:tc>
      </w:tr>
      <w:tr w:rsidR="00763F8D" w:rsidTr="00D413D2">
        <w:tc>
          <w:tcPr>
            <w:tcW w:w="2144" w:type="dxa"/>
            <w:gridSpan w:val="2"/>
          </w:tcPr>
          <w:p w:rsidR="006C2791" w:rsidRDefault="006C2791" w:rsidP="002C0179">
            <w:pPr>
              <w:pStyle w:val="Sansinterligne"/>
            </w:pPr>
            <w:r>
              <w:t>Vasectomie</w:t>
            </w:r>
          </w:p>
        </w:tc>
        <w:tc>
          <w:tcPr>
            <w:tcW w:w="1243" w:type="dxa"/>
          </w:tcPr>
          <w:p w:rsidR="006C2791" w:rsidRDefault="006C2791" w:rsidP="002C0179">
            <w:pPr>
              <w:pStyle w:val="Sansinterligne"/>
            </w:pPr>
            <w:r>
              <w:t>99,9%</w:t>
            </w:r>
          </w:p>
        </w:tc>
        <w:tc>
          <w:tcPr>
            <w:tcW w:w="1992" w:type="dxa"/>
          </w:tcPr>
          <w:p w:rsidR="006C2791" w:rsidRDefault="006C2791" w:rsidP="00916776">
            <w:pPr>
              <w:pStyle w:val="Sansinterligne"/>
            </w:pPr>
            <w:r>
              <w:t>Définitif</w:t>
            </w:r>
          </w:p>
          <w:p w:rsidR="006C2791" w:rsidRDefault="006C2791" w:rsidP="00916776">
            <w:pPr>
              <w:pStyle w:val="Sansinterligne"/>
            </w:pPr>
            <w:r>
              <w:t>Très efficace</w:t>
            </w:r>
          </w:p>
          <w:p w:rsidR="006C2791" w:rsidRDefault="006C2791" w:rsidP="00916776">
            <w:pPr>
              <w:pStyle w:val="Sansinterligne"/>
            </w:pPr>
            <w:r>
              <w:t>Plus simple chez le conjoint que LT chez la femme</w:t>
            </w:r>
          </w:p>
        </w:tc>
        <w:tc>
          <w:tcPr>
            <w:tcW w:w="3764" w:type="dxa"/>
          </w:tcPr>
          <w:p w:rsidR="006C2791" w:rsidRDefault="006C2791" w:rsidP="00916776">
            <w:pPr>
              <w:pStyle w:val="Sansinterligne"/>
            </w:pPr>
            <w:r>
              <w:t>Condition post-opératoire</w:t>
            </w:r>
          </w:p>
          <w:p w:rsidR="006C2791" w:rsidRDefault="006C2791" w:rsidP="00916776">
            <w:pPr>
              <w:pStyle w:val="Sansinterligne"/>
            </w:pPr>
            <w:r>
              <w:t>Définitif</w:t>
            </w:r>
          </w:p>
        </w:tc>
        <w:tc>
          <w:tcPr>
            <w:tcW w:w="1873" w:type="dxa"/>
            <w:shd w:val="clear" w:color="auto" w:fill="000000" w:themeFill="text1"/>
          </w:tcPr>
          <w:p w:rsidR="006C2791" w:rsidRDefault="006C2791" w:rsidP="002C0179">
            <w:pPr>
              <w:pStyle w:val="Sansinterligne"/>
            </w:pPr>
          </w:p>
        </w:tc>
      </w:tr>
    </w:tbl>
    <w:p w:rsidR="00B75363" w:rsidRDefault="00936385" w:rsidP="002C0179">
      <w:pPr>
        <w:pStyle w:val="Sansinterligne"/>
      </w:pPr>
      <w:r>
        <w:rPr>
          <w:noProof/>
          <w:lang w:eastAsia="fr-CA"/>
        </w:rPr>
        <w:drawing>
          <wp:anchor distT="0" distB="0" distL="114300" distR="114300" simplePos="0" relativeHeight="251723776" behindDoc="0" locked="0" layoutInCell="1" allowOverlap="1" wp14:anchorId="3A6FD38E" wp14:editId="6F13C80C">
            <wp:simplePos x="0" y="0"/>
            <wp:positionH relativeFrom="column">
              <wp:posOffset>1438275</wp:posOffset>
            </wp:positionH>
            <wp:positionV relativeFrom="paragraph">
              <wp:posOffset>1905</wp:posOffset>
            </wp:positionV>
            <wp:extent cx="3562350" cy="2448560"/>
            <wp:effectExtent l="0" t="0" r="0" b="8890"/>
            <wp:wrapNone/>
            <wp:docPr id="55" name="Image 55" descr="Résultats de recherche d'images pour « stérilet schém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ésultats de recherche d'images pour « stérilet schéma »"/>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562350" cy="24485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649D6" w:rsidRDefault="00E649D6" w:rsidP="002C0179">
      <w:pPr>
        <w:pStyle w:val="Sansinterligne"/>
        <w:rPr>
          <w:b/>
        </w:rPr>
      </w:pPr>
    </w:p>
    <w:p w:rsidR="00E649D6" w:rsidRDefault="00E649D6" w:rsidP="002C0179">
      <w:pPr>
        <w:pStyle w:val="Sansinterligne"/>
        <w:rPr>
          <w:b/>
        </w:rPr>
      </w:pPr>
    </w:p>
    <w:p w:rsidR="00E649D6" w:rsidRDefault="00E649D6" w:rsidP="002C0179">
      <w:pPr>
        <w:pStyle w:val="Sansinterligne"/>
        <w:rPr>
          <w:b/>
        </w:rPr>
      </w:pPr>
    </w:p>
    <w:p w:rsidR="00E649D6" w:rsidRDefault="00E649D6" w:rsidP="002C0179">
      <w:pPr>
        <w:pStyle w:val="Sansinterligne"/>
        <w:rPr>
          <w:b/>
        </w:rPr>
      </w:pPr>
    </w:p>
    <w:p w:rsidR="00E649D6" w:rsidRDefault="00E649D6" w:rsidP="002C0179">
      <w:pPr>
        <w:pStyle w:val="Sansinterligne"/>
        <w:rPr>
          <w:b/>
        </w:rPr>
      </w:pPr>
    </w:p>
    <w:p w:rsidR="00E649D6" w:rsidRDefault="00E649D6" w:rsidP="002C0179">
      <w:pPr>
        <w:pStyle w:val="Sansinterligne"/>
        <w:rPr>
          <w:b/>
        </w:rPr>
      </w:pPr>
    </w:p>
    <w:p w:rsidR="00E649D6" w:rsidRDefault="00E649D6" w:rsidP="002C0179">
      <w:pPr>
        <w:pStyle w:val="Sansinterligne"/>
        <w:rPr>
          <w:b/>
        </w:rPr>
      </w:pPr>
    </w:p>
    <w:p w:rsidR="00E649D6" w:rsidRDefault="00E649D6" w:rsidP="002C0179">
      <w:pPr>
        <w:pStyle w:val="Sansinterligne"/>
        <w:rPr>
          <w:b/>
        </w:rPr>
      </w:pPr>
    </w:p>
    <w:p w:rsidR="00E649D6" w:rsidRDefault="00E649D6" w:rsidP="002C0179">
      <w:pPr>
        <w:pStyle w:val="Sansinterligne"/>
        <w:rPr>
          <w:b/>
        </w:rPr>
      </w:pPr>
    </w:p>
    <w:p w:rsidR="00E649D6" w:rsidRDefault="00E649D6" w:rsidP="002C0179">
      <w:pPr>
        <w:pStyle w:val="Sansinterligne"/>
        <w:rPr>
          <w:b/>
        </w:rPr>
      </w:pPr>
    </w:p>
    <w:p w:rsidR="00E649D6" w:rsidRDefault="00E649D6" w:rsidP="002C0179">
      <w:pPr>
        <w:pStyle w:val="Sansinterligne"/>
        <w:rPr>
          <w:b/>
        </w:rPr>
      </w:pPr>
    </w:p>
    <w:p w:rsidR="00E649D6" w:rsidRDefault="00E649D6" w:rsidP="002C0179">
      <w:pPr>
        <w:pStyle w:val="Sansinterligne"/>
        <w:rPr>
          <w:b/>
        </w:rPr>
      </w:pPr>
    </w:p>
    <w:p w:rsidR="00B75363" w:rsidRDefault="008E6ED5" w:rsidP="002C0179">
      <w:pPr>
        <w:pStyle w:val="Sansinterligne"/>
        <w:rPr>
          <w:b/>
        </w:rPr>
      </w:pPr>
      <w:r w:rsidRPr="008E6ED5">
        <w:rPr>
          <w:b/>
        </w:rPr>
        <w:lastRenderedPageBreak/>
        <w:t>Effets 2</w:t>
      </w:r>
      <w:r w:rsidRPr="00193046">
        <w:rPr>
          <w:b/>
          <w:vertAlign w:val="superscript"/>
        </w:rPr>
        <w:t>aire</w:t>
      </w:r>
      <w:r w:rsidRPr="008E6ED5">
        <w:rPr>
          <w:b/>
        </w:rPr>
        <w:t xml:space="preserve"> hormonaux</w:t>
      </w:r>
      <w:r w:rsidR="00193046">
        <w:rPr>
          <w:b/>
        </w:rPr>
        <w:t>*</w:t>
      </w:r>
    </w:p>
    <w:tbl>
      <w:tblPr>
        <w:tblStyle w:val="Grilledutableau"/>
        <w:tblW w:w="0" w:type="auto"/>
        <w:tblLook w:val="04A0" w:firstRow="1" w:lastRow="0" w:firstColumn="1" w:lastColumn="0" w:noHBand="0" w:noVBand="1"/>
      </w:tblPr>
      <w:tblGrid>
        <w:gridCol w:w="5470"/>
        <w:gridCol w:w="5470"/>
      </w:tblGrid>
      <w:tr w:rsidR="008E6ED5" w:rsidTr="002A1F06">
        <w:tc>
          <w:tcPr>
            <w:tcW w:w="5470" w:type="dxa"/>
            <w:shd w:val="clear" w:color="auto" w:fill="CCC0D9" w:themeFill="accent4" w:themeFillTint="66"/>
          </w:tcPr>
          <w:p w:rsidR="008E6ED5" w:rsidRDefault="008E6ED5" w:rsidP="00F24EB7">
            <w:pPr>
              <w:pStyle w:val="Sansinterligne"/>
              <w:jc w:val="center"/>
            </w:pPr>
            <w:r>
              <w:t>Estrogènes</w:t>
            </w:r>
          </w:p>
        </w:tc>
        <w:tc>
          <w:tcPr>
            <w:tcW w:w="5470" w:type="dxa"/>
            <w:shd w:val="clear" w:color="auto" w:fill="CCC0D9" w:themeFill="accent4" w:themeFillTint="66"/>
          </w:tcPr>
          <w:p w:rsidR="008E6ED5" w:rsidRDefault="008E6ED5" w:rsidP="00F24EB7">
            <w:pPr>
              <w:pStyle w:val="Sansinterligne"/>
              <w:jc w:val="center"/>
            </w:pPr>
            <w:r>
              <w:t>Progestérone</w:t>
            </w:r>
          </w:p>
        </w:tc>
      </w:tr>
      <w:tr w:rsidR="008E6ED5" w:rsidTr="008E6ED5">
        <w:tc>
          <w:tcPr>
            <w:tcW w:w="5470" w:type="dxa"/>
          </w:tcPr>
          <w:p w:rsidR="008E6ED5" w:rsidRDefault="008E6ED5" w:rsidP="002C0179">
            <w:pPr>
              <w:pStyle w:val="Sansinterligne"/>
            </w:pPr>
            <w:r>
              <w:t>Nausées</w:t>
            </w:r>
          </w:p>
          <w:p w:rsidR="008E6ED5" w:rsidRDefault="00D413D2" w:rsidP="002C0179">
            <w:pPr>
              <w:pStyle w:val="Sansinterligne"/>
            </w:pPr>
            <w:r>
              <w:t>Mastalgie</w:t>
            </w:r>
          </w:p>
          <w:p w:rsidR="00E427B8" w:rsidRDefault="00E427B8" w:rsidP="002C0179">
            <w:pPr>
              <w:pStyle w:val="Sansinterligne"/>
            </w:pPr>
            <w:r>
              <w:t>Œdème</w:t>
            </w:r>
          </w:p>
          <w:p w:rsidR="00E427B8" w:rsidRDefault="00E427B8" w:rsidP="002C0179">
            <w:pPr>
              <w:pStyle w:val="Sansinterligne"/>
            </w:pPr>
            <w:r>
              <w:t>Migraines / céphalées</w:t>
            </w:r>
          </w:p>
          <w:p w:rsidR="00E427B8" w:rsidRDefault="00E427B8" w:rsidP="002C0179">
            <w:pPr>
              <w:pStyle w:val="Sansinterligne"/>
            </w:pPr>
          </w:p>
        </w:tc>
        <w:tc>
          <w:tcPr>
            <w:tcW w:w="5470" w:type="dxa"/>
          </w:tcPr>
          <w:p w:rsidR="003842B2" w:rsidRDefault="003842B2" w:rsidP="002C0179">
            <w:pPr>
              <w:pStyle w:val="Sansinterligne"/>
            </w:pPr>
            <w:r w:rsidRPr="0027201C">
              <w:t>Perte de libido</w:t>
            </w:r>
          </w:p>
          <w:p w:rsidR="0027201C" w:rsidRDefault="0027201C" w:rsidP="0027201C">
            <w:pPr>
              <w:pStyle w:val="Sansinterligne"/>
            </w:pPr>
            <w:r>
              <w:t>Changements de l’humeur</w:t>
            </w:r>
          </w:p>
          <w:p w:rsidR="00D413D2" w:rsidRDefault="00D413D2" w:rsidP="0027201C">
            <w:pPr>
              <w:pStyle w:val="Sansinterligne"/>
            </w:pPr>
            <w:r>
              <w:t>Mastalgie</w:t>
            </w:r>
          </w:p>
          <w:p w:rsidR="0027201C" w:rsidRDefault="0027201C" w:rsidP="0027201C">
            <w:pPr>
              <w:pStyle w:val="Sansinterligne"/>
            </w:pPr>
            <w:r>
              <w:t>Céphalées</w:t>
            </w:r>
          </w:p>
          <w:p w:rsidR="0027201C" w:rsidRDefault="0027201C" w:rsidP="0027201C">
            <w:pPr>
              <w:pStyle w:val="Sansinterligne"/>
            </w:pPr>
            <w:r>
              <w:t>Hypertension</w:t>
            </w:r>
          </w:p>
          <w:p w:rsidR="0027201C" w:rsidRDefault="0027201C" w:rsidP="0027201C">
            <w:pPr>
              <w:pStyle w:val="Sansinterligne"/>
            </w:pPr>
            <w:r>
              <w:t>Acné</w:t>
            </w:r>
          </w:p>
          <w:p w:rsidR="0027201C" w:rsidRDefault="00D413D2" w:rsidP="002C0179">
            <w:pPr>
              <w:pStyle w:val="Sansinterligne"/>
            </w:pPr>
            <w:r>
              <w:t>Hirsutisme</w:t>
            </w:r>
          </w:p>
        </w:tc>
      </w:tr>
    </w:tbl>
    <w:p w:rsidR="00145D9D" w:rsidRDefault="00145D9D" w:rsidP="00145D9D">
      <w:pPr>
        <w:pStyle w:val="Sansinterligne"/>
      </w:pPr>
      <w:r>
        <w:t>Ajuste le choix de la COC selon les effets rapportés par la patiente (doses des différents COC)</w:t>
      </w:r>
    </w:p>
    <w:p w:rsidR="00E649D6" w:rsidRDefault="00E649D6" w:rsidP="002C0179">
      <w:pPr>
        <w:pStyle w:val="Sansinterligne"/>
      </w:pPr>
    </w:p>
    <w:p w:rsidR="00145D9D" w:rsidRPr="007A6DDD" w:rsidRDefault="00145D9D" w:rsidP="002C0179">
      <w:pPr>
        <w:pStyle w:val="Sansinterligne"/>
        <w:rPr>
          <w:b/>
        </w:rPr>
      </w:pPr>
      <w:r w:rsidRPr="007A6DDD">
        <w:rPr>
          <w:b/>
        </w:rPr>
        <w:t>Quelques COC</w:t>
      </w:r>
      <w:r w:rsidR="00E649D6">
        <w:rPr>
          <w:b/>
        </w:rPr>
        <w:t xml:space="preserve"> et leurs dosages</w:t>
      </w:r>
    </w:p>
    <w:tbl>
      <w:tblPr>
        <w:tblStyle w:val="Grilledutableau"/>
        <w:tblW w:w="0" w:type="auto"/>
        <w:tblLook w:val="04A0" w:firstRow="1" w:lastRow="0" w:firstColumn="1" w:lastColumn="0" w:noHBand="0" w:noVBand="1"/>
      </w:tblPr>
      <w:tblGrid>
        <w:gridCol w:w="3646"/>
        <w:gridCol w:w="3647"/>
        <w:gridCol w:w="3647"/>
      </w:tblGrid>
      <w:tr w:rsidR="00145D9D" w:rsidTr="00145D9D">
        <w:tc>
          <w:tcPr>
            <w:tcW w:w="3646" w:type="dxa"/>
          </w:tcPr>
          <w:p w:rsidR="00145D9D" w:rsidRPr="007A6DDD" w:rsidRDefault="00145D9D" w:rsidP="002C0179">
            <w:pPr>
              <w:pStyle w:val="Sansinterligne"/>
              <w:rPr>
                <w:i/>
              </w:rPr>
            </w:pPr>
            <w:r w:rsidRPr="007A6DDD">
              <w:rPr>
                <w:i/>
              </w:rPr>
              <w:t>Nom (phase)</w:t>
            </w:r>
          </w:p>
        </w:tc>
        <w:tc>
          <w:tcPr>
            <w:tcW w:w="3647" w:type="dxa"/>
          </w:tcPr>
          <w:p w:rsidR="00145D9D" w:rsidRPr="007A6DDD" w:rsidRDefault="00145D9D" w:rsidP="002C0179">
            <w:pPr>
              <w:pStyle w:val="Sansinterligne"/>
              <w:rPr>
                <w:i/>
              </w:rPr>
            </w:pPr>
            <w:r w:rsidRPr="007A6DDD">
              <w:rPr>
                <w:i/>
              </w:rPr>
              <w:t>Progestatif (mg) (phase)</w:t>
            </w:r>
          </w:p>
        </w:tc>
        <w:tc>
          <w:tcPr>
            <w:tcW w:w="3647" w:type="dxa"/>
          </w:tcPr>
          <w:p w:rsidR="00145D9D" w:rsidRPr="007A6DDD" w:rsidRDefault="00145D9D" w:rsidP="002C0179">
            <w:pPr>
              <w:pStyle w:val="Sansinterligne"/>
              <w:rPr>
                <w:i/>
              </w:rPr>
            </w:pPr>
            <w:r w:rsidRPr="007A6DDD">
              <w:rPr>
                <w:i/>
              </w:rPr>
              <w:t>Estrogène (mcg)</w:t>
            </w:r>
          </w:p>
        </w:tc>
      </w:tr>
      <w:tr w:rsidR="007A6DDD" w:rsidTr="00145D9D">
        <w:tc>
          <w:tcPr>
            <w:tcW w:w="3646" w:type="dxa"/>
          </w:tcPr>
          <w:p w:rsidR="007A6DDD" w:rsidRDefault="007A6DDD" w:rsidP="00916776">
            <w:pPr>
              <w:pStyle w:val="Sansinterligne"/>
            </w:pPr>
            <w:r>
              <w:t>Lolo (bi)</w:t>
            </w:r>
          </w:p>
        </w:tc>
        <w:tc>
          <w:tcPr>
            <w:tcW w:w="3647" w:type="dxa"/>
          </w:tcPr>
          <w:p w:rsidR="007A6DDD" w:rsidRDefault="007A6DDD" w:rsidP="00916776">
            <w:pPr>
              <w:pStyle w:val="Sansinterligne"/>
            </w:pPr>
            <w:r>
              <w:t xml:space="preserve">Acétate de noréthindrone 1-0 mg </w:t>
            </w:r>
          </w:p>
        </w:tc>
        <w:tc>
          <w:tcPr>
            <w:tcW w:w="3647" w:type="dxa"/>
          </w:tcPr>
          <w:p w:rsidR="007A6DDD" w:rsidRDefault="007A6DDD" w:rsidP="00916776">
            <w:pPr>
              <w:pStyle w:val="Sansinterligne"/>
            </w:pPr>
            <w:r>
              <w:t>Ethynil estradiol 10 mcg</w:t>
            </w:r>
          </w:p>
        </w:tc>
      </w:tr>
      <w:tr w:rsidR="007A6DDD" w:rsidTr="00145D9D">
        <w:tc>
          <w:tcPr>
            <w:tcW w:w="3646" w:type="dxa"/>
          </w:tcPr>
          <w:p w:rsidR="007A6DDD" w:rsidRDefault="007A6DDD" w:rsidP="002C0179">
            <w:pPr>
              <w:pStyle w:val="Sansinterligne"/>
            </w:pPr>
            <w:r>
              <w:t>Yaz (mono)</w:t>
            </w:r>
          </w:p>
        </w:tc>
        <w:tc>
          <w:tcPr>
            <w:tcW w:w="3647" w:type="dxa"/>
          </w:tcPr>
          <w:p w:rsidR="007A6DDD" w:rsidRDefault="007A6DDD" w:rsidP="00145D9D">
            <w:pPr>
              <w:pStyle w:val="Sansinterligne"/>
            </w:pPr>
            <w:r>
              <w:t xml:space="preserve">Drospirénone 3 mg </w:t>
            </w:r>
          </w:p>
        </w:tc>
        <w:tc>
          <w:tcPr>
            <w:tcW w:w="3647" w:type="dxa"/>
          </w:tcPr>
          <w:p w:rsidR="007A6DDD" w:rsidRDefault="007A6DDD" w:rsidP="002C0179">
            <w:pPr>
              <w:pStyle w:val="Sansinterligne"/>
            </w:pPr>
            <w:r>
              <w:t>Ethynil estradiol 20 mcg</w:t>
            </w:r>
          </w:p>
        </w:tc>
      </w:tr>
      <w:tr w:rsidR="007A6DDD" w:rsidTr="00145D9D">
        <w:tc>
          <w:tcPr>
            <w:tcW w:w="3646" w:type="dxa"/>
          </w:tcPr>
          <w:p w:rsidR="007A6DDD" w:rsidRDefault="007A6DDD" w:rsidP="002C0179">
            <w:pPr>
              <w:pStyle w:val="Sansinterligne"/>
            </w:pPr>
            <w:r>
              <w:t>Alesse (mono)</w:t>
            </w:r>
          </w:p>
        </w:tc>
        <w:tc>
          <w:tcPr>
            <w:tcW w:w="3647" w:type="dxa"/>
          </w:tcPr>
          <w:p w:rsidR="007A6DDD" w:rsidRDefault="007A6DDD" w:rsidP="007A6DDD">
            <w:pPr>
              <w:pStyle w:val="Sansinterligne"/>
            </w:pPr>
            <w:r>
              <w:t>Lévonorgestrel 0,5 mg</w:t>
            </w:r>
          </w:p>
        </w:tc>
        <w:tc>
          <w:tcPr>
            <w:tcW w:w="3647" w:type="dxa"/>
          </w:tcPr>
          <w:p w:rsidR="007A6DDD" w:rsidRDefault="007A6DDD" w:rsidP="00916776">
            <w:pPr>
              <w:pStyle w:val="Sansinterligne"/>
            </w:pPr>
            <w:r>
              <w:t>Ethynil estradiol 20 mcg</w:t>
            </w:r>
          </w:p>
        </w:tc>
      </w:tr>
      <w:tr w:rsidR="007A6DDD" w:rsidTr="00145D9D">
        <w:tc>
          <w:tcPr>
            <w:tcW w:w="3646" w:type="dxa"/>
          </w:tcPr>
          <w:p w:rsidR="007A6DDD" w:rsidRDefault="007A6DDD" w:rsidP="00916776">
            <w:pPr>
              <w:pStyle w:val="Sansinterligne"/>
            </w:pPr>
            <w:r>
              <w:t>Tri-Cyclen Lo (tri)</w:t>
            </w:r>
          </w:p>
        </w:tc>
        <w:tc>
          <w:tcPr>
            <w:tcW w:w="3647" w:type="dxa"/>
          </w:tcPr>
          <w:p w:rsidR="007A6DDD" w:rsidRDefault="007A6DDD" w:rsidP="00916776">
            <w:pPr>
              <w:pStyle w:val="Sansinterligne"/>
            </w:pPr>
            <w:r>
              <w:t>Norgestimate 0,18-0,215-0,25 mg</w:t>
            </w:r>
          </w:p>
        </w:tc>
        <w:tc>
          <w:tcPr>
            <w:tcW w:w="3647" w:type="dxa"/>
          </w:tcPr>
          <w:p w:rsidR="007A6DDD" w:rsidRDefault="007A6DDD" w:rsidP="007A6DDD">
            <w:pPr>
              <w:pStyle w:val="Sansinterligne"/>
            </w:pPr>
            <w:r>
              <w:t>Ethynil estradiol 35 mcg</w:t>
            </w:r>
          </w:p>
        </w:tc>
      </w:tr>
      <w:tr w:rsidR="007A6DDD" w:rsidTr="00145D9D">
        <w:tc>
          <w:tcPr>
            <w:tcW w:w="3646" w:type="dxa"/>
          </w:tcPr>
          <w:p w:rsidR="007A6DDD" w:rsidRDefault="007A6DDD" w:rsidP="00916776">
            <w:pPr>
              <w:pStyle w:val="Sansinterligne"/>
            </w:pPr>
            <w:r>
              <w:t>Yasmin (mono)</w:t>
            </w:r>
          </w:p>
        </w:tc>
        <w:tc>
          <w:tcPr>
            <w:tcW w:w="3647" w:type="dxa"/>
          </w:tcPr>
          <w:p w:rsidR="007A6DDD" w:rsidRDefault="007A6DDD" w:rsidP="00916776">
            <w:pPr>
              <w:pStyle w:val="Sansinterligne"/>
            </w:pPr>
            <w:r>
              <w:t xml:space="preserve">Drospirénone 3 mg </w:t>
            </w:r>
          </w:p>
        </w:tc>
        <w:tc>
          <w:tcPr>
            <w:tcW w:w="3647" w:type="dxa"/>
          </w:tcPr>
          <w:p w:rsidR="007A6DDD" w:rsidRDefault="007A6DDD" w:rsidP="00916776">
            <w:pPr>
              <w:pStyle w:val="Sansinterligne"/>
            </w:pPr>
            <w:r>
              <w:t>Ethynil estradiol 30 mcg</w:t>
            </w:r>
          </w:p>
        </w:tc>
      </w:tr>
    </w:tbl>
    <w:p w:rsidR="00B75363" w:rsidRDefault="00B75363" w:rsidP="002C0179">
      <w:pPr>
        <w:pStyle w:val="Sansinterligne"/>
      </w:pPr>
    </w:p>
    <w:p w:rsidR="002C0179" w:rsidRPr="00B75363" w:rsidRDefault="002C0179" w:rsidP="002C0179">
      <w:pPr>
        <w:pStyle w:val="Sansinterligne"/>
        <w:rPr>
          <w:b/>
          <w:sz w:val="28"/>
          <w:szCs w:val="28"/>
        </w:rPr>
      </w:pPr>
      <w:r w:rsidRPr="00B75363">
        <w:rPr>
          <w:b/>
          <w:sz w:val="28"/>
          <w:szCs w:val="28"/>
        </w:rPr>
        <w:t>Contraceptifs d’urgence</w:t>
      </w:r>
    </w:p>
    <w:p w:rsidR="002C0179" w:rsidRDefault="00E148D6" w:rsidP="002C0179">
      <w:pPr>
        <w:pStyle w:val="Sansinterligne"/>
        <w:rPr>
          <w:rFonts w:cs="Times New Roman"/>
        </w:rPr>
      </w:pPr>
      <w:r w:rsidRPr="00D413D2">
        <w:rPr>
          <w:rFonts w:cs="Times New Roman"/>
        </w:rPr>
        <w:t>Si échec à la contraception, il existe une solution de rechange, disponible dans toutes les pharmacies sans ordonnance.</w:t>
      </w:r>
    </w:p>
    <w:p w:rsidR="00D413D2" w:rsidRPr="00D413D2" w:rsidRDefault="00D413D2" w:rsidP="002C0179">
      <w:pPr>
        <w:pStyle w:val="Sansinterligne"/>
        <w:rPr>
          <w:rFonts w:cs="Times New Roman"/>
        </w:rPr>
      </w:pPr>
      <w:r>
        <w:rPr>
          <w:rFonts w:cs="Times New Roman"/>
        </w:rPr>
        <w:t xml:space="preserve">Il faut aviser la patiente de cette solution, et lui remettre une prescription </w:t>
      </w:r>
      <w:r w:rsidR="005662E5">
        <w:rPr>
          <w:rFonts w:cs="Times New Roman"/>
        </w:rPr>
        <w:t>afin qu’elle en ait sur elle.</w:t>
      </w:r>
    </w:p>
    <w:p w:rsidR="00D413D2" w:rsidRPr="00D413D2" w:rsidRDefault="00D413D2" w:rsidP="002C0179">
      <w:pPr>
        <w:pStyle w:val="Sansinterligne"/>
        <w:rPr>
          <w:rFonts w:cs="Times New Roman"/>
        </w:rPr>
      </w:pPr>
    </w:p>
    <w:p w:rsidR="002C0179" w:rsidRDefault="00CE2A94" w:rsidP="002C0179">
      <w:pPr>
        <w:pStyle w:val="Sansinterligne"/>
        <w:rPr>
          <w:rFonts w:cs="Times New Roman"/>
        </w:rPr>
      </w:pPr>
      <w:r w:rsidRPr="00D413D2">
        <w:rPr>
          <w:rFonts w:cs="Times New Roman"/>
          <w:b/>
        </w:rPr>
        <w:t>Plan B</w:t>
      </w:r>
      <w:r w:rsidR="00E148D6" w:rsidRPr="00D413D2">
        <w:rPr>
          <w:rFonts w:cs="Times New Roman"/>
        </w:rPr>
        <w:t xml:space="preserve"> → lévonorgestrel 750 mcg q 12h x , dans les 72h de la relation, ad </w:t>
      </w:r>
      <w:r w:rsidR="00D413D2" w:rsidRPr="00D413D2">
        <w:rPr>
          <w:rFonts w:cs="Times New Roman"/>
        </w:rPr>
        <w:t>9</w:t>
      </w:r>
      <w:r w:rsidR="00E148D6" w:rsidRPr="00D413D2">
        <w:rPr>
          <w:rFonts w:cs="Times New Roman"/>
        </w:rPr>
        <w:t>5% d’efficacité si</w:t>
      </w:r>
      <w:r w:rsidR="00D413D2" w:rsidRPr="00D413D2">
        <w:rPr>
          <w:rFonts w:cs="Times New Roman"/>
        </w:rPr>
        <w:t xml:space="preserve"> </w:t>
      </w:r>
      <w:r w:rsidR="00E148D6" w:rsidRPr="00D413D2">
        <w:rPr>
          <w:rFonts w:cs="Times New Roman"/>
        </w:rPr>
        <w:t>&lt; 24h</w:t>
      </w:r>
    </w:p>
    <w:p w:rsidR="005662E5" w:rsidRDefault="005662E5" w:rsidP="002C0179">
      <w:pPr>
        <w:pStyle w:val="Sansinterligne"/>
        <w:rPr>
          <w:rFonts w:cs="Times New Roman"/>
        </w:rPr>
      </w:pPr>
    </w:p>
    <w:p w:rsidR="005662E5" w:rsidRPr="00D413D2" w:rsidRDefault="005662E5" w:rsidP="002C0179">
      <w:pPr>
        <w:pStyle w:val="Sansinterligne"/>
        <w:rPr>
          <w:rFonts w:cs="Times New Roman"/>
        </w:rPr>
      </w:pPr>
      <w:r>
        <w:rPr>
          <w:rFonts w:cs="Times New Roman"/>
        </w:rPr>
        <w:t>Sinon</w:t>
      </w:r>
    </w:p>
    <w:p w:rsidR="00CE2A94" w:rsidRPr="00D413D2" w:rsidRDefault="00CE2A94" w:rsidP="002C0179">
      <w:pPr>
        <w:pStyle w:val="Sansinterligne"/>
        <w:rPr>
          <w:rFonts w:cs="Times New Roman"/>
        </w:rPr>
      </w:pPr>
      <w:r w:rsidRPr="00D413D2">
        <w:rPr>
          <w:rFonts w:cs="Times New Roman"/>
          <w:b/>
        </w:rPr>
        <w:t>Yuzpe</w:t>
      </w:r>
      <w:r w:rsidR="00E148D6" w:rsidRPr="00D413D2">
        <w:rPr>
          <w:rFonts w:cs="Times New Roman"/>
          <w:b/>
        </w:rPr>
        <w:t xml:space="preserve"> </w:t>
      </w:r>
      <w:r w:rsidR="00D413D2" w:rsidRPr="00D413D2">
        <w:rPr>
          <w:rFonts w:cs="Times New Roman"/>
          <w:b/>
        </w:rPr>
        <w:t>(Ovral)</w:t>
      </w:r>
      <w:r w:rsidR="00D413D2" w:rsidRPr="00D413D2">
        <w:rPr>
          <w:rFonts w:cs="Times New Roman"/>
        </w:rPr>
        <w:t xml:space="preserve"> </w:t>
      </w:r>
      <w:r w:rsidR="00E148D6" w:rsidRPr="00D413D2">
        <w:rPr>
          <w:rFonts w:cs="Times New Roman"/>
        </w:rPr>
        <w:t xml:space="preserve">→ </w:t>
      </w:r>
      <w:r w:rsidR="00D413D2" w:rsidRPr="00D413D2">
        <w:rPr>
          <w:rFonts w:cs="Times New Roman"/>
        </w:rPr>
        <w:t>EE 100 mcg/lévonorgestrel 500 mcg, 2 Co q 12h x 2, peut être pris jusqu’à 72h</w:t>
      </w:r>
    </w:p>
    <w:p w:rsidR="00D413D2" w:rsidRPr="00D413D2" w:rsidRDefault="00C4010C" w:rsidP="002C0179">
      <w:pPr>
        <w:pStyle w:val="Sansinterligne"/>
        <w:rPr>
          <w:rFonts w:cs="Times New Roman"/>
        </w:rPr>
      </w:pPr>
      <w:r>
        <w:rPr>
          <w:noProof/>
          <w:lang w:eastAsia="fr-CA"/>
        </w:rPr>
        <w:drawing>
          <wp:anchor distT="0" distB="0" distL="114300" distR="114300" simplePos="0" relativeHeight="251722752" behindDoc="1" locked="0" layoutInCell="1" allowOverlap="1" wp14:anchorId="5BDE0022" wp14:editId="6EB7F004">
            <wp:simplePos x="0" y="0"/>
            <wp:positionH relativeFrom="column">
              <wp:posOffset>2821022</wp:posOffset>
            </wp:positionH>
            <wp:positionV relativeFrom="paragraph">
              <wp:posOffset>86319</wp:posOffset>
            </wp:positionV>
            <wp:extent cx="3385226" cy="2762656"/>
            <wp:effectExtent l="0" t="0" r="5715" b="0"/>
            <wp:wrapNone/>
            <wp:docPr id="53" name="Image 53" descr="Résultats de recherche d'images pour « contraceptifs oraux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ésultats de recherche d'images pour « contraceptifs oraux »"/>
                    <pic:cNvPicPr>
                      <a:picLocks noChangeAspect="1" noChangeArrowheads="1"/>
                    </pic:cNvPicPr>
                  </pic:nvPicPr>
                  <pic:blipFill rotWithShape="1">
                    <a:blip r:embed="rId63">
                      <a:extLst>
                        <a:ext uri="{28A0092B-C50C-407E-A947-70E740481C1C}">
                          <a14:useLocalDpi xmlns:a14="http://schemas.microsoft.com/office/drawing/2010/main" val="0"/>
                        </a:ext>
                      </a:extLst>
                    </a:blip>
                    <a:srcRect r="18621"/>
                    <a:stretch/>
                  </pic:blipFill>
                  <pic:spPr bwMode="auto">
                    <a:xfrm>
                      <a:off x="0" y="0"/>
                      <a:ext cx="3387841" cy="27647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D413D2" w:rsidRPr="00D413D2" w:rsidRDefault="00D413D2" w:rsidP="002C0179">
      <w:pPr>
        <w:pStyle w:val="Sansinterligne"/>
        <w:rPr>
          <w:rFonts w:cs="Times New Roman"/>
        </w:rPr>
      </w:pPr>
      <w:r w:rsidRPr="00D413D2">
        <w:rPr>
          <w:rFonts w:cs="Times New Roman"/>
        </w:rPr>
        <w:t>Par le médecin :</w:t>
      </w:r>
    </w:p>
    <w:p w:rsidR="00D413D2" w:rsidRPr="00D413D2" w:rsidRDefault="00D413D2" w:rsidP="002C0179">
      <w:pPr>
        <w:pStyle w:val="Sansinterligne"/>
        <w:rPr>
          <w:rFonts w:cs="Times New Roman"/>
        </w:rPr>
      </w:pPr>
      <w:r w:rsidRPr="00D413D2">
        <w:rPr>
          <w:rFonts w:cs="Times New Roman"/>
          <w:b/>
        </w:rPr>
        <w:t xml:space="preserve">DIU de cuivre </w:t>
      </w:r>
      <w:r w:rsidRPr="00D413D2">
        <w:rPr>
          <w:rFonts w:cs="Times New Roman"/>
        </w:rPr>
        <w:t>→ insertion ad 7 jours post-coital, 1% d’échec</w:t>
      </w:r>
    </w:p>
    <w:p w:rsidR="00742026" w:rsidRDefault="00742026"/>
    <w:p w:rsidR="00742026" w:rsidRDefault="00742026"/>
    <w:p w:rsidR="002B52C0" w:rsidRDefault="002B52C0"/>
    <w:p w:rsidR="002B52C0" w:rsidRDefault="002B52C0"/>
    <w:p w:rsidR="002B52C0" w:rsidRDefault="002B52C0"/>
    <w:p w:rsidR="002B52C0" w:rsidRDefault="002B52C0"/>
    <w:p w:rsidR="002B52C0" w:rsidRDefault="002B52C0"/>
    <w:p w:rsidR="00742026" w:rsidRPr="00742026" w:rsidRDefault="00742026">
      <w:pPr>
        <w:rPr>
          <w:sz w:val="32"/>
          <w:szCs w:val="32"/>
        </w:rPr>
      </w:pPr>
      <w:r w:rsidRPr="00742026">
        <w:rPr>
          <w:sz w:val="32"/>
          <w:szCs w:val="32"/>
        </w:rPr>
        <w:t>Note :</w:t>
      </w:r>
    </w:p>
    <w:p w:rsidR="00742026" w:rsidRPr="00742026" w:rsidRDefault="00742026" w:rsidP="002F7D99">
      <w:pPr>
        <w:pStyle w:val="Paragraphedeliste"/>
        <w:numPr>
          <w:ilvl w:val="0"/>
          <w:numId w:val="214"/>
        </w:numPr>
      </w:pPr>
      <w:r w:rsidRPr="00742026">
        <w:t>Important de s’adapter à la réalité de la patiente (horaires, compliance, ATCD, comorbidités)</w:t>
      </w:r>
    </w:p>
    <w:p w:rsidR="00742026" w:rsidRPr="00742026" w:rsidRDefault="00742026" w:rsidP="002F7D99">
      <w:pPr>
        <w:pStyle w:val="Paragraphedeliste"/>
        <w:numPr>
          <w:ilvl w:val="0"/>
          <w:numId w:val="214"/>
        </w:numPr>
        <w:rPr>
          <w:rFonts w:cs="Times New Roman"/>
          <w:b/>
        </w:rPr>
      </w:pPr>
      <w:r w:rsidRPr="00742026">
        <w:t>Réévaluer chaque année les risques, le tableau clinique et la condition.</w:t>
      </w:r>
    </w:p>
    <w:p w:rsidR="002358F5" w:rsidRDefault="002358F5">
      <w:pPr>
        <w:rPr>
          <w:rFonts w:cs="Times New Roman"/>
          <w:b/>
          <w:color w:val="548DD4" w:themeColor="text2" w:themeTint="99"/>
        </w:rPr>
      </w:pPr>
    </w:p>
    <w:p w:rsidR="002358F5" w:rsidRPr="00B10035" w:rsidRDefault="002358F5" w:rsidP="00B10035">
      <w:pPr>
        <w:spacing w:after="0"/>
        <w:rPr>
          <w:rFonts w:cs="Times New Roman"/>
          <w:b/>
        </w:rPr>
      </w:pPr>
      <w:r w:rsidRPr="00B10035">
        <w:rPr>
          <w:rFonts w:cs="Times New Roman"/>
          <w:b/>
        </w:rPr>
        <w:t>Moyens physiologiques : calendrier, courbe de température … très peu efficaces, donc non abordés ici.</w:t>
      </w:r>
    </w:p>
    <w:p w:rsidR="00742026" w:rsidRPr="00B10035" w:rsidRDefault="002358F5" w:rsidP="00B10035">
      <w:pPr>
        <w:spacing w:after="0"/>
        <w:rPr>
          <w:rFonts w:cs="Times New Roman"/>
          <w:b/>
          <w:color w:val="548DD4" w:themeColor="text2" w:themeTint="99"/>
        </w:rPr>
      </w:pPr>
      <w:r w:rsidRPr="00B10035">
        <w:rPr>
          <w:rFonts w:cs="Times New Roman"/>
          <w:b/>
        </w:rPr>
        <w:t>Abstinence = seul moyen avec 100% d’efficacité si infaillible !</w:t>
      </w:r>
      <w:r w:rsidR="002B52C0" w:rsidRPr="002B52C0">
        <w:t xml:space="preserve"> </w:t>
      </w:r>
      <w:r w:rsidR="00742026" w:rsidRPr="00B10035">
        <w:rPr>
          <w:rFonts w:cs="Times New Roman"/>
          <w:b/>
          <w:color w:val="548DD4" w:themeColor="text2" w:themeTint="99"/>
        </w:rPr>
        <w:br w:type="page"/>
      </w:r>
    </w:p>
    <w:p w:rsidR="005C775A" w:rsidRDefault="005C775A" w:rsidP="005C775A">
      <w:pPr>
        <w:spacing w:after="0"/>
        <w:rPr>
          <w:rFonts w:cs="Times New Roman"/>
          <w:b/>
          <w:color w:val="548DD4" w:themeColor="text2" w:themeTint="99"/>
        </w:rPr>
      </w:pPr>
      <w:r>
        <w:rPr>
          <w:rFonts w:cs="Times New Roman"/>
          <w:b/>
          <w:color w:val="548DD4" w:themeColor="text2" w:themeTint="99"/>
        </w:rPr>
        <w:lastRenderedPageBreak/>
        <w:t>CMC 20</w:t>
      </w:r>
    </w:p>
    <w:p w:rsidR="005C775A" w:rsidRPr="005C775A" w:rsidRDefault="005C775A" w:rsidP="005C775A">
      <w:pPr>
        <w:pStyle w:val="Titre3"/>
        <w:spacing w:before="0"/>
        <w:rPr>
          <w:rFonts w:ascii="Times New Roman" w:hAnsi="Times New Roman" w:cs="Times New Roman"/>
        </w:rPr>
      </w:pPr>
      <w:bookmarkStart w:id="85" w:name="_Toc480797275"/>
      <w:r w:rsidRPr="005C775A">
        <w:rPr>
          <w:rFonts w:ascii="Times New Roman" w:hAnsi="Times New Roman" w:cs="Times New Roman"/>
        </w:rPr>
        <w:t>Boiterie chez l’enfant</w:t>
      </w:r>
      <w:bookmarkEnd w:id="85"/>
    </w:p>
    <w:tbl>
      <w:tblPr>
        <w:tblW w:w="3878" w:type="pct"/>
        <w:tblCellSpacing w:w="0" w:type="dxa"/>
        <w:tblCellMar>
          <w:left w:w="0" w:type="dxa"/>
          <w:right w:w="0" w:type="dxa"/>
        </w:tblCellMar>
        <w:tblLook w:val="04A0" w:firstRow="1" w:lastRow="0" w:firstColumn="1" w:lastColumn="0" w:noHBand="0" w:noVBand="1"/>
      </w:tblPr>
      <w:tblGrid>
        <w:gridCol w:w="8376"/>
      </w:tblGrid>
      <w:tr w:rsidR="005C775A" w:rsidRPr="005C775A" w:rsidTr="005C775A">
        <w:trPr>
          <w:tblCellSpacing w:w="0" w:type="dxa"/>
        </w:trPr>
        <w:tc>
          <w:tcPr>
            <w:tcW w:w="0" w:type="auto"/>
            <w:vAlign w:val="bottom"/>
            <w:hideMark/>
          </w:tcPr>
          <w:p w:rsidR="005C775A" w:rsidRPr="005C775A" w:rsidRDefault="005C775A" w:rsidP="005C775A">
            <w:pPr>
              <w:pStyle w:val="Sansinterligne"/>
              <w:spacing w:before="240"/>
              <w:rPr>
                <w:b/>
                <w:sz w:val="18"/>
                <w:szCs w:val="18"/>
              </w:rPr>
            </w:pPr>
            <w:r>
              <w:rPr>
                <w:b/>
                <w:noProof/>
                <w:sz w:val="18"/>
                <w:szCs w:val="18"/>
                <w:lang w:eastAsia="fr-CA"/>
              </w:rPr>
              <mc:AlternateContent>
                <mc:Choice Requires="wps">
                  <w:drawing>
                    <wp:anchor distT="0" distB="0" distL="114300" distR="114300" simplePos="0" relativeHeight="251885568" behindDoc="0" locked="0" layoutInCell="1" allowOverlap="1" wp14:anchorId="217FB73A" wp14:editId="3BA4E398">
                      <wp:simplePos x="0" y="0"/>
                      <wp:positionH relativeFrom="column">
                        <wp:posOffset>-48895</wp:posOffset>
                      </wp:positionH>
                      <wp:positionV relativeFrom="paragraph">
                        <wp:posOffset>80010</wp:posOffset>
                      </wp:positionV>
                      <wp:extent cx="6935470" cy="3228975"/>
                      <wp:effectExtent l="0" t="0" r="17780" b="28575"/>
                      <wp:wrapNone/>
                      <wp:docPr id="398" name="Rectangle 398"/>
                      <wp:cNvGraphicFramePr/>
                      <a:graphic xmlns:a="http://schemas.openxmlformats.org/drawingml/2006/main">
                        <a:graphicData uri="http://schemas.microsoft.com/office/word/2010/wordprocessingShape">
                          <wps:wsp>
                            <wps:cNvSpPr/>
                            <wps:spPr>
                              <a:xfrm>
                                <a:off x="0" y="0"/>
                                <a:ext cx="6935470" cy="3228975"/>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98" o:spid="_x0000_s1026" style="position:absolute;margin-left:-3.85pt;margin-top:6.3pt;width:546.1pt;height:254.25pt;z-index:25188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" filled="f" strokecolor="black [1600]" strokeweight="2pt"/>
                  </w:pict>
                </mc:Fallback>
              </mc:AlternateContent>
            </w:r>
            <w:r w:rsidRPr="005C775A">
              <w:rPr>
                <w:b/>
                <w:sz w:val="18"/>
                <w:szCs w:val="18"/>
              </w:rPr>
              <w:t>Objectifs principaux</w:t>
            </w:r>
          </w:p>
        </w:tc>
      </w:tr>
    </w:tbl>
    <w:p w:rsidR="005C775A" w:rsidRPr="005C775A" w:rsidRDefault="005C775A" w:rsidP="005C775A">
      <w:pPr>
        <w:pStyle w:val="NormalWeb"/>
        <w:ind w:left="360"/>
        <w:rPr>
          <w:color w:val="000000"/>
          <w:sz w:val="18"/>
          <w:szCs w:val="18"/>
          <w:shd w:val="clear" w:color="auto" w:fill="FFFFFF"/>
        </w:rPr>
      </w:pPr>
      <w:r w:rsidRPr="005C775A">
        <w:rPr>
          <w:color w:val="000000"/>
          <w:sz w:val="18"/>
          <w:szCs w:val="18"/>
          <w:shd w:val="clear" w:color="auto" w:fill="FFFFFF"/>
        </w:rPr>
        <w:t>Dans le cas d'un enfant présentant une boiterie, le candidat devra en déterminer la cause la plus probable, notamment en vue d'exclure les diagnostics éventuels les plus graves. On notera, en particulier, que les affections les plus graves causant une boiterie ou une douleur de la jambe chez l'enfant sont le plus souvent unilatérales.</w:t>
      </w:r>
    </w:p>
    <w:tbl>
      <w:tblPr>
        <w:tblW w:w="3878" w:type="pct"/>
        <w:tblCellSpacing w:w="0" w:type="dxa"/>
        <w:tblCellMar>
          <w:left w:w="0" w:type="dxa"/>
          <w:right w:w="0" w:type="dxa"/>
        </w:tblCellMar>
        <w:tblLook w:val="04A0" w:firstRow="1" w:lastRow="0" w:firstColumn="1" w:lastColumn="0" w:noHBand="0" w:noVBand="1"/>
      </w:tblPr>
      <w:tblGrid>
        <w:gridCol w:w="8376"/>
      </w:tblGrid>
      <w:tr w:rsidR="005C775A" w:rsidRPr="005C775A" w:rsidTr="005C775A">
        <w:trPr>
          <w:tblCellSpacing w:w="0" w:type="dxa"/>
        </w:trPr>
        <w:tc>
          <w:tcPr>
            <w:tcW w:w="0" w:type="auto"/>
            <w:vAlign w:val="bottom"/>
            <w:hideMark/>
          </w:tcPr>
          <w:p w:rsidR="005C775A" w:rsidRPr="005C775A" w:rsidRDefault="005C775A" w:rsidP="005C775A">
            <w:pPr>
              <w:pStyle w:val="Sansinterligne"/>
              <w:rPr>
                <w:b/>
                <w:sz w:val="16"/>
                <w:szCs w:val="16"/>
              </w:rPr>
            </w:pPr>
            <w:r w:rsidRPr="005C775A">
              <w:rPr>
                <w:b/>
                <w:sz w:val="16"/>
                <w:szCs w:val="16"/>
              </w:rPr>
              <w:t>Objectifs spécifiques</w:t>
            </w:r>
          </w:p>
        </w:tc>
      </w:tr>
    </w:tbl>
    <w:p w:rsidR="005C775A" w:rsidRPr="005C775A" w:rsidRDefault="005C775A" w:rsidP="005C775A">
      <w:pPr>
        <w:pStyle w:val="NormalWeb"/>
        <w:shd w:val="clear" w:color="auto" w:fill="FFFFFF"/>
        <w:ind w:left="360"/>
        <w:rPr>
          <w:color w:val="000000"/>
          <w:sz w:val="16"/>
          <w:szCs w:val="16"/>
          <w:shd w:val="clear" w:color="auto" w:fill="FFFFFF"/>
        </w:rPr>
      </w:pPr>
      <w:r w:rsidRPr="005C775A">
        <w:rPr>
          <w:color w:val="000000"/>
          <w:sz w:val="16"/>
          <w:szCs w:val="16"/>
          <w:shd w:val="clear" w:color="auto" w:fill="FFFFFF"/>
        </w:rPr>
        <w:t>Dans le cas d'un enfant présentant une boiterie, le candidat devra</w:t>
      </w:r>
    </w:p>
    <w:p w:rsidR="005C775A" w:rsidRPr="005C775A" w:rsidRDefault="005C775A" w:rsidP="005C775A">
      <w:pPr>
        <w:numPr>
          <w:ilvl w:val="0"/>
          <w:numId w:val="829"/>
        </w:numPr>
        <w:shd w:val="clear" w:color="auto" w:fill="FFFFFF"/>
        <w:spacing w:before="100" w:beforeAutospacing="1" w:after="100" w:afterAutospacing="1" w:line="240" w:lineRule="auto"/>
        <w:rPr>
          <w:rFonts w:cs="Times New Roman"/>
          <w:color w:val="000000"/>
          <w:sz w:val="16"/>
          <w:szCs w:val="16"/>
          <w:shd w:val="clear" w:color="auto" w:fill="FFFFFF"/>
        </w:rPr>
      </w:pPr>
      <w:r w:rsidRPr="005C775A">
        <w:rPr>
          <w:rFonts w:cs="Times New Roman"/>
          <w:color w:val="000000"/>
          <w:sz w:val="16"/>
          <w:szCs w:val="16"/>
          <w:shd w:val="clear" w:color="auto" w:fill="FFFFFF"/>
        </w:rPr>
        <w:t>énumérer et interpréter les constatations cliniques cruciales, notamment :</w:t>
      </w:r>
    </w:p>
    <w:p w:rsidR="005C775A" w:rsidRPr="005C775A" w:rsidRDefault="005C775A" w:rsidP="005C775A">
      <w:pPr>
        <w:numPr>
          <w:ilvl w:val="1"/>
          <w:numId w:val="829"/>
        </w:numPr>
        <w:shd w:val="clear" w:color="auto" w:fill="FFFFFF"/>
        <w:spacing w:before="100" w:beforeAutospacing="1" w:after="100" w:afterAutospacing="1" w:line="240" w:lineRule="auto"/>
        <w:rPr>
          <w:rFonts w:cs="Times New Roman"/>
          <w:color w:val="000000"/>
          <w:sz w:val="16"/>
          <w:szCs w:val="16"/>
          <w:shd w:val="clear" w:color="auto" w:fill="FFFFFF"/>
        </w:rPr>
      </w:pPr>
      <w:r w:rsidRPr="005C775A">
        <w:rPr>
          <w:rFonts w:cs="Times New Roman"/>
          <w:color w:val="000000"/>
          <w:sz w:val="16"/>
          <w:szCs w:val="16"/>
          <w:shd w:val="clear" w:color="auto" w:fill="FFFFFF"/>
        </w:rPr>
        <w:t>déterminer si la douleur provient d'un os, d'une articulation ou de tissus mous et localiser le siège de la douleur et de la pathologie (envisager une douleur irradiée);</w:t>
      </w:r>
    </w:p>
    <w:p w:rsidR="005C775A" w:rsidRPr="005C775A" w:rsidRDefault="005C775A" w:rsidP="005C775A">
      <w:pPr>
        <w:numPr>
          <w:ilvl w:val="1"/>
          <w:numId w:val="829"/>
        </w:numPr>
        <w:shd w:val="clear" w:color="auto" w:fill="FFFFFF"/>
        <w:spacing w:before="100" w:beforeAutospacing="1" w:after="100" w:afterAutospacing="1" w:line="240" w:lineRule="auto"/>
        <w:rPr>
          <w:rFonts w:cs="Times New Roman"/>
          <w:color w:val="000000"/>
          <w:sz w:val="16"/>
          <w:szCs w:val="16"/>
          <w:shd w:val="clear" w:color="auto" w:fill="FFFFFF"/>
        </w:rPr>
      </w:pPr>
      <w:r w:rsidRPr="005C775A">
        <w:rPr>
          <w:rFonts w:cs="Times New Roman"/>
          <w:color w:val="000000"/>
          <w:sz w:val="16"/>
          <w:szCs w:val="16"/>
          <w:shd w:val="clear" w:color="auto" w:fill="FFFFFF"/>
        </w:rPr>
        <w:t>déterminer si la boiterie ou la douleur est unilatérale ou bilatérale;</w:t>
      </w:r>
    </w:p>
    <w:p w:rsidR="005C775A" w:rsidRPr="005C775A" w:rsidRDefault="005C775A" w:rsidP="005C775A">
      <w:pPr>
        <w:numPr>
          <w:ilvl w:val="1"/>
          <w:numId w:val="829"/>
        </w:numPr>
        <w:shd w:val="clear" w:color="auto" w:fill="FFFFFF"/>
        <w:spacing w:before="100" w:beforeAutospacing="1" w:after="100" w:afterAutospacing="1" w:line="240" w:lineRule="auto"/>
        <w:rPr>
          <w:rFonts w:cs="Times New Roman"/>
          <w:color w:val="000000"/>
          <w:sz w:val="16"/>
          <w:szCs w:val="16"/>
          <w:shd w:val="clear" w:color="auto" w:fill="FFFFFF"/>
        </w:rPr>
      </w:pPr>
      <w:r w:rsidRPr="005C775A">
        <w:rPr>
          <w:rFonts w:cs="Times New Roman"/>
          <w:color w:val="000000"/>
          <w:sz w:val="16"/>
          <w:szCs w:val="16"/>
          <w:shd w:val="clear" w:color="auto" w:fill="FFFFFF"/>
        </w:rPr>
        <w:t>reconnaître les signes et les symptômes évoquant une maladie grave;</w:t>
      </w:r>
    </w:p>
    <w:p w:rsidR="005C775A" w:rsidRPr="005C775A" w:rsidRDefault="005C775A" w:rsidP="005C775A">
      <w:pPr>
        <w:numPr>
          <w:ilvl w:val="1"/>
          <w:numId w:val="829"/>
        </w:numPr>
        <w:shd w:val="clear" w:color="auto" w:fill="FFFFFF"/>
        <w:spacing w:before="100" w:beforeAutospacing="1" w:after="100" w:afterAutospacing="1" w:line="240" w:lineRule="auto"/>
        <w:rPr>
          <w:rFonts w:cs="Times New Roman"/>
          <w:color w:val="000000"/>
          <w:sz w:val="16"/>
          <w:szCs w:val="16"/>
          <w:shd w:val="clear" w:color="auto" w:fill="FFFFFF"/>
        </w:rPr>
      </w:pPr>
      <w:r w:rsidRPr="005C775A">
        <w:rPr>
          <w:rFonts w:cs="Times New Roman"/>
          <w:color w:val="000000"/>
          <w:sz w:val="16"/>
          <w:szCs w:val="16"/>
          <w:shd w:val="clear" w:color="auto" w:fill="FFFFFF"/>
        </w:rPr>
        <w:t>calculer la différence de longueur des jambes;</w:t>
      </w:r>
    </w:p>
    <w:p w:rsidR="005C775A" w:rsidRPr="005C775A" w:rsidRDefault="005C775A" w:rsidP="005C775A">
      <w:pPr>
        <w:numPr>
          <w:ilvl w:val="1"/>
          <w:numId w:val="829"/>
        </w:numPr>
        <w:shd w:val="clear" w:color="auto" w:fill="FFFFFF"/>
        <w:spacing w:before="100" w:beforeAutospacing="1" w:after="100" w:afterAutospacing="1" w:line="240" w:lineRule="auto"/>
        <w:rPr>
          <w:rFonts w:cs="Times New Roman"/>
          <w:color w:val="000000"/>
          <w:sz w:val="16"/>
          <w:szCs w:val="16"/>
          <w:shd w:val="clear" w:color="auto" w:fill="FFFFFF"/>
        </w:rPr>
      </w:pPr>
      <w:r w:rsidRPr="005C775A">
        <w:rPr>
          <w:rFonts w:cs="Times New Roman"/>
          <w:color w:val="000000"/>
          <w:sz w:val="16"/>
          <w:szCs w:val="16"/>
          <w:shd w:val="clear" w:color="auto" w:fill="FFFFFF"/>
        </w:rPr>
        <w:t>décrire la posture et la démarche;</w:t>
      </w:r>
    </w:p>
    <w:p w:rsidR="005C775A" w:rsidRPr="005C775A" w:rsidRDefault="005C775A" w:rsidP="005C775A">
      <w:pPr>
        <w:numPr>
          <w:ilvl w:val="0"/>
          <w:numId w:val="829"/>
        </w:numPr>
        <w:shd w:val="clear" w:color="auto" w:fill="FFFFFF"/>
        <w:spacing w:before="100" w:beforeAutospacing="1" w:after="100" w:afterAutospacing="1" w:line="240" w:lineRule="auto"/>
        <w:rPr>
          <w:rFonts w:cs="Times New Roman"/>
          <w:color w:val="000000"/>
          <w:sz w:val="16"/>
          <w:szCs w:val="16"/>
          <w:shd w:val="clear" w:color="auto" w:fill="FFFFFF"/>
        </w:rPr>
      </w:pPr>
      <w:r w:rsidRPr="005C775A">
        <w:rPr>
          <w:rFonts w:cs="Times New Roman"/>
          <w:color w:val="000000"/>
          <w:sz w:val="16"/>
          <w:szCs w:val="16"/>
          <w:shd w:val="clear" w:color="auto" w:fill="FFFFFF"/>
        </w:rPr>
        <w:t>énumérer et interpréter les examens essentiels, notamment :</w:t>
      </w:r>
    </w:p>
    <w:p w:rsidR="005C775A" w:rsidRPr="005C775A" w:rsidRDefault="005C775A" w:rsidP="005C775A">
      <w:pPr>
        <w:numPr>
          <w:ilvl w:val="1"/>
          <w:numId w:val="829"/>
        </w:numPr>
        <w:shd w:val="clear" w:color="auto" w:fill="FFFFFF"/>
        <w:spacing w:before="100" w:beforeAutospacing="1" w:after="100" w:afterAutospacing="1" w:line="240" w:lineRule="auto"/>
        <w:rPr>
          <w:rFonts w:cs="Times New Roman"/>
          <w:color w:val="000000"/>
          <w:sz w:val="16"/>
          <w:szCs w:val="16"/>
          <w:shd w:val="clear" w:color="auto" w:fill="FFFFFF"/>
        </w:rPr>
      </w:pPr>
      <w:r w:rsidRPr="005C775A">
        <w:rPr>
          <w:rFonts w:cs="Times New Roman"/>
          <w:color w:val="000000"/>
          <w:sz w:val="16"/>
          <w:szCs w:val="16"/>
          <w:shd w:val="clear" w:color="auto" w:fill="FFFFFF"/>
        </w:rPr>
        <w:t>les examens d'imagerie diagnostique pertinents (p. ex. radiographie, scintigramme);</w:t>
      </w:r>
    </w:p>
    <w:p w:rsidR="005C775A" w:rsidRPr="005C775A" w:rsidRDefault="005C775A" w:rsidP="005C775A">
      <w:pPr>
        <w:numPr>
          <w:ilvl w:val="1"/>
          <w:numId w:val="829"/>
        </w:numPr>
        <w:shd w:val="clear" w:color="auto" w:fill="FFFFFF"/>
        <w:spacing w:before="100" w:beforeAutospacing="1" w:after="100" w:afterAutospacing="1" w:line="240" w:lineRule="auto"/>
        <w:rPr>
          <w:rFonts w:cs="Times New Roman"/>
          <w:color w:val="000000"/>
          <w:sz w:val="16"/>
          <w:szCs w:val="16"/>
          <w:shd w:val="clear" w:color="auto" w:fill="FFFFFF"/>
        </w:rPr>
      </w:pPr>
      <w:r w:rsidRPr="005C775A">
        <w:rPr>
          <w:rFonts w:cs="Times New Roman"/>
          <w:color w:val="000000"/>
          <w:sz w:val="16"/>
          <w:szCs w:val="16"/>
          <w:shd w:val="clear" w:color="auto" w:fill="FFFFFF"/>
        </w:rPr>
        <w:t>les techniques d'imagerie diagnostique à employer;</w:t>
      </w:r>
    </w:p>
    <w:p w:rsidR="005C775A" w:rsidRPr="005C775A" w:rsidRDefault="005C775A" w:rsidP="005C775A">
      <w:pPr>
        <w:numPr>
          <w:ilvl w:val="0"/>
          <w:numId w:val="829"/>
        </w:numPr>
        <w:shd w:val="clear" w:color="auto" w:fill="FFFFFF"/>
        <w:spacing w:before="100" w:beforeAutospacing="1" w:after="100" w:afterAutospacing="1" w:line="240" w:lineRule="auto"/>
        <w:rPr>
          <w:rFonts w:cs="Times New Roman"/>
          <w:color w:val="000000"/>
          <w:sz w:val="16"/>
          <w:szCs w:val="16"/>
          <w:shd w:val="clear" w:color="auto" w:fill="FFFFFF"/>
        </w:rPr>
      </w:pPr>
      <w:r w:rsidRPr="005C775A">
        <w:rPr>
          <w:rFonts w:cs="Times New Roman"/>
          <w:color w:val="000000"/>
          <w:sz w:val="16"/>
          <w:szCs w:val="16"/>
          <w:shd w:val="clear" w:color="auto" w:fill="FFFFFF"/>
        </w:rPr>
        <w:t>établir un plan efficace de prise en charge initiale, notamment :</w:t>
      </w:r>
    </w:p>
    <w:p w:rsidR="005C775A" w:rsidRPr="005C775A" w:rsidRDefault="005C775A" w:rsidP="005C775A">
      <w:pPr>
        <w:numPr>
          <w:ilvl w:val="1"/>
          <w:numId w:val="829"/>
        </w:numPr>
        <w:shd w:val="clear" w:color="auto" w:fill="FFFFFF"/>
        <w:spacing w:before="100" w:beforeAutospacing="1" w:after="100" w:afterAutospacing="1" w:line="240" w:lineRule="auto"/>
        <w:rPr>
          <w:rFonts w:cs="Times New Roman"/>
          <w:color w:val="000000"/>
          <w:sz w:val="16"/>
          <w:szCs w:val="16"/>
          <w:shd w:val="clear" w:color="auto" w:fill="FFFFFF"/>
        </w:rPr>
      </w:pPr>
      <w:r w:rsidRPr="005C775A">
        <w:rPr>
          <w:rFonts w:cs="Times New Roman"/>
          <w:color w:val="000000"/>
          <w:sz w:val="16"/>
          <w:szCs w:val="16"/>
          <w:shd w:val="clear" w:color="auto" w:fill="FFFFFF"/>
        </w:rPr>
        <w:t>déterminer si le patient a besoin de soins spécialisés;</w:t>
      </w:r>
    </w:p>
    <w:p w:rsidR="005C775A" w:rsidRPr="005C775A" w:rsidRDefault="005C775A" w:rsidP="005C775A">
      <w:pPr>
        <w:numPr>
          <w:ilvl w:val="1"/>
          <w:numId w:val="829"/>
        </w:numPr>
        <w:shd w:val="clear" w:color="auto" w:fill="FFFFFF"/>
        <w:spacing w:before="100" w:beforeAutospacing="1" w:after="100" w:afterAutospacing="1" w:line="240" w:lineRule="auto"/>
        <w:rPr>
          <w:rFonts w:cs="Times New Roman"/>
          <w:color w:val="000000"/>
          <w:sz w:val="16"/>
          <w:szCs w:val="16"/>
          <w:shd w:val="clear" w:color="auto" w:fill="FFFFFF"/>
        </w:rPr>
      </w:pPr>
      <w:r w:rsidRPr="005C775A">
        <w:rPr>
          <w:rFonts w:cs="Times New Roman"/>
          <w:color w:val="000000"/>
          <w:sz w:val="16"/>
          <w:szCs w:val="16"/>
          <w:shd w:val="clear" w:color="auto" w:fill="FFFFFF"/>
        </w:rPr>
        <w:t>déterminer si le patient doit être dirigé vers d'autres professionnels de la santé;</w:t>
      </w:r>
    </w:p>
    <w:p w:rsidR="005C775A" w:rsidRPr="005C775A" w:rsidRDefault="005C775A" w:rsidP="005C775A">
      <w:pPr>
        <w:numPr>
          <w:ilvl w:val="1"/>
          <w:numId w:val="829"/>
        </w:numPr>
        <w:shd w:val="clear" w:color="auto" w:fill="FFFFFF"/>
        <w:spacing w:before="100" w:beforeAutospacing="1" w:after="100" w:afterAutospacing="1" w:line="240" w:lineRule="auto"/>
        <w:rPr>
          <w:rFonts w:cs="Times New Roman"/>
          <w:color w:val="000000"/>
          <w:sz w:val="16"/>
          <w:szCs w:val="16"/>
          <w:shd w:val="clear" w:color="auto" w:fill="FFFFFF"/>
        </w:rPr>
      </w:pPr>
      <w:r w:rsidRPr="005C775A">
        <w:rPr>
          <w:rFonts w:cs="Times New Roman"/>
          <w:color w:val="000000"/>
          <w:sz w:val="16"/>
          <w:szCs w:val="16"/>
          <w:shd w:val="clear" w:color="auto" w:fill="FFFFFF"/>
        </w:rPr>
        <w:t xml:space="preserve">dans le cas d'un patient présentant une boiterie ou une douleur </w:t>
      </w:r>
      <w:r w:rsidR="00D50376" w:rsidRPr="005C775A">
        <w:rPr>
          <w:rFonts w:cs="Times New Roman"/>
          <w:color w:val="000000"/>
          <w:sz w:val="16"/>
          <w:szCs w:val="16"/>
          <w:shd w:val="clear" w:color="auto" w:fill="FFFFFF"/>
        </w:rPr>
        <w:t>persistante</w:t>
      </w:r>
      <w:r w:rsidRPr="005C775A">
        <w:rPr>
          <w:rFonts w:cs="Times New Roman"/>
          <w:color w:val="000000"/>
          <w:sz w:val="16"/>
          <w:szCs w:val="16"/>
          <w:shd w:val="clear" w:color="auto" w:fill="FFFFFF"/>
        </w:rPr>
        <w:t>, déterminer si des examens plus poussés sont requis.</w:t>
      </w:r>
    </w:p>
    <w:p w:rsidR="0063699D" w:rsidRDefault="00F3228F" w:rsidP="00F3228F">
      <w:pPr>
        <w:pStyle w:val="Sansinterligne"/>
      </w:pPr>
      <w:r>
        <w:t>La douleur aux membres est une condition fréquente chez l’enfant, particulièrement aux membres inférieurs. Bien que généralement bénigne, il est important de reconnaître les signes de gravité. On portera ainsi attention aux éléments suivants :</w:t>
      </w:r>
    </w:p>
    <w:p w:rsidR="00D50376" w:rsidRDefault="00D50376" w:rsidP="00F3228F">
      <w:pPr>
        <w:pStyle w:val="Sansinterligne"/>
      </w:pPr>
    </w:p>
    <w:p w:rsidR="00F3228F" w:rsidRPr="0059458F" w:rsidRDefault="00F3228F" w:rsidP="00F3228F">
      <w:pPr>
        <w:pStyle w:val="Sansinterligne"/>
        <w:rPr>
          <w:b/>
        </w:rPr>
      </w:pPr>
      <w:r w:rsidRPr="0059458F">
        <w:rPr>
          <w:b/>
        </w:rPr>
        <w:t>Anamnèse</w:t>
      </w:r>
    </w:p>
    <w:p w:rsidR="00F3228F" w:rsidRDefault="00F3228F" w:rsidP="00F3228F">
      <w:pPr>
        <w:pStyle w:val="Sansinterligne"/>
      </w:pPr>
    </w:p>
    <w:p w:rsidR="00F3228F" w:rsidRDefault="0059458F" w:rsidP="002260A3">
      <w:pPr>
        <w:pStyle w:val="Sansinterligne"/>
        <w:numPr>
          <w:ilvl w:val="0"/>
          <w:numId w:val="845"/>
        </w:numPr>
      </w:pPr>
      <w:r>
        <w:t>Âge, sexe</w:t>
      </w:r>
    </w:p>
    <w:p w:rsidR="0059458F" w:rsidRPr="0059458F" w:rsidRDefault="0059458F" w:rsidP="002260A3">
      <w:pPr>
        <w:pStyle w:val="Sansinterligne"/>
        <w:numPr>
          <w:ilvl w:val="0"/>
          <w:numId w:val="845"/>
        </w:numPr>
        <w:rPr>
          <w:highlight w:val="yellow"/>
        </w:rPr>
      </w:pPr>
      <w:r w:rsidRPr="0059458F">
        <w:rPr>
          <w:highlight w:val="yellow"/>
        </w:rPr>
        <w:t xml:space="preserve">ATCD personnels et familiaux </w:t>
      </w:r>
    </w:p>
    <w:p w:rsidR="0059458F" w:rsidRPr="0059458F" w:rsidRDefault="0059458F" w:rsidP="002260A3">
      <w:pPr>
        <w:pStyle w:val="Sansinterligne"/>
        <w:numPr>
          <w:ilvl w:val="1"/>
          <w:numId w:val="845"/>
        </w:numPr>
        <w:rPr>
          <w:lang w:val="en-CA"/>
        </w:rPr>
      </w:pPr>
      <w:r w:rsidRPr="0059458F">
        <w:rPr>
          <w:lang w:val="en-CA"/>
        </w:rPr>
        <w:t>Arthrite, MII, psoriasis, spondyloarthropathies, connectivites</w:t>
      </w:r>
    </w:p>
    <w:p w:rsidR="0059458F" w:rsidRDefault="0059458F" w:rsidP="002260A3">
      <w:pPr>
        <w:pStyle w:val="Sansinterligne"/>
        <w:numPr>
          <w:ilvl w:val="1"/>
          <w:numId w:val="845"/>
        </w:numPr>
      </w:pPr>
      <w:r>
        <w:t>Coagulopathies, anémie falciforme, etc.</w:t>
      </w:r>
    </w:p>
    <w:p w:rsidR="0059458F" w:rsidRPr="0059458F" w:rsidRDefault="00882FBF" w:rsidP="002260A3">
      <w:pPr>
        <w:pStyle w:val="Sansinterligne"/>
        <w:numPr>
          <w:ilvl w:val="0"/>
          <w:numId w:val="845"/>
        </w:numPr>
        <w:rPr>
          <w:highlight w:val="yellow"/>
        </w:rPr>
      </w:pPr>
      <w:r w:rsidRPr="0059458F">
        <w:rPr>
          <w:b/>
          <w:noProof/>
          <w:highlight w:val="yellow"/>
          <w:lang w:eastAsia="fr-CA"/>
        </w:rPr>
        <w:drawing>
          <wp:anchor distT="0" distB="0" distL="114300" distR="114300" simplePos="0" relativeHeight="251896832" behindDoc="0" locked="0" layoutInCell="1" allowOverlap="1" wp14:anchorId="3FBC088C" wp14:editId="2BA0C3E5">
            <wp:simplePos x="0" y="0"/>
            <wp:positionH relativeFrom="column">
              <wp:posOffset>3602990</wp:posOffset>
            </wp:positionH>
            <wp:positionV relativeFrom="paragraph">
              <wp:posOffset>142875</wp:posOffset>
            </wp:positionV>
            <wp:extent cx="3161030" cy="2668905"/>
            <wp:effectExtent l="0" t="0" r="1270" b="0"/>
            <wp:wrapNone/>
            <wp:docPr id="399" name="Image 399" descr="Résultats de recherche d'images pour « barlow ortolani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ésultats de recherche d'images pour « barlow ortolani »"/>
                    <pic:cNvPicPr>
                      <a:picLocks noChangeAspect="1" noChangeArrowheads="1"/>
                    </pic:cNvPicPr>
                  </pic:nvPicPr>
                  <pic:blipFill rotWithShape="1">
                    <a:blip r:embed="rId64">
                      <a:extLst>
                        <a:ext uri="{28A0092B-C50C-407E-A947-70E740481C1C}">
                          <a14:useLocalDpi xmlns:a14="http://schemas.microsoft.com/office/drawing/2010/main" val="0"/>
                        </a:ext>
                      </a:extLst>
                    </a:blip>
                    <a:srcRect t="7398" b="8152"/>
                    <a:stretch/>
                  </pic:blipFill>
                  <pic:spPr bwMode="auto">
                    <a:xfrm>
                      <a:off x="0" y="0"/>
                      <a:ext cx="3161030" cy="266890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9458F" w:rsidRPr="0059458F">
        <w:rPr>
          <w:highlight w:val="yellow"/>
        </w:rPr>
        <w:t>Qualifier et comprendre l’apparition et progression</w:t>
      </w:r>
    </w:p>
    <w:p w:rsidR="0059458F" w:rsidRPr="0059458F" w:rsidRDefault="0059458F" w:rsidP="002260A3">
      <w:pPr>
        <w:pStyle w:val="Sansinterligne"/>
        <w:numPr>
          <w:ilvl w:val="0"/>
          <w:numId w:val="845"/>
        </w:numPr>
        <w:rPr>
          <w:highlight w:val="yellow"/>
        </w:rPr>
      </w:pPr>
      <w:r w:rsidRPr="0059458F">
        <w:rPr>
          <w:highlight w:val="yellow"/>
        </w:rPr>
        <w:t xml:space="preserve">Recherche des symptômes inflammatoires </w:t>
      </w:r>
    </w:p>
    <w:p w:rsidR="0059458F" w:rsidRPr="0059458F" w:rsidRDefault="0059458F" w:rsidP="002260A3">
      <w:pPr>
        <w:pStyle w:val="Sansinterligne"/>
        <w:numPr>
          <w:ilvl w:val="1"/>
          <w:numId w:val="845"/>
        </w:numPr>
      </w:pPr>
      <w:r w:rsidRPr="0059458F">
        <w:t xml:space="preserve">Rigidité matinale </w:t>
      </w:r>
    </w:p>
    <w:p w:rsidR="0059458F" w:rsidRPr="0059458F" w:rsidRDefault="0059458F" w:rsidP="002260A3">
      <w:pPr>
        <w:pStyle w:val="Sansinterligne"/>
        <w:numPr>
          <w:ilvl w:val="1"/>
          <w:numId w:val="845"/>
        </w:numPr>
      </w:pPr>
      <w:r w:rsidRPr="0059458F">
        <w:t>Amélioration à l’échauffement</w:t>
      </w:r>
    </w:p>
    <w:p w:rsidR="0059458F" w:rsidRPr="0059458F" w:rsidRDefault="0059458F" w:rsidP="002260A3">
      <w:pPr>
        <w:pStyle w:val="Sansinterligne"/>
        <w:numPr>
          <w:ilvl w:val="1"/>
          <w:numId w:val="845"/>
        </w:numPr>
      </w:pPr>
      <w:r w:rsidRPr="0059458F">
        <w:t>Capacité de mise en charge</w:t>
      </w:r>
    </w:p>
    <w:p w:rsidR="0059458F" w:rsidRPr="0059458F" w:rsidRDefault="0059458F" w:rsidP="002260A3">
      <w:pPr>
        <w:pStyle w:val="Sansinterligne"/>
        <w:numPr>
          <w:ilvl w:val="0"/>
          <w:numId w:val="845"/>
        </w:numPr>
        <w:rPr>
          <w:highlight w:val="yellow"/>
        </w:rPr>
      </w:pPr>
      <w:r w:rsidRPr="0059458F">
        <w:rPr>
          <w:highlight w:val="yellow"/>
        </w:rPr>
        <w:t>Douleurs nocturnes (suspect)</w:t>
      </w:r>
    </w:p>
    <w:p w:rsidR="0059458F" w:rsidRPr="0059458F" w:rsidRDefault="0059458F" w:rsidP="002260A3">
      <w:pPr>
        <w:pStyle w:val="Sansinterligne"/>
        <w:numPr>
          <w:ilvl w:val="0"/>
          <w:numId w:val="845"/>
        </w:numPr>
        <w:rPr>
          <w:highlight w:val="yellow"/>
        </w:rPr>
      </w:pPr>
      <w:r w:rsidRPr="0059458F">
        <w:rPr>
          <w:highlight w:val="yellow"/>
        </w:rPr>
        <w:t xml:space="preserve">Distribution des atteintes </w:t>
      </w:r>
    </w:p>
    <w:p w:rsidR="0059458F" w:rsidRDefault="0059458F" w:rsidP="002260A3">
      <w:pPr>
        <w:pStyle w:val="Sansinterligne"/>
        <w:numPr>
          <w:ilvl w:val="1"/>
          <w:numId w:val="845"/>
        </w:numPr>
      </w:pPr>
      <w:r>
        <w:t xml:space="preserve">Tronculaires vs distales </w:t>
      </w:r>
    </w:p>
    <w:p w:rsidR="0059458F" w:rsidRDefault="0059458F" w:rsidP="002260A3">
      <w:pPr>
        <w:pStyle w:val="Sansinterligne"/>
        <w:numPr>
          <w:ilvl w:val="1"/>
          <w:numId w:val="845"/>
        </w:numPr>
      </w:pPr>
      <w:r>
        <w:t>Symétriques vs asymétriques</w:t>
      </w:r>
    </w:p>
    <w:p w:rsidR="0059458F" w:rsidRDefault="0059458F" w:rsidP="002260A3">
      <w:pPr>
        <w:pStyle w:val="Sansinterligne"/>
        <w:numPr>
          <w:ilvl w:val="0"/>
          <w:numId w:val="845"/>
        </w:numPr>
      </w:pPr>
      <w:r>
        <w:t>Capacité fonctionnelle, AVQ/AVD</w:t>
      </w:r>
    </w:p>
    <w:p w:rsidR="00882FBF" w:rsidRDefault="00882FBF" w:rsidP="002260A3">
      <w:pPr>
        <w:pStyle w:val="Sansinterligne"/>
        <w:numPr>
          <w:ilvl w:val="0"/>
          <w:numId w:val="845"/>
        </w:numPr>
      </w:pPr>
      <w:r>
        <w:t>Histoire de trauma</w:t>
      </w:r>
    </w:p>
    <w:p w:rsidR="00882FBF" w:rsidRDefault="00882FBF" w:rsidP="002260A3">
      <w:pPr>
        <w:pStyle w:val="Sansinterligne"/>
        <w:numPr>
          <w:ilvl w:val="0"/>
          <w:numId w:val="845"/>
        </w:numPr>
      </w:pPr>
      <w:r>
        <w:t xml:space="preserve">Fièvre ou symptômes généraux concomitants </w:t>
      </w:r>
    </w:p>
    <w:p w:rsidR="0059458F" w:rsidRDefault="0059458F" w:rsidP="00F3228F">
      <w:pPr>
        <w:pStyle w:val="Sansinterligne"/>
      </w:pPr>
    </w:p>
    <w:p w:rsidR="00F3228F" w:rsidRPr="0059458F" w:rsidRDefault="00F3228F" w:rsidP="00F3228F">
      <w:pPr>
        <w:pStyle w:val="Sansinterligne"/>
        <w:rPr>
          <w:b/>
        </w:rPr>
      </w:pPr>
      <w:r w:rsidRPr="0059458F">
        <w:rPr>
          <w:b/>
        </w:rPr>
        <w:t>Examen physique</w:t>
      </w:r>
    </w:p>
    <w:p w:rsidR="00F3228F" w:rsidRDefault="00F3228F" w:rsidP="00F3228F">
      <w:pPr>
        <w:pStyle w:val="Sansinterligne"/>
      </w:pPr>
    </w:p>
    <w:p w:rsidR="0059458F" w:rsidRDefault="0059458F" w:rsidP="002260A3">
      <w:pPr>
        <w:pStyle w:val="Sansinterligne"/>
        <w:numPr>
          <w:ilvl w:val="0"/>
          <w:numId w:val="846"/>
        </w:numPr>
      </w:pPr>
      <w:r>
        <w:t>Paramètres de croissance (taille, poids, périmètre crânien)</w:t>
      </w:r>
    </w:p>
    <w:p w:rsidR="0059458F" w:rsidRDefault="0059458F" w:rsidP="002260A3">
      <w:pPr>
        <w:pStyle w:val="Sansinterligne"/>
        <w:numPr>
          <w:ilvl w:val="0"/>
          <w:numId w:val="846"/>
        </w:numPr>
      </w:pPr>
      <w:r>
        <w:t>Longueur des membres inférieurs</w:t>
      </w:r>
    </w:p>
    <w:p w:rsidR="0059458F" w:rsidRPr="0059458F" w:rsidRDefault="0059458F" w:rsidP="002260A3">
      <w:pPr>
        <w:pStyle w:val="Sansinterligne"/>
        <w:numPr>
          <w:ilvl w:val="0"/>
          <w:numId w:val="846"/>
        </w:numPr>
        <w:rPr>
          <w:highlight w:val="yellow"/>
        </w:rPr>
      </w:pPr>
      <w:r w:rsidRPr="0059458F">
        <w:rPr>
          <w:highlight w:val="yellow"/>
        </w:rPr>
        <w:t>Démarche</w:t>
      </w:r>
    </w:p>
    <w:p w:rsidR="0059458F" w:rsidRPr="0059458F" w:rsidRDefault="0059458F" w:rsidP="002260A3">
      <w:pPr>
        <w:pStyle w:val="Sansinterligne"/>
        <w:numPr>
          <w:ilvl w:val="0"/>
          <w:numId w:val="846"/>
        </w:numPr>
        <w:rPr>
          <w:highlight w:val="yellow"/>
        </w:rPr>
      </w:pPr>
      <w:r w:rsidRPr="0059458F">
        <w:rPr>
          <w:highlight w:val="yellow"/>
        </w:rPr>
        <w:t>Examen neurologique des membres et de la colonne</w:t>
      </w:r>
    </w:p>
    <w:p w:rsidR="0059458F" w:rsidRPr="0059458F" w:rsidRDefault="0059458F" w:rsidP="002260A3">
      <w:pPr>
        <w:pStyle w:val="Sansinterligne"/>
        <w:numPr>
          <w:ilvl w:val="0"/>
          <w:numId w:val="846"/>
        </w:numPr>
        <w:rPr>
          <w:highlight w:val="yellow"/>
        </w:rPr>
      </w:pPr>
      <w:r w:rsidRPr="0059458F">
        <w:rPr>
          <w:highlight w:val="yellow"/>
        </w:rPr>
        <w:t xml:space="preserve">Examen MSK attentif des articulations douloureuses </w:t>
      </w:r>
    </w:p>
    <w:p w:rsidR="008E108D" w:rsidRPr="00864FE7" w:rsidRDefault="00864FE7" w:rsidP="00F3228F">
      <w:pPr>
        <w:pStyle w:val="Sansinterligne"/>
        <w:rPr>
          <w:b/>
          <w:sz w:val="28"/>
          <w:szCs w:val="28"/>
        </w:rPr>
      </w:pPr>
      <w:r w:rsidRPr="00864FE7">
        <w:rPr>
          <w:b/>
          <w:sz w:val="28"/>
          <w:szCs w:val="28"/>
        </w:rPr>
        <w:lastRenderedPageBreak/>
        <w:t>Diagnostic(s)</w:t>
      </w:r>
      <w:r w:rsidR="0083770C">
        <w:rPr>
          <w:b/>
          <w:sz w:val="28"/>
          <w:szCs w:val="28"/>
        </w:rPr>
        <w:t xml:space="preserve"> – Liste non-exhaustive</w:t>
      </w:r>
    </w:p>
    <w:tbl>
      <w:tblPr>
        <w:tblStyle w:val="Grilledutableau"/>
        <w:tblW w:w="0" w:type="auto"/>
        <w:tblLook w:val="04A0" w:firstRow="1" w:lastRow="0" w:firstColumn="1" w:lastColumn="0" w:noHBand="0" w:noVBand="1"/>
      </w:tblPr>
      <w:tblGrid>
        <w:gridCol w:w="2802"/>
        <w:gridCol w:w="8138"/>
      </w:tblGrid>
      <w:tr w:rsidR="008E108D" w:rsidTr="00863BF3">
        <w:tc>
          <w:tcPr>
            <w:tcW w:w="10940" w:type="dxa"/>
            <w:gridSpan w:val="2"/>
            <w:shd w:val="clear" w:color="auto" w:fill="FFC000"/>
          </w:tcPr>
          <w:p w:rsidR="008E108D" w:rsidRDefault="008E108D" w:rsidP="00864FE7">
            <w:pPr>
              <w:pStyle w:val="Sansinterligne"/>
              <w:jc w:val="center"/>
            </w:pPr>
            <w:r>
              <w:t>Causes infectieuses</w:t>
            </w:r>
          </w:p>
        </w:tc>
      </w:tr>
      <w:tr w:rsidR="008E108D" w:rsidTr="00B0562B">
        <w:tc>
          <w:tcPr>
            <w:tcW w:w="2802" w:type="dxa"/>
            <w:shd w:val="clear" w:color="auto" w:fill="D6E3BC" w:themeFill="accent3" w:themeFillTint="66"/>
          </w:tcPr>
          <w:p w:rsidR="008E108D" w:rsidRPr="00066AA5" w:rsidRDefault="008E108D" w:rsidP="00864FE7">
            <w:pPr>
              <w:pStyle w:val="Sansinterligne"/>
              <w:jc w:val="center"/>
              <w:rPr>
                <w:i/>
              </w:rPr>
            </w:pPr>
            <w:r w:rsidRPr="00066AA5">
              <w:rPr>
                <w:i/>
              </w:rPr>
              <w:t>Diagnostic</w:t>
            </w:r>
          </w:p>
        </w:tc>
        <w:tc>
          <w:tcPr>
            <w:tcW w:w="8138" w:type="dxa"/>
            <w:shd w:val="clear" w:color="auto" w:fill="D6E3BC" w:themeFill="accent3" w:themeFillTint="66"/>
          </w:tcPr>
          <w:p w:rsidR="008E108D" w:rsidRPr="00066AA5" w:rsidRDefault="008E108D" w:rsidP="00864FE7">
            <w:pPr>
              <w:pStyle w:val="Sansinterligne"/>
              <w:jc w:val="center"/>
              <w:rPr>
                <w:i/>
              </w:rPr>
            </w:pPr>
            <w:r w:rsidRPr="00066AA5">
              <w:rPr>
                <w:i/>
              </w:rPr>
              <w:t>Manifestations cliniques</w:t>
            </w:r>
          </w:p>
        </w:tc>
      </w:tr>
      <w:tr w:rsidR="008E108D" w:rsidTr="00EB6311">
        <w:tc>
          <w:tcPr>
            <w:tcW w:w="2802" w:type="dxa"/>
            <w:shd w:val="clear" w:color="auto" w:fill="D6E3BC" w:themeFill="accent3" w:themeFillTint="66"/>
            <w:vAlign w:val="center"/>
          </w:tcPr>
          <w:p w:rsidR="008E108D" w:rsidRPr="00AC7421" w:rsidRDefault="008E108D" w:rsidP="00882FBF">
            <w:pPr>
              <w:pStyle w:val="Sansinterligne"/>
              <w:jc w:val="center"/>
              <w:rPr>
                <w:b/>
              </w:rPr>
            </w:pPr>
            <w:r w:rsidRPr="00AC7421">
              <w:rPr>
                <w:b/>
              </w:rPr>
              <w:t>Arthrite septique</w:t>
            </w:r>
          </w:p>
        </w:tc>
        <w:tc>
          <w:tcPr>
            <w:tcW w:w="8138" w:type="dxa"/>
            <w:shd w:val="clear" w:color="auto" w:fill="FFFF00"/>
          </w:tcPr>
          <w:p w:rsidR="008E108D" w:rsidRDefault="00B0562B" w:rsidP="002260A3">
            <w:pPr>
              <w:pStyle w:val="Sansinterligne"/>
              <w:numPr>
                <w:ilvl w:val="0"/>
                <w:numId w:val="847"/>
              </w:numPr>
            </w:pPr>
            <w:r>
              <w:t>Refus de MEC</w:t>
            </w:r>
          </w:p>
          <w:p w:rsidR="000D1964" w:rsidRDefault="000D1964" w:rsidP="002260A3">
            <w:pPr>
              <w:pStyle w:val="Sansinterligne"/>
              <w:numPr>
                <w:ilvl w:val="0"/>
                <w:numId w:val="847"/>
              </w:numPr>
            </w:pPr>
            <w:r>
              <w:t>Apparition aigue, souvent trauma (parfois hématogène)</w:t>
            </w:r>
          </w:p>
          <w:p w:rsidR="00B0562B" w:rsidRDefault="00B0562B" w:rsidP="002260A3">
            <w:pPr>
              <w:pStyle w:val="Sansinterligne"/>
              <w:numPr>
                <w:ilvl w:val="0"/>
                <w:numId w:val="847"/>
              </w:numPr>
            </w:pPr>
            <w:r>
              <w:t>Douleur localisée à une articulation</w:t>
            </w:r>
          </w:p>
          <w:p w:rsidR="00B0562B" w:rsidRDefault="00B0562B" w:rsidP="002260A3">
            <w:pPr>
              <w:pStyle w:val="Sansinterligne"/>
              <w:numPr>
                <w:ilvl w:val="0"/>
                <w:numId w:val="847"/>
              </w:numPr>
            </w:pPr>
            <w:r>
              <w:t>Douleur présente en mouvement actif ET passif</w:t>
            </w:r>
          </w:p>
          <w:p w:rsidR="00B0562B" w:rsidRDefault="00B0562B" w:rsidP="002260A3">
            <w:pPr>
              <w:pStyle w:val="Sansinterligne"/>
              <w:numPr>
                <w:ilvl w:val="0"/>
                <w:numId w:val="847"/>
              </w:numPr>
            </w:pPr>
            <w:r>
              <w:t>Chaleur, œdème</w:t>
            </w:r>
          </w:p>
          <w:p w:rsidR="00B0562B" w:rsidRDefault="00B0562B" w:rsidP="002260A3">
            <w:pPr>
              <w:pStyle w:val="Sansinterligne"/>
              <w:numPr>
                <w:ilvl w:val="0"/>
                <w:numId w:val="847"/>
              </w:numPr>
            </w:pPr>
            <w:r>
              <w:t>Fièvre</w:t>
            </w:r>
          </w:p>
        </w:tc>
      </w:tr>
      <w:tr w:rsidR="008E108D" w:rsidTr="00B0562B">
        <w:tc>
          <w:tcPr>
            <w:tcW w:w="2802" w:type="dxa"/>
            <w:shd w:val="clear" w:color="auto" w:fill="D6E3BC" w:themeFill="accent3" w:themeFillTint="66"/>
            <w:vAlign w:val="center"/>
          </w:tcPr>
          <w:p w:rsidR="008E108D" w:rsidRDefault="008E108D" w:rsidP="00882FBF">
            <w:pPr>
              <w:pStyle w:val="Sansinterligne"/>
              <w:jc w:val="center"/>
            </w:pPr>
            <w:r>
              <w:t>Arthrite virale</w:t>
            </w:r>
          </w:p>
        </w:tc>
        <w:tc>
          <w:tcPr>
            <w:tcW w:w="8138" w:type="dxa"/>
          </w:tcPr>
          <w:p w:rsidR="008E108D" w:rsidRDefault="000D1964" w:rsidP="002260A3">
            <w:pPr>
              <w:pStyle w:val="Sansinterligne"/>
              <w:numPr>
                <w:ilvl w:val="0"/>
                <w:numId w:val="848"/>
              </w:numPr>
            </w:pPr>
            <w:r>
              <w:t>Douleur d’apparition subite</w:t>
            </w:r>
          </w:p>
          <w:p w:rsidR="000D1964" w:rsidRDefault="000D1964" w:rsidP="002260A3">
            <w:pPr>
              <w:pStyle w:val="Sansinterligne"/>
              <w:numPr>
                <w:ilvl w:val="0"/>
                <w:numId w:val="848"/>
              </w:numPr>
            </w:pPr>
            <w:r>
              <w:t>Peuvent durer de une à quelques semaines</w:t>
            </w:r>
          </w:p>
          <w:p w:rsidR="000D1964" w:rsidRDefault="000D1964" w:rsidP="002260A3">
            <w:pPr>
              <w:pStyle w:val="Sansinterligne"/>
              <w:numPr>
                <w:ilvl w:val="0"/>
                <w:numId w:val="848"/>
              </w:numPr>
            </w:pPr>
            <w:r>
              <w:t>Tableau viral (Sx d’IVRS, rash viral) etc.</w:t>
            </w:r>
          </w:p>
        </w:tc>
      </w:tr>
      <w:tr w:rsidR="008E108D" w:rsidTr="00B0562B">
        <w:tc>
          <w:tcPr>
            <w:tcW w:w="2802" w:type="dxa"/>
            <w:shd w:val="clear" w:color="auto" w:fill="D6E3BC" w:themeFill="accent3" w:themeFillTint="66"/>
            <w:vAlign w:val="center"/>
          </w:tcPr>
          <w:p w:rsidR="008E108D" w:rsidRPr="00AC7421" w:rsidRDefault="008E108D" w:rsidP="00882FBF">
            <w:pPr>
              <w:pStyle w:val="Sansinterligne"/>
              <w:jc w:val="center"/>
              <w:rPr>
                <w:b/>
              </w:rPr>
            </w:pPr>
            <w:r w:rsidRPr="00AC7421">
              <w:rPr>
                <w:b/>
              </w:rPr>
              <w:t>Arthrite réactive</w:t>
            </w:r>
          </w:p>
        </w:tc>
        <w:tc>
          <w:tcPr>
            <w:tcW w:w="8138" w:type="dxa"/>
          </w:tcPr>
          <w:p w:rsidR="008E108D" w:rsidRDefault="00A61B4C" w:rsidP="002260A3">
            <w:pPr>
              <w:pStyle w:val="Sansinterligne"/>
              <w:numPr>
                <w:ilvl w:val="0"/>
                <w:numId w:val="849"/>
              </w:numPr>
              <w:shd w:val="clear" w:color="auto" w:fill="FFFF00"/>
            </w:pPr>
            <w:r>
              <w:t>Douleurs articulaires périphériques</w:t>
            </w:r>
            <w:r w:rsidR="00B825E2">
              <w:t xml:space="preserve"> d’allure inflammatoire</w:t>
            </w:r>
          </w:p>
          <w:p w:rsidR="00A61B4C" w:rsidRDefault="00A61B4C" w:rsidP="002260A3">
            <w:pPr>
              <w:pStyle w:val="Sansinterligne"/>
              <w:numPr>
                <w:ilvl w:val="0"/>
                <w:numId w:val="849"/>
              </w:numPr>
              <w:shd w:val="clear" w:color="auto" w:fill="FFFF00"/>
            </w:pPr>
            <w:r>
              <w:t>Asymétriques</w:t>
            </w:r>
          </w:p>
          <w:p w:rsidR="00A61B4C" w:rsidRDefault="00A61B4C" w:rsidP="002260A3">
            <w:pPr>
              <w:pStyle w:val="Sansinterligne"/>
              <w:numPr>
                <w:ilvl w:val="0"/>
                <w:numId w:val="849"/>
              </w:numPr>
              <w:shd w:val="clear" w:color="auto" w:fill="FFFF00"/>
            </w:pPr>
            <w:r>
              <w:t>Précédée d’épisode infectieux quelques semaines auparavant</w:t>
            </w:r>
            <w:r w:rsidR="001861AF">
              <w:t xml:space="preserve"> (chercher mal de gorge)</w:t>
            </w:r>
          </w:p>
          <w:p w:rsidR="00A61B4C" w:rsidRDefault="00A61B4C" w:rsidP="002260A3">
            <w:pPr>
              <w:pStyle w:val="Sansinterligne"/>
              <w:numPr>
                <w:ilvl w:val="0"/>
                <w:numId w:val="849"/>
              </w:numPr>
            </w:pPr>
            <w:r w:rsidRPr="00A61B4C">
              <w:rPr>
                <w:u w:val="single"/>
              </w:rPr>
              <w:t>RAA</w:t>
            </w:r>
            <w:r>
              <w:t> : polyarthrite migratrice post-SGB touchantes les grosses articulations</w:t>
            </w:r>
          </w:p>
          <w:p w:rsidR="00B825E2" w:rsidRDefault="00A61B4C" w:rsidP="002260A3">
            <w:pPr>
              <w:pStyle w:val="Sansinterligne"/>
              <w:numPr>
                <w:ilvl w:val="0"/>
                <w:numId w:val="849"/>
              </w:numPr>
            </w:pPr>
            <w:r w:rsidRPr="00A61B4C">
              <w:rPr>
                <w:u w:val="single"/>
              </w:rPr>
              <w:t>Syndrome de Reiter </w:t>
            </w:r>
            <w:r>
              <w:t>: arthrite + conjonctivite + urétrite</w:t>
            </w:r>
          </w:p>
        </w:tc>
      </w:tr>
      <w:tr w:rsidR="008E108D" w:rsidTr="00575571">
        <w:tc>
          <w:tcPr>
            <w:tcW w:w="2802" w:type="dxa"/>
            <w:shd w:val="clear" w:color="auto" w:fill="D6E3BC" w:themeFill="accent3" w:themeFillTint="66"/>
            <w:vAlign w:val="center"/>
          </w:tcPr>
          <w:p w:rsidR="008E108D" w:rsidRPr="00AC7421" w:rsidRDefault="008E108D" w:rsidP="00882FBF">
            <w:pPr>
              <w:pStyle w:val="Sansinterligne"/>
              <w:jc w:val="center"/>
              <w:rPr>
                <w:b/>
              </w:rPr>
            </w:pPr>
            <w:r w:rsidRPr="00AC7421">
              <w:rPr>
                <w:b/>
              </w:rPr>
              <w:t>Synovite transitoire de la hanche</w:t>
            </w:r>
          </w:p>
        </w:tc>
        <w:tc>
          <w:tcPr>
            <w:tcW w:w="8138" w:type="dxa"/>
            <w:shd w:val="clear" w:color="auto" w:fill="FFFF00"/>
          </w:tcPr>
          <w:p w:rsidR="008E108D" w:rsidRPr="000B360A" w:rsidRDefault="00575571" w:rsidP="002260A3">
            <w:pPr>
              <w:pStyle w:val="Sansinterligne"/>
              <w:numPr>
                <w:ilvl w:val="0"/>
                <w:numId w:val="850"/>
              </w:numPr>
              <w:rPr>
                <w:rFonts w:cs="Times New Roman"/>
              </w:rPr>
            </w:pPr>
            <w:r w:rsidRPr="000B360A">
              <w:rPr>
                <w:rFonts w:cs="Times New Roman"/>
              </w:rPr>
              <w:t xml:space="preserve">♂ </w:t>
            </w:r>
            <w:r w:rsidR="000B360A">
              <w:rPr>
                <w:rFonts w:cs="Times New Roman"/>
              </w:rPr>
              <w:t>2</w:t>
            </w:r>
            <w:r w:rsidR="00066AA5" w:rsidRPr="000B360A">
              <w:rPr>
                <w:rFonts w:cs="Times New Roman"/>
              </w:rPr>
              <w:t>-</w:t>
            </w:r>
            <w:r w:rsidRPr="000B360A">
              <w:rPr>
                <w:rFonts w:cs="Times New Roman"/>
              </w:rPr>
              <w:t xml:space="preserve"> 10 ans</w:t>
            </w:r>
          </w:p>
          <w:p w:rsidR="00575571" w:rsidRDefault="00575571" w:rsidP="002260A3">
            <w:pPr>
              <w:pStyle w:val="Sansinterligne"/>
              <w:numPr>
                <w:ilvl w:val="0"/>
                <w:numId w:val="850"/>
              </w:numPr>
            </w:pPr>
            <w:r>
              <w:t>Parfois post-infectieux</w:t>
            </w:r>
          </w:p>
          <w:p w:rsidR="00575571" w:rsidRDefault="00575571" w:rsidP="002260A3">
            <w:pPr>
              <w:pStyle w:val="Sansinterligne"/>
              <w:numPr>
                <w:ilvl w:val="0"/>
                <w:numId w:val="850"/>
              </w:numPr>
            </w:pPr>
            <w:r>
              <w:t>Bon état général</w:t>
            </w:r>
          </w:p>
          <w:p w:rsidR="00575571" w:rsidRDefault="00575571" w:rsidP="002260A3">
            <w:pPr>
              <w:pStyle w:val="Sansinterligne"/>
              <w:numPr>
                <w:ilvl w:val="0"/>
                <w:numId w:val="850"/>
              </w:numPr>
            </w:pPr>
            <w:r>
              <w:t>Douleur à la hanche, parfois irradiation au genou</w:t>
            </w:r>
          </w:p>
          <w:p w:rsidR="00575571" w:rsidRDefault="00575571" w:rsidP="002260A3">
            <w:pPr>
              <w:pStyle w:val="Sansinterligne"/>
              <w:numPr>
                <w:ilvl w:val="0"/>
                <w:numId w:val="850"/>
              </w:numPr>
            </w:pPr>
            <w:r>
              <w:t>Mobilisation douloureuse (active et passive)</w:t>
            </w:r>
          </w:p>
          <w:p w:rsidR="00575571" w:rsidRDefault="00575571" w:rsidP="002260A3">
            <w:pPr>
              <w:pStyle w:val="Sansinterligne"/>
              <w:numPr>
                <w:ilvl w:val="0"/>
                <w:numId w:val="850"/>
              </w:numPr>
            </w:pPr>
            <w:r>
              <w:t>Rotation interne et abduction diminuée</w:t>
            </w:r>
            <w:r w:rsidR="00066AA5">
              <w:t>, mais possible</w:t>
            </w:r>
          </w:p>
        </w:tc>
      </w:tr>
      <w:tr w:rsidR="008E108D" w:rsidTr="00B0562B">
        <w:tc>
          <w:tcPr>
            <w:tcW w:w="2802" w:type="dxa"/>
            <w:shd w:val="clear" w:color="auto" w:fill="D6E3BC" w:themeFill="accent3" w:themeFillTint="66"/>
            <w:vAlign w:val="center"/>
          </w:tcPr>
          <w:p w:rsidR="008E108D" w:rsidRDefault="008E108D" w:rsidP="00882FBF">
            <w:pPr>
              <w:pStyle w:val="Sansinterligne"/>
              <w:jc w:val="center"/>
            </w:pPr>
            <w:r w:rsidRPr="00AC7421">
              <w:t>Maladie de Lyme</w:t>
            </w:r>
          </w:p>
          <w:p w:rsidR="00A67394" w:rsidRPr="00AC7421" w:rsidRDefault="00A67394" w:rsidP="00882FBF">
            <w:pPr>
              <w:pStyle w:val="Sansinterligne"/>
              <w:jc w:val="center"/>
            </w:pPr>
            <w:r>
              <w:t>(borréliose)</w:t>
            </w:r>
          </w:p>
        </w:tc>
        <w:tc>
          <w:tcPr>
            <w:tcW w:w="8138" w:type="dxa"/>
          </w:tcPr>
          <w:p w:rsidR="008E108D" w:rsidRDefault="00A67394" w:rsidP="002260A3">
            <w:pPr>
              <w:pStyle w:val="Sansinterligne"/>
              <w:numPr>
                <w:ilvl w:val="0"/>
                <w:numId w:val="851"/>
              </w:numPr>
            </w:pPr>
            <w:r>
              <w:t>Arthrite monoarticulaire, surtout le genou</w:t>
            </w:r>
          </w:p>
          <w:p w:rsidR="00A67394" w:rsidRDefault="00A67394" w:rsidP="002260A3">
            <w:pPr>
              <w:pStyle w:val="Sansinterligne"/>
              <w:numPr>
                <w:ilvl w:val="0"/>
                <w:numId w:val="851"/>
              </w:numPr>
            </w:pPr>
            <w:r>
              <w:t>Histoire de séjour dans une région endémique / zone boisée, herbes hautes, peau exposée</w:t>
            </w:r>
          </w:p>
          <w:p w:rsidR="00A67394" w:rsidRDefault="00A67394" w:rsidP="002260A3">
            <w:pPr>
              <w:pStyle w:val="Sansinterligne"/>
              <w:numPr>
                <w:ilvl w:val="0"/>
                <w:numId w:val="851"/>
              </w:numPr>
            </w:pPr>
            <w:r>
              <w:t>Érythème migratoire en cible (pathognomonique)</w:t>
            </w:r>
          </w:p>
          <w:p w:rsidR="00A67394" w:rsidRDefault="00A67394" w:rsidP="002260A3">
            <w:pPr>
              <w:pStyle w:val="Sansinterligne"/>
              <w:numPr>
                <w:ilvl w:val="0"/>
                <w:numId w:val="851"/>
              </w:numPr>
            </w:pPr>
            <w:r>
              <w:t>Tique/morsure parfois identifiable</w:t>
            </w:r>
          </w:p>
          <w:p w:rsidR="00A67394" w:rsidRDefault="00A67394" w:rsidP="002260A3">
            <w:pPr>
              <w:pStyle w:val="Sansinterligne"/>
              <w:numPr>
                <w:ilvl w:val="0"/>
                <w:numId w:val="851"/>
              </w:numPr>
            </w:pPr>
            <w:r>
              <w:t>Malaise général, fièvre, myalgies, céphalées …</w:t>
            </w:r>
          </w:p>
        </w:tc>
      </w:tr>
    </w:tbl>
    <w:p w:rsidR="008E108D" w:rsidRDefault="006F79CA" w:rsidP="00B712FD">
      <w:pPr>
        <w:pStyle w:val="Sansinterligne"/>
        <w:jc w:val="center"/>
      </w:pPr>
      <w:r>
        <w:rPr>
          <w:noProof/>
          <w:lang w:eastAsia="fr-CA"/>
        </w:rPr>
        <mc:AlternateContent>
          <mc:Choice Requires="wps">
            <w:drawing>
              <wp:anchor distT="0" distB="0" distL="114300" distR="114300" simplePos="0" relativeHeight="251900928" behindDoc="0" locked="0" layoutInCell="1" allowOverlap="1" wp14:anchorId="7122DB16" wp14:editId="613BC264">
                <wp:simplePos x="0" y="0"/>
                <wp:positionH relativeFrom="column">
                  <wp:posOffset>1290064</wp:posOffset>
                </wp:positionH>
                <wp:positionV relativeFrom="paragraph">
                  <wp:posOffset>1694815</wp:posOffset>
                </wp:positionV>
                <wp:extent cx="2480310" cy="281940"/>
                <wp:effectExtent l="0" t="0" r="0" b="3810"/>
                <wp:wrapNone/>
                <wp:docPr id="41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0310" cy="281940"/>
                        </a:xfrm>
                        <a:prstGeom prst="rect">
                          <a:avLst/>
                        </a:prstGeom>
                        <a:noFill/>
                        <a:ln w="9525">
                          <a:noFill/>
                          <a:miter lim="800000"/>
                          <a:headEnd/>
                          <a:tailEnd/>
                        </a:ln>
                      </wps:spPr>
                      <wps:txbx>
                        <w:txbxContent>
                          <w:p w:rsidR="008276DC" w:rsidRPr="00B712FD" w:rsidRDefault="008276DC">
                            <w:pPr>
                              <w:rPr>
                                <w:b/>
                                <w:color w:val="FFFFFF" w:themeColor="background1"/>
                              </w:rPr>
                            </w:pPr>
                            <w:r w:rsidRPr="00B712FD">
                              <w:rPr>
                                <w:b/>
                                <w:color w:val="FFFFFF" w:themeColor="background1"/>
                              </w:rPr>
                              <w:t>Synovite transitoire de la hanche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7" type="#_x0000_t202" style="position:absolute;left:0;text-align:left;margin-left:101.6pt;margin-top:133.45pt;width:195.3pt;height:22.2pt;z-index:25190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" filled="f" stroked="f">
                <v:textbox>
                  <w:txbxContent>
                    <w:p w:rsidR="008276DC" w:rsidRPr="00B712FD" w:rsidRDefault="008276DC">
                      <w:pPr>
                        <w:rPr>
                          <w:b/>
                          <w:color w:val="FFFFFF" w:themeColor="background1"/>
                        </w:rPr>
                      </w:pPr>
                      <w:r w:rsidRPr="00B712FD">
                        <w:rPr>
                          <w:b/>
                          <w:color w:val="FFFFFF" w:themeColor="background1"/>
                        </w:rPr>
                        <w:t>Synovite transitoire de la hanche</w:t>
                      </w:r>
                    </w:p>
                  </w:txbxContent>
                </v:textbox>
              </v:shape>
            </w:pict>
          </mc:Fallback>
        </mc:AlternateContent>
      </w:r>
      <w:r>
        <w:rPr>
          <w:noProof/>
          <w:lang w:eastAsia="fr-CA"/>
        </w:rPr>
        <mc:AlternateContent>
          <mc:Choice Requires="wpg">
            <w:drawing>
              <wp:inline distT="0" distB="0" distL="0" distR="0" wp14:anchorId="4C9D69A4" wp14:editId="4DEAA752">
                <wp:extent cx="5029200" cy="1955259"/>
                <wp:effectExtent l="0" t="0" r="0" b="6985"/>
                <wp:docPr id="419" name="Groupe 419"/>
                <wp:cNvGraphicFramePr/>
                <a:graphic xmlns:a="http://schemas.openxmlformats.org/drawingml/2006/main">
                  <a:graphicData uri="http://schemas.microsoft.com/office/word/2010/wordprocessingGroup">
                    <wpg:wgp>
                      <wpg:cNvGrpSpPr/>
                      <wpg:grpSpPr>
                        <a:xfrm>
                          <a:off x="0" y="0"/>
                          <a:ext cx="5029200" cy="1955259"/>
                          <a:chOff x="0" y="0"/>
                          <a:chExt cx="5087566" cy="2042808"/>
                        </a:xfrm>
                      </wpg:grpSpPr>
                      <pic:pic xmlns:pic="http://schemas.openxmlformats.org/drawingml/2006/picture">
                        <pic:nvPicPr>
                          <pic:cNvPr id="400" name="Image 400" descr="Image associée"/>
                          <pic:cNvPicPr>
                            <a:picLocks noChangeAspect="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480553" cy="2042808"/>
                          </a:xfrm>
                          <a:prstGeom prst="rect">
                            <a:avLst/>
                          </a:prstGeom>
                          <a:noFill/>
                          <a:ln>
                            <a:noFill/>
                          </a:ln>
                        </pic:spPr>
                      </pic:pic>
                      <pic:pic xmlns:pic="http://schemas.openxmlformats.org/drawingml/2006/picture">
                        <pic:nvPicPr>
                          <pic:cNvPr id="401" name="Image 401" descr="Résultats de recherche d'images pour « arthrite genou »"/>
                          <pic:cNvPicPr>
                            <a:picLocks noChangeAspect="1"/>
                          </pic:cNvPicPr>
                        </pic:nvPicPr>
                        <pic:blipFill rotWithShape="1">
                          <a:blip r:embed="rId66">
                            <a:extLst>
                              <a:ext uri="{28A0092B-C50C-407E-A947-70E740481C1C}">
                                <a14:useLocalDpi xmlns:a14="http://schemas.microsoft.com/office/drawing/2010/main" val="0"/>
                              </a:ext>
                            </a:extLst>
                          </a:blip>
                          <a:srcRect l="4638" t="6960" r="5481" b="5128"/>
                          <a:stretch/>
                        </pic:blipFill>
                        <pic:spPr bwMode="auto">
                          <a:xfrm>
                            <a:off x="2480553" y="19455"/>
                            <a:ext cx="2607013" cy="2023353"/>
                          </a:xfrm>
                          <a:prstGeom prst="rect">
                            <a:avLst/>
                          </a:prstGeom>
                          <a:noFill/>
                          <a:ln>
                            <a:noFill/>
                          </a:ln>
                          <a:extLst>
                            <a:ext uri="{53640926-AAD7-44D8-BBD7-CCE9431645EC}">
                              <a14:shadowObscured xmlns:a14="http://schemas.microsoft.com/office/drawing/2010/main"/>
                            </a:ext>
                          </a:extLst>
                        </pic:spPr>
                      </pic:pic>
                    </wpg:wgp>
                  </a:graphicData>
                </a:graphic>
              </wp:inline>
            </w:drawing>
          </mc:Choice>
          <mc:Fallback>
            <w:pict>
              <v:group id="Groupe 419" o:spid="_x0000_s1026" style="width:396pt;height:153.95pt;mso-position-horizontal-relative:char;mso-position-vertical-relative:line" coordsize="50875,2042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&#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400" o:spid="_x0000_s1027" type="#_x0000_t75" alt="Image associée" style="position:absolute;width:24805;height:204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foUFPFAAAA3AAAAA8AAABkcnMvZG93bnJldi54bWxEj01vwjAMhu+T+A+RkXYbKWxDqJBWaGjS&#10;Dhw2PsTVNKYtNE7VBOj+/XyYxNF6/T5+vMh716gbdaH2bGA8SkARF97WXBrYbT9fZqBCRLbYeCYD&#10;vxQgzwZPC0ytv/MP3TaxVALhkKKBKsY21ToUFTkMI98SS3byncMoY1dq2+Fd4K7RkySZaoc1y4UK&#10;W/qoqLhsrk409uf342H1fenba1iPV8TryfTVmOdhv5yDitTHx/J/+8saeEtEX54RAujs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X6FBTxQAAANwAAAAPAAAAAAAAAAAAAAAA&#10;AJ8CAABkcnMvZG93bnJldi54bWxQSwUGAAAAAAQABAD3AAAAkQMAAAAA&#10;">
                  <v:imagedata r:id="rId67" o:title="Image associée"/>
                  <v:path arrowok="t"/>
                </v:shape>
                <v:shape id="Image 401" o:spid="_x0000_s1028" type="#_x0000_t75" alt="Résultats de recherche d'images pour « arthrite genou »" style="position:absolute;left:24805;top:194;width:26070;height:202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zV1uLGAAAA3AAAAA8AAABkcnMvZG93bnJldi54bWxEj09rwkAUxO8Fv8PyhN7qJqGkJbqKEaSl&#10;9NCq4PWRfSbB7NuYXfPn23cLhR6HmfkNs9qMphE9da62rCBeRCCIC6trLhWcjvunVxDOI2tsLJOC&#10;iRxs1rOHFWbaDvxN/cGXIkDYZaig8r7NpHRFRQbdwrbEwbvYzqAPsiul7nAIcNPIJIpSabDmsFBh&#10;S7uKiuvhbhQkaYxfl/OYv73sP6b8fvvsByqUepyP2yUIT6P/D/+137WC5yiG3zPhCMj1D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PNXW4sYAAADcAAAADwAAAAAAAAAAAAAA&#10;AACfAgAAZHJzL2Rvd25yZXYueG1sUEsFBgAAAAAEAAQA9wAAAJIDAAAAAA==&#10;">
                  <v:imagedata r:id="rId68" o:title="Résultats de recherche d'images pour « arthrite genou »" croptop="4561f" cropbottom="3361f" cropleft="3040f" cropright="3592f"/>
                  <v:path arrowok="t"/>
                </v:shape>
                <w10:anchorlock/>
              </v:group>
            </w:pict>
          </mc:Fallback>
        </mc:AlternateContent>
      </w:r>
      <w:r w:rsidR="00B712FD">
        <w:rPr>
          <w:noProof/>
          <w:lang w:eastAsia="fr-CA"/>
        </w:rPr>
        <mc:AlternateContent>
          <mc:Choice Requires="wps">
            <w:drawing>
              <wp:anchor distT="0" distB="0" distL="114300" distR="114300" simplePos="0" relativeHeight="251902976" behindDoc="0" locked="0" layoutInCell="1" allowOverlap="1" wp14:anchorId="3E21E076" wp14:editId="34ACE962">
                <wp:simplePos x="0" y="0"/>
                <wp:positionH relativeFrom="column">
                  <wp:posOffset>3365162</wp:posOffset>
                </wp:positionH>
                <wp:positionV relativeFrom="paragraph">
                  <wp:posOffset>32493</wp:posOffset>
                </wp:positionV>
                <wp:extent cx="719847" cy="243191"/>
                <wp:effectExtent l="0" t="0" r="4445" b="5080"/>
                <wp:wrapNone/>
                <wp:docPr id="4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9847" cy="243191"/>
                        </a:xfrm>
                        <a:prstGeom prst="rect">
                          <a:avLst/>
                        </a:prstGeom>
                        <a:solidFill>
                          <a:srgbClr val="FFFFFF"/>
                        </a:solidFill>
                        <a:ln w="9525">
                          <a:noFill/>
                          <a:miter lim="800000"/>
                          <a:headEnd/>
                          <a:tailEnd/>
                        </a:ln>
                      </wps:spPr>
                      <wps:txbx>
                        <w:txbxContent>
                          <w:p w:rsidR="008276DC" w:rsidRPr="00B712FD" w:rsidRDefault="008276DC">
                            <w:pPr>
                              <w:rPr>
                                <w:b/>
                              </w:rPr>
                            </w:pPr>
                            <w:r w:rsidRPr="00B712FD">
                              <w:rPr>
                                <w:b/>
                              </w:rPr>
                              <w:t xml:space="preserve">Arthrite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8" type="#_x0000_t202" style="position:absolute;left:0;text-align:left;margin-left:264.95pt;margin-top:2.55pt;width:56.7pt;height:19.15pt;z-index:25190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" stroked="f">
                <v:textbox>
                  <w:txbxContent>
                    <w:p w:rsidR="008276DC" w:rsidRPr="00B712FD" w:rsidRDefault="008276DC">
                      <w:pPr>
                        <w:rPr>
                          <w:b/>
                        </w:rPr>
                      </w:pPr>
                      <w:r w:rsidRPr="00B712FD">
                        <w:rPr>
                          <w:b/>
                        </w:rPr>
                        <w:t xml:space="preserve">Arthrite </w:t>
                      </w:r>
                    </w:p>
                  </w:txbxContent>
                </v:textbox>
              </v:shape>
            </w:pict>
          </mc:Fallback>
        </mc:AlternateContent>
      </w:r>
    </w:p>
    <w:tbl>
      <w:tblPr>
        <w:tblStyle w:val="Grilledutableau"/>
        <w:tblW w:w="0" w:type="auto"/>
        <w:tblLook w:val="04A0" w:firstRow="1" w:lastRow="0" w:firstColumn="1" w:lastColumn="0" w:noHBand="0" w:noVBand="1"/>
      </w:tblPr>
      <w:tblGrid>
        <w:gridCol w:w="2802"/>
        <w:gridCol w:w="2551"/>
        <w:gridCol w:w="1518"/>
        <w:gridCol w:w="4069"/>
      </w:tblGrid>
      <w:tr w:rsidR="00864FE7" w:rsidTr="00863BF3">
        <w:tc>
          <w:tcPr>
            <w:tcW w:w="10940" w:type="dxa"/>
            <w:gridSpan w:val="4"/>
            <w:shd w:val="clear" w:color="auto" w:fill="FFC000"/>
          </w:tcPr>
          <w:p w:rsidR="00864FE7" w:rsidRDefault="00864FE7" w:rsidP="00864FE7">
            <w:pPr>
              <w:pStyle w:val="Sansinterligne"/>
              <w:jc w:val="center"/>
            </w:pPr>
            <w:r>
              <w:t>Causes biomécaniques</w:t>
            </w:r>
          </w:p>
        </w:tc>
      </w:tr>
      <w:tr w:rsidR="008E108D" w:rsidTr="00B0562B">
        <w:tc>
          <w:tcPr>
            <w:tcW w:w="2802" w:type="dxa"/>
            <w:shd w:val="clear" w:color="auto" w:fill="D6E3BC" w:themeFill="accent3" w:themeFillTint="66"/>
          </w:tcPr>
          <w:p w:rsidR="008E108D" w:rsidRPr="00066AA5" w:rsidRDefault="00864FE7" w:rsidP="00864FE7">
            <w:pPr>
              <w:pStyle w:val="Sansinterligne"/>
              <w:jc w:val="center"/>
              <w:rPr>
                <w:i/>
              </w:rPr>
            </w:pPr>
            <w:r w:rsidRPr="00066AA5">
              <w:rPr>
                <w:i/>
              </w:rPr>
              <w:t>Diagnostic</w:t>
            </w:r>
          </w:p>
        </w:tc>
        <w:tc>
          <w:tcPr>
            <w:tcW w:w="8138" w:type="dxa"/>
            <w:gridSpan w:val="3"/>
            <w:shd w:val="clear" w:color="auto" w:fill="D6E3BC" w:themeFill="accent3" w:themeFillTint="66"/>
          </w:tcPr>
          <w:p w:rsidR="008E108D" w:rsidRPr="00066AA5" w:rsidRDefault="00864FE7" w:rsidP="00864FE7">
            <w:pPr>
              <w:pStyle w:val="Sansinterligne"/>
              <w:jc w:val="center"/>
              <w:rPr>
                <w:i/>
              </w:rPr>
            </w:pPr>
            <w:r w:rsidRPr="00066AA5">
              <w:rPr>
                <w:i/>
              </w:rPr>
              <w:t>Manifestations cliniques</w:t>
            </w:r>
          </w:p>
        </w:tc>
      </w:tr>
      <w:tr w:rsidR="008E108D" w:rsidTr="00423137">
        <w:tc>
          <w:tcPr>
            <w:tcW w:w="2802" w:type="dxa"/>
            <w:shd w:val="clear" w:color="auto" w:fill="D6E3BC" w:themeFill="accent3" w:themeFillTint="66"/>
            <w:vAlign w:val="center"/>
          </w:tcPr>
          <w:p w:rsidR="00882FBF" w:rsidRPr="00423137" w:rsidRDefault="00864FE7" w:rsidP="00882FBF">
            <w:pPr>
              <w:pStyle w:val="Sansinterligne"/>
              <w:jc w:val="center"/>
              <w:rPr>
                <w:b/>
              </w:rPr>
            </w:pPr>
            <w:r w:rsidRPr="00423137">
              <w:rPr>
                <w:b/>
              </w:rPr>
              <w:t>Nécrose avasculaire de la tête fémorale</w:t>
            </w:r>
          </w:p>
          <w:p w:rsidR="008E108D" w:rsidRDefault="00864FE7" w:rsidP="00882FBF">
            <w:pPr>
              <w:pStyle w:val="Sansinterligne"/>
              <w:jc w:val="center"/>
            </w:pPr>
            <w:r w:rsidRPr="00423137">
              <w:rPr>
                <w:b/>
              </w:rPr>
              <w:t>(Legg-Calvé-Perthes)</w:t>
            </w:r>
          </w:p>
        </w:tc>
        <w:tc>
          <w:tcPr>
            <w:tcW w:w="8138" w:type="dxa"/>
            <w:gridSpan w:val="3"/>
            <w:shd w:val="clear" w:color="auto" w:fill="FFFF00"/>
          </w:tcPr>
          <w:p w:rsidR="000B360A" w:rsidRDefault="000B360A" w:rsidP="002260A3">
            <w:pPr>
              <w:pStyle w:val="Sansinterligne"/>
              <w:numPr>
                <w:ilvl w:val="0"/>
                <w:numId w:val="850"/>
              </w:numPr>
              <w:rPr>
                <w:rFonts w:cs="Times New Roman"/>
              </w:rPr>
            </w:pPr>
            <w:r w:rsidRPr="000B360A">
              <w:rPr>
                <w:rFonts w:cs="Times New Roman"/>
              </w:rPr>
              <w:t xml:space="preserve">♂ </w:t>
            </w:r>
            <w:r>
              <w:rPr>
                <w:rFonts w:cs="Times New Roman"/>
              </w:rPr>
              <w:t>4</w:t>
            </w:r>
            <w:r w:rsidRPr="000B360A">
              <w:rPr>
                <w:rFonts w:cs="Times New Roman"/>
              </w:rPr>
              <w:t>- 1</w:t>
            </w:r>
            <w:r>
              <w:rPr>
                <w:rFonts w:cs="Times New Roman"/>
              </w:rPr>
              <w:t>2</w:t>
            </w:r>
            <w:r w:rsidRPr="000B360A">
              <w:rPr>
                <w:rFonts w:cs="Times New Roman"/>
              </w:rPr>
              <w:t xml:space="preserve"> ans</w:t>
            </w:r>
          </w:p>
          <w:p w:rsidR="000B360A" w:rsidRDefault="000B360A" w:rsidP="002260A3">
            <w:pPr>
              <w:pStyle w:val="Sansinterligne"/>
              <w:numPr>
                <w:ilvl w:val="0"/>
                <w:numId w:val="850"/>
              </w:numPr>
              <w:rPr>
                <w:rFonts w:cs="Times New Roman"/>
              </w:rPr>
            </w:pPr>
            <w:r>
              <w:rPr>
                <w:rFonts w:cs="Times New Roman"/>
              </w:rPr>
              <w:t>Initialement tableau similaire à Synovite transitoire de la hanche</w:t>
            </w:r>
          </w:p>
          <w:p w:rsidR="000B360A" w:rsidRDefault="000B360A" w:rsidP="002260A3">
            <w:pPr>
              <w:pStyle w:val="Sansinterligne"/>
              <w:numPr>
                <w:ilvl w:val="0"/>
                <w:numId w:val="850"/>
              </w:numPr>
              <w:rPr>
                <w:rFonts w:cs="Times New Roman"/>
              </w:rPr>
            </w:pPr>
            <w:r>
              <w:rPr>
                <w:rFonts w:cs="Times New Roman"/>
              </w:rPr>
              <w:t>Boiterie</w:t>
            </w:r>
          </w:p>
          <w:p w:rsidR="008E108D" w:rsidRPr="0079170D" w:rsidRDefault="000B360A" w:rsidP="002260A3">
            <w:pPr>
              <w:pStyle w:val="Sansinterligne"/>
              <w:numPr>
                <w:ilvl w:val="0"/>
                <w:numId w:val="850"/>
              </w:numPr>
              <w:rPr>
                <w:rFonts w:cs="Times New Roman"/>
              </w:rPr>
            </w:pPr>
            <w:r>
              <w:rPr>
                <w:rFonts w:cs="Times New Roman"/>
              </w:rPr>
              <w:t>Limitation des mouvements articulaire</w:t>
            </w:r>
            <w:r w:rsidR="0079170D">
              <w:rPr>
                <w:rFonts w:cs="Times New Roman"/>
              </w:rPr>
              <w:t>s</w:t>
            </w:r>
          </w:p>
        </w:tc>
      </w:tr>
      <w:tr w:rsidR="00423137" w:rsidTr="00423137">
        <w:tc>
          <w:tcPr>
            <w:tcW w:w="2802" w:type="dxa"/>
            <w:shd w:val="clear" w:color="auto" w:fill="D6E3BC" w:themeFill="accent3" w:themeFillTint="66"/>
            <w:vAlign w:val="center"/>
          </w:tcPr>
          <w:p w:rsidR="00423137" w:rsidRPr="00423137" w:rsidRDefault="00423137" w:rsidP="00882FBF">
            <w:pPr>
              <w:pStyle w:val="Sansinterligne"/>
              <w:jc w:val="center"/>
              <w:rPr>
                <w:b/>
              </w:rPr>
            </w:pPr>
            <w:r w:rsidRPr="00423137">
              <w:rPr>
                <w:b/>
              </w:rPr>
              <w:t>Glissement de l’épiphyse fémorale</w:t>
            </w:r>
          </w:p>
        </w:tc>
        <w:tc>
          <w:tcPr>
            <w:tcW w:w="4069" w:type="dxa"/>
            <w:gridSpan w:val="2"/>
            <w:tcBorders>
              <w:right w:val="single" w:sz="4" w:space="0" w:color="FFFF00"/>
            </w:tcBorders>
            <w:shd w:val="clear" w:color="auto" w:fill="FFFF00"/>
          </w:tcPr>
          <w:p w:rsidR="00423137" w:rsidRDefault="00423137" w:rsidP="002260A3">
            <w:pPr>
              <w:pStyle w:val="Sansinterligne"/>
              <w:numPr>
                <w:ilvl w:val="0"/>
                <w:numId w:val="854"/>
              </w:numPr>
            </w:pPr>
            <w:r>
              <w:t xml:space="preserve">Enfant obèse, </w:t>
            </w:r>
            <w:r>
              <w:rPr>
                <w:rFonts w:ascii="Century Gothic" w:hAnsi="Century Gothic"/>
              </w:rPr>
              <w:t>♂</w:t>
            </w:r>
            <w:r>
              <w:t xml:space="preserve"> surtout</w:t>
            </w:r>
          </w:p>
          <w:p w:rsidR="00423137" w:rsidRDefault="00423137" w:rsidP="002260A3">
            <w:pPr>
              <w:pStyle w:val="Sansinterligne"/>
              <w:numPr>
                <w:ilvl w:val="0"/>
                <w:numId w:val="854"/>
              </w:numPr>
            </w:pPr>
            <w:r>
              <w:t>Boiterie douloureuse</w:t>
            </w:r>
          </w:p>
          <w:p w:rsidR="00423137" w:rsidRDefault="00423137" w:rsidP="002260A3">
            <w:pPr>
              <w:pStyle w:val="Sansinterligne"/>
              <w:numPr>
                <w:ilvl w:val="0"/>
                <w:numId w:val="854"/>
              </w:numPr>
            </w:pPr>
            <w:r>
              <w:t>Parfois bilatérale</w:t>
            </w:r>
          </w:p>
          <w:p w:rsidR="00423137" w:rsidRDefault="00423137" w:rsidP="002260A3">
            <w:pPr>
              <w:pStyle w:val="Sansinterligne"/>
              <w:numPr>
                <w:ilvl w:val="0"/>
                <w:numId w:val="854"/>
              </w:numPr>
            </w:pPr>
            <w:r>
              <w:t xml:space="preserve">Mise en charge </w:t>
            </w:r>
            <w:r>
              <w:rPr>
                <w:rFonts w:ascii="Century Gothic" w:hAnsi="Century Gothic"/>
              </w:rPr>
              <w:t>↑</w:t>
            </w:r>
            <w:r>
              <w:t xml:space="preserve"> douleur</w:t>
            </w:r>
          </w:p>
          <w:p w:rsidR="002E3DB9" w:rsidRDefault="002E3DB9" w:rsidP="002260A3">
            <w:pPr>
              <w:pStyle w:val="Sansinterligne"/>
              <w:numPr>
                <w:ilvl w:val="0"/>
                <w:numId w:val="854"/>
              </w:numPr>
            </w:pPr>
            <w:r>
              <w:t>Limitation des mouvements articulaires, rotation interne ++</w:t>
            </w:r>
          </w:p>
        </w:tc>
        <w:tc>
          <w:tcPr>
            <w:tcW w:w="4069" w:type="dxa"/>
            <w:tcBorders>
              <w:left w:val="single" w:sz="4" w:space="0" w:color="FFFF00"/>
            </w:tcBorders>
            <w:shd w:val="clear" w:color="auto" w:fill="FFFF00"/>
          </w:tcPr>
          <w:p w:rsidR="00423137" w:rsidRDefault="00423137" w:rsidP="002260A3">
            <w:pPr>
              <w:pStyle w:val="Sansinterligne"/>
              <w:numPr>
                <w:ilvl w:val="0"/>
                <w:numId w:val="853"/>
              </w:numPr>
            </w:pPr>
            <w:r>
              <w:t>Position antalgique : rotation externe et abduction</w:t>
            </w:r>
          </w:p>
          <w:p w:rsidR="00423137" w:rsidRDefault="00423137" w:rsidP="002260A3">
            <w:pPr>
              <w:pStyle w:val="Sansinterligne"/>
              <w:numPr>
                <w:ilvl w:val="0"/>
                <w:numId w:val="853"/>
              </w:numPr>
            </w:pPr>
            <w:r>
              <w:t>Membre atteint parfois plus court que l’autre</w:t>
            </w:r>
          </w:p>
          <w:p w:rsidR="002E3DB9" w:rsidRDefault="002E3DB9" w:rsidP="002260A3">
            <w:pPr>
              <w:pStyle w:val="Sansinterligne"/>
              <w:numPr>
                <w:ilvl w:val="0"/>
                <w:numId w:val="853"/>
              </w:numPr>
            </w:pPr>
            <w:r>
              <w:t>Signe de Trendele</w:t>
            </w:r>
            <w:r w:rsidR="00A40E13">
              <w:t>n</w:t>
            </w:r>
            <w:r>
              <w:t>burg +</w:t>
            </w:r>
          </w:p>
        </w:tc>
      </w:tr>
      <w:tr w:rsidR="008E108D" w:rsidTr="002E3DB9">
        <w:tc>
          <w:tcPr>
            <w:tcW w:w="2802" w:type="dxa"/>
            <w:shd w:val="clear" w:color="auto" w:fill="D6E3BC" w:themeFill="accent3" w:themeFillTint="66"/>
            <w:vAlign w:val="center"/>
          </w:tcPr>
          <w:p w:rsidR="008E108D" w:rsidRPr="00423137" w:rsidRDefault="00864FE7" w:rsidP="00882FBF">
            <w:pPr>
              <w:pStyle w:val="Sansinterligne"/>
              <w:jc w:val="center"/>
              <w:rPr>
                <w:b/>
              </w:rPr>
            </w:pPr>
            <w:r w:rsidRPr="00423137">
              <w:rPr>
                <w:b/>
              </w:rPr>
              <w:lastRenderedPageBreak/>
              <w:t>Syndrome fémoropatellaire</w:t>
            </w:r>
          </w:p>
        </w:tc>
        <w:tc>
          <w:tcPr>
            <w:tcW w:w="8138" w:type="dxa"/>
            <w:gridSpan w:val="3"/>
            <w:shd w:val="clear" w:color="auto" w:fill="FFFF00"/>
          </w:tcPr>
          <w:p w:rsidR="008E108D" w:rsidRPr="002E3DB9" w:rsidRDefault="002E3DB9" w:rsidP="002260A3">
            <w:pPr>
              <w:pStyle w:val="Sansinterligne"/>
              <w:numPr>
                <w:ilvl w:val="0"/>
                <w:numId w:val="855"/>
              </w:numPr>
              <w:rPr>
                <w:rFonts w:cs="Times New Roman"/>
              </w:rPr>
            </w:pPr>
            <w:r w:rsidRPr="002E3DB9">
              <w:rPr>
                <w:rFonts w:cs="Times New Roman"/>
              </w:rPr>
              <w:t>♀ &gt; ♂</w:t>
            </w:r>
          </w:p>
          <w:p w:rsidR="002E3DB9" w:rsidRPr="002E3DB9" w:rsidRDefault="002E3DB9" w:rsidP="002260A3">
            <w:pPr>
              <w:pStyle w:val="Sansinterligne"/>
              <w:numPr>
                <w:ilvl w:val="0"/>
                <w:numId w:val="855"/>
              </w:numPr>
              <w:rPr>
                <w:rFonts w:cs="Times New Roman"/>
              </w:rPr>
            </w:pPr>
            <w:r w:rsidRPr="002E3DB9">
              <w:rPr>
                <w:rFonts w:cs="Times New Roman"/>
              </w:rPr>
              <w:t>Douleur exacerbée par la monté</w:t>
            </w:r>
            <w:r w:rsidR="00933213">
              <w:rPr>
                <w:rFonts w:cs="Times New Roman"/>
              </w:rPr>
              <w:t>e</w:t>
            </w:r>
            <w:r w:rsidRPr="002E3DB9">
              <w:rPr>
                <w:rFonts w:cs="Times New Roman"/>
              </w:rPr>
              <w:t>/descente d’escaliers</w:t>
            </w:r>
          </w:p>
          <w:p w:rsidR="002E3DB9" w:rsidRDefault="002E3DB9" w:rsidP="002260A3">
            <w:pPr>
              <w:pStyle w:val="Sansinterligne"/>
              <w:numPr>
                <w:ilvl w:val="0"/>
                <w:numId w:val="855"/>
              </w:numPr>
              <w:rPr>
                <w:rFonts w:cs="Times New Roman"/>
              </w:rPr>
            </w:pPr>
            <w:r w:rsidRPr="002E3DB9">
              <w:rPr>
                <w:rFonts w:cs="Times New Roman"/>
              </w:rPr>
              <w:t xml:space="preserve">Douleur </w:t>
            </w:r>
            <w:r>
              <w:rPr>
                <w:rFonts w:cs="Times New Roman"/>
              </w:rPr>
              <w:t xml:space="preserve">profonde </w:t>
            </w:r>
            <w:r w:rsidRPr="002E3DB9">
              <w:rPr>
                <w:rFonts w:cs="Times New Roman"/>
              </w:rPr>
              <w:t>à la palpation autour de la rotule</w:t>
            </w:r>
          </w:p>
          <w:p w:rsidR="002E3DB9" w:rsidRDefault="002E3DB9" w:rsidP="002260A3">
            <w:pPr>
              <w:pStyle w:val="Sansinterligne"/>
              <w:numPr>
                <w:ilvl w:val="0"/>
                <w:numId w:val="855"/>
              </w:numPr>
              <w:rPr>
                <w:rFonts w:cs="Times New Roman"/>
              </w:rPr>
            </w:pPr>
            <w:r>
              <w:rPr>
                <w:rFonts w:cs="Times New Roman"/>
              </w:rPr>
              <w:t>Douleur à l’extension résistée du genou</w:t>
            </w:r>
          </w:p>
          <w:p w:rsidR="002E3DB9" w:rsidRPr="002E3DB9" w:rsidRDefault="002E3DB9" w:rsidP="002260A3">
            <w:pPr>
              <w:pStyle w:val="Sansinterligne"/>
              <w:numPr>
                <w:ilvl w:val="0"/>
                <w:numId w:val="855"/>
              </w:numPr>
              <w:rPr>
                <w:rFonts w:cs="Times New Roman"/>
              </w:rPr>
            </w:pPr>
            <w:r>
              <w:rPr>
                <w:rFonts w:cs="Times New Roman"/>
              </w:rPr>
              <w:t>Instabilité</w:t>
            </w:r>
          </w:p>
          <w:p w:rsidR="002E3DB9" w:rsidRPr="002E3DB9" w:rsidRDefault="002E3DB9" w:rsidP="002260A3">
            <w:pPr>
              <w:pStyle w:val="Sansinterligne"/>
              <w:numPr>
                <w:ilvl w:val="0"/>
                <w:numId w:val="855"/>
              </w:numPr>
              <w:rPr>
                <w:rFonts w:ascii="Century Gothic" w:hAnsi="Century Gothic"/>
              </w:rPr>
            </w:pPr>
            <w:r w:rsidRPr="002E3DB9">
              <w:rPr>
                <w:rFonts w:cs="Times New Roman"/>
              </w:rPr>
              <w:t>Signe du rabot (douleur au frottement de la rotule contre la trochlée)</w:t>
            </w:r>
          </w:p>
        </w:tc>
      </w:tr>
      <w:tr w:rsidR="008E108D" w:rsidTr="006B6754">
        <w:tc>
          <w:tcPr>
            <w:tcW w:w="2802" w:type="dxa"/>
            <w:shd w:val="clear" w:color="auto" w:fill="D6E3BC" w:themeFill="accent3" w:themeFillTint="66"/>
            <w:vAlign w:val="center"/>
          </w:tcPr>
          <w:p w:rsidR="00882FBF" w:rsidRPr="00423137" w:rsidRDefault="00864FE7" w:rsidP="00882FBF">
            <w:pPr>
              <w:pStyle w:val="Sansinterligne"/>
              <w:jc w:val="center"/>
              <w:rPr>
                <w:b/>
              </w:rPr>
            </w:pPr>
            <w:r w:rsidRPr="00423137">
              <w:rPr>
                <w:b/>
              </w:rPr>
              <w:t>Maladie</w:t>
            </w:r>
          </w:p>
          <w:p w:rsidR="008E108D" w:rsidRPr="00423137" w:rsidRDefault="00864FE7" w:rsidP="00882FBF">
            <w:pPr>
              <w:pStyle w:val="Sansinterligne"/>
              <w:jc w:val="center"/>
              <w:rPr>
                <w:b/>
              </w:rPr>
            </w:pPr>
            <w:r w:rsidRPr="00423137">
              <w:rPr>
                <w:b/>
              </w:rPr>
              <w:t>d’Osgood-Schlatter</w:t>
            </w:r>
          </w:p>
        </w:tc>
        <w:tc>
          <w:tcPr>
            <w:tcW w:w="8138" w:type="dxa"/>
            <w:gridSpan w:val="3"/>
            <w:shd w:val="clear" w:color="auto" w:fill="FFFF00"/>
          </w:tcPr>
          <w:p w:rsidR="008E108D" w:rsidRDefault="00357FD3" w:rsidP="002260A3">
            <w:pPr>
              <w:pStyle w:val="Sansinterligne"/>
              <w:numPr>
                <w:ilvl w:val="0"/>
                <w:numId w:val="856"/>
              </w:numPr>
              <w:rPr>
                <w:rFonts w:cs="Times New Roman"/>
              </w:rPr>
            </w:pPr>
            <w:r w:rsidRPr="000B360A">
              <w:rPr>
                <w:rFonts w:cs="Times New Roman"/>
              </w:rPr>
              <w:t>♂</w:t>
            </w:r>
            <w:r w:rsidRPr="002E3DB9">
              <w:rPr>
                <w:rFonts w:cs="Times New Roman"/>
              </w:rPr>
              <w:t>&gt;♀</w:t>
            </w:r>
            <w:r>
              <w:rPr>
                <w:rFonts w:cs="Times New Roman"/>
              </w:rPr>
              <w:t>, adolescents</w:t>
            </w:r>
          </w:p>
          <w:p w:rsidR="00357FD3" w:rsidRDefault="00357FD3" w:rsidP="002260A3">
            <w:pPr>
              <w:pStyle w:val="Sansinterligne"/>
              <w:numPr>
                <w:ilvl w:val="0"/>
                <w:numId w:val="856"/>
              </w:numPr>
              <w:rPr>
                <w:rFonts w:cs="Times New Roman"/>
              </w:rPr>
            </w:pPr>
            <w:r>
              <w:rPr>
                <w:rFonts w:cs="Times New Roman"/>
              </w:rPr>
              <w:t>Suritilisation, surtout réceptions de sauts</w:t>
            </w:r>
          </w:p>
          <w:p w:rsidR="00357FD3" w:rsidRDefault="00357FD3" w:rsidP="002260A3">
            <w:pPr>
              <w:pStyle w:val="Sansinterligne"/>
              <w:numPr>
                <w:ilvl w:val="0"/>
                <w:numId w:val="856"/>
              </w:numPr>
              <w:rPr>
                <w:rFonts w:cs="Times New Roman"/>
              </w:rPr>
            </w:pPr>
            <w:r>
              <w:rPr>
                <w:rFonts w:cs="Times New Roman"/>
              </w:rPr>
              <w:t>Douleur provoquée à l’exercice et en position agenouillée</w:t>
            </w:r>
          </w:p>
          <w:p w:rsidR="00357FD3" w:rsidRDefault="00357FD3" w:rsidP="002260A3">
            <w:pPr>
              <w:pStyle w:val="Sansinterligne"/>
              <w:numPr>
                <w:ilvl w:val="0"/>
                <w:numId w:val="856"/>
              </w:numPr>
              <w:rPr>
                <w:rFonts w:cs="Times New Roman"/>
              </w:rPr>
            </w:pPr>
            <w:r>
              <w:rPr>
                <w:rFonts w:cs="Times New Roman"/>
              </w:rPr>
              <w:t>Douleur à l’extension résistée de la jambe</w:t>
            </w:r>
          </w:p>
          <w:p w:rsidR="00357FD3" w:rsidRDefault="00357FD3" w:rsidP="002260A3">
            <w:pPr>
              <w:pStyle w:val="Sansinterligne"/>
              <w:numPr>
                <w:ilvl w:val="0"/>
                <w:numId w:val="856"/>
              </w:numPr>
            </w:pPr>
            <w:r>
              <w:rPr>
                <w:rFonts w:cs="Times New Roman"/>
              </w:rPr>
              <w:t xml:space="preserve">Tubérosité tibiale </w:t>
            </w:r>
            <w:r w:rsidR="006B6754">
              <w:rPr>
                <w:rFonts w:cs="Times New Roman"/>
              </w:rPr>
              <w:t>sensible</w:t>
            </w:r>
          </w:p>
        </w:tc>
      </w:tr>
      <w:tr w:rsidR="008E108D" w:rsidTr="00B0562B">
        <w:tc>
          <w:tcPr>
            <w:tcW w:w="2802" w:type="dxa"/>
            <w:shd w:val="clear" w:color="auto" w:fill="D6E3BC" w:themeFill="accent3" w:themeFillTint="66"/>
            <w:vAlign w:val="center"/>
          </w:tcPr>
          <w:p w:rsidR="008E108D" w:rsidRDefault="00864FE7" w:rsidP="00882FBF">
            <w:pPr>
              <w:pStyle w:val="Sansinterligne"/>
              <w:jc w:val="center"/>
            </w:pPr>
            <w:r>
              <w:t>Ostéochondrite disséquante</w:t>
            </w:r>
          </w:p>
        </w:tc>
        <w:tc>
          <w:tcPr>
            <w:tcW w:w="8138" w:type="dxa"/>
            <w:gridSpan w:val="3"/>
          </w:tcPr>
          <w:p w:rsidR="008E108D" w:rsidRDefault="001E0E89" w:rsidP="002260A3">
            <w:pPr>
              <w:pStyle w:val="Sansinterligne"/>
              <w:numPr>
                <w:ilvl w:val="0"/>
                <w:numId w:val="857"/>
              </w:numPr>
            </w:pPr>
            <w:r>
              <w:t>Surtout chez les adolescents</w:t>
            </w:r>
          </w:p>
          <w:p w:rsidR="001E0E89" w:rsidRDefault="001E0E89" w:rsidP="002260A3">
            <w:pPr>
              <w:pStyle w:val="Sansinterligne"/>
              <w:numPr>
                <w:ilvl w:val="0"/>
                <w:numId w:val="857"/>
              </w:numPr>
            </w:pPr>
            <w:r>
              <w:t>Douleur au genou (surtout)</w:t>
            </w:r>
          </w:p>
          <w:p w:rsidR="001E0E89" w:rsidRDefault="001E0E89" w:rsidP="002260A3">
            <w:pPr>
              <w:pStyle w:val="Sansinterligne"/>
              <w:numPr>
                <w:ilvl w:val="0"/>
                <w:numId w:val="857"/>
              </w:numPr>
            </w:pPr>
            <w:r>
              <w:t>Douleur accrue par l’activité physique</w:t>
            </w:r>
          </w:p>
          <w:p w:rsidR="001E0E89" w:rsidRDefault="001E0E89" w:rsidP="002260A3">
            <w:pPr>
              <w:pStyle w:val="Sansinterligne"/>
              <w:numPr>
                <w:ilvl w:val="0"/>
                <w:numId w:val="857"/>
              </w:numPr>
            </w:pPr>
            <w:r>
              <w:t>Sensation de blocage</w:t>
            </w:r>
          </w:p>
          <w:p w:rsidR="001E0E89" w:rsidRDefault="001E0E89" w:rsidP="002260A3">
            <w:pPr>
              <w:pStyle w:val="Sansinterligne"/>
              <w:numPr>
                <w:ilvl w:val="0"/>
                <w:numId w:val="857"/>
              </w:numPr>
            </w:pPr>
            <w:r>
              <w:t>Œdème</w:t>
            </w:r>
          </w:p>
        </w:tc>
      </w:tr>
      <w:tr w:rsidR="008E108D" w:rsidTr="00B0562B">
        <w:tc>
          <w:tcPr>
            <w:tcW w:w="2802" w:type="dxa"/>
            <w:shd w:val="clear" w:color="auto" w:fill="D6E3BC" w:themeFill="accent3" w:themeFillTint="66"/>
            <w:vAlign w:val="center"/>
          </w:tcPr>
          <w:p w:rsidR="008E108D" w:rsidRDefault="00864FE7" w:rsidP="00882FBF">
            <w:pPr>
              <w:pStyle w:val="Sansinterligne"/>
              <w:jc w:val="center"/>
            </w:pPr>
            <w:r>
              <w:t>Ostéchondroses</w:t>
            </w:r>
          </w:p>
        </w:tc>
        <w:tc>
          <w:tcPr>
            <w:tcW w:w="8138" w:type="dxa"/>
            <w:gridSpan w:val="3"/>
          </w:tcPr>
          <w:p w:rsidR="008E108D" w:rsidRDefault="000D2D71" w:rsidP="002260A3">
            <w:pPr>
              <w:pStyle w:val="Sansinterligne"/>
              <w:numPr>
                <w:ilvl w:val="0"/>
                <w:numId w:val="858"/>
              </w:numPr>
            </w:pPr>
            <w:r>
              <w:t>Microtraumatismes répétées à la préadolescence</w:t>
            </w:r>
          </w:p>
          <w:p w:rsidR="000D2D71" w:rsidRDefault="000D2D71" w:rsidP="002260A3">
            <w:pPr>
              <w:pStyle w:val="Sansinterligne"/>
              <w:numPr>
                <w:ilvl w:val="0"/>
                <w:numId w:val="858"/>
              </w:numPr>
            </w:pPr>
            <w:r>
              <w:t>De Sever : douleur et œdème au tendon d’Achille post-activité soutenue</w:t>
            </w:r>
          </w:p>
          <w:p w:rsidR="000D2D71" w:rsidRDefault="000D2D71" w:rsidP="002260A3">
            <w:pPr>
              <w:pStyle w:val="Sansinterligne"/>
              <w:numPr>
                <w:ilvl w:val="0"/>
                <w:numId w:val="858"/>
              </w:numPr>
            </w:pPr>
            <w:r>
              <w:t>De Köhler : Douleur au scaphoïde du tarse (naviculaire)</w:t>
            </w:r>
          </w:p>
          <w:p w:rsidR="000D2D71" w:rsidRDefault="000D2D71" w:rsidP="002260A3">
            <w:pPr>
              <w:pStyle w:val="Sansinterligne"/>
              <w:numPr>
                <w:ilvl w:val="0"/>
                <w:numId w:val="858"/>
              </w:numPr>
            </w:pPr>
            <w:r>
              <w:t>De Freiberg : Douleur à la tête du 2</w:t>
            </w:r>
            <w:r w:rsidRPr="000D2D71">
              <w:rPr>
                <w:vertAlign w:val="superscript"/>
              </w:rPr>
              <w:t>e</w:t>
            </w:r>
            <w:r>
              <w:t xml:space="preserve"> métatarse</w:t>
            </w:r>
          </w:p>
        </w:tc>
      </w:tr>
      <w:tr w:rsidR="00F609CC" w:rsidTr="00F609CC">
        <w:trPr>
          <w:trHeight w:val="1338"/>
        </w:trPr>
        <w:tc>
          <w:tcPr>
            <w:tcW w:w="2802" w:type="dxa"/>
            <w:shd w:val="clear" w:color="auto" w:fill="D6E3BC" w:themeFill="accent3" w:themeFillTint="66"/>
            <w:vAlign w:val="center"/>
          </w:tcPr>
          <w:p w:rsidR="00F609CC" w:rsidRDefault="00F609CC" w:rsidP="00882FBF">
            <w:pPr>
              <w:pStyle w:val="Sansinterligne"/>
              <w:jc w:val="center"/>
            </w:pPr>
            <w:r>
              <w:t>Hyperlaxité ligamentaire</w:t>
            </w:r>
          </w:p>
        </w:tc>
        <w:tc>
          <w:tcPr>
            <w:tcW w:w="2551" w:type="dxa"/>
          </w:tcPr>
          <w:p w:rsidR="00F609CC" w:rsidRDefault="00F609CC" w:rsidP="002260A3">
            <w:pPr>
              <w:pStyle w:val="Sansinterligne"/>
              <w:numPr>
                <w:ilvl w:val="0"/>
                <w:numId w:val="859"/>
              </w:numPr>
            </w:pPr>
            <w:r>
              <w:t>Douleurs articulaires récidivantes légères à modérées</w:t>
            </w:r>
          </w:p>
          <w:p w:rsidR="00F609CC" w:rsidRDefault="00F609CC" w:rsidP="002260A3">
            <w:pPr>
              <w:pStyle w:val="Sansinterligne"/>
              <w:numPr>
                <w:ilvl w:val="0"/>
                <w:numId w:val="859"/>
              </w:numPr>
            </w:pPr>
            <w:r>
              <w:t>Surtout le soir et post-activité physique</w:t>
            </w:r>
          </w:p>
        </w:tc>
        <w:tc>
          <w:tcPr>
            <w:tcW w:w="5587" w:type="dxa"/>
            <w:gridSpan w:val="2"/>
          </w:tcPr>
          <w:p w:rsidR="00F609CC" w:rsidRDefault="00F609CC" w:rsidP="002260A3">
            <w:pPr>
              <w:pStyle w:val="Sansinterligne"/>
              <w:numPr>
                <w:ilvl w:val="0"/>
                <w:numId w:val="860"/>
              </w:numPr>
            </w:pPr>
            <w:r>
              <w:t xml:space="preserve">Capable de mettre les paumes au sol, </w:t>
            </w:r>
            <w:r>
              <w:rPr>
                <w:rFonts w:cs="Times New Roman"/>
              </w:rPr>
              <w:t>Ø</w:t>
            </w:r>
            <w:r>
              <w:t xml:space="preserve"> plier les genoux </w:t>
            </w:r>
          </w:p>
          <w:p w:rsidR="00F609CC" w:rsidRDefault="00F609CC" w:rsidP="002260A3">
            <w:pPr>
              <w:pStyle w:val="Sansinterligne"/>
              <w:numPr>
                <w:ilvl w:val="0"/>
                <w:numId w:val="860"/>
              </w:numPr>
            </w:pPr>
            <w:r>
              <w:t>Hyperextension de 10</w:t>
            </w:r>
            <w:r>
              <w:rPr>
                <w:rFonts w:cs="Times New Roman"/>
              </w:rPr>
              <w:t>°</w:t>
            </w:r>
            <w:r>
              <w:t xml:space="preserve"> des coudes et des genoux</w:t>
            </w:r>
          </w:p>
          <w:p w:rsidR="00F609CC" w:rsidRDefault="00F609CC" w:rsidP="002260A3">
            <w:pPr>
              <w:pStyle w:val="Sansinterligne"/>
              <w:numPr>
                <w:ilvl w:val="0"/>
                <w:numId w:val="860"/>
              </w:numPr>
            </w:pPr>
            <w:r>
              <w:t>Doigt parallèles à l’avant-bras en extension forcée</w:t>
            </w:r>
          </w:p>
          <w:p w:rsidR="00F609CC" w:rsidRDefault="00F609CC" w:rsidP="002260A3">
            <w:pPr>
              <w:pStyle w:val="Sansinterligne"/>
              <w:numPr>
                <w:ilvl w:val="0"/>
                <w:numId w:val="860"/>
              </w:numPr>
            </w:pPr>
            <w:r>
              <w:t>Pouce pouvant toucher l’avant-bras en abduction forcée</w:t>
            </w:r>
          </w:p>
        </w:tc>
      </w:tr>
      <w:tr w:rsidR="001F480B" w:rsidTr="00B0562B">
        <w:tc>
          <w:tcPr>
            <w:tcW w:w="2802" w:type="dxa"/>
            <w:shd w:val="clear" w:color="auto" w:fill="D6E3BC" w:themeFill="accent3" w:themeFillTint="66"/>
            <w:vAlign w:val="center"/>
          </w:tcPr>
          <w:p w:rsidR="001F480B" w:rsidRDefault="001F480B" w:rsidP="00882FBF">
            <w:pPr>
              <w:pStyle w:val="Sansinterligne"/>
              <w:jc w:val="center"/>
            </w:pPr>
            <w:r>
              <w:t>Fractures</w:t>
            </w:r>
          </w:p>
        </w:tc>
        <w:tc>
          <w:tcPr>
            <w:tcW w:w="8138" w:type="dxa"/>
            <w:gridSpan w:val="3"/>
          </w:tcPr>
          <w:p w:rsidR="001F480B" w:rsidRDefault="001F480B" w:rsidP="00F3228F">
            <w:pPr>
              <w:pStyle w:val="Sansinterligne"/>
            </w:pPr>
            <w:r>
              <w:t xml:space="preserve">Voir </w:t>
            </w:r>
            <w:r w:rsidRPr="00076925">
              <w:rPr>
                <w:i/>
              </w:rPr>
              <w:t>Blessure osseuse ou articulaire CMC 109-1</w:t>
            </w:r>
          </w:p>
        </w:tc>
      </w:tr>
    </w:tbl>
    <w:p w:rsidR="008E108D" w:rsidRDefault="001E1BF1" w:rsidP="00D863AE">
      <w:pPr>
        <w:pStyle w:val="Sansinterligne"/>
        <w:jc w:val="center"/>
      </w:pPr>
      <w:r>
        <w:rPr>
          <w:noProof/>
          <w:lang w:eastAsia="fr-CA"/>
        </w:rPr>
        <mc:AlternateContent>
          <mc:Choice Requires="wps">
            <w:drawing>
              <wp:anchor distT="0" distB="0" distL="114300" distR="114300" simplePos="0" relativeHeight="251904000" behindDoc="0" locked="0" layoutInCell="1" allowOverlap="1" wp14:anchorId="5069C9CD" wp14:editId="056FAAA6">
                <wp:simplePos x="0" y="0"/>
                <wp:positionH relativeFrom="column">
                  <wp:posOffset>883920</wp:posOffset>
                </wp:positionH>
                <wp:positionV relativeFrom="paragraph">
                  <wp:posOffset>1678454</wp:posOffset>
                </wp:positionV>
                <wp:extent cx="2169160" cy="271780"/>
                <wp:effectExtent l="0" t="0" r="0" b="0"/>
                <wp:wrapNone/>
                <wp:docPr id="41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9160" cy="271780"/>
                        </a:xfrm>
                        <a:prstGeom prst="rect">
                          <a:avLst/>
                        </a:prstGeom>
                        <a:noFill/>
                        <a:ln w="9525">
                          <a:noFill/>
                          <a:miter lim="800000"/>
                          <a:headEnd/>
                          <a:tailEnd/>
                        </a:ln>
                      </wps:spPr>
                      <wps:txbx>
                        <w:txbxContent>
                          <w:p w:rsidR="008276DC" w:rsidRPr="00B712FD" w:rsidRDefault="008276DC">
                            <w:pPr>
                              <w:rPr>
                                <w:b/>
                                <w:color w:val="FFFFFF" w:themeColor="background1"/>
                                <w14:shadow w14:blurRad="50800" w14:dist="50800" w14:dir="5400000" w14:sx="0" w14:sy="0" w14:kx="0" w14:ky="0" w14:algn="ctr">
                                  <w14:schemeClr w14:val="tx1"/>
                                </w14:shadow>
                              </w:rPr>
                            </w:pPr>
                            <w:r w:rsidRPr="00B712FD">
                              <w:rPr>
                                <w:b/>
                                <w:color w:val="FFFFFF" w:themeColor="background1"/>
                                <w14:shadow w14:blurRad="50800" w14:dist="50800" w14:dir="5400000" w14:sx="0" w14:sy="0" w14:kx="0" w14:ky="0" w14:algn="ctr">
                                  <w14:schemeClr w14:val="tx1"/>
                                </w14:shadow>
                              </w:rPr>
                              <w:t>Maladie de Legg-Calvé-Perthès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9" type="#_x0000_t202" style="position:absolute;left:0;text-align:left;margin-left:69.6pt;margin-top:132.15pt;width:170.8pt;height:21.4pt;z-index:25190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" filled="f" stroked="f">
                <v:textbox>
                  <w:txbxContent>
                    <w:p w:rsidR="008276DC" w:rsidRPr="00B712FD" w:rsidRDefault="008276DC">
                      <w:pPr>
                        <w:rPr>
                          <w:b/>
                          <w:color w:val="FFFFFF" w:themeColor="background1"/>
                          <w14:shadow w14:blurRad="50800" w14:dist="50800" w14:dir="5400000" w14:sx="0" w14:sy="0" w14:kx="0" w14:ky="0" w14:algn="ctr">
                            <w14:schemeClr w14:val="tx1"/>
                          </w14:shadow>
                        </w:rPr>
                      </w:pPr>
                      <w:r w:rsidRPr="00B712FD">
                        <w:rPr>
                          <w:b/>
                          <w:color w:val="FFFFFF" w:themeColor="background1"/>
                          <w14:shadow w14:blurRad="50800" w14:dist="50800" w14:dir="5400000" w14:sx="0" w14:sy="0" w14:kx="0" w14:ky="0" w14:algn="ctr">
                            <w14:schemeClr w14:val="tx1"/>
                          </w14:shadow>
                        </w:rPr>
                        <w:t>Maladie de Legg-Calvé-Perthès</w:t>
                      </w:r>
                    </w:p>
                  </w:txbxContent>
                </v:textbox>
              </v:shape>
            </w:pict>
          </mc:Fallback>
        </mc:AlternateContent>
      </w:r>
      <w:r w:rsidR="006F79CA">
        <w:rPr>
          <w:noProof/>
          <w:lang w:eastAsia="fr-CA"/>
        </w:rPr>
        <mc:AlternateContent>
          <mc:Choice Requires="wpg">
            <w:drawing>
              <wp:inline distT="0" distB="0" distL="0" distR="0" wp14:anchorId="27F2485F" wp14:editId="14CF227B">
                <wp:extent cx="5603132" cy="2003898"/>
                <wp:effectExtent l="0" t="0" r="0" b="0"/>
                <wp:docPr id="418" name="Groupe 418"/>
                <wp:cNvGraphicFramePr/>
                <a:graphic xmlns:a="http://schemas.openxmlformats.org/drawingml/2006/main">
                  <a:graphicData uri="http://schemas.microsoft.com/office/word/2010/wordprocessingGroup">
                    <wpg:wgp>
                      <wpg:cNvGrpSpPr/>
                      <wpg:grpSpPr>
                        <a:xfrm>
                          <a:off x="0" y="0"/>
                          <a:ext cx="5603132" cy="2003898"/>
                          <a:chOff x="0" y="0"/>
                          <a:chExt cx="5603132" cy="2003898"/>
                        </a:xfrm>
                      </wpg:grpSpPr>
                      <pic:pic xmlns:pic="http://schemas.openxmlformats.org/drawingml/2006/picture">
                        <pic:nvPicPr>
                          <pic:cNvPr id="402" name="Image 402" descr="Résultats de recherche d'images pour « glissement épiphysaire tête fémorale »"/>
                          <pic:cNvPicPr>
                            <a:picLocks noChangeAspect="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675107" cy="2003898"/>
                          </a:xfrm>
                          <a:prstGeom prst="rect">
                            <a:avLst/>
                          </a:prstGeom>
                          <a:noFill/>
                          <a:ln>
                            <a:noFill/>
                          </a:ln>
                        </pic:spPr>
                      </pic:pic>
                      <pic:pic xmlns:pic="http://schemas.openxmlformats.org/drawingml/2006/picture">
                        <pic:nvPicPr>
                          <pic:cNvPr id="403" name="Image 403" descr="Résultats de recherche d'images pour « osgood schlatter »"/>
                          <pic:cNvPicPr>
                            <a:picLocks noChangeAspect="1"/>
                          </pic:cNvPicPr>
                        </pic:nvPicPr>
                        <pic:blipFill>
                          <a:blip r:embed="rId70">
                            <a:extLst>
                              <a:ext uri="{28A0092B-C50C-407E-A947-70E740481C1C}">
                                <a14:useLocalDpi xmlns:a14="http://schemas.microsoft.com/office/drawing/2010/main" val="0"/>
                              </a:ext>
                            </a:extLst>
                          </a:blip>
                          <a:srcRect/>
                          <a:stretch>
                            <a:fillRect/>
                          </a:stretch>
                        </pic:blipFill>
                        <pic:spPr bwMode="auto">
                          <a:xfrm>
                            <a:off x="2675107" y="0"/>
                            <a:ext cx="2928025" cy="1994170"/>
                          </a:xfrm>
                          <a:prstGeom prst="rect">
                            <a:avLst/>
                          </a:prstGeom>
                          <a:noFill/>
                          <a:ln>
                            <a:noFill/>
                          </a:ln>
                        </pic:spPr>
                      </pic:pic>
                    </wpg:wgp>
                  </a:graphicData>
                </a:graphic>
              </wp:inline>
            </w:drawing>
          </mc:Choice>
          <mc:Fallback>
            <w:pict>
              <v:group id="Groupe 418" o:spid="_x0000_s1026" style="width:441.2pt;height:157.8pt;mso-position-horizontal-relative:char;mso-position-vertical-relative:line" coordsize="56031,20038" o:gfxdata="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">
                <v:shape id="Image 402" o:spid="_x0000_s1027" type="#_x0000_t75" alt="Résultats de recherche d'images pour « glissement épiphysaire tête fémorale »" style="position:absolute;width:26751;height:200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F0Z3jFAAAA3AAAAA8AAABkcnMvZG93bnJldi54bWxEj0FrAjEUhO8F/0N4Qm81q7SlrEZxWype&#10;POy2xetj89wNbl6WJNXVX98IBY/DzHzDLFaD7cSJfDCOFUwnGQji2mnDjYLvr8+nNxAhImvsHJOC&#10;CwVYLUcPC8y1O3NJpyo2IkE45KigjbHPpQx1SxbDxPXEyTs4bzEm6RupPZ4T3HZylmWv0qLhtNBi&#10;T+8t1cfq1yqoimtpdsVHPBTlvvQ/m8688FSpx/GwnoOINMR7+L+91QqesxnczqQjIJd/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RdGd4xQAAANwAAAAPAAAAAAAAAAAAAAAA&#10;AJ8CAABkcnMvZG93bnJldi54bWxQSwUGAAAAAAQABAD3AAAAkQMAAAAA&#10;">
                  <v:imagedata r:id="rId71" o:title="Résultats de recherche d'images pour « glissement épiphysaire tête fémorale »"/>
                  <v:path arrowok="t"/>
                </v:shape>
                <v:shape id="Image 403" o:spid="_x0000_s1028" type="#_x0000_t75" alt="Résultats de recherche d'images pour « osgood schlatter »" style="position:absolute;left:26751;width:29280;height:199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3DvCrEAAAA3AAAAA8AAABkcnMvZG93bnJldi54bWxEj0FrAjEUhO+F/ofwCt5qtlalbI3SSgUP&#10;Hty1B4+Pzetm6eZl2cQ1/nsjCB6HmfmGWayibcVAvW8cK3gbZyCIK6cbrhX8HjavHyB8QNbYOiYF&#10;F/KwWj4/LTDX7swFDWWoRYKwz1GBCaHLpfSVIYt+7Dri5P253mJIsq+l7vGc4LaVkyybS4sNpwWD&#10;Ha0NVf/lySroir07OvmzNt+zYzlUZTRxVyg1eolfnyACxfAI39tbrWCavcPtTDoCcnk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3DvCrEAAAA3AAAAA8AAAAAAAAAAAAAAAAA&#10;nwIAAGRycy9kb3ducmV2LnhtbFBLBQYAAAAABAAEAPcAAACQAwAAAAA=&#10;">
                  <v:imagedata r:id="rId72" o:title="Résultats de recherche d'images pour « osgood schlatter »"/>
                  <v:path arrowok="t"/>
                </v:shape>
                <w10:anchorlock/>
              </v:group>
            </w:pict>
          </mc:Fallback>
        </mc:AlternateContent>
      </w:r>
    </w:p>
    <w:tbl>
      <w:tblPr>
        <w:tblStyle w:val="Grilledutableau"/>
        <w:tblW w:w="0" w:type="auto"/>
        <w:tblLook w:val="04A0" w:firstRow="1" w:lastRow="0" w:firstColumn="1" w:lastColumn="0" w:noHBand="0" w:noVBand="1"/>
      </w:tblPr>
      <w:tblGrid>
        <w:gridCol w:w="2802"/>
        <w:gridCol w:w="4069"/>
        <w:gridCol w:w="4069"/>
      </w:tblGrid>
      <w:tr w:rsidR="00864FE7" w:rsidTr="00863BF3">
        <w:tc>
          <w:tcPr>
            <w:tcW w:w="10940" w:type="dxa"/>
            <w:gridSpan w:val="3"/>
            <w:shd w:val="clear" w:color="auto" w:fill="FFC000"/>
          </w:tcPr>
          <w:p w:rsidR="00864FE7" w:rsidRDefault="00864FE7" w:rsidP="00863BF3">
            <w:pPr>
              <w:pStyle w:val="Sansinterligne"/>
              <w:jc w:val="center"/>
            </w:pPr>
            <w:r>
              <w:t>Atteintes systémiques et connectivites</w:t>
            </w:r>
          </w:p>
        </w:tc>
      </w:tr>
      <w:tr w:rsidR="00864FE7" w:rsidTr="00B0562B">
        <w:tc>
          <w:tcPr>
            <w:tcW w:w="2802" w:type="dxa"/>
            <w:shd w:val="clear" w:color="auto" w:fill="D6E3BC" w:themeFill="accent3" w:themeFillTint="66"/>
          </w:tcPr>
          <w:p w:rsidR="00864FE7" w:rsidRDefault="00864FE7" w:rsidP="002E3DB9">
            <w:pPr>
              <w:pStyle w:val="Sansinterligne"/>
              <w:jc w:val="center"/>
            </w:pPr>
            <w:r>
              <w:t>Diagnostic</w:t>
            </w:r>
          </w:p>
        </w:tc>
        <w:tc>
          <w:tcPr>
            <w:tcW w:w="8138" w:type="dxa"/>
            <w:gridSpan w:val="2"/>
            <w:shd w:val="clear" w:color="auto" w:fill="D6E3BC" w:themeFill="accent3" w:themeFillTint="66"/>
          </w:tcPr>
          <w:p w:rsidR="00864FE7" w:rsidRDefault="00864FE7" w:rsidP="002E3DB9">
            <w:pPr>
              <w:pStyle w:val="Sansinterligne"/>
              <w:jc w:val="center"/>
            </w:pPr>
            <w:r>
              <w:t>Manifestations cliniques</w:t>
            </w:r>
          </w:p>
        </w:tc>
      </w:tr>
      <w:tr w:rsidR="00760D3B" w:rsidTr="001E1BF1">
        <w:trPr>
          <w:trHeight w:val="1853"/>
        </w:trPr>
        <w:tc>
          <w:tcPr>
            <w:tcW w:w="2802" w:type="dxa"/>
            <w:vMerge w:val="restart"/>
            <w:shd w:val="clear" w:color="auto" w:fill="D6E3BC" w:themeFill="accent3" w:themeFillTint="66"/>
            <w:vAlign w:val="center"/>
          </w:tcPr>
          <w:p w:rsidR="00760D3B" w:rsidRPr="00A03ACE" w:rsidRDefault="00760D3B" w:rsidP="00882FBF">
            <w:pPr>
              <w:pStyle w:val="Sansinterligne"/>
              <w:jc w:val="center"/>
              <w:rPr>
                <w:b/>
              </w:rPr>
            </w:pPr>
            <w:r w:rsidRPr="00A03ACE">
              <w:rPr>
                <w:b/>
              </w:rPr>
              <w:t>Arthrite idiopathique juvénile</w:t>
            </w:r>
          </w:p>
        </w:tc>
        <w:tc>
          <w:tcPr>
            <w:tcW w:w="8138" w:type="dxa"/>
            <w:gridSpan w:val="2"/>
            <w:shd w:val="clear" w:color="auto" w:fill="FFFF00"/>
          </w:tcPr>
          <w:p w:rsidR="00760D3B" w:rsidRDefault="00760D3B" w:rsidP="002260A3">
            <w:pPr>
              <w:pStyle w:val="Sansinterligne"/>
              <w:numPr>
                <w:ilvl w:val="0"/>
                <w:numId w:val="866"/>
              </w:numPr>
            </w:pPr>
            <w:r>
              <w:t>Débute avant 16 ans, dure plus de 6 semaines</w:t>
            </w:r>
          </w:p>
          <w:p w:rsidR="00760D3B" w:rsidRDefault="00760D3B" w:rsidP="002260A3">
            <w:pPr>
              <w:pStyle w:val="Sansinterligne"/>
              <w:numPr>
                <w:ilvl w:val="0"/>
                <w:numId w:val="866"/>
              </w:numPr>
            </w:pPr>
            <w:r>
              <w:t>Œdème articulaire, chaleur</w:t>
            </w:r>
          </w:p>
          <w:p w:rsidR="00760D3B" w:rsidRDefault="00760D3B" w:rsidP="002260A3">
            <w:pPr>
              <w:pStyle w:val="Sansinterligne"/>
              <w:numPr>
                <w:ilvl w:val="0"/>
                <w:numId w:val="866"/>
              </w:numPr>
            </w:pPr>
            <w:r>
              <w:t>Arthrites symétriques</w:t>
            </w:r>
          </w:p>
          <w:p w:rsidR="00760D3B" w:rsidRDefault="00760D3B" w:rsidP="002260A3">
            <w:pPr>
              <w:pStyle w:val="Sansinterligne"/>
              <w:numPr>
                <w:ilvl w:val="0"/>
                <w:numId w:val="866"/>
              </w:numPr>
            </w:pPr>
            <w:r>
              <w:t>Douleur à la palpation et/ou la mobilisation articulaire</w:t>
            </w:r>
          </w:p>
          <w:p w:rsidR="00760D3B" w:rsidRDefault="00760D3B" w:rsidP="002260A3">
            <w:pPr>
              <w:pStyle w:val="Sansinterligne"/>
              <w:numPr>
                <w:ilvl w:val="0"/>
                <w:numId w:val="866"/>
              </w:numPr>
            </w:pPr>
            <w:r>
              <w:t>Limitation d’amplitude articulaire</w:t>
            </w:r>
          </w:p>
          <w:p w:rsidR="00760D3B" w:rsidRDefault="00760D3B" w:rsidP="002260A3">
            <w:pPr>
              <w:pStyle w:val="Sansinterligne"/>
              <w:numPr>
                <w:ilvl w:val="0"/>
                <w:numId w:val="866"/>
              </w:numPr>
            </w:pPr>
            <w:r>
              <w:t>Raideur matinale</w:t>
            </w:r>
          </w:p>
          <w:p w:rsidR="00760D3B" w:rsidRPr="001E1BF1" w:rsidRDefault="00760D3B" w:rsidP="001E1BF1">
            <w:pPr>
              <w:pStyle w:val="Sansinterligne"/>
              <w:rPr>
                <w:u w:val="single"/>
              </w:rPr>
            </w:pPr>
            <w:r w:rsidRPr="001E1BF1">
              <w:rPr>
                <w:u w:val="single"/>
              </w:rPr>
              <w:t>Plusieurs formes</w:t>
            </w:r>
            <w:r w:rsidR="001E1BF1">
              <w:rPr>
                <w:u w:val="single"/>
              </w:rPr>
              <w:t xml:space="preserve"> (ci-joint)</w:t>
            </w:r>
          </w:p>
        </w:tc>
      </w:tr>
      <w:tr w:rsidR="00760D3B" w:rsidTr="00180CBF">
        <w:trPr>
          <w:trHeight w:val="2466"/>
        </w:trPr>
        <w:tc>
          <w:tcPr>
            <w:tcW w:w="2802" w:type="dxa"/>
            <w:vMerge/>
            <w:shd w:val="clear" w:color="auto" w:fill="D6E3BC" w:themeFill="accent3" w:themeFillTint="66"/>
            <w:vAlign w:val="center"/>
          </w:tcPr>
          <w:p w:rsidR="00760D3B" w:rsidRDefault="00760D3B" w:rsidP="00882FBF">
            <w:pPr>
              <w:pStyle w:val="Sansinterligne"/>
              <w:jc w:val="center"/>
            </w:pPr>
          </w:p>
        </w:tc>
        <w:tc>
          <w:tcPr>
            <w:tcW w:w="4069" w:type="dxa"/>
          </w:tcPr>
          <w:p w:rsidR="00760D3B" w:rsidRPr="00760D3B" w:rsidRDefault="00760D3B" w:rsidP="00760D3B">
            <w:pPr>
              <w:pStyle w:val="Sansinterligne"/>
              <w:rPr>
                <w:b/>
              </w:rPr>
            </w:pPr>
            <w:r w:rsidRPr="00760D3B">
              <w:rPr>
                <w:b/>
              </w:rPr>
              <w:t>Systémique (maladie de Still)</w:t>
            </w:r>
          </w:p>
          <w:p w:rsidR="00760D3B" w:rsidRDefault="000964A4" w:rsidP="002260A3">
            <w:pPr>
              <w:pStyle w:val="Sansinterligne"/>
              <w:numPr>
                <w:ilvl w:val="0"/>
                <w:numId w:val="862"/>
              </w:numPr>
            </w:pPr>
            <w:r>
              <w:t>Pics de f</w:t>
            </w:r>
            <w:r w:rsidR="00760D3B">
              <w:t>ièvre</w:t>
            </w:r>
            <w:r>
              <w:t>, durée</w:t>
            </w:r>
            <w:r w:rsidR="00760D3B">
              <w:t xml:space="preserve"> prolongée (min. 2 semaines) ET</w:t>
            </w:r>
          </w:p>
          <w:p w:rsidR="00760D3B" w:rsidRDefault="00760D3B" w:rsidP="002260A3">
            <w:pPr>
              <w:pStyle w:val="Sansinterligne"/>
              <w:numPr>
                <w:ilvl w:val="0"/>
                <w:numId w:val="862"/>
              </w:numPr>
            </w:pPr>
            <w:r>
              <w:t>Éruption maculaire saumonée OU</w:t>
            </w:r>
          </w:p>
          <w:p w:rsidR="00760D3B" w:rsidRDefault="00760D3B" w:rsidP="002260A3">
            <w:pPr>
              <w:pStyle w:val="Sansinterligne"/>
              <w:numPr>
                <w:ilvl w:val="0"/>
                <w:numId w:val="862"/>
              </w:numPr>
            </w:pPr>
            <w:r>
              <w:t>Polyadénopathies OU</w:t>
            </w:r>
          </w:p>
          <w:p w:rsidR="00760D3B" w:rsidRDefault="00760D3B" w:rsidP="002260A3">
            <w:pPr>
              <w:pStyle w:val="Sansinterligne"/>
              <w:numPr>
                <w:ilvl w:val="0"/>
                <w:numId w:val="862"/>
              </w:numPr>
            </w:pPr>
            <w:r>
              <w:t>Hépatosplénomégalie OU</w:t>
            </w:r>
          </w:p>
          <w:p w:rsidR="00760D3B" w:rsidRDefault="00760D3B" w:rsidP="002260A3">
            <w:pPr>
              <w:pStyle w:val="Sansinterligne"/>
              <w:numPr>
                <w:ilvl w:val="0"/>
                <w:numId w:val="862"/>
              </w:numPr>
            </w:pPr>
            <w:r>
              <w:t xml:space="preserve">Sérosite </w:t>
            </w:r>
          </w:p>
          <w:p w:rsidR="00760D3B" w:rsidRDefault="00760D3B" w:rsidP="002260A3">
            <w:pPr>
              <w:pStyle w:val="Sansinterligne"/>
              <w:numPr>
                <w:ilvl w:val="0"/>
                <w:numId w:val="862"/>
              </w:numPr>
            </w:pPr>
            <w:r>
              <w:t>Myalgies, arthralgies, douleurs abdominales (souvent)</w:t>
            </w:r>
          </w:p>
        </w:tc>
        <w:tc>
          <w:tcPr>
            <w:tcW w:w="4069" w:type="dxa"/>
          </w:tcPr>
          <w:p w:rsidR="00760D3B" w:rsidRDefault="00760D3B" w:rsidP="00760D3B">
            <w:pPr>
              <w:pStyle w:val="Sansinterligne"/>
              <w:rPr>
                <w:b/>
              </w:rPr>
            </w:pPr>
            <w:r w:rsidRPr="00760D3B">
              <w:rPr>
                <w:b/>
              </w:rPr>
              <w:t xml:space="preserve">Oligoarticulaire </w:t>
            </w:r>
            <w:r>
              <w:rPr>
                <w:b/>
              </w:rPr>
              <w:t>(la + fréquente)</w:t>
            </w:r>
          </w:p>
          <w:p w:rsidR="00760D3B" w:rsidRDefault="00760D3B" w:rsidP="002260A3">
            <w:pPr>
              <w:pStyle w:val="Sansinterligne"/>
              <w:numPr>
                <w:ilvl w:val="0"/>
                <w:numId w:val="865"/>
              </w:numPr>
            </w:pPr>
            <w:r>
              <w:t xml:space="preserve">2-4 articulations </w:t>
            </w:r>
          </w:p>
          <w:p w:rsidR="00760D3B" w:rsidRDefault="00760D3B" w:rsidP="002260A3">
            <w:pPr>
              <w:pStyle w:val="Sansinterligne"/>
              <w:numPr>
                <w:ilvl w:val="0"/>
                <w:numId w:val="865"/>
              </w:numPr>
            </w:pPr>
            <w:r>
              <w:t>Uvéites</w:t>
            </w:r>
          </w:p>
          <w:p w:rsidR="00760D3B" w:rsidRDefault="00760D3B" w:rsidP="00760D3B">
            <w:pPr>
              <w:pStyle w:val="Sansinterligne"/>
              <w:rPr>
                <w:b/>
              </w:rPr>
            </w:pPr>
            <w:r w:rsidRPr="00760D3B">
              <w:rPr>
                <w:b/>
              </w:rPr>
              <w:t xml:space="preserve">Polyarticulaires </w:t>
            </w:r>
          </w:p>
          <w:p w:rsidR="00760D3B" w:rsidRPr="00760D3B" w:rsidRDefault="00760D3B" w:rsidP="002260A3">
            <w:pPr>
              <w:pStyle w:val="Sansinterligne"/>
              <w:numPr>
                <w:ilvl w:val="0"/>
                <w:numId w:val="864"/>
              </w:numPr>
            </w:pPr>
            <w:r>
              <w:rPr>
                <w:rFonts w:ascii="Century Gothic" w:hAnsi="Century Gothic"/>
              </w:rPr>
              <w:t>&gt;</w:t>
            </w:r>
            <w:r>
              <w:t>5 articulations)</w:t>
            </w:r>
          </w:p>
          <w:p w:rsidR="00760D3B" w:rsidRDefault="00760D3B" w:rsidP="002260A3">
            <w:pPr>
              <w:pStyle w:val="Sansinterligne"/>
              <w:numPr>
                <w:ilvl w:val="0"/>
                <w:numId w:val="864"/>
              </w:numPr>
            </w:pPr>
            <w:r>
              <w:t>Nodules rhumatoïdes (si FR +)</w:t>
            </w:r>
          </w:p>
          <w:p w:rsidR="00760D3B" w:rsidRDefault="00760D3B" w:rsidP="00760D3B">
            <w:pPr>
              <w:pStyle w:val="Sansinterligne"/>
            </w:pPr>
            <w:r w:rsidRPr="001E1BF1">
              <w:rPr>
                <w:b/>
              </w:rPr>
              <w:t>Arthrite psoriasique</w:t>
            </w:r>
            <w:r w:rsidR="001E1BF1">
              <w:t xml:space="preserve"> (2/4)</w:t>
            </w:r>
          </w:p>
          <w:p w:rsidR="001E1BF1" w:rsidRDefault="001E1BF1" w:rsidP="002260A3">
            <w:pPr>
              <w:pStyle w:val="Sansinterligne"/>
              <w:numPr>
                <w:ilvl w:val="0"/>
                <w:numId w:val="863"/>
              </w:numPr>
            </w:pPr>
            <w:r>
              <w:t>Psoriasis cutané OU Pitting unguéal</w:t>
            </w:r>
          </w:p>
          <w:p w:rsidR="001E1BF1" w:rsidRDefault="001E1BF1" w:rsidP="002260A3">
            <w:pPr>
              <w:pStyle w:val="Sansinterligne"/>
              <w:numPr>
                <w:ilvl w:val="0"/>
                <w:numId w:val="863"/>
              </w:numPr>
            </w:pPr>
            <w:r>
              <w:t>OU dactylite OU Hx familiale psoriasis</w:t>
            </w:r>
          </w:p>
          <w:p w:rsidR="00760D3B" w:rsidRPr="001E1BF1" w:rsidRDefault="001E1BF1" w:rsidP="00760D3B">
            <w:pPr>
              <w:pStyle w:val="Sansinterligne"/>
              <w:rPr>
                <w:b/>
              </w:rPr>
            </w:pPr>
            <w:r w:rsidRPr="001E1BF1">
              <w:rPr>
                <w:b/>
              </w:rPr>
              <w:t>Arthrite liée aux enthésites</w:t>
            </w:r>
          </w:p>
        </w:tc>
      </w:tr>
      <w:tr w:rsidR="00864FE7" w:rsidTr="00B0562B">
        <w:tc>
          <w:tcPr>
            <w:tcW w:w="2802" w:type="dxa"/>
            <w:shd w:val="clear" w:color="auto" w:fill="D6E3BC" w:themeFill="accent3" w:themeFillTint="66"/>
            <w:vAlign w:val="center"/>
          </w:tcPr>
          <w:p w:rsidR="00864FE7" w:rsidRDefault="00864FE7" w:rsidP="00882FBF">
            <w:pPr>
              <w:pStyle w:val="Sansinterligne"/>
              <w:jc w:val="center"/>
            </w:pPr>
            <w:r>
              <w:t>Arthrite associée aux MII</w:t>
            </w:r>
          </w:p>
        </w:tc>
        <w:tc>
          <w:tcPr>
            <w:tcW w:w="8138" w:type="dxa"/>
            <w:gridSpan w:val="2"/>
          </w:tcPr>
          <w:p w:rsidR="00864FE7" w:rsidRDefault="004F22E7" w:rsidP="002260A3">
            <w:pPr>
              <w:pStyle w:val="Sansinterligne"/>
              <w:numPr>
                <w:ilvl w:val="0"/>
                <w:numId w:val="868"/>
              </w:numPr>
            </w:pPr>
            <w:r>
              <w:t>Peut apparaître avant ou après la MII</w:t>
            </w:r>
          </w:p>
          <w:p w:rsidR="004F22E7" w:rsidRDefault="004F22E7" w:rsidP="002260A3">
            <w:pPr>
              <w:pStyle w:val="Sansinterligne"/>
              <w:numPr>
                <w:ilvl w:val="0"/>
                <w:numId w:val="868"/>
              </w:numPr>
            </w:pPr>
            <w:r>
              <w:t>Douleur articulaire intermittentes (surtout aux métacarpo-phalangiens)</w:t>
            </w:r>
          </w:p>
          <w:p w:rsidR="004F22E7" w:rsidRDefault="004F22E7" w:rsidP="002260A3">
            <w:pPr>
              <w:pStyle w:val="Sansinterligne"/>
              <w:numPr>
                <w:ilvl w:val="0"/>
                <w:numId w:val="868"/>
              </w:numPr>
            </w:pPr>
            <w:r>
              <w:t>Parfois spondylite ou sacro-iléite associée</w:t>
            </w:r>
          </w:p>
          <w:p w:rsidR="004F22E7" w:rsidRDefault="004F22E7" w:rsidP="002260A3">
            <w:pPr>
              <w:pStyle w:val="Sansinterligne"/>
              <w:numPr>
                <w:ilvl w:val="0"/>
                <w:numId w:val="868"/>
              </w:numPr>
            </w:pPr>
            <w:r>
              <w:t>Fièvre, détérioration de l’état général</w:t>
            </w:r>
          </w:p>
          <w:p w:rsidR="004F22E7" w:rsidRDefault="004F22E7" w:rsidP="002260A3">
            <w:pPr>
              <w:pStyle w:val="Sansinterligne"/>
              <w:numPr>
                <w:ilvl w:val="0"/>
                <w:numId w:val="868"/>
              </w:numPr>
            </w:pPr>
            <w:r>
              <w:t>Douleurs abdominales, diarrhées et/ou rectorragies</w:t>
            </w:r>
          </w:p>
        </w:tc>
      </w:tr>
      <w:tr w:rsidR="00864FE7" w:rsidTr="00B0562B">
        <w:tc>
          <w:tcPr>
            <w:tcW w:w="2802" w:type="dxa"/>
            <w:shd w:val="clear" w:color="auto" w:fill="D6E3BC" w:themeFill="accent3" w:themeFillTint="66"/>
            <w:vAlign w:val="center"/>
          </w:tcPr>
          <w:p w:rsidR="00864FE7" w:rsidRDefault="00864FE7" w:rsidP="00882FBF">
            <w:pPr>
              <w:pStyle w:val="Sansinterligne"/>
              <w:jc w:val="center"/>
            </w:pPr>
            <w:r>
              <w:t>Maladie sérique</w:t>
            </w:r>
          </w:p>
        </w:tc>
        <w:tc>
          <w:tcPr>
            <w:tcW w:w="8138" w:type="dxa"/>
            <w:gridSpan w:val="2"/>
          </w:tcPr>
          <w:p w:rsidR="00864FE7" w:rsidRDefault="004F22E7" w:rsidP="002260A3">
            <w:pPr>
              <w:pStyle w:val="Sansinterligne"/>
              <w:numPr>
                <w:ilvl w:val="0"/>
                <w:numId w:val="869"/>
              </w:numPr>
            </w:pPr>
            <w:r>
              <w:t>Exposition à un agent ou un médicament dans les 2 semaines précédentes ou moins</w:t>
            </w:r>
          </w:p>
          <w:p w:rsidR="004F22E7" w:rsidRDefault="004F22E7" w:rsidP="002260A3">
            <w:pPr>
              <w:pStyle w:val="Sansinterligne"/>
              <w:numPr>
                <w:ilvl w:val="0"/>
                <w:numId w:val="869"/>
              </w:numPr>
            </w:pPr>
            <w:r>
              <w:t>Fièvre avec pic élevé autorésolutif (cyclique)</w:t>
            </w:r>
          </w:p>
          <w:p w:rsidR="004F22E7" w:rsidRDefault="004F22E7" w:rsidP="002260A3">
            <w:pPr>
              <w:pStyle w:val="Sansinterligne"/>
              <w:numPr>
                <w:ilvl w:val="0"/>
                <w:numId w:val="869"/>
              </w:numPr>
            </w:pPr>
            <w:r>
              <w:t>Éruption cutanée prurigineuse d’allure urticarienne</w:t>
            </w:r>
          </w:p>
          <w:p w:rsidR="004F22E7" w:rsidRDefault="004F22E7" w:rsidP="002260A3">
            <w:pPr>
              <w:pStyle w:val="Sansinterligne"/>
              <w:numPr>
                <w:ilvl w:val="1"/>
                <w:numId w:val="869"/>
              </w:numPr>
            </w:pPr>
            <w:r>
              <w:t>Tronculaire au début  puis se répand</w:t>
            </w:r>
          </w:p>
          <w:p w:rsidR="004F22E7" w:rsidRDefault="004F22E7" w:rsidP="002260A3">
            <w:pPr>
              <w:pStyle w:val="Sansinterligne"/>
              <w:numPr>
                <w:ilvl w:val="1"/>
                <w:numId w:val="869"/>
              </w:numPr>
            </w:pPr>
            <w:r>
              <w:t>Muqueuses épargnées</w:t>
            </w:r>
          </w:p>
          <w:p w:rsidR="004F22E7" w:rsidRDefault="004F22E7" w:rsidP="002260A3">
            <w:pPr>
              <w:pStyle w:val="Sansinterligne"/>
              <w:numPr>
                <w:ilvl w:val="0"/>
                <w:numId w:val="869"/>
              </w:numPr>
            </w:pPr>
            <w:r>
              <w:t>Polyarthralgies</w:t>
            </w:r>
          </w:p>
        </w:tc>
      </w:tr>
      <w:tr w:rsidR="0045541D" w:rsidTr="005666B9">
        <w:tc>
          <w:tcPr>
            <w:tcW w:w="2802" w:type="dxa"/>
            <w:shd w:val="clear" w:color="auto" w:fill="D6E3BC" w:themeFill="accent3" w:themeFillTint="66"/>
            <w:vAlign w:val="center"/>
          </w:tcPr>
          <w:p w:rsidR="0045541D" w:rsidRPr="00A03ACE" w:rsidRDefault="0045541D" w:rsidP="00882FBF">
            <w:pPr>
              <w:pStyle w:val="Sansinterligne"/>
              <w:jc w:val="center"/>
              <w:rPr>
                <w:b/>
              </w:rPr>
            </w:pPr>
            <w:r w:rsidRPr="00A03ACE">
              <w:rPr>
                <w:b/>
              </w:rPr>
              <w:t>Maladie de Kawasaki</w:t>
            </w:r>
          </w:p>
        </w:tc>
        <w:tc>
          <w:tcPr>
            <w:tcW w:w="8138" w:type="dxa"/>
            <w:gridSpan w:val="2"/>
            <w:shd w:val="clear" w:color="auto" w:fill="FFFF00"/>
          </w:tcPr>
          <w:p w:rsidR="0045541D" w:rsidRPr="0045541D" w:rsidRDefault="0045541D" w:rsidP="0045541D">
            <w:pPr>
              <w:pStyle w:val="Sansinterligne"/>
            </w:pPr>
            <w:r w:rsidRPr="0045541D">
              <w:t xml:space="preserve">Voir </w:t>
            </w:r>
            <w:r w:rsidRPr="0045541D">
              <w:rPr>
                <w:i/>
              </w:rPr>
              <w:t>Fièvre chez le nouveau-né / chez l’enfant CMC 107-3</w:t>
            </w:r>
          </w:p>
        </w:tc>
      </w:tr>
      <w:tr w:rsidR="00864FE7" w:rsidTr="00B0562B">
        <w:tc>
          <w:tcPr>
            <w:tcW w:w="2802" w:type="dxa"/>
            <w:shd w:val="clear" w:color="auto" w:fill="D6E3BC" w:themeFill="accent3" w:themeFillTint="66"/>
            <w:vAlign w:val="center"/>
          </w:tcPr>
          <w:p w:rsidR="00864FE7" w:rsidRDefault="00864FE7" w:rsidP="00882FBF">
            <w:pPr>
              <w:pStyle w:val="Sansinterligne"/>
              <w:jc w:val="center"/>
            </w:pPr>
            <w:r>
              <w:t xml:space="preserve">Lupus érythémateux </w:t>
            </w:r>
            <w:r w:rsidR="0083770C">
              <w:t>disséminé (LED)</w:t>
            </w:r>
          </w:p>
        </w:tc>
        <w:tc>
          <w:tcPr>
            <w:tcW w:w="8138" w:type="dxa"/>
            <w:gridSpan w:val="2"/>
          </w:tcPr>
          <w:p w:rsidR="001D2CDD" w:rsidRDefault="001D2CDD" w:rsidP="005D429F">
            <w:pPr>
              <w:pStyle w:val="Sansinterligne"/>
              <w:numPr>
                <w:ilvl w:val="0"/>
                <w:numId w:val="872"/>
              </w:numPr>
            </w:pPr>
            <w:r>
              <w:t>Surtout chez l’adolescent</w:t>
            </w:r>
          </w:p>
          <w:p w:rsidR="001D2CDD" w:rsidRDefault="001D2CDD" w:rsidP="005D429F">
            <w:pPr>
              <w:pStyle w:val="Sansinterligne"/>
              <w:numPr>
                <w:ilvl w:val="0"/>
                <w:numId w:val="872"/>
              </w:numPr>
            </w:pPr>
            <w:r>
              <w:t xml:space="preserve">Voir </w:t>
            </w:r>
            <w:r w:rsidRPr="001D2CDD">
              <w:rPr>
                <w:i/>
              </w:rPr>
              <w:t>Polyarthralgie CMC 50</w:t>
            </w:r>
            <w:r>
              <w:rPr>
                <w:i/>
              </w:rPr>
              <w:t>-</w:t>
            </w:r>
            <w:r w:rsidRPr="001D2CDD">
              <w:rPr>
                <w:i/>
              </w:rPr>
              <w:t>2</w:t>
            </w:r>
          </w:p>
        </w:tc>
      </w:tr>
      <w:tr w:rsidR="008A2841" w:rsidTr="008A2841">
        <w:tc>
          <w:tcPr>
            <w:tcW w:w="2802" w:type="dxa"/>
            <w:shd w:val="clear" w:color="auto" w:fill="D6E3BC" w:themeFill="accent3" w:themeFillTint="66"/>
            <w:vAlign w:val="center"/>
          </w:tcPr>
          <w:p w:rsidR="008A2841" w:rsidRPr="008A2841" w:rsidRDefault="008A2841" w:rsidP="00882FBF">
            <w:pPr>
              <w:pStyle w:val="Sansinterligne"/>
              <w:jc w:val="center"/>
              <w:rPr>
                <w:b/>
              </w:rPr>
            </w:pPr>
            <w:r w:rsidRPr="008A2841">
              <w:rPr>
                <w:b/>
              </w:rPr>
              <w:t>Purpura d’Henoch-Schönlein</w:t>
            </w:r>
          </w:p>
        </w:tc>
        <w:tc>
          <w:tcPr>
            <w:tcW w:w="4069" w:type="dxa"/>
            <w:tcBorders>
              <w:right w:val="single" w:sz="4" w:space="0" w:color="FFFF00"/>
            </w:tcBorders>
            <w:shd w:val="clear" w:color="auto" w:fill="FFFF00"/>
          </w:tcPr>
          <w:p w:rsidR="008A2841" w:rsidRDefault="008A2841" w:rsidP="005D429F">
            <w:pPr>
              <w:pStyle w:val="Sansinterligne"/>
              <w:numPr>
                <w:ilvl w:val="0"/>
                <w:numId w:val="874"/>
              </w:numPr>
            </w:pPr>
            <w:r>
              <w:t xml:space="preserve">2 </w:t>
            </w:r>
            <w:r>
              <w:rPr>
                <w:rFonts w:ascii="Century Gothic" w:hAnsi="Century Gothic"/>
              </w:rPr>
              <w:t>♂ </w:t>
            </w:r>
            <w:r>
              <w:t>: 1</w:t>
            </w:r>
            <w:r>
              <w:rPr>
                <w:rFonts w:ascii="Century Gothic" w:hAnsi="Century Gothic"/>
              </w:rPr>
              <w:t>♀</w:t>
            </w:r>
          </w:p>
          <w:p w:rsidR="008A2841" w:rsidRDefault="008A2841" w:rsidP="005D429F">
            <w:pPr>
              <w:pStyle w:val="Sansinterligne"/>
              <w:numPr>
                <w:ilvl w:val="0"/>
                <w:numId w:val="874"/>
              </w:numPr>
            </w:pPr>
            <w:r>
              <w:t>Douleurs aux MI, surtout les chevilles</w:t>
            </w:r>
          </w:p>
          <w:p w:rsidR="008A2841" w:rsidRDefault="008A2841" w:rsidP="005D429F">
            <w:pPr>
              <w:pStyle w:val="Sansinterligne"/>
              <w:numPr>
                <w:ilvl w:val="0"/>
                <w:numId w:val="874"/>
              </w:numPr>
            </w:pPr>
            <w:r>
              <w:t xml:space="preserve">Purpura palpable non thrombopénique, pétéchial ou ecchymotique </w:t>
            </w:r>
          </w:p>
          <w:p w:rsidR="008A2841" w:rsidRDefault="008A2841" w:rsidP="005D429F">
            <w:pPr>
              <w:pStyle w:val="Sansinterligne"/>
              <w:numPr>
                <w:ilvl w:val="0"/>
                <w:numId w:val="874"/>
              </w:numPr>
            </w:pPr>
            <w:r>
              <w:t>Prédominant aux fesses et aux MI</w:t>
            </w:r>
          </w:p>
        </w:tc>
        <w:tc>
          <w:tcPr>
            <w:tcW w:w="4069" w:type="dxa"/>
            <w:tcBorders>
              <w:left w:val="single" w:sz="4" w:space="0" w:color="FFFF00"/>
            </w:tcBorders>
            <w:shd w:val="clear" w:color="auto" w:fill="FFFF00"/>
          </w:tcPr>
          <w:p w:rsidR="008A2841" w:rsidRDefault="008A2841" w:rsidP="005D429F">
            <w:pPr>
              <w:pStyle w:val="Sansinterligne"/>
              <w:numPr>
                <w:ilvl w:val="0"/>
                <w:numId w:val="875"/>
              </w:numPr>
            </w:pPr>
            <w:r>
              <w:t>Douleurs abdominales crampiformes sévères</w:t>
            </w:r>
          </w:p>
          <w:p w:rsidR="008A2841" w:rsidRDefault="008A2841" w:rsidP="005D429F">
            <w:pPr>
              <w:pStyle w:val="Sansinterligne"/>
              <w:numPr>
                <w:ilvl w:val="0"/>
                <w:numId w:val="875"/>
              </w:numPr>
            </w:pPr>
            <w:r>
              <w:t>Arthralgies oligoarticulaires non-migratoires (cheville/genou surtout)</w:t>
            </w:r>
          </w:p>
        </w:tc>
      </w:tr>
      <w:tr w:rsidR="00864FE7" w:rsidTr="00B0562B">
        <w:tc>
          <w:tcPr>
            <w:tcW w:w="2802" w:type="dxa"/>
            <w:shd w:val="clear" w:color="auto" w:fill="D6E3BC" w:themeFill="accent3" w:themeFillTint="66"/>
            <w:vAlign w:val="center"/>
          </w:tcPr>
          <w:p w:rsidR="00864FE7" w:rsidRDefault="00864FE7" w:rsidP="00882FBF">
            <w:pPr>
              <w:pStyle w:val="Sansinterligne"/>
              <w:jc w:val="center"/>
            </w:pPr>
            <w:r>
              <w:t>Anémie falciforme</w:t>
            </w:r>
          </w:p>
        </w:tc>
        <w:tc>
          <w:tcPr>
            <w:tcW w:w="8138" w:type="dxa"/>
            <w:gridSpan w:val="2"/>
          </w:tcPr>
          <w:p w:rsidR="00864FE7" w:rsidRDefault="00E90882" w:rsidP="00F3228F">
            <w:pPr>
              <w:pStyle w:val="Sansinterligne"/>
            </w:pPr>
            <w:r>
              <w:t xml:space="preserve">Voir </w:t>
            </w:r>
            <w:r w:rsidRPr="00351C0F">
              <w:rPr>
                <w:i/>
              </w:rPr>
              <w:t xml:space="preserve">Anémie </w:t>
            </w:r>
            <w:r w:rsidR="00351C0F" w:rsidRPr="00351C0F">
              <w:rPr>
                <w:i/>
              </w:rPr>
              <w:t xml:space="preserve">CMC </w:t>
            </w:r>
            <w:r w:rsidRPr="00351C0F">
              <w:rPr>
                <w:i/>
              </w:rPr>
              <w:t>42-1</w:t>
            </w:r>
          </w:p>
        </w:tc>
      </w:tr>
      <w:tr w:rsidR="00864FE7" w:rsidTr="00B0562B">
        <w:tc>
          <w:tcPr>
            <w:tcW w:w="2802" w:type="dxa"/>
            <w:shd w:val="clear" w:color="auto" w:fill="D6E3BC" w:themeFill="accent3" w:themeFillTint="66"/>
            <w:vAlign w:val="center"/>
          </w:tcPr>
          <w:p w:rsidR="00864FE7" w:rsidRDefault="00864FE7" w:rsidP="00882FBF">
            <w:pPr>
              <w:pStyle w:val="Sansinterligne"/>
              <w:jc w:val="center"/>
            </w:pPr>
            <w:r>
              <w:t>Hémophilie</w:t>
            </w:r>
          </w:p>
        </w:tc>
        <w:tc>
          <w:tcPr>
            <w:tcW w:w="8138" w:type="dxa"/>
            <w:gridSpan w:val="2"/>
          </w:tcPr>
          <w:p w:rsidR="00864FE7" w:rsidRDefault="00864FE7" w:rsidP="00F3228F">
            <w:pPr>
              <w:pStyle w:val="Sansinterligne"/>
            </w:pPr>
            <w:r>
              <w:t xml:space="preserve">Voir </w:t>
            </w:r>
            <w:r w:rsidRPr="007A0F29">
              <w:rPr>
                <w:i/>
              </w:rPr>
              <w:t>Tendance aux saignements, ecchymoses CMC 15-1</w:t>
            </w:r>
          </w:p>
        </w:tc>
      </w:tr>
    </w:tbl>
    <w:p w:rsidR="006F79CA" w:rsidRDefault="006F79CA" w:rsidP="00845BCA">
      <w:pPr>
        <w:pStyle w:val="Sansinterligne"/>
        <w:jc w:val="center"/>
      </w:pPr>
      <w:r>
        <w:rPr>
          <w:noProof/>
          <w:lang w:eastAsia="fr-CA"/>
        </w:rPr>
        <mc:AlternateContent>
          <mc:Choice Requires="wpg">
            <w:drawing>
              <wp:inline distT="0" distB="0" distL="0" distR="0" wp14:anchorId="0558E27A" wp14:editId="3DF527EE">
                <wp:extent cx="4319081" cy="2033081"/>
                <wp:effectExtent l="0" t="0" r="5715" b="5715"/>
                <wp:docPr id="420" name="Groupe 420"/>
                <wp:cNvGraphicFramePr/>
                <a:graphic xmlns:a="http://schemas.openxmlformats.org/drawingml/2006/main">
                  <a:graphicData uri="http://schemas.microsoft.com/office/word/2010/wordprocessingGroup">
                    <wpg:wgp>
                      <wpg:cNvGrpSpPr/>
                      <wpg:grpSpPr>
                        <a:xfrm>
                          <a:off x="0" y="0"/>
                          <a:ext cx="4319081" cy="2033081"/>
                          <a:chOff x="0" y="0"/>
                          <a:chExt cx="4319081" cy="2140085"/>
                        </a:xfrm>
                      </wpg:grpSpPr>
                      <pic:pic xmlns:pic="http://schemas.openxmlformats.org/drawingml/2006/picture">
                        <pic:nvPicPr>
                          <pic:cNvPr id="413" name="Image 413" descr="Résultats de recherche d'images pour « lupus érythémateux systémique »"/>
                          <pic:cNvPicPr>
                            <a:picLocks noChangeAspect="1"/>
                          </pic:cNvPicPr>
                        </pic:nvPicPr>
                        <pic:blipFill rotWithShape="1">
                          <a:blip r:embed="rId73" cstate="print">
                            <a:extLst>
                              <a:ext uri="{28A0092B-C50C-407E-A947-70E740481C1C}">
                                <a14:useLocalDpi xmlns:a14="http://schemas.microsoft.com/office/drawing/2010/main" val="0"/>
                              </a:ext>
                            </a:extLst>
                          </a:blip>
                          <a:srcRect t="1142" b="24886"/>
                          <a:stretch/>
                        </pic:blipFill>
                        <pic:spPr bwMode="auto">
                          <a:xfrm>
                            <a:off x="2383276" y="0"/>
                            <a:ext cx="1935805" cy="214008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408" name="Image 408" descr="Résultats de recherche d'images pour « purpura henoch schonlein »"/>
                          <pic:cNvPicPr>
                            <a:picLocks noChangeAspect="1"/>
                          </pic:cNvPicPr>
                        </pic:nvPicPr>
                        <pic:blipFill rotWithShape="1">
                          <a:blip r:embed="rId74">
                            <a:extLst>
                              <a:ext uri="{28A0092B-C50C-407E-A947-70E740481C1C}">
                                <a14:useLocalDpi xmlns:a14="http://schemas.microsoft.com/office/drawing/2010/main" val="0"/>
                              </a:ext>
                            </a:extLst>
                          </a:blip>
                          <a:srcRect l="14895" t="3966" r="12122" b="7366"/>
                          <a:stretch/>
                        </pic:blipFill>
                        <pic:spPr bwMode="auto">
                          <a:xfrm>
                            <a:off x="0" y="0"/>
                            <a:ext cx="2344366" cy="2140085"/>
                          </a:xfrm>
                          <a:prstGeom prst="rect">
                            <a:avLst/>
                          </a:prstGeom>
                          <a:noFill/>
                          <a:ln>
                            <a:noFill/>
                          </a:ln>
                          <a:extLst>
                            <a:ext uri="{53640926-AAD7-44D8-BBD7-CCE9431645EC}">
                              <a14:shadowObscured xmlns:a14="http://schemas.microsoft.com/office/drawing/2010/main"/>
                            </a:ext>
                          </a:extLst>
                        </pic:spPr>
                      </pic:pic>
                    </wpg:wgp>
                  </a:graphicData>
                </a:graphic>
              </wp:inline>
            </w:drawing>
          </mc:Choice>
          <mc:Fallback>
            <w:pict>
              <v:group id="Groupe 420" o:spid="_x0000_s1026" style="width:340.1pt;height:160.1pt;mso-position-horizontal-relative:char;mso-position-vertical-relative:line" coordsize="43190,2140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">
                <v:shape id="Image 413" o:spid="_x0000_s1027" type="#_x0000_t75" alt="Résultats de recherche d'images pour « lupus érythémateux systémique »" style="position:absolute;left:23832;width:19358;height:21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k3JI3AAAAA3AAAAA8AAABkcnMvZG93bnJldi54bWxEj80KwjAQhO+C7xBW8CKa+oNINYoogteq&#10;CN6WZm2LzaY0UatPbwTB4zAz3zCLVWNK8aDaFZYVDAcRCOLU6oIzBafjrj8D4TyyxtIyKXiRg9Wy&#10;3VpgrO2TE3ocfCYChF2MCnLvq1hKl+Zk0A1sRRy8q60N+iDrTOoanwFuSjmKoqk0WHBYyLGiTU7p&#10;7XA3Cqq76yEWyWU8SyfbjT+e30ljlOp2mvUchKfG/8O/9l4rmAzH8D0TjoBcfg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yTckjcAAAADcAAAADwAAAAAAAAAAAAAAAACfAgAA&#10;ZHJzL2Rvd25yZXYueG1sUEsFBgAAAAAEAAQA9wAAAIwDAAAAAA==&#10;">
                  <v:imagedata r:id="rId75" o:title="Résultats de recherche d'images pour « lupus érythémateux systémique »" croptop="748f" cropbottom="16309f"/>
                  <v:path arrowok="t"/>
                </v:shape>
                <v:shape id="Image 408" o:spid="_x0000_s1028" type="#_x0000_t75" alt="Résultats de recherche d'images pour « purpura henoch schonlein »" style="position:absolute;width:23443;height:21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M4p2rEAAAA3AAAAA8AAABkcnMvZG93bnJldi54bWxET8tqwkAU3Qv+w3AFd82krVhJHUUCbUQq&#10;xQe6vc3cJsHMnZAZTdqv7ywKLg/nPV/2phY3al1lWcFjFIMgzq2uuFBwPLw9zEA4j6yxtkwKfsjB&#10;cjEczDHRtuMd3fa+ECGEXYIKSu+bREqXl2TQRbYhDty3bQ36ANtC6ha7EG5q+RTHU2mw4tBQYkNp&#10;SfllfzUKrvn7OUufD5/6K3tpPrrpafu7OSk1HvWrVxCeen8X/7vXWsEkDmvDmXAE5OI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M4p2rEAAAA3AAAAA8AAAAAAAAAAAAAAAAA&#10;nwIAAGRycy9kb3ducmV2LnhtbFBLBQYAAAAABAAEAPcAAACQAwAAAAA=&#10;">
                  <v:imagedata r:id="rId76" o:title="Résultats de recherche d'images pour « purpura henoch schonlein »" croptop="2599f" cropbottom="4827f" cropleft="9762f" cropright="7944f"/>
                  <v:path arrowok="t"/>
                </v:shape>
                <w10:anchorlock/>
              </v:group>
            </w:pict>
          </mc:Fallback>
        </mc:AlternateContent>
      </w:r>
    </w:p>
    <w:tbl>
      <w:tblPr>
        <w:tblStyle w:val="Grilledutableau"/>
        <w:tblW w:w="0" w:type="auto"/>
        <w:tblLook w:val="04A0" w:firstRow="1" w:lastRow="0" w:firstColumn="1" w:lastColumn="0" w:noHBand="0" w:noVBand="1"/>
      </w:tblPr>
      <w:tblGrid>
        <w:gridCol w:w="4219"/>
        <w:gridCol w:w="6721"/>
      </w:tblGrid>
      <w:tr w:rsidR="00864FE7" w:rsidTr="00863BF3">
        <w:tc>
          <w:tcPr>
            <w:tcW w:w="10940" w:type="dxa"/>
            <w:gridSpan w:val="2"/>
            <w:shd w:val="clear" w:color="auto" w:fill="FFC000"/>
          </w:tcPr>
          <w:p w:rsidR="00864FE7" w:rsidRDefault="00864FE7" w:rsidP="00863BF3">
            <w:pPr>
              <w:pStyle w:val="Sansinterligne"/>
              <w:jc w:val="center"/>
            </w:pPr>
            <w:r>
              <w:t>Syndromes douloureux et autres causes</w:t>
            </w:r>
          </w:p>
        </w:tc>
      </w:tr>
      <w:tr w:rsidR="00864FE7" w:rsidTr="00962606">
        <w:tc>
          <w:tcPr>
            <w:tcW w:w="4219" w:type="dxa"/>
            <w:shd w:val="clear" w:color="auto" w:fill="D6E3BC" w:themeFill="accent3" w:themeFillTint="66"/>
          </w:tcPr>
          <w:p w:rsidR="00864FE7" w:rsidRDefault="00864FE7" w:rsidP="002E3DB9">
            <w:pPr>
              <w:pStyle w:val="Sansinterligne"/>
              <w:jc w:val="center"/>
            </w:pPr>
            <w:r>
              <w:t>Diagnostic</w:t>
            </w:r>
          </w:p>
        </w:tc>
        <w:tc>
          <w:tcPr>
            <w:tcW w:w="6721" w:type="dxa"/>
            <w:shd w:val="clear" w:color="auto" w:fill="D6E3BC" w:themeFill="accent3" w:themeFillTint="66"/>
          </w:tcPr>
          <w:p w:rsidR="00864FE7" w:rsidRDefault="00864FE7" w:rsidP="002E3DB9">
            <w:pPr>
              <w:pStyle w:val="Sansinterligne"/>
              <w:jc w:val="center"/>
            </w:pPr>
            <w:r>
              <w:t>Manifestations cliniques</w:t>
            </w:r>
          </w:p>
        </w:tc>
      </w:tr>
      <w:tr w:rsidR="00864FE7" w:rsidTr="005C4A5E">
        <w:tc>
          <w:tcPr>
            <w:tcW w:w="4219" w:type="dxa"/>
            <w:shd w:val="clear" w:color="auto" w:fill="D6E3BC" w:themeFill="accent3" w:themeFillTint="66"/>
            <w:vAlign w:val="center"/>
          </w:tcPr>
          <w:p w:rsidR="00864FE7" w:rsidRPr="00724AEA" w:rsidRDefault="00864FE7" w:rsidP="00DB195D">
            <w:pPr>
              <w:pStyle w:val="Sansinterligne"/>
              <w:jc w:val="center"/>
              <w:rPr>
                <w:b/>
              </w:rPr>
            </w:pPr>
            <w:r w:rsidRPr="00724AEA">
              <w:rPr>
                <w:b/>
              </w:rPr>
              <w:t>Douleur de croissance</w:t>
            </w:r>
          </w:p>
        </w:tc>
        <w:tc>
          <w:tcPr>
            <w:tcW w:w="6721" w:type="dxa"/>
            <w:shd w:val="clear" w:color="auto" w:fill="FFFF00"/>
          </w:tcPr>
          <w:p w:rsidR="00864FE7" w:rsidRDefault="00DB195D" w:rsidP="002260A3">
            <w:pPr>
              <w:pStyle w:val="Sansinterligne"/>
              <w:numPr>
                <w:ilvl w:val="0"/>
                <w:numId w:val="852"/>
              </w:numPr>
            </w:pPr>
            <w:r>
              <w:t>2-12 ans</w:t>
            </w:r>
          </w:p>
          <w:p w:rsidR="00DB195D" w:rsidRDefault="00DB195D" w:rsidP="002260A3">
            <w:pPr>
              <w:pStyle w:val="Sansinterligne"/>
              <w:numPr>
                <w:ilvl w:val="0"/>
                <w:numId w:val="852"/>
              </w:numPr>
            </w:pPr>
            <w:r>
              <w:t>Diagnostic d’exclusion</w:t>
            </w:r>
          </w:p>
          <w:p w:rsidR="00DB195D" w:rsidRDefault="00DB195D" w:rsidP="002260A3">
            <w:pPr>
              <w:pStyle w:val="Sansinterligne"/>
              <w:numPr>
                <w:ilvl w:val="0"/>
                <w:numId w:val="852"/>
              </w:numPr>
            </w:pPr>
            <w:r>
              <w:t>Douleurs intermittentes, non-articulaires</w:t>
            </w:r>
          </w:p>
          <w:p w:rsidR="00DB195D" w:rsidRDefault="00DB195D" w:rsidP="002260A3">
            <w:pPr>
              <w:pStyle w:val="Sansinterligne"/>
              <w:numPr>
                <w:ilvl w:val="0"/>
                <w:numId w:val="852"/>
              </w:numPr>
            </w:pPr>
            <w:r>
              <w:t>Douleurs nocturnes brèves et bilatérales (mollet, tibia, cuisse)</w:t>
            </w:r>
          </w:p>
          <w:p w:rsidR="00DB195D" w:rsidRDefault="00DB195D" w:rsidP="002260A3">
            <w:pPr>
              <w:pStyle w:val="Sansinterligne"/>
              <w:numPr>
                <w:ilvl w:val="0"/>
                <w:numId w:val="852"/>
              </w:numPr>
            </w:pPr>
            <w:r>
              <w:t>Examen physique normal</w:t>
            </w:r>
          </w:p>
        </w:tc>
      </w:tr>
      <w:tr w:rsidR="00864FE7" w:rsidTr="00962606">
        <w:tc>
          <w:tcPr>
            <w:tcW w:w="4219" w:type="dxa"/>
            <w:shd w:val="clear" w:color="auto" w:fill="D6E3BC" w:themeFill="accent3" w:themeFillTint="66"/>
            <w:vAlign w:val="center"/>
          </w:tcPr>
          <w:p w:rsidR="00864FE7" w:rsidRDefault="00864FE7" w:rsidP="00DB195D">
            <w:pPr>
              <w:pStyle w:val="Sansinterligne"/>
              <w:jc w:val="center"/>
            </w:pPr>
            <w:r>
              <w:t>Fibromyalgie</w:t>
            </w:r>
          </w:p>
        </w:tc>
        <w:tc>
          <w:tcPr>
            <w:tcW w:w="6721" w:type="dxa"/>
          </w:tcPr>
          <w:p w:rsidR="00864FE7" w:rsidRDefault="007A4DDE" w:rsidP="005D429F">
            <w:pPr>
              <w:pStyle w:val="Sansinterligne"/>
              <w:numPr>
                <w:ilvl w:val="0"/>
                <w:numId w:val="877"/>
              </w:numPr>
            </w:pPr>
            <w:r>
              <w:t>Rare</w:t>
            </w:r>
          </w:p>
          <w:p w:rsidR="007A4DDE" w:rsidRDefault="007A4DDE" w:rsidP="005D429F">
            <w:pPr>
              <w:pStyle w:val="Sansinterligne"/>
              <w:numPr>
                <w:ilvl w:val="0"/>
                <w:numId w:val="877"/>
              </w:numPr>
            </w:pPr>
            <w:r>
              <w:t>Douleurs chroniques</w:t>
            </w:r>
          </w:p>
          <w:p w:rsidR="007A4DDE" w:rsidRDefault="007A4DDE" w:rsidP="005D429F">
            <w:pPr>
              <w:pStyle w:val="Sansinterligne"/>
              <w:numPr>
                <w:ilvl w:val="0"/>
                <w:numId w:val="877"/>
              </w:numPr>
            </w:pPr>
            <w:r>
              <w:t xml:space="preserve">Associées à des troubles du sommeil ou des symptômes </w:t>
            </w:r>
            <w:r>
              <w:lastRenderedPageBreak/>
              <w:t>anxiodépressifs</w:t>
            </w:r>
          </w:p>
          <w:p w:rsidR="00962606" w:rsidRDefault="00962606" w:rsidP="005D429F">
            <w:pPr>
              <w:pStyle w:val="Sansinterligne"/>
              <w:numPr>
                <w:ilvl w:val="0"/>
                <w:numId w:val="877"/>
              </w:numPr>
            </w:pPr>
            <w:r>
              <w:t>Diagnostics selon des points douloureux caractéristiques</w:t>
            </w:r>
          </w:p>
        </w:tc>
      </w:tr>
      <w:tr w:rsidR="00864FE7" w:rsidTr="00962606">
        <w:tc>
          <w:tcPr>
            <w:tcW w:w="4219" w:type="dxa"/>
            <w:shd w:val="clear" w:color="auto" w:fill="D6E3BC" w:themeFill="accent3" w:themeFillTint="66"/>
            <w:vAlign w:val="center"/>
          </w:tcPr>
          <w:p w:rsidR="00864FE7" w:rsidRDefault="00864FE7" w:rsidP="00882FBF">
            <w:pPr>
              <w:pStyle w:val="Sansinterligne"/>
              <w:jc w:val="center"/>
            </w:pPr>
            <w:r>
              <w:lastRenderedPageBreak/>
              <w:t>Syndrome douloureux régional complexe</w:t>
            </w:r>
          </w:p>
          <w:p w:rsidR="00864FE7" w:rsidRDefault="00864FE7" w:rsidP="00882FBF">
            <w:pPr>
              <w:pStyle w:val="Sansinterligne"/>
              <w:jc w:val="center"/>
            </w:pPr>
            <w:r>
              <w:t>(CRPS)</w:t>
            </w:r>
          </w:p>
        </w:tc>
        <w:tc>
          <w:tcPr>
            <w:tcW w:w="6721" w:type="dxa"/>
          </w:tcPr>
          <w:p w:rsidR="00864FE7" w:rsidRDefault="00962606" w:rsidP="00F3228F">
            <w:pPr>
              <w:pStyle w:val="Sansinterligne"/>
            </w:pPr>
            <w:r>
              <w:t xml:space="preserve">Voir </w:t>
            </w:r>
            <w:r w:rsidRPr="00962606">
              <w:rPr>
                <w:i/>
              </w:rPr>
              <w:t>Syndrome douloureux régional complexe CMC 67-2-1</w:t>
            </w:r>
          </w:p>
        </w:tc>
      </w:tr>
      <w:tr w:rsidR="00864FE7" w:rsidTr="00962606">
        <w:tc>
          <w:tcPr>
            <w:tcW w:w="4219" w:type="dxa"/>
            <w:shd w:val="clear" w:color="auto" w:fill="D6E3BC" w:themeFill="accent3" w:themeFillTint="66"/>
            <w:vAlign w:val="center"/>
          </w:tcPr>
          <w:p w:rsidR="00864FE7" w:rsidRDefault="00864FE7" w:rsidP="00882FBF">
            <w:pPr>
              <w:pStyle w:val="Sansinterligne"/>
              <w:jc w:val="center"/>
            </w:pPr>
            <w:r>
              <w:t>Tumeurs osseuses</w:t>
            </w:r>
          </w:p>
        </w:tc>
        <w:tc>
          <w:tcPr>
            <w:tcW w:w="6721" w:type="dxa"/>
          </w:tcPr>
          <w:p w:rsidR="00864FE7" w:rsidRDefault="00864FE7" w:rsidP="00F3228F">
            <w:pPr>
              <w:pStyle w:val="Sansinterligne"/>
            </w:pPr>
            <w:r>
              <w:t xml:space="preserve">Voir </w:t>
            </w:r>
            <w:r w:rsidR="00933213">
              <w:rPr>
                <w:i/>
              </w:rPr>
              <w:t>M</w:t>
            </w:r>
            <w:r w:rsidRPr="00933213">
              <w:rPr>
                <w:i/>
              </w:rPr>
              <w:t>asse de l’appareil locomoteur CMC 53</w:t>
            </w:r>
          </w:p>
        </w:tc>
      </w:tr>
    </w:tbl>
    <w:p w:rsidR="00D50376" w:rsidRDefault="00D50376" w:rsidP="00F3228F">
      <w:pPr>
        <w:pStyle w:val="Sansinterligne"/>
      </w:pPr>
    </w:p>
    <w:p w:rsidR="00E709A7" w:rsidRDefault="005C4A5E" w:rsidP="005D429F">
      <w:pPr>
        <w:pStyle w:val="Sansinterligne"/>
        <w:numPr>
          <w:ilvl w:val="0"/>
          <w:numId w:val="878"/>
        </w:numPr>
        <w:rPr>
          <w:lang w:eastAsia="fr-CA"/>
        </w:rPr>
      </w:pPr>
      <w:r>
        <w:rPr>
          <w:lang w:eastAsia="fr-CA"/>
        </w:rPr>
        <w:t>Considérer les douleurs psychogéniques, si aucune pathologie physique identifiée.</w:t>
      </w:r>
    </w:p>
    <w:p w:rsidR="00E709A7" w:rsidRDefault="00E709A7" w:rsidP="00E709A7">
      <w:pPr>
        <w:pStyle w:val="Sansinterligne"/>
        <w:rPr>
          <w:lang w:eastAsia="fr-CA"/>
        </w:rPr>
      </w:pPr>
    </w:p>
    <w:p w:rsidR="00E709A7" w:rsidRDefault="00E709A7" w:rsidP="00E709A7">
      <w:pPr>
        <w:pStyle w:val="Sansinterligne"/>
        <w:rPr>
          <w:b/>
          <w:sz w:val="28"/>
          <w:szCs w:val="28"/>
          <w:lang w:eastAsia="fr-CA"/>
        </w:rPr>
      </w:pPr>
      <w:r w:rsidRPr="001E4DFD">
        <w:rPr>
          <w:b/>
          <w:sz w:val="28"/>
          <w:szCs w:val="28"/>
          <w:lang w:eastAsia="fr-CA"/>
        </w:rPr>
        <w:t>Investigations</w:t>
      </w:r>
    </w:p>
    <w:p w:rsidR="001E4DFD" w:rsidRPr="001E4DFD" w:rsidRDefault="001E4DFD" w:rsidP="00E709A7">
      <w:pPr>
        <w:pStyle w:val="Sansinterligne"/>
        <w:rPr>
          <w:b/>
          <w:sz w:val="28"/>
          <w:szCs w:val="28"/>
          <w:lang w:eastAsia="fr-CA"/>
        </w:rPr>
      </w:pPr>
    </w:p>
    <w:p w:rsidR="00E709A7" w:rsidRDefault="00E709A7" w:rsidP="005D429F">
      <w:pPr>
        <w:pStyle w:val="Sansinterligne"/>
        <w:numPr>
          <w:ilvl w:val="0"/>
          <w:numId w:val="879"/>
        </w:numPr>
        <w:ind w:left="360"/>
        <w:rPr>
          <w:lang w:eastAsia="fr-CA"/>
        </w:rPr>
      </w:pPr>
      <w:r>
        <w:rPr>
          <w:lang w:eastAsia="fr-CA"/>
        </w:rPr>
        <w:t>FSC, hémocultures x 2</w:t>
      </w:r>
      <w:r w:rsidR="005C4A5E">
        <w:rPr>
          <w:lang w:eastAsia="fr-CA"/>
        </w:rPr>
        <w:t xml:space="preserve"> (arthrite septique)</w:t>
      </w:r>
      <w:r>
        <w:rPr>
          <w:lang w:eastAsia="fr-CA"/>
        </w:rPr>
        <w:t>, vitesse de sédime</w:t>
      </w:r>
      <w:r w:rsidR="005C4A5E">
        <w:rPr>
          <w:lang w:eastAsia="fr-CA"/>
        </w:rPr>
        <w:t>ntation ou protéine C-réactive (AJI)</w:t>
      </w:r>
    </w:p>
    <w:p w:rsidR="00982DCC" w:rsidRDefault="00E709A7" w:rsidP="005D429F">
      <w:pPr>
        <w:pStyle w:val="Sansinterligne"/>
        <w:numPr>
          <w:ilvl w:val="0"/>
          <w:numId w:val="879"/>
        </w:numPr>
        <w:ind w:left="360"/>
        <w:rPr>
          <w:lang w:eastAsia="fr-CA"/>
        </w:rPr>
      </w:pPr>
      <w:r>
        <w:rPr>
          <w:lang w:eastAsia="fr-CA"/>
        </w:rPr>
        <w:t xml:space="preserve">Anticorps anti-nucléaires </w:t>
      </w:r>
      <w:r w:rsidR="005C4A5E">
        <w:rPr>
          <w:lang w:eastAsia="fr-CA"/>
        </w:rPr>
        <w:t>(AAN), Facteurs rhumatoïde (FR) (AJI et associées aux MII</w:t>
      </w:r>
      <w:r w:rsidR="00933213">
        <w:rPr>
          <w:lang w:eastAsia="fr-CA"/>
        </w:rPr>
        <w:t>)</w:t>
      </w:r>
    </w:p>
    <w:p w:rsidR="00982DCC" w:rsidRDefault="003116D0" w:rsidP="005D429F">
      <w:pPr>
        <w:pStyle w:val="Sansinterligne"/>
        <w:numPr>
          <w:ilvl w:val="0"/>
          <w:numId w:val="879"/>
        </w:numPr>
        <w:ind w:left="360"/>
        <w:rPr>
          <w:lang w:eastAsia="fr-CA"/>
        </w:rPr>
      </w:pPr>
      <w:r>
        <w:rPr>
          <w:lang w:eastAsia="fr-CA"/>
        </w:rPr>
        <w:t>CK (myosite)</w:t>
      </w:r>
      <w:r w:rsidR="00E709A7">
        <w:rPr>
          <w:lang w:eastAsia="fr-CA"/>
        </w:rPr>
        <w:t xml:space="preserve"> INR, </w:t>
      </w:r>
      <w:r>
        <w:rPr>
          <w:lang w:eastAsia="fr-CA"/>
        </w:rPr>
        <w:t xml:space="preserve">(coagulopathie) </w:t>
      </w:r>
      <w:r w:rsidR="00E709A7">
        <w:rPr>
          <w:lang w:eastAsia="fr-CA"/>
        </w:rPr>
        <w:t xml:space="preserve">SMU-DCA, </w:t>
      </w:r>
      <w:r w:rsidR="005C4A5E">
        <w:rPr>
          <w:lang w:eastAsia="fr-CA"/>
        </w:rPr>
        <w:t>(</w:t>
      </w:r>
      <w:r>
        <w:rPr>
          <w:lang w:eastAsia="fr-CA"/>
        </w:rPr>
        <w:t xml:space="preserve">arthrite réactive à </w:t>
      </w:r>
      <w:r w:rsidR="00933213">
        <w:rPr>
          <w:lang w:eastAsia="fr-CA"/>
        </w:rPr>
        <w:t>streptocoque</w:t>
      </w:r>
      <w:r>
        <w:rPr>
          <w:lang w:eastAsia="fr-CA"/>
        </w:rPr>
        <w:t>, purpura de Henoch-Schönlein)</w:t>
      </w:r>
    </w:p>
    <w:p w:rsidR="00E709A7" w:rsidRPr="003116D0" w:rsidRDefault="00982DCC" w:rsidP="005D429F">
      <w:pPr>
        <w:pStyle w:val="Sansinterligne"/>
        <w:numPr>
          <w:ilvl w:val="0"/>
          <w:numId w:val="880"/>
        </w:numPr>
      </w:pPr>
      <w:r w:rsidRPr="003116D0">
        <w:t>P</w:t>
      </w:r>
      <w:r w:rsidR="00E709A7" w:rsidRPr="003116D0">
        <w:t>onction et analyse de liquide synovial (cult</w:t>
      </w:r>
      <w:r w:rsidR="003116D0">
        <w:t>ure, décompte cellulaire, gram)</w:t>
      </w:r>
    </w:p>
    <w:p w:rsidR="00882FBF" w:rsidRPr="003116D0" w:rsidRDefault="00E709A7" w:rsidP="005D429F">
      <w:pPr>
        <w:pStyle w:val="Sansinterligne"/>
        <w:numPr>
          <w:ilvl w:val="0"/>
          <w:numId w:val="879"/>
        </w:numPr>
        <w:ind w:left="360"/>
        <w:rPr>
          <w:b/>
          <w:lang w:eastAsia="fr-CA"/>
        </w:rPr>
      </w:pPr>
      <w:r w:rsidRPr="003116D0">
        <w:rPr>
          <w:b/>
          <w:lang w:eastAsia="fr-CA"/>
        </w:rPr>
        <w:t>Radiographie oss</w:t>
      </w:r>
      <w:r w:rsidR="00030FAA" w:rsidRPr="003116D0">
        <w:rPr>
          <w:b/>
          <w:lang w:eastAsia="fr-CA"/>
        </w:rPr>
        <w:t>euse</w:t>
      </w:r>
      <w:r w:rsidR="003E5D3C">
        <w:rPr>
          <w:b/>
          <w:lang w:eastAsia="fr-CA"/>
        </w:rPr>
        <w:t>,</w:t>
      </w:r>
      <w:r w:rsidR="00030FAA" w:rsidRPr="003116D0">
        <w:rPr>
          <w:b/>
          <w:lang w:eastAsia="fr-CA"/>
        </w:rPr>
        <w:t xml:space="preserve"> IRM, TDM selon indication</w:t>
      </w:r>
      <w:r w:rsidR="003E5D3C">
        <w:rPr>
          <w:b/>
          <w:lang w:eastAsia="fr-CA"/>
        </w:rPr>
        <w:t xml:space="preserve"> et pour éliminer le DDx</w:t>
      </w:r>
    </w:p>
    <w:p w:rsidR="00882FBF" w:rsidRDefault="00882FBF" w:rsidP="00E709A7">
      <w:pPr>
        <w:pStyle w:val="Sansinterligne"/>
        <w:rPr>
          <w:lang w:eastAsia="fr-CA"/>
        </w:rPr>
      </w:pPr>
    </w:p>
    <w:p w:rsidR="00882FBF" w:rsidRPr="00882FBF" w:rsidRDefault="00882FBF" w:rsidP="00E709A7">
      <w:pPr>
        <w:pStyle w:val="Sansinterligne"/>
        <w:rPr>
          <w:b/>
          <w:sz w:val="28"/>
          <w:szCs w:val="28"/>
          <w:lang w:eastAsia="fr-CA"/>
        </w:rPr>
      </w:pPr>
      <w:r w:rsidRPr="00882FBF">
        <w:rPr>
          <w:b/>
          <w:sz w:val="28"/>
          <w:szCs w:val="28"/>
          <w:lang w:eastAsia="fr-CA"/>
        </w:rPr>
        <w:t>Prise en charge</w:t>
      </w:r>
    </w:p>
    <w:p w:rsidR="00882FBF" w:rsidRDefault="00882FBF" w:rsidP="00E709A7">
      <w:pPr>
        <w:pStyle w:val="Sansinterligne"/>
        <w:rPr>
          <w:lang w:eastAsia="fr-CA"/>
        </w:rPr>
      </w:pPr>
    </w:p>
    <w:p w:rsidR="00FF1860" w:rsidRDefault="00FF1860" w:rsidP="002260A3">
      <w:pPr>
        <w:pStyle w:val="Sansinterligne"/>
        <w:numPr>
          <w:ilvl w:val="0"/>
          <w:numId w:val="861"/>
        </w:numPr>
        <w:ind w:left="360"/>
        <w:rPr>
          <w:b/>
          <w:lang w:eastAsia="fr-CA"/>
        </w:rPr>
        <w:sectPr w:rsidR="00FF1860" w:rsidSect="00540770">
          <w:type w:val="continuous"/>
          <w:pgSz w:w="12240" w:h="15840"/>
          <w:pgMar w:top="720" w:right="720" w:bottom="720" w:left="720" w:header="708" w:footer="708" w:gutter="0"/>
          <w:cols w:space="708"/>
          <w:docGrid w:linePitch="360"/>
        </w:sectPr>
      </w:pPr>
    </w:p>
    <w:p w:rsidR="00882FBF" w:rsidRPr="00EC5A61" w:rsidRDefault="00FF304C" w:rsidP="00FF1860">
      <w:pPr>
        <w:pStyle w:val="Sansinterligne"/>
        <w:rPr>
          <w:b/>
          <w:highlight w:val="yellow"/>
          <w:lang w:eastAsia="fr-CA"/>
        </w:rPr>
      </w:pPr>
      <w:r w:rsidRPr="00EC5A61">
        <w:rPr>
          <w:b/>
          <w:highlight w:val="yellow"/>
          <w:lang w:eastAsia="fr-CA"/>
        </w:rPr>
        <w:lastRenderedPageBreak/>
        <w:t>Arthrite septique</w:t>
      </w:r>
    </w:p>
    <w:p w:rsidR="00FF304C" w:rsidRPr="00EC5A61" w:rsidRDefault="00FF304C" w:rsidP="002260A3">
      <w:pPr>
        <w:pStyle w:val="Sansinterligne"/>
        <w:numPr>
          <w:ilvl w:val="0"/>
          <w:numId w:val="861"/>
        </w:numPr>
        <w:ind w:left="360"/>
        <w:rPr>
          <w:highlight w:val="yellow"/>
          <w:lang w:eastAsia="fr-CA"/>
        </w:rPr>
      </w:pPr>
      <w:r w:rsidRPr="00EC5A61">
        <w:rPr>
          <w:highlight w:val="yellow"/>
          <w:lang w:eastAsia="fr-CA"/>
        </w:rPr>
        <w:t xml:space="preserve">ATB IV empirique </w:t>
      </w:r>
    </w:p>
    <w:p w:rsidR="00FF304C" w:rsidRPr="00EC5A61" w:rsidRDefault="00FF304C" w:rsidP="002260A3">
      <w:pPr>
        <w:pStyle w:val="Sansinterligne"/>
        <w:numPr>
          <w:ilvl w:val="0"/>
          <w:numId w:val="861"/>
        </w:numPr>
        <w:ind w:left="360"/>
        <w:rPr>
          <w:highlight w:val="yellow"/>
          <w:lang w:eastAsia="fr-CA"/>
        </w:rPr>
      </w:pPr>
      <w:r w:rsidRPr="00EC5A61">
        <w:rPr>
          <w:highlight w:val="yellow"/>
          <w:lang w:eastAsia="fr-CA"/>
        </w:rPr>
        <w:t xml:space="preserve">Couvrir </w:t>
      </w:r>
      <w:r w:rsidRPr="00EC5A61">
        <w:rPr>
          <w:i/>
          <w:highlight w:val="yellow"/>
          <w:lang w:eastAsia="fr-CA"/>
        </w:rPr>
        <w:t>S. aureus</w:t>
      </w:r>
      <w:r w:rsidRPr="00EC5A61">
        <w:rPr>
          <w:highlight w:val="yellow"/>
          <w:lang w:eastAsia="fr-CA"/>
        </w:rPr>
        <w:t xml:space="preserve">, </w:t>
      </w:r>
      <w:r w:rsidRPr="00EC5A61">
        <w:rPr>
          <w:i/>
          <w:highlight w:val="yellow"/>
          <w:lang w:eastAsia="fr-CA"/>
        </w:rPr>
        <w:t>S. pneumoniae</w:t>
      </w:r>
      <w:r w:rsidRPr="00EC5A61">
        <w:rPr>
          <w:highlight w:val="yellow"/>
          <w:lang w:eastAsia="fr-CA"/>
        </w:rPr>
        <w:t xml:space="preserve">, les SGA chez l’enfant + le </w:t>
      </w:r>
      <w:r w:rsidRPr="00EC5A61">
        <w:rPr>
          <w:i/>
          <w:highlight w:val="yellow"/>
          <w:lang w:eastAsia="fr-CA"/>
        </w:rPr>
        <w:t>N. gonorroheae</w:t>
      </w:r>
      <w:r w:rsidRPr="00EC5A61">
        <w:rPr>
          <w:highlight w:val="yellow"/>
          <w:lang w:eastAsia="fr-CA"/>
        </w:rPr>
        <w:t xml:space="preserve"> chez l’adolescent</w:t>
      </w:r>
    </w:p>
    <w:p w:rsidR="00FF304C" w:rsidRPr="00EC5A61" w:rsidRDefault="00FF304C" w:rsidP="002260A3">
      <w:pPr>
        <w:pStyle w:val="Sansinterligne"/>
        <w:numPr>
          <w:ilvl w:val="0"/>
          <w:numId w:val="861"/>
        </w:numPr>
        <w:ind w:left="360"/>
        <w:rPr>
          <w:highlight w:val="yellow"/>
          <w:lang w:eastAsia="fr-CA"/>
        </w:rPr>
      </w:pPr>
      <w:r w:rsidRPr="00EC5A61">
        <w:rPr>
          <w:highlight w:val="yellow"/>
          <w:lang w:eastAsia="fr-CA"/>
        </w:rPr>
        <w:t>Cefazoline (Ancef) = bon choix</w:t>
      </w:r>
    </w:p>
    <w:p w:rsidR="00FF304C" w:rsidRPr="00EC5A61" w:rsidRDefault="00FF304C" w:rsidP="002260A3">
      <w:pPr>
        <w:pStyle w:val="Sansinterligne"/>
        <w:numPr>
          <w:ilvl w:val="0"/>
          <w:numId w:val="861"/>
        </w:numPr>
        <w:ind w:left="360"/>
        <w:rPr>
          <w:highlight w:val="yellow"/>
          <w:lang w:eastAsia="fr-CA"/>
        </w:rPr>
      </w:pPr>
      <w:r w:rsidRPr="00EC5A61">
        <w:rPr>
          <w:highlight w:val="yellow"/>
          <w:lang w:eastAsia="fr-CA"/>
        </w:rPr>
        <w:t>Ajuster selon culture/antibiogramme du liquide synovial</w:t>
      </w:r>
    </w:p>
    <w:p w:rsidR="00FF304C" w:rsidRPr="00EC5A61" w:rsidRDefault="00FF304C" w:rsidP="002260A3">
      <w:pPr>
        <w:pStyle w:val="Sansinterligne"/>
        <w:numPr>
          <w:ilvl w:val="0"/>
          <w:numId w:val="861"/>
        </w:numPr>
        <w:ind w:left="360"/>
        <w:rPr>
          <w:highlight w:val="yellow"/>
          <w:lang w:eastAsia="fr-CA"/>
        </w:rPr>
      </w:pPr>
      <w:r w:rsidRPr="00EC5A61">
        <w:rPr>
          <w:highlight w:val="yellow"/>
          <w:lang w:eastAsia="fr-CA"/>
        </w:rPr>
        <w:t>Aspiration (parfois multiples) sur petites articulations</w:t>
      </w:r>
    </w:p>
    <w:p w:rsidR="00FF304C" w:rsidRPr="00EC5A61" w:rsidRDefault="00FF304C" w:rsidP="002260A3">
      <w:pPr>
        <w:pStyle w:val="Sansinterligne"/>
        <w:numPr>
          <w:ilvl w:val="0"/>
          <w:numId w:val="861"/>
        </w:numPr>
        <w:ind w:left="360"/>
        <w:rPr>
          <w:highlight w:val="yellow"/>
          <w:lang w:eastAsia="fr-CA"/>
        </w:rPr>
      </w:pPr>
      <w:r w:rsidRPr="00EC5A61">
        <w:rPr>
          <w:highlight w:val="yellow"/>
          <w:lang w:eastAsia="fr-CA"/>
        </w:rPr>
        <w:t>Drainage chirurgical urgent sur hanche, genou, épaule.</w:t>
      </w:r>
    </w:p>
    <w:p w:rsidR="00882FBF" w:rsidRPr="000D1964" w:rsidRDefault="00882FBF" w:rsidP="00FF1860">
      <w:pPr>
        <w:pStyle w:val="Sansinterligne"/>
      </w:pPr>
    </w:p>
    <w:p w:rsidR="00882FBF" w:rsidRPr="00FF1860" w:rsidRDefault="000D1964" w:rsidP="00FF1860">
      <w:pPr>
        <w:pStyle w:val="Sansinterligne"/>
        <w:rPr>
          <w:b/>
        </w:rPr>
      </w:pPr>
      <w:r w:rsidRPr="00FF1860">
        <w:rPr>
          <w:b/>
        </w:rPr>
        <w:t>Arthrite virale</w:t>
      </w:r>
    </w:p>
    <w:p w:rsidR="000D1964" w:rsidRDefault="000D1964" w:rsidP="002260A3">
      <w:pPr>
        <w:pStyle w:val="Sansinterligne"/>
        <w:numPr>
          <w:ilvl w:val="0"/>
          <w:numId w:val="861"/>
        </w:numPr>
        <w:ind w:left="360"/>
      </w:pPr>
      <w:r w:rsidRPr="000D1964">
        <w:t>Acétaminophène ± AINS ad résolution</w:t>
      </w:r>
    </w:p>
    <w:p w:rsidR="00A61B4C" w:rsidRDefault="00A61B4C" w:rsidP="00FF1860">
      <w:pPr>
        <w:pStyle w:val="Sansinterligne"/>
      </w:pPr>
    </w:p>
    <w:p w:rsidR="00B825E2" w:rsidRPr="00EC5A61" w:rsidRDefault="00B825E2" w:rsidP="00FF1860">
      <w:pPr>
        <w:pStyle w:val="Sansinterligne"/>
        <w:rPr>
          <w:b/>
          <w:highlight w:val="yellow"/>
        </w:rPr>
      </w:pPr>
      <w:r w:rsidRPr="00EC5A61">
        <w:rPr>
          <w:b/>
          <w:highlight w:val="yellow"/>
        </w:rPr>
        <w:t>Arthrite réactive</w:t>
      </w:r>
    </w:p>
    <w:p w:rsidR="00B825E2" w:rsidRPr="00EC5A61" w:rsidRDefault="00B825E2" w:rsidP="002260A3">
      <w:pPr>
        <w:pStyle w:val="Sansinterligne"/>
        <w:numPr>
          <w:ilvl w:val="0"/>
          <w:numId w:val="861"/>
        </w:numPr>
        <w:ind w:left="360"/>
        <w:rPr>
          <w:highlight w:val="yellow"/>
        </w:rPr>
      </w:pPr>
      <w:r w:rsidRPr="00EC5A61">
        <w:rPr>
          <w:highlight w:val="yellow"/>
        </w:rPr>
        <w:t>Généralement résolution spontanée en quelques semaines</w:t>
      </w:r>
    </w:p>
    <w:p w:rsidR="00B825E2" w:rsidRPr="00EC5A61" w:rsidRDefault="00B825E2" w:rsidP="002260A3">
      <w:pPr>
        <w:pStyle w:val="Sansinterligne"/>
        <w:numPr>
          <w:ilvl w:val="0"/>
          <w:numId w:val="861"/>
        </w:numPr>
        <w:ind w:left="360"/>
        <w:rPr>
          <w:highlight w:val="yellow"/>
        </w:rPr>
      </w:pPr>
      <w:r w:rsidRPr="00EC5A61">
        <w:rPr>
          <w:highlight w:val="yellow"/>
        </w:rPr>
        <w:t>AINS PRN</w:t>
      </w:r>
    </w:p>
    <w:p w:rsidR="00B825E2" w:rsidRDefault="00B825E2" w:rsidP="00FF1860">
      <w:pPr>
        <w:pStyle w:val="Sansinterligne"/>
      </w:pPr>
    </w:p>
    <w:p w:rsidR="00B825E2" w:rsidRPr="00FF1860" w:rsidRDefault="00B825E2" w:rsidP="00FF1860">
      <w:pPr>
        <w:pStyle w:val="Sansinterligne"/>
        <w:rPr>
          <w:b/>
        </w:rPr>
      </w:pPr>
      <w:r w:rsidRPr="00FF1860">
        <w:rPr>
          <w:b/>
        </w:rPr>
        <w:t>Synovite transitoire de la hanche</w:t>
      </w:r>
    </w:p>
    <w:p w:rsidR="00B825E2" w:rsidRPr="00EC5A61" w:rsidRDefault="00B0566D" w:rsidP="002260A3">
      <w:pPr>
        <w:pStyle w:val="Sansinterligne"/>
        <w:numPr>
          <w:ilvl w:val="0"/>
          <w:numId w:val="861"/>
        </w:numPr>
        <w:ind w:left="360"/>
        <w:rPr>
          <w:highlight w:val="yellow"/>
        </w:rPr>
      </w:pPr>
      <w:r w:rsidRPr="00EC5A61">
        <w:rPr>
          <w:highlight w:val="yellow"/>
        </w:rPr>
        <w:t>Résolution en quelques jours/semaines.</w:t>
      </w:r>
    </w:p>
    <w:p w:rsidR="00B0566D" w:rsidRPr="00EC5A61" w:rsidRDefault="00B0566D" w:rsidP="002260A3">
      <w:pPr>
        <w:pStyle w:val="Sansinterligne"/>
        <w:numPr>
          <w:ilvl w:val="0"/>
          <w:numId w:val="861"/>
        </w:numPr>
        <w:ind w:left="360"/>
        <w:rPr>
          <w:highlight w:val="yellow"/>
        </w:rPr>
      </w:pPr>
      <w:r w:rsidRPr="00EC5A61">
        <w:rPr>
          <w:highlight w:val="yellow"/>
        </w:rPr>
        <w:t>Acétaminophène, AINS</w:t>
      </w:r>
    </w:p>
    <w:p w:rsidR="00B0566D" w:rsidRPr="00EC5A61" w:rsidRDefault="00B0566D" w:rsidP="002260A3">
      <w:pPr>
        <w:pStyle w:val="Sansinterligne"/>
        <w:numPr>
          <w:ilvl w:val="0"/>
          <w:numId w:val="861"/>
        </w:numPr>
        <w:ind w:left="360"/>
        <w:rPr>
          <w:highlight w:val="yellow"/>
        </w:rPr>
      </w:pPr>
      <w:r w:rsidRPr="00EC5A61">
        <w:rPr>
          <w:highlight w:val="yellow"/>
        </w:rPr>
        <w:t>Mise en traction si AINS insuffisants après quelques jours</w:t>
      </w:r>
    </w:p>
    <w:p w:rsidR="00B0566D" w:rsidRPr="00EC5A61" w:rsidRDefault="00B0566D" w:rsidP="002260A3">
      <w:pPr>
        <w:pStyle w:val="Sansinterligne"/>
        <w:numPr>
          <w:ilvl w:val="0"/>
          <w:numId w:val="861"/>
        </w:numPr>
        <w:ind w:left="360"/>
        <w:rPr>
          <w:highlight w:val="yellow"/>
          <w:u w:val="single"/>
        </w:rPr>
      </w:pPr>
      <w:r w:rsidRPr="00EC5A61">
        <w:rPr>
          <w:highlight w:val="yellow"/>
          <w:u w:val="single"/>
        </w:rPr>
        <w:t xml:space="preserve">Radiographie de contrôle de la hanche 3 mois post-STH </w:t>
      </w:r>
      <w:r w:rsidRPr="00EC5A61">
        <w:rPr>
          <w:rFonts w:ascii="Century Gothic" w:hAnsi="Century Gothic"/>
          <w:highlight w:val="yellow"/>
          <w:u w:val="single"/>
        </w:rPr>
        <w:t>→</w:t>
      </w:r>
      <w:r w:rsidRPr="00EC5A61">
        <w:rPr>
          <w:highlight w:val="yellow"/>
          <w:u w:val="single"/>
        </w:rPr>
        <w:t xml:space="preserve"> éliminer Legg-Calvé-Perthès</w:t>
      </w:r>
    </w:p>
    <w:p w:rsidR="00B825E2" w:rsidRDefault="00B825E2" w:rsidP="00FF1860">
      <w:pPr>
        <w:pStyle w:val="Sansinterligne"/>
      </w:pPr>
    </w:p>
    <w:p w:rsidR="00B0566D" w:rsidRPr="00FF1860" w:rsidRDefault="00B825E2" w:rsidP="00FF1860">
      <w:pPr>
        <w:pStyle w:val="Sansinterligne"/>
        <w:rPr>
          <w:b/>
        </w:rPr>
      </w:pPr>
      <w:r w:rsidRPr="00FF1860">
        <w:rPr>
          <w:b/>
        </w:rPr>
        <w:t>Maladie de Lyme</w:t>
      </w:r>
    </w:p>
    <w:p w:rsidR="007A4DDE" w:rsidRDefault="007A4DDE" w:rsidP="002260A3">
      <w:pPr>
        <w:pStyle w:val="Sansinterligne"/>
        <w:numPr>
          <w:ilvl w:val="0"/>
          <w:numId w:val="861"/>
        </w:numPr>
        <w:ind w:left="360"/>
      </w:pPr>
      <w:r>
        <w:t>Cefuroxime 30 mg/kg (max 500), en 2 doses x 20 jours OU</w:t>
      </w:r>
    </w:p>
    <w:p w:rsidR="007A4DDE" w:rsidRDefault="007A4DDE" w:rsidP="002260A3">
      <w:pPr>
        <w:pStyle w:val="Sansinterligne"/>
        <w:numPr>
          <w:ilvl w:val="0"/>
          <w:numId w:val="861"/>
        </w:numPr>
        <w:ind w:left="360"/>
      </w:pPr>
      <w:r>
        <w:t xml:space="preserve">Doxycycline 2 mg/kg (max 100) BID x 14 jours si enfant </w:t>
      </w:r>
      <w:r>
        <w:rPr>
          <w:rFonts w:ascii="Century Gothic" w:hAnsi="Century Gothic" w:cs="Times New Roman"/>
        </w:rPr>
        <w:t>&gt;</w:t>
      </w:r>
      <w:r>
        <w:t xml:space="preserve"> 8 ans seulement)</w:t>
      </w:r>
    </w:p>
    <w:p w:rsidR="00DB195D" w:rsidRDefault="00A67394" w:rsidP="002260A3">
      <w:pPr>
        <w:pStyle w:val="Sansinterligne"/>
        <w:numPr>
          <w:ilvl w:val="0"/>
          <w:numId w:val="861"/>
        </w:numPr>
        <w:ind w:left="360"/>
      </w:pPr>
      <w:r>
        <w:t>Déclaration à la santé publique (MADO)</w:t>
      </w:r>
    </w:p>
    <w:p w:rsidR="00EC5A61" w:rsidRDefault="00EC5A61" w:rsidP="00EC5A61">
      <w:pPr>
        <w:pStyle w:val="Sansinterligne"/>
        <w:ind w:left="360"/>
      </w:pPr>
    </w:p>
    <w:p w:rsidR="000B360A" w:rsidRPr="00EC5A61" w:rsidRDefault="000B360A" w:rsidP="00FF1860">
      <w:pPr>
        <w:pStyle w:val="Sansinterligne"/>
        <w:rPr>
          <w:b/>
          <w:highlight w:val="yellow"/>
        </w:rPr>
      </w:pPr>
      <w:r w:rsidRPr="00EC5A61">
        <w:rPr>
          <w:b/>
          <w:highlight w:val="yellow"/>
        </w:rPr>
        <w:lastRenderedPageBreak/>
        <w:t>Nécrose avasculaire de la tête fémorale (Maladie de Legg-Calvé-Perthès)</w:t>
      </w:r>
    </w:p>
    <w:p w:rsidR="000B360A" w:rsidRPr="00EC5A61" w:rsidRDefault="000B360A" w:rsidP="002260A3">
      <w:pPr>
        <w:pStyle w:val="Sansinterligne"/>
        <w:numPr>
          <w:ilvl w:val="0"/>
          <w:numId w:val="861"/>
        </w:numPr>
        <w:ind w:left="360"/>
        <w:rPr>
          <w:highlight w:val="yellow"/>
        </w:rPr>
      </w:pPr>
      <w:r w:rsidRPr="00EC5A61">
        <w:rPr>
          <w:highlight w:val="yellow"/>
        </w:rPr>
        <w:t xml:space="preserve">Mise au repos avec traction </w:t>
      </w:r>
      <w:r w:rsidRPr="00EC5A61">
        <w:rPr>
          <w:rFonts w:cs="Times New Roman"/>
          <w:highlight w:val="yellow"/>
        </w:rPr>
        <w:t>±</w:t>
      </w:r>
      <w:r w:rsidRPr="00EC5A61">
        <w:rPr>
          <w:highlight w:val="yellow"/>
        </w:rPr>
        <w:t xml:space="preserve"> béquilles</w:t>
      </w:r>
    </w:p>
    <w:p w:rsidR="000B360A" w:rsidRPr="00EC5A61" w:rsidRDefault="000B360A" w:rsidP="002260A3">
      <w:pPr>
        <w:pStyle w:val="Sansinterligne"/>
        <w:numPr>
          <w:ilvl w:val="0"/>
          <w:numId w:val="861"/>
        </w:numPr>
        <w:ind w:left="360"/>
        <w:rPr>
          <w:highlight w:val="yellow"/>
        </w:rPr>
      </w:pPr>
      <w:r w:rsidRPr="00EC5A61">
        <w:rPr>
          <w:highlight w:val="yellow"/>
        </w:rPr>
        <w:t>Mise en abduction passive (plâtre, orthèse, chirurgie)</w:t>
      </w:r>
    </w:p>
    <w:p w:rsidR="000B360A" w:rsidRPr="00EC5A61" w:rsidRDefault="000B360A" w:rsidP="002260A3">
      <w:pPr>
        <w:pStyle w:val="Sansinterligne"/>
        <w:numPr>
          <w:ilvl w:val="0"/>
          <w:numId w:val="861"/>
        </w:numPr>
        <w:ind w:left="360"/>
        <w:rPr>
          <w:highlight w:val="yellow"/>
        </w:rPr>
      </w:pPr>
      <w:r w:rsidRPr="00EC5A61">
        <w:rPr>
          <w:highlight w:val="yellow"/>
        </w:rPr>
        <w:t>Physiothérapie essentielle</w:t>
      </w:r>
    </w:p>
    <w:p w:rsidR="000B360A" w:rsidRPr="00EC5A61" w:rsidRDefault="000B360A" w:rsidP="002260A3">
      <w:pPr>
        <w:pStyle w:val="Sansinterligne"/>
        <w:numPr>
          <w:ilvl w:val="0"/>
          <w:numId w:val="861"/>
        </w:numPr>
        <w:ind w:left="360"/>
        <w:rPr>
          <w:highlight w:val="yellow"/>
        </w:rPr>
      </w:pPr>
      <w:r w:rsidRPr="00EC5A61">
        <w:rPr>
          <w:highlight w:val="yellow"/>
        </w:rPr>
        <w:t>AINS</w:t>
      </w:r>
    </w:p>
    <w:p w:rsidR="000B360A" w:rsidRPr="00EC5A61" w:rsidRDefault="000B360A" w:rsidP="002260A3">
      <w:pPr>
        <w:pStyle w:val="Sansinterligne"/>
        <w:numPr>
          <w:ilvl w:val="0"/>
          <w:numId w:val="861"/>
        </w:numPr>
        <w:ind w:left="360"/>
        <w:rPr>
          <w:highlight w:val="yellow"/>
        </w:rPr>
      </w:pPr>
      <w:r w:rsidRPr="00EC5A61">
        <w:rPr>
          <w:highlight w:val="yellow"/>
        </w:rPr>
        <w:t>Référence en orthopédie importante</w:t>
      </w:r>
    </w:p>
    <w:p w:rsidR="002E3DB9" w:rsidRDefault="002E3DB9" w:rsidP="00FF1860">
      <w:pPr>
        <w:pStyle w:val="Sansinterligne"/>
      </w:pPr>
    </w:p>
    <w:p w:rsidR="002E3DB9" w:rsidRPr="00FF1860" w:rsidRDefault="002E3DB9" w:rsidP="00FF1860">
      <w:pPr>
        <w:pStyle w:val="Sansinterligne"/>
        <w:rPr>
          <w:b/>
        </w:rPr>
      </w:pPr>
      <w:r w:rsidRPr="00FF1860">
        <w:rPr>
          <w:b/>
        </w:rPr>
        <w:t>Glissement de l’épiphyse fémorale</w:t>
      </w:r>
    </w:p>
    <w:p w:rsidR="002E3DB9" w:rsidRDefault="002E3DB9" w:rsidP="002260A3">
      <w:pPr>
        <w:pStyle w:val="Sansinterligne"/>
        <w:numPr>
          <w:ilvl w:val="0"/>
          <w:numId w:val="861"/>
        </w:numPr>
        <w:ind w:left="360"/>
      </w:pPr>
      <w:r>
        <w:t>Référence en orthopédie</w:t>
      </w:r>
    </w:p>
    <w:p w:rsidR="008A2841" w:rsidRDefault="002E3DB9" w:rsidP="002260A3">
      <w:pPr>
        <w:pStyle w:val="Sansinterligne"/>
        <w:numPr>
          <w:ilvl w:val="0"/>
          <w:numId w:val="861"/>
        </w:numPr>
        <w:ind w:left="360"/>
      </w:pPr>
      <w:r>
        <w:t>Réparation chirurgicale</w:t>
      </w:r>
    </w:p>
    <w:p w:rsidR="008A2841" w:rsidRDefault="008A2841" w:rsidP="00FF1860">
      <w:pPr>
        <w:pStyle w:val="Sansinterligne"/>
      </w:pPr>
    </w:p>
    <w:p w:rsidR="002E3DB9" w:rsidRPr="00FF1860" w:rsidRDefault="002E3DB9" w:rsidP="00FF1860">
      <w:pPr>
        <w:pStyle w:val="Sansinterligne"/>
        <w:rPr>
          <w:b/>
        </w:rPr>
      </w:pPr>
      <w:r w:rsidRPr="00FF1860">
        <w:rPr>
          <w:b/>
        </w:rPr>
        <w:t>Syndrome fémoropatellaire</w:t>
      </w:r>
    </w:p>
    <w:p w:rsidR="002E3DB9" w:rsidRDefault="002E3DB9" w:rsidP="002260A3">
      <w:pPr>
        <w:pStyle w:val="Sansinterligne"/>
        <w:numPr>
          <w:ilvl w:val="0"/>
          <w:numId w:val="861"/>
        </w:numPr>
        <w:ind w:left="360"/>
      </w:pPr>
      <w:r>
        <w:t>Programme de renforcement musculaire / physiothérapie</w:t>
      </w:r>
    </w:p>
    <w:p w:rsidR="002E3DB9" w:rsidRDefault="002E3DB9" w:rsidP="002260A3">
      <w:pPr>
        <w:pStyle w:val="Sansinterligne"/>
        <w:numPr>
          <w:ilvl w:val="0"/>
          <w:numId w:val="861"/>
        </w:numPr>
        <w:ind w:left="360"/>
      </w:pPr>
      <w:r>
        <w:t>Orthèse (immobilisation de la rotule)</w:t>
      </w:r>
    </w:p>
    <w:p w:rsidR="002E3DB9" w:rsidRDefault="002E3DB9" w:rsidP="002260A3">
      <w:pPr>
        <w:pStyle w:val="Sansinterligne"/>
        <w:numPr>
          <w:ilvl w:val="0"/>
          <w:numId w:val="861"/>
        </w:numPr>
        <w:ind w:left="360"/>
      </w:pPr>
      <w:r>
        <w:rPr>
          <w:rFonts w:cs="Times New Roman"/>
        </w:rPr>
        <w:t>↓</w:t>
      </w:r>
      <w:r>
        <w:t xml:space="preserve"> activités occasionnellement</w:t>
      </w:r>
    </w:p>
    <w:p w:rsidR="000B360A" w:rsidRDefault="000B360A" w:rsidP="00FF1860">
      <w:pPr>
        <w:pStyle w:val="Sansinterligne"/>
      </w:pPr>
    </w:p>
    <w:p w:rsidR="00357FD3" w:rsidRPr="00EC5A61" w:rsidRDefault="00357FD3" w:rsidP="00FF1860">
      <w:pPr>
        <w:pStyle w:val="Sansinterligne"/>
        <w:rPr>
          <w:b/>
          <w:highlight w:val="yellow"/>
        </w:rPr>
      </w:pPr>
      <w:r w:rsidRPr="00EC5A61">
        <w:rPr>
          <w:b/>
          <w:highlight w:val="yellow"/>
        </w:rPr>
        <w:t>Maladie d’Osgood-Schlatter</w:t>
      </w:r>
    </w:p>
    <w:p w:rsidR="00357FD3" w:rsidRPr="00EC5A61" w:rsidRDefault="00357FD3" w:rsidP="002260A3">
      <w:pPr>
        <w:pStyle w:val="Sansinterligne"/>
        <w:numPr>
          <w:ilvl w:val="0"/>
          <w:numId w:val="861"/>
        </w:numPr>
        <w:ind w:left="360"/>
        <w:rPr>
          <w:highlight w:val="yellow"/>
        </w:rPr>
      </w:pPr>
      <w:r w:rsidRPr="00EC5A61">
        <w:rPr>
          <w:highlight w:val="yellow"/>
        </w:rPr>
        <w:t>AINS, repos, renforcement musculaire</w:t>
      </w:r>
    </w:p>
    <w:p w:rsidR="00357FD3" w:rsidRPr="00EC5A61" w:rsidRDefault="00357FD3" w:rsidP="002260A3">
      <w:pPr>
        <w:pStyle w:val="Sansinterligne"/>
        <w:numPr>
          <w:ilvl w:val="0"/>
          <w:numId w:val="861"/>
        </w:numPr>
        <w:ind w:left="360"/>
        <w:rPr>
          <w:highlight w:val="yellow"/>
        </w:rPr>
      </w:pPr>
      <w:r w:rsidRPr="00EC5A61">
        <w:rPr>
          <w:highlight w:val="yellow"/>
        </w:rPr>
        <w:t>Limiter les activités de sauts ou de courses d’endurance (ex : vélo, basketball, 2000 m)</w:t>
      </w:r>
    </w:p>
    <w:p w:rsidR="00357FD3" w:rsidRPr="00EC5A61" w:rsidRDefault="00357FD3" w:rsidP="002260A3">
      <w:pPr>
        <w:pStyle w:val="Sansinterligne"/>
        <w:numPr>
          <w:ilvl w:val="0"/>
          <w:numId w:val="861"/>
        </w:numPr>
        <w:ind w:left="360"/>
        <w:rPr>
          <w:highlight w:val="yellow"/>
        </w:rPr>
      </w:pPr>
      <w:r w:rsidRPr="00EC5A61">
        <w:rPr>
          <w:highlight w:val="yellow"/>
        </w:rPr>
        <w:t>Se résout avec la fin de la croissance</w:t>
      </w:r>
    </w:p>
    <w:p w:rsidR="001E0E89" w:rsidRDefault="001E0E89" w:rsidP="00FF1860">
      <w:pPr>
        <w:pStyle w:val="Sansinterligne"/>
      </w:pPr>
    </w:p>
    <w:p w:rsidR="001E0E89" w:rsidRPr="00FF1860" w:rsidRDefault="001E0E89" w:rsidP="00FF1860">
      <w:pPr>
        <w:pStyle w:val="Sansinterligne"/>
        <w:rPr>
          <w:b/>
        </w:rPr>
      </w:pPr>
      <w:r w:rsidRPr="00FF1860">
        <w:rPr>
          <w:b/>
        </w:rPr>
        <w:t>Ostéochondrite disséquante</w:t>
      </w:r>
    </w:p>
    <w:p w:rsidR="001E0E89" w:rsidRDefault="001E0E89" w:rsidP="002260A3">
      <w:pPr>
        <w:pStyle w:val="Sansinterligne"/>
        <w:numPr>
          <w:ilvl w:val="0"/>
          <w:numId w:val="861"/>
        </w:numPr>
        <w:ind w:left="360"/>
      </w:pPr>
      <w:r>
        <w:t>Limiter la mise en charge (béquille)</w:t>
      </w:r>
    </w:p>
    <w:p w:rsidR="001E0E89" w:rsidRDefault="001E0E89" w:rsidP="002260A3">
      <w:pPr>
        <w:pStyle w:val="Sansinterligne"/>
        <w:numPr>
          <w:ilvl w:val="0"/>
          <w:numId w:val="861"/>
        </w:numPr>
        <w:ind w:left="360"/>
      </w:pPr>
      <w:r>
        <w:t>Référence en orthopédie</w:t>
      </w:r>
    </w:p>
    <w:p w:rsidR="001E0E89" w:rsidRDefault="001E0E89" w:rsidP="002260A3">
      <w:pPr>
        <w:pStyle w:val="Sansinterligne"/>
        <w:numPr>
          <w:ilvl w:val="0"/>
          <w:numId w:val="861"/>
        </w:numPr>
        <w:ind w:left="360"/>
      </w:pPr>
      <w:r>
        <w:t>Suivi radiographique pendant la croissance</w:t>
      </w:r>
    </w:p>
    <w:p w:rsidR="001E0E89" w:rsidRDefault="001E0E89" w:rsidP="002260A3">
      <w:pPr>
        <w:pStyle w:val="Sansinterligne"/>
        <w:numPr>
          <w:ilvl w:val="0"/>
          <w:numId w:val="861"/>
        </w:numPr>
        <w:ind w:left="360"/>
      </w:pPr>
      <w:r>
        <w:t xml:space="preserve">Cure de lésion </w:t>
      </w:r>
      <w:r>
        <w:rPr>
          <w:rFonts w:cs="Times New Roman"/>
        </w:rPr>
        <w:t>±</w:t>
      </w:r>
      <w:r>
        <w:t xml:space="preserve"> greffe ostéocartilagineuse PRN</w:t>
      </w:r>
    </w:p>
    <w:p w:rsidR="00357FD3" w:rsidRDefault="00357FD3" w:rsidP="00FF1860">
      <w:pPr>
        <w:pStyle w:val="Sansinterligne"/>
      </w:pPr>
    </w:p>
    <w:p w:rsidR="000D2D71" w:rsidRPr="00FF1860" w:rsidRDefault="000D2D71" w:rsidP="00FF1860">
      <w:pPr>
        <w:pStyle w:val="Sansinterligne"/>
        <w:rPr>
          <w:b/>
        </w:rPr>
      </w:pPr>
      <w:r w:rsidRPr="00FF1860">
        <w:rPr>
          <w:b/>
        </w:rPr>
        <w:t>Ostéochondroses (dépasse les objectifs)</w:t>
      </w:r>
    </w:p>
    <w:p w:rsidR="000D2D71" w:rsidRDefault="000D2D71" w:rsidP="002260A3">
      <w:pPr>
        <w:pStyle w:val="Sansinterligne"/>
        <w:numPr>
          <w:ilvl w:val="0"/>
          <w:numId w:val="861"/>
        </w:numPr>
        <w:ind w:left="360"/>
      </w:pPr>
      <w:r>
        <w:t>Essentiellement repos, orthèses/immobilisation plâtrée</w:t>
      </w:r>
    </w:p>
    <w:p w:rsidR="000D2D71" w:rsidRDefault="000D2D71" w:rsidP="00FF1860">
      <w:pPr>
        <w:pStyle w:val="Sansinterligne"/>
      </w:pPr>
    </w:p>
    <w:p w:rsidR="00F609CC" w:rsidRPr="00FF1860" w:rsidRDefault="00F609CC" w:rsidP="00FF1860">
      <w:pPr>
        <w:pStyle w:val="Sansinterligne"/>
        <w:rPr>
          <w:b/>
        </w:rPr>
      </w:pPr>
      <w:r w:rsidRPr="00FF1860">
        <w:rPr>
          <w:b/>
        </w:rPr>
        <w:t>Hyperlaxité ligamentaire</w:t>
      </w:r>
    </w:p>
    <w:p w:rsidR="00F609CC" w:rsidRDefault="00F609CC" w:rsidP="002260A3">
      <w:pPr>
        <w:pStyle w:val="Sansinterligne"/>
        <w:numPr>
          <w:ilvl w:val="0"/>
          <w:numId w:val="861"/>
        </w:numPr>
        <w:ind w:left="360"/>
      </w:pPr>
      <w:r>
        <w:t>Programme de renforcement musculaire des MI</w:t>
      </w:r>
    </w:p>
    <w:p w:rsidR="00F609CC" w:rsidRDefault="00F609CC" w:rsidP="002260A3">
      <w:pPr>
        <w:pStyle w:val="Sansinterligne"/>
        <w:numPr>
          <w:ilvl w:val="0"/>
          <w:numId w:val="861"/>
        </w:numPr>
        <w:ind w:left="360"/>
      </w:pPr>
      <w:r>
        <w:t>Orthèses dans les chaussures</w:t>
      </w:r>
    </w:p>
    <w:p w:rsidR="000964A4" w:rsidRPr="00EC5A61" w:rsidRDefault="000964A4" w:rsidP="00FF1860">
      <w:pPr>
        <w:pStyle w:val="Sansinterligne"/>
        <w:rPr>
          <w:b/>
          <w:highlight w:val="yellow"/>
        </w:rPr>
      </w:pPr>
      <w:r w:rsidRPr="00EC5A61">
        <w:rPr>
          <w:b/>
          <w:highlight w:val="yellow"/>
        </w:rPr>
        <w:lastRenderedPageBreak/>
        <w:t>Arthrite idiopathique juvénile</w:t>
      </w:r>
    </w:p>
    <w:p w:rsidR="000964A4" w:rsidRPr="00EC5A61" w:rsidRDefault="000964A4" w:rsidP="002260A3">
      <w:pPr>
        <w:pStyle w:val="Sansinterligne"/>
        <w:numPr>
          <w:ilvl w:val="0"/>
          <w:numId w:val="867"/>
        </w:numPr>
        <w:rPr>
          <w:highlight w:val="yellow"/>
        </w:rPr>
      </w:pPr>
      <w:r w:rsidRPr="00EC5A61">
        <w:rPr>
          <w:highlight w:val="yellow"/>
        </w:rPr>
        <w:t>Référence en rhumatologie pédiatrique</w:t>
      </w:r>
    </w:p>
    <w:p w:rsidR="000964A4" w:rsidRPr="00EC5A61" w:rsidRDefault="000964A4" w:rsidP="002260A3">
      <w:pPr>
        <w:pStyle w:val="Sansinterligne"/>
        <w:numPr>
          <w:ilvl w:val="0"/>
          <w:numId w:val="867"/>
        </w:numPr>
        <w:rPr>
          <w:highlight w:val="yellow"/>
        </w:rPr>
      </w:pPr>
      <w:r w:rsidRPr="00EC5A61">
        <w:rPr>
          <w:highlight w:val="yellow"/>
        </w:rPr>
        <w:t>Équipe multidisciplinaire</w:t>
      </w:r>
    </w:p>
    <w:p w:rsidR="00370434" w:rsidRPr="00EC5A61" w:rsidRDefault="00370434" w:rsidP="002260A3">
      <w:pPr>
        <w:pStyle w:val="Sansinterligne"/>
        <w:numPr>
          <w:ilvl w:val="0"/>
          <w:numId w:val="867"/>
        </w:numPr>
        <w:rPr>
          <w:highlight w:val="yellow"/>
        </w:rPr>
      </w:pPr>
      <w:r w:rsidRPr="00EC5A61">
        <w:rPr>
          <w:highlight w:val="yellow"/>
        </w:rPr>
        <w:t>Physiothérapie</w:t>
      </w:r>
      <w:r w:rsidR="00E11109" w:rsidRPr="00EC5A61">
        <w:rPr>
          <w:highlight w:val="yellow"/>
        </w:rPr>
        <w:t xml:space="preserve"> et ergothérapie et orthèses</w:t>
      </w:r>
    </w:p>
    <w:p w:rsidR="000964A4" w:rsidRPr="00EC5A61" w:rsidRDefault="000964A4" w:rsidP="002260A3">
      <w:pPr>
        <w:pStyle w:val="Sansinterligne"/>
        <w:numPr>
          <w:ilvl w:val="0"/>
          <w:numId w:val="867"/>
        </w:numPr>
        <w:rPr>
          <w:highlight w:val="yellow"/>
        </w:rPr>
      </w:pPr>
      <w:r w:rsidRPr="00EC5A61">
        <w:rPr>
          <w:highlight w:val="yellow"/>
        </w:rPr>
        <w:t>AINS</w:t>
      </w:r>
      <w:r w:rsidR="00370434" w:rsidRPr="00EC5A61">
        <w:rPr>
          <w:highlight w:val="yellow"/>
        </w:rPr>
        <w:t xml:space="preserve"> </w:t>
      </w:r>
      <w:r w:rsidR="00370434" w:rsidRPr="00EC5A61">
        <w:rPr>
          <w:rFonts w:cs="Times New Roman"/>
          <w:highlight w:val="yellow"/>
        </w:rPr>
        <w:t>±</w:t>
      </w:r>
      <w:r w:rsidR="00370434" w:rsidRPr="00EC5A61">
        <w:rPr>
          <w:highlight w:val="yellow"/>
        </w:rPr>
        <w:t xml:space="preserve"> infiltration de corticostéroïdes</w:t>
      </w:r>
    </w:p>
    <w:p w:rsidR="003E5D3C" w:rsidRDefault="003E5D3C" w:rsidP="00FF1860">
      <w:pPr>
        <w:pStyle w:val="Sansinterligne"/>
      </w:pPr>
    </w:p>
    <w:p w:rsidR="004F22E7" w:rsidRPr="00E235A2" w:rsidRDefault="004F22E7" w:rsidP="00FF1860">
      <w:pPr>
        <w:pStyle w:val="Sansinterligne"/>
        <w:rPr>
          <w:b/>
        </w:rPr>
      </w:pPr>
      <w:r w:rsidRPr="00E235A2">
        <w:rPr>
          <w:b/>
        </w:rPr>
        <w:t>Maladie sérique</w:t>
      </w:r>
    </w:p>
    <w:p w:rsidR="004F22E7" w:rsidRDefault="004F22E7" w:rsidP="002260A3">
      <w:pPr>
        <w:pStyle w:val="Sansinterligne"/>
        <w:numPr>
          <w:ilvl w:val="0"/>
          <w:numId w:val="870"/>
        </w:numPr>
      </w:pPr>
      <w:r>
        <w:t>Retrait de l’agent causal</w:t>
      </w:r>
    </w:p>
    <w:p w:rsidR="004F22E7" w:rsidRDefault="004F22E7" w:rsidP="002260A3">
      <w:pPr>
        <w:pStyle w:val="Sansinterligne"/>
        <w:numPr>
          <w:ilvl w:val="0"/>
          <w:numId w:val="870"/>
        </w:numPr>
      </w:pPr>
      <w:r>
        <w:t>Antihistaminiques pour le prurit</w:t>
      </w:r>
    </w:p>
    <w:p w:rsidR="004F22E7" w:rsidRDefault="004F22E7" w:rsidP="002260A3">
      <w:pPr>
        <w:pStyle w:val="Sansinterligne"/>
        <w:numPr>
          <w:ilvl w:val="0"/>
          <w:numId w:val="870"/>
        </w:numPr>
      </w:pPr>
      <w:r>
        <w:t>Acétaminophène (antipyrétique)</w:t>
      </w:r>
    </w:p>
    <w:p w:rsidR="004F22E7" w:rsidRDefault="004F22E7" w:rsidP="002260A3">
      <w:pPr>
        <w:pStyle w:val="Sansinterligne"/>
        <w:numPr>
          <w:ilvl w:val="0"/>
          <w:numId w:val="870"/>
        </w:numPr>
      </w:pPr>
      <w:r>
        <w:t>Prednisone 0,5 mg-1 mg/kg x quelques jours, puis cessé graduellement (moins de 7 jours au total)</w:t>
      </w:r>
    </w:p>
    <w:p w:rsidR="004F22E7" w:rsidRDefault="004F22E7" w:rsidP="00FF1860">
      <w:pPr>
        <w:pStyle w:val="Sansinterligne"/>
      </w:pPr>
    </w:p>
    <w:p w:rsidR="008A2841" w:rsidRDefault="008A2841" w:rsidP="00FF1860">
      <w:pPr>
        <w:pStyle w:val="Sansinterligne"/>
      </w:pPr>
    </w:p>
    <w:p w:rsidR="009B366D" w:rsidRDefault="009B366D" w:rsidP="00FF1860">
      <w:pPr>
        <w:pStyle w:val="Sansinterligne"/>
      </w:pPr>
    </w:p>
    <w:p w:rsidR="00353BBC" w:rsidRDefault="008E4D6E" w:rsidP="00FF1860">
      <w:pPr>
        <w:pStyle w:val="Sansinterligne"/>
      </w:pPr>
      <w:r>
        <w:rPr>
          <w:noProof/>
          <w:lang w:eastAsia="fr-CA"/>
        </w:rPr>
        <w:drawing>
          <wp:anchor distT="0" distB="0" distL="114300" distR="114300" simplePos="0" relativeHeight="251906048" behindDoc="0" locked="0" layoutInCell="1" allowOverlap="1" wp14:anchorId="2B7F8D41" wp14:editId="575AB780">
            <wp:simplePos x="0" y="0"/>
            <wp:positionH relativeFrom="column">
              <wp:posOffset>800100</wp:posOffset>
            </wp:positionH>
            <wp:positionV relativeFrom="paragraph">
              <wp:posOffset>78105</wp:posOffset>
            </wp:positionV>
            <wp:extent cx="4912360" cy="3689985"/>
            <wp:effectExtent l="0" t="0" r="2540" b="5715"/>
            <wp:wrapNone/>
            <wp:docPr id="422" name="Image 422" descr="Résultats de recherche d'images pour « maladie de kawasaki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Résultats de recherche d'images pour « maladie de kawasaki »"/>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912360" cy="36899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B366D" w:rsidRDefault="009B366D" w:rsidP="00FF1860">
      <w:pPr>
        <w:pStyle w:val="Sansinterligne"/>
      </w:pPr>
    </w:p>
    <w:p w:rsidR="00E90882" w:rsidRPr="00C4033C" w:rsidRDefault="00E90882" w:rsidP="00FF1860">
      <w:pPr>
        <w:pStyle w:val="Sansinterligne"/>
        <w:rPr>
          <w:b/>
          <w:highlight w:val="yellow"/>
        </w:rPr>
      </w:pPr>
      <w:r w:rsidRPr="00C4033C">
        <w:rPr>
          <w:b/>
          <w:highlight w:val="yellow"/>
        </w:rPr>
        <w:lastRenderedPageBreak/>
        <w:t>Purpura d’Henoch-Schönlein</w:t>
      </w:r>
    </w:p>
    <w:p w:rsidR="00180CBF" w:rsidRPr="00C4033C" w:rsidRDefault="008A2841" w:rsidP="005D429F">
      <w:pPr>
        <w:pStyle w:val="Sansinterligne"/>
        <w:numPr>
          <w:ilvl w:val="0"/>
          <w:numId w:val="876"/>
        </w:numPr>
        <w:rPr>
          <w:highlight w:val="yellow"/>
        </w:rPr>
      </w:pPr>
      <w:r w:rsidRPr="00C4033C">
        <w:rPr>
          <w:highlight w:val="yellow"/>
        </w:rPr>
        <w:t>Traitement symptomatique</w:t>
      </w:r>
    </w:p>
    <w:p w:rsidR="008A2841" w:rsidRPr="00C4033C" w:rsidRDefault="008A2841" w:rsidP="005D429F">
      <w:pPr>
        <w:pStyle w:val="Sansinterligne"/>
        <w:numPr>
          <w:ilvl w:val="0"/>
          <w:numId w:val="876"/>
        </w:numPr>
        <w:rPr>
          <w:highlight w:val="yellow"/>
        </w:rPr>
      </w:pPr>
      <w:r w:rsidRPr="00C4033C">
        <w:rPr>
          <w:highlight w:val="yellow"/>
        </w:rPr>
        <w:t>Acétaminophène, AINS, opiacés PRN</w:t>
      </w:r>
    </w:p>
    <w:p w:rsidR="008A2841" w:rsidRPr="00C4033C" w:rsidRDefault="008A2841" w:rsidP="005D429F">
      <w:pPr>
        <w:pStyle w:val="Sansinterligne"/>
        <w:numPr>
          <w:ilvl w:val="0"/>
          <w:numId w:val="876"/>
        </w:numPr>
        <w:rPr>
          <w:highlight w:val="yellow"/>
        </w:rPr>
      </w:pPr>
      <w:r w:rsidRPr="00C4033C">
        <w:rPr>
          <w:highlight w:val="yellow"/>
        </w:rPr>
        <w:t xml:space="preserve">Prednisone pourrait aider pour douleurs </w:t>
      </w:r>
      <w:r w:rsidR="001D394E" w:rsidRPr="00C4033C">
        <w:rPr>
          <w:highlight w:val="yellow"/>
        </w:rPr>
        <w:t>abdominales</w:t>
      </w:r>
    </w:p>
    <w:p w:rsidR="00E235A2" w:rsidRPr="00C4033C" w:rsidRDefault="008A2841" w:rsidP="005D429F">
      <w:pPr>
        <w:pStyle w:val="Sansinterligne"/>
        <w:numPr>
          <w:ilvl w:val="0"/>
          <w:numId w:val="876"/>
        </w:numPr>
        <w:rPr>
          <w:highlight w:val="yellow"/>
        </w:rPr>
      </w:pPr>
      <w:r w:rsidRPr="00C4033C">
        <w:rPr>
          <w:highlight w:val="yellow"/>
        </w:rPr>
        <w:t>Suivi fréquent avec TA et SMU-DCA</w:t>
      </w:r>
    </w:p>
    <w:p w:rsidR="008A2841" w:rsidRPr="00C4033C" w:rsidRDefault="008A2841" w:rsidP="00FF1860">
      <w:pPr>
        <w:pStyle w:val="Sansinterligne"/>
        <w:rPr>
          <w:highlight w:val="yellow"/>
        </w:rPr>
      </w:pPr>
    </w:p>
    <w:p w:rsidR="00DB195D" w:rsidRPr="00C4033C" w:rsidRDefault="001E0E89" w:rsidP="005C5723">
      <w:pPr>
        <w:pStyle w:val="Sansinterligne"/>
        <w:rPr>
          <w:b/>
          <w:highlight w:val="yellow"/>
        </w:rPr>
      </w:pPr>
      <w:r w:rsidRPr="00C4033C">
        <w:rPr>
          <w:b/>
          <w:highlight w:val="yellow"/>
        </w:rPr>
        <w:t>Douleurs de crois</w:t>
      </w:r>
      <w:r w:rsidR="00DB195D" w:rsidRPr="00C4033C">
        <w:rPr>
          <w:b/>
          <w:highlight w:val="yellow"/>
        </w:rPr>
        <w:t>sance</w:t>
      </w:r>
    </w:p>
    <w:p w:rsidR="00DB195D" w:rsidRPr="00C4033C" w:rsidRDefault="00DB195D" w:rsidP="002260A3">
      <w:pPr>
        <w:pStyle w:val="Sansinterligne"/>
        <w:numPr>
          <w:ilvl w:val="0"/>
          <w:numId w:val="861"/>
        </w:numPr>
        <w:ind w:left="360"/>
        <w:rPr>
          <w:highlight w:val="yellow"/>
        </w:rPr>
      </w:pPr>
      <w:r w:rsidRPr="00C4033C">
        <w:rPr>
          <w:highlight w:val="yellow"/>
        </w:rPr>
        <w:t>Massage</w:t>
      </w:r>
    </w:p>
    <w:p w:rsidR="00DB195D" w:rsidRPr="00C4033C" w:rsidRDefault="00DB195D" w:rsidP="002260A3">
      <w:pPr>
        <w:pStyle w:val="Sansinterligne"/>
        <w:numPr>
          <w:ilvl w:val="0"/>
          <w:numId w:val="861"/>
        </w:numPr>
        <w:ind w:left="360"/>
        <w:rPr>
          <w:highlight w:val="yellow"/>
        </w:rPr>
      </w:pPr>
      <w:r w:rsidRPr="00C4033C">
        <w:rPr>
          <w:highlight w:val="yellow"/>
        </w:rPr>
        <w:t>Chaleur</w:t>
      </w:r>
    </w:p>
    <w:p w:rsidR="00FF1860" w:rsidRPr="00C4033C" w:rsidRDefault="00DB195D" w:rsidP="002260A3">
      <w:pPr>
        <w:pStyle w:val="Sansinterligne"/>
        <w:numPr>
          <w:ilvl w:val="0"/>
          <w:numId w:val="861"/>
        </w:numPr>
        <w:ind w:left="360"/>
        <w:rPr>
          <w:highlight w:val="yellow"/>
        </w:rPr>
      </w:pPr>
      <w:r w:rsidRPr="00C4033C">
        <w:rPr>
          <w:highlight w:val="yellow"/>
        </w:rPr>
        <w:t>Acétaminophène PRN</w:t>
      </w:r>
    </w:p>
    <w:p w:rsidR="008A2841" w:rsidRDefault="008A2841" w:rsidP="008A2841">
      <w:pPr>
        <w:pStyle w:val="Sansinterligne"/>
      </w:pPr>
    </w:p>
    <w:p w:rsidR="008A2841" w:rsidRDefault="008A2841" w:rsidP="008A2841">
      <w:pPr>
        <w:pStyle w:val="Sansinterligne"/>
      </w:pPr>
    </w:p>
    <w:p w:rsidR="008A2841" w:rsidRDefault="008A2841" w:rsidP="008A2841">
      <w:pPr>
        <w:pStyle w:val="Sansinterligne"/>
      </w:pPr>
    </w:p>
    <w:p w:rsidR="008A2841" w:rsidRDefault="008A2841" w:rsidP="008A2841">
      <w:pPr>
        <w:pStyle w:val="Sansinterligne"/>
      </w:pPr>
    </w:p>
    <w:p w:rsidR="008A2841" w:rsidRDefault="008A2841" w:rsidP="008A2841">
      <w:pPr>
        <w:pStyle w:val="Sansinterligne"/>
      </w:pPr>
    </w:p>
    <w:p w:rsidR="008A2841" w:rsidRDefault="008A2841" w:rsidP="008A2841">
      <w:pPr>
        <w:pStyle w:val="Sansinterligne"/>
      </w:pPr>
    </w:p>
    <w:p w:rsidR="008A2841" w:rsidRDefault="008A2841" w:rsidP="008A2841">
      <w:pPr>
        <w:pStyle w:val="Sansinterligne"/>
      </w:pPr>
    </w:p>
    <w:p w:rsidR="008A2841" w:rsidRDefault="008A2841" w:rsidP="008A2841">
      <w:pPr>
        <w:pStyle w:val="Sansinterligne"/>
        <w:sectPr w:rsidR="008A2841" w:rsidSect="00D863AE">
          <w:type w:val="continuous"/>
          <w:pgSz w:w="12240" w:h="15840"/>
          <w:pgMar w:top="720" w:right="720" w:bottom="720" w:left="720" w:header="708" w:footer="708" w:gutter="0"/>
          <w:cols w:num="2" w:space="0" w:equalWidth="0">
            <w:col w:w="5040" w:space="0"/>
            <w:col w:w="5760"/>
          </w:cols>
          <w:docGrid w:linePitch="360"/>
        </w:sectPr>
      </w:pPr>
    </w:p>
    <w:p w:rsidR="00882FBF" w:rsidRPr="000D1964" w:rsidRDefault="00882FBF" w:rsidP="00D863AE">
      <w:pPr>
        <w:pStyle w:val="Sansinterligne"/>
      </w:pPr>
      <w:r w:rsidRPr="000D1964">
        <w:lastRenderedPageBreak/>
        <w:br w:type="page"/>
      </w:r>
    </w:p>
    <w:p w:rsidR="00D863AE" w:rsidRDefault="00D863AE" w:rsidP="00F62E2A">
      <w:pPr>
        <w:pStyle w:val="Sansinterligne"/>
        <w:rPr>
          <w:rFonts w:cs="Times New Roman"/>
          <w:b/>
          <w:color w:val="548DD4" w:themeColor="text2" w:themeTint="99"/>
        </w:rPr>
        <w:sectPr w:rsidR="00D863AE" w:rsidSect="00D863AE">
          <w:type w:val="continuous"/>
          <w:pgSz w:w="12240" w:h="15840"/>
          <w:pgMar w:top="720" w:right="720" w:bottom="720" w:left="720" w:header="708" w:footer="708" w:gutter="0"/>
          <w:cols w:num="2" w:space="0" w:equalWidth="0">
            <w:col w:w="5040" w:space="0"/>
            <w:col w:w="5760"/>
          </w:cols>
          <w:docGrid w:linePitch="360"/>
        </w:sectPr>
      </w:pPr>
    </w:p>
    <w:p w:rsidR="00C30EE3" w:rsidRDefault="00C30EE3" w:rsidP="00C30EE3">
      <w:pPr>
        <w:spacing w:after="0"/>
        <w:rPr>
          <w:rFonts w:cs="Times New Roman"/>
          <w:b/>
          <w:color w:val="548DD4" w:themeColor="text2" w:themeTint="99"/>
        </w:rPr>
      </w:pPr>
      <w:r>
        <w:rPr>
          <w:rFonts w:cs="Times New Roman"/>
          <w:b/>
          <w:color w:val="548DD4" w:themeColor="text2" w:themeTint="99"/>
        </w:rPr>
        <w:lastRenderedPageBreak/>
        <w:t>CMC 21</w:t>
      </w:r>
    </w:p>
    <w:bookmarkStart w:id="86" w:name="_Toc480797276"/>
    <w:p w:rsidR="00C30EE3" w:rsidRPr="00C30EE3" w:rsidRDefault="00C30EE3" w:rsidP="00C30EE3">
      <w:pPr>
        <w:pStyle w:val="Titre3"/>
        <w:spacing w:before="0" w:after="240"/>
        <w:rPr>
          <w:rFonts w:ascii="Times New Roman" w:hAnsi="Times New Roman" w:cs="Times New Roman"/>
        </w:rPr>
      </w:pPr>
      <w:r>
        <w:rPr>
          <w:rFonts w:ascii="Times New Roman" w:hAnsi="Times New Roman" w:cs="Times New Roman"/>
          <w:noProof/>
          <w:lang w:eastAsia="fr-CA"/>
        </w:rPr>
        <mc:AlternateContent>
          <mc:Choice Requires="wps">
            <w:drawing>
              <wp:anchor distT="0" distB="0" distL="114300" distR="114300" simplePos="0" relativeHeight="251961344" behindDoc="0" locked="0" layoutInCell="1" allowOverlap="1" wp14:anchorId="4E3E8EE1" wp14:editId="50FC1E5C">
                <wp:simplePos x="0" y="0"/>
                <wp:positionH relativeFrom="column">
                  <wp:posOffset>-107004</wp:posOffset>
                </wp:positionH>
                <wp:positionV relativeFrom="paragraph">
                  <wp:posOffset>250555</wp:posOffset>
                </wp:positionV>
                <wp:extent cx="7024924" cy="3083668"/>
                <wp:effectExtent l="0" t="0" r="24130" b="21590"/>
                <wp:wrapNone/>
                <wp:docPr id="481" name="Rectangle 481"/>
                <wp:cNvGraphicFramePr/>
                <a:graphic xmlns:a="http://schemas.openxmlformats.org/drawingml/2006/main">
                  <a:graphicData uri="http://schemas.microsoft.com/office/word/2010/wordprocessingShape">
                    <wps:wsp>
                      <wps:cNvSpPr/>
                      <wps:spPr>
                        <a:xfrm>
                          <a:off x="0" y="0"/>
                          <a:ext cx="7024924" cy="3083668"/>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481" o:spid="_x0000_s1026" style="position:absolute;margin-left:-8.45pt;margin-top:19.75pt;width:553.15pt;height:242.8pt;z-index:25196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" filled="f" strokecolor="black [1600]" strokeweight="2pt"/>
            </w:pict>
          </mc:Fallback>
        </mc:AlternateContent>
      </w:r>
      <w:r w:rsidRPr="00C30EE3">
        <w:rPr>
          <w:rFonts w:ascii="Times New Roman" w:hAnsi="Times New Roman" w:cs="Times New Roman"/>
        </w:rPr>
        <w:t>Retard de développement</w:t>
      </w:r>
      <w:bookmarkEnd w:id="86"/>
    </w:p>
    <w:tbl>
      <w:tblPr>
        <w:tblW w:w="3737" w:type="pct"/>
        <w:tblCellSpacing w:w="0" w:type="dxa"/>
        <w:tblCellMar>
          <w:left w:w="0" w:type="dxa"/>
          <w:right w:w="0" w:type="dxa"/>
        </w:tblCellMar>
        <w:tblLook w:val="04A0" w:firstRow="1" w:lastRow="0" w:firstColumn="1" w:lastColumn="0" w:noHBand="0" w:noVBand="1"/>
      </w:tblPr>
      <w:tblGrid>
        <w:gridCol w:w="8072"/>
      </w:tblGrid>
      <w:tr w:rsidR="00C30EE3" w:rsidRPr="00C30EE3" w:rsidTr="00C30EE3">
        <w:trPr>
          <w:tblCellSpacing w:w="0" w:type="dxa"/>
        </w:trPr>
        <w:tc>
          <w:tcPr>
            <w:tcW w:w="0" w:type="auto"/>
            <w:vAlign w:val="bottom"/>
            <w:hideMark/>
          </w:tcPr>
          <w:p w:rsidR="00C30EE3" w:rsidRPr="00C30EE3" w:rsidRDefault="00C30EE3" w:rsidP="00C30EE3">
            <w:pPr>
              <w:pStyle w:val="Sansinterligne"/>
              <w:rPr>
                <w:rFonts w:cs="Times New Roman"/>
                <w:b/>
                <w:sz w:val="18"/>
                <w:szCs w:val="18"/>
              </w:rPr>
            </w:pPr>
            <w:r w:rsidRPr="00C30EE3">
              <w:rPr>
                <w:rFonts w:cs="Times New Roman"/>
                <w:b/>
                <w:sz w:val="18"/>
                <w:szCs w:val="18"/>
              </w:rPr>
              <w:t>Objectifs principaux</w:t>
            </w:r>
          </w:p>
        </w:tc>
      </w:tr>
    </w:tbl>
    <w:p w:rsidR="00C30EE3" w:rsidRDefault="00C30EE3" w:rsidP="00483C15">
      <w:pPr>
        <w:pStyle w:val="NormalWeb"/>
        <w:spacing w:after="0" w:afterAutospacing="0"/>
        <w:ind w:left="360"/>
        <w:rPr>
          <w:color w:val="000000"/>
          <w:sz w:val="18"/>
          <w:szCs w:val="18"/>
          <w:shd w:val="clear" w:color="auto" w:fill="FFFFFF"/>
        </w:rPr>
      </w:pPr>
      <w:r w:rsidRPr="00C30EE3">
        <w:rPr>
          <w:color w:val="000000"/>
          <w:sz w:val="18"/>
          <w:szCs w:val="18"/>
          <w:shd w:val="clear" w:color="auto" w:fill="FFFFFF"/>
        </w:rPr>
        <w:t>À l'aide d'un outil validé de mesure du développement, le candidat devra détecter les enfants qui ont un développement retardé ou atypique dans un ou plusieurs domaines. Les enfants qui font l'objet d'inquiétudes à ce sujet devront être adressés à des services d'intervention précoce, qui peuvent intervenir avant une évaluation spécialisée du développement.</w:t>
      </w:r>
    </w:p>
    <w:p w:rsidR="00483C15" w:rsidRPr="00483C15" w:rsidRDefault="00483C15" w:rsidP="00483C15">
      <w:pPr>
        <w:pStyle w:val="NormalWeb"/>
        <w:spacing w:before="0" w:beforeAutospacing="0" w:after="0" w:afterAutospacing="0"/>
        <w:ind w:left="360"/>
        <w:rPr>
          <w:color w:val="000000"/>
          <w:sz w:val="16"/>
          <w:szCs w:val="16"/>
          <w:shd w:val="clear" w:color="auto" w:fill="FFFFFF"/>
        </w:rPr>
      </w:pPr>
    </w:p>
    <w:tbl>
      <w:tblPr>
        <w:tblW w:w="3737" w:type="pct"/>
        <w:tblCellSpacing w:w="0" w:type="dxa"/>
        <w:tblCellMar>
          <w:left w:w="0" w:type="dxa"/>
          <w:right w:w="0" w:type="dxa"/>
        </w:tblCellMar>
        <w:tblLook w:val="04A0" w:firstRow="1" w:lastRow="0" w:firstColumn="1" w:lastColumn="0" w:noHBand="0" w:noVBand="1"/>
      </w:tblPr>
      <w:tblGrid>
        <w:gridCol w:w="8072"/>
      </w:tblGrid>
      <w:tr w:rsidR="00C30EE3" w:rsidRPr="00C30EE3" w:rsidTr="00C30EE3">
        <w:trPr>
          <w:tblCellSpacing w:w="0" w:type="dxa"/>
        </w:trPr>
        <w:tc>
          <w:tcPr>
            <w:tcW w:w="0" w:type="auto"/>
            <w:vAlign w:val="bottom"/>
            <w:hideMark/>
          </w:tcPr>
          <w:p w:rsidR="00C30EE3" w:rsidRPr="00C30EE3" w:rsidRDefault="00C30EE3" w:rsidP="00C30EE3">
            <w:pPr>
              <w:pStyle w:val="Sansinterligne"/>
              <w:rPr>
                <w:rFonts w:cs="Times New Roman"/>
                <w:b/>
                <w:sz w:val="16"/>
                <w:szCs w:val="16"/>
              </w:rPr>
            </w:pPr>
            <w:r w:rsidRPr="00C30EE3">
              <w:rPr>
                <w:rFonts w:cs="Times New Roman"/>
                <w:b/>
                <w:sz w:val="16"/>
                <w:szCs w:val="16"/>
              </w:rPr>
              <w:t>Objectifs spécifiques</w:t>
            </w:r>
          </w:p>
        </w:tc>
      </w:tr>
    </w:tbl>
    <w:p w:rsidR="00C30EE3" w:rsidRPr="00C30EE3" w:rsidRDefault="00C30EE3" w:rsidP="00C30EE3">
      <w:pPr>
        <w:pStyle w:val="NormalWeb"/>
        <w:shd w:val="clear" w:color="auto" w:fill="FFFFFF"/>
        <w:ind w:left="360"/>
        <w:rPr>
          <w:color w:val="000000"/>
          <w:sz w:val="16"/>
          <w:szCs w:val="16"/>
          <w:shd w:val="clear" w:color="auto" w:fill="FFFFFF"/>
        </w:rPr>
      </w:pPr>
      <w:r w:rsidRPr="00C30EE3">
        <w:rPr>
          <w:color w:val="000000"/>
          <w:sz w:val="16"/>
          <w:szCs w:val="16"/>
          <w:shd w:val="clear" w:color="auto" w:fill="FFFFFF"/>
        </w:rPr>
        <w:t>Dans le cas d'un jeune patient ayant un retard de développement, le candidat devra</w:t>
      </w:r>
    </w:p>
    <w:p w:rsidR="00C30EE3" w:rsidRPr="00C30EE3" w:rsidRDefault="00C30EE3" w:rsidP="005D429F">
      <w:pPr>
        <w:numPr>
          <w:ilvl w:val="0"/>
          <w:numId w:val="1020"/>
        </w:numPr>
        <w:shd w:val="clear" w:color="auto" w:fill="FFFFFF"/>
        <w:spacing w:before="100" w:beforeAutospacing="1" w:after="100" w:afterAutospacing="1" w:line="240" w:lineRule="auto"/>
        <w:rPr>
          <w:rFonts w:cs="Times New Roman"/>
          <w:color w:val="000000"/>
          <w:sz w:val="16"/>
          <w:szCs w:val="16"/>
          <w:shd w:val="clear" w:color="auto" w:fill="FFFFFF"/>
        </w:rPr>
      </w:pPr>
      <w:r w:rsidRPr="00C30EE3">
        <w:rPr>
          <w:rFonts w:cs="Times New Roman"/>
          <w:color w:val="000000"/>
          <w:sz w:val="16"/>
          <w:szCs w:val="16"/>
          <w:shd w:val="clear" w:color="auto" w:fill="FFFFFF"/>
        </w:rPr>
        <w:t>énumérer et interpréter les constatations cliniques cruciales, notamment :</w:t>
      </w:r>
    </w:p>
    <w:p w:rsidR="00C30EE3" w:rsidRPr="00C30EE3" w:rsidRDefault="00C30EE3" w:rsidP="005D429F">
      <w:pPr>
        <w:numPr>
          <w:ilvl w:val="1"/>
          <w:numId w:val="1020"/>
        </w:numPr>
        <w:shd w:val="clear" w:color="auto" w:fill="FFFFFF"/>
        <w:spacing w:before="100" w:beforeAutospacing="1" w:after="100" w:afterAutospacing="1" w:line="240" w:lineRule="auto"/>
        <w:rPr>
          <w:rFonts w:cs="Times New Roman"/>
          <w:color w:val="000000"/>
          <w:sz w:val="16"/>
          <w:szCs w:val="16"/>
          <w:shd w:val="clear" w:color="auto" w:fill="FFFFFF"/>
        </w:rPr>
      </w:pPr>
      <w:r w:rsidRPr="00C30EE3">
        <w:rPr>
          <w:rFonts w:cs="Times New Roman"/>
          <w:color w:val="000000"/>
          <w:sz w:val="16"/>
          <w:szCs w:val="16"/>
          <w:shd w:val="clear" w:color="auto" w:fill="FFFFFF"/>
        </w:rPr>
        <w:t>utiliser un outil validé de mesure du développement afin de déterminer les domaines dans lesquels ce retard se manifeste;</w:t>
      </w:r>
    </w:p>
    <w:p w:rsidR="00C30EE3" w:rsidRPr="00C30EE3" w:rsidRDefault="00C30EE3" w:rsidP="005D429F">
      <w:pPr>
        <w:numPr>
          <w:ilvl w:val="1"/>
          <w:numId w:val="1020"/>
        </w:numPr>
        <w:shd w:val="clear" w:color="auto" w:fill="FFFFFF"/>
        <w:spacing w:before="100" w:beforeAutospacing="1" w:after="100" w:afterAutospacing="1" w:line="240" w:lineRule="auto"/>
        <w:rPr>
          <w:rFonts w:cs="Times New Roman"/>
          <w:color w:val="000000"/>
          <w:sz w:val="16"/>
          <w:szCs w:val="16"/>
          <w:shd w:val="clear" w:color="auto" w:fill="FFFFFF"/>
        </w:rPr>
      </w:pPr>
      <w:r w:rsidRPr="00C30EE3">
        <w:rPr>
          <w:rFonts w:cs="Times New Roman"/>
          <w:color w:val="000000"/>
          <w:sz w:val="16"/>
          <w:szCs w:val="16"/>
          <w:shd w:val="clear" w:color="auto" w:fill="FFFFFF"/>
        </w:rPr>
        <w:t>faire une anamnèse et un examen physique approfondis en accordant une attention particulière à la détection des causes auxquelles on peut remédier immédiatement (p. ex. exposition à des substances toxiques, grave négligence);</w:t>
      </w:r>
    </w:p>
    <w:p w:rsidR="00C30EE3" w:rsidRPr="00C30EE3" w:rsidRDefault="00C30EE3" w:rsidP="005D429F">
      <w:pPr>
        <w:numPr>
          <w:ilvl w:val="0"/>
          <w:numId w:val="1020"/>
        </w:numPr>
        <w:shd w:val="clear" w:color="auto" w:fill="FFFFFF"/>
        <w:spacing w:before="100" w:beforeAutospacing="1" w:after="100" w:afterAutospacing="1" w:line="240" w:lineRule="auto"/>
        <w:rPr>
          <w:rFonts w:cs="Times New Roman"/>
          <w:color w:val="000000"/>
          <w:sz w:val="16"/>
          <w:szCs w:val="16"/>
          <w:shd w:val="clear" w:color="auto" w:fill="FFFFFF"/>
        </w:rPr>
      </w:pPr>
      <w:r w:rsidRPr="00C30EE3">
        <w:rPr>
          <w:rFonts w:cs="Times New Roman"/>
          <w:color w:val="000000"/>
          <w:sz w:val="16"/>
          <w:szCs w:val="16"/>
          <w:shd w:val="clear" w:color="auto" w:fill="FFFFFF"/>
        </w:rPr>
        <w:t>énumérer et interpréter les examens pertinents, notamment :</w:t>
      </w:r>
    </w:p>
    <w:p w:rsidR="00C30EE3" w:rsidRPr="00C30EE3" w:rsidRDefault="00C30EE3" w:rsidP="005D429F">
      <w:pPr>
        <w:numPr>
          <w:ilvl w:val="1"/>
          <w:numId w:val="1020"/>
        </w:numPr>
        <w:shd w:val="clear" w:color="auto" w:fill="FFFFFF"/>
        <w:spacing w:before="100" w:beforeAutospacing="1" w:after="100" w:afterAutospacing="1" w:line="240" w:lineRule="auto"/>
        <w:rPr>
          <w:rFonts w:cs="Times New Roman"/>
          <w:color w:val="000000"/>
          <w:sz w:val="16"/>
          <w:szCs w:val="16"/>
          <w:shd w:val="clear" w:color="auto" w:fill="FFFFFF"/>
        </w:rPr>
      </w:pPr>
      <w:r w:rsidRPr="00C30EE3">
        <w:rPr>
          <w:rFonts w:cs="Times New Roman"/>
          <w:color w:val="000000"/>
          <w:sz w:val="16"/>
          <w:szCs w:val="16"/>
          <w:shd w:val="clear" w:color="auto" w:fill="FFFFFF"/>
        </w:rPr>
        <w:t>l'évaluation audiologique de tout enfant ayant un retard de langage;</w:t>
      </w:r>
    </w:p>
    <w:p w:rsidR="00C30EE3" w:rsidRPr="00C30EE3" w:rsidRDefault="00C30EE3" w:rsidP="005D429F">
      <w:pPr>
        <w:numPr>
          <w:ilvl w:val="1"/>
          <w:numId w:val="1020"/>
        </w:numPr>
        <w:shd w:val="clear" w:color="auto" w:fill="FFFFFF"/>
        <w:spacing w:before="100" w:beforeAutospacing="1" w:after="100" w:afterAutospacing="1" w:line="240" w:lineRule="auto"/>
        <w:rPr>
          <w:rFonts w:cs="Times New Roman"/>
          <w:color w:val="000000"/>
          <w:sz w:val="16"/>
          <w:szCs w:val="16"/>
          <w:shd w:val="clear" w:color="auto" w:fill="FFFFFF"/>
        </w:rPr>
      </w:pPr>
      <w:r w:rsidRPr="00C30EE3">
        <w:rPr>
          <w:rFonts w:cs="Times New Roman"/>
          <w:color w:val="000000"/>
          <w:sz w:val="16"/>
          <w:szCs w:val="16"/>
          <w:shd w:val="clear" w:color="auto" w:fill="FFFFFF"/>
        </w:rPr>
        <w:t>les examens diagnostiques appropriés (p. ex. tests génétiques et métaboliques, neuro-imagerie);</w:t>
      </w:r>
    </w:p>
    <w:p w:rsidR="00C30EE3" w:rsidRPr="00C30EE3" w:rsidRDefault="00C30EE3" w:rsidP="005D429F">
      <w:pPr>
        <w:numPr>
          <w:ilvl w:val="0"/>
          <w:numId w:val="1020"/>
        </w:numPr>
        <w:shd w:val="clear" w:color="auto" w:fill="FFFFFF"/>
        <w:spacing w:before="100" w:beforeAutospacing="1" w:after="100" w:afterAutospacing="1" w:line="240" w:lineRule="auto"/>
        <w:rPr>
          <w:rFonts w:cs="Times New Roman"/>
          <w:color w:val="000000"/>
          <w:sz w:val="16"/>
          <w:szCs w:val="16"/>
          <w:shd w:val="clear" w:color="auto" w:fill="FFFFFF"/>
        </w:rPr>
      </w:pPr>
      <w:r w:rsidRPr="00C30EE3">
        <w:rPr>
          <w:rFonts w:cs="Times New Roman"/>
          <w:color w:val="000000"/>
          <w:sz w:val="16"/>
          <w:szCs w:val="16"/>
          <w:shd w:val="clear" w:color="auto" w:fill="FFFFFF"/>
        </w:rPr>
        <w:t>élaborer un plan efficace de prise en charge, notamment :</w:t>
      </w:r>
    </w:p>
    <w:p w:rsidR="00C30EE3" w:rsidRPr="00C30EE3" w:rsidRDefault="00C30EE3" w:rsidP="005D429F">
      <w:pPr>
        <w:numPr>
          <w:ilvl w:val="1"/>
          <w:numId w:val="1020"/>
        </w:numPr>
        <w:shd w:val="clear" w:color="auto" w:fill="FFFFFF"/>
        <w:spacing w:before="100" w:beforeAutospacing="1" w:after="100" w:afterAutospacing="1" w:line="240" w:lineRule="auto"/>
        <w:rPr>
          <w:rFonts w:cs="Times New Roman"/>
          <w:color w:val="000000"/>
          <w:sz w:val="16"/>
          <w:szCs w:val="16"/>
          <w:shd w:val="clear" w:color="auto" w:fill="FFFFFF"/>
        </w:rPr>
      </w:pPr>
      <w:r w:rsidRPr="00C30EE3">
        <w:rPr>
          <w:rFonts w:cs="Times New Roman"/>
          <w:color w:val="000000"/>
          <w:sz w:val="16"/>
          <w:szCs w:val="16"/>
          <w:shd w:val="clear" w:color="auto" w:fill="FFFFFF"/>
        </w:rPr>
        <w:t>adresser immédiatement le patient pour une évaluation pédiatrique spécialisée en cas de régression développementale;</w:t>
      </w:r>
    </w:p>
    <w:p w:rsidR="00C30EE3" w:rsidRPr="00C30EE3" w:rsidRDefault="00C30EE3" w:rsidP="005D429F">
      <w:pPr>
        <w:numPr>
          <w:ilvl w:val="1"/>
          <w:numId w:val="1020"/>
        </w:numPr>
        <w:shd w:val="clear" w:color="auto" w:fill="FFFFFF"/>
        <w:spacing w:before="100" w:beforeAutospacing="1" w:after="100" w:afterAutospacing="1" w:line="240" w:lineRule="auto"/>
        <w:rPr>
          <w:rFonts w:cs="Times New Roman"/>
          <w:color w:val="000000"/>
          <w:sz w:val="16"/>
          <w:szCs w:val="16"/>
          <w:shd w:val="clear" w:color="auto" w:fill="FFFFFF"/>
        </w:rPr>
      </w:pPr>
      <w:r w:rsidRPr="00C30EE3">
        <w:rPr>
          <w:rFonts w:cs="Times New Roman"/>
          <w:color w:val="000000"/>
          <w:sz w:val="16"/>
          <w:szCs w:val="16"/>
          <w:shd w:val="clear" w:color="auto" w:fill="FFFFFF"/>
        </w:rPr>
        <w:t>adresser le patient à des services d'intervention précoce en cas de retard de développement dans n'importe quel domaine;</w:t>
      </w:r>
    </w:p>
    <w:p w:rsidR="00C30EE3" w:rsidRPr="00C30EE3" w:rsidRDefault="00C30EE3" w:rsidP="005D429F">
      <w:pPr>
        <w:numPr>
          <w:ilvl w:val="1"/>
          <w:numId w:val="1020"/>
        </w:numPr>
        <w:shd w:val="clear" w:color="auto" w:fill="FFFFFF"/>
        <w:spacing w:before="100" w:beforeAutospacing="1" w:after="100" w:afterAutospacing="1" w:line="240" w:lineRule="auto"/>
        <w:rPr>
          <w:rFonts w:cs="Times New Roman"/>
          <w:color w:val="000000"/>
          <w:sz w:val="16"/>
          <w:szCs w:val="16"/>
          <w:shd w:val="clear" w:color="auto" w:fill="FFFFFF"/>
        </w:rPr>
      </w:pPr>
      <w:r w:rsidRPr="00C30EE3">
        <w:rPr>
          <w:rFonts w:cs="Times New Roman"/>
          <w:color w:val="000000"/>
          <w:sz w:val="16"/>
          <w:szCs w:val="16"/>
          <w:shd w:val="clear" w:color="auto" w:fill="FFFFFF"/>
        </w:rPr>
        <w:t>déterminer si une évaluation et une intervention spécialisées ou pluridisciplinaires sont requises;</w:t>
      </w:r>
    </w:p>
    <w:p w:rsidR="00C30EE3" w:rsidRPr="00C30EE3" w:rsidRDefault="00C30EE3" w:rsidP="005D429F">
      <w:pPr>
        <w:numPr>
          <w:ilvl w:val="1"/>
          <w:numId w:val="1020"/>
        </w:numPr>
        <w:shd w:val="clear" w:color="auto" w:fill="FFFFFF"/>
        <w:spacing w:before="100" w:beforeAutospacing="1" w:after="100" w:afterAutospacing="1" w:line="240" w:lineRule="auto"/>
        <w:rPr>
          <w:rFonts w:cs="Times New Roman"/>
          <w:color w:val="000000"/>
          <w:sz w:val="16"/>
          <w:szCs w:val="16"/>
          <w:shd w:val="clear" w:color="auto" w:fill="FFFFFF"/>
        </w:rPr>
      </w:pPr>
      <w:r w:rsidRPr="00C30EE3">
        <w:rPr>
          <w:rFonts w:cs="Times New Roman"/>
          <w:color w:val="000000"/>
          <w:sz w:val="16"/>
          <w:szCs w:val="16"/>
          <w:shd w:val="clear" w:color="auto" w:fill="FFFFFF"/>
        </w:rPr>
        <w:t>faire intervenir les services communautaires appropriés de soutien à la famille du patient;</w:t>
      </w:r>
    </w:p>
    <w:p w:rsidR="00483C15" w:rsidRPr="00483C15" w:rsidRDefault="00C30EE3" w:rsidP="005D429F">
      <w:pPr>
        <w:numPr>
          <w:ilvl w:val="1"/>
          <w:numId w:val="1020"/>
        </w:numPr>
        <w:shd w:val="clear" w:color="auto" w:fill="FFFFFF"/>
        <w:spacing w:after="0" w:line="240" w:lineRule="auto"/>
        <w:rPr>
          <w:rFonts w:cs="Times New Roman"/>
          <w:color w:val="000000"/>
          <w:sz w:val="16"/>
          <w:szCs w:val="16"/>
          <w:shd w:val="clear" w:color="auto" w:fill="FFFFFF"/>
        </w:rPr>
      </w:pPr>
      <w:r w:rsidRPr="00C30EE3">
        <w:rPr>
          <w:rFonts w:cs="Times New Roman"/>
          <w:color w:val="000000"/>
          <w:sz w:val="16"/>
          <w:szCs w:val="16"/>
          <w:shd w:val="clear" w:color="auto" w:fill="FFFFFF"/>
        </w:rPr>
        <w:t>maintenir la communication afin de soutenir la famille du patient.</w:t>
      </w:r>
    </w:p>
    <w:p w:rsidR="00483C15" w:rsidRPr="00483C15" w:rsidRDefault="00483C15" w:rsidP="00BA2280">
      <w:pPr>
        <w:pStyle w:val="Sansinterligne"/>
        <w:rPr>
          <w:b/>
          <w:sz w:val="16"/>
          <w:szCs w:val="16"/>
        </w:rPr>
      </w:pPr>
    </w:p>
    <w:p w:rsidR="004814BE" w:rsidRDefault="00E30A75" w:rsidP="00483C15">
      <w:pPr>
        <w:pStyle w:val="Sansinterligne"/>
        <w:spacing w:line="276" w:lineRule="auto"/>
        <w:rPr>
          <w:b/>
          <w:sz w:val="28"/>
          <w:szCs w:val="28"/>
        </w:rPr>
      </w:pPr>
      <w:r w:rsidRPr="00E30A75">
        <w:rPr>
          <w:b/>
          <w:sz w:val="28"/>
          <w:szCs w:val="28"/>
        </w:rPr>
        <w:t>Développement psychomoteur normal</w:t>
      </w:r>
    </w:p>
    <w:p w:rsidR="00087CA1" w:rsidRDefault="006C1EEE" w:rsidP="00BA2280">
      <w:pPr>
        <w:pStyle w:val="Sansinterligne"/>
        <w:rPr>
          <w:b/>
          <w:sz w:val="28"/>
          <w:szCs w:val="28"/>
        </w:rPr>
      </w:pPr>
      <w:r>
        <w:rPr>
          <w:b/>
          <w:noProof/>
          <w:sz w:val="28"/>
          <w:szCs w:val="28"/>
          <w:lang w:eastAsia="fr-CA"/>
        </w:rPr>
        <mc:AlternateContent>
          <mc:Choice Requires="wps">
            <w:drawing>
              <wp:anchor distT="0" distB="0" distL="114300" distR="114300" simplePos="0" relativeHeight="251985920" behindDoc="0" locked="0" layoutInCell="1" allowOverlap="1" wp14:anchorId="73259A57" wp14:editId="049F0388">
                <wp:simplePos x="0" y="0"/>
                <wp:positionH relativeFrom="column">
                  <wp:posOffset>4387174</wp:posOffset>
                </wp:positionH>
                <wp:positionV relativeFrom="paragraph">
                  <wp:posOffset>3520143</wp:posOffset>
                </wp:positionV>
                <wp:extent cx="2363822" cy="758757"/>
                <wp:effectExtent l="0" t="0" r="0" b="3810"/>
                <wp:wrapNone/>
                <wp:docPr id="504" name="Zone de texte 504"/>
                <wp:cNvGraphicFramePr/>
                <a:graphic xmlns:a="http://schemas.openxmlformats.org/drawingml/2006/main">
                  <a:graphicData uri="http://schemas.microsoft.com/office/word/2010/wordprocessingShape">
                    <wps:wsp>
                      <wps:cNvSpPr txBox="1"/>
                      <wps:spPr>
                        <a:xfrm>
                          <a:off x="0" y="0"/>
                          <a:ext cx="2363822" cy="758757"/>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8276DC" w:rsidRDefault="008276DC">
                            <w:r>
                              <w:t>On peut aussi subdiviser la sphère motrice en développement moteur fin et développement moteur grossier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Zone de texte 504" o:spid="_x0000_s1050" type="#_x0000_t202" style="position:absolute;margin-left:345.45pt;margin-top:277.2pt;width:186.15pt;height:59.75pt;z-index:2519859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" fillcolor="white [3201]" stroked="f" strokeweight=".5pt">
                <v:textbox>
                  <w:txbxContent>
                    <w:p w:rsidR="008276DC" w:rsidRDefault="008276DC">
                      <w:r>
                        <w:t>On peut aussi subdiviser la sphère motrice en développement moteur fin et développement moteur grossier</w:t>
                      </w:r>
                    </w:p>
                  </w:txbxContent>
                </v:textbox>
              </v:shape>
            </w:pict>
          </mc:Fallback>
        </mc:AlternateContent>
      </w:r>
      <w:r w:rsidR="00483C15" w:rsidRPr="00483C15">
        <w:rPr>
          <w:b/>
          <w:noProof/>
          <w:sz w:val="28"/>
          <w:szCs w:val="28"/>
          <w:lang w:eastAsia="fr-CA"/>
        </w:rPr>
        <mc:AlternateContent>
          <mc:Choice Requires="wps">
            <w:drawing>
              <wp:anchor distT="0" distB="0" distL="114300" distR="114300" simplePos="0" relativeHeight="251983872" behindDoc="0" locked="0" layoutInCell="1" allowOverlap="1" wp14:anchorId="635718B3" wp14:editId="1F5B6FE2">
                <wp:simplePos x="0" y="0"/>
                <wp:positionH relativeFrom="column">
                  <wp:posOffset>4231005</wp:posOffset>
                </wp:positionH>
                <wp:positionV relativeFrom="paragraph">
                  <wp:posOffset>815340</wp:posOffset>
                </wp:positionV>
                <wp:extent cx="2577465" cy="291465"/>
                <wp:effectExtent l="0" t="0" r="0" b="0"/>
                <wp:wrapNone/>
                <wp:docPr id="50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77465" cy="291465"/>
                        </a:xfrm>
                        <a:prstGeom prst="rect">
                          <a:avLst/>
                        </a:prstGeom>
                        <a:solidFill>
                          <a:srgbClr val="FFFFFF"/>
                        </a:solidFill>
                        <a:ln w="9525">
                          <a:noFill/>
                          <a:miter lim="800000"/>
                          <a:headEnd/>
                          <a:tailEnd/>
                        </a:ln>
                      </wps:spPr>
                      <wps:txbx>
                        <w:txbxContent>
                          <w:p w:rsidR="008276DC" w:rsidRDefault="008276DC">
                            <w:pPr>
                              <w:rPr>
                                <w:b/>
                                <w:sz w:val="24"/>
                                <w:szCs w:val="24"/>
                              </w:rPr>
                            </w:pPr>
                            <w:r w:rsidRPr="00483C15">
                              <w:rPr>
                                <w:b/>
                                <w:sz w:val="24"/>
                                <w:szCs w:val="24"/>
                              </w:rPr>
                              <w:t>Les cinq sphères du développement</w:t>
                            </w:r>
                          </w:p>
                          <w:p w:rsidR="008276DC" w:rsidRPr="00483C15" w:rsidRDefault="008276DC">
                            <w:pPr>
                              <w:rPr>
                                <w:b/>
                                <w:sz w:val="24"/>
                                <w:szCs w:val="24"/>
                              </w:rPr>
                            </w:pPr>
                            <w:r>
                              <w:rPr>
                                <w:b/>
                                <w:sz w:val="24"/>
                                <w:szCs w:val="24"/>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1" type="#_x0000_t202" style="position:absolute;margin-left:333.15pt;margin-top:64.2pt;width:202.95pt;height:22.95pt;z-index:25198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" stroked="f">
                <v:textbox>
                  <w:txbxContent>
                    <w:p w:rsidR="008276DC" w:rsidRDefault="008276DC">
                      <w:pPr>
                        <w:rPr>
                          <w:b/>
                          <w:sz w:val="24"/>
                          <w:szCs w:val="24"/>
                        </w:rPr>
                      </w:pPr>
                      <w:r w:rsidRPr="00483C15">
                        <w:rPr>
                          <w:b/>
                          <w:sz w:val="24"/>
                          <w:szCs w:val="24"/>
                        </w:rPr>
                        <w:t>Les cinq sphères du développement</w:t>
                      </w:r>
                    </w:p>
                    <w:p w:rsidR="008276DC" w:rsidRPr="00483C15" w:rsidRDefault="008276DC">
                      <w:pPr>
                        <w:rPr>
                          <w:b/>
                          <w:sz w:val="24"/>
                          <w:szCs w:val="24"/>
                        </w:rPr>
                      </w:pPr>
                      <w:r>
                        <w:rPr>
                          <w:b/>
                          <w:sz w:val="24"/>
                          <w:szCs w:val="24"/>
                        </w:rPr>
                        <w:t>(</w:t>
                      </w:r>
                    </w:p>
                  </w:txbxContent>
                </v:textbox>
              </v:shape>
            </w:pict>
          </mc:Fallback>
        </mc:AlternateContent>
      </w:r>
      <w:r w:rsidR="00483C15">
        <w:rPr>
          <w:noProof/>
          <w:lang w:eastAsia="fr-CA"/>
        </w:rPr>
        <w:drawing>
          <wp:anchor distT="0" distB="0" distL="114300" distR="114300" simplePos="0" relativeHeight="251962368" behindDoc="1" locked="0" layoutInCell="1" allowOverlap="1" wp14:anchorId="11DFF750" wp14:editId="581F731B">
            <wp:simplePos x="0" y="0"/>
            <wp:positionH relativeFrom="column">
              <wp:posOffset>3594735</wp:posOffset>
            </wp:positionH>
            <wp:positionV relativeFrom="paragraph">
              <wp:posOffset>993775</wp:posOffset>
            </wp:positionV>
            <wp:extent cx="3891280" cy="2470785"/>
            <wp:effectExtent l="0" t="0" r="0" b="5715"/>
            <wp:wrapNone/>
            <wp:docPr id="482" name="Image 482" descr="Résultats de recherche d'images pour « sphères de développement pédiatriqu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Résultats de recherche d'images pour « sphères de développement pédiatrique »"/>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891280" cy="2470785"/>
                    </a:xfrm>
                    <a:prstGeom prst="rect">
                      <a:avLst/>
                    </a:prstGeom>
                    <a:noFill/>
                    <a:ln>
                      <a:noFill/>
                    </a:ln>
                  </pic:spPr>
                </pic:pic>
              </a:graphicData>
            </a:graphic>
            <wp14:sizeRelH relativeFrom="page">
              <wp14:pctWidth>0</wp14:pctWidth>
            </wp14:sizeRelH>
            <wp14:sizeRelV relativeFrom="page">
              <wp14:pctHeight>0</wp14:pctHeight>
            </wp14:sizeRelV>
          </wp:anchor>
        </w:drawing>
      </w:r>
      <w:r w:rsidR="00802490">
        <w:rPr>
          <w:b/>
          <w:noProof/>
          <w:sz w:val="28"/>
          <w:szCs w:val="28"/>
          <w:lang w:eastAsia="fr-CA"/>
        </w:rPr>
        <w:drawing>
          <wp:inline distT="0" distB="0" distL="0" distR="0" wp14:anchorId="498FB1BE" wp14:editId="28A2A52F">
            <wp:extent cx="3813243" cy="4884033"/>
            <wp:effectExtent l="0" t="0" r="0" b="0"/>
            <wp:docPr id="502" name="Imag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éveloppement.PNG"/>
                    <pic:cNvPicPr/>
                  </pic:nvPicPr>
                  <pic:blipFill>
                    <a:blip r:embed="rId79">
                      <a:extLst>
                        <a:ext uri="{28A0092B-C50C-407E-A947-70E740481C1C}">
                          <a14:useLocalDpi xmlns:a14="http://schemas.microsoft.com/office/drawing/2010/main" val="0"/>
                        </a:ext>
                      </a:extLst>
                    </a:blip>
                    <a:stretch>
                      <a:fillRect/>
                    </a:stretch>
                  </pic:blipFill>
                  <pic:spPr>
                    <a:xfrm>
                      <a:off x="0" y="0"/>
                      <a:ext cx="3811488" cy="4881785"/>
                    </a:xfrm>
                    <a:prstGeom prst="rect">
                      <a:avLst/>
                    </a:prstGeom>
                  </pic:spPr>
                </pic:pic>
              </a:graphicData>
            </a:graphic>
          </wp:inline>
        </w:drawing>
      </w:r>
    </w:p>
    <w:p w:rsidR="00087CA1" w:rsidRDefault="0094564F" w:rsidP="00BA2280">
      <w:pPr>
        <w:pStyle w:val="Sansinterligne"/>
        <w:rPr>
          <w:b/>
          <w:sz w:val="28"/>
          <w:szCs w:val="28"/>
        </w:rPr>
      </w:pPr>
      <w:r>
        <w:rPr>
          <w:noProof/>
          <w:lang w:eastAsia="fr-CA"/>
        </w:rPr>
        <w:lastRenderedPageBreak/>
        <mc:AlternateContent>
          <mc:Choice Requires="wps">
            <w:drawing>
              <wp:anchor distT="0" distB="0" distL="114300" distR="114300" simplePos="0" relativeHeight="251987968" behindDoc="0" locked="0" layoutInCell="1" allowOverlap="1" wp14:anchorId="02A7C9C7" wp14:editId="79F498A1">
                <wp:simplePos x="0" y="0"/>
                <wp:positionH relativeFrom="column">
                  <wp:posOffset>3773183</wp:posOffset>
                </wp:positionH>
                <wp:positionV relativeFrom="paragraph">
                  <wp:posOffset>-22265</wp:posOffset>
                </wp:positionV>
                <wp:extent cx="2374265" cy="1585609"/>
                <wp:effectExtent l="0" t="0" r="19050" b="14605"/>
                <wp:wrapNone/>
                <wp:docPr id="508"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585609"/>
                        </a:xfrm>
                        <a:prstGeom prst="rect">
                          <a:avLst/>
                        </a:prstGeom>
                        <a:solidFill>
                          <a:schemeClr val="accent6">
                            <a:lumMod val="40000"/>
                            <a:lumOff val="60000"/>
                          </a:schemeClr>
                        </a:solidFill>
                        <a:ln w="9525">
                          <a:solidFill>
                            <a:srgbClr val="000000"/>
                          </a:solidFill>
                          <a:miter lim="800000"/>
                          <a:headEnd/>
                          <a:tailEnd/>
                        </a:ln>
                      </wps:spPr>
                      <wps:txbx>
                        <w:txbxContent>
                          <w:p w:rsidR="008276DC" w:rsidRPr="0094564F" w:rsidRDefault="008276DC" w:rsidP="0094564F">
                            <w:pPr>
                              <w:jc w:val="center"/>
                              <w:rPr>
                                <w:b/>
                              </w:rPr>
                            </w:pPr>
                            <w:r w:rsidRPr="0094564F">
                              <w:rPr>
                                <w:b/>
                              </w:rPr>
                              <w:t>Retard global du développement</w:t>
                            </w:r>
                          </w:p>
                          <w:p w:rsidR="008276DC" w:rsidRDefault="008276DC" w:rsidP="0094564F">
                            <w:pPr>
                              <w:pStyle w:val="Sansinterligne"/>
                            </w:pPr>
                            <w:r w:rsidRPr="0094564F">
                              <w:t xml:space="preserve">Performance inférieure à 2 écarts-types sous la normale dans </w:t>
                            </w:r>
                            <w:r w:rsidRPr="0094564F">
                              <w:rPr>
                                <w:rFonts w:ascii="Century Gothic" w:hAnsi="Century Gothic"/>
                              </w:rPr>
                              <w:t>≥</w:t>
                            </w:r>
                            <w:r w:rsidRPr="0094564F">
                              <w:t xml:space="preserve"> 2 sphères de développement.</w:t>
                            </w:r>
                          </w:p>
                          <w:p w:rsidR="008276DC" w:rsidRDefault="008276DC" w:rsidP="0094564F">
                            <w:pPr>
                              <w:pStyle w:val="Sansinterligne"/>
                            </w:pPr>
                          </w:p>
                          <w:p w:rsidR="008276DC" w:rsidRDefault="008276DC" w:rsidP="0094564F">
                            <w:pPr>
                              <w:pStyle w:val="Sansinterligne"/>
                            </w:pPr>
                          </w:p>
                          <w:p w:rsidR="008276DC" w:rsidRDefault="008276DC" w:rsidP="0094564F">
                            <w:pPr>
                              <w:pStyle w:val="Sansinterligne"/>
                            </w:pPr>
                            <w:r>
                              <w:t>** Plus de la moitié des retards globaux sont sans étiologie identifiable.</w:t>
                            </w:r>
                          </w:p>
                          <w:p w:rsidR="008276DC" w:rsidRDefault="008276DC"/>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 id="_x0000_s1052" type="#_x0000_t202" style="position:absolute;margin-left:297.1pt;margin-top:-1.75pt;width:186.95pt;height:124.85pt;z-index:251987968;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" fillcolor="#fbd4b4 [1305]">
                <v:textbox>
                  <w:txbxContent>
                    <w:p w:rsidR="008276DC" w:rsidRPr="0094564F" w:rsidRDefault="008276DC" w:rsidP="0094564F">
                      <w:pPr>
                        <w:jc w:val="center"/>
                        <w:rPr>
                          <w:b/>
                        </w:rPr>
                      </w:pPr>
                      <w:r w:rsidRPr="0094564F">
                        <w:rPr>
                          <w:b/>
                        </w:rPr>
                        <w:t>Retard global du développement</w:t>
                      </w:r>
                    </w:p>
                    <w:p w:rsidR="008276DC" w:rsidRDefault="008276DC" w:rsidP="0094564F">
                      <w:pPr>
                        <w:pStyle w:val="Sansinterligne"/>
                      </w:pPr>
                      <w:r w:rsidRPr="0094564F">
                        <w:t xml:space="preserve">Performance inférieure à 2 écarts-types sous la normale dans </w:t>
                      </w:r>
                      <w:r w:rsidRPr="0094564F">
                        <w:rPr>
                          <w:rFonts w:ascii="Century Gothic" w:hAnsi="Century Gothic"/>
                        </w:rPr>
                        <w:t>≥</w:t>
                      </w:r>
                      <w:r w:rsidRPr="0094564F">
                        <w:t xml:space="preserve"> 2 sphères de développement.</w:t>
                      </w:r>
                    </w:p>
                    <w:p w:rsidR="008276DC" w:rsidRDefault="008276DC" w:rsidP="0094564F">
                      <w:pPr>
                        <w:pStyle w:val="Sansinterligne"/>
                      </w:pPr>
                    </w:p>
                    <w:p w:rsidR="008276DC" w:rsidRDefault="008276DC" w:rsidP="0094564F">
                      <w:pPr>
                        <w:pStyle w:val="Sansinterligne"/>
                      </w:pPr>
                    </w:p>
                    <w:p w:rsidR="008276DC" w:rsidRDefault="008276DC" w:rsidP="0094564F">
                      <w:pPr>
                        <w:pStyle w:val="Sansinterligne"/>
                      </w:pPr>
                      <w:r>
                        <w:t>** Plus de la moitié des retards globaux sont sans étiologie identifiable.</w:t>
                      </w:r>
                    </w:p>
                    <w:p w:rsidR="008276DC" w:rsidRDefault="008276DC"/>
                  </w:txbxContent>
                </v:textbox>
              </v:shape>
            </w:pict>
          </mc:Fallback>
        </mc:AlternateContent>
      </w:r>
      <w:r w:rsidR="002A4F69" w:rsidRPr="007572AF">
        <w:rPr>
          <w:b/>
          <w:sz w:val="28"/>
          <w:szCs w:val="28"/>
        </w:rPr>
        <w:t>Diagnostic</w:t>
      </w:r>
    </w:p>
    <w:p w:rsidR="0094564F" w:rsidRPr="00943DC6" w:rsidRDefault="0094564F" w:rsidP="00BA2280">
      <w:pPr>
        <w:pStyle w:val="Sansinterligne"/>
        <w:rPr>
          <w:b/>
          <w:sz w:val="16"/>
          <w:szCs w:val="16"/>
        </w:rPr>
      </w:pPr>
    </w:p>
    <w:p w:rsidR="00087CA1" w:rsidRPr="0094564F" w:rsidRDefault="00087CA1" w:rsidP="005D429F">
      <w:pPr>
        <w:pStyle w:val="Sansinterligne"/>
        <w:numPr>
          <w:ilvl w:val="0"/>
          <w:numId w:val="1039"/>
        </w:numPr>
        <w:rPr>
          <w:highlight w:val="yellow"/>
        </w:rPr>
      </w:pPr>
      <w:r w:rsidRPr="0094564F">
        <w:rPr>
          <w:highlight w:val="yellow"/>
        </w:rPr>
        <w:t>Il faut vérifier </w:t>
      </w:r>
      <w:r w:rsidR="0094564F" w:rsidRPr="0094564F">
        <w:rPr>
          <w:highlight w:val="yellow"/>
        </w:rPr>
        <w:t>si</w:t>
      </w:r>
      <w:r w:rsidRPr="0094564F">
        <w:rPr>
          <w:highlight w:val="yellow"/>
        </w:rPr>
        <w:t>:</w:t>
      </w:r>
    </w:p>
    <w:p w:rsidR="00087CA1" w:rsidRPr="0094564F" w:rsidRDefault="00087CA1" w:rsidP="005D429F">
      <w:pPr>
        <w:pStyle w:val="Sansinterligne"/>
        <w:numPr>
          <w:ilvl w:val="1"/>
          <w:numId w:val="1039"/>
        </w:numPr>
        <w:ind w:right="4988"/>
        <w:rPr>
          <w:highlight w:val="yellow"/>
        </w:rPr>
      </w:pPr>
      <w:r w:rsidRPr="0094564F">
        <w:rPr>
          <w:highlight w:val="yellow"/>
        </w:rPr>
        <w:t>Stimulation suffisante ?</w:t>
      </w:r>
    </w:p>
    <w:p w:rsidR="00087CA1" w:rsidRPr="0094564F" w:rsidRDefault="00087CA1" w:rsidP="005D429F">
      <w:pPr>
        <w:pStyle w:val="Sansinterligne"/>
        <w:numPr>
          <w:ilvl w:val="1"/>
          <w:numId w:val="1039"/>
        </w:numPr>
        <w:ind w:right="4988"/>
        <w:rPr>
          <w:highlight w:val="yellow"/>
        </w:rPr>
      </w:pPr>
      <w:r w:rsidRPr="0094564F">
        <w:rPr>
          <w:highlight w:val="yellow"/>
        </w:rPr>
        <w:t>Déficit sensoriel ? (surdité /cécité)</w:t>
      </w:r>
    </w:p>
    <w:p w:rsidR="00087CA1" w:rsidRPr="0094564F" w:rsidRDefault="00087CA1" w:rsidP="005D429F">
      <w:pPr>
        <w:pStyle w:val="Sansinterligne"/>
        <w:numPr>
          <w:ilvl w:val="1"/>
          <w:numId w:val="1039"/>
        </w:numPr>
        <w:ind w:right="4988"/>
        <w:rPr>
          <w:highlight w:val="yellow"/>
        </w:rPr>
      </w:pPr>
      <w:r w:rsidRPr="0094564F">
        <w:rPr>
          <w:highlight w:val="yellow"/>
        </w:rPr>
        <w:t>Anomalies MSK ou de la phonation ? (myasthénie grave, fente palatine, etc.)</w:t>
      </w:r>
    </w:p>
    <w:p w:rsidR="00087CA1" w:rsidRPr="0094564F" w:rsidRDefault="00087CA1" w:rsidP="005D429F">
      <w:pPr>
        <w:pStyle w:val="Sansinterligne"/>
        <w:numPr>
          <w:ilvl w:val="1"/>
          <w:numId w:val="1039"/>
        </w:numPr>
        <w:ind w:right="4988"/>
        <w:rPr>
          <w:highlight w:val="yellow"/>
        </w:rPr>
      </w:pPr>
      <w:r w:rsidRPr="0094564F">
        <w:rPr>
          <w:highlight w:val="yellow"/>
        </w:rPr>
        <w:t>Le retard est-il limité ou global ?</w:t>
      </w:r>
    </w:p>
    <w:p w:rsidR="00087CA1" w:rsidRPr="0094564F" w:rsidRDefault="00087CA1" w:rsidP="005D429F">
      <w:pPr>
        <w:pStyle w:val="Sansinterligne"/>
        <w:numPr>
          <w:ilvl w:val="1"/>
          <w:numId w:val="1039"/>
        </w:numPr>
        <w:ind w:right="4988"/>
        <w:rPr>
          <w:highlight w:val="yellow"/>
        </w:rPr>
      </w:pPr>
      <w:r w:rsidRPr="0094564F">
        <w:rPr>
          <w:highlight w:val="yellow"/>
        </w:rPr>
        <w:t>Y-a-t-il ralentissement, arrêt ou régression ?</w:t>
      </w:r>
    </w:p>
    <w:p w:rsidR="00087CA1" w:rsidRPr="00087CA1" w:rsidRDefault="00087CA1" w:rsidP="005D429F">
      <w:pPr>
        <w:pStyle w:val="Sansinterligne"/>
        <w:numPr>
          <w:ilvl w:val="1"/>
          <w:numId w:val="1039"/>
        </w:numPr>
        <w:ind w:right="4988"/>
      </w:pPr>
      <w:r w:rsidRPr="0094564F">
        <w:rPr>
          <w:highlight w:val="yellow"/>
        </w:rPr>
        <w:t>Condition médicale/systémique sous-jacente</w:t>
      </w:r>
      <w:r>
        <w:t xml:space="preserve"> ?</w:t>
      </w:r>
    </w:p>
    <w:p w:rsidR="00087CA1" w:rsidRPr="00943DC6" w:rsidRDefault="00087CA1" w:rsidP="00BA2280">
      <w:pPr>
        <w:pStyle w:val="Sansinterligne"/>
        <w:rPr>
          <w:b/>
          <w:sz w:val="16"/>
          <w:szCs w:val="16"/>
        </w:rPr>
      </w:pPr>
    </w:p>
    <w:p w:rsidR="0094564F" w:rsidRDefault="0094564F" w:rsidP="0094564F">
      <w:pPr>
        <w:pStyle w:val="Sansinterligne"/>
        <w:rPr>
          <w:lang w:eastAsia="fr-CA"/>
        </w:rPr>
      </w:pPr>
      <w:r>
        <w:rPr>
          <w:lang w:eastAsia="fr-CA"/>
        </w:rPr>
        <w:t>Il faut donc s’attarder particulièrement :</w:t>
      </w:r>
    </w:p>
    <w:p w:rsidR="0094564F" w:rsidRPr="006E166D" w:rsidRDefault="0094564F" w:rsidP="0094564F">
      <w:pPr>
        <w:pStyle w:val="Sansinterligne"/>
        <w:rPr>
          <w:sz w:val="20"/>
          <w:szCs w:val="20"/>
          <w:u w:val="single"/>
          <w:lang w:eastAsia="fr-CA"/>
        </w:rPr>
      </w:pPr>
      <w:r w:rsidRPr="006E166D">
        <w:rPr>
          <w:sz w:val="20"/>
          <w:szCs w:val="20"/>
          <w:u w:val="single"/>
          <w:lang w:eastAsia="fr-CA"/>
        </w:rPr>
        <w:t>Anamnèse</w:t>
      </w:r>
    </w:p>
    <w:p w:rsidR="0094564F" w:rsidRPr="002A7847" w:rsidRDefault="0094564F" w:rsidP="005D429F">
      <w:pPr>
        <w:pStyle w:val="Sansinterligne"/>
        <w:numPr>
          <w:ilvl w:val="0"/>
          <w:numId w:val="1040"/>
        </w:numPr>
        <w:rPr>
          <w:sz w:val="20"/>
          <w:szCs w:val="20"/>
          <w:highlight w:val="yellow"/>
          <w:lang w:eastAsia="fr-CA"/>
        </w:rPr>
      </w:pPr>
      <w:r w:rsidRPr="002A7847">
        <w:rPr>
          <w:sz w:val="20"/>
          <w:szCs w:val="20"/>
          <w:highlight w:val="yellow"/>
          <w:lang w:eastAsia="fr-CA"/>
        </w:rPr>
        <w:t>ATCD gestationnels (âge de naissance, RCIU, pathologies, médicaments/substances, infection à TORCH)</w:t>
      </w:r>
    </w:p>
    <w:p w:rsidR="0094564F" w:rsidRPr="002A7847" w:rsidRDefault="0094564F" w:rsidP="005D429F">
      <w:pPr>
        <w:pStyle w:val="Sansinterligne"/>
        <w:numPr>
          <w:ilvl w:val="0"/>
          <w:numId w:val="1040"/>
        </w:numPr>
        <w:rPr>
          <w:sz w:val="20"/>
          <w:szCs w:val="20"/>
          <w:highlight w:val="yellow"/>
          <w:lang w:eastAsia="fr-CA"/>
        </w:rPr>
      </w:pPr>
      <w:r w:rsidRPr="002A7847">
        <w:rPr>
          <w:sz w:val="20"/>
          <w:szCs w:val="20"/>
          <w:highlight w:val="yellow"/>
          <w:lang w:eastAsia="fr-CA"/>
        </w:rPr>
        <w:t>ATCD néonataux (APGAR, réanimation, maladie des membranes hyalines, hypotonie, anoxie, etc.)</w:t>
      </w:r>
    </w:p>
    <w:p w:rsidR="0094564F" w:rsidRPr="002A7847" w:rsidRDefault="0094564F" w:rsidP="005D429F">
      <w:pPr>
        <w:pStyle w:val="Sansinterligne"/>
        <w:numPr>
          <w:ilvl w:val="0"/>
          <w:numId w:val="1040"/>
        </w:numPr>
        <w:rPr>
          <w:sz w:val="20"/>
          <w:szCs w:val="20"/>
          <w:highlight w:val="yellow"/>
          <w:lang w:eastAsia="fr-CA"/>
        </w:rPr>
      </w:pPr>
      <w:r w:rsidRPr="002A7847">
        <w:rPr>
          <w:sz w:val="20"/>
          <w:szCs w:val="20"/>
          <w:highlight w:val="yellow"/>
          <w:lang w:eastAsia="fr-CA"/>
        </w:rPr>
        <w:t>ATCD personnels (kernictère, hypothyroïdie, maladie métabolique ou systémique, ex : FKP)</w:t>
      </w:r>
    </w:p>
    <w:p w:rsidR="0094564F" w:rsidRPr="006E166D" w:rsidRDefault="0094564F" w:rsidP="005D429F">
      <w:pPr>
        <w:pStyle w:val="Sansinterligne"/>
        <w:numPr>
          <w:ilvl w:val="0"/>
          <w:numId w:val="1040"/>
        </w:numPr>
        <w:rPr>
          <w:sz w:val="20"/>
          <w:szCs w:val="20"/>
          <w:lang w:eastAsia="fr-CA"/>
        </w:rPr>
      </w:pPr>
      <w:r w:rsidRPr="006E166D">
        <w:rPr>
          <w:sz w:val="20"/>
          <w:szCs w:val="20"/>
          <w:lang w:eastAsia="fr-CA"/>
        </w:rPr>
        <w:t xml:space="preserve">ATCD familiaux (syndromes, DI, troubles d’apprentissages, </w:t>
      </w:r>
      <w:r w:rsidR="00903CC8">
        <w:rPr>
          <w:sz w:val="20"/>
          <w:szCs w:val="20"/>
          <w:lang w:eastAsia="fr-CA"/>
        </w:rPr>
        <w:t xml:space="preserve">TDAH, </w:t>
      </w:r>
      <w:r w:rsidRPr="006E166D">
        <w:rPr>
          <w:sz w:val="20"/>
          <w:szCs w:val="20"/>
          <w:lang w:eastAsia="fr-CA"/>
        </w:rPr>
        <w:t>autisme, etc.)</w:t>
      </w:r>
    </w:p>
    <w:p w:rsidR="0094564F" w:rsidRPr="006E166D" w:rsidRDefault="0094564F" w:rsidP="005D429F">
      <w:pPr>
        <w:pStyle w:val="Sansinterligne"/>
        <w:numPr>
          <w:ilvl w:val="0"/>
          <w:numId w:val="1040"/>
        </w:numPr>
        <w:rPr>
          <w:sz w:val="20"/>
          <w:szCs w:val="20"/>
          <w:lang w:eastAsia="fr-CA"/>
        </w:rPr>
      </w:pPr>
      <w:r w:rsidRPr="006E166D">
        <w:rPr>
          <w:sz w:val="20"/>
          <w:szCs w:val="20"/>
          <w:lang w:eastAsia="fr-CA"/>
        </w:rPr>
        <w:t>Situation familiale (mono, biparentalité, famille d’accueil, violence, négligence, pauvreté</w:t>
      </w:r>
      <w:r w:rsidR="002A7847">
        <w:rPr>
          <w:sz w:val="20"/>
          <w:szCs w:val="20"/>
          <w:lang w:eastAsia="fr-CA"/>
        </w:rPr>
        <w:t xml:space="preserve">, </w:t>
      </w:r>
      <w:r w:rsidR="002A7847" w:rsidRPr="002A7847">
        <w:rPr>
          <w:sz w:val="20"/>
          <w:szCs w:val="20"/>
          <w:highlight w:val="yellow"/>
          <w:lang w:eastAsia="fr-CA"/>
        </w:rPr>
        <w:t>hypostimulation</w:t>
      </w:r>
      <w:r w:rsidRPr="006E166D">
        <w:rPr>
          <w:sz w:val="20"/>
          <w:szCs w:val="20"/>
          <w:lang w:eastAsia="fr-CA"/>
        </w:rPr>
        <w:t>)</w:t>
      </w:r>
    </w:p>
    <w:p w:rsidR="0094564F" w:rsidRPr="006E166D" w:rsidRDefault="0094564F" w:rsidP="005D429F">
      <w:pPr>
        <w:pStyle w:val="Sansinterligne"/>
        <w:numPr>
          <w:ilvl w:val="0"/>
          <w:numId w:val="1040"/>
        </w:numPr>
        <w:rPr>
          <w:sz w:val="20"/>
          <w:szCs w:val="20"/>
          <w:lang w:eastAsia="fr-CA"/>
        </w:rPr>
      </w:pPr>
      <w:r w:rsidRPr="006E166D">
        <w:rPr>
          <w:sz w:val="20"/>
          <w:szCs w:val="20"/>
          <w:lang w:eastAsia="fr-CA"/>
        </w:rPr>
        <w:t>Survenue du retard, présence de régression, comportements stéréotypés, condition de santé, Sx</w:t>
      </w:r>
    </w:p>
    <w:p w:rsidR="0094564F" w:rsidRPr="006E166D" w:rsidRDefault="0094564F" w:rsidP="0094564F">
      <w:pPr>
        <w:pStyle w:val="Sansinterligne"/>
        <w:rPr>
          <w:sz w:val="20"/>
          <w:szCs w:val="20"/>
          <w:u w:val="single"/>
          <w:lang w:eastAsia="fr-CA"/>
        </w:rPr>
      </w:pPr>
      <w:r w:rsidRPr="006E166D">
        <w:rPr>
          <w:sz w:val="20"/>
          <w:szCs w:val="20"/>
          <w:u w:val="single"/>
          <w:lang w:eastAsia="fr-CA"/>
        </w:rPr>
        <w:t>À l’E/P :</w:t>
      </w:r>
    </w:p>
    <w:p w:rsidR="0094564F" w:rsidRPr="006E166D" w:rsidRDefault="00E560FB" w:rsidP="005D429F">
      <w:pPr>
        <w:pStyle w:val="Sansinterligne"/>
        <w:numPr>
          <w:ilvl w:val="0"/>
          <w:numId w:val="1040"/>
        </w:numPr>
        <w:ind w:right="4704"/>
        <w:rPr>
          <w:sz w:val="20"/>
          <w:szCs w:val="20"/>
          <w:lang w:eastAsia="fr-CA"/>
        </w:rPr>
      </w:pPr>
      <w:r w:rsidRPr="006E166D">
        <w:rPr>
          <w:noProof/>
          <w:sz w:val="20"/>
          <w:szCs w:val="20"/>
          <w:lang w:eastAsia="fr-CA"/>
        </w:rPr>
        <w:drawing>
          <wp:anchor distT="0" distB="0" distL="114300" distR="114300" simplePos="0" relativeHeight="251984896" behindDoc="0" locked="0" layoutInCell="1" allowOverlap="1" wp14:anchorId="37904151" wp14:editId="34268F54">
            <wp:simplePos x="0" y="0"/>
            <wp:positionH relativeFrom="column">
              <wp:posOffset>4795696</wp:posOffset>
            </wp:positionH>
            <wp:positionV relativeFrom="paragraph">
              <wp:posOffset>28575</wp:posOffset>
            </wp:positionV>
            <wp:extent cx="1410335" cy="1410335"/>
            <wp:effectExtent l="19050" t="0" r="18415" b="475615"/>
            <wp:wrapNone/>
            <wp:docPr id="503" name="Image 503" descr="Résultats de recherche d'images pour « ndd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ésultats de recherche d'images pour « ndds »"/>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410335" cy="141033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page">
              <wp14:pctWidth>0</wp14:pctWidth>
            </wp14:sizeRelH>
            <wp14:sizeRelV relativeFrom="page">
              <wp14:pctHeight>0</wp14:pctHeight>
            </wp14:sizeRelV>
          </wp:anchor>
        </w:drawing>
      </w:r>
      <w:r w:rsidR="0094564F" w:rsidRPr="006E166D">
        <w:rPr>
          <w:sz w:val="20"/>
          <w:szCs w:val="20"/>
          <w:lang w:eastAsia="fr-CA"/>
        </w:rPr>
        <w:t>Évaluer l’interaction, la réaction à son nom, le contact visuel, les capacités motrices grossières.</w:t>
      </w:r>
    </w:p>
    <w:p w:rsidR="0094564F" w:rsidRPr="006E166D" w:rsidRDefault="0094564F" w:rsidP="005D429F">
      <w:pPr>
        <w:pStyle w:val="Sansinterligne"/>
        <w:numPr>
          <w:ilvl w:val="0"/>
          <w:numId w:val="1040"/>
        </w:numPr>
        <w:ind w:right="4704"/>
        <w:rPr>
          <w:sz w:val="20"/>
          <w:szCs w:val="20"/>
          <w:lang w:eastAsia="fr-CA"/>
        </w:rPr>
      </w:pPr>
      <w:r w:rsidRPr="006E166D">
        <w:rPr>
          <w:sz w:val="20"/>
          <w:szCs w:val="20"/>
          <w:lang w:eastAsia="fr-CA"/>
        </w:rPr>
        <w:t>Faire parler l’enfant.</w:t>
      </w:r>
    </w:p>
    <w:p w:rsidR="0094564F" w:rsidRPr="006E166D" w:rsidRDefault="0094564F" w:rsidP="005D429F">
      <w:pPr>
        <w:pStyle w:val="Sansinterligne"/>
        <w:numPr>
          <w:ilvl w:val="0"/>
          <w:numId w:val="1040"/>
        </w:numPr>
        <w:ind w:right="4704"/>
        <w:rPr>
          <w:sz w:val="20"/>
          <w:szCs w:val="20"/>
          <w:lang w:eastAsia="fr-CA"/>
        </w:rPr>
      </w:pPr>
      <w:r w:rsidRPr="002A7847">
        <w:rPr>
          <w:sz w:val="20"/>
          <w:szCs w:val="20"/>
          <w:highlight w:val="yellow"/>
          <w:lang w:eastAsia="fr-CA"/>
        </w:rPr>
        <w:t>Recherche de dysmorphisme</w:t>
      </w:r>
      <w:r w:rsidR="009322C8" w:rsidRPr="006E166D">
        <w:rPr>
          <w:sz w:val="20"/>
          <w:szCs w:val="20"/>
          <w:lang w:eastAsia="fr-CA"/>
        </w:rPr>
        <w:t xml:space="preserve"> (philtrum lisse - alcoolisation fœtale, cou palmé, etc.)</w:t>
      </w:r>
    </w:p>
    <w:p w:rsidR="0094564F" w:rsidRPr="006E166D" w:rsidRDefault="0094564F" w:rsidP="005D429F">
      <w:pPr>
        <w:pStyle w:val="Sansinterligne"/>
        <w:numPr>
          <w:ilvl w:val="0"/>
          <w:numId w:val="1040"/>
        </w:numPr>
        <w:ind w:right="4704"/>
        <w:rPr>
          <w:sz w:val="20"/>
          <w:szCs w:val="20"/>
          <w:lang w:eastAsia="fr-CA"/>
        </w:rPr>
      </w:pPr>
      <w:r w:rsidRPr="006E166D">
        <w:rPr>
          <w:sz w:val="20"/>
          <w:szCs w:val="20"/>
          <w:lang w:eastAsia="fr-CA"/>
        </w:rPr>
        <w:t>Recherche de microcéphalie</w:t>
      </w:r>
      <w:r w:rsidR="00804B2E" w:rsidRPr="006E166D">
        <w:rPr>
          <w:sz w:val="20"/>
          <w:szCs w:val="20"/>
          <w:lang w:eastAsia="fr-CA"/>
        </w:rPr>
        <w:t>, de dysraphisme</w:t>
      </w:r>
    </w:p>
    <w:p w:rsidR="0094564F" w:rsidRPr="006E166D" w:rsidRDefault="0094564F" w:rsidP="005D429F">
      <w:pPr>
        <w:pStyle w:val="Sansinterligne"/>
        <w:numPr>
          <w:ilvl w:val="0"/>
          <w:numId w:val="1040"/>
        </w:numPr>
        <w:ind w:right="4704"/>
        <w:rPr>
          <w:sz w:val="20"/>
          <w:szCs w:val="20"/>
          <w:lang w:eastAsia="fr-CA"/>
        </w:rPr>
      </w:pPr>
      <w:r w:rsidRPr="002A7847">
        <w:rPr>
          <w:sz w:val="20"/>
          <w:szCs w:val="20"/>
          <w:highlight w:val="yellow"/>
          <w:lang w:eastAsia="fr-CA"/>
        </w:rPr>
        <w:t xml:space="preserve">Recherche </w:t>
      </w:r>
      <w:r w:rsidR="00804B2E" w:rsidRPr="002A7847">
        <w:rPr>
          <w:sz w:val="20"/>
          <w:szCs w:val="20"/>
          <w:highlight w:val="yellow"/>
          <w:lang w:eastAsia="fr-CA"/>
        </w:rPr>
        <w:t>de convulsions, troubles neurologiques</w:t>
      </w:r>
      <w:r w:rsidR="00804B2E" w:rsidRPr="006E166D">
        <w:rPr>
          <w:sz w:val="20"/>
          <w:szCs w:val="20"/>
          <w:lang w:eastAsia="fr-CA"/>
        </w:rPr>
        <w:t xml:space="preserve"> (épilepsie chronique, hydrocéphalie, etc.)</w:t>
      </w:r>
    </w:p>
    <w:p w:rsidR="0094564F" w:rsidRPr="002A7847" w:rsidRDefault="0094564F" w:rsidP="005D429F">
      <w:pPr>
        <w:pStyle w:val="Sansinterligne"/>
        <w:numPr>
          <w:ilvl w:val="0"/>
          <w:numId w:val="1040"/>
        </w:numPr>
        <w:ind w:right="4704"/>
        <w:rPr>
          <w:sz w:val="20"/>
          <w:szCs w:val="20"/>
          <w:highlight w:val="yellow"/>
          <w:lang w:eastAsia="fr-CA"/>
        </w:rPr>
      </w:pPr>
      <w:r w:rsidRPr="002A7847">
        <w:rPr>
          <w:sz w:val="20"/>
          <w:szCs w:val="20"/>
          <w:highlight w:val="yellow"/>
          <w:lang w:eastAsia="fr-CA"/>
        </w:rPr>
        <w:t>Recherche d’atteinte auditive/canal auditif</w:t>
      </w:r>
    </w:p>
    <w:p w:rsidR="0094564F" w:rsidRPr="006E166D" w:rsidRDefault="0094564F" w:rsidP="005D429F">
      <w:pPr>
        <w:pStyle w:val="Sansinterligne"/>
        <w:numPr>
          <w:ilvl w:val="0"/>
          <w:numId w:val="1040"/>
        </w:numPr>
        <w:ind w:right="4704"/>
        <w:rPr>
          <w:sz w:val="20"/>
          <w:szCs w:val="20"/>
          <w:lang w:eastAsia="fr-CA"/>
        </w:rPr>
      </w:pPr>
      <w:r w:rsidRPr="006E166D">
        <w:rPr>
          <w:sz w:val="20"/>
          <w:szCs w:val="20"/>
          <w:lang w:eastAsia="fr-CA"/>
        </w:rPr>
        <w:t>Recherche d’anomalies à l’examen physique complet</w:t>
      </w:r>
    </w:p>
    <w:p w:rsidR="00591A5D" w:rsidRDefault="00591A5D" w:rsidP="003F7B13">
      <w:pPr>
        <w:pStyle w:val="Sansinterligne"/>
        <w:rPr>
          <w:lang w:eastAsia="fr-CA"/>
        </w:rPr>
      </w:pPr>
    </w:p>
    <w:tbl>
      <w:tblPr>
        <w:tblStyle w:val="Grilledutableau"/>
        <w:tblW w:w="0" w:type="auto"/>
        <w:tblLook w:val="04A0" w:firstRow="1" w:lastRow="0" w:firstColumn="1" w:lastColumn="0" w:noHBand="0" w:noVBand="1"/>
      </w:tblPr>
      <w:tblGrid>
        <w:gridCol w:w="2802"/>
        <w:gridCol w:w="4069"/>
        <w:gridCol w:w="4069"/>
      </w:tblGrid>
      <w:tr w:rsidR="009322C8" w:rsidTr="009322C8">
        <w:tc>
          <w:tcPr>
            <w:tcW w:w="10940" w:type="dxa"/>
            <w:gridSpan w:val="3"/>
            <w:shd w:val="clear" w:color="auto" w:fill="FFC000"/>
          </w:tcPr>
          <w:p w:rsidR="009322C8" w:rsidRDefault="009322C8" w:rsidP="009322C8">
            <w:pPr>
              <w:pStyle w:val="Sansinterligne"/>
              <w:jc w:val="center"/>
              <w:rPr>
                <w:lang w:eastAsia="fr-CA"/>
              </w:rPr>
            </w:pPr>
            <w:r>
              <w:rPr>
                <w:lang w:eastAsia="fr-CA"/>
              </w:rPr>
              <w:t>Retard de langage et de la parole</w:t>
            </w:r>
          </w:p>
        </w:tc>
      </w:tr>
      <w:tr w:rsidR="009322C8" w:rsidTr="00630D1F">
        <w:tc>
          <w:tcPr>
            <w:tcW w:w="2802" w:type="dxa"/>
            <w:shd w:val="clear" w:color="auto" w:fill="C4BC96" w:themeFill="background2" w:themeFillShade="BF"/>
          </w:tcPr>
          <w:p w:rsidR="009322C8" w:rsidRPr="00FF79EF" w:rsidRDefault="009322C8" w:rsidP="00D572C5">
            <w:pPr>
              <w:pStyle w:val="Sansinterligne"/>
              <w:jc w:val="center"/>
              <w:rPr>
                <w:i/>
                <w:lang w:eastAsia="fr-CA"/>
              </w:rPr>
            </w:pPr>
            <w:r w:rsidRPr="00FF79EF">
              <w:rPr>
                <w:i/>
                <w:lang w:eastAsia="fr-CA"/>
              </w:rPr>
              <w:t>Cause</w:t>
            </w:r>
          </w:p>
        </w:tc>
        <w:tc>
          <w:tcPr>
            <w:tcW w:w="8138" w:type="dxa"/>
            <w:gridSpan w:val="2"/>
            <w:shd w:val="clear" w:color="auto" w:fill="C4BC96" w:themeFill="background2" w:themeFillShade="BF"/>
          </w:tcPr>
          <w:p w:rsidR="009322C8" w:rsidRPr="00FF79EF" w:rsidRDefault="009322C8" w:rsidP="00D572C5">
            <w:pPr>
              <w:pStyle w:val="Sansinterligne"/>
              <w:jc w:val="center"/>
              <w:rPr>
                <w:i/>
                <w:lang w:eastAsia="fr-CA"/>
              </w:rPr>
            </w:pPr>
            <w:r w:rsidRPr="00FF79EF">
              <w:rPr>
                <w:i/>
                <w:lang w:eastAsia="fr-CA"/>
              </w:rPr>
              <w:t>Manifestations cliniques</w:t>
            </w:r>
          </w:p>
        </w:tc>
      </w:tr>
      <w:tr w:rsidR="009322C8" w:rsidTr="00630D1F">
        <w:tc>
          <w:tcPr>
            <w:tcW w:w="2802" w:type="dxa"/>
            <w:shd w:val="clear" w:color="auto" w:fill="C4BC96" w:themeFill="background2" w:themeFillShade="BF"/>
            <w:vAlign w:val="center"/>
          </w:tcPr>
          <w:p w:rsidR="007D351A" w:rsidRDefault="009322C8" w:rsidP="007D351A">
            <w:pPr>
              <w:pStyle w:val="Sansinterligne"/>
              <w:jc w:val="center"/>
              <w:rPr>
                <w:lang w:eastAsia="fr-CA"/>
              </w:rPr>
            </w:pPr>
            <w:r>
              <w:rPr>
                <w:lang w:eastAsia="fr-CA"/>
              </w:rPr>
              <w:t>Trouble auditif</w:t>
            </w:r>
          </w:p>
        </w:tc>
        <w:tc>
          <w:tcPr>
            <w:tcW w:w="8138" w:type="dxa"/>
            <w:gridSpan w:val="2"/>
          </w:tcPr>
          <w:p w:rsidR="009322C8" w:rsidRDefault="007D351A" w:rsidP="00076FFD">
            <w:pPr>
              <w:pStyle w:val="Sansinterligne"/>
              <w:rPr>
                <w:lang w:eastAsia="fr-CA"/>
              </w:rPr>
            </w:pPr>
            <w:r>
              <w:rPr>
                <w:lang w:eastAsia="fr-CA"/>
              </w:rPr>
              <w:t xml:space="preserve">Voir </w:t>
            </w:r>
            <w:r w:rsidRPr="007D351A">
              <w:rPr>
                <w:i/>
                <w:lang w:eastAsia="fr-CA"/>
              </w:rPr>
              <w:t>Perte auditive et surdité CMC 40</w:t>
            </w:r>
          </w:p>
        </w:tc>
      </w:tr>
      <w:tr w:rsidR="00FF79EF" w:rsidTr="00630D1F">
        <w:tc>
          <w:tcPr>
            <w:tcW w:w="2802" w:type="dxa"/>
            <w:shd w:val="clear" w:color="auto" w:fill="C4BC96" w:themeFill="background2" w:themeFillShade="BF"/>
            <w:vAlign w:val="center"/>
          </w:tcPr>
          <w:p w:rsidR="00FF79EF" w:rsidRDefault="00FF79EF" w:rsidP="00471218">
            <w:pPr>
              <w:pStyle w:val="Sansinterligne"/>
              <w:jc w:val="center"/>
              <w:rPr>
                <w:lang w:eastAsia="fr-CA"/>
              </w:rPr>
            </w:pPr>
            <w:r>
              <w:rPr>
                <w:lang w:eastAsia="fr-CA"/>
              </w:rPr>
              <w:t>Trouble du langage</w:t>
            </w:r>
          </w:p>
          <w:p w:rsidR="00FF79EF" w:rsidRDefault="00FF79EF" w:rsidP="00BB5A1E">
            <w:pPr>
              <w:pStyle w:val="Sansinterligne"/>
              <w:jc w:val="center"/>
              <w:rPr>
                <w:lang w:eastAsia="fr-CA"/>
              </w:rPr>
            </w:pPr>
            <w:r>
              <w:rPr>
                <w:lang w:eastAsia="fr-CA"/>
              </w:rPr>
              <w:t>(</w:t>
            </w:r>
            <w:r w:rsidR="00BB5A1E">
              <w:rPr>
                <w:lang w:eastAsia="fr-CA"/>
              </w:rPr>
              <w:t>voir DSM V)</w:t>
            </w:r>
          </w:p>
        </w:tc>
        <w:tc>
          <w:tcPr>
            <w:tcW w:w="4069" w:type="dxa"/>
            <w:tcBorders>
              <w:right w:val="single" w:sz="4" w:space="0" w:color="FFFFFF" w:themeColor="background1"/>
            </w:tcBorders>
          </w:tcPr>
          <w:p w:rsidR="00FF79EF" w:rsidRDefault="00FF79EF" w:rsidP="005D429F">
            <w:pPr>
              <w:pStyle w:val="Sansinterligne"/>
              <w:numPr>
                <w:ilvl w:val="0"/>
                <w:numId w:val="1041"/>
              </w:numPr>
              <w:rPr>
                <w:lang w:eastAsia="fr-CA"/>
              </w:rPr>
            </w:pPr>
            <w:r>
              <w:rPr>
                <w:lang w:eastAsia="fr-CA"/>
              </w:rPr>
              <w:t>Bégaiement</w:t>
            </w:r>
          </w:p>
          <w:p w:rsidR="00FF79EF" w:rsidRDefault="00BB5A1E" w:rsidP="005D429F">
            <w:pPr>
              <w:pStyle w:val="Sansinterligne"/>
              <w:numPr>
                <w:ilvl w:val="0"/>
                <w:numId w:val="1041"/>
              </w:numPr>
              <w:rPr>
                <w:lang w:eastAsia="fr-CA"/>
              </w:rPr>
            </w:pPr>
            <w:r>
              <w:rPr>
                <w:lang w:eastAsia="fr-CA"/>
              </w:rPr>
              <w:t>Faible vocabulaire pour l’âge</w:t>
            </w:r>
          </w:p>
          <w:p w:rsidR="00BB5A1E" w:rsidRDefault="00BB5A1E" w:rsidP="005D429F">
            <w:pPr>
              <w:pStyle w:val="Sansinterligne"/>
              <w:numPr>
                <w:ilvl w:val="0"/>
                <w:numId w:val="1041"/>
              </w:numPr>
              <w:rPr>
                <w:lang w:eastAsia="fr-CA"/>
              </w:rPr>
            </w:pPr>
            <w:r>
              <w:rPr>
                <w:lang w:eastAsia="fr-CA"/>
              </w:rPr>
              <w:t>Difficulté à faire des phrases</w:t>
            </w:r>
          </w:p>
        </w:tc>
        <w:tc>
          <w:tcPr>
            <w:tcW w:w="4069" w:type="dxa"/>
            <w:tcBorders>
              <w:left w:val="single" w:sz="4" w:space="0" w:color="FFFFFF" w:themeColor="background1"/>
            </w:tcBorders>
          </w:tcPr>
          <w:p w:rsidR="00FF79EF" w:rsidRDefault="00FF79EF" w:rsidP="005D429F">
            <w:pPr>
              <w:pStyle w:val="Sansinterligne"/>
              <w:numPr>
                <w:ilvl w:val="0"/>
                <w:numId w:val="1041"/>
              </w:numPr>
              <w:rPr>
                <w:lang w:eastAsia="fr-CA"/>
              </w:rPr>
            </w:pPr>
            <w:r>
              <w:rPr>
                <w:lang w:eastAsia="fr-CA"/>
              </w:rPr>
              <w:t>D</w:t>
            </w:r>
            <w:r w:rsidR="00BB5A1E">
              <w:rPr>
                <w:lang w:eastAsia="fr-CA"/>
              </w:rPr>
              <w:t>ifficulté à acquérir de nouveaux mots</w:t>
            </w:r>
          </w:p>
          <w:p w:rsidR="00FF79EF" w:rsidRDefault="00FF79EF" w:rsidP="005D429F">
            <w:pPr>
              <w:pStyle w:val="Sansinterligne"/>
              <w:numPr>
                <w:ilvl w:val="0"/>
                <w:numId w:val="1041"/>
              </w:numPr>
              <w:rPr>
                <w:lang w:eastAsia="fr-CA"/>
              </w:rPr>
            </w:pPr>
            <w:r>
              <w:rPr>
                <w:lang w:eastAsia="fr-CA"/>
              </w:rPr>
              <w:t>Difficultés de prononciation</w:t>
            </w:r>
          </w:p>
          <w:p w:rsidR="00131846" w:rsidRDefault="00131846" w:rsidP="005D429F">
            <w:pPr>
              <w:pStyle w:val="Sansinterligne"/>
              <w:numPr>
                <w:ilvl w:val="0"/>
                <w:numId w:val="1041"/>
              </w:numPr>
              <w:rPr>
                <w:lang w:eastAsia="fr-CA"/>
              </w:rPr>
            </w:pPr>
            <w:r>
              <w:rPr>
                <w:lang w:eastAsia="fr-CA"/>
              </w:rPr>
              <w:t>Etc.</w:t>
            </w:r>
          </w:p>
        </w:tc>
      </w:tr>
      <w:tr w:rsidR="00131846" w:rsidTr="00630D1F">
        <w:tc>
          <w:tcPr>
            <w:tcW w:w="2802" w:type="dxa"/>
            <w:shd w:val="clear" w:color="auto" w:fill="C4BC96" w:themeFill="background2" w:themeFillShade="BF"/>
            <w:vAlign w:val="center"/>
          </w:tcPr>
          <w:p w:rsidR="00131846" w:rsidRPr="00505E48" w:rsidRDefault="00131846" w:rsidP="00471218">
            <w:pPr>
              <w:pStyle w:val="Sansinterligne"/>
              <w:jc w:val="center"/>
              <w:rPr>
                <w:b/>
                <w:lang w:eastAsia="fr-CA"/>
              </w:rPr>
            </w:pPr>
            <w:r w:rsidRPr="00505E48">
              <w:rPr>
                <w:b/>
                <w:lang w:eastAsia="fr-CA"/>
              </w:rPr>
              <w:t>Trouble du spectre de l’autisme</w:t>
            </w:r>
          </w:p>
        </w:tc>
        <w:tc>
          <w:tcPr>
            <w:tcW w:w="4069" w:type="dxa"/>
            <w:tcBorders>
              <w:right w:val="single" w:sz="4" w:space="0" w:color="FFFF00"/>
            </w:tcBorders>
            <w:shd w:val="clear" w:color="auto" w:fill="FFFF00"/>
          </w:tcPr>
          <w:p w:rsidR="00630D1F" w:rsidRPr="00630D1F" w:rsidRDefault="00630D1F" w:rsidP="00630D1F">
            <w:pPr>
              <w:pStyle w:val="Sansinterligne"/>
              <w:rPr>
                <w:b/>
                <w:lang w:eastAsia="fr-CA"/>
              </w:rPr>
            </w:pPr>
            <w:r w:rsidRPr="00630D1F">
              <w:rPr>
                <w:b/>
                <w:lang w:eastAsia="fr-CA"/>
              </w:rPr>
              <w:t>Socialisation</w:t>
            </w:r>
          </w:p>
          <w:p w:rsidR="00630D1F" w:rsidRDefault="00630D1F" w:rsidP="005D429F">
            <w:pPr>
              <w:pStyle w:val="Sansinterligne"/>
              <w:numPr>
                <w:ilvl w:val="0"/>
                <w:numId w:val="1042"/>
              </w:numPr>
              <w:rPr>
                <w:lang w:eastAsia="fr-CA"/>
              </w:rPr>
            </w:pPr>
            <w:r>
              <w:rPr>
                <w:lang w:eastAsia="fr-CA"/>
              </w:rPr>
              <w:t>Activités répétitives</w:t>
            </w:r>
          </w:p>
          <w:p w:rsidR="00630D1F" w:rsidRPr="004A3385" w:rsidRDefault="00630D1F" w:rsidP="005D429F">
            <w:pPr>
              <w:pStyle w:val="Sansinterligne"/>
              <w:numPr>
                <w:ilvl w:val="0"/>
                <w:numId w:val="1042"/>
              </w:numPr>
              <w:rPr>
                <w:u w:val="single"/>
                <w:lang w:eastAsia="fr-CA"/>
              </w:rPr>
            </w:pPr>
            <w:r w:rsidRPr="004A3385">
              <w:rPr>
                <w:u w:val="single"/>
                <w:lang w:eastAsia="fr-CA"/>
              </w:rPr>
              <w:t>Régression sociale ou langagière</w:t>
            </w:r>
          </w:p>
          <w:p w:rsidR="00630D1F" w:rsidRDefault="00630D1F" w:rsidP="005D429F">
            <w:pPr>
              <w:pStyle w:val="Sansinterligne"/>
              <w:numPr>
                <w:ilvl w:val="0"/>
                <w:numId w:val="1042"/>
              </w:numPr>
              <w:rPr>
                <w:lang w:eastAsia="fr-CA"/>
              </w:rPr>
            </w:pPr>
            <w:r>
              <w:rPr>
                <w:lang w:eastAsia="fr-CA"/>
              </w:rPr>
              <w:t>Réagit peu à l’absence des parents</w:t>
            </w:r>
          </w:p>
          <w:p w:rsidR="00630D1F" w:rsidRDefault="00630D1F" w:rsidP="005D429F">
            <w:pPr>
              <w:pStyle w:val="Sansinterligne"/>
              <w:numPr>
                <w:ilvl w:val="0"/>
                <w:numId w:val="1042"/>
              </w:numPr>
              <w:rPr>
                <w:lang w:eastAsia="fr-CA"/>
              </w:rPr>
            </w:pPr>
            <w:r>
              <w:rPr>
                <w:lang w:eastAsia="fr-CA"/>
              </w:rPr>
              <w:t>Ne joue pas de façon fonctionnelle</w:t>
            </w:r>
          </w:p>
          <w:p w:rsidR="00630D1F" w:rsidRDefault="00630D1F" w:rsidP="005D429F">
            <w:pPr>
              <w:pStyle w:val="Sansinterligne"/>
              <w:numPr>
                <w:ilvl w:val="0"/>
                <w:numId w:val="1042"/>
              </w:numPr>
              <w:rPr>
                <w:lang w:eastAsia="fr-CA"/>
              </w:rPr>
            </w:pPr>
            <w:r>
              <w:rPr>
                <w:lang w:eastAsia="fr-CA"/>
              </w:rPr>
              <w:t xml:space="preserve">Ignore les autres enfants qui cherchent à interagir </w:t>
            </w:r>
          </w:p>
          <w:p w:rsidR="00131846" w:rsidRPr="004A3385" w:rsidRDefault="00630D1F" w:rsidP="005D429F">
            <w:pPr>
              <w:pStyle w:val="Sansinterligne"/>
              <w:numPr>
                <w:ilvl w:val="0"/>
                <w:numId w:val="1042"/>
              </w:numPr>
              <w:rPr>
                <w:u w:val="single"/>
                <w:lang w:eastAsia="fr-CA"/>
              </w:rPr>
            </w:pPr>
            <w:r w:rsidRPr="004A3385">
              <w:rPr>
                <w:u w:val="single"/>
                <w:lang w:eastAsia="fr-CA"/>
              </w:rPr>
              <w:t>Intérêt marqué et restreint pour certains thèmes (dinosaures, trains, etc.)</w:t>
            </w:r>
          </w:p>
        </w:tc>
        <w:tc>
          <w:tcPr>
            <w:tcW w:w="4069" w:type="dxa"/>
            <w:tcBorders>
              <w:left w:val="single" w:sz="4" w:space="0" w:color="FFFF00"/>
            </w:tcBorders>
            <w:shd w:val="clear" w:color="auto" w:fill="FFFF00"/>
          </w:tcPr>
          <w:p w:rsidR="00630D1F" w:rsidRPr="00630D1F" w:rsidRDefault="00630D1F" w:rsidP="00630D1F">
            <w:pPr>
              <w:pStyle w:val="Sansinterligne"/>
              <w:rPr>
                <w:b/>
                <w:lang w:eastAsia="fr-CA"/>
              </w:rPr>
            </w:pPr>
            <w:r w:rsidRPr="00630D1F">
              <w:rPr>
                <w:b/>
                <w:lang w:eastAsia="fr-CA"/>
              </w:rPr>
              <w:t>Communication</w:t>
            </w:r>
          </w:p>
          <w:p w:rsidR="00630D1F" w:rsidRPr="004A3385" w:rsidRDefault="00630D1F" w:rsidP="005D429F">
            <w:pPr>
              <w:pStyle w:val="Sansinterligne"/>
              <w:numPr>
                <w:ilvl w:val="0"/>
                <w:numId w:val="1042"/>
              </w:numPr>
              <w:rPr>
                <w:u w:val="single"/>
                <w:lang w:eastAsia="fr-CA"/>
              </w:rPr>
            </w:pPr>
            <w:r w:rsidRPr="004A3385">
              <w:rPr>
                <w:u w:val="single"/>
                <w:lang w:eastAsia="fr-CA"/>
              </w:rPr>
              <w:t>Expression émotionnelle réduite</w:t>
            </w:r>
          </w:p>
          <w:p w:rsidR="00630D1F" w:rsidRPr="004A3385" w:rsidRDefault="00630D1F" w:rsidP="005D429F">
            <w:pPr>
              <w:pStyle w:val="Sansinterligne"/>
              <w:numPr>
                <w:ilvl w:val="0"/>
                <w:numId w:val="1042"/>
              </w:numPr>
              <w:rPr>
                <w:u w:val="single"/>
                <w:lang w:eastAsia="fr-CA"/>
              </w:rPr>
            </w:pPr>
            <w:r w:rsidRPr="004A3385">
              <w:rPr>
                <w:u w:val="single"/>
                <w:lang w:eastAsia="fr-CA"/>
              </w:rPr>
              <w:t>Peu de contact visuel</w:t>
            </w:r>
          </w:p>
          <w:p w:rsidR="00630D1F" w:rsidRDefault="00630D1F" w:rsidP="005D429F">
            <w:pPr>
              <w:pStyle w:val="Sansinterligne"/>
              <w:numPr>
                <w:ilvl w:val="0"/>
                <w:numId w:val="1042"/>
              </w:numPr>
              <w:rPr>
                <w:lang w:eastAsia="fr-CA"/>
              </w:rPr>
            </w:pPr>
            <w:r>
              <w:rPr>
                <w:lang w:eastAsia="fr-CA"/>
              </w:rPr>
              <w:t>Absence de requêtes/demandes</w:t>
            </w:r>
          </w:p>
          <w:p w:rsidR="00630D1F" w:rsidRDefault="00630D1F" w:rsidP="005D429F">
            <w:pPr>
              <w:pStyle w:val="Sansinterligne"/>
              <w:numPr>
                <w:ilvl w:val="0"/>
                <w:numId w:val="1042"/>
              </w:numPr>
              <w:rPr>
                <w:lang w:eastAsia="fr-CA"/>
              </w:rPr>
            </w:pPr>
            <w:r>
              <w:rPr>
                <w:lang w:eastAsia="fr-CA"/>
              </w:rPr>
              <w:t>Pas de langage à 16 mois ou absence de phrases de 2 mots à 24 mois</w:t>
            </w:r>
          </w:p>
          <w:p w:rsidR="00131846" w:rsidRPr="00630D1F" w:rsidRDefault="00131846" w:rsidP="00131846">
            <w:pPr>
              <w:pStyle w:val="Sansinterligne"/>
              <w:rPr>
                <w:b/>
                <w:lang w:eastAsia="fr-CA"/>
              </w:rPr>
            </w:pPr>
            <w:r w:rsidRPr="00630D1F">
              <w:rPr>
                <w:b/>
                <w:lang w:eastAsia="fr-CA"/>
              </w:rPr>
              <w:t>Autres</w:t>
            </w:r>
            <w:r w:rsidR="0059013A">
              <w:rPr>
                <w:b/>
                <w:lang w:eastAsia="fr-CA"/>
              </w:rPr>
              <w:t xml:space="preserve"> </w:t>
            </w:r>
          </w:p>
          <w:p w:rsidR="00131846" w:rsidRDefault="00131846" w:rsidP="005D429F">
            <w:pPr>
              <w:pStyle w:val="Sansinterligne"/>
              <w:numPr>
                <w:ilvl w:val="0"/>
                <w:numId w:val="1042"/>
              </w:numPr>
              <w:rPr>
                <w:lang w:eastAsia="fr-CA"/>
              </w:rPr>
            </w:pPr>
            <w:r>
              <w:rPr>
                <w:lang w:eastAsia="fr-CA"/>
              </w:rPr>
              <w:t>Hypo/hypersensibilité (ex : textures de nourriture)</w:t>
            </w:r>
          </w:p>
          <w:p w:rsidR="00131846" w:rsidRPr="005B2D1D" w:rsidRDefault="00131846" w:rsidP="005D429F">
            <w:pPr>
              <w:pStyle w:val="Sansinterligne"/>
              <w:numPr>
                <w:ilvl w:val="0"/>
                <w:numId w:val="1042"/>
              </w:numPr>
              <w:rPr>
                <w:u w:val="single"/>
                <w:lang w:eastAsia="fr-CA"/>
              </w:rPr>
            </w:pPr>
            <w:r w:rsidRPr="005B2D1D">
              <w:rPr>
                <w:u w:val="single"/>
                <w:lang w:eastAsia="fr-CA"/>
              </w:rPr>
              <w:t>Mouvements répétitifs, stéréotypés</w:t>
            </w:r>
          </w:p>
          <w:p w:rsidR="00131846" w:rsidRDefault="00131846" w:rsidP="005D429F">
            <w:pPr>
              <w:pStyle w:val="Sansinterligne"/>
              <w:numPr>
                <w:ilvl w:val="0"/>
                <w:numId w:val="1042"/>
              </w:numPr>
              <w:rPr>
                <w:lang w:eastAsia="fr-CA"/>
              </w:rPr>
            </w:pPr>
            <w:r>
              <w:rPr>
                <w:lang w:eastAsia="fr-CA"/>
              </w:rPr>
              <w:t>Écholalie, monologue, mots très techniques</w:t>
            </w:r>
          </w:p>
        </w:tc>
      </w:tr>
    </w:tbl>
    <w:tbl>
      <w:tblPr>
        <w:tblStyle w:val="Grilledutableau"/>
        <w:tblpPr w:leftFromText="141" w:rightFromText="141" w:vertAnchor="text" w:horzAnchor="margin" w:tblpY="38"/>
        <w:tblW w:w="0" w:type="auto"/>
        <w:tblLook w:val="04A0" w:firstRow="1" w:lastRow="0" w:firstColumn="1" w:lastColumn="0" w:noHBand="0" w:noVBand="1"/>
      </w:tblPr>
      <w:tblGrid>
        <w:gridCol w:w="2802"/>
        <w:gridCol w:w="4069"/>
        <w:gridCol w:w="4069"/>
      </w:tblGrid>
      <w:tr w:rsidR="003F7B13" w:rsidTr="003F7B13">
        <w:tc>
          <w:tcPr>
            <w:tcW w:w="10940" w:type="dxa"/>
            <w:gridSpan w:val="3"/>
            <w:shd w:val="clear" w:color="auto" w:fill="FFC000"/>
          </w:tcPr>
          <w:p w:rsidR="003F7B13" w:rsidRDefault="003F7B13" w:rsidP="003F7B13">
            <w:pPr>
              <w:pStyle w:val="Sansinterligne"/>
              <w:jc w:val="center"/>
              <w:rPr>
                <w:lang w:eastAsia="fr-CA"/>
              </w:rPr>
            </w:pPr>
            <w:r>
              <w:rPr>
                <w:lang w:eastAsia="fr-CA"/>
              </w:rPr>
              <w:t>Retard du développement moteur</w:t>
            </w:r>
          </w:p>
        </w:tc>
      </w:tr>
      <w:tr w:rsidR="003F7B13" w:rsidTr="003F7B13">
        <w:tc>
          <w:tcPr>
            <w:tcW w:w="2802" w:type="dxa"/>
            <w:shd w:val="clear" w:color="auto" w:fill="C4BC96" w:themeFill="background2" w:themeFillShade="BF"/>
          </w:tcPr>
          <w:p w:rsidR="003F7B13" w:rsidRPr="00FF79EF" w:rsidRDefault="003F7B13" w:rsidP="003F7B13">
            <w:pPr>
              <w:pStyle w:val="Sansinterligne"/>
              <w:jc w:val="center"/>
              <w:rPr>
                <w:i/>
                <w:lang w:eastAsia="fr-CA"/>
              </w:rPr>
            </w:pPr>
            <w:r w:rsidRPr="00FF79EF">
              <w:rPr>
                <w:i/>
                <w:lang w:eastAsia="fr-CA"/>
              </w:rPr>
              <w:t>Cause</w:t>
            </w:r>
          </w:p>
        </w:tc>
        <w:tc>
          <w:tcPr>
            <w:tcW w:w="8138" w:type="dxa"/>
            <w:gridSpan w:val="2"/>
            <w:shd w:val="clear" w:color="auto" w:fill="C4BC96" w:themeFill="background2" w:themeFillShade="BF"/>
          </w:tcPr>
          <w:p w:rsidR="003F7B13" w:rsidRPr="00FF79EF" w:rsidRDefault="003F7B13" w:rsidP="003F7B13">
            <w:pPr>
              <w:pStyle w:val="Sansinterligne"/>
              <w:jc w:val="center"/>
              <w:rPr>
                <w:i/>
                <w:lang w:eastAsia="fr-CA"/>
              </w:rPr>
            </w:pPr>
            <w:r w:rsidRPr="00FF79EF">
              <w:rPr>
                <w:i/>
                <w:lang w:eastAsia="fr-CA"/>
              </w:rPr>
              <w:t>Manifestations cliniques et particularités</w:t>
            </w:r>
          </w:p>
        </w:tc>
      </w:tr>
      <w:tr w:rsidR="003F7B13" w:rsidTr="003F7B13">
        <w:tc>
          <w:tcPr>
            <w:tcW w:w="2802" w:type="dxa"/>
            <w:shd w:val="clear" w:color="auto" w:fill="C4BC96" w:themeFill="background2" w:themeFillShade="BF"/>
            <w:vAlign w:val="center"/>
          </w:tcPr>
          <w:p w:rsidR="003F7B13" w:rsidRDefault="003F7B13" w:rsidP="003F7B13">
            <w:pPr>
              <w:pStyle w:val="Sansinterligne"/>
              <w:jc w:val="center"/>
              <w:rPr>
                <w:lang w:eastAsia="fr-CA"/>
              </w:rPr>
            </w:pPr>
            <w:r>
              <w:rPr>
                <w:lang w:eastAsia="fr-CA"/>
              </w:rPr>
              <w:t>Paralysie cérébrale</w:t>
            </w:r>
          </w:p>
        </w:tc>
        <w:tc>
          <w:tcPr>
            <w:tcW w:w="8138" w:type="dxa"/>
            <w:gridSpan w:val="2"/>
          </w:tcPr>
          <w:p w:rsidR="003F7B13" w:rsidRDefault="003F7B13" w:rsidP="003F7B13">
            <w:pPr>
              <w:pStyle w:val="Sansinterligne"/>
              <w:rPr>
                <w:lang w:eastAsia="fr-CA"/>
              </w:rPr>
            </w:pPr>
            <w:r>
              <w:rPr>
                <w:lang w:eastAsia="fr-CA"/>
              </w:rPr>
              <w:t xml:space="preserve">Voir </w:t>
            </w:r>
            <w:r w:rsidRPr="00C97C55">
              <w:rPr>
                <w:i/>
                <w:lang w:eastAsia="fr-CA"/>
              </w:rPr>
              <w:t>Troubles du développement chez l’adulte CMC 21-1</w:t>
            </w:r>
          </w:p>
        </w:tc>
      </w:tr>
      <w:tr w:rsidR="003F7B13" w:rsidTr="003F7B13">
        <w:tc>
          <w:tcPr>
            <w:tcW w:w="2802" w:type="dxa"/>
            <w:shd w:val="clear" w:color="auto" w:fill="C4BC96" w:themeFill="background2" w:themeFillShade="BF"/>
            <w:vAlign w:val="center"/>
          </w:tcPr>
          <w:p w:rsidR="003F7B13" w:rsidRDefault="003F7B13" w:rsidP="003F7B13">
            <w:pPr>
              <w:pStyle w:val="Sansinterligne"/>
              <w:jc w:val="center"/>
              <w:rPr>
                <w:lang w:eastAsia="fr-CA"/>
              </w:rPr>
            </w:pPr>
            <w:r>
              <w:rPr>
                <w:lang w:eastAsia="fr-CA"/>
              </w:rPr>
              <w:t>Dystrophie musculaire</w:t>
            </w:r>
          </w:p>
        </w:tc>
        <w:tc>
          <w:tcPr>
            <w:tcW w:w="8138" w:type="dxa"/>
            <w:gridSpan w:val="2"/>
          </w:tcPr>
          <w:p w:rsidR="003F7B13" w:rsidRDefault="003F7B13" w:rsidP="003F7B13">
            <w:pPr>
              <w:pStyle w:val="Sansinterligne"/>
              <w:rPr>
                <w:lang w:eastAsia="fr-CA"/>
              </w:rPr>
            </w:pPr>
            <w:r>
              <w:rPr>
                <w:lang w:eastAsia="fr-CA"/>
              </w:rPr>
              <w:t xml:space="preserve">Voir </w:t>
            </w:r>
            <w:r w:rsidRPr="00C97C55">
              <w:rPr>
                <w:i/>
                <w:lang w:eastAsia="fr-CA"/>
              </w:rPr>
              <w:t>Inquiétudes d’ordre génétique CMC 36</w:t>
            </w:r>
          </w:p>
        </w:tc>
      </w:tr>
      <w:tr w:rsidR="00BB5A1E" w:rsidTr="00BB5A1E">
        <w:tc>
          <w:tcPr>
            <w:tcW w:w="2802" w:type="dxa"/>
            <w:shd w:val="clear" w:color="auto" w:fill="C4BC96" w:themeFill="background2" w:themeFillShade="BF"/>
            <w:vAlign w:val="center"/>
          </w:tcPr>
          <w:p w:rsidR="00BB5A1E" w:rsidRDefault="00BB5A1E" w:rsidP="003F7B13">
            <w:pPr>
              <w:pStyle w:val="Sansinterligne"/>
              <w:jc w:val="center"/>
              <w:rPr>
                <w:lang w:eastAsia="fr-CA"/>
              </w:rPr>
            </w:pPr>
            <w:r>
              <w:rPr>
                <w:lang w:eastAsia="fr-CA"/>
              </w:rPr>
              <w:t>Trouble de coordination (dyspraxie)</w:t>
            </w:r>
          </w:p>
        </w:tc>
        <w:tc>
          <w:tcPr>
            <w:tcW w:w="4069" w:type="dxa"/>
            <w:tcBorders>
              <w:right w:val="single" w:sz="4" w:space="0" w:color="FFFFFF" w:themeColor="background1"/>
            </w:tcBorders>
          </w:tcPr>
          <w:p w:rsidR="00BB5A1E" w:rsidRDefault="00BB5A1E" w:rsidP="005D429F">
            <w:pPr>
              <w:pStyle w:val="Sansinterligne"/>
              <w:numPr>
                <w:ilvl w:val="0"/>
                <w:numId w:val="1044"/>
              </w:numPr>
              <w:rPr>
                <w:lang w:eastAsia="fr-CA"/>
              </w:rPr>
            </w:pPr>
            <w:r>
              <w:rPr>
                <w:lang w:eastAsia="fr-CA"/>
              </w:rPr>
              <w:t>Difficulté à téter et avaler en bas âge</w:t>
            </w:r>
          </w:p>
          <w:p w:rsidR="00BB5A1E" w:rsidRDefault="00BB5A1E" w:rsidP="005D429F">
            <w:pPr>
              <w:pStyle w:val="Sansinterligne"/>
              <w:numPr>
                <w:ilvl w:val="0"/>
                <w:numId w:val="1044"/>
              </w:numPr>
              <w:rPr>
                <w:lang w:eastAsia="fr-CA"/>
              </w:rPr>
            </w:pPr>
            <w:r>
              <w:rPr>
                <w:lang w:eastAsia="fr-CA"/>
              </w:rPr>
              <w:t>Retard d’acquisition (étapes du dével.)</w:t>
            </w:r>
          </w:p>
        </w:tc>
        <w:tc>
          <w:tcPr>
            <w:tcW w:w="4069" w:type="dxa"/>
            <w:tcBorders>
              <w:left w:val="single" w:sz="4" w:space="0" w:color="FFFFFF" w:themeColor="background1"/>
            </w:tcBorders>
          </w:tcPr>
          <w:p w:rsidR="00BB5A1E" w:rsidRDefault="00BB5A1E" w:rsidP="005D429F">
            <w:pPr>
              <w:pStyle w:val="Sansinterligne"/>
              <w:numPr>
                <w:ilvl w:val="0"/>
                <w:numId w:val="1044"/>
              </w:numPr>
              <w:rPr>
                <w:lang w:eastAsia="fr-CA"/>
              </w:rPr>
            </w:pPr>
            <w:r>
              <w:rPr>
                <w:lang w:eastAsia="fr-CA"/>
              </w:rPr>
              <w:t>Difficulté à exécuter les activités quotidiennes (</w:t>
            </w:r>
            <w:r>
              <w:rPr>
                <w:rFonts w:ascii="Century Gothic" w:hAnsi="Century Gothic"/>
                <w:lang w:eastAsia="fr-CA"/>
              </w:rPr>
              <w:t>&gt;</w:t>
            </w:r>
            <w:r>
              <w:rPr>
                <w:lang w:eastAsia="fr-CA"/>
              </w:rPr>
              <w:t xml:space="preserve"> 6 ans)</w:t>
            </w:r>
          </w:p>
        </w:tc>
      </w:tr>
    </w:tbl>
    <w:p w:rsidR="003F7B13" w:rsidRDefault="003F7B13" w:rsidP="00076FFD">
      <w:pPr>
        <w:pStyle w:val="Sansinterligne"/>
        <w:rPr>
          <w:lang w:eastAsia="fr-CA"/>
        </w:rPr>
      </w:pPr>
    </w:p>
    <w:p w:rsidR="003F7B13" w:rsidRDefault="003F7B13" w:rsidP="003F7B13">
      <w:pPr>
        <w:pStyle w:val="Sansinterligne"/>
        <w:jc w:val="center"/>
        <w:rPr>
          <w:lang w:eastAsia="fr-CA"/>
        </w:rPr>
      </w:pPr>
      <w:r>
        <w:rPr>
          <w:b/>
          <w:u w:val="single"/>
        </w:rPr>
        <w:t>Principales causes de retard global du développement</w:t>
      </w:r>
    </w:p>
    <w:p w:rsidR="009322C8" w:rsidRDefault="003F7B13" w:rsidP="003F7B13">
      <w:pPr>
        <w:pStyle w:val="Sansinterligne"/>
        <w:jc w:val="center"/>
        <w:rPr>
          <w:lang w:eastAsia="fr-CA"/>
        </w:rPr>
      </w:pPr>
      <w:r>
        <w:rPr>
          <w:noProof/>
          <w:lang w:eastAsia="fr-CA"/>
        </w:rPr>
        <w:drawing>
          <wp:inline distT="0" distB="0" distL="0" distR="0" wp14:anchorId="5F624A9C" wp14:editId="58D51A90">
            <wp:extent cx="5554494" cy="3997692"/>
            <wp:effectExtent l="0" t="0" r="8255" b="3175"/>
            <wp:docPr id="507" name="Imag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81">
                      <a:extLst>
                        <a:ext uri="{28A0092B-C50C-407E-A947-70E740481C1C}">
                          <a14:useLocalDpi xmlns:a14="http://schemas.microsoft.com/office/drawing/2010/main" val="0"/>
                        </a:ext>
                      </a:extLst>
                    </a:blip>
                    <a:stretch>
                      <a:fillRect/>
                    </a:stretch>
                  </pic:blipFill>
                  <pic:spPr>
                    <a:xfrm>
                      <a:off x="0" y="0"/>
                      <a:ext cx="5562911" cy="4003750"/>
                    </a:xfrm>
                    <a:prstGeom prst="rect">
                      <a:avLst/>
                    </a:prstGeom>
                  </pic:spPr>
                </pic:pic>
              </a:graphicData>
            </a:graphic>
          </wp:inline>
        </w:drawing>
      </w:r>
    </w:p>
    <w:p w:rsidR="00076FFD" w:rsidRDefault="00FC280C" w:rsidP="00BA2280">
      <w:pPr>
        <w:pStyle w:val="Sansinterligne"/>
      </w:pPr>
      <w:r>
        <w:rPr>
          <w:noProof/>
          <w:lang w:eastAsia="fr-CA"/>
        </w:rPr>
        <w:drawing>
          <wp:anchor distT="0" distB="0" distL="114300" distR="114300" simplePos="0" relativeHeight="251988992" behindDoc="0" locked="0" layoutInCell="1" allowOverlap="1" wp14:anchorId="0268E2A1" wp14:editId="0CCAE593">
            <wp:simplePos x="0" y="0"/>
            <wp:positionH relativeFrom="column">
              <wp:posOffset>4075700</wp:posOffset>
            </wp:positionH>
            <wp:positionV relativeFrom="paragraph">
              <wp:posOffset>92075</wp:posOffset>
            </wp:positionV>
            <wp:extent cx="2626468" cy="3084319"/>
            <wp:effectExtent l="0" t="0" r="2540" b="1905"/>
            <wp:wrapNone/>
            <wp:docPr id="509" name="Image 509" descr="Résultats de recherche d'images pour « retard global de développemen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ésultats de recherche d'images pour « retard global de développement »"/>
                    <pic:cNvPicPr>
                      <a:picLocks noChangeAspect="1" noChangeArrowheads="1"/>
                    </pic:cNvPicPr>
                  </pic:nvPicPr>
                  <pic:blipFill rotWithShape="1">
                    <a:blip r:embed="rId82">
                      <a:extLst>
                        <a:ext uri="{28A0092B-C50C-407E-A947-70E740481C1C}">
                          <a14:useLocalDpi xmlns:a14="http://schemas.microsoft.com/office/drawing/2010/main" val="0"/>
                        </a:ext>
                      </a:extLst>
                    </a:blip>
                    <a:srcRect t="5568" b="3433"/>
                    <a:stretch/>
                  </pic:blipFill>
                  <pic:spPr bwMode="auto">
                    <a:xfrm>
                      <a:off x="0" y="0"/>
                      <a:ext cx="2626468" cy="3084319"/>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2A4F69" w:rsidRPr="00076FFD" w:rsidRDefault="009322C8" w:rsidP="00BA2280">
      <w:pPr>
        <w:pStyle w:val="Sansinterligne"/>
        <w:rPr>
          <w:b/>
          <w:sz w:val="32"/>
          <w:szCs w:val="32"/>
        </w:rPr>
      </w:pPr>
      <w:r>
        <w:rPr>
          <w:b/>
          <w:sz w:val="28"/>
          <w:szCs w:val="32"/>
        </w:rPr>
        <w:t>Investig</w:t>
      </w:r>
      <w:r w:rsidR="002A4F69" w:rsidRPr="00076FFD">
        <w:rPr>
          <w:b/>
          <w:sz w:val="28"/>
          <w:szCs w:val="32"/>
        </w:rPr>
        <w:t>ation</w:t>
      </w:r>
      <w:r>
        <w:rPr>
          <w:b/>
          <w:sz w:val="28"/>
          <w:szCs w:val="32"/>
        </w:rPr>
        <w:t>s</w:t>
      </w:r>
    </w:p>
    <w:p w:rsidR="002A4F69" w:rsidRDefault="002A4F69" w:rsidP="00BA2280">
      <w:pPr>
        <w:pStyle w:val="Sansinterligne"/>
      </w:pPr>
    </w:p>
    <w:p w:rsidR="00FC280C" w:rsidRDefault="002A4F69" w:rsidP="005D429F">
      <w:pPr>
        <w:pStyle w:val="Sansinterligne"/>
        <w:numPr>
          <w:ilvl w:val="0"/>
          <w:numId w:val="1043"/>
        </w:numPr>
      </w:pPr>
      <w:r>
        <w:t>Évaluation en audiologie (tout enfant présentant un retard de langage)</w:t>
      </w:r>
    </w:p>
    <w:p w:rsidR="00FC280C" w:rsidRDefault="00FC280C" w:rsidP="005D429F">
      <w:pPr>
        <w:pStyle w:val="Sansinterligne"/>
        <w:numPr>
          <w:ilvl w:val="0"/>
          <w:numId w:val="1043"/>
        </w:numPr>
      </w:pPr>
      <w:r>
        <w:t>Évaluation en orthophonie / ergothérapie</w:t>
      </w:r>
    </w:p>
    <w:p w:rsidR="00756802" w:rsidRDefault="00756802" w:rsidP="005D429F">
      <w:pPr>
        <w:pStyle w:val="Sansinterligne"/>
        <w:numPr>
          <w:ilvl w:val="0"/>
          <w:numId w:val="1043"/>
        </w:numPr>
      </w:pPr>
      <w:r>
        <w:t xml:space="preserve">CK + EMG si prédominance motrice </w:t>
      </w:r>
    </w:p>
    <w:p w:rsidR="002A4F69" w:rsidRDefault="002A4F69" w:rsidP="005D429F">
      <w:pPr>
        <w:pStyle w:val="Sansinterligne"/>
        <w:numPr>
          <w:ilvl w:val="0"/>
          <w:numId w:val="1043"/>
        </w:numPr>
      </w:pPr>
      <w:r>
        <w:t>Caryotype</w:t>
      </w:r>
    </w:p>
    <w:p w:rsidR="00756802" w:rsidRDefault="00756802" w:rsidP="005D429F">
      <w:pPr>
        <w:pStyle w:val="Sansinterligne"/>
        <w:numPr>
          <w:ilvl w:val="0"/>
          <w:numId w:val="1043"/>
        </w:numPr>
      </w:pPr>
      <w:r>
        <w:t xml:space="preserve">Toute investigation pertinente selon les trouvailles </w:t>
      </w:r>
      <w:r w:rsidR="00F23417">
        <w:t>cliniques</w:t>
      </w:r>
    </w:p>
    <w:p w:rsidR="002A4F69" w:rsidRDefault="002A4F69" w:rsidP="00BA2280">
      <w:pPr>
        <w:pStyle w:val="Sansinterligne"/>
      </w:pPr>
    </w:p>
    <w:p w:rsidR="002A4F69" w:rsidRPr="00076FFD" w:rsidRDefault="002A4F69" w:rsidP="00BA2280">
      <w:pPr>
        <w:pStyle w:val="Sansinterligne"/>
        <w:rPr>
          <w:b/>
          <w:sz w:val="28"/>
          <w:szCs w:val="28"/>
        </w:rPr>
      </w:pPr>
      <w:r w:rsidRPr="00076FFD">
        <w:rPr>
          <w:b/>
          <w:sz w:val="28"/>
          <w:szCs w:val="28"/>
        </w:rPr>
        <w:t>Prise en charge</w:t>
      </w:r>
    </w:p>
    <w:p w:rsidR="00E30A75" w:rsidRDefault="00E30A75" w:rsidP="00BA2280">
      <w:pPr>
        <w:pStyle w:val="Sansinterligne"/>
      </w:pPr>
    </w:p>
    <w:p w:rsidR="00C040EB" w:rsidRDefault="00E32299" w:rsidP="00BA2280">
      <w:pPr>
        <w:pStyle w:val="Sansinterligne"/>
        <w:rPr>
          <w:u w:val="single"/>
        </w:rPr>
      </w:pPr>
      <w:r w:rsidRPr="00C040EB">
        <w:rPr>
          <w:u w:val="single"/>
        </w:rPr>
        <w:t xml:space="preserve">La régression </w:t>
      </w:r>
      <w:r w:rsidR="00C040EB">
        <w:rPr>
          <w:u w:val="single"/>
        </w:rPr>
        <w:t xml:space="preserve">développementale </w:t>
      </w:r>
      <w:r w:rsidRPr="00C040EB">
        <w:rPr>
          <w:u w:val="single"/>
        </w:rPr>
        <w:t>est TOUJOURS pathologique</w:t>
      </w:r>
      <w:r w:rsidR="00505E48" w:rsidRPr="00C040EB">
        <w:rPr>
          <w:u w:val="single"/>
        </w:rPr>
        <w:t xml:space="preserve"> </w:t>
      </w:r>
    </w:p>
    <w:p w:rsidR="00E30A75" w:rsidRPr="00C040EB" w:rsidRDefault="00505E48" w:rsidP="00BA2280">
      <w:pPr>
        <w:pStyle w:val="Sansinterligne"/>
        <w:rPr>
          <w:u w:val="single"/>
        </w:rPr>
      </w:pPr>
      <w:r w:rsidRPr="00C040EB">
        <w:rPr>
          <w:u w:val="single"/>
        </w:rPr>
        <w:t>(penser au TSA)</w:t>
      </w:r>
      <w:r w:rsidR="00E32299" w:rsidRPr="00C040EB">
        <w:rPr>
          <w:u w:val="single"/>
        </w:rPr>
        <w:t>. Il faut référer immédiatement l’enfant en pédiatrie.</w:t>
      </w:r>
    </w:p>
    <w:p w:rsidR="00E30A75" w:rsidRDefault="00E30A75" w:rsidP="00BA2280">
      <w:pPr>
        <w:pStyle w:val="Sansinterligne"/>
      </w:pPr>
    </w:p>
    <w:p w:rsidR="009C45FC" w:rsidRPr="00647815" w:rsidRDefault="009C45FC" w:rsidP="00BA2280">
      <w:pPr>
        <w:pStyle w:val="Sansinterligne"/>
        <w:rPr>
          <w:b/>
        </w:rPr>
      </w:pPr>
      <w:r w:rsidRPr="00647815">
        <w:rPr>
          <w:b/>
        </w:rPr>
        <w:t>Trouble du langage</w:t>
      </w:r>
    </w:p>
    <w:p w:rsidR="009C45FC" w:rsidRDefault="009C45FC" w:rsidP="005D429F">
      <w:pPr>
        <w:pStyle w:val="Sansinterligne"/>
        <w:numPr>
          <w:ilvl w:val="0"/>
          <w:numId w:val="1045"/>
        </w:numPr>
      </w:pPr>
      <w:r>
        <w:t>Référence en pédiatrie pour investigation</w:t>
      </w:r>
    </w:p>
    <w:p w:rsidR="009C45FC" w:rsidRDefault="009C45FC" w:rsidP="005D429F">
      <w:pPr>
        <w:pStyle w:val="Sansinterligne"/>
        <w:numPr>
          <w:ilvl w:val="0"/>
          <w:numId w:val="1045"/>
        </w:numPr>
      </w:pPr>
      <w:r>
        <w:t>Référence en orthophonie</w:t>
      </w:r>
    </w:p>
    <w:p w:rsidR="009C45FC" w:rsidRDefault="009C45FC" w:rsidP="00BA2280">
      <w:pPr>
        <w:pStyle w:val="Sansinterligne"/>
      </w:pPr>
    </w:p>
    <w:p w:rsidR="00E30A75" w:rsidRPr="00647815" w:rsidRDefault="00505E48" w:rsidP="00BA2280">
      <w:pPr>
        <w:pStyle w:val="Sansinterligne"/>
        <w:rPr>
          <w:b/>
          <w:highlight w:val="yellow"/>
        </w:rPr>
      </w:pPr>
      <w:r w:rsidRPr="00647815">
        <w:rPr>
          <w:b/>
          <w:highlight w:val="yellow"/>
        </w:rPr>
        <w:t>Trouble du spectre de l’autisme</w:t>
      </w:r>
    </w:p>
    <w:p w:rsidR="00E30A75" w:rsidRPr="00647815" w:rsidRDefault="00505E48" w:rsidP="005D429F">
      <w:pPr>
        <w:pStyle w:val="Sansinterligne"/>
        <w:numPr>
          <w:ilvl w:val="0"/>
          <w:numId w:val="1046"/>
        </w:numPr>
        <w:rPr>
          <w:highlight w:val="yellow"/>
        </w:rPr>
      </w:pPr>
      <w:r w:rsidRPr="00647815">
        <w:rPr>
          <w:highlight w:val="yellow"/>
        </w:rPr>
        <w:t>Référence en pédiatrie pour évaluation</w:t>
      </w:r>
    </w:p>
    <w:p w:rsidR="00F65862" w:rsidRPr="00647815" w:rsidRDefault="00F65862" w:rsidP="005D429F">
      <w:pPr>
        <w:pStyle w:val="Sansinterligne"/>
        <w:numPr>
          <w:ilvl w:val="0"/>
          <w:numId w:val="1046"/>
        </w:numPr>
        <w:rPr>
          <w:highlight w:val="yellow"/>
        </w:rPr>
      </w:pPr>
      <w:r w:rsidRPr="00647815">
        <w:rPr>
          <w:highlight w:val="yellow"/>
        </w:rPr>
        <w:t>Plus l’intervention se fait tôt, meilleure sont ses chances de devenir fonctionnel</w:t>
      </w:r>
    </w:p>
    <w:p w:rsidR="00505E48" w:rsidRPr="00647815" w:rsidRDefault="00505E48" w:rsidP="005D429F">
      <w:pPr>
        <w:pStyle w:val="Sansinterligne"/>
        <w:numPr>
          <w:ilvl w:val="0"/>
          <w:numId w:val="1046"/>
        </w:numPr>
        <w:rPr>
          <w:highlight w:val="yellow"/>
        </w:rPr>
      </w:pPr>
      <w:r w:rsidRPr="00647815">
        <w:rPr>
          <w:highlight w:val="yellow"/>
        </w:rPr>
        <w:t>Équipe multidisciplinaire pour approche individualisée selon le profil de l’enfant</w:t>
      </w:r>
    </w:p>
    <w:p w:rsidR="00505E48" w:rsidRPr="00647815" w:rsidRDefault="00505E48" w:rsidP="005D429F">
      <w:pPr>
        <w:pStyle w:val="Sansinterligne"/>
        <w:numPr>
          <w:ilvl w:val="1"/>
          <w:numId w:val="1046"/>
        </w:numPr>
        <w:rPr>
          <w:highlight w:val="yellow"/>
        </w:rPr>
      </w:pPr>
      <w:r w:rsidRPr="00647815">
        <w:rPr>
          <w:highlight w:val="yellow"/>
        </w:rPr>
        <w:t>Orthophoniste</w:t>
      </w:r>
    </w:p>
    <w:p w:rsidR="00505E48" w:rsidRPr="00647815" w:rsidRDefault="00505E48" w:rsidP="005D429F">
      <w:pPr>
        <w:pStyle w:val="Sansinterligne"/>
        <w:numPr>
          <w:ilvl w:val="1"/>
          <w:numId w:val="1046"/>
        </w:numPr>
        <w:rPr>
          <w:highlight w:val="yellow"/>
        </w:rPr>
      </w:pPr>
      <w:r w:rsidRPr="00647815">
        <w:rPr>
          <w:highlight w:val="yellow"/>
        </w:rPr>
        <w:t>Ergothérapeute</w:t>
      </w:r>
    </w:p>
    <w:p w:rsidR="00505E48" w:rsidRPr="00647815" w:rsidRDefault="00505E48" w:rsidP="005D429F">
      <w:pPr>
        <w:pStyle w:val="Sansinterligne"/>
        <w:numPr>
          <w:ilvl w:val="1"/>
          <w:numId w:val="1046"/>
        </w:numPr>
        <w:rPr>
          <w:highlight w:val="yellow"/>
        </w:rPr>
      </w:pPr>
      <w:r w:rsidRPr="00647815">
        <w:rPr>
          <w:highlight w:val="yellow"/>
        </w:rPr>
        <w:t>Éducateur spécialisée</w:t>
      </w:r>
    </w:p>
    <w:p w:rsidR="006F63F3" w:rsidRDefault="006F63F3" w:rsidP="00BA2280">
      <w:pPr>
        <w:pStyle w:val="Sansinterligne"/>
      </w:pPr>
    </w:p>
    <w:p w:rsidR="00647815" w:rsidRDefault="00647815" w:rsidP="00BA2280">
      <w:pPr>
        <w:pStyle w:val="Sansinterligne"/>
      </w:pPr>
    </w:p>
    <w:p w:rsidR="006F63F3" w:rsidRPr="00647815" w:rsidRDefault="006F63F3" w:rsidP="00BA2280">
      <w:pPr>
        <w:pStyle w:val="Sansinterligne"/>
        <w:rPr>
          <w:b/>
        </w:rPr>
      </w:pPr>
      <w:r w:rsidRPr="00647815">
        <w:rPr>
          <w:b/>
        </w:rPr>
        <w:lastRenderedPageBreak/>
        <w:t>Trouble de la coordination (dyspraxie)</w:t>
      </w:r>
    </w:p>
    <w:p w:rsidR="006F63F3" w:rsidRDefault="006F63F3" w:rsidP="005D429F">
      <w:pPr>
        <w:pStyle w:val="Sansinterligne"/>
        <w:numPr>
          <w:ilvl w:val="0"/>
          <w:numId w:val="1047"/>
        </w:numPr>
      </w:pPr>
      <w:r>
        <w:t>Référence en pédiatrie</w:t>
      </w:r>
    </w:p>
    <w:p w:rsidR="006F63F3" w:rsidRDefault="006F63F3" w:rsidP="005D429F">
      <w:pPr>
        <w:pStyle w:val="Sansinterligne"/>
        <w:numPr>
          <w:ilvl w:val="0"/>
          <w:numId w:val="1047"/>
        </w:numPr>
      </w:pPr>
      <w:r>
        <w:t>Référence en ergothérapie/physiothérapie</w:t>
      </w:r>
    </w:p>
    <w:p w:rsidR="006F63F3" w:rsidRDefault="006F63F3" w:rsidP="005D429F">
      <w:pPr>
        <w:pStyle w:val="Sansinterligne"/>
        <w:numPr>
          <w:ilvl w:val="1"/>
          <w:numId w:val="1047"/>
        </w:numPr>
      </w:pPr>
      <w:r>
        <w:t>Approche individualisée</w:t>
      </w:r>
    </w:p>
    <w:p w:rsidR="006F63F3" w:rsidRDefault="006F63F3" w:rsidP="005D429F">
      <w:pPr>
        <w:pStyle w:val="Sansinterligne"/>
        <w:numPr>
          <w:ilvl w:val="0"/>
          <w:numId w:val="1047"/>
        </w:numPr>
      </w:pPr>
      <w:r>
        <w:t>Encourager la participation à des activités où est bon (renforcement de l’estime)</w:t>
      </w:r>
    </w:p>
    <w:p w:rsidR="006F63F3" w:rsidRDefault="006F63F3" w:rsidP="005D429F">
      <w:pPr>
        <w:pStyle w:val="Sansinterligne"/>
        <w:numPr>
          <w:ilvl w:val="0"/>
          <w:numId w:val="1047"/>
        </w:numPr>
      </w:pPr>
      <w:r>
        <w:t>Adaptations en milieux scolaire (matériel, activités physiques, etc.)</w:t>
      </w:r>
    </w:p>
    <w:p w:rsidR="006F63F3" w:rsidRDefault="006F63F3" w:rsidP="00BA2280">
      <w:pPr>
        <w:pStyle w:val="Sansinterligne"/>
      </w:pPr>
    </w:p>
    <w:p w:rsidR="006F63F3" w:rsidRPr="00647815" w:rsidRDefault="006F63F3" w:rsidP="00BA2280">
      <w:pPr>
        <w:pStyle w:val="Sansinterligne"/>
        <w:rPr>
          <w:b/>
          <w:highlight w:val="yellow"/>
        </w:rPr>
      </w:pPr>
      <w:r w:rsidRPr="00647815">
        <w:rPr>
          <w:b/>
          <w:highlight w:val="yellow"/>
        </w:rPr>
        <w:t>Retard global de développement</w:t>
      </w:r>
    </w:p>
    <w:p w:rsidR="006F63F3" w:rsidRPr="00647815" w:rsidRDefault="006F63F3" w:rsidP="005D429F">
      <w:pPr>
        <w:pStyle w:val="Sansinterligne"/>
        <w:numPr>
          <w:ilvl w:val="0"/>
          <w:numId w:val="1048"/>
        </w:numPr>
        <w:rPr>
          <w:highlight w:val="yellow"/>
        </w:rPr>
      </w:pPr>
      <w:r w:rsidRPr="00647815">
        <w:rPr>
          <w:highlight w:val="yellow"/>
        </w:rPr>
        <w:t>Traiter la pathologie sous-jacente si présente</w:t>
      </w:r>
    </w:p>
    <w:p w:rsidR="006F63F3" w:rsidRPr="00647815" w:rsidRDefault="006F63F3" w:rsidP="005D429F">
      <w:pPr>
        <w:pStyle w:val="Sansinterligne"/>
        <w:numPr>
          <w:ilvl w:val="0"/>
          <w:numId w:val="1048"/>
        </w:numPr>
        <w:rPr>
          <w:highlight w:val="yellow"/>
        </w:rPr>
      </w:pPr>
      <w:r w:rsidRPr="00647815">
        <w:rPr>
          <w:highlight w:val="yellow"/>
        </w:rPr>
        <w:t>Retirer l’enfant d’exposition nocive</w:t>
      </w:r>
      <w:r w:rsidR="00647815" w:rsidRPr="00647815">
        <w:rPr>
          <w:highlight w:val="yellow"/>
        </w:rPr>
        <w:t xml:space="preserve"> (plomb, toxines, etc.)</w:t>
      </w:r>
    </w:p>
    <w:p w:rsidR="00647815" w:rsidRPr="00647815" w:rsidRDefault="00647815" w:rsidP="005D429F">
      <w:pPr>
        <w:pStyle w:val="Sansinterligne"/>
        <w:numPr>
          <w:ilvl w:val="0"/>
          <w:numId w:val="1048"/>
        </w:numPr>
        <w:rPr>
          <w:highlight w:val="yellow"/>
        </w:rPr>
      </w:pPr>
      <w:r w:rsidRPr="00647815">
        <w:rPr>
          <w:highlight w:val="yellow"/>
        </w:rPr>
        <w:t xml:space="preserve">Si négligence, maltraitance, milieu défavorable pour l’enfant </w:t>
      </w:r>
      <w:r w:rsidRPr="00647815">
        <w:rPr>
          <w:rFonts w:ascii="Century Gothic" w:hAnsi="Century Gothic"/>
          <w:highlight w:val="yellow"/>
        </w:rPr>
        <w:t>→</w:t>
      </w:r>
      <w:r w:rsidRPr="00647815">
        <w:rPr>
          <w:highlight w:val="yellow"/>
        </w:rPr>
        <w:t xml:space="preserve"> DPJ</w:t>
      </w:r>
    </w:p>
    <w:p w:rsidR="006F63F3" w:rsidRPr="00647815" w:rsidRDefault="006F63F3" w:rsidP="005D429F">
      <w:pPr>
        <w:pStyle w:val="Sansinterligne"/>
        <w:numPr>
          <w:ilvl w:val="0"/>
          <w:numId w:val="1048"/>
        </w:numPr>
        <w:rPr>
          <w:highlight w:val="yellow"/>
        </w:rPr>
      </w:pPr>
      <w:r w:rsidRPr="00647815">
        <w:rPr>
          <w:highlight w:val="yellow"/>
        </w:rPr>
        <w:t>Favoriser la stimulation</w:t>
      </w:r>
      <w:r w:rsidR="00647815" w:rsidRPr="00647815">
        <w:rPr>
          <w:highlight w:val="yellow"/>
        </w:rPr>
        <w:t xml:space="preserve"> pour améliorer le développement</w:t>
      </w:r>
    </w:p>
    <w:p w:rsidR="006F63F3" w:rsidRPr="00647815" w:rsidRDefault="006F63F3" w:rsidP="005D429F">
      <w:pPr>
        <w:pStyle w:val="Sansinterligne"/>
        <w:numPr>
          <w:ilvl w:val="0"/>
          <w:numId w:val="1048"/>
        </w:numPr>
        <w:rPr>
          <w:highlight w:val="yellow"/>
        </w:rPr>
      </w:pPr>
      <w:r w:rsidRPr="00647815">
        <w:rPr>
          <w:highlight w:val="yellow"/>
        </w:rPr>
        <w:t>Référence en pédiatrie</w:t>
      </w:r>
    </w:p>
    <w:p w:rsidR="006F63F3" w:rsidRPr="00647815" w:rsidRDefault="006F63F3" w:rsidP="005D429F">
      <w:pPr>
        <w:pStyle w:val="Sansinterligne"/>
        <w:numPr>
          <w:ilvl w:val="0"/>
          <w:numId w:val="1048"/>
        </w:numPr>
        <w:rPr>
          <w:highlight w:val="yellow"/>
        </w:rPr>
      </w:pPr>
      <w:r w:rsidRPr="00647815">
        <w:rPr>
          <w:highlight w:val="yellow"/>
        </w:rPr>
        <w:t>Référence en ergothérapie/éducation spécialisée/orthophonie selon les besoins</w:t>
      </w:r>
    </w:p>
    <w:p w:rsidR="00E30A75" w:rsidRDefault="00E30A75" w:rsidP="00BA2280">
      <w:pPr>
        <w:pStyle w:val="Sansinterligne"/>
      </w:pPr>
    </w:p>
    <w:p w:rsidR="00E30A75" w:rsidRDefault="00E30A75" w:rsidP="00BA2280">
      <w:pPr>
        <w:pStyle w:val="Sansinterligne"/>
      </w:pPr>
    </w:p>
    <w:p w:rsidR="00E30A75" w:rsidRDefault="00E30A75" w:rsidP="00BA2280">
      <w:pPr>
        <w:pStyle w:val="Sansinterligne"/>
      </w:pPr>
    </w:p>
    <w:p w:rsidR="00E30A75" w:rsidRDefault="00E30A75" w:rsidP="00BA2280">
      <w:pPr>
        <w:pStyle w:val="Sansinterligne"/>
      </w:pPr>
    </w:p>
    <w:p w:rsidR="00E30A75" w:rsidRDefault="001C5239" w:rsidP="00BA2280">
      <w:pPr>
        <w:pStyle w:val="Sansinterligne"/>
      </w:pPr>
      <w:r>
        <w:rPr>
          <w:noProof/>
          <w:lang w:eastAsia="fr-CA"/>
        </w:rPr>
        <w:drawing>
          <wp:anchor distT="0" distB="0" distL="114300" distR="114300" simplePos="0" relativeHeight="251990016" behindDoc="0" locked="0" layoutInCell="1" allowOverlap="1" wp14:anchorId="5ED5FCE3" wp14:editId="5253820C">
            <wp:simplePos x="0" y="0"/>
            <wp:positionH relativeFrom="column">
              <wp:posOffset>1244600</wp:posOffset>
            </wp:positionH>
            <wp:positionV relativeFrom="paragraph">
              <wp:posOffset>33020</wp:posOffset>
            </wp:positionV>
            <wp:extent cx="4740275" cy="2359660"/>
            <wp:effectExtent l="0" t="0" r="3175" b="2540"/>
            <wp:wrapNone/>
            <wp:docPr id="510" name="Image 510" descr="Résultats de recherche d'images pour « ergothérapi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ésultats de recherche d'images pour « ergothérapie »"/>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4740275" cy="23596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30A75" w:rsidRDefault="00E30A75" w:rsidP="00BA2280">
      <w:pPr>
        <w:pStyle w:val="Sansinterligne"/>
      </w:pPr>
    </w:p>
    <w:p w:rsidR="00E30A75" w:rsidRDefault="00E30A75" w:rsidP="00BA2280">
      <w:pPr>
        <w:pStyle w:val="Sansinterligne"/>
      </w:pPr>
    </w:p>
    <w:p w:rsidR="00E30A75" w:rsidRDefault="00E30A75" w:rsidP="00BA2280">
      <w:pPr>
        <w:pStyle w:val="Sansinterligne"/>
      </w:pPr>
    </w:p>
    <w:p w:rsidR="00E30A75" w:rsidRDefault="00E30A75" w:rsidP="00BA2280">
      <w:pPr>
        <w:pStyle w:val="Sansinterligne"/>
      </w:pPr>
    </w:p>
    <w:p w:rsidR="00E30A75" w:rsidRDefault="00E30A75" w:rsidP="00BA2280">
      <w:pPr>
        <w:pStyle w:val="Sansinterligne"/>
      </w:pPr>
    </w:p>
    <w:p w:rsidR="00E30A75" w:rsidRDefault="00E30A75" w:rsidP="00BA2280">
      <w:pPr>
        <w:pStyle w:val="Sansinterligne"/>
      </w:pPr>
    </w:p>
    <w:p w:rsidR="00E30A75" w:rsidRDefault="00E30A75" w:rsidP="00BA2280">
      <w:pPr>
        <w:pStyle w:val="Sansinterligne"/>
      </w:pPr>
    </w:p>
    <w:p w:rsidR="00E30A75" w:rsidRDefault="00E30A75" w:rsidP="00BA2280">
      <w:pPr>
        <w:pStyle w:val="Sansinterligne"/>
      </w:pPr>
    </w:p>
    <w:p w:rsidR="00E30A75" w:rsidRDefault="00E30A75" w:rsidP="00BA2280">
      <w:pPr>
        <w:pStyle w:val="Sansinterligne"/>
      </w:pPr>
    </w:p>
    <w:p w:rsidR="00E30A75" w:rsidRDefault="00E30A75" w:rsidP="00BA2280">
      <w:pPr>
        <w:pStyle w:val="Sansinterligne"/>
      </w:pPr>
    </w:p>
    <w:p w:rsidR="00E30A75" w:rsidRDefault="00E30A75" w:rsidP="00BA2280">
      <w:pPr>
        <w:pStyle w:val="Sansinterligne"/>
      </w:pPr>
    </w:p>
    <w:p w:rsidR="00135CDF" w:rsidRDefault="00135CDF">
      <w:pPr>
        <w:rPr>
          <w:rFonts w:cs="Times New Roman"/>
          <w:b/>
          <w:color w:val="548DD4" w:themeColor="text2" w:themeTint="99"/>
        </w:rPr>
      </w:pPr>
    </w:p>
    <w:p w:rsidR="00135CDF" w:rsidRDefault="001C5239">
      <w:pPr>
        <w:rPr>
          <w:rFonts w:cs="Times New Roman"/>
          <w:b/>
          <w:color w:val="548DD4" w:themeColor="text2" w:themeTint="99"/>
        </w:rPr>
      </w:pPr>
      <w:r>
        <w:rPr>
          <w:noProof/>
          <w:lang w:eastAsia="fr-CA"/>
        </w:rPr>
        <w:drawing>
          <wp:anchor distT="0" distB="0" distL="114300" distR="114300" simplePos="0" relativeHeight="251991040" behindDoc="0" locked="0" layoutInCell="1" allowOverlap="1" wp14:anchorId="68B0DEFF" wp14:editId="6467D844">
            <wp:simplePos x="0" y="0"/>
            <wp:positionH relativeFrom="column">
              <wp:posOffset>349926</wp:posOffset>
            </wp:positionH>
            <wp:positionV relativeFrom="paragraph">
              <wp:posOffset>157480</wp:posOffset>
            </wp:positionV>
            <wp:extent cx="6453387" cy="1589445"/>
            <wp:effectExtent l="0" t="0" r="5080" b="0"/>
            <wp:wrapNone/>
            <wp:docPr id="511" name="Image 511" descr="Résultats de recherche d'images pour « orthophonie logo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ésultats de recherche d'images pour « orthophonie logo »"/>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453387" cy="15894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35CDF" w:rsidRDefault="00135CDF">
      <w:pPr>
        <w:rPr>
          <w:rFonts w:cs="Times New Roman"/>
          <w:b/>
          <w:color w:val="548DD4" w:themeColor="text2" w:themeTint="99"/>
        </w:rPr>
      </w:pPr>
      <w:r>
        <w:rPr>
          <w:rFonts w:cs="Times New Roman"/>
          <w:b/>
          <w:color w:val="548DD4" w:themeColor="text2" w:themeTint="99"/>
        </w:rPr>
        <w:br w:type="page"/>
      </w:r>
    </w:p>
    <w:p w:rsidR="00EB0196" w:rsidRPr="00F62E2A" w:rsidRDefault="00EB0196" w:rsidP="00F62E2A">
      <w:pPr>
        <w:pStyle w:val="Sansinterligne"/>
        <w:rPr>
          <w:rFonts w:cs="Times New Roman"/>
          <w:b/>
          <w:color w:val="548DD4" w:themeColor="text2" w:themeTint="99"/>
        </w:rPr>
      </w:pPr>
      <w:r w:rsidRPr="00F62E2A">
        <w:rPr>
          <w:rFonts w:cs="Times New Roman"/>
          <w:b/>
          <w:color w:val="548DD4" w:themeColor="text2" w:themeTint="99"/>
        </w:rPr>
        <w:lastRenderedPageBreak/>
        <w:t>CMC 21-1</w:t>
      </w:r>
    </w:p>
    <w:p w:rsidR="00EB0196" w:rsidRPr="00F012F8" w:rsidRDefault="00EB0196" w:rsidP="00F62E2A">
      <w:pPr>
        <w:pStyle w:val="Titre3"/>
        <w:spacing w:before="0"/>
        <w:rPr>
          <w:rFonts w:ascii="Times New Roman" w:hAnsi="Times New Roman" w:cs="Times New Roman"/>
        </w:rPr>
      </w:pPr>
      <w:bookmarkStart w:id="87" w:name="_Toc480797277"/>
      <w:r w:rsidRPr="00F012F8">
        <w:rPr>
          <w:rFonts w:ascii="Times New Roman" w:hAnsi="Times New Roman" w:cs="Times New Roman"/>
        </w:rPr>
        <w:t>Troubles du développement chez les adultes</w:t>
      </w:r>
      <w:bookmarkEnd w:id="87"/>
    </w:p>
    <w:tbl>
      <w:tblPr>
        <w:tblW w:w="5000" w:type="pct"/>
        <w:tblCellSpacing w:w="0" w:type="dxa"/>
        <w:tblCellMar>
          <w:left w:w="0" w:type="dxa"/>
          <w:right w:w="0" w:type="dxa"/>
        </w:tblCellMar>
        <w:tblLook w:val="04A0" w:firstRow="1" w:lastRow="0" w:firstColumn="1" w:lastColumn="0" w:noHBand="0" w:noVBand="1"/>
      </w:tblPr>
      <w:tblGrid>
        <w:gridCol w:w="10759"/>
        <w:gridCol w:w="41"/>
      </w:tblGrid>
      <w:tr w:rsidR="00EB0196" w:rsidRPr="00F012F8" w:rsidTr="00EB0196">
        <w:trPr>
          <w:tblCellSpacing w:w="0" w:type="dxa"/>
        </w:trPr>
        <w:tc>
          <w:tcPr>
            <w:tcW w:w="0" w:type="auto"/>
            <w:vAlign w:val="bottom"/>
            <w:hideMark/>
          </w:tcPr>
          <w:bookmarkStart w:id="88" w:name="_Toc474266703"/>
          <w:bookmarkStart w:id="89" w:name="_Toc474274458"/>
          <w:bookmarkStart w:id="90" w:name="_Toc474769825"/>
          <w:bookmarkStart w:id="91" w:name="_Toc475198209"/>
          <w:bookmarkStart w:id="92" w:name="_Toc475563834"/>
          <w:p w:rsidR="00EB0196" w:rsidRPr="00EB0C1F" w:rsidRDefault="006F6EE7" w:rsidP="00EB0C1F">
            <w:pPr>
              <w:pStyle w:val="Sansinterligne"/>
              <w:spacing w:before="240"/>
              <w:rPr>
                <w:b/>
                <w:sz w:val="18"/>
                <w:szCs w:val="18"/>
              </w:rPr>
            </w:pPr>
            <w:r w:rsidRPr="00EB0C1F">
              <w:rPr>
                <w:b/>
                <w:noProof/>
                <w:sz w:val="18"/>
                <w:szCs w:val="18"/>
                <w:lang w:eastAsia="fr-CA"/>
              </w:rPr>
              <mc:AlternateContent>
                <mc:Choice Requires="wps">
                  <w:drawing>
                    <wp:anchor distT="0" distB="0" distL="114300" distR="114300" simplePos="0" relativeHeight="251700224" behindDoc="0" locked="0" layoutInCell="1" allowOverlap="1" wp14:anchorId="7EE09DAA" wp14:editId="0A0D715B">
                      <wp:simplePos x="0" y="0"/>
                      <wp:positionH relativeFrom="column">
                        <wp:posOffset>-107315</wp:posOffset>
                      </wp:positionH>
                      <wp:positionV relativeFrom="paragraph">
                        <wp:posOffset>89535</wp:posOffset>
                      </wp:positionV>
                      <wp:extent cx="7025005" cy="3316605"/>
                      <wp:effectExtent l="0" t="0" r="23495" b="17145"/>
                      <wp:wrapNone/>
                      <wp:docPr id="47" name="Rectangle 47"/>
                      <wp:cNvGraphicFramePr/>
                      <a:graphic xmlns:a="http://schemas.openxmlformats.org/drawingml/2006/main">
                        <a:graphicData uri="http://schemas.microsoft.com/office/word/2010/wordprocessingShape">
                          <wps:wsp>
                            <wps:cNvSpPr/>
                            <wps:spPr>
                              <a:xfrm>
                                <a:off x="0" y="0"/>
                                <a:ext cx="7025005" cy="3316605"/>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47" o:spid="_x0000_s1026" style="position:absolute;margin-left:-8.45pt;margin-top:7.05pt;width:553.15pt;height:261.1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" filled="f" strokecolor="black [1600]" strokeweight="2pt"/>
                  </w:pict>
                </mc:Fallback>
              </mc:AlternateContent>
            </w:r>
            <w:r w:rsidR="00EB0196" w:rsidRPr="00EB0C1F">
              <w:rPr>
                <w:b/>
                <w:sz w:val="18"/>
                <w:szCs w:val="18"/>
              </w:rPr>
              <w:t>Objectifs principaux</w:t>
            </w:r>
            <w:bookmarkEnd w:id="88"/>
            <w:bookmarkEnd w:id="89"/>
            <w:bookmarkEnd w:id="90"/>
            <w:bookmarkEnd w:id="91"/>
            <w:bookmarkEnd w:id="92"/>
          </w:p>
        </w:tc>
        <w:tc>
          <w:tcPr>
            <w:tcW w:w="0" w:type="auto"/>
            <w:vAlign w:val="bottom"/>
            <w:hideMark/>
          </w:tcPr>
          <w:p w:rsidR="00EB0196" w:rsidRPr="00F012F8" w:rsidRDefault="00EB0196">
            <w:pPr>
              <w:jc w:val="right"/>
              <w:rPr>
                <w:rFonts w:cs="Times New Roman"/>
                <w:color w:val="000000"/>
                <w:sz w:val="18"/>
                <w:szCs w:val="18"/>
              </w:rPr>
            </w:pPr>
          </w:p>
        </w:tc>
      </w:tr>
    </w:tbl>
    <w:p w:rsidR="00EB0196" w:rsidRPr="00F012F8" w:rsidRDefault="00EB0196" w:rsidP="00EB0196">
      <w:pPr>
        <w:pStyle w:val="NormalWeb"/>
        <w:spacing w:after="0" w:afterAutospacing="0"/>
        <w:ind w:left="360"/>
        <w:rPr>
          <w:color w:val="000000"/>
          <w:sz w:val="18"/>
          <w:szCs w:val="18"/>
          <w:shd w:val="clear" w:color="auto" w:fill="FFFFFF"/>
        </w:rPr>
      </w:pPr>
      <w:r w:rsidRPr="00F012F8">
        <w:rPr>
          <w:color w:val="000000"/>
          <w:sz w:val="18"/>
          <w:szCs w:val="18"/>
          <w:shd w:val="clear" w:color="auto" w:fill="FFFFFF"/>
        </w:rPr>
        <w:t>Dans le cas d'un adulte atteint d'un trouble du développement, le candidat devra passer en revue les enjeux courants sur le plan physique, mental et comportemental, et mettre en place un plan de prise en charge approprié. Il devra aussi porter une attention particulière sur les disparités, au sein de cette population, sur le plan de l'état de santé et de l'accès aux soins de santé. Le candidat devra adapter sa façon de communiquer en fonction du niveau de fonctionnement intellectuel du patient et de sa capacité d'apprentissage fonctionnel, ainsi qu'en considération de la coordination interdisciplinaire des soins.</w:t>
      </w:r>
    </w:p>
    <w:tbl>
      <w:tblPr>
        <w:tblW w:w="5000" w:type="pct"/>
        <w:tblCellSpacing w:w="0" w:type="dxa"/>
        <w:tblCellMar>
          <w:left w:w="0" w:type="dxa"/>
          <w:right w:w="0" w:type="dxa"/>
        </w:tblCellMar>
        <w:tblLook w:val="04A0" w:firstRow="1" w:lastRow="0" w:firstColumn="1" w:lastColumn="0" w:noHBand="0" w:noVBand="1"/>
      </w:tblPr>
      <w:tblGrid>
        <w:gridCol w:w="10754"/>
        <w:gridCol w:w="46"/>
      </w:tblGrid>
      <w:tr w:rsidR="00EB0196" w:rsidRPr="00F012F8" w:rsidTr="00EB0196">
        <w:trPr>
          <w:tblCellSpacing w:w="0" w:type="dxa"/>
        </w:trPr>
        <w:tc>
          <w:tcPr>
            <w:tcW w:w="0" w:type="auto"/>
            <w:vAlign w:val="bottom"/>
            <w:hideMark/>
          </w:tcPr>
          <w:p w:rsidR="00EB0196" w:rsidRPr="00EB0C1F" w:rsidRDefault="00EB0196" w:rsidP="00EB0C1F">
            <w:pPr>
              <w:pStyle w:val="Sansinterligne"/>
              <w:spacing w:before="240"/>
              <w:rPr>
                <w:b/>
                <w:sz w:val="16"/>
                <w:szCs w:val="16"/>
              </w:rPr>
            </w:pPr>
            <w:bookmarkStart w:id="93" w:name="_Toc474266704"/>
            <w:bookmarkStart w:id="94" w:name="_Toc474274459"/>
            <w:bookmarkStart w:id="95" w:name="_Toc474769826"/>
            <w:bookmarkStart w:id="96" w:name="_Toc475198210"/>
            <w:bookmarkStart w:id="97" w:name="_Toc475563835"/>
            <w:r w:rsidRPr="00EB0C1F">
              <w:rPr>
                <w:b/>
                <w:sz w:val="16"/>
                <w:szCs w:val="16"/>
              </w:rPr>
              <w:t>Objectifs spécifiques</w:t>
            </w:r>
            <w:bookmarkEnd w:id="93"/>
            <w:bookmarkEnd w:id="94"/>
            <w:bookmarkEnd w:id="95"/>
            <w:bookmarkEnd w:id="96"/>
            <w:bookmarkEnd w:id="97"/>
          </w:p>
        </w:tc>
        <w:tc>
          <w:tcPr>
            <w:tcW w:w="0" w:type="auto"/>
            <w:vAlign w:val="bottom"/>
            <w:hideMark/>
          </w:tcPr>
          <w:p w:rsidR="00EB0196" w:rsidRPr="00F012F8" w:rsidRDefault="00EB0196">
            <w:pPr>
              <w:jc w:val="right"/>
              <w:rPr>
                <w:rFonts w:cs="Times New Roman"/>
                <w:color w:val="000000"/>
                <w:sz w:val="16"/>
                <w:szCs w:val="16"/>
              </w:rPr>
            </w:pPr>
          </w:p>
        </w:tc>
      </w:tr>
    </w:tbl>
    <w:p w:rsidR="00EB0196" w:rsidRPr="00F012F8" w:rsidRDefault="00EB0196" w:rsidP="00EB0196">
      <w:pPr>
        <w:pStyle w:val="NormalWeb"/>
        <w:shd w:val="clear" w:color="auto" w:fill="FFFFFF"/>
        <w:ind w:left="360"/>
        <w:rPr>
          <w:color w:val="000000"/>
          <w:sz w:val="16"/>
          <w:szCs w:val="16"/>
          <w:shd w:val="clear" w:color="auto" w:fill="FFFFFF"/>
        </w:rPr>
      </w:pPr>
      <w:r w:rsidRPr="00F012F8">
        <w:rPr>
          <w:color w:val="000000"/>
          <w:sz w:val="16"/>
          <w:szCs w:val="16"/>
          <w:shd w:val="clear" w:color="auto" w:fill="FFFFFF"/>
        </w:rPr>
        <w:t>Dans le cas d'un adulte atteint d'un trouble du développement, le candidat devra</w:t>
      </w:r>
    </w:p>
    <w:p w:rsidR="00EB0196" w:rsidRPr="00F012F8" w:rsidRDefault="00EB0196" w:rsidP="00C93754">
      <w:pPr>
        <w:numPr>
          <w:ilvl w:val="0"/>
          <w:numId w:val="129"/>
        </w:numPr>
        <w:shd w:val="clear" w:color="auto" w:fill="FFFFFF"/>
        <w:spacing w:before="100" w:beforeAutospacing="1" w:after="100" w:afterAutospacing="1" w:line="240" w:lineRule="auto"/>
        <w:rPr>
          <w:rFonts w:cs="Times New Roman"/>
          <w:color w:val="000000"/>
          <w:sz w:val="16"/>
          <w:szCs w:val="16"/>
          <w:shd w:val="clear" w:color="auto" w:fill="FFFFFF"/>
        </w:rPr>
      </w:pPr>
      <w:r w:rsidRPr="00F012F8">
        <w:rPr>
          <w:rFonts w:cs="Times New Roman"/>
          <w:color w:val="000000"/>
          <w:sz w:val="16"/>
          <w:szCs w:val="16"/>
          <w:shd w:val="clear" w:color="auto" w:fill="FFFFFF"/>
        </w:rPr>
        <w:t>énumérer et interpréter les constatations cliniques cruciales, notamment :</w:t>
      </w:r>
    </w:p>
    <w:p w:rsidR="00EB0196" w:rsidRPr="00F012F8" w:rsidRDefault="00EB0196" w:rsidP="00C93754">
      <w:pPr>
        <w:numPr>
          <w:ilvl w:val="1"/>
          <w:numId w:val="129"/>
        </w:numPr>
        <w:shd w:val="clear" w:color="auto" w:fill="FFFFFF"/>
        <w:spacing w:before="100" w:beforeAutospacing="1" w:after="100" w:afterAutospacing="1" w:line="240" w:lineRule="auto"/>
        <w:rPr>
          <w:rFonts w:cs="Times New Roman"/>
          <w:color w:val="000000"/>
          <w:sz w:val="16"/>
          <w:szCs w:val="16"/>
          <w:shd w:val="clear" w:color="auto" w:fill="FFFFFF"/>
        </w:rPr>
      </w:pPr>
      <w:r w:rsidRPr="00F012F8">
        <w:rPr>
          <w:rFonts w:cs="Times New Roman"/>
          <w:color w:val="000000"/>
          <w:sz w:val="16"/>
          <w:szCs w:val="16"/>
          <w:shd w:val="clear" w:color="auto" w:fill="FFFFFF"/>
        </w:rPr>
        <w:t>le fonctionnement intellectuel et la capacité d'apprentissage fonctionnel;</w:t>
      </w:r>
    </w:p>
    <w:p w:rsidR="00EB0196" w:rsidRPr="00F012F8" w:rsidRDefault="00EB0196" w:rsidP="00C93754">
      <w:pPr>
        <w:numPr>
          <w:ilvl w:val="1"/>
          <w:numId w:val="129"/>
        </w:numPr>
        <w:shd w:val="clear" w:color="auto" w:fill="FFFFFF"/>
        <w:spacing w:before="100" w:beforeAutospacing="1" w:after="100" w:afterAutospacing="1" w:line="240" w:lineRule="auto"/>
        <w:rPr>
          <w:rFonts w:cs="Times New Roman"/>
          <w:color w:val="000000"/>
          <w:sz w:val="16"/>
          <w:szCs w:val="16"/>
          <w:shd w:val="clear" w:color="auto" w:fill="FFFFFF"/>
        </w:rPr>
      </w:pPr>
      <w:r w:rsidRPr="00F012F8">
        <w:rPr>
          <w:rFonts w:cs="Times New Roman"/>
          <w:color w:val="000000"/>
          <w:sz w:val="16"/>
          <w:szCs w:val="16"/>
          <w:shd w:val="clear" w:color="auto" w:fill="FFFFFF"/>
        </w:rPr>
        <w:t>les manifestations cliniques atypiques de maladies et/ou de douleurs graves (p. ex. infection, trauma);</w:t>
      </w:r>
    </w:p>
    <w:p w:rsidR="00EB0196" w:rsidRPr="00F012F8" w:rsidRDefault="00EB0196" w:rsidP="00C93754">
      <w:pPr>
        <w:numPr>
          <w:ilvl w:val="1"/>
          <w:numId w:val="129"/>
        </w:numPr>
        <w:shd w:val="clear" w:color="auto" w:fill="FFFFFF"/>
        <w:spacing w:before="100" w:beforeAutospacing="1" w:after="100" w:afterAutospacing="1" w:line="240" w:lineRule="auto"/>
        <w:rPr>
          <w:rFonts w:cs="Times New Roman"/>
          <w:color w:val="000000"/>
          <w:sz w:val="16"/>
          <w:szCs w:val="16"/>
          <w:shd w:val="clear" w:color="auto" w:fill="FFFFFF"/>
        </w:rPr>
      </w:pPr>
      <w:r w:rsidRPr="00F012F8">
        <w:rPr>
          <w:rFonts w:cs="Times New Roman"/>
          <w:color w:val="000000"/>
          <w:sz w:val="16"/>
          <w:szCs w:val="16"/>
          <w:shd w:val="clear" w:color="auto" w:fill="FFFFFF"/>
        </w:rPr>
        <w:t>le risque évalué de maltraitance et de négligence envers cette personne;</w:t>
      </w:r>
    </w:p>
    <w:p w:rsidR="00EB0196" w:rsidRPr="00F012F8" w:rsidRDefault="00EB0196" w:rsidP="00C93754">
      <w:pPr>
        <w:numPr>
          <w:ilvl w:val="0"/>
          <w:numId w:val="129"/>
        </w:numPr>
        <w:shd w:val="clear" w:color="auto" w:fill="FFFFFF"/>
        <w:spacing w:before="100" w:beforeAutospacing="1" w:after="100" w:afterAutospacing="1" w:line="240" w:lineRule="auto"/>
        <w:rPr>
          <w:rFonts w:cs="Times New Roman"/>
          <w:color w:val="000000"/>
          <w:sz w:val="16"/>
          <w:szCs w:val="16"/>
          <w:shd w:val="clear" w:color="auto" w:fill="FFFFFF"/>
        </w:rPr>
      </w:pPr>
      <w:r w:rsidRPr="00F012F8">
        <w:rPr>
          <w:rFonts w:cs="Times New Roman"/>
          <w:color w:val="000000"/>
          <w:sz w:val="16"/>
          <w:szCs w:val="16"/>
          <w:shd w:val="clear" w:color="auto" w:fill="FFFFFF"/>
        </w:rPr>
        <w:t>énumérer et interpréter les examens essentiels, selon le type d'incapacité (p. ex. taux d'hormone thyréotrope chez une personne atteinte du syndrome de Down, examens de la vue et de l'ouïe);</w:t>
      </w:r>
    </w:p>
    <w:p w:rsidR="00EB0196" w:rsidRPr="00F012F8" w:rsidRDefault="00EB0196" w:rsidP="00C93754">
      <w:pPr>
        <w:numPr>
          <w:ilvl w:val="0"/>
          <w:numId w:val="129"/>
        </w:numPr>
        <w:shd w:val="clear" w:color="auto" w:fill="FFFFFF"/>
        <w:spacing w:before="100" w:beforeAutospacing="1" w:after="100" w:afterAutospacing="1" w:line="240" w:lineRule="auto"/>
        <w:rPr>
          <w:rFonts w:cs="Times New Roman"/>
          <w:color w:val="000000"/>
          <w:sz w:val="16"/>
          <w:szCs w:val="16"/>
          <w:shd w:val="clear" w:color="auto" w:fill="FFFFFF"/>
        </w:rPr>
      </w:pPr>
      <w:r w:rsidRPr="00F012F8">
        <w:rPr>
          <w:rFonts w:cs="Times New Roman"/>
          <w:color w:val="000000"/>
          <w:sz w:val="16"/>
          <w:szCs w:val="16"/>
          <w:shd w:val="clear" w:color="auto" w:fill="FFFFFF"/>
        </w:rPr>
        <w:t>établir un plan efficace de prise en charge initiale, notamment :</w:t>
      </w:r>
    </w:p>
    <w:p w:rsidR="00EB0196" w:rsidRPr="00F012F8" w:rsidRDefault="00EB0196" w:rsidP="00C93754">
      <w:pPr>
        <w:numPr>
          <w:ilvl w:val="1"/>
          <w:numId w:val="129"/>
        </w:numPr>
        <w:shd w:val="clear" w:color="auto" w:fill="FFFFFF"/>
        <w:spacing w:before="100" w:beforeAutospacing="1" w:after="100" w:afterAutospacing="1" w:line="240" w:lineRule="auto"/>
        <w:rPr>
          <w:rFonts w:cs="Times New Roman"/>
          <w:color w:val="000000"/>
          <w:sz w:val="16"/>
          <w:szCs w:val="16"/>
          <w:shd w:val="clear" w:color="auto" w:fill="FFFFFF"/>
        </w:rPr>
      </w:pPr>
      <w:r w:rsidRPr="00F012F8">
        <w:rPr>
          <w:rFonts w:cs="Times New Roman"/>
          <w:color w:val="000000"/>
          <w:sz w:val="16"/>
          <w:szCs w:val="16"/>
          <w:shd w:val="clear" w:color="auto" w:fill="FFFFFF"/>
        </w:rPr>
        <w:t>évaluer la capacité du patient à donner un consentement éclairé et à le faire librement;</w:t>
      </w:r>
    </w:p>
    <w:p w:rsidR="00EB0196" w:rsidRPr="00F012F8" w:rsidRDefault="00EB0196" w:rsidP="00C93754">
      <w:pPr>
        <w:numPr>
          <w:ilvl w:val="1"/>
          <w:numId w:val="129"/>
        </w:numPr>
        <w:shd w:val="clear" w:color="auto" w:fill="FFFFFF"/>
        <w:spacing w:before="100" w:beforeAutospacing="1" w:after="100" w:afterAutospacing="1" w:line="240" w:lineRule="auto"/>
        <w:rPr>
          <w:rFonts w:cs="Times New Roman"/>
          <w:color w:val="000000"/>
          <w:sz w:val="16"/>
          <w:szCs w:val="16"/>
          <w:shd w:val="clear" w:color="auto" w:fill="FFFFFF"/>
        </w:rPr>
      </w:pPr>
      <w:r w:rsidRPr="00F012F8">
        <w:rPr>
          <w:rFonts w:cs="Times New Roman"/>
          <w:color w:val="000000"/>
          <w:sz w:val="16"/>
          <w:szCs w:val="16"/>
          <w:shd w:val="clear" w:color="auto" w:fill="FFFFFF"/>
        </w:rPr>
        <w:t>demander conseil aux personnes soignantes et obtenir leur aide;</w:t>
      </w:r>
    </w:p>
    <w:p w:rsidR="00EB0196" w:rsidRPr="00F012F8" w:rsidRDefault="00EB0196" w:rsidP="00C93754">
      <w:pPr>
        <w:numPr>
          <w:ilvl w:val="1"/>
          <w:numId w:val="129"/>
        </w:numPr>
        <w:shd w:val="clear" w:color="auto" w:fill="FFFFFF"/>
        <w:spacing w:before="100" w:beforeAutospacing="1" w:after="100" w:afterAutospacing="1" w:line="240" w:lineRule="auto"/>
        <w:rPr>
          <w:rFonts w:cs="Times New Roman"/>
          <w:color w:val="000000"/>
          <w:sz w:val="16"/>
          <w:szCs w:val="16"/>
          <w:shd w:val="clear" w:color="auto" w:fill="FFFFFF"/>
        </w:rPr>
      </w:pPr>
      <w:r w:rsidRPr="00F012F8">
        <w:rPr>
          <w:rFonts w:cs="Times New Roman"/>
          <w:color w:val="000000"/>
          <w:sz w:val="16"/>
          <w:szCs w:val="16"/>
          <w:shd w:val="clear" w:color="auto" w:fill="FFFFFF"/>
        </w:rPr>
        <w:t>former une équipe de soins interdisciplinaires, au besoin;</w:t>
      </w:r>
    </w:p>
    <w:p w:rsidR="00EB0196" w:rsidRPr="00F012F8" w:rsidRDefault="00EB0196" w:rsidP="00C93754">
      <w:pPr>
        <w:numPr>
          <w:ilvl w:val="1"/>
          <w:numId w:val="129"/>
        </w:numPr>
        <w:shd w:val="clear" w:color="auto" w:fill="FFFFFF"/>
        <w:spacing w:before="100" w:beforeAutospacing="1" w:after="100" w:afterAutospacing="1" w:line="240" w:lineRule="auto"/>
        <w:rPr>
          <w:rFonts w:cs="Times New Roman"/>
          <w:color w:val="000000"/>
          <w:sz w:val="16"/>
          <w:szCs w:val="16"/>
          <w:shd w:val="clear" w:color="auto" w:fill="FFFFFF"/>
        </w:rPr>
      </w:pPr>
      <w:r w:rsidRPr="00F012F8">
        <w:rPr>
          <w:rFonts w:cs="Times New Roman"/>
          <w:color w:val="000000"/>
          <w:sz w:val="16"/>
          <w:szCs w:val="16"/>
          <w:shd w:val="clear" w:color="auto" w:fill="FFFFFF"/>
        </w:rPr>
        <w:t>prendre les mesures qui s'imposent en matière de dépistage et de prévention (p. ex. maladies infectieuses, cancer);</w:t>
      </w:r>
    </w:p>
    <w:p w:rsidR="00EB0196" w:rsidRPr="00F012F8" w:rsidRDefault="00EB0196" w:rsidP="00C93754">
      <w:pPr>
        <w:numPr>
          <w:ilvl w:val="1"/>
          <w:numId w:val="129"/>
        </w:numPr>
        <w:shd w:val="clear" w:color="auto" w:fill="FFFFFF"/>
        <w:spacing w:before="100" w:beforeAutospacing="1" w:after="100" w:afterAutospacing="1" w:line="240" w:lineRule="auto"/>
        <w:rPr>
          <w:rFonts w:cs="Times New Roman"/>
          <w:color w:val="000000"/>
          <w:sz w:val="16"/>
          <w:szCs w:val="16"/>
          <w:shd w:val="clear" w:color="auto" w:fill="FFFFFF"/>
        </w:rPr>
      </w:pPr>
      <w:r w:rsidRPr="00F012F8">
        <w:rPr>
          <w:rFonts w:cs="Times New Roman"/>
          <w:color w:val="000000"/>
          <w:sz w:val="16"/>
          <w:szCs w:val="16"/>
          <w:shd w:val="clear" w:color="auto" w:fill="FFFFFF"/>
        </w:rPr>
        <w:t>assurer un usage approprié des psychotropes (p. ex. neuroleptiques), ce qui implique une bonne compréhension des avantages et des inconvénients qui y sont associés.</w:t>
      </w:r>
    </w:p>
    <w:p w:rsidR="00EB0196" w:rsidRPr="00F012F8" w:rsidRDefault="0084370F" w:rsidP="00EB0196">
      <w:pPr>
        <w:rPr>
          <w:rFonts w:cs="Times New Roman"/>
          <w:b/>
          <w:sz w:val="24"/>
          <w:szCs w:val="24"/>
        </w:rPr>
      </w:pPr>
      <w:r w:rsidRPr="00F012F8">
        <w:rPr>
          <w:rFonts w:cs="Times New Roman"/>
          <w:b/>
          <w:sz w:val="24"/>
          <w:szCs w:val="24"/>
        </w:rPr>
        <w:t>Étiologie(s)</w:t>
      </w:r>
    </w:p>
    <w:p w:rsidR="00E22853" w:rsidRPr="00F012F8" w:rsidRDefault="00E22853" w:rsidP="00D863AE">
      <w:pPr>
        <w:spacing w:after="0"/>
        <w:rPr>
          <w:rFonts w:cs="Times New Roman"/>
        </w:rPr>
      </w:pPr>
      <w:r w:rsidRPr="00F012F8">
        <w:rPr>
          <w:rFonts w:cs="Times New Roman"/>
        </w:rPr>
        <w:t>Idem que l’enfant, peuvent être innées ou acquises</w:t>
      </w:r>
    </w:p>
    <w:p w:rsidR="009C4314" w:rsidRPr="00F012F8" w:rsidRDefault="009C4314" w:rsidP="009C4314">
      <w:pPr>
        <w:shd w:val="clear" w:color="auto" w:fill="FFFFFF"/>
        <w:spacing w:before="100" w:beforeAutospacing="1" w:after="100" w:afterAutospacing="1" w:line="240" w:lineRule="auto"/>
        <w:rPr>
          <w:rFonts w:eastAsia="Times New Roman" w:cs="Times New Roman"/>
          <w:color w:val="000000"/>
          <w:u w:val="single"/>
          <w:lang w:eastAsia="fr-CA"/>
        </w:rPr>
        <w:sectPr w:rsidR="009C4314" w:rsidRPr="00F012F8" w:rsidSect="00D863AE">
          <w:type w:val="continuous"/>
          <w:pgSz w:w="12240" w:h="15840"/>
          <w:pgMar w:top="720" w:right="720" w:bottom="720" w:left="720" w:header="708" w:footer="708" w:gutter="0"/>
          <w:cols w:space="0"/>
          <w:docGrid w:linePitch="360"/>
        </w:sectPr>
      </w:pPr>
    </w:p>
    <w:p w:rsidR="00E22853" w:rsidRPr="00F012F8" w:rsidRDefault="00E22853" w:rsidP="00D863AE">
      <w:pPr>
        <w:shd w:val="clear" w:color="auto" w:fill="FFFFFF"/>
        <w:spacing w:before="100" w:beforeAutospacing="1" w:after="100" w:afterAutospacing="1" w:line="240" w:lineRule="auto"/>
        <w:rPr>
          <w:rFonts w:eastAsia="Times New Roman" w:cs="Times New Roman"/>
          <w:color w:val="000000"/>
          <w:u w:val="single"/>
          <w:lang w:eastAsia="fr-CA"/>
        </w:rPr>
      </w:pPr>
      <w:r w:rsidRPr="00F012F8">
        <w:rPr>
          <w:rFonts w:eastAsia="Times New Roman" w:cs="Times New Roman"/>
          <w:color w:val="000000"/>
          <w:u w:val="single"/>
          <w:lang w:eastAsia="fr-CA"/>
        </w:rPr>
        <w:lastRenderedPageBreak/>
        <w:t>Innées</w:t>
      </w:r>
    </w:p>
    <w:p w:rsidR="0084370F" w:rsidRPr="00F012F8" w:rsidRDefault="00E22853" w:rsidP="00D02E37">
      <w:pPr>
        <w:pStyle w:val="Paragraphedeliste"/>
        <w:numPr>
          <w:ilvl w:val="0"/>
          <w:numId w:val="136"/>
        </w:numPr>
        <w:shd w:val="clear" w:color="auto" w:fill="FFFFFF"/>
        <w:spacing w:before="100" w:beforeAutospacing="1" w:after="100" w:afterAutospacing="1" w:line="240" w:lineRule="auto"/>
        <w:rPr>
          <w:rFonts w:eastAsia="Times New Roman" w:cs="Times New Roman"/>
          <w:color w:val="000000"/>
          <w:lang w:eastAsia="fr-CA"/>
        </w:rPr>
      </w:pPr>
      <w:r w:rsidRPr="00F012F8">
        <w:rPr>
          <w:rFonts w:eastAsia="Times New Roman" w:cs="Times New Roman"/>
          <w:color w:val="000000"/>
          <w:lang w:eastAsia="fr-CA"/>
        </w:rPr>
        <w:t>Héréditaires (syndrome de Down, syndrome de l’X fragile, etc.)</w:t>
      </w:r>
    </w:p>
    <w:p w:rsidR="0084370F" w:rsidRPr="00F012F8" w:rsidRDefault="0084370F" w:rsidP="00D02E37">
      <w:pPr>
        <w:pStyle w:val="Paragraphedeliste"/>
        <w:numPr>
          <w:ilvl w:val="0"/>
          <w:numId w:val="136"/>
        </w:numPr>
        <w:shd w:val="clear" w:color="auto" w:fill="FFFFFF"/>
        <w:spacing w:before="100" w:beforeAutospacing="1" w:after="100" w:afterAutospacing="1" w:line="240" w:lineRule="auto"/>
        <w:rPr>
          <w:rFonts w:eastAsia="Times New Roman" w:cs="Times New Roman"/>
          <w:color w:val="000000"/>
          <w:lang w:eastAsia="fr-CA"/>
        </w:rPr>
      </w:pPr>
      <w:r w:rsidRPr="00F012F8">
        <w:rPr>
          <w:rFonts w:eastAsia="Times New Roman" w:cs="Times New Roman"/>
          <w:color w:val="000000"/>
          <w:lang w:eastAsia="fr-CA"/>
        </w:rPr>
        <w:t>Trouble du spectre de l'autisme</w:t>
      </w:r>
    </w:p>
    <w:p w:rsidR="0084370F" w:rsidRPr="00F012F8" w:rsidRDefault="0084370F" w:rsidP="00D02E37">
      <w:pPr>
        <w:pStyle w:val="Paragraphedeliste"/>
        <w:numPr>
          <w:ilvl w:val="0"/>
          <w:numId w:val="136"/>
        </w:numPr>
        <w:shd w:val="clear" w:color="auto" w:fill="FFFFFF"/>
        <w:spacing w:before="100" w:beforeAutospacing="1" w:after="100" w:afterAutospacing="1" w:line="240" w:lineRule="auto"/>
        <w:rPr>
          <w:rFonts w:eastAsia="Times New Roman" w:cs="Times New Roman"/>
          <w:color w:val="000000"/>
          <w:lang w:eastAsia="fr-CA"/>
        </w:rPr>
      </w:pPr>
      <w:r w:rsidRPr="00F012F8">
        <w:rPr>
          <w:rFonts w:eastAsia="Times New Roman" w:cs="Times New Roman"/>
          <w:color w:val="000000"/>
          <w:lang w:eastAsia="fr-CA"/>
        </w:rPr>
        <w:t>Trouble du spectre de l'alcoolisation fœtale</w:t>
      </w:r>
    </w:p>
    <w:p w:rsidR="00E22853" w:rsidRPr="00F012F8" w:rsidRDefault="00E22853" w:rsidP="009C4314">
      <w:pPr>
        <w:shd w:val="clear" w:color="auto" w:fill="FFFFFF"/>
        <w:spacing w:before="100" w:beforeAutospacing="1" w:after="100" w:afterAutospacing="1" w:line="240" w:lineRule="auto"/>
        <w:rPr>
          <w:rFonts w:eastAsia="Times New Roman" w:cs="Times New Roman"/>
          <w:color w:val="000000"/>
          <w:u w:val="single"/>
          <w:lang w:eastAsia="fr-CA"/>
        </w:rPr>
      </w:pPr>
      <w:r w:rsidRPr="00F012F8">
        <w:rPr>
          <w:rFonts w:eastAsia="Times New Roman" w:cs="Times New Roman"/>
          <w:color w:val="000000"/>
          <w:u w:val="single"/>
          <w:lang w:eastAsia="fr-CA"/>
        </w:rPr>
        <w:t>Acquises</w:t>
      </w:r>
    </w:p>
    <w:p w:rsidR="0084370F" w:rsidRPr="00F012F8" w:rsidRDefault="0084370F" w:rsidP="00D02E37">
      <w:pPr>
        <w:pStyle w:val="Paragraphedeliste"/>
        <w:numPr>
          <w:ilvl w:val="0"/>
          <w:numId w:val="137"/>
        </w:numPr>
        <w:shd w:val="clear" w:color="auto" w:fill="FFFFFF"/>
        <w:spacing w:before="100" w:beforeAutospacing="1" w:after="100" w:afterAutospacing="1" w:line="240" w:lineRule="auto"/>
        <w:rPr>
          <w:rFonts w:eastAsia="Times New Roman" w:cs="Times New Roman"/>
          <w:color w:val="000000"/>
          <w:lang w:eastAsia="fr-CA"/>
        </w:rPr>
      </w:pPr>
      <w:r w:rsidRPr="00F012F8">
        <w:rPr>
          <w:rFonts w:eastAsia="Times New Roman" w:cs="Times New Roman"/>
          <w:color w:val="000000"/>
          <w:lang w:eastAsia="fr-CA"/>
        </w:rPr>
        <w:t>Lésion cérébrale (p. ex. paralysie cérébrale)</w:t>
      </w:r>
    </w:p>
    <w:p w:rsidR="0084370F" w:rsidRPr="00F012F8" w:rsidRDefault="0084370F" w:rsidP="00D02E37">
      <w:pPr>
        <w:pStyle w:val="Paragraphedeliste"/>
        <w:numPr>
          <w:ilvl w:val="0"/>
          <w:numId w:val="137"/>
        </w:numPr>
        <w:shd w:val="clear" w:color="auto" w:fill="FFFFFF"/>
        <w:spacing w:before="100" w:beforeAutospacing="1" w:after="100" w:afterAutospacing="1" w:line="240" w:lineRule="auto"/>
        <w:rPr>
          <w:rFonts w:eastAsia="Times New Roman" w:cs="Times New Roman"/>
          <w:color w:val="000000"/>
          <w:lang w:eastAsia="fr-CA"/>
        </w:rPr>
      </w:pPr>
      <w:r w:rsidRPr="00F012F8">
        <w:rPr>
          <w:rFonts w:eastAsia="Times New Roman" w:cs="Times New Roman"/>
          <w:color w:val="000000"/>
          <w:lang w:eastAsia="fr-CA"/>
        </w:rPr>
        <w:t>Infection du système nerveux central</w:t>
      </w:r>
      <w:r w:rsidR="00237FE4" w:rsidRPr="00F012F8">
        <w:rPr>
          <w:rFonts w:eastAsia="Times New Roman" w:cs="Times New Roman"/>
          <w:color w:val="000000"/>
          <w:lang w:eastAsia="fr-CA"/>
        </w:rPr>
        <w:t xml:space="preserve"> </w:t>
      </w:r>
    </w:p>
    <w:p w:rsidR="009C4314" w:rsidRPr="00D863AE" w:rsidRDefault="0084370F" w:rsidP="00D863AE">
      <w:pPr>
        <w:pStyle w:val="Paragraphedeliste"/>
        <w:numPr>
          <w:ilvl w:val="0"/>
          <w:numId w:val="137"/>
        </w:numPr>
        <w:shd w:val="clear" w:color="auto" w:fill="FFFFFF"/>
        <w:spacing w:before="100" w:beforeAutospacing="1" w:after="100" w:afterAutospacing="1" w:line="240" w:lineRule="auto"/>
        <w:rPr>
          <w:rFonts w:eastAsia="Times New Roman" w:cs="Times New Roman"/>
          <w:color w:val="000000"/>
          <w:lang w:eastAsia="fr-CA"/>
        </w:rPr>
        <w:sectPr w:rsidR="009C4314" w:rsidRPr="00D863AE" w:rsidSect="00D863AE">
          <w:type w:val="continuous"/>
          <w:pgSz w:w="12240" w:h="15840"/>
          <w:pgMar w:top="720" w:right="720" w:bottom="720" w:left="720" w:header="708" w:footer="708" w:gutter="0"/>
          <w:cols w:space="708"/>
          <w:docGrid w:linePitch="360"/>
        </w:sectPr>
      </w:pPr>
      <w:r w:rsidRPr="00F012F8">
        <w:rPr>
          <w:rFonts w:eastAsia="Times New Roman" w:cs="Times New Roman"/>
          <w:color w:val="000000"/>
          <w:lang w:eastAsia="fr-CA"/>
        </w:rPr>
        <w:t>Autre</w:t>
      </w:r>
      <w:r w:rsidR="00237FE4" w:rsidRPr="00F012F8">
        <w:rPr>
          <w:rFonts w:eastAsia="Times New Roman" w:cs="Times New Roman"/>
          <w:color w:val="000000"/>
          <w:lang w:eastAsia="fr-CA"/>
        </w:rPr>
        <w:t xml:space="preserve"> (</w:t>
      </w:r>
      <w:r w:rsidR="00E22853" w:rsidRPr="00F012F8">
        <w:rPr>
          <w:rFonts w:eastAsia="Times New Roman" w:cs="Times New Roman"/>
          <w:color w:val="000000"/>
          <w:lang w:eastAsia="fr-CA"/>
        </w:rPr>
        <w:t xml:space="preserve">ex : </w:t>
      </w:r>
      <w:r w:rsidR="00D863AE">
        <w:rPr>
          <w:rFonts w:eastAsia="Times New Roman" w:cs="Times New Roman"/>
          <w:color w:val="000000"/>
          <w:lang w:eastAsia="fr-CA"/>
        </w:rPr>
        <w:t>épilepsie chronique)</w:t>
      </w:r>
    </w:p>
    <w:p w:rsidR="00E22853" w:rsidRPr="00F012F8" w:rsidRDefault="00E22853" w:rsidP="00E22853">
      <w:pPr>
        <w:rPr>
          <w:rFonts w:cs="Times New Roman"/>
          <w:b/>
          <w:i/>
        </w:rPr>
      </w:pPr>
      <w:r w:rsidRPr="00F012F8">
        <w:rPr>
          <w:rFonts w:cs="Times New Roman"/>
          <w:b/>
          <w:i/>
        </w:rPr>
        <w:lastRenderedPageBreak/>
        <w:t>Conseils généraux</w:t>
      </w:r>
    </w:p>
    <w:p w:rsidR="009C4314" w:rsidRPr="00F012F8" w:rsidRDefault="009C4314" w:rsidP="00D02E37">
      <w:pPr>
        <w:pStyle w:val="Paragraphedeliste"/>
        <w:numPr>
          <w:ilvl w:val="0"/>
          <w:numId w:val="141"/>
        </w:numPr>
        <w:shd w:val="clear" w:color="auto" w:fill="FFFFFF"/>
        <w:spacing w:after="0" w:line="240" w:lineRule="auto"/>
        <w:rPr>
          <w:rFonts w:eastAsia="Times New Roman" w:cs="Times New Roman"/>
          <w:color w:val="000000"/>
          <w:highlight w:val="yellow"/>
          <w:lang w:eastAsia="fr-CA"/>
        </w:rPr>
      </w:pPr>
      <w:r w:rsidRPr="00F012F8">
        <w:rPr>
          <w:rFonts w:eastAsia="Times New Roman" w:cs="Times New Roman"/>
          <w:color w:val="000000"/>
          <w:highlight w:val="yellow"/>
          <w:lang w:eastAsia="fr-CA"/>
        </w:rPr>
        <w:t>Importance d’évaluer les capacités intellectuelles du patient.</w:t>
      </w:r>
    </w:p>
    <w:p w:rsidR="009C4314" w:rsidRPr="00F012F8" w:rsidRDefault="009C4314" w:rsidP="00D02E37">
      <w:pPr>
        <w:pStyle w:val="Paragraphedeliste"/>
        <w:numPr>
          <w:ilvl w:val="0"/>
          <w:numId w:val="138"/>
        </w:numPr>
        <w:shd w:val="clear" w:color="auto" w:fill="FFFFFF"/>
        <w:spacing w:before="100" w:beforeAutospacing="1" w:after="100" w:afterAutospacing="1" w:line="240" w:lineRule="auto"/>
        <w:rPr>
          <w:rFonts w:eastAsia="Times New Roman" w:cs="Times New Roman"/>
          <w:color w:val="000000"/>
          <w:highlight w:val="yellow"/>
          <w:lang w:eastAsia="fr-CA"/>
        </w:rPr>
      </w:pPr>
      <w:r w:rsidRPr="00F012F8">
        <w:rPr>
          <w:rFonts w:eastAsia="Times New Roman" w:cs="Times New Roman"/>
          <w:color w:val="000000"/>
          <w:highlight w:val="yellow"/>
          <w:lang w:eastAsia="fr-CA"/>
        </w:rPr>
        <w:t xml:space="preserve">Comportement adaptatif </w:t>
      </w:r>
    </w:p>
    <w:p w:rsidR="009C4314" w:rsidRPr="00F012F8" w:rsidRDefault="009C4314" w:rsidP="00D02E37">
      <w:pPr>
        <w:pStyle w:val="Paragraphedeliste"/>
        <w:numPr>
          <w:ilvl w:val="1"/>
          <w:numId w:val="138"/>
        </w:numPr>
        <w:shd w:val="clear" w:color="auto" w:fill="FFFFFF"/>
        <w:spacing w:before="100" w:beforeAutospacing="1" w:after="100" w:afterAutospacing="1" w:line="240" w:lineRule="auto"/>
        <w:rPr>
          <w:rFonts w:eastAsia="Times New Roman" w:cs="Times New Roman"/>
          <w:color w:val="000000"/>
          <w:highlight w:val="yellow"/>
          <w:lang w:eastAsia="fr-CA"/>
        </w:rPr>
      </w:pPr>
      <w:r w:rsidRPr="00F012F8">
        <w:rPr>
          <w:rFonts w:eastAsia="Times New Roman" w:cs="Times New Roman"/>
          <w:color w:val="000000"/>
          <w:highlight w:val="yellow"/>
          <w:lang w:eastAsia="fr-CA"/>
        </w:rPr>
        <w:t>Conceptuel (langage, écriture, lecture, calcul, jugement)</w:t>
      </w:r>
    </w:p>
    <w:p w:rsidR="009C4314" w:rsidRPr="00F012F8" w:rsidRDefault="009C4314" w:rsidP="00D02E37">
      <w:pPr>
        <w:pStyle w:val="Paragraphedeliste"/>
        <w:numPr>
          <w:ilvl w:val="1"/>
          <w:numId w:val="138"/>
        </w:numPr>
        <w:shd w:val="clear" w:color="auto" w:fill="FFFFFF"/>
        <w:spacing w:before="100" w:beforeAutospacing="1" w:after="100" w:afterAutospacing="1" w:line="240" w:lineRule="auto"/>
        <w:rPr>
          <w:rFonts w:eastAsia="Times New Roman" w:cs="Times New Roman"/>
          <w:color w:val="000000"/>
          <w:highlight w:val="yellow"/>
          <w:lang w:eastAsia="fr-CA"/>
        </w:rPr>
      </w:pPr>
      <w:r w:rsidRPr="00F012F8">
        <w:rPr>
          <w:rFonts w:eastAsia="Times New Roman" w:cs="Times New Roman"/>
          <w:color w:val="000000"/>
          <w:highlight w:val="yellow"/>
          <w:lang w:eastAsia="fr-CA"/>
        </w:rPr>
        <w:t>Social (communication interpersonnelle, empathie, capacité relationnelle,  résolution de problème)</w:t>
      </w:r>
    </w:p>
    <w:p w:rsidR="009C4314" w:rsidRPr="00F012F8" w:rsidRDefault="009C4314" w:rsidP="00D02E37">
      <w:pPr>
        <w:pStyle w:val="Paragraphedeliste"/>
        <w:numPr>
          <w:ilvl w:val="1"/>
          <w:numId w:val="138"/>
        </w:numPr>
        <w:shd w:val="clear" w:color="auto" w:fill="FFFFFF"/>
        <w:spacing w:before="100" w:beforeAutospacing="1" w:after="100" w:afterAutospacing="1" w:line="240" w:lineRule="auto"/>
        <w:rPr>
          <w:rFonts w:eastAsia="Times New Roman" w:cs="Times New Roman"/>
          <w:color w:val="000000"/>
          <w:highlight w:val="yellow"/>
          <w:lang w:eastAsia="fr-CA"/>
        </w:rPr>
      </w:pPr>
      <w:r w:rsidRPr="00F012F8">
        <w:rPr>
          <w:rFonts w:eastAsia="Times New Roman" w:cs="Times New Roman"/>
          <w:color w:val="000000"/>
          <w:highlight w:val="yellow"/>
          <w:lang w:eastAsia="fr-CA"/>
        </w:rPr>
        <w:t>Pratique (AVQ, AVD)</w:t>
      </w:r>
    </w:p>
    <w:p w:rsidR="009C4314" w:rsidRPr="00F012F8" w:rsidRDefault="009C4314" w:rsidP="00D02E37">
      <w:pPr>
        <w:pStyle w:val="Paragraphedeliste"/>
        <w:numPr>
          <w:ilvl w:val="0"/>
          <w:numId w:val="138"/>
        </w:numPr>
        <w:shd w:val="clear" w:color="auto" w:fill="FFFFFF"/>
        <w:spacing w:before="100" w:beforeAutospacing="1" w:after="100" w:afterAutospacing="1" w:line="240" w:lineRule="auto"/>
        <w:rPr>
          <w:rFonts w:eastAsia="Times New Roman" w:cs="Times New Roman"/>
          <w:color w:val="000000"/>
          <w:lang w:eastAsia="fr-CA"/>
        </w:rPr>
      </w:pPr>
      <w:r w:rsidRPr="00F012F8">
        <w:rPr>
          <w:rFonts w:eastAsia="Times New Roman" w:cs="Times New Roman"/>
          <w:color w:val="000000"/>
          <w:lang w:eastAsia="fr-CA"/>
        </w:rPr>
        <w:t>Fonctionnement intellectuel (test de QI – plus de 2 déviations standards de la moyenne)</w:t>
      </w:r>
    </w:p>
    <w:p w:rsidR="00712742" w:rsidRPr="00F012F8" w:rsidRDefault="009C4314" w:rsidP="00D02E37">
      <w:pPr>
        <w:pStyle w:val="Paragraphedeliste"/>
        <w:numPr>
          <w:ilvl w:val="0"/>
          <w:numId w:val="139"/>
        </w:numPr>
        <w:shd w:val="clear" w:color="auto" w:fill="FFFFFF"/>
        <w:spacing w:before="100" w:beforeAutospacing="1" w:after="100" w:afterAutospacing="1" w:line="240" w:lineRule="auto"/>
        <w:rPr>
          <w:rFonts w:eastAsia="Times New Roman" w:cs="Times New Roman"/>
          <w:color w:val="000000"/>
          <w:lang w:eastAsia="fr-CA"/>
        </w:rPr>
      </w:pPr>
      <w:r w:rsidRPr="00F012F8">
        <w:rPr>
          <w:rFonts w:eastAsia="Times New Roman" w:cs="Times New Roman"/>
          <w:color w:val="000000"/>
          <w:lang w:eastAsia="fr-CA"/>
        </w:rPr>
        <w:t>Intéressant pour documenter, mais n’est plus utilisé pour classifier la sévérité de l’atteinte</w:t>
      </w:r>
    </w:p>
    <w:p w:rsidR="00712742" w:rsidRPr="00F012F8" w:rsidRDefault="00712742" w:rsidP="00D02E37">
      <w:pPr>
        <w:pStyle w:val="Paragraphedeliste"/>
        <w:numPr>
          <w:ilvl w:val="0"/>
          <w:numId w:val="142"/>
        </w:numPr>
        <w:spacing w:after="0"/>
        <w:rPr>
          <w:rFonts w:cs="Times New Roman"/>
        </w:rPr>
      </w:pPr>
      <w:r w:rsidRPr="00F012F8">
        <w:rPr>
          <w:rFonts w:eastAsia="Times New Roman" w:cs="Times New Roman"/>
          <w:color w:val="000000"/>
          <w:lang w:eastAsia="fr-CA"/>
        </w:rPr>
        <w:t>Déficience intellectuelle ~ 1% de la population</w:t>
      </w:r>
      <w:r w:rsidRPr="00F012F8">
        <w:rPr>
          <w:rFonts w:cs="Times New Roman"/>
        </w:rPr>
        <w:t xml:space="preserve"> </w:t>
      </w:r>
    </w:p>
    <w:p w:rsidR="00712742" w:rsidRPr="00F012F8" w:rsidRDefault="00712742" w:rsidP="00D02E37">
      <w:pPr>
        <w:pStyle w:val="Paragraphedeliste"/>
        <w:numPr>
          <w:ilvl w:val="1"/>
          <w:numId w:val="142"/>
        </w:numPr>
        <w:spacing w:after="0"/>
        <w:rPr>
          <w:rFonts w:cs="Times New Roman"/>
        </w:rPr>
      </w:pPr>
      <w:r w:rsidRPr="00F012F8">
        <w:rPr>
          <w:rFonts w:eastAsia="Times New Roman" w:cs="Times New Roman"/>
          <w:color w:val="000000"/>
          <w:lang w:eastAsia="fr-CA"/>
        </w:rPr>
        <w:t>Malheureusement, les patients avec DI ont de 13-20 ans de réduction d’espérance de vie</w:t>
      </w:r>
    </w:p>
    <w:p w:rsidR="00712742" w:rsidRPr="00F012F8" w:rsidRDefault="00712742" w:rsidP="00712742">
      <w:pPr>
        <w:pStyle w:val="Paragraphedeliste"/>
        <w:spacing w:after="0"/>
        <w:ind w:left="1788"/>
        <w:rPr>
          <w:rFonts w:cs="Times New Roman"/>
        </w:rPr>
      </w:pPr>
    </w:p>
    <w:p w:rsidR="00E22853" w:rsidRPr="00F012F8" w:rsidRDefault="00E22853" w:rsidP="00D02E37">
      <w:pPr>
        <w:pStyle w:val="Paragraphedeliste"/>
        <w:numPr>
          <w:ilvl w:val="0"/>
          <w:numId w:val="140"/>
        </w:numPr>
        <w:rPr>
          <w:rFonts w:cs="Times New Roman"/>
        </w:rPr>
      </w:pPr>
      <w:r w:rsidRPr="00F012F8">
        <w:rPr>
          <w:rFonts w:cs="Times New Roman"/>
        </w:rPr>
        <w:t>S’adresser au patient et vérifier ses capacités à comprendre et consentir</w:t>
      </w:r>
      <w:r w:rsidR="00712742" w:rsidRPr="00F012F8">
        <w:rPr>
          <w:rFonts w:cs="Times New Roman"/>
        </w:rPr>
        <w:t xml:space="preserve"> (critères de la Nouvelle-Écosse)</w:t>
      </w:r>
      <w:r w:rsidRPr="00F012F8">
        <w:rPr>
          <w:rFonts w:cs="Times New Roman"/>
        </w:rPr>
        <w:t xml:space="preserve">. </w:t>
      </w:r>
      <w:r w:rsidRPr="00F012F8">
        <w:rPr>
          <w:rFonts w:cs="Times New Roman"/>
          <w:highlight w:val="yellow"/>
        </w:rPr>
        <w:t>Ne pas le juger inapte d’emblée ou s’adresser uniquement aux proches.</w:t>
      </w:r>
    </w:p>
    <w:p w:rsidR="00712742" w:rsidRPr="00F012F8" w:rsidRDefault="00712742" w:rsidP="00712742">
      <w:pPr>
        <w:pStyle w:val="Paragraphedeliste"/>
        <w:rPr>
          <w:rFonts w:cs="Times New Roman"/>
        </w:rPr>
      </w:pPr>
    </w:p>
    <w:p w:rsidR="00712742" w:rsidRPr="00F012F8" w:rsidRDefault="00E22853" w:rsidP="00D02E37">
      <w:pPr>
        <w:pStyle w:val="Paragraphedeliste"/>
        <w:numPr>
          <w:ilvl w:val="0"/>
          <w:numId w:val="140"/>
        </w:numPr>
        <w:rPr>
          <w:rFonts w:cs="Times New Roman"/>
          <w:highlight w:val="yellow"/>
        </w:rPr>
      </w:pPr>
      <w:r w:rsidRPr="00F012F8">
        <w:rPr>
          <w:rFonts w:cs="Times New Roman"/>
          <w:highlight w:val="yellow"/>
        </w:rPr>
        <w:t>Ne pas négliger une histoire sexuelle chez ces patients (ils peuvent aussi être sexuellement actifs!) et évaluer les soins/atteintes dentaires</w:t>
      </w:r>
    </w:p>
    <w:p w:rsidR="00E22853" w:rsidRPr="00F012F8" w:rsidRDefault="00E22853" w:rsidP="00D02E37">
      <w:pPr>
        <w:pStyle w:val="Paragraphedeliste"/>
        <w:numPr>
          <w:ilvl w:val="0"/>
          <w:numId w:val="140"/>
        </w:numPr>
        <w:rPr>
          <w:rFonts w:cs="Times New Roman"/>
        </w:rPr>
      </w:pPr>
      <w:r w:rsidRPr="00F012F8">
        <w:rPr>
          <w:rFonts w:cs="Times New Roman"/>
        </w:rPr>
        <w:t>L’usage de médication sédative (ex : lorazepam) peut être appropriée dans un contexte d’examen (ECG, examen gynécologique, etc.) si le patient est très anxieux</w:t>
      </w:r>
    </w:p>
    <w:p w:rsidR="00E22853" w:rsidRPr="00F012F8" w:rsidRDefault="00E22853" w:rsidP="004724B8">
      <w:pPr>
        <w:spacing w:after="0"/>
        <w:rPr>
          <w:rFonts w:cs="Times New Roman"/>
          <w:b/>
          <w:i/>
        </w:rPr>
      </w:pPr>
      <w:r w:rsidRPr="00F012F8">
        <w:rPr>
          <w:rFonts w:cs="Times New Roman"/>
          <w:b/>
          <w:i/>
        </w:rPr>
        <w:t>Être à l’affut</w:t>
      </w:r>
    </w:p>
    <w:p w:rsidR="00E22853" w:rsidRPr="00F012F8" w:rsidRDefault="00E22853" w:rsidP="00D02E37">
      <w:pPr>
        <w:pStyle w:val="Paragraphedeliste"/>
        <w:numPr>
          <w:ilvl w:val="0"/>
          <w:numId w:val="135"/>
        </w:numPr>
        <w:rPr>
          <w:rFonts w:cs="Times New Roman"/>
          <w:highlight w:val="yellow"/>
        </w:rPr>
      </w:pPr>
      <w:r w:rsidRPr="00F012F8">
        <w:rPr>
          <w:rFonts w:cs="Times New Roman"/>
          <w:highlight w:val="yellow"/>
        </w:rPr>
        <w:t>En général, les patients avec une capacité de communication limitée sont plus à risque d’abus physique ou sexuel</w:t>
      </w:r>
    </w:p>
    <w:p w:rsidR="00E22853" w:rsidRPr="00F012F8" w:rsidRDefault="00E22853" w:rsidP="00D02E37">
      <w:pPr>
        <w:pStyle w:val="Paragraphedeliste"/>
        <w:numPr>
          <w:ilvl w:val="1"/>
          <w:numId w:val="135"/>
        </w:numPr>
        <w:rPr>
          <w:rFonts w:cs="Times New Roman"/>
        </w:rPr>
      </w:pPr>
      <w:r w:rsidRPr="00F012F8">
        <w:rPr>
          <w:rFonts w:cs="Times New Roman"/>
        </w:rPr>
        <w:t>Et jusqu’à 60% auraient vécus de la violence.</w:t>
      </w:r>
    </w:p>
    <w:p w:rsidR="002F25C7" w:rsidRPr="00F012F8" w:rsidRDefault="00E22853" w:rsidP="00D02E37">
      <w:pPr>
        <w:pStyle w:val="Paragraphedeliste"/>
        <w:numPr>
          <w:ilvl w:val="0"/>
          <w:numId w:val="135"/>
        </w:numPr>
        <w:rPr>
          <w:rFonts w:cs="Times New Roman"/>
        </w:rPr>
      </w:pPr>
      <w:r w:rsidRPr="00F012F8">
        <w:rPr>
          <w:rFonts w:cs="Times New Roman"/>
        </w:rPr>
        <w:t>31% des personnes avec DI auraient une comorbidité psychiatrique</w:t>
      </w:r>
    </w:p>
    <w:p w:rsidR="002F25C7" w:rsidRPr="00F012F8" w:rsidRDefault="0084370F" w:rsidP="00EB0196">
      <w:pPr>
        <w:rPr>
          <w:rFonts w:cs="Times New Roman"/>
          <w:b/>
          <w:sz w:val="24"/>
          <w:szCs w:val="24"/>
        </w:rPr>
      </w:pPr>
      <w:r w:rsidRPr="00F012F8">
        <w:rPr>
          <w:rFonts w:cs="Times New Roman"/>
          <w:b/>
          <w:sz w:val="24"/>
          <w:szCs w:val="24"/>
        </w:rPr>
        <w:t>Investigations / Évaluations</w:t>
      </w:r>
      <w:r w:rsidR="00DF6818" w:rsidRPr="00F012F8">
        <w:rPr>
          <w:rFonts w:cs="Times New Roman"/>
          <w:b/>
          <w:sz w:val="24"/>
          <w:szCs w:val="24"/>
        </w:rPr>
        <w:t xml:space="preserve"> </w:t>
      </w:r>
      <w:r w:rsidR="00237FE4" w:rsidRPr="00F012F8">
        <w:rPr>
          <w:rFonts w:cs="Times New Roman"/>
          <w:b/>
          <w:sz w:val="24"/>
          <w:szCs w:val="24"/>
        </w:rPr>
        <w:t>- Suivi particulier</w:t>
      </w:r>
    </w:p>
    <w:tbl>
      <w:tblPr>
        <w:tblStyle w:val="Grilledutableau"/>
        <w:tblW w:w="0" w:type="auto"/>
        <w:tblLook w:val="04A0" w:firstRow="1" w:lastRow="0" w:firstColumn="1" w:lastColumn="0" w:noHBand="0" w:noVBand="1"/>
      </w:tblPr>
      <w:tblGrid>
        <w:gridCol w:w="2093"/>
        <w:gridCol w:w="4252"/>
        <w:gridCol w:w="4595"/>
      </w:tblGrid>
      <w:tr w:rsidR="004A044D" w:rsidRPr="00F012F8" w:rsidTr="00184EB5">
        <w:tc>
          <w:tcPr>
            <w:tcW w:w="2093" w:type="dxa"/>
            <w:shd w:val="clear" w:color="auto" w:fill="C6D9F1" w:themeFill="text2" w:themeFillTint="33"/>
          </w:tcPr>
          <w:p w:rsidR="004A044D" w:rsidRPr="00F012F8" w:rsidRDefault="004A044D" w:rsidP="00656F02">
            <w:pPr>
              <w:jc w:val="center"/>
              <w:rPr>
                <w:rFonts w:cs="Times New Roman"/>
                <w:b/>
              </w:rPr>
            </w:pPr>
            <w:r w:rsidRPr="00F012F8">
              <w:rPr>
                <w:rFonts w:cs="Times New Roman"/>
                <w:b/>
              </w:rPr>
              <w:t>Pathologie</w:t>
            </w:r>
          </w:p>
        </w:tc>
        <w:tc>
          <w:tcPr>
            <w:tcW w:w="4252" w:type="dxa"/>
            <w:shd w:val="clear" w:color="auto" w:fill="C6D9F1" w:themeFill="text2" w:themeFillTint="33"/>
          </w:tcPr>
          <w:p w:rsidR="004A044D" w:rsidRPr="00F012F8" w:rsidRDefault="004A044D" w:rsidP="00965BDE">
            <w:pPr>
              <w:jc w:val="center"/>
              <w:rPr>
                <w:rFonts w:cs="Times New Roman"/>
                <w:b/>
              </w:rPr>
            </w:pPr>
            <w:r w:rsidRPr="00F012F8">
              <w:rPr>
                <w:rFonts w:cs="Times New Roman"/>
                <w:b/>
              </w:rPr>
              <w:t xml:space="preserve">Comorbidités / </w:t>
            </w:r>
            <w:r w:rsidR="00965BDE" w:rsidRPr="00F012F8">
              <w:rPr>
                <w:rFonts w:cs="Times New Roman"/>
                <w:b/>
              </w:rPr>
              <w:t>particularités</w:t>
            </w:r>
            <w:r w:rsidRPr="00F012F8">
              <w:rPr>
                <w:rFonts w:cs="Times New Roman"/>
                <w:b/>
              </w:rPr>
              <w:t>/ défis</w:t>
            </w:r>
          </w:p>
        </w:tc>
        <w:tc>
          <w:tcPr>
            <w:tcW w:w="4595" w:type="dxa"/>
            <w:shd w:val="clear" w:color="auto" w:fill="C6D9F1" w:themeFill="text2" w:themeFillTint="33"/>
          </w:tcPr>
          <w:p w:rsidR="004A044D" w:rsidRPr="00F012F8" w:rsidRDefault="004A044D" w:rsidP="00656F02">
            <w:pPr>
              <w:jc w:val="center"/>
              <w:rPr>
                <w:rFonts w:cs="Times New Roman"/>
                <w:b/>
              </w:rPr>
            </w:pPr>
            <w:r w:rsidRPr="00F012F8">
              <w:rPr>
                <w:rFonts w:cs="Times New Roman"/>
                <w:b/>
              </w:rPr>
              <w:t>Suivi et prise en charge</w:t>
            </w:r>
          </w:p>
        </w:tc>
      </w:tr>
      <w:tr w:rsidR="004A044D" w:rsidRPr="00F012F8" w:rsidTr="004F1255">
        <w:tc>
          <w:tcPr>
            <w:tcW w:w="2093" w:type="dxa"/>
          </w:tcPr>
          <w:p w:rsidR="004A044D" w:rsidRPr="00F012F8" w:rsidRDefault="004A044D" w:rsidP="00EB0196">
            <w:pPr>
              <w:rPr>
                <w:rFonts w:cs="Times New Roman"/>
              </w:rPr>
            </w:pPr>
            <w:r w:rsidRPr="00F012F8">
              <w:rPr>
                <w:rFonts w:cs="Times New Roman"/>
              </w:rPr>
              <w:t>Syndrome de Down</w:t>
            </w:r>
          </w:p>
        </w:tc>
        <w:tc>
          <w:tcPr>
            <w:tcW w:w="4252" w:type="dxa"/>
          </w:tcPr>
          <w:p w:rsidR="004A044D" w:rsidRPr="00F012F8" w:rsidRDefault="00973975" w:rsidP="00D02E37">
            <w:pPr>
              <w:pStyle w:val="Paragraphedeliste"/>
              <w:numPr>
                <w:ilvl w:val="0"/>
                <w:numId w:val="130"/>
              </w:numPr>
              <w:rPr>
                <w:rFonts w:cs="Times New Roman"/>
                <w:highlight w:val="yellow"/>
              </w:rPr>
            </w:pPr>
            <w:r w:rsidRPr="00F012F8">
              <w:rPr>
                <w:rFonts w:cs="Times New Roman"/>
                <w:highlight w:val="yellow"/>
              </w:rPr>
              <w:t>Hypothyroïdie (30% de risque à vie)</w:t>
            </w:r>
          </w:p>
          <w:p w:rsidR="00973975" w:rsidRPr="00F012F8" w:rsidRDefault="00973975" w:rsidP="00D02E37">
            <w:pPr>
              <w:pStyle w:val="Paragraphedeliste"/>
              <w:numPr>
                <w:ilvl w:val="0"/>
                <w:numId w:val="130"/>
              </w:numPr>
              <w:rPr>
                <w:rFonts w:cs="Times New Roman"/>
              </w:rPr>
            </w:pPr>
            <w:r w:rsidRPr="00F012F8">
              <w:rPr>
                <w:rFonts w:cs="Times New Roman"/>
                <w:highlight w:val="yellow"/>
              </w:rPr>
              <w:t>Atteinte du septum cardiaque</w:t>
            </w:r>
          </w:p>
          <w:p w:rsidR="00973975" w:rsidRPr="00F012F8" w:rsidRDefault="00973975" w:rsidP="00D02E37">
            <w:pPr>
              <w:pStyle w:val="Paragraphedeliste"/>
              <w:numPr>
                <w:ilvl w:val="0"/>
                <w:numId w:val="130"/>
              </w:numPr>
              <w:rPr>
                <w:rFonts w:cs="Times New Roman"/>
              </w:rPr>
            </w:pPr>
            <w:r w:rsidRPr="00F012F8">
              <w:rPr>
                <w:rFonts w:cs="Times New Roman"/>
              </w:rPr>
              <w:t>Cataractes, amblyopie, glaucome</w:t>
            </w:r>
          </w:p>
          <w:p w:rsidR="00973975" w:rsidRPr="00F012F8" w:rsidRDefault="00973975" w:rsidP="00D02E37">
            <w:pPr>
              <w:pStyle w:val="Paragraphedeliste"/>
              <w:numPr>
                <w:ilvl w:val="0"/>
                <w:numId w:val="130"/>
              </w:numPr>
              <w:rPr>
                <w:rFonts w:cs="Times New Roman"/>
                <w:highlight w:val="yellow"/>
              </w:rPr>
            </w:pPr>
            <w:r w:rsidRPr="00F012F8">
              <w:rPr>
                <w:rFonts w:cs="Times New Roman"/>
                <w:highlight w:val="yellow"/>
              </w:rPr>
              <w:t>↓ immunité (risques d’infections et de leucémie)</w:t>
            </w:r>
          </w:p>
          <w:p w:rsidR="00973975" w:rsidRPr="00F012F8" w:rsidRDefault="00973975" w:rsidP="00D02E37">
            <w:pPr>
              <w:pStyle w:val="Paragraphedeliste"/>
              <w:numPr>
                <w:ilvl w:val="0"/>
                <w:numId w:val="130"/>
              </w:numPr>
              <w:rPr>
                <w:rFonts w:cs="Times New Roman"/>
              </w:rPr>
            </w:pPr>
            <w:r w:rsidRPr="00F012F8">
              <w:rPr>
                <w:rFonts w:cs="Times New Roman"/>
              </w:rPr>
              <w:t>Laxité ligamentaire problématique surtout en C1-C2</w:t>
            </w:r>
          </w:p>
          <w:p w:rsidR="00965BDE" w:rsidRPr="00F012F8" w:rsidRDefault="00965BDE" w:rsidP="00D02E37">
            <w:pPr>
              <w:pStyle w:val="Paragraphedeliste"/>
              <w:numPr>
                <w:ilvl w:val="0"/>
                <w:numId w:val="130"/>
              </w:numPr>
              <w:rPr>
                <w:rFonts w:cs="Times New Roman"/>
              </w:rPr>
            </w:pPr>
            <w:r w:rsidRPr="00F012F8">
              <w:rPr>
                <w:rFonts w:cs="Times New Roman"/>
              </w:rPr>
              <w:t>Démence d’Alzheimer fréquente et précoce (&gt; 40 ans)</w:t>
            </w:r>
          </w:p>
        </w:tc>
        <w:tc>
          <w:tcPr>
            <w:tcW w:w="4595" w:type="dxa"/>
          </w:tcPr>
          <w:p w:rsidR="004A044D" w:rsidRPr="00F012F8" w:rsidRDefault="00973975" w:rsidP="00D02E37">
            <w:pPr>
              <w:pStyle w:val="Paragraphedeliste"/>
              <w:numPr>
                <w:ilvl w:val="0"/>
                <w:numId w:val="130"/>
              </w:numPr>
              <w:rPr>
                <w:rFonts w:cs="Times New Roman"/>
              </w:rPr>
            </w:pPr>
            <w:r w:rsidRPr="00F012F8">
              <w:rPr>
                <w:rFonts w:cs="Times New Roman"/>
              </w:rPr>
              <w:t>Survie médiane ~ 50 ans</w:t>
            </w:r>
          </w:p>
          <w:p w:rsidR="00973975" w:rsidRPr="00F012F8" w:rsidRDefault="00973975" w:rsidP="004F1255">
            <w:pPr>
              <w:rPr>
                <w:rFonts w:cs="Times New Roman"/>
              </w:rPr>
            </w:pPr>
          </w:p>
          <w:p w:rsidR="00973975" w:rsidRPr="00F012F8" w:rsidRDefault="00973975" w:rsidP="00D02E37">
            <w:pPr>
              <w:pStyle w:val="Paragraphedeliste"/>
              <w:numPr>
                <w:ilvl w:val="0"/>
                <w:numId w:val="130"/>
              </w:numPr>
              <w:rPr>
                <w:rFonts w:cs="Times New Roman"/>
                <w:highlight w:val="yellow"/>
              </w:rPr>
            </w:pPr>
            <w:r w:rsidRPr="00F012F8">
              <w:rPr>
                <w:rFonts w:cs="Times New Roman"/>
                <w:highlight w:val="yellow"/>
              </w:rPr>
              <w:t>Écho cardiaque si Ø fait en jeune âge</w:t>
            </w:r>
          </w:p>
          <w:p w:rsidR="00973975" w:rsidRPr="00F012F8" w:rsidRDefault="00973975" w:rsidP="00D02E37">
            <w:pPr>
              <w:pStyle w:val="Paragraphedeliste"/>
              <w:numPr>
                <w:ilvl w:val="0"/>
                <w:numId w:val="130"/>
              </w:numPr>
              <w:rPr>
                <w:rFonts w:cs="Times New Roman"/>
                <w:highlight w:val="yellow"/>
              </w:rPr>
            </w:pPr>
            <w:r w:rsidRPr="00F012F8">
              <w:rPr>
                <w:rFonts w:cs="Times New Roman"/>
                <w:highlight w:val="yellow"/>
              </w:rPr>
              <w:t xml:space="preserve">TSH, dépistage hypoT4 annuel </w:t>
            </w:r>
          </w:p>
          <w:p w:rsidR="00973975" w:rsidRPr="00F012F8" w:rsidRDefault="00973975" w:rsidP="00D02E37">
            <w:pPr>
              <w:pStyle w:val="Paragraphedeliste"/>
              <w:numPr>
                <w:ilvl w:val="0"/>
                <w:numId w:val="130"/>
              </w:numPr>
              <w:rPr>
                <w:rFonts w:cs="Times New Roman"/>
              </w:rPr>
            </w:pPr>
            <w:r w:rsidRPr="00F012F8">
              <w:rPr>
                <w:rFonts w:cs="Times New Roman"/>
              </w:rPr>
              <w:t>Suivi ophtalmo/auditif régulier</w:t>
            </w:r>
          </w:p>
          <w:p w:rsidR="00973975" w:rsidRPr="00F012F8" w:rsidRDefault="00973975" w:rsidP="00D02E37">
            <w:pPr>
              <w:pStyle w:val="Paragraphedeliste"/>
              <w:numPr>
                <w:ilvl w:val="0"/>
                <w:numId w:val="130"/>
              </w:numPr>
              <w:rPr>
                <w:rFonts w:cs="Times New Roman"/>
                <w:highlight w:val="yellow"/>
              </w:rPr>
            </w:pPr>
            <w:r w:rsidRPr="00F012F8">
              <w:rPr>
                <w:rFonts w:cs="Times New Roman"/>
                <w:highlight w:val="yellow"/>
              </w:rPr>
              <w:t>Attention particulière aux signes d’infection</w:t>
            </w:r>
          </w:p>
          <w:p w:rsidR="00973975" w:rsidRPr="00F012F8" w:rsidRDefault="00973975" w:rsidP="00D02E37">
            <w:pPr>
              <w:pStyle w:val="Paragraphedeliste"/>
              <w:numPr>
                <w:ilvl w:val="0"/>
                <w:numId w:val="130"/>
              </w:numPr>
              <w:rPr>
                <w:rFonts w:cs="Times New Roman"/>
              </w:rPr>
            </w:pPr>
            <w:r w:rsidRPr="00F012F8">
              <w:rPr>
                <w:rFonts w:cs="Times New Roman"/>
              </w:rPr>
              <w:t>Être alertes aux douleurs cervicales, ∆ patron de marche, incontinence</w:t>
            </w:r>
          </w:p>
        </w:tc>
      </w:tr>
      <w:tr w:rsidR="004A044D" w:rsidRPr="00F012F8" w:rsidTr="004F1255">
        <w:tc>
          <w:tcPr>
            <w:tcW w:w="2093" w:type="dxa"/>
          </w:tcPr>
          <w:p w:rsidR="004A044D" w:rsidRPr="00F012F8" w:rsidRDefault="00692A4C" w:rsidP="00EB0196">
            <w:pPr>
              <w:rPr>
                <w:rFonts w:cs="Times New Roman"/>
              </w:rPr>
            </w:pPr>
            <w:r w:rsidRPr="00F012F8">
              <w:rPr>
                <w:rFonts w:cs="Times New Roman"/>
              </w:rPr>
              <w:t>Syndrome de l’X fragile</w:t>
            </w:r>
          </w:p>
        </w:tc>
        <w:tc>
          <w:tcPr>
            <w:tcW w:w="4252" w:type="dxa"/>
          </w:tcPr>
          <w:p w:rsidR="004A044D" w:rsidRPr="00F012F8" w:rsidRDefault="003A7472" w:rsidP="00D02E37">
            <w:pPr>
              <w:pStyle w:val="Paragraphedeliste"/>
              <w:numPr>
                <w:ilvl w:val="0"/>
                <w:numId w:val="133"/>
              </w:numPr>
              <w:rPr>
                <w:rFonts w:cs="Times New Roman"/>
              </w:rPr>
            </w:pPr>
            <w:r w:rsidRPr="00F012F8">
              <w:rPr>
                <w:rFonts w:cs="Times New Roman"/>
              </w:rPr>
              <w:t>Prolapsus mitral</w:t>
            </w:r>
          </w:p>
          <w:p w:rsidR="003A7472" w:rsidRPr="00F012F8" w:rsidRDefault="003A7472" w:rsidP="00D02E37">
            <w:pPr>
              <w:pStyle w:val="Paragraphedeliste"/>
              <w:numPr>
                <w:ilvl w:val="0"/>
                <w:numId w:val="133"/>
              </w:numPr>
              <w:rPr>
                <w:rFonts w:cs="Times New Roman"/>
              </w:rPr>
            </w:pPr>
            <w:r w:rsidRPr="00F012F8">
              <w:rPr>
                <w:rFonts w:cs="Times New Roman"/>
              </w:rPr>
              <w:t>Retards de langage et de comportement</w:t>
            </w:r>
          </w:p>
          <w:p w:rsidR="003A7472" w:rsidRPr="00F012F8" w:rsidRDefault="003A7472" w:rsidP="00D02E37">
            <w:pPr>
              <w:pStyle w:val="Paragraphedeliste"/>
              <w:numPr>
                <w:ilvl w:val="0"/>
                <w:numId w:val="133"/>
              </w:numPr>
              <w:rPr>
                <w:rFonts w:cs="Times New Roman"/>
              </w:rPr>
            </w:pPr>
            <w:r w:rsidRPr="00F012F8">
              <w:rPr>
                <w:rFonts w:cs="Times New Roman"/>
              </w:rPr>
              <w:t>Parfois comportements autistiques</w:t>
            </w:r>
          </w:p>
        </w:tc>
        <w:tc>
          <w:tcPr>
            <w:tcW w:w="4595" w:type="dxa"/>
          </w:tcPr>
          <w:p w:rsidR="004A044D" w:rsidRPr="00F012F8" w:rsidRDefault="003A7472" w:rsidP="00D02E37">
            <w:pPr>
              <w:pStyle w:val="Paragraphedeliste"/>
              <w:numPr>
                <w:ilvl w:val="0"/>
                <w:numId w:val="132"/>
              </w:numPr>
              <w:rPr>
                <w:rFonts w:cs="Times New Roman"/>
              </w:rPr>
            </w:pPr>
            <w:r w:rsidRPr="00F012F8">
              <w:rPr>
                <w:rFonts w:cs="Times New Roman"/>
              </w:rPr>
              <w:t>Chez l’adulte, suivi normal et counseling génétique</w:t>
            </w:r>
          </w:p>
        </w:tc>
      </w:tr>
      <w:tr w:rsidR="004A044D" w:rsidRPr="00F012F8" w:rsidTr="004F1255">
        <w:tc>
          <w:tcPr>
            <w:tcW w:w="2093" w:type="dxa"/>
          </w:tcPr>
          <w:p w:rsidR="004A044D" w:rsidRPr="00F012F8" w:rsidRDefault="004A044D" w:rsidP="00EB0196">
            <w:pPr>
              <w:rPr>
                <w:rFonts w:cs="Times New Roman"/>
              </w:rPr>
            </w:pPr>
            <w:r w:rsidRPr="00F012F8">
              <w:rPr>
                <w:rFonts w:cs="Times New Roman"/>
              </w:rPr>
              <w:t>Trouble du spectre de l’autisme</w:t>
            </w:r>
          </w:p>
        </w:tc>
        <w:tc>
          <w:tcPr>
            <w:tcW w:w="4252" w:type="dxa"/>
          </w:tcPr>
          <w:p w:rsidR="004A044D" w:rsidRPr="00F012F8" w:rsidRDefault="00696483" w:rsidP="00D02E37">
            <w:pPr>
              <w:pStyle w:val="Paragraphedeliste"/>
              <w:numPr>
                <w:ilvl w:val="0"/>
                <w:numId w:val="130"/>
              </w:numPr>
              <w:rPr>
                <w:rFonts w:cs="Times New Roman"/>
              </w:rPr>
            </w:pPr>
            <w:r w:rsidRPr="00F012F8">
              <w:rPr>
                <w:rFonts w:cs="Times New Roman"/>
              </w:rPr>
              <w:t>Convulsions</w:t>
            </w:r>
          </w:p>
          <w:p w:rsidR="00696483" w:rsidRPr="00F012F8" w:rsidRDefault="00696483" w:rsidP="00D02E37">
            <w:pPr>
              <w:pStyle w:val="Paragraphedeliste"/>
              <w:numPr>
                <w:ilvl w:val="0"/>
                <w:numId w:val="130"/>
              </w:numPr>
              <w:rPr>
                <w:rFonts w:cs="Times New Roman"/>
              </w:rPr>
            </w:pPr>
            <w:r w:rsidRPr="00F012F8">
              <w:rPr>
                <w:rFonts w:cs="Times New Roman"/>
              </w:rPr>
              <w:t>Constipation</w:t>
            </w:r>
          </w:p>
          <w:p w:rsidR="00692A4C" w:rsidRPr="00F012F8" w:rsidRDefault="00692A4C" w:rsidP="00D02E37">
            <w:pPr>
              <w:pStyle w:val="Paragraphedeliste"/>
              <w:numPr>
                <w:ilvl w:val="0"/>
                <w:numId w:val="130"/>
              </w:numPr>
              <w:rPr>
                <w:rFonts w:cs="Times New Roman"/>
              </w:rPr>
            </w:pPr>
            <w:r w:rsidRPr="00F012F8">
              <w:rPr>
                <w:rFonts w:cs="Times New Roman"/>
              </w:rPr>
              <w:t>Déficience intellectuelle (40-75%)</w:t>
            </w:r>
          </w:p>
          <w:p w:rsidR="00696483" w:rsidRPr="00F012F8" w:rsidRDefault="00696483" w:rsidP="00D02E37">
            <w:pPr>
              <w:pStyle w:val="Paragraphedeliste"/>
              <w:numPr>
                <w:ilvl w:val="0"/>
                <w:numId w:val="130"/>
              </w:numPr>
              <w:rPr>
                <w:rFonts w:cs="Times New Roman"/>
              </w:rPr>
            </w:pPr>
            <w:r w:rsidRPr="00F012F8">
              <w:rPr>
                <w:rFonts w:cs="Times New Roman"/>
              </w:rPr>
              <w:t>Trouble du sommeil</w:t>
            </w:r>
          </w:p>
          <w:p w:rsidR="00696483" w:rsidRPr="00F012F8" w:rsidRDefault="00696483" w:rsidP="00D02E37">
            <w:pPr>
              <w:pStyle w:val="Paragraphedeliste"/>
              <w:numPr>
                <w:ilvl w:val="0"/>
                <w:numId w:val="130"/>
              </w:numPr>
              <w:rPr>
                <w:rFonts w:cs="Times New Roman"/>
              </w:rPr>
            </w:pPr>
            <w:r w:rsidRPr="00F012F8">
              <w:rPr>
                <w:rFonts w:cs="Times New Roman"/>
              </w:rPr>
              <w:t>Trouble anxieux / dépressif</w:t>
            </w:r>
          </w:p>
          <w:p w:rsidR="00696483" w:rsidRPr="00F012F8" w:rsidRDefault="00696483" w:rsidP="00D02E37">
            <w:pPr>
              <w:pStyle w:val="Paragraphedeliste"/>
              <w:numPr>
                <w:ilvl w:val="0"/>
                <w:numId w:val="130"/>
              </w:numPr>
              <w:rPr>
                <w:rFonts w:cs="Times New Roman"/>
              </w:rPr>
            </w:pPr>
            <w:r w:rsidRPr="00F012F8">
              <w:rPr>
                <w:rFonts w:cs="Times New Roman"/>
              </w:rPr>
              <w:t>Trouble du comportement</w:t>
            </w:r>
          </w:p>
          <w:p w:rsidR="00696483" w:rsidRPr="00F012F8" w:rsidRDefault="00696483" w:rsidP="00D02E37">
            <w:pPr>
              <w:pStyle w:val="Paragraphedeliste"/>
              <w:numPr>
                <w:ilvl w:val="0"/>
                <w:numId w:val="130"/>
              </w:numPr>
              <w:rPr>
                <w:rFonts w:cs="Times New Roman"/>
              </w:rPr>
            </w:pPr>
            <w:r w:rsidRPr="00F012F8">
              <w:rPr>
                <w:rFonts w:cs="Times New Roman"/>
              </w:rPr>
              <w:t>Retard d’autosuffisance (self-care)</w:t>
            </w:r>
          </w:p>
        </w:tc>
        <w:tc>
          <w:tcPr>
            <w:tcW w:w="4595" w:type="dxa"/>
          </w:tcPr>
          <w:p w:rsidR="004B2A7D" w:rsidRPr="00F012F8" w:rsidRDefault="004B2A7D" w:rsidP="00D02E37">
            <w:pPr>
              <w:pStyle w:val="Paragraphedeliste"/>
              <w:numPr>
                <w:ilvl w:val="0"/>
                <w:numId w:val="131"/>
              </w:numPr>
              <w:rPr>
                <w:rFonts w:cs="Times New Roman"/>
                <w:highlight w:val="yellow"/>
              </w:rPr>
            </w:pPr>
            <w:r w:rsidRPr="00F012F8">
              <w:rPr>
                <w:rFonts w:cs="Times New Roman"/>
                <w:highlight w:val="yellow"/>
              </w:rPr>
              <w:t>Importance de la réadaptation précoce en bas âge</w:t>
            </w:r>
          </w:p>
          <w:p w:rsidR="004A044D" w:rsidRPr="00F012F8" w:rsidRDefault="004B2A7D" w:rsidP="00D02E37">
            <w:pPr>
              <w:pStyle w:val="Paragraphedeliste"/>
              <w:numPr>
                <w:ilvl w:val="0"/>
                <w:numId w:val="131"/>
              </w:numPr>
              <w:rPr>
                <w:rFonts w:cs="Times New Roman"/>
                <w:highlight w:val="yellow"/>
              </w:rPr>
            </w:pPr>
            <w:r w:rsidRPr="00F012F8">
              <w:rPr>
                <w:rFonts w:cs="Times New Roman"/>
                <w:highlight w:val="yellow"/>
              </w:rPr>
              <w:t>Effectuer un suivi régulier pour dépister cliniquement les comorbidités précédentes</w:t>
            </w:r>
          </w:p>
          <w:p w:rsidR="004B2A7D" w:rsidRPr="00F012F8" w:rsidRDefault="004B2A7D" w:rsidP="00D02E37">
            <w:pPr>
              <w:pStyle w:val="Paragraphedeliste"/>
              <w:numPr>
                <w:ilvl w:val="0"/>
                <w:numId w:val="131"/>
              </w:numPr>
              <w:rPr>
                <w:rFonts w:cs="Times New Roman"/>
              </w:rPr>
            </w:pPr>
            <w:r w:rsidRPr="00F012F8">
              <w:rPr>
                <w:rFonts w:cs="Times New Roman"/>
              </w:rPr>
              <w:t>Pas de programme de dépistage particulier</w:t>
            </w:r>
          </w:p>
          <w:p w:rsidR="004B2A7D" w:rsidRPr="00F012F8" w:rsidRDefault="004B2A7D" w:rsidP="00D02E37">
            <w:pPr>
              <w:pStyle w:val="Paragraphedeliste"/>
              <w:numPr>
                <w:ilvl w:val="0"/>
                <w:numId w:val="131"/>
              </w:numPr>
              <w:rPr>
                <w:rFonts w:cs="Times New Roman"/>
              </w:rPr>
            </w:pPr>
            <w:r w:rsidRPr="00F012F8">
              <w:rPr>
                <w:rFonts w:cs="Times New Roman"/>
              </w:rPr>
              <w:t>Impliquer travailleur social PRN</w:t>
            </w:r>
          </w:p>
        </w:tc>
      </w:tr>
      <w:tr w:rsidR="004A044D" w:rsidRPr="00F012F8" w:rsidTr="004F1255">
        <w:tc>
          <w:tcPr>
            <w:tcW w:w="2093" w:type="dxa"/>
          </w:tcPr>
          <w:p w:rsidR="004A044D" w:rsidRPr="00F012F8" w:rsidRDefault="004A044D" w:rsidP="00EB0196">
            <w:pPr>
              <w:rPr>
                <w:rFonts w:cs="Times New Roman"/>
              </w:rPr>
            </w:pPr>
            <w:r w:rsidRPr="00F012F8">
              <w:rPr>
                <w:rFonts w:cs="Times New Roman"/>
              </w:rPr>
              <w:t xml:space="preserve">Alcoolisation </w:t>
            </w:r>
            <w:r w:rsidR="00696483" w:rsidRPr="00F012F8">
              <w:rPr>
                <w:rFonts w:cs="Times New Roman"/>
              </w:rPr>
              <w:t>fœtale</w:t>
            </w:r>
          </w:p>
        </w:tc>
        <w:tc>
          <w:tcPr>
            <w:tcW w:w="4252" w:type="dxa"/>
          </w:tcPr>
          <w:p w:rsidR="004A044D" w:rsidRPr="00F012F8" w:rsidRDefault="003A7472" w:rsidP="00D02E37">
            <w:pPr>
              <w:pStyle w:val="Paragraphedeliste"/>
              <w:numPr>
                <w:ilvl w:val="0"/>
                <w:numId w:val="131"/>
              </w:numPr>
              <w:rPr>
                <w:rFonts w:cs="Times New Roman"/>
              </w:rPr>
            </w:pPr>
            <w:r w:rsidRPr="00F012F8">
              <w:rPr>
                <w:rFonts w:cs="Times New Roman"/>
              </w:rPr>
              <w:t>Troubles visuels</w:t>
            </w:r>
          </w:p>
          <w:p w:rsidR="003A7472" w:rsidRPr="00F012F8" w:rsidRDefault="003A7472" w:rsidP="00D02E37">
            <w:pPr>
              <w:pStyle w:val="Paragraphedeliste"/>
              <w:numPr>
                <w:ilvl w:val="0"/>
                <w:numId w:val="131"/>
              </w:numPr>
              <w:rPr>
                <w:rFonts w:cs="Times New Roman"/>
              </w:rPr>
            </w:pPr>
            <w:r w:rsidRPr="00F012F8">
              <w:rPr>
                <w:rFonts w:cs="Times New Roman"/>
              </w:rPr>
              <w:t>Troubles auditifs</w:t>
            </w:r>
          </w:p>
          <w:p w:rsidR="003A7472" w:rsidRPr="00F012F8" w:rsidRDefault="003A7472" w:rsidP="00D02E37">
            <w:pPr>
              <w:pStyle w:val="Paragraphedeliste"/>
              <w:numPr>
                <w:ilvl w:val="0"/>
                <w:numId w:val="131"/>
              </w:numPr>
              <w:rPr>
                <w:rFonts w:cs="Times New Roman"/>
              </w:rPr>
            </w:pPr>
            <w:r w:rsidRPr="00F012F8">
              <w:rPr>
                <w:rFonts w:cs="Times New Roman"/>
              </w:rPr>
              <w:t>Troubles de santé mentale</w:t>
            </w:r>
          </w:p>
          <w:p w:rsidR="003A7472" w:rsidRPr="00F012F8" w:rsidRDefault="003A7472" w:rsidP="00D02E37">
            <w:pPr>
              <w:pStyle w:val="Paragraphedeliste"/>
              <w:numPr>
                <w:ilvl w:val="0"/>
                <w:numId w:val="131"/>
              </w:numPr>
              <w:rPr>
                <w:rFonts w:cs="Times New Roman"/>
              </w:rPr>
            </w:pPr>
            <w:r w:rsidRPr="00F012F8">
              <w:rPr>
                <w:rFonts w:cs="Times New Roman"/>
              </w:rPr>
              <w:t>Convulsions</w:t>
            </w:r>
          </w:p>
        </w:tc>
        <w:tc>
          <w:tcPr>
            <w:tcW w:w="4595" w:type="dxa"/>
          </w:tcPr>
          <w:p w:rsidR="00965BDE" w:rsidRPr="00F012F8" w:rsidRDefault="003A7472" w:rsidP="00D02E37">
            <w:pPr>
              <w:pStyle w:val="Paragraphedeliste"/>
              <w:numPr>
                <w:ilvl w:val="0"/>
                <w:numId w:val="131"/>
              </w:numPr>
              <w:rPr>
                <w:rFonts w:cs="Times New Roman"/>
              </w:rPr>
            </w:pPr>
            <w:r w:rsidRPr="00F012F8">
              <w:rPr>
                <w:rFonts w:cs="Times New Roman"/>
              </w:rPr>
              <w:t>Environnement encadrant</w:t>
            </w:r>
          </w:p>
          <w:p w:rsidR="004A044D" w:rsidRPr="00F012F8" w:rsidRDefault="00965BDE" w:rsidP="00D02E37">
            <w:pPr>
              <w:pStyle w:val="Paragraphedeliste"/>
              <w:numPr>
                <w:ilvl w:val="0"/>
                <w:numId w:val="131"/>
              </w:numPr>
              <w:rPr>
                <w:rFonts w:cs="Times New Roman"/>
              </w:rPr>
            </w:pPr>
            <w:r w:rsidRPr="00F012F8">
              <w:rPr>
                <w:rFonts w:cs="Times New Roman"/>
              </w:rPr>
              <w:t>Suivi médical régulier (adulte)</w:t>
            </w:r>
            <w:r w:rsidR="003A7472" w:rsidRPr="00F012F8">
              <w:rPr>
                <w:rFonts w:cs="Times New Roman"/>
              </w:rPr>
              <w:t xml:space="preserve"> </w:t>
            </w:r>
          </w:p>
        </w:tc>
      </w:tr>
      <w:tr w:rsidR="004A044D" w:rsidRPr="00F012F8" w:rsidTr="003A2571">
        <w:trPr>
          <w:trHeight w:val="65"/>
        </w:trPr>
        <w:tc>
          <w:tcPr>
            <w:tcW w:w="2093" w:type="dxa"/>
          </w:tcPr>
          <w:p w:rsidR="004A044D" w:rsidRPr="00F012F8" w:rsidRDefault="00973975" w:rsidP="00EB0196">
            <w:pPr>
              <w:rPr>
                <w:rFonts w:cs="Times New Roman"/>
              </w:rPr>
            </w:pPr>
            <w:r w:rsidRPr="00F012F8">
              <w:rPr>
                <w:rFonts w:cs="Times New Roman"/>
              </w:rPr>
              <w:t>Paralysie cérébrale</w:t>
            </w:r>
          </w:p>
        </w:tc>
        <w:tc>
          <w:tcPr>
            <w:tcW w:w="4252" w:type="dxa"/>
          </w:tcPr>
          <w:p w:rsidR="004A044D" w:rsidRPr="00F012F8" w:rsidRDefault="00973975" w:rsidP="00D02E37">
            <w:pPr>
              <w:pStyle w:val="Paragraphedeliste"/>
              <w:numPr>
                <w:ilvl w:val="0"/>
                <w:numId w:val="134"/>
              </w:numPr>
              <w:rPr>
                <w:rFonts w:cs="Times New Roman"/>
                <w:u w:val="single"/>
              </w:rPr>
            </w:pPr>
            <w:r w:rsidRPr="00F012F8">
              <w:rPr>
                <w:rFonts w:cs="Times New Roman"/>
                <w:u w:val="single"/>
              </w:rPr>
              <w:t>Spasticité</w:t>
            </w:r>
          </w:p>
          <w:p w:rsidR="00973975" w:rsidRPr="00F012F8" w:rsidRDefault="00973975" w:rsidP="00D02E37">
            <w:pPr>
              <w:pStyle w:val="Paragraphedeliste"/>
              <w:numPr>
                <w:ilvl w:val="0"/>
                <w:numId w:val="134"/>
              </w:numPr>
              <w:rPr>
                <w:rFonts w:cs="Times New Roman"/>
              </w:rPr>
            </w:pPr>
            <w:r w:rsidRPr="00F012F8">
              <w:rPr>
                <w:rFonts w:cs="Times New Roman"/>
              </w:rPr>
              <w:t>Strabisme</w:t>
            </w:r>
          </w:p>
          <w:p w:rsidR="00973975" w:rsidRPr="00F012F8" w:rsidRDefault="00973975" w:rsidP="00D02E37">
            <w:pPr>
              <w:pStyle w:val="Paragraphedeliste"/>
              <w:numPr>
                <w:ilvl w:val="0"/>
                <w:numId w:val="134"/>
              </w:numPr>
              <w:rPr>
                <w:rFonts w:cs="Times New Roman"/>
              </w:rPr>
            </w:pPr>
            <w:r w:rsidRPr="00F012F8">
              <w:rPr>
                <w:rFonts w:cs="Times New Roman"/>
              </w:rPr>
              <w:t>Incontinence</w:t>
            </w:r>
          </w:p>
          <w:p w:rsidR="00973975" w:rsidRPr="00F012F8" w:rsidRDefault="00973975" w:rsidP="00D02E37">
            <w:pPr>
              <w:pStyle w:val="Paragraphedeliste"/>
              <w:numPr>
                <w:ilvl w:val="0"/>
                <w:numId w:val="134"/>
              </w:numPr>
              <w:rPr>
                <w:rFonts w:cs="Times New Roman"/>
              </w:rPr>
            </w:pPr>
            <w:r w:rsidRPr="00F012F8">
              <w:rPr>
                <w:rFonts w:cs="Times New Roman"/>
              </w:rPr>
              <w:t>Troubles visuels</w:t>
            </w:r>
          </w:p>
          <w:p w:rsidR="00973975" w:rsidRPr="00F012F8" w:rsidRDefault="00973975" w:rsidP="00D02E37">
            <w:pPr>
              <w:pStyle w:val="Paragraphedeliste"/>
              <w:numPr>
                <w:ilvl w:val="0"/>
                <w:numId w:val="134"/>
              </w:numPr>
              <w:rPr>
                <w:rFonts w:cs="Times New Roman"/>
              </w:rPr>
            </w:pPr>
            <w:r w:rsidRPr="00F012F8">
              <w:rPr>
                <w:rFonts w:cs="Times New Roman"/>
              </w:rPr>
              <w:t>Dysphagie</w:t>
            </w:r>
          </w:p>
          <w:p w:rsidR="004F1255" w:rsidRPr="00F012F8" w:rsidRDefault="004F1255" w:rsidP="00D02E37">
            <w:pPr>
              <w:pStyle w:val="Paragraphedeliste"/>
              <w:numPr>
                <w:ilvl w:val="0"/>
                <w:numId w:val="134"/>
              </w:numPr>
              <w:rPr>
                <w:rFonts w:cs="Times New Roman"/>
              </w:rPr>
            </w:pPr>
            <w:r w:rsidRPr="00F012F8">
              <w:rPr>
                <w:rFonts w:cs="Times New Roman"/>
              </w:rPr>
              <w:t>Pneumonies d’aspiration</w:t>
            </w:r>
          </w:p>
        </w:tc>
        <w:tc>
          <w:tcPr>
            <w:tcW w:w="4595" w:type="dxa"/>
          </w:tcPr>
          <w:p w:rsidR="004F1255" w:rsidRPr="00F012F8" w:rsidRDefault="004F1255" w:rsidP="00D02E37">
            <w:pPr>
              <w:pStyle w:val="Paragraphedeliste"/>
              <w:numPr>
                <w:ilvl w:val="0"/>
                <w:numId w:val="134"/>
              </w:numPr>
              <w:rPr>
                <w:rFonts w:cs="Times New Roman"/>
                <w:highlight w:val="yellow"/>
              </w:rPr>
            </w:pPr>
            <w:r w:rsidRPr="00F012F8">
              <w:rPr>
                <w:rFonts w:cs="Times New Roman"/>
                <w:highlight w:val="yellow"/>
              </w:rPr>
              <w:t>Impliquer famille et proches dans le processus de soin et la prise de décision avec le patient</w:t>
            </w:r>
          </w:p>
          <w:p w:rsidR="004F1255" w:rsidRPr="00F012F8" w:rsidRDefault="004F1255" w:rsidP="00D02E37">
            <w:pPr>
              <w:pStyle w:val="Paragraphedeliste"/>
              <w:numPr>
                <w:ilvl w:val="0"/>
                <w:numId w:val="134"/>
              </w:numPr>
              <w:rPr>
                <w:rFonts w:cs="Times New Roman"/>
                <w:highlight w:val="yellow"/>
              </w:rPr>
            </w:pPr>
            <w:r w:rsidRPr="00F012F8">
              <w:rPr>
                <w:rFonts w:cs="Times New Roman"/>
                <w:highlight w:val="yellow"/>
              </w:rPr>
              <w:t>Valoriser le contact social et l’indépendance  du patient (même pour de petites choses)</w:t>
            </w:r>
          </w:p>
          <w:p w:rsidR="004A044D" w:rsidRPr="00F012F8" w:rsidRDefault="001E74AB" w:rsidP="00D02E37">
            <w:pPr>
              <w:pStyle w:val="Paragraphedeliste"/>
              <w:numPr>
                <w:ilvl w:val="0"/>
                <w:numId w:val="134"/>
              </w:numPr>
              <w:rPr>
                <w:rFonts w:cs="Times New Roman"/>
                <w:highlight w:val="yellow"/>
              </w:rPr>
            </w:pPr>
            <w:r w:rsidRPr="00F012F8">
              <w:rPr>
                <w:rFonts w:cs="Times New Roman"/>
                <w:highlight w:val="yellow"/>
              </w:rPr>
              <w:t>Traitement de la spasticité : Toxine botulinique, baclofen, benzodiazépines</w:t>
            </w:r>
          </w:p>
          <w:p w:rsidR="001E74AB" w:rsidRPr="00F012F8" w:rsidRDefault="001E74AB" w:rsidP="00D02E37">
            <w:pPr>
              <w:pStyle w:val="Paragraphedeliste"/>
              <w:numPr>
                <w:ilvl w:val="0"/>
                <w:numId w:val="134"/>
              </w:numPr>
              <w:rPr>
                <w:rFonts w:cs="Times New Roman"/>
                <w:highlight w:val="yellow"/>
              </w:rPr>
            </w:pPr>
            <w:r w:rsidRPr="00F012F8">
              <w:rPr>
                <w:rFonts w:cs="Times New Roman"/>
                <w:highlight w:val="yellow"/>
              </w:rPr>
              <w:t>Physiothérapie</w:t>
            </w:r>
          </w:p>
          <w:p w:rsidR="001E74AB" w:rsidRPr="00F012F8" w:rsidRDefault="001E74AB" w:rsidP="00D02E37">
            <w:pPr>
              <w:pStyle w:val="Paragraphedeliste"/>
              <w:numPr>
                <w:ilvl w:val="0"/>
                <w:numId w:val="134"/>
              </w:numPr>
              <w:rPr>
                <w:rFonts w:cs="Times New Roman"/>
                <w:highlight w:val="yellow"/>
              </w:rPr>
            </w:pPr>
            <w:r w:rsidRPr="00F012F8">
              <w:rPr>
                <w:rFonts w:cs="Times New Roman"/>
                <w:highlight w:val="yellow"/>
              </w:rPr>
              <w:t>Support technologique (chaise roulante, ordinateur reproduisant la voix, etc.)</w:t>
            </w:r>
          </w:p>
          <w:p w:rsidR="004F1255" w:rsidRPr="00F012F8" w:rsidRDefault="004F1255" w:rsidP="00D02E37">
            <w:pPr>
              <w:pStyle w:val="Paragraphedeliste"/>
              <w:numPr>
                <w:ilvl w:val="0"/>
                <w:numId w:val="134"/>
              </w:numPr>
              <w:rPr>
                <w:rFonts w:cs="Times New Roman"/>
                <w:highlight w:val="yellow"/>
              </w:rPr>
            </w:pPr>
            <w:r w:rsidRPr="00F012F8">
              <w:rPr>
                <w:rFonts w:cs="Times New Roman"/>
                <w:highlight w:val="yellow"/>
              </w:rPr>
              <w:t>Être à l’affut de signes de pneumonie d’aspiration (1</w:t>
            </w:r>
            <w:r w:rsidRPr="00F012F8">
              <w:rPr>
                <w:rFonts w:cs="Times New Roman"/>
                <w:highlight w:val="yellow"/>
                <w:vertAlign w:val="superscript"/>
              </w:rPr>
              <w:t>ère</w:t>
            </w:r>
            <w:r w:rsidRPr="00F012F8">
              <w:rPr>
                <w:rFonts w:cs="Times New Roman"/>
                <w:highlight w:val="yellow"/>
              </w:rPr>
              <w:t xml:space="preserve"> cause de décès)</w:t>
            </w:r>
          </w:p>
          <w:p w:rsidR="004F1255" w:rsidRPr="00F012F8" w:rsidRDefault="004F1255" w:rsidP="004F1255">
            <w:pPr>
              <w:rPr>
                <w:rFonts w:cs="Times New Roman"/>
              </w:rPr>
            </w:pPr>
          </w:p>
        </w:tc>
      </w:tr>
      <w:tr w:rsidR="004A044D" w:rsidRPr="00F012F8" w:rsidTr="004F1255">
        <w:tc>
          <w:tcPr>
            <w:tcW w:w="2093" w:type="dxa"/>
          </w:tcPr>
          <w:p w:rsidR="004A044D" w:rsidRPr="00F012F8" w:rsidRDefault="004A044D" w:rsidP="00EB0196">
            <w:pPr>
              <w:rPr>
                <w:rFonts w:cs="Times New Roman"/>
              </w:rPr>
            </w:pPr>
            <w:r w:rsidRPr="00F012F8">
              <w:rPr>
                <w:rFonts w:cs="Times New Roman"/>
              </w:rPr>
              <w:t>Infections cérébrales</w:t>
            </w:r>
          </w:p>
        </w:tc>
        <w:tc>
          <w:tcPr>
            <w:tcW w:w="4252" w:type="dxa"/>
          </w:tcPr>
          <w:p w:rsidR="004A044D" w:rsidRPr="00F012F8" w:rsidRDefault="00F306A0" w:rsidP="00D02E37">
            <w:pPr>
              <w:pStyle w:val="Paragraphedeliste"/>
              <w:numPr>
                <w:ilvl w:val="0"/>
                <w:numId w:val="134"/>
              </w:numPr>
              <w:rPr>
                <w:rFonts w:cs="Times New Roman"/>
              </w:rPr>
            </w:pPr>
            <w:r w:rsidRPr="00F012F8">
              <w:rPr>
                <w:rFonts w:cs="Times New Roman"/>
              </w:rPr>
              <w:t>Lésions variables selon l’atteinte</w:t>
            </w:r>
          </w:p>
        </w:tc>
        <w:tc>
          <w:tcPr>
            <w:tcW w:w="4595" w:type="dxa"/>
          </w:tcPr>
          <w:p w:rsidR="004A044D" w:rsidRPr="00F012F8" w:rsidRDefault="00F306A0" w:rsidP="00D02E37">
            <w:pPr>
              <w:pStyle w:val="Paragraphedeliste"/>
              <w:numPr>
                <w:ilvl w:val="0"/>
                <w:numId w:val="134"/>
              </w:numPr>
              <w:rPr>
                <w:rFonts w:cs="Times New Roman"/>
              </w:rPr>
            </w:pPr>
            <w:r w:rsidRPr="00F012F8">
              <w:rPr>
                <w:rFonts w:cs="Times New Roman"/>
              </w:rPr>
              <w:t>Suivi particulier selon condition du patient</w:t>
            </w:r>
          </w:p>
        </w:tc>
      </w:tr>
    </w:tbl>
    <w:p w:rsidR="006A51F1" w:rsidRDefault="006A51F1" w:rsidP="004724B8">
      <w:pPr>
        <w:jc w:val="both"/>
        <w:rPr>
          <w:rFonts w:cs="Times New Roman"/>
        </w:rPr>
      </w:pPr>
    </w:p>
    <w:p w:rsidR="006A51F1" w:rsidRDefault="006A51F1" w:rsidP="004724B8">
      <w:pPr>
        <w:jc w:val="both"/>
        <w:rPr>
          <w:rFonts w:cs="Times New Roman"/>
        </w:rPr>
      </w:pPr>
    </w:p>
    <w:p w:rsidR="00973975" w:rsidRPr="00F012F8" w:rsidRDefault="00EE5719" w:rsidP="004724B8">
      <w:pPr>
        <w:jc w:val="both"/>
        <w:rPr>
          <w:rFonts w:cs="Times New Roman"/>
        </w:rPr>
      </w:pPr>
      <w:r w:rsidRPr="00F012F8">
        <w:rPr>
          <w:rFonts w:cs="Times New Roman"/>
        </w:rPr>
        <w:t>Il existe malheureusement peu de ressources pour les patients atteints de troubles du développement une fois adulte. Toutefois une grande partie d’entre eux vivront avec une certaine autonomie. D’autres dépendent de leurs proches et se retrouvent en situation précaire à leur décès ou lorsqu’ils ne peuvent plus les prendre en charge. Le suivi régulier et la qualité thérapeutique de la relation du médecin de 1</w:t>
      </w:r>
      <w:r w:rsidRPr="00F012F8">
        <w:rPr>
          <w:rFonts w:cs="Times New Roman"/>
          <w:vertAlign w:val="superscript"/>
        </w:rPr>
        <w:t>ère</w:t>
      </w:r>
      <w:r w:rsidRPr="00F012F8">
        <w:rPr>
          <w:rFonts w:cs="Times New Roman"/>
        </w:rPr>
        <w:t xml:space="preserve"> ligne avec le patient et sa famille sont alors </w:t>
      </w:r>
      <w:r w:rsidR="004724B8" w:rsidRPr="00F012F8">
        <w:rPr>
          <w:rFonts w:cs="Times New Roman"/>
        </w:rPr>
        <w:t>essentiels</w:t>
      </w:r>
      <w:r w:rsidRPr="00F012F8">
        <w:rPr>
          <w:rFonts w:cs="Times New Roman"/>
        </w:rPr>
        <w:t xml:space="preserve"> pour éviter des drames humains. </w:t>
      </w:r>
      <w:r w:rsidR="004724B8" w:rsidRPr="00F012F8">
        <w:rPr>
          <w:rFonts w:cs="Times New Roman"/>
        </w:rPr>
        <w:t>Il faut alors savoir s’entourer (travailleuse social, équipe multi) pour répondre aux besoins.</w:t>
      </w:r>
    </w:p>
    <w:p w:rsidR="00E60207" w:rsidRDefault="007C1670" w:rsidP="00E60207">
      <w:pPr>
        <w:rPr>
          <w:rFonts w:cs="Times New Roman"/>
          <w:b/>
          <w:color w:val="548DD4" w:themeColor="text2" w:themeTint="99"/>
        </w:rPr>
      </w:pPr>
      <w:r>
        <w:rPr>
          <w:noProof/>
          <w:lang w:eastAsia="fr-CA"/>
        </w:rPr>
        <w:drawing>
          <wp:anchor distT="0" distB="0" distL="114300" distR="114300" simplePos="0" relativeHeight="251882496" behindDoc="0" locked="0" layoutInCell="1" allowOverlap="1" wp14:anchorId="403B08E8" wp14:editId="33D182C0">
            <wp:simplePos x="0" y="0"/>
            <wp:positionH relativeFrom="column">
              <wp:posOffset>525145</wp:posOffset>
            </wp:positionH>
            <wp:positionV relativeFrom="paragraph">
              <wp:posOffset>1135380</wp:posOffset>
            </wp:positionV>
            <wp:extent cx="5788025" cy="3200400"/>
            <wp:effectExtent l="0" t="0" r="3175" b="0"/>
            <wp:wrapNone/>
            <wp:docPr id="392" name="Image 392" descr="Résultats de recherche d'images pour « trisomie 21 adult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ésultats de recherche d'images pour « trisomie 21 adulte »"/>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788025" cy="3200400"/>
                    </a:xfrm>
                    <a:prstGeom prst="rect">
                      <a:avLst/>
                    </a:prstGeom>
                    <a:noFill/>
                    <a:ln>
                      <a:noFill/>
                    </a:ln>
                  </pic:spPr>
                </pic:pic>
              </a:graphicData>
            </a:graphic>
            <wp14:sizeRelH relativeFrom="page">
              <wp14:pctWidth>0</wp14:pctWidth>
            </wp14:sizeRelH>
            <wp14:sizeRelV relativeFrom="page">
              <wp14:pctHeight>0</wp14:pctHeight>
            </wp14:sizeRelV>
          </wp:anchor>
        </w:drawing>
      </w:r>
      <w:r w:rsidR="006A51F1">
        <w:rPr>
          <w:rFonts w:cs="Times New Roman"/>
          <w:b/>
          <w:color w:val="548DD4" w:themeColor="text2" w:themeTint="99"/>
        </w:rPr>
        <w:br w:type="page"/>
      </w:r>
    </w:p>
    <w:p w:rsidR="00C72CFC" w:rsidRDefault="00C72CFC" w:rsidP="00C72CFC">
      <w:pPr>
        <w:spacing w:after="0"/>
        <w:rPr>
          <w:rFonts w:cs="Times New Roman"/>
          <w:b/>
          <w:color w:val="548DD4" w:themeColor="text2" w:themeTint="99"/>
        </w:rPr>
      </w:pPr>
      <w:r>
        <w:rPr>
          <w:rFonts w:cs="Times New Roman"/>
          <w:b/>
          <w:color w:val="548DD4" w:themeColor="text2" w:themeTint="99"/>
        </w:rPr>
        <w:lastRenderedPageBreak/>
        <w:t>CMC 22-3</w:t>
      </w:r>
    </w:p>
    <w:p w:rsidR="00C72CFC" w:rsidRPr="00C72CFC" w:rsidRDefault="00C72CFC" w:rsidP="00C72CFC">
      <w:pPr>
        <w:pStyle w:val="Titre3"/>
        <w:spacing w:before="0"/>
        <w:rPr>
          <w:rFonts w:ascii="Times New Roman" w:hAnsi="Times New Roman" w:cs="Times New Roman"/>
        </w:rPr>
      </w:pPr>
      <w:bookmarkStart w:id="98" w:name="_Toc480797278"/>
      <w:r w:rsidRPr="00C72CFC">
        <w:rPr>
          <w:rFonts w:ascii="Times New Roman" w:hAnsi="Times New Roman" w:cs="Times New Roman"/>
        </w:rPr>
        <w:t>Diarrhée chez l’enfant</w:t>
      </w:r>
      <w:bookmarkEnd w:id="98"/>
    </w:p>
    <w:tbl>
      <w:tblPr>
        <w:tblW w:w="3858" w:type="pct"/>
        <w:tblCellSpacing w:w="0" w:type="dxa"/>
        <w:tblCellMar>
          <w:left w:w="0" w:type="dxa"/>
          <w:right w:w="0" w:type="dxa"/>
        </w:tblCellMar>
        <w:tblLook w:val="04A0" w:firstRow="1" w:lastRow="0" w:firstColumn="1" w:lastColumn="0" w:noHBand="0" w:noVBand="1"/>
      </w:tblPr>
      <w:tblGrid>
        <w:gridCol w:w="8333"/>
      </w:tblGrid>
      <w:tr w:rsidR="00C72CFC" w:rsidRPr="00C72CFC" w:rsidTr="00C72CFC">
        <w:trPr>
          <w:tblCellSpacing w:w="0" w:type="dxa"/>
        </w:trPr>
        <w:tc>
          <w:tcPr>
            <w:tcW w:w="0" w:type="auto"/>
            <w:vAlign w:val="bottom"/>
            <w:hideMark/>
          </w:tcPr>
          <w:p w:rsidR="00C72CFC" w:rsidRPr="00C72CFC" w:rsidRDefault="00C72CFC" w:rsidP="00C72CFC">
            <w:pPr>
              <w:pStyle w:val="Sansinterligne"/>
              <w:spacing w:before="240"/>
              <w:rPr>
                <w:rFonts w:cs="Times New Roman"/>
                <w:b/>
                <w:sz w:val="18"/>
                <w:szCs w:val="18"/>
              </w:rPr>
            </w:pPr>
            <w:r>
              <w:rPr>
                <w:rFonts w:cs="Times New Roman"/>
                <w:b/>
                <w:noProof/>
                <w:sz w:val="18"/>
                <w:szCs w:val="18"/>
                <w:lang w:eastAsia="fr-CA"/>
              </w:rPr>
              <mc:AlternateContent>
                <mc:Choice Requires="wps">
                  <w:drawing>
                    <wp:anchor distT="0" distB="0" distL="114300" distR="114300" simplePos="0" relativeHeight="252000256" behindDoc="0" locked="0" layoutInCell="1" allowOverlap="1" wp14:anchorId="0791CAC2" wp14:editId="7F1C2121">
                      <wp:simplePos x="0" y="0"/>
                      <wp:positionH relativeFrom="column">
                        <wp:posOffset>-29183</wp:posOffset>
                      </wp:positionH>
                      <wp:positionV relativeFrom="paragraph">
                        <wp:posOffset>94993</wp:posOffset>
                      </wp:positionV>
                      <wp:extent cx="6789906" cy="2859932"/>
                      <wp:effectExtent l="0" t="0" r="11430" b="17145"/>
                      <wp:wrapNone/>
                      <wp:docPr id="512" name="Rectangle 512"/>
                      <wp:cNvGraphicFramePr/>
                      <a:graphic xmlns:a="http://schemas.openxmlformats.org/drawingml/2006/main">
                        <a:graphicData uri="http://schemas.microsoft.com/office/word/2010/wordprocessingShape">
                          <wps:wsp>
                            <wps:cNvSpPr/>
                            <wps:spPr>
                              <a:xfrm>
                                <a:off x="0" y="0"/>
                                <a:ext cx="6789906" cy="2859932"/>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512" o:spid="_x0000_s1026" style="position:absolute;margin-left:-2.3pt;margin-top:7.5pt;width:534.65pt;height:225.2pt;z-index:2520002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" filled="f" strokecolor="black [1600]" strokeweight="2pt"/>
                  </w:pict>
                </mc:Fallback>
              </mc:AlternateContent>
            </w:r>
            <w:r w:rsidRPr="00C72CFC">
              <w:rPr>
                <w:rFonts w:cs="Times New Roman"/>
                <w:b/>
                <w:sz w:val="18"/>
                <w:szCs w:val="18"/>
              </w:rPr>
              <w:t>Objectifs principaux</w:t>
            </w:r>
          </w:p>
        </w:tc>
      </w:tr>
    </w:tbl>
    <w:p w:rsidR="00C72CFC" w:rsidRPr="00C72CFC" w:rsidRDefault="00C72CFC" w:rsidP="00C72CFC">
      <w:pPr>
        <w:pStyle w:val="NormalWeb"/>
        <w:ind w:left="360"/>
        <w:rPr>
          <w:color w:val="000000"/>
          <w:sz w:val="18"/>
          <w:szCs w:val="18"/>
          <w:shd w:val="clear" w:color="auto" w:fill="FFFFFF"/>
        </w:rPr>
      </w:pPr>
      <w:r w:rsidRPr="00C72CFC">
        <w:rPr>
          <w:color w:val="000000"/>
          <w:sz w:val="18"/>
          <w:szCs w:val="18"/>
          <w:shd w:val="clear" w:color="auto" w:fill="FFFFFF"/>
        </w:rPr>
        <w:t>Dans le cas d'un enfant ayant une diarrhée, le candidat devra faire une anamnèse précise afin de connaître la nature de la diarrhée et les symptômes connexes. Le candidat devra diagnostiquer la cause, la gravité et les complications de la diarrhée. Une attention particulière sera accordée aux signes et symptômes de déshydratation ou d'hypovolémie et établir un plan de prise en charge approprié.</w:t>
      </w:r>
    </w:p>
    <w:tbl>
      <w:tblPr>
        <w:tblW w:w="3897" w:type="pct"/>
        <w:tblCellSpacing w:w="0" w:type="dxa"/>
        <w:tblCellMar>
          <w:left w:w="0" w:type="dxa"/>
          <w:right w:w="0" w:type="dxa"/>
        </w:tblCellMar>
        <w:tblLook w:val="04A0" w:firstRow="1" w:lastRow="0" w:firstColumn="1" w:lastColumn="0" w:noHBand="0" w:noVBand="1"/>
      </w:tblPr>
      <w:tblGrid>
        <w:gridCol w:w="8418"/>
      </w:tblGrid>
      <w:tr w:rsidR="00C72CFC" w:rsidRPr="00C72CFC" w:rsidTr="00C72CFC">
        <w:trPr>
          <w:tblCellSpacing w:w="0" w:type="dxa"/>
        </w:trPr>
        <w:tc>
          <w:tcPr>
            <w:tcW w:w="0" w:type="auto"/>
            <w:vAlign w:val="bottom"/>
            <w:hideMark/>
          </w:tcPr>
          <w:p w:rsidR="00C72CFC" w:rsidRPr="00C72CFC" w:rsidRDefault="00C72CFC" w:rsidP="00C72CFC">
            <w:pPr>
              <w:pStyle w:val="Sansinterligne"/>
              <w:rPr>
                <w:rFonts w:cs="Times New Roman"/>
                <w:b/>
                <w:sz w:val="16"/>
                <w:szCs w:val="16"/>
              </w:rPr>
            </w:pPr>
            <w:r w:rsidRPr="00C72CFC">
              <w:rPr>
                <w:rFonts w:cs="Times New Roman"/>
                <w:b/>
                <w:sz w:val="16"/>
                <w:szCs w:val="16"/>
              </w:rPr>
              <w:t>Objectifs spécifiques</w:t>
            </w:r>
          </w:p>
        </w:tc>
      </w:tr>
    </w:tbl>
    <w:p w:rsidR="00C72CFC" w:rsidRPr="00C72CFC" w:rsidRDefault="00C72CFC" w:rsidP="00C72CFC">
      <w:pPr>
        <w:pStyle w:val="NormalWeb"/>
        <w:shd w:val="clear" w:color="auto" w:fill="FFFFFF"/>
        <w:ind w:left="360"/>
        <w:rPr>
          <w:color w:val="000000"/>
          <w:sz w:val="16"/>
          <w:szCs w:val="16"/>
          <w:shd w:val="clear" w:color="auto" w:fill="FFFFFF"/>
        </w:rPr>
      </w:pPr>
      <w:r w:rsidRPr="00C72CFC">
        <w:rPr>
          <w:color w:val="000000"/>
          <w:sz w:val="16"/>
          <w:szCs w:val="16"/>
          <w:shd w:val="clear" w:color="auto" w:fill="FFFFFF"/>
        </w:rPr>
        <w:t>Dans le cas d'un enfant ayant une diarrhée, le candidat devra</w:t>
      </w:r>
      <w:r w:rsidR="003E55B5">
        <w:rPr>
          <w:color w:val="000000"/>
          <w:sz w:val="16"/>
          <w:szCs w:val="16"/>
          <w:shd w:val="clear" w:color="auto" w:fill="FFFFFF"/>
        </w:rPr>
        <w:t> :</w:t>
      </w:r>
    </w:p>
    <w:p w:rsidR="00C72CFC" w:rsidRPr="00C72CFC" w:rsidRDefault="00C72CFC" w:rsidP="005D429F">
      <w:pPr>
        <w:numPr>
          <w:ilvl w:val="0"/>
          <w:numId w:val="1064"/>
        </w:numPr>
        <w:shd w:val="clear" w:color="auto" w:fill="FFFFFF"/>
        <w:spacing w:before="100" w:beforeAutospacing="1" w:after="100" w:afterAutospacing="1" w:line="240" w:lineRule="auto"/>
        <w:rPr>
          <w:rFonts w:cs="Times New Roman"/>
          <w:color w:val="000000"/>
          <w:sz w:val="16"/>
          <w:szCs w:val="16"/>
          <w:shd w:val="clear" w:color="auto" w:fill="FFFFFF"/>
        </w:rPr>
      </w:pPr>
      <w:r w:rsidRPr="00C72CFC">
        <w:rPr>
          <w:rFonts w:cs="Times New Roman"/>
          <w:color w:val="000000"/>
          <w:sz w:val="16"/>
          <w:szCs w:val="16"/>
          <w:shd w:val="clear" w:color="auto" w:fill="FFFFFF"/>
        </w:rPr>
        <w:t>énumérer et interpréter les constatations cliniques cruciales, notamment :</w:t>
      </w:r>
    </w:p>
    <w:p w:rsidR="00C72CFC" w:rsidRPr="00C72CFC" w:rsidRDefault="00C72CFC" w:rsidP="005D429F">
      <w:pPr>
        <w:numPr>
          <w:ilvl w:val="1"/>
          <w:numId w:val="1064"/>
        </w:numPr>
        <w:shd w:val="clear" w:color="auto" w:fill="FFFFFF"/>
        <w:spacing w:before="100" w:beforeAutospacing="1" w:after="100" w:afterAutospacing="1" w:line="240" w:lineRule="auto"/>
        <w:rPr>
          <w:rFonts w:cs="Times New Roman"/>
          <w:color w:val="000000"/>
          <w:sz w:val="16"/>
          <w:szCs w:val="16"/>
          <w:shd w:val="clear" w:color="auto" w:fill="FFFFFF"/>
        </w:rPr>
      </w:pPr>
      <w:r w:rsidRPr="00C72CFC">
        <w:rPr>
          <w:rFonts w:cs="Times New Roman"/>
          <w:color w:val="000000"/>
          <w:sz w:val="16"/>
          <w:szCs w:val="16"/>
          <w:shd w:val="clear" w:color="auto" w:fill="FFFFFF"/>
        </w:rPr>
        <w:t>en cas de diarrhée aiguë, rechercher les facteurs de risque possibles de causes infectieuses</w:t>
      </w:r>
    </w:p>
    <w:p w:rsidR="00C72CFC" w:rsidRPr="00C72CFC" w:rsidRDefault="00C72CFC" w:rsidP="005D429F">
      <w:pPr>
        <w:numPr>
          <w:ilvl w:val="1"/>
          <w:numId w:val="1064"/>
        </w:numPr>
        <w:shd w:val="clear" w:color="auto" w:fill="FFFFFF"/>
        <w:spacing w:before="100" w:beforeAutospacing="1" w:after="100" w:afterAutospacing="1" w:line="240" w:lineRule="auto"/>
        <w:rPr>
          <w:rFonts w:cs="Times New Roman"/>
          <w:color w:val="000000"/>
          <w:sz w:val="16"/>
          <w:szCs w:val="16"/>
          <w:shd w:val="clear" w:color="auto" w:fill="FFFFFF"/>
        </w:rPr>
      </w:pPr>
      <w:r w:rsidRPr="00C72CFC">
        <w:rPr>
          <w:rFonts w:cs="Times New Roman"/>
          <w:color w:val="000000"/>
          <w:sz w:val="16"/>
          <w:szCs w:val="16"/>
          <w:shd w:val="clear" w:color="auto" w:fill="FFFFFF"/>
        </w:rPr>
        <w:t>en cas de diarrhée chronique, rechercher les symptômes infectieux, alimentaires ou systémiques ainsi que les éventuelles complications</w:t>
      </w:r>
    </w:p>
    <w:p w:rsidR="00C72CFC" w:rsidRPr="00C72CFC" w:rsidRDefault="00C72CFC" w:rsidP="005D429F">
      <w:pPr>
        <w:numPr>
          <w:ilvl w:val="1"/>
          <w:numId w:val="1064"/>
        </w:numPr>
        <w:shd w:val="clear" w:color="auto" w:fill="FFFFFF"/>
        <w:spacing w:before="100" w:beforeAutospacing="1" w:after="100" w:afterAutospacing="1" w:line="240" w:lineRule="auto"/>
        <w:rPr>
          <w:rFonts w:cs="Times New Roman"/>
          <w:color w:val="000000"/>
          <w:sz w:val="16"/>
          <w:szCs w:val="16"/>
          <w:shd w:val="clear" w:color="auto" w:fill="FFFFFF"/>
        </w:rPr>
      </w:pPr>
      <w:r w:rsidRPr="00C72CFC">
        <w:rPr>
          <w:rFonts w:cs="Times New Roman"/>
          <w:color w:val="000000"/>
          <w:sz w:val="16"/>
          <w:szCs w:val="16"/>
          <w:shd w:val="clear" w:color="auto" w:fill="FFFFFF"/>
        </w:rPr>
        <w:t>effectuer un examen physique afin d'évaluer l'étiologie, la gravité ou les complications de la diarrhée (p. ex. retard de croissance)</w:t>
      </w:r>
    </w:p>
    <w:p w:rsidR="00C72CFC" w:rsidRPr="00C72CFC" w:rsidRDefault="00C72CFC" w:rsidP="005D429F">
      <w:pPr>
        <w:numPr>
          <w:ilvl w:val="0"/>
          <w:numId w:val="1064"/>
        </w:numPr>
        <w:shd w:val="clear" w:color="auto" w:fill="FFFFFF"/>
        <w:spacing w:before="100" w:beforeAutospacing="1" w:after="100" w:afterAutospacing="1" w:line="240" w:lineRule="auto"/>
        <w:rPr>
          <w:rFonts w:cs="Times New Roman"/>
          <w:color w:val="000000"/>
          <w:sz w:val="16"/>
          <w:szCs w:val="16"/>
          <w:shd w:val="clear" w:color="auto" w:fill="FFFFFF"/>
        </w:rPr>
      </w:pPr>
      <w:r w:rsidRPr="00C72CFC">
        <w:rPr>
          <w:rFonts w:cs="Times New Roman"/>
          <w:color w:val="000000"/>
          <w:sz w:val="16"/>
          <w:szCs w:val="16"/>
          <w:shd w:val="clear" w:color="auto" w:fill="FFFFFF"/>
        </w:rPr>
        <w:t>énumérer et interpréter les examens essentiels, à la lumière des causes courantes de diarrhée, notamment :</w:t>
      </w:r>
    </w:p>
    <w:p w:rsidR="00C72CFC" w:rsidRPr="00C72CFC" w:rsidRDefault="00C72CFC" w:rsidP="005D429F">
      <w:pPr>
        <w:numPr>
          <w:ilvl w:val="1"/>
          <w:numId w:val="1064"/>
        </w:numPr>
        <w:shd w:val="clear" w:color="auto" w:fill="FFFFFF"/>
        <w:spacing w:before="100" w:beforeAutospacing="1" w:after="100" w:afterAutospacing="1" w:line="240" w:lineRule="auto"/>
        <w:rPr>
          <w:rFonts w:cs="Times New Roman"/>
          <w:color w:val="000000"/>
          <w:sz w:val="16"/>
          <w:szCs w:val="16"/>
          <w:shd w:val="clear" w:color="auto" w:fill="FFFFFF"/>
        </w:rPr>
      </w:pPr>
      <w:r w:rsidRPr="00C72CFC">
        <w:rPr>
          <w:rFonts w:cs="Times New Roman"/>
          <w:color w:val="000000"/>
          <w:sz w:val="16"/>
          <w:szCs w:val="16"/>
          <w:shd w:val="clear" w:color="auto" w:fill="FFFFFF"/>
        </w:rPr>
        <w:t>choisir et interpréter les examens de base relatifs à la malabsorption</w:t>
      </w:r>
    </w:p>
    <w:p w:rsidR="00C72CFC" w:rsidRPr="00C72CFC" w:rsidRDefault="00C72CFC" w:rsidP="005D429F">
      <w:pPr>
        <w:numPr>
          <w:ilvl w:val="1"/>
          <w:numId w:val="1064"/>
        </w:numPr>
        <w:shd w:val="clear" w:color="auto" w:fill="FFFFFF"/>
        <w:spacing w:before="100" w:beforeAutospacing="1" w:after="100" w:afterAutospacing="1" w:line="240" w:lineRule="auto"/>
        <w:rPr>
          <w:rFonts w:cs="Times New Roman"/>
          <w:color w:val="000000"/>
          <w:sz w:val="16"/>
          <w:szCs w:val="16"/>
          <w:shd w:val="clear" w:color="auto" w:fill="FFFFFF"/>
        </w:rPr>
      </w:pPr>
      <w:r w:rsidRPr="00C72CFC">
        <w:rPr>
          <w:rFonts w:cs="Times New Roman"/>
          <w:color w:val="000000"/>
          <w:sz w:val="16"/>
          <w:szCs w:val="16"/>
          <w:shd w:val="clear" w:color="auto" w:fill="FFFFFF"/>
        </w:rPr>
        <w:t>choisir et interpréter les examens de base relatifs aux infections chroniques et aux autres causes</w:t>
      </w:r>
    </w:p>
    <w:p w:rsidR="00C72CFC" w:rsidRPr="00C72CFC" w:rsidRDefault="00C72CFC" w:rsidP="005D429F">
      <w:pPr>
        <w:numPr>
          <w:ilvl w:val="0"/>
          <w:numId w:val="1064"/>
        </w:numPr>
        <w:shd w:val="clear" w:color="auto" w:fill="FFFFFF"/>
        <w:spacing w:before="100" w:beforeAutospacing="1" w:after="100" w:afterAutospacing="1" w:line="240" w:lineRule="auto"/>
        <w:rPr>
          <w:rFonts w:cs="Times New Roman"/>
          <w:color w:val="000000"/>
          <w:sz w:val="16"/>
          <w:szCs w:val="16"/>
          <w:shd w:val="clear" w:color="auto" w:fill="FFFFFF"/>
        </w:rPr>
      </w:pPr>
      <w:r w:rsidRPr="00C72CFC">
        <w:rPr>
          <w:rFonts w:cs="Times New Roman"/>
          <w:color w:val="000000"/>
          <w:sz w:val="16"/>
          <w:szCs w:val="16"/>
          <w:shd w:val="clear" w:color="auto" w:fill="FFFFFF"/>
        </w:rPr>
        <w:t>élaborer un plan efficace de prise en charge, notamment :</w:t>
      </w:r>
    </w:p>
    <w:p w:rsidR="00C72CFC" w:rsidRPr="00C72CFC" w:rsidRDefault="00C72CFC" w:rsidP="005D429F">
      <w:pPr>
        <w:numPr>
          <w:ilvl w:val="1"/>
          <w:numId w:val="1064"/>
        </w:numPr>
        <w:shd w:val="clear" w:color="auto" w:fill="FFFFFF"/>
        <w:spacing w:before="100" w:beforeAutospacing="1" w:after="100" w:afterAutospacing="1" w:line="240" w:lineRule="auto"/>
        <w:rPr>
          <w:rFonts w:cs="Times New Roman"/>
          <w:color w:val="000000"/>
          <w:sz w:val="16"/>
          <w:szCs w:val="16"/>
          <w:shd w:val="clear" w:color="auto" w:fill="FFFFFF"/>
        </w:rPr>
      </w:pPr>
      <w:r w:rsidRPr="00C72CFC">
        <w:rPr>
          <w:rFonts w:cs="Times New Roman"/>
          <w:color w:val="000000"/>
          <w:sz w:val="16"/>
          <w:szCs w:val="16"/>
          <w:shd w:val="clear" w:color="auto" w:fill="FFFFFF"/>
        </w:rPr>
        <w:t>réanimer les patients gravement malades</w:t>
      </w:r>
    </w:p>
    <w:p w:rsidR="00C72CFC" w:rsidRPr="00C72CFC" w:rsidRDefault="00C72CFC" w:rsidP="005D429F">
      <w:pPr>
        <w:numPr>
          <w:ilvl w:val="1"/>
          <w:numId w:val="1064"/>
        </w:numPr>
        <w:shd w:val="clear" w:color="auto" w:fill="FFFFFF"/>
        <w:spacing w:before="100" w:beforeAutospacing="1" w:after="100" w:afterAutospacing="1" w:line="240" w:lineRule="auto"/>
        <w:rPr>
          <w:rFonts w:cs="Times New Roman"/>
          <w:color w:val="000000"/>
          <w:sz w:val="16"/>
          <w:szCs w:val="16"/>
          <w:shd w:val="clear" w:color="auto" w:fill="FFFFFF"/>
        </w:rPr>
      </w:pPr>
      <w:r w:rsidRPr="00C72CFC">
        <w:rPr>
          <w:rFonts w:cs="Times New Roman"/>
          <w:color w:val="000000"/>
          <w:sz w:val="16"/>
          <w:szCs w:val="16"/>
          <w:shd w:val="clear" w:color="auto" w:fill="FFFFFF"/>
        </w:rPr>
        <w:t>déterminer quels patients ont besoin d'être adressés à un spécialiste</w:t>
      </w:r>
    </w:p>
    <w:p w:rsidR="00C72CFC" w:rsidRPr="00651AF0" w:rsidRDefault="00752CBB" w:rsidP="005D429F">
      <w:pPr>
        <w:numPr>
          <w:ilvl w:val="1"/>
          <w:numId w:val="1064"/>
        </w:numPr>
        <w:shd w:val="clear" w:color="auto" w:fill="FFFFFF"/>
        <w:spacing w:before="100" w:beforeAutospacing="1" w:after="100" w:afterAutospacing="1" w:line="240" w:lineRule="auto"/>
        <w:rPr>
          <w:rFonts w:cs="Times New Roman"/>
          <w:color w:val="000000"/>
          <w:sz w:val="16"/>
          <w:szCs w:val="16"/>
          <w:shd w:val="clear" w:color="auto" w:fill="FFFFFF"/>
        </w:rPr>
      </w:pPr>
      <w:r>
        <w:rPr>
          <w:noProof/>
          <w:lang w:eastAsia="fr-CA"/>
        </w:rPr>
        <w:drawing>
          <wp:anchor distT="0" distB="0" distL="114300" distR="114300" simplePos="0" relativeHeight="252006400" behindDoc="0" locked="0" layoutInCell="1" allowOverlap="1" wp14:anchorId="752FF914" wp14:editId="4C736B7A">
            <wp:simplePos x="0" y="0"/>
            <wp:positionH relativeFrom="column">
              <wp:posOffset>4493719</wp:posOffset>
            </wp:positionH>
            <wp:positionV relativeFrom="paragraph">
              <wp:posOffset>162560</wp:posOffset>
            </wp:positionV>
            <wp:extent cx="2383276" cy="2383276"/>
            <wp:effectExtent l="0" t="0" r="0" b="0"/>
            <wp:wrapNone/>
            <wp:docPr id="513" name="Image 513" descr="Résultats de recherche d'images pour « diarrhée enfan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ésultats de recherche d'images pour « diarrhée enfant »"/>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383276" cy="2383276"/>
                    </a:xfrm>
                    <a:prstGeom prst="rect">
                      <a:avLst/>
                    </a:prstGeom>
                    <a:noFill/>
                    <a:ln>
                      <a:noFill/>
                    </a:ln>
                  </pic:spPr>
                </pic:pic>
              </a:graphicData>
            </a:graphic>
            <wp14:sizeRelH relativeFrom="page">
              <wp14:pctWidth>0</wp14:pctWidth>
            </wp14:sizeRelH>
            <wp14:sizeRelV relativeFrom="page">
              <wp14:pctHeight>0</wp14:pctHeight>
            </wp14:sizeRelV>
          </wp:anchor>
        </w:drawing>
      </w:r>
      <w:r w:rsidR="00C72CFC" w:rsidRPr="00C72CFC">
        <w:rPr>
          <w:rFonts w:cs="Times New Roman"/>
          <w:color w:val="000000"/>
          <w:sz w:val="16"/>
          <w:szCs w:val="16"/>
          <w:shd w:val="clear" w:color="auto" w:fill="FFFFFF"/>
        </w:rPr>
        <w:t>avertir au besoin les autorités de santé publique.</w:t>
      </w:r>
    </w:p>
    <w:p w:rsidR="000664D6" w:rsidRPr="00651AF0" w:rsidRDefault="000664D6" w:rsidP="000664D6">
      <w:pPr>
        <w:pStyle w:val="Sansinterligne"/>
        <w:rPr>
          <w:b/>
          <w:sz w:val="28"/>
          <w:szCs w:val="28"/>
        </w:rPr>
      </w:pPr>
      <w:r w:rsidRPr="00651AF0">
        <w:rPr>
          <w:b/>
          <w:sz w:val="28"/>
          <w:szCs w:val="28"/>
        </w:rPr>
        <w:t>Définition</w:t>
      </w:r>
    </w:p>
    <w:p w:rsidR="00651AF0" w:rsidRDefault="00651AF0" w:rsidP="000664D6">
      <w:pPr>
        <w:pStyle w:val="Sansinterligne"/>
      </w:pPr>
    </w:p>
    <w:p w:rsidR="000664D6" w:rsidRDefault="000664D6" w:rsidP="005D429F">
      <w:pPr>
        <w:pStyle w:val="Sansinterligne"/>
        <w:numPr>
          <w:ilvl w:val="0"/>
          <w:numId w:val="1100"/>
        </w:numPr>
      </w:pPr>
      <w:r>
        <w:t>Augmentation de la fréquence des selles (plusieurs fois par jour) (jeune âge)</w:t>
      </w:r>
    </w:p>
    <w:p w:rsidR="00BD7D0E" w:rsidRDefault="000664D6" w:rsidP="005D429F">
      <w:pPr>
        <w:pStyle w:val="Sansinterligne"/>
        <w:numPr>
          <w:ilvl w:val="0"/>
          <w:numId w:val="1100"/>
        </w:numPr>
      </w:pPr>
      <w:r>
        <w:t xml:space="preserve">Selles liquides ou molles </w:t>
      </w:r>
      <w:r>
        <w:rPr>
          <w:rFonts w:ascii="Century Gothic" w:hAnsi="Century Gothic"/>
        </w:rPr>
        <w:t>≥</w:t>
      </w:r>
      <w:r>
        <w:t xml:space="preserve"> 3 fois par </w:t>
      </w:r>
      <w:r w:rsidR="00BD7D0E">
        <w:t>jour (chez l’enfant plus vieux)</w:t>
      </w:r>
    </w:p>
    <w:p w:rsidR="00BD7D0E" w:rsidRDefault="00BD7D0E" w:rsidP="000664D6">
      <w:pPr>
        <w:pStyle w:val="Sansinterligne"/>
      </w:pPr>
    </w:p>
    <w:p w:rsidR="000664D6" w:rsidRPr="000664D6" w:rsidRDefault="000664D6" w:rsidP="000664D6">
      <w:pPr>
        <w:pStyle w:val="Sansinterligne"/>
        <w:rPr>
          <w:b/>
          <w:sz w:val="28"/>
          <w:szCs w:val="28"/>
        </w:rPr>
      </w:pPr>
      <w:r w:rsidRPr="000664D6">
        <w:rPr>
          <w:b/>
          <w:sz w:val="28"/>
          <w:szCs w:val="28"/>
        </w:rPr>
        <w:t>Diagnostics</w:t>
      </w:r>
    </w:p>
    <w:p w:rsidR="000664D6" w:rsidRDefault="000664D6" w:rsidP="000664D6">
      <w:pPr>
        <w:pStyle w:val="Sansinterligne"/>
      </w:pPr>
    </w:p>
    <w:p w:rsidR="00BD7D0E" w:rsidRDefault="00BD7D0E" w:rsidP="000664D6">
      <w:pPr>
        <w:pStyle w:val="Sansinterligne"/>
      </w:pPr>
      <w:r w:rsidRPr="00CA7549">
        <w:rPr>
          <w:u w:val="single"/>
        </w:rPr>
        <w:t>Il faut clarifier</w:t>
      </w:r>
      <w:r>
        <w:t> :</w:t>
      </w:r>
      <w:r w:rsidR="00752CBB" w:rsidRPr="00752CBB">
        <w:t xml:space="preserve"> </w:t>
      </w:r>
    </w:p>
    <w:p w:rsidR="00752CBB" w:rsidRDefault="00752CBB" w:rsidP="000664D6">
      <w:pPr>
        <w:pStyle w:val="Sansinterligne"/>
      </w:pPr>
    </w:p>
    <w:p w:rsidR="00BD7D0E" w:rsidRDefault="00BD7D0E" w:rsidP="005D429F">
      <w:pPr>
        <w:pStyle w:val="Sansinterligne"/>
        <w:numPr>
          <w:ilvl w:val="0"/>
          <w:numId w:val="1096"/>
        </w:numPr>
      </w:pPr>
      <w:r>
        <w:t>Le début des symptômes</w:t>
      </w:r>
    </w:p>
    <w:p w:rsidR="00BD7D0E" w:rsidRDefault="00BD7D0E" w:rsidP="005D429F">
      <w:pPr>
        <w:pStyle w:val="Sansinterligne"/>
        <w:numPr>
          <w:ilvl w:val="0"/>
          <w:numId w:val="1096"/>
        </w:numPr>
      </w:pPr>
      <w:r>
        <w:t>La quantité des selles et la fréquence</w:t>
      </w:r>
    </w:p>
    <w:p w:rsidR="00BD7D0E" w:rsidRDefault="00BD7D0E" w:rsidP="005D429F">
      <w:pPr>
        <w:pStyle w:val="Sansinterligne"/>
        <w:numPr>
          <w:ilvl w:val="0"/>
          <w:numId w:val="1096"/>
        </w:numPr>
      </w:pPr>
      <w:r>
        <w:t>L’aspect des selles (couleur, consistance)</w:t>
      </w:r>
    </w:p>
    <w:p w:rsidR="00BD7D0E" w:rsidRDefault="00BD7D0E" w:rsidP="005D429F">
      <w:pPr>
        <w:pStyle w:val="Sansinterligne"/>
        <w:numPr>
          <w:ilvl w:val="0"/>
          <w:numId w:val="1096"/>
        </w:numPr>
      </w:pPr>
      <w:r>
        <w:t>Présence de méléna, de rectorragie, de stéatorrhée</w:t>
      </w:r>
    </w:p>
    <w:p w:rsidR="00CA7549" w:rsidRDefault="00CA7549" w:rsidP="000664D6">
      <w:pPr>
        <w:pStyle w:val="Sansinterligne"/>
      </w:pPr>
    </w:p>
    <w:tbl>
      <w:tblPr>
        <w:tblStyle w:val="Grilledutableau"/>
        <w:tblW w:w="0" w:type="auto"/>
        <w:tblLook w:val="04A0" w:firstRow="1" w:lastRow="0" w:firstColumn="1" w:lastColumn="0" w:noHBand="0" w:noVBand="1"/>
      </w:tblPr>
      <w:tblGrid>
        <w:gridCol w:w="2518"/>
        <w:gridCol w:w="2807"/>
        <w:gridCol w:w="1404"/>
        <w:gridCol w:w="325"/>
        <w:gridCol w:w="1078"/>
        <w:gridCol w:w="2808"/>
      </w:tblGrid>
      <w:tr w:rsidR="000664D6" w:rsidTr="00651AF0">
        <w:tc>
          <w:tcPr>
            <w:tcW w:w="10940" w:type="dxa"/>
            <w:gridSpan w:val="6"/>
            <w:shd w:val="clear" w:color="auto" w:fill="FFC000"/>
          </w:tcPr>
          <w:p w:rsidR="000664D6" w:rsidRDefault="000664D6" w:rsidP="000664D6">
            <w:pPr>
              <w:pStyle w:val="Sansinterligne"/>
              <w:jc w:val="center"/>
            </w:pPr>
            <w:r>
              <w:t>Diarrhée aigüe (</w:t>
            </w:r>
            <w:r>
              <w:rPr>
                <w:rFonts w:ascii="Century Gothic" w:hAnsi="Century Gothic"/>
              </w:rPr>
              <w:t>&lt;</w:t>
            </w:r>
            <w:r>
              <w:t xml:space="preserve"> 2 semaines)</w:t>
            </w:r>
          </w:p>
        </w:tc>
      </w:tr>
      <w:tr w:rsidR="000664D6" w:rsidTr="00651AF0">
        <w:tc>
          <w:tcPr>
            <w:tcW w:w="2518" w:type="dxa"/>
            <w:shd w:val="clear" w:color="auto" w:fill="D6E3BC" w:themeFill="accent3" w:themeFillTint="66"/>
          </w:tcPr>
          <w:p w:rsidR="000664D6" w:rsidRDefault="000664D6" w:rsidP="000664D6">
            <w:pPr>
              <w:pStyle w:val="Sansinterligne"/>
              <w:jc w:val="center"/>
            </w:pPr>
            <w:r>
              <w:t>Diagnostic</w:t>
            </w:r>
          </w:p>
        </w:tc>
        <w:tc>
          <w:tcPr>
            <w:tcW w:w="8422" w:type="dxa"/>
            <w:gridSpan w:val="5"/>
            <w:shd w:val="clear" w:color="auto" w:fill="D6E3BC" w:themeFill="accent3" w:themeFillTint="66"/>
          </w:tcPr>
          <w:p w:rsidR="000664D6" w:rsidRDefault="000664D6" w:rsidP="000664D6">
            <w:pPr>
              <w:pStyle w:val="Sansinterligne"/>
              <w:jc w:val="center"/>
            </w:pPr>
            <w:r>
              <w:t>Manifestations cliniques</w:t>
            </w:r>
          </w:p>
        </w:tc>
      </w:tr>
      <w:tr w:rsidR="00BD7D0E" w:rsidTr="00422BD4">
        <w:tc>
          <w:tcPr>
            <w:tcW w:w="2518" w:type="dxa"/>
            <w:shd w:val="clear" w:color="auto" w:fill="D6E3BC" w:themeFill="accent3" w:themeFillTint="66"/>
            <w:vAlign w:val="center"/>
          </w:tcPr>
          <w:p w:rsidR="00BD7D0E" w:rsidRPr="008124A6" w:rsidRDefault="00BD7D0E" w:rsidP="000664D6">
            <w:pPr>
              <w:pStyle w:val="Sansinterligne"/>
              <w:jc w:val="center"/>
              <w:rPr>
                <w:b/>
              </w:rPr>
            </w:pPr>
            <w:r w:rsidRPr="008124A6">
              <w:rPr>
                <w:b/>
              </w:rPr>
              <w:t>Entérite virale</w:t>
            </w:r>
          </w:p>
          <w:p w:rsidR="00BD7D0E" w:rsidRPr="008124A6" w:rsidRDefault="00BD7D0E" w:rsidP="000664D6">
            <w:pPr>
              <w:pStyle w:val="Sansinterligne"/>
              <w:jc w:val="center"/>
              <w:rPr>
                <w:b/>
              </w:rPr>
            </w:pPr>
            <w:r w:rsidRPr="008124A6">
              <w:rPr>
                <w:b/>
              </w:rPr>
              <w:t>(rotavirus, adénovirus)</w:t>
            </w:r>
          </w:p>
        </w:tc>
        <w:tc>
          <w:tcPr>
            <w:tcW w:w="4536" w:type="dxa"/>
            <w:gridSpan w:val="3"/>
            <w:tcBorders>
              <w:right w:val="single" w:sz="4" w:space="0" w:color="FFFFFF" w:themeColor="background1"/>
            </w:tcBorders>
          </w:tcPr>
          <w:p w:rsidR="0043158D" w:rsidRPr="00927389" w:rsidRDefault="0043158D" w:rsidP="005D429F">
            <w:pPr>
              <w:pStyle w:val="Sansinterligne"/>
              <w:numPr>
                <w:ilvl w:val="0"/>
                <w:numId w:val="1093"/>
              </w:numPr>
              <w:rPr>
                <w:highlight w:val="yellow"/>
              </w:rPr>
            </w:pPr>
            <w:r w:rsidRPr="00927389">
              <w:rPr>
                <w:highlight w:val="yellow"/>
              </w:rPr>
              <w:t>Plus fréquent en bas âge</w:t>
            </w:r>
          </w:p>
          <w:p w:rsidR="0043158D" w:rsidRPr="00927389" w:rsidRDefault="0043158D" w:rsidP="005D429F">
            <w:pPr>
              <w:pStyle w:val="Sansinterligne"/>
              <w:numPr>
                <w:ilvl w:val="0"/>
                <w:numId w:val="1093"/>
              </w:numPr>
              <w:rPr>
                <w:highlight w:val="yellow"/>
              </w:rPr>
            </w:pPr>
            <w:r w:rsidRPr="00927389">
              <w:rPr>
                <w:highlight w:val="yellow"/>
              </w:rPr>
              <w:t>Histoire de contact infectieux (ex : garderie)</w:t>
            </w:r>
          </w:p>
          <w:p w:rsidR="00BD7D0E" w:rsidRDefault="00BD7D0E" w:rsidP="005D429F">
            <w:pPr>
              <w:pStyle w:val="Sansinterligne"/>
              <w:numPr>
                <w:ilvl w:val="0"/>
                <w:numId w:val="1093"/>
              </w:numPr>
            </w:pPr>
            <w:r>
              <w:t>Diarrhée</w:t>
            </w:r>
          </w:p>
          <w:p w:rsidR="00BD7D0E" w:rsidRDefault="00BD7D0E" w:rsidP="005D429F">
            <w:pPr>
              <w:pStyle w:val="Sansinterligne"/>
              <w:numPr>
                <w:ilvl w:val="0"/>
                <w:numId w:val="1093"/>
              </w:numPr>
            </w:pPr>
            <w:r w:rsidRPr="00927389">
              <w:rPr>
                <w:highlight w:val="yellow"/>
              </w:rPr>
              <w:t>Vomissements</w:t>
            </w:r>
            <w:r>
              <w:t xml:space="preserve"> </w:t>
            </w:r>
          </w:p>
          <w:p w:rsidR="00BD7D0E" w:rsidRDefault="0043158D" w:rsidP="005D429F">
            <w:pPr>
              <w:pStyle w:val="Sansinterligne"/>
              <w:numPr>
                <w:ilvl w:val="0"/>
                <w:numId w:val="1093"/>
              </w:numPr>
            </w:pPr>
            <w:r>
              <w:t>Douleurs abdominales vague</w:t>
            </w:r>
          </w:p>
        </w:tc>
        <w:tc>
          <w:tcPr>
            <w:tcW w:w="3886" w:type="dxa"/>
            <w:gridSpan w:val="2"/>
            <w:tcBorders>
              <w:left w:val="single" w:sz="4" w:space="0" w:color="FFFFFF" w:themeColor="background1"/>
            </w:tcBorders>
          </w:tcPr>
          <w:p w:rsidR="0043158D" w:rsidRPr="00927389" w:rsidRDefault="0043158D" w:rsidP="005D429F">
            <w:pPr>
              <w:pStyle w:val="Sansinterligne"/>
              <w:numPr>
                <w:ilvl w:val="0"/>
                <w:numId w:val="1093"/>
              </w:numPr>
              <w:rPr>
                <w:highlight w:val="yellow"/>
              </w:rPr>
            </w:pPr>
            <w:r w:rsidRPr="00927389">
              <w:rPr>
                <w:highlight w:val="yellow"/>
              </w:rPr>
              <w:t xml:space="preserve">Fièvre légère </w:t>
            </w:r>
          </w:p>
          <w:p w:rsidR="00BD7D0E" w:rsidRDefault="00BD7D0E" w:rsidP="005D429F">
            <w:pPr>
              <w:pStyle w:val="Sansinterligne"/>
              <w:numPr>
                <w:ilvl w:val="0"/>
                <w:numId w:val="1093"/>
              </w:numPr>
            </w:pPr>
            <w:r>
              <w:t>Anorexie</w:t>
            </w:r>
          </w:p>
          <w:p w:rsidR="00BD7D0E" w:rsidRDefault="00BD7D0E" w:rsidP="005D429F">
            <w:pPr>
              <w:pStyle w:val="Sansinterligne"/>
              <w:numPr>
                <w:ilvl w:val="0"/>
                <w:numId w:val="1093"/>
              </w:numPr>
            </w:pPr>
            <w:r>
              <w:t>Céphalée</w:t>
            </w:r>
          </w:p>
          <w:p w:rsidR="00BD7D0E" w:rsidRDefault="00BD7D0E" w:rsidP="005D429F">
            <w:pPr>
              <w:pStyle w:val="Sansinterligne"/>
              <w:numPr>
                <w:ilvl w:val="0"/>
                <w:numId w:val="1093"/>
              </w:numPr>
            </w:pPr>
            <w:r>
              <w:t>Myalgies</w:t>
            </w:r>
          </w:p>
        </w:tc>
      </w:tr>
      <w:tr w:rsidR="00BD7D0E" w:rsidTr="00422BD4">
        <w:trPr>
          <w:trHeight w:val="773"/>
        </w:trPr>
        <w:tc>
          <w:tcPr>
            <w:tcW w:w="2518" w:type="dxa"/>
            <w:shd w:val="clear" w:color="auto" w:fill="D6E3BC" w:themeFill="accent3" w:themeFillTint="66"/>
            <w:vAlign w:val="center"/>
          </w:tcPr>
          <w:p w:rsidR="00BD7D0E" w:rsidRPr="008124A6" w:rsidRDefault="00BD7D0E" w:rsidP="000664D6">
            <w:pPr>
              <w:pStyle w:val="Sansinterligne"/>
              <w:jc w:val="center"/>
              <w:rPr>
                <w:b/>
              </w:rPr>
            </w:pPr>
            <w:r w:rsidRPr="008124A6">
              <w:rPr>
                <w:b/>
              </w:rPr>
              <w:t>Entérite bactérienne</w:t>
            </w:r>
          </w:p>
        </w:tc>
        <w:tc>
          <w:tcPr>
            <w:tcW w:w="4536" w:type="dxa"/>
            <w:gridSpan w:val="3"/>
            <w:tcBorders>
              <w:right w:val="single" w:sz="4" w:space="0" w:color="FFFFFF" w:themeColor="background1"/>
            </w:tcBorders>
          </w:tcPr>
          <w:p w:rsidR="00BD7D0E" w:rsidRPr="00927389" w:rsidRDefault="00BD7D0E" w:rsidP="005D429F">
            <w:pPr>
              <w:pStyle w:val="Sansinterligne"/>
              <w:numPr>
                <w:ilvl w:val="0"/>
                <w:numId w:val="1093"/>
              </w:numPr>
              <w:rPr>
                <w:highlight w:val="yellow"/>
              </w:rPr>
            </w:pPr>
            <w:r w:rsidRPr="00927389">
              <w:rPr>
                <w:highlight w:val="yellow"/>
              </w:rPr>
              <w:t>Plus fréquent chez 2-4 ans</w:t>
            </w:r>
          </w:p>
          <w:p w:rsidR="0043158D" w:rsidRPr="00927389" w:rsidRDefault="0043158D" w:rsidP="005D429F">
            <w:pPr>
              <w:pStyle w:val="Sansinterligne"/>
              <w:numPr>
                <w:ilvl w:val="0"/>
                <w:numId w:val="1093"/>
              </w:numPr>
              <w:rPr>
                <w:highlight w:val="yellow"/>
              </w:rPr>
            </w:pPr>
            <w:r w:rsidRPr="00927389">
              <w:rPr>
                <w:highlight w:val="yellow"/>
              </w:rPr>
              <w:t>Histoire de voyage, animaux, repas suspect</w:t>
            </w:r>
          </w:p>
          <w:p w:rsidR="00BD7D0E" w:rsidRPr="00927389" w:rsidRDefault="00BD7D0E" w:rsidP="005D429F">
            <w:pPr>
              <w:pStyle w:val="Sansinterligne"/>
              <w:numPr>
                <w:ilvl w:val="0"/>
                <w:numId w:val="1093"/>
              </w:numPr>
              <w:rPr>
                <w:highlight w:val="yellow"/>
              </w:rPr>
            </w:pPr>
            <w:r w:rsidRPr="00927389">
              <w:rPr>
                <w:highlight w:val="yellow"/>
              </w:rPr>
              <w:t>Douleur abdominale sévère</w:t>
            </w:r>
          </w:p>
          <w:p w:rsidR="00BD7D0E" w:rsidRDefault="00BD7D0E" w:rsidP="005D429F">
            <w:pPr>
              <w:pStyle w:val="Sansinterligne"/>
              <w:numPr>
                <w:ilvl w:val="0"/>
                <w:numId w:val="1093"/>
              </w:numPr>
            </w:pPr>
            <w:r w:rsidRPr="00927389">
              <w:rPr>
                <w:highlight w:val="yellow"/>
              </w:rPr>
              <w:t>Diarrhées sanglantes</w:t>
            </w:r>
            <w:r w:rsidR="0043158D" w:rsidRPr="00927389">
              <w:rPr>
                <w:highlight w:val="yellow"/>
              </w:rPr>
              <w:t xml:space="preserve"> / muqueuses</w:t>
            </w:r>
          </w:p>
        </w:tc>
        <w:tc>
          <w:tcPr>
            <w:tcW w:w="3886" w:type="dxa"/>
            <w:gridSpan w:val="2"/>
            <w:tcBorders>
              <w:left w:val="single" w:sz="4" w:space="0" w:color="FFFFFF" w:themeColor="background1"/>
            </w:tcBorders>
          </w:tcPr>
          <w:p w:rsidR="0043158D" w:rsidRPr="00927389" w:rsidRDefault="0043158D" w:rsidP="005D429F">
            <w:pPr>
              <w:pStyle w:val="Sansinterligne"/>
              <w:numPr>
                <w:ilvl w:val="0"/>
                <w:numId w:val="1093"/>
              </w:numPr>
              <w:rPr>
                <w:highlight w:val="yellow"/>
              </w:rPr>
            </w:pPr>
            <w:r w:rsidRPr="00927389">
              <w:rPr>
                <w:highlight w:val="yellow"/>
              </w:rPr>
              <w:t>Fièvre importante (</w:t>
            </w:r>
            <w:r w:rsidRPr="00927389">
              <w:rPr>
                <w:rFonts w:ascii="Century Gothic" w:hAnsi="Century Gothic"/>
                <w:highlight w:val="yellow"/>
              </w:rPr>
              <w:t>≥</w:t>
            </w:r>
            <w:r w:rsidRPr="00927389">
              <w:rPr>
                <w:highlight w:val="yellow"/>
              </w:rPr>
              <w:t xml:space="preserve"> 40</w:t>
            </w:r>
            <w:r w:rsidRPr="00927389">
              <w:rPr>
                <w:rFonts w:cs="Times New Roman"/>
                <w:highlight w:val="yellow"/>
              </w:rPr>
              <w:t>°</w:t>
            </w:r>
            <w:r w:rsidRPr="00927389">
              <w:rPr>
                <w:highlight w:val="yellow"/>
              </w:rPr>
              <w:t>C)</w:t>
            </w:r>
          </w:p>
          <w:p w:rsidR="00BD7D0E" w:rsidRDefault="00BD7D0E" w:rsidP="005D429F">
            <w:pPr>
              <w:pStyle w:val="Sansinterligne"/>
              <w:numPr>
                <w:ilvl w:val="0"/>
                <w:numId w:val="1093"/>
              </w:numPr>
            </w:pPr>
            <w:r>
              <w:t>Anorexie</w:t>
            </w:r>
          </w:p>
          <w:p w:rsidR="00BD7D0E" w:rsidRDefault="00BD7D0E" w:rsidP="005D429F">
            <w:pPr>
              <w:pStyle w:val="Sansinterligne"/>
              <w:numPr>
                <w:ilvl w:val="0"/>
                <w:numId w:val="1093"/>
              </w:numPr>
            </w:pPr>
            <w:r>
              <w:t>Céphalée</w:t>
            </w:r>
          </w:p>
          <w:p w:rsidR="00BD7D0E" w:rsidRDefault="00BD7D0E" w:rsidP="005D429F">
            <w:pPr>
              <w:pStyle w:val="Sansinterligne"/>
              <w:numPr>
                <w:ilvl w:val="0"/>
                <w:numId w:val="1093"/>
              </w:numPr>
            </w:pPr>
            <w:r>
              <w:t>Myalgies</w:t>
            </w:r>
          </w:p>
        </w:tc>
      </w:tr>
      <w:tr w:rsidR="000664D6" w:rsidTr="00651AF0">
        <w:tc>
          <w:tcPr>
            <w:tcW w:w="2518" w:type="dxa"/>
            <w:shd w:val="clear" w:color="auto" w:fill="D6E3BC" w:themeFill="accent3" w:themeFillTint="66"/>
            <w:vAlign w:val="center"/>
          </w:tcPr>
          <w:p w:rsidR="000664D6" w:rsidRDefault="000664D6" w:rsidP="000664D6">
            <w:pPr>
              <w:pStyle w:val="Sansinterligne"/>
              <w:jc w:val="center"/>
            </w:pPr>
            <w:r>
              <w:t>Entérite parasitaire</w:t>
            </w:r>
          </w:p>
        </w:tc>
        <w:tc>
          <w:tcPr>
            <w:tcW w:w="8422" w:type="dxa"/>
            <w:gridSpan w:val="5"/>
          </w:tcPr>
          <w:p w:rsidR="000664D6" w:rsidRDefault="00BD7D0E" w:rsidP="005D429F">
            <w:pPr>
              <w:pStyle w:val="Sansinterligne"/>
              <w:numPr>
                <w:ilvl w:val="0"/>
                <w:numId w:val="1094"/>
              </w:numPr>
            </w:pPr>
            <w:r>
              <w:t>Plus fréquent chez 2-4 ans</w:t>
            </w:r>
          </w:p>
          <w:p w:rsidR="0043158D" w:rsidRDefault="0043158D" w:rsidP="005D429F">
            <w:pPr>
              <w:pStyle w:val="Sansinterligne"/>
              <w:numPr>
                <w:ilvl w:val="0"/>
                <w:numId w:val="1094"/>
              </w:numPr>
            </w:pPr>
            <w:r w:rsidRPr="00927389">
              <w:rPr>
                <w:highlight w:val="yellow"/>
              </w:rPr>
              <w:t>Hx de voyage, aliments mal cuits, eau de puits, etc.</w:t>
            </w:r>
          </w:p>
        </w:tc>
      </w:tr>
      <w:tr w:rsidR="00651AF0" w:rsidTr="00651AF0">
        <w:tc>
          <w:tcPr>
            <w:tcW w:w="2518" w:type="dxa"/>
            <w:shd w:val="clear" w:color="auto" w:fill="D6E3BC" w:themeFill="accent3" w:themeFillTint="66"/>
            <w:vAlign w:val="center"/>
          </w:tcPr>
          <w:p w:rsidR="00651AF0" w:rsidRDefault="00651AF0" w:rsidP="000664D6">
            <w:pPr>
              <w:pStyle w:val="Sansinterligne"/>
              <w:jc w:val="center"/>
            </w:pPr>
            <w:r>
              <w:t>Iatrogénique</w:t>
            </w:r>
          </w:p>
        </w:tc>
        <w:tc>
          <w:tcPr>
            <w:tcW w:w="8422" w:type="dxa"/>
            <w:gridSpan w:val="5"/>
          </w:tcPr>
          <w:p w:rsidR="00651AF0" w:rsidRPr="00D47BD8" w:rsidRDefault="00651AF0" w:rsidP="005D429F">
            <w:pPr>
              <w:pStyle w:val="Sansinterligne"/>
              <w:numPr>
                <w:ilvl w:val="0"/>
                <w:numId w:val="1095"/>
              </w:numPr>
              <w:rPr>
                <w:u w:val="single"/>
              </w:rPr>
            </w:pPr>
            <w:r w:rsidRPr="00D47BD8">
              <w:rPr>
                <w:u w:val="single"/>
              </w:rPr>
              <w:t>ATB</w:t>
            </w:r>
            <w:r w:rsidR="00927389" w:rsidRPr="00D47BD8">
              <w:rPr>
                <w:u w:val="single"/>
              </w:rPr>
              <w:t xml:space="preserve"> </w:t>
            </w:r>
            <w:r w:rsidR="00927389" w:rsidRPr="00D47BD8">
              <w:rPr>
                <w:rFonts w:ascii="Century Gothic" w:hAnsi="Century Gothic"/>
                <w:u w:val="single"/>
              </w:rPr>
              <w:t>→</w:t>
            </w:r>
            <w:r w:rsidR="00927389" w:rsidRPr="00D47BD8">
              <w:rPr>
                <w:u w:val="single"/>
              </w:rPr>
              <w:t xml:space="preserve"> prise récente d</w:t>
            </w:r>
            <w:r w:rsidR="00CA7549" w:rsidRPr="00D47BD8">
              <w:rPr>
                <w:u w:val="single"/>
              </w:rPr>
              <w:t>e PNC, céphalos, quinolones ou clinda</w:t>
            </w:r>
            <w:r w:rsidR="00466001" w:rsidRPr="00D47BD8">
              <w:rPr>
                <w:u w:val="single"/>
              </w:rPr>
              <w:t>, suspecter colite pseudomembraneuse</w:t>
            </w:r>
          </w:p>
          <w:p w:rsidR="00466001" w:rsidRPr="0081234C" w:rsidRDefault="00466001" w:rsidP="005D429F">
            <w:pPr>
              <w:pStyle w:val="Sansinterligne"/>
              <w:numPr>
                <w:ilvl w:val="0"/>
                <w:numId w:val="1095"/>
              </w:numPr>
              <w:rPr>
                <w:u w:val="single"/>
              </w:rPr>
            </w:pPr>
            <w:r w:rsidRPr="0081234C">
              <w:rPr>
                <w:u w:val="single"/>
              </w:rPr>
              <w:t xml:space="preserve">Diarrhée </w:t>
            </w:r>
            <w:r w:rsidR="00CA7549" w:rsidRPr="0081234C">
              <w:rPr>
                <w:u w:val="single"/>
              </w:rPr>
              <w:t>aqueuse, crampes abdominales</w:t>
            </w:r>
          </w:p>
          <w:p w:rsidR="00651AF0" w:rsidRDefault="00651AF0" w:rsidP="005D429F">
            <w:pPr>
              <w:pStyle w:val="Sansinterligne"/>
              <w:numPr>
                <w:ilvl w:val="0"/>
                <w:numId w:val="1095"/>
              </w:numPr>
            </w:pPr>
            <w:r>
              <w:t>Laxatifs</w:t>
            </w:r>
            <w:r w:rsidR="00466001">
              <w:t xml:space="preserve"> </w:t>
            </w:r>
            <w:r w:rsidR="00466001">
              <w:rPr>
                <w:rFonts w:ascii="Century Gothic" w:hAnsi="Century Gothic"/>
              </w:rPr>
              <w:t>→</w:t>
            </w:r>
            <w:r w:rsidR="00466001">
              <w:t xml:space="preserve"> Hx d’abus de laxatif ou prise régulière</w:t>
            </w:r>
          </w:p>
        </w:tc>
      </w:tr>
      <w:tr w:rsidR="000664D6" w:rsidTr="00651AF0">
        <w:tc>
          <w:tcPr>
            <w:tcW w:w="10940" w:type="dxa"/>
            <w:gridSpan w:val="6"/>
            <w:shd w:val="clear" w:color="auto" w:fill="FFC000"/>
          </w:tcPr>
          <w:p w:rsidR="000664D6" w:rsidRDefault="000664D6" w:rsidP="000664D6">
            <w:pPr>
              <w:pStyle w:val="Sansinterligne"/>
              <w:jc w:val="center"/>
            </w:pPr>
            <w:r>
              <w:lastRenderedPageBreak/>
              <w:t>Diarrhée chronique (</w:t>
            </w:r>
            <w:r>
              <w:rPr>
                <w:rFonts w:ascii="Century Gothic" w:hAnsi="Century Gothic"/>
              </w:rPr>
              <w:t>≥</w:t>
            </w:r>
            <w:r>
              <w:t xml:space="preserve"> 2 semaines</w:t>
            </w:r>
            <w:r w:rsidRPr="00651AF0">
              <w:rPr>
                <w:shd w:val="clear" w:color="auto" w:fill="FFC000"/>
              </w:rPr>
              <w:t>)</w:t>
            </w:r>
          </w:p>
        </w:tc>
      </w:tr>
      <w:tr w:rsidR="000664D6" w:rsidTr="00651AF0">
        <w:tc>
          <w:tcPr>
            <w:tcW w:w="2518" w:type="dxa"/>
            <w:shd w:val="clear" w:color="auto" w:fill="D6E3BC" w:themeFill="accent3" w:themeFillTint="66"/>
          </w:tcPr>
          <w:p w:rsidR="000664D6" w:rsidRDefault="000664D6" w:rsidP="000664D6">
            <w:pPr>
              <w:pStyle w:val="Sansinterligne"/>
              <w:jc w:val="center"/>
            </w:pPr>
            <w:r>
              <w:t>Diagnostic</w:t>
            </w:r>
          </w:p>
        </w:tc>
        <w:tc>
          <w:tcPr>
            <w:tcW w:w="8422" w:type="dxa"/>
            <w:gridSpan w:val="5"/>
            <w:shd w:val="clear" w:color="auto" w:fill="D6E3BC" w:themeFill="accent3" w:themeFillTint="66"/>
          </w:tcPr>
          <w:p w:rsidR="000664D6" w:rsidRDefault="000664D6" w:rsidP="000664D6">
            <w:pPr>
              <w:pStyle w:val="Sansinterligne"/>
              <w:jc w:val="center"/>
            </w:pPr>
            <w:r>
              <w:t>Manifestations cliniques</w:t>
            </w:r>
          </w:p>
        </w:tc>
      </w:tr>
      <w:tr w:rsidR="002F7E13" w:rsidTr="00422BD4">
        <w:tc>
          <w:tcPr>
            <w:tcW w:w="2518" w:type="dxa"/>
            <w:shd w:val="clear" w:color="auto" w:fill="D6E3BC" w:themeFill="accent3" w:themeFillTint="66"/>
            <w:vAlign w:val="center"/>
          </w:tcPr>
          <w:p w:rsidR="002F7E13" w:rsidRPr="001F1FE1" w:rsidRDefault="002F7E13" w:rsidP="00D81603">
            <w:pPr>
              <w:pStyle w:val="Sansinterligne"/>
              <w:jc w:val="center"/>
              <w:rPr>
                <w:b/>
              </w:rPr>
            </w:pPr>
            <w:r w:rsidRPr="001F1FE1">
              <w:rPr>
                <w:b/>
              </w:rPr>
              <w:t>Intolérance aux protéines bovines</w:t>
            </w:r>
          </w:p>
        </w:tc>
        <w:tc>
          <w:tcPr>
            <w:tcW w:w="4211" w:type="dxa"/>
            <w:gridSpan w:val="2"/>
            <w:tcBorders>
              <w:right w:val="single" w:sz="4" w:space="0" w:color="FFFF00"/>
            </w:tcBorders>
            <w:shd w:val="clear" w:color="auto" w:fill="FFFF00"/>
          </w:tcPr>
          <w:p w:rsidR="002F7E13" w:rsidRDefault="002F7E13" w:rsidP="005D429F">
            <w:pPr>
              <w:pStyle w:val="Sansinterligne"/>
              <w:numPr>
                <w:ilvl w:val="0"/>
                <w:numId w:val="1099"/>
              </w:numPr>
            </w:pPr>
            <w:r>
              <w:t>ATCD d’atopie familiale</w:t>
            </w:r>
            <w:r w:rsidR="00752CBB">
              <w:t>/personnelle</w:t>
            </w:r>
          </w:p>
          <w:p w:rsidR="002F7E13" w:rsidRDefault="002F7E13" w:rsidP="005D429F">
            <w:pPr>
              <w:pStyle w:val="Sansinterligne"/>
              <w:numPr>
                <w:ilvl w:val="0"/>
                <w:numId w:val="1099"/>
              </w:numPr>
            </w:pPr>
            <w:r>
              <w:t>Irritabilité</w:t>
            </w:r>
          </w:p>
          <w:p w:rsidR="00752CBB" w:rsidRDefault="00752CBB" w:rsidP="005D429F">
            <w:pPr>
              <w:pStyle w:val="Sansinterligne"/>
              <w:numPr>
                <w:ilvl w:val="0"/>
                <w:numId w:val="1099"/>
              </w:numPr>
            </w:pPr>
            <w:r>
              <w:t>Diarrhée légère / légère rectorragie</w:t>
            </w:r>
          </w:p>
        </w:tc>
        <w:tc>
          <w:tcPr>
            <w:tcW w:w="4211" w:type="dxa"/>
            <w:gridSpan w:val="3"/>
            <w:tcBorders>
              <w:left w:val="single" w:sz="4" w:space="0" w:color="FFFF00"/>
            </w:tcBorders>
            <w:shd w:val="clear" w:color="auto" w:fill="FFFF00"/>
          </w:tcPr>
          <w:p w:rsidR="002F7E13" w:rsidRDefault="002F7E13" w:rsidP="005D429F">
            <w:pPr>
              <w:pStyle w:val="Sansinterligne"/>
              <w:numPr>
                <w:ilvl w:val="0"/>
                <w:numId w:val="1099"/>
              </w:numPr>
            </w:pPr>
            <w:r>
              <w:t>Retard de croissance</w:t>
            </w:r>
          </w:p>
          <w:p w:rsidR="00752CBB" w:rsidRDefault="00752CBB" w:rsidP="005D429F">
            <w:pPr>
              <w:pStyle w:val="Sansinterligne"/>
              <w:numPr>
                <w:ilvl w:val="0"/>
                <w:numId w:val="1099"/>
              </w:numPr>
            </w:pPr>
            <w:r>
              <w:t>No/Vo</w:t>
            </w:r>
          </w:p>
          <w:p w:rsidR="00752CBB" w:rsidRDefault="00752CBB" w:rsidP="005D429F">
            <w:pPr>
              <w:pStyle w:val="Sansinterligne"/>
              <w:numPr>
                <w:ilvl w:val="0"/>
                <w:numId w:val="1099"/>
              </w:numPr>
            </w:pPr>
            <w:r>
              <w:t>Hématochézie</w:t>
            </w:r>
          </w:p>
        </w:tc>
      </w:tr>
      <w:tr w:rsidR="002F7E13" w:rsidTr="00422BD4">
        <w:tc>
          <w:tcPr>
            <w:tcW w:w="2518" w:type="dxa"/>
            <w:shd w:val="clear" w:color="auto" w:fill="D6E3BC" w:themeFill="accent3" w:themeFillTint="66"/>
            <w:vAlign w:val="center"/>
          </w:tcPr>
          <w:p w:rsidR="002F7E13" w:rsidRPr="001F1FE1" w:rsidRDefault="002F7E13" w:rsidP="00D81603">
            <w:pPr>
              <w:pStyle w:val="Sansinterligne"/>
              <w:jc w:val="center"/>
              <w:rPr>
                <w:b/>
              </w:rPr>
            </w:pPr>
            <w:r w:rsidRPr="001F1FE1">
              <w:rPr>
                <w:b/>
              </w:rPr>
              <w:t>Maladie cœliaque</w:t>
            </w:r>
          </w:p>
        </w:tc>
        <w:tc>
          <w:tcPr>
            <w:tcW w:w="4211" w:type="dxa"/>
            <w:gridSpan w:val="2"/>
            <w:tcBorders>
              <w:right w:val="single" w:sz="4" w:space="0" w:color="FFFF00"/>
            </w:tcBorders>
            <w:shd w:val="clear" w:color="auto" w:fill="FFFF00"/>
          </w:tcPr>
          <w:p w:rsidR="002F7E13" w:rsidRDefault="00D757B8" w:rsidP="005D429F">
            <w:pPr>
              <w:pStyle w:val="Sansinterligne"/>
              <w:numPr>
                <w:ilvl w:val="0"/>
                <w:numId w:val="1099"/>
              </w:numPr>
            </w:pPr>
            <w:r>
              <w:t>Début</w:t>
            </w:r>
            <w:r w:rsidR="002F7E13">
              <w:t xml:space="preserve"> entre 6</w:t>
            </w:r>
            <w:r>
              <w:t xml:space="preserve">-24 mois </w:t>
            </w:r>
            <w:r w:rsidR="002F7E13">
              <w:t>(diète avec gluten)</w:t>
            </w:r>
          </w:p>
          <w:p w:rsidR="002F7E13" w:rsidRDefault="002F7E13" w:rsidP="005D429F">
            <w:pPr>
              <w:pStyle w:val="Sansinterligne"/>
              <w:numPr>
                <w:ilvl w:val="0"/>
                <w:numId w:val="1099"/>
              </w:numPr>
            </w:pPr>
            <w:r>
              <w:t>Retard de croissance</w:t>
            </w:r>
          </w:p>
          <w:p w:rsidR="002F7E13" w:rsidRDefault="002F7E13" w:rsidP="005D429F">
            <w:pPr>
              <w:pStyle w:val="Sansinterligne"/>
              <w:numPr>
                <w:ilvl w:val="0"/>
                <w:numId w:val="1099"/>
              </w:numPr>
            </w:pPr>
            <w:r>
              <w:t>Retard pubertaire</w:t>
            </w:r>
          </w:p>
          <w:p w:rsidR="002F7E13" w:rsidRDefault="00D757B8" w:rsidP="005D429F">
            <w:pPr>
              <w:pStyle w:val="Sansinterligne"/>
              <w:numPr>
                <w:ilvl w:val="0"/>
                <w:numId w:val="1099"/>
              </w:numPr>
            </w:pPr>
            <w:r>
              <w:t>Douleur abdominale</w:t>
            </w:r>
          </w:p>
        </w:tc>
        <w:tc>
          <w:tcPr>
            <w:tcW w:w="4211" w:type="dxa"/>
            <w:gridSpan w:val="3"/>
            <w:tcBorders>
              <w:left w:val="single" w:sz="4" w:space="0" w:color="FFFF00"/>
            </w:tcBorders>
            <w:shd w:val="clear" w:color="auto" w:fill="FFFF00"/>
          </w:tcPr>
          <w:p w:rsidR="002F7E13" w:rsidRDefault="002F7E13" w:rsidP="005D429F">
            <w:pPr>
              <w:pStyle w:val="Sansinterligne"/>
              <w:numPr>
                <w:ilvl w:val="0"/>
                <w:numId w:val="1099"/>
              </w:numPr>
            </w:pPr>
            <w:r>
              <w:t>Faible appétit / Anorexie</w:t>
            </w:r>
          </w:p>
          <w:p w:rsidR="002F7E13" w:rsidRDefault="002F7E13" w:rsidP="005D429F">
            <w:pPr>
              <w:pStyle w:val="Sansinterligne"/>
              <w:numPr>
                <w:ilvl w:val="0"/>
                <w:numId w:val="1099"/>
              </w:numPr>
            </w:pPr>
            <w:r>
              <w:t>No/Vo</w:t>
            </w:r>
          </w:p>
          <w:p w:rsidR="002F7E13" w:rsidRDefault="002F7E13" w:rsidP="005D429F">
            <w:pPr>
              <w:pStyle w:val="Sansinterligne"/>
              <w:numPr>
                <w:ilvl w:val="0"/>
                <w:numId w:val="1099"/>
              </w:numPr>
            </w:pPr>
            <w:r>
              <w:t>Œdème</w:t>
            </w:r>
          </w:p>
          <w:p w:rsidR="002F7E13" w:rsidRDefault="00D757B8" w:rsidP="005D429F">
            <w:pPr>
              <w:pStyle w:val="Sansinterligne"/>
              <w:numPr>
                <w:ilvl w:val="0"/>
                <w:numId w:val="1099"/>
              </w:numPr>
            </w:pPr>
            <w:r>
              <w:t xml:space="preserve">Muscle atrophiés </w:t>
            </w:r>
          </w:p>
        </w:tc>
      </w:tr>
      <w:tr w:rsidR="0081234C" w:rsidTr="00422BD4">
        <w:tc>
          <w:tcPr>
            <w:tcW w:w="2518" w:type="dxa"/>
            <w:shd w:val="clear" w:color="auto" w:fill="D6E3BC" w:themeFill="accent3" w:themeFillTint="66"/>
            <w:vAlign w:val="center"/>
          </w:tcPr>
          <w:p w:rsidR="0081234C" w:rsidRPr="001F1FE1" w:rsidRDefault="0081234C" w:rsidP="00D81603">
            <w:pPr>
              <w:pStyle w:val="Sansinterligne"/>
              <w:jc w:val="center"/>
              <w:rPr>
                <w:b/>
              </w:rPr>
            </w:pPr>
            <w:r w:rsidRPr="001F1FE1">
              <w:rPr>
                <w:b/>
              </w:rPr>
              <w:t>Intolérance au lactose (carence en lactase)</w:t>
            </w:r>
          </w:p>
        </w:tc>
        <w:tc>
          <w:tcPr>
            <w:tcW w:w="4211" w:type="dxa"/>
            <w:gridSpan w:val="2"/>
            <w:tcBorders>
              <w:right w:val="single" w:sz="4" w:space="0" w:color="FFFF00"/>
            </w:tcBorders>
            <w:shd w:val="clear" w:color="auto" w:fill="FFFF00"/>
          </w:tcPr>
          <w:p w:rsidR="0081234C" w:rsidRDefault="0081234C" w:rsidP="005D429F">
            <w:pPr>
              <w:pStyle w:val="Sansinterligne"/>
              <w:numPr>
                <w:ilvl w:val="0"/>
                <w:numId w:val="1099"/>
              </w:numPr>
            </w:pPr>
            <w:r>
              <w:t>Surtout chez Asiatiques de l’Est et Africains</w:t>
            </w:r>
          </w:p>
          <w:p w:rsidR="0081234C" w:rsidRDefault="0081234C" w:rsidP="005D429F">
            <w:pPr>
              <w:pStyle w:val="Sansinterligne"/>
              <w:numPr>
                <w:ilvl w:val="0"/>
                <w:numId w:val="1099"/>
              </w:numPr>
            </w:pPr>
            <w:r>
              <w:t>Enfants plus vieux</w:t>
            </w:r>
          </w:p>
          <w:p w:rsidR="0081234C" w:rsidRDefault="0081234C" w:rsidP="005D429F">
            <w:pPr>
              <w:pStyle w:val="Sansinterligne"/>
              <w:numPr>
                <w:ilvl w:val="0"/>
                <w:numId w:val="1099"/>
              </w:numPr>
            </w:pPr>
            <w:r>
              <w:t>Diarrhée aqueuse</w:t>
            </w:r>
          </w:p>
          <w:p w:rsidR="0081234C" w:rsidRDefault="0081234C" w:rsidP="00752CBB">
            <w:pPr>
              <w:pStyle w:val="Sansinterligne"/>
              <w:ind w:left="360"/>
            </w:pPr>
          </w:p>
        </w:tc>
        <w:tc>
          <w:tcPr>
            <w:tcW w:w="4211" w:type="dxa"/>
            <w:gridSpan w:val="3"/>
            <w:tcBorders>
              <w:left w:val="single" w:sz="4" w:space="0" w:color="FFFF00"/>
            </w:tcBorders>
            <w:shd w:val="clear" w:color="auto" w:fill="FFFF00"/>
          </w:tcPr>
          <w:p w:rsidR="00752CBB" w:rsidRDefault="00752CBB" w:rsidP="005D429F">
            <w:pPr>
              <w:pStyle w:val="Sansinterligne"/>
              <w:numPr>
                <w:ilvl w:val="0"/>
                <w:numId w:val="1099"/>
              </w:numPr>
            </w:pPr>
            <w:r>
              <w:t>Ballonnement avec prise de produits laitiers</w:t>
            </w:r>
          </w:p>
          <w:p w:rsidR="00752CBB" w:rsidRDefault="00752CBB" w:rsidP="005D429F">
            <w:pPr>
              <w:pStyle w:val="Sansinterligne"/>
              <w:numPr>
                <w:ilvl w:val="0"/>
                <w:numId w:val="1099"/>
              </w:numPr>
            </w:pPr>
            <w:r>
              <w:t>Douleur crampiforme</w:t>
            </w:r>
          </w:p>
          <w:p w:rsidR="0081234C" w:rsidRDefault="0081234C" w:rsidP="005D429F">
            <w:pPr>
              <w:pStyle w:val="Sansinterligne"/>
              <w:numPr>
                <w:ilvl w:val="0"/>
                <w:numId w:val="1099"/>
              </w:numPr>
            </w:pPr>
            <w:r>
              <w:t>Résolution des symptômes avec une diète sans lactose</w:t>
            </w:r>
          </w:p>
        </w:tc>
      </w:tr>
      <w:tr w:rsidR="00726EF9" w:rsidTr="00422BD4">
        <w:tc>
          <w:tcPr>
            <w:tcW w:w="2518" w:type="dxa"/>
            <w:shd w:val="clear" w:color="auto" w:fill="D6E3BC" w:themeFill="accent3" w:themeFillTint="66"/>
            <w:vAlign w:val="center"/>
          </w:tcPr>
          <w:p w:rsidR="00726EF9" w:rsidRDefault="00726EF9" w:rsidP="00D81603">
            <w:pPr>
              <w:pStyle w:val="Sansinterligne"/>
              <w:jc w:val="center"/>
            </w:pPr>
            <w:r>
              <w:t>Diarrhée du nourrisson</w:t>
            </w:r>
          </w:p>
        </w:tc>
        <w:tc>
          <w:tcPr>
            <w:tcW w:w="4211" w:type="dxa"/>
            <w:gridSpan w:val="2"/>
            <w:tcBorders>
              <w:right w:val="single" w:sz="4" w:space="0" w:color="FFFFFF" w:themeColor="background1"/>
            </w:tcBorders>
          </w:tcPr>
          <w:p w:rsidR="00726EF9" w:rsidRDefault="00726EF9" w:rsidP="005D429F">
            <w:pPr>
              <w:pStyle w:val="Sansinterligne"/>
              <w:numPr>
                <w:ilvl w:val="0"/>
                <w:numId w:val="1099"/>
              </w:numPr>
            </w:pPr>
            <w:r>
              <w:t xml:space="preserve">Diagnostic d’exclusion </w:t>
            </w:r>
          </w:p>
          <w:p w:rsidR="00726EF9" w:rsidRDefault="00726EF9" w:rsidP="005D429F">
            <w:pPr>
              <w:pStyle w:val="Sansinterligne"/>
              <w:numPr>
                <w:ilvl w:val="0"/>
                <w:numId w:val="1099"/>
              </w:numPr>
            </w:pPr>
            <w:r>
              <w:t>Excès de prise de jus (dépasse la capacité d’absorption intestinale)</w:t>
            </w:r>
          </w:p>
          <w:p w:rsidR="00726EF9" w:rsidRDefault="00726EF9" w:rsidP="005D429F">
            <w:pPr>
              <w:pStyle w:val="Sansinterligne"/>
              <w:numPr>
                <w:ilvl w:val="0"/>
                <w:numId w:val="1099"/>
              </w:numPr>
            </w:pPr>
            <w:r>
              <w:t>Bouffe partiellement digérée dans les selles</w:t>
            </w:r>
          </w:p>
        </w:tc>
        <w:tc>
          <w:tcPr>
            <w:tcW w:w="4211" w:type="dxa"/>
            <w:gridSpan w:val="3"/>
            <w:tcBorders>
              <w:left w:val="single" w:sz="4" w:space="0" w:color="FFFFFF" w:themeColor="background1"/>
            </w:tcBorders>
          </w:tcPr>
          <w:p w:rsidR="00726EF9" w:rsidRDefault="00726EF9" w:rsidP="005D429F">
            <w:pPr>
              <w:pStyle w:val="Sansinterligne"/>
              <w:numPr>
                <w:ilvl w:val="0"/>
                <w:numId w:val="1099"/>
              </w:numPr>
            </w:pPr>
            <w:r>
              <w:t>Dermite a/n de la couche</w:t>
            </w:r>
          </w:p>
          <w:p w:rsidR="00726EF9" w:rsidRDefault="00726EF9" w:rsidP="005D429F">
            <w:pPr>
              <w:pStyle w:val="Sansinterligne"/>
              <w:numPr>
                <w:ilvl w:val="0"/>
                <w:numId w:val="1099"/>
              </w:numPr>
            </w:pPr>
            <w:r>
              <w:t>L’enfant a une bonne croissance</w:t>
            </w:r>
          </w:p>
        </w:tc>
      </w:tr>
      <w:tr w:rsidR="000E786A" w:rsidTr="00422BD4">
        <w:tc>
          <w:tcPr>
            <w:tcW w:w="2518" w:type="dxa"/>
            <w:shd w:val="clear" w:color="auto" w:fill="D6E3BC" w:themeFill="accent3" w:themeFillTint="66"/>
            <w:vAlign w:val="center"/>
          </w:tcPr>
          <w:p w:rsidR="000E786A" w:rsidRDefault="000E786A" w:rsidP="00D81603">
            <w:pPr>
              <w:pStyle w:val="Sansinterligne"/>
              <w:jc w:val="center"/>
            </w:pPr>
            <w:r>
              <w:t>Syndrome du côlon irritable</w:t>
            </w:r>
          </w:p>
        </w:tc>
        <w:tc>
          <w:tcPr>
            <w:tcW w:w="4211" w:type="dxa"/>
            <w:gridSpan w:val="2"/>
            <w:tcBorders>
              <w:right w:val="single" w:sz="4" w:space="0" w:color="FFFFFF" w:themeColor="background1"/>
            </w:tcBorders>
          </w:tcPr>
          <w:p w:rsidR="000E786A" w:rsidRPr="000E786A" w:rsidRDefault="000E786A" w:rsidP="000664D6">
            <w:pPr>
              <w:pStyle w:val="Sansinterligne"/>
              <w:rPr>
                <w:rFonts w:cs="Times New Roman"/>
              </w:rPr>
            </w:pPr>
            <w:r>
              <w:rPr>
                <w:rFonts w:ascii="Century Gothic" w:hAnsi="Century Gothic" w:cs="Times New Roman"/>
              </w:rPr>
              <w:t>≥</w:t>
            </w:r>
            <w:r>
              <w:rPr>
                <w:rFonts w:cs="Times New Roman"/>
              </w:rPr>
              <w:t xml:space="preserve"> 12 semaines d’i</w:t>
            </w:r>
            <w:r w:rsidRPr="000E786A">
              <w:rPr>
                <w:rFonts w:cs="Times New Roman"/>
              </w:rPr>
              <w:t xml:space="preserve">nconfort abdominal </w:t>
            </w:r>
            <w:r>
              <w:rPr>
                <w:rFonts w:cs="Times New Roman"/>
              </w:rPr>
              <w:t>sur 1 an avec 2 de 3 :</w:t>
            </w:r>
          </w:p>
          <w:p w:rsidR="000E786A" w:rsidRPr="000E786A" w:rsidRDefault="000E786A" w:rsidP="005D429F">
            <w:pPr>
              <w:pStyle w:val="Sansinterligne"/>
              <w:numPr>
                <w:ilvl w:val="0"/>
                <w:numId w:val="1097"/>
              </w:numPr>
              <w:rPr>
                <w:rFonts w:cs="Times New Roman"/>
              </w:rPr>
            </w:pPr>
            <w:r w:rsidRPr="000E786A">
              <w:rPr>
                <w:rFonts w:cs="Times New Roman"/>
              </w:rPr>
              <w:t>Soulagement à la défécation</w:t>
            </w:r>
          </w:p>
          <w:p w:rsidR="000E786A" w:rsidRDefault="000E786A" w:rsidP="005D429F">
            <w:pPr>
              <w:pStyle w:val="Sansinterligne"/>
              <w:numPr>
                <w:ilvl w:val="0"/>
                <w:numId w:val="1097"/>
              </w:numPr>
              <w:rPr>
                <w:rFonts w:cs="Times New Roman"/>
              </w:rPr>
            </w:pPr>
            <w:r w:rsidRPr="000E786A">
              <w:rPr>
                <w:rFonts w:cs="Times New Roman"/>
              </w:rPr>
              <w:t>∆ Consistance des selles</w:t>
            </w:r>
          </w:p>
          <w:p w:rsidR="000E786A" w:rsidRPr="000E786A" w:rsidRDefault="000E786A" w:rsidP="005D429F">
            <w:pPr>
              <w:pStyle w:val="Sansinterligne"/>
              <w:numPr>
                <w:ilvl w:val="0"/>
                <w:numId w:val="1097"/>
              </w:numPr>
              <w:rPr>
                <w:rFonts w:cs="Times New Roman"/>
              </w:rPr>
            </w:pPr>
            <w:r w:rsidRPr="000E786A">
              <w:rPr>
                <w:rFonts w:cs="Times New Roman"/>
              </w:rPr>
              <w:t>∆ Fréquence des selles</w:t>
            </w:r>
          </w:p>
        </w:tc>
        <w:tc>
          <w:tcPr>
            <w:tcW w:w="4211" w:type="dxa"/>
            <w:gridSpan w:val="3"/>
            <w:tcBorders>
              <w:left w:val="single" w:sz="4" w:space="0" w:color="FFFFFF" w:themeColor="background1"/>
            </w:tcBorders>
          </w:tcPr>
          <w:p w:rsidR="000E786A" w:rsidRDefault="000E786A" w:rsidP="000E786A">
            <w:pPr>
              <w:pStyle w:val="Sansinterligne"/>
              <w:rPr>
                <w:rFonts w:cs="Times New Roman"/>
              </w:rPr>
            </w:pPr>
            <w:r>
              <w:rPr>
                <w:rFonts w:cs="Times New Roman"/>
              </w:rPr>
              <w:t>Autres symptômes</w:t>
            </w:r>
          </w:p>
          <w:p w:rsidR="000E786A" w:rsidRPr="000E786A" w:rsidRDefault="000E786A" w:rsidP="005D429F">
            <w:pPr>
              <w:pStyle w:val="Sansinterligne"/>
              <w:numPr>
                <w:ilvl w:val="0"/>
                <w:numId w:val="1098"/>
              </w:numPr>
              <w:rPr>
                <w:rFonts w:cs="Times New Roman"/>
              </w:rPr>
            </w:pPr>
            <w:r w:rsidRPr="000E786A">
              <w:rPr>
                <w:rFonts w:cs="Times New Roman"/>
              </w:rPr>
              <w:t>Ballonnement</w:t>
            </w:r>
          </w:p>
          <w:p w:rsidR="000E786A" w:rsidRDefault="000E786A" w:rsidP="005D429F">
            <w:pPr>
              <w:pStyle w:val="Sansinterligne"/>
              <w:numPr>
                <w:ilvl w:val="0"/>
                <w:numId w:val="1098"/>
              </w:numPr>
              <w:rPr>
                <w:rFonts w:cs="Times New Roman"/>
              </w:rPr>
            </w:pPr>
            <w:r w:rsidRPr="000E786A">
              <w:rPr>
                <w:rFonts w:cs="Times New Roman"/>
              </w:rPr>
              <w:t>Mucus</w:t>
            </w:r>
          </w:p>
          <w:p w:rsidR="000E786A" w:rsidRPr="000E786A" w:rsidRDefault="000E786A" w:rsidP="000E786A">
            <w:pPr>
              <w:pStyle w:val="Sansinterligne"/>
              <w:rPr>
                <w:rFonts w:cs="Times New Roman"/>
              </w:rPr>
            </w:pPr>
            <w:r w:rsidRPr="000E786A">
              <w:rPr>
                <w:rFonts w:cs="Times New Roman"/>
              </w:rPr>
              <w:t>♀&gt;♂</w:t>
            </w:r>
          </w:p>
          <w:p w:rsidR="000E786A" w:rsidRPr="000E786A" w:rsidRDefault="000E786A" w:rsidP="000664D6">
            <w:pPr>
              <w:pStyle w:val="Sansinterligne"/>
              <w:rPr>
                <w:rFonts w:ascii="Century Gothic" w:hAnsi="Century Gothic"/>
              </w:rPr>
            </w:pPr>
          </w:p>
        </w:tc>
      </w:tr>
      <w:tr w:rsidR="00574EA4" w:rsidTr="00D81603">
        <w:tc>
          <w:tcPr>
            <w:tcW w:w="2518" w:type="dxa"/>
            <w:vMerge w:val="restart"/>
            <w:shd w:val="clear" w:color="auto" w:fill="D6E3BC" w:themeFill="accent3" w:themeFillTint="66"/>
            <w:vAlign w:val="center"/>
          </w:tcPr>
          <w:p w:rsidR="00574EA4" w:rsidRDefault="00574EA4" w:rsidP="00574EA4">
            <w:pPr>
              <w:pStyle w:val="Sansinterligne"/>
              <w:jc w:val="center"/>
            </w:pPr>
            <w:r>
              <w:t xml:space="preserve">Maladies inflammatoires intestinales </w:t>
            </w:r>
          </w:p>
        </w:tc>
        <w:tc>
          <w:tcPr>
            <w:tcW w:w="8422" w:type="dxa"/>
            <w:gridSpan w:val="5"/>
          </w:tcPr>
          <w:p w:rsidR="00574EA4" w:rsidRDefault="00574EA4" w:rsidP="000664D6">
            <w:pPr>
              <w:pStyle w:val="Sansinterligne"/>
            </w:pPr>
            <w:r>
              <w:t>ATCD familiaux +, HLA B27 +</w:t>
            </w:r>
          </w:p>
        </w:tc>
      </w:tr>
      <w:tr w:rsidR="00574EA4" w:rsidTr="00422BD4">
        <w:tc>
          <w:tcPr>
            <w:tcW w:w="2518" w:type="dxa"/>
            <w:vMerge/>
            <w:shd w:val="clear" w:color="auto" w:fill="D6E3BC" w:themeFill="accent3" w:themeFillTint="66"/>
            <w:vAlign w:val="center"/>
          </w:tcPr>
          <w:p w:rsidR="00574EA4" w:rsidRDefault="00574EA4" w:rsidP="00D81603">
            <w:pPr>
              <w:pStyle w:val="Sansinterligne"/>
              <w:jc w:val="center"/>
            </w:pPr>
          </w:p>
        </w:tc>
        <w:tc>
          <w:tcPr>
            <w:tcW w:w="4211" w:type="dxa"/>
            <w:gridSpan w:val="2"/>
            <w:tcBorders>
              <w:right w:val="single" w:sz="4" w:space="0" w:color="FFFFFF" w:themeColor="background1"/>
            </w:tcBorders>
          </w:tcPr>
          <w:p w:rsidR="00574EA4" w:rsidRPr="0062282D" w:rsidRDefault="00574EA4" w:rsidP="0062282D">
            <w:pPr>
              <w:pStyle w:val="Sansinterligne"/>
              <w:jc w:val="center"/>
              <w:rPr>
                <w:b/>
              </w:rPr>
            </w:pPr>
            <w:r w:rsidRPr="0062282D">
              <w:rPr>
                <w:b/>
              </w:rPr>
              <w:t>Maladie de Crohn</w:t>
            </w:r>
          </w:p>
          <w:p w:rsidR="00574EA4" w:rsidRDefault="0062282D" w:rsidP="005D429F">
            <w:pPr>
              <w:pStyle w:val="Sansinterligne"/>
              <w:numPr>
                <w:ilvl w:val="0"/>
                <w:numId w:val="1115"/>
              </w:numPr>
            </w:pPr>
            <w:r>
              <w:t>Douleur abdominales crampiformes</w:t>
            </w:r>
          </w:p>
          <w:p w:rsidR="0062282D" w:rsidRDefault="0062282D" w:rsidP="005D429F">
            <w:pPr>
              <w:pStyle w:val="Sansinterligne"/>
              <w:numPr>
                <w:ilvl w:val="0"/>
                <w:numId w:val="1115"/>
              </w:numPr>
            </w:pPr>
            <w:r>
              <w:t>Masses QID</w:t>
            </w:r>
          </w:p>
          <w:p w:rsidR="0062282D" w:rsidRDefault="0062282D" w:rsidP="005D429F">
            <w:pPr>
              <w:pStyle w:val="Sansinterligne"/>
              <w:numPr>
                <w:ilvl w:val="0"/>
                <w:numId w:val="1115"/>
              </w:numPr>
            </w:pPr>
            <w:r>
              <w:t>Fissures, fistules périanales (latérales)</w:t>
            </w:r>
          </w:p>
          <w:p w:rsidR="0062282D" w:rsidRDefault="0062282D" w:rsidP="005D429F">
            <w:pPr>
              <w:pStyle w:val="Sansinterligne"/>
              <w:numPr>
                <w:ilvl w:val="0"/>
                <w:numId w:val="1115"/>
              </w:numPr>
            </w:pPr>
            <w:r>
              <w:t>Aphtes buccaux</w:t>
            </w:r>
          </w:p>
          <w:p w:rsidR="0062282D" w:rsidRDefault="0062282D" w:rsidP="005D429F">
            <w:pPr>
              <w:pStyle w:val="Sansinterligne"/>
              <w:numPr>
                <w:ilvl w:val="0"/>
                <w:numId w:val="1115"/>
              </w:numPr>
            </w:pPr>
            <w:r>
              <w:t>Uvéites / épisclérites</w:t>
            </w:r>
          </w:p>
        </w:tc>
        <w:tc>
          <w:tcPr>
            <w:tcW w:w="4211" w:type="dxa"/>
            <w:gridSpan w:val="3"/>
            <w:tcBorders>
              <w:left w:val="single" w:sz="4" w:space="0" w:color="FFFFFF" w:themeColor="background1"/>
            </w:tcBorders>
          </w:tcPr>
          <w:p w:rsidR="00574EA4" w:rsidRPr="0062282D" w:rsidRDefault="00574EA4" w:rsidP="0062282D">
            <w:pPr>
              <w:pStyle w:val="Sansinterligne"/>
              <w:jc w:val="center"/>
              <w:rPr>
                <w:b/>
              </w:rPr>
            </w:pPr>
            <w:r w:rsidRPr="0062282D">
              <w:rPr>
                <w:b/>
              </w:rPr>
              <w:t>Colite ulcéreuse</w:t>
            </w:r>
          </w:p>
          <w:p w:rsidR="000C4440" w:rsidRDefault="0062282D" w:rsidP="005D429F">
            <w:pPr>
              <w:pStyle w:val="Sansinterligne"/>
              <w:numPr>
                <w:ilvl w:val="0"/>
                <w:numId w:val="1116"/>
              </w:numPr>
            </w:pPr>
            <w:r>
              <w:t>Diarrhées</w:t>
            </w:r>
          </w:p>
          <w:p w:rsidR="0062282D" w:rsidRDefault="000C4440" w:rsidP="005D429F">
            <w:pPr>
              <w:pStyle w:val="Sansinterligne"/>
              <w:numPr>
                <w:ilvl w:val="0"/>
                <w:numId w:val="1116"/>
              </w:numPr>
            </w:pPr>
            <w:r>
              <w:t>Rectorragies</w:t>
            </w:r>
          </w:p>
          <w:p w:rsidR="00F30D12" w:rsidRDefault="00F30D12" w:rsidP="005D429F">
            <w:pPr>
              <w:pStyle w:val="Sansinterligne"/>
              <w:numPr>
                <w:ilvl w:val="0"/>
                <w:numId w:val="1116"/>
              </w:numPr>
            </w:pPr>
            <w:r>
              <w:t>Érythème noueux</w:t>
            </w:r>
          </w:p>
          <w:p w:rsidR="0062282D" w:rsidRDefault="0062282D" w:rsidP="0062282D">
            <w:pPr>
              <w:pStyle w:val="Sansinterligne"/>
            </w:pPr>
          </w:p>
        </w:tc>
      </w:tr>
      <w:tr w:rsidR="000664D6" w:rsidTr="00D81603">
        <w:tc>
          <w:tcPr>
            <w:tcW w:w="2518" w:type="dxa"/>
            <w:shd w:val="clear" w:color="auto" w:fill="D6E3BC" w:themeFill="accent3" w:themeFillTint="66"/>
            <w:vAlign w:val="center"/>
          </w:tcPr>
          <w:p w:rsidR="000664D6" w:rsidRDefault="000664D6" w:rsidP="00D81603">
            <w:pPr>
              <w:pStyle w:val="Sansinterligne"/>
              <w:jc w:val="center"/>
            </w:pPr>
            <w:r>
              <w:t>Diarrhée d’origine endocrine</w:t>
            </w:r>
          </w:p>
        </w:tc>
        <w:tc>
          <w:tcPr>
            <w:tcW w:w="8422" w:type="dxa"/>
            <w:gridSpan w:val="5"/>
          </w:tcPr>
          <w:p w:rsidR="000664D6" w:rsidRDefault="00C54E01" w:rsidP="000664D6">
            <w:pPr>
              <w:pStyle w:val="Sansinterligne"/>
            </w:pPr>
            <w:r>
              <w:t>Voir Hyperth</w:t>
            </w:r>
            <w:r w:rsidR="00DE64D5">
              <w:t>y</w:t>
            </w:r>
            <w:r>
              <w:t>r</w:t>
            </w:r>
            <w:r w:rsidR="00DE64D5">
              <w:t>oïdie</w:t>
            </w:r>
            <w:r w:rsidR="004B4461">
              <w:t xml:space="preserve"> – </w:t>
            </w:r>
            <w:r w:rsidR="004B4461" w:rsidRPr="004B4461">
              <w:rPr>
                <w:i/>
              </w:rPr>
              <w:t>Anomalies staturales</w:t>
            </w:r>
            <w:r w:rsidR="004B4461">
              <w:rPr>
                <w:i/>
              </w:rPr>
              <w:t xml:space="preserve"> (grande taille/petite taille)</w:t>
            </w:r>
            <w:r w:rsidR="004B4461" w:rsidRPr="004B4461">
              <w:rPr>
                <w:i/>
              </w:rPr>
              <w:t xml:space="preserve"> CMC 101</w:t>
            </w:r>
          </w:p>
        </w:tc>
      </w:tr>
      <w:tr w:rsidR="00D7284A" w:rsidTr="00422BD4">
        <w:tc>
          <w:tcPr>
            <w:tcW w:w="2518" w:type="dxa"/>
            <w:shd w:val="clear" w:color="auto" w:fill="D6E3BC" w:themeFill="accent3" w:themeFillTint="66"/>
            <w:vAlign w:val="center"/>
          </w:tcPr>
          <w:p w:rsidR="00D7284A" w:rsidRPr="00BE57C1" w:rsidRDefault="00D7284A" w:rsidP="00D81603">
            <w:pPr>
              <w:pStyle w:val="Sansinterligne"/>
              <w:jc w:val="center"/>
              <w:rPr>
                <w:b/>
              </w:rPr>
            </w:pPr>
            <w:r w:rsidRPr="00BE57C1">
              <w:rPr>
                <w:b/>
              </w:rPr>
              <w:t>Fibrose kystique du pancréas</w:t>
            </w:r>
          </w:p>
        </w:tc>
        <w:tc>
          <w:tcPr>
            <w:tcW w:w="2807" w:type="dxa"/>
            <w:tcBorders>
              <w:right w:val="single" w:sz="4" w:space="0" w:color="FFFF00"/>
            </w:tcBorders>
            <w:shd w:val="clear" w:color="auto" w:fill="FFFF00"/>
          </w:tcPr>
          <w:p w:rsidR="00D7284A" w:rsidRPr="00235E33" w:rsidRDefault="00D7284A" w:rsidP="005D429F">
            <w:pPr>
              <w:pStyle w:val="Sansinterligne"/>
              <w:numPr>
                <w:ilvl w:val="0"/>
                <w:numId w:val="1103"/>
              </w:numPr>
              <w:rPr>
                <w:u w:val="single"/>
              </w:rPr>
            </w:pPr>
            <w:r w:rsidRPr="00235E33">
              <w:rPr>
                <w:u w:val="single"/>
              </w:rPr>
              <w:t>Iléus méconial néonatal</w:t>
            </w:r>
          </w:p>
          <w:p w:rsidR="00D7284A" w:rsidRDefault="00D7284A" w:rsidP="005D429F">
            <w:pPr>
              <w:pStyle w:val="Sansinterligne"/>
              <w:numPr>
                <w:ilvl w:val="0"/>
                <w:numId w:val="1103"/>
              </w:numPr>
            </w:pPr>
            <w:r>
              <w:t>Ictère prolongé</w:t>
            </w:r>
          </w:p>
          <w:p w:rsidR="00D7284A" w:rsidRPr="00235E33" w:rsidRDefault="00D7284A" w:rsidP="005D429F">
            <w:pPr>
              <w:pStyle w:val="Sansinterligne"/>
              <w:numPr>
                <w:ilvl w:val="0"/>
                <w:numId w:val="1103"/>
              </w:numPr>
              <w:rPr>
                <w:u w:val="single"/>
              </w:rPr>
            </w:pPr>
            <w:r w:rsidRPr="00235E33">
              <w:rPr>
                <w:u w:val="single"/>
              </w:rPr>
              <w:t>Stéatorrhée</w:t>
            </w:r>
          </w:p>
          <w:p w:rsidR="00D7284A" w:rsidRPr="00235E33" w:rsidRDefault="00D7284A" w:rsidP="005D429F">
            <w:pPr>
              <w:pStyle w:val="Sansinterligne"/>
              <w:numPr>
                <w:ilvl w:val="0"/>
                <w:numId w:val="1103"/>
              </w:numPr>
              <w:rPr>
                <w:u w:val="single"/>
              </w:rPr>
            </w:pPr>
            <w:r w:rsidRPr="00235E33">
              <w:rPr>
                <w:u w:val="single"/>
              </w:rPr>
              <w:t>Retard staturo-pondéral</w:t>
            </w:r>
          </w:p>
        </w:tc>
        <w:tc>
          <w:tcPr>
            <w:tcW w:w="2807" w:type="dxa"/>
            <w:gridSpan w:val="3"/>
            <w:tcBorders>
              <w:left w:val="single" w:sz="4" w:space="0" w:color="FFFF00"/>
              <w:right w:val="single" w:sz="4" w:space="0" w:color="FFFF00"/>
            </w:tcBorders>
            <w:shd w:val="clear" w:color="auto" w:fill="FFFF00"/>
          </w:tcPr>
          <w:p w:rsidR="00D7284A" w:rsidRPr="00235E33" w:rsidRDefault="00D7284A" w:rsidP="005D429F">
            <w:pPr>
              <w:pStyle w:val="Sansinterligne"/>
              <w:numPr>
                <w:ilvl w:val="0"/>
                <w:numId w:val="1103"/>
              </w:numPr>
              <w:rPr>
                <w:u w:val="single"/>
              </w:rPr>
            </w:pPr>
            <w:r w:rsidRPr="00235E33">
              <w:rPr>
                <w:u w:val="single"/>
              </w:rPr>
              <w:t>Appétit préservé</w:t>
            </w:r>
          </w:p>
          <w:p w:rsidR="00D7284A" w:rsidRPr="00235E33" w:rsidRDefault="00D7284A" w:rsidP="005D429F">
            <w:pPr>
              <w:pStyle w:val="Sansinterligne"/>
              <w:numPr>
                <w:ilvl w:val="0"/>
                <w:numId w:val="1103"/>
              </w:numPr>
              <w:rPr>
                <w:u w:val="single"/>
              </w:rPr>
            </w:pPr>
            <w:r w:rsidRPr="00235E33">
              <w:rPr>
                <w:u w:val="single"/>
              </w:rPr>
              <w:t>Prolapsus rectal</w:t>
            </w:r>
          </w:p>
          <w:p w:rsidR="00D7284A" w:rsidRDefault="00D7284A" w:rsidP="005D429F">
            <w:pPr>
              <w:pStyle w:val="Sansinterligne"/>
              <w:numPr>
                <w:ilvl w:val="0"/>
                <w:numId w:val="1103"/>
              </w:numPr>
            </w:pPr>
            <w:r>
              <w:t xml:space="preserve">Intolérance à la chaleur </w:t>
            </w:r>
          </w:p>
          <w:p w:rsidR="00D7284A" w:rsidRPr="00235E33" w:rsidRDefault="00D7284A" w:rsidP="005D429F">
            <w:pPr>
              <w:pStyle w:val="Sansinterligne"/>
              <w:numPr>
                <w:ilvl w:val="0"/>
                <w:numId w:val="1103"/>
              </w:numPr>
              <w:rPr>
                <w:u w:val="single"/>
              </w:rPr>
            </w:pPr>
            <w:r w:rsidRPr="00235E33">
              <w:rPr>
                <w:u w:val="single"/>
              </w:rPr>
              <w:t>Toux chronique</w:t>
            </w:r>
          </w:p>
        </w:tc>
        <w:tc>
          <w:tcPr>
            <w:tcW w:w="2808" w:type="dxa"/>
            <w:tcBorders>
              <w:left w:val="single" w:sz="4" w:space="0" w:color="FFFF00"/>
            </w:tcBorders>
            <w:shd w:val="clear" w:color="auto" w:fill="FFFF00"/>
          </w:tcPr>
          <w:p w:rsidR="00D7284A" w:rsidRDefault="00D7284A" w:rsidP="005D429F">
            <w:pPr>
              <w:pStyle w:val="Sansinterligne"/>
              <w:numPr>
                <w:ilvl w:val="0"/>
                <w:numId w:val="1103"/>
              </w:numPr>
            </w:pPr>
            <w:r>
              <w:t>Wheezing</w:t>
            </w:r>
          </w:p>
          <w:p w:rsidR="00D7284A" w:rsidRDefault="00D7284A" w:rsidP="005D429F">
            <w:pPr>
              <w:pStyle w:val="Sansinterligne"/>
              <w:numPr>
                <w:ilvl w:val="0"/>
                <w:numId w:val="1103"/>
              </w:numPr>
            </w:pPr>
            <w:r>
              <w:t>Infections respiratoires récurrentes</w:t>
            </w:r>
          </w:p>
          <w:p w:rsidR="00D7284A" w:rsidRDefault="00D7284A" w:rsidP="005D429F">
            <w:pPr>
              <w:pStyle w:val="Sansinterligne"/>
              <w:numPr>
                <w:ilvl w:val="0"/>
                <w:numId w:val="1103"/>
              </w:numPr>
            </w:pPr>
            <w:r>
              <w:t>Hippocratisme digital</w:t>
            </w:r>
          </w:p>
          <w:p w:rsidR="00D7284A" w:rsidRDefault="00D7284A" w:rsidP="005D429F">
            <w:pPr>
              <w:pStyle w:val="Sansinterligne"/>
              <w:numPr>
                <w:ilvl w:val="0"/>
                <w:numId w:val="1103"/>
              </w:numPr>
            </w:pPr>
            <w:r>
              <w:t>Infertilité</w:t>
            </w:r>
          </w:p>
        </w:tc>
      </w:tr>
      <w:tr w:rsidR="0081234C" w:rsidTr="00D81603">
        <w:tc>
          <w:tcPr>
            <w:tcW w:w="2518" w:type="dxa"/>
            <w:shd w:val="clear" w:color="auto" w:fill="D6E3BC" w:themeFill="accent3" w:themeFillTint="66"/>
            <w:vAlign w:val="center"/>
          </w:tcPr>
          <w:p w:rsidR="0081234C" w:rsidRDefault="0081234C" w:rsidP="00D81603">
            <w:pPr>
              <w:pStyle w:val="Sansinterligne"/>
              <w:jc w:val="center"/>
            </w:pPr>
            <w:r>
              <w:t>Encoprésie (pseudodiarrhée)</w:t>
            </w:r>
          </w:p>
        </w:tc>
        <w:tc>
          <w:tcPr>
            <w:tcW w:w="8422" w:type="dxa"/>
            <w:gridSpan w:val="5"/>
          </w:tcPr>
          <w:p w:rsidR="0081234C" w:rsidRDefault="0081234C" w:rsidP="005D429F">
            <w:pPr>
              <w:pStyle w:val="Sansinterligne"/>
              <w:numPr>
                <w:ilvl w:val="0"/>
                <w:numId w:val="1101"/>
              </w:numPr>
            </w:pPr>
            <w:r>
              <w:t>Diarrhée de débordement sur constipation chronique</w:t>
            </w:r>
          </w:p>
          <w:p w:rsidR="0081234C" w:rsidRPr="003F48B5" w:rsidRDefault="0081234C" w:rsidP="005D429F">
            <w:pPr>
              <w:pStyle w:val="Sansinterligne"/>
              <w:numPr>
                <w:ilvl w:val="0"/>
                <w:numId w:val="1101"/>
              </w:numPr>
              <w:rPr>
                <w:u w:val="single"/>
              </w:rPr>
            </w:pPr>
            <w:r w:rsidRPr="003F48B5">
              <w:rPr>
                <w:u w:val="single"/>
              </w:rPr>
              <w:t>Fécalome palpable au toucher rectal</w:t>
            </w:r>
          </w:p>
        </w:tc>
      </w:tr>
    </w:tbl>
    <w:p w:rsidR="000664D6" w:rsidRDefault="005707EC" w:rsidP="000664D6">
      <w:pPr>
        <w:pStyle w:val="Sansinterligne"/>
      </w:pPr>
      <w:r w:rsidRPr="00395583">
        <w:rPr>
          <w:b/>
          <w:noProof/>
          <w:sz w:val="28"/>
          <w:szCs w:val="28"/>
          <w:lang w:eastAsia="fr-CA"/>
        </w:rPr>
        <mc:AlternateContent>
          <mc:Choice Requires="wps">
            <w:drawing>
              <wp:anchor distT="0" distB="0" distL="114300" distR="114300" simplePos="0" relativeHeight="252008448" behindDoc="0" locked="0" layoutInCell="1" allowOverlap="1" wp14:anchorId="3854340B" wp14:editId="115D6C01">
                <wp:simplePos x="0" y="0"/>
                <wp:positionH relativeFrom="column">
                  <wp:posOffset>4060190</wp:posOffset>
                </wp:positionH>
                <wp:positionV relativeFrom="paragraph">
                  <wp:posOffset>131445</wp:posOffset>
                </wp:positionV>
                <wp:extent cx="2374265" cy="1403985"/>
                <wp:effectExtent l="0" t="0" r="19050" b="22860"/>
                <wp:wrapNone/>
                <wp:docPr id="51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0000"/>
                        </a:solidFill>
                        <a:ln w="9525">
                          <a:solidFill>
                            <a:srgbClr val="000000"/>
                          </a:solidFill>
                          <a:miter lim="800000"/>
                          <a:headEnd/>
                          <a:tailEnd/>
                        </a:ln>
                      </wps:spPr>
                      <wps:txbx>
                        <w:txbxContent>
                          <w:p w:rsidR="008276DC" w:rsidRPr="00395583" w:rsidRDefault="008276DC" w:rsidP="00395583">
                            <w:pPr>
                              <w:jc w:val="center"/>
                              <w:rPr>
                                <w:b/>
                              </w:rPr>
                            </w:pPr>
                            <w:r w:rsidRPr="00395583">
                              <w:rPr>
                                <w:b/>
                              </w:rPr>
                              <w:t>Red flags</w:t>
                            </w:r>
                          </w:p>
                          <w:p w:rsidR="008276DC" w:rsidRDefault="008276DC" w:rsidP="005D429F">
                            <w:pPr>
                              <w:pStyle w:val="Paragraphedeliste"/>
                              <w:numPr>
                                <w:ilvl w:val="0"/>
                                <w:numId w:val="1102"/>
                              </w:numPr>
                            </w:pPr>
                            <w:r>
                              <w:t>Selles sanglantes</w:t>
                            </w:r>
                          </w:p>
                          <w:p w:rsidR="008276DC" w:rsidRDefault="008276DC" w:rsidP="005D429F">
                            <w:pPr>
                              <w:pStyle w:val="Paragraphedeliste"/>
                              <w:numPr>
                                <w:ilvl w:val="0"/>
                                <w:numId w:val="1102"/>
                              </w:numPr>
                            </w:pPr>
                            <w:r>
                              <w:t>Fièvre</w:t>
                            </w:r>
                          </w:p>
                          <w:p w:rsidR="008276DC" w:rsidRDefault="008276DC" w:rsidP="005D429F">
                            <w:pPr>
                              <w:pStyle w:val="Paragraphedeliste"/>
                              <w:numPr>
                                <w:ilvl w:val="0"/>
                                <w:numId w:val="1102"/>
                              </w:numPr>
                            </w:pPr>
                            <w:r>
                              <w:t>Pétéchies/purpura</w:t>
                            </w:r>
                          </w:p>
                          <w:p w:rsidR="008276DC" w:rsidRDefault="008276DC" w:rsidP="005D429F">
                            <w:pPr>
                              <w:pStyle w:val="Paragraphedeliste"/>
                              <w:numPr>
                                <w:ilvl w:val="0"/>
                                <w:numId w:val="1102"/>
                              </w:numPr>
                            </w:pPr>
                            <w:r>
                              <w:t>Déshydratation sévère</w:t>
                            </w:r>
                          </w:p>
                          <w:p w:rsidR="008276DC" w:rsidRDefault="008276DC" w:rsidP="005D429F">
                            <w:pPr>
                              <w:pStyle w:val="Paragraphedeliste"/>
                              <w:numPr>
                                <w:ilvl w:val="0"/>
                                <w:numId w:val="1102"/>
                              </w:numPr>
                            </w:pPr>
                            <w:r>
                              <w:t>Perte de poids/ retard pondéral</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id="_x0000_s1053" type="#_x0000_t202" style="position:absolute;margin-left:319.7pt;margin-top:10.35pt;width:186.95pt;height:110.55pt;z-index:252008448;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" fillcolor="red">
                <v:textbox style="mso-fit-shape-to-text:t">
                  <w:txbxContent>
                    <w:p w:rsidR="008276DC" w:rsidRPr="00395583" w:rsidRDefault="008276DC" w:rsidP="00395583">
                      <w:pPr>
                        <w:jc w:val="center"/>
                        <w:rPr>
                          <w:b/>
                        </w:rPr>
                      </w:pPr>
                      <w:r w:rsidRPr="00395583">
                        <w:rPr>
                          <w:b/>
                        </w:rPr>
                        <w:t>Red flags</w:t>
                      </w:r>
                    </w:p>
                    <w:p w:rsidR="008276DC" w:rsidRDefault="008276DC" w:rsidP="005D429F">
                      <w:pPr>
                        <w:pStyle w:val="Paragraphedeliste"/>
                        <w:numPr>
                          <w:ilvl w:val="0"/>
                          <w:numId w:val="1102"/>
                        </w:numPr>
                      </w:pPr>
                      <w:r>
                        <w:t>Selles sanglantes</w:t>
                      </w:r>
                    </w:p>
                    <w:p w:rsidR="008276DC" w:rsidRDefault="008276DC" w:rsidP="005D429F">
                      <w:pPr>
                        <w:pStyle w:val="Paragraphedeliste"/>
                        <w:numPr>
                          <w:ilvl w:val="0"/>
                          <w:numId w:val="1102"/>
                        </w:numPr>
                      </w:pPr>
                      <w:r>
                        <w:t>Fièvre</w:t>
                      </w:r>
                    </w:p>
                    <w:p w:rsidR="008276DC" w:rsidRDefault="008276DC" w:rsidP="005D429F">
                      <w:pPr>
                        <w:pStyle w:val="Paragraphedeliste"/>
                        <w:numPr>
                          <w:ilvl w:val="0"/>
                          <w:numId w:val="1102"/>
                        </w:numPr>
                      </w:pPr>
                      <w:r>
                        <w:t>Pétéchies/purpura</w:t>
                      </w:r>
                    </w:p>
                    <w:p w:rsidR="008276DC" w:rsidRDefault="008276DC" w:rsidP="005D429F">
                      <w:pPr>
                        <w:pStyle w:val="Paragraphedeliste"/>
                        <w:numPr>
                          <w:ilvl w:val="0"/>
                          <w:numId w:val="1102"/>
                        </w:numPr>
                      </w:pPr>
                      <w:r>
                        <w:t>Déshydratation sévère</w:t>
                      </w:r>
                    </w:p>
                    <w:p w:rsidR="008276DC" w:rsidRDefault="008276DC" w:rsidP="005D429F">
                      <w:pPr>
                        <w:pStyle w:val="Paragraphedeliste"/>
                        <w:numPr>
                          <w:ilvl w:val="0"/>
                          <w:numId w:val="1102"/>
                        </w:numPr>
                      </w:pPr>
                      <w:r>
                        <w:t>Perte de poids/ retard pondéral</w:t>
                      </w:r>
                    </w:p>
                  </w:txbxContent>
                </v:textbox>
              </v:shape>
            </w:pict>
          </mc:Fallback>
        </mc:AlternateContent>
      </w:r>
    </w:p>
    <w:p w:rsidR="000664D6" w:rsidRPr="005514FB" w:rsidRDefault="000664D6" w:rsidP="000664D6">
      <w:pPr>
        <w:pStyle w:val="Sansinterligne"/>
        <w:rPr>
          <w:b/>
          <w:sz w:val="28"/>
          <w:szCs w:val="28"/>
        </w:rPr>
      </w:pPr>
      <w:r w:rsidRPr="005514FB">
        <w:rPr>
          <w:b/>
          <w:sz w:val="28"/>
          <w:szCs w:val="28"/>
        </w:rPr>
        <w:t>Investigations</w:t>
      </w:r>
    </w:p>
    <w:p w:rsidR="000664D6" w:rsidRPr="00E841FF" w:rsidRDefault="000664D6" w:rsidP="000664D6">
      <w:pPr>
        <w:pStyle w:val="Sansinterligne"/>
        <w:rPr>
          <w:sz w:val="16"/>
          <w:szCs w:val="16"/>
        </w:rPr>
      </w:pPr>
    </w:p>
    <w:p w:rsidR="00574EA4" w:rsidRDefault="00D74FA4" w:rsidP="005D429F">
      <w:pPr>
        <w:pStyle w:val="Sansinterligne"/>
        <w:numPr>
          <w:ilvl w:val="0"/>
          <w:numId w:val="1114"/>
        </w:numPr>
      </w:pPr>
      <w:r>
        <w:t xml:space="preserve">FSC </w:t>
      </w:r>
    </w:p>
    <w:p w:rsidR="00D74FA4" w:rsidRDefault="007225C4" w:rsidP="005D429F">
      <w:pPr>
        <w:pStyle w:val="Sansinterligne"/>
        <w:numPr>
          <w:ilvl w:val="1"/>
          <w:numId w:val="1114"/>
        </w:numPr>
      </w:pPr>
      <w:r>
        <w:t>neutrophiles</w:t>
      </w:r>
      <w:r w:rsidR="00D74FA4">
        <w:t xml:space="preserve">, </w:t>
      </w:r>
      <w:r>
        <w:t>lymphocytes</w:t>
      </w:r>
      <w:r w:rsidR="00D74FA4">
        <w:t xml:space="preserve"> ou </w:t>
      </w:r>
      <w:r>
        <w:t>éosinophiles</w:t>
      </w:r>
      <w:r w:rsidR="00D74FA4">
        <w:t xml:space="preserve"> selon étiologie</w:t>
      </w:r>
    </w:p>
    <w:p w:rsidR="00D74FA4" w:rsidRDefault="005514FB" w:rsidP="005D429F">
      <w:pPr>
        <w:pStyle w:val="Sansinterligne"/>
        <w:numPr>
          <w:ilvl w:val="0"/>
          <w:numId w:val="1114"/>
        </w:numPr>
      </w:pPr>
      <w:r>
        <w:t>SMU-DCA</w:t>
      </w:r>
      <w:r w:rsidR="005707EC">
        <w:t xml:space="preserve"> (éliminer diarrhée 2</w:t>
      </w:r>
      <w:r w:rsidR="005707EC" w:rsidRPr="005707EC">
        <w:rPr>
          <w:vertAlign w:val="superscript"/>
        </w:rPr>
        <w:t>aire</w:t>
      </w:r>
      <w:r w:rsidR="005707EC">
        <w:t xml:space="preserve">) </w:t>
      </w:r>
    </w:p>
    <w:p w:rsidR="005514FB" w:rsidRDefault="005514FB" w:rsidP="005D429F">
      <w:pPr>
        <w:pStyle w:val="Sansinterligne"/>
        <w:numPr>
          <w:ilvl w:val="0"/>
          <w:numId w:val="1114"/>
        </w:numPr>
      </w:pPr>
      <w:r>
        <w:t>Hémocultures</w:t>
      </w:r>
    </w:p>
    <w:p w:rsidR="005514FB" w:rsidRDefault="005514FB" w:rsidP="005D429F">
      <w:pPr>
        <w:pStyle w:val="Sansinterligne"/>
        <w:numPr>
          <w:ilvl w:val="0"/>
          <w:numId w:val="1114"/>
        </w:numPr>
      </w:pPr>
      <w:r>
        <w:t>Culture de selles</w:t>
      </w:r>
    </w:p>
    <w:p w:rsidR="005514FB" w:rsidRDefault="005514FB" w:rsidP="005D429F">
      <w:pPr>
        <w:pStyle w:val="Sansinterligne"/>
        <w:numPr>
          <w:ilvl w:val="0"/>
          <w:numId w:val="1114"/>
        </w:numPr>
      </w:pPr>
      <w:r>
        <w:t>TSH</w:t>
      </w:r>
    </w:p>
    <w:p w:rsidR="00D50F1A" w:rsidRDefault="00D50F1A" w:rsidP="005D429F">
      <w:pPr>
        <w:pStyle w:val="Sansinterligne"/>
        <w:numPr>
          <w:ilvl w:val="0"/>
          <w:numId w:val="1114"/>
        </w:numPr>
      </w:pPr>
      <w:r>
        <w:t>Dosage albumine (nutrition)</w:t>
      </w:r>
    </w:p>
    <w:p w:rsidR="00D50F1A" w:rsidRDefault="00D50F1A" w:rsidP="005D429F">
      <w:pPr>
        <w:pStyle w:val="Sansinterligne"/>
        <w:numPr>
          <w:ilvl w:val="0"/>
          <w:numId w:val="1114"/>
        </w:numPr>
      </w:pPr>
      <w:r>
        <w:t>Biopsie de la muqueuse intestinale (Dx Mx coeliaque)</w:t>
      </w:r>
    </w:p>
    <w:p w:rsidR="00D50F1A" w:rsidRPr="0062282D" w:rsidRDefault="00F21820" w:rsidP="005D429F">
      <w:pPr>
        <w:pStyle w:val="Sansinterligne"/>
        <w:numPr>
          <w:ilvl w:val="0"/>
          <w:numId w:val="1114"/>
        </w:numPr>
        <w:rPr>
          <w:lang w:val="es-NI"/>
        </w:rPr>
      </w:pPr>
      <w:r>
        <w:rPr>
          <w:b/>
          <w:noProof/>
          <w:sz w:val="28"/>
          <w:szCs w:val="28"/>
          <w:lang w:eastAsia="fr-CA"/>
        </w:rPr>
        <w:lastRenderedPageBreak/>
        <mc:AlternateContent>
          <mc:Choice Requires="wpg">
            <w:drawing>
              <wp:anchor distT="0" distB="0" distL="114300" distR="114300" simplePos="0" relativeHeight="252011520" behindDoc="0" locked="0" layoutInCell="1" allowOverlap="1" wp14:anchorId="48052C51" wp14:editId="098203FC">
                <wp:simplePos x="0" y="0"/>
                <wp:positionH relativeFrom="column">
                  <wp:posOffset>3831590</wp:posOffset>
                </wp:positionH>
                <wp:positionV relativeFrom="paragraph">
                  <wp:posOffset>-85536</wp:posOffset>
                </wp:positionV>
                <wp:extent cx="2800985" cy="2129790"/>
                <wp:effectExtent l="0" t="0" r="0" b="3810"/>
                <wp:wrapNone/>
                <wp:docPr id="522" name="Groupe 522"/>
                <wp:cNvGraphicFramePr/>
                <a:graphic xmlns:a="http://schemas.openxmlformats.org/drawingml/2006/main">
                  <a:graphicData uri="http://schemas.microsoft.com/office/word/2010/wordprocessingGroup">
                    <wpg:wgp>
                      <wpg:cNvGrpSpPr/>
                      <wpg:grpSpPr>
                        <a:xfrm>
                          <a:off x="0" y="0"/>
                          <a:ext cx="2800985" cy="2129790"/>
                          <a:chOff x="0" y="-19456"/>
                          <a:chExt cx="2801566" cy="2130359"/>
                        </a:xfrm>
                      </wpg:grpSpPr>
                      <pic:pic xmlns:pic="http://schemas.openxmlformats.org/drawingml/2006/picture">
                        <pic:nvPicPr>
                          <pic:cNvPr id="520" name="Image 520" descr="Résultats de recherche d'images pour « entéropathie au gluten cytologie »"/>
                          <pic:cNvPicPr>
                            <a:picLocks noChangeAspect="1"/>
                          </pic:cNvPicPr>
                        </pic:nvPicPr>
                        <pic:blipFill rotWithShape="1">
                          <a:blip r:embed="rId87" cstate="print">
                            <a:extLst>
                              <a:ext uri="{28A0092B-C50C-407E-A947-70E740481C1C}">
                                <a14:useLocalDpi xmlns:a14="http://schemas.microsoft.com/office/drawing/2010/main" val="0"/>
                              </a:ext>
                            </a:extLst>
                          </a:blip>
                          <a:srcRect t="5866" b="6629"/>
                          <a:stretch/>
                        </pic:blipFill>
                        <pic:spPr bwMode="auto">
                          <a:xfrm>
                            <a:off x="0" y="272375"/>
                            <a:ext cx="2801566" cy="1838528"/>
                          </a:xfrm>
                          <a:prstGeom prst="rect">
                            <a:avLst/>
                          </a:prstGeom>
                          <a:noFill/>
                          <a:ln>
                            <a:noFill/>
                          </a:ln>
                          <a:extLst>
                            <a:ext uri="{53640926-AAD7-44D8-BBD7-CCE9431645EC}">
                              <a14:shadowObscured xmlns:a14="http://schemas.microsoft.com/office/drawing/2010/main"/>
                            </a:ext>
                          </a:extLst>
                        </pic:spPr>
                      </pic:pic>
                      <wps:wsp>
                        <wps:cNvPr id="521" name="Zone de texte 2"/>
                        <wps:cNvSpPr txBox="1">
                          <a:spLocks noChangeArrowheads="1"/>
                        </wps:cNvSpPr>
                        <wps:spPr bwMode="auto">
                          <a:xfrm>
                            <a:off x="583660" y="-19456"/>
                            <a:ext cx="1760220" cy="252730"/>
                          </a:xfrm>
                          <a:prstGeom prst="rect">
                            <a:avLst/>
                          </a:prstGeom>
                          <a:solidFill>
                            <a:srgbClr val="FFFFFF"/>
                          </a:solidFill>
                          <a:ln w="9525">
                            <a:noFill/>
                            <a:miter lim="800000"/>
                            <a:headEnd/>
                            <a:tailEnd/>
                          </a:ln>
                        </wps:spPr>
                        <wps:txbx>
                          <w:txbxContent>
                            <w:p w:rsidR="008276DC" w:rsidRPr="007C3A66" w:rsidRDefault="008276DC">
                              <w:pPr>
                                <w:rPr>
                                  <w:b/>
                                </w:rPr>
                              </w:pPr>
                              <w:r w:rsidRPr="007C3A66">
                                <w:rPr>
                                  <w:b/>
                                </w:rPr>
                                <w:t>Entéropathie au gluten</w:t>
                              </w: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id="Groupe 522" o:spid="_x0000_s1054" style="position:absolute;left:0;text-align:left;margin-left:301.7pt;margin-top:-6.75pt;width:220.55pt;height:167.7pt;z-index:252011520;mso-height-relative:margin" coordorigin=",-194" coordsize="28015,2130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5/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">
                <v:shape id="Image 520" o:spid="_x0000_s1055" type="#_x0000_t75" alt="Résultats de recherche d'images pour « entéropathie au gluten cytologie »" style="position:absolute;top:2723;width:28015;height:183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a9ywLCAAAA3AAAAA8AAABkcnMvZG93bnJldi54bWxET89rwjAUvg/8H8ITvM1UxTGqUYow9LAJ&#10;cx48PppnW2xeYpLZbn+9OQgeP77fy3VvWnEjHxrLCibjDARxaXXDlYLjz8frO4gQkTW2lknBHwVY&#10;rwYvS8y17fibbodYiRTCIUcFdYwulzKUNRkMY+uIE3e23mBM0FdSe+xSuGnlNMvepMGGU0ONjjY1&#10;lZfDr1Fwlfrr3232RfW527rTZVvM/axTajTsiwWISH18ih/unVYwn6b56Uw6AnJ1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GvcsCwgAAANwAAAAPAAAAAAAAAAAAAAAAAJ8C&#10;AABkcnMvZG93bnJldi54bWxQSwUGAAAAAAQABAD3AAAAjgMAAAAA&#10;">
                  <v:imagedata r:id="rId88" o:title="Résultats de recherche d'images pour « entéropathie au gluten cytologie »" croptop="3844f" cropbottom="4344f"/>
                  <v:path arrowok="t"/>
                </v:shape>
                <v:shape id="_x0000_s1056" type="#_x0000_t202" style="position:absolute;left:5836;top:-194;width:17602;height:2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oa88QA&#10;AADcAAAADwAAAGRycy9kb3ducmV2LnhtbESP0WrCQBRE3wX/YblCX8RslBrb1E2whRZfjX7ATfaa&#10;hGbvhuxq4t93C4U+DjNzhtnnk+nEnQbXWlawjmIQxJXVLdcKLufP1QsI55E1dpZJwYMc5Nl8tsdU&#10;25FPdC98LQKEXYoKGu/7VEpXNWTQRbYnDt7VDgZ9kEMt9YBjgJtObuI4kQZbDgsN9vTRUPVd3IyC&#10;63Fcbl/H8stfdqfn5B3bXWkfSj0tpsMbCE+T/w//tY9awXazht8z4QjI7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DqGvPEAAAA3AAAAA8AAAAAAAAAAAAAAAAAmAIAAGRycy9k&#10;b3ducmV2LnhtbFBLBQYAAAAABAAEAPUAAACJAwAAAAA=&#10;" stroked="f">
                  <v:textbox>
                    <w:txbxContent>
                      <w:p w:rsidR="008276DC" w:rsidRPr="007C3A66" w:rsidRDefault="008276DC">
                        <w:pPr>
                          <w:rPr>
                            <w:b/>
                          </w:rPr>
                        </w:pPr>
                        <w:r w:rsidRPr="007C3A66">
                          <w:rPr>
                            <w:b/>
                          </w:rPr>
                          <w:t>Entéropathie au gluten</w:t>
                        </w:r>
                      </w:p>
                    </w:txbxContent>
                  </v:textbox>
                </v:shape>
              </v:group>
            </w:pict>
          </mc:Fallback>
        </mc:AlternateContent>
      </w:r>
      <w:r w:rsidR="00D50F1A" w:rsidRPr="0062282D">
        <w:rPr>
          <w:lang w:val="es-NI"/>
        </w:rPr>
        <w:t>Anti-transglutaminase, carence en IgA</w:t>
      </w:r>
      <w:r w:rsidR="005707EC">
        <w:rPr>
          <w:lang w:val="es-NI"/>
        </w:rPr>
        <w:t xml:space="preserve"> </w:t>
      </w:r>
      <w:r w:rsidR="005707EC">
        <w:t>(Dx Mx coeliaque)</w:t>
      </w:r>
    </w:p>
    <w:p w:rsidR="00D74FA4" w:rsidRPr="0062282D" w:rsidRDefault="0062282D" w:rsidP="005D429F">
      <w:pPr>
        <w:pStyle w:val="Sansinterligne"/>
        <w:numPr>
          <w:ilvl w:val="0"/>
          <w:numId w:val="1114"/>
        </w:numPr>
        <w:rPr>
          <w:lang w:val="es-NI"/>
        </w:rPr>
      </w:pPr>
      <w:r w:rsidRPr="0062282D">
        <w:rPr>
          <w:lang w:val="es-NI"/>
        </w:rPr>
        <w:t>Colonoscopie</w:t>
      </w:r>
      <w:r w:rsidR="005707EC">
        <w:rPr>
          <w:lang w:val="es-NI"/>
        </w:rPr>
        <w:t xml:space="preserve"> (MII)</w:t>
      </w:r>
    </w:p>
    <w:p w:rsidR="00FF5DF7" w:rsidRPr="001719F0" w:rsidRDefault="00FF5DF7" w:rsidP="000664D6">
      <w:pPr>
        <w:pStyle w:val="Sansinterligne"/>
        <w:rPr>
          <w:b/>
          <w:sz w:val="16"/>
          <w:szCs w:val="16"/>
          <w:lang w:val="es-NI"/>
        </w:rPr>
      </w:pPr>
    </w:p>
    <w:p w:rsidR="000664D6" w:rsidRPr="005514FB" w:rsidRDefault="000664D6" w:rsidP="000664D6">
      <w:pPr>
        <w:pStyle w:val="Sansinterligne"/>
        <w:rPr>
          <w:b/>
          <w:sz w:val="28"/>
          <w:szCs w:val="28"/>
        </w:rPr>
      </w:pPr>
      <w:r w:rsidRPr="005514FB">
        <w:rPr>
          <w:b/>
          <w:sz w:val="28"/>
          <w:szCs w:val="28"/>
        </w:rPr>
        <w:t>Prise en charge</w:t>
      </w:r>
    </w:p>
    <w:p w:rsidR="008F004D" w:rsidRPr="001719F0" w:rsidRDefault="008F004D" w:rsidP="00395583">
      <w:pPr>
        <w:pStyle w:val="Sansinterligne"/>
        <w:rPr>
          <w:sz w:val="16"/>
          <w:szCs w:val="16"/>
        </w:rPr>
      </w:pPr>
    </w:p>
    <w:p w:rsidR="005514FB" w:rsidRPr="00DF7F7D" w:rsidRDefault="005514FB" w:rsidP="00395583">
      <w:pPr>
        <w:pStyle w:val="Sansinterligne"/>
        <w:rPr>
          <w:u w:val="single"/>
        </w:rPr>
      </w:pPr>
      <w:r w:rsidRPr="00DF7F7D">
        <w:rPr>
          <w:u w:val="single"/>
        </w:rPr>
        <w:t>Diarrhée aigue</w:t>
      </w:r>
    </w:p>
    <w:p w:rsidR="00653B9B" w:rsidRDefault="00653B9B" w:rsidP="00395583">
      <w:pPr>
        <w:pStyle w:val="Sansinterligne"/>
      </w:pPr>
    </w:p>
    <w:p w:rsidR="008F004D" w:rsidRDefault="005514FB" w:rsidP="005D429F">
      <w:pPr>
        <w:pStyle w:val="Sansinterligne"/>
        <w:numPr>
          <w:ilvl w:val="0"/>
          <w:numId w:val="1112"/>
        </w:numPr>
      </w:pPr>
      <w:r>
        <w:t>Généralement traitement de support</w:t>
      </w:r>
    </w:p>
    <w:p w:rsidR="005514FB" w:rsidRDefault="005514FB" w:rsidP="005D429F">
      <w:pPr>
        <w:pStyle w:val="Sansinterligne"/>
        <w:numPr>
          <w:ilvl w:val="0"/>
          <w:numId w:val="1112"/>
        </w:numPr>
      </w:pPr>
      <w:r>
        <w:t>Réhydratation orale / IV avec électrolytes</w:t>
      </w:r>
    </w:p>
    <w:p w:rsidR="005514FB" w:rsidRDefault="005514FB" w:rsidP="005D429F">
      <w:pPr>
        <w:pStyle w:val="Sansinterligne"/>
        <w:numPr>
          <w:ilvl w:val="0"/>
          <w:numId w:val="1112"/>
        </w:numPr>
      </w:pPr>
      <w:r>
        <w:t>Acétaminophène (action antipyrétique)</w:t>
      </w:r>
      <w:r w:rsidR="00FF5DF7" w:rsidRPr="00FF5DF7">
        <w:t xml:space="preserve"> </w:t>
      </w:r>
    </w:p>
    <w:p w:rsidR="00395583" w:rsidRDefault="00395583" w:rsidP="005D429F">
      <w:pPr>
        <w:pStyle w:val="Sansinterligne"/>
        <w:numPr>
          <w:ilvl w:val="0"/>
          <w:numId w:val="1112"/>
        </w:numPr>
      </w:pPr>
      <w:r>
        <w:t xml:space="preserve">Si signaux d’alarmes, pousser </w:t>
      </w:r>
      <w:r w:rsidR="00305E10">
        <w:t>l’investigation</w:t>
      </w:r>
      <w:r w:rsidR="00653B9B">
        <w:t>.</w:t>
      </w:r>
    </w:p>
    <w:p w:rsidR="00653B9B" w:rsidRPr="00DF7F7D" w:rsidRDefault="00653B9B" w:rsidP="00395583">
      <w:pPr>
        <w:pStyle w:val="Sansinterligne"/>
        <w:rPr>
          <w:u w:val="single"/>
        </w:rPr>
      </w:pPr>
      <w:r w:rsidRPr="00DF7F7D">
        <w:rPr>
          <w:u w:val="single"/>
        </w:rPr>
        <w:t>Antibiotiques seulement si :</w:t>
      </w:r>
    </w:p>
    <w:p w:rsidR="00653B9B" w:rsidRDefault="00653B9B" w:rsidP="005D429F">
      <w:pPr>
        <w:pStyle w:val="Sansinterligne"/>
        <w:numPr>
          <w:ilvl w:val="0"/>
          <w:numId w:val="1111"/>
        </w:numPr>
      </w:pPr>
      <w:r>
        <w:t>Sepsis</w:t>
      </w:r>
    </w:p>
    <w:p w:rsidR="00653B9B" w:rsidRDefault="00653B9B" w:rsidP="005D429F">
      <w:pPr>
        <w:pStyle w:val="Sansinterligne"/>
        <w:numPr>
          <w:ilvl w:val="0"/>
          <w:numId w:val="1111"/>
        </w:numPr>
      </w:pPr>
      <w:r>
        <w:t>Fièvre + rectorragies prolongées</w:t>
      </w:r>
    </w:p>
    <w:p w:rsidR="00653B9B" w:rsidRDefault="00653B9B" w:rsidP="005D429F">
      <w:pPr>
        <w:pStyle w:val="Sansinterligne"/>
        <w:numPr>
          <w:ilvl w:val="0"/>
          <w:numId w:val="1111"/>
        </w:numPr>
      </w:pPr>
      <w:r>
        <w:t xml:space="preserve">Shigella, C. difficile, </w:t>
      </w:r>
      <w:r w:rsidRPr="00653B9B">
        <w:t xml:space="preserve">Vibrio cholerae, </w:t>
      </w:r>
      <w:r>
        <w:t>E. Coli entérohémorragique</w:t>
      </w:r>
    </w:p>
    <w:p w:rsidR="00653B9B" w:rsidRDefault="00653B9B" w:rsidP="005D429F">
      <w:pPr>
        <w:pStyle w:val="Sansinterligne"/>
        <w:numPr>
          <w:ilvl w:val="0"/>
          <w:numId w:val="1111"/>
        </w:numPr>
      </w:pPr>
      <w:r>
        <w:t xml:space="preserve">Samonella typhi (fièvre typhoïde), </w:t>
      </w:r>
    </w:p>
    <w:p w:rsidR="00653B9B" w:rsidRPr="00653B9B" w:rsidRDefault="00653B9B" w:rsidP="005D429F">
      <w:pPr>
        <w:pStyle w:val="Sansinterligne"/>
        <w:numPr>
          <w:ilvl w:val="0"/>
          <w:numId w:val="1111"/>
        </w:numPr>
        <w:rPr>
          <w:lang w:val="es-NI"/>
        </w:rPr>
      </w:pPr>
      <w:r w:rsidRPr="00653B9B">
        <w:rPr>
          <w:lang w:val="es-NI"/>
        </w:rPr>
        <w:t>Giardia (giardiase)</w:t>
      </w:r>
    </w:p>
    <w:p w:rsidR="00653B9B" w:rsidRPr="00653B9B" w:rsidRDefault="00653B9B" w:rsidP="005D429F">
      <w:pPr>
        <w:pStyle w:val="Sansinterligne"/>
        <w:numPr>
          <w:ilvl w:val="0"/>
          <w:numId w:val="1111"/>
        </w:numPr>
        <w:rPr>
          <w:lang w:val="es-NI"/>
        </w:rPr>
      </w:pPr>
      <w:r w:rsidRPr="00653B9B">
        <w:rPr>
          <w:lang w:val="es-NI"/>
        </w:rPr>
        <w:t xml:space="preserve">Entamoeba hystolytica (amibiase) </w:t>
      </w:r>
    </w:p>
    <w:p w:rsidR="00DF7F7D" w:rsidRPr="001719F0" w:rsidRDefault="00DF7F7D" w:rsidP="00395583">
      <w:pPr>
        <w:pStyle w:val="Sansinterligne"/>
        <w:rPr>
          <w:sz w:val="16"/>
          <w:szCs w:val="16"/>
          <w:lang w:val="es-NI"/>
        </w:rPr>
      </w:pPr>
    </w:p>
    <w:p w:rsidR="008F004D" w:rsidRPr="00CF7C8F" w:rsidRDefault="00DF7F7D" w:rsidP="00395583">
      <w:pPr>
        <w:pStyle w:val="Sansinterligne"/>
        <w:rPr>
          <w:u w:val="single"/>
        </w:rPr>
      </w:pPr>
      <w:r w:rsidRPr="00CF7C8F">
        <w:rPr>
          <w:u w:val="single"/>
        </w:rPr>
        <w:t>Diarrhée chronique</w:t>
      </w:r>
    </w:p>
    <w:p w:rsidR="00CF7C8F" w:rsidRDefault="00CF7C8F" w:rsidP="00395583">
      <w:pPr>
        <w:pStyle w:val="Sansinterligne"/>
        <w:rPr>
          <w:b/>
        </w:rPr>
        <w:sectPr w:rsidR="00CF7C8F" w:rsidSect="00540770">
          <w:type w:val="continuous"/>
          <w:pgSz w:w="12240" w:h="15840"/>
          <w:pgMar w:top="720" w:right="720" w:bottom="720" w:left="720" w:header="708" w:footer="708" w:gutter="0"/>
          <w:cols w:space="708"/>
          <w:docGrid w:linePitch="360"/>
        </w:sectPr>
      </w:pPr>
    </w:p>
    <w:p w:rsidR="0075325C" w:rsidRPr="00CF7C8F" w:rsidRDefault="0075325C" w:rsidP="00395583">
      <w:pPr>
        <w:pStyle w:val="Sansinterligne"/>
        <w:rPr>
          <w:b/>
          <w:highlight w:val="yellow"/>
        </w:rPr>
      </w:pPr>
      <w:r w:rsidRPr="00CF7C8F">
        <w:rPr>
          <w:b/>
          <w:highlight w:val="yellow"/>
        </w:rPr>
        <w:lastRenderedPageBreak/>
        <w:t>Intolérance aux protéines bovines</w:t>
      </w:r>
    </w:p>
    <w:p w:rsidR="0075325C" w:rsidRPr="00CF7C8F" w:rsidRDefault="0075325C" w:rsidP="005D429F">
      <w:pPr>
        <w:pStyle w:val="Sansinterligne"/>
        <w:numPr>
          <w:ilvl w:val="0"/>
          <w:numId w:val="1108"/>
        </w:numPr>
        <w:rPr>
          <w:highlight w:val="yellow"/>
        </w:rPr>
      </w:pPr>
      <w:r w:rsidRPr="00CF7C8F">
        <w:rPr>
          <w:highlight w:val="yellow"/>
        </w:rPr>
        <w:t>Préparation de lait avec hydrolysat de caséine (Nutramigen, Pregestimil)</w:t>
      </w:r>
    </w:p>
    <w:p w:rsidR="0075325C" w:rsidRPr="00CF7C8F" w:rsidRDefault="0075325C" w:rsidP="005D429F">
      <w:pPr>
        <w:pStyle w:val="Sansinterligne"/>
        <w:numPr>
          <w:ilvl w:val="0"/>
          <w:numId w:val="1108"/>
        </w:numPr>
        <w:rPr>
          <w:highlight w:val="yellow"/>
        </w:rPr>
      </w:pPr>
      <w:r w:rsidRPr="00CF7C8F">
        <w:rPr>
          <w:highlight w:val="yellow"/>
        </w:rPr>
        <w:t>Allaitement seul</w:t>
      </w:r>
    </w:p>
    <w:p w:rsidR="0075325C" w:rsidRPr="00CF7C8F" w:rsidRDefault="0075325C" w:rsidP="005D429F">
      <w:pPr>
        <w:pStyle w:val="Sansinterligne"/>
        <w:numPr>
          <w:ilvl w:val="0"/>
          <w:numId w:val="1108"/>
        </w:numPr>
        <w:rPr>
          <w:highlight w:val="yellow"/>
        </w:rPr>
      </w:pPr>
      <w:r w:rsidRPr="00CF7C8F">
        <w:rPr>
          <w:highlight w:val="yellow"/>
        </w:rPr>
        <w:t>Résolution spontanée vers 1 an</w:t>
      </w:r>
    </w:p>
    <w:p w:rsidR="00305E10" w:rsidRPr="00CF7C8F" w:rsidRDefault="00305E10" w:rsidP="00395583">
      <w:pPr>
        <w:pStyle w:val="Sansinterligne"/>
        <w:rPr>
          <w:highlight w:val="yellow"/>
        </w:rPr>
      </w:pPr>
    </w:p>
    <w:p w:rsidR="00800CDE" w:rsidRPr="00CF7C8F" w:rsidRDefault="00395583" w:rsidP="00395583">
      <w:pPr>
        <w:pStyle w:val="Sansinterligne"/>
        <w:rPr>
          <w:b/>
          <w:highlight w:val="yellow"/>
        </w:rPr>
      </w:pPr>
      <w:r w:rsidRPr="00CF7C8F">
        <w:rPr>
          <w:b/>
          <w:highlight w:val="yellow"/>
        </w:rPr>
        <w:t>Maladie cœliaque</w:t>
      </w:r>
    </w:p>
    <w:p w:rsidR="00800CDE" w:rsidRPr="00CF7C8F" w:rsidRDefault="00800CDE" w:rsidP="005D429F">
      <w:pPr>
        <w:pStyle w:val="Sansinterligne"/>
        <w:numPr>
          <w:ilvl w:val="0"/>
          <w:numId w:val="1106"/>
        </w:numPr>
        <w:rPr>
          <w:highlight w:val="yellow"/>
        </w:rPr>
      </w:pPr>
      <w:r w:rsidRPr="00CF7C8F">
        <w:rPr>
          <w:highlight w:val="yellow"/>
        </w:rPr>
        <w:t>Référence en nutrition et en gastro-entérologie pédiatrique</w:t>
      </w:r>
    </w:p>
    <w:p w:rsidR="00395583" w:rsidRPr="00CF7C8F" w:rsidRDefault="00395583" w:rsidP="005D429F">
      <w:pPr>
        <w:pStyle w:val="Sansinterligne"/>
        <w:numPr>
          <w:ilvl w:val="0"/>
          <w:numId w:val="1106"/>
        </w:numPr>
        <w:rPr>
          <w:highlight w:val="yellow"/>
        </w:rPr>
      </w:pPr>
      <w:r w:rsidRPr="00CF7C8F">
        <w:rPr>
          <w:highlight w:val="yellow"/>
        </w:rPr>
        <w:t>Éviter blé, orge, seigle et avoine</w:t>
      </w:r>
      <w:r w:rsidR="00D50F1A" w:rsidRPr="00CF7C8F">
        <w:rPr>
          <w:highlight w:val="yellow"/>
        </w:rPr>
        <w:t xml:space="preserve"> si contaminée par d’autres</w:t>
      </w:r>
    </w:p>
    <w:p w:rsidR="00D50F1A" w:rsidRPr="00CF7C8F" w:rsidRDefault="00D50F1A" w:rsidP="005D429F">
      <w:pPr>
        <w:pStyle w:val="Sansinterligne"/>
        <w:numPr>
          <w:ilvl w:val="0"/>
          <w:numId w:val="1106"/>
        </w:numPr>
        <w:rPr>
          <w:highlight w:val="yellow"/>
        </w:rPr>
      </w:pPr>
      <w:r w:rsidRPr="00CF7C8F">
        <w:rPr>
          <w:highlight w:val="yellow"/>
        </w:rPr>
        <w:t>Céréales permises : riz, maïs</w:t>
      </w:r>
    </w:p>
    <w:p w:rsidR="00305E10" w:rsidRPr="00CF7C8F" w:rsidRDefault="00D50F1A" w:rsidP="005D429F">
      <w:pPr>
        <w:pStyle w:val="Sansinterligne"/>
        <w:numPr>
          <w:ilvl w:val="0"/>
          <w:numId w:val="1106"/>
        </w:numPr>
        <w:rPr>
          <w:highlight w:val="yellow"/>
        </w:rPr>
      </w:pPr>
      <w:r w:rsidRPr="00CF7C8F">
        <w:rPr>
          <w:highlight w:val="yellow"/>
        </w:rPr>
        <w:t>Suppléments de fer et d’acide folique</w:t>
      </w:r>
    </w:p>
    <w:p w:rsidR="00772D47" w:rsidRPr="00CF7C8F" w:rsidRDefault="00772D47" w:rsidP="00305E10">
      <w:pPr>
        <w:pStyle w:val="Sansinterligne"/>
        <w:rPr>
          <w:highlight w:val="yellow"/>
        </w:rPr>
      </w:pPr>
    </w:p>
    <w:p w:rsidR="00800CDE" w:rsidRPr="00CF7C8F" w:rsidRDefault="00772D47" w:rsidP="00305E10">
      <w:pPr>
        <w:pStyle w:val="Sansinterligne"/>
        <w:rPr>
          <w:b/>
          <w:highlight w:val="yellow"/>
        </w:rPr>
      </w:pPr>
      <w:r w:rsidRPr="00CF7C8F">
        <w:rPr>
          <w:b/>
          <w:highlight w:val="yellow"/>
        </w:rPr>
        <w:t>Intolérance au lactose</w:t>
      </w:r>
    </w:p>
    <w:p w:rsidR="00772D47" w:rsidRPr="00CF7C8F" w:rsidRDefault="00772D47" w:rsidP="005D429F">
      <w:pPr>
        <w:pStyle w:val="Sansinterligne"/>
        <w:numPr>
          <w:ilvl w:val="0"/>
          <w:numId w:val="1107"/>
        </w:numPr>
        <w:rPr>
          <w:highlight w:val="yellow"/>
        </w:rPr>
      </w:pPr>
      <w:r w:rsidRPr="00CF7C8F">
        <w:rPr>
          <w:highlight w:val="yellow"/>
        </w:rPr>
        <w:t>Diète sans lactose</w:t>
      </w:r>
    </w:p>
    <w:p w:rsidR="00772D47" w:rsidRPr="00CF7C8F" w:rsidRDefault="00772D47" w:rsidP="005D429F">
      <w:pPr>
        <w:pStyle w:val="Sansinterligne"/>
        <w:numPr>
          <w:ilvl w:val="1"/>
          <w:numId w:val="1107"/>
        </w:numPr>
        <w:rPr>
          <w:highlight w:val="yellow"/>
        </w:rPr>
      </w:pPr>
      <w:r w:rsidRPr="00CF7C8F">
        <w:rPr>
          <w:highlight w:val="yellow"/>
        </w:rPr>
        <w:t>Substitution au lait de soya ou préparation de soya pour enfant</w:t>
      </w:r>
    </w:p>
    <w:p w:rsidR="00772D47" w:rsidRPr="00CF7C8F" w:rsidRDefault="00772D47" w:rsidP="005D429F">
      <w:pPr>
        <w:pStyle w:val="Sansinterligne"/>
        <w:numPr>
          <w:ilvl w:val="0"/>
          <w:numId w:val="1107"/>
        </w:numPr>
        <w:rPr>
          <w:highlight w:val="yellow"/>
        </w:rPr>
      </w:pPr>
      <w:r w:rsidRPr="00CF7C8F">
        <w:rPr>
          <w:highlight w:val="yellow"/>
        </w:rPr>
        <w:t>Supplément de lactase (Lactaid, Lacteeze)</w:t>
      </w:r>
    </w:p>
    <w:p w:rsidR="00772D47" w:rsidRDefault="00772D47" w:rsidP="00305E10">
      <w:pPr>
        <w:pStyle w:val="Sansinterligne"/>
        <w:rPr>
          <w:b/>
        </w:rPr>
      </w:pPr>
    </w:p>
    <w:p w:rsidR="00305E10" w:rsidRPr="000631C9" w:rsidRDefault="00305E10" w:rsidP="00305E10">
      <w:pPr>
        <w:pStyle w:val="Sansinterligne"/>
        <w:rPr>
          <w:b/>
        </w:rPr>
      </w:pPr>
      <w:r w:rsidRPr="000631C9">
        <w:rPr>
          <w:b/>
        </w:rPr>
        <w:t>Diarrhée du nourrisson</w:t>
      </w:r>
    </w:p>
    <w:p w:rsidR="00305E10" w:rsidRDefault="00305E10" w:rsidP="005D429F">
      <w:pPr>
        <w:pStyle w:val="Sansinterligne"/>
        <w:numPr>
          <w:ilvl w:val="0"/>
          <w:numId w:val="1105"/>
        </w:numPr>
      </w:pPr>
      <w:r>
        <w:t>Rassurer les parents</w:t>
      </w:r>
    </w:p>
    <w:p w:rsidR="00305E10" w:rsidRDefault="00305E10" w:rsidP="005D429F">
      <w:pPr>
        <w:pStyle w:val="Sansinterligne"/>
        <w:numPr>
          <w:ilvl w:val="0"/>
          <w:numId w:val="1105"/>
        </w:numPr>
      </w:pPr>
      <w:r>
        <w:t>Ajuster l’alimentation</w:t>
      </w:r>
    </w:p>
    <w:p w:rsidR="00305E10" w:rsidRDefault="00305E10" w:rsidP="005D429F">
      <w:pPr>
        <w:pStyle w:val="Sansinterligne"/>
        <w:numPr>
          <w:ilvl w:val="1"/>
          <w:numId w:val="1105"/>
        </w:numPr>
      </w:pPr>
      <w:r>
        <w:t xml:space="preserve">Fibres </w:t>
      </w:r>
      <w:r>
        <w:rPr>
          <w:rFonts w:ascii="Century Gothic" w:hAnsi="Century Gothic"/>
        </w:rPr>
        <w:t>↑</w:t>
      </w:r>
    </w:p>
    <w:p w:rsidR="00305E10" w:rsidRDefault="00305E10" w:rsidP="005D429F">
      <w:pPr>
        <w:pStyle w:val="Sansinterligne"/>
        <w:numPr>
          <w:ilvl w:val="1"/>
          <w:numId w:val="1105"/>
        </w:numPr>
        <w:rPr>
          <w:rFonts w:cs="Times New Roman"/>
        </w:rPr>
      </w:pPr>
      <w:r>
        <w:t xml:space="preserve">Hydratation </w:t>
      </w:r>
    </w:p>
    <w:p w:rsidR="00305E10" w:rsidRDefault="00305E10" w:rsidP="005D429F">
      <w:pPr>
        <w:pStyle w:val="Sansinterligne"/>
        <w:numPr>
          <w:ilvl w:val="1"/>
          <w:numId w:val="1105"/>
        </w:numPr>
        <w:rPr>
          <w:rFonts w:cs="Times New Roman"/>
        </w:rPr>
      </w:pPr>
      <w:r>
        <w:rPr>
          <w:rFonts w:cs="Times New Roman"/>
        </w:rPr>
        <w:t>~ 40% matières grasses</w:t>
      </w:r>
    </w:p>
    <w:p w:rsidR="00305E10" w:rsidRDefault="00305E10" w:rsidP="005D429F">
      <w:pPr>
        <w:pStyle w:val="Sansinterligne"/>
        <w:numPr>
          <w:ilvl w:val="1"/>
          <w:numId w:val="1105"/>
        </w:numPr>
      </w:pPr>
      <w:r>
        <w:rPr>
          <w:rFonts w:cs="Times New Roman"/>
        </w:rPr>
        <w:t>Limiter la consommation de jus</w:t>
      </w:r>
    </w:p>
    <w:p w:rsidR="001719F0" w:rsidRDefault="001719F0" w:rsidP="00E93FCE">
      <w:pPr>
        <w:pStyle w:val="Sansinterligne"/>
        <w:rPr>
          <w:b/>
        </w:rPr>
      </w:pPr>
    </w:p>
    <w:p w:rsidR="00A32F8E" w:rsidRDefault="001719F0" w:rsidP="00E93FCE">
      <w:pPr>
        <w:pStyle w:val="Sansinterligne"/>
        <w:rPr>
          <w:b/>
        </w:rPr>
      </w:pPr>
      <w:r>
        <w:rPr>
          <w:b/>
        </w:rPr>
        <w:t xml:space="preserve">Syndrome du </w:t>
      </w:r>
      <w:r w:rsidR="00C607F9">
        <w:rPr>
          <w:b/>
        </w:rPr>
        <w:t>côlon</w:t>
      </w:r>
      <w:r>
        <w:rPr>
          <w:b/>
        </w:rPr>
        <w:t xml:space="preserve"> irritable</w:t>
      </w:r>
    </w:p>
    <w:p w:rsidR="001719F0" w:rsidRPr="001719F0" w:rsidRDefault="001719F0" w:rsidP="005D429F">
      <w:pPr>
        <w:pStyle w:val="Sansinterligne"/>
        <w:numPr>
          <w:ilvl w:val="0"/>
          <w:numId w:val="1113"/>
        </w:numPr>
      </w:pPr>
      <w:r w:rsidRPr="001719F0">
        <w:t>Rassurance</w:t>
      </w:r>
    </w:p>
    <w:p w:rsidR="001719F0" w:rsidRPr="001719F0" w:rsidRDefault="001719F0" w:rsidP="005D429F">
      <w:pPr>
        <w:pStyle w:val="Sansinterligne"/>
        <w:numPr>
          <w:ilvl w:val="0"/>
          <w:numId w:val="1113"/>
        </w:numPr>
      </w:pPr>
      <w:r w:rsidRPr="001719F0">
        <w:t>Relaxation</w:t>
      </w:r>
    </w:p>
    <w:p w:rsidR="001719F0" w:rsidRPr="001719F0" w:rsidRDefault="001719F0" w:rsidP="005D429F">
      <w:pPr>
        <w:pStyle w:val="Sansinterligne"/>
        <w:numPr>
          <w:ilvl w:val="0"/>
          <w:numId w:val="1113"/>
        </w:numPr>
      </w:pPr>
      <w:r w:rsidRPr="001719F0">
        <w:rPr>
          <w:rFonts w:ascii="Century Gothic" w:hAnsi="Century Gothic"/>
        </w:rPr>
        <w:t>↑</w:t>
      </w:r>
      <w:r w:rsidRPr="001719F0">
        <w:t xml:space="preserve"> fibres alimentaires et exercice physique</w:t>
      </w:r>
    </w:p>
    <w:p w:rsidR="00F937F7" w:rsidRPr="001719F0" w:rsidRDefault="001719F0" w:rsidP="005D429F">
      <w:pPr>
        <w:pStyle w:val="Sansinterligne"/>
        <w:numPr>
          <w:ilvl w:val="0"/>
          <w:numId w:val="1113"/>
        </w:numPr>
      </w:pPr>
      <w:r w:rsidRPr="001719F0">
        <w:t>ISRS, TCA ou lopéramide PRN</w:t>
      </w:r>
    </w:p>
    <w:p w:rsidR="001719F0" w:rsidRDefault="001719F0" w:rsidP="00E93FCE">
      <w:pPr>
        <w:pStyle w:val="Sansinterligne"/>
        <w:rPr>
          <w:b/>
        </w:rPr>
      </w:pPr>
    </w:p>
    <w:p w:rsidR="008F004D" w:rsidRPr="00A32F8E" w:rsidRDefault="0062282D" w:rsidP="00E93FCE">
      <w:pPr>
        <w:pStyle w:val="Sansinterligne"/>
        <w:rPr>
          <w:b/>
        </w:rPr>
      </w:pPr>
      <w:r w:rsidRPr="00A32F8E">
        <w:rPr>
          <w:b/>
        </w:rPr>
        <w:lastRenderedPageBreak/>
        <w:t>Maladie de Crohn</w:t>
      </w:r>
    </w:p>
    <w:p w:rsidR="0062282D" w:rsidRDefault="0062282D" w:rsidP="005D429F">
      <w:pPr>
        <w:pStyle w:val="Sansinterligne"/>
        <w:numPr>
          <w:ilvl w:val="0"/>
          <w:numId w:val="1109"/>
        </w:numPr>
      </w:pPr>
      <w:r>
        <w:t>Référence en gastro-entérologie</w:t>
      </w:r>
    </w:p>
    <w:p w:rsidR="005072E2" w:rsidRDefault="005072E2" w:rsidP="00F937F7">
      <w:pPr>
        <w:pStyle w:val="Sansinterligne"/>
      </w:pPr>
    </w:p>
    <w:p w:rsidR="0062282D" w:rsidRDefault="0062282D" w:rsidP="005D429F">
      <w:pPr>
        <w:pStyle w:val="Sansinterligne"/>
        <w:numPr>
          <w:ilvl w:val="0"/>
          <w:numId w:val="1109"/>
        </w:numPr>
      </w:pPr>
      <w:r>
        <w:t>Arrêt tabagique</w:t>
      </w:r>
    </w:p>
    <w:p w:rsidR="0062282D" w:rsidRDefault="0062282D" w:rsidP="005D429F">
      <w:pPr>
        <w:pStyle w:val="Sansinterligne"/>
        <w:numPr>
          <w:ilvl w:val="0"/>
          <w:numId w:val="1109"/>
        </w:numPr>
      </w:pPr>
      <w:r>
        <w:t xml:space="preserve">Lopéramide </w:t>
      </w:r>
    </w:p>
    <w:p w:rsidR="0062282D" w:rsidRDefault="0062282D" w:rsidP="005D429F">
      <w:pPr>
        <w:pStyle w:val="Sansinterligne"/>
        <w:numPr>
          <w:ilvl w:val="0"/>
          <w:numId w:val="1109"/>
        </w:numPr>
      </w:pPr>
      <w:r>
        <w:t xml:space="preserve">5-ASA </w:t>
      </w:r>
    </w:p>
    <w:p w:rsidR="0062282D" w:rsidRDefault="0062282D" w:rsidP="005D429F">
      <w:pPr>
        <w:pStyle w:val="Sansinterligne"/>
        <w:numPr>
          <w:ilvl w:val="1"/>
          <w:numId w:val="1109"/>
        </w:numPr>
      </w:pPr>
      <w:r>
        <w:t>Sulfasalazine ou mesalamine</w:t>
      </w:r>
    </w:p>
    <w:p w:rsidR="0062282D" w:rsidRPr="00104E7B" w:rsidRDefault="0062282D" w:rsidP="005D429F">
      <w:pPr>
        <w:pStyle w:val="Sansinterligne"/>
        <w:numPr>
          <w:ilvl w:val="0"/>
          <w:numId w:val="1109"/>
        </w:numPr>
        <w:rPr>
          <w:lang w:val="de-DE"/>
        </w:rPr>
      </w:pPr>
      <w:r w:rsidRPr="00104E7B">
        <w:rPr>
          <w:lang w:val="de-DE"/>
        </w:rPr>
        <w:t>Prednisone 40 mg PO DIE en aigu</w:t>
      </w:r>
    </w:p>
    <w:p w:rsidR="0062282D" w:rsidRDefault="0062282D" w:rsidP="005D429F">
      <w:pPr>
        <w:pStyle w:val="Sansinterligne"/>
        <w:numPr>
          <w:ilvl w:val="0"/>
          <w:numId w:val="1109"/>
        </w:numPr>
      </w:pPr>
      <w:r>
        <w:t>Infliximab (Remicade)</w:t>
      </w:r>
    </w:p>
    <w:p w:rsidR="0062282D" w:rsidRDefault="0062282D" w:rsidP="005D429F">
      <w:pPr>
        <w:pStyle w:val="Sansinterligne"/>
        <w:numPr>
          <w:ilvl w:val="0"/>
          <w:numId w:val="1109"/>
        </w:numPr>
      </w:pPr>
      <w:r>
        <w:t xml:space="preserve">Réparation </w:t>
      </w:r>
      <w:r w:rsidR="0057007C">
        <w:t>ch</w:t>
      </w:r>
      <w:r w:rsidR="005072E2">
        <w:t>x</w:t>
      </w:r>
      <w:r>
        <w:t xml:space="preserve"> des fistules, fissures, abcès, etc.</w:t>
      </w:r>
    </w:p>
    <w:p w:rsidR="0057007C" w:rsidRDefault="0057007C" w:rsidP="00E93FCE">
      <w:pPr>
        <w:pStyle w:val="Sansinterligne"/>
      </w:pPr>
    </w:p>
    <w:p w:rsidR="0062282D" w:rsidRPr="0057007C" w:rsidRDefault="0062282D" w:rsidP="00E93FCE">
      <w:pPr>
        <w:pStyle w:val="Sansinterligne"/>
        <w:rPr>
          <w:b/>
        </w:rPr>
      </w:pPr>
      <w:r w:rsidRPr="0057007C">
        <w:rPr>
          <w:b/>
        </w:rPr>
        <w:t>Colite ulcéreuse</w:t>
      </w:r>
    </w:p>
    <w:p w:rsidR="0062282D" w:rsidRDefault="0062282D" w:rsidP="005D429F">
      <w:pPr>
        <w:pStyle w:val="Sansinterligne"/>
        <w:numPr>
          <w:ilvl w:val="0"/>
          <w:numId w:val="1109"/>
        </w:numPr>
      </w:pPr>
      <w:r>
        <w:t>Référence en gastro-entérologie</w:t>
      </w:r>
    </w:p>
    <w:p w:rsidR="0062282D" w:rsidRDefault="0062282D" w:rsidP="005D429F">
      <w:pPr>
        <w:pStyle w:val="Sansinterligne"/>
        <w:numPr>
          <w:ilvl w:val="0"/>
          <w:numId w:val="1110"/>
        </w:numPr>
      </w:pPr>
      <w:r>
        <w:t>5-ASA (mésalamine)</w:t>
      </w:r>
    </w:p>
    <w:p w:rsidR="0062282D" w:rsidRPr="005072E2" w:rsidRDefault="0062282D" w:rsidP="005D429F">
      <w:pPr>
        <w:pStyle w:val="Sansinterligne"/>
        <w:numPr>
          <w:ilvl w:val="0"/>
          <w:numId w:val="1110"/>
        </w:numPr>
        <w:rPr>
          <w:lang w:val="es-NI"/>
        </w:rPr>
      </w:pPr>
      <w:r w:rsidRPr="005072E2">
        <w:rPr>
          <w:lang w:val="es-NI"/>
        </w:rPr>
        <w:t>Méthylpredinosolone 30 mg IV q12h –</w:t>
      </w:r>
      <w:r w:rsidR="005072E2" w:rsidRPr="005072E2">
        <w:rPr>
          <w:lang w:val="es-NI"/>
        </w:rPr>
        <w:t xml:space="preserve"> </w:t>
      </w:r>
      <w:r w:rsidRPr="005072E2">
        <w:rPr>
          <w:lang w:val="es-NI"/>
        </w:rPr>
        <w:t>ai</w:t>
      </w:r>
      <w:r w:rsidR="005072E2" w:rsidRPr="005072E2">
        <w:rPr>
          <w:lang w:val="es-NI"/>
        </w:rPr>
        <w:t>g</w:t>
      </w:r>
      <w:r w:rsidRPr="005072E2">
        <w:rPr>
          <w:lang w:val="es-NI"/>
        </w:rPr>
        <w:t>ue</w:t>
      </w:r>
    </w:p>
    <w:p w:rsidR="0062282D" w:rsidRDefault="0062282D" w:rsidP="005D429F">
      <w:pPr>
        <w:pStyle w:val="Sansinterligne"/>
        <w:numPr>
          <w:ilvl w:val="0"/>
          <w:numId w:val="1110"/>
        </w:numPr>
      </w:pPr>
      <w:r>
        <w:t>Cyclosporine ou infliximab</w:t>
      </w:r>
    </w:p>
    <w:p w:rsidR="0062282D" w:rsidRDefault="0057007C" w:rsidP="005D429F">
      <w:pPr>
        <w:pStyle w:val="Sansinterligne"/>
        <w:numPr>
          <w:ilvl w:val="0"/>
          <w:numId w:val="1110"/>
        </w:numPr>
      </w:pPr>
      <w:r>
        <w:t>Colectomie chirurgical</w:t>
      </w:r>
      <w:r w:rsidR="001248EC">
        <w:t>e</w:t>
      </w:r>
    </w:p>
    <w:p w:rsidR="0057007C" w:rsidRDefault="0057007C" w:rsidP="005D429F">
      <w:pPr>
        <w:pStyle w:val="Sansinterligne"/>
        <w:numPr>
          <w:ilvl w:val="0"/>
          <w:numId w:val="1110"/>
        </w:numPr>
      </w:pPr>
      <w:r>
        <w:t>Si réfractaire au traitement médical, néo du côlon, saignements sévères ou mégacôlon toxique</w:t>
      </w:r>
    </w:p>
    <w:p w:rsidR="0062282D" w:rsidRDefault="0062282D" w:rsidP="00E93FCE">
      <w:pPr>
        <w:pStyle w:val="Sansinterligne"/>
      </w:pPr>
    </w:p>
    <w:p w:rsidR="00E93FCE" w:rsidRPr="009801FA" w:rsidRDefault="00E93FCE" w:rsidP="00E93FCE">
      <w:pPr>
        <w:pStyle w:val="Sansinterligne"/>
        <w:rPr>
          <w:b/>
          <w:highlight w:val="yellow"/>
        </w:rPr>
      </w:pPr>
      <w:r w:rsidRPr="009801FA">
        <w:rPr>
          <w:b/>
          <w:highlight w:val="yellow"/>
        </w:rPr>
        <w:t>Fibrose kystique du pancréas</w:t>
      </w:r>
    </w:p>
    <w:p w:rsidR="00E93FCE" w:rsidRPr="009801FA" w:rsidRDefault="00E93FCE" w:rsidP="005D429F">
      <w:pPr>
        <w:pStyle w:val="Sansinterligne"/>
        <w:numPr>
          <w:ilvl w:val="0"/>
          <w:numId w:val="1104"/>
        </w:numPr>
        <w:rPr>
          <w:highlight w:val="yellow"/>
        </w:rPr>
      </w:pPr>
      <w:r w:rsidRPr="009801FA">
        <w:rPr>
          <w:highlight w:val="yellow"/>
        </w:rPr>
        <w:t>Référence en pédiatrie</w:t>
      </w:r>
    </w:p>
    <w:p w:rsidR="00E93FCE" w:rsidRPr="009801FA" w:rsidRDefault="00E93FCE" w:rsidP="005D429F">
      <w:pPr>
        <w:pStyle w:val="Sansinterligne"/>
        <w:numPr>
          <w:ilvl w:val="0"/>
          <w:numId w:val="1104"/>
        </w:numPr>
        <w:rPr>
          <w:highlight w:val="yellow"/>
        </w:rPr>
      </w:pPr>
      <w:r w:rsidRPr="009801FA">
        <w:rPr>
          <w:highlight w:val="yellow"/>
        </w:rPr>
        <w:t>Évaluation complète avec suivi régulier</w:t>
      </w:r>
      <w:r w:rsidRPr="00133F4E">
        <w:t xml:space="preserve"> </w:t>
      </w:r>
    </w:p>
    <w:p w:rsidR="00E93FCE" w:rsidRPr="009801FA" w:rsidRDefault="00E93FCE" w:rsidP="005D429F">
      <w:pPr>
        <w:pStyle w:val="Sansinterligne"/>
        <w:numPr>
          <w:ilvl w:val="0"/>
          <w:numId w:val="1104"/>
        </w:numPr>
        <w:rPr>
          <w:highlight w:val="yellow"/>
        </w:rPr>
      </w:pPr>
      <w:r w:rsidRPr="009801FA">
        <w:rPr>
          <w:highlight w:val="yellow"/>
        </w:rPr>
        <w:t>Glycémie, HBsAg</w:t>
      </w:r>
    </w:p>
    <w:p w:rsidR="00E93FCE" w:rsidRPr="009801FA" w:rsidRDefault="00E93FCE" w:rsidP="005D429F">
      <w:pPr>
        <w:pStyle w:val="Sansinterligne"/>
        <w:numPr>
          <w:ilvl w:val="0"/>
          <w:numId w:val="1104"/>
        </w:numPr>
        <w:rPr>
          <w:highlight w:val="yellow"/>
        </w:rPr>
      </w:pPr>
      <w:r w:rsidRPr="009801FA">
        <w:rPr>
          <w:highlight w:val="yellow"/>
        </w:rPr>
        <w:t>Équipe multidisciplinaire</w:t>
      </w:r>
    </w:p>
    <w:p w:rsidR="00E93FCE" w:rsidRPr="009801FA" w:rsidRDefault="00E93FCE" w:rsidP="005D429F">
      <w:pPr>
        <w:pStyle w:val="Sansinterligne"/>
        <w:numPr>
          <w:ilvl w:val="1"/>
          <w:numId w:val="1104"/>
        </w:numPr>
        <w:rPr>
          <w:highlight w:val="yellow"/>
        </w:rPr>
      </w:pPr>
      <w:r w:rsidRPr="009801FA">
        <w:rPr>
          <w:highlight w:val="yellow"/>
        </w:rPr>
        <w:t>Physiothérapie (clapping, exercices respiratoires)</w:t>
      </w:r>
    </w:p>
    <w:p w:rsidR="00E93FCE" w:rsidRDefault="00E93FCE" w:rsidP="005D429F">
      <w:pPr>
        <w:pStyle w:val="Sansinterligne"/>
        <w:numPr>
          <w:ilvl w:val="1"/>
          <w:numId w:val="1104"/>
        </w:numPr>
        <w:rPr>
          <w:highlight w:val="yellow"/>
        </w:rPr>
      </w:pPr>
      <w:r>
        <w:rPr>
          <w:highlight w:val="yellow"/>
        </w:rPr>
        <w:t xml:space="preserve">Nutrition </w:t>
      </w:r>
    </w:p>
    <w:p w:rsidR="00E93FCE" w:rsidRPr="00F1741A" w:rsidRDefault="00E93FCE" w:rsidP="005D429F">
      <w:pPr>
        <w:pStyle w:val="Sansinterligne"/>
        <w:numPr>
          <w:ilvl w:val="2"/>
          <w:numId w:val="1104"/>
        </w:numPr>
        <w:rPr>
          <w:highlight w:val="yellow"/>
        </w:rPr>
      </w:pPr>
      <w:r>
        <w:rPr>
          <w:highlight w:val="yellow"/>
        </w:rPr>
        <w:t>Diète hypercalorique</w:t>
      </w:r>
      <w:r w:rsidRPr="00F1741A">
        <w:rPr>
          <w:highlight w:val="yellow"/>
        </w:rPr>
        <w:t xml:space="preserve"> </w:t>
      </w:r>
      <w:r>
        <w:rPr>
          <w:highlight w:val="yellow"/>
        </w:rPr>
        <w:t>(</w:t>
      </w:r>
      <w:r w:rsidRPr="00F1741A">
        <w:rPr>
          <w:highlight w:val="yellow"/>
        </w:rPr>
        <w:t>120-150%</w:t>
      </w:r>
      <w:r>
        <w:rPr>
          <w:highlight w:val="yellow"/>
        </w:rPr>
        <w:t>)</w:t>
      </w:r>
      <w:r w:rsidRPr="00F1741A">
        <w:rPr>
          <w:highlight w:val="yellow"/>
        </w:rPr>
        <w:t>, diète plus riche en sel</w:t>
      </w:r>
    </w:p>
    <w:p w:rsidR="00E93FCE" w:rsidRPr="009801FA" w:rsidRDefault="00E93FCE" w:rsidP="005D429F">
      <w:pPr>
        <w:pStyle w:val="Sansinterligne"/>
        <w:numPr>
          <w:ilvl w:val="1"/>
          <w:numId w:val="1104"/>
        </w:numPr>
        <w:rPr>
          <w:highlight w:val="yellow"/>
        </w:rPr>
      </w:pPr>
      <w:r w:rsidRPr="009801FA">
        <w:rPr>
          <w:highlight w:val="yellow"/>
        </w:rPr>
        <w:t>Psychothérapie</w:t>
      </w:r>
    </w:p>
    <w:p w:rsidR="00E93FCE" w:rsidRDefault="00E93FCE" w:rsidP="005D429F">
      <w:pPr>
        <w:pStyle w:val="Sansinterligne"/>
        <w:numPr>
          <w:ilvl w:val="0"/>
          <w:numId w:val="1104"/>
        </w:numPr>
      </w:pPr>
      <w:r w:rsidRPr="009801FA">
        <w:rPr>
          <w:highlight w:val="yellow"/>
        </w:rPr>
        <w:t>Traiter rapidement toute évidence de surinfection</w:t>
      </w:r>
    </w:p>
    <w:p w:rsidR="00D50F1A" w:rsidRDefault="00E93FCE" w:rsidP="005D429F">
      <w:pPr>
        <w:pStyle w:val="Sansinterligne"/>
        <w:numPr>
          <w:ilvl w:val="0"/>
          <w:numId w:val="1104"/>
        </w:numPr>
      </w:pPr>
      <w:r>
        <w:t>Conseils génétique sur la transmission, fertilité</w:t>
      </w:r>
    </w:p>
    <w:p w:rsidR="00CF7C8F" w:rsidRDefault="00CF7C8F" w:rsidP="00D50F1A">
      <w:pPr>
        <w:pStyle w:val="Sansinterligne"/>
        <w:sectPr w:rsidR="00CF7C8F" w:rsidSect="00CF7C8F">
          <w:type w:val="continuous"/>
          <w:pgSz w:w="12240" w:h="15840"/>
          <w:pgMar w:top="720" w:right="720" w:bottom="720" w:left="720" w:header="708" w:footer="708" w:gutter="0"/>
          <w:cols w:num="2" w:space="708"/>
          <w:docGrid w:linePitch="360"/>
        </w:sectPr>
      </w:pPr>
    </w:p>
    <w:p w:rsidR="00E60207" w:rsidRDefault="00E60207" w:rsidP="00E60207">
      <w:pPr>
        <w:spacing w:after="0"/>
        <w:rPr>
          <w:rFonts w:cs="Times New Roman"/>
          <w:b/>
          <w:color w:val="548DD4" w:themeColor="text2" w:themeTint="99"/>
        </w:rPr>
      </w:pPr>
      <w:r>
        <w:rPr>
          <w:rFonts w:cs="Times New Roman"/>
          <w:b/>
          <w:color w:val="548DD4" w:themeColor="text2" w:themeTint="99"/>
        </w:rPr>
        <w:lastRenderedPageBreak/>
        <w:t>CMC 27-3</w:t>
      </w:r>
    </w:p>
    <w:p w:rsidR="00E60207" w:rsidRPr="00E60207" w:rsidRDefault="00E60207" w:rsidP="00E60207">
      <w:pPr>
        <w:pStyle w:val="Titre3"/>
        <w:spacing w:before="0"/>
        <w:rPr>
          <w:rFonts w:ascii="Times New Roman" w:hAnsi="Times New Roman" w:cs="Times New Roman"/>
        </w:rPr>
      </w:pPr>
      <w:bookmarkStart w:id="99" w:name="_Toc480797279"/>
      <w:r w:rsidRPr="00E60207">
        <w:rPr>
          <w:rFonts w:ascii="Times New Roman" w:hAnsi="Times New Roman" w:cs="Times New Roman"/>
        </w:rPr>
        <w:t>Détresse respiratoire chez l’enfant</w:t>
      </w:r>
      <w:bookmarkEnd w:id="99"/>
    </w:p>
    <w:tbl>
      <w:tblPr>
        <w:tblW w:w="3858" w:type="pct"/>
        <w:tblCellSpacing w:w="0" w:type="dxa"/>
        <w:tblCellMar>
          <w:left w:w="0" w:type="dxa"/>
          <w:right w:w="0" w:type="dxa"/>
        </w:tblCellMar>
        <w:tblLook w:val="04A0" w:firstRow="1" w:lastRow="0" w:firstColumn="1" w:lastColumn="0" w:noHBand="0" w:noVBand="1"/>
      </w:tblPr>
      <w:tblGrid>
        <w:gridCol w:w="8333"/>
      </w:tblGrid>
      <w:tr w:rsidR="00E60207" w:rsidRPr="00E60207" w:rsidTr="00E60207">
        <w:trPr>
          <w:tblCellSpacing w:w="0" w:type="dxa"/>
        </w:trPr>
        <w:tc>
          <w:tcPr>
            <w:tcW w:w="0" w:type="auto"/>
            <w:vAlign w:val="bottom"/>
            <w:hideMark/>
          </w:tcPr>
          <w:p w:rsidR="00E60207" w:rsidRPr="00E60207" w:rsidRDefault="007C1670" w:rsidP="00E60207">
            <w:pPr>
              <w:pStyle w:val="Sansinterligne"/>
              <w:spacing w:before="240"/>
              <w:rPr>
                <w:b/>
                <w:sz w:val="18"/>
                <w:szCs w:val="18"/>
              </w:rPr>
            </w:pPr>
            <w:r>
              <w:rPr>
                <w:b/>
                <w:noProof/>
                <w:sz w:val="18"/>
                <w:szCs w:val="18"/>
                <w:lang w:eastAsia="fr-CA"/>
              </w:rPr>
              <mc:AlternateContent>
                <mc:Choice Requires="wps">
                  <w:drawing>
                    <wp:anchor distT="0" distB="0" distL="114300" distR="114300" simplePos="0" relativeHeight="251881472" behindDoc="0" locked="0" layoutInCell="1" allowOverlap="1" wp14:anchorId="5BDF84E1" wp14:editId="28F99DA2">
                      <wp:simplePos x="0" y="0"/>
                      <wp:positionH relativeFrom="column">
                        <wp:posOffset>-38911</wp:posOffset>
                      </wp:positionH>
                      <wp:positionV relativeFrom="paragraph">
                        <wp:posOffset>104680</wp:posOffset>
                      </wp:positionV>
                      <wp:extent cx="7003915" cy="2850205"/>
                      <wp:effectExtent l="0" t="0" r="26035" b="26670"/>
                      <wp:wrapNone/>
                      <wp:docPr id="391" name="Rectangle 391"/>
                      <wp:cNvGraphicFramePr/>
                      <a:graphic xmlns:a="http://schemas.openxmlformats.org/drawingml/2006/main">
                        <a:graphicData uri="http://schemas.microsoft.com/office/word/2010/wordprocessingShape">
                          <wps:wsp>
                            <wps:cNvSpPr/>
                            <wps:spPr>
                              <a:xfrm>
                                <a:off x="0" y="0"/>
                                <a:ext cx="7003915" cy="2850205"/>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391" o:spid="_x0000_s1026" style="position:absolute;margin-left:-3.05pt;margin-top:8.25pt;width:551.5pt;height:224.45pt;z-index:2518814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" filled="f" strokecolor="black [1600]" strokeweight="2pt"/>
                  </w:pict>
                </mc:Fallback>
              </mc:AlternateContent>
            </w:r>
            <w:r w:rsidR="00E60207" w:rsidRPr="00E60207">
              <w:rPr>
                <w:b/>
                <w:sz w:val="18"/>
                <w:szCs w:val="18"/>
              </w:rPr>
              <w:t>Objectifs principaux</w:t>
            </w:r>
          </w:p>
        </w:tc>
      </w:tr>
    </w:tbl>
    <w:p w:rsidR="00E60207" w:rsidRPr="00E60207" w:rsidRDefault="00E60207" w:rsidP="00E60207">
      <w:pPr>
        <w:pStyle w:val="NormalWeb"/>
        <w:ind w:left="360"/>
        <w:rPr>
          <w:color w:val="000000"/>
          <w:sz w:val="18"/>
          <w:szCs w:val="18"/>
          <w:shd w:val="clear" w:color="auto" w:fill="FFFFFF"/>
        </w:rPr>
      </w:pPr>
      <w:r w:rsidRPr="00E60207">
        <w:rPr>
          <w:color w:val="000000"/>
          <w:sz w:val="18"/>
          <w:szCs w:val="18"/>
          <w:shd w:val="clear" w:color="auto" w:fill="FFFFFF"/>
        </w:rPr>
        <w:t>Dans le cas d'un enfant ayant une dyspnée ou une détresse respiratoire, le candidat devra en diagnostiquer la cause, la gravité et les complications et établir un plan de prise en charge approprié. En particulier, pour une évaluation correcte, il est important de tenir compte de la fréquence respiratoire en fonction de l'âge de l'enfant.</w:t>
      </w:r>
    </w:p>
    <w:tbl>
      <w:tblPr>
        <w:tblW w:w="3897" w:type="pct"/>
        <w:tblCellSpacing w:w="0" w:type="dxa"/>
        <w:tblCellMar>
          <w:left w:w="0" w:type="dxa"/>
          <w:right w:w="0" w:type="dxa"/>
        </w:tblCellMar>
        <w:tblLook w:val="04A0" w:firstRow="1" w:lastRow="0" w:firstColumn="1" w:lastColumn="0" w:noHBand="0" w:noVBand="1"/>
      </w:tblPr>
      <w:tblGrid>
        <w:gridCol w:w="8418"/>
      </w:tblGrid>
      <w:tr w:rsidR="00E60207" w:rsidRPr="00E60207" w:rsidTr="00E60207">
        <w:trPr>
          <w:tblCellSpacing w:w="0" w:type="dxa"/>
        </w:trPr>
        <w:tc>
          <w:tcPr>
            <w:tcW w:w="0" w:type="auto"/>
            <w:vAlign w:val="bottom"/>
            <w:hideMark/>
          </w:tcPr>
          <w:p w:rsidR="00E60207" w:rsidRPr="00E60207" w:rsidRDefault="00E60207" w:rsidP="00E60207">
            <w:pPr>
              <w:pStyle w:val="Sansinterligne"/>
              <w:rPr>
                <w:b/>
                <w:sz w:val="16"/>
                <w:szCs w:val="16"/>
              </w:rPr>
            </w:pPr>
            <w:r w:rsidRPr="00E60207">
              <w:rPr>
                <w:b/>
                <w:sz w:val="16"/>
                <w:szCs w:val="16"/>
              </w:rPr>
              <w:t>Objectifs spécifiques</w:t>
            </w:r>
          </w:p>
        </w:tc>
      </w:tr>
    </w:tbl>
    <w:p w:rsidR="00E60207" w:rsidRPr="00E60207" w:rsidRDefault="00E60207" w:rsidP="00E60207">
      <w:pPr>
        <w:pStyle w:val="NormalWeb"/>
        <w:shd w:val="clear" w:color="auto" w:fill="FFFFFF"/>
        <w:ind w:left="360"/>
        <w:rPr>
          <w:color w:val="000000"/>
          <w:sz w:val="16"/>
          <w:szCs w:val="16"/>
          <w:shd w:val="clear" w:color="auto" w:fill="FFFFFF"/>
        </w:rPr>
      </w:pPr>
      <w:r w:rsidRPr="00E60207">
        <w:rPr>
          <w:color w:val="000000"/>
          <w:sz w:val="16"/>
          <w:szCs w:val="16"/>
          <w:shd w:val="clear" w:color="auto" w:fill="FFFFFF"/>
        </w:rPr>
        <w:t>Dans le cas d'un enfant en détresse respiratoire, le candidat devra</w:t>
      </w:r>
    </w:p>
    <w:p w:rsidR="00E60207" w:rsidRPr="00E60207" w:rsidRDefault="00E60207" w:rsidP="00000B90">
      <w:pPr>
        <w:numPr>
          <w:ilvl w:val="0"/>
          <w:numId w:val="779"/>
        </w:numPr>
        <w:shd w:val="clear" w:color="auto" w:fill="FFFFFF"/>
        <w:spacing w:before="100" w:beforeAutospacing="1" w:after="100" w:afterAutospacing="1" w:line="240" w:lineRule="auto"/>
        <w:rPr>
          <w:rFonts w:cs="Times New Roman"/>
          <w:color w:val="000000"/>
          <w:sz w:val="16"/>
          <w:szCs w:val="16"/>
          <w:shd w:val="clear" w:color="auto" w:fill="FFFFFF"/>
        </w:rPr>
      </w:pPr>
      <w:r w:rsidRPr="00E60207">
        <w:rPr>
          <w:rFonts w:cs="Times New Roman"/>
          <w:color w:val="000000"/>
          <w:sz w:val="16"/>
          <w:szCs w:val="16"/>
          <w:shd w:val="clear" w:color="auto" w:fill="FFFFFF"/>
        </w:rPr>
        <w:t>énumérer et interpréter les constatations cliniques cruciales, notamment :</w:t>
      </w:r>
    </w:p>
    <w:p w:rsidR="00E60207" w:rsidRPr="00E60207" w:rsidRDefault="00E60207" w:rsidP="00000B90">
      <w:pPr>
        <w:numPr>
          <w:ilvl w:val="1"/>
          <w:numId w:val="779"/>
        </w:numPr>
        <w:shd w:val="clear" w:color="auto" w:fill="FFFFFF"/>
        <w:spacing w:before="100" w:beforeAutospacing="1" w:after="100" w:afterAutospacing="1" w:line="240" w:lineRule="auto"/>
        <w:rPr>
          <w:rFonts w:cs="Times New Roman"/>
          <w:color w:val="000000"/>
          <w:sz w:val="16"/>
          <w:szCs w:val="16"/>
          <w:shd w:val="clear" w:color="auto" w:fill="FFFFFF"/>
        </w:rPr>
      </w:pPr>
      <w:r w:rsidRPr="00E60207">
        <w:rPr>
          <w:rFonts w:cs="Times New Roman"/>
          <w:color w:val="000000"/>
          <w:sz w:val="16"/>
          <w:szCs w:val="16"/>
          <w:shd w:val="clear" w:color="auto" w:fill="FFFFFF"/>
        </w:rPr>
        <w:t>distinguer un enfant qui semble bien portant d'un enfant en détresse ou dans un état critique</w:t>
      </w:r>
    </w:p>
    <w:p w:rsidR="00E60207" w:rsidRPr="00E60207" w:rsidRDefault="00E60207" w:rsidP="00000B90">
      <w:pPr>
        <w:numPr>
          <w:ilvl w:val="1"/>
          <w:numId w:val="779"/>
        </w:numPr>
        <w:shd w:val="clear" w:color="auto" w:fill="FFFFFF"/>
        <w:spacing w:before="100" w:beforeAutospacing="1" w:after="100" w:afterAutospacing="1" w:line="240" w:lineRule="auto"/>
        <w:rPr>
          <w:rFonts w:cs="Times New Roman"/>
          <w:color w:val="000000"/>
          <w:sz w:val="16"/>
          <w:szCs w:val="16"/>
          <w:shd w:val="clear" w:color="auto" w:fill="FFFFFF"/>
        </w:rPr>
      </w:pPr>
      <w:r w:rsidRPr="00E60207">
        <w:rPr>
          <w:rFonts w:cs="Times New Roman"/>
          <w:color w:val="000000"/>
          <w:sz w:val="16"/>
          <w:szCs w:val="16"/>
          <w:shd w:val="clear" w:color="auto" w:fill="FFFFFF"/>
        </w:rPr>
        <w:t>dans le cas d'un enfant en détresse ou dans un état critique, évaluer d'abord l'état des voies respiratoires, de la respiration et de la circulation, puis ensuite faire une anamnèse et un examen physique approfondis</w:t>
      </w:r>
    </w:p>
    <w:p w:rsidR="00E60207" w:rsidRPr="00E60207" w:rsidRDefault="00E60207" w:rsidP="00000B90">
      <w:pPr>
        <w:numPr>
          <w:ilvl w:val="1"/>
          <w:numId w:val="779"/>
        </w:numPr>
        <w:shd w:val="clear" w:color="auto" w:fill="FFFFFF"/>
        <w:spacing w:before="100" w:beforeAutospacing="1" w:after="100" w:afterAutospacing="1" w:line="240" w:lineRule="auto"/>
        <w:rPr>
          <w:rFonts w:cs="Times New Roman"/>
          <w:color w:val="000000"/>
          <w:sz w:val="16"/>
          <w:szCs w:val="16"/>
          <w:shd w:val="clear" w:color="auto" w:fill="FFFFFF"/>
        </w:rPr>
      </w:pPr>
      <w:r w:rsidRPr="00E60207">
        <w:rPr>
          <w:rFonts w:cs="Times New Roman"/>
          <w:color w:val="000000"/>
          <w:sz w:val="16"/>
          <w:szCs w:val="16"/>
          <w:shd w:val="clear" w:color="auto" w:fill="FFFFFF"/>
        </w:rPr>
        <w:t>distinguer les causes cardiaques des causes pulmonaires, neuromusculaires ou autres</w:t>
      </w:r>
    </w:p>
    <w:p w:rsidR="00E60207" w:rsidRPr="00E60207" w:rsidRDefault="00E60207" w:rsidP="00000B90">
      <w:pPr>
        <w:numPr>
          <w:ilvl w:val="0"/>
          <w:numId w:val="779"/>
        </w:numPr>
        <w:shd w:val="clear" w:color="auto" w:fill="FFFFFF"/>
        <w:spacing w:before="100" w:beforeAutospacing="1" w:after="100" w:afterAutospacing="1" w:line="240" w:lineRule="auto"/>
        <w:rPr>
          <w:rFonts w:cs="Times New Roman"/>
          <w:color w:val="000000"/>
          <w:sz w:val="16"/>
          <w:szCs w:val="16"/>
          <w:shd w:val="clear" w:color="auto" w:fill="FFFFFF"/>
        </w:rPr>
      </w:pPr>
      <w:r w:rsidRPr="00E60207">
        <w:rPr>
          <w:rFonts w:cs="Times New Roman"/>
          <w:color w:val="000000"/>
          <w:sz w:val="16"/>
          <w:szCs w:val="16"/>
          <w:shd w:val="clear" w:color="auto" w:fill="FFFFFF"/>
        </w:rPr>
        <w:t>énumérer et interpréter les examens essentiels, notamment :</w:t>
      </w:r>
    </w:p>
    <w:p w:rsidR="00E60207" w:rsidRPr="00E60207" w:rsidRDefault="00E60207" w:rsidP="00000B90">
      <w:pPr>
        <w:numPr>
          <w:ilvl w:val="1"/>
          <w:numId w:val="779"/>
        </w:numPr>
        <w:shd w:val="clear" w:color="auto" w:fill="FFFFFF"/>
        <w:spacing w:before="100" w:beforeAutospacing="1" w:after="100" w:afterAutospacing="1" w:line="240" w:lineRule="auto"/>
        <w:rPr>
          <w:rFonts w:cs="Times New Roman"/>
          <w:color w:val="000000"/>
          <w:sz w:val="16"/>
          <w:szCs w:val="16"/>
          <w:shd w:val="clear" w:color="auto" w:fill="FFFFFF"/>
        </w:rPr>
      </w:pPr>
      <w:r w:rsidRPr="00E60207">
        <w:rPr>
          <w:rFonts w:cs="Times New Roman"/>
          <w:color w:val="000000"/>
          <w:sz w:val="16"/>
          <w:szCs w:val="16"/>
          <w:shd w:val="clear" w:color="auto" w:fill="FFFFFF"/>
        </w:rPr>
        <w:t>choisir et interpréter les examens cardiaques et pulmonaires appropriés (p. ex. analyse des gaz du sang artériel, hémogramme)</w:t>
      </w:r>
    </w:p>
    <w:p w:rsidR="00E60207" w:rsidRPr="00E60207" w:rsidRDefault="00E60207" w:rsidP="00000B90">
      <w:pPr>
        <w:numPr>
          <w:ilvl w:val="0"/>
          <w:numId w:val="779"/>
        </w:numPr>
        <w:shd w:val="clear" w:color="auto" w:fill="FFFFFF"/>
        <w:spacing w:before="100" w:beforeAutospacing="1" w:after="100" w:afterAutospacing="1" w:line="240" w:lineRule="auto"/>
        <w:rPr>
          <w:rFonts w:cs="Times New Roman"/>
          <w:color w:val="000000"/>
          <w:sz w:val="16"/>
          <w:szCs w:val="16"/>
          <w:shd w:val="clear" w:color="auto" w:fill="FFFFFF"/>
        </w:rPr>
      </w:pPr>
      <w:r w:rsidRPr="00E60207">
        <w:rPr>
          <w:rFonts w:cs="Times New Roman"/>
          <w:color w:val="000000"/>
          <w:sz w:val="16"/>
          <w:szCs w:val="16"/>
          <w:shd w:val="clear" w:color="auto" w:fill="FFFFFF"/>
        </w:rPr>
        <w:t>élaborer un plan efficace de prise en charge, notamment :</w:t>
      </w:r>
    </w:p>
    <w:p w:rsidR="00E60207" w:rsidRPr="00E60207" w:rsidRDefault="00E60207" w:rsidP="00000B90">
      <w:pPr>
        <w:numPr>
          <w:ilvl w:val="1"/>
          <w:numId w:val="779"/>
        </w:numPr>
        <w:shd w:val="clear" w:color="auto" w:fill="FFFFFF"/>
        <w:spacing w:before="100" w:beforeAutospacing="1" w:after="100" w:afterAutospacing="1" w:line="240" w:lineRule="auto"/>
        <w:rPr>
          <w:rFonts w:cs="Times New Roman"/>
          <w:color w:val="000000"/>
          <w:sz w:val="16"/>
          <w:szCs w:val="16"/>
          <w:shd w:val="clear" w:color="auto" w:fill="FFFFFF"/>
        </w:rPr>
      </w:pPr>
      <w:r w:rsidRPr="00E60207">
        <w:rPr>
          <w:rFonts w:cs="Times New Roman"/>
          <w:color w:val="000000"/>
          <w:sz w:val="16"/>
          <w:szCs w:val="16"/>
          <w:shd w:val="clear" w:color="auto" w:fill="FFFFFF"/>
        </w:rPr>
        <w:t>prendre en charge les patients dont la détresse respiratoire met la vie en danger, et déterminer les quels patients ont besoin d'une hospitalisation ou de soins spécialisés</w:t>
      </w:r>
    </w:p>
    <w:p w:rsidR="00C83F2A" w:rsidRPr="00C83F2A" w:rsidRDefault="00C83F2A" w:rsidP="00C83F2A">
      <w:pPr>
        <w:pStyle w:val="Sansinterligne"/>
        <w:rPr>
          <w:b/>
          <w:sz w:val="16"/>
          <w:szCs w:val="16"/>
        </w:rPr>
      </w:pPr>
    </w:p>
    <w:p w:rsidR="00E60207" w:rsidRDefault="00C83F2A" w:rsidP="00C83F2A">
      <w:pPr>
        <w:pStyle w:val="Sansinterligne"/>
        <w:rPr>
          <w:b/>
          <w:sz w:val="28"/>
          <w:szCs w:val="28"/>
        </w:rPr>
      </w:pPr>
      <w:r>
        <w:rPr>
          <w:b/>
          <w:sz w:val="28"/>
          <w:szCs w:val="28"/>
        </w:rPr>
        <w:t>Définition</w:t>
      </w:r>
    </w:p>
    <w:p w:rsidR="00C83F2A" w:rsidRPr="00C83F2A" w:rsidRDefault="00C83F2A" w:rsidP="00C83F2A">
      <w:pPr>
        <w:pStyle w:val="Sansinterligne"/>
        <w:rPr>
          <w:b/>
          <w:sz w:val="16"/>
          <w:szCs w:val="16"/>
        </w:rPr>
      </w:pPr>
    </w:p>
    <w:p w:rsidR="005A7ECD" w:rsidRDefault="005A7ECD" w:rsidP="00E60207">
      <w:pPr>
        <w:pStyle w:val="Sansinterligne"/>
        <w:rPr>
          <w:lang w:eastAsia="fr-CA"/>
        </w:rPr>
      </w:pPr>
      <w:r w:rsidRPr="004E2352">
        <w:rPr>
          <w:highlight w:val="yellow"/>
          <w:lang w:eastAsia="fr-CA"/>
        </w:rPr>
        <w:t>L’enfant en détresse respiratoire, particulièrement le nouveau-né et le jeune enfant présenteront de la tachypnée, de la tachycardie</w:t>
      </w:r>
      <w:r w:rsidRPr="004E2352">
        <w:rPr>
          <w:rFonts w:ascii="Century Gothic" w:hAnsi="Century Gothic"/>
          <w:highlight w:val="yellow"/>
          <w:lang w:eastAsia="fr-CA"/>
        </w:rPr>
        <w:t xml:space="preserve">, </w:t>
      </w:r>
      <w:r w:rsidRPr="004E2352">
        <w:rPr>
          <w:highlight w:val="yellow"/>
        </w:rPr>
        <w:t xml:space="preserve">du battement des ailes du nez, du tirage et parfois du </w:t>
      </w:r>
      <w:r w:rsidRPr="004E2352">
        <w:rPr>
          <w:i/>
          <w:highlight w:val="yellow"/>
        </w:rPr>
        <w:t>gruntin</w:t>
      </w:r>
      <w:r w:rsidRPr="004E2352">
        <w:rPr>
          <w:highlight w:val="yellow"/>
        </w:rPr>
        <w:t xml:space="preserve">g, soit un bruit apparenté à un grognement correspondant à </w:t>
      </w:r>
      <w:r w:rsidR="009F0FE0" w:rsidRPr="004E2352">
        <w:rPr>
          <w:highlight w:val="yellow"/>
        </w:rPr>
        <w:t>une</w:t>
      </w:r>
      <w:r w:rsidR="001B73C2" w:rsidRPr="004E2352">
        <w:rPr>
          <w:highlight w:val="yellow"/>
        </w:rPr>
        <w:t xml:space="preserve"> tentative d’</w:t>
      </w:r>
      <w:r w:rsidRPr="004E2352">
        <w:rPr>
          <w:highlight w:val="yellow"/>
        </w:rPr>
        <w:t>auto-PEEP</w:t>
      </w:r>
      <w:r w:rsidR="001B73C2" w:rsidRPr="004E2352">
        <w:rPr>
          <w:highlight w:val="yellow"/>
        </w:rPr>
        <w:t xml:space="preserve"> </w:t>
      </w:r>
      <w:r w:rsidR="009F0FE0" w:rsidRPr="004E2352">
        <w:rPr>
          <w:highlight w:val="yellow"/>
        </w:rPr>
        <w:t>de</w:t>
      </w:r>
      <w:r w:rsidR="001B73C2" w:rsidRPr="004E2352">
        <w:rPr>
          <w:highlight w:val="yellow"/>
        </w:rPr>
        <w:t xml:space="preserve"> l’enfant.</w:t>
      </w:r>
    </w:p>
    <w:p w:rsidR="001B73C2" w:rsidRDefault="001B73C2" w:rsidP="00E60207">
      <w:pPr>
        <w:pStyle w:val="Sansinterligne"/>
        <w:rPr>
          <w:lang w:eastAsia="fr-CA"/>
        </w:rPr>
      </w:pPr>
    </w:p>
    <w:p w:rsidR="009979B8" w:rsidRPr="001B73C2" w:rsidRDefault="009979B8" w:rsidP="00E60207">
      <w:pPr>
        <w:pStyle w:val="Sansinterligne"/>
        <w:rPr>
          <w:b/>
          <w:lang w:eastAsia="fr-CA"/>
        </w:rPr>
      </w:pPr>
      <w:r w:rsidRPr="001B73C2">
        <w:rPr>
          <w:b/>
          <w:lang w:eastAsia="fr-CA"/>
        </w:rPr>
        <w:t>Normalité et signes vitaux chez l’enfant</w:t>
      </w:r>
    </w:p>
    <w:p w:rsidR="001B73C2" w:rsidRDefault="001B73C2" w:rsidP="00E60207">
      <w:pPr>
        <w:pStyle w:val="Sansinterligne"/>
        <w:rPr>
          <w:lang w:eastAsia="fr-CA"/>
        </w:rPr>
      </w:pPr>
      <w:r>
        <w:rPr>
          <w:noProof/>
          <w:lang w:eastAsia="fr-CA"/>
        </w:rPr>
        <w:drawing>
          <wp:anchor distT="0" distB="0" distL="114300" distR="114300" simplePos="0" relativeHeight="251883520" behindDoc="0" locked="0" layoutInCell="1" allowOverlap="1" wp14:anchorId="0B2106ED" wp14:editId="0D1378FC">
            <wp:simplePos x="0" y="0"/>
            <wp:positionH relativeFrom="column">
              <wp:posOffset>3170501</wp:posOffset>
            </wp:positionH>
            <wp:positionV relativeFrom="paragraph">
              <wp:posOffset>113665</wp:posOffset>
            </wp:positionV>
            <wp:extent cx="3423920" cy="2281555"/>
            <wp:effectExtent l="0" t="0" r="5080" b="4445"/>
            <wp:wrapNone/>
            <wp:docPr id="393" name="Image 393" descr="Résultats de recherche d'images pour « détresse respiratoire nouveau né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ésultats de recherche d'images pour « détresse respiratoire nouveau né »"/>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423920" cy="228155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fr-CA"/>
        </w:rPr>
        <w:drawing>
          <wp:inline distT="0" distB="0" distL="0" distR="0" wp14:anchorId="3F150894" wp14:editId="24F6F5FA">
            <wp:extent cx="2597285" cy="2593286"/>
            <wp:effectExtent l="0" t="0" r="0" b="0"/>
            <wp:docPr id="395" name="Image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équence respiratoire ped.PNG"/>
                    <pic:cNvPicPr/>
                  </pic:nvPicPr>
                  <pic:blipFill rotWithShape="1">
                    <a:blip r:embed="rId90">
                      <a:extLst>
                        <a:ext uri="{28A0092B-C50C-407E-A947-70E740481C1C}">
                          <a14:useLocalDpi xmlns:a14="http://schemas.microsoft.com/office/drawing/2010/main" val="0"/>
                        </a:ext>
                      </a:extLst>
                    </a:blip>
                    <a:srcRect l="2402"/>
                    <a:stretch/>
                  </pic:blipFill>
                  <pic:spPr bwMode="auto">
                    <a:xfrm>
                      <a:off x="0" y="0"/>
                      <a:ext cx="2597285" cy="2593286"/>
                    </a:xfrm>
                    <a:prstGeom prst="rect">
                      <a:avLst/>
                    </a:prstGeom>
                    <a:ln>
                      <a:noFill/>
                    </a:ln>
                    <a:extLst>
                      <a:ext uri="{53640926-AAD7-44D8-BBD7-CCE9431645EC}">
                        <a14:shadowObscured xmlns:a14="http://schemas.microsoft.com/office/drawing/2010/main"/>
                      </a:ext>
                    </a:extLst>
                  </pic:spPr>
                </pic:pic>
              </a:graphicData>
            </a:graphic>
          </wp:inline>
        </w:drawing>
      </w:r>
    </w:p>
    <w:p w:rsidR="009979B8" w:rsidRDefault="009979B8" w:rsidP="00E60207">
      <w:pPr>
        <w:pStyle w:val="Sansinterligne"/>
        <w:rPr>
          <w:lang w:eastAsia="fr-CA"/>
        </w:rPr>
      </w:pPr>
    </w:p>
    <w:p w:rsidR="00DE6876" w:rsidRDefault="00DE6876" w:rsidP="00E60207">
      <w:pPr>
        <w:pStyle w:val="Sansinterligne"/>
        <w:rPr>
          <w:lang w:eastAsia="fr-CA"/>
        </w:rPr>
        <w:sectPr w:rsidR="00DE6876" w:rsidSect="00540770">
          <w:type w:val="continuous"/>
          <w:pgSz w:w="12240" w:h="15840"/>
          <w:pgMar w:top="720" w:right="720" w:bottom="720" w:left="720" w:header="708" w:footer="708" w:gutter="0"/>
          <w:cols w:space="708"/>
          <w:docGrid w:linePitch="360"/>
        </w:sectPr>
      </w:pPr>
    </w:p>
    <w:p w:rsidR="009979B8" w:rsidRDefault="00DE6876" w:rsidP="00E60207">
      <w:pPr>
        <w:pStyle w:val="Sansinterligne"/>
        <w:rPr>
          <w:lang w:eastAsia="fr-CA"/>
        </w:rPr>
      </w:pPr>
      <w:r>
        <w:rPr>
          <w:lang w:eastAsia="fr-CA"/>
        </w:rPr>
        <w:lastRenderedPageBreak/>
        <w:t>Il</w:t>
      </w:r>
      <w:r w:rsidR="008B3D1B">
        <w:rPr>
          <w:lang w:eastAsia="fr-CA"/>
        </w:rPr>
        <w:t xml:space="preserve"> faut d’abord s’assurer de la stabilité du patient par la méthode ABC, puis une anamnèse avec les parents, l’enfant ou ses soignants et un examen plus complet pourront être fait pour déterminer l’</w:t>
      </w:r>
      <w:r>
        <w:rPr>
          <w:lang w:eastAsia="fr-CA"/>
        </w:rPr>
        <w:t>étiologie.</w:t>
      </w:r>
    </w:p>
    <w:p w:rsidR="008B3D1B" w:rsidRDefault="008B3D1B" w:rsidP="00E60207">
      <w:pPr>
        <w:pStyle w:val="Sansinterligne"/>
        <w:rPr>
          <w:lang w:eastAsia="fr-CA"/>
        </w:rPr>
      </w:pPr>
    </w:p>
    <w:p w:rsidR="008B3D1B" w:rsidRDefault="008B3D1B" w:rsidP="00E60207">
      <w:pPr>
        <w:pStyle w:val="Sansinterligne"/>
        <w:rPr>
          <w:lang w:eastAsia="fr-CA"/>
        </w:rPr>
      </w:pPr>
      <w:r>
        <w:rPr>
          <w:lang w:eastAsia="fr-CA"/>
        </w:rPr>
        <w:t>Moment de la survenue de la détresse (âge de l’enfant, heure du jour, période du repas, au repos</w:t>
      </w:r>
      <w:r w:rsidR="00DE6876">
        <w:rPr>
          <w:lang w:eastAsia="fr-CA"/>
        </w:rPr>
        <w:t xml:space="preserve"> ?</w:t>
      </w:r>
      <w:r>
        <w:rPr>
          <w:lang w:eastAsia="fr-CA"/>
        </w:rPr>
        <w:t xml:space="preserve"> </w:t>
      </w:r>
      <w:r w:rsidR="00DE6876">
        <w:rPr>
          <w:lang w:eastAsia="fr-CA"/>
        </w:rPr>
        <w:t>)</w:t>
      </w:r>
    </w:p>
    <w:p w:rsidR="008B3D1B" w:rsidRDefault="008B3D1B" w:rsidP="00E60207">
      <w:pPr>
        <w:pStyle w:val="Sansinterligne"/>
        <w:rPr>
          <w:lang w:eastAsia="fr-CA"/>
        </w:rPr>
      </w:pPr>
      <w:r>
        <w:rPr>
          <w:lang w:eastAsia="fr-CA"/>
        </w:rPr>
        <w:t>Position de l’enfant (décubitus ?)</w:t>
      </w:r>
    </w:p>
    <w:p w:rsidR="00E45A91" w:rsidRDefault="00E45A91" w:rsidP="00E45A91">
      <w:pPr>
        <w:pStyle w:val="Sansinterligne"/>
        <w:rPr>
          <w:lang w:eastAsia="fr-CA"/>
        </w:rPr>
      </w:pPr>
      <w:r>
        <w:rPr>
          <w:lang w:eastAsia="fr-CA"/>
        </w:rPr>
        <w:lastRenderedPageBreak/>
        <w:t>Notion de corps étranger</w:t>
      </w:r>
    </w:p>
    <w:p w:rsidR="008B3D1B" w:rsidRDefault="008B3D1B" w:rsidP="00E60207">
      <w:pPr>
        <w:pStyle w:val="Sansinterligne"/>
        <w:rPr>
          <w:lang w:eastAsia="fr-CA"/>
        </w:rPr>
      </w:pPr>
      <w:r>
        <w:rPr>
          <w:lang w:eastAsia="fr-CA"/>
        </w:rPr>
        <w:t>Présence ou absence de sons respiratoires ou de pleurs</w:t>
      </w:r>
    </w:p>
    <w:p w:rsidR="008B3D1B" w:rsidRDefault="008B3D1B" w:rsidP="00E60207">
      <w:pPr>
        <w:pStyle w:val="Sansinterligne"/>
        <w:rPr>
          <w:lang w:eastAsia="fr-CA"/>
        </w:rPr>
      </w:pPr>
      <w:r>
        <w:rPr>
          <w:lang w:eastAsia="fr-CA"/>
        </w:rPr>
        <w:t xml:space="preserve">Présence de fièvre ? </w:t>
      </w:r>
    </w:p>
    <w:p w:rsidR="008B3D1B" w:rsidRDefault="008B3D1B" w:rsidP="00E60207">
      <w:pPr>
        <w:pStyle w:val="Sansinterligne"/>
        <w:rPr>
          <w:lang w:eastAsia="fr-CA"/>
        </w:rPr>
      </w:pPr>
      <w:r>
        <w:rPr>
          <w:lang w:eastAsia="fr-CA"/>
        </w:rPr>
        <w:t>Cyanose ?</w:t>
      </w:r>
    </w:p>
    <w:p w:rsidR="008B3D1B" w:rsidRDefault="008B3D1B" w:rsidP="00E60207">
      <w:pPr>
        <w:pStyle w:val="Sansinterligne"/>
        <w:rPr>
          <w:lang w:eastAsia="fr-CA"/>
        </w:rPr>
      </w:pPr>
      <w:r>
        <w:rPr>
          <w:lang w:eastAsia="fr-CA"/>
        </w:rPr>
        <w:t>Tachypnée ?</w:t>
      </w:r>
    </w:p>
    <w:p w:rsidR="008B3D1B" w:rsidRDefault="008B3D1B" w:rsidP="00E60207">
      <w:pPr>
        <w:pStyle w:val="Sansinterligne"/>
        <w:rPr>
          <w:lang w:eastAsia="fr-CA"/>
        </w:rPr>
      </w:pPr>
      <w:r>
        <w:rPr>
          <w:lang w:eastAsia="fr-CA"/>
        </w:rPr>
        <w:t>Tachycardie ?</w:t>
      </w:r>
    </w:p>
    <w:p w:rsidR="008B3D1B" w:rsidRDefault="008B3D1B" w:rsidP="00E60207">
      <w:pPr>
        <w:pStyle w:val="Sansinterligne"/>
        <w:rPr>
          <w:lang w:eastAsia="fr-CA"/>
        </w:rPr>
      </w:pPr>
      <w:r>
        <w:rPr>
          <w:lang w:eastAsia="fr-CA"/>
        </w:rPr>
        <w:t>Altération de l’état de conscience ?</w:t>
      </w:r>
    </w:p>
    <w:p w:rsidR="00DE6876" w:rsidRDefault="00DE6876" w:rsidP="00E60207">
      <w:pPr>
        <w:pStyle w:val="Sansinterligne"/>
        <w:rPr>
          <w:lang w:eastAsia="fr-CA"/>
        </w:rPr>
      </w:pPr>
      <w:r>
        <w:rPr>
          <w:lang w:eastAsia="fr-CA"/>
        </w:rPr>
        <w:t>Douleur ?</w:t>
      </w:r>
    </w:p>
    <w:p w:rsidR="00DE6876" w:rsidRDefault="00DE6876" w:rsidP="00E60207">
      <w:pPr>
        <w:pStyle w:val="Sansinterligne"/>
        <w:rPr>
          <w:lang w:eastAsia="fr-CA"/>
        </w:rPr>
        <w:sectPr w:rsidR="00DE6876" w:rsidSect="00DE6876">
          <w:type w:val="continuous"/>
          <w:pgSz w:w="12240" w:h="15840"/>
          <w:pgMar w:top="720" w:right="720" w:bottom="720" w:left="720" w:header="708" w:footer="708" w:gutter="0"/>
          <w:cols w:num="2" w:space="708"/>
          <w:docGrid w:linePitch="360"/>
        </w:sectPr>
      </w:pPr>
    </w:p>
    <w:p w:rsidR="009979B8" w:rsidRPr="00A912EB" w:rsidRDefault="00A912EB" w:rsidP="00E60207">
      <w:pPr>
        <w:pStyle w:val="Sansinterligne"/>
        <w:rPr>
          <w:b/>
          <w:sz w:val="28"/>
          <w:szCs w:val="28"/>
          <w:lang w:eastAsia="fr-CA"/>
        </w:rPr>
      </w:pPr>
      <w:r w:rsidRPr="00A912EB">
        <w:rPr>
          <w:b/>
          <w:sz w:val="28"/>
          <w:szCs w:val="28"/>
          <w:lang w:eastAsia="fr-CA"/>
        </w:rPr>
        <w:lastRenderedPageBreak/>
        <w:t>Diagnostics (liste non-exhaustive)</w:t>
      </w:r>
      <w:r w:rsidR="006363D3">
        <w:rPr>
          <w:b/>
          <w:sz w:val="28"/>
          <w:szCs w:val="28"/>
          <w:lang w:eastAsia="fr-CA"/>
        </w:rPr>
        <w:t xml:space="preserve"> – Nouveau-né voir </w:t>
      </w:r>
      <w:r w:rsidR="006363D3" w:rsidRPr="006363D3">
        <w:rPr>
          <w:b/>
          <w:i/>
          <w:sz w:val="28"/>
          <w:szCs w:val="28"/>
          <w:lang w:eastAsia="fr-CA"/>
        </w:rPr>
        <w:t>Détresse néonatale CMC 64</w:t>
      </w:r>
    </w:p>
    <w:p w:rsidR="00A912EB" w:rsidRDefault="00A912EB" w:rsidP="00E60207">
      <w:pPr>
        <w:pStyle w:val="Sansinterligne"/>
        <w:rPr>
          <w:lang w:eastAsia="fr-CA"/>
        </w:rPr>
      </w:pPr>
    </w:p>
    <w:p w:rsidR="009979B8" w:rsidRDefault="00BF6ACC" w:rsidP="00BF09F9">
      <w:pPr>
        <w:pStyle w:val="Sansinterligne"/>
        <w:jc w:val="center"/>
        <w:rPr>
          <w:lang w:eastAsia="fr-CA"/>
        </w:rPr>
      </w:pPr>
      <w:r>
        <w:rPr>
          <w:noProof/>
          <w:lang w:eastAsia="fr-CA"/>
        </w:rPr>
        <mc:AlternateContent>
          <mc:Choice Requires="wpg">
            <w:drawing>
              <wp:anchor distT="0" distB="0" distL="114300" distR="114300" simplePos="0" relativeHeight="251893760" behindDoc="0" locked="0" layoutInCell="1" allowOverlap="1" wp14:anchorId="314733FD" wp14:editId="13A24548">
                <wp:simplePos x="0" y="0"/>
                <wp:positionH relativeFrom="column">
                  <wp:posOffset>19050</wp:posOffset>
                </wp:positionH>
                <wp:positionV relativeFrom="paragraph">
                  <wp:posOffset>18064</wp:posOffset>
                </wp:positionV>
                <wp:extent cx="6867728" cy="2529191"/>
                <wp:effectExtent l="0" t="0" r="9525" b="5080"/>
                <wp:wrapNone/>
                <wp:docPr id="407" name="Groupe 407"/>
                <wp:cNvGraphicFramePr/>
                <a:graphic xmlns:a="http://schemas.openxmlformats.org/drawingml/2006/main">
                  <a:graphicData uri="http://schemas.microsoft.com/office/word/2010/wordprocessingGroup">
                    <wpg:wgp>
                      <wpg:cNvGrpSpPr/>
                      <wpg:grpSpPr>
                        <a:xfrm>
                          <a:off x="0" y="0"/>
                          <a:ext cx="6867728" cy="2529191"/>
                          <a:chOff x="0" y="0"/>
                          <a:chExt cx="6867728" cy="2529191"/>
                        </a:xfrm>
                      </wpg:grpSpPr>
                      <pic:pic xmlns:pic="http://schemas.openxmlformats.org/drawingml/2006/picture">
                        <pic:nvPicPr>
                          <pic:cNvPr id="397" name="Image 397" descr="Résultats de recherche d'images pour « tetralogie de fallot »"/>
                          <pic:cNvPicPr>
                            <a:picLocks noChangeAspect="1"/>
                          </pic:cNvPicPr>
                        </pic:nvPicPr>
                        <pic:blipFill>
                          <a:blip r:embed="rId91">
                            <a:extLst>
                              <a:ext uri="{28A0092B-C50C-407E-A947-70E740481C1C}">
                                <a14:useLocalDpi xmlns:a14="http://schemas.microsoft.com/office/drawing/2010/main" val="0"/>
                              </a:ext>
                            </a:extLst>
                          </a:blip>
                          <a:srcRect/>
                          <a:stretch>
                            <a:fillRect/>
                          </a:stretch>
                        </pic:blipFill>
                        <pic:spPr bwMode="auto">
                          <a:xfrm>
                            <a:off x="2101175" y="350196"/>
                            <a:ext cx="2480553" cy="1780161"/>
                          </a:xfrm>
                          <a:prstGeom prst="rect">
                            <a:avLst/>
                          </a:prstGeom>
                          <a:noFill/>
                          <a:ln>
                            <a:noFill/>
                          </a:ln>
                        </pic:spPr>
                      </pic:pic>
                      <pic:pic xmlns:pic="http://schemas.openxmlformats.org/drawingml/2006/picture">
                        <pic:nvPicPr>
                          <pic:cNvPr id="394" name="Image 394" descr="Résultats de recherche d'images pour « epiglottitis x ray »"/>
                          <pic:cNvPicPr>
                            <a:picLocks noChangeAspect="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935805" cy="2247089"/>
                          </a:xfrm>
                          <a:prstGeom prst="rect">
                            <a:avLst/>
                          </a:prstGeom>
                          <a:noFill/>
                          <a:ln>
                            <a:noFill/>
                          </a:ln>
                        </pic:spPr>
                      </pic:pic>
                      <pic:pic xmlns:pic="http://schemas.openxmlformats.org/drawingml/2006/picture">
                        <pic:nvPicPr>
                          <pic:cNvPr id="404" name="Image 404" descr="Résultats de recherche d'images pour « laryngitis x ray »"/>
                          <pic:cNvPicPr>
                            <a:picLocks noChangeAspect="1"/>
                          </pic:cNvPicPr>
                        </pic:nvPicPr>
                        <pic:blipFill>
                          <a:blip r:embed="rId93">
                            <a:extLst>
                              <a:ext uri="{28A0092B-C50C-407E-A947-70E740481C1C}">
                                <a14:useLocalDpi xmlns:a14="http://schemas.microsoft.com/office/drawing/2010/main" val="0"/>
                              </a:ext>
                            </a:extLst>
                          </a:blip>
                          <a:srcRect/>
                          <a:stretch>
                            <a:fillRect/>
                          </a:stretch>
                        </pic:blipFill>
                        <pic:spPr bwMode="auto">
                          <a:xfrm>
                            <a:off x="4727643" y="0"/>
                            <a:ext cx="2140085" cy="2247089"/>
                          </a:xfrm>
                          <a:prstGeom prst="rect">
                            <a:avLst/>
                          </a:prstGeom>
                          <a:noFill/>
                          <a:ln>
                            <a:noFill/>
                          </a:ln>
                        </pic:spPr>
                      </pic:pic>
                      <wps:wsp>
                        <wps:cNvPr id="405" name="Zone de texte 2"/>
                        <wps:cNvSpPr txBox="1">
                          <a:spLocks noChangeArrowheads="1"/>
                        </wps:cNvSpPr>
                        <wps:spPr bwMode="auto">
                          <a:xfrm>
                            <a:off x="0" y="2247089"/>
                            <a:ext cx="1964690" cy="282102"/>
                          </a:xfrm>
                          <a:prstGeom prst="rect">
                            <a:avLst/>
                          </a:prstGeom>
                          <a:solidFill>
                            <a:srgbClr val="FFFFFF"/>
                          </a:solidFill>
                          <a:ln w="9525">
                            <a:noFill/>
                            <a:miter lim="800000"/>
                            <a:headEnd/>
                            <a:tailEnd/>
                          </a:ln>
                        </wps:spPr>
                        <wps:txbx>
                          <w:txbxContent>
                            <w:p w:rsidR="008276DC" w:rsidRPr="00BF6ACC" w:rsidRDefault="008276DC">
                              <w:pPr>
                                <w:rPr>
                                  <w:b/>
                                </w:rPr>
                              </w:pPr>
                              <w:r w:rsidRPr="00BF6ACC">
                                <w:rPr>
                                  <w:b/>
                                </w:rPr>
                                <w:t xml:space="preserve">Épiglottite (signe du pouce)                                </w:t>
                              </w:r>
                            </w:p>
                          </w:txbxContent>
                        </wps:txbx>
                        <wps:bodyPr rot="0" vert="horz" wrap="square" lIns="91440" tIns="45720" rIns="91440" bIns="45720" anchor="t" anchorCtr="0">
                          <a:noAutofit/>
                        </wps:bodyPr>
                      </wps:wsp>
                      <wps:wsp>
                        <wps:cNvPr id="406" name="Zone de texte 2"/>
                        <wps:cNvSpPr txBox="1">
                          <a:spLocks noChangeArrowheads="1"/>
                        </wps:cNvSpPr>
                        <wps:spPr bwMode="auto">
                          <a:xfrm>
                            <a:off x="4863830" y="2247089"/>
                            <a:ext cx="1925955" cy="281940"/>
                          </a:xfrm>
                          <a:prstGeom prst="rect">
                            <a:avLst/>
                          </a:prstGeom>
                          <a:solidFill>
                            <a:srgbClr val="FFFFFF"/>
                          </a:solidFill>
                          <a:ln w="9525">
                            <a:noFill/>
                            <a:miter lim="800000"/>
                            <a:headEnd/>
                            <a:tailEnd/>
                          </a:ln>
                        </wps:spPr>
                        <wps:txbx>
                          <w:txbxContent>
                            <w:p w:rsidR="008276DC" w:rsidRPr="00BF6ACC" w:rsidRDefault="008276DC">
                              <w:pPr>
                                <w:rPr>
                                  <w:b/>
                                </w:rPr>
                              </w:pPr>
                              <w:r w:rsidRPr="00BF6ACC">
                                <w:rPr>
                                  <w:b/>
                                </w:rPr>
                                <w:t>Laryngite (signe du clocher)</w:t>
                              </w:r>
                            </w:p>
                          </w:txbxContent>
                        </wps:txbx>
                        <wps:bodyPr rot="0" vert="horz" wrap="square" lIns="91440" tIns="45720" rIns="91440" bIns="45720" anchor="t" anchorCtr="0">
                          <a:noAutofit/>
                        </wps:bodyPr>
                      </wps:wsp>
                    </wpg:wgp>
                  </a:graphicData>
                </a:graphic>
              </wp:anchor>
            </w:drawing>
          </mc:Choice>
          <mc:Fallback>
            <w:pict>
              <v:group id="Groupe 407" o:spid="_x0000_s1057" style="position:absolute;left:0;text-align:left;margin-left:1.5pt;margin-top:1.4pt;width:540.75pt;height:199.15pt;z-index:251893760" coordsize="68677,25291"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">
                <v:shape id="Image 397" o:spid="_x0000_s1058" type="#_x0000_t75" alt="Résultats de recherche d'images pour « tetralogie de fallot »" style="position:absolute;left:21011;top:3501;width:24806;height:178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YK347HAAAA3AAAAA8AAABkcnMvZG93bnJldi54bWxEj0FLw0AUhO+C/2F5gje70YK2abclaGs8&#10;FZoWSm+P7GsSzL6Nu2ua+uvdguBxmJlvmPlyMK3oyfnGsoLHUQKCuLS64UrBfrd+mIDwAVlja5kU&#10;XMjDcnF7M8dU2zNvqS9CJSKEfYoK6hC6VEpf1mTQj2xHHL2TdQZDlK6S2uE5wk0rn5LkWRpsOC7U&#10;2NFrTeVn8W0UHH/e9Gb9nl3y3mWbIj/kK/N1UOr+bshmIAIN4T/81/7QCsbTF7ieiUdALn4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CYK347HAAAA3AAAAA8AAAAAAAAAAAAA&#10;AAAAnwIAAGRycy9kb3ducmV2LnhtbFBLBQYAAAAABAAEAPcAAACTAwAAAAA=&#10;">
                  <v:imagedata r:id="rId94" o:title="Résultats de recherche d'images pour « tetralogie de fallot »"/>
                  <v:path arrowok="t"/>
                </v:shape>
                <v:shape id="Image 394" o:spid="_x0000_s1059" type="#_x0000_t75" alt="Résultats de recherche d'images pour « epiglottitis x ray »" style="position:absolute;width:19358;height:2247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YHft/FAAAA3AAAAA8AAABkcnMvZG93bnJldi54bWxEj0FrwkAUhO8F/8PyBG91YxuKRleRQquX&#10;Upr24PGZfc2GZt+meavGf98tFHocZuYbZrUZfKvO1EsT2MBsmoEiroJtuDbw8f50OwclEdliG5gM&#10;XElgsx7drLCw4cJvdC5jrRKEpUADLsau0FoqRx5lGjri5H2G3mNMsq+17fGS4L7Vd1n2oD02nBYc&#10;dvToqPoqT97Ad1UOe5vvwlzygzs+v7x2ItqYyXjYLkFFGuJ/+K+9twbuFzn8nklHQK9/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GB37fxQAAANwAAAAPAAAAAAAAAAAAAAAA&#10;AJ8CAABkcnMvZG93bnJldi54bWxQSwUGAAAAAAQABAD3AAAAkQMAAAAA&#10;">
                  <v:imagedata r:id="rId95" o:title="Résultats de recherche d'images pour « epiglottitis x ray »"/>
                  <v:path arrowok="t"/>
                </v:shape>
                <v:shape id="Image 404" o:spid="_x0000_s1060" type="#_x0000_t75" alt="Résultats de recherche d'images pour « laryngitis x ray »" style="position:absolute;left:47276;width:21401;height:2247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IZdvPEAAAA3AAAAA8AAABkcnMvZG93bnJldi54bWxEj9FqwkAURN8L/sNyBV+K7ipSSnQVEZVS&#10;KdToB1yy1ySYvRuym5j+fVcQfBxm5gyzXPe2Eh01vnSsYTpRIIgzZ0rONVzO+/EnCB+QDVaOScMf&#10;eVivBm9LTIy784m6NOQiQtgnqKEIoU6k9FlBFv3E1cTRu7rGYoiyyaVp8B7htpIzpT6kxZLjQoE1&#10;bQvKbmlrNbhDWr7/fE+3lB5b253a3W+eKa1Hw36zABGoD6/ws/1lNMzVHB5n4hGQq3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IZdvPEAAAA3AAAAA8AAAAAAAAAAAAAAAAA&#10;nwIAAGRycy9kb3ducmV2LnhtbFBLBQYAAAAABAAEAPcAAACQAwAAAAA=&#10;">
                  <v:imagedata r:id="rId96" o:title="Résultats de recherche d'images pour « laryngitis x ray »"/>
                  <v:path arrowok="t"/>
                </v:shape>
                <v:shape id="_x0000_s1061" type="#_x0000_t202" style="position:absolute;top:22470;width:19646;height:28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VPDcQA&#10;AADcAAAADwAAAGRycy9kb3ducmV2LnhtbESPzWrDMBCE74W8g9hALyWWE5yfupFNU2jxNT8PsLY2&#10;tom1MpYaO29fFQo9DjPzDbPPJ9OJOw2utaxgGcUgiCurW64VXM6fix0I55E1dpZJwYMc5NnsaY+p&#10;tiMf6X7ytQgQdikqaLzvUyld1ZBBF9meOHhXOxj0QQ611AOOAW46uYrjjTTYclhosKePhqrb6dso&#10;uBbjy/p1LL/8ZXtMNgdst6V9KPU8n97fQHia/H/4r11oBUm8ht8z4QjI7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KFTw3EAAAA3AAAAA8AAAAAAAAAAAAAAAAAmAIAAGRycy9k&#10;b3ducmV2LnhtbFBLBQYAAAAABAAEAPUAAACJAwAAAAA=&#10;" stroked="f">
                  <v:textbox>
                    <w:txbxContent>
                      <w:p w:rsidR="008276DC" w:rsidRPr="00BF6ACC" w:rsidRDefault="008276DC">
                        <w:pPr>
                          <w:rPr>
                            <w:b/>
                          </w:rPr>
                        </w:pPr>
                        <w:r w:rsidRPr="00BF6ACC">
                          <w:rPr>
                            <w:b/>
                          </w:rPr>
                          <w:t xml:space="preserve">Épiglottite (signe du pouce)                                </w:t>
                        </w:r>
                      </w:p>
                    </w:txbxContent>
                  </v:textbox>
                </v:shape>
                <v:shape id="_x0000_s1062" type="#_x0000_t202" style="position:absolute;left:48638;top:22470;width:19259;height:28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fResMA&#10;AADcAAAADwAAAGRycy9kb3ducmV2LnhtbESP0YrCMBRE3xf8h3AFX5Ztqmjd7RpFBcVXXT/gtrm2&#10;ZZub0kRb/94Igo/DzJxhFqve1OJGrassKxhHMQji3OqKCwXnv93XNwjnkTXWlknBnRysloOPBaba&#10;dnyk28kXIkDYpaig9L5JpXR5SQZdZBvi4F1sa9AH2RZSt9gFuKnlJI4TabDisFBiQ9uS8v/T1Si4&#10;HLrP2U+X7f15fpwmG6zmmb0rNRr2618Qnnr/Dr/aB61gGifwPBOO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lfResMAAADcAAAADwAAAAAAAAAAAAAAAACYAgAAZHJzL2Rv&#10;d25yZXYueG1sUEsFBgAAAAAEAAQA9QAAAIgDAAAAAA==&#10;" stroked="f">
                  <v:textbox>
                    <w:txbxContent>
                      <w:p w:rsidR="008276DC" w:rsidRPr="00BF6ACC" w:rsidRDefault="008276DC">
                        <w:pPr>
                          <w:rPr>
                            <w:b/>
                          </w:rPr>
                        </w:pPr>
                        <w:r w:rsidRPr="00BF6ACC">
                          <w:rPr>
                            <w:b/>
                          </w:rPr>
                          <w:t>Laryngite (signe du clocher)</w:t>
                        </w:r>
                      </w:p>
                    </w:txbxContent>
                  </v:textbox>
                </v:shape>
              </v:group>
            </w:pict>
          </mc:Fallback>
        </mc:AlternateContent>
      </w:r>
    </w:p>
    <w:p w:rsidR="00BF6ACC" w:rsidRDefault="00BF6ACC" w:rsidP="00BF09F9">
      <w:pPr>
        <w:pStyle w:val="Sansinterligne"/>
        <w:jc w:val="center"/>
        <w:rPr>
          <w:lang w:eastAsia="fr-CA"/>
        </w:rPr>
      </w:pPr>
    </w:p>
    <w:p w:rsidR="00BF6ACC" w:rsidRDefault="00BF6ACC" w:rsidP="00BF09F9">
      <w:pPr>
        <w:pStyle w:val="Sansinterligne"/>
        <w:jc w:val="center"/>
        <w:rPr>
          <w:lang w:eastAsia="fr-CA"/>
        </w:rPr>
      </w:pPr>
    </w:p>
    <w:p w:rsidR="00BF6ACC" w:rsidRDefault="00BF6ACC" w:rsidP="00BF09F9">
      <w:pPr>
        <w:pStyle w:val="Sansinterligne"/>
        <w:jc w:val="center"/>
        <w:rPr>
          <w:lang w:eastAsia="fr-CA"/>
        </w:rPr>
      </w:pPr>
    </w:p>
    <w:p w:rsidR="00BF6ACC" w:rsidRDefault="00BF6ACC" w:rsidP="00BF09F9">
      <w:pPr>
        <w:pStyle w:val="Sansinterligne"/>
        <w:jc w:val="center"/>
        <w:rPr>
          <w:lang w:eastAsia="fr-CA"/>
        </w:rPr>
      </w:pPr>
    </w:p>
    <w:p w:rsidR="00BF6ACC" w:rsidRDefault="00BF6ACC" w:rsidP="00BF09F9">
      <w:pPr>
        <w:pStyle w:val="Sansinterligne"/>
        <w:jc w:val="center"/>
        <w:rPr>
          <w:lang w:eastAsia="fr-CA"/>
        </w:rPr>
      </w:pPr>
    </w:p>
    <w:p w:rsidR="00BF6ACC" w:rsidRDefault="00BF6ACC" w:rsidP="00BF09F9">
      <w:pPr>
        <w:pStyle w:val="Sansinterligne"/>
        <w:jc w:val="center"/>
        <w:rPr>
          <w:lang w:eastAsia="fr-CA"/>
        </w:rPr>
      </w:pPr>
    </w:p>
    <w:p w:rsidR="00BF6ACC" w:rsidRDefault="00BF6ACC" w:rsidP="00BF09F9">
      <w:pPr>
        <w:pStyle w:val="Sansinterligne"/>
        <w:jc w:val="center"/>
        <w:rPr>
          <w:lang w:eastAsia="fr-CA"/>
        </w:rPr>
      </w:pPr>
    </w:p>
    <w:p w:rsidR="00BF6ACC" w:rsidRDefault="00BF6ACC" w:rsidP="00BF09F9">
      <w:pPr>
        <w:pStyle w:val="Sansinterligne"/>
        <w:jc w:val="center"/>
        <w:rPr>
          <w:lang w:eastAsia="fr-CA"/>
        </w:rPr>
      </w:pPr>
    </w:p>
    <w:p w:rsidR="00BF6ACC" w:rsidRDefault="00BF6ACC" w:rsidP="00BF09F9">
      <w:pPr>
        <w:pStyle w:val="Sansinterligne"/>
        <w:jc w:val="center"/>
        <w:rPr>
          <w:lang w:eastAsia="fr-CA"/>
        </w:rPr>
      </w:pPr>
    </w:p>
    <w:p w:rsidR="00BF6ACC" w:rsidRDefault="00BF6ACC" w:rsidP="00BF09F9">
      <w:pPr>
        <w:pStyle w:val="Sansinterligne"/>
        <w:jc w:val="center"/>
        <w:rPr>
          <w:lang w:eastAsia="fr-CA"/>
        </w:rPr>
      </w:pPr>
    </w:p>
    <w:p w:rsidR="00BF6ACC" w:rsidRDefault="00BF6ACC" w:rsidP="00BF09F9">
      <w:pPr>
        <w:pStyle w:val="Sansinterligne"/>
        <w:jc w:val="center"/>
        <w:rPr>
          <w:lang w:eastAsia="fr-CA"/>
        </w:rPr>
      </w:pPr>
    </w:p>
    <w:p w:rsidR="00BF6ACC" w:rsidRDefault="00BF6ACC" w:rsidP="00BF09F9">
      <w:pPr>
        <w:pStyle w:val="Sansinterligne"/>
        <w:jc w:val="center"/>
        <w:rPr>
          <w:lang w:eastAsia="fr-CA"/>
        </w:rPr>
      </w:pPr>
    </w:p>
    <w:p w:rsidR="00BF6ACC" w:rsidRDefault="00BF6ACC" w:rsidP="00BF09F9">
      <w:pPr>
        <w:pStyle w:val="Sansinterligne"/>
        <w:jc w:val="center"/>
        <w:rPr>
          <w:lang w:eastAsia="fr-CA"/>
        </w:rPr>
      </w:pPr>
    </w:p>
    <w:p w:rsidR="00BF6ACC" w:rsidRDefault="00BF6ACC" w:rsidP="00BF09F9">
      <w:pPr>
        <w:pStyle w:val="Sansinterligne"/>
        <w:jc w:val="center"/>
        <w:rPr>
          <w:lang w:eastAsia="fr-CA"/>
        </w:rPr>
      </w:pPr>
    </w:p>
    <w:p w:rsidR="00BF6ACC" w:rsidRDefault="00BF6ACC" w:rsidP="00BF6ACC">
      <w:pPr>
        <w:pStyle w:val="Sansinterligne"/>
        <w:rPr>
          <w:lang w:eastAsia="fr-CA"/>
        </w:rPr>
      </w:pPr>
    </w:p>
    <w:tbl>
      <w:tblPr>
        <w:tblStyle w:val="Grilledutableau"/>
        <w:tblW w:w="0" w:type="auto"/>
        <w:tblLook w:val="04A0" w:firstRow="1" w:lastRow="0" w:firstColumn="1" w:lastColumn="0" w:noHBand="0" w:noVBand="1"/>
      </w:tblPr>
      <w:tblGrid>
        <w:gridCol w:w="1910"/>
        <w:gridCol w:w="4553"/>
        <w:gridCol w:w="591"/>
        <w:gridCol w:w="3962"/>
      </w:tblGrid>
      <w:tr w:rsidR="00B85210" w:rsidTr="0026248C">
        <w:tc>
          <w:tcPr>
            <w:tcW w:w="11016" w:type="dxa"/>
            <w:gridSpan w:val="4"/>
            <w:shd w:val="clear" w:color="auto" w:fill="FFC000"/>
          </w:tcPr>
          <w:p w:rsidR="00B85210" w:rsidRDefault="00B85210" w:rsidP="009979B8">
            <w:pPr>
              <w:pStyle w:val="Sansinterligne"/>
              <w:jc w:val="center"/>
              <w:rPr>
                <w:lang w:eastAsia="fr-CA"/>
              </w:rPr>
            </w:pPr>
            <w:r>
              <w:rPr>
                <w:lang w:eastAsia="fr-CA"/>
              </w:rPr>
              <w:t>Jeune enfant et adolescent</w:t>
            </w:r>
          </w:p>
        </w:tc>
      </w:tr>
      <w:tr w:rsidR="00B85210" w:rsidTr="00A56C0D">
        <w:tc>
          <w:tcPr>
            <w:tcW w:w="1910" w:type="dxa"/>
            <w:shd w:val="clear" w:color="auto" w:fill="FABF8F" w:themeFill="accent6" w:themeFillTint="99"/>
          </w:tcPr>
          <w:p w:rsidR="00B85210" w:rsidRPr="004811D3" w:rsidRDefault="00B85210" w:rsidP="00382C96">
            <w:pPr>
              <w:pStyle w:val="Sansinterligne"/>
              <w:jc w:val="center"/>
              <w:rPr>
                <w:i/>
                <w:lang w:eastAsia="fr-CA"/>
              </w:rPr>
            </w:pPr>
            <w:r w:rsidRPr="004811D3">
              <w:rPr>
                <w:i/>
                <w:lang w:eastAsia="fr-CA"/>
              </w:rPr>
              <w:t>Diagnostic</w:t>
            </w:r>
          </w:p>
        </w:tc>
        <w:tc>
          <w:tcPr>
            <w:tcW w:w="5144" w:type="dxa"/>
            <w:gridSpan w:val="2"/>
            <w:shd w:val="clear" w:color="auto" w:fill="FABF8F" w:themeFill="accent6" w:themeFillTint="99"/>
          </w:tcPr>
          <w:p w:rsidR="00B85210" w:rsidRPr="004811D3" w:rsidRDefault="00B85210" w:rsidP="00382C96">
            <w:pPr>
              <w:pStyle w:val="Sansinterligne"/>
              <w:jc w:val="center"/>
              <w:rPr>
                <w:i/>
                <w:lang w:eastAsia="fr-CA"/>
              </w:rPr>
            </w:pPr>
            <w:r w:rsidRPr="004811D3">
              <w:rPr>
                <w:i/>
                <w:lang w:eastAsia="fr-CA"/>
              </w:rPr>
              <w:t>Manifestations cliniques</w:t>
            </w:r>
          </w:p>
        </w:tc>
        <w:tc>
          <w:tcPr>
            <w:tcW w:w="3962" w:type="dxa"/>
            <w:shd w:val="clear" w:color="auto" w:fill="FABF8F" w:themeFill="accent6" w:themeFillTint="99"/>
          </w:tcPr>
          <w:p w:rsidR="00B85210" w:rsidRPr="004811D3" w:rsidRDefault="00B85210" w:rsidP="00382C96">
            <w:pPr>
              <w:pStyle w:val="Sansinterligne"/>
              <w:jc w:val="center"/>
              <w:rPr>
                <w:i/>
                <w:lang w:eastAsia="fr-CA"/>
              </w:rPr>
            </w:pPr>
            <w:r>
              <w:rPr>
                <w:i/>
                <w:lang w:eastAsia="fr-CA"/>
              </w:rPr>
              <w:t>Traitement</w:t>
            </w:r>
          </w:p>
        </w:tc>
      </w:tr>
      <w:tr w:rsidR="00B85210" w:rsidTr="00A56C0D">
        <w:tc>
          <w:tcPr>
            <w:tcW w:w="1910" w:type="dxa"/>
            <w:shd w:val="clear" w:color="auto" w:fill="FABF8F" w:themeFill="accent6" w:themeFillTint="99"/>
            <w:vAlign w:val="center"/>
          </w:tcPr>
          <w:p w:rsidR="00B85210" w:rsidRDefault="00B85210" w:rsidP="00E4096D">
            <w:pPr>
              <w:pStyle w:val="Sansinterligne"/>
              <w:jc w:val="center"/>
              <w:rPr>
                <w:lang w:eastAsia="fr-CA"/>
              </w:rPr>
            </w:pPr>
            <w:r>
              <w:rPr>
                <w:lang w:eastAsia="fr-CA"/>
              </w:rPr>
              <w:t>Corps étranger</w:t>
            </w:r>
          </w:p>
        </w:tc>
        <w:tc>
          <w:tcPr>
            <w:tcW w:w="5144" w:type="dxa"/>
            <w:gridSpan w:val="2"/>
            <w:shd w:val="clear" w:color="auto" w:fill="FFFF00"/>
          </w:tcPr>
          <w:p w:rsidR="00B85210" w:rsidRDefault="008109FA" w:rsidP="008109FA">
            <w:pPr>
              <w:pStyle w:val="Sansinterligne"/>
              <w:numPr>
                <w:ilvl w:val="0"/>
                <w:numId w:val="835"/>
              </w:numPr>
              <w:rPr>
                <w:lang w:eastAsia="fr-CA"/>
              </w:rPr>
            </w:pPr>
            <w:r>
              <w:rPr>
                <w:lang w:eastAsia="fr-CA"/>
              </w:rPr>
              <w:t>Histoire d’étouffement (témoin)</w:t>
            </w:r>
          </w:p>
          <w:p w:rsidR="008109FA" w:rsidRDefault="008109FA" w:rsidP="008109FA">
            <w:pPr>
              <w:pStyle w:val="Sansinterligne"/>
              <w:numPr>
                <w:ilvl w:val="0"/>
                <w:numId w:val="835"/>
              </w:numPr>
              <w:rPr>
                <w:lang w:eastAsia="fr-CA"/>
              </w:rPr>
            </w:pPr>
            <w:r>
              <w:rPr>
                <w:lang w:eastAsia="fr-CA"/>
              </w:rPr>
              <w:t>Toujours suspecter chez le jeune enfant</w:t>
            </w:r>
          </w:p>
          <w:p w:rsidR="008109FA" w:rsidRDefault="008109FA" w:rsidP="008109FA">
            <w:pPr>
              <w:pStyle w:val="Sansinterligne"/>
              <w:numPr>
                <w:ilvl w:val="0"/>
                <w:numId w:val="835"/>
              </w:numPr>
              <w:rPr>
                <w:lang w:eastAsia="fr-CA"/>
              </w:rPr>
            </w:pPr>
            <w:r>
              <w:rPr>
                <w:lang w:eastAsia="fr-CA"/>
              </w:rPr>
              <w:t xml:space="preserve">Parfois </w:t>
            </w:r>
            <w:r>
              <w:rPr>
                <w:rFonts w:cs="Times New Roman"/>
                <w:lang w:eastAsia="fr-CA"/>
              </w:rPr>
              <w:t>↓</w:t>
            </w:r>
            <w:r>
              <w:rPr>
                <w:lang w:eastAsia="fr-CA"/>
              </w:rPr>
              <w:t xml:space="preserve"> MV </w:t>
            </w:r>
            <w:r>
              <w:rPr>
                <w:rFonts w:cs="Times New Roman"/>
                <w:lang w:eastAsia="fr-CA"/>
              </w:rPr>
              <w:t>±</w:t>
            </w:r>
            <w:r>
              <w:rPr>
                <w:lang w:eastAsia="fr-CA"/>
              </w:rPr>
              <w:t xml:space="preserve"> hypertympanisme d’un seul côté</w:t>
            </w:r>
          </w:p>
          <w:p w:rsidR="005A1DFA" w:rsidRDefault="005A1DFA" w:rsidP="008109FA">
            <w:pPr>
              <w:pStyle w:val="Sansinterligne"/>
              <w:numPr>
                <w:ilvl w:val="0"/>
                <w:numId w:val="835"/>
              </w:numPr>
              <w:rPr>
                <w:lang w:eastAsia="fr-CA"/>
              </w:rPr>
            </w:pPr>
            <w:r>
              <w:rPr>
                <w:lang w:eastAsia="fr-CA"/>
              </w:rPr>
              <w:t>Wheezing</w:t>
            </w:r>
          </w:p>
          <w:p w:rsidR="008109FA" w:rsidRDefault="008109FA" w:rsidP="008109FA">
            <w:pPr>
              <w:pStyle w:val="Sansinterligne"/>
              <w:numPr>
                <w:ilvl w:val="0"/>
                <w:numId w:val="835"/>
              </w:numPr>
              <w:rPr>
                <w:lang w:eastAsia="fr-CA"/>
              </w:rPr>
            </w:pPr>
            <w:r>
              <w:rPr>
                <w:lang w:eastAsia="fr-CA"/>
              </w:rPr>
              <w:t>Dysphonie</w:t>
            </w:r>
          </w:p>
        </w:tc>
        <w:tc>
          <w:tcPr>
            <w:tcW w:w="3962" w:type="dxa"/>
            <w:shd w:val="clear" w:color="auto" w:fill="FFFF00"/>
          </w:tcPr>
          <w:p w:rsidR="00B85210" w:rsidRPr="00CD72ED" w:rsidRDefault="00682575" w:rsidP="00682575">
            <w:pPr>
              <w:pStyle w:val="Sansinterligne"/>
              <w:numPr>
                <w:ilvl w:val="0"/>
                <w:numId w:val="836"/>
              </w:numPr>
              <w:rPr>
                <w:lang w:eastAsia="fr-CA"/>
              </w:rPr>
            </w:pPr>
            <w:r>
              <w:rPr>
                <w:lang w:eastAsia="fr-CA"/>
              </w:rPr>
              <w:t>O</w:t>
            </w:r>
            <w:r w:rsidRPr="00682575">
              <w:rPr>
                <w:vertAlign w:val="subscript"/>
                <w:lang w:eastAsia="fr-CA"/>
              </w:rPr>
              <w:t>2</w:t>
            </w:r>
          </w:p>
          <w:p w:rsidR="00CD72ED" w:rsidRPr="00CD72ED" w:rsidRDefault="00CD72ED" w:rsidP="00682575">
            <w:pPr>
              <w:pStyle w:val="Sansinterligne"/>
              <w:numPr>
                <w:ilvl w:val="0"/>
                <w:numId w:val="836"/>
              </w:numPr>
              <w:rPr>
                <w:lang w:eastAsia="fr-CA"/>
              </w:rPr>
            </w:pPr>
            <w:r w:rsidRPr="00CD72ED">
              <w:rPr>
                <w:lang w:eastAsia="fr-CA"/>
              </w:rPr>
              <w:t>Réanimation si perte de conscience</w:t>
            </w:r>
          </w:p>
          <w:p w:rsidR="00682575" w:rsidRDefault="00682575" w:rsidP="00682575">
            <w:pPr>
              <w:pStyle w:val="Sansinterligne"/>
              <w:numPr>
                <w:ilvl w:val="0"/>
                <w:numId w:val="836"/>
              </w:numPr>
              <w:rPr>
                <w:lang w:eastAsia="fr-CA"/>
              </w:rPr>
            </w:pPr>
            <w:r>
              <w:rPr>
                <w:lang w:eastAsia="fr-CA"/>
              </w:rPr>
              <w:t>Extraction du corps étranger par bronchoscopie</w:t>
            </w:r>
          </w:p>
        </w:tc>
      </w:tr>
      <w:tr w:rsidR="00B85210" w:rsidTr="00A56C0D">
        <w:tc>
          <w:tcPr>
            <w:tcW w:w="1910" w:type="dxa"/>
            <w:shd w:val="clear" w:color="auto" w:fill="FABF8F" w:themeFill="accent6" w:themeFillTint="99"/>
            <w:vAlign w:val="center"/>
          </w:tcPr>
          <w:p w:rsidR="00B85210" w:rsidRDefault="00B85210" w:rsidP="00E4096D">
            <w:pPr>
              <w:pStyle w:val="Sansinterligne"/>
              <w:jc w:val="center"/>
              <w:rPr>
                <w:lang w:eastAsia="fr-CA"/>
              </w:rPr>
            </w:pPr>
            <w:r>
              <w:rPr>
                <w:lang w:eastAsia="fr-CA"/>
              </w:rPr>
              <w:t>Laryngite</w:t>
            </w:r>
          </w:p>
        </w:tc>
        <w:tc>
          <w:tcPr>
            <w:tcW w:w="5144" w:type="dxa"/>
            <w:gridSpan w:val="2"/>
            <w:shd w:val="clear" w:color="auto" w:fill="FFFF00"/>
          </w:tcPr>
          <w:p w:rsidR="00B85210" w:rsidRDefault="00D30696" w:rsidP="002C068B">
            <w:pPr>
              <w:pStyle w:val="Sansinterligne"/>
              <w:numPr>
                <w:ilvl w:val="0"/>
                <w:numId w:val="833"/>
              </w:numPr>
              <w:rPr>
                <w:lang w:eastAsia="fr-CA"/>
              </w:rPr>
            </w:pPr>
            <w:r>
              <w:rPr>
                <w:lang w:eastAsia="fr-CA"/>
              </w:rPr>
              <w:t>Début progressif</w:t>
            </w:r>
          </w:p>
          <w:p w:rsidR="00D30696" w:rsidRDefault="00D30696" w:rsidP="002C068B">
            <w:pPr>
              <w:pStyle w:val="Sansinterligne"/>
              <w:numPr>
                <w:ilvl w:val="0"/>
                <w:numId w:val="833"/>
              </w:numPr>
              <w:rPr>
                <w:lang w:eastAsia="fr-CA"/>
              </w:rPr>
            </w:pPr>
            <w:r>
              <w:rPr>
                <w:lang w:eastAsia="fr-CA"/>
              </w:rPr>
              <w:t>Toux</w:t>
            </w:r>
            <w:r w:rsidR="00DF30DC">
              <w:rPr>
                <w:lang w:eastAsia="fr-CA"/>
              </w:rPr>
              <w:t xml:space="preserve"> aboyante</w:t>
            </w:r>
          </w:p>
          <w:p w:rsidR="00242FF5" w:rsidRDefault="00242FF5" w:rsidP="002C068B">
            <w:pPr>
              <w:pStyle w:val="Sansinterligne"/>
              <w:numPr>
                <w:ilvl w:val="0"/>
                <w:numId w:val="833"/>
              </w:numPr>
              <w:rPr>
                <w:lang w:eastAsia="fr-CA"/>
              </w:rPr>
            </w:pPr>
            <w:r>
              <w:rPr>
                <w:lang w:eastAsia="fr-CA"/>
              </w:rPr>
              <w:t>Sx d’IVRS</w:t>
            </w:r>
          </w:p>
          <w:p w:rsidR="00D30696" w:rsidRDefault="00D30696" w:rsidP="002C068B">
            <w:pPr>
              <w:pStyle w:val="Sansinterligne"/>
              <w:numPr>
                <w:ilvl w:val="0"/>
                <w:numId w:val="833"/>
              </w:numPr>
              <w:rPr>
                <w:lang w:eastAsia="fr-CA"/>
              </w:rPr>
            </w:pPr>
            <w:r>
              <w:rPr>
                <w:lang w:eastAsia="fr-CA"/>
              </w:rPr>
              <w:t>Stridor</w:t>
            </w:r>
            <w:r w:rsidR="00DF30DC">
              <w:rPr>
                <w:lang w:eastAsia="fr-CA"/>
              </w:rPr>
              <w:t xml:space="preserve"> inspiratoire</w:t>
            </w:r>
          </w:p>
          <w:p w:rsidR="00DF30DC" w:rsidRDefault="00DF30DC" w:rsidP="002C068B">
            <w:pPr>
              <w:pStyle w:val="Sansinterligne"/>
              <w:numPr>
                <w:ilvl w:val="0"/>
                <w:numId w:val="833"/>
              </w:numPr>
              <w:rPr>
                <w:lang w:eastAsia="fr-CA"/>
              </w:rPr>
            </w:pPr>
            <w:r>
              <w:rPr>
                <w:lang w:eastAsia="fr-CA"/>
              </w:rPr>
              <w:t>Pire la nuit</w:t>
            </w:r>
          </w:p>
          <w:p w:rsidR="00DF30DC" w:rsidRDefault="00DF30DC" w:rsidP="002C068B">
            <w:pPr>
              <w:pStyle w:val="Sansinterligne"/>
              <w:numPr>
                <w:ilvl w:val="0"/>
                <w:numId w:val="833"/>
              </w:numPr>
              <w:rPr>
                <w:lang w:eastAsia="fr-CA"/>
              </w:rPr>
            </w:pPr>
            <w:r>
              <w:rPr>
                <w:lang w:eastAsia="fr-CA"/>
              </w:rPr>
              <w:t>Améliorée par l’air froid</w:t>
            </w:r>
          </w:p>
          <w:p w:rsidR="00DF30DC" w:rsidRDefault="00DF30DC" w:rsidP="002C068B">
            <w:pPr>
              <w:pStyle w:val="Sansinterligne"/>
              <w:numPr>
                <w:ilvl w:val="0"/>
                <w:numId w:val="833"/>
              </w:numPr>
              <w:rPr>
                <w:lang w:eastAsia="fr-CA"/>
              </w:rPr>
            </w:pPr>
            <w:r>
              <w:rPr>
                <w:lang w:eastAsia="fr-CA"/>
              </w:rPr>
              <w:t>Tirage, battement des ailes du nez</w:t>
            </w:r>
          </w:p>
        </w:tc>
        <w:tc>
          <w:tcPr>
            <w:tcW w:w="3962" w:type="dxa"/>
            <w:shd w:val="clear" w:color="auto" w:fill="FFFF00"/>
          </w:tcPr>
          <w:p w:rsidR="00B85210" w:rsidRDefault="00DF30DC" w:rsidP="0027188E">
            <w:pPr>
              <w:pStyle w:val="Sansinterligne"/>
              <w:numPr>
                <w:ilvl w:val="0"/>
                <w:numId w:val="832"/>
              </w:numPr>
              <w:ind w:left="360"/>
              <w:rPr>
                <w:lang w:eastAsia="fr-CA"/>
              </w:rPr>
            </w:pPr>
            <w:r>
              <w:rPr>
                <w:lang w:eastAsia="fr-CA"/>
              </w:rPr>
              <w:t>Air frais humidifié</w:t>
            </w:r>
          </w:p>
          <w:p w:rsidR="00DF30DC" w:rsidRDefault="00DF30DC" w:rsidP="0027188E">
            <w:pPr>
              <w:pStyle w:val="Sansinterligne"/>
              <w:numPr>
                <w:ilvl w:val="0"/>
                <w:numId w:val="832"/>
              </w:numPr>
              <w:ind w:left="360"/>
              <w:rPr>
                <w:lang w:eastAsia="fr-CA"/>
              </w:rPr>
            </w:pPr>
            <w:r>
              <w:rPr>
                <w:lang w:eastAsia="fr-CA"/>
              </w:rPr>
              <w:t>Dexaméthasone 0,6mg/kg x 1</w:t>
            </w:r>
          </w:p>
          <w:p w:rsidR="00DF30DC" w:rsidRPr="002C068B" w:rsidRDefault="00DF30DC" w:rsidP="002C068B">
            <w:pPr>
              <w:pStyle w:val="Sansinterligne"/>
              <w:rPr>
                <w:u w:val="single"/>
                <w:lang w:eastAsia="fr-CA"/>
              </w:rPr>
            </w:pPr>
            <w:r w:rsidRPr="002C068B">
              <w:rPr>
                <w:u w:val="single"/>
                <w:lang w:eastAsia="fr-CA"/>
              </w:rPr>
              <w:t>Si sévère</w:t>
            </w:r>
          </w:p>
          <w:p w:rsidR="0027188E" w:rsidRDefault="00DF30DC" w:rsidP="0027188E">
            <w:pPr>
              <w:pStyle w:val="Sansinterligne"/>
              <w:numPr>
                <w:ilvl w:val="0"/>
                <w:numId w:val="832"/>
              </w:numPr>
              <w:ind w:left="360"/>
              <w:rPr>
                <w:lang w:eastAsia="fr-CA"/>
              </w:rPr>
            </w:pPr>
            <w:r>
              <w:rPr>
                <w:lang w:eastAsia="fr-CA"/>
              </w:rPr>
              <w:t>Adrénaline en nébulliseur</w:t>
            </w:r>
            <w:r w:rsidR="0027188E">
              <w:rPr>
                <w:lang w:eastAsia="fr-CA"/>
              </w:rPr>
              <w:t xml:space="preserve"> 0,5 mg/kg 1 :1000 + dexaméthasone</w:t>
            </w:r>
          </w:p>
          <w:p w:rsidR="0027188E" w:rsidRPr="002C068B" w:rsidRDefault="0027188E" w:rsidP="002C068B">
            <w:pPr>
              <w:pStyle w:val="Sansinterligne"/>
              <w:rPr>
                <w:u w:val="single"/>
                <w:lang w:eastAsia="fr-CA"/>
              </w:rPr>
            </w:pPr>
            <w:r w:rsidRPr="002C068B">
              <w:rPr>
                <w:u w:val="single"/>
                <w:lang w:eastAsia="fr-CA"/>
              </w:rPr>
              <w:t>Si laryngotrachéite bactérienne</w:t>
            </w:r>
          </w:p>
          <w:p w:rsidR="0027188E" w:rsidRDefault="0027188E" w:rsidP="0027188E">
            <w:pPr>
              <w:pStyle w:val="Sansinterligne"/>
              <w:numPr>
                <w:ilvl w:val="0"/>
                <w:numId w:val="832"/>
              </w:numPr>
              <w:ind w:left="360"/>
              <w:rPr>
                <w:lang w:eastAsia="fr-CA"/>
              </w:rPr>
            </w:pPr>
            <w:r>
              <w:rPr>
                <w:lang w:eastAsia="fr-CA"/>
              </w:rPr>
              <w:t>Intubation d’emblée</w:t>
            </w:r>
          </w:p>
          <w:p w:rsidR="0027188E" w:rsidRDefault="0027188E" w:rsidP="0027188E">
            <w:pPr>
              <w:pStyle w:val="Sansinterligne"/>
              <w:numPr>
                <w:ilvl w:val="0"/>
                <w:numId w:val="832"/>
              </w:numPr>
              <w:ind w:left="360"/>
              <w:rPr>
                <w:lang w:eastAsia="fr-CA"/>
              </w:rPr>
            </w:pPr>
            <w:r>
              <w:rPr>
                <w:lang w:eastAsia="fr-CA"/>
              </w:rPr>
              <w:t>Cloxacilline + Céfotaxime</w:t>
            </w:r>
          </w:p>
        </w:tc>
      </w:tr>
      <w:tr w:rsidR="00B85210" w:rsidTr="00A56C0D">
        <w:tc>
          <w:tcPr>
            <w:tcW w:w="1910" w:type="dxa"/>
            <w:shd w:val="clear" w:color="auto" w:fill="FABF8F" w:themeFill="accent6" w:themeFillTint="99"/>
            <w:vAlign w:val="center"/>
          </w:tcPr>
          <w:p w:rsidR="00B85210" w:rsidRDefault="00B85210" w:rsidP="00E4096D">
            <w:pPr>
              <w:pStyle w:val="Sansinterligne"/>
              <w:jc w:val="center"/>
              <w:rPr>
                <w:lang w:eastAsia="fr-CA"/>
              </w:rPr>
            </w:pPr>
            <w:r>
              <w:rPr>
                <w:lang w:eastAsia="fr-CA"/>
              </w:rPr>
              <w:t>Épiglottite</w:t>
            </w:r>
          </w:p>
          <w:p w:rsidR="00E4096D" w:rsidRDefault="00E4096D" w:rsidP="00E4096D">
            <w:pPr>
              <w:pStyle w:val="Sansinterligne"/>
              <w:jc w:val="center"/>
              <w:rPr>
                <w:lang w:eastAsia="fr-CA"/>
              </w:rPr>
            </w:pPr>
          </w:p>
          <w:p w:rsidR="00E4096D" w:rsidRPr="00E4096D" w:rsidRDefault="00E4096D" w:rsidP="00E4096D">
            <w:pPr>
              <w:pStyle w:val="Sansinterligne"/>
              <w:jc w:val="center"/>
              <w:rPr>
                <w:b/>
                <w:lang w:val="de-DE" w:eastAsia="fr-CA"/>
              </w:rPr>
            </w:pPr>
            <w:r w:rsidRPr="00E4096D">
              <w:rPr>
                <w:b/>
                <w:lang w:val="de-DE" w:eastAsia="fr-CA"/>
              </w:rPr>
              <w:t>4D</w:t>
            </w:r>
          </w:p>
          <w:p w:rsidR="00E4096D" w:rsidRPr="00E4096D" w:rsidRDefault="00E4096D" w:rsidP="00E4096D">
            <w:pPr>
              <w:pStyle w:val="Sansinterligne"/>
              <w:jc w:val="center"/>
              <w:rPr>
                <w:lang w:val="de-DE" w:eastAsia="fr-CA"/>
              </w:rPr>
            </w:pPr>
            <w:r w:rsidRPr="00E4096D">
              <w:rPr>
                <w:b/>
                <w:lang w:val="de-DE" w:eastAsia="fr-CA"/>
              </w:rPr>
              <w:t>D</w:t>
            </w:r>
            <w:r w:rsidRPr="00E4096D">
              <w:rPr>
                <w:lang w:val="de-DE" w:eastAsia="fr-CA"/>
              </w:rPr>
              <w:t>ysphonie</w:t>
            </w:r>
          </w:p>
          <w:p w:rsidR="00E4096D" w:rsidRPr="00E4096D" w:rsidRDefault="00E4096D" w:rsidP="00E4096D">
            <w:pPr>
              <w:pStyle w:val="Sansinterligne"/>
              <w:jc w:val="center"/>
              <w:rPr>
                <w:lang w:val="de-DE" w:eastAsia="fr-CA"/>
              </w:rPr>
            </w:pPr>
            <w:r w:rsidRPr="00E4096D">
              <w:rPr>
                <w:b/>
                <w:lang w:val="de-DE" w:eastAsia="fr-CA"/>
              </w:rPr>
              <w:t>D</w:t>
            </w:r>
            <w:r w:rsidRPr="00E4096D">
              <w:rPr>
                <w:lang w:val="de-DE" w:eastAsia="fr-CA"/>
              </w:rPr>
              <w:t>ysphagie</w:t>
            </w:r>
          </w:p>
          <w:p w:rsidR="00E4096D" w:rsidRPr="00E4096D" w:rsidRDefault="00E4096D" w:rsidP="00E4096D">
            <w:pPr>
              <w:pStyle w:val="Sansinterligne"/>
              <w:jc w:val="center"/>
              <w:rPr>
                <w:lang w:val="de-DE" w:eastAsia="fr-CA"/>
              </w:rPr>
            </w:pPr>
            <w:r w:rsidRPr="00E4096D">
              <w:rPr>
                <w:b/>
                <w:lang w:val="de-DE" w:eastAsia="fr-CA"/>
              </w:rPr>
              <w:t>D</w:t>
            </w:r>
            <w:r w:rsidRPr="00E4096D">
              <w:rPr>
                <w:lang w:val="de-DE" w:eastAsia="fr-CA"/>
              </w:rPr>
              <w:t>rooling</w:t>
            </w:r>
          </w:p>
          <w:p w:rsidR="00E4096D" w:rsidRPr="00E4096D" w:rsidRDefault="00E4096D" w:rsidP="00E4096D">
            <w:pPr>
              <w:pStyle w:val="Sansinterligne"/>
              <w:jc w:val="center"/>
              <w:rPr>
                <w:lang w:val="de-DE" w:eastAsia="fr-CA"/>
              </w:rPr>
            </w:pPr>
            <w:r w:rsidRPr="00E4096D">
              <w:rPr>
                <w:b/>
                <w:lang w:val="de-DE" w:eastAsia="fr-CA"/>
              </w:rPr>
              <w:t>D</w:t>
            </w:r>
            <w:r w:rsidRPr="00E4096D">
              <w:rPr>
                <w:lang w:val="de-DE" w:eastAsia="fr-CA"/>
              </w:rPr>
              <w:t>yspnée</w:t>
            </w:r>
          </w:p>
        </w:tc>
        <w:tc>
          <w:tcPr>
            <w:tcW w:w="5144" w:type="dxa"/>
            <w:gridSpan w:val="2"/>
            <w:shd w:val="clear" w:color="auto" w:fill="FFFF00"/>
          </w:tcPr>
          <w:p w:rsidR="00B85210" w:rsidRDefault="00E4096D" w:rsidP="00D30696">
            <w:pPr>
              <w:pStyle w:val="Sansinterligne"/>
              <w:numPr>
                <w:ilvl w:val="0"/>
                <w:numId w:val="830"/>
              </w:numPr>
              <w:ind w:left="360"/>
              <w:rPr>
                <w:lang w:eastAsia="fr-CA"/>
              </w:rPr>
            </w:pPr>
            <w:r>
              <w:rPr>
                <w:lang w:eastAsia="fr-CA"/>
              </w:rPr>
              <w:t>Histoire vaccinale (</w:t>
            </w:r>
            <w:r>
              <w:rPr>
                <w:rFonts w:cs="Times New Roman"/>
                <w:lang w:eastAsia="fr-CA"/>
              </w:rPr>
              <w:t>Ø</w:t>
            </w:r>
            <w:r>
              <w:rPr>
                <w:lang w:eastAsia="fr-CA"/>
              </w:rPr>
              <w:t xml:space="preserve"> vacciné pour Hib)</w:t>
            </w:r>
          </w:p>
          <w:p w:rsidR="00E4096D" w:rsidRDefault="00D30696" w:rsidP="00D30696">
            <w:pPr>
              <w:pStyle w:val="Sansinterligne"/>
              <w:numPr>
                <w:ilvl w:val="0"/>
                <w:numId w:val="140"/>
              </w:numPr>
              <w:ind w:left="360"/>
              <w:rPr>
                <w:lang w:eastAsia="fr-CA"/>
              </w:rPr>
            </w:pPr>
            <w:r>
              <w:rPr>
                <w:rFonts w:ascii="Century Gothic" w:hAnsi="Century Gothic"/>
                <w:lang w:eastAsia="fr-CA"/>
              </w:rPr>
              <w:t>&gt;</w:t>
            </w:r>
            <w:r>
              <w:rPr>
                <w:lang w:eastAsia="fr-CA"/>
              </w:rPr>
              <w:t xml:space="preserve"> </w:t>
            </w:r>
            <w:r w:rsidR="00E4096D">
              <w:rPr>
                <w:lang w:eastAsia="fr-CA"/>
              </w:rPr>
              <w:t>1an</w:t>
            </w:r>
          </w:p>
          <w:p w:rsidR="00E4096D" w:rsidRDefault="00E4096D" w:rsidP="00D30696">
            <w:pPr>
              <w:pStyle w:val="Sansinterligne"/>
              <w:numPr>
                <w:ilvl w:val="0"/>
                <w:numId w:val="830"/>
              </w:numPr>
              <w:ind w:left="360"/>
              <w:rPr>
                <w:lang w:eastAsia="fr-CA"/>
              </w:rPr>
            </w:pPr>
            <w:r>
              <w:rPr>
                <w:lang w:eastAsia="fr-CA"/>
              </w:rPr>
              <w:t>Survenue aigue</w:t>
            </w:r>
          </w:p>
          <w:p w:rsidR="00E4096D" w:rsidRDefault="00E4096D" w:rsidP="00D30696">
            <w:pPr>
              <w:pStyle w:val="Sansinterligne"/>
              <w:numPr>
                <w:ilvl w:val="0"/>
                <w:numId w:val="830"/>
              </w:numPr>
              <w:ind w:left="360"/>
              <w:rPr>
                <w:lang w:eastAsia="fr-CA"/>
              </w:rPr>
            </w:pPr>
            <w:r>
              <w:rPr>
                <w:lang w:eastAsia="fr-CA"/>
              </w:rPr>
              <w:t>Fièvre importante</w:t>
            </w:r>
            <w:r w:rsidR="00242FF5">
              <w:rPr>
                <w:lang w:eastAsia="fr-CA"/>
              </w:rPr>
              <w:t xml:space="preserve"> </w:t>
            </w:r>
            <w:r w:rsidR="00242FF5">
              <w:rPr>
                <w:rFonts w:ascii="Century Gothic" w:hAnsi="Century Gothic"/>
                <w:lang w:eastAsia="fr-CA"/>
              </w:rPr>
              <w:t>&gt;</w:t>
            </w:r>
            <w:r w:rsidR="00242FF5">
              <w:rPr>
                <w:lang w:eastAsia="fr-CA"/>
              </w:rPr>
              <w:t xml:space="preserve"> 39,0 </w:t>
            </w:r>
            <w:r w:rsidR="00242FF5">
              <w:rPr>
                <w:rFonts w:cs="Times New Roman"/>
                <w:lang w:eastAsia="fr-CA"/>
              </w:rPr>
              <w:t>°</w:t>
            </w:r>
            <w:r w:rsidR="00242FF5">
              <w:rPr>
                <w:lang w:eastAsia="fr-CA"/>
              </w:rPr>
              <w:t xml:space="preserve"> C</w:t>
            </w:r>
          </w:p>
          <w:p w:rsidR="00E4096D" w:rsidRDefault="00E4096D" w:rsidP="00D30696">
            <w:pPr>
              <w:pStyle w:val="Sansinterligne"/>
              <w:numPr>
                <w:ilvl w:val="0"/>
                <w:numId w:val="830"/>
              </w:numPr>
              <w:ind w:left="360"/>
              <w:rPr>
                <w:lang w:eastAsia="fr-CA"/>
              </w:rPr>
            </w:pPr>
            <w:r>
              <w:rPr>
                <w:lang w:eastAsia="fr-CA"/>
              </w:rPr>
              <w:t>Voix rauque</w:t>
            </w:r>
          </w:p>
          <w:p w:rsidR="00E4096D" w:rsidRDefault="00E4096D" w:rsidP="00D30696">
            <w:pPr>
              <w:pStyle w:val="Sansinterligne"/>
              <w:numPr>
                <w:ilvl w:val="0"/>
                <w:numId w:val="830"/>
              </w:numPr>
              <w:ind w:left="360"/>
              <w:rPr>
                <w:lang w:eastAsia="fr-CA"/>
              </w:rPr>
            </w:pPr>
            <w:r>
              <w:rPr>
                <w:lang w:eastAsia="fr-CA"/>
              </w:rPr>
              <w:t>Dysphagie</w:t>
            </w:r>
          </w:p>
          <w:p w:rsidR="00E4096D" w:rsidRDefault="00E4096D" w:rsidP="00D30696">
            <w:pPr>
              <w:pStyle w:val="Sansinterligne"/>
              <w:numPr>
                <w:ilvl w:val="0"/>
                <w:numId w:val="830"/>
              </w:numPr>
              <w:ind w:left="360"/>
              <w:rPr>
                <w:lang w:eastAsia="fr-CA"/>
              </w:rPr>
            </w:pPr>
            <w:r>
              <w:rPr>
                <w:lang w:eastAsia="fr-CA"/>
              </w:rPr>
              <w:t>Ptyalisne (drooling) – salive ++</w:t>
            </w:r>
          </w:p>
          <w:p w:rsidR="00E4096D" w:rsidRDefault="00E4096D" w:rsidP="00D30696">
            <w:pPr>
              <w:pStyle w:val="Sansinterligne"/>
              <w:numPr>
                <w:ilvl w:val="0"/>
                <w:numId w:val="830"/>
              </w:numPr>
              <w:ind w:left="360"/>
              <w:rPr>
                <w:lang w:eastAsia="fr-CA"/>
              </w:rPr>
            </w:pPr>
            <w:r>
              <w:rPr>
                <w:lang w:eastAsia="fr-CA"/>
              </w:rPr>
              <w:t>Parfois grosses adénopathies</w:t>
            </w:r>
          </w:p>
          <w:p w:rsidR="00E4096D" w:rsidRDefault="00D30696" w:rsidP="00D30696">
            <w:pPr>
              <w:pStyle w:val="Sansinterligne"/>
              <w:numPr>
                <w:ilvl w:val="0"/>
                <w:numId w:val="830"/>
              </w:numPr>
              <w:ind w:left="360"/>
              <w:rPr>
                <w:lang w:eastAsia="fr-CA"/>
              </w:rPr>
            </w:pPr>
            <w:r>
              <w:rPr>
                <w:lang w:eastAsia="fr-CA"/>
              </w:rPr>
              <w:t>Allure toxique, penché vers l’avant, bouche ouverte</w:t>
            </w:r>
          </w:p>
        </w:tc>
        <w:tc>
          <w:tcPr>
            <w:tcW w:w="3962" w:type="dxa"/>
            <w:shd w:val="clear" w:color="auto" w:fill="FFFF00"/>
          </w:tcPr>
          <w:p w:rsidR="0056315C" w:rsidRDefault="00D30696" w:rsidP="00E60207">
            <w:pPr>
              <w:pStyle w:val="Sansinterligne"/>
              <w:rPr>
                <w:lang w:eastAsia="fr-CA"/>
              </w:rPr>
            </w:pPr>
            <w:r>
              <w:rPr>
                <w:lang w:eastAsia="fr-CA"/>
              </w:rPr>
              <w:t>NE PAS METTRE D’</w:t>
            </w:r>
            <w:r w:rsidR="004B141F">
              <w:rPr>
                <w:lang w:eastAsia="fr-CA"/>
              </w:rPr>
              <w:t>INSTRUMENT</w:t>
            </w:r>
            <w:r>
              <w:rPr>
                <w:lang w:eastAsia="fr-CA"/>
              </w:rPr>
              <w:t xml:space="preserve"> DANS LA BOUCHE</w:t>
            </w:r>
          </w:p>
          <w:p w:rsidR="0056315C" w:rsidRDefault="004B141F" w:rsidP="004B141F">
            <w:pPr>
              <w:pStyle w:val="Sansinterligne"/>
              <w:numPr>
                <w:ilvl w:val="0"/>
                <w:numId w:val="831"/>
              </w:numPr>
              <w:rPr>
                <w:lang w:eastAsia="fr-CA"/>
              </w:rPr>
            </w:pPr>
            <w:r>
              <w:rPr>
                <w:lang w:eastAsia="fr-CA"/>
              </w:rPr>
              <w:t>O</w:t>
            </w:r>
            <w:r w:rsidRPr="004B141F">
              <w:rPr>
                <w:vertAlign w:val="subscript"/>
                <w:lang w:eastAsia="fr-CA"/>
              </w:rPr>
              <w:t>2</w:t>
            </w:r>
            <w:r>
              <w:rPr>
                <w:lang w:eastAsia="fr-CA"/>
              </w:rPr>
              <w:t xml:space="preserve"> humidifié</w:t>
            </w:r>
          </w:p>
          <w:p w:rsidR="004B141F" w:rsidRDefault="004B141F" w:rsidP="004B141F">
            <w:pPr>
              <w:pStyle w:val="Sansinterligne"/>
              <w:numPr>
                <w:ilvl w:val="0"/>
                <w:numId w:val="831"/>
              </w:numPr>
              <w:rPr>
                <w:lang w:eastAsia="fr-CA"/>
              </w:rPr>
            </w:pPr>
            <w:r>
              <w:rPr>
                <w:lang w:eastAsia="fr-CA"/>
              </w:rPr>
              <w:t>Intubation endotrachéale</w:t>
            </w:r>
          </w:p>
          <w:p w:rsidR="004B141F" w:rsidRDefault="004B141F" w:rsidP="004B141F">
            <w:pPr>
              <w:pStyle w:val="Sansinterligne"/>
              <w:numPr>
                <w:ilvl w:val="0"/>
                <w:numId w:val="831"/>
              </w:numPr>
              <w:rPr>
                <w:lang w:eastAsia="fr-CA"/>
              </w:rPr>
            </w:pPr>
            <w:r>
              <w:rPr>
                <w:lang w:eastAsia="fr-CA"/>
              </w:rPr>
              <w:t>Ceftriaxone IV 50-100 mg/kg IV DIE ou en 2 doses</w:t>
            </w:r>
          </w:p>
          <w:p w:rsidR="004B141F" w:rsidRDefault="004B141F" w:rsidP="004B141F">
            <w:pPr>
              <w:pStyle w:val="Sansinterligne"/>
              <w:numPr>
                <w:ilvl w:val="0"/>
                <w:numId w:val="831"/>
              </w:numPr>
              <w:rPr>
                <w:lang w:eastAsia="fr-CA"/>
              </w:rPr>
            </w:pPr>
            <w:r>
              <w:rPr>
                <w:lang w:eastAsia="fr-CA"/>
              </w:rPr>
              <w:t xml:space="preserve">Extubation et ATB PO après 24-72h si </w:t>
            </w:r>
            <w:r>
              <w:rPr>
                <w:rFonts w:cs="Times New Roman"/>
                <w:lang w:eastAsia="fr-CA"/>
              </w:rPr>
              <w:t>↓</w:t>
            </w:r>
            <w:r>
              <w:rPr>
                <w:lang w:eastAsia="fr-CA"/>
              </w:rPr>
              <w:t xml:space="preserve"> fièvre et </w:t>
            </w:r>
            <w:r>
              <w:rPr>
                <w:rFonts w:cs="Times New Roman"/>
                <w:lang w:eastAsia="fr-CA"/>
              </w:rPr>
              <w:t>↓</w:t>
            </w:r>
            <w:r>
              <w:rPr>
                <w:lang w:eastAsia="fr-CA"/>
              </w:rPr>
              <w:t xml:space="preserve"> </w:t>
            </w:r>
            <w:r w:rsidR="00DF30DC">
              <w:rPr>
                <w:lang w:eastAsia="fr-CA"/>
              </w:rPr>
              <w:t>taille d</w:t>
            </w:r>
            <w:r w:rsidR="00727D72">
              <w:rPr>
                <w:lang w:eastAsia="fr-CA"/>
              </w:rPr>
              <w:t>e</w:t>
            </w:r>
            <w:r w:rsidR="00DF30DC">
              <w:rPr>
                <w:lang w:eastAsia="fr-CA"/>
              </w:rPr>
              <w:t xml:space="preserve"> </w:t>
            </w:r>
            <w:r>
              <w:rPr>
                <w:lang w:eastAsia="fr-CA"/>
              </w:rPr>
              <w:t>l’épiglotte</w:t>
            </w:r>
          </w:p>
        </w:tc>
      </w:tr>
      <w:tr w:rsidR="00B85210" w:rsidTr="00A56C0D">
        <w:tc>
          <w:tcPr>
            <w:tcW w:w="1910" w:type="dxa"/>
            <w:shd w:val="clear" w:color="auto" w:fill="FABF8F" w:themeFill="accent6" w:themeFillTint="99"/>
            <w:vAlign w:val="center"/>
          </w:tcPr>
          <w:p w:rsidR="00B85210" w:rsidRDefault="00B85210" w:rsidP="00E4096D">
            <w:pPr>
              <w:pStyle w:val="Sansinterligne"/>
              <w:jc w:val="center"/>
              <w:rPr>
                <w:lang w:eastAsia="fr-CA"/>
              </w:rPr>
            </w:pPr>
            <w:r>
              <w:rPr>
                <w:lang w:eastAsia="fr-CA"/>
              </w:rPr>
              <w:t>Abcès rétropharyngé</w:t>
            </w:r>
          </w:p>
        </w:tc>
        <w:tc>
          <w:tcPr>
            <w:tcW w:w="5144" w:type="dxa"/>
            <w:gridSpan w:val="2"/>
          </w:tcPr>
          <w:p w:rsidR="00B85210" w:rsidRDefault="005F785F" w:rsidP="005F785F">
            <w:pPr>
              <w:pStyle w:val="Sansinterligne"/>
              <w:numPr>
                <w:ilvl w:val="0"/>
                <w:numId w:val="834"/>
              </w:numPr>
              <w:rPr>
                <w:lang w:eastAsia="fr-CA"/>
              </w:rPr>
            </w:pPr>
            <w:r>
              <w:rPr>
                <w:lang w:eastAsia="fr-CA"/>
              </w:rPr>
              <w:t>Douleur cervicale</w:t>
            </w:r>
            <w:r w:rsidR="008109FA">
              <w:rPr>
                <w:lang w:eastAsia="fr-CA"/>
              </w:rPr>
              <w:t xml:space="preserve"> / torticollis</w:t>
            </w:r>
          </w:p>
          <w:p w:rsidR="005F785F" w:rsidRDefault="005F785F" w:rsidP="005F785F">
            <w:pPr>
              <w:pStyle w:val="Sansinterligne"/>
              <w:numPr>
                <w:ilvl w:val="0"/>
                <w:numId w:val="834"/>
              </w:numPr>
              <w:rPr>
                <w:lang w:eastAsia="fr-CA"/>
              </w:rPr>
            </w:pPr>
            <w:r>
              <w:rPr>
                <w:lang w:eastAsia="fr-CA"/>
              </w:rPr>
              <w:t>Fièvre</w:t>
            </w:r>
          </w:p>
          <w:p w:rsidR="005F785F" w:rsidRDefault="005F785F" w:rsidP="005F785F">
            <w:pPr>
              <w:pStyle w:val="Sansinterligne"/>
              <w:numPr>
                <w:ilvl w:val="0"/>
                <w:numId w:val="834"/>
              </w:numPr>
              <w:rPr>
                <w:lang w:eastAsia="fr-CA"/>
              </w:rPr>
            </w:pPr>
            <w:r>
              <w:rPr>
                <w:lang w:eastAsia="fr-CA"/>
              </w:rPr>
              <w:t>Mal de gorge</w:t>
            </w:r>
          </w:p>
          <w:p w:rsidR="005F785F" w:rsidRDefault="005F785F" w:rsidP="005F785F">
            <w:pPr>
              <w:pStyle w:val="Sansinterligne"/>
              <w:numPr>
                <w:ilvl w:val="0"/>
                <w:numId w:val="834"/>
              </w:numPr>
              <w:rPr>
                <w:lang w:eastAsia="fr-CA"/>
              </w:rPr>
            </w:pPr>
            <w:r>
              <w:rPr>
                <w:rFonts w:cs="Times New Roman"/>
                <w:lang w:eastAsia="fr-CA"/>
              </w:rPr>
              <w:t>±</w:t>
            </w:r>
            <w:r>
              <w:rPr>
                <w:lang w:eastAsia="fr-CA"/>
              </w:rPr>
              <w:t xml:space="preserve"> dyspnée</w:t>
            </w:r>
          </w:p>
          <w:p w:rsidR="008109FA" w:rsidRDefault="008109FA" w:rsidP="005F785F">
            <w:pPr>
              <w:pStyle w:val="Sansinterligne"/>
              <w:numPr>
                <w:ilvl w:val="0"/>
                <w:numId w:val="834"/>
              </w:numPr>
              <w:rPr>
                <w:lang w:eastAsia="fr-CA"/>
              </w:rPr>
            </w:pPr>
            <w:r>
              <w:rPr>
                <w:lang w:eastAsia="fr-CA"/>
              </w:rPr>
              <w:t>Dysphagie / odynophagie</w:t>
            </w:r>
          </w:p>
        </w:tc>
        <w:tc>
          <w:tcPr>
            <w:tcW w:w="3962" w:type="dxa"/>
          </w:tcPr>
          <w:p w:rsidR="00B85210" w:rsidRDefault="008109FA" w:rsidP="00A56C0D">
            <w:pPr>
              <w:pStyle w:val="Sansinterligne"/>
              <w:numPr>
                <w:ilvl w:val="0"/>
                <w:numId w:val="840"/>
              </w:numPr>
              <w:rPr>
                <w:lang w:eastAsia="fr-CA"/>
              </w:rPr>
            </w:pPr>
            <w:r>
              <w:rPr>
                <w:lang w:eastAsia="fr-CA"/>
              </w:rPr>
              <w:t>ATB large spectre</w:t>
            </w:r>
          </w:p>
          <w:p w:rsidR="008109FA" w:rsidRDefault="008109FA" w:rsidP="00A56C0D">
            <w:pPr>
              <w:pStyle w:val="Sansinterligne"/>
              <w:numPr>
                <w:ilvl w:val="0"/>
                <w:numId w:val="840"/>
              </w:numPr>
              <w:rPr>
                <w:lang w:eastAsia="fr-CA"/>
              </w:rPr>
            </w:pPr>
            <w:r>
              <w:rPr>
                <w:lang w:eastAsia="fr-CA"/>
              </w:rPr>
              <w:t>Consultation en ORL</w:t>
            </w:r>
          </w:p>
          <w:p w:rsidR="008109FA" w:rsidRDefault="008109FA" w:rsidP="00A56C0D">
            <w:pPr>
              <w:pStyle w:val="Sansinterligne"/>
              <w:numPr>
                <w:ilvl w:val="0"/>
                <w:numId w:val="840"/>
              </w:numPr>
              <w:rPr>
                <w:lang w:eastAsia="fr-CA"/>
              </w:rPr>
            </w:pPr>
            <w:r>
              <w:rPr>
                <w:lang w:eastAsia="fr-CA"/>
              </w:rPr>
              <w:t>Intubation PRN</w:t>
            </w:r>
          </w:p>
          <w:p w:rsidR="008109FA" w:rsidRDefault="008109FA" w:rsidP="00A56C0D">
            <w:pPr>
              <w:pStyle w:val="Sansinterligne"/>
              <w:numPr>
                <w:ilvl w:val="0"/>
                <w:numId w:val="840"/>
              </w:numPr>
              <w:rPr>
                <w:lang w:eastAsia="fr-CA"/>
              </w:rPr>
            </w:pPr>
            <w:r>
              <w:rPr>
                <w:lang w:eastAsia="fr-CA"/>
              </w:rPr>
              <w:t>Suivi rapproché post-hospitalisation</w:t>
            </w:r>
          </w:p>
        </w:tc>
      </w:tr>
      <w:tr w:rsidR="00B85210" w:rsidTr="00373FF3">
        <w:tc>
          <w:tcPr>
            <w:tcW w:w="1910" w:type="dxa"/>
            <w:shd w:val="clear" w:color="auto" w:fill="FABF8F" w:themeFill="accent6" w:themeFillTint="99"/>
            <w:vAlign w:val="center"/>
          </w:tcPr>
          <w:p w:rsidR="00B85210" w:rsidRDefault="00B85210" w:rsidP="00E4096D">
            <w:pPr>
              <w:pStyle w:val="Sansinterligne"/>
              <w:jc w:val="center"/>
              <w:rPr>
                <w:lang w:eastAsia="fr-CA"/>
              </w:rPr>
            </w:pPr>
            <w:r>
              <w:rPr>
                <w:lang w:eastAsia="fr-CA"/>
              </w:rPr>
              <w:t>Bronchiolite</w:t>
            </w:r>
          </w:p>
        </w:tc>
        <w:tc>
          <w:tcPr>
            <w:tcW w:w="5144" w:type="dxa"/>
            <w:gridSpan w:val="2"/>
            <w:shd w:val="clear" w:color="auto" w:fill="FFFF00"/>
          </w:tcPr>
          <w:p w:rsidR="00D24726" w:rsidRDefault="00D24726" w:rsidP="00D24726">
            <w:pPr>
              <w:pStyle w:val="Sansinterligne"/>
              <w:numPr>
                <w:ilvl w:val="0"/>
                <w:numId w:val="837"/>
              </w:numPr>
              <w:rPr>
                <w:lang w:eastAsia="fr-CA"/>
              </w:rPr>
            </w:pPr>
            <w:r>
              <w:rPr>
                <w:rFonts w:ascii="Century Gothic" w:hAnsi="Century Gothic"/>
                <w:lang w:eastAsia="fr-CA"/>
              </w:rPr>
              <w:t>&lt;</w:t>
            </w:r>
            <w:r>
              <w:rPr>
                <w:lang w:eastAsia="fr-CA"/>
              </w:rPr>
              <w:t xml:space="preserve"> 2 ans</w:t>
            </w:r>
          </w:p>
          <w:p w:rsidR="00B85210" w:rsidRDefault="00D24726" w:rsidP="00D24726">
            <w:pPr>
              <w:pStyle w:val="Sansinterligne"/>
              <w:numPr>
                <w:ilvl w:val="0"/>
                <w:numId w:val="837"/>
              </w:numPr>
              <w:rPr>
                <w:lang w:eastAsia="fr-CA"/>
              </w:rPr>
            </w:pPr>
            <w:r>
              <w:rPr>
                <w:lang w:eastAsia="fr-CA"/>
              </w:rPr>
              <w:t>Sx d’IVRS</w:t>
            </w:r>
          </w:p>
          <w:p w:rsidR="00D24726" w:rsidRDefault="00D24726" w:rsidP="00D24726">
            <w:pPr>
              <w:pStyle w:val="Sansinterligne"/>
              <w:numPr>
                <w:ilvl w:val="0"/>
                <w:numId w:val="837"/>
              </w:numPr>
              <w:rPr>
                <w:lang w:eastAsia="fr-CA"/>
              </w:rPr>
            </w:pPr>
            <w:r>
              <w:rPr>
                <w:lang w:eastAsia="fr-CA"/>
              </w:rPr>
              <w:t>Pic vers 3-4 jours</w:t>
            </w:r>
          </w:p>
          <w:p w:rsidR="00D24726" w:rsidRDefault="00D24726" w:rsidP="00D24726">
            <w:pPr>
              <w:pStyle w:val="Sansinterligne"/>
              <w:numPr>
                <w:ilvl w:val="0"/>
                <w:numId w:val="837"/>
              </w:numPr>
              <w:rPr>
                <w:lang w:eastAsia="fr-CA"/>
              </w:rPr>
            </w:pPr>
            <w:r>
              <w:rPr>
                <w:lang w:eastAsia="fr-CA"/>
              </w:rPr>
              <w:t>Fièvre</w:t>
            </w:r>
          </w:p>
          <w:p w:rsidR="00D24726" w:rsidRDefault="00D24726" w:rsidP="00D24726">
            <w:pPr>
              <w:pStyle w:val="Sansinterligne"/>
              <w:numPr>
                <w:ilvl w:val="0"/>
                <w:numId w:val="837"/>
              </w:numPr>
              <w:rPr>
                <w:lang w:eastAsia="fr-CA"/>
              </w:rPr>
            </w:pPr>
            <w:r>
              <w:rPr>
                <w:lang w:eastAsia="fr-CA"/>
              </w:rPr>
              <w:t>Wheezing</w:t>
            </w:r>
          </w:p>
          <w:p w:rsidR="00D24726" w:rsidRDefault="00D24726" w:rsidP="00D24726">
            <w:pPr>
              <w:pStyle w:val="Sansinterligne"/>
              <w:numPr>
                <w:ilvl w:val="0"/>
                <w:numId w:val="837"/>
              </w:numPr>
              <w:rPr>
                <w:lang w:eastAsia="fr-CA"/>
              </w:rPr>
            </w:pPr>
            <w:r>
              <w:rPr>
                <w:lang w:eastAsia="fr-CA"/>
              </w:rPr>
              <w:lastRenderedPageBreak/>
              <w:t>Difficulté au boire</w:t>
            </w:r>
          </w:p>
          <w:p w:rsidR="00D24726" w:rsidRDefault="00D24726" w:rsidP="00D24726">
            <w:pPr>
              <w:pStyle w:val="Sansinterligne"/>
              <w:numPr>
                <w:ilvl w:val="0"/>
                <w:numId w:val="837"/>
              </w:numPr>
              <w:rPr>
                <w:lang w:eastAsia="fr-CA"/>
              </w:rPr>
            </w:pPr>
            <w:r>
              <w:rPr>
                <w:lang w:eastAsia="fr-CA"/>
              </w:rPr>
              <w:t>Crépitants pulmonaires / ronchi</w:t>
            </w:r>
          </w:p>
          <w:p w:rsidR="00D24726" w:rsidRDefault="00D24726" w:rsidP="00D24726">
            <w:pPr>
              <w:pStyle w:val="Sansinterligne"/>
              <w:numPr>
                <w:ilvl w:val="0"/>
                <w:numId w:val="837"/>
              </w:numPr>
              <w:rPr>
                <w:lang w:eastAsia="fr-CA"/>
              </w:rPr>
            </w:pPr>
            <w:r>
              <w:rPr>
                <w:lang w:eastAsia="fr-CA"/>
              </w:rPr>
              <w:t>Tachypnée, tachycardie, tirage</w:t>
            </w:r>
          </w:p>
        </w:tc>
        <w:tc>
          <w:tcPr>
            <w:tcW w:w="3962" w:type="dxa"/>
            <w:shd w:val="clear" w:color="auto" w:fill="FFFF00"/>
          </w:tcPr>
          <w:p w:rsidR="001C7869" w:rsidRDefault="00D24726" w:rsidP="00D24726">
            <w:pPr>
              <w:pStyle w:val="Sansinterligne"/>
              <w:numPr>
                <w:ilvl w:val="0"/>
                <w:numId w:val="838"/>
              </w:numPr>
              <w:rPr>
                <w:lang w:eastAsia="fr-CA"/>
              </w:rPr>
            </w:pPr>
            <w:r>
              <w:rPr>
                <w:lang w:eastAsia="fr-CA"/>
              </w:rPr>
              <w:lastRenderedPageBreak/>
              <w:t xml:space="preserve">Traitement de support avec </w:t>
            </w:r>
          </w:p>
          <w:p w:rsidR="00B85210" w:rsidRDefault="00D24726" w:rsidP="001C7869">
            <w:pPr>
              <w:pStyle w:val="Sansinterligne"/>
              <w:numPr>
                <w:ilvl w:val="1"/>
                <w:numId w:val="838"/>
              </w:numPr>
              <w:rPr>
                <w:lang w:eastAsia="fr-CA"/>
              </w:rPr>
            </w:pPr>
            <w:r>
              <w:rPr>
                <w:lang w:eastAsia="fr-CA"/>
              </w:rPr>
              <w:t>O</w:t>
            </w:r>
            <w:r w:rsidRPr="006A4130">
              <w:rPr>
                <w:vertAlign w:val="subscript"/>
                <w:lang w:eastAsia="fr-CA"/>
              </w:rPr>
              <w:t>2</w:t>
            </w:r>
            <w:r>
              <w:rPr>
                <w:lang w:eastAsia="fr-CA"/>
              </w:rPr>
              <w:t xml:space="preserve"> humidifé</w:t>
            </w:r>
          </w:p>
          <w:p w:rsidR="00D24726" w:rsidRDefault="00D24726" w:rsidP="001C7869">
            <w:pPr>
              <w:pStyle w:val="Sansinterligne"/>
              <w:numPr>
                <w:ilvl w:val="1"/>
                <w:numId w:val="838"/>
              </w:numPr>
              <w:rPr>
                <w:lang w:eastAsia="fr-CA"/>
              </w:rPr>
            </w:pPr>
            <w:r>
              <w:rPr>
                <w:lang w:eastAsia="fr-CA"/>
              </w:rPr>
              <w:t xml:space="preserve">Hydratation PO /IV </w:t>
            </w:r>
          </w:p>
          <w:p w:rsidR="00D24726" w:rsidRDefault="00D24726" w:rsidP="001C7869">
            <w:pPr>
              <w:pStyle w:val="Sansinterligne"/>
              <w:numPr>
                <w:ilvl w:val="1"/>
                <w:numId w:val="838"/>
              </w:numPr>
              <w:rPr>
                <w:lang w:eastAsia="fr-CA"/>
              </w:rPr>
            </w:pPr>
            <w:r>
              <w:rPr>
                <w:lang w:eastAsia="fr-CA"/>
              </w:rPr>
              <w:t>Acétaminophène (antipyrétique)</w:t>
            </w:r>
          </w:p>
          <w:p w:rsidR="00D24726" w:rsidRDefault="00D24726" w:rsidP="00D24726">
            <w:pPr>
              <w:pStyle w:val="Sansinterligne"/>
              <w:numPr>
                <w:ilvl w:val="0"/>
                <w:numId w:val="838"/>
              </w:numPr>
              <w:rPr>
                <w:lang w:eastAsia="fr-CA"/>
              </w:rPr>
            </w:pPr>
            <w:r>
              <w:rPr>
                <w:lang w:eastAsia="fr-CA"/>
              </w:rPr>
              <w:lastRenderedPageBreak/>
              <w:t xml:space="preserve">Hospitalisation si : </w:t>
            </w:r>
          </w:p>
          <w:p w:rsidR="00D24726" w:rsidRDefault="00D24726" w:rsidP="00B23E77">
            <w:pPr>
              <w:pStyle w:val="Sansinterligne"/>
              <w:numPr>
                <w:ilvl w:val="0"/>
                <w:numId w:val="839"/>
              </w:numPr>
              <w:rPr>
                <w:lang w:eastAsia="fr-CA"/>
              </w:rPr>
            </w:pPr>
            <w:r>
              <w:rPr>
                <w:rFonts w:ascii="Century Gothic" w:hAnsi="Century Gothic"/>
                <w:lang w:eastAsia="fr-CA"/>
              </w:rPr>
              <w:t>&lt;</w:t>
            </w:r>
            <w:r>
              <w:rPr>
                <w:lang w:eastAsia="fr-CA"/>
              </w:rPr>
              <w:t xml:space="preserve"> 6 mois </w:t>
            </w:r>
          </w:p>
          <w:p w:rsidR="00D24726" w:rsidRDefault="00D24726" w:rsidP="00B23E77">
            <w:pPr>
              <w:pStyle w:val="Sansinterligne"/>
              <w:numPr>
                <w:ilvl w:val="0"/>
                <w:numId w:val="839"/>
              </w:numPr>
              <w:rPr>
                <w:lang w:eastAsia="fr-CA"/>
              </w:rPr>
            </w:pPr>
            <w:r>
              <w:rPr>
                <w:lang w:eastAsia="fr-CA"/>
              </w:rPr>
              <w:t xml:space="preserve">SaO2 </w:t>
            </w:r>
            <w:r>
              <w:rPr>
                <w:rFonts w:ascii="Century Gothic" w:hAnsi="Century Gothic"/>
                <w:lang w:eastAsia="fr-CA"/>
              </w:rPr>
              <w:t>&lt;</w:t>
            </w:r>
            <w:r>
              <w:rPr>
                <w:lang w:eastAsia="fr-CA"/>
              </w:rPr>
              <w:t xml:space="preserve"> 92%</w:t>
            </w:r>
          </w:p>
          <w:p w:rsidR="00D24726" w:rsidRDefault="00D24726" w:rsidP="005B5727">
            <w:pPr>
              <w:pStyle w:val="Sansinterligne"/>
              <w:numPr>
                <w:ilvl w:val="0"/>
                <w:numId w:val="839"/>
              </w:numPr>
              <w:rPr>
                <w:lang w:eastAsia="fr-CA"/>
              </w:rPr>
            </w:pPr>
            <w:r>
              <w:rPr>
                <w:lang w:eastAsia="fr-CA"/>
              </w:rPr>
              <w:t xml:space="preserve">Tirage et tachypnée </w:t>
            </w:r>
            <w:r>
              <w:rPr>
                <w:rFonts w:ascii="Century Gothic" w:hAnsi="Century Gothic"/>
                <w:lang w:eastAsia="fr-CA"/>
              </w:rPr>
              <w:t>&gt;</w:t>
            </w:r>
            <w:r>
              <w:rPr>
                <w:lang w:eastAsia="fr-CA"/>
              </w:rPr>
              <w:t xml:space="preserve"> 60</w:t>
            </w:r>
          </w:p>
          <w:p w:rsidR="00D24726" w:rsidRDefault="00D24726" w:rsidP="00B23E77">
            <w:pPr>
              <w:pStyle w:val="Sansinterligne"/>
              <w:numPr>
                <w:ilvl w:val="0"/>
                <w:numId w:val="839"/>
              </w:numPr>
              <w:rPr>
                <w:lang w:eastAsia="fr-CA"/>
              </w:rPr>
            </w:pPr>
            <w:r>
              <w:rPr>
                <w:lang w:eastAsia="fr-CA"/>
              </w:rPr>
              <w:t>ATCD pulmonaires</w:t>
            </w:r>
            <w:r w:rsidR="005B5727">
              <w:rPr>
                <w:lang w:eastAsia="fr-CA"/>
              </w:rPr>
              <w:t xml:space="preserve"> chroniques</w:t>
            </w:r>
          </w:p>
          <w:p w:rsidR="00B23E77" w:rsidRDefault="00D24726" w:rsidP="00B23E77">
            <w:pPr>
              <w:pStyle w:val="Sansinterligne"/>
              <w:numPr>
                <w:ilvl w:val="0"/>
                <w:numId w:val="839"/>
              </w:numPr>
              <w:rPr>
                <w:lang w:eastAsia="fr-CA"/>
              </w:rPr>
            </w:pPr>
            <w:r>
              <w:rPr>
                <w:lang w:eastAsia="fr-CA"/>
              </w:rPr>
              <w:t>I</w:t>
            </w:r>
            <w:r w:rsidR="00B23E77">
              <w:rPr>
                <w:lang w:eastAsia="fr-CA"/>
              </w:rPr>
              <w:t>nstabilité</w:t>
            </w:r>
          </w:p>
          <w:p w:rsidR="00D24726" w:rsidRDefault="00B23E77" w:rsidP="00B23E77">
            <w:pPr>
              <w:pStyle w:val="Sansinterligne"/>
              <w:numPr>
                <w:ilvl w:val="0"/>
                <w:numId w:val="839"/>
              </w:numPr>
              <w:rPr>
                <w:lang w:eastAsia="fr-CA"/>
              </w:rPr>
            </w:pPr>
            <w:r>
              <w:rPr>
                <w:lang w:eastAsia="fr-CA"/>
              </w:rPr>
              <w:t>S</w:t>
            </w:r>
            <w:r w:rsidR="00D24726">
              <w:rPr>
                <w:lang w:eastAsia="fr-CA"/>
              </w:rPr>
              <w:t xml:space="preserve">oins </w:t>
            </w:r>
            <w:r w:rsidR="001C7869">
              <w:rPr>
                <w:lang w:eastAsia="fr-CA"/>
              </w:rPr>
              <w:t xml:space="preserve">parentaux </w:t>
            </w:r>
            <w:r w:rsidR="00D24726">
              <w:rPr>
                <w:lang w:eastAsia="fr-CA"/>
              </w:rPr>
              <w:t>douteux</w:t>
            </w:r>
          </w:p>
        </w:tc>
      </w:tr>
      <w:tr w:rsidR="002D5066" w:rsidRPr="00C6143D" w:rsidTr="002D5066">
        <w:tc>
          <w:tcPr>
            <w:tcW w:w="1910" w:type="dxa"/>
            <w:shd w:val="clear" w:color="auto" w:fill="FABF8F" w:themeFill="accent6" w:themeFillTint="99"/>
            <w:vAlign w:val="center"/>
          </w:tcPr>
          <w:p w:rsidR="002D5066" w:rsidRDefault="002D5066" w:rsidP="00E4096D">
            <w:pPr>
              <w:pStyle w:val="Sansinterligne"/>
              <w:jc w:val="center"/>
              <w:rPr>
                <w:lang w:eastAsia="fr-CA"/>
              </w:rPr>
            </w:pPr>
            <w:r>
              <w:rPr>
                <w:lang w:eastAsia="fr-CA"/>
              </w:rPr>
              <w:lastRenderedPageBreak/>
              <w:t>Bronchospasme / Asthme</w:t>
            </w:r>
          </w:p>
        </w:tc>
        <w:tc>
          <w:tcPr>
            <w:tcW w:w="5144" w:type="dxa"/>
            <w:gridSpan w:val="2"/>
          </w:tcPr>
          <w:p w:rsidR="008279BC" w:rsidRDefault="008279BC" w:rsidP="005E574F">
            <w:pPr>
              <w:pStyle w:val="Sansinterligne"/>
              <w:numPr>
                <w:ilvl w:val="0"/>
                <w:numId w:val="842"/>
              </w:numPr>
              <w:rPr>
                <w:lang w:eastAsia="fr-CA"/>
              </w:rPr>
            </w:pPr>
            <w:r>
              <w:rPr>
                <w:rFonts w:ascii="Century Gothic" w:hAnsi="Century Gothic"/>
                <w:lang w:eastAsia="fr-CA"/>
              </w:rPr>
              <w:t>&gt;</w:t>
            </w:r>
            <w:r>
              <w:rPr>
                <w:lang w:eastAsia="fr-CA"/>
              </w:rPr>
              <w:t xml:space="preserve"> 2 ans</w:t>
            </w:r>
          </w:p>
          <w:p w:rsidR="005E574F" w:rsidRDefault="005E574F" w:rsidP="005E574F">
            <w:pPr>
              <w:pStyle w:val="Sansinterligne"/>
              <w:numPr>
                <w:ilvl w:val="0"/>
                <w:numId w:val="842"/>
              </w:numPr>
              <w:rPr>
                <w:lang w:eastAsia="fr-CA"/>
              </w:rPr>
            </w:pPr>
            <w:r>
              <w:rPr>
                <w:lang w:eastAsia="fr-CA"/>
              </w:rPr>
              <w:t xml:space="preserve">Histoire d’allergies, de </w:t>
            </w:r>
            <w:r w:rsidR="00A4439D">
              <w:rPr>
                <w:lang w:eastAsia="fr-CA"/>
              </w:rPr>
              <w:t>dermite atopique</w:t>
            </w:r>
            <w:r>
              <w:rPr>
                <w:lang w:eastAsia="fr-CA"/>
              </w:rPr>
              <w:t>, de rhinite</w:t>
            </w:r>
          </w:p>
          <w:p w:rsidR="002D5066" w:rsidRDefault="005E574F" w:rsidP="005E574F">
            <w:pPr>
              <w:pStyle w:val="Sansinterligne"/>
              <w:numPr>
                <w:ilvl w:val="0"/>
                <w:numId w:val="842"/>
              </w:numPr>
              <w:rPr>
                <w:lang w:eastAsia="fr-CA"/>
              </w:rPr>
            </w:pPr>
            <w:r>
              <w:rPr>
                <w:lang w:eastAsia="fr-CA"/>
              </w:rPr>
              <w:t>Toux récurrente</w:t>
            </w:r>
          </w:p>
          <w:p w:rsidR="005E574F" w:rsidRDefault="005E574F" w:rsidP="005E574F">
            <w:pPr>
              <w:pStyle w:val="Sansinterligne"/>
              <w:numPr>
                <w:ilvl w:val="0"/>
                <w:numId w:val="842"/>
              </w:numPr>
              <w:rPr>
                <w:lang w:eastAsia="fr-CA"/>
              </w:rPr>
            </w:pPr>
            <w:r>
              <w:rPr>
                <w:lang w:eastAsia="fr-CA"/>
              </w:rPr>
              <w:t>Wheezing</w:t>
            </w:r>
          </w:p>
          <w:p w:rsidR="005E574F" w:rsidRDefault="005E574F" w:rsidP="005E574F">
            <w:pPr>
              <w:pStyle w:val="Sansinterligne"/>
              <w:numPr>
                <w:ilvl w:val="0"/>
                <w:numId w:val="842"/>
              </w:numPr>
              <w:rPr>
                <w:lang w:eastAsia="fr-CA"/>
              </w:rPr>
            </w:pPr>
            <w:r>
              <w:rPr>
                <w:lang w:eastAsia="fr-CA"/>
              </w:rPr>
              <w:t>Dyspnée</w:t>
            </w:r>
          </w:p>
          <w:p w:rsidR="005E574F" w:rsidRDefault="005E574F" w:rsidP="005E574F">
            <w:pPr>
              <w:pStyle w:val="Sansinterligne"/>
              <w:numPr>
                <w:ilvl w:val="0"/>
                <w:numId w:val="842"/>
              </w:numPr>
              <w:rPr>
                <w:lang w:eastAsia="fr-CA"/>
              </w:rPr>
            </w:pPr>
            <w:r>
              <w:rPr>
                <w:lang w:eastAsia="fr-CA"/>
              </w:rPr>
              <w:t>Répond aux bronchodilatateurs</w:t>
            </w:r>
          </w:p>
          <w:p w:rsidR="005E574F" w:rsidRDefault="005E574F" w:rsidP="005E574F">
            <w:pPr>
              <w:pStyle w:val="Sansinterligne"/>
              <w:numPr>
                <w:ilvl w:val="0"/>
                <w:numId w:val="842"/>
              </w:numPr>
              <w:rPr>
                <w:lang w:eastAsia="fr-CA"/>
              </w:rPr>
            </w:pPr>
            <w:r>
              <w:rPr>
                <w:lang w:eastAsia="fr-CA"/>
              </w:rPr>
              <w:t>Voir ci-bas pour évaluation du contrôle de l’asthme</w:t>
            </w:r>
          </w:p>
          <w:p w:rsidR="005E574F" w:rsidRDefault="005E574F" w:rsidP="00BF6ACC">
            <w:pPr>
              <w:pStyle w:val="Sansinterligne"/>
              <w:rPr>
                <w:lang w:eastAsia="fr-CA"/>
              </w:rPr>
            </w:pPr>
          </w:p>
        </w:tc>
        <w:tc>
          <w:tcPr>
            <w:tcW w:w="3962" w:type="dxa"/>
          </w:tcPr>
          <w:p w:rsidR="002D5066" w:rsidRPr="005E574F" w:rsidRDefault="005E574F" w:rsidP="005E574F">
            <w:pPr>
              <w:pStyle w:val="Sansinterligne"/>
              <w:rPr>
                <w:u w:val="single"/>
                <w:lang w:eastAsia="fr-CA"/>
              </w:rPr>
            </w:pPr>
            <w:r w:rsidRPr="005E574F">
              <w:rPr>
                <w:u w:val="single"/>
                <w:lang w:eastAsia="fr-CA"/>
              </w:rPr>
              <w:t>Bronchospasme</w:t>
            </w:r>
          </w:p>
          <w:p w:rsidR="005E574F" w:rsidRDefault="005E574F" w:rsidP="005E574F">
            <w:pPr>
              <w:pStyle w:val="Sansinterligne"/>
              <w:numPr>
                <w:ilvl w:val="0"/>
                <w:numId w:val="841"/>
              </w:numPr>
              <w:rPr>
                <w:lang w:eastAsia="fr-CA"/>
              </w:rPr>
            </w:pPr>
            <w:r>
              <w:rPr>
                <w:lang w:eastAsia="fr-CA"/>
              </w:rPr>
              <w:t>O</w:t>
            </w:r>
            <w:r w:rsidRPr="005E574F">
              <w:rPr>
                <w:vertAlign w:val="subscript"/>
                <w:lang w:eastAsia="fr-CA"/>
              </w:rPr>
              <w:t>2</w:t>
            </w:r>
          </w:p>
          <w:p w:rsidR="005E574F" w:rsidRDefault="005E574F" w:rsidP="005E574F">
            <w:pPr>
              <w:pStyle w:val="Sansinterligne"/>
              <w:numPr>
                <w:ilvl w:val="0"/>
                <w:numId w:val="841"/>
              </w:numPr>
              <w:rPr>
                <w:lang w:eastAsia="fr-CA"/>
              </w:rPr>
            </w:pPr>
            <w:r>
              <w:rPr>
                <w:lang w:eastAsia="fr-CA"/>
              </w:rPr>
              <w:t xml:space="preserve">Salbutamol avec chambre ou IV/nébullisé q 20 min </w:t>
            </w:r>
            <w:r>
              <w:rPr>
                <w:rFonts w:cs="Times New Roman"/>
                <w:lang w:eastAsia="fr-CA"/>
              </w:rPr>
              <w:t>±</w:t>
            </w:r>
            <w:r>
              <w:rPr>
                <w:lang w:eastAsia="fr-CA"/>
              </w:rPr>
              <w:t xml:space="preserve"> hospitalisation</w:t>
            </w:r>
          </w:p>
          <w:p w:rsidR="005E574F" w:rsidRDefault="005E574F" w:rsidP="005E574F">
            <w:pPr>
              <w:pStyle w:val="Sansinterligne"/>
              <w:numPr>
                <w:ilvl w:val="0"/>
                <w:numId w:val="841"/>
              </w:numPr>
              <w:rPr>
                <w:lang w:eastAsia="fr-CA"/>
              </w:rPr>
            </w:pPr>
            <w:r>
              <w:rPr>
                <w:lang w:eastAsia="fr-CA"/>
              </w:rPr>
              <w:t>Ipratropium (Atrovent) si sévère</w:t>
            </w:r>
          </w:p>
          <w:p w:rsidR="005E574F" w:rsidRDefault="005E574F" w:rsidP="005E574F">
            <w:pPr>
              <w:pStyle w:val="Sansinterligne"/>
              <w:numPr>
                <w:ilvl w:val="0"/>
                <w:numId w:val="841"/>
              </w:numPr>
              <w:rPr>
                <w:lang w:eastAsia="fr-CA"/>
              </w:rPr>
            </w:pPr>
            <w:r>
              <w:rPr>
                <w:lang w:eastAsia="fr-CA"/>
              </w:rPr>
              <w:t xml:space="preserve">Prednisone 1-2 mg/kg IV x 5 jours </w:t>
            </w:r>
          </w:p>
          <w:p w:rsidR="005E574F" w:rsidRPr="005E574F" w:rsidRDefault="005E574F" w:rsidP="005E574F">
            <w:pPr>
              <w:pStyle w:val="Sansinterligne"/>
              <w:rPr>
                <w:u w:val="single"/>
                <w:lang w:eastAsia="fr-CA"/>
              </w:rPr>
            </w:pPr>
            <w:r w:rsidRPr="005E574F">
              <w:rPr>
                <w:u w:val="single"/>
                <w:lang w:eastAsia="fr-CA"/>
              </w:rPr>
              <w:t>Asthme chronique</w:t>
            </w:r>
          </w:p>
          <w:p w:rsidR="005E574F" w:rsidRDefault="005E574F" w:rsidP="005E574F">
            <w:pPr>
              <w:pStyle w:val="Sansinterligne"/>
              <w:numPr>
                <w:ilvl w:val="0"/>
                <w:numId w:val="841"/>
              </w:numPr>
              <w:rPr>
                <w:lang w:eastAsia="fr-CA"/>
              </w:rPr>
            </w:pPr>
            <w:r>
              <w:rPr>
                <w:lang w:eastAsia="fr-CA"/>
              </w:rPr>
              <w:t>Éducation, évitement des allergènes</w:t>
            </w:r>
          </w:p>
          <w:p w:rsidR="005E574F" w:rsidRDefault="005E574F" w:rsidP="005E574F">
            <w:pPr>
              <w:pStyle w:val="Sansinterligne"/>
              <w:numPr>
                <w:ilvl w:val="0"/>
                <w:numId w:val="841"/>
              </w:numPr>
              <w:rPr>
                <w:lang w:eastAsia="fr-CA"/>
              </w:rPr>
            </w:pPr>
            <w:r>
              <w:rPr>
                <w:lang w:eastAsia="fr-CA"/>
              </w:rPr>
              <w:t>Suivi  de la condition</w:t>
            </w:r>
          </w:p>
          <w:p w:rsidR="005E574F" w:rsidRPr="005E574F" w:rsidRDefault="005E574F" w:rsidP="005E574F">
            <w:pPr>
              <w:pStyle w:val="Sansinterligne"/>
              <w:numPr>
                <w:ilvl w:val="0"/>
                <w:numId w:val="841"/>
              </w:numPr>
              <w:rPr>
                <w:lang w:val="es-NI" w:eastAsia="fr-CA"/>
              </w:rPr>
            </w:pPr>
            <w:r w:rsidRPr="005E574F">
              <w:rPr>
                <w:lang w:val="es-NI" w:eastAsia="fr-CA"/>
              </w:rPr>
              <w:t>BACA + cortico faible dose en entretien</w:t>
            </w:r>
          </w:p>
        </w:tc>
      </w:tr>
      <w:tr w:rsidR="006A4130" w:rsidTr="00541790">
        <w:tc>
          <w:tcPr>
            <w:tcW w:w="1910" w:type="dxa"/>
            <w:shd w:val="clear" w:color="auto" w:fill="FABF8F" w:themeFill="accent6" w:themeFillTint="99"/>
            <w:vAlign w:val="center"/>
          </w:tcPr>
          <w:p w:rsidR="006A4130" w:rsidRDefault="006A4130" w:rsidP="00541790">
            <w:pPr>
              <w:pStyle w:val="Sansinterligne"/>
              <w:jc w:val="center"/>
              <w:rPr>
                <w:lang w:eastAsia="fr-CA"/>
              </w:rPr>
            </w:pPr>
            <w:r>
              <w:rPr>
                <w:lang w:eastAsia="fr-CA"/>
              </w:rPr>
              <w:t xml:space="preserve">Atteintes </w:t>
            </w:r>
            <w:r w:rsidR="005B5727">
              <w:rPr>
                <w:noProof/>
                <w:lang w:eastAsia="fr-CA"/>
              </w:rPr>
              <w:drawing>
                <wp:inline distT="0" distB="0" distL="0" distR="0" wp14:anchorId="4CDA5F01" wp14:editId="707B8A18">
                  <wp:extent cx="116625" cy="108747"/>
                  <wp:effectExtent l="0" t="0" r="0" b="5715"/>
                  <wp:docPr id="410" name="Image 410" descr="Résultats de recherche d'images pour « coeur dessin rou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ésultats de recherche d'images pour « coeur dessin rouge »"/>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16631" cy="108753"/>
                          </a:xfrm>
                          <a:prstGeom prst="rect">
                            <a:avLst/>
                          </a:prstGeom>
                          <a:noFill/>
                          <a:ln>
                            <a:noFill/>
                          </a:ln>
                        </pic:spPr>
                      </pic:pic>
                    </a:graphicData>
                  </a:graphic>
                </wp:inline>
              </w:drawing>
            </w:r>
          </w:p>
        </w:tc>
        <w:tc>
          <w:tcPr>
            <w:tcW w:w="9106" w:type="dxa"/>
            <w:gridSpan w:val="3"/>
          </w:tcPr>
          <w:p w:rsidR="006A4130" w:rsidRDefault="006A4130" w:rsidP="00727D72">
            <w:pPr>
              <w:pStyle w:val="Sansinterligne"/>
              <w:rPr>
                <w:lang w:eastAsia="fr-CA"/>
              </w:rPr>
            </w:pPr>
            <w:r>
              <w:rPr>
                <w:lang w:eastAsia="fr-CA"/>
              </w:rPr>
              <w:t xml:space="preserve">Voir </w:t>
            </w:r>
            <w:r w:rsidR="00727D72" w:rsidRPr="00727D72">
              <w:rPr>
                <w:i/>
                <w:lang w:eastAsia="fr-CA"/>
              </w:rPr>
              <w:t>Détresse néonatale CMC 64</w:t>
            </w:r>
          </w:p>
        </w:tc>
      </w:tr>
      <w:tr w:rsidR="006A4130" w:rsidTr="005B5727">
        <w:trPr>
          <w:trHeight w:val="981"/>
        </w:trPr>
        <w:tc>
          <w:tcPr>
            <w:tcW w:w="6463" w:type="dxa"/>
            <w:gridSpan w:val="2"/>
            <w:shd w:val="clear" w:color="auto" w:fill="FABF8F" w:themeFill="accent6" w:themeFillTint="99"/>
          </w:tcPr>
          <w:p w:rsidR="006A4130" w:rsidRDefault="006A4130" w:rsidP="005B5727">
            <w:pPr>
              <w:pStyle w:val="Sansinterligne"/>
              <w:rPr>
                <w:lang w:eastAsia="fr-CA"/>
              </w:rPr>
            </w:pPr>
            <w:r>
              <w:rPr>
                <w:lang w:eastAsia="fr-CA"/>
              </w:rPr>
              <w:t>Pneumonie</w:t>
            </w:r>
          </w:p>
          <w:p w:rsidR="006A4130" w:rsidRDefault="006A4130" w:rsidP="005B5727">
            <w:pPr>
              <w:pStyle w:val="Sansinterligne"/>
              <w:rPr>
                <w:lang w:eastAsia="fr-CA"/>
              </w:rPr>
            </w:pPr>
            <w:r>
              <w:rPr>
                <w:lang w:eastAsia="fr-CA"/>
              </w:rPr>
              <w:t>Embolie pulmonaire</w:t>
            </w:r>
          </w:p>
          <w:p w:rsidR="006A4130" w:rsidRDefault="006A4130" w:rsidP="005B5727">
            <w:pPr>
              <w:pStyle w:val="Sansinterligne"/>
              <w:rPr>
                <w:lang w:eastAsia="fr-CA"/>
              </w:rPr>
            </w:pPr>
            <w:r>
              <w:rPr>
                <w:lang w:eastAsia="fr-CA"/>
              </w:rPr>
              <w:t>Insuffisance cardiaque</w:t>
            </w:r>
          </w:p>
          <w:p w:rsidR="006A4130" w:rsidRDefault="006A4130" w:rsidP="005B5727">
            <w:pPr>
              <w:pStyle w:val="Sansinterligne"/>
              <w:rPr>
                <w:lang w:eastAsia="fr-CA"/>
              </w:rPr>
            </w:pPr>
            <w:r>
              <w:rPr>
                <w:lang w:eastAsia="fr-CA"/>
              </w:rPr>
              <w:t>Tamponnade</w:t>
            </w:r>
          </w:p>
        </w:tc>
        <w:tc>
          <w:tcPr>
            <w:tcW w:w="4553" w:type="dxa"/>
            <w:gridSpan w:val="2"/>
          </w:tcPr>
          <w:p w:rsidR="006A4130" w:rsidRDefault="006A4130" w:rsidP="00E60207">
            <w:pPr>
              <w:pStyle w:val="Sansinterligne"/>
              <w:rPr>
                <w:lang w:eastAsia="fr-CA"/>
              </w:rPr>
            </w:pPr>
            <w:r>
              <w:rPr>
                <w:lang w:eastAsia="fr-CA"/>
              </w:rPr>
              <w:t xml:space="preserve">Voir </w:t>
            </w:r>
            <w:r w:rsidRPr="00B01C16">
              <w:rPr>
                <w:i/>
                <w:lang w:eastAsia="fr-CA"/>
              </w:rPr>
              <w:t>Dyspnée CMC 27</w:t>
            </w:r>
          </w:p>
        </w:tc>
      </w:tr>
    </w:tbl>
    <w:p w:rsidR="009979B8" w:rsidRDefault="006363D3" w:rsidP="00E60207">
      <w:pPr>
        <w:pStyle w:val="Sansinterligne"/>
        <w:rPr>
          <w:lang w:eastAsia="fr-CA"/>
        </w:rPr>
      </w:pPr>
      <w:r>
        <w:rPr>
          <w:noProof/>
          <w:lang w:eastAsia="fr-CA"/>
        </w:rPr>
        <w:drawing>
          <wp:anchor distT="0" distB="0" distL="114300" distR="114300" simplePos="0" relativeHeight="251894784" behindDoc="1" locked="0" layoutInCell="1" allowOverlap="1" wp14:anchorId="28D86770" wp14:editId="11050DFB">
            <wp:simplePos x="0" y="0"/>
            <wp:positionH relativeFrom="column">
              <wp:posOffset>1341755</wp:posOffset>
            </wp:positionH>
            <wp:positionV relativeFrom="paragraph">
              <wp:posOffset>30480</wp:posOffset>
            </wp:positionV>
            <wp:extent cx="4737100" cy="2077085"/>
            <wp:effectExtent l="0" t="0" r="6350" b="0"/>
            <wp:wrapNone/>
            <wp:docPr id="396" name="Image 396" descr="Image associé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 associée"/>
                    <pic:cNvPicPr>
                      <a:picLocks noChangeAspect="1" noChangeArrowheads="1"/>
                    </pic:cNvPicPr>
                  </pic:nvPicPr>
                  <pic:blipFill rotWithShape="1">
                    <a:blip r:embed="rId98">
                      <a:extLst>
                        <a:ext uri="{28A0092B-C50C-407E-A947-70E740481C1C}">
                          <a14:useLocalDpi xmlns:a14="http://schemas.microsoft.com/office/drawing/2010/main" val="0"/>
                        </a:ext>
                      </a:extLst>
                    </a:blip>
                    <a:srcRect r="1979"/>
                    <a:stretch/>
                  </pic:blipFill>
                  <pic:spPr bwMode="auto">
                    <a:xfrm>
                      <a:off x="0" y="0"/>
                      <a:ext cx="4737100" cy="20770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E60207" w:rsidRDefault="00E60207" w:rsidP="00A912EB">
      <w:pPr>
        <w:pStyle w:val="Sansinterligne"/>
      </w:pPr>
    </w:p>
    <w:p w:rsidR="005B5727" w:rsidRDefault="005B5727" w:rsidP="00A912EB">
      <w:pPr>
        <w:pStyle w:val="Sansinterligne"/>
      </w:pPr>
    </w:p>
    <w:p w:rsidR="005B5727" w:rsidRDefault="005B5727" w:rsidP="00A912EB">
      <w:pPr>
        <w:pStyle w:val="Sansinterligne"/>
      </w:pPr>
    </w:p>
    <w:p w:rsidR="005B5727" w:rsidRDefault="005B5727" w:rsidP="00A912EB">
      <w:pPr>
        <w:pStyle w:val="Sansinterligne"/>
      </w:pPr>
    </w:p>
    <w:p w:rsidR="005B5727" w:rsidRDefault="005B5727" w:rsidP="00A912EB">
      <w:pPr>
        <w:pStyle w:val="Sansinterligne"/>
      </w:pPr>
    </w:p>
    <w:p w:rsidR="005B5727" w:rsidRDefault="005B5727" w:rsidP="00A912EB">
      <w:pPr>
        <w:pStyle w:val="Sansinterligne"/>
      </w:pPr>
    </w:p>
    <w:p w:rsidR="005B5727" w:rsidRDefault="005B5727" w:rsidP="00A912EB">
      <w:pPr>
        <w:pStyle w:val="Sansinterligne"/>
      </w:pPr>
    </w:p>
    <w:p w:rsidR="005B5727" w:rsidRDefault="005B5727" w:rsidP="00A912EB">
      <w:pPr>
        <w:pStyle w:val="Sansinterligne"/>
      </w:pPr>
    </w:p>
    <w:p w:rsidR="006363D3" w:rsidRDefault="006363D3" w:rsidP="00A912EB">
      <w:pPr>
        <w:pStyle w:val="Sansinterligne"/>
      </w:pPr>
    </w:p>
    <w:p w:rsidR="006363D3" w:rsidRDefault="006363D3" w:rsidP="00A912EB">
      <w:pPr>
        <w:pStyle w:val="Sansinterligne"/>
      </w:pPr>
    </w:p>
    <w:p w:rsidR="006363D3" w:rsidRDefault="006363D3" w:rsidP="00A912EB">
      <w:pPr>
        <w:pStyle w:val="Sansinterligne"/>
      </w:pPr>
    </w:p>
    <w:p w:rsidR="005B5727" w:rsidRDefault="00D07AD9" w:rsidP="00A912EB">
      <w:pPr>
        <w:pStyle w:val="Sansinterligne"/>
        <w:rPr>
          <w:b/>
          <w:sz w:val="28"/>
          <w:szCs w:val="28"/>
        </w:rPr>
      </w:pPr>
      <w:r w:rsidRPr="00A912EB">
        <w:rPr>
          <w:b/>
          <w:sz w:val="28"/>
          <w:szCs w:val="28"/>
        </w:rPr>
        <w:t>Investigations</w:t>
      </w:r>
    </w:p>
    <w:p w:rsidR="005B5727" w:rsidRPr="00A912EB" w:rsidRDefault="005B5727" w:rsidP="00A912EB">
      <w:pPr>
        <w:pStyle w:val="Sansinterligne"/>
        <w:rPr>
          <w:b/>
          <w:sz w:val="28"/>
          <w:szCs w:val="28"/>
        </w:rPr>
      </w:pPr>
    </w:p>
    <w:p w:rsidR="005B5727" w:rsidRDefault="00D07AD9" w:rsidP="00677B81">
      <w:pPr>
        <w:pStyle w:val="Sansinterligne"/>
        <w:numPr>
          <w:ilvl w:val="0"/>
          <w:numId w:val="843"/>
        </w:numPr>
      </w:pPr>
      <w:r>
        <w:t>Gaz artériel, FSC, glycémie</w:t>
      </w:r>
      <w:r w:rsidR="005B5727">
        <w:t xml:space="preserve">, hémoculture (important en </w:t>
      </w:r>
      <w:r w:rsidR="00CD2C0C">
        <w:t>épiglottite)</w:t>
      </w:r>
    </w:p>
    <w:p w:rsidR="00CD2C0C" w:rsidRDefault="00CD2C0C" w:rsidP="00677B81">
      <w:pPr>
        <w:pStyle w:val="Sansinterligne"/>
        <w:numPr>
          <w:ilvl w:val="0"/>
          <w:numId w:val="843"/>
        </w:numPr>
      </w:pPr>
      <w:r>
        <w:t>Radiographie</w:t>
      </w:r>
      <w:r w:rsidR="00D07AD9" w:rsidRPr="00D07AD9">
        <w:t xml:space="preserve"> pulmonaire</w:t>
      </w:r>
      <w:r>
        <w:t xml:space="preserve"> (pneumonie, aspiration méconiale, pneumothorax, corps étranger, etc,)</w:t>
      </w:r>
    </w:p>
    <w:p w:rsidR="00CD2C0C" w:rsidRDefault="00CD2C0C" w:rsidP="00677B81">
      <w:pPr>
        <w:pStyle w:val="Sansinterligne"/>
        <w:numPr>
          <w:ilvl w:val="0"/>
          <w:numId w:val="843"/>
        </w:numPr>
      </w:pPr>
      <w:r>
        <w:t>Radiographie des tissus mous (si clinique douteuse)</w:t>
      </w:r>
    </w:p>
    <w:p w:rsidR="00CD2C0C" w:rsidRDefault="00CD2C0C" w:rsidP="00677B81">
      <w:pPr>
        <w:pStyle w:val="Sansinterligne"/>
        <w:numPr>
          <w:ilvl w:val="0"/>
          <w:numId w:val="843"/>
        </w:numPr>
      </w:pPr>
      <w:r>
        <w:t>Laryngoscopie (d’emblée si épiglottite fortement suspectée)</w:t>
      </w:r>
    </w:p>
    <w:p w:rsidR="00D07AD9" w:rsidRDefault="00CD2C0C" w:rsidP="00677B81">
      <w:pPr>
        <w:pStyle w:val="Sansinterligne"/>
        <w:numPr>
          <w:ilvl w:val="0"/>
          <w:numId w:val="843"/>
        </w:numPr>
      </w:pPr>
      <w:r>
        <w:t>Échographie</w:t>
      </w:r>
      <w:r w:rsidR="00E14E24">
        <w:t xml:space="preserve"> cardiaque</w:t>
      </w:r>
      <w:r w:rsidR="0026248C">
        <w:t>, ECG</w:t>
      </w:r>
      <w:r>
        <w:t xml:space="preserve"> si suspicion de cardiopathie</w:t>
      </w:r>
    </w:p>
    <w:p w:rsidR="0056315C" w:rsidRPr="001A4DE7" w:rsidRDefault="00CD2C0C" w:rsidP="00677B81">
      <w:pPr>
        <w:pStyle w:val="Sansinterligne"/>
        <w:numPr>
          <w:ilvl w:val="0"/>
          <w:numId w:val="843"/>
        </w:numPr>
        <w:spacing w:after="240"/>
      </w:pPr>
      <w:r>
        <w:t>Débit expiratoire de pointe (évaluation de l’asthme)</w:t>
      </w:r>
    </w:p>
    <w:p w:rsidR="006363D3" w:rsidRDefault="006363D3">
      <w:pPr>
        <w:rPr>
          <w:b/>
          <w:sz w:val="28"/>
          <w:szCs w:val="28"/>
        </w:rPr>
      </w:pPr>
    </w:p>
    <w:p w:rsidR="006363D3" w:rsidRDefault="006363D3">
      <w:pPr>
        <w:rPr>
          <w:b/>
          <w:sz w:val="28"/>
          <w:szCs w:val="28"/>
        </w:rPr>
      </w:pPr>
    </w:p>
    <w:p w:rsidR="006363D3" w:rsidRDefault="006363D3">
      <w:pPr>
        <w:rPr>
          <w:b/>
          <w:sz w:val="28"/>
          <w:szCs w:val="28"/>
        </w:rPr>
      </w:pPr>
    </w:p>
    <w:p w:rsidR="006363D3" w:rsidRDefault="006363D3">
      <w:pPr>
        <w:rPr>
          <w:b/>
          <w:sz w:val="28"/>
          <w:szCs w:val="28"/>
        </w:rPr>
      </w:pPr>
    </w:p>
    <w:p w:rsidR="00B34BF1" w:rsidRDefault="00B34BF1">
      <w:pPr>
        <w:rPr>
          <w:b/>
          <w:sz w:val="28"/>
          <w:szCs w:val="28"/>
        </w:rPr>
      </w:pPr>
      <w:r>
        <w:rPr>
          <w:b/>
          <w:sz w:val="28"/>
          <w:szCs w:val="28"/>
        </w:rPr>
        <w:lastRenderedPageBreak/>
        <w:t>Asthme – contrôle et traitement</w:t>
      </w:r>
    </w:p>
    <w:p w:rsidR="009A5E57" w:rsidRPr="009A5E57" w:rsidRDefault="009A5E57" w:rsidP="009A5E57">
      <w:pPr>
        <w:rPr>
          <w:b/>
          <w:sz w:val="28"/>
          <w:szCs w:val="28"/>
        </w:rPr>
      </w:pPr>
      <w:r>
        <w:rPr>
          <w:b/>
          <w:noProof/>
          <w:sz w:val="28"/>
          <w:szCs w:val="28"/>
          <w:lang w:eastAsia="fr-CA"/>
        </w:rPr>
        <w:drawing>
          <wp:inline distT="0" distB="0" distL="0" distR="0" wp14:anchorId="09F604F1" wp14:editId="3E285237">
            <wp:extent cx="6915489" cy="3025302"/>
            <wp:effectExtent l="0" t="0" r="0" b="3810"/>
            <wp:docPr id="409" name="Image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thme 2.PNG"/>
                    <pic:cNvPicPr/>
                  </pic:nvPicPr>
                  <pic:blipFill rotWithShape="1">
                    <a:blip r:embed="rId99">
                      <a:extLst>
                        <a:ext uri="{28A0092B-C50C-407E-A947-70E740481C1C}">
                          <a14:useLocalDpi xmlns:a14="http://schemas.microsoft.com/office/drawing/2010/main" val="0"/>
                        </a:ext>
                      </a:extLst>
                    </a:blip>
                    <a:srcRect l="1844" t="3098" r="1986" b="20344"/>
                    <a:stretch/>
                  </pic:blipFill>
                  <pic:spPr bwMode="auto">
                    <a:xfrm>
                      <a:off x="0" y="0"/>
                      <a:ext cx="6915489" cy="3025302"/>
                    </a:xfrm>
                    <a:prstGeom prst="rect">
                      <a:avLst/>
                    </a:prstGeom>
                    <a:ln>
                      <a:noFill/>
                    </a:ln>
                    <a:extLst>
                      <a:ext uri="{53640926-AAD7-44D8-BBD7-CCE9431645EC}">
                        <a14:shadowObscured xmlns:a14="http://schemas.microsoft.com/office/drawing/2010/main"/>
                      </a:ext>
                    </a:extLst>
                  </pic:spPr>
                </pic:pic>
              </a:graphicData>
            </a:graphic>
          </wp:inline>
        </w:drawing>
      </w:r>
      <w:r>
        <w:rPr>
          <w:b/>
          <w:noProof/>
          <w:sz w:val="28"/>
          <w:szCs w:val="28"/>
          <w:lang w:eastAsia="fr-CA"/>
        </w:rPr>
        <w:drawing>
          <wp:inline distT="0" distB="0" distL="0" distR="0" wp14:anchorId="2BE6D874" wp14:editId="520AB720">
            <wp:extent cx="6702357" cy="3589506"/>
            <wp:effectExtent l="0" t="0" r="3810" b="0"/>
            <wp:docPr id="411" name="Imag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thme 1.PNG"/>
                    <pic:cNvPicPr/>
                  </pic:nvPicPr>
                  <pic:blipFill rotWithShape="1">
                    <a:blip r:embed="rId100">
                      <a:extLst>
                        <a:ext uri="{28A0092B-C50C-407E-A947-70E740481C1C}">
                          <a14:useLocalDpi xmlns:a14="http://schemas.microsoft.com/office/drawing/2010/main" val="0"/>
                        </a:ext>
                      </a:extLst>
                    </a:blip>
                    <a:srcRect l="851" t="3092" r="1383" b="1804"/>
                    <a:stretch/>
                  </pic:blipFill>
                  <pic:spPr bwMode="auto">
                    <a:xfrm>
                      <a:off x="0" y="0"/>
                      <a:ext cx="6704804" cy="3590817"/>
                    </a:xfrm>
                    <a:prstGeom prst="rect">
                      <a:avLst/>
                    </a:prstGeom>
                    <a:ln>
                      <a:noFill/>
                    </a:ln>
                    <a:extLst>
                      <a:ext uri="{53640926-AAD7-44D8-BBD7-CCE9431645EC}">
                        <a14:shadowObscured xmlns:a14="http://schemas.microsoft.com/office/drawing/2010/main"/>
                      </a:ext>
                    </a:extLst>
                  </pic:spPr>
                </pic:pic>
              </a:graphicData>
            </a:graphic>
          </wp:inline>
        </w:drawing>
      </w:r>
    </w:p>
    <w:p w:rsidR="009A5E57" w:rsidRDefault="009A5E57">
      <w:pPr>
        <w:rPr>
          <w:rFonts w:cs="Times New Roman"/>
          <w:b/>
          <w:color w:val="548DD4" w:themeColor="text2" w:themeTint="99"/>
        </w:rPr>
      </w:pPr>
      <w:r>
        <w:rPr>
          <w:rFonts w:cs="Times New Roman"/>
          <w:b/>
          <w:color w:val="548DD4" w:themeColor="text2" w:themeTint="99"/>
        </w:rPr>
        <w:br w:type="page"/>
      </w:r>
    </w:p>
    <w:p w:rsidR="001F3BC6" w:rsidRDefault="001F3BC6" w:rsidP="008D2919">
      <w:pPr>
        <w:spacing w:after="0"/>
        <w:rPr>
          <w:rFonts w:cs="Times New Roman"/>
          <w:b/>
          <w:color w:val="548DD4" w:themeColor="text2" w:themeTint="99"/>
        </w:rPr>
      </w:pPr>
      <w:r>
        <w:rPr>
          <w:rFonts w:cs="Times New Roman"/>
          <w:b/>
          <w:color w:val="548DD4" w:themeColor="text2" w:themeTint="99"/>
        </w:rPr>
        <w:lastRenderedPageBreak/>
        <w:t>CMC 28</w:t>
      </w:r>
    </w:p>
    <w:p w:rsidR="001F3BC6" w:rsidRPr="001F3BC6" w:rsidRDefault="001F3BC6" w:rsidP="001F3BC6">
      <w:pPr>
        <w:pStyle w:val="Titre3"/>
        <w:spacing w:before="0"/>
        <w:rPr>
          <w:rFonts w:ascii="Times New Roman" w:hAnsi="Times New Roman" w:cs="Times New Roman"/>
        </w:rPr>
      </w:pPr>
      <w:bookmarkStart w:id="100" w:name="_Toc480797280"/>
      <w:r w:rsidRPr="001F3BC6">
        <w:rPr>
          <w:rFonts w:ascii="Times New Roman" w:hAnsi="Times New Roman" w:cs="Times New Roman"/>
        </w:rPr>
        <w:t>Douleur de l’oreille</w:t>
      </w:r>
      <w:bookmarkEnd w:id="100"/>
    </w:p>
    <w:tbl>
      <w:tblPr>
        <w:tblW w:w="3858" w:type="pct"/>
        <w:tblCellSpacing w:w="0" w:type="dxa"/>
        <w:tblCellMar>
          <w:left w:w="0" w:type="dxa"/>
          <w:right w:w="0" w:type="dxa"/>
        </w:tblCellMar>
        <w:tblLook w:val="04A0" w:firstRow="1" w:lastRow="0" w:firstColumn="1" w:lastColumn="0" w:noHBand="0" w:noVBand="1"/>
      </w:tblPr>
      <w:tblGrid>
        <w:gridCol w:w="8333"/>
      </w:tblGrid>
      <w:tr w:rsidR="001F3BC6" w:rsidRPr="001F3BC6" w:rsidTr="001F3BC6">
        <w:trPr>
          <w:tblCellSpacing w:w="0" w:type="dxa"/>
        </w:trPr>
        <w:tc>
          <w:tcPr>
            <w:tcW w:w="0" w:type="auto"/>
            <w:vAlign w:val="bottom"/>
            <w:hideMark/>
          </w:tcPr>
          <w:p w:rsidR="001F3BC6" w:rsidRPr="001F3BC6" w:rsidRDefault="001F3BC6" w:rsidP="001F3BC6">
            <w:pPr>
              <w:pStyle w:val="Sansinterligne"/>
              <w:spacing w:before="240"/>
              <w:rPr>
                <w:rFonts w:cs="Times New Roman"/>
                <w:b/>
                <w:sz w:val="18"/>
                <w:szCs w:val="18"/>
              </w:rPr>
            </w:pPr>
            <w:r>
              <w:rPr>
                <w:rFonts w:cs="Times New Roman"/>
                <w:b/>
                <w:noProof/>
                <w:sz w:val="18"/>
                <w:szCs w:val="18"/>
                <w:lang w:eastAsia="fr-CA"/>
              </w:rPr>
              <mc:AlternateContent>
                <mc:Choice Requires="wps">
                  <w:drawing>
                    <wp:anchor distT="0" distB="0" distL="114300" distR="114300" simplePos="0" relativeHeight="251955200" behindDoc="0" locked="0" layoutInCell="1" allowOverlap="1" wp14:anchorId="0020306E" wp14:editId="6DEE8B5A">
                      <wp:simplePos x="0" y="0"/>
                      <wp:positionH relativeFrom="column">
                        <wp:posOffset>-68094</wp:posOffset>
                      </wp:positionH>
                      <wp:positionV relativeFrom="paragraph">
                        <wp:posOffset>85225</wp:posOffset>
                      </wp:positionV>
                      <wp:extent cx="6965005" cy="2441643"/>
                      <wp:effectExtent l="0" t="0" r="26670" b="15875"/>
                      <wp:wrapNone/>
                      <wp:docPr id="470" name="Rectangle 470"/>
                      <wp:cNvGraphicFramePr/>
                      <a:graphic xmlns:a="http://schemas.openxmlformats.org/drawingml/2006/main">
                        <a:graphicData uri="http://schemas.microsoft.com/office/word/2010/wordprocessingShape">
                          <wps:wsp>
                            <wps:cNvSpPr/>
                            <wps:spPr>
                              <a:xfrm>
                                <a:off x="0" y="0"/>
                                <a:ext cx="6965005" cy="2441643"/>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470" o:spid="_x0000_s1026" style="position:absolute;margin-left:-5.35pt;margin-top:6.7pt;width:548.45pt;height:192.25pt;z-index:2519552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" filled="f" strokecolor="black [1600]" strokeweight="2pt"/>
                  </w:pict>
                </mc:Fallback>
              </mc:AlternateContent>
            </w:r>
            <w:r w:rsidRPr="001F3BC6">
              <w:rPr>
                <w:rFonts w:cs="Times New Roman"/>
                <w:b/>
                <w:sz w:val="18"/>
                <w:szCs w:val="18"/>
              </w:rPr>
              <w:t>Objectifs principaux</w:t>
            </w:r>
          </w:p>
        </w:tc>
      </w:tr>
    </w:tbl>
    <w:p w:rsidR="001F3BC6" w:rsidRDefault="001F3BC6" w:rsidP="007A4979">
      <w:pPr>
        <w:pStyle w:val="NormalWeb"/>
        <w:spacing w:after="0" w:afterAutospacing="0"/>
        <w:ind w:left="360"/>
        <w:rPr>
          <w:color w:val="000000"/>
          <w:sz w:val="18"/>
          <w:szCs w:val="18"/>
          <w:shd w:val="clear" w:color="auto" w:fill="FFFFFF"/>
        </w:rPr>
      </w:pPr>
      <w:r w:rsidRPr="001F3BC6">
        <w:rPr>
          <w:color w:val="000000"/>
          <w:sz w:val="18"/>
          <w:szCs w:val="18"/>
          <w:shd w:val="clear" w:color="auto" w:fill="FFFFFF"/>
        </w:rPr>
        <w:t>Dans le cas d'un patient présentant une douleur de l'oreille, le candidat devra en diagnostiquer la cause, la gravité et les complications et établir un plan de prise en charge approprié. En particulier, un examen attentif et complet de la tête et du cou est nécessaire, notamment lorsque le canal auditif, le tympan et l'oreille moyenne semblent normaux.</w:t>
      </w:r>
    </w:p>
    <w:p w:rsidR="007A4979" w:rsidRPr="007A4979" w:rsidRDefault="007A4979" w:rsidP="007A4979">
      <w:pPr>
        <w:pStyle w:val="NormalWeb"/>
        <w:spacing w:before="0" w:beforeAutospacing="0" w:after="0" w:afterAutospacing="0"/>
        <w:ind w:left="360"/>
        <w:rPr>
          <w:color w:val="000000"/>
          <w:sz w:val="16"/>
          <w:szCs w:val="16"/>
          <w:shd w:val="clear" w:color="auto" w:fill="FFFFFF"/>
        </w:rPr>
      </w:pPr>
    </w:p>
    <w:tbl>
      <w:tblPr>
        <w:tblW w:w="3897" w:type="pct"/>
        <w:tblCellSpacing w:w="0" w:type="dxa"/>
        <w:tblCellMar>
          <w:left w:w="0" w:type="dxa"/>
          <w:right w:w="0" w:type="dxa"/>
        </w:tblCellMar>
        <w:tblLook w:val="04A0" w:firstRow="1" w:lastRow="0" w:firstColumn="1" w:lastColumn="0" w:noHBand="0" w:noVBand="1"/>
      </w:tblPr>
      <w:tblGrid>
        <w:gridCol w:w="8418"/>
      </w:tblGrid>
      <w:tr w:rsidR="001F3BC6" w:rsidRPr="001F3BC6" w:rsidTr="001F3BC6">
        <w:trPr>
          <w:tblCellSpacing w:w="0" w:type="dxa"/>
        </w:trPr>
        <w:tc>
          <w:tcPr>
            <w:tcW w:w="0" w:type="auto"/>
            <w:vAlign w:val="bottom"/>
            <w:hideMark/>
          </w:tcPr>
          <w:p w:rsidR="001F3BC6" w:rsidRPr="001F3BC6" w:rsidRDefault="001F3BC6" w:rsidP="001F3BC6">
            <w:pPr>
              <w:pStyle w:val="Sansinterligne"/>
              <w:rPr>
                <w:rFonts w:cs="Times New Roman"/>
                <w:b/>
                <w:sz w:val="16"/>
                <w:szCs w:val="16"/>
              </w:rPr>
            </w:pPr>
            <w:r w:rsidRPr="001F3BC6">
              <w:rPr>
                <w:rFonts w:cs="Times New Roman"/>
                <w:b/>
                <w:sz w:val="16"/>
                <w:szCs w:val="16"/>
              </w:rPr>
              <w:t>Objectifs spécifiques</w:t>
            </w:r>
          </w:p>
        </w:tc>
      </w:tr>
    </w:tbl>
    <w:p w:rsidR="001F3BC6" w:rsidRPr="001F3BC6" w:rsidRDefault="001F3BC6" w:rsidP="001F3BC6">
      <w:pPr>
        <w:pStyle w:val="NormalWeb"/>
        <w:shd w:val="clear" w:color="auto" w:fill="FFFFFF"/>
        <w:ind w:left="360"/>
        <w:rPr>
          <w:color w:val="000000"/>
          <w:sz w:val="16"/>
          <w:szCs w:val="16"/>
          <w:shd w:val="clear" w:color="auto" w:fill="FFFFFF"/>
        </w:rPr>
      </w:pPr>
      <w:r w:rsidRPr="001F3BC6">
        <w:rPr>
          <w:color w:val="000000"/>
          <w:sz w:val="16"/>
          <w:szCs w:val="16"/>
          <w:shd w:val="clear" w:color="auto" w:fill="FFFFFF"/>
        </w:rPr>
        <w:t>Dans le cas d'un patient présentant une douleur de l'oreille, le candidat devra</w:t>
      </w:r>
    </w:p>
    <w:p w:rsidR="001F3BC6" w:rsidRPr="001F3BC6" w:rsidRDefault="001F3BC6" w:rsidP="005D429F">
      <w:pPr>
        <w:numPr>
          <w:ilvl w:val="0"/>
          <w:numId w:val="1000"/>
        </w:numPr>
        <w:shd w:val="clear" w:color="auto" w:fill="FFFFFF"/>
        <w:spacing w:before="100" w:beforeAutospacing="1" w:after="100" w:afterAutospacing="1" w:line="240" w:lineRule="auto"/>
        <w:rPr>
          <w:rFonts w:cs="Times New Roman"/>
          <w:color w:val="000000"/>
          <w:sz w:val="16"/>
          <w:szCs w:val="16"/>
          <w:shd w:val="clear" w:color="auto" w:fill="FFFFFF"/>
        </w:rPr>
      </w:pPr>
      <w:r w:rsidRPr="001F3BC6">
        <w:rPr>
          <w:rFonts w:cs="Times New Roman"/>
          <w:color w:val="000000"/>
          <w:sz w:val="16"/>
          <w:szCs w:val="16"/>
          <w:shd w:val="clear" w:color="auto" w:fill="FFFFFF"/>
        </w:rPr>
        <w:t>énumérer et interpréter les constatations cliniques cruciales, notamment :</w:t>
      </w:r>
    </w:p>
    <w:p w:rsidR="001F3BC6" w:rsidRPr="001F3BC6" w:rsidRDefault="001F3BC6" w:rsidP="005D429F">
      <w:pPr>
        <w:numPr>
          <w:ilvl w:val="1"/>
          <w:numId w:val="1000"/>
        </w:numPr>
        <w:shd w:val="clear" w:color="auto" w:fill="FFFFFF"/>
        <w:spacing w:before="100" w:beforeAutospacing="1" w:after="100" w:afterAutospacing="1" w:line="240" w:lineRule="auto"/>
        <w:rPr>
          <w:rFonts w:cs="Times New Roman"/>
          <w:color w:val="000000"/>
          <w:sz w:val="16"/>
          <w:szCs w:val="16"/>
          <w:shd w:val="clear" w:color="auto" w:fill="FFFFFF"/>
        </w:rPr>
      </w:pPr>
      <w:r w:rsidRPr="001F3BC6">
        <w:rPr>
          <w:rFonts w:cs="Times New Roman"/>
          <w:color w:val="000000"/>
          <w:sz w:val="16"/>
          <w:szCs w:val="16"/>
          <w:shd w:val="clear" w:color="auto" w:fill="FFFFFF"/>
        </w:rPr>
        <w:t>déterminer les caractéristiques de l'anamnèse et de l'examen physique pouvant indiquer qu'il s'agit d'une infection</w:t>
      </w:r>
    </w:p>
    <w:p w:rsidR="001F3BC6" w:rsidRPr="001F3BC6" w:rsidRDefault="001F3BC6" w:rsidP="005D429F">
      <w:pPr>
        <w:numPr>
          <w:ilvl w:val="1"/>
          <w:numId w:val="1000"/>
        </w:numPr>
        <w:shd w:val="clear" w:color="auto" w:fill="FFFFFF"/>
        <w:spacing w:before="100" w:beforeAutospacing="1" w:after="100" w:afterAutospacing="1" w:line="240" w:lineRule="auto"/>
        <w:rPr>
          <w:rFonts w:cs="Times New Roman"/>
          <w:color w:val="000000"/>
          <w:sz w:val="16"/>
          <w:szCs w:val="16"/>
          <w:shd w:val="clear" w:color="auto" w:fill="FFFFFF"/>
        </w:rPr>
      </w:pPr>
      <w:r w:rsidRPr="001F3BC6">
        <w:rPr>
          <w:rFonts w:cs="Times New Roman"/>
          <w:color w:val="000000"/>
          <w:sz w:val="16"/>
          <w:szCs w:val="16"/>
          <w:shd w:val="clear" w:color="auto" w:fill="FFFFFF"/>
        </w:rPr>
        <w:t>examiner les oreilles, la tête et le cou à la recherche d'autres causes de la douleur</w:t>
      </w:r>
    </w:p>
    <w:p w:rsidR="001F3BC6" w:rsidRPr="001F3BC6" w:rsidRDefault="001F3BC6" w:rsidP="005D429F">
      <w:pPr>
        <w:numPr>
          <w:ilvl w:val="0"/>
          <w:numId w:val="1000"/>
        </w:numPr>
        <w:shd w:val="clear" w:color="auto" w:fill="FFFFFF"/>
        <w:spacing w:before="100" w:beforeAutospacing="1" w:after="100" w:afterAutospacing="1" w:line="240" w:lineRule="auto"/>
        <w:rPr>
          <w:rFonts w:cs="Times New Roman"/>
          <w:color w:val="000000"/>
          <w:sz w:val="16"/>
          <w:szCs w:val="16"/>
          <w:shd w:val="clear" w:color="auto" w:fill="FFFFFF"/>
        </w:rPr>
      </w:pPr>
      <w:r w:rsidRPr="001F3BC6">
        <w:rPr>
          <w:rFonts w:cs="Times New Roman"/>
          <w:color w:val="000000"/>
          <w:sz w:val="16"/>
          <w:szCs w:val="16"/>
          <w:shd w:val="clear" w:color="auto" w:fill="FFFFFF"/>
        </w:rPr>
        <w:t>énumérer et interpréter les examens essentiels, notamment :</w:t>
      </w:r>
    </w:p>
    <w:p w:rsidR="001F3BC6" w:rsidRPr="001F3BC6" w:rsidRDefault="001F3BC6" w:rsidP="005D429F">
      <w:pPr>
        <w:numPr>
          <w:ilvl w:val="1"/>
          <w:numId w:val="1000"/>
        </w:numPr>
        <w:shd w:val="clear" w:color="auto" w:fill="FFFFFF"/>
        <w:spacing w:before="100" w:beforeAutospacing="1" w:after="100" w:afterAutospacing="1" w:line="240" w:lineRule="auto"/>
        <w:rPr>
          <w:rFonts w:cs="Times New Roman"/>
          <w:color w:val="000000"/>
          <w:sz w:val="16"/>
          <w:szCs w:val="16"/>
          <w:shd w:val="clear" w:color="auto" w:fill="FFFFFF"/>
        </w:rPr>
      </w:pPr>
      <w:r w:rsidRPr="001F3BC6">
        <w:rPr>
          <w:rFonts w:cs="Times New Roman"/>
          <w:color w:val="000000"/>
          <w:sz w:val="16"/>
          <w:szCs w:val="16"/>
          <w:shd w:val="clear" w:color="auto" w:fill="FFFFFF"/>
        </w:rPr>
        <w:t>la mise en culture et l'antibiogramme de l'écoulement du canal auditif, le cas échéant</w:t>
      </w:r>
    </w:p>
    <w:p w:rsidR="001F3BC6" w:rsidRPr="001F3BC6" w:rsidRDefault="001F3BC6" w:rsidP="005D429F">
      <w:pPr>
        <w:numPr>
          <w:ilvl w:val="0"/>
          <w:numId w:val="1000"/>
        </w:numPr>
        <w:shd w:val="clear" w:color="auto" w:fill="FFFFFF"/>
        <w:spacing w:before="100" w:beforeAutospacing="1" w:after="100" w:afterAutospacing="1" w:line="240" w:lineRule="auto"/>
        <w:rPr>
          <w:rFonts w:cs="Times New Roman"/>
          <w:color w:val="000000"/>
          <w:sz w:val="16"/>
          <w:szCs w:val="16"/>
          <w:shd w:val="clear" w:color="auto" w:fill="FFFFFF"/>
        </w:rPr>
      </w:pPr>
      <w:r w:rsidRPr="001F3BC6">
        <w:rPr>
          <w:rFonts w:cs="Times New Roman"/>
          <w:color w:val="000000"/>
          <w:sz w:val="16"/>
          <w:szCs w:val="16"/>
          <w:shd w:val="clear" w:color="auto" w:fill="FFFFFF"/>
        </w:rPr>
        <w:t>élaborer un plan efficace de prise en charge initiale, notamment :</w:t>
      </w:r>
    </w:p>
    <w:p w:rsidR="001F3BC6" w:rsidRPr="001F3BC6" w:rsidRDefault="001F3BC6" w:rsidP="005D429F">
      <w:pPr>
        <w:numPr>
          <w:ilvl w:val="1"/>
          <w:numId w:val="1000"/>
        </w:numPr>
        <w:shd w:val="clear" w:color="auto" w:fill="FFFFFF"/>
        <w:spacing w:before="100" w:beforeAutospacing="1" w:after="100" w:afterAutospacing="1" w:line="240" w:lineRule="auto"/>
        <w:rPr>
          <w:rFonts w:cs="Times New Roman"/>
          <w:color w:val="000000"/>
          <w:sz w:val="16"/>
          <w:szCs w:val="16"/>
          <w:shd w:val="clear" w:color="auto" w:fill="FFFFFF"/>
        </w:rPr>
      </w:pPr>
      <w:r w:rsidRPr="001F3BC6">
        <w:rPr>
          <w:rFonts w:cs="Times New Roman"/>
          <w:color w:val="000000"/>
          <w:sz w:val="16"/>
          <w:szCs w:val="16"/>
          <w:shd w:val="clear" w:color="auto" w:fill="FFFFFF"/>
        </w:rPr>
        <w:t>décider si un traitement symptomatique est suffisant.</w:t>
      </w:r>
    </w:p>
    <w:p w:rsidR="001F3BC6" w:rsidRPr="004C3DE0" w:rsidRDefault="009620B1" w:rsidP="004C3DE0">
      <w:pPr>
        <w:pStyle w:val="Sansinterligne"/>
        <w:rPr>
          <w:b/>
          <w:sz w:val="28"/>
          <w:szCs w:val="28"/>
        </w:rPr>
      </w:pPr>
      <w:r>
        <w:rPr>
          <w:noProof/>
          <w:lang w:eastAsia="fr-CA"/>
        </w:rPr>
        <w:drawing>
          <wp:anchor distT="0" distB="0" distL="114300" distR="114300" simplePos="0" relativeHeight="251963392" behindDoc="1" locked="0" layoutInCell="1" allowOverlap="1" wp14:anchorId="73650004" wp14:editId="04BE9F81">
            <wp:simplePos x="0" y="0"/>
            <wp:positionH relativeFrom="column">
              <wp:posOffset>3785166</wp:posOffset>
            </wp:positionH>
            <wp:positionV relativeFrom="paragraph">
              <wp:posOffset>32033</wp:posOffset>
            </wp:positionV>
            <wp:extent cx="3238500" cy="2324735"/>
            <wp:effectExtent l="0" t="0" r="0" b="0"/>
            <wp:wrapNone/>
            <wp:docPr id="472" name="Image 472" descr="Résultats de recherche d'images pour « otite interne chez l'adult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ésultats de recherche d'images pour « otite interne chez l'adulte »"/>
                    <pic:cNvPicPr>
                      <a:picLocks noChangeAspect="1" noChangeArrowheads="1"/>
                    </pic:cNvPicPr>
                  </pic:nvPicPr>
                  <pic:blipFill rotWithShape="1">
                    <a:blip r:embed="rId101">
                      <a:extLst>
                        <a:ext uri="{28A0092B-C50C-407E-A947-70E740481C1C}">
                          <a14:useLocalDpi xmlns:a14="http://schemas.microsoft.com/office/drawing/2010/main" val="0"/>
                        </a:ext>
                      </a:extLst>
                    </a:blip>
                    <a:srcRect l="1347" r="2150"/>
                    <a:stretch/>
                  </pic:blipFill>
                  <pic:spPr bwMode="auto">
                    <a:xfrm>
                      <a:off x="0" y="0"/>
                      <a:ext cx="3238500" cy="232473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C3DE0" w:rsidRPr="004C3DE0">
        <w:rPr>
          <w:b/>
          <w:sz w:val="28"/>
          <w:szCs w:val="28"/>
        </w:rPr>
        <w:t>Approche d’une douleur à l’oreille (otalgie)</w:t>
      </w:r>
    </w:p>
    <w:p w:rsidR="006D4FC5" w:rsidRDefault="006D4FC5" w:rsidP="00F2426D">
      <w:pPr>
        <w:pStyle w:val="Sansinterligne"/>
      </w:pPr>
    </w:p>
    <w:p w:rsidR="009620B1" w:rsidRDefault="00F2426D" w:rsidP="009620B1">
      <w:pPr>
        <w:pStyle w:val="Sansinterligne"/>
        <w:ind w:right="4279"/>
      </w:pPr>
      <w:r>
        <w:t xml:space="preserve">La douleur à l’oreille est une plainte </w:t>
      </w:r>
      <w:r w:rsidR="009620B1">
        <w:t>fréquente, particulièrement chez l’enfant. Bien que les causes infectieuses, notamment les otites soient</w:t>
      </w:r>
      <w:r w:rsidR="00D07EAD">
        <w:t xml:space="preserve"> très</w:t>
      </w:r>
      <w:r w:rsidR="009620B1">
        <w:t xml:space="preserve"> </w:t>
      </w:r>
      <w:r w:rsidR="00D07EAD">
        <w:t>fréquentes,</w:t>
      </w:r>
      <w:r w:rsidR="009620B1">
        <w:t xml:space="preserve"> il est important de distinguer les autres pathologies pouvant </w:t>
      </w:r>
      <w:r w:rsidR="007A4979">
        <w:t>causer une otalgie.</w:t>
      </w:r>
    </w:p>
    <w:p w:rsidR="009620B1" w:rsidRDefault="009620B1" w:rsidP="009620B1">
      <w:pPr>
        <w:pStyle w:val="Sansinterligne"/>
        <w:ind w:right="4279"/>
      </w:pPr>
    </w:p>
    <w:p w:rsidR="009620B1" w:rsidRDefault="009620B1" w:rsidP="009620B1">
      <w:pPr>
        <w:pStyle w:val="Sansinterligne"/>
        <w:ind w:right="4279"/>
      </w:pPr>
      <w:r w:rsidRPr="009620B1">
        <w:rPr>
          <w:u w:val="single"/>
        </w:rPr>
        <w:t>Il faut notamment</w:t>
      </w:r>
      <w:r>
        <w:t> :</w:t>
      </w:r>
    </w:p>
    <w:p w:rsidR="009620B1" w:rsidRDefault="009620B1" w:rsidP="009620B1">
      <w:pPr>
        <w:pStyle w:val="Sansinterligne"/>
        <w:ind w:right="4279"/>
      </w:pPr>
      <w:r>
        <w:t xml:space="preserve">Chercher la présence de </w:t>
      </w:r>
      <w:r w:rsidRPr="009620B1">
        <w:rPr>
          <w:highlight w:val="yellow"/>
        </w:rPr>
        <w:t>Sx/Si infectieux</w:t>
      </w:r>
      <w:r>
        <w:t> : fièvre, otorrhée, rougeur</w:t>
      </w:r>
    </w:p>
    <w:p w:rsidR="009620B1" w:rsidRDefault="009620B1" w:rsidP="009620B1">
      <w:pPr>
        <w:pStyle w:val="Sansinterligne"/>
        <w:ind w:right="4279"/>
      </w:pPr>
      <w:r>
        <w:t xml:space="preserve">Chercher une </w:t>
      </w:r>
      <w:r w:rsidRPr="009620B1">
        <w:rPr>
          <w:highlight w:val="yellow"/>
        </w:rPr>
        <w:t>HMA évocatrice : baignade, piercing, avion/ plongée</w:t>
      </w:r>
      <w:r>
        <w:t xml:space="preserve"> …</w:t>
      </w:r>
    </w:p>
    <w:p w:rsidR="009620B1" w:rsidRDefault="009620B1" w:rsidP="009620B1">
      <w:pPr>
        <w:pStyle w:val="Sansinterligne"/>
        <w:ind w:right="4279"/>
      </w:pPr>
      <w:r>
        <w:t>Faire un E/P incluant le NC V (trijumeau), test de Weber et Rhinne         et examen des dents</w:t>
      </w:r>
      <w:r w:rsidR="000658CE">
        <w:t>, otoscopie</w:t>
      </w:r>
    </w:p>
    <w:p w:rsidR="004C3DE0" w:rsidRDefault="004C3DE0" w:rsidP="00F2426D">
      <w:pPr>
        <w:pStyle w:val="Sansinterligne"/>
      </w:pPr>
    </w:p>
    <w:p w:rsidR="007A4979" w:rsidRDefault="007A4979" w:rsidP="00F2426D">
      <w:pPr>
        <w:pStyle w:val="Sansinterligne"/>
      </w:pPr>
    </w:p>
    <w:p w:rsidR="004C3DE0" w:rsidRPr="004C3DE0" w:rsidRDefault="004C3DE0" w:rsidP="004C3DE0">
      <w:pPr>
        <w:pStyle w:val="Sansinterligne"/>
        <w:rPr>
          <w:b/>
          <w:sz w:val="28"/>
          <w:szCs w:val="28"/>
        </w:rPr>
      </w:pPr>
      <w:r w:rsidRPr="004C3DE0">
        <w:rPr>
          <w:b/>
          <w:sz w:val="28"/>
          <w:szCs w:val="28"/>
        </w:rPr>
        <w:t>Diagnostics</w:t>
      </w:r>
    </w:p>
    <w:p w:rsidR="006D4FC5" w:rsidRPr="004C3DE0" w:rsidRDefault="006D4FC5" w:rsidP="008D2919">
      <w:pPr>
        <w:spacing w:after="0"/>
        <w:rPr>
          <w:rFonts w:cs="Times New Roman"/>
          <w:b/>
          <w:color w:val="548DD4" w:themeColor="text2" w:themeTint="99"/>
          <w:sz w:val="16"/>
          <w:szCs w:val="16"/>
        </w:rPr>
      </w:pPr>
    </w:p>
    <w:tbl>
      <w:tblPr>
        <w:tblStyle w:val="Grilledutableau"/>
        <w:tblW w:w="0" w:type="auto"/>
        <w:tblLook w:val="04A0" w:firstRow="1" w:lastRow="0" w:firstColumn="1" w:lastColumn="0" w:noHBand="0" w:noVBand="1"/>
      </w:tblPr>
      <w:tblGrid>
        <w:gridCol w:w="2660"/>
        <w:gridCol w:w="4678"/>
        <w:gridCol w:w="3678"/>
      </w:tblGrid>
      <w:tr w:rsidR="004E25D5" w:rsidRPr="00F15482" w:rsidTr="007267AB">
        <w:tc>
          <w:tcPr>
            <w:tcW w:w="11016" w:type="dxa"/>
            <w:gridSpan w:val="3"/>
            <w:shd w:val="clear" w:color="auto" w:fill="FFC000"/>
          </w:tcPr>
          <w:p w:rsidR="004E25D5" w:rsidRPr="00F15482" w:rsidRDefault="004E25D5" w:rsidP="004E25D5">
            <w:pPr>
              <w:pStyle w:val="Sansinterligne"/>
              <w:jc w:val="center"/>
              <w:rPr>
                <w:lang w:eastAsia="fr-CA"/>
              </w:rPr>
            </w:pPr>
            <w:r w:rsidRPr="00F15482">
              <w:rPr>
                <w:lang w:eastAsia="fr-CA"/>
              </w:rPr>
              <w:t>Oreille externe</w:t>
            </w:r>
          </w:p>
        </w:tc>
      </w:tr>
      <w:tr w:rsidR="00F15482" w:rsidRPr="00F15482" w:rsidTr="007267AB">
        <w:tc>
          <w:tcPr>
            <w:tcW w:w="2660" w:type="dxa"/>
            <w:shd w:val="clear" w:color="auto" w:fill="C4BC96" w:themeFill="background2" w:themeFillShade="BF"/>
          </w:tcPr>
          <w:p w:rsidR="00F15482" w:rsidRPr="003F2335" w:rsidRDefault="004E25D5" w:rsidP="007267AB">
            <w:pPr>
              <w:pStyle w:val="Sansinterligne"/>
              <w:jc w:val="center"/>
              <w:rPr>
                <w:i/>
                <w:lang w:eastAsia="fr-CA"/>
              </w:rPr>
            </w:pPr>
            <w:r w:rsidRPr="003F2335">
              <w:rPr>
                <w:i/>
                <w:lang w:eastAsia="fr-CA"/>
              </w:rPr>
              <w:t>Diagnostic</w:t>
            </w:r>
          </w:p>
        </w:tc>
        <w:tc>
          <w:tcPr>
            <w:tcW w:w="8356" w:type="dxa"/>
            <w:gridSpan w:val="2"/>
            <w:shd w:val="clear" w:color="auto" w:fill="C4BC96" w:themeFill="background2" w:themeFillShade="BF"/>
          </w:tcPr>
          <w:p w:rsidR="00F15482" w:rsidRPr="003F2335" w:rsidRDefault="004E25D5" w:rsidP="007267AB">
            <w:pPr>
              <w:pStyle w:val="Sansinterligne"/>
              <w:jc w:val="center"/>
              <w:rPr>
                <w:i/>
                <w:lang w:eastAsia="fr-CA"/>
              </w:rPr>
            </w:pPr>
            <w:r w:rsidRPr="003F2335">
              <w:rPr>
                <w:i/>
                <w:lang w:eastAsia="fr-CA"/>
              </w:rPr>
              <w:t>Manifestations cliniques</w:t>
            </w:r>
          </w:p>
        </w:tc>
      </w:tr>
      <w:tr w:rsidR="00F2426D" w:rsidRPr="00F15482" w:rsidTr="00F4776A">
        <w:tc>
          <w:tcPr>
            <w:tcW w:w="2660" w:type="dxa"/>
            <w:shd w:val="clear" w:color="auto" w:fill="C4BC96" w:themeFill="background2" w:themeFillShade="BF"/>
            <w:vAlign w:val="center"/>
          </w:tcPr>
          <w:p w:rsidR="00F4776A" w:rsidRPr="000E7519" w:rsidRDefault="00F2426D" w:rsidP="00F4776A">
            <w:pPr>
              <w:pStyle w:val="Sansinterligne"/>
              <w:jc w:val="center"/>
              <w:rPr>
                <w:b/>
                <w:lang w:eastAsia="fr-CA"/>
              </w:rPr>
            </w:pPr>
            <w:bookmarkStart w:id="101" w:name="%C3%89tiologie1.1.1"/>
            <w:r w:rsidRPr="000E7519">
              <w:rPr>
                <w:b/>
                <w:lang w:eastAsia="fr-CA"/>
              </w:rPr>
              <w:t xml:space="preserve">Otite externe </w:t>
            </w:r>
          </w:p>
        </w:tc>
        <w:tc>
          <w:tcPr>
            <w:tcW w:w="4678" w:type="dxa"/>
            <w:shd w:val="clear" w:color="auto" w:fill="FFFF00"/>
          </w:tcPr>
          <w:p w:rsidR="00F2426D" w:rsidRDefault="00F2426D" w:rsidP="005D429F">
            <w:pPr>
              <w:pStyle w:val="Sansinterligne"/>
              <w:numPr>
                <w:ilvl w:val="0"/>
                <w:numId w:val="1021"/>
              </w:numPr>
              <w:rPr>
                <w:lang w:eastAsia="fr-CA"/>
              </w:rPr>
            </w:pPr>
            <w:r>
              <w:rPr>
                <w:lang w:eastAsia="fr-CA"/>
              </w:rPr>
              <w:t xml:space="preserve">Prurit ad douleur </w:t>
            </w:r>
            <w:r w:rsidR="00044D87">
              <w:rPr>
                <w:lang w:eastAsia="fr-CA"/>
              </w:rPr>
              <w:t xml:space="preserve">(otalgie) </w:t>
            </w:r>
            <w:r>
              <w:rPr>
                <w:lang w:eastAsia="fr-CA"/>
              </w:rPr>
              <w:t>intense</w:t>
            </w:r>
            <w:r w:rsidR="00F4776A">
              <w:rPr>
                <w:lang w:eastAsia="fr-CA"/>
              </w:rPr>
              <w:t xml:space="preserve"> (variable)</w:t>
            </w:r>
          </w:p>
          <w:p w:rsidR="00F2426D" w:rsidRDefault="00F2426D" w:rsidP="005D429F">
            <w:pPr>
              <w:pStyle w:val="Sansinterligne"/>
              <w:numPr>
                <w:ilvl w:val="0"/>
                <w:numId w:val="1021"/>
              </w:numPr>
              <w:rPr>
                <w:lang w:eastAsia="fr-CA"/>
              </w:rPr>
            </w:pPr>
            <w:r>
              <w:rPr>
                <w:lang w:eastAsia="fr-CA"/>
              </w:rPr>
              <w:t xml:space="preserve">Douleur </w:t>
            </w:r>
            <w:r>
              <w:rPr>
                <w:rFonts w:ascii="Century Gothic" w:hAnsi="Century Gothic"/>
                <w:lang w:eastAsia="fr-CA"/>
              </w:rPr>
              <w:t>↑</w:t>
            </w:r>
            <w:r>
              <w:rPr>
                <w:lang w:eastAsia="fr-CA"/>
              </w:rPr>
              <w:t xml:space="preserve"> par mobilisation du tragus et mastication</w:t>
            </w:r>
          </w:p>
          <w:p w:rsidR="00F4776A" w:rsidRDefault="00F4776A" w:rsidP="005D429F">
            <w:pPr>
              <w:pStyle w:val="Sansinterligne"/>
              <w:numPr>
                <w:ilvl w:val="0"/>
                <w:numId w:val="1021"/>
              </w:numPr>
              <w:rPr>
                <w:lang w:eastAsia="fr-CA"/>
              </w:rPr>
            </w:pPr>
            <w:r>
              <w:rPr>
                <w:lang w:eastAsia="fr-CA"/>
              </w:rPr>
              <w:t>Hx de baignade (otite du baigneur)</w:t>
            </w:r>
          </w:p>
          <w:p w:rsidR="00F4776A" w:rsidRDefault="00F4776A" w:rsidP="005D429F">
            <w:pPr>
              <w:pStyle w:val="Sansinterligne"/>
              <w:numPr>
                <w:ilvl w:val="0"/>
                <w:numId w:val="1021"/>
              </w:numPr>
              <w:rPr>
                <w:lang w:eastAsia="fr-CA"/>
              </w:rPr>
            </w:pPr>
            <w:r>
              <w:rPr>
                <w:lang w:eastAsia="fr-CA"/>
              </w:rPr>
              <w:t>Environnement chaud et humide</w:t>
            </w:r>
          </w:p>
          <w:p w:rsidR="00F4776A" w:rsidRDefault="00F4776A" w:rsidP="005D429F">
            <w:pPr>
              <w:pStyle w:val="Sansinterligne"/>
              <w:numPr>
                <w:ilvl w:val="0"/>
                <w:numId w:val="1021"/>
              </w:numPr>
              <w:rPr>
                <w:lang w:eastAsia="fr-CA"/>
              </w:rPr>
            </w:pPr>
            <w:r>
              <w:rPr>
                <w:lang w:eastAsia="fr-CA"/>
              </w:rPr>
              <w:t>Port d’appareil auditif</w:t>
            </w:r>
          </w:p>
          <w:p w:rsidR="00F4776A" w:rsidRDefault="00F4776A" w:rsidP="005D429F">
            <w:pPr>
              <w:pStyle w:val="Sansinterligne"/>
              <w:numPr>
                <w:ilvl w:val="0"/>
                <w:numId w:val="1021"/>
              </w:numPr>
              <w:rPr>
                <w:lang w:eastAsia="fr-CA"/>
              </w:rPr>
            </w:pPr>
            <w:r>
              <w:rPr>
                <w:lang w:eastAsia="fr-CA"/>
              </w:rPr>
              <w:t>ATCD de dermatite de cette zone</w:t>
            </w:r>
          </w:p>
          <w:p w:rsidR="00F2426D" w:rsidRDefault="00F2426D" w:rsidP="005D429F">
            <w:pPr>
              <w:pStyle w:val="Sansinterligne"/>
              <w:numPr>
                <w:ilvl w:val="0"/>
                <w:numId w:val="1021"/>
              </w:numPr>
              <w:rPr>
                <w:lang w:eastAsia="fr-CA"/>
              </w:rPr>
            </w:pPr>
            <w:r>
              <w:rPr>
                <w:lang w:eastAsia="fr-CA"/>
              </w:rPr>
              <w:t>Otorrhée</w:t>
            </w:r>
          </w:p>
          <w:p w:rsidR="00F4776A" w:rsidRDefault="00F2426D" w:rsidP="005D429F">
            <w:pPr>
              <w:pStyle w:val="Sansinterligne"/>
              <w:numPr>
                <w:ilvl w:val="0"/>
                <w:numId w:val="1021"/>
              </w:numPr>
              <w:rPr>
                <w:lang w:eastAsia="fr-CA"/>
              </w:rPr>
            </w:pPr>
            <w:r>
              <w:rPr>
                <w:lang w:eastAsia="fr-CA"/>
              </w:rPr>
              <w:t>Obstruction complète du canal auditif (sévère)</w:t>
            </w:r>
          </w:p>
        </w:tc>
        <w:tc>
          <w:tcPr>
            <w:tcW w:w="3678" w:type="dxa"/>
            <w:shd w:val="clear" w:color="auto" w:fill="FFFF00"/>
          </w:tcPr>
          <w:p w:rsidR="00F4776A" w:rsidRDefault="00F4776A" w:rsidP="005D429F">
            <w:pPr>
              <w:pStyle w:val="Sansinterligne"/>
              <w:numPr>
                <w:ilvl w:val="0"/>
                <w:numId w:val="1021"/>
              </w:numPr>
              <w:rPr>
                <w:lang w:eastAsia="fr-CA"/>
              </w:rPr>
            </w:pPr>
            <w:r>
              <w:rPr>
                <w:lang w:eastAsia="fr-CA"/>
              </w:rPr>
              <w:t>Hypoacousie unilatérale</w:t>
            </w:r>
          </w:p>
          <w:p w:rsidR="00F4776A" w:rsidRDefault="00F4776A" w:rsidP="005D429F">
            <w:pPr>
              <w:pStyle w:val="Sansinterligne"/>
              <w:numPr>
                <w:ilvl w:val="0"/>
                <w:numId w:val="1021"/>
              </w:numPr>
              <w:rPr>
                <w:lang w:eastAsia="fr-CA"/>
              </w:rPr>
            </w:pPr>
            <w:r>
              <w:rPr>
                <w:lang w:eastAsia="fr-CA"/>
              </w:rPr>
              <w:t>Fièvre</w:t>
            </w:r>
          </w:p>
          <w:p w:rsidR="00F4776A" w:rsidRDefault="00F4776A" w:rsidP="005D429F">
            <w:pPr>
              <w:pStyle w:val="Sansinterligne"/>
              <w:numPr>
                <w:ilvl w:val="0"/>
                <w:numId w:val="1021"/>
              </w:numPr>
              <w:rPr>
                <w:lang w:eastAsia="fr-CA"/>
              </w:rPr>
            </w:pPr>
            <w:r>
              <w:rPr>
                <w:lang w:eastAsia="fr-CA"/>
              </w:rPr>
              <w:t>Cellulite</w:t>
            </w:r>
          </w:p>
          <w:p w:rsidR="00F4776A" w:rsidRDefault="00F4776A" w:rsidP="005D429F">
            <w:pPr>
              <w:pStyle w:val="Sansinterligne"/>
              <w:numPr>
                <w:ilvl w:val="0"/>
                <w:numId w:val="1021"/>
              </w:numPr>
              <w:rPr>
                <w:lang w:eastAsia="fr-CA"/>
              </w:rPr>
            </w:pPr>
            <w:r>
              <w:rPr>
                <w:lang w:eastAsia="fr-CA"/>
              </w:rPr>
              <w:t>ADNP</w:t>
            </w:r>
          </w:p>
          <w:p w:rsidR="00F2426D" w:rsidRDefault="00F4776A" w:rsidP="005D429F">
            <w:pPr>
              <w:pStyle w:val="Sansinterligne"/>
              <w:numPr>
                <w:ilvl w:val="0"/>
                <w:numId w:val="1021"/>
              </w:numPr>
              <w:rPr>
                <w:lang w:eastAsia="fr-CA"/>
              </w:rPr>
            </w:pPr>
            <w:r>
              <w:rPr>
                <w:lang w:eastAsia="fr-CA"/>
              </w:rPr>
              <w:t>Conduit auditif hyperhémié</w:t>
            </w:r>
          </w:p>
          <w:p w:rsidR="00F4776A" w:rsidRDefault="00F4776A" w:rsidP="00F4776A">
            <w:pPr>
              <w:pStyle w:val="Sansinterligne"/>
              <w:rPr>
                <w:lang w:eastAsia="fr-CA"/>
              </w:rPr>
            </w:pPr>
          </w:p>
          <w:p w:rsidR="00F4776A" w:rsidRDefault="00F4776A" w:rsidP="00F4776A">
            <w:pPr>
              <w:pStyle w:val="Sansinterligne"/>
              <w:rPr>
                <w:lang w:eastAsia="fr-CA"/>
              </w:rPr>
            </w:pPr>
            <w:r w:rsidRPr="00A26A08">
              <w:rPr>
                <w:u w:val="single"/>
                <w:lang w:eastAsia="fr-CA"/>
              </w:rPr>
              <w:t>Germes fréquents</w:t>
            </w:r>
            <w:r>
              <w:rPr>
                <w:lang w:eastAsia="fr-CA"/>
              </w:rPr>
              <w:t xml:space="preserve"> : </w:t>
            </w:r>
          </w:p>
          <w:p w:rsidR="00D07EAD" w:rsidRDefault="00F4776A" w:rsidP="00D07EAD">
            <w:pPr>
              <w:pStyle w:val="Sansinterligne"/>
              <w:ind w:left="708"/>
              <w:rPr>
                <w:b/>
                <w:lang w:eastAsia="fr-CA"/>
              </w:rPr>
            </w:pPr>
            <w:r w:rsidRPr="00F4776A">
              <w:rPr>
                <w:b/>
                <w:i/>
                <w:lang w:eastAsia="fr-CA"/>
              </w:rPr>
              <w:t>Pseudomonas aeruginosa</w:t>
            </w:r>
          </w:p>
          <w:p w:rsidR="00F4776A" w:rsidRPr="00F4776A" w:rsidRDefault="00D07EAD" w:rsidP="00D07EAD">
            <w:pPr>
              <w:pStyle w:val="Sansinterligne"/>
              <w:ind w:left="708"/>
              <w:rPr>
                <w:b/>
                <w:lang w:eastAsia="fr-CA"/>
              </w:rPr>
            </w:pPr>
            <w:r w:rsidRPr="00F4776A">
              <w:rPr>
                <w:b/>
                <w:i/>
                <w:lang w:eastAsia="fr-CA"/>
              </w:rPr>
              <w:t>Staph</w:t>
            </w:r>
            <w:r>
              <w:rPr>
                <w:b/>
                <w:i/>
                <w:lang w:eastAsia="fr-CA"/>
              </w:rPr>
              <w:t>ylococcus</w:t>
            </w:r>
            <w:r w:rsidR="00F4776A" w:rsidRPr="00F4776A">
              <w:rPr>
                <w:b/>
                <w:i/>
                <w:lang w:eastAsia="fr-CA"/>
              </w:rPr>
              <w:t xml:space="preserve"> Aureus</w:t>
            </w:r>
          </w:p>
        </w:tc>
      </w:tr>
      <w:tr w:rsidR="00044D87" w:rsidRPr="00F15482" w:rsidTr="00044D87">
        <w:tc>
          <w:tcPr>
            <w:tcW w:w="2660" w:type="dxa"/>
            <w:shd w:val="clear" w:color="auto" w:fill="C4BC96" w:themeFill="background2" w:themeFillShade="BF"/>
            <w:vAlign w:val="center"/>
          </w:tcPr>
          <w:p w:rsidR="00044D87" w:rsidRPr="00F15482" w:rsidRDefault="00044D87" w:rsidP="007267AB">
            <w:pPr>
              <w:pStyle w:val="Sansinterligne"/>
              <w:jc w:val="center"/>
              <w:rPr>
                <w:lang w:eastAsia="fr-CA"/>
              </w:rPr>
            </w:pPr>
            <w:bookmarkStart w:id="102" w:name="%C3%89tiologie1.1.2"/>
            <w:bookmarkEnd w:id="101"/>
            <w:r w:rsidRPr="00F15482">
              <w:rPr>
                <w:lang w:eastAsia="fr-CA"/>
              </w:rPr>
              <w:t>Cellulite auriculaire</w:t>
            </w:r>
          </w:p>
        </w:tc>
        <w:tc>
          <w:tcPr>
            <w:tcW w:w="4678" w:type="dxa"/>
            <w:tcBorders>
              <w:right w:val="single" w:sz="4" w:space="0" w:color="FFFFFF" w:themeColor="background1"/>
            </w:tcBorders>
          </w:tcPr>
          <w:p w:rsidR="00044D87" w:rsidRDefault="00044D87" w:rsidP="005D429F">
            <w:pPr>
              <w:pStyle w:val="Sansinterligne"/>
              <w:numPr>
                <w:ilvl w:val="0"/>
                <w:numId w:val="1022"/>
              </w:numPr>
              <w:rPr>
                <w:lang w:eastAsia="fr-CA"/>
              </w:rPr>
            </w:pPr>
            <w:r>
              <w:rPr>
                <w:lang w:eastAsia="fr-CA"/>
              </w:rPr>
              <w:t xml:space="preserve">Hx d’infection, trauma, ou dermites présentes </w:t>
            </w:r>
          </w:p>
          <w:p w:rsidR="00044D87" w:rsidRDefault="00044D87" w:rsidP="005D429F">
            <w:pPr>
              <w:pStyle w:val="Sansinterligne"/>
              <w:numPr>
                <w:ilvl w:val="0"/>
                <w:numId w:val="1022"/>
              </w:numPr>
              <w:rPr>
                <w:lang w:eastAsia="fr-CA"/>
              </w:rPr>
            </w:pPr>
            <w:r>
              <w:rPr>
                <w:lang w:eastAsia="fr-CA"/>
              </w:rPr>
              <w:t xml:space="preserve">Peut-être la complication d’une otite externe </w:t>
            </w:r>
          </w:p>
        </w:tc>
        <w:tc>
          <w:tcPr>
            <w:tcW w:w="3678" w:type="dxa"/>
            <w:tcBorders>
              <w:left w:val="single" w:sz="4" w:space="0" w:color="FFFFFF" w:themeColor="background1"/>
            </w:tcBorders>
          </w:tcPr>
          <w:p w:rsidR="00044D87" w:rsidRDefault="00044D87" w:rsidP="005D429F">
            <w:pPr>
              <w:pStyle w:val="Sansinterligne"/>
              <w:numPr>
                <w:ilvl w:val="0"/>
                <w:numId w:val="1022"/>
              </w:numPr>
              <w:rPr>
                <w:lang w:eastAsia="fr-CA"/>
              </w:rPr>
            </w:pPr>
            <w:r>
              <w:rPr>
                <w:lang w:eastAsia="fr-CA"/>
              </w:rPr>
              <w:t>Érythème et chaleur péri-auriculaire</w:t>
            </w:r>
          </w:p>
          <w:p w:rsidR="00044D87" w:rsidRPr="00F15482" w:rsidRDefault="00044D87" w:rsidP="005D429F">
            <w:pPr>
              <w:pStyle w:val="Sansinterligne"/>
              <w:numPr>
                <w:ilvl w:val="0"/>
                <w:numId w:val="1022"/>
              </w:numPr>
              <w:rPr>
                <w:lang w:eastAsia="fr-CA"/>
              </w:rPr>
            </w:pPr>
            <w:r>
              <w:rPr>
                <w:lang w:eastAsia="fr-CA"/>
              </w:rPr>
              <w:t>Douleur, oedème</w:t>
            </w:r>
          </w:p>
        </w:tc>
      </w:tr>
      <w:tr w:rsidR="008358A7" w:rsidRPr="00F15482" w:rsidTr="008358A7">
        <w:tc>
          <w:tcPr>
            <w:tcW w:w="2660" w:type="dxa"/>
            <w:shd w:val="clear" w:color="auto" w:fill="C4BC96" w:themeFill="background2" w:themeFillShade="BF"/>
            <w:vAlign w:val="center"/>
          </w:tcPr>
          <w:p w:rsidR="008358A7" w:rsidRPr="00F15482" w:rsidRDefault="008358A7" w:rsidP="007267AB">
            <w:pPr>
              <w:pStyle w:val="Sansinterligne"/>
              <w:jc w:val="center"/>
              <w:rPr>
                <w:lang w:eastAsia="fr-CA"/>
              </w:rPr>
            </w:pPr>
            <w:bookmarkStart w:id="103" w:name="%C3%89tiologie1.1.3"/>
            <w:bookmarkEnd w:id="102"/>
            <w:r w:rsidRPr="00F15482">
              <w:rPr>
                <w:lang w:eastAsia="fr-CA"/>
              </w:rPr>
              <w:t>Périchondrite</w:t>
            </w:r>
          </w:p>
        </w:tc>
        <w:tc>
          <w:tcPr>
            <w:tcW w:w="4678" w:type="dxa"/>
            <w:tcBorders>
              <w:right w:val="single" w:sz="4" w:space="0" w:color="FFFFFF" w:themeColor="background1"/>
            </w:tcBorders>
          </w:tcPr>
          <w:p w:rsidR="008358A7" w:rsidRPr="008358A7" w:rsidRDefault="008358A7" w:rsidP="005D429F">
            <w:pPr>
              <w:pStyle w:val="Sansinterligne"/>
              <w:numPr>
                <w:ilvl w:val="0"/>
                <w:numId w:val="1022"/>
              </w:numPr>
              <w:rPr>
                <w:highlight w:val="yellow"/>
                <w:lang w:eastAsia="fr-CA"/>
              </w:rPr>
            </w:pPr>
            <w:r w:rsidRPr="008358A7">
              <w:rPr>
                <w:highlight w:val="yellow"/>
                <w:lang w:eastAsia="fr-CA"/>
              </w:rPr>
              <w:t>Hx de piercing, trauma ou chirurgie du pavillon</w:t>
            </w:r>
          </w:p>
          <w:p w:rsidR="008358A7" w:rsidRDefault="008358A7" w:rsidP="005D429F">
            <w:pPr>
              <w:pStyle w:val="Sansinterligne"/>
              <w:numPr>
                <w:ilvl w:val="0"/>
                <w:numId w:val="1022"/>
              </w:numPr>
              <w:rPr>
                <w:lang w:eastAsia="fr-CA"/>
              </w:rPr>
            </w:pPr>
            <w:r>
              <w:rPr>
                <w:lang w:eastAsia="fr-CA"/>
              </w:rPr>
              <w:t>Œdème, rougeur, douleur</w:t>
            </w:r>
          </w:p>
        </w:tc>
        <w:tc>
          <w:tcPr>
            <w:tcW w:w="3678" w:type="dxa"/>
            <w:tcBorders>
              <w:left w:val="single" w:sz="4" w:space="0" w:color="FFFFFF" w:themeColor="background1"/>
            </w:tcBorders>
          </w:tcPr>
          <w:p w:rsidR="008358A7" w:rsidRDefault="008358A7" w:rsidP="005D429F">
            <w:pPr>
              <w:pStyle w:val="Sansinterligne"/>
              <w:numPr>
                <w:ilvl w:val="0"/>
                <w:numId w:val="1022"/>
              </w:numPr>
              <w:rPr>
                <w:lang w:eastAsia="fr-CA"/>
              </w:rPr>
            </w:pPr>
            <w:r>
              <w:rPr>
                <w:lang w:eastAsia="fr-CA"/>
              </w:rPr>
              <w:t>Peu évoluer rapidement vers la nécrose</w:t>
            </w:r>
          </w:p>
          <w:p w:rsidR="008358A7" w:rsidRPr="00F15482" w:rsidRDefault="008358A7" w:rsidP="005D429F">
            <w:pPr>
              <w:pStyle w:val="Sansinterligne"/>
              <w:numPr>
                <w:ilvl w:val="0"/>
                <w:numId w:val="1022"/>
              </w:numPr>
              <w:rPr>
                <w:lang w:eastAsia="fr-CA"/>
              </w:rPr>
            </w:pPr>
            <w:r>
              <w:rPr>
                <w:lang w:eastAsia="fr-CA"/>
              </w:rPr>
              <w:t>P. aeruginosa + fréquent</w:t>
            </w:r>
          </w:p>
        </w:tc>
      </w:tr>
      <w:tr w:rsidR="009620B1" w:rsidRPr="00F15482" w:rsidTr="007A4979">
        <w:tc>
          <w:tcPr>
            <w:tcW w:w="2660" w:type="dxa"/>
            <w:shd w:val="clear" w:color="auto" w:fill="C4BC96" w:themeFill="background2" w:themeFillShade="BF"/>
            <w:vAlign w:val="center"/>
          </w:tcPr>
          <w:p w:rsidR="009620B1" w:rsidRPr="00F15482" w:rsidRDefault="009620B1" w:rsidP="007267AB">
            <w:pPr>
              <w:pStyle w:val="Sansinterligne"/>
              <w:jc w:val="center"/>
              <w:rPr>
                <w:lang w:eastAsia="fr-CA"/>
              </w:rPr>
            </w:pPr>
            <w:bookmarkStart w:id="104" w:name="%C3%89tiologie1.1.4"/>
            <w:bookmarkEnd w:id="103"/>
            <w:r>
              <w:rPr>
                <w:lang w:eastAsia="fr-CA"/>
              </w:rPr>
              <w:t>Otomycose</w:t>
            </w:r>
          </w:p>
        </w:tc>
        <w:tc>
          <w:tcPr>
            <w:tcW w:w="4678" w:type="dxa"/>
            <w:tcBorders>
              <w:right w:val="single" w:sz="4" w:space="0" w:color="FFFFFF" w:themeColor="background1"/>
            </w:tcBorders>
          </w:tcPr>
          <w:p w:rsidR="007A4979" w:rsidRDefault="007A4979" w:rsidP="005D429F">
            <w:pPr>
              <w:pStyle w:val="Sansinterligne"/>
              <w:numPr>
                <w:ilvl w:val="0"/>
                <w:numId w:val="1023"/>
              </w:numPr>
              <w:rPr>
                <w:lang w:eastAsia="fr-CA"/>
              </w:rPr>
            </w:pPr>
            <w:r>
              <w:rPr>
                <w:lang w:eastAsia="fr-CA"/>
              </w:rPr>
              <w:t xml:space="preserve">Sx similaire à l’otite externe, </w:t>
            </w:r>
            <w:r w:rsidRPr="000A4D8B">
              <w:rPr>
                <w:highlight w:val="yellow"/>
                <w:lang w:eastAsia="fr-CA"/>
              </w:rPr>
              <w:t>prurit</w:t>
            </w:r>
            <w:r>
              <w:rPr>
                <w:lang w:eastAsia="fr-CA"/>
              </w:rPr>
              <w:t xml:space="preserve"> </w:t>
            </w:r>
          </w:p>
          <w:p w:rsidR="009620B1" w:rsidRDefault="007A4979" w:rsidP="005D429F">
            <w:pPr>
              <w:pStyle w:val="Sansinterligne"/>
              <w:numPr>
                <w:ilvl w:val="0"/>
                <w:numId w:val="1023"/>
              </w:numPr>
              <w:rPr>
                <w:lang w:eastAsia="fr-CA"/>
              </w:rPr>
            </w:pPr>
            <w:r w:rsidRPr="009620B1">
              <w:rPr>
                <w:highlight w:val="yellow"/>
                <w:lang w:eastAsia="fr-CA"/>
              </w:rPr>
              <w:t>Aspect en tâches de moisissures au CA</w:t>
            </w:r>
            <w:r>
              <w:rPr>
                <w:lang w:eastAsia="fr-CA"/>
              </w:rPr>
              <w:t xml:space="preserve"> </w:t>
            </w:r>
          </w:p>
        </w:tc>
        <w:tc>
          <w:tcPr>
            <w:tcW w:w="3678" w:type="dxa"/>
            <w:tcBorders>
              <w:left w:val="single" w:sz="4" w:space="0" w:color="FFFFFF" w:themeColor="background1"/>
            </w:tcBorders>
          </w:tcPr>
          <w:p w:rsidR="009620B1" w:rsidRPr="00F15482" w:rsidRDefault="007A4979" w:rsidP="005D429F">
            <w:pPr>
              <w:pStyle w:val="Sansinterligne"/>
              <w:numPr>
                <w:ilvl w:val="0"/>
                <w:numId w:val="1023"/>
              </w:numPr>
              <w:rPr>
                <w:lang w:eastAsia="fr-CA"/>
              </w:rPr>
            </w:pPr>
            <w:r>
              <w:rPr>
                <w:lang w:eastAsia="fr-CA"/>
              </w:rPr>
              <w:t>Hx d’antibiothérapie ou d’immunosuppression</w:t>
            </w:r>
          </w:p>
        </w:tc>
      </w:tr>
      <w:bookmarkEnd w:id="104"/>
      <w:tr w:rsidR="000A4D8B" w:rsidRPr="00F15482" w:rsidTr="007A4979">
        <w:tc>
          <w:tcPr>
            <w:tcW w:w="2660" w:type="dxa"/>
            <w:shd w:val="clear" w:color="auto" w:fill="C4BC96" w:themeFill="background2" w:themeFillShade="BF"/>
            <w:vAlign w:val="center"/>
          </w:tcPr>
          <w:p w:rsidR="000A4D8B" w:rsidRPr="00F15482" w:rsidRDefault="000A4D8B" w:rsidP="007267AB">
            <w:pPr>
              <w:pStyle w:val="Sansinterligne"/>
              <w:jc w:val="center"/>
              <w:rPr>
                <w:lang w:eastAsia="fr-CA"/>
              </w:rPr>
            </w:pPr>
            <w:r w:rsidRPr="00F15482">
              <w:rPr>
                <w:lang w:eastAsia="fr-CA"/>
              </w:rPr>
              <w:lastRenderedPageBreak/>
              <w:t>Traumatisme</w:t>
            </w:r>
          </w:p>
        </w:tc>
        <w:tc>
          <w:tcPr>
            <w:tcW w:w="4678" w:type="dxa"/>
            <w:tcBorders>
              <w:right w:val="single" w:sz="4" w:space="0" w:color="FFFFFF" w:themeColor="background1"/>
            </w:tcBorders>
          </w:tcPr>
          <w:p w:rsidR="000A4D8B" w:rsidRDefault="000A4D8B" w:rsidP="005D429F">
            <w:pPr>
              <w:pStyle w:val="Sansinterligne"/>
              <w:numPr>
                <w:ilvl w:val="0"/>
                <w:numId w:val="1023"/>
              </w:numPr>
              <w:rPr>
                <w:lang w:eastAsia="fr-CA"/>
              </w:rPr>
            </w:pPr>
            <w:r>
              <w:rPr>
                <w:lang w:eastAsia="fr-CA"/>
              </w:rPr>
              <w:t>Gelure, piercing</w:t>
            </w:r>
          </w:p>
          <w:p w:rsidR="000A4D8B" w:rsidRDefault="000A4D8B" w:rsidP="005D429F">
            <w:pPr>
              <w:pStyle w:val="Sansinterligne"/>
              <w:numPr>
                <w:ilvl w:val="0"/>
                <w:numId w:val="1023"/>
              </w:numPr>
              <w:rPr>
                <w:lang w:eastAsia="fr-CA"/>
              </w:rPr>
            </w:pPr>
            <w:r>
              <w:rPr>
                <w:lang w:eastAsia="fr-CA"/>
              </w:rPr>
              <w:t>Douleur</w:t>
            </w:r>
          </w:p>
        </w:tc>
        <w:tc>
          <w:tcPr>
            <w:tcW w:w="3678" w:type="dxa"/>
            <w:tcBorders>
              <w:left w:val="single" w:sz="4" w:space="0" w:color="FFFFFF" w:themeColor="background1"/>
            </w:tcBorders>
          </w:tcPr>
          <w:p w:rsidR="000A4D8B" w:rsidRPr="00F15482" w:rsidRDefault="000A4D8B" w:rsidP="005D429F">
            <w:pPr>
              <w:pStyle w:val="Sansinterligne"/>
              <w:numPr>
                <w:ilvl w:val="0"/>
                <w:numId w:val="1023"/>
              </w:numPr>
              <w:rPr>
                <w:lang w:eastAsia="fr-CA"/>
              </w:rPr>
            </w:pPr>
            <w:r>
              <w:rPr>
                <w:lang w:eastAsia="fr-CA"/>
              </w:rPr>
              <w:t>Œdème, rougeur a/n zone douloureuse</w:t>
            </w:r>
          </w:p>
        </w:tc>
      </w:tr>
      <w:tr w:rsidR="007A4979" w:rsidRPr="001F3BC6" w:rsidTr="007A4979">
        <w:tc>
          <w:tcPr>
            <w:tcW w:w="2660" w:type="dxa"/>
            <w:shd w:val="clear" w:color="auto" w:fill="C4BC96" w:themeFill="background2" w:themeFillShade="BF"/>
            <w:vAlign w:val="center"/>
          </w:tcPr>
          <w:p w:rsidR="007A4979" w:rsidRDefault="007A4979" w:rsidP="007267AB">
            <w:pPr>
              <w:pStyle w:val="Sansinterligne"/>
              <w:jc w:val="center"/>
              <w:rPr>
                <w:lang w:eastAsia="fr-CA"/>
              </w:rPr>
            </w:pPr>
            <w:r>
              <w:rPr>
                <w:lang w:eastAsia="fr-CA"/>
              </w:rPr>
              <w:t>Corps étranger</w:t>
            </w:r>
            <w:r w:rsidR="00503DFD">
              <w:rPr>
                <w:lang w:eastAsia="fr-CA"/>
              </w:rPr>
              <w:t xml:space="preserve"> /</w:t>
            </w:r>
          </w:p>
          <w:p w:rsidR="00503DFD" w:rsidRPr="001F3BC6" w:rsidRDefault="00503DFD" w:rsidP="007267AB">
            <w:pPr>
              <w:pStyle w:val="Sansinterligne"/>
              <w:jc w:val="center"/>
              <w:rPr>
                <w:lang w:eastAsia="fr-CA"/>
              </w:rPr>
            </w:pPr>
            <w:r>
              <w:rPr>
                <w:lang w:eastAsia="fr-CA"/>
              </w:rPr>
              <w:t>Bouchon de cérumen</w:t>
            </w:r>
          </w:p>
        </w:tc>
        <w:tc>
          <w:tcPr>
            <w:tcW w:w="4678" w:type="dxa"/>
            <w:tcBorders>
              <w:right w:val="single" w:sz="4" w:space="0" w:color="FFFFFF" w:themeColor="background1"/>
            </w:tcBorders>
          </w:tcPr>
          <w:p w:rsidR="007A4979" w:rsidRDefault="007A4979" w:rsidP="005D429F">
            <w:pPr>
              <w:pStyle w:val="Sansinterligne"/>
              <w:numPr>
                <w:ilvl w:val="0"/>
                <w:numId w:val="1024"/>
              </w:numPr>
              <w:rPr>
                <w:lang w:eastAsia="fr-CA"/>
              </w:rPr>
            </w:pPr>
            <w:r>
              <w:rPr>
                <w:lang w:eastAsia="fr-CA"/>
              </w:rPr>
              <w:t>Enfants en bas âge</w:t>
            </w:r>
          </w:p>
          <w:p w:rsidR="00503DFD" w:rsidRDefault="00503DFD" w:rsidP="005D429F">
            <w:pPr>
              <w:pStyle w:val="Sansinterligne"/>
              <w:numPr>
                <w:ilvl w:val="0"/>
                <w:numId w:val="1024"/>
              </w:numPr>
              <w:rPr>
                <w:lang w:eastAsia="fr-CA"/>
              </w:rPr>
            </w:pPr>
            <w:r>
              <w:rPr>
                <w:lang w:eastAsia="fr-CA"/>
              </w:rPr>
              <w:t>Bouchon de cérumen visible</w:t>
            </w:r>
          </w:p>
        </w:tc>
        <w:tc>
          <w:tcPr>
            <w:tcW w:w="3678" w:type="dxa"/>
            <w:tcBorders>
              <w:left w:val="single" w:sz="4" w:space="0" w:color="FFFFFF" w:themeColor="background1"/>
            </w:tcBorders>
          </w:tcPr>
          <w:p w:rsidR="007A4979" w:rsidRPr="00F15482" w:rsidRDefault="007A4979" w:rsidP="005D429F">
            <w:pPr>
              <w:pStyle w:val="Sansinterligne"/>
              <w:numPr>
                <w:ilvl w:val="0"/>
                <w:numId w:val="1024"/>
              </w:numPr>
              <w:rPr>
                <w:lang w:eastAsia="fr-CA"/>
              </w:rPr>
            </w:pPr>
            <w:r>
              <w:rPr>
                <w:lang w:eastAsia="fr-CA"/>
              </w:rPr>
              <w:t>Corps étranger visible à l’otoscopie</w:t>
            </w:r>
          </w:p>
        </w:tc>
      </w:tr>
    </w:tbl>
    <w:p w:rsidR="001F3BC6" w:rsidRDefault="000A4D8B" w:rsidP="001F3BC6">
      <w:pPr>
        <w:pStyle w:val="Sansinterligne"/>
        <w:rPr>
          <w:lang w:eastAsia="fr-CA"/>
        </w:rPr>
      </w:pPr>
      <w:r>
        <w:rPr>
          <w:noProof/>
          <w:lang w:eastAsia="fr-CA"/>
        </w:rPr>
        <mc:AlternateContent>
          <mc:Choice Requires="wpg">
            <w:drawing>
              <wp:anchor distT="0" distB="0" distL="114300" distR="114300" simplePos="0" relativeHeight="251978752" behindDoc="0" locked="0" layoutInCell="1" allowOverlap="1" wp14:anchorId="5E3A6C26" wp14:editId="0253C7CC">
                <wp:simplePos x="0" y="0"/>
                <wp:positionH relativeFrom="column">
                  <wp:posOffset>-116732</wp:posOffset>
                </wp:positionH>
                <wp:positionV relativeFrom="paragraph">
                  <wp:posOffset>51057</wp:posOffset>
                </wp:positionV>
                <wp:extent cx="7003766" cy="1973390"/>
                <wp:effectExtent l="0" t="0" r="6985" b="8255"/>
                <wp:wrapNone/>
                <wp:docPr id="495" name="Groupe 495"/>
                <wp:cNvGraphicFramePr/>
                <a:graphic xmlns:a="http://schemas.openxmlformats.org/drawingml/2006/main">
                  <a:graphicData uri="http://schemas.microsoft.com/office/word/2010/wordprocessingGroup">
                    <wpg:wgp>
                      <wpg:cNvGrpSpPr/>
                      <wpg:grpSpPr>
                        <a:xfrm>
                          <a:off x="0" y="0"/>
                          <a:ext cx="7003766" cy="1973390"/>
                          <a:chOff x="0" y="0"/>
                          <a:chExt cx="7003766" cy="1973390"/>
                        </a:xfrm>
                      </wpg:grpSpPr>
                      <wpg:grpSp>
                        <wpg:cNvPr id="489" name="Groupe 489"/>
                        <wpg:cNvGrpSpPr/>
                        <wpg:grpSpPr>
                          <a:xfrm>
                            <a:off x="398834" y="0"/>
                            <a:ext cx="6604932" cy="1973390"/>
                            <a:chOff x="0" y="0"/>
                            <a:chExt cx="6604932" cy="1973390"/>
                          </a:xfrm>
                        </wpg:grpSpPr>
                        <wpg:grpSp>
                          <wpg:cNvPr id="488" name="Groupe 488"/>
                          <wpg:cNvGrpSpPr/>
                          <wpg:grpSpPr>
                            <a:xfrm>
                              <a:off x="0" y="0"/>
                              <a:ext cx="6604932" cy="1973390"/>
                              <a:chOff x="0" y="0"/>
                              <a:chExt cx="6604932" cy="1973390"/>
                            </a:xfrm>
                          </wpg:grpSpPr>
                          <wps:wsp>
                            <wps:cNvPr id="484" name="Zone de texte 2"/>
                            <wps:cNvSpPr txBox="1">
                              <a:spLocks noChangeArrowheads="1"/>
                            </wps:cNvSpPr>
                            <wps:spPr bwMode="auto">
                              <a:xfrm>
                                <a:off x="544749" y="0"/>
                                <a:ext cx="1497965" cy="271780"/>
                              </a:xfrm>
                              <a:prstGeom prst="rect">
                                <a:avLst/>
                              </a:prstGeom>
                              <a:noFill/>
                              <a:ln w="9525">
                                <a:noFill/>
                                <a:miter lim="800000"/>
                                <a:headEnd/>
                                <a:tailEnd/>
                              </a:ln>
                            </wps:spPr>
                            <wps:txbx>
                              <w:txbxContent>
                                <w:p w:rsidR="008276DC" w:rsidRPr="000658CE" w:rsidRDefault="008276DC">
                                  <w:pPr>
                                    <w:rPr>
                                      <w:b/>
                                    </w:rPr>
                                  </w:pPr>
                                  <w:r w:rsidRPr="000658CE">
                                    <w:rPr>
                                      <w:b/>
                                    </w:rPr>
                                    <w:t>Tympan normal</w:t>
                                  </w:r>
                                </w:p>
                              </w:txbxContent>
                            </wps:txbx>
                            <wps:bodyPr rot="0" vert="horz" wrap="square" lIns="91440" tIns="45720" rIns="91440" bIns="45720" anchor="t" anchorCtr="0">
                              <a:noAutofit/>
                            </wps:bodyPr>
                          </wps:wsp>
                          <wpg:grpSp>
                            <wpg:cNvPr id="487" name="Groupe 487"/>
                            <wpg:cNvGrpSpPr/>
                            <wpg:grpSpPr>
                              <a:xfrm>
                                <a:off x="0" y="0"/>
                                <a:ext cx="6604932" cy="1973390"/>
                                <a:chOff x="0" y="0"/>
                                <a:chExt cx="6604932" cy="1973390"/>
                              </a:xfrm>
                            </wpg:grpSpPr>
                            <wpg:grpSp>
                              <wpg:cNvPr id="483" name="Groupe 483"/>
                              <wpg:cNvGrpSpPr/>
                              <wpg:grpSpPr>
                                <a:xfrm>
                                  <a:off x="0" y="155642"/>
                                  <a:ext cx="6604932" cy="1817748"/>
                                  <a:chOff x="0" y="0"/>
                                  <a:chExt cx="6604932" cy="1817748"/>
                                </a:xfrm>
                              </wpg:grpSpPr>
                              <pic:pic xmlns:pic="http://schemas.openxmlformats.org/drawingml/2006/picture">
                                <pic:nvPicPr>
                                  <pic:cNvPr id="479" name="Image 479" descr="Résultats de recherche d'images pour « otite externe »"/>
                                  <pic:cNvPicPr>
                                    <a:picLocks noChangeAspect="1"/>
                                  </pic:cNvPicPr>
                                </pic:nvPicPr>
                                <pic:blipFill>
                                  <a:blip r:embed="rId102">
                                    <a:extLst>
                                      <a:ext uri="{28A0092B-C50C-407E-A947-70E740481C1C}">
                                        <a14:useLocalDpi xmlns:a14="http://schemas.microsoft.com/office/drawing/2010/main" val="0"/>
                                      </a:ext>
                                    </a:extLst>
                                  </a:blip>
                                  <a:srcRect/>
                                  <a:stretch>
                                    <a:fillRect/>
                                  </a:stretch>
                                </pic:blipFill>
                                <pic:spPr bwMode="auto">
                                  <a:xfrm>
                                    <a:off x="4309353" y="57735"/>
                                    <a:ext cx="2295579" cy="1760013"/>
                                  </a:xfrm>
                                  <a:prstGeom prst="ellipse">
                                    <a:avLst/>
                                  </a:prstGeom>
                                  <a:ln>
                                    <a:noFill/>
                                  </a:ln>
                                  <a:effectLst>
                                    <a:softEdge rad="112500"/>
                                  </a:effectLst>
                                </pic:spPr>
                              </pic:pic>
                              <pic:pic xmlns:pic="http://schemas.openxmlformats.org/drawingml/2006/picture">
                                <pic:nvPicPr>
                                  <pic:cNvPr id="475" name="Image 475" descr="Résultats de recherche d'images pour « otite moyenne aigue »"/>
                                  <pic:cNvPicPr>
                                    <a:picLocks noChangeAspect="1"/>
                                  </pic:cNvPicPr>
                                </pic:nvPicPr>
                                <pic:blipFill>
                                  <a:blip r:embed="rId103">
                                    <a:extLst>
                                      <a:ext uri="{28A0092B-C50C-407E-A947-70E740481C1C}">
                                        <a14:useLocalDpi xmlns:a14="http://schemas.microsoft.com/office/drawing/2010/main" val="0"/>
                                      </a:ext>
                                    </a:extLst>
                                  </a:blip>
                                  <a:srcRect/>
                                  <a:stretch>
                                    <a:fillRect/>
                                  </a:stretch>
                                </pic:blipFill>
                                <pic:spPr bwMode="auto">
                                  <a:xfrm>
                                    <a:off x="2149813" y="0"/>
                                    <a:ext cx="2208178" cy="1760707"/>
                                  </a:xfrm>
                                  <a:prstGeom prst="ellipse">
                                    <a:avLst/>
                                  </a:prstGeom>
                                  <a:ln>
                                    <a:noFill/>
                                  </a:ln>
                                  <a:effectLst>
                                    <a:softEdge rad="112500"/>
                                  </a:effectLst>
                                </pic:spPr>
                              </pic:pic>
                              <pic:pic xmlns:pic="http://schemas.openxmlformats.org/drawingml/2006/picture">
                                <pic:nvPicPr>
                                  <pic:cNvPr id="474" name="Image 474" descr="Résultats de recherche d'images pour « tympan normal »"/>
                                  <pic:cNvPicPr>
                                    <a:picLocks noChangeAspect="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110902" cy="1731524"/>
                                  </a:xfrm>
                                  <a:prstGeom prst="ellipse">
                                    <a:avLst/>
                                  </a:prstGeom>
                                  <a:ln>
                                    <a:noFill/>
                                  </a:ln>
                                  <a:effectLst>
                                    <a:softEdge rad="112500"/>
                                  </a:effectLst>
                                </pic:spPr>
                              </pic:pic>
                            </wpg:grpSp>
                            <wps:wsp>
                              <wps:cNvPr id="485" name="Zone de texte 2"/>
                              <wps:cNvSpPr txBox="1">
                                <a:spLocks noChangeArrowheads="1"/>
                              </wps:cNvSpPr>
                              <wps:spPr bwMode="auto">
                                <a:xfrm>
                                  <a:off x="2626468" y="0"/>
                                  <a:ext cx="1497965" cy="271780"/>
                                </a:xfrm>
                                <a:prstGeom prst="rect">
                                  <a:avLst/>
                                </a:prstGeom>
                                <a:noFill/>
                                <a:ln w="9525">
                                  <a:noFill/>
                                  <a:miter lim="800000"/>
                                  <a:headEnd/>
                                  <a:tailEnd/>
                                </a:ln>
                              </wps:spPr>
                              <wps:txbx>
                                <w:txbxContent>
                                  <w:p w:rsidR="008276DC" w:rsidRPr="000658CE" w:rsidRDefault="008276DC" w:rsidP="000658CE">
                                    <w:pPr>
                                      <w:rPr>
                                        <w:b/>
                                      </w:rPr>
                                    </w:pPr>
                                    <w:r>
                                      <w:rPr>
                                        <w:b/>
                                      </w:rPr>
                                      <w:t>Otite moyenne aigue</w:t>
                                    </w:r>
                                  </w:p>
                                </w:txbxContent>
                              </wps:txbx>
                              <wps:bodyPr rot="0" vert="horz" wrap="square" lIns="91440" tIns="45720" rIns="91440" bIns="45720" anchor="t" anchorCtr="0">
                                <a:noAutofit/>
                              </wps:bodyPr>
                            </wps:wsp>
                          </wpg:grpSp>
                        </wpg:grpSp>
                        <wps:wsp>
                          <wps:cNvPr id="486" name="Zone de texte 2"/>
                          <wps:cNvSpPr txBox="1">
                            <a:spLocks noChangeArrowheads="1"/>
                          </wps:cNvSpPr>
                          <wps:spPr bwMode="auto">
                            <a:xfrm>
                              <a:off x="4951379" y="38910"/>
                              <a:ext cx="1352144" cy="271780"/>
                            </a:xfrm>
                            <a:prstGeom prst="rect">
                              <a:avLst/>
                            </a:prstGeom>
                            <a:noFill/>
                            <a:ln w="9525">
                              <a:noFill/>
                              <a:miter lim="800000"/>
                              <a:headEnd/>
                              <a:tailEnd/>
                            </a:ln>
                          </wps:spPr>
                          <wps:txbx>
                            <w:txbxContent>
                              <w:p w:rsidR="008276DC" w:rsidRPr="000658CE" w:rsidRDefault="008276DC" w:rsidP="000658CE">
                                <w:pPr>
                                  <w:rPr>
                                    <w:b/>
                                  </w:rPr>
                                </w:pPr>
                                <w:r>
                                  <w:rPr>
                                    <w:b/>
                                  </w:rPr>
                                  <w:t>Otite externe</w:t>
                                </w:r>
                              </w:p>
                            </w:txbxContent>
                          </wps:txbx>
                          <wps:bodyPr rot="0" vert="horz" wrap="square" lIns="91440" tIns="45720" rIns="91440" bIns="45720" anchor="t" anchorCtr="0">
                            <a:noAutofit/>
                          </wps:bodyPr>
                        </wps:wsp>
                      </wpg:grpSp>
                      <wps:wsp>
                        <wps:cNvPr id="491" name="Zone de texte 2"/>
                        <wps:cNvSpPr txBox="1">
                          <a:spLocks noChangeArrowheads="1"/>
                        </wps:cNvSpPr>
                        <wps:spPr bwMode="auto">
                          <a:xfrm>
                            <a:off x="0" y="301557"/>
                            <a:ext cx="1215390" cy="525145"/>
                          </a:xfrm>
                          <a:prstGeom prst="rect">
                            <a:avLst/>
                          </a:prstGeom>
                          <a:noFill/>
                          <a:ln w="9525">
                            <a:noFill/>
                            <a:miter lim="800000"/>
                            <a:headEnd/>
                            <a:tailEnd/>
                          </a:ln>
                        </wps:spPr>
                        <wps:txbx>
                          <w:txbxContent>
                            <w:p w:rsidR="008276DC" w:rsidRPr="000A4D8B" w:rsidRDefault="008276DC" w:rsidP="000A4D8B">
                              <w:pPr>
                                <w:spacing w:after="0" w:line="240" w:lineRule="auto"/>
                                <w:rPr>
                                  <w:sz w:val="16"/>
                                  <w:szCs w:val="16"/>
                                </w:rPr>
                              </w:pPr>
                              <w:r w:rsidRPr="000A4D8B">
                                <w:rPr>
                                  <w:sz w:val="16"/>
                                  <w:szCs w:val="16"/>
                                </w:rPr>
                                <w:t>Tympan plat et mince</w:t>
                              </w:r>
                            </w:p>
                            <w:p w:rsidR="008276DC" w:rsidRPr="000A4D8B" w:rsidRDefault="008276DC" w:rsidP="000A4D8B">
                              <w:pPr>
                                <w:spacing w:after="0" w:line="240" w:lineRule="auto"/>
                                <w:rPr>
                                  <w:sz w:val="16"/>
                                  <w:szCs w:val="16"/>
                                </w:rPr>
                              </w:pPr>
                              <w:r w:rsidRPr="000A4D8B">
                                <w:rPr>
                                  <w:sz w:val="16"/>
                                  <w:szCs w:val="16"/>
                                </w:rPr>
                                <w:t>Osselets</w:t>
                              </w:r>
                            </w:p>
                            <w:p w:rsidR="008276DC" w:rsidRPr="000A4D8B" w:rsidRDefault="008276DC" w:rsidP="000A4D8B">
                              <w:pPr>
                                <w:spacing w:after="0" w:line="240" w:lineRule="auto"/>
                                <w:rPr>
                                  <w:sz w:val="16"/>
                                  <w:szCs w:val="16"/>
                                </w:rPr>
                              </w:pPr>
                              <w:r w:rsidRPr="000A4D8B">
                                <w:rPr>
                                  <w:sz w:val="16"/>
                                  <w:szCs w:val="16"/>
                                </w:rPr>
                                <w:t>Triangle lumineux</w:t>
                              </w:r>
                            </w:p>
                          </w:txbxContent>
                        </wps:txbx>
                        <wps:bodyPr rot="0" vert="horz" wrap="square" lIns="91440" tIns="45720" rIns="91440" bIns="45720" anchor="t" anchorCtr="0">
                          <a:noAutofit/>
                        </wps:bodyPr>
                      </wps:wsp>
                      <wps:wsp>
                        <wps:cNvPr id="492" name="Connecteur droit avec flèche 492"/>
                        <wps:cNvCnPr/>
                        <wps:spPr>
                          <a:xfrm>
                            <a:off x="768485" y="729574"/>
                            <a:ext cx="894080" cy="67119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493" name="Connecteur droit avec flèche 493"/>
                        <wps:cNvCnPr/>
                        <wps:spPr>
                          <a:xfrm>
                            <a:off x="768485" y="535021"/>
                            <a:ext cx="368300" cy="29146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id="Groupe 495" o:spid="_x0000_s1063" style="position:absolute;margin-left:-9.2pt;margin-top:4pt;width:551.5pt;height:155.4pt;z-index:251978752;mso-width-relative:margin;mso-height-relative:margin" coordsize="70037,1973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">
                <v:group id="Groupe 489" o:spid="_x0000_s1064" style="position:absolute;left:3988;width:66049;height:19733" coordsize="66049,197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kOTH8YAAADcAAAADwAAAGRycy9kb3ducmV2LnhtbESPQWvCQBSE74L/YXlC&#10;b3UTa4uNWUVEpQcpVAvF2yP7TEKyb0N2TeK/7xYKHoeZ+YZJ14OpRUetKy0riKcRCOLM6pJzBd/n&#10;/fMChPPIGmvLpOBODtar8SjFRNuev6g7+VwECLsEFRTeN4mULivIoJvahjh4V9sa9EG2udQt9gFu&#10;ajmLojdpsOSwUGBD24Ky6nQzCg499puXeNcdq+v2fjm/fv4cY1LqaTJsliA8Df4R/m9/aAXzxTv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aQ5MfxgAAANwA&#10;AAAPAAAAAAAAAAAAAAAAAKoCAABkcnMvZG93bnJldi54bWxQSwUGAAAAAAQABAD6AAAAnQMAAAAA&#10;">
                  <v:group id="Groupe 488" o:spid="_x0000_s1065" style="position:absolute;width:66049;height:19733" coordsize="66049,197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LUPNoTCAAAA3AAAAA8A&#10;AAAAAAAAAAAAAAAAqgIAAGRycy9kb3ducmV2LnhtbFBLBQYAAAAABAAEAPoAAACZAwAAAAA=&#10;">
                    <v:shape id="_x0000_s1066" type="#_x0000_t202" style="position:absolute;left:5447;width:14980;height:27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9a5PcQA&#10;AADcAAAADwAAAGRycy9kb3ducmV2LnhtbESPT2vCQBTE7wW/w/IKvdXdSixp6kbEUvCkVG2ht0f2&#10;5Q/Nvg3ZrYnf3hUEj8PM/IZZLEfbihP1vnGs4WWqQBAXzjRcaTgePp9TED4gG2wdk4YzeVjmk4cF&#10;ZsYN/EWnfahEhLDPUEMdQpdJ6YuaLPqp64ijV7reYoiyr6TpcYhw28qZUq/SYsNxocaO1jUVf/t/&#10;q+F7W/7+JGpXfdh5N7hRSbZvUuunx3H1DiLQGO7hW3tjNCRpAtcz8QjI/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WuT3EAAAA3AAAAA8AAAAAAAAAAAAAAAAAmAIAAGRycy9k&#10;b3ducmV2LnhtbFBLBQYAAAAABAAEAPUAAACJAwAAAAA=&#10;" filled="f" stroked="f">
                      <v:textbox>
                        <w:txbxContent>
                          <w:p w:rsidR="008276DC" w:rsidRPr="000658CE" w:rsidRDefault="008276DC">
                            <w:pPr>
                              <w:rPr>
                                <w:b/>
                              </w:rPr>
                            </w:pPr>
                            <w:r w:rsidRPr="000658CE">
                              <w:rPr>
                                <w:b/>
                              </w:rPr>
                              <w:t>Tympan normal</w:t>
                            </w:r>
                          </w:p>
                        </w:txbxContent>
                      </v:textbox>
                    </v:shape>
                    <v:group id="Groupe 487" o:spid="_x0000_s1067" style="position:absolute;width:66049;height:19733" coordsize="66049,197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EkKL2xgAAANwA&#10;AAAPAAAAAAAAAAAAAAAAAKoCAABkcnMvZG93bnJldi54bWxQSwUGAAAAAAQABAD6AAAAnQMAAAAA&#10;">
                      <v:group id="Groupe 483" o:spid="_x0000_s1068" style="position:absolute;top:1556;width:66049;height:18177" coordsize="66049,181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6uk9cYAAADcAAAADwAAAGRycy9kb3ducmV2LnhtbESPQWvCQBSE7wX/w/KE&#10;3uom2hZJ3YQgtvQgQlWQ3h7ZZxKSfRuy2yT++25B6HGYmW+YTTaZVgzUu9qygngRgSAurK65VHA+&#10;vT+tQTiPrLG1TApu5CBLZw8bTLQd+YuGoy9FgLBLUEHlfZdI6YqKDLqF7YiDd7W9QR9kX0rd4xjg&#10;ppXLKHqVBmsOCxV2tK2oaI4/RsHHiGO+infDvrlub9+nl8NlH5NSj/MpfwPhafL/4Xv7Uyt4Xq/g&#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7q6T1xgAAANwA&#10;AAAPAAAAAAAAAAAAAAAAAKoCAABkcnMvZG93bnJldi54bWxQSwUGAAAAAAQABAD6AAAAnQMAAAAA&#10;">
                        <v:shape id="Image 479" o:spid="_x0000_s1069" type="#_x0000_t75" alt="Résultats de recherche d'images pour « otite externe »" style="position:absolute;left:43093;top:577;width:22956;height:176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RjLuPGAAAA3AAAAA8AAABkcnMvZG93bnJldi54bWxEj81qwzAQhO+BvoPYQm+J3FCa1okSSqAQ&#10;KD1U/SG5LdZWNpVWxlJi++2rQCDHYWa+YVabwTtxoi42gRXczwoQxFUwDVsFX5+v0ycQMSEbdIFJ&#10;wUgRNuubyQpLE3r+oJNOVmQIxxIV1Cm1pZSxqsljnIWWOHu/ofOYsuysNB32Ge6dnBfFo/TYcF6o&#10;saVtTdWfPnoFB/OzK/b99/vo7EFb1+rx+KaVursdXpYgEg3pGr60d0bBw+IZzmfyEZDr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FGMu48YAAADcAAAADwAAAAAAAAAAAAAA&#10;AACfAgAAZHJzL2Rvd25yZXYueG1sUEsFBgAAAAAEAAQA9wAAAJIDAAAAAA==&#10;">
                          <v:imagedata r:id="rId105" o:title="Résultats de recherche d'images pour « otite externe »"/>
                          <v:path arrowok="t"/>
                        </v:shape>
                        <v:shape id="Image 475" o:spid="_x0000_s1070" type="#_x0000_t75" alt="Résultats de recherche d'images pour « otite moyenne aigue »" style="position:absolute;left:21498;width:22081;height:1760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p5YQ7FAAAA3AAAAA8AAABkcnMvZG93bnJldi54bWxEj09rwkAUxO+FfoflCd7qRjFVUlfRQsF4&#10;89/B2yP7mg1m34bsNonfvlsQehxm5jfMajPYWnTU+sqxgukkAUFcOF1xqeBy/npbgvABWWPtmBQ8&#10;yMNm/fqywky7no/UnUIpIoR9hgpMCE0mpS8MWfQT1xBH79u1FkOUbSl1i32E21rOkuRdWqw4Lhhs&#10;6NNQcT/9WAXFLm309JzLKj8sbrNrstvejkap8WjYfoAINIT/8LO91wrmixT+zsQjINe/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aeWEOxQAAANwAAAAPAAAAAAAAAAAAAAAA&#10;AJ8CAABkcnMvZG93bnJldi54bWxQSwUGAAAAAAQABAD3AAAAkQMAAAAA&#10;">
                          <v:imagedata r:id="rId106" o:title="Résultats de recherche d'images pour « otite moyenne aigue »"/>
                          <v:path arrowok="t"/>
                        </v:shape>
                        <v:shape id="Image 474" o:spid="_x0000_s1071" type="#_x0000_t75" alt="Résultats de recherche d'images pour « tympan normal »" style="position:absolute;width:21109;height:173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HySWrFAAAA3AAAAA8AAABkcnMvZG93bnJldi54bWxEj09rAjEUxO9Cv0N4BW81W7HdshqliEJP&#10;BbWFHp+b5+7i5iVu4v7ppzeFgsdhZn7DLFa9qUVLja8sK3ieJCCIc6srLhR8HbZPbyB8QNZYWyYF&#10;A3lYLR9GC8y07XhH7T4UIkLYZ6igDMFlUvq8JIN+Yh1x9E62MRiibAqpG+wi3NRymiSv0mDFcaFE&#10;R+uS8vP+ahT8JJ/Hazfw5aUd0m+z8fzrHCs1fuzf5yAC9eEe/m9/aAWzdAZ/Z+IRkMsb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R8klqxQAAANwAAAAPAAAAAAAAAAAAAAAA&#10;AJ8CAABkcnMvZG93bnJldi54bWxQSwUGAAAAAAQABAD3AAAAkQMAAAAA&#10;">
                          <v:imagedata r:id="rId107" o:title="Résultats de recherche d'images pour « tympan normal »"/>
                          <v:path arrowok="t"/>
                        </v:shape>
                      </v:group>
                      <v:shape id="_x0000_s1072" type="#_x0000_t202" style="position:absolute;left:26264;width:14980;height:27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cpsMA&#10;AADcAAAADwAAAGRycy9kb3ducmV2LnhtbESPQYvCMBSE78L+h/AWvGmyoqJdo4gieFLUXWFvj+bZ&#10;lm1eShNt/fdGEDwOM/MNM1u0thQ3qn3hWMNXX4EgTp0pONPwc9r0JiB8QDZYOiYNd/KwmH90ZpgY&#10;1/CBbseQiQhhn6CGPIQqkdKnOVn0fVcRR+/iaoshyjqTpsYmwm0pB0qNpcWC40KOFa1ySv+PV6vh&#10;d3f5Ow/VPlvbUdW4Vkm2U6l197NdfoMI1IZ3+NXeGg3DyQieZ+IRkP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ocpsMAAADcAAAADwAAAAAAAAAAAAAAAACYAgAAZHJzL2Rv&#10;d25yZXYueG1sUEsFBgAAAAAEAAQA9QAAAIgDAAAAAA==&#10;" filled="f" stroked="f">
                        <v:textbox>
                          <w:txbxContent>
                            <w:p w:rsidR="008276DC" w:rsidRPr="000658CE" w:rsidRDefault="008276DC" w:rsidP="000658CE">
                              <w:pPr>
                                <w:rPr>
                                  <w:b/>
                                </w:rPr>
                              </w:pPr>
                              <w:r>
                                <w:rPr>
                                  <w:b/>
                                </w:rPr>
                                <w:t>Otite moyenne aigue</w:t>
                              </w:r>
                            </w:p>
                          </w:txbxContent>
                        </v:textbox>
                      </v:shape>
                    </v:group>
                  </v:group>
                  <v:shape id="_x0000_s1073" type="#_x0000_t202" style="position:absolute;left:49513;top:389;width:13522;height:27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iC0cQA&#10;AADcAAAADwAAAGRycy9kb3ducmV2LnhtbESPQWvCQBSE70L/w/IKveluiw2augliKfSkGFuht0f2&#10;mYRm34bs1sR/3xUEj8PMfMOs8tG24ky9bxxreJ4pEMSlMw1XGr4OH9MFCB+QDbaOScOFPOTZw2SF&#10;qXED7+lchEpECPsUNdQhdKmUvqzJop+5jjh6J9dbDFH2lTQ9DhFuW/miVCItNhwXauxoU1P5W/xZ&#10;Dd/b089xrnbVu33tBjcqyXYptX56HNdvIAKN4R6+tT+NhvkigeuZeARk9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xIgtHEAAAA3AAAAA8AAAAAAAAAAAAAAAAAmAIAAGRycy9k&#10;b3ducmV2LnhtbFBLBQYAAAAABAAEAPUAAACJAwAAAAA=&#10;" filled="f" stroked="f">
                    <v:textbox>
                      <w:txbxContent>
                        <w:p w:rsidR="008276DC" w:rsidRPr="000658CE" w:rsidRDefault="008276DC" w:rsidP="000658CE">
                          <w:pPr>
                            <w:rPr>
                              <w:b/>
                            </w:rPr>
                          </w:pPr>
                          <w:r>
                            <w:rPr>
                              <w:b/>
                            </w:rPr>
                            <w:t>Otite externe</w:t>
                          </w:r>
                        </w:p>
                      </w:txbxContent>
                    </v:textbox>
                  </v:shape>
                </v:group>
                <v:shape id="_x0000_s1074" type="#_x0000_t202" style="position:absolute;top:3015;width:12153;height:52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iMeMMA&#10;AADcAAAADwAAAGRycy9kb3ducmV2LnhtbESPQYvCMBSE78L+h/AWvGmiqKzVKIsieFLU3QVvj+bZ&#10;lm1eShNt/fdGEDwOM/MNM1+2thQ3qn3hWMOgr0AQp84UnGn4OW16XyB8QDZYOiYNd/KwXHx05pgY&#10;1/CBbseQiQhhn6CGPIQqkdKnOVn0fVcRR+/iaoshyjqTpsYmwm0ph0pNpMWC40KOFa1ySv+PV6vh&#10;d3c5/43UPlvbcdW4Vkm2U6l197P9noEI1IZ3+NXeGg2j6QCeZ+IRkI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niMeMMAAADcAAAADwAAAAAAAAAAAAAAAACYAgAAZHJzL2Rv&#10;d25yZXYueG1sUEsFBgAAAAAEAAQA9QAAAIgDAAAAAA==&#10;" filled="f" stroked="f">
                  <v:textbox>
                    <w:txbxContent>
                      <w:p w:rsidR="008276DC" w:rsidRPr="000A4D8B" w:rsidRDefault="008276DC" w:rsidP="000A4D8B">
                        <w:pPr>
                          <w:spacing w:after="0" w:line="240" w:lineRule="auto"/>
                          <w:rPr>
                            <w:sz w:val="16"/>
                            <w:szCs w:val="16"/>
                          </w:rPr>
                        </w:pPr>
                        <w:r w:rsidRPr="000A4D8B">
                          <w:rPr>
                            <w:sz w:val="16"/>
                            <w:szCs w:val="16"/>
                          </w:rPr>
                          <w:t>Tympan plat et mince</w:t>
                        </w:r>
                      </w:p>
                      <w:p w:rsidR="008276DC" w:rsidRPr="000A4D8B" w:rsidRDefault="008276DC" w:rsidP="000A4D8B">
                        <w:pPr>
                          <w:spacing w:after="0" w:line="240" w:lineRule="auto"/>
                          <w:rPr>
                            <w:sz w:val="16"/>
                            <w:szCs w:val="16"/>
                          </w:rPr>
                        </w:pPr>
                        <w:r w:rsidRPr="000A4D8B">
                          <w:rPr>
                            <w:sz w:val="16"/>
                            <w:szCs w:val="16"/>
                          </w:rPr>
                          <w:t>Osselets</w:t>
                        </w:r>
                      </w:p>
                      <w:p w:rsidR="008276DC" w:rsidRPr="000A4D8B" w:rsidRDefault="008276DC" w:rsidP="000A4D8B">
                        <w:pPr>
                          <w:spacing w:after="0" w:line="240" w:lineRule="auto"/>
                          <w:rPr>
                            <w:sz w:val="16"/>
                            <w:szCs w:val="16"/>
                          </w:rPr>
                        </w:pPr>
                        <w:r w:rsidRPr="000A4D8B">
                          <w:rPr>
                            <w:sz w:val="16"/>
                            <w:szCs w:val="16"/>
                          </w:rPr>
                          <w:t>Triangle lumineux</w:t>
                        </w:r>
                      </w:p>
                    </w:txbxContent>
                  </v:textbox>
                </v:shape>
                <v:shapetype id="_x0000_t32" coordsize="21600,21600" o:spt="32" o:oned="t" path="m,l21600,21600e" filled="f">
                  <v:path arrowok="t" fillok="f" o:connecttype="none"/>
                  <o:lock v:ext="edit" shapetype="t"/>
                </v:shapetype>
                <v:shape id="Connecteur droit avec flèche 492" o:spid="_x0000_s1075" type="#_x0000_t32" style="position:absolute;left:7684;top:7295;width:8941;height:67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N1U2MQAAADcAAAADwAAAGRycy9kb3ducmV2LnhtbESPQYvCMBSE78L+h/CEvWmqLLJ2TYsI&#10;BQ96UCt7fTTPtti8dJtY6783grDHYWa+YVbpYBrRU+dqywpm0wgEcWF1zaWC/JRNvkE4j6yxsUwK&#10;HuQgTT5GK4y1vfOB+qMvRYCwi1FB5X0bS+mKigy6qW2Jg3exnUEfZFdK3eE9wE0j51G0kAZrDgsV&#10;trSpqLgeb0ZB5BbZ3+Z03fd56Q+7X5ltH8uzUp/jYf0DwtPg/8Pv9lYr+FrO4XUmHAGZP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s3VTYxAAAANwAAAAPAAAAAAAAAAAA&#10;AAAAAKECAABkcnMvZG93bnJldi54bWxQSwUGAAAAAAQABAD5AAAAkgMAAAAA&#10;" strokecolor="black [3040]">
                  <v:stroke endarrow="open"/>
                </v:shape>
                <v:shape id="Connecteur droit avec flèche 493" o:spid="_x0000_s1076" type="#_x0000_t32" style="position:absolute;left:7684;top:5350;width:3683;height:291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5HxQ8MAAADcAAAADwAAAGRycy9kb3ducmV2LnhtbESPzarCMBSE94LvEI5wd5rqFdFqFBEK&#10;Lq4L/3B7aI5tsTmpTW6tb28EweUwM98wi1VrStFQ7QrLCoaDCARxanXBmYLTMelPQTiPrLG0TAqe&#10;5GC17HYWGGv74D01B5+JAGEXo4Lc+yqW0qU5GXQDWxEH72prgz7IOpO6xkeAm1KOomgiDRYcFnKs&#10;aJNTejv8GwWRmyT3zfG2a06Z3/9dZLJ9zs5K/fTa9RyEp9Z/w5/2VisYz37hfSYcAbl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OR8UPDAAAA3AAAAA8AAAAAAAAAAAAA&#10;AAAAoQIAAGRycy9kb3ducmV2LnhtbFBLBQYAAAAABAAEAPkAAACRAwAAAAA=&#10;" strokecolor="black [3040]">
                  <v:stroke endarrow="open"/>
                </v:shape>
              </v:group>
            </w:pict>
          </mc:Fallback>
        </mc:AlternateContent>
      </w:r>
    </w:p>
    <w:p w:rsidR="000658CE" w:rsidRDefault="000658CE" w:rsidP="001F3BC6">
      <w:pPr>
        <w:pStyle w:val="Sansinterligne"/>
      </w:pPr>
      <w:r w:rsidRPr="000658CE">
        <w:t xml:space="preserve">  </w:t>
      </w:r>
    </w:p>
    <w:p w:rsidR="000658CE" w:rsidRDefault="000658CE" w:rsidP="001F3BC6">
      <w:pPr>
        <w:pStyle w:val="Sansinterligne"/>
      </w:pPr>
    </w:p>
    <w:p w:rsidR="000658CE" w:rsidRDefault="000658CE" w:rsidP="001F3BC6">
      <w:pPr>
        <w:pStyle w:val="Sansinterligne"/>
      </w:pPr>
    </w:p>
    <w:p w:rsidR="000658CE" w:rsidRDefault="000658CE" w:rsidP="001F3BC6">
      <w:pPr>
        <w:pStyle w:val="Sansinterligne"/>
      </w:pPr>
    </w:p>
    <w:p w:rsidR="000658CE" w:rsidRDefault="000658CE" w:rsidP="001F3BC6">
      <w:pPr>
        <w:pStyle w:val="Sansinterligne"/>
      </w:pPr>
    </w:p>
    <w:p w:rsidR="000658CE" w:rsidRDefault="000658CE" w:rsidP="001F3BC6">
      <w:pPr>
        <w:pStyle w:val="Sansinterligne"/>
      </w:pPr>
    </w:p>
    <w:p w:rsidR="000658CE" w:rsidRDefault="000658CE" w:rsidP="001F3BC6">
      <w:pPr>
        <w:pStyle w:val="Sansinterligne"/>
      </w:pPr>
    </w:p>
    <w:p w:rsidR="000658CE" w:rsidRDefault="000658CE" w:rsidP="001F3BC6">
      <w:pPr>
        <w:pStyle w:val="Sansinterligne"/>
      </w:pPr>
    </w:p>
    <w:p w:rsidR="000658CE" w:rsidRDefault="000658CE" w:rsidP="001F3BC6">
      <w:pPr>
        <w:pStyle w:val="Sansinterligne"/>
      </w:pPr>
    </w:p>
    <w:p w:rsidR="000658CE" w:rsidRDefault="000658CE" w:rsidP="001F3BC6">
      <w:pPr>
        <w:pStyle w:val="Sansinterligne"/>
      </w:pPr>
    </w:p>
    <w:p w:rsidR="000658CE" w:rsidRDefault="000658CE" w:rsidP="001F3BC6">
      <w:pPr>
        <w:pStyle w:val="Sansinterligne"/>
      </w:pPr>
    </w:p>
    <w:p w:rsidR="000658CE" w:rsidRPr="001F3BC6" w:rsidRDefault="000658CE" w:rsidP="001F3BC6">
      <w:pPr>
        <w:pStyle w:val="Sansinterligne"/>
        <w:rPr>
          <w:lang w:eastAsia="fr-CA"/>
        </w:rPr>
      </w:pPr>
    </w:p>
    <w:tbl>
      <w:tblPr>
        <w:tblStyle w:val="Grilledutableau"/>
        <w:tblW w:w="0" w:type="auto"/>
        <w:tblLook w:val="04A0" w:firstRow="1" w:lastRow="0" w:firstColumn="1" w:lastColumn="0" w:noHBand="0" w:noVBand="1"/>
      </w:tblPr>
      <w:tblGrid>
        <w:gridCol w:w="2660"/>
        <w:gridCol w:w="3827"/>
        <w:gridCol w:w="142"/>
        <w:gridCol w:w="4387"/>
      </w:tblGrid>
      <w:tr w:rsidR="004E25D5" w:rsidRPr="00F15482" w:rsidTr="007267AB">
        <w:tc>
          <w:tcPr>
            <w:tcW w:w="11016" w:type="dxa"/>
            <w:gridSpan w:val="4"/>
            <w:shd w:val="clear" w:color="auto" w:fill="FFC000"/>
          </w:tcPr>
          <w:p w:rsidR="004E25D5" w:rsidRPr="00F15482" w:rsidRDefault="004E25D5" w:rsidP="004E25D5">
            <w:pPr>
              <w:pStyle w:val="Sansinterligne"/>
              <w:jc w:val="center"/>
              <w:rPr>
                <w:lang w:eastAsia="fr-CA"/>
              </w:rPr>
            </w:pPr>
            <w:r w:rsidRPr="00F15482">
              <w:rPr>
                <w:lang w:eastAsia="fr-CA"/>
              </w:rPr>
              <w:t>Oreil</w:t>
            </w:r>
            <w:r w:rsidRPr="007267AB">
              <w:rPr>
                <w:shd w:val="clear" w:color="auto" w:fill="FFC000"/>
                <w:lang w:eastAsia="fr-CA"/>
              </w:rPr>
              <w:t>l</w:t>
            </w:r>
            <w:r w:rsidRPr="00F15482">
              <w:rPr>
                <w:lang w:eastAsia="fr-CA"/>
              </w:rPr>
              <w:t>e moyenne et oreille interne</w:t>
            </w:r>
          </w:p>
        </w:tc>
      </w:tr>
      <w:tr w:rsidR="007267AB" w:rsidRPr="00F15482" w:rsidTr="007267AB">
        <w:tc>
          <w:tcPr>
            <w:tcW w:w="2660" w:type="dxa"/>
            <w:shd w:val="clear" w:color="auto" w:fill="C4BC96" w:themeFill="background2" w:themeFillShade="BF"/>
          </w:tcPr>
          <w:p w:rsidR="007267AB" w:rsidRPr="003F2335" w:rsidRDefault="007267AB" w:rsidP="001A29AA">
            <w:pPr>
              <w:pStyle w:val="Sansinterligne"/>
              <w:jc w:val="center"/>
              <w:rPr>
                <w:i/>
                <w:lang w:eastAsia="fr-CA"/>
              </w:rPr>
            </w:pPr>
            <w:r w:rsidRPr="003F2335">
              <w:rPr>
                <w:i/>
                <w:lang w:eastAsia="fr-CA"/>
              </w:rPr>
              <w:t>Diagnostic</w:t>
            </w:r>
          </w:p>
        </w:tc>
        <w:tc>
          <w:tcPr>
            <w:tcW w:w="8356" w:type="dxa"/>
            <w:gridSpan w:val="3"/>
            <w:shd w:val="clear" w:color="auto" w:fill="C4BC96" w:themeFill="background2" w:themeFillShade="BF"/>
          </w:tcPr>
          <w:p w:rsidR="007267AB" w:rsidRPr="003F2335" w:rsidRDefault="007267AB" w:rsidP="001A29AA">
            <w:pPr>
              <w:pStyle w:val="Sansinterligne"/>
              <w:jc w:val="center"/>
              <w:rPr>
                <w:i/>
                <w:lang w:eastAsia="fr-CA"/>
              </w:rPr>
            </w:pPr>
            <w:r w:rsidRPr="003F2335">
              <w:rPr>
                <w:i/>
                <w:lang w:eastAsia="fr-CA"/>
              </w:rPr>
              <w:t>Manifestations cliniques</w:t>
            </w:r>
          </w:p>
        </w:tc>
      </w:tr>
      <w:tr w:rsidR="00D07EAD" w:rsidRPr="00F15482" w:rsidTr="00762ECE">
        <w:tc>
          <w:tcPr>
            <w:tcW w:w="2660" w:type="dxa"/>
            <w:shd w:val="clear" w:color="auto" w:fill="C4BC96" w:themeFill="background2" w:themeFillShade="BF"/>
            <w:vAlign w:val="center"/>
          </w:tcPr>
          <w:p w:rsidR="00D07EAD" w:rsidRPr="003745F0" w:rsidRDefault="00D07EAD" w:rsidP="007267AB">
            <w:pPr>
              <w:pStyle w:val="Sansinterligne"/>
              <w:jc w:val="center"/>
              <w:rPr>
                <w:b/>
                <w:lang w:eastAsia="fr-CA"/>
              </w:rPr>
            </w:pPr>
            <w:r w:rsidRPr="003745F0">
              <w:rPr>
                <w:b/>
                <w:lang w:eastAsia="fr-CA"/>
              </w:rPr>
              <w:t>Otite moyenne aiguë</w:t>
            </w:r>
            <w:r w:rsidR="00877F2F" w:rsidRPr="003745F0">
              <w:rPr>
                <w:b/>
                <w:lang w:eastAsia="fr-CA"/>
              </w:rPr>
              <w:t xml:space="preserve"> </w:t>
            </w:r>
          </w:p>
          <w:p w:rsidR="00877F2F" w:rsidRPr="003745F0" w:rsidRDefault="00877F2F" w:rsidP="007267AB">
            <w:pPr>
              <w:pStyle w:val="Sansinterligne"/>
              <w:jc w:val="center"/>
              <w:rPr>
                <w:b/>
                <w:lang w:eastAsia="fr-CA"/>
              </w:rPr>
            </w:pPr>
            <w:r w:rsidRPr="003745F0">
              <w:rPr>
                <w:b/>
                <w:lang w:eastAsia="fr-CA"/>
              </w:rPr>
              <w:t>(OMA)</w:t>
            </w:r>
          </w:p>
        </w:tc>
        <w:tc>
          <w:tcPr>
            <w:tcW w:w="3827" w:type="dxa"/>
            <w:tcBorders>
              <w:right w:val="single" w:sz="4" w:space="0" w:color="FFFF00"/>
            </w:tcBorders>
            <w:shd w:val="clear" w:color="auto" w:fill="FFFF00"/>
          </w:tcPr>
          <w:p w:rsidR="00D07EAD" w:rsidRDefault="00D07EAD" w:rsidP="005D429F">
            <w:pPr>
              <w:pStyle w:val="Sansinterligne"/>
              <w:numPr>
                <w:ilvl w:val="0"/>
                <w:numId w:val="1026"/>
              </w:numPr>
              <w:rPr>
                <w:lang w:eastAsia="fr-CA"/>
              </w:rPr>
            </w:pPr>
            <w:r>
              <w:rPr>
                <w:lang w:eastAsia="fr-CA"/>
              </w:rPr>
              <w:t>Pics : 6 mois – 2 ans, 5-6 ans</w:t>
            </w:r>
          </w:p>
          <w:p w:rsidR="00D07EAD" w:rsidRDefault="00D07EAD" w:rsidP="005D429F">
            <w:pPr>
              <w:pStyle w:val="Sansinterligne"/>
              <w:numPr>
                <w:ilvl w:val="0"/>
                <w:numId w:val="1026"/>
              </w:numPr>
              <w:rPr>
                <w:lang w:eastAsia="fr-CA"/>
              </w:rPr>
            </w:pPr>
            <w:r>
              <w:rPr>
                <w:lang w:eastAsia="fr-CA"/>
              </w:rPr>
              <w:t>Début aigu</w:t>
            </w:r>
          </w:p>
          <w:p w:rsidR="00D07EAD" w:rsidRDefault="00A26A08" w:rsidP="005D429F">
            <w:pPr>
              <w:pStyle w:val="Sansinterligne"/>
              <w:numPr>
                <w:ilvl w:val="0"/>
                <w:numId w:val="1026"/>
              </w:numPr>
              <w:rPr>
                <w:lang w:eastAsia="fr-CA"/>
              </w:rPr>
            </w:pPr>
            <w:r>
              <w:rPr>
                <w:noProof/>
                <w:lang w:eastAsia="fr-CA"/>
              </w:rPr>
              <mc:AlternateContent>
                <mc:Choice Requires="wps">
                  <w:drawing>
                    <wp:anchor distT="0" distB="0" distL="114300" distR="114300" simplePos="0" relativeHeight="251979776" behindDoc="0" locked="0" layoutInCell="1" allowOverlap="1" wp14:anchorId="5E14415D" wp14:editId="4A1C7503">
                      <wp:simplePos x="0" y="0"/>
                      <wp:positionH relativeFrom="column">
                        <wp:posOffset>2046254</wp:posOffset>
                      </wp:positionH>
                      <wp:positionV relativeFrom="paragraph">
                        <wp:posOffset>93980</wp:posOffset>
                      </wp:positionV>
                      <wp:extent cx="505838" cy="505839"/>
                      <wp:effectExtent l="38100" t="0" r="27940" b="66040"/>
                      <wp:wrapNone/>
                      <wp:docPr id="496" name="Connecteur droit avec flèche 496"/>
                      <wp:cNvGraphicFramePr/>
                      <a:graphic xmlns:a="http://schemas.openxmlformats.org/drawingml/2006/main">
                        <a:graphicData uri="http://schemas.microsoft.com/office/word/2010/wordprocessingShape">
                          <wps:wsp>
                            <wps:cNvCnPr/>
                            <wps:spPr>
                              <a:xfrm flipH="1">
                                <a:off x="0" y="0"/>
                                <a:ext cx="505838" cy="505839"/>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Connecteur droit avec flèche 496" o:spid="_x0000_s1026" type="#_x0000_t32" style="position:absolute;margin-left:161.1pt;margin-top:7.4pt;width:39.85pt;height:39.85pt;flip:x;z-index:2519797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" strokecolor="black [3040]">
                      <v:stroke endarrow="open"/>
                    </v:shape>
                  </w:pict>
                </mc:Fallback>
              </mc:AlternateContent>
            </w:r>
            <w:r w:rsidR="00D07EAD">
              <w:rPr>
                <w:lang w:eastAsia="fr-CA"/>
              </w:rPr>
              <w:t>Fièvre</w:t>
            </w:r>
          </w:p>
          <w:p w:rsidR="00D07EAD" w:rsidRDefault="00D07EAD" w:rsidP="005D429F">
            <w:pPr>
              <w:pStyle w:val="Sansinterligne"/>
              <w:numPr>
                <w:ilvl w:val="0"/>
                <w:numId w:val="1026"/>
              </w:numPr>
              <w:rPr>
                <w:lang w:eastAsia="fr-CA"/>
              </w:rPr>
            </w:pPr>
            <w:r>
              <w:rPr>
                <w:lang w:eastAsia="fr-CA"/>
              </w:rPr>
              <w:t>Irritabilité</w:t>
            </w:r>
          </w:p>
          <w:p w:rsidR="00A26A08" w:rsidRDefault="00D07EAD" w:rsidP="005D429F">
            <w:pPr>
              <w:pStyle w:val="Sansinterligne"/>
              <w:numPr>
                <w:ilvl w:val="0"/>
                <w:numId w:val="1026"/>
              </w:numPr>
              <w:rPr>
                <w:lang w:eastAsia="fr-CA"/>
              </w:rPr>
            </w:pPr>
            <w:r>
              <w:rPr>
                <w:lang w:eastAsia="fr-CA"/>
              </w:rPr>
              <w:t>Otalgie</w:t>
            </w:r>
            <w:r w:rsidR="00A26A08">
              <w:rPr>
                <w:lang w:eastAsia="fr-CA"/>
              </w:rPr>
              <w:t xml:space="preserve"> </w:t>
            </w:r>
            <w:r w:rsidR="00A26A08">
              <w:rPr>
                <w:rFonts w:cs="Times New Roman"/>
                <w:lang w:eastAsia="fr-CA"/>
              </w:rPr>
              <w:t>±</w:t>
            </w:r>
            <w:r w:rsidR="00A26A08">
              <w:rPr>
                <w:lang w:eastAsia="fr-CA"/>
              </w:rPr>
              <w:t xml:space="preserve"> otorrhée</w:t>
            </w:r>
            <w:r w:rsidR="00A440A7">
              <w:rPr>
                <w:lang w:eastAsia="fr-CA"/>
              </w:rPr>
              <w:t xml:space="preserve"> </w:t>
            </w:r>
          </w:p>
          <w:p w:rsidR="00D07EAD" w:rsidRDefault="00A440A7" w:rsidP="005D429F">
            <w:pPr>
              <w:pStyle w:val="Sansinterligne"/>
              <w:numPr>
                <w:ilvl w:val="0"/>
                <w:numId w:val="1026"/>
              </w:numPr>
              <w:rPr>
                <w:lang w:eastAsia="fr-CA"/>
              </w:rPr>
            </w:pPr>
            <w:r>
              <w:rPr>
                <w:rFonts w:cs="Times New Roman"/>
                <w:lang w:eastAsia="fr-CA"/>
              </w:rPr>
              <w:t>↓</w:t>
            </w:r>
            <w:r>
              <w:rPr>
                <w:lang w:eastAsia="fr-CA"/>
              </w:rPr>
              <w:t xml:space="preserve"> audition</w:t>
            </w:r>
          </w:p>
          <w:p w:rsidR="00D07EAD" w:rsidRDefault="00A26A08" w:rsidP="00A26A08">
            <w:pPr>
              <w:pStyle w:val="Sansinterligne"/>
              <w:rPr>
                <w:lang w:eastAsia="fr-CA"/>
              </w:rPr>
            </w:pPr>
            <w:r>
              <w:rPr>
                <w:lang w:eastAsia="fr-CA"/>
              </w:rPr>
              <w:t xml:space="preserve">(bulles, disparition du </w:t>
            </w:r>
            <w:r>
              <w:rPr>
                <w:rFonts w:cs="Times New Roman"/>
                <w:lang w:eastAsia="fr-CA"/>
              </w:rPr>
              <w:t>∆</w:t>
            </w:r>
            <w:r>
              <w:rPr>
                <w:lang w:eastAsia="fr-CA"/>
              </w:rPr>
              <w:t xml:space="preserve"> lumineux, bombement)</w:t>
            </w:r>
          </w:p>
        </w:tc>
        <w:tc>
          <w:tcPr>
            <w:tcW w:w="4529" w:type="dxa"/>
            <w:gridSpan w:val="2"/>
            <w:tcBorders>
              <w:left w:val="single" w:sz="4" w:space="0" w:color="FFFF00"/>
            </w:tcBorders>
            <w:shd w:val="clear" w:color="auto" w:fill="FFFF00"/>
          </w:tcPr>
          <w:p w:rsidR="00A26A08" w:rsidRDefault="00A26A08" w:rsidP="005D429F">
            <w:pPr>
              <w:pStyle w:val="Sansinterligne"/>
              <w:numPr>
                <w:ilvl w:val="0"/>
                <w:numId w:val="1025"/>
              </w:numPr>
              <w:rPr>
                <w:lang w:eastAsia="fr-CA"/>
              </w:rPr>
            </w:pPr>
            <w:r>
              <w:rPr>
                <w:lang w:eastAsia="fr-CA"/>
              </w:rPr>
              <w:t>Opacification du tympan</w:t>
            </w:r>
          </w:p>
          <w:p w:rsidR="00A26A08" w:rsidRDefault="00A26A08" w:rsidP="005D429F">
            <w:pPr>
              <w:pStyle w:val="Sansinterligne"/>
              <w:numPr>
                <w:ilvl w:val="0"/>
                <w:numId w:val="1025"/>
              </w:numPr>
              <w:rPr>
                <w:lang w:eastAsia="fr-CA"/>
              </w:rPr>
            </w:pPr>
            <w:r>
              <w:rPr>
                <w:lang w:eastAsia="fr-CA"/>
              </w:rPr>
              <w:t xml:space="preserve">Érythème tympanique </w:t>
            </w:r>
          </w:p>
          <w:p w:rsidR="00D07EAD" w:rsidRDefault="00D07EAD" w:rsidP="005D429F">
            <w:pPr>
              <w:pStyle w:val="Sansinterligne"/>
              <w:numPr>
                <w:ilvl w:val="0"/>
                <w:numId w:val="1025"/>
              </w:numPr>
              <w:rPr>
                <w:lang w:eastAsia="fr-CA"/>
              </w:rPr>
            </w:pPr>
            <w:r>
              <w:rPr>
                <w:lang w:eastAsia="fr-CA"/>
              </w:rPr>
              <w:t>Niveau liquidien rétrotympanique</w:t>
            </w:r>
          </w:p>
          <w:p w:rsidR="00D07EAD" w:rsidRDefault="00D07EAD" w:rsidP="00D07EAD">
            <w:pPr>
              <w:pStyle w:val="Sansinterligne"/>
              <w:rPr>
                <w:lang w:eastAsia="fr-CA"/>
              </w:rPr>
            </w:pPr>
            <w:r w:rsidRPr="00A26A08">
              <w:rPr>
                <w:u w:val="single"/>
                <w:lang w:eastAsia="fr-CA"/>
              </w:rPr>
              <w:t>Germes fréquents</w:t>
            </w:r>
            <w:r>
              <w:rPr>
                <w:lang w:eastAsia="fr-CA"/>
              </w:rPr>
              <w:t> :</w:t>
            </w:r>
          </w:p>
          <w:p w:rsidR="00D07EAD" w:rsidRDefault="00D07EAD" w:rsidP="00D07EAD">
            <w:pPr>
              <w:pStyle w:val="Sansinterligne"/>
              <w:ind w:left="708"/>
              <w:rPr>
                <w:lang w:eastAsia="fr-CA"/>
              </w:rPr>
            </w:pPr>
            <w:r>
              <w:rPr>
                <w:lang w:eastAsia="fr-CA"/>
              </w:rPr>
              <w:t>Virus</w:t>
            </w:r>
          </w:p>
          <w:p w:rsidR="00D07EAD" w:rsidRPr="00D07EAD" w:rsidRDefault="00D07EAD" w:rsidP="00D07EAD">
            <w:pPr>
              <w:pStyle w:val="Sansinterligne"/>
              <w:ind w:left="708"/>
              <w:rPr>
                <w:i/>
                <w:lang w:eastAsia="fr-CA"/>
              </w:rPr>
            </w:pPr>
            <w:r w:rsidRPr="00D07EAD">
              <w:rPr>
                <w:i/>
                <w:lang w:eastAsia="fr-CA"/>
              </w:rPr>
              <w:t>Haemophilus influenza</w:t>
            </w:r>
          </w:p>
          <w:p w:rsidR="00D07EAD" w:rsidRPr="00D07EAD" w:rsidRDefault="00A26A08" w:rsidP="00D07EAD">
            <w:pPr>
              <w:pStyle w:val="Sansinterligne"/>
              <w:ind w:left="708"/>
              <w:rPr>
                <w:i/>
                <w:lang w:eastAsia="fr-CA"/>
              </w:rPr>
            </w:pPr>
            <w:r>
              <w:rPr>
                <w:i/>
                <w:lang w:eastAsia="fr-CA"/>
              </w:rPr>
              <w:t>Streptococcus</w:t>
            </w:r>
            <w:r w:rsidR="00D07EAD" w:rsidRPr="00D07EAD">
              <w:rPr>
                <w:i/>
                <w:lang w:eastAsia="fr-CA"/>
              </w:rPr>
              <w:t xml:space="preserve"> Pneumoniae</w:t>
            </w:r>
          </w:p>
          <w:p w:rsidR="00D07EAD" w:rsidRPr="00F15482" w:rsidRDefault="00D07EAD" w:rsidP="00D07EAD">
            <w:pPr>
              <w:pStyle w:val="Sansinterligne"/>
              <w:ind w:left="708"/>
              <w:rPr>
                <w:lang w:eastAsia="fr-CA"/>
              </w:rPr>
            </w:pPr>
            <w:r w:rsidRPr="00D07EAD">
              <w:rPr>
                <w:i/>
                <w:lang w:eastAsia="fr-CA"/>
              </w:rPr>
              <w:t xml:space="preserve">Moraxella Catarrhalis </w:t>
            </w:r>
          </w:p>
        </w:tc>
      </w:tr>
      <w:tr w:rsidR="000F0082" w:rsidRPr="00F15482" w:rsidTr="00762ECE">
        <w:tc>
          <w:tcPr>
            <w:tcW w:w="2660" w:type="dxa"/>
            <w:shd w:val="clear" w:color="auto" w:fill="C4BC96" w:themeFill="background2" w:themeFillShade="BF"/>
            <w:vAlign w:val="center"/>
          </w:tcPr>
          <w:p w:rsidR="000F0082" w:rsidRPr="003745F0" w:rsidRDefault="000F0082" w:rsidP="007267AB">
            <w:pPr>
              <w:pStyle w:val="Sansinterligne"/>
              <w:jc w:val="center"/>
              <w:rPr>
                <w:b/>
                <w:lang w:eastAsia="fr-CA"/>
              </w:rPr>
            </w:pPr>
            <w:r w:rsidRPr="003745F0">
              <w:rPr>
                <w:b/>
                <w:lang w:eastAsia="fr-CA"/>
              </w:rPr>
              <w:t xml:space="preserve">Otite moyenne </w:t>
            </w:r>
            <w:r w:rsidR="00877F2F" w:rsidRPr="003745F0">
              <w:rPr>
                <w:b/>
                <w:lang w:eastAsia="fr-CA"/>
              </w:rPr>
              <w:t>avec épanchement</w:t>
            </w:r>
          </w:p>
          <w:p w:rsidR="00877F2F" w:rsidRPr="003745F0" w:rsidRDefault="00877F2F" w:rsidP="007267AB">
            <w:pPr>
              <w:pStyle w:val="Sansinterligne"/>
              <w:jc w:val="center"/>
              <w:rPr>
                <w:b/>
                <w:lang w:eastAsia="fr-CA"/>
              </w:rPr>
            </w:pPr>
            <w:r w:rsidRPr="003745F0">
              <w:rPr>
                <w:b/>
                <w:lang w:eastAsia="fr-CA"/>
              </w:rPr>
              <w:t>(OME)</w:t>
            </w:r>
          </w:p>
        </w:tc>
        <w:tc>
          <w:tcPr>
            <w:tcW w:w="3827" w:type="dxa"/>
            <w:tcBorders>
              <w:right w:val="single" w:sz="4" w:space="0" w:color="FFFF00"/>
            </w:tcBorders>
            <w:shd w:val="clear" w:color="auto" w:fill="FFFF00"/>
          </w:tcPr>
          <w:p w:rsidR="000F0082" w:rsidRDefault="000F0082" w:rsidP="005D429F">
            <w:pPr>
              <w:pStyle w:val="Sansinterligne"/>
              <w:numPr>
                <w:ilvl w:val="0"/>
                <w:numId w:val="1027"/>
              </w:numPr>
              <w:rPr>
                <w:lang w:eastAsia="fr-CA"/>
              </w:rPr>
            </w:pPr>
            <w:r>
              <w:rPr>
                <w:rFonts w:cs="Times New Roman"/>
                <w:lang w:eastAsia="fr-CA"/>
              </w:rPr>
              <w:t>↓</w:t>
            </w:r>
            <w:r>
              <w:rPr>
                <w:lang w:eastAsia="fr-CA"/>
              </w:rPr>
              <w:t xml:space="preserve"> audition</w:t>
            </w:r>
          </w:p>
          <w:p w:rsidR="000F0082" w:rsidRDefault="000F0082" w:rsidP="005D429F">
            <w:pPr>
              <w:pStyle w:val="Sansinterligne"/>
              <w:numPr>
                <w:ilvl w:val="0"/>
                <w:numId w:val="1027"/>
              </w:numPr>
              <w:rPr>
                <w:lang w:eastAsia="fr-CA"/>
              </w:rPr>
            </w:pPr>
            <w:r>
              <w:rPr>
                <w:lang w:eastAsia="fr-CA"/>
              </w:rPr>
              <w:t>Acouphènes</w:t>
            </w:r>
          </w:p>
          <w:p w:rsidR="000F0082" w:rsidRDefault="000F0082" w:rsidP="005D429F">
            <w:pPr>
              <w:pStyle w:val="Sansinterligne"/>
              <w:numPr>
                <w:ilvl w:val="0"/>
                <w:numId w:val="1027"/>
              </w:numPr>
              <w:rPr>
                <w:lang w:eastAsia="fr-CA"/>
              </w:rPr>
            </w:pPr>
            <w:r>
              <w:rPr>
                <w:lang w:eastAsia="fr-CA"/>
              </w:rPr>
              <w:t>Sensation de plénitude de l’oreille</w:t>
            </w:r>
          </w:p>
          <w:p w:rsidR="000F0082" w:rsidRDefault="000F0082" w:rsidP="005D429F">
            <w:pPr>
              <w:pStyle w:val="Sansinterligne"/>
              <w:numPr>
                <w:ilvl w:val="0"/>
                <w:numId w:val="1027"/>
              </w:numPr>
              <w:rPr>
                <w:lang w:eastAsia="fr-CA"/>
              </w:rPr>
            </w:pPr>
            <w:r>
              <w:rPr>
                <w:lang w:eastAsia="fr-CA"/>
              </w:rPr>
              <w:t>Légère douleur</w:t>
            </w:r>
          </w:p>
        </w:tc>
        <w:tc>
          <w:tcPr>
            <w:tcW w:w="4529" w:type="dxa"/>
            <w:gridSpan w:val="2"/>
            <w:tcBorders>
              <w:left w:val="single" w:sz="4" w:space="0" w:color="FFFF00"/>
            </w:tcBorders>
            <w:shd w:val="clear" w:color="auto" w:fill="FFFF00"/>
          </w:tcPr>
          <w:p w:rsidR="000F0082" w:rsidRDefault="000F0082" w:rsidP="005D429F">
            <w:pPr>
              <w:pStyle w:val="Sansinterligne"/>
              <w:numPr>
                <w:ilvl w:val="0"/>
                <w:numId w:val="1027"/>
              </w:numPr>
              <w:rPr>
                <w:lang w:eastAsia="fr-CA"/>
              </w:rPr>
            </w:pPr>
            <w:r>
              <w:rPr>
                <w:lang w:eastAsia="fr-CA"/>
              </w:rPr>
              <w:t>Décoloration du tympan</w:t>
            </w:r>
          </w:p>
          <w:p w:rsidR="000F0082" w:rsidRDefault="000F0082" w:rsidP="005D429F">
            <w:pPr>
              <w:pStyle w:val="Sansinterligne"/>
              <w:numPr>
                <w:ilvl w:val="0"/>
                <w:numId w:val="1027"/>
              </w:numPr>
              <w:rPr>
                <w:lang w:eastAsia="fr-CA"/>
              </w:rPr>
            </w:pPr>
            <w:r>
              <w:rPr>
                <w:lang w:eastAsia="fr-CA"/>
              </w:rPr>
              <w:t>Liquide clair derrière le tympan</w:t>
            </w:r>
          </w:p>
          <w:p w:rsidR="000F0082" w:rsidRDefault="000F0082" w:rsidP="005D429F">
            <w:pPr>
              <w:pStyle w:val="Sansinterligne"/>
              <w:numPr>
                <w:ilvl w:val="0"/>
                <w:numId w:val="1027"/>
              </w:numPr>
              <w:rPr>
                <w:lang w:eastAsia="fr-CA"/>
              </w:rPr>
            </w:pPr>
            <w:r>
              <w:rPr>
                <w:lang w:eastAsia="fr-CA"/>
              </w:rPr>
              <w:t>Bulles d’air</w:t>
            </w:r>
          </w:p>
          <w:p w:rsidR="000F0082" w:rsidRPr="00F15482" w:rsidRDefault="000F0082" w:rsidP="005D429F">
            <w:pPr>
              <w:pStyle w:val="Sansinterligne"/>
              <w:numPr>
                <w:ilvl w:val="0"/>
                <w:numId w:val="1027"/>
              </w:numPr>
              <w:rPr>
                <w:lang w:eastAsia="fr-CA"/>
              </w:rPr>
            </w:pPr>
            <w:r>
              <w:rPr>
                <w:lang w:eastAsia="fr-CA"/>
              </w:rPr>
              <w:t>Rétraction du tympan par endroit</w:t>
            </w:r>
          </w:p>
        </w:tc>
      </w:tr>
      <w:tr w:rsidR="00762ECE" w:rsidRPr="00F15482" w:rsidTr="00762ECE">
        <w:tc>
          <w:tcPr>
            <w:tcW w:w="2660" w:type="dxa"/>
            <w:shd w:val="clear" w:color="auto" w:fill="C4BC96" w:themeFill="background2" w:themeFillShade="BF"/>
            <w:vAlign w:val="center"/>
          </w:tcPr>
          <w:p w:rsidR="00762ECE" w:rsidRPr="003745F0" w:rsidRDefault="00762ECE" w:rsidP="007267AB">
            <w:pPr>
              <w:pStyle w:val="Sansinterligne"/>
              <w:jc w:val="center"/>
              <w:rPr>
                <w:b/>
                <w:lang w:eastAsia="fr-CA"/>
              </w:rPr>
            </w:pPr>
            <w:bookmarkStart w:id="105" w:name="%C3%89tiologie2.1.3"/>
            <w:r w:rsidRPr="003745F0">
              <w:rPr>
                <w:b/>
                <w:lang w:eastAsia="fr-CA"/>
              </w:rPr>
              <w:t>Mastoïdite</w:t>
            </w:r>
          </w:p>
        </w:tc>
        <w:tc>
          <w:tcPr>
            <w:tcW w:w="3827" w:type="dxa"/>
            <w:tcBorders>
              <w:right w:val="single" w:sz="4" w:space="0" w:color="FFFF00"/>
            </w:tcBorders>
            <w:shd w:val="clear" w:color="auto" w:fill="FFFF00"/>
          </w:tcPr>
          <w:p w:rsidR="00762ECE" w:rsidRPr="00762ECE" w:rsidRDefault="00762ECE" w:rsidP="005D429F">
            <w:pPr>
              <w:pStyle w:val="Sansinterligne"/>
              <w:numPr>
                <w:ilvl w:val="0"/>
                <w:numId w:val="1028"/>
              </w:numPr>
              <w:rPr>
                <w:lang w:eastAsia="fr-CA"/>
              </w:rPr>
            </w:pPr>
            <w:r w:rsidRPr="00762ECE">
              <w:rPr>
                <w:lang w:eastAsia="fr-CA"/>
              </w:rPr>
              <w:t>Souvent complication d’OMA</w:t>
            </w:r>
          </w:p>
          <w:p w:rsidR="00762ECE" w:rsidRPr="00762ECE" w:rsidRDefault="00762ECE" w:rsidP="005D429F">
            <w:pPr>
              <w:pStyle w:val="Sansinterligne"/>
              <w:numPr>
                <w:ilvl w:val="0"/>
                <w:numId w:val="1028"/>
              </w:numPr>
              <w:rPr>
                <w:lang w:eastAsia="fr-CA"/>
              </w:rPr>
            </w:pPr>
            <w:r w:rsidRPr="00762ECE">
              <w:rPr>
                <w:lang w:eastAsia="fr-CA"/>
              </w:rPr>
              <w:t>Fièvre</w:t>
            </w:r>
          </w:p>
          <w:p w:rsidR="00762ECE" w:rsidRPr="00762ECE" w:rsidRDefault="00762ECE" w:rsidP="005D429F">
            <w:pPr>
              <w:pStyle w:val="Sansinterligne"/>
              <w:numPr>
                <w:ilvl w:val="0"/>
                <w:numId w:val="1028"/>
              </w:numPr>
              <w:rPr>
                <w:lang w:eastAsia="fr-CA"/>
              </w:rPr>
            </w:pPr>
            <w:r w:rsidRPr="00762ECE">
              <w:rPr>
                <w:lang w:eastAsia="fr-CA"/>
              </w:rPr>
              <w:t>Perte d’audition</w:t>
            </w:r>
          </w:p>
          <w:p w:rsidR="00762ECE" w:rsidRPr="00762ECE" w:rsidRDefault="00762ECE" w:rsidP="00762ECE">
            <w:pPr>
              <w:pStyle w:val="Sansinterligne"/>
              <w:rPr>
                <w:lang w:eastAsia="fr-CA"/>
              </w:rPr>
            </w:pPr>
          </w:p>
        </w:tc>
        <w:tc>
          <w:tcPr>
            <w:tcW w:w="4529" w:type="dxa"/>
            <w:gridSpan w:val="2"/>
            <w:tcBorders>
              <w:left w:val="single" w:sz="4" w:space="0" w:color="FFFF00"/>
            </w:tcBorders>
            <w:shd w:val="clear" w:color="auto" w:fill="FFFF00"/>
          </w:tcPr>
          <w:p w:rsidR="00762ECE" w:rsidRPr="00762ECE" w:rsidRDefault="00762ECE" w:rsidP="005D429F">
            <w:pPr>
              <w:pStyle w:val="Sansinterligne"/>
              <w:numPr>
                <w:ilvl w:val="0"/>
                <w:numId w:val="1028"/>
              </w:numPr>
              <w:rPr>
                <w:lang w:eastAsia="fr-CA"/>
              </w:rPr>
            </w:pPr>
            <w:r w:rsidRPr="00762ECE">
              <w:rPr>
                <w:lang w:eastAsia="fr-CA"/>
              </w:rPr>
              <w:t>Triade :</w:t>
            </w:r>
          </w:p>
          <w:p w:rsidR="00762ECE" w:rsidRPr="00D531E9" w:rsidRDefault="00762ECE" w:rsidP="005D429F">
            <w:pPr>
              <w:pStyle w:val="Sansinterligne"/>
              <w:numPr>
                <w:ilvl w:val="1"/>
                <w:numId w:val="1028"/>
              </w:numPr>
              <w:rPr>
                <w:lang w:eastAsia="fr-CA"/>
              </w:rPr>
            </w:pPr>
            <w:r w:rsidRPr="00D531E9">
              <w:rPr>
                <w:lang w:eastAsia="fr-CA"/>
              </w:rPr>
              <w:t>Otorrhée</w:t>
            </w:r>
          </w:p>
          <w:p w:rsidR="00762ECE" w:rsidRPr="00D531E9" w:rsidRDefault="00762ECE" w:rsidP="005D429F">
            <w:pPr>
              <w:pStyle w:val="Sansinterligne"/>
              <w:numPr>
                <w:ilvl w:val="1"/>
                <w:numId w:val="1028"/>
              </w:numPr>
              <w:rPr>
                <w:lang w:eastAsia="fr-CA"/>
              </w:rPr>
            </w:pPr>
            <w:r w:rsidRPr="00D531E9">
              <w:rPr>
                <w:lang w:eastAsia="fr-CA"/>
              </w:rPr>
              <w:t>Douleur à la palpation mastoïdienne</w:t>
            </w:r>
          </w:p>
          <w:p w:rsidR="00762ECE" w:rsidRPr="00762ECE" w:rsidRDefault="00762ECE" w:rsidP="005D429F">
            <w:pPr>
              <w:pStyle w:val="Sansinterligne"/>
              <w:numPr>
                <w:ilvl w:val="1"/>
                <w:numId w:val="1028"/>
              </w:numPr>
              <w:rPr>
                <w:lang w:eastAsia="fr-CA"/>
              </w:rPr>
            </w:pPr>
            <w:r w:rsidRPr="00D531E9">
              <w:rPr>
                <w:lang w:eastAsia="fr-CA"/>
              </w:rPr>
              <w:t>Œdème rétroauriculaire</w:t>
            </w:r>
          </w:p>
        </w:tc>
      </w:tr>
      <w:bookmarkEnd w:id="105"/>
      <w:tr w:rsidR="00F8607C" w:rsidRPr="00F15482" w:rsidTr="00F41364">
        <w:tc>
          <w:tcPr>
            <w:tcW w:w="2660" w:type="dxa"/>
            <w:shd w:val="clear" w:color="auto" w:fill="C4BC96" w:themeFill="background2" w:themeFillShade="BF"/>
            <w:vAlign w:val="center"/>
          </w:tcPr>
          <w:p w:rsidR="00F8607C" w:rsidRDefault="00F8607C" w:rsidP="007267AB">
            <w:pPr>
              <w:pStyle w:val="Sansinterligne"/>
              <w:jc w:val="center"/>
              <w:rPr>
                <w:lang w:eastAsia="fr-CA"/>
              </w:rPr>
            </w:pPr>
            <w:r w:rsidRPr="00F15482">
              <w:rPr>
                <w:lang w:eastAsia="fr-CA"/>
              </w:rPr>
              <w:t>Traumatisme</w:t>
            </w:r>
          </w:p>
          <w:p w:rsidR="00F8607C" w:rsidRPr="00DB1EFB" w:rsidRDefault="00F8607C" w:rsidP="007267AB">
            <w:pPr>
              <w:pStyle w:val="Sansinterligne"/>
              <w:jc w:val="center"/>
              <w:rPr>
                <w:i/>
                <w:lang w:eastAsia="fr-CA"/>
              </w:rPr>
            </w:pPr>
            <w:r w:rsidRPr="00DB1EFB">
              <w:rPr>
                <w:i/>
                <w:lang w:eastAsia="fr-CA"/>
              </w:rPr>
              <w:t>Barotrauma ou perforation</w:t>
            </w:r>
          </w:p>
        </w:tc>
        <w:tc>
          <w:tcPr>
            <w:tcW w:w="3969" w:type="dxa"/>
            <w:gridSpan w:val="2"/>
            <w:tcBorders>
              <w:right w:val="single" w:sz="4" w:space="0" w:color="FFFFFF" w:themeColor="background1"/>
            </w:tcBorders>
          </w:tcPr>
          <w:p w:rsidR="00F8607C" w:rsidRDefault="00F8607C" w:rsidP="005D429F">
            <w:pPr>
              <w:pStyle w:val="Sansinterligne"/>
              <w:numPr>
                <w:ilvl w:val="0"/>
                <w:numId w:val="1029"/>
              </w:numPr>
              <w:rPr>
                <w:lang w:eastAsia="fr-CA"/>
              </w:rPr>
            </w:pPr>
            <w:r>
              <w:rPr>
                <w:lang w:eastAsia="fr-CA"/>
              </w:rPr>
              <w:t>Survenue à la en avion ou en plongée</w:t>
            </w:r>
          </w:p>
          <w:p w:rsidR="00F8607C" w:rsidRDefault="00F8607C" w:rsidP="005D429F">
            <w:pPr>
              <w:pStyle w:val="Sansinterligne"/>
              <w:numPr>
                <w:ilvl w:val="0"/>
                <w:numId w:val="1029"/>
              </w:numPr>
              <w:rPr>
                <w:lang w:eastAsia="fr-CA"/>
              </w:rPr>
            </w:pPr>
            <w:r>
              <w:rPr>
                <w:lang w:eastAsia="fr-CA"/>
              </w:rPr>
              <w:t xml:space="preserve">Sensation d’oreille pleine </w:t>
            </w:r>
            <w:r>
              <w:rPr>
                <w:rFonts w:ascii="Century Gothic" w:hAnsi="Century Gothic"/>
                <w:lang w:eastAsia="fr-CA"/>
              </w:rPr>
              <w:t>→</w:t>
            </w:r>
            <w:r>
              <w:rPr>
                <w:lang w:eastAsia="fr-CA"/>
              </w:rPr>
              <w:t xml:space="preserve"> douleur</w:t>
            </w:r>
          </w:p>
        </w:tc>
        <w:tc>
          <w:tcPr>
            <w:tcW w:w="4387" w:type="dxa"/>
            <w:tcBorders>
              <w:left w:val="single" w:sz="4" w:space="0" w:color="FFFFFF" w:themeColor="background1"/>
            </w:tcBorders>
          </w:tcPr>
          <w:p w:rsidR="00F8607C" w:rsidRDefault="00F8607C" w:rsidP="005D429F">
            <w:pPr>
              <w:pStyle w:val="Sansinterligne"/>
              <w:numPr>
                <w:ilvl w:val="0"/>
                <w:numId w:val="1029"/>
              </w:numPr>
              <w:rPr>
                <w:lang w:eastAsia="fr-CA"/>
              </w:rPr>
            </w:pPr>
            <w:r>
              <w:rPr>
                <w:lang w:eastAsia="fr-CA"/>
              </w:rPr>
              <w:t>Saignement tympanique</w:t>
            </w:r>
          </w:p>
          <w:p w:rsidR="00F8607C" w:rsidRPr="00F15482" w:rsidRDefault="00F8607C" w:rsidP="005D429F">
            <w:pPr>
              <w:pStyle w:val="Sansinterligne"/>
              <w:numPr>
                <w:ilvl w:val="0"/>
                <w:numId w:val="1029"/>
              </w:numPr>
              <w:rPr>
                <w:lang w:eastAsia="fr-CA"/>
              </w:rPr>
            </w:pPr>
            <w:r>
              <w:rPr>
                <w:lang w:eastAsia="fr-CA"/>
              </w:rPr>
              <w:t>Perte d’audition</w:t>
            </w:r>
          </w:p>
        </w:tc>
      </w:tr>
      <w:tr w:rsidR="00655C98" w:rsidRPr="00F15482" w:rsidTr="00F41364">
        <w:tc>
          <w:tcPr>
            <w:tcW w:w="2660" w:type="dxa"/>
            <w:shd w:val="clear" w:color="auto" w:fill="C4BC96" w:themeFill="background2" w:themeFillShade="BF"/>
            <w:vAlign w:val="center"/>
          </w:tcPr>
          <w:p w:rsidR="00655C98" w:rsidRDefault="00655C98" w:rsidP="007267AB">
            <w:pPr>
              <w:pStyle w:val="Sansinterligne"/>
              <w:jc w:val="center"/>
              <w:rPr>
                <w:lang w:eastAsia="fr-CA"/>
              </w:rPr>
            </w:pPr>
            <w:r>
              <w:rPr>
                <w:lang w:eastAsia="fr-CA"/>
              </w:rPr>
              <w:t>Cholestéatome</w:t>
            </w:r>
          </w:p>
          <w:p w:rsidR="008830EF" w:rsidRPr="008830EF" w:rsidRDefault="008830EF" w:rsidP="007267AB">
            <w:pPr>
              <w:pStyle w:val="Sansinterligne"/>
              <w:jc w:val="center"/>
              <w:rPr>
                <w:i/>
                <w:lang w:eastAsia="fr-CA"/>
              </w:rPr>
            </w:pPr>
            <w:r w:rsidRPr="008830EF">
              <w:rPr>
                <w:i/>
                <w:lang w:eastAsia="fr-CA"/>
              </w:rPr>
              <w:t>Lésion kystique</w:t>
            </w:r>
          </w:p>
        </w:tc>
        <w:tc>
          <w:tcPr>
            <w:tcW w:w="3969" w:type="dxa"/>
            <w:gridSpan w:val="2"/>
            <w:tcBorders>
              <w:right w:val="single" w:sz="4" w:space="0" w:color="FFFFFF" w:themeColor="background1"/>
            </w:tcBorders>
          </w:tcPr>
          <w:p w:rsidR="00655C98" w:rsidRDefault="00655C98" w:rsidP="005D429F">
            <w:pPr>
              <w:pStyle w:val="Sansinterligne"/>
              <w:numPr>
                <w:ilvl w:val="0"/>
                <w:numId w:val="1029"/>
              </w:numPr>
              <w:rPr>
                <w:lang w:eastAsia="fr-CA"/>
              </w:rPr>
            </w:pPr>
            <w:r>
              <w:rPr>
                <w:lang w:eastAsia="fr-CA"/>
              </w:rPr>
              <w:t>ATCD d’OMA/OME et TTT</w:t>
            </w:r>
          </w:p>
          <w:p w:rsidR="00655C98" w:rsidRDefault="00655C98" w:rsidP="005D429F">
            <w:pPr>
              <w:pStyle w:val="Sansinterligne"/>
              <w:numPr>
                <w:ilvl w:val="0"/>
                <w:numId w:val="1029"/>
              </w:numPr>
              <w:rPr>
                <w:lang w:eastAsia="fr-CA"/>
              </w:rPr>
            </w:pPr>
            <w:r>
              <w:rPr>
                <w:lang w:eastAsia="fr-CA"/>
              </w:rPr>
              <w:t>Masse blanchâtre rétro-tympanique</w:t>
            </w:r>
          </w:p>
          <w:p w:rsidR="00655C98" w:rsidRDefault="00655C98" w:rsidP="005D429F">
            <w:pPr>
              <w:pStyle w:val="Sansinterligne"/>
              <w:numPr>
                <w:ilvl w:val="0"/>
                <w:numId w:val="1029"/>
              </w:numPr>
              <w:rPr>
                <w:lang w:eastAsia="fr-CA"/>
              </w:rPr>
            </w:pPr>
            <w:r>
              <w:rPr>
                <w:lang w:eastAsia="fr-CA"/>
              </w:rPr>
              <w:t>Perforation tympanique a/n marges</w:t>
            </w:r>
          </w:p>
          <w:p w:rsidR="00655C98" w:rsidRDefault="00655C98" w:rsidP="005D429F">
            <w:pPr>
              <w:pStyle w:val="Sansinterligne"/>
              <w:numPr>
                <w:ilvl w:val="0"/>
                <w:numId w:val="1029"/>
              </w:numPr>
              <w:rPr>
                <w:lang w:eastAsia="fr-CA"/>
              </w:rPr>
            </w:pPr>
            <w:r w:rsidRPr="00655C98">
              <w:rPr>
                <w:highlight w:val="yellow"/>
                <w:lang w:eastAsia="fr-CA"/>
              </w:rPr>
              <w:t>Perte d’audition progressive</w:t>
            </w:r>
          </w:p>
        </w:tc>
        <w:tc>
          <w:tcPr>
            <w:tcW w:w="4387" w:type="dxa"/>
            <w:tcBorders>
              <w:left w:val="single" w:sz="4" w:space="0" w:color="FFFFFF" w:themeColor="background1"/>
            </w:tcBorders>
          </w:tcPr>
          <w:p w:rsidR="00655C98" w:rsidRDefault="00655C98" w:rsidP="005D429F">
            <w:pPr>
              <w:pStyle w:val="Sansinterligne"/>
              <w:numPr>
                <w:ilvl w:val="0"/>
                <w:numId w:val="1029"/>
              </w:numPr>
              <w:rPr>
                <w:lang w:eastAsia="fr-CA"/>
              </w:rPr>
            </w:pPr>
            <w:r>
              <w:rPr>
                <w:lang w:eastAsia="fr-CA"/>
              </w:rPr>
              <w:t>Sensation d’oreille pleine</w:t>
            </w:r>
          </w:p>
          <w:p w:rsidR="00655C98" w:rsidRDefault="00655C98" w:rsidP="005D429F">
            <w:pPr>
              <w:pStyle w:val="Sansinterligne"/>
              <w:numPr>
                <w:ilvl w:val="0"/>
                <w:numId w:val="1029"/>
              </w:numPr>
              <w:rPr>
                <w:lang w:eastAsia="fr-CA"/>
              </w:rPr>
            </w:pPr>
            <w:r>
              <w:rPr>
                <w:lang w:eastAsia="fr-CA"/>
              </w:rPr>
              <w:t>Fièvre</w:t>
            </w:r>
          </w:p>
          <w:p w:rsidR="00655C98" w:rsidRDefault="00655C98" w:rsidP="005D429F">
            <w:pPr>
              <w:pStyle w:val="Sansinterligne"/>
              <w:numPr>
                <w:ilvl w:val="0"/>
                <w:numId w:val="1029"/>
              </w:numPr>
              <w:rPr>
                <w:lang w:eastAsia="fr-CA"/>
              </w:rPr>
            </w:pPr>
            <w:r>
              <w:rPr>
                <w:lang w:eastAsia="fr-CA"/>
              </w:rPr>
              <w:t>Polype visible</w:t>
            </w:r>
          </w:p>
          <w:p w:rsidR="00655C98" w:rsidRPr="00F15482" w:rsidRDefault="00655C98" w:rsidP="005D429F">
            <w:pPr>
              <w:pStyle w:val="Sansinterligne"/>
              <w:numPr>
                <w:ilvl w:val="0"/>
                <w:numId w:val="1029"/>
              </w:numPr>
              <w:rPr>
                <w:lang w:eastAsia="fr-CA"/>
              </w:rPr>
            </w:pPr>
            <w:r>
              <w:rPr>
                <w:lang w:eastAsia="fr-CA"/>
              </w:rPr>
              <w:t>Otorrhée malodorante unilatérale</w:t>
            </w:r>
          </w:p>
        </w:tc>
      </w:tr>
    </w:tbl>
    <w:p w:rsidR="00F15482" w:rsidRDefault="00F15482" w:rsidP="001F3BC6">
      <w:pPr>
        <w:pStyle w:val="Sansinterligne"/>
        <w:rPr>
          <w:lang w:eastAsia="fr-CA"/>
        </w:rPr>
      </w:pPr>
    </w:p>
    <w:tbl>
      <w:tblPr>
        <w:tblStyle w:val="Grilledutableau"/>
        <w:tblW w:w="0" w:type="auto"/>
        <w:tblLook w:val="04A0" w:firstRow="1" w:lastRow="0" w:firstColumn="1" w:lastColumn="0" w:noHBand="0" w:noVBand="1"/>
      </w:tblPr>
      <w:tblGrid>
        <w:gridCol w:w="2660"/>
        <w:gridCol w:w="4178"/>
        <w:gridCol w:w="216"/>
        <w:gridCol w:w="3962"/>
      </w:tblGrid>
      <w:tr w:rsidR="004E25D5" w:rsidRPr="00F15482" w:rsidTr="007267AB">
        <w:tc>
          <w:tcPr>
            <w:tcW w:w="11016" w:type="dxa"/>
            <w:gridSpan w:val="4"/>
            <w:shd w:val="clear" w:color="auto" w:fill="FFC000"/>
          </w:tcPr>
          <w:p w:rsidR="004E25D5" w:rsidRPr="00F15482" w:rsidRDefault="004E25D5" w:rsidP="004E25D5">
            <w:pPr>
              <w:pStyle w:val="Sansinterligne"/>
              <w:jc w:val="center"/>
              <w:rPr>
                <w:lang w:eastAsia="fr-CA"/>
              </w:rPr>
            </w:pPr>
            <w:r w:rsidRPr="00F15482">
              <w:rPr>
                <w:lang w:eastAsia="fr-CA"/>
              </w:rPr>
              <w:t>Douleur irradiée</w:t>
            </w:r>
          </w:p>
        </w:tc>
      </w:tr>
      <w:tr w:rsidR="004E25D5" w:rsidRPr="00F15482" w:rsidTr="007267AB">
        <w:tc>
          <w:tcPr>
            <w:tcW w:w="2660" w:type="dxa"/>
            <w:shd w:val="clear" w:color="auto" w:fill="C4BC96" w:themeFill="background2" w:themeFillShade="BF"/>
          </w:tcPr>
          <w:p w:rsidR="004E25D5" w:rsidRPr="00B576F7" w:rsidRDefault="004E25D5" w:rsidP="007267AB">
            <w:pPr>
              <w:pStyle w:val="Sansinterligne"/>
              <w:jc w:val="center"/>
              <w:rPr>
                <w:i/>
                <w:lang w:eastAsia="fr-CA"/>
              </w:rPr>
            </w:pPr>
            <w:r w:rsidRPr="00B576F7">
              <w:rPr>
                <w:i/>
                <w:lang w:eastAsia="fr-CA"/>
              </w:rPr>
              <w:t>Diagnostic</w:t>
            </w:r>
          </w:p>
        </w:tc>
        <w:tc>
          <w:tcPr>
            <w:tcW w:w="8356" w:type="dxa"/>
            <w:gridSpan w:val="3"/>
            <w:shd w:val="clear" w:color="auto" w:fill="C4BC96" w:themeFill="background2" w:themeFillShade="BF"/>
          </w:tcPr>
          <w:p w:rsidR="004E25D5" w:rsidRPr="00B576F7" w:rsidRDefault="004E25D5" w:rsidP="007267AB">
            <w:pPr>
              <w:pStyle w:val="Sansinterligne"/>
              <w:jc w:val="center"/>
              <w:rPr>
                <w:i/>
                <w:lang w:eastAsia="fr-CA"/>
              </w:rPr>
            </w:pPr>
            <w:r w:rsidRPr="00B576F7">
              <w:rPr>
                <w:i/>
                <w:lang w:eastAsia="fr-CA"/>
              </w:rPr>
              <w:t>Manifestations cliniques</w:t>
            </w:r>
          </w:p>
        </w:tc>
      </w:tr>
      <w:tr w:rsidR="004E25D5" w:rsidRPr="00F15482" w:rsidTr="007267AB">
        <w:tc>
          <w:tcPr>
            <w:tcW w:w="2660" w:type="dxa"/>
            <w:shd w:val="clear" w:color="auto" w:fill="C4BC96" w:themeFill="background2" w:themeFillShade="BF"/>
            <w:vAlign w:val="center"/>
          </w:tcPr>
          <w:p w:rsidR="004E25D5" w:rsidRPr="00F15482" w:rsidRDefault="004E25D5" w:rsidP="007267AB">
            <w:pPr>
              <w:pStyle w:val="Sansinterligne"/>
              <w:jc w:val="center"/>
              <w:rPr>
                <w:lang w:eastAsia="fr-CA"/>
              </w:rPr>
            </w:pPr>
            <w:r>
              <w:rPr>
                <w:lang w:eastAsia="fr-CA"/>
              </w:rPr>
              <w:t>Sinusite</w:t>
            </w:r>
          </w:p>
        </w:tc>
        <w:tc>
          <w:tcPr>
            <w:tcW w:w="8356" w:type="dxa"/>
            <w:gridSpan w:val="3"/>
          </w:tcPr>
          <w:p w:rsidR="004E25D5" w:rsidRPr="00F15482" w:rsidRDefault="00AF0C78" w:rsidP="001A29AA">
            <w:pPr>
              <w:pStyle w:val="Sansinterligne"/>
              <w:rPr>
                <w:lang w:eastAsia="fr-CA"/>
              </w:rPr>
            </w:pPr>
            <w:r>
              <w:rPr>
                <w:lang w:eastAsia="fr-CA"/>
              </w:rPr>
              <w:t xml:space="preserve">Voir </w:t>
            </w:r>
            <w:r w:rsidRPr="00AF0C78">
              <w:rPr>
                <w:i/>
                <w:lang w:eastAsia="fr-CA"/>
              </w:rPr>
              <w:t>Dysfonction olfactive/gustative CMC 100-1</w:t>
            </w:r>
          </w:p>
        </w:tc>
      </w:tr>
      <w:tr w:rsidR="004E25D5" w:rsidRPr="00F15482" w:rsidTr="007267AB">
        <w:tc>
          <w:tcPr>
            <w:tcW w:w="2660" w:type="dxa"/>
            <w:shd w:val="clear" w:color="auto" w:fill="C4BC96" w:themeFill="background2" w:themeFillShade="BF"/>
            <w:vAlign w:val="center"/>
          </w:tcPr>
          <w:p w:rsidR="004E25D5" w:rsidRPr="00F15482" w:rsidRDefault="004E25D5" w:rsidP="007267AB">
            <w:pPr>
              <w:pStyle w:val="Sansinterligne"/>
              <w:jc w:val="center"/>
              <w:rPr>
                <w:lang w:eastAsia="fr-CA"/>
              </w:rPr>
            </w:pPr>
            <w:bookmarkStart w:id="106" w:name="%C3%89tiologie3.1"/>
            <w:r>
              <w:rPr>
                <w:lang w:eastAsia="fr-CA"/>
              </w:rPr>
              <w:t>Douleur dentaire</w:t>
            </w:r>
          </w:p>
        </w:tc>
        <w:tc>
          <w:tcPr>
            <w:tcW w:w="8356" w:type="dxa"/>
            <w:gridSpan w:val="3"/>
          </w:tcPr>
          <w:p w:rsidR="004E25D5" w:rsidRPr="00F15482" w:rsidRDefault="00E71F2A" w:rsidP="005D429F">
            <w:pPr>
              <w:pStyle w:val="Sansinterligne"/>
              <w:numPr>
                <w:ilvl w:val="0"/>
                <w:numId w:val="1034"/>
              </w:numPr>
              <w:rPr>
                <w:lang w:eastAsia="fr-CA"/>
              </w:rPr>
            </w:pPr>
            <w:r>
              <w:rPr>
                <w:lang w:eastAsia="fr-CA"/>
              </w:rPr>
              <w:t>Examen de l’oreille normale, et trouvailles à l’examen bucco-pharyngé</w:t>
            </w:r>
          </w:p>
        </w:tc>
      </w:tr>
      <w:tr w:rsidR="000A5B4F" w:rsidRPr="00F15482" w:rsidTr="000A5B4F">
        <w:tc>
          <w:tcPr>
            <w:tcW w:w="2660" w:type="dxa"/>
            <w:shd w:val="clear" w:color="auto" w:fill="C4BC96" w:themeFill="background2" w:themeFillShade="BF"/>
            <w:vAlign w:val="center"/>
          </w:tcPr>
          <w:p w:rsidR="000A5B4F" w:rsidRPr="00F15482" w:rsidRDefault="000A5B4F" w:rsidP="000A5B4F">
            <w:pPr>
              <w:pStyle w:val="Sansinterligne"/>
              <w:jc w:val="center"/>
              <w:rPr>
                <w:lang w:eastAsia="fr-CA"/>
              </w:rPr>
            </w:pPr>
            <w:bookmarkStart w:id="107" w:name="%C3%89tiologie3.2"/>
            <w:bookmarkEnd w:id="106"/>
            <w:r w:rsidRPr="00F15482">
              <w:rPr>
                <w:lang w:eastAsia="fr-CA"/>
              </w:rPr>
              <w:t>Névralgie du trijumeau</w:t>
            </w:r>
          </w:p>
        </w:tc>
        <w:tc>
          <w:tcPr>
            <w:tcW w:w="4394" w:type="dxa"/>
            <w:gridSpan w:val="2"/>
            <w:tcBorders>
              <w:right w:val="single" w:sz="4" w:space="0" w:color="FFFFFF" w:themeColor="background1"/>
            </w:tcBorders>
          </w:tcPr>
          <w:p w:rsidR="000A5B4F" w:rsidRPr="000A5B4F" w:rsidRDefault="000A5B4F" w:rsidP="005D429F">
            <w:pPr>
              <w:pStyle w:val="Sansinterligne"/>
              <w:numPr>
                <w:ilvl w:val="0"/>
                <w:numId w:val="1031"/>
              </w:numPr>
              <w:rPr>
                <w:highlight w:val="yellow"/>
                <w:lang w:eastAsia="fr-CA"/>
              </w:rPr>
            </w:pPr>
            <w:r w:rsidRPr="000A5B4F">
              <w:rPr>
                <w:highlight w:val="yellow"/>
                <w:lang w:eastAsia="fr-CA"/>
              </w:rPr>
              <w:t>Douleur aigue a/n branche(s) du trijumeau</w:t>
            </w:r>
          </w:p>
          <w:p w:rsidR="000A5B4F" w:rsidRPr="000A5B4F" w:rsidRDefault="000A5B4F" w:rsidP="005D429F">
            <w:pPr>
              <w:pStyle w:val="Sansinterligne"/>
              <w:numPr>
                <w:ilvl w:val="0"/>
                <w:numId w:val="1031"/>
              </w:numPr>
              <w:rPr>
                <w:highlight w:val="yellow"/>
                <w:lang w:eastAsia="fr-CA"/>
              </w:rPr>
            </w:pPr>
            <w:r w:rsidRPr="000A5B4F">
              <w:rPr>
                <w:highlight w:val="yellow"/>
                <w:lang w:eastAsia="fr-CA"/>
              </w:rPr>
              <w:t>Paroxystique, douleur maximale d’emblée</w:t>
            </w:r>
          </w:p>
          <w:p w:rsidR="000A5B4F" w:rsidRDefault="000A5B4F" w:rsidP="005D429F">
            <w:pPr>
              <w:pStyle w:val="Sansinterligne"/>
              <w:numPr>
                <w:ilvl w:val="0"/>
                <w:numId w:val="1031"/>
              </w:numPr>
              <w:rPr>
                <w:lang w:eastAsia="fr-CA"/>
              </w:rPr>
            </w:pPr>
            <w:r>
              <w:rPr>
                <w:highlight w:val="yellow"/>
                <w:lang w:eastAsia="fr-CA"/>
              </w:rPr>
              <w:t>D</w:t>
            </w:r>
            <w:r w:rsidRPr="000A5B4F">
              <w:rPr>
                <w:highlight w:val="yellow"/>
                <w:lang w:eastAsia="fr-CA"/>
              </w:rPr>
              <w:t>ouleur lancinante</w:t>
            </w:r>
            <w:r>
              <w:rPr>
                <w:lang w:eastAsia="fr-CA"/>
              </w:rPr>
              <w:t xml:space="preserve"> </w:t>
            </w:r>
            <w:r w:rsidRPr="000A5B4F">
              <w:rPr>
                <w:highlight w:val="yellow"/>
                <w:lang w:eastAsia="fr-CA"/>
              </w:rPr>
              <w:t>/ électrique unilatérale</w:t>
            </w:r>
          </w:p>
        </w:tc>
        <w:tc>
          <w:tcPr>
            <w:tcW w:w="3962" w:type="dxa"/>
            <w:tcBorders>
              <w:left w:val="single" w:sz="4" w:space="0" w:color="FFFFFF" w:themeColor="background1"/>
            </w:tcBorders>
          </w:tcPr>
          <w:p w:rsidR="000A5B4F" w:rsidRDefault="000A5B4F" w:rsidP="005D429F">
            <w:pPr>
              <w:pStyle w:val="Sansinterligne"/>
              <w:numPr>
                <w:ilvl w:val="0"/>
                <w:numId w:val="1031"/>
              </w:numPr>
              <w:rPr>
                <w:lang w:eastAsia="fr-CA"/>
              </w:rPr>
            </w:pPr>
            <w:r>
              <w:rPr>
                <w:lang w:eastAsia="fr-CA"/>
              </w:rPr>
              <w:t>Sx autonomiques : rhinorrhée, larmoiement, injection conjonctivale</w:t>
            </w:r>
          </w:p>
          <w:p w:rsidR="000A5B4F" w:rsidRPr="00F15482" w:rsidRDefault="000A5B4F" w:rsidP="005D429F">
            <w:pPr>
              <w:pStyle w:val="Sansinterligne"/>
              <w:numPr>
                <w:ilvl w:val="0"/>
                <w:numId w:val="1031"/>
              </w:numPr>
              <w:rPr>
                <w:lang w:eastAsia="fr-CA"/>
              </w:rPr>
            </w:pPr>
            <w:r>
              <w:rPr>
                <w:lang w:eastAsia="fr-CA"/>
              </w:rPr>
              <w:t>Présence d’une trigger zone à l’E/P</w:t>
            </w:r>
          </w:p>
        </w:tc>
      </w:tr>
      <w:tr w:rsidR="00C45C60" w:rsidRPr="00F15482" w:rsidTr="00E30A75">
        <w:tc>
          <w:tcPr>
            <w:tcW w:w="2660" w:type="dxa"/>
            <w:shd w:val="clear" w:color="auto" w:fill="C4BC96" w:themeFill="background2" w:themeFillShade="BF"/>
            <w:vAlign w:val="center"/>
          </w:tcPr>
          <w:p w:rsidR="00C45C60" w:rsidRPr="00F15482" w:rsidRDefault="00C45C60" w:rsidP="007267AB">
            <w:pPr>
              <w:pStyle w:val="Sansinterligne"/>
              <w:jc w:val="center"/>
              <w:rPr>
                <w:lang w:eastAsia="fr-CA"/>
              </w:rPr>
            </w:pPr>
            <w:bookmarkStart w:id="108" w:name="%C3%89tiologie3.3"/>
            <w:bookmarkEnd w:id="107"/>
            <w:r>
              <w:rPr>
                <w:lang w:eastAsia="fr-CA"/>
              </w:rPr>
              <w:t>Dysfonction de l’articulation temporo-mandibulaire</w:t>
            </w:r>
          </w:p>
        </w:tc>
        <w:tc>
          <w:tcPr>
            <w:tcW w:w="4178" w:type="dxa"/>
          </w:tcPr>
          <w:p w:rsidR="00C45C60" w:rsidRDefault="00C45C60" w:rsidP="005D429F">
            <w:pPr>
              <w:pStyle w:val="Sansinterligne"/>
              <w:numPr>
                <w:ilvl w:val="0"/>
                <w:numId w:val="1033"/>
              </w:numPr>
              <w:rPr>
                <w:lang w:eastAsia="fr-CA"/>
              </w:rPr>
            </w:pPr>
            <w:r>
              <w:rPr>
                <w:rFonts w:ascii="Century Gothic" w:hAnsi="Century Gothic"/>
                <w:lang w:eastAsia="fr-CA"/>
              </w:rPr>
              <w:t>&gt;</w:t>
            </w:r>
            <w:r>
              <w:rPr>
                <w:lang w:eastAsia="fr-CA"/>
              </w:rPr>
              <w:t xml:space="preserve"> 10 ans</w:t>
            </w:r>
          </w:p>
          <w:p w:rsidR="00C45C60" w:rsidRDefault="00C45C60" w:rsidP="005D429F">
            <w:pPr>
              <w:pStyle w:val="Sansinterligne"/>
              <w:numPr>
                <w:ilvl w:val="0"/>
                <w:numId w:val="1033"/>
              </w:numPr>
              <w:rPr>
                <w:lang w:eastAsia="fr-CA"/>
              </w:rPr>
            </w:pPr>
            <w:r>
              <w:rPr>
                <w:lang w:eastAsia="fr-CA"/>
              </w:rPr>
              <w:t>Douleur reproduite à l’ouverture maximale de la bouche / serrer les dents</w:t>
            </w:r>
          </w:p>
        </w:tc>
        <w:tc>
          <w:tcPr>
            <w:tcW w:w="4178" w:type="dxa"/>
            <w:gridSpan w:val="2"/>
          </w:tcPr>
          <w:p w:rsidR="00C45C60" w:rsidRPr="00E71F2A" w:rsidRDefault="00C45C60" w:rsidP="005D429F">
            <w:pPr>
              <w:pStyle w:val="Sansinterligne"/>
              <w:numPr>
                <w:ilvl w:val="0"/>
                <w:numId w:val="1032"/>
              </w:numPr>
              <w:rPr>
                <w:highlight w:val="yellow"/>
                <w:lang w:eastAsia="fr-CA"/>
              </w:rPr>
            </w:pPr>
            <w:r w:rsidRPr="00E71F2A">
              <w:rPr>
                <w:highlight w:val="yellow"/>
                <w:lang w:eastAsia="fr-CA"/>
              </w:rPr>
              <w:t>Sensibilité temporo-mandibulaire</w:t>
            </w:r>
          </w:p>
          <w:p w:rsidR="00C45C60" w:rsidRPr="00F15482" w:rsidRDefault="00C45C60" w:rsidP="005D429F">
            <w:pPr>
              <w:pStyle w:val="Sansinterligne"/>
              <w:numPr>
                <w:ilvl w:val="0"/>
                <w:numId w:val="1032"/>
              </w:numPr>
              <w:rPr>
                <w:lang w:eastAsia="fr-CA"/>
              </w:rPr>
            </w:pPr>
            <w:r w:rsidRPr="00E71F2A">
              <w:rPr>
                <w:rFonts w:ascii="Century Gothic" w:hAnsi="Century Gothic"/>
                <w:highlight w:val="yellow"/>
                <w:lang w:eastAsia="fr-CA"/>
              </w:rPr>
              <w:t>«</w:t>
            </w:r>
            <w:r w:rsidRPr="00E71F2A">
              <w:rPr>
                <w:highlight w:val="yellow"/>
                <w:lang w:eastAsia="fr-CA"/>
              </w:rPr>
              <w:t>Clic</w:t>
            </w:r>
            <w:r w:rsidRPr="00E71F2A">
              <w:rPr>
                <w:rFonts w:cs="Times New Roman"/>
                <w:highlight w:val="yellow"/>
                <w:lang w:eastAsia="fr-CA"/>
              </w:rPr>
              <w:t>»</w:t>
            </w:r>
            <w:r w:rsidRPr="00E71F2A">
              <w:rPr>
                <w:highlight w:val="yellow"/>
                <w:lang w:eastAsia="fr-CA"/>
              </w:rPr>
              <w:t xml:space="preserve"> perçu à la mobilisation de l’articulation</w:t>
            </w:r>
          </w:p>
        </w:tc>
      </w:tr>
    </w:tbl>
    <w:bookmarkEnd w:id="108"/>
    <w:p w:rsidR="00843898" w:rsidRPr="007E3316" w:rsidRDefault="0042343A" w:rsidP="007E3316">
      <w:pPr>
        <w:pStyle w:val="Sansinterligne"/>
        <w:rPr>
          <w:b/>
          <w:sz w:val="28"/>
          <w:szCs w:val="28"/>
        </w:rPr>
      </w:pPr>
      <w:r>
        <w:rPr>
          <w:noProof/>
          <w:lang w:eastAsia="fr-CA"/>
        </w:rPr>
        <w:lastRenderedPageBreak/>
        <w:drawing>
          <wp:anchor distT="0" distB="0" distL="114300" distR="114300" simplePos="0" relativeHeight="251980800" behindDoc="0" locked="0" layoutInCell="1" allowOverlap="1" wp14:anchorId="4D71A759" wp14:editId="1C2DE98F">
            <wp:simplePos x="0" y="0"/>
            <wp:positionH relativeFrom="column">
              <wp:posOffset>3943985</wp:posOffset>
            </wp:positionH>
            <wp:positionV relativeFrom="paragraph">
              <wp:posOffset>-157723</wp:posOffset>
            </wp:positionV>
            <wp:extent cx="2688590" cy="2207895"/>
            <wp:effectExtent l="0" t="0" r="0" b="1905"/>
            <wp:wrapNone/>
            <wp:docPr id="497" name="Image 497" descr="Résultats de recherche d'images pour « cholesteatom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Résultats de recherche d'images pour « cholesteatoma »"/>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688590" cy="2207895"/>
                    </a:xfrm>
                    <a:prstGeom prst="rect">
                      <a:avLst/>
                    </a:prstGeom>
                    <a:noFill/>
                    <a:ln>
                      <a:noFill/>
                    </a:ln>
                  </pic:spPr>
                </pic:pic>
              </a:graphicData>
            </a:graphic>
            <wp14:sizeRelH relativeFrom="page">
              <wp14:pctWidth>0</wp14:pctWidth>
            </wp14:sizeRelH>
            <wp14:sizeRelV relativeFrom="page">
              <wp14:pctHeight>0</wp14:pctHeight>
            </wp14:sizeRelV>
          </wp:anchor>
        </w:drawing>
      </w:r>
      <w:r w:rsidR="006D4FC5" w:rsidRPr="007E3316">
        <w:rPr>
          <w:b/>
          <w:sz w:val="28"/>
          <w:szCs w:val="28"/>
        </w:rPr>
        <w:t>Investigations</w:t>
      </w:r>
    </w:p>
    <w:p w:rsidR="006D4FC5" w:rsidRDefault="006D4FC5" w:rsidP="008D2919">
      <w:pPr>
        <w:spacing w:after="0"/>
        <w:rPr>
          <w:rFonts w:cs="Times New Roman"/>
          <w:b/>
          <w:color w:val="548DD4" w:themeColor="text2" w:themeTint="99"/>
        </w:rPr>
      </w:pPr>
    </w:p>
    <w:p w:rsidR="006D4FC5" w:rsidRDefault="006D4FC5" w:rsidP="005D429F">
      <w:pPr>
        <w:pStyle w:val="Sansinterligne"/>
        <w:numPr>
          <w:ilvl w:val="0"/>
          <w:numId w:val="1030"/>
        </w:numPr>
        <w:ind w:right="4563"/>
      </w:pPr>
      <w:r>
        <w:t>Culture et antibiogramme</w:t>
      </w:r>
      <w:r w:rsidR="007B6B69">
        <w:t xml:space="preserve"> si otorrhée ou si otite persistante malgré ATB</w:t>
      </w:r>
      <w:r w:rsidR="0042343A" w:rsidRPr="0042343A">
        <w:t xml:space="preserve"> </w:t>
      </w:r>
    </w:p>
    <w:p w:rsidR="006D4FC5" w:rsidRDefault="006D4FC5" w:rsidP="005D429F">
      <w:pPr>
        <w:pStyle w:val="Sansinterligne"/>
        <w:numPr>
          <w:ilvl w:val="0"/>
          <w:numId w:val="1030"/>
        </w:numPr>
        <w:ind w:right="4563"/>
      </w:pPr>
      <w:r>
        <w:t>FSC</w:t>
      </w:r>
    </w:p>
    <w:p w:rsidR="006D4FC5" w:rsidRDefault="006D4FC5" w:rsidP="005D429F">
      <w:pPr>
        <w:pStyle w:val="Sansinterligne"/>
        <w:numPr>
          <w:ilvl w:val="0"/>
          <w:numId w:val="1030"/>
        </w:numPr>
        <w:ind w:right="4563"/>
      </w:pPr>
      <w:r>
        <w:t>Radiographie (sinusite)</w:t>
      </w:r>
    </w:p>
    <w:p w:rsidR="00843898" w:rsidRDefault="006D4FC5" w:rsidP="005D429F">
      <w:pPr>
        <w:pStyle w:val="Sansinterligne"/>
        <w:numPr>
          <w:ilvl w:val="0"/>
          <w:numId w:val="1030"/>
        </w:numPr>
        <w:ind w:right="4563"/>
      </w:pPr>
      <w:r>
        <w:t>Consultation en</w:t>
      </w:r>
      <w:r w:rsidR="007B6B69">
        <w:t xml:space="preserve"> médecine dentaire si clinique laisse suspecter atteinte buccale</w:t>
      </w:r>
    </w:p>
    <w:p w:rsidR="00843898" w:rsidRDefault="00843898" w:rsidP="008D2919">
      <w:pPr>
        <w:spacing w:after="0"/>
        <w:rPr>
          <w:rFonts w:cs="Times New Roman"/>
          <w:b/>
          <w:color w:val="548DD4" w:themeColor="text2" w:themeTint="99"/>
        </w:rPr>
      </w:pPr>
    </w:p>
    <w:p w:rsidR="007E3316" w:rsidRPr="007E3316" w:rsidRDefault="007E3316" w:rsidP="007E3316">
      <w:pPr>
        <w:pStyle w:val="Sansinterligne"/>
        <w:rPr>
          <w:b/>
          <w:sz w:val="28"/>
          <w:szCs w:val="28"/>
        </w:rPr>
      </w:pPr>
      <w:r w:rsidRPr="007E3316">
        <w:rPr>
          <w:b/>
          <w:sz w:val="28"/>
          <w:szCs w:val="28"/>
        </w:rPr>
        <w:t>Prise en charge</w:t>
      </w:r>
    </w:p>
    <w:p w:rsidR="007E3316" w:rsidRPr="007E3316" w:rsidRDefault="007E3316" w:rsidP="007E3316">
      <w:pPr>
        <w:pStyle w:val="Sansinterligne"/>
      </w:pPr>
    </w:p>
    <w:p w:rsidR="00627641" w:rsidRDefault="00627641" w:rsidP="005D429F">
      <w:pPr>
        <w:pStyle w:val="Sansinterligne"/>
        <w:numPr>
          <w:ilvl w:val="0"/>
          <w:numId w:val="1035"/>
        </w:numPr>
        <w:sectPr w:rsidR="00627641" w:rsidSect="00540770">
          <w:type w:val="continuous"/>
          <w:pgSz w:w="12240" w:h="15840"/>
          <w:pgMar w:top="720" w:right="720" w:bottom="720" w:left="720" w:header="708" w:footer="708" w:gutter="0"/>
          <w:cols w:space="708"/>
          <w:docGrid w:linePitch="360"/>
        </w:sectPr>
      </w:pPr>
    </w:p>
    <w:p w:rsidR="001A29AA" w:rsidRPr="00FE38BA" w:rsidRDefault="001A29AA" w:rsidP="00627641">
      <w:pPr>
        <w:pStyle w:val="Sansinterligne"/>
        <w:rPr>
          <w:b/>
          <w:highlight w:val="yellow"/>
        </w:rPr>
      </w:pPr>
      <w:r w:rsidRPr="00FE38BA">
        <w:rPr>
          <w:b/>
          <w:highlight w:val="yellow"/>
        </w:rPr>
        <w:lastRenderedPageBreak/>
        <w:t>Otite externe</w:t>
      </w:r>
    </w:p>
    <w:p w:rsidR="000E7519" w:rsidRPr="00FE38BA" w:rsidRDefault="000E7519" w:rsidP="005D429F">
      <w:pPr>
        <w:pStyle w:val="Sansinterligne"/>
        <w:numPr>
          <w:ilvl w:val="0"/>
          <w:numId w:val="1035"/>
        </w:numPr>
        <w:rPr>
          <w:highlight w:val="yellow"/>
        </w:rPr>
      </w:pPr>
      <w:r w:rsidRPr="00FE38BA">
        <w:rPr>
          <w:highlight w:val="yellow"/>
        </w:rPr>
        <w:t>Acétaminophène / AINS pour douleur et fièvre</w:t>
      </w:r>
    </w:p>
    <w:p w:rsidR="001A29AA" w:rsidRPr="00FE38BA" w:rsidRDefault="00627641" w:rsidP="005D429F">
      <w:pPr>
        <w:pStyle w:val="Sansinterligne"/>
        <w:numPr>
          <w:ilvl w:val="0"/>
          <w:numId w:val="1035"/>
        </w:numPr>
        <w:rPr>
          <w:highlight w:val="yellow"/>
        </w:rPr>
      </w:pPr>
      <w:r w:rsidRPr="00FE38BA">
        <w:rPr>
          <w:highlight w:val="yellow"/>
        </w:rPr>
        <w:t>Ciprofloxacine</w:t>
      </w:r>
      <w:r w:rsidR="008136D3" w:rsidRPr="00FE38BA">
        <w:rPr>
          <w:highlight w:val="yellow"/>
        </w:rPr>
        <w:t xml:space="preserve"> en gouttes</w:t>
      </w:r>
    </w:p>
    <w:p w:rsidR="008136D3" w:rsidRPr="00FE38BA" w:rsidRDefault="008136D3" w:rsidP="005D429F">
      <w:pPr>
        <w:pStyle w:val="Sansinterligne"/>
        <w:numPr>
          <w:ilvl w:val="0"/>
          <w:numId w:val="1035"/>
        </w:numPr>
        <w:rPr>
          <w:highlight w:val="yellow"/>
        </w:rPr>
      </w:pPr>
      <w:r w:rsidRPr="00FE38BA">
        <w:rPr>
          <w:highlight w:val="yellow"/>
        </w:rPr>
        <w:t>Gouttes</w:t>
      </w:r>
      <w:r w:rsidR="000E7519" w:rsidRPr="00FE38BA">
        <w:rPr>
          <w:highlight w:val="yellow"/>
        </w:rPr>
        <w:t xml:space="preserve"> de vinaig</w:t>
      </w:r>
      <w:r w:rsidRPr="00FE38BA">
        <w:rPr>
          <w:highlight w:val="yellow"/>
        </w:rPr>
        <w:t>re (effet bactériostatique)</w:t>
      </w:r>
    </w:p>
    <w:p w:rsidR="00627641" w:rsidRDefault="00627641" w:rsidP="00627641">
      <w:pPr>
        <w:pStyle w:val="Sansinterligne"/>
        <w:ind w:left="360"/>
      </w:pPr>
    </w:p>
    <w:p w:rsidR="00503DFD" w:rsidRPr="00627641" w:rsidRDefault="00503DFD" w:rsidP="00627641">
      <w:pPr>
        <w:pStyle w:val="Sansinterligne"/>
        <w:rPr>
          <w:b/>
        </w:rPr>
      </w:pPr>
      <w:r w:rsidRPr="00627641">
        <w:rPr>
          <w:b/>
        </w:rPr>
        <w:t>Cellulite</w:t>
      </w:r>
      <w:r w:rsidR="00627641" w:rsidRPr="00627641">
        <w:rPr>
          <w:b/>
        </w:rPr>
        <w:t xml:space="preserve"> et périchondrite</w:t>
      </w:r>
    </w:p>
    <w:p w:rsidR="000E7519" w:rsidRDefault="000E7519" w:rsidP="005D429F">
      <w:pPr>
        <w:pStyle w:val="Sansinterligne"/>
        <w:numPr>
          <w:ilvl w:val="0"/>
          <w:numId w:val="1035"/>
        </w:numPr>
      </w:pPr>
      <w:r>
        <w:t>Analgésie</w:t>
      </w:r>
    </w:p>
    <w:p w:rsidR="008136D3" w:rsidRPr="00627641" w:rsidRDefault="000E7519" w:rsidP="005D429F">
      <w:pPr>
        <w:pStyle w:val="Sansinterligne"/>
        <w:numPr>
          <w:ilvl w:val="0"/>
          <w:numId w:val="1035"/>
        </w:numPr>
        <w:rPr>
          <w:i/>
        </w:rPr>
      </w:pPr>
      <w:r>
        <w:t xml:space="preserve">Antibiothérapie IV contre </w:t>
      </w:r>
      <w:r w:rsidRPr="00627641">
        <w:rPr>
          <w:i/>
        </w:rPr>
        <w:t>Pseudomonas Aeruginosa</w:t>
      </w:r>
    </w:p>
    <w:p w:rsidR="000E7519" w:rsidRDefault="000E7519" w:rsidP="007E3316">
      <w:pPr>
        <w:pStyle w:val="Sansinterligne"/>
      </w:pPr>
    </w:p>
    <w:p w:rsidR="008136D3" w:rsidRPr="00627641" w:rsidRDefault="008136D3" w:rsidP="00627641">
      <w:pPr>
        <w:pStyle w:val="Sansinterligne"/>
        <w:rPr>
          <w:b/>
        </w:rPr>
      </w:pPr>
      <w:r w:rsidRPr="00627641">
        <w:rPr>
          <w:b/>
        </w:rPr>
        <w:t>Otomycose</w:t>
      </w:r>
    </w:p>
    <w:p w:rsidR="008136D3" w:rsidRDefault="008136D3" w:rsidP="005D429F">
      <w:pPr>
        <w:pStyle w:val="Sansinterligne"/>
        <w:numPr>
          <w:ilvl w:val="0"/>
          <w:numId w:val="1035"/>
        </w:numPr>
      </w:pPr>
      <w:r>
        <w:t>Poudre de Mycostatin</w:t>
      </w:r>
      <w:r w:rsidR="00FE38BA">
        <w:t xml:space="preserve"> localement</w:t>
      </w:r>
    </w:p>
    <w:p w:rsidR="008136D3" w:rsidRDefault="008136D3" w:rsidP="005D429F">
      <w:pPr>
        <w:pStyle w:val="Sansinterligne"/>
        <w:numPr>
          <w:ilvl w:val="0"/>
          <w:numId w:val="1035"/>
        </w:numPr>
      </w:pPr>
      <w:r>
        <w:t>Autres antifongiques</w:t>
      </w:r>
    </w:p>
    <w:p w:rsidR="008136D3" w:rsidRDefault="008136D3" w:rsidP="007E3316">
      <w:pPr>
        <w:pStyle w:val="Sansinterligne"/>
      </w:pPr>
    </w:p>
    <w:p w:rsidR="00503DFD" w:rsidRPr="00627641" w:rsidRDefault="008136D3" w:rsidP="00627641">
      <w:pPr>
        <w:pStyle w:val="Sansinterligne"/>
        <w:rPr>
          <w:b/>
        </w:rPr>
      </w:pPr>
      <w:r w:rsidRPr="00627641">
        <w:rPr>
          <w:b/>
        </w:rPr>
        <w:t xml:space="preserve">Corps étranger /cérumen </w:t>
      </w:r>
    </w:p>
    <w:p w:rsidR="008136D3" w:rsidRDefault="008136D3" w:rsidP="005D429F">
      <w:pPr>
        <w:pStyle w:val="Sansinterligne"/>
        <w:numPr>
          <w:ilvl w:val="0"/>
          <w:numId w:val="1035"/>
        </w:numPr>
      </w:pPr>
      <w:r>
        <w:t>Gouttes d’huiles pour éliminer le bouchon (huile d’olive, bicarbonate, etc.)</w:t>
      </w:r>
    </w:p>
    <w:p w:rsidR="008136D3" w:rsidRPr="007E3316" w:rsidRDefault="008136D3" w:rsidP="005D429F">
      <w:pPr>
        <w:pStyle w:val="Sansinterligne"/>
        <w:numPr>
          <w:ilvl w:val="0"/>
          <w:numId w:val="1035"/>
        </w:numPr>
      </w:pPr>
      <w:r>
        <w:t>Débridement</w:t>
      </w:r>
      <w:r w:rsidR="00627641">
        <w:t>/retrait</w:t>
      </w:r>
      <w:r>
        <w:t xml:space="preserve"> manuel par médecin</w:t>
      </w:r>
    </w:p>
    <w:p w:rsidR="007E3316" w:rsidRDefault="007E3316" w:rsidP="007E3316">
      <w:pPr>
        <w:pStyle w:val="Sansinterligne"/>
      </w:pPr>
    </w:p>
    <w:p w:rsidR="001A29AA" w:rsidRPr="00FE38BA" w:rsidRDefault="001A29AA" w:rsidP="00627641">
      <w:pPr>
        <w:pStyle w:val="Sansinterligne"/>
        <w:rPr>
          <w:b/>
          <w:highlight w:val="yellow"/>
        </w:rPr>
      </w:pPr>
      <w:r w:rsidRPr="00FE38BA">
        <w:rPr>
          <w:b/>
          <w:highlight w:val="yellow"/>
        </w:rPr>
        <w:t>O</w:t>
      </w:r>
      <w:r w:rsidR="009B0FC4" w:rsidRPr="00FE38BA">
        <w:rPr>
          <w:b/>
          <w:highlight w:val="yellow"/>
        </w:rPr>
        <w:t>tite moyenne aigue (OMA)</w:t>
      </w:r>
    </w:p>
    <w:p w:rsidR="00382649" w:rsidRPr="00FE38BA" w:rsidRDefault="00382649" w:rsidP="005D429F">
      <w:pPr>
        <w:pStyle w:val="Sansinterligne"/>
        <w:numPr>
          <w:ilvl w:val="0"/>
          <w:numId w:val="1035"/>
        </w:numPr>
        <w:rPr>
          <w:highlight w:val="yellow"/>
        </w:rPr>
      </w:pPr>
      <w:r w:rsidRPr="00FE38BA">
        <w:rPr>
          <w:highlight w:val="yellow"/>
        </w:rPr>
        <w:t>Acétaminophène pour la douleur et la fièvre</w:t>
      </w:r>
    </w:p>
    <w:p w:rsidR="007E3316" w:rsidRPr="00FE38BA" w:rsidRDefault="001A29AA" w:rsidP="005D429F">
      <w:pPr>
        <w:pStyle w:val="Sansinterligne"/>
        <w:numPr>
          <w:ilvl w:val="0"/>
          <w:numId w:val="1035"/>
        </w:numPr>
        <w:rPr>
          <w:highlight w:val="yellow"/>
        </w:rPr>
      </w:pPr>
      <w:r w:rsidRPr="00FE38BA">
        <w:rPr>
          <w:highlight w:val="yellow"/>
        </w:rPr>
        <w:t xml:space="preserve">Si </w:t>
      </w:r>
      <w:r w:rsidRPr="00FE38BA">
        <w:rPr>
          <w:rFonts w:ascii="Century Gothic" w:hAnsi="Century Gothic"/>
          <w:highlight w:val="yellow"/>
        </w:rPr>
        <w:t>&lt;</w:t>
      </w:r>
      <w:r w:rsidRPr="00FE38BA">
        <w:rPr>
          <w:highlight w:val="yellow"/>
        </w:rPr>
        <w:t xml:space="preserve"> 2 mois </w:t>
      </w:r>
      <w:r w:rsidRPr="00FE38BA">
        <w:rPr>
          <w:rFonts w:ascii="Century Gothic" w:hAnsi="Century Gothic"/>
          <w:highlight w:val="yellow"/>
        </w:rPr>
        <w:t>→</w:t>
      </w:r>
      <w:r w:rsidRPr="00FE38BA">
        <w:rPr>
          <w:highlight w:val="yellow"/>
        </w:rPr>
        <w:t xml:space="preserve"> référer en ORL</w:t>
      </w:r>
    </w:p>
    <w:p w:rsidR="001A29AA" w:rsidRPr="00FE38BA" w:rsidRDefault="001A29AA" w:rsidP="005D429F">
      <w:pPr>
        <w:pStyle w:val="Sansinterligne"/>
        <w:numPr>
          <w:ilvl w:val="0"/>
          <w:numId w:val="1035"/>
        </w:numPr>
        <w:rPr>
          <w:highlight w:val="yellow"/>
        </w:rPr>
      </w:pPr>
      <w:r w:rsidRPr="00FE38BA">
        <w:rPr>
          <w:highlight w:val="yellow"/>
        </w:rPr>
        <w:t>Observation sans ATB et suivi 48h si :</w:t>
      </w:r>
    </w:p>
    <w:p w:rsidR="001A29AA" w:rsidRPr="00FE38BA" w:rsidRDefault="001A29AA" w:rsidP="005D429F">
      <w:pPr>
        <w:pStyle w:val="Sansinterligne"/>
        <w:numPr>
          <w:ilvl w:val="1"/>
          <w:numId w:val="1035"/>
        </w:numPr>
        <w:rPr>
          <w:highlight w:val="yellow"/>
        </w:rPr>
      </w:pPr>
      <w:r w:rsidRPr="00FE38BA">
        <w:rPr>
          <w:highlight w:val="yellow"/>
        </w:rPr>
        <w:t>Dx incertain</w:t>
      </w:r>
    </w:p>
    <w:p w:rsidR="001A29AA" w:rsidRPr="00FE38BA" w:rsidRDefault="001A29AA" w:rsidP="005D429F">
      <w:pPr>
        <w:pStyle w:val="Sansinterligne"/>
        <w:numPr>
          <w:ilvl w:val="1"/>
          <w:numId w:val="1035"/>
        </w:numPr>
        <w:rPr>
          <w:highlight w:val="yellow"/>
        </w:rPr>
      </w:pPr>
      <w:r w:rsidRPr="00FE38BA">
        <w:rPr>
          <w:highlight w:val="yellow"/>
        </w:rPr>
        <w:t xml:space="preserve">Atteinte unilatérale peu sévère </w:t>
      </w:r>
      <w:r w:rsidRPr="00FE38BA">
        <w:rPr>
          <w:rFonts w:ascii="Century Gothic" w:hAnsi="Century Gothic"/>
          <w:highlight w:val="yellow"/>
        </w:rPr>
        <w:t>&lt;</w:t>
      </w:r>
      <w:r w:rsidRPr="00FE38BA">
        <w:rPr>
          <w:highlight w:val="yellow"/>
        </w:rPr>
        <w:t xml:space="preserve"> 2 ans</w:t>
      </w:r>
    </w:p>
    <w:p w:rsidR="00382649" w:rsidRPr="00FE38BA" w:rsidRDefault="001A29AA" w:rsidP="005D429F">
      <w:pPr>
        <w:pStyle w:val="Sansinterligne"/>
        <w:numPr>
          <w:ilvl w:val="1"/>
          <w:numId w:val="1035"/>
        </w:numPr>
        <w:rPr>
          <w:rFonts w:cs="Times New Roman"/>
          <w:highlight w:val="yellow"/>
        </w:rPr>
      </w:pPr>
      <w:r w:rsidRPr="00FE38BA">
        <w:rPr>
          <w:highlight w:val="yellow"/>
        </w:rPr>
        <w:t xml:space="preserve">Atteinte bilatérale peu sévère </w:t>
      </w:r>
      <w:r w:rsidRPr="00FE38BA">
        <w:rPr>
          <w:rFonts w:cs="Times New Roman"/>
          <w:highlight w:val="yellow"/>
        </w:rPr>
        <w:t>&gt; 2 ans</w:t>
      </w:r>
    </w:p>
    <w:p w:rsidR="00627641" w:rsidRPr="00FE38BA" w:rsidRDefault="001A29AA" w:rsidP="005D429F">
      <w:pPr>
        <w:pStyle w:val="Sansinterligne"/>
        <w:numPr>
          <w:ilvl w:val="0"/>
          <w:numId w:val="1035"/>
        </w:numPr>
        <w:rPr>
          <w:highlight w:val="yellow"/>
        </w:rPr>
      </w:pPr>
      <w:r w:rsidRPr="00FE38BA">
        <w:rPr>
          <w:highlight w:val="yellow"/>
        </w:rPr>
        <w:t>A</w:t>
      </w:r>
      <w:r w:rsidR="00627641" w:rsidRPr="00FE38BA">
        <w:rPr>
          <w:highlight w:val="yellow"/>
        </w:rPr>
        <w:t>ntibiothérapie si :</w:t>
      </w:r>
    </w:p>
    <w:p w:rsidR="001A29AA" w:rsidRPr="00FE38BA" w:rsidRDefault="00627641" w:rsidP="005D429F">
      <w:pPr>
        <w:pStyle w:val="Sansinterligne"/>
        <w:numPr>
          <w:ilvl w:val="1"/>
          <w:numId w:val="1035"/>
        </w:numPr>
        <w:rPr>
          <w:highlight w:val="yellow"/>
        </w:rPr>
      </w:pPr>
      <w:r w:rsidRPr="00FE38BA">
        <w:rPr>
          <w:highlight w:val="yellow"/>
        </w:rPr>
        <w:t>S</w:t>
      </w:r>
      <w:r w:rsidR="001A29AA" w:rsidRPr="00FE38BA">
        <w:rPr>
          <w:highlight w:val="yellow"/>
        </w:rPr>
        <w:t xml:space="preserve">ignes de sévérité ou si bilatéral </w:t>
      </w:r>
      <w:r w:rsidR="00CC1406">
        <w:rPr>
          <w:rFonts w:ascii="Century Gothic" w:hAnsi="Century Gothic"/>
          <w:highlight w:val="yellow"/>
        </w:rPr>
        <w:t>&gt;</w:t>
      </w:r>
      <w:r w:rsidR="001A29AA" w:rsidRPr="00FE38BA">
        <w:rPr>
          <w:highlight w:val="yellow"/>
        </w:rPr>
        <w:t xml:space="preserve">  2 ans</w:t>
      </w:r>
    </w:p>
    <w:p w:rsidR="00A440A7" w:rsidRPr="00FE38BA" w:rsidRDefault="00627641" w:rsidP="005D429F">
      <w:pPr>
        <w:pStyle w:val="Sansinterligne"/>
        <w:numPr>
          <w:ilvl w:val="0"/>
          <w:numId w:val="1035"/>
        </w:numPr>
        <w:rPr>
          <w:highlight w:val="yellow"/>
        </w:rPr>
      </w:pPr>
      <w:r w:rsidRPr="00FE38BA">
        <w:rPr>
          <w:rFonts w:cs="Times New Roman"/>
          <w:highlight w:val="yellow"/>
          <w:u w:val="single"/>
        </w:rPr>
        <w:t>Si </w:t>
      </w:r>
      <w:r w:rsidR="00A440A7" w:rsidRPr="00FE38BA">
        <w:rPr>
          <w:rFonts w:cs="Times New Roman"/>
          <w:highlight w:val="yellow"/>
          <w:u w:val="single"/>
        </w:rPr>
        <w:t>Ø</w:t>
      </w:r>
      <w:r w:rsidR="00A440A7" w:rsidRPr="00FE38BA">
        <w:rPr>
          <w:highlight w:val="yellow"/>
          <w:u w:val="single"/>
        </w:rPr>
        <w:t xml:space="preserve"> d’amoxicilline dans les 30 derniers jours</w:t>
      </w:r>
      <w:r w:rsidR="00A440A7" w:rsidRPr="00FE38BA">
        <w:rPr>
          <w:highlight w:val="yellow"/>
        </w:rPr>
        <w:t> :</w:t>
      </w:r>
    </w:p>
    <w:p w:rsidR="001A29AA" w:rsidRPr="00FE38BA" w:rsidRDefault="001A29AA" w:rsidP="005D429F">
      <w:pPr>
        <w:pStyle w:val="Sansinterligne"/>
        <w:numPr>
          <w:ilvl w:val="0"/>
          <w:numId w:val="1036"/>
        </w:numPr>
        <w:rPr>
          <w:highlight w:val="yellow"/>
        </w:rPr>
      </w:pPr>
      <w:r w:rsidRPr="00FE38BA">
        <w:rPr>
          <w:highlight w:val="yellow"/>
        </w:rPr>
        <w:t>Amoxicilline 80-90 mg/kg/jour divisé en 2 doses</w:t>
      </w:r>
      <w:r w:rsidR="00A440A7" w:rsidRPr="00FE38BA">
        <w:rPr>
          <w:highlight w:val="yellow"/>
        </w:rPr>
        <w:t xml:space="preserve"> x 10 jours (si sévère ou </w:t>
      </w:r>
      <w:r w:rsidR="00A440A7" w:rsidRPr="00FE38BA">
        <w:rPr>
          <w:rFonts w:ascii="Century Gothic" w:hAnsi="Century Gothic"/>
          <w:highlight w:val="yellow"/>
        </w:rPr>
        <w:t>&lt;</w:t>
      </w:r>
      <w:r w:rsidR="00A440A7" w:rsidRPr="00FE38BA">
        <w:rPr>
          <w:highlight w:val="yellow"/>
        </w:rPr>
        <w:t xml:space="preserve"> 2 ans) ou x 5 jours si </w:t>
      </w:r>
      <w:r w:rsidR="00A440A7" w:rsidRPr="00FE38BA">
        <w:rPr>
          <w:rFonts w:ascii="Century Gothic" w:hAnsi="Century Gothic"/>
          <w:highlight w:val="yellow"/>
        </w:rPr>
        <w:t>&lt;</w:t>
      </w:r>
      <w:r w:rsidR="00A440A7" w:rsidRPr="00FE38BA">
        <w:rPr>
          <w:highlight w:val="yellow"/>
        </w:rPr>
        <w:t xml:space="preserve"> 2 ans</w:t>
      </w:r>
    </w:p>
    <w:p w:rsidR="00A440A7" w:rsidRPr="00FE38BA" w:rsidRDefault="00A440A7" w:rsidP="005D429F">
      <w:pPr>
        <w:pStyle w:val="Sansinterligne"/>
        <w:numPr>
          <w:ilvl w:val="0"/>
          <w:numId w:val="1036"/>
        </w:numPr>
        <w:rPr>
          <w:highlight w:val="yellow"/>
        </w:rPr>
      </w:pPr>
      <w:r w:rsidRPr="00FE38BA">
        <w:rPr>
          <w:highlight w:val="yellow"/>
        </w:rPr>
        <w:t>Amoxic</w:t>
      </w:r>
      <w:r w:rsidR="00FE38BA" w:rsidRPr="00FE38BA">
        <w:rPr>
          <w:highlight w:val="yellow"/>
        </w:rPr>
        <w:t>iline-clavulanate (Cla</w:t>
      </w:r>
      <w:r w:rsidRPr="00FE38BA">
        <w:rPr>
          <w:highlight w:val="yellow"/>
        </w:rPr>
        <w:t>v</w:t>
      </w:r>
      <w:r w:rsidR="00FE38BA" w:rsidRPr="00FE38BA">
        <w:rPr>
          <w:highlight w:val="yellow"/>
        </w:rPr>
        <w:t>u</w:t>
      </w:r>
      <w:r w:rsidRPr="00FE38BA">
        <w:rPr>
          <w:highlight w:val="yellow"/>
        </w:rPr>
        <w:t>lin) 80-90 mg/kg divisé en 2 doses, même durée que ci-haut</w:t>
      </w:r>
    </w:p>
    <w:p w:rsidR="00A440A7" w:rsidRPr="00FE38BA" w:rsidRDefault="00A440A7" w:rsidP="005D429F">
      <w:pPr>
        <w:pStyle w:val="Sansinterligne"/>
        <w:numPr>
          <w:ilvl w:val="0"/>
          <w:numId w:val="1035"/>
        </w:numPr>
        <w:rPr>
          <w:highlight w:val="yellow"/>
        </w:rPr>
      </w:pPr>
      <w:r w:rsidRPr="00FE38BA">
        <w:rPr>
          <w:highlight w:val="yellow"/>
          <w:u w:val="single"/>
        </w:rPr>
        <w:t>Si allergie ou amoxicilline reçue récemment</w:t>
      </w:r>
      <w:r w:rsidRPr="00FE38BA">
        <w:rPr>
          <w:highlight w:val="yellow"/>
        </w:rPr>
        <w:t xml:space="preserve">: </w:t>
      </w:r>
    </w:p>
    <w:p w:rsidR="00A440A7" w:rsidRPr="00FE38BA" w:rsidRDefault="00627641" w:rsidP="005D429F">
      <w:pPr>
        <w:pStyle w:val="Sansinterligne"/>
        <w:numPr>
          <w:ilvl w:val="0"/>
          <w:numId w:val="1037"/>
        </w:numPr>
        <w:rPr>
          <w:highlight w:val="yellow"/>
        </w:rPr>
      </w:pPr>
      <w:r w:rsidRPr="00FE38BA">
        <w:rPr>
          <w:highlight w:val="yellow"/>
        </w:rPr>
        <w:t>Cl</w:t>
      </w:r>
      <w:r w:rsidR="00A440A7" w:rsidRPr="00FE38BA">
        <w:rPr>
          <w:highlight w:val="yellow"/>
        </w:rPr>
        <w:t>arithromycine, azithromycine ou clindamycine</w:t>
      </w:r>
    </w:p>
    <w:p w:rsidR="00A440A7" w:rsidRPr="00FE38BA" w:rsidRDefault="00627641" w:rsidP="005D429F">
      <w:pPr>
        <w:pStyle w:val="Sansinterligne"/>
        <w:numPr>
          <w:ilvl w:val="0"/>
          <w:numId w:val="1035"/>
        </w:numPr>
        <w:rPr>
          <w:highlight w:val="yellow"/>
        </w:rPr>
      </w:pPr>
      <w:r w:rsidRPr="00FE38BA">
        <w:rPr>
          <w:highlight w:val="yellow"/>
        </w:rPr>
        <w:t>Réévaluer</w:t>
      </w:r>
      <w:r w:rsidR="00A440A7" w:rsidRPr="00FE38BA">
        <w:rPr>
          <w:highlight w:val="yellow"/>
        </w:rPr>
        <w:t xml:space="preserve"> les Sx</w:t>
      </w:r>
      <w:r w:rsidRPr="00FE38BA">
        <w:rPr>
          <w:highlight w:val="yellow"/>
        </w:rPr>
        <w:t>,</w:t>
      </w:r>
      <w:r w:rsidR="00FE38BA" w:rsidRPr="00FE38BA">
        <w:rPr>
          <w:highlight w:val="yellow"/>
        </w:rPr>
        <w:t xml:space="preserve"> ils</w:t>
      </w:r>
      <w:r w:rsidR="00A440A7" w:rsidRPr="00FE38BA">
        <w:rPr>
          <w:highlight w:val="yellow"/>
        </w:rPr>
        <w:t xml:space="preserve"> devraient avoir disparus après 48-72h</w:t>
      </w:r>
      <w:r w:rsidRPr="00FE38BA">
        <w:rPr>
          <w:highlight w:val="yellow"/>
        </w:rPr>
        <w:t xml:space="preserve"> de traitement ou d’expectative</w:t>
      </w:r>
      <w:r w:rsidR="00FE38BA" w:rsidRPr="00FE38BA">
        <w:rPr>
          <w:highlight w:val="yellow"/>
        </w:rPr>
        <w:t xml:space="preserve"> selon</w:t>
      </w:r>
    </w:p>
    <w:p w:rsidR="00877F2F" w:rsidRPr="00FE38BA" w:rsidRDefault="00FE38BA" w:rsidP="005D429F">
      <w:pPr>
        <w:pStyle w:val="Sansinterligne"/>
        <w:numPr>
          <w:ilvl w:val="0"/>
          <w:numId w:val="1035"/>
        </w:numPr>
        <w:rPr>
          <w:highlight w:val="yellow"/>
        </w:rPr>
      </w:pPr>
      <w:r w:rsidRPr="00FE38BA">
        <w:rPr>
          <w:rFonts w:cs="Times New Roman"/>
          <w:highlight w:val="yellow"/>
        </w:rPr>
        <w:t>Ø</w:t>
      </w:r>
      <w:r w:rsidRPr="00FE38BA">
        <w:rPr>
          <w:highlight w:val="yellow"/>
        </w:rPr>
        <w:t xml:space="preserve"> </w:t>
      </w:r>
      <w:r w:rsidR="00877F2F" w:rsidRPr="00FE38BA">
        <w:rPr>
          <w:highlight w:val="yellow"/>
        </w:rPr>
        <w:t>donner corticostéroïdes, antihistaminiques ou décongestionnants. Inefficaces.</w:t>
      </w:r>
    </w:p>
    <w:p w:rsidR="00503DFD" w:rsidRPr="007E3316" w:rsidRDefault="00503DFD" w:rsidP="007E3316">
      <w:pPr>
        <w:pStyle w:val="Sansinterligne"/>
      </w:pPr>
    </w:p>
    <w:p w:rsidR="007E3316" w:rsidRPr="00FE38BA" w:rsidRDefault="001A29AA" w:rsidP="00627641">
      <w:pPr>
        <w:pStyle w:val="Sansinterligne"/>
        <w:rPr>
          <w:b/>
          <w:highlight w:val="yellow"/>
        </w:rPr>
      </w:pPr>
      <w:r w:rsidRPr="00FE38BA">
        <w:rPr>
          <w:b/>
          <w:highlight w:val="yellow"/>
        </w:rPr>
        <w:t>O</w:t>
      </w:r>
      <w:r w:rsidR="00627641" w:rsidRPr="00FE38BA">
        <w:rPr>
          <w:b/>
          <w:highlight w:val="yellow"/>
        </w:rPr>
        <w:t>tite moyenne avec épanchement (OM</w:t>
      </w:r>
      <w:r w:rsidRPr="00FE38BA">
        <w:rPr>
          <w:b/>
          <w:highlight w:val="yellow"/>
        </w:rPr>
        <w:t>E</w:t>
      </w:r>
      <w:r w:rsidR="00627641" w:rsidRPr="00FE38BA">
        <w:rPr>
          <w:b/>
          <w:highlight w:val="yellow"/>
        </w:rPr>
        <w:t>)</w:t>
      </w:r>
    </w:p>
    <w:p w:rsidR="000F0082" w:rsidRPr="00FE38BA" w:rsidRDefault="000F0082" w:rsidP="005D429F">
      <w:pPr>
        <w:pStyle w:val="Sansinterligne"/>
        <w:numPr>
          <w:ilvl w:val="0"/>
          <w:numId w:val="1035"/>
        </w:numPr>
        <w:rPr>
          <w:highlight w:val="yellow"/>
        </w:rPr>
      </w:pPr>
      <w:r w:rsidRPr="00FE38BA">
        <w:rPr>
          <w:highlight w:val="yellow"/>
        </w:rPr>
        <w:t>Expectative (90% se résolve en 3 mois)</w:t>
      </w:r>
    </w:p>
    <w:p w:rsidR="00382649" w:rsidRPr="00FE38BA" w:rsidRDefault="00382649" w:rsidP="005D429F">
      <w:pPr>
        <w:pStyle w:val="Sansinterligne"/>
        <w:numPr>
          <w:ilvl w:val="0"/>
          <w:numId w:val="1035"/>
        </w:numPr>
        <w:rPr>
          <w:highlight w:val="yellow"/>
        </w:rPr>
      </w:pPr>
      <w:r w:rsidRPr="00FE38BA">
        <w:rPr>
          <w:highlight w:val="yellow"/>
        </w:rPr>
        <w:t>Acétaminophène si douleur</w:t>
      </w:r>
    </w:p>
    <w:p w:rsidR="000F0082" w:rsidRPr="00FE38BA" w:rsidRDefault="000F0082" w:rsidP="005D429F">
      <w:pPr>
        <w:pStyle w:val="Sansinterligne"/>
        <w:numPr>
          <w:ilvl w:val="0"/>
          <w:numId w:val="1035"/>
        </w:numPr>
        <w:rPr>
          <w:highlight w:val="yellow"/>
        </w:rPr>
      </w:pPr>
      <w:r w:rsidRPr="00FE38BA">
        <w:rPr>
          <w:highlight w:val="yellow"/>
        </w:rPr>
        <w:t>Si persistante, référer en ORL/audiologie</w:t>
      </w:r>
    </w:p>
    <w:p w:rsidR="00627641" w:rsidRPr="00FE38BA" w:rsidRDefault="00627641" w:rsidP="005D429F">
      <w:pPr>
        <w:pStyle w:val="Sansinterligne"/>
        <w:numPr>
          <w:ilvl w:val="1"/>
          <w:numId w:val="1035"/>
        </w:numPr>
        <w:rPr>
          <w:highlight w:val="yellow"/>
        </w:rPr>
      </w:pPr>
      <w:r w:rsidRPr="00FE38BA">
        <w:rPr>
          <w:highlight w:val="yellow"/>
        </w:rPr>
        <w:t>Myringotomie et tubes transtympaniques (TTT)</w:t>
      </w:r>
    </w:p>
    <w:p w:rsidR="000F0082" w:rsidRPr="00FE38BA" w:rsidRDefault="000F0082" w:rsidP="005D429F">
      <w:pPr>
        <w:pStyle w:val="Sansinterligne"/>
        <w:numPr>
          <w:ilvl w:val="0"/>
          <w:numId w:val="1035"/>
        </w:numPr>
        <w:rPr>
          <w:highlight w:val="yellow"/>
        </w:rPr>
      </w:pPr>
      <w:r w:rsidRPr="00FE38BA">
        <w:rPr>
          <w:highlight w:val="yellow"/>
        </w:rPr>
        <w:t>Documenter l’atteinte auditive</w:t>
      </w:r>
    </w:p>
    <w:p w:rsidR="000F0082" w:rsidRPr="00FE38BA" w:rsidRDefault="000F0082" w:rsidP="005D429F">
      <w:pPr>
        <w:pStyle w:val="Sansinterligne"/>
        <w:numPr>
          <w:ilvl w:val="0"/>
          <w:numId w:val="1035"/>
        </w:numPr>
        <w:rPr>
          <w:highlight w:val="yellow"/>
        </w:rPr>
      </w:pPr>
      <w:r w:rsidRPr="00FE38BA">
        <w:rPr>
          <w:highlight w:val="yellow"/>
        </w:rPr>
        <w:t>Peu affecter le développement du langage</w:t>
      </w:r>
    </w:p>
    <w:p w:rsidR="007E3316" w:rsidRPr="007E3316" w:rsidRDefault="007E3316" w:rsidP="007E3316">
      <w:pPr>
        <w:pStyle w:val="Sansinterligne"/>
      </w:pPr>
    </w:p>
    <w:p w:rsidR="007E3316" w:rsidRPr="00627641" w:rsidRDefault="00877F2F" w:rsidP="00627641">
      <w:pPr>
        <w:pStyle w:val="Sansinterligne"/>
        <w:rPr>
          <w:b/>
        </w:rPr>
      </w:pPr>
      <w:r w:rsidRPr="00627641">
        <w:rPr>
          <w:b/>
        </w:rPr>
        <w:t>Mastoïdite</w:t>
      </w:r>
    </w:p>
    <w:p w:rsidR="00382649" w:rsidRDefault="00382649" w:rsidP="005D429F">
      <w:pPr>
        <w:pStyle w:val="Sansinterligne"/>
        <w:numPr>
          <w:ilvl w:val="0"/>
          <w:numId w:val="1035"/>
        </w:numPr>
      </w:pPr>
      <w:r>
        <w:t>Acétaminophène / AINS</w:t>
      </w:r>
    </w:p>
    <w:p w:rsidR="00877F2F" w:rsidRDefault="00877F2F" w:rsidP="005D429F">
      <w:pPr>
        <w:pStyle w:val="Sansinterligne"/>
        <w:numPr>
          <w:ilvl w:val="0"/>
          <w:numId w:val="1035"/>
        </w:numPr>
      </w:pPr>
      <w:r>
        <w:t>ATB IV (même couverture que l’OMA)</w:t>
      </w:r>
    </w:p>
    <w:p w:rsidR="00877F2F" w:rsidRDefault="00877F2F" w:rsidP="005D429F">
      <w:pPr>
        <w:pStyle w:val="Sansinterligne"/>
        <w:numPr>
          <w:ilvl w:val="0"/>
          <w:numId w:val="1035"/>
        </w:numPr>
      </w:pPr>
      <w:r>
        <w:t>Référence urgente en ORL</w:t>
      </w:r>
    </w:p>
    <w:p w:rsidR="00877F2F" w:rsidRPr="007E3316" w:rsidRDefault="00877F2F" w:rsidP="005D429F">
      <w:pPr>
        <w:pStyle w:val="Sansinterligne"/>
        <w:numPr>
          <w:ilvl w:val="0"/>
          <w:numId w:val="1035"/>
        </w:numPr>
      </w:pPr>
      <w:r>
        <w:t>Myringotomie + TTT</w:t>
      </w:r>
    </w:p>
    <w:p w:rsidR="007E3316" w:rsidRPr="007E3316" w:rsidRDefault="00877F2F" w:rsidP="005D429F">
      <w:pPr>
        <w:pStyle w:val="Sansinterligne"/>
        <w:numPr>
          <w:ilvl w:val="0"/>
          <w:numId w:val="1035"/>
        </w:numPr>
      </w:pPr>
      <w:r>
        <w:t>Chirurgie ouverte si otorrhée persistante (</w:t>
      </w:r>
      <w:r>
        <w:rPr>
          <w:rFonts w:ascii="Century Gothic" w:hAnsi="Century Gothic"/>
        </w:rPr>
        <w:t>&gt;</w:t>
      </w:r>
      <w:r>
        <w:t>4 sem) ou Sx neuro</w:t>
      </w:r>
    </w:p>
    <w:p w:rsidR="00421018" w:rsidRDefault="00421018" w:rsidP="007E3316">
      <w:pPr>
        <w:pStyle w:val="Sansinterligne"/>
      </w:pPr>
    </w:p>
    <w:p w:rsidR="00421018" w:rsidRPr="00627641" w:rsidRDefault="00421018" w:rsidP="00627641">
      <w:pPr>
        <w:pStyle w:val="Sansinterligne"/>
        <w:rPr>
          <w:b/>
        </w:rPr>
      </w:pPr>
      <w:r w:rsidRPr="00627641">
        <w:rPr>
          <w:b/>
        </w:rPr>
        <w:t>Trauma</w:t>
      </w:r>
      <w:r w:rsidR="00627641">
        <w:rPr>
          <w:b/>
        </w:rPr>
        <w:t>tisme (barotrauma ou perforation)</w:t>
      </w:r>
    </w:p>
    <w:p w:rsidR="00421018" w:rsidRDefault="00421018" w:rsidP="005D429F">
      <w:pPr>
        <w:pStyle w:val="Sansinterligne"/>
        <w:numPr>
          <w:ilvl w:val="0"/>
          <w:numId w:val="1035"/>
        </w:numPr>
      </w:pPr>
      <w:r>
        <w:t>Expectative de guérison</w:t>
      </w:r>
    </w:p>
    <w:p w:rsidR="00382649" w:rsidRDefault="00382649" w:rsidP="005D429F">
      <w:pPr>
        <w:pStyle w:val="Sansinterligne"/>
        <w:numPr>
          <w:ilvl w:val="0"/>
          <w:numId w:val="1035"/>
        </w:numPr>
      </w:pPr>
      <w:r>
        <w:t>Acétaminophène / AINS</w:t>
      </w:r>
    </w:p>
    <w:p w:rsidR="00421018" w:rsidRDefault="00421018" w:rsidP="005D429F">
      <w:pPr>
        <w:pStyle w:val="Sansinterligne"/>
        <w:numPr>
          <w:ilvl w:val="0"/>
          <w:numId w:val="1035"/>
        </w:numPr>
      </w:pPr>
      <w:r>
        <w:t>Prévention de récidive avec enseignements</w:t>
      </w:r>
    </w:p>
    <w:p w:rsidR="00421018" w:rsidRDefault="00421018" w:rsidP="005D429F">
      <w:pPr>
        <w:pStyle w:val="Sansinterligne"/>
        <w:numPr>
          <w:ilvl w:val="0"/>
          <w:numId w:val="1035"/>
        </w:numPr>
      </w:pPr>
      <w:r>
        <w:t>Si lésion très sévère, référer en ORL</w:t>
      </w:r>
    </w:p>
    <w:p w:rsidR="00421018" w:rsidRDefault="00421018" w:rsidP="007E3316">
      <w:pPr>
        <w:pStyle w:val="Sansinterligne"/>
      </w:pPr>
    </w:p>
    <w:p w:rsidR="007E3316" w:rsidRPr="00627641" w:rsidRDefault="00DB70E7" w:rsidP="00627641">
      <w:pPr>
        <w:pStyle w:val="Sansinterligne"/>
        <w:rPr>
          <w:b/>
        </w:rPr>
      </w:pPr>
      <w:r w:rsidRPr="00627641">
        <w:rPr>
          <w:b/>
        </w:rPr>
        <w:t>Cholestéatome</w:t>
      </w:r>
    </w:p>
    <w:p w:rsidR="00DB70E7" w:rsidRDefault="00DB70E7" w:rsidP="005D429F">
      <w:pPr>
        <w:pStyle w:val="Sansinterligne"/>
        <w:numPr>
          <w:ilvl w:val="0"/>
          <w:numId w:val="1035"/>
        </w:numPr>
      </w:pPr>
      <w:r>
        <w:t>Référence en ORL</w:t>
      </w:r>
    </w:p>
    <w:p w:rsidR="00DB70E7" w:rsidRDefault="00DB70E7" w:rsidP="005D429F">
      <w:pPr>
        <w:pStyle w:val="Sansinterligne"/>
        <w:numPr>
          <w:ilvl w:val="0"/>
          <w:numId w:val="1035"/>
        </w:numPr>
      </w:pPr>
      <w:r>
        <w:t xml:space="preserve">Mastoidectomie </w:t>
      </w:r>
      <w:r>
        <w:rPr>
          <w:rFonts w:cs="Times New Roman"/>
        </w:rPr>
        <w:t>±</w:t>
      </w:r>
      <w:r>
        <w:t xml:space="preserve"> tympanoplastie  et reconstruction des osselets</w:t>
      </w:r>
    </w:p>
    <w:p w:rsidR="00DB70E7" w:rsidRPr="007E3316" w:rsidRDefault="00DB70E7" w:rsidP="007E3316">
      <w:pPr>
        <w:pStyle w:val="Sansinterligne"/>
      </w:pPr>
    </w:p>
    <w:p w:rsidR="007E3316" w:rsidRPr="00627641" w:rsidRDefault="00627641" w:rsidP="00627641">
      <w:pPr>
        <w:pStyle w:val="Sansinterligne"/>
        <w:rPr>
          <w:b/>
        </w:rPr>
      </w:pPr>
      <w:r w:rsidRPr="00627641">
        <w:rPr>
          <w:b/>
        </w:rPr>
        <w:t>Névralgie du trijumeau</w:t>
      </w:r>
    </w:p>
    <w:p w:rsidR="00627641" w:rsidRDefault="00627641" w:rsidP="005D429F">
      <w:pPr>
        <w:pStyle w:val="Sansinterligne"/>
        <w:numPr>
          <w:ilvl w:val="0"/>
          <w:numId w:val="1035"/>
        </w:numPr>
      </w:pPr>
      <w:r>
        <w:t>Référence en neurologie</w:t>
      </w:r>
    </w:p>
    <w:p w:rsidR="00627641" w:rsidRDefault="00627641" w:rsidP="005D429F">
      <w:pPr>
        <w:pStyle w:val="Sansinterligne"/>
        <w:numPr>
          <w:ilvl w:val="0"/>
          <w:numId w:val="1035"/>
        </w:numPr>
      </w:pPr>
      <w:r>
        <w:t>Carbamazépine</w:t>
      </w:r>
    </w:p>
    <w:p w:rsidR="00627641" w:rsidRPr="007E3316" w:rsidRDefault="00627641" w:rsidP="005D429F">
      <w:pPr>
        <w:pStyle w:val="Sansinterligne"/>
        <w:numPr>
          <w:ilvl w:val="0"/>
          <w:numId w:val="1035"/>
        </w:numPr>
      </w:pPr>
      <w:r>
        <w:t>Neurectomie si réfractaire à tout</w:t>
      </w:r>
    </w:p>
    <w:p w:rsidR="007E3316" w:rsidRPr="007E3316" w:rsidRDefault="007E3316" w:rsidP="007E3316">
      <w:pPr>
        <w:pStyle w:val="Sansinterligne"/>
      </w:pPr>
    </w:p>
    <w:p w:rsidR="007E3316" w:rsidRPr="00F83B41" w:rsidRDefault="00627641" w:rsidP="00F83B41">
      <w:pPr>
        <w:pStyle w:val="Sansinterligne"/>
        <w:rPr>
          <w:b/>
        </w:rPr>
      </w:pPr>
      <w:r w:rsidRPr="00F83B41">
        <w:rPr>
          <w:b/>
        </w:rPr>
        <w:t>Dysfonction temporo-</w:t>
      </w:r>
      <w:r w:rsidR="00F83B41" w:rsidRPr="00F83B41">
        <w:rPr>
          <w:b/>
        </w:rPr>
        <w:t>mandibulaire</w:t>
      </w:r>
    </w:p>
    <w:p w:rsidR="00627641" w:rsidRDefault="00627641" w:rsidP="005D429F">
      <w:pPr>
        <w:pStyle w:val="Sansinterligne"/>
        <w:numPr>
          <w:ilvl w:val="0"/>
          <w:numId w:val="1035"/>
        </w:numPr>
      </w:pPr>
      <w:r>
        <w:t xml:space="preserve">Éducation </w:t>
      </w:r>
    </w:p>
    <w:p w:rsidR="00627641" w:rsidRDefault="00627641" w:rsidP="005D429F">
      <w:pPr>
        <w:pStyle w:val="Sansinterligne"/>
        <w:numPr>
          <w:ilvl w:val="0"/>
          <w:numId w:val="1035"/>
        </w:numPr>
      </w:pPr>
      <w:r>
        <w:t>Éviter les déclencheurs, le trigger zone</w:t>
      </w:r>
    </w:p>
    <w:p w:rsidR="00627641" w:rsidRDefault="00627641" w:rsidP="005D429F">
      <w:pPr>
        <w:pStyle w:val="Sansinterligne"/>
        <w:numPr>
          <w:ilvl w:val="0"/>
          <w:numId w:val="1035"/>
        </w:numPr>
      </w:pPr>
      <w:r>
        <w:t>Cesser comportements oraux (mâchouiller objets, etc.)</w:t>
      </w:r>
    </w:p>
    <w:p w:rsidR="00627641" w:rsidRDefault="00627641" w:rsidP="005D429F">
      <w:pPr>
        <w:pStyle w:val="Sansinterligne"/>
        <w:numPr>
          <w:ilvl w:val="0"/>
          <w:numId w:val="1035"/>
        </w:numPr>
      </w:pPr>
      <w:r>
        <w:t>Renforcement physique (mouvements contre opposition)</w:t>
      </w:r>
    </w:p>
    <w:p w:rsidR="00627641" w:rsidRPr="007E3316" w:rsidRDefault="00627641" w:rsidP="005D429F">
      <w:pPr>
        <w:pStyle w:val="Sansinterligne"/>
        <w:numPr>
          <w:ilvl w:val="0"/>
          <w:numId w:val="1035"/>
        </w:numPr>
      </w:pPr>
      <w:r>
        <w:t>AINS PRN sur une courte durée</w:t>
      </w:r>
    </w:p>
    <w:p w:rsidR="00843898" w:rsidRPr="007E3316" w:rsidRDefault="00843898" w:rsidP="005D429F">
      <w:pPr>
        <w:pStyle w:val="Sansinterligne"/>
        <w:numPr>
          <w:ilvl w:val="0"/>
          <w:numId w:val="1035"/>
        </w:numPr>
        <w:rPr>
          <w:b/>
        </w:rPr>
      </w:pPr>
      <w:r w:rsidRPr="007E3316">
        <w:rPr>
          <w:b/>
        </w:rPr>
        <w:br w:type="page"/>
      </w:r>
    </w:p>
    <w:p w:rsidR="00627641" w:rsidRDefault="00627641" w:rsidP="008D2919">
      <w:pPr>
        <w:spacing w:after="0"/>
        <w:rPr>
          <w:rFonts w:cs="Times New Roman"/>
          <w:b/>
          <w:color w:val="548DD4" w:themeColor="text2" w:themeTint="99"/>
        </w:rPr>
        <w:sectPr w:rsidR="00627641" w:rsidSect="00627641">
          <w:type w:val="continuous"/>
          <w:pgSz w:w="12240" w:h="15840"/>
          <w:pgMar w:top="720" w:right="720" w:bottom="720" w:left="720" w:header="708" w:footer="708" w:gutter="0"/>
          <w:cols w:num="2" w:space="708"/>
          <w:docGrid w:linePitch="360"/>
        </w:sectPr>
      </w:pPr>
    </w:p>
    <w:p w:rsidR="009773E5" w:rsidRDefault="009773E5" w:rsidP="008D2919">
      <w:pPr>
        <w:spacing w:after="0"/>
        <w:rPr>
          <w:rFonts w:cs="Times New Roman"/>
          <w:b/>
          <w:color w:val="548DD4" w:themeColor="text2" w:themeTint="99"/>
        </w:rPr>
      </w:pPr>
      <w:r>
        <w:rPr>
          <w:rFonts w:cs="Times New Roman"/>
          <w:b/>
          <w:color w:val="548DD4" w:themeColor="text2" w:themeTint="99"/>
        </w:rPr>
        <w:lastRenderedPageBreak/>
        <w:t>CMC 30</w:t>
      </w:r>
    </w:p>
    <w:p w:rsidR="009773E5" w:rsidRPr="009773E5" w:rsidRDefault="009773E5" w:rsidP="009773E5">
      <w:pPr>
        <w:pStyle w:val="Titre3"/>
        <w:spacing w:before="0"/>
        <w:rPr>
          <w:rFonts w:ascii="Times New Roman" w:hAnsi="Times New Roman" w:cs="Times New Roman"/>
        </w:rPr>
      </w:pPr>
      <w:bookmarkStart w:id="109" w:name="_Toc480797281"/>
      <w:r w:rsidRPr="009773E5">
        <w:rPr>
          <w:rFonts w:ascii="Times New Roman" w:hAnsi="Times New Roman" w:cs="Times New Roman"/>
        </w:rPr>
        <w:t>Rougeur oculaire</w:t>
      </w:r>
      <w:bookmarkEnd w:id="109"/>
    </w:p>
    <w:tbl>
      <w:tblPr>
        <w:tblW w:w="3804" w:type="pct"/>
        <w:tblCellSpacing w:w="0" w:type="dxa"/>
        <w:tblCellMar>
          <w:left w:w="0" w:type="dxa"/>
          <w:right w:w="0" w:type="dxa"/>
        </w:tblCellMar>
        <w:tblLook w:val="04A0" w:firstRow="1" w:lastRow="0" w:firstColumn="1" w:lastColumn="0" w:noHBand="0" w:noVBand="1"/>
      </w:tblPr>
      <w:tblGrid>
        <w:gridCol w:w="8217"/>
      </w:tblGrid>
      <w:tr w:rsidR="009773E5" w:rsidRPr="009773E5" w:rsidTr="009773E5">
        <w:trPr>
          <w:tblCellSpacing w:w="0" w:type="dxa"/>
        </w:trPr>
        <w:tc>
          <w:tcPr>
            <w:tcW w:w="0" w:type="auto"/>
            <w:vAlign w:val="bottom"/>
            <w:hideMark/>
          </w:tcPr>
          <w:bookmarkStart w:id="110" w:name="Objectifprincipaux"/>
          <w:p w:rsidR="009773E5" w:rsidRPr="009773E5" w:rsidRDefault="009773E5" w:rsidP="009773E5">
            <w:pPr>
              <w:pStyle w:val="Sansinterligne"/>
              <w:spacing w:before="240"/>
              <w:rPr>
                <w:rFonts w:cs="Times New Roman"/>
                <w:b/>
                <w:sz w:val="18"/>
                <w:szCs w:val="18"/>
              </w:rPr>
            </w:pPr>
            <w:r>
              <w:rPr>
                <w:rFonts w:cs="Times New Roman"/>
                <w:b/>
                <w:noProof/>
                <w:sz w:val="18"/>
                <w:szCs w:val="18"/>
                <w:lang w:eastAsia="fr-CA"/>
              </w:rPr>
              <mc:AlternateContent>
                <mc:Choice Requires="wps">
                  <w:drawing>
                    <wp:anchor distT="0" distB="0" distL="114300" distR="114300" simplePos="0" relativeHeight="252204032" behindDoc="0" locked="0" layoutInCell="1" allowOverlap="1" wp14:anchorId="2865DFD4" wp14:editId="6748896D">
                      <wp:simplePos x="0" y="0"/>
                      <wp:positionH relativeFrom="column">
                        <wp:posOffset>-68094</wp:posOffset>
                      </wp:positionH>
                      <wp:positionV relativeFrom="paragraph">
                        <wp:posOffset>94953</wp:posOffset>
                      </wp:positionV>
                      <wp:extent cx="6965005" cy="2393004"/>
                      <wp:effectExtent l="0" t="0" r="26670" b="26670"/>
                      <wp:wrapNone/>
                      <wp:docPr id="673" name="Rectangle 673"/>
                      <wp:cNvGraphicFramePr/>
                      <a:graphic xmlns:a="http://schemas.openxmlformats.org/drawingml/2006/main">
                        <a:graphicData uri="http://schemas.microsoft.com/office/word/2010/wordprocessingShape">
                          <wps:wsp>
                            <wps:cNvSpPr/>
                            <wps:spPr>
                              <a:xfrm>
                                <a:off x="0" y="0"/>
                                <a:ext cx="6965005" cy="2393004"/>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673" o:spid="_x0000_s1026" style="position:absolute;margin-left:-5.35pt;margin-top:7.5pt;width:548.45pt;height:188.45pt;z-index:2522040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" filled="f" strokecolor="black [1600]" strokeweight="2pt"/>
                  </w:pict>
                </mc:Fallback>
              </mc:AlternateContent>
            </w:r>
            <w:r w:rsidRPr="009773E5">
              <w:rPr>
                <w:rFonts w:cs="Times New Roman"/>
                <w:b/>
                <w:sz w:val="18"/>
                <w:szCs w:val="18"/>
              </w:rPr>
              <w:t>Objectif principaux</w:t>
            </w:r>
          </w:p>
        </w:tc>
        <w:bookmarkEnd w:id="110"/>
      </w:tr>
    </w:tbl>
    <w:p w:rsidR="009773E5" w:rsidRPr="009773E5" w:rsidRDefault="009773E5" w:rsidP="009773E5">
      <w:pPr>
        <w:pStyle w:val="NormalWeb"/>
        <w:ind w:left="360"/>
        <w:rPr>
          <w:color w:val="000000"/>
          <w:sz w:val="18"/>
          <w:szCs w:val="18"/>
          <w:shd w:val="clear" w:color="auto" w:fill="FFFFFF"/>
        </w:rPr>
      </w:pPr>
      <w:r w:rsidRPr="009773E5">
        <w:rPr>
          <w:color w:val="000000"/>
          <w:sz w:val="18"/>
          <w:szCs w:val="18"/>
          <w:shd w:val="clear" w:color="auto" w:fill="FFFFFF"/>
        </w:rPr>
        <w:t>Dans le cas d'un patient présentant une rougeur oculaire, le candidat devra en diagnostiquer la cause, la gravité et les complications, et mettre en place un plan de prise en charge approprié. En particulier, une consultation dans les meilleurs délais s'imposera dans les cas d'affections pouvant entraîner une perte importante de la vision.</w:t>
      </w:r>
    </w:p>
    <w:tbl>
      <w:tblPr>
        <w:tblW w:w="3897" w:type="pct"/>
        <w:tblCellSpacing w:w="0" w:type="dxa"/>
        <w:tblCellMar>
          <w:left w:w="0" w:type="dxa"/>
          <w:right w:w="0" w:type="dxa"/>
        </w:tblCellMar>
        <w:tblLook w:val="04A0" w:firstRow="1" w:lastRow="0" w:firstColumn="1" w:lastColumn="0" w:noHBand="0" w:noVBand="1"/>
      </w:tblPr>
      <w:tblGrid>
        <w:gridCol w:w="8418"/>
      </w:tblGrid>
      <w:tr w:rsidR="009773E5" w:rsidRPr="009773E5" w:rsidTr="009773E5">
        <w:trPr>
          <w:tblCellSpacing w:w="0" w:type="dxa"/>
        </w:trPr>
        <w:tc>
          <w:tcPr>
            <w:tcW w:w="0" w:type="auto"/>
            <w:vAlign w:val="bottom"/>
            <w:hideMark/>
          </w:tcPr>
          <w:p w:rsidR="009773E5" w:rsidRPr="009773E5" w:rsidRDefault="009773E5" w:rsidP="009773E5">
            <w:pPr>
              <w:pStyle w:val="Sansinterligne"/>
              <w:rPr>
                <w:rFonts w:cs="Times New Roman"/>
                <w:b/>
                <w:sz w:val="16"/>
                <w:szCs w:val="16"/>
              </w:rPr>
            </w:pPr>
            <w:r w:rsidRPr="009773E5">
              <w:rPr>
                <w:rFonts w:cs="Times New Roman"/>
                <w:b/>
                <w:sz w:val="16"/>
                <w:szCs w:val="16"/>
              </w:rPr>
              <w:t>Objectifs spécifiques</w:t>
            </w:r>
          </w:p>
        </w:tc>
      </w:tr>
    </w:tbl>
    <w:p w:rsidR="009773E5" w:rsidRPr="009773E5" w:rsidRDefault="009773E5" w:rsidP="009773E5">
      <w:pPr>
        <w:pStyle w:val="NormalWeb"/>
        <w:shd w:val="clear" w:color="auto" w:fill="FFFFFF"/>
        <w:ind w:left="360"/>
        <w:rPr>
          <w:color w:val="000000"/>
          <w:sz w:val="16"/>
          <w:szCs w:val="16"/>
          <w:shd w:val="clear" w:color="auto" w:fill="FFFFFF"/>
        </w:rPr>
      </w:pPr>
      <w:r w:rsidRPr="009773E5">
        <w:rPr>
          <w:color w:val="000000"/>
          <w:sz w:val="16"/>
          <w:szCs w:val="16"/>
          <w:shd w:val="clear" w:color="auto" w:fill="FFFFFF"/>
        </w:rPr>
        <w:t>Dans le cas d'un patient présentant une rougeur oculaire, le candidat devra</w:t>
      </w:r>
    </w:p>
    <w:p w:rsidR="009773E5" w:rsidRPr="009773E5" w:rsidRDefault="009773E5" w:rsidP="009773E5">
      <w:pPr>
        <w:numPr>
          <w:ilvl w:val="0"/>
          <w:numId w:val="1489"/>
        </w:numPr>
        <w:shd w:val="clear" w:color="auto" w:fill="FFFFFF"/>
        <w:spacing w:before="100" w:beforeAutospacing="1" w:after="100" w:afterAutospacing="1" w:line="240" w:lineRule="auto"/>
        <w:rPr>
          <w:rFonts w:cs="Times New Roman"/>
          <w:color w:val="000000"/>
          <w:sz w:val="16"/>
          <w:szCs w:val="16"/>
          <w:shd w:val="clear" w:color="auto" w:fill="FFFFFF"/>
        </w:rPr>
      </w:pPr>
      <w:r w:rsidRPr="009773E5">
        <w:rPr>
          <w:rFonts w:cs="Times New Roman"/>
          <w:color w:val="000000"/>
          <w:sz w:val="16"/>
          <w:szCs w:val="16"/>
          <w:shd w:val="clear" w:color="auto" w:fill="FFFFFF"/>
        </w:rPr>
        <w:t>énumérer et interpréter les constatations cliniques cruciales, notamment :</w:t>
      </w:r>
    </w:p>
    <w:p w:rsidR="009773E5" w:rsidRPr="009773E5" w:rsidRDefault="009773E5" w:rsidP="009773E5">
      <w:pPr>
        <w:numPr>
          <w:ilvl w:val="1"/>
          <w:numId w:val="1489"/>
        </w:numPr>
        <w:shd w:val="clear" w:color="auto" w:fill="FFFFFF"/>
        <w:spacing w:before="100" w:beforeAutospacing="1" w:after="100" w:afterAutospacing="1" w:line="240" w:lineRule="auto"/>
        <w:rPr>
          <w:rFonts w:cs="Times New Roman"/>
          <w:color w:val="000000"/>
          <w:sz w:val="16"/>
          <w:szCs w:val="16"/>
          <w:shd w:val="clear" w:color="auto" w:fill="FFFFFF"/>
        </w:rPr>
      </w:pPr>
      <w:r w:rsidRPr="009773E5">
        <w:rPr>
          <w:rFonts w:cs="Times New Roman"/>
          <w:color w:val="000000"/>
          <w:sz w:val="16"/>
          <w:szCs w:val="16"/>
          <w:shd w:val="clear" w:color="auto" w:fill="FFFFFF"/>
        </w:rPr>
        <w:t>distinguer les affections causales bénignes de celles qui exigent une consultation dans les meilleurs délais;</w:t>
      </w:r>
    </w:p>
    <w:p w:rsidR="009773E5" w:rsidRPr="009773E5" w:rsidRDefault="009773E5" w:rsidP="009773E5">
      <w:pPr>
        <w:numPr>
          <w:ilvl w:val="1"/>
          <w:numId w:val="1489"/>
        </w:numPr>
        <w:shd w:val="clear" w:color="auto" w:fill="FFFFFF"/>
        <w:spacing w:before="100" w:beforeAutospacing="1" w:after="100" w:afterAutospacing="1" w:line="240" w:lineRule="auto"/>
        <w:rPr>
          <w:rFonts w:cs="Times New Roman"/>
          <w:color w:val="000000"/>
          <w:sz w:val="16"/>
          <w:szCs w:val="16"/>
          <w:shd w:val="clear" w:color="auto" w:fill="FFFFFF"/>
        </w:rPr>
      </w:pPr>
      <w:r w:rsidRPr="009773E5">
        <w:rPr>
          <w:rFonts w:cs="Times New Roman"/>
          <w:color w:val="000000"/>
          <w:sz w:val="16"/>
          <w:szCs w:val="16"/>
          <w:shd w:val="clear" w:color="auto" w:fill="FFFFFF"/>
        </w:rPr>
        <w:t>déterminer si la vision ou l'acuité visuelle est affectée;</w:t>
      </w:r>
    </w:p>
    <w:p w:rsidR="009773E5" w:rsidRPr="009773E5" w:rsidRDefault="009773E5" w:rsidP="009773E5">
      <w:pPr>
        <w:numPr>
          <w:ilvl w:val="0"/>
          <w:numId w:val="1489"/>
        </w:numPr>
        <w:shd w:val="clear" w:color="auto" w:fill="FFFFFF"/>
        <w:spacing w:before="100" w:beforeAutospacing="1" w:after="100" w:afterAutospacing="1" w:line="240" w:lineRule="auto"/>
        <w:rPr>
          <w:rFonts w:cs="Times New Roman"/>
          <w:color w:val="000000"/>
          <w:sz w:val="16"/>
          <w:szCs w:val="16"/>
          <w:shd w:val="clear" w:color="auto" w:fill="FFFFFF"/>
        </w:rPr>
      </w:pPr>
      <w:r w:rsidRPr="009773E5">
        <w:rPr>
          <w:rFonts w:cs="Times New Roman"/>
          <w:color w:val="000000"/>
          <w:sz w:val="16"/>
          <w:szCs w:val="16"/>
          <w:shd w:val="clear" w:color="auto" w:fill="FFFFFF"/>
        </w:rPr>
        <w:t>énumérer et interpréter les examens essentiels, notamment :</w:t>
      </w:r>
    </w:p>
    <w:p w:rsidR="009773E5" w:rsidRPr="009773E5" w:rsidRDefault="009773E5" w:rsidP="009773E5">
      <w:pPr>
        <w:numPr>
          <w:ilvl w:val="1"/>
          <w:numId w:val="1489"/>
        </w:numPr>
        <w:shd w:val="clear" w:color="auto" w:fill="FFFFFF"/>
        <w:spacing w:before="100" w:beforeAutospacing="1" w:after="100" w:afterAutospacing="1" w:line="240" w:lineRule="auto"/>
        <w:rPr>
          <w:rFonts w:cs="Times New Roman"/>
          <w:color w:val="000000"/>
          <w:sz w:val="16"/>
          <w:szCs w:val="16"/>
          <w:shd w:val="clear" w:color="auto" w:fill="FFFFFF"/>
        </w:rPr>
      </w:pPr>
      <w:r w:rsidRPr="009773E5">
        <w:rPr>
          <w:rFonts w:cs="Times New Roman"/>
          <w:color w:val="000000"/>
          <w:sz w:val="16"/>
          <w:szCs w:val="16"/>
          <w:shd w:val="clear" w:color="auto" w:fill="FFFFFF"/>
        </w:rPr>
        <w:t>l'examen à la lampe à fente, selon les indications;</w:t>
      </w:r>
    </w:p>
    <w:p w:rsidR="009773E5" w:rsidRPr="009773E5" w:rsidRDefault="009773E5" w:rsidP="009773E5">
      <w:pPr>
        <w:numPr>
          <w:ilvl w:val="0"/>
          <w:numId w:val="1489"/>
        </w:numPr>
        <w:shd w:val="clear" w:color="auto" w:fill="FFFFFF"/>
        <w:spacing w:before="100" w:beforeAutospacing="1" w:after="100" w:afterAutospacing="1" w:line="240" w:lineRule="auto"/>
        <w:rPr>
          <w:rFonts w:cs="Times New Roman"/>
          <w:color w:val="000000"/>
          <w:sz w:val="16"/>
          <w:szCs w:val="16"/>
          <w:shd w:val="clear" w:color="auto" w:fill="FFFFFF"/>
        </w:rPr>
      </w:pPr>
      <w:r w:rsidRPr="009773E5">
        <w:rPr>
          <w:rFonts w:cs="Times New Roman"/>
          <w:color w:val="000000"/>
          <w:sz w:val="16"/>
          <w:szCs w:val="16"/>
          <w:shd w:val="clear" w:color="auto" w:fill="FFFFFF"/>
        </w:rPr>
        <w:t>établir un plan efficace de prise en charge initiale, notamment :</w:t>
      </w:r>
    </w:p>
    <w:p w:rsidR="0053358C" w:rsidRDefault="009773E5" w:rsidP="003B24D1">
      <w:pPr>
        <w:numPr>
          <w:ilvl w:val="1"/>
          <w:numId w:val="1489"/>
        </w:numPr>
        <w:shd w:val="clear" w:color="auto" w:fill="FFFFFF"/>
        <w:spacing w:before="100" w:beforeAutospacing="1" w:after="100" w:afterAutospacing="1" w:line="240" w:lineRule="auto"/>
        <w:rPr>
          <w:rFonts w:cs="Times New Roman"/>
          <w:color w:val="000000"/>
          <w:sz w:val="16"/>
          <w:szCs w:val="16"/>
          <w:shd w:val="clear" w:color="auto" w:fill="FFFFFF"/>
        </w:rPr>
      </w:pPr>
      <w:r w:rsidRPr="009773E5">
        <w:rPr>
          <w:rFonts w:cs="Times New Roman"/>
          <w:color w:val="000000"/>
          <w:sz w:val="16"/>
          <w:szCs w:val="16"/>
          <w:shd w:val="clear" w:color="auto" w:fill="FFFFFF"/>
        </w:rPr>
        <w:t>déterminer si le patient a besoin d'être adressé d'urgence à un spécialiste.</w:t>
      </w:r>
    </w:p>
    <w:p w:rsidR="003B24D1" w:rsidRPr="003B24D1" w:rsidRDefault="003B24D1" w:rsidP="008A227E">
      <w:pPr>
        <w:shd w:val="clear" w:color="auto" w:fill="FFFFFF"/>
        <w:spacing w:before="100" w:beforeAutospacing="1" w:after="0" w:line="240" w:lineRule="auto"/>
        <w:rPr>
          <w:rFonts w:cs="Times New Roman"/>
          <w:b/>
          <w:color w:val="000000"/>
          <w:sz w:val="28"/>
          <w:szCs w:val="28"/>
          <w:shd w:val="clear" w:color="auto" w:fill="FFFFFF"/>
        </w:rPr>
      </w:pPr>
      <w:r w:rsidRPr="003B24D1">
        <w:rPr>
          <w:rFonts w:cs="Times New Roman"/>
          <w:b/>
          <w:color w:val="000000"/>
          <w:sz w:val="28"/>
          <w:szCs w:val="28"/>
          <w:shd w:val="clear" w:color="auto" w:fill="FFFFFF"/>
        </w:rPr>
        <w:t>Diagnostics et prise en charge</w:t>
      </w:r>
    </w:p>
    <w:tbl>
      <w:tblPr>
        <w:tblStyle w:val="Grilledutableau"/>
        <w:tblW w:w="0" w:type="auto"/>
        <w:jc w:val="center"/>
        <w:tblLook w:val="04A0" w:firstRow="1" w:lastRow="0" w:firstColumn="1" w:lastColumn="0" w:noHBand="0" w:noVBand="1"/>
      </w:tblPr>
      <w:tblGrid>
        <w:gridCol w:w="675"/>
        <w:gridCol w:w="1985"/>
        <w:gridCol w:w="4536"/>
        <w:gridCol w:w="3820"/>
      </w:tblGrid>
      <w:tr w:rsidR="00B83C2B" w:rsidRPr="00B83C2B" w:rsidTr="00EB1B85">
        <w:trPr>
          <w:jc w:val="center"/>
        </w:trPr>
        <w:tc>
          <w:tcPr>
            <w:tcW w:w="675" w:type="dxa"/>
            <w:shd w:val="clear" w:color="auto" w:fill="FABF8F" w:themeFill="accent6" w:themeFillTint="99"/>
          </w:tcPr>
          <w:p w:rsidR="00B83C2B" w:rsidRPr="00B83C2B" w:rsidRDefault="00B83C2B" w:rsidP="00B83C2B">
            <w:pPr>
              <w:pStyle w:val="Sansinterligne"/>
            </w:pPr>
          </w:p>
        </w:tc>
        <w:tc>
          <w:tcPr>
            <w:tcW w:w="10341" w:type="dxa"/>
            <w:gridSpan w:val="3"/>
            <w:shd w:val="clear" w:color="auto" w:fill="4F81BD" w:themeFill="accent1"/>
          </w:tcPr>
          <w:p w:rsidR="00B83C2B" w:rsidRPr="00BB27B9" w:rsidRDefault="00B83C2B" w:rsidP="00BB27B9">
            <w:pPr>
              <w:pStyle w:val="Sansinterligne"/>
              <w:jc w:val="center"/>
              <w:rPr>
                <w:b/>
              </w:rPr>
            </w:pPr>
            <w:r w:rsidRPr="00BB27B9">
              <w:rPr>
                <w:b/>
              </w:rPr>
              <w:t>Œil rouge traumatique</w:t>
            </w:r>
          </w:p>
        </w:tc>
      </w:tr>
      <w:tr w:rsidR="00BB27B9" w:rsidRPr="00B83C2B" w:rsidTr="0019011C">
        <w:trPr>
          <w:trHeight w:val="296"/>
          <w:jc w:val="center"/>
        </w:trPr>
        <w:tc>
          <w:tcPr>
            <w:tcW w:w="675" w:type="dxa"/>
            <w:vMerge w:val="restart"/>
            <w:shd w:val="clear" w:color="auto" w:fill="FABF8F" w:themeFill="accent6" w:themeFillTint="99"/>
            <w:textDirection w:val="btLr"/>
            <w:vAlign w:val="center"/>
          </w:tcPr>
          <w:p w:rsidR="00BB27B9" w:rsidRPr="00B83C2B" w:rsidRDefault="00BB27B9" w:rsidP="00BB27B9">
            <w:pPr>
              <w:pStyle w:val="Sansinterligne"/>
              <w:ind w:left="113" w:right="113"/>
              <w:jc w:val="center"/>
            </w:pPr>
            <w:r>
              <w:t>Baisse d’AV</w:t>
            </w:r>
          </w:p>
        </w:tc>
        <w:tc>
          <w:tcPr>
            <w:tcW w:w="1985" w:type="dxa"/>
            <w:shd w:val="clear" w:color="auto" w:fill="95B3D7" w:themeFill="accent1" w:themeFillTint="99"/>
          </w:tcPr>
          <w:p w:rsidR="00BB27B9" w:rsidRPr="008E408C" w:rsidRDefault="00BB27B9" w:rsidP="008E408C">
            <w:pPr>
              <w:pStyle w:val="Sansinterligne"/>
              <w:jc w:val="center"/>
              <w:rPr>
                <w:i/>
              </w:rPr>
            </w:pPr>
            <w:r w:rsidRPr="008E408C">
              <w:rPr>
                <w:i/>
              </w:rPr>
              <w:t>Diagnostic</w:t>
            </w:r>
          </w:p>
        </w:tc>
        <w:tc>
          <w:tcPr>
            <w:tcW w:w="4536" w:type="dxa"/>
            <w:shd w:val="clear" w:color="auto" w:fill="95B3D7" w:themeFill="accent1" w:themeFillTint="99"/>
          </w:tcPr>
          <w:p w:rsidR="00BB27B9" w:rsidRPr="008E408C" w:rsidRDefault="00BB27B9" w:rsidP="008E408C">
            <w:pPr>
              <w:pStyle w:val="Sansinterligne"/>
              <w:jc w:val="center"/>
              <w:rPr>
                <w:i/>
              </w:rPr>
            </w:pPr>
            <w:r w:rsidRPr="008E408C">
              <w:rPr>
                <w:i/>
              </w:rPr>
              <w:t>Manifestations cliniques</w:t>
            </w:r>
          </w:p>
        </w:tc>
        <w:tc>
          <w:tcPr>
            <w:tcW w:w="3820" w:type="dxa"/>
            <w:shd w:val="clear" w:color="auto" w:fill="95B3D7" w:themeFill="accent1" w:themeFillTint="99"/>
          </w:tcPr>
          <w:p w:rsidR="00BB27B9" w:rsidRPr="008E408C" w:rsidRDefault="00BB27B9" w:rsidP="008E408C">
            <w:pPr>
              <w:pStyle w:val="Sansinterligne"/>
              <w:jc w:val="center"/>
              <w:rPr>
                <w:i/>
              </w:rPr>
            </w:pPr>
            <w:r w:rsidRPr="008E408C">
              <w:rPr>
                <w:i/>
              </w:rPr>
              <w:t>Prise en charge</w:t>
            </w:r>
          </w:p>
        </w:tc>
      </w:tr>
      <w:tr w:rsidR="00BB27B9" w:rsidRPr="00B83C2B" w:rsidTr="0019011C">
        <w:trPr>
          <w:jc w:val="center"/>
        </w:trPr>
        <w:tc>
          <w:tcPr>
            <w:tcW w:w="675" w:type="dxa"/>
            <w:vMerge/>
            <w:shd w:val="clear" w:color="auto" w:fill="FABF8F" w:themeFill="accent6" w:themeFillTint="99"/>
          </w:tcPr>
          <w:p w:rsidR="00BB27B9" w:rsidRPr="00B83C2B" w:rsidRDefault="00BB27B9" w:rsidP="00B83C2B">
            <w:pPr>
              <w:pStyle w:val="Sansinterligne"/>
            </w:pPr>
          </w:p>
        </w:tc>
        <w:tc>
          <w:tcPr>
            <w:tcW w:w="1985" w:type="dxa"/>
            <w:shd w:val="clear" w:color="auto" w:fill="95B3D7" w:themeFill="accent1" w:themeFillTint="99"/>
            <w:vAlign w:val="center"/>
          </w:tcPr>
          <w:p w:rsidR="00BB27B9" w:rsidRPr="00B83C2B" w:rsidRDefault="00BB27B9" w:rsidP="008E408C">
            <w:pPr>
              <w:pStyle w:val="Sansinterligne"/>
              <w:jc w:val="center"/>
            </w:pPr>
            <w:r>
              <w:t>Érosion cornéenne</w:t>
            </w:r>
          </w:p>
        </w:tc>
        <w:tc>
          <w:tcPr>
            <w:tcW w:w="4536" w:type="dxa"/>
          </w:tcPr>
          <w:p w:rsidR="00E13662" w:rsidRDefault="00E13662" w:rsidP="00B83C2B">
            <w:pPr>
              <w:pStyle w:val="Sansinterligne"/>
            </w:pPr>
            <w:r>
              <w:t>Corps étranger externe, lésion avec doigts, lentilles, etc.</w:t>
            </w:r>
          </w:p>
          <w:p w:rsidR="00E13662" w:rsidRDefault="00E13662" w:rsidP="00B83C2B">
            <w:pPr>
              <w:pStyle w:val="Sansinterligne"/>
            </w:pPr>
            <w:r>
              <w:t>Douloureux</w:t>
            </w:r>
          </w:p>
          <w:p w:rsidR="00BB27B9" w:rsidRDefault="00C54CEE" w:rsidP="00B83C2B">
            <w:pPr>
              <w:pStyle w:val="Sansinterligne"/>
            </w:pPr>
            <w:r>
              <w:t>Sensation de corps étranger</w:t>
            </w:r>
          </w:p>
          <w:p w:rsidR="00C54CEE" w:rsidRDefault="00C54CEE" w:rsidP="00B83C2B">
            <w:pPr>
              <w:pStyle w:val="Sansinterligne"/>
            </w:pPr>
            <w:r>
              <w:t>Lésions cornéennes visibles</w:t>
            </w:r>
          </w:p>
          <w:p w:rsidR="00C54CEE" w:rsidRPr="00B83C2B" w:rsidRDefault="00C54CEE" w:rsidP="00B83C2B">
            <w:pPr>
              <w:pStyle w:val="Sansinterligne"/>
            </w:pPr>
          </w:p>
        </w:tc>
        <w:tc>
          <w:tcPr>
            <w:tcW w:w="3820" w:type="dxa"/>
          </w:tcPr>
          <w:p w:rsidR="00C54CEE" w:rsidRDefault="00E13662" w:rsidP="00836D9A">
            <w:pPr>
              <w:pStyle w:val="Sansinterligne"/>
              <w:numPr>
                <w:ilvl w:val="0"/>
                <w:numId w:val="1660"/>
              </w:numPr>
            </w:pPr>
            <w:r>
              <w:t>Antibiotique topique PRN</w:t>
            </w:r>
          </w:p>
          <w:p w:rsidR="00E13662" w:rsidRDefault="00E13662" w:rsidP="00836D9A">
            <w:pPr>
              <w:pStyle w:val="Sansinterligne"/>
              <w:numPr>
                <w:ilvl w:val="0"/>
                <w:numId w:val="1660"/>
              </w:numPr>
            </w:pPr>
            <w:r>
              <w:t xml:space="preserve">AINS topique PRN </w:t>
            </w:r>
          </w:p>
          <w:p w:rsidR="00E13662" w:rsidRDefault="00E13662" w:rsidP="00836D9A">
            <w:pPr>
              <w:pStyle w:val="Sansinterligne"/>
              <w:numPr>
                <w:ilvl w:val="0"/>
                <w:numId w:val="1660"/>
              </w:numPr>
            </w:pPr>
            <w:r>
              <w:t xml:space="preserve">Résolution en 24-48h </w:t>
            </w:r>
          </w:p>
          <w:p w:rsidR="00C54CEE" w:rsidRPr="00B83C2B" w:rsidRDefault="00C54CEE" w:rsidP="00B83C2B">
            <w:pPr>
              <w:pStyle w:val="Sansinterligne"/>
            </w:pPr>
          </w:p>
        </w:tc>
      </w:tr>
      <w:tr w:rsidR="00BB27B9" w:rsidRPr="00B83C2B" w:rsidTr="00333013">
        <w:trPr>
          <w:jc w:val="center"/>
        </w:trPr>
        <w:tc>
          <w:tcPr>
            <w:tcW w:w="675" w:type="dxa"/>
            <w:vMerge/>
            <w:shd w:val="clear" w:color="auto" w:fill="FABF8F" w:themeFill="accent6" w:themeFillTint="99"/>
          </w:tcPr>
          <w:p w:rsidR="00BB27B9" w:rsidRPr="00B83C2B" w:rsidRDefault="00BB27B9" w:rsidP="00B83C2B">
            <w:pPr>
              <w:pStyle w:val="Sansinterligne"/>
            </w:pPr>
          </w:p>
        </w:tc>
        <w:tc>
          <w:tcPr>
            <w:tcW w:w="1985" w:type="dxa"/>
            <w:shd w:val="clear" w:color="auto" w:fill="95B3D7" w:themeFill="accent1" w:themeFillTint="99"/>
            <w:vAlign w:val="center"/>
          </w:tcPr>
          <w:p w:rsidR="00BB27B9" w:rsidRPr="00B83C2B" w:rsidRDefault="00BB27B9" w:rsidP="008E408C">
            <w:pPr>
              <w:pStyle w:val="Sansinterligne"/>
              <w:jc w:val="center"/>
            </w:pPr>
            <w:r>
              <w:t xml:space="preserve">Corps étranger </w:t>
            </w:r>
            <w:r>
              <w:rPr>
                <w:rFonts w:cs="Times New Roman"/>
              </w:rPr>
              <w:t>±</w:t>
            </w:r>
            <w:r>
              <w:t xml:space="preserve"> sidérose</w:t>
            </w:r>
          </w:p>
        </w:tc>
        <w:tc>
          <w:tcPr>
            <w:tcW w:w="4536" w:type="dxa"/>
            <w:shd w:val="clear" w:color="auto" w:fill="FFFF00"/>
          </w:tcPr>
          <w:p w:rsidR="00BB27B9" w:rsidRDefault="00C56F70" w:rsidP="00B83C2B">
            <w:pPr>
              <w:pStyle w:val="Sansinterligne"/>
            </w:pPr>
            <w:r>
              <w:t>Sensation de corps étranger</w:t>
            </w:r>
          </w:p>
          <w:p w:rsidR="00C56F70" w:rsidRDefault="00C56F70" w:rsidP="00B83C2B">
            <w:pPr>
              <w:pStyle w:val="Sansinterligne"/>
            </w:pPr>
            <w:r>
              <w:t>Atteinte visuelle variable selon localisation</w:t>
            </w:r>
          </w:p>
          <w:p w:rsidR="00C56F70" w:rsidRPr="00E13662" w:rsidRDefault="00E13662" w:rsidP="00B83C2B">
            <w:pPr>
              <w:pStyle w:val="Sansinterligne"/>
              <w:rPr>
                <w:b/>
              </w:rPr>
            </w:pPr>
            <w:r>
              <w:rPr>
                <w:b/>
              </w:rPr>
              <w:t>Histoire</w:t>
            </w:r>
            <w:r w:rsidR="00C56F70" w:rsidRPr="00E13662">
              <w:rPr>
                <w:b/>
              </w:rPr>
              <w:t xml:space="preserve"> de trauma (ex métal vs métal)</w:t>
            </w:r>
          </w:p>
          <w:p w:rsidR="00C56F70" w:rsidRPr="00E13662" w:rsidRDefault="00C56F70" w:rsidP="00B83C2B">
            <w:pPr>
              <w:pStyle w:val="Sansinterligne"/>
              <w:rPr>
                <w:b/>
              </w:rPr>
            </w:pPr>
            <w:r w:rsidRPr="00E13662">
              <w:rPr>
                <w:b/>
              </w:rPr>
              <w:t xml:space="preserve">Si métallique </w:t>
            </w:r>
            <w:r w:rsidRPr="00E13662">
              <w:rPr>
                <w:rFonts w:ascii="Century Gothic" w:hAnsi="Century Gothic"/>
                <w:b/>
              </w:rPr>
              <w:t>→</w:t>
            </w:r>
            <w:r w:rsidRPr="00E13662">
              <w:rPr>
                <w:b/>
              </w:rPr>
              <w:t xml:space="preserve"> sidérose</w:t>
            </w:r>
          </w:p>
          <w:p w:rsidR="00C56F70" w:rsidRDefault="00C56F70" w:rsidP="00B83C2B">
            <w:pPr>
              <w:pStyle w:val="Sansinterligne"/>
            </w:pPr>
            <w:r>
              <w:t>Hyperhémie conjonctivale</w:t>
            </w:r>
          </w:p>
          <w:p w:rsidR="00E13662" w:rsidRDefault="00E13662" w:rsidP="00B83C2B">
            <w:pPr>
              <w:pStyle w:val="Sansinterligne"/>
            </w:pPr>
            <w:r>
              <w:t>Larmoiement</w:t>
            </w:r>
          </w:p>
          <w:p w:rsidR="00E13662" w:rsidRPr="00B83C2B" w:rsidRDefault="00E13662" w:rsidP="00B83C2B">
            <w:pPr>
              <w:pStyle w:val="Sansinterligne"/>
            </w:pPr>
            <w:r>
              <w:t>Photophobie</w:t>
            </w:r>
          </w:p>
        </w:tc>
        <w:tc>
          <w:tcPr>
            <w:tcW w:w="3820" w:type="dxa"/>
            <w:shd w:val="clear" w:color="auto" w:fill="FFFF00"/>
          </w:tcPr>
          <w:p w:rsidR="00BB27B9" w:rsidRDefault="00C56F70" w:rsidP="00836D9A">
            <w:pPr>
              <w:pStyle w:val="Sansinterligne"/>
              <w:numPr>
                <w:ilvl w:val="0"/>
                <w:numId w:val="1660"/>
              </w:numPr>
            </w:pPr>
            <w:r>
              <w:t>Exérèse du corps étranger</w:t>
            </w:r>
            <w:r w:rsidR="00E13662">
              <w:t xml:space="preserve"> avec aiguille sous anesthésie topique</w:t>
            </w:r>
          </w:p>
          <w:p w:rsidR="00C56F70" w:rsidRDefault="00C56F70" w:rsidP="00836D9A">
            <w:pPr>
              <w:pStyle w:val="Sansinterligne"/>
              <w:numPr>
                <w:ilvl w:val="0"/>
                <w:numId w:val="1660"/>
              </w:numPr>
            </w:pPr>
            <w:r>
              <w:t>(surtout si métallique)</w:t>
            </w:r>
          </w:p>
          <w:p w:rsidR="00C56F70" w:rsidRDefault="00C56F70" w:rsidP="00836D9A">
            <w:pPr>
              <w:pStyle w:val="Sansinterligne"/>
              <w:numPr>
                <w:ilvl w:val="0"/>
                <w:numId w:val="1660"/>
              </w:numPr>
            </w:pPr>
            <w:r>
              <w:t>Onguent antibiotique topique</w:t>
            </w:r>
          </w:p>
          <w:p w:rsidR="00C56F70" w:rsidRPr="00B83C2B" w:rsidRDefault="00C56F70" w:rsidP="00836D9A">
            <w:pPr>
              <w:pStyle w:val="Sansinterligne"/>
              <w:numPr>
                <w:ilvl w:val="0"/>
                <w:numId w:val="1660"/>
              </w:numPr>
            </w:pPr>
            <w:r>
              <w:t>Suivi et retrait de sidérose résiduelle</w:t>
            </w:r>
          </w:p>
        </w:tc>
      </w:tr>
      <w:tr w:rsidR="00BB27B9" w:rsidRPr="00B83C2B" w:rsidTr="0019011C">
        <w:trPr>
          <w:jc w:val="center"/>
        </w:trPr>
        <w:tc>
          <w:tcPr>
            <w:tcW w:w="675" w:type="dxa"/>
            <w:vMerge/>
            <w:shd w:val="clear" w:color="auto" w:fill="FABF8F" w:themeFill="accent6" w:themeFillTint="99"/>
          </w:tcPr>
          <w:p w:rsidR="00BB27B9" w:rsidRPr="00B83C2B" w:rsidRDefault="00BB27B9" w:rsidP="00B83C2B">
            <w:pPr>
              <w:pStyle w:val="Sansinterligne"/>
            </w:pPr>
          </w:p>
        </w:tc>
        <w:tc>
          <w:tcPr>
            <w:tcW w:w="1985" w:type="dxa"/>
            <w:shd w:val="clear" w:color="auto" w:fill="95B3D7" w:themeFill="accent1" w:themeFillTint="99"/>
            <w:vAlign w:val="center"/>
          </w:tcPr>
          <w:p w:rsidR="00BB27B9" w:rsidRPr="00B83C2B" w:rsidRDefault="00BB27B9" w:rsidP="008E408C">
            <w:pPr>
              <w:pStyle w:val="Sansinterligne"/>
              <w:jc w:val="center"/>
            </w:pPr>
            <w:r>
              <w:t>Hyphéma</w:t>
            </w:r>
          </w:p>
        </w:tc>
        <w:tc>
          <w:tcPr>
            <w:tcW w:w="4536" w:type="dxa"/>
          </w:tcPr>
          <w:p w:rsidR="00BB27B9" w:rsidRDefault="007E60BC" w:rsidP="00B83C2B">
            <w:pPr>
              <w:pStyle w:val="Sansinterligne"/>
            </w:pPr>
            <w:r>
              <w:t>Histoire de trauma</w:t>
            </w:r>
          </w:p>
          <w:p w:rsidR="007E60BC" w:rsidRPr="00B83C2B" w:rsidRDefault="00836D9A" w:rsidP="007E60BC">
            <w:pPr>
              <w:pStyle w:val="Sansinterligne"/>
            </w:pPr>
            <w:r>
              <w:rPr>
                <w:noProof/>
                <w:lang w:eastAsia="fr-CA"/>
              </w:rPr>
              <w:drawing>
                <wp:anchor distT="0" distB="0" distL="114300" distR="114300" simplePos="0" relativeHeight="252214272" behindDoc="1" locked="0" layoutInCell="1" allowOverlap="1" wp14:anchorId="17D8298F" wp14:editId="5ABF0B38">
                  <wp:simplePos x="0" y="0"/>
                  <wp:positionH relativeFrom="column">
                    <wp:posOffset>1766570</wp:posOffset>
                  </wp:positionH>
                  <wp:positionV relativeFrom="paragraph">
                    <wp:posOffset>81280</wp:posOffset>
                  </wp:positionV>
                  <wp:extent cx="1036320" cy="1604010"/>
                  <wp:effectExtent l="0" t="0" r="0" b="0"/>
                  <wp:wrapNone/>
                  <wp:docPr id="677" name="Image 677" descr="Résultat de recherche d'images pour &quot;carte de snellen&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ésultat de recherche d'images pour &quot;carte de snellen&quot;"/>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036320" cy="1604010"/>
                          </a:xfrm>
                          <a:prstGeom prst="rect">
                            <a:avLst/>
                          </a:prstGeom>
                          <a:noFill/>
                          <a:ln>
                            <a:noFill/>
                          </a:ln>
                        </pic:spPr>
                      </pic:pic>
                    </a:graphicData>
                  </a:graphic>
                  <wp14:sizeRelH relativeFrom="page">
                    <wp14:pctWidth>0</wp14:pctWidth>
                  </wp14:sizeRelH>
                  <wp14:sizeRelV relativeFrom="page">
                    <wp14:pctHeight>0</wp14:pctHeight>
                  </wp14:sizeRelV>
                </wp:anchor>
              </w:drawing>
            </w:r>
            <w:r w:rsidR="007E60BC">
              <w:t>Niveau sanguin visible derrière la cornée</w:t>
            </w:r>
          </w:p>
        </w:tc>
        <w:tc>
          <w:tcPr>
            <w:tcW w:w="3820" w:type="dxa"/>
          </w:tcPr>
          <w:p w:rsidR="00BB27B9" w:rsidRDefault="005E79AE" w:rsidP="00836D9A">
            <w:pPr>
              <w:pStyle w:val="Sansinterligne"/>
              <w:numPr>
                <w:ilvl w:val="0"/>
                <w:numId w:val="1660"/>
              </w:numPr>
            </w:pPr>
            <w:r>
              <w:t>Référence en ophtalmologie</w:t>
            </w:r>
          </w:p>
          <w:p w:rsidR="005E79AE" w:rsidRPr="00B83C2B" w:rsidRDefault="005E79AE" w:rsidP="00836D9A">
            <w:pPr>
              <w:pStyle w:val="Sansinterligne"/>
              <w:numPr>
                <w:ilvl w:val="0"/>
                <w:numId w:val="1660"/>
              </w:numPr>
            </w:pPr>
            <w:r>
              <w:t>Coquille sur l’œil et repos x 5 jours</w:t>
            </w:r>
          </w:p>
        </w:tc>
      </w:tr>
      <w:tr w:rsidR="00BB27B9" w:rsidRPr="00B83C2B" w:rsidTr="00333013">
        <w:trPr>
          <w:jc w:val="center"/>
        </w:trPr>
        <w:tc>
          <w:tcPr>
            <w:tcW w:w="675" w:type="dxa"/>
            <w:vMerge/>
            <w:shd w:val="clear" w:color="auto" w:fill="FABF8F" w:themeFill="accent6" w:themeFillTint="99"/>
          </w:tcPr>
          <w:p w:rsidR="00BB27B9" w:rsidRPr="00B83C2B" w:rsidRDefault="00BB27B9" w:rsidP="00B83C2B">
            <w:pPr>
              <w:pStyle w:val="Sansinterligne"/>
            </w:pPr>
          </w:p>
        </w:tc>
        <w:tc>
          <w:tcPr>
            <w:tcW w:w="1985" w:type="dxa"/>
            <w:shd w:val="clear" w:color="auto" w:fill="95B3D7" w:themeFill="accent1" w:themeFillTint="99"/>
            <w:vAlign w:val="center"/>
          </w:tcPr>
          <w:p w:rsidR="00BB27B9" w:rsidRPr="00B83C2B" w:rsidRDefault="00BB27B9" w:rsidP="008E408C">
            <w:pPr>
              <w:pStyle w:val="Sansinterligne"/>
              <w:jc w:val="center"/>
            </w:pPr>
            <w:r>
              <w:t xml:space="preserve">Kératoconjonctivite chimique </w:t>
            </w:r>
            <w:r w:rsidR="008E408C">
              <w:t xml:space="preserve">                 </w:t>
            </w:r>
            <w:r>
              <w:t>(brûlure chimique)</w:t>
            </w:r>
          </w:p>
        </w:tc>
        <w:tc>
          <w:tcPr>
            <w:tcW w:w="4536" w:type="dxa"/>
          </w:tcPr>
          <w:p w:rsidR="00BB27B9" w:rsidRDefault="00F65B8A" w:rsidP="00B83C2B">
            <w:pPr>
              <w:pStyle w:val="Sansinterligne"/>
            </w:pPr>
            <w:r>
              <w:t>Histoire de brûlure chimique</w:t>
            </w:r>
          </w:p>
          <w:p w:rsidR="00F65B8A" w:rsidRDefault="00F65B8A" w:rsidP="00B83C2B">
            <w:pPr>
              <w:pStyle w:val="Sansinterligne"/>
            </w:pPr>
            <w:r>
              <w:t>Douleur</w:t>
            </w:r>
          </w:p>
          <w:p w:rsidR="00F65B8A" w:rsidRPr="00B83C2B" w:rsidRDefault="00F65B8A" w:rsidP="00B83C2B">
            <w:pPr>
              <w:pStyle w:val="Sansinterligne"/>
            </w:pPr>
            <w:r>
              <w:t>Érythème +++</w:t>
            </w:r>
          </w:p>
        </w:tc>
        <w:tc>
          <w:tcPr>
            <w:tcW w:w="3820" w:type="dxa"/>
            <w:shd w:val="clear" w:color="auto" w:fill="FFFF00"/>
          </w:tcPr>
          <w:p w:rsidR="00BB27B9" w:rsidRDefault="00F65B8A" w:rsidP="00836D9A">
            <w:pPr>
              <w:pStyle w:val="Sansinterligne"/>
              <w:numPr>
                <w:ilvl w:val="0"/>
                <w:numId w:val="1660"/>
              </w:numPr>
            </w:pPr>
            <w:r>
              <w:t>Urgence médicale</w:t>
            </w:r>
          </w:p>
          <w:p w:rsidR="00F65B8A" w:rsidRDefault="00F65B8A" w:rsidP="00836D9A">
            <w:pPr>
              <w:pStyle w:val="Sansinterligne"/>
              <w:numPr>
                <w:ilvl w:val="0"/>
                <w:numId w:val="1660"/>
              </w:numPr>
            </w:pPr>
            <w:r>
              <w:t>Irrigation de l’œil avec NS x 1L x 15 min ou ad normalisation pH</w:t>
            </w:r>
          </w:p>
          <w:p w:rsidR="00F65B8A" w:rsidRDefault="00F65B8A" w:rsidP="00836D9A">
            <w:pPr>
              <w:pStyle w:val="Sansinterligne"/>
              <w:numPr>
                <w:ilvl w:val="0"/>
                <w:numId w:val="1660"/>
              </w:numPr>
            </w:pPr>
            <w:r>
              <w:t>Nettoyer les culs-de-sac conjonctivaux</w:t>
            </w:r>
          </w:p>
          <w:p w:rsidR="00F65B8A" w:rsidRDefault="00F65B8A" w:rsidP="00836D9A">
            <w:pPr>
              <w:pStyle w:val="Sansinterligne"/>
              <w:numPr>
                <w:ilvl w:val="0"/>
                <w:numId w:val="1660"/>
              </w:numPr>
            </w:pPr>
            <w:r>
              <w:t>Vérifier pH oculaire (ad normalisation)</w:t>
            </w:r>
          </w:p>
          <w:p w:rsidR="00F65B8A" w:rsidRDefault="00F65B8A" w:rsidP="00836D9A">
            <w:pPr>
              <w:pStyle w:val="Sansinterligne"/>
              <w:numPr>
                <w:ilvl w:val="0"/>
                <w:numId w:val="1660"/>
              </w:numPr>
            </w:pPr>
            <w:r>
              <w:t xml:space="preserve">ATB topique </w:t>
            </w:r>
          </w:p>
          <w:p w:rsidR="00F65B8A" w:rsidRPr="00B83C2B" w:rsidRDefault="00F65B8A" w:rsidP="00B83C2B">
            <w:pPr>
              <w:pStyle w:val="Sansinterligne"/>
            </w:pPr>
          </w:p>
        </w:tc>
      </w:tr>
      <w:tr w:rsidR="00BB27B9" w:rsidRPr="00B83C2B" w:rsidTr="0019011C">
        <w:trPr>
          <w:jc w:val="center"/>
        </w:trPr>
        <w:tc>
          <w:tcPr>
            <w:tcW w:w="675" w:type="dxa"/>
            <w:vMerge/>
            <w:shd w:val="clear" w:color="auto" w:fill="FABF8F" w:themeFill="accent6" w:themeFillTint="99"/>
          </w:tcPr>
          <w:p w:rsidR="00BB27B9" w:rsidRPr="00B83C2B" w:rsidRDefault="00BB27B9" w:rsidP="00B83C2B">
            <w:pPr>
              <w:pStyle w:val="Sansinterligne"/>
            </w:pPr>
          </w:p>
        </w:tc>
        <w:tc>
          <w:tcPr>
            <w:tcW w:w="1985" w:type="dxa"/>
            <w:shd w:val="clear" w:color="auto" w:fill="95B3D7" w:themeFill="accent1" w:themeFillTint="99"/>
            <w:vAlign w:val="center"/>
          </w:tcPr>
          <w:p w:rsidR="00BB27B9" w:rsidRPr="00B83C2B" w:rsidRDefault="00BB27B9" w:rsidP="008E408C">
            <w:pPr>
              <w:pStyle w:val="Sansinterligne"/>
              <w:jc w:val="center"/>
            </w:pPr>
            <w:r>
              <w:t>Perforation</w:t>
            </w:r>
          </w:p>
        </w:tc>
        <w:tc>
          <w:tcPr>
            <w:tcW w:w="4536" w:type="dxa"/>
          </w:tcPr>
          <w:p w:rsidR="00BB27B9" w:rsidRDefault="00F65B8A" w:rsidP="00B83C2B">
            <w:pPr>
              <w:pStyle w:val="Sansinterligne"/>
            </w:pPr>
            <w:r>
              <w:t>Pupille décentrée p/r iris (corectopie)</w:t>
            </w:r>
          </w:p>
          <w:p w:rsidR="00F65B8A" w:rsidRDefault="00F65B8A" w:rsidP="00B83C2B">
            <w:pPr>
              <w:pStyle w:val="Sansinterligne"/>
            </w:pPr>
            <w:r>
              <w:t>Tension oculaire très basse</w:t>
            </w:r>
          </w:p>
          <w:p w:rsidR="00F65B8A" w:rsidRPr="00B83C2B" w:rsidRDefault="00F65B8A" w:rsidP="00F65B8A">
            <w:pPr>
              <w:pStyle w:val="Sansinterligne"/>
            </w:pPr>
            <w:r>
              <w:t>Acuité visuelle très détérioriée</w:t>
            </w:r>
          </w:p>
        </w:tc>
        <w:tc>
          <w:tcPr>
            <w:tcW w:w="3820" w:type="dxa"/>
          </w:tcPr>
          <w:p w:rsidR="00BB27B9" w:rsidRDefault="00F65B8A" w:rsidP="00836D9A">
            <w:pPr>
              <w:pStyle w:val="Sansinterligne"/>
              <w:numPr>
                <w:ilvl w:val="0"/>
                <w:numId w:val="1660"/>
              </w:numPr>
            </w:pPr>
            <w:r>
              <w:t>Urgence chirurgicale</w:t>
            </w:r>
          </w:p>
          <w:p w:rsidR="00F65B8A" w:rsidRDefault="00F65B8A" w:rsidP="00836D9A">
            <w:pPr>
              <w:pStyle w:val="Sansinterligne"/>
              <w:numPr>
                <w:ilvl w:val="0"/>
                <w:numId w:val="1660"/>
              </w:numPr>
            </w:pPr>
            <w:r>
              <w:t>Réparation en ophtalmologie</w:t>
            </w:r>
          </w:p>
          <w:p w:rsidR="00F65B8A" w:rsidRPr="00B83C2B" w:rsidRDefault="00F65B8A" w:rsidP="00836D9A">
            <w:pPr>
              <w:pStyle w:val="Sansinterligne"/>
              <w:numPr>
                <w:ilvl w:val="0"/>
                <w:numId w:val="1660"/>
              </w:numPr>
            </w:pPr>
            <w:r>
              <w:t>Cesser toutes manipulations oculaires</w:t>
            </w:r>
          </w:p>
        </w:tc>
      </w:tr>
    </w:tbl>
    <w:p w:rsidR="001F00D3" w:rsidRDefault="001F00D3">
      <w:pPr>
        <w:rPr>
          <w:rFonts w:cs="Times New Roman"/>
          <w:b/>
          <w:color w:val="548DD4" w:themeColor="text2" w:themeTint="99"/>
        </w:rPr>
      </w:pPr>
    </w:p>
    <w:p w:rsidR="008A227E" w:rsidRDefault="008A227E">
      <w:pPr>
        <w:rPr>
          <w:rFonts w:cs="Times New Roman"/>
          <w:b/>
          <w:color w:val="548DD4" w:themeColor="text2" w:themeTint="99"/>
        </w:rPr>
      </w:pPr>
    </w:p>
    <w:tbl>
      <w:tblPr>
        <w:tblStyle w:val="Grilledutableau"/>
        <w:tblW w:w="10940" w:type="dxa"/>
        <w:tblLook w:val="04A0" w:firstRow="1" w:lastRow="0" w:firstColumn="1" w:lastColumn="0" w:noHBand="0" w:noVBand="1"/>
      </w:tblPr>
      <w:tblGrid>
        <w:gridCol w:w="675"/>
        <w:gridCol w:w="1985"/>
        <w:gridCol w:w="4536"/>
        <w:gridCol w:w="3744"/>
      </w:tblGrid>
      <w:tr w:rsidR="008A227E" w:rsidTr="008A227E">
        <w:tc>
          <w:tcPr>
            <w:tcW w:w="675" w:type="dxa"/>
            <w:shd w:val="clear" w:color="auto" w:fill="FABF8F" w:themeFill="accent6" w:themeFillTint="99"/>
          </w:tcPr>
          <w:p w:rsidR="008A227E" w:rsidRDefault="008A227E" w:rsidP="008E408C">
            <w:pPr>
              <w:pStyle w:val="Sansinterligne"/>
            </w:pPr>
          </w:p>
        </w:tc>
        <w:tc>
          <w:tcPr>
            <w:tcW w:w="10265" w:type="dxa"/>
            <w:gridSpan w:val="3"/>
            <w:shd w:val="clear" w:color="auto" w:fill="4F81BD" w:themeFill="accent1"/>
          </w:tcPr>
          <w:p w:rsidR="008A227E" w:rsidRPr="005C5FDA" w:rsidRDefault="008A227E" w:rsidP="00403FD2">
            <w:pPr>
              <w:pStyle w:val="Sansinterligne"/>
              <w:jc w:val="center"/>
              <w:rPr>
                <w:b/>
              </w:rPr>
            </w:pPr>
            <w:r w:rsidRPr="005C5FDA">
              <w:rPr>
                <w:b/>
              </w:rPr>
              <w:t>Œil rouge non-traumatique</w:t>
            </w:r>
          </w:p>
        </w:tc>
      </w:tr>
      <w:tr w:rsidR="008A227E" w:rsidTr="008A227E">
        <w:tc>
          <w:tcPr>
            <w:tcW w:w="675" w:type="dxa"/>
            <w:shd w:val="clear" w:color="auto" w:fill="FABF8F" w:themeFill="accent6" w:themeFillTint="99"/>
          </w:tcPr>
          <w:p w:rsidR="008A227E" w:rsidRDefault="008A227E" w:rsidP="008E408C">
            <w:pPr>
              <w:pStyle w:val="Sansinterligne"/>
            </w:pPr>
          </w:p>
        </w:tc>
        <w:tc>
          <w:tcPr>
            <w:tcW w:w="1985" w:type="dxa"/>
            <w:shd w:val="clear" w:color="auto" w:fill="95B3D7" w:themeFill="accent1" w:themeFillTint="99"/>
          </w:tcPr>
          <w:p w:rsidR="008A227E" w:rsidRPr="008E408C" w:rsidRDefault="008A227E" w:rsidP="007E60BC">
            <w:pPr>
              <w:pStyle w:val="Sansinterligne"/>
              <w:jc w:val="center"/>
              <w:rPr>
                <w:i/>
              </w:rPr>
            </w:pPr>
            <w:r w:rsidRPr="008E408C">
              <w:rPr>
                <w:i/>
              </w:rPr>
              <w:t>Diagnostic</w:t>
            </w:r>
          </w:p>
        </w:tc>
        <w:tc>
          <w:tcPr>
            <w:tcW w:w="4536" w:type="dxa"/>
            <w:shd w:val="clear" w:color="auto" w:fill="95B3D7" w:themeFill="accent1" w:themeFillTint="99"/>
          </w:tcPr>
          <w:p w:rsidR="008A227E" w:rsidRPr="008E408C" w:rsidRDefault="008A227E" w:rsidP="007E60BC">
            <w:pPr>
              <w:pStyle w:val="Sansinterligne"/>
              <w:jc w:val="center"/>
              <w:rPr>
                <w:i/>
              </w:rPr>
            </w:pPr>
            <w:r w:rsidRPr="008E408C">
              <w:rPr>
                <w:i/>
              </w:rPr>
              <w:t>Manifestations cliniques</w:t>
            </w:r>
          </w:p>
        </w:tc>
        <w:tc>
          <w:tcPr>
            <w:tcW w:w="3744" w:type="dxa"/>
            <w:shd w:val="clear" w:color="auto" w:fill="95B3D7" w:themeFill="accent1" w:themeFillTint="99"/>
          </w:tcPr>
          <w:p w:rsidR="008A227E" w:rsidRPr="008E408C" w:rsidRDefault="008A227E" w:rsidP="007E60BC">
            <w:pPr>
              <w:pStyle w:val="Sansinterligne"/>
              <w:jc w:val="center"/>
              <w:rPr>
                <w:i/>
              </w:rPr>
            </w:pPr>
            <w:r w:rsidRPr="008E408C">
              <w:rPr>
                <w:i/>
              </w:rPr>
              <w:t>Prise en charge</w:t>
            </w:r>
          </w:p>
        </w:tc>
      </w:tr>
      <w:tr w:rsidR="008A227E" w:rsidTr="008A227E">
        <w:tc>
          <w:tcPr>
            <w:tcW w:w="675" w:type="dxa"/>
            <w:vMerge w:val="restart"/>
            <w:shd w:val="clear" w:color="auto" w:fill="FABF8F" w:themeFill="accent6" w:themeFillTint="99"/>
            <w:textDirection w:val="btLr"/>
            <w:vAlign w:val="center"/>
          </w:tcPr>
          <w:p w:rsidR="008A227E" w:rsidRDefault="008A227E" w:rsidP="00403FD2">
            <w:pPr>
              <w:pStyle w:val="Sansinterligne"/>
              <w:ind w:left="113" w:right="113"/>
              <w:jc w:val="center"/>
            </w:pPr>
            <w:r>
              <w:t>Baisse d’AV</w:t>
            </w:r>
          </w:p>
        </w:tc>
        <w:tc>
          <w:tcPr>
            <w:tcW w:w="1985" w:type="dxa"/>
            <w:shd w:val="clear" w:color="auto" w:fill="95B3D7" w:themeFill="accent1" w:themeFillTint="99"/>
            <w:vAlign w:val="center"/>
          </w:tcPr>
          <w:p w:rsidR="008A227E" w:rsidRDefault="008A227E" w:rsidP="003C492C">
            <w:pPr>
              <w:pStyle w:val="Sansinterligne"/>
              <w:jc w:val="center"/>
            </w:pPr>
            <w:r>
              <w:t>Kératoconjonctivite sèche</w:t>
            </w:r>
          </w:p>
        </w:tc>
        <w:tc>
          <w:tcPr>
            <w:tcW w:w="4536" w:type="dxa"/>
          </w:tcPr>
          <w:p w:rsidR="008A227E" w:rsidRPr="003E4903" w:rsidRDefault="008A227E" w:rsidP="008E408C">
            <w:pPr>
              <w:pStyle w:val="Sansinterligne"/>
              <w:rPr>
                <w:b/>
              </w:rPr>
            </w:pPr>
            <w:r w:rsidRPr="003E4903">
              <w:rPr>
                <w:b/>
              </w:rPr>
              <w:t>Surtout femmes âgées</w:t>
            </w:r>
          </w:p>
          <w:p w:rsidR="008A227E" w:rsidRDefault="008A227E" w:rsidP="008E408C">
            <w:pPr>
              <w:pStyle w:val="Sansinterligne"/>
            </w:pPr>
            <w:r>
              <w:t>Sensation de corps étranger</w:t>
            </w:r>
          </w:p>
          <w:p w:rsidR="008A227E" w:rsidRPr="003E4903" w:rsidRDefault="008A227E" w:rsidP="008E408C">
            <w:pPr>
              <w:pStyle w:val="Sansinterligne"/>
              <w:rPr>
                <w:b/>
              </w:rPr>
            </w:pPr>
            <w:r w:rsidRPr="003E4903">
              <w:rPr>
                <w:b/>
              </w:rPr>
              <w:t>Yeux secs</w:t>
            </w:r>
          </w:p>
          <w:p w:rsidR="008A227E" w:rsidRDefault="008A227E" w:rsidP="008E408C">
            <w:pPr>
              <w:pStyle w:val="Sansinterligne"/>
            </w:pPr>
            <w:r>
              <w:t>Vision floue</w:t>
            </w:r>
          </w:p>
          <w:p w:rsidR="008A227E" w:rsidRDefault="008A227E" w:rsidP="008E408C">
            <w:pPr>
              <w:pStyle w:val="Sansinterligne"/>
            </w:pPr>
            <w:r>
              <w:t xml:space="preserve">Épiphora (larmoiement) </w:t>
            </w:r>
          </w:p>
          <w:p w:rsidR="008A227E" w:rsidRPr="00E13662" w:rsidRDefault="008A227E" w:rsidP="00E90089">
            <w:pPr>
              <w:pStyle w:val="Sansinterligne"/>
              <w:rPr>
                <w:i/>
              </w:rPr>
            </w:pPr>
            <w:r w:rsidRPr="00E13662">
              <w:rPr>
                <w:i/>
              </w:rPr>
              <w:t>Si xérostomie, envisager Syndrome de Sjogren</w:t>
            </w:r>
          </w:p>
        </w:tc>
        <w:tc>
          <w:tcPr>
            <w:tcW w:w="3744" w:type="dxa"/>
          </w:tcPr>
          <w:p w:rsidR="008A227E" w:rsidRDefault="008A227E" w:rsidP="00F4538E">
            <w:pPr>
              <w:pStyle w:val="Sansinterligne"/>
              <w:numPr>
                <w:ilvl w:val="0"/>
                <w:numId w:val="1492"/>
              </w:numPr>
            </w:pPr>
            <w:r>
              <w:t>Gouttes lubrifiantes q 1h (sans agent de conservation)</w:t>
            </w:r>
          </w:p>
          <w:p w:rsidR="008A227E" w:rsidRDefault="008A227E" w:rsidP="00F4538E">
            <w:pPr>
              <w:pStyle w:val="Sansinterligne"/>
              <w:numPr>
                <w:ilvl w:val="0"/>
                <w:numId w:val="1492"/>
              </w:numPr>
            </w:pPr>
            <w:r>
              <w:t>Onguent topique HS</w:t>
            </w:r>
          </w:p>
          <w:p w:rsidR="008A227E" w:rsidRDefault="008A227E" w:rsidP="00F4538E">
            <w:pPr>
              <w:pStyle w:val="Sansinterligne"/>
              <w:numPr>
                <w:ilvl w:val="0"/>
                <w:numId w:val="1492"/>
              </w:numPr>
            </w:pPr>
            <w:r>
              <w:t>Référence en ophtalmologie</w:t>
            </w:r>
          </w:p>
          <w:p w:rsidR="008A227E" w:rsidRDefault="008A227E" w:rsidP="00F4538E">
            <w:pPr>
              <w:pStyle w:val="Sansinterligne"/>
              <w:numPr>
                <w:ilvl w:val="0"/>
                <w:numId w:val="1492"/>
              </w:numPr>
            </w:pPr>
            <w:r>
              <w:t>Bouchons sur canal collecteur PRN</w:t>
            </w:r>
          </w:p>
          <w:p w:rsidR="008A227E" w:rsidRDefault="008A227E" w:rsidP="008E408C">
            <w:pPr>
              <w:pStyle w:val="Sansinterligne"/>
            </w:pPr>
          </w:p>
        </w:tc>
      </w:tr>
      <w:tr w:rsidR="008A227E" w:rsidTr="008A227E">
        <w:tc>
          <w:tcPr>
            <w:tcW w:w="675" w:type="dxa"/>
            <w:vMerge/>
            <w:shd w:val="clear" w:color="auto" w:fill="FABF8F" w:themeFill="accent6" w:themeFillTint="99"/>
          </w:tcPr>
          <w:p w:rsidR="008A227E" w:rsidRDefault="008A227E" w:rsidP="008E408C">
            <w:pPr>
              <w:pStyle w:val="Sansinterligne"/>
            </w:pPr>
          </w:p>
        </w:tc>
        <w:tc>
          <w:tcPr>
            <w:tcW w:w="1985" w:type="dxa"/>
            <w:shd w:val="clear" w:color="auto" w:fill="95B3D7" w:themeFill="accent1" w:themeFillTint="99"/>
            <w:vAlign w:val="center"/>
          </w:tcPr>
          <w:p w:rsidR="008A227E" w:rsidRDefault="008A227E" w:rsidP="0019011C">
            <w:pPr>
              <w:pStyle w:val="Sansinterligne"/>
              <w:jc w:val="center"/>
            </w:pPr>
            <w:r>
              <w:t>Kératite herpétique</w:t>
            </w:r>
          </w:p>
        </w:tc>
        <w:tc>
          <w:tcPr>
            <w:tcW w:w="4536" w:type="dxa"/>
          </w:tcPr>
          <w:p w:rsidR="008A227E" w:rsidRDefault="008A227E" w:rsidP="008E408C">
            <w:pPr>
              <w:pStyle w:val="Sansinterligne"/>
            </w:pPr>
            <w:r>
              <w:t>Douleur, sensation de corps étranger</w:t>
            </w:r>
          </w:p>
          <w:p w:rsidR="008A227E" w:rsidRDefault="008A227E" w:rsidP="008E408C">
            <w:pPr>
              <w:pStyle w:val="Sansinterligne"/>
            </w:pPr>
            <w:r>
              <w:t>Épiphora</w:t>
            </w:r>
          </w:p>
          <w:p w:rsidR="008A227E" w:rsidRDefault="008A227E" w:rsidP="008E408C">
            <w:pPr>
              <w:pStyle w:val="Sansinterligne"/>
            </w:pPr>
            <w:r>
              <w:t>Œdème palpébral</w:t>
            </w:r>
          </w:p>
          <w:p w:rsidR="008A227E" w:rsidRDefault="008A227E" w:rsidP="008E408C">
            <w:pPr>
              <w:pStyle w:val="Sansinterligne"/>
            </w:pPr>
            <w:r>
              <w:t>Diminution de sensation cornéenne</w:t>
            </w:r>
          </w:p>
          <w:p w:rsidR="008A227E" w:rsidRDefault="008A227E" w:rsidP="008E408C">
            <w:pPr>
              <w:pStyle w:val="Sansinterligne"/>
              <w:rPr>
                <w:b/>
              </w:rPr>
            </w:pPr>
            <w:r w:rsidRPr="00E13662">
              <w:rPr>
                <w:b/>
              </w:rPr>
              <w:t>Lésion dendritique à la fluorescéine</w:t>
            </w:r>
          </w:p>
          <w:p w:rsidR="008A227E" w:rsidRDefault="008A227E" w:rsidP="008E408C">
            <w:pPr>
              <w:pStyle w:val="Sansinterligne"/>
              <w:rPr>
                <w:b/>
              </w:rPr>
            </w:pPr>
            <w:r>
              <w:rPr>
                <w:b/>
              </w:rPr>
              <w:t>Adénopathie préauriculaire</w:t>
            </w:r>
          </w:p>
          <w:p w:rsidR="008A227E" w:rsidRPr="00650E12" w:rsidRDefault="008A227E" w:rsidP="008E408C">
            <w:pPr>
              <w:pStyle w:val="Sansinterligne"/>
            </w:pPr>
            <w:r w:rsidRPr="00650E12">
              <w:t>Surtout unilatéral</w:t>
            </w:r>
          </w:p>
        </w:tc>
        <w:tc>
          <w:tcPr>
            <w:tcW w:w="3744" w:type="dxa"/>
          </w:tcPr>
          <w:p w:rsidR="008A227E" w:rsidRDefault="008A227E" w:rsidP="00F4538E">
            <w:pPr>
              <w:pStyle w:val="Sansinterligne"/>
              <w:numPr>
                <w:ilvl w:val="0"/>
                <w:numId w:val="1492"/>
              </w:numPr>
            </w:pPr>
            <w:r>
              <w:t>Débridement dendritique</w:t>
            </w:r>
          </w:p>
          <w:p w:rsidR="008A227E" w:rsidRDefault="008A227E" w:rsidP="00F4538E">
            <w:pPr>
              <w:pStyle w:val="Sansinterligne"/>
              <w:numPr>
                <w:ilvl w:val="0"/>
                <w:numId w:val="1492"/>
              </w:numPr>
            </w:pPr>
            <w:r>
              <w:t>Antiviral topique (trifluridine) 9x/jour</w:t>
            </w:r>
          </w:p>
          <w:p w:rsidR="008A227E" w:rsidRDefault="008A227E" w:rsidP="00F4538E">
            <w:pPr>
              <w:pStyle w:val="Sansinterligne"/>
              <w:numPr>
                <w:ilvl w:val="0"/>
                <w:numId w:val="1492"/>
              </w:numPr>
            </w:pPr>
            <w:r>
              <w:t>Référence en ophtalmologie</w:t>
            </w:r>
          </w:p>
        </w:tc>
      </w:tr>
      <w:tr w:rsidR="008A227E" w:rsidTr="008A227E">
        <w:tc>
          <w:tcPr>
            <w:tcW w:w="675" w:type="dxa"/>
            <w:vMerge/>
            <w:shd w:val="clear" w:color="auto" w:fill="FABF8F" w:themeFill="accent6" w:themeFillTint="99"/>
          </w:tcPr>
          <w:p w:rsidR="008A227E" w:rsidRDefault="008A227E" w:rsidP="008E408C">
            <w:pPr>
              <w:pStyle w:val="Sansinterligne"/>
            </w:pPr>
          </w:p>
        </w:tc>
        <w:tc>
          <w:tcPr>
            <w:tcW w:w="1985" w:type="dxa"/>
            <w:shd w:val="clear" w:color="auto" w:fill="95B3D7" w:themeFill="accent1" w:themeFillTint="99"/>
            <w:vAlign w:val="center"/>
          </w:tcPr>
          <w:p w:rsidR="008A227E" w:rsidRDefault="008A227E" w:rsidP="0019011C">
            <w:pPr>
              <w:pStyle w:val="Sansinterligne"/>
              <w:jc w:val="center"/>
            </w:pPr>
            <w:r>
              <w:t>Ulcère cornéen</w:t>
            </w:r>
          </w:p>
        </w:tc>
        <w:tc>
          <w:tcPr>
            <w:tcW w:w="4536" w:type="dxa"/>
            <w:shd w:val="clear" w:color="auto" w:fill="FFFF00"/>
          </w:tcPr>
          <w:p w:rsidR="008A227E" w:rsidRPr="00E13662" w:rsidRDefault="008A227E" w:rsidP="00E13662">
            <w:pPr>
              <w:pStyle w:val="Sansinterligne"/>
              <w:rPr>
                <w:b/>
              </w:rPr>
            </w:pPr>
            <w:r w:rsidRPr="00E13662">
              <w:rPr>
                <w:b/>
              </w:rPr>
              <w:t>Port de verre de contact prolongé (50%)</w:t>
            </w:r>
          </w:p>
          <w:p w:rsidR="008A227E" w:rsidRDefault="008A227E" w:rsidP="00E13662">
            <w:pPr>
              <w:pStyle w:val="Sansinterligne"/>
            </w:pPr>
            <w:r>
              <w:t xml:space="preserve">Douleur </w:t>
            </w:r>
          </w:p>
          <w:p w:rsidR="008A227E" w:rsidRDefault="008A227E" w:rsidP="00E13662">
            <w:pPr>
              <w:pStyle w:val="Sansinterligne"/>
            </w:pPr>
            <w:r>
              <w:t>Photophobie</w:t>
            </w:r>
          </w:p>
          <w:p w:rsidR="008A227E" w:rsidRDefault="008A227E" w:rsidP="00E13662">
            <w:pPr>
              <w:pStyle w:val="Sansinterligne"/>
            </w:pPr>
            <w:r>
              <w:t>Atteinte visuelle variable</w:t>
            </w:r>
          </w:p>
          <w:p w:rsidR="008A227E" w:rsidRPr="00E13662" w:rsidRDefault="008A227E" w:rsidP="00E13662">
            <w:pPr>
              <w:pStyle w:val="Sansinterligne"/>
              <w:rPr>
                <w:b/>
              </w:rPr>
            </w:pPr>
            <w:r w:rsidRPr="00E13662">
              <w:rPr>
                <w:b/>
              </w:rPr>
              <w:t>Tache blanche visible sur la cornée</w:t>
            </w:r>
          </w:p>
          <w:p w:rsidR="008A227E" w:rsidRDefault="008A227E" w:rsidP="00E13662">
            <w:pPr>
              <w:pStyle w:val="Sansinterligne"/>
            </w:pPr>
            <w:r>
              <w:t>Captation de fluorescéine</w:t>
            </w:r>
          </w:p>
          <w:p w:rsidR="008A227E" w:rsidRDefault="008A227E" w:rsidP="00E13662">
            <w:pPr>
              <w:pStyle w:val="Sansinterligne"/>
            </w:pPr>
            <w:r>
              <w:t>Cellules dans la chambre antérieure</w:t>
            </w:r>
          </w:p>
        </w:tc>
        <w:tc>
          <w:tcPr>
            <w:tcW w:w="3744" w:type="dxa"/>
            <w:shd w:val="clear" w:color="auto" w:fill="FFFF00"/>
          </w:tcPr>
          <w:p w:rsidR="008A227E" w:rsidRPr="00E13662" w:rsidRDefault="008A227E" w:rsidP="00F4538E">
            <w:pPr>
              <w:pStyle w:val="Sansinterligne"/>
              <w:numPr>
                <w:ilvl w:val="0"/>
                <w:numId w:val="1492"/>
              </w:numPr>
              <w:rPr>
                <w:b/>
              </w:rPr>
            </w:pPr>
            <w:r w:rsidRPr="00E13662">
              <w:rPr>
                <w:b/>
              </w:rPr>
              <w:t>Référence urgente en ophtalmologie</w:t>
            </w:r>
          </w:p>
          <w:p w:rsidR="008A227E" w:rsidRDefault="008A227E" w:rsidP="00F4538E">
            <w:pPr>
              <w:pStyle w:val="Sansinterligne"/>
              <w:numPr>
                <w:ilvl w:val="0"/>
                <w:numId w:val="1492"/>
              </w:numPr>
            </w:pPr>
            <w:r>
              <w:t>ATB topique q 1h (moxifloxacin) Culture bactérienne</w:t>
            </w:r>
          </w:p>
          <w:p w:rsidR="008A227E" w:rsidRDefault="008A227E" w:rsidP="00F4538E">
            <w:pPr>
              <w:pStyle w:val="Sansinterligne"/>
              <w:numPr>
                <w:ilvl w:val="0"/>
                <w:numId w:val="1492"/>
              </w:numPr>
            </w:pPr>
            <w:r>
              <w:t xml:space="preserve">Si </w:t>
            </w:r>
            <w:r>
              <w:rPr>
                <w:rFonts w:ascii="Century Gothic" w:hAnsi="Century Gothic"/>
              </w:rPr>
              <w:t>&gt;</w:t>
            </w:r>
            <w:r>
              <w:t xml:space="preserve"> 1mm, Cefazolin + tobramycine</w:t>
            </w:r>
          </w:p>
          <w:p w:rsidR="008A227E" w:rsidRDefault="008A227E" w:rsidP="008E408C">
            <w:pPr>
              <w:pStyle w:val="Sansinterligne"/>
            </w:pPr>
          </w:p>
        </w:tc>
      </w:tr>
      <w:tr w:rsidR="008A227E" w:rsidRPr="00F50340" w:rsidTr="008A227E">
        <w:tc>
          <w:tcPr>
            <w:tcW w:w="675" w:type="dxa"/>
            <w:vMerge/>
            <w:shd w:val="clear" w:color="auto" w:fill="FABF8F" w:themeFill="accent6" w:themeFillTint="99"/>
          </w:tcPr>
          <w:p w:rsidR="008A227E" w:rsidRDefault="008A227E" w:rsidP="008E408C">
            <w:pPr>
              <w:pStyle w:val="Sansinterligne"/>
            </w:pPr>
          </w:p>
        </w:tc>
        <w:tc>
          <w:tcPr>
            <w:tcW w:w="1985" w:type="dxa"/>
            <w:shd w:val="clear" w:color="auto" w:fill="95B3D7" w:themeFill="accent1" w:themeFillTint="99"/>
            <w:vAlign w:val="center"/>
          </w:tcPr>
          <w:p w:rsidR="008A227E" w:rsidRDefault="008A227E" w:rsidP="0019011C">
            <w:pPr>
              <w:pStyle w:val="Sansinterligne"/>
              <w:jc w:val="center"/>
            </w:pPr>
            <w:r>
              <w:t>Uvéite antérieure</w:t>
            </w:r>
          </w:p>
        </w:tc>
        <w:tc>
          <w:tcPr>
            <w:tcW w:w="4536" w:type="dxa"/>
            <w:shd w:val="clear" w:color="auto" w:fill="FFFF00"/>
          </w:tcPr>
          <w:p w:rsidR="008A227E" w:rsidRDefault="008A227E" w:rsidP="008E408C">
            <w:pPr>
              <w:pStyle w:val="Sansinterligne"/>
            </w:pPr>
            <w:r>
              <w:t>Douleur</w:t>
            </w:r>
          </w:p>
          <w:p w:rsidR="008A227E" w:rsidRDefault="008A227E" w:rsidP="008E408C">
            <w:pPr>
              <w:pStyle w:val="Sansinterligne"/>
            </w:pPr>
            <w:r>
              <w:t>Photophobie</w:t>
            </w:r>
          </w:p>
          <w:p w:rsidR="008A227E" w:rsidRPr="00A80587" w:rsidRDefault="008A227E" w:rsidP="008E408C">
            <w:pPr>
              <w:pStyle w:val="Sansinterligne"/>
              <w:rPr>
                <w:b/>
              </w:rPr>
            </w:pPr>
            <w:r w:rsidRPr="00A80587">
              <w:rPr>
                <w:b/>
              </w:rPr>
              <w:t>Miosis</w:t>
            </w:r>
          </w:p>
          <w:p w:rsidR="008A227E" w:rsidRDefault="008A227E" w:rsidP="008E408C">
            <w:pPr>
              <w:pStyle w:val="Sansinterligne"/>
            </w:pPr>
            <w:r>
              <w:t>Parfois hypopion</w:t>
            </w:r>
          </w:p>
          <w:p w:rsidR="008A227E" w:rsidRDefault="008A227E" w:rsidP="008E408C">
            <w:pPr>
              <w:pStyle w:val="Sansinterligne"/>
            </w:pPr>
            <w:r>
              <w:t>Injection ciliaire</w:t>
            </w:r>
          </w:p>
          <w:p w:rsidR="008A227E" w:rsidRDefault="008A227E" w:rsidP="00A80587">
            <w:pPr>
              <w:pStyle w:val="Sansinterligne"/>
            </w:pPr>
            <w:r>
              <w:t>Cellules flottantes dans la chambre antérieure (pathognomonique)</w:t>
            </w:r>
          </w:p>
          <w:p w:rsidR="008A227E" w:rsidRDefault="008A227E" w:rsidP="00A80587">
            <w:pPr>
              <w:pStyle w:val="Sansinterligne"/>
            </w:pPr>
            <w:r>
              <w:t>Précipités kératiques (dépôts blancs sur cornée)</w:t>
            </w:r>
          </w:p>
        </w:tc>
        <w:tc>
          <w:tcPr>
            <w:tcW w:w="3744" w:type="dxa"/>
            <w:shd w:val="clear" w:color="auto" w:fill="FFFF00"/>
          </w:tcPr>
          <w:p w:rsidR="008A227E" w:rsidRDefault="008A227E" w:rsidP="00F4538E">
            <w:pPr>
              <w:pStyle w:val="Sansinterligne"/>
              <w:numPr>
                <w:ilvl w:val="0"/>
                <w:numId w:val="1492"/>
              </w:numPr>
            </w:pPr>
            <w:r>
              <w:t>Homatropine 2% 1gtte q 4h</w:t>
            </w:r>
          </w:p>
          <w:p w:rsidR="008A227E" w:rsidRPr="00F50340" w:rsidRDefault="008A227E" w:rsidP="00F4538E">
            <w:pPr>
              <w:pStyle w:val="Sansinterligne"/>
              <w:numPr>
                <w:ilvl w:val="0"/>
                <w:numId w:val="1492"/>
              </w:numPr>
              <w:rPr>
                <w:lang w:val="en-CA"/>
              </w:rPr>
            </w:pPr>
            <w:r w:rsidRPr="00F50340">
              <w:rPr>
                <w:lang w:val="en-CA"/>
              </w:rPr>
              <w:t>Cyclopentolate 1% 1 gtte TID</w:t>
            </w:r>
          </w:p>
          <w:p w:rsidR="008A227E" w:rsidRPr="00F50340" w:rsidRDefault="008A227E" w:rsidP="00F4538E">
            <w:pPr>
              <w:pStyle w:val="Sansinterligne"/>
              <w:numPr>
                <w:ilvl w:val="0"/>
                <w:numId w:val="1492"/>
              </w:numPr>
              <w:rPr>
                <w:lang w:val="en-CA"/>
              </w:rPr>
            </w:pPr>
            <w:r w:rsidRPr="00F50340">
              <w:rPr>
                <w:lang w:val="en-CA"/>
              </w:rPr>
              <w:t>Prednisolone 1% 1 gtte BID-QID</w:t>
            </w:r>
          </w:p>
          <w:p w:rsidR="008A227E" w:rsidRPr="00F50340" w:rsidRDefault="008A227E" w:rsidP="00F4538E">
            <w:pPr>
              <w:pStyle w:val="Sansinterligne"/>
              <w:numPr>
                <w:ilvl w:val="0"/>
                <w:numId w:val="1492"/>
              </w:numPr>
            </w:pPr>
            <w:r w:rsidRPr="00F50340">
              <w:t>Référer rapidement en ophtalmologie</w:t>
            </w:r>
          </w:p>
          <w:p w:rsidR="008A227E" w:rsidRPr="00F50340" w:rsidRDefault="008A227E" w:rsidP="00F4538E">
            <w:pPr>
              <w:pStyle w:val="Sansinterligne"/>
              <w:numPr>
                <w:ilvl w:val="0"/>
                <w:numId w:val="1492"/>
              </w:numPr>
            </w:pPr>
            <w:r w:rsidRPr="00F50340">
              <w:t xml:space="preserve">Synéchies et glaucoma </w:t>
            </w:r>
            <w:r>
              <w:t>à AF (complications)</w:t>
            </w:r>
          </w:p>
        </w:tc>
      </w:tr>
      <w:tr w:rsidR="008A227E" w:rsidTr="008A227E">
        <w:tc>
          <w:tcPr>
            <w:tcW w:w="675" w:type="dxa"/>
            <w:vMerge/>
            <w:shd w:val="clear" w:color="auto" w:fill="FABF8F" w:themeFill="accent6" w:themeFillTint="99"/>
          </w:tcPr>
          <w:p w:rsidR="008A227E" w:rsidRPr="00F50340" w:rsidRDefault="008A227E" w:rsidP="008E408C">
            <w:pPr>
              <w:pStyle w:val="Sansinterligne"/>
            </w:pPr>
          </w:p>
        </w:tc>
        <w:tc>
          <w:tcPr>
            <w:tcW w:w="1985" w:type="dxa"/>
            <w:shd w:val="clear" w:color="auto" w:fill="95B3D7" w:themeFill="accent1" w:themeFillTint="99"/>
            <w:vAlign w:val="center"/>
          </w:tcPr>
          <w:p w:rsidR="008A227E" w:rsidRDefault="008A227E" w:rsidP="0019011C">
            <w:pPr>
              <w:pStyle w:val="Sansinterligne"/>
              <w:jc w:val="center"/>
            </w:pPr>
            <w:r>
              <w:t>Glaucome à angle fermé</w:t>
            </w:r>
          </w:p>
        </w:tc>
        <w:tc>
          <w:tcPr>
            <w:tcW w:w="4536" w:type="dxa"/>
            <w:shd w:val="clear" w:color="auto" w:fill="FFFF00"/>
          </w:tcPr>
          <w:p w:rsidR="008A227E" w:rsidRDefault="008A227E" w:rsidP="008E408C">
            <w:pPr>
              <w:pStyle w:val="Sansinterligne"/>
            </w:pPr>
            <w:r>
              <w:t>ATCD familiaux</w:t>
            </w:r>
          </w:p>
          <w:p w:rsidR="008A227E" w:rsidRDefault="008A227E" w:rsidP="008E408C">
            <w:pPr>
              <w:pStyle w:val="Sansinterligne"/>
            </w:pPr>
            <w:r>
              <w:rPr>
                <w:rFonts w:ascii="Century Gothic" w:hAnsi="Century Gothic"/>
              </w:rPr>
              <w:t>&gt;</w:t>
            </w:r>
            <w:r>
              <w:t>40 ans</w:t>
            </w:r>
          </w:p>
          <w:p w:rsidR="008A227E" w:rsidRDefault="008A227E" w:rsidP="008E408C">
            <w:pPr>
              <w:pStyle w:val="Sansinterligne"/>
            </w:pPr>
            <w:r>
              <w:t>Hypermétropie</w:t>
            </w:r>
          </w:p>
          <w:p w:rsidR="008A227E" w:rsidRDefault="008A227E" w:rsidP="008E408C">
            <w:pPr>
              <w:pStyle w:val="Sansinterligne"/>
            </w:pPr>
            <w:r>
              <w:t>Vision floue</w:t>
            </w:r>
          </w:p>
          <w:p w:rsidR="008A227E" w:rsidRDefault="008A227E" w:rsidP="008E408C">
            <w:pPr>
              <w:pStyle w:val="Sansinterligne"/>
            </w:pPr>
            <w:r w:rsidRPr="003E4903">
              <w:rPr>
                <w:b/>
              </w:rPr>
              <w:t>Halos</w:t>
            </w:r>
            <w:r>
              <w:t xml:space="preserve"> lumineux le soir</w:t>
            </w:r>
          </w:p>
          <w:p w:rsidR="008A227E" w:rsidRPr="003E4903" w:rsidRDefault="008A227E" w:rsidP="008E408C">
            <w:pPr>
              <w:pStyle w:val="Sansinterligne"/>
              <w:rPr>
                <w:b/>
              </w:rPr>
            </w:pPr>
            <w:r w:rsidRPr="003E4903">
              <w:rPr>
                <w:b/>
              </w:rPr>
              <w:t>Céphalées péri-orbitaires</w:t>
            </w:r>
          </w:p>
          <w:p w:rsidR="008A227E" w:rsidRPr="003E4903" w:rsidRDefault="008A227E" w:rsidP="008E408C">
            <w:pPr>
              <w:pStyle w:val="Sansinterligne"/>
              <w:rPr>
                <w:b/>
              </w:rPr>
            </w:pPr>
            <w:r w:rsidRPr="003E4903">
              <w:rPr>
                <w:b/>
              </w:rPr>
              <w:t>No/Vo</w:t>
            </w:r>
          </w:p>
          <w:p w:rsidR="008A227E" w:rsidRDefault="008A227E" w:rsidP="008E408C">
            <w:pPr>
              <w:pStyle w:val="Sansinterligne"/>
            </w:pPr>
            <w:r>
              <w:t>Œdème cornéen</w:t>
            </w:r>
          </w:p>
          <w:p w:rsidR="008A227E" w:rsidRPr="003E4903" w:rsidRDefault="008A227E" w:rsidP="008E408C">
            <w:pPr>
              <w:pStyle w:val="Sansinterligne"/>
              <w:rPr>
                <w:b/>
              </w:rPr>
            </w:pPr>
            <w:r w:rsidRPr="003E4903">
              <w:rPr>
                <w:b/>
              </w:rPr>
              <w:t>Pupille semi-dilatée et fixe</w:t>
            </w:r>
          </w:p>
          <w:p w:rsidR="008A227E" w:rsidRPr="003E4903" w:rsidRDefault="008A227E" w:rsidP="008E408C">
            <w:pPr>
              <w:pStyle w:val="Sansinterligne"/>
              <w:rPr>
                <w:b/>
              </w:rPr>
            </w:pPr>
            <w:r w:rsidRPr="003E4903">
              <w:rPr>
                <w:b/>
              </w:rPr>
              <w:t xml:space="preserve">Tension intra-oculaire </w:t>
            </w:r>
            <w:r w:rsidRPr="003E4903">
              <w:rPr>
                <w:rFonts w:ascii="Century Gothic" w:hAnsi="Century Gothic"/>
                <w:b/>
              </w:rPr>
              <w:t>&gt;</w:t>
            </w:r>
            <w:r w:rsidRPr="003E4903">
              <w:rPr>
                <w:b/>
              </w:rPr>
              <w:t xml:space="preserve"> 35</w:t>
            </w:r>
          </w:p>
          <w:p w:rsidR="008A227E" w:rsidRDefault="008A227E" w:rsidP="008E408C">
            <w:pPr>
              <w:pStyle w:val="Sansinterligne"/>
            </w:pPr>
            <w:r>
              <w:t>Angle étroit</w:t>
            </w:r>
          </w:p>
        </w:tc>
        <w:tc>
          <w:tcPr>
            <w:tcW w:w="3744" w:type="dxa"/>
            <w:shd w:val="clear" w:color="auto" w:fill="FFFF00"/>
          </w:tcPr>
          <w:p w:rsidR="008A227E" w:rsidRDefault="008A227E" w:rsidP="00F4538E">
            <w:pPr>
              <w:pStyle w:val="Sansinterligne"/>
              <w:numPr>
                <w:ilvl w:val="0"/>
                <w:numId w:val="1492"/>
              </w:numPr>
            </w:pPr>
            <w:r>
              <w:t xml:space="preserve">Antiémétique + Analgésie </w:t>
            </w:r>
          </w:p>
          <w:p w:rsidR="008A227E" w:rsidRPr="005E52A7" w:rsidRDefault="008A227E" w:rsidP="00F4538E">
            <w:pPr>
              <w:pStyle w:val="Sansinterligne"/>
              <w:numPr>
                <w:ilvl w:val="0"/>
                <w:numId w:val="1492"/>
              </w:numPr>
              <w:rPr>
                <w:b/>
              </w:rPr>
            </w:pPr>
            <w:r w:rsidRPr="005E52A7">
              <w:rPr>
                <w:b/>
              </w:rPr>
              <w:t>Réduire TIO</w:t>
            </w:r>
          </w:p>
          <w:p w:rsidR="008A227E" w:rsidRPr="005E52A7" w:rsidRDefault="008A227E" w:rsidP="00F4538E">
            <w:pPr>
              <w:pStyle w:val="Sansinterligne"/>
              <w:numPr>
                <w:ilvl w:val="0"/>
                <w:numId w:val="1492"/>
              </w:numPr>
              <w:rPr>
                <w:lang w:val="en-CA"/>
              </w:rPr>
            </w:pPr>
            <w:r w:rsidRPr="005E52A7">
              <w:rPr>
                <w:lang w:val="en-CA"/>
              </w:rPr>
              <w:t>Timolol 0,25%  1 gtte BID</w:t>
            </w:r>
          </w:p>
          <w:p w:rsidR="008A227E" w:rsidRPr="005E52A7" w:rsidRDefault="008A227E" w:rsidP="00F4538E">
            <w:pPr>
              <w:pStyle w:val="Sansinterligne"/>
              <w:numPr>
                <w:ilvl w:val="0"/>
                <w:numId w:val="1492"/>
              </w:numPr>
              <w:rPr>
                <w:lang w:val="en-CA"/>
              </w:rPr>
            </w:pPr>
            <w:r w:rsidRPr="005E52A7">
              <w:rPr>
                <w:lang w:val="en-CA"/>
              </w:rPr>
              <w:t>Pilocarpine 1% x 3 q 15 min</w:t>
            </w:r>
          </w:p>
          <w:p w:rsidR="008A227E" w:rsidRDefault="008A227E" w:rsidP="00F4538E">
            <w:pPr>
              <w:pStyle w:val="Sansinterligne"/>
              <w:numPr>
                <w:ilvl w:val="0"/>
                <w:numId w:val="1492"/>
              </w:numPr>
            </w:pPr>
            <w:r>
              <w:t>Acetazolamide 250 mg PO</w:t>
            </w:r>
          </w:p>
          <w:p w:rsidR="008A227E" w:rsidRDefault="008A227E" w:rsidP="00F4538E">
            <w:pPr>
              <w:pStyle w:val="Sansinterligne"/>
              <w:numPr>
                <w:ilvl w:val="0"/>
                <w:numId w:val="1492"/>
              </w:numPr>
            </w:pPr>
            <w:r>
              <w:t>Brimonidine 0,2% 1 gtte BID</w:t>
            </w:r>
          </w:p>
          <w:p w:rsidR="008A227E" w:rsidRPr="005E52A7" w:rsidRDefault="008A227E" w:rsidP="00F4538E">
            <w:pPr>
              <w:pStyle w:val="Sansinterligne"/>
              <w:numPr>
                <w:ilvl w:val="0"/>
                <w:numId w:val="1492"/>
              </w:numPr>
              <w:rPr>
                <w:b/>
              </w:rPr>
            </w:pPr>
            <w:r w:rsidRPr="005E52A7">
              <w:rPr>
                <w:b/>
              </w:rPr>
              <w:t>Référer en ophtalmologie</w:t>
            </w:r>
          </w:p>
          <w:p w:rsidR="008A227E" w:rsidRDefault="008A227E" w:rsidP="00F4538E">
            <w:pPr>
              <w:pStyle w:val="Sansinterligne"/>
              <w:numPr>
                <w:ilvl w:val="0"/>
                <w:numId w:val="1492"/>
              </w:numPr>
            </w:pPr>
            <w:r>
              <w:t>Gonioscopie</w:t>
            </w:r>
          </w:p>
          <w:p w:rsidR="008A227E" w:rsidRDefault="008A227E" w:rsidP="00F4538E">
            <w:pPr>
              <w:pStyle w:val="Sansinterligne"/>
              <w:numPr>
                <w:ilvl w:val="0"/>
                <w:numId w:val="1492"/>
              </w:numPr>
            </w:pPr>
            <w:r>
              <w:t>Iridotomie au laser</w:t>
            </w:r>
          </w:p>
          <w:p w:rsidR="008A227E" w:rsidRDefault="008A227E" w:rsidP="00D039D7">
            <w:pPr>
              <w:pStyle w:val="Sansinterligne"/>
            </w:pPr>
          </w:p>
        </w:tc>
      </w:tr>
      <w:tr w:rsidR="008A227E" w:rsidTr="008A227E">
        <w:tc>
          <w:tcPr>
            <w:tcW w:w="675" w:type="dxa"/>
            <w:vMerge/>
            <w:shd w:val="clear" w:color="auto" w:fill="FABF8F" w:themeFill="accent6" w:themeFillTint="99"/>
          </w:tcPr>
          <w:p w:rsidR="008A227E" w:rsidRDefault="008A227E" w:rsidP="008E408C">
            <w:pPr>
              <w:pStyle w:val="Sansinterligne"/>
            </w:pPr>
          </w:p>
        </w:tc>
        <w:tc>
          <w:tcPr>
            <w:tcW w:w="1985" w:type="dxa"/>
            <w:shd w:val="clear" w:color="auto" w:fill="95B3D7" w:themeFill="accent1" w:themeFillTint="99"/>
            <w:vAlign w:val="center"/>
          </w:tcPr>
          <w:p w:rsidR="008A227E" w:rsidRDefault="008A227E" w:rsidP="0019011C">
            <w:pPr>
              <w:pStyle w:val="Sansinterligne"/>
              <w:jc w:val="center"/>
            </w:pPr>
            <w:r>
              <w:t>Sclérite</w:t>
            </w:r>
          </w:p>
        </w:tc>
        <w:tc>
          <w:tcPr>
            <w:tcW w:w="4536" w:type="dxa"/>
          </w:tcPr>
          <w:p w:rsidR="008A227E" w:rsidRDefault="008A227E" w:rsidP="008E408C">
            <w:pPr>
              <w:pStyle w:val="Sansinterligne"/>
            </w:pPr>
            <w:r>
              <w:t>Rougeur sectorielle marquée, profonde</w:t>
            </w:r>
          </w:p>
          <w:p w:rsidR="008A227E" w:rsidRPr="00B60E07" w:rsidRDefault="008A227E" w:rsidP="008E408C">
            <w:pPr>
              <w:pStyle w:val="Sansinterligne"/>
              <w:rPr>
                <w:b/>
              </w:rPr>
            </w:pPr>
            <w:r w:rsidRPr="00B60E07">
              <w:rPr>
                <w:b/>
              </w:rPr>
              <w:t>Douleur intense</w:t>
            </w:r>
          </w:p>
          <w:p w:rsidR="008A227E" w:rsidRDefault="008A227E" w:rsidP="008E408C">
            <w:pPr>
              <w:pStyle w:val="Sansinterligne"/>
            </w:pPr>
            <w:r>
              <w:t>Parfois nodulaire</w:t>
            </w:r>
          </w:p>
          <w:p w:rsidR="008A227E" w:rsidRPr="00B60E07" w:rsidRDefault="008A227E" w:rsidP="008E408C">
            <w:pPr>
              <w:pStyle w:val="Sansinterligne"/>
              <w:rPr>
                <w:b/>
              </w:rPr>
            </w:pPr>
            <w:r w:rsidRPr="00B60E07">
              <w:rPr>
                <w:b/>
              </w:rPr>
              <w:t>50% associées à des maladies systémiques</w:t>
            </w:r>
          </w:p>
          <w:p w:rsidR="008A227E" w:rsidRDefault="008A227E" w:rsidP="008E408C">
            <w:pPr>
              <w:pStyle w:val="Sansinterligne"/>
            </w:pPr>
            <w:r>
              <w:t>PAR, Lupus, sarcoïdose, Wegener, etc.</w:t>
            </w:r>
          </w:p>
          <w:p w:rsidR="008A227E" w:rsidRPr="00B60E07" w:rsidRDefault="008A227E" w:rsidP="008E408C">
            <w:pPr>
              <w:pStyle w:val="Sansinterligne"/>
              <w:rPr>
                <w:b/>
              </w:rPr>
            </w:pPr>
            <w:r w:rsidRPr="00B60E07">
              <w:rPr>
                <w:b/>
              </w:rPr>
              <w:t xml:space="preserve">Rougeur disparait </w:t>
            </w:r>
            <w:r w:rsidRPr="00B60E07">
              <w:rPr>
                <w:rFonts w:cs="Times New Roman"/>
                <w:b/>
              </w:rPr>
              <w:t>Ø</w:t>
            </w:r>
            <w:r w:rsidRPr="00B60E07">
              <w:rPr>
                <w:b/>
              </w:rPr>
              <w:t xml:space="preserve"> avec phényléphrine topique</w:t>
            </w:r>
          </w:p>
        </w:tc>
        <w:tc>
          <w:tcPr>
            <w:tcW w:w="3744" w:type="dxa"/>
          </w:tcPr>
          <w:p w:rsidR="008A227E" w:rsidRDefault="008A227E" w:rsidP="00F4538E">
            <w:pPr>
              <w:pStyle w:val="Sansinterligne"/>
              <w:numPr>
                <w:ilvl w:val="0"/>
                <w:numId w:val="1492"/>
              </w:numPr>
            </w:pPr>
            <w:r>
              <w:t xml:space="preserve">Prednisolone 1% gttes </w:t>
            </w:r>
          </w:p>
          <w:p w:rsidR="008A227E" w:rsidRDefault="008A227E" w:rsidP="00F4538E">
            <w:pPr>
              <w:pStyle w:val="Sansinterligne"/>
              <w:numPr>
                <w:ilvl w:val="0"/>
                <w:numId w:val="1492"/>
              </w:numPr>
            </w:pPr>
            <w:r>
              <w:t>Prednisone PO</w:t>
            </w:r>
          </w:p>
          <w:p w:rsidR="008A227E" w:rsidRDefault="008A227E" w:rsidP="00F4538E">
            <w:pPr>
              <w:pStyle w:val="Sansinterligne"/>
              <w:numPr>
                <w:ilvl w:val="0"/>
                <w:numId w:val="1492"/>
              </w:numPr>
            </w:pPr>
            <w:r>
              <w:t>AINS PO</w:t>
            </w:r>
          </w:p>
          <w:p w:rsidR="008A227E" w:rsidRDefault="008A227E" w:rsidP="00F4538E">
            <w:pPr>
              <w:pStyle w:val="Sansinterligne"/>
              <w:numPr>
                <w:ilvl w:val="0"/>
                <w:numId w:val="1492"/>
              </w:numPr>
            </w:pPr>
            <w:r>
              <w:t>Rechercher une maladie sous-jacente.</w:t>
            </w:r>
          </w:p>
        </w:tc>
      </w:tr>
      <w:tr w:rsidR="008A227E" w:rsidTr="008A227E">
        <w:tc>
          <w:tcPr>
            <w:tcW w:w="675" w:type="dxa"/>
            <w:vMerge/>
            <w:shd w:val="clear" w:color="auto" w:fill="FABF8F" w:themeFill="accent6" w:themeFillTint="99"/>
          </w:tcPr>
          <w:p w:rsidR="008A227E" w:rsidRDefault="008A227E" w:rsidP="008E408C">
            <w:pPr>
              <w:pStyle w:val="Sansinterligne"/>
            </w:pPr>
          </w:p>
        </w:tc>
        <w:tc>
          <w:tcPr>
            <w:tcW w:w="1985" w:type="dxa"/>
            <w:shd w:val="clear" w:color="auto" w:fill="95B3D7" w:themeFill="accent1" w:themeFillTint="99"/>
            <w:vAlign w:val="center"/>
          </w:tcPr>
          <w:p w:rsidR="008A227E" w:rsidRDefault="008A227E" w:rsidP="0019011C">
            <w:pPr>
              <w:pStyle w:val="Sansinterligne"/>
              <w:jc w:val="center"/>
            </w:pPr>
            <w:r>
              <w:t>Cellulite orbitaire</w:t>
            </w:r>
          </w:p>
        </w:tc>
        <w:tc>
          <w:tcPr>
            <w:tcW w:w="4536" w:type="dxa"/>
          </w:tcPr>
          <w:p w:rsidR="008A227E" w:rsidRDefault="008A227E" w:rsidP="008E408C">
            <w:pPr>
              <w:pStyle w:val="Sansinterligne"/>
            </w:pPr>
            <w:r>
              <w:t>Hx de trauma, sinusite ou piqûre d’insecte</w:t>
            </w:r>
          </w:p>
          <w:p w:rsidR="008A227E" w:rsidRDefault="008A227E" w:rsidP="008E408C">
            <w:pPr>
              <w:pStyle w:val="Sansinterligne"/>
            </w:pPr>
            <w:r>
              <w:t>Érythème et œdème palpébral ++</w:t>
            </w:r>
          </w:p>
          <w:p w:rsidR="008A227E" w:rsidRDefault="008A227E" w:rsidP="008E408C">
            <w:pPr>
              <w:pStyle w:val="Sansinterligne"/>
            </w:pPr>
            <w:r>
              <w:t>Érythème oculaire et chemosis</w:t>
            </w:r>
          </w:p>
          <w:p w:rsidR="008A227E" w:rsidRDefault="008A227E" w:rsidP="008E408C">
            <w:pPr>
              <w:pStyle w:val="Sansinterligne"/>
            </w:pPr>
            <w:r>
              <w:t>Proptose</w:t>
            </w:r>
          </w:p>
          <w:p w:rsidR="008A227E" w:rsidRDefault="008A227E" w:rsidP="008E408C">
            <w:pPr>
              <w:pStyle w:val="Sansinterligne"/>
            </w:pPr>
            <w:r>
              <w:t>Douleur a/n l’œil (aux mouvements)</w:t>
            </w:r>
          </w:p>
          <w:p w:rsidR="008A227E" w:rsidRDefault="008A227E" w:rsidP="008E408C">
            <w:pPr>
              <w:pStyle w:val="Sansinterligne"/>
            </w:pPr>
            <w:r>
              <w:t>Mobilité réduire</w:t>
            </w:r>
          </w:p>
          <w:p w:rsidR="008A227E" w:rsidRDefault="008A227E" w:rsidP="005E79AE">
            <w:pPr>
              <w:pStyle w:val="Sansinterligne"/>
            </w:pPr>
            <w:r>
              <w:lastRenderedPageBreak/>
              <w:t>Fièvre</w:t>
            </w:r>
          </w:p>
        </w:tc>
        <w:tc>
          <w:tcPr>
            <w:tcW w:w="3744" w:type="dxa"/>
          </w:tcPr>
          <w:p w:rsidR="008A227E" w:rsidRDefault="008A227E" w:rsidP="00F4538E">
            <w:pPr>
              <w:pStyle w:val="Sansinterligne"/>
              <w:numPr>
                <w:ilvl w:val="0"/>
                <w:numId w:val="1492"/>
              </w:numPr>
            </w:pPr>
            <w:r>
              <w:lastRenderedPageBreak/>
              <w:t>Urgence médicale</w:t>
            </w:r>
          </w:p>
          <w:p w:rsidR="008A227E" w:rsidRDefault="008A227E" w:rsidP="00F4538E">
            <w:pPr>
              <w:pStyle w:val="Sansinterligne"/>
              <w:numPr>
                <w:ilvl w:val="0"/>
                <w:numId w:val="1492"/>
              </w:numPr>
            </w:pPr>
            <w:r>
              <w:t>Hospitalisation</w:t>
            </w:r>
          </w:p>
          <w:p w:rsidR="008A227E" w:rsidRDefault="008A227E" w:rsidP="00F4538E">
            <w:pPr>
              <w:pStyle w:val="Sansinterligne"/>
              <w:numPr>
                <w:ilvl w:val="0"/>
                <w:numId w:val="1492"/>
              </w:numPr>
            </w:pPr>
            <w:r>
              <w:t>Hémocultures x 2</w:t>
            </w:r>
          </w:p>
          <w:p w:rsidR="008A227E" w:rsidRDefault="008A227E" w:rsidP="00F4538E">
            <w:pPr>
              <w:pStyle w:val="Sansinterligne"/>
              <w:numPr>
                <w:ilvl w:val="0"/>
                <w:numId w:val="1492"/>
              </w:numPr>
            </w:pPr>
            <w:r>
              <w:t>Antibiotiques IV (ceftri+ Vanco x 1 semaine)</w:t>
            </w:r>
          </w:p>
          <w:p w:rsidR="008A227E" w:rsidRDefault="008A227E" w:rsidP="00F4538E">
            <w:pPr>
              <w:pStyle w:val="Sansinterligne"/>
              <w:numPr>
                <w:ilvl w:val="0"/>
                <w:numId w:val="1492"/>
              </w:numPr>
            </w:pPr>
            <w:r>
              <w:lastRenderedPageBreak/>
              <w:t>Référence en ophtalmologie</w:t>
            </w:r>
          </w:p>
          <w:p w:rsidR="008A227E" w:rsidRDefault="008A227E" w:rsidP="00F4538E">
            <w:pPr>
              <w:pStyle w:val="Sansinterligne"/>
              <w:numPr>
                <w:ilvl w:val="0"/>
                <w:numId w:val="1492"/>
              </w:numPr>
            </w:pPr>
            <w:r>
              <w:t>Drainage si abcès</w:t>
            </w:r>
          </w:p>
        </w:tc>
      </w:tr>
      <w:tr w:rsidR="008A227E" w:rsidTr="008A227E">
        <w:tc>
          <w:tcPr>
            <w:tcW w:w="675" w:type="dxa"/>
            <w:vMerge w:val="restart"/>
            <w:shd w:val="clear" w:color="auto" w:fill="FABF8F" w:themeFill="accent6" w:themeFillTint="99"/>
            <w:textDirection w:val="btLr"/>
            <w:vAlign w:val="center"/>
          </w:tcPr>
          <w:p w:rsidR="008A227E" w:rsidRDefault="008A227E" w:rsidP="00403FD2">
            <w:pPr>
              <w:pStyle w:val="Sansinterligne"/>
              <w:ind w:left="113" w:right="113"/>
              <w:jc w:val="center"/>
            </w:pPr>
            <w:r>
              <w:rPr>
                <w:rFonts w:cs="Times New Roman"/>
              </w:rPr>
              <w:lastRenderedPageBreak/>
              <w:t>Ø</w:t>
            </w:r>
            <w:r>
              <w:t xml:space="preserve"> baisse d’AV</w:t>
            </w:r>
          </w:p>
        </w:tc>
        <w:tc>
          <w:tcPr>
            <w:tcW w:w="1985" w:type="dxa"/>
            <w:shd w:val="clear" w:color="auto" w:fill="95B3D7" w:themeFill="accent1" w:themeFillTint="99"/>
            <w:vAlign w:val="center"/>
          </w:tcPr>
          <w:p w:rsidR="008A227E" w:rsidRDefault="008A227E" w:rsidP="0019011C">
            <w:pPr>
              <w:pStyle w:val="Sansinterligne"/>
              <w:jc w:val="center"/>
            </w:pPr>
            <w:r>
              <w:t>Épisclérite</w:t>
            </w:r>
          </w:p>
        </w:tc>
        <w:tc>
          <w:tcPr>
            <w:tcW w:w="4536" w:type="dxa"/>
          </w:tcPr>
          <w:p w:rsidR="008A227E" w:rsidRDefault="008A227E" w:rsidP="008E408C">
            <w:pPr>
              <w:pStyle w:val="Sansinterligne"/>
            </w:pPr>
            <w:r>
              <w:t>Rougeur localisée</w:t>
            </w:r>
          </w:p>
          <w:p w:rsidR="008A227E" w:rsidRDefault="008A227E" w:rsidP="008E408C">
            <w:pPr>
              <w:pStyle w:val="Sansinterligne"/>
            </w:pPr>
            <w:r>
              <w:t>Souvent récidivante</w:t>
            </w:r>
          </w:p>
          <w:p w:rsidR="008A227E" w:rsidRDefault="008A227E" w:rsidP="008E408C">
            <w:pPr>
              <w:pStyle w:val="Sansinterligne"/>
            </w:pPr>
            <w:r>
              <w:t>Léger inconfort</w:t>
            </w:r>
          </w:p>
          <w:p w:rsidR="008A227E" w:rsidRPr="00B60E07" w:rsidRDefault="008A227E" w:rsidP="008E408C">
            <w:pPr>
              <w:pStyle w:val="Sansinterligne"/>
              <w:rPr>
                <w:b/>
              </w:rPr>
            </w:pPr>
            <w:r w:rsidRPr="00B60E07">
              <w:rPr>
                <w:b/>
              </w:rPr>
              <w:t>Rougeur disparait avec phényléphrine topique</w:t>
            </w:r>
          </w:p>
        </w:tc>
        <w:tc>
          <w:tcPr>
            <w:tcW w:w="3744" w:type="dxa"/>
          </w:tcPr>
          <w:p w:rsidR="008A227E" w:rsidRDefault="008A227E" w:rsidP="00F4538E">
            <w:pPr>
              <w:pStyle w:val="Sansinterligne"/>
              <w:numPr>
                <w:ilvl w:val="0"/>
                <w:numId w:val="1492"/>
              </w:numPr>
            </w:pPr>
            <w:r>
              <w:t>AINS PO</w:t>
            </w:r>
          </w:p>
          <w:p w:rsidR="008A227E" w:rsidRDefault="008A227E" w:rsidP="00F4538E">
            <w:pPr>
              <w:pStyle w:val="Sansinterligne"/>
              <w:numPr>
                <w:ilvl w:val="0"/>
                <w:numId w:val="1492"/>
              </w:numPr>
            </w:pPr>
            <w:r>
              <w:t>Larmes artificielles</w:t>
            </w:r>
          </w:p>
        </w:tc>
      </w:tr>
      <w:tr w:rsidR="008A227E" w:rsidTr="008A227E">
        <w:tc>
          <w:tcPr>
            <w:tcW w:w="675" w:type="dxa"/>
            <w:vMerge/>
            <w:shd w:val="clear" w:color="auto" w:fill="FABF8F" w:themeFill="accent6" w:themeFillTint="99"/>
          </w:tcPr>
          <w:p w:rsidR="008A227E" w:rsidRDefault="008A227E" w:rsidP="008E408C">
            <w:pPr>
              <w:pStyle w:val="Sansinterligne"/>
            </w:pPr>
          </w:p>
        </w:tc>
        <w:tc>
          <w:tcPr>
            <w:tcW w:w="1985" w:type="dxa"/>
            <w:shd w:val="clear" w:color="auto" w:fill="95B3D7" w:themeFill="accent1" w:themeFillTint="99"/>
            <w:vAlign w:val="center"/>
          </w:tcPr>
          <w:p w:rsidR="008A227E" w:rsidRDefault="008A227E" w:rsidP="0019011C">
            <w:pPr>
              <w:pStyle w:val="Sansinterligne"/>
              <w:jc w:val="center"/>
            </w:pPr>
            <w:r>
              <w:t>Cellulite périorbitaire</w:t>
            </w:r>
          </w:p>
        </w:tc>
        <w:tc>
          <w:tcPr>
            <w:tcW w:w="4536" w:type="dxa"/>
          </w:tcPr>
          <w:p w:rsidR="008A227E" w:rsidRDefault="008A227E" w:rsidP="008E408C">
            <w:pPr>
              <w:pStyle w:val="Sansinterligne"/>
            </w:pPr>
            <w:r>
              <w:t>Érythème et œdème limité en antérieur de l’orbite</w:t>
            </w:r>
          </w:p>
        </w:tc>
        <w:tc>
          <w:tcPr>
            <w:tcW w:w="3744" w:type="dxa"/>
          </w:tcPr>
          <w:p w:rsidR="008A227E" w:rsidRDefault="00096530" w:rsidP="00F4538E">
            <w:pPr>
              <w:pStyle w:val="Sansinterligne"/>
              <w:numPr>
                <w:ilvl w:val="0"/>
                <w:numId w:val="1492"/>
              </w:numPr>
            </w:pPr>
            <w:r>
              <w:t>ATB IV amox-clavulana</w:t>
            </w:r>
            <w:r w:rsidR="008A227E">
              <w:t>te</w:t>
            </w:r>
          </w:p>
        </w:tc>
      </w:tr>
      <w:tr w:rsidR="008A227E" w:rsidTr="008A227E">
        <w:tc>
          <w:tcPr>
            <w:tcW w:w="675" w:type="dxa"/>
            <w:vMerge/>
            <w:shd w:val="clear" w:color="auto" w:fill="FABF8F" w:themeFill="accent6" w:themeFillTint="99"/>
          </w:tcPr>
          <w:p w:rsidR="008A227E" w:rsidRDefault="008A227E" w:rsidP="008E408C">
            <w:pPr>
              <w:pStyle w:val="Sansinterligne"/>
            </w:pPr>
          </w:p>
        </w:tc>
        <w:tc>
          <w:tcPr>
            <w:tcW w:w="1985" w:type="dxa"/>
            <w:shd w:val="clear" w:color="auto" w:fill="95B3D7" w:themeFill="accent1" w:themeFillTint="99"/>
            <w:vAlign w:val="center"/>
          </w:tcPr>
          <w:p w:rsidR="008A227E" w:rsidRDefault="008A227E" w:rsidP="0019011C">
            <w:pPr>
              <w:pStyle w:val="Sansinterligne"/>
              <w:jc w:val="center"/>
            </w:pPr>
            <w:r>
              <w:t>Conjonctivite allergique</w:t>
            </w:r>
          </w:p>
        </w:tc>
        <w:tc>
          <w:tcPr>
            <w:tcW w:w="4536" w:type="dxa"/>
            <w:shd w:val="clear" w:color="auto" w:fill="FFFF00"/>
          </w:tcPr>
          <w:p w:rsidR="008A227E" w:rsidRDefault="008A227E" w:rsidP="008E408C">
            <w:pPr>
              <w:pStyle w:val="Sansinterligne"/>
            </w:pPr>
            <w:r>
              <w:t>Hyperhémie conjonctivale</w:t>
            </w:r>
          </w:p>
          <w:p w:rsidR="008A227E" w:rsidRPr="000614B8" w:rsidRDefault="008A227E" w:rsidP="008E408C">
            <w:pPr>
              <w:pStyle w:val="Sansinterligne"/>
              <w:rPr>
                <w:b/>
              </w:rPr>
            </w:pPr>
            <w:r w:rsidRPr="000614B8">
              <w:rPr>
                <w:b/>
              </w:rPr>
              <w:t>Prurit ++</w:t>
            </w:r>
          </w:p>
          <w:p w:rsidR="008A227E" w:rsidRDefault="008A227E" w:rsidP="008E408C">
            <w:pPr>
              <w:pStyle w:val="Sansinterligne"/>
            </w:pPr>
            <w:r>
              <w:t>Chemosis (œdème conjonctival)</w:t>
            </w:r>
          </w:p>
          <w:p w:rsidR="008A227E" w:rsidRDefault="008A227E" w:rsidP="008E408C">
            <w:pPr>
              <w:pStyle w:val="Sansinterligne"/>
            </w:pPr>
            <w:r>
              <w:t>Saisonnier</w:t>
            </w:r>
          </w:p>
          <w:p w:rsidR="008A227E" w:rsidRPr="000614B8" w:rsidRDefault="008A227E" w:rsidP="008E408C">
            <w:pPr>
              <w:pStyle w:val="Sansinterligne"/>
              <w:rPr>
                <w:b/>
              </w:rPr>
            </w:pPr>
            <w:r w:rsidRPr="000614B8">
              <w:rPr>
                <w:b/>
              </w:rPr>
              <w:t>Associée à la rhinite, à la dermatite atopique</w:t>
            </w:r>
          </w:p>
        </w:tc>
        <w:tc>
          <w:tcPr>
            <w:tcW w:w="3744" w:type="dxa"/>
            <w:shd w:val="clear" w:color="auto" w:fill="FFFF00"/>
          </w:tcPr>
          <w:p w:rsidR="008A227E" w:rsidRDefault="008A227E" w:rsidP="00F4538E">
            <w:pPr>
              <w:pStyle w:val="Sansinterligne"/>
              <w:numPr>
                <w:ilvl w:val="0"/>
                <w:numId w:val="1492"/>
              </w:numPr>
            </w:pPr>
            <w:r>
              <w:t>Compresses froides</w:t>
            </w:r>
          </w:p>
          <w:p w:rsidR="008A227E" w:rsidRDefault="008A227E" w:rsidP="00F4538E">
            <w:pPr>
              <w:pStyle w:val="Sansinterligne"/>
              <w:numPr>
                <w:ilvl w:val="0"/>
                <w:numId w:val="1492"/>
              </w:numPr>
            </w:pPr>
            <w:r>
              <w:t>Antihistaminiques PO</w:t>
            </w:r>
          </w:p>
          <w:p w:rsidR="008A227E" w:rsidRDefault="008A227E" w:rsidP="00F4538E">
            <w:pPr>
              <w:pStyle w:val="Sansinterligne"/>
              <w:numPr>
                <w:ilvl w:val="0"/>
                <w:numId w:val="1492"/>
              </w:numPr>
            </w:pPr>
            <w:r>
              <w:t xml:space="preserve">Olopatadine  </w:t>
            </w:r>
            <w:r>
              <w:rPr>
                <w:rFonts w:ascii="Century Gothic" w:hAnsi="Century Gothic"/>
              </w:rPr>
              <w:t>→</w:t>
            </w:r>
            <w:r>
              <w:t xml:space="preserve"> gttes oculaires</w:t>
            </w:r>
          </w:p>
        </w:tc>
      </w:tr>
      <w:tr w:rsidR="008A227E" w:rsidTr="008A227E">
        <w:tc>
          <w:tcPr>
            <w:tcW w:w="675" w:type="dxa"/>
            <w:vMerge/>
            <w:shd w:val="clear" w:color="auto" w:fill="FABF8F" w:themeFill="accent6" w:themeFillTint="99"/>
          </w:tcPr>
          <w:p w:rsidR="008A227E" w:rsidRDefault="008A227E" w:rsidP="008E408C">
            <w:pPr>
              <w:pStyle w:val="Sansinterligne"/>
            </w:pPr>
          </w:p>
        </w:tc>
        <w:tc>
          <w:tcPr>
            <w:tcW w:w="1985" w:type="dxa"/>
            <w:shd w:val="clear" w:color="auto" w:fill="95B3D7" w:themeFill="accent1" w:themeFillTint="99"/>
            <w:vAlign w:val="center"/>
          </w:tcPr>
          <w:p w:rsidR="008A227E" w:rsidRDefault="008A227E" w:rsidP="0019011C">
            <w:pPr>
              <w:pStyle w:val="Sansinterligne"/>
              <w:jc w:val="center"/>
            </w:pPr>
            <w:r>
              <w:t>Conjonctivite virale</w:t>
            </w:r>
          </w:p>
        </w:tc>
        <w:tc>
          <w:tcPr>
            <w:tcW w:w="4536" w:type="dxa"/>
            <w:shd w:val="clear" w:color="auto" w:fill="FFFF00"/>
          </w:tcPr>
          <w:p w:rsidR="008A227E" w:rsidRDefault="008A227E" w:rsidP="008E408C">
            <w:pPr>
              <w:pStyle w:val="Sansinterligne"/>
            </w:pPr>
            <w:r>
              <w:t>Hyperhémie conjonctivale (moins qu’allergie)</w:t>
            </w:r>
          </w:p>
          <w:p w:rsidR="008A227E" w:rsidRDefault="008A227E" w:rsidP="00740317">
            <w:pPr>
              <w:pStyle w:val="Sansinterligne"/>
            </w:pPr>
            <w:r>
              <w:t xml:space="preserve">Unilatéral, évolue vers bilatéral </w:t>
            </w:r>
          </w:p>
          <w:p w:rsidR="008A227E" w:rsidRPr="00E13662" w:rsidRDefault="008A227E" w:rsidP="00740317">
            <w:pPr>
              <w:pStyle w:val="Sansinterligne"/>
              <w:rPr>
                <w:b/>
              </w:rPr>
            </w:pPr>
            <w:r w:rsidRPr="00E13662">
              <w:rPr>
                <w:b/>
              </w:rPr>
              <w:t>Écoulement séreux</w:t>
            </w:r>
          </w:p>
          <w:p w:rsidR="008A227E" w:rsidRDefault="008A227E" w:rsidP="00740317">
            <w:pPr>
              <w:pStyle w:val="Sansinterligne"/>
            </w:pPr>
            <w:r>
              <w:t>Œdème palpébral</w:t>
            </w:r>
          </w:p>
          <w:p w:rsidR="008A227E" w:rsidRDefault="008A227E" w:rsidP="008E408C">
            <w:pPr>
              <w:pStyle w:val="Sansinterligne"/>
            </w:pPr>
            <w:r>
              <w:t>Adénopathie préauriculaire</w:t>
            </w:r>
          </w:p>
          <w:p w:rsidR="008A227E" w:rsidRDefault="008A227E" w:rsidP="008E408C">
            <w:pPr>
              <w:pStyle w:val="Sansinterligne"/>
            </w:pPr>
            <w:r>
              <w:t>Rhinorrhée, coryza associée</w:t>
            </w:r>
          </w:p>
        </w:tc>
        <w:tc>
          <w:tcPr>
            <w:tcW w:w="3744" w:type="dxa"/>
            <w:shd w:val="clear" w:color="auto" w:fill="FFFF00"/>
          </w:tcPr>
          <w:p w:rsidR="008A227E" w:rsidRDefault="008A227E" w:rsidP="00F4538E">
            <w:pPr>
              <w:pStyle w:val="Sansinterligne"/>
              <w:numPr>
                <w:ilvl w:val="0"/>
                <w:numId w:val="1492"/>
              </w:numPr>
            </w:pPr>
            <w:r>
              <w:t>Compresses froides</w:t>
            </w:r>
          </w:p>
          <w:p w:rsidR="008A227E" w:rsidRDefault="008A227E" w:rsidP="00F4538E">
            <w:pPr>
              <w:pStyle w:val="Sansinterligne"/>
              <w:numPr>
                <w:ilvl w:val="0"/>
                <w:numId w:val="1492"/>
              </w:numPr>
            </w:pPr>
            <w:r>
              <w:t>Gouttes lubrifiantes PRN</w:t>
            </w:r>
          </w:p>
          <w:p w:rsidR="008A227E" w:rsidRDefault="008A227E" w:rsidP="00F4538E">
            <w:pPr>
              <w:pStyle w:val="Sansinterligne"/>
              <w:numPr>
                <w:ilvl w:val="0"/>
                <w:numId w:val="1492"/>
              </w:numPr>
            </w:pPr>
            <w:r>
              <w:t>Résolution spontanée après 7-12 jours</w:t>
            </w:r>
          </w:p>
          <w:p w:rsidR="008A227E" w:rsidRDefault="008A227E" w:rsidP="00F4538E">
            <w:pPr>
              <w:pStyle w:val="Sansinterligne"/>
              <w:numPr>
                <w:ilvl w:val="0"/>
                <w:numId w:val="1492"/>
              </w:numPr>
            </w:pPr>
            <w:r>
              <w:t>Éviter de jouer dans les yeux (contamination de l’œil controlatéral)</w:t>
            </w:r>
          </w:p>
        </w:tc>
      </w:tr>
      <w:tr w:rsidR="008A227E" w:rsidTr="008A227E">
        <w:tc>
          <w:tcPr>
            <w:tcW w:w="675" w:type="dxa"/>
            <w:vMerge/>
            <w:shd w:val="clear" w:color="auto" w:fill="FABF8F" w:themeFill="accent6" w:themeFillTint="99"/>
          </w:tcPr>
          <w:p w:rsidR="008A227E" w:rsidRDefault="008A227E" w:rsidP="008E408C">
            <w:pPr>
              <w:pStyle w:val="Sansinterligne"/>
            </w:pPr>
          </w:p>
        </w:tc>
        <w:tc>
          <w:tcPr>
            <w:tcW w:w="1985" w:type="dxa"/>
            <w:shd w:val="clear" w:color="auto" w:fill="95B3D7" w:themeFill="accent1" w:themeFillTint="99"/>
            <w:vAlign w:val="center"/>
          </w:tcPr>
          <w:p w:rsidR="008A227E" w:rsidRDefault="008A227E" w:rsidP="0019011C">
            <w:pPr>
              <w:pStyle w:val="Sansinterligne"/>
              <w:jc w:val="center"/>
            </w:pPr>
            <w:r>
              <w:t>Conjonctivite bactérienne</w:t>
            </w:r>
          </w:p>
        </w:tc>
        <w:tc>
          <w:tcPr>
            <w:tcW w:w="4536" w:type="dxa"/>
            <w:shd w:val="clear" w:color="auto" w:fill="FFFF00"/>
          </w:tcPr>
          <w:p w:rsidR="008A227E" w:rsidRDefault="008A227E" w:rsidP="008E408C">
            <w:pPr>
              <w:pStyle w:val="Sansinterligne"/>
            </w:pPr>
            <w:r>
              <w:t>Hyperhémie conjonctivale</w:t>
            </w:r>
          </w:p>
          <w:p w:rsidR="008A227E" w:rsidRPr="00E13662" w:rsidRDefault="008A227E" w:rsidP="008E408C">
            <w:pPr>
              <w:pStyle w:val="Sansinterligne"/>
              <w:rPr>
                <w:b/>
              </w:rPr>
            </w:pPr>
            <w:r w:rsidRPr="00E13662">
              <w:rPr>
                <w:b/>
              </w:rPr>
              <w:t>Écoulement purulent, jaune-vert</w:t>
            </w:r>
          </w:p>
          <w:p w:rsidR="008A227E" w:rsidRPr="00E13662" w:rsidRDefault="008A227E" w:rsidP="008E408C">
            <w:pPr>
              <w:pStyle w:val="Sansinterligne"/>
              <w:rPr>
                <w:b/>
              </w:rPr>
            </w:pPr>
            <w:r w:rsidRPr="00E13662">
              <w:rPr>
                <w:b/>
              </w:rPr>
              <w:t>Paupières collées ++ le matin</w:t>
            </w:r>
          </w:p>
          <w:p w:rsidR="008A227E" w:rsidRDefault="008A227E" w:rsidP="008E408C">
            <w:pPr>
              <w:pStyle w:val="Sansinterligne"/>
            </w:pPr>
            <w:r>
              <w:t>Souvent unilatérale</w:t>
            </w:r>
          </w:p>
        </w:tc>
        <w:tc>
          <w:tcPr>
            <w:tcW w:w="3744" w:type="dxa"/>
            <w:shd w:val="clear" w:color="auto" w:fill="FFFF00"/>
          </w:tcPr>
          <w:p w:rsidR="008A227E" w:rsidRPr="005E79AE" w:rsidRDefault="008A227E" w:rsidP="00F4538E">
            <w:pPr>
              <w:pStyle w:val="Sansinterligne"/>
              <w:numPr>
                <w:ilvl w:val="0"/>
                <w:numId w:val="1492"/>
              </w:numPr>
              <w:rPr>
                <w:b/>
              </w:rPr>
            </w:pPr>
            <w:r w:rsidRPr="005E79AE">
              <w:rPr>
                <w:b/>
              </w:rPr>
              <w:t>ATB topique large spectre x 7-10 jours</w:t>
            </w:r>
          </w:p>
        </w:tc>
      </w:tr>
      <w:tr w:rsidR="008A227E" w:rsidTr="008A227E">
        <w:tc>
          <w:tcPr>
            <w:tcW w:w="675" w:type="dxa"/>
            <w:vMerge/>
            <w:shd w:val="clear" w:color="auto" w:fill="FABF8F" w:themeFill="accent6" w:themeFillTint="99"/>
          </w:tcPr>
          <w:p w:rsidR="008A227E" w:rsidRDefault="008A227E" w:rsidP="008E408C">
            <w:pPr>
              <w:pStyle w:val="Sansinterligne"/>
            </w:pPr>
          </w:p>
        </w:tc>
        <w:tc>
          <w:tcPr>
            <w:tcW w:w="1985" w:type="dxa"/>
            <w:shd w:val="clear" w:color="auto" w:fill="95B3D7" w:themeFill="accent1" w:themeFillTint="99"/>
            <w:vAlign w:val="center"/>
          </w:tcPr>
          <w:p w:rsidR="008A227E" w:rsidRDefault="008A227E" w:rsidP="0019011C">
            <w:pPr>
              <w:pStyle w:val="Sansinterligne"/>
              <w:jc w:val="center"/>
            </w:pPr>
            <w:r>
              <w:t>Hémorragie sous-conjonctivale</w:t>
            </w:r>
          </w:p>
        </w:tc>
        <w:tc>
          <w:tcPr>
            <w:tcW w:w="4536" w:type="dxa"/>
          </w:tcPr>
          <w:p w:rsidR="008A227E" w:rsidRDefault="008A227E" w:rsidP="00924B49">
            <w:pPr>
              <w:pStyle w:val="Sansinterligne"/>
            </w:pPr>
            <w:r>
              <w:t>Zone de sang derrière la conjonctive</w:t>
            </w:r>
          </w:p>
          <w:p w:rsidR="008A227E" w:rsidRDefault="008A227E" w:rsidP="00924B49">
            <w:pPr>
              <w:pStyle w:val="Sansinterligne"/>
            </w:pPr>
            <w:r>
              <w:t>Parfois spontané parfois traumatique</w:t>
            </w:r>
          </w:p>
          <w:p w:rsidR="008A227E" w:rsidRDefault="008A227E" w:rsidP="00924B49">
            <w:pPr>
              <w:pStyle w:val="Sansinterligne"/>
            </w:pPr>
            <w:r>
              <w:t>Non-douloureux</w:t>
            </w:r>
          </w:p>
        </w:tc>
        <w:tc>
          <w:tcPr>
            <w:tcW w:w="3744" w:type="dxa"/>
          </w:tcPr>
          <w:p w:rsidR="008A227E" w:rsidRDefault="008A227E" w:rsidP="00F4538E">
            <w:pPr>
              <w:pStyle w:val="Sansinterligne"/>
              <w:numPr>
                <w:ilvl w:val="0"/>
                <w:numId w:val="1494"/>
              </w:numPr>
            </w:pPr>
            <w:r>
              <w:t>Résolution spontanée</w:t>
            </w:r>
          </w:p>
          <w:p w:rsidR="008A227E" w:rsidRPr="00B83C2B" w:rsidRDefault="008A227E" w:rsidP="00F4538E">
            <w:pPr>
              <w:pStyle w:val="Sansinterligne"/>
              <w:numPr>
                <w:ilvl w:val="0"/>
                <w:numId w:val="1494"/>
              </w:numPr>
            </w:pPr>
            <w:r>
              <w:t>Réassurance</w:t>
            </w:r>
          </w:p>
        </w:tc>
      </w:tr>
      <w:tr w:rsidR="008A227E" w:rsidTr="008A227E">
        <w:trPr>
          <w:trHeight w:val="2035"/>
        </w:trPr>
        <w:tc>
          <w:tcPr>
            <w:tcW w:w="675" w:type="dxa"/>
            <w:vMerge/>
            <w:shd w:val="clear" w:color="auto" w:fill="FABF8F" w:themeFill="accent6" w:themeFillTint="99"/>
          </w:tcPr>
          <w:p w:rsidR="008A227E" w:rsidRDefault="008A227E" w:rsidP="008E408C">
            <w:pPr>
              <w:pStyle w:val="Sansinterligne"/>
            </w:pPr>
          </w:p>
        </w:tc>
        <w:tc>
          <w:tcPr>
            <w:tcW w:w="1985" w:type="dxa"/>
            <w:shd w:val="clear" w:color="auto" w:fill="95B3D7" w:themeFill="accent1" w:themeFillTint="99"/>
            <w:vAlign w:val="center"/>
          </w:tcPr>
          <w:p w:rsidR="008A227E" w:rsidRDefault="008A227E" w:rsidP="0019011C">
            <w:pPr>
              <w:pStyle w:val="Sansinterligne"/>
              <w:jc w:val="center"/>
            </w:pPr>
            <w:r>
              <w:t>Blépharite</w:t>
            </w:r>
          </w:p>
        </w:tc>
        <w:tc>
          <w:tcPr>
            <w:tcW w:w="4536" w:type="dxa"/>
          </w:tcPr>
          <w:p w:rsidR="008A227E" w:rsidRDefault="008A227E" w:rsidP="008E408C">
            <w:pPr>
              <w:pStyle w:val="Sansinterligne"/>
            </w:pPr>
            <w:r>
              <w:t>Indolore</w:t>
            </w:r>
          </w:p>
          <w:p w:rsidR="008A227E" w:rsidRDefault="008A227E" w:rsidP="008E408C">
            <w:pPr>
              <w:pStyle w:val="Sansinterligne"/>
            </w:pPr>
            <w:r>
              <w:t xml:space="preserve">Généralement </w:t>
            </w:r>
            <w:r w:rsidRPr="000614B8">
              <w:rPr>
                <w:b/>
              </w:rPr>
              <w:t>bilatéral</w:t>
            </w:r>
          </w:p>
          <w:p w:rsidR="008A227E" w:rsidRDefault="008A227E" w:rsidP="008E408C">
            <w:pPr>
              <w:pStyle w:val="Sansinterligne"/>
            </w:pPr>
            <w:r>
              <w:t>Sensation de corps étranger</w:t>
            </w:r>
          </w:p>
          <w:p w:rsidR="008A227E" w:rsidRPr="000614B8" w:rsidRDefault="008A227E" w:rsidP="008E408C">
            <w:pPr>
              <w:pStyle w:val="Sansinterligne"/>
              <w:rPr>
                <w:b/>
              </w:rPr>
            </w:pPr>
            <w:r w:rsidRPr="000614B8">
              <w:rPr>
                <w:b/>
              </w:rPr>
              <w:t>Croûtes jaunâtres à la base des cils</w:t>
            </w:r>
          </w:p>
          <w:p w:rsidR="008A227E" w:rsidRDefault="008A227E" w:rsidP="008E408C">
            <w:pPr>
              <w:pStyle w:val="Sansinterligne"/>
            </w:pPr>
            <w:r>
              <w:t>Hyperhémie palpébrale</w:t>
            </w:r>
          </w:p>
          <w:p w:rsidR="008A227E" w:rsidRDefault="008A227E" w:rsidP="008A227E">
            <w:pPr>
              <w:pStyle w:val="Sansinterligne"/>
            </w:pPr>
            <w:r>
              <w:rPr>
                <w:noProof/>
                <w:lang w:eastAsia="fr-CA"/>
              </w:rPr>
              <w:drawing>
                <wp:anchor distT="0" distB="0" distL="114300" distR="114300" simplePos="0" relativeHeight="252212224" behindDoc="0" locked="0" layoutInCell="1" allowOverlap="1" wp14:anchorId="4132120F" wp14:editId="38EB9D38">
                  <wp:simplePos x="0" y="0"/>
                  <wp:positionH relativeFrom="column">
                    <wp:posOffset>1618590</wp:posOffset>
                  </wp:positionH>
                  <wp:positionV relativeFrom="paragraph">
                    <wp:posOffset>7620</wp:posOffset>
                  </wp:positionV>
                  <wp:extent cx="1128409" cy="671572"/>
                  <wp:effectExtent l="0" t="0" r="0" b="0"/>
                  <wp:wrapNone/>
                  <wp:docPr id="682" name="Image 682" descr="Résultats de recherche d'images pour « blépharit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Résultats de recherche d'images pour « blépharite »"/>
                          <pic:cNvPicPr>
                            <a:picLocks noChangeAspect="1" noChangeArrowheads="1"/>
                          </pic:cNvPicPr>
                        </pic:nvPicPr>
                        <pic:blipFill rotWithShape="1">
                          <a:blip r:embed="rId110" cstate="print">
                            <a:extLst>
                              <a:ext uri="{28A0092B-C50C-407E-A947-70E740481C1C}">
                                <a14:useLocalDpi xmlns:a14="http://schemas.microsoft.com/office/drawing/2010/main" val="0"/>
                              </a:ext>
                            </a:extLst>
                          </a:blip>
                          <a:srcRect l="9739" t="61095" r="9264" b="4237"/>
                          <a:stretch/>
                        </pic:blipFill>
                        <pic:spPr bwMode="auto">
                          <a:xfrm>
                            <a:off x="0" y="0"/>
                            <a:ext cx="1128409" cy="671572"/>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t xml:space="preserve">Écoulement à la  </w:t>
            </w:r>
          </w:p>
          <w:p w:rsidR="008A227E" w:rsidRDefault="008A227E" w:rsidP="008A227E">
            <w:pPr>
              <w:pStyle w:val="Sansinterligne"/>
            </w:pPr>
            <w:r>
              <w:t>pression palpébrale</w:t>
            </w:r>
          </w:p>
        </w:tc>
        <w:tc>
          <w:tcPr>
            <w:tcW w:w="3744" w:type="dxa"/>
          </w:tcPr>
          <w:p w:rsidR="008A227E" w:rsidRPr="005E79AE" w:rsidRDefault="008A227E" w:rsidP="00F4538E">
            <w:pPr>
              <w:pStyle w:val="Sansinterligne"/>
              <w:numPr>
                <w:ilvl w:val="0"/>
                <w:numId w:val="1493"/>
              </w:numPr>
              <w:rPr>
                <w:b/>
              </w:rPr>
            </w:pPr>
            <w:r w:rsidRPr="005E79AE">
              <w:rPr>
                <w:b/>
              </w:rPr>
              <w:t xml:space="preserve">Nettoyage des cils avec compresses humides chaudes DIE ou BID </w:t>
            </w:r>
            <w:r w:rsidRPr="005E79AE">
              <w:rPr>
                <w:rFonts w:cs="Times New Roman"/>
                <w:b/>
              </w:rPr>
              <w:t>±</w:t>
            </w:r>
            <w:r w:rsidRPr="005E79AE">
              <w:rPr>
                <w:b/>
              </w:rPr>
              <w:t xml:space="preserve"> shampooing palpébral</w:t>
            </w:r>
          </w:p>
          <w:p w:rsidR="008A227E" w:rsidRDefault="008A227E" w:rsidP="00F4538E">
            <w:pPr>
              <w:pStyle w:val="Sansinterligne"/>
              <w:numPr>
                <w:ilvl w:val="0"/>
                <w:numId w:val="1493"/>
              </w:numPr>
            </w:pPr>
            <w:r>
              <w:t>Fucidin/éythromycine PRN</w:t>
            </w:r>
          </w:p>
          <w:p w:rsidR="008A227E" w:rsidRDefault="008A227E" w:rsidP="00F4538E">
            <w:pPr>
              <w:pStyle w:val="Sansinterligne"/>
              <w:numPr>
                <w:ilvl w:val="0"/>
                <w:numId w:val="1493"/>
              </w:numPr>
            </w:pPr>
            <w:r>
              <w:t>Si chronique et unilatéral</w:t>
            </w:r>
          </w:p>
          <w:p w:rsidR="008A227E" w:rsidRDefault="008A227E" w:rsidP="00F4538E">
            <w:pPr>
              <w:pStyle w:val="Sansinterligne"/>
              <w:numPr>
                <w:ilvl w:val="0"/>
                <w:numId w:val="1493"/>
              </w:numPr>
            </w:pPr>
            <w:r>
              <w:t>Référer en ophtalmologie</w:t>
            </w:r>
          </w:p>
          <w:p w:rsidR="008A227E" w:rsidRDefault="008A227E" w:rsidP="00F4538E">
            <w:pPr>
              <w:pStyle w:val="Sansinterligne"/>
              <w:numPr>
                <w:ilvl w:val="0"/>
                <w:numId w:val="1493"/>
              </w:numPr>
            </w:pPr>
            <w:r>
              <w:t>(exclure carcinome glandes sébacées)</w:t>
            </w:r>
          </w:p>
        </w:tc>
      </w:tr>
      <w:tr w:rsidR="008A227E" w:rsidTr="008A227E">
        <w:tc>
          <w:tcPr>
            <w:tcW w:w="675" w:type="dxa"/>
            <w:vMerge/>
            <w:shd w:val="clear" w:color="auto" w:fill="FABF8F" w:themeFill="accent6" w:themeFillTint="99"/>
          </w:tcPr>
          <w:p w:rsidR="008A227E" w:rsidRDefault="008A227E" w:rsidP="008E408C">
            <w:pPr>
              <w:pStyle w:val="Sansinterligne"/>
            </w:pPr>
          </w:p>
        </w:tc>
        <w:tc>
          <w:tcPr>
            <w:tcW w:w="1985" w:type="dxa"/>
            <w:shd w:val="clear" w:color="auto" w:fill="95B3D7" w:themeFill="accent1" w:themeFillTint="99"/>
            <w:vAlign w:val="center"/>
          </w:tcPr>
          <w:p w:rsidR="008A227E" w:rsidRDefault="008A227E" w:rsidP="0019011C">
            <w:pPr>
              <w:pStyle w:val="Sansinterligne"/>
              <w:jc w:val="center"/>
            </w:pPr>
            <w:r>
              <w:t>Orgelet / Chalazion</w:t>
            </w:r>
          </w:p>
        </w:tc>
        <w:tc>
          <w:tcPr>
            <w:tcW w:w="4536" w:type="dxa"/>
            <w:shd w:val="clear" w:color="auto" w:fill="FFFF00"/>
          </w:tcPr>
          <w:p w:rsidR="008A227E" w:rsidRDefault="008A227E" w:rsidP="008E408C">
            <w:pPr>
              <w:pStyle w:val="Sansinterligne"/>
            </w:pPr>
            <w:r>
              <w:t>Indolore</w:t>
            </w:r>
          </w:p>
          <w:p w:rsidR="008A227E" w:rsidRDefault="008A227E" w:rsidP="008E408C">
            <w:pPr>
              <w:pStyle w:val="Sansinterligne"/>
            </w:pPr>
            <w:r>
              <w:t>Souvent associé à la blépharite chronique</w:t>
            </w:r>
          </w:p>
          <w:p w:rsidR="008A227E" w:rsidRDefault="008A227E" w:rsidP="008E408C">
            <w:pPr>
              <w:pStyle w:val="Sansinterligne"/>
            </w:pPr>
            <w:r>
              <w:t>Infectieux</w:t>
            </w:r>
          </w:p>
          <w:p w:rsidR="008A227E" w:rsidRDefault="008A227E" w:rsidP="002C79B9">
            <w:pPr>
              <w:pStyle w:val="Sansinterligne"/>
            </w:pPr>
            <w:r>
              <w:t>Petite masse, glandes de Meibomius (base cils)</w:t>
            </w:r>
          </w:p>
          <w:p w:rsidR="008A227E" w:rsidRDefault="008A227E" w:rsidP="008A227E">
            <w:pPr>
              <w:pStyle w:val="Sansinterligne"/>
            </w:pPr>
            <w:r>
              <w:rPr>
                <w:noProof/>
                <w:lang w:eastAsia="fr-CA"/>
              </w:rPr>
              <w:drawing>
                <wp:anchor distT="0" distB="0" distL="114300" distR="114300" simplePos="0" relativeHeight="252211200" behindDoc="0" locked="0" layoutInCell="1" allowOverlap="1" wp14:anchorId="301D652E" wp14:editId="72BF5B8B">
                  <wp:simplePos x="0" y="0"/>
                  <wp:positionH relativeFrom="column">
                    <wp:posOffset>1890490</wp:posOffset>
                  </wp:positionH>
                  <wp:positionV relativeFrom="paragraph">
                    <wp:posOffset>62230</wp:posOffset>
                  </wp:positionV>
                  <wp:extent cx="855980" cy="602615"/>
                  <wp:effectExtent l="0" t="0" r="1270" b="6985"/>
                  <wp:wrapNone/>
                  <wp:docPr id="681" name="Image 681" descr="Résultats de recherche d'images pour « blépharit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Résultats de recherche d'images pour « blépharite »"/>
                          <pic:cNvPicPr>
                            <a:picLocks noChangeAspect="1" noChangeArrowheads="1"/>
                          </pic:cNvPicPr>
                        </pic:nvPicPr>
                        <pic:blipFill rotWithShape="1">
                          <a:blip r:embed="rId111" cstate="print">
                            <a:extLst>
                              <a:ext uri="{28A0092B-C50C-407E-A947-70E740481C1C}">
                                <a14:useLocalDpi xmlns:a14="http://schemas.microsoft.com/office/drawing/2010/main" val="0"/>
                              </a:ext>
                            </a:extLst>
                          </a:blip>
                          <a:srcRect t="22319" b="14785"/>
                          <a:stretch/>
                        </pic:blipFill>
                        <pic:spPr bwMode="auto">
                          <a:xfrm>
                            <a:off x="0" y="0"/>
                            <a:ext cx="855980" cy="60261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t xml:space="preserve">Si </w:t>
            </w:r>
            <w:r w:rsidRPr="000614B8">
              <w:rPr>
                <w:b/>
              </w:rPr>
              <w:t xml:space="preserve">chronique </w:t>
            </w:r>
            <w:r w:rsidRPr="000614B8">
              <w:rPr>
                <w:rFonts w:ascii="Century Gothic" w:hAnsi="Century Gothic"/>
                <w:b/>
              </w:rPr>
              <w:t>→</w:t>
            </w:r>
            <w:r w:rsidRPr="000614B8">
              <w:rPr>
                <w:b/>
              </w:rPr>
              <w:t xml:space="preserve"> chalazion</w:t>
            </w:r>
            <w:r>
              <w:t xml:space="preserve"> </w:t>
            </w:r>
          </w:p>
        </w:tc>
        <w:tc>
          <w:tcPr>
            <w:tcW w:w="3744" w:type="dxa"/>
            <w:shd w:val="clear" w:color="auto" w:fill="FFFF00"/>
          </w:tcPr>
          <w:p w:rsidR="008A227E" w:rsidRDefault="008A227E" w:rsidP="00F4538E">
            <w:pPr>
              <w:pStyle w:val="Sansinterligne"/>
              <w:numPr>
                <w:ilvl w:val="0"/>
                <w:numId w:val="1493"/>
              </w:numPr>
            </w:pPr>
            <w:r>
              <w:t>Compresses chaudes et drainage manuel.</w:t>
            </w:r>
          </w:p>
          <w:p w:rsidR="008A227E" w:rsidRDefault="008A227E" w:rsidP="00F4538E">
            <w:pPr>
              <w:pStyle w:val="Sansinterligne"/>
              <w:numPr>
                <w:ilvl w:val="0"/>
                <w:numId w:val="1493"/>
              </w:numPr>
            </w:pPr>
            <w:r>
              <w:t>Résolution spontanée fréquente</w:t>
            </w:r>
          </w:p>
          <w:p w:rsidR="008A227E" w:rsidRDefault="008A227E" w:rsidP="00F4538E">
            <w:pPr>
              <w:pStyle w:val="Sansinterligne"/>
              <w:numPr>
                <w:ilvl w:val="0"/>
                <w:numId w:val="1493"/>
              </w:numPr>
            </w:pPr>
            <w:r>
              <w:t xml:space="preserve">Si </w:t>
            </w:r>
            <w:r>
              <w:rPr>
                <w:rFonts w:cs="Times New Roman"/>
              </w:rPr>
              <w:t>Ø</w:t>
            </w:r>
            <w:r>
              <w:t xml:space="preserve"> amélioré après 1 mois, référer en ophtalmologie</w:t>
            </w:r>
          </w:p>
          <w:p w:rsidR="008A227E" w:rsidRDefault="008A227E" w:rsidP="00F4538E">
            <w:pPr>
              <w:pStyle w:val="Sansinterligne"/>
              <w:numPr>
                <w:ilvl w:val="0"/>
                <w:numId w:val="1493"/>
              </w:numPr>
            </w:pPr>
            <w:r>
              <w:t>Incision et drainage</w:t>
            </w:r>
          </w:p>
          <w:p w:rsidR="008A227E" w:rsidRDefault="008A227E" w:rsidP="00F4538E">
            <w:pPr>
              <w:pStyle w:val="Sansinterligne"/>
              <w:numPr>
                <w:ilvl w:val="0"/>
                <w:numId w:val="1493"/>
              </w:numPr>
            </w:pPr>
            <w:r>
              <w:t xml:space="preserve">Si récidivant et chronique </w:t>
            </w:r>
            <w:r>
              <w:rPr>
                <w:rFonts w:ascii="Century Gothic" w:hAnsi="Century Gothic"/>
              </w:rPr>
              <w:t>→</w:t>
            </w:r>
            <w:r>
              <w:t xml:space="preserve"> biopsie</w:t>
            </w:r>
          </w:p>
        </w:tc>
      </w:tr>
      <w:tr w:rsidR="008A227E" w:rsidTr="008A227E">
        <w:tc>
          <w:tcPr>
            <w:tcW w:w="675" w:type="dxa"/>
            <w:vMerge/>
            <w:shd w:val="clear" w:color="auto" w:fill="FABF8F" w:themeFill="accent6" w:themeFillTint="99"/>
          </w:tcPr>
          <w:p w:rsidR="008A227E" w:rsidRDefault="008A227E" w:rsidP="008E408C">
            <w:pPr>
              <w:pStyle w:val="Sansinterligne"/>
            </w:pPr>
          </w:p>
        </w:tc>
        <w:tc>
          <w:tcPr>
            <w:tcW w:w="1985" w:type="dxa"/>
            <w:shd w:val="clear" w:color="auto" w:fill="95B3D7" w:themeFill="accent1" w:themeFillTint="99"/>
            <w:vAlign w:val="center"/>
          </w:tcPr>
          <w:p w:rsidR="008A227E" w:rsidRDefault="008A227E" w:rsidP="0019011C">
            <w:pPr>
              <w:pStyle w:val="Sansinterligne"/>
              <w:jc w:val="center"/>
            </w:pPr>
            <w:r>
              <w:t>Pinguécula/ Ptérygion</w:t>
            </w:r>
          </w:p>
        </w:tc>
        <w:tc>
          <w:tcPr>
            <w:tcW w:w="4536" w:type="dxa"/>
          </w:tcPr>
          <w:p w:rsidR="008A227E" w:rsidRDefault="008A227E" w:rsidP="008E408C">
            <w:pPr>
              <w:pStyle w:val="Sansinterligne"/>
            </w:pPr>
            <w:r>
              <w:t>Indolore, dus aux rayons UV</w:t>
            </w:r>
          </w:p>
          <w:p w:rsidR="008A227E" w:rsidRPr="00044807" w:rsidRDefault="008A227E" w:rsidP="008E408C">
            <w:pPr>
              <w:pStyle w:val="Sansinterligne"/>
              <w:rPr>
                <w:b/>
              </w:rPr>
            </w:pPr>
            <w:r w:rsidRPr="00044807">
              <w:rPr>
                <w:b/>
              </w:rPr>
              <w:t xml:space="preserve">Progresse nasal </w:t>
            </w:r>
            <w:r w:rsidRPr="00044807">
              <w:rPr>
                <w:rFonts w:ascii="Century Gothic" w:hAnsi="Century Gothic"/>
                <w:b/>
              </w:rPr>
              <w:t>→</w:t>
            </w:r>
            <w:r w:rsidRPr="00044807">
              <w:rPr>
                <w:b/>
              </w:rPr>
              <w:t xml:space="preserve"> temporal</w:t>
            </w:r>
          </w:p>
          <w:p w:rsidR="008A227E" w:rsidRPr="00044807" w:rsidRDefault="008A227E" w:rsidP="008E408C">
            <w:pPr>
              <w:pStyle w:val="Sansinterligne"/>
              <w:rPr>
                <w:b/>
              </w:rPr>
            </w:pPr>
            <w:r w:rsidRPr="00044807">
              <w:rPr>
                <w:b/>
              </w:rPr>
              <w:t>Triangulaire</w:t>
            </w:r>
            <w:r>
              <w:rPr>
                <w:b/>
              </w:rPr>
              <w:t>, conjonctival</w:t>
            </w:r>
          </w:p>
          <w:p w:rsidR="008A227E" w:rsidRPr="00B02532" w:rsidRDefault="008A227E" w:rsidP="008E408C">
            <w:pPr>
              <w:pStyle w:val="Sansinterligne"/>
              <w:rPr>
                <w:u w:val="single"/>
              </w:rPr>
            </w:pPr>
            <w:r w:rsidRPr="00B02532">
              <w:rPr>
                <w:u w:val="single"/>
              </w:rPr>
              <w:t>Pinguécula</w:t>
            </w:r>
          </w:p>
          <w:p w:rsidR="008A227E" w:rsidRDefault="008A227E" w:rsidP="008E408C">
            <w:pPr>
              <w:pStyle w:val="Sansinterligne"/>
            </w:pPr>
            <w:r>
              <w:rPr>
                <w:noProof/>
                <w:lang w:eastAsia="fr-CA"/>
              </w:rPr>
              <w:drawing>
                <wp:anchor distT="0" distB="0" distL="114300" distR="114300" simplePos="0" relativeHeight="252209152" behindDoc="0" locked="0" layoutInCell="1" allowOverlap="1" wp14:anchorId="26FB00EF" wp14:editId="065F8AF9">
                  <wp:simplePos x="0" y="0"/>
                  <wp:positionH relativeFrom="column">
                    <wp:posOffset>1880870</wp:posOffset>
                  </wp:positionH>
                  <wp:positionV relativeFrom="paragraph">
                    <wp:posOffset>22860</wp:posOffset>
                  </wp:positionV>
                  <wp:extent cx="860425" cy="573405"/>
                  <wp:effectExtent l="0" t="0" r="0" b="0"/>
                  <wp:wrapNone/>
                  <wp:docPr id="679" name="Image 679" descr="Résultats de recherche d'images pour « pterygiu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ésultats de recherche d'images pour « pterygium »"/>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860425" cy="573405"/>
                          </a:xfrm>
                          <a:prstGeom prst="rect">
                            <a:avLst/>
                          </a:prstGeom>
                          <a:noFill/>
                          <a:ln>
                            <a:noFill/>
                          </a:ln>
                        </pic:spPr>
                      </pic:pic>
                    </a:graphicData>
                  </a:graphic>
                  <wp14:sizeRelH relativeFrom="page">
                    <wp14:pctWidth>0</wp14:pctWidth>
                  </wp14:sizeRelH>
                  <wp14:sizeRelV relativeFrom="page">
                    <wp14:pctHeight>0</wp14:pctHeight>
                  </wp14:sizeRelV>
                </wp:anchor>
              </w:drawing>
            </w:r>
            <w:r>
              <w:t>Surtout conjonctival</w:t>
            </w:r>
          </w:p>
          <w:p w:rsidR="008A227E" w:rsidRPr="00B02532" w:rsidRDefault="008A227E" w:rsidP="008E408C">
            <w:pPr>
              <w:pStyle w:val="Sansinterligne"/>
              <w:rPr>
                <w:u w:val="single"/>
              </w:rPr>
            </w:pPr>
            <w:r w:rsidRPr="00B02532">
              <w:rPr>
                <w:u w:val="single"/>
              </w:rPr>
              <w:t xml:space="preserve">Ptérygion </w:t>
            </w:r>
          </w:p>
          <w:p w:rsidR="008A227E" w:rsidRDefault="008A227E" w:rsidP="008E408C">
            <w:pPr>
              <w:pStyle w:val="Sansinterligne"/>
            </w:pPr>
            <w:r>
              <w:t>Vascularisé</w:t>
            </w:r>
          </w:p>
          <w:p w:rsidR="008A227E" w:rsidRDefault="008A227E" w:rsidP="008E408C">
            <w:pPr>
              <w:pStyle w:val="Sansinterligne"/>
            </w:pPr>
            <w:r>
              <w:t>Peut envahir la cornée</w:t>
            </w:r>
          </w:p>
        </w:tc>
        <w:tc>
          <w:tcPr>
            <w:tcW w:w="3744" w:type="dxa"/>
          </w:tcPr>
          <w:p w:rsidR="008A227E" w:rsidRDefault="008A227E" w:rsidP="00F4538E">
            <w:pPr>
              <w:pStyle w:val="Sansinterligne"/>
              <w:numPr>
                <w:ilvl w:val="0"/>
                <w:numId w:val="1493"/>
              </w:numPr>
            </w:pPr>
            <w:r>
              <w:t>Référence en ophtalmologie</w:t>
            </w:r>
          </w:p>
          <w:p w:rsidR="008A227E" w:rsidRDefault="008A227E" w:rsidP="00F4538E">
            <w:pPr>
              <w:pStyle w:val="Sansinterligne"/>
              <w:numPr>
                <w:ilvl w:val="0"/>
                <w:numId w:val="1493"/>
              </w:numPr>
            </w:pPr>
            <w:r>
              <w:t>Excision pour raison cosmétique</w:t>
            </w:r>
          </w:p>
          <w:p w:rsidR="008A227E" w:rsidRDefault="008A227E" w:rsidP="00F4538E">
            <w:pPr>
              <w:pStyle w:val="Sansinterligne"/>
              <w:numPr>
                <w:ilvl w:val="0"/>
                <w:numId w:val="1493"/>
              </w:numPr>
            </w:pPr>
            <w:r>
              <w:t>Excision si menace l’axe visuel</w:t>
            </w:r>
          </w:p>
          <w:p w:rsidR="008A227E" w:rsidRDefault="008A227E" w:rsidP="00F4538E">
            <w:pPr>
              <w:pStyle w:val="Sansinterligne"/>
              <w:numPr>
                <w:ilvl w:val="0"/>
                <w:numId w:val="1493"/>
              </w:numPr>
            </w:pPr>
            <w:r>
              <w:t>Excision si inflammation chronique</w:t>
            </w:r>
          </w:p>
        </w:tc>
      </w:tr>
      <w:tr w:rsidR="008A227E" w:rsidTr="008A227E">
        <w:tc>
          <w:tcPr>
            <w:tcW w:w="675" w:type="dxa"/>
            <w:shd w:val="clear" w:color="auto" w:fill="FABF8F" w:themeFill="accent6" w:themeFillTint="99"/>
          </w:tcPr>
          <w:p w:rsidR="008A227E" w:rsidRDefault="008A227E" w:rsidP="008E408C">
            <w:pPr>
              <w:pStyle w:val="Sansinterligne"/>
            </w:pPr>
          </w:p>
        </w:tc>
        <w:tc>
          <w:tcPr>
            <w:tcW w:w="1985" w:type="dxa"/>
            <w:shd w:val="clear" w:color="auto" w:fill="95B3D7" w:themeFill="accent1" w:themeFillTint="99"/>
            <w:vAlign w:val="center"/>
          </w:tcPr>
          <w:p w:rsidR="008A227E" w:rsidRDefault="008A227E" w:rsidP="0019011C">
            <w:pPr>
              <w:pStyle w:val="Sansinterligne"/>
              <w:jc w:val="center"/>
            </w:pPr>
            <w:r>
              <w:t>Dacryocystite</w:t>
            </w:r>
          </w:p>
        </w:tc>
        <w:tc>
          <w:tcPr>
            <w:tcW w:w="4536" w:type="dxa"/>
          </w:tcPr>
          <w:p w:rsidR="008A227E" w:rsidRPr="00A97E8C" w:rsidRDefault="008A227E" w:rsidP="008E408C">
            <w:pPr>
              <w:pStyle w:val="Sansinterligne"/>
              <w:rPr>
                <w:b/>
              </w:rPr>
            </w:pPr>
            <w:r w:rsidRPr="00A97E8C">
              <w:rPr>
                <w:b/>
              </w:rPr>
              <w:t>Douloureux</w:t>
            </w:r>
          </w:p>
          <w:p w:rsidR="008A227E" w:rsidRDefault="008A227E" w:rsidP="008E408C">
            <w:pPr>
              <w:pStyle w:val="Sansinterligne"/>
              <w:rPr>
                <w:b/>
              </w:rPr>
            </w:pPr>
            <w:r w:rsidRPr="00A97E8C">
              <w:rPr>
                <w:b/>
              </w:rPr>
              <w:t>Érythème</w:t>
            </w:r>
            <w:r>
              <w:rPr>
                <w:b/>
              </w:rPr>
              <w:t xml:space="preserve"> et oedème</w:t>
            </w:r>
            <w:r w:rsidRPr="00A97E8C">
              <w:rPr>
                <w:b/>
              </w:rPr>
              <w:t xml:space="preserve"> a/n canthus interne</w:t>
            </w:r>
          </w:p>
          <w:p w:rsidR="008A227E" w:rsidRDefault="008A227E" w:rsidP="008E408C">
            <w:pPr>
              <w:pStyle w:val="Sansinterligne"/>
              <w:rPr>
                <w:b/>
              </w:rPr>
            </w:pPr>
            <w:r>
              <w:rPr>
                <w:b/>
              </w:rPr>
              <w:t>Épiphora</w:t>
            </w:r>
          </w:p>
          <w:p w:rsidR="008A227E" w:rsidRPr="00A97E8C" w:rsidRDefault="008A227E" w:rsidP="008E408C">
            <w:pPr>
              <w:pStyle w:val="Sansinterligne"/>
            </w:pPr>
            <w:r w:rsidRPr="00A97E8C">
              <w:t>Sécrétions ++ à la compression du sac lacrymal</w:t>
            </w:r>
          </w:p>
        </w:tc>
        <w:tc>
          <w:tcPr>
            <w:tcW w:w="3744" w:type="dxa"/>
          </w:tcPr>
          <w:p w:rsidR="008A227E" w:rsidRDefault="008A227E" w:rsidP="00F4538E">
            <w:pPr>
              <w:pStyle w:val="Sansinterligne"/>
              <w:numPr>
                <w:ilvl w:val="0"/>
                <w:numId w:val="1493"/>
              </w:numPr>
            </w:pPr>
            <w:r>
              <w:t>Compresses chaudes</w:t>
            </w:r>
          </w:p>
          <w:p w:rsidR="008A227E" w:rsidRDefault="008A227E" w:rsidP="00F4538E">
            <w:pPr>
              <w:pStyle w:val="Sansinterligne"/>
              <w:numPr>
                <w:ilvl w:val="0"/>
                <w:numId w:val="1493"/>
              </w:numPr>
            </w:pPr>
            <w:r>
              <w:t>ATB topique et systémique</w:t>
            </w:r>
          </w:p>
          <w:p w:rsidR="008A227E" w:rsidRDefault="008A227E" w:rsidP="00F4538E">
            <w:pPr>
              <w:pStyle w:val="Sansinterligne"/>
              <w:numPr>
                <w:ilvl w:val="0"/>
                <w:numId w:val="1493"/>
              </w:numPr>
            </w:pPr>
            <w:r>
              <w:t>Culture par aspiration si chronique</w:t>
            </w:r>
          </w:p>
          <w:p w:rsidR="008A227E" w:rsidRDefault="008A227E" w:rsidP="00F4538E">
            <w:pPr>
              <w:pStyle w:val="Sansinterligne"/>
              <w:numPr>
                <w:ilvl w:val="0"/>
                <w:numId w:val="1493"/>
              </w:numPr>
            </w:pPr>
            <w:r>
              <w:t>Référer en ophtalmologie</w:t>
            </w:r>
          </w:p>
        </w:tc>
      </w:tr>
    </w:tbl>
    <w:p w:rsidR="007064C6" w:rsidRDefault="0019011C">
      <w:pPr>
        <w:rPr>
          <w:noProof/>
          <w:lang w:eastAsia="fr-CA"/>
        </w:rPr>
      </w:pPr>
      <w:r>
        <w:rPr>
          <w:noProof/>
          <w:lang w:eastAsia="fr-CA"/>
        </w:rPr>
        <w:t xml:space="preserve"> </w:t>
      </w:r>
    </w:p>
    <w:p w:rsidR="007064C6" w:rsidRPr="004E63BE" w:rsidRDefault="007064C6">
      <w:pPr>
        <w:rPr>
          <w:rFonts w:cs="Times New Roman"/>
          <w:b/>
          <w:color w:val="548DD4" w:themeColor="text2" w:themeTint="99"/>
          <w:sz w:val="28"/>
          <w:szCs w:val="28"/>
        </w:rPr>
      </w:pPr>
      <w:r w:rsidRPr="004E63BE">
        <w:rPr>
          <w:b/>
          <w:noProof/>
          <w:sz w:val="28"/>
          <w:szCs w:val="28"/>
          <w:lang w:eastAsia="fr-CA"/>
        </w:rPr>
        <w:t>Tests</w:t>
      </w:r>
    </w:p>
    <w:p w:rsidR="007064C6" w:rsidRPr="007064C6" w:rsidRDefault="005D736D" w:rsidP="007064C6">
      <w:pPr>
        <w:pStyle w:val="Sansinterligne"/>
      </w:pPr>
      <w:r>
        <w:t>En plus de l’e</w:t>
      </w:r>
      <w:r w:rsidR="007064C6" w:rsidRPr="007064C6">
        <w:t>xamen à la lampe à fente, les tests suivants peuvent être utiles au diagnostic :</w:t>
      </w:r>
    </w:p>
    <w:p w:rsidR="007064C6" w:rsidRDefault="007064C6" w:rsidP="007064C6">
      <w:pPr>
        <w:pStyle w:val="Sansinterligne"/>
      </w:pPr>
    </w:p>
    <w:p w:rsidR="007064C6" w:rsidRPr="007064C6" w:rsidRDefault="005E718C" w:rsidP="00F4538E">
      <w:pPr>
        <w:pStyle w:val="Sansinterligne"/>
        <w:numPr>
          <w:ilvl w:val="0"/>
          <w:numId w:val="1495"/>
        </w:numPr>
      </w:pPr>
      <w:r>
        <w:rPr>
          <w:noProof/>
          <w:lang w:eastAsia="fr-CA"/>
        </w:rPr>
        <w:drawing>
          <wp:anchor distT="0" distB="0" distL="114300" distR="114300" simplePos="0" relativeHeight="252210176" behindDoc="0" locked="0" layoutInCell="1" allowOverlap="1" wp14:anchorId="6585D97D" wp14:editId="5AF57D94">
            <wp:simplePos x="0" y="0"/>
            <wp:positionH relativeFrom="column">
              <wp:posOffset>3489325</wp:posOffset>
            </wp:positionH>
            <wp:positionV relativeFrom="paragraph">
              <wp:posOffset>143510</wp:posOffset>
            </wp:positionV>
            <wp:extent cx="3161030" cy="2677160"/>
            <wp:effectExtent l="0" t="0" r="1270" b="8890"/>
            <wp:wrapNone/>
            <wp:docPr id="680" name="Image 680" descr="Résultats de recherche d'images pour « limbal pallo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ésultats de recherche d'images pour « limbal pallor »"/>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3161030" cy="2677160"/>
                    </a:xfrm>
                    <a:prstGeom prst="rect">
                      <a:avLst/>
                    </a:prstGeom>
                    <a:noFill/>
                    <a:ln>
                      <a:noFill/>
                    </a:ln>
                  </pic:spPr>
                </pic:pic>
              </a:graphicData>
            </a:graphic>
            <wp14:sizeRelH relativeFrom="page">
              <wp14:pctWidth>0</wp14:pctWidth>
            </wp14:sizeRelH>
            <wp14:sizeRelV relativeFrom="page">
              <wp14:pctHeight>0</wp14:pctHeight>
            </wp14:sizeRelV>
          </wp:anchor>
        </w:drawing>
      </w:r>
      <w:r w:rsidR="007064C6" w:rsidRPr="007064C6">
        <w:t>Test à la fluorescéine (atteinte cornéenne)</w:t>
      </w:r>
    </w:p>
    <w:p w:rsidR="007064C6" w:rsidRPr="007064C6" w:rsidRDefault="007064C6" w:rsidP="00F4538E">
      <w:pPr>
        <w:pStyle w:val="Sansinterligne"/>
        <w:numPr>
          <w:ilvl w:val="0"/>
          <w:numId w:val="1495"/>
        </w:numPr>
      </w:pPr>
      <w:r w:rsidRPr="007064C6">
        <w:t xml:space="preserve">Tension </w:t>
      </w:r>
      <w:r w:rsidR="00DC079A" w:rsidRPr="007064C6">
        <w:t>intraoculaire</w:t>
      </w:r>
    </w:p>
    <w:p w:rsidR="007064C6" w:rsidRPr="007064C6" w:rsidRDefault="007064C6" w:rsidP="00F4538E">
      <w:pPr>
        <w:pStyle w:val="Sansinterligne"/>
        <w:numPr>
          <w:ilvl w:val="0"/>
          <w:numId w:val="1495"/>
        </w:numPr>
      </w:pPr>
      <w:r w:rsidRPr="007064C6">
        <w:t>Test à la phényléphrine (sclérite vs épisclérite)</w:t>
      </w:r>
    </w:p>
    <w:p w:rsidR="007064C6" w:rsidRDefault="005E718C">
      <w:pPr>
        <w:rPr>
          <w:rFonts w:cs="Times New Roman"/>
          <w:color w:val="548DD4" w:themeColor="text2" w:themeTint="99"/>
        </w:rPr>
      </w:pPr>
      <w:r w:rsidRPr="007064C6">
        <w:rPr>
          <w:rFonts w:cs="Times New Roman"/>
          <w:b/>
          <w:noProof/>
          <w:color w:val="548DD4" w:themeColor="text2" w:themeTint="99"/>
          <w:lang w:eastAsia="fr-CA"/>
        </w:rPr>
        <mc:AlternateContent>
          <mc:Choice Requires="wps">
            <w:drawing>
              <wp:anchor distT="0" distB="0" distL="114300" distR="114300" simplePos="0" relativeHeight="252216320" behindDoc="0" locked="0" layoutInCell="1" allowOverlap="1" wp14:anchorId="16DF898F" wp14:editId="18ACF0EB">
                <wp:simplePos x="0" y="0"/>
                <wp:positionH relativeFrom="column">
                  <wp:posOffset>266700</wp:posOffset>
                </wp:positionH>
                <wp:positionV relativeFrom="paragraph">
                  <wp:posOffset>223520</wp:posOffset>
                </wp:positionV>
                <wp:extent cx="2374265" cy="3890645"/>
                <wp:effectExtent l="0" t="0" r="19050" b="14605"/>
                <wp:wrapNone/>
                <wp:docPr id="683"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3890645"/>
                        </a:xfrm>
                        <a:prstGeom prst="rect">
                          <a:avLst/>
                        </a:prstGeom>
                        <a:solidFill>
                          <a:schemeClr val="accent1"/>
                        </a:solidFill>
                        <a:ln w="9525">
                          <a:solidFill>
                            <a:srgbClr val="000000"/>
                          </a:solidFill>
                          <a:miter lim="800000"/>
                          <a:headEnd/>
                          <a:tailEnd/>
                        </a:ln>
                      </wps:spPr>
                      <wps:txbx>
                        <w:txbxContent>
                          <w:p w:rsidR="008276DC" w:rsidRPr="005E718C" w:rsidRDefault="008276DC" w:rsidP="005E718C">
                            <w:pPr>
                              <w:jc w:val="center"/>
                              <w:rPr>
                                <w:u w:val="single"/>
                              </w:rPr>
                            </w:pPr>
                            <w:r w:rsidRPr="005E718C">
                              <w:rPr>
                                <w:u w:val="single"/>
                              </w:rPr>
                              <w:t>Les six questions clefs en ophtalmologie</w:t>
                            </w:r>
                          </w:p>
                          <w:p w:rsidR="008276DC" w:rsidRPr="005E718C" w:rsidRDefault="008276DC" w:rsidP="005E718C">
                            <w:pPr>
                              <w:spacing w:after="0"/>
                              <w:rPr>
                                <w:b/>
                              </w:rPr>
                            </w:pPr>
                            <w:r w:rsidRPr="005E718C">
                              <w:rPr>
                                <w:b/>
                              </w:rPr>
                              <w:t>Trauma ?</w:t>
                            </w:r>
                          </w:p>
                          <w:p w:rsidR="008276DC" w:rsidRDefault="008276DC" w:rsidP="00F4538E">
                            <w:pPr>
                              <w:pStyle w:val="Paragraphedeliste"/>
                              <w:numPr>
                                <w:ilvl w:val="0"/>
                                <w:numId w:val="1496"/>
                              </w:numPr>
                              <w:spacing w:after="0"/>
                            </w:pPr>
                            <w:r>
                              <w:t>Métallique/ferreux</w:t>
                            </w:r>
                          </w:p>
                          <w:p w:rsidR="008276DC" w:rsidRDefault="008276DC" w:rsidP="00F4538E">
                            <w:pPr>
                              <w:pStyle w:val="Paragraphedeliste"/>
                              <w:numPr>
                                <w:ilvl w:val="0"/>
                                <w:numId w:val="1496"/>
                              </w:numPr>
                              <w:spacing w:after="0"/>
                            </w:pPr>
                            <w:r>
                              <w:t>Non-métallique</w:t>
                            </w:r>
                          </w:p>
                          <w:p w:rsidR="008276DC" w:rsidRPr="005E718C" w:rsidRDefault="008276DC" w:rsidP="005E718C">
                            <w:pPr>
                              <w:spacing w:after="0"/>
                              <w:rPr>
                                <w:b/>
                              </w:rPr>
                            </w:pPr>
                            <w:r w:rsidRPr="005E718C">
                              <w:rPr>
                                <w:b/>
                              </w:rPr>
                              <w:t xml:space="preserve">Douleur ? </w:t>
                            </w:r>
                          </w:p>
                          <w:p w:rsidR="008276DC" w:rsidRDefault="008276DC" w:rsidP="00F4538E">
                            <w:pPr>
                              <w:pStyle w:val="Paragraphedeliste"/>
                              <w:numPr>
                                <w:ilvl w:val="0"/>
                                <w:numId w:val="1497"/>
                              </w:numPr>
                              <w:spacing w:after="0"/>
                            </w:pPr>
                            <w:r>
                              <w:t>Sensation de corps étranger</w:t>
                            </w:r>
                          </w:p>
                          <w:p w:rsidR="008276DC" w:rsidRDefault="008276DC" w:rsidP="00F4538E">
                            <w:pPr>
                              <w:pStyle w:val="Paragraphedeliste"/>
                              <w:numPr>
                                <w:ilvl w:val="0"/>
                                <w:numId w:val="1497"/>
                              </w:numPr>
                              <w:spacing w:after="0"/>
                            </w:pPr>
                            <w:r>
                              <w:t>Photophobie</w:t>
                            </w:r>
                          </w:p>
                          <w:p w:rsidR="008276DC" w:rsidRDefault="008276DC" w:rsidP="00F4538E">
                            <w:pPr>
                              <w:pStyle w:val="Paragraphedeliste"/>
                              <w:numPr>
                                <w:ilvl w:val="0"/>
                                <w:numId w:val="1497"/>
                              </w:numPr>
                              <w:spacing w:after="0"/>
                            </w:pPr>
                            <w:r>
                              <w:t>Prurit</w:t>
                            </w:r>
                          </w:p>
                          <w:p w:rsidR="008276DC" w:rsidRDefault="008276DC" w:rsidP="00F4538E">
                            <w:pPr>
                              <w:pStyle w:val="Paragraphedeliste"/>
                              <w:numPr>
                                <w:ilvl w:val="0"/>
                                <w:numId w:val="1497"/>
                              </w:numPr>
                              <w:spacing w:after="0"/>
                            </w:pPr>
                            <w:r>
                              <w:t>Céphalées</w:t>
                            </w:r>
                          </w:p>
                          <w:p w:rsidR="008276DC" w:rsidRDefault="008276DC" w:rsidP="00F4538E">
                            <w:pPr>
                              <w:pStyle w:val="Paragraphedeliste"/>
                              <w:numPr>
                                <w:ilvl w:val="0"/>
                                <w:numId w:val="1497"/>
                              </w:numPr>
                              <w:spacing w:after="0"/>
                            </w:pPr>
                            <w:r>
                              <w:t>Douleur franche</w:t>
                            </w:r>
                          </w:p>
                          <w:p w:rsidR="008276DC" w:rsidRPr="005E718C" w:rsidRDefault="008276DC" w:rsidP="005E718C">
                            <w:pPr>
                              <w:spacing w:after="0"/>
                              <w:rPr>
                                <w:b/>
                              </w:rPr>
                            </w:pPr>
                            <w:r w:rsidRPr="005E718C">
                              <w:rPr>
                                <w:b/>
                              </w:rPr>
                              <w:t>Verres de contacts ?</w:t>
                            </w:r>
                          </w:p>
                          <w:p w:rsidR="008276DC" w:rsidRPr="005E718C" w:rsidRDefault="008276DC" w:rsidP="005E718C">
                            <w:pPr>
                              <w:spacing w:after="0"/>
                              <w:rPr>
                                <w:b/>
                              </w:rPr>
                            </w:pPr>
                            <w:r w:rsidRPr="005E718C">
                              <w:rPr>
                                <w:b/>
                              </w:rPr>
                              <w:t>Diminution de la vision ?</w:t>
                            </w:r>
                          </w:p>
                          <w:p w:rsidR="008276DC" w:rsidRDefault="008276DC" w:rsidP="00F4538E">
                            <w:pPr>
                              <w:pStyle w:val="Paragraphedeliste"/>
                              <w:numPr>
                                <w:ilvl w:val="0"/>
                                <w:numId w:val="1498"/>
                              </w:numPr>
                              <w:spacing w:after="0"/>
                            </w:pPr>
                            <w:r>
                              <w:t>Aigue</w:t>
                            </w:r>
                          </w:p>
                          <w:p w:rsidR="008276DC" w:rsidRDefault="008276DC" w:rsidP="00F4538E">
                            <w:pPr>
                              <w:pStyle w:val="Paragraphedeliste"/>
                              <w:numPr>
                                <w:ilvl w:val="0"/>
                                <w:numId w:val="1498"/>
                              </w:numPr>
                              <w:spacing w:after="0"/>
                            </w:pPr>
                            <w:r>
                              <w:t>Progressive</w:t>
                            </w:r>
                          </w:p>
                          <w:p w:rsidR="008276DC" w:rsidRPr="005E718C" w:rsidRDefault="008276DC" w:rsidP="005E718C">
                            <w:pPr>
                              <w:spacing w:after="0"/>
                              <w:rPr>
                                <w:b/>
                              </w:rPr>
                            </w:pPr>
                            <w:r w:rsidRPr="005E718C">
                              <w:rPr>
                                <w:b/>
                              </w:rPr>
                              <w:t>Sécrétions</w:t>
                            </w:r>
                            <w:r>
                              <w:rPr>
                                <w:b/>
                              </w:rPr>
                              <w:t xml:space="preserve"> ?</w:t>
                            </w:r>
                          </w:p>
                          <w:p w:rsidR="008276DC" w:rsidRDefault="008276DC" w:rsidP="00F4538E">
                            <w:pPr>
                              <w:pStyle w:val="Paragraphedeliste"/>
                              <w:numPr>
                                <w:ilvl w:val="0"/>
                                <w:numId w:val="1499"/>
                              </w:numPr>
                              <w:spacing w:after="0"/>
                            </w:pPr>
                            <w:r>
                              <w:t>Séreux</w:t>
                            </w:r>
                          </w:p>
                          <w:p w:rsidR="008276DC" w:rsidRDefault="008276DC" w:rsidP="00F4538E">
                            <w:pPr>
                              <w:pStyle w:val="Paragraphedeliste"/>
                              <w:numPr>
                                <w:ilvl w:val="0"/>
                                <w:numId w:val="1499"/>
                              </w:numPr>
                              <w:spacing w:after="0"/>
                            </w:pPr>
                            <w:r>
                              <w:t>Purulent</w:t>
                            </w:r>
                          </w:p>
                          <w:p w:rsidR="008276DC" w:rsidRDefault="008276DC" w:rsidP="00F4538E">
                            <w:pPr>
                              <w:pStyle w:val="Paragraphedeliste"/>
                              <w:numPr>
                                <w:ilvl w:val="0"/>
                                <w:numId w:val="1499"/>
                              </w:numPr>
                              <w:spacing w:after="0"/>
                            </w:pPr>
                            <w:r>
                              <w:t>Épiphora (larmoiement)</w:t>
                            </w:r>
                          </w:p>
                          <w:p w:rsidR="008276DC" w:rsidRPr="005E718C" w:rsidRDefault="008276DC" w:rsidP="005E718C">
                            <w:pPr>
                              <w:spacing w:after="0"/>
                              <w:rPr>
                                <w:b/>
                              </w:rPr>
                            </w:pPr>
                            <w:r w:rsidRPr="005E718C">
                              <w:rPr>
                                <w:b/>
                              </w:rPr>
                              <w:t>Halos ?</w:t>
                            </w:r>
                          </w:p>
                          <w:p w:rsidR="008276DC" w:rsidRDefault="008276DC"/>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 id="_x0000_s1077" type="#_x0000_t202" style="position:absolute;margin-left:21pt;margin-top:17.6pt;width:186.95pt;height:306.35pt;z-index:252216320;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" fillcolor="#4f81bd [3204]">
                <v:textbox>
                  <w:txbxContent>
                    <w:p w:rsidR="008276DC" w:rsidRPr="005E718C" w:rsidRDefault="008276DC" w:rsidP="005E718C">
                      <w:pPr>
                        <w:jc w:val="center"/>
                        <w:rPr>
                          <w:u w:val="single"/>
                        </w:rPr>
                      </w:pPr>
                      <w:r w:rsidRPr="005E718C">
                        <w:rPr>
                          <w:u w:val="single"/>
                        </w:rPr>
                        <w:t>Les six questions clefs en ophtalmologie</w:t>
                      </w:r>
                    </w:p>
                    <w:p w:rsidR="008276DC" w:rsidRPr="005E718C" w:rsidRDefault="008276DC" w:rsidP="005E718C">
                      <w:pPr>
                        <w:spacing w:after="0"/>
                        <w:rPr>
                          <w:b/>
                        </w:rPr>
                      </w:pPr>
                      <w:r w:rsidRPr="005E718C">
                        <w:rPr>
                          <w:b/>
                        </w:rPr>
                        <w:t>Trauma ?</w:t>
                      </w:r>
                    </w:p>
                    <w:p w:rsidR="008276DC" w:rsidRDefault="008276DC" w:rsidP="00F4538E">
                      <w:pPr>
                        <w:pStyle w:val="Paragraphedeliste"/>
                        <w:numPr>
                          <w:ilvl w:val="0"/>
                          <w:numId w:val="1496"/>
                        </w:numPr>
                        <w:spacing w:after="0"/>
                      </w:pPr>
                      <w:r>
                        <w:t>Métallique/ferreux</w:t>
                      </w:r>
                    </w:p>
                    <w:p w:rsidR="008276DC" w:rsidRDefault="008276DC" w:rsidP="00F4538E">
                      <w:pPr>
                        <w:pStyle w:val="Paragraphedeliste"/>
                        <w:numPr>
                          <w:ilvl w:val="0"/>
                          <w:numId w:val="1496"/>
                        </w:numPr>
                        <w:spacing w:after="0"/>
                      </w:pPr>
                      <w:r>
                        <w:t>Non-métallique</w:t>
                      </w:r>
                    </w:p>
                    <w:p w:rsidR="008276DC" w:rsidRPr="005E718C" w:rsidRDefault="008276DC" w:rsidP="005E718C">
                      <w:pPr>
                        <w:spacing w:after="0"/>
                        <w:rPr>
                          <w:b/>
                        </w:rPr>
                      </w:pPr>
                      <w:r w:rsidRPr="005E718C">
                        <w:rPr>
                          <w:b/>
                        </w:rPr>
                        <w:t xml:space="preserve">Douleur ? </w:t>
                      </w:r>
                    </w:p>
                    <w:p w:rsidR="008276DC" w:rsidRDefault="008276DC" w:rsidP="00F4538E">
                      <w:pPr>
                        <w:pStyle w:val="Paragraphedeliste"/>
                        <w:numPr>
                          <w:ilvl w:val="0"/>
                          <w:numId w:val="1497"/>
                        </w:numPr>
                        <w:spacing w:after="0"/>
                      </w:pPr>
                      <w:r>
                        <w:t>Sensation de corps étranger</w:t>
                      </w:r>
                    </w:p>
                    <w:p w:rsidR="008276DC" w:rsidRDefault="008276DC" w:rsidP="00F4538E">
                      <w:pPr>
                        <w:pStyle w:val="Paragraphedeliste"/>
                        <w:numPr>
                          <w:ilvl w:val="0"/>
                          <w:numId w:val="1497"/>
                        </w:numPr>
                        <w:spacing w:after="0"/>
                      </w:pPr>
                      <w:r>
                        <w:t>Photophobie</w:t>
                      </w:r>
                    </w:p>
                    <w:p w:rsidR="008276DC" w:rsidRDefault="008276DC" w:rsidP="00F4538E">
                      <w:pPr>
                        <w:pStyle w:val="Paragraphedeliste"/>
                        <w:numPr>
                          <w:ilvl w:val="0"/>
                          <w:numId w:val="1497"/>
                        </w:numPr>
                        <w:spacing w:after="0"/>
                      </w:pPr>
                      <w:r>
                        <w:t>Prurit</w:t>
                      </w:r>
                    </w:p>
                    <w:p w:rsidR="008276DC" w:rsidRDefault="008276DC" w:rsidP="00F4538E">
                      <w:pPr>
                        <w:pStyle w:val="Paragraphedeliste"/>
                        <w:numPr>
                          <w:ilvl w:val="0"/>
                          <w:numId w:val="1497"/>
                        </w:numPr>
                        <w:spacing w:after="0"/>
                      </w:pPr>
                      <w:r>
                        <w:t>Céphalées</w:t>
                      </w:r>
                    </w:p>
                    <w:p w:rsidR="008276DC" w:rsidRDefault="008276DC" w:rsidP="00F4538E">
                      <w:pPr>
                        <w:pStyle w:val="Paragraphedeliste"/>
                        <w:numPr>
                          <w:ilvl w:val="0"/>
                          <w:numId w:val="1497"/>
                        </w:numPr>
                        <w:spacing w:after="0"/>
                      </w:pPr>
                      <w:r>
                        <w:t>Douleur franche</w:t>
                      </w:r>
                    </w:p>
                    <w:p w:rsidR="008276DC" w:rsidRPr="005E718C" w:rsidRDefault="008276DC" w:rsidP="005E718C">
                      <w:pPr>
                        <w:spacing w:after="0"/>
                        <w:rPr>
                          <w:b/>
                        </w:rPr>
                      </w:pPr>
                      <w:r w:rsidRPr="005E718C">
                        <w:rPr>
                          <w:b/>
                        </w:rPr>
                        <w:t>Verres de contacts ?</w:t>
                      </w:r>
                    </w:p>
                    <w:p w:rsidR="008276DC" w:rsidRPr="005E718C" w:rsidRDefault="008276DC" w:rsidP="005E718C">
                      <w:pPr>
                        <w:spacing w:after="0"/>
                        <w:rPr>
                          <w:b/>
                        </w:rPr>
                      </w:pPr>
                      <w:r w:rsidRPr="005E718C">
                        <w:rPr>
                          <w:b/>
                        </w:rPr>
                        <w:t>Diminution de la vision ?</w:t>
                      </w:r>
                    </w:p>
                    <w:p w:rsidR="008276DC" w:rsidRDefault="008276DC" w:rsidP="00F4538E">
                      <w:pPr>
                        <w:pStyle w:val="Paragraphedeliste"/>
                        <w:numPr>
                          <w:ilvl w:val="0"/>
                          <w:numId w:val="1498"/>
                        </w:numPr>
                        <w:spacing w:after="0"/>
                      </w:pPr>
                      <w:r>
                        <w:t>Aigue</w:t>
                      </w:r>
                    </w:p>
                    <w:p w:rsidR="008276DC" w:rsidRDefault="008276DC" w:rsidP="00F4538E">
                      <w:pPr>
                        <w:pStyle w:val="Paragraphedeliste"/>
                        <w:numPr>
                          <w:ilvl w:val="0"/>
                          <w:numId w:val="1498"/>
                        </w:numPr>
                        <w:spacing w:after="0"/>
                      </w:pPr>
                      <w:r>
                        <w:t>Progressive</w:t>
                      </w:r>
                    </w:p>
                    <w:p w:rsidR="008276DC" w:rsidRPr="005E718C" w:rsidRDefault="008276DC" w:rsidP="005E718C">
                      <w:pPr>
                        <w:spacing w:after="0"/>
                        <w:rPr>
                          <w:b/>
                        </w:rPr>
                      </w:pPr>
                      <w:r w:rsidRPr="005E718C">
                        <w:rPr>
                          <w:b/>
                        </w:rPr>
                        <w:t>Sécrétions</w:t>
                      </w:r>
                      <w:r>
                        <w:rPr>
                          <w:b/>
                        </w:rPr>
                        <w:t xml:space="preserve"> ?</w:t>
                      </w:r>
                    </w:p>
                    <w:p w:rsidR="008276DC" w:rsidRDefault="008276DC" w:rsidP="00F4538E">
                      <w:pPr>
                        <w:pStyle w:val="Paragraphedeliste"/>
                        <w:numPr>
                          <w:ilvl w:val="0"/>
                          <w:numId w:val="1499"/>
                        </w:numPr>
                        <w:spacing w:after="0"/>
                      </w:pPr>
                      <w:r>
                        <w:t>Séreux</w:t>
                      </w:r>
                    </w:p>
                    <w:p w:rsidR="008276DC" w:rsidRDefault="008276DC" w:rsidP="00F4538E">
                      <w:pPr>
                        <w:pStyle w:val="Paragraphedeliste"/>
                        <w:numPr>
                          <w:ilvl w:val="0"/>
                          <w:numId w:val="1499"/>
                        </w:numPr>
                        <w:spacing w:after="0"/>
                      </w:pPr>
                      <w:r>
                        <w:t>Purulent</w:t>
                      </w:r>
                    </w:p>
                    <w:p w:rsidR="008276DC" w:rsidRDefault="008276DC" w:rsidP="00F4538E">
                      <w:pPr>
                        <w:pStyle w:val="Paragraphedeliste"/>
                        <w:numPr>
                          <w:ilvl w:val="0"/>
                          <w:numId w:val="1499"/>
                        </w:numPr>
                        <w:spacing w:after="0"/>
                      </w:pPr>
                      <w:r>
                        <w:t>Épiphora (larmoiement)</w:t>
                      </w:r>
                    </w:p>
                    <w:p w:rsidR="008276DC" w:rsidRPr="005E718C" w:rsidRDefault="008276DC" w:rsidP="005E718C">
                      <w:pPr>
                        <w:spacing w:after="0"/>
                        <w:rPr>
                          <w:b/>
                        </w:rPr>
                      </w:pPr>
                      <w:r w:rsidRPr="005E718C">
                        <w:rPr>
                          <w:b/>
                        </w:rPr>
                        <w:t>Halos ?</w:t>
                      </w:r>
                    </w:p>
                    <w:p w:rsidR="008276DC" w:rsidRDefault="008276DC"/>
                  </w:txbxContent>
                </v:textbox>
              </v:shape>
            </w:pict>
          </mc:Fallback>
        </mc:AlternateContent>
      </w:r>
    </w:p>
    <w:p w:rsidR="0019011C" w:rsidRPr="007064C6" w:rsidRDefault="0053358C">
      <w:pPr>
        <w:rPr>
          <w:rFonts w:cs="Times New Roman"/>
          <w:color w:val="548DD4" w:themeColor="text2" w:themeTint="99"/>
        </w:rPr>
      </w:pPr>
      <w:r w:rsidRPr="007064C6">
        <w:rPr>
          <w:rFonts w:cs="Times New Roman"/>
          <w:b/>
          <w:color w:val="548DD4" w:themeColor="text2" w:themeTint="99"/>
        </w:rPr>
        <w:br w:type="page"/>
      </w:r>
    </w:p>
    <w:p w:rsidR="008D2919" w:rsidRDefault="008D2919" w:rsidP="008D2919">
      <w:pPr>
        <w:spacing w:after="0"/>
        <w:rPr>
          <w:rFonts w:cs="Times New Roman"/>
          <w:b/>
          <w:color w:val="548DD4" w:themeColor="text2" w:themeTint="99"/>
        </w:rPr>
      </w:pPr>
      <w:r>
        <w:rPr>
          <w:rFonts w:cs="Times New Roman"/>
          <w:b/>
          <w:color w:val="548DD4" w:themeColor="text2" w:themeTint="99"/>
        </w:rPr>
        <w:lastRenderedPageBreak/>
        <w:t>CMC 31-2</w:t>
      </w:r>
    </w:p>
    <w:p w:rsidR="008D2919" w:rsidRPr="008D2919" w:rsidRDefault="008D2919" w:rsidP="008D2919">
      <w:pPr>
        <w:pStyle w:val="Titre3"/>
        <w:spacing w:before="0"/>
        <w:rPr>
          <w:rFonts w:ascii="Times New Roman" w:hAnsi="Times New Roman" w:cs="Times New Roman"/>
        </w:rPr>
      </w:pPr>
      <w:bookmarkStart w:id="111" w:name="_Toc480797282"/>
      <w:r w:rsidRPr="008D2919">
        <w:rPr>
          <w:rFonts w:ascii="Times New Roman" w:hAnsi="Times New Roman" w:cs="Times New Roman"/>
        </w:rPr>
        <w:t>Retard staturo-pondéral (chez le nourrisson et l’enfant)</w:t>
      </w:r>
      <w:bookmarkEnd w:id="111"/>
    </w:p>
    <w:tbl>
      <w:tblPr>
        <w:tblW w:w="3858" w:type="pct"/>
        <w:tblCellSpacing w:w="0" w:type="dxa"/>
        <w:tblCellMar>
          <w:left w:w="0" w:type="dxa"/>
          <w:right w:w="0" w:type="dxa"/>
        </w:tblCellMar>
        <w:tblLook w:val="04A0" w:firstRow="1" w:lastRow="0" w:firstColumn="1" w:lastColumn="0" w:noHBand="0" w:noVBand="1"/>
      </w:tblPr>
      <w:tblGrid>
        <w:gridCol w:w="8333"/>
      </w:tblGrid>
      <w:tr w:rsidR="008D2919" w:rsidRPr="008D2919" w:rsidTr="008D2919">
        <w:trPr>
          <w:tblCellSpacing w:w="0" w:type="dxa"/>
        </w:trPr>
        <w:tc>
          <w:tcPr>
            <w:tcW w:w="0" w:type="auto"/>
            <w:vAlign w:val="bottom"/>
            <w:hideMark/>
          </w:tcPr>
          <w:p w:rsidR="008D2919" w:rsidRPr="008D2919" w:rsidRDefault="008D2919" w:rsidP="008D2919">
            <w:pPr>
              <w:pStyle w:val="Sansinterligne"/>
              <w:spacing w:before="240"/>
              <w:rPr>
                <w:rFonts w:cs="Times New Roman"/>
                <w:b/>
                <w:sz w:val="18"/>
                <w:szCs w:val="18"/>
              </w:rPr>
            </w:pPr>
            <w:r>
              <w:rPr>
                <w:rFonts w:cs="Times New Roman"/>
                <w:b/>
                <w:noProof/>
                <w:sz w:val="18"/>
                <w:szCs w:val="18"/>
                <w:lang w:eastAsia="fr-CA"/>
              </w:rPr>
              <mc:AlternateContent>
                <mc:Choice Requires="wps">
                  <w:drawing>
                    <wp:anchor distT="0" distB="0" distL="114300" distR="114300" simplePos="0" relativeHeight="251952128" behindDoc="0" locked="0" layoutInCell="1" allowOverlap="1" wp14:anchorId="3DA3232A" wp14:editId="3688DA26">
                      <wp:simplePos x="0" y="0"/>
                      <wp:positionH relativeFrom="column">
                        <wp:posOffset>-68094</wp:posOffset>
                      </wp:positionH>
                      <wp:positionV relativeFrom="paragraph">
                        <wp:posOffset>94993</wp:posOffset>
                      </wp:positionV>
                      <wp:extent cx="6896911" cy="2811294"/>
                      <wp:effectExtent l="0" t="0" r="18415" b="27305"/>
                      <wp:wrapNone/>
                      <wp:docPr id="459" name="Rectangle 459"/>
                      <wp:cNvGraphicFramePr/>
                      <a:graphic xmlns:a="http://schemas.openxmlformats.org/drawingml/2006/main">
                        <a:graphicData uri="http://schemas.microsoft.com/office/word/2010/wordprocessingShape">
                          <wps:wsp>
                            <wps:cNvSpPr/>
                            <wps:spPr>
                              <a:xfrm>
                                <a:off x="0" y="0"/>
                                <a:ext cx="6896911" cy="2811294"/>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459" o:spid="_x0000_s1026" style="position:absolute;margin-left:-5.35pt;margin-top:7.5pt;width:543.05pt;height:221.35pt;z-index:2519521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" filled="f" strokecolor="black [1600]" strokeweight="2pt"/>
                  </w:pict>
                </mc:Fallback>
              </mc:AlternateContent>
            </w:r>
            <w:r w:rsidRPr="008D2919">
              <w:rPr>
                <w:rFonts w:cs="Times New Roman"/>
                <w:b/>
                <w:sz w:val="18"/>
                <w:szCs w:val="18"/>
              </w:rPr>
              <w:t>Objectifs principaux</w:t>
            </w:r>
          </w:p>
        </w:tc>
      </w:tr>
    </w:tbl>
    <w:p w:rsidR="008D2919" w:rsidRPr="008D2919" w:rsidRDefault="008D2919" w:rsidP="008D2919">
      <w:pPr>
        <w:pStyle w:val="NormalWeb"/>
        <w:spacing w:after="0" w:afterAutospacing="0"/>
        <w:ind w:left="360"/>
        <w:rPr>
          <w:color w:val="000000"/>
          <w:sz w:val="18"/>
          <w:szCs w:val="18"/>
          <w:shd w:val="clear" w:color="auto" w:fill="FFFFFF"/>
        </w:rPr>
      </w:pPr>
      <w:r w:rsidRPr="008D2919">
        <w:rPr>
          <w:color w:val="000000"/>
          <w:sz w:val="18"/>
          <w:szCs w:val="18"/>
          <w:shd w:val="clear" w:color="auto" w:fill="FFFFFF"/>
        </w:rPr>
        <w:t>Dans le cas d'un nourrisson ou d'un enfant ayant un retard staturo-pondéral, le candidat devra en diagnostiquer la cause, la gravité et les complications, et mettre en place un plan de prise en charge approprié. Une attention particulière devrait être accordée aux facteurs psychosociaux et environnementaux ainsi qu'aux maladies associées piètre au développement du nourrisson ou de l'enfant.</w:t>
      </w:r>
    </w:p>
    <w:tbl>
      <w:tblPr>
        <w:tblW w:w="3897" w:type="pct"/>
        <w:tblCellSpacing w:w="0" w:type="dxa"/>
        <w:tblCellMar>
          <w:left w:w="0" w:type="dxa"/>
          <w:right w:w="0" w:type="dxa"/>
        </w:tblCellMar>
        <w:tblLook w:val="04A0" w:firstRow="1" w:lastRow="0" w:firstColumn="1" w:lastColumn="0" w:noHBand="0" w:noVBand="1"/>
      </w:tblPr>
      <w:tblGrid>
        <w:gridCol w:w="8418"/>
      </w:tblGrid>
      <w:tr w:rsidR="008D2919" w:rsidRPr="008D2919" w:rsidTr="008D2919">
        <w:trPr>
          <w:trHeight w:val="394"/>
          <w:tblCellSpacing w:w="0" w:type="dxa"/>
        </w:trPr>
        <w:tc>
          <w:tcPr>
            <w:tcW w:w="0" w:type="auto"/>
            <w:vAlign w:val="bottom"/>
            <w:hideMark/>
          </w:tcPr>
          <w:p w:rsidR="008D2919" w:rsidRPr="008D2919" w:rsidRDefault="008D2919" w:rsidP="008D2919">
            <w:pPr>
              <w:pStyle w:val="Sansinterligne"/>
              <w:rPr>
                <w:rFonts w:cs="Times New Roman"/>
                <w:b/>
                <w:sz w:val="16"/>
                <w:szCs w:val="16"/>
              </w:rPr>
            </w:pPr>
            <w:r w:rsidRPr="008D2919">
              <w:rPr>
                <w:rFonts w:cs="Times New Roman"/>
                <w:b/>
                <w:sz w:val="16"/>
                <w:szCs w:val="16"/>
              </w:rPr>
              <w:t>Objectifs spécifiques</w:t>
            </w:r>
          </w:p>
        </w:tc>
      </w:tr>
    </w:tbl>
    <w:p w:rsidR="008D2919" w:rsidRPr="008D2919" w:rsidRDefault="008D2919" w:rsidP="008D2919">
      <w:pPr>
        <w:pStyle w:val="NormalWeb"/>
        <w:shd w:val="clear" w:color="auto" w:fill="FFFFFF"/>
        <w:ind w:left="360"/>
        <w:rPr>
          <w:color w:val="000000"/>
          <w:sz w:val="16"/>
          <w:szCs w:val="16"/>
          <w:shd w:val="clear" w:color="auto" w:fill="FFFFFF"/>
        </w:rPr>
      </w:pPr>
      <w:r w:rsidRPr="008D2919">
        <w:rPr>
          <w:color w:val="000000"/>
          <w:sz w:val="16"/>
          <w:szCs w:val="16"/>
          <w:shd w:val="clear" w:color="auto" w:fill="FFFFFF"/>
        </w:rPr>
        <w:t>Dans le cas d'un nourrisson ou d'un enfant ayant un retard staturo-pondéral, le candidat devra</w:t>
      </w:r>
    </w:p>
    <w:p w:rsidR="008D2919" w:rsidRPr="008D2919" w:rsidRDefault="008D2919" w:rsidP="005D429F">
      <w:pPr>
        <w:numPr>
          <w:ilvl w:val="0"/>
          <w:numId w:val="982"/>
        </w:numPr>
        <w:shd w:val="clear" w:color="auto" w:fill="FFFFFF"/>
        <w:spacing w:before="100" w:beforeAutospacing="1" w:after="100" w:afterAutospacing="1" w:line="240" w:lineRule="auto"/>
        <w:rPr>
          <w:rFonts w:cs="Times New Roman"/>
          <w:color w:val="000000"/>
          <w:sz w:val="16"/>
          <w:szCs w:val="16"/>
          <w:shd w:val="clear" w:color="auto" w:fill="FFFFFF"/>
        </w:rPr>
      </w:pPr>
      <w:r w:rsidRPr="008D2919">
        <w:rPr>
          <w:rFonts w:cs="Times New Roman"/>
          <w:color w:val="000000"/>
          <w:sz w:val="16"/>
          <w:szCs w:val="16"/>
          <w:shd w:val="clear" w:color="auto" w:fill="FFFFFF"/>
        </w:rPr>
        <w:t>énumérer et interpréter les constatations cliniques cruciales, notamment :</w:t>
      </w:r>
    </w:p>
    <w:p w:rsidR="008D2919" w:rsidRPr="008D2919" w:rsidRDefault="008D2919" w:rsidP="005D429F">
      <w:pPr>
        <w:numPr>
          <w:ilvl w:val="1"/>
          <w:numId w:val="982"/>
        </w:numPr>
        <w:shd w:val="clear" w:color="auto" w:fill="FFFFFF"/>
        <w:spacing w:before="100" w:beforeAutospacing="1" w:after="100" w:afterAutospacing="1" w:line="240" w:lineRule="auto"/>
        <w:rPr>
          <w:rFonts w:cs="Times New Roman"/>
          <w:color w:val="000000"/>
          <w:sz w:val="16"/>
          <w:szCs w:val="16"/>
          <w:shd w:val="clear" w:color="auto" w:fill="FFFFFF"/>
        </w:rPr>
      </w:pPr>
      <w:r w:rsidRPr="008D2919">
        <w:rPr>
          <w:rFonts w:cs="Times New Roman"/>
          <w:color w:val="000000"/>
          <w:sz w:val="16"/>
          <w:szCs w:val="16"/>
          <w:shd w:val="clear" w:color="auto" w:fill="FFFFFF"/>
        </w:rPr>
        <w:t>reporter à intervalles réguliers sur un graphique les paramètres de croissance et reconnaître lorsqu'un enfant ou un nourrisson a un retard staturo-pondéral;</w:t>
      </w:r>
    </w:p>
    <w:p w:rsidR="008D2919" w:rsidRPr="008D2919" w:rsidRDefault="008D2919" w:rsidP="005D429F">
      <w:pPr>
        <w:numPr>
          <w:ilvl w:val="1"/>
          <w:numId w:val="982"/>
        </w:numPr>
        <w:shd w:val="clear" w:color="auto" w:fill="FFFFFF"/>
        <w:spacing w:before="100" w:beforeAutospacing="1" w:after="100" w:afterAutospacing="1" w:line="240" w:lineRule="auto"/>
        <w:rPr>
          <w:rFonts w:cs="Times New Roman"/>
          <w:color w:val="000000"/>
          <w:sz w:val="16"/>
          <w:szCs w:val="16"/>
          <w:shd w:val="clear" w:color="auto" w:fill="FFFFFF"/>
        </w:rPr>
      </w:pPr>
      <w:r w:rsidRPr="008D2919">
        <w:rPr>
          <w:rFonts w:cs="Times New Roman"/>
          <w:color w:val="000000"/>
          <w:sz w:val="16"/>
          <w:szCs w:val="16"/>
          <w:shd w:val="clear" w:color="auto" w:fill="FFFFFF"/>
        </w:rPr>
        <w:t>faire une anamnèse et un examen physique afin de déterminer la cause du retard staturo-pondéral;</w:t>
      </w:r>
    </w:p>
    <w:p w:rsidR="008D2919" w:rsidRPr="008D2919" w:rsidRDefault="008D2919" w:rsidP="005D429F">
      <w:pPr>
        <w:numPr>
          <w:ilvl w:val="1"/>
          <w:numId w:val="982"/>
        </w:numPr>
        <w:shd w:val="clear" w:color="auto" w:fill="FFFFFF"/>
        <w:spacing w:before="100" w:beforeAutospacing="1" w:after="100" w:afterAutospacing="1" w:line="240" w:lineRule="auto"/>
        <w:rPr>
          <w:rFonts w:cs="Times New Roman"/>
          <w:color w:val="000000"/>
          <w:sz w:val="16"/>
          <w:szCs w:val="16"/>
          <w:shd w:val="clear" w:color="auto" w:fill="FFFFFF"/>
        </w:rPr>
      </w:pPr>
      <w:r w:rsidRPr="008D2919">
        <w:rPr>
          <w:rFonts w:cs="Times New Roman"/>
          <w:color w:val="000000"/>
          <w:sz w:val="16"/>
          <w:szCs w:val="16"/>
          <w:shd w:val="clear" w:color="auto" w:fill="FFFFFF"/>
        </w:rPr>
        <w:t>connaître les facteurs sociaux de risque d'un retard staturo-pondéral;</w:t>
      </w:r>
    </w:p>
    <w:p w:rsidR="008D2919" w:rsidRPr="008D2919" w:rsidRDefault="008D2919" w:rsidP="005D429F">
      <w:pPr>
        <w:numPr>
          <w:ilvl w:val="0"/>
          <w:numId w:val="982"/>
        </w:numPr>
        <w:shd w:val="clear" w:color="auto" w:fill="FFFFFF"/>
        <w:spacing w:before="100" w:beforeAutospacing="1" w:after="100" w:afterAutospacing="1" w:line="240" w:lineRule="auto"/>
        <w:rPr>
          <w:rFonts w:cs="Times New Roman"/>
          <w:color w:val="000000"/>
          <w:sz w:val="16"/>
          <w:szCs w:val="16"/>
          <w:shd w:val="clear" w:color="auto" w:fill="FFFFFF"/>
        </w:rPr>
      </w:pPr>
      <w:r w:rsidRPr="008D2919">
        <w:rPr>
          <w:rFonts w:cs="Times New Roman"/>
          <w:color w:val="000000"/>
          <w:sz w:val="16"/>
          <w:szCs w:val="16"/>
          <w:shd w:val="clear" w:color="auto" w:fill="FFFFFF"/>
        </w:rPr>
        <w:t>effectuer les examens requis, selon le cas</w:t>
      </w:r>
    </w:p>
    <w:p w:rsidR="008D2919" w:rsidRPr="008D2919" w:rsidRDefault="008D2919" w:rsidP="005D429F">
      <w:pPr>
        <w:numPr>
          <w:ilvl w:val="0"/>
          <w:numId w:val="982"/>
        </w:numPr>
        <w:shd w:val="clear" w:color="auto" w:fill="FFFFFF"/>
        <w:spacing w:before="100" w:beforeAutospacing="1" w:after="100" w:afterAutospacing="1" w:line="240" w:lineRule="auto"/>
        <w:rPr>
          <w:rFonts w:cs="Times New Roman"/>
          <w:color w:val="000000"/>
          <w:sz w:val="16"/>
          <w:szCs w:val="16"/>
          <w:shd w:val="clear" w:color="auto" w:fill="FFFFFF"/>
        </w:rPr>
      </w:pPr>
      <w:r w:rsidRPr="008D2919">
        <w:rPr>
          <w:rFonts w:cs="Times New Roman"/>
          <w:color w:val="000000"/>
          <w:sz w:val="16"/>
          <w:szCs w:val="16"/>
          <w:shd w:val="clear" w:color="auto" w:fill="FFFFFF"/>
        </w:rPr>
        <w:t>élaborer un plan efficace de prise en charge initiale, notamment :</w:t>
      </w:r>
    </w:p>
    <w:p w:rsidR="008D2919" w:rsidRPr="008D2919" w:rsidRDefault="008D2919" w:rsidP="005D429F">
      <w:pPr>
        <w:numPr>
          <w:ilvl w:val="1"/>
          <w:numId w:val="982"/>
        </w:numPr>
        <w:shd w:val="clear" w:color="auto" w:fill="FFFFFF"/>
        <w:spacing w:before="100" w:beforeAutospacing="1" w:after="100" w:afterAutospacing="1" w:line="240" w:lineRule="auto"/>
        <w:rPr>
          <w:rFonts w:cs="Times New Roman"/>
          <w:color w:val="000000"/>
          <w:sz w:val="16"/>
          <w:szCs w:val="16"/>
          <w:shd w:val="clear" w:color="auto" w:fill="FFFFFF"/>
        </w:rPr>
      </w:pPr>
      <w:r w:rsidRPr="008D2919">
        <w:rPr>
          <w:rFonts w:cs="Times New Roman"/>
          <w:color w:val="000000"/>
          <w:sz w:val="16"/>
          <w:szCs w:val="16"/>
          <w:shd w:val="clear" w:color="auto" w:fill="FFFFFF"/>
        </w:rPr>
        <w:t>élaborer un programme de suivi des progrès de ces nourrissons et enfants;</w:t>
      </w:r>
    </w:p>
    <w:p w:rsidR="008D2919" w:rsidRPr="008D2919" w:rsidRDefault="008D2919" w:rsidP="005D429F">
      <w:pPr>
        <w:numPr>
          <w:ilvl w:val="1"/>
          <w:numId w:val="982"/>
        </w:numPr>
        <w:shd w:val="clear" w:color="auto" w:fill="FFFFFF"/>
        <w:spacing w:before="100" w:beforeAutospacing="1" w:after="100" w:afterAutospacing="1" w:line="240" w:lineRule="auto"/>
        <w:rPr>
          <w:rFonts w:cs="Times New Roman"/>
          <w:color w:val="000000"/>
          <w:sz w:val="16"/>
          <w:szCs w:val="16"/>
          <w:shd w:val="clear" w:color="auto" w:fill="FFFFFF"/>
        </w:rPr>
      </w:pPr>
      <w:r w:rsidRPr="008D2919">
        <w:rPr>
          <w:rFonts w:cs="Times New Roman"/>
          <w:color w:val="000000"/>
          <w:sz w:val="16"/>
          <w:szCs w:val="16"/>
          <w:shd w:val="clear" w:color="auto" w:fill="FFFFFF"/>
        </w:rPr>
        <w:t>au besoin, élaborer un programme d'orientation et d'éducation à l'intention des personnes intervenants qui ont la charge des nourrissons ou d'enfants qui ont un retard de croissance;</w:t>
      </w:r>
    </w:p>
    <w:p w:rsidR="008D2919" w:rsidRPr="008D2919" w:rsidRDefault="008D2919" w:rsidP="005D429F">
      <w:pPr>
        <w:numPr>
          <w:ilvl w:val="1"/>
          <w:numId w:val="982"/>
        </w:numPr>
        <w:shd w:val="clear" w:color="auto" w:fill="FFFFFF"/>
        <w:spacing w:before="100" w:beforeAutospacing="1" w:after="100" w:afterAutospacing="1" w:line="240" w:lineRule="auto"/>
        <w:rPr>
          <w:rFonts w:cs="Times New Roman"/>
          <w:color w:val="000000"/>
          <w:sz w:val="16"/>
          <w:szCs w:val="16"/>
          <w:shd w:val="clear" w:color="auto" w:fill="FFFFFF"/>
        </w:rPr>
      </w:pPr>
      <w:r w:rsidRPr="008D2919">
        <w:rPr>
          <w:rFonts w:cs="Times New Roman"/>
          <w:color w:val="000000"/>
          <w:sz w:val="16"/>
          <w:szCs w:val="16"/>
          <w:shd w:val="clear" w:color="auto" w:fill="FFFFFF"/>
        </w:rPr>
        <w:t>consulter les autres professionnels de la santé ou de ressources communautaires.</w:t>
      </w:r>
    </w:p>
    <w:p w:rsidR="00BF4060" w:rsidRDefault="00BF4060" w:rsidP="008D2919">
      <w:pPr>
        <w:pStyle w:val="Sansinterligne"/>
        <w:rPr>
          <w:b/>
          <w:sz w:val="28"/>
          <w:szCs w:val="28"/>
          <w:lang w:eastAsia="fr-CA"/>
        </w:rPr>
      </w:pPr>
      <w:r w:rsidRPr="00EC4DDE">
        <w:rPr>
          <w:b/>
          <w:noProof/>
          <w:sz w:val="28"/>
          <w:szCs w:val="28"/>
          <w:lang w:eastAsia="fr-CA"/>
        </w:rPr>
        <w:drawing>
          <wp:anchor distT="0" distB="0" distL="114300" distR="114300" simplePos="0" relativeHeight="251957248" behindDoc="0" locked="0" layoutInCell="1" allowOverlap="1" wp14:anchorId="3B25C01E" wp14:editId="32481059">
            <wp:simplePos x="0" y="0"/>
            <wp:positionH relativeFrom="column">
              <wp:posOffset>4254527</wp:posOffset>
            </wp:positionH>
            <wp:positionV relativeFrom="paragraph">
              <wp:posOffset>29143</wp:posOffset>
            </wp:positionV>
            <wp:extent cx="2359660" cy="2937510"/>
            <wp:effectExtent l="0" t="0" r="2540" b="0"/>
            <wp:wrapNone/>
            <wp:docPr id="473" name="Image 473" descr="Résultats de recherche d'images pour « failure to thriv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ésultats de recherche d'images pour « failure to thrive »"/>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359660" cy="29375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C4DDE">
        <w:rPr>
          <w:b/>
          <w:sz w:val="28"/>
          <w:szCs w:val="28"/>
          <w:lang w:eastAsia="fr-CA"/>
        </w:rPr>
        <w:t>Définition</w:t>
      </w:r>
      <w:r w:rsidR="00D26B06">
        <w:rPr>
          <w:b/>
          <w:sz w:val="28"/>
          <w:szCs w:val="28"/>
          <w:lang w:eastAsia="fr-CA"/>
        </w:rPr>
        <w:t>s</w:t>
      </w:r>
    </w:p>
    <w:p w:rsidR="007F3086" w:rsidRDefault="007F3086" w:rsidP="008D2919">
      <w:pPr>
        <w:pStyle w:val="Sansinterligne"/>
        <w:rPr>
          <w:b/>
          <w:sz w:val="28"/>
          <w:szCs w:val="28"/>
          <w:lang w:eastAsia="fr-CA"/>
        </w:rPr>
      </w:pPr>
    </w:p>
    <w:p w:rsidR="00D26B06" w:rsidRDefault="00D26B06" w:rsidP="00D26B06">
      <w:pPr>
        <w:pStyle w:val="Sansinterligne"/>
        <w:ind w:right="4137"/>
        <w:rPr>
          <w:b/>
          <w:lang w:eastAsia="fr-CA"/>
        </w:rPr>
      </w:pPr>
      <w:r w:rsidRPr="00D26B06">
        <w:rPr>
          <w:b/>
          <w:lang w:eastAsia="fr-CA"/>
        </w:rPr>
        <w:t>Retard de croissance intra-utérin</w:t>
      </w:r>
      <w:r>
        <w:rPr>
          <w:b/>
          <w:lang w:eastAsia="fr-CA"/>
        </w:rPr>
        <w:t xml:space="preserve"> : </w:t>
      </w:r>
    </w:p>
    <w:p w:rsidR="00D26B06" w:rsidRDefault="00D26B06" w:rsidP="00D26B06">
      <w:pPr>
        <w:pStyle w:val="Sansinterligne"/>
        <w:ind w:right="4137"/>
        <w:rPr>
          <w:b/>
          <w:lang w:eastAsia="fr-CA"/>
        </w:rPr>
      </w:pPr>
    </w:p>
    <w:p w:rsidR="00D26B06" w:rsidRPr="00D26B06" w:rsidRDefault="00D26B06" w:rsidP="00D26B06">
      <w:pPr>
        <w:pStyle w:val="Sansinterligne"/>
        <w:ind w:right="4137"/>
        <w:rPr>
          <w:lang w:eastAsia="fr-CA"/>
        </w:rPr>
      </w:pPr>
      <w:r w:rsidRPr="00D26B06">
        <w:rPr>
          <w:highlight w:val="yellow"/>
          <w:lang w:eastAsia="fr-CA"/>
        </w:rPr>
        <w:t>Poids échographique inférieur au 10</w:t>
      </w:r>
      <w:r w:rsidRPr="00D26B06">
        <w:rPr>
          <w:highlight w:val="yellow"/>
          <w:vertAlign w:val="superscript"/>
          <w:lang w:eastAsia="fr-CA"/>
        </w:rPr>
        <w:t>e</w:t>
      </w:r>
      <w:r w:rsidRPr="00D26B06">
        <w:rPr>
          <w:highlight w:val="yellow"/>
          <w:lang w:eastAsia="fr-CA"/>
        </w:rPr>
        <w:t xml:space="preserve"> percentile attendu pour l’âge gestationnel</w:t>
      </w:r>
    </w:p>
    <w:p w:rsidR="00D26B06" w:rsidRDefault="00D26B06" w:rsidP="00D26B06">
      <w:pPr>
        <w:pStyle w:val="Sansinterligne"/>
        <w:ind w:right="4137"/>
        <w:rPr>
          <w:b/>
          <w:sz w:val="28"/>
          <w:szCs w:val="28"/>
          <w:lang w:eastAsia="fr-CA"/>
        </w:rPr>
      </w:pPr>
    </w:p>
    <w:p w:rsidR="007F3086" w:rsidRPr="007F3086" w:rsidRDefault="007F3086" w:rsidP="00D26B06">
      <w:pPr>
        <w:pStyle w:val="Sansinterligne"/>
        <w:ind w:right="4137"/>
        <w:rPr>
          <w:b/>
          <w:lang w:eastAsia="fr-CA"/>
        </w:rPr>
      </w:pPr>
      <w:r w:rsidRPr="007F3086">
        <w:rPr>
          <w:b/>
          <w:lang w:eastAsia="fr-CA"/>
        </w:rPr>
        <w:t>Retard staturo-pondéral :</w:t>
      </w:r>
    </w:p>
    <w:p w:rsidR="00EC4DDE" w:rsidRDefault="00EC4DDE" w:rsidP="00D26B06">
      <w:pPr>
        <w:pStyle w:val="Sansinterligne"/>
        <w:ind w:right="4137"/>
        <w:rPr>
          <w:lang w:eastAsia="fr-CA"/>
        </w:rPr>
      </w:pPr>
    </w:p>
    <w:p w:rsidR="00BF4060" w:rsidRPr="00D26B06" w:rsidRDefault="00BF4060" w:rsidP="00D26B06">
      <w:pPr>
        <w:pStyle w:val="Sansinterligne"/>
        <w:ind w:right="4137"/>
        <w:jc w:val="center"/>
        <w:rPr>
          <w:highlight w:val="yellow"/>
          <w:u w:val="single"/>
          <w:lang w:eastAsia="fr-CA"/>
        </w:rPr>
      </w:pPr>
      <w:r w:rsidRPr="00D26B06">
        <w:rPr>
          <w:highlight w:val="yellow"/>
          <w:u w:val="single"/>
          <w:lang w:eastAsia="fr-CA"/>
        </w:rPr>
        <w:t>Poids inférieur au 3</w:t>
      </w:r>
      <w:r w:rsidRPr="00D26B06">
        <w:rPr>
          <w:highlight w:val="yellow"/>
          <w:u w:val="single"/>
          <w:vertAlign w:val="superscript"/>
          <w:lang w:eastAsia="fr-CA"/>
        </w:rPr>
        <w:t>e</w:t>
      </w:r>
      <w:r w:rsidRPr="00D26B06">
        <w:rPr>
          <w:highlight w:val="yellow"/>
          <w:u w:val="single"/>
          <w:lang w:eastAsia="fr-CA"/>
        </w:rPr>
        <w:t xml:space="preserve"> percentile</w:t>
      </w:r>
    </w:p>
    <w:p w:rsidR="00BF4060" w:rsidRPr="00D26B06" w:rsidRDefault="00EC4DDE" w:rsidP="00D26B06">
      <w:pPr>
        <w:pStyle w:val="Sansinterligne"/>
        <w:ind w:right="4137"/>
        <w:jc w:val="center"/>
        <w:rPr>
          <w:highlight w:val="yellow"/>
          <w:lang w:eastAsia="fr-CA"/>
        </w:rPr>
      </w:pPr>
      <w:r w:rsidRPr="00D26B06">
        <w:rPr>
          <w:highlight w:val="yellow"/>
          <w:lang w:eastAsia="fr-CA"/>
        </w:rPr>
        <w:t>o</w:t>
      </w:r>
      <w:r w:rsidR="00BF4060" w:rsidRPr="00D26B06">
        <w:rPr>
          <w:highlight w:val="yellow"/>
          <w:lang w:eastAsia="fr-CA"/>
        </w:rPr>
        <w:t>u</w:t>
      </w:r>
    </w:p>
    <w:p w:rsidR="00BF4060" w:rsidRPr="00D26B06" w:rsidRDefault="00BF4060" w:rsidP="00D26B06">
      <w:pPr>
        <w:pStyle w:val="Sansinterligne"/>
        <w:ind w:right="4137"/>
        <w:jc w:val="center"/>
        <w:rPr>
          <w:highlight w:val="yellow"/>
          <w:u w:val="single"/>
          <w:lang w:eastAsia="fr-CA"/>
        </w:rPr>
      </w:pPr>
      <w:r w:rsidRPr="00D26B06">
        <w:rPr>
          <w:highlight w:val="yellow"/>
          <w:u w:val="single"/>
          <w:lang w:eastAsia="fr-CA"/>
        </w:rPr>
        <w:t>Cassure des courbes de croissance</w:t>
      </w:r>
      <w:r w:rsidR="009327A5" w:rsidRPr="00D26B06">
        <w:rPr>
          <w:highlight w:val="yellow"/>
          <w:u w:val="single"/>
          <w:lang w:eastAsia="fr-CA"/>
        </w:rPr>
        <w:t xml:space="preserve"> </w:t>
      </w:r>
      <w:r w:rsidR="009327A5" w:rsidRPr="00D26B06">
        <w:rPr>
          <w:rFonts w:ascii="Century Gothic" w:hAnsi="Century Gothic"/>
          <w:highlight w:val="yellow"/>
          <w:u w:val="single"/>
          <w:lang w:eastAsia="fr-CA"/>
        </w:rPr>
        <w:t>≥</w:t>
      </w:r>
      <w:r w:rsidR="009327A5" w:rsidRPr="00D26B06">
        <w:rPr>
          <w:highlight w:val="yellow"/>
          <w:u w:val="single"/>
          <w:lang w:eastAsia="fr-CA"/>
        </w:rPr>
        <w:t xml:space="preserve"> </w:t>
      </w:r>
      <w:r w:rsidRPr="00D26B06">
        <w:rPr>
          <w:highlight w:val="yellow"/>
          <w:u w:val="single"/>
          <w:lang w:eastAsia="fr-CA"/>
        </w:rPr>
        <w:t>2 lignes majeures (90, 75</w:t>
      </w:r>
      <w:r w:rsidRPr="00D26B06">
        <w:rPr>
          <w:highlight w:val="yellow"/>
          <w:u w:val="single"/>
          <w:vertAlign w:val="superscript"/>
          <w:lang w:eastAsia="fr-CA"/>
        </w:rPr>
        <w:t>e</w:t>
      </w:r>
      <w:r w:rsidRPr="00D26B06">
        <w:rPr>
          <w:highlight w:val="yellow"/>
          <w:u w:val="single"/>
          <w:lang w:eastAsia="fr-CA"/>
        </w:rPr>
        <w:t xml:space="preserve">, 50e, </w:t>
      </w:r>
      <w:r w:rsidR="009327A5" w:rsidRPr="00D26B06">
        <w:rPr>
          <w:highlight w:val="yellow"/>
          <w:u w:val="single"/>
          <w:lang w:eastAsia="fr-CA"/>
        </w:rPr>
        <w:t>etc.)</w:t>
      </w:r>
    </w:p>
    <w:p w:rsidR="00BF4060" w:rsidRPr="00D26B06" w:rsidRDefault="00EC4DDE" w:rsidP="00D26B06">
      <w:pPr>
        <w:pStyle w:val="Sansinterligne"/>
        <w:ind w:right="4137"/>
        <w:jc w:val="center"/>
        <w:rPr>
          <w:highlight w:val="yellow"/>
          <w:lang w:eastAsia="fr-CA"/>
        </w:rPr>
      </w:pPr>
      <w:r w:rsidRPr="00D26B06">
        <w:rPr>
          <w:highlight w:val="yellow"/>
          <w:lang w:eastAsia="fr-CA"/>
        </w:rPr>
        <w:t>o</w:t>
      </w:r>
      <w:r w:rsidR="00BF4060" w:rsidRPr="00D26B06">
        <w:rPr>
          <w:highlight w:val="yellow"/>
          <w:lang w:eastAsia="fr-CA"/>
        </w:rPr>
        <w:t>u</w:t>
      </w:r>
    </w:p>
    <w:p w:rsidR="00BF4060" w:rsidRPr="009327A5" w:rsidRDefault="00BF4060" w:rsidP="00D26B06">
      <w:pPr>
        <w:pStyle w:val="Sansinterligne"/>
        <w:ind w:right="4137"/>
        <w:jc w:val="center"/>
        <w:rPr>
          <w:u w:val="single"/>
          <w:lang w:eastAsia="fr-CA"/>
        </w:rPr>
      </w:pPr>
      <w:r w:rsidRPr="00D26B06">
        <w:rPr>
          <w:highlight w:val="yellow"/>
          <w:u w:val="single"/>
          <w:lang w:eastAsia="fr-CA"/>
        </w:rPr>
        <w:t>Poids inférieur à</w:t>
      </w:r>
      <w:r w:rsidR="009327A5" w:rsidRPr="00D26B06">
        <w:rPr>
          <w:highlight w:val="yellow"/>
          <w:u w:val="single"/>
          <w:lang w:eastAsia="fr-CA"/>
        </w:rPr>
        <w:t xml:space="preserve"> </w:t>
      </w:r>
      <w:r w:rsidRPr="00D26B06">
        <w:rPr>
          <w:highlight w:val="yellow"/>
          <w:u w:val="single"/>
          <w:lang w:eastAsia="fr-CA"/>
        </w:rPr>
        <w:t>80% du poids attendu pour la taille et l’âge</w:t>
      </w:r>
    </w:p>
    <w:p w:rsidR="00BF4060" w:rsidRDefault="00BF4060" w:rsidP="008D2919">
      <w:pPr>
        <w:pStyle w:val="Sansinterligne"/>
        <w:rPr>
          <w:lang w:eastAsia="fr-CA"/>
        </w:rPr>
      </w:pPr>
    </w:p>
    <w:p w:rsidR="00AE0738" w:rsidRPr="005F59DE" w:rsidRDefault="00AE0738" w:rsidP="008D2919">
      <w:pPr>
        <w:pStyle w:val="Sansinterligne"/>
        <w:rPr>
          <w:b/>
          <w:sz w:val="28"/>
          <w:szCs w:val="28"/>
          <w:lang w:eastAsia="fr-CA"/>
        </w:rPr>
      </w:pPr>
      <w:r w:rsidRPr="005F59DE">
        <w:rPr>
          <w:b/>
          <w:sz w:val="28"/>
          <w:szCs w:val="28"/>
          <w:lang w:eastAsia="fr-CA"/>
        </w:rPr>
        <w:t>Étiologie</w:t>
      </w:r>
    </w:p>
    <w:p w:rsidR="00AE0738" w:rsidRDefault="00AE0738" w:rsidP="008D2919">
      <w:pPr>
        <w:pStyle w:val="Sansinterligne"/>
        <w:rPr>
          <w:lang w:eastAsia="fr-CA"/>
        </w:rPr>
      </w:pPr>
    </w:p>
    <w:p w:rsidR="008D2919" w:rsidRPr="008D2919" w:rsidRDefault="008D2919" w:rsidP="005D429F">
      <w:pPr>
        <w:pStyle w:val="Sansinterligne"/>
        <w:numPr>
          <w:ilvl w:val="0"/>
          <w:numId w:val="1001"/>
        </w:numPr>
        <w:rPr>
          <w:lang w:eastAsia="fr-CA"/>
        </w:rPr>
      </w:pPr>
      <w:r w:rsidRPr="008D2919">
        <w:rPr>
          <w:lang w:eastAsia="fr-CA"/>
        </w:rPr>
        <w:t>Causes prénatales</w:t>
      </w:r>
    </w:p>
    <w:p w:rsidR="00AE0738" w:rsidRDefault="00AE0738" w:rsidP="005D429F">
      <w:pPr>
        <w:pStyle w:val="Sansinterligne"/>
        <w:numPr>
          <w:ilvl w:val="1"/>
          <w:numId w:val="1001"/>
        </w:numPr>
        <w:rPr>
          <w:lang w:eastAsia="fr-CA"/>
        </w:rPr>
      </w:pPr>
      <w:bookmarkStart w:id="112" w:name="%C3%89tiologie1.3"/>
      <w:r w:rsidRPr="008D2919">
        <w:rPr>
          <w:lang w:eastAsia="fr-CA"/>
        </w:rPr>
        <w:t xml:space="preserve">Insuffisance placentaire </w:t>
      </w:r>
    </w:p>
    <w:p w:rsidR="00AE0738" w:rsidRDefault="00AE0738" w:rsidP="005D429F">
      <w:pPr>
        <w:pStyle w:val="Sansinterligne"/>
        <w:numPr>
          <w:ilvl w:val="1"/>
          <w:numId w:val="1001"/>
        </w:numPr>
        <w:rPr>
          <w:lang w:eastAsia="fr-CA"/>
        </w:rPr>
      </w:pPr>
      <w:r>
        <w:rPr>
          <w:lang w:eastAsia="fr-CA"/>
        </w:rPr>
        <w:t>Infections intra-utérines</w:t>
      </w:r>
    </w:p>
    <w:p w:rsidR="00AE0738" w:rsidRPr="008D2919" w:rsidRDefault="00AE0738" w:rsidP="005D429F">
      <w:pPr>
        <w:pStyle w:val="Sansinterligne"/>
        <w:numPr>
          <w:ilvl w:val="1"/>
          <w:numId w:val="1001"/>
        </w:numPr>
        <w:rPr>
          <w:lang w:eastAsia="fr-CA"/>
        </w:rPr>
      </w:pPr>
      <w:r w:rsidRPr="008D2919">
        <w:rPr>
          <w:lang w:eastAsia="fr-CA"/>
        </w:rPr>
        <w:t>Causes génétiques</w:t>
      </w:r>
    </w:p>
    <w:p w:rsidR="00AE0738" w:rsidRPr="008D2919" w:rsidRDefault="00AE0738" w:rsidP="005D429F">
      <w:pPr>
        <w:pStyle w:val="Sansinterligne"/>
        <w:numPr>
          <w:ilvl w:val="1"/>
          <w:numId w:val="1001"/>
        </w:numPr>
        <w:rPr>
          <w:lang w:eastAsia="fr-CA"/>
        </w:rPr>
      </w:pPr>
      <w:bookmarkStart w:id="113" w:name="%C3%89tiologie1.4"/>
      <w:bookmarkEnd w:id="112"/>
      <w:r w:rsidRPr="008D2919">
        <w:rPr>
          <w:lang w:eastAsia="fr-CA"/>
        </w:rPr>
        <w:t>Causes maternelles</w:t>
      </w:r>
    </w:p>
    <w:bookmarkEnd w:id="113"/>
    <w:p w:rsidR="00AE0738" w:rsidRPr="008D2919" w:rsidRDefault="00AE0738" w:rsidP="005D429F">
      <w:pPr>
        <w:pStyle w:val="Sansinterligne"/>
        <w:numPr>
          <w:ilvl w:val="0"/>
          <w:numId w:val="1002"/>
        </w:numPr>
        <w:rPr>
          <w:lang w:eastAsia="fr-CA"/>
        </w:rPr>
      </w:pPr>
      <w:r w:rsidRPr="008D2919">
        <w:rPr>
          <w:lang w:eastAsia="fr-CA"/>
        </w:rPr>
        <w:t>Causes postnatales</w:t>
      </w:r>
    </w:p>
    <w:p w:rsidR="005F59DE" w:rsidRPr="008D2919" w:rsidRDefault="005F59DE" w:rsidP="005D429F">
      <w:pPr>
        <w:pStyle w:val="Sansinterligne"/>
        <w:numPr>
          <w:ilvl w:val="1"/>
          <w:numId w:val="1002"/>
        </w:numPr>
        <w:rPr>
          <w:lang w:eastAsia="fr-CA"/>
        </w:rPr>
      </w:pPr>
      <w:bookmarkStart w:id="114" w:name="%C3%89tiologie2.1.1"/>
      <w:r w:rsidRPr="008D2919">
        <w:rPr>
          <w:lang w:eastAsia="fr-CA"/>
        </w:rPr>
        <w:t>Apport calorique insuffisant</w:t>
      </w:r>
    </w:p>
    <w:p w:rsidR="00AE0738" w:rsidRPr="008D2919" w:rsidRDefault="00AE0738" w:rsidP="005D429F">
      <w:pPr>
        <w:pStyle w:val="Sansinterligne"/>
        <w:numPr>
          <w:ilvl w:val="2"/>
          <w:numId w:val="1002"/>
        </w:numPr>
        <w:rPr>
          <w:lang w:eastAsia="fr-CA"/>
        </w:rPr>
      </w:pPr>
      <w:r w:rsidRPr="008D2919">
        <w:rPr>
          <w:lang w:eastAsia="fr-CA"/>
        </w:rPr>
        <w:t>Causes attribuables à l'adulte responsable</w:t>
      </w:r>
      <w:r>
        <w:rPr>
          <w:lang w:eastAsia="fr-CA"/>
        </w:rPr>
        <w:t xml:space="preserve"> (négligence, lactation insuffisante, etc.)</w:t>
      </w:r>
    </w:p>
    <w:p w:rsidR="00AE0738" w:rsidRPr="008D2919" w:rsidRDefault="00AE0738" w:rsidP="005D429F">
      <w:pPr>
        <w:pStyle w:val="Sansinterligne"/>
        <w:numPr>
          <w:ilvl w:val="2"/>
          <w:numId w:val="1002"/>
        </w:numPr>
        <w:rPr>
          <w:lang w:eastAsia="fr-CA"/>
        </w:rPr>
      </w:pPr>
      <w:bookmarkStart w:id="115" w:name="%C3%89tiologie2.1.2"/>
      <w:bookmarkEnd w:id="114"/>
      <w:r w:rsidRPr="008D2919">
        <w:rPr>
          <w:lang w:eastAsia="fr-CA"/>
        </w:rPr>
        <w:t>Causes propres à l'enfant</w:t>
      </w:r>
    </w:p>
    <w:p w:rsidR="008D2919" w:rsidRPr="008D2919" w:rsidRDefault="008D2919" w:rsidP="005D429F">
      <w:pPr>
        <w:pStyle w:val="Sansinterligne"/>
        <w:numPr>
          <w:ilvl w:val="3"/>
          <w:numId w:val="1002"/>
        </w:numPr>
        <w:rPr>
          <w:lang w:eastAsia="fr-CA"/>
        </w:rPr>
      </w:pPr>
      <w:bookmarkStart w:id="116" w:name="%C3%89tiologie2.1.2.1"/>
      <w:bookmarkEnd w:id="115"/>
      <w:r w:rsidRPr="008D2919">
        <w:rPr>
          <w:lang w:eastAsia="fr-CA"/>
        </w:rPr>
        <w:t xml:space="preserve">Dysfonction de la succion ou de la déglutition </w:t>
      </w:r>
    </w:p>
    <w:p w:rsidR="008D2919" w:rsidRPr="008D2919" w:rsidRDefault="008D2919" w:rsidP="005D429F">
      <w:pPr>
        <w:pStyle w:val="Sansinterligne"/>
        <w:numPr>
          <w:ilvl w:val="3"/>
          <w:numId w:val="1002"/>
        </w:numPr>
        <w:rPr>
          <w:lang w:eastAsia="fr-CA"/>
        </w:rPr>
      </w:pPr>
      <w:bookmarkStart w:id="117" w:name="%C3%89tiologie2.1.2.2"/>
      <w:bookmarkEnd w:id="116"/>
      <w:r w:rsidRPr="008D2919">
        <w:rPr>
          <w:lang w:eastAsia="fr-CA"/>
        </w:rPr>
        <w:t xml:space="preserve">Maladie chronique </w:t>
      </w:r>
    </w:p>
    <w:bookmarkEnd w:id="117"/>
    <w:p w:rsidR="008D2919" w:rsidRPr="008D2919" w:rsidRDefault="008D2919" w:rsidP="005D429F">
      <w:pPr>
        <w:pStyle w:val="Sansinterligne"/>
        <w:numPr>
          <w:ilvl w:val="3"/>
          <w:numId w:val="1002"/>
        </w:numPr>
        <w:rPr>
          <w:lang w:eastAsia="fr-CA"/>
        </w:rPr>
      </w:pPr>
      <w:r w:rsidRPr="008D2919">
        <w:rPr>
          <w:lang w:eastAsia="fr-CA"/>
        </w:rPr>
        <w:t xml:space="preserve">Absorption calorique insuffisante </w:t>
      </w:r>
    </w:p>
    <w:p w:rsidR="008D2919" w:rsidRPr="008D2919" w:rsidRDefault="008D2919" w:rsidP="005D429F">
      <w:pPr>
        <w:pStyle w:val="Sansinterligne"/>
        <w:numPr>
          <w:ilvl w:val="1"/>
          <w:numId w:val="1002"/>
        </w:numPr>
        <w:rPr>
          <w:lang w:eastAsia="fr-CA"/>
        </w:rPr>
      </w:pPr>
      <w:r w:rsidRPr="008D2919">
        <w:rPr>
          <w:lang w:eastAsia="fr-CA"/>
        </w:rPr>
        <w:t xml:space="preserve">Besoins caloriques accrus </w:t>
      </w:r>
    </w:p>
    <w:p w:rsidR="008D2919" w:rsidRPr="008D2919" w:rsidRDefault="008D2919" w:rsidP="005D429F">
      <w:pPr>
        <w:pStyle w:val="Sansinterligne"/>
        <w:numPr>
          <w:ilvl w:val="1"/>
          <w:numId w:val="1002"/>
        </w:numPr>
        <w:rPr>
          <w:lang w:eastAsia="fr-CA"/>
        </w:rPr>
      </w:pPr>
      <w:bookmarkStart w:id="118" w:name="%C3%89tiologie2.4"/>
      <w:r w:rsidRPr="008D2919">
        <w:rPr>
          <w:lang w:eastAsia="fr-CA"/>
        </w:rPr>
        <w:t>Déterminants</w:t>
      </w:r>
      <w:r w:rsidR="005F59DE">
        <w:rPr>
          <w:lang w:eastAsia="fr-CA"/>
        </w:rPr>
        <w:t>/situation</w:t>
      </w:r>
      <w:r w:rsidRPr="008D2919">
        <w:rPr>
          <w:lang w:eastAsia="fr-CA"/>
        </w:rPr>
        <w:t xml:space="preserve"> soci</w:t>
      </w:r>
      <w:r w:rsidR="00AE0738">
        <w:rPr>
          <w:lang w:eastAsia="fr-CA"/>
        </w:rPr>
        <w:t>o-économiques</w:t>
      </w:r>
    </w:p>
    <w:bookmarkEnd w:id="118"/>
    <w:p w:rsidR="00BF4060" w:rsidRDefault="00BF4060" w:rsidP="008D2919">
      <w:pPr>
        <w:pStyle w:val="Sansinterligne"/>
      </w:pPr>
    </w:p>
    <w:p w:rsidR="00355519" w:rsidRPr="00355519" w:rsidRDefault="00EC3360" w:rsidP="008D2919">
      <w:pPr>
        <w:pStyle w:val="Sansinterligne"/>
        <w:rPr>
          <w:b/>
          <w:sz w:val="28"/>
          <w:szCs w:val="28"/>
        </w:rPr>
      </w:pPr>
      <w:r>
        <w:rPr>
          <w:b/>
          <w:sz w:val="28"/>
          <w:szCs w:val="28"/>
        </w:rPr>
        <w:lastRenderedPageBreak/>
        <w:t>Causes</w:t>
      </w:r>
    </w:p>
    <w:p w:rsidR="00355519" w:rsidRDefault="00355519" w:rsidP="008D2919">
      <w:pPr>
        <w:pStyle w:val="Sansinterligne"/>
        <w:rPr>
          <w:b/>
        </w:rPr>
      </w:pPr>
    </w:p>
    <w:p w:rsidR="00355519" w:rsidRDefault="00355519" w:rsidP="00355519">
      <w:pPr>
        <w:pStyle w:val="Sansinterligne"/>
        <w:sectPr w:rsidR="00355519" w:rsidSect="00540770">
          <w:type w:val="continuous"/>
          <w:pgSz w:w="12240" w:h="15840"/>
          <w:pgMar w:top="720" w:right="720" w:bottom="720" w:left="720" w:header="708" w:footer="708" w:gutter="0"/>
          <w:cols w:space="708"/>
          <w:docGrid w:linePitch="360"/>
        </w:sectPr>
      </w:pPr>
      <w:r w:rsidRPr="00355519">
        <w:rPr>
          <w:b/>
        </w:rPr>
        <w:t>Poser le diagnostic</w:t>
      </w:r>
      <w:r>
        <w:rPr>
          <w:b/>
        </w:rPr>
        <w:t> :</w:t>
      </w:r>
      <w:r w:rsidRPr="00355519">
        <w:t xml:space="preserve"> </w:t>
      </w:r>
      <w:r>
        <w:t>Le bon diagnostic repose sur un examen et surtout une anamnèse exhaustive incluant</w:t>
      </w:r>
      <w:r w:rsidR="00EB3042">
        <w:t> </w:t>
      </w:r>
    </w:p>
    <w:p w:rsidR="00355519" w:rsidRPr="00355519" w:rsidRDefault="00355519" w:rsidP="005D429F">
      <w:pPr>
        <w:pStyle w:val="Sansinterligne"/>
        <w:numPr>
          <w:ilvl w:val="0"/>
          <w:numId w:val="1012"/>
        </w:numPr>
        <w:ind w:left="360"/>
        <w:rPr>
          <w:highlight w:val="yellow"/>
        </w:rPr>
      </w:pPr>
      <w:r w:rsidRPr="00355519">
        <w:rPr>
          <w:highlight w:val="yellow"/>
        </w:rPr>
        <w:lastRenderedPageBreak/>
        <w:t>ATCD de grossesse (RCIU, prééclampsie, etc.)</w:t>
      </w:r>
    </w:p>
    <w:p w:rsidR="00355519" w:rsidRPr="00355519" w:rsidRDefault="00355519" w:rsidP="005D429F">
      <w:pPr>
        <w:pStyle w:val="Sansinterligne"/>
        <w:numPr>
          <w:ilvl w:val="0"/>
          <w:numId w:val="1012"/>
        </w:numPr>
        <w:ind w:left="360"/>
        <w:rPr>
          <w:highlight w:val="yellow"/>
        </w:rPr>
      </w:pPr>
      <w:r w:rsidRPr="00355519">
        <w:rPr>
          <w:highlight w:val="yellow"/>
        </w:rPr>
        <w:t>Révision de la technique d’allaitement</w:t>
      </w:r>
    </w:p>
    <w:p w:rsidR="00355519" w:rsidRPr="00355519" w:rsidRDefault="00355519" w:rsidP="005D429F">
      <w:pPr>
        <w:pStyle w:val="Sansinterligne"/>
        <w:numPr>
          <w:ilvl w:val="0"/>
          <w:numId w:val="1012"/>
        </w:numPr>
        <w:ind w:left="360"/>
        <w:rPr>
          <w:highlight w:val="yellow"/>
        </w:rPr>
      </w:pPr>
      <w:r w:rsidRPr="00355519">
        <w:rPr>
          <w:highlight w:val="yellow"/>
        </w:rPr>
        <w:t>Appétit de l’enfant, textures utilisées, quantité données, fréquence de l’alimentation, qualité des aliments</w:t>
      </w:r>
    </w:p>
    <w:p w:rsidR="00355519" w:rsidRDefault="00355519" w:rsidP="005D429F">
      <w:pPr>
        <w:pStyle w:val="Sansinterligne"/>
        <w:numPr>
          <w:ilvl w:val="0"/>
          <w:numId w:val="1012"/>
        </w:numPr>
        <w:ind w:left="360"/>
      </w:pPr>
      <w:r>
        <w:t>Relation mère-enfant</w:t>
      </w:r>
    </w:p>
    <w:p w:rsidR="00355519" w:rsidRDefault="00355519" w:rsidP="005D429F">
      <w:pPr>
        <w:pStyle w:val="Sansinterligne"/>
        <w:numPr>
          <w:ilvl w:val="0"/>
          <w:numId w:val="1012"/>
        </w:numPr>
        <w:ind w:left="360"/>
      </w:pPr>
      <w:r>
        <w:t>Statut socioéconomique : pauvreté, isolement, négligence, violence conjugale ….</w:t>
      </w:r>
    </w:p>
    <w:p w:rsidR="00426F4A" w:rsidRDefault="00426F4A" w:rsidP="00355519">
      <w:pPr>
        <w:pStyle w:val="Sansinterligne"/>
        <w:rPr>
          <w:u w:val="single"/>
        </w:rPr>
      </w:pPr>
    </w:p>
    <w:p w:rsidR="0025687B" w:rsidRDefault="0025687B" w:rsidP="00355519">
      <w:pPr>
        <w:pStyle w:val="Sansinterligne"/>
        <w:rPr>
          <w:u w:val="single"/>
        </w:rPr>
      </w:pPr>
    </w:p>
    <w:p w:rsidR="00355519" w:rsidRPr="00355519" w:rsidRDefault="00355519" w:rsidP="00355519">
      <w:pPr>
        <w:pStyle w:val="Sansinterligne"/>
        <w:rPr>
          <w:u w:val="single"/>
        </w:rPr>
      </w:pPr>
      <w:r w:rsidRPr="00355519">
        <w:rPr>
          <w:u w:val="single"/>
        </w:rPr>
        <w:lastRenderedPageBreak/>
        <w:t>E/P</w:t>
      </w:r>
    </w:p>
    <w:p w:rsidR="00355519" w:rsidRPr="00355519" w:rsidRDefault="00355519" w:rsidP="005D429F">
      <w:pPr>
        <w:pStyle w:val="Sansinterligne"/>
        <w:numPr>
          <w:ilvl w:val="0"/>
          <w:numId w:val="1012"/>
        </w:numPr>
        <w:ind w:left="360"/>
        <w:rPr>
          <w:highlight w:val="yellow"/>
        </w:rPr>
      </w:pPr>
      <w:r w:rsidRPr="00355519">
        <w:rPr>
          <w:highlight w:val="yellow"/>
        </w:rPr>
        <w:t>Présence de traits dysmorphiques</w:t>
      </w:r>
    </w:p>
    <w:p w:rsidR="00355519" w:rsidRPr="00355519" w:rsidRDefault="00355519" w:rsidP="005D429F">
      <w:pPr>
        <w:pStyle w:val="Sansinterligne"/>
        <w:numPr>
          <w:ilvl w:val="0"/>
          <w:numId w:val="1012"/>
        </w:numPr>
        <w:ind w:left="360"/>
        <w:rPr>
          <w:highlight w:val="yellow"/>
        </w:rPr>
      </w:pPr>
      <w:r w:rsidRPr="00355519">
        <w:rPr>
          <w:highlight w:val="yellow"/>
        </w:rPr>
        <w:t xml:space="preserve">Souffles cardiaques, hyperthermie, </w:t>
      </w:r>
      <w:r w:rsidR="00EB3042">
        <w:rPr>
          <w:highlight w:val="yellow"/>
        </w:rPr>
        <w:t xml:space="preserve">                      </w:t>
      </w:r>
      <w:r w:rsidRPr="00355519">
        <w:rPr>
          <w:highlight w:val="yellow"/>
        </w:rPr>
        <w:t xml:space="preserve">HSM, </w:t>
      </w:r>
      <w:r w:rsidR="00F33879">
        <w:rPr>
          <w:highlight w:val="yellow"/>
        </w:rPr>
        <w:t xml:space="preserve">goitre, </w:t>
      </w:r>
      <w:r w:rsidR="00EB3042">
        <w:rPr>
          <w:highlight w:val="yellow"/>
        </w:rPr>
        <w:t>atteinte systémique …</w:t>
      </w:r>
    </w:p>
    <w:p w:rsidR="00426F4A" w:rsidRDefault="001C28E5" w:rsidP="005D429F">
      <w:pPr>
        <w:pStyle w:val="Sansinterligne"/>
        <w:numPr>
          <w:ilvl w:val="0"/>
          <w:numId w:val="1018"/>
        </w:numPr>
      </w:pPr>
      <w:r>
        <w:t>Signes de maltraitance/négligence (hygiène, ecchymoses, etc.)</w:t>
      </w:r>
    </w:p>
    <w:p w:rsidR="00F33879" w:rsidRDefault="00F33879" w:rsidP="005D429F">
      <w:pPr>
        <w:pStyle w:val="Sansinterligne"/>
        <w:numPr>
          <w:ilvl w:val="0"/>
          <w:numId w:val="1018"/>
        </w:numPr>
      </w:pPr>
      <w:r>
        <w:t>Atrophie musculaire, maigreur s/c</w:t>
      </w:r>
    </w:p>
    <w:p w:rsidR="00D24B01" w:rsidRDefault="00D24B01" w:rsidP="005D429F">
      <w:pPr>
        <w:pStyle w:val="Sansinterligne"/>
        <w:numPr>
          <w:ilvl w:val="0"/>
          <w:numId w:val="1018"/>
        </w:numPr>
      </w:pPr>
      <w:r>
        <w:t>Poids, taille, périmètre crânien</w:t>
      </w:r>
    </w:p>
    <w:p w:rsidR="00426F4A" w:rsidRDefault="00426F4A" w:rsidP="008D2919">
      <w:pPr>
        <w:pStyle w:val="Sansinterligne"/>
      </w:pPr>
    </w:p>
    <w:p w:rsidR="00426F4A" w:rsidRDefault="00426F4A" w:rsidP="008D2919">
      <w:pPr>
        <w:pStyle w:val="Sansinterligne"/>
        <w:sectPr w:rsidR="00426F4A" w:rsidSect="00355519">
          <w:type w:val="continuous"/>
          <w:pgSz w:w="12240" w:h="15840"/>
          <w:pgMar w:top="720" w:right="720" w:bottom="720" w:left="720" w:header="708" w:footer="708" w:gutter="0"/>
          <w:cols w:num="2" w:space="0" w:equalWidth="0">
            <w:col w:w="5954" w:space="0"/>
            <w:col w:w="4846"/>
          </w:cols>
          <w:docGrid w:linePitch="360"/>
        </w:sectPr>
      </w:pPr>
    </w:p>
    <w:tbl>
      <w:tblPr>
        <w:tblStyle w:val="Grilledutableau"/>
        <w:tblW w:w="0" w:type="auto"/>
        <w:tblInd w:w="1455" w:type="dxa"/>
        <w:tblLook w:val="04A0" w:firstRow="1" w:lastRow="0" w:firstColumn="1" w:lastColumn="0" w:noHBand="0" w:noVBand="1"/>
      </w:tblPr>
      <w:tblGrid>
        <w:gridCol w:w="1809"/>
        <w:gridCol w:w="6096"/>
      </w:tblGrid>
      <w:tr w:rsidR="00AE0738" w:rsidTr="00EB3042">
        <w:tc>
          <w:tcPr>
            <w:tcW w:w="7905" w:type="dxa"/>
            <w:gridSpan w:val="2"/>
            <w:shd w:val="clear" w:color="auto" w:fill="FFC000"/>
          </w:tcPr>
          <w:p w:rsidR="00AE0738" w:rsidRPr="00425693" w:rsidRDefault="00AE0738" w:rsidP="00AE0738">
            <w:pPr>
              <w:pStyle w:val="Sansinterligne"/>
              <w:jc w:val="center"/>
              <w:rPr>
                <w:b/>
              </w:rPr>
            </w:pPr>
            <w:r w:rsidRPr="00425693">
              <w:rPr>
                <w:b/>
              </w:rPr>
              <w:lastRenderedPageBreak/>
              <w:t>Causes prénatales de retard staturo-pondéral / RCIU</w:t>
            </w:r>
          </w:p>
        </w:tc>
      </w:tr>
      <w:tr w:rsidR="00AE0738" w:rsidTr="00EB3042">
        <w:tc>
          <w:tcPr>
            <w:tcW w:w="1809" w:type="dxa"/>
            <w:shd w:val="clear" w:color="auto" w:fill="D6E3BC" w:themeFill="accent3" w:themeFillTint="66"/>
            <w:vAlign w:val="center"/>
          </w:tcPr>
          <w:p w:rsidR="00AE0738" w:rsidRPr="00575CAC" w:rsidRDefault="00425693" w:rsidP="00575CAC">
            <w:pPr>
              <w:pStyle w:val="Sansinterligne"/>
              <w:jc w:val="center"/>
              <w:rPr>
                <w:i/>
              </w:rPr>
            </w:pPr>
            <w:r w:rsidRPr="00575CAC">
              <w:rPr>
                <w:i/>
              </w:rPr>
              <w:t>Diagnostic</w:t>
            </w:r>
          </w:p>
        </w:tc>
        <w:tc>
          <w:tcPr>
            <w:tcW w:w="6096" w:type="dxa"/>
            <w:shd w:val="clear" w:color="auto" w:fill="D6E3BC" w:themeFill="accent3" w:themeFillTint="66"/>
          </w:tcPr>
          <w:p w:rsidR="00AE0738" w:rsidRPr="00575CAC" w:rsidRDefault="00425693" w:rsidP="00575CAC">
            <w:pPr>
              <w:pStyle w:val="Sansinterligne"/>
              <w:jc w:val="center"/>
              <w:rPr>
                <w:i/>
              </w:rPr>
            </w:pPr>
            <w:r w:rsidRPr="00575CAC">
              <w:rPr>
                <w:i/>
              </w:rPr>
              <w:t>Manifestations cliniques / échographiques</w:t>
            </w:r>
          </w:p>
        </w:tc>
      </w:tr>
      <w:tr w:rsidR="00AE0738" w:rsidTr="00EB3042">
        <w:tc>
          <w:tcPr>
            <w:tcW w:w="1809" w:type="dxa"/>
            <w:shd w:val="clear" w:color="auto" w:fill="D6E3BC" w:themeFill="accent3" w:themeFillTint="66"/>
            <w:vAlign w:val="center"/>
          </w:tcPr>
          <w:p w:rsidR="00AE0738" w:rsidRPr="008D2919" w:rsidRDefault="00AE0738" w:rsidP="00575CAC">
            <w:pPr>
              <w:pStyle w:val="Sansinterligne"/>
              <w:jc w:val="center"/>
              <w:rPr>
                <w:lang w:eastAsia="fr-CA"/>
              </w:rPr>
            </w:pPr>
            <w:r w:rsidRPr="008D2919">
              <w:rPr>
                <w:lang w:eastAsia="fr-CA"/>
              </w:rPr>
              <w:t>Insuffisance placentaire</w:t>
            </w:r>
          </w:p>
          <w:p w:rsidR="00AE0738" w:rsidRDefault="00AE0738" w:rsidP="00575CAC">
            <w:pPr>
              <w:pStyle w:val="Sansinterligne"/>
              <w:jc w:val="center"/>
            </w:pPr>
          </w:p>
        </w:tc>
        <w:tc>
          <w:tcPr>
            <w:tcW w:w="6096" w:type="dxa"/>
            <w:shd w:val="clear" w:color="auto" w:fill="FFFF00"/>
          </w:tcPr>
          <w:p w:rsidR="000F38E8" w:rsidRDefault="000F38E8" w:rsidP="005D429F">
            <w:pPr>
              <w:pStyle w:val="Sansinterligne"/>
              <w:numPr>
                <w:ilvl w:val="0"/>
                <w:numId w:val="1003"/>
              </w:numPr>
            </w:pPr>
            <w:r>
              <w:t>Histoire de :</w:t>
            </w:r>
          </w:p>
          <w:p w:rsidR="00AE0738" w:rsidRDefault="00257905" w:rsidP="005D429F">
            <w:pPr>
              <w:pStyle w:val="Sansinterligne"/>
              <w:numPr>
                <w:ilvl w:val="1"/>
                <w:numId w:val="1003"/>
              </w:numPr>
            </w:pPr>
            <w:r>
              <w:t xml:space="preserve">Retard de croissance </w:t>
            </w:r>
            <w:r w:rsidRPr="000F38E8">
              <w:rPr>
                <w:u w:val="single"/>
              </w:rPr>
              <w:t>asymétrique</w:t>
            </w:r>
          </w:p>
          <w:p w:rsidR="00257905" w:rsidRDefault="00EB3042" w:rsidP="005D429F">
            <w:pPr>
              <w:pStyle w:val="Sansinterligne"/>
              <w:numPr>
                <w:ilvl w:val="1"/>
                <w:numId w:val="1003"/>
              </w:numPr>
              <w:rPr>
                <w:rFonts w:cs="Times New Roman"/>
              </w:rPr>
            </w:pPr>
            <w:r>
              <w:rPr>
                <w:noProof/>
                <w:lang w:eastAsia="fr-CA"/>
              </w:rPr>
              <w:drawing>
                <wp:anchor distT="0" distB="0" distL="114300" distR="114300" simplePos="0" relativeHeight="251958272" behindDoc="0" locked="0" layoutInCell="1" allowOverlap="1" wp14:anchorId="2353B859" wp14:editId="5DD3E6AD">
                  <wp:simplePos x="0" y="0"/>
                  <wp:positionH relativeFrom="column">
                    <wp:posOffset>6078044</wp:posOffset>
                  </wp:positionH>
                  <wp:positionV relativeFrom="paragraph">
                    <wp:posOffset>164209</wp:posOffset>
                  </wp:positionV>
                  <wp:extent cx="2635885" cy="1762760"/>
                  <wp:effectExtent l="0" t="0" r="0" b="8890"/>
                  <wp:wrapNone/>
                  <wp:docPr id="476" name="Image 476" descr="Résultats de recherche d'images pour « foetu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Résultats de recherche d'images pour « foetus »"/>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635885" cy="1762760"/>
                          </a:xfrm>
                          <a:prstGeom prst="rect">
                            <a:avLst/>
                          </a:prstGeom>
                          <a:noFill/>
                          <a:ln>
                            <a:noFill/>
                          </a:ln>
                        </pic:spPr>
                      </pic:pic>
                    </a:graphicData>
                  </a:graphic>
                  <wp14:sizeRelH relativeFrom="page">
                    <wp14:pctWidth>0</wp14:pctWidth>
                  </wp14:sizeRelH>
                  <wp14:sizeRelV relativeFrom="page">
                    <wp14:pctHeight>0</wp14:pctHeight>
                  </wp14:sizeRelV>
                </wp:anchor>
              </w:drawing>
            </w:r>
            <w:r w:rsidR="00257905">
              <w:t xml:space="preserve">Généralement PC N mais Circonférence abdominale </w:t>
            </w:r>
            <w:r w:rsidR="00257905">
              <w:rPr>
                <w:rFonts w:cs="Times New Roman"/>
              </w:rPr>
              <w:t>↓</w:t>
            </w:r>
          </w:p>
          <w:p w:rsidR="000F38E8" w:rsidRDefault="000F38E8" w:rsidP="005D429F">
            <w:pPr>
              <w:pStyle w:val="Sansinterligne"/>
              <w:numPr>
                <w:ilvl w:val="1"/>
                <w:numId w:val="1003"/>
              </w:numPr>
            </w:pPr>
            <w:r>
              <w:rPr>
                <w:rFonts w:cs="Times New Roman"/>
              </w:rPr>
              <w:t xml:space="preserve">Doppler de l’artère utérine </w:t>
            </w:r>
            <w:r>
              <w:rPr>
                <w:rFonts w:ascii="Century Gothic" w:hAnsi="Century Gothic" w:cs="Times New Roman"/>
              </w:rPr>
              <w:t>→</w:t>
            </w:r>
            <w:r>
              <w:rPr>
                <w:rFonts w:cs="Times New Roman"/>
              </w:rPr>
              <w:t xml:space="preserve"> ↓ flot</w:t>
            </w:r>
          </w:p>
        </w:tc>
      </w:tr>
      <w:tr w:rsidR="00AE0738" w:rsidTr="00EB3042">
        <w:tc>
          <w:tcPr>
            <w:tcW w:w="1809" w:type="dxa"/>
            <w:shd w:val="clear" w:color="auto" w:fill="D6E3BC" w:themeFill="accent3" w:themeFillTint="66"/>
            <w:vAlign w:val="center"/>
          </w:tcPr>
          <w:p w:rsidR="00AE0738" w:rsidRPr="008D2919" w:rsidRDefault="00AE0738" w:rsidP="00575CAC">
            <w:pPr>
              <w:pStyle w:val="Sansinterligne"/>
              <w:jc w:val="center"/>
              <w:rPr>
                <w:lang w:eastAsia="fr-CA"/>
              </w:rPr>
            </w:pPr>
            <w:r w:rsidRPr="008D2919">
              <w:rPr>
                <w:lang w:eastAsia="fr-CA"/>
              </w:rPr>
              <w:t>Infections intra-utérines</w:t>
            </w:r>
          </w:p>
          <w:p w:rsidR="00AE0738" w:rsidRDefault="00AE0738" w:rsidP="00575CAC">
            <w:pPr>
              <w:pStyle w:val="Sansinterligne"/>
              <w:jc w:val="center"/>
            </w:pPr>
          </w:p>
        </w:tc>
        <w:tc>
          <w:tcPr>
            <w:tcW w:w="6096" w:type="dxa"/>
          </w:tcPr>
          <w:p w:rsidR="000F38E8" w:rsidRDefault="000F38E8" w:rsidP="005D429F">
            <w:pPr>
              <w:pStyle w:val="Sansinterligne"/>
              <w:numPr>
                <w:ilvl w:val="0"/>
                <w:numId w:val="1004"/>
              </w:numPr>
            </w:pPr>
            <w:r>
              <w:t>Histoire de :</w:t>
            </w:r>
          </w:p>
          <w:p w:rsidR="00257905" w:rsidRDefault="00257905" w:rsidP="005D429F">
            <w:pPr>
              <w:pStyle w:val="Sansinterligne"/>
              <w:numPr>
                <w:ilvl w:val="0"/>
                <w:numId w:val="1006"/>
              </w:numPr>
            </w:pPr>
            <w:r>
              <w:t>Retard de croissance intra-utérin</w:t>
            </w:r>
          </w:p>
          <w:p w:rsidR="000F38E8" w:rsidRDefault="00257905" w:rsidP="005D429F">
            <w:pPr>
              <w:pStyle w:val="Sansinterligne"/>
              <w:numPr>
                <w:ilvl w:val="0"/>
                <w:numId w:val="1006"/>
              </w:numPr>
            </w:pPr>
            <w:r>
              <w:t>Symétrique</w:t>
            </w:r>
            <w:r w:rsidR="000F38E8">
              <w:t xml:space="preserve"> </w:t>
            </w:r>
          </w:p>
          <w:p w:rsidR="00AE0738" w:rsidRDefault="000F38E8" w:rsidP="005D429F">
            <w:pPr>
              <w:pStyle w:val="Sansinterligne"/>
              <w:numPr>
                <w:ilvl w:val="0"/>
                <w:numId w:val="1005"/>
              </w:numPr>
            </w:pPr>
            <w:r>
              <w:t xml:space="preserve">Voir </w:t>
            </w:r>
            <w:r w:rsidR="000F1F3C">
              <w:t>Infection congénitale à TORCH</w:t>
            </w:r>
            <w:r w:rsidR="000F1F3C" w:rsidRPr="000F38E8">
              <w:rPr>
                <w:i/>
              </w:rPr>
              <w:t xml:space="preserve"> </w:t>
            </w:r>
            <w:r w:rsidR="000F1F3C">
              <w:rPr>
                <w:i/>
              </w:rPr>
              <w:t>(</w:t>
            </w:r>
            <w:r w:rsidRPr="000F38E8">
              <w:rPr>
                <w:i/>
              </w:rPr>
              <w:t>Anomalies congénitale</w:t>
            </w:r>
            <w:r w:rsidR="00396987">
              <w:rPr>
                <w:i/>
              </w:rPr>
              <w:t>s</w:t>
            </w:r>
            <w:r w:rsidRPr="000F38E8">
              <w:rPr>
                <w:i/>
              </w:rPr>
              <w:t xml:space="preserve">, traits dysmorphiques CMC 36-2 </w:t>
            </w:r>
            <w:r w:rsidR="000F1F3C">
              <w:rPr>
                <w:i/>
              </w:rPr>
              <w:t>)</w:t>
            </w:r>
          </w:p>
        </w:tc>
      </w:tr>
      <w:tr w:rsidR="00AE0738" w:rsidTr="00EB3042">
        <w:tc>
          <w:tcPr>
            <w:tcW w:w="1809" w:type="dxa"/>
            <w:shd w:val="clear" w:color="auto" w:fill="D6E3BC" w:themeFill="accent3" w:themeFillTint="66"/>
            <w:vAlign w:val="center"/>
          </w:tcPr>
          <w:p w:rsidR="00AE0738" w:rsidRPr="008D2919" w:rsidRDefault="00AE0738" w:rsidP="00575CAC">
            <w:pPr>
              <w:pStyle w:val="Sansinterligne"/>
              <w:jc w:val="center"/>
              <w:rPr>
                <w:lang w:eastAsia="fr-CA"/>
              </w:rPr>
            </w:pPr>
            <w:r>
              <w:rPr>
                <w:lang w:eastAsia="fr-CA"/>
              </w:rPr>
              <w:t>Problème génétique</w:t>
            </w:r>
          </w:p>
        </w:tc>
        <w:tc>
          <w:tcPr>
            <w:tcW w:w="6096" w:type="dxa"/>
            <w:shd w:val="clear" w:color="auto" w:fill="FFFF00"/>
          </w:tcPr>
          <w:p w:rsidR="000F38E8" w:rsidRDefault="000F38E8" w:rsidP="005D429F">
            <w:pPr>
              <w:pStyle w:val="Sansinterligne"/>
              <w:numPr>
                <w:ilvl w:val="0"/>
                <w:numId w:val="1007"/>
              </w:numPr>
            </w:pPr>
            <w:r>
              <w:t>Histoire de :</w:t>
            </w:r>
          </w:p>
          <w:p w:rsidR="00AE0738" w:rsidRDefault="00D26B06" w:rsidP="005D429F">
            <w:pPr>
              <w:pStyle w:val="Sansinterligne"/>
              <w:numPr>
                <w:ilvl w:val="1"/>
                <w:numId w:val="1007"/>
              </w:numPr>
            </w:pPr>
            <w:r>
              <w:t>Retard de croissance intra-utérin</w:t>
            </w:r>
          </w:p>
          <w:p w:rsidR="00D26B06" w:rsidRDefault="00D26B06" w:rsidP="005D429F">
            <w:pPr>
              <w:pStyle w:val="Sansinterligne"/>
              <w:numPr>
                <w:ilvl w:val="1"/>
                <w:numId w:val="1007"/>
              </w:numPr>
            </w:pPr>
            <w:r>
              <w:t>Symétrique</w:t>
            </w:r>
          </w:p>
          <w:p w:rsidR="000F38E8" w:rsidRDefault="000F38E8" w:rsidP="005D429F">
            <w:pPr>
              <w:pStyle w:val="Sansinterligne"/>
              <w:numPr>
                <w:ilvl w:val="0"/>
                <w:numId w:val="1007"/>
              </w:numPr>
            </w:pPr>
            <w:r>
              <w:t xml:space="preserve">Voir </w:t>
            </w:r>
            <w:r w:rsidRPr="000F38E8">
              <w:rPr>
                <w:i/>
              </w:rPr>
              <w:t>Anomalies congénitale</w:t>
            </w:r>
            <w:r w:rsidR="00396987">
              <w:rPr>
                <w:i/>
              </w:rPr>
              <w:t>s</w:t>
            </w:r>
            <w:r w:rsidRPr="000F38E8">
              <w:rPr>
                <w:i/>
              </w:rPr>
              <w:t>, traits dysmorphiques CMC 36-2</w:t>
            </w:r>
          </w:p>
        </w:tc>
      </w:tr>
      <w:tr w:rsidR="00AE0738" w:rsidTr="00EB3042">
        <w:tc>
          <w:tcPr>
            <w:tcW w:w="1809" w:type="dxa"/>
            <w:shd w:val="clear" w:color="auto" w:fill="D6E3BC" w:themeFill="accent3" w:themeFillTint="66"/>
            <w:vAlign w:val="center"/>
          </w:tcPr>
          <w:p w:rsidR="00AE0738" w:rsidRPr="008D2919" w:rsidRDefault="00AE0738" w:rsidP="00575CAC">
            <w:pPr>
              <w:pStyle w:val="Sansinterligne"/>
              <w:jc w:val="center"/>
              <w:rPr>
                <w:lang w:eastAsia="fr-CA"/>
              </w:rPr>
            </w:pPr>
            <w:r>
              <w:rPr>
                <w:lang w:eastAsia="fr-CA"/>
              </w:rPr>
              <w:t xml:space="preserve">Consommation de </w:t>
            </w:r>
            <w:r w:rsidR="00425693">
              <w:rPr>
                <w:lang w:eastAsia="fr-CA"/>
              </w:rPr>
              <w:t xml:space="preserve">médicaments, </w:t>
            </w:r>
            <w:r>
              <w:rPr>
                <w:lang w:eastAsia="fr-CA"/>
              </w:rPr>
              <w:t>drogues/</w:t>
            </w:r>
            <w:r w:rsidR="00425693">
              <w:rPr>
                <w:lang w:eastAsia="fr-CA"/>
              </w:rPr>
              <w:t xml:space="preserve">, </w:t>
            </w:r>
            <w:r w:rsidR="00425693" w:rsidRPr="00257905">
              <w:rPr>
                <w:u w:val="single"/>
                <w:lang w:eastAsia="fr-CA"/>
              </w:rPr>
              <w:t xml:space="preserve">tabac </w:t>
            </w:r>
            <w:r w:rsidR="00425693">
              <w:rPr>
                <w:lang w:eastAsia="fr-CA"/>
              </w:rPr>
              <w:t>ou alcool</w:t>
            </w:r>
            <w:r>
              <w:rPr>
                <w:lang w:eastAsia="fr-CA"/>
              </w:rPr>
              <w:t xml:space="preserve"> </w:t>
            </w:r>
            <w:r w:rsidR="00425693">
              <w:rPr>
                <w:lang w:eastAsia="fr-CA"/>
              </w:rPr>
              <w:t>(enceinte)</w:t>
            </w:r>
          </w:p>
        </w:tc>
        <w:tc>
          <w:tcPr>
            <w:tcW w:w="6096" w:type="dxa"/>
          </w:tcPr>
          <w:p w:rsidR="000F1F3C" w:rsidRDefault="000F1F3C" w:rsidP="008D2919">
            <w:pPr>
              <w:pStyle w:val="Sansinterligne"/>
            </w:pPr>
            <w:r>
              <w:t>Histoire d’exposition maternelle à durant la grossesse :</w:t>
            </w:r>
          </w:p>
          <w:p w:rsidR="00EB3042" w:rsidRDefault="00D26B06" w:rsidP="005D429F">
            <w:pPr>
              <w:pStyle w:val="Sansinterligne"/>
              <w:numPr>
                <w:ilvl w:val="0"/>
                <w:numId w:val="1013"/>
              </w:numPr>
            </w:pPr>
            <w:r>
              <w:t>Anticonvulsivants</w:t>
            </w:r>
            <w:r w:rsidR="00EB3042">
              <w:t xml:space="preserve"> </w:t>
            </w:r>
          </w:p>
          <w:p w:rsidR="00D26B06" w:rsidRDefault="00D26B06" w:rsidP="005D429F">
            <w:pPr>
              <w:pStyle w:val="Sansinterligne"/>
              <w:numPr>
                <w:ilvl w:val="0"/>
                <w:numId w:val="1013"/>
              </w:numPr>
            </w:pPr>
            <w:r w:rsidRPr="00EB3042">
              <w:rPr>
                <w:b/>
              </w:rPr>
              <w:t>Alcool</w:t>
            </w:r>
            <w:r w:rsidR="000F1F3C" w:rsidRPr="00EB3042">
              <w:rPr>
                <w:b/>
              </w:rPr>
              <w:t xml:space="preserve"> </w:t>
            </w:r>
            <w:r w:rsidR="000F1F3C" w:rsidRPr="00EB3042">
              <w:rPr>
                <w:rFonts w:ascii="Century Gothic" w:hAnsi="Century Gothic"/>
              </w:rPr>
              <w:t>→</w:t>
            </w:r>
            <w:r w:rsidR="000F1F3C">
              <w:t xml:space="preserve"> voir Spectre d’alcoolisation fœtale (</w:t>
            </w:r>
            <w:r w:rsidR="000F1F3C" w:rsidRPr="00EB3042">
              <w:rPr>
                <w:i/>
              </w:rPr>
              <w:t>Anomalies congénitales, traits dysmorphiques CMC 36-2</w:t>
            </w:r>
            <w:r w:rsidR="000F1F3C">
              <w:t>)</w:t>
            </w:r>
          </w:p>
          <w:p w:rsidR="00D26B06" w:rsidRDefault="00D26B06" w:rsidP="005D429F">
            <w:pPr>
              <w:pStyle w:val="Sansinterligne"/>
              <w:numPr>
                <w:ilvl w:val="0"/>
                <w:numId w:val="1013"/>
              </w:numPr>
            </w:pPr>
            <w:r>
              <w:t>Plomb</w:t>
            </w:r>
          </w:p>
          <w:p w:rsidR="000F1F3C" w:rsidRDefault="000F1F3C" w:rsidP="008D2919">
            <w:pPr>
              <w:pStyle w:val="Sansinterligne"/>
            </w:pPr>
            <w:r>
              <w:t xml:space="preserve">Tabac </w:t>
            </w:r>
            <w:r>
              <w:rPr>
                <w:rFonts w:ascii="Century Gothic" w:hAnsi="Century Gothic"/>
              </w:rPr>
              <w:t>→</w:t>
            </w:r>
            <w:r>
              <w:t xml:space="preserve"> </w:t>
            </w:r>
            <w:r>
              <w:rPr>
                <w:rFonts w:ascii="Century Gothic" w:hAnsi="Century Gothic"/>
              </w:rPr>
              <w:t>↑</w:t>
            </w:r>
            <w:r>
              <w:t xml:space="preserve"> risque d’insuffisance placentaire par atteinte vasculaire</w:t>
            </w:r>
          </w:p>
        </w:tc>
      </w:tr>
      <w:tr w:rsidR="00AE0738" w:rsidTr="00EB3042">
        <w:tc>
          <w:tcPr>
            <w:tcW w:w="1809" w:type="dxa"/>
            <w:shd w:val="clear" w:color="auto" w:fill="D6E3BC" w:themeFill="accent3" w:themeFillTint="66"/>
            <w:vAlign w:val="center"/>
          </w:tcPr>
          <w:p w:rsidR="00AE0738" w:rsidRPr="008D2919" w:rsidRDefault="00AE0738" w:rsidP="00355519">
            <w:pPr>
              <w:pStyle w:val="Sansinterligne"/>
              <w:jc w:val="center"/>
              <w:rPr>
                <w:lang w:eastAsia="fr-CA"/>
              </w:rPr>
            </w:pPr>
            <w:r>
              <w:rPr>
                <w:lang w:eastAsia="fr-CA"/>
              </w:rPr>
              <w:t xml:space="preserve">Pathologies maternelles </w:t>
            </w:r>
          </w:p>
        </w:tc>
        <w:tc>
          <w:tcPr>
            <w:tcW w:w="6096" w:type="dxa"/>
          </w:tcPr>
          <w:p w:rsidR="00AE0738" w:rsidRDefault="00E83305" w:rsidP="005D429F">
            <w:pPr>
              <w:pStyle w:val="Sansinterligne"/>
              <w:numPr>
                <w:ilvl w:val="0"/>
                <w:numId w:val="1011"/>
              </w:numPr>
            </w:pPr>
            <w:r>
              <w:t>Histoire gestationnelle de pathologie pouvant causer un RCIU :</w:t>
            </w:r>
          </w:p>
          <w:p w:rsidR="00E83305" w:rsidRDefault="00355519" w:rsidP="00355519">
            <w:pPr>
              <w:pStyle w:val="Sansinterligne"/>
              <w:ind w:left="708"/>
            </w:pPr>
            <w:r w:rsidRPr="00355519">
              <w:rPr>
                <w:b/>
              </w:rPr>
              <w:t>HTA</w:t>
            </w:r>
            <w:r>
              <w:t xml:space="preserve">, insuffisance rénale chronique, hypoxie, anémie maternelle, atteintes placentaires, grossesse multiple, grossesse prolongée, </w:t>
            </w:r>
            <w:r w:rsidRPr="00355519">
              <w:rPr>
                <w:b/>
              </w:rPr>
              <w:t>thrombophilie</w:t>
            </w:r>
            <w:r>
              <w:t xml:space="preserve"> …</w:t>
            </w:r>
          </w:p>
        </w:tc>
      </w:tr>
    </w:tbl>
    <w:p w:rsidR="00EB3042" w:rsidRDefault="00EB3042" w:rsidP="00EB3042">
      <w:pPr>
        <w:pStyle w:val="Sansinterligne"/>
        <w:jc w:val="center"/>
      </w:pPr>
    </w:p>
    <w:p w:rsidR="00EB3042" w:rsidRDefault="00EB3042" w:rsidP="00EB3042">
      <w:pPr>
        <w:pStyle w:val="Sansinterligne"/>
        <w:jc w:val="center"/>
      </w:pPr>
      <w:r>
        <w:rPr>
          <w:noProof/>
          <w:lang w:eastAsia="fr-CA"/>
        </w:rPr>
        <w:drawing>
          <wp:inline distT="0" distB="0" distL="0" distR="0" wp14:anchorId="493BC6A3" wp14:editId="15403D26">
            <wp:extent cx="2529082" cy="2295728"/>
            <wp:effectExtent l="0" t="0" r="5080" b="0"/>
            <wp:docPr id="477" name="Image 477" descr="Résultats de recherche d'images pour « foetu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Résultats de recherche d'images pour « foetus »"/>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530226" cy="2296767"/>
                    </a:xfrm>
                    <a:prstGeom prst="rect">
                      <a:avLst/>
                    </a:prstGeom>
                    <a:noFill/>
                    <a:ln>
                      <a:noFill/>
                    </a:ln>
                  </pic:spPr>
                </pic:pic>
              </a:graphicData>
            </a:graphic>
          </wp:inline>
        </w:drawing>
      </w:r>
    </w:p>
    <w:tbl>
      <w:tblPr>
        <w:tblStyle w:val="Grilledutableau"/>
        <w:tblW w:w="0" w:type="auto"/>
        <w:tblLook w:val="04A0" w:firstRow="1" w:lastRow="0" w:firstColumn="1" w:lastColumn="0" w:noHBand="0" w:noVBand="1"/>
      </w:tblPr>
      <w:tblGrid>
        <w:gridCol w:w="3227"/>
        <w:gridCol w:w="3544"/>
        <w:gridCol w:w="312"/>
        <w:gridCol w:w="3857"/>
      </w:tblGrid>
      <w:tr w:rsidR="00AE0738" w:rsidTr="00425693">
        <w:tc>
          <w:tcPr>
            <w:tcW w:w="10940" w:type="dxa"/>
            <w:gridSpan w:val="4"/>
            <w:shd w:val="clear" w:color="auto" w:fill="FFC000"/>
          </w:tcPr>
          <w:p w:rsidR="00AE0738" w:rsidRPr="00425693" w:rsidRDefault="00AE0738" w:rsidP="00425693">
            <w:pPr>
              <w:pStyle w:val="Sansinterligne"/>
              <w:jc w:val="center"/>
              <w:rPr>
                <w:b/>
              </w:rPr>
            </w:pPr>
            <w:r w:rsidRPr="00425693">
              <w:rPr>
                <w:b/>
              </w:rPr>
              <w:lastRenderedPageBreak/>
              <w:t>Causes post-natales de retard staturo-pondéral</w:t>
            </w:r>
          </w:p>
        </w:tc>
      </w:tr>
      <w:tr w:rsidR="00425693" w:rsidTr="00575CAC">
        <w:tc>
          <w:tcPr>
            <w:tcW w:w="3227" w:type="dxa"/>
            <w:shd w:val="clear" w:color="auto" w:fill="D6E3BC" w:themeFill="accent3" w:themeFillTint="66"/>
            <w:vAlign w:val="center"/>
          </w:tcPr>
          <w:p w:rsidR="00425693" w:rsidRPr="00575CAC" w:rsidRDefault="00425693" w:rsidP="00575CAC">
            <w:pPr>
              <w:pStyle w:val="Sansinterligne"/>
              <w:jc w:val="center"/>
              <w:rPr>
                <w:i/>
              </w:rPr>
            </w:pPr>
            <w:r w:rsidRPr="00575CAC">
              <w:rPr>
                <w:i/>
              </w:rPr>
              <w:t>Diagnostic</w:t>
            </w:r>
          </w:p>
        </w:tc>
        <w:tc>
          <w:tcPr>
            <w:tcW w:w="7713" w:type="dxa"/>
            <w:gridSpan w:val="3"/>
            <w:shd w:val="clear" w:color="auto" w:fill="D6E3BC" w:themeFill="accent3" w:themeFillTint="66"/>
            <w:vAlign w:val="center"/>
          </w:tcPr>
          <w:p w:rsidR="00425693" w:rsidRPr="00575CAC" w:rsidRDefault="00425693" w:rsidP="00575CAC">
            <w:pPr>
              <w:pStyle w:val="Sansinterligne"/>
              <w:jc w:val="center"/>
              <w:rPr>
                <w:i/>
                <w:lang w:eastAsia="fr-CA"/>
              </w:rPr>
            </w:pPr>
            <w:r w:rsidRPr="00575CAC">
              <w:rPr>
                <w:i/>
              </w:rPr>
              <w:t>Manifestations clinique</w:t>
            </w:r>
          </w:p>
        </w:tc>
      </w:tr>
      <w:tr w:rsidR="00B94FD9" w:rsidTr="00B601A4">
        <w:tc>
          <w:tcPr>
            <w:tcW w:w="3227" w:type="dxa"/>
            <w:shd w:val="clear" w:color="auto" w:fill="D6E3BC" w:themeFill="accent3" w:themeFillTint="66"/>
            <w:vAlign w:val="center"/>
          </w:tcPr>
          <w:p w:rsidR="00B94FD9" w:rsidRPr="00AA2747" w:rsidRDefault="00AA2747" w:rsidP="00575CAC">
            <w:pPr>
              <w:pStyle w:val="Sansinterligne"/>
              <w:jc w:val="center"/>
            </w:pPr>
            <w:r w:rsidRPr="00AA2747">
              <w:t>Retard constitutionnel</w:t>
            </w:r>
          </w:p>
        </w:tc>
        <w:tc>
          <w:tcPr>
            <w:tcW w:w="7713" w:type="dxa"/>
            <w:gridSpan w:val="3"/>
            <w:shd w:val="clear" w:color="auto" w:fill="auto"/>
            <w:vAlign w:val="center"/>
          </w:tcPr>
          <w:p w:rsidR="00B94FD9" w:rsidRPr="00AA2747" w:rsidRDefault="00AA2747" w:rsidP="00575CAC">
            <w:pPr>
              <w:pStyle w:val="Sansinterligne"/>
              <w:jc w:val="center"/>
            </w:pPr>
            <w:r w:rsidRPr="00AA2747">
              <w:t>Considérer la taille des parents et l’historique de croissance</w:t>
            </w:r>
          </w:p>
          <w:p w:rsidR="00AA2747" w:rsidRPr="00575CAC" w:rsidRDefault="00AA2747" w:rsidP="00575CAC">
            <w:pPr>
              <w:pStyle w:val="Sansinterligne"/>
              <w:jc w:val="center"/>
              <w:rPr>
                <w:i/>
              </w:rPr>
            </w:pPr>
            <w:r w:rsidRPr="00AA2747">
              <w:t>Voir</w:t>
            </w:r>
            <w:r>
              <w:rPr>
                <w:i/>
              </w:rPr>
              <w:t xml:space="preserve"> Anomalies staturales (petite taille, grande taille) CMC 101</w:t>
            </w:r>
          </w:p>
        </w:tc>
      </w:tr>
      <w:tr w:rsidR="00AF48ED" w:rsidTr="00AF48ED">
        <w:tc>
          <w:tcPr>
            <w:tcW w:w="10940" w:type="dxa"/>
            <w:gridSpan w:val="4"/>
            <w:shd w:val="clear" w:color="auto" w:fill="B2A1C7" w:themeFill="accent4" w:themeFillTint="99"/>
            <w:vAlign w:val="center"/>
          </w:tcPr>
          <w:p w:rsidR="00AF48ED" w:rsidRDefault="00AF48ED" w:rsidP="00AF48ED">
            <w:pPr>
              <w:pStyle w:val="Sansinterligne"/>
              <w:jc w:val="center"/>
            </w:pPr>
            <w:r>
              <w:t>Apport calorique insuffisant</w:t>
            </w:r>
          </w:p>
        </w:tc>
      </w:tr>
      <w:tr w:rsidR="00AE0738" w:rsidTr="00AF48ED">
        <w:tc>
          <w:tcPr>
            <w:tcW w:w="3227" w:type="dxa"/>
            <w:shd w:val="clear" w:color="auto" w:fill="D6E3BC" w:themeFill="accent3" w:themeFillTint="66"/>
            <w:vAlign w:val="center"/>
          </w:tcPr>
          <w:p w:rsidR="00AE0738" w:rsidRPr="00AF48ED" w:rsidRDefault="00AE0738" w:rsidP="00AF48ED">
            <w:pPr>
              <w:pStyle w:val="Sansinterligne"/>
              <w:jc w:val="center"/>
              <w:rPr>
                <w:b/>
                <w:lang w:eastAsia="fr-CA"/>
              </w:rPr>
            </w:pPr>
            <w:r w:rsidRPr="00AF48ED">
              <w:rPr>
                <w:b/>
                <w:lang w:eastAsia="fr-CA"/>
              </w:rPr>
              <w:t>Perturbation de la relation mère-enfant</w:t>
            </w:r>
            <w:r w:rsidR="00F33879">
              <w:rPr>
                <w:b/>
                <w:lang w:eastAsia="fr-CA"/>
              </w:rPr>
              <w:t xml:space="preserve"> / attachement</w:t>
            </w:r>
          </w:p>
          <w:p w:rsidR="00AE0738" w:rsidRDefault="00AE0738" w:rsidP="00AF48ED">
            <w:pPr>
              <w:pStyle w:val="Sansinterligne"/>
              <w:jc w:val="center"/>
            </w:pPr>
          </w:p>
        </w:tc>
        <w:tc>
          <w:tcPr>
            <w:tcW w:w="7713" w:type="dxa"/>
            <w:gridSpan w:val="3"/>
            <w:shd w:val="clear" w:color="auto" w:fill="FFFF00"/>
          </w:tcPr>
          <w:p w:rsidR="00AF48ED" w:rsidRDefault="00AF48ED" w:rsidP="005D429F">
            <w:pPr>
              <w:pStyle w:val="Sansinterligne"/>
              <w:numPr>
                <w:ilvl w:val="0"/>
                <w:numId w:val="1009"/>
              </w:numPr>
            </w:pPr>
            <w:r>
              <w:t>Histoire de violence familiale ou parentale</w:t>
            </w:r>
          </w:p>
          <w:p w:rsidR="00AF48ED" w:rsidRDefault="00AF48ED" w:rsidP="005D429F">
            <w:pPr>
              <w:pStyle w:val="Sansinterligne"/>
              <w:numPr>
                <w:ilvl w:val="0"/>
                <w:numId w:val="1009"/>
              </w:numPr>
            </w:pPr>
            <w:r>
              <w:t>Parents démontrant des symptômes de dépression</w:t>
            </w:r>
          </w:p>
          <w:p w:rsidR="00AF48ED" w:rsidRDefault="00AF48ED" w:rsidP="005D429F">
            <w:pPr>
              <w:pStyle w:val="Sansinterligne"/>
              <w:numPr>
                <w:ilvl w:val="0"/>
                <w:numId w:val="1009"/>
              </w:numPr>
            </w:pPr>
            <w:r>
              <w:t>Abus</w:t>
            </w:r>
          </w:p>
          <w:p w:rsidR="00AF48ED" w:rsidRDefault="00AF48ED" w:rsidP="00B601A4">
            <w:pPr>
              <w:pStyle w:val="Sansinterligne"/>
              <w:jc w:val="center"/>
            </w:pPr>
            <w:r>
              <w:t>Peuvent entraîner une anorexie de l’enfant, et ainsi une perte pondérale</w:t>
            </w:r>
          </w:p>
        </w:tc>
      </w:tr>
      <w:tr w:rsidR="00AE0738" w:rsidTr="00AF48ED">
        <w:tc>
          <w:tcPr>
            <w:tcW w:w="3227" w:type="dxa"/>
            <w:shd w:val="clear" w:color="auto" w:fill="D6E3BC" w:themeFill="accent3" w:themeFillTint="66"/>
            <w:vAlign w:val="center"/>
          </w:tcPr>
          <w:p w:rsidR="00AE0738" w:rsidRPr="00AF48ED" w:rsidRDefault="00AE0738" w:rsidP="00AF48ED">
            <w:pPr>
              <w:pStyle w:val="Sansinterligne"/>
              <w:jc w:val="center"/>
              <w:rPr>
                <w:b/>
                <w:lang w:eastAsia="fr-CA"/>
              </w:rPr>
            </w:pPr>
            <w:r w:rsidRPr="00AF48ED">
              <w:rPr>
                <w:b/>
                <w:lang w:eastAsia="fr-CA"/>
              </w:rPr>
              <w:t>Dysfonction de la succion ou de la déglutition</w:t>
            </w:r>
          </w:p>
          <w:p w:rsidR="00AE0738" w:rsidRDefault="00AE0738" w:rsidP="00AF48ED">
            <w:pPr>
              <w:pStyle w:val="Sansinterligne"/>
              <w:jc w:val="center"/>
            </w:pPr>
          </w:p>
        </w:tc>
        <w:tc>
          <w:tcPr>
            <w:tcW w:w="7713" w:type="dxa"/>
            <w:gridSpan w:val="3"/>
            <w:shd w:val="clear" w:color="auto" w:fill="FFFF00"/>
          </w:tcPr>
          <w:p w:rsidR="00AE0738" w:rsidRPr="00AF48ED" w:rsidRDefault="000F1F3C" w:rsidP="005D429F">
            <w:pPr>
              <w:pStyle w:val="Sansinterligne"/>
              <w:numPr>
                <w:ilvl w:val="0"/>
                <w:numId w:val="1008"/>
              </w:numPr>
              <w:rPr>
                <w:u w:val="single"/>
              </w:rPr>
            </w:pPr>
            <w:r w:rsidRPr="00AF48ED">
              <w:rPr>
                <w:u w:val="single"/>
              </w:rPr>
              <w:t>Fente palatine</w:t>
            </w:r>
            <w:r w:rsidR="00AF48ED" w:rsidRPr="00AF48ED">
              <w:rPr>
                <w:u w:val="single"/>
              </w:rPr>
              <w:t xml:space="preserve"> à l’examen</w:t>
            </w:r>
          </w:p>
          <w:p w:rsidR="000F1F3C" w:rsidRDefault="00AF48ED" w:rsidP="005D429F">
            <w:pPr>
              <w:pStyle w:val="Sansinterligne"/>
              <w:numPr>
                <w:ilvl w:val="0"/>
                <w:numId w:val="1008"/>
              </w:numPr>
            </w:pPr>
            <w:r>
              <w:t>Hypersensibilité orale (trouble du spectre de l’autisme)</w:t>
            </w:r>
          </w:p>
          <w:p w:rsidR="00AF48ED" w:rsidRDefault="00AF48ED" w:rsidP="005D429F">
            <w:pPr>
              <w:pStyle w:val="Sansinterligne"/>
              <w:numPr>
                <w:ilvl w:val="0"/>
                <w:numId w:val="1008"/>
              </w:numPr>
            </w:pPr>
            <w:r>
              <w:t xml:space="preserve">Dyspnée (ex : cardiopathie </w:t>
            </w:r>
            <w:r>
              <w:rPr>
                <w:rFonts w:ascii="Century Gothic" w:hAnsi="Century Gothic"/>
              </w:rPr>
              <w:t>→</w:t>
            </w:r>
            <w:r>
              <w:t xml:space="preserve"> cyanose aux boires)</w:t>
            </w:r>
          </w:p>
        </w:tc>
      </w:tr>
      <w:tr w:rsidR="00AF48ED" w:rsidTr="00AF48ED">
        <w:tc>
          <w:tcPr>
            <w:tcW w:w="3227" w:type="dxa"/>
            <w:shd w:val="clear" w:color="auto" w:fill="D6E3BC" w:themeFill="accent3" w:themeFillTint="66"/>
            <w:vAlign w:val="center"/>
          </w:tcPr>
          <w:p w:rsidR="00AF48ED" w:rsidRPr="008D2919" w:rsidRDefault="00AF48ED" w:rsidP="00AF48ED">
            <w:pPr>
              <w:pStyle w:val="Sansinterligne"/>
              <w:jc w:val="center"/>
              <w:rPr>
                <w:lang w:eastAsia="fr-CA"/>
              </w:rPr>
            </w:pPr>
            <w:r>
              <w:t xml:space="preserve">Reflux </w:t>
            </w:r>
            <w:r w:rsidR="001C28E5">
              <w:t>gastro-œsophagien</w:t>
            </w:r>
          </w:p>
        </w:tc>
        <w:tc>
          <w:tcPr>
            <w:tcW w:w="7713" w:type="dxa"/>
            <w:gridSpan w:val="3"/>
          </w:tcPr>
          <w:p w:rsidR="00AF48ED" w:rsidRDefault="00AF48ED" w:rsidP="005D429F">
            <w:pPr>
              <w:pStyle w:val="Sansinterligne"/>
              <w:numPr>
                <w:ilvl w:val="0"/>
                <w:numId w:val="1010"/>
              </w:numPr>
            </w:pPr>
            <w:r>
              <w:t xml:space="preserve">Histoire de reflux </w:t>
            </w:r>
            <w:r w:rsidR="00B601A4">
              <w:t>gastro-œsophagien</w:t>
            </w:r>
          </w:p>
          <w:p w:rsidR="00AF48ED" w:rsidRDefault="00AF48ED" w:rsidP="005D429F">
            <w:pPr>
              <w:pStyle w:val="Sansinterligne"/>
              <w:numPr>
                <w:ilvl w:val="0"/>
                <w:numId w:val="1010"/>
              </w:numPr>
            </w:pPr>
            <w:r>
              <w:t>Irritable aux boires / tortillements</w:t>
            </w:r>
          </w:p>
          <w:p w:rsidR="00AF48ED" w:rsidRDefault="00AF48ED" w:rsidP="005D429F">
            <w:pPr>
              <w:pStyle w:val="Sansinterligne"/>
              <w:numPr>
                <w:ilvl w:val="0"/>
                <w:numId w:val="1010"/>
              </w:numPr>
            </w:pPr>
            <w:r>
              <w:t>Remontée de liquide/aliments non-digérés sans efforts d’expulsion (</w:t>
            </w:r>
            <w:r>
              <w:rPr>
                <w:rFonts w:cs="Times New Roman"/>
              </w:rPr>
              <w:t>Ø</w:t>
            </w:r>
            <w:r w:rsidR="000F3D56">
              <w:rPr>
                <w:rFonts w:cs="Times New Roman"/>
              </w:rPr>
              <w:t xml:space="preserve"> </w:t>
            </w:r>
            <w:r>
              <w:t>Vo)</w:t>
            </w:r>
          </w:p>
        </w:tc>
      </w:tr>
      <w:tr w:rsidR="00B601A4" w:rsidTr="00B601A4">
        <w:tc>
          <w:tcPr>
            <w:tcW w:w="3227" w:type="dxa"/>
            <w:shd w:val="clear" w:color="auto" w:fill="D6E3BC" w:themeFill="accent3" w:themeFillTint="66"/>
            <w:vAlign w:val="center"/>
          </w:tcPr>
          <w:p w:rsidR="00B601A4" w:rsidRPr="00AF48ED" w:rsidRDefault="00B601A4" w:rsidP="00AF48ED">
            <w:pPr>
              <w:pStyle w:val="Sansinterligne"/>
              <w:jc w:val="center"/>
              <w:rPr>
                <w:b/>
              </w:rPr>
            </w:pPr>
            <w:r w:rsidRPr="00AF48ED">
              <w:rPr>
                <w:b/>
              </w:rPr>
              <w:t>Situation socio familiale difficile</w:t>
            </w:r>
          </w:p>
        </w:tc>
        <w:tc>
          <w:tcPr>
            <w:tcW w:w="3544" w:type="dxa"/>
            <w:tcBorders>
              <w:right w:val="single" w:sz="4" w:space="0" w:color="FFFF00"/>
            </w:tcBorders>
            <w:shd w:val="clear" w:color="auto" w:fill="FFFF00"/>
          </w:tcPr>
          <w:p w:rsidR="00B601A4" w:rsidRPr="007750CB" w:rsidRDefault="00B601A4" w:rsidP="005D429F">
            <w:pPr>
              <w:pStyle w:val="Sansinterligne"/>
              <w:numPr>
                <w:ilvl w:val="0"/>
                <w:numId w:val="1016"/>
              </w:numPr>
              <w:shd w:val="clear" w:color="auto" w:fill="FFFF00"/>
            </w:pPr>
            <w:r w:rsidRPr="007750CB">
              <w:t>Pauvreté</w:t>
            </w:r>
          </w:p>
          <w:p w:rsidR="00B601A4" w:rsidRPr="007750CB" w:rsidRDefault="00B601A4" w:rsidP="005D429F">
            <w:pPr>
              <w:pStyle w:val="Sansinterligne"/>
              <w:numPr>
                <w:ilvl w:val="0"/>
                <w:numId w:val="1016"/>
              </w:numPr>
              <w:shd w:val="clear" w:color="auto" w:fill="FFFF00"/>
            </w:pPr>
            <w:r w:rsidRPr="007750CB">
              <w:t>Isolement social</w:t>
            </w:r>
          </w:p>
          <w:p w:rsidR="00B601A4" w:rsidRDefault="00B601A4" w:rsidP="005D429F">
            <w:pPr>
              <w:pStyle w:val="Sansinterligne"/>
              <w:numPr>
                <w:ilvl w:val="0"/>
                <w:numId w:val="1016"/>
              </w:numPr>
              <w:shd w:val="clear" w:color="auto" w:fill="FFFF00"/>
            </w:pPr>
            <w:r w:rsidRPr="007750CB">
              <w:t>Faibles capacités parentales</w:t>
            </w:r>
          </w:p>
          <w:p w:rsidR="00B601A4" w:rsidRPr="007750CB" w:rsidRDefault="00B601A4" w:rsidP="00B601A4">
            <w:pPr>
              <w:pStyle w:val="Sansinterligne"/>
              <w:shd w:val="clear" w:color="auto" w:fill="FFFF00"/>
              <w:ind w:left="360"/>
            </w:pPr>
          </w:p>
        </w:tc>
        <w:tc>
          <w:tcPr>
            <w:tcW w:w="4169" w:type="dxa"/>
            <w:gridSpan w:val="2"/>
            <w:tcBorders>
              <w:left w:val="single" w:sz="4" w:space="0" w:color="FFFF00"/>
            </w:tcBorders>
            <w:shd w:val="clear" w:color="auto" w:fill="FFFF00"/>
          </w:tcPr>
          <w:p w:rsidR="00B601A4" w:rsidRDefault="00B601A4" w:rsidP="005D429F">
            <w:pPr>
              <w:pStyle w:val="Sansinterligne"/>
              <w:numPr>
                <w:ilvl w:val="0"/>
                <w:numId w:val="1016"/>
              </w:numPr>
              <w:shd w:val="clear" w:color="auto" w:fill="FFFF00"/>
            </w:pPr>
            <w:r w:rsidRPr="007750CB">
              <w:t xml:space="preserve">Aliments non-adaptés à l’âge de l’enfant </w:t>
            </w:r>
            <w:r>
              <w:t xml:space="preserve">                                                                 </w:t>
            </w:r>
          </w:p>
          <w:p w:rsidR="00B601A4" w:rsidRDefault="00B601A4" w:rsidP="00B601A4">
            <w:pPr>
              <w:pStyle w:val="Sansinterligne"/>
              <w:shd w:val="clear" w:color="auto" w:fill="FFFF00"/>
              <w:ind w:left="360"/>
            </w:pPr>
            <w:r w:rsidRPr="007750CB">
              <w:t>Désorganisation de l’alimentation (</w:t>
            </w:r>
            <w:r>
              <w:t xml:space="preserve">aléatoire, </w:t>
            </w:r>
            <w:r>
              <w:rPr>
                <w:rFonts w:cs="Times New Roman"/>
              </w:rPr>
              <w:t>Ø</w:t>
            </w:r>
            <w:r>
              <w:t xml:space="preserve"> </w:t>
            </w:r>
            <w:r w:rsidRPr="007750CB">
              <w:t>d’heures fixes,</w:t>
            </w:r>
            <w:r>
              <w:t xml:space="preserve"> quantité non adéquate</w:t>
            </w:r>
            <w:r w:rsidRPr="007750CB">
              <w:t>)</w:t>
            </w:r>
          </w:p>
        </w:tc>
      </w:tr>
      <w:tr w:rsidR="00B94FD9" w:rsidTr="00B94FD9">
        <w:tc>
          <w:tcPr>
            <w:tcW w:w="10940" w:type="dxa"/>
            <w:gridSpan w:val="4"/>
            <w:shd w:val="clear" w:color="auto" w:fill="B2A1C7" w:themeFill="accent4" w:themeFillTint="99"/>
            <w:vAlign w:val="center"/>
          </w:tcPr>
          <w:p w:rsidR="00B94FD9" w:rsidRDefault="00B94FD9" w:rsidP="00B94FD9">
            <w:pPr>
              <w:pStyle w:val="Sansinterligne"/>
              <w:jc w:val="center"/>
            </w:pPr>
            <w:r>
              <w:t>Besoins caloriques accrus</w:t>
            </w:r>
          </w:p>
        </w:tc>
      </w:tr>
      <w:tr w:rsidR="00AF48ED" w:rsidTr="00AF48ED">
        <w:tc>
          <w:tcPr>
            <w:tcW w:w="3227" w:type="dxa"/>
            <w:shd w:val="clear" w:color="auto" w:fill="D6E3BC" w:themeFill="accent3" w:themeFillTint="66"/>
            <w:vAlign w:val="center"/>
          </w:tcPr>
          <w:p w:rsidR="00AF48ED" w:rsidRDefault="00AF48ED" w:rsidP="00B94FD9">
            <w:pPr>
              <w:pStyle w:val="Sansinterligne"/>
              <w:jc w:val="center"/>
            </w:pPr>
            <w:r w:rsidRPr="008D2919">
              <w:rPr>
                <w:lang w:eastAsia="fr-CA"/>
              </w:rPr>
              <w:t>Maladie chronique</w:t>
            </w:r>
            <w:r>
              <w:rPr>
                <w:lang w:eastAsia="fr-CA"/>
              </w:rPr>
              <w:t xml:space="preserve"> </w:t>
            </w:r>
          </w:p>
        </w:tc>
        <w:tc>
          <w:tcPr>
            <w:tcW w:w="7713" w:type="dxa"/>
            <w:gridSpan w:val="3"/>
          </w:tcPr>
          <w:p w:rsidR="00AF48ED" w:rsidRDefault="00B94FD9" w:rsidP="005D429F">
            <w:pPr>
              <w:pStyle w:val="Sansinterligne"/>
              <w:numPr>
                <w:ilvl w:val="0"/>
                <w:numId w:val="1015"/>
              </w:numPr>
            </w:pPr>
            <w:r>
              <w:t>Fièvre, altération de l’état de conscienc</w:t>
            </w:r>
            <w:r w:rsidR="00A72366">
              <w:t>e, toux, dyspnée, diarrhées, et</w:t>
            </w:r>
            <w:r>
              <w:t>c</w:t>
            </w:r>
            <w:r w:rsidR="00A72366">
              <w:t>.</w:t>
            </w:r>
            <w:r>
              <w:t xml:space="preserve">                           (pneumonie, méningite, autres infections)</w:t>
            </w:r>
          </w:p>
          <w:p w:rsidR="00B94FD9" w:rsidRDefault="00B94FD9" w:rsidP="005D429F">
            <w:pPr>
              <w:pStyle w:val="Sansinterligne"/>
              <w:numPr>
                <w:ilvl w:val="0"/>
                <w:numId w:val="1015"/>
              </w:numPr>
            </w:pPr>
            <w:r>
              <w:t>Toux, dyspnée, iléus méconial, retard de croissance mar</w:t>
            </w:r>
            <w:r w:rsidR="00A72366">
              <w:t xml:space="preserve">qué  (fibrose kystique)                    </w:t>
            </w:r>
          </w:p>
          <w:p w:rsidR="00F33879" w:rsidRDefault="00F33879" w:rsidP="005D429F">
            <w:pPr>
              <w:pStyle w:val="Sansinterligne"/>
              <w:numPr>
                <w:ilvl w:val="0"/>
                <w:numId w:val="1015"/>
              </w:numPr>
            </w:pPr>
            <w:r>
              <w:t>Maladies métaboliques</w:t>
            </w:r>
          </w:p>
        </w:tc>
      </w:tr>
      <w:tr w:rsidR="00B601A4" w:rsidTr="00B601A4">
        <w:tc>
          <w:tcPr>
            <w:tcW w:w="3227" w:type="dxa"/>
            <w:shd w:val="clear" w:color="auto" w:fill="D6E3BC" w:themeFill="accent3" w:themeFillTint="66"/>
            <w:vAlign w:val="center"/>
          </w:tcPr>
          <w:p w:rsidR="00B601A4" w:rsidRDefault="00B601A4" w:rsidP="00AF48ED">
            <w:pPr>
              <w:pStyle w:val="Sansinterligne"/>
              <w:jc w:val="center"/>
            </w:pPr>
            <w:r>
              <w:t>Cardiopathie congénitale</w:t>
            </w:r>
          </w:p>
        </w:tc>
        <w:tc>
          <w:tcPr>
            <w:tcW w:w="3856" w:type="dxa"/>
            <w:gridSpan w:val="2"/>
            <w:tcBorders>
              <w:right w:val="single" w:sz="4" w:space="0" w:color="FFFF00"/>
            </w:tcBorders>
            <w:shd w:val="clear" w:color="auto" w:fill="FFFF00"/>
          </w:tcPr>
          <w:p w:rsidR="00B601A4" w:rsidRDefault="00B601A4" w:rsidP="005D429F">
            <w:pPr>
              <w:pStyle w:val="Sansinterligne"/>
              <w:numPr>
                <w:ilvl w:val="0"/>
                <w:numId w:val="1014"/>
              </w:numPr>
            </w:pPr>
            <w:r>
              <w:t>Souffle cardiaque</w:t>
            </w:r>
          </w:p>
          <w:p w:rsidR="00B601A4" w:rsidRDefault="00B601A4" w:rsidP="005D429F">
            <w:pPr>
              <w:pStyle w:val="Sansinterligne"/>
              <w:numPr>
                <w:ilvl w:val="0"/>
                <w:numId w:val="1014"/>
              </w:numPr>
            </w:pPr>
            <w:r>
              <w:t>Cyanose aux boires</w:t>
            </w:r>
          </w:p>
          <w:p w:rsidR="00B601A4" w:rsidRDefault="00B601A4" w:rsidP="005D429F">
            <w:pPr>
              <w:pStyle w:val="Sansinterligne"/>
              <w:numPr>
                <w:ilvl w:val="0"/>
                <w:numId w:val="1014"/>
              </w:numPr>
            </w:pPr>
            <w:r>
              <w:t>Dyspnée / faible tolérance à l’effort</w:t>
            </w:r>
          </w:p>
        </w:tc>
        <w:tc>
          <w:tcPr>
            <w:tcW w:w="3857" w:type="dxa"/>
            <w:tcBorders>
              <w:left w:val="single" w:sz="4" w:space="0" w:color="FFFF00"/>
            </w:tcBorders>
            <w:shd w:val="clear" w:color="auto" w:fill="FFFF00"/>
          </w:tcPr>
          <w:p w:rsidR="00B601A4" w:rsidRDefault="00B601A4" w:rsidP="005D429F">
            <w:pPr>
              <w:pStyle w:val="Sansinterligne"/>
              <w:numPr>
                <w:ilvl w:val="0"/>
                <w:numId w:val="1014"/>
              </w:numPr>
            </w:pPr>
            <w:r>
              <w:t>Souvent poids affecté davantage que la taille</w:t>
            </w:r>
          </w:p>
          <w:p w:rsidR="00B601A4" w:rsidRDefault="00B601A4" w:rsidP="007750CB">
            <w:pPr>
              <w:pStyle w:val="Sansinterligne"/>
            </w:pPr>
            <w:r>
              <w:t xml:space="preserve">Voir </w:t>
            </w:r>
            <w:r w:rsidRPr="00B94FD9">
              <w:rPr>
                <w:i/>
              </w:rPr>
              <w:t>Détresse respiratoire chez l’enfant CMC 27-3</w:t>
            </w:r>
          </w:p>
        </w:tc>
      </w:tr>
      <w:tr w:rsidR="00AF48ED" w:rsidTr="00AF48ED">
        <w:tc>
          <w:tcPr>
            <w:tcW w:w="3227" w:type="dxa"/>
            <w:shd w:val="clear" w:color="auto" w:fill="D6E3BC" w:themeFill="accent3" w:themeFillTint="66"/>
            <w:vAlign w:val="center"/>
          </w:tcPr>
          <w:p w:rsidR="00AF48ED" w:rsidRDefault="00AF48ED" w:rsidP="00AF48ED">
            <w:pPr>
              <w:pStyle w:val="Sansinterligne"/>
              <w:jc w:val="center"/>
            </w:pPr>
            <w:r>
              <w:t>Hyperthyroïdie</w:t>
            </w:r>
          </w:p>
        </w:tc>
        <w:tc>
          <w:tcPr>
            <w:tcW w:w="7713" w:type="dxa"/>
            <w:gridSpan w:val="3"/>
          </w:tcPr>
          <w:p w:rsidR="00AF48ED" w:rsidRDefault="00B94FD9" w:rsidP="00B94FD9">
            <w:pPr>
              <w:pStyle w:val="Sansinterligne"/>
            </w:pPr>
            <w:r>
              <w:t xml:space="preserve">Voir </w:t>
            </w:r>
            <w:r w:rsidRPr="00B94FD9">
              <w:rPr>
                <w:i/>
              </w:rPr>
              <w:t>Anomalies staturales CMC 101</w:t>
            </w:r>
          </w:p>
        </w:tc>
      </w:tr>
    </w:tbl>
    <w:p w:rsidR="001102FE" w:rsidRDefault="001102FE" w:rsidP="008D2919">
      <w:pPr>
        <w:pStyle w:val="Sansinterligne"/>
      </w:pPr>
    </w:p>
    <w:p w:rsidR="00AE0738" w:rsidRPr="001102FE" w:rsidRDefault="004A05E0" w:rsidP="008D2919">
      <w:pPr>
        <w:pStyle w:val="Sansinterligne"/>
        <w:rPr>
          <w:b/>
          <w:sz w:val="28"/>
          <w:szCs w:val="28"/>
        </w:rPr>
      </w:pPr>
      <w:r>
        <w:rPr>
          <w:noProof/>
          <w:lang w:eastAsia="fr-CA"/>
        </w:rPr>
        <w:drawing>
          <wp:anchor distT="0" distB="0" distL="114300" distR="114300" simplePos="0" relativeHeight="251960320" behindDoc="0" locked="0" layoutInCell="1" allowOverlap="1" wp14:anchorId="797F91BB" wp14:editId="2E06B696">
            <wp:simplePos x="0" y="0"/>
            <wp:positionH relativeFrom="column">
              <wp:posOffset>3053715</wp:posOffset>
            </wp:positionH>
            <wp:positionV relativeFrom="paragraph">
              <wp:posOffset>148590</wp:posOffset>
            </wp:positionV>
            <wp:extent cx="3482340" cy="1263650"/>
            <wp:effectExtent l="0" t="0" r="3810" b="0"/>
            <wp:wrapNone/>
            <wp:docPr id="480" name="Image 480" descr="Résultats de recherche d'images pour « failure to thriv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Résultats de recherche d'images pour « failure to thrive »"/>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3482340" cy="1263650"/>
                    </a:xfrm>
                    <a:prstGeom prst="rect">
                      <a:avLst/>
                    </a:prstGeom>
                    <a:noFill/>
                    <a:ln>
                      <a:noFill/>
                    </a:ln>
                  </pic:spPr>
                </pic:pic>
              </a:graphicData>
            </a:graphic>
            <wp14:sizeRelH relativeFrom="page">
              <wp14:pctWidth>0</wp14:pctWidth>
            </wp14:sizeRelH>
            <wp14:sizeRelV relativeFrom="page">
              <wp14:pctHeight>0</wp14:pctHeight>
            </wp14:sizeRelV>
          </wp:anchor>
        </w:drawing>
      </w:r>
      <w:r w:rsidR="001102FE" w:rsidRPr="001102FE">
        <w:rPr>
          <w:b/>
          <w:sz w:val="28"/>
          <w:szCs w:val="28"/>
        </w:rPr>
        <w:t>Investigations</w:t>
      </w:r>
    </w:p>
    <w:p w:rsidR="001102FE" w:rsidRDefault="001102FE" w:rsidP="008D2919">
      <w:pPr>
        <w:pStyle w:val="Sansinterligne"/>
      </w:pPr>
    </w:p>
    <w:p w:rsidR="00257905" w:rsidRDefault="00257905" w:rsidP="005D429F">
      <w:pPr>
        <w:pStyle w:val="Sansinterligne"/>
        <w:numPr>
          <w:ilvl w:val="0"/>
          <w:numId w:val="1017"/>
        </w:numPr>
      </w:pPr>
      <w:r>
        <w:t>Caryotype</w:t>
      </w:r>
    </w:p>
    <w:p w:rsidR="00CB549A" w:rsidRDefault="00CB549A" w:rsidP="005D429F">
      <w:pPr>
        <w:pStyle w:val="Sansinterligne"/>
        <w:numPr>
          <w:ilvl w:val="0"/>
          <w:numId w:val="1017"/>
        </w:numPr>
      </w:pPr>
      <w:r>
        <w:t>Dépistage d’infection TORCH si suspecté</w:t>
      </w:r>
    </w:p>
    <w:p w:rsidR="00CB549A" w:rsidRDefault="00CB549A" w:rsidP="005D429F">
      <w:pPr>
        <w:pStyle w:val="Sansinterligne"/>
        <w:numPr>
          <w:ilvl w:val="0"/>
          <w:numId w:val="1017"/>
        </w:numPr>
      </w:pPr>
      <w:r>
        <w:t>RXP,</w:t>
      </w:r>
      <w:r w:rsidR="00F33879">
        <w:t xml:space="preserve"> écho cardiaque, p</w:t>
      </w:r>
      <w:r>
        <w:t xml:space="preserve">onction lombaire </w:t>
      </w:r>
      <w:r w:rsidR="00F33879">
        <w:t>PRN</w:t>
      </w:r>
      <w:r w:rsidR="004A05E0" w:rsidRPr="004A05E0">
        <w:t xml:space="preserve"> </w:t>
      </w:r>
    </w:p>
    <w:p w:rsidR="00CB549A" w:rsidRDefault="00CB549A" w:rsidP="005D429F">
      <w:pPr>
        <w:pStyle w:val="Sansinterligne"/>
        <w:numPr>
          <w:ilvl w:val="0"/>
          <w:numId w:val="1017"/>
        </w:numPr>
      </w:pPr>
      <w:r>
        <w:t xml:space="preserve">FSC, TSH, </w:t>
      </w:r>
      <w:r w:rsidR="00F33879">
        <w:t>ions, albumine, SMU</w:t>
      </w:r>
    </w:p>
    <w:p w:rsidR="001102FE" w:rsidRDefault="00341BE0" w:rsidP="005D429F">
      <w:pPr>
        <w:pStyle w:val="Sansinterligne"/>
        <w:numPr>
          <w:ilvl w:val="0"/>
          <w:numId w:val="1017"/>
        </w:numPr>
      </w:pPr>
      <w:r>
        <w:t>Â</w:t>
      </w:r>
      <w:r w:rsidR="00F33879">
        <w:t>ge osseux</w:t>
      </w:r>
      <w:r w:rsidR="00F33879" w:rsidRPr="00F33879">
        <w:t xml:space="preserve"> </w:t>
      </w:r>
      <w:r w:rsidR="00F33879">
        <w:t>test à la sueur (Dx de FKP)</w:t>
      </w:r>
      <w:r w:rsidR="004A05E0" w:rsidRPr="004A05E0">
        <w:t xml:space="preserve"> </w:t>
      </w:r>
    </w:p>
    <w:p w:rsidR="00F33879" w:rsidRDefault="00F33879" w:rsidP="00F33879">
      <w:pPr>
        <w:pStyle w:val="Sansinterligne"/>
        <w:ind w:left="360"/>
      </w:pPr>
    </w:p>
    <w:p w:rsidR="001102FE" w:rsidRPr="001102FE" w:rsidRDefault="001102FE" w:rsidP="008D2919">
      <w:pPr>
        <w:pStyle w:val="Sansinterligne"/>
        <w:rPr>
          <w:b/>
          <w:sz w:val="28"/>
          <w:szCs w:val="28"/>
        </w:rPr>
      </w:pPr>
      <w:r w:rsidRPr="001102FE">
        <w:rPr>
          <w:b/>
          <w:sz w:val="28"/>
          <w:szCs w:val="28"/>
        </w:rPr>
        <w:t>Prise en charge</w:t>
      </w:r>
    </w:p>
    <w:p w:rsidR="001102FE" w:rsidRDefault="001102FE" w:rsidP="008D2919">
      <w:pPr>
        <w:pStyle w:val="Sansinterligne"/>
      </w:pPr>
    </w:p>
    <w:p w:rsidR="001102FE" w:rsidRPr="003E2C6E" w:rsidRDefault="00EC3360" w:rsidP="005D429F">
      <w:pPr>
        <w:pStyle w:val="Sansinterligne"/>
        <w:numPr>
          <w:ilvl w:val="0"/>
          <w:numId w:val="1019"/>
        </w:numPr>
        <w:ind w:left="360"/>
        <w:rPr>
          <w:highlight w:val="yellow"/>
        </w:rPr>
      </w:pPr>
      <w:r w:rsidRPr="003E2C6E">
        <w:rPr>
          <w:highlight w:val="yellow"/>
        </w:rPr>
        <w:t>Hospitaliser si retard pondéral sévère (</w:t>
      </w:r>
      <w:r w:rsidRPr="003E2C6E">
        <w:rPr>
          <w:rFonts w:ascii="Century Gothic" w:hAnsi="Century Gothic"/>
          <w:highlight w:val="yellow"/>
        </w:rPr>
        <w:t>&lt;</w:t>
      </w:r>
      <w:r w:rsidRPr="003E2C6E">
        <w:rPr>
          <w:highlight w:val="yellow"/>
        </w:rPr>
        <w:t>60</w:t>
      </w:r>
      <w:r w:rsidRPr="003E2C6E">
        <w:rPr>
          <w:highlight w:val="yellow"/>
          <w:vertAlign w:val="superscript"/>
        </w:rPr>
        <w:t xml:space="preserve">% </w:t>
      </w:r>
      <w:r w:rsidRPr="003E2C6E">
        <w:rPr>
          <w:highlight w:val="yellow"/>
        </w:rPr>
        <w:t xml:space="preserve">poids attendu pour l’âge/taille ou IMC </w:t>
      </w:r>
      <w:r w:rsidRPr="003E2C6E">
        <w:rPr>
          <w:rFonts w:ascii="Century Gothic" w:hAnsi="Century Gothic"/>
          <w:highlight w:val="yellow"/>
        </w:rPr>
        <w:t>&lt;</w:t>
      </w:r>
      <w:r w:rsidRPr="003E2C6E">
        <w:rPr>
          <w:highlight w:val="yellow"/>
        </w:rPr>
        <w:t xml:space="preserve"> 12), déshydratation importante, maladie grave ou facteurs de risque sociaux importants ou non-réponse au traitement externe.</w:t>
      </w:r>
    </w:p>
    <w:p w:rsidR="003E2C6E" w:rsidRDefault="003E2C6E" w:rsidP="003E2C6E">
      <w:pPr>
        <w:pStyle w:val="Sansinterligne"/>
        <w:ind w:left="360"/>
      </w:pPr>
    </w:p>
    <w:p w:rsidR="00615DD7" w:rsidRDefault="00615DD7" w:rsidP="005D429F">
      <w:pPr>
        <w:pStyle w:val="Sansinterligne"/>
        <w:numPr>
          <w:ilvl w:val="0"/>
          <w:numId w:val="1019"/>
        </w:numPr>
        <w:ind w:left="360"/>
      </w:pPr>
      <w:r>
        <w:t>Référence en pédiatrie au besoin</w:t>
      </w:r>
    </w:p>
    <w:p w:rsidR="00EC3360" w:rsidRDefault="00615DD7" w:rsidP="005D429F">
      <w:pPr>
        <w:pStyle w:val="Sansinterligne"/>
        <w:numPr>
          <w:ilvl w:val="0"/>
          <w:numId w:val="1019"/>
        </w:numPr>
        <w:ind w:left="360"/>
      </w:pPr>
      <w:r>
        <w:t>Si maladie chronique ou pathologie sous-jacente (organique) traiter la cause.</w:t>
      </w:r>
    </w:p>
    <w:p w:rsidR="00615DD7" w:rsidRDefault="00615DD7" w:rsidP="00615DD7">
      <w:pPr>
        <w:pStyle w:val="Sansinterligne"/>
        <w:ind w:left="360"/>
      </w:pPr>
    </w:p>
    <w:p w:rsidR="00615DD7" w:rsidRDefault="00615DD7" w:rsidP="00615DD7">
      <w:pPr>
        <w:pStyle w:val="Sansinterligne"/>
        <w:rPr>
          <w:b/>
        </w:rPr>
      </w:pPr>
      <w:r w:rsidRPr="00615DD7">
        <w:rPr>
          <w:b/>
        </w:rPr>
        <w:t>Enseignement aux parents</w:t>
      </w:r>
    </w:p>
    <w:p w:rsidR="003E2C6E" w:rsidRPr="00615DD7" w:rsidRDefault="003E2C6E" w:rsidP="00615DD7">
      <w:pPr>
        <w:pStyle w:val="Sansinterligne"/>
        <w:rPr>
          <w:b/>
        </w:rPr>
      </w:pPr>
    </w:p>
    <w:p w:rsidR="00615DD7" w:rsidRPr="003E2C6E" w:rsidRDefault="00615DD7" w:rsidP="005D429F">
      <w:pPr>
        <w:pStyle w:val="Sansinterligne"/>
        <w:numPr>
          <w:ilvl w:val="0"/>
          <w:numId w:val="1019"/>
        </w:numPr>
        <w:ind w:left="360"/>
        <w:rPr>
          <w:highlight w:val="yellow"/>
        </w:rPr>
      </w:pPr>
      <w:r w:rsidRPr="003E2C6E">
        <w:rPr>
          <w:highlight w:val="yellow"/>
        </w:rPr>
        <w:t>Horaire régulier</w:t>
      </w:r>
    </w:p>
    <w:p w:rsidR="00615DD7" w:rsidRPr="003E2C6E" w:rsidRDefault="00615DD7" w:rsidP="005D429F">
      <w:pPr>
        <w:pStyle w:val="Sansinterligne"/>
        <w:numPr>
          <w:ilvl w:val="1"/>
          <w:numId w:val="1019"/>
        </w:numPr>
        <w:rPr>
          <w:highlight w:val="yellow"/>
        </w:rPr>
      </w:pPr>
      <w:r w:rsidRPr="003E2C6E">
        <w:rPr>
          <w:highlight w:val="yellow"/>
        </w:rPr>
        <w:t xml:space="preserve">8-12 boires/jour </w:t>
      </w:r>
      <w:r w:rsidRPr="003E2C6E">
        <w:rPr>
          <w:rFonts w:ascii="Century Gothic" w:hAnsi="Century Gothic"/>
          <w:highlight w:val="yellow"/>
        </w:rPr>
        <w:t>&lt;</w:t>
      </w:r>
      <w:r w:rsidRPr="003E2C6E">
        <w:rPr>
          <w:highlight w:val="yellow"/>
        </w:rPr>
        <w:t xml:space="preserve"> 4 mois</w:t>
      </w:r>
    </w:p>
    <w:p w:rsidR="00615DD7" w:rsidRPr="003E2C6E" w:rsidRDefault="00615DD7" w:rsidP="005D429F">
      <w:pPr>
        <w:pStyle w:val="Sansinterligne"/>
        <w:numPr>
          <w:ilvl w:val="1"/>
          <w:numId w:val="1019"/>
        </w:numPr>
        <w:rPr>
          <w:highlight w:val="yellow"/>
        </w:rPr>
      </w:pPr>
      <w:r w:rsidRPr="003E2C6E">
        <w:rPr>
          <w:highlight w:val="yellow"/>
        </w:rPr>
        <w:t xml:space="preserve">4-6 boires/jour </w:t>
      </w:r>
      <w:r w:rsidRPr="003E2C6E">
        <w:rPr>
          <w:rFonts w:ascii="Century Gothic" w:hAnsi="Century Gothic"/>
          <w:highlight w:val="yellow"/>
        </w:rPr>
        <w:t>&gt;</w:t>
      </w:r>
      <w:r w:rsidRPr="003E2C6E">
        <w:rPr>
          <w:highlight w:val="yellow"/>
        </w:rPr>
        <w:t xml:space="preserve"> 4 mois</w:t>
      </w:r>
    </w:p>
    <w:p w:rsidR="00615DD7" w:rsidRPr="003E2C6E" w:rsidRDefault="00615DD7" w:rsidP="005D429F">
      <w:pPr>
        <w:pStyle w:val="Sansinterligne"/>
        <w:numPr>
          <w:ilvl w:val="1"/>
          <w:numId w:val="1019"/>
        </w:numPr>
        <w:rPr>
          <w:highlight w:val="yellow"/>
        </w:rPr>
      </w:pPr>
      <w:r w:rsidRPr="003E2C6E">
        <w:rPr>
          <w:highlight w:val="yellow"/>
        </w:rPr>
        <w:t xml:space="preserve">3 repas, 3 collations </w:t>
      </w:r>
      <w:r w:rsidR="003E2C6E">
        <w:rPr>
          <w:highlight w:val="yellow"/>
        </w:rPr>
        <w:t xml:space="preserve">lorsque </w:t>
      </w:r>
      <w:r w:rsidRPr="003E2C6E">
        <w:rPr>
          <w:highlight w:val="yellow"/>
        </w:rPr>
        <w:t>plus vieux</w:t>
      </w:r>
    </w:p>
    <w:tbl>
      <w:tblPr>
        <w:tblStyle w:val="Grilledutableau"/>
        <w:tblpPr w:leftFromText="141" w:rightFromText="141" w:vertAnchor="text" w:horzAnchor="page" w:tblpX="5791" w:tblpY="-185"/>
        <w:tblW w:w="0" w:type="auto"/>
        <w:tblLook w:val="04A0" w:firstRow="1" w:lastRow="0" w:firstColumn="1" w:lastColumn="0" w:noHBand="0" w:noVBand="1"/>
      </w:tblPr>
      <w:tblGrid>
        <w:gridCol w:w="1526"/>
        <w:gridCol w:w="3118"/>
      </w:tblGrid>
      <w:tr w:rsidR="004A05E0" w:rsidTr="004A05E0">
        <w:tc>
          <w:tcPr>
            <w:tcW w:w="4644" w:type="dxa"/>
            <w:gridSpan w:val="2"/>
            <w:shd w:val="clear" w:color="auto" w:fill="B2A1C7" w:themeFill="accent4" w:themeFillTint="99"/>
          </w:tcPr>
          <w:p w:rsidR="004A05E0" w:rsidRDefault="004A05E0" w:rsidP="004A05E0">
            <w:pPr>
              <w:pStyle w:val="Sansinterligne"/>
            </w:pPr>
            <w:r>
              <w:lastRenderedPageBreak/>
              <w:t>Besoins caloriques pédiatriques selon le poids</w:t>
            </w:r>
          </w:p>
        </w:tc>
      </w:tr>
      <w:tr w:rsidR="004A05E0" w:rsidTr="004A05E0">
        <w:tc>
          <w:tcPr>
            <w:tcW w:w="1526" w:type="dxa"/>
            <w:shd w:val="clear" w:color="auto" w:fill="B8CCE4" w:themeFill="accent1" w:themeFillTint="66"/>
          </w:tcPr>
          <w:p w:rsidR="004A05E0" w:rsidRDefault="004A05E0" w:rsidP="004A05E0">
            <w:pPr>
              <w:rPr>
                <w:rFonts w:cs="Times New Roman"/>
                <w:b/>
                <w:color w:val="548DD4" w:themeColor="text2" w:themeTint="99"/>
              </w:rPr>
            </w:pPr>
            <w:r>
              <w:t>0-10 kg </w:t>
            </w:r>
          </w:p>
        </w:tc>
        <w:tc>
          <w:tcPr>
            <w:tcW w:w="3118" w:type="dxa"/>
            <w:shd w:val="clear" w:color="auto" w:fill="B8CCE4" w:themeFill="accent1" w:themeFillTint="66"/>
          </w:tcPr>
          <w:p w:rsidR="004A05E0" w:rsidRDefault="004A05E0" w:rsidP="004A05E0">
            <w:pPr>
              <w:rPr>
                <w:rFonts w:cs="Times New Roman"/>
                <w:b/>
                <w:color w:val="548DD4" w:themeColor="text2" w:themeTint="99"/>
              </w:rPr>
            </w:pPr>
            <w:r>
              <w:t>100 kcal/kg/jour</w:t>
            </w:r>
          </w:p>
        </w:tc>
      </w:tr>
      <w:tr w:rsidR="004A05E0" w:rsidTr="004A05E0">
        <w:tc>
          <w:tcPr>
            <w:tcW w:w="1526" w:type="dxa"/>
            <w:shd w:val="clear" w:color="auto" w:fill="B8CCE4" w:themeFill="accent1" w:themeFillTint="66"/>
          </w:tcPr>
          <w:p w:rsidR="004A05E0" w:rsidRDefault="004A05E0" w:rsidP="004A05E0">
            <w:pPr>
              <w:rPr>
                <w:rFonts w:cs="Times New Roman"/>
                <w:b/>
                <w:color w:val="548DD4" w:themeColor="text2" w:themeTint="99"/>
              </w:rPr>
            </w:pPr>
            <w:r>
              <w:t>10-20 kg </w:t>
            </w:r>
          </w:p>
        </w:tc>
        <w:tc>
          <w:tcPr>
            <w:tcW w:w="3118" w:type="dxa"/>
            <w:shd w:val="clear" w:color="auto" w:fill="B8CCE4" w:themeFill="accent1" w:themeFillTint="66"/>
          </w:tcPr>
          <w:p w:rsidR="004A05E0" w:rsidRPr="00061F04" w:rsidRDefault="004A05E0" w:rsidP="004A05E0">
            <w:r>
              <w:t>500 kcal + 50 kcal/kg/jour</w:t>
            </w:r>
          </w:p>
        </w:tc>
      </w:tr>
      <w:tr w:rsidR="004A05E0" w:rsidTr="004A05E0">
        <w:tc>
          <w:tcPr>
            <w:tcW w:w="1526" w:type="dxa"/>
            <w:shd w:val="clear" w:color="auto" w:fill="B8CCE4" w:themeFill="accent1" w:themeFillTint="66"/>
          </w:tcPr>
          <w:p w:rsidR="004A05E0" w:rsidRDefault="004A05E0" w:rsidP="004A05E0">
            <w:pPr>
              <w:rPr>
                <w:rFonts w:cs="Times New Roman"/>
                <w:b/>
                <w:color w:val="548DD4" w:themeColor="text2" w:themeTint="99"/>
              </w:rPr>
            </w:pPr>
            <w:r>
              <w:t>Plus de 20 kg </w:t>
            </w:r>
          </w:p>
        </w:tc>
        <w:tc>
          <w:tcPr>
            <w:tcW w:w="3118" w:type="dxa"/>
            <w:shd w:val="clear" w:color="auto" w:fill="B8CCE4" w:themeFill="accent1" w:themeFillTint="66"/>
          </w:tcPr>
          <w:p w:rsidR="004A05E0" w:rsidRDefault="004A05E0" w:rsidP="004A05E0">
            <w:pPr>
              <w:rPr>
                <w:rFonts w:cs="Times New Roman"/>
                <w:b/>
                <w:color w:val="548DD4" w:themeColor="text2" w:themeTint="99"/>
              </w:rPr>
            </w:pPr>
            <w:r>
              <w:t>1100 kcal + 20kcal/kg/jour</w:t>
            </w:r>
          </w:p>
        </w:tc>
      </w:tr>
    </w:tbl>
    <w:p w:rsidR="00615DD7" w:rsidRPr="003E2C6E" w:rsidRDefault="00615DD7" w:rsidP="005D429F">
      <w:pPr>
        <w:pStyle w:val="Sansinterligne"/>
        <w:numPr>
          <w:ilvl w:val="0"/>
          <w:numId w:val="1019"/>
        </w:numPr>
        <w:ind w:left="360"/>
        <w:rPr>
          <w:highlight w:val="yellow"/>
        </w:rPr>
      </w:pPr>
      <w:r w:rsidRPr="003E2C6E">
        <w:rPr>
          <w:highlight w:val="yellow"/>
        </w:rPr>
        <w:t>Environnement approprié </w:t>
      </w:r>
    </w:p>
    <w:p w:rsidR="00615DD7" w:rsidRPr="003E2C6E" w:rsidRDefault="00615DD7" w:rsidP="005D429F">
      <w:pPr>
        <w:pStyle w:val="Sansinterligne"/>
        <w:numPr>
          <w:ilvl w:val="1"/>
          <w:numId w:val="1019"/>
        </w:numPr>
        <w:rPr>
          <w:highlight w:val="yellow"/>
        </w:rPr>
      </w:pPr>
      <w:r w:rsidRPr="003E2C6E">
        <w:rPr>
          <w:highlight w:val="yellow"/>
        </w:rPr>
        <w:t>Retrait des distracteurs (ex :écrans)</w:t>
      </w:r>
    </w:p>
    <w:p w:rsidR="00615DD7" w:rsidRPr="003E2C6E" w:rsidRDefault="00615DD7" w:rsidP="005D429F">
      <w:pPr>
        <w:pStyle w:val="Sansinterligne"/>
        <w:numPr>
          <w:ilvl w:val="1"/>
          <w:numId w:val="1019"/>
        </w:numPr>
        <w:rPr>
          <w:highlight w:val="yellow"/>
        </w:rPr>
      </w:pPr>
      <w:r w:rsidRPr="003E2C6E">
        <w:rPr>
          <w:highlight w:val="yellow"/>
        </w:rPr>
        <w:t>Repas en famille</w:t>
      </w:r>
    </w:p>
    <w:p w:rsidR="00615DD7" w:rsidRPr="003E2C6E" w:rsidRDefault="00615DD7" w:rsidP="00615DD7">
      <w:pPr>
        <w:pStyle w:val="Sansinterligne"/>
        <w:rPr>
          <w:highlight w:val="yellow"/>
        </w:rPr>
      </w:pPr>
    </w:p>
    <w:p w:rsidR="00615DD7" w:rsidRPr="003E2C6E" w:rsidRDefault="00615DD7" w:rsidP="005D429F">
      <w:pPr>
        <w:pStyle w:val="Sansinterligne"/>
        <w:numPr>
          <w:ilvl w:val="0"/>
          <w:numId w:val="1019"/>
        </w:numPr>
        <w:ind w:left="360"/>
        <w:rPr>
          <w:highlight w:val="yellow"/>
        </w:rPr>
      </w:pPr>
      <w:r w:rsidRPr="003E2C6E">
        <w:rPr>
          <w:highlight w:val="yellow"/>
        </w:rPr>
        <w:t>Aliments à utiliser :</w:t>
      </w:r>
    </w:p>
    <w:p w:rsidR="00615DD7" w:rsidRPr="003E2C6E" w:rsidRDefault="00615DD7" w:rsidP="005D429F">
      <w:pPr>
        <w:pStyle w:val="Sansinterligne"/>
        <w:numPr>
          <w:ilvl w:val="1"/>
          <w:numId w:val="1019"/>
        </w:numPr>
        <w:rPr>
          <w:highlight w:val="yellow"/>
        </w:rPr>
      </w:pPr>
      <w:r w:rsidRPr="003E2C6E">
        <w:rPr>
          <w:highlight w:val="yellow"/>
        </w:rPr>
        <w:t>Allaitement exclusif ad 6 mois</w:t>
      </w:r>
    </w:p>
    <w:p w:rsidR="00615DD7" w:rsidRPr="003E2C6E" w:rsidRDefault="00615DD7" w:rsidP="005D429F">
      <w:pPr>
        <w:pStyle w:val="Sansinterligne"/>
        <w:numPr>
          <w:ilvl w:val="1"/>
          <w:numId w:val="1019"/>
        </w:numPr>
        <w:rPr>
          <w:highlight w:val="yellow"/>
        </w:rPr>
      </w:pPr>
      <w:r w:rsidRPr="003E2C6E">
        <w:rPr>
          <w:highlight w:val="yellow"/>
        </w:rPr>
        <w:t xml:space="preserve">Introduction d’aliments </w:t>
      </w:r>
      <w:r w:rsidRPr="003E2C6E">
        <w:rPr>
          <w:rFonts w:ascii="Century Gothic" w:hAnsi="Century Gothic"/>
          <w:highlight w:val="yellow"/>
        </w:rPr>
        <w:t>&gt;</w:t>
      </w:r>
      <w:r w:rsidRPr="003E2C6E">
        <w:rPr>
          <w:highlight w:val="yellow"/>
        </w:rPr>
        <w:t xml:space="preserve"> 6 mois</w:t>
      </w:r>
    </w:p>
    <w:p w:rsidR="00615DD7" w:rsidRPr="003E2C6E" w:rsidRDefault="00615DD7" w:rsidP="005D429F">
      <w:pPr>
        <w:pStyle w:val="Sansinterligne"/>
        <w:numPr>
          <w:ilvl w:val="2"/>
          <w:numId w:val="1019"/>
        </w:numPr>
        <w:rPr>
          <w:highlight w:val="yellow"/>
        </w:rPr>
      </w:pPr>
      <w:r w:rsidRPr="003E2C6E">
        <w:rPr>
          <w:highlight w:val="yellow"/>
        </w:rPr>
        <w:t>2-3 nouveaux aliments/semaine</w:t>
      </w:r>
    </w:p>
    <w:p w:rsidR="00615DD7" w:rsidRPr="003E2C6E" w:rsidRDefault="00615DD7" w:rsidP="005D429F">
      <w:pPr>
        <w:pStyle w:val="Sansinterligne"/>
        <w:numPr>
          <w:ilvl w:val="2"/>
          <w:numId w:val="1019"/>
        </w:numPr>
        <w:rPr>
          <w:highlight w:val="yellow"/>
        </w:rPr>
      </w:pPr>
      <w:r w:rsidRPr="003E2C6E">
        <w:rPr>
          <w:highlight w:val="yellow"/>
        </w:rPr>
        <w:t xml:space="preserve">Viande </w:t>
      </w:r>
      <w:r w:rsidRPr="003E2C6E">
        <w:rPr>
          <w:rFonts w:ascii="Century Gothic" w:hAnsi="Century Gothic"/>
          <w:highlight w:val="yellow"/>
        </w:rPr>
        <w:t>→</w:t>
      </w:r>
      <w:r w:rsidRPr="003E2C6E">
        <w:rPr>
          <w:highlight w:val="yellow"/>
        </w:rPr>
        <w:t xml:space="preserve"> légumes en purée </w:t>
      </w:r>
      <w:r w:rsidRPr="003E2C6E">
        <w:rPr>
          <w:rFonts w:ascii="Century Gothic" w:hAnsi="Century Gothic"/>
          <w:highlight w:val="yellow"/>
        </w:rPr>
        <w:t>→</w:t>
      </w:r>
      <w:r w:rsidRPr="003E2C6E">
        <w:rPr>
          <w:highlight w:val="yellow"/>
        </w:rPr>
        <w:t xml:space="preserve"> fruits</w:t>
      </w:r>
    </w:p>
    <w:p w:rsidR="00615DD7" w:rsidRPr="003E2C6E" w:rsidRDefault="00615DD7" w:rsidP="005D429F">
      <w:pPr>
        <w:pStyle w:val="Sansinterligne"/>
        <w:numPr>
          <w:ilvl w:val="1"/>
          <w:numId w:val="1019"/>
        </w:numPr>
        <w:rPr>
          <w:highlight w:val="yellow"/>
        </w:rPr>
      </w:pPr>
      <w:r w:rsidRPr="003E2C6E">
        <w:rPr>
          <w:highlight w:val="yellow"/>
        </w:rPr>
        <w:t>Texture plus solides (9-12 mois)</w:t>
      </w:r>
    </w:p>
    <w:p w:rsidR="00615DD7" w:rsidRPr="003E2C6E" w:rsidRDefault="00615DD7" w:rsidP="005D429F">
      <w:pPr>
        <w:pStyle w:val="Sansinterligne"/>
        <w:numPr>
          <w:ilvl w:val="2"/>
          <w:numId w:val="1019"/>
        </w:numPr>
        <w:rPr>
          <w:highlight w:val="yellow"/>
        </w:rPr>
      </w:pPr>
      <w:r w:rsidRPr="003E2C6E">
        <w:rPr>
          <w:highlight w:val="yellow"/>
        </w:rPr>
        <w:t>Éviter miel, sucre</w:t>
      </w:r>
    </w:p>
    <w:p w:rsidR="00615DD7" w:rsidRPr="003E2C6E" w:rsidRDefault="00615DD7" w:rsidP="005D429F">
      <w:pPr>
        <w:pStyle w:val="Sansinterligne"/>
        <w:numPr>
          <w:ilvl w:val="2"/>
          <w:numId w:val="1019"/>
        </w:numPr>
        <w:rPr>
          <w:highlight w:val="yellow"/>
        </w:rPr>
      </w:pPr>
      <w:r w:rsidRPr="003E2C6E">
        <w:rPr>
          <w:highlight w:val="yellow"/>
        </w:rPr>
        <w:t xml:space="preserve">Éviter les jus </w:t>
      </w:r>
    </w:p>
    <w:p w:rsidR="00615DD7" w:rsidRPr="003E2C6E" w:rsidRDefault="00615DD7" w:rsidP="005D429F">
      <w:pPr>
        <w:pStyle w:val="Sansinterligne"/>
        <w:numPr>
          <w:ilvl w:val="2"/>
          <w:numId w:val="1019"/>
        </w:numPr>
        <w:rPr>
          <w:highlight w:val="yellow"/>
        </w:rPr>
      </w:pPr>
      <w:r w:rsidRPr="003E2C6E">
        <w:rPr>
          <w:highlight w:val="yellow"/>
        </w:rPr>
        <w:t>Éviter liquides en trop grande quantité (</w:t>
      </w:r>
      <w:r w:rsidRPr="003E2C6E">
        <w:rPr>
          <w:rFonts w:cs="Times New Roman"/>
          <w:highlight w:val="yellow"/>
        </w:rPr>
        <w:t>↓</w:t>
      </w:r>
      <w:r w:rsidRPr="003E2C6E">
        <w:rPr>
          <w:highlight w:val="yellow"/>
        </w:rPr>
        <w:t xml:space="preserve"> consommation de protéines)</w:t>
      </w:r>
    </w:p>
    <w:p w:rsidR="00615DD7" w:rsidRDefault="00615DD7" w:rsidP="005D429F">
      <w:pPr>
        <w:pStyle w:val="Sansinterligne"/>
        <w:numPr>
          <w:ilvl w:val="2"/>
          <w:numId w:val="1019"/>
        </w:numPr>
        <w:rPr>
          <w:highlight w:val="yellow"/>
        </w:rPr>
      </w:pPr>
      <w:r w:rsidRPr="003E2C6E">
        <w:rPr>
          <w:highlight w:val="yellow"/>
        </w:rPr>
        <w:t>Éviter les aliments à risque d’étouffement (raisins, noix, etc.)</w:t>
      </w:r>
    </w:p>
    <w:p w:rsidR="003E2C6E" w:rsidRPr="003E2C6E" w:rsidRDefault="004A05E0" w:rsidP="003E2C6E">
      <w:pPr>
        <w:pStyle w:val="Sansinterligne"/>
        <w:ind w:left="2160"/>
        <w:rPr>
          <w:highlight w:val="yellow"/>
        </w:rPr>
      </w:pPr>
      <w:r>
        <w:rPr>
          <w:noProof/>
          <w:lang w:eastAsia="fr-CA"/>
        </w:rPr>
        <w:drawing>
          <wp:anchor distT="0" distB="0" distL="114300" distR="114300" simplePos="0" relativeHeight="251959296" behindDoc="0" locked="0" layoutInCell="1" allowOverlap="1" wp14:anchorId="2327F737" wp14:editId="4F43CA5A">
            <wp:simplePos x="0" y="0"/>
            <wp:positionH relativeFrom="column">
              <wp:posOffset>3832225</wp:posOffset>
            </wp:positionH>
            <wp:positionV relativeFrom="paragraph">
              <wp:posOffset>129540</wp:posOffset>
            </wp:positionV>
            <wp:extent cx="2632075" cy="3942080"/>
            <wp:effectExtent l="0" t="0" r="0" b="1270"/>
            <wp:wrapNone/>
            <wp:docPr id="478" name="Image 478" descr="Résultats de recherche d'images pour « failure to thriv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Résultats de recherche d'images pour « failure to thrive »"/>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632075" cy="39420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15DD7" w:rsidRPr="003E2C6E" w:rsidRDefault="00615DD7" w:rsidP="005D429F">
      <w:pPr>
        <w:pStyle w:val="Sansinterligne"/>
        <w:numPr>
          <w:ilvl w:val="0"/>
          <w:numId w:val="1019"/>
        </w:numPr>
        <w:ind w:left="360"/>
        <w:rPr>
          <w:highlight w:val="yellow"/>
        </w:rPr>
      </w:pPr>
      <w:r w:rsidRPr="003E2C6E">
        <w:rPr>
          <w:highlight w:val="yellow"/>
        </w:rPr>
        <w:t>Support psychosocial, travailleuse sociale PRN</w:t>
      </w:r>
    </w:p>
    <w:p w:rsidR="003E2C6E" w:rsidRDefault="003E2C6E" w:rsidP="00615DD7">
      <w:pPr>
        <w:pStyle w:val="Sansinterligne"/>
      </w:pPr>
    </w:p>
    <w:p w:rsidR="00615DD7" w:rsidRPr="003E2C6E" w:rsidRDefault="003E2C6E" w:rsidP="00615DD7">
      <w:pPr>
        <w:pStyle w:val="Sansinterligne"/>
        <w:rPr>
          <w:b/>
        </w:rPr>
      </w:pPr>
      <w:r w:rsidRPr="003E2C6E">
        <w:rPr>
          <w:b/>
        </w:rPr>
        <w:t>Syndrome de réalimentation (refeeding syndrome)</w:t>
      </w:r>
    </w:p>
    <w:p w:rsidR="00615DD7" w:rsidRDefault="00615DD7" w:rsidP="005D429F">
      <w:pPr>
        <w:pStyle w:val="Sansinterligne"/>
        <w:numPr>
          <w:ilvl w:val="0"/>
          <w:numId w:val="1019"/>
        </w:numPr>
        <w:ind w:left="360"/>
      </w:pPr>
      <w:r>
        <w:t xml:space="preserve">En cas de dénutrition sévère </w:t>
      </w:r>
    </w:p>
    <w:p w:rsidR="003E2C6E" w:rsidRDefault="003E2C6E" w:rsidP="005D429F">
      <w:pPr>
        <w:pStyle w:val="Sansinterligne"/>
        <w:numPr>
          <w:ilvl w:val="0"/>
          <w:numId w:val="1019"/>
        </w:numPr>
        <w:ind w:left="360"/>
      </w:pPr>
      <w:r>
        <w:t>Signes et symptômes :</w:t>
      </w:r>
    </w:p>
    <w:p w:rsidR="00615DD7" w:rsidRDefault="00615DD7" w:rsidP="005D429F">
      <w:pPr>
        <w:pStyle w:val="Sansinterligne"/>
        <w:numPr>
          <w:ilvl w:val="1"/>
          <w:numId w:val="1019"/>
        </w:numPr>
      </w:pPr>
      <w:r>
        <w:t>Diaphorèse</w:t>
      </w:r>
    </w:p>
    <w:p w:rsidR="00615DD7" w:rsidRDefault="00615DD7" w:rsidP="005D429F">
      <w:pPr>
        <w:pStyle w:val="Sansinterligne"/>
        <w:numPr>
          <w:ilvl w:val="1"/>
          <w:numId w:val="1019"/>
        </w:numPr>
      </w:pPr>
      <w:r>
        <w:rPr>
          <w:rFonts w:ascii="Century Gothic" w:hAnsi="Century Gothic"/>
        </w:rPr>
        <w:t>↑</w:t>
      </w:r>
      <w:r>
        <w:t xml:space="preserve"> chaleur corporelle</w:t>
      </w:r>
    </w:p>
    <w:p w:rsidR="00615DD7" w:rsidRDefault="00615DD7" w:rsidP="005D429F">
      <w:pPr>
        <w:pStyle w:val="Sansinterligne"/>
        <w:numPr>
          <w:ilvl w:val="1"/>
          <w:numId w:val="1019"/>
        </w:numPr>
      </w:pPr>
      <w:r>
        <w:t>Hépatomégalie</w:t>
      </w:r>
    </w:p>
    <w:p w:rsidR="00615DD7" w:rsidRDefault="00615DD7" w:rsidP="005D429F">
      <w:pPr>
        <w:pStyle w:val="Sansinterligne"/>
        <w:numPr>
          <w:ilvl w:val="1"/>
          <w:numId w:val="1019"/>
        </w:numPr>
      </w:pPr>
      <w:r>
        <w:t>Élargissement des sutures crâniennes</w:t>
      </w:r>
    </w:p>
    <w:p w:rsidR="00615DD7" w:rsidRDefault="00615DD7" w:rsidP="005D429F">
      <w:pPr>
        <w:pStyle w:val="Sansinterligne"/>
        <w:numPr>
          <w:ilvl w:val="1"/>
          <w:numId w:val="1019"/>
        </w:numPr>
      </w:pPr>
      <w:r>
        <w:rPr>
          <w:rFonts w:ascii="Century Gothic" w:hAnsi="Century Gothic"/>
        </w:rPr>
        <w:t>↑</w:t>
      </w:r>
      <w:r>
        <w:t xml:space="preserve"> période de sommeil</w:t>
      </w:r>
    </w:p>
    <w:p w:rsidR="003E2C6E" w:rsidRDefault="003E2C6E" w:rsidP="005D429F">
      <w:pPr>
        <w:pStyle w:val="Sansinterligne"/>
        <w:numPr>
          <w:ilvl w:val="0"/>
          <w:numId w:val="1019"/>
        </w:numPr>
        <w:ind w:left="360"/>
      </w:pPr>
      <w:r>
        <w:t>Anomalies métaboliques :</w:t>
      </w:r>
    </w:p>
    <w:p w:rsidR="00615DD7" w:rsidRDefault="00615DD7" w:rsidP="005D429F">
      <w:pPr>
        <w:pStyle w:val="Sansinterligne"/>
        <w:numPr>
          <w:ilvl w:val="1"/>
          <w:numId w:val="1019"/>
        </w:numPr>
      </w:pPr>
      <w:r>
        <w:t>Hypophosphatémie</w:t>
      </w:r>
    </w:p>
    <w:p w:rsidR="00615DD7" w:rsidRDefault="00615DD7" w:rsidP="005D429F">
      <w:pPr>
        <w:pStyle w:val="Sansinterligne"/>
        <w:numPr>
          <w:ilvl w:val="1"/>
          <w:numId w:val="1019"/>
        </w:numPr>
      </w:pPr>
      <w:r>
        <w:t>Hypokaliémie</w:t>
      </w:r>
    </w:p>
    <w:p w:rsidR="003E2C6E" w:rsidRPr="003E2C6E" w:rsidRDefault="00615DD7" w:rsidP="003E2C6E">
      <w:pPr>
        <w:pStyle w:val="Sansinterligne"/>
        <w:rPr>
          <w:u w:val="single"/>
        </w:rPr>
      </w:pPr>
      <w:r w:rsidRPr="003E2C6E">
        <w:rPr>
          <w:u w:val="single"/>
        </w:rPr>
        <w:t>Traiter avec </w:t>
      </w:r>
    </w:p>
    <w:p w:rsidR="00615DD7" w:rsidRDefault="003E2C6E" w:rsidP="005D429F">
      <w:pPr>
        <w:pStyle w:val="Sansinterligne"/>
        <w:numPr>
          <w:ilvl w:val="0"/>
          <w:numId w:val="1019"/>
        </w:numPr>
        <w:ind w:left="360"/>
      </w:pPr>
      <w:r>
        <w:t>P</w:t>
      </w:r>
      <w:r w:rsidR="00615DD7">
        <w:t>hosphate de potassium ou phosphate de sodium</w:t>
      </w:r>
    </w:p>
    <w:p w:rsidR="00615DD7" w:rsidRDefault="00615DD7" w:rsidP="005D429F">
      <w:pPr>
        <w:pStyle w:val="Sansinterligne"/>
        <w:numPr>
          <w:ilvl w:val="0"/>
          <w:numId w:val="1019"/>
        </w:numPr>
        <w:ind w:left="360"/>
      </w:pPr>
      <w:r>
        <w:t>Reprise progressive de l’alimentation (quantités)</w:t>
      </w:r>
    </w:p>
    <w:p w:rsidR="00257905" w:rsidRDefault="00257905">
      <w:pPr>
        <w:rPr>
          <w:rFonts w:cs="Times New Roman"/>
          <w:b/>
          <w:color w:val="548DD4" w:themeColor="text2" w:themeTint="99"/>
        </w:rPr>
      </w:pPr>
      <w:r>
        <w:rPr>
          <w:rFonts w:cs="Times New Roman"/>
          <w:b/>
          <w:color w:val="548DD4" w:themeColor="text2" w:themeTint="99"/>
        </w:rPr>
        <w:t xml:space="preserve"> </w:t>
      </w:r>
      <w:r w:rsidR="001102FE">
        <w:rPr>
          <w:rFonts w:cs="Times New Roman"/>
          <w:b/>
          <w:color w:val="548DD4" w:themeColor="text2" w:themeTint="99"/>
        </w:rPr>
        <w:br w:type="page"/>
      </w:r>
    </w:p>
    <w:p w:rsidR="00FE767C" w:rsidRPr="00FE767C" w:rsidRDefault="00FE767C" w:rsidP="00FE767C">
      <w:pPr>
        <w:spacing w:after="0"/>
        <w:rPr>
          <w:rFonts w:cs="Times New Roman"/>
          <w:b/>
          <w:color w:val="548DD4" w:themeColor="text2" w:themeTint="99"/>
        </w:rPr>
      </w:pPr>
      <w:r w:rsidRPr="00FE767C">
        <w:rPr>
          <w:rFonts w:cs="Times New Roman"/>
          <w:b/>
          <w:color w:val="548DD4" w:themeColor="text2" w:themeTint="99"/>
        </w:rPr>
        <w:lastRenderedPageBreak/>
        <w:t>CMC 36</w:t>
      </w:r>
    </w:p>
    <w:p w:rsidR="00FE767C" w:rsidRPr="00FE767C" w:rsidRDefault="00FE767C" w:rsidP="00FE767C">
      <w:pPr>
        <w:pStyle w:val="Titre3"/>
        <w:spacing w:before="0"/>
        <w:rPr>
          <w:rFonts w:ascii="Times New Roman" w:hAnsi="Times New Roman" w:cs="Times New Roman"/>
        </w:rPr>
      </w:pPr>
      <w:bookmarkStart w:id="119" w:name="_Toc480797283"/>
      <w:r w:rsidRPr="00FE767C">
        <w:rPr>
          <w:rFonts w:ascii="Times New Roman" w:hAnsi="Times New Roman" w:cs="Times New Roman"/>
        </w:rPr>
        <w:t>Inquiétudes d’ordre génétique</w:t>
      </w:r>
      <w:bookmarkEnd w:id="119"/>
    </w:p>
    <w:tbl>
      <w:tblPr>
        <w:tblW w:w="3858" w:type="pct"/>
        <w:tblCellSpacing w:w="0" w:type="dxa"/>
        <w:tblCellMar>
          <w:left w:w="0" w:type="dxa"/>
          <w:right w:w="0" w:type="dxa"/>
        </w:tblCellMar>
        <w:tblLook w:val="04A0" w:firstRow="1" w:lastRow="0" w:firstColumn="1" w:lastColumn="0" w:noHBand="0" w:noVBand="1"/>
      </w:tblPr>
      <w:tblGrid>
        <w:gridCol w:w="8333"/>
      </w:tblGrid>
      <w:tr w:rsidR="00FE767C" w:rsidRPr="00FE767C" w:rsidTr="00FE767C">
        <w:trPr>
          <w:tblCellSpacing w:w="0" w:type="dxa"/>
        </w:trPr>
        <w:tc>
          <w:tcPr>
            <w:tcW w:w="0" w:type="auto"/>
            <w:vAlign w:val="bottom"/>
            <w:hideMark/>
          </w:tcPr>
          <w:p w:rsidR="00FE767C" w:rsidRPr="00FE767C" w:rsidRDefault="00FE767C" w:rsidP="00FE767C">
            <w:pPr>
              <w:pStyle w:val="Sansinterligne"/>
              <w:spacing w:before="240"/>
              <w:rPr>
                <w:rFonts w:cs="Times New Roman"/>
                <w:b/>
                <w:sz w:val="18"/>
                <w:szCs w:val="18"/>
              </w:rPr>
            </w:pPr>
            <w:r>
              <w:rPr>
                <w:rFonts w:cs="Times New Roman"/>
                <w:b/>
                <w:noProof/>
                <w:sz w:val="18"/>
                <w:szCs w:val="18"/>
                <w:lang w:eastAsia="fr-CA"/>
              </w:rPr>
              <mc:AlternateContent>
                <mc:Choice Requires="wps">
                  <w:drawing>
                    <wp:anchor distT="0" distB="0" distL="114300" distR="114300" simplePos="0" relativeHeight="251981824" behindDoc="0" locked="0" layoutInCell="1" allowOverlap="1" wp14:anchorId="76B6C292" wp14:editId="5C53601C">
                      <wp:simplePos x="0" y="0"/>
                      <wp:positionH relativeFrom="column">
                        <wp:posOffset>-38911</wp:posOffset>
                      </wp:positionH>
                      <wp:positionV relativeFrom="paragraph">
                        <wp:posOffset>104680</wp:posOffset>
                      </wp:positionV>
                      <wp:extent cx="6809362" cy="2947481"/>
                      <wp:effectExtent l="0" t="0" r="10795" b="24765"/>
                      <wp:wrapNone/>
                      <wp:docPr id="498" name="Rectangle 498"/>
                      <wp:cNvGraphicFramePr/>
                      <a:graphic xmlns:a="http://schemas.openxmlformats.org/drawingml/2006/main">
                        <a:graphicData uri="http://schemas.microsoft.com/office/word/2010/wordprocessingShape">
                          <wps:wsp>
                            <wps:cNvSpPr/>
                            <wps:spPr>
                              <a:xfrm>
                                <a:off x="0" y="0"/>
                                <a:ext cx="6809362" cy="2947481"/>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498" o:spid="_x0000_s1026" style="position:absolute;margin-left:-3.05pt;margin-top:8.25pt;width:536.15pt;height:232.1pt;z-index:2519818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" filled="f" strokecolor="black [1600]" strokeweight="2pt"/>
                  </w:pict>
                </mc:Fallback>
              </mc:AlternateContent>
            </w:r>
            <w:r w:rsidRPr="00FE767C">
              <w:rPr>
                <w:rFonts w:cs="Times New Roman"/>
                <w:b/>
                <w:sz w:val="18"/>
                <w:szCs w:val="18"/>
              </w:rPr>
              <w:t>Objectifs principaux</w:t>
            </w:r>
          </w:p>
        </w:tc>
      </w:tr>
    </w:tbl>
    <w:p w:rsidR="00FE767C" w:rsidRPr="00FE767C" w:rsidRDefault="00FE767C" w:rsidP="00FE767C">
      <w:pPr>
        <w:pStyle w:val="NormalWeb"/>
        <w:ind w:left="360"/>
        <w:rPr>
          <w:color w:val="000000"/>
          <w:sz w:val="18"/>
          <w:szCs w:val="18"/>
          <w:shd w:val="clear" w:color="auto" w:fill="FFFFFF"/>
        </w:rPr>
      </w:pPr>
      <w:r w:rsidRPr="00FE767C">
        <w:rPr>
          <w:color w:val="000000"/>
          <w:sz w:val="18"/>
          <w:szCs w:val="18"/>
          <w:shd w:val="clear" w:color="auto" w:fill="FFFFFF"/>
        </w:rPr>
        <w:t>Le candidat devra pouvoir reconnaître les situations où une personne ou une population est à risque d'anomalies génétiques ou épigénétiques. Dans le cas d'un patient présentant une maladie génétique ou congénitale ou des antécédents familiaux de cet ordre, le candidat devra en diagnostiquer la cause, la gravité et les complications, et mettre en place un plan de prise en charge approprié.</w:t>
      </w:r>
    </w:p>
    <w:tbl>
      <w:tblPr>
        <w:tblW w:w="3897" w:type="pct"/>
        <w:tblCellSpacing w:w="0" w:type="dxa"/>
        <w:tblCellMar>
          <w:left w:w="0" w:type="dxa"/>
          <w:right w:w="0" w:type="dxa"/>
        </w:tblCellMar>
        <w:tblLook w:val="04A0" w:firstRow="1" w:lastRow="0" w:firstColumn="1" w:lastColumn="0" w:noHBand="0" w:noVBand="1"/>
      </w:tblPr>
      <w:tblGrid>
        <w:gridCol w:w="8418"/>
      </w:tblGrid>
      <w:tr w:rsidR="00FE767C" w:rsidRPr="00FE767C" w:rsidTr="00FE767C">
        <w:trPr>
          <w:tblCellSpacing w:w="0" w:type="dxa"/>
        </w:trPr>
        <w:tc>
          <w:tcPr>
            <w:tcW w:w="0" w:type="auto"/>
            <w:vAlign w:val="bottom"/>
            <w:hideMark/>
          </w:tcPr>
          <w:p w:rsidR="00FE767C" w:rsidRPr="00FE767C" w:rsidRDefault="00FE767C" w:rsidP="00FE767C">
            <w:pPr>
              <w:pStyle w:val="Sansinterligne"/>
              <w:rPr>
                <w:rFonts w:cs="Times New Roman"/>
                <w:b/>
                <w:sz w:val="16"/>
                <w:szCs w:val="16"/>
              </w:rPr>
            </w:pPr>
            <w:r w:rsidRPr="00FE767C">
              <w:rPr>
                <w:rFonts w:cs="Times New Roman"/>
                <w:b/>
                <w:sz w:val="16"/>
                <w:szCs w:val="16"/>
              </w:rPr>
              <w:t>Objectifs spécifiques</w:t>
            </w:r>
          </w:p>
        </w:tc>
      </w:tr>
    </w:tbl>
    <w:p w:rsidR="00FE767C" w:rsidRPr="00FE767C" w:rsidRDefault="00FE767C" w:rsidP="00FE767C">
      <w:pPr>
        <w:pStyle w:val="NormalWeb"/>
        <w:shd w:val="clear" w:color="auto" w:fill="FFFFFF"/>
        <w:ind w:left="360"/>
        <w:rPr>
          <w:color w:val="000000"/>
          <w:sz w:val="16"/>
          <w:szCs w:val="16"/>
          <w:shd w:val="clear" w:color="auto" w:fill="FFFFFF"/>
        </w:rPr>
      </w:pPr>
      <w:r w:rsidRPr="00FE767C">
        <w:rPr>
          <w:color w:val="000000"/>
          <w:sz w:val="16"/>
          <w:szCs w:val="16"/>
          <w:shd w:val="clear" w:color="auto" w:fill="FFFFFF"/>
        </w:rPr>
        <w:t>Identifier les cas où une maladie pourrait signaler la présence de facteurs de risque propres à une population donnée.</w:t>
      </w:r>
    </w:p>
    <w:p w:rsidR="00FE767C" w:rsidRPr="00FE767C" w:rsidRDefault="00FE767C" w:rsidP="00FE767C">
      <w:pPr>
        <w:pStyle w:val="NormalWeb"/>
        <w:shd w:val="clear" w:color="auto" w:fill="FFFFFF"/>
        <w:ind w:left="360"/>
        <w:rPr>
          <w:color w:val="000000"/>
          <w:sz w:val="16"/>
          <w:szCs w:val="16"/>
          <w:shd w:val="clear" w:color="auto" w:fill="FFFFFF"/>
        </w:rPr>
      </w:pPr>
      <w:r w:rsidRPr="00FE767C">
        <w:rPr>
          <w:color w:val="000000"/>
          <w:sz w:val="16"/>
          <w:szCs w:val="16"/>
          <w:shd w:val="clear" w:color="auto" w:fill="FFFFFF"/>
        </w:rPr>
        <w:t>Dans le cas d'un patient présentant des signes cliniques d'une maladie d'origine génétique, le candidat devra :</w:t>
      </w:r>
    </w:p>
    <w:p w:rsidR="00FE767C" w:rsidRPr="00FE767C" w:rsidRDefault="00FE767C" w:rsidP="005D429F">
      <w:pPr>
        <w:numPr>
          <w:ilvl w:val="0"/>
          <w:numId w:val="1038"/>
        </w:numPr>
        <w:shd w:val="clear" w:color="auto" w:fill="FFFFFF"/>
        <w:spacing w:before="100" w:beforeAutospacing="1" w:after="100" w:afterAutospacing="1" w:line="240" w:lineRule="auto"/>
        <w:rPr>
          <w:rFonts w:cs="Times New Roman"/>
          <w:color w:val="000000"/>
          <w:sz w:val="16"/>
          <w:szCs w:val="16"/>
          <w:shd w:val="clear" w:color="auto" w:fill="FFFFFF"/>
        </w:rPr>
      </w:pPr>
      <w:r w:rsidRPr="00FE767C">
        <w:rPr>
          <w:rFonts w:cs="Times New Roman"/>
          <w:color w:val="000000"/>
          <w:sz w:val="16"/>
          <w:szCs w:val="16"/>
          <w:shd w:val="clear" w:color="auto" w:fill="FFFFFF"/>
        </w:rPr>
        <w:t>énumérer et interpréter les constatations cliniques cruciales, notamment</w:t>
      </w:r>
    </w:p>
    <w:p w:rsidR="00FE767C" w:rsidRPr="00FE767C" w:rsidRDefault="00FE767C" w:rsidP="005D429F">
      <w:pPr>
        <w:numPr>
          <w:ilvl w:val="1"/>
          <w:numId w:val="1038"/>
        </w:numPr>
        <w:shd w:val="clear" w:color="auto" w:fill="FFFFFF"/>
        <w:spacing w:before="100" w:beforeAutospacing="1" w:after="100" w:afterAutospacing="1" w:line="240" w:lineRule="auto"/>
        <w:rPr>
          <w:rFonts w:cs="Times New Roman"/>
          <w:color w:val="000000"/>
          <w:sz w:val="16"/>
          <w:szCs w:val="16"/>
          <w:shd w:val="clear" w:color="auto" w:fill="FFFFFF"/>
        </w:rPr>
      </w:pPr>
      <w:r w:rsidRPr="00FE767C">
        <w:rPr>
          <w:rFonts w:cs="Times New Roman"/>
          <w:color w:val="000000"/>
          <w:sz w:val="16"/>
          <w:szCs w:val="16"/>
          <w:shd w:val="clear" w:color="auto" w:fill="FFFFFF"/>
        </w:rPr>
        <w:t>les antécédents obstétriques médicaux et familiaux, l'origine ethnique ou géographique et les déterminants sociaux de la santé;</w:t>
      </w:r>
    </w:p>
    <w:p w:rsidR="00FE767C" w:rsidRPr="00FE767C" w:rsidRDefault="00FE767C" w:rsidP="005D429F">
      <w:pPr>
        <w:numPr>
          <w:ilvl w:val="1"/>
          <w:numId w:val="1038"/>
        </w:numPr>
        <w:shd w:val="clear" w:color="auto" w:fill="FFFFFF"/>
        <w:spacing w:before="100" w:beforeAutospacing="1" w:after="100" w:afterAutospacing="1" w:line="240" w:lineRule="auto"/>
        <w:rPr>
          <w:rFonts w:cs="Times New Roman"/>
          <w:color w:val="000000"/>
          <w:sz w:val="16"/>
          <w:szCs w:val="16"/>
          <w:shd w:val="clear" w:color="auto" w:fill="FFFFFF"/>
        </w:rPr>
      </w:pPr>
      <w:r w:rsidRPr="00FE767C">
        <w:rPr>
          <w:rFonts w:cs="Times New Roman"/>
          <w:color w:val="000000"/>
          <w:sz w:val="16"/>
          <w:szCs w:val="16"/>
          <w:shd w:val="clear" w:color="auto" w:fill="FFFFFF"/>
        </w:rPr>
        <w:t>les résultats d'un examen physique du patient ou de membres désignés de sa famille, le cas échéant;</w:t>
      </w:r>
    </w:p>
    <w:p w:rsidR="00FE767C" w:rsidRPr="00FE767C" w:rsidRDefault="00FE767C" w:rsidP="005D429F">
      <w:pPr>
        <w:numPr>
          <w:ilvl w:val="0"/>
          <w:numId w:val="1038"/>
        </w:numPr>
        <w:shd w:val="clear" w:color="auto" w:fill="FFFFFF"/>
        <w:spacing w:before="100" w:beforeAutospacing="1" w:after="100" w:afterAutospacing="1" w:line="240" w:lineRule="auto"/>
        <w:rPr>
          <w:rFonts w:cs="Times New Roman"/>
          <w:color w:val="000000"/>
          <w:sz w:val="16"/>
          <w:szCs w:val="16"/>
          <w:shd w:val="clear" w:color="auto" w:fill="FFFFFF"/>
        </w:rPr>
      </w:pPr>
      <w:r w:rsidRPr="00FE767C">
        <w:rPr>
          <w:rFonts w:cs="Times New Roman"/>
          <w:color w:val="000000"/>
          <w:sz w:val="16"/>
          <w:szCs w:val="16"/>
          <w:shd w:val="clear" w:color="auto" w:fill="FFFFFF"/>
        </w:rPr>
        <w:t>énumérer et interpréter les examens de laboratoire et d'imagerie diagnostique pertinents;</w:t>
      </w:r>
    </w:p>
    <w:p w:rsidR="00FE767C" w:rsidRPr="00FE767C" w:rsidRDefault="00FE767C" w:rsidP="005D429F">
      <w:pPr>
        <w:numPr>
          <w:ilvl w:val="0"/>
          <w:numId w:val="1038"/>
        </w:numPr>
        <w:shd w:val="clear" w:color="auto" w:fill="FFFFFF"/>
        <w:spacing w:before="100" w:beforeAutospacing="1" w:after="100" w:afterAutospacing="1" w:line="240" w:lineRule="auto"/>
        <w:rPr>
          <w:rFonts w:cs="Times New Roman"/>
          <w:color w:val="000000"/>
          <w:sz w:val="16"/>
          <w:szCs w:val="16"/>
          <w:shd w:val="clear" w:color="auto" w:fill="FFFFFF"/>
        </w:rPr>
      </w:pPr>
      <w:r w:rsidRPr="00FE767C">
        <w:rPr>
          <w:rFonts w:cs="Times New Roman"/>
          <w:color w:val="000000"/>
          <w:sz w:val="16"/>
          <w:szCs w:val="16"/>
          <w:shd w:val="clear" w:color="auto" w:fill="FFFFFF"/>
        </w:rPr>
        <w:t>élaborer un plan efficace de prise en charge initiale comprenant, selon le besoin :</w:t>
      </w:r>
    </w:p>
    <w:p w:rsidR="00FE767C" w:rsidRPr="00FE767C" w:rsidRDefault="00FE767C" w:rsidP="005D429F">
      <w:pPr>
        <w:numPr>
          <w:ilvl w:val="1"/>
          <w:numId w:val="1038"/>
        </w:numPr>
        <w:shd w:val="clear" w:color="auto" w:fill="FFFFFF"/>
        <w:spacing w:before="100" w:beforeAutospacing="1" w:after="100" w:afterAutospacing="1" w:line="240" w:lineRule="auto"/>
        <w:rPr>
          <w:rFonts w:cs="Times New Roman"/>
          <w:color w:val="000000"/>
          <w:sz w:val="16"/>
          <w:szCs w:val="16"/>
          <w:shd w:val="clear" w:color="auto" w:fill="FFFFFF"/>
        </w:rPr>
      </w:pPr>
      <w:r w:rsidRPr="00FE767C">
        <w:rPr>
          <w:rFonts w:cs="Times New Roman"/>
          <w:color w:val="000000"/>
          <w:sz w:val="16"/>
          <w:szCs w:val="16"/>
          <w:shd w:val="clear" w:color="auto" w:fill="FFFFFF"/>
        </w:rPr>
        <w:t>des conseils génétiques;</w:t>
      </w:r>
    </w:p>
    <w:p w:rsidR="00FE767C" w:rsidRPr="00FE767C" w:rsidRDefault="00FE767C" w:rsidP="005D429F">
      <w:pPr>
        <w:numPr>
          <w:ilvl w:val="1"/>
          <w:numId w:val="1038"/>
        </w:numPr>
        <w:shd w:val="clear" w:color="auto" w:fill="FFFFFF"/>
        <w:spacing w:before="100" w:beforeAutospacing="1" w:after="100" w:afterAutospacing="1" w:line="240" w:lineRule="auto"/>
        <w:rPr>
          <w:rFonts w:cs="Times New Roman"/>
          <w:color w:val="000000"/>
          <w:sz w:val="16"/>
          <w:szCs w:val="16"/>
          <w:shd w:val="clear" w:color="auto" w:fill="FFFFFF"/>
        </w:rPr>
      </w:pPr>
      <w:r w:rsidRPr="00FE767C">
        <w:rPr>
          <w:rFonts w:cs="Times New Roman"/>
          <w:color w:val="000000"/>
          <w:sz w:val="16"/>
          <w:szCs w:val="16"/>
          <w:shd w:val="clear" w:color="auto" w:fill="FFFFFF"/>
        </w:rPr>
        <w:t>un examen des options en matière de reproduction;</w:t>
      </w:r>
    </w:p>
    <w:p w:rsidR="00FE767C" w:rsidRPr="00FE767C" w:rsidRDefault="00FE767C" w:rsidP="005D429F">
      <w:pPr>
        <w:numPr>
          <w:ilvl w:val="1"/>
          <w:numId w:val="1038"/>
        </w:numPr>
        <w:shd w:val="clear" w:color="auto" w:fill="FFFFFF"/>
        <w:spacing w:before="100" w:beforeAutospacing="1" w:after="100" w:afterAutospacing="1" w:line="240" w:lineRule="auto"/>
        <w:rPr>
          <w:rFonts w:cs="Times New Roman"/>
          <w:color w:val="000000"/>
          <w:sz w:val="16"/>
          <w:szCs w:val="16"/>
          <w:shd w:val="clear" w:color="auto" w:fill="FFFFFF"/>
        </w:rPr>
      </w:pPr>
      <w:r w:rsidRPr="00FE767C">
        <w:rPr>
          <w:rFonts w:cs="Times New Roman"/>
          <w:color w:val="000000"/>
          <w:sz w:val="16"/>
          <w:szCs w:val="16"/>
          <w:shd w:val="clear" w:color="auto" w:fill="FFFFFF"/>
        </w:rPr>
        <w:t>une évaluation spécialisée, un dépistage génétique ou une orientation vers des ressources communautaires ou des services de soutien sociaux et psychologiques.</w:t>
      </w:r>
    </w:p>
    <w:p w:rsidR="00C379C8" w:rsidRPr="00B5023E" w:rsidRDefault="00B5023E" w:rsidP="00A17D9E">
      <w:pPr>
        <w:pStyle w:val="Sansinterligne"/>
        <w:rPr>
          <w:b/>
          <w:sz w:val="28"/>
          <w:szCs w:val="28"/>
        </w:rPr>
      </w:pPr>
      <w:r w:rsidRPr="00B5023E">
        <w:rPr>
          <w:b/>
          <w:sz w:val="28"/>
          <w:szCs w:val="28"/>
        </w:rPr>
        <w:t xml:space="preserve">Types </w:t>
      </w:r>
      <w:r w:rsidR="00C379C8" w:rsidRPr="00B5023E">
        <w:rPr>
          <w:b/>
          <w:sz w:val="28"/>
          <w:szCs w:val="28"/>
        </w:rPr>
        <w:t>de transmission</w:t>
      </w:r>
      <w:r w:rsidRPr="00B5023E">
        <w:rPr>
          <w:b/>
          <w:sz w:val="28"/>
          <w:szCs w:val="28"/>
        </w:rPr>
        <w:t xml:space="preserve"> génétique</w:t>
      </w:r>
    </w:p>
    <w:p w:rsidR="00A94A23" w:rsidRDefault="00A94A23" w:rsidP="00A17D9E">
      <w:pPr>
        <w:pStyle w:val="Sansinterligne"/>
      </w:pPr>
    </w:p>
    <w:tbl>
      <w:tblPr>
        <w:tblStyle w:val="Grilledutableau"/>
        <w:tblW w:w="0" w:type="auto"/>
        <w:tblLook w:val="04A0" w:firstRow="1" w:lastRow="0" w:firstColumn="1" w:lastColumn="0" w:noHBand="0" w:noVBand="1"/>
      </w:tblPr>
      <w:tblGrid>
        <w:gridCol w:w="1384"/>
        <w:gridCol w:w="4086"/>
        <w:gridCol w:w="1584"/>
        <w:gridCol w:w="3886"/>
      </w:tblGrid>
      <w:tr w:rsidR="00A94A23" w:rsidTr="003B7EB1">
        <w:tc>
          <w:tcPr>
            <w:tcW w:w="10940" w:type="dxa"/>
            <w:gridSpan w:val="4"/>
            <w:shd w:val="clear" w:color="auto" w:fill="FFC000"/>
          </w:tcPr>
          <w:p w:rsidR="00A94A23" w:rsidRDefault="00A94A23" w:rsidP="00A94A23">
            <w:pPr>
              <w:pStyle w:val="Sansinterligne"/>
              <w:jc w:val="center"/>
            </w:pPr>
            <w:r>
              <w:t>Transmission génétique</w:t>
            </w:r>
          </w:p>
        </w:tc>
      </w:tr>
      <w:tr w:rsidR="003B7EB1" w:rsidTr="003B7EB1">
        <w:tc>
          <w:tcPr>
            <w:tcW w:w="5470" w:type="dxa"/>
            <w:gridSpan w:val="2"/>
            <w:shd w:val="clear" w:color="auto" w:fill="D6E3BC" w:themeFill="accent3" w:themeFillTint="66"/>
          </w:tcPr>
          <w:p w:rsidR="003B7EB1" w:rsidRPr="003B7EB1" w:rsidRDefault="003B7EB1" w:rsidP="003B7EB1">
            <w:pPr>
              <w:pStyle w:val="Sansinterligne"/>
              <w:jc w:val="center"/>
              <w:rPr>
                <w:b/>
              </w:rPr>
            </w:pPr>
            <w:r w:rsidRPr="003B7EB1">
              <w:rPr>
                <w:b/>
              </w:rPr>
              <w:t>Mendélienne</w:t>
            </w:r>
          </w:p>
        </w:tc>
        <w:tc>
          <w:tcPr>
            <w:tcW w:w="5470" w:type="dxa"/>
            <w:gridSpan w:val="2"/>
            <w:shd w:val="clear" w:color="auto" w:fill="D6E3BC" w:themeFill="accent3" w:themeFillTint="66"/>
          </w:tcPr>
          <w:p w:rsidR="003B7EB1" w:rsidRPr="003B7EB1" w:rsidRDefault="003B7EB1" w:rsidP="003B7EB1">
            <w:pPr>
              <w:pStyle w:val="Sansinterligne"/>
              <w:jc w:val="center"/>
              <w:rPr>
                <w:b/>
              </w:rPr>
            </w:pPr>
            <w:r w:rsidRPr="003B7EB1">
              <w:rPr>
                <w:b/>
              </w:rPr>
              <w:t>Non-mendélienne</w:t>
            </w:r>
          </w:p>
        </w:tc>
      </w:tr>
      <w:tr w:rsidR="003B7EB1" w:rsidTr="00AF0783">
        <w:tc>
          <w:tcPr>
            <w:tcW w:w="1384" w:type="dxa"/>
            <w:shd w:val="clear" w:color="auto" w:fill="D6E3BC" w:themeFill="accent3" w:themeFillTint="66"/>
            <w:vAlign w:val="center"/>
          </w:tcPr>
          <w:p w:rsidR="003B7EB1" w:rsidRDefault="003B7EB1" w:rsidP="00AF0783">
            <w:pPr>
              <w:pStyle w:val="Sansinterligne"/>
              <w:jc w:val="center"/>
            </w:pPr>
            <w:r>
              <w:t>Autosomale dominante</w:t>
            </w:r>
          </w:p>
        </w:tc>
        <w:tc>
          <w:tcPr>
            <w:tcW w:w="4086" w:type="dxa"/>
          </w:tcPr>
          <w:p w:rsidR="003B7EB1" w:rsidRDefault="003B7EB1" w:rsidP="00A17D9E">
            <w:pPr>
              <w:pStyle w:val="Sansinterligne"/>
            </w:pPr>
            <w:r>
              <w:t xml:space="preserve">Mutation d’un ou des gènes </w:t>
            </w:r>
          </w:p>
          <w:p w:rsidR="003B7EB1" w:rsidRDefault="003B7EB1" w:rsidP="00192330">
            <w:pPr>
              <w:pStyle w:val="Sansinterligne"/>
            </w:pPr>
            <w:r>
              <w:t>Expression si hétérozygote, transmission verticale</w:t>
            </w:r>
            <w:r w:rsidR="00192330">
              <w:t xml:space="preserve"> (ex : neurofibromatose type 1)</w:t>
            </w:r>
          </w:p>
        </w:tc>
        <w:tc>
          <w:tcPr>
            <w:tcW w:w="1584" w:type="dxa"/>
            <w:shd w:val="clear" w:color="auto" w:fill="D6E3BC" w:themeFill="accent3" w:themeFillTint="66"/>
            <w:vAlign w:val="center"/>
          </w:tcPr>
          <w:p w:rsidR="003B7EB1" w:rsidRDefault="003B7EB1" w:rsidP="00AF0783">
            <w:pPr>
              <w:pStyle w:val="Sansinterligne"/>
              <w:jc w:val="center"/>
            </w:pPr>
            <w:r>
              <w:t>Mitochondriale</w:t>
            </w:r>
          </w:p>
        </w:tc>
        <w:tc>
          <w:tcPr>
            <w:tcW w:w="3886" w:type="dxa"/>
          </w:tcPr>
          <w:p w:rsidR="003B7EB1" w:rsidRDefault="003B7EB1" w:rsidP="002A374C">
            <w:pPr>
              <w:pStyle w:val="Sansinterligne"/>
            </w:pPr>
            <w:r>
              <w:t>Mutation de l’ADN mitochondrial</w:t>
            </w:r>
          </w:p>
          <w:p w:rsidR="003B7EB1" w:rsidRPr="0047609A" w:rsidRDefault="003B7EB1" w:rsidP="002A374C">
            <w:pPr>
              <w:pStyle w:val="Sansinterligne"/>
              <w:rPr>
                <w:u w:val="single"/>
              </w:rPr>
            </w:pPr>
            <w:r w:rsidRPr="0047609A">
              <w:rPr>
                <w:u w:val="single"/>
              </w:rPr>
              <w:t>Transmission par la mère seulement</w:t>
            </w:r>
          </w:p>
          <w:p w:rsidR="009079C0" w:rsidRDefault="009079C0" w:rsidP="002A374C">
            <w:pPr>
              <w:pStyle w:val="Sansinterligne"/>
            </w:pPr>
            <w:r>
              <w:t>(ex : maladies mitochondriales)</w:t>
            </w:r>
          </w:p>
        </w:tc>
      </w:tr>
      <w:tr w:rsidR="003B7EB1" w:rsidTr="00AF0783">
        <w:tc>
          <w:tcPr>
            <w:tcW w:w="1384" w:type="dxa"/>
            <w:shd w:val="clear" w:color="auto" w:fill="D6E3BC" w:themeFill="accent3" w:themeFillTint="66"/>
            <w:vAlign w:val="center"/>
          </w:tcPr>
          <w:p w:rsidR="003B7EB1" w:rsidRDefault="003B7EB1" w:rsidP="00AF0783">
            <w:pPr>
              <w:pStyle w:val="Sansinterligne"/>
              <w:jc w:val="center"/>
            </w:pPr>
            <w:r>
              <w:t>Autosomale</w:t>
            </w:r>
          </w:p>
          <w:p w:rsidR="003B7EB1" w:rsidRDefault="003B7EB1" w:rsidP="00AF0783">
            <w:pPr>
              <w:pStyle w:val="Sansinterligne"/>
              <w:jc w:val="center"/>
            </w:pPr>
            <w:r>
              <w:t>récessive</w:t>
            </w:r>
          </w:p>
        </w:tc>
        <w:tc>
          <w:tcPr>
            <w:tcW w:w="4086" w:type="dxa"/>
          </w:tcPr>
          <w:p w:rsidR="003B7EB1" w:rsidRDefault="003B7EB1" w:rsidP="00A17D9E">
            <w:pPr>
              <w:pStyle w:val="Sansinterligne"/>
            </w:pPr>
            <w:r>
              <w:t xml:space="preserve">Mutation d’un ou des gènes </w:t>
            </w:r>
          </w:p>
          <w:p w:rsidR="003B7EB1" w:rsidRDefault="003B7EB1" w:rsidP="00A17D9E">
            <w:pPr>
              <w:pStyle w:val="Sansinterligne"/>
            </w:pPr>
            <w:r>
              <w:t>Expression si les 2 copies du gène ont mutés, transmission horizontale</w:t>
            </w:r>
            <w:r w:rsidR="00192330">
              <w:t xml:space="preserve"> (ex : FKP)</w:t>
            </w:r>
          </w:p>
        </w:tc>
        <w:tc>
          <w:tcPr>
            <w:tcW w:w="1584" w:type="dxa"/>
            <w:shd w:val="clear" w:color="auto" w:fill="D6E3BC" w:themeFill="accent3" w:themeFillTint="66"/>
            <w:vAlign w:val="center"/>
          </w:tcPr>
          <w:p w:rsidR="003B7EB1" w:rsidRDefault="003B7EB1" w:rsidP="00AF0783">
            <w:pPr>
              <w:pStyle w:val="Sansinterligne"/>
              <w:jc w:val="center"/>
            </w:pPr>
            <w:r>
              <w:t>Épigénétique / trouble d</w:t>
            </w:r>
            <w:r w:rsidR="007E2497">
              <w:t>’empreinte</w:t>
            </w:r>
          </w:p>
        </w:tc>
        <w:tc>
          <w:tcPr>
            <w:tcW w:w="3886" w:type="dxa"/>
          </w:tcPr>
          <w:p w:rsidR="003B7EB1" w:rsidRDefault="003B7EB1" w:rsidP="002A374C">
            <w:pPr>
              <w:pStyle w:val="Sansinterligne"/>
            </w:pPr>
            <w:r>
              <w:t>Méthylation de l’ADN</w:t>
            </w:r>
          </w:p>
          <w:p w:rsidR="003B7EB1" w:rsidRDefault="003B7EB1" w:rsidP="002A374C">
            <w:pPr>
              <w:pStyle w:val="Sansinterligne"/>
            </w:pPr>
            <w:r>
              <w:t>Expression différente selon le parent</w:t>
            </w:r>
          </w:p>
          <w:p w:rsidR="003B7EB1" w:rsidRDefault="003B7EB1" w:rsidP="002A374C">
            <w:pPr>
              <w:pStyle w:val="Sansinterligne"/>
            </w:pPr>
            <w:r>
              <w:t>Expression si un des gènes est réduit au silence</w:t>
            </w:r>
            <w:r w:rsidR="009079C0">
              <w:t xml:space="preserve"> (ex : Syndrome de Prader-Willi)</w:t>
            </w:r>
          </w:p>
        </w:tc>
      </w:tr>
      <w:tr w:rsidR="003B7EB1" w:rsidTr="00AF0783">
        <w:tc>
          <w:tcPr>
            <w:tcW w:w="1384" w:type="dxa"/>
            <w:shd w:val="clear" w:color="auto" w:fill="D6E3BC" w:themeFill="accent3" w:themeFillTint="66"/>
            <w:vAlign w:val="center"/>
          </w:tcPr>
          <w:p w:rsidR="003B7EB1" w:rsidRDefault="003B7EB1" w:rsidP="00AF0783">
            <w:pPr>
              <w:pStyle w:val="Sansinterligne"/>
              <w:jc w:val="center"/>
            </w:pPr>
            <w:r>
              <w:t>Lié</w:t>
            </w:r>
            <w:r w:rsidR="0047609A">
              <w:t>e</w:t>
            </w:r>
            <w:r>
              <w:t xml:space="preserve"> à l’X</w:t>
            </w:r>
          </w:p>
        </w:tc>
        <w:tc>
          <w:tcPr>
            <w:tcW w:w="4086" w:type="dxa"/>
          </w:tcPr>
          <w:p w:rsidR="003B7EB1" w:rsidRDefault="003B7EB1" w:rsidP="003B7EB1">
            <w:pPr>
              <w:pStyle w:val="Sansinterligne"/>
            </w:pPr>
            <w:r>
              <w:t xml:space="preserve">Mutation d’un ou des gènes </w:t>
            </w:r>
          </w:p>
          <w:p w:rsidR="003B7EB1" w:rsidRDefault="003B7EB1" w:rsidP="003B7EB1">
            <w:pPr>
              <w:pStyle w:val="Sansinterligne"/>
            </w:pPr>
            <w:r>
              <w:t>Hommes affectés par les mutations AD et AR, AR rares chez les femmes</w:t>
            </w:r>
            <w:r w:rsidR="009079C0">
              <w:t xml:space="preserve"> (ex : DMD)</w:t>
            </w:r>
          </w:p>
        </w:tc>
        <w:tc>
          <w:tcPr>
            <w:tcW w:w="1584" w:type="dxa"/>
            <w:shd w:val="clear" w:color="auto" w:fill="D6E3BC" w:themeFill="accent3" w:themeFillTint="66"/>
            <w:vAlign w:val="center"/>
          </w:tcPr>
          <w:p w:rsidR="003B7EB1" w:rsidRDefault="003B7EB1" w:rsidP="00AF0783">
            <w:pPr>
              <w:pStyle w:val="Sansinterligne"/>
              <w:jc w:val="center"/>
            </w:pPr>
            <w:r>
              <w:t>Répétition de triplet</w:t>
            </w:r>
          </w:p>
        </w:tc>
        <w:tc>
          <w:tcPr>
            <w:tcW w:w="3886" w:type="dxa"/>
          </w:tcPr>
          <w:p w:rsidR="003B7EB1" w:rsidRDefault="003B7EB1" w:rsidP="002A374C">
            <w:pPr>
              <w:pStyle w:val="Sansinterligne"/>
              <w:rPr>
                <w:rFonts w:ascii="Century Gothic" w:hAnsi="Century Gothic"/>
              </w:rPr>
            </w:pPr>
            <w:r>
              <w:t xml:space="preserve">Répétition excessive de trinucléotide </w:t>
            </w:r>
            <w:r>
              <w:rPr>
                <w:rFonts w:ascii="Century Gothic" w:hAnsi="Century Gothic"/>
              </w:rPr>
              <w:t>→</w:t>
            </w:r>
          </w:p>
          <w:p w:rsidR="003B7EB1" w:rsidRDefault="003B7EB1" w:rsidP="002A374C">
            <w:pPr>
              <w:pStyle w:val="Sansinterligne"/>
              <w:rPr>
                <w:rFonts w:cs="Times New Roman"/>
              </w:rPr>
            </w:pPr>
            <w:r w:rsidRPr="003B7EB1">
              <w:rPr>
                <w:rFonts w:cs="Times New Roman"/>
              </w:rPr>
              <w:t>Expression altérée ou protéine anormale</w:t>
            </w:r>
          </w:p>
          <w:p w:rsidR="009079C0" w:rsidRPr="003B7EB1" w:rsidRDefault="009079C0" w:rsidP="002A374C">
            <w:pPr>
              <w:pStyle w:val="Sansinterligne"/>
              <w:rPr>
                <w:rFonts w:cs="Times New Roman"/>
              </w:rPr>
            </w:pPr>
            <w:r>
              <w:rPr>
                <w:rFonts w:cs="Times New Roman"/>
              </w:rPr>
              <w:t>(ex : Syndrome du X fragile)</w:t>
            </w:r>
          </w:p>
        </w:tc>
      </w:tr>
    </w:tbl>
    <w:p w:rsidR="00A94A23" w:rsidRDefault="00A94A23" w:rsidP="00A17D9E">
      <w:pPr>
        <w:pStyle w:val="Sansinterligne"/>
      </w:pPr>
    </w:p>
    <w:p w:rsidR="00A94A23" w:rsidRPr="002D6571" w:rsidRDefault="002D6571" w:rsidP="00A17D9E">
      <w:pPr>
        <w:pStyle w:val="Sansinterligne"/>
        <w:rPr>
          <w:b/>
          <w:sz w:val="28"/>
          <w:szCs w:val="28"/>
        </w:rPr>
      </w:pPr>
      <w:r w:rsidRPr="002D6571">
        <w:rPr>
          <w:b/>
          <w:sz w:val="28"/>
          <w:szCs w:val="28"/>
        </w:rPr>
        <w:t>Quelques maladies à transmission génétique</w:t>
      </w:r>
    </w:p>
    <w:p w:rsidR="00A94A23" w:rsidRDefault="00A94A23" w:rsidP="00A17D9E">
      <w:pPr>
        <w:pStyle w:val="Sansinterligne"/>
      </w:pPr>
    </w:p>
    <w:tbl>
      <w:tblPr>
        <w:tblStyle w:val="Grilledutableau"/>
        <w:tblW w:w="0" w:type="auto"/>
        <w:tblLook w:val="04A0" w:firstRow="1" w:lastRow="0" w:firstColumn="1" w:lastColumn="0" w:noHBand="0" w:noVBand="1"/>
      </w:tblPr>
      <w:tblGrid>
        <w:gridCol w:w="2205"/>
        <w:gridCol w:w="2298"/>
        <w:gridCol w:w="3118"/>
        <w:gridCol w:w="3395"/>
      </w:tblGrid>
      <w:tr w:rsidR="00BC398F" w:rsidTr="00CF5C7C">
        <w:tc>
          <w:tcPr>
            <w:tcW w:w="2205" w:type="dxa"/>
            <w:shd w:val="clear" w:color="auto" w:fill="FFC000"/>
          </w:tcPr>
          <w:p w:rsidR="00BC398F" w:rsidRDefault="00BC398F" w:rsidP="00847064">
            <w:pPr>
              <w:pStyle w:val="Sansinterligne"/>
              <w:jc w:val="center"/>
            </w:pPr>
            <w:r>
              <w:t>Diagnostic</w:t>
            </w:r>
          </w:p>
        </w:tc>
        <w:tc>
          <w:tcPr>
            <w:tcW w:w="2298" w:type="dxa"/>
            <w:shd w:val="clear" w:color="auto" w:fill="FFC000"/>
          </w:tcPr>
          <w:p w:rsidR="00BC398F" w:rsidRDefault="00BC398F" w:rsidP="00847064">
            <w:pPr>
              <w:pStyle w:val="Sansinterligne"/>
              <w:jc w:val="center"/>
            </w:pPr>
            <w:r>
              <w:t>Notes</w:t>
            </w:r>
          </w:p>
        </w:tc>
        <w:tc>
          <w:tcPr>
            <w:tcW w:w="3118" w:type="dxa"/>
            <w:shd w:val="clear" w:color="auto" w:fill="FFC000"/>
          </w:tcPr>
          <w:p w:rsidR="00BC398F" w:rsidRDefault="00BC398F" w:rsidP="00847064">
            <w:pPr>
              <w:pStyle w:val="Sansinterligne"/>
              <w:jc w:val="center"/>
            </w:pPr>
            <w:r>
              <w:t>Anamnèse / ATCD</w:t>
            </w:r>
          </w:p>
        </w:tc>
        <w:tc>
          <w:tcPr>
            <w:tcW w:w="3395" w:type="dxa"/>
            <w:shd w:val="clear" w:color="auto" w:fill="FFC000"/>
          </w:tcPr>
          <w:p w:rsidR="00BC398F" w:rsidRDefault="00BC398F" w:rsidP="00847064">
            <w:pPr>
              <w:pStyle w:val="Sansinterligne"/>
              <w:jc w:val="center"/>
            </w:pPr>
            <w:r>
              <w:t>Signes physiques</w:t>
            </w:r>
          </w:p>
        </w:tc>
      </w:tr>
      <w:tr w:rsidR="002D6571" w:rsidTr="002C2891">
        <w:tc>
          <w:tcPr>
            <w:tcW w:w="2205" w:type="dxa"/>
            <w:shd w:val="clear" w:color="auto" w:fill="D6E3BC" w:themeFill="accent3" w:themeFillTint="66"/>
            <w:vAlign w:val="center"/>
          </w:tcPr>
          <w:p w:rsidR="002D6571" w:rsidRPr="004D430F" w:rsidRDefault="00BC398F" w:rsidP="00AD7496">
            <w:pPr>
              <w:pStyle w:val="Sansinterligne"/>
              <w:jc w:val="center"/>
              <w:rPr>
                <w:b/>
              </w:rPr>
            </w:pPr>
            <w:r w:rsidRPr="004D430F">
              <w:rPr>
                <w:b/>
              </w:rPr>
              <w:t>Dystrophie musculaire de Duchenne (DMD)</w:t>
            </w:r>
          </w:p>
        </w:tc>
        <w:tc>
          <w:tcPr>
            <w:tcW w:w="2298" w:type="dxa"/>
            <w:shd w:val="clear" w:color="auto" w:fill="FFFF00"/>
          </w:tcPr>
          <w:p w:rsidR="002D6571" w:rsidRPr="00BC398F" w:rsidRDefault="00BC398F" w:rsidP="00A17D9E">
            <w:pPr>
              <w:pStyle w:val="Sansinterligne"/>
              <w:rPr>
                <w:rFonts w:cs="Times New Roman"/>
              </w:rPr>
            </w:pPr>
            <w:r w:rsidRPr="00BC398F">
              <w:rPr>
                <w:rFonts w:cs="Times New Roman"/>
              </w:rPr>
              <w:t>Incidence 1 :4000 ♂</w:t>
            </w:r>
          </w:p>
          <w:p w:rsidR="00BC398F" w:rsidRDefault="00BC398F" w:rsidP="00A17D9E">
            <w:pPr>
              <w:pStyle w:val="Sansinterligne"/>
              <w:rPr>
                <w:rFonts w:cs="Times New Roman"/>
              </w:rPr>
            </w:pPr>
            <w:r w:rsidRPr="00BC398F">
              <w:rPr>
                <w:rFonts w:cs="Times New Roman"/>
              </w:rPr>
              <w:t>2/3 seraient hér</w:t>
            </w:r>
            <w:r>
              <w:rPr>
                <w:rFonts w:cs="Times New Roman"/>
              </w:rPr>
              <w:t>éditaire</w:t>
            </w:r>
            <w:r w:rsidRPr="00BC398F">
              <w:rPr>
                <w:rFonts w:cs="Times New Roman"/>
              </w:rPr>
              <w:t xml:space="preserve"> </w:t>
            </w:r>
          </w:p>
          <w:p w:rsidR="00BC398F" w:rsidRPr="00BC398F" w:rsidRDefault="00BC398F" w:rsidP="00BC398F">
            <w:pPr>
              <w:pStyle w:val="Sansinterligne"/>
              <w:rPr>
                <w:rFonts w:cs="Times New Roman"/>
              </w:rPr>
            </w:pPr>
            <w:r w:rsidRPr="00BC398F">
              <w:rPr>
                <w:rFonts w:cs="Times New Roman"/>
              </w:rPr>
              <w:t>Lié à l’</w:t>
            </w:r>
            <w:r>
              <w:rPr>
                <w:rFonts w:cs="Times New Roman"/>
              </w:rPr>
              <w:t>X, récessif</w:t>
            </w:r>
          </w:p>
        </w:tc>
        <w:tc>
          <w:tcPr>
            <w:tcW w:w="3118" w:type="dxa"/>
            <w:shd w:val="clear" w:color="auto" w:fill="FFFF00"/>
          </w:tcPr>
          <w:p w:rsidR="002D6571" w:rsidRDefault="00BC398F" w:rsidP="005D429F">
            <w:pPr>
              <w:pStyle w:val="Sansinterligne"/>
              <w:numPr>
                <w:ilvl w:val="0"/>
                <w:numId w:val="1065"/>
              </w:numPr>
            </w:pPr>
            <w:r>
              <w:t xml:space="preserve">Faiblesse musculaire proximale </w:t>
            </w:r>
            <w:r>
              <w:rPr>
                <w:rFonts w:ascii="Century Gothic" w:hAnsi="Century Gothic"/>
              </w:rPr>
              <w:t>&gt;</w:t>
            </w:r>
            <w:r>
              <w:t xml:space="preserve"> 3 ans</w:t>
            </w:r>
          </w:p>
          <w:p w:rsidR="004234C8" w:rsidRDefault="004234C8" w:rsidP="005D429F">
            <w:pPr>
              <w:pStyle w:val="Sansinterligne"/>
              <w:numPr>
                <w:ilvl w:val="0"/>
                <w:numId w:val="1065"/>
              </w:numPr>
            </w:pPr>
            <w:r>
              <w:t>Retard de développement moteur et cognitif</w:t>
            </w:r>
          </w:p>
        </w:tc>
        <w:tc>
          <w:tcPr>
            <w:tcW w:w="3395" w:type="dxa"/>
            <w:shd w:val="clear" w:color="auto" w:fill="FFFF00"/>
          </w:tcPr>
          <w:p w:rsidR="002D6571" w:rsidRDefault="00BC398F" w:rsidP="005D429F">
            <w:pPr>
              <w:pStyle w:val="Sansinterligne"/>
              <w:numPr>
                <w:ilvl w:val="0"/>
                <w:numId w:val="1065"/>
              </w:numPr>
            </w:pPr>
            <w:r>
              <w:t>Signe de Gower +</w:t>
            </w:r>
          </w:p>
          <w:p w:rsidR="00BC398F" w:rsidRDefault="004234C8" w:rsidP="005D429F">
            <w:pPr>
              <w:pStyle w:val="Sansinterligne"/>
              <w:numPr>
                <w:ilvl w:val="0"/>
                <w:numId w:val="1065"/>
              </w:numPr>
            </w:pPr>
            <w:r>
              <w:t>Démarche en canard</w:t>
            </w:r>
          </w:p>
          <w:p w:rsidR="004234C8" w:rsidRDefault="004234C8" w:rsidP="005D429F">
            <w:pPr>
              <w:pStyle w:val="Sansinterligne"/>
              <w:numPr>
                <w:ilvl w:val="0"/>
                <w:numId w:val="1065"/>
              </w:numPr>
            </w:pPr>
            <w:r>
              <w:t>Pseudohypertrophie des fesses (graisses)</w:t>
            </w:r>
          </w:p>
          <w:p w:rsidR="004234C8" w:rsidRDefault="004234C8" w:rsidP="005D429F">
            <w:pPr>
              <w:pStyle w:val="Sansinterligne"/>
              <w:numPr>
                <w:ilvl w:val="0"/>
                <w:numId w:val="1065"/>
              </w:numPr>
            </w:pPr>
            <w:r>
              <w:t>Cardiomyopathie</w:t>
            </w:r>
          </w:p>
        </w:tc>
      </w:tr>
      <w:tr w:rsidR="008D3E6C" w:rsidTr="004C1451">
        <w:tc>
          <w:tcPr>
            <w:tcW w:w="2205" w:type="dxa"/>
            <w:shd w:val="clear" w:color="auto" w:fill="D6E3BC" w:themeFill="accent3" w:themeFillTint="66"/>
            <w:vAlign w:val="center"/>
          </w:tcPr>
          <w:p w:rsidR="008D3E6C" w:rsidRDefault="008D3E6C" w:rsidP="00AD7496">
            <w:pPr>
              <w:pStyle w:val="Sansinterligne"/>
              <w:jc w:val="center"/>
            </w:pPr>
            <w:r>
              <w:t>Dystrophie musculaire oculopharyngée</w:t>
            </w:r>
          </w:p>
        </w:tc>
        <w:tc>
          <w:tcPr>
            <w:tcW w:w="2298" w:type="dxa"/>
            <w:shd w:val="clear" w:color="auto" w:fill="auto"/>
          </w:tcPr>
          <w:p w:rsidR="008D3E6C" w:rsidRDefault="008D3E6C" w:rsidP="00A17D9E">
            <w:pPr>
              <w:pStyle w:val="Sansinterligne"/>
              <w:rPr>
                <w:rFonts w:cs="Times New Roman"/>
              </w:rPr>
            </w:pPr>
            <w:r>
              <w:rPr>
                <w:rFonts w:cs="Times New Roman"/>
              </w:rPr>
              <w:t>1 :1000</w:t>
            </w:r>
          </w:p>
          <w:p w:rsidR="008D3E6C" w:rsidRDefault="008D3E6C" w:rsidP="00A17D9E">
            <w:pPr>
              <w:pStyle w:val="Sansinterligne"/>
              <w:rPr>
                <w:rFonts w:cs="Times New Roman"/>
              </w:rPr>
            </w:pPr>
            <w:r>
              <w:rPr>
                <w:rFonts w:cs="Times New Roman"/>
              </w:rPr>
              <w:t>Québécois</w:t>
            </w:r>
          </w:p>
          <w:p w:rsidR="008D3E6C" w:rsidRPr="00BC398F" w:rsidRDefault="008D3E6C" w:rsidP="00A17D9E">
            <w:pPr>
              <w:pStyle w:val="Sansinterligne"/>
              <w:rPr>
                <w:rFonts w:cs="Times New Roman"/>
              </w:rPr>
            </w:pPr>
            <w:r>
              <w:rPr>
                <w:rFonts w:cs="Times New Roman"/>
              </w:rPr>
              <w:t>Juifs</w:t>
            </w:r>
          </w:p>
        </w:tc>
        <w:tc>
          <w:tcPr>
            <w:tcW w:w="3118" w:type="dxa"/>
            <w:shd w:val="clear" w:color="auto" w:fill="auto"/>
          </w:tcPr>
          <w:p w:rsidR="008D3E6C" w:rsidRDefault="008D3E6C" w:rsidP="005D429F">
            <w:pPr>
              <w:pStyle w:val="Sansinterligne"/>
              <w:numPr>
                <w:ilvl w:val="0"/>
                <w:numId w:val="1065"/>
              </w:numPr>
            </w:pPr>
            <w:r>
              <w:t>Dysphagie</w:t>
            </w:r>
          </w:p>
          <w:p w:rsidR="008D3E6C" w:rsidRDefault="008D3E6C" w:rsidP="005D429F">
            <w:pPr>
              <w:pStyle w:val="Sansinterligne"/>
              <w:numPr>
                <w:ilvl w:val="0"/>
                <w:numId w:val="1065"/>
              </w:numPr>
            </w:pPr>
            <w:r>
              <w:t>Diplopie</w:t>
            </w:r>
          </w:p>
          <w:p w:rsidR="008D3E6C" w:rsidRDefault="008D3E6C" w:rsidP="005D429F">
            <w:pPr>
              <w:pStyle w:val="Sansinterligne"/>
              <w:numPr>
                <w:ilvl w:val="0"/>
                <w:numId w:val="1065"/>
              </w:numPr>
            </w:pPr>
            <w:r>
              <w:t>Faiblesse musculaire prox</w:t>
            </w:r>
          </w:p>
        </w:tc>
        <w:tc>
          <w:tcPr>
            <w:tcW w:w="3395" w:type="dxa"/>
            <w:shd w:val="clear" w:color="auto" w:fill="auto"/>
          </w:tcPr>
          <w:p w:rsidR="008D3E6C" w:rsidRDefault="008D3E6C" w:rsidP="005D429F">
            <w:pPr>
              <w:pStyle w:val="Sansinterligne"/>
              <w:numPr>
                <w:ilvl w:val="0"/>
                <w:numId w:val="1065"/>
              </w:numPr>
            </w:pPr>
            <w:r>
              <w:t>Ptose</w:t>
            </w:r>
          </w:p>
          <w:p w:rsidR="008D3E6C" w:rsidRDefault="008D3E6C" w:rsidP="005D429F">
            <w:pPr>
              <w:pStyle w:val="Sansinterligne"/>
              <w:numPr>
                <w:ilvl w:val="0"/>
                <w:numId w:val="1065"/>
              </w:numPr>
            </w:pPr>
            <w:r>
              <w:t>Faiblesse et atrophie linguale</w:t>
            </w:r>
          </w:p>
        </w:tc>
      </w:tr>
      <w:tr w:rsidR="002D6571" w:rsidTr="002C2891">
        <w:tc>
          <w:tcPr>
            <w:tcW w:w="2205" w:type="dxa"/>
            <w:shd w:val="clear" w:color="auto" w:fill="D6E3BC" w:themeFill="accent3" w:themeFillTint="66"/>
            <w:vAlign w:val="center"/>
          </w:tcPr>
          <w:p w:rsidR="002D6571" w:rsidRPr="004D430F" w:rsidRDefault="00335C98" w:rsidP="00AD7496">
            <w:pPr>
              <w:pStyle w:val="Sansinterligne"/>
              <w:jc w:val="center"/>
              <w:rPr>
                <w:b/>
              </w:rPr>
            </w:pPr>
            <w:r w:rsidRPr="004D430F">
              <w:rPr>
                <w:b/>
              </w:rPr>
              <w:t>Phénylcétonurie</w:t>
            </w:r>
          </w:p>
        </w:tc>
        <w:tc>
          <w:tcPr>
            <w:tcW w:w="2298" w:type="dxa"/>
            <w:shd w:val="clear" w:color="auto" w:fill="FFFF00"/>
          </w:tcPr>
          <w:p w:rsidR="00335C98" w:rsidRDefault="00335C98" w:rsidP="00AD7496">
            <w:pPr>
              <w:pStyle w:val="Sansinterligne"/>
            </w:pPr>
            <w:r>
              <w:t>1 :10</w:t>
            </w:r>
            <w:r w:rsidR="006776B2">
              <w:t xml:space="preserve"> </w:t>
            </w:r>
            <w:r>
              <w:t xml:space="preserve">000 </w:t>
            </w:r>
          </w:p>
          <w:p w:rsidR="002D6571" w:rsidRDefault="00335C98" w:rsidP="00AD7496">
            <w:pPr>
              <w:pStyle w:val="Sansinterligne"/>
            </w:pPr>
            <w:r>
              <w:t>AR</w:t>
            </w:r>
          </w:p>
        </w:tc>
        <w:tc>
          <w:tcPr>
            <w:tcW w:w="3118" w:type="dxa"/>
            <w:shd w:val="clear" w:color="auto" w:fill="FFFF00"/>
          </w:tcPr>
          <w:p w:rsidR="002D6571" w:rsidRDefault="00335C98" w:rsidP="005D429F">
            <w:pPr>
              <w:pStyle w:val="Sansinterligne"/>
              <w:numPr>
                <w:ilvl w:val="0"/>
                <w:numId w:val="1066"/>
              </w:numPr>
            </w:pPr>
            <w:r>
              <w:t>Retard mental</w:t>
            </w:r>
          </w:p>
        </w:tc>
        <w:tc>
          <w:tcPr>
            <w:tcW w:w="3395" w:type="dxa"/>
            <w:shd w:val="clear" w:color="auto" w:fill="FFFF00"/>
          </w:tcPr>
          <w:p w:rsidR="002D6571" w:rsidRDefault="00335C98" w:rsidP="005D429F">
            <w:pPr>
              <w:pStyle w:val="Sansinterligne"/>
              <w:numPr>
                <w:ilvl w:val="0"/>
                <w:numId w:val="1066"/>
              </w:numPr>
            </w:pPr>
            <w:r>
              <w:t>Eczéma</w:t>
            </w:r>
          </w:p>
          <w:p w:rsidR="00335C98" w:rsidRDefault="00335C98" w:rsidP="005D429F">
            <w:pPr>
              <w:pStyle w:val="Sansinterligne"/>
              <w:numPr>
                <w:ilvl w:val="0"/>
                <w:numId w:val="1066"/>
              </w:numPr>
            </w:pPr>
            <w:r>
              <w:t>Hypertonie</w:t>
            </w:r>
          </w:p>
          <w:p w:rsidR="00335C98" w:rsidRDefault="00335C98" w:rsidP="005D429F">
            <w:pPr>
              <w:pStyle w:val="Sansinterligne"/>
              <w:numPr>
                <w:ilvl w:val="0"/>
                <w:numId w:val="1066"/>
              </w:numPr>
            </w:pPr>
            <w:r>
              <w:t>Odeur de moisi</w:t>
            </w:r>
          </w:p>
          <w:p w:rsidR="00335C98" w:rsidRDefault="00335C98" w:rsidP="005D429F">
            <w:pPr>
              <w:pStyle w:val="Sansinterligne"/>
              <w:numPr>
                <w:ilvl w:val="0"/>
                <w:numId w:val="1066"/>
              </w:numPr>
            </w:pPr>
            <w:r>
              <w:t>Tremblements</w:t>
            </w:r>
          </w:p>
          <w:p w:rsidR="00335C98" w:rsidRDefault="00335C98" w:rsidP="005D429F">
            <w:pPr>
              <w:pStyle w:val="Sansinterligne"/>
              <w:numPr>
                <w:ilvl w:val="0"/>
                <w:numId w:val="1066"/>
              </w:numPr>
            </w:pPr>
            <w:r>
              <w:t>Hypopigmentation</w:t>
            </w:r>
          </w:p>
        </w:tc>
      </w:tr>
      <w:tr w:rsidR="002D6571" w:rsidTr="002C2891">
        <w:tc>
          <w:tcPr>
            <w:tcW w:w="2205" w:type="dxa"/>
            <w:shd w:val="clear" w:color="auto" w:fill="D6E3BC" w:themeFill="accent3" w:themeFillTint="66"/>
            <w:vAlign w:val="center"/>
          </w:tcPr>
          <w:p w:rsidR="002D6571" w:rsidRPr="004D430F" w:rsidRDefault="00335C98" w:rsidP="00AD7496">
            <w:pPr>
              <w:pStyle w:val="Sansinterligne"/>
              <w:jc w:val="center"/>
              <w:rPr>
                <w:b/>
              </w:rPr>
            </w:pPr>
            <w:r w:rsidRPr="004D430F">
              <w:rPr>
                <w:b/>
              </w:rPr>
              <w:lastRenderedPageBreak/>
              <w:t>Galactosémie</w:t>
            </w:r>
          </w:p>
        </w:tc>
        <w:tc>
          <w:tcPr>
            <w:tcW w:w="2298" w:type="dxa"/>
            <w:shd w:val="clear" w:color="auto" w:fill="FFFF00"/>
          </w:tcPr>
          <w:p w:rsidR="002D6571" w:rsidRDefault="006776B2" w:rsidP="00A17D9E">
            <w:pPr>
              <w:pStyle w:val="Sansinterligne"/>
            </w:pPr>
            <w:r>
              <w:t>1 :60 000</w:t>
            </w:r>
          </w:p>
          <w:p w:rsidR="006776B2" w:rsidRDefault="006776B2" w:rsidP="00A17D9E">
            <w:pPr>
              <w:pStyle w:val="Sansinterligne"/>
            </w:pPr>
            <w:r>
              <w:t>AR</w:t>
            </w:r>
          </w:p>
        </w:tc>
        <w:tc>
          <w:tcPr>
            <w:tcW w:w="3118" w:type="dxa"/>
            <w:shd w:val="clear" w:color="auto" w:fill="FFFF00"/>
          </w:tcPr>
          <w:p w:rsidR="002D6571" w:rsidRDefault="006776B2" w:rsidP="005D429F">
            <w:pPr>
              <w:pStyle w:val="Sansinterligne"/>
              <w:numPr>
                <w:ilvl w:val="0"/>
                <w:numId w:val="1070"/>
              </w:numPr>
            </w:pPr>
            <w:r>
              <w:t>Retard staturo-pondéral</w:t>
            </w:r>
          </w:p>
        </w:tc>
        <w:tc>
          <w:tcPr>
            <w:tcW w:w="3395" w:type="dxa"/>
            <w:shd w:val="clear" w:color="auto" w:fill="FFFF00"/>
          </w:tcPr>
          <w:p w:rsidR="002D6571" w:rsidRDefault="006776B2" w:rsidP="005D429F">
            <w:pPr>
              <w:pStyle w:val="Sansinterligne"/>
              <w:numPr>
                <w:ilvl w:val="0"/>
                <w:numId w:val="1070"/>
              </w:numPr>
            </w:pPr>
            <w:r>
              <w:t>Ictère</w:t>
            </w:r>
          </w:p>
          <w:p w:rsidR="006776B2" w:rsidRDefault="006776B2" w:rsidP="005D429F">
            <w:pPr>
              <w:pStyle w:val="Sansinterligne"/>
              <w:numPr>
                <w:ilvl w:val="0"/>
                <w:numId w:val="1070"/>
              </w:numPr>
            </w:pPr>
            <w:r>
              <w:t>Cataractes si ingestion lactose/galactose</w:t>
            </w:r>
          </w:p>
        </w:tc>
      </w:tr>
      <w:tr w:rsidR="000C48DC" w:rsidTr="00CC70DD">
        <w:tc>
          <w:tcPr>
            <w:tcW w:w="2205" w:type="dxa"/>
            <w:shd w:val="clear" w:color="auto" w:fill="D6E3BC" w:themeFill="accent3" w:themeFillTint="66"/>
            <w:vAlign w:val="center"/>
          </w:tcPr>
          <w:p w:rsidR="000C48DC" w:rsidRDefault="000C48DC" w:rsidP="00AD7496">
            <w:pPr>
              <w:pStyle w:val="Sansinterligne"/>
              <w:jc w:val="center"/>
            </w:pPr>
            <w:r>
              <w:t>Hémochromatose héréditaire</w:t>
            </w:r>
          </w:p>
        </w:tc>
        <w:tc>
          <w:tcPr>
            <w:tcW w:w="2298" w:type="dxa"/>
          </w:tcPr>
          <w:p w:rsidR="000C48DC" w:rsidRDefault="007A25F0" w:rsidP="007A25F0">
            <w:pPr>
              <w:pStyle w:val="Sansinterligne"/>
            </w:pPr>
            <w:r>
              <w:t>Estimée à 5 : 1000</w:t>
            </w:r>
          </w:p>
          <w:p w:rsidR="007A25F0" w:rsidRDefault="007A25F0" w:rsidP="007A25F0">
            <w:pPr>
              <w:pStyle w:val="Sansinterligne"/>
            </w:pPr>
            <w:r w:rsidRPr="00D94935">
              <w:rPr>
                <w:u w:val="single"/>
              </w:rPr>
              <w:t>Caucasiens</w:t>
            </w:r>
            <w:r>
              <w:t xml:space="preserve"> surtout</w:t>
            </w:r>
          </w:p>
        </w:tc>
        <w:tc>
          <w:tcPr>
            <w:tcW w:w="3118" w:type="dxa"/>
          </w:tcPr>
          <w:p w:rsidR="000C48DC" w:rsidRDefault="000C48DC" w:rsidP="005D429F">
            <w:pPr>
              <w:pStyle w:val="Sansinterligne"/>
              <w:numPr>
                <w:ilvl w:val="0"/>
                <w:numId w:val="1067"/>
              </w:numPr>
            </w:pPr>
            <w:r>
              <w:t>Faiblesse</w:t>
            </w:r>
            <w:r w:rsidR="007A25F0">
              <w:t xml:space="preserve"> / léthargie</w:t>
            </w:r>
          </w:p>
          <w:p w:rsidR="000C48DC" w:rsidRDefault="000C48DC" w:rsidP="005D429F">
            <w:pPr>
              <w:pStyle w:val="Sansinterligne"/>
              <w:numPr>
                <w:ilvl w:val="0"/>
                <w:numId w:val="1067"/>
              </w:numPr>
            </w:pPr>
            <w:r>
              <w:t>Diabète</w:t>
            </w:r>
          </w:p>
          <w:p w:rsidR="000C48DC" w:rsidRDefault="000C48DC" w:rsidP="005D429F">
            <w:pPr>
              <w:pStyle w:val="Sansinterligne"/>
              <w:numPr>
                <w:ilvl w:val="0"/>
                <w:numId w:val="1067"/>
              </w:numPr>
            </w:pPr>
            <w:r>
              <w:t>Dysfonction hépatique</w:t>
            </w:r>
          </w:p>
          <w:p w:rsidR="000C48DC" w:rsidRDefault="000C48DC" w:rsidP="005D429F">
            <w:pPr>
              <w:pStyle w:val="Sansinterligne"/>
              <w:numPr>
                <w:ilvl w:val="0"/>
                <w:numId w:val="1067"/>
              </w:numPr>
            </w:pPr>
            <w:r>
              <w:t>Arthralgies</w:t>
            </w:r>
          </w:p>
          <w:p w:rsidR="000C48DC" w:rsidRDefault="000C48DC" w:rsidP="005D429F">
            <w:pPr>
              <w:pStyle w:val="Sansinterligne"/>
              <w:numPr>
                <w:ilvl w:val="0"/>
                <w:numId w:val="1067"/>
              </w:numPr>
            </w:pPr>
            <w:r>
              <w:t>Impuissances sexuelle (</w:t>
            </w:r>
            <w:r>
              <w:rPr>
                <w:rFonts w:ascii="Century Gothic" w:hAnsi="Century Gothic"/>
              </w:rPr>
              <w:t>♂</w:t>
            </w:r>
            <w:r>
              <w:t>)</w:t>
            </w:r>
          </w:p>
        </w:tc>
        <w:tc>
          <w:tcPr>
            <w:tcW w:w="3395" w:type="dxa"/>
          </w:tcPr>
          <w:p w:rsidR="000C48DC" w:rsidRDefault="000C48DC" w:rsidP="005D429F">
            <w:pPr>
              <w:pStyle w:val="Sansinterligne"/>
              <w:numPr>
                <w:ilvl w:val="0"/>
                <w:numId w:val="1067"/>
              </w:numPr>
            </w:pPr>
            <w:r>
              <w:t>Hyperpigmentation (bronzé)</w:t>
            </w:r>
          </w:p>
          <w:p w:rsidR="000C48DC" w:rsidRDefault="000C48DC" w:rsidP="005D429F">
            <w:pPr>
              <w:pStyle w:val="Sansinterligne"/>
              <w:numPr>
                <w:ilvl w:val="0"/>
                <w:numId w:val="1067"/>
              </w:numPr>
            </w:pPr>
            <w:r>
              <w:t>Hépatomégalie</w:t>
            </w:r>
          </w:p>
        </w:tc>
      </w:tr>
      <w:tr w:rsidR="002D6571" w:rsidTr="002C2891">
        <w:tc>
          <w:tcPr>
            <w:tcW w:w="2205" w:type="dxa"/>
            <w:shd w:val="clear" w:color="auto" w:fill="D6E3BC" w:themeFill="accent3" w:themeFillTint="66"/>
            <w:vAlign w:val="center"/>
          </w:tcPr>
          <w:p w:rsidR="002D6571" w:rsidRPr="004D430F" w:rsidRDefault="006776B2" w:rsidP="00AD7496">
            <w:pPr>
              <w:pStyle w:val="Sansinterligne"/>
              <w:jc w:val="center"/>
              <w:rPr>
                <w:b/>
              </w:rPr>
            </w:pPr>
            <w:r w:rsidRPr="004D430F">
              <w:rPr>
                <w:b/>
              </w:rPr>
              <w:t>Anémie falciforme</w:t>
            </w:r>
          </w:p>
        </w:tc>
        <w:tc>
          <w:tcPr>
            <w:tcW w:w="2298" w:type="dxa"/>
            <w:shd w:val="clear" w:color="auto" w:fill="FFFF00"/>
          </w:tcPr>
          <w:p w:rsidR="00552B20" w:rsidRDefault="00552B20" w:rsidP="00A17D9E">
            <w:pPr>
              <w:pStyle w:val="Sansinterligne"/>
            </w:pPr>
            <w:r>
              <w:t>8% des noirs sont hétérozygotes pour l’AF</w:t>
            </w:r>
          </w:p>
          <w:p w:rsidR="002D6571" w:rsidRPr="0047609A" w:rsidRDefault="00552B20" w:rsidP="00A17D9E">
            <w:pPr>
              <w:pStyle w:val="Sansinterligne"/>
              <w:rPr>
                <w:u w:val="single"/>
              </w:rPr>
            </w:pPr>
            <w:r w:rsidRPr="0047609A">
              <w:rPr>
                <w:u w:val="single"/>
              </w:rPr>
              <w:t>Noirs</w:t>
            </w:r>
          </w:p>
          <w:p w:rsidR="00661CF5" w:rsidRPr="0047609A" w:rsidRDefault="00661CF5" w:rsidP="00C331C7">
            <w:pPr>
              <w:pStyle w:val="Sansinterligne"/>
              <w:rPr>
                <w:u w:val="single"/>
              </w:rPr>
            </w:pPr>
            <w:r w:rsidRPr="0047609A">
              <w:rPr>
                <w:u w:val="single"/>
              </w:rPr>
              <w:t>Afrique Subsaharienne</w:t>
            </w:r>
          </w:p>
          <w:p w:rsidR="00661CF5" w:rsidRPr="0047609A" w:rsidRDefault="00661CF5" w:rsidP="00C331C7">
            <w:pPr>
              <w:pStyle w:val="Sansinterligne"/>
              <w:rPr>
                <w:u w:val="single"/>
              </w:rPr>
            </w:pPr>
            <w:r w:rsidRPr="0047609A">
              <w:rPr>
                <w:u w:val="single"/>
              </w:rPr>
              <w:t>Grèce</w:t>
            </w:r>
          </w:p>
          <w:p w:rsidR="00661CF5" w:rsidRPr="0047609A" w:rsidRDefault="00661CF5" w:rsidP="00C331C7">
            <w:pPr>
              <w:pStyle w:val="Sansinterligne"/>
              <w:rPr>
                <w:u w:val="single"/>
              </w:rPr>
            </w:pPr>
            <w:r w:rsidRPr="0047609A">
              <w:rPr>
                <w:u w:val="single"/>
              </w:rPr>
              <w:t>Moyen-Orient</w:t>
            </w:r>
            <w:r w:rsidR="00552B20" w:rsidRPr="0047609A">
              <w:rPr>
                <w:u w:val="single"/>
              </w:rPr>
              <w:t xml:space="preserve"> et Inde</w:t>
            </w:r>
          </w:p>
          <w:p w:rsidR="00552B20" w:rsidRPr="0047609A" w:rsidRDefault="00552B20" w:rsidP="00C331C7">
            <w:pPr>
              <w:pStyle w:val="Sansinterligne"/>
              <w:rPr>
                <w:u w:val="single"/>
              </w:rPr>
            </w:pPr>
            <w:r w:rsidRPr="0047609A">
              <w:rPr>
                <w:u w:val="single"/>
              </w:rPr>
              <w:t>Caraïbes</w:t>
            </w:r>
          </w:p>
          <w:p w:rsidR="00552B20" w:rsidRDefault="009E528E" w:rsidP="00C331C7">
            <w:pPr>
              <w:pStyle w:val="Sansinterligne"/>
            </w:pPr>
            <w:r w:rsidRPr="0047609A">
              <w:rPr>
                <w:u w:val="single"/>
              </w:rPr>
              <w:t>Latino-Américains</w:t>
            </w:r>
          </w:p>
        </w:tc>
        <w:tc>
          <w:tcPr>
            <w:tcW w:w="3118" w:type="dxa"/>
            <w:shd w:val="clear" w:color="auto" w:fill="FFFF00"/>
          </w:tcPr>
          <w:p w:rsidR="00C331C7" w:rsidRDefault="00C331C7" w:rsidP="005D429F">
            <w:pPr>
              <w:pStyle w:val="Sansinterligne"/>
              <w:numPr>
                <w:ilvl w:val="0"/>
                <w:numId w:val="1068"/>
              </w:numPr>
            </w:pPr>
            <w:r>
              <w:t>Anémie</w:t>
            </w:r>
          </w:p>
          <w:p w:rsidR="002D6571" w:rsidRDefault="00C331C7" w:rsidP="005D429F">
            <w:pPr>
              <w:pStyle w:val="Sansinterligne"/>
              <w:numPr>
                <w:ilvl w:val="0"/>
                <w:numId w:val="1068"/>
              </w:numPr>
            </w:pPr>
            <w:r>
              <w:t>Dactylite (douleur aigue au doigt)</w:t>
            </w:r>
          </w:p>
          <w:p w:rsidR="00C331C7" w:rsidRDefault="00C331C7" w:rsidP="005D429F">
            <w:pPr>
              <w:pStyle w:val="Sansinterligne"/>
              <w:numPr>
                <w:ilvl w:val="0"/>
                <w:numId w:val="1068"/>
              </w:numPr>
            </w:pPr>
            <w:r>
              <w:t>Priapisme</w:t>
            </w:r>
          </w:p>
          <w:p w:rsidR="00C331C7" w:rsidRDefault="00C331C7" w:rsidP="005D429F">
            <w:pPr>
              <w:pStyle w:val="Sansinterligne"/>
              <w:numPr>
                <w:ilvl w:val="0"/>
                <w:numId w:val="1068"/>
              </w:numPr>
            </w:pPr>
            <w:r>
              <w:t>AVC</w:t>
            </w:r>
          </w:p>
          <w:p w:rsidR="00C331C7" w:rsidRDefault="00C331C7" w:rsidP="005D429F">
            <w:pPr>
              <w:pStyle w:val="Sansinterligne"/>
              <w:numPr>
                <w:ilvl w:val="0"/>
                <w:numId w:val="1068"/>
              </w:numPr>
            </w:pPr>
            <w:r>
              <w:t>DRS</w:t>
            </w:r>
          </w:p>
          <w:p w:rsidR="00C331C7" w:rsidRDefault="00C331C7" w:rsidP="005D429F">
            <w:pPr>
              <w:pStyle w:val="Sansinterligne"/>
              <w:numPr>
                <w:ilvl w:val="0"/>
                <w:numId w:val="1068"/>
              </w:numPr>
            </w:pPr>
            <w:r>
              <w:t>Retard de croissance</w:t>
            </w:r>
          </w:p>
          <w:p w:rsidR="00C331C7" w:rsidRDefault="00C331C7" w:rsidP="005D429F">
            <w:pPr>
              <w:pStyle w:val="Sansinterligne"/>
              <w:numPr>
                <w:ilvl w:val="0"/>
                <w:numId w:val="1068"/>
              </w:numPr>
            </w:pPr>
            <w:r>
              <w:t>Etc.</w:t>
            </w:r>
          </w:p>
        </w:tc>
        <w:tc>
          <w:tcPr>
            <w:tcW w:w="3395" w:type="dxa"/>
            <w:shd w:val="clear" w:color="auto" w:fill="FFFF00"/>
          </w:tcPr>
          <w:p w:rsidR="002D6571" w:rsidRDefault="00C331C7" w:rsidP="005D429F">
            <w:pPr>
              <w:pStyle w:val="Sansinterligne"/>
              <w:numPr>
                <w:ilvl w:val="0"/>
                <w:numId w:val="1068"/>
              </w:numPr>
            </w:pPr>
            <w:r>
              <w:t>Fièvre</w:t>
            </w:r>
          </w:p>
          <w:p w:rsidR="00C331C7" w:rsidRDefault="00C331C7" w:rsidP="005D429F">
            <w:pPr>
              <w:pStyle w:val="Sansinterligne"/>
              <w:numPr>
                <w:ilvl w:val="0"/>
                <w:numId w:val="1068"/>
              </w:numPr>
            </w:pPr>
            <w:r>
              <w:t>Ictère</w:t>
            </w:r>
          </w:p>
          <w:p w:rsidR="00C331C7" w:rsidRDefault="00C331C7" w:rsidP="005D429F">
            <w:pPr>
              <w:pStyle w:val="Sansinterligne"/>
              <w:numPr>
                <w:ilvl w:val="0"/>
                <w:numId w:val="1068"/>
              </w:numPr>
            </w:pPr>
            <w:r>
              <w:t>Splénomégalie</w:t>
            </w:r>
          </w:p>
        </w:tc>
      </w:tr>
      <w:tr w:rsidR="00661CF5" w:rsidTr="00CC70DD">
        <w:tc>
          <w:tcPr>
            <w:tcW w:w="2205" w:type="dxa"/>
            <w:shd w:val="clear" w:color="auto" w:fill="D6E3BC" w:themeFill="accent3" w:themeFillTint="66"/>
            <w:vAlign w:val="center"/>
          </w:tcPr>
          <w:p w:rsidR="00661CF5" w:rsidRDefault="00661CF5" w:rsidP="00AD7496">
            <w:pPr>
              <w:pStyle w:val="Sansinterligne"/>
              <w:jc w:val="center"/>
              <w:rPr>
                <w:rFonts w:cs="Times New Roman"/>
              </w:rPr>
            </w:pPr>
            <w:r>
              <w:rPr>
                <w:rFonts w:ascii="Century Gothic" w:hAnsi="Century Gothic" w:cs="Times New Roman"/>
              </w:rPr>
              <w:t>α</w:t>
            </w:r>
            <w:r>
              <w:rPr>
                <w:rFonts w:cs="Times New Roman"/>
              </w:rPr>
              <w:t>-thalassémie</w:t>
            </w:r>
          </w:p>
        </w:tc>
        <w:tc>
          <w:tcPr>
            <w:tcW w:w="2298" w:type="dxa"/>
          </w:tcPr>
          <w:p w:rsidR="00661CF5" w:rsidRDefault="00661CF5" w:rsidP="00661CF5">
            <w:pPr>
              <w:pStyle w:val="Sansinterligne"/>
            </w:pPr>
            <w:r w:rsidRPr="0047609A">
              <w:rPr>
                <w:u w:val="single"/>
              </w:rPr>
              <w:t>Asiatiques</w:t>
            </w:r>
            <w:r>
              <w:t xml:space="preserve"> et </w:t>
            </w:r>
            <w:r w:rsidRPr="0047609A">
              <w:rPr>
                <w:u w:val="single"/>
              </w:rPr>
              <w:t>Africains</w:t>
            </w:r>
          </w:p>
        </w:tc>
        <w:tc>
          <w:tcPr>
            <w:tcW w:w="3118" w:type="dxa"/>
          </w:tcPr>
          <w:p w:rsidR="00661CF5" w:rsidRDefault="00661CF5" w:rsidP="005D429F">
            <w:pPr>
              <w:pStyle w:val="Sansinterligne"/>
              <w:numPr>
                <w:ilvl w:val="0"/>
                <w:numId w:val="1069"/>
              </w:numPr>
            </w:pPr>
            <w:r>
              <w:t>Anémie</w:t>
            </w:r>
          </w:p>
        </w:tc>
        <w:tc>
          <w:tcPr>
            <w:tcW w:w="3395" w:type="dxa"/>
          </w:tcPr>
          <w:p w:rsidR="00661CF5" w:rsidRDefault="00661CF5" w:rsidP="005D429F">
            <w:pPr>
              <w:pStyle w:val="Sansinterligne"/>
              <w:numPr>
                <w:ilvl w:val="0"/>
                <w:numId w:val="1069"/>
              </w:numPr>
            </w:pPr>
            <w:r>
              <w:t>Splénomégalie (parfois)</w:t>
            </w:r>
          </w:p>
          <w:p w:rsidR="00661CF5" w:rsidRDefault="00661CF5" w:rsidP="005D429F">
            <w:pPr>
              <w:pStyle w:val="Sansinterligne"/>
              <w:numPr>
                <w:ilvl w:val="0"/>
                <w:numId w:val="1069"/>
              </w:numPr>
            </w:pPr>
            <w:r>
              <w:t>Hydrops fœtal (parfois)</w:t>
            </w:r>
          </w:p>
        </w:tc>
      </w:tr>
      <w:tr w:rsidR="002D6571" w:rsidTr="00CC70DD">
        <w:tc>
          <w:tcPr>
            <w:tcW w:w="2205" w:type="dxa"/>
            <w:shd w:val="clear" w:color="auto" w:fill="D6E3BC" w:themeFill="accent3" w:themeFillTint="66"/>
            <w:vAlign w:val="center"/>
          </w:tcPr>
          <w:p w:rsidR="002D6571" w:rsidRDefault="00A25CC3" w:rsidP="00AD7496">
            <w:pPr>
              <w:pStyle w:val="Sansinterligne"/>
              <w:jc w:val="center"/>
            </w:pPr>
            <w:r>
              <w:rPr>
                <w:rFonts w:cs="Times New Roman"/>
              </w:rPr>
              <w:t>β</w:t>
            </w:r>
            <w:r>
              <w:t>-</w:t>
            </w:r>
            <w:r w:rsidR="006776B2">
              <w:t>Thalassémie</w:t>
            </w:r>
            <w:r>
              <w:t xml:space="preserve"> mineure</w:t>
            </w:r>
          </w:p>
        </w:tc>
        <w:tc>
          <w:tcPr>
            <w:tcW w:w="2298" w:type="dxa"/>
          </w:tcPr>
          <w:p w:rsidR="0047609A" w:rsidRDefault="0047609A" w:rsidP="00A17D9E">
            <w:pPr>
              <w:pStyle w:val="Sansinterligne"/>
            </w:pPr>
            <w:r>
              <w:t>Hétérozygote</w:t>
            </w:r>
          </w:p>
          <w:p w:rsidR="002D6571" w:rsidRDefault="00A25CC3" w:rsidP="00A17D9E">
            <w:pPr>
              <w:pStyle w:val="Sansinterligne"/>
            </w:pPr>
            <w:r>
              <w:t xml:space="preserve">Fréquent chez </w:t>
            </w:r>
            <w:r w:rsidRPr="0047609A">
              <w:rPr>
                <w:u w:val="single"/>
              </w:rPr>
              <w:t>Méditerranéens</w:t>
            </w:r>
            <w:r>
              <w:t xml:space="preserve"> et </w:t>
            </w:r>
            <w:r w:rsidRPr="0047609A">
              <w:rPr>
                <w:u w:val="single"/>
              </w:rPr>
              <w:t>descendants Asiatiques</w:t>
            </w:r>
          </w:p>
        </w:tc>
        <w:tc>
          <w:tcPr>
            <w:tcW w:w="3118" w:type="dxa"/>
          </w:tcPr>
          <w:p w:rsidR="002D6571" w:rsidRDefault="00A25CC3" w:rsidP="005D429F">
            <w:pPr>
              <w:pStyle w:val="Sansinterligne"/>
              <w:numPr>
                <w:ilvl w:val="0"/>
                <w:numId w:val="1069"/>
              </w:numPr>
            </w:pPr>
            <w:r>
              <w:t>Anémie</w:t>
            </w:r>
          </w:p>
        </w:tc>
        <w:tc>
          <w:tcPr>
            <w:tcW w:w="3395" w:type="dxa"/>
          </w:tcPr>
          <w:p w:rsidR="002D6571" w:rsidRDefault="002D6571" w:rsidP="00C63EB9">
            <w:pPr>
              <w:pStyle w:val="Sansinterligne"/>
              <w:ind w:left="360"/>
            </w:pPr>
          </w:p>
        </w:tc>
      </w:tr>
      <w:tr w:rsidR="002D6571" w:rsidTr="00CC70DD">
        <w:tc>
          <w:tcPr>
            <w:tcW w:w="2205" w:type="dxa"/>
            <w:shd w:val="clear" w:color="auto" w:fill="D6E3BC" w:themeFill="accent3" w:themeFillTint="66"/>
            <w:vAlign w:val="center"/>
          </w:tcPr>
          <w:p w:rsidR="002D6571" w:rsidRDefault="00A25CC3" w:rsidP="00AD7496">
            <w:pPr>
              <w:pStyle w:val="Sansinterligne"/>
              <w:jc w:val="center"/>
            </w:pPr>
            <w:r>
              <w:rPr>
                <w:rFonts w:cs="Times New Roman"/>
              </w:rPr>
              <w:t>β</w:t>
            </w:r>
            <w:r>
              <w:t>-Thalassémie majeure</w:t>
            </w:r>
          </w:p>
        </w:tc>
        <w:tc>
          <w:tcPr>
            <w:tcW w:w="2298" w:type="dxa"/>
          </w:tcPr>
          <w:p w:rsidR="0047609A" w:rsidRDefault="0047609A" w:rsidP="00A17D9E">
            <w:pPr>
              <w:pStyle w:val="Sansinterligne"/>
            </w:pPr>
            <w:r>
              <w:t>Homozygote</w:t>
            </w:r>
          </w:p>
          <w:p w:rsidR="002D6571" w:rsidRDefault="0047609A" w:rsidP="00A17D9E">
            <w:pPr>
              <w:pStyle w:val="Sansinterligne"/>
            </w:pPr>
            <w:r>
              <w:t>Populations i</w:t>
            </w:r>
            <w:r w:rsidR="00661CF5">
              <w:t>dem que mineure</w:t>
            </w:r>
          </w:p>
          <w:p w:rsidR="0047609A" w:rsidRDefault="0047609A" w:rsidP="00A17D9E">
            <w:pPr>
              <w:pStyle w:val="Sansinterligne"/>
            </w:pPr>
          </w:p>
        </w:tc>
        <w:tc>
          <w:tcPr>
            <w:tcW w:w="3118" w:type="dxa"/>
          </w:tcPr>
          <w:p w:rsidR="002D6571" w:rsidRDefault="00A25CC3" w:rsidP="005D429F">
            <w:pPr>
              <w:pStyle w:val="Sansinterligne"/>
              <w:numPr>
                <w:ilvl w:val="0"/>
                <w:numId w:val="1069"/>
              </w:numPr>
            </w:pPr>
            <w:r>
              <w:t>Anémie sévère</w:t>
            </w:r>
          </w:p>
          <w:p w:rsidR="00A25CC3" w:rsidRDefault="00A25CC3" w:rsidP="005D429F">
            <w:pPr>
              <w:pStyle w:val="Sansinterligne"/>
              <w:numPr>
                <w:ilvl w:val="0"/>
                <w:numId w:val="1069"/>
              </w:numPr>
            </w:pPr>
            <w:r>
              <w:t>Croissance arrêtée</w:t>
            </w:r>
          </w:p>
          <w:p w:rsidR="00661CF5" w:rsidRDefault="00661CF5" w:rsidP="00A17D9E">
            <w:pPr>
              <w:pStyle w:val="Sansinterligne"/>
            </w:pPr>
          </w:p>
        </w:tc>
        <w:tc>
          <w:tcPr>
            <w:tcW w:w="3395" w:type="dxa"/>
          </w:tcPr>
          <w:p w:rsidR="002D6571" w:rsidRDefault="00A25CC3" w:rsidP="005D429F">
            <w:pPr>
              <w:pStyle w:val="Sansinterligne"/>
              <w:numPr>
                <w:ilvl w:val="0"/>
                <w:numId w:val="1069"/>
              </w:numPr>
            </w:pPr>
            <w:r>
              <w:t>Ictère</w:t>
            </w:r>
          </w:p>
          <w:p w:rsidR="00661CF5" w:rsidRDefault="00661CF5" w:rsidP="005D429F">
            <w:pPr>
              <w:pStyle w:val="Sansinterligne"/>
              <w:numPr>
                <w:ilvl w:val="0"/>
                <w:numId w:val="1069"/>
              </w:numPr>
            </w:pPr>
            <w:r>
              <w:t>Hépatosplénomégalie</w:t>
            </w:r>
          </w:p>
        </w:tc>
      </w:tr>
      <w:tr w:rsidR="002A374C" w:rsidTr="001F0735">
        <w:tc>
          <w:tcPr>
            <w:tcW w:w="2205" w:type="dxa"/>
            <w:shd w:val="clear" w:color="auto" w:fill="D6E3BC" w:themeFill="accent3" w:themeFillTint="66"/>
            <w:vAlign w:val="center"/>
          </w:tcPr>
          <w:p w:rsidR="002A374C" w:rsidRPr="004D430F" w:rsidRDefault="002A374C" w:rsidP="00AD7496">
            <w:pPr>
              <w:pStyle w:val="Sansinterligne"/>
              <w:jc w:val="center"/>
              <w:rPr>
                <w:rFonts w:cs="Times New Roman"/>
                <w:b/>
              </w:rPr>
            </w:pPr>
            <w:r w:rsidRPr="004D430F">
              <w:rPr>
                <w:rFonts w:cs="Times New Roman"/>
                <w:b/>
              </w:rPr>
              <w:t>Fibrose kystique du pancréas</w:t>
            </w:r>
          </w:p>
        </w:tc>
        <w:tc>
          <w:tcPr>
            <w:tcW w:w="2298" w:type="dxa"/>
            <w:shd w:val="clear" w:color="auto" w:fill="FFFF00"/>
          </w:tcPr>
          <w:p w:rsidR="002A374C" w:rsidRDefault="002A374C" w:rsidP="00A17D9E">
            <w:pPr>
              <w:pStyle w:val="Sansinterligne"/>
            </w:pPr>
            <w:r>
              <w:t>1 :4000-6000</w:t>
            </w:r>
          </w:p>
          <w:p w:rsidR="002A374C" w:rsidRDefault="002A374C" w:rsidP="00A17D9E">
            <w:pPr>
              <w:pStyle w:val="Sansinterligne"/>
            </w:pPr>
            <w:r>
              <w:t>Porteur sain 1 :20 chez</w:t>
            </w:r>
          </w:p>
          <w:p w:rsidR="002A374C" w:rsidRPr="002A374C" w:rsidRDefault="002A374C" w:rsidP="00A17D9E">
            <w:pPr>
              <w:pStyle w:val="Sansinterligne"/>
              <w:rPr>
                <w:u w:val="single"/>
              </w:rPr>
            </w:pPr>
            <w:r w:rsidRPr="002A374C">
              <w:rPr>
                <w:u w:val="single"/>
              </w:rPr>
              <w:t>Nord-Européens</w:t>
            </w:r>
            <w:r>
              <w:t xml:space="preserve"> (</w:t>
            </w:r>
            <w:r w:rsidRPr="002A374C">
              <w:t>QC)</w:t>
            </w:r>
          </w:p>
          <w:p w:rsidR="002A374C" w:rsidRDefault="002A374C" w:rsidP="00A17D9E">
            <w:pPr>
              <w:pStyle w:val="Sansinterligne"/>
            </w:pPr>
            <w:r w:rsidRPr="002A374C">
              <w:rPr>
                <w:u w:val="single"/>
              </w:rPr>
              <w:t>Juifs Ashkénaze</w:t>
            </w:r>
          </w:p>
        </w:tc>
        <w:tc>
          <w:tcPr>
            <w:tcW w:w="3118" w:type="dxa"/>
            <w:shd w:val="clear" w:color="auto" w:fill="FFFF00"/>
          </w:tcPr>
          <w:p w:rsidR="002A374C" w:rsidRDefault="002A374C" w:rsidP="005D429F">
            <w:pPr>
              <w:pStyle w:val="Sansinterligne"/>
              <w:numPr>
                <w:ilvl w:val="0"/>
                <w:numId w:val="1069"/>
              </w:numPr>
            </w:pPr>
            <w:r>
              <w:t>Iléus méconial</w:t>
            </w:r>
          </w:p>
          <w:p w:rsidR="002A374C" w:rsidRDefault="002A374C" w:rsidP="005D429F">
            <w:pPr>
              <w:pStyle w:val="Sansinterligne"/>
              <w:numPr>
                <w:ilvl w:val="0"/>
                <w:numId w:val="1069"/>
              </w:numPr>
            </w:pPr>
            <w:r>
              <w:t>Sx respiratoires chroniques</w:t>
            </w:r>
          </w:p>
          <w:p w:rsidR="002A374C" w:rsidRDefault="002A374C" w:rsidP="005D429F">
            <w:pPr>
              <w:pStyle w:val="Sansinterligne"/>
              <w:numPr>
                <w:ilvl w:val="0"/>
                <w:numId w:val="1069"/>
              </w:numPr>
            </w:pPr>
            <w:r>
              <w:t>Retard de croissance</w:t>
            </w:r>
          </w:p>
          <w:p w:rsidR="002A374C" w:rsidRDefault="002A374C" w:rsidP="005D429F">
            <w:pPr>
              <w:pStyle w:val="Sansinterligne"/>
              <w:numPr>
                <w:ilvl w:val="0"/>
                <w:numId w:val="1069"/>
              </w:numPr>
            </w:pPr>
            <w:r>
              <w:t>Hx familiale +</w:t>
            </w:r>
          </w:p>
        </w:tc>
        <w:tc>
          <w:tcPr>
            <w:tcW w:w="3395" w:type="dxa"/>
            <w:shd w:val="clear" w:color="auto" w:fill="FFFF00"/>
          </w:tcPr>
          <w:p w:rsidR="002A374C" w:rsidRDefault="002A374C" w:rsidP="005D429F">
            <w:pPr>
              <w:pStyle w:val="Sansinterligne"/>
              <w:numPr>
                <w:ilvl w:val="0"/>
                <w:numId w:val="1069"/>
              </w:numPr>
            </w:pPr>
            <w:r>
              <w:t>Ictère choléstatique</w:t>
            </w:r>
          </w:p>
          <w:p w:rsidR="002A374C" w:rsidRDefault="002A374C" w:rsidP="005D429F">
            <w:pPr>
              <w:pStyle w:val="Sansinterligne"/>
              <w:numPr>
                <w:ilvl w:val="0"/>
                <w:numId w:val="1069"/>
              </w:numPr>
            </w:pPr>
            <w:r>
              <w:t xml:space="preserve">Peau à goût salé </w:t>
            </w:r>
          </w:p>
          <w:p w:rsidR="002A374C" w:rsidRDefault="002A374C" w:rsidP="005D429F">
            <w:pPr>
              <w:pStyle w:val="Sansinterligne"/>
              <w:numPr>
                <w:ilvl w:val="0"/>
                <w:numId w:val="1069"/>
              </w:numPr>
            </w:pPr>
            <w:r>
              <w:t>Stéatorrhée</w:t>
            </w:r>
          </w:p>
        </w:tc>
      </w:tr>
      <w:tr w:rsidR="00CC0F69" w:rsidTr="00CC0F69">
        <w:tc>
          <w:tcPr>
            <w:tcW w:w="2205" w:type="dxa"/>
            <w:shd w:val="clear" w:color="auto" w:fill="D6E3BC" w:themeFill="accent3" w:themeFillTint="66"/>
            <w:vAlign w:val="center"/>
          </w:tcPr>
          <w:p w:rsidR="00CC0F69" w:rsidRDefault="00CC0F69" w:rsidP="00AD7496">
            <w:pPr>
              <w:pStyle w:val="Sansinterligne"/>
              <w:jc w:val="center"/>
              <w:rPr>
                <w:rFonts w:cs="Times New Roman"/>
              </w:rPr>
            </w:pPr>
            <w:r>
              <w:rPr>
                <w:rFonts w:cs="Times New Roman"/>
              </w:rPr>
              <w:t>Neurofibromatose de type I</w:t>
            </w:r>
          </w:p>
        </w:tc>
        <w:tc>
          <w:tcPr>
            <w:tcW w:w="2298" w:type="dxa"/>
            <w:shd w:val="clear" w:color="auto" w:fill="auto"/>
          </w:tcPr>
          <w:p w:rsidR="00CC0F69" w:rsidRDefault="00CC0F69" w:rsidP="00A17D9E">
            <w:pPr>
              <w:pStyle w:val="Sansinterligne"/>
            </w:pPr>
            <w:r>
              <w:t>1 :3000</w:t>
            </w:r>
          </w:p>
          <w:p w:rsidR="003923F6" w:rsidRDefault="003923F6" w:rsidP="00A17D9E">
            <w:pPr>
              <w:pStyle w:val="Sansinterligne"/>
            </w:pPr>
            <w:r>
              <w:t>AD</w:t>
            </w:r>
          </w:p>
        </w:tc>
        <w:tc>
          <w:tcPr>
            <w:tcW w:w="3118" w:type="dxa"/>
            <w:shd w:val="clear" w:color="auto" w:fill="auto"/>
          </w:tcPr>
          <w:p w:rsidR="00CC0F69" w:rsidRDefault="003923F6" w:rsidP="005D429F">
            <w:pPr>
              <w:pStyle w:val="Sansinterligne"/>
              <w:numPr>
                <w:ilvl w:val="0"/>
                <w:numId w:val="1069"/>
              </w:numPr>
            </w:pPr>
            <w:r>
              <w:t>Déficit cognitif</w:t>
            </w:r>
          </w:p>
          <w:p w:rsidR="003923F6" w:rsidRDefault="003923F6" w:rsidP="005D429F">
            <w:pPr>
              <w:pStyle w:val="Sansinterligne"/>
              <w:numPr>
                <w:ilvl w:val="0"/>
                <w:numId w:val="1069"/>
              </w:numPr>
            </w:pPr>
            <w:r>
              <w:t>DI légère (parfois)</w:t>
            </w:r>
          </w:p>
        </w:tc>
        <w:tc>
          <w:tcPr>
            <w:tcW w:w="3395" w:type="dxa"/>
            <w:shd w:val="clear" w:color="auto" w:fill="auto"/>
          </w:tcPr>
          <w:p w:rsidR="00CC0F69" w:rsidRDefault="00CC0F69" w:rsidP="005D429F">
            <w:pPr>
              <w:pStyle w:val="Sansinterligne"/>
              <w:numPr>
                <w:ilvl w:val="0"/>
                <w:numId w:val="1069"/>
              </w:numPr>
            </w:pPr>
            <w:r>
              <w:t>Taches café-au-lait</w:t>
            </w:r>
          </w:p>
          <w:p w:rsidR="00CC0F69" w:rsidRDefault="00CC0F69" w:rsidP="005D429F">
            <w:pPr>
              <w:pStyle w:val="Sansinterligne"/>
              <w:numPr>
                <w:ilvl w:val="0"/>
                <w:numId w:val="1069"/>
              </w:numPr>
            </w:pPr>
            <w:r>
              <w:t>Éphélides axillaires/inguinaux</w:t>
            </w:r>
          </w:p>
          <w:p w:rsidR="00CC0F69" w:rsidRDefault="00CC0F69" w:rsidP="005D429F">
            <w:pPr>
              <w:pStyle w:val="Sansinterligne"/>
              <w:numPr>
                <w:ilvl w:val="0"/>
                <w:numId w:val="1069"/>
              </w:numPr>
            </w:pPr>
            <w:r>
              <w:t>Neurofibromes</w:t>
            </w:r>
          </w:p>
          <w:p w:rsidR="00CC0F69" w:rsidRDefault="00CC0F69" w:rsidP="005D429F">
            <w:pPr>
              <w:pStyle w:val="Sansinterligne"/>
              <w:numPr>
                <w:ilvl w:val="0"/>
                <w:numId w:val="1069"/>
              </w:numPr>
            </w:pPr>
            <w:r>
              <w:t>Nodules de Lisch (iris)</w:t>
            </w:r>
          </w:p>
          <w:p w:rsidR="00CC0F69" w:rsidRDefault="00CC0F69" w:rsidP="00180343">
            <w:pPr>
              <w:pStyle w:val="Sansinterligne"/>
              <w:numPr>
                <w:ilvl w:val="0"/>
                <w:numId w:val="1069"/>
              </w:numPr>
            </w:pPr>
            <w:r>
              <w:t>Macr</w:t>
            </w:r>
            <w:r w:rsidR="00180343">
              <w:t>o</w:t>
            </w:r>
            <w:r>
              <w:t>rânie</w:t>
            </w:r>
          </w:p>
        </w:tc>
      </w:tr>
      <w:tr w:rsidR="00CC0F69" w:rsidTr="00CC0F69">
        <w:tc>
          <w:tcPr>
            <w:tcW w:w="2205" w:type="dxa"/>
            <w:shd w:val="clear" w:color="auto" w:fill="D6E3BC" w:themeFill="accent3" w:themeFillTint="66"/>
            <w:vAlign w:val="center"/>
          </w:tcPr>
          <w:p w:rsidR="00CC0F69" w:rsidRDefault="00CC0F69" w:rsidP="00AD7496">
            <w:pPr>
              <w:pStyle w:val="Sansinterligne"/>
              <w:jc w:val="center"/>
              <w:rPr>
                <w:rFonts w:cs="Times New Roman"/>
              </w:rPr>
            </w:pPr>
            <w:r>
              <w:rPr>
                <w:rFonts w:cs="Times New Roman"/>
              </w:rPr>
              <w:t>Sclérose tubéreuse de Bourneville</w:t>
            </w:r>
          </w:p>
        </w:tc>
        <w:tc>
          <w:tcPr>
            <w:tcW w:w="2298" w:type="dxa"/>
            <w:shd w:val="clear" w:color="auto" w:fill="auto"/>
          </w:tcPr>
          <w:p w:rsidR="00CC0F69" w:rsidRDefault="003923F6" w:rsidP="00A17D9E">
            <w:pPr>
              <w:pStyle w:val="Sansinterligne"/>
            </w:pPr>
            <w:r>
              <w:t>AD</w:t>
            </w:r>
          </w:p>
        </w:tc>
        <w:tc>
          <w:tcPr>
            <w:tcW w:w="3118" w:type="dxa"/>
            <w:shd w:val="clear" w:color="auto" w:fill="auto"/>
          </w:tcPr>
          <w:p w:rsidR="00CC0F69" w:rsidRDefault="003923F6" w:rsidP="005D429F">
            <w:pPr>
              <w:pStyle w:val="Sansinterligne"/>
              <w:numPr>
                <w:ilvl w:val="0"/>
                <w:numId w:val="1069"/>
              </w:numPr>
            </w:pPr>
            <w:r>
              <w:t>Convulsions réfractaires</w:t>
            </w:r>
          </w:p>
          <w:p w:rsidR="003923F6" w:rsidRDefault="003923F6" w:rsidP="005D429F">
            <w:pPr>
              <w:pStyle w:val="Sansinterligne"/>
              <w:numPr>
                <w:ilvl w:val="0"/>
                <w:numId w:val="1069"/>
              </w:numPr>
            </w:pPr>
            <w:r>
              <w:t>DI</w:t>
            </w:r>
          </w:p>
        </w:tc>
        <w:tc>
          <w:tcPr>
            <w:tcW w:w="3395" w:type="dxa"/>
            <w:shd w:val="clear" w:color="auto" w:fill="auto"/>
          </w:tcPr>
          <w:p w:rsidR="00CC0F69" w:rsidRDefault="00CC0F69" w:rsidP="005D429F">
            <w:pPr>
              <w:pStyle w:val="Sansinterligne"/>
              <w:numPr>
                <w:ilvl w:val="0"/>
                <w:numId w:val="1069"/>
              </w:numPr>
            </w:pPr>
            <w:r>
              <w:t>Taches dépigmentées</w:t>
            </w:r>
          </w:p>
          <w:p w:rsidR="003923F6" w:rsidRDefault="003923F6" w:rsidP="005D429F">
            <w:pPr>
              <w:pStyle w:val="Sansinterligne"/>
              <w:numPr>
                <w:ilvl w:val="0"/>
                <w:numId w:val="1069"/>
              </w:numPr>
            </w:pPr>
            <w:r>
              <w:t>Fibromes gencives/sub-inguéal</w:t>
            </w:r>
          </w:p>
          <w:p w:rsidR="003923F6" w:rsidRDefault="003923F6" w:rsidP="005D429F">
            <w:pPr>
              <w:pStyle w:val="Sansinterligne"/>
              <w:numPr>
                <w:ilvl w:val="0"/>
                <w:numId w:val="1069"/>
              </w:numPr>
            </w:pPr>
            <w:r>
              <w:t>Angiofibromes des joues</w:t>
            </w:r>
          </w:p>
        </w:tc>
      </w:tr>
    </w:tbl>
    <w:p w:rsidR="004234C8" w:rsidRPr="008D3E6C" w:rsidRDefault="004234C8" w:rsidP="00A17D9E">
      <w:pPr>
        <w:pStyle w:val="Sansinterligne"/>
        <w:rPr>
          <w:sz w:val="16"/>
          <w:szCs w:val="16"/>
        </w:rPr>
      </w:pPr>
    </w:p>
    <w:p w:rsidR="006C6955" w:rsidRDefault="006C6955" w:rsidP="00A17D9E">
      <w:pPr>
        <w:pStyle w:val="Sansinterligne"/>
      </w:pPr>
      <w:r>
        <w:t xml:space="preserve">Pour les syndromes et infections congénitales fréquentes, voir </w:t>
      </w:r>
      <w:r w:rsidRPr="006C6955">
        <w:rPr>
          <w:i/>
        </w:rPr>
        <w:t>Anomalies congénitales, traits dysmorphiques CMC 36-2</w:t>
      </w:r>
    </w:p>
    <w:p w:rsidR="006C6955" w:rsidRPr="008D3E6C" w:rsidRDefault="006C6955" w:rsidP="00A17D9E">
      <w:pPr>
        <w:pStyle w:val="Sansinterligne"/>
        <w:rPr>
          <w:b/>
          <w:sz w:val="16"/>
          <w:szCs w:val="16"/>
        </w:rPr>
      </w:pPr>
    </w:p>
    <w:p w:rsidR="004234C8" w:rsidRPr="00E27499" w:rsidRDefault="004234C8" w:rsidP="00A17D9E">
      <w:pPr>
        <w:pStyle w:val="Sansinterligne"/>
        <w:rPr>
          <w:b/>
          <w:sz w:val="28"/>
          <w:szCs w:val="28"/>
        </w:rPr>
      </w:pPr>
      <w:r w:rsidRPr="00E27499">
        <w:rPr>
          <w:b/>
          <w:sz w:val="28"/>
          <w:szCs w:val="28"/>
        </w:rPr>
        <w:t>Investigations</w:t>
      </w:r>
    </w:p>
    <w:p w:rsidR="004234C8" w:rsidRDefault="004234C8" w:rsidP="00A17D9E">
      <w:pPr>
        <w:pStyle w:val="Sansinterligne"/>
      </w:pPr>
    </w:p>
    <w:p w:rsidR="00404C0C" w:rsidRDefault="00404C0C" w:rsidP="00A17D9E">
      <w:pPr>
        <w:pStyle w:val="Sansinterligne"/>
        <w:rPr>
          <w:b/>
        </w:rPr>
        <w:sectPr w:rsidR="00404C0C" w:rsidSect="00540770">
          <w:type w:val="continuous"/>
          <w:pgSz w:w="12240" w:h="15840"/>
          <w:pgMar w:top="720" w:right="720" w:bottom="720" w:left="720" w:header="708" w:footer="708" w:gutter="0"/>
          <w:cols w:space="708"/>
          <w:docGrid w:linePitch="360"/>
        </w:sectPr>
      </w:pPr>
    </w:p>
    <w:p w:rsidR="004234C8" w:rsidRPr="00936474" w:rsidRDefault="004234C8" w:rsidP="00A17D9E">
      <w:pPr>
        <w:pStyle w:val="Sansinterligne"/>
        <w:rPr>
          <w:b/>
          <w:highlight w:val="yellow"/>
        </w:rPr>
      </w:pPr>
      <w:r w:rsidRPr="00936474">
        <w:rPr>
          <w:b/>
          <w:highlight w:val="yellow"/>
        </w:rPr>
        <w:lastRenderedPageBreak/>
        <w:t>Dystrophie musculaire de Duchenne</w:t>
      </w:r>
      <w:r w:rsidR="003C6378" w:rsidRPr="00936474">
        <w:rPr>
          <w:b/>
          <w:highlight w:val="yellow"/>
        </w:rPr>
        <w:t xml:space="preserve"> et DMOP</w:t>
      </w:r>
    </w:p>
    <w:p w:rsidR="004234C8" w:rsidRPr="00936474" w:rsidRDefault="004234C8" w:rsidP="005D429F">
      <w:pPr>
        <w:pStyle w:val="Sansinterligne"/>
        <w:numPr>
          <w:ilvl w:val="0"/>
          <w:numId w:val="1076"/>
        </w:numPr>
        <w:rPr>
          <w:highlight w:val="yellow"/>
        </w:rPr>
      </w:pPr>
      <w:r w:rsidRPr="00936474">
        <w:rPr>
          <w:highlight w:val="yellow"/>
        </w:rPr>
        <w:t xml:space="preserve">Étude moléculaire du gène de la dystrophine </w:t>
      </w:r>
    </w:p>
    <w:p w:rsidR="004234C8" w:rsidRPr="00936474" w:rsidRDefault="004234C8" w:rsidP="005D429F">
      <w:pPr>
        <w:pStyle w:val="Sansinterligne"/>
        <w:numPr>
          <w:ilvl w:val="0"/>
          <w:numId w:val="1076"/>
        </w:numPr>
        <w:rPr>
          <w:highlight w:val="yellow"/>
        </w:rPr>
      </w:pPr>
      <w:r w:rsidRPr="00936474">
        <w:rPr>
          <w:highlight w:val="yellow"/>
        </w:rPr>
        <w:t>Pedigree familial</w:t>
      </w:r>
    </w:p>
    <w:p w:rsidR="004234C8" w:rsidRPr="00936474" w:rsidRDefault="004234C8" w:rsidP="005D429F">
      <w:pPr>
        <w:pStyle w:val="Sansinterligne"/>
        <w:numPr>
          <w:ilvl w:val="0"/>
          <w:numId w:val="1076"/>
        </w:numPr>
        <w:rPr>
          <w:highlight w:val="yellow"/>
        </w:rPr>
      </w:pPr>
      <w:r w:rsidRPr="00936474">
        <w:rPr>
          <w:highlight w:val="yellow"/>
        </w:rPr>
        <w:t xml:space="preserve">CK, LDH (très </w:t>
      </w:r>
      <w:r w:rsidRPr="00936474">
        <w:rPr>
          <w:rFonts w:ascii="Century Gothic" w:hAnsi="Century Gothic"/>
          <w:highlight w:val="yellow"/>
        </w:rPr>
        <w:t>↑</w:t>
      </w:r>
      <w:r w:rsidRPr="00936474">
        <w:rPr>
          <w:highlight w:val="yellow"/>
        </w:rPr>
        <w:t>)</w:t>
      </w:r>
      <w:r w:rsidR="003C6378" w:rsidRPr="00936474">
        <w:rPr>
          <w:highlight w:val="yellow"/>
        </w:rPr>
        <w:t xml:space="preserve"> (DMD et DMOP)</w:t>
      </w:r>
    </w:p>
    <w:p w:rsidR="004234C8" w:rsidRPr="00936474" w:rsidRDefault="004234C8" w:rsidP="005D429F">
      <w:pPr>
        <w:pStyle w:val="Sansinterligne"/>
        <w:numPr>
          <w:ilvl w:val="0"/>
          <w:numId w:val="1076"/>
        </w:numPr>
        <w:rPr>
          <w:highlight w:val="yellow"/>
        </w:rPr>
      </w:pPr>
      <w:r w:rsidRPr="00936474">
        <w:rPr>
          <w:highlight w:val="yellow"/>
        </w:rPr>
        <w:t>EMG</w:t>
      </w:r>
    </w:p>
    <w:p w:rsidR="004234C8" w:rsidRPr="00936474" w:rsidRDefault="004234C8" w:rsidP="005D429F">
      <w:pPr>
        <w:pStyle w:val="Sansinterligne"/>
        <w:numPr>
          <w:ilvl w:val="0"/>
          <w:numId w:val="1076"/>
        </w:numPr>
        <w:rPr>
          <w:highlight w:val="yellow"/>
        </w:rPr>
      </w:pPr>
      <w:r w:rsidRPr="00936474">
        <w:rPr>
          <w:highlight w:val="yellow"/>
        </w:rPr>
        <w:t>Biopsie musculaire</w:t>
      </w:r>
      <w:r w:rsidR="003C6378" w:rsidRPr="00936474">
        <w:rPr>
          <w:highlight w:val="yellow"/>
        </w:rPr>
        <w:t xml:space="preserve"> (DMD et DMOP)</w:t>
      </w:r>
    </w:p>
    <w:p w:rsidR="004234C8" w:rsidRDefault="004234C8" w:rsidP="00A17D9E">
      <w:pPr>
        <w:pStyle w:val="Sansinterligne"/>
      </w:pPr>
    </w:p>
    <w:p w:rsidR="000C48DC" w:rsidRPr="00F23A73" w:rsidRDefault="007A25F0" w:rsidP="00A17D9E">
      <w:pPr>
        <w:pStyle w:val="Sansinterligne"/>
        <w:rPr>
          <w:b/>
        </w:rPr>
      </w:pPr>
      <w:r w:rsidRPr="00F23A73">
        <w:rPr>
          <w:b/>
        </w:rPr>
        <w:t>Phénylcétonurie</w:t>
      </w:r>
    </w:p>
    <w:p w:rsidR="007A25F0" w:rsidRDefault="007A25F0" w:rsidP="005D429F">
      <w:pPr>
        <w:pStyle w:val="Sansinterligne"/>
        <w:numPr>
          <w:ilvl w:val="0"/>
          <w:numId w:val="1075"/>
        </w:numPr>
      </w:pPr>
      <w:r>
        <w:t>Dépistage à la naissance</w:t>
      </w:r>
    </w:p>
    <w:p w:rsidR="000C48DC" w:rsidRPr="00F23A73" w:rsidRDefault="000C48DC" w:rsidP="00A17D9E">
      <w:pPr>
        <w:pStyle w:val="Sansinterligne"/>
        <w:rPr>
          <w:b/>
        </w:rPr>
      </w:pPr>
      <w:r w:rsidRPr="00F23A73">
        <w:rPr>
          <w:b/>
        </w:rPr>
        <w:lastRenderedPageBreak/>
        <w:t>Galactosémie</w:t>
      </w:r>
    </w:p>
    <w:p w:rsidR="000C48DC" w:rsidRDefault="007A25F0" w:rsidP="005D429F">
      <w:pPr>
        <w:pStyle w:val="Sansinterligne"/>
        <w:numPr>
          <w:ilvl w:val="0"/>
          <w:numId w:val="1074"/>
        </w:numPr>
      </w:pPr>
      <w:r>
        <w:t>Dépistage à la naissance</w:t>
      </w:r>
    </w:p>
    <w:p w:rsidR="00404C0C" w:rsidRDefault="00404C0C" w:rsidP="00A17D9E">
      <w:pPr>
        <w:pStyle w:val="Sansinterligne"/>
      </w:pPr>
    </w:p>
    <w:p w:rsidR="007A25F0" w:rsidRPr="00F23A73" w:rsidRDefault="007A25F0" w:rsidP="00A17D9E">
      <w:pPr>
        <w:pStyle w:val="Sansinterligne"/>
        <w:rPr>
          <w:b/>
        </w:rPr>
      </w:pPr>
      <w:r w:rsidRPr="00F23A73">
        <w:rPr>
          <w:b/>
        </w:rPr>
        <w:t>Hémochromatose héréditaire</w:t>
      </w:r>
    </w:p>
    <w:p w:rsidR="007A25F0" w:rsidRDefault="007A25F0" w:rsidP="005D429F">
      <w:pPr>
        <w:pStyle w:val="Sansinterligne"/>
        <w:numPr>
          <w:ilvl w:val="0"/>
          <w:numId w:val="1071"/>
        </w:numPr>
        <w:rPr>
          <w:rFonts w:cs="Times New Roman"/>
          <w:color w:val="000000"/>
          <w:shd w:val="clear" w:color="auto" w:fill="FFFFFF"/>
        </w:rPr>
      </w:pPr>
      <w:r w:rsidRPr="007A25F0">
        <w:rPr>
          <w:rFonts w:cs="Times New Roman"/>
          <w:color w:val="000000"/>
          <w:shd w:val="clear" w:color="auto" w:fill="FFFFFF"/>
        </w:rPr>
        <w:t>Recherche de mutation homozygote C282Y</w:t>
      </w:r>
    </w:p>
    <w:p w:rsidR="007A25F0" w:rsidRPr="007A25F0" w:rsidRDefault="007A25F0" w:rsidP="005D429F">
      <w:pPr>
        <w:pStyle w:val="Sansinterligne"/>
        <w:numPr>
          <w:ilvl w:val="0"/>
          <w:numId w:val="1071"/>
        </w:numPr>
        <w:rPr>
          <w:rFonts w:cs="Times New Roman"/>
          <w:color w:val="000000"/>
          <w:shd w:val="clear" w:color="auto" w:fill="FFFFFF"/>
        </w:rPr>
      </w:pPr>
      <w:r>
        <w:rPr>
          <w:rFonts w:cs="Times New Roman"/>
          <w:color w:val="000000"/>
          <w:shd w:val="clear" w:color="auto" w:fill="FFFFFF"/>
        </w:rPr>
        <w:t>Taux de saturation de la transferrine, bilan martial</w:t>
      </w:r>
    </w:p>
    <w:p w:rsidR="00C379C8" w:rsidRDefault="00C379C8" w:rsidP="00A17D9E">
      <w:pPr>
        <w:pStyle w:val="Sansinterligne"/>
      </w:pPr>
    </w:p>
    <w:p w:rsidR="009801FA" w:rsidRDefault="009801FA" w:rsidP="00A17D9E">
      <w:pPr>
        <w:pStyle w:val="Sansinterligne"/>
        <w:rPr>
          <w:b/>
          <w:highlight w:val="yellow"/>
        </w:rPr>
      </w:pPr>
    </w:p>
    <w:p w:rsidR="009801FA" w:rsidRDefault="009801FA" w:rsidP="00A17D9E">
      <w:pPr>
        <w:pStyle w:val="Sansinterligne"/>
        <w:rPr>
          <w:b/>
          <w:highlight w:val="yellow"/>
        </w:rPr>
      </w:pPr>
    </w:p>
    <w:p w:rsidR="00661CF5" w:rsidRPr="00936474" w:rsidRDefault="00661CF5" w:rsidP="00A17D9E">
      <w:pPr>
        <w:pStyle w:val="Sansinterligne"/>
        <w:rPr>
          <w:b/>
          <w:highlight w:val="yellow"/>
        </w:rPr>
      </w:pPr>
      <w:r w:rsidRPr="00936474">
        <w:rPr>
          <w:b/>
          <w:highlight w:val="yellow"/>
        </w:rPr>
        <w:lastRenderedPageBreak/>
        <w:t>Anémie falciforme</w:t>
      </w:r>
    </w:p>
    <w:p w:rsidR="00F23A73" w:rsidRPr="00936474" w:rsidRDefault="00661CF5" w:rsidP="005D429F">
      <w:pPr>
        <w:pStyle w:val="Sansinterligne"/>
        <w:numPr>
          <w:ilvl w:val="0"/>
          <w:numId w:val="1072"/>
        </w:numPr>
        <w:rPr>
          <w:highlight w:val="yellow"/>
        </w:rPr>
      </w:pPr>
      <w:r w:rsidRPr="00936474">
        <w:rPr>
          <w:highlight w:val="yellow"/>
        </w:rPr>
        <w:t>Dépistage à la naissance</w:t>
      </w:r>
      <w:r w:rsidR="00F23A73" w:rsidRPr="00936474">
        <w:rPr>
          <w:highlight w:val="yellow"/>
        </w:rPr>
        <w:t xml:space="preserve"> chez populations à risque (Électrophorèse de l’HB)</w:t>
      </w:r>
    </w:p>
    <w:p w:rsidR="00661CF5" w:rsidRDefault="00661CF5" w:rsidP="00A17D9E">
      <w:pPr>
        <w:pStyle w:val="Sansinterligne"/>
      </w:pPr>
      <w:r>
        <w:t xml:space="preserve"> </w:t>
      </w:r>
    </w:p>
    <w:p w:rsidR="00661CF5" w:rsidRPr="00F23A73" w:rsidRDefault="00661CF5" w:rsidP="00A17D9E">
      <w:pPr>
        <w:pStyle w:val="Sansinterligne"/>
        <w:rPr>
          <w:b/>
        </w:rPr>
      </w:pPr>
      <w:r w:rsidRPr="00F23A73">
        <w:rPr>
          <w:b/>
        </w:rPr>
        <w:t>Thalassémies</w:t>
      </w:r>
    </w:p>
    <w:p w:rsidR="00661CF5" w:rsidRDefault="00661CF5" w:rsidP="005D429F">
      <w:pPr>
        <w:pStyle w:val="Sansinterligne"/>
        <w:numPr>
          <w:ilvl w:val="0"/>
          <w:numId w:val="1073"/>
        </w:numPr>
      </w:pPr>
      <w:r>
        <w:t>FSC</w:t>
      </w:r>
    </w:p>
    <w:p w:rsidR="00661CF5" w:rsidRDefault="00661CF5" w:rsidP="005D429F">
      <w:pPr>
        <w:pStyle w:val="Sansinterligne"/>
        <w:numPr>
          <w:ilvl w:val="0"/>
          <w:numId w:val="1073"/>
        </w:numPr>
      </w:pPr>
      <w:r>
        <w:t>Frottis sanguin</w:t>
      </w:r>
    </w:p>
    <w:p w:rsidR="00661CF5" w:rsidRDefault="00661CF5" w:rsidP="005D429F">
      <w:pPr>
        <w:pStyle w:val="Sansinterligne"/>
        <w:numPr>
          <w:ilvl w:val="0"/>
          <w:numId w:val="1073"/>
        </w:numPr>
      </w:pPr>
      <w:r>
        <w:t>Électrophorèse de l’hémoglobine</w:t>
      </w:r>
    </w:p>
    <w:p w:rsidR="003923F6" w:rsidRDefault="003923F6" w:rsidP="00A17D9E">
      <w:pPr>
        <w:pStyle w:val="Sansinterligne"/>
      </w:pPr>
    </w:p>
    <w:p w:rsidR="009801FA" w:rsidRDefault="00AE1846" w:rsidP="00A17D9E">
      <w:pPr>
        <w:pStyle w:val="Sansinterligne"/>
      </w:pPr>
      <w:r>
        <w:rPr>
          <w:noProof/>
          <w:lang w:eastAsia="fr-CA"/>
        </w:rPr>
        <w:drawing>
          <wp:anchor distT="0" distB="0" distL="114300" distR="114300" simplePos="0" relativeHeight="252002304" behindDoc="0" locked="0" layoutInCell="1" allowOverlap="1" wp14:anchorId="24417D07" wp14:editId="7F664603">
            <wp:simplePos x="0" y="0"/>
            <wp:positionH relativeFrom="column">
              <wp:posOffset>-33655</wp:posOffset>
            </wp:positionH>
            <wp:positionV relativeFrom="paragraph">
              <wp:posOffset>16510</wp:posOffset>
            </wp:positionV>
            <wp:extent cx="2548255" cy="1575435"/>
            <wp:effectExtent l="0" t="0" r="4445" b="5715"/>
            <wp:wrapNone/>
            <wp:docPr id="515" name="Image 515" descr="Résultats de recherche d'images pour « dystrophie musculaire de duchenne gèn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ésultats de recherche d'images pour « dystrophie musculaire de duchenne gènes »"/>
                    <pic:cNvPicPr>
                      <a:picLocks noChangeAspect="1" noChangeArrowheads="1"/>
                    </pic:cNvPicPr>
                  </pic:nvPicPr>
                  <pic:blipFill rotWithShape="1">
                    <a:blip r:embed="rId119">
                      <a:extLst>
                        <a:ext uri="{28A0092B-C50C-407E-A947-70E740481C1C}">
                          <a14:useLocalDpi xmlns:a14="http://schemas.microsoft.com/office/drawing/2010/main" val="0"/>
                        </a:ext>
                      </a:extLst>
                    </a:blip>
                    <a:srcRect l="2695" t="5733" r="40709" b="6093"/>
                    <a:stretch/>
                  </pic:blipFill>
                  <pic:spPr bwMode="auto">
                    <a:xfrm>
                      <a:off x="0" y="0"/>
                      <a:ext cx="2548255" cy="157543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9801FA" w:rsidRDefault="009801FA" w:rsidP="00A17D9E">
      <w:pPr>
        <w:pStyle w:val="Sansinterligne"/>
      </w:pPr>
    </w:p>
    <w:p w:rsidR="009801FA" w:rsidRDefault="009801FA" w:rsidP="00A17D9E">
      <w:pPr>
        <w:pStyle w:val="Sansinterligne"/>
      </w:pPr>
    </w:p>
    <w:p w:rsidR="009801FA" w:rsidRDefault="009801FA" w:rsidP="00A17D9E">
      <w:pPr>
        <w:pStyle w:val="Sansinterligne"/>
      </w:pPr>
    </w:p>
    <w:p w:rsidR="00AE1846" w:rsidRDefault="00AE1846" w:rsidP="00A17D9E">
      <w:pPr>
        <w:pStyle w:val="Sansinterligne"/>
      </w:pPr>
    </w:p>
    <w:p w:rsidR="002A374C" w:rsidRPr="00936474" w:rsidRDefault="002A374C" w:rsidP="00A17D9E">
      <w:pPr>
        <w:pStyle w:val="Sansinterligne"/>
        <w:rPr>
          <w:b/>
          <w:highlight w:val="yellow"/>
        </w:rPr>
      </w:pPr>
      <w:r w:rsidRPr="00936474">
        <w:rPr>
          <w:b/>
          <w:highlight w:val="yellow"/>
        </w:rPr>
        <w:lastRenderedPageBreak/>
        <w:t>FKP</w:t>
      </w:r>
    </w:p>
    <w:p w:rsidR="002A374C" w:rsidRDefault="002A374C" w:rsidP="005D429F">
      <w:pPr>
        <w:pStyle w:val="Sansinterligne"/>
        <w:numPr>
          <w:ilvl w:val="0"/>
          <w:numId w:val="1077"/>
        </w:numPr>
        <w:rPr>
          <w:highlight w:val="yellow"/>
        </w:rPr>
      </w:pPr>
      <w:r w:rsidRPr="00936474">
        <w:rPr>
          <w:highlight w:val="yellow"/>
        </w:rPr>
        <w:t>Évaluation nutritionnelle</w:t>
      </w:r>
    </w:p>
    <w:p w:rsidR="00AE1846" w:rsidRPr="00936474" w:rsidRDefault="00AE1846" w:rsidP="005D429F">
      <w:pPr>
        <w:pStyle w:val="Sansinterligne"/>
        <w:numPr>
          <w:ilvl w:val="0"/>
          <w:numId w:val="1077"/>
        </w:numPr>
        <w:rPr>
          <w:highlight w:val="yellow"/>
        </w:rPr>
      </w:pPr>
      <w:r>
        <w:rPr>
          <w:highlight w:val="yellow"/>
        </w:rPr>
        <w:t>Test à la sueur</w:t>
      </w:r>
    </w:p>
    <w:p w:rsidR="002A374C" w:rsidRPr="00936474" w:rsidRDefault="002A374C" w:rsidP="005D429F">
      <w:pPr>
        <w:pStyle w:val="Sansinterligne"/>
        <w:numPr>
          <w:ilvl w:val="0"/>
          <w:numId w:val="1077"/>
        </w:numPr>
        <w:rPr>
          <w:highlight w:val="yellow"/>
        </w:rPr>
      </w:pPr>
      <w:r w:rsidRPr="00936474">
        <w:rPr>
          <w:highlight w:val="yellow"/>
        </w:rPr>
        <w:t>Évaluation de fonction respiratoire (</w:t>
      </w:r>
      <w:r w:rsidRPr="00936474">
        <w:rPr>
          <w:rFonts w:ascii="Century Gothic" w:hAnsi="Century Gothic"/>
          <w:highlight w:val="yellow"/>
        </w:rPr>
        <w:t>≥</w:t>
      </w:r>
      <w:r w:rsidRPr="00936474">
        <w:rPr>
          <w:highlight w:val="yellow"/>
        </w:rPr>
        <w:t>5 ans)</w:t>
      </w:r>
    </w:p>
    <w:p w:rsidR="002A374C" w:rsidRPr="00936474" w:rsidRDefault="002A374C" w:rsidP="005D429F">
      <w:pPr>
        <w:pStyle w:val="Sansinterligne"/>
        <w:numPr>
          <w:ilvl w:val="0"/>
          <w:numId w:val="1077"/>
        </w:numPr>
        <w:rPr>
          <w:highlight w:val="yellow"/>
        </w:rPr>
      </w:pPr>
      <w:r w:rsidRPr="00936474">
        <w:rPr>
          <w:highlight w:val="yellow"/>
        </w:rPr>
        <w:t>Culture de sécrétion</w:t>
      </w:r>
    </w:p>
    <w:p w:rsidR="006620A8" w:rsidRDefault="006620A8" w:rsidP="005D429F">
      <w:pPr>
        <w:pStyle w:val="Sansinterligne"/>
        <w:numPr>
          <w:ilvl w:val="0"/>
          <w:numId w:val="1077"/>
        </w:numPr>
        <w:rPr>
          <w:highlight w:val="yellow"/>
        </w:rPr>
      </w:pPr>
      <w:r w:rsidRPr="00936474">
        <w:rPr>
          <w:highlight w:val="yellow"/>
        </w:rPr>
        <w:t xml:space="preserve">RXP (Score de Brasfield) </w:t>
      </w:r>
    </w:p>
    <w:p w:rsidR="003923F6" w:rsidRPr="003923F6" w:rsidRDefault="003923F6" w:rsidP="003923F6">
      <w:pPr>
        <w:pStyle w:val="Sansinterligne"/>
      </w:pPr>
    </w:p>
    <w:p w:rsidR="003923F6" w:rsidRPr="003923F6" w:rsidRDefault="003923F6" w:rsidP="003923F6">
      <w:pPr>
        <w:pStyle w:val="Sansinterligne"/>
        <w:rPr>
          <w:b/>
        </w:rPr>
      </w:pPr>
      <w:r w:rsidRPr="003923F6">
        <w:rPr>
          <w:b/>
        </w:rPr>
        <w:t>Neurofibromatose type I</w:t>
      </w:r>
    </w:p>
    <w:p w:rsidR="003923F6" w:rsidRPr="003923F6" w:rsidRDefault="003923F6" w:rsidP="005D429F">
      <w:pPr>
        <w:pStyle w:val="Sansinterligne"/>
        <w:numPr>
          <w:ilvl w:val="0"/>
          <w:numId w:val="1086"/>
        </w:numPr>
      </w:pPr>
      <w:r>
        <w:t>IRM cérébral si épilepsie</w:t>
      </w:r>
    </w:p>
    <w:p w:rsidR="003923F6" w:rsidRPr="003923F6" w:rsidRDefault="003923F6" w:rsidP="003923F6">
      <w:pPr>
        <w:pStyle w:val="Sansinterligne"/>
      </w:pPr>
    </w:p>
    <w:p w:rsidR="003923F6" w:rsidRPr="003923F6" w:rsidRDefault="003923F6" w:rsidP="003923F6">
      <w:pPr>
        <w:pStyle w:val="Sansinterligne"/>
        <w:rPr>
          <w:b/>
        </w:rPr>
      </w:pPr>
      <w:r w:rsidRPr="003923F6">
        <w:rPr>
          <w:b/>
        </w:rPr>
        <w:t>Sclérose tubéreuse de Bourneville</w:t>
      </w:r>
    </w:p>
    <w:p w:rsidR="003923F6" w:rsidRDefault="003923F6" w:rsidP="005D429F">
      <w:pPr>
        <w:pStyle w:val="Sansinterligne"/>
        <w:numPr>
          <w:ilvl w:val="0"/>
          <w:numId w:val="1085"/>
        </w:numPr>
      </w:pPr>
      <w:r>
        <w:t>EEG de base</w:t>
      </w:r>
    </w:p>
    <w:p w:rsidR="003923F6" w:rsidRPr="003923F6" w:rsidRDefault="003923F6" w:rsidP="005D429F">
      <w:pPr>
        <w:pStyle w:val="Sansinterligne"/>
        <w:numPr>
          <w:ilvl w:val="0"/>
          <w:numId w:val="1085"/>
        </w:numPr>
        <w:sectPr w:rsidR="003923F6" w:rsidRPr="003923F6" w:rsidSect="00404C0C">
          <w:type w:val="continuous"/>
          <w:pgSz w:w="12240" w:h="15840"/>
          <w:pgMar w:top="720" w:right="720" w:bottom="720" w:left="720" w:header="708" w:footer="708" w:gutter="0"/>
          <w:cols w:num="2" w:space="708"/>
          <w:docGrid w:linePitch="360"/>
        </w:sectPr>
      </w:pPr>
      <w:r>
        <w:t>IRM cérébral</w:t>
      </w:r>
    </w:p>
    <w:p w:rsidR="009801FA" w:rsidRDefault="009801FA" w:rsidP="00A17D9E">
      <w:pPr>
        <w:pStyle w:val="Sansinterligne"/>
        <w:rPr>
          <w:b/>
          <w:sz w:val="28"/>
          <w:szCs w:val="28"/>
        </w:rPr>
      </w:pPr>
    </w:p>
    <w:p w:rsidR="006062B6" w:rsidRDefault="006062B6" w:rsidP="00A17D9E">
      <w:pPr>
        <w:pStyle w:val="Sansinterligne"/>
        <w:rPr>
          <w:b/>
          <w:sz w:val="28"/>
          <w:szCs w:val="28"/>
        </w:rPr>
      </w:pPr>
    </w:p>
    <w:p w:rsidR="006062B6" w:rsidRDefault="006062B6" w:rsidP="00A17D9E">
      <w:pPr>
        <w:pStyle w:val="Sansinterligne"/>
        <w:rPr>
          <w:b/>
          <w:sz w:val="28"/>
          <w:szCs w:val="28"/>
        </w:rPr>
      </w:pPr>
    </w:p>
    <w:p w:rsidR="006062B6" w:rsidRDefault="006062B6" w:rsidP="00A17D9E">
      <w:pPr>
        <w:pStyle w:val="Sansinterligne"/>
        <w:rPr>
          <w:b/>
          <w:sz w:val="28"/>
          <w:szCs w:val="28"/>
        </w:rPr>
      </w:pPr>
    </w:p>
    <w:p w:rsidR="006062B6" w:rsidRDefault="006062B6" w:rsidP="00A17D9E">
      <w:pPr>
        <w:pStyle w:val="Sansinterligne"/>
        <w:rPr>
          <w:b/>
          <w:sz w:val="28"/>
          <w:szCs w:val="28"/>
        </w:rPr>
      </w:pPr>
      <w:r w:rsidRPr="003F2482">
        <w:rPr>
          <w:noProof/>
          <w:highlight w:val="yellow"/>
          <w:lang w:eastAsia="fr-CA"/>
        </w:rPr>
        <w:drawing>
          <wp:anchor distT="0" distB="0" distL="114300" distR="114300" simplePos="0" relativeHeight="252001280" behindDoc="0" locked="0" layoutInCell="1" allowOverlap="1" wp14:anchorId="1198E471" wp14:editId="31808690">
            <wp:simplePos x="0" y="0"/>
            <wp:positionH relativeFrom="column">
              <wp:posOffset>4347845</wp:posOffset>
            </wp:positionH>
            <wp:positionV relativeFrom="paragraph">
              <wp:posOffset>65405</wp:posOffset>
            </wp:positionV>
            <wp:extent cx="2651760" cy="1993900"/>
            <wp:effectExtent l="0" t="0" r="0" b="6350"/>
            <wp:wrapNone/>
            <wp:docPr id="514" name="Image 514" descr="Résultats de recherche d'images pour « génétique transmiss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ésultats de recherche d'images pour « génétique transmission »"/>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651760" cy="19939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5006B" w:rsidRPr="00404C0C" w:rsidRDefault="00E5006B" w:rsidP="00A17D9E">
      <w:pPr>
        <w:pStyle w:val="Sansinterligne"/>
        <w:rPr>
          <w:b/>
          <w:sz w:val="28"/>
          <w:szCs w:val="28"/>
        </w:rPr>
      </w:pPr>
      <w:r w:rsidRPr="00404C0C">
        <w:rPr>
          <w:b/>
          <w:sz w:val="28"/>
          <w:szCs w:val="28"/>
        </w:rPr>
        <w:t>Prise en charge</w:t>
      </w:r>
      <w:r w:rsidR="008D3E6C" w:rsidRPr="008D3E6C">
        <w:t xml:space="preserve"> </w:t>
      </w:r>
    </w:p>
    <w:p w:rsidR="00E5006B" w:rsidRDefault="00E5006B" w:rsidP="00A17D9E">
      <w:pPr>
        <w:pStyle w:val="Sansinterligne"/>
      </w:pPr>
    </w:p>
    <w:p w:rsidR="00E5006B" w:rsidRPr="00936474" w:rsidRDefault="004A0AA3" w:rsidP="00A17D9E">
      <w:pPr>
        <w:pStyle w:val="Sansinterligne"/>
        <w:rPr>
          <w:b/>
          <w:highlight w:val="yellow"/>
        </w:rPr>
      </w:pPr>
      <w:r w:rsidRPr="00936474">
        <w:rPr>
          <w:b/>
          <w:highlight w:val="yellow"/>
        </w:rPr>
        <w:t>DMD</w:t>
      </w:r>
    </w:p>
    <w:p w:rsidR="004A0AA3" w:rsidRPr="00936474" w:rsidRDefault="004A0AA3" w:rsidP="005D429F">
      <w:pPr>
        <w:pStyle w:val="Sansinterligne"/>
        <w:numPr>
          <w:ilvl w:val="0"/>
          <w:numId w:val="1081"/>
        </w:numPr>
        <w:rPr>
          <w:highlight w:val="yellow"/>
        </w:rPr>
      </w:pPr>
      <w:r w:rsidRPr="00936474">
        <w:rPr>
          <w:highlight w:val="yellow"/>
        </w:rPr>
        <w:t>Prednisone 0,75 mg/kg DIE</w:t>
      </w:r>
    </w:p>
    <w:p w:rsidR="004A0AA3" w:rsidRPr="00936474" w:rsidRDefault="004A0AA3" w:rsidP="005D429F">
      <w:pPr>
        <w:pStyle w:val="Sansinterligne"/>
        <w:numPr>
          <w:ilvl w:val="0"/>
          <w:numId w:val="1081"/>
        </w:numPr>
        <w:rPr>
          <w:highlight w:val="yellow"/>
        </w:rPr>
      </w:pPr>
      <w:r w:rsidRPr="00936474">
        <w:rPr>
          <w:highlight w:val="yellow"/>
        </w:rPr>
        <w:t>Suivi régulier en pédiatrie</w:t>
      </w:r>
    </w:p>
    <w:p w:rsidR="004A0AA3" w:rsidRPr="00936474" w:rsidRDefault="004A0AA3" w:rsidP="005D429F">
      <w:pPr>
        <w:pStyle w:val="Sansinterligne"/>
        <w:numPr>
          <w:ilvl w:val="0"/>
          <w:numId w:val="1081"/>
        </w:numPr>
        <w:rPr>
          <w:highlight w:val="yellow"/>
        </w:rPr>
      </w:pPr>
      <w:r w:rsidRPr="00936474">
        <w:rPr>
          <w:highlight w:val="yellow"/>
        </w:rPr>
        <w:t>Chaise roulante</w:t>
      </w:r>
    </w:p>
    <w:p w:rsidR="004A0AA3" w:rsidRDefault="004A0AA3" w:rsidP="005D429F">
      <w:pPr>
        <w:pStyle w:val="Sansinterligne"/>
        <w:numPr>
          <w:ilvl w:val="0"/>
          <w:numId w:val="1081"/>
        </w:numPr>
        <w:rPr>
          <w:highlight w:val="yellow"/>
        </w:rPr>
      </w:pPr>
      <w:r w:rsidRPr="00936474">
        <w:rPr>
          <w:highlight w:val="yellow"/>
        </w:rPr>
        <w:t>Physiothérapie</w:t>
      </w:r>
    </w:p>
    <w:p w:rsidR="00936474" w:rsidRPr="00936474" w:rsidRDefault="00936474" w:rsidP="005D429F">
      <w:pPr>
        <w:pStyle w:val="Sansinterligne"/>
        <w:numPr>
          <w:ilvl w:val="0"/>
          <w:numId w:val="1081"/>
        </w:numPr>
        <w:rPr>
          <w:highlight w:val="yellow"/>
        </w:rPr>
      </w:pPr>
      <w:r>
        <w:rPr>
          <w:highlight w:val="yellow"/>
        </w:rPr>
        <w:t>Ergothérapie</w:t>
      </w:r>
    </w:p>
    <w:p w:rsidR="004A0AA3" w:rsidRPr="00936474" w:rsidRDefault="004A0AA3" w:rsidP="005D429F">
      <w:pPr>
        <w:pStyle w:val="Sansinterligne"/>
        <w:numPr>
          <w:ilvl w:val="0"/>
          <w:numId w:val="1081"/>
        </w:numPr>
        <w:rPr>
          <w:highlight w:val="yellow"/>
        </w:rPr>
      </w:pPr>
      <w:r w:rsidRPr="00936474">
        <w:rPr>
          <w:highlight w:val="yellow"/>
        </w:rPr>
        <w:t>Prévention de l’obésité et comorbidités</w:t>
      </w:r>
    </w:p>
    <w:p w:rsidR="004A0AA3" w:rsidRPr="00936474" w:rsidRDefault="004A0AA3" w:rsidP="005D429F">
      <w:pPr>
        <w:pStyle w:val="Sansinterligne"/>
        <w:numPr>
          <w:ilvl w:val="0"/>
          <w:numId w:val="1081"/>
        </w:numPr>
        <w:rPr>
          <w:highlight w:val="yellow"/>
        </w:rPr>
      </w:pPr>
      <w:r w:rsidRPr="00936474">
        <w:rPr>
          <w:highlight w:val="yellow"/>
        </w:rPr>
        <w:t>ECG, écho, surveillance cardiaque</w:t>
      </w:r>
    </w:p>
    <w:p w:rsidR="004A0AA3" w:rsidRPr="00936474" w:rsidRDefault="004A0AA3" w:rsidP="005D429F">
      <w:pPr>
        <w:pStyle w:val="Sansinterligne"/>
        <w:numPr>
          <w:ilvl w:val="0"/>
          <w:numId w:val="1081"/>
        </w:numPr>
        <w:rPr>
          <w:highlight w:val="yellow"/>
        </w:rPr>
      </w:pPr>
      <w:r w:rsidRPr="00936474">
        <w:rPr>
          <w:highlight w:val="yellow"/>
        </w:rPr>
        <w:t>Ostéodensitométrie (suivi DMO), biphosphonates et vitamine D PRN</w:t>
      </w:r>
    </w:p>
    <w:p w:rsidR="00E5006B" w:rsidRDefault="00E5006B" w:rsidP="00A17D9E">
      <w:pPr>
        <w:pStyle w:val="Sansinterligne"/>
      </w:pPr>
    </w:p>
    <w:p w:rsidR="00936474" w:rsidRPr="00936474" w:rsidRDefault="00936474" w:rsidP="00A17D9E">
      <w:pPr>
        <w:pStyle w:val="Sansinterligne"/>
        <w:rPr>
          <w:b/>
        </w:rPr>
      </w:pPr>
      <w:r w:rsidRPr="00936474">
        <w:rPr>
          <w:b/>
        </w:rPr>
        <w:t>DMOP</w:t>
      </w:r>
    </w:p>
    <w:p w:rsidR="00936474" w:rsidRDefault="00133F4E" w:rsidP="005D429F">
      <w:pPr>
        <w:pStyle w:val="Sansinterligne"/>
        <w:numPr>
          <w:ilvl w:val="0"/>
          <w:numId w:val="1084"/>
        </w:numPr>
      </w:pPr>
      <w:r>
        <w:rPr>
          <w:noProof/>
          <w:lang w:eastAsia="fr-CA"/>
        </w:rPr>
        <w:drawing>
          <wp:anchor distT="0" distB="0" distL="114300" distR="114300" simplePos="0" relativeHeight="252004352" behindDoc="0" locked="0" layoutInCell="1" allowOverlap="1" wp14:anchorId="2AB70F0A" wp14:editId="4BC8CC79">
            <wp:simplePos x="0" y="0"/>
            <wp:positionH relativeFrom="column">
              <wp:posOffset>3605530</wp:posOffset>
            </wp:positionH>
            <wp:positionV relativeFrom="paragraph">
              <wp:posOffset>153035</wp:posOffset>
            </wp:positionV>
            <wp:extent cx="3074670" cy="2314575"/>
            <wp:effectExtent l="0" t="0" r="0" b="9525"/>
            <wp:wrapNone/>
            <wp:docPr id="517" name="Image 517" descr="Résultats de recherche d'images pour « anémie falciform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Résultats de recherche d'images pour « anémie falciforme »"/>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3074670" cy="2314575"/>
                    </a:xfrm>
                    <a:prstGeom prst="rect">
                      <a:avLst/>
                    </a:prstGeom>
                    <a:noFill/>
                    <a:ln>
                      <a:noFill/>
                    </a:ln>
                  </pic:spPr>
                </pic:pic>
              </a:graphicData>
            </a:graphic>
            <wp14:sizeRelH relativeFrom="page">
              <wp14:pctWidth>0</wp14:pctWidth>
            </wp14:sizeRelH>
            <wp14:sizeRelV relativeFrom="page">
              <wp14:pctHeight>0</wp14:pctHeight>
            </wp14:sizeRelV>
          </wp:anchor>
        </w:drawing>
      </w:r>
      <w:r w:rsidR="00936474">
        <w:t>Traitement de support</w:t>
      </w:r>
    </w:p>
    <w:p w:rsidR="00936474" w:rsidRDefault="00936474" w:rsidP="005D429F">
      <w:pPr>
        <w:pStyle w:val="Sansinterligne"/>
        <w:numPr>
          <w:ilvl w:val="0"/>
          <w:numId w:val="1084"/>
        </w:numPr>
      </w:pPr>
      <w:r>
        <w:t>Ergothérapie</w:t>
      </w:r>
    </w:p>
    <w:p w:rsidR="00936474" w:rsidRDefault="00936474" w:rsidP="005D429F">
      <w:pPr>
        <w:pStyle w:val="Sansinterligne"/>
        <w:numPr>
          <w:ilvl w:val="0"/>
          <w:numId w:val="1084"/>
        </w:numPr>
      </w:pPr>
      <w:r>
        <w:t>Orthophonie</w:t>
      </w:r>
    </w:p>
    <w:p w:rsidR="00936474" w:rsidRDefault="00936474" w:rsidP="00A17D9E">
      <w:pPr>
        <w:pStyle w:val="Sansinterligne"/>
      </w:pPr>
    </w:p>
    <w:p w:rsidR="00E5006B" w:rsidRPr="003F2482" w:rsidRDefault="00E5006B" w:rsidP="00A17D9E">
      <w:pPr>
        <w:pStyle w:val="Sansinterligne"/>
        <w:rPr>
          <w:b/>
          <w:highlight w:val="yellow"/>
        </w:rPr>
      </w:pPr>
      <w:r w:rsidRPr="003F2482">
        <w:rPr>
          <w:b/>
          <w:highlight w:val="yellow"/>
        </w:rPr>
        <w:t>Phénylcétonurie</w:t>
      </w:r>
    </w:p>
    <w:p w:rsidR="00E5006B" w:rsidRPr="003F2482" w:rsidRDefault="008D3E6C" w:rsidP="005D429F">
      <w:pPr>
        <w:pStyle w:val="Sansinterligne"/>
        <w:numPr>
          <w:ilvl w:val="0"/>
          <w:numId w:val="1083"/>
        </w:numPr>
        <w:rPr>
          <w:highlight w:val="yellow"/>
        </w:rPr>
      </w:pPr>
      <w:r w:rsidRPr="003F2482">
        <w:rPr>
          <w:highlight w:val="yellow"/>
        </w:rPr>
        <w:t xml:space="preserve">Suivi nutritionnel et pédiatrique </w:t>
      </w:r>
    </w:p>
    <w:p w:rsidR="008D3E6C" w:rsidRPr="003F2482" w:rsidRDefault="008D3E6C" w:rsidP="005D429F">
      <w:pPr>
        <w:pStyle w:val="Sansinterligne"/>
        <w:numPr>
          <w:ilvl w:val="0"/>
          <w:numId w:val="1083"/>
        </w:numPr>
        <w:rPr>
          <w:highlight w:val="yellow"/>
        </w:rPr>
      </w:pPr>
      <w:r w:rsidRPr="003F2482">
        <w:rPr>
          <w:highlight w:val="yellow"/>
        </w:rPr>
        <w:t>Restriction alimentaire en phénylalanine dès la naissance</w:t>
      </w:r>
    </w:p>
    <w:p w:rsidR="008D3E6C" w:rsidRPr="003F2482" w:rsidRDefault="008D3E6C" w:rsidP="00A17D9E">
      <w:pPr>
        <w:pStyle w:val="Sansinterligne"/>
        <w:rPr>
          <w:highlight w:val="yellow"/>
        </w:rPr>
      </w:pPr>
    </w:p>
    <w:p w:rsidR="00E5006B" w:rsidRPr="003F2482" w:rsidRDefault="00E5006B" w:rsidP="00A17D9E">
      <w:pPr>
        <w:pStyle w:val="Sansinterligne"/>
        <w:rPr>
          <w:b/>
          <w:highlight w:val="yellow"/>
        </w:rPr>
      </w:pPr>
      <w:r w:rsidRPr="003F2482">
        <w:rPr>
          <w:b/>
          <w:highlight w:val="yellow"/>
        </w:rPr>
        <w:t>Galactosémie</w:t>
      </w:r>
    </w:p>
    <w:p w:rsidR="008D3E6C" w:rsidRPr="003F2482" w:rsidRDefault="008D3E6C" w:rsidP="005D429F">
      <w:pPr>
        <w:pStyle w:val="Sansinterligne"/>
        <w:numPr>
          <w:ilvl w:val="0"/>
          <w:numId w:val="1082"/>
        </w:numPr>
        <w:rPr>
          <w:highlight w:val="yellow"/>
        </w:rPr>
      </w:pPr>
      <w:r w:rsidRPr="003F2482">
        <w:rPr>
          <w:highlight w:val="yellow"/>
        </w:rPr>
        <w:t>Suivi nutritionnel et pédiatrique</w:t>
      </w:r>
    </w:p>
    <w:p w:rsidR="00E5006B" w:rsidRPr="003F2482" w:rsidRDefault="008D3E6C" w:rsidP="005D429F">
      <w:pPr>
        <w:pStyle w:val="Sansinterligne"/>
        <w:numPr>
          <w:ilvl w:val="0"/>
          <w:numId w:val="1082"/>
        </w:numPr>
        <w:rPr>
          <w:highlight w:val="yellow"/>
        </w:rPr>
      </w:pPr>
      <w:r w:rsidRPr="003F2482">
        <w:rPr>
          <w:highlight w:val="yellow"/>
        </w:rPr>
        <w:t>Restriction alimentaire</w:t>
      </w:r>
    </w:p>
    <w:p w:rsidR="008D3E6C" w:rsidRPr="003F2482" w:rsidRDefault="008D3E6C" w:rsidP="005D429F">
      <w:pPr>
        <w:pStyle w:val="Sansinterligne"/>
        <w:numPr>
          <w:ilvl w:val="0"/>
          <w:numId w:val="1082"/>
        </w:numPr>
        <w:rPr>
          <w:highlight w:val="yellow"/>
        </w:rPr>
      </w:pPr>
      <w:r w:rsidRPr="003F2482">
        <w:rPr>
          <w:highlight w:val="yellow"/>
        </w:rPr>
        <w:t>Exclusion du lactose et du galactose</w:t>
      </w:r>
    </w:p>
    <w:p w:rsidR="008D3E6C" w:rsidRPr="003F2482" w:rsidRDefault="008D3E6C" w:rsidP="005D429F">
      <w:pPr>
        <w:pStyle w:val="Sansinterligne"/>
        <w:numPr>
          <w:ilvl w:val="0"/>
          <w:numId w:val="1082"/>
        </w:numPr>
        <w:rPr>
          <w:highlight w:val="yellow"/>
        </w:rPr>
      </w:pPr>
      <w:r w:rsidRPr="003F2482">
        <w:rPr>
          <w:highlight w:val="yellow"/>
        </w:rPr>
        <w:t>Nourriture à base de lait de soya</w:t>
      </w:r>
      <w:r w:rsidR="00133F4E" w:rsidRPr="00133F4E">
        <w:t xml:space="preserve"> </w:t>
      </w:r>
    </w:p>
    <w:p w:rsidR="008D3E6C" w:rsidRDefault="008D3E6C" w:rsidP="00A17D9E">
      <w:pPr>
        <w:pStyle w:val="Sansinterligne"/>
      </w:pPr>
    </w:p>
    <w:p w:rsidR="00E5006B" w:rsidRPr="003F2482" w:rsidRDefault="00E5006B" w:rsidP="00A17D9E">
      <w:pPr>
        <w:pStyle w:val="Sansinterligne"/>
        <w:rPr>
          <w:b/>
          <w:highlight w:val="yellow"/>
        </w:rPr>
      </w:pPr>
      <w:r w:rsidRPr="003F2482">
        <w:rPr>
          <w:b/>
          <w:highlight w:val="yellow"/>
        </w:rPr>
        <w:t>Anémie falciforme</w:t>
      </w:r>
    </w:p>
    <w:p w:rsidR="00E5006B" w:rsidRPr="003F2482" w:rsidRDefault="00E5006B" w:rsidP="005D429F">
      <w:pPr>
        <w:pStyle w:val="Sansinterligne"/>
        <w:numPr>
          <w:ilvl w:val="0"/>
          <w:numId w:val="1078"/>
        </w:numPr>
        <w:rPr>
          <w:highlight w:val="yellow"/>
        </w:rPr>
      </w:pPr>
      <w:r w:rsidRPr="003F2482">
        <w:rPr>
          <w:highlight w:val="yellow"/>
        </w:rPr>
        <w:t>Référence en pédiatrie</w:t>
      </w:r>
    </w:p>
    <w:p w:rsidR="00E5006B" w:rsidRPr="003F2482" w:rsidRDefault="00E5006B" w:rsidP="005D429F">
      <w:pPr>
        <w:pStyle w:val="Sansinterligne"/>
        <w:numPr>
          <w:ilvl w:val="0"/>
          <w:numId w:val="1078"/>
        </w:numPr>
        <w:rPr>
          <w:highlight w:val="yellow"/>
        </w:rPr>
      </w:pPr>
      <w:r w:rsidRPr="003F2482">
        <w:rPr>
          <w:highlight w:val="yellow"/>
        </w:rPr>
        <w:t>Pénicilline V en continu ad 5 ans de vie</w:t>
      </w:r>
    </w:p>
    <w:p w:rsidR="00E5006B" w:rsidRPr="003F2482" w:rsidRDefault="00E5006B" w:rsidP="005D429F">
      <w:pPr>
        <w:pStyle w:val="Sansinterligne"/>
        <w:numPr>
          <w:ilvl w:val="1"/>
          <w:numId w:val="1078"/>
        </w:numPr>
        <w:rPr>
          <w:highlight w:val="yellow"/>
        </w:rPr>
      </w:pPr>
      <w:r w:rsidRPr="003F2482">
        <w:rPr>
          <w:highlight w:val="yellow"/>
        </w:rPr>
        <w:t>2 mois-3 ans : 125 mg PO BID, 3-5 ans : 250 mg PO BID</w:t>
      </w:r>
    </w:p>
    <w:p w:rsidR="00C63EB9" w:rsidRPr="003F2482" w:rsidRDefault="00C63EB9" w:rsidP="005D429F">
      <w:pPr>
        <w:pStyle w:val="Sansinterligne"/>
        <w:numPr>
          <w:ilvl w:val="0"/>
          <w:numId w:val="1078"/>
        </w:numPr>
        <w:rPr>
          <w:highlight w:val="yellow"/>
        </w:rPr>
      </w:pPr>
      <w:r w:rsidRPr="003F2482">
        <w:rPr>
          <w:highlight w:val="yellow"/>
        </w:rPr>
        <w:t>Vaccination</w:t>
      </w:r>
    </w:p>
    <w:p w:rsidR="00E5006B" w:rsidRPr="003F2482" w:rsidRDefault="00E5006B" w:rsidP="005D429F">
      <w:pPr>
        <w:pStyle w:val="Sansinterligne"/>
        <w:numPr>
          <w:ilvl w:val="1"/>
          <w:numId w:val="1078"/>
        </w:numPr>
        <w:rPr>
          <w:highlight w:val="yellow"/>
        </w:rPr>
      </w:pPr>
      <w:r w:rsidRPr="003F2482">
        <w:rPr>
          <w:highlight w:val="yellow"/>
        </w:rPr>
        <w:t xml:space="preserve">Ajout d’une dose de vaccin contre </w:t>
      </w:r>
      <w:r w:rsidRPr="003F2482">
        <w:rPr>
          <w:i/>
          <w:highlight w:val="yellow"/>
        </w:rPr>
        <w:t>S. pneumoniae</w:t>
      </w:r>
      <w:r w:rsidRPr="003F2482">
        <w:rPr>
          <w:highlight w:val="yellow"/>
        </w:rPr>
        <w:t xml:space="preserve"> et </w:t>
      </w:r>
      <w:r w:rsidRPr="003F2482">
        <w:rPr>
          <w:i/>
          <w:highlight w:val="yellow"/>
        </w:rPr>
        <w:t>N. meningitidis</w:t>
      </w:r>
    </w:p>
    <w:p w:rsidR="00E5006B" w:rsidRPr="003F2482" w:rsidRDefault="00E5006B" w:rsidP="005D429F">
      <w:pPr>
        <w:pStyle w:val="Sansinterligne"/>
        <w:numPr>
          <w:ilvl w:val="1"/>
          <w:numId w:val="1078"/>
        </w:numPr>
        <w:rPr>
          <w:highlight w:val="yellow"/>
        </w:rPr>
      </w:pPr>
      <w:r w:rsidRPr="003F2482">
        <w:rPr>
          <w:highlight w:val="yellow"/>
        </w:rPr>
        <w:t>Vaccination annuelle contre l’influenza recommandée</w:t>
      </w:r>
    </w:p>
    <w:p w:rsidR="00C63EB9" w:rsidRPr="003F2482" w:rsidRDefault="00E5006B" w:rsidP="005D429F">
      <w:pPr>
        <w:pStyle w:val="Sansinterligne"/>
        <w:numPr>
          <w:ilvl w:val="0"/>
          <w:numId w:val="1078"/>
        </w:numPr>
        <w:rPr>
          <w:highlight w:val="yellow"/>
        </w:rPr>
      </w:pPr>
      <w:r w:rsidRPr="003F2482">
        <w:rPr>
          <w:highlight w:val="yellow"/>
        </w:rPr>
        <w:lastRenderedPageBreak/>
        <w:t>On traite les complications (syndrome thora</w:t>
      </w:r>
      <w:r w:rsidR="00C63EB9" w:rsidRPr="003F2482">
        <w:rPr>
          <w:highlight w:val="yellow"/>
        </w:rPr>
        <w:t>cique aigu, AVC, dactylite, etc)</w:t>
      </w:r>
    </w:p>
    <w:p w:rsidR="00E5006B" w:rsidRPr="003F2482" w:rsidRDefault="00C63EB9" w:rsidP="005D429F">
      <w:pPr>
        <w:pStyle w:val="Sansinterligne"/>
        <w:numPr>
          <w:ilvl w:val="1"/>
          <w:numId w:val="1078"/>
        </w:numPr>
        <w:rPr>
          <w:highlight w:val="yellow"/>
        </w:rPr>
      </w:pPr>
      <w:r w:rsidRPr="003F2482">
        <w:rPr>
          <w:highlight w:val="yellow"/>
        </w:rPr>
        <w:t>B</w:t>
      </w:r>
      <w:r w:rsidR="00E5006B" w:rsidRPr="003F2482">
        <w:rPr>
          <w:highlight w:val="yellow"/>
        </w:rPr>
        <w:t>onne hydratation (IV PRN)</w:t>
      </w:r>
      <w:r w:rsidR="00E27499" w:rsidRPr="003F2482">
        <w:rPr>
          <w:highlight w:val="yellow"/>
        </w:rPr>
        <w:t>, de l’analgésie</w:t>
      </w:r>
      <w:r w:rsidR="00E5006B" w:rsidRPr="003F2482">
        <w:rPr>
          <w:highlight w:val="yellow"/>
        </w:rPr>
        <w:t xml:space="preserve"> et des transfusio</w:t>
      </w:r>
      <w:r w:rsidR="00E27499" w:rsidRPr="003F2482">
        <w:rPr>
          <w:highlight w:val="yellow"/>
        </w:rPr>
        <w:t>ns PRN</w:t>
      </w:r>
    </w:p>
    <w:p w:rsidR="00E5006B" w:rsidRPr="003F2482" w:rsidRDefault="00E27499" w:rsidP="005D429F">
      <w:pPr>
        <w:pStyle w:val="Sansinterligne"/>
        <w:numPr>
          <w:ilvl w:val="1"/>
          <w:numId w:val="1078"/>
        </w:numPr>
        <w:rPr>
          <w:highlight w:val="yellow"/>
        </w:rPr>
      </w:pPr>
      <w:r w:rsidRPr="003F2482">
        <w:rPr>
          <w:highlight w:val="yellow"/>
        </w:rPr>
        <w:t>Ceftriaxone en cas de syndrome thoracique aigu.</w:t>
      </w:r>
    </w:p>
    <w:p w:rsidR="006620A8" w:rsidRPr="003F2482" w:rsidRDefault="006620A8" w:rsidP="005D429F">
      <w:pPr>
        <w:pStyle w:val="Sansinterligne"/>
        <w:numPr>
          <w:ilvl w:val="1"/>
          <w:numId w:val="1078"/>
        </w:numPr>
        <w:rPr>
          <w:highlight w:val="yellow"/>
        </w:rPr>
      </w:pPr>
      <w:r w:rsidRPr="003F2482">
        <w:rPr>
          <w:highlight w:val="yellow"/>
        </w:rPr>
        <w:t>Être à l’affut de la fièvre</w:t>
      </w:r>
    </w:p>
    <w:p w:rsidR="00C63EB9" w:rsidRDefault="00E27499" w:rsidP="005D429F">
      <w:pPr>
        <w:pStyle w:val="Sansinterligne"/>
        <w:numPr>
          <w:ilvl w:val="0"/>
          <w:numId w:val="1078"/>
        </w:numPr>
      </w:pPr>
      <w:r>
        <w:t>Chez certains patients chez qui les comp</w:t>
      </w:r>
      <w:r w:rsidR="00C63EB9">
        <w:t>lications sont très importantes</w:t>
      </w:r>
    </w:p>
    <w:p w:rsidR="00C63EB9" w:rsidRDefault="00C63EB9" w:rsidP="005D429F">
      <w:pPr>
        <w:pStyle w:val="Sansinterligne"/>
        <w:numPr>
          <w:ilvl w:val="0"/>
          <w:numId w:val="1078"/>
        </w:numPr>
      </w:pPr>
      <w:r>
        <w:t>Envisager :</w:t>
      </w:r>
    </w:p>
    <w:p w:rsidR="00C63EB9" w:rsidRDefault="00C63EB9" w:rsidP="005D429F">
      <w:pPr>
        <w:pStyle w:val="Sansinterligne"/>
        <w:numPr>
          <w:ilvl w:val="1"/>
          <w:numId w:val="1078"/>
        </w:numPr>
      </w:pPr>
      <w:r>
        <w:t>U</w:t>
      </w:r>
      <w:r w:rsidR="00E27499">
        <w:t>n programme de transfusion répétée</w:t>
      </w:r>
    </w:p>
    <w:p w:rsidR="00C63EB9" w:rsidRDefault="00C63EB9" w:rsidP="005D429F">
      <w:pPr>
        <w:pStyle w:val="Sansinterligne"/>
        <w:numPr>
          <w:ilvl w:val="1"/>
          <w:numId w:val="1078"/>
        </w:numPr>
      </w:pPr>
      <w:r>
        <w:t>Hydroxyurée</w:t>
      </w:r>
    </w:p>
    <w:p w:rsidR="00E27499" w:rsidRDefault="00C63EB9" w:rsidP="005D429F">
      <w:pPr>
        <w:pStyle w:val="Sansinterligne"/>
        <w:numPr>
          <w:ilvl w:val="1"/>
          <w:numId w:val="1078"/>
        </w:numPr>
      </w:pPr>
      <w:r>
        <w:t>Greffe</w:t>
      </w:r>
      <w:r w:rsidR="00E27499">
        <w:t xml:space="preserve"> de </w:t>
      </w:r>
      <w:r>
        <w:t>cellules souches de moelle osseuse</w:t>
      </w:r>
    </w:p>
    <w:p w:rsidR="0047609A" w:rsidRDefault="0047609A" w:rsidP="00A17D9E">
      <w:pPr>
        <w:pStyle w:val="Sansinterligne"/>
      </w:pPr>
    </w:p>
    <w:p w:rsidR="0047609A" w:rsidRPr="00C63EB9" w:rsidRDefault="0047609A" w:rsidP="00A17D9E">
      <w:pPr>
        <w:pStyle w:val="Sansinterligne"/>
        <w:rPr>
          <w:b/>
        </w:rPr>
      </w:pPr>
      <w:r w:rsidRPr="00C63EB9">
        <w:rPr>
          <w:b/>
        </w:rPr>
        <w:t>Thalassémies</w:t>
      </w:r>
    </w:p>
    <w:p w:rsidR="00C63EB9" w:rsidRDefault="0047609A" w:rsidP="005D429F">
      <w:pPr>
        <w:pStyle w:val="Sansinterligne"/>
        <w:numPr>
          <w:ilvl w:val="0"/>
          <w:numId w:val="1079"/>
        </w:numPr>
      </w:pPr>
      <w:r>
        <w:rPr>
          <w:rFonts w:ascii="Century Gothic" w:hAnsi="Century Gothic"/>
        </w:rPr>
        <w:t>Α</w:t>
      </w:r>
      <w:r>
        <w:t xml:space="preserve"> </w:t>
      </w:r>
      <w:r>
        <w:rPr>
          <w:rFonts w:ascii="Century Gothic" w:hAnsi="Century Gothic"/>
        </w:rPr>
        <w:t>→</w:t>
      </w:r>
      <w:r>
        <w:t xml:space="preserve"> si </w:t>
      </w:r>
      <w:r>
        <w:rPr>
          <w:rFonts w:ascii="Century Gothic" w:hAnsi="Century Gothic"/>
        </w:rPr>
        <w:t>≥</w:t>
      </w:r>
      <w:r>
        <w:t xml:space="preserve">2 gènes problématique </w:t>
      </w:r>
    </w:p>
    <w:p w:rsidR="0047609A" w:rsidRDefault="00C63EB9" w:rsidP="005D429F">
      <w:pPr>
        <w:pStyle w:val="Sansinterligne"/>
        <w:numPr>
          <w:ilvl w:val="1"/>
          <w:numId w:val="1079"/>
        </w:numPr>
      </w:pPr>
      <w:r>
        <w:t>R</w:t>
      </w:r>
      <w:r w:rsidR="0047609A">
        <w:t>éférer en génétique si patiente souhaite devenir enceinte</w:t>
      </w:r>
    </w:p>
    <w:p w:rsidR="0047609A" w:rsidRDefault="0047609A" w:rsidP="005D429F">
      <w:pPr>
        <w:pStyle w:val="Sansinterligne"/>
        <w:numPr>
          <w:ilvl w:val="1"/>
          <w:numId w:val="1079"/>
        </w:numPr>
      </w:pPr>
      <w:r>
        <w:t>Counseling nécessaire, car risque d’hydrops fœtal si partenaire aussi porteur</w:t>
      </w:r>
    </w:p>
    <w:p w:rsidR="0047609A" w:rsidRDefault="00C63EB9" w:rsidP="005D429F">
      <w:pPr>
        <w:pStyle w:val="Sansinterligne"/>
        <w:numPr>
          <w:ilvl w:val="0"/>
          <w:numId w:val="1079"/>
        </w:numPr>
        <w:rPr>
          <w:rFonts w:cs="Times New Roman"/>
        </w:rPr>
      </w:pPr>
      <w:r>
        <w:rPr>
          <w:rFonts w:cs="Times New Roman"/>
        </w:rPr>
        <w:t xml:space="preserve">Β </w:t>
      </w:r>
      <w:r>
        <w:rPr>
          <w:rFonts w:ascii="Century Gothic" w:hAnsi="Century Gothic" w:cs="Times New Roman"/>
        </w:rPr>
        <w:t>→</w:t>
      </w:r>
      <w:r>
        <w:rPr>
          <w:rFonts w:cs="Times New Roman"/>
        </w:rPr>
        <w:t>mineur</w:t>
      </w:r>
    </w:p>
    <w:p w:rsidR="00C63EB9" w:rsidRDefault="00C63EB9" w:rsidP="005D429F">
      <w:pPr>
        <w:pStyle w:val="Sansinterligne"/>
        <w:numPr>
          <w:ilvl w:val="1"/>
          <w:numId w:val="1079"/>
        </w:numPr>
        <w:rPr>
          <w:rFonts w:cs="Times New Roman"/>
        </w:rPr>
      </w:pPr>
      <w:r>
        <w:rPr>
          <w:rFonts w:cs="Times New Roman"/>
        </w:rPr>
        <w:t xml:space="preserve">Ø traitement, </w:t>
      </w:r>
      <w:r w:rsidRPr="002C00F5">
        <w:rPr>
          <w:rFonts w:cs="Times New Roman"/>
          <w:b/>
        </w:rPr>
        <w:t>conseils génétiques</w:t>
      </w:r>
      <w:r w:rsidR="002C00F5">
        <w:rPr>
          <w:rFonts w:cs="Times New Roman"/>
          <w:b/>
        </w:rPr>
        <w:t xml:space="preserve"> (risque de transmission)</w:t>
      </w:r>
    </w:p>
    <w:p w:rsidR="00C63EB9" w:rsidRDefault="00C63EB9" w:rsidP="005D429F">
      <w:pPr>
        <w:pStyle w:val="Sansinterligne"/>
        <w:numPr>
          <w:ilvl w:val="0"/>
          <w:numId w:val="1079"/>
        </w:numPr>
        <w:rPr>
          <w:rFonts w:cs="Times New Roman"/>
        </w:rPr>
      </w:pPr>
      <w:r>
        <w:rPr>
          <w:rFonts w:cs="Times New Roman"/>
        </w:rPr>
        <w:t xml:space="preserve">B </w:t>
      </w:r>
      <w:r>
        <w:rPr>
          <w:rFonts w:ascii="Century Gothic" w:hAnsi="Century Gothic" w:cs="Times New Roman"/>
        </w:rPr>
        <w:t>→</w:t>
      </w:r>
      <w:r>
        <w:rPr>
          <w:rFonts w:cs="Times New Roman"/>
        </w:rPr>
        <w:t xml:space="preserve"> majeur</w:t>
      </w:r>
    </w:p>
    <w:p w:rsidR="00C63EB9" w:rsidRDefault="00C63EB9" w:rsidP="005D429F">
      <w:pPr>
        <w:pStyle w:val="Sansinterligne"/>
        <w:numPr>
          <w:ilvl w:val="1"/>
          <w:numId w:val="1079"/>
        </w:numPr>
        <w:rPr>
          <w:rFonts w:cs="Times New Roman"/>
        </w:rPr>
      </w:pPr>
      <w:r>
        <w:rPr>
          <w:rFonts w:cs="Times New Roman"/>
        </w:rPr>
        <w:t>Référence en hématologie</w:t>
      </w:r>
    </w:p>
    <w:p w:rsidR="003F2482" w:rsidRDefault="00C63EB9" w:rsidP="005D429F">
      <w:pPr>
        <w:pStyle w:val="Sansinterligne"/>
        <w:numPr>
          <w:ilvl w:val="1"/>
          <w:numId w:val="1079"/>
        </w:numPr>
        <w:rPr>
          <w:rFonts w:cs="Times New Roman"/>
        </w:rPr>
      </w:pPr>
      <w:r>
        <w:rPr>
          <w:rFonts w:cs="Times New Roman"/>
        </w:rPr>
        <w:t>Transfusions régulières à vie</w:t>
      </w:r>
      <w:r w:rsidR="003F2482">
        <w:rPr>
          <w:rFonts w:cs="Times New Roman"/>
        </w:rPr>
        <w:t xml:space="preserve"> + Chélation du fer</w:t>
      </w:r>
    </w:p>
    <w:p w:rsidR="00C63EB9" w:rsidRDefault="00C63EB9" w:rsidP="005D429F">
      <w:pPr>
        <w:pStyle w:val="Sansinterligne"/>
        <w:numPr>
          <w:ilvl w:val="1"/>
          <w:numId w:val="1079"/>
        </w:numPr>
        <w:rPr>
          <w:rFonts w:cs="Times New Roman"/>
        </w:rPr>
      </w:pPr>
      <w:r>
        <w:rPr>
          <w:rFonts w:cs="Times New Roman"/>
        </w:rPr>
        <w:t>Transplantation de moelle osseuse allogénique</w:t>
      </w:r>
    </w:p>
    <w:p w:rsidR="0020391B" w:rsidRDefault="00133F4E" w:rsidP="0020391B">
      <w:pPr>
        <w:pStyle w:val="Sansinterligne"/>
        <w:ind w:left="1080"/>
        <w:rPr>
          <w:rFonts w:cs="Times New Roman"/>
        </w:rPr>
      </w:pPr>
      <w:r>
        <w:rPr>
          <w:noProof/>
          <w:lang w:eastAsia="fr-CA"/>
        </w:rPr>
        <w:drawing>
          <wp:anchor distT="0" distB="0" distL="114300" distR="114300" simplePos="0" relativeHeight="252003328" behindDoc="0" locked="0" layoutInCell="1" allowOverlap="1" wp14:anchorId="71590FA0" wp14:editId="00B96CE2">
            <wp:simplePos x="0" y="0"/>
            <wp:positionH relativeFrom="column">
              <wp:posOffset>3550244</wp:posOffset>
            </wp:positionH>
            <wp:positionV relativeFrom="paragraph">
              <wp:posOffset>54691</wp:posOffset>
            </wp:positionV>
            <wp:extent cx="3336290" cy="992505"/>
            <wp:effectExtent l="0" t="0" r="0" b="0"/>
            <wp:wrapNone/>
            <wp:docPr id="516" name="Image 516" descr="Résultats de recherche d'images pour « fibrose kystiqu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ésultats de recherche d'images pour « fibrose kystique »"/>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3336290" cy="9925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7609A" w:rsidRPr="009801FA" w:rsidRDefault="002A374C" w:rsidP="00A17D9E">
      <w:pPr>
        <w:pStyle w:val="Sansinterligne"/>
        <w:rPr>
          <w:b/>
          <w:highlight w:val="yellow"/>
        </w:rPr>
      </w:pPr>
      <w:r w:rsidRPr="009801FA">
        <w:rPr>
          <w:b/>
          <w:highlight w:val="yellow"/>
        </w:rPr>
        <w:t>Fibrose kystique du pancréas</w:t>
      </w:r>
    </w:p>
    <w:p w:rsidR="006620A8" w:rsidRPr="009801FA" w:rsidRDefault="006620A8" w:rsidP="005D429F">
      <w:pPr>
        <w:pStyle w:val="Sansinterligne"/>
        <w:numPr>
          <w:ilvl w:val="0"/>
          <w:numId w:val="1080"/>
        </w:numPr>
        <w:rPr>
          <w:highlight w:val="yellow"/>
        </w:rPr>
      </w:pPr>
      <w:r w:rsidRPr="009801FA">
        <w:rPr>
          <w:highlight w:val="yellow"/>
        </w:rPr>
        <w:t>Référence en pédiatrie</w:t>
      </w:r>
    </w:p>
    <w:p w:rsidR="006620A8" w:rsidRPr="009801FA" w:rsidRDefault="006620A8" w:rsidP="005D429F">
      <w:pPr>
        <w:pStyle w:val="Sansinterligne"/>
        <w:numPr>
          <w:ilvl w:val="0"/>
          <w:numId w:val="1080"/>
        </w:numPr>
        <w:rPr>
          <w:highlight w:val="yellow"/>
        </w:rPr>
      </w:pPr>
      <w:r w:rsidRPr="009801FA">
        <w:rPr>
          <w:highlight w:val="yellow"/>
        </w:rPr>
        <w:t>Évaluation complète avec suivi régulier</w:t>
      </w:r>
      <w:r w:rsidR="00133F4E" w:rsidRPr="00133F4E">
        <w:t xml:space="preserve"> </w:t>
      </w:r>
    </w:p>
    <w:p w:rsidR="006620A8" w:rsidRPr="009801FA" w:rsidRDefault="006620A8" w:rsidP="005D429F">
      <w:pPr>
        <w:pStyle w:val="Sansinterligne"/>
        <w:numPr>
          <w:ilvl w:val="0"/>
          <w:numId w:val="1080"/>
        </w:numPr>
        <w:rPr>
          <w:highlight w:val="yellow"/>
        </w:rPr>
      </w:pPr>
      <w:r w:rsidRPr="009801FA">
        <w:rPr>
          <w:highlight w:val="yellow"/>
        </w:rPr>
        <w:t>Glycémie, HBsAg</w:t>
      </w:r>
    </w:p>
    <w:p w:rsidR="006620A8" w:rsidRPr="009801FA" w:rsidRDefault="006620A8" w:rsidP="005D429F">
      <w:pPr>
        <w:pStyle w:val="Sansinterligne"/>
        <w:numPr>
          <w:ilvl w:val="0"/>
          <w:numId w:val="1080"/>
        </w:numPr>
        <w:rPr>
          <w:highlight w:val="yellow"/>
        </w:rPr>
      </w:pPr>
      <w:r w:rsidRPr="009801FA">
        <w:rPr>
          <w:highlight w:val="yellow"/>
        </w:rPr>
        <w:t>Équipe multidisciplinaire</w:t>
      </w:r>
    </w:p>
    <w:p w:rsidR="006620A8" w:rsidRPr="009801FA" w:rsidRDefault="006620A8" w:rsidP="005D429F">
      <w:pPr>
        <w:pStyle w:val="Sansinterligne"/>
        <w:numPr>
          <w:ilvl w:val="1"/>
          <w:numId w:val="1080"/>
        </w:numPr>
        <w:rPr>
          <w:highlight w:val="yellow"/>
        </w:rPr>
      </w:pPr>
      <w:r w:rsidRPr="009801FA">
        <w:rPr>
          <w:highlight w:val="yellow"/>
        </w:rPr>
        <w:t>Physiothérapie (clapping, exercices respiratoires)</w:t>
      </w:r>
    </w:p>
    <w:p w:rsidR="00F1741A" w:rsidRDefault="00F1741A" w:rsidP="005D429F">
      <w:pPr>
        <w:pStyle w:val="Sansinterligne"/>
        <w:numPr>
          <w:ilvl w:val="1"/>
          <w:numId w:val="1080"/>
        </w:numPr>
        <w:rPr>
          <w:highlight w:val="yellow"/>
        </w:rPr>
      </w:pPr>
      <w:r>
        <w:rPr>
          <w:highlight w:val="yellow"/>
        </w:rPr>
        <w:t xml:space="preserve">Nutrition </w:t>
      </w:r>
    </w:p>
    <w:p w:rsidR="006620A8" w:rsidRPr="00F1741A" w:rsidRDefault="00E93FCE" w:rsidP="005D429F">
      <w:pPr>
        <w:pStyle w:val="Sansinterligne"/>
        <w:numPr>
          <w:ilvl w:val="2"/>
          <w:numId w:val="1080"/>
        </w:numPr>
        <w:rPr>
          <w:highlight w:val="yellow"/>
        </w:rPr>
      </w:pPr>
      <w:r>
        <w:rPr>
          <w:highlight w:val="yellow"/>
        </w:rPr>
        <w:t>Diète hypercalorique</w:t>
      </w:r>
      <w:r w:rsidR="006620A8" w:rsidRPr="00F1741A">
        <w:rPr>
          <w:highlight w:val="yellow"/>
        </w:rPr>
        <w:t xml:space="preserve"> </w:t>
      </w:r>
      <w:r>
        <w:rPr>
          <w:highlight w:val="yellow"/>
        </w:rPr>
        <w:t>(</w:t>
      </w:r>
      <w:r w:rsidR="006620A8" w:rsidRPr="00F1741A">
        <w:rPr>
          <w:highlight w:val="yellow"/>
        </w:rPr>
        <w:t>120-150%</w:t>
      </w:r>
      <w:r>
        <w:rPr>
          <w:highlight w:val="yellow"/>
        </w:rPr>
        <w:t>)</w:t>
      </w:r>
      <w:r w:rsidR="006620A8" w:rsidRPr="00F1741A">
        <w:rPr>
          <w:highlight w:val="yellow"/>
        </w:rPr>
        <w:t>, diète plus riche en sel</w:t>
      </w:r>
    </w:p>
    <w:p w:rsidR="006620A8" w:rsidRPr="009801FA" w:rsidRDefault="006620A8" w:rsidP="005D429F">
      <w:pPr>
        <w:pStyle w:val="Sansinterligne"/>
        <w:numPr>
          <w:ilvl w:val="1"/>
          <w:numId w:val="1080"/>
        </w:numPr>
        <w:rPr>
          <w:highlight w:val="yellow"/>
        </w:rPr>
      </w:pPr>
      <w:r w:rsidRPr="009801FA">
        <w:rPr>
          <w:highlight w:val="yellow"/>
        </w:rPr>
        <w:t>Psychothérapie</w:t>
      </w:r>
    </w:p>
    <w:p w:rsidR="006620A8" w:rsidRPr="006620A8" w:rsidRDefault="006620A8" w:rsidP="005D429F">
      <w:pPr>
        <w:pStyle w:val="Sansinterligne"/>
        <w:numPr>
          <w:ilvl w:val="0"/>
          <w:numId w:val="1080"/>
        </w:numPr>
        <w:rPr>
          <w:lang w:val="es-NI"/>
        </w:rPr>
      </w:pPr>
      <w:r w:rsidRPr="009801FA">
        <w:rPr>
          <w:highlight w:val="yellow"/>
        </w:rPr>
        <w:t xml:space="preserve">Traiter rapidement toute évidence de surinfection. </w:t>
      </w:r>
      <w:r w:rsidRPr="009801FA">
        <w:rPr>
          <w:highlight w:val="yellow"/>
          <w:lang w:val="es-NI"/>
        </w:rPr>
        <w:t xml:space="preserve">Rechercher </w:t>
      </w:r>
      <w:r w:rsidRPr="009801FA">
        <w:rPr>
          <w:i/>
          <w:highlight w:val="yellow"/>
          <w:lang w:val="es-NI"/>
        </w:rPr>
        <w:t>P. Aeruginosa, B. Cepacia, Stenotrophomonas malto</w:t>
      </w:r>
      <w:r w:rsidRPr="006620A8">
        <w:rPr>
          <w:i/>
          <w:lang w:val="es-NI"/>
        </w:rPr>
        <w:t>.</w:t>
      </w:r>
    </w:p>
    <w:p w:rsidR="006620A8" w:rsidRDefault="006620A8" w:rsidP="00A17D9E">
      <w:pPr>
        <w:pStyle w:val="Sansinterligne"/>
        <w:rPr>
          <w:lang w:val="es-NI"/>
        </w:rPr>
      </w:pPr>
    </w:p>
    <w:p w:rsidR="00E5131F" w:rsidRDefault="00E5131F" w:rsidP="003923F6">
      <w:pPr>
        <w:pStyle w:val="Sansinterligne"/>
        <w:rPr>
          <w:b/>
        </w:rPr>
        <w:sectPr w:rsidR="00E5131F" w:rsidSect="00540770">
          <w:type w:val="continuous"/>
          <w:pgSz w:w="12240" w:h="15840"/>
          <w:pgMar w:top="720" w:right="720" w:bottom="720" w:left="720" w:header="708" w:footer="708" w:gutter="0"/>
          <w:cols w:space="708"/>
          <w:docGrid w:linePitch="360"/>
        </w:sectPr>
      </w:pPr>
    </w:p>
    <w:p w:rsidR="003923F6" w:rsidRPr="009801FA" w:rsidRDefault="003923F6" w:rsidP="003923F6">
      <w:pPr>
        <w:pStyle w:val="Sansinterligne"/>
        <w:rPr>
          <w:b/>
        </w:rPr>
      </w:pPr>
      <w:r w:rsidRPr="009801FA">
        <w:rPr>
          <w:b/>
        </w:rPr>
        <w:lastRenderedPageBreak/>
        <w:t>Neurofibromatose type I</w:t>
      </w:r>
    </w:p>
    <w:p w:rsidR="009801FA" w:rsidRDefault="009801FA" w:rsidP="005D429F">
      <w:pPr>
        <w:pStyle w:val="Sansinterligne"/>
        <w:numPr>
          <w:ilvl w:val="0"/>
          <w:numId w:val="1087"/>
        </w:numPr>
      </w:pPr>
      <w:r>
        <w:t>Référence en pédiatrie</w:t>
      </w:r>
    </w:p>
    <w:p w:rsidR="009801FA" w:rsidRDefault="009801FA" w:rsidP="005D429F">
      <w:pPr>
        <w:pStyle w:val="Sansinterligne"/>
        <w:numPr>
          <w:ilvl w:val="0"/>
          <w:numId w:val="1087"/>
        </w:numPr>
      </w:pPr>
      <w:r>
        <w:t>Ergothérapie, orthophonie, physiothérapie</w:t>
      </w:r>
    </w:p>
    <w:p w:rsidR="003923F6" w:rsidRDefault="009801FA" w:rsidP="005D429F">
      <w:pPr>
        <w:pStyle w:val="Sansinterligne"/>
        <w:numPr>
          <w:ilvl w:val="0"/>
          <w:numId w:val="1087"/>
        </w:numPr>
      </w:pPr>
      <w:r>
        <w:t>Suivi annuel incluant TA, AV et fond d’oeil</w:t>
      </w:r>
    </w:p>
    <w:p w:rsidR="009801FA" w:rsidRPr="003923F6" w:rsidRDefault="009801FA" w:rsidP="005D429F">
      <w:pPr>
        <w:pStyle w:val="Sansinterligne"/>
        <w:numPr>
          <w:ilvl w:val="0"/>
          <w:numId w:val="1087"/>
        </w:numPr>
      </w:pPr>
      <w:r>
        <w:t>Suivi ophtalmologique</w:t>
      </w:r>
    </w:p>
    <w:p w:rsidR="009801FA" w:rsidRDefault="009801FA" w:rsidP="005D429F">
      <w:pPr>
        <w:pStyle w:val="Sansinterligne"/>
        <w:numPr>
          <w:ilvl w:val="0"/>
          <w:numId w:val="1087"/>
        </w:numPr>
      </w:pPr>
      <w:r>
        <w:t>Recherche de dysplasie osseuse</w:t>
      </w:r>
    </w:p>
    <w:p w:rsidR="003923F6" w:rsidRPr="00E5131F" w:rsidRDefault="003923F6" w:rsidP="003923F6">
      <w:pPr>
        <w:pStyle w:val="Sansinterligne"/>
        <w:rPr>
          <w:sz w:val="16"/>
          <w:szCs w:val="16"/>
        </w:rPr>
      </w:pPr>
    </w:p>
    <w:p w:rsidR="003923F6" w:rsidRPr="009801FA" w:rsidRDefault="003923F6" w:rsidP="003923F6">
      <w:pPr>
        <w:pStyle w:val="Sansinterligne"/>
        <w:rPr>
          <w:b/>
        </w:rPr>
      </w:pPr>
      <w:r w:rsidRPr="009801FA">
        <w:rPr>
          <w:b/>
        </w:rPr>
        <w:lastRenderedPageBreak/>
        <w:t>Sclérose tubéreuse de Bourneville</w:t>
      </w:r>
    </w:p>
    <w:p w:rsidR="003923F6" w:rsidRPr="003923F6" w:rsidRDefault="003923F6" w:rsidP="005D429F">
      <w:pPr>
        <w:pStyle w:val="Sansinterligne"/>
        <w:numPr>
          <w:ilvl w:val="0"/>
          <w:numId w:val="1088"/>
        </w:numPr>
      </w:pPr>
      <w:r w:rsidRPr="003923F6">
        <w:t>Enseignement aux parents (reconnaissance de l’épilepsie)</w:t>
      </w:r>
    </w:p>
    <w:p w:rsidR="003923F6" w:rsidRPr="003923F6" w:rsidRDefault="003923F6" w:rsidP="005D429F">
      <w:pPr>
        <w:pStyle w:val="Sansinterligne"/>
        <w:numPr>
          <w:ilvl w:val="0"/>
          <w:numId w:val="1088"/>
        </w:numPr>
      </w:pPr>
      <w:r w:rsidRPr="003923F6">
        <w:t>Stimulation du nerf vague Tx d’épilepsie réfractair</w:t>
      </w:r>
      <w:r w:rsidR="009801FA">
        <w:t>e</w:t>
      </w:r>
    </w:p>
    <w:p w:rsidR="00E5131F" w:rsidRDefault="00E5131F" w:rsidP="00A17D9E">
      <w:pPr>
        <w:pStyle w:val="Sansinterligne"/>
      </w:pPr>
    </w:p>
    <w:p w:rsidR="00E5131F" w:rsidRDefault="00E5131F" w:rsidP="00A17D9E">
      <w:pPr>
        <w:pStyle w:val="Sansinterligne"/>
      </w:pPr>
    </w:p>
    <w:p w:rsidR="00E5131F" w:rsidRDefault="00E5131F" w:rsidP="00A17D9E">
      <w:pPr>
        <w:pStyle w:val="Sansinterligne"/>
        <w:sectPr w:rsidR="00E5131F" w:rsidSect="00E5131F">
          <w:type w:val="continuous"/>
          <w:pgSz w:w="12240" w:h="15840"/>
          <w:pgMar w:top="720" w:right="720" w:bottom="720" w:left="720" w:header="708" w:footer="708" w:gutter="0"/>
          <w:cols w:num="2" w:space="708"/>
          <w:docGrid w:linePitch="360"/>
        </w:sectPr>
      </w:pPr>
    </w:p>
    <w:p w:rsidR="006620A8" w:rsidRPr="00E5131F" w:rsidRDefault="006620A8" w:rsidP="00A17D9E">
      <w:pPr>
        <w:pStyle w:val="Sansinterligne"/>
        <w:rPr>
          <w:sz w:val="16"/>
          <w:szCs w:val="16"/>
        </w:rPr>
      </w:pPr>
    </w:p>
    <w:p w:rsidR="006620A8" w:rsidRPr="009801FA" w:rsidRDefault="00CC0F69" w:rsidP="00A17D9E">
      <w:pPr>
        <w:pStyle w:val="Sansinterligne"/>
        <w:rPr>
          <w:b/>
          <w:sz w:val="28"/>
          <w:szCs w:val="28"/>
        </w:rPr>
      </w:pPr>
      <w:r w:rsidRPr="009801FA">
        <w:rPr>
          <w:b/>
          <w:sz w:val="28"/>
          <w:szCs w:val="28"/>
        </w:rPr>
        <w:t>Quelques programmes québécois de dépistage périnataux</w:t>
      </w:r>
    </w:p>
    <w:p w:rsidR="00CC0F69" w:rsidRPr="00CC0F69" w:rsidRDefault="00CC0F69" w:rsidP="00A17D9E">
      <w:pPr>
        <w:pStyle w:val="Sansinterligne"/>
      </w:pPr>
    </w:p>
    <w:p w:rsidR="00C379C8" w:rsidRPr="00244A91" w:rsidRDefault="00C379C8" w:rsidP="00A17D9E">
      <w:pPr>
        <w:pStyle w:val="Sansinterligne"/>
        <w:rPr>
          <w:u w:val="single"/>
        </w:rPr>
      </w:pPr>
      <w:r w:rsidRPr="00244A91">
        <w:rPr>
          <w:u w:val="single"/>
        </w:rPr>
        <w:t xml:space="preserve">Programme de dépistage </w:t>
      </w:r>
      <w:r w:rsidR="00CC0F69" w:rsidRPr="00244A91">
        <w:rPr>
          <w:u w:val="single"/>
        </w:rPr>
        <w:t xml:space="preserve">prénatal </w:t>
      </w:r>
      <w:r w:rsidRPr="00244A91">
        <w:rPr>
          <w:u w:val="single"/>
        </w:rPr>
        <w:t xml:space="preserve">de </w:t>
      </w:r>
      <w:r w:rsidR="00CC0F69" w:rsidRPr="00244A91">
        <w:rPr>
          <w:u w:val="single"/>
        </w:rPr>
        <w:t>Trisomie 21</w:t>
      </w:r>
    </w:p>
    <w:p w:rsidR="00CC0F69" w:rsidRPr="00C918AC" w:rsidRDefault="00CC0F69" w:rsidP="005D429F">
      <w:pPr>
        <w:pStyle w:val="Sansinterligne"/>
        <w:numPr>
          <w:ilvl w:val="0"/>
          <w:numId w:val="1090"/>
        </w:numPr>
        <w:rPr>
          <w:highlight w:val="yellow"/>
        </w:rPr>
      </w:pPr>
      <w:r w:rsidRPr="00C918AC">
        <w:rPr>
          <w:highlight w:val="yellow"/>
        </w:rPr>
        <w:t>Offert à toute femme enceinte</w:t>
      </w:r>
      <w:r w:rsidR="002923FA">
        <w:rPr>
          <w:highlight w:val="yellow"/>
        </w:rPr>
        <w:t>, couvert par la RAMQ</w:t>
      </w:r>
    </w:p>
    <w:p w:rsidR="00CC0F69" w:rsidRDefault="00CC0F69" w:rsidP="005D429F">
      <w:pPr>
        <w:pStyle w:val="Sansinterligne"/>
        <w:numPr>
          <w:ilvl w:val="0"/>
          <w:numId w:val="1090"/>
        </w:numPr>
      </w:pPr>
      <w:r w:rsidRPr="00C918AC">
        <w:rPr>
          <w:highlight w:val="yellow"/>
        </w:rPr>
        <w:t>Sur une base volontaire</w:t>
      </w:r>
    </w:p>
    <w:p w:rsidR="00CC0F69" w:rsidRPr="00C918AC" w:rsidRDefault="002633E8" w:rsidP="005D429F">
      <w:pPr>
        <w:pStyle w:val="Sansinterligne"/>
        <w:numPr>
          <w:ilvl w:val="0"/>
          <w:numId w:val="1090"/>
        </w:numPr>
        <w:rPr>
          <w:highlight w:val="yellow"/>
        </w:rPr>
      </w:pPr>
      <w:r w:rsidRPr="00C918AC">
        <w:rPr>
          <w:highlight w:val="yellow"/>
        </w:rPr>
        <w:t>2 prises de sang</w:t>
      </w:r>
    </w:p>
    <w:p w:rsidR="002633E8" w:rsidRDefault="002633E8" w:rsidP="005D429F">
      <w:pPr>
        <w:pStyle w:val="Sansinterligne"/>
        <w:numPr>
          <w:ilvl w:val="1"/>
          <w:numId w:val="1090"/>
        </w:numPr>
      </w:pPr>
      <w:r>
        <w:t>1</w:t>
      </w:r>
      <w:r w:rsidRPr="002633E8">
        <w:rPr>
          <w:vertAlign w:val="superscript"/>
        </w:rPr>
        <w:t>ère</w:t>
      </w:r>
      <w:r>
        <w:rPr>
          <w:vertAlign w:val="superscript"/>
        </w:rPr>
        <w:t> </w:t>
      </w:r>
      <w:r>
        <w:t>: 10-13</w:t>
      </w:r>
      <w:r w:rsidRPr="002633E8">
        <w:rPr>
          <w:vertAlign w:val="superscript"/>
        </w:rPr>
        <w:t>e</w:t>
      </w:r>
      <w:r w:rsidRPr="002633E8">
        <w:t xml:space="preserve"> semaines </w:t>
      </w:r>
      <w:r>
        <w:t>: dosage PAPP-A</w:t>
      </w:r>
    </w:p>
    <w:p w:rsidR="002633E8" w:rsidRDefault="002633E8" w:rsidP="005D429F">
      <w:pPr>
        <w:pStyle w:val="Sansinterligne"/>
        <w:numPr>
          <w:ilvl w:val="1"/>
          <w:numId w:val="1090"/>
        </w:numPr>
      </w:pPr>
      <w:r w:rsidRPr="002633E8">
        <w:t>2</w:t>
      </w:r>
      <w:r w:rsidRPr="002633E8">
        <w:rPr>
          <w:vertAlign w:val="superscript"/>
        </w:rPr>
        <w:t>e </w:t>
      </w:r>
      <w:r w:rsidRPr="002633E8">
        <w:t>: 14</w:t>
      </w:r>
      <w:r w:rsidRPr="002633E8">
        <w:rPr>
          <w:vertAlign w:val="superscript"/>
        </w:rPr>
        <w:t>e</w:t>
      </w:r>
      <w:r w:rsidRPr="002633E8">
        <w:t xml:space="preserve"> à 16</w:t>
      </w:r>
      <w:r w:rsidRPr="002633E8">
        <w:rPr>
          <w:vertAlign w:val="superscript"/>
        </w:rPr>
        <w:t>e</w:t>
      </w:r>
      <w:r w:rsidRPr="002633E8">
        <w:t xml:space="preserve"> semaine : dosage alpha-foetoprotéine, </w:t>
      </w:r>
      <w:r>
        <w:t>estriol non-conjugué hCG, inhibine A</w:t>
      </w:r>
    </w:p>
    <w:p w:rsidR="002633E8" w:rsidRDefault="002633E8" w:rsidP="005D429F">
      <w:pPr>
        <w:pStyle w:val="Sansinterligne"/>
        <w:numPr>
          <w:ilvl w:val="0"/>
          <w:numId w:val="1091"/>
        </w:numPr>
      </w:pPr>
      <w:r>
        <w:t>Clarté nucal PRN sur prescription médicale</w:t>
      </w:r>
    </w:p>
    <w:p w:rsidR="002633E8" w:rsidRPr="00C918AC" w:rsidRDefault="002633E8" w:rsidP="005D429F">
      <w:pPr>
        <w:pStyle w:val="Sansinterligne"/>
        <w:numPr>
          <w:ilvl w:val="0"/>
          <w:numId w:val="1091"/>
        </w:numPr>
        <w:rPr>
          <w:highlight w:val="yellow"/>
        </w:rPr>
      </w:pPr>
      <w:r w:rsidRPr="00C918AC">
        <w:rPr>
          <w:highlight w:val="yellow"/>
        </w:rPr>
        <w:t xml:space="preserve">Si le risque est </w:t>
      </w:r>
      <w:r w:rsidRPr="00C918AC">
        <w:rPr>
          <w:rFonts w:ascii="Century Gothic" w:hAnsi="Century Gothic"/>
          <w:highlight w:val="yellow"/>
        </w:rPr>
        <w:t>≥</w:t>
      </w:r>
      <w:r w:rsidRPr="00C918AC">
        <w:rPr>
          <w:highlight w:val="yellow"/>
        </w:rPr>
        <w:t xml:space="preserve"> 1/300 </w:t>
      </w:r>
      <w:r w:rsidRPr="00C918AC">
        <w:rPr>
          <w:rFonts w:ascii="Century Gothic" w:hAnsi="Century Gothic"/>
          <w:highlight w:val="yellow"/>
        </w:rPr>
        <w:t>→</w:t>
      </w:r>
      <w:r w:rsidRPr="00C918AC">
        <w:rPr>
          <w:highlight w:val="yellow"/>
        </w:rPr>
        <w:t xml:space="preserve"> indication de test diagnostic (amniocentèse ou biopsie choriale)</w:t>
      </w:r>
    </w:p>
    <w:p w:rsidR="002633E8" w:rsidRPr="002633E8" w:rsidRDefault="002633E8" w:rsidP="005D429F">
      <w:pPr>
        <w:pStyle w:val="Sansinterligne"/>
        <w:numPr>
          <w:ilvl w:val="0"/>
          <w:numId w:val="1091"/>
        </w:numPr>
      </w:pPr>
      <w:r>
        <w:t xml:space="preserve">Il faut expliquer </w:t>
      </w:r>
      <w:r w:rsidR="00244A91">
        <w:t xml:space="preserve">aux </w:t>
      </w:r>
      <w:r w:rsidR="002923FA">
        <w:t>parents</w:t>
      </w:r>
      <w:r w:rsidR="00244A91">
        <w:t xml:space="preserve"> </w:t>
      </w:r>
      <w:r>
        <w:t>les enjeux et le fait que bien que le test diagnostic soit fiable, il ne peut prédire le pronostic et l’évolution de l’enfant.</w:t>
      </w:r>
    </w:p>
    <w:p w:rsidR="00CC0F69" w:rsidRPr="00E5131F" w:rsidRDefault="00CC0F69" w:rsidP="00A17D9E">
      <w:pPr>
        <w:pStyle w:val="Sansinterligne"/>
        <w:rPr>
          <w:sz w:val="16"/>
          <w:szCs w:val="16"/>
        </w:rPr>
      </w:pPr>
    </w:p>
    <w:p w:rsidR="00CC0F69" w:rsidRPr="00244A91" w:rsidRDefault="00F02C81" w:rsidP="00A17D9E">
      <w:pPr>
        <w:pStyle w:val="Sansinterligne"/>
        <w:rPr>
          <w:u w:val="single"/>
        </w:rPr>
      </w:pPr>
      <w:r w:rsidRPr="00244A91">
        <w:rPr>
          <w:u w:val="single"/>
        </w:rPr>
        <w:t xml:space="preserve">Dépistage </w:t>
      </w:r>
      <w:r w:rsidR="00E659EC">
        <w:rPr>
          <w:u w:val="single"/>
        </w:rPr>
        <w:t xml:space="preserve">néonatal </w:t>
      </w:r>
      <w:r w:rsidRPr="00244A91">
        <w:rPr>
          <w:u w:val="single"/>
        </w:rPr>
        <w:t>de maladie métabolique (tyrosinémie type I, galactosémie, hypothyroïdie congénitale)</w:t>
      </w:r>
    </w:p>
    <w:p w:rsidR="00F02C81" w:rsidRDefault="00F02C81" w:rsidP="005D429F">
      <w:pPr>
        <w:pStyle w:val="Sansinterligne"/>
        <w:numPr>
          <w:ilvl w:val="0"/>
          <w:numId w:val="1089"/>
        </w:numPr>
      </w:pPr>
      <w:r>
        <w:t>Effectué chez tous les nouveau-nés québécois</w:t>
      </w:r>
    </w:p>
    <w:p w:rsidR="007F7530" w:rsidRDefault="007F7530" w:rsidP="007F7530">
      <w:pPr>
        <w:spacing w:after="0"/>
        <w:rPr>
          <w:rFonts w:cs="Times New Roman"/>
          <w:b/>
          <w:color w:val="548DD4" w:themeColor="text2" w:themeTint="99"/>
        </w:rPr>
      </w:pPr>
      <w:r>
        <w:rPr>
          <w:rFonts w:cs="Times New Roman"/>
          <w:b/>
          <w:color w:val="548DD4" w:themeColor="text2" w:themeTint="99"/>
        </w:rPr>
        <w:lastRenderedPageBreak/>
        <w:t>CMC 36-2</w:t>
      </w:r>
    </w:p>
    <w:p w:rsidR="007F7530" w:rsidRPr="007F7530" w:rsidRDefault="007F7530" w:rsidP="007F7530">
      <w:pPr>
        <w:pStyle w:val="Titre3"/>
        <w:spacing w:before="0"/>
        <w:rPr>
          <w:rFonts w:ascii="Times New Roman" w:hAnsi="Times New Roman" w:cs="Times New Roman"/>
        </w:rPr>
      </w:pPr>
      <w:bookmarkStart w:id="120" w:name="_Toc480797284"/>
      <w:r w:rsidRPr="007F7530">
        <w:rPr>
          <w:rFonts w:ascii="Times New Roman" w:hAnsi="Times New Roman" w:cs="Times New Roman"/>
        </w:rPr>
        <w:t>Anomalies congénitales, traits dysmorphiques</w:t>
      </w:r>
      <w:bookmarkEnd w:id="120"/>
    </w:p>
    <w:tbl>
      <w:tblPr>
        <w:tblW w:w="3858" w:type="pct"/>
        <w:tblCellSpacing w:w="0" w:type="dxa"/>
        <w:tblCellMar>
          <w:left w:w="0" w:type="dxa"/>
          <w:right w:w="0" w:type="dxa"/>
        </w:tblCellMar>
        <w:tblLook w:val="04A0" w:firstRow="1" w:lastRow="0" w:firstColumn="1" w:lastColumn="0" w:noHBand="0" w:noVBand="1"/>
      </w:tblPr>
      <w:tblGrid>
        <w:gridCol w:w="8333"/>
      </w:tblGrid>
      <w:tr w:rsidR="007F7530" w:rsidRPr="007F7530" w:rsidTr="007F7530">
        <w:trPr>
          <w:tblCellSpacing w:w="0" w:type="dxa"/>
        </w:trPr>
        <w:tc>
          <w:tcPr>
            <w:tcW w:w="0" w:type="auto"/>
            <w:vAlign w:val="bottom"/>
            <w:hideMark/>
          </w:tcPr>
          <w:p w:rsidR="007F7530" w:rsidRPr="007F7530" w:rsidRDefault="007F7530" w:rsidP="007F7530">
            <w:pPr>
              <w:pStyle w:val="Sansinterligne"/>
              <w:spacing w:before="240"/>
              <w:rPr>
                <w:rFonts w:cs="Times New Roman"/>
                <w:b/>
                <w:sz w:val="18"/>
                <w:szCs w:val="18"/>
              </w:rPr>
            </w:pPr>
            <w:r>
              <w:rPr>
                <w:rFonts w:cs="Times New Roman"/>
                <w:b/>
                <w:noProof/>
                <w:sz w:val="18"/>
                <w:szCs w:val="18"/>
                <w:lang w:eastAsia="fr-CA"/>
              </w:rPr>
              <mc:AlternateContent>
                <mc:Choice Requires="wps">
                  <w:drawing>
                    <wp:anchor distT="0" distB="0" distL="114300" distR="114300" simplePos="0" relativeHeight="251927552" behindDoc="0" locked="0" layoutInCell="1" allowOverlap="1" wp14:anchorId="6492C209" wp14:editId="6D2ACC5A">
                      <wp:simplePos x="0" y="0"/>
                      <wp:positionH relativeFrom="column">
                        <wp:posOffset>-48895</wp:posOffset>
                      </wp:positionH>
                      <wp:positionV relativeFrom="paragraph">
                        <wp:posOffset>99695</wp:posOffset>
                      </wp:positionV>
                      <wp:extent cx="6964045" cy="3511550"/>
                      <wp:effectExtent l="0" t="0" r="27305" b="12700"/>
                      <wp:wrapNone/>
                      <wp:docPr id="444" name="Rectangle 444"/>
                      <wp:cNvGraphicFramePr/>
                      <a:graphic xmlns:a="http://schemas.openxmlformats.org/drawingml/2006/main">
                        <a:graphicData uri="http://schemas.microsoft.com/office/word/2010/wordprocessingShape">
                          <wps:wsp>
                            <wps:cNvSpPr/>
                            <wps:spPr>
                              <a:xfrm>
                                <a:off x="0" y="0"/>
                                <a:ext cx="6964045" cy="3511550"/>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444" o:spid="_x0000_s1026" style="position:absolute;margin-left:-3.85pt;margin-top:7.85pt;width:548.35pt;height:276.5pt;z-index:25192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" filled="f" strokecolor="black [1600]" strokeweight="2pt"/>
                  </w:pict>
                </mc:Fallback>
              </mc:AlternateContent>
            </w:r>
            <w:r w:rsidRPr="007F7530">
              <w:rPr>
                <w:rFonts w:cs="Times New Roman"/>
                <w:b/>
                <w:sz w:val="18"/>
                <w:szCs w:val="18"/>
              </w:rPr>
              <w:t>Objectifs principaux</w:t>
            </w:r>
          </w:p>
        </w:tc>
      </w:tr>
    </w:tbl>
    <w:p w:rsidR="007F7530" w:rsidRPr="007F7530" w:rsidRDefault="007F7530" w:rsidP="007F7530">
      <w:pPr>
        <w:pStyle w:val="NormalWeb"/>
        <w:ind w:left="360"/>
        <w:rPr>
          <w:color w:val="000000"/>
          <w:sz w:val="18"/>
          <w:szCs w:val="18"/>
          <w:shd w:val="clear" w:color="auto" w:fill="FFFFFF"/>
        </w:rPr>
      </w:pPr>
      <w:r w:rsidRPr="007F7530">
        <w:rPr>
          <w:color w:val="000000"/>
          <w:sz w:val="18"/>
          <w:szCs w:val="18"/>
          <w:shd w:val="clear" w:color="auto" w:fill="FFFFFF"/>
        </w:rPr>
        <w:t>Dans le cas d'un patient ayant des anomalies congénitales ou des traits dysmorphiques, le candidat devra en diagnostiquer la cause, déterminer la gravité du tableau clinique immédiat et mettre en place un plan de prise en charge approprié. Il devra en particulier déterminer si le patient a besoin de recevoir rapidement des soins spécialisés, de même que fournir soutien et conseils aux parents.</w:t>
      </w:r>
    </w:p>
    <w:tbl>
      <w:tblPr>
        <w:tblW w:w="3897" w:type="pct"/>
        <w:tblCellSpacing w:w="0" w:type="dxa"/>
        <w:tblCellMar>
          <w:left w:w="0" w:type="dxa"/>
          <w:right w:w="0" w:type="dxa"/>
        </w:tblCellMar>
        <w:tblLook w:val="04A0" w:firstRow="1" w:lastRow="0" w:firstColumn="1" w:lastColumn="0" w:noHBand="0" w:noVBand="1"/>
      </w:tblPr>
      <w:tblGrid>
        <w:gridCol w:w="8418"/>
      </w:tblGrid>
      <w:tr w:rsidR="007F7530" w:rsidRPr="007F7530" w:rsidTr="007F7530">
        <w:trPr>
          <w:trHeight w:val="366"/>
          <w:tblCellSpacing w:w="0" w:type="dxa"/>
        </w:trPr>
        <w:tc>
          <w:tcPr>
            <w:tcW w:w="0" w:type="auto"/>
            <w:vAlign w:val="bottom"/>
            <w:hideMark/>
          </w:tcPr>
          <w:p w:rsidR="007F7530" w:rsidRPr="007F7530" w:rsidRDefault="007F7530" w:rsidP="007F7530">
            <w:pPr>
              <w:pStyle w:val="Sansinterligne"/>
              <w:rPr>
                <w:rFonts w:cs="Times New Roman"/>
                <w:b/>
                <w:sz w:val="18"/>
                <w:szCs w:val="18"/>
              </w:rPr>
            </w:pPr>
            <w:r w:rsidRPr="007F7530">
              <w:rPr>
                <w:rFonts w:cs="Times New Roman"/>
                <w:b/>
                <w:sz w:val="18"/>
                <w:szCs w:val="18"/>
              </w:rPr>
              <w:t>Objectifs spécifiques</w:t>
            </w:r>
          </w:p>
        </w:tc>
      </w:tr>
    </w:tbl>
    <w:p w:rsidR="007F7530" w:rsidRPr="007F7530" w:rsidRDefault="007F7530" w:rsidP="007F7530">
      <w:pPr>
        <w:pStyle w:val="NormalWeb"/>
        <w:shd w:val="clear" w:color="auto" w:fill="FFFFFF"/>
        <w:ind w:left="360"/>
        <w:rPr>
          <w:color w:val="000000"/>
          <w:sz w:val="18"/>
          <w:szCs w:val="18"/>
          <w:shd w:val="clear" w:color="auto" w:fill="FFFFFF"/>
        </w:rPr>
      </w:pPr>
      <w:r w:rsidRPr="007F7530">
        <w:rPr>
          <w:color w:val="000000"/>
          <w:sz w:val="18"/>
          <w:szCs w:val="18"/>
          <w:shd w:val="clear" w:color="auto" w:fill="FFFFFF"/>
        </w:rPr>
        <w:t>Dans le cas d'un patient ayant des anomalies congénitales ou des traits dysmorphiques, le candidat devra</w:t>
      </w:r>
    </w:p>
    <w:p w:rsidR="007F7530" w:rsidRPr="007F7530" w:rsidRDefault="007F7530" w:rsidP="005D429F">
      <w:pPr>
        <w:numPr>
          <w:ilvl w:val="0"/>
          <w:numId w:val="914"/>
        </w:numPr>
        <w:shd w:val="clear" w:color="auto" w:fill="FFFFFF"/>
        <w:spacing w:before="100" w:beforeAutospacing="1" w:after="100" w:afterAutospacing="1" w:line="240" w:lineRule="auto"/>
        <w:rPr>
          <w:rFonts w:cs="Times New Roman"/>
          <w:color w:val="000000"/>
          <w:sz w:val="18"/>
          <w:szCs w:val="18"/>
          <w:shd w:val="clear" w:color="auto" w:fill="FFFFFF"/>
        </w:rPr>
      </w:pPr>
      <w:r w:rsidRPr="007F7530">
        <w:rPr>
          <w:rFonts w:cs="Times New Roman"/>
          <w:color w:val="000000"/>
          <w:sz w:val="18"/>
          <w:szCs w:val="18"/>
          <w:shd w:val="clear" w:color="auto" w:fill="FFFFFF"/>
        </w:rPr>
        <w:t>énumérer et interpréter les constatations cliniques cruciales, notamment celles découlant :</w:t>
      </w:r>
    </w:p>
    <w:p w:rsidR="007F7530" w:rsidRPr="007F7530" w:rsidRDefault="007F7530" w:rsidP="005D429F">
      <w:pPr>
        <w:numPr>
          <w:ilvl w:val="1"/>
          <w:numId w:val="914"/>
        </w:numPr>
        <w:shd w:val="clear" w:color="auto" w:fill="FFFFFF"/>
        <w:spacing w:before="100" w:beforeAutospacing="1" w:after="100" w:afterAutospacing="1" w:line="240" w:lineRule="auto"/>
        <w:rPr>
          <w:rFonts w:cs="Times New Roman"/>
          <w:color w:val="000000"/>
          <w:sz w:val="18"/>
          <w:szCs w:val="18"/>
          <w:shd w:val="clear" w:color="auto" w:fill="FFFFFF"/>
        </w:rPr>
      </w:pPr>
      <w:r w:rsidRPr="007F7530">
        <w:rPr>
          <w:rFonts w:cs="Times New Roman"/>
          <w:color w:val="000000"/>
          <w:sz w:val="18"/>
          <w:szCs w:val="18"/>
          <w:shd w:val="clear" w:color="auto" w:fill="FFFFFF"/>
        </w:rPr>
        <w:t>d'une anamnèse appropriée effectuée en accordant une attention particulière aux expositions tératogènes possibles et aux antécédents familiaux;</w:t>
      </w:r>
    </w:p>
    <w:p w:rsidR="007F7530" w:rsidRPr="007F7530" w:rsidRDefault="007F7530" w:rsidP="005D429F">
      <w:pPr>
        <w:numPr>
          <w:ilvl w:val="1"/>
          <w:numId w:val="914"/>
        </w:numPr>
        <w:shd w:val="clear" w:color="auto" w:fill="FFFFFF"/>
        <w:spacing w:before="100" w:beforeAutospacing="1" w:after="100" w:afterAutospacing="1" w:line="240" w:lineRule="auto"/>
        <w:rPr>
          <w:rFonts w:cs="Times New Roman"/>
          <w:color w:val="000000"/>
          <w:sz w:val="18"/>
          <w:szCs w:val="18"/>
          <w:shd w:val="clear" w:color="auto" w:fill="FFFFFF"/>
        </w:rPr>
      </w:pPr>
      <w:r w:rsidRPr="007F7530">
        <w:rPr>
          <w:rFonts w:cs="Times New Roman"/>
          <w:color w:val="000000"/>
          <w:sz w:val="18"/>
          <w:szCs w:val="18"/>
          <w:shd w:val="clear" w:color="auto" w:fill="FFFFFF"/>
        </w:rPr>
        <w:t>d'un examen physique approprié réalisé en portant une attention particulière aux signes d'anomalies graves (p. ex. malformations cardiovasculaires), à l'ambiguïté sexuelle et aux phénotypes reconnaissables (p. ex. syndrome de Down);</w:t>
      </w:r>
    </w:p>
    <w:p w:rsidR="007F7530" w:rsidRPr="007F7530" w:rsidRDefault="007F7530" w:rsidP="005D429F">
      <w:pPr>
        <w:numPr>
          <w:ilvl w:val="0"/>
          <w:numId w:val="914"/>
        </w:numPr>
        <w:shd w:val="clear" w:color="auto" w:fill="FFFFFF"/>
        <w:spacing w:before="100" w:beforeAutospacing="1" w:after="100" w:afterAutospacing="1" w:line="240" w:lineRule="auto"/>
        <w:rPr>
          <w:rFonts w:cs="Times New Roman"/>
          <w:color w:val="000000"/>
          <w:sz w:val="18"/>
          <w:szCs w:val="18"/>
          <w:shd w:val="clear" w:color="auto" w:fill="FFFFFF"/>
        </w:rPr>
      </w:pPr>
      <w:r w:rsidRPr="007F7530">
        <w:rPr>
          <w:rFonts w:cs="Times New Roman"/>
          <w:color w:val="000000"/>
          <w:sz w:val="18"/>
          <w:szCs w:val="18"/>
          <w:shd w:val="clear" w:color="auto" w:fill="FFFFFF"/>
        </w:rPr>
        <w:t>énumérer et interpréter les examens appropriés (p. ex. caryotypage, dépistage de la toxoplasmose, de la rubéole, du cytomégalovirus, de l'herpès et du virus de l'immunodéficience humaine [TORCH]);</w:t>
      </w:r>
    </w:p>
    <w:p w:rsidR="007F7530" w:rsidRPr="007F7530" w:rsidRDefault="007F7530" w:rsidP="005D429F">
      <w:pPr>
        <w:numPr>
          <w:ilvl w:val="0"/>
          <w:numId w:val="914"/>
        </w:numPr>
        <w:shd w:val="clear" w:color="auto" w:fill="FFFFFF"/>
        <w:spacing w:before="100" w:beforeAutospacing="1" w:after="100" w:afterAutospacing="1" w:line="240" w:lineRule="auto"/>
        <w:rPr>
          <w:rFonts w:cs="Times New Roman"/>
          <w:color w:val="000000"/>
          <w:sz w:val="18"/>
          <w:szCs w:val="18"/>
          <w:shd w:val="clear" w:color="auto" w:fill="FFFFFF"/>
        </w:rPr>
      </w:pPr>
      <w:r w:rsidRPr="007F7530">
        <w:rPr>
          <w:rFonts w:cs="Times New Roman"/>
          <w:color w:val="000000"/>
          <w:sz w:val="18"/>
          <w:szCs w:val="18"/>
          <w:shd w:val="clear" w:color="auto" w:fill="FFFFFF"/>
        </w:rPr>
        <w:t>établir un plan efficace de prise en charge initiale, notamment :</w:t>
      </w:r>
    </w:p>
    <w:p w:rsidR="007F7530" w:rsidRPr="007F7530" w:rsidRDefault="007F7530" w:rsidP="005D429F">
      <w:pPr>
        <w:numPr>
          <w:ilvl w:val="1"/>
          <w:numId w:val="914"/>
        </w:numPr>
        <w:shd w:val="clear" w:color="auto" w:fill="FFFFFF"/>
        <w:spacing w:before="100" w:beforeAutospacing="1" w:after="100" w:afterAutospacing="1" w:line="240" w:lineRule="auto"/>
        <w:rPr>
          <w:rFonts w:cs="Times New Roman"/>
          <w:color w:val="000000"/>
          <w:sz w:val="18"/>
          <w:szCs w:val="18"/>
          <w:shd w:val="clear" w:color="auto" w:fill="FFFFFF"/>
        </w:rPr>
      </w:pPr>
      <w:r w:rsidRPr="007F7530">
        <w:rPr>
          <w:rFonts w:cs="Times New Roman"/>
          <w:color w:val="000000"/>
          <w:sz w:val="18"/>
          <w:szCs w:val="18"/>
          <w:shd w:val="clear" w:color="auto" w:fill="FFFFFF"/>
        </w:rPr>
        <w:t>stabiliser et adresser immédiatement tout patient hémodynamiquement instable;</w:t>
      </w:r>
    </w:p>
    <w:p w:rsidR="007F7530" w:rsidRPr="007F7530" w:rsidRDefault="007F7530" w:rsidP="005D429F">
      <w:pPr>
        <w:numPr>
          <w:ilvl w:val="1"/>
          <w:numId w:val="914"/>
        </w:numPr>
        <w:shd w:val="clear" w:color="auto" w:fill="FFFFFF"/>
        <w:spacing w:before="100" w:beforeAutospacing="1" w:after="100" w:afterAutospacing="1" w:line="240" w:lineRule="auto"/>
        <w:rPr>
          <w:rFonts w:cs="Times New Roman"/>
          <w:color w:val="000000"/>
          <w:sz w:val="18"/>
          <w:szCs w:val="18"/>
          <w:shd w:val="clear" w:color="auto" w:fill="FFFFFF"/>
        </w:rPr>
      </w:pPr>
      <w:r w:rsidRPr="007F7530">
        <w:rPr>
          <w:rFonts w:cs="Times New Roman"/>
          <w:color w:val="000000"/>
          <w:sz w:val="18"/>
          <w:szCs w:val="18"/>
          <w:shd w:val="clear" w:color="auto" w:fill="FFFFFF"/>
        </w:rPr>
        <w:t>adresser au besoin le patient vers des soins pédiatriques ou génétiques spécialisés;</w:t>
      </w:r>
    </w:p>
    <w:p w:rsidR="007F7530" w:rsidRPr="007F7530" w:rsidRDefault="007F7530" w:rsidP="005D429F">
      <w:pPr>
        <w:numPr>
          <w:ilvl w:val="1"/>
          <w:numId w:val="914"/>
        </w:numPr>
        <w:shd w:val="clear" w:color="auto" w:fill="FFFFFF"/>
        <w:spacing w:before="100" w:beforeAutospacing="1" w:after="100" w:afterAutospacing="1" w:line="240" w:lineRule="auto"/>
        <w:rPr>
          <w:rFonts w:cs="Times New Roman"/>
          <w:color w:val="000000"/>
          <w:sz w:val="18"/>
          <w:szCs w:val="18"/>
          <w:shd w:val="clear" w:color="auto" w:fill="FFFFFF"/>
        </w:rPr>
      </w:pPr>
      <w:r w:rsidRPr="007F7530">
        <w:rPr>
          <w:rFonts w:cs="Times New Roman"/>
          <w:color w:val="000000"/>
          <w:sz w:val="18"/>
          <w:szCs w:val="18"/>
          <w:shd w:val="clear" w:color="auto" w:fill="FFFFFF"/>
        </w:rPr>
        <w:t>adresser au besoin le patient vers des services de counseling ou de thérapie et des groupes de soutien à la famille;</w:t>
      </w:r>
    </w:p>
    <w:p w:rsidR="007F7530" w:rsidRPr="00FF2603" w:rsidRDefault="007F7530" w:rsidP="005D429F">
      <w:pPr>
        <w:numPr>
          <w:ilvl w:val="1"/>
          <w:numId w:val="914"/>
        </w:numPr>
        <w:shd w:val="clear" w:color="auto" w:fill="FFFFFF"/>
        <w:spacing w:before="100" w:beforeAutospacing="1" w:after="100" w:afterAutospacing="1" w:line="240" w:lineRule="auto"/>
        <w:rPr>
          <w:rFonts w:cs="Times New Roman"/>
          <w:color w:val="000000"/>
          <w:sz w:val="18"/>
          <w:szCs w:val="18"/>
          <w:shd w:val="clear" w:color="auto" w:fill="FFFFFF"/>
        </w:rPr>
      </w:pPr>
      <w:r w:rsidRPr="007F7530">
        <w:rPr>
          <w:rFonts w:cs="Times New Roman"/>
          <w:color w:val="000000"/>
          <w:sz w:val="18"/>
          <w:szCs w:val="18"/>
          <w:shd w:val="clear" w:color="auto" w:fill="FFFFFF"/>
        </w:rPr>
        <w:t>fournir soutien et conseils à la famille à propos des risques de récurrence, en abordant notamment les stratégies de prévention d'une telle récurrence ainsi que les indications de tests de dépistage et de diagnostic prénataux, et en adressant s'il y a lieu les membres de la famille pour des conseils génétiques.</w:t>
      </w:r>
    </w:p>
    <w:p w:rsidR="0090151F" w:rsidRPr="004651AF" w:rsidRDefault="0090151F" w:rsidP="00F33D03">
      <w:pPr>
        <w:pStyle w:val="Sansinterligne"/>
        <w:ind w:right="4563"/>
        <w:rPr>
          <w:b/>
          <w:sz w:val="28"/>
          <w:szCs w:val="28"/>
        </w:rPr>
      </w:pPr>
      <w:r w:rsidRPr="004651AF">
        <w:rPr>
          <w:b/>
          <w:sz w:val="28"/>
          <w:szCs w:val="28"/>
        </w:rPr>
        <w:t>Définition</w:t>
      </w:r>
    </w:p>
    <w:p w:rsidR="0090151F" w:rsidRDefault="0090151F" w:rsidP="00F33D03">
      <w:pPr>
        <w:pStyle w:val="Sansinterligne"/>
        <w:ind w:right="4563"/>
      </w:pPr>
    </w:p>
    <w:p w:rsidR="00FF2603" w:rsidRDefault="007E1995" w:rsidP="00F33D03">
      <w:pPr>
        <w:pStyle w:val="Sansinterligne"/>
        <w:ind w:right="4563"/>
      </w:pPr>
      <w:r>
        <w:rPr>
          <w:noProof/>
          <w:lang w:eastAsia="fr-CA"/>
        </w:rPr>
        <w:drawing>
          <wp:anchor distT="0" distB="0" distL="114300" distR="114300" simplePos="0" relativeHeight="251936768" behindDoc="0" locked="0" layoutInCell="1" allowOverlap="1" wp14:anchorId="1DEE9262" wp14:editId="64726C7A">
            <wp:simplePos x="0" y="0"/>
            <wp:positionH relativeFrom="column">
              <wp:posOffset>3940175</wp:posOffset>
            </wp:positionH>
            <wp:positionV relativeFrom="paragraph">
              <wp:posOffset>163830</wp:posOffset>
            </wp:positionV>
            <wp:extent cx="2969895" cy="3014980"/>
            <wp:effectExtent l="0" t="0" r="1905" b="0"/>
            <wp:wrapNone/>
            <wp:docPr id="454" name="Image 454" descr="Résultats de recherche d'images pour « congenital anomali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ésultats de recherche d'images pour « congenital anomalies »"/>
                    <pic:cNvPicPr>
                      <a:picLocks noChangeAspect="1" noChangeArrowheads="1"/>
                    </pic:cNvPicPr>
                  </pic:nvPicPr>
                  <pic:blipFill rotWithShape="1">
                    <a:blip r:embed="rId123">
                      <a:extLst>
                        <a:ext uri="{28A0092B-C50C-407E-A947-70E740481C1C}">
                          <a14:useLocalDpi xmlns:a14="http://schemas.microsoft.com/office/drawing/2010/main" val="0"/>
                        </a:ext>
                      </a:extLst>
                    </a:blip>
                    <a:srcRect l="1076" t="5195" b="8163"/>
                    <a:stretch/>
                  </pic:blipFill>
                  <pic:spPr bwMode="auto">
                    <a:xfrm>
                      <a:off x="0" y="0"/>
                      <a:ext cx="2969895" cy="301498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F2603">
        <w:t>Une anomalie congénitale est une anomalie présente à la naissance de l’enfant. Elle peut donc résulter d’une anomalie génétique ou d’une pathologie survenue durant la gestation.</w:t>
      </w:r>
    </w:p>
    <w:p w:rsidR="00FF2603" w:rsidRDefault="00FF2603" w:rsidP="00F33D03">
      <w:pPr>
        <w:pStyle w:val="Sansinterligne"/>
        <w:ind w:right="4563"/>
      </w:pPr>
    </w:p>
    <w:p w:rsidR="00FF2603" w:rsidRDefault="00FF2603" w:rsidP="00F33D03">
      <w:pPr>
        <w:pStyle w:val="Sansinterligne"/>
        <w:ind w:right="4563"/>
      </w:pPr>
      <w:r>
        <w:t>Ces anomalies peuvent se manifester par des anomalies cliniquemen</w:t>
      </w:r>
      <w:r w:rsidR="00722395">
        <w:t>t visibles comme des traits dys</w:t>
      </w:r>
      <w:r>
        <w:t>morphiques.</w:t>
      </w:r>
    </w:p>
    <w:p w:rsidR="00F33D03" w:rsidRDefault="00F33D03" w:rsidP="00F33D03">
      <w:pPr>
        <w:pStyle w:val="Sansinterligne"/>
        <w:ind w:right="4563"/>
      </w:pPr>
    </w:p>
    <w:p w:rsidR="00FF2603" w:rsidRDefault="00FF2603" w:rsidP="00F33D03">
      <w:pPr>
        <w:pStyle w:val="Sansinterligne"/>
        <w:ind w:right="4563"/>
      </w:pPr>
      <w:r w:rsidRPr="00F33D03">
        <w:rPr>
          <w:highlight w:val="yellow"/>
          <w:u w:val="single"/>
        </w:rPr>
        <w:t>Malformation</w:t>
      </w:r>
      <w:r w:rsidRPr="00F33D03">
        <w:rPr>
          <w:u w:val="single"/>
        </w:rPr>
        <w:t> </w:t>
      </w:r>
      <w:r>
        <w:t xml:space="preserve">: </w:t>
      </w:r>
      <w:r w:rsidR="00F33D03" w:rsidRPr="00F33D03">
        <w:rPr>
          <w:i/>
        </w:rPr>
        <w:t>Issue d’un processus de développement intrinsèquement pathologique.</w:t>
      </w:r>
    </w:p>
    <w:p w:rsidR="00FF2603" w:rsidRDefault="00F33D03" w:rsidP="00F33D03">
      <w:pPr>
        <w:pStyle w:val="Sansinterligne"/>
        <w:ind w:right="4563"/>
      </w:pPr>
      <w:r w:rsidRPr="00F33D03">
        <w:rPr>
          <w:highlight w:val="yellow"/>
          <w:u w:val="single"/>
        </w:rPr>
        <w:t>Perturbation</w:t>
      </w:r>
      <w:r>
        <w:t xml:space="preserve"> : </w:t>
      </w:r>
      <w:r>
        <w:rPr>
          <w:i/>
        </w:rPr>
        <w:t>Résulta</w:t>
      </w:r>
      <w:r w:rsidRPr="00F33D03">
        <w:rPr>
          <w:i/>
        </w:rPr>
        <w:t>t d’une interruption ou d’une interférence avec le processus développemental.</w:t>
      </w:r>
    </w:p>
    <w:p w:rsidR="00F33D03" w:rsidRDefault="00F33D03" w:rsidP="00F33D03">
      <w:pPr>
        <w:pStyle w:val="Sansinterligne"/>
        <w:ind w:right="4563"/>
      </w:pPr>
      <w:r w:rsidRPr="00F33D03">
        <w:rPr>
          <w:highlight w:val="yellow"/>
          <w:u w:val="single"/>
        </w:rPr>
        <w:t>Déformation</w:t>
      </w:r>
      <w:r>
        <w:t xml:space="preserve"> : </w:t>
      </w:r>
      <w:r w:rsidRPr="00F33D03">
        <w:rPr>
          <w:i/>
        </w:rPr>
        <w:t>Altération d’une structure par des forces mécaniques s’exerçant sur un organe ou un membre formé.</w:t>
      </w:r>
    </w:p>
    <w:p w:rsidR="00F33D03" w:rsidRDefault="00F33D03" w:rsidP="00F33D03">
      <w:pPr>
        <w:pStyle w:val="Sansinterligne"/>
        <w:ind w:right="4563"/>
      </w:pPr>
      <w:r w:rsidRPr="00F33D03">
        <w:rPr>
          <w:highlight w:val="yellow"/>
          <w:u w:val="single"/>
        </w:rPr>
        <w:t>Dysplasie</w:t>
      </w:r>
      <w:r>
        <w:t xml:space="preserve"> : </w:t>
      </w:r>
      <w:r w:rsidRPr="00F33D03">
        <w:rPr>
          <w:i/>
        </w:rPr>
        <w:t>Organisation pathologique d’un tissu résultant d’un développement anormal</w:t>
      </w:r>
    </w:p>
    <w:p w:rsidR="00FF2603" w:rsidRDefault="00FF2603" w:rsidP="00F33D03">
      <w:pPr>
        <w:pStyle w:val="Sansinterligne"/>
        <w:ind w:right="4563"/>
      </w:pPr>
    </w:p>
    <w:p w:rsidR="00F33D03" w:rsidRDefault="00F33D03" w:rsidP="00F33D03">
      <w:pPr>
        <w:pStyle w:val="Sansinterligne"/>
        <w:ind w:right="4563"/>
      </w:pPr>
      <w:r w:rsidRPr="00F33D03">
        <w:rPr>
          <w:highlight w:val="yellow"/>
        </w:rPr>
        <w:t>Lorsque les anomalies sont nombreuses ou importante</w:t>
      </w:r>
      <w:r>
        <w:rPr>
          <w:highlight w:val="yellow"/>
        </w:rPr>
        <w:t>s</w:t>
      </w:r>
      <w:r w:rsidRPr="00F33D03">
        <w:rPr>
          <w:highlight w:val="yellow"/>
        </w:rPr>
        <w:t>, il faut considérer l’existence d’un syndrome sous-jacent. Il faut alors questionner la grossesse, l’exposition à certains agents tératogènes et rechercher la présence d’anomalies familiales pouvant être transmises</w:t>
      </w:r>
      <w:r>
        <w:t>.</w:t>
      </w:r>
    </w:p>
    <w:p w:rsidR="00F33D03" w:rsidRDefault="00F33D03" w:rsidP="0090151F">
      <w:pPr>
        <w:pStyle w:val="Sansinterligne"/>
      </w:pPr>
    </w:p>
    <w:p w:rsidR="00F33D03" w:rsidRDefault="00F33D03" w:rsidP="0090151F">
      <w:pPr>
        <w:pStyle w:val="Sansinterligne"/>
      </w:pPr>
    </w:p>
    <w:p w:rsidR="00F33D03" w:rsidRDefault="00F33D03" w:rsidP="0090151F">
      <w:pPr>
        <w:pStyle w:val="Sansinterligne"/>
      </w:pPr>
    </w:p>
    <w:p w:rsidR="00F33D03" w:rsidRDefault="00F33D03" w:rsidP="0090151F">
      <w:pPr>
        <w:pStyle w:val="Sansinterligne"/>
      </w:pPr>
    </w:p>
    <w:p w:rsidR="00F33D03" w:rsidRDefault="00F33D03" w:rsidP="0090151F">
      <w:pPr>
        <w:pStyle w:val="Sansinterligne"/>
      </w:pPr>
    </w:p>
    <w:p w:rsidR="00E12C64" w:rsidRDefault="00E12C64" w:rsidP="0090151F">
      <w:pPr>
        <w:pStyle w:val="Sansinterligne"/>
      </w:pPr>
    </w:p>
    <w:p w:rsidR="0090151F" w:rsidRPr="004651AF" w:rsidRDefault="0090151F" w:rsidP="0090151F">
      <w:pPr>
        <w:pStyle w:val="Sansinterligne"/>
        <w:rPr>
          <w:b/>
          <w:sz w:val="28"/>
          <w:szCs w:val="28"/>
        </w:rPr>
      </w:pPr>
      <w:r w:rsidRPr="004651AF">
        <w:rPr>
          <w:b/>
          <w:sz w:val="28"/>
          <w:szCs w:val="28"/>
        </w:rPr>
        <w:lastRenderedPageBreak/>
        <w:t>Diagnostics (liste non-exhaustive)</w:t>
      </w:r>
    </w:p>
    <w:p w:rsidR="0090151F" w:rsidRDefault="0090151F" w:rsidP="0090151F">
      <w:pPr>
        <w:pStyle w:val="Sansinterligne"/>
      </w:pPr>
    </w:p>
    <w:tbl>
      <w:tblPr>
        <w:tblStyle w:val="Grilledutableau"/>
        <w:tblW w:w="0" w:type="auto"/>
        <w:tblLook w:val="04A0" w:firstRow="1" w:lastRow="0" w:firstColumn="1" w:lastColumn="0" w:noHBand="0" w:noVBand="1"/>
      </w:tblPr>
      <w:tblGrid>
        <w:gridCol w:w="2144"/>
        <w:gridCol w:w="2616"/>
        <w:gridCol w:w="138"/>
        <w:gridCol w:w="7"/>
        <w:gridCol w:w="2678"/>
        <w:gridCol w:w="3433"/>
      </w:tblGrid>
      <w:tr w:rsidR="00600C42" w:rsidTr="00D82B2C">
        <w:tc>
          <w:tcPr>
            <w:tcW w:w="11016" w:type="dxa"/>
            <w:gridSpan w:val="6"/>
            <w:shd w:val="clear" w:color="auto" w:fill="FFC000"/>
          </w:tcPr>
          <w:p w:rsidR="00600C42" w:rsidRDefault="00600C42" w:rsidP="00600C42">
            <w:pPr>
              <w:pStyle w:val="Sansinterligne"/>
              <w:jc w:val="center"/>
            </w:pPr>
            <w:r>
              <w:t>Syndromes génétiques</w:t>
            </w:r>
          </w:p>
        </w:tc>
      </w:tr>
      <w:tr w:rsidR="00600C42" w:rsidTr="00134257">
        <w:tc>
          <w:tcPr>
            <w:tcW w:w="2144" w:type="dxa"/>
            <w:shd w:val="clear" w:color="auto" w:fill="D6E3BC" w:themeFill="accent3" w:themeFillTint="66"/>
          </w:tcPr>
          <w:p w:rsidR="00600C42" w:rsidRPr="00D82B2C" w:rsidRDefault="00600C42" w:rsidP="00600C42">
            <w:pPr>
              <w:pStyle w:val="Sansinterligne"/>
              <w:jc w:val="center"/>
              <w:rPr>
                <w:i/>
              </w:rPr>
            </w:pPr>
            <w:r w:rsidRPr="00D82B2C">
              <w:rPr>
                <w:i/>
              </w:rPr>
              <w:t>Diagnostic</w:t>
            </w:r>
          </w:p>
        </w:tc>
        <w:tc>
          <w:tcPr>
            <w:tcW w:w="5439" w:type="dxa"/>
            <w:gridSpan w:val="4"/>
            <w:shd w:val="clear" w:color="auto" w:fill="D6E3BC" w:themeFill="accent3" w:themeFillTint="66"/>
          </w:tcPr>
          <w:p w:rsidR="00600C42" w:rsidRPr="00D82B2C" w:rsidRDefault="00600C42" w:rsidP="00600C42">
            <w:pPr>
              <w:pStyle w:val="Sansinterligne"/>
              <w:jc w:val="center"/>
              <w:rPr>
                <w:i/>
              </w:rPr>
            </w:pPr>
            <w:r w:rsidRPr="00D82B2C">
              <w:rPr>
                <w:i/>
              </w:rPr>
              <w:t>Manifestations cliniques</w:t>
            </w:r>
          </w:p>
        </w:tc>
        <w:tc>
          <w:tcPr>
            <w:tcW w:w="3433" w:type="dxa"/>
            <w:shd w:val="clear" w:color="auto" w:fill="D6E3BC" w:themeFill="accent3" w:themeFillTint="66"/>
          </w:tcPr>
          <w:p w:rsidR="00600C42" w:rsidRPr="00D82B2C" w:rsidRDefault="00600C42" w:rsidP="00600C42">
            <w:pPr>
              <w:pStyle w:val="Sansinterligne"/>
              <w:jc w:val="center"/>
              <w:rPr>
                <w:i/>
              </w:rPr>
            </w:pPr>
            <w:r w:rsidRPr="00D82B2C">
              <w:rPr>
                <w:i/>
              </w:rPr>
              <w:t>Phénotype</w:t>
            </w:r>
          </w:p>
        </w:tc>
      </w:tr>
      <w:tr w:rsidR="00DE6233" w:rsidTr="00134257">
        <w:tc>
          <w:tcPr>
            <w:tcW w:w="2144" w:type="dxa"/>
            <w:vMerge w:val="restart"/>
            <w:shd w:val="clear" w:color="auto" w:fill="D6E3BC" w:themeFill="accent3" w:themeFillTint="66"/>
            <w:vAlign w:val="center"/>
          </w:tcPr>
          <w:p w:rsidR="00604130" w:rsidRDefault="00604130" w:rsidP="00D82B2C">
            <w:pPr>
              <w:pStyle w:val="Sansinterligne"/>
              <w:jc w:val="center"/>
              <w:rPr>
                <w:b/>
              </w:rPr>
            </w:pPr>
            <w:r w:rsidRPr="00D82B2C">
              <w:rPr>
                <w:b/>
              </w:rPr>
              <w:t>Syndrome de Down</w:t>
            </w:r>
          </w:p>
          <w:p w:rsidR="00604130" w:rsidRDefault="00604130" w:rsidP="00D82B2C">
            <w:pPr>
              <w:pStyle w:val="Sansinterligne"/>
              <w:jc w:val="center"/>
              <w:rPr>
                <w:b/>
              </w:rPr>
            </w:pPr>
            <w:r>
              <w:rPr>
                <w:b/>
              </w:rPr>
              <w:t>(Trisomie 21)</w:t>
            </w:r>
          </w:p>
          <w:p w:rsidR="00604130" w:rsidRDefault="00604130" w:rsidP="00D82B2C">
            <w:pPr>
              <w:pStyle w:val="Sansinterligne"/>
              <w:jc w:val="center"/>
              <w:rPr>
                <w:b/>
              </w:rPr>
            </w:pPr>
          </w:p>
          <w:p w:rsidR="00604130" w:rsidRPr="00623FC2" w:rsidRDefault="00604130" w:rsidP="00D82B2C">
            <w:pPr>
              <w:pStyle w:val="Sansinterligne"/>
              <w:jc w:val="center"/>
            </w:pPr>
            <w:r w:rsidRPr="00623FC2">
              <w:t xml:space="preserve">1 :700 </w:t>
            </w:r>
          </w:p>
          <w:p w:rsidR="00604130" w:rsidRPr="00D82B2C" w:rsidRDefault="00604130" w:rsidP="00D82B2C">
            <w:pPr>
              <w:pStyle w:val="Sansinterligne"/>
              <w:jc w:val="center"/>
              <w:rPr>
                <w:b/>
              </w:rPr>
            </w:pPr>
            <w:r w:rsidRPr="00623FC2">
              <w:t>(+ fréquente)</w:t>
            </w:r>
          </w:p>
        </w:tc>
        <w:tc>
          <w:tcPr>
            <w:tcW w:w="5439" w:type="dxa"/>
            <w:gridSpan w:val="4"/>
            <w:tcBorders>
              <w:bottom w:val="single" w:sz="4" w:space="0" w:color="FFFFFF" w:themeColor="background1"/>
            </w:tcBorders>
          </w:tcPr>
          <w:p w:rsidR="00604130" w:rsidRDefault="00604130" w:rsidP="005D429F">
            <w:pPr>
              <w:pStyle w:val="Sansinterligne"/>
              <w:numPr>
                <w:ilvl w:val="0"/>
                <w:numId w:val="934"/>
              </w:numPr>
            </w:pPr>
            <w:r w:rsidRPr="00604130">
              <w:t>Âge maternel avancé</w:t>
            </w:r>
            <w:r w:rsidR="00663321">
              <w:t xml:space="preserve"> (FR important)</w:t>
            </w:r>
          </w:p>
          <w:p w:rsidR="00B62AA5" w:rsidRPr="00604130" w:rsidRDefault="00B62AA5" w:rsidP="00B62AA5">
            <w:pPr>
              <w:pStyle w:val="Sansinterligne"/>
              <w:ind w:left="360"/>
            </w:pPr>
          </w:p>
        </w:tc>
        <w:tc>
          <w:tcPr>
            <w:tcW w:w="3433" w:type="dxa"/>
            <w:vMerge w:val="restart"/>
            <w:shd w:val="clear" w:color="auto" w:fill="FFFFFF" w:themeFill="background1"/>
            <w:vAlign w:val="center"/>
          </w:tcPr>
          <w:p w:rsidR="00604130" w:rsidRDefault="00604130" w:rsidP="00B06ED0">
            <w:pPr>
              <w:pStyle w:val="Sansinterligne"/>
              <w:rPr>
                <w:noProof/>
                <w:lang w:eastAsia="fr-CA"/>
              </w:rPr>
            </w:pPr>
            <w:r>
              <w:rPr>
                <w:noProof/>
                <w:lang w:eastAsia="fr-CA"/>
              </w:rPr>
              <w:drawing>
                <wp:anchor distT="0" distB="0" distL="114300" distR="114300" simplePos="0" relativeHeight="251940864" behindDoc="0" locked="0" layoutInCell="1" allowOverlap="1" wp14:anchorId="6A319A1A" wp14:editId="0BF1CD63">
                  <wp:simplePos x="0" y="0"/>
                  <wp:positionH relativeFrom="column">
                    <wp:posOffset>-51435</wp:posOffset>
                  </wp:positionH>
                  <wp:positionV relativeFrom="paragraph">
                    <wp:posOffset>97155</wp:posOffset>
                  </wp:positionV>
                  <wp:extent cx="2125345" cy="1892300"/>
                  <wp:effectExtent l="0" t="0" r="8255" b="0"/>
                  <wp:wrapNone/>
                  <wp:docPr id="455" name="Image 455" descr="Résultats de recherche d'images pour « down syndrome baby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ésultats de recherche d'images pour « down syndrome baby »"/>
                          <pic:cNvPicPr>
                            <a:picLocks noChangeAspect="1" noChangeArrowheads="1"/>
                          </pic:cNvPicPr>
                        </pic:nvPicPr>
                        <pic:blipFill rotWithShape="1">
                          <a:blip r:embed="rId124" cstate="print">
                            <a:extLst>
                              <a:ext uri="{28A0092B-C50C-407E-A947-70E740481C1C}">
                                <a14:useLocalDpi xmlns:a14="http://schemas.microsoft.com/office/drawing/2010/main" val="0"/>
                              </a:ext>
                            </a:extLst>
                          </a:blip>
                          <a:srcRect l="10448" r="28856"/>
                          <a:stretch/>
                        </pic:blipFill>
                        <pic:spPr bwMode="auto">
                          <a:xfrm>
                            <a:off x="0" y="0"/>
                            <a:ext cx="2125345" cy="18923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360F2D" w:rsidTr="00134257">
        <w:tc>
          <w:tcPr>
            <w:tcW w:w="2144" w:type="dxa"/>
            <w:vMerge/>
            <w:shd w:val="clear" w:color="auto" w:fill="D6E3BC" w:themeFill="accent3" w:themeFillTint="66"/>
            <w:vAlign w:val="center"/>
          </w:tcPr>
          <w:p w:rsidR="00604130" w:rsidRPr="00D82B2C" w:rsidRDefault="00604130" w:rsidP="00D82B2C">
            <w:pPr>
              <w:pStyle w:val="Sansinterligne"/>
              <w:jc w:val="center"/>
              <w:rPr>
                <w:b/>
              </w:rPr>
            </w:pPr>
          </w:p>
        </w:tc>
        <w:tc>
          <w:tcPr>
            <w:tcW w:w="2754" w:type="dxa"/>
            <w:gridSpan w:val="2"/>
            <w:tcBorders>
              <w:top w:val="single" w:sz="4" w:space="0" w:color="FFFFFF" w:themeColor="background1"/>
              <w:right w:val="single" w:sz="4" w:space="0" w:color="FFFFFF" w:themeColor="background1"/>
            </w:tcBorders>
          </w:tcPr>
          <w:p w:rsidR="00604130" w:rsidRPr="00D82B2C" w:rsidRDefault="00604130" w:rsidP="00D82B2C">
            <w:pPr>
              <w:pStyle w:val="Sansinterligne"/>
              <w:rPr>
                <w:b/>
              </w:rPr>
            </w:pPr>
            <w:r w:rsidRPr="00D82B2C">
              <w:rPr>
                <w:b/>
              </w:rPr>
              <w:t>Tête et visage</w:t>
            </w:r>
          </w:p>
          <w:p w:rsidR="00604130" w:rsidRPr="00D82B2C" w:rsidRDefault="00604130" w:rsidP="005D429F">
            <w:pPr>
              <w:pStyle w:val="Sansinterligne"/>
              <w:numPr>
                <w:ilvl w:val="0"/>
                <w:numId w:val="927"/>
              </w:numPr>
              <w:rPr>
                <w:highlight w:val="yellow"/>
              </w:rPr>
            </w:pPr>
            <w:r w:rsidRPr="00D82B2C">
              <w:rPr>
                <w:highlight w:val="yellow"/>
              </w:rPr>
              <w:t>Microcéphalie</w:t>
            </w:r>
          </w:p>
          <w:p w:rsidR="00604130" w:rsidRDefault="00604130" w:rsidP="005D429F">
            <w:pPr>
              <w:pStyle w:val="Sansinterligne"/>
              <w:numPr>
                <w:ilvl w:val="0"/>
                <w:numId w:val="927"/>
              </w:numPr>
            </w:pPr>
            <w:r>
              <w:t>Occiput flat</w:t>
            </w:r>
          </w:p>
          <w:p w:rsidR="00604130" w:rsidRDefault="00604130" w:rsidP="005D429F">
            <w:pPr>
              <w:pStyle w:val="Sansinterligne"/>
              <w:numPr>
                <w:ilvl w:val="0"/>
                <w:numId w:val="927"/>
              </w:numPr>
            </w:pPr>
            <w:r>
              <w:t>Brachycéphalie</w:t>
            </w:r>
          </w:p>
          <w:p w:rsidR="00604130" w:rsidRDefault="00604130" w:rsidP="005D429F">
            <w:pPr>
              <w:pStyle w:val="Sansinterligne"/>
              <w:numPr>
                <w:ilvl w:val="0"/>
                <w:numId w:val="927"/>
              </w:numPr>
            </w:pPr>
            <w:r>
              <w:t>Fentes palpébrales mongoloïdes</w:t>
            </w:r>
          </w:p>
          <w:p w:rsidR="00604130" w:rsidRPr="00D82B2C" w:rsidRDefault="00807241" w:rsidP="005D429F">
            <w:pPr>
              <w:pStyle w:val="Sansinterligne"/>
              <w:numPr>
                <w:ilvl w:val="0"/>
                <w:numId w:val="927"/>
              </w:numPr>
              <w:rPr>
                <w:highlight w:val="yellow"/>
              </w:rPr>
            </w:pPr>
            <w:r>
              <w:rPr>
                <w:highlight w:val="yellow"/>
              </w:rPr>
              <w:t>Pli é</w:t>
            </w:r>
            <w:r w:rsidR="00604130" w:rsidRPr="00D82B2C">
              <w:rPr>
                <w:highlight w:val="yellow"/>
              </w:rPr>
              <w:t>picanthus internes</w:t>
            </w:r>
          </w:p>
          <w:p w:rsidR="00604130" w:rsidRDefault="00604130" w:rsidP="005D429F">
            <w:pPr>
              <w:pStyle w:val="Sansinterligne"/>
              <w:numPr>
                <w:ilvl w:val="0"/>
                <w:numId w:val="927"/>
              </w:numPr>
              <w:rPr>
                <w:highlight w:val="yellow"/>
              </w:rPr>
            </w:pPr>
            <w:r w:rsidRPr="00D82B2C">
              <w:rPr>
                <w:highlight w:val="yellow"/>
              </w:rPr>
              <w:t>Strabisme</w:t>
            </w:r>
          </w:p>
          <w:p w:rsidR="00604130" w:rsidRDefault="00604130" w:rsidP="005D429F">
            <w:pPr>
              <w:pStyle w:val="Sansinterligne"/>
              <w:numPr>
                <w:ilvl w:val="0"/>
                <w:numId w:val="927"/>
              </w:numPr>
              <w:rPr>
                <w:highlight w:val="yellow"/>
              </w:rPr>
            </w:pPr>
            <w:r>
              <w:rPr>
                <w:highlight w:val="yellow"/>
              </w:rPr>
              <w:t>Cataractes congénitales</w:t>
            </w:r>
          </w:p>
          <w:p w:rsidR="00604130" w:rsidRDefault="00604130" w:rsidP="005D429F">
            <w:pPr>
              <w:pStyle w:val="Sansinterligne"/>
              <w:numPr>
                <w:ilvl w:val="0"/>
                <w:numId w:val="927"/>
              </w:numPr>
              <w:rPr>
                <w:highlight w:val="yellow"/>
              </w:rPr>
            </w:pPr>
            <w:r>
              <w:rPr>
                <w:highlight w:val="yellow"/>
              </w:rPr>
              <w:t>Taches de Brushfield (</w:t>
            </w:r>
            <w:r w:rsidR="00F57D76">
              <w:rPr>
                <w:highlight w:val="yellow"/>
              </w:rPr>
              <w:t>taches blanches - iris</w:t>
            </w:r>
            <w:r>
              <w:rPr>
                <w:highlight w:val="yellow"/>
              </w:rPr>
              <w:t>)</w:t>
            </w:r>
          </w:p>
          <w:p w:rsidR="00503D16" w:rsidRPr="00D82B2C" w:rsidRDefault="00503D16" w:rsidP="005D429F">
            <w:pPr>
              <w:pStyle w:val="Sansinterligne"/>
              <w:numPr>
                <w:ilvl w:val="0"/>
                <w:numId w:val="927"/>
              </w:numPr>
              <w:rPr>
                <w:highlight w:val="yellow"/>
              </w:rPr>
            </w:pPr>
            <w:r>
              <w:rPr>
                <w:highlight w:val="yellow"/>
              </w:rPr>
              <w:t>Myopie</w:t>
            </w:r>
          </w:p>
          <w:p w:rsidR="00604130" w:rsidRDefault="00604130" w:rsidP="005D429F">
            <w:pPr>
              <w:pStyle w:val="Sansinterligne"/>
              <w:numPr>
                <w:ilvl w:val="0"/>
                <w:numId w:val="927"/>
              </w:numPr>
            </w:pPr>
            <w:r>
              <w:t>Oreilles insérées basses</w:t>
            </w:r>
          </w:p>
          <w:p w:rsidR="00604130" w:rsidRDefault="00604130" w:rsidP="005D429F">
            <w:pPr>
              <w:pStyle w:val="Sansinterligne"/>
              <w:numPr>
                <w:ilvl w:val="0"/>
                <w:numId w:val="927"/>
              </w:numPr>
            </w:pPr>
            <w:r>
              <w:t>Hélix replié</w:t>
            </w:r>
          </w:p>
          <w:p w:rsidR="00503D16" w:rsidRDefault="00604130" w:rsidP="005D429F">
            <w:pPr>
              <w:pStyle w:val="Sansinterligne"/>
              <w:numPr>
                <w:ilvl w:val="0"/>
                <w:numId w:val="927"/>
              </w:numPr>
              <w:rPr>
                <w:b/>
              </w:rPr>
            </w:pPr>
            <w:r w:rsidRPr="00D82B2C">
              <w:rPr>
                <w:highlight w:val="yellow"/>
              </w:rPr>
              <w:t>Protrusion de la langue</w:t>
            </w:r>
          </w:p>
          <w:p w:rsidR="00503D16" w:rsidRPr="00D82B2C" w:rsidRDefault="00503D16" w:rsidP="00503D16">
            <w:pPr>
              <w:pStyle w:val="Sansinterligne"/>
              <w:rPr>
                <w:b/>
              </w:rPr>
            </w:pPr>
            <w:r w:rsidRPr="00D82B2C">
              <w:rPr>
                <w:b/>
              </w:rPr>
              <w:t>Coeur</w:t>
            </w:r>
          </w:p>
          <w:p w:rsidR="00604130" w:rsidRPr="00C02696" w:rsidRDefault="00503D16" w:rsidP="005D429F">
            <w:pPr>
              <w:pStyle w:val="Sansinterligne"/>
              <w:numPr>
                <w:ilvl w:val="0"/>
                <w:numId w:val="928"/>
              </w:numPr>
              <w:rPr>
                <w:highlight w:val="yellow"/>
              </w:rPr>
            </w:pPr>
            <w:r w:rsidRPr="00D82B2C">
              <w:rPr>
                <w:highlight w:val="yellow"/>
              </w:rPr>
              <w:t xml:space="preserve">CIA / </w:t>
            </w:r>
            <w:r>
              <w:rPr>
                <w:highlight w:val="yellow"/>
              </w:rPr>
              <w:t>C</w:t>
            </w:r>
            <w:r w:rsidR="00C02696">
              <w:rPr>
                <w:highlight w:val="yellow"/>
              </w:rPr>
              <w:t>IV</w:t>
            </w:r>
          </w:p>
        </w:tc>
        <w:tc>
          <w:tcPr>
            <w:tcW w:w="2685" w:type="dxa"/>
            <w:gridSpan w:val="2"/>
            <w:tcBorders>
              <w:top w:val="single" w:sz="4" w:space="0" w:color="FFFFFF" w:themeColor="background1"/>
              <w:left w:val="single" w:sz="4" w:space="0" w:color="FFFFFF" w:themeColor="background1"/>
            </w:tcBorders>
          </w:tcPr>
          <w:p w:rsidR="00B62AA5" w:rsidRDefault="002B54E0" w:rsidP="0090151F">
            <w:pPr>
              <w:pStyle w:val="Sansinterligne"/>
              <w:rPr>
                <w:b/>
              </w:rPr>
            </w:pPr>
            <w:r>
              <w:rPr>
                <w:b/>
              </w:rPr>
              <w:t>Cognition</w:t>
            </w:r>
          </w:p>
          <w:p w:rsidR="00B62AA5" w:rsidRPr="00B62AA5" w:rsidRDefault="00B62AA5" w:rsidP="005D429F">
            <w:pPr>
              <w:pStyle w:val="Sansinterligne"/>
              <w:numPr>
                <w:ilvl w:val="0"/>
                <w:numId w:val="948"/>
              </w:numPr>
            </w:pPr>
            <w:r w:rsidRPr="00B62AA5">
              <w:t>D</w:t>
            </w:r>
            <w:r>
              <w:t>éficience (DI)</w:t>
            </w:r>
          </w:p>
          <w:p w:rsidR="00604130" w:rsidRPr="00D82B2C" w:rsidRDefault="00604130" w:rsidP="0090151F">
            <w:pPr>
              <w:pStyle w:val="Sansinterligne"/>
              <w:rPr>
                <w:b/>
              </w:rPr>
            </w:pPr>
            <w:r w:rsidRPr="00D82B2C">
              <w:rPr>
                <w:b/>
              </w:rPr>
              <w:t>MSK</w:t>
            </w:r>
          </w:p>
          <w:p w:rsidR="00604130" w:rsidRPr="00D82B2C" w:rsidRDefault="00604130" w:rsidP="005D429F">
            <w:pPr>
              <w:pStyle w:val="Sansinterligne"/>
              <w:numPr>
                <w:ilvl w:val="0"/>
                <w:numId w:val="930"/>
              </w:numPr>
              <w:rPr>
                <w:highlight w:val="yellow"/>
              </w:rPr>
            </w:pPr>
            <w:r w:rsidRPr="00D82B2C">
              <w:rPr>
                <w:highlight w:val="yellow"/>
              </w:rPr>
              <w:t>Petite taille</w:t>
            </w:r>
          </w:p>
          <w:p w:rsidR="00604130" w:rsidRDefault="00604130" w:rsidP="005D429F">
            <w:pPr>
              <w:pStyle w:val="Sansinterligne"/>
              <w:numPr>
                <w:ilvl w:val="0"/>
                <w:numId w:val="930"/>
              </w:numPr>
            </w:pPr>
            <w:r>
              <w:t>Hyperflexibilité</w:t>
            </w:r>
          </w:p>
          <w:p w:rsidR="00604130" w:rsidRPr="00D82B2C" w:rsidRDefault="00604130" w:rsidP="005D429F">
            <w:pPr>
              <w:pStyle w:val="Sansinterligne"/>
              <w:numPr>
                <w:ilvl w:val="0"/>
                <w:numId w:val="930"/>
              </w:numPr>
              <w:rPr>
                <w:highlight w:val="yellow"/>
              </w:rPr>
            </w:pPr>
            <w:r w:rsidRPr="00D82B2C">
              <w:rPr>
                <w:highlight w:val="yellow"/>
              </w:rPr>
              <w:t>Dysplasie des hanches</w:t>
            </w:r>
          </w:p>
          <w:p w:rsidR="00604130" w:rsidRDefault="00604130" w:rsidP="005D429F">
            <w:pPr>
              <w:pStyle w:val="Sansinterligne"/>
              <w:numPr>
                <w:ilvl w:val="0"/>
                <w:numId w:val="930"/>
              </w:numPr>
            </w:pPr>
            <w:r>
              <w:t>Instabilité atlanto-axiale</w:t>
            </w:r>
          </w:p>
          <w:p w:rsidR="004146C6" w:rsidRPr="00DB4CC8" w:rsidRDefault="004146C6" w:rsidP="005D429F">
            <w:pPr>
              <w:pStyle w:val="Sansinterligne"/>
              <w:numPr>
                <w:ilvl w:val="0"/>
                <w:numId w:val="930"/>
              </w:numPr>
              <w:rPr>
                <w:highlight w:val="yellow"/>
              </w:rPr>
            </w:pPr>
            <w:r w:rsidRPr="00DB4CC8">
              <w:rPr>
                <w:highlight w:val="yellow"/>
              </w:rPr>
              <w:t>Pli palmaire transverse</w:t>
            </w:r>
          </w:p>
          <w:p w:rsidR="004146C6" w:rsidRDefault="004146C6" w:rsidP="005D429F">
            <w:pPr>
              <w:pStyle w:val="Sansinterligne"/>
              <w:numPr>
                <w:ilvl w:val="0"/>
                <w:numId w:val="930"/>
              </w:numPr>
            </w:pPr>
            <w:r>
              <w:t>Absence de phalange moyenne au 5</w:t>
            </w:r>
            <w:r w:rsidRPr="004146C6">
              <w:rPr>
                <w:vertAlign w:val="superscript"/>
              </w:rPr>
              <w:t>e</w:t>
            </w:r>
            <w:r>
              <w:t xml:space="preserve"> doigt</w:t>
            </w:r>
          </w:p>
          <w:p w:rsidR="00604130" w:rsidRPr="00D82B2C" w:rsidRDefault="00604130" w:rsidP="0090151F">
            <w:pPr>
              <w:pStyle w:val="Sansinterligne"/>
              <w:rPr>
                <w:b/>
              </w:rPr>
            </w:pPr>
            <w:r w:rsidRPr="00D82B2C">
              <w:rPr>
                <w:b/>
              </w:rPr>
              <w:t>Autres</w:t>
            </w:r>
          </w:p>
          <w:p w:rsidR="00604130" w:rsidRDefault="00604130" w:rsidP="005D429F">
            <w:pPr>
              <w:pStyle w:val="Sansinterligne"/>
              <w:numPr>
                <w:ilvl w:val="0"/>
                <w:numId w:val="929"/>
              </w:numPr>
              <w:rPr>
                <w:highlight w:val="yellow"/>
              </w:rPr>
            </w:pPr>
            <w:r w:rsidRPr="00D82B2C">
              <w:rPr>
                <w:highlight w:val="yellow"/>
              </w:rPr>
              <w:t>Constipation chronique</w:t>
            </w:r>
          </w:p>
          <w:p w:rsidR="00C02696" w:rsidRPr="00D82B2C" w:rsidRDefault="00B56AB3" w:rsidP="005D429F">
            <w:pPr>
              <w:pStyle w:val="Sansinterligne"/>
              <w:numPr>
                <w:ilvl w:val="0"/>
                <w:numId w:val="929"/>
              </w:numPr>
              <w:rPr>
                <w:highlight w:val="yellow"/>
              </w:rPr>
            </w:pPr>
            <w:r>
              <w:rPr>
                <w:highlight w:val="yellow"/>
              </w:rPr>
              <w:t>Trachéomalacie</w:t>
            </w:r>
          </w:p>
          <w:p w:rsidR="00604130" w:rsidRDefault="00604130" w:rsidP="005D429F">
            <w:pPr>
              <w:pStyle w:val="Sansinterligne"/>
              <w:numPr>
                <w:ilvl w:val="0"/>
                <w:numId w:val="929"/>
              </w:numPr>
            </w:pPr>
            <w:r w:rsidRPr="00D82B2C">
              <w:rPr>
                <w:highlight w:val="yellow"/>
              </w:rPr>
              <w:t>Cryptorchidie</w:t>
            </w:r>
          </w:p>
          <w:p w:rsidR="00D907E3" w:rsidRDefault="00D907E3" w:rsidP="005D429F">
            <w:pPr>
              <w:pStyle w:val="Sansinterligne"/>
              <w:numPr>
                <w:ilvl w:val="0"/>
                <w:numId w:val="929"/>
              </w:numPr>
            </w:pPr>
            <w:r>
              <w:t>Hypotonie</w:t>
            </w:r>
            <w:r w:rsidR="00503D16">
              <w:t xml:space="preserve"> à la naissance</w:t>
            </w:r>
          </w:p>
          <w:p w:rsidR="00B62AA5" w:rsidRDefault="00B62AA5" w:rsidP="00B62AA5">
            <w:pPr>
              <w:pStyle w:val="Sansinterligne"/>
              <w:ind w:left="360"/>
            </w:pPr>
          </w:p>
        </w:tc>
        <w:tc>
          <w:tcPr>
            <w:tcW w:w="3433" w:type="dxa"/>
            <w:vMerge/>
            <w:shd w:val="clear" w:color="auto" w:fill="FFFFFF" w:themeFill="background1"/>
          </w:tcPr>
          <w:p w:rsidR="00604130" w:rsidRDefault="00604130" w:rsidP="0090151F">
            <w:pPr>
              <w:pStyle w:val="Sansinterligne"/>
            </w:pPr>
          </w:p>
        </w:tc>
      </w:tr>
      <w:tr w:rsidR="00360F2D" w:rsidTr="00134257">
        <w:tc>
          <w:tcPr>
            <w:tcW w:w="2144" w:type="dxa"/>
            <w:shd w:val="clear" w:color="auto" w:fill="D6E3BC" w:themeFill="accent3" w:themeFillTint="66"/>
            <w:vAlign w:val="center"/>
          </w:tcPr>
          <w:p w:rsidR="00663321" w:rsidRPr="00E44FD4" w:rsidRDefault="00663321" w:rsidP="00D82B2C">
            <w:pPr>
              <w:pStyle w:val="Sansinterligne"/>
              <w:jc w:val="center"/>
              <w:rPr>
                <w:b/>
              </w:rPr>
            </w:pPr>
            <w:r w:rsidRPr="00E44FD4">
              <w:rPr>
                <w:b/>
              </w:rPr>
              <w:t>Syndrome de          Turner</w:t>
            </w:r>
          </w:p>
          <w:p w:rsidR="00663321" w:rsidRDefault="00663321" w:rsidP="00D82B2C">
            <w:pPr>
              <w:pStyle w:val="Sansinterligne"/>
              <w:jc w:val="center"/>
            </w:pPr>
          </w:p>
          <w:p w:rsidR="00663321" w:rsidRDefault="00663321" w:rsidP="00663321">
            <w:pPr>
              <w:pStyle w:val="Sansinterligne"/>
              <w:jc w:val="center"/>
            </w:pPr>
            <w:r>
              <w:t>45X</w:t>
            </w:r>
          </w:p>
          <w:p w:rsidR="00663321" w:rsidRDefault="00663321" w:rsidP="00663321">
            <w:pPr>
              <w:pStyle w:val="Sansinterligne"/>
              <w:jc w:val="center"/>
            </w:pPr>
            <w:r>
              <w:t xml:space="preserve">1 :2000-4000 </w:t>
            </w:r>
            <w:r>
              <w:rPr>
                <w:rFonts w:ascii="Century Gothic" w:hAnsi="Century Gothic"/>
              </w:rPr>
              <w:t>♀</w:t>
            </w:r>
          </w:p>
        </w:tc>
        <w:tc>
          <w:tcPr>
            <w:tcW w:w="2754" w:type="dxa"/>
            <w:gridSpan w:val="2"/>
            <w:tcBorders>
              <w:right w:val="single" w:sz="4" w:space="0" w:color="FFFFFF" w:themeColor="background1"/>
            </w:tcBorders>
          </w:tcPr>
          <w:p w:rsidR="006B7B02" w:rsidRDefault="006B7B02" w:rsidP="0090151F">
            <w:pPr>
              <w:pStyle w:val="Sansinterligne"/>
              <w:rPr>
                <w:b/>
              </w:rPr>
            </w:pPr>
          </w:p>
          <w:p w:rsidR="00663321" w:rsidRPr="00663321" w:rsidRDefault="00663321" w:rsidP="0090151F">
            <w:pPr>
              <w:pStyle w:val="Sansinterligne"/>
              <w:rPr>
                <w:b/>
              </w:rPr>
            </w:pPr>
            <w:r w:rsidRPr="00663321">
              <w:rPr>
                <w:b/>
              </w:rPr>
              <w:t>Tête et visage</w:t>
            </w:r>
          </w:p>
          <w:p w:rsidR="00663321" w:rsidRPr="00F33534" w:rsidRDefault="00663321" w:rsidP="005D429F">
            <w:pPr>
              <w:pStyle w:val="Sansinterligne"/>
              <w:numPr>
                <w:ilvl w:val="0"/>
                <w:numId w:val="936"/>
              </w:numPr>
              <w:rPr>
                <w:highlight w:val="yellow"/>
              </w:rPr>
            </w:pPr>
            <w:r w:rsidRPr="00F33534">
              <w:rPr>
                <w:highlight w:val="yellow"/>
              </w:rPr>
              <w:t>Cou palmé et court</w:t>
            </w:r>
          </w:p>
          <w:p w:rsidR="00663321" w:rsidRDefault="00663321" w:rsidP="005D429F">
            <w:pPr>
              <w:pStyle w:val="Sansinterligne"/>
              <w:numPr>
                <w:ilvl w:val="0"/>
                <w:numId w:val="936"/>
              </w:numPr>
              <w:rPr>
                <w:highlight w:val="yellow"/>
              </w:rPr>
            </w:pPr>
            <w:r w:rsidRPr="00F33534">
              <w:rPr>
                <w:highlight w:val="yellow"/>
              </w:rPr>
              <w:t>Implantation basse des cheveux</w:t>
            </w:r>
          </w:p>
          <w:p w:rsidR="006B7B02" w:rsidRDefault="006B7B02" w:rsidP="005D429F">
            <w:pPr>
              <w:pStyle w:val="Sansinterligne"/>
              <w:numPr>
                <w:ilvl w:val="0"/>
                <w:numId w:val="936"/>
              </w:numPr>
              <w:rPr>
                <w:highlight w:val="yellow"/>
              </w:rPr>
            </w:pPr>
            <w:r>
              <w:rPr>
                <w:highlight w:val="yellow"/>
              </w:rPr>
              <w:t>Hypertélorisme</w:t>
            </w:r>
          </w:p>
          <w:p w:rsidR="00482185" w:rsidRDefault="00482185" w:rsidP="005D429F">
            <w:pPr>
              <w:pStyle w:val="Sansinterligne"/>
              <w:numPr>
                <w:ilvl w:val="0"/>
                <w:numId w:val="936"/>
              </w:numPr>
              <w:rPr>
                <w:highlight w:val="yellow"/>
              </w:rPr>
            </w:pPr>
            <w:r>
              <w:rPr>
                <w:highlight w:val="yellow"/>
              </w:rPr>
              <w:t>Palais ogival</w:t>
            </w:r>
          </w:p>
          <w:p w:rsidR="00B62AA5" w:rsidRPr="00F33534" w:rsidRDefault="00B62AA5" w:rsidP="00B62AA5">
            <w:pPr>
              <w:pStyle w:val="Sansinterligne"/>
              <w:ind w:left="360"/>
              <w:rPr>
                <w:highlight w:val="yellow"/>
              </w:rPr>
            </w:pPr>
          </w:p>
          <w:p w:rsidR="00663321" w:rsidRPr="00663321" w:rsidRDefault="00663321" w:rsidP="0090151F">
            <w:pPr>
              <w:pStyle w:val="Sansinterligne"/>
              <w:rPr>
                <w:b/>
              </w:rPr>
            </w:pPr>
            <w:r w:rsidRPr="00663321">
              <w:rPr>
                <w:b/>
              </w:rPr>
              <w:t>MSK</w:t>
            </w:r>
          </w:p>
          <w:p w:rsidR="00663321" w:rsidRPr="00F33534" w:rsidRDefault="00663321" w:rsidP="005D429F">
            <w:pPr>
              <w:pStyle w:val="Sansinterligne"/>
              <w:numPr>
                <w:ilvl w:val="0"/>
                <w:numId w:val="935"/>
              </w:numPr>
              <w:rPr>
                <w:highlight w:val="yellow"/>
              </w:rPr>
            </w:pPr>
            <w:r w:rsidRPr="00F33534">
              <w:rPr>
                <w:highlight w:val="yellow"/>
              </w:rPr>
              <w:t>Petite taille</w:t>
            </w:r>
          </w:p>
          <w:p w:rsidR="00DB4CC8" w:rsidRDefault="00663321" w:rsidP="005D429F">
            <w:pPr>
              <w:pStyle w:val="Sansinterligne"/>
              <w:numPr>
                <w:ilvl w:val="0"/>
                <w:numId w:val="935"/>
              </w:numPr>
            </w:pPr>
            <w:r>
              <w:t xml:space="preserve">Thorax </w:t>
            </w:r>
            <w:r w:rsidR="00482185">
              <w:t>en tonneau</w:t>
            </w:r>
          </w:p>
          <w:p w:rsidR="00B62AA5" w:rsidRDefault="00B62AA5" w:rsidP="00B62AA5">
            <w:pPr>
              <w:pStyle w:val="Sansinterligne"/>
              <w:ind w:left="360"/>
            </w:pPr>
          </w:p>
          <w:p w:rsidR="00663321" w:rsidRPr="00DB4CC8" w:rsidRDefault="002B54E0" w:rsidP="00DB4CC8">
            <w:pPr>
              <w:pStyle w:val="Sansinterligne"/>
              <w:rPr>
                <w:b/>
              </w:rPr>
            </w:pPr>
            <w:r>
              <w:rPr>
                <w:b/>
              </w:rPr>
              <w:t>Cognition</w:t>
            </w:r>
          </w:p>
          <w:p w:rsidR="00DB4CC8" w:rsidRDefault="00DB4CC8" w:rsidP="005D429F">
            <w:pPr>
              <w:pStyle w:val="Sansinterligne"/>
              <w:numPr>
                <w:ilvl w:val="0"/>
                <w:numId w:val="939"/>
              </w:numPr>
            </w:pPr>
            <w:r>
              <w:t>Normale ou DI légère</w:t>
            </w:r>
          </w:p>
        </w:tc>
        <w:tc>
          <w:tcPr>
            <w:tcW w:w="2685" w:type="dxa"/>
            <w:gridSpan w:val="2"/>
            <w:tcBorders>
              <w:left w:val="single" w:sz="4" w:space="0" w:color="FFFFFF" w:themeColor="background1"/>
            </w:tcBorders>
          </w:tcPr>
          <w:p w:rsidR="006B7B02" w:rsidRDefault="006B7B02" w:rsidP="00DB4CC8">
            <w:pPr>
              <w:pStyle w:val="Sansinterligne"/>
              <w:rPr>
                <w:b/>
              </w:rPr>
            </w:pPr>
          </w:p>
          <w:p w:rsidR="00DB4CC8" w:rsidRPr="00663321" w:rsidRDefault="00DB4CC8" w:rsidP="00DB4CC8">
            <w:pPr>
              <w:pStyle w:val="Sansinterligne"/>
              <w:rPr>
                <w:b/>
              </w:rPr>
            </w:pPr>
            <w:r w:rsidRPr="00663321">
              <w:rPr>
                <w:b/>
              </w:rPr>
              <w:t>Puberté / Reproduction</w:t>
            </w:r>
          </w:p>
          <w:p w:rsidR="00DB4CC8" w:rsidRPr="00F33534" w:rsidRDefault="00DB4CC8" w:rsidP="005D429F">
            <w:pPr>
              <w:pStyle w:val="Sansinterligne"/>
              <w:numPr>
                <w:ilvl w:val="0"/>
                <w:numId w:val="937"/>
              </w:numPr>
              <w:rPr>
                <w:highlight w:val="yellow"/>
              </w:rPr>
            </w:pPr>
            <w:r w:rsidRPr="00F33534">
              <w:rPr>
                <w:highlight w:val="yellow"/>
              </w:rPr>
              <w:t>Aménorrhée primaire</w:t>
            </w:r>
          </w:p>
          <w:p w:rsidR="00663321" w:rsidRPr="00F33534" w:rsidRDefault="00663321" w:rsidP="005D429F">
            <w:pPr>
              <w:pStyle w:val="Sansinterligne"/>
              <w:numPr>
                <w:ilvl w:val="0"/>
                <w:numId w:val="937"/>
              </w:numPr>
              <w:rPr>
                <w:highlight w:val="yellow"/>
              </w:rPr>
            </w:pPr>
            <w:r w:rsidRPr="00F33534">
              <w:rPr>
                <w:highlight w:val="yellow"/>
              </w:rPr>
              <w:t>Infertilité</w:t>
            </w:r>
          </w:p>
          <w:p w:rsidR="00663321" w:rsidRDefault="00663321" w:rsidP="005D429F">
            <w:pPr>
              <w:pStyle w:val="Sansinterligne"/>
              <w:numPr>
                <w:ilvl w:val="0"/>
                <w:numId w:val="937"/>
              </w:numPr>
            </w:pPr>
            <w:r>
              <w:t>Puberté anormale</w:t>
            </w:r>
          </w:p>
          <w:p w:rsidR="00B62AA5" w:rsidRPr="00DB4CC8" w:rsidRDefault="00B62AA5" w:rsidP="00B62AA5">
            <w:pPr>
              <w:pStyle w:val="Sansinterligne"/>
              <w:ind w:left="360"/>
            </w:pPr>
          </w:p>
          <w:p w:rsidR="00663321" w:rsidRPr="00663321" w:rsidRDefault="00663321" w:rsidP="0090151F">
            <w:pPr>
              <w:pStyle w:val="Sansinterligne"/>
              <w:rPr>
                <w:b/>
              </w:rPr>
            </w:pPr>
            <w:r w:rsidRPr="00663321">
              <w:rPr>
                <w:b/>
              </w:rPr>
              <w:t>Autres</w:t>
            </w:r>
          </w:p>
          <w:p w:rsidR="00663321" w:rsidRPr="00F33534" w:rsidRDefault="00663321" w:rsidP="005D429F">
            <w:pPr>
              <w:pStyle w:val="Sansinterligne"/>
              <w:numPr>
                <w:ilvl w:val="0"/>
                <w:numId w:val="938"/>
              </w:numPr>
              <w:rPr>
                <w:highlight w:val="yellow"/>
              </w:rPr>
            </w:pPr>
            <w:r w:rsidRPr="00F33534">
              <w:rPr>
                <w:highlight w:val="yellow"/>
              </w:rPr>
              <w:t>Mamelons écartés</w:t>
            </w:r>
          </w:p>
          <w:p w:rsidR="00663321" w:rsidRDefault="00663321" w:rsidP="005D429F">
            <w:pPr>
              <w:pStyle w:val="Sansinterligne"/>
              <w:numPr>
                <w:ilvl w:val="0"/>
                <w:numId w:val="938"/>
              </w:numPr>
            </w:pPr>
            <w:r>
              <w:t>Coarctation de l’aorte</w:t>
            </w:r>
          </w:p>
          <w:p w:rsidR="00663321" w:rsidRDefault="00DB4CC8" w:rsidP="005D429F">
            <w:pPr>
              <w:pStyle w:val="Sansinterligne"/>
              <w:numPr>
                <w:ilvl w:val="0"/>
                <w:numId w:val="938"/>
              </w:numPr>
            </w:pPr>
            <w:r>
              <w:t>Bicuspidie</w:t>
            </w:r>
            <w:r w:rsidR="00663321">
              <w:t xml:space="preserve"> aortique</w:t>
            </w:r>
          </w:p>
          <w:p w:rsidR="00663321" w:rsidRDefault="00DB4CC8" w:rsidP="005D429F">
            <w:pPr>
              <w:pStyle w:val="Sansinterligne"/>
              <w:numPr>
                <w:ilvl w:val="0"/>
                <w:numId w:val="938"/>
              </w:numPr>
            </w:pPr>
            <w:r>
              <w:t>Anomalie</w:t>
            </w:r>
            <w:r w:rsidR="00663321">
              <w:t xml:space="preserve"> rénale / HTA</w:t>
            </w:r>
          </w:p>
          <w:p w:rsidR="00663321" w:rsidRDefault="00663321" w:rsidP="005D429F">
            <w:pPr>
              <w:pStyle w:val="Sansinterligne"/>
              <w:numPr>
                <w:ilvl w:val="0"/>
                <w:numId w:val="938"/>
              </w:numPr>
            </w:pPr>
            <w:r>
              <w:t>Hypoplasie pulmonaire</w:t>
            </w:r>
          </w:p>
          <w:p w:rsidR="00C94244" w:rsidRDefault="00C94244" w:rsidP="005D429F">
            <w:pPr>
              <w:pStyle w:val="Sansinterligne"/>
              <w:numPr>
                <w:ilvl w:val="0"/>
                <w:numId w:val="938"/>
              </w:numPr>
            </w:pPr>
            <w:r>
              <w:t>Lymphoedème</w:t>
            </w:r>
          </w:p>
          <w:p w:rsidR="006B7B02" w:rsidRDefault="006B7B02" w:rsidP="006B7B02">
            <w:pPr>
              <w:pStyle w:val="Sansinterligne"/>
              <w:ind w:left="360"/>
            </w:pPr>
          </w:p>
          <w:p w:rsidR="006B7B02" w:rsidRDefault="006B7B02" w:rsidP="006B7B02">
            <w:pPr>
              <w:pStyle w:val="Sansinterligne"/>
              <w:ind w:left="360"/>
            </w:pPr>
          </w:p>
        </w:tc>
        <w:tc>
          <w:tcPr>
            <w:tcW w:w="3433" w:type="dxa"/>
            <w:shd w:val="clear" w:color="auto" w:fill="FFFFFF" w:themeFill="background1"/>
            <w:vAlign w:val="center"/>
          </w:tcPr>
          <w:p w:rsidR="00663321" w:rsidRDefault="006B7B02" w:rsidP="00B06ED0">
            <w:pPr>
              <w:pStyle w:val="Sansinterligne"/>
              <w:jc w:val="center"/>
            </w:pPr>
            <w:r>
              <w:rPr>
                <w:noProof/>
                <w:lang w:eastAsia="fr-CA"/>
              </w:rPr>
              <w:drawing>
                <wp:anchor distT="0" distB="0" distL="114300" distR="114300" simplePos="0" relativeHeight="251941888" behindDoc="0" locked="0" layoutInCell="1" allowOverlap="1" wp14:anchorId="3FBC54ED" wp14:editId="3712DF8A">
                  <wp:simplePos x="0" y="0"/>
                  <wp:positionH relativeFrom="column">
                    <wp:posOffset>247650</wp:posOffset>
                  </wp:positionH>
                  <wp:positionV relativeFrom="paragraph">
                    <wp:posOffset>142362</wp:posOffset>
                  </wp:positionV>
                  <wp:extent cx="1536700" cy="1984375"/>
                  <wp:effectExtent l="0" t="0" r="6350" b="0"/>
                  <wp:wrapNone/>
                  <wp:docPr id="457" name="Image 457" descr="Résultats de recherche d'images pour « syndrome de turne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ésultats de recherche d'images pour « syndrome de turner »"/>
                          <pic:cNvPicPr>
                            <a:picLocks noChangeAspect="1" noChangeArrowheads="1"/>
                          </pic:cNvPicPr>
                        </pic:nvPicPr>
                        <pic:blipFill rotWithShape="1">
                          <a:blip r:embed="rId125">
                            <a:extLst>
                              <a:ext uri="{28A0092B-C50C-407E-A947-70E740481C1C}">
                                <a14:useLocalDpi xmlns:a14="http://schemas.microsoft.com/office/drawing/2010/main" val="0"/>
                              </a:ext>
                            </a:extLst>
                          </a:blip>
                          <a:srcRect b="23891"/>
                          <a:stretch/>
                        </pic:blipFill>
                        <pic:spPr bwMode="auto">
                          <a:xfrm>
                            <a:off x="0" y="0"/>
                            <a:ext cx="1536700" cy="19843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8303AD" w:rsidTr="00134257">
        <w:trPr>
          <w:trHeight w:val="306"/>
        </w:trPr>
        <w:tc>
          <w:tcPr>
            <w:tcW w:w="2144" w:type="dxa"/>
            <w:vMerge w:val="restart"/>
            <w:shd w:val="clear" w:color="auto" w:fill="D6E3BC" w:themeFill="accent3" w:themeFillTint="66"/>
            <w:vAlign w:val="center"/>
          </w:tcPr>
          <w:p w:rsidR="008303AD" w:rsidRDefault="008303AD" w:rsidP="00D82B2C">
            <w:pPr>
              <w:pStyle w:val="Sansinterligne"/>
              <w:jc w:val="center"/>
            </w:pPr>
            <w:r>
              <w:t>Syndrome de           Noonan</w:t>
            </w:r>
          </w:p>
          <w:p w:rsidR="008303AD" w:rsidRDefault="008303AD" w:rsidP="00D82B2C">
            <w:pPr>
              <w:pStyle w:val="Sansinterligne"/>
              <w:jc w:val="center"/>
            </w:pPr>
          </w:p>
          <w:p w:rsidR="008303AD" w:rsidRDefault="008303AD" w:rsidP="00D82B2C">
            <w:pPr>
              <w:pStyle w:val="Sansinterligne"/>
              <w:jc w:val="center"/>
            </w:pPr>
            <w:r>
              <w:t>46 XX ou 46 XY</w:t>
            </w:r>
          </w:p>
          <w:p w:rsidR="008303AD" w:rsidRDefault="008303AD" w:rsidP="00D82B2C">
            <w:pPr>
              <w:pStyle w:val="Sansinterligne"/>
              <w:jc w:val="center"/>
            </w:pPr>
            <w:r>
              <w:t>1 : 2000</w:t>
            </w:r>
          </w:p>
        </w:tc>
        <w:tc>
          <w:tcPr>
            <w:tcW w:w="5439" w:type="dxa"/>
            <w:gridSpan w:val="4"/>
            <w:tcBorders>
              <w:bottom w:val="single" w:sz="4" w:space="0" w:color="FFFFFF" w:themeColor="background1"/>
            </w:tcBorders>
          </w:tcPr>
          <w:p w:rsidR="008303AD" w:rsidRDefault="008303AD" w:rsidP="005D429F">
            <w:pPr>
              <w:pStyle w:val="Sansinterligne"/>
              <w:numPr>
                <w:ilvl w:val="0"/>
                <w:numId w:val="943"/>
              </w:numPr>
            </w:pPr>
            <w:r>
              <w:t>Transmission AD (histoire familiale +)</w:t>
            </w:r>
          </w:p>
          <w:p w:rsidR="00B62AA5" w:rsidRDefault="00B62AA5" w:rsidP="00B62AA5">
            <w:pPr>
              <w:pStyle w:val="Sansinterligne"/>
              <w:ind w:left="360"/>
            </w:pPr>
          </w:p>
        </w:tc>
        <w:tc>
          <w:tcPr>
            <w:tcW w:w="3433" w:type="dxa"/>
            <w:vMerge w:val="restart"/>
            <w:vAlign w:val="center"/>
          </w:tcPr>
          <w:p w:rsidR="008303AD" w:rsidRDefault="008303AD" w:rsidP="00B06ED0">
            <w:pPr>
              <w:pStyle w:val="Sansinterligne"/>
              <w:jc w:val="center"/>
            </w:pPr>
            <w:r>
              <w:rPr>
                <w:noProof/>
                <w:lang w:eastAsia="fr-CA"/>
              </w:rPr>
              <w:drawing>
                <wp:anchor distT="0" distB="0" distL="114300" distR="114300" simplePos="0" relativeHeight="251948032" behindDoc="0" locked="0" layoutInCell="1" allowOverlap="1" wp14:anchorId="15425AEC" wp14:editId="2DA6C157">
                  <wp:simplePos x="0" y="0"/>
                  <wp:positionH relativeFrom="column">
                    <wp:posOffset>34222</wp:posOffset>
                  </wp:positionH>
                  <wp:positionV relativeFrom="paragraph">
                    <wp:posOffset>46720</wp:posOffset>
                  </wp:positionV>
                  <wp:extent cx="1877439" cy="2187541"/>
                  <wp:effectExtent l="0" t="0" r="8890" b="3810"/>
                  <wp:wrapNone/>
                  <wp:docPr id="464" name="Imag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rotWithShape="1">
                          <a:blip r:embed="rId126">
                            <a:extLst>
                              <a:ext uri="{28A0092B-C50C-407E-A947-70E740481C1C}">
                                <a14:useLocalDpi xmlns:a14="http://schemas.microsoft.com/office/drawing/2010/main" val="0"/>
                              </a:ext>
                            </a:extLst>
                          </a:blip>
                          <a:srcRect l="40598" t="2410" b="4016"/>
                          <a:stretch/>
                        </pic:blipFill>
                        <pic:spPr bwMode="auto">
                          <a:xfrm>
                            <a:off x="0" y="0"/>
                            <a:ext cx="1877440" cy="2187542"/>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8303AD" w:rsidRDefault="008303AD" w:rsidP="00B06ED0">
            <w:pPr>
              <w:pStyle w:val="Sansinterligne"/>
              <w:jc w:val="center"/>
            </w:pPr>
          </w:p>
          <w:p w:rsidR="008303AD" w:rsidRDefault="008303AD" w:rsidP="00B06ED0">
            <w:pPr>
              <w:pStyle w:val="Sansinterligne"/>
              <w:jc w:val="center"/>
            </w:pPr>
          </w:p>
          <w:p w:rsidR="008303AD" w:rsidRDefault="008303AD" w:rsidP="00B06ED0">
            <w:pPr>
              <w:pStyle w:val="Sansinterligne"/>
              <w:jc w:val="center"/>
            </w:pPr>
          </w:p>
          <w:p w:rsidR="008303AD" w:rsidRDefault="008303AD" w:rsidP="00B06ED0">
            <w:pPr>
              <w:pStyle w:val="Sansinterligne"/>
              <w:jc w:val="center"/>
            </w:pPr>
          </w:p>
          <w:p w:rsidR="008303AD" w:rsidRDefault="008303AD" w:rsidP="00B06ED0">
            <w:pPr>
              <w:pStyle w:val="Sansinterligne"/>
              <w:jc w:val="center"/>
            </w:pPr>
          </w:p>
          <w:p w:rsidR="008303AD" w:rsidRDefault="008303AD" w:rsidP="00B06ED0">
            <w:pPr>
              <w:pStyle w:val="Sansinterligne"/>
              <w:jc w:val="center"/>
            </w:pPr>
          </w:p>
          <w:p w:rsidR="008303AD" w:rsidRDefault="008303AD" w:rsidP="00B06ED0">
            <w:pPr>
              <w:pStyle w:val="Sansinterligne"/>
              <w:jc w:val="center"/>
            </w:pPr>
          </w:p>
          <w:p w:rsidR="008303AD" w:rsidRDefault="008303AD" w:rsidP="00B06ED0">
            <w:pPr>
              <w:pStyle w:val="Sansinterligne"/>
              <w:jc w:val="center"/>
            </w:pPr>
          </w:p>
          <w:p w:rsidR="008303AD" w:rsidRDefault="008303AD" w:rsidP="00B06ED0">
            <w:pPr>
              <w:pStyle w:val="Sansinterligne"/>
              <w:jc w:val="center"/>
            </w:pPr>
          </w:p>
          <w:p w:rsidR="008303AD" w:rsidRDefault="008303AD" w:rsidP="00B06ED0">
            <w:pPr>
              <w:pStyle w:val="Sansinterligne"/>
              <w:jc w:val="center"/>
            </w:pPr>
          </w:p>
          <w:p w:rsidR="008303AD" w:rsidRDefault="008303AD" w:rsidP="00B06ED0">
            <w:pPr>
              <w:pStyle w:val="Sansinterligne"/>
              <w:jc w:val="center"/>
            </w:pPr>
          </w:p>
          <w:p w:rsidR="008303AD" w:rsidRDefault="008303AD" w:rsidP="00B06ED0">
            <w:pPr>
              <w:pStyle w:val="Sansinterligne"/>
              <w:jc w:val="center"/>
            </w:pPr>
          </w:p>
          <w:p w:rsidR="008303AD" w:rsidRDefault="008303AD" w:rsidP="00B06ED0">
            <w:pPr>
              <w:pStyle w:val="Sansinterligne"/>
              <w:jc w:val="center"/>
            </w:pPr>
          </w:p>
        </w:tc>
      </w:tr>
      <w:tr w:rsidR="00134257" w:rsidTr="00134257">
        <w:trPr>
          <w:trHeight w:val="3259"/>
        </w:trPr>
        <w:tc>
          <w:tcPr>
            <w:tcW w:w="2144" w:type="dxa"/>
            <w:vMerge/>
            <w:shd w:val="clear" w:color="auto" w:fill="D6E3BC" w:themeFill="accent3" w:themeFillTint="66"/>
            <w:vAlign w:val="center"/>
          </w:tcPr>
          <w:p w:rsidR="00807241" w:rsidRDefault="00807241" w:rsidP="00D82B2C">
            <w:pPr>
              <w:pStyle w:val="Sansinterligne"/>
              <w:jc w:val="center"/>
            </w:pPr>
          </w:p>
        </w:tc>
        <w:tc>
          <w:tcPr>
            <w:tcW w:w="2754" w:type="dxa"/>
            <w:gridSpan w:val="2"/>
            <w:tcBorders>
              <w:top w:val="single" w:sz="4" w:space="0" w:color="FFFFFF" w:themeColor="background1"/>
              <w:right w:val="single" w:sz="4" w:space="0" w:color="FFFFFF" w:themeColor="background1"/>
            </w:tcBorders>
          </w:tcPr>
          <w:p w:rsidR="00807241" w:rsidRPr="00807241" w:rsidRDefault="00807241" w:rsidP="0090151F">
            <w:pPr>
              <w:pStyle w:val="Sansinterligne"/>
              <w:rPr>
                <w:b/>
              </w:rPr>
            </w:pPr>
            <w:r w:rsidRPr="00807241">
              <w:rPr>
                <w:b/>
              </w:rPr>
              <w:t>Tête et visage</w:t>
            </w:r>
          </w:p>
          <w:p w:rsidR="00807241" w:rsidRPr="00807241" w:rsidRDefault="00807241" w:rsidP="005D429F">
            <w:pPr>
              <w:pStyle w:val="Sansinterligne"/>
              <w:numPr>
                <w:ilvl w:val="0"/>
                <w:numId w:val="945"/>
              </w:numPr>
              <w:rPr>
                <w:highlight w:val="yellow"/>
              </w:rPr>
            </w:pPr>
            <w:r w:rsidRPr="00807241">
              <w:rPr>
                <w:highlight w:val="yellow"/>
              </w:rPr>
              <w:t>Cou palmé</w:t>
            </w:r>
          </w:p>
          <w:p w:rsidR="00807241" w:rsidRPr="00807241" w:rsidRDefault="00807241" w:rsidP="005D429F">
            <w:pPr>
              <w:pStyle w:val="Sansinterligne"/>
              <w:numPr>
                <w:ilvl w:val="0"/>
                <w:numId w:val="945"/>
              </w:numPr>
              <w:rPr>
                <w:highlight w:val="yellow"/>
              </w:rPr>
            </w:pPr>
            <w:r w:rsidRPr="00807241">
              <w:rPr>
                <w:highlight w:val="yellow"/>
              </w:rPr>
              <w:t>Visage triangulaire</w:t>
            </w:r>
          </w:p>
          <w:p w:rsidR="00807241" w:rsidRDefault="00807241" w:rsidP="005D429F">
            <w:pPr>
              <w:pStyle w:val="Sansinterligne"/>
              <w:numPr>
                <w:ilvl w:val="0"/>
                <w:numId w:val="945"/>
              </w:numPr>
            </w:pPr>
            <w:r w:rsidRPr="00807241">
              <w:rPr>
                <w:highlight w:val="yellow"/>
              </w:rPr>
              <w:t>Hypertélorisme</w:t>
            </w:r>
          </w:p>
          <w:p w:rsidR="00807241" w:rsidRDefault="00807241" w:rsidP="005D429F">
            <w:pPr>
              <w:pStyle w:val="Sansinterligne"/>
              <w:numPr>
                <w:ilvl w:val="0"/>
                <w:numId w:val="945"/>
              </w:numPr>
            </w:pPr>
            <w:r>
              <w:t>Oreilles implantées basses</w:t>
            </w:r>
          </w:p>
          <w:p w:rsidR="00807241" w:rsidRDefault="00807241" w:rsidP="005D429F">
            <w:pPr>
              <w:pStyle w:val="Sansinterligne"/>
              <w:numPr>
                <w:ilvl w:val="0"/>
                <w:numId w:val="945"/>
              </w:numPr>
            </w:pPr>
            <w:r>
              <w:t>Plis des épicanthus</w:t>
            </w:r>
          </w:p>
          <w:p w:rsidR="00807241" w:rsidRDefault="00807241" w:rsidP="005D429F">
            <w:pPr>
              <w:pStyle w:val="Sansinterligne"/>
              <w:numPr>
                <w:ilvl w:val="0"/>
                <w:numId w:val="945"/>
              </w:numPr>
            </w:pPr>
            <w:r>
              <w:t>Ptose</w:t>
            </w:r>
          </w:p>
          <w:p w:rsidR="00807241" w:rsidRDefault="00807241" w:rsidP="00807241">
            <w:pPr>
              <w:pStyle w:val="Sansinterligne"/>
            </w:pPr>
          </w:p>
          <w:p w:rsidR="00807241" w:rsidRDefault="00807241" w:rsidP="00807241">
            <w:pPr>
              <w:pStyle w:val="Sansinterligne"/>
              <w:rPr>
                <w:b/>
              </w:rPr>
            </w:pPr>
            <w:r w:rsidRPr="00807241">
              <w:rPr>
                <w:b/>
              </w:rPr>
              <w:t>MSK</w:t>
            </w:r>
          </w:p>
          <w:p w:rsidR="00807241" w:rsidRDefault="00807241" w:rsidP="005D429F">
            <w:pPr>
              <w:pStyle w:val="Sansinterligne"/>
              <w:numPr>
                <w:ilvl w:val="0"/>
                <w:numId w:val="944"/>
              </w:numPr>
            </w:pPr>
            <w:r>
              <w:t>Petite taille</w:t>
            </w:r>
          </w:p>
          <w:p w:rsidR="00807241" w:rsidRPr="00251756" w:rsidRDefault="00807241" w:rsidP="005D429F">
            <w:pPr>
              <w:pStyle w:val="Sansinterligne"/>
              <w:numPr>
                <w:ilvl w:val="0"/>
                <w:numId w:val="944"/>
              </w:numPr>
            </w:pPr>
            <w:r>
              <w:t>Pectus excavatum</w:t>
            </w:r>
          </w:p>
        </w:tc>
        <w:tc>
          <w:tcPr>
            <w:tcW w:w="2685" w:type="dxa"/>
            <w:gridSpan w:val="2"/>
            <w:tcBorders>
              <w:top w:val="single" w:sz="4" w:space="0" w:color="FFFFFF" w:themeColor="background1"/>
              <w:left w:val="single" w:sz="4" w:space="0" w:color="FFFFFF" w:themeColor="background1"/>
            </w:tcBorders>
          </w:tcPr>
          <w:p w:rsidR="00807241" w:rsidRPr="00807241" w:rsidRDefault="00BC50B9" w:rsidP="00807241">
            <w:pPr>
              <w:pStyle w:val="Sansinterligne"/>
              <w:rPr>
                <w:b/>
              </w:rPr>
            </w:pPr>
            <w:r>
              <w:rPr>
                <w:b/>
              </w:rPr>
              <w:t>Coeur</w:t>
            </w:r>
          </w:p>
          <w:p w:rsidR="00807241" w:rsidRDefault="00807241" w:rsidP="005D429F">
            <w:pPr>
              <w:pStyle w:val="Sansinterligne"/>
              <w:numPr>
                <w:ilvl w:val="0"/>
                <w:numId w:val="947"/>
              </w:numPr>
            </w:pPr>
            <w:r>
              <w:t xml:space="preserve">Insuffisance </w:t>
            </w:r>
            <w:r>
              <w:rPr>
                <w:noProof/>
                <w:lang w:eastAsia="fr-CA"/>
              </w:rPr>
              <w:drawing>
                <wp:inline distT="0" distB="0" distL="0" distR="0" wp14:anchorId="56B042FB" wp14:editId="43068DCC">
                  <wp:extent cx="154956" cy="144489"/>
                  <wp:effectExtent l="0" t="0" r="0" b="8255"/>
                  <wp:docPr id="465" name="Image 465" descr="Résultats de recherche d'images pour « coeu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Résultats de recherche d'images pour « coeur »"/>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54979" cy="144510"/>
                          </a:xfrm>
                          <a:prstGeom prst="rect">
                            <a:avLst/>
                          </a:prstGeom>
                          <a:noFill/>
                          <a:ln>
                            <a:noFill/>
                          </a:ln>
                        </pic:spPr>
                      </pic:pic>
                    </a:graphicData>
                  </a:graphic>
                </wp:inline>
              </w:drawing>
            </w:r>
            <w:r>
              <w:t xml:space="preserve"> droite</w:t>
            </w:r>
          </w:p>
          <w:p w:rsidR="00807241" w:rsidRPr="00396925" w:rsidRDefault="00807241" w:rsidP="005D429F">
            <w:pPr>
              <w:pStyle w:val="Sansinterligne"/>
              <w:numPr>
                <w:ilvl w:val="0"/>
                <w:numId w:val="947"/>
              </w:numPr>
              <w:rPr>
                <w:highlight w:val="yellow"/>
              </w:rPr>
            </w:pPr>
            <w:r w:rsidRPr="00396925">
              <w:rPr>
                <w:highlight w:val="yellow"/>
              </w:rPr>
              <w:t>Sténose pulmonaire</w:t>
            </w:r>
          </w:p>
          <w:p w:rsidR="00807241" w:rsidRDefault="00807241" w:rsidP="005D429F">
            <w:pPr>
              <w:pStyle w:val="Sansinterligne"/>
              <w:numPr>
                <w:ilvl w:val="0"/>
                <w:numId w:val="947"/>
              </w:numPr>
            </w:pPr>
            <w:r w:rsidRPr="00396925">
              <w:rPr>
                <w:highlight w:val="yellow"/>
              </w:rPr>
              <w:t>Puberté retardée</w:t>
            </w:r>
          </w:p>
          <w:p w:rsidR="00BC50B9" w:rsidRDefault="00BC50B9" w:rsidP="00BC50B9">
            <w:pPr>
              <w:pStyle w:val="Sansinterligne"/>
              <w:ind w:left="360"/>
              <w:rPr>
                <w:b/>
              </w:rPr>
            </w:pPr>
          </w:p>
          <w:p w:rsidR="00BC50B9" w:rsidRPr="00BC50B9" w:rsidRDefault="00BC50B9" w:rsidP="00BC50B9">
            <w:pPr>
              <w:pStyle w:val="Sansinterligne"/>
              <w:rPr>
                <w:b/>
              </w:rPr>
            </w:pPr>
            <w:r w:rsidRPr="00BC50B9">
              <w:rPr>
                <w:b/>
              </w:rPr>
              <w:t>Autres</w:t>
            </w:r>
          </w:p>
          <w:p w:rsidR="00BC50B9" w:rsidRDefault="00BC50B9" w:rsidP="005D429F">
            <w:pPr>
              <w:pStyle w:val="Sansinterligne"/>
              <w:numPr>
                <w:ilvl w:val="0"/>
                <w:numId w:val="947"/>
              </w:numPr>
            </w:pPr>
            <w:r>
              <w:t>Cryptorchidie</w:t>
            </w:r>
          </w:p>
          <w:p w:rsidR="00BC50B9" w:rsidRDefault="00BC50B9" w:rsidP="005D429F">
            <w:pPr>
              <w:pStyle w:val="Sansinterligne"/>
              <w:numPr>
                <w:ilvl w:val="0"/>
                <w:numId w:val="947"/>
              </w:numPr>
            </w:pPr>
            <w:r>
              <w:t>Diathèse hémorragique</w:t>
            </w:r>
          </w:p>
          <w:p w:rsidR="00807241" w:rsidRDefault="00807241" w:rsidP="00807241">
            <w:pPr>
              <w:pStyle w:val="Sansinterligne"/>
            </w:pPr>
          </w:p>
          <w:p w:rsidR="00807241" w:rsidRPr="00807241" w:rsidRDefault="002B54E0" w:rsidP="00807241">
            <w:pPr>
              <w:pStyle w:val="Sansinterligne"/>
              <w:rPr>
                <w:b/>
              </w:rPr>
            </w:pPr>
            <w:r>
              <w:rPr>
                <w:b/>
              </w:rPr>
              <w:t>Cognition</w:t>
            </w:r>
          </w:p>
          <w:p w:rsidR="00807241" w:rsidRDefault="00807241" w:rsidP="005D429F">
            <w:pPr>
              <w:pStyle w:val="Sansinterligne"/>
              <w:numPr>
                <w:ilvl w:val="0"/>
                <w:numId w:val="946"/>
              </w:numPr>
            </w:pPr>
            <w:r>
              <w:t xml:space="preserve">DI légère  </w:t>
            </w:r>
            <w:r w:rsidR="00396925">
              <w:t xml:space="preserve">                    </w:t>
            </w:r>
            <w:r>
              <w:rPr>
                <w:rFonts w:cs="Times New Roman"/>
              </w:rPr>
              <w:t>~</w:t>
            </w:r>
            <w:r>
              <w:t xml:space="preserve"> 25% enfants</w:t>
            </w:r>
          </w:p>
        </w:tc>
        <w:tc>
          <w:tcPr>
            <w:tcW w:w="3433" w:type="dxa"/>
            <w:vMerge/>
          </w:tcPr>
          <w:p w:rsidR="00807241" w:rsidRDefault="00807241" w:rsidP="0090151F">
            <w:pPr>
              <w:pStyle w:val="Sansinterligne"/>
              <w:rPr>
                <w:noProof/>
                <w:lang w:eastAsia="fr-CA"/>
              </w:rPr>
            </w:pPr>
          </w:p>
        </w:tc>
      </w:tr>
      <w:tr w:rsidR="00600C42" w:rsidTr="00134257">
        <w:tc>
          <w:tcPr>
            <w:tcW w:w="2144" w:type="dxa"/>
            <w:shd w:val="clear" w:color="auto" w:fill="D6E3BC" w:themeFill="accent3" w:themeFillTint="66"/>
            <w:vAlign w:val="center"/>
          </w:tcPr>
          <w:p w:rsidR="00600C42" w:rsidRPr="00EB6C13" w:rsidRDefault="00FF2603" w:rsidP="00D82B2C">
            <w:pPr>
              <w:pStyle w:val="Sansinterligne"/>
              <w:jc w:val="center"/>
              <w:rPr>
                <w:b/>
              </w:rPr>
            </w:pPr>
            <w:r w:rsidRPr="00EB6C13">
              <w:rPr>
                <w:b/>
              </w:rPr>
              <w:lastRenderedPageBreak/>
              <w:t xml:space="preserve">Syndrome de </w:t>
            </w:r>
            <w:r w:rsidR="00D82B2C" w:rsidRPr="00EB6C13">
              <w:rPr>
                <w:b/>
              </w:rPr>
              <w:t xml:space="preserve">          </w:t>
            </w:r>
            <w:r w:rsidRPr="00EB6C13">
              <w:rPr>
                <w:b/>
              </w:rPr>
              <w:t>Klinefelter</w:t>
            </w:r>
          </w:p>
          <w:p w:rsidR="00D50324" w:rsidRDefault="00D50324" w:rsidP="00D82B2C">
            <w:pPr>
              <w:pStyle w:val="Sansinterligne"/>
              <w:jc w:val="center"/>
            </w:pPr>
          </w:p>
          <w:p w:rsidR="00D50324" w:rsidRDefault="00D50324" w:rsidP="00D82B2C">
            <w:pPr>
              <w:pStyle w:val="Sansinterligne"/>
              <w:jc w:val="center"/>
            </w:pPr>
            <w:r>
              <w:t>47 XXY</w:t>
            </w:r>
          </w:p>
        </w:tc>
        <w:tc>
          <w:tcPr>
            <w:tcW w:w="5439" w:type="dxa"/>
            <w:gridSpan w:val="4"/>
          </w:tcPr>
          <w:p w:rsidR="00912DA8" w:rsidRPr="00912DA8" w:rsidRDefault="00912DA8" w:rsidP="005D429F">
            <w:pPr>
              <w:pStyle w:val="Sansinterligne"/>
              <w:numPr>
                <w:ilvl w:val="0"/>
                <w:numId w:val="934"/>
              </w:numPr>
            </w:pPr>
            <w:r w:rsidRPr="00604130">
              <w:t>Âge maternel avancé</w:t>
            </w:r>
            <w:r>
              <w:t xml:space="preserve"> (FR important)</w:t>
            </w:r>
          </w:p>
          <w:p w:rsidR="00912DA8" w:rsidRDefault="00912DA8" w:rsidP="0090151F">
            <w:pPr>
              <w:pStyle w:val="Sansinterligne"/>
              <w:rPr>
                <w:b/>
              </w:rPr>
            </w:pPr>
          </w:p>
          <w:p w:rsidR="00600C42" w:rsidRPr="00730C41" w:rsidRDefault="00D50324" w:rsidP="0090151F">
            <w:pPr>
              <w:pStyle w:val="Sansinterligne"/>
              <w:rPr>
                <w:b/>
              </w:rPr>
            </w:pPr>
            <w:r w:rsidRPr="00730C41">
              <w:rPr>
                <w:b/>
              </w:rPr>
              <w:t>MSK</w:t>
            </w:r>
          </w:p>
          <w:p w:rsidR="00D50324" w:rsidRDefault="00D50324" w:rsidP="005D429F">
            <w:pPr>
              <w:pStyle w:val="Sansinterligne"/>
              <w:numPr>
                <w:ilvl w:val="0"/>
                <w:numId w:val="953"/>
              </w:numPr>
            </w:pPr>
            <w:r>
              <w:t>Grande taille</w:t>
            </w:r>
          </w:p>
          <w:p w:rsidR="00D50324" w:rsidRDefault="00D50324" w:rsidP="005D429F">
            <w:pPr>
              <w:pStyle w:val="Sansinterligne"/>
              <w:numPr>
                <w:ilvl w:val="0"/>
                <w:numId w:val="953"/>
              </w:numPr>
            </w:pPr>
            <w:r>
              <w:t xml:space="preserve">Segment supérieur / inférieur </w:t>
            </w:r>
            <w:r>
              <w:rPr>
                <w:rFonts w:ascii="Century Gothic" w:hAnsi="Century Gothic"/>
              </w:rPr>
              <w:t>≈</w:t>
            </w:r>
            <w:r>
              <w:t xml:space="preserve"> 0,9</w:t>
            </w:r>
          </w:p>
          <w:p w:rsidR="00D50324" w:rsidRPr="00663321" w:rsidRDefault="00D50324" w:rsidP="00D50324">
            <w:pPr>
              <w:pStyle w:val="Sansinterligne"/>
              <w:rPr>
                <w:b/>
              </w:rPr>
            </w:pPr>
            <w:r w:rsidRPr="00663321">
              <w:rPr>
                <w:b/>
              </w:rPr>
              <w:t>Puberté / Reproduction</w:t>
            </w:r>
          </w:p>
          <w:p w:rsidR="00D50324" w:rsidRDefault="00D50324" w:rsidP="005D429F">
            <w:pPr>
              <w:pStyle w:val="Sansinterligne"/>
              <w:numPr>
                <w:ilvl w:val="0"/>
                <w:numId w:val="951"/>
              </w:numPr>
            </w:pPr>
            <w:r>
              <w:t>Testicules petits et fermes</w:t>
            </w:r>
          </w:p>
          <w:p w:rsidR="00D50324" w:rsidRDefault="00D50324" w:rsidP="005D429F">
            <w:pPr>
              <w:pStyle w:val="Sansinterligne"/>
              <w:numPr>
                <w:ilvl w:val="0"/>
                <w:numId w:val="951"/>
              </w:numPr>
            </w:pPr>
            <w:r>
              <w:t>Cryptorchidie (parfois)</w:t>
            </w:r>
          </w:p>
          <w:p w:rsidR="00D50324" w:rsidRDefault="00D50324" w:rsidP="005D429F">
            <w:pPr>
              <w:pStyle w:val="Sansinterligne"/>
              <w:numPr>
                <w:ilvl w:val="0"/>
                <w:numId w:val="951"/>
              </w:numPr>
            </w:pPr>
            <w:r>
              <w:t>Gynécomastie</w:t>
            </w:r>
          </w:p>
          <w:p w:rsidR="00730C41" w:rsidRDefault="00730C41" w:rsidP="005D429F">
            <w:pPr>
              <w:pStyle w:val="Sansinterligne"/>
              <w:numPr>
                <w:ilvl w:val="0"/>
                <w:numId w:val="951"/>
              </w:numPr>
            </w:pPr>
            <w:r>
              <w:t>Retard pubertaire</w:t>
            </w:r>
          </w:p>
          <w:p w:rsidR="00D50324" w:rsidRPr="00730C41" w:rsidRDefault="00D50324" w:rsidP="0090151F">
            <w:pPr>
              <w:pStyle w:val="Sansinterligne"/>
              <w:rPr>
                <w:b/>
              </w:rPr>
            </w:pPr>
            <w:r w:rsidRPr="00730C41">
              <w:rPr>
                <w:b/>
              </w:rPr>
              <w:t>Autres</w:t>
            </w:r>
          </w:p>
          <w:p w:rsidR="00D50324" w:rsidRDefault="00D50324" w:rsidP="005D429F">
            <w:pPr>
              <w:pStyle w:val="Sansinterligne"/>
              <w:numPr>
                <w:ilvl w:val="0"/>
                <w:numId w:val="952"/>
              </w:numPr>
            </w:pPr>
            <w:r>
              <w:t>Retard de langage</w:t>
            </w:r>
          </w:p>
          <w:p w:rsidR="00D50324" w:rsidRDefault="00D50324" w:rsidP="005D429F">
            <w:pPr>
              <w:pStyle w:val="Sansinterligne"/>
              <w:numPr>
                <w:ilvl w:val="0"/>
                <w:numId w:val="952"/>
              </w:numPr>
            </w:pPr>
            <w:r>
              <w:t>Difficultés d’</w:t>
            </w:r>
            <w:r w:rsidR="00436A03">
              <w:t>apprentissage</w:t>
            </w:r>
          </w:p>
        </w:tc>
        <w:tc>
          <w:tcPr>
            <w:tcW w:w="3433" w:type="dxa"/>
            <w:vAlign w:val="center"/>
          </w:tcPr>
          <w:p w:rsidR="00600C42" w:rsidRDefault="00730C41" w:rsidP="00B06ED0">
            <w:pPr>
              <w:pStyle w:val="Sansinterligne"/>
              <w:jc w:val="center"/>
            </w:pPr>
            <w:r>
              <w:rPr>
                <w:noProof/>
                <w:lang w:eastAsia="fr-CA"/>
              </w:rPr>
              <w:drawing>
                <wp:inline distT="0" distB="0" distL="0" distR="0" wp14:anchorId="0C2BFC00" wp14:editId="0E6F4DB7">
                  <wp:extent cx="1096843" cy="2239045"/>
                  <wp:effectExtent l="0" t="0" r="8255" b="8890"/>
                  <wp:docPr id="456" name="Image 456" descr="Résultats de recherche d'images pour « klinefelte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ésultats de recherche d'images pour « klinefelter »"/>
                          <pic:cNvPicPr>
                            <a:picLocks noChangeAspect="1" noChangeArrowheads="1"/>
                          </pic:cNvPicPr>
                        </pic:nvPicPr>
                        <pic:blipFill rotWithShape="1">
                          <a:blip r:embed="rId127" cstate="print">
                            <a:extLst>
                              <a:ext uri="{28A0092B-C50C-407E-A947-70E740481C1C}">
                                <a14:useLocalDpi xmlns:a14="http://schemas.microsoft.com/office/drawing/2010/main" val="0"/>
                              </a:ext>
                            </a:extLst>
                          </a:blip>
                          <a:srcRect t="2896" b="4594"/>
                          <a:stretch/>
                        </pic:blipFill>
                        <pic:spPr bwMode="auto">
                          <a:xfrm>
                            <a:off x="0" y="0"/>
                            <a:ext cx="1098709" cy="224285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B06ED0" w:rsidTr="00134257">
        <w:trPr>
          <w:trHeight w:val="621"/>
        </w:trPr>
        <w:tc>
          <w:tcPr>
            <w:tcW w:w="2144" w:type="dxa"/>
            <w:vMerge w:val="restart"/>
            <w:shd w:val="clear" w:color="auto" w:fill="D6E3BC" w:themeFill="accent3" w:themeFillTint="66"/>
            <w:vAlign w:val="center"/>
          </w:tcPr>
          <w:p w:rsidR="00B06ED0" w:rsidRPr="00C408B2" w:rsidRDefault="00B06ED0" w:rsidP="00D50324">
            <w:pPr>
              <w:pStyle w:val="Sansinterligne"/>
              <w:jc w:val="center"/>
              <w:rPr>
                <w:b/>
              </w:rPr>
            </w:pPr>
            <w:r w:rsidRPr="00C408B2">
              <w:rPr>
                <w:b/>
              </w:rPr>
              <w:t>Syndrome de l’X fragile</w:t>
            </w:r>
          </w:p>
        </w:tc>
        <w:tc>
          <w:tcPr>
            <w:tcW w:w="5439" w:type="dxa"/>
            <w:gridSpan w:val="4"/>
            <w:tcBorders>
              <w:bottom w:val="single" w:sz="4" w:space="0" w:color="FFFFFF" w:themeColor="background1"/>
            </w:tcBorders>
          </w:tcPr>
          <w:p w:rsidR="00B06ED0" w:rsidRDefault="00B06ED0" w:rsidP="005D429F">
            <w:pPr>
              <w:pStyle w:val="Sansinterligne"/>
              <w:numPr>
                <w:ilvl w:val="0"/>
                <w:numId w:val="956"/>
              </w:numPr>
            </w:pPr>
            <w:r>
              <w:t>ATCD familiaux de DI, de retard de langage</w:t>
            </w:r>
          </w:p>
          <w:p w:rsidR="00B06ED0" w:rsidRDefault="00B06ED0" w:rsidP="005D429F">
            <w:pPr>
              <w:pStyle w:val="Sansinterligne"/>
              <w:numPr>
                <w:ilvl w:val="0"/>
                <w:numId w:val="956"/>
              </w:numPr>
            </w:pPr>
            <w:r>
              <w:t>ATCD familiaux de dysmorphisme</w:t>
            </w:r>
          </w:p>
        </w:tc>
        <w:tc>
          <w:tcPr>
            <w:tcW w:w="3433" w:type="dxa"/>
            <w:vMerge w:val="restart"/>
            <w:shd w:val="clear" w:color="auto" w:fill="FFFFFF" w:themeFill="background1"/>
            <w:vAlign w:val="center"/>
          </w:tcPr>
          <w:p w:rsidR="00B06ED0" w:rsidRDefault="00B06ED0" w:rsidP="00B06ED0">
            <w:pPr>
              <w:pStyle w:val="Sansinterligne"/>
              <w:jc w:val="center"/>
            </w:pPr>
            <w:r>
              <w:rPr>
                <w:noProof/>
                <w:lang w:eastAsia="fr-CA"/>
              </w:rPr>
              <w:drawing>
                <wp:inline distT="0" distB="0" distL="0" distR="0" wp14:anchorId="040BF883" wp14:editId="5A495FCD">
                  <wp:extent cx="1862627" cy="2014802"/>
                  <wp:effectExtent l="0" t="0" r="4445" b="5080"/>
                  <wp:docPr id="458" name="Image 458" descr="Résultats de recherche d'images pour « fragile x syndrome fac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ésultats de recherche d'images pour « fragile x syndrome face »"/>
                          <pic:cNvPicPr>
                            <a:picLocks noChangeAspect="1" noChangeArrowheads="1"/>
                          </pic:cNvPicPr>
                        </pic:nvPicPr>
                        <pic:blipFill rotWithShape="1">
                          <a:blip r:embed="rId128">
                            <a:extLst>
                              <a:ext uri="{28A0092B-C50C-407E-A947-70E740481C1C}">
                                <a14:useLocalDpi xmlns:a14="http://schemas.microsoft.com/office/drawing/2010/main" val="0"/>
                              </a:ext>
                            </a:extLst>
                          </a:blip>
                          <a:srcRect r="47865"/>
                          <a:stretch/>
                        </pic:blipFill>
                        <pic:spPr bwMode="auto">
                          <a:xfrm>
                            <a:off x="0" y="0"/>
                            <a:ext cx="1867299" cy="201985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B06ED0" w:rsidTr="00134257">
        <w:trPr>
          <w:trHeight w:val="3102"/>
        </w:trPr>
        <w:tc>
          <w:tcPr>
            <w:tcW w:w="2144" w:type="dxa"/>
            <w:vMerge/>
            <w:shd w:val="clear" w:color="auto" w:fill="D6E3BC" w:themeFill="accent3" w:themeFillTint="66"/>
            <w:vAlign w:val="center"/>
          </w:tcPr>
          <w:p w:rsidR="00B06ED0" w:rsidRDefault="00B06ED0" w:rsidP="00D50324">
            <w:pPr>
              <w:pStyle w:val="Sansinterligne"/>
              <w:jc w:val="center"/>
            </w:pPr>
          </w:p>
        </w:tc>
        <w:tc>
          <w:tcPr>
            <w:tcW w:w="2616" w:type="dxa"/>
            <w:tcBorders>
              <w:top w:val="single" w:sz="4" w:space="0" w:color="FFFFFF" w:themeColor="background1"/>
              <w:right w:val="single" w:sz="4" w:space="0" w:color="FFFFFF" w:themeColor="background1"/>
            </w:tcBorders>
          </w:tcPr>
          <w:p w:rsidR="00B06ED0" w:rsidRPr="00B06ED0" w:rsidRDefault="00B06ED0" w:rsidP="00B06ED0">
            <w:pPr>
              <w:pStyle w:val="Sansinterligne"/>
              <w:rPr>
                <w:b/>
              </w:rPr>
            </w:pPr>
            <w:r w:rsidRPr="00B06ED0">
              <w:rPr>
                <w:b/>
              </w:rPr>
              <w:t>Tête et visage</w:t>
            </w:r>
          </w:p>
          <w:p w:rsidR="00B06ED0" w:rsidRDefault="00B06ED0" w:rsidP="005D429F">
            <w:pPr>
              <w:pStyle w:val="Sansinterligne"/>
              <w:numPr>
                <w:ilvl w:val="0"/>
                <w:numId w:val="955"/>
              </w:numPr>
              <w:ind w:left="360"/>
            </w:pPr>
            <w:r w:rsidRPr="004F6079">
              <w:rPr>
                <w:highlight w:val="yellow"/>
              </w:rPr>
              <w:t>Visage long et étroit</w:t>
            </w:r>
          </w:p>
          <w:p w:rsidR="00B06ED0" w:rsidRDefault="00B06ED0" w:rsidP="005D429F">
            <w:pPr>
              <w:pStyle w:val="Sansinterligne"/>
              <w:numPr>
                <w:ilvl w:val="0"/>
                <w:numId w:val="955"/>
              </w:numPr>
              <w:ind w:left="360"/>
            </w:pPr>
            <w:r>
              <w:t xml:space="preserve">Hypoplasie visage médian </w:t>
            </w:r>
          </w:p>
          <w:p w:rsidR="00B06ED0" w:rsidRDefault="00B06ED0" w:rsidP="005D429F">
            <w:pPr>
              <w:pStyle w:val="Sansinterligne"/>
              <w:numPr>
                <w:ilvl w:val="0"/>
                <w:numId w:val="955"/>
              </w:numPr>
              <w:ind w:left="360"/>
            </w:pPr>
            <w:r>
              <w:t>Yeux creux</w:t>
            </w:r>
          </w:p>
          <w:p w:rsidR="00B06ED0" w:rsidRPr="004F6079" w:rsidRDefault="00B06ED0" w:rsidP="005D429F">
            <w:pPr>
              <w:pStyle w:val="Sansinterligne"/>
              <w:numPr>
                <w:ilvl w:val="0"/>
                <w:numId w:val="955"/>
              </w:numPr>
              <w:ind w:left="360"/>
              <w:rPr>
                <w:highlight w:val="yellow"/>
              </w:rPr>
            </w:pPr>
            <w:r w:rsidRPr="004F6079">
              <w:rPr>
                <w:highlight w:val="yellow"/>
              </w:rPr>
              <w:t>Prognathisme</w:t>
            </w:r>
          </w:p>
          <w:p w:rsidR="00B06ED0" w:rsidRDefault="00B06ED0" w:rsidP="005D429F">
            <w:pPr>
              <w:pStyle w:val="Sansinterligne"/>
              <w:numPr>
                <w:ilvl w:val="0"/>
                <w:numId w:val="955"/>
              </w:numPr>
              <w:ind w:left="360"/>
            </w:pPr>
            <w:r>
              <w:t>Proéminence du front</w:t>
            </w:r>
          </w:p>
          <w:p w:rsidR="00B06ED0" w:rsidRPr="004F6079" w:rsidRDefault="00B06ED0" w:rsidP="005D429F">
            <w:pPr>
              <w:pStyle w:val="Sansinterligne"/>
              <w:numPr>
                <w:ilvl w:val="0"/>
                <w:numId w:val="955"/>
              </w:numPr>
              <w:ind w:left="360"/>
              <w:rPr>
                <w:highlight w:val="yellow"/>
              </w:rPr>
            </w:pPr>
            <w:r w:rsidRPr="004F6079">
              <w:rPr>
                <w:highlight w:val="yellow"/>
              </w:rPr>
              <w:t>Larges oreilles</w:t>
            </w:r>
          </w:p>
          <w:p w:rsidR="00B06ED0" w:rsidRPr="004F6079" w:rsidRDefault="00B06ED0" w:rsidP="005D429F">
            <w:pPr>
              <w:pStyle w:val="Sansinterligne"/>
              <w:numPr>
                <w:ilvl w:val="0"/>
                <w:numId w:val="955"/>
              </w:numPr>
              <w:ind w:left="360"/>
              <w:rPr>
                <w:highlight w:val="yellow"/>
              </w:rPr>
            </w:pPr>
            <w:r w:rsidRPr="004F6079">
              <w:rPr>
                <w:highlight w:val="yellow"/>
              </w:rPr>
              <w:t>Iris bleu pâle</w:t>
            </w:r>
          </w:p>
          <w:p w:rsidR="00B06ED0" w:rsidRDefault="00B06ED0" w:rsidP="005D429F">
            <w:pPr>
              <w:pStyle w:val="Sansinterligne"/>
              <w:numPr>
                <w:ilvl w:val="0"/>
                <w:numId w:val="955"/>
              </w:numPr>
              <w:ind w:left="360"/>
            </w:pPr>
            <w:r>
              <w:t>Palais arqué</w:t>
            </w:r>
          </w:p>
          <w:p w:rsidR="00B06ED0" w:rsidRDefault="00B06ED0" w:rsidP="00B06ED0">
            <w:pPr>
              <w:pStyle w:val="Sansinterligne"/>
              <w:ind w:left="360"/>
            </w:pPr>
          </w:p>
        </w:tc>
        <w:tc>
          <w:tcPr>
            <w:tcW w:w="2823" w:type="dxa"/>
            <w:gridSpan w:val="3"/>
            <w:tcBorders>
              <w:top w:val="single" w:sz="4" w:space="0" w:color="FFFFFF" w:themeColor="background1"/>
              <w:left w:val="single" w:sz="4" w:space="0" w:color="FFFFFF" w:themeColor="background1"/>
            </w:tcBorders>
          </w:tcPr>
          <w:p w:rsidR="00B06ED0" w:rsidRPr="00B06ED0" w:rsidRDefault="00B06ED0" w:rsidP="00B06ED0">
            <w:pPr>
              <w:pStyle w:val="Sansinterligne"/>
              <w:rPr>
                <w:b/>
              </w:rPr>
            </w:pPr>
            <w:r>
              <w:rPr>
                <w:b/>
              </w:rPr>
              <w:t>Développement</w:t>
            </w:r>
            <w:r w:rsidRPr="00B06ED0">
              <w:rPr>
                <w:b/>
              </w:rPr>
              <w:t>/</w:t>
            </w:r>
            <w:r w:rsidR="002B54E0">
              <w:rPr>
                <w:b/>
              </w:rPr>
              <w:t>cognition</w:t>
            </w:r>
          </w:p>
          <w:p w:rsidR="00B06ED0" w:rsidRDefault="00B06ED0" w:rsidP="005D429F">
            <w:pPr>
              <w:pStyle w:val="Sansinterligne"/>
              <w:numPr>
                <w:ilvl w:val="0"/>
                <w:numId w:val="955"/>
              </w:numPr>
              <w:ind w:left="360"/>
            </w:pPr>
            <w:r>
              <w:t>Retard de développement</w:t>
            </w:r>
          </w:p>
          <w:p w:rsidR="00B06ED0" w:rsidRPr="004F6079" w:rsidRDefault="00B06ED0" w:rsidP="005D429F">
            <w:pPr>
              <w:pStyle w:val="Sansinterligne"/>
              <w:numPr>
                <w:ilvl w:val="0"/>
                <w:numId w:val="955"/>
              </w:numPr>
              <w:ind w:left="360"/>
              <w:rPr>
                <w:highlight w:val="yellow"/>
              </w:rPr>
            </w:pPr>
            <w:r w:rsidRPr="004F6079">
              <w:rPr>
                <w:highlight w:val="yellow"/>
              </w:rPr>
              <w:t>Troubles d’apprentissages</w:t>
            </w:r>
          </w:p>
          <w:p w:rsidR="00B06ED0" w:rsidRPr="004F6079" w:rsidRDefault="00B06ED0" w:rsidP="005D429F">
            <w:pPr>
              <w:pStyle w:val="Sansinterligne"/>
              <w:numPr>
                <w:ilvl w:val="0"/>
                <w:numId w:val="955"/>
              </w:numPr>
              <w:ind w:left="360"/>
              <w:rPr>
                <w:highlight w:val="yellow"/>
              </w:rPr>
            </w:pPr>
            <w:r w:rsidRPr="004F6079">
              <w:rPr>
                <w:highlight w:val="yellow"/>
              </w:rPr>
              <w:t>Déficience intellectuelle</w:t>
            </w:r>
          </w:p>
          <w:p w:rsidR="00B06ED0" w:rsidRDefault="004F6079" w:rsidP="005D429F">
            <w:pPr>
              <w:pStyle w:val="Sansinterligne"/>
              <w:numPr>
                <w:ilvl w:val="0"/>
                <w:numId w:val="955"/>
              </w:numPr>
              <w:ind w:left="360"/>
            </w:pPr>
            <w:r>
              <w:t>Tendance autistique</w:t>
            </w:r>
            <w:r w:rsidR="00B06ED0">
              <w:t xml:space="preserve"> et TDAH</w:t>
            </w:r>
          </w:p>
          <w:p w:rsidR="00B06ED0" w:rsidRPr="00B06ED0" w:rsidRDefault="00B06ED0" w:rsidP="00B06ED0">
            <w:pPr>
              <w:pStyle w:val="Sansinterligne"/>
              <w:rPr>
                <w:b/>
              </w:rPr>
            </w:pPr>
            <w:r w:rsidRPr="00B06ED0">
              <w:rPr>
                <w:b/>
              </w:rPr>
              <w:t>Autres</w:t>
            </w:r>
          </w:p>
          <w:p w:rsidR="00B06ED0" w:rsidRDefault="00B06ED0" w:rsidP="005D429F">
            <w:pPr>
              <w:pStyle w:val="Sansinterligne"/>
              <w:numPr>
                <w:ilvl w:val="0"/>
                <w:numId w:val="955"/>
              </w:numPr>
              <w:ind w:left="360"/>
            </w:pPr>
            <w:r>
              <w:t>Prolapsus mitral</w:t>
            </w:r>
          </w:p>
          <w:p w:rsidR="00B06ED0" w:rsidRDefault="00B06ED0" w:rsidP="005D429F">
            <w:pPr>
              <w:pStyle w:val="Sansinterligne"/>
              <w:numPr>
                <w:ilvl w:val="0"/>
                <w:numId w:val="955"/>
              </w:numPr>
              <w:ind w:left="360"/>
            </w:pPr>
            <w:r>
              <w:t>Hypotonie</w:t>
            </w:r>
          </w:p>
          <w:p w:rsidR="00B06ED0" w:rsidRDefault="00B06ED0" w:rsidP="005D429F">
            <w:pPr>
              <w:pStyle w:val="Sansinterligne"/>
              <w:numPr>
                <w:ilvl w:val="0"/>
                <w:numId w:val="955"/>
              </w:numPr>
              <w:ind w:left="360"/>
            </w:pPr>
            <w:r>
              <w:t>Hyperlaxité</w:t>
            </w:r>
          </w:p>
          <w:p w:rsidR="00B06ED0" w:rsidRDefault="00B06ED0" w:rsidP="005D429F">
            <w:pPr>
              <w:pStyle w:val="Sansinterligne"/>
              <w:numPr>
                <w:ilvl w:val="0"/>
                <w:numId w:val="955"/>
              </w:numPr>
              <w:ind w:left="360"/>
            </w:pPr>
            <w:r w:rsidRPr="004F6079">
              <w:rPr>
                <w:highlight w:val="yellow"/>
              </w:rPr>
              <w:t>Gros testicules</w:t>
            </w:r>
          </w:p>
        </w:tc>
        <w:tc>
          <w:tcPr>
            <w:tcW w:w="3433" w:type="dxa"/>
            <w:vMerge/>
            <w:shd w:val="clear" w:color="auto" w:fill="FFFFFF" w:themeFill="background1"/>
          </w:tcPr>
          <w:p w:rsidR="00B06ED0" w:rsidRDefault="00B06ED0" w:rsidP="0090151F">
            <w:pPr>
              <w:pStyle w:val="Sansinterligne"/>
              <w:rPr>
                <w:noProof/>
                <w:lang w:eastAsia="fr-CA"/>
              </w:rPr>
            </w:pPr>
          </w:p>
        </w:tc>
      </w:tr>
      <w:tr w:rsidR="00360F2D" w:rsidTr="003B648F">
        <w:trPr>
          <w:trHeight w:val="1001"/>
        </w:trPr>
        <w:tc>
          <w:tcPr>
            <w:tcW w:w="2144" w:type="dxa"/>
            <w:vMerge w:val="restart"/>
            <w:shd w:val="clear" w:color="auto" w:fill="D6E3BC" w:themeFill="accent3" w:themeFillTint="66"/>
            <w:vAlign w:val="center"/>
          </w:tcPr>
          <w:p w:rsidR="00360F2D" w:rsidRPr="00360F2D" w:rsidRDefault="00360F2D" w:rsidP="00D82B2C">
            <w:pPr>
              <w:pStyle w:val="Sansinterligne"/>
              <w:jc w:val="center"/>
              <w:rPr>
                <w:b/>
              </w:rPr>
            </w:pPr>
            <w:r w:rsidRPr="00360F2D">
              <w:rPr>
                <w:b/>
              </w:rPr>
              <w:t>Syndrome de            Prader-Willi</w:t>
            </w:r>
          </w:p>
        </w:tc>
        <w:tc>
          <w:tcPr>
            <w:tcW w:w="2616" w:type="dxa"/>
            <w:tcBorders>
              <w:bottom w:val="single" w:sz="4" w:space="0" w:color="FFFFFF" w:themeColor="background1"/>
              <w:right w:val="single" w:sz="4" w:space="0" w:color="FFFFFF" w:themeColor="background1"/>
            </w:tcBorders>
          </w:tcPr>
          <w:p w:rsidR="00360F2D" w:rsidRDefault="00360F2D" w:rsidP="005D429F">
            <w:pPr>
              <w:pStyle w:val="Sansinterligne"/>
              <w:numPr>
                <w:ilvl w:val="0"/>
                <w:numId w:val="960"/>
              </w:numPr>
            </w:pPr>
            <w:r>
              <w:t>Polyhydramnios</w:t>
            </w:r>
          </w:p>
          <w:p w:rsidR="00360F2D" w:rsidRDefault="00360F2D" w:rsidP="005D429F">
            <w:pPr>
              <w:pStyle w:val="Sansinterligne"/>
              <w:numPr>
                <w:ilvl w:val="0"/>
                <w:numId w:val="960"/>
              </w:numPr>
            </w:pPr>
            <w:r>
              <w:rPr>
                <w:rFonts w:cs="Times New Roman"/>
              </w:rPr>
              <w:t>↓</w:t>
            </w:r>
            <w:r>
              <w:t xml:space="preserve"> mouvements fœtaux</w:t>
            </w:r>
          </w:p>
          <w:p w:rsidR="00360F2D" w:rsidRDefault="00360F2D" w:rsidP="005D429F">
            <w:pPr>
              <w:pStyle w:val="Sansinterligne"/>
              <w:numPr>
                <w:ilvl w:val="0"/>
                <w:numId w:val="960"/>
              </w:numPr>
            </w:pPr>
            <w:r>
              <w:t xml:space="preserve">Présentation en siège </w:t>
            </w:r>
          </w:p>
          <w:p w:rsidR="00360F2D" w:rsidRDefault="00360F2D" w:rsidP="005D429F">
            <w:pPr>
              <w:pStyle w:val="Sansinterligne"/>
              <w:numPr>
                <w:ilvl w:val="0"/>
                <w:numId w:val="960"/>
              </w:numPr>
            </w:pPr>
            <w:r>
              <w:t xml:space="preserve">Hypotonie néonatale </w:t>
            </w:r>
          </w:p>
        </w:tc>
        <w:tc>
          <w:tcPr>
            <w:tcW w:w="2823" w:type="dxa"/>
            <w:gridSpan w:val="3"/>
            <w:tcBorders>
              <w:left w:val="single" w:sz="4" w:space="0" w:color="FFFFFF" w:themeColor="background1"/>
              <w:bottom w:val="single" w:sz="4" w:space="0" w:color="FFFFFF" w:themeColor="background1"/>
            </w:tcBorders>
          </w:tcPr>
          <w:p w:rsidR="002B54E0" w:rsidRDefault="002B54E0" w:rsidP="005D429F">
            <w:pPr>
              <w:pStyle w:val="Sansinterligne"/>
              <w:numPr>
                <w:ilvl w:val="0"/>
                <w:numId w:val="960"/>
              </w:numPr>
            </w:pPr>
            <w:r>
              <w:t>Difficulté aux boires ++</w:t>
            </w:r>
          </w:p>
          <w:p w:rsidR="00360F2D" w:rsidRDefault="00360F2D" w:rsidP="005D429F">
            <w:pPr>
              <w:pStyle w:val="Sansinterligne"/>
              <w:numPr>
                <w:ilvl w:val="0"/>
                <w:numId w:val="960"/>
              </w:numPr>
            </w:pPr>
            <w:r>
              <w:t xml:space="preserve">Retard de développement moteur </w:t>
            </w:r>
          </w:p>
          <w:p w:rsidR="00360F2D" w:rsidRDefault="00360F2D" w:rsidP="005D429F">
            <w:pPr>
              <w:pStyle w:val="Sansinterligne"/>
              <w:numPr>
                <w:ilvl w:val="0"/>
                <w:numId w:val="960"/>
              </w:numPr>
            </w:pPr>
            <w:r w:rsidRPr="002B54E0">
              <w:rPr>
                <w:highlight w:val="yellow"/>
              </w:rPr>
              <w:t>Hyperphagie</w:t>
            </w:r>
          </w:p>
        </w:tc>
        <w:tc>
          <w:tcPr>
            <w:tcW w:w="3433" w:type="dxa"/>
            <w:vMerge w:val="restart"/>
          </w:tcPr>
          <w:p w:rsidR="00360F2D" w:rsidRDefault="00360F2D" w:rsidP="0090151F">
            <w:pPr>
              <w:pStyle w:val="Sansinterligne"/>
            </w:pPr>
            <w:r>
              <w:rPr>
                <w:noProof/>
                <w:lang w:eastAsia="fr-CA"/>
              </w:rPr>
              <w:drawing>
                <wp:inline distT="0" distB="0" distL="0" distR="0" wp14:anchorId="1A127BE7" wp14:editId="522807F6">
                  <wp:extent cx="2042809" cy="1821235"/>
                  <wp:effectExtent l="0" t="0" r="0" b="7620"/>
                  <wp:docPr id="461" name="Imag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129">
                            <a:extLst>
                              <a:ext uri="{28A0092B-C50C-407E-A947-70E740481C1C}">
                                <a14:useLocalDpi xmlns:a14="http://schemas.microsoft.com/office/drawing/2010/main" val="0"/>
                              </a:ext>
                            </a:extLst>
                          </a:blip>
                          <a:stretch>
                            <a:fillRect/>
                          </a:stretch>
                        </pic:blipFill>
                        <pic:spPr>
                          <a:xfrm>
                            <a:off x="0" y="0"/>
                            <a:ext cx="2044605" cy="1822836"/>
                          </a:xfrm>
                          <a:prstGeom prst="rect">
                            <a:avLst/>
                          </a:prstGeom>
                        </pic:spPr>
                      </pic:pic>
                    </a:graphicData>
                  </a:graphic>
                </wp:inline>
              </w:drawing>
            </w:r>
          </w:p>
        </w:tc>
      </w:tr>
      <w:tr w:rsidR="00134257" w:rsidTr="003B648F">
        <w:trPr>
          <w:trHeight w:val="1997"/>
        </w:trPr>
        <w:tc>
          <w:tcPr>
            <w:tcW w:w="2144" w:type="dxa"/>
            <w:vMerge/>
            <w:shd w:val="clear" w:color="auto" w:fill="D6E3BC" w:themeFill="accent3" w:themeFillTint="66"/>
            <w:vAlign w:val="center"/>
          </w:tcPr>
          <w:p w:rsidR="00134257" w:rsidRPr="00360F2D" w:rsidRDefault="00134257" w:rsidP="00D82B2C">
            <w:pPr>
              <w:pStyle w:val="Sansinterligne"/>
              <w:jc w:val="center"/>
              <w:rPr>
                <w:b/>
              </w:rPr>
            </w:pPr>
          </w:p>
        </w:tc>
        <w:tc>
          <w:tcPr>
            <w:tcW w:w="2761" w:type="dxa"/>
            <w:gridSpan w:val="3"/>
            <w:tcBorders>
              <w:top w:val="single" w:sz="4" w:space="0" w:color="FFFFFF" w:themeColor="background1"/>
              <w:right w:val="single" w:sz="4" w:space="0" w:color="FFFFFF" w:themeColor="background1"/>
            </w:tcBorders>
          </w:tcPr>
          <w:p w:rsidR="00134257" w:rsidRPr="00134257" w:rsidRDefault="00134257" w:rsidP="00134257">
            <w:pPr>
              <w:pStyle w:val="Sansinterligne"/>
              <w:rPr>
                <w:b/>
              </w:rPr>
            </w:pPr>
            <w:r w:rsidRPr="00134257">
              <w:rPr>
                <w:b/>
              </w:rPr>
              <w:t>Reproduction</w:t>
            </w:r>
          </w:p>
          <w:p w:rsidR="00134257" w:rsidRPr="00134257" w:rsidRDefault="00134257" w:rsidP="005D429F">
            <w:pPr>
              <w:pStyle w:val="Sansinterligne"/>
              <w:numPr>
                <w:ilvl w:val="0"/>
                <w:numId w:val="964"/>
              </w:numPr>
              <w:rPr>
                <w:highlight w:val="yellow"/>
              </w:rPr>
            </w:pPr>
            <w:r w:rsidRPr="00134257">
              <w:rPr>
                <w:highlight w:val="yellow"/>
              </w:rPr>
              <w:t>Hypoplasie génitale</w:t>
            </w:r>
            <w:r w:rsidR="002C44F3">
              <w:rPr>
                <w:highlight w:val="yellow"/>
              </w:rPr>
              <w:t xml:space="preserve"> / micropénis</w:t>
            </w:r>
          </w:p>
          <w:p w:rsidR="00134257" w:rsidRPr="00134257" w:rsidRDefault="00134257" w:rsidP="005D429F">
            <w:pPr>
              <w:pStyle w:val="Sansinterligne"/>
              <w:numPr>
                <w:ilvl w:val="0"/>
                <w:numId w:val="964"/>
              </w:numPr>
              <w:rPr>
                <w:highlight w:val="yellow"/>
              </w:rPr>
            </w:pPr>
            <w:r w:rsidRPr="00134257">
              <w:rPr>
                <w:highlight w:val="yellow"/>
              </w:rPr>
              <w:t>Retard pubertaire</w:t>
            </w:r>
          </w:p>
          <w:p w:rsidR="002C44F3" w:rsidRPr="00134257" w:rsidRDefault="002C44F3" w:rsidP="002C44F3">
            <w:pPr>
              <w:pStyle w:val="Sansinterligne"/>
              <w:rPr>
                <w:b/>
              </w:rPr>
            </w:pPr>
            <w:r w:rsidRPr="00134257">
              <w:rPr>
                <w:b/>
              </w:rPr>
              <w:t>Autres</w:t>
            </w:r>
          </w:p>
          <w:p w:rsidR="002C44F3" w:rsidRDefault="002C44F3" w:rsidP="005D429F">
            <w:pPr>
              <w:pStyle w:val="Sansinterligne"/>
              <w:numPr>
                <w:ilvl w:val="0"/>
                <w:numId w:val="964"/>
              </w:numPr>
            </w:pPr>
            <w:r>
              <w:t>Dépigmentation yeux/peau</w:t>
            </w:r>
          </w:p>
          <w:p w:rsidR="00134257" w:rsidRDefault="002C44F3" w:rsidP="002C44F3">
            <w:pPr>
              <w:pStyle w:val="Sansinterligne"/>
              <w:ind w:left="360"/>
            </w:pPr>
            <w:r w:rsidRPr="00134257">
              <w:rPr>
                <w:highlight w:val="yellow"/>
              </w:rPr>
              <w:t>Surpoids / obésité</w:t>
            </w:r>
          </w:p>
        </w:tc>
        <w:tc>
          <w:tcPr>
            <w:tcW w:w="2678" w:type="dxa"/>
            <w:tcBorders>
              <w:top w:val="single" w:sz="4" w:space="0" w:color="FFFFFF" w:themeColor="background1"/>
              <w:left w:val="single" w:sz="4" w:space="0" w:color="FFFFFF" w:themeColor="background1"/>
            </w:tcBorders>
          </w:tcPr>
          <w:p w:rsidR="002C44F3" w:rsidRPr="00134257" w:rsidRDefault="002C44F3" w:rsidP="002C44F3">
            <w:pPr>
              <w:pStyle w:val="Sansinterligne"/>
              <w:rPr>
                <w:b/>
              </w:rPr>
            </w:pPr>
            <w:r w:rsidRPr="00134257">
              <w:rPr>
                <w:b/>
              </w:rPr>
              <w:t>MSK</w:t>
            </w:r>
          </w:p>
          <w:p w:rsidR="002C44F3" w:rsidRPr="00134257" w:rsidRDefault="002C44F3" w:rsidP="005D429F">
            <w:pPr>
              <w:pStyle w:val="Sansinterligne"/>
              <w:numPr>
                <w:ilvl w:val="0"/>
                <w:numId w:val="964"/>
              </w:numPr>
              <w:rPr>
                <w:highlight w:val="yellow"/>
              </w:rPr>
            </w:pPr>
            <w:r w:rsidRPr="00134257">
              <w:rPr>
                <w:highlight w:val="yellow"/>
              </w:rPr>
              <w:t>Petite taille</w:t>
            </w:r>
          </w:p>
          <w:p w:rsidR="00134257" w:rsidRPr="00134257" w:rsidRDefault="00134257" w:rsidP="00134257">
            <w:pPr>
              <w:pStyle w:val="Sansinterligne"/>
              <w:rPr>
                <w:b/>
              </w:rPr>
            </w:pPr>
            <w:r w:rsidRPr="00134257">
              <w:rPr>
                <w:b/>
              </w:rPr>
              <w:t>Cognition/Développement</w:t>
            </w:r>
          </w:p>
          <w:p w:rsidR="00134257" w:rsidRPr="00134257" w:rsidRDefault="00134257" w:rsidP="005D429F">
            <w:pPr>
              <w:pStyle w:val="Sansinterligne"/>
              <w:numPr>
                <w:ilvl w:val="0"/>
                <w:numId w:val="964"/>
              </w:numPr>
              <w:rPr>
                <w:highlight w:val="yellow"/>
              </w:rPr>
            </w:pPr>
            <w:r w:rsidRPr="00134257">
              <w:rPr>
                <w:highlight w:val="yellow"/>
              </w:rPr>
              <w:t>Retard global de développement</w:t>
            </w:r>
            <w:r w:rsidRPr="00134257">
              <w:rPr>
                <w:b/>
                <w:highlight w:val="yellow"/>
              </w:rPr>
              <w:t xml:space="preserve"> </w:t>
            </w:r>
          </w:p>
          <w:p w:rsidR="00134257" w:rsidRPr="00134257" w:rsidRDefault="00134257" w:rsidP="005D429F">
            <w:pPr>
              <w:pStyle w:val="Sansinterligne"/>
              <w:numPr>
                <w:ilvl w:val="0"/>
                <w:numId w:val="964"/>
              </w:numPr>
              <w:rPr>
                <w:highlight w:val="yellow"/>
              </w:rPr>
            </w:pPr>
            <w:r w:rsidRPr="00134257">
              <w:rPr>
                <w:highlight w:val="yellow"/>
              </w:rPr>
              <w:t>DI</w:t>
            </w:r>
          </w:p>
          <w:p w:rsidR="00134257" w:rsidRDefault="00134257" w:rsidP="005D429F">
            <w:pPr>
              <w:pStyle w:val="Sansinterligne"/>
              <w:numPr>
                <w:ilvl w:val="0"/>
                <w:numId w:val="964"/>
              </w:numPr>
            </w:pPr>
            <w:r>
              <w:t>Comportement obsessif-compulsif</w:t>
            </w:r>
          </w:p>
        </w:tc>
        <w:tc>
          <w:tcPr>
            <w:tcW w:w="3433" w:type="dxa"/>
            <w:vMerge/>
          </w:tcPr>
          <w:p w:rsidR="00134257" w:rsidRDefault="00134257" w:rsidP="0090151F">
            <w:pPr>
              <w:pStyle w:val="Sansinterligne"/>
              <w:rPr>
                <w:noProof/>
                <w:lang w:eastAsia="fr-CA"/>
              </w:rPr>
            </w:pPr>
          </w:p>
        </w:tc>
      </w:tr>
      <w:tr w:rsidR="00600C42" w:rsidTr="00842A6D">
        <w:tc>
          <w:tcPr>
            <w:tcW w:w="2144" w:type="dxa"/>
            <w:shd w:val="clear" w:color="auto" w:fill="D6E3BC" w:themeFill="accent3" w:themeFillTint="66"/>
            <w:vAlign w:val="center"/>
          </w:tcPr>
          <w:p w:rsidR="00600C42" w:rsidRDefault="00FF2603" w:rsidP="00D82B2C">
            <w:pPr>
              <w:pStyle w:val="Sansinterligne"/>
              <w:jc w:val="center"/>
            </w:pPr>
            <w:r>
              <w:t xml:space="preserve">Syndrome de </w:t>
            </w:r>
            <w:r w:rsidR="00D82B2C">
              <w:t xml:space="preserve">         </w:t>
            </w:r>
            <w:r>
              <w:t>Cornélia de Lange</w:t>
            </w:r>
          </w:p>
        </w:tc>
        <w:tc>
          <w:tcPr>
            <w:tcW w:w="5439" w:type="dxa"/>
            <w:gridSpan w:val="4"/>
          </w:tcPr>
          <w:p w:rsidR="003B648F" w:rsidRPr="003B648F" w:rsidRDefault="003B648F" w:rsidP="0090151F">
            <w:pPr>
              <w:pStyle w:val="Sansinterligne"/>
              <w:rPr>
                <w:b/>
              </w:rPr>
            </w:pPr>
            <w:r w:rsidRPr="003B648F">
              <w:rPr>
                <w:b/>
              </w:rPr>
              <w:t>Tête et visage</w:t>
            </w:r>
          </w:p>
          <w:p w:rsidR="00600C42" w:rsidRPr="003B648F" w:rsidRDefault="003B648F" w:rsidP="005D429F">
            <w:pPr>
              <w:pStyle w:val="Sansinterligne"/>
              <w:numPr>
                <w:ilvl w:val="0"/>
                <w:numId w:val="967"/>
              </w:numPr>
              <w:rPr>
                <w:highlight w:val="yellow"/>
              </w:rPr>
            </w:pPr>
            <w:r w:rsidRPr="003B648F">
              <w:rPr>
                <w:highlight w:val="yellow"/>
              </w:rPr>
              <w:t>Microcéphalie</w:t>
            </w:r>
          </w:p>
          <w:p w:rsidR="003B648F" w:rsidRPr="003B648F" w:rsidRDefault="003B648F" w:rsidP="005D429F">
            <w:pPr>
              <w:pStyle w:val="Sansinterligne"/>
              <w:numPr>
                <w:ilvl w:val="0"/>
                <w:numId w:val="967"/>
              </w:numPr>
              <w:rPr>
                <w:highlight w:val="yellow"/>
              </w:rPr>
            </w:pPr>
            <w:r w:rsidRPr="003B648F">
              <w:rPr>
                <w:highlight w:val="yellow"/>
              </w:rPr>
              <w:t>Synophrys (monosourcil)</w:t>
            </w:r>
          </w:p>
          <w:p w:rsidR="003B648F" w:rsidRPr="003B648F" w:rsidRDefault="003B648F" w:rsidP="0090151F">
            <w:pPr>
              <w:pStyle w:val="Sansinterligne"/>
              <w:rPr>
                <w:b/>
              </w:rPr>
            </w:pPr>
            <w:r w:rsidRPr="003B648F">
              <w:rPr>
                <w:b/>
              </w:rPr>
              <w:t>MSK</w:t>
            </w:r>
          </w:p>
          <w:p w:rsidR="003B648F" w:rsidRPr="00991560" w:rsidRDefault="003B648F" w:rsidP="005D429F">
            <w:pPr>
              <w:pStyle w:val="Sansinterligne"/>
              <w:numPr>
                <w:ilvl w:val="0"/>
                <w:numId w:val="966"/>
              </w:numPr>
              <w:rPr>
                <w:highlight w:val="yellow"/>
              </w:rPr>
            </w:pPr>
            <w:r w:rsidRPr="00991560">
              <w:rPr>
                <w:highlight w:val="yellow"/>
              </w:rPr>
              <w:t>Petite taille</w:t>
            </w:r>
          </w:p>
          <w:p w:rsidR="003B648F" w:rsidRDefault="003B648F" w:rsidP="005D429F">
            <w:pPr>
              <w:pStyle w:val="Sansinterligne"/>
              <w:numPr>
                <w:ilvl w:val="0"/>
                <w:numId w:val="966"/>
              </w:numPr>
            </w:pPr>
            <w:r>
              <w:t>Petites mains</w:t>
            </w:r>
          </w:p>
          <w:p w:rsidR="003B648F" w:rsidRDefault="003B648F" w:rsidP="005D429F">
            <w:pPr>
              <w:pStyle w:val="Sansinterligne"/>
              <w:numPr>
                <w:ilvl w:val="0"/>
                <w:numId w:val="966"/>
              </w:numPr>
            </w:pPr>
            <w:r>
              <w:t>Petits pieds</w:t>
            </w:r>
          </w:p>
          <w:p w:rsidR="003B648F" w:rsidRPr="003B648F" w:rsidRDefault="003B648F" w:rsidP="0090151F">
            <w:pPr>
              <w:pStyle w:val="Sansinterligne"/>
              <w:rPr>
                <w:b/>
              </w:rPr>
            </w:pPr>
            <w:r w:rsidRPr="003B648F">
              <w:rPr>
                <w:b/>
              </w:rPr>
              <w:t>Autres</w:t>
            </w:r>
          </w:p>
          <w:p w:rsidR="003B648F" w:rsidRDefault="003B648F" w:rsidP="005D429F">
            <w:pPr>
              <w:pStyle w:val="Sansinterligne"/>
              <w:numPr>
                <w:ilvl w:val="0"/>
                <w:numId w:val="965"/>
              </w:numPr>
            </w:pPr>
            <w:r>
              <w:t>Hirsutisme</w:t>
            </w:r>
          </w:p>
          <w:p w:rsidR="003B648F" w:rsidRDefault="003B648F" w:rsidP="005D429F">
            <w:pPr>
              <w:pStyle w:val="Sansinterligne"/>
              <w:numPr>
                <w:ilvl w:val="0"/>
                <w:numId w:val="965"/>
              </w:numPr>
            </w:pPr>
            <w:r>
              <w:t>Hypoplasie des mamelons</w:t>
            </w:r>
          </w:p>
          <w:p w:rsidR="003B648F" w:rsidRPr="003B648F" w:rsidRDefault="003B648F" w:rsidP="0090151F">
            <w:pPr>
              <w:pStyle w:val="Sansinterligne"/>
              <w:rPr>
                <w:b/>
              </w:rPr>
            </w:pPr>
            <w:r w:rsidRPr="003B648F">
              <w:rPr>
                <w:b/>
              </w:rPr>
              <w:t>Cognition /Développement</w:t>
            </w:r>
          </w:p>
          <w:p w:rsidR="003B648F" w:rsidRDefault="008A5006" w:rsidP="005D429F">
            <w:pPr>
              <w:pStyle w:val="Sansinterligne"/>
              <w:numPr>
                <w:ilvl w:val="0"/>
                <w:numId w:val="968"/>
              </w:numPr>
            </w:pPr>
            <w:r w:rsidRPr="008A5006">
              <w:rPr>
                <w:highlight w:val="yellow"/>
              </w:rPr>
              <w:t>Déficience intellectuelle</w:t>
            </w:r>
          </w:p>
        </w:tc>
        <w:tc>
          <w:tcPr>
            <w:tcW w:w="3433" w:type="dxa"/>
            <w:vAlign w:val="center"/>
          </w:tcPr>
          <w:p w:rsidR="00600C42" w:rsidRDefault="007D06FC" w:rsidP="00842A6D">
            <w:pPr>
              <w:pStyle w:val="Sansinterligne"/>
              <w:jc w:val="center"/>
            </w:pPr>
            <w:r>
              <w:rPr>
                <w:noProof/>
                <w:lang w:eastAsia="fr-CA"/>
              </w:rPr>
              <w:drawing>
                <wp:inline distT="0" distB="0" distL="0" distR="0" wp14:anchorId="75229841" wp14:editId="4B37DD3D">
                  <wp:extent cx="1616484" cy="1770434"/>
                  <wp:effectExtent l="0" t="0" r="3175" b="1270"/>
                  <wp:docPr id="462" name="Image 462" descr="Résultats de recherche d'images pour « cornélia de lange faci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Résultats de recherche d'images pour « cornélia de lange facies »"/>
                          <pic:cNvPicPr>
                            <a:picLocks noChangeAspect="1" noChangeArrowheads="1"/>
                          </pic:cNvPicPr>
                        </pic:nvPicPr>
                        <pic:blipFill rotWithShape="1">
                          <a:blip r:embed="rId130">
                            <a:extLst>
                              <a:ext uri="{28A0092B-C50C-407E-A947-70E740481C1C}">
                                <a14:useLocalDpi xmlns:a14="http://schemas.microsoft.com/office/drawing/2010/main" val="0"/>
                              </a:ext>
                            </a:extLst>
                          </a:blip>
                          <a:srcRect l="7755" r="19759" b="36438"/>
                          <a:stretch/>
                        </pic:blipFill>
                        <pic:spPr bwMode="auto">
                          <a:xfrm>
                            <a:off x="0" y="0"/>
                            <a:ext cx="1620154" cy="1774453"/>
                          </a:xfrm>
                          <a:prstGeom prst="rect">
                            <a:avLst/>
                          </a:prstGeom>
                          <a:noFill/>
                          <a:ln>
                            <a:noFill/>
                          </a:ln>
                          <a:extLst>
                            <a:ext uri="{53640926-AAD7-44D8-BBD7-CCE9431645EC}">
                              <a14:shadowObscured xmlns:a14="http://schemas.microsoft.com/office/drawing/2010/main"/>
                            </a:ext>
                          </a:extLst>
                        </pic:spPr>
                      </pic:pic>
                    </a:graphicData>
                  </a:graphic>
                </wp:inline>
              </w:drawing>
            </w:r>
          </w:p>
        </w:tc>
      </w:tr>
    </w:tbl>
    <w:p w:rsidR="004651AF" w:rsidRDefault="004651AF" w:rsidP="0090151F">
      <w:pPr>
        <w:pStyle w:val="Sansinterligne"/>
      </w:pPr>
    </w:p>
    <w:p w:rsidR="0060650D" w:rsidRPr="001E19B0" w:rsidRDefault="0060650D" w:rsidP="001E19B0">
      <w:pPr>
        <w:pStyle w:val="Sansinterligne"/>
      </w:pPr>
    </w:p>
    <w:tbl>
      <w:tblPr>
        <w:tblStyle w:val="Grilledutableau"/>
        <w:tblW w:w="0" w:type="auto"/>
        <w:tblLook w:val="04A0" w:firstRow="1" w:lastRow="0" w:firstColumn="1" w:lastColumn="0" w:noHBand="0" w:noVBand="1"/>
      </w:tblPr>
      <w:tblGrid>
        <w:gridCol w:w="3652"/>
        <w:gridCol w:w="2482"/>
        <w:gridCol w:w="2429"/>
        <w:gridCol w:w="2430"/>
      </w:tblGrid>
      <w:tr w:rsidR="00600C42" w:rsidTr="00EC2111">
        <w:tc>
          <w:tcPr>
            <w:tcW w:w="10993" w:type="dxa"/>
            <w:gridSpan w:val="4"/>
            <w:shd w:val="clear" w:color="auto" w:fill="FFC000"/>
          </w:tcPr>
          <w:p w:rsidR="00600C42" w:rsidRDefault="00600C42" w:rsidP="00600C42">
            <w:pPr>
              <w:pStyle w:val="Sansinterligne"/>
              <w:jc w:val="center"/>
            </w:pPr>
            <w:r>
              <w:t>Autres causes tératogène</w:t>
            </w:r>
          </w:p>
        </w:tc>
      </w:tr>
      <w:tr w:rsidR="00600C42" w:rsidTr="00EC2111">
        <w:tc>
          <w:tcPr>
            <w:tcW w:w="3652" w:type="dxa"/>
            <w:shd w:val="clear" w:color="auto" w:fill="D6E3BC" w:themeFill="accent3" w:themeFillTint="66"/>
          </w:tcPr>
          <w:p w:rsidR="00600C42" w:rsidRPr="00D22968" w:rsidRDefault="00600C42" w:rsidP="00600C42">
            <w:pPr>
              <w:pStyle w:val="Sansinterligne"/>
              <w:jc w:val="center"/>
              <w:rPr>
                <w:i/>
              </w:rPr>
            </w:pPr>
            <w:r w:rsidRPr="00D22968">
              <w:rPr>
                <w:i/>
              </w:rPr>
              <w:t>Diagnostic</w:t>
            </w:r>
          </w:p>
        </w:tc>
        <w:tc>
          <w:tcPr>
            <w:tcW w:w="7341" w:type="dxa"/>
            <w:gridSpan w:val="3"/>
            <w:shd w:val="clear" w:color="auto" w:fill="D6E3BC" w:themeFill="accent3" w:themeFillTint="66"/>
          </w:tcPr>
          <w:p w:rsidR="00600C42" w:rsidRPr="00D22968" w:rsidRDefault="00600C42" w:rsidP="00600C42">
            <w:pPr>
              <w:pStyle w:val="Sansinterligne"/>
              <w:jc w:val="center"/>
              <w:rPr>
                <w:i/>
              </w:rPr>
            </w:pPr>
            <w:r w:rsidRPr="00D22968">
              <w:rPr>
                <w:i/>
              </w:rPr>
              <w:t>Manifestations cliniques</w:t>
            </w:r>
          </w:p>
        </w:tc>
      </w:tr>
      <w:tr w:rsidR="00600C42" w:rsidTr="00EC2111">
        <w:tc>
          <w:tcPr>
            <w:tcW w:w="3652" w:type="dxa"/>
            <w:shd w:val="clear" w:color="auto" w:fill="D6E3BC" w:themeFill="accent3" w:themeFillTint="66"/>
            <w:vAlign w:val="center"/>
          </w:tcPr>
          <w:p w:rsidR="00600C42" w:rsidRPr="00F3745F" w:rsidRDefault="002E176F" w:rsidP="00F3745F">
            <w:pPr>
              <w:pStyle w:val="Sansinterligne"/>
              <w:jc w:val="center"/>
              <w:rPr>
                <w:b/>
              </w:rPr>
            </w:pPr>
            <w:r>
              <w:rPr>
                <w:b/>
              </w:rPr>
              <w:t>Trouble du spectre de  l’</w:t>
            </w:r>
            <w:r w:rsidR="00810528" w:rsidRPr="00F3745F">
              <w:rPr>
                <w:b/>
              </w:rPr>
              <w:t xml:space="preserve">alcoolisation </w:t>
            </w:r>
            <w:r w:rsidR="00912DA8" w:rsidRPr="00F3745F">
              <w:rPr>
                <w:b/>
              </w:rPr>
              <w:t>fœtale</w:t>
            </w:r>
          </w:p>
          <w:p w:rsidR="00F3745F" w:rsidRDefault="00F3745F" w:rsidP="00F3745F">
            <w:pPr>
              <w:pStyle w:val="Sansinterligne"/>
              <w:jc w:val="center"/>
            </w:pPr>
          </w:p>
          <w:p w:rsidR="00F3745F" w:rsidRDefault="002E176F" w:rsidP="002E176F">
            <w:pPr>
              <w:pStyle w:val="Sansinterligne"/>
              <w:jc w:val="center"/>
            </w:pPr>
            <w:r>
              <w:t>Syndrome d’alcoolisation fœtale</w:t>
            </w:r>
          </w:p>
          <w:p w:rsidR="002E176F" w:rsidRDefault="002E176F" w:rsidP="002E176F">
            <w:pPr>
              <w:pStyle w:val="Sansinterligne"/>
              <w:jc w:val="center"/>
            </w:pPr>
            <w:r>
              <w:t>Anomalies congénitales liées à l’AF</w:t>
            </w:r>
          </w:p>
          <w:p w:rsidR="002E176F" w:rsidRDefault="002E176F" w:rsidP="002E176F">
            <w:pPr>
              <w:pStyle w:val="Sansinterligne"/>
              <w:jc w:val="center"/>
            </w:pPr>
            <w:r>
              <w:t>Tr. Neurodéveloppemental dû à l’AF</w:t>
            </w:r>
          </w:p>
        </w:tc>
        <w:tc>
          <w:tcPr>
            <w:tcW w:w="7341" w:type="dxa"/>
            <w:gridSpan w:val="3"/>
          </w:tcPr>
          <w:p w:rsidR="00F3745F" w:rsidRDefault="00F3745F" w:rsidP="005D429F">
            <w:pPr>
              <w:pStyle w:val="Sansinterligne"/>
              <w:numPr>
                <w:ilvl w:val="0"/>
                <w:numId w:val="969"/>
              </w:numPr>
            </w:pPr>
            <w:r w:rsidRPr="000E35D9">
              <w:rPr>
                <w:highlight w:val="yellow"/>
              </w:rPr>
              <w:t>Hx de consommation d’alcool par la mère durant la grossesse</w:t>
            </w:r>
          </w:p>
          <w:p w:rsidR="00F3745F" w:rsidRPr="000E35D9" w:rsidRDefault="002E176F" w:rsidP="005D429F">
            <w:pPr>
              <w:pStyle w:val="Sansinterligne"/>
              <w:numPr>
                <w:ilvl w:val="0"/>
                <w:numId w:val="970"/>
              </w:numPr>
              <w:rPr>
                <w:highlight w:val="yellow"/>
              </w:rPr>
            </w:pPr>
            <w:r w:rsidRPr="000E35D9">
              <w:rPr>
                <w:highlight w:val="yellow"/>
              </w:rPr>
              <w:t>Petit poids de naissance / ralentissement de la prise de poids</w:t>
            </w:r>
          </w:p>
          <w:p w:rsidR="002E176F" w:rsidRDefault="000E35D9" w:rsidP="005D429F">
            <w:pPr>
              <w:pStyle w:val="Sansinterligne"/>
              <w:numPr>
                <w:ilvl w:val="0"/>
                <w:numId w:val="970"/>
              </w:numPr>
            </w:pPr>
            <w:r w:rsidRPr="000E35D9">
              <w:rPr>
                <w:b/>
                <w:noProof/>
                <w:highlight w:val="yellow"/>
                <w:lang w:eastAsia="fr-CA"/>
              </w:rPr>
              <w:drawing>
                <wp:anchor distT="0" distB="0" distL="114300" distR="114300" simplePos="0" relativeHeight="251949056" behindDoc="0" locked="0" layoutInCell="1" allowOverlap="1" wp14:anchorId="3B35F623" wp14:editId="203073B5">
                  <wp:simplePos x="0" y="0"/>
                  <wp:positionH relativeFrom="column">
                    <wp:posOffset>2291891</wp:posOffset>
                  </wp:positionH>
                  <wp:positionV relativeFrom="paragraph">
                    <wp:posOffset>25859</wp:posOffset>
                  </wp:positionV>
                  <wp:extent cx="2217906" cy="2183566"/>
                  <wp:effectExtent l="0" t="0" r="0" b="7620"/>
                  <wp:wrapNone/>
                  <wp:docPr id="463" name="Imag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131">
                            <a:extLst>
                              <a:ext uri="{28A0092B-C50C-407E-A947-70E740481C1C}">
                                <a14:useLocalDpi xmlns:a14="http://schemas.microsoft.com/office/drawing/2010/main" val="0"/>
                              </a:ext>
                            </a:extLst>
                          </a:blip>
                          <a:stretch>
                            <a:fillRect/>
                          </a:stretch>
                        </pic:blipFill>
                        <pic:spPr>
                          <a:xfrm>
                            <a:off x="0" y="0"/>
                            <a:ext cx="2217906" cy="2183566"/>
                          </a:xfrm>
                          <a:prstGeom prst="rect">
                            <a:avLst/>
                          </a:prstGeom>
                        </pic:spPr>
                      </pic:pic>
                    </a:graphicData>
                  </a:graphic>
                  <wp14:sizeRelH relativeFrom="page">
                    <wp14:pctWidth>0</wp14:pctWidth>
                  </wp14:sizeRelH>
                  <wp14:sizeRelV relativeFrom="page">
                    <wp14:pctHeight>0</wp14:pctHeight>
                  </wp14:sizeRelV>
                </wp:anchor>
              </w:drawing>
            </w:r>
            <w:r w:rsidR="002E176F" w:rsidRPr="000E35D9">
              <w:rPr>
                <w:highlight w:val="yellow"/>
              </w:rPr>
              <w:t>Dysfonction neurocomportementale</w:t>
            </w:r>
          </w:p>
          <w:p w:rsidR="002E176F" w:rsidRDefault="002E176F" w:rsidP="005D429F">
            <w:pPr>
              <w:pStyle w:val="Sansinterligne"/>
              <w:numPr>
                <w:ilvl w:val="1"/>
                <w:numId w:val="970"/>
              </w:numPr>
            </w:pPr>
            <w:r>
              <w:t>Hyperactivité</w:t>
            </w:r>
          </w:p>
          <w:p w:rsidR="002E176F" w:rsidRDefault="002E176F" w:rsidP="005D429F">
            <w:pPr>
              <w:pStyle w:val="Sansinterligne"/>
              <w:numPr>
                <w:ilvl w:val="1"/>
                <w:numId w:val="970"/>
              </w:numPr>
            </w:pPr>
            <w:r>
              <w:t>Problèmes moteurs fins</w:t>
            </w:r>
          </w:p>
          <w:p w:rsidR="002E176F" w:rsidRDefault="002E176F" w:rsidP="005D429F">
            <w:pPr>
              <w:pStyle w:val="Sansinterligne"/>
              <w:numPr>
                <w:ilvl w:val="1"/>
                <w:numId w:val="970"/>
              </w:numPr>
            </w:pPr>
            <w:r>
              <w:t>TDAH</w:t>
            </w:r>
          </w:p>
          <w:p w:rsidR="002E176F" w:rsidRDefault="002E176F" w:rsidP="005D429F">
            <w:pPr>
              <w:pStyle w:val="Sansinterligne"/>
              <w:numPr>
                <w:ilvl w:val="1"/>
                <w:numId w:val="970"/>
              </w:numPr>
            </w:pPr>
            <w:r>
              <w:t>Trouble d’apprentissage</w:t>
            </w:r>
          </w:p>
          <w:p w:rsidR="002E176F" w:rsidRDefault="002E176F" w:rsidP="005D429F">
            <w:pPr>
              <w:pStyle w:val="Sansinterligne"/>
              <w:numPr>
                <w:ilvl w:val="1"/>
                <w:numId w:val="970"/>
              </w:numPr>
            </w:pPr>
            <w:r>
              <w:t>Trouble cognitif</w:t>
            </w:r>
          </w:p>
          <w:p w:rsidR="000E35D9" w:rsidRDefault="002E176F" w:rsidP="005D429F">
            <w:pPr>
              <w:pStyle w:val="Sansinterligne"/>
              <w:numPr>
                <w:ilvl w:val="1"/>
                <w:numId w:val="970"/>
              </w:numPr>
            </w:pPr>
            <w:r>
              <w:t>Difficultés d’adaptation</w:t>
            </w:r>
          </w:p>
          <w:p w:rsidR="000E35D9" w:rsidRPr="000E35D9" w:rsidRDefault="000E35D9" w:rsidP="000E35D9">
            <w:pPr>
              <w:pStyle w:val="Sansinterligne"/>
              <w:rPr>
                <w:b/>
              </w:rPr>
            </w:pPr>
            <w:r w:rsidRPr="000E35D9">
              <w:rPr>
                <w:b/>
              </w:rPr>
              <w:t>Caractéristiques physiques</w:t>
            </w:r>
          </w:p>
          <w:p w:rsidR="00600C42" w:rsidRDefault="00912DA8" w:rsidP="005D429F">
            <w:pPr>
              <w:pStyle w:val="Sansinterligne"/>
              <w:numPr>
                <w:ilvl w:val="0"/>
                <w:numId w:val="970"/>
              </w:numPr>
            </w:pPr>
            <w:r>
              <w:t>Petite taille</w:t>
            </w:r>
          </w:p>
          <w:p w:rsidR="00912DA8" w:rsidRPr="000E35D9" w:rsidRDefault="00912DA8" w:rsidP="005D429F">
            <w:pPr>
              <w:pStyle w:val="Sansinterligne"/>
              <w:numPr>
                <w:ilvl w:val="0"/>
                <w:numId w:val="970"/>
              </w:numPr>
              <w:rPr>
                <w:highlight w:val="yellow"/>
              </w:rPr>
            </w:pPr>
            <w:r w:rsidRPr="000E35D9">
              <w:rPr>
                <w:highlight w:val="yellow"/>
              </w:rPr>
              <w:t>Microcéphalie</w:t>
            </w:r>
          </w:p>
          <w:p w:rsidR="000E35D9" w:rsidRPr="000E35D9" w:rsidRDefault="000E35D9" w:rsidP="005D429F">
            <w:pPr>
              <w:pStyle w:val="Sansinterligne"/>
              <w:numPr>
                <w:ilvl w:val="0"/>
                <w:numId w:val="970"/>
              </w:numPr>
              <w:rPr>
                <w:highlight w:val="yellow"/>
              </w:rPr>
            </w:pPr>
            <w:r w:rsidRPr="000E35D9">
              <w:rPr>
                <w:highlight w:val="yellow"/>
              </w:rPr>
              <w:t>Plis épicanthus</w:t>
            </w:r>
          </w:p>
          <w:p w:rsidR="00912DA8" w:rsidRDefault="00912DA8" w:rsidP="005D429F">
            <w:pPr>
              <w:pStyle w:val="Sansinterligne"/>
              <w:numPr>
                <w:ilvl w:val="0"/>
                <w:numId w:val="970"/>
              </w:numPr>
            </w:pPr>
            <w:r>
              <w:t>Petites fentes palpébrales</w:t>
            </w:r>
          </w:p>
          <w:p w:rsidR="00912DA8" w:rsidRPr="000E35D9" w:rsidRDefault="00912DA8" w:rsidP="005D429F">
            <w:pPr>
              <w:pStyle w:val="Sansinterligne"/>
              <w:numPr>
                <w:ilvl w:val="0"/>
                <w:numId w:val="970"/>
              </w:numPr>
              <w:rPr>
                <w:highlight w:val="yellow"/>
              </w:rPr>
            </w:pPr>
            <w:r w:rsidRPr="000E35D9">
              <w:rPr>
                <w:highlight w:val="yellow"/>
              </w:rPr>
              <w:t>Lèvre supérieure mince</w:t>
            </w:r>
          </w:p>
          <w:p w:rsidR="002E176F" w:rsidRDefault="00912DA8" w:rsidP="005D429F">
            <w:pPr>
              <w:pStyle w:val="Sansinterligne"/>
              <w:numPr>
                <w:ilvl w:val="0"/>
                <w:numId w:val="970"/>
              </w:numPr>
            </w:pPr>
            <w:r w:rsidRPr="000E35D9">
              <w:rPr>
                <w:highlight w:val="yellow"/>
              </w:rPr>
              <w:t>Philtrum lisse</w:t>
            </w:r>
          </w:p>
        </w:tc>
      </w:tr>
      <w:tr w:rsidR="00546B92" w:rsidTr="00EC2111">
        <w:trPr>
          <w:trHeight w:val="616"/>
        </w:trPr>
        <w:tc>
          <w:tcPr>
            <w:tcW w:w="3652" w:type="dxa"/>
            <w:vMerge w:val="restart"/>
            <w:shd w:val="clear" w:color="auto" w:fill="D6E3BC" w:themeFill="accent3" w:themeFillTint="66"/>
            <w:vAlign w:val="center"/>
          </w:tcPr>
          <w:p w:rsidR="00546B92" w:rsidRDefault="00546B92" w:rsidP="00F3745F">
            <w:pPr>
              <w:pStyle w:val="Sansinterligne"/>
              <w:jc w:val="center"/>
              <w:rPr>
                <w:b/>
              </w:rPr>
            </w:pPr>
            <w:r w:rsidRPr="00546B92">
              <w:rPr>
                <w:b/>
              </w:rPr>
              <w:t>Infection congénitale à TORCH</w:t>
            </w:r>
          </w:p>
          <w:p w:rsidR="00546B92" w:rsidRDefault="00546B92" w:rsidP="00F3745F">
            <w:pPr>
              <w:pStyle w:val="Sansinterligne"/>
              <w:jc w:val="center"/>
              <w:rPr>
                <w:b/>
              </w:rPr>
            </w:pPr>
          </w:p>
          <w:p w:rsidR="00546B92" w:rsidRDefault="00546B92" w:rsidP="00F3745F">
            <w:pPr>
              <w:pStyle w:val="Sansinterligne"/>
              <w:jc w:val="center"/>
              <w:rPr>
                <w:b/>
              </w:rPr>
            </w:pPr>
          </w:p>
          <w:p w:rsidR="00546B92" w:rsidRDefault="00546B92" w:rsidP="00F3745F">
            <w:pPr>
              <w:pStyle w:val="Sansinterligne"/>
              <w:jc w:val="center"/>
              <w:rPr>
                <w:b/>
              </w:rPr>
            </w:pPr>
          </w:p>
          <w:p w:rsidR="00546B92" w:rsidRDefault="00546B92" w:rsidP="00F3745F">
            <w:pPr>
              <w:pStyle w:val="Sansinterligne"/>
              <w:jc w:val="center"/>
              <w:rPr>
                <w:b/>
              </w:rPr>
            </w:pPr>
          </w:p>
          <w:p w:rsidR="00546B92" w:rsidRDefault="00546B92" w:rsidP="00F3745F">
            <w:pPr>
              <w:pStyle w:val="Sansinterligne"/>
              <w:jc w:val="center"/>
              <w:rPr>
                <w:b/>
              </w:rPr>
            </w:pPr>
          </w:p>
          <w:p w:rsidR="00546B92" w:rsidRPr="00546B92" w:rsidRDefault="00546B92" w:rsidP="00F3745F">
            <w:pPr>
              <w:pStyle w:val="Sansinterligne"/>
              <w:jc w:val="center"/>
              <w:rPr>
                <w:b/>
              </w:rPr>
            </w:pPr>
          </w:p>
          <w:p w:rsidR="00546B92" w:rsidRDefault="00546B92" w:rsidP="00F3745F">
            <w:pPr>
              <w:pStyle w:val="Sansinterligne"/>
              <w:jc w:val="center"/>
            </w:pPr>
            <w:r>
              <w:t>Toxoplasmose</w:t>
            </w:r>
          </w:p>
          <w:p w:rsidR="00546B92" w:rsidRDefault="00546B92" w:rsidP="00F3745F">
            <w:pPr>
              <w:pStyle w:val="Sansinterligne"/>
              <w:jc w:val="center"/>
            </w:pPr>
            <w:r>
              <w:t>Others (Syphilis, varicelle, zika)</w:t>
            </w:r>
          </w:p>
          <w:p w:rsidR="00546B92" w:rsidRDefault="00546B92" w:rsidP="00F3745F">
            <w:pPr>
              <w:pStyle w:val="Sansinterligne"/>
              <w:jc w:val="center"/>
            </w:pPr>
            <w:r>
              <w:t>Rubéole</w:t>
            </w:r>
          </w:p>
          <w:p w:rsidR="00546B92" w:rsidRDefault="00546B92" w:rsidP="00F3745F">
            <w:pPr>
              <w:pStyle w:val="Sansinterligne"/>
              <w:jc w:val="center"/>
            </w:pPr>
            <w:r>
              <w:t>Cytomégalovirus (CMV)</w:t>
            </w:r>
          </w:p>
          <w:p w:rsidR="00546B92" w:rsidRDefault="00546B92" w:rsidP="00F3745F">
            <w:pPr>
              <w:pStyle w:val="Sansinterligne"/>
              <w:jc w:val="center"/>
            </w:pPr>
            <w:r>
              <w:t>Herpès (HSV)</w:t>
            </w:r>
          </w:p>
        </w:tc>
        <w:tc>
          <w:tcPr>
            <w:tcW w:w="7341" w:type="dxa"/>
            <w:gridSpan w:val="3"/>
          </w:tcPr>
          <w:p w:rsidR="00546B92" w:rsidRDefault="00546B92" w:rsidP="0090151F">
            <w:pPr>
              <w:pStyle w:val="Sansinterligne"/>
              <w:rPr>
                <w:i/>
              </w:rPr>
            </w:pPr>
            <w:r>
              <w:rPr>
                <w:i/>
              </w:rPr>
              <w:t>Histoire d’exposition gestationnelle</w:t>
            </w:r>
          </w:p>
          <w:p w:rsidR="00546B92" w:rsidRPr="00546B92" w:rsidRDefault="00AA30C0" w:rsidP="0090151F">
            <w:pPr>
              <w:pStyle w:val="Sansinterligne"/>
              <w:rPr>
                <w:i/>
              </w:rPr>
            </w:pPr>
            <w:r>
              <w:rPr>
                <w:i/>
              </w:rPr>
              <w:t xml:space="preserve">Peuvent causer </w:t>
            </w:r>
            <w:r w:rsidR="00546B92" w:rsidRPr="00793C29">
              <w:rPr>
                <w:i/>
              </w:rPr>
              <w:t>décès in utero, prématurité,</w:t>
            </w:r>
            <w:r w:rsidR="00546B92">
              <w:rPr>
                <w:i/>
              </w:rPr>
              <w:t xml:space="preserve"> RCIU, etc.</w:t>
            </w:r>
          </w:p>
        </w:tc>
      </w:tr>
      <w:tr w:rsidR="00546B92" w:rsidTr="00EC2111">
        <w:trPr>
          <w:trHeight w:val="1054"/>
        </w:trPr>
        <w:tc>
          <w:tcPr>
            <w:tcW w:w="3652" w:type="dxa"/>
            <w:vMerge/>
            <w:shd w:val="clear" w:color="auto" w:fill="D6E3BC" w:themeFill="accent3" w:themeFillTint="66"/>
            <w:vAlign w:val="center"/>
          </w:tcPr>
          <w:p w:rsidR="00546B92" w:rsidRDefault="00546B92" w:rsidP="00F3745F">
            <w:pPr>
              <w:pStyle w:val="Sansinterligne"/>
              <w:jc w:val="center"/>
            </w:pPr>
          </w:p>
        </w:tc>
        <w:tc>
          <w:tcPr>
            <w:tcW w:w="2482" w:type="dxa"/>
          </w:tcPr>
          <w:p w:rsidR="00546B92" w:rsidRPr="00793C29" w:rsidRDefault="00546B92" w:rsidP="00546B92">
            <w:pPr>
              <w:pStyle w:val="Sansinterligne"/>
              <w:jc w:val="center"/>
              <w:rPr>
                <w:b/>
              </w:rPr>
            </w:pPr>
            <w:r w:rsidRPr="00793C29">
              <w:rPr>
                <w:b/>
              </w:rPr>
              <w:t>Toxoplasmose</w:t>
            </w:r>
          </w:p>
          <w:p w:rsidR="00546B92" w:rsidRDefault="00546B92" w:rsidP="00546B92">
            <w:pPr>
              <w:pStyle w:val="Sansinterligne"/>
              <w:jc w:val="center"/>
            </w:pPr>
            <w:r>
              <w:t>Généralement asymptomatique</w:t>
            </w:r>
          </w:p>
          <w:p w:rsidR="00546B92" w:rsidRDefault="00546B92" w:rsidP="00546B92">
            <w:pPr>
              <w:pStyle w:val="Sansinterligne"/>
              <w:jc w:val="center"/>
            </w:pPr>
            <w:r>
              <w:t>Mais variable</w:t>
            </w:r>
          </w:p>
          <w:p w:rsidR="00546B92" w:rsidRPr="00546B92" w:rsidRDefault="00546B92" w:rsidP="00546B92">
            <w:pPr>
              <w:pStyle w:val="Sansinterligne"/>
              <w:rPr>
                <w:highlight w:val="yellow"/>
                <w:u w:val="single"/>
              </w:rPr>
            </w:pPr>
            <w:r w:rsidRPr="00793C29">
              <w:rPr>
                <w:u w:val="single"/>
              </w:rPr>
              <w:t>T</w:t>
            </w:r>
            <w:r w:rsidRPr="00546B92">
              <w:rPr>
                <w:highlight w:val="yellow"/>
                <w:u w:val="single"/>
              </w:rPr>
              <w:t>riade classique</w:t>
            </w:r>
          </w:p>
          <w:p w:rsidR="00546B92" w:rsidRPr="00546B92" w:rsidRDefault="00546B92" w:rsidP="005D429F">
            <w:pPr>
              <w:pStyle w:val="Sansinterligne"/>
              <w:numPr>
                <w:ilvl w:val="0"/>
                <w:numId w:val="973"/>
              </w:numPr>
              <w:rPr>
                <w:highlight w:val="yellow"/>
              </w:rPr>
            </w:pPr>
            <w:r w:rsidRPr="00546B92">
              <w:rPr>
                <w:highlight w:val="yellow"/>
              </w:rPr>
              <w:t>Choriorétinite</w:t>
            </w:r>
          </w:p>
          <w:p w:rsidR="00546B92" w:rsidRPr="00546B92" w:rsidRDefault="00546B92" w:rsidP="005D429F">
            <w:pPr>
              <w:pStyle w:val="Sansinterligne"/>
              <w:numPr>
                <w:ilvl w:val="0"/>
                <w:numId w:val="973"/>
              </w:numPr>
              <w:rPr>
                <w:highlight w:val="yellow"/>
              </w:rPr>
            </w:pPr>
            <w:r w:rsidRPr="00546B92">
              <w:rPr>
                <w:highlight w:val="yellow"/>
              </w:rPr>
              <w:t>Hydrocéphalie</w:t>
            </w:r>
          </w:p>
          <w:p w:rsidR="00546B92" w:rsidRPr="00546B92" w:rsidRDefault="00546B92" w:rsidP="005D429F">
            <w:pPr>
              <w:pStyle w:val="Sansinterligne"/>
              <w:numPr>
                <w:ilvl w:val="0"/>
                <w:numId w:val="973"/>
              </w:numPr>
              <w:rPr>
                <w:highlight w:val="yellow"/>
              </w:rPr>
            </w:pPr>
            <w:r w:rsidRPr="00546B92">
              <w:rPr>
                <w:highlight w:val="yellow"/>
              </w:rPr>
              <w:t>Calcifications cérébrales</w:t>
            </w:r>
          </w:p>
          <w:p w:rsidR="00546B92" w:rsidRPr="00793C29" w:rsidRDefault="00546B92" w:rsidP="00546B92">
            <w:pPr>
              <w:pStyle w:val="Sansinterligne"/>
              <w:jc w:val="center"/>
              <w:rPr>
                <w:b/>
              </w:rPr>
            </w:pPr>
            <w:r w:rsidRPr="00793C29">
              <w:rPr>
                <w:b/>
              </w:rPr>
              <w:t>Syphilis</w:t>
            </w:r>
          </w:p>
          <w:p w:rsidR="00546B92" w:rsidRPr="00793C29" w:rsidRDefault="00546B92" w:rsidP="00546B92">
            <w:pPr>
              <w:pStyle w:val="Sansinterligne"/>
              <w:rPr>
                <w:u w:val="single"/>
              </w:rPr>
            </w:pPr>
            <w:r w:rsidRPr="00793C29">
              <w:rPr>
                <w:u w:val="single"/>
              </w:rPr>
              <w:t>Précoce</w:t>
            </w:r>
          </w:p>
          <w:p w:rsidR="00546B92" w:rsidRDefault="00546B92" w:rsidP="005D429F">
            <w:pPr>
              <w:pStyle w:val="Sansinterligne"/>
              <w:numPr>
                <w:ilvl w:val="0"/>
                <w:numId w:val="974"/>
              </w:numPr>
            </w:pPr>
            <w:r>
              <w:t>Hépatosplénomégalie</w:t>
            </w:r>
          </w:p>
          <w:p w:rsidR="00546B92" w:rsidRDefault="00546B92" w:rsidP="005D429F">
            <w:pPr>
              <w:pStyle w:val="Sansinterligne"/>
              <w:numPr>
                <w:ilvl w:val="0"/>
                <w:numId w:val="974"/>
              </w:numPr>
            </w:pPr>
            <w:r>
              <w:t>Ictère</w:t>
            </w:r>
          </w:p>
          <w:p w:rsidR="00546B92" w:rsidRDefault="00546B92" w:rsidP="005D429F">
            <w:pPr>
              <w:pStyle w:val="Sansinterligne"/>
              <w:numPr>
                <w:ilvl w:val="0"/>
                <w:numId w:val="974"/>
              </w:numPr>
            </w:pPr>
            <w:r>
              <w:t>Rhinorrhée</w:t>
            </w:r>
          </w:p>
          <w:p w:rsidR="00546B92" w:rsidRDefault="00546B92" w:rsidP="005D429F">
            <w:pPr>
              <w:pStyle w:val="Sansinterligne"/>
              <w:numPr>
                <w:ilvl w:val="0"/>
                <w:numId w:val="974"/>
              </w:numPr>
            </w:pPr>
            <w:r>
              <w:t>Exanthème</w:t>
            </w:r>
          </w:p>
          <w:p w:rsidR="00546B92" w:rsidRDefault="00546B92" w:rsidP="005D429F">
            <w:pPr>
              <w:pStyle w:val="Sansinterligne"/>
              <w:numPr>
                <w:ilvl w:val="0"/>
                <w:numId w:val="974"/>
              </w:numPr>
            </w:pPr>
            <w:r>
              <w:t>ADNP généralisées</w:t>
            </w:r>
          </w:p>
          <w:p w:rsidR="00546B92" w:rsidRDefault="00546B92" w:rsidP="005D429F">
            <w:pPr>
              <w:pStyle w:val="Sansinterligne"/>
              <w:numPr>
                <w:ilvl w:val="0"/>
                <w:numId w:val="974"/>
              </w:numPr>
            </w:pPr>
            <w:r>
              <w:t>Anomalies squelettique</w:t>
            </w:r>
          </w:p>
          <w:p w:rsidR="00546B92" w:rsidRPr="00793C29" w:rsidRDefault="00546B92" w:rsidP="00546B92">
            <w:pPr>
              <w:pStyle w:val="Sansinterligne"/>
              <w:rPr>
                <w:u w:val="single"/>
              </w:rPr>
            </w:pPr>
            <w:r w:rsidRPr="00793C29">
              <w:rPr>
                <w:u w:val="single"/>
              </w:rPr>
              <w:t>Tardive (</w:t>
            </w:r>
            <w:r w:rsidRPr="00793C29">
              <w:rPr>
                <w:rFonts w:ascii="Century Gothic" w:hAnsi="Century Gothic"/>
                <w:u w:val="single"/>
              </w:rPr>
              <w:t>&gt;</w:t>
            </w:r>
            <w:r w:rsidRPr="00793C29">
              <w:rPr>
                <w:u w:val="single"/>
              </w:rPr>
              <w:t xml:space="preserve">  2 ans)</w:t>
            </w:r>
          </w:p>
          <w:p w:rsidR="00546B92" w:rsidRPr="00546B92" w:rsidRDefault="00546B92" w:rsidP="005D429F">
            <w:pPr>
              <w:pStyle w:val="Sansinterligne"/>
              <w:numPr>
                <w:ilvl w:val="0"/>
                <w:numId w:val="975"/>
              </w:numPr>
              <w:rPr>
                <w:highlight w:val="yellow"/>
              </w:rPr>
            </w:pPr>
            <w:r w:rsidRPr="00546B92">
              <w:rPr>
                <w:highlight w:val="yellow"/>
              </w:rPr>
              <w:t>Bosse frontale, nez en selle</w:t>
            </w:r>
          </w:p>
          <w:p w:rsidR="00546B92" w:rsidRPr="00546B92" w:rsidRDefault="00546B92" w:rsidP="005D429F">
            <w:pPr>
              <w:pStyle w:val="Sansinterligne"/>
              <w:numPr>
                <w:ilvl w:val="0"/>
                <w:numId w:val="975"/>
              </w:numPr>
              <w:rPr>
                <w:highlight w:val="yellow"/>
              </w:rPr>
            </w:pPr>
            <w:r w:rsidRPr="00546B92">
              <w:rPr>
                <w:highlight w:val="yellow"/>
              </w:rPr>
              <w:t>Kératite interstitielle</w:t>
            </w:r>
          </w:p>
          <w:p w:rsidR="00546B92" w:rsidRPr="00546B92" w:rsidRDefault="00546B92" w:rsidP="005D429F">
            <w:pPr>
              <w:pStyle w:val="Sansinterligne"/>
              <w:numPr>
                <w:ilvl w:val="0"/>
                <w:numId w:val="975"/>
              </w:numPr>
              <w:rPr>
                <w:highlight w:val="yellow"/>
              </w:rPr>
            </w:pPr>
            <w:r w:rsidRPr="00546B92">
              <w:rPr>
                <w:highlight w:val="yellow"/>
              </w:rPr>
              <w:t>Dents de Hutchinson</w:t>
            </w:r>
          </w:p>
          <w:p w:rsidR="00546B92" w:rsidRPr="00546B92" w:rsidRDefault="00546B92" w:rsidP="005D429F">
            <w:pPr>
              <w:pStyle w:val="Sansinterligne"/>
              <w:numPr>
                <w:ilvl w:val="0"/>
                <w:numId w:val="975"/>
              </w:numPr>
              <w:rPr>
                <w:highlight w:val="yellow"/>
              </w:rPr>
            </w:pPr>
            <w:r w:rsidRPr="00546B92">
              <w:rPr>
                <w:highlight w:val="yellow"/>
              </w:rPr>
              <w:t>Fissures périorales</w:t>
            </w:r>
          </w:p>
          <w:p w:rsidR="00546B92" w:rsidRPr="00AA30C0" w:rsidRDefault="00546B92" w:rsidP="005D429F">
            <w:pPr>
              <w:pStyle w:val="Sansinterligne"/>
              <w:numPr>
                <w:ilvl w:val="0"/>
                <w:numId w:val="975"/>
              </w:numPr>
              <w:rPr>
                <w:highlight w:val="yellow"/>
              </w:rPr>
            </w:pPr>
            <w:r w:rsidRPr="00546B92">
              <w:rPr>
                <w:highlight w:val="yellow"/>
              </w:rPr>
              <w:t>DI, etc.</w:t>
            </w:r>
          </w:p>
        </w:tc>
        <w:tc>
          <w:tcPr>
            <w:tcW w:w="2429" w:type="dxa"/>
          </w:tcPr>
          <w:p w:rsidR="00546B92" w:rsidRPr="00D705FA" w:rsidRDefault="00546B92" w:rsidP="00546B92">
            <w:pPr>
              <w:pStyle w:val="Sansinterligne"/>
              <w:jc w:val="center"/>
              <w:rPr>
                <w:b/>
              </w:rPr>
            </w:pPr>
            <w:r w:rsidRPr="00D705FA">
              <w:rPr>
                <w:b/>
              </w:rPr>
              <w:t>Varicelle</w:t>
            </w:r>
          </w:p>
          <w:p w:rsidR="00546B92" w:rsidRDefault="00546B92" w:rsidP="005D429F">
            <w:pPr>
              <w:pStyle w:val="Sansinterligne"/>
              <w:numPr>
                <w:ilvl w:val="0"/>
                <w:numId w:val="976"/>
              </w:numPr>
            </w:pPr>
            <w:r>
              <w:t>Microphtalmie, cataractes</w:t>
            </w:r>
          </w:p>
          <w:p w:rsidR="00546B92" w:rsidRDefault="00546B92" w:rsidP="005D429F">
            <w:pPr>
              <w:pStyle w:val="Sansinterligne"/>
              <w:numPr>
                <w:ilvl w:val="0"/>
                <w:numId w:val="976"/>
              </w:numPr>
            </w:pPr>
            <w:r>
              <w:t>Choriorétinite</w:t>
            </w:r>
          </w:p>
          <w:p w:rsidR="00546B92" w:rsidRDefault="00546B92" w:rsidP="005D429F">
            <w:pPr>
              <w:pStyle w:val="Sansinterligne"/>
              <w:numPr>
                <w:ilvl w:val="0"/>
                <w:numId w:val="976"/>
              </w:numPr>
            </w:pPr>
            <w:r>
              <w:t>Membres hypoplasiques</w:t>
            </w:r>
          </w:p>
          <w:p w:rsidR="00546B92" w:rsidRDefault="00546B92" w:rsidP="005D429F">
            <w:pPr>
              <w:pStyle w:val="Sansinterligne"/>
              <w:numPr>
                <w:ilvl w:val="0"/>
                <w:numId w:val="976"/>
              </w:numPr>
            </w:pPr>
            <w:r>
              <w:t>Atrophie corticale /convulsions</w:t>
            </w:r>
          </w:p>
          <w:p w:rsidR="00546B92" w:rsidRPr="00546B92" w:rsidRDefault="00546B92" w:rsidP="005D429F">
            <w:pPr>
              <w:pStyle w:val="Sansinterligne"/>
              <w:numPr>
                <w:ilvl w:val="0"/>
                <w:numId w:val="976"/>
              </w:numPr>
            </w:pPr>
            <w:r>
              <w:t>Cicatrices cutanées</w:t>
            </w:r>
          </w:p>
          <w:p w:rsidR="00546B92" w:rsidRPr="00546B92" w:rsidRDefault="00546B92" w:rsidP="00546B92">
            <w:pPr>
              <w:pStyle w:val="Sansinterligne"/>
              <w:jc w:val="center"/>
              <w:rPr>
                <w:b/>
              </w:rPr>
            </w:pPr>
            <w:r w:rsidRPr="00546B92">
              <w:rPr>
                <w:b/>
              </w:rPr>
              <w:t>Zika</w:t>
            </w:r>
          </w:p>
          <w:p w:rsidR="00546B92" w:rsidRPr="00546B92" w:rsidRDefault="00546B92" w:rsidP="005D429F">
            <w:pPr>
              <w:pStyle w:val="Sansinterligne"/>
              <w:numPr>
                <w:ilvl w:val="0"/>
                <w:numId w:val="977"/>
              </w:numPr>
              <w:rPr>
                <w:highlight w:val="yellow"/>
              </w:rPr>
            </w:pPr>
            <w:r w:rsidRPr="00546B92">
              <w:rPr>
                <w:highlight w:val="yellow"/>
              </w:rPr>
              <w:t>Microcéphalie</w:t>
            </w:r>
          </w:p>
          <w:p w:rsidR="00546B92" w:rsidRDefault="00546B92" w:rsidP="005D429F">
            <w:pPr>
              <w:pStyle w:val="Sansinterligne"/>
              <w:numPr>
                <w:ilvl w:val="0"/>
                <w:numId w:val="977"/>
              </w:numPr>
            </w:pPr>
            <w:r>
              <w:t>Disproportion faciale</w:t>
            </w:r>
          </w:p>
          <w:p w:rsidR="00546B92" w:rsidRPr="00546B92" w:rsidRDefault="00546B92" w:rsidP="005D429F">
            <w:pPr>
              <w:pStyle w:val="Sansinterligne"/>
              <w:numPr>
                <w:ilvl w:val="0"/>
                <w:numId w:val="977"/>
              </w:numPr>
              <w:rPr>
                <w:highlight w:val="yellow"/>
              </w:rPr>
            </w:pPr>
            <w:r w:rsidRPr="00546B92">
              <w:rPr>
                <w:highlight w:val="yellow"/>
              </w:rPr>
              <w:t>Hypertonie / hyperréflexie</w:t>
            </w:r>
          </w:p>
          <w:p w:rsidR="00546B92" w:rsidRDefault="00546B92" w:rsidP="005D429F">
            <w:pPr>
              <w:pStyle w:val="Sansinterligne"/>
              <w:numPr>
                <w:ilvl w:val="0"/>
                <w:numId w:val="977"/>
              </w:numPr>
            </w:pPr>
            <w:r>
              <w:t>Convulsions</w:t>
            </w:r>
          </w:p>
          <w:p w:rsidR="00546B92" w:rsidRPr="00546B92" w:rsidRDefault="00546B92" w:rsidP="005D429F">
            <w:pPr>
              <w:pStyle w:val="Sansinterligne"/>
              <w:numPr>
                <w:ilvl w:val="0"/>
                <w:numId w:val="977"/>
              </w:numPr>
              <w:rPr>
                <w:highlight w:val="yellow"/>
              </w:rPr>
            </w:pPr>
            <w:r w:rsidRPr="00546B92">
              <w:rPr>
                <w:highlight w:val="yellow"/>
              </w:rPr>
              <w:t>Surdité</w:t>
            </w:r>
          </w:p>
          <w:p w:rsidR="00546B92" w:rsidRPr="00D705FA" w:rsidRDefault="00546B92" w:rsidP="00546B92">
            <w:pPr>
              <w:pStyle w:val="Sansinterligne"/>
              <w:jc w:val="center"/>
              <w:rPr>
                <w:b/>
              </w:rPr>
            </w:pPr>
            <w:r w:rsidRPr="00D705FA">
              <w:rPr>
                <w:b/>
              </w:rPr>
              <w:t>Rubéole</w:t>
            </w:r>
          </w:p>
          <w:p w:rsidR="00546B92" w:rsidRPr="00546B92" w:rsidRDefault="00546B92" w:rsidP="005D429F">
            <w:pPr>
              <w:pStyle w:val="Sansinterligne"/>
              <w:numPr>
                <w:ilvl w:val="0"/>
                <w:numId w:val="978"/>
              </w:numPr>
              <w:rPr>
                <w:highlight w:val="yellow"/>
              </w:rPr>
            </w:pPr>
            <w:r w:rsidRPr="00546B92">
              <w:rPr>
                <w:highlight w:val="yellow"/>
              </w:rPr>
              <w:t>Surdité</w:t>
            </w:r>
          </w:p>
          <w:p w:rsidR="00546B92" w:rsidRPr="00546B92" w:rsidRDefault="00546B92" w:rsidP="005D429F">
            <w:pPr>
              <w:pStyle w:val="Sansinterligne"/>
              <w:numPr>
                <w:ilvl w:val="0"/>
                <w:numId w:val="978"/>
              </w:numPr>
              <w:rPr>
                <w:highlight w:val="yellow"/>
              </w:rPr>
            </w:pPr>
            <w:r w:rsidRPr="00546B92">
              <w:rPr>
                <w:highlight w:val="yellow"/>
              </w:rPr>
              <w:t>Cataractes congénitales</w:t>
            </w:r>
          </w:p>
          <w:p w:rsidR="00546B92" w:rsidRPr="00546B92" w:rsidRDefault="00546B92" w:rsidP="005D429F">
            <w:pPr>
              <w:pStyle w:val="Sansinterligne"/>
              <w:numPr>
                <w:ilvl w:val="0"/>
                <w:numId w:val="978"/>
              </w:numPr>
              <w:rPr>
                <w:highlight w:val="yellow"/>
              </w:rPr>
            </w:pPr>
            <w:r w:rsidRPr="00546B92">
              <w:rPr>
                <w:highlight w:val="yellow"/>
              </w:rPr>
              <w:t>Anomalies cardiaques</w:t>
            </w:r>
          </w:p>
          <w:p w:rsidR="00546B92" w:rsidRDefault="00546B92" w:rsidP="005D429F">
            <w:pPr>
              <w:pStyle w:val="Sansinterligne"/>
              <w:numPr>
                <w:ilvl w:val="0"/>
                <w:numId w:val="978"/>
              </w:numPr>
            </w:pPr>
            <w:r>
              <w:t>Encéphalite</w:t>
            </w:r>
          </w:p>
          <w:p w:rsidR="00546B92" w:rsidRPr="00D705FA" w:rsidRDefault="00546B92" w:rsidP="00546B92">
            <w:pPr>
              <w:pStyle w:val="Sansinterligne"/>
              <w:rPr>
                <w:u w:val="single"/>
              </w:rPr>
            </w:pPr>
          </w:p>
        </w:tc>
        <w:tc>
          <w:tcPr>
            <w:tcW w:w="2430" w:type="dxa"/>
          </w:tcPr>
          <w:p w:rsidR="00546B92" w:rsidRPr="00D705FA" w:rsidRDefault="00546B92" w:rsidP="00546B92">
            <w:pPr>
              <w:pStyle w:val="Sansinterligne"/>
              <w:jc w:val="center"/>
              <w:rPr>
                <w:b/>
              </w:rPr>
            </w:pPr>
            <w:r w:rsidRPr="00D705FA">
              <w:rPr>
                <w:b/>
              </w:rPr>
              <w:t>CMV</w:t>
            </w:r>
          </w:p>
          <w:p w:rsidR="00546B92" w:rsidRDefault="00546B92" w:rsidP="00546B92">
            <w:pPr>
              <w:pStyle w:val="Sansinterligne"/>
            </w:pPr>
            <w:r w:rsidRPr="00D705FA">
              <w:rPr>
                <w:u w:val="single"/>
              </w:rPr>
              <w:t>À la naissance</w:t>
            </w:r>
            <w:r>
              <w:t xml:space="preserve"> </w:t>
            </w:r>
          </w:p>
          <w:p w:rsidR="00546B92" w:rsidRDefault="00546B92" w:rsidP="005D429F">
            <w:pPr>
              <w:pStyle w:val="Sansinterligne"/>
              <w:numPr>
                <w:ilvl w:val="0"/>
                <w:numId w:val="980"/>
              </w:numPr>
            </w:pPr>
            <w:r>
              <w:t>Pétéchies</w:t>
            </w:r>
          </w:p>
          <w:p w:rsidR="00546B92" w:rsidRDefault="00546B92" w:rsidP="005D429F">
            <w:pPr>
              <w:pStyle w:val="Sansinterligne"/>
              <w:numPr>
                <w:ilvl w:val="0"/>
                <w:numId w:val="980"/>
              </w:numPr>
            </w:pPr>
            <w:r>
              <w:t>PPAG</w:t>
            </w:r>
          </w:p>
          <w:p w:rsidR="00546B92" w:rsidRPr="00546B92" w:rsidRDefault="00546B92" w:rsidP="005D429F">
            <w:pPr>
              <w:pStyle w:val="Sansinterligne"/>
              <w:numPr>
                <w:ilvl w:val="0"/>
                <w:numId w:val="980"/>
              </w:numPr>
              <w:rPr>
                <w:highlight w:val="yellow"/>
              </w:rPr>
            </w:pPr>
            <w:r w:rsidRPr="00546B92">
              <w:rPr>
                <w:highlight w:val="yellow"/>
              </w:rPr>
              <w:t>Microcéphalie</w:t>
            </w:r>
          </w:p>
          <w:p w:rsidR="00546B92" w:rsidRPr="00546B92" w:rsidRDefault="00546B92" w:rsidP="005D429F">
            <w:pPr>
              <w:pStyle w:val="Sansinterligne"/>
              <w:numPr>
                <w:ilvl w:val="0"/>
                <w:numId w:val="980"/>
              </w:numPr>
              <w:rPr>
                <w:highlight w:val="yellow"/>
              </w:rPr>
            </w:pPr>
            <w:r w:rsidRPr="00546B92">
              <w:rPr>
                <w:highlight w:val="yellow"/>
              </w:rPr>
              <w:t>Ictère</w:t>
            </w:r>
          </w:p>
          <w:p w:rsidR="00546B92" w:rsidRPr="00546B92" w:rsidRDefault="00546B92" w:rsidP="005D429F">
            <w:pPr>
              <w:pStyle w:val="Sansinterligne"/>
              <w:numPr>
                <w:ilvl w:val="0"/>
                <w:numId w:val="980"/>
              </w:numPr>
              <w:rPr>
                <w:highlight w:val="yellow"/>
              </w:rPr>
            </w:pPr>
            <w:r w:rsidRPr="00546B92">
              <w:rPr>
                <w:highlight w:val="yellow"/>
              </w:rPr>
              <w:t>HSM</w:t>
            </w:r>
          </w:p>
          <w:p w:rsidR="00546B92" w:rsidRDefault="00546B92" w:rsidP="005D429F">
            <w:pPr>
              <w:pStyle w:val="Sansinterligne"/>
              <w:numPr>
                <w:ilvl w:val="0"/>
                <w:numId w:val="980"/>
              </w:numPr>
            </w:pPr>
            <w:r>
              <w:t>Léthargie</w:t>
            </w:r>
          </w:p>
          <w:p w:rsidR="00546B92" w:rsidRPr="00D705FA" w:rsidRDefault="00546B92" w:rsidP="00546B92">
            <w:pPr>
              <w:pStyle w:val="Sansinterligne"/>
              <w:rPr>
                <w:u w:val="single"/>
              </w:rPr>
            </w:pPr>
            <w:r w:rsidRPr="00D705FA">
              <w:rPr>
                <w:u w:val="single"/>
              </w:rPr>
              <w:t>Tardif</w:t>
            </w:r>
          </w:p>
          <w:p w:rsidR="00546B92" w:rsidRPr="00546B92" w:rsidRDefault="00546B92" w:rsidP="005D429F">
            <w:pPr>
              <w:pStyle w:val="Sansinterligne"/>
              <w:numPr>
                <w:ilvl w:val="0"/>
                <w:numId w:val="980"/>
              </w:numPr>
              <w:rPr>
                <w:highlight w:val="yellow"/>
              </w:rPr>
            </w:pPr>
            <w:r w:rsidRPr="00546B92">
              <w:rPr>
                <w:highlight w:val="yellow"/>
              </w:rPr>
              <w:t>DI</w:t>
            </w:r>
          </w:p>
          <w:p w:rsidR="00546B92" w:rsidRPr="00546B92" w:rsidRDefault="00546B92" w:rsidP="005D429F">
            <w:pPr>
              <w:pStyle w:val="Sansinterligne"/>
              <w:numPr>
                <w:ilvl w:val="0"/>
                <w:numId w:val="980"/>
              </w:numPr>
              <w:rPr>
                <w:highlight w:val="yellow"/>
              </w:rPr>
            </w:pPr>
            <w:r w:rsidRPr="00546B92">
              <w:rPr>
                <w:highlight w:val="yellow"/>
              </w:rPr>
              <w:t>Retard de développement</w:t>
            </w:r>
          </w:p>
          <w:p w:rsidR="00546B92" w:rsidRPr="00546B92" w:rsidRDefault="00546B92" w:rsidP="005D429F">
            <w:pPr>
              <w:pStyle w:val="Sansinterligne"/>
              <w:numPr>
                <w:ilvl w:val="0"/>
                <w:numId w:val="980"/>
              </w:numPr>
              <w:rPr>
                <w:highlight w:val="yellow"/>
              </w:rPr>
            </w:pPr>
            <w:r w:rsidRPr="00546B92">
              <w:rPr>
                <w:highlight w:val="yellow"/>
              </w:rPr>
              <w:t>Trouble visuels</w:t>
            </w:r>
          </w:p>
          <w:p w:rsidR="00546B92" w:rsidRDefault="00546B92" w:rsidP="005D429F">
            <w:pPr>
              <w:pStyle w:val="Sansinterligne"/>
              <w:numPr>
                <w:ilvl w:val="0"/>
                <w:numId w:val="980"/>
              </w:numPr>
            </w:pPr>
            <w:r w:rsidRPr="00546B92">
              <w:rPr>
                <w:highlight w:val="yellow"/>
              </w:rPr>
              <w:t>Surdité</w:t>
            </w:r>
          </w:p>
          <w:p w:rsidR="00546B92" w:rsidRPr="00D705FA" w:rsidRDefault="00546B92" w:rsidP="00546B92">
            <w:pPr>
              <w:pStyle w:val="Sansinterligne"/>
              <w:jc w:val="center"/>
              <w:rPr>
                <w:b/>
              </w:rPr>
            </w:pPr>
            <w:r w:rsidRPr="00D705FA">
              <w:rPr>
                <w:b/>
              </w:rPr>
              <w:t>HSV</w:t>
            </w:r>
          </w:p>
          <w:p w:rsidR="00546B92" w:rsidRPr="00546B92" w:rsidRDefault="00546B92" w:rsidP="005D429F">
            <w:pPr>
              <w:pStyle w:val="Sansinterligne"/>
              <w:numPr>
                <w:ilvl w:val="0"/>
                <w:numId w:val="979"/>
              </w:numPr>
              <w:rPr>
                <w:highlight w:val="yellow"/>
              </w:rPr>
            </w:pPr>
            <w:r w:rsidRPr="00546B92">
              <w:rPr>
                <w:highlight w:val="yellow"/>
              </w:rPr>
              <w:t>Vésicules mucocutanées</w:t>
            </w:r>
          </w:p>
          <w:p w:rsidR="00546B92" w:rsidRPr="00546B92" w:rsidRDefault="00546B92" w:rsidP="005D429F">
            <w:pPr>
              <w:pStyle w:val="Sansinterligne"/>
              <w:numPr>
                <w:ilvl w:val="0"/>
                <w:numId w:val="979"/>
              </w:numPr>
              <w:rPr>
                <w:highlight w:val="yellow"/>
              </w:rPr>
            </w:pPr>
            <w:r w:rsidRPr="00546B92">
              <w:rPr>
                <w:highlight w:val="yellow"/>
              </w:rPr>
              <w:t>Sepsis</w:t>
            </w:r>
          </w:p>
          <w:p w:rsidR="00546B92" w:rsidRDefault="00546B92" w:rsidP="005D429F">
            <w:pPr>
              <w:pStyle w:val="Sansinterligne"/>
              <w:numPr>
                <w:ilvl w:val="0"/>
                <w:numId w:val="979"/>
              </w:numPr>
            </w:pPr>
            <w:r>
              <w:t>Convulsions</w:t>
            </w:r>
          </w:p>
          <w:p w:rsidR="00546B92" w:rsidRDefault="00546B92" w:rsidP="005D429F">
            <w:pPr>
              <w:pStyle w:val="Sansinterligne"/>
              <w:numPr>
                <w:ilvl w:val="0"/>
                <w:numId w:val="979"/>
              </w:numPr>
            </w:pPr>
            <w:r>
              <w:t>Anomalies neurologiques</w:t>
            </w:r>
          </w:p>
          <w:p w:rsidR="00546B92" w:rsidRPr="00546B92" w:rsidRDefault="00546B92" w:rsidP="005D429F">
            <w:pPr>
              <w:pStyle w:val="Sansinterligne"/>
              <w:numPr>
                <w:ilvl w:val="0"/>
                <w:numId w:val="979"/>
              </w:numPr>
              <w:rPr>
                <w:highlight w:val="yellow"/>
              </w:rPr>
            </w:pPr>
            <w:r w:rsidRPr="00546B92">
              <w:rPr>
                <w:highlight w:val="yellow"/>
              </w:rPr>
              <w:t>Conjonctivite</w:t>
            </w:r>
          </w:p>
          <w:p w:rsidR="00546B92" w:rsidRDefault="00546B92" w:rsidP="005D429F">
            <w:pPr>
              <w:pStyle w:val="Sansinterligne"/>
              <w:numPr>
                <w:ilvl w:val="0"/>
                <w:numId w:val="979"/>
              </w:numPr>
            </w:pPr>
            <w:r>
              <w:t>Thrombocytopénie</w:t>
            </w:r>
          </w:p>
          <w:p w:rsidR="00546B92" w:rsidRDefault="00546B92" w:rsidP="005D429F">
            <w:pPr>
              <w:pStyle w:val="Sansinterligne"/>
              <w:numPr>
                <w:ilvl w:val="0"/>
                <w:numId w:val="979"/>
              </w:numPr>
              <w:rPr>
                <w:i/>
              </w:rPr>
            </w:pPr>
            <w:r>
              <w:t>Pneumonie</w:t>
            </w:r>
          </w:p>
        </w:tc>
      </w:tr>
      <w:tr w:rsidR="00600C42" w:rsidTr="00EC2111">
        <w:tc>
          <w:tcPr>
            <w:tcW w:w="3652" w:type="dxa"/>
            <w:shd w:val="clear" w:color="auto" w:fill="D6E3BC" w:themeFill="accent3" w:themeFillTint="66"/>
            <w:vAlign w:val="center"/>
          </w:tcPr>
          <w:p w:rsidR="00600C42" w:rsidRDefault="00FF2603" w:rsidP="00F3745F">
            <w:pPr>
              <w:pStyle w:val="Sansinterligne"/>
              <w:jc w:val="center"/>
            </w:pPr>
            <w:r>
              <w:t>Syndrome des brides/bandelettes amniotiques</w:t>
            </w:r>
          </w:p>
        </w:tc>
        <w:tc>
          <w:tcPr>
            <w:tcW w:w="7341" w:type="dxa"/>
            <w:gridSpan w:val="3"/>
          </w:tcPr>
          <w:p w:rsidR="00600C42" w:rsidRDefault="00460635" w:rsidP="005D429F">
            <w:pPr>
              <w:pStyle w:val="Sansinterligne"/>
              <w:numPr>
                <w:ilvl w:val="0"/>
                <w:numId w:val="981"/>
              </w:numPr>
            </w:pPr>
            <w:r>
              <w:t>Spectre très variable de sévérité</w:t>
            </w:r>
          </w:p>
          <w:p w:rsidR="00460635" w:rsidRDefault="00460635" w:rsidP="005D429F">
            <w:pPr>
              <w:pStyle w:val="Sansinterligne"/>
              <w:numPr>
                <w:ilvl w:val="0"/>
                <w:numId w:val="981"/>
              </w:numPr>
            </w:pPr>
            <w:r>
              <w:t xml:space="preserve">Amputations de doigts, membres </w:t>
            </w:r>
            <w:r>
              <w:rPr>
                <w:rFonts w:ascii="Century Gothic" w:hAnsi="Century Gothic"/>
              </w:rPr>
              <w:t>→</w:t>
            </w:r>
            <w:r>
              <w:t xml:space="preserve"> encéphalocèle, herniation d’organes, scoliose, etc.</w:t>
            </w:r>
          </w:p>
          <w:p w:rsidR="00460635" w:rsidRDefault="00460635" w:rsidP="005D429F">
            <w:pPr>
              <w:pStyle w:val="Sansinterligne"/>
              <w:numPr>
                <w:ilvl w:val="0"/>
                <w:numId w:val="981"/>
              </w:numPr>
            </w:pPr>
            <w:r>
              <w:t xml:space="preserve">Bandes amniotiques parfois visibles sur les membranes placentaires ou à l’échographie </w:t>
            </w:r>
            <w:r w:rsidR="00913DDB">
              <w:t>gestationnelle</w:t>
            </w:r>
          </w:p>
        </w:tc>
      </w:tr>
    </w:tbl>
    <w:p w:rsidR="00600C42" w:rsidRDefault="00600C42" w:rsidP="0090151F">
      <w:pPr>
        <w:pStyle w:val="Sansinterligne"/>
      </w:pPr>
    </w:p>
    <w:p w:rsidR="0090151F" w:rsidRPr="004651AF" w:rsidRDefault="00FD2E6B" w:rsidP="0090151F">
      <w:pPr>
        <w:pStyle w:val="Sansinterligne"/>
        <w:rPr>
          <w:b/>
          <w:sz w:val="28"/>
          <w:szCs w:val="28"/>
        </w:rPr>
      </w:pPr>
      <w:r>
        <w:rPr>
          <w:noProof/>
          <w:lang w:eastAsia="fr-CA"/>
        </w:rPr>
        <w:lastRenderedPageBreak/>
        <w:drawing>
          <wp:anchor distT="0" distB="0" distL="114300" distR="114300" simplePos="0" relativeHeight="251950080" behindDoc="0" locked="0" layoutInCell="1" allowOverlap="1" wp14:anchorId="297E0231" wp14:editId="6226DCF4">
            <wp:simplePos x="0" y="0"/>
            <wp:positionH relativeFrom="column">
              <wp:posOffset>3715939</wp:posOffset>
            </wp:positionH>
            <wp:positionV relativeFrom="paragraph">
              <wp:posOffset>-9247</wp:posOffset>
            </wp:positionV>
            <wp:extent cx="2607013" cy="2351277"/>
            <wp:effectExtent l="0" t="0" r="3175" b="0"/>
            <wp:wrapNone/>
            <wp:docPr id="466" name="Image 466" descr="Résultats de recherche d'images pour « brides amniotiqu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Résultats de recherche d'images pour « brides amniotiques »"/>
                    <pic:cNvPicPr>
                      <a:picLocks noChangeAspect="1" noChangeArrowheads="1"/>
                    </pic:cNvPicPr>
                  </pic:nvPicPr>
                  <pic:blipFill rotWithShape="1">
                    <a:blip r:embed="rId132">
                      <a:extLst>
                        <a:ext uri="{28A0092B-C50C-407E-A947-70E740481C1C}">
                          <a14:useLocalDpi xmlns:a14="http://schemas.microsoft.com/office/drawing/2010/main" val="0"/>
                        </a:ext>
                      </a:extLst>
                    </a:blip>
                    <a:srcRect l="11813" r="14561"/>
                    <a:stretch/>
                  </pic:blipFill>
                  <pic:spPr bwMode="auto">
                    <a:xfrm>
                      <a:off x="0" y="0"/>
                      <a:ext cx="2607013" cy="2351277"/>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0151F" w:rsidRPr="004651AF">
        <w:rPr>
          <w:b/>
          <w:sz w:val="28"/>
          <w:szCs w:val="28"/>
        </w:rPr>
        <w:t>Investigation</w:t>
      </w:r>
      <w:r w:rsidR="004651AF">
        <w:rPr>
          <w:b/>
          <w:sz w:val="28"/>
          <w:szCs w:val="28"/>
        </w:rPr>
        <w:t>s</w:t>
      </w:r>
    </w:p>
    <w:p w:rsidR="004651AF" w:rsidRDefault="004651AF" w:rsidP="0090151F">
      <w:pPr>
        <w:pStyle w:val="Sansinterligne"/>
      </w:pPr>
    </w:p>
    <w:p w:rsidR="0090151F" w:rsidRDefault="0090151F" w:rsidP="005D429F">
      <w:pPr>
        <w:pStyle w:val="Sansinterligne"/>
        <w:numPr>
          <w:ilvl w:val="0"/>
          <w:numId w:val="957"/>
        </w:numPr>
      </w:pPr>
      <w:r>
        <w:t>Caryotype</w:t>
      </w:r>
    </w:p>
    <w:p w:rsidR="00604130" w:rsidRDefault="00604130" w:rsidP="005D429F">
      <w:pPr>
        <w:pStyle w:val="Sansinterligne"/>
        <w:numPr>
          <w:ilvl w:val="0"/>
          <w:numId w:val="957"/>
        </w:numPr>
      </w:pPr>
      <w:r>
        <w:t>FISH (+ rapide, en attente du caryotype)</w:t>
      </w:r>
    </w:p>
    <w:p w:rsidR="0090151F" w:rsidRDefault="0090151F" w:rsidP="005D429F">
      <w:pPr>
        <w:pStyle w:val="Sansinterligne"/>
        <w:numPr>
          <w:ilvl w:val="0"/>
          <w:numId w:val="957"/>
        </w:numPr>
      </w:pPr>
      <w:r>
        <w:t>Dépistage TORCH</w:t>
      </w:r>
    </w:p>
    <w:p w:rsidR="0090151F" w:rsidRDefault="001D6744" w:rsidP="005D429F">
      <w:pPr>
        <w:pStyle w:val="Sansinterligne"/>
        <w:numPr>
          <w:ilvl w:val="0"/>
          <w:numId w:val="957"/>
        </w:numPr>
      </w:pPr>
      <w:r>
        <w:t>RX osseuses</w:t>
      </w:r>
    </w:p>
    <w:p w:rsidR="001D6744" w:rsidRDefault="001D6744" w:rsidP="005D429F">
      <w:pPr>
        <w:pStyle w:val="Sansinterligne"/>
        <w:numPr>
          <w:ilvl w:val="0"/>
          <w:numId w:val="957"/>
        </w:numPr>
      </w:pPr>
      <w:r>
        <w:t>Dépistage enzymatiques si pathologies recherchées</w:t>
      </w:r>
    </w:p>
    <w:p w:rsidR="00E32CB5" w:rsidRDefault="00793C29" w:rsidP="005D429F">
      <w:pPr>
        <w:pStyle w:val="Sansinterligne"/>
        <w:numPr>
          <w:ilvl w:val="0"/>
          <w:numId w:val="957"/>
        </w:numPr>
      </w:pPr>
      <w:r>
        <w:t>A</w:t>
      </w:r>
      <w:r w:rsidR="00E32CB5">
        <w:t>ST/ALT (hépatite à HSV)</w:t>
      </w:r>
    </w:p>
    <w:p w:rsidR="00793C29" w:rsidRDefault="00793C29" w:rsidP="005D429F">
      <w:pPr>
        <w:pStyle w:val="Sansinterligne"/>
        <w:numPr>
          <w:ilvl w:val="0"/>
          <w:numId w:val="957"/>
        </w:numPr>
      </w:pPr>
      <w:r>
        <w:t>TDM cérébral /écho</w:t>
      </w:r>
    </w:p>
    <w:p w:rsidR="00793C29" w:rsidRDefault="00793C29" w:rsidP="005D429F">
      <w:pPr>
        <w:pStyle w:val="Sansinterligne"/>
        <w:numPr>
          <w:ilvl w:val="0"/>
          <w:numId w:val="957"/>
        </w:numPr>
      </w:pPr>
      <w:r>
        <w:t>Évaluation auditive</w:t>
      </w:r>
    </w:p>
    <w:p w:rsidR="00793C29" w:rsidRDefault="00793C29" w:rsidP="005D429F">
      <w:pPr>
        <w:pStyle w:val="Sansinterligne"/>
        <w:numPr>
          <w:ilvl w:val="0"/>
          <w:numId w:val="957"/>
        </w:numPr>
      </w:pPr>
      <w:r>
        <w:t>Évaluation ophtalmologique</w:t>
      </w:r>
    </w:p>
    <w:p w:rsidR="00793C29" w:rsidRDefault="00793C29" w:rsidP="005D429F">
      <w:pPr>
        <w:pStyle w:val="Sansinterligne"/>
        <w:numPr>
          <w:ilvl w:val="0"/>
          <w:numId w:val="957"/>
        </w:numPr>
      </w:pPr>
      <w:r>
        <w:t xml:space="preserve">Sérologie IgM </w:t>
      </w:r>
      <w:r w:rsidR="00D705FA">
        <w:t>anti-rubéole</w:t>
      </w:r>
    </w:p>
    <w:p w:rsidR="00E32CB5" w:rsidRDefault="00E32CB5" w:rsidP="005D429F">
      <w:pPr>
        <w:pStyle w:val="Sansinterligne"/>
        <w:numPr>
          <w:ilvl w:val="0"/>
          <w:numId w:val="957"/>
        </w:numPr>
      </w:pPr>
      <w:r>
        <w:t>FSC</w:t>
      </w:r>
      <w:r w:rsidR="00FD2E6B" w:rsidRPr="00FD2E6B">
        <w:t xml:space="preserve"> </w:t>
      </w:r>
    </w:p>
    <w:p w:rsidR="00FE6327" w:rsidRDefault="00FE6327" w:rsidP="00FE6327">
      <w:pPr>
        <w:pStyle w:val="Sansinterligne"/>
        <w:ind w:left="720"/>
      </w:pPr>
    </w:p>
    <w:p w:rsidR="0090151F" w:rsidRPr="004651AF" w:rsidRDefault="0090151F" w:rsidP="0090151F">
      <w:pPr>
        <w:pStyle w:val="Sansinterligne"/>
        <w:rPr>
          <w:b/>
          <w:sz w:val="28"/>
          <w:szCs w:val="28"/>
        </w:rPr>
      </w:pPr>
      <w:r w:rsidRPr="004651AF">
        <w:rPr>
          <w:b/>
          <w:sz w:val="28"/>
          <w:szCs w:val="28"/>
        </w:rPr>
        <w:t>Prise en charge</w:t>
      </w:r>
    </w:p>
    <w:p w:rsidR="004651AF" w:rsidRDefault="004651AF" w:rsidP="0090151F">
      <w:pPr>
        <w:pStyle w:val="Sansinterligne"/>
      </w:pPr>
    </w:p>
    <w:p w:rsidR="00403231" w:rsidRPr="00FE6327" w:rsidRDefault="00403231" w:rsidP="0090151F">
      <w:pPr>
        <w:pStyle w:val="Sansinterligne"/>
        <w:rPr>
          <w:b/>
          <w:sz w:val="16"/>
          <w:szCs w:val="16"/>
        </w:rPr>
        <w:sectPr w:rsidR="00403231" w:rsidRPr="00FE6327" w:rsidSect="00540770">
          <w:type w:val="continuous"/>
          <w:pgSz w:w="12240" w:h="15840"/>
          <w:pgMar w:top="720" w:right="720" w:bottom="720" w:left="720" w:header="708" w:footer="708" w:gutter="0"/>
          <w:cols w:space="708"/>
          <w:docGrid w:linePitch="360"/>
        </w:sectPr>
      </w:pPr>
    </w:p>
    <w:p w:rsidR="00604130" w:rsidRPr="00D7100C" w:rsidRDefault="00150418" w:rsidP="0090151F">
      <w:pPr>
        <w:pStyle w:val="Sansinterligne"/>
        <w:rPr>
          <w:b/>
        </w:rPr>
      </w:pPr>
      <w:r>
        <w:rPr>
          <w:b/>
        </w:rPr>
        <w:lastRenderedPageBreak/>
        <w:t>Syndrome de Down (</w:t>
      </w:r>
      <w:r w:rsidR="00604130" w:rsidRPr="00D7100C">
        <w:rPr>
          <w:b/>
        </w:rPr>
        <w:t>Trisomie 21</w:t>
      </w:r>
      <w:r>
        <w:rPr>
          <w:b/>
        </w:rPr>
        <w:t>)</w:t>
      </w:r>
    </w:p>
    <w:p w:rsidR="00604130" w:rsidRPr="00E04BC0" w:rsidRDefault="00C94244" w:rsidP="0090151F">
      <w:pPr>
        <w:pStyle w:val="Sansinterligne"/>
        <w:rPr>
          <w:highlight w:val="yellow"/>
        </w:rPr>
      </w:pPr>
      <w:r>
        <w:rPr>
          <w:highlight w:val="yellow"/>
          <w:u w:val="single"/>
        </w:rPr>
        <w:t>Initial</w:t>
      </w:r>
      <w:r w:rsidR="00604130" w:rsidRPr="00E04BC0">
        <w:rPr>
          <w:highlight w:val="yellow"/>
        </w:rPr>
        <w:t>:</w:t>
      </w:r>
    </w:p>
    <w:p w:rsidR="00604130" w:rsidRPr="00E04BC0" w:rsidRDefault="00604130" w:rsidP="005D429F">
      <w:pPr>
        <w:pStyle w:val="Sansinterligne"/>
        <w:numPr>
          <w:ilvl w:val="0"/>
          <w:numId w:val="931"/>
        </w:numPr>
        <w:rPr>
          <w:highlight w:val="yellow"/>
        </w:rPr>
      </w:pPr>
      <w:r w:rsidRPr="00E04BC0">
        <w:rPr>
          <w:highlight w:val="yellow"/>
        </w:rPr>
        <w:t>FSC, TSH</w:t>
      </w:r>
    </w:p>
    <w:p w:rsidR="00604130" w:rsidRPr="00E04BC0" w:rsidRDefault="00604130" w:rsidP="005D429F">
      <w:pPr>
        <w:pStyle w:val="Sansinterligne"/>
        <w:numPr>
          <w:ilvl w:val="0"/>
          <w:numId w:val="931"/>
        </w:numPr>
        <w:rPr>
          <w:highlight w:val="yellow"/>
        </w:rPr>
      </w:pPr>
      <w:r w:rsidRPr="00E04BC0">
        <w:rPr>
          <w:highlight w:val="yellow"/>
        </w:rPr>
        <w:t>Surveillance avec saturométrie</w:t>
      </w:r>
    </w:p>
    <w:p w:rsidR="00604130" w:rsidRPr="00E04BC0" w:rsidRDefault="00604130" w:rsidP="005D429F">
      <w:pPr>
        <w:pStyle w:val="Sansinterligne"/>
        <w:numPr>
          <w:ilvl w:val="0"/>
          <w:numId w:val="931"/>
        </w:numPr>
        <w:rPr>
          <w:highlight w:val="yellow"/>
        </w:rPr>
      </w:pPr>
      <w:r w:rsidRPr="00E04BC0">
        <w:rPr>
          <w:highlight w:val="yellow"/>
        </w:rPr>
        <w:t>Écho cardiaque</w:t>
      </w:r>
    </w:p>
    <w:p w:rsidR="00604130" w:rsidRPr="00E04BC0" w:rsidRDefault="00604130" w:rsidP="005D429F">
      <w:pPr>
        <w:pStyle w:val="Sansinterligne"/>
        <w:numPr>
          <w:ilvl w:val="0"/>
          <w:numId w:val="931"/>
        </w:numPr>
        <w:rPr>
          <w:highlight w:val="yellow"/>
        </w:rPr>
      </w:pPr>
      <w:r w:rsidRPr="00E04BC0">
        <w:rPr>
          <w:highlight w:val="yellow"/>
        </w:rPr>
        <w:t>Observation des tétees</w:t>
      </w:r>
    </w:p>
    <w:p w:rsidR="00604130" w:rsidRPr="00E04BC0" w:rsidRDefault="00604130" w:rsidP="005D429F">
      <w:pPr>
        <w:pStyle w:val="Sansinterligne"/>
        <w:numPr>
          <w:ilvl w:val="0"/>
          <w:numId w:val="931"/>
        </w:numPr>
        <w:rPr>
          <w:highlight w:val="yellow"/>
        </w:rPr>
      </w:pPr>
      <w:r w:rsidRPr="00E04BC0">
        <w:rPr>
          <w:highlight w:val="yellow"/>
        </w:rPr>
        <w:t>Ciné de déglutition PRN</w:t>
      </w:r>
    </w:p>
    <w:p w:rsidR="00604130" w:rsidRPr="00E04BC0" w:rsidRDefault="00604130" w:rsidP="005D429F">
      <w:pPr>
        <w:pStyle w:val="Sansinterligne"/>
        <w:numPr>
          <w:ilvl w:val="0"/>
          <w:numId w:val="931"/>
        </w:numPr>
        <w:rPr>
          <w:highlight w:val="yellow"/>
        </w:rPr>
      </w:pPr>
      <w:r w:rsidRPr="00E04BC0">
        <w:rPr>
          <w:highlight w:val="yellow"/>
        </w:rPr>
        <w:t>Évaluation ophtalmo et auditive</w:t>
      </w:r>
    </w:p>
    <w:p w:rsidR="00604130" w:rsidRDefault="00604130" w:rsidP="0090151F">
      <w:pPr>
        <w:pStyle w:val="Sansinterligne"/>
      </w:pPr>
      <w:r w:rsidRPr="00D7100C">
        <w:rPr>
          <w:u w:val="single"/>
        </w:rPr>
        <w:t>Suivi</w:t>
      </w:r>
      <w:r>
        <w:t> :</w:t>
      </w:r>
    </w:p>
    <w:p w:rsidR="00D7100C" w:rsidRDefault="00D7100C" w:rsidP="005D429F">
      <w:pPr>
        <w:pStyle w:val="Sansinterligne"/>
        <w:numPr>
          <w:ilvl w:val="0"/>
          <w:numId w:val="933"/>
        </w:numPr>
      </w:pPr>
      <w:r>
        <w:t>Travailleur social et psychologue pour soutien familial</w:t>
      </w:r>
    </w:p>
    <w:p w:rsidR="00D907E3" w:rsidRDefault="00D907E3" w:rsidP="005D429F">
      <w:pPr>
        <w:pStyle w:val="Sansinterligne"/>
        <w:numPr>
          <w:ilvl w:val="0"/>
          <w:numId w:val="933"/>
        </w:numPr>
      </w:pPr>
      <w:r>
        <w:t>TSH q 1 an</w:t>
      </w:r>
    </w:p>
    <w:p w:rsidR="00D7100C" w:rsidRPr="00E04BC0" w:rsidRDefault="00D7100C" w:rsidP="005D429F">
      <w:pPr>
        <w:pStyle w:val="Sansinterligne"/>
        <w:numPr>
          <w:ilvl w:val="0"/>
          <w:numId w:val="933"/>
        </w:numPr>
        <w:rPr>
          <w:highlight w:val="yellow"/>
        </w:rPr>
      </w:pPr>
      <w:r w:rsidRPr="00E04BC0">
        <w:rPr>
          <w:highlight w:val="yellow"/>
        </w:rPr>
        <w:t>Suivi ophtalmologique régulier</w:t>
      </w:r>
    </w:p>
    <w:p w:rsidR="00D7100C" w:rsidRPr="00E04BC0" w:rsidRDefault="00D7100C" w:rsidP="005D429F">
      <w:pPr>
        <w:pStyle w:val="Sansinterligne"/>
        <w:numPr>
          <w:ilvl w:val="0"/>
          <w:numId w:val="933"/>
        </w:numPr>
        <w:rPr>
          <w:highlight w:val="yellow"/>
        </w:rPr>
      </w:pPr>
      <w:r w:rsidRPr="00E04BC0">
        <w:rPr>
          <w:highlight w:val="yellow"/>
        </w:rPr>
        <w:t>Suivi audiologique q 1 an</w:t>
      </w:r>
    </w:p>
    <w:p w:rsidR="00D7100C" w:rsidRPr="00E04BC0" w:rsidRDefault="00D7100C" w:rsidP="005D429F">
      <w:pPr>
        <w:pStyle w:val="Sansinterligne"/>
        <w:numPr>
          <w:ilvl w:val="0"/>
          <w:numId w:val="933"/>
        </w:numPr>
        <w:rPr>
          <w:highlight w:val="yellow"/>
        </w:rPr>
      </w:pPr>
      <w:r w:rsidRPr="00E04BC0">
        <w:rPr>
          <w:highlight w:val="yellow"/>
        </w:rPr>
        <w:t>Suivi en ORL régulier</w:t>
      </w:r>
    </w:p>
    <w:p w:rsidR="00D7100C" w:rsidRPr="00E04BC0" w:rsidRDefault="00D7100C" w:rsidP="005D429F">
      <w:pPr>
        <w:pStyle w:val="Sansinterligne"/>
        <w:numPr>
          <w:ilvl w:val="1"/>
          <w:numId w:val="933"/>
        </w:numPr>
        <w:rPr>
          <w:highlight w:val="yellow"/>
        </w:rPr>
      </w:pPr>
      <w:r w:rsidRPr="00E04BC0">
        <w:rPr>
          <w:highlight w:val="yellow"/>
        </w:rPr>
        <w:t xml:space="preserve">Otites très fréquentes </w:t>
      </w:r>
      <w:r w:rsidRPr="00E04BC0">
        <w:rPr>
          <w:rFonts w:ascii="Century Gothic" w:hAnsi="Century Gothic"/>
          <w:highlight w:val="yellow"/>
        </w:rPr>
        <w:t>→</w:t>
      </w:r>
      <w:r w:rsidRPr="00E04BC0">
        <w:rPr>
          <w:highlight w:val="yellow"/>
        </w:rPr>
        <w:t xml:space="preserve"> surdité</w:t>
      </w:r>
    </w:p>
    <w:p w:rsidR="00D7100C" w:rsidRPr="00E04BC0" w:rsidRDefault="00D7100C" w:rsidP="005D429F">
      <w:pPr>
        <w:pStyle w:val="Sansinterligne"/>
        <w:numPr>
          <w:ilvl w:val="0"/>
          <w:numId w:val="933"/>
        </w:numPr>
        <w:rPr>
          <w:highlight w:val="yellow"/>
        </w:rPr>
      </w:pPr>
      <w:r w:rsidRPr="00E04BC0">
        <w:rPr>
          <w:highlight w:val="yellow"/>
        </w:rPr>
        <w:t>Être à l’affut du retard de développement</w:t>
      </w:r>
    </w:p>
    <w:p w:rsidR="00D7100C" w:rsidRPr="00E04BC0" w:rsidRDefault="00D7100C" w:rsidP="005D429F">
      <w:pPr>
        <w:pStyle w:val="Sansinterligne"/>
        <w:numPr>
          <w:ilvl w:val="1"/>
          <w:numId w:val="933"/>
        </w:numPr>
        <w:rPr>
          <w:highlight w:val="yellow"/>
        </w:rPr>
      </w:pPr>
      <w:r w:rsidRPr="00E04BC0">
        <w:rPr>
          <w:highlight w:val="yellow"/>
        </w:rPr>
        <w:t>Référer rapidement en ergo/physio/ortho</w:t>
      </w:r>
    </w:p>
    <w:p w:rsidR="00D7100C" w:rsidRDefault="00604130" w:rsidP="005D429F">
      <w:pPr>
        <w:pStyle w:val="Sansinterligne"/>
        <w:numPr>
          <w:ilvl w:val="0"/>
          <w:numId w:val="933"/>
        </w:numPr>
      </w:pPr>
      <w:r>
        <w:t xml:space="preserve">Dépistage approprié selon le contexte de </w:t>
      </w:r>
    </w:p>
    <w:p w:rsidR="00D7100C" w:rsidRDefault="00604130" w:rsidP="005D429F">
      <w:pPr>
        <w:pStyle w:val="Sansinterligne"/>
        <w:numPr>
          <w:ilvl w:val="0"/>
          <w:numId w:val="933"/>
        </w:numPr>
      </w:pPr>
      <w:r>
        <w:t xml:space="preserve">Maladie coeliaque (5%), de Mx de Hirschprung, </w:t>
      </w:r>
    </w:p>
    <w:p w:rsidR="00604130" w:rsidRDefault="00604130" w:rsidP="005D429F">
      <w:pPr>
        <w:pStyle w:val="Sansinterligne"/>
        <w:numPr>
          <w:ilvl w:val="0"/>
          <w:numId w:val="933"/>
        </w:numPr>
      </w:pPr>
      <w:r>
        <w:t>de RGO ou de</w:t>
      </w:r>
      <w:r w:rsidR="00D7100C">
        <w:t xml:space="preserve"> </w:t>
      </w:r>
      <w:r w:rsidR="00D06953">
        <w:t>constipations (fréquentes</w:t>
      </w:r>
      <w:r w:rsidR="00E04BC0">
        <w:t>)</w:t>
      </w:r>
    </w:p>
    <w:p w:rsidR="00D7100C" w:rsidRDefault="00D7100C" w:rsidP="0090151F">
      <w:pPr>
        <w:pStyle w:val="Sansinterligne"/>
      </w:pPr>
      <w:r w:rsidRPr="00D7100C">
        <w:rPr>
          <w:u w:val="single"/>
        </w:rPr>
        <w:t>Pronostic</w:t>
      </w:r>
      <w:r>
        <w:t> :</w:t>
      </w:r>
    </w:p>
    <w:p w:rsidR="00D7100C" w:rsidRPr="00E04BC0" w:rsidRDefault="00D7100C" w:rsidP="005D429F">
      <w:pPr>
        <w:pStyle w:val="Sansinterligne"/>
        <w:numPr>
          <w:ilvl w:val="0"/>
          <w:numId w:val="932"/>
        </w:numPr>
        <w:rPr>
          <w:highlight w:val="yellow"/>
        </w:rPr>
      </w:pPr>
      <w:r w:rsidRPr="00E04BC0">
        <w:rPr>
          <w:highlight w:val="yellow"/>
        </w:rPr>
        <w:t>Espérance de vie 50 ans</w:t>
      </w:r>
    </w:p>
    <w:p w:rsidR="00D7100C" w:rsidRDefault="00D7100C" w:rsidP="005D429F">
      <w:pPr>
        <w:pStyle w:val="Sansinterligne"/>
        <w:numPr>
          <w:ilvl w:val="0"/>
          <w:numId w:val="932"/>
        </w:numPr>
      </w:pPr>
      <w:r>
        <w:t>Homme : stérile</w:t>
      </w:r>
    </w:p>
    <w:p w:rsidR="00D7100C" w:rsidRDefault="00D7100C" w:rsidP="005D429F">
      <w:pPr>
        <w:pStyle w:val="Sansinterligne"/>
        <w:numPr>
          <w:ilvl w:val="0"/>
          <w:numId w:val="932"/>
        </w:numPr>
      </w:pPr>
      <w:r>
        <w:t>Femme : Transmission possible</w:t>
      </w:r>
    </w:p>
    <w:p w:rsidR="00D7100C" w:rsidRPr="00E04BC0" w:rsidRDefault="00D7100C" w:rsidP="005D429F">
      <w:pPr>
        <w:pStyle w:val="Sansinterligne"/>
        <w:numPr>
          <w:ilvl w:val="0"/>
          <w:numId w:val="932"/>
        </w:numPr>
        <w:rPr>
          <w:highlight w:val="yellow"/>
        </w:rPr>
      </w:pPr>
      <w:r w:rsidRPr="00E04BC0">
        <w:rPr>
          <w:highlight w:val="yellow"/>
        </w:rPr>
        <w:t>Risque d’obésité, counseling nutritionnel</w:t>
      </w:r>
    </w:p>
    <w:p w:rsidR="00D7100C" w:rsidRPr="00E04BC0" w:rsidRDefault="00D7100C" w:rsidP="005D429F">
      <w:pPr>
        <w:pStyle w:val="Sansinterligne"/>
        <w:numPr>
          <w:ilvl w:val="0"/>
          <w:numId w:val="932"/>
        </w:numPr>
        <w:rPr>
          <w:highlight w:val="yellow"/>
        </w:rPr>
      </w:pPr>
      <w:r w:rsidRPr="00E04BC0">
        <w:rPr>
          <w:highlight w:val="yellow"/>
        </w:rPr>
        <w:t>Troubles du comportement (30%)</w:t>
      </w:r>
    </w:p>
    <w:p w:rsidR="00604130" w:rsidRDefault="00604130" w:rsidP="0090151F">
      <w:pPr>
        <w:pStyle w:val="Sansinterligne"/>
      </w:pPr>
    </w:p>
    <w:p w:rsidR="00604130" w:rsidRPr="00C94244" w:rsidRDefault="00B135D7" w:rsidP="0090151F">
      <w:pPr>
        <w:pStyle w:val="Sansinterligne"/>
        <w:rPr>
          <w:b/>
        </w:rPr>
      </w:pPr>
      <w:r w:rsidRPr="00C94244">
        <w:rPr>
          <w:b/>
        </w:rPr>
        <w:t>Syndrome de Turner</w:t>
      </w:r>
    </w:p>
    <w:p w:rsidR="00B135D7" w:rsidRPr="00C94244" w:rsidRDefault="00B135D7" w:rsidP="0090151F">
      <w:pPr>
        <w:pStyle w:val="Sansinterligne"/>
        <w:rPr>
          <w:u w:val="single"/>
        </w:rPr>
      </w:pPr>
      <w:r w:rsidRPr="00C94244">
        <w:rPr>
          <w:u w:val="single"/>
        </w:rPr>
        <w:t>Initial</w:t>
      </w:r>
    </w:p>
    <w:p w:rsidR="00C94244" w:rsidRPr="00C94244" w:rsidRDefault="00C94244" w:rsidP="005D429F">
      <w:pPr>
        <w:pStyle w:val="Sansinterligne"/>
        <w:numPr>
          <w:ilvl w:val="0"/>
          <w:numId w:val="940"/>
        </w:numPr>
        <w:rPr>
          <w:highlight w:val="yellow"/>
        </w:rPr>
      </w:pPr>
      <w:r w:rsidRPr="00C94244">
        <w:rPr>
          <w:highlight w:val="yellow"/>
        </w:rPr>
        <w:t>Référence en pédiatrie</w:t>
      </w:r>
    </w:p>
    <w:p w:rsidR="00C94244" w:rsidRPr="00C94244" w:rsidRDefault="00C94244" w:rsidP="005D429F">
      <w:pPr>
        <w:pStyle w:val="Sansinterligne"/>
        <w:numPr>
          <w:ilvl w:val="1"/>
          <w:numId w:val="940"/>
        </w:numPr>
        <w:rPr>
          <w:highlight w:val="yellow"/>
        </w:rPr>
      </w:pPr>
      <w:r w:rsidRPr="00C94244">
        <w:rPr>
          <w:highlight w:val="yellow"/>
        </w:rPr>
        <w:t>Supplément en GH pour atteinte de taille optimale</w:t>
      </w:r>
    </w:p>
    <w:p w:rsidR="00C94244" w:rsidRPr="00C94244" w:rsidRDefault="00C94244" w:rsidP="005D429F">
      <w:pPr>
        <w:pStyle w:val="Sansinterligne"/>
        <w:numPr>
          <w:ilvl w:val="1"/>
          <w:numId w:val="940"/>
        </w:numPr>
        <w:rPr>
          <w:highlight w:val="yellow"/>
        </w:rPr>
      </w:pPr>
      <w:r w:rsidRPr="00C94244">
        <w:rPr>
          <w:highlight w:val="yellow"/>
        </w:rPr>
        <w:t>Hormonothérapie de remplacement</w:t>
      </w:r>
    </w:p>
    <w:p w:rsidR="00B135D7" w:rsidRPr="00C94244" w:rsidRDefault="00B135D7" w:rsidP="005D429F">
      <w:pPr>
        <w:pStyle w:val="Sansinterligne"/>
        <w:numPr>
          <w:ilvl w:val="0"/>
          <w:numId w:val="940"/>
        </w:numPr>
        <w:rPr>
          <w:highlight w:val="yellow"/>
        </w:rPr>
      </w:pPr>
      <w:r w:rsidRPr="00C94244">
        <w:rPr>
          <w:highlight w:val="yellow"/>
        </w:rPr>
        <w:t>Anticorps anti-transglutaminase (Mx coeliaque)</w:t>
      </w:r>
    </w:p>
    <w:p w:rsidR="00C94244" w:rsidRPr="00C94244" w:rsidRDefault="00C94244" w:rsidP="005D429F">
      <w:pPr>
        <w:pStyle w:val="Sansinterligne"/>
        <w:numPr>
          <w:ilvl w:val="0"/>
          <w:numId w:val="940"/>
        </w:numPr>
        <w:rPr>
          <w:highlight w:val="yellow"/>
        </w:rPr>
      </w:pPr>
      <w:r w:rsidRPr="00C94244">
        <w:rPr>
          <w:highlight w:val="yellow"/>
        </w:rPr>
        <w:t>Échographie rénale</w:t>
      </w:r>
    </w:p>
    <w:p w:rsidR="00C94244" w:rsidRDefault="00C94244" w:rsidP="005D429F">
      <w:pPr>
        <w:pStyle w:val="Sansinterligne"/>
        <w:numPr>
          <w:ilvl w:val="0"/>
          <w:numId w:val="940"/>
        </w:numPr>
      </w:pPr>
      <w:r>
        <w:t>TA aux 4 membres (coarctation)</w:t>
      </w:r>
    </w:p>
    <w:p w:rsidR="00C94244" w:rsidRPr="00C94244" w:rsidRDefault="00C94244" w:rsidP="005D429F">
      <w:pPr>
        <w:pStyle w:val="Sansinterligne"/>
        <w:numPr>
          <w:ilvl w:val="0"/>
          <w:numId w:val="940"/>
        </w:numPr>
        <w:rPr>
          <w:highlight w:val="yellow"/>
        </w:rPr>
      </w:pPr>
      <w:r w:rsidRPr="00C94244">
        <w:rPr>
          <w:highlight w:val="yellow"/>
        </w:rPr>
        <w:lastRenderedPageBreak/>
        <w:t>Consultation en ophtalmologie</w:t>
      </w:r>
    </w:p>
    <w:p w:rsidR="00C94244" w:rsidRPr="00C94244" w:rsidRDefault="00C94244" w:rsidP="005D429F">
      <w:pPr>
        <w:pStyle w:val="Sansinterligne"/>
        <w:numPr>
          <w:ilvl w:val="0"/>
          <w:numId w:val="940"/>
        </w:numPr>
        <w:rPr>
          <w:highlight w:val="yellow"/>
        </w:rPr>
      </w:pPr>
      <w:r w:rsidRPr="00C94244">
        <w:rPr>
          <w:highlight w:val="yellow"/>
        </w:rPr>
        <w:t>Consultation en cardiologie</w:t>
      </w:r>
    </w:p>
    <w:p w:rsidR="00C94244" w:rsidRDefault="00C94244" w:rsidP="005D429F">
      <w:pPr>
        <w:pStyle w:val="Sansinterligne"/>
        <w:numPr>
          <w:ilvl w:val="1"/>
          <w:numId w:val="940"/>
        </w:numPr>
      </w:pPr>
      <w:r>
        <w:t>Échographie cardiaque et ECG</w:t>
      </w:r>
    </w:p>
    <w:p w:rsidR="00C94244" w:rsidRDefault="00C94244" w:rsidP="005D429F">
      <w:pPr>
        <w:pStyle w:val="Sansinterligne"/>
        <w:numPr>
          <w:ilvl w:val="1"/>
          <w:numId w:val="940"/>
        </w:numPr>
      </w:pPr>
      <w:r>
        <w:t>Éliminer coarctation / biscuspidie</w:t>
      </w:r>
    </w:p>
    <w:p w:rsidR="00C94244" w:rsidRDefault="00C94244" w:rsidP="005D429F">
      <w:pPr>
        <w:pStyle w:val="Sansinterligne"/>
        <w:numPr>
          <w:ilvl w:val="1"/>
          <w:numId w:val="940"/>
        </w:numPr>
      </w:pPr>
      <w:r>
        <w:t>Counseling</w:t>
      </w:r>
    </w:p>
    <w:p w:rsidR="00B135D7" w:rsidRPr="00C94244" w:rsidRDefault="00B135D7" w:rsidP="0090151F">
      <w:pPr>
        <w:pStyle w:val="Sansinterligne"/>
        <w:rPr>
          <w:u w:val="single"/>
        </w:rPr>
      </w:pPr>
      <w:r w:rsidRPr="00C94244">
        <w:rPr>
          <w:u w:val="single"/>
        </w:rPr>
        <w:t>Suivi</w:t>
      </w:r>
    </w:p>
    <w:p w:rsidR="00B135D7" w:rsidRPr="006D6A0B" w:rsidRDefault="00B135D7" w:rsidP="005D429F">
      <w:pPr>
        <w:pStyle w:val="Sansinterligne"/>
        <w:numPr>
          <w:ilvl w:val="0"/>
          <w:numId w:val="941"/>
        </w:numPr>
        <w:rPr>
          <w:highlight w:val="yellow"/>
        </w:rPr>
      </w:pPr>
      <w:r w:rsidRPr="006D6A0B">
        <w:rPr>
          <w:highlight w:val="yellow"/>
        </w:rPr>
        <w:t>TSH q 1an</w:t>
      </w:r>
    </w:p>
    <w:p w:rsidR="00B135D7" w:rsidRDefault="00B135D7" w:rsidP="005D429F">
      <w:pPr>
        <w:pStyle w:val="Sansinterligne"/>
        <w:numPr>
          <w:ilvl w:val="0"/>
          <w:numId w:val="941"/>
        </w:numPr>
      </w:pPr>
      <w:r>
        <w:t xml:space="preserve">Anticorps anti-transglutaminase </w:t>
      </w:r>
      <w:r w:rsidR="00C94244">
        <w:t>q 5 an</w:t>
      </w:r>
    </w:p>
    <w:p w:rsidR="00B135D7" w:rsidRPr="006D6A0B" w:rsidRDefault="00B135D7" w:rsidP="005D429F">
      <w:pPr>
        <w:pStyle w:val="Sansinterligne"/>
        <w:numPr>
          <w:ilvl w:val="0"/>
          <w:numId w:val="941"/>
        </w:numPr>
        <w:rPr>
          <w:highlight w:val="yellow"/>
        </w:rPr>
      </w:pPr>
      <w:r w:rsidRPr="006D6A0B">
        <w:rPr>
          <w:highlight w:val="yellow"/>
        </w:rPr>
        <w:t>Suivi audiologique q 5an</w:t>
      </w:r>
    </w:p>
    <w:p w:rsidR="00C94244" w:rsidRDefault="00C94244" w:rsidP="005D429F">
      <w:pPr>
        <w:pStyle w:val="Sansinterligne"/>
        <w:numPr>
          <w:ilvl w:val="0"/>
          <w:numId w:val="941"/>
        </w:numPr>
      </w:pPr>
      <w:r>
        <w:t>Suivi des bilans lipidiques, glycémie etc.</w:t>
      </w:r>
    </w:p>
    <w:p w:rsidR="00C94244" w:rsidRPr="006D6A0B" w:rsidRDefault="00C94244" w:rsidP="005D429F">
      <w:pPr>
        <w:pStyle w:val="Sansinterligne"/>
        <w:numPr>
          <w:ilvl w:val="0"/>
          <w:numId w:val="941"/>
        </w:numPr>
        <w:rPr>
          <w:highlight w:val="yellow"/>
        </w:rPr>
      </w:pPr>
      <w:r w:rsidRPr="006D6A0B">
        <w:rPr>
          <w:highlight w:val="yellow"/>
        </w:rPr>
        <w:t>Référence en fertilité PRN</w:t>
      </w:r>
    </w:p>
    <w:p w:rsidR="00B135D7" w:rsidRDefault="00C94244" w:rsidP="005D429F">
      <w:pPr>
        <w:pStyle w:val="Sansinterligne"/>
        <w:numPr>
          <w:ilvl w:val="1"/>
          <w:numId w:val="941"/>
        </w:numPr>
      </w:pPr>
      <w:r>
        <w:t>Conservation d’ovules cryogénisés si désiré/possible</w:t>
      </w:r>
    </w:p>
    <w:p w:rsidR="00604130" w:rsidRPr="008C2834" w:rsidRDefault="008C2834" w:rsidP="0090151F">
      <w:pPr>
        <w:pStyle w:val="Sansinterligne"/>
        <w:rPr>
          <w:u w:val="single"/>
        </w:rPr>
      </w:pPr>
      <w:r w:rsidRPr="008C2834">
        <w:rPr>
          <w:u w:val="single"/>
        </w:rPr>
        <w:t>Pronostic</w:t>
      </w:r>
    </w:p>
    <w:p w:rsidR="008C2834" w:rsidRDefault="008C2834" w:rsidP="005D429F">
      <w:pPr>
        <w:pStyle w:val="Sansinterligne"/>
        <w:numPr>
          <w:ilvl w:val="0"/>
          <w:numId w:val="942"/>
        </w:numPr>
      </w:pPr>
      <w:r>
        <w:t xml:space="preserve">Espérance de vie normale si </w:t>
      </w:r>
      <w:r>
        <w:rPr>
          <w:rFonts w:cs="Times New Roman"/>
        </w:rPr>
        <w:t>Ø</w:t>
      </w:r>
      <w:r>
        <w:t xml:space="preserve"> complications</w:t>
      </w:r>
    </w:p>
    <w:p w:rsidR="008C2834" w:rsidRDefault="008C2834" w:rsidP="005D429F">
      <w:pPr>
        <w:pStyle w:val="Sansinterligne"/>
        <w:numPr>
          <w:ilvl w:val="0"/>
          <w:numId w:val="942"/>
        </w:numPr>
      </w:pPr>
      <w:r>
        <w:t>À risque de troubles liés à l’X (ex : gonadoblastome)</w:t>
      </w:r>
    </w:p>
    <w:p w:rsidR="00604130" w:rsidRDefault="00604130" w:rsidP="0090151F">
      <w:pPr>
        <w:pStyle w:val="Sansinterligne"/>
      </w:pPr>
    </w:p>
    <w:p w:rsidR="00604130" w:rsidRPr="00BC50B9" w:rsidRDefault="00BC50B9" w:rsidP="0090151F">
      <w:pPr>
        <w:pStyle w:val="Sansinterligne"/>
        <w:rPr>
          <w:b/>
        </w:rPr>
      </w:pPr>
      <w:r w:rsidRPr="00BC50B9">
        <w:rPr>
          <w:b/>
        </w:rPr>
        <w:t>Syndrome de Noonan</w:t>
      </w:r>
    </w:p>
    <w:p w:rsidR="00BC50B9" w:rsidRPr="00BC50B9" w:rsidRDefault="00BC50B9" w:rsidP="0090151F">
      <w:pPr>
        <w:pStyle w:val="Sansinterligne"/>
        <w:rPr>
          <w:u w:val="single"/>
        </w:rPr>
      </w:pPr>
      <w:r w:rsidRPr="00BC50B9">
        <w:rPr>
          <w:u w:val="single"/>
        </w:rPr>
        <w:t>Initial</w:t>
      </w:r>
    </w:p>
    <w:p w:rsidR="00BC50B9" w:rsidRDefault="00BC50B9" w:rsidP="005D429F">
      <w:pPr>
        <w:pStyle w:val="Sansinterligne"/>
        <w:numPr>
          <w:ilvl w:val="0"/>
          <w:numId w:val="949"/>
        </w:numPr>
      </w:pPr>
      <w:r>
        <w:t>Échographie cardiaque</w:t>
      </w:r>
    </w:p>
    <w:p w:rsidR="00BC50B9" w:rsidRDefault="00BC50B9" w:rsidP="005D429F">
      <w:pPr>
        <w:pStyle w:val="Sansinterligne"/>
        <w:numPr>
          <w:ilvl w:val="1"/>
          <w:numId w:val="949"/>
        </w:numPr>
      </w:pPr>
      <w:r>
        <w:t>Éliminer sténose pulmonaire</w:t>
      </w:r>
    </w:p>
    <w:p w:rsidR="00BC50B9" w:rsidRDefault="00BC50B9" w:rsidP="005D429F">
      <w:pPr>
        <w:pStyle w:val="Sansinterligne"/>
        <w:numPr>
          <w:ilvl w:val="0"/>
          <w:numId w:val="949"/>
        </w:numPr>
      </w:pPr>
      <w:r>
        <w:t>ECG</w:t>
      </w:r>
    </w:p>
    <w:p w:rsidR="00BC50B9" w:rsidRDefault="00BC50B9" w:rsidP="005D429F">
      <w:pPr>
        <w:pStyle w:val="Sansinterligne"/>
        <w:numPr>
          <w:ilvl w:val="0"/>
          <w:numId w:val="949"/>
        </w:numPr>
      </w:pPr>
      <w:r>
        <w:t>Référence en pédiatrie</w:t>
      </w:r>
    </w:p>
    <w:p w:rsidR="00BC50B9" w:rsidRDefault="00BC50B9" w:rsidP="005D429F">
      <w:pPr>
        <w:pStyle w:val="Sansinterligne"/>
        <w:numPr>
          <w:ilvl w:val="1"/>
          <w:numId w:val="949"/>
        </w:numPr>
      </w:pPr>
      <w:r>
        <w:t>Suivi</w:t>
      </w:r>
    </w:p>
    <w:p w:rsidR="00BC50B9" w:rsidRDefault="00BC50B9" w:rsidP="005D429F">
      <w:pPr>
        <w:pStyle w:val="Sansinterligne"/>
        <w:numPr>
          <w:ilvl w:val="1"/>
          <w:numId w:val="949"/>
        </w:numPr>
      </w:pPr>
      <w:r>
        <w:t>Remplacement en testostérone à la puberté</w:t>
      </w:r>
    </w:p>
    <w:p w:rsidR="00BC50B9" w:rsidRPr="00BC50B9" w:rsidRDefault="00BC50B9" w:rsidP="0090151F">
      <w:pPr>
        <w:pStyle w:val="Sansinterligne"/>
        <w:rPr>
          <w:u w:val="single"/>
        </w:rPr>
      </w:pPr>
      <w:r w:rsidRPr="00BC50B9">
        <w:rPr>
          <w:u w:val="single"/>
        </w:rPr>
        <w:t>Pronostic</w:t>
      </w:r>
    </w:p>
    <w:p w:rsidR="00604130" w:rsidRDefault="00BC50B9" w:rsidP="005D429F">
      <w:pPr>
        <w:pStyle w:val="Sansinterligne"/>
        <w:numPr>
          <w:ilvl w:val="0"/>
          <w:numId w:val="950"/>
        </w:numPr>
      </w:pPr>
      <w:r>
        <w:t>Puberté retardée</w:t>
      </w:r>
    </w:p>
    <w:p w:rsidR="00F71D2A" w:rsidRDefault="00BC50B9" w:rsidP="005D429F">
      <w:pPr>
        <w:pStyle w:val="Sansinterligne"/>
        <w:numPr>
          <w:ilvl w:val="0"/>
          <w:numId w:val="950"/>
        </w:numPr>
      </w:pPr>
      <w:r>
        <w:t>Plus à risque de cancers hématologiques</w:t>
      </w:r>
    </w:p>
    <w:p w:rsidR="0058380B" w:rsidRPr="0058380B" w:rsidRDefault="0058380B" w:rsidP="0058380B">
      <w:pPr>
        <w:pStyle w:val="Sansinterligne"/>
        <w:ind w:left="720"/>
      </w:pPr>
    </w:p>
    <w:p w:rsidR="00F71D2A" w:rsidRPr="00F71D2A" w:rsidRDefault="00F71D2A" w:rsidP="00F71D2A">
      <w:pPr>
        <w:pStyle w:val="Sansinterligne"/>
        <w:rPr>
          <w:b/>
        </w:rPr>
      </w:pPr>
      <w:r w:rsidRPr="00F71D2A">
        <w:rPr>
          <w:b/>
        </w:rPr>
        <w:t>Syndrome de Klinefelter</w:t>
      </w:r>
    </w:p>
    <w:p w:rsidR="00F71D2A" w:rsidRPr="00F71D2A" w:rsidRDefault="00F71D2A" w:rsidP="00F71D2A">
      <w:pPr>
        <w:pStyle w:val="Sansinterligne"/>
        <w:rPr>
          <w:u w:val="single"/>
        </w:rPr>
      </w:pPr>
      <w:r w:rsidRPr="00F71D2A">
        <w:rPr>
          <w:u w:val="single"/>
        </w:rPr>
        <w:t>Initial</w:t>
      </w:r>
    </w:p>
    <w:p w:rsidR="00F71D2A" w:rsidRPr="006D6A0B" w:rsidRDefault="00F71D2A" w:rsidP="005D429F">
      <w:pPr>
        <w:pStyle w:val="Sansinterligne"/>
        <w:numPr>
          <w:ilvl w:val="0"/>
          <w:numId w:val="954"/>
        </w:numPr>
        <w:rPr>
          <w:highlight w:val="yellow"/>
        </w:rPr>
      </w:pPr>
      <w:r w:rsidRPr="006D6A0B">
        <w:rPr>
          <w:highlight w:val="yellow"/>
        </w:rPr>
        <w:t>Référence en pédiatrie</w:t>
      </w:r>
    </w:p>
    <w:p w:rsidR="00F71D2A" w:rsidRDefault="00F71D2A" w:rsidP="005D429F">
      <w:pPr>
        <w:pStyle w:val="Sansinterligne"/>
        <w:numPr>
          <w:ilvl w:val="1"/>
          <w:numId w:val="954"/>
        </w:numPr>
      </w:pPr>
      <w:r>
        <w:t>Remplacement hormonal au moment de la puberté</w:t>
      </w:r>
    </w:p>
    <w:p w:rsidR="00F71D2A" w:rsidRDefault="00F71D2A" w:rsidP="005D429F">
      <w:pPr>
        <w:pStyle w:val="Sansinterligne"/>
        <w:numPr>
          <w:ilvl w:val="1"/>
          <w:numId w:val="954"/>
        </w:numPr>
      </w:pPr>
      <w:r>
        <w:t>Testostérone IM ou transdermique</w:t>
      </w:r>
    </w:p>
    <w:p w:rsidR="00F71D2A" w:rsidRPr="00F71D2A" w:rsidRDefault="00F71D2A" w:rsidP="00F71D2A">
      <w:pPr>
        <w:pStyle w:val="Sansinterligne"/>
        <w:rPr>
          <w:u w:val="single"/>
        </w:rPr>
      </w:pPr>
      <w:r w:rsidRPr="00F71D2A">
        <w:rPr>
          <w:u w:val="single"/>
        </w:rPr>
        <w:t>Pronostic</w:t>
      </w:r>
    </w:p>
    <w:p w:rsidR="00F71D2A" w:rsidRDefault="00F71D2A" w:rsidP="005D429F">
      <w:pPr>
        <w:pStyle w:val="Sansinterligne"/>
        <w:numPr>
          <w:ilvl w:val="0"/>
          <w:numId w:val="954"/>
        </w:numPr>
      </w:pPr>
      <w:r>
        <w:t>Bon</w:t>
      </w:r>
    </w:p>
    <w:p w:rsidR="00F71D2A" w:rsidRDefault="00F71D2A" w:rsidP="005D429F">
      <w:pPr>
        <w:pStyle w:val="Sansinterligne"/>
        <w:numPr>
          <w:ilvl w:val="0"/>
          <w:numId w:val="954"/>
        </w:numPr>
      </w:pPr>
      <w:r>
        <w:lastRenderedPageBreak/>
        <w:t>Aviser de l’infertilité secondaire</w:t>
      </w:r>
    </w:p>
    <w:p w:rsidR="00F71D2A" w:rsidRDefault="00F71D2A" w:rsidP="005D429F">
      <w:pPr>
        <w:pStyle w:val="Sansinterligne"/>
        <w:numPr>
          <w:ilvl w:val="0"/>
          <w:numId w:val="954"/>
        </w:numPr>
      </w:pPr>
      <w:r>
        <w:t xml:space="preserve">Si désir de paternité, éventuellement référer en urologie </w:t>
      </w:r>
    </w:p>
    <w:p w:rsidR="00F71D2A" w:rsidRDefault="00F71D2A" w:rsidP="00F71D2A">
      <w:pPr>
        <w:pStyle w:val="Sansinterligne"/>
        <w:ind w:left="360"/>
      </w:pPr>
    </w:p>
    <w:p w:rsidR="00F71D2A" w:rsidRPr="0016694C" w:rsidRDefault="00F71D2A" w:rsidP="00F71D2A">
      <w:pPr>
        <w:pStyle w:val="Sansinterligne"/>
        <w:rPr>
          <w:b/>
        </w:rPr>
      </w:pPr>
      <w:r w:rsidRPr="0016694C">
        <w:rPr>
          <w:b/>
        </w:rPr>
        <w:t>Syndrome de l’X fragile</w:t>
      </w:r>
    </w:p>
    <w:p w:rsidR="0058380B" w:rsidRPr="0016694C" w:rsidRDefault="0058380B" w:rsidP="00F71D2A">
      <w:pPr>
        <w:pStyle w:val="Sansinterligne"/>
        <w:rPr>
          <w:u w:val="single"/>
        </w:rPr>
      </w:pPr>
      <w:r w:rsidRPr="0016694C">
        <w:rPr>
          <w:u w:val="single"/>
        </w:rPr>
        <w:t>Initial</w:t>
      </w:r>
    </w:p>
    <w:p w:rsidR="0058380B" w:rsidRPr="006D6A0B" w:rsidRDefault="0058380B" w:rsidP="005D429F">
      <w:pPr>
        <w:pStyle w:val="Sansinterligne"/>
        <w:numPr>
          <w:ilvl w:val="0"/>
          <w:numId w:val="958"/>
        </w:numPr>
        <w:rPr>
          <w:highlight w:val="yellow"/>
        </w:rPr>
      </w:pPr>
      <w:r w:rsidRPr="006D6A0B">
        <w:rPr>
          <w:highlight w:val="yellow"/>
        </w:rPr>
        <w:t>Référence en pédiatrie</w:t>
      </w:r>
    </w:p>
    <w:p w:rsidR="0016694C" w:rsidRDefault="0016694C" w:rsidP="005D429F">
      <w:pPr>
        <w:pStyle w:val="Sansinterligne"/>
        <w:numPr>
          <w:ilvl w:val="0"/>
          <w:numId w:val="958"/>
        </w:numPr>
      </w:pPr>
      <w:r>
        <w:t>Suivi et traitement des conditions associées PRN</w:t>
      </w:r>
    </w:p>
    <w:p w:rsidR="0016694C" w:rsidRDefault="0016694C" w:rsidP="005D429F">
      <w:pPr>
        <w:pStyle w:val="Sansinterligne"/>
        <w:numPr>
          <w:ilvl w:val="1"/>
          <w:numId w:val="958"/>
        </w:numPr>
        <w:tabs>
          <w:tab w:val="left" w:pos="4197"/>
        </w:tabs>
      </w:pPr>
      <w:r>
        <w:t>Convulsions</w:t>
      </w:r>
      <w:r>
        <w:tab/>
      </w:r>
    </w:p>
    <w:p w:rsidR="0016694C" w:rsidRDefault="0016694C" w:rsidP="005D429F">
      <w:pPr>
        <w:pStyle w:val="Sansinterligne"/>
        <w:numPr>
          <w:ilvl w:val="1"/>
          <w:numId w:val="958"/>
        </w:numPr>
      </w:pPr>
      <w:r>
        <w:t>RGO</w:t>
      </w:r>
    </w:p>
    <w:p w:rsidR="0016694C" w:rsidRDefault="0016694C" w:rsidP="005D429F">
      <w:pPr>
        <w:pStyle w:val="Sansinterligne"/>
        <w:numPr>
          <w:ilvl w:val="1"/>
          <w:numId w:val="958"/>
        </w:numPr>
      </w:pPr>
      <w:r>
        <w:t>Prolapsus mitral</w:t>
      </w:r>
    </w:p>
    <w:p w:rsidR="0016694C" w:rsidRDefault="0016694C" w:rsidP="005D429F">
      <w:pPr>
        <w:pStyle w:val="Sansinterligne"/>
        <w:numPr>
          <w:ilvl w:val="1"/>
          <w:numId w:val="958"/>
        </w:numPr>
      </w:pPr>
      <w:r>
        <w:t>TDAH</w:t>
      </w:r>
    </w:p>
    <w:p w:rsidR="0016694C" w:rsidRDefault="0016694C" w:rsidP="005D429F">
      <w:pPr>
        <w:pStyle w:val="Sansinterligne"/>
        <w:numPr>
          <w:ilvl w:val="1"/>
          <w:numId w:val="958"/>
        </w:numPr>
      </w:pPr>
      <w:r>
        <w:t>Autisme</w:t>
      </w:r>
    </w:p>
    <w:p w:rsidR="0016694C" w:rsidRDefault="0016694C" w:rsidP="005D429F">
      <w:pPr>
        <w:pStyle w:val="Sansinterligne"/>
        <w:numPr>
          <w:ilvl w:val="1"/>
          <w:numId w:val="958"/>
        </w:numPr>
      </w:pPr>
      <w:r>
        <w:t>Anxiété</w:t>
      </w:r>
    </w:p>
    <w:p w:rsidR="0016694C" w:rsidRDefault="0016694C" w:rsidP="005D429F">
      <w:pPr>
        <w:pStyle w:val="Sansinterligne"/>
        <w:numPr>
          <w:ilvl w:val="1"/>
          <w:numId w:val="958"/>
        </w:numPr>
      </w:pPr>
      <w:r>
        <w:t>Agressivité</w:t>
      </w:r>
    </w:p>
    <w:p w:rsidR="0058380B" w:rsidRDefault="0058380B" w:rsidP="005D429F">
      <w:pPr>
        <w:pStyle w:val="Sansinterligne"/>
        <w:numPr>
          <w:ilvl w:val="0"/>
          <w:numId w:val="958"/>
        </w:numPr>
      </w:pPr>
      <w:r>
        <w:t>Évaluation complète</w:t>
      </w:r>
    </w:p>
    <w:p w:rsidR="0058380B" w:rsidRDefault="0058380B" w:rsidP="005D429F">
      <w:pPr>
        <w:pStyle w:val="Sansinterligne"/>
        <w:numPr>
          <w:ilvl w:val="0"/>
          <w:numId w:val="958"/>
        </w:numPr>
      </w:pPr>
      <w:r>
        <w:t>Référence en éducation spécialisée</w:t>
      </w:r>
    </w:p>
    <w:p w:rsidR="0058380B" w:rsidRDefault="0058380B" w:rsidP="005D429F">
      <w:pPr>
        <w:pStyle w:val="Sansinterligne"/>
        <w:numPr>
          <w:ilvl w:val="1"/>
          <w:numId w:val="958"/>
        </w:numPr>
      </w:pPr>
      <w:r>
        <w:t>Approches comportementales</w:t>
      </w:r>
    </w:p>
    <w:p w:rsidR="0016694C" w:rsidRPr="0016694C" w:rsidRDefault="0016694C" w:rsidP="00F71D2A">
      <w:pPr>
        <w:pStyle w:val="Sansinterligne"/>
        <w:rPr>
          <w:u w:val="single"/>
        </w:rPr>
      </w:pPr>
      <w:r w:rsidRPr="0016694C">
        <w:rPr>
          <w:u w:val="single"/>
        </w:rPr>
        <w:t>Pronostic</w:t>
      </w:r>
    </w:p>
    <w:p w:rsidR="0016694C" w:rsidRDefault="0016694C" w:rsidP="005D429F">
      <w:pPr>
        <w:pStyle w:val="Sansinterligne"/>
        <w:numPr>
          <w:ilvl w:val="0"/>
          <w:numId w:val="959"/>
        </w:numPr>
      </w:pPr>
      <w:r>
        <w:t>Bon</w:t>
      </w:r>
    </w:p>
    <w:p w:rsidR="0016694C" w:rsidRDefault="0016694C" w:rsidP="005D429F">
      <w:pPr>
        <w:pStyle w:val="Sansinterligne"/>
        <w:numPr>
          <w:ilvl w:val="0"/>
          <w:numId w:val="959"/>
        </w:numPr>
      </w:pPr>
      <w:r>
        <w:t>DI légère-modérée</w:t>
      </w:r>
    </w:p>
    <w:p w:rsidR="002B54E0" w:rsidRDefault="002B54E0" w:rsidP="00F71D2A">
      <w:pPr>
        <w:pStyle w:val="Sansinterligne"/>
      </w:pPr>
    </w:p>
    <w:p w:rsidR="006D6A0B" w:rsidRDefault="006D6A0B" w:rsidP="00F71D2A">
      <w:pPr>
        <w:pStyle w:val="Sansinterligne"/>
      </w:pPr>
    </w:p>
    <w:p w:rsidR="002B54E0" w:rsidRPr="00134257" w:rsidRDefault="002B54E0" w:rsidP="00F71D2A">
      <w:pPr>
        <w:pStyle w:val="Sansinterligne"/>
        <w:rPr>
          <w:b/>
        </w:rPr>
      </w:pPr>
      <w:r w:rsidRPr="00134257">
        <w:rPr>
          <w:b/>
        </w:rPr>
        <w:t>Syndrome de Prader-Willi</w:t>
      </w:r>
    </w:p>
    <w:p w:rsidR="00134257" w:rsidRPr="00134257" w:rsidRDefault="00134257" w:rsidP="00F71D2A">
      <w:pPr>
        <w:pStyle w:val="Sansinterligne"/>
        <w:rPr>
          <w:u w:val="single"/>
        </w:rPr>
      </w:pPr>
      <w:r w:rsidRPr="00134257">
        <w:rPr>
          <w:u w:val="single"/>
        </w:rPr>
        <w:t>Initial</w:t>
      </w:r>
    </w:p>
    <w:p w:rsidR="00134257" w:rsidRDefault="00134257" w:rsidP="005D429F">
      <w:pPr>
        <w:pStyle w:val="Sansinterligne"/>
        <w:numPr>
          <w:ilvl w:val="0"/>
          <w:numId w:val="961"/>
        </w:numPr>
      </w:pPr>
      <w:r>
        <w:t>Explication du diagnostic</w:t>
      </w:r>
    </w:p>
    <w:p w:rsidR="00134257" w:rsidRDefault="00134257" w:rsidP="005D429F">
      <w:pPr>
        <w:pStyle w:val="Sansinterligne"/>
        <w:numPr>
          <w:ilvl w:val="0"/>
          <w:numId w:val="961"/>
        </w:numPr>
      </w:pPr>
      <w:r>
        <w:t>Support familial et psychologique</w:t>
      </w:r>
    </w:p>
    <w:p w:rsidR="00134257" w:rsidRDefault="00134257" w:rsidP="005D429F">
      <w:pPr>
        <w:pStyle w:val="Sansinterligne"/>
        <w:numPr>
          <w:ilvl w:val="0"/>
          <w:numId w:val="961"/>
        </w:numPr>
      </w:pPr>
      <w:r>
        <w:t>Support pédagogique ortho/TES</w:t>
      </w:r>
    </w:p>
    <w:p w:rsidR="002B54E0" w:rsidRPr="00134257" w:rsidRDefault="002B54E0" w:rsidP="00F71D2A">
      <w:pPr>
        <w:pStyle w:val="Sansinterligne"/>
        <w:rPr>
          <w:u w:val="single"/>
        </w:rPr>
      </w:pPr>
      <w:r w:rsidRPr="00134257">
        <w:rPr>
          <w:u w:val="single"/>
        </w:rPr>
        <w:t>Suivi</w:t>
      </w:r>
    </w:p>
    <w:p w:rsidR="002B54E0" w:rsidRDefault="002B54E0" w:rsidP="005D429F">
      <w:pPr>
        <w:pStyle w:val="Sansinterligne"/>
        <w:numPr>
          <w:ilvl w:val="0"/>
          <w:numId w:val="963"/>
        </w:numPr>
      </w:pPr>
      <w:r>
        <w:lastRenderedPageBreak/>
        <w:t>Référence en pédiatrie</w:t>
      </w:r>
    </w:p>
    <w:p w:rsidR="002B54E0" w:rsidRPr="006D6A0B" w:rsidRDefault="002B54E0" w:rsidP="005D429F">
      <w:pPr>
        <w:pStyle w:val="Sansinterligne"/>
        <w:numPr>
          <w:ilvl w:val="0"/>
          <w:numId w:val="963"/>
        </w:numPr>
        <w:rPr>
          <w:highlight w:val="yellow"/>
        </w:rPr>
      </w:pPr>
      <w:r w:rsidRPr="006D6A0B">
        <w:rPr>
          <w:highlight w:val="yellow"/>
        </w:rPr>
        <w:t>Traitement de la petite taille avec de l’hormone de croissance</w:t>
      </w:r>
    </w:p>
    <w:p w:rsidR="002B54E0" w:rsidRPr="006D6A0B" w:rsidRDefault="002B54E0" w:rsidP="005D429F">
      <w:pPr>
        <w:pStyle w:val="Sansinterligne"/>
        <w:numPr>
          <w:ilvl w:val="0"/>
          <w:numId w:val="963"/>
        </w:numPr>
        <w:rPr>
          <w:highlight w:val="yellow"/>
        </w:rPr>
      </w:pPr>
      <w:r w:rsidRPr="006D6A0B">
        <w:rPr>
          <w:highlight w:val="yellow"/>
        </w:rPr>
        <w:t>Contrôle alimentaire</w:t>
      </w:r>
    </w:p>
    <w:p w:rsidR="002B54E0" w:rsidRDefault="002B54E0" w:rsidP="005D429F">
      <w:pPr>
        <w:pStyle w:val="Sansinterligne"/>
        <w:numPr>
          <w:ilvl w:val="1"/>
          <w:numId w:val="963"/>
        </w:numPr>
      </w:pPr>
      <w:r>
        <w:t>Diète faible en calorie</w:t>
      </w:r>
    </w:p>
    <w:p w:rsidR="002B54E0" w:rsidRDefault="002B54E0" w:rsidP="005D429F">
      <w:pPr>
        <w:pStyle w:val="Sansinterligne"/>
        <w:numPr>
          <w:ilvl w:val="1"/>
          <w:numId w:val="963"/>
        </w:numPr>
      </w:pPr>
      <w:r>
        <w:t>Suivi en nutrition</w:t>
      </w:r>
    </w:p>
    <w:p w:rsidR="002B54E0" w:rsidRDefault="002B54E0" w:rsidP="005D429F">
      <w:pPr>
        <w:pStyle w:val="Sansinterligne"/>
        <w:numPr>
          <w:ilvl w:val="0"/>
          <w:numId w:val="963"/>
        </w:numPr>
      </w:pPr>
      <w:r>
        <w:t>Dépistage régulier des comorbidités</w:t>
      </w:r>
    </w:p>
    <w:p w:rsidR="002B54E0" w:rsidRDefault="002B54E0" w:rsidP="005D429F">
      <w:pPr>
        <w:pStyle w:val="Sansinterligne"/>
        <w:numPr>
          <w:ilvl w:val="1"/>
          <w:numId w:val="963"/>
        </w:numPr>
      </w:pPr>
      <w:r>
        <w:t>Diabète de type II</w:t>
      </w:r>
    </w:p>
    <w:p w:rsidR="002B54E0" w:rsidRDefault="002B54E0" w:rsidP="005D429F">
      <w:pPr>
        <w:pStyle w:val="Sansinterligne"/>
        <w:numPr>
          <w:ilvl w:val="1"/>
          <w:numId w:val="963"/>
        </w:numPr>
      </w:pPr>
      <w:r>
        <w:t>MCAS</w:t>
      </w:r>
    </w:p>
    <w:p w:rsidR="002B54E0" w:rsidRDefault="002B54E0" w:rsidP="005D429F">
      <w:pPr>
        <w:pStyle w:val="Sansinterligne"/>
        <w:numPr>
          <w:ilvl w:val="1"/>
          <w:numId w:val="963"/>
        </w:numPr>
      </w:pPr>
      <w:r>
        <w:t>Apnée obstructive du sommeil</w:t>
      </w:r>
    </w:p>
    <w:p w:rsidR="002B54E0" w:rsidRDefault="002B54E0" w:rsidP="005D429F">
      <w:pPr>
        <w:pStyle w:val="Sansinterligne"/>
        <w:numPr>
          <w:ilvl w:val="1"/>
          <w:numId w:val="963"/>
        </w:numPr>
      </w:pPr>
      <w:r>
        <w:t>RGO</w:t>
      </w:r>
    </w:p>
    <w:p w:rsidR="00134257" w:rsidRPr="00134257" w:rsidRDefault="002B54E0" w:rsidP="00F71D2A">
      <w:pPr>
        <w:pStyle w:val="Sansinterligne"/>
        <w:rPr>
          <w:u w:val="single"/>
        </w:rPr>
      </w:pPr>
      <w:r w:rsidRPr="00134257">
        <w:rPr>
          <w:u w:val="single"/>
        </w:rPr>
        <w:t>Pronostic</w:t>
      </w:r>
    </w:p>
    <w:p w:rsidR="00C321C0" w:rsidRDefault="00134257" w:rsidP="005D429F">
      <w:pPr>
        <w:pStyle w:val="Sansinterligne"/>
        <w:numPr>
          <w:ilvl w:val="0"/>
          <w:numId w:val="962"/>
        </w:numPr>
      </w:pPr>
      <w:r>
        <w:t>Espérance de vie limitée par les complications cardiovasculaires</w:t>
      </w:r>
    </w:p>
    <w:p w:rsidR="00C321C0" w:rsidRDefault="00C321C0" w:rsidP="00C321C0">
      <w:pPr>
        <w:pStyle w:val="Sansinterligne"/>
        <w:ind w:left="720"/>
      </w:pPr>
    </w:p>
    <w:p w:rsidR="00C321C0" w:rsidRPr="00C321C0" w:rsidRDefault="00C321C0" w:rsidP="00C321C0">
      <w:pPr>
        <w:pStyle w:val="Sansinterligne"/>
        <w:rPr>
          <w:b/>
        </w:rPr>
      </w:pPr>
      <w:r w:rsidRPr="00C321C0">
        <w:rPr>
          <w:b/>
        </w:rPr>
        <w:t>Syndrome de Cornélia de Lange</w:t>
      </w:r>
    </w:p>
    <w:p w:rsidR="00C321C0" w:rsidRPr="006D6A0B" w:rsidRDefault="00C321C0" w:rsidP="005D429F">
      <w:pPr>
        <w:pStyle w:val="Sansinterligne"/>
        <w:numPr>
          <w:ilvl w:val="0"/>
          <w:numId w:val="962"/>
        </w:numPr>
        <w:rPr>
          <w:highlight w:val="yellow"/>
        </w:rPr>
      </w:pPr>
      <w:r w:rsidRPr="006D6A0B">
        <w:rPr>
          <w:highlight w:val="yellow"/>
        </w:rPr>
        <w:t>Référence en pédiatrie</w:t>
      </w:r>
    </w:p>
    <w:p w:rsidR="00C321C0" w:rsidRDefault="00C321C0" w:rsidP="005D429F">
      <w:pPr>
        <w:pStyle w:val="Sansinterligne"/>
        <w:numPr>
          <w:ilvl w:val="1"/>
          <w:numId w:val="962"/>
        </w:numPr>
      </w:pPr>
      <w:r>
        <w:t>Évaluation du développement</w:t>
      </w:r>
    </w:p>
    <w:p w:rsidR="00C321C0" w:rsidRDefault="00C321C0" w:rsidP="005D429F">
      <w:pPr>
        <w:pStyle w:val="Sansinterligne"/>
        <w:numPr>
          <w:ilvl w:val="1"/>
          <w:numId w:val="962"/>
        </w:numPr>
      </w:pPr>
      <w:r>
        <w:t>Mise en place des ressources appropriées</w:t>
      </w:r>
    </w:p>
    <w:p w:rsidR="00C321C0" w:rsidRDefault="00C321C0" w:rsidP="00C321C0">
      <w:pPr>
        <w:pStyle w:val="Sansinterligne"/>
        <w:ind w:left="720"/>
      </w:pPr>
    </w:p>
    <w:p w:rsidR="00C321C0" w:rsidRPr="00C321C0" w:rsidRDefault="00C321C0" w:rsidP="00C321C0">
      <w:pPr>
        <w:pStyle w:val="Sansinterligne"/>
        <w:rPr>
          <w:b/>
        </w:rPr>
      </w:pPr>
      <w:r w:rsidRPr="00C321C0">
        <w:rPr>
          <w:b/>
        </w:rPr>
        <w:t>Spectre de l’alcoolisation fœtale</w:t>
      </w:r>
    </w:p>
    <w:p w:rsidR="00C321C0" w:rsidRPr="006D6A0B" w:rsidRDefault="00C321C0" w:rsidP="005D429F">
      <w:pPr>
        <w:pStyle w:val="Sansinterligne"/>
        <w:numPr>
          <w:ilvl w:val="0"/>
          <w:numId w:val="971"/>
        </w:numPr>
        <w:rPr>
          <w:highlight w:val="yellow"/>
        </w:rPr>
      </w:pPr>
      <w:r w:rsidRPr="006D6A0B">
        <w:rPr>
          <w:highlight w:val="yellow"/>
        </w:rPr>
        <w:t>Pas de traitement</w:t>
      </w:r>
    </w:p>
    <w:p w:rsidR="00C321C0" w:rsidRPr="006D6A0B" w:rsidRDefault="00C321C0" w:rsidP="005D429F">
      <w:pPr>
        <w:pStyle w:val="Sansinterligne"/>
        <w:numPr>
          <w:ilvl w:val="0"/>
          <w:numId w:val="971"/>
        </w:numPr>
        <w:rPr>
          <w:highlight w:val="yellow"/>
        </w:rPr>
      </w:pPr>
      <w:r w:rsidRPr="006D6A0B">
        <w:rPr>
          <w:highlight w:val="yellow"/>
        </w:rPr>
        <w:t>Référence en pédiatrie</w:t>
      </w:r>
    </w:p>
    <w:p w:rsidR="00C321C0" w:rsidRDefault="00C321C0" w:rsidP="005D429F">
      <w:pPr>
        <w:pStyle w:val="Sansinterligne"/>
        <w:numPr>
          <w:ilvl w:val="1"/>
          <w:numId w:val="971"/>
        </w:numPr>
      </w:pPr>
      <w:r>
        <w:t>Évaluation du développement</w:t>
      </w:r>
    </w:p>
    <w:p w:rsidR="00C321C0" w:rsidRDefault="00C321C0" w:rsidP="005D429F">
      <w:pPr>
        <w:pStyle w:val="Sansinterligne"/>
        <w:numPr>
          <w:ilvl w:val="1"/>
          <w:numId w:val="971"/>
        </w:numPr>
      </w:pPr>
      <w:r>
        <w:t>Mise en place des ressources appropriées</w:t>
      </w:r>
    </w:p>
    <w:p w:rsidR="00BE288D" w:rsidRDefault="00C321C0" w:rsidP="005D429F">
      <w:pPr>
        <w:pStyle w:val="Sansinterligne"/>
        <w:numPr>
          <w:ilvl w:val="0"/>
          <w:numId w:val="971"/>
        </w:numPr>
      </w:pPr>
      <w:r>
        <w:t>Suivi psychologique ou ressources communautaires</w:t>
      </w:r>
    </w:p>
    <w:p w:rsidR="00BE288D" w:rsidRDefault="00BE288D" w:rsidP="005D429F">
      <w:pPr>
        <w:pStyle w:val="Sansinterligne"/>
        <w:numPr>
          <w:ilvl w:val="0"/>
          <w:numId w:val="972"/>
        </w:numPr>
        <w:sectPr w:rsidR="00BE288D" w:rsidSect="00403231">
          <w:type w:val="continuous"/>
          <w:pgSz w:w="12240" w:h="15840"/>
          <w:pgMar w:top="720" w:right="720" w:bottom="720" w:left="720" w:header="708" w:footer="708" w:gutter="0"/>
          <w:cols w:num="2" w:space="0"/>
          <w:docGrid w:linePitch="360"/>
        </w:sectPr>
      </w:pPr>
      <w:r>
        <w:t>Pronostic : faible taux d’emploi, troubles judicaires, faible contrôle sexuel, etc.</w:t>
      </w:r>
    </w:p>
    <w:p w:rsidR="00225137" w:rsidRDefault="004860C1" w:rsidP="005D429F">
      <w:pPr>
        <w:pStyle w:val="Sansinterligne"/>
        <w:numPr>
          <w:ilvl w:val="0"/>
          <w:numId w:val="971"/>
        </w:numPr>
      </w:pPr>
      <w:r>
        <w:rPr>
          <w:noProof/>
          <w:lang w:eastAsia="fr-CA"/>
        </w:rPr>
        <w:lastRenderedPageBreak/>
        <w:drawing>
          <wp:anchor distT="0" distB="0" distL="114300" distR="114300" simplePos="0" relativeHeight="251951104" behindDoc="0" locked="0" layoutInCell="1" allowOverlap="1" wp14:anchorId="07F75D9A" wp14:editId="37CE9212">
            <wp:simplePos x="0" y="0"/>
            <wp:positionH relativeFrom="column">
              <wp:posOffset>1497519</wp:posOffset>
            </wp:positionH>
            <wp:positionV relativeFrom="paragraph">
              <wp:posOffset>213253</wp:posOffset>
            </wp:positionV>
            <wp:extent cx="4007796" cy="3306876"/>
            <wp:effectExtent l="0" t="0" r="0" b="8255"/>
            <wp:wrapNone/>
            <wp:docPr id="468" name="Image 468" descr="Résultats de recherche d'images pour « TORCH infec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Résultats de recherche d'images pour « TORCH infection »"/>
                    <pic:cNvPicPr>
                      <a:picLocks noChangeAspect="1" noChangeArrowheads="1"/>
                    </pic:cNvPicPr>
                  </pic:nvPicPr>
                  <pic:blipFill rotWithShape="1">
                    <a:blip r:embed="rId133">
                      <a:extLst>
                        <a:ext uri="{28A0092B-C50C-407E-A947-70E740481C1C}">
                          <a14:useLocalDpi xmlns:a14="http://schemas.microsoft.com/office/drawing/2010/main" val="0"/>
                        </a:ext>
                      </a:extLst>
                    </a:blip>
                    <a:srcRect l="5297" r="3753"/>
                    <a:stretch/>
                  </pic:blipFill>
                  <pic:spPr bwMode="auto">
                    <a:xfrm>
                      <a:off x="0" y="0"/>
                      <a:ext cx="4007796" cy="3306876"/>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04130">
        <w:br w:type="page"/>
      </w:r>
    </w:p>
    <w:p w:rsidR="00540770" w:rsidRPr="00F62E2A" w:rsidRDefault="00540770" w:rsidP="00F62E2A">
      <w:pPr>
        <w:pStyle w:val="Sansinterligne"/>
        <w:rPr>
          <w:rFonts w:cs="Times New Roman"/>
          <w:b/>
          <w:color w:val="548DD4" w:themeColor="text2" w:themeTint="99"/>
        </w:rPr>
      </w:pPr>
      <w:r w:rsidRPr="00F62E2A">
        <w:rPr>
          <w:rFonts w:cs="Times New Roman"/>
          <w:b/>
          <w:color w:val="548DD4" w:themeColor="text2" w:themeTint="99"/>
        </w:rPr>
        <w:lastRenderedPageBreak/>
        <w:t xml:space="preserve">CMC 42-2 </w:t>
      </w:r>
    </w:p>
    <w:p w:rsidR="00540770" w:rsidRPr="00F012F8" w:rsidRDefault="00540770" w:rsidP="00540770">
      <w:pPr>
        <w:pStyle w:val="Titre3"/>
        <w:spacing w:before="0"/>
        <w:rPr>
          <w:rFonts w:ascii="Times New Roman" w:hAnsi="Times New Roman" w:cs="Times New Roman"/>
        </w:rPr>
        <w:sectPr w:rsidR="00540770" w:rsidRPr="00F012F8" w:rsidSect="00540770">
          <w:type w:val="continuous"/>
          <w:pgSz w:w="12240" w:h="15840"/>
          <w:pgMar w:top="720" w:right="720" w:bottom="720" w:left="720" w:header="708" w:footer="708" w:gutter="0"/>
          <w:cols w:space="708"/>
          <w:docGrid w:linePitch="360"/>
        </w:sectPr>
      </w:pPr>
      <w:bookmarkStart w:id="121" w:name="_Toc480797285"/>
      <w:r w:rsidRPr="00F012F8">
        <w:rPr>
          <w:rFonts w:ascii="Times New Roman" w:hAnsi="Times New Roman" w:cs="Times New Roman"/>
        </w:rPr>
        <w:t>Taux d’hémoglobine sérique élevé</w:t>
      </w:r>
      <w:bookmarkEnd w:id="121"/>
    </w:p>
    <w:tbl>
      <w:tblPr>
        <w:tblW w:w="5000" w:type="pct"/>
        <w:tblCellSpacing w:w="0" w:type="dxa"/>
        <w:tblCellMar>
          <w:left w:w="0" w:type="dxa"/>
          <w:right w:w="0" w:type="dxa"/>
        </w:tblCellMar>
        <w:tblLook w:val="04A0" w:firstRow="1" w:lastRow="0" w:firstColumn="1" w:lastColumn="0" w:noHBand="0" w:noVBand="1"/>
      </w:tblPr>
      <w:tblGrid>
        <w:gridCol w:w="10414"/>
        <w:gridCol w:w="386"/>
      </w:tblGrid>
      <w:tr w:rsidR="00540770" w:rsidRPr="00F012F8" w:rsidTr="00540770">
        <w:trPr>
          <w:tblCellSpacing w:w="0" w:type="dxa"/>
        </w:trPr>
        <w:tc>
          <w:tcPr>
            <w:tcW w:w="0" w:type="auto"/>
            <w:vAlign w:val="bottom"/>
            <w:hideMark/>
          </w:tcPr>
          <w:bookmarkStart w:id="122" w:name="_Toc474266706"/>
          <w:bookmarkStart w:id="123" w:name="_Toc474274461"/>
          <w:bookmarkStart w:id="124" w:name="_Toc474769828"/>
          <w:bookmarkStart w:id="125" w:name="_Toc475198212"/>
          <w:bookmarkStart w:id="126" w:name="_Toc475563837"/>
          <w:p w:rsidR="00540770" w:rsidRPr="001E71BC" w:rsidRDefault="00ED39BA" w:rsidP="001E71BC">
            <w:pPr>
              <w:pStyle w:val="Sansinterligne"/>
              <w:spacing w:before="240"/>
              <w:rPr>
                <w:b/>
                <w:sz w:val="18"/>
                <w:szCs w:val="18"/>
              </w:rPr>
            </w:pPr>
            <w:r w:rsidRPr="001E71BC">
              <w:rPr>
                <w:b/>
                <w:noProof/>
                <w:sz w:val="18"/>
                <w:szCs w:val="18"/>
                <w:lang w:eastAsia="fr-CA"/>
              </w:rPr>
              <w:lastRenderedPageBreak/>
              <mc:AlternateContent>
                <mc:Choice Requires="wps">
                  <w:drawing>
                    <wp:anchor distT="0" distB="0" distL="114300" distR="114300" simplePos="0" relativeHeight="251668480" behindDoc="0" locked="0" layoutInCell="1" allowOverlap="1" wp14:anchorId="0AC68E11" wp14:editId="7E44C743">
                      <wp:simplePos x="0" y="0"/>
                      <wp:positionH relativeFrom="column">
                        <wp:posOffset>-70338</wp:posOffset>
                      </wp:positionH>
                      <wp:positionV relativeFrom="paragraph">
                        <wp:posOffset>8499</wp:posOffset>
                      </wp:positionV>
                      <wp:extent cx="6998676" cy="2549769"/>
                      <wp:effectExtent l="0" t="0" r="12065" b="22225"/>
                      <wp:wrapNone/>
                      <wp:docPr id="4" name="Rectangle 4"/>
                      <wp:cNvGraphicFramePr/>
                      <a:graphic xmlns:a="http://schemas.openxmlformats.org/drawingml/2006/main">
                        <a:graphicData uri="http://schemas.microsoft.com/office/word/2010/wordprocessingShape">
                          <wps:wsp>
                            <wps:cNvSpPr/>
                            <wps:spPr>
                              <a:xfrm>
                                <a:off x="0" y="0"/>
                                <a:ext cx="6998676" cy="2549769"/>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4" o:spid="_x0000_s1026" style="position:absolute;margin-left:-5.55pt;margin-top:.65pt;width:551.1pt;height:200.75pt;z-index:251668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" filled="f" strokecolor="black [1600]" strokeweight="2pt"/>
                  </w:pict>
                </mc:Fallback>
              </mc:AlternateContent>
            </w:r>
            <w:r w:rsidR="00540770" w:rsidRPr="001E71BC">
              <w:rPr>
                <w:b/>
                <w:sz w:val="18"/>
                <w:szCs w:val="18"/>
              </w:rPr>
              <w:t>Objectif principal</w:t>
            </w:r>
            <w:bookmarkEnd w:id="122"/>
            <w:bookmarkEnd w:id="123"/>
            <w:bookmarkEnd w:id="124"/>
            <w:bookmarkEnd w:id="125"/>
            <w:bookmarkEnd w:id="126"/>
          </w:p>
        </w:tc>
        <w:tc>
          <w:tcPr>
            <w:tcW w:w="0" w:type="auto"/>
            <w:vAlign w:val="bottom"/>
            <w:hideMark/>
          </w:tcPr>
          <w:p w:rsidR="00540770" w:rsidRPr="00F012F8" w:rsidRDefault="00540770" w:rsidP="002D21F1">
            <w:pPr>
              <w:jc w:val="right"/>
              <w:rPr>
                <w:rFonts w:cs="Times New Roman"/>
                <w:color w:val="000000"/>
                <w:sz w:val="18"/>
                <w:szCs w:val="18"/>
              </w:rPr>
            </w:pPr>
            <w:r w:rsidRPr="002D21F1">
              <w:rPr>
                <w:rFonts w:cs="Times New Roman"/>
                <w:sz w:val="18"/>
                <w:szCs w:val="18"/>
              </w:rPr>
              <w:t>t</w:t>
            </w:r>
          </w:p>
        </w:tc>
      </w:tr>
    </w:tbl>
    <w:p w:rsidR="00540770" w:rsidRPr="00F012F8" w:rsidRDefault="00540770" w:rsidP="00540770">
      <w:pPr>
        <w:pStyle w:val="NormalWeb"/>
        <w:spacing w:after="0" w:afterAutospacing="0"/>
        <w:ind w:left="360"/>
        <w:rPr>
          <w:color w:val="000000"/>
          <w:sz w:val="18"/>
          <w:szCs w:val="18"/>
          <w:shd w:val="clear" w:color="auto" w:fill="FFFFFF"/>
        </w:rPr>
      </w:pPr>
      <w:r w:rsidRPr="00F012F8">
        <w:rPr>
          <w:color w:val="000000"/>
          <w:sz w:val="18"/>
          <w:szCs w:val="18"/>
          <w:shd w:val="clear" w:color="auto" w:fill="FFFFFF"/>
        </w:rPr>
        <w:t>Dans le cas d'un patient présentant un taux d'hémoglobine élevé, le candidat devra en diagnostiquer la cause, la gravité et les complications, et mettre en place un plan de prise en charge approprié.</w:t>
      </w:r>
    </w:p>
    <w:tbl>
      <w:tblPr>
        <w:tblW w:w="5000" w:type="pct"/>
        <w:tblCellSpacing w:w="0" w:type="dxa"/>
        <w:tblCellMar>
          <w:left w:w="0" w:type="dxa"/>
          <w:right w:w="0" w:type="dxa"/>
        </w:tblCellMar>
        <w:tblLook w:val="04A0" w:firstRow="1" w:lastRow="0" w:firstColumn="1" w:lastColumn="0" w:noHBand="0" w:noVBand="1"/>
      </w:tblPr>
      <w:tblGrid>
        <w:gridCol w:w="10754"/>
        <w:gridCol w:w="46"/>
      </w:tblGrid>
      <w:tr w:rsidR="00540770" w:rsidRPr="00F012F8" w:rsidTr="00540770">
        <w:trPr>
          <w:tblCellSpacing w:w="0" w:type="dxa"/>
        </w:trPr>
        <w:tc>
          <w:tcPr>
            <w:tcW w:w="0" w:type="auto"/>
            <w:vAlign w:val="bottom"/>
            <w:hideMark/>
          </w:tcPr>
          <w:p w:rsidR="00540770" w:rsidRPr="001E71BC" w:rsidRDefault="00540770" w:rsidP="001E71BC">
            <w:pPr>
              <w:pStyle w:val="Sansinterligne"/>
              <w:spacing w:before="240"/>
              <w:rPr>
                <w:b/>
                <w:sz w:val="16"/>
                <w:szCs w:val="16"/>
              </w:rPr>
            </w:pPr>
            <w:bookmarkStart w:id="127" w:name="_Toc474266707"/>
            <w:bookmarkStart w:id="128" w:name="_Toc474274462"/>
            <w:bookmarkStart w:id="129" w:name="_Toc474769829"/>
            <w:bookmarkStart w:id="130" w:name="_Toc475198213"/>
            <w:bookmarkStart w:id="131" w:name="_Toc475563838"/>
            <w:r w:rsidRPr="001E71BC">
              <w:rPr>
                <w:b/>
                <w:sz w:val="16"/>
                <w:szCs w:val="16"/>
              </w:rPr>
              <w:t>Objectifs spécifiques</w:t>
            </w:r>
            <w:bookmarkEnd w:id="127"/>
            <w:bookmarkEnd w:id="128"/>
            <w:bookmarkEnd w:id="129"/>
            <w:bookmarkEnd w:id="130"/>
            <w:bookmarkEnd w:id="131"/>
          </w:p>
        </w:tc>
        <w:tc>
          <w:tcPr>
            <w:tcW w:w="0" w:type="auto"/>
            <w:vAlign w:val="bottom"/>
            <w:hideMark/>
          </w:tcPr>
          <w:p w:rsidR="00540770" w:rsidRPr="00F012F8" w:rsidRDefault="00540770">
            <w:pPr>
              <w:jc w:val="right"/>
              <w:rPr>
                <w:rFonts w:cs="Times New Roman"/>
                <w:color w:val="000000"/>
                <w:sz w:val="16"/>
                <w:szCs w:val="16"/>
              </w:rPr>
            </w:pPr>
          </w:p>
        </w:tc>
      </w:tr>
    </w:tbl>
    <w:p w:rsidR="00540770" w:rsidRPr="00F012F8" w:rsidRDefault="00540770" w:rsidP="00540770">
      <w:pPr>
        <w:pStyle w:val="NormalWeb"/>
        <w:shd w:val="clear" w:color="auto" w:fill="FFFFFF"/>
        <w:ind w:left="360"/>
        <w:rPr>
          <w:color w:val="000000"/>
          <w:sz w:val="16"/>
          <w:szCs w:val="16"/>
          <w:shd w:val="clear" w:color="auto" w:fill="FFFFFF"/>
        </w:rPr>
      </w:pPr>
      <w:r w:rsidRPr="00F012F8">
        <w:rPr>
          <w:color w:val="000000"/>
          <w:sz w:val="16"/>
          <w:szCs w:val="16"/>
          <w:shd w:val="clear" w:color="auto" w:fill="FFFFFF"/>
        </w:rPr>
        <w:t>Dans le cas d'un patient présentant un taux d'hémoglobine élevé, le candidat devra</w:t>
      </w:r>
    </w:p>
    <w:p w:rsidR="00540770" w:rsidRPr="00F012F8" w:rsidRDefault="00540770" w:rsidP="001A1752">
      <w:pPr>
        <w:numPr>
          <w:ilvl w:val="0"/>
          <w:numId w:val="27"/>
        </w:numPr>
        <w:shd w:val="clear" w:color="auto" w:fill="FFFFFF"/>
        <w:spacing w:before="100" w:beforeAutospacing="1" w:after="100" w:afterAutospacing="1" w:line="240" w:lineRule="auto"/>
        <w:rPr>
          <w:rFonts w:cs="Times New Roman"/>
          <w:color w:val="000000"/>
          <w:sz w:val="16"/>
          <w:szCs w:val="16"/>
          <w:shd w:val="clear" w:color="auto" w:fill="FFFFFF"/>
        </w:rPr>
      </w:pPr>
      <w:r w:rsidRPr="00F012F8">
        <w:rPr>
          <w:rFonts w:cs="Times New Roman"/>
          <w:color w:val="000000"/>
          <w:sz w:val="16"/>
          <w:szCs w:val="16"/>
          <w:shd w:val="clear" w:color="auto" w:fill="FFFFFF"/>
        </w:rPr>
        <w:t>énumérer et interpréter les constatations cliniques cruciales, notamment :</w:t>
      </w:r>
    </w:p>
    <w:p w:rsidR="00540770" w:rsidRPr="00F012F8" w:rsidRDefault="00540770" w:rsidP="001A1752">
      <w:pPr>
        <w:numPr>
          <w:ilvl w:val="1"/>
          <w:numId w:val="27"/>
        </w:numPr>
        <w:shd w:val="clear" w:color="auto" w:fill="FFFFFF"/>
        <w:spacing w:before="100" w:beforeAutospacing="1" w:after="100" w:afterAutospacing="1" w:line="240" w:lineRule="auto"/>
        <w:rPr>
          <w:rFonts w:cs="Times New Roman"/>
          <w:color w:val="000000"/>
          <w:sz w:val="16"/>
          <w:szCs w:val="16"/>
          <w:shd w:val="clear" w:color="auto" w:fill="FFFFFF"/>
        </w:rPr>
      </w:pPr>
      <w:r w:rsidRPr="00F012F8">
        <w:rPr>
          <w:rFonts w:cs="Times New Roman"/>
          <w:color w:val="000000"/>
          <w:sz w:val="16"/>
          <w:szCs w:val="16"/>
          <w:shd w:val="clear" w:color="auto" w:fill="FFFFFF"/>
        </w:rPr>
        <w:t>distinguer une érythrocytose vraie d'une érythrocytose secondaire;</w:t>
      </w:r>
    </w:p>
    <w:p w:rsidR="00540770" w:rsidRPr="00F012F8" w:rsidRDefault="00540770" w:rsidP="001A1752">
      <w:pPr>
        <w:numPr>
          <w:ilvl w:val="1"/>
          <w:numId w:val="27"/>
        </w:numPr>
        <w:shd w:val="clear" w:color="auto" w:fill="FFFFFF"/>
        <w:spacing w:before="100" w:beforeAutospacing="1" w:after="100" w:afterAutospacing="1" w:line="240" w:lineRule="auto"/>
        <w:rPr>
          <w:rFonts w:cs="Times New Roman"/>
          <w:color w:val="000000"/>
          <w:sz w:val="16"/>
          <w:szCs w:val="16"/>
          <w:shd w:val="clear" w:color="auto" w:fill="FFFFFF"/>
        </w:rPr>
      </w:pPr>
      <w:r w:rsidRPr="00F012F8">
        <w:rPr>
          <w:rFonts w:cs="Times New Roman"/>
          <w:color w:val="000000"/>
          <w:sz w:val="16"/>
          <w:szCs w:val="16"/>
          <w:shd w:val="clear" w:color="auto" w:fill="FFFFFF"/>
        </w:rPr>
        <w:t>vérifier les signes de complications;</w:t>
      </w:r>
    </w:p>
    <w:p w:rsidR="00540770" w:rsidRPr="00F012F8" w:rsidRDefault="00540770" w:rsidP="001A1752">
      <w:pPr>
        <w:numPr>
          <w:ilvl w:val="0"/>
          <w:numId w:val="27"/>
        </w:numPr>
        <w:shd w:val="clear" w:color="auto" w:fill="FFFFFF"/>
        <w:spacing w:before="100" w:beforeAutospacing="1" w:after="100" w:afterAutospacing="1" w:line="240" w:lineRule="auto"/>
        <w:rPr>
          <w:rFonts w:cs="Times New Roman"/>
          <w:color w:val="000000"/>
          <w:sz w:val="16"/>
          <w:szCs w:val="16"/>
          <w:shd w:val="clear" w:color="auto" w:fill="FFFFFF"/>
        </w:rPr>
      </w:pPr>
      <w:r w:rsidRPr="00F012F8">
        <w:rPr>
          <w:rFonts w:cs="Times New Roman"/>
          <w:color w:val="000000"/>
          <w:sz w:val="16"/>
          <w:szCs w:val="16"/>
          <w:shd w:val="clear" w:color="auto" w:fill="FFFFFF"/>
        </w:rPr>
        <w:t>énumérer et interpréter les examens essentiels, notamment :</w:t>
      </w:r>
    </w:p>
    <w:p w:rsidR="00540770" w:rsidRPr="00F012F8" w:rsidRDefault="00540770" w:rsidP="001A1752">
      <w:pPr>
        <w:numPr>
          <w:ilvl w:val="1"/>
          <w:numId w:val="27"/>
        </w:numPr>
        <w:shd w:val="clear" w:color="auto" w:fill="FFFFFF"/>
        <w:spacing w:before="100" w:beforeAutospacing="1" w:after="100" w:afterAutospacing="1" w:line="240" w:lineRule="auto"/>
        <w:rPr>
          <w:rFonts w:cs="Times New Roman"/>
          <w:color w:val="000000"/>
          <w:sz w:val="16"/>
          <w:szCs w:val="16"/>
          <w:shd w:val="clear" w:color="auto" w:fill="FFFFFF"/>
        </w:rPr>
      </w:pPr>
      <w:r w:rsidRPr="00F012F8">
        <w:rPr>
          <w:rFonts w:cs="Times New Roman"/>
          <w:color w:val="000000"/>
          <w:sz w:val="16"/>
          <w:szCs w:val="16"/>
          <w:shd w:val="clear" w:color="auto" w:fill="FFFFFF"/>
        </w:rPr>
        <w:t>les examens de laboratoire et d'imagerie diagnostique pertinents;</w:t>
      </w:r>
    </w:p>
    <w:p w:rsidR="00540770" w:rsidRPr="00F012F8" w:rsidRDefault="00540770" w:rsidP="001A1752">
      <w:pPr>
        <w:numPr>
          <w:ilvl w:val="0"/>
          <w:numId w:val="27"/>
        </w:numPr>
        <w:shd w:val="clear" w:color="auto" w:fill="FFFFFF"/>
        <w:spacing w:before="100" w:beforeAutospacing="1" w:after="100" w:afterAutospacing="1" w:line="240" w:lineRule="auto"/>
        <w:rPr>
          <w:rFonts w:cs="Times New Roman"/>
          <w:color w:val="000000"/>
          <w:sz w:val="16"/>
          <w:szCs w:val="16"/>
          <w:shd w:val="clear" w:color="auto" w:fill="FFFFFF"/>
        </w:rPr>
      </w:pPr>
      <w:r w:rsidRPr="00F012F8">
        <w:rPr>
          <w:rFonts w:cs="Times New Roman"/>
          <w:color w:val="000000"/>
          <w:sz w:val="16"/>
          <w:szCs w:val="16"/>
          <w:shd w:val="clear" w:color="auto" w:fill="FFFFFF"/>
        </w:rPr>
        <w:t>élaborer un plan efficace de prise en charge initiale, notamment :</w:t>
      </w:r>
    </w:p>
    <w:p w:rsidR="00540770" w:rsidRPr="00F012F8" w:rsidRDefault="00540770" w:rsidP="001A1752">
      <w:pPr>
        <w:numPr>
          <w:ilvl w:val="1"/>
          <w:numId w:val="27"/>
        </w:numPr>
        <w:shd w:val="clear" w:color="auto" w:fill="FFFFFF"/>
        <w:spacing w:before="100" w:beforeAutospacing="1" w:after="100" w:afterAutospacing="1" w:line="240" w:lineRule="auto"/>
        <w:rPr>
          <w:rFonts w:cs="Times New Roman"/>
          <w:color w:val="000000"/>
          <w:sz w:val="16"/>
          <w:szCs w:val="16"/>
          <w:shd w:val="clear" w:color="auto" w:fill="FFFFFF"/>
        </w:rPr>
      </w:pPr>
      <w:r w:rsidRPr="00F012F8">
        <w:rPr>
          <w:rFonts w:cs="Times New Roman"/>
          <w:color w:val="000000"/>
          <w:sz w:val="16"/>
          <w:szCs w:val="16"/>
          <w:shd w:val="clear" w:color="auto" w:fill="FFFFFF"/>
        </w:rPr>
        <w:t>diriger le patient vers des soins spécialisés, s'il y a lieu;</w:t>
      </w:r>
    </w:p>
    <w:p w:rsidR="00540770" w:rsidRPr="00F012F8" w:rsidRDefault="00540770" w:rsidP="001A1752">
      <w:pPr>
        <w:numPr>
          <w:ilvl w:val="1"/>
          <w:numId w:val="27"/>
        </w:numPr>
        <w:shd w:val="clear" w:color="auto" w:fill="FFFFFF"/>
        <w:spacing w:before="100" w:beforeAutospacing="1" w:after="100" w:afterAutospacing="1" w:line="240" w:lineRule="auto"/>
        <w:rPr>
          <w:rFonts w:cs="Times New Roman"/>
          <w:color w:val="000000"/>
          <w:sz w:val="16"/>
          <w:szCs w:val="16"/>
          <w:shd w:val="clear" w:color="auto" w:fill="FFFFFF"/>
        </w:rPr>
      </w:pPr>
      <w:r w:rsidRPr="00F012F8">
        <w:rPr>
          <w:rFonts w:cs="Times New Roman"/>
          <w:color w:val="000000"/>
          <w:sz w:val="16"/>
          <w:szCs w:val="16"/>
          <w:shd w:val="clear" w:color="auto" w:fill="FFFFFF"/>
        </w:rPr>
        <w:t>conseiller et informer le patient (p. ex. abandon du tabagisme, milieu de travail).</w:t>
      </w:r>
    </w:p>
    <w:p w:rsidR="00540770" w:rsidRPr="00D155A9" w:rsidRDefault="00540770" w:rsidP="00540770">
      <w:pPr>
        <w:shd w:val="clear" w:color="auto" w:fill="FFFFFF"/>
        <w:spacing w:before="100" w:beforeAutospacing="1" w:after="100" w:afterAutospacing="1" w:line="240" w:lineRule="auto"/>
        <w:rPr>
          <w:rFonts w:cs="Times New Roman"/>
          <w:b/>
          <w:color w:val="000000"/>
          <w:sz w:val="28"/>
          <w:szCs w:val="28"/>
          <w:shd w:val="clear" w:color="auto" w:fill="FFFFFF"/>
        </w:rPr>
      </w:pPr>
      <w:r w:rsidRPr="00D155A9">
        <w:rPr>
          <w:rFonts w:cs="Times New Roman"/>
          <w:b/>
          <w:color w:val="000000"/>
          <w:sz w:val="28"/>
          <w:szCs w:val="28"/>
          <w:shd w:val="clear" w:color="auto" w:fill="FFFFFF"/>
        </w:rPr>
        <w:t>Étiologie</w:t>
      </w:r>
      <w:r w:rsidR="00D217A9" w:rsidRPr="00D155A9">
        <w:rPr>
          <w:rFonts w:cs="Times New Roman"/>
          <w:b/>
          <w:color w:val="000000"/>
          <w:sz w:val="28"/>
          <w:szCs w:val="28"/>
          <w:shd w:val="clear" w:color="auto" w:fill="FFFFFF"/>
        </w:rPr>
        <w:t xml:space="preserve"> – Définitions</w:t>
      </w:r>
    </w:p>
    <w:p w:rsidR="00D217A9" w:rsidRPr="00F012F8" w:rsidRDefault="00D217A9" w:rsidP="001A1752">
      <w:pPr>
        <w:pStyle w:val="Paragraphedeliste"/>
        <w:numPr>
          <w:ilvl w:val="0"/>
          <w:numId w:val="28"/>
        </w:numPr>
        <w:shd w:val="clear" w:color="auto" w:fill="FFFFFF"/>
        <w:spacing w:before="100" w:beforeAutospacing="1" w:after="0" w:line="240" w:lineRule="auto"/>
        <w:rPr>
          <w:rFonts w:cs="Times New Roman"/>
          <w:color w:val="000000"/>
          <w:shd w:val="clear" w:color="auto" w:fill="FFFFFF"/>
        </w:rPr>
      </w:pPr>
      <w:r w:rsidRPr="00F012F8">
        <w:rPr>
          <w:rFonts w:cs="Times New Roman"/>
          <w:color w:val="000000"/>
          <w:shd w:val="clear" w:color="auto" w:fill="FFFFFF"/>
        </w:rPr>
        <w:t>Taux d’HB élevé ou érythrocytose :</w:t>
      </w:r>
    </w:p>
    <w:p w:rsidR="00D217A9" w:rsidRPr="00F012F8" w:rsidRDefault="00D217A9" w:rsidP="00D6359B">
      <w:pPr>
        <w:pStyle w:val="Paragraphedeliste"/>
        <w:shd w:val="clear" w:color="auto" w:fill="FFFFFF"/>
        <w:spacing w:after="100" w:afterAutospacing="1" w:line="240" w:lineRule="auto"/>
        <w:rPr>
          <w:rFonts w:cs="Times New Roman"/>
          <w:bCs/>
          <w:color w:val="252525"/>
          <w:sz w:val="21"/>
          <w:szCs w:val="21"/>
          <w:shd w:val="clear" w:color="auto" w:fill="FFFFFF"/>
        </w:rPr>
      </w:pPr>
      <w:r w:rsidRPr="00F012F8">
        <w:rPr>
          <w:rFonts w:cs="Times New Roman"/>
          <w:color w:val="000000"/>
          <w:highlight w:val="yellow"/>
          <w:shd w:val="clear" w:color="auto" w:fill="FFFFFF"/>
        </w:rPr>
        <w:t>&gt;180-185 g/L ou Hématocrite &gt; 52% chez l’</w:t>
      </w:r>
      <w:hyperlink r:id="rId134" w:tooltip="♂" w:history="1">
        <w:r w:rsidRPr="00F012F8">
          <w:rPr>
            <w:rStyle w:val="Lienhypertexte"/>
            <w:rFonts w:cs="Times New Roman"/>
            <w:color w:val="0B0080"/>
            <w:sz w:val="21"/>
            <w:szCs w:val="21"/>
            <w:highlight w:val="yellow"/>
            <w:shd w:val="clear" w:color="auto" w:fill="FFFFFF"/>
          </w:rPr>
          <w:t>♂</w:t>
        </w:r>
      </w:hyperlink>
      <w:r w:rsidRPr="00F012F8">
        <w:rPr>
          <w:rFonts w:cs="Times New Roman"/>
          <w:highlight w:val="yellow"/>
        </w:rPr>
        <w:t xml:space="preserve"> et </w:t>
      </w:r>
      <w:r w:rsidRPr="00F012F8">
        <w:rPr>
          <w:rFonts w:cs="Times New Roman"/>
          <w:color w:val="000000"/>
          <w:highlight w:val="yellow"/>
          <w:shd w:val="clear" w:color="auto" w:fill="FFFFFF"/>
        </w:rPr>
        <w:t xml:space="preserve">&gt; 165 g/L ou Hématocrite &gt; 47%  chez la </w:t>
      </w:r>
      <w:r w:rsidRPr="00F012F8">
        <w:rPr>
          <w:rFonts w:cs="Times New Roman"/>
          <w:bCs/>
          <w:color w:val="252525"/>
          <w:sz w:val="21"/>
          <w:szCs w:val="21"/>
          <w:highlight w:val="yellow"/>
          <w:shd w:val="clear" w:color="auto" w:fill="FFFFFF"/>
        </w:rPr>
        <w:t>♀</w:t>
      </w:r>
    </w:p>
    <w:p w:rsidR="00D217A9" w:rsidRPr="00F012F8" w:rsidRDefault="00D217A9" w:rsidP="001A1752">
      <w:pPr>
        <w:pStyle w:val="Paragraphedeliste"/>
        <w:numPr>
          <w:ilvl w:val="0"/>
          <w:numId w:val="28"/>
        </w:numPr>
        <w:shd w:val="clear" w:color="auto" w:fill="FFFFFF"/>
        <w:spacing w:after="100" w:afterAutospacing="1" w:line="240" w:lineRule="auto"/>
        <w:rPr>
          <w:rFonts w:cs="Times New Roman"/>
          <w:bCs/>
          <w:color w:val="252525"/>
          <w:sz w:val="21"/>
          <w:szCs w:val="21"/>
          <w:shd w:val="clear" w:color="auto" w:fill="FFFFFF"/>
        </w:rPr>
      </w:pPr>
      <w:r w:rsidRPr="00F012F8">
        <w:rPr>
          <w:rFonts w:cs="Times New Roman"/>
          <w:bCs/>
          <w:color w:val="252525"/>
          <w:sz w:val="21"/>
          <w:szCs w:val="21"/>
          <w:shd w:val="clear" w:color="auto" w:fill="FFFFFF"/>
        </w:rPr>
        <w:t>Pseudoérythrocytose ou érythrocytose relative si ↓ volume plasmatique</w:t>
      </w:r>
    </w:p>
    <w:p w:rsidR="00D217A9" w:rsidRPr="00F012F8" w:rsidRDefault="00D217A9" w:rsidP="001A1752">
      <w:pPr>
        <w:pStyle w:val="Paragraphedeliste"/>
        <w:numPr>
          <w:ilvl w:val="0"/>
          <w:numId w:val="28"/>
        </w:numPr>
        <w:shd w:val="clear" w:color="auto" w:fill="FFFFFF"/>
        <w:spacing w:before="100" w:beforeAutospacing="1" w:after="100" w:afterAutospacing="1" w:line="240" w:lineRule="auto"/>
        <w:rPr>
          <w:rFonts w:cs="Times New Roman"/>
          <w:bCs/>
          <w:color w:val="252525"/>
          <w:sz w:val="21"/>
          <w:szCs w:val="21"/>
          <w:shd w:val="clear" w:color="auto" w:fill="FFFFFF"/>
        </w:rPr>
      </w:pPr>
      <w:r w:rsidRPr="00F012F8">
        <w:rPr>
          <w:rFonts w:cs="Times New Roman"/>
          <w:bCs/>
          <w:color w:val="252525"/>
          <w:sz w:val="21"/>
          <w:szCs w:val="21"/>
          <w:shd w:val="clear" w:color="auto" w:fill="FFFFFF"/>
        </w:rPr>
        <w:t>Peut-être primaire (polycythémie vera ou polyglobulie de Vaquez) ou secondaire (hypersécrétion d’EPO)</w:t>
      </w:r>
    </w:p>
    <w:p w:rsidR="00D217A9" w:rsidRPr="00F012F8" w:rsidRDefault="00D217A9" w:rsidP="001A1752">
      <w:pPr>
        <w:pStyle w:val="Paragraphedeliste"/>
        <w:numPr>
          <w:ilvl w:val="0"/>
          <w:numId w:val="28"/>
        </w:numPr>
        <w:shd w:val="clear" w:color="auto" w:fill="FFFFFF"/>
        <w:spacing w:before="100" w:beforeAutospacing="1" w:after="100" w:afterAutospacing="1" w:line="240" w:lineRule="auto"/>
        <w:rPr>
          <w:rFonts w:cs="Times New Roman"/>
          <w:bCs/>
          <w:color w:val="252525"/>
          <w:sz w:val="21"/>
          <w:szCs w:val="21"/>
          <w:shd w:val="clear" w:color="auto" w:fill="FFFFFF"/>
        </w:rPr>
      </w:pPr>
      <w:r w:rsidRPr="00F012F8">
        <w:rPr>
          <w:rFonts w:cs="Times New Roman"/>
          <w:bCs/>
          <w:color w:val="252525"/>
          <w:sz w:val="21"/>
          <w:szCs w:val="21"/>
          <w:shd w:val="clear" w:color="auto" w:fill="FFFFFF"/>
        </w:rPr>
        <w:t>Une hypersécrétion d’EPO peut être appropriée (réponse physiologique) ou inappropriée (pathologique)</w:t>
      </w:r>
    </w:p>
    <w:p w:rsidR="003C6E1A" w:rsidRPr="00D155A9" w:rsidRDefault="00D217A9" w:rsidP="00D217A9">
      <w:pPr>
        <w:shd w:val="clear" w:color="auto" w:fill="FFFFFF"/>
        <w:spacing w:before="100" w:beforeAutospacing="1" w:after="100" w:afterAutospacing="1" w:line="240" w:lineRule="auto"/>
        <w:rPr>
          <w:rFonts w:cs="Times New Roman"/>
          <w:b/>
          <w:color w:val="000000"/>
          <w:sz w:val="28"/>
          <w:szCs w:val="28"/>
          <w:shd w:val="clear" w:color="auto" w:fill="FFFFFF"/>
        </w:rPr>
      </w:pPr>
      <w:r w:rsidRPr="00D155A9">
        <w:rPr>
          <w:rFonts w:cs="Times New Roman"/>
          <w:b/>
          <w:color w:val="000000"/>
          <w:sz w:val="28"/>
          <w:szCs w:val="28"/>
          <w:shd w:val="clear" w:color="auto" w:fill="FFFFFF"/>
        </w:rPr>
        <w:t>Diagnostic</w:t>
      </w:r>
    </w:p>
    <w:tbl>
      <w:tblPr>
        <w:tblStyle w:val="Grilledutableau"/>
        <w:tblW w:w="0" w:type="auto"/>
        <w:tblLook w:val="04A0" w:firstRow="1" w:lastRow="0" w:firstColumn="1" w:lastColumn="0" w:noHBand="0" w:noVBand="1"/>
      </w:tblPr>
      <w:tblGrid>
        <w:gridCol w:w="2660"/>
        <w:gridCol w:w="228"/>
        <w:gridCol w:w="2319"/>
        <w:gridCol w:w="2890"/>
        <w:gridCol w:w="2919"/>
      </w:tblGrid>
      <w:tr w:rsidR="003C6E1A" w:rsidRPr="00F012F8" w:rsidTr="002D18E8">
        <w:tc>
          <w:tcPr>
            <w:tcW w:w="11016" w:type="dxa"/>
            <w:gridSpan w:val="5"/>
            <w:shd w:val="clear" w:color="auto" w:fill="FF0000"/>
          </w:tcPr>
          <w:p w:rsidR="003C6E1A" w:rsidRPr="00F012F8" w:rsidRDefault="003C6E1A" w:rsidP="00F43C25">
            <w:pPr>
              <w:spacing w:after="100" w:afterAutospacing="1"/>
              <w:jc w:val="center"/>
              <w:rPr>
                <w:rFonts w:cs="Times New Roman"/>
                <w:b/>
                <w:color w:val="000000"/>
                <w:shd w:val="clear" w:color="auto" w:fill="FFFFFF"/>
              </w:rPr>
            </w:pPr>
            <w:r w:rsidRPr="002D18E8">
              <w:rPr>
                <w:rFonts w:cs="Times New Roman"/>
                <w:b/>
                <w:color w:val="000000"/>
                <w:highlight w:val="red"/>
                <w:shd w:val="clear" w:color="auto" w:fill="FFFFFF"/>
              </w:rPr>
              <w:t>Pseudoérythrocytose</w:t>
            </w:r>
          </w:p>
        </w:tc>
      </w:tr>
      <w:tr w:rsidR="003736C8" w:rsidRPr="00F012F8" w:rsidTr="00FC272A">
        <w:tc>
          <w:tcPr>
            <w:tcW w:w="2660" w:type="dxa"/>
          </w:tcPr>
          <w:p w:rsidR="00F43C25" w:rsidRPr="00F012F8" w:rsidRDefault="00F43C25" w:rsidP="00685533">
            <w:pPr>
              <w:spacing w:after="100" w:afterAutospacing="1"/>
              <w:jc w:val="center"/>
              <w:rPr>
                <w:rFonts w:cs="Times New Roman"/>
                <w:i/>
                <w:color w:val="000000"/>
                <w:shd w:val="clear" w:color="auto" w:fill="FFFFFF"/>
              </w:rPr>
            </w:pPr>
            <w:r w:rsidRPr="00F012F8">
              <w:rPr>
                <w:rFonts w:cs="Times New Roman"/>
                <w:i/>
                <w:color w:val="000000"/>
                <w:shd w:val="clear" w:color="auto" w:fill="FFFFFF"/>
              </w:rPr>
              <w:t>Étiologie – Facteurs de risque</w:t>
            </w:r>
          </w:p>
        </w:tc>
        <w:tc>
          <w:tcPr>
            <w:tcW w:w="2547" w:type="dxa"/>
            <w:gridSpan w:val="2"/>
          </w:tcPr>
          <w:p w:rsidR="00F43C25" w:rsidRPr="00F012F8" w:rsidRDefault="00F43C25" w:rsidP="00685533">
            <w:pPr>
              <w:spacing w:after="100" w:afterAutospacing="1"/>
              <w:jc w:val="center"/>
              <w:rPr>
                <w:rFonts w:cs="Times New Roman"/>
                <w:i/>
                <w:color w:val="000000"/>
                <w:shd w:val="clear" w:color="auto" w:fill="FFFFFF"/>
              </w:rPr>
            </w:pPr>
            <w:r w:rsidRPr="00F012F8">
              <w:rPr>
                <w:rFonts w:cs="Times New Roman"/>
                <w:i/>
                <w:color w:val="000000"/>
                <w:shd w:val="clear" w:color="auto" w:fill="FFFFFF"/>
              </w:rPr>
              <w:t>Symptômes</w:t>
            </w:r>
          </w:p>
        </w:tc>
        <w:tc>
          <w:tcPr>
            <w:tcW w:w="2890" w:type="dxa"/>
          </w:tcPr>
          <w:p w:rsidR="00F43C25" w:rsidRPr="00F012F8" w:rsidRDefault="00F43C25" w:rsidP="00685533">
            <w:pPr>
              <w:spacing w:after="100" w:afterAutospacing="1"/>
              <w:jc w:val="center"/>
              <w:rPr>
                <w:rFonts w:cs="Times New Roman"/>
                <w:i/>
                <w:color w:val="000000"/>
                <w:shd w:val="clear" w:color="auto" w:fill="FFFFFF"/>
              </w:rPr>
            </w:pPr>
            <w:r w:rsidRPr="00F012F8">
              <w:rPr>
                <w:rFonts w:cs="Times New Roman"/>
                <w:i/>
                <w:color w:val="000000"/>
                <w:shd w:val="clear" w:color="auto" w:fill="FFFFFF"/>
              </w:rPr>
              <w:t>Signes physiques</w:t>
            </w:r>
          </w:p>
        </w:tc>
        <w:tc>
          <w:tcPr>
            <w:tcW w:w="2919" w:type="dxa"/>
          </w:tcPr>
          <w:p w:rsidR="00F43C25" w:rsidRPr="00F012F8" w:rsidRDefault="00F43C25" w:rsidP="00685533">
            <w:pPr>
              <w:spacing w:after="100" w:afterAutospacing="1"/>
              <w:jc w:val="center"/>
              <w:rPr>
                <w:rFonts w:cs="Times New Roman"/>
                <w:i/>
                <w:color w:val="000000"/>
                <w:shd w:val="clear" w:color="auto" w:fill="FFFFFF"/>
              </w:rPr>
            </w:pPr>
            <w:r w:rsidRPr="00F012F8">
              <w:rPr>
                <w:rFonts w:cs="Times New Roman"/>
                <w:i/>
                <w:color w:val="000000"/>
                <w:shd w:val="clear" w:color="auto" w:fill="FFFFFF"/>
              </w:rPr>
              <w:t>Valeurs de labos</w:t>
            </w:r>
          </w:p>
        </w:tc>
      </w:tr>
      <w:tr w:rsidR="003736C8" w:rsidRPr="00F012F8" w:rsidTr="00FC272A">
        <w:tc>
          <w:tcPr>
            <w:tcW w:w="2660" w:type="dxa"/>
          </w:tcPr>
          <w:p w:rsidR="007635A2" w:rsidRPr="00F012F8" w:rsidRDefault="007635A2" w:rsidP="00C91B5B">
            <w:pPr>
              <w:rPr>
                <w:rFonts w:cs="Times New Roman"/>
                <w:color w:val="000000"/>
                <w:u w:val="single"/>
                <w:shd w:val="clear" w:color="auto" w:fill="FFFFFF"/>
              </w:rPr>
            </w:pPr>
          </w:p>
          <w:p w:rsidR="00525341" w:rsidRPr="00F012F8" w:rsidRDefault="00525341" w:rsidP="00C91B5B">
            <w:pPr>
              <w:rPr>
                <w:rFonts w:cs="Times New Roman"/>
                <w:color w:val="000000"/>
                <w:u w:val="single"/>
                <w:shd w:val="clear" w:color="auto" w:fill="FFFFFF"/>
              </w:rPr>
            </w:pPr>
            <w:r w:rsidRPr="00F012F8">
              <w:rPr>
                <w:rFonts w:cs="Times New Roman"/>
                <w:color w:val="000000"/>
                <w:u w:val="single"/>
                <w:shd w:val="clear" w:color="auto" w:fill="FFFFFF"/>
              </w:rPr>
              <w:t>Diminution du volume plasmatique circulant</w:t>
            </w:r>
          </w:p>
          <w:p w:rsidR="00525341" w:rsidRPr="00F012F8" w:rsidRDefault="00525341" w:rsidP="001A1752">
            <w:pPr>
              <w:pStyle w:val="Paragraphedeliste"/>
              <w:numPr>
                <w:ilvl w:val="0"/>
                <w:numId w:val="29"/>
              </w:numPr>
              <w:rPr>
                <w:rFonts w:cs="Times New Roman"/>
                <w:color w:val="000000"/>
                <w:shd w:val="clear" w:color="auto" w:fill="FFFFFF"/>
              </w:rPr>
            </w:pPr>
            <w:r w:rsidRPr="00F012F8">
              <w:rPr>
                <w:rFonts w:cs="Times New Roman"/>
                <w:color w:val="000000"/>
                <w:shd w:val="clear" w:color="auto" w:fill="FFFFFF"/>
              </w:rPr>
              <w:t>Diurèse</w:t>
            </w:r>
          </w:p>
          <w:p w:rsidR="00525341" w:rsidRPr="00F012F8" w:rsidRDefault="00525341" w:rsidP="001A1752">
            <w:pPr>
              <w:pStyle w:val="Paragraphedeliste"/>
              <w:numPr>
                <w:ilvl w:val="0"/>
                <w:numId w:val="29"/>
              </w:numPr>
              <w:rPr>
                <w:rFonts w:cs="Times New Roman"/>
                <w:color w:val="000000"/>
                <w:shd w:val="clear" w:color="auto" w:fill="FFFFFF"/>
              </w:rPr>
            </w:pPr>
            <w:r w:rsidRPr="00F012F8">
              <w:rPr>
                <w:rFonts w:cs="Times New Roman"/>
                <w:color w:val="000000"/>
                <w:shd w:val="clear" w:color="auto" w:fill="FFFFFF"/>
              </w:rPr>
              <w:t>Déshydratation sévère</w:t>
            </w:r>
          </w:p>
          <w:p w:rsidR="00525341" w:rsidRPr="00F012F8" w:rsidRDefault="00525341" w:rsidP="001A1752">
            <w:pPr>
              <w:pStyle w:val="Paragraphedeliste"/>
              <w:numPr>
                <w:ilvl w:val="0"/>
                <w:numId w:val="29"/>
              </w:numPr>
              <w:rPr>
                <w:rFonts w:cs="Times New Roman"/>
                <w:color w:val="000000"/>
                <w:shd w:val="clear" w:color="auto" w:fill="FFFFFF"/>
              </w:rPr>
            </w:pPr>
            <w:r w:rsidRPr="00F012F8">
              <w:rPr>
                <w:rFonts w:cs="Times New Roman"/>
                <w:color w:val="000000"/>
                <w:shd w:val="clear" w:color="auto" w:fill="FFFFFF"/>
              </w:rPr>
              <w:t>Brûlures</w:t>
            </w:r>
          </w:p>
          <w:p w:rsidR="00525341" w:rsidRPr="00F012F8" w:rsidRDefault="00525341" w:rsidP="003C6E1A">
            <w:pPr>
              <w:spacing w:after="100" w:afterAutospacing="1"/>
              <w:rPr>
                <w:rFonts w:cs="Times New Roman"/>
                <w:color w:val="000000"/>
                <w:shd w:val="clear" w:color="auto" w:fill="FFFFFF"/>
              </w:rPr>
            </w:pPr>
          </w:p>
        </w:tc>
        <w:tc>
          <w:tcPr>
            <w:tcW w:w="2547" w:type="dxa"/>
            <w:gridSpan w:val="2"/>
          </w:tcPr>
          <w:p w:rsidR="00525341" w:rsidRPr="00F012F8" w:rsidRDefault="00E070A5" w:rsidP="00E070A5">
            <w:pPr>
              <w:rPr>
                <w:rFonts w:cs="Times New Roman"/>
                <w:color w:val="000000"/>
                <w:shd w:val="clear" w:color="auto" w:fill="FFFFFF"/>
              </w:rPr>
            </w:pPr>
            <w:r w:rsidRPr="00F012F8">
              <w:rPr>
                <w:rFonts w:cs="Times New Roman"/>
                <w:color w:val="000000"/>
                <w:shd w:val="clear" w:color="auto" w:fill="FFFFFF"/>
              </w:rPr>
              <w:t>Selon la cause :</w:t>
            </w:r>
          </w:p>
          <w:p w:rsidR="00E070A5" w:rsidRPr="00F012F8" w:rsidRDefault="00E070A5" w:rsidP="001A1752">
            <w:pPr>
              <w:pStyle w:val="Paragraphedeliste"/>
              <w:numPr>
                <w:ilvl w:val="0"/>
                <w:numId w:val="32"/>
              </w:numPr>
              <w:spacing w:after="100" w:afterAutospacing="1"/>
              <w:rPr>
                <w:rFonts w:cs="Times New Roman"/>
                <w:color w:val="000000"/>
                <w:shd w:val="clear" w:color="auto" w:fill="FFFFFF"/>
              </w:rPr>
            </w:pPr>
            <w:r w:rsidRPr="00F012F8">
              <w:rPr>
                <w:rFonts w:cs="Times New Roman"/>
                <w:color w:val="000000"/>
                <w:shd w:val="clear" w:color="auto" w:fill="FFFFFF"/>
              </w:rPr>
              <w:t>Symptômes angineux ou IC</w:t>
            </w:r>
          </w:p>
          <w:p w:rsidR="00E070A5" w:rsidRPr="00F012F8" w:rsidRDefault="00E070A5" w:rsidP="001A1752">
            <w:pPr>
              <w:pStyle w:val="Paragraphedeliste"/>
              <w:numPr>
                <w:ilvl w:val="0"/>
                <w:numId w:val="32"/>
              </w:numPr>
              <w:spacing w:after="100" w:afterAutospacing="1"/>
              <w:rPr>
                <w:rFonts w:cs="Times New Roman"/>
                <w:color w:val="000000"/>
                <w:shd w:val="clear" w:color="auto" w:fill="FFFFFF"/>
              </w:rPr>
            </w:pPr>
            <w:r w:rsidRPr="00F012F8">
              <w:rPr>
                <w:rFonts w:cs="Times New Roman"/>
                <w:color w:val="000000"/>
                <w:shd w:val="clear" w:color="auto" w:fill="FFFFFF"/>
              </w:rPr>
              <w:t>Si hyperviscosité : voir Sx de Polyglobulie</w:t>
            </w:r>
          </w:p>
        </w:tc>
        <w:tc>
          <w:tcPr>
            <w:tcW w:w="2890" w:type="dxa"/>
          </w:tcPr>
          <w:p w:rsidR="00E070A5" w:rsidRPr="00F012F8" w:rsidRDefault="00E070A5" w:rsidP="001A1752">
            <w:pPr>
              <w:pStyle w:val="Paragraphedeliste"/>
              <w:numPr>
                <w:ilvl w:val="0"/>
                <w:numId w:val="31"/>
              </w:numPr>
              <w:spacing w:after="100" w:afterAutospacing="1"/>
              <w:rPr>
                <w:rFonts w:cs="Times New Roman"/>
                <w:color w:val="000000"/>
                <w:shd w:val="clear" w:color="auto" w:fill="FFFFFF"/>
              </w:rPr>
            </w:pPr>
            <w:r w:rsidRPr="00F012F8">
              <w:rPr>
                <w:rFonts w:cs="Times New Roman"/>
                <w:color w:val="000000"/>
                <w:shd w:val="clear" w:color="auto" w:fill="FFFFFF"/>
              </w:rPr>
              <w:t>Déshydratation</w:t>
            </w:r>
          </w:p>
          <w:p w:rsidR="00E070A5" w:rsidRPr="00F012F8" w:rsidRDefault="00E070A5" w:rsidP="001A1752">
            <w:pPr>
              <w:pStyle w:val="Paragraphedeliste"/>
              <w:numPr>
                <w:ilvl w:val="0"/>
                <w:numId w:val="31"/>
              </w:numPr>
              <w:spacing w:after="100" w:afterAutospacing="1"/>
              <w:rPr>
                <w:rFonts w:cs="Times New Roman"/>
                <w:color w:val="000000"/>
                <w:shd w:val="clear" w:color="auto" w:fill="FFFFFF"/>
              </w:rPr>
            </w:pPr>
            <w:r w:rsidRPr="00F012F8">
              <w:rPr>
                <w:rFonts w:cs="Times New Roman"/>
                <w:color w:val="000000"/>
                <w:shd w:val="clear" w:color="auto" w:fill="FFFFFF"/>
              </w:rPr>
              <w:t>Retour capillaire allongé</w:t>
            </w:r>
          </w:p>
          <w:p w:rsidR="00E070A5" w:rsidRPr="00F012F8" w:rsidRDefault="00E070A5" w:rsidP="001A1752">
            <w:pPr>
              <w:pStyle w:val="Paragraphedeliste"/>
              <w:numPr>
                <w:ilvl w:val="0"/>
                <w:numId w:val="31"/>
              </w:numPr>
              <w:spacing w:after="100" w:afterAutospacing="1"/>
              <w:rPr>
                <w:rFonts w:cs="Times New Roman"/>
                <w:color w:val="000000"/>
                <w:shd w:val="clear" w:color="auto" w:fill="FFFFFF"/>
              </w:rPr>
            </w:pPr>
            <w:r w:rsidRPr="00F012F8">
              <w:rPr>
                <w:rFonts w:cs="Times New Roman"/>
                <w:color w:val="000000"/>
                <w:shd w:val="clear" w:color="auto" w:fill="FFFFFF"/>
              </w:rPr>
              <w:t>Brûlures (si cause)</w:t>
            </w:r>
          </w:p>
          <w:p w:rsidR="00E070A5" w:rsidRPr="00F012F8" w:rsidRDefault="00E070A5" w:rsidP="003C6E1A">
            <w:pPr>
              <w:spacing w:after="100" w:afterAutospacing="1"/>
              <w:rPr>
                <w:rFonts w:cs="Times New Roman"/>
                <w:color w:val="000000"/>
                <w:shd w:val="clear" w:color="auto" w:fill="FFFFFF"/>
              </w:rPr>
            </w:pPr>
          </w:p>
        </w:tc>
        <w:tc>
          <w:tcPr>
            <w:tcW w:w="2919" w:type="dxa"/>
          </w:tcPr>
          <w:p w:rsidR="00525341" w:rsidRPr="00F012F8" w:rsidRDefault="00E070A5" w:rsidP="00E070A5">
            <w:pPr>
              <w:rPr>
                <w:rFonts w:cs="Times New Roman"/>
                <w:color w:val="000000"/>
                <w:shd w:val="clear" w:color="auto" w:fill="FFFFFF"/>
              </w:rPr>
            </w:pPr>
            <w:r w:rsidRPr="00F012F8">
              <w:rPr>
                <w:rFonts w:cs="Times New Roman"/>
                <w:color w:val="000000"/>
                <w:shd w:val="clear" w:color="auto" w:fill="FFFFFF"/>
              </w:rPr>
              <w:t>Variables</w:t>
            </w:r>
          </w:p>
          <w:p w:rsidR="00E070A5" w:rsidRPr="00F012F8" w:rsidRDefault="00E070A5" w:rsidP="001A1752">
            <w:pPr>
              <w:pStyle w:val="Paragraphedeliste"/>
              <w:numPr>
                <w:ilvl w:val="0"/>
                <w:numId w:val="30"/>
              </w:numPr>
              <w:spacing w:after="100" w:afterAutospacing="1"/>
              <w:rPr>
                <w:rFonts w:cs="Times New Roman"/>
                <w:color w:val="000000"/>
                <w:shd w:val="clear" w:color="auto" w:fill="FFFFFF"/>
              </w:rPr>
            </w:pPr>
            <w:r w:rsidRPr="00F012F8">
              <w:rPr>
                <w:rFonts w:cs="Times New Roman"/>
                <w:color w:val="000000"/>
                <w:shd w:val="clear" w:color="auto" w:fill="FFFFFF"/>
              </w:rPr>
              <w:t>Hémoconcentration de toutes les lignées sanguines</w:t>
            </w:r>
          </w:p>
          <w:p w:rsidR="00E070A5" w:rsidRPr="00F012F8" w:rsidRDefault="00E070A5" w:rsidP="001A1752">
            <w:pPr>
              <w:pStyle w:val="Paragraphedeliste"/>
              <w:numPr>
                <w:ilvl w:val="0"/>
                <w:numId w:val="30"/>
              </w:numPr>
              <w:spacing w:after="100" w:afterAutospacing="1"/>
              <w:rPr>
                <w:rFonts w:cs="Times New Roman"/>
                <w:color w:val="000000"/>
                <w:shd w:val="clear" w:color="auto" w:fill="FFFFFF"/>
              </w:rPr>
            </w:pPr>
            <w:r w:rsidRPr="00F012F8">
              <w:rPr>
                <w:rFonts w:cs="Times New Roman"/>
                <w:color w:val="000000"/>
                <w:shd w:val="clear" w:color="auto" w:fill="FFFFFF"/>
              </w:rPr>
              <w:t>Changements ioniques</w:t>
            </w:r>
          </w:p>
          <w:p w:rsidR="00E070A5" w:rsidRPr="00F012F8" w:rsidRDefault="00E070A5" w:rsidP="001A1752">
            <w:pPr>
              <w:pStyle w:val="Paragraphedeliste"/>
              <w:numPr>
                <w:ilvl w:val="0"/>
                <w:numId w:val="30"/>
              </w:numPr>
              <w:spacing w:after="100" w:afterAutospacing="1"/>
              <w:rPr>
                <w:rFonts w:cs="Times New Roman"/>
                <w:color w:val="000000"/>
                <w:shd w:val="clear" w:color="auto" w:fill="FFFFFF"/>
              </w:rPr>
            </w:pPr>
            <w:r w:rsidRPr="00F012F8">
              <w:rPr>
                <w:rFonts w:cs="Times New Roman"/>
                <w:color w:val="000000"/>
                <w:shd w:val="clear" w:color="auto" w:fill="FFFFFF"/>
              </w:rPr>
              <w:t>Possible ↑ créatinine</w:t>
            </w:r>
          </w:p>
        </w:tc>
      </w:tr>
      <w:tr w:rsidR="00F43C25" w:rsidRPr="00F012F8" w:rsidTr="002D18E8">
        <w:tc>
          <w:tcPr>
            <w:tcW w:w="11016" w:type="dxa"/>
            <w:gridSpan w:val="5"/>
            <w:shd w:val="clear" w:color="auto" w:fill="FF0000"/>
          </w:tcPr>
          <w:p w:rsidR="00F43C25" w:rsidRPr="00F012F8" w:rsidRDefault="00F43C25" w:rsidP="00F43C25">
            <w:pPr>
              <w:spacing w:after="100" w:afterAutospacing="1"/>
              <w:jc w:val="center"/>
              <w:rPr>
                <w:rFonts w:cs="Times New Roman"/>
                <w:b/>
                <w:color w:val="000000"/>
                <w:shd w:val="clear" w:color="auto" w:fill="FFFFFF"/>
              </w:rPr>
            </w:pPr>
            <w:r w:rsidRPr="002D18E8">
              <w:rPr>
                <w:rFonts w:cs="Times New Roman"/>
                <w:b/>
                <w:color w:val="000000"/>
                <w:highlight w:val="red"/>
                <w:shd w:val="clear" w:color="auto" w:fill="FFFFFF"/>
              </w:rPr>
              <w:t>Érythrocytose primaire</w:t>
            </w:r>
          </w:p>
        </w:tc>
      </w:tr>
      <w:tr w:rsidR="003736C8" w:rsidRPr="00F012F8" w:rsidTr="00FC272A">
        <w:tc>
          <w:tcPr>
            <w:tcW w:w="2660" w:type="dxa"/>
          </w:tcPr>
          <w:p w:rsidR="00F43C25" w:rsidRPr="00F012F8" w:rsidRDefault="00F43C25" w:rsidP="00685533">
            <w:pPr>
              <w:spacing w:after="100" w:afterAutospacing="1"/>
              <w:jc w:val="center"/>
              <w:rPr>
                <w:rFonts w:cs="Times New Roman"/>
                <w:i/>
                <w:color w:val="000000"/>
                <w:shd w:val="clear" w:color="auto" w:fill="FFFFFF"/>
              </w:rPr>
            </w:pPr>
            <w:r w:rsidRPr="00F012F8">
              <w:rPr>
                <w:rFonts w:cs="Times New Roman"/>
                <w:i/>
                <w:color w:val="000000"/>
                <w:shd w:val="clear" w:color="auto" w:fill="FFFFFF"/>
              </w:rPr>
              <w:t>Étiologie – Facteurs de risque</w:t>
            </w:r>
          </w:p>
        </w:tc>
        <w:tc>
          <w:tcPr>
            <w:tcW w:w="2547" w:type="dxa"/>
            <w:gridSpan w:val="2"/>
          </w:tcPr>
          <w:p w:rsidR="00F43C25" w:rsidRPr="00F012F8" w:rsidRDefault="00F43C25" w:rsidP="00685533">
            <w:pPr>
              <w:spacing w:after="100" w:afterAutospacing="1"/>
              <w:jc w:val="center"/>
              <w:rPr>
                <w:rFonts w:cs="Times New Roman"/>
                <w:i/>
                <w:color w:val="000000"/>
                <w:shd w:val="clear" w:color="auto" w:fill="FFFFFF"/>
              </w:rPr>
            </w:pPr>
            <w:r w:rsidRPr="00F012F8">
              <w:rPr>
                <w:rFonts w:cs="Times New Roman"/>
                <w:i/>
                <w:color w:val="000000"/>
                <w:shd w:val="clear" w:color="auto" w:fill="FFFFFF"/>
              </w:rPr>
              <w:t>Symptômes</w:t>
            </w:r>
          </w:p>
        </w:tc>
        <w:tc>
          <w:tcPr>
            <w:tcW w:w="2890" w:type="dxa"/>
          </w:tcPr>
          <w:p w:rsidR="00F43C25" w:rsidRPr="00F012F8" w:rsidRDefault="00F43C25" w:rsidP="00685533">
            <w:pPr>
              <w:spacing w:after="100" w:afterAutospacing="1"/>
              <w:jc w:val="center"/>
              <w:rPr>
                <w:rFonts w:cs="Times New Roman"/>
                <w:i/>
                <w:color w:val="000000"/>
                <w:shd w:val="clear" w:color="auto" w:fill="FFFFFF"/>
              </w:rPr>
            </w:pPr>
            <w:r w:rsidRPr="00F012F8">
              <w:rPr>
                <w:rFonts w:cs="Times New Roman"/>
                <w:i/>
                <w:color w:val="000000"/>
                <w:shd w:val="clear" w:color="auto" w:fill="FFFFFF"/>
              </w:rPr>
              <w:t>Signes physiques</w:t>
            </w:r>
          </w:p>
        </w:tc>
        <w:tc>
          <w:tcPr>
            <w:tcW w:w="2919" w:type="dxa"/>
          </w:tcPr>
          <w:p w:rsidR="00F43C25" w:rsidRPr="00F012F8" w:rsidRDefault="00F43C25" w:rsidP="00685533">
            <w:pPr>
              <w:spacing w:after="100" w:afterAutospacing="1"/>
              <w:jc w:val="center"/>
              <w:rPr>
                <w:rFonts w:cs="Times New Roman"/>
                <w:i/>
                <w:color w:val="000000"/>
                <w:shd w:val="clear" w:color="auto" w:fill="FFFFFF"/>
              </w:rPr>
            </w:pPr>
            <w:r w:rsidRPr="00F012F8">
              <w:rPr>
                <w:rFonts w:cs="Times New Roman"/>
                <w:i/>
                <w:color w:val="000000"/>
                <w:shd w:val="clear" w:color="auto" w:fill="FFFFFF"/>
              </w:rPr>
              <w:t>Valeurs de labos</w:t>
            </w:r>
          </w:p>
        </w:tc>
      </w:tr>
      <w:tr w:rsidR="003736C8" w:rsidRPr="00F012F8" w:rsidTr="00FC272A">
        <w:trPr>
          <w:trHeight w:val="487"/>
        </w:trPr>
        <w:tc>
          <w:tcPr>
            <w:tcW w:w="2660" w:type="dxa"/>
          </w:tcPr>
          <w:p w:rsidR="007635A2" w:rsidRPr="00F012F8" w:rsidRDefault="007635A2" w:rsidP="003C6E1A">
            <w:pPr>
              <w:spacing w:after="100" w:afterAutospacing="1"/>
              <w:rPr>
                <w:rFonts w:cs="Times New Roman"/>
                <w:color w:val="000000"/>
                <w:u w:val="single"/>
                <w:shd w:val="clear" w:color="auto" w:fill="FFFFFF"/>
              </w:rPr>
            </w:pPr>
          </w:p>
          <w:p w:rsidR="007635A2" w:rsidRPr="00F012F8" w:rsidRDefault="007635A2" w:rsidP="003C6E1A">
            <w:pPr>
              <w:spacing w:after="100" w:afterAutospacing="1"/>
              <w:rPr>
                <w:rFonts w:cs="Times New Roman"/>
                <w:color w:val="000000"/>
                <w:u w:val="single"/>
                <w:shd w:val="clear" w:color="auto" w:fill="FFFFFF"/>
              </w:rPr>
            </w:pPr>
          </w:p>
          <w:p w:rsidR="00525341" w:rsidRPr="00F012F8" w:rsidRDefault="007635A2" w:rsidP="003C6E1A">
            <w:pPr>
              <w:spacing w:after="100" w:afterAutospacing="1"/>
              <w:rPr>
                <w:rFonts w:cs="Times New Roman"/>
                <w:color w:val="000000"/>
                <w:u w:val="single"/>
                <w:shd w:val="clear" w:color="auto" w:fill="FFFFFF"/>
              </w:rPr>
            </w:pPr>
            <w:r w:rsidRPr="00F012F8">
              <w:rPr>
                <w:rFonts w:cs="Times New Roman"/>
                <w:color w:val="000000"/>
                <w:highlight w:val="yellow"/>
                <w:u w:val="single"/>
                <w:shd w:val="clear" w:color="auto" w:fill="FFFFFF"/>
              </w:rPr>
              <w:t>Polyglobulie de Vaquez</w:t>
            </w:r>
            <w:r w:rsidR="00D6359B" w:rsidRPr="00F012F8">
              <w:rPr>
                <w:rFonts w:cs="Times New Roman"/>
                <w:color w:val="000000"/>
                <w:u w:val="single"/>
                <w:shd w:val="clear" w:color="auto" w:fill="FFFFFF"/>
              </w:rPr>
              <w:t>*</w:t>
            </w:r>
          </w:p>
        </w:tc>
        <w:tc>
          <w:tcPr>
            <w:tcW w:w="2547" w:type="dxa"/>
            <w:gridSpan w:val="2"/>
          </w:tcPr>
          <w:p w:rsidR="00525341" w:rsidRPr="00F012F8" w:rsidRDefault="007635A2" w:rsidP="007635A2">
            <w:pPr>
              <w:rPr>
                <w:rFonts w:cs="Times New Roman"/>
                <w:color w:val="000000"/>
                <w:shd w:val="clear" w:color="auto" w:fill="FFFFFF"/>
              </w:rPr>
            </w:pPr>
            <w:r w:rsidRPr="00F012F8">
              <w:rPr>
                <w:rFonts w:cs="Times New Roman"/>
                <w:color w:val="000000"/>
                <w:highlight w:val="yellow"/>
                <w:shd w:val="clear" w:color="auto" w:fill="FFFFFF"/>
              </w:rPr>
              <w:t>Sx d’hyperviscosité</w:t>
            </w:r>
            <w:r w:rsidRPr="00F012F8">
              <w:rPr>
                <w:rFonts w:cs="Times New Roman"/>
                <w:color w:val="000000"/>
                <w:shd w:val="clear" w:color="auto" w:fill="FFFFFF"/>
              </w:rPr>
              <w:t> :</w:t>
            </w:r>
          </w:p>
          <w:p w:rsidR="007635A2" w:rsidRPr="00F012F8" w:rsidRDefault="007635A2" w:rsidP="001A1752">
            <w:pPr>
              <w:pStyle w:val="Paragraphedeliste"/>
              <w:numPr>
                <w:ilvl w:val="0"/>
                <w:numId w:val="33"/>
              </w:numPr>
              <w:rPr>
                <w:rFonts w:cs="Times New Roman"/>
                <w:color w:val="000000"/>
                <w:shd w:val="clear" w:color="auto" w:fill="FFFFFF"/>
              </w:rPr>
            </w:pPr>
            <w:r w:rsidRPr="00F012F8">
              <w:rPr>
                <w:rFonts w:cs="Times New Roman"/>
                <w:color w:val="000000"/>
                <w:shd w:val="clear" w:color="auto" w:fill="FFFFFF"/>
              </w:rPr>
              <w:t>Céphalée</w:t>
            </w:r>
          </w:p>
          <w:p w:rsidR="007635A2" w:rsidRPr="00F012F8" w:rsidRDefault="007635A2" w:rsidP="001A1752">
            <w:pPr>
              <w:pStyle w:val="Paragraphedeliste"/>
              <w:numPr>
                <w:ilvl w:val="0"/>
                <w:numId w:val="33"/>
              </w:numPr>
              <w:rPr>
                <w:rFonts w:cs="Times New Roman"/>
                <w:color w:val="000000"/>
                <w:shd w:val="clear" w:color="auto" w:fill="FFFFFF"/>
              </w:rPr>
            </w:pPr>
            <w:r w:rsidRPr="00F012F8">
              <w:rPr>
                <w:rFonts w:cs="Times New Roman"/>
                <w:color w:val="000000"/>
                <w:shd w:val="clear" w:color="auto" w:fill="FFFFFF"/>
              </w:rPr>
              <w:t>Étourdissement</w:t>
            </w:r>
          </w:p>
          <w:p w:rsidR="007635A2" w:rsidRPr="00F012F8" w:rsidRDefault="007635A2" w:rsidP="001A1752">
            <w:pPr>
              <w:pStyle w:val="Paragraphedeliste"/>
              <w:numPr>
                <w:ilvl w:val="0"/>
                <w:numId w:val="33"/>
              </w:numPr>
              <w:rPr>
                <w:rFonts w:cs="Times New Roman"/>
                <w:color w:val="000000"/>
                <w:shd w:val="clear" w:color="auto" w:fill="FFFFFF"/>
              </w:rPr>
            </w:pPr>
            <w:r w:rsidRPr="00F012F8">
              <w:rPr>
                <w:rFonts w:cs="Times New Roman"/>
                <w:color w:val="000000"/>
                <w:shd w:val="clear" w:color="auto" w:fill="FFFFFF"/>
              </w:rPr>
              <w:t>Acouphènes</w:t>
            </w:r>
          </w:p>
          <w:p w:rsidR="007635A2" w:rsidRPr="00F012F8" w:rsidRDefault="007635A2" w:rsidP="001A1752">
            <w:pPr>
              <w:pStyle w:val="Paragraphedeliste"/>
              <w:numPr>
                <w:ilvl w:val="0"/>
                <w:numId w:val="33"/>
              </w:numPr>
              <w:rPr>
                <w:rFonts w:cs="Times New Roman"/>
                <w:color w:val="000000"/>
                <w:shd w:val="clear" w:color="auto" w:fill="FFFFFF"/>
              </w:rPr>
            </w:pPr>
            <w:r w:rsidRPr="00F012F8">
              <w:rPr>
                <w:rFonts w:cs="Times New Roman"/>
                <w:color w:val="000000"/>
                <w:shd w:val="clear" w:color="auto" w:fill="FFFFFF"/>
              </w:rPr>
              <w:t>Troubles visuels</w:t>
            </w:r>
          </w:p>
          <w:p w:rsidR="007635A2" w:rsidRPr="00F012F8" w:rsidRDefault="007635A2" w:rsidP="001A1752">
            <w:pPr>
              <w:pStyle w:val="Paragraphedeliste"/>
              <w:numPr>
                <w:ilvl w:val="0"/>
                <w:numId w:val="33"/>
              </w:numPr>
              <w:rPr>
                <w:rFonts w:cs="Times New Roman"/>
                <w:color w:val="000000"/>
                <w:shd w:val="clear" w:color="auto" w:fill="FFFFFF"/>
              </w:rPr>
            </w:pPr>
            <w:r w:rsidRPr="00F012F8">
              <w:rPr>
                <w:rFonts w:cs="Times New Roman"/>
                <w:color w:val="000000"/>
                <w:shd w:val="clear" w:color="auto" w:fill="FFFFFF"/>
              </w:rPr>
              <w:t>Hypertension</w:t>
            </w:r>
          </w:p>
          <w:p w:rsidR="007635A2" w:rsidRPr="00F012F8" w:rsidRDefault="007635A2" w:rsidP="007635A2">
            <w:pPr>
              <w:rPr>
                <w:rFonts w:cs="Times New Roman"/>
                <w:highlight w:val="lightGray"/>
                <w:shd w:val="clear" w:color="auto" w:fill="FFFFFF"/>
              </w:rPr>
            </w:pPr>
            <w:r w:rsidRPr="00F012F8">
              <w:rPr>
                <w:rFonts w:cs="Times New Roman"/>
                <w:highlight w:val="lightGray"/>
                <w:shd w:val="clear" w:color="auto" w:fill="FFFFFF"/>
              </w:rPr>
              <w:t>Thromboses</w:t>
            </w:r>
          </w:p>
          <w:p w:rsidR="007635A2" w:rsidRPr="00F012F8" w:rsidRDefault="007635A2" w:rsidP="007F6220">
            <w:pPr>
              <w:rPr>
                <w:rFonts w:cs="Times New Roman"/>
                <w:highlight w:val="lightGray"/>
                <w:shd w:val="clear" w:color="auto" w:fill="FFFFFF"/>
              </w:rPr>
            </w:pPr>
            <w:r w:rsidRPr="00F012F8">
              <w:rPr>
                <w:rFonts w:cs="Times New Roman"/>
                <w:highlight w:val="lightGray"/>
                <w:shd w:val="clear" w:color="auto" w:fill="FFFFFF"/>
              </w:rPr>
              <w:t>Saignements (si dysf</w:t>
            </w:r>
            <w:r w:rsidR="007F6220" w:rsidRPr="00F012F8">
              <w:rPr>
                <w:rFonts w:cs="Times New Roman"/>
                <w:highlight w:val="lightGray"/>
                <w:shd w:val="clear" w:color="auto" w:fill="FFFFFF"/>
              </w:rPr>
              <w:t>ct</w:t>
            </w:r>
            <w:r w:rsidRPr="00F012F8">
              <w:rPr>
                <w:rFonts w:cs="Times New Roman"/>
                <w:highlight w:val="lightGray"/>
                <w:shd w:val="clear" w:color="auto" w:fill="FFFFFF"/>
              </w:rPr>
              <w:t xml:space="preserve"> plaquettaire)</w:t>
            </w:r>
          </w:p>
          <w:p w:rsidR="00847D92" w:rsidRPr="00FC272A" w:rsidRDefault="00847D92" w:rsidP="007F6220">
            <w:pPr>
              <w:rPr>
                <w:rFonts w:cs="Times New Roman"/>
                <w:highlight w:val="lightGray"/>
                <w:shd w:val="clear" w:color="auto" w:fill="FFFFFF"/>
              </w:rPr>
            </w:pPr>
            <w:r w:rsidRPr="00F012F8">
              <w:rPr>
                <w:rFonts w:cs="Times New Roman"/>
                <w:highlight w:val="lightGray"/>
                <w:shd w:val="clear" w:color="auto" w:fill="FFFFFF"/>
              </w:rPr>
              <w:t>Sx angineux</w:t>
            </w:r>
          </w:p>
        </w:tc>
        <w:tc>
          <w:tcPr>
            <w:tcW w:w="2890" w:type="dxa"/>
          </w:tcPr>
          <w:p w:rsidR="007F6220" w:rsidRPr="00F012F8" w:rsidRDefault="007F6220" w:rsidP="007F6220">
            <w:pPr>
              <w:pStyle w:val="Paragraphedeliste"/>
              <w:spacing w:after="100" w:afterAutospacing="1"/>
              <w:rPr>
                <w:rFonts w:cs="Times New Roman"/>
                <w:color w:val="000000"/>
                <w:shd w:val="clear" w:color="auto" w:fill="FFFFFF"/>
              </w:rPr>
            </w:pPr>
          </w:p>
          <w:p w:rsidR="007635A2" w:rsidRPr="00F012F8" w:rsidRDefault="007635A2" w:rsidP="001A1752">
            <w:pPr>
              <w:pStyle w:val="Paragraphedeliste"/>
              <w:numPr>
                <w:ilvl w:val="0"/>
                <w:numId w:val="35"/>
              </w:numPr>
              <w:spacing w:after="100" w:afterAutospacing="1"/>
              <w:rPr>
                <w:rFonts w:cs="Times New Roman"/>
                <w:color w:val="000000"/>
                <w:highlight w:val="yellow"/>
                <w:shd w:val="clear" w:color="auto" w:fill="FFFFFF"/>
              </w:rPr>
            </w:pPr>
            <w:r w:rsidRPr="00F012F8">
              <w:rPr>
                <w:rFonts w:cs="Times New Roman"/>
                <w:color w:val="000000"/>
                <w:highlight w:val="yellow"/>
                <w:shd w:val="clear" w:color="auto" w:fill="FFFFFF"/>
              </w:rPr>
              <w:t>Teint rouge/joues</w:t>
            </w:r>
            <w:r w:rsidR="00847D92" w:rsidRPr="00F012F8">
              <w:rPr>
                <w:rFonts w:cs="Times New Roman"/>
                <w:color w:val="000000"/>
                <w:highlight w:val="yellow"/>
                <w:shd w:val="clear" w:color="auto" w:fill="FFFFFF"/>
              </w:rPr>
              <w:t>-paumes</w:t>
            </w:r>
            <w:r w:rsidRPr="00F012F8">
              <w:rPr>
                <w:rFonts w:cs="Times New Roman"/>
                <w:color w:val="000000"/>
                <w:highlight w:val="yellow"/>
                <w:shd w:val="clear" w:color="auto" w:fill="FFFFFF"/>
              </w:rPr>
              <w:t xml:space="preserve"> rouges (70%)</w:t>
            </w:r>
          </w:p>
          <w:p w:rsidR="007635A2" w:rsidRPr="00F012F8" w:rsidRDefault="007635A2" w:rsidP="001A1752">
            <w:pPr>
              <w:pStyle w:val="Paragraphedeliste"/>
              <w:numPr>
                <w:ilvl w:val="0"/>
                <w:numId w:val="35"/>
              </w:numPr>
              <w:spacing w:after="100" w:afterAutospacing="1"/>
              <w:rPr>
                <w:rFonts w:cs="Times New Roman"/>
                <w:color w:val="000000"/>
                <w:shd w:val="clear" w:color="auto" w:fill="FFFFFF"/>
              </w:rPr>
            </w:pPr>
            <w:r w:rsidRPr="00F012F8">
              <w:rPr>
                <w:rFonts w:cs="Times New Roman"/>
                <w:color w:val="000000"/>
                <w:shd w:val="clear" w:color="auto" w:fill="FFFFFF"/>
              </w:rPr>
              <w:t>Pléthore facial</w:t>
            </w:r>
          </w:p>
          <w:p w:rsidR="007635A2" w:rsidRPr="00F012F8" w:rsidRDefault="007635A2" w:rsidP="001A1752">
            <w:pPr>
              <w:pStyle w:val="Paragraphedeliste"/>
              <w:numPr>
                <w:ilvl w:val="0"/>
                <w:numId w:val="35"/>
              </w:numPr>
              <w:spacing w:after="100" w:afterAutospacing="1"/>
              <w:rPr>
                <w:rFonts w:cs="Times New Roman"/>
                <w:color w:val="000000"/>
                <w:highlight w:val="yellow"/>
                <w:shd w:val="clear" w:color="auto" w:fill="FFFFFF"/>
              </w:rPr>
            </w:pPr>
            <w:r w:rsidRPr="00F012F8">
              <w:rPr>
                <w:rFonts w:cs="Times New Roman"/>
                <w:color w:val="000000"/>
                <w:highlight w:val="yellow"/>
                <w:shd w:val="clear" w:color="auto" w:fill="FFFFFF"/>
              </w:rPr>
              <w:t>Splénomégalie</w:t>
            </w:r>
            <w:r w:rsidR="00847D92" w:rsidRPr="00F012F8">
              <w:rPr>
                <w:rFonts w:cs="Times New Roman"/>
                <w:color w:val="000000"/>
                <w:highlight w:val="yellow"/>
                <w:shd w:val="clear" w:color="auto" w:fill="FFFFFF"/>
              </w:rPr>
              <w:t xml:space="preserve"> (70%)</w:t>
            </w:r>
          </w:p>
          <w:p w:rsidR="007F6220" w:rsidRPr="00F012F8" w:rsidRDefault="007F6220" w:rsidP="001A1752">
            <w:pPr>
              <w:pStyle w:val="Paragraphedeliste"/>
              <w:numPr>
                <w:ilvl w:val="0"/>
                <w:numId w:val="35"/>
              </w:numPr>
              <w:spacing w:after="100" w:afterAutospacing="1"/>
              <w:rPr>
                <w:rFonts w:cs="Times New Roman"/>
                <w:color w:val="000000"/>
                <w:shd w:val="clear" w:color="auto" w:fill="FFFFFF"/>
              </w:rPr>
            </w:pPr>
            <w:r w:rsidRPr="00F012F8">
              <w:rPr>
                <w:rFonts w:cs="Times New Roman"/>
                <w:color w:val="000000"/>
                <w:shd w:val="clear" w:color="auto" w:fill="FFFFFF"/>
              </w:rPr>
              <w:t>Parfois hépatomégalie</w:t>
            </w:r>
            <w:r w:rsidR="00847D92" w:rsidRPr="00F012F8">
              <w:rPr>
                <w:rFonts w:cs="Times New Roman"/>
                <w:color w:val="000000"/>
                <w:shd w:val="clear" w:color="auto" w:fill="FFFFFF"/>
              </w:rPr>
              <w:t xml:space="preserve"> (40%)</w:t>
            </w:r>
          </w:p>
          <w:p w:rsidR="003736C8" w:rsidRPr="00F012F8" w:rsidRDefault="00847D92" w:rsidP="001A1752">
            <w:pPr>
              <w:pStyle w:val="Paragraphedeliste"/>
              <w:numPr>
                <w:ilvl w:val="0"/>
                <w:numId w:val="35"/>
              </w:numPr>
              <w:spacing w:after="100" w:afterAutospacing="1"/>
              <w:rPr>
                <w:rFonts w:cs="Times New Roman"/>
                <w:color w:val="000000"/>
                <w:highlight w:val="lightGray"/>
                <w:shd w:val="clear" w:color="auto" w:fill="FFFFFF"/>
              </w:rPr>
            </w:pPr>
            <w:r w:rsidRPr="00F012F8">
              <w:rPr>
                <w:rFonts w:cs="Times New Roman"/>
                <w:highlight w:val="lightGray"/>
                <w:shd w:val="clear" w:color="auto" w:fill="FFFFFF"/>
              </w:rPr>
              <w:t>Érythromélalgie</w:t>
            </w:r>
            <w:r w:rsidR="0001562A" w:rsidRPr="00F012F8">
              <w:rPr>
                <w:rFonts w:cs="Times New Roman"/>
                <w:highlight w:val="lightGray"/>
                <w:shd w:val="clear" w:color="auto" w:fill="FFFFFF"/>
              </w:rPr>
              <w:t xml:space="preserve"> </w:t>
            </w:r>
          </w:p>
          <w:p w:rsidR="00847D92" w:rsidRPr="00F012F8" w:rsidRDefault="0001562A" w:rsidP="003736C8">
            <w:pPr>
              <w:pStyle w:val="Paragraphedeliste"/>
              <w:spacing w:after="100" w:afterAutospacing="1"/>
              <w:ind w:left="360"/>
              <w:rPr>
                <w:rFonts w:cs="Times New Roman"/>
                <w:color w:val="000000"/>
                <w:shd w:val="clear" w:color="auto" w:fill="FFFFFF"/>
              </w:rPr>
            </w:pPr>
            <w:r w:rsidRPr="00F012F8">
              <w:rPr>
                <w:rFonts w:cs="Times New Roman"/>
                <w:highlight w:val="lightGray"/>
                <w:shd w:val="clear" w:color="auto" w:fill="FFFFFF"/>
              </w:rPr>
              <w:t>(</w:t>
            </w:r>
            <w:r w:rsidR="003736C8" w:rsidRPr="00F012F8">
              <w:rPr>
                <w:rFonts w:cs="Times New Roman"/>
                <w:highlight w:val="lightGray"/>
                <w:shd w:val="clear" w:color="auto" w:fill="FFFFFF"/>
              </w:rPr>
              <w:t>signe de thrombose capillaire)</w:t>
            </w:r>
          </w:p>
        </w:tc>
        <w:tc>
          <w:tcPr>
            <w:tcW w:w="2919" w:type="dxa"/>
          </w:tcPr>
          <w:p w:rsidR="007F6220" w:rsidRPr="00F012F8" w:rsidRDefault="007F6220" w:rsidP="007F6220">
            <w:pPr>
              <w:pStyle w:val="Paragraphedeliste"/>
              <w:ind w:left="360"/>
              <w:rPr>
                <w:rFonts w:cs="Times New Roman"/>
                <w:bCs/>
                <w:color w:val="252525"/>
                <w:sz w:val="21"/>
                <w:szCs w:val="21"/>
                <w:shd w:val="clear" w:color="auto" w:fill="FFFFFF"/>
              </w:rPr>
            </w:pPr>
          </w:p>
          <w:p w:rsidR="007635A2" w:rsidRPr="00F012F8" w:rsidRDefault="007635A2" w:rsidP="001A1752">
            <w:pPr>
              <w:pStyle w:val="Paragraphedeliste"/>
              <w:numPr>
                <w:ilvl w:val="0"/>
                <w:numId w:val="34"/>
              </w:numPr>
              <w:ind w:left="360"/>
              <w:rPr>
                <w:rFonts w:cs="Times New Roman"/>
                <w:bCs/>
                <w:color w:val="252525"/>
                <w:sz w:val="21"/>
                <w:szCs w:val="21"/>
                <w:highlight w:val="yellow"/>
                <w:shd w:val="clear" w:color="auto" w:fill="FFFFFF"/>
              </w:rPr>
            </w:pPr>
            <w:r w:rsidRPr="00F012F8">
              <w:rPr>
                <w:rFonts w:cs="Times New Roman"/>
                <w:color w:val="000000"/>
                <w:highlight w:val="yellow"/>
                <w:shd w:val="clear" w:color="auto" w:fill="FFFFFF"/>
              </w:rPr>
              <w:t>Hématocrite &gt; 60% chez l’</w:t>
            </w:r>
            <w:hyperlink r:id="rId135" w:tooltip="♂" w:history="1">
              <w:r w:rsidRPr="00F012F8">
                <w:rPr>
                  <w:rStyle w:val="Lienhypertexte"/>
                  <w:rFonts w:cs="Times New Roman"/>
                  <w:color w:val="0B0080"/>
                  <w:sz w:val="21"/>
                  <w:szCs w:val="21"/>
                  <w:highlight w:val="yellow"/>
                  <w:shd w:val="clear" w:color="auto" w:fill="FFFFFF"/>
                </w:rPr>
                <w:t>♂</w:t>
              </w:r>
            </w:hyperlink>
            <w:r w:rsidRPr="00F012F8">
              <w:rPr>
                <w:rFonts w:cs="Times New Roman"/>
                <w:highlight w:val="yellow"/>
              </w:rPr>
              <w:t xml:space="preserve"> ou </w:t>
            </w:r>
            <w:r w:rsidRPr="00F012F8">
              <w:rPr>
                <w:rFonts w:cs="Times New Roman"/>
                <w:color w:val="000000"/>
                <w:highlight w:val="yellow"/>
                <w:shd w:val="clear" w:color="auto" w:fill="FFFFFF"/>
              </w:rPr>
              <w:t xml:space="preserve">&gt; 55%  chez la </w:t>
            </w:r>
            <w:r w:rsidRPr="00F012F8">
              <w:rPr>
                <w:rFonts w:cs="Times New Roman"/>
                <w:bCs/>
                <w:color w:val="252525"/>
                <w:sz w:val="21"/>
                <w:szCs w:val="21"/>
                <w:highlight w:val="yellow"/>
                <w:shd w:val="clear" w:color="auto" w:fill="FFFFFF"/>
              </w:rPr>
              <w:t>♀</w:t>
            </w:r>
          </w:p>
          <w:p w:rsidR="007635A2" w:rsidRPr="00F012F8" w:rsidRDefault="007635A2" w:rsidP="001A1752">
            <w:pPr>
              <w:pStyle w:val="Paragraphedeliste"/>
              <w:numPr>
                <w:ilvl w:val="0"/>
                <w:numId w:val="34"/>
              </w:numPr>
              <w:spacing w:after="100" w:afterAutospacing="1"/>
              <w:ind w:left="360"/>
              <w:rPr>
                <w:rFonts w:cs="Times New Roman"/>
                <w:bCs/>
                <w:color w:val="252525"/>
                <w:sz w:val="21"/>
                <w:szCs w:val="21"/>
                <w:shd w:val="clear" w:color="auto" w:fill="FFFFFF"/>
              </w:rPr>
            </w:pPr>
            <w:r w:rsidRPr="00F012F8">
              <w:rPr>
                <w:rFonts w:cs="Times New Roman"/>
                <w:bCs/>
                <w:color w:val="252525"/>
                <w:sz w:val="21"/>
                <w:szCs w:val="21"/>
                <w:shd w:val="clear" w:color="auto" w:fill="FFFFFF"/>
              </w:rPr>
              <w:t>Plaquettes &gt; 400 x 10</w:t>
            </w:r>
            <w:r w:rsidRPr="00F012F8">
              <w:rPr>
                <w:rFonts w:cs="Times New Roman"/>
                <w:bCs/>
                <w:color w:val="252525"/>
                <w:sz w:val="21"/>
                <w:szCs w:val="21"/>
                <w:shd w:val="clear" w:color="auto" w:fill="FFFFFF"/>
                <w:vertAlign w:val="superscript"/>
              </w:rPr>
              <w:t>9</w:t>
            </w:r>
            <w:r w:rsidRPr="00F012F8">
              <w:rPr>
                <w:rFonts w:cs="Times New Roman"/>
                <w:bCs/>
                <w:color w:val="252525"/>
                <w:sz w:val="21"/>
                <w:szCs w:val="21"/>
                <w:shd w:val="clear" w:color="auto" w:fill="FFFFFF"/>
              </w:rPr>
              <w:t>/L</w:t>
            </w:r>
          </w:p>
          <w:p w:rsidR="007635A2" w:rsidRPr="00F012F8" w:rsidRDefault="007635A2" w:rsidP="001A1752">
            <w:pPr>
              <w:pStyle w:val="Paragraphedeliste"/>
              <w:numPr>
                <w:ilvl w:val="0"/>
                <w:numId w:val="34"/>
              </w:numPr>
              <w:spacing w:after="100" w:afterAutospacing="1"/>
              <w:ind w:left="360"/>
              <w:rPr>
                <w:rFonts w:cs="Times New Roman"/>
                <w:bCs/>
                <w:color w:val="252525"/>
                <w:sz w:val="21"/>
                <w:szCs w:val="21"/>
                <w:shd w:val="clear" w:color="auto" w:fill="FFFFFF"/>
              </w:rPr>
            </w:pPr>
            <w:r w:rsidRPr="00F012F8">
              <w:rPr>
                <w:rFonts w:cs="Times New Roman"/>
                <w:bCs/>
                <w:color w:val="252525"/>
                <w:sz w:val="21"/>
                <w:szCs w:val="21"/>
                <w:shd w:val="clear" w:color="auto" w:fill="FFFFFF"/>
              </w:rPr>
              <w:t>Neutrophiles abs. &gt; 10x 10</w:t>
            </w:r>
            <w:r w:rsidRPr="00F012F8">
              <w:rPr>
                <w:rFonts w:cs="Times New Roman"/>
                <w:bCs/>
                <w:color w:val="252525"/>
                <w:sz w:val="21"/>
                <w:szCs w:val="21"/>
                <w:shd w:val="clear" w:color="auto" w:fill="FFFFFF"/>
                <w:vertAlign w:val="superscript"/>
              </w:rPr>
              <w:t>9</w:t>
            </w:r>
            <w:r w:rsidRPr="00F012F8">
              <w:rPr>
                <w:rFonts w:cs="Times New Roman"/>
                <w:bCs/>
                <w:color w:val="252525"/>
                <w:sz w:val="21"/>
                <w:szCs w:val="21"/>
                <w:shd w:val="clear" w:color="auto" w:fill="FFFFFF"/>
              </w:rPr>
              <w:t>/L</w:t>
            </w:r>
          </w:p>
          <w:p w:rsidR="00847D92" w:rsidRPr="00F012F8" w:rsidRDefault="007635A2" w:rsidP="001A1752">
            <w:pPr>
              <w:pStyle w:val="Paragraphedeliste"/>
              <w:numPr>
                <w:ilvl w:val="0"/>
                <w:numId w:val="34"/>
              </w:numPr>
              <w:spacing w:after="100" w:afterAutospacing="1"/>
              <w:ind w:left="360"/>
              <w:rPr>
                <w:rFonts w:cs="Times New Roman"/>
                <w:bCs/>
                <w:color w:val="252525"/>
                <w:sz w:val="21"/>
                <w:szCs w:val="21"/>
                <w:shd w:val="clear" w:color="auto" w:fill="FFFFFF"/>
              </w:rPr>
            </w:pPr>
            <w:r w:rsidRPr="00F012F8">
              <w:rPr>
                <w:rFonts w:cs="Times New Roman"/>
                <w:bCs/>
                <w:color w:val="252525"/>
                <w:sz w:val="21"/>
                <w:szCs w:val="21"/>
                <w:highlight w:val="yellow"/>
                <w:shd w:val="clear" w:color="auto" w:fill="FFFFFF"/>
              </w:rPr>
              <w:t>Mutation JAK2</w:t>
            </w:r>
            <w:r w:rsidRPr="00F012F8">
              <w:rPr>
                <w:rFonts w:cs="Times New Roman"/>
                <w:bCs/>
                <w:color w:val="252525"/>
                <w:sz w:val="21"/>
                <w:szCs w:val="21"/>
                <w:shd w:val="clear" w:color="auto" w:fill="FFFFFF"/>
              </w:rPr>
              <w:t xml:space="preserve"> (90% des cas)</w:t>
            </w:r>
          </w:p>
          <w:p w:rsidR="00FC272A" w:rsidRPr="00FC272A" w:rsidRDefault="00847D92" w:rsidP="001A1752">
            <w:pPr>
              <w:pStyle w:val="Paragraphedeliste"/>
              <w:numPr>
                <w:ilvl w:val="0"/>
                <w:numId w:val="34"/>
              </w:numPr>
              <w:spacing w:after="100" w:afterAutospacing="1"/>
              <w:ind w:left="360"/>
              <w:rPr>
                <w:rFonts w:cs="Times New Roman"/>
                <w:bCs/>
                <w:color w:val="252525"/>
                <w:sz w:val="21"/>
                <w:szCs w:val="21"/>
                <w:shd w:val="clear" w:color="auto" w:fill="FFFFFF"/>
              </w:rPr>
            </w:pPr>
            <w:r w:rsidRPr="00F012F8">
              <w:rPr>
                <w:rFonts w:cs="Times New Roman"/>
                <w:color w:val="000000"/>
                <w:shd w:val="clear" w:color="auto" w:fill="FFFFFF"/>
              </w:rPr>
              <w:t>EPO ↓</w:t>
            </w:r>
            <w:r w:rsidR="00FC272A" w:rsidRPr="00F012F8">
              <w:rPr>
                <w:rFonts w:cs="Times New Roman"/>
                <w:color w:val="000000"/>
                <w:shd w:val="clear" w:color="auto" w:fill="FFFFFF"/>
              </w:rPr>
              <w:t xml:space="preserve"> </w:t>
            </w:r>
          </w:p>
          <w:p w:rsidR="00847D92" w:rsidRPr="00FC272A" w:rsidRDefault="00FC272A" w:rsidP="00FC272A">
            <w:pPr>
              <w:pStyle w:val="Paragraphedeliste"/>
              <w:numPr>
                <w:ilvl w:val="0"/>
                <w:numId w:val="34"/>
              </w:numPr>
              <w:ind w:left="360"/>
              <w:rPr>
                <w:rFonts w:cs="Times New Roman"/>
                <w:bCs/>
                <w:color w:val="252525"/>
                <w:sz w:val="21"/>
                <w:szCs w:val="21"/>
                <w:shd w:val="clear" w:color="auto" w:fill="FFFFFF"/>
              </w:rPr>
            </w:pPr>
            <w:r w:rsidRPr="00F012F8">
              <w:rPr>
                <w:rFonts w:cs="Times New Roman"/>
                <w:color w:val="000000"/>
                <w:shd w:val="clear" w:color="auto" w:fill="FFFFFF"/>
              </w:rPr>
              <w:t>Panmyélose (biopsie MO)</w:t>
            </w:r>
          </w:p>
        </w:tc>
      </w:tr>
      <w:tr w:rsidR="00F43C25" w:rsidRPr="00F012F8" w:rsidTr="002D18E8">
        <w:tc>
          <w:tcPr>
            <w:tcW w:w="11016" w:type="dxa"/>
            <w:gridSpan w:val="5"/>
            <w:shd w:val="clear" w:color="auto" w:fill="FF0000"/>
          </w:tcPr>
          <w:p w:rsidR="00F43C25" w:rsidRPr="00F012F8" w:rsidRDefault="00F43C25" w:rsidP="00F43C25">
            <w:pPr>
              <w:spacing w:after="100" w:afterAutospacing="1"/>
              <w:jc w:val="center"/>
              <w:rPr>
                <w:rFonts w:cs="Times New Roman"/>
                <w:b/>
                <w:color w:val="000000"/>
                <w:shd w:val="clear" w:color="auto" w:fill="FFFFFF"/>
              </w:rPr>
            </w:pPr>
            <w:r w:rsidRPr="002D18E8">
              <w:rPr>
                <w:rFonts w:cs="Times New Roman"/>
                <w:b/>
                <w:color w:val="000000"/>
                <w:highlight w:val="red"/>
                <w:shd w:val="clear" w:color="auto" w:fill="FFFFFF"/>
              </w:rPr>
              <w:lastRenderedPageBreak/>
              <w:t>Érythrocytose secondaire – (sécrétion appropriée d’EPO)</w:t>
            </w:r>
          </w:p>
        </w:tc>
      </w:tr>
      <w:tr w:rsidR="003736C8" w:rsidRPr="00F012F8" w:rsidTr="00FC272A">
        <w:tc>
          <w:tcPr>
            <w:tcW w:w="2660" w:type="dxa"/>
          </w:tcPr>
          <w:p w:rsidR="00F43C25" w:rsidRPr="00F012F8" w:rsidRDefault="00F43C25" w:rsidP="00685533">
            <w:pPr>
              <w:spacing w:after="100" w:afterAutospacing="1"/>
              <w:jc w:val="center"/>
              <w:rPr>
                <w:rFonts w:cs="Times New Roman"/>
                <w:i/>
                <w:color w:val="000000"/>
                <w:shd w:val="clear" w:color="auto" w:fill="FFFFFF"/>
              </w:rPr>
            </w:pPr>
            <w:r w:rsidRPr="00F012F8">
              <w:rPr>
                <w:rFonts w:cs="Times New Roman"/>
                <w:i/>
                <w:color w:val="000000"/>
                <w:shd w:val="clear" w:color="auto" w:fill="FFFFFF"/>
              </w:rPr>
              <w:t>Étiologie – Facteurs de risque</w:t>
            </w:r>
          </w:p>
        </w:tc>
        <w:tc>
          <w:tcPr>
            <w:tcW w:w="2547" w:type="dxa"/>
            <w:gridSpan w:val="2"/>
          </w:tcPr>
          <w:p w:rsidR="00F43C25" w:rsidRPr="00F012F8" w:rsidRDefault="00F43C25" w:rsidP="00685533">
            <w:pPr>
              <w:spacing w:after="100" w:afterAutospacing="1"/>
              <w:jc w:val="center"/>
              <w:rPr>
                <w:rFonts w:cs="Times New Roman"/>
                <w:i/>
                <w:color w:val="000000"/>
                <w:shd w:val="clear" w:color="auto" w:fill="FFFFFF"/>
              </w:rPr>
            </w:pPr>
            <w:r w:rsidRPr="00F012F8">
              <w:rPr>
                <w:rFonts w:cs="Times New Roman"/>
                <w:i/>
                <w:color w:val="000000"/>
                <w:shd w:val="clear" w:color="auto" w:fill="FFFFFF"/>
              </w:rPr>
              <w:t>Symptômes</w:t>
            </w:r>
          </w:p>
        </w:tc>
        <w:tc>
          <w:tcPr>
            <w:tcW w:w="2890" w:type="dxa"/>
          </w:tcPr>
          <w:p w:rsidR="00F43C25" w:rsidRPr="00F012F8" w:rsidRDefault="00F43C25" w:rsidP="00685533">
            <w:pPr>
              <w:spacing w:after="100" w:afterAutospacing="1"/>
              <w:jc w:val="center"/>
              <w:rPr>
                <w:rFonts w:cs="Times New Roman"/>
                <w:i/>
                <w:color w:val="000000"/>
                <w:shd w:val="clear" w:color="auto" w:fill="FFFFFF"/>
              </w:rPr>
            </w:pPr>
            <w:r w:rsidRPr="00F012F8">
              <w:rPr>
                <w:rFonts w:cs="Times New Roman"/>
                <w:i/>
                <w:color w:val="000000"/>
                <w:shd w:val="clear" w:color="auto" w:fill="FFFFFF"/>
              </w:rPr>
              <w:t>Signes physiques</w:t>
            </w:r>
          </w:p>
        </w:tc>
        <w:tc>
          <w:tcPr>
            <w:tcW w:w="2919" w:type="dxa"/>
          </w:tcPr>
          <w:p w:rsidR="00F43C25" w:rsidRPr="00F012F8" w:rsidRDefault="00F43C25" w:rsidP="00685533">
            <w:pPr>
              <w:spacing w:after="100" w:afterAutospacing="1"/>
              <w:jc w:val="center"/>
              <w:rPr>
                <w:rFonts w:cs="Times New Roman"/>
                <w:i/>
                <w:color w:val="000000"/>
                <w:shd w:val="clear" w:color="auto" w:fill="FFFFFF"/>
              </w:rPr>
            </w:pPr>
            <w:r w:rsidRPr="00F012F8">
              <w:rPr>
                <w:rFonts w:cs="Times New Roman"/>
                <w:i/>
                <w:color w:val="000000"/>
                <w:shd w:val="clear" w:color="auto" w:fill="FFFFFF"/>
              </w:rPr>
              <w:t>Valeurs de labos</w:t>
            </w:r>
          </w:p>
        </w:tc>
      </w:tr>
      <w:tr w:rsidR="003736C8" w:rsidRPr="00F012F8" w:rsidTr="00FC272A">
        <w:tc>
          <w:tcPr>
            <w:tcW w:w="2660" w:type="dxa"/>
          </w:tcPr>
          <w:p w:rsidR="00525341" w:rsidRPr="00F012F8" w:rsidRDefault="00D217A9" w:rsidP="00E40649">
            <w:pPr>
              <w:rPr>
                <w:rFonts w:cs="Times New Roman"/>
                <w:color w:val="000000"/>
                <w:u w:val="single"/>
                <w:shd w:val="clear" w:color="auto" w:fill="FFFFFF"/>
              </w:rPr>
            </w:pPr>
            <w:r w:rsidRPr="00F012F8">
              <w:rPr>
                <w:rFonts w:cs="Times New Roman"/>
                <w:color w:val="000000"/>
                <w:u w:val="single"/>
                <w:shd w:val="clear" w:color="auto" w:fill="FFFFFF"/>
              </w:rPr>
              <w:t xml:space="preserve">Hypoxie </w:t>
            </w:r>
            <w:r w:rsidR="00E40649" w:rsidRPr="00F012F8">
              <w:rPr>
                <w:rFonts w:cs="Times New Roman"/>
                <w:color w:val="000000"/>
                <w:u w:val="single"/>
                <w:shd w:val="clear" w:color="auto" w:fill="FFFFFF"/>
              </w:rPr>
              <w:t>–</w:t>
            </w:r>
            <w:r w:rsidRPr="00F012F8">
              <w:rPr>
                <w:rFonts w:cs="Times New Roman"/>
                <w:color w:val="000000"/>
                <w:u w:val="single"/>
                <w:shd w:val="clear" w:color="auto" w:fill="FFFFFF"/>
              </w:rPr>
              <w:t xml:space="preserve"> </w:t>
            </w:r>
            <w:r w:rsidR="00A76A9A" w:rsidRPr="00F012F8">
              <w:rPr>
                <w:rFonts w:cs="Times New Roman"/>
                <w:color w:val="000000"/>
                <w:u w:val="single"/>
                <w:shd w:val="clear" w:color="auto" w:fill="FFFFFF"/>
              </w:rPr>
              <w:t>Réponse p</w:t>
            </w:r>
            <w:r w:rsidRPr="00F012F8">
              <w:rPr>
                <w:rFonts w:cs="Times New Roman"/>
                <w:color w:val="000000"/>
                <w:u w:val="single"/>
                <w:shd w:val="clear" w:color="auto" w:fill="FFFFFF"/>
              </w:rPr>
              <w:t>hysiologique</w:t>
            </w:r>
          </w:p>
          <w:p w:rsidR="00E40649" w:rsidRPr="00F012F8" w:rsidRDefault="00E40649" w:rsidP="001A1752">
            <w:pPr>
              <w:pStyle w:val="Paragraphedeliste"/>
              <w:numPr>
                <w:ilvl w:val="0"/>
                <w:numId w:val="36"/>
              </w:numPr>
              <w:spacing w:after="100" w:afterAutospacing="1"/>
              <w:rPr>
                <w:rFonts w:cs="Times New Roman"/>
                <w:color w:val="000000"/>
                <w:shd w:val="clear" w:color="auto" w:fill="FFFFFF"/>
              </w:rPr>
            </w:pPr>
            <w:r w:rsidRPr="00F012F8">
              <w:rPr>
                <w:rFonts w:cs="Times New Roman"/>
                <w:color w:val="000000"/>
                <w:shd w:val="clear" w:color="auto" w:fill="FFFFFF"/>
              </w:rPr>
              <w:t>Haute altitude (O</w:t>
            </w:r>
            <w:r w:rsidRPr="00F012F8">
              <w:rPr>
                <w:rFonts w:cs="Times New Roman"/>
                <w:color w:val="000000"/>
                <w:shd w:val="clear" w:color="auto" w:fill="FFFFFF"/>
                <w:vertAlign w:val="subscript"/>
              </w:rPr>
              <w:t xml:space="preserve">2 </w:t>
            </w:r>
            <w:r w:rsidRPr="00F012F8">
              <w:rPr>
                <w:rFonts w:cs="Times New Roman"/>
                <w:color w:val="000000"/>
                <w:shd w:val="clear" w:color="auto" w:fill="FFFFFF"/>
              </w:rPr>
              <w:t>rare)</w:t>
            </w:r>
          </w:p>
          <w:p w:rsidR="00E40649" w:rsidRPr="00F012F8" w:rsidRDefault="00E40649" w:rsidP="001A1752">
            <w:pPr>
              <w:pStyle w:val="Paragraphedeliste"/>
              <w:numPr>
                <w:ilvl w:val="0"/>
                <w:numId w:val="36"/>
              </w:numPr>
              <w:spacing w:after="100" w:afterAutospacing="1"/>
              <w:rPr>
                <w:rFonts w:cs="Times New Roman"/>
                <w:color w:val="000000"/>
                <w:shd w:val="clear" w:color="auto" w:fill="FFFFFF"/>
              </w:rPr>
            </w:pPr>
            <w:r w:rsidRPr="00F012F8">
              <w:rPr>
                <w:rFonts w:cs="Times New Roman"/>
                <w:color w:val="000000"/>
                <w:shd w:val="clear" w:color="auto" w:fill="FFFFFF"/>
              </w:rPr>
              <w:t>Empoisonnement au CO</w:t>
            </w:r>
          </w:p>
          <w:p w:rsidR="00E40649" w:rsidRPr="00F012F8" w:rsidRDefault="00E40649" w:rsidP="001A1752">
            <w:pPr>
              <w:pStyle w:val="Paragraphedeliste"/>
              <w:numPr>
                <w:ilvl w:val="0"/>
                <w:numId w:val="36"/>
              </w:numPr>
              <w:spacing w:after="100" w:afterAutospacing="1"/>
              <w:rPr>
                <w:rFonts w:cs="Times New Roman"/>
                <w:color w:val="000000"/>
                <w:shd w:val="clear" w:color="auto" w:fill="FFFFFF"/>
              </w:rPr>
            </w:pPr>
            <w:r w:rsidRPr="00F012F8">
              <w:rPr>
                <w:rFonts w:cs="Times New Roman"/>
                <w:color w:val="000000"/>
                <w:shd w:val="clear" w:color="auto" w:fill="FFFFFF"/>
              </w:rPr>
              <w:t>Tabagisme important</w:t>
            </w:r>
          </w:p>
          <w:p w:rsidR="00D6359B" w:rsidRPr="00F012F8" w:rsidRDefault="00D6359B" w:rsidP="00D6359B">
            <w:pPr>
              <w:pStyle w:val="Paragraphedeliste"/>
              <w:spacing w:after="100" w:afterAutospacing="1"/>
              <w:ind w:left="360"/>
              <w:rPr>
                <w:rFonts w:cs="Times New Roman"/>
                <w:color w:val="000000"/>
                <w:shd w:val="clear" w:color="auto" w:fill="FFFFFF"/>
              </w:rPr>
            </w:pPr>
          </w:p>
        </w:tc>
        <w:tc>
          <w:tcPr>
            <w:tcW w:w="2547" w:type="dxa"/>
            <w:gridSpan w:val="2"/>
          </w:tcPr>
          <w:p w:rsidR="00525341" w:rsidRPr="00F012F8" w:rsidRDefault="00D6359B" w:rsidP="003C6E1A">
            <w:pPr>
              <w:spacing w:after="100" w:afterAutospacing="1"/>
              <w:rPr>
                <w:rFonts w:cs="Times New Roman"/>
                <w:color w:val="000000"/>
                <w:shd w:val="clear" w:color="auto" w:fill="FFFFFF"/>
              </w:rPr>
            </w:pPr>
            <w:r w:rsidRPr="00F012F8">
              <w:rPr>
                <w:rFonts w:cs="Times New Roman"/>
                <w:color w:val="000000"/>
                <w:shd w:val="clear" w:color="auto" w:fill="FFFFFF"/>
              </w:rPr>
              <w:t>Variable, voir polyglobulie</w:t>
            </w:r>
          </w:p>
        </w:tc>
        <w:tc>
          <w:tcPr>
            <w:tcW w:w="2890" w:type="dxa"/>
          </w:tcPr>
          <w:p w:rsidR="00525341" w:rsidRPr="00F012F8" w:rsidRDefault="00D6359B" w:rsidP="001A1752">
            <w:pPr>
              <w:pStyle w:val="Paragraphedeliste"/>
              <w:numPr>
                <w:ilvl w:val="0"/>
                <w:numId w:val="39"/>
              </w:numPr>
              <w:spacing w:after="100" w:afterAutospacing="1"/>
              <w:rPr>
                <w:rFonts w:cs="Times New Roman"/>
                <w:color w:val="000000"/>
                <w:shd w:val="clear" w:color="auto" w:fill="FFFFFF"/>
              </w:rPr>
            </w:pPr>
            <w:r w:rsidRPr="00F012F8">
              <w:rPr>
                <w:rFonts w:cs="Times New Roman"/>
                <w:color w:val="000000"/>
                <w:shd w:val="clear" w:color="auto" w:fill="FFFFFF"/>
              </w:rPr>
              <w:t>SaO</w:t>
            </w:r>
            <w:r w:rsidRPr="00F012F8">
              <w:rPr>
                <w:rFonts w:cs="Times New Roman"/>
                <w:color w:val="000000"/>
                <w:shd w:val="clear" w:color="auto" w:fill="FFFFFF"/>
                <w:vertAlign w:val="subscript"/>
              </w:rPr>
              <w:t>2</w:t>
            </w:r>
            <w:r w:rsidRPr="00F012F8">
              <w:rPr>
                <w:rFonts w:cs="Times New Roman"/>
                <w:color w:val="000000"/>
                <w:shd w:val="clear" w:color="auto" w:fill="FFFFFF"/>
              </w:rPr>
              <w:t xml:space="preserve"> </w:t>
            </w:r>
            <w:r w:rsidR="004046D7" w:rsidRPr="00F012F8">
              <w:rPr>
                <w:rFonts w:cs="Times New Roman"/>
                <w:color w:val="000000"/>
                <w:shd w:val="clear" w:color="auto" w:fill="FFFFFF"/>
              </w:rPr>
              <w:t>abaissée</w:t>
            </w:r>
          </w:p>
          <w:p w:rsidR="00D6359B" w:rsidRPr="00F012F8" w:rsidRDefault="00D6359B" w:rsidP="001A1752">
            <w:pPr>
              <w:pStyle w:val="Paragraphedeliste"/>
              <w:numPr>
                <w:ilvl w:val="0"/>
                <w:numId w:val="39"/>
              </w:numPr>
              <w:spacing w:after="100" w:afterAutospacing="1"/>
              <w:rPr>
                <w:rFonts w:cs="Times New Roman"/>
                <w:color w:val="000000"/>
                <w:shd w:val="clear" w:color="auto" w:fill="FFFFFF"/>
              </w:rPr>
            </w:pPr>
            <w:r w:rsidRPr="00F012F8">
              <w:rPr>
                <w:rFonts w:cs="Times New Roman"/>
                <w:color w:val="000000"/>
                <w:shd w:val="clear" w:color="auto" w:fill="FFFFFF"/>
              </w:rPr>
              <w:t>Reste variable</w:t>
            </w:r>
          </w:p>
          <w:p w:rsidR="003736C8" w:rsidRPr="00F012F8" w:rsidRDefault="003736C8" w:rsidP="001A1752">
            <w:pPr>
              <w:pStyle w:val="Paragraphedeliste"/>
              <w:numPr>
                <w:ilvl w:val="0"/>
                <w:numId w:val="39"/>
              </w:numPr>
              <w:spacing w:after="100" w:afterAutospacing="1"/>
              <w:rPr>
                <w:rFonts w:cs="Times New Roman"/>
                <w:color w:val="000000"/>
                <w:shd w:val="clear" w:color="auto" w:fill="FFFFFF"/>
              </w:rPr>
            </w:pPr>
            <w:r w:rsidRPr="00F012F8">
              <w:rPr>
                <w:rFonts w:cs="Times New Roman"/>
                <w:color w:val="000000"/>
                <w:shd w:val="clear" w:color="auto" w:fill="FFFFFF"/>
              </w:rPr>
              <w:t>Empoisonnement au CO</w:t>
            </w:r>
          </w:p>
          <w:p w:rsidR="003736C8" w:rsidRPr="00F012F8" w:rsidRDefault="003736C8" w:rsidP="001A1752">
            <w:pPr>
              <w:pStyle w:val="Paragraphedeliste"/>
              <w:numPr>
                <w:ilvl w:val="1"/>
                <w:numId w:val="39"/>
              </w:numPr>
              <w:spacing w:after="100" w:afterAutospacing="1"/>
              <w:rPr>
                <w:rFonts w:cs="Times New Roman"/>
                <w:color w:val="000000"/>
                <w:shd w:val="clear" w:color="auto" w:fill="FFFFFF"/>
              </w:rPr>
            </w:pPr>
            <w:r w:rsidRPr="00F012F8">
              <w:rPr>
                <w:rFonts w:cs="Times New Roman"/>
                <w:color w:val="000000"/>
                <w:shd w:val="clear" w:color="auto" w:fill="FFFFFF"/>
              </w:rPr>
              <w:t xml:space="preserve">Céphalée, trouble visuel, confusion </w:t>
            </w:r>
          </w:p>
        </w:tc>
        <w:tc>
          <w:tcPr>
            <w:tcW w:w="2919" w:type="dxa"/>
          </w:tcPr>
          <w:p w:rsidR="00525341" w:rsidRPr="00F012F8" w:rsidRDefault="00D6359B" w:rsidP="001A1752">
            <w:pPr>
              <w:pStyle w:val="Paragraphedeliste"/>
              <w:numPr>
                <w:ilvl w:val="0"/>
                <w:numId w:val="38"/>
              </w:numPr>
              <w:spacing w:after="100" w:afterAutospacing="1"/>
              <w:rPr>
                <w:rFonts w:cs="Times New Roman"/>
                <w:color w:val="000000"/>
                <w:shd w:val="clear" w:color="auto" w:fill="FFFFFF"/>
              </w:rPr>
            </w:pPr>
            <w:r w:rsidRPr="00F012F8">
              <w:rPr>
                <w:rFonts w:cs="Times New Roman"/>
                <w:color w:val="000000"/>
                <w:shd w:val="clear" w:color="auto" w:fill="FFFFFF"/>
              </w:rPr>
              <w:t>Érythrocytose isolée</w:t>
            </w:r>
          </w:p>
          <w:p w:rsidR="00A76A9A" w:rsidRPr="00F012F8" w:rsidRDefault="00A76A9A" w:rsidP="001A1752">
            <w:pPr>
              <w:pStyle w:val="Paragraphedeliste"/>
              <w:numPr>
                <w:ilvl w:val="0"/>
                <w:numId w:val="38"/>
              </w:numPr>
              <w:spacing w:after="100" w:afterAutospacing="1"/>
              <w:rPr>
                <w:rFonts w:cs="Times New Roman"/>
                <w:color w:val="000000"/>
                <w:shd w:val="clear" w:color="auto" w:fill="FFFFFF"/>
              </w:rPr>
            </w:pPr>
            <w:r w:rsidRPr="00F012F8">
              <w:rPr>
                <w:rFonts w:cs="Times New Roman"/>
                <w:color w:val="000000"/>
                <w:shd w:val="clear" w:color="auto" w:fill="FFFFFF"/>
              </w:rPr>
              <w:t>Parfois carboxy HB ↑ &gt;2%  si tabagisme</w:t>
            </w:r>
          </w:p>
          <w:p w:rsidR="00A76A9A" w:rsidRPr="00F012F8" w:rsidRDefault="00A76A9A" w:rsidP="003C6E1A">
            <w:pPr>
              <w:spacing w:after="100" w:afterAutospacing="1"/>
              <w:rPr>
                <w:rFonts w:cs="Times New Roman"/>
                <w:color w:val="000000"/>
                <w:shd w:val="clear" w:color="auto" w:fill="FFFFFF"/>
              </w:rPr>
            </w:pPr>
          </w:p>
        </w:tc>
      </w:tr>
      <w:tr w:rsidR="00A35E51" w:rsidRPr="00F012F8" w:rsidTr="00FC272A">
        <w:tc>
          <w:tcPr>
            <w:tcW w:w="2660" w:type="dxa"/>
          </w:tcPr>
          <w:p w:rsidR="00A76A9A" w:rsidRPr="00F012F8" w:rsidRDefault="00A76A9A" w:rsidP="00D6359B">
            <w:pPr>
              <w:rPr>
                <w:rFonts w:cs="Times New Roman"/>
                <w:color w:val="000000"/>
                <w:u w:val="single"/>
                <w:shd w:val="clear" w:color="auto" w:fill="FFFFFF"/>
              </w:rPr>
            </w:pPr>
          </w:p>
          <w:p w:rsidR="00D217A9" w:rsidRPr="00F012F8" w:rsidRDefault="00D217A9" w:rsidP="00D6359B">
            <w:pPr>
              <w:rPr>
                <w:rFonts w:cs="Times New Roman"/>
                <w:color w:val="000000"/>
                <w:u w:val="single"/>
                <w:shd w:val="clear" w:color="auto" w:fill="FFFFFF"/>
              </w:rPr>
            </w:pPr>
            <w:r w:rsidRPr="00F012F8">
              <w:rPr>
                <w:rFonts w:cs="Times New Roman"/>
                <w:color w:val="000000"/>
                <w:highlight w:val="yellow"/>
                <w:u w:val="single"/>
                <w:shd w:val="clear" w:color="auto" w:fill="FFFFFF"/>
              </w:rPr>
              <w:t>Atteinte cardiopulmonaire</w:t>
            </w:r>
          </w:p>
          <w:p w:rsidR="00D6359B" w:rsidRPr="00F012F8" w:rsidRDefault="00D6359B" w:rsidP="001A1752">
            <w:pPr>
              <w:pStyle w:val="Paragraphedeliste"/>
              <w:numPr>
                <w:ilvl w:val="0"/>
                <w:numId w:val="37"/>
              </w:numPr>
              <w:spacing w:after="100" w:afterAutospacing="1"/>
              <w:rPr>
                <w:rFonts w:cs="Times New Roman"/>
                <w:color w:val="000000"/>
                <w:shd w:val="clear" w:color="auto" w:fill="FFFFFF"/>
              </w:rPr>
            </w:pPr>
            <w:r w:rsidRPr="00F012F8">
              <w:rPr>
                <w:rFonts w:cs="Times New Roman"/>
                <w:color w:val="000000"/>
                <w:shd w:val="clear" w:color="auto" w:fill="FFFFFF"/>
              </w:rPr>
              <w:t>MPOC</w:t>
            </w:r>
          </w:p>
          <w:p w:rsidR="00D6359B" w:rsidRPr="00F012F8" w:rsidRDefault="00D6359B" w:rsidP="001A1752">
            <w:pPr>
              <w:pStyle w:val="Paragraphedeliste"/>
              <w:numPr>
                <w:ilvl w:val="0"/>
                <w:numId w:val="37"/>
              </w:numPr>
              <w:spacing w:after="100" w:afterAutospacing="1"/>
              <w:rPr>
                <w:rFonts w:cs="Times New Roman"/>
                <w:color w:val="000000"/>
                <w:shd w:val="clear" w:color="auto" w:fill="FFFFFF"/>
              </w:rPr>
            </w:pPr>
            <w:r w:rsidRPr="00F012F8">
              <w:rPr>
                <w:rFonts w:cs="Times New Roman"/>
                <w:color w:val="000000"/>
                <w:shd w:val="clear" w:color="auto" w:fill="FFFFFF"/>
              </w:rPr>
              <w:t>Syndrome d’apnée-hypopnée du sommeil (SAHS)</w:t>
            </w:r>
          </w:p>
          <w:p w:rsidR="00D6359B" w:rsidRPr="00F012F8" w:rsidRDefault="00D6359B" w:rsidP="001A1752">
            <w:pPr>
              <w:pStyle w:val="Paragraphedeliste"/>
              <w:numPr>
                <w:ilvl w:val="0"/>
                <w:numId w:val="37"/>
              </w:numPr>
              <w:spacing w:after="100" w:afterAutospacing="1"/>
              <w:rPr>
                <w:rFonts w:cs="Times New Roman"/>
                <w:color w:val="000000"/>
                <w:shd w:val="clear" w:color="auto" w:fill="FFFFFF"/>
              </w:rPr>
            </w:pPr>
            <w:r w:rsidRPr="00F012F8">
              <w:rPr>
                <w:rFonts w:cs="Times New Roman"/>
                <w:color w:val="000000"/>
                <w:shd w:val="clear" w:color="auto" w:fill="FFFFFF"/>
              </w:rPr>
              <w:t>Hypertension pulmonaire</w:t>
            </w:r>
          </w:p>
          <w:p w:rsidR="00685533" w:rsidRPr="00F012F8" w:rsidRDefault="00685533" w:rsidP="00FC272A">
            <w:pPr>
              <w:pStyle w:val="Paragraphedeliste"/>
              <w:numPr>
                <w:ilvl w:val="0"/>
                <w:numId w:val="37"/>
              </w:numPr>
              <w:rPr>
                <w:rFonts w:cs="Times New Roman"/>
                <w:color w:val="000000"/>
                <w:shd w:val="clear" w:color="auto" w:fill="FFFFFF"/>
              </w:rPr>
            </w:pPr>
            <w:r w:rsidRPr="00F012F8">
              <w:rPr>
                <w:rFonts w:cs="Times New Roman"/>
                <w:color w:val="000000"/>
                <w:shd w:val="clear" w:color="auto" w:fill="FFFFFF"/>
              </w:rPr>
              <w:t>Shunt cardiaque D→G</w:t>
            </w:r>
          </w:p>
        </w:tc>
        <w:tc>
          <w:tcPr>
            <w:tcW w:w="2547" w:type="dxa"/>
            <w:gridSpan w:val="2"/>
          </w:tcPr>
          <w:p w:rsidR="00D217A9" w:rsidRPr="00F012F8" w:rsidRDefault="004046D7" w:rsidP="003C6E1A">
            <w:pPr>
              <w:spacing w:after="100" w:afterAutospacing="1"/>
              <w:rPr>
                <w:rFonts w:cs="Times New Roman"/>
                <w:color w:val="000000"/>
                <w:shd w:val="clear" w:color="auto" w:fill="FFFFFF"/>
              </w:rPr>
            </w:pPr>
            <w:r w:rsidRPr="00F012F8">
              <w:rPr>
                <w:rFonts w:cs="Times New Roman"/>
                <w:color w:val="000000"/>
                <w:shd w:val="clear" w:color="auto" w:fill="FFFFFF"/>
              </w:rPr>
              <w:t>Variable, voir polyglobulie</w:t>
            </w:r>
          </w:p>
          <w:p w:rsidR="004046D7" w:rsidRPr="00F012F8" w:rsidRDefault="004046D7" w:rsidP="003C6E1A">
            <w:pPr>
              <w:spacing w:after="100" w:afterAutospacing="1"/>
              <w:rPr>
                <w:rFonts w:cs="Times New Roman"/>
                <w:color w:val="000000"/>
                <w:shd w:val="clear" w:color="auto" w:fill="FFFFFF"/>
              </w:rPr>
            </w:pPr>
            <w:r w:rsidRPr="00F012F8">
              <w:rPr>
                <w:rFonts w:cs="Times New Roman"/>
                <w:color w:val="000000"/>
                <w:shd w:val="clear" w:color="auto" w:fill="FFFFFF"/>
              </w:rPr>
              <w:t>Selon étiologie (toux matinale, surinfections, dyspnée d’effort, etc.)</w:t>
            </w:r>
          </w:p>
        </w:tc>
        <w:tc>
          <w:tcPr>
            <w:tcW w:w="2890" w:type="dxa"/>
          </w:tcPr>
          <w:p w:rsidR="004046D7" w:rsidRPr="00F012F8" w:rsidRDefault="004046D7" w:rsidP="001A1752">
            <w:pPr>
              <w:pStyle w:val="Paragraphedeliste"/>
              <w:numPr>
                <w:ilvl w:val="0"/>
                <w:numId w:val="40"/>
              </w:numPr>
              <w:spacing w:after="100" w:afterAutospacing="1"/>
              <w:rPr>
                <w:rFonts w:cs="Times New Roman"/>
                <w:color w:val="000000"/>
                <w:shd w:val="clear" w:color="auto" w:fill="FFFFFF"/>
              </w:rPr>
            </w:pPr>
            <w:r w:rsidRPr="00F012F8">
              <w:rPr>
                <w:rFonts w:cs="Times New Roman"/>
                <w:color w:val="000000"/>
                <w:shd w:val="clear" w:color="auto" w:fill="FFFFFF"/>
              </w:rPr>
              <w:t>SaO</w:t>
            </w:r>
            <w:r w:rsidRPr="00F012F8">
              <w:rPr>
                <w:rFonts w:cs="Times New Roman"/>
                <w:color w:val="000000"/>
                <w:shd w:val="clear" w:color="auto" w:fill="FFFFFF"/>
                <w:vertAlign w:val="subscript"/>
              </w:rPr>
              <w:t>2</w:t>
            </w:r>
            <w:r w:rsidRPr="00F012F8">
              <w:rPr>
                <w:rFonts w:cs="Times New Roman"/>
                <w:color w:val="000000"/>
                <w:shd w:val="clear" w:color="auto" w:fill="FFFFFF"/>
              </w:rPr>
              <w:t xml:space="preserve"> abaissée</w:t>
            </w:r>
          </w:p>
          <w:p w:rsidR="004046D7" w:rsidRPr="00F012F8" w:rsidRDefault="004046D7" w:rsidP="001A1752">
            <w:pPr>
              <w:pStyle w:val="Paragraphedeliste"/>
              <w:numPr>
                <w:ilvl w:val="0"/>
                <w:numId w:val="40"/>
              </w:numPr>
              <w:spacing w:after="100" w:afterAutospacing="1"/>
              <w:rPr>
                <w:rFonts w:cs="Times New Roman"/>
                <w:color w:val="000000"/>
                <w:shd w:val="clear" w:color="auto" w:fill="FFFFFF"/>
              </w:rPr>
            </w:pPr>
            <w:r w:rsidRPr="00F012F8">
              <w:rPr>
                <w:rFonts w:cs="Times New Roman"/>
                <w:color w:val="000000"/>
                <w:shd w:val="clear" w:color="auto" w:fill="FFFFFF"/>
              </w:rPr>
              <w:t>Reste variable selon étiologie</w:t>
            </w:r>
          </w:p>
          <w:p w:rsidR="00D217A9" w:rsidRPr="00F012F8" w:rsidRDefault="00D217A9" w:rsidP="003C6E1A">
            <w:pPr>
              <w:spacing w:after="100" w:afterAutospacing="1"/>
              <w:rPr>
                <w:rFonts w:cs="Times New Roman"/>
                <w:color w:val="000000"/>
                <w:shd w:val="clear" w:color="auto" w:fill="FFFFFF"/>
              </w:rPr>
            </w:pPr>
          </w:p>
        </w:tc>
        <w:tc>
          <w:tcPr>
            <w:tcW w:w="2919" w:type="dxa"/>
          </w:tcPr>
          <w:p w:rsidR="00D217A9" w:rsidRPr="00F012F8" w:rsidRDefault="004046D7" w:rsidP="001A1752">
            <w:pPr>
              <w:pStyle w:val="Paragraphedeliste"/>
              <w:numPr>
                <w:ilvl w:val="0"/>
                <w:numId w:val="40"/>
              </w:numPr>
              <w:spacing w:after="100" w:afterAutospacing="1"/>
              <w:rPr>
                <w:rFonts w:cs="Times New Roman"/>
                <w:color w:val="000000"/>
                <w:shd w:val="clear" w:color="auto" w:fill="FFFFFF"/>
              </w:rPr>
            </w:pPr>
            <w:r w:rsidRPr="00F012F8">
              <w:rPr>
                <w:rFonts w:cs="Times New Roman"/>
                <w:color w:val="000000"/>
                <w:shd w:val="clear" w:color="auto" w:fill="FFFFFF"/>
              </w:rPr>
              <w:t>Érythrocytose isolée</w:t>
            </w:r>
          </w:p>
          <w:p w:rsidR="00A76A9A" w:rsidRPr="00F012F8" w:rsidRDefault="00A76A9A" w:rsidP="001A1752">
            <w:pPr>
              <w:pStyle w:val="Paragraphedeliste"/>
              <w:numPr>
                <w:ilvl w:val="0"/>
                <w:numId w:val="40"/>
              </w:numPr>
              <w:spacing w:after="100" w:afterAutospacing="1"/>
              <w:rPr>
                <w:rFonts w:cs="Times New Roman"/>
                <w:color w:val="000000"/>
                <w:shd w:val="clear" w:color="auto" w:fill="FFFFFF"/>
              </w:rPr>
            </w:pPr>
            <w:r w:rsidRPr="00F012F8">
              <w:rPr>
                <w:rFonts w:cs="Times New Roman"/>
                <w:color w:val="000000"/>
                <w:shd w:val="clear" w:color="auto" w:fill="FFFFFF"/>
              </w:rPr>
              <w:t>Parfois carboxy HB ↑ &gt;2%  si tabagisme</w:t>
            </w:r>
          </w:p>
        </w:tc>
      </w:tr>
      <w:tr w:rsidR="004A26D4" w:rsidRPr="00F012F8" w:rsidTr="00FC272A">
        <w:tc>
          <w:tcPr>
            <w:tcW w:w="2660" w:type="dxa"/>
          </w:tcPr>
          <w:p w:rsidR="004A26D4" w:rsidRPr="00F012F8" w:rsidRDefault="004A26D4" w:rsidP="00685533">
            <w:pPr>
              <w:rPr>
                <w:rFonts w:cs="Times New Roman"/>
                <w:color w:val="000000"/>
                <w:shd w:val="clear" w:color="auto" w:fill="FFFFFF"/>
              </w:rPr>
            </w:pPr>
            <w:r w:rsidRPr="00F012F8">
              <w:rPr>
                <w:rFonts w:cs="Times New Roman"/>
                <w:color w:val="000000"/>
                <w:shd w:val="clear" w:color="auto" w:fill="FFFFFF"/>
              </w:rPr>
              <w:t>Défaut de l’HB</w:t>
            </w:r>
          </w:p>
          <w:p w:rsidR="004A26D4" w:rsidRPr="00F012F8" w:rsidRDefault="004A26D4" w:rsidP="001A1752">
            <w:pPr>
              <w:pStyle w:val="Paragraphedeliste"/>
              <w:numPr>
                <w:ilvl w:val="0"/>
                <w:numId w:val="41"/>
              </w:numPr>
              <w:spacing w:after="100" w:afterAutospacing="1"/>
              <w:rPr>
                <w:rFonts w:cs="Times New Roman"/>
                <w:color w:val="000000"/>
                <w:shd w:val="clear" w:color="auto" w:fill="FFFFFF"/>
              </w:rPr>
            </w:pPr>
            <w:r w:rsidRPr="00F012F8">
              <w:rPr>
                <w:rFonts w:cs="Times New Roman"/>
                <w:color w:val="000000"/>
                <w:highlight w:val="yellow"/>
                <w:u w:val="single"/>
                <w:shd w:val="clear" w:color="auto" w:fill="FFFFFF"/>
              </w:rPr>
              <w:t>Méthémoglobinémie</w:t>
            </w:r>
            <w:r w:rsidRPr="00F012F8">
              <w:rPr>
                <w:rFonts w:cs="Times New Roman"/>
                <w:color w:val="000000"/>
                <w:u w:val="single"/>
                <w:shd w:val="clear" w:color="auto" w:fill="FFFFFF"/>
              </w:rPr>
              <w:t xml:space="preserve"> </w:t>
            </w:r>
          </w:p>
          <w:p w:rsidR="004A26D4" w:rsidRPr="00F012F8" w:rsidRDefault="004A26D4" w:rsidP="001A1752">
            <w:pPr>
              <w:pStyle w:val="Paragraphedeliste"/>
              <w:numPr>
                <w:ilvl w:val="0"/>
                <w:numId w:val="41"/>
              </w:numPr>
              <w:spacing w:after="100" w:afterAutospacing="1"/>
              <w:rPr>
                <w:rFonts w:cs="Times New Roman"/>
                <w:color w:val="000000"/>
                <w:shd w:val="clear" w:color="auto" w:fill="FFFFFF"/>
              </w:rPr>
            </w:pPr>
            <w:r w:rsidRPr="00F012F8">
              <w:rPr>
                <w:rFonts w:cs="Times New Roman"/>
                <w:color w:val="000000"/>
                <w:shd w:val="clear" w:color="auto" w:fill="FFFFFF"/>
              </w:rPr>
              <w:t>Hémoglobinopathies congénitales</w:t>
            </w:r>
          </w:p>
        </w:tc>
        <w:tc>
          <w:tcPr>
            <w:tcW w:w="5437" w:type="dxa"/>
            <w:gridSpan w:val="3"/>
          </w:tcPr>
          <w:p w:rsidR="004A26D4" w:rsidRPr="00FC272A" w:rsidRDefault="004A26D4" w:rsidP="00FC272A">
            <w:pPr>
              <w:pStyle w:val="Paragraphedeliste"/>
              <w:numPr>
                <w:ilvl w:val="0"/>
                <w:numId w:val="41"/>
              </w:numPr>
              <w:rPr>
                <w:rFonts w:cs="Times New Roman"/>
                <w:color w:val="000000"/>
                <w:shd w:val="clear" w:color="auto" w:fill="FFFFFF"/>
              </w:rPr>
            </w:pPr>
            <w:r w:rsidRPr="00FC272A">
              <w:rPr>
                <w:rFonts w:cs="Times New Roman"/>
                <w:color w:val="000000"/>
                <w:shd w:val="clear" w:color="auto" w:fill="FFFFFF"/>
              </w:rPr>
              <w:t>Variables</w:t>
            </w:r>
          </w:p>
          <w:p w:rsidR="004A26D4" w:rsidRPr="00FC272A" w:rsidRDefault="004A26D4" w:rsidP="00FC272A">
            <w:pPr>
              <w:pStyle w:val="Paragraphedeliste"/>
              <w:numPr>
                <w:ilvl w:val="0"/>
                <w:numId w:val="41"/>
              </w:numPr>
              <w:spacing w:after="100" w:afterAutospacing="1"/>
              <w:rPr>
                <w:rFonts w:cs="Times New Roman"/>
                <w:color w:val="000000"/>
                <w:shd w:val="clear" w:color="auto" w:fill="FFFFFF"/>
              </w:rPr>
            </w:pPr>
            <w:r w:rsidRPr="00FC272A">
              <w:rPr>
                <w:rFonts w:cs="Times New Roman"/>
                <w:color w:val="000000"/>
                <w:shd w:val="clear" w:color="auto" w:fill="FFFFFF"/>
              </w:rPr>
              <w:t>Synthèse d’MTHB accrue par anomalie du NADPH congénitale ou par une prise de médicaments (Dapsone, analgésiques topiques de type –caïne)</w:t>
            </w:r>
          </w:p>
        </w:tc>
        <w:tc>
          <w:tcPr>
            <w:tcW w:w="2919" w:type="dxa"/>
          </w:tcPr>
          <w:p w:rsidR="004A26D4" w:rsidRPr="00F012F8" w:rsidRDefault="004A26D4" w:rsidP="001A1752">
            <w:pPr>
              <w:pStyle w:val="Paragraphedeliste"/>
              <w:numPr>
                <w:ilvl w:val="0"/>
                <w:numId w:val="44"/>
              </w:numPr>
              <w:spacing w:after="100" w:afterAutospacing="1"/>
              <w:rPr>
                <w:rFonts w:cs="Times New Roman"/>
                <w:color w:val="000000"/>
                <w:shd w:val="clear" w:color="auto" w:fill="FFFFFF"/>
              </w:rPr>
            </w:pPr>
            <w:r w:rsidRPr="00F012F8">
              <w:rPr>
                <w:rFonts w:cs="Times New Roman"/>
                <w:color w:val="000000"/>
                <w:highlight w:val="yellow"/>
                <w:shd w:val="clear" w:color="auto" w:fill="FFFFFF"/>
              </w:rPr>
              <w:t>Methémoglobinémie &gt; 3%</w:t>
            </w:r>
          </w:p>
        </w:tc>
      </w:tr>
      <w:tr w:rsidR="00F43C25" w:rsidRPr="00F012F8" w:rsidTr="002D18E8">
        <w:tc>
          <w:tcPr>
            <w:tcW w:w="11016" w:type="dxa"/>
            <w:gridSpan w:val="5"/>
            <w:shd w:val="clear" w:color="auto" w:fill="FF0000"/>
          </w:tcPr>
          <w:p w:rsidR="00F43C25" w:rsidRPr="00F012F8" w:rsidRDefault="00F43C25" w:rsidP="00F43C25">
            <w:pPr>
              <w:spacing w:after="100" w:afterAutospacing="1"/>
              <w:jc w:val="center"/>
              <w:rPr>
                <w:rFonts w:cs="Times New Roman"/>
                <w:b/>
                <w:color w:val="000000"/>
                <w:shd w:val="clear" w:color="auto" w:fill="FFFFFF"/>
              </w:rPr>
            </w:pPr>
            <w:r w:rsidRPr="002D18E8">
              <w:rPr>
                <w:rFonts w:cs="Times New Roman"/>
                <w:b/>
                <w:color w:val="000000"/>
                <w:highlight w:val="red"/>
                <w:shd w:val="clear" w:color="auto" w:fill="FFFFFF"/>
              </w:rPr>
              <w:t>Érythrocytose secondaire – (sécrétion inappropriée d’EPO</w:t>
            </w:r>
            <w:r w:rsidR="00685533" w:rsidRPr="002D18E8">
              <w:rPr>
                <w:rFonts w:cs="Times New Roman"/>
                <w:b/>
                <w:color w:val="000000"/>
                <w:highlight w:val="red"/>
                <w:shd w:val="clear" w:color="auto" w:fill="FFFFFF"/>
              </w:rPr>
              <w:t xml:space="preserve"> ou d’une substance analogue</w:t>
            </w:r>
            <w:r w:rsidRPr="002D18E8">
              <w:rPr>
                <w:rFonts w:cs="Times New Roman"/>
                <w:b/>
                <w:color w:val="000000"/>
                <w:highlight w:val="red"/>
                <w:shd w:val="clear" w:color="auto" w:fill="FFFFFF"/>
              </w:rPr>
              <w:t>)</w:t>
            </w:r>
          </w:p>
        </w:tc>
      </w:tr>
      <w:tr w:rsidR="003736C8" w:rsidRPr="00F012F8" w:rsidTr="00FC272A">
        <w:tc>
          <w:tcPr>
            <w:tcW w:w="2888" w:type="dxa"/>
            <w:gridSpan w:val="2"/>
          </w:tcPr>
          <w:p w:rsidR="00F43C25" w:rsidRPr="00F012F8" w:rsidRDefault="00F43C25" w:rsidP="00685533">
            <w:pPr>
              <w:spacing w:after="100" w:afterAutospacing="1"/>
              <w:jc w:val="center"/>
              <w:rPr>
                <w:rFonts w:cs="Times New Roman"/>
                <w:i/>
                <w:color w:val="000000"/>
                <w:shd w:val="clear" w:color="auto" w:fill="FFFFFF"/>
              </w:rPr>
            </w:pPr>
            <w:r w:rsidRPr="00F012F8">
              <w:rPr>
                <w:rFonts w:cs="Times New Roman"/>
                <w:i/>
                <w:color w:val="000000"/>
                <w:shd w:val="clear" w:color="auto" w:fill="FFFFFF"/>
              </w:rPr>
              <w:t>Étiologie – Facteurs de risque</w:t>
            </w:r>
          </w:p>
        </w:tc>
        <w:tc>
          <w:tcPr>
            <w:tcW w:w="2319" w:type="dxa"/>
          </w:tcPr>
          <w:p w:rsidR="00F43C25" w:rsidRPr="00F012F8" w:rsidRDefault="00F43C25" w:rsidP="00685533">
            <w:pPr>
              <w:spacing w:after="100" w:afterAutospacing="1"/>
              <w:jc w:val="center"/>
              <w:rPr>
                <w:rFonts w:cs="Times New Roman"/>
                <w:i/>
                <w:color w:val="000000"/>
                <w:shd w:val="clear" w:color="auto" w:fill="FFFFFF"/>
              </w:rPr>
            </w:pPr>
            <w:r w:rsidRPr="00F012F8">
              <w:rPr>
                <w:rFonts w:cs="Times New Roman"/>
                <w:i/>
                <w:color w:val="000000"/>
                <w:shd w:val="clear" w:color="auto" w:fill="FFFFFF"/>
              </w:rPr>
              <w:t>Symptômes</w:t>
            </w:r>
          </w:p>
        </w:tc>
        <w:tc>
          <w:tcPr>
            <w:tcW w:w="2890" w:type="dxa"/>
          </w:tcPr>
          <w:p w:rsidR="00F43C25" w:rsidRPr="00F012F8" w:rsidRDefault="00F43C25" w:rsidP="00685533">
            <w:pPr>
              <w:spacing w:after="100" w:afterAutospacing="1"/>
              <w:jc w:val="center"/>
              <w:rPr>
                <w:rFonts w:cs="Times New Roman"/>
                <w:i/>
                <w:color w:val="000000"/>
                <w:shd w:val="clear" w:color="auto" w:fill="FFFFFF"/>
              </w:rPr>
            </w:pPr>
            <w:r w:rsidRPr="00F012F8">
              <w:rPr>
                <w:rFonts w:cs="Times New Roman"/>
                <w:i/>
                <w:color w:val="000000"/>
                <w:shd w:val="clear" w:color="auto" w:fill="FFFFFF"/>
              </w:rPr>
              <w:t>Signes physiques</w:t>
            </w:r>
          </w:p>
        </w:tc>
        <w:tc>
          <w:tcPr>
            <w:tcW w:w="2919" w:type="dxa"/>
          </w:tcPr>
          <w:p w:rsidR="00F43C25" w:rsidRPr="00F012F8" w:rsidRDefault="00F43C25" w:rsidP="00685533">
            <w:pPr>
              <w:spacing w:after="100" w:afterAutospacing="1"/>
              <w:jc w:val="center"/>
              <w:rPr>
                <w:rFonts w:cs="Times New Roman"/>
                <w:i/>
                <w:color w:val="000000"/>
                <w:shd w:val="clear" w:color="auto" w:fill="FFFFFF"/>
              </w:rPr>
            </w:pPr>
            <w:r w:rsidRPr="00F012F8">
              <w:rPr>
                <w:rFonts w:cs="Times New Roman"/>
                <w:i/>
                <w:color w:val="000000"/>
                <w:shd w:val="clear" w:color="auto" w:fill="FFFFFF"/>
              </w:rPr>
              <w:t>Valeurs de labos</w:t>
            </w:r>
          </w:p>
        </w:tc>
      </w:tr>
      <w:tr w:rsidR="003736C8" w:rsidRPr="00F012F8" w:rsidTr="00FC272A">
        <w:tc>
          <w:tcPr>
            <w:tcW w:w="2888" w:type="dxa"/>
            <w:gridSpan w:val="2"/>
          </w:tcPr>
          <w:p w:rsidR="00685533" w:rsidRPr="00F012F8" w:rsidRDefault="00685533" w:rsidP="00685533">
            <w:pPr>
              <w:rPr>
                <w:rFonts w:cs="Times New Roman"/>
                <w:color w:val="000000"/>
                <w:u w:val="single"/>
                <w:shd w:val="clear" w:color="auto" w:fill="FFFFFF"/>
              </w:rPr>
            </w:pPr>
          </w:p>
          <w:p w:rsidR="00685533" w:rsidRPr="00F012F8" w:rsidRDefault="00D217A9" w:rsidP="00685533">
            <w:pPr>
              <w:rPr>
                <w:rFonts w:cs="Times New Roman"/>
                <w:color w:val="000000"/>
                <w:u w:val="single"/>
                <w:shd w:val="clear" w:color="auto" w:fill="FFFFFF"/>
              </w:rPr>
            </w:pPr>
            <w:r w:rsidRPr="00F012F8">
              <w:rPr>
                <w:rFonts w:cs="Times New Roman"/>
                <w:color w:val="000000"/>
                <w:highlight w:val="yellow"/>
                <w:u w:val="single"/>
                <w:shd w:val="clear" w:color="auto" w:fill="FFFFFF"/>
              </w:rPr>
              <w:t>Néoplasies</w:t>
            </w:r>
          </w:p>
          <w:p w:rsidR="00685533" w:rsidRPr="00F012F8" w:rsidRDefault="00685533" w:rsidP="001A1752">
            <w:pPr>
              <w:pStyle w:val="Paragraphedeliste"/>
              <w:numPr>
                <w:ilvl w:val="0"/>
                <w:numId w:val="43"/>
              </w:numPr>
              <w:spacing w:after="100" w:afterAutospacing="1"/>
              <w:rPr>
                <w:rFonts w:cs="Times New Roman"/>
                <w:color w:val="000000"/>
                <w:shd w:val="clear" w:color="auto" w:fill="FFFFFF"/>
              </w:rPr>
            </w:pPr>
            <w:r w:rsidRPr="00F012F8">
              <w:rPr>
                <w:rFonts w:cs="Times New Roman"/>
                <w:color w:val="000000"/>
                <w:shd w:val="clear" w:color="auto" w:fill="FFFFFF"/>
              </w:rPr>
              <w:t>Ph</w:t>
            </w:r>
            <w:r w:rsidR="00A805D8" w:rsidRPr="00F012F8">
              <w:rPr>
                <w:rFonts w:cs="Times New Roman"/>
                <w:color w:val="000000"/>
                <w:shd w:val="clear" w:color="auto" w:fill="FFFFFF"/>
              </w:rPr>
              <w:t>é</w:t>
            </w:r>
            <w:r w:rsidRPr="00F012F8">
              <w:rPr>
                <w:rFonts w:cs="Times New Roman"/>
                <w:color w:val="000000"/>
                <w:shd w:val="clear" w:color="auto" w:fill="FFFFFF"/>
              </w:rPr>
              <w:t>ochromocytome</w:t>
            </w:r>
          </w:p>
          <w:p w:rsidR="00685533" w:rsidRPr="00F012F8" w:rsidRDefault="00685533" w:rsidP="001A1752">
            <w:pPr>
              <w:pStyle w:val="Paragraphedeliste"/>
              <w:numPr>
                <w:ilvl w:val="0"/>
                <w:numId w:val="43"/>
              </w:numPr>
              <w:spacing w:after="100" w:afterAutospacing="1"/>
              <w:rPr>
                <w:rFonts w:cs="Times New Roman"/>
                <w:color w:val="000000"/>
                <w:shd w:val="clear" w:color="auto" w:fill="FFFFFF"/>
              </w:rPr>
            </w:pPr>
            <w:r w:rsidRPr="00F012F8">
              <w:rPr>
                <w:rFonts w:cs="Times New Roman"/>
                <w:color w:val="000000"/>
                <w:shd w:val="clear" w:color="auto" w:fill="FFFFFF"/>
              </w:rPr>
              <w:t>Léiomyome utérin</w:t>
            </w:r>
          </w:p>
          <w:p w:rsidR="00685533" w:rsidRPr="00F012F8" w:rsidRDefault="00685533" w:rsidP="001A1752">
            <w:pPr>
              <w:pStyle w:val="Paragraphedeliste"/>
              <w:numPr>
                <w:ilvl w:val="0"/>
                <w:numId w:val="43"/>
              </w:numPr>
              <w:spacing w:after="100" w:afterAutospacing="1"/>
              <w:rPr>
                <w:rFonts w:cs="Times New Roman"/>
                <w:color w:val="000000"/>
                <w:shd w:val="clear" w:color="auto" w:fill="FFFFFF"/>
              </w:rPr>
            </w:pPr>
            <w:r w:rsidRPr="00F012F8">
              <w:rPr>
                <w:rFonts w:cs="Times New Roman"/>
                <w:color w:val="000000"/>
                <w:shd w:val="clear" w:color="auto" w:fill="FFFFFF"/>
              </w:rPr>
              <w:t>Tumeur ovarienne Hépatocarcinome</w:t>
            </w:r>
          </w:p>
          <w:p w:rsidR="00685533" w:rsidRPr="00F012F8" w:rsidRDefault="00685533" w:rsidP="001A1752">
            <w:pPr>
              <w:pStyle w:val="Paragraphedeliste"/>
              <w:numPr>
                <w:ilvl w:val="0"/>
                <w:numId w:val="43"/>
              </w:numPr>
              <w:spacing w:after="100" w:afterAutospacing="1"/>
              <w:rPr>
                <w:rFonts w:cs="Times New Roman"/>
                <w:color w:val="000000"/>
                <w:shd w:val="clear" w:color="auto" w:fill="FFFFFF"/>
              </w:rPr>
            </w:pPr>
            <w:r w:rsidRPr="00F012F8">
              <w:rPr>
                <w:rFonts w:cs="Times New Roman"/>
                <w:color w:val="000000"/>
                <w:shd w:val="clear" w:color="auto" w:fill="FFFFFF"/>
              </w:rPr>
              <w:t>Carcinome rénal</w:t>
            </w:r>
          </w:p>
          <w:p w:rsidR="00685533" w:rsidRPr="00F012F8" w:rsidRDefault="00685533" w:rsidP="001A1752">
            <w:pPr>
              <w:pStyle w:val="Paragraphedeliste"/>
              <w:numPr>
                <w:ilvl w:val="0"/>
                <w:numId w:val="43"/>
              </w:numPr>
              <w:spacing w:after="100" w:afterAutospacing="1"/>
              <w:rPr>
                <w:rFonts w:cs="Times New Roman"/>
                <w:color w:val="000000"/>
                <w:shd w:val="clear" w:color="auto" w:fill="FFFFFF"/>
              </w:rPr>
            </w:pPr>
            <w:r w:rsidRPr="00F012F8">
              <w:rPr>
                <w:rFonts w:cs="Times New Roman"/>
                <w:color w:val="000000"/>
                <w:shd w:val="clear" w:color="auto" w:fill="FFFFFF"/>
              </w:rPr>
              <w:t>Hémangioblastome cérébelleux</w:t>
            </w:r>
          </w:p>
        </w:tc>
        <w:tc>
          <w:tcPr>
            <w:tcW w:w="2319" w:type="dxa"/>
          </w:tcPr>
          <w:p w:rsidR="003736C8" w:rsidRPr="00F012F8" w:rsidRDefault="003736C8" w:rsidP="003736C8">
            <w:pPr>
              <w:pStyle w:val="Paragraphedeliste"/>
              <w:spacing w:after="100" w:afterAutospacing="1"/>
              <w:ind w:left="360"/>
              <w:rPr>
                <w:rFonts w:cs="Times New Roman"/>
                <w:color w:val="000000"/>
                <w:shd w:val="clear" w:color="auto" w:fill="FFFFFF"/>
              </w:rPr>
            </w:pPr>
          </w:p>
          <w:p w:rsidR="003736C8" w:rsidRPr="00F012F8" w:rsidRDefault="003736C8" w:rsidP="003736C8">
            <w:pPr>
              <w:pStyle w:val="Paragraphedeliste"/>
              <w:spacing w:after="100" w:afterAutospacing="1"/>
              <w:ind w:left="360"/>
              <w:rPr>
                <w:rFonts w:cs="Times New Roman"/>
                <w:color w:val="000000"/>
                <w:shd w:val="clear" w:color="auto" w:fill="FFFFFF"/>
              </w:rPr>
            </w:pPr>
          </w:p>
          <w:p w:rsidR="00525341" w:rsidRPr="00F012F8" w:rsidRDefault="00A805D8" w:rsidP="001A1752">
            <w:pPr>
              <w:pStyle w:val="Paragraphedeliste"/>
              <w:numPr>
                <w:ilvl w:val="0"/>
                <w:numId w:val="43"/>
              </w:numPr>
              <w:spacing w:after="100" w:afterAutospacing="1"/>
              <w:rPr>
                <w:rFonts w:cs="Times New Roman"/>
                <w:color w:val="000000"/>
                <w:shd w:val="clear" w:color="auto" w:fill="FFFFFF"/>
              </w:rPr>
            </w:pPr>
            <w:r w:rsidRPr="00F012F8">
              <w:rPr>
                <w:rFonts w:cs="Times New Roman"/>
                <w:color w:val="000000"/>
                <w:shd w:val="clear" w:color="auto" w:fill="FFFFFF"/>
              </w:rPr>
              <w:t>Variable selon la tumeur en cause</w:t>
            </w:r>
          </w:p>
          <w:p w:rsidR="00A805D8" w:rsidRPr="00F012F8" w:rsidRDefault="00A805D8" w:rsidP="001A1752">
            <w:pPr>
              <w:pStyle w:val="Paragraphedeliste"/>
              <w:numPr>
                <w:ilvl w:val="0"/>
                <w:numId w:val="43"/>
              </w:numPr>
              <w:spacing w:after="100" w:afterAutospacing="1"/>
              <w:rPr>
                <w:rFonts w:cs="Times New Roman"/>
                <w:color w:val="000000"/>
                <w:shd w:val="clear" w:color="auto" w:fill="FFFFFF"/>
              </w:rPr>
            </w:pPr>
            <w:r w:rsidRPr="00F012F8">
              <w:rPr>
                <w:rFonts w:cs="Times New Roman"/>
                <w:color w:val="000000"/>
                <w:shd w:val="clear" w:color="auto" w:fill="FFFFFF"/>
              </w:rPr>
              <w:t>Sx d’hyperviscosité</w:t>
            </w:r>
          </w:p>
          <w:p w:rsidR="00A805D8" w:rsidRPr="00F012F8" w:rsidRDefault="00A805D8" w:rsidP="001A1752">
            <w:pPr>
              <w:pStyle w:val="Paragraphedeliste"/>
              <w:numPr>
                <w:ilvl w:val="0"/>
                <w:numId w:val="43"/>
              </w:numPr>
              <w:spacing w:after="100" w:afterAutospacing="1"/>
              <w:rPr>
                <w:rFonts w:cs="Times New Roman"/>
                <w:color w:val="000000"/>
                <w:shd w:val="clear" w:color="auto" w:fill="FFFFFF"/>
              </w:rPr>
            </w:pPr>
            <w:r w:rsidRPr="00F012F8">
              <w:rPr>
                <w:rFonts w:cs="Times New Roman"/>
                <w:color w:val="000000"/>
                <w:shd w:val="clear" w:color="auto" w:fill="FFFFFF"/>
              </w:rPr>
              <w:t xml:space="preserve">Parfois </w:t>
            </w:r>
            <w:r w:rsidRPr="00F012F8">
              <w:rPr>
                <w:rFonts w:cs="Times New Roman"/>
                <w:color w:val="000000"/>
                <w:highlight w:val="lightGray"/>
                <w:shd w:val="clear" w:color="auto" w:fill="FFFFFF"/>
              </w:rPr>
              <w:t>syndromes paranéoplasiques</w:t>
            </w:r>
          </w:p>
        </w:tc>
        <w:tc>
          <w:tcPr>
            <w:tcW w:w="2890" w:type="dxa"/>
          </w:tcPr>
          <w:p w:rsidR="003736C8" w:rsidRPr="00F012F8" w:rsidRDefault="003736C8" w:rsidP="003736C8">
            <w:pPr>
              <w:pStyle w:val="Paragraphedeliste"/>
              <w:spacing w:after="100" w:afterAutospacing="1"/>
              <w:ind w:left="360"/>
              <w:rPr>
                <w:rFonts w:cs="Times New Roman"/>
                <w:color w:val="000000"/>
                <w:shd w:val="clear" w:color="auto" w:fill="FFFFFF"/>
              </w:rPr>
            </w:pPr>
          </w:p>
          <w:p w:rsidR="003736C8" w:rsidRPr="00F012F8" w:rsidRDefault="003736C8" w:rsidP="003736C8">
            <w:pPr>
              <w:pStyle w:val="Paragraphedeliste"/>
              <w:spacing w:after="100" w:afterAutospacing="1"/>
              <w:ind w:left="360"/>
              <w:rPr>
                <w:rFonts w:cs="Times New Roman"/>
                <w:color w:val="000000"/>
                <w:shd w:val="clear" w:color="auto" w:fill="FFFFFF"/>
              </w:rPr>
            </w:pPr>
          </w:p>
          <w:p w:rsidR="00525341" w:rsidRPr="00F012F8" w:rsidRDefault="00A805D8" w:rsidP="001A1752">
            <w:pPr>
              <w:pStyle w:val="Paragraphedeliste"/>
              <w:numPr>
                <w:ilvl w:val="0"/>
                <w:numId w:val="54"/>
              </w:numPr>
              <w:spacing w:after="100" w:afterAutospacing="1"/>
              <w:rPr>
                <w:rFonts w:cs="Times New Roman"/>
                <w:color w:val="000000"/>
                <w:shd w:val="clear" w:color="auto" w:fill="FFFFFF"/>
              </w:rPr>
            </w:pPr>
            <w:r w:rsidRPr="00F012F8">
              <w:rPr>
                <w:rFonts w:cs="Times New Roman"/>
                <w:color w:val="000000"/>
                <w:shd w:val="clear" w:color="auto" w:fill="FFFFFF"/>
              </w:rPr>
              <w:t>Phéochromocytome (HTA, céphalée, diaphorèse)</w:t>
            </w:r>
          </w:p>
        </w:tc>
        <w:tc>
          <w:tcPr>
            <w:tcW w:w="2919" w:type="dxa"/>
          </w:tcPr>
          <w:p w:rsidR="003736C8" w:rsidRPr="00F012F8" w:rsidRDefault="003736C8" w:rsidP="003736C8">
            <w:pPr>
              <w:pStyle w:val="Paragraphedeliste"/>
              <w:spacing w:after="100" w:afterAutospacing="1"/>
              <w:ind w:left="360"/>
              <w:rPr>
                <w:rFonts w:cs="Times New Roman"/>
                <w:color w:val="000000"/>
                <w:highlight w:val="yellow"/>
                <w:shd w:val="clear" w:color="auto" w:fill="FFFFFF"/>
              </w:rPr>
            </w:pPr>
          </w:p>
          <w:p w:rsidR="003736C8" w:rsidRPr="00F012F8" w:rsidRDefault="003736C8" w:rsidP="003736C8">
            <w:pPr>
              <w:pStyle w:val="Paragraphedeliste"/>
              <w:spacing w:after="100" w:afterAutospacing="1"/>
              <w:ind w:left="360"/>
              <w:rPr>
                <w:rFonts w:cs="Times New Roman"/>
                <w:color w:val="000000"/>
                <w:highlight w:val="yellow"/>
                <w:shd w:val="clear" w:color="auto" w:fill="FFFFFF"/>
              </w:rPr>
            </w:pPr>
          </w:p>
          <w:p w:rsidR="00A805D8" w:rsidRPr="00F012F8" w:rsidRDefault="00A805D8" w:rsidP="001A1752">
            <w:pPr>
              <w:pStyle w:val="Paragraphedeliste"/>
              <w:numPr>
                <w:ilvl w:val="0"/>
                <w:numId w:val="45"/>
              </w:numPr>
              <w:spacing w:after="100" w:afterAutospacing="1"/>
              <w:rPr>
                <w:rFonts w:cs="Times New Roman"/>
                <w:color w:val="000000"/>
                <w:highlight w:val="yellow"/>
                <w:shd w:val="clear" w:color="auto" w:fill="FFFFFF"/>
              </w:rPr>
            </w:pPr>
            <w:r w:rsidRPr="00F012F8">
              <w:rPr>
                <w:rFonts w:cs="Times New Roman"/>
                <w:color w:val="000000"/>
                <w:highlight w:val="yellow"/>
                <w:shd w:val="clear" w:color="auto" w:fill="FFFFFF"/>
              </w:rPr>
              <w:t>Érythrocytose</w:t>
            </w:r>
          </w:p>
          <w:p w:rsidR="00A805D8" w:rsidRPr="00F012F8" w:rsidRDefault="00A805D8" w:rsidP="001A1752">
            <w:pPr>
              <w:pStyle w:val="Paragraphedeliste"/>
              <w:numPr>
                <w:ilvl w:val="0"/>
                <w:numId w:val="45"/>
              </w:numPr>
              <w:spacing w:after="100" w:afterAutospacing="1"/>
              <w:rPr>
                <w:rFonts w:cs="Times New Roman"/>
                <w:color w:val="000000"/>
                <w:highlight w:val="yellow"/>
                <w:shd w:val="clear" w:color="auto" w:fill="FFFFFF"/>
              </w:rPr>
            </w:pPr>
            <w:r w:rsidRPr="00F012F8">
              <w:rPr>
                <w:rFonts w:cs="Times New Roman"/>
                <w:color w:val="000000"/>
                <w:highlight w:val="yellow"/>
                <w:shd w:val="clear" w:color="auto" w:fill="FFFFFF"/>
              </w:rPr>
              <w:t>Parfois thrombocytose réactionnelle associée</w:t>
            </w:r>
          </w:p>
          <w:p w:rsidR="00A805D8" w:rsidRPr="00F012F8" w:rsidRDefault="00A805D8" w:rsidP="001A1752">
            <w:pPr>
              <w:pStyle w:val="Paragraphedeliste"/>
              <w:numPr>
                <w:ilvl w:val="0"/>
                <w:numId w:val="45"/>
              </w:numPr>
              <w:spacing w:after="100" w:afterAutospacing="1"/>
              <w:rPr>
                <w:rFonts w:cs="Times New Roman"/>
                <w:color w:val="000000"/>
                <w:shd w:val="clear" w:color="auto" w:fill="FFFFFF"/>
              </w:rPr>
            </w:pPr>
            <w:r w:rsidRPr="00F012F8">
              <w:rPr>
                <w:rFonts w:cs="Times New Roman"/>
                <w:color w:val="000000"/>
                <w:shd w:val="clear" w:color="auto" w:fill="FFFFFF"/>
              </w:rPr>
              <w:t>Variable</w:t>
            </w:r>
          </w:p>
        </w:tc>
      </w:tr>
      <w:tr w:rsidR="003736C8" w:rsidRPr="00F012F8" w:rsidTr="00FC272A">
        <w:trPr>
          <w:trHeight w:val="1950"/>
        </w:trPr>
        <w:tc>
          <w:tcPr>
            <w:tcW w:w="2888" w:type="dxa"/>
            <w:gridSpan w:val="2"/>
          </w:tcPr>
          <w:p w:rsidR="003736C8" w:rsidRPr="00F012F8" w:rsidRDefault="003736C8" w:rsidP="00685533">
            <w:pPr>
              <w:rPr>
                <w:rFonts w:cs="Times New Roman"/>
                <w:color w:val="000000"/>
                <w:u w:val="single"/>
                <w:shd w:val="clear" w:color="auto" w:fill="FFFFFF"/>
              </w:rPr>
            </w:pPr>
          </w:p>
          <w:p w:rsidR="00D217A9" w:rsidRPr="00F012F8" w:rsidRDefault="00D217A9" w:rsidP="00685533">
            <w:pPr>
              <w:rPr>
                <w:rFonts w:cs="Times New Roman"/>
                <w:color w:val="000000"/>
                <w:u w:val="single"/>
                <w:shd w:val="clear" w:color="auto" w:fill="FFFFFF"/>
              </w:rPr>
            </w:pPr>
            <w:r w:rsidRPr="00F012F8">
              <w:rPr>
                <w:rFonts w:cs="Times New Roman"/>
                <w:color w:val="000000"/>
                <w:u w:val="single"/>
                <w:shd w:val="clear" w:color="auto" w:fill="FFFFFF"/>
              </w:rPr>
              <w:t>Divers</w:t>
            </w:r>
          </w:p>
          <w:p w:rsidR="00685533" w:rsidRPr="00F012F8" w:rsidRDefault="00685533" w:rsidP="001A1752">
            <w:pPr>
              <w:pStyle w:val="Paragraphedeliste"/>
              <w:numPr>
                <w:ilvl w:val="0"/>
                <w:numId w:val="42"/>
              </w:numPr>
              <w:spacing w:after="100" w:afterAutospacing="1"/>
              <w:rPr>
                <w:rFonts w:cs="Times New Roman"/>
                <w:color w:val="000000"/>
                <w:highlight w:val="yellow"/>
                <w:shd w:val="clear" w:color="auto" w:fill="FFFFFF"/>
              </w:rPr>
            </w:pPr>
            <w:r w:rsidRPr="00F012F8">
              <w:rPr>
                <w:rFonts w:cs="Times New Roman"/>
                <w:color w:val="000000"/>
                <w:highlight w:val="yellow"/>
                <w:shd w:val="clear" w:color="auto" w:fill="FFFFFF"/>
              </w:rPr>
              <w:t>EPO exogène (dopage)</w:t>
            </w:r>
          </w:p>
          <w:p w:rsidR="00A805D8" w:rsidRPr="00F012F8" w:rsidRDefault="00685533" w:rsidP="001A1752">
            <w:pPr>
              <w:pStyle w:val="Paragraphedeliste"/>
              <w:numPr>
                <w:ilvl w:val="0"/>
                <w:numId w:val="42"/>
              </w:numPr>
              <w:spacing w:after="100" w:afterAutospacing="1"/>
              <w:rPr>
                <w:rFonts w:cs="Times New Roman"/>
                <w:color w:val="000000"/>
                <w:shd w:val="clear" w:color="auto" w:fill="FFFFFF"/>
              </w:rPr>
            </w:pPr>
            <w:r w:rsidRPr="00F012F8">
              <w:rPr>
                <w:rFonts w:cs="Times New Roman"/>
                <w:color w:val="000000"/>
                <w:shd w:val="clear" w:color="auto" w:fill="FFFFFF"/>
              </w:rPr>
              <w:t xml:space="preserve">Prise d’androgènes chronique </w:t>
            </w:r>
          </w:p>
          <w:p w:rsidR="00685533" w:rsidRPr="00F012F8" w:rsidRDefault="00685533" w:rsidP="001A1752">
            <w:pPr>
              <w:pStyle w:val="Paragraphedeliste"/>
              <w:numPr>
                <w:ilvl w:val="0"/>
                <w:numId w:val="42"/>
              </w:numPr>
              <w:spacing w:after="100" w:afterAutospacing="1"/>
              <w:rPr>
                <w:rFonts w:cs="Times New Roman"/>
                <w:color w:val="000000"/>
                <w:shd w:val="clear" w:color="auto" w:fill="FFFFFF"/>
              </w:rPr>
            </w:pPr>
            <w:r w:rsidRPr="00F012F8">
              <w:rPr>
                <w:rFonts w:cs="Times New Roman"/>
                <w:color w:val="000000"/>
                <w:shd w:val="clear" w:color="auto" w:fill="FFFFFF"/>
              </w:rPr>
              <w:t>Kystes rénaux</w:t>
            </w:r>
          </w:p>
          <w:p w:rsidR="00685533" w:rsidRPr="00F012F8" w:rsidRDefault="00685533" w:rsidP="001A1752">
            <w:pPr>
              <w:pStyle w:val="Paragraphedeliste"/>
              <w:numPr>
                <w:ilvl w:val="0"/>
                <w:numId w:val="42"/>
              </w:numPr>
              <w:spacing w:after="100" w:afterAutospacing="1"/>
              <w:rPr>
                <w:rFonts w:cs="Times New Roman"/>
                <w:color w:val="000000"/>
                <w:shd w:val="clear" w:color="auto" w:fill="FFFFFF"/>
              </w:rPr>
            </w:pPr>
            <w:r w:rsidRPr="00F012F8">
              <w:rPr>
                <w:rFonts w:cs="Times New Roman"/>
                <w:color w:val="000000"/>
                <w:shd w:val="clear" w:color="auto" w:fill="FFFFFF"/>
              </w:rPr>
              <w:t>Hydronéphrose</w:t>
            </w:r>
          </w:p>
          <w:p w:rsidR="00685533" w:rsidRPr="00F012F8" w:rsidRDefault="00685533" w:rsidP="00FC272A">
            <w:pPr>
              <w:pStyle w:val="Paragraphedeliste"/>
              <w:numPr>
                <w:ilvl w:val="0"/>
                <w:numId w:val="42"/>
              </w:numPr>
              <w:rPr>
                <w:rFonts w:cs="Times New Roman"/>
                <w:color w:val="000000"/>
                <w:shd w:val="clear" w:color="auto" w:fill="FFFFFF"/>
              </w:rPr>
            </w:pPr>
            <w:r w:rsidRPr="00F012F8">
              <w:rPr>
                <w:rFonts w:cs="Times New Roman"/>
                <w:color w:val="000000"/>
                <w:shd w:val="clear" w:color="auto" w:fill="FFFFFF"/>
              </w:rPr>
              <w:t>Greffe rénale</w:t>
            </w:r>
          </w:p>
        </w:tc>
        <w:tc>
          <w:tcPr>
            <w:tcW w:w="2319" w:type="dxa"/>
          </w:tcPr>
          <w:p w:rsidR="003736C8" w:rsidRPr="00F012F8" w:rsidRDefault="003736C8" w:rsidP="003C6E1A">
            <w:pPr>
              <w:spacing w:after="100" w:afterAutospacing="1"/>
              <w:rPr>
                <w:rFonts w:cs="Times New Roman"/>
                <w:color w:val="000000"/>
                <w:shd w:val="clear" w:color="auto" w:fill="FFFFFF"/>
              </w:rPr>
            </w:pPr>
          </w:p>
          <w:p w:rsidR="00D217A9" w:rsidRPr="00F012F8" w:rsidRDefault="00A805D8" w:rsidP="001A1752">
            <w:pPr>
              <w:pStyle w:val="Paragraphedeliste"/>
              <w:numPr>
                <w:ilvl w:val="0"/>
                <w:numId w:val="53"/>
              </w:numPr>
              <w:spacing w:after="100" w:afterAutospacing="1"/>
              <w:rPr>
                <w:rFonts w:cs="Times New Roman"/>
                <w:color w:val="000000"/>
                <w:shd w:val="clear" w:color="auto" w:fill="FFFFFF"/>
              </w:rPr>
            </w:pPr>
            <w:r w:rsidRPr="00F012F8">
              <w:rPr>
                <w:rFonts w:cs="Times New Roman"/>
                <w:color w:val="000000"/>
                <w:shd w:val="clear" w:color="auto" w:fill="FFFFFF"/>
              </w:rPr>
              <w:t xml:space="preserve">Peu de </w:t>
            </w:r>
            <w:r w:rsidR="007A7367" w:rsidRPr="00F012F8">
              <w:rPr>
                <w:rFonts w:cs="Times New Roman"/>
                <w:color w:val="000000"/>
                <w:shd w:val="clear" w:color="auto" w:fill="FFFFFF"/>
              </w:rPr>
              <w:t>symptômes</w:t>
            </w:r>
          </w:p>
          <w:p w:rsidR="00A805D8" w:rsidRPr="00F012F8" w:rsidRDefault="00A805D8" w:rsidP="001A1752">
            <w:pPr>
              <w:pStyle w:val="Paragraphedeliste"/>
              <w:numPr>
                <w:ilvl w:val="0"/>
                <w:numId w:val="53"/>
              </w:numPr>
              <w:spacing w:after="100" w:afterAutospacing="1"/>
              <w:rPr>
                <w:rFonts w:cs="Times New Roman"/>
                <w:color w:val="000000"/>
                <w:shd w:val="clear" w:color="auto" w:fill="FFFFFF"/>
              </w:rPr>
            </w:pPr>
            <w:r w:rsidRPr="00F012F8">
              <w:rPr>
                <w:rFonts w:cs="Times New Roman"/>
                <w:color w:val="000000"/>
                <w:shd w:val="clear" w:color="auto" w:fill="FFFFFF"/>
              </w:rPr>
              <w:t>Parfois Sx d’hyperviscosité</w:t>
            </w:r>
          </w:p>
        </w:tc>
        <w:tc>
          <w:tcPr>
            <w:tcW w:w="2890" w:type="dxa"/>
          </w:tcPr>
          <w:p w:rsidR="003736C8" w:rsidRPr="00F012F8" w:rsidRDefault="003736C8" w:rsidP="003736C8">
            <w:pPr>
              <w:pStyle w:val="Paragraphedeliste"/>
              <w:spacing w:after="100" w:afterAutospacing="1"/>
              <w:ind w:left="360"/>
              <w:rPr>
                <w:rFonts w:cs="Times New Roman"/>
                <w:color w:val="000000"/>
                <w:shd w:val="clear" w:color="auto" w:fill="FFFFFF"/>
              </w:rPr>
            </w:pPr>
          </w:p>
          <w:p w:rsidR="003736C8" w:rsidRPr="00F012F8" w:rsidRDefault="003736C8" w:rsidP="003736C8">
            <w:pPr>
              <w:pStyle w:val="Paragraphedeliste"/>
              <w:spacing w:after="100" w:afterAutospacing="1"/>
              <w:ind w:left="360"/>
              <w:rPr>
                <w:rFonts w:cs="Times New Roman"/>
                <w:color w:val="000000"/>
                <w:shd w:val="clear" w:color="auto" w:fill="FFFFFF"/>
              </w:rPr>
            </w:pPr>
          </w:p>
          <w:p w:rsidR="00D217A9" w:rsidRPr="00F012F8" w:rsidRDefault="00A805D8" w:rsidP="001A1752">
            <w:pPr>
              <w:pStyle w:val="Paragraphedeliste"/>
              <w:numPr>
                <w:ilvl w:val="0"/>
                <w:numId w:val="53"/>
              </w:numPr>
              <w:spacing w:after="100" w:afterAutospacing="1"/>
              <w:rPr>
                <w:rFonts w:cs="Times New Roman"/>
                <w:color w:val="000000"/>
                <w:shd w:val="clear" w:color="auto" w:fill="FFFFFF"/>
              </w:rPr>
            </w:pPr>
            <w:r w:rsidRPr="00F012F8">
              <w:rPr>
                <w:rFonts w:cs="Times New Roman"/>
                <w:color w:val="000000"/>
                <w:shd w:val="clear" w:color="auto" w:fill="FFFFFF"/>
              </w:rPr>
              <w:t>Masses rénales ± palpables</w:t>
            </w:r>
          </w:p>
          <w:p w:rsidR="00A805D8" w:rsidRPr="00F012F8" w:rsidRDefault="00FC272A" w:rsidP="001A1752">
            <w:pPr>
              <w:pStyle w:val="Paragraphedeliste"/>
              <w:numPr>
                <w:ilvl w:val="0"/>
                <w:numId w:val="53"/>
              </w:numPr>
              <w:spacing w:after="100" w:afterAutospacing="1"/>
              <w:rPr>
                <w:rFonts w:cs="Times New Roman"/>
                <w:color w:val="000000"/>
                <w:shd w:val="clear" w:color="auto" w:fill="FFFFFF"/>
              </w:rPr>
            </w:pPr>
            <w:r w:rsidRPr="00F012F8">
              <w:rPr>
                <w:rFonts w:cs="Times New Roman"/>
                <w:noProof/>
                <w:lang w:eastAsia="fr-CA"/>
              </w:rPr>
              <w:drawing>
                <wp:anchor distT="0" distB="0" distL="114300" distR="114300" simplePos="0" relativeHeight="251679744" behindDoc="0" locked="0" layoutInCell="1" allowOverlap="1" wp14:anchorId="0F231427" wp14:editId="4FC8C8E6">
                  <wp:simplePos x="0" y="0"/>
                  <wp:positionH relativeFrom="column">
                    <wp:posOffset>1031754</wp:posOffset>
                  </wp:positionH>
                  <wp:positionV relativeFrom="paragraph">
                    <wp:posOffset>863372</wp:posOffset>
                  </wp:positionV>
                  <wp:extent cx="2571115" cy="1661160"/>
                  <wp:effectExtent l="0" t="0" r="635" b="0"/>
                  <wp:wrapNone/>
                  <wp:docPr id="13" name="Image 13" descr="Résultats de recherche d'images pour « pheochromocytom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ésultats de recherche d'images pour « pheochromocytoma »"/>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571115" cy="1661160"/>
                          </a:xfrm>
                          <a:prstGeom prst="rect">
                            <a:avLst/>
                          </a:prstGeom>
                          <a:noFill/>
                          <a:ln>
                            <a:noFill/>
                          </a:ln>
                        </pic:spPr>
                      </pic:pic>
                    </a:graphicData>
                  </a:graphic>
                  <wp14:sizeRelH relativeFrom="page">
                    <wp14:pctWidth>0</wp14:pctWidth>
                  </wp14:sizeRelH>
                  <wp14:sizeRelV relativeFrom="page">
                    <wp14:pctHeight>0</wp14:pctHeight>
                  </wp14:sizeRelV>
                </wp:anchor>
              </w:drawing>
            </w:r>
            <w:r w:rsidR="00A805D8" w:rsidRPr="00F012F8">
              <w:rPr>
                <w:rFonts w:cs="Times New Roman"/>
                <w:color w:val="000000"/>
                <w:shd w:val="clear" w:color="auto" w:fill="FFFFFF"/>
              </w:rPr>
              <w:t>Androgénisme (calvitie, pilosité importante</w:t>
            </w:r>
            <w:r w:rsidR="007A7367" w:rsidRPr="00F012F8">
              <w:rPr>
                <w:rFonts w:cs="Times New Roman"/>
                <w:color w:val="000000"/>
                <w:shd w:val="clear" w:color="auto" w:fill="FFFFFF"/>
              </w:rPr>
              <w:t>, etc.</w:t>
            </w:r>
            <w:r w:rsidR="00A805D8" w:rsidRPr="00F012F8">
              <w:rPr>
                <w:rFonts w:cs="Times New Roman"/>
                <w:color w:val="000000"/>
                <w:shd w:val="clear" w:color="auto" w:fill="FFFFFF"/>
              </w:rPr>
              <w:t>)</w:t>
            </w:r>
          </w:p>
        </w:tc>
        <w:tc>
          <w:tcPr>
            <w:tcW w:w="2919" w:type="dxa"/>
          </w:tcPr>
          <w:p w:rsidR="003736C8" w:rsidRPr="00F012F8" w:rsidRDefault="003736C8" w:rsidP="003736C8">
            <w:pPr>
              <w:pStyle w:val="Paragraphedeliste"/>
              <w:ind w:left="360"/>
              <w:rPr>
                <w:rFonts w:cs="Times New Roman"/>
                <w:color w:val="000000"/>
                <w:shd w:val="clear" w:color="auto" w:fill="FFFFFF"/>
              </w:rPr>
            </w:pPr>
          </w:p>
          <w:p w:rsidR="003736C8" w:rsidRPr="00F012F8" w:rsidRDefault="003736C8" w:rsidP="003736C8">
            <w:pPr>
              <w:pStyle w:val="Paragraphedeliste"/>
              <w:ind w:left="360"/>
              <w:rPr>
                <w:rFonts w:cs="Times New Roman"/>
                <w:color w:val="000000"/>
                <w:shd w:val="clear" w:color="auto" w:fill="FFFFFF"/>
              </w:rPr>
            </w:pPr>
          </w:p>
          <w:p w:rsidR="00D217A9" w:rsidRPr="00F012F8" w:rsidRDefault="00A805D8" w:rsidP="001A1752">
            <w:pPr>
              <w:pStyle w:val="Paragraphedeliste"/>
              <w:numPr>
                <w:ilvl w:val="0"/>
                <w:numId w:val="45"/>
              </w:numPr>
              <w:rPr>
                <w:rFonts w:cs="Times New Roman"/>
                <w:color w:val="000000"/>
                <w:shd w:val="clear" w:color="auto" w:fill="FFFFFF"/>
              </w:rPr>
            </w:pPr>
            <w:r w:rsidRPr="00F012F8">
              <w:rPr>
                <w:rFonts w:cs="Times New Roman"/>
                <w:color w:val="000000"/>
                <w:shd w:val="clear" w:color="auto" w:fill="FFFFFF"/>
              </w:rPr>
              <w:t xml:space="preserve">Dosage d’EPO </w:t>
            </w:r>
          </w:p>
          <w:p w:rsidR="00A805D8" w:rsidRPr="00F012F8" w:rsidRDefault="00A805D8" w:rsidP="003736C8">
            <w:pPr>
              <w:pStyle w:val="Paragraphedeliste"/>
              <w:spacing w:after="100" w:afterAutospacing="1"/>
              <w:ind w:left="360"/>
              <w:rPr>
                <w:rFonts w:cs="Times New Roman"/>
                <w:color w:val="000000"/>
                <w:shd w:val="clear" w:color="auto" w:fill="FFFFFF"/>
              </w:rPr>
            </w:pPr>
            <w:r w:rsidRPr="00F012F8">
              <w:rPr>
                <w:rFonts w:cs="Times New Roman"/>
                <w:color w:val="000000"/>
                <w:shd w:val="clear" w:color="auto" w:fill="FFFFFF"/>
              </w:rPr>
              <w:t>et/ou d’androgènes élevée</w:t>
            </w:r>
          </w:p>
        </w:tc>
      </w:tr>
    </w:tbl>
    <w:p w:rsidR="00540770" w:rsidRPr="00F012F8" w:rsidRDefault="00540770" w:rsidP="00540770">
      <w:pPr>
        <w:shd w:val="clear" w:color="auto" w:fill="FFFFFF"/>
        <w:spacing w:before="100" w:beforeAutospacing="1" w:after="100" w:afterAutospacing="1" w:line="240" w:lineRule="auto"/>
        <w:rPr>
          <w:rFonts w:cs="Times New Roman"/>
          <w:b/>
          <w:color w:val="000000"/>
          <w:shd w:val="clear" w:color="auto" w:fill="FFFFFF"/>
        </w:rPr>
      </w:pPr>
      <w:r w:rsidRPr="00F012F8">
        <w:rPr>
          <w:rFonts w:cs="Times New Roman"/>
          <w:b/>
          <w:color w:val="000000"/>
          <w:shd w:val="clear" w:color="auto" w:fill="FFFFFF"/>
        </w:rPr>
        <w:t>Investigations</w:t>
      </w:r>
    </w:p>
    <w:p w:rsidR="00521991" w:rsidRPr="00F012F8" w:rsidRDefault="00521991" w:rsidP="001A1752">
      <w:pPr>
        <w:pStyle w:val="Paragraphedeliste"/>
        <w:numPr>
          <w:ilvl w:val="0"/>
          <w:numId w:val="46"/>
        </w:numPr>
        <w:shd w:val="clear" w:color="auto" w:fill="FFFFFF"/>
        <w:spacing w:before="100" w:beforeAutospacing="1" w:after="100" w:afterAutospacing="1" w:line="240" w:lineRule="auto"/>
        <w:rPr>
          <w:rFonts w:cs="Times New Roman"/>
          <w:color w:val="000000"/>
          <w:shd w:val="clear" w:color="auto" w:fill="FFFFFF"/>
        </w:rPr>
      </w:pPr>
      <w:r w:rsidRPr="00F012F8">
        <w:rPr>
          <w:rFonts w:cs="Times New Roman"/>
          <w:color w:val="000000"/>
          <w:shd w:val="clear" w:color="auto" w:fill="FFFFFF"/>
        </w:rPr>
        <w:t>FSC =&gt; Valeur supérieur</w:t>
      </w:r>
      <w:r w:rsidR="001D0D53" w:rsidRPr="00F012F8">
        <w:rPr>
          <w:rFonts w:cs="Times New Roman"/>
          <w:color w:val="000000"/>
          <w:shd w:val="clear" w:color="auto" w:fill="FFFFFF"/>
        </w:rPr>
        <w:t>e</w:t>
      </w:r>
      <w:r w:rsidRPr="00F012F8">
        <w:rPr>
          <w:rFonts w:cs="Times New Roman"/>
          <w:color w:val="000000"/>
          <w:shd w:val="clear" w:color="auto" w:fill="FFFFFF"/>
        </w:rPr>
        <w:t xml:space="preserve">s à la limite (voir </w:t>
      </w:r>
      <w:r w:rsidR="001D0D53" w:rsidRPr="00F012F8">
        <w:rPr>
          <w:rFonts w:cs="Times New Roman"/>
          <w:color w:val="000000"/>
          <w:shd w:val="clear" w:color="auto" w:fill="FFFFFF"/>
        </w:rPr>
        <w:t>définition</w:t>
      </w:r>
      <w:r w:rsidRPr="00F012F8">
        <w:rPr>
          <w:rFonts w:cs="Times New Roman"/>
          <w:color w:val="000000"/>
          <w:shd w:val="clear" w:color="auto" w:fill="FFFFFF"/>
        </w:rPr>
        <w:t>)</w:t>
      </w:r>
    </w:p>
    <w:p w:rsidR="00521991" w:rsidRPr="00F012F8" w:rsidRDefault="00521991" w:rsidP="001A1752">
      <w:pPr>
        <w:pStyle w:val="Paragraphedeliste"/>
        <w:numPr>
          <w:ilvl w:val="0"/>
          <w:numId w:val="46"/>
        </w:numPr>
        <w:shd w:val="clear" w:color="auto" w:fill="FFFFFF"/>
        <w:spacing w:before="100" w:beforeAutospacing="1" w:after="100" w:afterAutospacing="1" w:line="240" w:lineRule="auto"/>
        <w:rPr>
          <w:rFonts w:cs="Times New Roman"/>
          <w:color w:val="000000"/>
          <w:shd w:val="clear" w:color="auto" w:fill="FFFFFF"/>
        </w:rPr>
      </w:pPr>
      <w:r w:rsidRPr="00F012F8">
        <w:rPr>
          <w:rFonts w:cs="Times New Roman"/>
          <w:color w:val="000000"/>
          <w:shd w:val="clear" w:color="auto" w:fill="FFFFFF"/>
        </w:rPr>
        <w:t xml:space="preserve">Dosage d’EPO  </w:t>
      </w:r>
    </w:p>
    <w:p w:rsidR="001D0D53" w:rsidRPr="00F012F8" w:rsidRDefault="00521991" w:rsidP="001A1752">
      <w:pPr>
        <w:pStyle w:val="Paragraphedeliste"/>
        <w:numPr>
          <w:ilvl w:val="2"/>
          <w:numId w:val="46"/>
        </w:numPr>
        <w:shd w:val="clear" w:color="auto" w:fill="FFFFFF"/>
        <w:spacing w:before="100" w:beforeAutospacing="1" w:after="100" w:afterAutospacing="1" w:line="240" w:lineRule="auto"/>
        <w:rPr>
          <w:rFonts w:cs="Times New Roman"/>
          <w:color w:val="000000"/>
          <w:shd w:val="clear" w:color="auto" w:fill="FFFFFF"/>
        </w:rPr>
      </w:pPr>
      <w:r w:rsidRPr="00F012F8">
        <w:rPr>
          <w:rFonts w:cs="Times New Roman"/>
          <w:color w:val="000000"/>
          <w:shd w:val="clear" w:color="auto" w:fill="FFFFFF"/>
        </w:rPr>
        <w:t>Si élevé recherche cause d’érythrocytose secondaire</w:t>
      </w:r>
      <w:r w:rsidR="007A7367" w:rsidRPr="00F012F8">
        <w:rPr>
          <w:rFonts w:cs="Times New Roman"/>
          <w:color w:val="000000"/>
          <w:shd w:val="clear" w:color="auto" w:fill="FFFFFF"/>
        </w:rPr>
        <w:t xml:space="preserve"> </w:t>
      </w:r>
    </w:p>
    <w:p w:rsidR="00521991" w:rsidRPr="00F012F8" w:rsidRDefault="007A7367" w:rsidP="001D0D53">
      <w:pPr>
        <w:pStyle w:val="Paragraphedeliste"/>
        <w:shd w:val="clear" w:color="auto" w:fill="FFFFFF"/>
        <w:spacing w:before="100" w:beforeAutospacing="1" w:after="100" w:afterAutospacing="1" w:line="240" w:lineRule="auto"/>
        <w:ind w:left="2160"/>
        <w:rPr>
          <w:rFonts w:cs="Times New Roman"/>
          <w:color w:val="000000"/>
          <w:shd w:val="clear" w:color="auto" w:fill="FFFFFF"/>
        </w:rPr>
      </w:pPr>
      <w:r w:rsidRPr="00F012F8">
        <w:rPr>
          <w:rFonts w:cs="Times New Roman"/>
          <w:color w:val="000000"/>
          <w:shd w:val="clear" w:color="auto" w:fill="FFFFFF"/>
        </w:rPr>
        <w:t>(physiologique ou néoplasique)</w:t>
      </w:r>
    </w:p>
    <w:p w:rsidR="00521991" w:rsidRPr="00F012F8" w:rsidRDefault="00521991" w:rsidP="001A1752">
      <w:pPr>
        <w:pStyle w:val="Paragraphedeliste"/>
        <w:numPr>
          <w:ilvl w:val="2"/>
          <w:numId w:val="46"/>
        </w:numPr>
        <w:shd w:val="clear" w:color="auto" w:fill="FFFFFF"/>
        <w:spacing w:before="100" w:beforeAutospacing="1" w:after="100" w:afterAutospacing="1" w:line="240" w:lineRule="auto"/>
        <w:rPr>
          <w:rFonts w:cs="Times New Roman"/>
          <w:color w:val="000000"/>
          <w:shd w:val="clear" w:color="auto" w:fill="FFFFFF"/>
        </w:rPr>
      </w:pPr>
      <w:r w:rsidRPr="00F012F8">
        <w:rPr>
          <w:rFonts w:cs="Times New Roman"/>
          <w:color w:val="000000"/>
          <w:shd w:val="clear" w:color="auto" w:fill="FFFFFF"/>
        </w:rPr>
        <w:t>Si négatif (JAK 2)</w:t>
      </w:r>
    </w:p>
    <w:p w:rsidR="00521991" w:rsidRPr="00F012F8" w:rsidRDefault="00521991" w:rsidP="001A1752">
      <w:pPr>
        <w:pStyle w:val="Paragraphedeliste"/>
        <w:numPr>
          <w:ilvl w:val="0"/>
          <w:numId w:val="46"/>
        </w:numPr>
        <w:shd w:val="clear" w:color="auto" w:fill="FFFFFF"/>
        <w:spacing w:before="100" w:beforeAutospacing="1" w:after="100" w:afterAutospacing="1" w:line="240" w:lineRule="auto"/>
        <w:rPr>
          <w:rFonts w:cs="Times New Roman"/>
          <w:color w:val="000000"/>
          <w:shd w:val="clear" w:color="auto" w:fill="FFFFFF"/>
        </w:rPr>
      </w:pPr>
      <w:r w:rsidRPr="00F012F8">
        <w:rPr>
          <w:rFonts w:cs="Times New Roman"/>
          <w:color w:val="000000"/>
          <w:shd w:val="clear" w:color="auto" w:fill="FFFFFF"/>
        </w:rPr>
        <w:t xml:space="preserve">Recherche de la mutation JAK 2 (V617F) </w:t>
      </w:r>
    </w:p>
    <w:p w:rsidR="00521991" w:rsidRPr="00F012F8" w:rsidRDefault="00521991" w:rsidP="001A1752">
      <w:pPr>
        <w:pStyle w:val="Paragraphedeliste"/>
        <w:numPr>
          <w:ilvl w:val="2"/>
          <w:numId w:val="46"/>
        </w:numPr>
        <w:shd w:val="clear" w:color="auto" w:fill="FFFFFF"/>
        <w:spacing w:before="100" w:beforeAutospacing="1" w:after="100" w:afterAutospacing="1" w:line="240" w:lineRule="auto"/>
        <w:rPr>
          <w:rFonts w:cs="Times New Roman"/>
          <w:color w:val="000000"/>
          <w:shd w:val="clear" w:color="auto" w:fill="FFFFFF"/>
        </w:rPr>
      </w:pPr>
      <w:r w:rsidRPr="00F012F8">
        <w:rPr>
          <w:rFonts w:cs="Times New Roman"/>
          <w:color w:val="000000"/>
          <w:shd w:val="clear" w:color="auto" w:fill="FFFFFF"/>
        </w:rPr>
        <w:t xml:space="preserve"> si positive, Polyglobulie de Vaquez</w:t>
      </w:r>
    </w:p>
    <w:p w:rsidR="00521991" w:rsidRPr="00F012F8" w:rsidRDefault="00521991" w:rsidP="001A1752">
      <w:pPr>
        <w:pStyle w:val="Paragraphedeliste"/>
        <w:numPr>
          <w:ilvl w:val="0"/>
          <w:numId w:val="46"/>
        </w:numPr>
        <w:shd w:val="clear" w:color="auto" w:fill="FFFFFF"/>
        <w:spacing w:before="100" w:beforeAutospacing="1" w:after="100" w:afterAutospacing="1" w:line="240" w:lineRule="auto"/>
        <w:rPr>
          <w:rFonts w:cs="Times New Roman"/>
          <w:color w:val="000000"/>
          <w:shd w:val="clear" w:color="auto" w:fill="FFFFFF"/>
        </w:rPr>
      </w:pPr>
      <w:r w:rsidRPr="00F012F8">
        <w:rPr>
          <w:rFonts w:cs="Times New Roman"/>
          <w:color w:val="000000"/>
          <w:shd w:val="clear" w:color="auto" w:fill="FFFFFF"/>
        </w:rPr>
        <w:lastRenderedPageBreak/>
        <w:t xml:space="preserve">Dosage de la carboxyhémoglobinémie (si non faite sur FSC), </w:t>
      </w:r>
    </w:p>
    <w:p w:rsidR="00521991" w:rsidRPr="00F012F8" w:rsidRDefault="00521991" w:rsidP="001A1752">
      <w:pPr>
        <w:pStyle w:val="Paragraphedeliste"/>
        <w:numPr>
          <w:ilvl w:val="2"/>
          <w:numId w:val="46"/>
        </w:numPr>
        <w:shd w:val="clear" w:color="auto" w:fill="FFFFFF"/>
        <w:spacing w:before="100" w:beforeAutospacing="1" w:after="100" w:afterAutospacing="1" w:line="240" w:lineRule="auto"/>
        <w:rPr>
          <w:rFonts w:cs="Times New Roman"/>
          <w:color w:val="000000"/>
          <w:shd w:val="clear" w:color="auto" w:fill="FFFFFF"/>
        </w:rPr>
      </w:pPr>
      <w:r w:rsidRPr="00F012F8">
        <w:rPr>
          <w:rFonts w:cs="Times New Roman"/>
          <w:color w:val="000000"/>
          <w:shd w:val="clear" w:color="auto" w:fill="FFFFFF"/>
        </w:rPr>
        <w:t xml:space="preserve">Si ≥ 5% fort probablement due au tabagisme </w:t>
      </w:r>
    </w:p>
    <w:p w:rsidR="00521991" w:rsidRPr="00F012F8" w:rsidRDefault="00521991" w:rsidP="001A1752">
      <w:pPr>
        <w:pStyle w:val="Paragraphedeliste"/>
        <w:numPr>
          <w:ilvl w:val="2"/>
          <w:numId w:val="46"/>
        </w:numPr>
        <w:shd w:val="clear" w:color="auto" w:fill="FFFFFF"/>
        <w:spacing w:before="100" w:beforeAutospacing="1" w:after="100" w:afterAutospacing="1" w:line="240" w:lineRule="auto"/>
        <w:rPr>
          <w:rFonts w:cs="Times New Roman"/>
          <w:color w:val="000000"/>
          <w:shd w:val="clear" w:color="auto" w:fill="FFFFFF"/>
        </w:rPr>
      </w:pPr>
      <w:r w:rsidRPr="00F012F8">
        <w:rPr>
          <w:rFonts w:cs="Times New Roman"/>
          <w:color w:val="000000"/>
          <w:shd w:val="clear" w:color="auto" w:fill="FFFFFF"/>
        </w:rPr>
        <w:t>Éliminer intoxication au CO (souvent ≥ 10%)</w:t>
      </w:r>
    </w:p>
    <w:p w:rsidR="00521991" w:rsidRPr="00F012F8" w:rsidRDefault="00521991" w:rsidP="001A1752">
      <w:pPr>
        <w:pStyle w:val="Paragraphedeliste"/>
        <w:numPr>
          <w:ilvl w:val="2"/>
          <w:numId w:val="46"/>
        </w:numPr>
        <w:shd w:val="clear" w:color="auto" w:fill="FFFFFF"/>
        <w:spacing w:before="100" w:beforeAutospacing="1" w:after="100" w:afterAutospacing="1" w:line="240" w:lineRule="auto"/>
        <w:rPr>
          <w:rFonts w:cs="Times New Roman"/>
          <w:color w:val="000000"/>
          <w:shd w:val="clear" w:color="auto" w:fill="FFFFFF"/>
        </w:rPr>
      </w:pPr>
      <w:r w:rsidRPr="00F012F8">
        <w:rPr>
          <w:rFonts w:cs="Times New Roman"/>
          <w:color w:val="000000"/>
          <w:shd w:val="clear" w:color="auto" w:fill="FFFFFF"/>
        </w:rPr>
        <w:t>Si normale, recherche cause organique à  l’érythrocytose secondaire</w:t>
      </w:r>
    </w:p>
    <w:p w:rsidR="00521991" w:rsidRPr="00F012F8" w:rsidRDefault="00521991" w:rsidP="001A1752">
      <w:pPr>
        <w:pStyle w:val="Paragraphedeliste"/>
        <w:numPr>
          <w:ilvl w:val="0"/>
          <w:numId w:val="46"/>
        </w:numPr>
        <w:shd w:val="clear" w:color="auto" w:fill="FFFFFF"/>
        <w:spacing w:before="100" w:beforeAutospacing="1" w:after="100" w:afterAutospacing="1" w:line="240" w:lineRule="auto"/>
        <w:rPr>
          <w:rFonts w:cs="Times New Roman"/>
          <w:color w:val="000000"/>
          <w:shd w:val="clear" w:color="auto" w:fill="FFFFFF"/>
        </w:rPr>
      </w:pPr>
      <w:r w:rsidRPr="00F012F8">
        <w:rPr>
          <w:rFonts w:cs="Times New Roman"/>
          <w:color w:val="000000"/>
          <w:shd w:val="clear" w:color="auto" w:fill="FFFFFF"/>
        </w:rPr>
        <w:t>Gaz artériel</w:t>
      </w:r>
    </w:p>
    <w:p w:rsidR="00521991" w:rsidRPr="00F012F8" w:rsidRDefault="00521991" w:rsidP="001A1752">
      <w:pPr>
        <w:pStyle w:val="Paragraphedeliste"/>
        <w:numPr>
          <w:ilvl w:val="2"/>
          <w:numId w:val="46"/>
        </w:numPr>
        <w:shd w:val="clear" w:color="auto" w:fill="FFFFFF"/>
        <w:spacing w:before="100" w:beforeAutospacing="1" w:after="100" w:afterAutospacing="1" w:line="240" w:lineRule="auto"/>
        <w:rPr>
          <w:rFonts w:cs="Times New Roman"/>
          <w:color w:val="000000"/>
          <w:shd w:val="clear" w:color="auto" w:fill="FFFFFF"/>
        </w:rPr>
      </w:pPr>
      <w:r w:rsidRPr="00F012F8">
        <w:rPr>
          <w:rFonts w:cs="Times New Roman"/>
          <w:color w:val="000000"/>
          <w:shd w:val="clear" w:color="auto" w:fill="FFFFFF"/>
        </w:rPr>
        <w:t>Pa</w:t>
      </w:r>
      <w:r w:rsidRPr="00F012F8">
        <w:rPr>
          <w:rFonts w:cs="Times New Roman"/>
          <w:color w:val="000000"/>
          <w:shd w:val="clear" w:color="auto" w:fill="FFFFFF"/>
          <w:vertAlign w:val="subscript"/>
        </w:rPr>
        <w:t>O2</w:t>
      </w:r>
      <w:r w:rsidRPr="00F012F8">
        <w:rPr>
          <w:rFonts w:cs="Times New Roman"/>
          <w:color w:val="000000"/>
          <w:shd w:val="clear" w:color="auto" w:fill="FFFFFF"/>
        </w:rPr>
        <w:t xml:space="preserve"> &lt; 92%, rechercher MPOC, SAHS, HTAP, Cardiopathie</w:t>
      </w:r>
    </w:p>
    <w:p w:rsidR="00521991" w:rsidRPr="00F012F8" w:rsidRDefault="00521991" w:rsidP="001A1752">
      <w:pPr>
        <w:pStyle w:val="Paragraphedeliste"/>
        <w:numPr>
          <w:ilvl w:val="2"/>
          <w:numId w:val="46"/>
        </w:numPr>
        <w:shd w:val="clear" w:color="auto" w:fill="FFFFFF"/>
        <w:spacing w:before="100" w:beforeAutospacing="1" w:after="100" w:afterAutospacing="1" w:line="240" w:lineRule="auto"/>
        <w:rPr>
          <w:rFonts w:cs="Times New Roman"/>
          <w:color w:val="000000"/>
          <w:shd w:val="clear" w:color="auto" w:fill="FFFFFF"/>
        </w:rPr>
      </w:pPr>
      <w:r w:rsidRPr="00F012F8">
        <w:rPr>
          <w:rFonts w:cs="Times New Roman"/>
          <w:color w:val="000000"/>
          <w:shd w:val="clear" w:color="auto" w:fill="FFFFFF"/>
        </w:rPr>
        <w:t>Si normale, é</w:t>
      </w:r>
      <w:r w:rsidR="00847D92" w:rsidRPr="00F012F8">
        <w:rPr>
          <w:rFonts w:cs="Times New Roman"/>
          <w:color w:val="000000"/>
          <w:shd w:val="clear" w:color="auto" w:fill="FFFFFF"/>
        </w:rPr>
        <w:t>cho rénale</w:t>
      </w:r>
    </w:p>
    <w:p w:rsidR="00847D92" w:rsidRPr="00F012F8" w:rsidRDefault="00847D92" w:rsidP="001A1752">
      <w:pPr>
        <w:pStyle w:val="Paragraphedeliste"/>
        <w:numPr>
          <w:ilvl w:val="0"/>
          <w:numId w:val="46"/>
        </w:numPr>
        <w:shd w:val="clear" w:color="auto" w:fill="FFFFFF"/>
        <w:spacing w:before="100" w:beforeAutospacing="1" w:after="100" w:afterAutospacing="1" w:line="240" w:lineRule="auto"/>
        <w:rPr>
          <w:rFonts w:cs="Times New Roman"/>
          <w:color w:val="000000"/>
          <w:shd w:val="clear" w:color="auto" w:fill="FFFFFF"/>
        </w:rPr>
      </w:pPr>
      <w:r w:rsidRPr="00F012F8">
        <w:rPr>
          <w:rFonts w:cs="Times New Roman"/>
          <w:color w:val="000000"/>
          <w:shd w:val="clear" w:color="auto" w:fill="FFFFFF"/>
        </w:rPr>
        <w:t>Autres</w:t>
      </w:r>
    </w:p>
    <w:p w:rsidR="00847D92" w:rsidRPr="00F012F8" w:rsidRDefault="00847D92" w:rsidP="001A1752">
      <w:pPr>
        <w:pStyle w:val="Paragraphedeliste"/>
        <w:numPr>
          <w:ilvl w:val="1"/>
          <w:numId w:val="46"/>
        </w:numPr>
        <w:shd w:val="clear" w:color="auto" w:fill="FFFFFF"/>
        <w:spacing w:before="100" w:beforeAutospacing="1" w:after="100" w:afterAutospacing="1" w:line="240" w:lineRule="auto"/>
        <w:rPr>
          <w:rFonts w:cs="Times New Roman"/>
          <w:color w:val="000000"/>
          <w:shd w:val="clear" w:color="auto" w:fill="FFFFFF"/>
        </w:rPr>
      </w:pPr>
      <w:r w:rsidRPr="00F012F8">
        <w:rPr>
          <w:rFonts w:cs="Times New Roman"/>
          <w:color w:val="000000"/>
          <w:shd w:val="clear" w:color="auto" w:fill="FFFFFF"/>
        </w:rPr>
        <w:t>P50 (Hémoglobine à haute affinité)</w:t>
      </w:r>
    </w:p>
    <w:p w:rsidR="00847D92" w:rsidRPr="00F012F8" w:rsidRDefault="007820D8" w:rsidP="001A1752">
      <w:pPr>
        <w:pStyle w:val="Paragraphedeliste"/>
        <w:numPr>
          <w:ilvl w:val="1"/>
          <w:numId w:val="46"/>
        </w:numPr>
        <w:shd w:val="clear" w:color="auto" w:fill="FFFFFF"/>
        <w:spacing w:before="100" w:beforeAutospacing="1" w:after="100" w:afterAutospacing="1" w:line="240" w:lineRule="auto"/>
        <w:rPr>
          <w:rFonts w:cs="Times New Roman"/>
          <w:color w:val="000000"/>
          <w:shd w:val="clear" w:color="auto" w:fill="FFFFFF"/>
        </w:rPr>
      </w:pPr>
      <w:r w:rsidRPr="00F012F8">
        <w:rPr>
          <w:rFonts w:cs="Times New Roman"/>
          <w:color w:val="000000"/>
          <w:shd w:val="clear" w:color="auto" w:fill="FFFFFF"/>
        </w:rPr>
        <w:t>Méthémoglobinémie</w:t>
      </w:r>
    </w:p>
    <w:p w:rsidR="003736C8" w:rsidRPr="002D18E8" w:rsidRDefault="00847D92" w:rsidP="002D18E8">
      <w:pPr>
        <w:pStyle w:val="Paragraphedeliste"/>
        <w:numPr>
          <w:ilvl w:val="1"/>
          <w:numId w:val="46"/>
        </w:numPr>
        <w:shd w:val="clear" w:color="auto" w:fill="FFFFFF"/>
        <w:spacing w:before="100" w:beforeAutospacing="1" w:after="100" w:afterAutospacing="1" w:line="240" w:lineRule="auto"/>
        <w:rPr>
          <w:rFonts w:cs="Times New Roman"/>
          <w:color w:val="000000"/>
          <w:shd w:val="clear" w:color="auto" w:fill="FFFFFF"/>
        </w:rPr>
      </w:pPr>
      <w:r w:rsidRPr="00F012F8">
        <w:rPr>
          <w:rFonts w:cs="Times New Roman"/>
          <w:color w:val="000000"/>
          <w:shd w:val="clear" w:color="auto" w:fill="FFFFFF"/>
        </w:rPr>
        <w:t xml:space="preserve">Mesure du volume érythrocytaire au </w:t>
      </w:r>
      <w:r w:rsidRPr="00F012F8">
        <w:rPr>
          <w:rFonts w:cs="Times New Roman"/>
          <w:color w:val="000000"/>
          <w:shd w:val="clear" w:color="auto" w:fill="FFFFFF"/>
          <w:vertAlign w:val="superscript"/>
        </w:rPr>
        <w:t>51</w:t>
      </w:r>
      <w:r w:rsidRPr="00F012F8">
        <w:rPr>
          <w:rFonts w:cs="Times New Roman"/>
          <w:color w:val="000000"/>
          <w:shd w:val="clear" w:color="auto" w:fill="FFFFFF"/>
        </w:rPr>
        <w:t>Cr en médecine nucléaire</w:t>
      </w:r>
    </w:p>
    <w:p w:rsidR="00540770" w:rsidRPr="00F012F8" w:rsidRDefault="00540770" w:rsidP="00847D92">
      <w:pPr>
        <w:shd w:val="clear" w:color="auto" w:fill="FFFFFF"/>
        <w:spacing w:before="100" w:beforeAutospacing="1" w:after="100" w:afterAutospacing="1" w:line="240" w:lineRule="auto"/>
        <w:rPr>
          <w:rFonts w:cs="Times New Roman"/>
          <w:b/>
          <w:color w:val="000000"/>
          <w:shd w:val="clear" w:color="auto" w:fill="FFFFFF"/>
        </w:rPr>
      </w:pPr>
      <w:r w:rsidRPr="00F012F8">
        <w:rPr>
          <w:rFonts w:cs="Times New Roman"/>
          <w:b/>
          <w:color w:val="000000"/>
          <w:shd w:val="clear" w:color="auto" w:fill="FFFFFF"/>
        </w:rPr>
        <w:t>Prise en charge</w:t>
      </w:r>
      <w:r w:rsidR="007A7367" w:rsidRPr="00F012F8">
        <w:rPr>
          <w:rFonts w:cs="Times New Roman"/>
          <w:b/>
          <w:color w:val="000000"/>
          <w:shd w:val="clear" w:color="auto" w:fill="FFFFFF"/>
        </w:rPr>
        <w:t xml:space="preserve"> (principales causes)</w:t>
      </w:r>
    </w:p>
    <w:p w:rsidR="00F418D2" w:rsidRPr="00F012F8" w:rsidRDefault="00F418D2" w:rsidP="00540770">
      <w:pPr>
        <w:rPr>
          <w:rFonts w:cs="Times New Roman"/>
          <w:u w:val="single"/>
        </w:rPr>
      </w:pPr>
      <w:r w:rsidRPr="00F012F8">
        <w:rPr>
          <w:rFonts w:cs="Times New Roman"/>
          <w:u w:val="single"/>
        </w:rPr>
        <w:t>Pseudoérythrocytose</w:t>
      </w:r>
    </w:p>
    <w:p w:rsidR="00F418D2" w:rsidRPr="00F012F8" w:rsidRDefault="00F418D2" w:rsidP="001A1752">
      <w:pPr>
        <w:pStyle w:val="Paragraphedeliste"/>
        <w:numPr>
          <w:ilvl w:val="0"/>
          <w:numId w:val="48"/>
        </w:numPr>
        <w:rPr>
          <w:rFonts w:cs="Times New Roman"/>
        </w:rPr>
      </w:pPr>
      <w:r w:rsidRPr="00F012F8">
        <w:rPr>
          <w:rFonts w:cs="Times New Roman"/>
        </w:rPr>
        <w:t>Réplétion du volume plasmatique</w:t>
      </w:r>
    </w:p>
    <w:p w:rsidR="00F418D2" w:rsidRPr="00F012F8" w:rsidRDefault="00F418D2" w:rsidP="001A1752">
      <w:pPr>
        <w:pStyle w:val="Paragraphedeliste"/>
        <w:numPr>
          <w:ilvl w:val="0"/>
          <w:numId w:val="48"/>
        </w:numPr>
        <w:rPr>
          <w:rFonts w:cs="Times New Roman"/>
        </w:rPr>
      </w:pPr>
      <w:r w:rsidRPr="00F012F8">
        <w:rPr>
          <w:rFonts w:cs="Times New Roman"/>
        </w:rPr>
        <w:t>Correction des désordres pouvant accroître</w:t>
      </w:r>
      <w:r w:rsidR="007A7367" w:rsidRPr="00F012F8">
        <w:rPr>
          <w:rFonts w:cs="Times New Roman"/>
        </w:rPr>
        <w:t xml:space="preserve"> la déshydratation</w:t>
      </w:r>
    </w:p>
    <w:p w:rsidR="00D6359B" w:rsidRPr="00F012F8" w:rsidRDefault="00D6359B" w:rsidP="00540770">
      <w:pPr>
        <w:rPr>
          <w:rFonts w:cs="Times New Roman"/>
          <w:u w:val="single"/>
        </w:rPr>
      </w:pPr>
      <w:r w:rsidRPr="00F012F8">
        <w:rPr>
          <w:rFonts w:cs="Times New Roman"/>
          <w:highlight w:val="yellow"/>
          <w:u w:val="single"/>
        </w:rPr>
        <w:t>Polyglobulie de Vaquez</w:t>
      </w:r>
      <w:r w:rsidRPr="00F012F8">
        <w:rPr>
          <w:rFonts w:cs="Times New Roman"/>
          <w:u w:val="single"/>
        </w:rPr>
        <w:t xml:space="preserve">  </w:t>
      </w:r>
    </w:p>
    <w:p w:rsidR="00540770" w:rsidRPr="00F012F8" w:rsidRDefault="0036024F" w:rsidP="001A1752">
      <w:pPr>
        <w:pStyle w:val="Paragraphedeliste"/>
        <w:numPr>
          <w:ilvl w:val="0"/>
          <w:numId w:val="47"/>
        </w:numPr>
        <w:rPr>
          <w:rFonts w:cs="Times New Roman"/>
        </w:rPr>
      </w:pPr>
      <w:r w:rsidRPr="00F012F8">
        <w:rPr>
          <w:rFonts w:cs="Times New Roman"/>
        </w:rPr>
        <w:t>Phlébotomie (saignées), pour maintenir Hématocrite &lt; 45%</w:t>
      </w:r>
    </w:p>
    <w:p w:rsidR="00D6359B" w:rsidRPr="00F012F8" w:rsidRDefault="00D6359B" w:rsidP="001A1752">
      <w:pPr>
        <w:pStyle w:val="Paragraphedeliste"/>
        <w:numPr>
          <w:ilvl w:val="0"/>
          <w:numId w:val="47"/>
        </w:numPr>
        <w:rPr>
          <w:rFonts w:cs="Times New Roman"/>
        </w:rPr>
      </w:pPr>
      <w:r w:rsidRPr="00F012F8">
        <w:rPr>
          <w:rFonts w:cs="Times New Roman"/>
        </w:rPr>
        <w:t>Hydroxyurée (Hydrea)</w:t>
      </w:r>
      <w:r w:rsidR="0036024F" w:rsidRPr="00F012F8">
        <w:rPr>
          <w:rFonts w:cs="Times New Roman"/>
        </w:rPr>
        <w:t xml:space="preserve"> si ATCD de thrombose, MCAS sévère ou réfractaire à la phlébotomie)</w:t>
      </w:r>
    </w:p>
    <w:p w:rsidR="00D6359B" w:rsidRPr="00F012F8" w:rsidRDefault="0036024F" w:rsidP="001A1752">
      <w:pPr>
        <w:pStyle w:val="Paragraphedeliste"/>
        <w:numPr>
          <w:ilvl w:val="0"/>
          <w:numId w:val="47"/>
        </w:numPr>
        <w:rPr>
          <w:rFonts w:cs="Times New Roman"/>
        </w:rPr>
      </w:pPr>
      <w:r w:rsidRPr="00F012F8">
        <w:rPr>
          <w:rFonts w:cs="Times New Roman"/>
        </w:rPr>
        <w:t>Aspirine (prophylaxie antithrombotique et traitement de l’érythromélalgie)</w:t>
      </w:r>
    </w:p>
    <w:p w:rsidR="007A7367" w:rsidRPr="00F012F8" w:rsidRDefault="007A7367" w:rsidP="001A1752">
      <w:pPr>
        <w:pStyle w:val="Paragraphedeliste"/>
        <w:numPr>
          <w:ilvl w:val="0"/>
          <w:numId w:val="47"/>
        </w:numPr>
        <w:rPr>
          <w:rFonts w:cs="Times New Roman"/>
        </w:rPr>
      </w:pPr>
      <w:r w:rsidRPr="00F012F8">
        <w:rPr>
          <w:rFonts w:cs="Times New Roman"/>
        </w:rPr>
        <w:t>Pronostic de 10-20 ans avec traitement</w:t>
      </w:r>
    </w:p>
    <w:p w:rsidR="007A7367" w:rsidRPr="00F012F8" w:rsidRDefault="007A7367" w:rsidP="001A1752">
      <w:pPr>
        <w:pStyle w:val="Paragraphedeliste"/>
        <w:numPr>
          <w:ilvl w:val="0"/>
          <w:numId w:val="47"/>
        </w:numPr>
        <w:rPr>
          <w:rFonts w:cs="Times New Roman"/>
        </w:rPr>
      </w:pPr>
      <w:r w:rsidRPr="00F012F8">
        <w:rPr>
          <w:rFonts w:cs="Times New Roman"/>
        </w:rPr>
        <w:t>Peut évoluer vers la pancytopénie par épuisement de la MO, en myélofibrose (15%) ou la leucémie aigue (5%)</w:t>
      </w:r>
    </w:p>
    <w:p w:rsidR="007A7367" w:rsidRPr="00F012F8" w:rsidRDefault="007A7367" w:rsidP="007A7367">
      <w:pPr>
        <w:rPr>
          <w:rFonts w:cs="Times New Roman"/>
          <w:u w:val="single"/>
        </w:rPr>
      </w:pPr>
      <w:r w:rsidRPr="00F012F8">
        <w:rPr>
          <w:rFonts w:cs="Times New Roman"/>
          <w:highlight w:val="yellow"/>
          <w:u w:val="single"/>
        </w:rPr>
        <w:t>Empoisonnement au CO</w:t>
      </w:r>
    </w:p>
    <w:p w:rsidR="007A7367" w:rsidRPr="00F012F8" w:rsidRDefault="007A7367" w:rsidP="001A1752">
      <w:pPr>
        <w:pStyle w:val="Paragraphedeliste"/>
        <w:numPr>
          <w:ilvl w:val="0"/>
          <w:numId w:val="49"/>
        </w:numPr>
        <w:rPr>
          <w:rFonts w:cs="Times New Roman"/>
        </w:rPr>
      </w:pPr>
      <w:r w:rsidRPr="00F012F8">
        <w:rPr>
          <w:rFonts w:cs="Times New Roman"/>
        </w:rPr>
        <w:t>Éliminer la source de CO</w:t>
      </w:r>
    </w:p>
    <w:p w:rsidR="007A7367" w:rsidRPr="00F012F8" w:rsidRDefault="007A7367" w:rsidP="001A1752">
      <w:pPr>
        <w:pStyle w:val="Paragraphedeliste"/>
        <w:numPr>
          <w:ilvl w:val="0"/>
          <w:numId w:val="49"/>
        </w:numPr>
        <w:rPr>
          <w:rFonts w:cs="Times New Roman"/>
        </w:rPr>
      </w:pPr>
      <w:r w:rsidRPr="00F012F8">
        <w:rPr>
          <w:rFonts w:cs="Times New Roman"/>
        </w:rPr>
        <w:t>Counseling sur le milieu de travail si en cause</w:t>
      </w:r>
    </w:p>
    <w:p w:rsidR="007A7367" w:rsidRPr="00F012F8" w:rsidRDefault="007A7367" w:rsidP="001A1752">
      <w:pPr>
        <w:pStyle w:val="Paragraphedeliste"/>
        <w:numPr>
          <w:ilvl w:val="0"/>
          <w:numId w:val="49"/>
        </w:numPr>
        <w:rPr>
          <w:rFonts w:cs="Times New Roman"/>
        </w:rPr>
      </w:pPr>
      <w:r w:rsidRPr="00F012F8">
        <w:rPr>
          <w:rFonts w:cs="Times New Roman"/>
        </w:rPr>
        <w:t>O</w:t>
      </w:r>
      <w:r w:rsidRPr="00F012F8">
        <w:rPr>
          <w:rFonts w:cs="Times New Roman"/>
          <w:vertAlign w:val="subscript"/>
        </w:rPr>
        <w:t>2</w:t>
      </w:r>
      <w:r w:rsidRPr="00F012F8">
        <w:rPr>
          <w:rFonts w:cs="Times New Roman"/>
        </w:rPr>
        <w:t> 100% (ou thérapie hyperbare si très sévère)</w:t>
      </w:r>
    </w:p>
    <w:p w:rsidR="007A7367" w:rsidRPr="00F012F8" w:rsidRDefault="007A7367" w:rsidP="007A7367">
      <w:pPr>
        <w:rPr>
          <w:rFonts w:cs="Times New Roman"/>
          <w:u w:val="single"/>
        </w:rPr>
      </w:pPr>
      <w:r w:rsidRPr="00F012F8">
        <w:rPr>
          <w:rFonts w:cs="Times New Roman"/>
          <w:highlight w:val="yellow"/>
          <w:u w:val="single"/>
        </w:rPr>
        <w:t>Tabagisme important</w:t>
      </w:r>
    </w:p>
    <w:p w:rsidR="007A7367" w:rsidRPr="00F012F8" w:rsidRDefault="007A7367" w:rsidP="001A1752">
      <w:pPr>
        <w:pStyle w:val="Paragraphedeliste"/>
        <w:numPr>
          <w:ilvl w:val="0"/>
          <w:numId w:val="50"/>
        </w:numPr>
        <w:rPr>
          <w:rFonts w:cs="Times New Roman"/>
        </w:rPr>
      </w:pPr>
      <w:r w:rsidRPr="00F012F8">
        <w:rPr>
          <w:rFonts w:cs="Times New Roman"/>
        </w:rPr>
        <w:t xml:space="preserve">Conseiller au patient de réduire son tabagisme </w:t>
      </w:r>
    </w:p>
    <w:p w:rsidR="007A7367" w:rsidRPr="00F012F8" w:rsidRDefault="001622FE" w:rsidP="001A1752">
      <w:pPr>
        <w:pStyle w:val="Paragraphedeliste"/>
        <w:numPr>
          <w:ilvl w:val="0"/>
          <w:numId w:val="50"/>
        </w:numPr>
        <w:rPr>
          <w:rFonts w:cs="Times New Roman"/>
        </w:rPr>
      </w:pPr>
      <w:r w:rsidRPr="00F012F8">
        <w:rPr>
          <w:rFonts w:cs="Times New Roman"/>
          <w:noProof/>
          <w:lang w:eastAsia="fr-CA"/>
        </w:rPr>
        <w:drawing>
          <wp:anchor distT="0" distB="0" distL="114300" distR="114300" simplePos="0" relativeHeight="251671552" behindDoc="0" locked="0" layoutInCell="1" allowOverlap="1" wp14:anchorId="64D00A40" wp14:editId="1C262C44">
            <wp:simplePos x="0" y="0"/>
            <wp:positionH relativeFrom="column">
              <wp:posOffset>3673475</wp:posOffset>
            </wp:positionH>
            <wp:positionV relativeFrom="paragraph">
              <wp:posOffset>219710</wp:posOffset>
            </wp:positionV>
            <wp:extent cx="3204210" cy="2401570"/>
            <wp:effectExtent l="0" t="0" r="0" b="0"/>
            <wp:wrapNone/>
            <wp:docPr id="9" name="Image 9" descr="Résultats de recherche d'images pour « polyglobulie de vaquez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ésultats de recherche d'images pour « polyglobulie de vaquez »"/>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3204210" cy="2401570"/>
                    </a:xfrm>
                    <a:prstGeom prst="rect">
                      <a:avLst/>
                    </a:prstGeom>
                    <a:noFill/>
                    <a:ln>
                      <a:noFill/>
                    </a:ln>
                  </pic:spPr>
                </pic:pic>
              </a:graphicData>
            </a:graphic>
            <wp14:sizeRelH relativeFrom="page">
              <wp14:pctWidth>0</wp14:pctWidth>
            </wp14:sizeRelH>
            <wp14:sizeRelV relativeFrom="page">
              <wp14:pctHeight>0</wp14:pctHeight>
            </wp14:sizeRelV>
          </wp:anchor>
        </w:drawing>
      </w:r>
      <w:r w:rsidR="007A7367" w:rsidRPr="00F012F8">
        <w:rPr>
          <w:rFonts w:cs="Times New Roman"/>
        </w:rPr>
        <w:t>Soutien à l’arrêt tabagique si souhaité (pharmacologique ou psychologique)</w:t>
      </w:r>
    </w:p>
    <w:p w:rsidR="007A7367" w:rsidRPr="00F012F8" w:rsidRDefault="007A7367" w:rsidP="007A7367">
      <w:pPr>
        <w:rPr>
          <w:rFonts w:cs="Times New Roman"/>
          <w:u w:val="single"/>
        </w:rPr>
      </w:pPr>
      <w:r w:rsidRPr="00F012F8">
        <w:rPr>
          <w:rFonts w:cs="Times New Roman"/>
          <w:u w:val="single"/>
        </w:rPr>
        <w:t>MPOC/ SAHS / Syndrome de Picwick</w:t>
      </w:r>
    </w:p>
    <w:p w:rsidR="007A7367" w:rsidRPr="00F012F8" w:rsidRDefault="007A7367" w:rsidP="001A1752">
      <w:pPr>
        <w:pStyle w:val="Paragraphedeliste"/>
        <w:numPr>
          <w:ilvl w:val="0"/>
          <w:numId w:val="51"/>
        </w:numPr>
        <w:rPr>
          <w:rFonts w:cs="Times New Roman"/>
        </w:rPr>
      </w:pPr>
      <w:r w:rsidRPr="00F012F8">
        <w:rPr>
          <w:rFonts w:cs="Times New Roman"/>
        </w:rPr>
        <w:t>C-PAP</w:t>
      </w:r>
    </w:p>
    <w:p w:rsidR="007A7367" w:rsidRPr="00F012F8" w:rsidRDefault="007A7367" w:rsidP="001A1752">
      <w:pPr>
        <w:pStyle w:val="Paragraphedeliste"/>
        <w:numPr>
          <w:ilvl w:val="0"/>
          <w:numId w:val="51"/>
        </w:numPr>
        <w:rPr>
          <w:rFonts w:cs="Times New Roman"/>
        </w:rPr>
      </w:pPr>
      <w:r w:rsidRPr="00F012F8">
        <w:rPr>
          <w:rFonts w:cs="Times New Roman"/>
        </w:rPr>
        <w:t>Perte de poids et exercice physique</w:t>
      </w:r>
    </w:p>
    <w:p w:rsidR="007A7367" w:rsidRPr="00F012F8" w:rsidRDefault="007A7367" w:rsidP="001A1752">
      <w:pPr>
        <w:pStyle w:val="Paragraphedeliste"/>
        <w:numPr>
          <w:ilvl w:val="0"/>
          <w:numId w:val="51"/>
        </w:numPr>
        <w:rPr>
          <w:rFonts w:cs="Times New Roman"/>
        </w:rPr>
      </w:pPr>
      <w:r w:rsidRPr="00F012F8">
        <w:rPr>
          <w:rFonts w:cs="Times New Roman"/>
        </w:rPr>
        <w:t>Arrêt tabagique</w:t>
      </w:r>
    </w:p>
    <w:p w:rsidR="007A7367" w:rsidRPr="00F012F8" w:rsidRDefault="007A7367" w:rsidP="001A1752">
      <w:pPr>
        <w:pStyle w:val="Paragraphedeliste"/>
        <w:numPr>
          <w:ilvl w:val="0"/>
          <w:numId w:val="51"/>
        </w:numPr>
        <w:rPr>
          <w:rFonts w:cs="Times New Roman"/>
        </w:rPr>
      </w:pPr>
      <w:r w:rsidRPr="00F012F8">
        <w:rPr>
          <w:rFonts w:cs="Times New Roman"/>
        </w:rPr>
        <w:t>Traitement de support de la MPOC PRN</w:t>
      </w:r>
    </w:p>
    <w:p w:rsidR="007A7367" w:rsidRPr="00F012F8" w:rsidRDefault="007A7367" w:rsidP="007A7367">
      <w:pPr>
        <w:rPr>
          <w:rFonts w:cs="Times New Roman"/>
          <w:u w:val="single"/>
        </w:rPr>
      </w:pPr>
      <w:r w:rsidRPr="00F012F8">
        <w:rPr>
          <w:rFonts w:cs="Times New Roman"/>
          <w:u w:val="single"/>
        </w:rPr>
        <w:t>Néoplasie</w:t>
      </w:r>
    </w:p>
    <w:p w:rsidR="007A7367" w:rsidRPr="00F012F8" w:rsidRDefault="007A7367" w:rsidP="001A1752">
      <w:pPr>
        <w:pStyle w:val="Paragraphedeliste"/>
        <w:numPr>
          <w:ilvl w:val="0"/>
          <w:numId w:val="52"/>
        </w:numPr>
        <w:rPr>
          <w:rFonts w:cs="Times New Roman"/>
        </w:rPr>
      </w:pPr>
      <w:r w:rsidRPr="00F012F8">
        <w:rPr>
          <w:rFonts w:cs="Times New Roman"/>
        </w:rPr>
        <w:t>Résection chirurgicale de la tumeur sécrétante</w:t>
      </w:r>
    </w:p>
    <w:p w:rsidR="007A7367" w:rsidRPr="00F012F8" w:rsidRDefault="007A7367" w:rsidP="001A1752">
      <w:pPr>
        <w:pStyle w:val="Paragraphedeliste"/>
        <w:numPr>
          <w:ilvl w:val="0"/>
          <w:numId w:val="52"/>
        </w:numPr>
        <w:rPr>
          <w:rFonts w:cs="Times New Roman"/>
        </w:rPr>
        <w:sectPr w:rsidR="007A7367" w:rsidRPr="00F012F8" w:rsidSect="00540770">
          <w:type w:val="continuous"/>
          <w:pgSz w:w="12240" w:h="15840"/>
          <w:pgMar w:top="720" w:right="720" w:bottom="720" w:left="720" w:header="708" w:footer="708" w:gutter="0"/>
          <w:cols w:space="708"/>
          <w:docGrid w:linePitch="360"/>
        </w:sectPr>
      </w:pPr>
      <w:r w:rsidRPr="00F012F8">
        <w:rPr>
          <w:rFonts w:cs="Times New Roman"/>
        </w:rPr>
        <w:t>Consultation en hémato-oncologie et en chirurgie</w:t>
      </w:r>
    </w:p>
    <w:p w:rsidR="00F8057D" w:rsidRDefault="00F8057D" w:rsidP="00F145CC">
      <w:pPr>
        <w:spacing w:after="0"/>
        <w:rPr>
          <w:rFonts w:cs="Times New Roman"/>
          <w:b/>
          <w:color w:val="548DD4" w:themeColor="text2" w:themeTint="99"/>
        </w:rPr>
      </w:pPr>
    </w:p>
    <w:p w:rsidR="00F8057D" w:rsidRDefault="00F8057D" w:rsidP="00F145CC">
      <w:pPr>
        <w:spacing w:after="0"/>
        <w:rPr>
          <w:rFonts w:cs="Times New Roman"/>
          <w:b/>
          <w:color w:val="548DD4" w:themeColor="text2" w:themeTint="99"/>
        </w:rPr>
      </w:pPr>
    </w:p>
    <w:p w:rsidR="00F8057D" w:rsidRDefault="00F8057D" w:rsidP="00F145CC">
      <w:pPr>
        <w:spacing w:after="0"/>
        <w:rPr>
          <w:rFonts w:cs="Times New Roman"/>
          <w:b/>
          <w:color w:val="548DD4" w:themeColor="text2" w:themeTint="99"/>
        </w:rPr>
      </w:pPr>
    </w:p>
    <w:p w:rsidR="00F145CC" w:rsidRDefault="00F145CC" w:rsidP="00F145CC">
      <w:pPr>
        <w:spacing w:after="0"/>
        <w:rPr>
          <w:rFonts w:cs="Times New Roman"/>
          <w:b/>
          <w:color w:val="548DD4" w:themeColor="text2" w:themeTint="99"/>
        </w:rPr>
      </w:pPr>
      <w:r>
        <w:rPr>
          <w:rFonts w:cs="Times New Roman"/>
          <w:b/>
          <w:color w:val="548DD4" w:themeColor="text2" w:themeTint="99"/>
        </w:rPr>
        <w:lastRenderedPageBreak/>
        <w:t>CMC 46</w:t>
      </w:r>
    </w:p>
    <w:bookmarkStart w:id="132" w:name="_Toc480797286"/>
    <w:p w:rsidR="00F145CC" w:rsidRDefault="00F145CC" w:rsidP="00F145CC">
      <w:pPr>
        <w:pStyle w:val="Titre3"/>
        <w:spacing w:before="0" w:after="240"/>
        <w:rPr>
          <w:rFonts w:ascii="Times New Roman" w:hAnsi="Times New Roman" w:cs="Times New Roman"/>
        </w:rPr>
      </w:pPr>
      <w:r>
        <w:rPr>
          <w:rFonts w:ascii="Times New Roman" w:hAnsi="Times New Roman" w:cs="Times New Roman"/>
          <w:noProof/>
          <w:lang w:eastAsia="fr-CA"/>
        </w:rPr>
        <mc:AlternateContent>
          <mc:Choice Requires="wps">
            <w:drawing>
              <wp:anchor distT="0" distB="0" distL="114300" distR="114300" simplePos="0" relativeHeight="251740160" behindDoc="0" locked="0" layoutInCell="1" allowOverlap="1" wp14:anchorId="7F7CFF92" wp14:editId="79658031">
                <wp:simplePos x="0" y="0"/>
                <wp:positionH relativeFrom="column">
                  <wp:posOffset>-48638</wp:posOffset>
                </wp:positionH>
                <wp:positionV relativeFrom="paragraph">
                  <wp:posOffset>250555</wp:posOffset>
                </wp:positionV>
                <wp:extent cx="7003915" cy="2645923"/>
                <wp:effectExtent l="0" t="0" r="26035" b="21590"/>
                <wp:wrapNone/>
                <wp:docPr id="261" name="Rectangle 261"/>
                <wp:cNvGraphicFramePr/>
                <a:graphic xmlns:a="http://schemas.openxmlformats.org/drawingml/2006/main">
                  <a:graphicData uri="http://schemas.microsoft.com/office/word/2010/wordprocessingShape">
                    <wps:wsp>
                      <wps:cNvSpPr/>
                      <wps:spPr>
                        <a:xfrm>
                          <a:off x="0" y="0"/>
                          <a:ext cx="7003915" cy="2645923"/>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261" o:spid="_x0000_s1026" style="position:absolute;margin-left:-3.85pt;margin-top:19.75pt;width:551.5pt;height:208.35pt;z-index:2517401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" filled="f" strokecolor="black [1600]" strokeweight="2pt"/>
            </w:pict>
          </mc:Fallback>
        </mc:AlternateContent>
      </w:r>
      <w:r w:rsidRPr="00F145CC">
        <w:rPr>
          <w:rFonts w:ascii="Times New Roman" w:hAnsi="Times New Roman" w:cs="Times New Roman"/>
        </w:rPr>
        <w:t>Infertilité</w:t>
      </w:r>
      <w:bookmarkEnd w:id="132"/>
    </w:p>
    <w:tbl>
      <w:tblPr>
        <w:tblW w:w="5000" w:type="pct"/>
        <w:tblCellSpacing w:w="0" w:type="dxa"/>
        <w:tblCellMar>
          <w:left w:w="0" w:type="dxa"/>
          <w:right w:w="0" w:type="dxa"/>
        </w:tblCellMar>
        <w:tblLook w:val="04A0" w:firstRow="1" w:lastRow="0" w:firstColumn="1" w:lastColumn="0" w:noHBand="0" w:noVBand="1"/>
      </w:tblPr>
      <w:tblGrid>
        <w:gridCol w:w="10759"/>
        <w:gridCol w:w="41"/>
      </w:tblGrid>
      <w:tr w:rsidR="00F145CC" w:rsidRPr="00F145CC" w:rsidTr="00F145CC">
        <w:trPr>
          <w:tblCellSpacing w:w="0" w:type="dxa"/>
        </w:trPr>
        <w:tc>
          <w:tcPr>
            <w:tcW w:w="0" w:type="auto"/>
            <w:vAlign w:val="bottom"/>
            <w:hideMark/>
          </w:tcPr>
          <w:p w:rsidR="00F145CC" w:rsidRPr="001E71BC" w:rsidRDefault="00F145CC" w:rsidP="001E71BC">
            <w:pPr>
              <w:pStyle w:val="Sansinterligne"/>
              <w:rPr>
                <w:b/>
                <w:sz w:val="18"/>
                <w:szCs w:val="18"/>
              </w:rPr>
            </w:pPr>
            <w:bookmarkStart w:id="133" w:name="_Toc475198215"/>
            <w:bookmarkStart w:id="134" w:name="_Toc475563840"/>
            <w:r w:rsidRPr="001E71BC">
              <w:rPr>
                <w:b/>
                <w:sz w:val="18"/>
                <w:szCs w:val="18"/>
              </w:rPr>
              <w:t>Objectifs principaux</w:t>
            </w:r>
            <w:bookmarkEnd w:id="133"/>
            <w:bookmarkEnd w:id="134"/>
          </w:p>
        </w:tc>
        <w:tc>
          <w:tcPr>
            <w:tcW w:w="0" w:type="auto"/>
            <w:vAlign w:val="bottom"/>
            <w:hideMark/>
          </w:tcPr>
          <w:p w:rsidR="00F145CC" w:rsidRPr="00F145CC" w:rsidRDefault="00F145CC">
            <w:pPr>
              <w:jc w:val="right"/>
              <w:rPr>
                <w:rFonts w:cs="Times New Roman"/>
                <w:color w:val="000000"/>
                <w:sz w:val="18"/>
                <w:szCs w:val="18"/>
              </w:rPr>
            </w:pPr>
          </w:p>
        </w:tc>
      </w:tr>
    </w:tbl>
    <w:p w:rsidR="00F145CC" w:rsidRPr="00F145CC" w:rsidRDefault="00F145CC" w:rsidP="00F145CC">
      <w:pPr>
        <w:pStyle w:val="NormalWeb"/>
        <w:ind w:left="360"/>
        <w:rPr>
          <w:color w:val="000000"/>
          <w:sz w:val="18"/>
          <w:szCs w:val="18"/>
          <w:shd w:val="clear" w:color="auto" w:fill="FFFFFF"/>
        </w:rPr>
      </w:pPr>
      <w:r w:rsidRPr="00F145CC">
        <w:rPr>
          <w:color w:val="000000"/>
          <w:sz w:val="18"/>
          <w:szCs w:val="18"/>
          <w:shd w:val="clear" w:color="auto" w:fill="FFFFFF"/>
        </w:rPr>
        <w:t>Dans le cas d'un couple infertile, le candidat devra diagnostiquer la cause et les complications de cette infertilité, puis expliquer les options thérapeutiques.</w:t>
      </w:r>
    </w:p>
    <w:tbl>
      <w:tblPr>
        <w:tblW w:w="5000" w:type="pct"/>
        <w:tblCellSpacing w:w="0" w:type="dxa"/>
        <w:tblCellMar>
          <w:left w:w="0" w:type="dxa"/>
          <w:right w:w="0" w:type="dxa"/>
        </w:tblCellMar>
        <w:tblLook w:val="04A0" w:firstRow="1" w:lastRow="0" w:firstColumn="1" w:lastColumn="0" w:noHBand="0" w:noVBand="1"/>
      </w:tblPr>
      <w:tblGrid>
        <w:gridCol w:w="10754"/>
        <w:gridCol w:w="46"/>
      </w:tblGrid>
      <w:tr w:rsidR="00F145CC" w:rsidRPr="00F145CC" w:rsidTr="00F145CC">
        <w:trPr>
          <w:tblCellSpacing w:w="0" w:type="dxa"/>
        </w:trPr>
        <w:tc>
          <w:tcPr>
            <w:tcW w:w="0" w:type="auto"/>
            <w:vAlign w:val="bottom"/>
            <w:hideMark/>
          </w:tcPr>
          <w:p w:rsidR="00F145CC" w:rsidRPr="001E71BC" w:rsidRDefault="00F145CC" w:rsidP="001E71BC">
            <w:pPr>
              <w:pStyle w:val="Sansinterligne"/>
              <w:rPr>
                <w:b/>
                <w:sz w:val="16"/>
                <w:szCs w:val="16"/>
              </w:rPr>
            </w:pPr>
            <w:bookmarkStart w:id="135" w:name="_Toc475198216"/>
            <w:bookmarkStart w:id="136" w:name="_Toc475563841"/>
            <w:r w:rsidRPr="001E71BC">
              <w:rPr>
                <w:b/>
                <w:sz w:val="16"/>
                <w:szCs w:val="16"/>
              </w:rPr>
              <w:t>Objectifs spécifiques</w:t>
            </w:r>
            <w:bookmarkEnd w:id="135"/>
            <w:bookmarkEnd w:id="136"/>
          </w:p>
        </w:tc>
        <w:tc>
          <w:tcPr>
            <w:tcW w:w="0" w:type="auto"/>
            <w:vAlign w:val="bottom"/>
            <w:hideMark/>
          </w:tcPr>
          <w:p w:rsidR="00F145CC" w:rsidRPr="00F145CC" w:rsidRDefault="00F145CC">
            <w:pPr>
              <w:jc w:val="right"/>
              <w:rPr>
                <w:rFonts w:cs="Times New Roman"/>
                <w:color w:val="000000"/>
                <w:sz w:val="16"/>
                <w:szCs w:val="16"/>
              </w:rPr>
            </w:pPr>
          </w:p>
        </w:tc>
      </w:tr>
    </w:tbl>
    <w:p w:rsidR="00F145CC" w:rsidRPr="00F145CC" w:rsidRDefault="00F145CC" w:rsidP="00397EBE">
      <w:pPr>
        <w:pStyle w:val="NormalWeb"/>
        <w:shd w:val="clear" w:color="auto" w:fill="FFFFFF"/>
        <w:spacing w:after="0" w:afterAutospacing="0"/>
        <w:ind w:left="360"/>
        <w:rPr>
          <w:color w:val="000000"/>
          <w:sz w:val="16"/>
          <w:szCs w:val="16"/>
          <w:shd w:val="clear" w:color="auto" w:fill="FFFFFF"/>
        </w:rPr>
      </w:pPr>
      <w:r w:rsidRPr="00F145CC">
        <w:rPr>
          <w:color w:val="000000"/>
          <w:sz w:val="16"/>
          <w:szCs w:val="16"/>
          <w:shd w:val="clear" w:color="auto" w:fill="FFFFFF"/>
        </w:rPr>
        <w:t>Dans le cas d'un couple infertile, le candidat devra</w:t>
      </w:r>
    </w:p>
    <w:p w:rsidR="00F145CC" w:rsidRPr="00F145CC" w:rsidRDefault="00F145CC" w:rsidP="00194D38">
      <w:pPr>
        <w:numPr>
          <w:ilvl w:val="0"/>
          <w:numId w:val="290"/>
        </w:numPr>
        <w:shd w:val="clear" w:color="auto" w:fill="FFFFFF"/>
        <w:spacing w:after="100" w:afterAutospacing="1" w:line="240" w:lineRule="auto"/>
        <w:rPr>
          <w:rFonts w:cs="Times New Roman"/>
          <w:color w:val="000000"/>
          <w:sz w:val="16"/>
          <w:szCs w:val="16"/>
          <w:shd w:val="clear" w:color="auto" w:fill="FFFFFF"/>
        </w:rPr>
      </w:pPr>
      <w:r w:rsidRPr="00F145CC">
        <w:rPr>
          <w:rFonts w:cs="Times New Roman"/>
          <w:color w:val="000000"/>
          <w:sz w:val="16"/>
          <w:szCs w:val="16"/>
          <w:shd w:val="clear" w:color="auto" w:fill="FFFFFF"/>
        </w:rPr>
        <w:t>énumérer et interpréter les constatations cliniques cruciales, notamment :</w:t>
      </w:r>
    </w:p>
    <w:p w:rsidR="00F145CC" w:rsidRPr="00F145CC" w:rsidRDefault="00F145CC" w:rsidP="00194D38">
      <w:pPr>
        <w:numPr>
          <w:ilvl w:val="1"/>
          <w:numId w:val="290"/>
        </w:numPr>
        <w:shd w:val="clear" w:color="auto" w:fill="FFFFFF"/>
        <w:spacing w:before="100" w:beforeAutospacing="1" w:after="100" w:afterAutospacing="1" w:line="240" w:lineRule="auto"/>
        <w:rPr>
          <w:rFonts w:cs="Times New Roman"/>
          <w:color w:val="000000"/>
          <w:sz w:val="16"/>
          <w:szCs w:val="16"/>
          <w:shd w:val="clear" w:color="auto" w:fill="FFFFFF"/>
        </w:rPr>
      </w:pPr>
      <w:r w:rsidRPr="00F145CC">
        <w:rPr>
          <w:rFonts w:cs="Times New Roman"/>
          <w:color w:val="000000"/>
          <w:sz w:val="16"/>
          <w:szCs w:val="16"/>
          <w:shd w:val="clear" w:color="auto" w:fill="FFFFFF"/>
        </w:rPr>
        <w:t>faire une anamnèse, ainsi qu'un examen physique approprié des deux partenaires;</w:t>
      </w:r>
    </w:p>
    <w:p w:rsidR="00F145CC" w:rsidRPr="00F145CC" w:rsidRDefault="00F145CC" w:rsidP="00194D38">
      <w:pPr>
        <w:numPr>
          <w:ilvl w:val="0"/>
          <w:numId w:val="290"/>
        </w:numPr>
        <w:shd w:val="clear" w:color="auto" w:fill="FFFFFF"/>
        <w:spacing w:before="100" w:beforeAutospacing="1" w:after="100" w:afterAutospacing="1" w:line="240" w:lineRule="auto"/>
        <w:rPr>
          <w:rFonts w:cs="Times New Roman"/>
          <w:color w:val="000000"/>
          <w:sz w:val="16"/>
          <w:szCs w:val="16"/>
          <w:shd w:val="clear" w:color="auto" w:fill="FFFFFF"/>
        </w:rPr>
      </w:pPr>
      <w:r w:rsidRPr="00F145CC">
        <w:rPr>
          <w:rFonts w:cs="Times New Roman"/>
          <w:color w:val="000000"/>
          <w:sz w:val="16"/>
          <w:szCs w:val="16"/>
          <w:shd w:val="clear" w:color="auto" w:fill="FFFFFF"/>
        </w:rPr>
        <w:t>énumérer et interpréter les examens essentiels, notamment :</w:t>
      </w:r>
    </w:p>
    <w:p w:rsidR="00F145CC" w:rsidRPr="00F145CC" w:rsidRDefault="00F145CC" w:rsidP="00194D38">
      <w:pPr>
        <w:numPr>
          <w:ilvl w:val="1"/>
          <w:numId w:val="290"/>
        </w:numPr>
        <w:shd w:val="clear" w:color="auto" w:fill="FFFFFF"/>
        <w:spacing w:before="100" w:beforeAutospacing="1" w:after="100" w:afterAutospacing="1" w:line="240" w:lineRule="auto"/>
        <w:rPr>
          <w:rFonts w:cs="Times New Roman"/>
          <w:color w:val="000000"/>
          <w:sz w:val="16"/>
          <w:szCs w:val="16"/>
          <w:shd w:val="clear" w:color="auto" w:fill="FFFFFF"/>
        </w:rPr>
      </w:pPr>
      <w:r w:rsidRPr="00F145CC">
        <w:rPr>
          <w:rFonts w:cs="Times New Roman"/>
          <w:color w:val="000000"/>
          <w:sz w:val="16"/>
          <w:szCs w:val="16"/>
          <w:shd w:val="clear" w:color="auto" w:fill="FFFFFF"/>
        </w:rPr>
        <w:t>le spermogramme;</w:t>
      </w:r>
    </w:p>
    <w:p w:rsidR="00F145CC" w:rsidRPr="00F145CC" w:rsidRDefault="00F145CC" w:rsidP="00194D38">
      <w:pPr>
        <w:numPr>
          <w:ilvl w:val="1"/>
          <w:numId w:val="290"/>
        </w:numPr>
        <w:shd w:val="clear" w:color="auto" w:fill="FFFFFF"/>
        <w:spacing w:before="100" w:beforeAutospacing="1" w:after="100" w:afterAutospacing="1" w:line="240" w:lineRule="auto"/>
        <w:rPr>
          <w:rFonts w:cs="Times New Roman"/>
          <w:color w:val="000000"/>
          <w:sz w:val="16"/>
          <w:szCs w:val="16"/>
          <w:shd w:val="clear" w:color="auto" w:fill="FFFFFF"/>
        </w:rPr>
      </w:pPr>
      <w:bookmarkStart w:id="137" w:name="Objectifssp%C3%A9cifiques2.2"/>
      <w:r w:rsidRPr="00F145CC">
        <w:rPr>
          <w:rFonts w:cs="Times New Roman"/>
          <w:color w:val="000000"/>
          <w:sz w:val="16"/>
          <w:szCs w:val="16"/>
          <w:shd w:val="clear" w:color="auto" w:fill="FFFFFF"/>
        </w:rPr>
        <w:t>des tests d'ovulation;</w:t>
      </w:r>
    </w:p>
    <w:p w:rsidR="00F145CC" w:rsidRPr="00F145CC" w:rsidRDefault="00F145CC" w:rsidP="00194D38">
      <w:pPr>
        <w:numPr>
          <w:ilvl w:val="1"/>
          <w:numId w:val="290"/>
        </w:numPr>
        <w:shd w:val="clear" w:color="auto" w:fill="FFFFFF"/>
        <w:spacing w:before="100" w:beforeAutospacing="1" w:after="100" w:afterAutospacing="1" w:line="240" w:lineRule="auto"/>
        <w:rPr>
          <w:rFonts w:cs="Times New Roman"/>
          <w:color w:val="000000"/>
          <w:sz w:val="16"/>
          <w:szCs w:val="16"/>
          <w:shd w:val="clear" w:color="auto" w:fill="FFFFFF"/>
        </w:rPr>
      </w:pPr>
      <w:bookmarkStart w:id="138" w:name="Objectifssp%C3%A9cifiques2.3"/>
      <w:bookmarkEnd w:id="137"/>
      <w:r w:rsidRPr="00F145CC">
        <w:rPr>
          <w:rFonts w:cs="Times New Roman"/>
          <w:color w:val="000000"/>
          <w:sz w:val="16"/>
          <w:szCs w:val="16"/>
          <w:shd w:val="clear" w:color="auto" w:fill="FFFFFF"/>
        </w:rPr>
        <w:t>d'autres analyses de laboratoire (p. ex. dosage de la prolactine et de la thyréostimuline);</w:t>
      </w:r>
    </w:p>
    <w:bookmarkEnd w:id="138"/>
    <w:p w:rsidR="00F145CC" w:rsidRPr="00F145CC" w:rsidRDefault="00F145CC" w:rsidP="00194D38">
      <w:pPr>
        <w:numPr>
          <w:ilvl w:val="0"/>
          <w:numId w:val="290"/>
        </w:numPr>
        <w:shd w:val="clear" w:color="auto" w:fill="FFFFFF"/>
        <w:spacing w:before="100" w:beforeAutospacing="1" w:after="100" w:afterAutospacing="1" w:line="240" w:lineRule="auto"/>
        <w:rPr>
          <w:rFonts w:cs="Times New Roman"/>
          <w:color w:val="000000"/>
          <w:sz w:val="16"/>
          <w:szCs w:val="16"/>
          <w:shd w:val="clear" w:color="auto" w:fill="FFFFFF"/>
        </w:rPr>
      </w:pPr>
      <w:r w:rsidRPr="00F145CC">
        <w:rPr>
          <w:rFonts w:cs="Times New Roman"/>
          <w:color w:val="000000"/>
          <w:sz w:val="16"/>
          <w:szCs w:val="16"/>
          <w:shd w:val="clear" w:color="auto" w:fill="FFFFFF"/>
        </w:rPr>
        <w:t>établir un plan efficace de prise en charge initiale, notamment :</w:t>
      </w:r>
    </w:p>
    <w:p w:rsidR="00F145CC" w:rsidRPr="00F145CC" w:rsidRDefault="00F145CC" w:rsidP="00194D38">
      <w:pPr>
        <w:numPr>
          <w:ilvl w:val="1"/>
          <w:numId w:val="290"/>
        </w:numPr>
        <w:shd w:val="clear" w:color="auto" w:fill="FFFFFF"/>
        <w:spacing w:before="100" w:beforeAutospacing="1" w:after="100" w:afterAutospacing="1" w:line="240" w:lineRule="auto"/>
        <w:rPr>
          <w:rFonts w:cs="Times New Roman"/>
          <w:color w:val="000000"/>
          <w:sz w:val="16"/>
          <w:szCs w:val="16"/>
          <w:shd w:val="clear" w:color="auto" w:fill="FFFFFF"/>
        </w:rPr>
      </w:pPr>
      <w:r w:rsidRPr="00F145CC">
        <w:rPr>
          <w:rFonts w:cs="Times New Roman"/>
          <w:color w:val="000000"/>
          <w:sz w:val="16"/>
          <w:szCs w:val="16"/>
          <w:shd w:val="clear" w:color="auto" w:fill="FFFFFF"/>
        </w:rPr>
        <w:t>donner des conseils sur l'utilisation d'acide folique avant la conception;</w:t>
      </w:r>
    </w:p>
    <w:p w:rsidR="00F145CC" w:rsidRPr="00F145CC" w:rsidRDefault="00F145CC" w:rsidP="00194D38">
      <w:pPr>
        <w:numPr>
          <w:ilvl w:val="1"/>
          <w:numId w:val="290"/>
        </w:numPr>
        <w:shd w:val="clear" w:color="auto" w:fill="FFFFFF"/>
        <w:spacing w:before="100" w:beforeAutospacing="1" w:after="100" w:afterAutospacing="1" w:line="240" w:lineRule="auto"/>
        <w:rPr>
          <w:rFonts w:cs="Times New Roman"/>
          <w:color w:val="000000"/>
          <w:sz w:val="16"/>
          <w:szCs w:val="16"/>
          <w:shd w:val="clear" w:color="auto" w:fill="FFFFFF"/>
        </w:rPr>
      </w:pPr>
      <w:r w:rsidRPr="00F145CC">
        <w:rPr>
          <w:rFonts w:cs="Times New Roman"/>
          <w:color w:val="000000"/>
          <w:sz w:val="16"/>
          <w:szCs w:val="16"/>
          <w:shd w:val="clear" w:color="auto" w:fill="FFFFFF"/>
        </w:rPr>
        <w:t>conseiller et renseigner le couple en ce qui concerne les options diagnostiques et thérapeutiques;</w:t>
      </w:r>
    </w:p>
    <w:p w:rsidR="00F145CC" w:rsidRPr="00F145CC" w:rsidRDefault="00F145CC" w:rsidP="00194D38">
      <w:pPr>
        <w:numPr>
          <w:ilvl w:val="1"/>
          <w:numId w:val="290"/>
        </w:numPr>
        <w:shd w:val="clear" w:color="auto" w:fill="FFFFFF"/>
        <w:spacing w:before="100" w:beforeAutospacing="1" w:after="100" w:afterAutospacing="1" w:line="240" w:lineRule="auto"/>
        <w:rPr>
          <w:rFonts w:cs="Times New Roman"/>
          <w:color w:val="000000"/>
          <w:sz w:val="16"/>
          <w:szCs w:val="16"/>
          <w:shd w:val="clear" w:color="auto" w:fill="FFFFFF"/>
        </w:rPr>
      </w:pPr>
      <w:r w:rsidRPr="00F145CC">
        <w:rPr>
          <w:rFonts w:cs="Times New Roman"/>
          <w:color w:val="000000"/>
          <w:sz w:val="16"/>
          <w:szCs w:val="16"/>
          <w:shd w:val="clear" w:color="auto" w:fill="FFFFFF"/>
        </w:rPr>
        <w:t>déterminer si l'un ou l'autre partenaire a besoin de soins spécialisés;</w:t>
      </w:r>
    </w:p>
    <w:p w:rsidR="00F145CC" w:rsidRPr="00F145CC" w:rsidRDefault="00F145CC" w:rsidP="00194D38">
      <w:pPr>
        <w:numPr>
          <w:ilvl w:val="1"/>
          <w:numId w:val="290"/>
        </w:numPr>
        <w:shd w:val="clear" w:color="auto" w:fill="FFFFFF"/>
        <w:spacing w:before="100" w:beforeAutospacing="1" w:after="100" w:afterAutospacing="1" w:line="240" w:lineRule="auto"/>
        <w:rPr>
          <w:rFonts w:cs="Times New Roman"/>
          <w:color w:val="000000"/>
          <w:sz w:val="16"/>
          <w:szCs w:val="16"/>
          <w:shd w:val="clear" w:color="auto" w:fill="FFFFFF"/>
        </w:rPr>
      </w:pPr>
      <w:r w:rsidRPr="00F145CC">
        <w:rPr>
          <w:rFonts w:cs="Times New Roman"/>
          <w:color w:val="000000"/>
          <w:sz w:val="16"/>
          <w:szCs w:val="16"/>
          <w:shd w:val="clear" w:color="auto" w:fill="FFFFFF"/>
        </w:rPr>
        <w:t>recommander</w:t>
      </w:r>
      <w:r>
        <w:rPr>
          <w:rFonts w:cs="Times New Roman"/>
          <w:color w:val="000000"/>
          <w:sz w:val="16"/>
          <w:szCs w:val="16"/>
          <w:shd w:val="clear" w:color="auto" w:fill="FFFFFF"/>
        </w:rPr>
        <w:t xml:space="preserve"> des modifications au milieu</w:t>
      </w:r>
      <w:r w:rsidRPr="00F145CC">
        <w:rPr>
          <w:rFonts w:cs="Times New Roman"/>
          <w:color w:val="000000"/>
          <w:sz w:val="16"/>
          <w:szCs w:val="16"/>
          <w:shd w:val="clear" w:color="auto" w:fill="FFFFFF"/>
        </w:rPr>
        <w:t xml:space="preserve"> de travail, s'il y a lieu.</w:t>
      </w:r>
    </w:p>
    <w:p w:rsidR="00F145CC" w:rsidRDefault="00A6128D" w:rsidP="00995B08">
      <w:pPr>
        <w:pStyle w:val="Sansinterligne"/>
        <w:rPr>
          <w:b/>
          <w:sz w:val="28"/>
          <w:szCs w:val="28"/>
        </w:rPr>
      </w:pPr>
      <w:r w:rsidRPr="00995B08">
        <w:rPr>
          <w:b/>
          <w:sz w:val="28"/>
          <w:szCs w:val="28"/>
        </w:rPr>
        <w:t>Étiologie</w:t>
      </w:r>
      <w:r w:rsidR="00F669BD">
        <w:rPr>
          <w:b/>
          <w:sz w:val="28"/>
          <w:szCs w:val="28"/>
        </w:rPr>
        <w:t>s</w:t>
      </w:r>
    </w:p>
    <w:p w:rsidR="00995B08" w:rsidRPr="00995B08" w:rsidRDefault="00995B08" w:rsidP="00995B08">
      <w:pPr>
        <w:pStyle w:val="Sansinterligne"/>
        <w:rPr>
          <w:b/>
          <w:sz w:val="28"/>
          <w:szCs w:val="28"/>
        </w:rPr>
      </w:pPr>
    </w:p>
    <w:p w:rsidR="00C12895" w:rsidRPr="00CA58CC" w:rsidRDefault="00C45849" w:rsidP="00995B08">
      <w:pPr>
        <w:pStyle w:val="Sansinterligne"/>
        <w:numPr>
          <w:ilvl w:val="0"/>
          <w:numId w:val="45"/>
        </w:numPr>
      </w:pPr>
      <w:r w:rsidRPr="00CA58CC">
        <w:t>Définition : Absence de conception après 12 mois de co</w:t>
      </w:r>
      <w:r w:rsidR="00C12895" w:rsidRPr="00CA58CC">
        <w:t>ït non protégé.</w:t>
      </w:r>
    </w:p>
    <w:p w:rsidR="00995B08" w:rsidRPr="00CA58CC" w:rsidRDefault="00995B08" w:rsidP="00995B08">
      <w:pPr>
        <w:pStyle w:val="Sansinterligne"/>
        <w:numPr>
          <w:ilvl w:val="0"/>
          <w:numId w:val="45"/>
        </w:numPr>
      </w:pPr>
      <w:r w:rsidRPr="00CA58CC">
        <w:t>Prévalence de l’infertilité : 12-15% des couples en âge de reproduction</w:t>
      </w:r>
    </w:p>
    <w:p w:rsidR="00C45849" w:rsidRPr="00995B08" w:rsidRDefault="002E1E6A" w:rsidP="00995B08">
      <w:pPr>
        <w:pStyle w:val="Sansinterligne"/>
        <w:numPr>
          <w:ilvl w:val="0"/>
          <w:numId w:val="45"/>
        </w:numPr>
        <w:rPr>
          <w:highlight w:val="yellow"/>
        </w:rPr>
      </w:pPr>
      <w:r>
        <w:rPr>
          <w:noProof/>
          <w:lang w:eastAsia="fr-CA"/>
        </w:rPr>
        <w:drawing>
          <wp:anchor distT="0" distB="0" distL="114300" distR="114300" simplePos="0" relativeHeight="251742208" behindDoc="1" locked="0" layoutInCell="1" allowOverlap="1" wp14:anchorId="45F3D741" wp14:editId="3695B167">
            <wp:simplePos x="0" y="0"/>
            <wp:positionH relativeFrom="column">
              <wp:posOffset>4101465</wp:posOffset>
            </wp:positionH>
            <wp:positionV relativeFrom="paragraph">
              <wp:posOffset>50165</wp:posOffset>
            </wp:positionV>
            <wp:extent cx="2756535" cy="1955165"/>
            <wp:effectExtent l="0" t="0" r="5715" b="6985"/>
            <wp:wrapNone/>
            <wp:docPr id="260" name="Image 260" descr="Résultats de recherche d'images pour « ovair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ésultats de recherche d'images pour « ovaires »"/>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2756535" cy="1955165"/>
                    </a:xfrm>
                    <a:prstGeom prst="rect">
                      <a:avLst/>
                    </a:prstGeom>
                    <a:noFill/>
                    <a:ln>
                      <a:noFill/>
                    </a:ln>
                  </pic:spPr>
                </pic:pic>
              </a:graphicData>
            </a:graphic>
            <wp14:sizeRelH relativeFrom="page">
              <wp14:pctWidth>0</wp14:pctWidth>
            </wp14:sizeRelH>
            <wp14:sizeRelV relativeFrom="page">
              <wp14:pctHeight>0</wp14:pctHeight>
            </wp14:sizeRelV>
          </wp:anchor>
        </w:drawing>
      </w:r>
      <w:r w:rsidR="00C12895" w:rsidRPr="00CA58CC">
        <w:rPr>
          <w:highlight w:val="yellow"/>
        </w:rPr>
        <w:t>Incidence cumulée à 1 an de grossesse avec coït non-protégé : 85%</w:t>
      </w:r>
      <w:r w:rsidR="00C12895" w:rsidRPr="00ED52F4">
        <w:t xml:space="preserve"> (93% à 2 an</w:t>
      </w:r>
      <w:r w:rsidR="00AF0B81" w:rsidRPr="00ED52F4">
        <w:t>s</w:t>
      </w:r>
      <w:r w:rsidR="00C12895" w:rsidRPr="00ED52F4">
        <w:t xml:space="preserve">) </w:t>
      </w:r>
    </w:p>
    <w:p w:rsidR="00995B08" w:rsidRDefault="00995B08" w:rsidP="00995B08">
      <w:pPr>
        <w:pStyle w:val="Sansinterligne"/>
        <w:ind w:left="360"/>
      </w:pPr>
    </w:p>
    <w:p w:rsidR="00C12895" w:rsidRDefault="00C12895" w:rsidP="00995B08">
      <w:pPr>
        <w:pStyle w:val="Sansinterligne"/>
        <w:numPr>
          <w:ilvl w:val="0"/>
          <w:numId w:val="45"/>
        </w:numPr>
      </w:pPr>
      <w:r>
        <w:t>Âge = facteur pronostic le plus important</w:t>
      </w:r>
    </w:p>
    <w:p w:rsidR="00995B08" w:rsidRDefault="00995B08" w:rsidP="00995B08">
      <w:pPr>
        <w:pStyle w:val="Sansinterligne"/>
        <w:ind w:left="360"/>
      </w:pPr>
    </w:p>
    <w:p w:rsidR="00995B08" w:rsidRDefault="00995B08" w:rsidP="00995B08">
      <w:pPr>
        <w:pStyle w:val="Sansinterligne"/>
        <w:numPr>
          <w:ilvl w:val="0"/>
          <w:numId w:val="45"/>
        </w:numPr>
      </w:pPr>
      <w:r>
        <w:t>5</w:t>
      </w:r>
      <w:r w:rsidR="00A6128D">
        <w:t xml:space="preserve"> </w:t>
      </w:r>
      <w:r>
        <w:t xml:space="preserve">principales </w:t>
      </w:r>
      <w:r w:rsidR="00A6128D">
        <w:t>catégories </w:t>
      </w:r>
      <w:r w:rsidR="00C12895">
        <w:t>étiologiques</w:t>
      </w:r>
      <w:r w:rsidR="00A6128D">
        <w:t>:</w:t>
      </w:r>
      <w:r w:rsidR="00C12895">
        <w:t xml:space="preserve"> </w:t>
      </w:r>
    </w:p>
    <w:p w:rsidR="00995B08" w:rsidRDefault="00995B08" w:rsidP="00995B08">
      <w:pPr>
        <w:pStyle w:val="Sansinterligne"/>
        <w:numPr>
          <w:ilvl w:val="1"/>
          <w:numId w:val="45"/>
        </w:numPr>
      </w:pPr>
      <w:r>
        <w:t>P</w:t>
      </w:r>
      <w:r w:rsidR="00DA7973">
        <w:t>roblème</w:t>
      </w:r>
      <w:r w:rsidR="00E1773C">
        <w:t>s</w:t>
      </w:r>
      <w:r w:rsidR="00DA7973">
        <w:t xml:space="preserve"> </w:t>
      </w:r>
      <w:r w:rsidR="00C12895">
        <w:t>ovulatoire</w:t>
      </w:r>
      <w:r w:rsidR="00E1773C">
        <w:t>s</w:t>
      </w:r>
      <w:r w:rsidR="00C12895">
        <w:t xml:space="preserve"> (</w:t>
      </w:r>
      <w:r>
        <w:t>20</w:t>
      </w:r>
      <w:r w:rsidR="00C12895">
        <w:t>%)</w:t>
      </w:r>
    </w:p>
    <w:p w:rsidR="00995B08" w:rsidRPr="00CA58CC" w:rsidRDefault="00995B08" w:rsidP="00995B08">
      <w:pPr>
        <w:pStyle w:val="Sansinterligne"/>
        <w:numPr>
          <w:ilvl w:val="1"/>
          <w:numId w:val="45"/>
        </w:numPr>
        <w:rPr>
          <w:highlight w:val="yellow"/>
        </w:rPr>
      </w:pPr>
      <w:r w:rsidRPr="00CA58CC">
        <w:rPr>
          <w:highlight w:val="yellow"/>
        </w:rPr>
        <w:t>F</w:t>
      </w:r>
      <w:r w:rsidR="00A6128D" w:rsidRPr="00CA58CC">
        <w:rPr>
          <w:highlight w:val="yellow"/>
        </w:rPr>
        <w:t>acteur tubaire</w:t>
      </w:r>
      <w:r w:rsidR="00C12895" w:rsidRPr="00CA58CC">
        <w:rPr>
          <w:highlight w:val="yellow"/>
        </w:rPr>
        <w:t xml:space="preserve"> (35%)</w:t>
      </w:r>
    </w:p>
    <w:p w:rsidR="00995B08" w:rsidRDefault="00995B08" w:rsidP="00995B08">
      <w:pPr>
        <w:pStyle w:val="Sansinterligne"/>
        <w:numPr>
          <w:ilvl w:val="1"/>
          <w:numId w:val="45"/>
        </w:numPr>
      </w:pPr>
      <w:r>
        <w:t>F</w:t>
      </w:r>
      <w:r w:rsidR="00A6128D">
        <w:t>acteur utérin</w:t>
      </w:r>
      <w:r>
        <w:t xml:space="preserve"> (5%)</w:t>
      </w:r>
    </w:p>
    <w:p w:rsidR="00995B08" w:rsidRDefault="00995B08" w:rsidP="00995B08">
      <w:pPr>
        <w:pStyle w:val="Sansinterligne"/>
        <w:numPr>
          <w:ilvl w:val="1"/>
          <w:numId w:val="45"/>
        </w:numPr>
      </w:pPr>
      <w:r>
        <w:t>Facteur cervicaux (5%)</w:t>
      </w:r>
    </w:p>
    <w:p w:rsidR="00A6128D" w:rsidRDefault="00995B08" w:rsidP="00995B08">
      <w:pPr>
        <w:pStyle w:val="Sansinterligne"/>
        <w:numPr>
          <w:ilvl w:val="1"/>
          <w:numId w:val="45"/>
        </w:numPr>
        <w:rPr>
          <w:highlight w:val="yellow"/>
        </w:rPr>
      </w:pPr>
      <w:r w:rsidRPr="00CA58CC">
        <w:rPr>
          <w:highlight w:val="yellow"/>
        </w:rPr>
        <w:t>F</w:t>
      </w:r>
      <w:r w:rsidR="00A6128D" w:rsidRPr="00CA58CC">
        <w:rPr>
          <w:highlight w:val="yellow"/>
        </w:rPr>
        <w:t xml:space="preserve">acteur </w:t>
      </w:r>
      <w:r w:rsidR="00C12895" w:rsidRPr="00CA58CC">
        <w:rPr>
          <w:rFonts w:ascii="Century Gothic" w:hAnsi="Century Gothic"/>
          <w:highlight w:val="yellow"/>
        </w:rPr>
        <w:t>«</w:t>
      </w:r>
      <w:r w:rsidR="00A6128D" w:rsidRPr="00CA58CC">
        <w:rPr>
          <w:highlight w:val="yellow"/>
        </w:rPr>
        <w:t>mâle</w:t>
      </w:r>
      <w:r w:rsidR="00C12895" w:rsidRPr="00CA58CC">
        <w:rPr>
          <w:highlight w:val="yellow"/>
        </w:rPr>
        <w:t>» (35%)</w:t>
      </w:r>
    </w:p>
    <w:p w:rsidR="0014739F" w:rsidRPr="00CA58CC" w:rsidRDefault="0014739F" w:rsidP="0014739F">
      <w:pPr>
        <w:pStyle w:val="Sansinterligne"/>
        <w:ind w:left="1080"/>
        <w:rPr>
          <w:highlight w:val="yellow"/>
        </w:rPr>
      </w:pPr>
    </w:p>
    <w:p w:rsidR="00D155A9" w:rsidRDefault="00D155A9" w:rsidP="00995B08">
      <w:pPr>
        <w:pStyle w:val="Sansinterligne"/>
        <w:rPr>
          <w:b/>
          <w:sz w:val="28"/>
          <w:szCs w:val="28"/>
        </w:rPr>
      </w:pPr>
    </w:p>
    <w:p w:rsidR="00D155A9" w:rsidRDefault="00D155A9" w:rsidP="00995B08">
      <w:pPr>
        <w:pStyle w:val="Sansinterligne"/>
        <w:rPr>
          <w:b/>
          <w:sz w:val="28"/>
          <w:szCs w:val="28"/>
        </w:rPr>
      </w:pPr>
    </w:p>
    <w:p w:rsidR="00D155A9" w:rsidRDefault="00D155A9" w:rsidP="00995B08">
      <w:pPr>
        <w:pStyle w:val="Sansinterligne"/>
        <w:rPr>
          <w:b/>
          <w:sz w:val="28"/>
          <w:szCs w:val="28"/>
        </w:rPr>
      </w:pPr>
    </w:p>
    <w:p w:rsidR="00E10706" w:rsidRPr="00995B08" w:rsidRDefault="00A6128D" w:rsidP="00995B08">
      <w:pPr>
        <w:pStyle w:val="Sansinterligne"/>
        <w:rPr>
          <w:b/>
          <w:sz w:val="28"/>
          <w:szCs w:val="28"/>
        </w:rPr>
      </w:pPr>
      <w:r w:rsidRPr="00995B08">
        <w:rPr>
          <w:b/>
          <w:sz w:val="28"/>
          <w:szCs w:val="28"/>
        </w:rPr>
        <w:t>Diagnostic</w:t>
      </w:r>
    </w:p>
    <w:tbl>
      <w:tblPr>
        <w:tblStyle w:val="Grilledutableau"/>
        <w:tblW w:w="0" w:type="auto"/>
        <w:tblLook w:val="04A0" w:firstRow="1" w:lastRow="0" w:firstColumn="1" w:lastColumn="0" w:noHBand="0" w:noVBand="1"/>
      </w:tblPr>
      <w:tblGrid>
        <w:gridCol w:w="3369"/>
        <w:gridCol w:w="7571"/>
      </w:tblGrid>
      <w:tr w:rsidR="00C45849" w:rsidTr="002A1F06">
        <w:tc>
          <w:tcPr>
            <w:tcW w:w="10940" w:type="dxa"/>
            <w:gridSpan w:val="2"/>
            <w:shd w:val="clear" w:color="auto" w:fill="CCC0D9" w:themeFill="accent4" w:themeFillTint="66"/>
          </w:tcPr>
          <w:p w:rsidR="00C45849" w:rsidRPr="00E1773C" w:rsidRDefault="00DA7973" w:rsidP="00E1773C">
            <w:pPr>
              <w:pStyle w:val="Sansinterligne"/>
              <w:jc w:val="center"/>
              <w:rPr>
                <w:i/>
              </w:rPr>
            </w:pPr>
            <w:r w:rsidRPr="00E1773C">
              <w:rPr>
                <w:i/>
              </w:rPr>
              <w:t>Problème</w:t>
            </w:r>
            <w:r w:rsidR="00E1773C">
              <w:rPr>
                <w:i/>
              </w:rPr>
              <w:t>s</w:t>
            </w:r>
            <w:r w:rsidR="00C45849" w:rsidRPr="00E1773C">
              <w:rPr>
                <w:i/>
              </w:rPr>
              <w:t xml:space="preserve"> ovulatoire</w:t>
            </w:r>
            <w:r w:rsidR="00E1773C">
              <w:rPr>
                <w:i/>
              </w:rPr>
              <w:t>s</w:t>
            </w:r>
          </w:p>
        </w:tc>
      </w:tr>
      <w:tr w:rsidR="00DA7973" w:rsidTr="002713DF">
        <w:trPr>
          <w:trHeight w:val="779"/>
        </w:trPr>
        <w:tc>
          <w:tcPr>
            <w:tcW w:w="10940" w:type="dxa"/>
            <w:gridSpan w:val="2"/>
          </w:tcPr>
          <w:p w:rsidR="006B4855" w:rsidRDefault="00DA7973" w:rsidP="00995B08">
            <w:pPr>
              <w:pStyle w:val="Sansinterligne"/>
            </w:pPr>
            <w:r>
              <w:t xml:space="preserve">Syndrome des ovaires polykystiques (SOPK), Insuffisance ovarienne précoce, Syndrome de Sheehan, Aménorrhée hypothalamique fonctionnelle,  </w:t>
            </w:r>
            <w:r w:rsidR="006B4855">
              <w:t xml:space="preserve">Hypothyroïdie, Syndrome de Cushing, prolactinome, </w:t>
            </w:r>
            <w:r>
              <w:t xml:space="preserve">anomalies congénitales </w:t>
            </w:r>
          </w:p>
          <w:p w:rsidR="00DA7973" w:rsidRDefault="00DA7973" w:rsidP="00995B08">
            <w:pPr>
              <w:pStyle w:val="Sansinterligne"/>
            </w:pPr>
            <w:r>
              <w:t xml:space="preserve">(Voir </w:t>
            </w:r>
            <w:r w:rsidRPr="006B4855">
              <w:rPr>
                <w:i/>
              </w:rPr>
              <w:t>Aménorrhée, oligoménorrhée CMC 56-1</w:t>
            </w:r>
            <w:r>
              <w:t>)</w:t>
            </w:r>
          </w:p>
        </w:tc>
      </w:tr>
      <w:tr w:rsidR="00C45849" w:rsidTr="002A1F06">
        <w:tc>
          <w:tcPr>
            <w:tcW w:w="10940" w:type="dxa"/>
            <w:gridSpan w:val="2"/>
            <w:shd w:val="clear" w:color="auto" w:fill="CCC0D9" w:themeFill="accent4" w:themeFillTint="66"/>
          </w:tcPr>
          <w:p w:rsidR="00C45849" w:rsidRPr="00E1773C" w:rsidRDefault="00C45849" w:rsidP="00E1773C">
            <w:pPr>
              <w:pStyle w:val="Sansinterligne"/>
              <w:jc w:val="center"/>
              <w:rPr>
                <w:i/>
              </w:rPr>
            </w:pPr>
            <w:r w:rsidRPr="00E1773C">
              <w:rPr>
                <w:i/>
              </w:rPr>
              <w:t>Facteur tubaire</w:t>
            </w:r>
          </w:p>
        </w:tc>
      </w:tr>
      <w:tr w:rsidR="0088657A" w:rsidTr="00806526">
        <w:tc>
          <w:tcPr>
            <w:tcW w:w="3369" w:type="dxa"/>
            <w:vAlign w:val="center"/>
          </w:tcPr>
          <w:p w:rsidR="0088657A" w:rsidRPr="008D44D2" w:rsidRDefault="00C45849" w:rsidP="00285554">
            <w:pPr>
              <w:pStyle w:val="Sansinterligne"/>
              <w:jc w:val="center"/>
              <w:rPr>
                <w:highlight w:val="yellow"/>
              </w:rPr>
            </w:pPr>
            <w:r w:rsidRPr="008D44D2">
              <w:rPr>
                <w:highlight w:val="yellow"/>
              </w:rPr>
              <w:t>Adhérences</w:t>
            </w:r>
          </w:p>
        </w:tc>
        <w:tc>
          <w:tcPr>
            <w:tcW w:w="7571" w:type="dxa"/>
          </w:tcPr>
          <w:p w:rsidR="00AB4513" w:rsidRPr="008D44D2" w:rsidRDefault="00AB4513" w:rsidP="00194D38">
            <w:pPr>
              <w:pStyle w:val="Sansinterligne"/>
              <w:numPr>
                <w:ilvl w:val="0"/>
                <w:numId w:val="292"/>
              </w:numPr>
              <w:rPr>
                <w:highlight w:val="yellow"/>
              </w:rPr>
            </w:pPr>
            <w:r w:rsidRPr="008D44D2">
              <w:rPr>
                <w:highlight w:val="yellow"/>
              </w:rPr>
              <w:t xml:space="preserve">Histoire d’appendicite ou de grossesse ectopique </w:t>
            </w:r>
          </w:p>
          <w:p w:rsidR="0088657A" w:rsidRPr="008D44D2" w:rsidRDefault="004F558B" w:rsidP="00194D38">
            <w:pPr>
              <w:pStyle w:val="Sansinterligne"/>
              <w:numPr>
                <w:ilvl w:val="0"/>
                <w:numId w:val="292"/>
              </w:numPr>
              <w:rPr>
                <w:highlight w:val="yellow"/>
              </w:rPr>
            </w:pPr>
            <w:r w:rsidRPr="008D44D2">
              <w:rPr>
                <w:highlight w:val="yellow"/>
              </w:rPr>
              <w:t>Post-chirurgicales</w:t>
            </w:r>
          </w:p>
          <w:p w:rsidR="00AB4513" w:rsidRPr="008D44D2" w:rsidRDefault="004F558B" w:rsidP="00194D38">
            <w:pPr>
              <w:pStyle w:val="Sansinterligne"/>
              <w:numPr>
                <w:ilvl w:val="0"/>
                <w:numId w:val="292"/>
              </w:numPr>
              <w:rPr>
                <w:highlight w:val="yellow"/>
              </w:rPr>
            </w:pPr>
            <w:r w:rsidRPr="008D44D2">
              <w:rPr>
                <w:highlight w:val="yellow"/>
              </w:rPr>
              <w:t>Endométriose sévère</w:t>
            </w:r>
          </w:p>
        </w:tc>
      </w:tr>
      <w:tr w:rsidR="0088657A" w:rsidTr="00806526">
        <w:tc>
          <w:tcPr>
            <w:tcW w:w="3369" w:type="dxa"/>
            <w:vAlign w:val="center"/>
          </w:tcPr>
          <w:p w:rsidR="0088657A" w:rsidRPr="008D44D2" w:rsidRDefault="004F558B" w:rsidP="00285554">
            <w:pPr>
              <w:pStyle w:val="Sansinterligne"/>
              <w:tabs>
                <w:tab w:val="left" w:pos="2160"/>
                <w:tab w:val="center" w:pos="2627"/>
              </w:tabs>
              <w:jc w:val="center"/>
              <w:rPr>
                <w:highlight w:val="yellow"/>
              </w:rPr>
            </w:pPr>
            <w:r w:rsidRPr="008D44D2">
              <w:rPr>
                <w:highlight w:val="yellow"/>
              </w:rPr>
              <w:t>Salpingite</w:t>
            </w:r>
          </w:p>
        </w:tc>
        <w:tc>
          <w:tcPr>
            <w:tcW w:w="7571" w:type="dxa"/>
          </w:tcPr>
          <w:p w:rsidR="00AB4513" w:rsidRPr="008D44D2" w:rsidRDefault="00AB4513" w:rsidP="00194D38">
            <w:pPr>
              <w:pStyle w:val="Sansinterligne"/>
              <w:numPr>
                <w:ilvl w:val="0"/>
                <w:numId w:val="293"/>
              </w:numPr>
              <w:rPr>
                <w:highlight w:val="yellow"/>
              </w:rPr>
            </w:pPr>
            <w:r w:rsidRPr="008D44D2">
              <w:rPr>
                <w:i/>
                <w:highlight w:val="yellow"/>
              </w:rPr>
              <w:t>Chlamydia trachomatis</w:t>
            </w:r>
            <w:r w:rsidRPr="008D44D2">
              <w:rPr>
                <w:highlight w:val="yellow"/>
              </w:rPr>
              <w:t xml:space="preserve"> &amp; </w:t>
            </w:r>
            <w:r w:rsidRPr="008D44D2">
              <w:rPr>
                <w:i/>
                <w:highlight w:val="yellow"/>
              </w:rPr>
              <w:t>Neisseria gonorrhea</w:t>
            </w:r>
          </w:p>
          <w:p w:rsidR="00AB4513" w:rsidRPr="008D44D2" w:rsidRDefault="00AB4513" w:rsidP="00194D38">
            <w:pPr>
              <w:pStyle w:val="Sansinterligne"/>
              <w:numPr>
                <w:ilvl w:val="0"/>
                <w:numId w:val="293"/>
              </w:numPr>
              <w:rPr>
                <w:highlight w:val="yellow"/>
              </w:rPr>
            </w:pPr>
            <w:r w:rsidRPr="008D44D2">
              <w:rPr>
                <w:highlight w:val="yellow"/>
              </w:rPr>
              <w:t>Engendre une dysfonction ciliaire</w:t>
            </w:r>
          </w:p>
          <w:p w:rsidR="00AB4513" w:rsidRPr="008D44D2" w:rsidRDefault="00AB4513" w:rsidP="00194D38">
            <w:pPr>
              <w:pStyle w:val="Sansinterligne"/>
              <w:numPr>
                <w:ilvl w:val="0"/>
                <w:numId w:val="293"/>
              </w:numPr>
              <w:rPr>
                <w:highlight w:val="yellow"/>
              </w:rPr>
            </w:pPr>
            <w:r w:rsidRPr="008D44D2">
              <w:rPr>
                <w:rFonts w:ascii="Century Gothic" w:hAnsi="Century Gothic"/>
                <w:highlight w:val="yellow"/>
              </w:rPr>
              <w:t>↑</w:t>
            </w:r>
            <w:r w:rsidRPr="008D44D2">
              <w:rPr>
                <w:highlight w:val="yellow"/>
              </w:rPr>
              <w:t xml:space="preserve"> risque d’infertilité de plusieurs fois</w:t>
            </w:r>
          </w:p>
          <w:p w:rsidR="00AB4513" w:rsidRPr="008D44D2" w:rsidRDefault="00AB4513" w:rsidP="00194D38">
            <w:pPr>
              <w:pStyle w:val="Sansinterligne"/>
              <w:numPr>
                <w:ilvl w:val="0"/>
                <w:numId w:val="293"/>
              </w:numPr>
              <w:rPr>
                <w:highlight w:val="yellow"/>
              </w:rPr>
            </w:pPr>
            <w:r w:rsidRPr="008D44D2">
              <w:rPr>
                <w:highlight w:val="yellow"/>
              </w:rPr>
              <w:t>Corrélation infertilité/sévérité de l’infection</w:t>
            </w:r>
          </w:p>
          <w:p w:rsidR="008D5763" w:rsidRPr="008D44D2" w:rsidRDefault="00AB4513" w:rsidP="00AB4513">
            <w:pPr>
              <w:pStyle w:val="Sansinterligne"/>
              <w:jc w:val="center"/>
              <w:rPr>
                <w:highlight w:val="yellow"/>
              </w:rPr>
            </w:pPr>
            <w:r w:rsidRPr="00D66BFB">
              <w:t xml:space="preserve">(Voir </w:t>
            </w:r>
            <w:r w:rsidRPr="00D66BFB">
              <w:rPr>
                <w:i/>
              </w:rPr>
              <w:t>Douleur pelvienne CMC 73</w:t>
            </w:r>
            <w:r w:rsidRPr="00D66BFB">
              <w:t>)</w:t>
            </w:r>
          </w:p>
        </w:tc>
      </w:tr>
      <w:tr w:rsidR="004F558B" w:rsidTr="002A1F06">
        <w:tc>
          <w:tcPr>
            <w:tcW w:w="10940" w:type="dxa"/>
            <w:gridSpan w:val="2"/>
            <w:shd w:val="clear" w:color="auto" w:fill="CCC0D9" w:themeFill="accent4" w:themeFillTint="66"/>
          </w:tcPr>
          <w:p w:rsidR="004F558B" w:rsidRPr="00E1773C" w:rsidRDefault="004F558B" w:rsidP="00E1773C">
            <w:pPr>
              <w:pStyle w:val="Sansinterligne"/>
              <w:jc w:val="center"/>
              <w:rPr>
                <w:i/>
              </w:rPr>
            </w:pPr>
            <w:r w:rsidRPr="00E1773C">
              <w:rPr>
                <w:i/>
              </w:rPr>
              <w:lastRenderedPageBreak/>
              <w:t>Facteur utérin</w:t>
            </w:r>
          </w:p>
        </w:tc>
      </w:tr>
      <w:tr w:rsidR="004F558B" w:rsidTr="00806526">
        <w:tc>
          <w:tcPr>
            <w:tcW w:w="3369" w:type="dxa"/>
            <w:vAlign w:val="center"/>
          </w:tcPr>
          <w:p w:rsidR="004F558B" w:rsidRDefault="004F558B" w:rsidP="00285554">
            <w:pPr>
              <w:pStyle w:val="Sansinterligne"/>
              <w:jc w:val="center"/>
            </w:pPr>
            <w:r>
              <w:t>Léiomyomes</w:t>
            </w:r>
          </w:p>
        </w:tc>
        <w:tc>
          <w:tcPr>
            <w:tcW w:w="7571" w:type="dxa"/>
          </w:tcPr>
          <w:p w:rsidR="00806526" w:rsidRDefault="00806526" w:rsidP="00194D38">
            <w:pPr>
              <w:pStyle w:val="Sansinterligne"/>
              <w:numPr>
                <w:ilvl w:val="0"/>
                <w:numId w:val="294"/>
              </w:numPr>
            </w:pPr>
            <w:r>
              <w:t>Déforment la cavité utérine et peuvent nuire à l’implantation</w:t>
            </w:r>
          </w:p>
          <w:p w:rsidR="00806526" w:rsidRDefault="00806526" w:rsidP="00194D38">
            <w:pPr>
              <w:pStyle w:val="Sansinterligne"/>
              <w:numPr>
                <w:ilvl w:val="0"/>
                <w:numId w:val="294"/>
              </w:numPr>
            </w:pPr>
            <w:r>
              <w:t>Douleur pelvienne, saignements abondants ou ballonnement peut-être rapporté</w:t>
            </w:r>
          </w:p>
          <w:p w:rsidR="008D5763" w:rsidRDefault="004F558B" w:rsidP="00806526">
            <w:pPr>
              <w:pStyle w:val="Sansinterligne"/>
              <w:ind w:left="360"/>
            </w:pPr>
            <w:r>
              <w:t xml:space="preserve">(Voir </w:t>
            </w:r>
            <w:r w:rsidRPr="004F558B">
              <w:rPr>
                <w:i/>
              </w:rPr>
              <w:t>Saignements vaginaux excessifs, irréguliers, anormaux CMC 112</w:t>
            </w:r>
            <w:r>
              <w:t>)</w:t>
            </w:r>
          </w:p>
        </w:tc>
      </w:tr>
      <w:tr w:rsidR="004F558B" w:rsidTr="00806526">
        <w:tc>
          <w:tcPr>
            <w:tcW w:w="3369" w:type="dxa"/>
            <w:vAlign w:val="center"/>
          </w:tcPr>
          <w:p w:rsidR="004F558B" w:rsidRDefault="004F558B" w:rsidP="00285554">
            <w:pPr>
              <w:pStyle w:val="Sansinterligne"/>
              <w:jc w:val="center"/>
            </w:pPr>
            <w:r>
              <w:t>Syndrome d’Asherman</w:t>
            </w:r>
          </w:p>
        </w:tc>
        <w:tc>
          <w:tcPr>
            <w:tcW w:w="7571" w:type="dxa"/>
          </w:tcPr>
          <w:p w:rsidR="004F558B" w:rsidRDefault="004F558B" w:rsidP="00995B08">
            <w:pPr>
              <w:pStyle w:val="Sansinterligne"/>
            </w:pPr>
            <w:r>
              <w:t xml:space="preserve">(Voir </w:t>
            </w:r>
            <w:r w:rsidRPr="006B4855">
              <w:rPr>
                <w:i/>
              </w:rPr>
              <w:t>Aménorrhée, oligoménorrhée CMC 56-1</w:t>
            </w:r>
            <w:r>
              <w:t>)</w:t>
            </w:r>
          </w:p>
        </w:tc>
      </w:tr>
      <w:tr w:rsidR="00995B08" w:rsidTr="002A1F06">
        <w:tc>
          <w:tcPr>
            <w:tcW w:w="10940" w:type="dxa"/>
            <w:gridSpan w:val="2"/>
            <w:shd w:val="clear" w:color="auto" w:fill="CCC0D9" w:themeFill="accent4" w:themeFillTint="66"/>
          </w:tcPr>
          <w:p w:rsidR="00995B08" w:rsidRPr="00E1773C" w:rsidRDefault="00995B08" w:rsidP="00E1773C">
            <w:pPr>
              <w:pStyle w:val="Sansinterligne"/>
              <w:jc w:val="center"/>
              <w:rPr>
                <w:i/>
              </w:rPr>
            </w:pPr>
            <w:r w:rsidRPr="00E1773C">
              <w:rPr>
                <w:i/>
              </w:rPr>
              <w:t>Facteurs cervicaux</w:t>
            </w:r>
          </w:p>
        </w:tc>
      </w:tr>
      <w:tr w:rsidR="00995B08" w:rsidTr="002713DF">
        <w:tc>
          <w:tcPr>
            <w:tcW w:w="10940" w:type="dxa"/>
            <w:gridSpan w:val="2"/>
          </w:tcPr>
          <w:p w:rsidR="00995B08" w:rsidRDefault="00995B08" w:rsidP="00194D38">
            <w:pPr>
              <w:pStyle w:val="Sansinterligne"/>
              <w:numPr>
                <w:ilvl w:val="0"/>
                <w:numId w:val="291"/>
              </w:numPr>
            </w:pPr>
            <w:r>
              <w:t xml:space="preserve">Rares, </w:t>
            </w:r>
            <w:r w:rsidR="00CC770E">
              <w:t>ne seront pas abordés ici. E</w:t>
            </w:r>
            <w:r>
              <w:t>ssentiellement insuffisance cervicales, lésions du col, endométriose sévère, etc</w:t>
            </w:r>
            <w:r w:rsidR="0054358F">
              <w:t xml:space="preserve">. </w:t>
            </w:r>
          </w:p>
        </w:tc>
      </w:tr>
      <w:tr w:rsidR="004F558B" w:rsidTr="002A1F06">
        <w:tc>
          <w:tcPr>
            <w:tcW w:w="10940" w:type="dxa"/>
            <w:gridSpan w:val="2"/>
            <w:shd w:val="clear" w:color="auto" w:fill="CCC0D9" w:themeFill="accent4" w:themeFillTint="66"/>
          </w:tcPr>
          <w:p w:rsidR="004F558B" w:rsidRPr="00E1773C" w:rsidRDefault="004F558B" w:rsidP="00E1773C">
            <w:pPr>
              <w:pStyle w:val="Sansinterligne"/>
              <w:jc w:val="center"/>
              <w:rPr>
                <w:i/>
              </w:rPr>
            </w:pPr>
            <w:r w:rsidRPr="00E1773C">
              <w:rPr>
                <w:i/>
              </w:rPr>
              <w:t>Facteur mâle</w:t>
            </w:r>
          </w:p>
        </w:tc>
      </w:tr>
      <w:tr w:rsidR="004F558B" w:rsidTr="00806526">
        <w:tc>
          <w:tcPr>
            <w:tcW w:w="3369" w:type="dxa"/>
            <w:vAlign w:val="center"/>
          </w:tcPr>
          <w:p w:rsidR="004F558B" w:rsidRPr="008D44D2" w:rsidRDefault="004F558B" w:rsidP="00285554">
            <w:pPr>
              <w:pStyle w:val="Sansinterligne"/>
              <w:jc w:val="center"/>
              <w:rPr>
                <w:highlight w:val="yellow"/>
              </w:rPr>
            </w:pPr>
            <w:r w:rsidRPr="008D44D2">
              <w:rPr>
                <w:highlight w:val="yellow"/>
              </w:rPr>
              <w:t>Sperme anormal ou insuffisant</w:t>
            </w:r>
          </w:p>
        </w:tc>
        <w:tc>
          <w:tcPr>
            <w:tcW w:w="7571" w:type="dxa"/>
          </w:tcPr>
          <w:p w:rsidR="008D5763" w:rsidRPr="008D44D2" w:rsidRDefault="008D5763" w:rsidP="00995B08">
            <w:pPr>
              <w:pStyle w:val="Sansinterligne"/>
              <w:rPr>
                <w:highlight w:val="yellow"/>
              </w:rPr>
            </w:pPr>
            <w:r w:rsidRPr="008D44D2">
              <w:rPr>
                <w:highlight w:val="yellow"/>
              </w:rPr>
              <w:t>Varicocèle (40%)</w:t>
            </w:r>
          </w:p>
          <w:p w:rsidR="008D5763" w:rsidRPr="008D44D2" w:rsidRDefault="008D5763" w:rsidP="00995B08">
            <w:pPr>
              <w:pStyle w:val="Sansinterligne"/>
              <w:rPr>
                <w:highlight w:val="yellow"/>
              </w:rPr>
            </w:pPr>
            <w:r w:rsidRPr="008D44D2">
              <w:rPr>
                <w:highlight w:val="yellow"/>
              </w:rPr>
              <w:t>Idiopathique (20%)</w:t>
            </w:r>
          </w:p>
          <w:p w:rsidR="008D5763" w:rsidRPr="008D44D2" w:rsidRDefault="008D5763" w:rsidP="00086E67">
            <w:pPr>
              <w:pStyle w:val="Sansinterligne"/>
              <w:rPr>
                <w:highlight w:val="yellow"/>
              </w:rPr>
            </w:pPr>
            <w:r w:rsidRPr="008D44D2">
              <w:rPr>
                <w:highlight w:val="yellow"/>
              </w:rPr>
              <w:t xml:space="preserve">Obstruction des canaux </w:t>
            </w:r>
            <w:r w:rsidR="00086E67" w:rsidRPr="008D44D2">
              <w:rPr>
                <w:highlight w:val="yellow"/>
              </w:rPr>
              <w:t>éjaculatoires</w:t>
            </w:r>
            <w:r w:rsidRPr="008D44D2">
              <w:rPr>
                <w:highlight w:val="yellow"/>
              </w:rPr>
              <w:t xml:space="preserve"> (15%)</w:t>
            </w:r>
          </w:p>
        </w:tc>
      </w:tr>
    </w:tbl>
    <w:p w:rsidR="00A6128D" w:rsidRDefault="00A6128D" w:rsidP="00995B08">
      <w:pPr>
        <w:pStyle w:val="Sansinterligne"/>
      </w:pPr>
    </w:p>
    <w:p w:rsidR="008D5763" w:rsidRDefault="00A6128D" w:rsidP="00995B08">
      <w:pPr>
        <w:pStyle w:val="Sansinterligne"/>
        <w:rPr>
          <w:b/>
          <w:sz w:val="28"/>
          <w:szCs w:val="28"/>
        </w:rPr>
      </w:pPr>
      <w:r w:rsidRPr="00995B08">
        <w:rPr>
          <w:b/>
          <w:sz w:val="28"/>
          <w:szCs w:val="28"/>
        </w:rPr>
        <w:t>Investigations</w:t>
      </w:r>
    </w:p>
    <w:p w:rsidR="00F669BD" w:rsidRPr="00F96125" w:rsidRDefault="00F669BD" w:rsidP="00995B08">
      <w:pPr>
        <w:pStyle w:val="Sansinterligne"/>
        <w:rPr>
          <w:sz w:val="24"/>
          <w:szCs w:val="24"/>
          <w:u w:val="single"/>
        </w:rPr>
      </w:pPr>
      <w:r w:rsidRPr="00F96125">
        <w:rPr>
          <w:sz w:val="24"/>
          <w:szCs w:val="24"/>
          <w:u w:val="single"/>
        </w:rPr>
        <w:t>Questionnaire</w:t>
      </w:r>
    </w:p>
    <w:p w:rsidR="00A020CA" w:rsidRPr="00351BC0" w:rsidRDefault="00351BC0" w:rsidP="00995B08">
      <w:pPr>
        <w:pStyle w:val="Sansinterligne"/>
      </w:pPr>
      <w:r w:rsidRPr="00351BC0">
        <w:t>Anamnèse complète avec les 2 conjoints incluant ATCD,</w:t>
      </w:r>
      <w:r w:rsidR="00FE3956">
        <w:t xml:space="preserve"> </w:t>
      </w:r>
      <w:r w:rsidR="00FE3956" w:rsidRPr="007B3305">
        <w:rPr>
          <w:highlight w:val="yellow"/>
        </w:rPr>
        <w:t>histoire gynéco-obstétricale</w:t>
      </w:r>
      <w:r w:rsidRPr="007B3305">
        <w:rPr>
          <w:highlight w:val="yellow"/>
        </w:rPr>
        <w:t>, caractérisation du cycle (</w:t>
      </w:r>
      <w:r w:rsidR="00FE3956" w:rsidRPr="007B3305">
        <w:rPr>
          <w:highlight w:val="yellow"/>
        </w:rPr>
        <w:t xml:space="preserve">est-il </w:t>
      </w:r>
      <w:r w:rsidRPr="007B3305">
        <w:rPr>
          <w:highlight w:val="yellow"/>
        </w:rPr>
        <w:t xml:space="preserve">ovulatoire ?), </w:t>
      </w:r>
      <w:r w:rsidR="00FE3956" w:rsidRPr="007B3305">
        <w:rPr>
          <w:highlight w:val="yellow"/>
        </w:rPr>
        <w:t>fréquence</w:t>
      </w:r>
      <w:r w:rsidRPr="007B3305">
        <w:rPr>
          <w:highlight w:val="yellow"/>
        </w:rPr>
        <w:t xml:space="preserve"> des rapports coïtaux,</w:t>
      </w:r>
      <w:r w:rsidR="00FE3956" w:rsidRPr="007B3305">
        <w:rPr>
          <w:highlight w:val="yellow"/>
        </w:rPr>
        <w:t xml:space="preserve"> dysfonction sexuelle ?</w:t>
      </w:r>
      <w:r w:rsidRPr="007B3305">
        <w:rPr>
          <w:highlight w:val="yellow"/>
        </w:rPr>
        <w:t xml:space="preserve"> </w:t>
      </w:r>
      <w:r w:rsidR="00FE3956" w:rsidRPr="007B3305">
        <w:rPr>
          <w:highlight w:val="yellow"/>
        </w:rPr>
        <w:t>Spécifiquement recherche de salpingite/chirurgie</w:t>
      </w:r>
      <w:r w:rsidR="00FE3956" w:rsidRPr="00351BC0">
        <w:t xml:space="preserve"> abdominale.</w:t>
      </w:r>
      <w:r w:rsidR="00FE3956">
        <w:t xml:space="preserve"> Revue des systèmes avec r</w:t>
      </w:r>
      <w:r w:rsidRPr="00351BC0">
        <w:t>echerche de symptômes d’hypothyroïdie,</w:t>
      </w:r>
      <w:r w:rsidR="00FE3956">
        <w:t xml:space="preserve"> d’adénome/prolactinome,</w:t>
      </w:r>
      <w:r w:rsidRPr="00351BC0">
        <w:t xml:space="preserve"> d’hirsutisme, de ménopause (insuffisance ovarienne). </w:t>
      </w:r>
    </w:p>
    <w:p w:rsidR="00351BC0" w:rsidRDefault="00351BC0" w:rsidP="00995B08">
      <w:pPr>
        <w:pStyle w:val="Sansinterligne"/>
        <w:rPr>
          <w:sz w:val="28"/>
          <w:szCs w:val="28"/>
        </w:rPr>
      </w:pPr>
    </w:p>
    <w:p w:rsidR="00A020CA" w:rsidRPr="00F96125" w:rsidRDefault="00A020CA" w:rsidP="00995B08">
      <w:pPr>
        <w:pStyle w:val="Sansinterligne"/>
        <w:rPr>
          <w:sz w:val="24"/>
          <w:szCs w:val="24"/>
          <w:u w:val="single"/>
        </w:rPr>
      </w:pPr>
      <w:r w:rsidRPr="00F96125">
        <w:rPr>
          <w:sz w:val="24"/>
          <w:szCs w:val="24"/>
          <w:u w:val="single"/>
        </w:rPr>
        <w:t>Examen physique</w:t>
      </w:r>
    </w:p>
    <w:p w:rsidR="00A020CA" w:rsidRPr="00FE3956" w:rsidRDefault="00FE3956" w:rsidP="00995B08">
      <w:pPr>
        <w:pStyle w:val="Sansinterligne"/>
      </w:pPr>
      <w:r w:rsidRPr="00FE3956">
        <w:t>Recherche de signes d’hyperandrogénisme, examen gynécologique, des seins (galactorrhée), IMC</w:t>
      </w:r>
    </w:p>
    <w:p w:rsidR="00FE3956" w:rsidRDefault="00B1711A" w:rsidP="00995B08">
      <w:pPr>
        <w:pStyle w:val="Sansinterligne"/>
        <w:rPr>
          <w:sz w:val="28"/>
          <w:szCs w:val="28"/>
        </w:rPr>
      </w:pPr>
      <w:r>
        <w:rPr>
          <w:noProof/>
          <w:lang w:eastAsia="fr-CA"/>
        </w:rPr>
        <w:drawing>
          <wp:anchor distT="0" distB="0" distL="114300" distR="114300" simplePos="0" relativeHeight="251745280" behindDoc="1" locked="0" layoutInCell="1" allowOverlap="1" wp14:anchorId="7A2E29D6" wp14:editId="5807EA48">
            <wp:simplePos x="0" y="0"/>
            <wp:positionH relativeFrom="column">
              <wp:posOffset>4698311</wp:posOffset>
            </wp:positionH>
            <wp:positionV relativeFrom="paragraph">
              <wp:posOffset>97155</wp:posOffset>
            </wp:positionV>
            <wp:extent cx="1936115" cy="2558415"/>
            <wp:effectExtent l="0" t="0" r="6985" b="0"/>
            <wp:wrapNone/>
            <wp:docPr id="264" name="Image 264" descr="Résultats de recherche d'images pour « spermatozoïd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ésultats de recherche d'images pour « spermatozoïde »"/>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1936115" cy="25584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020CA" w:rsidRPr="00F96125" w:rsidRDefault="00A020CA" w:rsidP="00995B08">
      <w:pPr>
        <w:pStyle w:val="Sansinterligne"/>
        <w:rPr>
          <w:sz w:val="24"/>
          <w:szCs w:val="24"/>
          <w:u w:val="single"/>
        </w:rPr>
      </w:pPr>
      <w:r w:rsidRPr="00F96125">
        <w:rPr>
          <w:sz w:val="24"/>
          <w:szCs w:val="24"/>
          <w:u w:val="single"/>
        </w:rPr>
        <w:t>Examens</w:t>
      </w:r>
    </w:p>
    <w:p w:rsidR="00E45EE5" w:rsidRPr="007B3305" w:rsidRDefault="0088657A" w:rsidP="00194D38">
      <w:pPr>
        <w:pStyle w:val="Sansinterligne"/>
        <w:numPr>
          <w:ilvl w:val="0"/>
          <w:numId w:val="295"/>
        </w:numPr>
        <w:rPr>
          <w:rFonts w:ascii="Century Gothic" w:hAnsi="Century Gothic"/>
          <w:noProof/>
          <w:highlight w:val="yellow"/>
          <w:lang w:eastAsia="fr-CA"/>
        </w:rPr>
      </w:pPr>
      <w:r w:rsidRPr="00F96125">
        <w:rPr>
          <w:b/>
          <w:highlight w:val="yellow"/>
        </w:rPr>
        <w:t>Spermogramme</w:t>
      </w:r>
      <w:r w:rsidR="00A45317" w:rsidRPr="007B3305">
        <w:rPr>
          <w:noProof/>
          <w:highlight w:val="yellow"/>
          <w:lang w:eastAsia="fr-CA"/>
        </w:rPr>
        <w:t xml:space="preserve"> </w:t>
      </w:r>
      <w:r w:rsidR="00E45EE5" w:rsidRPr="007B3305">
        <w:rPr>
          <w:noProof/>
          <w:highlight w:val="yellow"/>
          <w:lang w:eastAsia="fr-CA"/>
        </w:rPr>
        <w:t>(volume, mo</w:t>
      </w:r>
      <w:r w:rsidR="002A3FE5" w:rsidRPr="007B3305">
        <w:rPr>
          <w:noProof/>
          <w:highlight w:val="yellow"/>
          <w:lang w:eastAsia="fr-CA"/>
        </w:rPr>
        <w:t>b</w:t>
      </w:r>
      <w:r w:rsidR="00E45EE5" w:rsidRPr="007B3305">
        <w:rPr>
          <w:noProof/>
          <w:highlight w:val="yellow"/>
          <w:lang w:eastAsia="fr-CA"/>
        </w:rPr>
        <w:t xml:space="preserve">ilité, morphologie) </w:t>
      </w:r>
    </w:p>
    <w:p w:rsidR="00E45EE5" w:rsidRPr="007B3305" w:rsidRDefault="00E45EE5" w:rsidP="00194D38">
      <w:pPr>
        <w:pStyle w:val="Sansinterligne"/>
        <w:numPr>
          <w:ilvl w:val="1"/>
          <w:numId w:val="291"/>
        </w:numPr>
        <w:rPr>
          <w:rFonts w:cs="Times New Roman"/>
          <w:noProof/>
          <w:highlight w:val="yellow"/>
          <w:lang w:eastAsia="fr-CA"/>
        </w:rPr>
      </w:pPr>
      <w:r w:rsidRPr="007B3305">
        <w:rPr>
          <w:rFonts w:cs="Times New Roman"/>
          <w:noProof/>
          <w:highlight w:val="yellow"/>
          <w:lang w:eastAsia="fr-CA"/>
        </w:rPr>
        <w:t>2-7 jours sans relation sexuelle/masturbation</w:t>
      </w:r>
    </w:p>
    <w:p w:rsidR="0098048B" w:rsidRPr="0098048B" w:rsidRDefault="00E45EE5" w:rsidP="00194D38">
      <w:pPr>
        <w:pStyle w:val="Sansinterligne"/>
        <w:numPr>
          <w:ilvl w:val="1"/>
          <w:numId w:val="291"/>
        </w:numPr>
        <w:rPr>
          <w:rFonts w:cs="Times New Roman"/>
          <w:highlight w:val="yellow"/>
          <w:u w:val="single"/>
        </w:rPr>
      </w:pPr>
      <w:r w:rsidRPr="007B3305">
        <w:rPr>
          <w:rFonts w:cs="Times New Roman"/>
          <w:noProof/>
          <w:highlight w:val="yellow"/>
          <w:lang w:eastAsia="fr-CA"/>
        </w:rPr>
        <w:t xml:space="preserve">Si anormal, répéter. </w:t>
      </w:r>
    </w:p>
    <w:p w:rsidR="0088657A" w:rsidRPr="0098048B" w:rsidRDefault="00E45EE5" w:rsidP="00194D38">
      <w:pPr>
        <w:pStyle w:val="Sansinterligne"/>
        <w:numPr>
          <w:ilvl w:val="2"/>
          <w:numId w:val="291"/>
        </w:numPr>
        <w:rPr>
          <w:rFonts w:cs="Times New Roman"/>
          <w:highlight w:val="yellow"/>
          <w:u w:val="single"/>
        </w:rPr>
      </w:pPr>
      <w:r w:rsidRPr="007B3305">
        <w:rPr>
          <w:rFonts w:cs="Times New Roman"/>
          <w:noProof/>
          <w:highlight w:val="yellow"/>
          <w:lang w:eastAsia="fr-CA"/>
        </w:rPr>
        <w:t xml:space="preserve">Si </w:t>
      </w:r>
      <w:r w:rsidR="0098048B">
        <w:rPr>
          <w:rFonts w:cs="Times New Roman"/>
          <w:noProof/>
          <w:highlight w:val="yellow"/>
          <w:lang w:eastAsia="fr-CA"/>
        </w:rPr>
        <w:t xml:space="preserve">anomalie </w:t>
      </w:r>
      <w:r w:rsidRPr="007B3305">
        <w:rPr>
          <w:rFonts w:cs="Times New Roman"/>
          <w:noProof/>
          <w:highlight w:val="yellow"/>
          <w:lang w:eastAsia="fr-CA"/>
        </w:rPr>
        <w:t xml:space="preserve">persiste </w:t>
      </w:r>
      <w:r w:rsidRPr="0098048B">
        <w:rPr>
          <w:rFonts w:cs="Times New Roman"/>
          <w:noProof/>
          <w:highlight w:val="yellow"/>
          <w:u w:val="single"/>
          <w:lang w:eastAsia="fr-CA"/>
        </w:rPr>
        <w:t>référer en andrologie</w:t>
      </w:r>
    </w:p>
    <w:p w:rsidR="0088657A" w:rsidRDefault="0088657A" w:rsidP="00194D38">
      <w:pPr>
        <w:pStyle w:val="Sansinterligne"/>
        <w:numPr>
          <w:ilvl w:val="0"/>
          <w:numId w:val="296"/>
        </w:numPr>
      </w:pPr>
      <w:r>
        <w:t xml:space="preserve">Test d’ovulation </w:t>
      </w:r>
    </w:p>
    <w:p w:rsidR="00AB4513" w:rsidRDefault="00AB4513" w:rsidP="00194D38">
      <w:pPr>
        <w:pStyle w:val="Sansinterligne"/>
        <w:numPr>
          <w:ilvl w:val="1"/>
          <w:numId w:val="296"/>
        </w:numPr>
      </w:pPr>
      <w:r>
        <w:t xml:space="preserve">FSH </w:t>
      </w:r>
      <w:r w:rsidR="0098048B">
        <w:t xml:space="preserve">au </w:t>
      </w:r>
      <w:r>
        <w:t>jour 3 du cycle</w:t>
      </w:r>
    </w:p>
    <w:p w:rsidR="00AB4513" w:rsidRDefault="00AB4513" w:rsidP="00194D38">
      <w:pPr>
        <w:pStyle w:val="Sansinterligne"/>
        <w:numPr>
          <w:ilvl w:val="1"/>
          <w:numId w:val="296"/>
        </w:numPr>
      </w:pPr>
      <w:r>
        <w:t>Écho ovarienne (mesure des follicules)</w:t>
      </w:r>
    </w:p>
    <w:p w:rsidR="00AB4513" w:rsidRDefault="00AB4513" w:rsidP="00194D38">
      <w:pPr>
        <w:pStyle w:val="Sansinterligne"/>
        <w:numPr>
          <w:ilvl w:val="1"/>
          <w:numId w:val="296"/>
        </w:numPr>
      </w:pPr>
      <w:r>
        <w:t>Progestéronémie à mi-phase lutéale</w:t>
      </w:r>
    </w:p>
    <w:p w:rsidR="00AB4513" w:rsidRDefault="0088657A" w:rsidP="00194D38">
      <w:pPr>
        <w:pStyle w:val="Sansinterligne"/>
        <w:numPr>
          <w:ilvl w:val="0"/>
          <w:numId w:val="296"/>
        </w:numPr>
      </w:pPr>
      <w:r>
        <w:t>Laboratoires : TSH, Prolactine</w:t>
      </w:r>
      <w:r w:rsidR="0098048B">
        <w:t xml:space="preserve"> …</w:t>
      </w:r>
    </w:p>
    <w:p w:rsidR="00B1711A" w:rsidRPr="00B1711A" w:rsidRDefault="00AB4513" w:rsidP="00194D38">
      <w:pPr>
        <w:pStyle w:val="Sansinterligne"/>
        <w:numPr>
          <w:ilvl w:val="0"/>
          <w:numId w:val="297"/>
        </w:numPr>
      </w:pPr>
      <w:r w:rsidRPr="00F96125">
        <w:rPr>
          <w:b/>
        </w:rPr>
        <w:t>Hystérosalpingographie, hystéroscopi</w:t>
      </w:r>
      <w:r w:rsidR="006A566B" w:rsidRPr="00F96125">
        <w:rPr>
          <w:b/>
        </w:rPr>
        <w:t>e</w:t>
      </w:r>
      <w:r w:rsidR="006A566B">
        <w:t xml:space="preserve"> </w:t>
      </w:r>
    </w:p>
    <w:p w:rsidR="00D155A9" w:rsidRDefault="006A566B" w:rsidP="00995B08">
      <w:pPr>
        <w:pStyle w:val="Sansinterligne"/>
        <w:numPr>
          <w:ilvl w:val="1"/>
          <w:numId w:val="297"/>
        </w:numPr>
      </w:pPr>
      <w:r>
        <w:t xml:space="preserve"> recherche d’adhérences, de léiomyomes (valeur thérapeutique également)</w:t>
      </w:r>
    </w:p>
    <w:p w:rsidR="00D155A9" w:rsidRPr="00D155A9" w:rsidRDefault="00D155A9" w:rsidP="00D155A9">
      <w:pPr>
        <w:pStyle w:val="Sansinterligne"/>
        <w:ind w:left="1440"/>
      </w:pPr>
    </w:p>
    <w:p w:rsidR="00A6128D" w:rsidRDefault="00A6128D" w:rsidP="00995B08">
      <w:pPr>
        <w:pStyle w:val="Sansinterligne"/>
        <w:rPr>
          <w:b/>
          <w:sz w:val="28"/>
          <w:szCs w:val="28"/>
        </w:rPr>
      </w:pPr>
      <w:r w:rsidRPr="001C6734">
        <w:rPr>
          <w:b/>
          <w:sz w:val="28"/>
          <w:szCs w:val="28"/>
        </w:rPr>
        <w:t>Prise en charge</w:t>
      </w:r>
    </w:p>
    <w:p w:rsidR="009B1577" w:rsidRPr="001C6734" w:rsidRDefault="009B1577" w:rsidP="00995B08">
      <w:pPr>
        <w:pStyle w:val="Sansinterligne"/>
        <w:rPr>
          <w:b/>
          <w:sz w:val="28"/>
          <w:szCs w:val="28"/>
        </w:rPr>
      </w:pPr>
    </w:p>
    <w:p w:rsidR="009B1577" w:rsidRPr="000231C4" w:rsidRDefault="009B1577" w:rsidP="00194D38">
      <w:pPr>
        <w:pStyle w:val="Sansinterligne"/>
        <w:numPr>
          <w:ilvl w:val="0"/>
          <w:numId w:val="298"/>
        </w:numPr>
        <w:rPr>
          <w:highlight w:val="yellow"/>
        </w:rPr>
      </w:pPr>
      <w:r w:rsidRPr="000231C4">
        <w:rPr>
          <w:highlight w:val="yellow"/>
        </w:rPr>
        <w:t>Prise d’acide folique 1-5mg PO DIE, pré-conception</w:t>
      </w:r>
    </w:p>
    <w:p w:rsidR="009B1577" w:rsidRDefault="009B1577" w:rsidP="00194D38">
      <w:pPr>
        <w:pStyle w:val="Sansinterligne"/>
        <w:numPr>
          <w:ilvl w:val="0"/>
          <w:numId w:val="298"/>
        </w:numPr>
      </w:pPr>
      <w:r>
        <w:t>Vérifier l’immunité contre la rubéole, bilan de prégrossese : HBsAG, VDRL, VIH, Parvovirus B19 PRN (exposition à enfants : garderies, enseignants)</w:t>
      </w:r>
    </w:p>
    <w:p w:rsidR="009B1577" w:rsidRDefault="009B1577" w:rsidP="000231C4">
      <w:pPr>
        <w:pStyle w:val="Sansinterligne"/>
        <w:ind w:left="720"/>
      </w:pPr>
    </w:p>
    <w:p w:rsidR="009B1577" w:rsidRPr="000231C4" w:rsidRDefault="009B1577" w:rsidP="00194D38">
      <w:pPr>
        <w:pStyle w:val="Sansinterligne"/>
        <w:numPr>
          <w:ilvl w:val="0"/>
          <w:numId w:val="298"/>
        </w:numPr>
        <w:rPr>
          <w:highlight w:val="yellow"/>
        </w:rPr>
      </w:pPr>
      <w:r w:rsidRPr="000231C4">
        <w:rPr>
          <w:highlight w:val="yellow"/>
        </w:rPr>
        <w:t xml:space="preserve">Référence en gynécologie si infertilité </w:t>
      </w:r>
      <w:r w:rsidRPr="000231C4">
        <w:rPr>
          <w:rFonts w:ascii="Century Gothic" w:hAnsi="Century Gothic"/>
          <w:highlight w:val="yellow"/>
        </w:rPr>
        <w:t>&gt;</w:t>
      </w:r>
      <w:r w:rsidRPr="000231C4">
        <w:rPr>
          <w:highlight w:val="yellow"/>
        </w:rPr>
        <w:t xml:space="preserve"> 35 ans ou si salpingite, endométriose, aménorrhée, kyste ovarien suspect</w:t>
      </w:r>
    </w:p>
    <w:p w:rsidR="009B1577" w:rsidRPr="000231C4" w:rsidRDefault="009B1577" w:rsidP="00194D38">
      <w:pPr>
        <w:pStyle w:val="Sansinterligne"/>
        <w:numPr>
          <w:ilvl w:val="0"/>
          <w:numId w:val="298"/>
        </w:numPr>
        <w:rPr>
          <w:highlight w:val="yellow"/>
        </w:rPr>
      </w:pPr>
      <w:r w:rsidRPr="000231C4">
        <w:rPr>
          <w:highlight w:val="yellow"/>
        </w:rPr>
        <w:t>Référence en andrologie si anomalie du spermogramme persiste</w:t>
      </w:r>
    </w:p>
    <w:p w:rsidR="009B1577" w:rsidRPr="000231C4" w:rsidRDefault="009B1577" w:rsidP="00194D38">
      <w:pPr>
        <w:pStyle w:val="Sansinterligne"/>
        <w:numPr>
          <w:ilvl w:val="0"/>
          <w:numId w:val="298"/>
        </w:numPr>
        <w:rPr>
          <w:highlight w:val="yellow"/>
        </w:rPr>
      </w:pPr>
      <w:r w:rsidRPr="000231C4">
        <w:rPr>
          <w:highlight w:val="yellow"/>
        </w:rPr>
        <w:t>Traitement au clomiphène 50 mg PO Jours 3 à 7 ad 5-9 (selon cycle)</w:t>
      </w:r>
      <w:r w:rsidR="004125B5" w:rsidRPr="000231C4">
        <w:rPr>
          <w:highlight w:val="yellow"/>
        </w:rPr>
        <w:t xml:space="preserve"> x 3 mois</w:t>
      </w:r>
    </w:p>
    <w:p w:rsidR="009B1577" w:rsidRDefault="009B1577" w:rsidP="00194D38">
      <w:pPr>
        <w:pStyle w:val="Sansinterligne"/>
        <w:numPr>
          <w:ilvl w:val="1"/>
          <w:numId w:val="298"/>
        </w:numPr>
      </w:pPr>
      <w:r>
        <w:t>Si spermogramme et examens de bases normaux</w:t>
      </w:r>
    </w:p>
    <w:p w:rsidR="009B1577" w:rsidRDefault="009B1577" w:rsidP="00194D38">
      <w:pPr>
        <w:pStyle w:val="Sansinterligne"/>
        <w:numPr>
          <w:ilvl w:val="1"/>
          <w:numId w:val="298"/>
        </w:numPr>
      </w:pPr>
      <w:r>
        <w:t xml:space="preserve">Réévaluer </w:t>
      </w:r>
      <w:r w:rsidR="004125B5">
        <w:t xml:space="preserve">q 3 </w:t>
      </w:r>
      <w:r>
        <w:t>mois</w:t>
      </w:r>
    </w:p>
    <w:p w:rsidR="009B1577" w:rsidRDefault="009B1577" w:rsidP="00194D38">
      <w:pPr>
        <w:pStyle w:val="Sansinterligne"/>
        <w:numPr>
          <w:ilvl w:val="1"/>
          <w:numId w:val="298"/>
        </w:numPr>
      </w:pPr>
      <w:r>
        <w:t xml:space="preserve">Si pas de succès </w:t>
      </w:r>
      <w:r w:rsidR="004125B5">
        <w:t xml:space="preserve">à 6 mois </w:t>
      </w:r>
      <w:r>
        <w:rPr>
          <w:rFonts w:ascii="Century Gothic" w:hAnsi="Century Gothic"/>
        </w:rPr>
        <w:t>→</w:t>
      </w:r>
      <w:r>
        <w:t xml:space="preserve"> référer en clinique d’infertilité/ FIV</w:t>
      </w:r>
    </w:p>
    <w:p w:rsidR="009B1577" w:rsidRPr="009B1577" w:rsidRDefault="009B1577" w:rsidP="009B1577">
      <w:pPr>
        <w:pStyle w:val="Sansinterligne"/>
        <w:rPr>
          <w:u w:val="single"/>
        </w:rPr>
      </w:pPr>
      <w:r w:rsidRPr="009B1577">
        <w:rPr>
          <w:u w:val="single"/>
        </w:rPr>
        <w:t>Conseils généraux :</w:t>
      </w:r>
    </w:p>
    <w:p w:rsidR="009B1577" w:rsidRPr="000231C4" w:rsidRDefault="009B1577" w:rsidP="00194D38">
      <w:pPr>
        <w:pStyle w:val="Sansinterligne"/>
        <w:numPr>
          <w:ilvl w:val="0"/>
          <w:numId w:val="298"/>
        </w:numPr>
        <w:rPr>
          <w:highlight w:val="yellow"/>
        </w:rPr>
      </w:pPr>
      <w:r w:rsidRPr="000231C4">
        <w:rPr>
          <w:highlight w:val="yellow"/>
        </w:rPr>
        <w:t>Arrêt tabagique, drogues et alcool</w:t>
      </w:r>
    </w:p>
    <w:p w:rsidR="009B1577" w:rsidRPr="000231C4" w:rsidRDefault="009B1577" w:rsidP="00194D38">
      <w:pPr>
        <w:pStyle w:val="Sansinterligne"/>
        <w:numPr>
          <w:ilvl w:val="0"/>
          <w:numId w:val="298"/>
        </w:numPr>
        <w:rPr>
          <w:highlight w:val="yellow"/>
        </w:rPr>
      </w:pPr>
      <w:r w:rsidRPr="000231C4">
        <w:rPr>
          <w:highlight w:val="yellow"/>
        </w:rPr>
        <w:t xml:space="preserve">Pour l’homme : </w:t>
      </w:r>
    </w:p>
    <w:p w:rsidR="009B1577" w:rsidRPr="000231C4" w:rsidRDefault="009B1577" w:rsidP="00194D38">
      <w:pPr>
        <w:pStyle w:val="Sansinterligne"/>
        <w:numPr>
          <w:ilvl w:val="1"/>
          <w:numId w:val="298"/>
        </w:numPr>
        <w:rPr>
          <w:highlight w:val="yellow"/>
        </w:rPr>
      </w:pPr>
      <w:r w:rsidRPr="000231C4">
        <w:rPr>
          <w:highlight w:val="yellow"/>
        </w:rPr>
        <w:t>Éviter spas, vélo, abus d’alcool etc. (dommage sur le sperme ad 3 mois)</w:t>
      </w:r>
    </w:p>
    <w:p w:rsidR="00E10706" w:rsidRPr="00D155A9" w:rsidRDefault="009B1577" w:rsidP="00D155A9">
      <w:pPr>
        <w:pStyle w:val="Sansinterligne"/>
        <w:numPr>
          <w:ilvl w:val="0"/>
          <w:numId w:val="299"/>
        </w:numPr>
        <w:rPr>
          <w:highlight w:val="yellow"/>
        </w:rPr>
      </w:pPr>
      <w:r w:rsidRPr="000231C4">
        <w:rPr>
          <w:highlight w:val="yellow"/>
        </w:rPr>
        <w:t>Persévérer</w:t>
      </w:r>
      <w:r w:rsidR="00D155A9">
        <w:rPr>
          <w:highlight w:val="yellow"/>
        </w:rPr>
        <w:t xml:space="preserve"> ! Parfois résolution spontanée.</w:t>
      </w:r>
    </w:p>
    <w:p w:rsidR="00CF337F" w:rsidRDefault="00CF337F" w:rsidP="00D81CCE">
      <w:pPr>
        <w:spacing w:after="0"/>
        <w:rPr>
          <w:rFonts w:cs="Times New Roman"/>
          <w:b/>
          <w:color w:val="548DD4" w:themeColor="text2" w:themeTint="99"/>
        </w:rPr>
      </w:pPr>
      <w:r>
        <w:rPr>
          <w:rFonts w:cs="Times New Roman"/>
          <w:b/>
          <w:color w:val="548DD4" w:themeColor="text2" w:themeTint="99"/>
        </w:rPr>
        <w:lastRenderedPageBreak/>
        <w:t>CMC 47-3</w:t>
      </w:r>
    </w:p>
    <w:p w:rsidR="00CF337F" w:rsidRPr="00CF337F" w:rsidRDefault="00CF337F" w:rsidP="00CF337F">
      <w:pPr>
        <w:pStyle w:val="Titre3"/>
        <w:spacing w:before="0"/>
        <w:rPr>
          <w:rFonts w:ascii="Times New Roman" w:hAnsi="Times New Roman" w:cs="Times New Roman"/>
        </w:rPr>
      </w:pPr>
      <w:bookmarkStart w:id="139" w:name="_Toc480797287"/>
      <w:r w:rsidRPr="00CF337F">
        <w:rPr>
          <w:rFonts w:ascii="Times New Roman" w:hAnsi="Times New Roman" w:cs="Times New Roman"/>
        </w:rPr>
        <w:t>Incontinence urinaire chez l’enfant, énurésie</w:t>
      </w:r>
      <w:bookmarkEnd w:id="139"/>
    </w:p>
    <w:p w:rsidR="00CF337F" w:rsidRDefault="00CF337F" w:rsidP="00D81CCE">
      <w:pPr>
        <w:spacing w:after="0"/>
        <w:rPr>
          <w:rFonts w:cs="Times New Roman"/>
          <w:b/>
          <w:color w:val="548DD4" w:themeColor="text2" w:themeTint="99"/>
        </w:rPr>
      </w:pPr>
      <w:r>
        <w:rPr>
          <w:rFonts w:cs="Times New Roman"/>
          <w:b/>
          <w:noProof/>
          <w:color w:val="548DD4" w:themeColor="text2" w:themeTint="99"/>
          <w:lang w:eastAsia="fr-CA"/>
        </w:rPr>
        <mc:AlternateContent>
          <mc:Choice Requires="wps">
            <w:drawing>
              <wp:anchor distT="0" distB="0" distL="114300" distR="114300" simplePos="0" relativeHeight="252034048" behindDoc="0" locked="0" layoutInCell="1" allowOverlap="1" wp14:anchorId="42B3A998" wp14:editId="017DF31B">
                <wp:simplePos x="0" y="0"/>
                <wp:positionH relativeFrom="column">
                  <wp:posOffset>-58366</wp:posOffset>
                </wp:positionH>
                <wp:positionV relativeFrom="paragraph">
                  <wp:posOffset>104680</wp:posOffset>
                </wp:positionV>
                <wp:extent cx="6624536" cy="2762656"/>
                <wp:effectExtent l="0" t="0" r="24130" b="19050"/>
                <wp:wrapNone/>
                <wp:docPr id="543" name="Rectangle 543"/>
                <wp:cNvGraphicFramePr/>
                <a:graphic xmlns:a="http://schemas.openxmlformats.org/drawingml/2006/main">
                  <a:graphicData uri="http://schemas.microsoft.com/office/word/2010/wordprocessingShape">
                    <wps:wsp>
                      <wps:cNvSpPr/>
                      <wps:spPr>
                        <a:xfrm>
                          <a:off x="0" y="0"/>
                          <a:ext cx="6624536" cy="2762656"/>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543" o:spid="_x0000_s1026" style="position:absolute;margin-left:-4.6pt;margin-top:8.25pt;width:521.6pt;height:217.55pt;z-index:2520340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" filled="f" strokecolor="black [1600]" strokeweight="2pt"/>
            </w:pict>
          </mc:Fallback>
        </mc:AlternateContent>
      </w:r>
    </w:p>
    <w:tbl>
      <w:tblPr>
        <w:tblW w:w="3707" w:type="pct"/>
        <w:tblCellSpacing w:w="0" w:type="dxa"/>
        <w:tblCellMar>
          <w:left w:w="0" w:type="dxa"/>
          <w:right w:w="0" w:type="dxa"/>
        </w:tblCellMar>
        <w:tblLook w:val="04A0" w:firstRow="1" w:lastRow="0" w:firstColumn="1" w:lastColumn="0" w:noHBand="0" w:noVBand="1"/>
      </w:tblPr>
      <w:tblGrid>
        <w:gridCol w:w="8007"/>
      </w:tblGrid>
      <w:tr w:rsidR="00CF337F" w:rsidRPr="00CF337F" w:rsidTr="00CF337F">
        <w:trPr>
          <w:tblCellSpacing w:w="0" w:type="dxa"/>
        </w:trPr>
        <w:tc>
          <w:tcPr>
            <w:tcW w:w="0" w:type="auto"/>
            <w:vAlign w:val="bottom"/>
            <w:hideMark/>
          </w:tcPr>
          <w:p w:rsidR="00CF337F" w:rsidRPr="00CF337F" w:rsidRDefault="00CF337F" w:rsidP="00CF337F">
            <w:pPr>
              <w:pStyle w:val="Sansinterligne"/>
              <w:rPr>
                <w:rFonts w:cs="Times New Roman"/>
                <w:b/>
                <w:sz w:val="18"/>
                <w:szCs w:val="18"/>
              </w:rPr>
            </w:pPr>
            <w:bookmarkStart w:id="140" w:name="Objectifprincipal"/>
            <w:r w:rsidRPr="00CF337F">
              <w:rPr>
                <w:rFonts w:cs="Times New Roman"/>
                <w:b/>
                <w:sz w:val="18"/>
                <w:szCs w:val="18"/>
              </w:rPr>
              <w:t>Objectif principal</w:t>
            </w:r>
          </w:p>
        </w:tc>
        <w:bookmarkEnd w:id="140"/>
      </w:tr>
    </w:tbl>
    <w:p w:rsidR="00CF337F" w:rsidRPr="00CF337F" w:rsidRDefault="00CF337F" w:rsidP="00CF337F">
      <w:pPr>
        <w:pStyle w:val="NormalWeb"/>
        <w:ind w:left="360"/>
        <w:rPr>
          <w:color w:val="000000"/>
          <w:sz w:val="18"/>
          <w:szCs w:val="18"/>
          <w:shd w:val="clear" w:color="auto" w:fill="FFFFFF"/>
        </w:rPr>
      </w:pPr>
      <w:r w:rsidRPr="00CF337F">
        <w:rPr>
          <w:color w:val="000000"/>
          <w:sz w:val="18"/>
          <w:szCs w:val="18"/>
          <w:shd w:val="clear" w:color="auto" w:fill="FFFFFF"/>
        </w:rPr>
        <w:t>Chez un enfant âgé de cinq ans ou plus, déterminer si l'émission involontaire d'urine est due à une anomalie physique.</w:t>
      </w:r>
    </w:p>
    <w:tbl>
      <w:tblPr>
        <w:tblW w:w="3897" w:type="pct"/>
        <w:tblCellSpacing w:w="0" w:type="dxa"/>
        <w:tblCellMar>
          <w:left w:w="0" w:type="dxa"/>
          <w:right w:w="0" w:type="dxa"/>
        </w:tblCellMar>
        <w:tblLook w:val="04A0" w:firstRow="1" w:lastRow="0" w:firstColumn="1" w:lastColumn="0" w:noHBand="0" w:noVBand="1"/>
      </w:tblPr>
      <w:tblGrid>
        <w:gridCol w:w="8418"/>
      </w:tblGrid>
      <w:tr w:rsidR="00CF337F" w:rsidRPr="00CF337F" w:rsidTr="00CF337F">
        <w:trPr>
          <w:tblCellSpacing w:w="0" w:type="dxa"/>
        </w:trPr>
        <w:tc>
          <w:tcPr>
            <w:tcW w:w="0" w:type="auto"/>
            <w:vAlign w:val="bottom"/>
            <w:hideMark/>
          </w:tcPr>
          <w:p w:rsidR="00CF337F" w:rsidRPr="00CF337F" w:rsidRDefault="00CF337F" w:rsidP="00CF337F">
            <w:pPr>
              <w:pStyle w:val="Sansinterligne"/>
              <w:rPr>
                <w:rFonts w:cs="Times New Roman"/>
                <w:b/>
                <w:sz w:val="16"/>
                <w:szCs w:val="16"/>
              </w:rPr>
            </w:pPr>
            <w:r w:rsidRPr="00CF337F">
              <w:rPr>
                <w:rFonts w:cs="Times New Roman"/>
                <w:b/>
                <w:sz w:val="16"/>
                <w:szCs w:val="16"/>
              </w:rPr>
              <w:t>Objectifs spécifiques</w:t>
            </w:r>
          </w:p>
        </w:tc>
      </w:tr>
    </w:tbl>
    <w:p w:rsidR="00CF337F" w:rsidRPr="00CF337F" w:rsidRDefault="00CF337F" w:rsidP="00CF337F">
      <w:pPr>
        <w:pStyle w:val="NormalWeb"/>
        <w:shd w:val="clear" w:color="auto" w:fill="FFFFFF"/>
        <w:ind w:left="360"/>
        <w:rPr>
          <w:color w:val="000000"/>
          <w:sz w:val="16"/>
          <w:szCs w:val="16"/>
          <w:shd w:val="clear" w:color="auto" w:fill="FFFFFF"/>
        </w:rPr>
      </w:pPr>
      <w:r w:rsidRPr="00CF337F">
        <w:rPr>
          <w:color w:val="000000"/>
          <w:sz w:val="16"/>
          <w:szCs w:val="16"/>
          <w:shd w:val="clear" w:color="auto" w:fill="FFFFFF"/>
        </w:rPr>
        <w:t>Dans le cas d'un patient énurétique, le candidat devra</w:t>
      </w:r>
    </w:p>
    <w:p w:rsidR="00CF337F" w:rsidRPr="00CF337F" w:rsidRDefault="00CF337F" w:rsidP="005D429F">
      <w:pPr>
        <w:numPr>
          <w:ilvl w:val="0"/>
          <w:numId w:val="1182"/>
        </w:numPr>
        <w:shd w:val="clear" w:color="auto" w:fill="FFFFFF"/>
        <w:spacing w:before="100" w:beforeAutospacing="1" w:after="100" w:afterAutospacing="1" w:line="240" w:lineRule="auto"/>
        <w:rPr>
          <w:rFonts w:cs="Times New Roman"/>
          <w:color w:val="000000"/>
          <w:sz w:val="16"/>
          <w:szCs w:val="16"/>
          <w:shd w:val="clear" w:color="auto" w:fill="FFFFFF"/>
        </w:rPr>
      </w:pPr>
      <w:r w:rsidRPr="00CF337F">
        <w:rPr>
          <w:rFonts w:cs="Times New Roman"/>
          <w:color w:val="000000"/>
          <w:sz w:val="16"/>
          <w:szCs w:val="16"/>
          <w:shd w:val="clear" w:color="auto" w:fill="FFFFFF"/>
        </w:rPr>
        <w:t>énumérer et interpréter les constatations cliniques cruciales, notamment :</w:t>
      </w:r>
    </w:p>
    <w:p w:rsidR="00CF337F" w:rsidRPr="00CF337F" w:rsidRDefault="00CF337F" w:rsidP="005D429F">
      <w:pPr>
        <w:numPr>
          <w:ilvl w:val="1"/>
          <w:numId w:val="1182"/>
        </w:numPr>
        <w:shd w:val="clear" w:color="auto" w:fill="FFFFFF"/>
        <w:spacing w:before="100" w:beforeAutospacing="1" w:after="100" w:afterAutospacing="1" w:line="240" w:lineRule="auto"/>
        <w:rPr>
          <w:rFonts w:cs="Times New Roman"/>
          <w:color w:val="000000"/>
          <w:sz w:val="16"/>
          <w:szCs w:val="16"/>
          <w:shd w:val="clear" w:color="auto" w:fill="FFFFFF"/>
        </w:rPr>
      </w:pPr>
      <w:r w:rsidRPr="00CF337F">
        <w:rPr>
          <w:rFonts w:cs="Times New Roman"/>
          <w:color w:val="000000"/>
          <w:sz w:val="16"/>
          <w:szCs w:val="16"/>
          <w:shd w:val="clear" w:color="auto" w:fill="FFFFFF"/>
        </w:rPr>
        <w:t>faire une anamnèse et un examen physique appropriés, afin de déterminer :</w:t>
      </w:r>
    </w:p>
    <w:p w:rsidR="00CF337F" w:rsidRPr="00CF337F" w:rsidRDefault="00CF337F" w:rsidP="005D429F">
      <w:pPr>
        <w:numPr>
          <w:ilvl w:val="2"/>
          <w:numId w:val="1182"/>
        </w:numPr>
        <w:shd w:val="clear" w:color="auto" w:fill="FFFFFF"/>
        <w:spacing w:before="100" w:beforeAutospacing="1" w:after="100" w:afterAutospacing="1" w:line="240" w:lineRule="auto"/>
        <w:rPr>
          <w:rFonts w:cs="Times New Roman"/>
          <w:color w:val="000000"/>
          <w:sz w:val="16"/>
          <w:szCs w:val="16"/>
          <w:shd w:val="clear" w:color="auto" w:fill="FFFFFF"/>
        </w:rPr>
      </w:pPr>
      <w:r w:rsidRPr="00CF337F">
        <w:rPr>
          <w:rFonts w:cs="Times New Roman"/>
          <w:color w:val="000000"/>
          <w:sz w:val="16"/>
          <w:szCs w:val="16"/>
          <w:shd w:val="clear" w:color="auto" w:fill="FFFFFF"/>
        </w:rPr>
        <w:t>si des raisons médicales sont à l'origine de l'énurésie;</w:t>
      </w:r>
    </w:p>
    <w:p w:rsidR="00CF337F" w:rsidRPr="00CF337F" w:rsidRDefault="00CF337F" w:rsidP="005D429F">
      <w:pPr>
        <w:numPr>
          <w:ilvl w:val="2"/>
          <w:numId w:val="1182"/>
        </w:numPr>
        <w:shd w:val="clear" w:color="auto" w:fill="FFFFFF"/>
        <w:spacing w:before="100" w:beforeAutospacing="1" w:after="100" w:afterAutospacing="1" w:line="240" w:lineRule="auto"/>
        <w:rPr>
          <w:rFonts w:cs="Times New Roman"/>
          <w:color w:val="000000"/>
          <w:sz w:val="16"/>
          <w:szCs w:val="16"/>
          <w:shd w:val="clear" w:color="auto" w:fill="FFFFFF"/>
        </w:rPr>
      </w:pPr>
      <w:r w:rsidRPr="00CF337F">
        <w:rPr>
          <w:rFonts w:cs="Times New Roman"/>
          <w:color w:val="000000"/>
          <w:sz w:val="16"/>
          <w:szCs w:val="16"/>
          <w:shd w:val="clear" w:color="auto" w:fill="FFFFFF"/>
        </w:rPr>
        <w:t>si un événement stressant a pu provoquer l'énurésie (p. ex. naissance d'un frère ou d'une sœur);</w:t>
      </w:r>
    </w:p>
    <w:p w:rsidR="00CF337F" w:rsidRPr="00CF337F" w:rsidRDefault="00CF337F" w:rsidP="005D429F">
      <w:pPr>
        <w:numPr>
          <w:ilvl w:val="0"/>
          <w:numId w:val="1182"/>
        </w:numPr>
        <w:shd w:val="clear" w:color="auto" w:fill="FFFFFF"/>
        <w:spacing w:before="100" w:beforeAutospacing="1" w:after="100" w:afterAutospacing="1" w:line="240" w:lineRule="auto"/>
        <w:rPr>
          <w:rFonts w:cs="Times New Roman"/>
          <w:color w:val="000000"/>
          <w:sz w:val="16"/>
          <w:szCs w:val="16"/>
          <w:shd w:val="clear" w:color="auto" w:fill="FFFFFF"/>
        </w:rPr>
      </w:pPr>
      <w:r w:rsidRPr="00CF337F">
        <w:rPr>
          <w:rFonts w:cs="Times New Roman"/>
          <w:color w:val="000000"/>
          <w:sz w:val="16"/>
          <w:szCs w:val="16"/>
          <w:shd w:val="clear" w:color="auto" w:fill="FFFFFF"/>
        </w:rPr>
        <w:t>énumérer et interpréter les analyses de laboratoire essentielles, notamment :</w:t>
      </w:r>
    </w:p>
    <w:p w:rsidR="00CF337F" w:rsidRPr="00CF337F" w:rsidRDefault="00CF337F" w:rsidP="005D429F">
      <w:pPr>
        <w:numPr>
          <w:ilvl w:val="1"/>
          <w:numId w:val="1182"/>
        </w:numPr>
        <w:shd w:val="clear" w:color="auto" w:fill="FFFFFF"/>
        <w:spacing w:before="100" w:beforeAutospacing="1" w:after="100" w:afterAutospacing="1" w:line="240" w:lineRule="auto"/>
        <w:rPr>
          <w:rFonts w:cs="Times New Roman"/>
          <w:color w:val="000000"/>
          <w:sz w:val="16"/>
          <w:szCs w:val="16"/>
          <w:shd w:val="clear" w:color="auto" w:fill="FFFFFF"/>
        </w:rPr>
      </w:pPr>
      <w:r w:rsidRPr="00CF337F">
        <w:rPr>
          <w:rFonts w:cs="Times New Roman"/>
          <w:color w:val="000000"/>
          <w:sz w:val="16"/>
          <w:szCs w:val="16"/>
          <w:shd w:val="clear" w:color="auto" w:fill="FFFFFF"/>
        </w:rPr>
        <w:t>l'analyse et culture d'urine;</w:t>
      </w:r>
    </w:p>
    <w:p w:rsidR="00CF337F" w:rsidRPr="00CF337F" w:rsidRDefault="00CF337F" w:rsidP="005D429F">
      <w:pPr>
        <w:numPr>
          <w:ilvl w:val="0"/>
          <w:numId w:val="1182"/>
        </w:numPr>
        <w:shd w:val="clear" w:color="auto" w:fill="FFFFFF"/>
        <w:spacing w:before="100" w:beforeAutospacing="1" w:after="100" w:afterAutospacing="1" w:line="240" w:lineRule="auto"/>
        <w:rPr>
          <w:rFonts w:cs="Times New Roman"/>
          <w:color w:val="000000"/>
          <w:sz w:val="16"/>
          <w:szCs w:val="16"/>
          <w:shd w:val="clear" w:color="auto" w:fill="FFFFFF"/>
        </w:rPr>
      </w:pPr>
      <w:r w:rsidRPr="00CF337F">
        <w:rPr>
          <w:rFonts w:cs="Times New Roman"/>
          <w:color w:val="000000"/>
          <w:sz w:val="16"/>
          <w:szCs w:val="16"/>
          <w:shd w:val="clear" w:color="auto" w:fill="FFFFFF"/>
        </w:rPr>
        <w:t>établir un plan efficace de prise en charge, notamment :</w:t>
      </w:r>
    </w:p>
    <w:p w:rsidR="00CF337F" w:rsidRPr="00CF337F" w:rsidRDefault="00CF337F" w:rsidP="005D429F">
      <w:pPr>
        <w:numPr>
          <w:ilvl w:val="1"/>
          <w:numId w:val="1182"/>
        </w:numPr>
        <w:shd w:val="clear" w:color="auto" w:fill="FFFFFF"/>
        <w:spacing w:before="100" w:beforeAutospacing="1" w:after="100" w:afterAutospacing="1" w:line="240" w:lineRule="auto"/>
        <w:rPr>
          <w:rFonts w:cs="Times New Roman"/>
          <w:color w:val="000000"/>
          <w:sz w:val="16"/>
          <w:szCs w:val="16"/>
          <w:shd w:val="clear" w:color="auto" w:fill="FFFFFF"/>
        </w:rPr>
      </w:pPr>
      <w:r w:rsidRPr="00CF337F">
        <w:rPr>
          <w:rFonts w:cs="Times New Roman"/>
          <w:color w:val="000000"/>
          <w:sz w:val="16"/>
          <w:szCs w:val="16"/>
          <w:shd w:val="clear" w:color="auto" w:fill="FFFFFF"/>
        </w:rPr>
        <w:t>conseiller, renseigner et rassurer les parents d'un enfant atteint d'énurésie nocturne primaire, notamment en ce qui a trait aux traitements possibles;</w:t>
      </w:r>
    </w:p>
    <w:p w:rsidR="00CF337F" w:rsidRPr="00CF337F" w:rsidRDefault="00CF337F" w:rsidP="005D429F">
      <w:pPr>
        <w:numPr>
          <w:ilvl w:val="1"/>
          <w:numId w:val="1182"/>
        </w:numPr>
        <w:shd w:val="clear" w:color="auto" w:fill="FFFFFF"/>
        <w:spacing w:before="100" w:beforeAutospacing="1" w:after="100" w:afterAutospacing="1" w:line="240" w:lineRule="auto"/>
        <w:rPr>
          <w:rFonts w:cs="Times New Roman"/>
          <w:color w:val="000000"/>
          <w:sz w:val="16"/>
          <w:szCs w:val="16"/>
          <w:shd w:val="clear" w:color="auto" w:fill="FFFFFF"/>
        </w:rPr>
      </w:pPr>
      <w:r w:rsidRPr="00CF337F">
        <w:rPr>
          <w:rFonts w:cs="Times New Roman"/>
          <w:color w:val="000000"/>
          <w:sz w:val="16"/>
          <w:szCs w:val="16"/>
          <w:shd w:val="clear" w:color="auto" w:fill="FFFFFF"/>
        </w:rPr>
        <w:t>conseiller et rassurer l'enfant afin qu'il ait une meilleure estime de lui-même;</w:t>
      </w:r>
    </w:p>
    <w:p w:rsidR="00CF337F" w:rsidRPr="00CF337F" w:rsidRDefault="00CF337F" w:rsidP="005D429F">
      <w:pPr>
        <w:numPr>
          <w:ilvl w:val="1"/>
          <w:numId w:val="1182"/>
        </w:numPr>
        <w:shd w:val="clear" w:color="auto" w:fill="FFFFFF"/>
        <w:spacing w:before="100" w:beforeAutospacing="1" w:after="100" w:afterAutospacing="1" w:line="240" w:lineRule="auto"/>
        <w:rPr>
          <w:rFonts w:cs="Times New Roman"/>
          <w:color w:val="000000"/>
          <w:sz w:val="16"/>
          <w:szCs w:val="16"/>
          <w:shd w:val="clear" w:color="auto" w:fill="FFFFFF"/>
        </w:rPr>
      </w:pPr>
      <w:r w:rsidRPr="00CF337F">
        <w:rPr>
          <w:rFonts w:cs="Times New Roman"/>
          <w:color w:val="000000"/>
          <w:sz w:val="16"/>
          <w:szCs w:val="16"/>
          <w:shd w:val="clear" w:color="auto" w:fill="FFFFFF"/>
        </w:rPr>
        <w:t>dans le cas d'une énurésie secondaire, traiter la cause sous-jacente;</w:t>
      </w:r>
    </w:p>
    <w:p w:rsidR="00CF337F" w:rsidRPr="00CF337F" w:rsidRDefault="00CF337F" w:rsidP="00786F71">
      <w:pPr>
        <w:numPr>
          <w:ilvl w:val="1"/>
          <w:numId w:val="1182"/>
        </w:numPr>
        <w:shd w:val="clear" w:color="auto" w:fill="FFFFFF"/>
        <w:spacing w:before="100" w:beforeAutospacing="1" w:after="0" w:line="240" w:lineRule="auto"/>
        <w:rPr>
          <w:rFonts w:cs="Times New Roman"/>
          <w:color w:val="000000"/>
          <w:sz w:val="16"/>
          <w:szCs w:val="16"/>
          <w:shd w:val="clear" w:color="auto" w:fill="FFFFFF"/>
        </w:rPr>
      </w:pPr>
      <w:r w:rsidRPr="00CF337F">
        <w:rPr>
          <w:rFonts w:cs="Times New Roman"/>
          <w:color w:val="000000"/>
          <w:sz w:val="16"/>
          <w:szCs w:val="16"/>
          <w:shd w:val="clear" w:color="auto" w:fill="FFFFFF"/>
        </w:rPr>
        <w:t>déterminer si le patient a besoin d'être adressé à un spécialiste.</w:t>
      </w:r>
    </w:p>
    <w:p w:rsidR="00786F71" w:rsidRPr="00786F71" w:rsidRDefault="00786F71" w:rsidP="005D138A">
      <w:pPr>
        <w:pStyle w:val="Sansinterligne"/>
        <w:rPr>
          <w:b/>
          <w:sz w:val="16"/>
          <w:szCs w:val="16"/>
        </w:rPr>
      </w:pPr>
    </w:p>
    <w:p w:rsidR="006C4F4E" w:rsidRPr="005D138A" w:rsidRDefault="00786F71" w:rsidP="005D138A">
      <w:pPr>
        <w:pStyle w:val="Sansinterligne"/>
        <w:rPr>
          <w:b/>
          <w:sz w:val="28"/>
          <w:szCs w:val="28"/>
        </w:rPr>
      </w:pPr>
      <w:r>
        <w:rPr>
          <w:noProof/>
          <w:lang w:eastAsia="fr-CA"/>
        </w:rPr>
        <w:drawing>
          <wp:anchor distT="0" distB="0" distL="114300" distR="114300" simplePos="0" relativeHeight="252066816" behindDoc="0" locked="0" layoutInCell="1" allowOverlap="1" wp14:anchorId="57E3FFD7" wp14:editId="60DABB50">
            <wp:simplePos x="0" y="0"/>
            <wp:positionH relativeFrom="column">
              <wp:posOffset>4844374</wp:posOffset>
            </wp:positionH>
            <wp:positionV relativeFrom="paragraph">
              <wp:posOffset>34317</wp:posOffset>
            </wp:positionV>
            <wp:extent cx="1673851" cy="2383277"/>
            <wp:effectExtent l="0" t="0" r="3175" b="0"/>
            <wp:wrapNone/>
            <wp:docPr id="545" name="Image 545" descr="Résultats de recherche d'images pour « reflux vésico-urétéra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ésultats de recherche d'images pour « reflux vésico-urétéral »"/>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1673667" cy="2383014"/>
                    </a:xfrm>
                    <a:prstGeom prst="rect">
                      <a:avLst/>
                    </a:prstGeom>
                    <a:noFill/>
                    <a:ln>
                      <a:noFill/>
                    </a:ln>
                  </pic:spPr>
                </pic:pic>
              </a:graphicData>
            </a:graphic>
            <wp14:sizeRelH relativeFrom="page">
              <wp14:pctWidth>0</wp14:pctWidth>
            </wp14:sizeRelH>
            <wp14:sizeRelV relativeFrom="page">
              <wp14:pctHeight>0</wp14:pctHeight>
            </wp14:sizeRelV>
          </wp:anchor>
        </w:drawing>
      </w:r>
      <w:r w:rsidR="006C4F4E" w:rsidRPr="005D138A">
        <w:rPr>
          <w:b/>
          <w:sz w:val="28"/>
          <w:szCs w:val="28"/>
        </w:rPr>
        <w:t>Définitions</w:t>
      </w:r>
    </w:p>
    <w:p w:rsidR="005D138A" w:rsidRPr="00786F71" w:rsidRDefault="005D138A" w:rsidP="005D138A">
      <w:pPr>
        <w:pStyle w:val="Sansinterligne"/>
        <w:rPr>
          <w:sz w:val="16"/>
          <w:szCs w:val="16"/>
        </w:rPr>
      </w:pPr>
    </w:p>
    <w:p w:rsidR="005D138A" w:rsidRPr="005D138A" w:rsidRDefault="00A30458" w:rsidP="00786F71">
      <w:pPr>
        <w:pStyle w:val="Sansinterligne"/>
        <w:ind w:right="3287"/>
        <w:rPr>
          <w:b/>
          <w:lang w:eastAsia="fr-CA"/>
        </w:rPr>
      </w:pPr>
      <w:r w:rsidRPr="005D138A">
        <w:rPr>
          <w:b/>
          <w:lang w:eastAsia="fr-CA"/>
        </w:rPr>
        <w:t>Énurésie</w:t>
      </w:r>
      <w:r w:rsidR="006C4F4E" w:rsidRPr="005D138A">
        <w:rPr>
          <w:b/>
          <w:lang w:eastAsia="fr-CA"/>
        </w:rPr>
        <w:t xml:space="preserve"> nocturne primaire</w:t>
      </w:r>
    </w:p>
    <w:p w:rsidR="00A30458" w:rsidRDefault="006C4F4E" w:rsidP="00786F71">
      <w:pPr>
        <w:pStyle w:val="Sansinterligne"/>
        <w:ind w:right="3287"/>
        <w:rPr>
          <w:lang w:eastAsia="fr-CA"/>
        </w:rPr>
      </w:pPr>
      <w:r>
        <w:rPr>
          <w:lang w:eastAsia="fr-CA"/>
        </w:rPr>
        <w:t>Perte involontaire des urines durant la nuit alors que la continence vésicale n’a jamais été atteinte</w:t>
      </w:r>
    </w:p>
    <w:p w:rsidR="00A85967" w:rsidRDefault="00A85967" w:rsidP="00786F71">
      <w:pPr>
        <w:pStyle w:val="Sansinterligne"/>
        <w:ind w:right="3287"/>
      </w:pPr>
      <w:r w:rsidRPr="00E85361">
        <w:rPr>
          <w:u w:val="single"/>
          <w:lang w:eastAsia="fr-CA"/>
        </w:rPr>
        <w:t>Épidémiologie</w:t>
      </w:r>
      <w:r>
        <w:rPr>
          <w:lang w:eastAsia="fr-CA"/>
        </w:rPr>
        <w:t xml:space="preserve"> : </w:t>
      </w:r>
      <w:r w:rsidRPr="00E85361">
        <w:rPr>
          <w:rFonts w:cs="Times New Roman"/>
        </w:rPr>
        <w:t>♂&gt;♀</w:t>
      </w:r>
      <w:r w:rsidR="00E85361" w:rsidRPr="00E85361">
        <w:rPr>
          <w:rFonts w:cs="Times New Roman"/>
        </w:rPr>
        <w:t>, 10% à 6 ans, 3% à 12 ans, 1% à 18 ans</w:t>
      </w:r>
    </w:p>
    <w:p w:rsidR="005D138A" w:rsidRPr="00786F71" w:rsidRDefault="005D138A" w:rsidP="00786F71">
      <w:pPr>
        <w:pStyle w:val="Sansinterligne"/>
        <w:ind w:right="3287"/>
        <w:rPr>
          <w:sz w:val="16"/>
          <w:szCs w:val="16"/>
          <w:lang w:eastAsia="fr-CA"/>
        </w:rPr>
      </w:pPr>
    </w:p>
    <w:p w:rsidR="005D138A" w:rsidRPr="005D138A" w:rsidRDefault="006C4F4E" w:rsidP="00786F71">
      <w:pPr>
        <w:pStyle w:val="Sansinterligne"/>
        <w:ind w:right="3287"/>
        <w:rPr>
          <w:b/>
          <w:lang w:eastAsia="fr-CA"/>
        </w:rPr>
      </w:pPr>
      <w:r w:rsidRPr="005D138A">
        <w:rPr>
          <w:b/>
          <w:lang w:eastAsia="fr-CA"/>
        </w:rPr>
        <w:t>Énurésie nocturne secondaire</w:t>
      </w:r>
    </w:p>
    <w:p w:rsidR="006C4F4E" w:rsidRDefault="006C4F4E" w:rsidP="00786F71">
      <w:pPr>
        <w:pStyle w:val="Sansinterligne"/>
        <w:ind w:right="3287"/>
        <w:rPr>
          <w:lang w:eastAsia="fr-CA"/>
        </w:rPr>
      </w:pPr>
      <w:r>
        <w:rPr>
          <w:lang w:eastAsia="fr-CA"/>
        </w:rPr>
        <w:t>Perte involontaire des urines durant la nuit survenant après l’acquisition d</w:t>
      </w:r>
      <w:r w:rsidR="007F52D0">
        <w:rPr>
          <w:lang w:eastAsia="fr-CA"/>
        </w:rPr>
        <w:t>u</w:t>
      </w:r>
      <w:r>
        <w:rPr>
          <w:lang w:eastAsia="fr-CA"/>
        </w:rPr>
        <w:t xml:space="preserve"> contrôle vésical</w:t>
      </w:r>
      <w:r w:rsidR="00534EAA">
        <w:rPr>
          <w:lang w:eastAsia="fr-CA"/>
        </w:rPr>
        <w:t xml:space="preserve"> (</w:t>
      </w:r>
      <w:r w:rsidR="00534EAA">
        <w:rPr>
          <w:rFonts w:ascii="Century Gothic" w:hAnsi="Century Gothic"/>
          <w:lang w:eastAsia="fr-CA"/>
        </w:rPr>
        <w:t>&gt;</w:t>
      </w:r>
      <w:r w:rsidR="00534EAA">
        <w:rPr>
          <w:lang w:eastAsia="fr-CA"/>
        </w:rPr>
        <w:t xml:space="preserve"> 6 mois en général)</w:t>
      </w:r>
    </w:p>
    <w:p w:rsidR="005D138A" w:rsidRPr="00786F71" w:rsidRDefault="005D138A" w:rsidP="00786F71">
      <w:pPr>
        <w:pStyle w:val="Sansinterligne"/>
        <w:ind w:right="3287"/>
        <w:rPr>
          <w:sz w:val="16"/>
          <w:szCs w:val="16"/>
          <w:lang w:eastAsia="fr-CA"/>
        </w:rPr>
      </w:pPr>
    </w:p>
    <w:p w:rsidR="005D138A" w:rsidRDefault="006C4F4E" w:rsidP="00786F71">
      <w:pPr>
        <w:pStyle w:val="Sansinterligne"/>
        <w:ind w:right="3287"/>
      </w:pPr>
      <w:r w:rsidRPr="005D138A">
        <w:rPr>
          <w:b/>
        </w:rPr>
        <w:t>Énurésie diurne</w:t>
      </w:r>
    </w:p>
    <w:p w:rsidR="006C4F4E" w:rsidRDefault="006C4F4E" w:rsidP="00786F71">
      <w:pPr>
        <w:pStyle w:val="Sansinterligne"/>
        <w:ind w:right="3287"/>
      </w:pPr>
      <w:r>
        <w:t>L’enfant mouille ses sous-vêtements le jour.</w:t>
      </w:r>
    </w:p>
    <w:p w:rsidR="006C4F4E" w:rsidRPr="00786F71" w:rsidRDefault="006C4F4E" w:rsidP="006C4F4E">
      <w:pPr>
        <w:pStyle w:val="Sansinterligne"/>
        <w:rPr>
          <w:sz w:val="16"/>
          <w:szCs w:val="16"/>
        </w:rPr>
      </w:pPr>
    </w:p>
    <w:p w:rsidR="006C4F4E" w:rsidRDefault="006C4F4E" w:rsidP="006C4F4E">
      <w:pPr>
        <w:pStyle w:val="Sansinterligne"/>
        <w:rPr>
          <w:b/>
          <w:sz w:val="28"/>
          <w:szCs w:val="28"/>
        </w:rPr>
      </w:pPr>
      <w:r w:rsidRPr="005D138A">
        <w:rPr>
          <w:b/>
          <w:sz w:val="28"/>
          <w:szCs w:val="28"/>
        </w:rPr>
        <w:t>Diagnostic</w:t>
      </w:r>
      <w:r w:rsidR="005D138A">
        <w:rPr>
          <w:b/>
          <w:sz w:val="28"/>
          <w:szCs w:val="28"/>
        </w:rPr>
        <w:t>s</w:t>
      </w:r>
      <w:r w:rsidR="009756E9">
        <w:rPr>
          <w:b/>
          <w:sz w:val="28"/>
          <w:szCs w:val="28"/>
        </w:rPr>
        <w:t>, investigation et prise en charge</w:t>
      </w:r>
    </w:p>
    <w:p w:rsidR="005D138A" w:rsidRPr="00786F71" w:rsidRDefault="005D138A" w:rsidP="006C4F4E">
      <w:pPr>
        <w:pStyle w:val="Sansinterligne"/>
        <w:rPr>
          <w:b/>
          <w:sz w:val="16"/>
          <w:szCs w:val="16"/>
        </w:rPr>
      </w:pPr>
    </w:p>
    <w:tbl>
      <w:tblPr>
        <w:tblStyle w:val="Grilledutableau"/>
        <w:tblW w:w="0" w:type="auto"/>
        <w:tblLook w:val="04A0" w:firstRow="1" w:lastRow="0" w:firstColumn="1" w:lastColumn="0" w:noHBand="0" w:noVBand="1"/>
      </w:tblPr>
      <w:tblGrid>
        <w:gridCol w:w="1668"/>
        <w:gridCol w:w="4110"/>
        <w:gridCol w:w="5162"/>
      </w:tblGrid>
      <w:tr w:rsidR="006C4F4E" w:rsidTr="00A85967">
        <w:tc>
          <w:tcPr>
            <w:tcW w:w="1668" w:type="dxa"/>
            <w:shd w:val="clear" w:color="auto" w:fill="FFC000"/>
          </w:tcPr>
          <w:p w:rsidR="006C4F4E" w:rsidRDefault="006C4F4E" w:rsidP="005D138A">
            <w:pPr>
              <w:pStyle w:val="Sansinterligne"/>
              <w:jc w:val="center"/>
            </w:pPr>
          </w:p>
        </w:tc>
        <w:tc>
          <w:tcPr>
            <w:tcW w:w="4110" w:type="dxa"/>
            <w:shd w:val="clear" w:color="auto" w:fill="FFC000"/>
          </w:tcPr>
          <w:p w:rsidR="006C4F4E" w:rsidRDefault="006C4F4E" w:rsidP="005D138A">
            <w:pPr>
              <w:pStyle w:val="Sansinterligne"/>
              <w:jc w:val="center"/>
            </w:pPr>
            <w:r>
              <w:t>Énurésie nocturne primaire</w:t>
            </w:r>
          </w:p>
        </w:tc>
        <w:tc>
          <w:tcPr>
            <w:tcW w:w="5162" w:type="dxa"/>
            <w:shd w:val="clear" w:color="auto" w:fill="FFC000"/>
          </w:tcPr>
          <w:p w:rsidR="006C4F4E" w:rsidRDefault="005D138A" w:rsidP="005D138A">
            <w:pPr>
              <w:pStyle w:val="Sansinterligne"/>
              <w:jc w:val="center"/>
            </w:pPr>
            <w:r>
              <w:t>Énurésie nocturne secondaire</w:t>
            </w:r>
          </w:p>
        </w:tc>
      </w:tr>
      <w:tr w:rsidR="006C4F4E" w:rsidTr="008203EE">
        <w:tc>
          <w:tcPr>
            <w:tcW w:w="1668" w:type="dxa"/>
            <w:shd w:val="clear" w:color="auto" w:fill="C2D69B" w:themeFill="accent3" w:themeFillTint="99"/>
            <w:vAlign w:val="center"/>
          </w:tcPr>
          <w:p w:rsidR="006C4F4E" w:rsidRDefault="006C4F4E" w:rsidP="005D138A">
            <w:pPr>
              <w:pStyle w:val="Sansinterligne"/>
              <w:jc w:val="center"/>
            </w:pPr>
            <w:r>
              <w:t>Étiologie(s)</w:t>
            </w:r>
          </w:p>
        </w:tc>
        <w:tc>
          <w:tcPr>
            <w:tcW w:w="4110" w:type="dxa"/>
            <w:shd w:val="clear" w:color="auto" w:fill="FFFF00"/>
            <w:vAlign w:val="center"/>
          </w:tcPr>
          <w:p w:rsidR="006C4F4E" w:rsidRDefault="00534EAA" w:rsidP="00A85967">
            <w:pPr>
              <w:pStyle w:val="Sansinterligne"/>
              <w:jc w:val="center"/>
            </w:pPr>
            <w:r>
              <w:t>Idiopathique</w:t>
            </w:r>
          </w:p>
        </w:tc>
        <w:tc>
          <w:tcPr>
            <w:tcW w:w="5162" w:type="dxa"/>
          </w:tcPr>
          <w:p w:rsidR="006C4F4E" w:rsidRDefault="005D138A" w:rsidP="00AF6ADC">
            <w:pPr>
              <w:pStyle w:val="Sansinterligne"/>
              <w:numPr>
                <w:ilvl w:val="0"/>
                <w:numId w:val="1213"/>
              </w:numPr>
            </w:pPr>
            <w:r>
              <w:t>Infections urinaires</w:t>
            </w:r>
          </w:p>
          <w:p w:rsidR="005D138A" w:rsidRDefault="00E85361" w:rsidP="00AF6ADC">
            <w:pPr>
              <w:pStyle w:val="Sansinterligne"/>
              <w:numPr>
                <w:ilvl w:val="0"/>
                <w:numId w:val="1213"/>
              </w:numPr>
            </w:pPr>
            <w:r>
              <w:t>Reflux urétéro-vésical</w:t>
            </w:r>
            <w:r w:rsidR="00534EAA">
              <w:t xml:space="preserve"> (valves urétérales postérieures)</w:t>
            </w:r>
          </w:p>
          <w:p w:rsidR="00534EAA" w:rsidRDefault="00534EAA" w:rsidP="00AF6ADC">
            <w:pPr>
              <w:pStyle w:val="Sansinterligne"/>
              <w:numPr>
                <w:ilvl w:val="0"/>
                <w:numId w:val="1213"/>
              </w:numPr>
            </w:pPr>
            <w:r>
              <w:t>Convulsions</w:t>
            </w:r>
          </w:p>
          <w:p w:rsidR="00534EAA" w:rsidRDefault="00534EAA" w:rsidP="00AF6ADC">
            <w:pPr>
              <w:pStyle w:val="Sansinterligne"/>
              <w:numPr>
                <w:ilvl w:val="0"/>
                <w:numId w:val="1213"/>
              </w:numPr>
            </w:pPr>
            <w:r>
              <w:t>Diabète mellitus, diabète insipide</w:t>
            </w:r>
          </w:p>
          <w:p w:rsidR="00534EAA" w:rsidRDefault="00534EAA" w:rsidP="00AF6ADC">
            <w:pPr>
              <w:pStyle w:val="Sansinterligne"/>
              <w:numPr>
                <w:ilvl w:val="0"/>
                <w:numId w:val="1213"/>
              </w:numPr>
            </w:pPr>
            <w:r>
              <w:t>Vessie neurogène</w:t>
            </w:r>
          </w:p>
          <w:p w:rsidR="00534EAA" w:rsidRDefault="00534EAA" w:rsidP="00AF6ADC">
            <w:pPr>
              <w:pStyle w:val="Sansinterligne"/>
              <w:numPr>
                <w:ilvl w:val="0"/>
                <w:numId w:val="1213"/>
              </w:numPr>
            </w:pPr>
            <w:r>
              <w:t>Régression développementale 2</w:t>
            </w:r>
            <w:r w:rsidRPr="00534EAA">
              <w:rPr>
                <w:vertAlign w:val="superscript"/>
              </w:rPr>
              <w:t>aire</w:t>
            </w:r>
            <w:r>
              <w:t xml:space="preserve"> anxiété</w:t>
            </w:r>
          </w:p>
        </w:tc>
      </w:tr>
      <w:tr w:rsidR="005D138A" w:rsidTr="008203EE">
        <w:tc>
          <w:tcPr>
            <w:tcW w:w="1668" w:type="dxa"/>
            <w:shd w:val="clear" w:color="auto" w:fill="C2D69B" w:themeFill="accent3" w:themeFillTint="99"/>
            <w:vAlign w:val="center"/>
          </w:tcPr>
          <w:p w:rsidR="005D138A" w:rsidRDefault="005D138A" w:rsidP="005D138A">
            <w:pPr>
              <w:pStyle w:val="Sansinterligne"/>
              <w:jc w:val="center"/>
            </w:pPr>
            <w:r>
              <w:t>Manifestations cliniques</w:t>
            </w:r>
          </w:p>
        </w:tc>
        <w:tc>
          <w:tcPr>
            <w:tcW w:w="4110" w:type="dxa"/>
            <w:shd w:val="clear" w:color="auto" w:fill="FFFF00"/>
            <w:vAlign w:val="center"/>
          </w:tcPr>
          <w:p w:rsidR="005D138A" w:rsidRDefault="00534EAA" w:rsidP="00A85967">
            <w:pPr>
              <w:pStyle w:val="Sansinterligne"/>
              <w:jc w:val="center"/>
            </w:pPr>
            <w:r>
              <w:t>Voir définitions</w:t>
            </w:r>
          </w:p>
        </w:tc>
        <w:tc>
          <w:tcPr>
            <w:tcW w:w="5162" w:type="dxa"/>
          </w:tcPr>
          <w:p w:rsidR="005D138A" w:rsidRDefault="00534EAA" w:rsidP="006C4F4E">
            <w:pPr>
              <w:pStyle w:val="Sansinterligne"/>
            </w:pPr>
            <w:r>
              <w:t>Voir définition</w:t>
            </w:r>
          </w:p>
          <w:p w:rsidR="00534EAA" w:rsidRDefault="00534EAA" w:rsidP="006C4F4E">
            <w:pPr>
              <w:pStyle w:val="Sansinterligne"/>
            </w:pPr>
            <w:r w:rsidRPr="00A85967">
              <w:rPr>
                <w:u w:val="single"/>
              </w:rPr>
              <w:t>Selon la cause</w:t>
            </w:r>
            <w:r>
              <w:t> :</w:t>
            </w:r>
          </w:p>
          <w:p w:rsidR="00534EAA" w:rsidRDefault="00534EAA" w:rsidP="00AF6ADC">
            <w:pPr>
              <w:pStyle w:val="Sansinterligne"/>
              <w:numPr>
                <w:ilvl w:val="0"/>
                <w:numId w:val="1214"/>
              </w:numPr>
            </w:pPr>
            <w:r>
              <w:t>Dysurie, hématurie, mauvaise odeur</w:t>
            </w:r>
          </w:p>
          <w:p w:rsidR="00534EAA" w:rsidRDefault="00534EAA" w:rsidP="00AF6ADC">
            <w:pPr>
              <w:pStyle w:val="Sansinterligne"/>
              <w:numPr>
                <w:ilvl w:val="0"/>
                <w:numId w:val="1214"/>
              </w:numPr>
            </w:pPr>
            <w:r>
              <w:rPr>
                <w:rFonts w:cs="Times New Roman"/>
              </w:rPr>
              <w:t>↓</w:t>
            </w:r>
            <w:r>
              <w:t>majesté du jet</w:t>
            </w:r>
          </w:p>
          <w:p w:rsidR="00534EAA" w:rsidRDefault="00534EAA" w:rsidP="00AF6ADC">
            <w:pPr>
              <w:pStyle w:val="Sansinterligne"/>
              <w:numPr>
                <w:ilvl w:val="0"/>
                <w:numId w:val="1214"/>
              </w:numPr>
            </w:pPr>
            <w:r>
              <w:t>Incontinence fécale</w:t>
            </w:r>
            <w:r w:rsidR="00A85967">
              <w:t>, mouvements convulsifs</w:t>
            </w:r>
          </w:p>
          <w:p w:rsidR="00A85967" w:rsidRDefault="00A85967" w:rsidP="00AF6ADC">
            <w:pPr>
              <w:pStyle w:val="Sansinterligne"/>
              <w:numPr>
                <w:ilvl w:val="0"/>
                <w:numId w:val="1214"/>
              </w:numPr>
            </w:pPr>
            <w:r>
              <w:t>Polyurie, polydipsie, polyphagie</w:t>
            </w:r>
          </w:p>
        </w:tc>
      </w:tr>
      <w:tr w:rsidR="006C4F4E" w:rsidTr="008203EE">
        <w:tc>
          <w:tcPr>
            <w:tcW w:w="1668" w:type="dxa"/>
            <w:shd w:val="clear" w:color="auto" w:fill="C2D69B" w:themeFill="accent3" w:themeFillTint="99"/>
            <w:vAlign w:val="center"/>
          </w:tcPr>
          <w:p w:rsidR="006C4F4E" w:rsidRDefault="006C4F4E" w:rsidP="005D138A">
            <w:pPr>
              <w:pStyle w:val="Sansinterligne"/>
              <w:jc w:val="center"/>
            </w:pPr>
            <w:r>
              <w:t>Investigations</w:t>
            </w:r>
          </w:p>
        </w:tc>
        <w:tc>
          <w:tcPr>
            <w:tcW w:w="4110" w:type="dxa"/>
            <w:shd w:val="clear" w:color="auto" w:fill="FFFF00"/>
            <w:vAlign w:val="center"/>
          </w:tcPr>
          <w:p w:rsidR="006C4F4E" w:rsidRDefault="00534EAA" w:rsidP="00A85967">
            <w:pPr>
              <w:pStyle w:val="Sansinterligne"/>
              <w:jc w:val="center"/>
            </w:pPr>
            <w:r>
              <w:t>Aucune</w:t>
            </w:r>
          </w:p>
        </w:tc>
        <w:tc>
          <w:tcPr>
            <w:tcW w:w="5162" w:type="dxa"/>
          </w:tcPr>
          <w:p w:rsidR="00534EAA" w:rsidRDefault="00534EAA" w:rsidP="00AF6ADC">
            <w:pPr>
              <w:pStyle w:val="Sansinterligne"/>
              <w:numPr>
                <w:ilvl w:val="0"/>
                <w:numId w:val="1215"/>
              </w:numPr>
            </w:pPr>
            <w:r>
              <w:t>SMU-DCA</w:t>
            </w:r>
          </w:p>
          <w:p w:rsidR="00A85967" w:rsidRDefault="00A85967" w:rsidP="00AF6ADC">
            <w:pPr>
              <w:pStyle w:val="Sansinterligne"/>
              <w:numPr>
                <w:ilvl w:val="0"/>
                <w:numId w:val="1215"/>
              </w:numPr>
            </w:pPr>
            <w:r>
              <w:t>Échographie rénale et vésicale</w:t>
            </w:r>
          </w:p>
          <w:p w:rsidR="00A85967" w:rsidRDefault="00A85967" w:rsidP="00AF6ADC">
            <w:pPr>
              <w:pStyle w:val="Sansinterligne"/>
              <w:numPr>
                <w:ilvl w:val="0"/>
                <w:numId w:val="1215"/>
              </w:numPr>
            </w:pPr>
            <w:r>
              <w:t xml:space="preserve">EEG </w:t>
            </w:r>
          </w:p>
          <w:p w:rsidR="00534EAA" w:rsidRDefault="00534EAA" w:rsidP="00AF6ADC">
            <w:pPr>
              <w:pStyle w:val="Sansinterligne"/>
              <w:numPr>
                <w:ilvl w:val="0"/>
                <w:numId w:val="1215"/>
              </w:numPr>
            </w:pPr>
            <w:r>
              <w:t>Osmolarité urinaire</w:t>
            </w:r>
          </w:p>
          <w:p w:rsidR="00534EAA" w:rsidRDefault="00534EAA" w:rsidP="00AF6ADC">
            <w:pPr>
              <w:pStyle w:val="Sansinterligne"/>
              <w:numPr>
                <w:ilvl w:val="0"/>
                <w:numId w:val="1215"/>
              </w:numPr>
            </w:pPr>
            <w:r>
              <w:t>Glycémie, HbA1c</w:t>
            </w:r>
          </w:p>
        </w:tc>
      </w:tr>
      <w:tr w:rsidR="006C4F4E" w:rsidTr="008203EE">
        <w:tc>
          <w:tcPr>
            <w:tcW w:w="1668" w:type="dxa"/>
            <w:shd w:val="clear" w:color="auto" w:fill="C2D69B" w:themeFill="accent3" w:themeFillTint="99"/>
            <w:vAlign w:val="center"/>
          </w:tcPr>
          <w:p w:rsidR="006C4F4E" w:rsidRDefault="006C4F4E" w:rsidP="005D138A">
            <w:pPr>
              <w:pStyle w:val="Sansinterligne"/>
              <w:jc w:val="center"/>
            </w:pPr>
            <w:r>
              <w:lastRenderedPageBreak/>
              <w:t>Prise en charge</w:t>
            </w:r>
          </w:p>
        </w:tc>
        <w:tc>
          <w:tcPr>
            <w:tcW w:w="4110" w:type="dxa"/>
            <w:shd w:val="clear" w:color="auto" w:fill="FFFF00"/>
          </w:tcPr>
          <w:p w:rsidR="006C4F4E" w:rsidRDefault="00534EAA" w:rsidP="00AF6ADC">
            <w:pPr>
              <w:pStyle w:val="Sansinterligne"/>
              <w:numPr>
                <w:ilvl w:val="0"/>
                <w:numId w:val="1216"/>
              </w:numPr>
            </w:pPr>
            <w:r>
              <w:t xml:space="preserve">Rassurance </w:t>
            </w:r>
          </w:p>
          <w:p w:rsidR="00140E4B" w:rsidRDefault="00140E4B" w:rsidP="00AF6ADC">
            <w:pPr>
              <w:pStyle w:val="Sansinterligne"/>
              <w:numPr>
                <w:ilvl w:val="1"/>
                <w:numId w:val="1216"/>
              </w:numPr>
            </w:pPr>
            <w:r>
              <w:t>Très haut taux de résolution spontanée (20% par année)</w:t>
            </w:r>
          </w:p>
          <w:p w:rsidR="00534EAA" w:rsidRDefault="00534EAA" w:rsidP="00AF6ADC">
            <w:pPr>
              <w:pStyle w:val="Sansinterligne"/>
              <w:numPr>
                <w:ilvl w:val="1"/>
                <w:numId w:val="1216"/>
              </w:numPr>
            </w:pPr>
            <w:r>
              <w:t>Donner du temps à l’enfant</w:t>
            </w:r>
          </w:p>
          <w:p w:rsidR="009756E9" w:rsidRDefault="009756E9" w:rsidP="00AF6ADC">
            <w:pPr>
              <w:pStyle w:val="Sansinterligne"/>
              <w:numPr>
                <w:ilvl w:val="1"/>
                <w:numId w:val="1216"/>
              </w:numPr>
            </w:pPr>
            <w:r>
              <w:t>Ne pas culpabiliser l’enfant</w:t>
            </w:r>
          </w:p>
          <w:p w:rsidR="009756E9" w:rsidRDefault="009756E9" w:rsidP="00AF6ADC">
            <w:pPr>
              <w:pStyle w:val="Sansinterligne"/>
              <w:numPr>
                <w:ilvl w:val="1"/>
                <w:numId w:val="1216"/>
              </w:numPr>
            </w:pPr>
            <w:r>
              <w:t>Lui expliquer qu’il n’est pas le seul</w:t>
            </w:r>
          </w:p>
          <w:p w:rsidR="00140E4B" w:rsidRDefault="00140E4B" w:rsidP="00AF6ADC">
            <w:pPr>
              <w:pStyle w:val="Sansinterligne"/>
              <w:numPr>
                <w:ilvl w:val="1"/>
                <w:numId w:val="1216"/>
              </w:numPr>
            </w:pPr>
            <w:r>
              <w:t>Pas de traitement pharmacologique avant 7 ans</w:t>
            </w:r>
          </w:p>
          <w:p w:rsidR="00A85967" w:rsidRDefault="00A85967" w:rsidP="00AF6ADC">
            <w:pPr>
              <w:pStyle w:val="Sansinterligne"/>
              <w:numPr>
                <w:ilvl w:val="0"/>
                <w:numId w:val="1216"/>
              </w:numPr>
            </w:pPr>
            <w:r>
              <w:t>Hygiène nocturne et habitus</w:t>
            </w:r>
          </w:p>
          <w:p w:rsidR="00534EAA" w:rsidRDefault="00534EAA" w:rsidP="00AF6ADC">
            <w:pPr>
              <w:pStyle w:val="Sansinterligne"/>
              <w:numPr>
                <w:ilvl w:val="1"/>
                <w:numId w:val="1216"/>
              </w:numPr>
            </w:pPr>
            <w:r>
              <w:t>Limiter les liquides avant de dormir</w:t>
            </w:r>
          </w:p>
          <w:p w:rsidR="00534EAA" w:rsidRDefault="00534EAA" w:rsidP="00AF6ADC">
            <w:pPr>
              <w:pStyle w:val="Sansinterligne"/>
              <w:numPr>
                <w:ilvl w:val="1"/>
                <w:numId w:val="1216"/>
              </w:numPr>
            </w:pPr>
            <w:r>
              <w:t>Aller uriner avant d’aller au lit</w:t>
            </w:r>
          </w:p>
          <w:p w:rsidR="00534EAA" w:rsidRDefault="00534EAA" w:rsidP="00AF6ADC">
            <w:pPr>
              <w:pStyle w:val="Sansinterligne"/>
              <w:numPr>
                <w:ilvl w:val="0"/>
                <w:numId w:val="1216"/>
              </w:numPr>
            </w:pPr>
            <w:r>
              <w:t>Alarmes de conditionnement</w:t>
            </w:r>
          </w:p>
          <w:p w:rsidR="00534EAA" w:rsidRDefault="00534EAA" w:rsidP="00AF6ADC">
            <w:pPr>
              <w:pStyle w:val="Sansinterligne"/>
              <w:numPr>
                <w:ilvl w:val="1"/>
                <w:numId w:val="1216"/>
              </w:numPr>
            </w:pPr>
            <w:r>
              <w:t>Sonne lorsque l’enfant mouille le sous-vêtement</w:t>
            </w:r>
            <w:r w:rsidR="00A85967">
              <w:t xml:space="preserve"> </w:t>
            </w:r>
          </w:p>
          <w:p w:rsidR="00A85967" w:rsidRDefault="00534EAA" w:rsidP="00AF6ADC">
            <w:pPr>
              <w:pStyle w:val="Sansinterligne"/>
              <w:numPr>
                <w:ilvl w:val="0"/>
                <w:numId w:val="1216"/>
              </w:numPr>
            </w:pPr>
            <w:r>
              <w:t>Médications PRN lors d’évènements particulier</w:t>
            </w:r>
            <w:r w:rsidR="00A85967">
              <w:t xml:space="preserve"> (2</w:t>
            </w:r>
            <w:r w:rsidR="00A85967" w:rsidRPr="00534EAA">
              <w:rPr>
                <w:vertAlign w:val="superscript"/>
              </w:rPr>
              <w:t>e</w:t>
            </w:r>
            <w:r w:rsidR="00A85967">
              <w:t xml:space="preserve"> ligne)  </w:t>
            </w:r>
          </w:p>
          <w:p w:rsidR="00534EAA" w:rsidRDefault="00A85967" w:rsidP="00AF6ADC">
            <w:pPr>
              <w:pStyle w:val="Sansinterligne"/>
              <w:numPr>
                <w:ilvl w:val="1"/>
                <w:numId w:val="1216"/>
              </w:numPr>
            </w:pPr>
            <w:r>
              <w:t>Camps, dodo chez un ami</w:t>
            </w:r>
          </w:p>
          <w:p w:rsidR="00534EAA" w:rsidRDefault="00A85967" w:rsidP="00AF6ADC">
            <w:pPr>
              <w:pStyle w:val="Sansinterligne"/>
              <w:numPr>
                <w:ilvl w:val="1"/>
                <w:numId w:val="1216"/>
              </w:numPr>
            </w:pPr>
            <w:r>
              <w:t>Vas</w:t>
            </w:r>
            <w:r w:rsidR="00534EAA">
              <w:t>opressine (DDAVP) PO</w:t>
            </w:r>
            <w:r>
              <w:t xml:space="preserve"> ou</w:t>
            </w:r>
          </w:p>
          <w:p w:rsidR="00534EAA" w:rsidRDefault="00534EAA" w:rsidP="00AF6ADC">
            <w:pPr>
              <w:pStyle w:val="Sansinterligne"/>
              <w:numPr>
                <w:ilvl w:val="1"/>
                <w:numId w:val="1216"/>
              </w:numPr>
            </w:pPr>
            <w:r>
              <w:t>Imipramine</w:t>
            </w:r>
            <w:r w:rsidR="00A85967">
              <w:t xml:space="preserve"> PO</w:t>
            </w:r>
          </w:p>
        </w:tc>
        <w:tc>
          <w:tcPr>
            <w:tcW w:w="5162" w:type="dxa"/>
          </w:tcPr>
          <w:p w:rsidR="00534EAA" w:rsidRPr="00A85967" w:rsidRDefault="00534EAA" w:rsidP="006C4F4E">
            <w:pPr>
              <w:pStyle w:val="Sansinterligne"/>
              <w:rPr>
                <w:u w:val="single"/>
              </w:rPr>
            </w:pPr>
            <w:r w:rsidRPr="00A85967">
              <w:rPr>
                <w:u w:val="single"/>
              </w:rPr>
              <w:t>Traitement de la cause sous-jacente</w:t>
            </w:r>
          </w:p>
          <w:p w:rsidR="00A85967" w:rsidRPr="00A85967" w:rsidRDefault="00534EAA" w:rsidP="006C4F4E">
            <w:pPr>
              <w:pStyle w:val="Sansinterligne"/>
              <w:rPr>
                <w:b/>
              </w:rPr>
            </w:pPr>
            <w:r w:rsidRPr="00A85967">
              <w:rPr>
                <w:b/>
              </w:rPr>
              <w:t xml:space="preserve">Infection </w:t>
            </w:r>
          </w:p>
          <w:p w:rsidR="00534EAA" w:rsidRPr="00A85967" w:rsidRDefault="00534EAA" w:rsidP="006C4F4E">
            <w:pPr>
              <w:pStyle w:val="Sansinterligne"/>
              <w:rPr>
                <w:rFonts w:ascii="Century Gothic" w:hAnsi="Century Gothic"/>
              </w:rPr>
            </w:pPr>
            <w:r>
              <w:rPr>
                <w:rFonts w:ascii="Century Gothic" w:hAnsi="Century Gothic"/>
              </w:rPr>
              <w:t>→</w:t>
            </w:r>
            <w:r>
              <w:t xml:space="preserve"> antibiothérapie</w:t>
            </w:r>
          </w:p>
          <w:p w:rsidR="00534EAA" w:rsidRDefault="00534EAA" w:rsidP="006C4F4E">
            <w:pPr>
              <w:pStyle w:val="Sansinterligne"/>
            </w:pPr>
          </w:p>
          <w:p w:rsidR="00A85967" w:rsidRPr="00A85967" w:rsidRDefault="00534EAA" w:rsidP="006C4F4E">
            <w:pPr>
              <w:pStyle w:val="Sansinterligne"/>
              <w:rPr>
                <w:b/>
              </w:rPr>
            </w:pPr>
            <w:r w:rsidRPr="00A85967">
              <w:rPr>
                <w:b/>
              </w:rPr>
              <w:t xml:space="preserve">Valves urétérales postérieures </w:t>
            </w:r>
          </w:p>
          <w:p w:rsidR="00534EAA" w:rsidRDefault="00A85967" w:rsidP="006C4F4E">
            <w:pPr>
              <w:pStyle w:val="Sansinterligne"/>
            </w:pPr>
            <w:r>
              <w:rPr>
                <w:rFonts w:ascii="Century Gothic" w:hAnsi="Century Gothic"/>
              </w:rPr>
              <w:t>→</w:t>
            </w:r>
            <w:r>
              <w:t xml:space="preserve"> référence en urologie pédiatrique</w:t>
            </w:r>
          </w:p>
          <w:p w:rsidR="00A85967" w:rsidRDefault="00A85967" w:rsidP="006C4F4E">
            <w:pPr>
              <w:pStyle w:val="Sansinterligne"/>
            </w:pPr>
          </w:p>
          <w:p w:rsidR="00A85967" w:rsidRPr="00A85967" w:rsidRDefault="00A85967" w:rsidP="006C4F4E">
            <w:pPr>
              <w:pStyle w:val="Sansinterligne"/>
              <w:rPr>
                <w:b/>
              </w:rPr>
            </w:pPr>
            <w:r w:rsidRPr="00A85967">
              <w:rPr>
                <w:b/>
              </w:rPr>
              <w:t>Convulsions</w:t>
            </w:r>
          </w:p>
          <w:p w:rsidR="00A85967" w:rsidRDefault="00A85967" w:rsidP="006C4F4E">
            <w:pPr>
              <w:pStyle w:val="Sansinterligne"/>
            </w:pPr>
            <w:r>
              <w:rPr>
                <w:rFonts w:ascii="Century Gothic" w:hAnsi="Century Gothic"/>
              </w:rPr>
              <w:t>→</w:t>
            </w:r>
            <w:r>
              <w:t xml:space="preserve"> Traitement antiépileptique, suivi en neuro</w:t>
            </w:r>
          </w:p>
          <w:p w:rsidR="00A85967" w:rsidRDefault="00A85967" w:rsidP="006C4F4E">
            <w:pPr>
              <w:pStyle w:val="Sansinterligne"/>
            </w:pPr>
          </w:p>
          <w:p w:rsidR="00A85967" w:rsidRPr="00A85967" w:rsidRDefault="00A85967" w:rsidP="006C4F4E">
            <w:pPr>
              <w:pStyle w:val="Sansinterligne"/>
              <w:rPr>
                <w:b/>
              </w:rPr>
            </w:pPr>
            <w:r w:rsidRPr="00A85967">
              <w:rPr>
                <w:b/>
              </w:rPr>
              <w:t xml:space="preserve">Diabète mellitus ou insipide </w:t>
            </w:r>
          </w:p>
          <w:p w:rsidR="00A85967" w:rsidRDefault="00A85967" w:rsidP="006C4F4E">
            <w:pPr>
              <w:pStyle w:val="Sansinterligne"/>
            </w:pPr>
            <w:r>
              <w:rPr>
                <w:rFonts w:ascii="Century Gothic" w:hAnsi="Century Gothic"/>
              </w:rPr>
              <w:t>→</w:t>
            </w:r>
            <w:r>
              <w:t>Référence en endocrinologie pédiatrique</w:t>
            </w:r>
          </w:p>
          <w:p w:rsidR="00A85967" w:rsidRDefault="00A85967" w:rsidP="006C4F4E">
            <w:pPr>
              <w:pStyle w:val="Sansinterligne"/>
            </w:pPr>
            <w:r>
              <w:rPr>
                <w:rFonts w:ascii="Century Gothic" w:hAnsi="Century Gothic"/>
              </w:rPr>
              <w:t>→</w:t>
            </w:r>
            <w:r>
              <w:t>Insuline (DM) / DDAVP (DI)</w:t>
            </w:r>
          </w:p>
        </w:tc>
      </w:tr>
    </w:tbl>
    <w:p w:rsidR="006C4F4E" w:rsidRDefault="006C4F4E" w:rsidP="006C4F4E">
      <w:pPr>
        <w:pStyle w:val="Sansinterligne"/>
      </w:pPr>
    </w:p>
    <w:tbl>
      <w:tblPr>
        <w:tblStyle w:val="Grilledutableau"/>
        <w:tblpPr w:leftFromText="141" w:rightFromText="141" w:vertAnchor="text" w:horzAnchor="margin" w:tblpXSpec="center" w:tblpY="166"/>
        <w:tblW w:w="0" w:type="auto"/>
        <w:tblLook w:val="04A0" w:firstRow="1" w:lastRow="0" w:firstColumn="1" w:lastColumn="0" w:noHBand="0" w:noVBand="1"/>
      </w:tblPr>
      <w:tblGrid>
        <w:gridCol w:w="2518"/>
        <w:gridCol w:w="6095"/>
      </w:tblGrid>
      <w:tr w:rsidR="00140E4B" w:rsidTr="00140E4B">
        <w:tc>
          <w:tcPr>
            <w:tcW w:w="2518" w:type="dxa"/>
            <w:shd w:val="clear" w:color="auto" w:fill="FFC000"/>
          </w:tcPr>
          <w:p w:rsidR="00140E4B" w:rsidRDefault="00140E4B" w:rsidP="00140E4B">
            <w:pPr>
              <w:pStyle w:val="Sansinterligne"/>
              <w:jc w:val="center"/>
            </w:pPr>
          </w:p>
        </w:tc>
        <w:tc>
          <w:tcPr>
            <w:tcW w:w="6095" w:type="dxa"/>
            <w:shd w:val="clear" w:color="auto" w:fill="FFC000"/>
          </w:tcPr>
          <w:p w:rsidR="00140E4B" w:rsidRDefault="00140E4B" w:rsidP="00140E4B">
            <w:pPr>
              <w:pStyle w:val="Sansinterligne"/>
              <w:jc w:val="center"/>
            </w:pPr>
            <w:r>
              <w:t>Énurésie diurne</w:t>
            </w:r>
          </w:p>
        </w:tc>
      </w:tr>
      <w:tr w:rsidR="00140E4B" w:rsidTr="00140E4B">
        <w:tc>
          <w:tcPr>
            <w:tcW w:w="2518" w:type="dxa"/>
            <w:shd w:val="clear" w:color="auto" w:fill="C2D69B" w:themeFill="accent3" w:themeFillTint="99"/>
            <w:vAlign w:val="center"/>
          </w:tcPr>
          <w:p w:rsidR="00140E4B" w:rsidRDefault="00140E4B" w:rsidP="00140E4B">
            <w:pPr>
              <w:pStyle w:val="Sansinterligne"/>
              <w:jc w:val="center"/>
            </w:pPr>
            <w:r>
              <w:t>Étiologie(s)</w:t>
            </w:r>
          </w:p>
        </w:tc>
        <w:tc>
          <w:tcPr>
            <w:tcW w:w="6095" w:type="dxa"/>
          </w:tcPr>
          <w:p w:rsidR="00140E4B" w:rsidRDefault="00140E4B" w:rsidP="00AF6ADC">
            <w:pPr>
              <w:pStyle w:val="Sansinterligne"/>
              <w:numPr>
                <w:ilvl w:val="0"/>
                <w:numId w:val="1219"/>
              </w:numPr>
            </w:pPr>
            <w:r>
              <w:t>Regorgement (rétention excessive due à l’anxiété)</w:t>
            </w:r>
          </w:p>
          <w:p w:rsidR="00140E4B" w:rsidRDefault="00140E4B" w:rsidP="00AF6ADC">
            <w:pPr>
              <w:pStyle w:val="Sansinterligne"/>
              <w:numPr>
                <w:ilvl w:val="0"/>
                <w:numId w:val="1219"/>
              </w:numPr>
            </w:pPr>
            <w:r>
              <w:t>Constipation</w:t>
            </w:r>
          </w:p>
          <w:p w:rsidR="00140E4B" w:rsidRDefault="00140E4B" w:rsidP="00AF6ADC">
            <w:pPr>
              <w:pStyle w:val="Sansinterligne"/>
              <w:numPr>
                <w:ilvl w:val="0"/>
                <w:numId w:val="1219"/>
              </w:numPr>
            </w:pPr>
            <w:r>
              <w:t>Autres causes d’énurésie secondaire (voici-haut)</w:t>
            </w:r>
          </w:p>
        </w:tc>
      </w:tr>
      <w:tr w:rsidR="00140E4B" w:rsidTr="00140E4B">
        <w:tc>
          <w:tcPr>
            <w:tcW w:w="2518" w:type="dxa"/>
            <w:shd w:val="clear" w:color="auto" w:fill="C2D69B" w:themeFill="accent3" w:themeFillTint="99"/>
            <w:vAlign w:val="center"/>
          </w:tcPr>
          <w:p w:rsidR="00140E4B" w:rsidRDefault="00140E4B" w:rsidP="00140E4B">
            <w:pPr>
              <w:pStyle w:val="Sansinterligne"/>
              <w:jc w:val="center"/>
            </w:pPr>
            <w:r>
              <w:t>Manifestations cliniques</w:t>
            </w:r>
          </w:p>
        </w:tc>
        <w:tc>
          <w:tcPr>
            <w:tcW w:w="6095" w:type="dxa"/>
          </w:tcPr>
          <w:p w:rsidR="00140E4B" w:rsidRDefault="00140E4B" w:rsidP="00140E4B">
            <w:pPr>
              <w:pStyle w:val="Sansinterligne"/>
            </w:pPr>
            <w:r>
              <w:t>Selon la cause</w:t>
            </w:r>
          </w:p>
        </w:tc>
      </w:tr>
      <w:tr w:rsidR="00140E4B" w:rsidTr="00140E4B">
        <w:tc>
          <w:tcPr>
            <w:tcW w:w="2518" w:type="dxa"/>
            <w:shd w:val="clear" w:color="auto" w:fill="C2D69B" w:themeFill="accent3" w:themeFillTint="99"/>
            <w:vAlign w:val="center"/>
          </w:tcPr>
          <w:p w:rsidR="00140E4B" w:rsidRDefault="00140E4B" w:rsidP="00140E4B">
            <w:pPr>
              <w:pStyle w:val="Sansinterligne"/>
              <w:jc w:val="center"/>
            </w:pPr>
            <w:r>
              <w:t>Investigations</w:t>
            </w:r>
          </w:p>
        </w:tc>
        <w:tc>
          <w:tcPr>
            <w:tcW w:w="6095" w:type="dxa"/>
          </w:tcPr>
          <w:p w:rsidR="00140E4B" w:rsidRDefault="00140E4B" w:rsidP="00140E4B">
            <w:pPr>
              <w:pStyle w:val="Sansinterligne"/>
            </w:pPr>
            <w:r>
              <w:t>Selon la cause</w:t>
            </w:r>
          </w:p>
        </w:tc>
      </w:tr>
      <w:tr w:rsidR="00140E4B" w:rsidTr="00140E4B">
        <w:tc>
          <w:tcPr>
            <w:tcW w:w="2518" w:type="dxa"/>
            <w:shd w:val="clear" w:color="auto" w:fill="C2D69B" w:themeFill="accent3" w:themeFillTint="99"/>
            <w:vAlign w:val="center"/>
          </w:tcPr>
          <w:p w:rsidR="00140E4B" w:rsidRDefault="00140E4B" w:rsidP="00140E4B">
            <w:pPr>
              <w:pStyle w:val="Sansinterligne"/>
              <w:jc w:val="center"/>
            </w:pPr>
            <w:r>
              <w:t>Prise en charge</w:t>
            </w:r>
          </w:p>
        </w:tc>
        <w:tc>
          <w:tcPr>
            <w:tcW w:w="6095" w:type="dxa"/>
          </w:tcPr>
          <w:p w:rsidR="00140E4B" w:rsidRDefault="00140E4B" w:rsidP="00AF6ADC">
            <w:pPr>
              <w:pStyle w:val="Sansinterligne"/>
              <w:numPr>
                <w:ilvl w:val="0"/>
                <w:numId w:val="1218"/>
              </w:numPr>
              <w:ind w:left="360"/>
            </w:pPr>
            <w:r>
              <w:t>Horaire de mictions et de selles</w:t>
            </w:r>
          </w:p>
          <w:p w:rsidR="00140E4B" w:rsidRDefault="00140E4B" w:rsidP="00AF6ADC">
            <w:pPr>
              <w:pStyle w:val="Sansinterligne"/>
              <w:numPr>
                <w:ilvl w:val="0"/>
                <w:numId w:val="1217"/>
              </w:numPr>
              <w:ind w:left="360"/>
            </w:pPr>
            <w:r>
              <w:t>Double vidange (selles et urines en même temps)</w:t>
            </w:r>
          </w:p>
          <w:p w:rsidR="00140E4B" w:rsidRDefault="00140E4B" w:rsidP="00AF6ADC">
            <w:pPr>
              <w:pStyle w:val="Sansinterligne"/>
              <w:numPr>
                <w:ilvl w:val="0"/>
                <w:numId w:val="1217"/>
              </w:numPr>
              <w:ind w:left="360"/>
            </w:pPr>
            <w:r>
              <w:t>Traiter la cause sous-jacente</w:t>
            </w:r>
          </w:p>
          <w:p w:rsidR="00140E4B" w:rsidRDefault="00140E4B" w:rsidP="00AF6ADC">
            <w:pPr>
              <w:pStyle w:val="Sansinterligne"/>
              <w:numPr>
                <w:ilvl w:val="0"/>
                <w:numId w:val="1217"/>
              </w:numPr>
              <w:ind w:left="360"/>
            </w:pPr>
            <w:r>
              <w:t>Référence en urologie pédiatrique si insuffisant</w:t>
            </w:r>
          </w:p>
          <w:p w:rsidR="00140E4B" w:rsidRDefault="00140E4B" w:rsidP="00AF6ADC">
            <w:pPr>
              <w:pStyle w:val="Sansinterligne"/>
              <w:numPr>
                <w:ilvl w:val="0"/>
                <w:numId w:val="1217"/>
              </w:numPr>
              <w:ind w:left="360"/>
            </w:pPr>
            <w:r>
              <w:t>Médication parfois</w:t>
            </w:r>
          </w:p>
        </w:tc>
      </w:tr>
    </w:tbl>
    <w:p w:rsidR="006C4F4E" w:rsidRDefault="006C4F4E" w:rsidP="006C4F4E">
      <w:pPr>
        <w:pStyle w:val="Sansinterligne"/>
      </w:pPr>
    </w:p>
    <w:p w:rsidR="006C4F4E" w:rsidRDefault="006C4F4E" w:rsidP="006C4F4E">
      <w:pPr>
        <w:pStyle w:val="Sansinterligne"/>
      </w:pPr>
    </w:p>
    <w:p w:rsidR="006C4F4E" w:rsidRDefault="006C4F4E" w:rsidP="006C4F4E">
      <w:pPr>
        <w:pStyle w:val="Sansinterligne"/>
      </w:pPr>
    </w:p>
    <w:p w:rsidR="00CF337F" w:rsidRDefault="00786F71" w:rsidP="006C4F4E">
      <w:pPr>
        <w:pStyle w:val="Sansinterligne"/>
      </w:pPr>
      <w:r>
        <w:rPr>
          <w:noProof/>
          <w:lang w:eastAsia="fr-CA"/>
        </w:rPr>
        <w:drawing>
          <wp:anchor distT="0" distB="0" distL="114300" distR="114300" simplePos="0" relativeHeight="252065792" behindDoc="0" locked="0" layoutInCell="1" allowOverlap="1" wp14:anchorId="59BF7B53" wp14:editId="21EAF360">
            <wp:simplePos x="0" y="0"/>
            <wp:positionH relativeFrom="column">
              <wp:posOffset>1293428</wp:posOffset>
            </wp:positionH>
            <wp:positionV relativeFrom="paragraph">
              <wp:posOffset>1523067</wp:posOffset>
            </wp:positionV>
            <wp:extent cx="3911112" cy="2918298"/>
            <wp:effectExtent l="0" t="0" r="0" b="0"/>
            <wp:wrapNone/>
            <wp:docPr id="544" name="Image 544" descr="Résultats de recherche d'images pour « énurési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ésultats de recherche d'images pour « énurésie »"/>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3911112" cy="2918298"/>
                    </a:xfrm>
                    <a:prstGeom prst="rect">
                      <a:avLst/>
                    </a:prstGeom>
                    <a:noFill/>
                    <a:ln>
                      <a:noFill/>
                    </a:ln>
                  </pic:spPr>
                </pic:pic>
              </a:graphicData>
            </a:graphic>
            <wp14:sizeRelH relativeFrom="page">
              <wp14:pctWidth>0</wp14:pctWidth>
            </wp14:sizeRelH>
            <wp14:sizeRelV relativeFrom="page">
              <wp14:pctHeight>0</wp14:pctHeight>
            </wp14:sizeRelV>
          </wp:anchor>
        </w:drawing>
      </w:r>
      <w:r w:rsidR="00CF337F">
        <w:br w:type="page"/>
      </w:r>
    </w:p>
    <w:p w:rsidR="00D81CCE" w:rsidRDefault="00D81CCE" w:rsidP="00D81CCE">
      <w:pPr>
        <w:spacing w:after="0"/>
        <w:rPr>
          <w:rFonts w:cs="Times New Roman"/>
          <w:b/>
          <w:color w:val="548DD4" w:themeColor="text2" w:themeTint="99"/>
        </w:rPr>
      </w:pPr>
      <w:r>
        <w:rPr>
          <w:rFonts w:cs="Times New Roman"/>
          <w:b/>
          <w:color w:val="548DD4" w:themeColor="text2" w:themeTint="99"/>
        </w:rPr>
        <w:lastRenderedPageBreak/>
        <w:t>CMC 49-1</w:t>
      </w:r>
    </w:p>
    <w:bookmarkStart w:id="141" w:name="_Toc480797288"/>
    <w:p w:rsidR="00D81CCE" w:rsidRPr="00E60207" w:rsidRDefault="00D81CCE" w:rsidP="00D81CCE">
      <w:pPr>
        <w:pStyle w:val="Titre3"/>
        <w:spacing w:before="0" w:after="240"/>
        <w:rPr>
          <w:rFonts w:ascii="Times New Roman" w:hAnsi="Times New Roman" w:cs="Times New Roman"/>
        </w:rPr>
      </w:pPr>
      <w:r w:rsidRPr="00E60207">
        <w:rPr>
          <w:rFonts w:ascii="Times New Roman" w:hAnsi="Times New Roman" w:cs="Times New Roman"/>
          <w:noProof/>
          <w:lang w:eastAsia="fr-CA"/>
        </w:rPr>
        <mc:AlternateContent>
          <mc:Choice Requires="wps">
            <w:drawing>
              <wp:anchor distT="0" distB="0" distL="114300" distR="114300" simplePos="0" relativeHeight="251877376" behindDoc="0" locked="0" layoutInCell="1" allowOverlap="1" wp14:anchorId="4D8763A5" wp14:editId="5E068C81">
                <wp:simplePos x="0" y="0"/>
                <wp:positionH relativeFrom="column">
                  <wp:posOffset>-29183</wp:posOffset>
                </wp:positionH>
                <wp:positionV relativeFrom="paragraph">
                  <wp:posOffset>303908</wp:posOffset>
                </wp:positionV>
                <wp:extent cx="6867728" cy="2636196"/>
                <wp:effectExtent l="0" t="0" r="28575" b="12065"/>
                <wp:wrapNone/>
                <wp:docPr id="383" name="Rectangle 383"/>
                <wp:cNvGraphicFramePr/>
                <a:graphic xmlns:a="http://schemas.openxmlformats.org/drawingml/2006/main">
                  <a:graphicData uri="http://schemas.microsoft.com/office/word/2010/wordprocessingShape">
                    <wps:wsp>
                      <wps:cNvSpPr/>
                      <wps:spPr>
                        <a:xfrm>
                          <a:off x="0" y="0"/>
                          <a:ext cx="6867728" cy="2636196"/>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383" o:spid="_x0000_s1026" style="position:absolute;margin-left:-2.3pt;margin-top:23.95pt;width:540.75pt;height:207.55pt;z-index:2518773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" filled="f" strokecolor="black [1600]" strokeweight="2pt"/>
            </w:pict>
          </mc:Fallback>
        </mc:AlternateContent>
      </w:r>
      <w:r w:rsidRPr="00E60207">
        <w:rPr>
          <w:rFonts w:ascii="Times New Roman" w:hAnsi="Times New Roman" w:cs="Times New Roman"/>
        </w:rPr>
        <w:t>Ictère du nouveau-né</w:t>
      </w:r>
      <w:bookmarkEnd w:id="141"/>
    </w:p>
    <w:tbl>
      <w:tblPr>
        <w:tblW w:w="3858" w:type="pct"/>
        <w:tblCellSpacing w:w="0" w:type="dxa"/>
        <w:tblCellMar>
          <w:left w:w="0" w:type="dxa"/>
          <w:right w:w="0" w:type="dxa"/>
        </w:tblCellMar>
        <w:tblLook w:val="04A0" w:firstRow="1" w:lastRow="0" w:firstColumn="1" w:lastColumn="0" w:noHBand="0" w:noVBand="1"/>
      </w:tblPr>
      <w:tblGrid>
        <w:gridCol w:w="8333"/>
      </w:tblGrid>
      <w:tr w:rsidR="00D81CCE" w:rsidRPr="00D81CCE" w:rsidTr="00D81CCE">
        <w:trPr>
          <w:tblCellSpacing w:w="0" w:type="dxa"/>
        </w:trPr>
        <w:tc>
          <w:tcPr>
            <w:tcW w:w="0" w:type="auto"/>
            <w:vAlign w:val="bottom"/>
            <w:hideMark/>
          </w:tcPr>
          <w:p w:rsidR="00D81CCE" w:rsidRPr="00D81CCE" w:rsidRDefault="00D81CCE" w:rsidP="00D81CCE">
            <w:pPr>
              <w:pStyle w:val="Sansinterligne"/>
              <w:rPr>
                <w:b/>
                <w:sz w:val="18"/>
                <w:szCs w:val="18"/>
              </w:rPr>
            </w:pPr>
            <w:r w:rsidRPr="00D81CCE">
              <w:rPr>
                <w:b/>
                <w:sz w:val="18"/>
                <w:szCs w:val="18"/>
              </w:rPr>
              <w:t>Objectifs principaux</w:t>
            </w:r>
          </w:p>
        </w:tc>
      </w:tr>
    </w:tbl>
    <w:p w:rsidR="00D81CCE" w:rsidRPr="00D81CCE" w:rsidRDefault="00D81CCE" w:rsidP="00D81CCE">
      <w:pPr>
        <w:pStyle w:val="NormalWeb"/>
        <w:spacing w:after="0" w:afterAutospacing="0"/>
        <w:ind w:left="360"/>
        <w:rPr>
          <w:color w:val="000000"/>
          <w:sz w:val="18"/>
          <w:szCs w:val="18"/>
          <w:shd w:val="clear" w:color="auto" w:fill="FFFFFF"/>
        </w:rPr>
      </w:pPr>
      <w:r w:rsidRPr="00D81CCE">
        <w:rPr>
          <w:color w:val="000000"/>
          <w:sz w:val="18"/>
          <w:szCs w:val="18"/>
          <w:shd w:val="clear" w:color="auto" w:fill="FFFFFF"/>
        </w:rPr>
        <w:t>Dans le cas d'un nouveau-né présentant un ictère, le candidat devra en diagnostiquer la cause, la gravité et les complications, et mettre en place un plan de prise en charge approprié. Il faut accorder une attention particulière aux cas d'ictère d'installation rapide ou survenant dans les trois jours suivant la naissance.</w:t>
      </w:r>
    </w:p>
    <w:tbl>
      <w:tblPr>
        <w:tblW w:w="3897" w:type="pct"/>
        <w:tblCellSpacing w:w="0" w:type="dxa"/>
        <w:tblCellMar>
          <w:left w:w="0" w:type="dxa"/>
          <w:right w:w="0" w:type="dxa"/>
        </w:tblCellMar>
        <w:tblLook w:val="04A0" w:firstRow="1" w:lastRow="0" w:firstColumn="1" w:lastColumn="0" w:noHBand="0" w:noVBand="1"/>
      </w:tblPr>
      <w:tblGrid>
        <w:gridCol w:w="8418"/>
      </w:tblGrid>
      <w:tr w:rsidR="00D81CCE" w:rsidRPr="00D81CCE" w:rsidTr="00D81CCE">
        <w:trPr>
          <w:tblCellSpacing w:w="0" w:type="dxa"/>
        </w:trPr>
        <w:tc>
          <w:tcPr>
            <w:tcW w:w="0" w:type="auto"/>
            <w:vAlign w:val="bottom"/>
            <w:hideMark/>
          </w:tcPr>
          <w:p w:rsidR="00D81CCE" w:rsidRPr="00D81CCE" w:rsidRDefault="00D81CCE" w:rsidP="00D81CCE">
            <w:pPr>
              <w:pStyle w:val="Sansinterligne"/>
              <w:spacing w:before="240"/>
              <w:rPr>
                <w:b/>
                <w:sz w:val="16"/>
                <w:szCs w:val="16"/>
              </w:rPr>
            </w:pPr>
            <w:r w:rsidRPr="00D81CCE">
              <w:rPr>
                <w:b/>
                <w:sz w:val="16"/>
                <w:szCs w:val="16"/>
              </w:rPr>
              <w:t>Objectifs spécifiques</w:t>
            </w:r>
          </w:p>
        </w:tc>
      </w:tr>
    </w:tbl>
    <w:p w:rsidR="00D81CCE" w:rsidRPr="00D81CCE" w:rsidRDefault="00D81CCE" w:rsidP="00B62075">
      <w:pPr>
        <w:pStyle w:val="NormalWeb"/>
        <w:shd w:val="clear" w:color="auto" w:fill="FFFFFF"/>
        <w:ind w:left="360"/>
        <w:rPr>
          <w:color w:val="000000"/>
          <w:sz w:val="16"/>
          <w:szCs w:val="16"/>
          <w:shd w:val="clear" w:color="auto" w:fill="FFFFFF"/>
        </w:rPr>
      </w:pPr>
      <w:r w:rsidRPr="00D81CCE">
        <w:rPr>
          <w:color w:val="000000"/>
          <w:sz w:val="16"/>
          <w:szCs w:val="16"/>
          <w:shd w:val="clear" w:color="auto" w:fill="FFFFFF"/>
        </w:rPr>
        <w:t>Dans le cas d'un nouveau-né présentant un ictère, le candidat devra</w:t>
      </w:r>
    </w:p>
    <w:p w:rsidR="00D81CCE" w:rsidRPr="00D81CCE" w:rsidRDefault="00D81CCE" w:rsidP="00D81CCE">
      <w:pPr>
        <w:numPr>
          <w:ilvl w:val="0"/>
          <w:numId w:val="778"/>
        </w:numPr>
        <w:shd w:val="clear" w:color="auto" w:fill="FFFFFF"/>
        <w:spacing w:before="100" w:beforeAutospacing="1" w:after="100" w:afterAutospacing="1" w:line="240" w:lineRule="auto"/>
        <w:rPr>
          <w:rFonts w:cs="Times New Roman"/>
          <w:color w:val="000000"/>
          <w:sz w:val="16"/>
          <w:szCs w:val="16"/>
          <w:shd w:val="clear" w:color="auto" w:fill="FFFFFF"/>
        </w:rPr>
      </w:pPr>
      <w:r w:rsidRPr="00D81CCE">
        <w:rPr>
          <w:rFonts w:cs="Times New Roman"/>
          <w:color w:val="000000"/>
          <w:sz w:val="16"/>
          <w:szCs w:val="16"/>
          <w:shd w:val="clear" w:color="auto" w:fill="FFFFFF"/>
        </w:rPr>
        <w:t>énumérer et interpréter les constatations cliniques cruciales, notamment :</w:t>
      </w:r>
    </w:p>
    <w:p w:rsidR="00D81CCE" w:rsidRPr="00D81CCE" w:rsidRDefault="00D81CCE" w:rsidP="00D81CCE">
      <w:pPr>
        <w:numPr>
          <w:ilvl w:val="1"/>
          <w:numId w:val="778"/>
        </w:numPr>
        <w:shd w:val="clear" w:color="auto" w:fill="FFFFFF"/>
        <w:spacing w:before="100" w:beforeAutospacing="1" w:after="100" w:afterAutospacing="1" w:line="240" w:lineRule="auto"/>
        <w:rPr>
          <w:rFonts w:cs="Times New Roman"/>
          <w:color w:val="000000"/>
          <w:sz w:val="16"/>
          <w:szCs w:val="16"/>
          <w:shd w:val="clear" w:color="auto" w:fill="FFFFFF"/>
        </w:rPr>
      </w:pPr>
      <w:r w:rsidRPr="00D81CCE">
        <w:rPr>
          <w:rFonts w:cs="Times New Roman"/>
          <w:color w:val="000000"/>
          <w:sz w:val="16"/>
          <w:szCs w:val="16"/>
          <w:shd w:val="clear" w:color="auto" w:fill="FFFFFF"/>
        </w:rPr>
        <w:t>déterminer si le patient répond aux critères de traitement de l'ictère physiologique;</w:t>
      </w:r>
    </w:p>
    <w:p w:rsidR="00D81CCE" w:rsidRPr="00D81CCE" w:rsidRDefault="00D81CCE" w:rsidP="00D81CCE">
      <w:pPr>
        <w:numPr>
          <w:ilvl w:val="1"/>
          <w:numId w:val="778"/>
        </w:numPr>
        <w:shd w:val="clear" w:color="auto" w:fill="FFFFFF"/>
        <w:spacing w:before="100" w:beforeAutospacing="1" w:after="100" w:afterAutospacing="1" w:line="240" w:lineRule="auto"/>
        <w:rPr>
          <w:rFonts w:cs="Times New Roman"/>
          <w:color w:val="000000"/>
          <w:sz w:val="16"/>
          <w:szCs w:val="16"/>
          <w:shd w:val="clear" w:color="auto" w:fill="FFFFFF"/>
        </w:rPr>
      </w:pPr>
      <w:r w:rsidRPr="00D81CCE">
        <w:rPr>
          <w:rFonts w:cs="Times New Roman"/>
          <w:color w:val="000000"/>
          <w:sz w:val="16"/>
          <w:szCs w:val="16"/>
          <w:shd w:val="clear" w:color="auto" w:fill="FFFFFF"/>
        </w:rPr>
        <w:t>reconnaître les signes d'affections sous-jacentes graves;</w:t>
      </w:r>
    </w:p>
    <w:p w:rsidR="00D81CCE" w:rsidRPr="00D81CCE" w:rsidRDefault="00D81CCE" w:rsidP="00D81CCE">
      <w:pPr>
        <w:numPr>
          <w:ilvl w:val="0"/>
          <w:numId w:val="778"/>
        </w:numPr>
        <w:shd w:val="clear" w:color="auto" w:fill="FFFFFF"/>
        <w:spacing w:before="100" w:beforeAutospacing="1" w:after="100" w:afterAutospacing="1" w:line="240" w:lineRule="auto"/>
        <w:rPr>
          <w:rFonts w:cs="Times New Roman"/>
          <w:color w:val="000000"/>
          <w:sz w:val="16"/>
          <w:szCs w:val="16"/>
          <w:shd w:val="clear" w:color="auto" w:fill="FFFFFF"/>
        </w:rPr>
      </w:pPr>
      <w:r w:rsidRPr="00D81CCE">
        <w:rPr>
          <w:rFonts w:cs="Times New Roman"/>
          <w:color w:val="000000"/>
          <w:sz w:val="16"/>
          <w:szCs w:val="16"/>
          <w:shd w:val="clear" w:color="auto" w:fill="FFFFFF"/>
        </w:rPr>
        <w:t>énumérer et interpréter les examens essentiels, notamment :</w:t>
      </w:r>
    </w:p>
    <w:p w:rsidR="00D81CCE" w:rsidRPr="00D81CCE" w:rsidRDefault="00D81CCE" w:rsidP="00D81CCE">
      <w:pPr>
        <w:numPr>
          <w:ilvl w:val="1"/>
          <w:numId w:val="778"/>
        </w:numPr>
        <w:shd w:val="clear" w:color="auto" w:fill="FFFFFF"/>
        <w:spacing w:before="100" w:beforeAutospacing="1" w:after="100" w:afterAutospacing="1" w:line="240" w:lineRule="auto"/>
        <w:rPr>
          <w:rFonts w:cs="Times New Roman"/>
          <w:color w:val="000000"/>
          <w:sz w:val="16"/>
          <w:szCs w:val="16"/>
          <w:shd w:val="clear" w:color="auto" w:fill="FFFFFF"/>
        </w:rPr>
      </w:pPr>
      <w:r w:rsidRPr="00D81CCE">
        <w:rPr>
          <w:rFonts w:cs="Times New Roman"/>
          <w:color w:val="000000"/>
          <w:sz w:val="16"/>
          <w:szCs w:val="16"/>
          <w:shd w:val="clear" w:color="auto" w:fill="FFFFFF"/>
        </w:rPr>
        <w:t>les examens permettant de distinguer les affections associées à une hyperbilirubinémie conjuguée ou non conjuguée;</w:t>
      </w:r>
    </w:p>
    <w:p w:rsidR="00D81CCE" w:rsidRPr="00D81CCE" w:rsidRDefault="00D81CCE" w:rsidP="00D81CCE">
      <w:pPr>
        <w:numPr>
          <w:ilvl w:val="0"/>
          <w:numId w:val="778"/>
        </w:numPr>
        <w:shd w:val="clear" w:color="auto" w:fill="FFFFFF"/>
        <w:spacing w:before="100" w:beforeAutospacing="1" w:after="100" w:afterAutospacing="1" w:line="240" w:lineRule="auto"/>
        <w:rPr>
          <w:rFonts w:cs="Times New Roman"/>
          <w:color w:val="000000"/>
          <w:sz w:val="16"/>
          <w:szCs w:val="16"/>
          <w:shd w:val="clear" w:color="auto" w:fill="FFFFFF"/>
        </w:rPr>
      </w:pPr>
      <w:r w:rsidRPr="00D81CCE">
        <w:rPr>
          <w:rFonts w:cs="Times New Roman"/>
          <w:color w:val="000000"/>
          <w:sz w:val="16"/>
          <w:szCs w:val="16"/>
          <w:shd w:val="clear" w:color="auto" w:fill="FFFFFF"/>
        </w:rPr>
        <w:t>établir un plan efficace de prise en charge initiale, notamment :</w:t>
      </w:r>
    </w:p>
    <w:p w:rsidR="00D81CCE" w:rsidRPr="00D81CCE" w:rsidRDefault="00D81CCE" w:rsidP="00D81CCE">
      <w:pPr>
        <w:numPr>
          <w:ilvl w:val="1"/>
          <w:numId w:val="778"/>
        </w:numPr>
        <w:shd w:val="clear" w:color="auto" w:fill="FFFFFF"/>
        <w:spacing w:before="100" w:beforeAutospacing="1" w:after="100" w:afterAutospacing="1" w:line="240" w:lineRule="auto"/>
        <w:rPr>
          <w:rFonts w:cs="Times New Roman"/>
          <w:color w:val="000000"/>
          <w:sz w:val="16"/>
          <w:szCs w:val="16"/>
          <w:shd w:val="clear" w:color="auto" w:fill="FFFFFF"/>
        </w:rPr>
      </w:pPr>
      <w:r w:rsidRPr="00D81CCE">
        <w:rPr>
          <w:rFonts w:cs="Times New Roman"/>
          <w:color w:val="000000"/>
          <w:sz w:val="16"/>
          <w:szCs w:val="16"/>
          <w:shd w:val="clear" w:color="auto" w:fill="FFFFFF"/>
        </w:rPr>
        <w:t>assurer le traitement et le suivi en cas d'ictère physiologique;</w:t>
      </w:r>
    </w:p>
    <w:p w:rsidR="00D81CCE" w:rsidRPr="00D81CCE" w:rsidRDefault="00D81CCE" w:rsidP="00D81CCE">
      <w:pPr>
        <w:numPr>
          <w:ilvl w:val="1"/>
          <w:numId w:val="778"/>
        </w:numPr>
        <w:shd w:val="clear" w:color="auto" w:fill="FFFFFF"/>
        <w:spacing w:before="100" w:beforeAutospacing="1" w:after="100" w:afterAutospacing="1" w:line="240" w:lineRule="auto"/>
        <w:rPr>
          <w:rFonts w:cs="Times New Roman"/>
          <w:color w:val="000000"/>
          <w:sz w:val="16"/>
          <w:szCs w:val="16"/>
          <w:shd w:val="clear" w:color="auto" w:fill="FFFFFF"/>
        </w:rPr>
      </w:pPr>
      <w:r w:rsidRPr="00D81CCE">
        <w:rPr>
          <w:rFonts w:cs="Times New Roman"/>
          <w:color w:val="000000"/>
          <w:sz w:val="16"/>
          <w:szCs w:val="16"/>
          <w:shd w:val="clear" w:color="auto" w:fill="FFFFFF"/>
        </w:rPr>
        <w:t>adresser le patient aux spécialistes pertinents en cas d'ictère non physiologique;</w:t>
      </w:r>
    </w:p>
    <w:p w:rsidR="00D81CCE" w:rsidRPr="00D81CCE" w:rsidRDefault="00812BA3" w:rsidP="00D81CCE">
      <w:pPr>
        <w:numPr>
          <w:ilvl w:val="1"/>
          <w:numId w:val="778"/>
        </w:numPr>
        <w:shd w:val="clear" w:color="auto" w:fill="FFFFFF"/>
        <w:spacing w:before="100" w:beforeAutospacing="1" w:after="100" w:afterAutospacing="1" w:line="240" w:lineRule="auto"/>
        <w:rPr>
          <w:rFonts w:cs="Times New Roman"/>
          <w:color w:val="000000"/>
          <w:sz w:val="16"/>
          <w:szCs w:val="16"/>
          <w:shd w:val="clear" w:color="auto" w:fill="FFFFFF"/>
        </w:rPr>
      </w:pPr>
      <w:r>
        <w:rPr>
          <w:noProof/>
          <w:lang w:eastAsia="fr-CA"/>
        </w:rPr>
        <w:drawing>
          <wp:anchor distT="0" distB="0" distL="114300" distR="114300" simplePos="0" relativeHeight="251878400" behindDoc="0" locked="0" layoutInCell="1" allowOverlap="1" wp14:anchorId="3C49095B" wp14:editId="58F8AF64">
            <wp:simplePos x="0" y="0"/>
            <wp:positionH relativeFrom="column">
              <wp:posOffset>4385945</wp:posOffset>
            </wp:positionH>
            <wp:positionV relativeFrom="paragraph">
              <wp:posOffset>285264</wp:posOffset>
            </wp:positionV>
            <wp:extent cx="2480310" cy="2109470"/>
            <wp:effectExtent l="0" t="0" r="0" b="5080"/>
            <wp:wrapNone/>
            <wp:docPr id="384" name="Image 384" descr="Résultats de recherche d'images pour « ictère du nouveau né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ésultats de recherche d'images pour « ictère du nouveau né »"/>
                    <pic:cNvPicPr>
                      <a:picLocks noChangeAspect="1" noChangeArrowheads="1"/>
                    </pic:cNvPicPr>
                  </pic:nvPicPr>
                  <pic:blipFill rotWithShape="1">
                    <a:blip r:embed="rId142">
                      <a:extLst>
                        <a:ext uri="{28A0092B-C50C-407E-A947-70E740481C1C}">
                          <a14:useLocalDpi xmlns:a14="http://schemas.microsoft.com/office/drawing/2010/main" val="0"/>
                        </a:ext>
                      </a:extLst>
                    </a:blip>
                    <a:srcRect t="-54" r="22256" b="54"/>
                    <a:stretch/>
                  </pic:blipFill>
                  <pic:spPr bwMode="auto">
                    <a:xfrm>
                      <a:off x="0" y="0"/>
                      <a:ext cx="2480310" cy="210947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81CCE" w:rsidRPr="00D81CCE">
        <w:rPr>
          <w:rFonts w:cs="Times New Roman"/>
          <w:color w:val="000000"/>
          <w:sz w:val="16"/>
          <w:szCs w:val="16"/>
          <w:shd w:val="clear" w:color="auto" w:fill="FFFFFF"/>
        </w:rPr>
        <w:t>conseiller et rassurer les parents, selon le cas.</w:t>
      </w:r>
    </w:p>
    <w:p w:rsidR="007A3335" w:rsidRDefault="007A3335" w:rsidP="007A3335">
      <w:pPr>
        <w:pStyle w:val="Sansinterligne"/>
      </w:pPr>
    </w:p>
    <w:p w:rsidR="005372D0" w:rsidRDefault="007A3335" w:rsidP="007A3335">
      <w:pPr>
        <w:pStyle w:val="Sansinterligne"/>
        <w:rPr>
          <w:rFonts w:cs="Times New Roman"/>
        </w:rPr>
      </w:pPr>
      <w:r w:rsidRPr="007A3335">
        <w:rPr>
          <w:rFonts w:cs="Times New Roman"/>
          <w:b/>
        </w:rPr>
        <w:t>Bilirubine non-conjuguée ou indirecte</w:t>
      </w:r>
      <w:r w:rsidRPr="007A3335">
        <w:rPr>
          <w:rFonts w:cs="Times New Roman"/>
        </w:rPr>
        <w:t xml:space="preserve"> : bilirubine libre dans la circulation </w:t>
      </w:r>
    </w:p>
    <w:p w:rsidR="005372D0" w:rsidRDefault="007A3335" w:rsidP="007A3335">
      <w:pPr>
        <w:pStyle w:val="Sansinterligne"/>
        <w:rPr>
          <w:rFonts w:cs="Times New Roman"/>
        </w:rPr>
      </w:pPr>
      <w:r w:rsidRPr="007A3335">
        <w:rPr>
          <w:rFonts w:cs="Times New Roman"/>
        </w:rPr>
        <w:t>systémique résultant de la lyse de l’</w:t>
      </w:r>
      <w:r w:rsidR="005372D0" w:rsidRPr="007A3335">
        <w:rPr>
          <w:rFonts w:cs="Times New Roman"/>
        </w:rPr>
        <w:t>hème</w:t>
      </w:r>
      <w:r w:rsidRPr="007A3335">
        <w:rPr>
          <w:rFonts w:cs="Times New Roman"/>
        </w:rPr>
        <w:t xml:space="preserve"> (partie de l’hémoglobine). Peut </w:t>
      </w:r>
    </w:p>
    <w:p w:rsidR="007A3335" w:rsidRPr="007A3335" w:rsidRDefault="007A3335" w:rsidP="007A3335">
      <w:pPr>
        <w:pStyle w:val="Sansinterligne"/>
        <w:rPr>
          <w:rFonts w:cs="Times New Roman"/>
        </w:rPr>
      </w:pPr>
      <w:r w:rsidRPr="007A3335">
        <w:rPr>
          <w:rFonts w:cs="Times New Roman"/>
        </w:rPr>
        <w:t>être liée ou non à l’albumine.</w:t>
      </w:r>
    </w:p>
    <w:p w:rsidR="007A3335" w:rsidRPr="007A3335" w:rsidRDefault="007A3335" w:rsidP="007A3335">
      <w:pPr>
        <w:pStyle w:val="Sansinterligne"/>
        <w:rPr>
          <w:rFonts w:cs="Times New Roman"/>
        </w:rPr>
      </w:pPr>
    </w:p>
    <w:p w:rsidR="005372D0" w:rsidRDefault="007A3335" w:rsidP="007A3335">
      <w:pPr>
        <w:pStyle w:val="Sansinterligne"/>
        <w:rPr>
          <w:rFonts w:cs="Times New Roman"/>
        </w:rPr>
      </w:pPr>
      <w:r w:rsidRPr="007A3335">
        <w:rPr>
          <w:rFonts w:cs="Times New Roman"/>
          <w:b/>
        </w:rPr>
        <w:t>Bilirubine conjuguée ou directe</w:t>
      </w:r>
      <w:r w:rsidRPr="007A3335">
        <w:rPr>
          <w:rFonts w:cs="Times New Roman"/>
        </w:rPr>
        <w:t xml:space="preserve"> : bilirubine conjuguée au niveau du foie </w:t>
      </w:r>
    </w:p>
    <w:p w:rsidR="007A3335" w:rsidRPr="007A3335" w:rsidRDefault="007A3335" w:rsidP="007A3335">
      <w:pPr>
        <w:pStyle w:val="Sansinterligne"/>
        <w:rPr>
          <w:rFonts w:cs="Times New Roman"/>
        </w:rPr>
      </w:pPr>
      <w:r w:rsidRPr="007A3335">
        <w:rPr>
          <w:rFonts w:cs="Times New Roman"/>
        </w:rPr>
        <w:t>par les hépatocytes</w:t>
      </w:r>
      <w:r w:rsidR="002C42EE">
        <w:rPr>
          <w:rFonts w:cs="Times New Roman"/>
        </w:rPr>
        <w:t>. Excrétée dans la bile.</w:t>
      </w:r>
    </w:p>
    <w:p w:rsidR="007A3335" w:rsidRPr="007A3335" w:rsidRDefault="007A3335" w:rsidP="007A3335">
      <w:pPr>
        <w:pStyle w:val="Sansinterligne"/>
        <w:rPr>
          <w:rFonts w:cs="Times New Roman"/>
        </w:rPr>
      </w:pPr>
    </w:p>
    <w:p w:rsidR="005372D0" w:rsidRDefault="007A3335" w:rsidP="007A3335">
      <w:pPr>
        <w:pStyle w:val="Sansinterligne"/>
        <w:rPr>
          <w:rFonts w:cs="Times New Roman"/>
        </w:rPr>
      </w:pPr>
      <w:r w:rsidRPr="007A3335">
        <w:rPr>
          <w:rFonts w:cs="Times New Roman"/>
          <w:b/>
        </w:rPr>
        <w:t>Ictère </w:t>
      </w:r>
      <w:r w:rsidRPr="007A3335">
        <w:rPr>
          <w:rFonts w:cs="Times New Roman"/>
        </w:rPr>
        <w:t xml:space="preserve">: coloration jaunâtre de la peau et des muqueuses secondaire à </w:t>
      </w:r>
    </w:p>
    <w:p w:rsidR="007A3335" w:rsidRPr="007A3335" w:rsidRDefault="007A3335" w:rsidP="007A3335">
      <w:pPr>
        <w:pStyle w:val="Sansinterligne"/>
        <w:rPr>
          <w:rFonts w:cs="Times New Roman"/>
        </w:rPr>
      </w:pPr>
      <w:r w:rsidRPr="007A3335">
        <w:rPr>
          <w:rFonts w:cs="Times New Roman"/>
        </w:rPr>
        <w:t>l’accumulation de bilirubine</w:t>
      </w:r>
      <w:r w:rsidR="007F117D">
        <w:rPr>
          <w:rFonts w:cs="Times New Roman"/>
        </w:rPr>
        <w:t xml:space="preserve"> </w:t>
      </w:r>
      <w:r w:rsidR="007F117D">
        <w:rPr>
          <w:rFonts w:ascii="Century Gothic" w:hAnsi="Century Gothic" w:cs="Times New Roman"/>
        </w:rPr>
        <w:t>≥</w:t>
      </w:r>
      <w:r w:rsidR="007F117D">
        <w:rPr>
          <w:rFonts w:cs="Times New Roman"/>
        </w:rPr>
        <w:t xml:space="preserve"> 85 </w:t>
      </w:r>
      <w:r w:rsidR="007F117D">
        <w:rPr>
          <w:rFonts w:ascii="Century Gothic" w:hAnsi="Century Gothic" w:cs="Times New Roman"/>
        </w:rPr>
        <w:t>μ</w:t>
      </w:r>
      <w:r w:rsidR="007F117D">
        <w:rPr>
          <w:rFonts w:cs="Times New Roman"/>
        </w:rPr>
        <w:t>mol/L</w:t>
      </w:r>
      <w:r w:rsidRPr="007A3335">
        <w:rPr>
          <w:rFonts w:cs="Times New Roman"/>
        </w:rPr>
        <w:t xml:space="preserve"> (indirecte et/ou directe)</w:t>
      </w:r>
      <w:r w:rsidR="007F117D">
        <w:rPr>
          <w:rFonts w:cs="Times New Roman"/>
        </w:rPr>
        <w:t xml:space="preserve"> </w:t>
      </w:r>
    </w:p>
    <w:p w:rsidR="007A3335" w:rsidRDefault="007A3335" w:rsidP="007A3335">
      <w:pPr>
        <w:pStyle w:val="Sansinterligne"/>
        <w:rPr>
          <w:rFonts w:eastAsia="Times New Roman" w:cs="Times New Roman"/>
          <w:color w:val="000000"/>
          <w:lang w:eastAsia="fr-CA"/>
        </w:rPr>
      </w:pPr>
    </w:p>
    <w:p w:rsidR="005372D0" w:rsidRPr="007A3335" w:rsidRDefault="005372D0" w:rsidP="007A3335">
      <w:pPr>
        <w:pStyle w:val="Sansinterligne"/>
        <w:rPr>
          <w:rFonts w:eastAsia="Times New Roman" w:cs="Times New Roman"/>
          <w:color w:val="000000"/>
          <w:lang w:eastAsia="fr-CA"/>
        </w:rPr>
      </w:pPr>
    </w:p>
    <w:p w:rsidR="007A3335" w:rsidRPr="00812BA3" w:rsidRDefault="007A3335" w:rsidP="007A3335">
      <w:pPr>
        <w:pStyle w:val="Sansinterligne"/>
        <w:rPr>
          <w:rFonts w:eastAsia="Times New Roman" w:cs="Times New Roman"/>
          <w:b/>
          <w:color w:val="000000"/>
          <w:sz w:val="28"/>
          <w:szCs w:val="28"/>
          <w:lang w:eastAsia="fr-CA"/>
        </w:rPr>
      </w:pPr>
      <w:r>
        <w:rPr>
          <w:rFonts w:eastAsia="Times New Roman" w:cs="Times New Roman"/>
          <w:b/>
          <w:color w:val="000000"/>
          <w:sz w:val="28"/>
          <w:szCs w:val="28"/>
          <w:lang w:eastAsia="fr-CA"/>
        </w:rPr>
        <w:t>Diagnostics</w:t>
      </w:r>
      <w:r w:rsidR="0068583C">
        <w:rPr>
          <w:rFonts w:eastAsia="Times New Roman" w:cs="Times New Roman"/>
          <w:b/>
          <w:color w:val="000000"/>
          <w:sz w:val="28"/>
          <w:szCs w:val="28"/>
          <w:lang w:eastAsia="fr-CA"/>
        </w:rPr>
        <w:t xml:space="preserve"> (liste non-exhaustive)</w:t>
      </w:r>
    </w:p>
    <w:tbl>
      <w:tblPr>
        <w:tblStyle w:val="Grilledutableau"/>
        <w:tblW w:w="0" w:type="auto"/>
        <w:tblLook w:val="04A0" w:firstRow="1" w:lastRow="0" w:firstColumn="1" w:lastColumn="0" w:noHBand="0" w:noVBand="1"/>
      </w:tblPr>
      <w:tblGrid>
        <w:gridCol w:w="482"/>
        <w:gridCol w:w="2745"/>
        <w:gridCol w:w="4394"/>
        <w:gridCol w:w="284"/>
        <w:gridCol w:w="3111"/>
      </w:tblGrid>
      <w:tr w:rsidR="0068583C" w:rsidTr="00BF7956">
        <w:tc>
          <w:tcPr>
            <w:tcW w:w="11016" w:type="dxa"/>
            <w:gridSpan w:val="5"/>
            <w:shd w:val="clear" w:color="auto" w:fill="FFC000"/>
          </w:tcPr>
          <w:p w:rsidR="0068583C" w:rsidRPr="00BF7956" w:rsidRDefault="0068583C" w:rsidP="001A4606">
            <w:pPr>
              <w:pStyle w:val="Sansinterligne"/>
              <w:jc w:val="center"/>
              <w:rPr>
                <w:rFonts w:eastAsia="Times New Roman" w:cs="Times New Roman"/>
                <w:color w:val="000000"/>
                <w:lang w:eastAsia="fr-CA"/>
              </w:rPr>
            </w:pPr>
            <w:r w:rsidRPr="00BF7956">
              <w:rPr>
                <w:rFonts w:eastAsia="Times New Roman" w:cs="Times New Roman"/>
                <w:color w:val="000000"/>
                <w:lang w:eastAsia="fr-CA"/>
              </w:rPr>
              <w:t>Hyperbilirubinémie non-conjuguée</w:t>
            </w:r>
          </w:p>
        </w:tc>
      </w:tr>
      <w:tr w:rsidR="003F402A" w:rsidTr="003F402A">
        <w:tc>
          <w:tcPr>
            <w:tcW w:w="482" w:type="dxa"/>
            <w:shd w:val="clear" w:color="auto" w:fill="000000" w:themeFill="text1"/>
            <w:textDirection w:val="btLr"/>
            <w:vAlign w:val="center"/>
          </w:tcPr>
          <w:p w:rsidR="00871A71" w:rsidRPr="00BF7956" w:rsidRDefault="00871A71" w:rsidP="0068583C">
            <w:pPr>
              <w:pStyle w:val="Sansinterligne"/>
              <w:ind w:left="113" w:right="113"/>
              <w:jc w:val="center"/>
              <w:rPr>
                <w:rFonts w:eastAsia="Times New Roman" w:cs="Times New Roman"/>
                <w:color w:val="000000"/>
                <w:lang w:eastAsia="fr-CA"/>
              </w:rPr>
            </w:pPr>
          </w:p>
        </w:tc>
        <w:tc>
          <w:tcPr>
            <w:tcW w:w="2745" w:type="dxa"/>
          </w:tcPr>
          <w:p w:rsidR="00871A71" w:rsidRPr="00E04E6B" w:rsidRDefault="00871A71" w:rsidP="00E04E6B">
            <w:pPr>
              <w:pStyle w:val="Sansinterligne"/>
              <w:jc w:val="center"/>
              <w:rPr>
                <w:rFonts w:eastAsia="Times New Roman" w:cs="Times New Roman"/>
                <w:i/>
                <w:color w:val="000000"/>
                <w:lang w:eastAsia="fr-CA"/>
              </w:rPr>
            </w:pPr>
            <w:r w:rsidRPr="00E04E6B">
              <w:rPr>
                <w:rFonts w:eastAsia="Times New Roman" w:cs="Times New Roman"/>
                <w:i/>
                <w:color w:val="000000"/>
                <w:lang w:eastAsia="fr-CA"/>
              </w:rPr>
              <w:t>Diagnostics</w:t>
            </w:r>
          </w:p>
        </w:tc>
        <w:tc>
          <w:tcPr>
            <w:tcW w:w="4394" w:type="dxa"/>
          </w:tcPr>
          <w:p w:rsidR="00871A71" w:rsidRPr="00E04E6B" w:rsidRDefault="00871A71" w:rsidP="00E04E6B">
            <w:pPr>
              <w:pStyle w:val="Sansinterligne"/>
              <w:jc w:val="center"/>
              <w:rPr>
                <w:rFonts w:eastAsia="Times New Roman" w:cs="Times New Roman"/>
                <w:i/>
                <w:color w:val="000000"/>
                <w:lang w:eastAsia="fr-CA"/>
              </w:rPr>
            </w:pPr>
            <w:r w:rsidRPr="00E04E6B">
              <w:rPr>
                <w:rFonts w:eastAsia="Times New Roman" w:cs="Times New Roman"/>
                <w:i/>
                <w:color w:val="000000"/>
                <w:lang w:eastAsia="fr-CA"/>
              </w:rPr>
              <w:t>Manifestations cliniques</w:t>
            </w:r>
          </w:p>
        </w:tc>
        <w:tc>
          <w:tcPr>
            <w:tcW w:w="3395" w:type="dxa"/>
            <w:gridSpan w:val="2"/>
          </w:tcPr>
          <w:p w:rsidR="00871A71" w:rsidRPr="00E04E6B" w:rsidRDefault="00871A71" w:rsidP="00E04E6B">
            <w:pPr>
              <w:pStyle w:val="Sansinterligne"/>
              <w:jc w:val="center"/>
              <w:rPr>
                <w:rFonts w:eastAsia="Times New Roman" w:cs="Times New Roman"/>
                <w:i/>
                <w:color w:val="000000"/>
                <w:lang w:eastAsia="fr-CA"/>
              </w:rPr>
            </w:pPr>
            <w:r w:rsidRPr="00E04E6B">
              <w:rPr>
                <w:rFonts w:eastAsia="Times New Roman" w:cs="Times New Roman"/>
                <w:i/>
                <w:color w:val="000000"/>
                <w:lang w:eastAsia="fr-CA"/>
              </w:rPr>
              <w:t>Valeurs de laboratoire /examens</w:t>
            </w:r>
          </w:p>
        </w:tc>
      </w:tr>
      <w:tr w:rsidR="00AF0C63" w:rsidTr="003F402A">
        <w:tc>
          <w:tcPr>
            <w:tcW w:w="482" w:type="dxa"/>
            <w:vMerge w:val="restart"/>
            <w:shd w:val="clear" w:color="auto" w:fill="FBD4B4" w:themeFill="accent6" w:themeFillTint="66"/>
            <w:textDirection w:val="btLr"/>
            <w:vAlign w:val="center"/>
          </w:tcPr>
          <w:p w:rsidR="0068583C" w:rsidRPr="00CD62AF" w:rsidRDefault="0068583C" w:rsidP="0068583C">
            <w:pPr>
              <w:pStyle w:val="Sansinterligne"/>
              <w:ind w:left="113" w:right="113"/>
              <w:jc w:val="center"/>
              <w:rPr>
                <w:rFonts w:eastAsia="Times New Roman" w:cs="Times New Roman"/>
                <w:b/>
                <w:color w:val="000000"/>
                <w:lang w:eastAsia="fr-CA"/>
              </w:rPr>
            </w:pPr>
            <w:r w:rsidRPr="00CD62AF">
              <w:rPr>
                <w:rFonts w:eastAsia="Times New Roman" w:cs="Times New Roman"/>
                <w:b/>
                <w:color w:val="000000"/>
                <w:lang w:eastAsia="fr-CA"/>
              </w:rPr>
              <w:t xml:space="preserve">Diminution de </w:t>
            </w:r>
            <w:r w:rsidR="00CD62AF">
              <w:rPr>
                <w:rFonts w:eastAsia="Times New Roman" w:cs="Times New Roman"/>
                <w:b/>
                <w:color w:val="000000"/>
                <w:lang w:eastAsia="fr-CA"/>
              </w:rPr>
              <w:t xml:space="preserve">la </w:t>
            </w:r>
            <w:r w:rsidRPr="00CD62AF">
              <w:rPr>
                <w:rFonts w:eastAsia="Times New Roman" w:cs="Times New Roman"/>
                <w:b/>
                <w:color w:val="000000"/>
                <w:lang w:eastAsia="fr-CA"/>
              </w:rPr>
              <w:t>conjugaison</w:t>
            </w:r>
          </w:p>
        </w:tc>
        <w:tc>
          <w:tcPr>
            <w:tcW w:w="2745" w:type="dxa"/>
            <w:shd w:val="clear" w:color="auto" w:fill="FFFF00"/>
            <w:vAlign w:val="center"/>
          </w:tcPr>
          <w:p w:rsidR="0068583C" w:rsidRPr="00BF7956" w:rsidRDefault="0068583C" w:rsidP="001B0DCD">
            <w:pPr>
              <w:pStyle w:val="Sansinterligne"/>
              <w:jc w:val="center"/>
              <w:rPr>
                <w:rFonts w:eastAsia="Times New Roman" w:cs="Times New Roman"/>
                <w:color w:val="000000"/>
                <w:lang w:eastAsia="fr-CA"/>
              </w:rPr>
            </w:pPr>
            <w:r w:rsidRPr="00BF7956">
              <w:rPr>
                <w:rFonts w:eastAsia="Times New Roman" w:cs="Times New Roman"/>
                <w:color w:val="000000"/>
                <w:lang w:eastAsia="fr-CA"/>
              </w:rPr>
              <w:t xml:space="preserve">Ictère physiologique </w:t>
            </w:r>
            <w:r w:rsidR="00871A71">
              <w:rPr>
                <w:rFonts w:eastAsia="Times New Roman" w:cs="Times New Roman"/>
                <w:color w:val="000000"/>
                <w:lang w:eastAsia="fr-CA"/>
              </w:rPr>
              <w:t xml:space="preserve">          </w:t>
            </w:r>
            <w:r w:rsidRPr="00BF7956">
              <w:rPr>
                <w:rFonts w:eastAsia="Times New Roman" w:cs="Times New Roman"/>
                <w:color w:val="000000"/>
                <w:lang w:eastAsia="fr-CA"/>
              </w:rPr>
              <w:t>(non-pathologique)</w:t>
            </w:r>
          </w:p>
        </w:tc>
        <w:tc>
          <w:tcPr>
            <w:tcW w:w="4394" w:type="dxa"/>
            <w:shd w:val="clear" w:color="auto" w:fill="FFFF00"/>
          </w:tcPr>
          <w:p w:rsidR="003521A5" w:rsidRDefault="003521A5" w:rsidP="00000B90">
            <w:pPr>
              <w:pStyle w:val="Sansinterligne"/>
              <w:numPr>
                <w:ilvl w:val="0"/>
                <w:numId w:val="781"/>
              </w:numPr>
              <w:rPr>
                <w:rFonts w:eastAsia="Times New Roman" w:cs="Times New Roman"/>
                <w:color w:val="000000"/>
                <w:lang w:eastAsia="fr-CA"/>
              </w:rPr>
            </w:pPr>
            <w:r>
              <w:rPr>
                <w:rFonts w:eastAsia="Times New Roman" w:cs="Times New Roman"/>
                <w:color w:val="000000"/>
                <w:lang w:eastAsia="fr-CA"/>
              </w:rPr>
              <w:t xml:space="preserve">~ 60% des nouveaux-nés </w:t>
            </w:r>
          </w:p>
          <w:p w:rsidR="0068583C" w:rsidRDefault="007F117D" w:rsidP="00000B90">
            <w:pPr>
              <w:pStyle w:val="Sansinterligne"/>
              <w:numPr>
                <w:ilvl w:val="0"/>
                <w:numId w:val="781"/>
              </w:numPr>
              <w:rPr>
                <w:rFonts w:eastAsia="Times New Roman" w:cs="Times New Roman"/>
                <w:color w:val="000000"/>
                <w:lang w:eastAsia="fr-CA"/>
              </w:rPr>
            </w:pPr>
            <w:r>
              <w:rPr>
                <w:rFonts w:eastAsia="Times New Roman" w:cs="Times New Roman"/>
                <w:color w:val="000000"/>
                <w:lang w:eastAsia="fr-CA"/>
              </w:rPr>
              <w:t>Ictère apparaissant 24-48h après la naissance</w:t>
            </w:r>
          </w:p>
          <w:p w:rsidR="007F117D" w:rsidRDefault="007F117D" w:rsidP="00000B90">
            <w:pPr>
              <w:pStyle w:val="Sansinterligne"/>
              <w:numPr>
                <w:ilvl w:val="0"/>
                <w:numId w:val="781"/>
              </w:numPr>
              <w:rPr>
                <w:rFonts w:eastAsia="Times New Roman" w:cs="Times New Roman"/>
                <w:color w:val="000000"/>
                <w:lang w:eastAsia="fr-CA"/>
              </w:rPr>
            </w:pPr>
            <w:r>
              <w:rPr>
                <w:rFonts w:eastAsia="Times New Roman" w:cs="Times New Roman"/>
                <w:color w:val="000000"/>
                <w:lang w:eastAsia="fr-CA"/>
              </w:rPr>
              <w:t>Maximal à 3-4 jours de vie</w:t>
            </w:r>
          </w:p>
          <w:p w:rsidR="007F117D" w:rsidRDefault="007F117D" w:rsidP="00000B90">
            <w:pPr>
              <w:pStyle w:val="Sansinterligne"/>
              <w:numPr>
                <w:ilvl w:val="0"/>
                <w:numId w:val="781"/>
              </w:numPr>
              <w:rPr>
                <w:rFonts w:eastAsia="Times New Roman" w:cs="Times New Roman"/>
                <w:color w:val="000000"/>
                <w:lang w:eastAsia="fr-CA"/>
              </w:rPr>
            </w:pPr>
            <w:r>
              <w:rPr>
                <w:rFonts w:eastAsia="Times New Roman" w:cs="Times New Roman"/>
                <w:color w:val="000000"/>
                <w:lang w:eastAsia="fr-CA"/>
              </w:rPr>
              <w:t>Disparation après 7 jours</w:t>
            </w:r>
          </w:p>
          <w:p w:rsidR="003A5A8F" w:rsidRPr="00630536" w:rsidRDefault="00BE7F82" w:rsidP="00000B90">
            <w:pPr>
              <w:pStyle w:val="Sansinterligne"/>
              <w:numPr>
                <w:ilvl w:val="0"/>
                <w:numId w:val="781"/>
              </w:numPr>
              <w:rPr>
                <w:rFonts w:eastAsia="Times New Roman" w:cs="Times New Roman"/>
                <w:color w:val="000000"/>
                <w:lang w:eastAsia="fr-CA"/>
              </w:rPr>
            </w:pPr>
            <w:r>
              <w:rPr>
                <w:rFonts w:eastAsia="Times New Roman" w:cs="Times New Roman"/>
                <w:color w:val="000000"/>
                <w:lang w:eastAsia="fr-CA"/>
              </w:rPr>
              <w:t xml:space="preserve">FR : Asiatiques, Premières nations, diabète </w:t>
            </w:r>
            <w:r w:rsidR="005E353C">
              <w:rPr>
                <w:rFonts w:eastAsia="Times New Roman" w:cs="Times New Roman"/>
                <w:color w:val="000000"/>
                <w:lang w:eastAsia="fr-CA"/>
              </w:rPr>
              <w:t>gestationnel</w:t>
            </w:r>
            <w:r>
              <w:rPr>
                <w:rFonts w:eastAsia="Times New Roman" w:cs="Times New Roman"/>
                <w:color w:val="000000"/>
                <w:lang w:eastAsia="fr-CA"/>
              </w:rPr>
              <w:t>, allaitement, trauma natal, prématurité, allaitement difficile, polycythémie, infection, etc.</w:t>
            </w:r>
          </w:p>
        </w:tc>
        <w:tc>
          <w:tcPr>
            <w:tcW w:w="3395" w:type="dxa"/>
            <w:gridSpan w:val="2"/>
            <w:shd w:val="clear" w:color="auto" w:fill="FFFF00"/>
          </w:tcPr>
          <w:p w:rsidR="0068583C" w:rsidRDefault="003521A5" w:rsidP="00000B90">
            <w:pPr>
              <w:pStyle w:val="Sansinterligne"/>
              <w:numPr>
                <w:ilvl w:val="0"/>
                <w:numId w:val="780"/>
              </w:numPr>
              <w:rPr>
                <w:rFonts w:cs="Times New Roman"/>
              </w:rPr>
            </w:pPr>
            <w:r>
              <w:rPr>
                <w:rFonts w:ascii="Century Gothic" w:eastAsia="Times New Roman" w:hAnsi="Century Gothic" w:cs="Times New Roman"/>
                <w:color w:val="000000"/>
                <w:lang w:eastAsia="fr-CA"/>
              </w:rPr>
              <w:t>↑</w:t>
            </w:r>
            <w:r w:rsidR="003A5A8F" w:rsidRPr="00357346">
              <w:rPr>
                <w:rFonts w:eastAsia="Times New Roman" w:cs="Times New Roman"/>
                <w:color w:val="000000"/>
                <w:lang w:eastAsia="fr-CA"/>
              </w:rPr>
              <w:t xml:space="preserve"> &lt; </w:t>
            </w:r>
            <w:r w:rsidR="003A5A8F" w:rsidRPr="00357346">
              <w:rPr>
                <w:rFonts w:cs="Times New Roman"/>
              </w:rPr>
              <w:t xml:space="preserve">85 </w:t>
            </w:r>
            <w:r w:rsidR="003A5A8F">
              <w:rPr>
                <w:rFonts w:ascii="Century Gothic" w:hAnsi="Century Gothic" w:cs="Times New Roman"/>
              </w:rPr>
              <w:t>μ</w:t>
            </w:r>
            <w:r w:rsidR="003A5A8F">
              <w:rPr>
                <w:rFonts w:cs="Times New Roman"/>
              </w:rPr>
              <w:t>mol/L/24h</w:t>
            </w:r>
          </w:p>
          <w:p w:rsidR="003A5A8F" w:rsidRDefault="003A5A8F" w:rsidP="00000B90">
            <w:pPr>
              <w:pStyle w:val="Sansinterligne"/>
              <w:numPr>
                <w:ilvl w:val="0"/>
                <w:numId w:val="780"/>
              </w:numPr>
              <w:rPr>
                <w:rFonts w:cs="Times New Roman"/>
              </w:rPr>
            </w:pPr>
            <w:r>
              <w:rPr>
                <w:rFonts w:cs="Times New Roman"/>
              </w:rPr>
              <w:t xml:space="preserve">Bilirubine non-conjuguée (NCJ) </w:t>
            </w:r>
            <w:r>
              <w:rPr>
                <w:rFonts w:ascii="Century Gothic" w:hAnsi="Century Gothic" w:cs="Times New Roman"/>
              </w:rPr>
              <w:t>&lt;</w:t>
            </w:r>
            <w:r>
              <w:rPr>
                <w:rFonts w:cs="Times New Roman"/>
              </w:rPr>
              <w:t xml:space="preserve"> 250 chez bébé allaité et </w:t>
            </w:r>
            <w:r>
              <w:rPr>
                <w:rFonts w:ascii="Century Gothic" w:hAnsi="Century Gothic" w:cs="Times New Roman"/>
              </w:rPr>
              <w:t>&lt;</w:t>
            </w:r>
            <w:r>
              <w:rPr>
                <w:rFonts w:cs="Times New Roman"/>
              </w:rPr>
              <w:t xml:space="preserve"> 200 chez bébé au lait commercial</w:t>
            </w:r>
          </w:p>
          <w:p w:rsidR="003A5A8F" w:rsidRDefault="003A5A8F" w:rsidP="00000B90">
            <w:pPr>
              <w:pStyle w:val="Sansinterligne"/>
              <w:numPr>
                <w:ilvl w:val="0"/>
                <w:numId w:val="780"/>
              </w:numPr>
              <w:rPr>
                <w:rFonts w:eastAsia="Times New Roman" w:cs="Times New Roman"/>
                <w:color w:val="000000"/>
                <w:lang w:eastAsia="fr-CA"/>
              </w:rPr>
            </w:pPr>
            <w:r w:rsidRPr="00F207E0">
              <w:rPr>
                <w:rFonts w:cs="Times New Roman"/>
              </w:rPr>
              <w:t xml:space="preserve">Bilirubine conjuguée (CJ) </w:t>
            </w:r>
            <w:r w:rsidRPr="00F207E0">
              <w:rPr>
                <w:rFonts w:ascii="Century Gothic" w:hAnsi="Century Gothic" w:cs="Times New Roman"/>
              </w:rPr>
              <w:t>&lt;</w:t>
            </w:r>
            <w:r w:rsidRPr="00F207E0">
              <w:rPr>
                <w:rFonts w:cs="Times New Roman"/>
              </w:rPr>
              <w:t xml:space="preserve"> 17 </w:t>
            </w:r>
            <w:r w:rsidRPr="00F207E0">
              <w:rPr>
                <w:rFonts w:ascii="Century Gothic" w:hAnsi="Century Gothic" w:cs="Times New Roman"/>
              </w:rPr>
              <w:t>μ</w:t>
            </w:r>
            <w:r w:rsidRPr="00F207E0">
              <w:rPr>
                <w:rFonts w:cs="Times New Roman"/>
              </w:rPr>
              <w:t>mol/L</w:t>
            </w:r>
          </w:p>
        </w:tc>
      </w:tr>
      <w:tr w:rsidR="00871A71" w:rsidTr="003F402A">
        <w:tc>
          <w:tcPr>
            <w:tcW w:w="482" w:type="dxa"/>
            <w:vMerge/>
            <w:shd w:val="clear" w:color="auto" w:fill="FBD4B4" w:themeFill="accent6" w:themeFillTint="66"/>
            <w:vAlign w:val="center"/>
          </w:tcPr>
          <w:p w:rsidR="0068583C" w:rsidRPr="00BF7956" w:rsidRDefault="0068583C" w:rsidP="0068583C">
            <w:pPr>
              <w:pStyle w:val="Sansinterligne"/>
              <w:jc w:val="center"/>
              <w:rPr>
                <w:rFonts w:eastAsia="Times New Roman" w:cs="Times New Roman"/>
                <w:color w:val="000000"/>
                <w:lang w:eastAsia="fr-CA"/>
              </w:rPr>
            </w:pPr>
          </w:p>
        </w:tc>
        <w:tc>
          <w:tcPr>
            <w:tcW w:w="2745" w:type="dxa"/>
            <w:vAlign w:val="center"/>
          </w:tcPr>
          <w:p w:rsidR="0068583C" w:rsidRPr="00BF7956" w:rsidRDefault="0068583C" w:rsidP="001B0DCD">
            <w:pPr>
              <w:pStyle w:val="Sansinterligne"/>
              <w:jc w:val="center"/>
              <w:rPr>
                <w:rFonts w:eastAsia="Times New Roman" w:cs="Times New Roman"/>
                <w:color w:val="000000"/>
                <w:lang w:eastAsia="fr-CA"/>
              </w:rPr>
            </w:pPr>
            <w:r w:rsidRPr="00BF7956">
              <w:rPr>
                <w:rFonts w:eastAsia="Times New Roman" w:cs="Times New Roman"/>
                <w:color w:val="000000"/>
                <w:lang w:eastAsia="fr-CA"/>
              </w:rPr>
              <w:t>Ictère au lait maternel</w:t>
            </w:r>
          </w:p>
        </w:tc>
        <w:tc>
          <w:tcPr>
            <w:tcW w:w="4394" w:type="dxa"/>
          </w:tcPr>
          <w:p w:rsidR="003521A5" w:rsidRDefault="003521A5" w:rsidP="00000B90">
            <w:pPr>
              <w:pStyle w:val="Sansinterligne"/>
              <w:numPr>
                <w:ilvl w:val="0"/>
                <w:numId w:val="782"/>
              </w:numPr>
              <w:rPr>
                <w:rFonts w:eastAsia="Times New Roman" w:cs="Times New Roman"/>
                <w:color w:val="000000"/>
                <w:lang w:eastAsia="fr-CA"/>
              </w:rPr>
            </w:pPr>
            <w:r>
              <w:rPr>
                <w:rFonts w:eastAsia="Times New Roman" w:cs="Times New Roman"/>
                <w:color w:val="000000"/>
                <w:lang w:eastAsia="fr-CA"/>
              </w:rPr>
              <w:t>Survient vers 7 jours de vie</w:t>
            </w:r>
          </w:p>
          <w:p w:rsidR="003521A5" w:rsidRDefault="003521A5" w:rsidP="00000B90">
            <w:pPr>
              <w:pStyle w:val="Sansinterligne"/>
              <w:numPr>
                <w:ilvl w:val="0"/>
                <w:numId w:val="782"/>
              </w:numPr>
              <w:rPr>
                <w:rFonts w:eastAsia="Times New Roman" w:cs="Times New Roman"/>
                <w:color w:val="000000"/>
                <w:lang w:eastAsia="fr-CA"/>
              </w:rPr>
            </w:pPr>
            <w:r>
              <w:rPr>
                <w:rFonts w:eastAsia="Times New Roman" w:cs="Times New Roman"/>
                <w:color w:val="000000"/>
                <w:lang w:eastAsia="fr-CA"/>
              </w:rPr>
              <w:t>Maximal vers 2-3 semaines</w:t>
            </w:r>
          </w:p>
          <w:p w:rsidR="003521A5" w:rsidRPr="00BF7956" w:rsidRDefault="003521A5" w:rsidP="00000B90">
            <w:pPr>
              <w:pStyle w:val="Sansinterligne"/>
              <w:numPr>
                <w:ilvl w:val="0"/>
                <w:numId w:val="782"/>
              </w:numPr>
              <w:rPr>
                <w:rFonts w:eastAsia="Times New Roman" w:cs="Times New Roman"/>
                <w:color w:val="000000"/>
                <w:lang w:eastAsia="fr-CA"/>
              </w:rPr>
            </w:pPr>
            <w:r>
              <w:rPr>
                <w:rFonts w:eastAsia="Times New Roman" w:cs="Times New Roman"/>
                <w:color w:val="000000"/>
                <w:lang w:eastAsia="fr-CA"/>
              </w:rPr>
              <w:t>Résolution vers 6 semaines</w:t>
            </w:r>
          </w:p>
        </w:tc>
        <w:tc>
          <w:tcPr>
            <w:tcW w:w="3395" w:type="dxa"/>
            <w:gridSpan w:val="2"/>
          </w:tcPr>
          <w:p w:rsidR="0068583C" w:rsidRDefault="003521A5" w:rsidP="00000B90">
            <w:pPr>
              <w:pStyle w:val="Sansinterligne"/>
              <w:numPr>
                <w:ilvl w:val="0"/>
                <w:numId w:val="782"/>
              </w:numPr>
              <w:rPr>
                <w:rFonts w:eastAsia="Times New Roman" w:cs="Times New Roman"/>
                <w:color w:val="000000"/>
                <w:lang w:eastAsia="fr-CA"/>
              </w:rPr>
            </w:pPr>
            <w:r>
              <w:rPr>
                <w:rFonts w:eastAsia="Times New Roman" w:cs="Times New Roman"/>
                <w:color w:val="000000"/>
                <w:lang w:eastAsia="fr-CA"/>
              </w:rPr>
              <w:t>Voir ictère physiologique</w:t>
            </w:r>
          </w:p>
        </w:tc>
      </w:tr>
      <w:tr w:rsidR="00871A71" w:rsidTr="003F402A">
        <w:tc>
          <w:tcPr>
            <w:tcW w:w="482" w:type="dxa"/>
            <w:vMerge/>
            <w:shd w:val="clear" w:color="auto" w:fill="FBD4B4" w:themeFill="accent6" w:themeFillTint="66"/>
            <w:vAlign w:val="center"/>
          </w:tcPr>
          <w:p w:rsidR="0068583C" w:rsidRPr="00BF7956" w:rsidRDefault="0068583C" w:rsidP="0068583C">
            <w:pPr>
              <w:pStyle w:val="Sansinterligne"/>
              <w:jc w:val="center"/>
              <w:rPr>
                <w:rFonts w:eastAsia="Times New Roman" w:cs="Times New Roman"/>
                <w:color w:val="000000"/>
                <w:lang w:eastAsia="fr-CA"/>
              </w:rPr>
            </w:pPr>
          </w:p>
        </w:tc>
        <w:tc>
          <w:tcPr>
            <w:tcW w:w="2745" w:type="dxa"/>
            <w:vAlign w:val="center"/>
          </w:tcPr>
          <w:p w:rsidR="0068583C" w:rsidRPr="00BF7956" w:rsidRDefault="009149C6" w:rsidP="001B0DCD">
            <w:pPr>
              <w:pStyle w:val="Sansinterligne"/>
              <w:jc w:val="center"/>
              <w:rPr>
                <w:rFonts w:eastAsia="Times New Roman" w:cs="Times New Roman"/>
                <w:color w:val="000000"/>
                <w:lang w:eastAsia="fr-CA"/>
              </w:rPr>
            </w:pPr>
            <w:r>
              <w:rPr>
                <w:rFonts w:eastAsia="Times New Roman" w:cs="Times New Roman"/>
                <w:color w:val="000000"/>
                <w:lang w:eastAsia="fr-CA"/>
              </w:rPr>
              <w:t>Syndrome</w:t>
            </w:r>
            <w:r w:rsidR="0068583C" w:rsidRPr="00BF7956">
              <w:rPr>
                <w:rFonts w:eastAsia="Times New Roman" w:cs="Times New Roman"/>
                <w:color w:val="000000"/>
                <w:lang w:eastAsia="fr-CA"/>
              </w:rPr>
              <w:t xml:space="preserve"> de Gilbert</w:t>
            </w:r>
          </w:p>
        </w:tc>
        <w:tc>
          <w:tcPr>
            <w:tcW w:w="4394" w:type="dxa"/>
          </w:tcPr>
          <w:p w:rsidR="0068583C" w:rsidRDefault="00105CCF" w:rsidP="00000B90">
            <w:pPr>
              <w:pStyle w:val="Sansinterligne"/>
              <w:numPr>
                <w:ilvl w:val="0"/>
                <w:numId w:val="790"/>
              </w:numPr>
              <w:rPr>
                <w:rFonts w:eastAsia="Times New Roman" w:cs="Times New Roman"/>
                <w:color w:val="000000"/>
                <w:lang w:eastAsia="fr-CA"/>
              </w:rPr>
            </w:pPr>
            <w:r>
              <w:rPr>
                <w:rFonts w:eastAsia="Times New Roman" w:cs="Times New Roman"/>
                <w:color w:val="000000"/>
                <w:lang w:eastAsia="fr-CA"/>
              </w:rPr>
              <w:t>Déficit partiel de la conjugaison</w:t>
            </w:r>
          </w:p>
          <w:p w:rsidR="00105CCF" w:rsidRDefault="00105CCF" w:rsidP="00000B90">
            <w:pPr>
              <w:pStyle w:val="Sansinterligne"/>
              <w:numPr>
                <w:ilvl w:val="0"/>
                <w:numId w:val="790"/>
              </w:numPr>
              <w:rPr>
                <w:rFonts w:eastAsia="Times New Roman" w:cs="Times New Roman"/>
                <w:color w:val="000000"/>
                <w:lang w:eastAsia="fr-CA"/>
              </w:rPr>
            </w:pPr>
            <w:r>
              <w:rPr>
                <w:rFonts w:eastAsia="Times New Roman" w:cs="Times New Roman"/>
                <w:color w:val="000000"/>
                <w:lang w:eastAsia="fr-CA"/>
              </w:rPr>
              <w:t>Épisodes d’ictère léger intermittents</w:t>
            </w:r>
          </w:p>
          <w:p w:rsidR="00105CCF" w:rsidRDefault="00105CCF" w:rsidP="00000B90">
            <w:pPr>
              <w:pStyle w:val="Sansinterligne"/>
              <w:numPr>
                <w:ilvl w:val="0"/>
                <w:numId w:val="790"/>
              </w:numPr>
              <w:rPr>
                <w:rFonts w:eastAsia="Times New Roman" w:cs="Times New Roman"/>
                <w:color w:val="000000"/>
                <w:lang w:eastAsia="fr-CA"/>
              </w:rPr>
            </w:pPr>
            <w:r>
              <w:rPr>
                <w:rFonts w:eastAsia="Times New Roman" w:cs="Times New Roman"/>
                <w:color w:val="000000"/>
                <w:lang w:eastAsia="fr-CA"/>
              </w:rPr>
              <w:t>Souvent à l’</w:t>
            </w:r>
            <w:r w:rsidR="00812BA3">
              <w:rPr>
                <w:rFonts w:eastAsia="Times New Roman" w:cs="Times New Roman"/>
                <w:color w:val="000000"/>
                <w:lang w:eastAsia="fr-CA"/>
              </w:rPr>
              <w:t>adolescence</w:t>
            </w:r>
          </w:p>
          <w:p w:rsidR="00812BA3" w:rsidRPr="00BF7956" w:rsidRDefault="00812BA3" w:rsidP="00000B90">
            <w:pPr>
              <w:pStyle w:val="Sansinterligne"/>
              <w:numPr>
                <w:ilvl w:val="0"/>
                <w:numId w:val="790"/>
              </w:numPr>
              <w:rPr>
                <w:rFonts w:eastAsia="Times New Roman" w:cs="Times New Roman"/>
                <w:color w:val="000000"/>
                <w:lang w:eastAsia="fr-CA"/>
              </w:rPr>
            </w:pPr>
            <w:r>
              <w:rPr>
                <w:rFonts w:eastAsia="Times New Roman" w:cs="Times New Roman"/>
                <w:color w:val="000000"/>
                <w:lang w:eastAsia="fr-CA"/>
              </w:rPr>
              <w:t>Ictère débutant vers 2 semaines de vie pourrait être une manifestation précoce</w:t>
            </w:r>
          </w:p>
        </w:tc>
        <w:tc>
          <w:tcPr>
            <w:tcW w:w="3395" w:type="dxa"/>
            <w:gridSpan w:val="2"/>
          </w:tcPr>
          <w:p w:rsidR="0068583C" w:rsidRDefault="00105CCF" w:rsidP="00000B90">
            <w:pPr>
              <w:pStyle w:val="Sansinterligne"/>
              <w:numPr>
                <w:ilvl w:val="0"/>
                <w:numId w:val="791"/>
              </w:numPr>
              <w:rPr>
                <w:rFonts w:eastAsia="Times New Roman" w:cs="Times New Roman"/>
                <w:color w:val="000000"/>
                <w:lang w:eastAsia="fr-CA"/>
              </w:rPr>
            </w:pPr>
            <w:r>
              <w:rPr>
                <w:rFonts w:eastAsia="Times New Roman" w:cs="Times New Roman"/>
                <w:color w:val="000000"/>
                <w:lang w:eastAsia="fr-CA"/>
              </w:rPr>
              <w:t xml:space="preserve">Bilirubine totale </w:t>
            </w:r>
            <w:r>
              <w:rPr>
                <w:rFonts w:ascii="Century Gothic" w:eastAsia="Times New Roman" w:hAnsi="Century Gothic" w:cs="Times New Roman"/>
                <w:color w:val="000000"/>
                <w:lang w:eastAsia="fr-CA"/>
              </w:rPr>
              <w:t>&gt;</w:t>
            </w:r>
            <w:r>
              <w:rPr>
                <w:rFonts w:eastAsia="Times New Roman" w:cs="Times New Roman"/>
                <w:color w:val="000000"/>
                <w:lang w:eastAsia="fr-CA"/>
              </w:rPr>
              <w:t xml:space="preserve"> 30 mg/L</w:t>
            </w:r>
          </w:p>
          <w:p w:rsidR="00105CCF" w:rsidRDefault="00105CCF" w:rsidP="00000B90">
            <w:pPr>
              <w:pStyle w:val="Sansinterligne"/>
              <w:numPr>
                <w:ilvl w:val="0"/>
                <w:numId w:val="791"/>
              </w:numPr>
              <w:rPr>
                <w:rFonts w:eastAsia="Times New Roman" w:cs="Times New Roman"/>
                <w:color w:val="000000"/>
                <w:lang w:eastAsia="fr-CA"/>
              </w:rPr>
            </w:pPr>
            <w:r>
              <w:rPr>
                <w:rFonts w:eastAsia="Times New Roman" w:cs="Times New Roman"/>
                <w:color w:val="000000"/>
                <w:lang w:eastAsia="fr-CA"/>
              </w:rPr>
              <w:t>Prédominance non-conjuguée</w:t>
            </w:r>
          </w:p>
          <w:p w:rsidR="0034669A" w:rsidRDefault="0034669A" w:rsidP="00000B90">
            <w:pPr>
              <w:pStyle w:val="Sansinterligne"/>
              <w:numPr>
                <w:ilvl w:val="0"/>
                <w:numId w:val="791"/>
              </w:numPr>
              <w:rPr>
                <w:rFonts w:eastAsia="Times New Roman" w:cs="Times New Roman"/>
                <w:color w:val="000000"/>
                <w:lang w:eastAsia="fr-CA"/>
              </w:rPr>
            </w:pPr>
            <w:r>
              <w:rPr>
                <w:rFonts w:eastAsia="Times New Roman" w:cs="Times New Roman"/>
                <w:color w:val="000000"/>
                <w:lang w:eastAsia="fr-CA"/>
              </w:rPr>
              <w:t>FSC, frottis sanguin et AST/ALT normal au long cours</w:t>
            </w:r>
          </w:p>
        </w:tc>
      </w:tr>
      <w:tr w:rsidR="00871A71" w:rsidTr="003F402A">
        <w:tc>
          <w:tcPr>
            <w:tcW w:w="482" w:type="dxa"/>
            <w:vMerge/>
            <w:shd w:val="clear" w:color="auto" w:fill="FBD4B4" w:themeFill="accent6" w:themeFillTint="66"/>
            <w:vAlign w:val="center"/>
          </w:tcPr>
          <w:p w:rsidR="0068583C" w:rsidRPr="00BF7956" w:rsidRDefault="0068583C" w:rsidP="0068583C">
            <w:pPr>
              <w:pStyle w:val="Sansinterligne"/>
              <w:jc w:val="center"/>
              <w:rPr>
                <w:rFonts w:eastAsia="Times New Roman" w:cs="Times New Roman"/>
                <w:color w:val="000000"/>
                <w:lang w:eastAsia="fr-CA"/>
              </w:rPr>
            </w:pPr>
          </w:p>
        </w:tc>
        <w:tc>
          <w:tcPr>
            <w:tcW w:w="2745" w:type="dxa"/>
            <w:vAlign w:val="center"/>
          </w:tcPr>
          <w:p w:rsidR="0068583C" w:rsidRPr="00BF7956" w:rsidRDefault="003F402A" w:rsidP="001B0DCD">
            <w:pPr>
              <w:pStyle w:val="Sansinterligne"/>
              <w:jc w:val="center"/>
              <w:rPr>
                <w:rFonts w:eastAsia="Times New Roman" w:cs="Times New Roman"/>
                <w:color w:val="000000"/>
                <w:lang w:eastAsia="fr-CA"/>
              </w:rPr>
            </w:pPr>
            <w:r>
              <w:rPr>
                <w:rFonts w:eastAsia="Times New Roman" w:cs="Times New Roman"/>
                <w:color w:val="000000"/>
                <w:lang w:eastAsia="fr-CA"/>
              </w:rPr>
              <w:t>Syndrome de</w:t>
            </w:r>
            <w:r w:rsidR="00AF0C63">
              <w:rPr>
                <w:rFonts w:eastAsia="Times New Roman" w:cs="Times New Roman"/>
                <w:color w:val="000000"/>
                <w:lang w:eastAsia="fr-CA"/>
              </w:rPr>
              <w:t xml:space="preserve"> </w:t>
            </w:r>
            <w:r w:rsidR="0068583C" w:rsidRPr="00BF7956">
              <w:rPr>
                <w:rFonts w:eastAsia="Times New Roman" w:cs="Times New Roman"/>
                <w:color w:val="000000"/>
                <w:lang w:eastAsia="fr-CA"/>
              </w:rPr>
              <w:t>Crigler-Najjar</w:t>
            </w:r>
          </w:p>
        </w:tc>
        <w:tc>
          <w:tcPr>
            <w:tcW w:w="4394" w:type="dxa"/>
          </w:tcPr>
          <w:p w:rsidR="0068583C" w:rsidRPr="00BF7956" w:rsidRDefault="00C05AE7" w:rsidP="00000B90">
            <w:pPr>
              <w:pStyle w:val="Sansinterligne"/>
              <w:numPr>
                <w:ilvl w:val="0"/>
                <w:numId w:val="791"/>
              </w:numPr>
              <w:rPr>
                <w:rFonts w:eastAsia="Times New Roman" w:cs="Times New Roman"/>
                <w:color w:val="000000"/>
                <w:lang w:eastAsia="fr-CA"/>
              </w:rPr>
            </w:pPr>
            <w:r>
              <w:rPr>
                <w:rFonts w:eastAsia="Times New Roman" w:cs="Times New Roman"/>
                <w:color w:val="000000"/>
                <w:lang w:eastAsia="fr-CA"/>
              </w:rPr>
              <w:t>Déficit complet de la conjugaison</w:t>
            </w:r>
            <w:r w:rsidR="00466C6E">
              <w:rPr>
                <w:rFonts w:eastAsia="Times New Roman" w:cs="Times New Roman"/>
                <w:color w:val="000000"/>
                <w:lang w:eastAsia="fr-CA"/>
              </w:rPr>
              <w:t xml:space="preserve"> (rare)</w:t>
            </w:r>
          </w:p>
        </w:tc>
        <w:tc>
          <w:tcPr>
            <w:tcW w:w="3395" w:type="dxa"/>
            <w:gridSpan w:val="2"/>
          </w:tcPr>
          <w:p w:rsidR="0068583C" w:rsidRDefault="00C05AE7" w:rsidP="00000B90">
            <w:pPr>
              <w:pStyle w:val="Sansinterligne"/>
              <w:numPr>
                <w:ilvl w:val="0"/>
                <w:numId w:val="791"/>
              </w:numPr>
              <w:rPr>
                <w:rFonts w:eastAsia="Times New Roman" w:cs="Times New Roman"/>
                <w:color w:val="000000"/>
                <w:lang w:eastAsia="fr-CA"/>
              </w:rPr>
            </w:pPr>
            <w:r>
              <w:rPr>
                <w:rFonts w:eastAsia="Times New Roman" w:cs="Times New Roman"/>
                <w:color w:val="000000"/>
                <w:lang w:eastAsia="fr-CA"/>
              </w:rPr>
              <w:t>Séquençage génétique +</w:t>
            </w:r>
          </w:p>
        </w:tc>
      </w:tr>
      <w:tr w:rsidR="00871A71" w:rsidTr="003F402A">
        <w:tc>
          <w:tcPr>
            <w:tcW w:w="482" w:type="dxa"/>
            <w:vMerge/>
            <w:shd w:val="clear" w:color="auto" w:fill="FBD4B4" w:themeFill="accent6" w:themeFillTint="66"/>
            <w:vAlign w:val="center"/>
          </w:tcPr>
          <w:p w:rsidR="0068583C" w:rsidRPr="00BF7956" w:rsidRDefault="0068583C" w:rsidP="0068583C">
            <w:pPr>
              <w:pStyle w:val="Sansinterligne"/>
              <w:jc w:val="center"/>
              <w:rPr>
                <w:rFonts w:eastAsia="Times New Roman" w:cs="Times New Roman"/>
                <w:color w:val="000000"/>
                <w:lang w:eastAsia="fr-CA"/>
              </w:rPr>
            </w:pPr>
          </w:p>
        </w:tc>
        <w:tc>
          <w:tcPr>
            <w:tcW w:w="2745" w:type="dxa"/>
            <w:vAlign w:val="center"/>
          </w:tcPr>
          <w:p w:rsidR="0068583C" w:rsidRPr="00BF7956" w:rsidRDefault="0068583C" w:rsidP="001B0DCD">
            <w:pPr>
              <w:pStyle w:val="Sansinterligne"/>
              <w:jc w:val="center"/>
              <w:rPr>
                <w:rFonts w:eastAsia="Times New Roman" w:cs="Times New Roman"/>
                <w:color w:val="000000"/>
                <w:lang w:eastAsia="fr-CA"/>
              </w:rPr>
            </w:pPr>
            <w:r w:rsidRPr="00BF7956">
              <w:rPr>
                <w:rFonts w:eastAsia="Times New Roman" w:cs="Times New Roman"/>
                <w:color w:val="000000"/>
                <w:lang w:eastAsia="fr-CA"/>
              </w:rPr>
              <w:t>Hypothyroïdie congénitale</w:t>
            </w:r>
          </w:p>
        </w:tc>
        <w:tc>
          <w:tcPr>
            <w:tcW w:w="4394" w:type="dxa"/>
          </w:tcPr>
          <w:p w:rsidR="0068583C" w:rsidRPr="00BF7956" w:rsidRDefault="00077E1A" w:rsidP="00000B90">
            <w:pPr>
              <w:pStyle w:val="Sansinterligne"/>
              <w:numPr>
                <w:ilvl w:val="0"/>
                <w:numId w:val="793"/>
              </w:numPr>
              <w:rPr>
                <w:rFonts w:eastAsia="Times New Roman" w:cs="Times New Roman"/>
                <w:color w:val="000000"/>
                <w:lang w:eastAsia="fr-CA"/>
              </w:rPr>
            </w:pPr>
            <w:r>
              <w:rPr>
                <w:rFonts w:eastAsia="Times New Roman" w:cs="Times New Roman"/>
                <w:color w:val="000000"/>
                <w:lang w:eastAsia="fr-CA"/>
              </w:rPr>
              <w:t>Peu de manifestations cliniques</w:t>
            </w:r>
          </w:p>
        </w:tc>
        <w:tc>
          <w:tcPr>
            <w:tcW w:w="3395" w:type="dxa"/>
            <w:gridSpan w:val="2"/>
          </w:tcPr>
          <w:p w:rsidR="0068583C" w:rsidRDefault="00077E1A" w:rsidP="00000B90">
            <w:pPr>
              <w:pStyle w:val="Sansinterligne"/>
              <w:numPr>
                <w:ilvl w:val="0"/>
                <w:numId w:val="793"/>
              </w:numPr>
              <w:rPr>
                <w:rFonts w:eastAsia="Times New Roman" w:cs="Times New Roman"/>
                <w:color w:val="000000"/>
                <w:lang w:eastAsia="fr-CA"/>
              </w:rPr>
            </w:pPr>
            <w:r>
              <w:rPr>
                <w:rFonts w:eastAsia="Times New Roman" w:cs="Times New Roman"/>
                <w:color w:val="000000"/>
                <w:lang w:eastAsia="fr-CA"/>
              </w:rPr>
              <w:t xml:space="preserve">TSH </w:t>
            </w:r>
            <w:r>
              <w:rPr>
                <w:rFonts w:ascii="Century Gothic" w:eastAsia="Times New Roman" w:hAnsi="Century Gothic" w:cs="Times New Roman"/>
                <w:color w:val="000000"/>
                <w:lang w:eastAsia="fr-CA"/>
              </w:rPr>
              <w:t>↑</w:t>
            </w:r>
          </w:p>
        </w:tc>
      </w:tr>
      <w:tr w:rsidR="00D70C38" w:rsidTr="003F402A">
        <w:tc>
          <w:tcPr>
            <w:tcW w:w="482" w:type="dxa"/>
            <w:vMerge w:val="restart"/>
            <w:shd w:val="clear" w:color="auto" w:fill="FBD4B4" w:themeFill="accent6" w:themeFillTint="66"/>
            <w:textDirection w:val="btLr"/>
            <w:vAlign w:val="center"/>
          </w:tcPr>
          <w:p w:rsidR="0068583C" w:rsidRPr="00CD62AF" w:rsidRDefault="0068583C" w:rsidP="0068583C">
            <w:pPr>
              <w:pStyle w:val="Sansinterligne"/>
              <w:ind w:left="113" w:right="113"/>
              <w:jc w:val="center"/>
              <w:rPr>
                <w:rFonts w:eastAsia="Times New Roman" w:cs="Times New Roman"/>
                <w:b/>
                <w:color w:val="000000"/>
                <w:lang w:eastAsia="fr-CA"/>
              </w:rPr>
            </w:pPr>
            <w:r w:rsidRPr="00CD62AF">
              <w:rPr>
                <w:rFonts w:eastAsia="Times New Roman" w:cs="Times New Roman"/>
                <w:b/>
                <w:color w:val="000000"/>
                <w:lang w:eastAsia="fr-CA"/>
              </w:rPr>
              <w:t>Hémolyse</w:t>
            </w:r>
          </w:p>
        </w:tc>
        <w:tc>
          <w:tcPr>
            <w:tcW w:w="2745" w:type="dxa"/>
            <w:vAlign w:val="center"/>
          </w:tcPr>
          <w:p w:rsidR="0068583C" w:rsidRPr="00BF7956" w:rsidRDefault="0068583C" w:rsidP="001B0DCD">
            <w:pPr>
              <w:pStyle w:val="Sansinterligne"/>
              <w:jc w:val="center"/>
              <w:rPr>
                <w:rFonts w:eastAsia="Times New Roman" w:cs="Times New Roman"/>
                <w:color w:val="000000"/>
                <w:lang w:eastAsia="fr-CA"/>
              </w:rPr>
            </w:pPr>
            <w:r w:rsidRPr="00BF7956">
              <w:rPr>
                <w:rFonts w:eastAsia="Times New Roman" w:cs="Times New Roman"/>
                <w:color w:val="000000"/>
                <w:lang w:eastAsia="fr-CA"/>
              </w:rPr>
              <w:t>Sphérocytose</w:t>
            </w:r>
          </w:p>
        </w:tc>
        <w:tc>
          <w:tcPr>
            <w:tcW w:w="4394" w:type="dxa"/>
          </w:tcPr>
          <w:p w:rsidR="0068583C" w:rsidRDefault="00342768" w:rsidP="00000B90">
            <w:pPr>
              <w:pStyle w:val="Sansinterligne"/>
              <w:numPr>
                <w:ilvl w:val="0"/>
                <w:numId w:val="793"/>
              </w:numPr>
              <w:rPr>
                <w:rFonts w:eastAsia="Times New Roman" w:cs="Times New Roman"/>
                <w:color w:val="000000"/>
                <w:lang w:eastAsia="fr-CA"/>
              </w:rPr>
            </w:pPr>
            <w:r>
              <w:rPr>
                <w:rFonts w:eastAsia="Times New Roman" w:cs="Times New Roman"/>
                <w:color w:val="000000"/>
                <w:lang w:eastAsia="fr-CA"/>
              </w:rPr>
              <w:t>Ictère</w:t>
            </w:r>
          </w:p>
          <w:p w:rsidR="00342768" w:rsidRDefault="00342768" w:rsidP="00000B90">
            <w:pPr>
              <w:pStyle w:val="Sansinterligne"/>
              <w:numPr>
                <w:ilvl w:val="0"/>
                <w:numId w:val="793"/>
              </w:numPr>
              <w:rPr>
                <w:rFonts w:eastAsia="Times New Roman" w:cs="Times New Roman"/>
                <w:color w:val="000000"/>
                <w:lang w:eastAsia="fr-CA"/>
              </w:rPr>
            </w:pPr>
            <w:r>
              <w:rPr>
                <w:rFonts w:eastAsia="Times New Roman" w:cs="Times New Roman"/>
                <w:color w:val="000000"/>
                <w:lang w:eastAsia="fr-CA"/>
              </w:rPr>
              <w:t>Splénomégalie</w:t>
            </w:r>
          </w:p>
          <w:p w:rsidR="00342768" w:rsidRPr="00BF7956" w:rsidRDefault="00342768" w:rsidP="007A3335">
            <w:pPr>
              <w:pStyle w:val="Sansinterligne"/>
              <w:rPr>
                <w:rFonts w:eastAsia="Times New Roman" w:cs="Times New Roman"/>
                <w:color w:val="000000"/>
                <w:lang w:eastAsia="fr-CA"/>
              </w:rPr>
            </w:pPr>
          </w:p>
        </w:tc>
        <w:tc>
          <w:tcPr>
            <w:tcW w:w="3395" w:type="dxa"/>
            <w:gridSpan w:val="2"/>
          </w:tcPr>
          <w:p w:rsidR="00342768" w:rsidRDefault="00342768" w:rsidP="00000B90">
            <w:pPr>
              <w:pStyle w:val="Sansinterligne"/>
              <w:numPr>
                <w:ilvl w:val="0"/>
                <w:numId w:val="793"/>
              </w:numPr>
              <w:rPr>
                <w:rFonts w:eastAsia="Times New Roman" w:cs="Times New Roman"/>
                <w:color w:val="000000"/>
                <w:lang w:eastAsia="fr-CA"/>
              </w:rPr>
            </w:pPr>
            <w:r>
              <w:rPr>
                <w:rFonts w:eastAsia="Times New Roman" w:cs="Times New Roman"/>
                <w:color w:val="000000"/>
                <w:lang w:eastAsia="fr-CA"/>
              </w:rPr>
              <w:t xml:space="preserve">Bilirubine totale et NCJ </w:t>
            </w:r>
            <w:r>
              <w:rPr>
                <w:rFonts w:ascii="Century Gothic" w:eastAsia="Times New Roman" w:hAnsi="Century Gothic" w:cs="Times New Roman"/>
                <w:color w:val="000000"/>
                <w:lang w:eastAsia="fr-CA"/>
              </w:rPr>
              <w:t>↑</w:t>
            </w:r>
          </w:p>
          <w:p w:rsidR="005568A6" w:rsidRDefault="00342768" w:rsidP="00000B90">
            <w:pPr>
              <w:pStyle w:val="Sansinterligne"/>
              <w:numPr>
                <w:ilvl w:val="0"/>
                <w:numId w:val="793"/>
              </w:numPr>
              <w:rPr>
                <w:rFonts w:eastAsia="Times New Roman" w:cs="Times New Roman"/>
                <w:color w:val="000000"/>
                <w:lang w:eastAsia="fr-CA"/>
              </w:rPr>
            </w:pPr>
            <w:r>
              <w:rPr>
                <w:rFonts w:eastAsia="Times New Roman" w:cs="Times New Roman"/>
                <w:color w:val="000000"/>
                <w:lang w:eastAsia="fr-CA"/>
              </w:rPr>
              <w:t>HB ↓</w:t>
            </w:r>
            <w:r w:rsidR="005568A6">
              <w:rPr>
                <w:rFonts w:eastAsia="Times New Roman" w:cs="Times New Roman"/>
                <w:color w:val="000000"/>
                <w:lang w:eastAsia="fr-CA"/>
              </w:rPr>
              <w:t xml:space="preserve"> LDH </w:t>
            </w:r>
            <w:r w:rsidR="005568A6">
              <w:rPr>
                <w:rFonts w:ascii="Century Gothic" w:eastAsia="Times New Roman" w:hAnsi="Century Gothic" w:cs="Times New Roman"/>
                <w:color w:val="000000"/>
                <w:lang w:eastAsia="fr-CA"/>
              </w:rPr>
              <w:t>↑</w:t>
            </w:r>
          </w:p>
          <w:p w:rsidR="0068583C" w:rsidRDefault="005568A6" w:rsidP="00000B90">
            <w:pPr>
              <w:pStyle w:val="Sansinterligne"/>
              <w:numPr>
                <w:ilvl w:val="0"/>
                <w:numId w:val="793"/>
              </w:numPr>
              <w:rPr>
                <w:rFonts w:eastAsia="Times New Roman" w:cs="Times New Roman"/>
                <w:color w:val="000000"/>
                <w:lang w:eastAsia="fr-CA"/>
              </w:rPr>
            </w:pPr>
            <w:r>
              <w:rPr>
                <w:rFonts w:eastAsia="Times New Roman" w:cs="Times New Roman"/>
                <w:color w:val="000000"/>
                <w:lang w:eastAsia="fr-CA"/>
              </w:rPr>
              <w:t>Frottis sanguin compatible</w:t>
            </w:r>
          </w:p>
          <w:p w:rsidR="00342768" w:rsidRDefault="00342768" w:rsidP="00000B90">
            <w:pPr>
              <w:pStyle w:val="Sansinterligne"/>
              <w:numPr>
                <w:ilvl w:val="0"/>
                <w:numId w:val="793"/>
              </w:numPr>
              <w:rPr>
                <w:rFonts w:eastAsia="Times New Roman" w:cs="Times New Roman"/>
                <w:color w:val="000000"/>
                <w:lang w:eastAsia="fr-CA"/>
              </w:rPr>
            </w:pPr>
            <w:r>
              <w:rPr>
                <w:rFonts w:eastAsia="Times New Roman" w:cs="Times New Roman"/>
                <w:color w:val="000000"/>
                <w:lang w:eastAsia="fr-CA"/>
              </w:rPr>
              <w:t xml:space="preserve">Réticulocytose </w:t>
            </w:r>
            <w:r>
              <w:rPr>
                <w:rFonts w:ascii="Century Gothic" w:eastAsia="Times New Roman" w:hAnsi="Century Gothic" w:cs="Times New Roman"/>
                <w:color w:val="000000"/>
                <w:lang w:eastAsia="fr-CA"/>
              </w:rPr>
              <w:t>↑</w:t>
            </w:r>
          </w:p>
        </w:tc>
      </w:tr>
      <w:tr w:rsidR="00D70C38" w:rsidTr="003F402A">
        <w:tc>
          <w:tcPr>
            <w:tcW w:w="482" w:type="dxa"/>
            <w:vMerge/>
            <w:shd w:val="clear" w:color="auto" w:fill="FBD4B4" w:themeFill="accent6" w:themeFillTint="66"/>
          </w:tcPr>
          <w:p w:rsidR="0068583C" w:rsidRPr="00BF7956" w:rsidRDefault="0068583C" w:rsidP="007A3335">
            <w:pPr>
              <w:pStyle w:val="Sansinterligne"/>
              <w:rPr>
                <w:rFonts w:eastAsia="Times New Roman" w:cs="Times New Roman"/>
                <w:color w:val="000000"/>
                <w:lang w:eastAsia="fr-CA"/>
              </w:rPr>
            </w:pPr>
          </w:p>
        </w:tc>
        <w:tc>
          <w:tcPr>
            <w:tcW w:w="2745" w:type="dxa"/>
            <w:vAlign w:val="center"/>
          </w:tcPr>
          <w:p w:rsidR="0068583C" w:rsidRPr="00BF7956" w:rsidRDefault="00060913" w:rsidP="001B0DCD">
            <w:pPr>
              <w:pStyle w:val="Sansinterligne"/>
              <w:jc w:val="center"/>
              <w:rPr>
                <w:rFonts w:eastAsia="Times New Roman" w:cs="Times New Roman"/>
                <w:color w:val="000000"/>
                <w:lang w:eastAsia="fr-CA"/>
              </w:rPr>
            </w:pPr>
            <w:r>
              <w:rPr>
                <w:rFonts w:ascii="Century Gothic" w:eastAsia="Times New Roman" w:hAnsi="Century Gothic" w:cs="Times New Roman"/>
                <w:color w:val="000000"/>
                <w:lang w:eastAsia="fr-CA"/>
              </w:rPr>
              <w:t>α</w:t>
            </w:r>
            <w:r w:rsidR="0068583C" w:rsidRPr="00BF7956">
              <w:rPr>
                <w:rFonts w:eastAsia="Times New Roman" w:cs="Times New Roman"/>
                <w:color w:val="000000"/>
                <w:lang w:eastAsia="fr-CA"/>
              </w:rPr>
              <w:t>-Thalassémie</w:t>
            </w:r>
          </w:p>
        </w:tc>
        <w:tc>
          <w:tcPr>
            <w:tcW w:w="4394" w:type="dxa"/>
          </w:tcPr>
          <w:p w:rsidR="0068583C" w:rsidRDefault="00060913" w:rsidP="00000B90">
            <w:pPr>
              <w:pStyle w:val="Sansinterligne"/>
              <w:numPr>
                <w:ilvl w:val="0"/>
                <w:numId w:val="796"/>
              </w:numPr>
              <w:rPr>
                <w:rFonts w:eastAsia="Times New Roman" w:cs="Times New Roman"/>
                <w:color w:val="000000"/>
                <w:lang w:eastAsia="fr-CA"/>
              </w:rPr>
            </w:pPr>
            <w:r>
              <w:rPr>
                <w:rFonts w:eastAsia="Times New Roman" w:cs="Times New Roman"/>
                <w:color w:val="000000"/>
                <w:lang w:eastAsia="fr-CA"/>
              </w:rPr>
              <w:t>Peu de manifestations</w:t>
            </w:r>
          </w:p>
          <w:p w:rsidR="00060913" w:rsidRPr="00BF7956" w:rsidRDefault="004C6BF2" w:rsidP="00000B90">
            <w:pPr>
              <w:pStyle w:val="Sansinterligne"/>
              <w:numPr>
                <w:ilvl w:val="0"/>
                <w:numId w:val="796"/>
              </w:numPr>
              <w:rPr>
                <w:rFonts w:eastAsia="Times New Roman" w:cs="Times New Roman"/>
                <w:color w:val="000000"/>
                <w:lang w:eastAsia="fr-CA"/>
              </w:rPr>
            </w:pPr>
            <w:r>
              <w:rPr>
                <w:rFonts w:eastAsia="Times New Roman" w:cs="Times New Roman"/>
                <w:color w:val="000000"/>
                <w:lang w:eastAsia="fr-CA"/>
              </w:rPr>
              <w:t>Y p</w:t>
            </w:r>
            <w:r w:rsidR="00060913">
              <w:rPr>
                <w:rFonts w:eastAsia="Times New Roman" w:cs="Times New Roman"/>
                <w:color w:val="000000"/>
                <w:lang w:eastAsia="fr-CA"/>
              </w:rPr>
              <w:t>ense</w:t>
            </w:r>
            <w:r>
              <w:rPr>
                <w:rFonts w:eastAsia="Times New Roman" w:cs="Times New Roman"/>
                <w:color w:val="000000"/>
                <w:lang w:eastAsia="fr-CA"/>
              </w:rPr>
              <w:t xml:space="preserve">r chez Asiatiques / </w:t>
            </w:r>
            <w:r w:rsidR="00060913">
              <w:rPr>
                <w:rFonts w:eastAsia="Times New Roman" w:cs="Times New Roman"/>
                <w:color w:val="000000"/>
                <w:lang w:eastAsia="fr-CA"/>
              </w:rPr>
              <w:t>Méditerranéens</w:t>
            </w:r>
          </w:p>
        </w:tc>
        <w:tc>
          <w:tcPr>
            <w:tcW w:w="3395" w:type="dxa"/>
            <w:gridSpan w:val="2"/>
          </w:tcPr>
          <w:p w:rsidR="00060913" w:rsidRDefault="00060913" w:rsidP="00000B90">
            <w:pPr>
              <w:pStyle w:val="Sansinterligne"/>
              <w:numPr>
                <w:ilvl w:val="0"/>
                <w:numId w:val="795"/>
              </w:numPr>
              <w:rPr>
                <w:rFonts w:eastAsia="Times New Roman" w:cs="Times New Roman"/>
                <w:color w:val="000000"/>
                <w:lang w:eastAsia="fr-CA"/>
              </w:rPr>
            </w:pPr>
            <w:r>
              <w:rPr>
                <w:rFonts w:eastAsia="Times New Roman" w:cs="Times New Roman"/>
                <w:color w:val="000000"/>
                <w:lang w:eastAsia="fr-CA"/>
              </w:rPr>
              <w:t>HB ↓</w:t>
            </w:r>
          </w:p>
          <w:p w:rsidR="0068583C" w:rsidRDefault="00060913" w:rsidP="00000B90">
            <w:pPr>
              <w:pStyle w:val="Sansinterligne"/>
              <w:numPr>
                <w:ilvl w:val="0"/>
                <w:numId w:val="795"/>
              </w:numPr>
              <w:rPr>
                <w:rFonts w:eastAsia="Times New Roman" w:cs="Times New Roman"/>
                <w:color w:val="000000"/>
                <w:lang w:eastAsia="fr-CA"/>
              </w:rPr>
            </w:pPr>
            <w:r>
              <w:rPr>
                <w:rFonts w:eastAsia="Times New Roman" w:cs="Times New Roman"/>
                <w:color w:val="000000"/>
                <w:lang w:eastAsia="fr-CA"/>
              </w:rPr>
              <w:t>Dépistage génétique +</w:t>
            </w:r>
          </w:p>
        </w:tc>
      </w:tr>
      <w:tr w:rsidR="004A6A9F" w:rsidTr="003F402A">
        <w:tc>
          <w:tcPr>
            <w:tcW w:w="482" w:type="dxa"/>
            <w:vMerge/>
            <w:shd w:val="clear" w:color="auto" w:fill="FBD4B4" w:themeFill="accent6" w:themeFillTint="66"/>
          </w:tcPr>
          <w:p w:rsidR="004A6A9F" w:rsidRPr="00BF7956" w:rsidRDefault="004A6A9F" w:rsidP="007A3335">
            <w:pPr>
              <w:pStyle w:val="Sansinterligne"/>
              <w:rPr>
                <w:rFonts w:eastAsia="Times New Roman" w:cs="Times New Roman"/>
                <w:color w:val="000000"/>
                <w:lang w:eastAsia="fr-CA"/>
              </w:rPr>
            </w:pPr>
          </w:p>
        </w:tc>
        <w:tc>
          <w:tcPr>
            <w:tcW w:w="2745" w:type="dxa"/>
            <w:vAlign w:val="center"/>
          </w:tcPr>
          <w:p w:rsidR="004A6A9F" w:rsidRPr="00BF7956" w:rsidRDefault="004A6A9F" w:rsidP="001B0DCD">
            <w:pPr>
              <w:pStyle w:val="Sansinterligne"/>
              <w:jc w:val="center"/>
              <w:rPr>
                <w:rFonts w:eastAsia="Times New Roman" w:cs="Times New Roman"/>
                <w:color w:val="000000"/>
                <w:lang w:eastAsia="fr-CA"/>
              </w:rPr>
            </w:pPr>
            <w:r w:rsidRPr="00BF7956">
              <w:rPr>
                <w:rFonts w:eastAsia="Times New Roman" w:cs="Times New Roman"/>
                <w:color w:val="000000"/>
                <w:lang w:eastAsia="fr-CA"/>
              </w:rPr>
              <w:t>Spl</w:t>
            </w:r>
            <w:r>
              <w:rPr>
                <w:rFonts w:eastAsia="Times New Roman" w:cs="Times New Roman"/>
                <w:color w:val="000000"/>
                <w:lang w:eastAsia="fr-CA"/>
              </w:rPr>
              <w:t>é</w:t>
            </w:r>
            <w:r w:rsidRPr="00BF7956">
              <w:rPr>
                <w:rFonts w:eastAsia="Times New Roman" w:cs="Times New Roman"/>
                <w:color w:val="000000"/>
                <w:lang w:eastAsia="fr-CA"/>
              </w:rPr>
              <w:t>nomégalie</w:t>
            </w:r>
          </w:p>
        </w:tc>
        <w:tc>
          <w:tcPr>
            <w:tcW w:w="7789" w:type="dxa"/>
            <w:gridSpan w:val="3"/>
          </w:tcPr>
          <w:p w:rsidR="004A6A9F" w:rsidRDefault="004A6A9F" w:rsidP="004A6A9F">
            <w:pPr>
              <w:pStyle w:val="Sansinterligne"/>
              <w:jc w:val="center"/>
              <w:rPr>
                <w:rFonts w:eastAsia="Times New Roman" w:cs="Times New Roman"/>
                <w:color w:val="000000"/>
                <w:lang w:eastAsia="fr-CA"/>
              </w:rPr>
            </w:pPr>
            <w:r>
              <w:rPr>
                <w:rFonts w:eastAsia="Times New Roman" w:cs="Times New Roman"/>
                <w:color w:val="000000"/>
                <w:lang w:eastAsia="fr-CA"/>
              </w:rPr>
              <w:t xml:space="preserve">Voir </w:t>
            </w:r>
            <w:r w:rsidRPr="004A6A9F">
              <w:rPr>
                <w:rFonts w:eastAsia="Times New Roman" w:cs="Times New Roman"/>
                <w:i/>
                <w:color w:val="000000"/>
                <w:lang w:eastAsia="fr-CA"/>
              </w:rPr>
              <w:t>Splénomégalie CMC 2-3</w:t>
            </w:r>
          </w:p>
        </w:tc>
      </w:tr>
      <w:tr w:rsidR="00B00D88" w:rsidTr="003F402A">
        <w:tc>
          <w:tcPr>
            <w:tcW w:w="482" w:type="dxa"/>
            <w:vMerge/>
            <w:shd w:val="clear" w:color="auto" w:fill="FBD4B4" w:themeFill="accent6" w:themeFillTint="66"/>
          </w:tcPr>
          <w:p w:rsidR="00B00D88" w:rsidRPr="00BF7956" w:rsidRDefault="00B00D88" w:rsidP="007A3335">
            <w:pPr>
              <w:pStyle w:val="Sansinterligne"/>
              <w:rPr>
                <w:rFonts w:eastAsia="Times New Roman" w:cs="Times New Roman"/>
                <w:color w:val="000000"/>
                <w:lang w:eastAsia="fr-CA"/>
              </w:rPr>
            </w:pPr>
          </w:p>
        </w:tc>
        <w:tc>
          <w:tcPr>
            <w:tcW w:w="2745" w:type="dxa"/>
            <w:vAlign w:val="center"/>
          </w:tcPr>
          <w:p w:rsidR="00B00D88" w:rsidRPr="00BF7956" w:rsidRDefault="00B00D88" w:rsidP="00B04485">
            <w:pPr>
              <w:pStyle w:val="Sansinterligne"/>
              <w:jc w:val="center"/>
              <w:rPr>
                <w:rFonts w:eastAsia="Times New Roman" w:cs="Times New Roman"/>
                <w:color w:val="000000"/>
                <w:lang w:eastAsia="fr-CA"/>
              </w:rPr>
            </w:pPr>
            <w:r w:rsidRPr="00BF7956">
              <w:rPr>
                <w:rFonts w:eastAsia="Times New Roman" w:cs="Times New Roman"/>
                <w:color w:val="000000"/>
                <w:lang w:eastAsia="fr-CA"/>
              </w:rPr>
              <w:t>Malformation artério-vein</w:t>
            </w:r>
            <w:r w:rsidR="00B04485">
              <w:rPr>
                <w:rFonts w:eastAsia="Times New Roman" w:cs="Times New Roman"/>
                <w:color w:val="000000"/>
                <w:lang w:eastAsia="fr-CA"/>
              </w:rPr>
              <w:t>.</w:t>
            </w:r>
          </w:p>
        </w:tc>
        <w:tc>
          <w:tcPr>
            <w:tcW w:w="7789" w:type="dxa"/>
            <w:gridSpan w:val="3"/>
          </w:tcPr>
          <w:p w:rsidR="00B00D88" w:rsidRDefault="00B00D88" w:rsidP="007A3335">
            <w:pPr>
              <w:pStyle w:val="Sansinterligne"/>
              <w:rPr>
                <w:rFonts w:eastAsia="Times New Roman" w:cs="Times New Roman"/>
                <w:color w:val="000000"/>
                <w:lang w:eastAsia="fr-CA"/>
              </w:rPr>
            </w:pPr>
            <w:r>
              <w:rPr>
                <w:rFonts w:eastAsia="Times New Roman" w:cs="Times New Roman"/>
                <w:color w:val="000000"/>
                <w:lang w:eastAsia="fr-CA"/>
              </w:rPr>
              <w:t>Vaste sujet …</w:t>
            </w:r>
          </w:p>
        </w:tc>
      </w:tr>
      <w:tr w:rsidR="00D70C38" w:rsidTr="003F402A">
        <w:tc>
          <w:tcPr>
            <w:tcW w:w="482" w:type="dxa"/>
            <w:vMerge/>
            <w:shd w:val="clear" w:color="auto" w:fill="FBD4B4" w:themeFill="accent6" w:themeFillTint="66"/>
          </w:tcPr>
          <w:p w:rsidR="0068583C" w:rsidRPr="00BF7956" w:rsidRDefault="0068583C" w:rsidP="007A3335">
            <w:pPr>
              <w:pStyle w:val="Sansinterligne"/>
              <w:rPr>
                <w:rFonts w:eastAsia="Times New Roman" w:cs="Times New Roman"/>
                <w:color w:val="000000"/>
                <w:lang w:eastAsia="fr-CA"/>
              </w:rPr>
            </w:pPr>
          </w:p>
        </w:tc>
        <w:tc>
          <w:tcPr>
            <w:tcW w:w="2745" w:type="dxa"/>
            <w:shd w:val="clear" w:color="auto" w:fill="FFFF00"/>
            <w:vAlign w:val="center"/>
          </w:tcPr>
          <w:p w:rsidR="0068583C" w:rsidRPr="00BF7956" w:rsidRDefault="002B692C" w:rsidP="001B0DCD">
            <w:pPr>
              <w:pStyle w:val="Sansinterligne"/>
              <w:jc w:val="center"/>
              <w:rPr>
                <w:rFonts w:eastAsia="Times New Roman" w:cs="Times New Roman"/>
                <w:color w:val="000000"/>
                <w:lang w:eastAsia="fr-CA"/>
              </w:rPr>
            </w:pPr>
            <w:r>
              <w:rPr>
                <w:rFonts w:eastAsia="Times New Roman" w:cs="Times New Roman"/>
                <w:color w:val="000000"/>
                <w:lang w:eastAsia="fr-CA"/>
              </w:rPr>
              <w:t xml:space="preserve">Maladie hémolytique du nouveau-né </w:t>
            </w:r>
          </w:p>
        </w:tc>
        <w:tc>
          <w:tcPr>
            <w:tcW w:w="4394" w:type="dxa"/>
            <w:shd w:val="clear" w:color="auto" w:fill="FFFF00"/>
          </w:tcPr>
          <w:p w:rsidR="0068583C" w:rsidRDefault="003521A5" w:rsidP="00000B90">
            <w:pPr>
              <w:pStyle w:val="Sansinterligne"/>
              <w:numPr>
                <w:ilvl w:val="0"/>
                <w:numId w:val="788"/>
              </w:numPr>
              <w:rPr>
                <w:rFonts w:eastAsia="Times New Roman" w:cs="Times New Roman"/>
                <w:color w:val="000000"/>
                <w:lang w:eastAsia="fr-CA"/>
              </w:rPr>
            </w:pPr>
            <w:r>
              <w:rPr>
                <w:rFonts w:eastAsia="Times New Roman" w:cs="Times New Roman"/>
                <w:color w:val="000000"/>
                <w:lang w:eastAsia="fr-CA"/>
              </w:rPr>
              <w:t>Groupe</w:t>
            </w:r>
            <w:r w:rsidR="002B692C">
              <w:rPr>
                <w:rFonts w:eastAsia="Times New Roman" w:cs="Times New Roman"/>
                <w:color w:val="000000"/>
                <w:lang w:eastAsia="fr-CA"/>
              </w:rPr>
              <w:t>s</w:t>
            </w:r>
            <w:r>
              <w:rPr>
                <w:rFonts w:eastAsia="Times New Roman" w:cs="Times New Roman"/>
                <w:color w:val="000000"/>
                <w:lang w:eastAsia="fr-CA"/>
              </w:rPr>
              <w:t xml:space="preserve"> sanguin</w:t>
            </w:r>
            <w:r w:rsidR="002B692C">
              <w:rPr>
                <w:rFonts w:eastAsia="Times New Roman" w:cs="Times New Roman"/>
                <w:color w:val="000000"/>
                <w:lang w:eastAsia="fr-CA"/>
              </w:rPr>
              <w:t xml:space="preserve">s ABO ou Rh </w:t>
            </w:r>
            <w:r>
              <w:rPr>
                <w:rFonts w:eastAsia="Times New Roman" w:cs="Times New Roman"/>
                <w:color w:val="000000"/>
                <w:lang w:eastAsia="fr-CA"/>
              </w:rPr>
              <w:t>maternel et fœtal incompatible</w:t>
            </w:r>
            <w:r w:rsidR="002B692C">
              <w:rPr>
                <w:rFonts w:eastAsia="Times New Roman" w:cs="Times New Roman"/>
                <w:color w:val="000000"/>
                <w:lang w:eastAsia="fr-CA"/>
              </w:rPr>
              <w:t>s</w:t>
            </w:r>
          </w:p>
          <w:p w:rsidR="00C05AE7" w:rsidRDefault="00C05AE7" w:rsidP="00000B90">
            <w:pPr>
              <w:pStyle w:val="Sansinterligne"/>
              <w:numPr>
                <w:ilvl w:val="0"/>
                <w:numId w:val="788"/>
              </w:numPr>
              <w:rPr>
                <w:rFonts w:eastAsia="Times New Roman" w:cs="Times New Roman"/>
                <w:color w:val="000000"/>
                <w:lang w:eastAsia="fr-CA"/>
              </w:rPr>
            </w:pPr>
            <w:r>
              <w:rPr>
                <w:rFonts w:eastAsia="Times New Roman" w:cs="Times New Roman"/>
                <w:color w:val="000000"/>
                <w:lang w:eastAsia="fr-CA"/>
              </w:rPr>
              <w:t xml:space="preserve">Ictère </w:t>
            </w:r>
            <w:r>
              <w:rPr>
                <w:rFonts w:ascii="Century Gothic" w:eastAsia="Times New Roman" w:hAnsi="Century Gothic" w:cs="Times New Roman"/>
                <w:color w:val="000000"/>
                <w:lang w:eastAsia="fr-CA"/>
              </w:rPr>
              <w:t>&lt;</w:t>
            </w:r>
            <w:r>
              <w:rPr>
                <w:rFonts w:eastAsia="Times New Roman" w:cs="Times New Roman"/>
                <w:color w:val="000000"/>
                <w:lang w:eastAsia="fr-CA"/>
              </w:rPr>
              <w:t xml:space="preserve"> 24h de vie</w:t>
            </w:r>
          </w:p>
          <w:p w:rsidR="00073671" w:rsidRPr="00BF7956" w:rsidRDefault="00073671" w:rsidP="00000B90">
            <w:pPr>
              <w:pStyle w:val="Sansinterligne"/>
              <w:numPr>
                <w:ilvl w:val="0"/>
                <w:numId w:val="788"/>
              </w:numPr>
              <w:rPr>
                <w:rFonts w:eastAsia="Times New Roman" w:cs="Times New Roman"/>
                <w:color w:val="000000"/>
                <w:lang w:eastAsia="fr-CA"/>
              </w:rPr>
            </w:pPr>
            <w:r>
              <w:rPr>
                <w:rFonts w:eastAsia="Times New Roman" w:cs="Times New Roman"/>
                <w:color w:val="000000"/>
                <w:lang w:eastAsia="fr-CA"/>
              </w:rPr>
              <w:t>Selles et urines normales</w:t>
            </w:r>
          </w:p>
        </w:tc>
        <w:tc>
          <w:tcPr>
            <w:tcW w:w="3395" w:type="dxa"/>
            <w:gridSpan w:val="2"/>
            <w:shd w:val="clear" w:color="auto" w:fill="FFFF00"/>
          </w:tcPr>
          <w:p w:rsidR="00073671" w:rsidRDefault="00073671" w:rsidP="00000B90">
            <w:pPr>
              <w:pStyle w:val="Sansinterligne"/>
              <w:numPr>
                <w:ilvl w:val="0"/>
                <w:numId w:val="789"/>
              </w:numPr>
              <w:rPr>
                <w:rFonts w:eastAsia="Times New Roman" w:cs="Times New Roman"/>
                <w:color w:val="000000"/>
                <w:lang w:eastAsia="fr-CA"/>
              </w:rPr>
            </w:pPr>
            <w:r>
              <w:rPr>
                <w:rFonts w:ascii="Century Gothic" w:eastAsia="Times New Roman" w:hAnsi="Century Gothic" w:cs="Times New Roman"/>
                <w:color w:val="000000"/>
                <w:lang w:eastAsia="fr-CA"/>
              </w:rPr>
              <w:t>↑</w:t>
            </w:r>
            <w:r>
              <w:rPr>
                <w:rFonts w:eastAsia="Times New Roman" w:cs="Times New Roman"/>
                <w:color w:val="000000"/>
                <w:lang w:eastAsia="fr-CA"/>
              </w:rPr>
              <w:t xml:space="preserve"> rapide de la bilirubine</w:t>
            </w:r>
          </w:p>
          <w:p w:rsidR="0068583C" w:rsidRDefault="00C05AE7" w:rsidP="00000B90">
            <w:pPr>
              <w:pStyle w:val="Sansinterligne"/>
              <w:numPr>
                <w:ilvl w:val="0"/>
                <w:numId w:val="789"/>
              </w:numPr>
              <w:rPr>
                <w:rFonts w:eastAsia="Times New Roman" w:cs="Times New Roman"/>
                <w:color w:val="000000"/>
                <w:lang w:eastAsia="fr-CA"/>
              </w:rPr>
            </w:pPr>
            <w:r>
              <w:rPr>
                <w:rFonts w:eastAsia="Times New Roman" w:cs="Times New Roman"/>
                <w:color w:val="000000"/>
                <w:lang w:eastAsia="fr-CA"/>
              </w:rPr>
              <w:t>Test de Coombs direct +</w:t>
            </w:r>
          </w:p>
          <w:p w:rsidR="00C05AE7" w:rsidRDefault="00C05AE7" w:rsidP="00000B90">
            <w:pPr>
              <w:pStyle w:val="Sansinterligne"/>
              <w:numPr>
                <w:ilvl w:val="0"/>
                <w:numId w:val="789"/>
              </w:numPr>
              <w:rPr>
                <w:rFonts w:eastAsia="Times New Roman" w:cs="Times New Roman"/>
                <w:color w:val="000000"/>
                <w:lang w:eastAsia="fr-CA"/>
              </w:rPr>
            </w:pPr>
            <w:r>
              <w:rPr>
                <w:rFonts w:eastAsia="Times New Roman" w:cs="Times New Roman"/>
                <w:color w:val="000000"/>
                <w:lang w:eastAsia="fr-CA"/>
              </w:rPr>
              <w:t>HB ↓</w:t>
            </w:r>
          </w:p>
          <w:p w:rsidR="003F402A" w:rsidRDefault="00C05AE7" w:rsidP="00000B90">
            <w:pPr>
              <w:pStyle w:val="Sansinterligne"/>
              <w:numPr>
                <w:ilvl w:val="0"/>
                <w:numId w:val="789"/>
              </w:numPr>
              <w:rPr>
                <w:rFonts w:eastAsia="Times New Roman" w:cs="Times New Roman"/>
                <w:color w:val="000000"/>
                <w:lang w:eastAsia="fr-CA"/>
              </w:rPr>
            </w:pPr>
            <w:r>
              <w:rPr>
                <w:rFonts w:eastAsia="Times New Roman" w:cs="Times New Roman"/>
                <w:color w:val="000000"/>
                <w:lang w:eastAsia="fr-CA"/>
              </w:rPr>
              <w:t>LDH</w:t>
            </w:r>
            <w:r w:rsidR="00073671">
              <w:rPr>
                <w:rFonts w:eastAsia="Times New Roman" w:cs="Times New Roman"/>
                <w:color w:val="000000"/>
                <w:lang w:eastAsia="fr-CA"/>
              </w:rPr>
              <w:t xml:space="preserve"> </w:t>
            </w:r>
            <w:r w:rsidR="00073671">
              <w:rPr>
                <w:rFonts w:ascii="Century Gothic" w:eastAsia="Times New Roman" w:hAnsi="Century Gothic" w:cs="Times New Roman"/>
                <w:color w:val="000000"/>
                <w:lang w:eastAsia="fr-CA"/>
              </w:rPr>
              <w:t>↑</w:t>
            </w:r>
            <w:r w:rsidR="003F402A">
              <w:rPr>
                <w:rFonts w:ascii="Century Gothic" w:eastAsia="Times New Roman" w:hAnsi="Century Gothic" w:cs="Times New Roman"/>
                <w:color w:val="000000"/>
                <w:lang w:eastAsia="fr-CA"/>
              </w:rPr>
              <w:t xml:space="preserve"> </w:t>
            </w:r>
            <w:r w:rsidR="003F402A">
              <w:rPr>
                <w:rFonts w:eastAsia="Times New Roman" w:cs="Times New Roman"/>
                <w:color w:val="000000"/>
                <w:lang w:eastAsia="fr-CA"/>
              </w:rPr>
              <w:t>Haptoglobine ↓</w:t>
            </w:r>
          </w:p>
          <w:p w:rsidR="00073671" w:rsidRPr="00073671" w:rsidRDefault="00073671" w:rsidP="00000B90">
            <w:pPr>
              <w:pStyle w:val="Sansinterligne"/>
              <w:numPr>
                <w:ilvl w:val="0"/>
                <w:numId w:val="789"/>
              </w:numPr>
              <w:rPr>
                <w:rFonts w:eastAsia="Times New Roman" w:cs="Times New Roman"/>
                <w:color w:val="000000"/>
                <w:lang w:eastAsia="fr-CA"/>
              </w:rPr>
            </w:pPr>
            <w:r>
              <w:rPr>
                <w:rFonts w:eastAsia="Times New Roman" w:cs="Times New Roman"/>
                <w:color w:val="000000"/>
                <w:lang w:eastAsia="fr-CA"/>
              </w:rPr>
              <w:t xml:space="preserve">Réticulocytose </w:t>
            </w:r>
            <w:r>
              <w:rPr>
                <w:rFonts w:ascii="Century Gothic" w:eastAsia="Times New Roman" w:hAnsi="Century Gothic" w:cs="Times New Roman"/>
                <w:color w:val="000000"/>
                <w:lang w:eastAsia="fr-CA"/>
              </w:rPr>
              <w:t>↑↑</w:t>
            </w:r>
          </w:p>
        </w:tc>
      </w:tr>
      <w:tr w:rsidR="003521A5" w:rsidTr="003F402A">
        <w:tc>
          <w:tcPr>
            <w:tcW w:w="482" w:type="dxa"/>
            <w:shd w:val="clear" w:color="auto" w:fill="FBD4B4" w:themeFill="accent6" w:themeFillTint="66"/>
          </w:tcPr>
          <w:p w:rsidR="003521A5" w:rsidRPr="00BF7956" w:rsidRDefault="003521A5" w:rsidP="007A3335">
            <w:pPr>
              <w:pStyle w:val="Sansinterligne"/>
              <w:rPr>
                <w:rFonts w:eastAsia="Times New Roman" w:cs="Times New Roman"/>
                <w:color w:val="000000"/>
                <w:lang w:eastAsia="fr-CA"/>
              </w:rPr>
            </w:pPr>
          </w:p>
        </w:tc>
        <w:tc>
          <w:tcPr>
            <w:tcW w:w="2745" w:type="dxa"/>
            <w:vAlign w:val="center"/>
          </w:tcPr>
          <w:p w:rsidR="003521A5" w:rsidRPr="00BF7956" w:rsidRDefault="003521A5" w:rsidP="001B0DCD">
            <w:pPr>
              <w:pStyle w:val="Sansinterligne"/>
              <w:jc w:val="center"/>
              <w:rPr>
                <w:rFonts w:eastAsia="Times New Roman" w:cs="Times New Roman"/>
                <w:color w:val="000000"/>
                <w:lang w:eastAsia="fr-CA"/>
              </w:rPr>
            </w:pPr>
            <w:r>
              <w:rPr>
                <w:rFonts w:eastAsia="Times New Roman" w:cs="Times New Roman"/>
                <w:color w:val="000000"/>
                <w:lang w:eastAsia="fr-CA"/>
              </w:rPr>
              <w:t>Hématomes (ex : céphalhématome)</w:t>
            </w:r>
          </w:p>
        </w:tc>
        <w:tc>
          <w:tcPr>
            <w:tcW w:w="4394" w:type="dxa"/>
          </w:tcPr>
          <w:p w:rsidR="003521A5" w:rsidRDefault="003521A5" w:rsidP="00000B90">
            <w:pPr>
              <w:pStyle w:val="Sansinterligne"/>
              <w:numPr>
                <w:ilvl w:val="0"/>
                <w:numId w:val="794"/>
              </w:numPr>
              <w:rPr>
                <w:rFonts w:eastAsia="Times New Roman" w:cs="Times New Roman"/>
                <w:color w:val="000000"/>
                <w:lang w:eastAsia="fr-CA"/>
              </w:rPr>
            </w:pPr>
            <w:r>
              <w:rPr>
                <w:rFonts w:eastAsia="Times New Roman" w:cs="Times New Roman"/>
                <w:color w:val="000000"/>
                <w:lang w:eastAsia="fr-CA"/>
              </w:rPr>
              <w:t xml:space="preserve">Céphalhématomes ou autres </w:t>
            </w:r>
            <w:r w:rsidR="00434CFE">
              <w:rPr>
                <w:rFonts w:eastAsia="Times New Roman" w:cs="Times New Roman"/>
                <w:color w:val="000000"/>
                <w:lang w:eastAsia="fr-CA"/>
              </w:rPr>
              <w:t xml:space="preserve">lésions </w:t>
            </w:r>
            <w:r>
              <w:rPr>
                <w:rFonts w:eastAsia="Times New Roman" w:cs="Times New Roman"/>
                <w:color w:val="000000"/>
                <w:lang w:eastAsia="fr-CA"/>
              </w:rPr>
              <w:t xml:space="preserve">visibles à </w:t>
            </w:r>
            <w:r w:rsidR="00434CFE">
              <w:rPr>
                <w:rFonts w:eastAsia="Times New Roman" w:cs="Times New Roman"/>
                <w:color w:val="000000"/>
                <w:lang w:eastAsia="fr-CA"/>
              </w:rPr>
              <w:t xml:space="preserve">l’E/P </w:t>
            </w:r>
            <w:r>
              <w:rPr>
                <w:rFonts w:eastAsia="Times New Roman" w:cs="Times New Roman"/>
                <w:color w:val="000000"/>
                <w:lang w:eastAsia="fr-CA"/>
              </w:rPr>
              <w:t xml:space="preserve"> du nouveau-né</w:t>
            </w:r>
          </w:p>
        </w:tc>
        <w:tc>
          <w:tcPr>
            <w:tcW w:w="3395" w:type="dxa"/>
            <w:gridSpan w:val="2"/>
          </w:tcPr>
          <w:p w:rsidR="003521A5" w:rsidRDefault="00342768" w:rsidP="00000B90">
            <w:pPr>
              <w:pStyle w:val="Sansinterligne"/>
              <w:numPr>
                <w:ilvl w:val="0"/>
                <w:numId w:val="794"/>
              </w:numPr>
              <w:rPr>
                <w:rFonts w:eastAsia="Times New Roman" w:cs="Times New Roman"/>
                <w:color w:val="000000"/>
                <w:lang w:eastAsia="fr-CA"/>
              </w:rPr>
            </w:pPr>
            <w:r>
              <w:rPr>
                <w:rFonts w:eastAsia="Times New Roman" w:cs="Times New Roman"/>
                <w:color w:val="000000"/>
                <w:lang w:eastAsia="fr-CA"/>
              </w:rPr>
              <w:t xml:space="preserve">Bilirubine NCJ </w:t>
            </w:r>
            <w:r>
              <w:rPr>
                <w:rFonts w:ascii="Century Gothic" w:eastAsia="Times New Roman" w:hAnsi="Century Gothic" w:cs="Times New Roman"/>
                <w:color w:val="000000"/>
                <w:lang w:eastAsia="fr-CA"/>
              </w:rPr>
              <w:t>↑</w:t>
            </w:r>
          </w:p>
        </w:tc>
      </w:tr>
      <w:tr w:rsidR="00CA7B65" w:rsidTr="007F52D0">
        <w:trPr>
          <w:cantSplit/>
          <w:trHeight w:val="1134"/>
        </w:trPr>
        <w:tc>
          <w:tcPr>
            <w:tcW w:w="482" w:type="dxa"/>
            <w:shd w:val="clear" w:color="auto" w:fill="FBD4B4" w:themeFill="accent6" w:themeFillTint="66"/>
          </w:tcPr>
          <w:p w:rsidR="00CA7B65" w:rsidRPr="00BF7956" w:rsidRDefault="00CA7B65" w:rsidP="007A3335">
            <w:pPr>
              <w:pStyle w:val="Sansinterligne"/>
              <w:rPr>
                <w:rFonts w:eastAsia="Times New Roman" w:cs="Times New Roman"/>
                <w:color w:val="000000"/>
                <w:lang w:eastAsia="fr-CA"/>
              </w:rPr>
            </w:pPr>
          </w:p>
        </w:tc>
        <w:tc>
          <w:tcPr>
            <w:tcW w:w="2745" w:type="dxa"/>
            <w:shd w:val="clear" w:color="auto" w:fill="FFFF00"/>
            <w:vAlign w:val="center"/>
          </w:tcPr>
          <w:p w:rsidR="00CA7B65" w:rsidRDefault="00CA7B65" w:rsidP="001B0DCD">
            <w:pPr>
              <w:pStyle w:val="Sansinterligne"/>
              <w:jc w:val="center"/>
              <w:rPr>
                <w:rFonts w:eastAsia="Times New Roman" w:cs="Times New Roman"/>
                <w:color w:val="000000"/>
                <w:lang w:eastAsia="fr-CA"/>
              </w:rPr>
            </w:pPr>
            <w:r>
              <w:rPr>
                <w:rFonts w:eastAsia="Times New Roman" w:cs="Times New Roman"/>
                <w:color w:val="000000"/>
                <w:lang w:eastAsia="fr-CA"/>
              </w:rPr>
              <w:t xml:space="preserve">Kernictère </w:t>
            </w:r>
          </w:p>
          <w:p w:rsidR="00CA7B65" w:rsidRDefault="00CA7B65" w:rsidP="001B0DCD">
            <w:pPr>
              <w:pStyle w:val="Sansinterligne"/>
              <w:jc w:val="center"/>
              <w:rPr>
                <w:rFonts w:eastAsia="Times New Roman" w:cs="Times New Roman"/>
                <w:color w:val="000000"/>
                <w:lang w:eastAsia="fr-CA"/>
              </w:rPr>
            </w:pPr>
          </w:p>
          <w:p w:rsidR="00CA7B65" w:rsidRDefault="00CA7B65" w:rsidP="001B0DCD">
            <w:pPr>
              <w:pStyle w:val="Sansinterligne"/>
              <w:jc w:val="center"/>
              <w:rPr>
                <w:rFonts w:eastAsia="Times New Roman" w:cs="Times New Roman"/>
                <w:color w:val="000000"/>
                <w:lang w:eastAsia="fr-CA"/>
              </w:rPr>
            </w:pPr>
            <w:r>
              <w:rPr>
                <w:rFonts w:eastAsia="Times New Roman" w:cs="Times New Roman"/>
                <w:color w:val="000000"/>
                <w:lang w:eastAsia="fr-CA"/>
              </w:rPr>
              <w:t>(peu importe la cause initiale)</w:t>
            </w:r>
          </w:p>
        </w:tc>
        <w:tc>
          <w:tcPr>
            <w:tcW w:w="4394" w:type="dxa"/>
            <w:tcBorders>
              <w:right w:val="single" w:sz="4" w:space="0" w:color="FFFF00"/>
            </w:tcBorders>
            <w:shd w:val="clear" w:color="auto" w:fill="FFFF00"/>
          </w:tcPr>
          <w:p w:rsidR="00CA7B65" w:rsidRPr="00CA7B65" w:rsidRDefault="00CA7B65" w:rsidP="007A3335">
            <w:pPr>
              <w:pStyle w:val="Sansinterligne"/>
              <w:rPr>
                <w:rFonts w:eastAsia="Times New Roman" w:cs="Times New Roman"/>
                <w:color w:val="000000"/>
                <w:u w:val="single"/>
                <w:lang w:eastAsia="fr-CA"/>
              </w:rPr>
            </w:pPr>
            <w:r w:rsidRPr="00CA7B65">
              <w:rPr>
                <w:rFonts w:eastAsia="Times New Roman" w:cs="Times New Roman"/>
                <w:color w:val="000000"/>
                <w:u w:val="single"/>
                <w:lang w:eastAsia="fr-CA"/>
              </w:rPr>
              <w:t>Initialement</w:t>
            </w:r>
          </w:p>
          <w:p w:rsidR="00CA7B65" w:rsidRDefault="00CA7B65" w:rsidP="00000B90">
            <w:pPr>
              <w:pStyle w:val="Sansinterligne"/>
              <w:numPr>
                <w:ilvl w:val="0"/>
                <w:numId w:val="784"/>
              </w:numPr>
              <w:rPr>
                <w:rFonts w:eastAsia="Times New Roman" w:cs="Times New Roman"/>
                <w:color w:val="000000"/>
                <w:lang w:eastAsia="fr-CA"/>
              </w:rPr>
            </w:pPr>
            <w:r>
              <w:rPr>
                <w:rFonts w:eastAsia="Times New Roman" w:cs="Times New Roman"/>
                <w:color w:val="000000"/>
                <w:lang w:eastAsia="fr-CA"/>
              </w:rPr>
              <w:t>Léthargie</w:t>
            </w:r>
          </w:p>
          <w:p w:rsidR="00CA7B65" w:rsidRDefault="00CA7B65" w:rsidP="00000B90">
            <w:pPr>
              <w:pStyle w:val="Sansinterligne"/>
              <w:numPr>
                <w:ilvl w:val="0"/>
                <w:numId w:val="784"/>
              </w:numPr>
              <w:rPr>
                <w:rFonts w:eastAsia="Times New Roman" w:cs="Times New Roman"/>
                <w:color w:val="000000"/>
                <w:lang w:eastAsia="fr-CA"/>
              </w:rPr>
            </w:pPr>
            <w:r>
              <w:rPr>
                <w:rFonts w:eastAsia="Times New Roman" w:cs="Times New Roman"/>
                <w:color w:val="000000"/>
                <w:lang w:eastAsia="fr-CA"/>
              </w:rPr>
              <w:t>Hypotonie</w:t>
            </w:r>
          </w:p>
          <w:p w:rsidR="00CA7B65" w:rsidRDefault="00CA7B65" w:rsidP="00000B90">
            <w:pPr>
              <w:pStyle w:val="Sansinterligne"/>
              <w:numPr>
                <w:ilvl w:val="0"/>
                <w:numId w:val="784"/>
              </w:numPr>
              <w:rPr>
                <w:rFonts w:eastAsia="Times New Roman" w:cs="Times New Roman"/>
                <w:color w:val="000000"/>
                <w:lang w:eastAsia="fr-CA"/>
              </w:rPr>
            </w:pPr>
            <w:r>
              <w:rPr>
                <w:rFonts w:eastAsia="Times New Roman" w:cs="Times New Roman"/>
                <w:color w:val="000000"/>
                <w:lang w:eastAsia="fr-CA"/>
              </w:rPr>
              <w:t>Vomissements, faible appétit</w:t>
            </w:r>
          </w:p>
          <w:p w:rsidR="001754C4" w:rsidRDefault="001754C4" w:rsidP="001754C4">
            <w:pPr>
              <w:pStyle w:val="Sansinterligne"/>
              <w:rPr>
                <w:rFonts w:eastAsia="Times New Roman" w:cs="Times New Roman"/>
                <w:color w:val="000000"/>
                <w:u w:val="single"/>
                <w:lang w:eastAsia="fr-CA"/>
              </w:rPr>
            </w:pPr>
          </w:p>
          <w:p w:rsidR="001754C4" w:rsidRPr="00CA7B65" w:rsidRDefault="001754C4" w:rsidP="001754C4">
            <w:pPr>
              <w:pStyle w:val="Sansinterligne"/>
              <w:rPr>
                <w:rFonts w:eastAsia="Times New Roman" w:cs="Times New Roman"/>
                <w:color w:val="000000"/>
                <w:u w:val="single"/>
                <w:lang w:eastAsia="fr-CA"/>
              </w:rPr>
            </w:pPr>
            <w:r w:rsidRPr="00CA7B65">
              <w:rPr>
                <w:rFonts w:eastAsia="Times New Roman" w:cs="Times New Roman"/>
                <w:color w:val="000000"/>
                <w:u w:val="single"/>
                <w:lang w:eastAsia="fr-CA"/>
              </w:rPr>
              <w:t>Mi-cours</w:t>
            </w:r>
          </w:p>
          <w:p w:rsidR="001754C4" w:rsidRDefault="001754C4" w:rsidP="00000B90">
            <w:pPr>
              <w:pStyle w:val="Sansinterligne"/>
              <w:numPr>
                <w:ilvl w:val="0"/>
                <w:numId w:val="785"/>
              </w:numPr>
              <w:rPr>
                <w:rFonts w:eastAsia="Times New Roman" w:cs="Times New Roman"/>
                <w:color w:val="000000"/>
                <w:lang w:eastAsia="fr-CA"/>
              </w:rPr>
            </w:pPr>
            <w:r>
              <w:rPr>
                <w:rFonts w:eastAsia="Times New Roman" w:cs="Times New Roman"/>
                <w:color w:val="000000"/>
                <w:lang w:eastAsia="fr-CA"/>
              </w:rPr>
              <w:t>Hypertonie</w:t>
            </w:r>
          </w:p>
          <w:p w:rsidR="001754C4" w:rsidRDefault="001754C4" w:rsidP="00000B90">
            <w:pPr>
              <w:pStyle w:val="Sansinterligne"/>
              <w:numPr>
                <w:ilvl w:val="0"/>
                <w:numId w:val="785"/>
              </w:numPr>
              <w:rPr>
                <w:rFonts w:eastAsia="Times New Roman" w:cs="Times New Roman"/>
                <w:color w:val="000000"/>
                <w:lang w:eastAsia="fr-CA"/>
              </w:rPr>
            </w:pPr>
            <w:r>
              <w:rPr>
                <w:rFonts w:eastAsia="Times New Roman" w:cs="Times New Roman"/>
                <w:color w:val="000000"/>
                <w:lang w:eastAsia="fr-CA"/>
              </w:rPr>
              <w:t>Cris aigus</w:t>
            </w:r>
          </w:p>
          <w:p w:rsidR="001754C4" w:rsidRDefault="001754C4" w:rsidP="00000B90">
            <w:pPr>
              <w:pStyle w:val="Sansinterligne"/>
              <w:numPr>
                <w:ilvl w:val="0"/>
                <w:numId w:val="785"/>
              </w:numPr>
              <w:rPr>
                <w:rFonts w:eastAsia="Times New Roman" w:cs="Times New Roman"/>
                <w:color w:val="000000"/>
                <w:lang w:eastAsia="fr-CA"/>
              </w:rPr>
            </w:pPr>
            <w:r>
              <w:rPr>
                <w:rFonts w:eastAsia="Times New Roman" w:cs="Times New Roman"/>
                <w:color w:val="000000"/>
                <w:lang w:eastAsia="fr-CA"/>
              </w:rPr>
              <w:t>Opisthotonos</w:t>
            </w:r>
          </w:p>
          <w:p w:rsidR="001754C4" w:rsidRDefault="001754C4" w:rsidP="00000B90">
            <w:pPr>
              <w:pStyle w:val="Sansinterligne"/>
              <w:numPr>
                <w:ilvl w:val="0"/>
                <w:numId w:val="785"/>
              </w:numPr>
              <w:rPr>
                <w:rFonts w:eastAsia="Times New Roman" w:cs="Times New Roman"/>
                <w:color w:val="000000"/>
                <w:lang w:eastAsia="fr-CA"/>
              </w:rPr>
            </w:pPr>
            <w:r>
              <w:rPr>
                <w:rFonts w:eastAsia="Times New Roman" w:cs="Times New Roman"/>
                <w:color w:val="000000"/>
                <w:lang w:eastAsia="fr-CA"/>
              </w:rPr>
              <w:t>Fontanelle bombée</w:t>
            </w:r>
          </w:p>
          <w:p w:rsidR="001754C4" w:rsidRDefault="001754C4" w:rsidP="00000B90">
            <w:pPr>
              <w:pStyle w:val="Sansinterligne"/>
              <w:numPr>
                <w:ilvl w:val="0"/>
                <w:numId w:val="785"/>
              </w:numPr>
              <w:rPr>
                <w:rFonts w:eastAsia="Times New Roman" w:cs="Times New Roman"/>
                <w:color w:val="000000"/>
                <w:lang w:eastAsia="fr-CA"/>
              </w:rPr>
            </w:pPr>
            <w:r>
              <w:rPr>
                <w:rFonts w:eastAsia="Times New Roman" w:cs="Times New Roman"/>
                <w:color w:val="000000"/>
                <w:lang w:eastAsia="fr-CA"/>
              </w:rPr>
              <w:t>Convulsions</w:t>
            </w:r>
          </w:p>
          <w:p w:rsidR="00CA7B65" w:rsidRPr="001754C4" w:rsidRDefault="001754C4" w:rsidP="001754C4">
            <w:pPr>
              <w:pStyle w:val="Sansinterligne"/>
              <w:ind w:left="360"/>
              <w:rPr>
                <w:rFonts w:eastAsia="Times New Roman" w:cs="Times New Roman"/>
                <w:color w:val="000000"/>
                <w:lang w:eastAsia="fr-CA"/>
              </w:rPr>
            </w:pPr>
            <w:r>
              <w:rPr>
                <w:rFonts w:eastAsia="Times New Roman" w:cs="Times New Roman"/>
                <w:color w:val="000000"/>
                <w:lang w:eastAsia="fr-CA"/>
              </w:rPr>
              <w:t>Hémorragies pulmonaires</w:t>
            </w:r>
          </w:p>
        </w:tc>
        <w:tc>
          <w:tcPr>
            <w:tcW w:w="3395" w:type="dxa"/>
            <w:gridSpan w:val="2"/>
            <w:tcBorders>
              <w:left w:val="single" w:sz="4" w:space="0" w:color="FFFF00"/>
            </w:tcBorders>
            <w:shd w:val="clear" w:color="auto" w:fill="FFFF00"/>
          </w:tcPr>
          <w:p w:rsidR="001754C4" w:rsidRPr="00CA7B65" w:rsidRDefault="001754C4" w:rsidP="007F52D0">
            <w:pPr>
              <w:pStyle w:val="Sansinterligne"/>
              <w:rPr>
                <w:rFonts w:eastAsia="Times New Roman" w:cs="Times New Roman"/>
                <w:color w:val="000000"/>
                <w:u w:val="single"/>
                <w:lang w:eastAsia="fr-CA"/>
              </w:rPr>
            </w:pPr>
            <w:r w:rsidRPr="00CA7B65">
              <w:rPr>
                <w:rFonts w:eastAsia="Times New Roman" w:cs="Times New Roman"/>
                <w:color w:val="000000"/>
                <w:u w:val="single"/>
                <w:lang w:eastAsia="fr-CA"/>
              </w:rPr>
              <w:t xml:space="preserve"> Tardif</w:t>
            </w:r>
            <w:r>
              <w:rPr>
                <w:rFonts w:eastAsia="Times New Roman" w:cs="Times New Roman"/>
                <w:color w:val="000000"/>
                <w:u w:val="single"/>
                <w:lang w:eastAsia="fr-CA"/>
              </w:rPr>
              <w:t xml:space="preserve"> (</w:t>
            </w:r>
            <w:r>
              <w:rPr>
                <w:rFonts w:ascii="Century Gothic" w:eastAsia="Times New Roman" w:hAnsi="Century Gothic" w:cs="Times New Roman"/>
                <w:color w:val="000000"/>
                <w:u w:val="single"/>
                <w:lang w:eastAsia="fr-CA"/>
              </w:rPr>
              <w:t>≥</w:t>
            </w:r>
            <w:r>
              <w:rPr>
                <w:rFonts w:eastAsia="Times New Roman" w:cs="Times New Roman"/>
                <w:color w:val="000000"/>
                <w:u w:val="single"/>
                <w:lang w:eastAsia="fr-CA"/>
              </w:rPr>
              <w:t>1 an)</w:t>
            </w:r>
          </w:p>
          <w:p w:rsidR="001754C4" w:rsidRDefault="006516A7" w:rsidP="007F52D0">
            <w:pPr>
              <w:pStyle w:val="Sansinterligne"/>
              <w:numPr>
                <w:ilvl w:val="0"/>
                <w:numId w:val="786"/>
              </w:numPr>
              <w:rPr>
                <w:rFonts w:eastAsia="Times New Roman" w:cs="Times New Roman"/>
                <w:color w:val="000000"/>
                <w:lang w:eastAsia="fr-CA"/>
              </w:rPr>
            </w:pPr>
            <w:r>
              <w:rPr>
                <w:rFonts w:eastAsia="Times New Roman" w:cs="Times New Roman"/>
                <w:color w:val="000000"/>
                <w:lang w:eastAsia="fr-CA"/>
              </w:rPr>
              <w:t>Retard moteur</w:t>
            </w:r>
          </w:p>
          <w:p w:rsidR="001754C4" w:rsidRDefault="006516A7" w:rsidP="007F52D0">
            <w:pPr>
              <w:pStyle w:val="Sansinterligne"/>
              <w:numPr>
                <w:ilvl w:val="0"/>
                <w:numId w:val="786"/>
              </w:numPr>
              <w:rPr>
                <w:rFonts w:eastAsia="Times New Roman" w:cs="Times New Roman"/>
                <w:color w:val="000000"/>
                <w:lang w:eastAsia="fr-CA"/>
              </w:rPr>
            </w:pPr>
            <w:r>
              <w:rPr>
                <w:rFonts w:eastAsia="Times New Roman" w:cs="Times New Roman"/>
                <w:color w:val="000000"/>
                <w:lang w:eastAsia="fr-CA"/>
              </w:rPr>
              <w:t>Déficience intellectuelle</w:t>
            </w:r>
          </w:p>
          <w:p w:rsidR="001754C4" w:rsidRDefault="001754C4" w:rsidP="007F52D0">
            <w:pPr>
              <w:pStyle w:val="Sansinterligne"/>
              <w:numPr>
                <w:ilvl w:val="0"/>
                <w:numId w:val="786"/>
              </w:numPr>
              <w:rPr>
                <w:rFonts w:eastAsia="Times New Roman" w:cs="Times New Roman"/>
                <w:color w:val="000000"/>
                <w:lang w:eastAsia="fr-CA"/>
              </w:rPr>
            </w:pPr>
            <w:r>
              <w:rPr>
                <w:rFonts w:eastAsia="Times New Roman" w:cs="Times New Roman"/>
                <w:color w:val="000000"/>
                <w:lang w:eastAsia="fr-CA"/>
              </w:rPr>
              <w:t>Chorée athétose</w:t>
            </w:r>
          </w:p>
          <w:p w:rsidR="001754C4" w:rsidRDefault="001754C4" w:rsidP="007F52D0">
            <w:pPr>
              <w:pStyle w:val="Sansinterligne"/>
              <w:numPr>
                <w:ilvl w:val="0"/>
                <w:numId w:val="786"/>
              </w:numPr>
              <w:rPr>
                <w:rFonts w:eastAsia="Times New Roman" w:cs="Times New Roman"/>
                <w:color w:val="000000"/>
                <w:lang w:eastAsia="fr-CA"/>
              </w:rPr>
            </w:pPr>
            <w:r>
              <w:rPr>
                <w:rFonts w:eastAsia="Times New Roman" w:cs="Times New Roman"/>
                <w:color w:val="000000"/>
                <w:lang w:eastAsia="fr-CA"/>
              </w:rPr>
              <w:t>Paralysie du regard</w:t>
            </w:r>
          </w:p>
          <w:p w:rsidR="001754C4" w:rsidRDefault="001754C4" w:rsidP="007F52D0">
            <w:pPr>
              <w:pStyle w:val="Sansinterligne"/>
              <w:numPr>
                <w:ilvl w:val="0"/>
                <w:numId w:val="786"/>
              </w:numPr>
              <w:rPr>
                <w:rFonts w:eastAsia="Times New Roman" w:cs="Times New Roman"/>
                <w:color w:val="000000"/>
                <w:lang w:eastAsia="fr-CA"/>
              </w:rPr>
            </w:pPr>
            <w:r>
              <w:rPr>
                <w:rFonts w:eastAsia="Times New Roman" w:cs="Times New Roman"/>
                <w:color w:val="000000"/>
                <w:lang w:eastAsia="fr-CA"/>
              </w:rPr>
              <w:t>Insuffisance mitrale</w:t>
            </w:r>
          </w:p>
          <w:p w:rsidR="00CA7B65" w:rsidRDefault="001754C4" w:rsidP="007F52D0">
            <w:pPr>
              <w:pStyle w:val="Sansinterligne"/>
              <w:numPr>
                <w:ilvl w:val="0"/>
                <w:numId w:val="786"/>
              </w:numPr>
              <w:rPr>
                <w:rFonts w:eastAsia="Times New Roman" w:cs="Times New Roman"/>
                <w:color w:val="000000"/>
                <w:lang w:eastAsia="fr-CA"/>
              </w:rPr>
            </w:pPr>
            <w:r>
              <w:rPr>
                <w:rFonts w:eastAsia="Times New Roman" w:cs="Times New Roman"/>
                <w:color w:val="000000"/>
                <w:lang w:eastAsia="fr-CA"/>
              </w:rPr>
              <w:t>Surdité neurosensorielle</w:t>
            </w:r>
          </w:p>
          <w:p w:rsidR="001754C4" w:rsidRDefault="001754C4" w:rsidP="007F52D0">
            <w:pPr>
              <w:pStyle w:val="Sansinterligne"/>
              <w:rPr>
                <w:rFonts w:eastAsia="Times New Roman" w:cs="Times New Roman"/>
                <w:color w:val="000000"/>
                <w:lang w:eastAsia="fr-CA"/>
              </w:rPr>
            </w:pPr>
          </w:p>
          <w:p w:rsidR="001754C4" w:rsidRPr="001754C4" w:rsidRDefault="001754C4" w:rsidP="007F52D0">
            <w:pPr>
              <w:pStyle w:val="Sansinterligne"/>
              <w:numPr>
                <w:ilvl w:val="0"/>
                <w:numId w:val="787"/>
              </w:numPr>
              <w:rPr>
                <w:rFonts w:eastAsia="Times New Roman" w:cs="Times New Roman"/>
                <w:color w:val="000000"/>
                <w:lang w:eastAsia="fr-CA"/>
              </w:rPr>
            </w:pPr>
            <w:r w:rsidRPr="001754C4">
              <w:rPr>
                <w:rFonts w:eastAsia="Times New Roman" w:cs="Times New Roman"/>
                <w:color w:val="000000"/>
                <w:lang w:eastAsia="fr-CA"/>
              </w:rPr>
              <w:t>Causes diverses</w:t>
            </w:r>
          </w:p>
          <w:p w:rsidR="001754C4" w:rsidRPr="001754C4" w:rsidRDefault="001754C4" w:rsidP="007F52D0">
            <w:pPr>
              <w:pStyle w:val="Sansinterligne"/>
              <w:numPr>
                <w:ilvl w:val="0"/>
                <w:numId w:val="787"/>
              </w:numPr>
              <w:rPr>
                <w:rFonts w:cs="Times New Roman"/>
              </w:rPr>
            </w:pPr>
            <w:r w:rsidRPr="001754C4">
              <w:rPr>
                <w:rFonts w:eastAsia="Times New Roman" w:cs="Times New Roman"/>
                <w:color w:val="000000"/>
                <w:lang w:eastAsia="fr-CA"/>
              </w:rPr>
              <w:t xml:space="preserve">Bilirubine totale ≥ </w:t>
            </w:r>
            <w:r w:rsidRPr="001754C4">
              <w:rPr>
                <w:rFonts w:cs="Times New Roman"/>
              </w:rPr>
              <w:t>340 μmol/L</w:t>
            </w:r>
          </w:p>
          <w:p w:rsidR="001754C4" w:rsidRPr="001754C4" w:rsidRDefault="001754C4" w:rsidP="007F52D0">
            <w:pPr>
              <w:pStyle w:val="Sansinterligne"/>
              <w:numPr>
                <w:ilvl w:val="0"/>
                <w:numId w:val="787"/>
              </w:numPr>
              <w:rPr>
                <w:rFonts w:eastAsia="Times New Roman" w:cs="Times New Roman"/>
                <w:color w:val="000000"/>
                <w:lang w:eastAsia="fr-CA"/>
              </w:rPr>
            </w:pPr>
            <w:r>
              <w:rPr>
                <w:rFonts w:eastAsia="Times New Roman" w:cs="Times New Roman"/>
                <w:color w:val="000000"/>
                <w:lang w:eastAsia="fr-CA"/>
              </w:rPr>
              <w:t>La bilirubine NCJ se dépose dans le cerveau.</w:t>
            </w:r>
          </w:p>
        </w:tc>
      </w:tr>
      <w:tr w:rsidR="0068583C" w:rsidTr="00BF7956">
        <w:tc>
          <w:tcPr>
            <w:tcW w:w="11016" w:type="dxa"/>
            <w:gridSpan w:val="5"/>
            <w:shd w:val="clear" w:color="auto" w:fill="FFC000"/>
          </w:tcPr>
          <w:p w:rsidR="0068583C" w:rsidRPr="00BF7956" w:rsidRDefault="0068583C" w:rsidP="001A4606">
            <w:pPr>
              <w:pStyle w:val="Sansinterligne"/>
              <w:jc w:val="center"/>
              <w:rPr>
                <w:rFonts w:eastAsia="Times New Roman" w:cs="Times New Roman"/>
                <w:color w:val="000000"/>
                <w:lang w:eastAsia="fr-CA"/>
              </w:rPr>
            </w:pPr>
            <w:r w:rsidRPr="00BF7956">
              <w:rPr>
                <w:rFonts w:eastAsia="Times New Roman" w:cs="Times New Roman"/>
                <w:color w:val="000000"/>
                <w:lang w:eastAsia="fr-CA"/>
              </w:rPr>
              <w:t>Hyperbilirubinémie conjuguée</w:t>
            </w:r>
          </w:p>
        </w:tc>
      </w:tr>
      <w:tr w:rsidR="0072064B" w:rsidTr="003F402A">
        <w:tc>
          <w:tcPr>
            <w:tcW w:w="482" w:type="dxa"/>
            <w:shd w:val="clear" w:color="auto" w:fill="000000" w:themeFill="text1"/>
            <w:textDirection w:val="btLr"/>
            <w:vAlign w:val="center"/>
          </w:tcPr>
          <w:p w:rsidR="0072064B" w:rsidRPr="00BF7956" w:rsidRDefault="0072064B" w:rsidP="00371561">
            <w:pPr>
              <w:pStyle w:val="Sansinterligne"/>
              <w:ind w:left="113" w:right="113"/>
              <w:jc w:val="center"/>
              <w:rPr>
                <w:rFonts w:eastAsia="Times New Roman" w:cs="Times New Roman"/>
                <w:color w:val="000000"/>
                <w:lang w:eastAsia="fr-CA"/>
              </w:rPr>
            </w:pPr>
          </w:p>
        </w:tc>
        <w:tc>
          <w:tcPr>
            <w:tcW w:w="2745" w:type="dxa"/>
          </w:tcPr>
          <w:p w:rsidR="0072064B" w:rsidRPr="00E04E6B" w:rsidRDefault="0072064B" w:rsidP="00E04E6B">
            <w:pPr>
              <w:pStyle w:val="Sansinterligne"/>
              <w:jc w:val="center"/>
              <w:rPr>
                <w:rFonts w:eastAsia="Times New Roman" w:cs="Times New Roman"/>
                <w:i/>
                <w:color w:val="000000"/>
                <w:lang w:eastAsia="fr-CA"/>
              </w:rPr>
            </w:pPr>
            <w:r w:rsidRPr="00E04E6B">
              <w:rPr>
                <w:rFonts w:eastAsia="Times New Roman" w:cs="Times New Roman"/>
                <w:i/>
                <w:color w:val="000000"/>
                <w:lang w:eastAsia="fr-CA"/>
              </w:rPr>
              <w:t>Diagnostics</w:t>
            </w:r>
          </w:p>
        </w:tc>
        <w:tc>
          <w:tcPr>
            <w:tcW w:w="4678" w:type="dxa"/>
            <w:gridSpan w:val="2"/>
          </w:tcPr>
          <w:p w:rsidR="0072064B" w:rsidRPr="00E04E6B" w:rsidRDefault="0072064B" w:rsidP="00E04E6B">
            <w:pPr>
              <w:pStyle w:val="Sansinterligne"/>
              <w:jc w:val="center"/>
              <w:rPr>
                <w:rFonts w:eastAsia="Times New Roman" w:cs="Times New Roman"/>
                <w:i/>
                <w:color w:val="000000"/>
                <w:lang w:eastAsia="fr-CA"/>
              </w:rPr>
            </w:pPr>
            <w:r w:rsidRPr="00E04E6B">
              <w:rPr>
                <w:rFonts w:eastAsia="Times New Roman" w:cs="Times New Roman"/>
                <w:i/>
                <w:color w:val="000000"/>
                <w:lang w:eastAsia="fr-CA"/>
              </w:rPr>
              <w:t>Manifestations cliniques</w:t>
            </w:r>
          </w:p>
        </w:tc>
        <w:tc>
          <w:tcPr>
            <w:tcW w:w="3111" w:type="dxa"/>
          </w:tcPr>
          <w:p w:rsidR="0072064B" w:rsidRPr="00E04E6B" w:rsidRDefault="0072064B" w:rsidP="00E04E6B">
            <w:pPr>
              <w:pStyle w:val="Sansinterligne"/>
              <w:jc w:val="center"/>
              <w:rPr>
                <w:rFonts w:eastAsia="Times New Roman" w:cs="Times New Roman"/>
                <w:i/>
                <w:color w:val="000000"/>
                <w:lang w:eastAsia="fr-CA"/>
              </w:rPr>
            </w:pPr>
            <w:r w:rsidRPr="00E04E6B">
              <w:rPr>
                <w:rFonts w:eastAsia="Times New Roman" w:cs="Times New Roman"/>
                <w:i/>
                <w:color w:val="000000"/>
                <w:lang w:eastAsia="fr-CA"/>
              </w:rPr>
              <w:t>Valeurs de laboratoire /examens</w:t>
            </w:r>
          </w:p>
        </w:tc>
      </w:tr>
      <w:tr w:rsidR="00D70C38" w:rsidTr="003F402A">
        <w:tc>
          <w:tcPr>
            <w:tcW w:w="482" w:type="dxa"/>
            <w:vMerge w:val="restart"/>
            <w:shd w:val="clear" w:color="auto" w:fill="FBD4B4" w:themeFill="accent6" w:themeFillTint="66"/>
            <w:textDirection w:val="btLr"/>
            <w:vAlign w:val="center"/>
          </w:tcPr>
          <w:p w:rsidR="00D70C38" w:rsidRPr="00CD62AF" w:rsidRDefault="00D70C38" w:rsidP="00D70C38">
            <w:pPr>
              <w:pStyle w:val="Sansinterligne"/>
              <w:ind w:left="113" w:right="113"/>
              <w:jc w:val="center"/>
              <w:rPr>
                <w:rFonts w:eastAsia="Times New Roman" w:cs="Times New Roman"/>
                <w:b/>
                <w:color w:val="000000"/>
                <w:lang w:eastAsia="fr-CA"/>
              </w:rPr>
            </w:pPr>
            <w:r w:rsidRPr="00CD62AF">
              <w:rPr>
                <w:rFonts w:eastAsia="Times New Roman" w:cs="Times New Roman"/>
                <w:b/>
                <w:color w:val="000000"/>
                <w:lang w:eastAsia="fr-CA"/>
              </w:rPr>
              <w:t>Obstruction</w:t>
            </w:r>
            <w:r w:rsidR="007274B4" w:rsidRPr="00CD62AF">
              <w:rPr>
                <w:rFonts w:eastAsia="Times New Roman" w:cs="Times New Roman"/>
                <w:b/>
                <w:color w:val="000000"/>
                <w:lang w:eastAsia="fr-CA"/>
              </w:rPr>
              <w:t xml:space="preserve"> biliaire</w:t>
            </w:r>
          </w:p>
        </w:tc>
        <w:tc>
          <w:tcPr>
            <w:tcW w:w="2745" w:type="dxa"/>
            <w:shd w:val="clear" w:color="auto" w:fill="FFFF00"/>
            <w:vAlign w:val="center"/>
          </w:tcPr>
          <w:p w:rsidR="00D70C38" w:rsidRPr="00BF7956" w:rsidRDefault="00D70C38" w:rsidP="001B0DCD">
            <w:pPr>
              <w:pStyle w:val="Sansinterligne"/>
              <w:jc w:val="center"/>
              <w:rPr>
                <w:rFonts w:eastAsia="Times New Roman" w:cs="Times New Roman"/>
                <w:color w:val="000000"/>
                <w:lang w:eastAsia="fr-CA"/>
              </w:rPr>
            </w:pPr>
            <w:r w:rsidRPr="00BF7956">
              <w:rPr>
                <w:rFonts w:eastAsia="Times New Roman" w:cs="Times New Roman"/>
                <w:color w:val="000000"/>
                <w:lang w:eastAsia="fr-CA"/>
              </w:rPr>
              <w:t>Atrésie des voies biliaires</w:t>
            </w:r>
          </w:p>
        </w:tc>
        <w:tc>
          <w:tcPr>
            <w:tcW w:w="4678" w:type="dxa"/>
            <w:gridSpan w:val="2"/>
            <w:shd w:val="clear" w:color="auto" w:fill="FFFF00"/>
          </w:tcPr>
          <w:p w:rsidR="00D70C38" w:rsidRDefault="00D70C38" w:rsidP="00000B90">
            <w:pPr>
              <w:pStyle w:val="Sansinterligne"/>
              <w:numPr>
                <w:ilvl w:val="0"/>
                <w:numId w:val="783"/>
              </w:numPr>
              <w:rPr>
                <w:rFonts w:eastAsia="Times New Roman" w:cs="Times New Roman"/>
                <w:color w:val="000000"/>
                <w:lang w:eastAsia="fr-CA"/>
              </w:rPr>
            </w:pPr>
            <w:r>
              <w:rPr>
                <w:rFonts w:eastAsia="Times New Roman" w:cs="Times New Roman"/>
                <w:color w:val="000000"/>
                <w:lang w:eastAsia="fr-CA"/>
              </w:rPr>
              <w:t xml:space="preserve">Ictère persistant </w:t>
            </w:r>
            <w:r>
              <w:rPr>
                <w:rFonts w:ascii="Century Gothic" w:eastAsia="Times New Roman" w:hAnsi="Century Gothic" w:cs="Times New Roman"/>
                <w:color w:val="000000"/>
                <w:lang w:eastAsia="fr-CA"/>
              </w:rPr>
              <w:t>&gt;</w:t>
            </w:r>
            <w:r>
              <w:rPr>
                <w:rFonts w:eastAsia="Times New Roman" w:cs="Times New Roman"/>
                <w:color w:val="000000"/>
                <w:lang w:eastAsia="fr-CA"/>
              </w:rPr>
              <w:t xml:space="preserve"> 2 semaines</w:t>
            </w:r>
          </w:p>
          <w:p w:rsidR="00D70C38" w:rsidRDefault="00D70C38" w:rsidP="00000B90">
            <w:pPr>
              <w:pStyle w:val="Sansinterligne"/>
              <w:numPr>
                <w:ilvl w:val="0"/>
                <w:numId w:val="783"/>
              </w:numPr>
              <w:rPr>
                <w:rFonts w:eastAsia="Times New Roman" w:cs="Times New Roman"/>
                <w:color w:val="000000"/>
                <w:lang w:eastAsia="fr-CA"/>
              </w:rPr>
            </w:pPr>
            <w:r>
              <w:rPr>
                <w:rFonts w:eastAsia="Times New Roman" w:cs="Times New Roman"/>
                <w:color w:val="000000"/>
                <w:lang w:eastAsia="fr-CA"/>
              </w:rPr>
              <w:t>Selles pâles / acholiques</w:t>
            </w:r>
          </w:p>
          <w:p w:rsidR="00D70C38" w:rsidRDefault="00D70C38" w:rsidP="00000B90">
            <w:pPr>
              <w:pStyle w:val="Sansinterligne"/>
              <w:numPr>
                <w:ilvl w:val="0"/>
                <w:numId w:val="783"/>
              </w:numPr>
              <w:rPr>
                <w:rFonts w:eastAsia="Times New Roman" w:cs="Times New Roman"/>
                <w:color w:val="000000"/>
                <w:lang w:eastAsia="fr-CA"/>
              </w:rPr>
            </w:pPr>
            <w:r>
              <w:rPr>
                <w:rFonts w:eastAsia="Times New Roman" w:cs="Times New Roman"/>
                <w:color w:val="000000"/>
                <w:lang w:eastAsia="fr-CA"/>
              </w:rPr>
              <w:t>Urines foncées</w:t>
            </w:r>
          </w:p>
          <w:p w:rsidR="00D70C38" w:rsidRPr="003F402A" w:rsidRDefault="00D70C38" w:rsidP="00000B90">
            <w:pPr>
              <w:pStyle w:val="Sansinterligne"/>
              <w:numPr>
                <w:ilvl w:val="0"/>
                <w:numId w:val="783"/>
              </w:numPr>
              <w:rPr>
                <w:rFonts w:eastAsia="Times New Roman" w:cs="Times New Roman"/>
                <w:color w:val="000000"/>
                <w:lang w:eastAsia="fr-CA"/>
              </w:rPr>
            </w:pPr>
            <w:r>
              <w:rPr>
                <w:rFonts w:eastAsia="Times New Roman" w:cs="Times New Roman"/>
                <w:color w:val="000000"/>
                <w:lang w:eastAsia="fr-CA"/>
              </w:rPr>
              <w:t>Hépatosplénomégalie</w:t>
            </w:r>
            <w:r w:rsidR="003F402A">
              <w:rPr>
                <w:rFonts w:eastAsia="Times New Roman" w:cs="Times New Roman"/>
                <w:color w:val="000000"/>
                <w:lang w:eastAsia="fr-CA"/>
              </w:rPr>
              <w:t xml:space="preserve"> / Distension abdominale</w:t>
            </w:r>
          </w:p>
        </w:tc>
        <w:tc>
          <w:tcPr>
            <w:tcW w:w="3111" w:type="dxa"/>
            <w:shd w:val="clear" w:color="auto" w:fill="FFFF00"/>
          </w:tcPr>
          <w:p w:rsidR="00D70C38" w:rsidRDefault="00D70C38" w:rsidP="00000B90">
            <w:pPr>
              <w:pStyle w:val="Sansinterligne"/>
              <w:numPr>
                <w:ilvl w:val="0"/>
                <w:numId w:val="798"/>
              </w:numPr>
              <w:rPr>
                <w:rFonts w:ascii="Century Gothic" w:eastAsia="Times New Roman" w:hAnsi="Century Gothic" w:cs="Times New Roman"/>
                <w:color w:val="000000"/>
                <w:lang w:eastAsia="fr-CA"/>
              </w:rPr>
            </w:pPr>
            <w:r>
              <w:rPr>
                <w:rFonts w:eastAsia="Times New Roman" w:cs="Times New Roman"/>
                <w:color w:val="000000"/>
                <w:lang w:eastAsia="fr-CA"/>
              </w:rPr>
              <w:t xml:space="preserve">Bilirubine CJ </w:t>
            </w:r>
            <w:r>
              <w:rPr>
                <w:rFonts w:ascii="Century Gothic" w:eastAsia="Times New Roman" w:hAnsi="Century Gothic" w:cs="Times New Roman"/>
                <w:color w:val="000000"/>
                <w:lang w:eastAsia="fr-CA"/>
              </w:rPr>
              <w:t>↑↑↑</w:t>
            </w:r>
          </w:p>
          <w:p w:rsidR="00D70C38" w:rsidRPr="00FE5EFA" w:rsidRDefault="00D70C38" w:rsidP="00000B90">
            <w:pPr>
              <w:pStyle w:val="Sansinterligne"/>
              <w:numPr>
                <w:ilvl w:val="0"/>
                <w:numId w:val="798"/>
              </w:numPr>
              <w:rPr>
                <w:rFonts w:eastAsia="Times New Roman" w:cs="Times New Roman"/>
                <w:color w:val="000000"/>
                <w:lang w:eastAsia="fr-CA"/>
              </w:rPr>
            </w:pPr>
            <w:r w:rsidRPr="00FE5EFA">
              <w:rPr>
                <w:rFonts w:eastAsia="Times New Roman" w:cs="Times New Roman"/>
                <w:color w:val="000000"/>
                <w:lang w:eastAsia="fr-CA"/>
              </w:rPr>
              <w:t>GGT ↑</w:t>
            </w:r>
          </w:p>
        </w:tc>
      </w:tr>
      <w:tr w:rsidR="00D70C38" w:rsidTr="003F402A">
        <w:trPr>
          <w:trHeight w:val="135"/>
        </w:trPr>
        <w:tc>
          <w:tcPr>
            <w:tcW w:w="482" w:type="dxa"/>
            <w:vMerge/>
            <w:shd w:val="clear" w:color="auto" w:fill="FBD4B4" w:themeFill="accent6" w:themeFillTint="66"/>
          </w:tcPr>
          <w:p w:rsidR="00D70C38" w:rsidRPr="00BF7956" w:rsidRDefault="00D70C38" w:rsidP="007A3335">
            <w:pPr>
              <w:pStyle w:val="Sansinterligne"/>
              <w:rPr>
                <w:rFonts w:eastAsia="Times New Roman" w:cs="Times New Roman"/>
                <w:color w:val="000000"/>
                <w:lang w:eastAsia="fr-CA"/>
              </w:rPr>
            </w:pPr>
          </w:p>
        </w:tc>
        <w:tc>
          <w:tcPr>
            <w:tcW w:w="2745" w:type="dxa"/>
            <w:vAlign w:val="center"/>
          </w:tcPr>
          <w:p w:rsidR="00D70C38" w:rsidRDefault="00D70C38" w:rsidP="001B0DCD">
            <w:pPr>
              <w:pStyle w:val="Sansinterligne"/>
              <w:jc w:val="center"/>
              <w:rPr>
                <w:rFonts w:eastAsia="Times New Roman" w:cs="Times New Roman"/>
                <w:color w:val="000000"/>
                <w:lang w:eastAsia="fr-CA"/>
              </w:rPr>
            </w:pPr>
            <w:r>
              <w:rPr>
                <w:rFonts w:eastAsia="Times New Roman" w:cs="Times New Roman"/>
                <w:color w:val="000000"/>
                <w:lang w:eastAsia="fr-CA"/>
              </w:rPr>
              <w:t>Syndrome d’Alagille</w:t>
            </w:r>
          </w:p>
        </w:tc>
        <w:tc>
          <w:tcPr>
            <w:tcW w:w="4678" w:type="dxa"/>
            <w:gridSpan w:val="2"/>
          </w:tcPr>
          <w:p w:rsidR="009149C6" w:rsidRDefault="009149C6" w:rsidP="00000B90">
            <w:pPr>
              <w:pStyle w:val="Sansinterligne"/>
              <w:numPr>
                <w:ilvl w:val="0"/>
                <w:numId w:val="783"/>
              </w:numPr>
              <w:rPr>
                <w:rFonts w:eastAsia="Times New Roman" w:cs="Times New Roman"/>
                <w:color w:val="000000"/>
                <w:lang w:eastAsia="fr-CA"/>
              </w:rPr>
            </w:pPr>
            <w:r>
              <w:rPr>
                <w:rFonts w:eastAsia="Times New Roman" w:cs="Times New Roman"/>
                <w:color w:val="000000"/>
                <w:lang w:eastAsia="fr-CA"/>
              </w:rPr>
              <w:t xml:space="preserve">Ictère persistant </w:t>
            </w:r>
          </w:p>
          <w:p w:rsidR="009149C6" w:rsidRPr="00C23A0F" w:rsidRDefault="009149C6" w:rsidP="00000B90">
            <w:pPr>
              <w:pStyle w:val="Sansinterligne"/>
              <w:numPr>
                <w:ilvl w:val="0"/>
                <w:numId w:val="783"/>
              </w:numPr>
              <w:rPr>
                <w:rFonts w:eastAsia="Times New Roman" w:cs="Times New Roman"/>
                <w:color w:val="000000"/>
                <w:highlight w:val="yellow"/>
                <w:lang w:eastAsia="fr-CA"/>
              </w:rPr>
            </w:pPr>
            <w:r w:rsidRPr="00C23A0F">
              <w:rPr>
                <w:rFonts w:eastAsia="Times New Roman" w:cs="Times New Roman"/>
                <w:color w:val="000000"/>
                <w:highlight w:val="yellow"/>
                <w:lang w:eastAsia="fr-CA"/>
              </w:rPr>
              <w:t>Visage triangulaire</w:t>
            </w:r>
            <w:r w:rsidR="003F402A">
              <w:rPr>
                <w:rFonts w:eastAsia="Times New Roman" w:cs="Times New Roman"/>
                <w:color w:val="000000"/>
                <w:highlight w:val="yellow"/>
                <w:lang w:eastAsia="fr-CA"/>
              </w:rPr>
              <w:t xml:space="preserve"> </w:t>
            </w:r>
          </w:p>
          <w:p w:rsidR="009149C6" w:rsidRPr="00C23A0F" w:rsidRDefault="009149C6" w:rsidP="00000B90">
            <w:pPr>
              <w:pStyle w:val="Sansinterligne"/>
              <w:numPr>
                <w:ilvl w:val="0"/>
                <w:numId w:val="783"/>
              </w:numPr>
              <w:rPr>
                <w:rFonts w:eastAsia="Times New Roman" w:cs="Times New Roman"/>
                <w:color w:val="000000"/>
                <w:highlight w:val="yellow"/>
                <w:lang w:eastAsia="fr-CA"/>
              </w:rPr>
            </w:pPr>
            <w:r w:rsidRPr="00C23A0F">
              <w:rPr>
                <w:rFonts w:eastAsia="Times New Roman" w:cs="Times New Roman"/>
                <w:color w:val="000000"/>
                <w:highlight w:val="yellow"/>
                <w:lang w:eastAsia="fr-CA"/>
              </w:rPr>
              <w:t>Yeux creux</w:t>
            </w:r>
          </w:p>
          <w:p w:rsidR="00D70C38" w:rsidRDefault="009149C6" w:rsidP="00000B90">
            <w:pPr>
              <w:pStyle w:val="Sansinterligne"/>
              <w:numPr>
                <w:ilvl w:val="0"/>
                <w:numId w:val="783"/>
              </w:numPr>
              <w:rPr>
                <w:rFonts w:eastAsia="Times New Roman" w:cs="Times New Roman"/>
                <w:color w:val="000000"/>
                <w:lang w:eastAsia="fr-CA"/>
              </w:rPr>
            </w:pPr>
            <w:r>
              <w:rPr>
                <w:rFonts w:eastAsia="Times New Roman" w:cs="Times New Roman"/>
                <w:color w:val="000000"/>
                <w:lang w:eastAsia="fr-CA"/>
              </w:rPr>
              <w:t>Sténose pulmonaire périphérique (souffle</w:t>
            </w:r>
            <w:r w:rsidR="00090AB6">
              <w:t xml:space="preserve"> </w:t>
            </w:r>
            <w:r w:rsidR="00090AB6">
              <w:rPr>
                <w:noProof/>
                <w:lang w:eastAsia="fr-CA"/>
              </w:rPr>
              <w:drawing>
                <wp:inline distT="0" distB="0" distL="0" distR="0" wp14:anchorId="5C0DF038" wp14:editId="1DC56DCF">
                  <wp:extent cx="116625" cy="108747"/>
                  <wp:effectExtent l="0" t="0" r="0" b="5715"/>
                  <wp:docPr id="389" name="Image 389" descr="Résultats de recherche d'images pour « coeur dessin rou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ésultats de recherche d'images pour « coeur dessin rouge »"/>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16631" cy="108753"/>
                          </a:xfrm>
                          <a:prstGeom prst="rect">
                            <a:avLst/>
                          </a:prstGeom>
                          <a:noFill/>
                          <a:ln>
                            <a:noFill/>
                          </a:ln>
                        </pic:spPr>
                      </pic:pic>
                    </a:graphicData>
                  </a:graphic>
                </wp:inline>
              </w:drawing>
            </w:r>
            <w:r>
              <w:rPr>
                <w:rFonts w:eastAsia="Times New Roman" w:cs="Times New Roman"/>
                <w:color w:val="000000"/>
                <w:lang w:eastAsia="fr-CA"/>
              </w:rPr>
              <w:t>)</w:t>
            </w:r>
          </w:p>
          <w:p w:rsidR="009149C6" w:rsidRPr="00BF7956" w:rsidRDefault="009149C6" w:rsidP="00000B90">
            <w:pPr>
              <w:pStyle w:val="Sansinterligne"/>
              <w:numPr>
                <w:ilvl w:val="0"/>
                <w:numId w:val="783"/>
              </w:numPr>
              <w:rPr>
                <w:rFonts w:eastAsia="Times New Roman" w:cs="Times New Roman"/>
                <w:color w:val="000000"/>
                <w:lang w:eastAsia="fr-CA"/>
              </w:rPr>
            </w:pPr>
            <w:r>
              <w:rPr>
                <w:rFonts w:eastAsia="Times New Roman" w:cs="Times New Roman"/>
                <w:color w:val="000000"/>
                <w:lang w:eastAsia="fr-CA"/>
              </w:rPr>
              <w:t>Ligne de Schwalbe hyperthrophique (œil)</w:t>
            </w:r>
          </w:p>
        </w:tc>
        <w:tc>
          <w:tcPr>
            <w:tcW w:w="3111" w:type="dxa"/>
          </w:tcPr>
          <w:p w:rsidR="009149C6" w:rsidRPr="009149C6" w:rsidRDefault="009149C6" w:rsidP="00000B90">
            <w:pPr>
              <w:pStyle w:val="Sansinterligne"/>
              <w:numPr>
                <w:ilvl w:val="0"/>
                <w:numId w:val="783"/>
              </w:numPr>
              <w:rPr>
                <w:rFonts w:eastAsia="Times New Roman" w:cs="Times New Roman"/>
                <w:color w:val="000000"/>
                <w:lang w:eastAsia="fr-CA"/>
              </w:rPr>
            </w:pPr>
            <w:r w:rsidRPr="009149C6">
              <w:rPr>
                <w:rFonts w:eastAsia="Times New Roman" w:cs="Times New Roman"/>
                <w:color w:val="000000"/>
                <w:lang w:eastAsia="fr-CA"/>
              </w:rPr>
              <w:t>Bilirubine CJ ↑</w:t>
            </w:r>
          </w:p>
          <w:p w:rsidR="00D70C38" w:rsidRPr="009149C6" w:rsidRDefault="009149C6" w:rsidP="00000B90">
            <w:pPr>
              <w:pStyle w:val="Sansinterligne"/>
              <w:numPr>
                <w:ilvl w:val="0"/>
                <w:numId w:val="783"/>
              </w:numPr>
              <w:rPr>
                <w:rFonts w:eastAsia="Times New Roman" w:cs="Times New Roman"/>
                <w:color w:val="000000"/>
                <w:lang w:eastAsia="fr-CA"/>
              </w:rPr>
            </w:pPr>
            <w:r w:rsidRPr="009149C6">
              <w:rPr>
                <w:rFonts w:eastAsia="Times New Roman" w:cs="Times New Roman"/>
                <w:color w:val="000000"/>
                <w:lang w:eastAsia="fr-CA"/>
              </w:rPr>
              <w:t>AST/ALT ↑</w:t>
            </w:r>
          </w:p>
          <w:p w:rsidR="009149C6" w:rsidRDefault="009149C6" w:rsidP="00000B90">
            <w:pPr>
              <w:pStyle w:val="Sansinterligne"/>
              <w:numPr>
                <w:ilvl w:val="0"/>
                <w:numId w:val="783"/>
              </w:numPr>
              <w:rPr>
                <w:rFonts w:eastAsia="Times New Roman" w:cs="Times New Roman"/>
                <w:color w:val="000000"/>
                <w:lang w:eastAsia="fr-CA"/>
              </w:rPr>
            </w:pPr>
            <w:r w:rsidRPr="009149C6">
              <w:rPr>
                <w:rFonts w:eastAsia="Times New Roman" w:cs="Times New Roman"/>
                <w:color w:val="000000"/>
                <w:lang w:eastAsia="fr-CA"/>
              </w:rPr>
              <w:t>Dépistage génétique +</w:t>
            </w:r>
          </w:p>
          <w:p w:rsidR="009149C6" w:rsidRDefault="009149C6" w:rsidP="00000B90">
            <w:pPr>
              <w:pStyle w:val="Sansinterligne"/>
              <w:numPr>
                <w:ilvl w:val="0"/>
                <w:numId w:val="783"/>
              </w:numPr>
              <w:rPr>
                <w:rFonts w:eastAsia="Times New Roman" w:cs="Times New Roman"/>
                <w:color w:val="000000"/>
                <w:lang w:eastAsia="fr-CA"/>
              </w:rPr>
            </w:pPr>
            <w:r>
              <w:rPr>
                <w:rFonts w:eastAsia="Times New Roman" w:cs="Times New Roman"/>
                <w:color w:val="000000"/>
                <w:lang w:eastAsia="fr-CA"/>
              </w:rPr>
              <w:t>Écho abdo : ↓ canaux biliaires</w:t>
            </w:r>
          </w:p>
        </w:tc>
      </w:tr>
      <w:tr w:rsidR="00D70C38" w:rsidTr="003F402A">
        <w:trPr>
          <w:trHeight w:val="135"/>
        </w:trPr>
        <w:tc>
          <w:tcPr>
            <w:tcW w:w="482" w:type="dxa"/>
            <w:vMerge/>
            <w:shd w:val="clear" w:color="auto" w:fill="FBD4B4" w:themeFill="accent6" w:themeFillTint="66"/>
          </w:tcPr>
          <w:p w:rsidR="00D70C38" w:rsidRPr="00BF7956" w:rsidRDefault="00D70C38" w:rsidP="007A3335">
            <w:pPr>
              <w:pStyle w:val="Sansinterligne"/>
              <w:rPr>
                <w:rFonts w:eastAsia="Times New Roman" w:cs="Times New Roman"/>
                <w:color w:val="000000"/>
                <w:lang w:eastAsia="fr-CA"/>
              </w:rPr>
            </w:pPr>
          </w:p>
        </w:tc>
        <w:tc>
          <w:tcPr>
            <w:tcW w:w="2745" w:type="dxa"/>
            <w:vAlign w:val="center"/>
          </w:tcPr>
          <w:p w:rsidR="00D70C38" w:rsidRDefault="00D70C38" w:rsidP="001B0DCD">
            <w:pPr>
              <w:pStyle w:val="Sansinterligne"/>
              <w:jc w:val="center"/>
              <w:rPr>
                <w:rFonts w:eastAsia="Times New Roman" w:cs="Times New Roman"/>
                <w:color w:val="000000"/>
                <w:lang w:eastAsia="fr-CA"/>
              </w:rPr>
            </w:pPr>
            <w:r>
              <w:rPr>
                <w:rFonts w:eastAsia="Times New Roman" w:cs="Times New Roman"/>
                <w:color w:val="000000"/>
                <w:lang w:eastAsia="fr-CA"/>
              </w:rPr>
              <w:t>Kyste du cholédoque</w:t>
            </w:r>
          </w:p>
        </w:tc>
        <w:tc>
          <w:tcPr>
            <w:tcW w:w="4678" w:type="dxa"/>
            <w:gridSpan w:val="2"/>
          </w:tcPr>
          <w:p w:rsidR="0034669A" w:rsidRDefault="0034669A" w:rsidP="00000B90">
            <w:pPr>
              <w:pStyle w:val="Sansinterligne"/>
              <w:numPr>
                <w:ilvl w:val="0"/>
                <w:numId w:val="783"/>
              </w:numPr>
              <w:rPr>
                <w:rFonts w:eastAsia="Times New Roman" w:cs="Times New Roman"/>
                <w:color w:val="000000"/>
                <w:lang w:eastAsia="fr-CA"/>
              </w:rPr>
            </w:pPr>
            <w:r>
              <w:rPr>
                <w:rFonts w:eastAsia="Times New Roman" w:cs="Times New Roman"/>
                <w:color w:val="000000"/>
                <w:lang w:eastAsia="fr-CA"/>
              </w:rPr>
              <w:t xml:space="preserve">Ictère </w:t>
            </w:r>
          </w:p>
          <w:p w:rsidR="00D70C38" w:rsidRDefault="00635B74" w:rsidP="00000B90">
            <w:pPr>
              <w:pStyle w:val="Sansinterligne"/>
              <w:numPr>
                <w:ilvl w:val="0"/>
                <w:numId w:val="783"/>
              </w:numPr>
              <w:rPr>
                <w:rFonts w:eastAsia="Times New Roman" w:cs="Times New Roman"/>
                <w:color w:val="000000"/>
                <w:lang w:eastAsia="fr-CA"/>
              </w:rPr>
            </w:pPr>
            <w:r>
              <w:rPr>
                <w:rFonts w:eastAsia="Times New Roman" w:cs="Times New Roman"/>
                <w:color w:val="000000"/>
                <w:lang w:eastAsia="fr-CA"/>
              </w:rPr>
              <w:t xml:space="preserve">Douleur </w:t>
            </w:r>
            <w:r w:rsidR="003F402A">
              <w:rPr>
                <w:rFonts w:eastAsia="Times New Roman" w:cs="Times New Roman"/>
                <w:color w:val="000000"/>
                <w:lang w:eastAsia="fr-CA"/>
              </w:rPr>
              <w:t xml:space="preserve">/ masse </w:t>
            </w:r>
            <w:r>
              <w:rPr>
                <w:rFonts w:eastAsia="Times New Roman" w:cs="Times New Roman"/>
                <w:color w:val="000000"/>
                <w:lang w:eastAsia="fr-CA"/>
              </w:rPr>
              <w:t>abdominale</w:t>
            </w:r>
          </w:p>
          <w:p w:rsidR="00635B74" w:rsidRPr="003F402A" w:rsidRDefault="00635B74" w:rsidP="00000B90">
            <w:pPr>
              <w:pStyle w:val="Sansinterligne"/>
              <w:numPr>
                <w:ilvl w:val="0"/>
                <w:numId w:val="783"/>
              </w:numPr>
              <w:rPr>
                <w:rFonts w:eastAsia="Times New Roman" w:cs="Times New Roman"/>
                <w:color w:val="000000"/>
                <w:lang w:eastAsia="fr-CA"/>
              </w:rPr>
            </w:pPr>
            <w:r>
              <w:rPr>
                <w:rFonts w:eastAsia="Times New Roman" w:cs="Times New Roman"/>
                <w:color w:val="000000"/>
                <w:lang w:eastAsia="fr-CA"/>
              </w:rPr>
              <w:t>Vomissements</w:t>
            </w:r>
          </w:p>
        </w:tc>
        <w:tc>
          <w:tcPr>
            <w:tcW w:w="3111" w:type="dxa"/>
          </w:tcPr>
          <w:p w:rsidR="00D70C38" w:rsidRDefault="0034669A" w:rsidP="00000B90">
            <w:pPr>
              <w:pStyle w:val="Sansinterligne"/>
              <w:numPr>
                <w:ilvl w:val="0"/>
                <w:numId w:val="792"/>
              </w:numPr>
              <w:rPr>
                <w:rFonts w:eastAsia="Times New Roman" w:cs="Times New Roman"/>
                <w:color w:val="000000"/>
                <w:lang w:eastAsia="fr-CA"/>
              </w:rPr>
            </w:pPr>
            <w:r>
              <w:rPr>
                <w:rFonts w:eastAsia="Times New Roman" w:cs="Times New Roman"/>
                <w:color w:val="000000"/>
                <w:lang w:eastAsia="fr-CA"/>
              </w:rPr>
              <w:t>Échographie abdominale montrant le kyste</w:t>
            </w:r>
          </w:p>
        </w:tc>
      </w:tr>
      <w:tr w:rsidR="00CD62AF" w:rsidTr="00CD62AF">
        <w:trPr>
          <w:trHeight w:val="135"/>
        </w:trPr>
        <w:tc>
          <w:tcPr>
            <w:tcW w:w="482" w:type="dxa"/>
            <w:vMerge w:val="restart"/>
            <w:shd w:val="clear" w:color="auto" w:fill="FBD4B4" w:themeFill="accent6" w:themeFillTint="66"/>
            <w:textDirection w:val="btLr"/>
          </w:tcPr>
          <w:p w:rsidR="00CD62AF" w:rsidRPr="00CD62AF" w:rsidRDefault="00CD62AF" w:rsidP="00CD62AF">
            <w:pPr>
              <w:pStyle w:val="Sansinterligne"/>
              <w:ind w:left="113" w:right="113"/>
              <w:jc w:val="center"/>
              <w:rPr>
                <w:rFonts w:eastAsia="Times New Roman" w:cs="Times New Roman"/>
                <w:b/>
                <w:color w:val="000000"/>
                <w:lang w:eastAsia="fr-CA"/>
              </w:rPr>
            </w:pPr>
            <w:r w:rsidRPr="00CD62AF">
              <w:rPr>
                <w:rFonts w:eastAsia="Times New Roman" w:cs="Times New Roman"/>
                <w:b/>
                <w:color w:val="000000"/>
                <w:lang w:eastAsia="fr-CA"/>
              </w:rPr>
              <w:t>Diverses</w:t>
            </w:r>
          </w:p>
        </w:tc>
        <w:tc>
          <w:tcPr>
            <w:tcW w:w="2745" w:type="dxa"/>
            <w:vAlign w:val="center"/>
          </w:tcPr>
          <w:p w:rsidR="00CD62AF" w:rsidRPr="00BF7956" w:rsidRDefault="00CD62AF" w:rsidP="001B0DCD">
            <w:pPr>
              <w:pStyle w:val="Sansinterligne"/>
              <w:jc w:val="center"/>
              <w:rPr>
                <w:rFonts w:eastAsia="Times New Roman" w:cs="Times New Roman"/>
                <w:color w:val="000000"/>
                <w:lang w:eastAsia="fr-CA"/>
              </w:rPr>
            </w:pPr>
            <w:r>
              <w:rPr>
                <w:rFonts w:eastAsia="Times New Roman" w:cs="Times New Roman"/>
                <w:color w:val="000000"/>
                <w:lang w:eastAsia="fr-CA"/>
              </w:rPr>
              <w:t>Sepsis</w:t>
            </w:r>
          </w:p>
        </w:tc>
        <w:tc>
          <w:tcPr>
            <w:tcW w:w="7789" w:type="dxa"/>
            <w:gridSpan w:val="3"/>
          </w:tcPr>
          <w:p w:rsidR="00CD62AF" w:rsidRDefault="00CD62AF" w:rsidP="007A3335">
            <w:pPr>
              <w:pStyle w:val="Sansinterligne"/>
              <w:rPr>
                <w:rFonts w:eastAsia="Times New Roman" w:cs="Times New Roman"/>
                <w:color w:val="000000"/>
                <w:lang w:eastAsia="fr-CA"/>
              </w:rPr>
            </w:pPr>
            <w:r>
              <w:rPr>
                <w:rFonts w:eastAsia="Times New Roman" w:cs="Times New Roman"/>
                <w:color w:val="000000"/>
                <w:lang w:eastAsia="fr-CA"/>
              </w:rPr>
              <w:t xml:space="preserve">Voir </w:t>
            </w:r>
            <w:r w:rsidRPr="0080519E">
              <w:rPr>
                <w:rFonts w:eastAsia="Times New Roman" w:cs="Times New Roman"/>
                <w:i/>
                <w:color w:val="000000"/>
                <w:lang w:eastAsia="fr-CA"/>
              </w:rPr>
              <w:t>Fièvre chez un nouveau-né / chez un enfant CMC 107-3</w:t>
            </w:r>
          </w:p>
        </w:tc>
      </w:tr>
      <w:tr w:rsidR="00CD62AF" w:rsidTr="003F402A">
        <w:tc>
          <w:tcPr>
            <w:tcW w:w="482" w:type="dxa"/>
            <w:vMerge/>
            <w:shd w:val="clear" w:color="auto" w:fill="FBD4B4" w:themeFill="accent6" w:themeFillTint="66"/>
          </w:tcPr>
          <w:p w:rsidR="00CD62AF" w:rsidRPr="00BF7956" w:rsidRDefault="00CD62AF" w:rsidP="007A3335">
            <w:pPr>
              <w:pStyle w:val="Sansinterligne"/>
              <w:rPr>
                <w:rFonts w:eastAsia="Times New Roman" w:cs="Times New Roman"/>
                <w:color w:val="000000"/>
                <w:lang w:eastAsia="fr-CA"/>
              </w:rPr>
            </w:pPr>
          </w:p>
        </w:tc>
        <w:tc>
          <w:tcPr>
            <w:tcW w:w="2745" w:type="dxa"/>
            <w:vAlign w:val="center"/>
          </w:tcPr>
          <w:p w:rsidR="00CD62AF" w:rsidRPr="00BF7956" w:rsidRDefault="00CD62AF" w:rsidP="001B0DCD">
            <w:pPr>
              <w:pStyle w:val="Sansinterligne"/>
              <w:jc w:val="center"/>
              <w:rPr>
                <w:rFonts w:eastAsia="Times New Roman" w:cs="Times New Roman"/>
                <w:color w:val="000000"/>
                <w:lang w:eastAsia="fr-CA"/>
              </w:rPr>
            </w:pPr>
            <w:r w:rsidRPr="00BF7956">
              <w:rPr>
                <w:rFonts w:eastAsia="Times New Roman" w:cs="Times New Roman"/>
                <w:color w:val="000000"/>
                <w:lang w:eastAsia="fr-CA"/>
              </w:rPr>
              <w:t>Maladies métaboliques</w:t>
            </w:r>
          </w:p>
          <w:p w:rsidR="00CD62AF" w:rsidRDefault="00CD62AF" w:rsidP="001B0DCD">
            <w:pPr>
              <w:pStyle w:val="Sansinterligne"/>
              <w:jc w:val="center"/>
              <w:rPr>
                <w:rFonts w:eastAsia="Times New Roman" w:cs="Times New Roman"/>
                <w:color w:val="000000"/>
                <w:lang w:eastAsia="fr-CA"/>
              </w:rPr>
            </w:pPr>
          </w:p>
          <w:p w:rsidR="00CD62AF" w:rsidRPr="00BF7956" w:rsidRDefault="00CD62AF" w:rsidP="001B0DCD">
            <w:pPr>
              <w:pStyle w:val="Sansinterligne"/>
              <w:jc w:val="center"/>
              <w:rPr>
                <w:rFonts w:eastAsia="Times New Roman" w:cs="Times New Roman"/>
                <w:color w:val="000000"/>
                <w:lang w:eastAsia="fr-CA"/>
              </w:rPr>
            </w:pPr>
            <w:r w:rsidRPr="00BF7956">
              <w:rPr>
                <w:rFonts w:eastAsia="Times New Roman" w:cs="Times New Roman"/>
                <w:color w:val="000000"/>
                <w:lang w:eastAsia="fr-CA"/>
              </w:rPr>
              <w:t>Ex :</w:t>
            </w:r>
          </w:p>
          <w:p w:rsidR="00CD62AF" w:rsidRPr="00BF7956" w:rsidRDefault="00CD62AF" w:rsidP="001B0DCD">
            <w:pPr>
              <w:pStyle w:val="Sansinterligne"/>
              <w:jc w:val="center"/>
              <w:rPr>
                <w:rFonts w:eastAsia="Times New Roman" w:cs="Times New Roman"/>
                <w:color w:val="000000"/>
                <w:lang w:eastAsia="fr-CA"/>
              </w:rPr>
            </w:pPr>
            <w:r w:rsidRPr="00BF7956">
              <w:rPr>
                <w:rFonts w:eastAsia="Times New Roman" w:cs="Times New Roman"/>
                <w:color w:val="000000"/>
                <w:lang w:eastAsia="fr-CA"/>
              </w:rPr>
              <w:t>Galactosémie</w:t>
            </w:r>
          </w:p>
          <w:p w:rsidR="00CD62AF" w:rsidRPr="00BF7956" w:rsidRDefault="00CD62AF" w:rsidP="001B0DCD">
            <w:pPr>
              <w:pStyle w:val="Sansinterligne"/>
              <w:jc w:val="center"/>
              <w:rPr>
                <w:rFonts w:eastAsia="Times New Roman" w:cs="Times New Roman"/>
                <w:color w:val="000000"/>
                <w:lang w:eastAsia="fr-CA"/>
              </w:rPr>
            </w:pPr>
            <w:r w:rsidRPr="00BF7956">
              <w:rPr>
                <w:rFonts w:eastAsia="Times New Roman" w:cs="Times New Roman"/>
                <w:color w:val="000000"/>
                <w:lang w:eastAsia="fr-CA"/>
              </w:rPr>
              <w:t>Tyrosinémie</w:t>
            </w:r>
            <w:r>
              <w:rPr>
                <w:rFonts w:eastAsia="Times New Roman" w:cs="Times New Roman"/>
                <w:color w:val="000000"/>
                <w:lang w:eastAsia="fr-CA"/>
              </w:rPr>
              <w:t xml:space="preserve"> héréditaire</w:t>
            </w:r>
          </w:p>
        </w:tc>
        <w:tc>
          <w:tcPr>
            <w:tcW w:w="4678" w:type="dxa"/>
            <w:gridSpan w:val="2"/>
          </w:tcPr>
          <w:p w:rsidR="00CD62AF" w:rsidRPr="00106FD8" w:rsidRDefault="00CD62AF" w:rsidP="00106FD8">
            <w:pPr>
              <w:shd w:val="clear" w:color="auto" w:fill="FFFFFF"/>
              <w:spacing w:after="30"/>
              <w:rPr>
                <w:rFonts w:eastAsia="Times New Roman" w:cs="Times New Roman"/>
                <w:color w:val="000000"/>
                <w:highlight w:val="yellow"/>
                <w:u w:val="single"/>
                <w:lang w:eastAsia="fr-CA"/>
              </w:rPr>
            </w:pPr>
            <w:r w:rsidRPr="00106FD8">
              <w:rPr>
                <w:rFonts w:eastAsia="Times New Roman" w:cs="Times New Roman"/>
                <w:color w:val="000000"/>
                <w:highlight w:val="yellow"/>
                <w:u w:val="single"/>
                <w:lang w:eastAsia="fr-CA"/>
              </w:rPr>
              <w:t xml:space="preserve">Tyrosinémie type I </w:t>
            </w:r>
            <w:r w:rsidRPr="00106FD8">
              <w:rPr>
                <w:rFonts w:ascii="Century Gothic" w:eastAsia="Times New Roman" w:hAnsi="Century Gothic" w:cs="Times New Roman"/>
                <w:color w:val="000000"/>
                <w:highlight w:val="yellow"/>
                <w:u w:val="single"/>
                <w:lang w:eastAsia="fr-CA"/>
              </w:rPr>
              <w:t>→</w:t>
            </w:r>
            <w:r w:rsidRPr="00106FD8">
              <w:rPr>
                <w:rFonts w:eastAsia="Times New Roman" w:cs="Times New Roman"/>
                <w:color w:val="000000"/>
                <w:highlight w:val="yellow"/>
                <w:u w:val="single"/>
                <w:lang w:eastAsia="fr-CA"/>
              </w:rPr>
              <w:t xml:space="preserve"> être à l’affût si origine du Lac-Saint-jean</w:t>
            </w:r>
          </w:p>
          <w:p w:rsidR="00CD62AF" w:rsidRPr="002B31DF" w:rsidRDefault="00CD62AF" w:rsidP="00000B90">
            <w:pPr>
              <w:pStyle w:val="Paragraphedeliste"/>
              <w:numPr>
                <w:ilvl w:val="0"/>
                <w:numId w:val="797"/>
              </w:numPr>
              <w:shd w:val="clear" w:color="auto" w:fill="FFFFFF"/>
              <w:spacing w:after="30"/>
              <w:rPr>
                <w:rFonts w:eastAsia="Times New Roman" w:cs="Times New Roman"/>
                <w:color w:val="000000"/>
                <w:lang w:eastAsia="fr-CA"/>
              </w:rPr>
            </w:pPr>
            <w:r w:rsidRPr="002B31DF">
              <w:rPr>
                <w:rFonts w:eastAsia="Times New Roman" w:cs="Times New Roman"/>
                <w:color w:val="000000"/>
                <w:lang w:eastAsia="fr-CA"/>
              </w:rPr>
              <w:t xml:space="preserve">Ictère </w:t>
            </w:r>
          </w:p>
          <w:p w:rsidR="00CD62AF" w:rsidRPr="002B31DF" w:rsidRDefault="00CD62AF" w:rsidP="00000B90">
            <w:pPr>
              <w:pStyle w:val="Paragraphedeliste"/>
              <w:numPr>
                <w:ilvl w:val="0"/>
                <w:numId w:val="797"/>
              </w:numPr>
              <w:shd w:val="clear" w:color="auto" w:fill="FFFFFF"/>
              <w:spacing w:after="30"/>
              <w:rPr>
                <w:rFonts w:eastAsia="Times New Roman" w:cs="Times New Roman"/>
                <w:color w:val="000000"/>
                <w:lang w:eastAsia="fr-CA"/>
              </w:rPr>
            </w:pPr>
            <w:r w:rsidRPr="002B31DF">
              <w:rPr>
                <w:rFonts w:eastAsia="Times New Roman" w:cs="Times New Roman"/>
                <w:color w:val="000000"/>
                <w:lang w:eastAsia="fr-CA"/>
              </w:rPr>
              <w:t>Vomissements / Diarrhées</w:t>
            </w:r>
          </w:p>
          <w:p w:rsidR="00CD62AF" w:rsidRPr="002B31DF" w:rsidRDefault="00CD62AF" w:rsidP="00000B90">
            <w:pPr>
              <w:pStyle w:val="Paragraphedeliste"/>
              <w:numPr>
                <w:ilvl w:val="0"/>
                <w:numId w:val="797"/>
              </w:numPr>
              <w:shd w:val="clear" w:color="auto" w:fill="FFFFFF"/>
              <w:spacing w:after="30"/>
              <w:rPr>
                <w:rFonts w:eastAsia="Times New Roman" w:cs="Times New Roman"/>
                <w:color w:val="000000"/>
                <w:lang w:eastAsia="fr-CA"/>
              </w:rPr>
            </w:pPr>
            <w:r w:rsidRPr="002B31DF">
              <w:rPr>
                <w:rFonts w:eastAsia="Times New Roman" w:cs="Times New Roman"/>
                <w:color w:val="000000"/>
                <w:lang w:eastAsia="fr-CA"/>
              </w:rPr>
              <w:t xml:space="preserve">Hépatomégalie </w:t>
            </w:r>
          </w:p>
          <w:p w:rsidR="00CD62AF" w:rsidRPr="002B31DF" w:rsidRDefault="00CD62AF" w:rsidP="00000B90">
            <w:pPr>
              <w:pStyle w:val="Paragraphedeliste"/>
              <w:numPr>
                <w:ilvl w:val="0"/>
                <w:numId w:val="797"/>
              </w:numPr>
              <w:shd w:val="clear" w:color="auto" w:fill="FFFFFF"/>
              <w:spacing w:after="30"/>
              <w:rPr>
                <w:rFonts w:eastAsia="Times New Roman" w:cs="Times New Roman"/>
                <w:color w:val="000000"/>
                <w:lang w:eastAsia="fr-CA"/>
              </w:rPr>
            </w:pPr>
            <w:r w:rsidRPr="002B31DF">
              <w:rPr>
                <w:rFonts w:eastAsia="Times New Roman" w:cs="Times New Roman"/>
                <w:color w:val="000000"/>
                <w:lang w:eastAsia="fr-CA"/>
              </w:rPr>
              <w:t>Retard de croissance</w:t>
            </w:r>
          </w:p>
          <w:p w:rsidR="00CD62AF" w:rsidRPr="002B31DF" w:rsidRDefault="00CD62AF" w:rsidP="00000B90">
            <w:pPr>
              <w:pStyle w:val="Paragraphedeliste"/>
              <w:numPr>
                <w:ilvl w:val="0"/>
                <w:numId w:val="797"/>
              </w:numPr>
              <w:shd w:val="clear" w:color="auto" w:fill="FFFFFF"/>
              <w:spacing w:after="30"/>
              <w:rPr>
                <w:rFonts w:eastAsia="Times New Roman" w:cs="Times New Roman"/>
                <w:color w:val="000000"/>
                <w:lang w:eastAsia="fr-CA"/>
              </w:rPr>
            </w:pPr>
            <w:r w:rsidRPr="002B31DF">
              <w:rPr>
                <w:rFonts w:eastAsia="Times New Roman" w:cs="Times New Roman"/>
                <w:color w:val="000000"/>
                <w:lang w:eastAsia="fr-CA"/>
              </w:rPr>
              <w:t>Faible appétit</w:t>
            </w:r>
          </w:p>
          <w:p w:rsidR="00CD62AF" w:rsidRPr="002B31DF" w:rsidRDefault="00CD62AF" w:rsidP="00000B90">
            <w:pPr>
              <w:pStyle w:val="Paragraphedeliste"/>
              <w:numPr>
                <w:ilvl w:val="0"/>
                <w:numId w:val="797"/>
              </w:numPr>
              <w:shd w:val="clear" w:color="auto" w:fill="FFFFFF"/>
              <w:spacing w:after="30"/>
              <w:rPr>
                <w:rFonts w:eastAsia="Times New Roman" w:cs="Times New Roman"/>
                <w:color w:val="000000"/>
                <w:lang w:eastAsia="fr-CA"/>
              </w:rPr>
            </w:pPr>
            <w:r w:rsidRPr="002B31DF">
              <w:rPr>
                <w:rFonts w:eastAsia="Times New Roman" w:cs="Times New Roman"/>
                <w:color w:val="000000"/>
                <w:lang w:eastAsia="fr-CA"/>
              </w:rPr>
              <w:t>Léthargie</w:t>
            </w:r>
          </w:p>
        </w:tc>
        <w:tc>
          <w:tcPr>
            <w:tcW w:w="3111" w:type="dxa"/>
          </w:tcPr>
          <w:p w:rsidR="00CD62AF" w:rsidRDefault="00CD62AF" w:rsidP="00000B90">
            <w:pPr>
              <w:pStyle w:val="Sansinterligne"/>
              <w:numPr>
                <w:ilvl w:val="0"/>
                <w:numId w:val="799"/>
              </w:numPr>
              <w:rPr>
                <w:rFonts w:eastAsia="Times New Roman" w:cs="Times New Roman"/>
                <w:color w:val="000000"/>
                <w:lang w:eastAsia="fr-CA"/>
              </w:rPr>
            </w:pPr>
            <w:r>
              <w:rPr>
                <w:rFonts w:eastAsia="Times New Roman" w:cs="Times New Roman"/>
                <w:color w:val="000000"/>
                <w:lang w:eastAsia="fr-CA"/>
              </w:rPr>
              <w:t xml:space="preserve">Bilirubine totale et directe </w:t>
            </w:r>
            <w:r>
              <w:rPr>
                <w:rFonts w:ascii="Century Gothic" w:eastAsia="Times New Roman" w:hAnsi="Century Gothic" w:cs="Times New Roman"/>
                <w:color w:val="000000"/>
                <w:lang w:eastAsia="fr-CA"/>
              </w:rPr>
              <w:t>↑</w:t>
            </w:r>
          </w:p>
          <w:p w:rsidR="00CD62AF" w:rsidRDefault="00CD62AF" w:rsidP="00000B90">
            <w:pPr>
              <w:pStyle w:val="Sansinterligne"/>
              <w:numPr>
                <w:ilvl w:val="0"/>
                <w:numId w:val="799"/>
              </w:numPr>
              <w:rPr>
                <w:rFonts w:eastAsia="Times New Roman" w:cs="Times New Roman"/>
                <w:color w:val="000000"/>
                <w:lang w:eastAsia="fr-CA"/>
              </w:rPr>
            </w:pPr>
            <w:r>
              <w:rPr>
                <w:rFonts w:eastAsia="Times New Roman" w:cs="Times New Roman"/>
                <w:color w:val="000000"/>
                <w:lang w:eastAsia="fr-CA"/>
              </w:rPr>
              <w:t xml:space="preserve">AST / ALT </w:t>
            </w:r>
            <w:r>
              <w:rPr>
                <w:rFonts w:ascii="Century Gothic" w:eastAsia="Times New Roman" w:hAnsi="Century Gothic" w:cs="Times New Roman"/>
                <w:color w:val="000000"/>
                <w:lang w:eastAsia="fr-CA"/>
              </w:rPr>
              <w:t>↑</w:t>
            </w:r>
          </w:p>
          <w:p w:rsidR="00CD62AF" w:rsidRDefault="00CD62AF" w:rsidP="00000B90">
            <w:pPr>
              <w:pStyle w:val="Sansinterligne"/>
              <w:numPr>
                <w:ilvl w:val="0"/>
                <w:numId w:val="799"/>
              </w:numPr>
              <w:rPr>
                <w:rFonts w:eastAsia="Times New Roman" w:cs="Times New Roman"/>
                <w:color w:val="000000"/>
                <w:lang w:eastAsia="fr-CA"/>
              </w:rPr>
            </w:pPr>
            <w:r>
              <w:rPr>
                <w:rFonts w:eastAsia="Times New Roman" w:cs="Times New Roman"/>
                <w:color w:val="000000"/>
                <w:lang w:eastAsia="fr-CA"/>
              </w:rPr>
              <w:t xml:space="preserve">INR </w:t>
            </w:r>
            <w:r>
              <w:rPr>
                <w:rFonts w:ascii="Century Gothic" w:eastAsia="Times New Roman" w:hAnsi="Century Gothic" w:cs="Times New Roman"/>
                <w:color w:val="000000"/>
                <w:lang w:eastAsia="fr-CA"/>
              </w:rPr>
              <w:t>↑</w:t>
            </w:r>
            <w:r>
              <w:rPr>
                <w:rFonts w:eastAsia="Times New Roman" w:cs="Times New Roman"/>
                <w:color w:val="000000"/>
                <w:lang w:eastAsia="fr-CA"/>
              </w:rPr>
              <w:t>,  coagulopathie</w:t>
            </w:r>
          </w:p>
          <w:p w:rsidR="00CD62AF" w:rsidRDefault="00CD62AF" w:rsidP="00000B90">
            <w:pPr>
              <w:pStyle w:val="Sansinterligne"/>
              <w:numPr>
                <w:ilvl w:val="0"/>
                <w:numId w:val="799"/>
              </w:numPr>
              <w:rPr>
                <w:rFonts w:eastAsia="Times New Roman" w:cs="Times New Roman"/>
                <w:color w:val="000000"/>
                <w:lang w:eastAsia="fr-CA"/>
              </w:rPr>
            </w:pPr>
            <w:r>
              <w:rPr>
                <w:rFonts w:eastAsia="Times New Roman" w:cs="Times New Roman"/>
                <w:color w:val="000000"/>
                <w:lang w:eastAsia="fr-CA"/>
              </w:rPr>
              <w:t>HB ↓</w:t>
            </w:r>
          </w:p>
          <w:p w:rsidR="00CD62AF" w:rsidRDefault="00CD62AF" w:rsidP="00000B90">
            <w:pPr>
              <w:pStyle w:val="Sansinterligne"/>
              <w:numPr>
                <w:ilvl w:val="0"/>
                <w:numId w:val="799"/>
              </w:numPr>
              <w:rPr>
                <w:rFonts w:eastAsia="Times New Roman" w:cs="Times New Roman"/>
                <w:color w:val="000000"/>
                <w:lang w:eastAsia="fr-CA"/>
              </w:rPr>
            </w:pPr>
            <w:r>
              <w:rPr>
                <w:rFonts w:eastAsia="Times New Roman" w:cs="Times New Roman"/>
                <w:color w:val="000000"/>
                <w:lang w:eastAsia="fr-CA"/>
              </w:rPr>
              <w:t>Dosage succynilacétone (SA) +</w:t>
            </w:r>
          </w:p>
          <w:p w:rsidR="00CD62AF" w:rsidRDefault="00CD62AF" w:rsidP="00000B90">
            <w:pPr>
              <w:pStyle w:val="Sansinterligne"/>
              <w:numPr>
                <w:ilvl w:val="0"/>
                <w:numId w:val="799"/>
              </w:numPr>
              <w:rPr>
                <w:rFonts w:eastAsia="Times New Roman" w:cs="Times New Roman"/>
                <w:color w:val="000000"/>
                <w:lang w:eastAsia="fr-CA"/>
              </w:rPr>
            </w:pPr>
            <w:r>
              <w:rPr>
                <w:rFonts w:eastAsia="Times New Roman" w:cs="Times New Roman"/>
                <w:color w:val="000000"/>
                <w:lang w:eastAsia="fr-CA"/>
              </w:rPr>
              <w:t>Dosage GALT des globules rouges  (galactosémie)</w:t>
            </w:r>
          </w:p>
        </w:tc>
      </w:tr>
    </w:tbl>
    <w:p w:rsidR="00D81CCE" w:rsidRPr="00E04E6B" w:rsidRDefault="00B86DAA" w:rsidP="007A3335">
      <w:pPr>
        <w:pStyle w:val="Sansinterligne"/>
        <w:rPr>
          <w:b/>
          <w:sz w:val="28"/>
          <w:szCs w:val="28"/>
        </w:rPr>
      </w:pPr>
      <w:r>
        <w:rPr>
          <w:noProof/>
          <w:lang w:eastAsia="fr-CA"/>
        </w:rPr>
        <w:drawing>
          <wp:anchor distT="0" distB="0" distL="114300" distR="114300" simplePos="0" relativeHeight="251880448" behindDoc="0" locked="0" layoutInCell="1" allowOverlap="1" wp14:anchorId="7EDB7141" wp14:editId="4394CEA3">
            <wp:simplePos x="0" y="0"/>
            <wp:positionH relativeFrom="column">
              <wp:posOffset>3420259</wp:posOffset>
            </wp:positionH>
            <wp:positionV relativeFrom="paragraph">
              <wp:posOffset>28575</wp:posOffset>
            </wp:positionV>
            <wp:extent cx="3552420" cy="2587558"/>
            <wp:effectExtent l="0" t="0" r="0" b="3810"/>
            <wp:wrapNone/>
            <wp:docPr id="390" name="Image 390" descr="Résultats de recherche d'images pour « ictère du nouveau né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ésultats de recherche d'images pour « ictère du nouveau né »"/>
                    <pic:cNvPicPr>
                      <a:picLocks noChangeAspect="1" noChangeArrowheads="1"/>
                    </pic:cNvPicPr>
                  </pic:nvPicPr>
                  <pic:blipFill rotWithShape="1">
                    <a:blip r:embed="rId143">
                      <a:extLst>
                        <a:ext uri="{28A0092B-C50C-407E-A947-70E740481C1C}">
                          <a14:useLocalDpi xmlns:a14="http://schemas.microsoft.com/office/drawing/2010/main" val="0"/>
                        </a:ext>
                      </a:extLst>
                    </a:blip>
                    <a:srcRect b="26225"/>
                    <a:stretch/>
                  </pic:blipFill>
                  <pic:spPr bwMode="auto">
                    <a:xfrm>
                      <a:off x="0" y="0"/>
                      <a:ext cx="3552420" cy="258755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04E6B" w:rsidRPr="00E04E6B">
        <w:rPr>
          <w:b/>
          <w:sz w:val="28"/>
          <w:szCs w:val="28"/>
        </w:rPr>
        <w:t>Investigations</w:t>
      </w:r>
    </w:p>
    <w:p w:rsidR="00E04E6B" w:rsidRDefault="00E04E6B" w:rsidP="007A3335">
      <w:pPr>
        <w:pStyle w:val="Sansinterligne"/>
      </w:pPr>
    </w:p>
    <w:tbl>
      <w:tblPr>
        <w:tblStyle w:val="Grilledutableau"/>
        <w:tblW w:w="0" w:type="auto"/>
        <w:tblInd w:w="360" w:type="dxa"/>
        <w:tblLook w:val="04A0" w:firstRow="1" w:lastRow="0" w:firstColumn="1" w:lastColumn="0" w:noHBand="0" w:noVBand="1"/>
      </w:tblPr>
      <w:tblGrid>
        <w:gridCol w:w="5418"/>
      </w:tblGrid>
      <w:tr w:rsidR="00B86DAA" w:rsidRPr="00B86DAA" w:rsidTr="00B86DAA">
        <w:trPr>
          <w:trHeight w:val="2748"/>
        </w:trPr>
        <w:tc>
          <w:tcPr>
            <w:tcW w:w="541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rsidR="00B86DAA" w:rsidRPr="00B86DAA" w:rsidRDefault="00B86DAA" w:rsidP="00000B90">
            <w:pPr>
              <w:pStyle w:val="Sansinterligne"/>
              <w:numPr>
                <w:ilvl w:val="0"/>
                <w:numId w:val="800"/>
              </w:numPr>
              <w:ind w:left="360"/>
              <w:rPr>
                <w:highlight w:val="yellow"/>
              </w:rPr>
            </w:pPr>
            <w:r w:rsidRPr="00B86DAA">
              <w:rPr>
                <w:highlight w:val="yellow"/>
              </w:rPr>
              <w:t xml:space="preserve">Dosage de bilirubine totale, conjuguée et non-conjuguée, LDH, haptoglobine, AST-/ALT, GGT, phosphatase alcaline, </w:t>
            </w:r>
          </w:p>
          <w:p w:rsidR="00B86DAA" w:rsidRPr="00B86DAA" w:rsidRDefault="00B86DAA" w:rsidP="00000B90">
            <w:pPr>
              <w:pStyle w:val="Sansinterligne"/>
              <w:numPr>
                <w:ilvl w:val="0"/>
                <w:numId w:val="800"/>
              </w:numPr>
              <w:ind w:left="360"/>
              <w:rPr>
                <w:highlight w:val="yellow"/>
              </w:rPr>
            </w:pPr>
            <w:r w:rsidRPr="00B86DAA">
              <w:rPr>
                <w:highlight w:val="yellow"/>
              </w:rPr>
              <w:t>FSC, réticulocytose, INR, fibrinogène, TCA, albuminémie, TSH</w:t>
            </w:r>
          </w:p>
          <w:p w:rsidR="00B86DAA" w:rsidRDefault="00B86DAA" w:rsidP="00000B90">
            <w:pPr>
              <w:pStyle w:val="Sansinterligne"/>
              <w:numPr>
                <w:ilvl w:val="0"/>
                <w:numId w:val="800"/>
              </w:numPr>
              <w:ind w:left="360"/>
            </w:pPr>
            <w:r w:rsidRPr="00B86DAA">
              <w:t xml:space="preserve">Dosage GALT et succynilacétone (recherche de maladies métaboliques), différents séquençage génétique PRN </w:t>
            </w:r>
          </w:p>
          <w:p w:rsidR="00B86DAA" w:rsidRPr="00B86DAA" w:rsidRDefault="00B86DAA" w:rsidP="00000B90">
            <w:pPr>
              <w:pStyle w:val="Sansinterligne"/>
              <w:numPr>
                <w:ilvl w:val="0"/>
                <w:numId w:val="800"/>
              </w:numPr>
              <w:ind w:left="360"/>
            </w:pPr>
            <w:r w:rsidRPr="00B86DAA">
              <w:rPr>
                <w:highlight w:val="yellow"/>
              </w:rPr>
              <w:t>Échographie abdominale</w:t>
            </w:r>
            <w:r w:rsidRPr="00B86DAA">
              <w:t xml:space="preserve">, </w:t>
            </w:r>
            <w:r w:rsidR="00106FD8">
              <w:t>c</w:t>
            </w:r>
            <w:r w:rsidRPr="00B86DAA">
              <w:t>holangiographie</w:t>
            </w:r>
            <w:r w:rsidR="004C1E8D">
              <w:t xml:space="preserve"> / CPRE</w:t>
            </w:r>
          </w:p>
          <w:p w:rsidR="00B86DAA" w:rsidRPr="00B86DAA" w:rsidRDefault="00B86DAA" w:rsidP="00000B90">
            <w:pPr>
              <w:pStyle w:val="Sansinterligne"/>
              <w:numPr>
                <w:ilvl w:val="0"/>
                <w:numId w:val="800"/>
              </w:numPr>
              <w:ind w:left="360"/>
            </w:pPr>
            <w:r w:rsidRPr="00B86DAA">
              <w:t>Biopsie hépatique</w:t>
            </w:r>
          </w:p>
          <w:p w:rsidR="00B86DAA" w:rsidRPr="00B86DAA" w:rsidRDefault="00B86DAA" w:rsidP="00B86DAA">
            <w:pPr>
              <w:pStyle w:val="Sansinterligne"/>
              <w:ind w:left="360"/>
            </w:pPr>
          </w:p>
        </w:tc>
      </w:tr>
    </w:tbl>
    <w:p w:rsidR="009432EF" w:rsidRDefault="009432EF" w:rsidP="007A3335">
      <w:pPr>
        <w:pStyle w:val="Sansinterligne"/>
      </w:pPr>
    </w:p>
    <w:p w:rsidR="00E04E6B" w:rsidRPr="009432EF" w:rsidRDefault="00E04E6B" w:rsidP="007A3335">
      <w:pPr>
        <w:pStyle w:val="Sansinterligne"/>
        <w:rPr>
          <w:b/>
          <w:sz w:val="28"/>
          <w:szCs w:val="28"/>
        </w:rPr>
      </w:pPr>
      <w:r w:rsidRPr="00E04E6B">
        <w:rPr>
          <w:b/>
          <w:sz w:val="28"/>
          <w:szCs w:val="28"/>
        </w:rPr>
        <w:t>Prise en charge</w:t>
      </w:r>
      <w:r w:rsidR="00834ABF" w:rsidRPr="00834ABF">
        <w:t xml:space="preserve"> </w:t>
      </w:r>
    </w:p>
    <w:p w:rsidR="00E04E6B" w:rsidRDefault="00E04E6B" w:rsidP="007A3335">
      <w:pPr>
        <w:pStyle w:val="Sansinterligne"/>
      </w:pPr>
    </w:p>
    <w:p w:rsidR="00126759" w:rsidRDefault="00126759" w:rsidP="007A3335">
      <w:pPr>
        <w:pStyle w:val="Sansinterligne"/>
        <w:rPr>
          <w:b/>
        </w:rPr>
        <w:sectPr w:rsidR="00126759" w:rsidSect="00A35E51">
          <w:type w:val="continuous"/>
          <w:pgSz w:w="12240" w:h="15840"/>
          <w:pgMar w:top="720" w:right="720" w:bottom="720" w:left="720" w:header="708" w:footer="708" w:gutter="0"/>
          <w:cols w:space="708"/>
          <w:docGrid w:linePitch="360"/>
        </w:sectPr>
      </w:pPr>
    </w:p>
    <w:p w:rsidR="00B13F07" w:rsidRPr="000803C1" w:rsidRDefault="000F687C" w:rsidP="007A3335">
      <w:pPr>
        <w:pStyle w:val="Sansinterligne"/>
        <w:rPr>
          <w:b/>
        </w:rPr>
      </w:pPr>
      <w:r w:rsidRPr="000803C1">
        <w:rPr>
          <w:b/>
        </w:rPr>
        <w:t>Traitement de l’ictère</w:t>
      </w:r>
    </w:p>
    <w:p w:rsidR="000803C1" w:rsidRDefault="000803C1" w:rsidP="007A3335">
      <w:pPr>
        <w:pStyle w:val="Sansinterligne"/>
      </w:pPr>
    </w:p>
    <w:p w:rsidR="000803C1" w:rsidRPr="0000644E" w:rsidRDefault="000803C1" w:rsidP="00000B90">
      <w:pPr>
        <w:pStyle w:val="Sansinterligne"/>
        <w:numPr>
          <w:ilvl w:val="0"/>
          <w:numId w:val="801"/>
        </w:numPr>
        <w:rPr>
          <w:highlight w:val="yellow"/>
        </w:rPr>
      </w:pPr>
      <w:r w:rsidRPr="0000644E">
        <w:rPr>
          <w:highlight w:val="yellow"/>
        </w:rPr>
        <w:t>Allaitement maternel poursuivi autant que possible</w:t>
      </w:r>
    </w:p>
    <w:p w:rsidR="000803C1" w:rsidRPr="0000644E" w:rsidRDefault="006516A7" w:rsidP="00000B90">
      <w:pPr>
        <w:pStyle w:val="Sansinterligne"/>
        <w:numPr>
          <w:ilvl w:val="0"/>
          <w:numId w:val="801"/>
        </w:numPr>
        <w:rPr>
          <w:highlight w:val="yellow"/>
        </w:rPr>
      </w:pPr>
      <w:r w:rsidRPr="0000644E">
        <w:rPr>
          <w:highlight w:val="yellow"/>
        </w:rPr>
        <w:t>Photothérapie </w:t>
      </w:r>
      <w:r w:rsidR="004F43A5" w:rsidRPr="0000644E">
        <w:rPr>
          <w:highlight w:val="yellow"/>
        </w:rPr>
        <w:t xml:space="preserve">(1ère ligne) </w:t>
      </w:r>
    </w:p>
    <w:p w:rsidR="000F687C" w:rsidRPr="0000644E" w:rsidRDefault="000803C1" w:rsidP="00000B90">
      <w:pPr>
        <w:pStyle w:val="Sansinterligne"/>
        <w:numPr>
          <w:ilvl w:val="1"/>
          <w:numId w:val="801"/>
        </w:numPr>
        <w:rPr>
          <w:highlight w:val="yellow"/>
        </w:rPr>
      </w:pPr>
      <w:r w:rsidRPr="0000644E">
        <w:rPr>
          <w:highlight w:val="yellow"/>
        </w:rPr>
        <w:t>Permet</w:t>
      </w:r>
      <w:r w:rsidR="006516A7" w:rsidRPr="0000644E">
        <w:rPr>
          <w:highlight w:val="yellow"/>
        </w:rPr>
        <w:t xml:space="preserve"> de transformer la bilirubine indirecte en bilirubine conjuguée permettant son excrétion et </w:t>
      </w:r>
      <w:r w:rsidR="006516A7" w:rsidRPr="0000644E">
        <w:rPr>
          <w:rFonts w:cs="Times New Roman"/>
          <w:highlight w:val="yellow"/>
        </w:rPr>
        <w:t>↓</w:t>
      </w:r>
      <w:r w:rsidR="006516A7" w:rsidRPr="0000644E">
        <w:rPr>
          <w:highlight w:val="yellow"/>
        </w:rPr>
        <w:t xml:space="preserve"> sa toxicité. </w:t>
      </w:r>
    </w:p>
    <w:p w:rsidR="006516A7" w:rsidRPr="0000644E" w:rsidRDefault="006516A7" w:rsidP="00000B90">
      <w:pPr>
        <w:pStyle w:val="Sansinterligne"/>
        <w:numPr>
          <w:ilvl w:val="1"/>
          <w:numId w:val="801"/>
        </w:numPr>
        <w:rPr>
          <w:highlight w:val="yellow"/>
        </w:rPr>
      </w:pPr>
      <w:r w:rsidRPr="0000644E">
        <w:rPr>
          <w:highlight w:val="yellow"/>
        </w:rPr>
        <w:t>Il faut hydrater l’enfant PO ou IV durant le traitement (pertes insensibles ++)</w:t>
      </w:r>
    </w:p>
    <w:p w:rsidR="006516A7" w:rsidRPr="0000644E" w:rsidRDefault="006516A7" w:rsidP="00000B90">
      <w:pPr>
        <w:pStyle w:val="Sansinterligne"/>
        <w:numPr>
          <w:ilvl w:val="0"/>
          <w:numId w:val="801"/>
        </w:numPr>
        <w:rPr>
          <w:highlight w:val="yellow"/>
        </w:rPr>
      </w:pPr>
      <w:r w:rsidRPr="0000644E">
        <w:rPr>
          <w:highlight w:val="yellow"/>
        </w:rPr>
        <w:t xml:space="preserve">Immunoglobulines intraveineuses (IVIG) </w:t>
      </w:r>
    </w:p>
    <w:p w:rsidR="006516A7" w:rsidRPr="0000644E" w:rsidRDefault="006516A7" w:rsidP="00000B90">
      <w:pPr>
        <w:pStyle w:val="Sansinterligne"/>
        <w:numPr>
          <w:ilvl w:val="1"/>
          <w:numId w:val="801"/>
        </w:numPr>
        <w:rPr>
          <w:highlight w:val="yellow"/>
        </w:rPr>
      </w:pPr>
      <w:r w:rsidRPr="0000644E">
        <w:rPr>
          <w:highlight w:val="yellow"/>
        </w:rPr>
        <w:t>Utile en maladie hémolytique</w:t>
      </w:r>
    </w:p>
    <w:p w:rsidR="000803C1" w:rsidRPr="0000644E" w:rsidRDefault="000803C1" w:rsidP="00000B90">
      <w:pPr>
        <w:pStyle w:val="Sansinterligne"/>
        <w:numPr>
          <w:ilvl w:val="0"/>
          <w:numId w:val="801"/>
        </w:numPr>
        <w:rPr>
          <w:highlight w:val="yellow"/>
        </w:rPr>
      </w:pPr>
      <w:r w:rsidRPr="0000644E">
        <w:rPr>
          <w:highlight w:val="yellow"/>
        </w:rPr>
        <w:t>Exsanguino-transfusions</w:t>
      </w:r>
    </w:p>
    <w:p w:rsidR="000803C1" w:rsidRPr="0000644E" w:rsidRDefault="000803C1" w:rsidP="00000B90">
      <w:pPr>
        <w:pStyle w:val="Sansinterligne"/>
        <w:numPr>
          <w:ilvl w:val="1"/>
          <w:numId w:val="801"/>
        </w:numPr>
        <w:rPr>
          <w:highlight w:val="yellow"/>
        </w:rPr>
      </w:pPr>
      <w:r w:rsidRPr="0000644E">
        <w:rPr>
          <w:highlight w:val="yellow"/>
        </w:rPr>
        <w:t>Si hyperbilirunémie sévère</w:t>
      </w:r>
    </w:p>
    <w:p w:rsidR="006516A7" w:rsidRDefault="006516A7" w:rsidP="007A3335">
      <w:pPr>
        <w:pStyle w:val="Sansinterligne"/>
      </w:pPr>
    </w:p>
    <w:p w:rsidR="000F687C" w:rsidRPr="008D40C6" w:rsidRDefault="000F687C" w:rsidP="007A3335">
      <w:pPr>
        <w:pStyle w:val="Sansinterligne"/>
        <w:rPr>
          <w:b/>
        </w:rPr>
      </w:pPr>
      <w:r w:rsidRPr="008D40C6">
        <w:rPr>
          <w:b/>
        </w:rPr>
        <w:t>Traitements spécifique aux pathologies sous-jacentes</w:t>
      </w:r>
    </w:p>
    <w:p w:rsidR="000F687C" w:rsidRDefault="000F687C" w:rsidP="007A3335">
      <w:pPr>
        <w:pStyle w:val="Sansinterligne"/>
      </w:pPr>
    </w:p>
    <w:p w:rsidR="00B13F07" w:rsidRPr="008D40C6" w:rsidRDefault="00B13F07" w:rsidP="007A3335">
      <w:pPr>
        <w:pStyle w:val="Sansinterligne"/>
        <w:rPr>
          <w:u w:val="single"/>
        </w:rPr>
      </w:pPr>
      <w:r w:rsidRPr="008D40C6">
        <w:rPr>
          <w:u w:val="single"/>
        </w:rPr>
        <w:t>Syndrome de Gilbert</w:t>
      </w:r>
    </w:p>
    <w:p w:rsidR="00B13F07" w:rsidRDefault="00B13F07" w:rsidP="00000B90">
      <w:pPr>
        <w:pStyle w:val="Sansinterligne"/>
        <w:numPr>
          <w:ilvl w:val="0"/>
          <w:numId w:val="802"/>
        </w:numPr>
        <w:tabs>
          <w:tab w:val="left" w:pos="426"/>
        </w:tabs>
      </w:pPr>
      <w:r>
        <w:t>Expectative</w:t>
      </w:r>
    </w:p>
    <w:p w:rsidR="00B13F07" w:rsidRDefault="00B13F07" w:rsidP="007A3335">
      <w:pPr>
        <w:pStyle w:val="Sansinterligne"/>
      </w:pPr>
    </w:p>
    <w:p w:rsidR="00B13F07" w:rsidRPr="008D40C6" w:rsidRDefault="00B13F07" w:rsidP="007A3335">
      <w:pPr>
        <w:pStyle w:val="Sansinterligne"/>
        <w:rPr>
          <w:u w:val="single"/>
        </w:rPr>
      </w:pPr>
      <w:r w:rsidRPr="008D40C6">
        <w:rPr>
          <w:u w:val="single"/>
        </w:rPr>
        <w:t>Syndrome de Crigler-Najjar</w:t>
      </w:r>
    </w:p>
    <w:p w:rsidR="00B13F07" w:rsidRDefault="00B13F07" w:rsidP="00000B90">
      <w:pPr>
        <w:pStyle w:val="Sansinterligne"/>
        <w:numPr>
          <w:ilvl w:val="0"/>
          <w:numId w:val="803"/>
        </w:numPr>
      </w:pPr>
      <w:r>
        <w:t>Plasmaphérèse</w:t>
      </w:r>
    </w:p>
    <w:p w:rsidR="00B13F07" w:rsidRDefault="00B13F07" w:rsidP="00000B90">
      <w:pPr>
        <w:pStyle w:val="Sansinterligne"/>
        <w:numPr>
          <w:ilvl w:val="0"/>
          <w:numId w:val="803"/>
        </w:numPr>
      </w:pPr>
      <w:r>
        <w:t xml:space="preserve">Référence </w:t>
      </w:r>
      <w:r w:rsidR="008D40C6">
        <w:t xml:space="preserve">urgente </w:t>
      </w:r>
      <w:r>
        <w:t>en pédiatrie</w:t>
      </w:r>
      <w:r w:rsidR="008D40C6">
        <w:t xml:space="preserve"> / néonatalogie</w:t>
      </w:r>
    </w:p>
    <w:p w:rsidR="00B13F07" w:rsidRDefault="00B13F07" w:rsidP="00000B90">
      <w:pPr>
        <w:pStyle w:val="Sansinterligne"/>
        <w:numPr>
          <w:ilvl w:val="0"/>
          <w:numId w:val="803"/>
        </w:numPr>
      </w:pPr>
      <w:r>
        <w:t>Mauvais pronostic pour le type I</w:t>
      </w:r>
    </w:p>
    <w:p w:rsidR="00B13F07" w:rsidRDefault="00B13F07" w:rsidP="007A3335">
      <w:pPr>
        <w:pStyle w:val="Sansinterligne"/>
      </w:pPr>
    </w:p>
    <w:p w:rsidR="000F687C" w:rsidRPr="008D40C6" w:rsidRDefault="000F687C" w:rsidP="007A3335">
      <w:pPr>
        <w:pStyle w:val="Sansinterligne"/>
        <w:rPr>
          <w:u w:val="single"/>
        </w:rPr>
      </w:pPr>
      <w:r w:rsidRPr="008D40C6">
        <w:rPr>
          <w:u w:val="single"/>
        </w:rPr>
        <w:t>Hypothyroïdie congénitale</w:t>
      </w:r>
    </w:p>
    <w:p w:rsidR="000F687C" w:rsidRDefault="000F687C" w:rsidP="00000B90">
      <w:pPr>
        <w:pStyle w:val="Sansinterligne"/>
        <w:numPr>
          <w:ilvl w:val="0"/>
          <w:numId w:val="804"/>
        </w:numPr>
      </w:pPr>
      <w:r>
        <w:t>L</w:t>
      </w:r>
      <w:r w:rsidR="008D40C6">
        <w:t>é</w:t>
      </w:r>
      <w:r>
        <w:t>vothyroxine</w:t>
      </w:r>
    </w:p>
    <w:p w:rsidR="000F687C" w:rsidRDefault="000F687C" w:rsidP="00000B90">
      <w:pPr>
        <w:pStyle w:val="Sansinterligne"/>
        <w:numPr>
          <w:ilvl w:val="0"/>
          <w:numId w:val="804"/>
        </w:numPr>
      </w:pPr>
      <w:r>
        <w:t xml:space="preserve">Suivi pédiatrique régulier </w:t>
      </w:r>
      <w:r>
        <w:rPr>
          <w:rFonts w:cs="Times New Roman"/>
        </w:rPr>
        <w:t>~</w:t>
      </w:r>
      <w:r>
        <w:t xml:space="preserve"> q 2 mois x 3 an, puis espacer ensuite</w:t>
      </w:r>
    </w:p>
    <w:p w:rsidR="00663B53" w:rsidRDefault="00663B53" w:rsidP="00000B90">
      <w:pPr>
        <w:pStyle w:val="Sansinterligne"/>
        <w:numPr>
          <w:ilvl w:val="0"/>
          <w:numId w:val="804"/>
        </w:numPr>
      </w:pPr>
      <w:r>
        <w:t>Surveiller un retard de croissance/développement ou des anomalies cardiaques</w:t>
      </w:r>
    </w:p>
    <w:p w:rsidR="000F687C" w:rsidRDefault="000F687C" w:rsidP="007A3335">
      <w:pPr>
        <w:pStyle w:val="Sansinterligne"/>
      </w:pPr>
    </w:p>
    <w:p w:rsidR="00991DDB" w:rsidRPr="004C1E8D" w:rsidRDefault="00991DDB" w:rsidP="007A3335">
      <w:pPr>
        <w:pStyle w:val="Sansinterligne"/>
        <w:rPr>
          <w:highlight w:val="yellow"/>
          <w:u w:val="single"/>
        </w:rPr>
      </w:pPr>
      <w:r w:rsidRPr="004C1E8D">
        <w:rPr>
          <w:highlight w:val="yellow"/>
          <w:u w:val="single"/>
        </w:rPr>
        <w:t>Sphérocytose</w:t>
      </w:r>
    </w:p>
    <w:p w:rsidR="00991DDB" w:rsidRPr="004C1E8D" w:rsidRDefault="00991DDB" w:rsidP="00000B90">
      <w:pPr>
        <w:pStyle w:val="Sansinterligne"/>
        <w:numPr>
          <w:ilvl w:val="0"/>
          <w:numId w:val="805"/>
        </w:numPr>
        <w:rPr>
          <w:highlight w:val="yellow"/>
        </w:rPr>
      </w:pPr>
      <w:r w:rsidRPr="004C1E8D">
        <w:rPr>
          <w:highlight w:val="yellow"/>
        </w:rPr>
        <w:t>Référence en hématologie pédiatrique</w:t>
      </w:r>
    </w:p>
    <w:p w:rsidR="00991DDB" w:rsidRPr="004C1E8D" w:rsidRDefault="00991DDB" w:rsidP="00000B90">
      <w:pPr>
        <w:pStyle w:val="Sansinterligne"/>
        <w:numPr>
          <w:ilvl w:val="0"/>
          <w:numId w:val="805"/>
        </w:numPr>
        <w:rPr>
          <w:highlight w:val="yellow"/>
        </w:rPr>
      </w:pPr>
      <w:r w:rsidRPr="004C1E8D">
        <w:rPr>
          <w:highlight w:val="yellow"/>
        </w:rPr>
        <w:t>Suppléments d’acide folique</w:t>
      </w:r>
    </w:p>
    <w:p w:rsidR="00991DDB" w:rsidRPr="004C1E8D" w:rsidRDefault="00991DDB" w:rsidP="00000B90">
      <w:pPr>
        <w:pStyle w:val="Sansinterligne"/>
        <w:numPr>
          <w:ilvl w:val="0"/>
          <w:numId w:val="805"/>
        </w:numPr>
        <w:rPr>
          <w:highlight w:val="yellow"/>
        </w:rPr>
      </w:pPr>
      <w:r w:rsidRPr="004C1E8D">
        <w:rPr>
          <w:highlight w:val="yellow"/>
        </w:rPr>
        <w:t>Tranfusions PRN</w:t>
      </w:r>
    </w:p>
    <w:p w:rsidR="00991DDB" w:rsidRDefault="00991DDB" w:rsidP="00000B90">
      <w:pPr>
        <w:pStyle w:val="Sansinterligne"/>
        <w:numPr>
          <w:ilvl w:val="0"/>
          <w:numId w:val="805"/>
        </w:numPr>
      </w:pPr>
      <w:r w:rsidRPr="004C1E8D">
        <w:rPr>
          <w:highlight w:val="yellow"/>
        </w:rPr>
        <w:t xml:space="preserve">Splénectomie à considérer </w:t>
      </w:r>
      <w:r w:rsidRPr="004C1E8D">
        <w:rPr>
          <w:rFonts w:ascii="Century Gothic" w:hAnsi="Century Gothic"/>
          <w:highlight w:val="yellow"/>
        </w:rPr>
        <w:t>&gt;</w:t>
      </w:r>
      <w:r w:rsidRPr="004C1E8D">
        <w:rPr>
          <w:highlight w:val="yellow"/>
        </w:rPr>
        <w:t xml:space="preserve"> 6 ans</w:t>
      </w:r>
    </w:p>
    <w:p w:rsidR="00991DDB" w:rsidRDefault="00991DDB" w:rsidP="007A3335">
      <w:pPr>
        <w:pStyle w:val="Sansinterligne"/>
      </w:pPr>
    </w:p>
    <w:p w:rsidR="003E4BC9" w:rsidRPr="003E4BC9" w:rsidRDefault="003E4BC9" w:rsidP="007A3335">
      <w:pPr>
        <w:pStyle w:val="Sansinterligne"/>
        <w:rPr>
          <w:u w:val="single"/>
        </w:rPr>
      </w:pPr>
      <w:r w:rsidRPr="003E4BC9">
        <w:rPr>
          <w:u w:val="single"/>
        </w:rPr>
        <w:t>Maladie hémolytique du nouveau-né</w:t>
      </w:r>
    </w:p>
    <w:p w:rsidR="003E4BC9" w:rsidRDefault="003E4BC9" w:rsidP="00000B90">
      <w:pPr>
        <w:pStyle w:val="Sansinterligne"/>
        <w:numPr>
          <w:ilvl w:val="0"/>
          <w:numId w:val="806"/>
        </w:numPr>
      </w:pPr>
      <w:r>
        <w:t>Voir gestion de l’ictère (ci-haut) – incluant IVIG et exsanguinotransfusions</w:t>
      </w:r>
    </w:p>
    <w:p w:rsidR="003E4BC9" w:rsidRDefault="003E4BC9" w:rsidP="007A3335">
      <w:pPr>
        <w:pStyle w:val="Sansinterligne"/>
      </w:pPr>
    </w:p>
    <w:p w:rsidR="00E04E6B" w:rsidRPr="004C1E8D" w:rsidRDefault="00675FE0" w:rsidP="007A3335">
      <w:pPr>
        <w:pStyle w:val="Sansinterligne"/>
        <w:rPr>
          <w:highlight w:val="yellow"/>
          <w:u w:val="single"/>
        </w:rPr>
      </w:pPr>
      <w:r w:rsidRPr="004C1E8D">
        <w:rPr>
          <w:highlight w:val="yellow"/>
          <w:u w:val="single"/>
        </w:rPr>
        <w:t>Atrésie des voies biliaires</w:t>
      </w:r>
    </w:p>
    <w:p w:rsidR="004B7E2B" w:rsidRPr="004C1E8D" w:rsidRDefault="004B7E2B" w:rsidP="00000B90">
      <w:pPr>
        <w:pStyle w:val="Sansinterligne"/>
        <w:numPr>
          <w:ilvl w:val="0"/>
          <w:numId w:val="806"/>
        </w:numPr>
        <w:rPr>
          <w:highlight w:val="yellow"/>
        </w:rPr>
      </w:pPr>
      <w:r w:rsidRPr="004C1E8D">
        <w:rPr>
          <w:highlight w:val="yellow"/>
        </w:rPr>
        <w:t>Référence urgente en gastro-entérologie pédiatrique et chirurgie</w:t>
      </w:r>
    </w:p>
    <w:p w:rsidR="00E96CB9" w:rsidRDefault="00675FE0" w:rsidP="00000B90">
      <w:pPr>
        <w:pStyle w:val="Sansinterligne"/>
        <w:numPr>
          <w:ilvl w:val="0"/>
          <w:numId w:val="806"/>
        </w:numPr>
        <w:rPr>
          <w:highlight w:val="yellow"/>
        </w:rPr>
      </w:pPr>
      <w:r w:rsidRPr="004C1E8D">
        <w:rPr>
          <w:highlight w:val="yellow"/>
        </w:rPr>
        <w:t>Procédure de Kasai (hépatoportoentérostomie)</w:t>
      </w:r>
    </w:p>
    <w:p w:rsidR="00675FE0" w:rsidRPr="004C1E8D" w:rsidRDefault="00E96CB9" w:rsidP="00000B90">
      <w:pPr>
        <w:pStyle w:val="Sansinterligne"/>
        <w:numPr>
          <w:ilvl w:val="0"/>
          <w:numId w:val="806"/>
        </w:numPr>
        <w:rPr>
          <w:highlight w:val="yellow"/>
        </w:rPr>
      </w:pPr>
      <w:r>
        <w:rPr>
          <w:highlight w:val="yellow"/>
        </w:rPr>
        <w:t>Greffe hépatique</w:t>
      </w:r>
      <w:r w:rsidR="00675FE0" w:rsidRPr="004C1E8D">
        <w:rPr>
          <w:highlight w:val="yellow"/>
        </w:rPr>
        <w:t xml:space="preserve"> </w:t>
      </w:r>
      <w:r>
        <w:rPr>
          <w:highlight w:val="yellow"/>
        </w:rPr>
        <w:t>(éventuellement)</w:t>
      </w:r>
    </w:p>
    <w:p w:rsidR="003E4BC9" w:rsidRDefault="00126759" w:rsidP="007A3335">
      <w:pPr>
        <w:pStyle w:val="Sansinterligne"/>
      </w:pPr>
      <w:r w:rsidRPr="0000644E">
        <w:rPr>
          <w:noProof/>
          <w:highlight w:val="yellow"/>
          <w:lang w:eastAsia="fr-CA"/>
        </w:rPr>
        <w:drawing>
          <wp:anchor distT="0" distB="0" distL="114300" distR="114300" simplePos="0" relativeHeight="251879424" behindDoc="0" locked="0" layoutInCell="1" allowOverlap="1" wp14:anchorId="3EC81F27" wp14:editId="1E5FF024">
            <wp:simplePos x="0" y="0"/>
            <wp:positionH relativeFrom="column">
              <wp:posOffset>1296630</wp:posOffset>
            </wp:positionH>
            <wp:positionV relativeFrom="paragraph">
              <wp:posOffset>46990</wp:posOffset>
            </wp:positionV>
            <wp:extent cx="1692275" cy="1682750"/>
            <wp:effectExtent l="0" t="0" r="3175" b="0"/>
            <wp:wrapNone/>
            <wp:docPr id="385" name="Image 38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pic:cNvPicPr>
                      <a:picLocks noChangeAspect="1" noChangeArrowheads="1"/>
                    </pic:cNvPicPr>
                  </pic:nvPicPr>
                  <pic:blipFill rotWithShape="1">
                    <a:blip r:embed="rId144">
                      <a:extLst>
                        <a:ext uri="{28A0092B-C50C-407E-A947-70E740481C1C}">
                          <a14:useLocalDpi xmlns:a14="http://schemas.microsoft.com/office/drawing/2010/main" val="0"/>
                        </a:ext>
                      </a:extLst>
                    </a:blip>
                    <a:srcRect l="25735" t="53100" r="10048"/>
                    <a:stretch/>
                  </pic:blipFill>
                  <pic:spPr bwMode="auto">
                    <a:xfrm>
                      <a:off x="0" y="0"/>
                      <a:ext cx="1692275" cy="16827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126759" w:rsidRDefault="00126759" w:rsidP="007A3335">
      <w:pPr>
        <w:pStyle w:val="Sansinterligne"/>
      </w:pPr>
    </w:p>
    <w:p w:rsidR="00126759" w:rsidRDefault="00126759" w:rsidP="007A3335">
      <w:pPr>
        <w:pStyle w:val="Sansinterligne"/>
      </w:pPr>
    </w:p>
    <w:p w:rsidR="00126759" w:rsidRDefault="00126759" w:rsidP="007A3335">
      <w:pPr>
        <w:pStyle w:val="Sansinterligne"/>
      </w:pPr>
    </w:p>
    <w:p w:rsidR="00126759" w:rsidRDefault="00126759" w:rsidP="007A3335">
      <w:pPr>
        <w:pStyle w:val="Sansinterligne"/>
      </w:pPr>
    </w:p>
    <w:p w:rsidR="00126759" w:rsidRDefault="00126759" w:rsidP="007A3335">
      <w:pPr>
        <w:pStyle w:val="Sansinterligne"/>
      </w:pPr>
    </w:p>
    <w:p w:rsidR="00126759" w:rsidRDefault="00126759" w:rsidP="007A3335">
      <w:pPr>
        <w:pStyle w:val="Sansinterligne"/>
      </w:pPr>
    </w:p>
    <w:p w:rsidR="00126759" w:rsidRDefault="00126759" w:rsidP="007A3335">
      <w:pPr>
        <w:pStyle w:val="Sansinterligne"/>
      </w:pPr>
    </w:p>
    <w:p w:rsidR="00126759" w:rsidRDefault="00126759" w:rsidP="007A3335">
      <w:pPr>
        <w:pStyle w:val="Sansinterligne"/>
      </w:pPr>
    </w:p>
    <w:p w:rsidR="00126759" w:rsidRDefault="00126759" w:rsidP="007A3335">
      <w:pPr>
        <w:pStyle w:val="Sansinterligne"/>
      </w:pPr>
    </w:p>
    <w:p w:rsidR="00126759" w:rsidRDefault="00126759" w:rsidP="007A3335">
      <w:pPr>
        <w:pStyle w:val="Sansinterligne"/>
      </w:pPr>
    </w:p>
    <w:p w:rsidR="003E4BC9" w:rsidRPr="003E4BC9" w:rsidRDefault="003E4BC9" w:rsidP="007A3335">
      <w:pPr>
        <w:pStyle w:val="Sansinterligne"/>
        <w:rPr>
          <w:u w:val="single"/>
        </w:rPr>
      </w:pPr>
      <w:r w:rsidRPr="003E4BC9">
        <w:rPr>
          <w:u w:val="single"/>
        </w:rPr>
        <w:t>Kyste du cholédoque</w:t>
      </w:r>
    </w:p>
    <w:p w:rsidR="003E4BC9" w:rsidRDefault="003E4BC9" w:rsidP="00000B90">
      <w:pPr>
        <w:pStyle w:val="Sansinterligne"/>
        <w:numPr>
          <w:ilvl w:val="0"/>
          <w:numId w:val="807"/>
        </w:numPr>
      </w:pPr>
      <w:r>
        <w:t>Référence en chirurgie pédiatrique</w:t>
      </w:r>
    </w:p>
    <w:p w:rsidR="00E04E6B" w:rsidRDefault="003E4BC9" w:rsidP="00000B90">
      <w:pPr>
        <w:pStyle w:val="Sansinterligne"/>
        <w:numPr>
          <w:ilvl w:val="0"/>
          <w:numId w:val="807"/>
        </w:numPr>
      </w:pPr>
      <w:r>
        <w:t>Résection chirurgicale</w:t>
      </w:r>
    </w:p>
    <w:p w:rsidR="006D00F9" w:rsidRPr="006D00F9" w:rsidRDefault="006D00F9" w:rsidP="006D00F9">
      <w:pPr>
        <w:pStyle w:val="Sansinterligne"/>
        <w:ind w:left="360"/>
      </w:pPr>
    </w:p>
    <w:p w:rsidR="003E4BC9" w:rsidRPr="00020BAA" w:rsidRDefault="003E4BC9" w:rsidP="003E4BC9">
      <w:pPr>
        <w:pStyle w:val="Sansinterligne"/>
        <w:rPr>
          <w:highlight w:val="yellow"/>
          <w:u w:val="single"/>
        </w:rPr>
      </w:pPr>
      <w:r w:rsidRPr="00020BAA">
        <w:rPr>
          <w:highlight w:val="yellow"/>
          <w:u w:val="single"/>
        </w:rPr>
        <w:t>Maladies métaboliques</w:t>
      </w:r>
    </w:p>
    <w:p w:rsidR="003E4BC9" w:rsidRPr="00020BAA" w:rsidRDefault="003E4BC9" w:rsidP="00000B90">
      <w:pPr>
        <w:pStyle w:val="Sansinterligne"/>
        <w:numPr>
          <w:ilvl w:val="0"/>
          <w:numId w:val="808"/>
        </w:numPr>
        <w:rPr>
          <w:highlight w:val="yellow"/>
        </w:rPr>
      </w:pPr>
      <w:r w:rsidRPr="00020BAA">
        <w:rPr>
          <w:highlight w:val="yellow"/>
        </w:rPr>
        <w:t>Référence en pédiatrie</w:t>
      </w:r>
    </w:p>
    <w:p w:rsidR="003E4BC9" w:rsidRPr="00020BAA" w:rsidRDefault="003E4BC9" w:rsidP="00000B90">
      <w:pPr>
        <w:pStyle w:val="Sansinterligne"/>
        <w:numPr>
          <w:ilvl w:val="0"/>
          <w:numId w:val="808"/>
        </w:numPr>
        <w:rPr>
          <w:highlight w:val="yellow"/>
        </w:rPr>
      </w:pPr>
      <w:r w:rsidRPr="00020BAA">
        <w:rPr>
          <w:highlight w:val="yellow"/>
        </w:rPr>
        <w:t>Restrictions diététique strictes (galactose, tyrosine, phénylalanine, etc)</w:t>
      </w:r>
    </w:p>
    <w:p w:rsidR="003E4BC9" w:rsidRPr="00020BAA" w:rsidRDefault="003E4BC9" w:rsidP="00000B90">
      <w:pPr>
        <w:pStyle w:val="Sansinterligne"/>
        <w:numPr>
          <w:ilvl w:val="0"/>
          <w:numId w:val="808"/>
        </w:numPr>
        <w:rPr>
          <w:highlight w:val="yellow"/>
        </w:rPr>
      </w:pPr>
      <w:r w:rsidRPr="00020BAA">
        <w:rPr>
          <w:highlight w:val="yellow"/>
        </w:rPr>
        <w:t>Nitisinone (tyrosinémie type I)</w:t>
      </w:r>
    </w:p>
    <w:p w:rsidR="006D00F9" w:rsidRPr="00020BAA" w:rsidRDefault="003E4BC9" w:rsidP="00000B90">
      <w:pPr>
        <w:pStyle w:val="Sansinterligne"/>
        <w:numPr>
          <w:ilvl w:val="0"/>
          <w:numId w:val="808"/>
        </w:numPr>
        <w:rPr>
          <w:highlight w:val="yellow"/>
        </w:rPr>
      </w:pPr>
      <w:r w:rsidRPr="00020BAA">
        <w:rPr>
          <w:highlight w:val="yellow"/>
        </w:rPr>
        <w:t>Suivi et dépistage de comorbidités par le pédiatre</w:t>
      </w:r>
    </w:p>
    <w:p w:rsidR="006D00F9" w:rsidRDefault="006D00F9" w:rsidP="006D00F9">
      <w:pPr>
        <w:pStyle w:val="Sansinterligne"/>
      </w:pPr>
    </w:p>
    <w:p w:rsidR="006D00F9" w:rsidRPr="006D00F9" w:rsidRDefault="006D00F9" w:rsidP="006D00F9">
      <w:pPr>
        <w:pStyle w:val="Sansinterligne"/>
        <w:rPr>
          <w:u w:val="single"/>
        </w:rPr>
      </w:pPr>
      <w:r w:rsidRPr="006D00F9">
        <w:rPr>
          <w:u w:val="single"/>
        </w:rPr>
        <w:t>Autres conditions</w:t>
      </w:r>
    </w:p>
    <w:p w:rsidR="006D00F9" w:rsidRDefault="006D00F9" w:rsidP="00000B90">
      <w:pPr>
        <w:pStyle w:val="Sansinterligne"/>
        <w:numPr>
          <w:ilvl w:val="0"/>
          <w:numId w:val="809"/>
        </w:numPr>
      </w:pPr>
      <w:r>
        <w:t>Expectative et gestion de l’ictère</w:t>
      </w:r>
    </w:p>
    <w:p w:rsidR="00126759" w:rsidRDefault="00126759">
      <w:pPr>
        <w:rPr>
          <w:rFonts w:cs="Times New Roman"/>
          <w:b/>
          <w:color w:val="548DD4" w:themeColor="text2" w:themeTint="99"/>
        </w:rPr>
      </w:pPr>
    </w:p>
    <w:p w:rsidR="00126759" w:rsidRDefault="00126759">
      <w:pPr>
        <w:rPr>
          <w:rFonts w:cs="Times New Roman"/>
          <w:b/>
          <w:color w:val="548DD4" w:themeColor="text2" w:themeTint="99"/>
        </w:rPr>
      </w:pPr>
    </w:p>
    <w:p w:rsidR="00126759" w:rsidRDefault="00126759">
      <w:pPr>
        <w:rPr>
          <w:rFonts w:cs="Times New Roman"/>
          <w:b/>
          <w:color w:val="548DD4" w:themeColor="text2" w:themeTint="99"/>
        </w:rPr>
      </w:pPr>
    </w:p>
    <w:p w:rsidR="00126759" w:rsidRDefault="00126759">
      <w:pPr>
        <w:rPr>
          <w:rFonts w:cs="Times New Roman"/>
          <w:b/>
          <w:color w:val="548DD4" w:themeColor="text2" w:themeTint="99"/>
        </w:rPr>
        <w:sectPr w:rsidR="00126759" w:rsidSect="00126759">
          <w:type w:val="continuous"/>
          <w:pgSz w:w="12240" w:h="15840"/>
          <w:pgMar w:top="720" w:right="720" w:bottom="720" w:left="720" w:header="708" w:footer="708" w:gutter="0"/>
          <w:cols w:num="2" w:space="708"/>
          <w:docGrid w:linePitch="360"/>
        </w:sectPr>
      </w:pPr>
    </w:p>
    <w:p w:rsidR="00C97D44" w:rsidRDefault="00C97D44" w:rsidP="00F62E2A">
      <w:pPr>
        <w:pStyle w:val="Sansinterligne"/>
        <w:rPr>
          <w:rFonts w:cs="Times New Roman"/>
          <w:b/>
          <w:color w:val="548DD4" w:themeColor="text2" w:themeTint="99"/>
        </w:rPr>
      </w:pPr>
      <w:r>
        <w:rPr>
          <w:rFonts w:cs="Times New Roman"/>
          <w:b/>
          <w:color w:val="548DD4" w:themeColor="text2" w:themeTint="99"/>
        </w:rPr>
        <w:t>CMC 50-3</w:t>
      </w:r>
    </w:p>
    <w:p w:rsidR="00C97D44" w:rsidRPr="00C97D44" w:rsidRDefault="00C97D44" w:rsidP="00C97D44">
      <w:pPr>
        <w:pStyle w:val="Titre3"/>
        <w:spacing w:before="0"/>
        <w:rPr>
          <w:rFonts w:ascii="Times New Roman" w:hAnsi="Times New Roman" w:cs="Times New Roman"/>
        </w:rPr>
      </w:pPr>
      <w:bookmarkStart w:id="142" w:name="_Toc480797289"/>
      <w:r w:rsidRPr="00C97D44">
        <w:rPr>
          <w:rFonts w:ascii="Times New Roman" w:hAnsi="Times New Roman" w:cs="Times New Roman"/>
        </w:rPr>
        <w:t>Douleur musculosquelettique non-articulaire</w:t>
      </w:r>
      <w:bookmarkEnd w:id="142"/>
    </w:p>
    <w:p w:rsidR="00C97D44" w:rsidRDefault="00C97D44" w:rsidP="00F62E2A">
      <w:pPr>
        <w:pStyle w:val="Sansinterligne"/>
        <w:rPr>
          <w:rFonts w:cs="Times New Roman"/>
          <w:b/>
          <w:color w:val="548DD4" w:themeColor="text2" w:themeTint="99"/>
        </w:rPr>
      </w:pPr>
      <w:r>
        <w:rPr>
          <w:rFonts w:cs="Times New Roman"/>
          <w:b/>
          <w:noProof/>
          <w:color w:val="548DD4" w:themeColor="text2" w:themeTint="99"/>
          <w:lang w:eastAsia="fr-CA"/>
        </w:rPr>
        <mc:AlternateContent>
          <mc:Choice Requires="wps">
            <w:drawing>
              <wp:anchor distT="0" distB="0" distL="114300" distR="114300" simplePos="0" relativeHeight="252252160" behindDoc="0" locked="0" layoutInCell="1" allowOverlap="1" wp14:anchorId="618C47CE" wp14:editId="5DAB828D">
                <wp:simplePos x="0" y="0"/>
                <wp:positionH relativeFrom="column">
                  <wp:posOffset>-77821</wp:posOffset>
                </wp:positionH>
                <wp:positionV relativeFrom="paragraph">
                  <wp:posOffset>89900</wp:posOffset>
                </wp:positionV>
                <wp:extent cx="6994187" cy="3336587"/>
                <wp:effectExtent l="0" t="0" r="16510" b="16510"/>
                <wp:wrapNone/>
                <wp:docPr id="697" name="Rectangle 697"/>
                <wp:cNvGraphicFramePr/>
                <a:graphic xmlns:a="http://schemas.openxmlformats.org/drawingml/2006/main">
                  <a:graphicData uri="http://schemas.microsoft.com/office/word/2010/wordprocessingShape">
                    <wps:wsp>
                      <wps:cNvSpPr/>
                      <wps:spPr>
                        <a:xfrm>
                          <a:off x="0" y="0"/>
                          <a:ext cx="6994187" cy="3336587"/>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697" o:spid="_x0000_s1026" style="position:absolute;margin-left:-6.15pt;margin-top:7.1pt;width:550.7pt;height:262.7pt;z-index:2522521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" filled="f" strokecolor="black [1600]" strokeweight="2pt"/>
            </w:pict>
          </mc:Fallback>
        </mc:AlternateContent>
      </w:r>
    </w:p>
    <w:tbl>
      <w:tblPr>
        <w:tblW w:w="3858" w:type="pct"/>
        <w:tblCellSpacing w:w="0" w:type="dxa"/>
        <w:tblCellMar>
          <w:left w:w="0" w:type="dxa"/>
          <w:right w:w="0" w:type="dxa"/>
        </w:tblCellMar>
        <w:tblLook w:val="04A0" w:firstRow="1" w:lastRow="0" w:firstColumn="1" w:lastColumn="0" w:noHBand="0" w:noVBand="1"/>
      </w:tblPr>
      <w:tblGrid>
        <w:gridCol w:w="8333"/>
      </w:tblGrid>
      <w:tr w:rsidR="00C97D44" w:rsidRPr="00C97D44" w:rsidTr="00C97D44">
        <w:trPr>
          <w:tblCellSpacing w:w="0" w:type="dxa"/>
        </w:trPr>
        <w:tc>
          <w:tcPr>
            <w:tcW w:w="0" w:type="auto"/>
            <w:vAlign w:val="bottom"/>
            <w:hideMark/>
          </w:tcPr>
          <w:p w:rsidR="00C97D44" w:rsidRPr="00C97D44" w:rsidRDefault="00C97D44" w:rsidP="00C97D44">
            <w:pPr>
              <w:pStyle w:val="Sansinterligne"/>
              <w:rPr>
                <w:rFonts w:cs="Times New Roman"/>
                <w:b/>
                <w:sz w:val="18"/>
                <w:szCs w:val="18"/>
              </w:rPr>
            </w:pPr>
            <w:r w:rsidRPr="00C97D44">
              <w:rPr>
                <w:rFonts w:cs="Times New Roman"/>
                <w:b/>
                <w:sz w:val="18"/>
                <w:szCs w:val="18"/>
              </w:rPr>
              <w:t>Objectifs principaux</w:t>
            </w:r>
          </w:p>
        </w:tc>
      </w:tr>
    </w:tbl>
    <w:p w:rsidR="00C97D44" w:rsidRPr="00C97D44" w:rsidRDefault="00C97D44" w:rsidP="00C97D44">
      <w:pPr>
        <w:pStyle w:val="NormalWeb"/>
        <w:ind w:left="360"/>
        <w:rPr>
          <w:color w:val="000000"/>
          <w:sz w:val="18"/>
          <w:szCs w:val="18"/>
          <w:shd w:val="clear" w:color="auto" w:fill="FFFFFF"/>
        </w:rPr>
      </w:pPr>
      <w:r w:rsidRPr="00C97D44">
        <w:rPr>
          <w:color w:val="000000"/>
          <w:sz w:val="18"/>
          <w:szCs w:val="18"/>
          <w:shd w:val="clear" w:color="auto" w:fill="FFFFFF"/>
        </w:rPr>
        <w:t>Dans le cas d'un patient ayant une douleur musculosquelettique, le candidat devra pouvoir distinguer les symptômes dus à des causes osseuses, articulaires, musculaires, nerveuses ou vasculaires. Le candidat devra pouvoir ensuite classifier la pathologie sous-jacente probable et déterminer si une intervention d'urgence est nécessaire.</w:t>
      </w:r>
    </w:p>
    <w:tbl>
      <w:tblPr>
        <w:tblW w:w="3897" w:type="pct"/>
        <w:tblCellSpacing w:w="0" w:type="dxa"/>
        <w:tblCellMar>
          <w:left w:w="0" w:type="dxa"/>
          <w:right w:w="0" w:type="dxa"/>
        </w:tblCellMar>
        <w:tblLook w:val="04A0" w:firstRow="1" w:lastRow="0" w:firstColumn="1" w:lastColumn="0" w:noHBand="0" w:noVBand="1"/>
      </w:tblPr>
      <w:tblGrid>
        <w:gridCol w:w="8418"/>
      </w:tblGrid>
      <w:tr w:rsidR="00C97D44" w:rsidRPr="00C97D44" w:rsidTr="00C97D44">
        <w:trPr>
          <w:tblCellSpacing w:w="0" w:type="dxa"/>
        </w:trPr>
        <w:tc>
          <w:tcPr>
            <w:tcW w:w="0" w:type="auto"/>
            <w:vAlign w:val="bottom"/>
            <w:hideMark/>
          </w:tcPr>
          <w:p w:rsidR="00C97D44" w:rsidRPr="00C97D44" w:rsidRDefault="00C97D44" w:rsidP="00C97D44">
            <w:pPr>
              <w:pStyle w:val="Sansinterligne"/>
              <w:rPr>
                <w:rFonts w:cs="Times New Roman"/>
                <w:b/>
                <w:sz w:val="16"/>
                <w:szCs w:val="16"/>
              </w:rPr>
            </w:pPr>
            <w:r w:rsidRPr="00C97D44">
              <w:rPr>
                <w:rFonts w:cs="Times New Roman"/>
                <w:b/>
                <w:sz w:val="16"/>
                <w:szCs w:val="16"/>
              </w:rPr>
              <w:t>Objectifs spécifiques</w:t>
            </w:r>
          </w:p>
        </w:tc>
      </w:tr>
    </w:tbl>
    <w:p w:rsidR="00C97D44" w:rsidRPr="00C97D44" w:rsidRDefault="00C97D44" w:rsidP="00C97D44">
      <w:pPr>
        <w:pStyle w:val="NormalWeb"/>
        <w:shd w:val="clear" w:color="auto" w:fill="FFFFFF"/>
        <w:ind w:left="360"/>
        <w:rPr>
          <w:color w:val="000000"/>
          <w:sz w:val="16"/>
          <w:szCs w:val="16"/>
          <w:shd w:val="clear" w:color="auto" w:fill="FFFFFF"/>
        </w:rPr>
      </w:pPr>
      <w:r w:rsidRPr="00C97D44">
        <w:rPr>
          <w:color w:val="000000"/>
          <w:sz w:val="16"/>
          <w:szCs w:val="16"/>
          <w:shd w:val="clear" w:color="auto" w:fill="FFFFFF"/>
        </w:rPr>
        <w:t>Dans le cas d'un patient ayant une douleur musculosquelettique, le candidat devra</w:t>
      </w:r>
    </w:p>
    <w:p w:rsidR="00C97D44" w:rsidRPr="00C97D44" w:rsidRDefault="00C97D44" w:rsidP="006A5715">
      <w:pPr>
        <w:numPr>
          <w:ilvl w:val="0"/>
          <w:numId w:val="1542"/>
        </w:numPr>
        <w:shd w:val="clear" w:color="auto" w:fill="FFFFFF"/>
        <w:spacing w:before="100" w:beforeAutospacing="1" w:after="100" w:afterAutospacing="1" w:line="240" w:lineRule="auto"/>
        <w:rPr>
          <w:rFonts w:cs="Times New Roman"/>
          <w:color w:val="000000"/>
          <w:sz w:val="16"/>
          <w:szCs w:val="16"/>
          <w:shd w:val="clear" w:color="auto" w:fill="FFFFFF"/>
        </w:rPr>
      </w:pPr>
      <w:r w:rsidRPr="00C97D44">
        <w:rPr>
          <w:rFonts w:cs="Times New Roman"/>
          <w:color w:val="000000"/>
          <w:sz w:val="16"/>
          <w:szCs w:val="16"/>
          <w:shd w:val="clear" w:color="auto" w:fill="FFFFFF"/>
        </w:rPr>
        <w:t>énumérer et interpréter les constatations cliniques cruciales, notamment :</w:t>
      </w:r>
    </w:p>
    <w:p w:rsidR="00C97D44" w:rsidRPr="00C97D44" w:rsidRDefault="00C97D44" w:rsidP="006A5715">
      <w:pPr>
        <w:numPr>
          <w:ilvl w:val="1"/>
          <w:numId w:val="1542"/>
        </w:numPr>
        <w:shd w:val="clear" w:color="auto" w:fill="FFFFFF"/>
        <w:spacing w:before="100" w:beforeAutospacing="1" w:after="100" w:afterAutospacing="1" w:line="240" w:lineRule="auto"/>
        <w:rPr>
          <w:rFonts w:cs="Times New Roman"/>
          <w:color w:val="000000"/>
          <w:sz w:val="16"/>
          <w:szCs w:val="16"/>
          <w:shd w:val="clear" w:color="auto" w:fill="FFFFFF"/>
        </w:rPr>
      </w:pPr>
      <w:r w:rsidRPr="00C97D44">
        <w:rPr>
          <w:rFonts w:cs="Times New Roman"/>
          <w:color w:val="000000"/>
          <w:sz w:val="16"/>
          <w:szCs w:val="16"/>
          <w:shd w:val="clear" w:color="auto" w:fill="FFFFFF"/>
        </w:rPr>
        <w:t>le mécanisme anatomique et pathogène probable de la douleur;</w:t>
      </w:r>
    </w:p>
    <w:p w:rsidR="00C97D44" w:rsidRPr="00C97D44" w:rsidRDefault="00C97D44" w:rsidP="006A5715">
      <w:pPr>
        <w:numPr>
          <w:ilvl w:val="1"/>
          <w:numId w:val="1542"/>
        </w:numPr>
        <w:shd w:val="clear" w:color="auto" w:fill="FFFFFF"/>
        <w:spacing w:before="100" w:beforeAutospacing="1" w:after="100" w:afterAutospacing="1" w:line="240" w:lineRule="auto"/>
        <w:rPr>
          <w:rFonts w:cs="Times New Roman"/>
          <w:color w:val="000000"/>
          <w:sz w:val="16"/>
          <w:szCs w:val="16"/>
          <w:shd w:val="clear" w:color="auto" w:fill="FFFFFF"/>
        </w:rPr>
      </w:pPr>
      <w:r w:rsidRPr="00C97D44">
        <w:rPr>
          <w:rFonts w:cs="Times New Roman"/>
          <w:color w:val="000000"/>
          <w:sz w:val="16"/>
          <w:szCs w:val="16"/>
          <w:shd w:val="clear" w:color="auto" w:fill="FFFFFF"/>
        </w:rPr>
        <w:t>la détermination à savoir si un examen urgent ou immédiat est nécessaire;</w:t>
      </w:r>
    </w:p>
    <w:p w:rsidR="00C97D44" w:rsidRPr="00C97D44" w:rsidRDefault="00C97D44" w:rsidP="006A5715">
      <w:pPr>
        <w:numPr>
          <w:ilvl w:val="1"/>
          <w:numId w:val="1542"/>
        </w:numPr>
        <w:shd w:val="clear" w:color="auto" w:fill="FFFFFF"/>
        <w:spacing w:before="100" w:beforeAutospacing="1" w:after="100" w:afterAutospacing="1" w:line="240" w:lineRule="auto"/>
        <w:rPr>
          <w:rFonts w:cs="Times New Roman"/>
          <w:color w:val="000000"/>
          <w:sz w:val="16"/>
          <w:szCs w:val="16"/>
          <w:shd w:val="clear" w:color="auto" w:fill="FFFFFF"/>
        </w:rPr>
      </w:pPr>
      <w:r w:rsidRPr="00C97D44">
        <w:rPr>
          <w:rFonts w:cs="Times New Roman"/>
          <w:color w:val="000000"/>
          <w:sz w:val="16"/>
          <w:szCs w:val="16"/>
          <w:shd w:val="clear" w:color="auto" w:fill="FFFFFF"/>
        </w:rPr>
        <w:t>les répercussions sur la capacité fonctionnelle;</w:t>
      </w:r>
    </w:p>
    <w:p w:rsidR="00C97D44" w:rsidRPr="00C97D44" w:rsidRDefault="00C97D44" w:rsidP="006A5715">
      <w:pPr>
        <w:numPr>
          <w:ilvl w:val="1"/>
          <w:numId w:val="1542"/>
        </w:numPr>
        <w:shd w:val="clear" w:color="auto" w:fill="FFFFFF"/>
        <w:spacing w:before="100" w:beforeAutospacing="1" w:after="100" w:afterAutospacing="1" w:line="240" w:lineRule="auto"/>
        <w:rPr>
          <w:rFonts w:cs="Times New Roman"/>
          <w:color w:val="000000"/>
          <w:sz w:val="16"/>
          <w:szCs w:val="16"/>
          <w:shd w:val="clear" w:color="auto" w:fill="FFFFFF"/>
        </w:rPr>
      </w:pPr>
      <w:r w:rsidRPr="00C97D44">
        <w:rPr>
          <w:rFonts w:cs="Times New Roman"/>
          <w:color w:val="000000"/>
          <w:sz w:val="16"/>
          <w:szCs w:val="16"/>
          <w:shd w:val="clear" w:color="auto" w:fill="FFFFFF"/>
        </w:rPr>
        <w:t>les antécédents liés aux activités professionnelles et récréatives;</w:t>
      </w:r>
    </w:p>
    <w:p w:rsidR="00C97D44" w:rsidRPr="00C97D44" w:rsidRDefault="00C97D44" w:rsidP="006A5715">
      <w:pPr>
        <w:numPr>
          <w:ilvl w:val="0"/>
          <w:numId w:val="1542"/>
        </w:numPr>
        <w:shd w:val="clear" w:color="auto" w:fill="FFFFFF"/>
        <w:spacing w:before="100" w:beforeAutospacing="1" w:after="100" w:afterAutospacing="1" w:line="240" w:lineRule="auto"/>
        <w:rPr>
          <w:rFonts w:cs="Times New Roman"/>
          <w:color w:val="000000"/>
          <w:sz w:val="16"/>
          <w:szCs w:val="16"/>
          <w:shd w:val="clear" w:color="auto" w:fill="FFFFFF"/>
        </w:rPr>
      </w:pPr>
      <w:r w:rsidRPr="00C97D44">
        <w:rPr>
          <w:rFonts w:cs="Times New Roman"/>
          <w:color w:val="000000"/>
          <w:sz w:val="16"/>
          <w:szCs w:val="16"/>
          <w:shd w:val="clear" w:color="auto" w:fill="FFFFFF"/>
        </w:rPr>
        <w:t>énumérer et interpréter les examens essentiels, notamment :</w:t>
      </w:r>
    </w:p>
    <w:p w:rsidR="00C97D44" w:rsidRPr="00C97D44" w:rsidRDefault="00C97D44" w:rsidP="006A5715">
      <w:pPr>
        <w:numPr>
          <w:ilvl w:val="1"/>
          <w:numId w:val="1542"/>
        </w:numPr>
        <w:shd w:val="clear" w:color="auto" w:fill="FFFFFF"/>
        <w:spacing w:before="100" w:beforeAutospacing="1" w:after="100" w:afterAutospacing="1" w:line="240" w:lineRule="auto"/>
        <w:rPr>
          <w:rFonts w:cs="Times New Roman"/>
          <w:color w:val="000000"/>
          <w:sz w:val="16"/>
          <w:szCs w:val="16"/>
          <w:shd w:val="clear" w:color="auto" w:fill="FFFFFF"/>
        </w:rPr>
      </w:pPr>
      <w:r w:rsidRPr="00C97D44">
        <w:rPr>
          <w:rFonts w:cs="Times New Roman"/>
          <w:color w:val="000000"/>
          <w:sz w:val="16"/>
          <w:szCs w:val="16"/>
          <w:shd w:val="clear" w:color="auto" w:fill="FFFFFF"/>
        </w:rPr>
        <w:t>les analyses de laboratoire et autres tests appropriés;</w:t>
      </w:r>
    </w:p>
    <w:p w:rsidR="00C97D44" w:rsidRPr="00C97D44" w:rsidRDefault="00C97D44" w:rsidP="006A5715">
      <w:pPr>
        <w:numPr>
          <w:ilvl w:val="1"/>
          <w:numId w:val="1542"/>
        </w:numPr>
        <w:shd w:val="clear" w:color="auto" w:fill="FFFFFF"/>
        <w:spacing w:before="100" w:beforeAutospacing="1" w:after="100" w:afterAutospacing="1" w:line="240" w:lineRule="auto"/>
        <w:rPr>
          <w:rFonts w:cs="Times New Roman"/>
          <w:color w:val="000000"/>
          <w:sz w:val="16"/>
          <w:szCs w:val="16"/>
          <w:shd w:val="clear" w:color="auto" w:fill="FFFFFF"/>
        </w:rPr>
      </w:pPr>
      <w:r w:rsidRPr="00C97D44">
        <w:rPr>
          <w:rFonts w:cs="Times New Roman"/>
          <w:color w:val="000000"/>
          <w:sz w:val="16"/>
          <w:szCs w:val="16"/>
          <w:shd w:val="clear" w:color="auto" w:fill="FFFFFF"/>
        </w:rPr>
        <w:t>les examens initiaux (p. ex. radiographies);</w:t>
      </w:r>
    </w:p>
    <w:p w:rsidR="00C97D44" w:rsidRPr="00C97D44" w:rsidRDefault="00C97D44" w:rsidP="006A5715">
      <w:pPr>
        <w:numPr>
          <w:ilvl w:val="1"/>
          <w:numId w:val="1542"/>
        </w:numPr>
        <w:shd w:val="clear" w:color="auto" w:fill="FFFFFF"/>
        <w:spacing w:before="100" w:beforeAutospacing="1" w:after="100" w:afterAutospacing="1" w:line="240" w:lineRule="auto"/>
        <w:rPr>
          <w:rFonts w:cs="Times New Roman"/>
          <w:color w:val="000000"/>
          <w:sz w:val="16"/>
          <w:szCs w:val="16"/>
          <w:shd w:val="clear" w:color="auto" w:fill="FFFFFF"/>
        </w:rPr>
      </w:pPr>
      <w:r w:rsidRPr="00C97D44">
        <w:rPr>
          <w:rFonts w:cs="Times New Roman"/>
          <w:color w:val="000000"/>
          <w:sz w:val="16"/>
          <w:szCs w:val="16"/>
          <w:shd w:val="clear" w:color="auto" w:fill="FFFFFF"/>
        </w:rPr>
        <w:t>les examens plus poussés ou spécialisés (p. ex. échographie Doppler, imagerie par résonance magnétique, études de conduction nerveuse), s'il y a lieu;</w:t>
      </w:r>
    </w:p>
    <w:p w:rsidR="00C97D44" w:rsidRPr="00C97D44" w:rsidRDefault="00C97D44" w:rsidP="006A5715">
      <w:pPr>
        <w:numPr>
          <w:ilvl w:val="0"/>
          <w:numId w:val="1542"/>
        </w:numPr>
        <w:shd w:val="clear" w:color="auto" w:fill="FFFFFF"/>
        <w:spacing w:before="100" w:beforeAutospacing="1" w:after="100" w:afterAutospacing="1" w:line="240" w:lineRule="auto"/>
        <w:rPr>
          <w:rFonts w:cs="Times New Roman"/>
          <w:color w:val="000000"/>
          <w:sz w:val="16"/>
          <w:szCs w:val="16"/>
          <w:shd w:val="clear" w:color="auto" w:fill="FFFFFF"/>
        </w:rPr>
      </w:pPr>
      <w:r w:rsidRPr="00C97D44">
        <w:rPr>
          <w:rFonts w:cs="Times New Roman"/>
          <w:color w:val="000000"/>
          <w:sz w:val="16"/>
          <w:szCs w:val="16"/>
          <w:shd w:val="clear" w:color="auto" w:fill="FFFFFF"/>
        </w:rPr>
        <w:t>établir un plan efficace de prise en charge, notamment :</w:t>
      </w:r>
    </w:p>
    <w:p w:rsidR="00C97D44" w:rsidRPr="00C97D44" w:rsidRDefault="00C97D44" w:rsidP="006A5715">
      <w:pPr>
        <w:numPr>
          <w:ilvl w:val="1"/>
          <w:numId w:val="1542"/>
        </w:numPr>
        <w:shd w:val="clear" w:color="auto" w:fill="FFFFFF"/>
        <w:spacing w:before="100" w:beforeAutospacing="1" w:after="100" w:afterAutospacing="1" w:line="240" w:lineRule="auto"/>
        <w:rPr>
          <w:rFonts w:cs="Times New Roman"/>
          <w:color w:val="000000"/>
          <w:sz w:val="16"/>
          <w:szCs w:val="16"/>
          <w:shd w:val="clear" w:color="auto" w:fill="FFFFFF"/>
        </w:rPr>
      </w:pPr>
      <w:r w:rsidRPr="00C97D44">
        <w:rPr>
          <w:rFonts w:cs="Times New Roman"/>
          <w:color w:val="000000"/>
          <w:sz w:val="16"/>
          <w:szCs w:val="16"/>
          <w:shd w:val="clear" w:color="auto" w:fill="FFFFFF"/>
        </w:rPr>
        <w:t>prise en charge urgente ou aiguë si le patient a des problèmes sérieux;</w:t>
      </w:r>
    </w:p>
    <w:p w:rsidR="00C97D44" w:rsidRPr="00C97D44" w:rsidRDefault="00C97D44" w:rsidP="006A5715">
      <w:pPr>
        <w:numPr>
          <w:ilvl w:val="1"/>
          <w:numId w:val="1542"/>
        </w:numPr>
        <w:shd w:val="clear" w:color="auto" w:fill="FFFFFF"/>
        <w:spacing w:before="100" w:beforeAutospacing="1" w:after="100" w:afterAutospacing="1" w:line="240" w:lineRule="auto"/>
        <w:rPr>
          <w:rFonts w:cs="Times New Roman"/>
          <w:color w:val="000000"/>
          <w:sz w:val="16"/>
          <w:szCs w:val="16"/>
          <w:shd w:val="clear" w:color="auto" w:fill="FFFFFF"/>
        </w:rPr>
      </w:pPr>
      <w:r w:rsidRPr="00C97D44">
        <w:rPr>
          <w:rFonts w:cs="Times New Roman"/>
          <w:color w:val="000000"/>
          <w:sz w:val="16"/>
          <w:szCs w:val="16"/>
          <w:shd w:val="clear" w:color="auto" w:fill="FFFFFF"/>
        </w:rPr>
        <w:t>information et conseils à propos des affections bénignes ou spontanément résolutives;</w:t>
      </w:r>
    </w:p>
    <w:p w:rsidR="00C97D44" w:rsidRPr="00C97D44" w:rsidRDefault="00C97D44" w:rsidP="006A5715">
      <w:pPr>
        <w:numPr>
          <w:ilvl w:val="1"/>
          <w:numId w:val="1542"/>
        </w:numPr>
        <w:shd w:val="clear" w:color="auto" w:fill="FFFFFF"/>
        <w:spacing w:before="100" w:beforeAutospacing="1" w:after="100" w:afterAutospacing="1" w:line="240" w:lineRule="auto"/>
        <w:rPr>
          <w:rFonts w:cs="Times New Roman"/>
          <w:color w:val="000000"/>
          <w:sz w:val="16"/>
          <w:szCs w:val="16"/>
          <w:shd w:val="clear" w:color="auto" w:fill="FFFFFF"/>
        </w:rPr>
      </w:pPr>
      <w:r w:rsidRPr="00C97D44">
        <w:rPr>
          <w:rFonts w:cs="Times New Roman"/>
          <w:color w:val="000000"/>
          <w:sz w:val="16"/>
          <w:szCs w:val="16"/>
          <w:shd w:val="clear" w:color="auto" w:fill="FFFFFF"/>
        </w:rPr>
        <w:t>conseils sur le retour à la vie normale;</w:t>
      </w:r>
    </w:p>
    <w:p w:rsidR="00C97D44" w:rsidRPr="00C97D44" w:rsidRDefault="00C97D44" w:rsidP="006A5715">
      <w:pPr>
        <w:numPr>
          <w:ilvl w:val="1"/>
          <w:numId w:val="1542"/>
        </w:numPr>
        <w:shd w:val="clear" w:color="auto" w:fill="FFFFFF"/>
        <w:spacing w:before="100" w:beforeAutospacing="1" w:after="100" w:afterAutospacing="1" w:line="240" w:lineRule="auto"/>
        <w:rPr>
          <w:rFonts w:cs="Times New Roman"/>
          <w:color w:val="000000"/>
          <w:sz w:val="16"/>
          <w:szCs w:val="16"/>
          <w:shd w:val="clear" w:color="auto" w:fill="FFFFFF"/>
        </w:rPr>
      </w:pPr>
      <w:r w:rsidRPr="00C97D44">
        <w:rPr>
          <w:rFonts w:cs="Times New Roman"/>
          <w:color w:val="000000"/>
          <w:sz w:val="16"/>
          <w:szCs w:val="16"/>
          <w:shd w:val="clear" w:color="auto" w:fill="FFFFFF"/>
        </w:rPr>
        <w:t>orientation vers des soins spécialisés, s'il y a lieu.</w:t>
      </w:r>
    </w:p>
    <w:tbl>
      <w:tblPr>
        <w:tblStyle w:val="Grilledutableau"/>
        <w:tblW w:w="0" w:type="auto"/>
        <w:tblLook w:val="04A0" w:firstRow="1" w:lastRow="0" w:firstColumn="1" w:lastColumn="0" w:noHBand="0" w:noVBand="1"/>
      </w:tblPr>
      <w:tblGrid>
        <w:gridCol w:w="1809"/>
        <w:gridCol w:w="2742"/>
        <w:gridCol w:w="2742"/>
        <w:gridCol w:w="3647"/>
      </w:tblGrid>
      <w:tr w:rsidR="006B56E0" w:rsidTr="008263DF">
        <w:tc>
          <w:tcPr>
            <w:tcW w:w="1809" w:type="dxa"/>
            <w:shd w:val="clear" w:color="auto" w:fill="4F81BD" w:themeFill="accent1"/>
          </w:tcPr>
          <w:p w:rsidR="006B56E0" w:rsidRPr="008263DF" w:rsidRDefault="006B56E0" w:rsidP="000C39AA">
            <w:pPr>
              <w:pStyle w:val="Sansinterligne"/>
              <w:jc w:val="center"/>
              <w:rPr>
                <w:i/>
              </w:rPr>
            </w:pPr>
            <w:r w:rsidRPr="008263DF">
              <w:rPr>
                <w:i/>
              </w:rPr>
              <w:t>Pathologies</w:t>
            </w:r>
          </w:p>
        </w:tc>
        <w:tc>
          <w:tcPr>
            <w:tcW w:w="5484" w:type="dxa"/>
            <w:gridSpan w:val="2"/>
            <w:shd w:val="clear" w:color="auto" w:fill="4F81BD" w:themeFill="accent1"/>
          </w:tcPr>
          <w:p w:rsidR="006B56E0" w:rsidRPr="008263DF" w:rsidRDefault="006B56E0" w:rsidP="000C39AA">
            <w:pPr>
              <w:pStyle w:val="Sansinterligne"/>
              <w:jc w:val="center"/>
              <w:rPr>
                <w:i/>
              </w:rPr>
            </w:pPr>
            <w:r w:rsidRPr="008263DF">
              <w:rPr>
                <w:i/>
              </w:rPr>
              <w:t>Signes et symptômes</w:t>
            </w:r>
          </w:p>
        </w:tc>
        <w:tc>
          <w:tcPr>
            <w:tcW w:w="3647" w:type="dxa"/>
            <w:shd w:val="clear" w:color="auto" w:fill="4F81BD" w:themeFill="accent1"/>
          </w:tcPr>
          <w:p w:rsidR="006B56E0" w:rsidRPr="008263DF" w:rsidRDefault="008263DF" w:rsidP="000C39AA">
            <w:pPr>
              <w:pStyle w:val="Sansinterligne"/>
              <w:jc w:val="center"/>
              <w:rPr>
                <w:i/>
              </w:rPr>
            </w:pPr>
            <w:r w:rsidRPr="008263DF">
              <w:rPr>
                <w:i/>
              </w:rPr>
              <w:t xml:space="preserve">Pathophysiologie - </w:t>
            </w:r>
            <w:r w:rsidR="006B56E0" w:rsidRPr="008263DF">
              <w:rPr>
                <w:i/>
              </w:rPr>
              <w:t>Ex</w:t>
            </w:r>
            <w:r w:rsidR="00D4283C" w:rsidRPr="008263DF">
              <w:rPr>
                <w:i/>
              </w:rPr>
              <w:t>emples</w:t>
            </w:r>
          </w:p>
        </w:tc>
      </w:tr>
      <w:tr w:rsidR="008263DF" w:rsidTr="008263DF">
        <w:tc>
          <w:tcPr>
            <w:tcW w:w="1809" w:type="dxa"/>
            <w:shd w:val="clear" w:color="auto" w:fill="95B3D7" w:themeFill="accent1" w:themeFillTint="99"/>
            <w:vAlign w:val="center"/>
          </w:tcPr>
          <w:p w:rsidR="008263DF" w:rsidRPr="006B56E0" w:rsidRDefault="008263DF" w:rsidP="008263DF">
            <w:pPr>
              <w:pStyle w:val="Sansinterligne"/>
              <w:jc w:val="center"/>
            </w:pPr>
            <w:r w:rsidRPr="006B56E0">
              <w:t>Syndrome grippal</w:t>
            </w:r>
          </w:p>
        </w:tc>
        <w:tc>
          <w:tcPr>
            <w:tcW w:w="2742" w:type="dxa"/>
            <w:tcBorders>
              <w:right w:val="single" w:sz="4" w:space="0" w:color="FFFFFF" w:themeColor="background1"/>
            </w:tcBorders>
          </w:tcPr>
          <w:p w:rsidR="008263DF" w:rsidRPr="00D4283C" w:rsidRDefault="008263DF" w:rsidP="00A11F3C">
            <w:pPr>
              <w:pStyle w:val="Sansinterligne"/>
              <w:numPr>
                <w:ilvl w:val="0"/>
                <w:numId w:val="1595"/>
              </w:numPr>
              <w:rPr>
                <w:b/>
                <w:lang w:eastAsia="fr-CA"/>
              </w:rPr>
            </w:pPr>
            <w:r w:rsidRPr="00D4283C">
              <w:rPr>
                <w:b/>
                <w:lang w:eastAsia="fr-CA"/>
              </w:rPr>
              <w:t>Myalgies</w:t>
            </w:r>
          </w:p>
          <w:p w:rsidR="008263DF" w:rsidRDefault="008263DF" w:rsidP="00A11F3C">
            <w:pPr>
              <w:pStyle w:val="Sansinterligne"/>
              <w:numPr>
                <w:ilvl w:val="0"/>
                <w:numId w:val="1595"/>
              </w:numPr>
              <w:rPr>
                <w:lang w:eastAsia="fr-CA"/>
              </w:rPr>
            </w:pPr>
            <w:r>
              <w:rPr>
                <w:lang w:eastAsia="fr-CA"/>
              </w:rPr>
              <w:t>Arthralgies</w:t>
            </w:r>
          </w:p>
          <w:p w:rsidR="008263DF" w:rsidRDefault="008263DF" w:rsidP="00A11F3C">
            <w:pPr>
              <w:pStyle w:val="Sansinterligne"/>
              <w:numPr>
                <w:ilvl w:val="0"/>
                <w:numId w:val="1595"/>
              </w:numPr>
              <w:rPr>
                <w:lang w:eastAsia="fr-CA"/>
              </w:rPr>
            </w:pPr>
            <w:r>
              <w:rPr>
                <w:lang w:eastAsia="fr-CA"/>
              </w:rPr>
              <w:t>No/Vo, Anorexie</w:t>
            </w:r>
          </w:p>
        </w:tc>
        <w:tc>
          <w:tcPr>
            <w:tcW w:w="2742" w:type="dxa"/>
            <w:tcBorders>
              <w:left w:val="single" w:sz="4" w:space="0" w:color="FFFFFF" w:themeColor="background1"/>
            </w:tcBorders>
          </w:tcPr>
          <w:p w:rsidR="008263DF" w:rsidRDefault="008263DF" w:rsidP="00A11F3C">
            <w:pPr>
              <w:pStyle w:val="Sansinterligne"/>
              <w:numPr>
                <w:ilvl w:val="0"/>
                <w:numId w:val="1595"/>
              </w:numPr>
              <w:rPr>
                <w:lang w:eastAsia="fr-CA"/>
              </w:rPr>
            </w:pPr>
            <w:r>
              <w:rPr>
                <w:lang w:eastAsia="fr-CA"/>
              </w:rPr>
              <w:t>Fatigue, fièvre</w:t>
            </w:r>
          </w:p>
          <w:p w:rsidR="008263DF" w:rsidRPr="006B56E0" w:rsidRDefault="008263DF" w:rsidP="00A11F3C">
            <w:pPr>
              <w:pStyle w:val="Sansinterligne"/>
              <w:numPr>
                <w:ilvl w:val="0"/>
                <w:numId w:val="1595"/>
              </w:numPr>
            </w:pPr>
            <w:r>
              <w:rPr>
                <w:lang w:eastAsia="fr-CA"/>
              </w:rPr>
              <w:t>Céphalées</w:t>
            </w:r>
          </w:p>
        </w:tc>
        <w:tc>
          <w:tcPr>
            <w:tcW w:w="3647" w:type="dxa"/>
          </w:tcPr>
          <w:p w:rsidR="00F85430" w:rsidRPr="00F85430" w:rsidRDefault="00F85430" w:rsidP="00F85430">
            <w:pPr>
              <w:pStyle w:val="Sansinterligne"/>
              <w:jc w:val="center"/>
              <w:rPr>
                <w:u w:val="single"/>
              </w:rPr>
            </w:pPr>
            <w:r w:rsidRPr="00F85430">
              <w:rPr>
                <w:u w:val="single"/>
              </w:rPr>
              <w:t>Inflammation virale</w:t>
            </w:r>
          </w:p>
          <w:p w:rsidR="008263DF" w:rsidRDefault="008263DF" w:rsidP="006B56E0">
            <w:pPr>
              <w:pStyle w:val="Sansinterligne"/>
            </w:pPr>
            <w:r>
              <w:t>Influenza</w:t>
            </w:r>
          </w:p>
          <w:p w:rsidR="008263DF" w:rsidRDefault="008263DF" w:rsidP="006B56E0">
            <w:pPr>
              <w:pStyle w:val="Sansinterligne"/>
            </w:pPr>
            <w:r>
              <w:t>Mononucléose</w:t>
            </w:r>
          </w:p>
          <w:p w:rsidR="008263DF" w:rsidRPr="006B56E0" w:rsidRDefault="008263DF" w:rsidP="006B56E0">
            <w:pPr>
              <w:pStyle w:val="Sansinterligne"/>
            </w:pPr>
            <w:r>
              <w:t>Hépatites</w:t>
            </w:r>
          </w:p>
        </w:tc>
      </w:tr>
      <w:tr w:rsidR="008263DF" w:rsidTr="008263DF">
        <w:tc>
          <w:tcPr>
            <w:tcW w:w="1809" w:type="dxa"/>
            <w:shd w:val="clear" w:color="auto" w:fill="95B3D7" w:themeFill="accent1" w:themeFillTint="99"/>
            <w:vAlign w:val="center"/>
          </w:tcPr>
          <w:p w:rsidR="008263DF" w:rsidRPr="006B56E0" w:rsidRDefault="008263DF" w:rsidP="008263DF">
            <w:pPr>
              <w:pStyle w:val="Sansinterligne"/>
              <w:jc w:val="center"/>
            </w:pPr>
            <w:r w:rsidRPr="006B56E0">
              <w:t>Polymyalgia rheumatica</w:t>
            </w:r>
          </w:p>
        </w:tc>
        <w:tc>
          <w:tcPr>
            <w:tcW w:w="2742" w:type="dxa"/>
            <w:tcBorders>
              <w:right w:val="single" w:sz="4" w:space="0" w:color="FFFF00"/>
            </w:tcBorders>
            <w:shd w:val="clear" w:color="auto" w:fill="FFFF00"/>
          </w:tcPr>
          <w:p w:rsidR="008263DF" w:rsidRDefault="008263DF" w:rsidP="00A11F3C">
            <w:pPr>
              <w:pStyle w:val="Sansinterligne"/>
              <w:numPr>
                <w:ilvl w:val="0"/>
                <w:numId w:val="1597"/>
              </w:numPr>
            </w:pPr>
            <w:r>
              <w:t xml:space="preserve">Douleur musculaire      </w:t>
            </w:r>
            <w:r w:rsidRPr="008263DF">
              <w:rPr>
                <w:rFonts w:ascii="Century Gothic" w:hAnsi="Century Gothic"/>
                <w:b/>
              </w:rPr>
              <w:t>&gt;</w:t>
            </w:r>
            <w:r w:rsidRPr="008263DF">
              <w:rPr>
                <w:b/>
              </w:rPr>
              <w:t xml:space="preserve"> 50 ans</w:t>
            </w:r>
          </w:p>
          <w:p w:rsidR="008263DF" w:rsidRDefault="008263DF" w:rsidP="00A11F3C">
            <w:pPr>
              <w:pStyle w:val="Sansinterligne"/>
              <w:numPr>
                <w:ilvl w:val="0"/>
                <w:numId w:val="1597"/>
              </w:numPr>
            </w:pPr>
            <w:r w:rsidRPr="008263DF">
              <w:rPr>
                <w:b/>
              </w:rPr>
              <w:t>Rigidité matinale</w:t>
            </w:r>
            <w:r>
              <w:t xml:space="preserve"> proximale </w:t>
            </w:r>
            <w:r>
              <w:rPr>
                <w:rFonts w:ascii="Century Gothic" w:hAnsi="Century Gothic"/>
              </w:rPr>
              <w:t>&gt;</w:t>
            </w:r>
            <w:r>
              <w:t xml:space="preserve"> 45 min</w:t>
            </w:r>
          </w:p>
          <w:p w:rsidR="008263DF" w:rsidRDefault="008263DF" w:rsidP="008263DF">
            <w:pPr>
              <w:pStyle w:val="Sansinterligne"/>
              <w:ind w:left="360"/>
            </w:pPr>
            <w:r>
              <w:t>(cou, épaules, hanches)</w:t>
            </w:r>
          </w:p>
          <w:p w:rsidR="008263DF" w:rsidRDefault="008263DF" w:rsidP="00A11F3C">
            <w:pPr>
              <w:pStyle w:val="Sansinterligne"/>
              <w:numPr>
                <w:ilvl w:val="0"/>
                <w:numId w:val="1597"/>
              </w:numPr>
            </w:pPr>
            <w:r>
              <w:t>Rigidité après activité prolongée</w:t>
            </w:r>
          </w:p>
        </w:tc>
        <w:tc>
          <w:tcPr>
            <w:tcW w:w="2742" w:type="dxa"/>
            <w:tcBorders>
              <w:left w:val="single" w:sz="4" w:space="0" w:color="FFFF00"/>
            </w:tcBorders>
            <w:shd w:val="clear" w:color="auto" w:fill="FFFF00"/>
          </w:tcPr>
          <w:p w:rsidR="008263DF" w:rsidRPr="008263DF" w:rsidRDefault="008263DF" w:rsidP="00A11F3C">
            <w:pPr>
              <w:pStyle w:val="Sansinterligne"/>
              <w:numPr>
                <w:ilvl w:val="0"/>
                <w:numId w:val="1597"/>
              </w:numPr>
              <w:rPr>
                <w:b/>
              </w:rPr>
            </w:pPr>
            <w:r w:rsidRPr="008263DF">
              <w:rPr>
                <w:b/>
              </w:rPr>
              <w:t>Symétrique</w:t>
            </w:r>
          </w:p>
          <w:p w:rsidR="008263DF" w:rsidRPr="008263DF" w:rsidRDefault="008263DF" w:rsidP="00A11F3C">
            <w:pPr>
              <w:pStyle w:val="Sansinterligne"/>
              <w:numPr>
                <w:ilvl w:val="0"/>
                <w:numId w:val="1597"/>
              </w:numPr>
              <w:rPr>
                <w:b/>
              </w:rPr>
            </w:pPr>
            <w:r w:rsidRPr="008263DF">
              <w:rPr>
                <w:b/>
              </w:rPr>
              <w:t>Fièvre</w:t>
            </w:r>
          </w:p>
          <w:p w:rsidR="008263DF" w:rsidRPr="008263DF" w:rsidRDefault="008263DF" w:rsidP="00A11F3C">
            <w:pPr>
              <w:pStyle w:val="Sansinterligne"/>
              <w:numPr>
                <w:ilvl w:val="0"/>
                <w:numId w:val="1597"/>
              </w:numPr>
              <w:rPr>
                <w:b/>
              </w:rPr>
            </w:pPr>
            <w:r w:rsidRPr="008263DF">
              <w:rPr>
                <w:b/>
              </w:rPr>
              <w:t>Perte de poids</w:t>
            </w:r>
          </w:p>
          <w:p w:rsidR="008263DF" w:rsidRPr="006B56E0" w:rsidRDefault="008263DF" w:rsidP="00A11F3C">
            <w:pPr>
              <w:pStyle w:val="Sansinterligne"/>
              <w:numPr>
                <w:ilvl w:val="0"/>
                <w:numId w:val="1597"/>
              </w:numPr>
            </w:pPr>
            <w:r>
              <w:t>Muscles douloureux à la palpation</w:t>
            </w:r>
          </w:p>
        </w:tc>
        <w:tc>
          <w:tcPr>
            <w:tcW w:w="3647" w:type="dxa"/>
            <w:shd w:val="clear" w:color="auto" w:fill="FFFF00"/>
          </w:tcPr>
          <w:p w:rsidR="008263DF" w:rsidRDefault="008263DF" w:rsidP="000C39AA">
            <w:pPr>
              <w:pStyle w:val="Sansinterligne"/>
              <w:jc w:val="center"/>
            </w:pPr>
            <w:r w:rsidRPr="000C39AA">
              <w:rPr>
                <w:u w:val="single"/>
              </w:rPr>
              <w:t>Pathogénèse inconnue</w:t>
            </w:r>
            <w:r>
              <w:t xml:space="preserve"> </w:t>
            </w:r>
          </w:p>
          <w:p w:rsidR="008263DF" w:rsidRDefault="008263DF" w:rsidP="000C39AA">
            <w:pPr>
              <w:pStyle w:val="Sansinterligne"/>
              <w:jc w:val="center"/>
            </w:pPr>
          </w:p>
          <w:p w:rsidR="008263DF" w:rsidRDefault="008263DF" w:rsidP="000C39AA">
            <w:pPr>
              <w:pStyle w:val="Sansinterligne"/>
              <w:jc w:val="center"/>
            </w:pPr>
          </w:p>
          <w:p w:rsidR="008263DF" w:rsidRDefault="008263DF" w:rsidP="000C39AA">
            <w:pPr>
              <w:pStyle w:val="Sansinterligne"/>
              <w:jc w:val="center"/>
            </w:pPr>
          </w:p>
          <w:p w:rsidR="008263DF" w:rsidRPr="008263DF" w:rsidRDefault="008263DF" w:rsidP="000C39AA">
            <w:pPr>
              <w:pStyle w:val="Sansinterligne"/>
              <w:jc w:val="center"/>
              <w:rPr>
                <w:b/>
                <w:u w:val="single"/>
              </w:rPr>
            </w:pPr>
            <w:r w:rsidRPr="008263DF">
              <w:rPr>
                <w:b/>
              </w:rPr>
              <w:t>Associé à l’artérite temporale !!! La rechercher !</w:t>
            </w:r>
          </w:p>
        </w:tc>
      </w:tr>
      <w:tr w:rsidR="00D4283C" w:rsidTr="008263DF">
        <w:tc>
          <w:tcPr>
            <w:tcW w:w="1809" w:type="dxa"/>
            <w:shd w:val="clear" w:color="auto" w:fill="95B3D7" w:themeFill="accent1" w:themeFillTint="99"/>
            <w:vAlign w:val="center"/>
          </w:tcPr>
          <w:p w:rsidR="00D4283C" w:rsidRPr="006B56E0" w:rsidRDefault="00D4283C" w:rsidP="008263DF">
            <w:pPr>
              <w:pStyle w:val="Sansinterligne"/>
              <w:jc w:val="center"/>
            </w:pPr>
            <w:r>
              <w:t>Fibromyalgie</w:t>
            </w:r>
          </w:p>
        </w:tc>
        <w:tc>
          <w:tcPr>
            <w:tcW w:w="5484" w:type="dxa"/>
            <w:gridSpan w:val="2"/>
          </w:tcPr>
          <w:p w:rsidR="00D4283C" w:rsidRDefault="005C448B" w:rsidP="00A11F3C">
            <w:pPr>
              <w:pStyle w:val="Sansinterligne"/>
              <w:numPr>
                <w:ilvl w:val="0"/>
                <w:numId w:val="1592"/>
              </w:numPr>
            </w:pPr>
            <w:r w:rsidRPr="008263DF">
              <w:rPr>
                <w:b/>
              </w:rPr>
              <w:t>Douleur chronique diffuse</w:t>
            </w:r>
            <w:r>
              <w:t xml:space="preserve"> (</w:t>
            </w:r>
            <w:r>
              <w:rPr>
                <w:rFonts w:ascii="Century Gothic" w:hAnsi="Century Gothic"/>
              </w:rPr>
              <w:t>&gt;</w:t>
            </w:r>
            <w:r>
              <w:t xml:space="preserve"> 3 mois) non-articulaire</w:t>
            </w:r>
          </w:p>
          <w:p w:rsidR="005C448B" w:rsidRPr="008263DF" w:rsidRDefault="005C448B" w:rsidP="00A11F3C">
            <w:pPr>
              <w:pStyle w:val="Sansinterligne"/>
              <w:numPr>
                <w:ilvl w:val="0"/>
                <w:numId w:val="1592"/>
              </w:numPr>
              <w:rPr>
                <w:b/>
              </w:rPr>
            </w:pPr>
            <w:r w:rsidRPr="008263DF">
              <w:rPr>
                <w:b/>
              </w:rPr>
              <w:t>Points douloureux caractéristiques</w:t>
            </w:r>
          </w:p>
          <w:p w:rsidR="005C448B" w:rsidRDefault="005C448B" w:rsidP="00A11F3C">
            <w:pPr>
              <w:pStyle w:val="Sansinterligne"/>
              <w:numPr>
                <w:ilvl w:val="0"/>
                <w:numId w:val="1592"/>
              </w:numPr>
            </w:pPr>
            <w:r>
              <w:t>Exacerbation par l’activité, le manque de sommeil, le stress ou les changements de température</w:t>
            </w:r>
          </w:p>
          <w:p w:rsidR="005C448B" w:rsidRDefault="005C448B" w:rsidP="00A11F3C">
            <w:pPr>
              <w:pStyle w:val="Sansinterligne"/>
              <w:numPr>
                <w:ilvl w:val="0"/>
                <w:numId w:val="1592"/>
              </w:numPr>
            </w:pPr>
            <w:r>
              <w:t>Fatigue</w:t>
            </w:r>
          </w:p>
          <w:p w:rsidR="005C448B" w:rsidRPr="008263DF" w:rsidRDefault="005C448B" w:rsidP="00A11F3C">
            <w:pPr>
              <w:pStyle w:val="Sansinterligne"/>
              <w:numPr>
                <w:ilvl w:val="0"/>
                <w:numId w:val="1592"/>
              </w:numPr>
              <w:rPr>
                <w:b/>
              </w:rPr>
            </w:pPr>
            <w:r w:rsidRPr="008263DF">
              <w:rPr>
                <w:b/>
              </w:rPr>
              <w:t>Troubles du sommeil</w:t>
            </w:r>
          </w:p>
          <w:p w:rsidR="005C448B" w:rsidRDefault="005C448B" w:rsidP="00A11F3C">
            <w:pPr>
              <w:pStyle w:val="Sansinterligne"/>
              <w:numPr>
                <w:ilvl w:val="0"/>
                <w:numId w:val="1592"/>
              </w:numPr>
            </w:pPr>
            <w:r>
              <w:t>Hyperalgésie, paresthésies</w:t>
            </w:r>
          </w:p>
          <w:p w:rsidR="005C448B" w:rsidRPr="006B56E0" w:rsidRDefault="005C448B" w:rsidP="00A11F3C">
            <w:pPr>
              <w:pStyle w:val="Sansinterligne"/>
              <w:numPr>
                <w:ilvl w:val="0"/>
                <w:numId w:val="1592"/>
              </w:numPr>
            </w:pPr>
            <w:r>
              <w:t>Plusieurs symptômes somatiques</w:t>
            </w:r>
          </w:p>
        </w:tc>
        <w:tc>
          <w:tcPr>
            <w:tcW w:w="3647" w:type="dxa"/>
          </w:tcPr>
          <w:p w:rsidR="008263DF" w:rsidRPr="008263DF" w:rsidRDefault="000C39AA" w:rsidP="00F85430">
            <w:pPr>
              <w:pStyle w:val="Sansinterligne"/>
              <w:jc w:val="center"/>
              <w:rPr>
                <w:u w:val="single"/>
              </w:rPr>
            </w:pPr>
            <w:r w:rsidRPr="008263DF">
              <w:rPr>
                <w:u w:val="single"/>
              </w:rPr>
              <w:t>Pathogénèse inconnue</w:t>
            </w:r>
          </w:p>
          <w:p w:rsidR="000C39AA" w:rsidRPr="000C39AA" w:rsidRDefault="000C39AA" w:rsidP="006B56E0">
            <w:pPr>
              <w:pStyle w:val="Sansinterligne"/>
              <w:rPr>
                <w:u w:val="single"/>
              </w:rPr>
            </w:pPr>
            <w:r w:rsidRPr="000C39AA">
              <w:rPr>
                <w:u w:val="single"/>
              </w:rPr>
              <w:t>Hypothèses</w:t>
            </w:r>
          </w:p>
          <w:p w:rsidR="000C39AA" w:rsidRDefault="000C39AA" w:rsidP="00A11F3C">
            <w:pPr>
              <w:pStyle w:val="Sansinterligne"/>
              <w:numPr>
                <w:ilvl w:val="0"/>
                <w:numId w:val="1591"/>
              </w:numPr>
            </w:pPr>
            <w:r>
              <w:t>Vasospasmes microvasculaires</w:t>
            </w:r>
          </w:p>
          <w:p w:rsidR="000C39AA" w:rsidRPr="006B56E0" w:rsidRDefault="000C39AA" w:rsidP="00A11F3C">
            <w:pPr>
              <w:pStyle w:val="Sansinterligne"/>
              <w:numPr>
                <w:ilvl w:val="0"/>
                <w:numId w:val="1591"/>
              </w:numPr>
            </w:pPr>
            <w:r>
              <w:t>Hyperalgésie centrale</w:t>
            </w:r>
          </w:p>
        </w:tc>
      </w:tr>
      <w:tr w:rsidR="006B56E0" w:rsidTr="008263DF">
        <w:tc>
          <w:tcPr>
            <w:tcW w:w="1809" w:type="dxa"/>
            <w:shd w:val="clear" w:color="auto" w:fill="95B3D7" w:themeFill="accent1" w:themeFillTint="99"/>
            <w:vAlign w:val="center"/>
          </w:tcPr>
          <w:p w:rsidR="006B56E0" w:rsidRPr="006B56E0" w:rsidRDefault="006B56E0" w:rsidP="008263DF">
            <w:pPr>
              <w:pStyle w:val="Sansinterligne"/>
              <w:jc w:val="center"/>
            </w:pPr>
            <w:r w:rsidRPr="006B56E0">
              <w:t>Fracture</w:t>
            </w:r>
          </w:p>
        </w:tc>
        <w:tc>
          <w:tcPr>
            <w:tcW w:w="5484" w:type="dxa"/>
            <w:gridSpan w:val="2"/>
          </w:tcPr>
          <w:p w:rsidR="006B56E0" w:rsidRDefault="00140785" w:rsidP="00A11F3C">
            <w:pPr>
              <w:pStyle w:val="Sansinterligne"/>
              <w:numPr>
                <w:ilvl w:val="0"/>
                <w:numId w:val="1594"/>
              </w:numPr>
            </w:pPr>
            <w:r>
              <w:t>Selon la localisation</w:t>
            </w:r>
          </w:p>
          <w:p w:rsidR="00140785" w:rsidRDefault="00140785" w:rsidP="00A11F3C">
            <w:pPr>
              <w:pStyle w:val="Sansinterligne"/>
              <w:numPr>
                <w:ilvl w:val="0"/>
                <w:numId w:val="1594"/>
              </w:numPr>
            </w:pPr>
            <w:r>
              <w:t>Douleur</w:t>
            </w:r>
          </w:p>
          <w:p w:rsidR="00140785" w:rsidRDefault="00140785" w:rsidP="00A11F3C">
            <w:pPr>
              <w:pStyle w:val="Sansinterligne"/>
              <w:numPr>
                <w:ilvl w:val="0"/>
                <w:numId w:val="1594"/>
              </w:numPr>
            </w:pPr>
            <w:r>
              <w:t>Déformation d’un membre</w:t>
            </w:r>
          </w:p>
          <w:p w:rsidR="00140785" w:rsidRDefault="00140785" w:rsidP="00A11F3C">
            <w:pPr>
              <w:pStyle w:val="Sansinterligne"/>
              <w:numPr>
                <w:ilvl w:val="0"/>
                <w:numId w:val="1594"/>
              </w:numPr>
            </w:pPr>
            <w:r>
              <w:t>Ecchymoses / hématome</w:t>
            </w:r>
          </w:p>
          <w:p w:rsidR="00140785" w:rsidRDefault="00140785" w:rsidP="00A11F3C">
            <w:pPr>
              <w:pStyle w:val="Sansinterligne"/>
              <w:numPr>
                <w:ilvl w:val="0"/>
                <w:numId w:val="1594"/>
              </w:numPr>
            </w:pPr>
            <w:r>
              <w:t>HypoT</w:t>
            </w:r>
            <w:r w:rsidR="000F79AD">
              <w:t>A</w:t>
            </w:r>
            <w:r>
              <w:t>, Choc (exsanguination)</w:t>
            </w:r>
          </w:p>
          <w:p w:rsidR="00140785" w:rsidRPr="006B56E0" w:rsidRDefault="00140785" w:rsidP="00A11F3C">
            <w:pPr>
              <w:pStyle w:val="Sansinterligne"/>
              <w:numPr>
                <w:ilvl w:val="0"/>
                <w:numId w:val="1594"/>
              </w:numPr>
            </w:pPr>
            <w:r>
              <w:t>Os visible (si ouverte)</w:t>
            </w:r>
          </w:p>
        </w:tc>
        <w:tc>
          <w:tcPr>
            <w:tcW w:w="3647" w:type="dxa"/>
          </w:tcPr>
          <w:p w:rsidR="00140785" w:rsidRPr="008263DF" w:rsidRDefault="00140785" w:rsidP="00F85430">
            <w:pPr>
              <w:pStyle w:val="Sansinterligne"/>
              <w:jc w:val="center"/>
              <w:rPr>
                <w:u w:val="single"/>
              </w:rPr>
            </w:pPr>
            <w:r w:rsidRPr="008263DF">
              <w:rPr>
                <w:u w:val="single"/>
              </w:rPr>
              <w:t>Bris de la matrice osseuse secondaire à un impact ou la fragilisation de l’os</w:t>
            </w:r>
          </w:p>
          <w:p w:rsidR="00140785" w:rsidRDefault="00140785" w:rsidP="006B56E0">
            <w:pPr>
              <w:pStyle w:val="Sansinterligne"/>
            </w:pPr>
          </w:p>
          <w:p w:rsidR="006B56E0" w:rsidRDefault="00140785" w:rsidP="006B56E0">
            <w:pPr>
              <w:pStyle w:val="Sansinterligne"/>
            </w:pPr>
            <w:r>
              <w:t>Fracture de la hanche</w:t>
            </w:r>
          </w:p>
          <w:p w:rsidR="00140785" w:rsidRDefault="00140785" w:rsidP="006B56E0">
            <w:pPr>
              <w:pStyle w:val="Sansinterligne"/>
            </w:pPr>
            <w:r>
              <w:t>Fracture de la diaphyse humérale</w:t>
            </w:r>
          </w:p>
          <w:p w:rsidR="00140785" w:rsidRPr="006B56E0" w:rsidRDefault="00140785" w:rsidP="006B56E0">
            <w:pPr>
              <w:pStyle w:val="Sansinterligne"/>
            </w:pPr>
            <w:r>
              <w:t>Fracture du crâne</w:t>
            </w:r>
          </w:p>
        </w:tc>
      </w:tr>
      <w:tr w:rsidR="008263DF" w:rsidTr="008263DF">
        <w:tc>
          <w:tcPr>
            <w:tcW w:w="1809" w:type="dxa"/>
            <w:shd w:val="clear" w:color="auto" w:fill="95B3D7" w:themeFill="accent1" w:themeFillTint="99"/>
            <w:vAlign w:val="center"/>
          </w:tcPr>
          <w:p w:rsidR="008263DF" w:rsidRPr="006B56E0" w:rsidRDefault="008263DF" w:rsidP="008263DF">
            <w:pPr>
              <w:pStyle w:val="Sansinterligne"/>
              <w:jc w:val="center"/>
            </w:pPr>
            <w:r w:rsidRPr="006B56E0">
              <w:t>Ostéomyélite</w:t>
            </w:r>
          </w:p>
        </w:tc>
        <w:tc>
          <w:tcPr>
            <w:tcW w:w="2742" w:type="dxa"/>
            <w:tcBorders>
              <w:right w:val="single" w:sz="4" w:space="0" w:color="FFFF00"/>
            </w:tcBorders>
            <w:shd w:val="clear" w:color="auto" w:fill="FFFF00"/>
          </w:tcPr>
          <w:p w:rsidR="008263DF" w:rsidRPr="008263DF" w:rsidRDefault="008263DF" w:rsidP="00A11F3C">
            <w:pPr>
              <w:pStyle w:val="Sansinterligne"/>
              <w:numPr>
                <w:ilvl w:val="0"/>
                <w:numId w:val="1596"/>
              </w:numPr>
              <w:rPr>
                <w:b/>
              </w:rPr>
            </w:pPr>
            <w:r w:rsidRPr="008263DF">
              <w:rPr>
                <w:b/>
              </w:rPr>
              <w:t>Contexte de sepsis, trauma ouvert, chirurgie, DB, UDIV</w:t>
            </w:r>
          </w:p>
          <w:p w:rsidR="008263DF" w:rsidRPr="008263DF" w:rsidRDefault="008263DF" w:rsidP="00A11F3C">
            <w:pPr>
              <w:pStyle w:val="Sansinterligne"/>
              <w:numPr>
                <w:ilvl w:val="0"/>
                <w:numId w:val="1596"/>
              </w:numPr>
              <w:rPr>
                <w:b/>
              </w:rPr>
            </w:pPr>
            <w:r w:rsidRPr="008263DF">
              <w:rPr>
                <w:b/>
              </w:rPr>
              <w:t>Douleur au membre</w:t>
            </w:r>
          </w:p>
          <w:p w:rsidR="008263DF" w:rsidRDefault="008263DF" w:rsidP="00A11F3C">
            <w:pPr>
              <w:pStyle w:val="Sansinterligne"/>
              <w:numPr>
                <w:ilvl w:val="0"/>
                <w:numId w:val="1596"/>
              </w:numPr>
            </w:pPr>
            <w:r>
              <w:t>Exacerbée à la palpation</w:t>
            </w:r>
          </w:p>
        </w:tc>
        <w:tc>
          <w:tcPr>
            <w:tcW w:w="2742" w:type="dxa"/>
            <w:tcBorders>
              <w:left w:val="single" w:sz="4" w:space="0" w:color="FFFF00"/>
            </w:tcBorders>
            <w:shd w:val="clear" w:color="auto" w:fill="FFFF00"/>
          </w:tcPr>
          <w:p w:rsidR="008263DF" w:rsidRPr="008263DF" w:rsidRDefault="008263DF" w:rsidP="00A11F3C">
            <w:pPr>
              <w:pStyle w:val="Sansinterligne"/>
              <w:numPr>
                <w:ilvl w:val="0"/>
                <w:numId w:val="1596"/>
              </w:numPr>
              <w:rPr>
                <w:b/>
              </w:rPr>
            </w:pPr>
            <w:r w:rsidRPr="008263DF">
              <w:rPr>
                <w:b/>
              </w:rPr>
              <w:t>Fièvre</w:t>
            </w:r>
          </w:p>
          <w:p w:rsidR="008263DF" w:rsidRDefault="008263DF" w:rsidP="00A11F3C">
            <w:pPr>
              <w:pStyle w:val="Sansinterligne"/>
              <w:numPr>
                <w:ilvl w:val="0"/>
                <w:numId w:val="1596"/>
              </w:numPr>
            </w:pPr>
            <w:r>
              <w:t>Érythème, œdème au site de la lésion</w:t>
            </w:r>
          </w:p>
          <w:p w:rsidR="008263DF" w:rsidRPr="006B56E0" w:rsidRDefault="008263DF" w:rsidP="00A11F3C">
            <w:pPr>
              <w:pStyle w:val="Sansinterligne"/>
              <w:numPr>
                <w:ilvl w:val="0"/>
                <w:numId w:val="1596"/>
              </w:numPr>
            </w:pPr>
            <w:r>
              <w:t>Souvent, os visible dans la lésion</w:t>
            </w:r>
          </w:p>
        </w:tc>
        <w:tc>
          <w:tcPr>
            <w:tcW w:w="3647" w:type="dxa"/>
            <w:shd w:val="clear" w:color="auto" w:fill="FFFF00"/>
          </w:tcPr>
          <w:p w:rsidR="008263DF" w:rsidRPr="008263DF" w:rsidRDefault="008263DF" w:rsidP="00F85430">
            <w:pPr>
              <w:pStyle w:val="Sansinterligne"/>
              <w:jc w:val="center"/>
              <w:rPr>
                <w:u w:val="single"/>
              </w:rPr>
            </w:pPr>
            <w:r w:rsidRPr="008263DF">
              <w:rPr>
                <w:u w:val="single"/>
              </w:rPr>
              <w:t>Distribution hématogène (sepsis, UDIV) vs inoculation directe (trauma)</w:t>
            </w:r>
          </w:p>
          <w:p w:rsidR="008263DF" w:rsidRDefault="008263DF" w:rsidP="006B56E0">
            <w:pPr>
              <w:pStyle w:val="Sansinterligne"/>
            </w:pPr>
            <w:r>
              <w:t>Ostéomyélite métatarse (sur pied DB)</w:t>
            </w:r>
          </w:p>
          <w:p w:rsidR="008263DF" w:rsidRDefault="008263DF" w:rsidP="006B56E0">
            <w:pPr>
              <w:pStyle w:val="Sansinterligne"/>
            </w:pPr>
            <w:r>
              <w:t>Ostéomyélite vertébrale (UDIV)</w:t>
            </w:r>
          </w:p>
          <w:p w:rsidR="008263DF" w:rsidRPr="006B56E0" w:rsidRDefault="008263DF" w:rsidP="006B56E0">
            <w:pPr>
              <w:pStyle w:val="Sansinterligne"/>
            </w:pPr>
            <w:r>
              <w:t>Ostéomyélite os long (sepsis)</w:t>
            </w:r>
          </w:p>
        </w:tc>
      </w:tr>
      <w:tr w:rsidR="006B56E0" w:rsidTr="00C04F27">
        <w:tc>
          <w:tcPr>
            <w:tcW w:w="1809" w:type="dxa"/>
            <w:shd w:val="clear" w:color="auto" w:fill="95B3D7" w:themeFill="accent1" w:themeFillTint="99"/>
            <w:vAlign w:val="center"/>
          </w:tcPr>
          <w:p w:rsidR="006B56E0" w:rsidRPr="006B56E0" w:rsidRDefault="006B56E0" w:rsidP="008263DF">
            <w:pPr>
              <w:pStyle w:val="Sansinterligne"/>
              <w:jc w:val="center"/>
            </w:pPr>
            <w:r w:rsidRPr="006B56E0">
              <w:t>Fasciite nécrosante</w:t>
            </w:r>
          </w:p>
        </w:tc>
        <w:tc>
          <w:tcPr>
            <w:tcW w:w="5484" w:type="dxa"/>
            <w:gridSpan w:val="2"/>
            <w:shd w:val="clear" w:color="auto" w:fill="FFFF00"/>
          </w:tcPr>
          <w:p w:rsidR="006B56E0" w:rsidRDefault="00375E01" w:rsidP="00A11F3C">
            <w:pPr>
              <w:pStyle w:val="Sansinterligne"/>
              <w:numPr>
                <w:ilvl w:val="0"/>
                <w:numId w:val="1599"/>
              </w:numPr>
            </w:pPr>
            <w:r>
              <w:t>Douleur intense et d’installation rapide</w:t>
            </w:r>
          </w:p>
          <w:p w:rsidR="00375E01" w:rsidRDefault="00375E01" w:rsidP="00A11F3C">
            <w:pPr>
              <w:pStyle w:val="Sansinterligne"/>
              <w:numPr>
                <w:ilvl w:val="0"/>
                <w:numId w:val="1599"/>
              </w:numPr>
            </w:pPr>
            <w:r>
              <w:t>Disproportionné p/r à l’examen</w:t>
            </w:r>
          </w:p>
          <w:p w:rsidR="00375E01" w:rsidRDefault="00375E01" w:rsidP="00A11F3C">
            <w:pPr>
              <w:pStyle w:val="Sansinterligne"/>
              <w:numPr>
                <w:ilvl w:val="0"/>
                <w:numId w:val="1599"/>
              </w:numPr>
            </w:pPr>
            <w:r>
              <w:t>Œdème</w:t>
            </w:r>
          </w:p>
          <w:p w:rsidR="00375E01" w:rsidRDefault="00375E01" w:rsidP="00A11F3C">
            <w:pPr>
              <w:pStyle w:val="Sansinterligne"/>
              <w:numPr>
                <w:ilvl w:val="0"/>
                <w:numId w:val="1599"/>
              </w:numPr>
            </w:pPr>
            <w:r>
              <w:t>Crépitants (emphysème s/c) – anaérobes</w:t>
            </w:r>
          </w:p>
          <w:p w:rsidR="00375E01" w:rsidRDefault="00375E01" w:rsidP="00A11F3C">
            <w:pPr>
              <w:pStyle w:val="Sansinterligne"/>
              <w:numPr>
                <w:ilvl w:val="0"/>
                <w:numId w:val="1599"/>
              </w:numPr>
            </w:pPr>
            <w:r>
              <w:t>Tachycardie, hypoTa, étourdissement</w:t>
            </w:r>
          </w:p>
          <w:p w:rsidR="00375E01" w:rsidRPr="006B56E0" w:rsidRDefault="00375E01" w:rsidP="00A11F3C">
            <w:pPr>
              <w:pStyle w:val="Sansinterligne"/>
              <w:numPr>
                <w:ilvl w:val="0"/>
                <w:numId w:val="1599"/>
              </w:numPr>
            </w:pPr>
            <w:r>
              <w:t>Peau bleue/noire, bulles hémorragiques (tardif)</w:t>
            </w:r>
          </w:p>
        </w:tc>
        <w:tc>
          <w:tcPr>
            <w:tcW w:w="3647" w:type="dxa"/>
            <w:shd w:val="clear" w:color="auto" w:fill="FFFF00"/>
          </w:tcPr>
          <w:p w:rsidR="00E11D01" w:rsidRPr="00E11D01" w:rsidRDefault="00E11D01" w:rsidP="00E11D01">
            <w:pPr>
              <w:pStyle w:val="Sansinterligne"/>
              <w:jc w:val="center"/>
              <w:rPr>
                <w:u w:val="single"/>
              </w:rPr>
            </w:pPr>
            <w:r w:rsidRPr="00E11D01">
              <w:rPr>
                <w:u w:val="single"/>
              </w:rPr>
              <w:t>Infection et destruction rapide des tissus mous</w:t>
            </w:r>
          </w:p>
          <w:p w:rsidR="00E11D01" w:rsidRDefault="00E11D01" w:rsidP="006B56E0">
            <w:pPr>
              <w:pStyle w:val="Sansinterligne"/>
            </w:pPr>
          </w:p>
          <w:p w:rsidR="006B56E0" w:rsidRDefault="00375E01" w:rsidP="006B56E0">
            <w:pPr>
              <w:pStyle w:val="Sansinterligne"/>
            </w:pPr>
            <w:r>
              <w:t>Infection à Strep. du groupe A</w:t>
            </w:r>
          </w:p>
          <w:p w:rsidR="00375E01" w:rsidRPr="006B56E0" w:rsidRDefault="00375E01" w:rsidP="006B56E0">
            <w:pPr>
              <w:pStyle w:val="Sansinterligne"/>
            </w:pPr>
            <w:r>
              <w:t>Infection polymicrobienne</w:t>
            </w:r>
          </w:p>
        </w:tc>
      </w:tr>
      <w:tr w:rsidR="008263DF" w:rsidTr="008263DF">
        <w:tc>
          <w:tcPr>
            <w:tcW w:w="1809" w:type="dxa"/>
            <w:shd w:val="clear" w:color="auto" w:fill="95B3D7" w:themeFill="accent1" w:themeFillTint="99"/>
            <w:vAlign w:val="center"/>
          </w:tcPr>
          <w:p w:rsidR="008263DF" w:rsidRPr="006B56E0" w:rsidRDefault="008263DF" w:rsidP="008263DF">
            <w:pPr>
              <w:pStyle w:val="Sansinterligne"/>
              <w:jc w:val="center"/>
            </w:pPr>
            <w:r w:rsidRPr="006B56E0">
              <w:t>Syndrome compartimental</w:t>
            </w:r>
          </w:p>
        </w:tc>
        <w:tc>
          <w:tcPr>
            <w:tcW w:w="2742" w:type="dxa"/>
            <w:tcBorders>
              <w:right w:val="single" w:sz="4" w:space="0" w:color="FFFF00"/>
            </w:tcBorders>
            <w:shd w:val="clear" w:color="auto" w:fill="FFFF00"/>
          </w:tcPr>
          <w:p w:rsidR="008263DF" w:rsidRPr="00DB1142" w:rsidRDefault="008263DF" w:rsidP="008263DF">
            <w:pPr>
              <w:pStyle w:val="Sansinterligne"/>
              <w:ind w:left="360"/>
              <w:rPr>
                <w:u w:val="single"/>
              </w:rPr>
            </w:pPr>
            <w:r w:rsidRPr="00DB1142">
              <w:rPr>
                <w:u w:val="single"/>
              </w:rPr>
              <w:t>5P (tardifs):</w:t>
            </w:r>
          </w:p>
          <w:p w:rsidR="008263DF" w:rsidRPr="00DB1142" w:rsidRDefault="008263DF" w:rsidP="00A11F3C">
            <w:pPr>
              <w:pStyle w:val="Sansinterligne"/>
              <w:numPr>
                <w:ilvl w:val="0"/>
                <w:numId w:val="1598"/>
              </w:numPr>
              <w:rPr>
                <w:b/>
              </w:rPr>
            </w:pPr>
            <w:r w:rsidRPr="00DB1142">
              <w:rPr>
                <w:b/>
              </w:rPr>
              <w:t>Douleur (pain)</w:t>
            </w:r>
          </w:p>
          <w:p w:rsidR="008263DF" w:rsidRPr="00DB1142" w:rsidRDefault="008263DF" w:rsidP="00A11F3C">
            <w:pPr>
              <w:pStyle w:val="Sansinterligne"/>
              <w:numPr>
                <w:ilvl w:val="0"/>
                <w:numId w:val="1598"/>
              </w:numPr>
              <w:rPr>
                <w:b/>
              </w:rPr>
            </w:pPr>
            <w:r w:rsidRPr="00DB1142">
              <w:rPr>
                <w:b/>
              </w:rPr>
              <w:t>Pâleur</w:t>
            </w:r>
          </w:p>
          <w:p w:rsidR="008263DF" w:rsidRPr="00DB1142" w:rsidRDefault="008263DF" w:rsidP="00A11F3C">
            <w:pPr>
              <w:pStyle w:val="Sansinterligne"/>
              <w:numPr>
                <w:ilvl w:val="0"/>
                <w:numId w:val="1598"/>
              </w:numPr>
              <w:rPr>
                <w:b/>
              </w:rPr>
            </w:pPr>
            <w:r w:rsidRPr="00DB1142">
              <w:rPr>
                <w:b/>
              </w:rPr>
              <w:t>Paresthésie</w:t>
            </w:r>
          </w:p>
          <w:p w:rsidR="008263DF" w:rsidRPr="00DB1142" w:rsidRDefault="008263DF" w:rsidP="00A11F3C">
            <w:pPr>
              <w:pStyle w:val="Sansinterligne"/>
              <w:numPr>
                <w:ilvl w:val="0"/>
                <w:numId w:val="1598"/>
              </w:numPr>
              <w:rPr>
                <w:b/>
              </w:rPr>
            </w:pPr>
            <w:r w:rsidRPr="00DB1142">
              <w:rPr>
                <w:b/>
              </w:rPr>
              <w:t>Paralysie</w:t>
            </w:r>
          </w:p>
          <w:p w:rsidR="008263DF" w:rsidRPr="00DB1142" w:rsidRDefault="008263DF" w:rsidP="00A11F3C">
            <w:pPr>
              <w:pStyle w:val="Sansinterligne"/>
              <w:numPr>
                <w:ilvl w:val="0"/>
                <w:numId w:val="1598"/>
              </w:numPr>
              <w:rPr>
                <w:b/>
              </w:rPr>
            </w:pPr>
            <w:r w:rsidRPr="00DB1142">
              <w:rPr>
                <w:b/>
              </w:rPr>
              <w:t>Pouls absent</w:t>
            </w:r>
          </w:p>
        </w:tc>
        <w:tc>
          <w:tcPr>
            <w:tcW w:w="2742" w:type="dxa"/>
            <w:tcBorders>
              <w:left w:val="single" w:sz="4" w:space="0" w:color="FFFF00"/>
            </w:tcBorders>
            <w:shd w:val="clear" w:color="auto" w:fill="FFFF00"/>
          </w:tcPr>
          <w:p w:rsidR="008263DF" w:rsidRDefault="008263DF" w:rsidP="00A11F3C">
            <w:pPr>
              <w:pStyle w:val="Sansinterligne"/>
              <w:numPr>
                <w:ilvl w:val="0"/>
                <w:numId w:val="1598"/>
              </w:numPr>
            </w:pPr>
            <w:r>
              <w:t>Douleur à la contraction active</w:t>
            </w:r>
          </w:p>
          <w:p w:rsidR="008263DF" w:rsidRPr="00DB1142" w:rsidRDefault="008263DF" w:rsidP="00A11F3C">
            <w:pPr>
              <w:pStyle w:val="Sansinterligne"/>
              <w:numPr>
                <w:ilvl w:val="0"/>
                <w:numId w:val="1598"/>
              </w:numPr>
              <w:rPr>
                <w:b/>
              </w:rPr>
            </w:pPr>
            <w:r w:rsidRPr="00DB1142">
              <w:rPr>
                <w:b/>
              </w:rPr>
              <w:t>Douleur à la mobilisation passive</w:t>
            </w:r>
          </w:p>
          <w:p w:rsidR="008263DF" w:rsidRDefault="008263DF" w:rsidP="00A11F3C">
            <w:pPr>
              <w:pStyle w:val="Sansinterligne"/>
              <w:numPr>
                <w:ilvl w:val="0"/>
                <w:numId w:val="1598"/>
              </w:numPr>
            </w:pPr>
            <w:r>
              <w:t>Œdème ++ et distension du compartiment</w:t>
            </w:r>
          </w:p>
          <w:p w:rsidR="008263DF" w:rsidRPr="006B56E0" w:rsidRDefault="008263DF" w:rsidP="00A11F3C">
            <w:pPr>
              <w:pStyle w:val="Sansinterligne"/>
              <w:numPr>
                <w:ilvl w:val="0"/>
                <w:numId w:val="1598"/>
              </w:numPr>
            </w:pPr>
            <w:r>
              <w:t>Histoire concordante</w:t>
            </w:r>
          </w:p>
        </w:tc>
        <w:tc>
          <w:tcPr>
            <w:tcW w:w="3647" w:type="dxa"/>
            <w:shd w:val="clear" w:color="auto" w:fill="FFFF00"/>
          </w:tcPr>
          <w:p w:rsidR="008263DF" w:rsidRPr="00E11D01" w:rsidRDefault="008263DF" w:rsidP="006B56E0">
            <w:pPr>
              <w:pStyle w:val="Sansinterligne"/>
              <w:rPr>
                <w:u w:val="single"/>
              </w:rPr>
            </w:pPr>
            <w:r w:rsidRPr="00E11D01">
              <w:rPr>
                <w:rFonts w:ascii="Century Gothic" w:hAnsi="Century Gothic"/>
                <w:u w:val="single"/>
              </w:rPr>
              <w:t xml:space="preserve">↑ </w:t>
            </w:r>
            <w:r w:rsidRPr="00E11D01">
              <w:rPr>
                <w:u w:val="single"/>
              </w:rPr>
              <w:t>pression compartiment causant une ischémie des tissus</w:t>
            </w:r>
          </w:p>
          <w:p w:rsidR="008263DF" w:rsidRDefault="008263DF" w:rsidP="006B56E0">
            <w:pPr>
              <w:pStyle w:val="Sansinterligne"/>
            </w:pPr>
          </w:p>
          <w:p w:rsidR="008263DF" w:rsidRDefault="008263DF" w:rsidP="006B56E0">
            <w:pPr>
              <w:pStyle w:val="Sansinterligne"/>
            </w:pPr>
            <w:r>
              <w:t>Syndrome du compartiment dû à un plâtre</w:t>
            </w:r>
          </w:p>
          <w:p w:rsidR="008263DF" w:rsidRDefault="008263DF" w:rsidP="006B56E0">
            <w:pPr>
              <w:pStyle w:val="Sansinterligne"/>
            </w:pPr>
          </w:p>
          <w:p w:rsidR="008263DF" w:rsidRDefault="008263DF" w:rsidP="006B56E0">
            <w:pPr>
              <w:pStyle w:val="Sansinterligne"/>
            </w:pPr>
            <w:r>
              <w:t>Jambe, avant-bras (espace très limité)</w:t>
            </w:r>
          </w:p>
          <w:p w:rsidR="008263DF" w:rsidRPr="006B56E0" w:rsidRDefault="008263DF" w:rsidP="006B56E0">
            <w:pPr>
              <w:pStyle w:val="Sansinterligne"/>
            </w:pPr>
            <w:r>
              <w:t>Fesse (pression constante)</w:t>
            </w:r>
          </w:p>
        </w:tc>
      </w:tr>
      <w:tr w:rsidR="006B56E0" w:rsidTr="008263DF">
        <w:tc>
          <w:tcPr>
            <w:tcW w:w="1809" w:type="dxa"/>
            <w:shd w:val="clear" w:color="auto" w:fill="95B3D7" w:themeFill="accent1" w:themeFillTint="99"/>
            <w:vAlign w:val="center"/>
          </w:tcPr>
          <w:p w:rsidR="006B56E0" w:rsidRPr="006B56E0" w:rsidRDefault="006B56E0" w:rsidP="008263DF">
            <w:pPr>
              <w:pStyle w:val="Sansinterligne"/>
              <w:jc w:val="center"/>
            </w:pPr>
            <w:r w:rsidRPr="006B56E0">
              <w:t>Tendinopathie</w:t>
            </w:r>
          </w:p>
        </w:tc>
        <w:tc>
          <w:tcPr>
            <w:tcW w:w="5484" w:type="dxa"/>
            <w:gridSpan w:val="2"/>
          </w:tcPr>
          <w:p w:rsidR="00740222" w:rsidRDefault="00F85430" w:rsidP="00A11F3C">
            <w:pPr>
              <w:pStyle w:val="Sansinterligne"/>
              <w:numPr>
                <w:ilvl w:val="0"/>
                <w:numId w:val="1601"/>
              </w:numPr>
            </w:pPr>
            <w:r>
              <w:t>Douleur périarticulaire</w:t>
            </w:r>
            <w:r w:rsidR="00740222">
              <w:t xml:space="preserve">, </w:t>
            </w:r>
            <w:r w:rsidR="00740222">
              <w:rPr>
                <w:rFonts w:cs="Times New Roman"/>
              </w:rPr>
              <w:t>±</w:t>
            </w:r>
            <w:r w:rsidR="00740222">
              <w:t xml:space="preserve"> soulagée par AINS</w:t>
            </w:r>
          </w:p>
          <w:p w:rsidR="006B56E0" w:rsidRDefault="00740222" w:rsidP="00A11F3C">
            <w:pPr>
              <w:pStyle w:val="Sansinterligne"/>
              <w:numPr>
                <w:ilvl w:val="0"/>
                <w:numId w:val="1601"/>
              </w:numPr>
            </w:pPr>
            <w:r>
              <w:t>ATCD de surutilisation, sport, travail …</w:t>
            </w:r>
          </w:p>
          <w:p w:rsidR="00344D53" w:rsidRDefault="00344D53" w:rsidP="00A11F3C">
            <w:pPr>
              <w:pStyle w:val="Sansinterligne"/>
              <w:numPr>
                <w:ilvl w:val="0"/>
                <w:numId w:val="1601"/>
              </w:numPr>
            </w:pPr>
            <w:r>
              <w:t>Douleur à la palpation du tendon</w:t>
            </w:r>
          </w:p>
          <w:p w:rsidR="00F85430" w:rsidRDefault="00F85430" w:rsidP="00A11F3C">
            <w:pPr>
              <w:pStyle w:val="Sansinterligne"/>
              <w:numPr>
                <w:ilvl w:val="0"/>
                <w:numId w:val="1601"/>
              </w:numPr>
            </w:pPr>
            <w:r>
              <w:t>Douleur à la mobilisation active</w:t>
            </w:r>
          </w:p>
          <w:p w:rsidR="00F85430" w:rsidRPr="006B56E0" w:rsidRDefault="00F85430" w:rsidP="00A11F3C">
            <w:pPr>
              <w:pStyle w:val="Sansinterligne"/>
              <w:numPr>
                <w:ilvl w:val="0"/>
                <w:numId w:val="1601"/>
              </w:numPr>
            </w:pPr>
            <w:r>
              <w:t>Douleur à la mobilisation contre résistance</w:t>
            </w:r>
          </w:p>
        </w:tc>
        <w:tc>
          <w:tcPr>
            <w:tcW w:w="3647" w:type="dxa"/>
          </w:tcPr>
          <w:p w:rsidR="00F85430" w:rsidRPr="00F85430" w:rsidRDefault="00F85430" w:rsidP="00F85430">
            <w:pPr>
              <w:pStyle w:val="Sansinterligne"/>
              <w:jc w:val="center"/>
              <w:rPr>
                <w:u w:val="single"/>
              </w:rPr>
            </w:pPr>
            <w:r w:rsidRPr="00F85430">
              <w:rPr>
                <w:u w:val="single"/>
              </w:rPr>
              <w:t>Usure par utilisation chronique /inflammation</w:t>
            </w:r>
          </w:p>
          <w:p w:rsidR="00F85430" w:rsidRDefault="00F85430" w:rsidP="006B56E0">
            <w:pPr>
              <w:pStyle w:val="Sansinterligne"/>
            </w:pPr>
            <w:r>
              <w:t>Tendinopathie du long chef du biceps</w:t>
            </w:r>
          </w:p>
          <w:p w:rsidR="00F85430" w:rsidRPr="006B56E0" w:rsidRDefault="00F85430" w:rsidP="000F79AD">
            <w:pPr>
              <w:pStyle w:val="Sansinterligne"/>
            </w:pPr>
            <w:r>
              <w:t>Tendinopathie du t</w:t>
            </w:r>
            <w:r w:rsidR="000F79AD">
              <w:t>endon</w:t>
            </w:r>
            <w:r>
              <w:t xml:space="preserve"> d’Achille</w:t>
            </w:r>
          </w:p>
        </w:tc>
      </w:tr>
      <w:tr w:rsidR="006B56E0" w:rsidTr="008263DF">
        <w:tc>
          <w:tcPr>
            <w:tcW w:w="1809" w:type="dxa"/>
            <w:shd w:val="clear" w:color="auto" w:fill="95B3D7" w:themeFill="accent1" w:themeFillTint="99"/>
            <w:vAlign w:val="center"/>
          </w:tcPr>
          <w:p w:rsidR="006B56E0" w:rsidRPr="006B56E0" w:rsidRDefault="006B56E0" w:rsidP="008263DF">
            <w:pPr>
              <w:pStyle w:val="Sansinterligne"/>
              <w:jc w:val="center"/>
            </w:pPr>
            <w:r w:rsidRPr="006B56E0">
              <w:t>Bursite</w:t>
            </w:r>
          </w:p>
        </w:tc>
        <w:tc>
          <w:tcPr>
            <w:tcW w:w="5484" w:type="dxa"/>
            <w:gridSpan w:val="2"/>
          </w:tcPr>
          <w:p w:rsidR="006B56E0" w:rsidRDefault="00F85430" w:rsidP="00A11F3C">
            <w:pPr>
              <w:pStyle w:val="Sansinterligne"/>
              <w:numPr>
                <w:ilvl w:val="0"/>
                <w:numId w:val="1602"/>
              </w:numPr>
            </w:pPr>
            <w:r>
              <w:t>Douleur périarticulaire</w:t>
            </w:r>
          </w:p>
          <w:p w:rsidR="00F85430" w:rsidRDefault="00F85430" w:rsidP="00A11F3C">
            <w:pPr>
              <w:pStyle w:val="Sansinterligne"/>
              <w:numPr>
                <w:ilvl w:val="0"/>
                <w:numId w:val="1602"/>
              </w:numPr>
            </w:pPr>
            <w:r>
              <w:t>Soulagée partiellement par AINS</w:t>
            </w:r>
          </w:p>
          <w:p w:rsidR="00F85430" w:rsidRDefault="00F85430" w:rsidP="00A11F3C">
            <w:pPr>
              <w:pStyle w:val="Sansinterligne"/>
              <w:numPr>
                <w:ilvl w:val="0"/>
                <w:numId w:val="1602"/>
              </w:numPr>
            </w:pPr>
            <w:r>
              <w:t>Douleur à la mobilisation active des muscles alentours</w:t>
            </w:r>
          </w:p>
          <w:p w:rsidR="00F85430" w:rsidRDefault="00F85430" w:rsidP="00A11F3C">
            <w:pPr>
              <w:pStyle w:val="Sansinterligne"/>
              <w:numPr>
                <w:ilvl w:val="0"/>
                <w:numId w:val="1602"/>
              </w:numPr>
            </w:pPr>
            <w:r>
              <w:t>Douleur à la palpation de la bourse</w:t>
            </w:r>
          </w:p>
          <w:p w:rsidR="00F85430" w:rsidRPr="006B56E0" w:rsidRDefault="00F85430" w:rsidP="00A11F3C">
            <w:pPr>
              <w:pStyle w:val="Sansinterligne"/>
              <w:numPr>
                <w:ilvl w:val="0"/>
                <w:numId w:val="1602"/>
              </w:numPr>
            </w:pPr>
            <w:r>
              <w:t>Peu de douleur ou norma</w:t>
            </w:r>
            <w:r w:rsidR="000F79AD">
              <w:t>l</w:t>
            </w:r>
            <w:r>
              <w:t xml:space="preserve"> en mobilisation passive</w:t>
            </w:r>
          </w:p>
        </w:tc>
        <w:tc>
          <w:tcPr>
            <w:tcW w:w="3647" w:type="dxa"/>
          </w:tcPr>
          <w:p w:rsidR="006B56E0" w:rsidRPr="00F85430" w:rsidRDefault="00F85430" w:rsidP="00F85430">
            <w:pPr>
              <w:pStyle w:val="Sansinterligne"/>
              <w:jc w:val="center"/>
              <w:rPr>
                <w:u w:val="single"/>
              </w:rPr>
            </w:pPr>
            <w:r w:rsidRPr="00F85430">
              <w:rPr>
                <w:u w:val="single"/>
              </w:rPr>
              <w:t>Trauma / infection / arthrite microcristalline</w:t>
            </w:r>
          </w:p>
          <w:p w:rsidR="00F85430" w:rsidRDefault="00F85430" w:rsidP="006B56E0">
            <w:pPr>
              <w:pStyle w:val="Sansinterligne"/>
            </w:pPr>
            <w:r>
              <w:t>Bursite prépatellaire</w:t>
            </w:r>
          </w:p>
          <w:p w:rsidR="00F85430" w:rsidRPr="006B56E0" w:rsidRDefault="00F85430" w:rsidP="006B56E0">
            <w:pPr>
              <w:pStyle w:val="Sansinterligne"/>
            </w:pPr>
            <w:r>
              <w:t>Bursite sous-acromiale</w:t>
            </w:r>
          </w:p>
        </w:tc>
      </w:tr>
      <w:tr w:rsidR="00E11D01" w:rsidTr="00C04F27">
        <w:tc>
          <w:tcPr>
            <w:tcW w:w="1809" w:type="dxa"/>
            <w:shd w:val="clear" w:color="auto" w:fill="95B3D7" w:themeFill="accent1" w:themeFillTint="99"/>
            <w:vAlign w:val="center"/>
          </w:tcPr>
          <w:p w:rsidR="00E11D01" w:rsidRPr="006B56E0" w:rsidRDefault="00E11D01" w:rsidP="008263DF">
            <w:pPr>
              <w:pStyle w:val="Sansinterligne"/>
              <w:jc w:val="center"/>
            </w:pPr>
            <w:r w:rsidRPr="006B56E0">
              <w:t>Claudication intermittente</w:t>
            </w:r>
          </w:p>
        </w:tc>
        <w:tc>
          <w:tcPr>
            <w:tcW w:w="2742" w:type="dxa"/>
            <w:tcBorders>
              <w:right w:val="single" w:sz="4" w:space="0" w:color="FFFF00"/>
            </w:tcBorders>
            <w:shd w:val="clear" w:color="auto" w:fill="FFFF00"/>
          </w:tcPr>
          <w:p w:rsidR="00E11D01" w:rsidRDefault="00E11D01" w:rsidP="00A11F3C">
            <w:pPr>
              <w:pStyle w:val="Sansinterligne"/>
              <w:numPr>
                <w:ilvl w:val="0"/>
                <w:numId w:val="1600"/>
              </w:numPr>
            </w:pPr>
            <w:r>
              <w:t>Douleur aux membres à l’exercice, soulagée au repos</w:t>
            </w:r>
          </w:p>
          <w:p w:rsidR="00E11D01" w:rsidRDefault="00E11D01" w:rsidP="00A11F3C">
            <w:pPr>
              <w:pStyle w:val="Sansinterligne"/>
              <w:numPr>
                <w:ilvl w:val="0"/>
                <w:numId w:val="1600"/>
              </w:numPr>
            </w:pPr>
            <w:r>
              <w:t>Reproductible (même effort, même distance)</w:t>
            </w:r>
          </w:p>
          <w:p w:rsidR="00E11D01" w:rsidRDefault="00E11D01" w:rsidP="00A11F3C">
            <w:pPr>
              <w:pStyle w:val="Sansinterligne"/>
              <w:numPr>
                <w:ilvl w:val="0"/>
                <w:numId w:val="1600"/>
              </w:numPr>
            </w:pPr>
            <w:r>
              <w:t>Pouls faible ou absent</w:t>
            </w:r>
          </w:p>
          <w:p w:rsidR="00E11D01" w:rsidRDefault="00E11D01" w:rsidP="00A11F3C">
            <w:pPr>
              <w:pStyle w:val="Sansinterligne"/>
              <w:numPr>
                <w:ilvl w:val="0"/>
                <w:numId w:val="1600"/>
              </w:numPr>
            </w:pPr>
            <w:r>
              <w:t>Pâleur</w:t>
            </w:r>
          </w:p>
        </w:tc>
        <w:tc>
          <w:tcPr>
            <w:tcW w:w="2742" w:type="dxa"/>
            <w:tcBorders>
              <w:left w:val="single" w:sz="4" w:space="0" w:color="FFFF00"/>
            </w:tcBorders>
            <w:shd w:val="clear" w:color="auto" w:fill="FFFF00"/>
          </w:tcPr>
          <w:p w:rsidR="00E11D01" w:rsidRDefault="00E11D01" w:rsidP="00A11F3C">
            <w:pPr>
              <w:pStyle w:val="Sansinterligne"/>
              <w:numPr>
                <w:ilvl w:val="0"/>
                <w:numId w:val="1600"/>
              </w:numPr>
            </w:pPr>
            <w:r>
              <w:t>Refill capillaire alongé</w:t>
            </w:r>
          </w:p>
          <w:p w:rsidR="00E11D01" w:rsidRDefault="00E11D01" w:rsidP="00A11F3C">
            <w:pPr>
              <w:pStyle w:val="Sansinterligne"/>
              <w:numPr>
                <w:ilvl w:val="0"/>
                <w:numId w:val="1600"/>
              </w:numPr>
            </w:pPr>
            <w:r>
              <w:t xml:space="preserve">Perte de pilosité </w:t>
            </w:r>
          </w:p>
          <w:p w:rsidR="00E11D01" w:rsidRDefault="00E11D01" w:rsidP="00A11F3C">
            <w:pPr>
              <w:pStyle w:val="Sansinterligne"/>
              <w:numPr>
                <w:ilvl w:val="0"/>
                <w:numId w:val="1600"/>
              </w:numPr>
            </w:pPr>
            <w:r>
              <w:t>Ulcères</w:t>
            </w:r>
          </w:p>
          <w:p w:rsidR="00E11D01" w:rsidRDefault="00E11D01" w:rsidP="00A11F3C">
            <w:pPr>
              <w:pStyle w:val="Sansinterligne"/>
              <w:numPr>
                <w:ilvl w:val="0"/>
                <w:numId w:val="1600"/>
              </w:numPr>
            </w:pPr>
            <w:r>
              <w:t>Atrophie musculaire</w:t>
            </w:r>
          </w:p>
          <w:p w:rsidR="00E11D01" w:rsidRDefault="00E11D01" w:rsidP="00E11D01">
            <w:pPr>
              <w:pStyle w:val="Sansinterligne"/>
            </w:pPr>
            <w:r w:rsidRPr="00E11D01">
              <w:rPr>
                <w:u w:val="single"/>
              </w:rPr>
              <w:t>Critique si</w:t>
            </w:r>
            <w:r>
              <w:t> :</w:t>
            </w:r>
          </w:p>
          <w:p w:rsidR="00E11D01" w:rsidRPr="006B56E0" w:rsidRDefault="00E11D01" w:rsidP="00A11F3C">
            <w:pPr>
              <w:pStyle w:val="Sansinterligne"/>
              <w:numPr>
                <w:ilvl w:val="0"/>
                <w:numId w:val="1600"/>
              </w:numPr>
            </w:pPr>
            <w:r>
              <w:t>Douleur au repos, douleur nocturne</w:t>
            </w:r>
          </w:p>
        </w:tc>
        <w:tc>
          <w:tcPr>
            <w:tcW w:w="3647" w:type="dxa"/>
            <w:shd w:val="clear" w:color="auto" w:fill="FFFF00"/>
          </w:tcPr>
          <w:p w:rsidR="00E11D01" w:rsidRDefault="00E11D01" w:rsidP="006B56E0">
            <w:pPr>
              <w:pStyle w:val="Sansinterligne"/>
              <w:rPr>
                <w:u w:val="single"/>
              </w:rPr>
            </w:pPr>
            <w:r w:rsidRPr="00E11D01">
              <w:rPr>
                <w:u w:val="single"/>
              </w:rPr>
              <w:t>Ischémie d’un membre 2</w:t>
            </w:r>
            <w:r w:rsidRPr="00E11D01">
              <w:rPr>
                <w:u w:val="single"/>
                <w:vertAlign w:val="superscript"/>
              </w:rPr>
              <w:t>aire</w:t>
            </w:r>
            <w:r w:rsidRPr="00E11D01">
              <w:rPr>
                <w:u w:val="single"/>
              </w:rPr>
              <w:t xml:space="preserve"> maladie vasculaire athérosclérotique (MVAS)</w:t>
            </w:r>
          </w:p>
          <w:p w:rsidR="00E11D01" w:rsidRDefault="00E11D01" w:rsidP="006B56E0">
            <w:pPr>
              <w:pStyle w:val="Sansinterligne"/>
              <w:rPr>
                <w:u w:val="single"/>
              </w:rPr>
            </w:pPr>
          </w:p>
          <w:p w:rsidR="00E11D01" w:rsidRDefault="00E11D01" w:rsidP="006B56E0">
            <w:pPr>
              <w:pStyle w:val="Sansinterligne"/>
            </w:pPr>
            <w:r>
              <w:t>Fesse</w:t>
            </w:r>
          </w:p>
          <w:p w:rsidR="00E11D01" w:rsidRDefault="00E11D01" w:rsidP="006B56E0">
            <w:pPr>
              <w:pStyle w:val="Sansinterligne"/>
            </w:pPr>
            <w:r>
              <w:t>Jambes</w:t>
            </w:r>
          </w:p>
          <w:p w:rsidR="00E11D01" w:rsidRPr="00E11D01" w:rsidRDefault="00E11D01" w:rsidP="006B56E0">
            <w:pPr>
              <w:pStyle w:val="Sansinterligne"/>
            </w:pPr>
            <w:r>
              <w:t>Pieds</w:t>
            </w:r>
          </w:p>
        </w:tc>
      </w:tr>
      <w:tr w:rsidR="006B56E0" w:rsidTr="008263DF">
        <w:tc>
          <w:tcPr>
            <w:tcW w:w="1809" w:type="dxa"/>
            <w:shd w:val="clear" w:color="auto" w:fill="95B3D7" w:themeFill="accent1" w:themeFillTint="99"/>
            <w:vAlign w:val="center"/>
          </w:tcPr>
          <w:p w:rsidR="006B56E0" w:rsidRPr="006B56E0" w:rsidRDefault="006B56E0" w:rsidP="008263DF">
            <w:pPr>
              <w:pStyle w:val="Sansinterligne"/>
              <w:jc w:val="center"/>
            </w:pPr>
            <w:r w:rsidRPr="006B56E0">
              <w:t>Douleur neuropathique</w:t>
            </w:r>
          </w:p>
        </w:tc>
        <w:tc>
          <w:tcPr>
            <w:tcW w:w="5484" w:type="dxa"/>
            <w:gridSpan w:val="2"/>
          </w:tcPr>
          <w:p w:rsidR="006B56E0" w:rsidRDefault="007E4467" w:rsidP="00A11F3C">
            <w:pPr>
              <w:pStyle w:val="Sansinterligne"/>
              <w:numPr>
                <w:ilvl w:val="0"/>
                <w:numId w:val="1614"/>
              </w:numPr>
            </w:pPr>
            <w:r>
              <w:t>Douleur sous forme de brûlure, choc électrique</w:t>
            </w:r>
          </w:p>
          <w:p w:rsidR="00CF2CD8" w:rsidRDefault="00CF2CD8" w:rsidP="00A11F3C">
            <w:pPr>
              <w:pStyle w:val="Sansinterligne"/>
              <w:numPr>
                <w:ilvl w:val="0"/>
                <w:numId w:val="1614"/>
              </w:numPr>
            </w:pPr>
            <w:r>
              <w:t>Incapacitante</w:t>
            </w:r>
          </w:p>
          <w:p w:rsidR="00CF2CD8" w:rsidRPr="006B56E0" w:rsidRDefault="00CF2CD8" w:rsidP="006B56E0">
            <w:pPr>
              <w:pStyle w:val="Sansinterligne"/>
            </w:pPr>
          </w:p>
        </w:tc>
        <w:tc>
          <w:tcPr>
            <w:tcW w:w="3647" w:type="dxa"/>
          </w:tcPr>
          <w:p w:rsidR="006B56E0" w:rsidRPr="00C04F27" w:rsidRDefault="00C04F27" w:rsidP="006B56E0">
            <w:pPr>
              <w:pStyle w:val="Sansinterligne"/>
              <w:rPr>
                <w:u w:val="single"/>
              </w:rPr>
            </w:pPr>
            <w:r w:rsidRPr="00C04F27">
              <w:rPr>
                <w:u w:val="single"/>
              </w:rPr>
              <w:t>Activité neurologique aN 2</w:t>
            </w:r>
            <w:r w:rsidRPr="00C04F27">
              <w:rPr>
                <w:u w:val="single"/>
                <w:vertAlign w:val="superscript"/>
              </w:rPr>
              <w:t>aire</w:t>
            </w:r>
            <w:r w:rsidRPr="00C04F27">
              <w:rPr>
                <w:u w:val="single"/>
              </w:rPr>
              <w:t xml:space="preserve"> lésion</w:t>
            </w:r>
          </w:p>
          <w:p w:rsidR="00CF2CD8" w:rsidRDefault="00CF2CD8" w:rsidP="006B56E0">
            <w:pPr>
              <w:pStyle w:val="Sansinterligne"/>
            </w:pPr>
            <w:r>
              <w:t>Névralgie du trijumeau</w:t>
            </w:r>
          </w:p>
          <w:p w:rsidR="00CF2CD8" w:rsidRPr="006B56E0" w:rsidRDefault="00CF2CD8" w:rsidP="006B56E0">
            <w:pPr>
              <w:pStyle w:val="Sansinterligne"/>
            </w:pPr>
            <w:r>
              <w:t>Sciatalgie</w:t>
            </w:r>
          </w:p>
        </w:tc>
      </w:tr>
    </w:tbl>
    <w:p w:rsidR="00C97D44" w:rsidRDefault="00344D53" w:rsidP="00F62E2A">
      <w:pPr>
        <w:pStyle w:val="Sansinterligne"/>
        <w:rPr>
          <w:rFonts w:cs="Times New Roman"/>
          <w:b/>
          <w:color w:val="548DD4" w:themeColor="text2" w:themeTint="99"/>
        </w:rPr>
      </w:pPr>
      <w:r>
        <w:rPr>
          <w:noProof/>
          <w:lang w:eastAsia="fr-CA"/>
        </w:rPr>
        <w:drawing>
          <wp:anchor distT="0" distB="0" distL="114300" distR="114300" simplePos="0" relativeHeight="252277760" behindDoc="0" locked="0" layoutInCell="1" allowOverlap="1" wp14:anchorId="551D488B" wp14:editId="5F74CDF1">
            <wp:simplePos x="0" y="0"/>
            <wp:positionH relativeFrom="column">
              <wp:posOffset>4202349</wp:posOffset>
            </wp:positionH>
            <wp:positionV relativeFrom="paragraph">
              <wp:posOffset>108477</wp:posOffset>
            </wp:positionV>
            <wp:extent cx="2373549" cy="2697535"/>
            <wp:effectExtent l="0" t="0" r="8255" b="7620"/>
            <wp:wrapNone/>
            <wp:docPr id="715" name="Image 715" descr="Résultats de recherche d'images pour « os anatomi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ésultats de recherche d'images pour « os anatomie »"/>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2373681" cy="26976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4283C" w:rsidRPr="00D4283C" w:rsidRDefault="00D4283C" w:rsidP="00D4283C">
      <w:pPr>
        <w:pStyle w:val="Sansinterligne"/>
        <w:rPr>
          <w:b/>
          <w:sz w:val="28"/>
          <w:szCs w:val="28"/>
        </w:rPr>
      </w:pPr>
      <w:r w:rsidRPr="00D4283C">
        <w:rPr>
          <w:b/>
          <w:sz w:val="28"/>
          <w:szCs w:val="28"/>
        </w:rPr>
        <w:t>Investigations</w:t>
      </w:r>
    </w:p>
    <w:p w:rsidR="005C448B" w:rsidRDefault="005C448B" w:rsidP="00D4283C">
      <w:pPr>
        <w:pStyle w:val="Sansinterligne"/>
      </w:pPr>
    </w:p>
    <w:p w:rsidR="005C448B" w:rsidRDefault="005C448B" w:rsidP="00A11F3C">
      <w:pPr>
        <w:pStyle w:val="Sansinterligne"/>
        <w:numPr>
          <w:ilvl w:val="0"/>
          <w:numId w:val="1610"/>
        </w:numPr>
      </w:pPr>
      <w:r>
        <w:t>FSC</w:t>
      </w:r>
    </w:p>
    <w:p w:rsidR="00D4283C" w:rsidRDefault="005C448B" w:rsidP="00A11F3C">
      <w:pPr>
        <w:pStyle w:val="Sansinterligne"/>
        <w:numPr>
          <w:ilvl w:val="0"/>
          <w:numId w:val="1610"/>
        </w:numPr>
      </w:pPr>
      <w:r>
        <w:t>Vitesse de sédimentation (VS) ou CRP</w:t>
      </w:r>
    </w:p>
    <w:p w:rsidR="003500C5" w:rsidRDefault="003500C5" w:rsidP="00A11F3C">
      <w:pPr>
        <w:pStyle w:val="Sansinterligne"/>
        <w:numPr>
          <w:ilvl w:val="0"/>
          <w:numId w:val="1610"/>
        </w:numPr>
      </w:pPr>
      <w:r>
        <w:t>TSH</w:t>
      </w:r>
    </w:p>
    <w:p w:rsidR="00021763" w:rsidRDefault="00021763" w:rsidP="00A11F3C">
      <w:pPr>
        <w:pStyle w:val="Sansinterligne"/>
        <w:numPr>
          <w:ilvl w:val="0"/>
          <w:numId w:val="1610"/>
        </w:numPr>
      </w:pPr>
      <w:r>
        <w:t>Hémoculture</w:t>
      </w:r>
    </w:p>
    <w:p w:rsidR="00375E01" w:rsidRDefault="00375E01" w:rsidP="00A11F3C">
      <w:pPr>
        <w:pStyle w:val="Sansinterligne"/>
        <w:numPr>
          <w:ilvl w:val="0"/>
          <w:numId w:val="1610"/>
        </w:numPr>
      </w:pPr>
      <w:r>
        <w:t>CK</w:t>
      </w:r>
    </w:p>
    <w:p w:rsidR="00902B7A" w:rsidRDefault="00902B7A" w:rsidP="00A11F3C">
      <w:pPr>
        <w:pStyle w:val="Sansinterligne"/>
        <w:numPr>
          <w:ilvl w:val="0"/>
          <w:numId w:val="1610"/>
        </w:numPr>
      </w:pPr>
      <w:r>
        <w:t>Bilan lipidique</w:t>
      </w:r>
    </w:p>
    <w:p w:rsidR="00902B7A" w:rsidRDefault="00902B7A" w:rsidP="00A11F3C">
      <w:pPr>
        <w:pStyle w:val="Sansinterligne"/>
        <w:numPr>
          <w:ilvl w:val="0"/>
          <w:numId w:val="1610"/>
        </w:numPr>
      </w:pPr>
      <w:r>
        <w:t>Glycémie</w:t>
      </w:r>
    </w:p>
    <w:p w:rsidR="00902B7A" w:rsidRDefault="00902B7A" w:rsidP="00A11F3C">
      <w:pPr>
        <w:pStyle w:val="Sansinterligne"/>
        <w:numPr>
          <w:ilvl w:val="0"/>
          <w:numId w:val="1610"/>
        </w:numPr>
      </w:pPr>
      <w:r>
        <w:t xml:space="preserve">Index tibio-brachial (aN </w:t>
      </w:r>
      <w:r>
        <w:rPr>
          <w:rFonts w:ascii="Century Gothic" w:hAnsi="Century Gothic"/>
        </w:rPr>
        <w:t>&lt;</w:t>
      </w:r>
      <w:r>
        <w:t xml:space="preserve"> 0,9)</w:t>
      </w:r>
    </w:p>
    <w:p w:rsidR="00021763" w:rsidRDefault="00021763" w:rsidP="00A11F3C">
      <w:pPr>
        <w:pStyle w:val="Sansinterligne"/>
        <w:numPr>
          <w:ilvl w:val="0"/>
          <w:numId w:val="1610"/>
        </w:numPr>
      </w:pPr>
      <w:r>
        <w:t xml:space="preserve">Biopsie </w:t>
      </w:r>
      <w:r w:rsidR="00CD6A39">
        <w:t>osseuse</w:t>
      </w:r>
    </w:p>
    <w:p w:rsidR="00021763" w:rsidRDefault="00021763" w:rsidP="00A11F3C">
      <w:pPr>
        <w:pStyle w:val="Sansinterligne"/>
        <w:numPr>
          <w:ilvl w:val="0"/>
          <w:numId w:val="1610"/>
        </w:numPr>
      </w:pPr>
      <w:r>
        <w:t>IRM osseuse</w:t>
      </w:r>
    </w:p>
    <w:p w:rsidR="00021763" w:rsidRDefault="00021763" w:rsidP="00A11F3C">
      <w:pPr>
        <w:pStyle w:val="Sansinterligne"/>
        <w:numPr>
          <w:ilvl w:val="0"/>
          <w:numId w:val="1610"/>
        </w:numPr>
      </w:pPr>
      <w:r>
        <w:t xml:space="preserve">Radiographie osseuse (œdème </w:t>
      </w:r>
      <w:r>
        <w:rPr>
          <w:rFonts w:cs="Times New Roman"/>
        </w:rPr>
        <w:t>±</w:t>
      </w:r>
      <w:r>
        <w:t xml:space="preserve"> air des t</w:t>
      </w:r>
      <w:r w:rsidR="00375E01">
        <w:t>issus mous, réaction périostée)</w:t>
      </w:r>
    </w:p>
    <w:p w:rsidR="00375E01" w:rsidRDefault="00375E01" w:rsidP="00A11F3C">
      <w:pPr>
        <w:pStyle w:val="Sansinterligne"/>
        <w:numPr>
          <w:ilvl w:val="0"/>
          <w:numId w:val="1610"/>
        </w:numPr>
      </w:pPr>
      <w:r>
        <w:t>Radiographie des tissus mous</w:t>
      </w:r>
    </w:p>
    <w:p w:rsidR="005C448B" w:rsidRPr="00D4283C" w:rsidRDefault="00021763" w:rsidP="00A11F3C">
      <w:pPr>
        <w:pStyle w:val="Sansinterligne"/>
        <w:numPr>
          <w:ilvl w:val="0"/>
          <w:numId w:val="1610"/>
        </w:numPr>
      </w:pPr>
      <w:r>
        <w:t>Scintigraphie osseuse</w:t>
      </w:r>
    </w:p>
    <w:p w:rsidR="00D4283C" w:rsidRDefault="00C04F27" w:rsidP="00D4283C">
      <w:pPr>
        <w:pStyle w:val="Sansinterligne"/>
        <w:rPr>
          <w:b/>
          <w:sz w:val="28"/>
          <w:szCs w:val="28"/>
        </w:rPr>
      </w:pPr>
      <w:r w:rsidRPr="00C04F27">
        <w:rPr>
          <w:b/>
          <w:noProof/>
          <w:highlight w:val="yellow"/>
          <w:lang w:eastAsia="fr-CA"/>
        </w:rPr>
        <mc:AlternateContent>
          <mc:Choice Requires="wps">
            <w:drawing>
              <wp:anchor distT="0" distB="0" distL="114300" distR="114300" simplePos="0" relativeHeight="252274688" behindDoc="0" locked="0" layoutInCell="1" allowOverlap="1" wp14:anchorId="1F0D8F43" wp14:editId="663DC8B7">
                <wp:simplePos x="0" y="0"/>
                <wp:positionH relativeFrom="column">
                  <wp:posOffset>3751580</wp:posOffset>
                </wp:positionH>
                <wp:positionV relativeFrom="paragraph">
                  <wp:posOffset>-216562</wp:posOffset>
                </wp:positionV>
                <wp:extent cx="2374265" cy="5048250"/>
                <wp:effectExtent l="0" t="0" r="19050" b="19050"/>
                <wp:wrapNone/>
                <wp:docPr id="70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5048250"/>
                        </a:xfrm>
                        <a:prstGeom prst="rect">
                          <a:avLst/>
                        </a:prstGeom>
                        <a:solidFill>
                          <a:schemeClr val="accent1">
                            <a:lumMod val="60000"/>
                            <a:lumOff val="40000"/>
                          </a:schemeClr>
                        </a:solidFill>
                        <a:ln w="9525">
                          <a:solidFill>
                            <a:srgbClr val="000000"/>
                          </a:solidFill>
                          <a:miter lim="800000"/>
                          <a:headEnd/>
                          <a:tailEnd/>
                        </a:ln>
                      </wps:spPr>
                      <wps:txbx>
                        <w:txbxContent>
                          <w:p w:rsidR="008276DC" w:rsidRPr="0082023E" w:rsidRDefault="008276DC" w:rsidP="0082023E">
                            <w:pPr>
                              <w:spacing w:after="0"/>
                              <w:jc w:val="center"/>
                              <w:rPr>
                                <w:b/>
                                <w:sz w:val="18"/>
                                <w:szCs w:val="18"/>
                              </w:rPr>
                            </w:pPr>
                            <w:r w:rsidRPr="0082023E">
                              <w:rPr>
                                <w:b/>
                                <w:sz w:val="18"/>
                                <w:szCs w:val="18"/>
                              </w:rPr>
                              <w:t>Description d’une fracture</w:t>
                            </w:r>
                          </w:p>
                          <w:p w:rsidR="008276DC" w:rsidRPr="0082023E" w:rsidRDefault="008276DC" w:rsidP="00A11F3C">
                            <w:pPr>
                              <w:pStyle w:val="Paragraphedeliste"/>
                              <w:numPr>
                                <w:ilvl w:val="0"/>
                                <w:numId w:val="1593"/>
                              </w:numPr>
                              <w:spacing w:after="0"/>
                              <w:rPr>
                                <w:sz w:val="18"/>
                                <w:szCs w:val="18"/>
                                <w:u w:val="single"/>
                              </w:rPr>
                            </w:pPr>
                            <w:r w:rsidRPr="0082023E">
                              <w:rPr>
                                <w:sz w:val="18"/>
                                <w:szCs w:val="18"/>
                                <w:u w:val="single"/>
                              </w:rPr>
                              <w:t>Ouverte ou fermée</w:t>
                            </w:r>
                          </w:p>
                          <w:p w:rsidR="008276DC" w:rsidRPr="0082023E" w:rsidRDefault="008276DC" w:rsidP="00A11F3C">
                            <w:pPr>
                              <w:pStyle w:val="Paragraphedeliste"/>
                              <w:numPr>
                                <w:ilvl w:val="0"/>
                                <w:numId w:val="1593"/>
                              </w:numPr>
                              <w:spacing w:after="0"/>
                              <w:rPr>
                                <w:sz w:val="18"/>
                                <w:szCs w:val="18"/>
                                <w:u w:val="single"/>
                              </w:rPr>
                            </w:pPr>
                            <w:r w:rsidRPr="0082023E">
                              <w:rPr>
                                <w:sz w:val="18"/>
                                <w:szCs w:val="18"/>
                                <w:u w:val="single"/>
                              </w:rPr>
                              <w:t>Nom de l’os</w:t>
                            </w:r>
                          </w:p>
                          <w:p w:rsidR="008276DC" w:rsidRPr="0082023E" w:rsidRDefault="008276DC" w:rsidP="00A11F3C">
                            <w:pPr>
                              <w:pStyle w:val="Paragraphedeliste"/>
                              <w:numPr>
                                <w:ilvl w:val="0"/>
                                <w:numId w:val="1593"/>
                              </w:numPr>
                              <w:spacing w:after="0"/>
                              <w:rPr>
                                <w:sz w:val="18"/>
                                <w:szCs w:val="18"/>
                                <w:u w:val="single"/>
                              </w:rPr>
                            </w:pPr>
                            <w:r w:rsidRPr="0082023E">
                              <w:rPr>
                                <w:sz w:val="18"/>
                                <w:szCs w:val="18"/>
                                <w:u w:val="single"/>
                              </w:rPr>
                              <w:t>Localisation</w:t>
                            </w:r>
                          </w:p>
                          <w:p w:rsidR="008276DC" w:rsidRPr="0082023E" w:rsidRDefault="008276DC" w:rsidP="00A11F3C">
                            <w:pPr>
                              <w:pStyle w:val="Paragraphedeliste"/>
                              <w:numPr>
                                <w:ilvl w:val="1"/>
                                <w:numId w:val="1593"/>
                              </w:numPr>
                              <w:spacing w:after="0"/>
                              <w:rPr>
                                <w:sz w:val="18"/>
                                <w:szCs w:val="18"/>
                              </w:rPr>
                            </w:pPr>
                            <w:r w:rsidRPr="0082023E">
                              <w:rPr>
                                <w:sz w:val="18"/>
                                <w:szCs w:val="18"/>
                              </w:rPr>
                              <w:t>Épiphyse</w:t>
                            </w:r>
                          </w:p>
                          <w:p w:rsidR="008276DC" w:rsidRPr="0082023E" w:rsidRDefault="008276DC" w:rsidP="00A11F3C">
                            <w:pPr>
                              <w:pStyle w:val="Paragraphedeliste"/>
                              <w:numPr>
                                <w:ilvl w:val="1"/>
                                <w:numId w:val="1593"/>
                              </w:numPr>
                              <w:spacing w:after="0"/>
                              <w:rPr>
                                <w:sz w:val="18"/>
                                <w:szCs w:val="18"/>
                              </w:rPr>
                            </w:pPr>
                            <w:r w:rsidRPr="0082023E">
                              <w:rPr>
                                <w:sz w:val="18"/>
                                <w:szCs w:val="18"/>
                              </w:rPr>
                              <w:t>Physe</w:t>
                            </w:r>
                          </w:p>
                          <w:p w:rsidR="008276DC" w:rsidRPr="0082023E" w:rsidRDefault="008276DC" w:rsidP="00A11F3C">
                            <w:pPr>
                              <w:pStyle w:val="Paragraphedeliste"/>
                              <w:numPr>
                                <w:ilvl w:val="1"/>
                                <w:numId w:val="1593"/>
                              </w:numPr>
                              <w:spacing w:after="0"/>
                              <w:rPr>
                                <w:sz w:val="18"/>
                                <w:szCs w:val="18"/>
                              </w:rPr>
                            </w:pPr>
                            <w:r w:rsidRPr="0082023E">
                              <w:rPr>
                                <w:sz w:val="18"/>
                                <w:szCs w:val="18"/>
                              </w:rPr>
                              <w:t>Métaphyse</w:t>
                            </w:r>
                          </w:p>
                          <w:p w:rsidR="008276DC" w:rsidRPr="0082023E" w:rsidRDefault="008276DC" w:rsidP="00A11F3C">
                            <w:pPr>
                              <w:pStyle w:val="Paragraphedeliste"/>
                              <w:numPr>
                                <w:ilvl w:val="1"/>
                                <w:numId w:val="1593"/>
                              </w:numPr>
                              <w:spacing w:after="0"/>
                              <w:rPr>
                                <w:sz w:val="18"/>
                                <w:szCs w:val="18"/>
                              </w:rPr>
                            </w:pPr>
                            <w:r w:rsidRPr="0082023E">
                              <w:rPr>
                                <w:sz w:val="18"/>
                                <w:szCs w:val="18"/>
                              </w:rPr>
                              <w:t>Diaphyse</w:t>
                            </w:r>
                          </w:p>
                          <w:p w:rsidR="008276DC" w:rsidRPr="0082023E" w:rsidRDefault="008276DC" w:rsidP="00A11F3C">
                            <w:pPr>
                              <w:pStyle w:val="Paragraphedeliste"/>
                              <w:numPr>
                                <w:ilvl w:val="0"/>
                                <w:numId w:val="1593"/>
                              </w:numPr>
                              <w:spacing w:after="0"/>
                              <w:rPr>
                                <w:sz w:val="18"/>
                                <w:szCs w:val="18"/>
                                <w:u w:val="single"/>
                              </w:rPr>
                            </w:pPr>
                            <w:r w:rsidRPr="0082023E">
                              <w:rPr>
                                <w:sz w:val="18"/>
                                <w:szCs w:val="18"/>
                                <w:u w:val="single"/>
                              </w:rPr>
                              <w:t>Nombre de fragments</w:t>
                            </w:r>
                          </w:p>
                          <w:p w:rsidR="008276DC" w:rsidRPr="0082023E" w:rsidRDefault="008276DC" w:rsidP="00A11F3C">
                            <w:pPr>
                              <w:pStyle w:val="Paragraphedeliste"/>
                              <w:numPr>
                                <w:ilvl w:val="1"/>
                                <w:numId w:val="1593"/>
                              </w:numPr>
                              <w:spacing w:after="0"/>
                              <w:rPr>
                                <w:sz w:val="18"/>
                                <w:szCs w:val="18"/>
                              </w:rPr>
                            </w:pPr>
                            <w:r w:rsidRPr="0082023E">
                              <w:rPr>
                                <w:sz w:val="18"/>
                                <w:szCs w:val="18"/>
                              </w:rPr>
                              <w:t>Simple</w:t>
                            </w:r>
                          </w:p>
                          <w:p w:rsidR="008276DC" w:rsidRPr="0082023E" w:rsidRDefault="008276DC" w:rsidP="00A11F3C">
                            <w:pPr>
                              <w:pStyle w:val="Paragraphedeliste"/>
                              <w:numPr>
                                <w:ilvl w:val="1"/>
                                <w:numId w:val="1593"/>
                              </w:numPr>
                              <w:spacing w:after="0"/>
                              <w:rPr>
                                <w:sz w:val="18"/>
                                <w:szCs w:val="18"/>
                              </w:rPr>
                            </w:pPr>
                            <w:r w:rsidRPr="0082023E">
                              <w:rPr>
                                <w:sz w:val="18"/>
                                <w:szCs w:val="18"/>
                              </w:rPr>
                              <w:t>Comminutive (</w:t>
                            </w:r>
                            <w:r w:rsidRPr="0082023E">
                              <w:rPr>
                                <w:rFonts w:ascii="Century Gothic" w:hAnsi="Century Gothic"/>
                                <w:sz w:val="18"/>
                                <w:szCs w:val="18"/>
                              </w:rPr>
                              <w:t>&gt;</w:t>
                            </w:r>
                            <w:r w:rsidRPr="0082023E">
                              <w:rPr>
                                <w:sz w:val="18"/>
                                <w:szCs w:val="18"/>
                              </w:rPr>
                              <w:t xml:space="preserve"> 2)</w:t>
                            </w:r>
                          </w:p>
                          <w:p w:rsidR="008276DC" w:rsidRPr="0082023E" w:rsidRDefault="008276DC" w:rsidP="00A11F3C">
                            <w:pPr>
                              <w:pStyle w:val="Paragraphedeliste"/>
                              <w:numPr>
                                <w:ilvl w:val="0"/>
                                <w:numId w:val="1593"/>
                              </w:numPr>
                              <w:spacing w:after="0"/>
                              <w:rPr>
                                <w:sz w:val="18"/>
                                <w:szCs w:val="18"/>
                                <w:u w:val="single"/>
                              </w:rPr>
                            </w:pPr>
                            <w:r w:rsidRPr="0082023E">
                              <w:rPr>
                                <w:sz w:val="18"/>
                                <w:szCs w:val="18"/>
                                <w:u w:val="single"/>
                              </w:rPr>
                              <w:t>Type de fracture</w:t>
                            </w:r>
                          </w:p>
                          <w:p w:rsidR="008276DC" w:rsidRPr="0082023E" w:rsidRDefault="008276DC" w:rsidP="00A11F3C">
                            <w:pPr>
                              <w:pStyle w:val="Paragraphedeliste"/>
                              <w:numPr>
                                <w:ilvl w:val="1"/>
                                <w:numId w:val="1593"/>
                              </w:numPr>
                              <w:spacing w:after="0"/>
                              <w:rPr>
                                <w:sz w:val="18"/>
                                <w:szCs w:val="18"/>
                              </w:rPr>
                            </w:pPr>
                            <w:r w:rsidRPr="0082023E">
                              <w:rPr>
                                <w:sz w:val="18"/>
                                <w:szCs w:val="18"/>
                              </w:rPr>
                              <w:t>Transverse</w:t>
                            </w:r>
                          </w:p>
                          <w:p w:rsidR="008276DC" w:rsidRPr="0082023E" w:rsidRDefault="008276DC" w:rsidP="00A11F3C">
                            <w:pPr>
                              <w:pStyle w:val="Paragraphedeliste"/>
                              <w:numPr>
                                <w:ilvl w:val="1"/>
                                <w:numId w:val="1593"/>
                              </w:numPr>
                              <w:spacing w:after="0"/>
                              <w:rPr>
                                <w:sz w:val="18"/>
                                <w:szCs w:val="18"/>
                              </w:rPr>
                            </w:pPr>
                            <w:r w:rsidRPr="0082023E">
                              <w:rPr>
                                <w:sz w:val="18"/>
                                <w:szCs w:val="18"/>
                              </w:rPr>
                              <w:t>Oblique</w:t>
                            </w:r>
                          </w:p>
                          <w:p w:rsidR="008276DC" w:rsidRPr="0082023E" w:rsidRDefault="008276DC" w:rsidP="00A11F3C">
                            <w:pPr>
                              <w:pStyle w:val="Paragraphedeliste"/>
                              <w:numPr>
                                <w:ilvl w:val="1"/>
                                <w:numId w:val="1593"/>
                              </w:numPr>
                              <w:spacing w:after="0"/>
                              <w:rPr>
                                <w:sz w:val="18"/>
                                <w:szCs w:val="18"/>
                              </w:rPr>
                            </w:pPr>
                            <w:r w:rsidRPr="0082023E">
                              <w:rPr>
                                <w:sz w:val="18"/>
                                <w:szCs w:val="18"/>
                              </w:rPr>
                              <w:t>Spiralée, en torus</w:t>
                            </w:r>
                          </w:p>
                          <w:p w:rsidR="008276DC" w:rsidRPr="0082023E" w:rsidRDefault="008276DC" w:rsidP="00A11F3C">
                            <w:pPr>
                              <w:pStyle w:val="Paragraphedeliste"/>
                              <w:numPr>
                                <w:ilvl w:val="1"/>
                                <w:numId w:val="1593"/>
                              </w:numPr>
                              <w:spacing w:after="0"/>
                              <w:rPr>
                                <w:sz w:val="18"/>
                                <w:szCs w:val="18"/>
                              </w:rPr>
                            </w:pPr>
                            <w:r w:rsidRPr="0082023E">
                              <w:rPr>
                                <w:sz w:val="18"/>
                                <w:szCs w:val="18"/>
                              </w:rPr>
                              <w:t>Segmentaire</w:t>
                            </w:r>
                          </w:p>
                          <w:p w:rsidR="008276DC" w:rsidRPr="0082023E" w:rsidRDefault="008276DC" w:rsidP="00A11F3C">
                            <w:pPr>
                              <w:pStyle w:val="Paragraphedeliste"/>
                              <w:numPr>
                                <w:ilvl w:val="1"/>
                                <w:numId w:val="1593"/>
                              </w:numPr>
                              <w:spacing w:after="0"/>
                              <w:rPr>
                                <w:sz w:val="18"/>
                                <w:szCs w:val="18"/>
                              </w:rPr>
                            </w:pPr>
                            <w:r w:rsidRPr="0082023E">
                              <w:rPr>
                                <w:sz w:val="18"/>
                                <w:szCs w:val="18"/>
                              </w:rPr>
                              <w:t>Avulsion</w:t>
                            </w:r>
                          </w:p>
                          <w:p w:rsidR="008276DC" w:rsidRPr="0082023E" w:rsidRDefault="008276DC" w:rsidP="00A11F3C">
                            <w:pPr>
                              <w:pStyle w:val="Paragraphedeliste"/>
                              <w:numPr>
                                <w:ilvl w:val="1"/>
                                <w:numId w:val="1593"/>
                              </w:numPr>
                              <w:spacing w:after="0"/>
                              <w:rPr>
                                <w:sz w:val="18"/>
                                <w:szCs w:val="18"/>
                              </w:rPr>
                            </w:pPr>
                            <w:r w:rsidRPr="0082023E">
                              <w:rPr>
                                <w:sz w:val="18"/>
                                <w:szCs w:val="18"/>
                              </w:rPr>
                              <w:t>En bois vert (pli)</w:t>
                            </w:r>
                          </w:p>
                          <w:p w:rsidR="008276DC" w:rsidRPr="0082023E" w:rsidRDefault="008276DC" w:rsidP="00A11F3C">
                            <w:pPr>
                              <w:pStyle w:val="Paragraphedeliste"/>
                              <w:numPr>
                                <w:ilvl w:val="1"/>
                                <w:numId w:val="1593"/>
                              </w:numPr>
                              <w:spacing w:after="0"/>
                              <w:rPr>
                                <w:sz w:val="18"/>
                                <w:szCs w:val="18"/>
                              </w:rPr>
                            </w:pPr>
                            <w:r w:rsidRPr="0082023E">
                              <w:rPr>
                                <w:sz w:val="18"/>
                                <w:szCs w:val="18"/>
                              </w:rPr>
                              <w:t>Pathologique</w:t>
                            </w:r>
                          </w:p>
                          <w:p w:rsidR="008276DC" w:rsidRPr="0082023E" w:rsidRDefault="008276DC" w:rsidP="00A11F3C">
                            <w:pPr>
                              <w:pStyle w:val="Paragraphedeliste"/>
                              <w:numPr>
                                <w:ilvl w:val="1"/>
                                <w:numId w:val="1593"/>
                              </w:numPr>
                              <w:spacing w:after="0"/>
                              <w:rPr>
                                <w:sz w:val="18"/>
                                <w:szCs w:val="18"/>
                              </w:rPr>
                            </w:pPr>
                            <w:r w:rsidRPr="0082023E">
                              <w:rPr>
                                <w:sz w:val="18"/>
                                <w:szCs w:val="18"/>
                              </w:rPr>
                              <w:t>Intra-articulaire</w:t>
                            </w:r>
                          </w:p>
                          <w:p w:rsidR="008276DC" w:rsidRPr="0082023E" w:rsidRDefault="008276DC" w:rsidP="00A11F3C">
                            <w:pPr>
                              <w:pStyle w:val="Paragraphedeliste"/>
                              <w:numPr>
                                <w:ilvl w:val="0"/>
                                <w:numId w:val="1593"/>
                              </w:numPr>
                              <w:spacing w:after="0"/>
                              <w:rPr>
                                <w:sz w:val="18"/>
                                <w:szCs w:val="18"/>
                                <w:u w:val="single"/>
                              </w:rPr>
                            </w:pPr>
                            <w:r w:rsidRPr="0082023E">
                              <w:rPr>
                                <w:sz w:val="18"/>
                                <w:szCs w:val="18"/>
                                <w:u w:val="single"/>
                              </w:rPr>
                              <w:t>Déplacement (segment distal p/r proximal)</w:t>
                            </w:r>
                          </w:p>
                          <w:p w:rsidR="008276DC" w:rsidRPr="0082023E" w:rsidRDefault="008276DC" w:rsidP="00A11F3C">
                            <w:pPr>
                              <w:pStyle w:val="Paragraphedeliste"/>
                              <w:numPr>
                                <w:ilvl w:val="1"/>
                                <w:numId w:val="1593"/>
                              </w:numPr>
                              <w:spacing w:after="0"/>
                              <w:rPr>
                                <w:sz w:val="18"/>
                                <w:szCs w:val="18"/>
                              </w:rPr>
                            </w:pPr>
                            <w:r w:rsidRPr="0082023E">
                              <w:rPr>
                                <w:sz w:val="18"/>
                                <w:szCs w:val="18"/>
                              </w:rPr>
                              <w:t>Non-déplacée</w:t>
                            </w:r>
                          </w:p>
                          <w:p w:rsidR="008276DC" w:rsidRPr="0082023E" w:rsidRDefault="008276DC" w:rsidP="00A11F3C">
                            <w:pPr>
                              <w:pStyle w:val="Paragraphedeliste"/>
                              <w:numPr>
                                <w:ilvl w:val="1"/>
                                <w:numId w:val="1593"/>
                              </w:numPr>
                              <w:spacing w:after="0"/>
                              <w:rPr>
                                <w:sz w:val="18"/>
                                <w:szCs w:val="18"/>
                              </w:rPr>
                            </w:pPr>
                            <w:r w:rsidRPr="0082023E">
                              <w:rPr>
                                <w:sz w:val="18"/>
                                <w:szCs w:val="18"/>
                              </w:rPr>
                              <w:t>Déplacée</w:t>
                            </w:r>
                          </w:p>
                          <w:p w:rsidR="008276DC" w:rsidRPr="0082023E" w:rsidRDefault="008276DC" w:rsidP="00A11F3C">
                            <w:pPr>
                              <w:pStyle w:val="Paragraphedeliste"/>
                              <w:numPr>
                                <w:ilvl w:val="1"/>
                                <w:numId w:val="1593"/>
                              </w:numPr>
                              <w:spacing w:after="0"/>
                              <w:rPr>
                                <w:sz w:val="18"/>
                                <w:szCs w:val="18"/>
                              </w:rPr>
                            </w:pPr>
                            <w:r w:rsidRPr="0082023E">
                              <w:rPr>
                                <w:sz w:val="18"/>
                                <w:szCs w:val="18"/>
                              </w:rPr>
                              <w:t>Rétractée (espace)</w:t>
                            </w:r>
                          </w:p>
                          <w:p w:rsidR="008276DC" w:rsidRPr="0082023E" w:rsidRDefault="008276DC" w:rsidP="00A11F3C">
                            <w:pPr>
                              <w:pStyle w:val="Paragraphedeliste"/>
                              <w:numPr>
                                <w:ilvl w:val="1"/>
                                <w:numId w:val="1593"/>
                              </w:numPr>
                              <w:spacing w:after="0"/>
                              <w:rPr>
                                <w:sz w:val="18"/>
                                <w:szCs w:val="18"/>
                              </w:rPr>
                            </w:pPr>
                            <w:r w:rsidRPr="0082023E">
                              <w:rPr>
                                <w:sz w:val="18"/>
                                <w:szCs w:val="18"/>
                              </w:rPr>
                              <w:t>Impactée</w:t>
                            </w:r>
                          </w:p>
                          <w:p w:rsidR="008276DC" w:rsidRPr="0082023E" w:rsidRDefault="008276DC" w:rsidP="00A11F3C">
                            <w:pPr>
                              <w:pStyle w:val="Paragraphedeliste"/>
                              <w:numPr>
                                <w:ilvl w:val="1"/>
                                <w:numId w:val="1593"/>
                              </w:numPr>
                              <w:spacing w:after="0"/>
                              <w:rPr>
                                <w:sz w:val="18"/>
                                <w:szCs w:val="18"/>
                              </w:rPr>
                            </w:pPr>
                            <w:r w:rsidRPr="0082023E">
                              <w:rPr>
                                <w:sz w:val="18"/>
                                <w:szCs w:val="18"/>
                              </w:rPr>
                              <w:t>Angulée</w:t>
                            </w:r>
                          </w:p>
                          <w:p w:rsidR="008276DC" w:rsidRPr="0082023E" w:rsidRDefault="008276DC" w:rsidP="00A11F3C">
                            <w:pPr>
                              <w:pStyle w:val="Paragraphedeliste"/>
                              <w:numPr>
                                <w:ilvl w:val="1"/>
                                <w:numId w:val="1593"/>
                              </w:numPr>
                              <w:spacing w:after="0"/>
                              <w:rPr>
                                <w:sz w:val="18"/>
                                <w:szCs w:val="18"/>
                              </w:rPr>
                            </w:pPr>
                            <w:r w:rsidRPr="0082023E">
                              <w:rPr>
                                <w:sz w:val="18"/>
                                <w:szCs w:val="18"/>
                              </w:rPr>
                              <w:t>Chevauchement</w:t>
                            </w:r>
                          </w:p>
                          <w:p w:rsidR="008276DC" w:rsidRPr="0082023E" w:rsidRDefault="008276DC" w:rsidP="00A11F3C">
                            <w:pPr>
                              <w:pStyle w:val="Paragraphedeliste"/>
                              <w:numPr>
                                <w:ilvl w:val="1"/>
                                <w:numId w:val="1593"/>
                              </w:numPr>
                              <w:spacing w:after="0"/>
                              <w:rPr>
                                <w:sz w:val="18"/>
                                <w:szCs w:val="18"/>
                              </w:rPr>
                            </w:pPr>
                            <w:r w:rsidRPr="0082023E">
                              <w:rPr>
                                <w:sz w:val="18"/>
                                <w:szCs w:val="18"/>
                              </w:rPr>
                              <w:t>Rotation</w:t>
                            </w:r>
                          </w:p>
                          <w:p w:rsidR="008276DC" w:rsidRDefault="008276DC">
                            <w:pPr>
                              <w:rPr>
                                <w:sz w:val="18"/>
                                <w:szCs w:val="18"/>
                              </w:rPr>
                            </w:pPr>
                          </w:p>
                          <w:p w:rsidR="008276DC" w:rsidRPr="0082023E" w:rsidRDefault="008276DC">
                            <w:pPr>
                              <w:rPr>
                                <w:sz w:val="18"/>
                                <w:szCs w:val="18"/>
                              </w:rPr>
                            </w:pPr>
                            <w:r>
                              <w:rPr>
                                <w:sz w:val="18"/>
                                <w:szCs w:val="18"/>
                              </w:rPr>
                              <w:t>Ex : Facture fermée simple, transverse du tiers proximal de la diaphyse humérale avec déplacement latéral</w:t>
                            </w:r>
                          </w:p>
                          <w:p w:rsidR="008276DC" w:rsidRPr="0082023E" w:rsidRDefault="008276DC">
                            <w:pPr>
                              <w:rPr>
                                <w:sz w:val="18"/>
                                <w:szCs w:val="18"/>
                              </w:rPr>
                            </w:pPr>
                          </w:p>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 id="_x0000_s1078" type="#_x0000_t202" style="position:absolute;margin-left:295.4pt;margin-top:-17.05pt;width:186.95pt;height:397.5pt;z-index:252274688;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" fillcolor="#95b3d7 [1940]">
                <v:textbox>
                  <w:txbxContent>
                    <w:p w:rsidR="008276DC" w:rsidRPr="0082023E" w:rsidRDefault="008276DC" w:rsidP="0082023E">
                      <w:pPr>
                        <w:spacing w:after="0"/>
                        <w:jc w:val="center"/>
                        <w:rPr>
                          <w:b/>
                          <w:sz w:val="18"/>
                          <w:szCs w:val="18"/>
                        </w:rPr>
                      </w:pPr>
                      <w:r w:rsidRPr="0082023E">
                        <w:rPr>
                          <w:b/>
                          <w:sz w:val="18"/>
                          <w:szCs w:val="18"/>
                        </w:rPr>
                        <w:t>Description d’une fracture</w:t>
                      </w:r>
                    </w:p>
                    <w:p w:rsidR="008276DC" w:rsidRPr="0082023E" w:rsidRDefault="008276DC" w:rsidP="00A11F3C">
                      <w:pPr>
                        <w:pStyle w:val="Paragraphedeliste"/>
                        <w:numPr>
                          <w:ilvl w:val="0"/>
                          <w:numId w:val="1593"/>
                        </w:numPr>
                        <w:spacing w:after="0"/>
                        <w:rPr>
                          <w:sz w:val="18"/>
                          <w:szCs w:val="18"/>
                          <w:u w:val="single"/>
                        </w:rPr>
                      </w:pPr>
                      <w:r w:rsidRPr="0082023E">
                        <w:rPr>
                          <w:sz w:val="18"/>
                          <w:szCs w:val="18"/>
                          <w:u w:val="single"/>
                        </w:rPr>
                        <w:t>Ouverte ou fermée</w:t>
                      </w:r>
                    </w:p>
                    <w:p w:rsidR="008276DC" w:rsidRPr="0082023E" w:rsidRDefault="008276DC" w:rsidP="00A11F3C">
                      <w:pPr>
                        <w:pStyle w:val="Paragraphedeliste"/>
                        <w:numPr>
                          <w:ilvl w:val="0"/>
                          <w:numId w:val="1593"/>
                        </w:numPr>
                        <w:spacing w:after="0"/>
                        <w:rPr>
                          <w:sz w:val="18"/>
                          <w:szCs w:val="18"/>
                          <w:u w:val="single"/>
                        </w:rPr>
                      </w:pPr>
                      <w:r w:rsidRPr="0082023E">
                        <w:rPr>
                          <w:sz w:val="18"/>
                          <w:szCs w:val="18"/>
                          <w:u w:val="single"/>
                        </w:rPr>
                        <w:t>Nom de l’os</w:t>
                      </w:r>
                    </w:p>
                    <w:p w:rsidR="008276DC" w:rsidRPr="0082023E" w:rsidRDefault="008276DC" w:rsidP="00A11F3C">
                      <w:pPr>
                        <w:pStyle w:val="Paragraphedeliste"/>
                        <w:numPr>
                          <w:ilvl w:val="0"/>
                          <w:numId w:val="1593"/>
                        </w:numPr>
                        <w:spacing w:after="0"/>
                        <w:rPr>
                          <w:sz w:val="18"/>
                          <w:szCs w:val="18"/>
                          <w:u w:val="single"/>
                        </w:rPr>
                      </w:pPr>
                      <w:r w:rsidRPr="0082023E">
                        <w:rPr>
                          <w:sz w:val="18"/>
                          <w:szCs w:val="18"/>
                          <w:u w:val="single"/>
                        </w:rPr>
                        <w:t>Localisation</w:t>
                      </w:r>
                    </w:p>
                    <w:p w:rsidR="008276DC" w:rsidRPr="0082023E" w:rsidRDefault="008276DC" w:rsidP="00A11F3C">
                      <w:pPr>
                        <w:pStyle w:val="Paragraphedeliste"/>
                        <w:numPr>
                          <w:ilvl w:val="1"/>
                          <w:numId w:val="1593"/>
                        </w:numPr>
                        <w:spacing w:after="0"/>
                        <w:rPr>
                          <w:sz w:val="18"/>
                          <w:szCs w:val="18"/>
                        </w:rPr>
                      </w:pPr>
                      <w:r w:rsidRPr="0082023E">
                        <w:rPr>
                          <w:sz w:val="18"/>
                          <w:szCs w:val="18"/>
                        </w:rPr>
                        <w:t>Épiphyse</w:t>
                      </w:r>
                    </w:p>
                    <w:p w:rsidR="008276DC" w:rsidRPr="0082023E" w:rsidRDefault="008276DC" w:rsidP="00A11F3C">
                      <w:pPr>
                        <w:pStyle w:val="Paragraphedeliste"/>
                        <w:numPr>
                          <w:ilvl w:val="1"/>
                          <w:numId w:val="1593"/>
                        </w:numPr>
                        <w:spacing w:after="0"/>
                        <w:rPr>
                          <w:sz w:val="18"/>
                          <w:szCs w:val="18"/>
                        </w:rPr>
                      </w:pPr>
                      <w:r w:rsidRPr="0082023E">
                        <w:rPr>
                          <w:sz w:val="18"/>
                          <w:szCs w:val="18"/>
                        </w:rPr>
                        <w:t>Physe</w:t>
                      </w:r>
                    </w:p>
                    <w:p w:rsidR="008276DC" w:rsidRPr="0082023E" w:rsidRDefault="008276DC" w:rsidP="00A11F3C">
                      <w:pPr>
                        <w:pStyle w:val="Paragraphedeliste"/>
                        <w:numPr>
                          <w:ilvl w:val="1"/>
                          <w:numId w:val="1593"/>
                        </w:numPr>
                        <w:spacing w:after="0"/>
                        <w:rPr>
                          <w:sz w:val="18"/>
                          <w:szCs w:val="18"/>
                        </w:rPr>
                      </w:pPr>
                      <w:r w:rsidRPr="0082023E">
                        <w:rPr>
                          <w:sz w:val="18"/>
                          <w:szCs w:val="18"/>
                        </w:rPr>
                        <w:t>Métaphyse</w:t>
                      </w:r>
                    </w:p>
                    <w:p w:rsidR="008276DC" w:rsidRPr="0082023E" w:rsidRDefault="008276DC" w:rsidP="00A11F3C">
                      <w:pPr>
                        <w:pStyle w:val="Paragraphedeliste"/>
                        <w:numPr>
                          <w:ilvl w:val="1"/>
                          <w:numId w:val="1593"/>
                        </w:numPr>
                        <w:spacing w:after="0"/>
                        <w:rPr>
                          <w:sz w:val="18"/>
                          <w:szCs w:val="18"/>
                        </w:rPr>
                      </w:pPr>
                      <w:r w:rsidRPr="0082023E">
                        <w:rPr>
                          <w:sz w:val="18"/>
                          <w:szCs w:val="18"/>
                        </w:rPr>
                        <w:t>Diaphyse</w:t>
                      </w:r>
                    </w:p>
                    <w:p w:rsidR="008276DC" w:rsidRPr="0082023E" w:rsidRDefault="008276DC" w:rsidP="00A11F3C">
                      <w:pPr>
                        <w:pStyle w:val="Paragraphedeliste"/>
                        <w:numPr>
                          <w:ilvl w:val="0"/>
                          <w:numId w:val="1593"/>
                        </w:numPr>
                        <w:spacing w:after="0"/>
                        <w:rPr>
                          <w:sz w:val="18"/>
                          <w:szCs w:val="18"/>
                          <w:u w:val="single"/>
                        </w:rPr>
                      </w:pPr>
                      <w:r w:rsidRPr="0082023E">
                        <w:rPr>
                          <w:sz w:val="18"/>
                          <w:szCs w:val="18"/>
                          <w:u w:val="single"/>
                        </w:rPr>
                        <w:t>Nombre de fragments</w:t>
                      </w:r>
                    </w:p>
                    <w:p w:rsidR="008276DC" w:rsidRPr="0082023E" w:rsidRDefault="008276DC" w:rsidP="00A11F3C">
                      <w:pPr>
                        <w:pStyle w:val="Paragraphedeliste"/>
                        <w:numPr>
                          <w:ilvl w:val="1"/>
                          <w:numId w:val="1593"/>
                        </w:numPr>
                        <w:spacing w:after="0"/>
                        <w:rPr>
                          <w:sz w:val="18"/>
                          <w:szCs w:val="18"/>
                        </w:rPr>
                      </w:pPr>
                      <w:r w:rsidRPr="0082023E">
                        <w:rPr>
                          <w:sz w:val="18"/>
                          <w:szCs w:val="18"/>
                        </w:rPr>
                        <w:t>Simple</w:t>
                      </w:r>
                    </w:p>
                    <w:p w:rsidR="008276DC" w:rsidRPr="0082023E" w:rsidRDefault="008276DC" w:rsidP="00A11F3C">
                      <w:pPr>
                        <w:pStyle w:val="Paragraphedeliste"/>
                        <w:numPr>
                          <w:ilvl w:val="1"/>
                          <w:numId w:val="1593"/>
                        </w:numPr>
                        <w:spacing w:after="0"/>
                        <w:rPr>
                          <w:sz w:val="18"/>
                          <w:szCs w:val="18"/>
                        </w:rPr>
                      </w:pPr>
                      <w:r w:rsidRPr="0082023E">
                        <w:rPr>
                          <w:sz w:val="18"/>
                          <w:szCs w:val="18"/>
                        </w:rPr>
                        <w:t>Comminutive (</w:t>
                      </w:r>
                      <w:r w:rsidRPr="0082023E">
                        <w:rPr>
                          <w:rFonts w:ascii="Century Gothic" w:hAnsi="Century Gothic"/>
                          <w:sz w:val="18"/>
                          <w:szCs w:val="18"/>
                        </w:rPr>
                        <w:t>&gt;</w:t>
                      </w:r>
                      <w:r w:rsidRPr="0082023E">
                        <w:rPr>
                          <w:sz w:val="18"/>
                          <w:szCs w:val="18"/>
                        </w:rPr>
                        <w:t xml:space="preserve"> 2)</w:t>
                      </w:r>
                    </w:p>
                    <w:p w:rsidR="008276DC" w:rsidRPr="0082023E" w:rsidRDefault="008276DC" w:rsidP="00A11F3C">
                      <w:pPr>
                        <w:pStyle w:val="Paragraphedeliste"/>
                        <w:numPr>
                          <w:ilvl w:val="0"/>
                          <w:numId w:val="1593"/>
                        </w:numPr>
                        <w:spacing w:after="0"/>
                        <w:rPr>
                          <w:sz w:val="18"/>
                          <w:szCs w:val="18"/>
                          <w:u w:val="single"/>
                        </w:rPr>
                      </w:pPr>
                      <w:r w:rsidRPr="0082023E">
                        <w:rPr>
                          <w:sz w:val="18"/>
                          <w:szCs w:val="18"/>
                          <w:u w:val="single"/>
                        </w:rPr>
                        <w:t>Type de fracture</w:t>
                      </w:r>
                    </w:p>
                    <w:p w:rsidR="008276DC" w:rsidRPr="0082023E" w:rsidRDefault="008276DC" w:rsidP="00A11F3C">
                      <w:pPr>
                        <w:pStyle w:val="Paragraphedeliste"/>
                        <w:numPr>
                          <w:ilvl w:val="1"/>
                          <w:numId w:val="1593"/>
                        </w:numPr>
                        <w:spacing w:after="0"/>
                        <w:rPr>
                          <w:sz w:val="18"/>
                          <w:szCs w:val="18"/>
                        </w:rPr>
                      </w:pPr>
                      <w:r w:rsidRPr="0082023E">
                        <w:rPr>
                          <w:sz w:val="18"/>
                          <w:szCs w:val="18"/>
                        </w:rPr>
                        <w:t>Transverse</w:t>
                      </w:r>
                    </w:p>
                    <w:p w:rsidR="008276DC" w:rsidRPr="0082023E" w:rsidRDefault="008276DC" w:rsidP="00A11F3C">
                      <w:pPr>
                        <w:pStyle w:val="Paragraphedeliste"/>
                        <w:numPr>
                          <w:ilvl w:val="1"/>
                          <w:numId w:val="1593"/>
                        </w:numPr>
                        <w:spacing w:after="0"/>
                        <w:rPr>
                          <w:sz w:val="18"/>
                          <w:szCs w:val="18"/>
                        </w:rPr>
                      </w:pPr>
                      <w:r w:rsidRPr="0082023E">
                        <w:rPr>
                          <w:sz w:val="18"/>
                          <w:szCs w:val="18"/>
                        </w:rPr>
                        <w:t>Oblique</w:t>
                      </w:r>
                    </w:p>
                    <w:p w:rsidR="008276DC" w:rsidRPr="0082023E" w:rsidRDefault="008276DC" w:rsidP="00A11F3C">
                      <w:pPr>
                        <w:pStyle w:val="Paragraphedeliste"/>
                        <w:numPr>
                          <w:ilvl w:val="1"/>
                          <w:numId w:val="1593"/>
                        </w:numPr>
                        <w:spacing w:after="0"/>
                        <w:rPr>
                          <w:sz w:val="18"/>
                          <w:szCs w:val="18"/>
                        </w:rPr>
                      </w:pPr>
                      <w:r w:rsidRPr="0082023E">
                        <w:rPr>
                          <w:sz w:val="18"/>
                          <w:szCs w:val="18"/>
                        </w:rPr>
                        <w:t>Spiralée, en torus</w:t>
                      </w:r>
                    </w:p>
                    <w:p w:rsidR="008276DC" w:rsidRPr="0082023E" w:rsidRDefault="008276DC" w:rsidP="00A11F3C">
                      <w:pPr>
                        <w:pStyle w:val="Paragraphedeliste"/>
                        <w:numPr>
                          <w:ilvl w:val="1"/>
                          <w:numId w:val="1593"/>
                        </w:numPr>
                        <w:spacing w:after="0"/>
                        <w:rPr>
                          <w:sz w:val="18"/>
                          <w:szCs w:val="18"/>
                        </w:rPr>
                      </w:pPr>
                      <w:r w:rsidRPr="0082023E">
                        <w:rPr>
                          <w:sz w:val="18"/>
                          <w:szCs w:val="18"/>
                        </w:rPr>
                        <w:t>Segmentaire</w:t>
                      </w:r>
                    </w:p>
                    <w:p w:rsidR="008276DC" w:rsidRPr="0082023E" w:rsidRDefault="008276DC" w:rsidP="00A11F3C">
                      <w:pPr>
                        <w:pStyle w:val="Paragraphedeliste"/>
                        <w:numPr>
                          <w:ilvl w:val="1"/>
                          <w:numId w:val="1593"/>
                        </w:numPr>
                        <w:spacing w:after="0"/>
                        <w:rPr>
                          <w:sz w:val="18"/>
                          <w:szCs w:val="18"/>
                        </w:rPr>
                      </w:pPr>
                      <w:r w:rsidRPr="0082023E">
                        <w:rPr>
                          <w:sz w:val="18"/>
                          <w:szCs w:val="18"/>
                        </w:rPr>
                        <w:t>Avulsion</w:t>
                      </w:r>
                    </w:p>
                    <w:p w:rsidR="008276DC" w:rsidRPr="0082023E" w:rsidRDefault="008276DC" w:rsidP="00A11F3C">
                      <w:pPr>
                        <w:pStyle w:val="Paragraphedeliste"/>
                        <w:numPr>
                          <w:ilvl w:val="1"/>
                          <w:numId w:val="1593"/>
                        </w:numPr>
                        <w:spacing w:after="0"/>
                        <w:rPr>
                          <w:sz w:val="18"/>
                          <w:szCs w:val="18"/>
                        </w:rPr>
                      </w:pPr>
                      <w:r w:rsidRPr="0082023E">
                        <w:rPr>
                          <w:sz w:val="18"/>
                          <w:szCs w:val="18"/>
                        </w:rPr>
                        <w:t>En bois vert (pli)</w:t>
                      </w:r>
                    </w:p>
                    <w:p w:rsidR="008276DC" w:rsidRPr="0082023E" w:rsidRDefault="008276DC" w:rsidP="00A11F3C">
                      <w:pPr>
                        <w:pStyle w:val="Paragraphedeliste"/>
                        <w:numPr>
                          <w:ilvl w:val="1"/>
                          <w:numId w:val="1593"/>
                        </w:numPr>
                        <w:spacing w:after="0"/>
                        <w:rPr>
                          <w:sz w:val="18"/>
                          <w:szCs w:val="18"/>
                        </w:rPr>
                      </w:pPr>
                      <w:r w:rsidRPr="0082023E">
                        <w:rPr>
                          <w:sz w:val="18"/>
                          <w:szCs w:val="18"/>
                        </w:rPr>
                        <w:t>Pathologique</w:t>
                      </w:r>
                    </w:p>
                    <w:p w:rsidR="008276DC" w:rsidRPr="0082023E" w:rsidRDefault="008276DC" w:rsidP="00A11F3C">
                      <w:pPr>
                        <w:pStyle w:val="Paragraphedeliste"/>
                        <w:numPr>
                          <w:ilvl w:val="1"/>
                          <w:numId w:val="1593"/>
                        </w:numPr>
                        <w:spacing w:after="0"/>
                        <w:rPr>
                          <w:sz w:val="18"/>
                          <w:szCs w:val="18"/>
                        </w:rPr>
                      </w:pPr>
                      <w:r w:rsidRPr="0082023E">
                        <w:rPr>
                          <w:sz w:val="18"/>
                          <w:szCs w:val="18"/>
                        </w:rPr>
                        <w:t>Intra-articulaire</w:t>
                      </w:r>
                    </w:p>
                    <w:p w:rsidR="008276DC" w:rsidRPr="0082023E" w:rsidRDefault="008276DC" w:rsidP="00A11F3C">
                      <w:pPr>
                        <w:pStyle w:val="Paragraphedeliste"/>
                        <w:numPr>
                          <w:ilvl w:val="0"/>
                          <w:numId w:val="1593"/>
                        </w:numPr>
                        <w:spacing w:after="0"/>
                        <w:rPr>
                          <w:sz w:val="18"/>
                          <w:szCs w:val="18"/>
                          <w:u w:val="single"/>
                        </w:rPr>
                      </w:pPr>
                      <w:r w:rsidRPr="0082023E">
                        <w:rPr>
                          <w:sz w:val="18"/>
                          <w:szCs w:val="18"/>
                          <w:u w:val="single"/>
                        </w:rPr>
                        <w:t>Déplacement (segment distal p/r proximal)</w:t>
                      </w:r>
                    </w:p>
                    <w:p w:rsidR="008276DC" w:rsidRPr="0082023E" w:rsidRDefault="008276DC" w:rsidP="00A11F3C">
                      <w:pPr>
                        <w:pStyle w:val="Paragraphedeliste"/>
                        <w:numPr>
                          <w:ilvl w:val="1"/>
                          <w:numId w:val="1593"/>
                        </w:numPr>
                        <w:spacing w:after="0"/>
                        <w:rPr>
                          <w:sz w:val="18"/>
                          <w:szCs w:val="18"/>
                        </w:rPr>
                      </w:pPr>
                      <w:r w:rsidRPr="0082023E">
                        <w:rPr>
                          <w:sz w:val="18"/>
                          <w:szCs w:val="18"/>
                        </w:rPr>
                        <w:t>Non-déplacée</w:t>
                      </w:r>
                    </w:p>
                    <w:p w:rsidR="008276DC" w:rsidRPr="0082023E" w:rsidRDefault="008276DC" w:rsidP="00A11F3C">
                      <w:pPr>
                        <w:pStyle w:val="Paragraphedeliste"/>
                        <w:numPr>
                          <w:ilvl w:val="1"/>
                          <w:numId w:val="1593"/>
                        </w:numPr>
                        <w:spacing w:after="0"/>
                        <w:rPr>
                          <w:sz w:val="18"/>
                          <w:szCs w:val="18"/>
                        </w:rPr>
                      </w:pPr>
                      <w:r w:rsidRPr="0082023E">
                        <w:rPr>
                          <w:sz w:val="18"/>
                          <w:szCs w:val="18"/>
                        </w:rPr>
                        <w:t>Déplacée</w:t>
                      </w:r>
                    </w:p>
                    <w:p w:rsidR="008276DC" w:rsidRPr="0082023E" w:rsidRDefault="008276DC" w:rsidP="00A11F3C">
                      <w:pPr>
                        <w:pStyle w:val="Paragraphedeliste"/>
                        <w:numPr>
                          <w:ilvl w:val="1"/>
                          <w:numId w:val="1593"/>
                        </w:numPr>
                        <w:spacing w:after="0"/>
                        <w:rPr>
                          <w:sz w:val="18"/>
                          <w:szCs w:val="18"/>
                        </w:rPr>
                      </w:pPr>
                      <w:r w:rsidRPr="0082023E">
                        <w:rPr>
                          <w:sz w:val="18"/>
                          <w:szCs w:val="18"/>
                        </w:rPr>
                        <w:t>Rétractée (espace)</w:t>
                      </w:r>
                    </w:p>
                    <w:p w:rsidR="008276DC" w:rsidRPr="0082023E" w:rsidRDefault="008276DC" w:rsidP="00A11F3C">
                      <w:pPr>
                        <w:pStyle w:val="Paragraphedeliste"/>
                        <w:numPr>
                          <w:ilvl w:val="1"/>
                          <w:numId w:val="1593"/>
                        </w:numPr>
                        <w:spacing w:after="0"/>
                        <w:rPr>
                          <w:sz w:val="18"/>
                          <w:szCs w:val="18"/>
                        </w:rPr>
                      </w:pPr>
                      <w:r w:rsidRPr="0082023E">
                        <w:rPr>
                          <w:sz w:val="18"/>
                          <w:szCs w:val="18"/>
                        </w:rPr>
                        <w:t>Impactée</w:t>
                      </w:r>
                    </w:p>
                    <w:p w:rsidR="008276DC" w:rsidRPr="0082023E" w:rsidRDefault="008276DC" w:rsidP="00A11F3C">
                      <w:pPr>
                        <w:pStyle w:val="Paragraphedeliste"/>
                        <w:numPr>
                          <w:ilvl w:val="1"/>
                          <w:numId w:val="1593"/>
                        </w:numPr>
                        <w:spacing w:after="0"/>
                        <w:rPr>
                          <w:sz w:val="18"/>
                          <w:szCs w:val="18"/>
                        </w:rPr>
                      </w:pPr>
                      <w:r w:rsidRPr="0082023E">
                        <w:rPr>
                          <w:sz w:val="18"/>
                          <w:szCs w:val="18"/>
                        </w:rPr>
                        <w:t>Angulée</w:t>
                      </w:r>
                    </w:p>
                    <w:p w:rsidR="008276DC" w:rsidRPr="0082023E" w:rsidRDefault="008276DC" w:rsidP="00A11F3C">
                      <w:pPr>
                        <w:pStyle w:val="Paragraphedeliste"/>
                        <w:numPr>
                          <w:ilvl w:val="1"/>
                          <w:numId w:val="1593"/>
                        </w:numPr>
                        <w:spacing w:after="0"/>
                        <w:rPr>
                          <w:sz w:val="18"/>
                          <w:szCs w:val="18"/>
                        </w:rPr>
                      </w:pPr>
                      <w:r w:rsidRPr="0082023E">
                        <w:rPr>
                          <w:sz w:val="18"/>
                          <w:szCs w:val="18"/>
                        </w:rPr>
                        <w:t>Chevauchement</w:t>
                      </w:r>
                    </w:p>
                    <w:p w:rsidR="008276DC" w:rsidRPr="0082023E" w:rsidRDefault="008276DC" w:rsidP="00A11F3C">
                      <w:pPr>
                        <w:pStyle w:val="Paragraphedeliste"/>
                        <w:numPr>
                          <w:ilvl w:val="1"/>
                          <w:numId w:val="1593"/>
                        </w:numPr>
                        <w:spacing w:after="0"/>
                        <w:rPr>
                          <w:sz w:val="18"/>
                          <w:szCs w:val="18"/>
                        </w:rPr>
                      </w:pPr>
                      <w:r w:rsidRPr="0082023E">
                        <w:rPr>
                          <w:sz w:val="18"/>
                          <w:szCs w:val="18"/>
                        </w:rPr>
                        <w:t>Rotation</w:t>
                      </w:r>
                    </w:p>
                    <w:p w:rsidR="008276DC" w:rsidRDefault="008276DC">
                      <w:pPr>
                        <w:rPr>
                          <w:sz w:val="18"/>
                          <w:szCs w:val="18"/>
                        </w:rPr>
                      </w:pPr>
                    </w:p>
                    <w:p w:rsidR="008276DC" w:rsidRPr="0082023E" w:rsidRDefault="008276DC">
                      <w:pPr>
                        <w:rPr>
                          <w:sz w:val="18"/>
                          <w:szCs w:val="18"/>
                        </w:rPr>
                      </w:pPr>
                      <w:r>
                        <w:rPr>
                          <w:sz w:val="18"/>
                          <w:szCs w:val="18"/>
                        </w:rPr>
                        <w:t>Ex : Facture fermée simple, transverse du tiers proximal de la diaphyse humérale avec déplacement latéral</w:t>
                      </w:r>
                    </w:p>
                    <w:p w:rsidR="008276DC" w:rsidRPr="0082023E" w:rsidRDefault="008276DC">
                      <w:pPr>
                        <w:rPr>
                          <w:sz w:val="18"/>
                          <w:szCs w:val="18"/>
                        </w:rPr>
                      </w:pPr>
                    </w:p>
                  </w:txbxContent>
                </v:textbox>
              </v:shape>
            </w:pict>
          </mc:Fallback>
        </mc:AlternateContent>
      </w:r>
      <w:r w:rsidR="00D4283C" w:rsidRPr="00D4283C">
        <w:rPr>
          <w:b/>
          <w:sz w:val="28"/>
          <w:szCs w:val="28"/>
        </w:rPr>
        <w:t>Prise en charge</w:t>
      </w:r>
    </w:p>
    <w:p w:rsidR="00D4283C" w:rsidRDefault="00D4283C" w:rsidP="00D4283C">
      <w:pPr>
        <w:pStyle w:val="Sansinterligne"/>
      </w:pPr>
    </w:p>
    <w:p w:rsidR="00D4283C" w:rsidRPr="007E4467" w:rsidRDefault="00D4283C" w:rsidP="00D4283C">
      <w:pPr>
        <w:pStyle w:val="Sansinterligne"/>
        <w:rPr>
          <w:b/>
        </w:rPr>
      </w:pPr>
      <w:r w:rsidRPr="007E4467">
        <w:rPr>
          <w:b/>
        </w:rPr>
        <w:t>Syndrome grippal</w:t>
      </w:r>
    </w:p>
    <w:p w:rsidR="00D4283C" w:rsidRDefault="00D4283C" w:rsidP="00A11F3C">
      <w:pPr>
        <w:pStyle w:val="Sansinterligne"/>
        <w:numPr>
          <w:ilvl w:val="0"/>
          <w:numId w:val="1603"/>
        </w:numPr>
      </w:pPr>
      <w:r>
        <w:t>Traitement de l’affection sous-jacente</w:t>
      </w:r>
    </w:p>
    <w:p w:rsidR="00D4283C" w:rsidRDefault="00D4283C" w:rsidP="00A11F3C">
      <w:pPr>
        <w:pStyle w:val="Sansinterligne"/>
        <w:numPr>
          <w:ilvl w:val="0"/>
          <w:numId w:val="1603"/>
        </w:numPr>
      </w:pPr>
      <w:r>
        <w:t>Analgésie PRN</w:t>
      </w:r>
    </w:p>
    <w:p w:rsidR="00740222" w:rsidRDefault="00740222" w:rsidP="00A11F3C">
      <w:pPr>
        <w:pStyle w:val="Sansinterligne"/>
        <w:numPr>
          <w:ilvl w:val="0"/>
          <w:numId w:val="1603"/>
        </w:numPr>
      </w:pPr>
      <w:r>
        <w:t>Rassurer le patient</w:t>
      </w:r>
    </w:p>
    <w:p w:rsidR="00D4283C" w:rsidRDefault="00D4283C" w:rsidP="00D4283C">
      <w:pPr>
        <w:pStyle w:val="Sansinterligne"/>
      </w:pPr>
    </w:p>
    <w:p w:rsidR="00D4283C" w:rsidRPr="00C04F27" w:rsidRDefault="00D4283C" w:rsidP="00D4283C">
      <w:pPr>
        <w:pStyle w:val="Sansinterligne"/>
        <w:rPr>
          <w:b/>
          <w:highlight w:val="yellow"/>
        </w:rPr>
      </w:pPr>
      <w:r w:rsidRPr="00C04F27">
        <w:rPr>
          <w:b/>
          <w:highlight w:val="yellow"/>
        </w:rPr>
        <w:t>Polymyalgia rheumatica</w:t>
      </w:r>
    </w:p>
    <w:p w:rsidR="003500C5" w:rsidRPr="00C04F27" w:rsidRDefault="003500C5" w:rsidP="00A11F3C">
      <w:pPr>
        <w:pStyle w:val="Sansinterligne"/>
        <w:numPr>
          <w:ilvl w:val="0"/>
          <w:numId w:val="1604"/>
        </w:numPr>
        <w:rPr>
          <w:highlight w:val="yellow"/>
        </w:rPr>
      </w:pPr>
      <w:r w:rsidRPr="00C04F27">
        <w:rPr>
          <w:highlight w:val="yellow"/>
        </w:rPr>
        <w:t xml:space="preserve">Référence en rhumatologie </w:t>
      </w:r>
    </w:p>
    <w:p w:rsidR="005C448B" w:rsidRPr="00C04F27" w:rsidRDefault="005C448B" w:rsidP="00A11F3C">
      <w:pPr>
        <w:pStyle w:val="Sansinterligne"/>
        <w:numPr>
          <w:ilvl w:val="0"/>
          <w:numId w:val="1604"/>
        </w:numPr>
        <w:rPr>
          <w:highlight w:val="yellow"/>
        </w:rPr>
      </w:pPr>
      <w:r w:rsidRPr="00C04F27">
        <w:rPr>
          <w:highlight w:val="yellow"/>
        </w:rPr>
        <w:t>Prednisone 15-20 mg PO DIE x quelques semaines</w:t>
      </w:r>
    </w:p>
    <w:p w:rsidR="005C448B" w:rsidRPr="00C04F27" w:rsidRDefault="005C448B" w:rsidP="00A11F3C">
      <w:pPr>
        <w:pStyle w:val="Sansinterligne"/>
        <w:numPr>
          <w:ilvl w:val="1"/>
          <w:numId w:val="1604"/>
        </w:numPr>
        <w:rPr>
          <w:highlight w:val="yellow"/>
        </w:rPr>
      </w:pPr>
      <w:r w:rsidRPr="00C04F27">
        <w:rPr>
          <w:highlight w:val="yellow"/>
        </w:rPr>
        <w:t>Réduire progressivement la dose sur 2 ans</w:t>
      </w:r>
    </w:p>
    <w:p w:rsidR="005C448B" w:rsidRPr="00C04F27" w:rsidRDefault="005C448B" w:rsidP="00A11F3C">
      <w:pPr>
        <w:pStyle w:val="Sansinterligne"/>
        <w:numPr>
          <w:ilvl w:val="0"/>
          <w:numId w:val="1604"/>
        </w:numPr>
        <w:rPr>
          <w:highlight w:val="yellow"/>
        </w:rPr>
      </w:pPr>
      <w:r w:rsidRPr="00C04F27">
        <w:rPr>
          <w:highlight w:val="yellow"/>
        </w:rPr>
        <w:t>Suivi avec VS</w:t>
      </w:r>
    </w:p>
    <w:p w:rsidR="003500C5" w:rsidRPr="00C04F27" w:rsidRDefault="003500C5" w:rsidP="00A11F3C">
      <w:pPr>
        <w:pStyle w:val="Sansinterligne"/>
        <w:numPr>
          <w:ilvl w:val="1"/>
          <w:numId w:val="1604"/>
        </w:numPr>
        <w:rPr>
          <w:highlight w:val="yellow"/>
        </w:rPr>
      </w:pPr>
      <w:r w:rsidRPr="00C04F27">
        <w:rPr>
          <w:highlight w:val="yellow"/>
        </w:rPr>
        <w:t>Traiter les rechutes de douleurs (et non la VS)</w:t>
      </w:r>
    </w:p>
    <w:p w:rsidR="005C448B" w:rsidRPr="00C04F27" w:rsidRDefault="003500C5" w:rsidP="00A11F3C">
      <w:pPr>
        <w:pStyle w:val="Sansinterligne"/>
        <w:numPr>
          <w:ilvl w:val="1"/>
          <w:numId w:val="1604"/>
        </w:numPr>
        <w:ind w:right="5130"/>
        <w:rPr>
          <w:highlight w:val="yellow"/>
        </w:rPr>
      </w:pPr>
      <w:r w:rsidRPr="00C04F27">
        <w:rPr>
          <w:highlight w:val="yellow"/>
        </w:rPr>
        <w:t>Surveiller les effets secondaires des corticoïdes (ostéoporose, infections, etc.)</w:t>
      </w:r>
    </w:p>
    <w:p w:rsidR="005C448B" w:rsidRPr="00740222" w:rsidRDefault="005C448B" w:rsidP="0082023E">
      <w:pPr>
        <w:pStyle w:val="Sansinterligne"/>
        <w:ind w:right="5130"/>
        <w:rPr>
          <w:b/>
          <w:szCs w:val="28"/>
        </w:rPr>
      </w:pPr>
      <w:r w:rsidRPr="00740222">
        <w:rPr>
          <w:b/>
          <w:szCs w:val="28"/>
        </w:rPr>
        <w:t>Fibromyalgie</w:t>
      </w:r>
    </w:p>
    <w:p w:rsidR="005C448B" w:rsidRPr="00740222" w:rsidRDefault="005C448B" w:rsidP="00A11F3C">
      <w:pPr>
        <w:pStyle w:val="Sansinterligne"/>
        <w:numPr>
          <w:ilvl w:val="0"/>
          <w:numId w:val="1605"/>
        </w:numPr>
        <w:ind w:right="5130"/>
        <w:rPr>
          <w:szCs w:val="28"/>
        </w:rPr>
      </w:pPr>
      <w:r w:rsidRPr="00740222">
        <w:rPr>
          <w:szCs w:val="28"/>
        </w:rPr>
        <w:t>Éducation sur la maladie</w:t>
      </w:r>
    </w:p>
    <w:p w:rsidR="005C448B" w:rsidRPr="00740222" w:rsidRDefault="005C448B" w:rsidP="00A11F3C">
      <w:pPr>
        <w:pStyle w:val="Sansinterligne"/>
        <w:numPr>
          <w:ilvl w:val="0"/>
          <w:numId w:val="1605"/>
        </w:numPr>
        <w:ind w:right="5130"/>
        <w:rPr>
          <w:szCs w:val="28"/>
        </w:rPr>
      </w:pPr>
      <w:r w:rsidRPr="00740222">
        <w:rPr>
          <w:szCs w:val="28"/>
        </w:rPr>
        <w:t xml:space="preserve">Programmes d’exercice régulier </w:t>
      </w:r>
      <w:r w:rsidR="00C04F27" w:rsidRPr="00740222">
        <w:rPr>
          <w:szCs w:val="28"/>
        </w:rPr>
        <w:t xml:space="preserve">                                         </w:t>
      </w:r>
      <w:r w:rsidRPr="00740222">
        <w:rPr>
          <w:szCs w:val="28"/>
        </w:rPr>
        <w:t>(marche, natation, étirements)</w:t>
      </w:r>
    </w:p>
    <w:p w:rsidR="005C448B" w:rsidRPr="00740222" w:rsidRDefault="005C448B" w:rsidP="00A11F3C">
      <w:pPr>
        <w:pStyle w:val="Sansinterligne"/>
        <w:numPr>
          <w:ilvl w:val="0"/>
          <w:numId w:val="1605"/>
        </w:numPr>
        <w:ind w:right="5130"/>
        <w:rPr>
          <w:szCs w:val="28"/>
        </w:rPr>
      </w:pPr>
      <w:r w:rsidRPr="00740222">
        <w:rPr>
          <w:szCs w:val="28"/>
        </w:rPr>
        <w:t>Psychothérapie TCC</w:t>
      </w:r>
    </w:p>
    <w:p w:rsidR="003500C5" w:rsidRPr="00740222" w:rsidRDefault="003500C5" w:rsidP="00A11F3C">
      <w:pPr>
        <w:pStyle w:val="Sansinterligne"/>
        <w:numPr>
          <w:ilvl w:val="0"/>
          <w:numId w:val="1605"/>
        </w:numPr>
        <w:ind w:right="5130"/>
        <w:rPr>
          <w:szCs w:val="28"/>
        </w:rPr>
      </w:pPr>
      <w:r w:rsidRPr="00740222">
        <w:rPr>
          <w:szCs w:val="28"/>
        </w:rPr>
        <w:t>Suivi psychiatrique ou médical important</w:t>
      </w:r>
    </w:p>
    <w:p w:rsidR="005C448B" w:rsidRPr="00740222" w:rsidRDefault="005C448B" w:rsidP="00A11F3C">
      <w:pPr>
        <w:pStyle w:val="Sansinterligne"/>
        <w:numPr>
          <w:ilvl w:val="0"/>
          <w:numId w:val="1605"/>
        </w:numPr>
        <w:ind w:right="5130"/>
        <w:rPr>
          <w:szCs w:val="28"/>
        </w:rPr>
      </w:pPr>
      <w:r w:rsidRPr="00740222">
        <w:rPr>
          <w:szCs w:val="28"/>
        </w:rPr>
        <w:t>Essais thérapeutiques :</w:t>
      </w:r>
    </w:p>
    <w:p w:rsidR="005C448B" w:rsidRPr="00740222" w:rsidRDefault="005C448B" w:rsidP="00A11F3C">
      <w:pPr>
        <w:pStyle w:val="Sansinterligne"/>
        <w:numPr>
          <w:ilvl w:val="0"/>
          <w:numId w:val="1590"/>
        </w:numPr>
        <w:ind w:right="5130"/>
        <w:rPr>
          <w:szCs w:val="28"/>
        </w:rPr>
      </w:pPr>
      <w:r w:rsidRPr="00740222">
        <w:rPr>
          <w:szCs w:val="28"/>
        </w:rPr>
        <w:t>Amitryptyline  à faible dose pour le sommeil</w:t>
      </w:r>
    </w:p>
    <w:p w:rsidR="005C448B" w:rsidRPr="00740222" w:rsidRDefault="005C448B" w:rsidP="00A11F3C">
      <w:pPr>
        <w:pStyle w:val="Sansinterligne"/>
        <w:numPr>
          <w:ilvl w:val="0"/>
          <w:numId w:val="1590"/>
        </w:numPr>
        <w:ind w:right="5130"/>
        <w:rPr>
          <w:szCs w:val="28"/>
        </w:rPr>
      </w:pPr>
      <w:r w:rsidRPr="00740222">
        <w:rPr>
          <w:szCs w:val="28"/>
        </w:rPr>
        <w:t>IRSN : Duloxetine</w:t>
      </w:r>
    </w:p>
    <w:p w:rsidR="005C448B" w:rsidRPr="00740222" w:rsidRDefault="005C448B" w:rsidP="00A11F3C">
      <w:pPr>
        <w:pStyle w:val="Sansinterligne"/>
        <w:numPr>
          <w:ilvl w:val="0"/>
          <w:numId w:val="1590"/>
        </w:numPr>
        <w:ind w:right="5130"/>
        <w:rPr>
          <w:szCs w:val="28"/>
        </w:rPr>
      </w:pPr>
      <w:r w:rsidRPr="00740222">
        <w:rPr>
          <w:szCs w:val="28"/>
        </w:rPr>
        <w:t>Pregabalin, gabapentin</w:t>
      </w:r>
    </w:p>
    <w:p w:rsidR="00140785" w:rsidRPr="00740222" w:rsidRDefault="005C448B" w:rsidP="00A11F3C">
      <w:pPr>
        <w:pStyle w:val="Sansinterligne"/>
        <w:numPr>
          <w:ilvl w:val="0"/>
          <w:numId w:val="1590"/>
        </w:numPr>
        <w:ind w:right="5130"/>
        <w:rPr>
          <w:sz w:val="28"/>
          <w:szCs w:val="28"/>
        </w:rPr>
      </w:pPr>
      <w:r w:rsidRPr="00740222">
        <w:rPr>
          <w:szCs w:val="28"/>
        </w:rPr>
        <w:t>AINS</w:t>
      </w:r>
    </w:p>
    <w:p w:rsidR="00140785" w:rsidRDefault="00140785" w:rsidP="0082023E">
      <w:pPr>
        <w:pStyle w:val="Sansinterligne"/>
        <w:ind w:right="5130"/>
        <w:rPr>
          <w:sz w:val="28"/>
          <w:szCs w:val="28"/>
        </w:rPr>
      </w:pPr>
    </w:p>
    <w:p w:rsidR="00140785" w:rsidRPr="00C04F27" w:rsidRDefault="00140785" w:rsidP="0082023E">
      <w:pPr>
        <w:pStyle w:val="Sansinterligne"/>
        <w:ind w:right="5130"/>
        <w:rPr>
          <w:b/>
          <w:highlight w:val="yellow"/>
        </w:rPr>
      </w:pPr>
      <w:r w:rsidRPr="00C04F27">
        <w:rPr>
          <w:b/>
          <w:highlight w:val="yellow"/>
        </w:rPr>
        <w:t>Fracture</w:t>
      </w:r>
    </w:p>
    <w:p w:rsidR="00140785" w:rsidRPr="00740222" w:rsidRDefault="00140785" w:rsidP="00A11F3C">
      <w:pPr>
        <w:pStyle w:val="Sansinterligne"/>
        <w:numPr>
          <w:ilvl w:val="0"/>
          <w:numId w:val="1606"/>
        </w:numPr>
        <w:ind w:right="5130"/>
      </w:pPr>
      <w:r w:rsidRPr="00740222">
        <w:t>ABC</w:t>
      </w:r>
    </w:p>
    <w:p w:rsidR="00140785" w:rsidRPr="00740222" w:rsidRDefault="00140785" w:rsidP="00A11F3C">
      <w:pPr>
        <w:pStyle w:val="Sansinterligne"/>
        <w:numPr>
          <w:ilvl w:val="0"/>
          <w:numId w:val="1606"/>
        </w:numPr>
        <w:ind w:right="4846"/>
      </w:pPr>
      <w:r w:rsidRPr="00740222">
        <w:t>Analgésie (tous les moyens nécessaires)</w:t>
      </w:r>
    </w:p>
    <w:p w:rsidR="00140785" w:rsidRPr="00C04F27" w:rsidRDefault="00C04F27" w:rsidP="00A11F3C">
      <w:pPr>
        <w:pStyle w:val="Sansinterligne"/>
        <w:numPr>
          <w:ilvl w:val="0"/>
          <w:numId w:val="1606"/>
        </w:numPr>
        <w:ind w:right="4846"/>
        <w:rPr>
          <w:highlight w:val="yellow"/>
        </w:rPr>
      </w:pPr>
      <w:r w:rsidRPr="00C04F27">
        <w:rPr>
          <w:noProof/>
          <w:highlight w:val="yellow"/>
          <w:lang w:eastAsia="fr-CA"/>
        </w:rPr>
        <mc:AlternateContent>
          <mc:Choice Requires="wps">
            <w:drawing>
              <wp:anchor distT="0" distB="0" distL="114300" distR="114300" simplePos="0" relativeHeight="252276736" behindDoc="0" locked="0" layoutInCell="1" allowOverlap="1" wp14:anchorId="6B4A0A57" wp14:editId="127BA119">
                <wp:simplePos x="0" y="0"/>
                <wp:positionH relativeFrom="column">
                  <wp:posOffset>3754120</wp:posOffset>
                </wp:positionH>
                <wp:positionV relativeFrom="paragraph">
                  <wp:posOffset>36195</wp:posOffset>
                </wp:positionV>
                <wp:extent cx="2724150" cy="1403985"/>
                <wp:effectExtent l="0" t="0" r="19050" b="20320"/>
                <wp:wrapNone/>
                <wp:docPr id="710"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24150" cy="1403985"/>
                        </a:xfrm>
                        <a:prstGeom prst="rect">
                          <a:avLst/>
                        </a:prstGeom>
                        <a:solidFill>
                          <a:schemeClr val="accent1">
                            <a:lumMod val="60000"/>
                            <a:lumOff val="40000"/>
                          </a:schemeClr>
                        </a:solidFill>
                        <a:ln w="9525">
                          <a:solidFill>
                            <a:srgbClr val="000000"/>
                          </a:solidFill>
                          <a:miter lim="800000"/>
                          <a:headEnd/>
                          <a:tailEnd/>
                        </a:ln>
                      </wps:spPr>
                      <wps:txbx>
                        <w:txbxContent>
                          <w:p w:rsidR="008276DC" w:rsidRPr="004E7B34" w:rsidRDefault="008276DC" w:rsidP="004E7B34">
                            <w:pPr>
                              <w:spacing w:after="0"/>
                              <w:jc w:val="center"/>
                              <w:rPr>
                                <w:b/>
                              </w:rPr>
                            </w:pPr>
                            <w:r w:rsidRPr="004E7B34">
                              <w:rPr>
                                <w:b/>
                              </w:rPr>
                              <w:t xml:space="preserve">Indication de réduction ouverte </w:t>
                            </w:r>
                          </w:p>
                          <w:p w:rsidR="008276DC" w:rsidRDefault="008276DC" w:rsidP="004E7B34">
                            <w:pPr>
                              <w:spacing w:after="0"/>
                            </w:pPr>
                            <w:r w:rsidRPr="004E7B34">
                              <w:rPr>
                                <w:b/>
                              </w:rPr>
                              <w:t>N</w:t>
                            </w:r>
                            <w:r>
                              <w:rPr>
                                <w:b/>
                              </w:rPr>
                              <w:t xml:space="preserve"> </w:t>
                            </w:r>
                            <w:r>
                              <w:t>on-union</w:t>
                            </w:r>
                          </w:p>
                          <w:p w:rsidR="008276DC" w:rsidRDefault="008276DC" w:rsidP="004E7B34">
                            <w:pPr>
                              <w:spacing w:after="0"/>
                            </w:pPr>
                            <w:r w:rsidRPr="004E7B34">
                              <w:rPr>
                                <w:b/>
                              </w:rPr>
                              <w:t>O</w:t>
                            </w:r>
                            <w:r>
                              <w:rPr>
                                <w:b/>
                              </w:rPr>
                              <w:t xml:space="preserve"> </w:t>
                            </w:r>
                            <w:r>
                              <w:t>uverte (fracture)</w:t>
                            </w:r>
                          </w:p>
                          <w:p w:rsidR="008276DC" w:rsidRDefault="008276DC" w:rsidP="004E7B34">
                            <w:pPr>
                              <w:spacing w:after="0"/>
                            </w:pPr>
                            <w:r w:rsidRPr="004E7B34">
                              <w:rPr>
                                <w:b/>
                              </w:rPr>
                              <w:t>C</w:t>
                            </w:r>
                            <w:r>
                              <w:rPr>
                                <w:b/>
                              </w:rPr>
                              <w:t xml:space="preserve"> </w:t>
                            </w:r>
                            <w:r>
                              <w:t>ompromis neurovasculaire</w:t>
                            </w:r>
                          </w:p>
                          <w:p w:rsidR="008276DC" w:rsidRDefault="008276DC" w:rsidP="004E7B34">
                            <w:pPr>
                              <w:spacing w:after="0"/>
                            </w:pPr>
                            <w:r w:rsidRPr="004E7B34">
                              <w:rPr>
                                <w:b/>
                              </w:rPr>
                              <w:t>A</w:t>
                            </w:r>
                            <w:r>
                              <w:rPr>
                                <w:b/>
                              </w:rPr>
                              <w:t xml:space="preserve"> </w:t>
                            </w:r>
                            <w:r>
                              <w:t>rticulaire (fracture)</w:t>
                            </w:r>
                          </w:p>
                          <w:p w:rsidR="008276DC" w:rsidRDefault="008276DC" w:rsidP="004E7B34">
                            <w:pPr>
                              <w:spacing w:after="0"/>
                            </w:pPr>
                            <w:r w:rsidRPr="004E7B34">
                              <w:rPr>
                                <w:b/>
                              </w:rPr>
                              <w:t>S</w:t>
                            </w:r>
                            <w:r>
                              <w:rPr>
                                <w:b/>
                              </w:rPr>
                              <w:t xml:space="preserve"> </w:t>
                            </w:r>
                            <w:r>
                              <w:t>alter-Harris 3-4-5</w:t>
                            </w:r>
                          </w:p>
                          <w:p w:rsidR="008276DC" w:rsidRDefault="008276DC" w:rsidP="004E7B34">
                            <w:pPr>
                              <w:spacing w:after="0"/>
                            </w:pPr>
                            <w:r w:rsidRPr="004E7B34">
                              <w:rPr>
                                <w:b/>
                              </w:rPr>
                              <w:t>T</w:t>
                            </w:r>
                            <w:r>
                              <w:t xml:space="preserve"> rauma multiple (polytrauma)</w:t>
                            </w:r>
                          </w:p>
                          <w:p w:rsidR="008276DC" w:rsidRDefault="008276DC" w:rsidP="004E7B34">
                            <w:pPr>
                              <w:spacing w:after="0"/>
                            </w:pPr>
                          </w:p>
                          <w:p w:rsidR="008276DC" w:rsidRDefault="008276DC" w:rsidP="0082023E">
                            <w:pPr>
                              <w:spacing w:after="0"/>
                              <w:jc w:val="center"/>
                            </w:pPr>
                            <w:r>
                              <w:t>ou</w:t>
                            </w:r>
                          </w:p>
                          <w:p w:rsidR="008276DC" w:rsidRDefault="008276DC" w:rsidP="0082023E">
                            <w:pPr>
                              <w:spacing w:after="0"/>
                              <w:jc w:val="center"/>
                            </w:pPr>
                            <w:r>
                              <w:t>Fracture pathologique</w:t>
                            </w:r>
                          </w:p>
                          <w:p w:rsidR="008276DC" w:rsidRDefault="008276DC" w:rsidP="0082023E">
                            <w:pPr>
                              <w:spacing w:after="0"/>
                              <w:jc w:val="center"/>
                            </w:pPr>
                            <w:r>
                              <w:t>Échec à la réduction fermée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79" type="#_x0000_t202" style="position:absolute;left:0;text-align:left;margin-left:295.6pt;margin-top:2.85pt;width:214.5pt;height:110.55pt;z-index:25227673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" fillcolor="#95b3d7 [1940]">
                <v:textbox style="mso-fit-shape-to-text:t">
                  <w:txbxContent>
                    <w:p w:rsidR="008276DC" w:rsidRPr="004E7B34" w:rsidRDefault="008276DC" w:rsidP="004E7B34">
                      <w:pPr>
                        <w:spacing w:after="0"/>
                        <w:jc w:val="center"/>
                        <w:rPr>
                          <w:b/>
                        </w:rPr>
                      </w:pPr>
                      <w:r w:rsidRPr="004E7B34">
                        <w:rPr>
                          <w:b/>
                        </w:rPr>
                        <w:t xml:space="preserve">Indication de réduction ouverte </w:t>
                      </w:r>
                    </w:p>
                    <w:p w:rsidR="008276DC" w:rsidRDefault="008276DC" w:rsidP="004E7B34">
                      <w:pPr>
                        <w:spacing w:after="0"/>
                      </w:pPr>
                      <w:r w:rsidRPr="004E7B34">
                        <w:rPr>
                          <w:b/>
                        </w:rPr>
                        <w:t>N</w:t>
                      </w:r>
                      <w:r>
                        <w:rPr>
                          <w:b/>
                        </w:rPr>
                        <w:t xml:space="preserve"> </w:t>
                      </w:r>
                      <w:r>
                        <w:t>on-union</w:t>
                      </w:r>
                    </w:p>
                    <w:p w:rsidR="008276DC" w:rsidRDefault="008276DC" w:rsidP="004E7B34">
                      <w:pPr>
                        <w:spacing w:after="0"/>
                      </w:pPr>
                      <w:r w:rsidRPr="004E7B34">
                        <w:rPr>
                          <w:b/>
                        </w:rPr>
                        <w:t>O</w:t>
                      </w:r>
                      <w:r>
                        <w:rPr>
                          <w:b/>
                        </w:rPr>
                        <w:t xml:space="preserve"> </w:t>
                      </w:r>
                      <w:r>
                        <w:t>uverte (fracture)</w:t>
                      </w:r>
                    </w:p>
                    <w:p w:rsidR="008276DC" w:rsidRDefault="008276DC" w:rsidP="004E7B34">
                      <w:pPr>
                        <w:spacing w:after="0"/>
                      </w:pPr>
                      <w:r w:rsidRPr="004E7B34">
                        <w:rPr>
                          <w:b/>
                        </w:rPr>
                        <w:t>C</w:t>
                      </w:r>
                      <w:r>
                        <w:rPr>
                          <w:b/>
                        </w:rPr>
                        <w:t xml:space="preserve"> </w:t>
                      </w:r>
                      <w:r>
                        <w:t>ompromis neurovasculaire</w:t>
                      </w:r>
                    </w:p>
                    <w:p w:rsidR="008276DC" w:rsidRDefault="008276DC" w:rsidP="004E7B34">
                      <w:pPr>
                        <w:spacing w:after="0"/>
                      </w:pPr>
                      <w:r w:rsidRPr="004E7B34">
                        <w:rPr>
                          <w:b/>
                        </w:rPr>
                        <w:t>A</w:t>
                      </w:r>
                      <w:r>
                        <w:rPr>
                          <w:b/>
                        </w:rPr>
                        <w:t xml:space="preserve"> </w:t>
                      </w:r>
                      <w:r>
                        <w:t>rticulaire (fracture)</w:t>
                      </w:r>
                    </w:p>
                    <w:p w:rsidR="008276DC" w:rsidRDefault="008276DC" w:rsidP="004E7B34">
                      <w:pPr>
                        <w:spacing w:after="0"/>
                      </w:pPr>
                      <w:r w:rsidRPr="004E7B34">
                        <w:rPr>
                          <w:b/>
                        </w:rPr>
                        <w:t>S</w:t>
                      </w:r>
                      <w:r>
                        <w:rPr>
                          <w:b/>
                        </w:rPr>
                        <w:t xml:space="preserve"> </w:t>
                      </w:r>
                      <w:r>
                        <w:t>alter-Harris 3-4-5</w:t>
                      </w:r>
                    </w:p>
                    <w:p w:rsidR="008276DC" w:rsidRDefault="008276DC" w:rsidP="004E7B34">
                      <w:pPr>
                        <w:spacing w:after="0"/>
                      </w:pPr>
                      <w:r w:rsidRPr="004E7B34">
                        <w:rPr>
                          <w:b/>
                        </w:rPr>
                        <w:t>T</w:t>
                      </w:r>
                      <w:r>
                        <w:t xml:space="preserve"> rauma multiple (polytrauma)</w:t>
                      </w:r>
                    </w:p>
                    <w:p w:rsidR="008276DC" w:rsidRDefault="008276DC" w:rsidP="004E7B34">
                      <w:pPr>
                        <w:spacing w:after="0"/>
                      </w:pPr>
                    </w:p>
                    <w:p w:rsidR="008276DC" w:rsidRDefault="008276DC" w:rsidP="0082023E">
                      <w:pPr>
                        <w:spacing w:after="0"/>
                        <w:jc w:val="center"/>
                      </w:pPr>
                      <w:proofErr w:type="gramStart"/>
                      <w:r>
                        <w:t>ou</w:t>
                      </w:r>
                      <w:proofErr w:type="gramEnd"/>
                    </w:p>
                    <w:p w:rsidR="008276DC" w:rsidRDefault="008276DC" w:rsidP="0082023E">
                      <w:pPr>
                        <w:spacing w:after="0"/>
                        <w:jc w:val="center"/>
                      </w:pPr>
                      <w:r>
                        <w:t>Fracture pathologique</w:t>
                      </w:r>
                    </w:p>
                    <w:p w:rsidR="008276DC" w:rsidRDefault="008276DC" w:rsidP="0082023E">
                      <w:pPr>
                        <w:spacing w:after="0"/>
                        <w:jc w:val="center"/>
                      </w:pPr>
                      <w:r>
                        <w:t>Échec à la réduction fermée</w:t>
                      </w:r>
                    </w:p>
                  </w:txbxContent>
                </v:textbox>
              </v:shape>
            </w:pict>
          </mc:Fallback>
        </mc:AlternateContent>
      </w:r>
      <w:r w:rsidR="00140785" w:rsidRPr="00C04F27">
        <w:rPr>
          <w:highlight w:val="yellow"/>
        </w:rPr>
        <w:t>Atelle ou immobilisation du membre</w:t>
      </w:r>
      <w:r w:rsidR="0082023E" w:rsidRPr="00C04F27">
        <w:rPr>
          <w:highlight w:val="yellow"/>
        </w:rPr>
        <w:t xml:space="preserve"> </w:t>
      </w:r>
    </w:p>
    <w:p w:rsidR="00140785" w:rsidRPr="00C04F27" w:rsidRDefault="00140785" w:rsidP="00A11F3C">
      <w:pPr>
        <w:pStyle w:val="Sansinterligne"/>
        <w:numPr>
          <w:ilvl w:val="0"/>
          <w:numId w:val="1606"/>
        </w:numPr>
        <w:ind w:right="4846"/>
        <w:rPr>
          <w:highlight w:val="yellow"/>
        </w:rPr>
      </w:pPr>
      <w:r w:rsidRPr="00C04F27">
        <w:rPr>
          <w:highlight w:val="yellow"/>
        </w:rPr>
        <w:t>Réduction fermée</w:t>
      </w:r>
    </w:p>
    <w:p w:rsidR="00140785" w:rsidRPr="00C04F27" w:rsidRDefault="00140785" w:rsidP="00A11F3C">
      <w:pPr>
        <w:pStyle w:val="Sansinterligne"/>
        <w:numPr>
          <w:ilvl w:val="1"/>
          <w:numId w:val="1606"/>
        </w:numPr>
        <w:ind w:right="4846"/>
        <w:rPr>
          <w:highlight w:val="yellow"/>
        </w:rPr>
      </w:pPr>
      <w:r w:rsidRPr="00C04F27">
        <w:rPr>
          <w:highlight w:val="yellow"/>
        </w:rPr>
        <w:t>Évaluation neurovasculaire</w:t>
      </w:r>
    </w:p>
    <w:p w:rsidR="00140785" w:rsidRPr="00C04F27" w:rsidRDefault="00140785" w:rsidP="00A11F3C">
      <w:pPr>
        <w:pStyle w:val="Sansinterligne"/>
        <w:numPr>
          <w:ilvl w:val="1"/>
          <w:numId w:val="1606"/>
        </w:numPr>
        <w:ind w:right="4846"/>
        <w:rPr>
          <w:highlight w:val="yellow"/>
        </w:rPr>
      </w:pPr>
      <w:r w:rsidRPr="00C04F27">
        <w:rPr>
          <w:highlight w:val="yellow"/>
        </w:rPr>
        <w:t>Traction axiale</w:t>
      </w:r>
    </w:p>
    <w:p w:rsidR="00140785" w:rsidRPr="00C04F27" w:rsidRDefault="00140785" w:rsidP="00A11F3C">
      <w:pPr>
        <w:pStyle w:val="Sansinterligne"/>
        <w:numPr>
          <w:ilvl w:val="1"/>
          <w:numId w:val="1606"/>
        </w:numPr>
        <w:ind w:right="4846"/>
        <w:rPr>
          <w:highlight w:val="yellow"/>
        </w:rPr>
      </w:pPr>
      <w:r w:rsidRPr="00C04F27">
        <w:rPr>
          <w:highlight w:val="yellow"/>
        </w:rPr>
        <w:t>Sédation</w:t>
      </w:r>
    </w:p>
    <w:p w:rsidR="00140785" w:rsidRPr="00C04F27" w:rsidRDefault="00140785" w:rsidP="00A11F3C">
      <w:pPr>
        <w:pStyle w:val="Sansinterligne"/>
        <w:numPr>
          <w:ilvl w:val="1"/>
          <w:numId w:val="1606"/>
        </w:numPr>
        <w:ind w:right="4846"/>
        <w:rPr>
          <w:highlight w:val="yellow"/>
        </w:rPr>
      </w:pPr>
      <w:r w:rsidRPr="00C04F27">
        <w:rPr>
          <w:highlight w:val="yellow"/>
        </w:rPr>
        <w:t>Replacer le membre dans son alignement initial (mécanisme inverse du trauma)</w:t>
      </w:r>
    </w:p>
    <w:p w:rsidR="00140785" w:rsidRPr="00C04F27" w:rsidRDefault="00140785" w:rsidP="00A11F3C">
      <w:pPr>
        <w:pStyle w:val="Sansinterligne"/>
        <w:numPr>
          <w:ilvl w:val="1"/>
          <w:numId w:val="1606"/>
        </w:numPr>
        <w:ind w:right="4846"/>
        <w:rPr>
          <w:highlight w:val="yellow"/>
        </w:rPr>
      </w:pPr>
      <w:r w:rsidRPr="00C04F27">
        <w:rPr>
          <w:highlight w:val="yellow"/>
        </w:rPr>
        <w:t>Réévaluer le neurovasculaire</w:t>
      </w:r>
    </w:p>
    <w:p w:rsidR="00140785" w:rsidRPr="00C04F27" w:rsidRDefault="00140785" w:rsidP="00A11F3C">
      <w:pPr>
        <w:pStyle w:val="Sansinterligne"/>
        <w:numPr>
          <w:ilvl w:val="0"/>
          <w:numId w:val="1606"/>
        </w:numPr>
        <w:ind w:right="4846"/>
        <w:rPr>
          <w:highlight w:val="yellow"/>
        </w:rPr>
      </w:pPr>
      <w:r w:rsidRPr="00C04F27">
        <w:rPr>
          <w:highlight w:val="yellow"/>
        </w:rPr>
        <w:t>Référence en orthopédie pour réduction ouverte PRN</w:t>
      </w:r>
    </w:p>
    <w:p w:rsidR="00DB1142" w:rsidRPr="00C04F27" w:rsidRDefault="00DB1142" w:rsidP="00A11F3C">
      <w:pPr>
        <w:pStyle w:val="Sansinterligne"/>
        <w:numPr>
          <w:ilvl w:val="1"/>
          <w:numId w:val="1606"/>
        </w:numPr>
        <w:ind w:right="4846"/>
        <w:rPr>
          <w:highlight w:val="yellow"/>
        </w:rPr>
      </w:pPr>
      <w:r w:rsidRPr="00C04F27">
        <w:rPr>
          <w:highlight w:val="yellow"/>
        </w:rPr>
        <w:t xml:space="preserve">Voir tableau des indications </w:t>
      </w:r>
    </w:p>
    <w:p w:rsidR="00DB1142" w:rsidRPr="00C04F27" w:rsidRDefault="00DB1142" w:rsidP="00A11F3C">
      <w:pPr>
        <w:pStyle w:val="Sansinterligne"/>
        <w:numPr>
          <w:ilvl w:val="0"/>
          <w:numId w:val="1606"/>
        </w:numPr>
        <w:ind w:right="4846"/>
        <w:rPr>
          <w:highlight w:val="yellow"/>
        </w:rPr>
      </w:pPr>
      <w:r w:rsidRPr="00C04F27">
        <w:rPr>
          <w:highlight w:val="yellow"/>
        </w:rPr>
        <w:t>Maintien</w:t>
      </w:r>
    </w:p>
    <w:p w:rsidR="00140785" w:rsidRPr="00C04F27" w:rsidRDefault="00140785" w:rsidP="00A11F3C">
      <w:pPr>
        <w:pStyle w:val="Sansinterligne"/>
        <w:numPr>
          <w:ilvl w:val="1"/>
          <w:numId w:val="1606"/>
        </w:numPr>
        <w:ind w:right="4846"/>
        <w:rPr>
          <w:highlight w:val="yellow"/>
        </w:rPr>
      </w:pPr>
      <w:r w:rsidRPr="00C04F27">
        <w:rPr>
          <w:highlight w:val="yellow"/>
        </w:rPr>
        <w:t>Atelle, plâtre, fixateur externe pour maintenir le membre réduit</w:t>
      </w:r>
    </w:p>
    <w:p w:rsidR="00140785" w:rsidRPr="00740222" w:rsidRDefault="00140785" w:rsidP="00A11F3C">
      <w:pPr>
        <w:pStyle w:val="Sansinterligne"/>
        <w:numPr>
          <w:ilvl w:val="0"/>
          <w:numId w:val="1606"/>
        </w:numPr>
        <w:ind w:right="4846"/>
      </w:pPr>
      <w:r w:rsidRPr="00740222">
        <w:t>Suivi</w:t>
      </w:r>
    </w:p>
    <w:p w:rsidR="00140785" w:rsidRPr="00740222" w:rsidRDefault="00140785" w:rsidP="00A11F3C">
      <w:pPr>
        <w:pStyle w:val="Sansinterligne"/>
        <w:numPr>
          <w:ilvl w:val="1"/>
          <w:numId w:val="1606"/>
        </w:numPr>
        <w:ind w:right="4846"/>
      </w:pPr>
      <w:r w:rsidRPr="00740222">
        <w:t>Radiographie</w:t>
      </w:r>
    </w:p>
    <w:p w:rsidR="00140785" w:rsidRPr="00740222" w:rsidRDefault="00140785" w:rsidP="00A11F3C">
      <w:pPr>
        <w:pStyle w:val="Sansinterligne"/>
        <w:numPr>
          <w:ilvl w:val="1"/>
          <w:numId w:val="1606"/>
        </w:numPr>
        <w:ind w:right="4846"/>
      </w:pPr>
      <w:r w:rsidRPr="00740222">
        <w:t>Évaluation neurovasculaire (ex : syndrome compartimental sur plâtre)</w:t>
      </w:r>
    </w:p>
    <w:p w:rsidR="00140785" w:rsidRPr="00740222" w:rsidRDefault="00140785" w:rsidP="00A11F3C">
      <w:pPr>
        <w:pStyle w:val="Sansinterligne"/>
        <w:numPr>
          <w:ilvl w:val="1"/>
          <w:numId w:val="1606"/>
        </w:numPr>
        <w:ind w:right="4846"/>
      </w:pPr>
      <w:r w:rsidRPr="00740222">
        <w:t>Physiothérapie et renforcement</w:t>
      </w:r>
    </w:p>
    <w:p w:rsidR="00140785" w:rsidRPr="00740222" w:rsidRDefault="00140785" w:rsidP="00A11F3C">
      <w:pPr>
        <w:pStyle w:val="Sansinterligne"/>
        <w:numPr>
          <w:ilvl w:val="1"/>
          <w:numId w:val="1606"/>
        </w:numPr>
        <w:ind w:right="4846"/>
      </w:pPr>
      <w:r w:rsidRPr="00740222">
        <w:t xml:space="preserve">Pleine guérison </w:t>
      </w:r>
      <w:r w:rsidRPr="00740222">
        <w:rPr>
          <w:rFonts w:cs="Times New Roman"/>
        </w:rPr>
        <w:t>~</w:t>
      </w:r>
      <w:r w:rsidRPr="00740222">
        <w:t xml:space="preserve"> 1 an</w:t>
      </w:r>
    </w:p>
    <w:p w:rsidR="00DB1142" w:rsidRPr="00C04F27" w:rsidRDefault="00DB1142" w:rsidP="00140785">
      <w:pPr>
        <w:pStyle w:val="Sansinterligne"/>
        <w:rPr>
          <w:highlight w:val="yellow"/>
        </w:rPr>
      </w:pPr>
    </w:p>
    <w:p w:rsidR="00DB1142" w:rsidRPr="00C04F27" w:rsidRDefault="00DB1142" w:rsidP="00140785">
      <w:pPr>
        <w:pStyle w:val="Sansinterligne"/>
        <w:rPr>
          <w:b/>
          <w:highlight w:val="yellow"/>
        </w:rPr>
      </w:pPr>
      <w:r w:rsidRPr="00C04F27">
        <w:rPr>
          <w:b/>
          <w:highlight w:val="yellow"/>
        </w:rPr>
        <w:t>Syndrome compartimental</w:t>
      </w:r>
    </w:p>
    <w:p w:rsidR="00DB1142" w:rsidRPr="00C04F27" w:rsidRDefault="00DB1142" w:rsidP="00A11F3C">
      <w:pPr>
        <w:pStyle w:val="Sansinterligne"/>
        <w:numPr>
          <w:ilvl w:val="0"/>
          <w:numId w:val="1607"/>
        </w:numPr>
        <w:rPr>
          <w:highlight w:val="yellow"/>
          <w:u w:val="single"/>
        </w:rPr>
      </w:pPr>
      <w:r w:rsidRPr="00C04F27">
        <w:rPr>
          <w:highlight w:val="yellow"/>
          <w:u w:val="single"/>
        </w:rPr>
        <w:t>Si lié à un plâtre ou un compartiment externe</w:t>
      </w:r>
    </w:p>
    <w:p w:rsidR="00DB1142" w:rsidRPr="00C04F27" w:rsidRDefault="00DB1142" w:rsidP="00A11F3C">
      <w:pPr>
        <w:pStyle w:val="Sansinterligne"/>
        <w:numPr>
          <w:ilvl w:val="1"/>
          <w:numId w:val="1607"/>
        </w:numPr>
        <w:rPr>
          <w:highlight w:val="yellow"/>
        </w:rPr>
      </w:pPr>
      <w:r w:rsidRPr="00C04F27">
        <w:rPr>
          <w:highlight w:val="yellow"/>
        </w:rPr>
        <w:t>Retrait</w:t>
      </w:r>
    </w:p>
    <w:p w:rsidR="00DB1142" w:rsidRPr="00C04F27" w:rsidRDefault="00C04F27" w:rsidP="00A11F3C">
      <w:pPr>
        <w:pStyle w:val="Sansinterligne"/>
        <w:numPr>
          <w:ilvl w:val="1"/>
          <w:numId w:val="1607"/>
        </w:numPr>
        <w:rPr>
          <w:highlight w:val="yellow"/>
        </w:rPr>
      </w:pPr>
      <w:r>
        <w:rPr>
          <w:noProof/>
          <w:lang w:eastAsia="fr-CA"/>
        </w:rPr>
        <w:drawing>
          <wp:anchor distT="0" distB="0" distL="114300" distR="114300" simplePos="0" relativeHeight="252279808" behindDoc="0" locked="0" layoutInCell="1" allowOverlap="1" wp14:anchorId="2BDFE85E" wp14:editId="47E21F09">
            <wp:simplePos x="0" y="0"/>
            <wp:positionH relativeFrom="column">
              <wp:posOffset>4149090</wp:posOffset>
            </wp:positionH>
            <wp:positionV relativeFrom="paragraph">
              <wp:posOffset>-422207</wp:posOffset>
            </wp:positionV>
            <wp:extent cx="2120900" cy="2820670"/>
            <wp:effectExtent l="0" t="0" r="0" b="0"/>
            <wp:wrapNone/>
            <wp:docPr id="717" name="Image 71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120900" cy="2820670"/>
                    </a:xfrm>
                    <a:prstGeom prst="rect">
                      <a:avLst/>
                    </a:prstGeom>
                    <a:noFill/>
                    <a:ln>
                      <a:noFill/>
                    </a:ln>
                  </pic:spPr>
                </pic:pic>
              </a:graphicData>
            </a:graphic>
            <wp14:sizeRelH relativeFrom="page">
              <wp14:pctWidth>0</wp14:pctWidth>
            </wp14:sizeRelH>
            <wp14:sizeRelV relativeFrom="page">
              <wp14:pctHeight>0</wp14:pctHeight>
            </wp14:sizeRelV>
          </wp:anchor>
        </w:drawing>
      </w:r>
      <w:r w:rsidR="00DB1142" w:rsidRPr="00C04F27">
        <w:rPr>
          <w:highlight w:val="yellow"/>
        </w:rPr>
        <w:t>Élévation du membre</w:t>
      </w:r>
    </w:p>
    <w:p w:rsidR="00DB1142" w:rsidRPr="00C04F27" w:rsidRDefault="00DB1142" w:rsidP="00A11F3C">
      <w:pPr>
        <w:pStyle w:val="Sansinterligne"/>
        <w:numPr>
          <w:ilvl w:val="0"/>
          <w:numId w:val="1607"/>
        </w:numPr>
        <w:rPr>
          <w:highlight w:val="yellow"/>
          <w:u w:val="single"/>
        </w:rPr>
      </w:pPr>
      <w:r w:rsidRPr="00C04F27">
        <w:rPr>
          <w:highlight w:val="yellow"/>
          <w:u w:val="single"/>
        </w:rPr>
        <w:t>Si intra-corporel</w:t>
      </w:r>
    </w:p>
    <w:p w:rsidR="00DB1142" w:rsidRPr="00740222" w:rsidRDefault="00DB1142" w:rsidP="00A11F3C">
      <w:pPr>
        <w:pStyle w:val="Sansinterligne"/>
        <w:numPr>
          <w:ilvl w:val="1"/>
          <w:numId w:val="1607"/>
        </w:numPr>
        <w:rPr>
          <w:b/>
          <w:highlight w:val="yellow"/>
        </w:rPr>
      </w:pPr>
      <w:r w:rsidRPr="00740222">
        <w:rPr>
          <w:b/>
          <w:highlight w:val="yellow"/>
        </w:rPr>
        <w:t xml:space="preserve">Fasciotomie urgente pour </w:t>
      </w:r>
      <w:r w:rsidRPr="00740222">
        <w:rPr>
          <w:rFonts w:cs="Times New Roman"/>
          <w:b/>
          <w:highlight w:val="yellow"/>
        </w:rPr>
        <w:t>↓</w:t>
      </w:r>
      <w:r w:rsidRPr="00740222">
        <w:rPr>
          <w:b/>
          <w:highlight w:val="yellow"/>
        </w:rPr>
        <w:t xml:space="preserve"> pression</w:t>
      </w:r>
    </w:p>
    <w:p w:rsidR="00DB1142" w:rsidRPr="00C04F27" w:rsidRDefault="00DB1142" w:rsidP="00A11F3C">
      <w:pPr>
        <w:pStyle w:val="Sansinterligne"/>
        <w:numPr>
          <w:ilvl w:val="1"/>
          <w:numId w:val="1607"/>
        </w:numPr>
        <w:rPr>
          <w:highlight w:val="yellow"/>
        </w:rPr>
      </w:pPr>
      <w:r w:rsidRPr="00C04F27">
        <w:rPr>
          <w:highlight w:val="yellow"/>
        </w:rPr>
        <w:t>Fermeture et débridement 48-72h post-ouverture</w:t>
      </w:r>
    </w:p>
    <w:p w:rsidR="003A6818" w:rsidRPr="00C04F27" w:rsidRDefault="00DB1142" w:rsidP="00A11F3C">
      <w:pPr>
        <w:pStyle w:val="Sansinterligne"/>
        <w:numPr>
          <w:ilvl w:val="1"/>
          <w:numId w:val="1607"/>
        </w:numPr>
        <w:rPr>
          <w:highlight w:val="yellow"/>
        </w:rPr>
      </w:pPr>
      <w:r w:rsidRPr="00C04F27">
        <w:rPr>
          <w:highlight w:val="yellow"/>
        </w:rPr>
        <w:t>Surveillance de la fonction rénale (rhabdomyolyse)</w:t>
      </w:r>
    </w:p>
    <w:p w:rsidR="00375E01" w:rsidRPr="00C04F27" w:rsidRDefault="00375E01" w:rsidP="00140785">
      <w:pPr>
        <w:pStyle w:val="Sansinterligne"/>
        <w:rPr>
          <w:highlight w:val="yellow"/>
        </w:rPr>
      </w:pPr>
    </w:p>
    <w:p w:rsidR="003A6818" w:rsidRPr="00C04F27" w:rsidRDefault="00375E01" w:rsidP="00375E01">
      <w:pPr>
        <w:pStyle w:val="Sansinterligne"/>
        <w:ind w:right="5130"/>
        <w:rPr>
          <w:b/>
          <w:highlight w:val="yellow"/>
        </w:rPr>
      </w:pPr>
      <w:r w:rsidRPr="00C04F27">
        <w:rPr>
          <w:b/>
          <w:highlight w:val="yellow"/>
        </w:rPr>
        <w:t>Fasciite nécrosante</w:t>
      </w:r>
      <w:r w:rsidR="00C04F27" w:rsidRPr="00C04F27">
        <w:t xml:space="preserve"> </w:t>
      </w:r>
    </w:p>
    <w:p w:rsidR="00375E01" w:rsidRPr="00C04F27" w:rsidRDefault="00375E01" w:rsidP="00A11F3C">
      <w:pPr>
        <w:pStyle w:val="Sansinterligne"/>
        <w:numPr>
          <w:ilvl w:val="0"/>
          <w:numId w:val="1608"/>
        </w:numPr>
        <w:ind w:right="5130"/>
        <w:rPr>
          <w:highlight w:val="yellow"/>
        </w:rPr>
      </w:pPr>
      <w:r w:rsidRPr="00C04F27">
        <w:rPr>
          <w:highlight w:val="yellow"/>
        </w:rPr>
        <w:t>Réhydratation IV</w:t>
      </w:r>
    </w:p>
    <w:p w:rsidR="00CF7698" w:rsidRPr="00740222" w:rsidRDefault="00CF7698" w:rsidP="00A11F3C">
      <w:pPr>
        <w:pStyle w:val="Sansinterligne"/>
        <w:numPr>
          <w:ilvl w:val="0"/>
          <w:numId w:val="1608"/>
        </w:numPr>
        <w:ind w:right="5130"/>
        <w:rPr>
          <w:highlight w:val="yellow"/>
          <w:u w:val="single"/>
        </w:rPr>
      </w:pPr>
      <w:r w:rsidRPr="00740222">
        <w:rPr>
          <w:highlight w:val="yellow"/>
          <w:u w:val="single"/>
        </w:rPr>
        <w:t>Référence urgente en chirurgie pour fasciotomie et débridement exploratoire</w:t>
      </w:r>
    </w:p>
    <w:p w:rsidR="00CF7698" w:rsidRPr="00C04F27" w:rsidRDefault="00CF7698" w:rsidP="00A11F3C">
      <w:pPr>
        <w:pStyle w:val="Sansinterligne"/>
        <w:numPr>
          <w:ilvl w:val="1"/>
          <w:numId w:val="1608"/>
        </w:numPr>
        <w:ind w:right="5130"/>
        <w:rPr>
          <w:highlight w:val="yellow"/>
        </w:rPr>
      </w:pPr>
      <w:r w:rsidRPr="00C04F27">
        <w:rPr>
          <w:highlight w:val="yellow"/>
        </w:rPr>
        <w:t>Amputation si nécessaire</w:t>
      </w:r>
    </w:p>
    <w:p w:rsidR="00CF7698" w:rsidRPr="00C04F27" w:rsidRDefault="00CF7698" w:rsidP="00A11F3C">
      <w:pPr>
        <w:pStyle w:val="Sansinterligne"/>
        <w:numPr>
          <w:ilvl w:val="1"/>
          <w:numId w:val="1608"/>
        </w:numPr>
        <w:ind w:right="5130"/>
        <w:rPr>
          <w:highlight w:val="yellow"/>
        </w:rPr>
      </w:pPr>
      <w:r w:rsidRPr="00C04F27">
        <w:rPr>
          <w:highlight w:val="yellow"/>
        </w:rPr>
        <w:t>Culture des tissus</w:t>
      </w:r>
    </w:p>
    <w:p w:rsidR="00CF7698" w:rsidRPr="00C04F27" w:rsidRDefault="00375E01" w:rsidP="00A11F3C">
      <w:pPr>
        <w:pStyle w:val="Sansinterligne"/>
        <w:numPr>
          <w:ilvl w:val="0"/>
          <w:numId w:val="1608"/>
        </w:numPr>
        <w:ind w:right="5130"/>
        <w:rPr>
          <w:highlight w:val="yellow"/>
        </w:rPr>
      </w:pPr>
      <w:r w:rsidRPr="00C04F27">
        <w:rPr>
          <w:highlight w:val="yellow"/>
        </w:rPr>
        <w:t>Antibiothérapie large-spectre</w:t>
      </w:r>
    </w:p>
    <w:p w:rsidR="00375E01" w:rsidRPr="00C04F27" w:rsidRDefault="00375E01" w:rsidP="00A11F3C">
      <w:pPr>
        <w:pStyle w:val="Sansinterligne"/>
        <w:numPr>
          <w:ilvl w:val="1"/>
          <w:numId w:val="1608"/>
        </w:numPr>
        <w:ind w:right="5130"/>
        <w:rPr>
          <w:highlight w:val="yellow"/>
        </w:rPr>
      </w:pPr>
      <w:r w:rsidRPr="00C04F27">
        <w:rPr>
          <w:highlight w:val="yellow"/>
        </w:rPr>
        <w:t>Meropenem</w:t>
      </w:r>
    </w:p>
    <w:p w:rsidR="00375E01" w:rsidRPr="00C04F27" w:rsidRDefault="00375E01" w:rsidP="00A11F3C">
      <w:pPr>
        <w:pStyle w:val="Sansinterligne"/>
        <w:numPr>
          <w:ilvl w:val="1"/>
          <w:numId w:val="1608"/>
        </w:numPr>
        <w:ind w:right="5130"/>
        <w:rPr>
          <w:highlight w:val="yellow"/>
        </w:rPr>
      </w:pPr>
      <w:r w:rsidRPr="00C04F27">
        <w:rPr>
          <w:highlight w:val="yellow"/>
        </w:rPr>
        <w:t>Tazobactam-piperacilline + clindamycine IV</w:t>
      </w:r>
    </w:p>
    <w:p w:rsidR="00375E01" w:rsidRPr="00C04F27" w:rsidRDefault="00C04F27" w:rsidP="00A11F3C">
      <w:pPr>
        <w:pStyle w:val="Sansinterligne"/>
        <w:numPr>
          <w:ilvl w:val="1"/>
          <w:numId w:val="1608"/>
        </w:numPr>
        <w:ind w:right="5130"/>
        <w:rPr>
          <w:highlight w:val="yellow"/>
        </w:rPr>
      </w:pPr>
      <w:r w:rsidRPr="00C04F27">
        <w:rPr>
          <w:noProof/>
          <w:highlight w:val="yellow"/>
          <w:lang w:eastAsia="fr-CA"/>
        </w:rPr>
        <w:drawing>
          <wp:anchor distT="0" distB="0" distL="114300" distR="114300" simplePos="0" relativeHeight="252278784" behindDoc="0" locked="0" layoutInCell="1" allowOverlap="1" wp14:anchorId="48CD81A6" wp14:editId="0EF38DEE">
            <wp:simplePos x="0" y="0"/>
            <wp:positionH relativeFrom="column">
              <wp:posOffset>3483610</wp:posOffset>
            </wp:positionH>
            <wp:positionV relativeFrom="paragraph">
              <wp:posOffset>124460</wp:posOffset>
            </wp:positionV>
            <wp:extent cx="3101975" cy="2256790"/>
            <wp:effectExtent l="0" t="0" r="3175" b="0"/>
            <wp:wrapNone/>
            <wp:docPr id="716" name="Image 71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3101975" cy="2256790"/>
                    </a:xfrm>
                    <a:prstGeom prst="rect">
                      <a:avLst/>
                    </a:prstGeom>
                    <a:noFill/>
                    <a:ln>
                      <a:noFill/>
                    </a:ln>
                  </pic:spPr>
                </pic:pic>
              </a:graphicData>
            </a:graphic>
            <wp14:sizeRelH relativeFrom="page">
              <wp14:pctWidth>0</wp14:pctWidth>
            </wp14:sizeRelH>
            <wp14:sizeRelV relativeFrom="page">
              <wp14:pctHeight>0</wp14:pctHeight>
            </wp14:sizeRelV>
          </wp:anchor>
        </w:drawing>
      </w:r>
      <w:r w:rsidR="00375E01" w:rsidRPr="00C04F27">
        <w:rPr>
          <w:highlight w:val="yellow"/>
        </w:rPr>
        <w:t>Vancomycine si SARM suspecté</w:t>
      </w:r>
    </w:p>
    <w:p w:rsidR="00375E01" w:rsidRPr="00C04F27" w:rsidRDefault="00CF7698" w:rsidP="00A11F3C">
      <w:pPr>
        <w:pStyle w:val="Sansinterligne"/>
        <w:numPr>
          <w:ilvl w:val="0"/>
          <w:numId w:val="1608"/>
        </w:numPr>
        <w:ind w:right="5130"/>
        <w:rPr>
          <w:highlight w:val="yellow"/>
        </w:rPr>
      </w:pPr>
      <w:r w:rsidRPr="00C04F27">
        <w:rPr>
          <w:highlight w:val="yellow"/>
        </w:rPr>
        <w:t>Si SGA</w:t>
      </w:r>
      <w:r w:rsidR="00375E01" w:rsidRPr="00C04F27">
        <w:rPr>
          <w:highlight w:val="yellow"/>
        </w:rPr>
        <w:t xml:space="preserve"> confirm</w:t>
      </w:r>
      <w:r w:rsidRPr="00C04F27">
        <w:rPr>
          <w:highlight w:val="yellow"/>
        </w:rPr>
        <w:t>é</w:t>
      </w:r>
    </w:p>
    <w:p w:rsidR="00375E01" w:rsidRPr="00C04F27" w:rsidRDefault="00375E01" w:rsidP="00A11F3C">
      <w:pPr>
        <w:pStyle w:val="Sansinterligne"/>
        <w:numPr>
          <w:ilvl w:val="1"/>
          <w:numId w:val="1608"/>
        </w:numPr>
        <w:ind w:right="5130"/>
        <w:rPr>
          <w:highlight w:val="yellow"/>
        </w:rPr>
      </w:pPr>
      <w:r w:rsidRPr="00C04F27">
        <w:rPr>
          <w:highlight w:val="yellow"/>
        </w:rPr>
        <w:t xml:space="preserve">Pénicilline G + Clindamycine IV </w:t>
      </w:r>
      <w:r w:rsidRPr="00C04F27">
        <w:rPr>
          <w:rFonts w:cs="Times New Roman"/>
          <w:highlight w:val="yellow"/>
        </w:rPr>
        <w:t>±</w:t>
      </w:r>
      <w:r w:rsidRPr="00C04F27">
        <w:rPr>
          <w:highlight w:val="yellow"/>
        </w:rPr>
        <w:t xml:space="preserve"> IVIg (anti-anti-strep)</w:t>
      </w:r>
    </w:p>
    <w:p w:rsidR="00CF7698" w:rsidRPr="00C04F27" w:rsidRDefault="00CF7698" w:rsidP="00375E01">
      <w:pPr>
        <w:pStyle w:val="Sansinterligne"/>
        <w:ind w:right="5130"/>
        <w:rPr>
          <w:highlight w:val="yellow"/>
        </w:rPr>
      </w:pPr>
    </w:p>
    <w:p w:rsidR="003A6818" w:rsidRPr="00C04F27" w:rsidRDefault="003A6818" w:rsidP="00375E01">
      <w:pPr>
        <w:pStyle w:val="Sansinterligne"/>
        <w:ind w:right="5130"/>
        <w:rPr>
          <w:b/>
          <w:highlight w:val="yellow"/>
        </w:rPr>
      </w:pPr>
      <w:r w:rsidRPr="00C04F27">
        <w:rPr>
          <w:b/>
          <w:highlight w:val="yellow"/>
        </w:rPr>
        <w:t>Ostéomyélite</w:t>
      </w:r>
    </w:p>
    <w:p w:rsidR="003A6818" w:rsidRPr="00C04F27" w:rsidRDefault="003A6818" w:rsidP="00A11F3C">
      <w:pPr>
        <w:pStyle w:val="Sansinterligne"/>
        <w:numPr>
          <w:ilvl w:val="0"/>
          <w:numId w:val="1609"/>
        </w:numPr>
        <w:ind w:right="5130"/>
        <w:rPr>
          <w:highlight w:val="yellow"/>
        </w:rPr>
      </w:pPr>
      <w:r w:rsidRPr="00C04F27">
        <w:rPr>
          <w:highlight w:val="yellow"/>
        </w:rPr>
        <w:t>Référence en infectiologie</w:t>
      </w:r>
    </w:p>
    <w:p w:rsidR="009D3587" w:rsidRPr="00C04F27" w:rsidRDefault="003A6818" w:rsidP="00A11F3C">
      <w:pPr>
        <w:pStyle w:val="Sansinterligne"/>
        <w:numPr>
          <w:ilvl w:val="0"/>
          <w:numId w:val="1609"/>
        </w:numPr>
        <w:ind w:right="5130"/>
        <w:rPr>
          <w:highlight w:val="yellow"/>
        </w:rPr>
      </w:pPr>
      <w:r w:rsidRPr="00C04F27">
        <w:rPr>
          <w:highlight w:val="yellow"/>
        </w:rPr>
        <w:t>A</w:t>
      </w:r>
      <w:r w:rsidR="009D3587" w:rsidRPr="00C04F27">
        <w:rPr>
          <w:highlight w:val="yellow"/>
        </w:rPr>
        <w:t>TB IV x 4-6 semaines</w:t>
      </w:r>
    </w:p>
    <w:p w:rsidR="009D3587" w:rsidRPr="00C04F27" w:rsidRDefault="009D3587" w:rsidP="00A11F3C">
      <w:pPr>
        <w:pStyle w:val="Sansinterligne"/>
        <w:numPr>
          <w:ilvl w:val="1"/>
          <w:numId w:val="1609"/>
        </w:numPr>
        <w:ind w:right="5130"/>
        <w:rPr>
          <w:highlight w:val="yellow"/>
        </w:rPr>
      </w:pPr>
      <w:r w:rsidRPr="00C04F27">
        <w:rPr>
          <w:highlight w:val="yellow"/>
        </w:rPr>
        <w:t>Couverture du Staph. Aureus (généralement)</w:t>
      </w:r>
    </w:p>
    <w:p w:rsidR="009D3587" w:rsidRPr="00C04F27" w:rsidRDefault="009D3587" w:rsidP="00A11F3C">
      <w:pPr>
        <w:pStyle w:val="Sansinterligne"/>
        <w:numPr>
          <w:ilvl w:val="1"/>
          <w:numId w:val="1609"/>
        </w:numPr>
        <w:ind w:right="5130"/>
        <w:rPr>
          <w:highlight w:val="yellow"/>
        </w:rPr>
      </w:pPr>
      <w:r w:rsidRPr="00C04F27">
        <w:rPr>
          <w:highlight w:val="yellow"/>
        </w:rPr>
        <w:t>Ajuster selon la sensibilité à l’hémoculture</w:t>
      </w:r>
    </w:p>
    <w:p w:rsidR="009D3587" w:rsidRPr="00740222" w:rsidRDefault="009D3587" w:rsidP="00A11F3C">
      <w:pPr>
        <w:pStyle w:val="Sansinterligne"/>
        <w:numPr>
          <w:ilvl w:val="0"/>
          <w:numId w:val="1609"/>
        </w:numPr>
        <w:ind w:right="5130"/>
        <w:rPr>
          <w:highlight w:val="yellow"/>
          <w:u w:val="single"/>
        </w:rPr>
      </w:pPr>
      <w:r w:rsidRPr="00740222">
        <w:rPr>
          <w:highlight w:val="yellow"/>
          <w:u w:val="single"/>
        </w:rPr>
        <w:t>Référence en chirurgie</w:t>
      </w:r>
    </w:p>
    <w:p w:rsidR="009D3587" w:rsidRPr="00C04F27" w:rsidRDefault="009D3587" w:rsidP="00A11F3C">
      <w:pPr>
        <w:pStyle w:val="Sansinterligne"/>
        <w:numPr>
          <w:ilvl w:val="1"/>
          <w:numId w:val="1609"/>
        </w:numPr>
        <w:ind w:right="5130"/>
        <w:rPr>
          <w:highlight w:val="yellow"/>
        </w:rPr>
      </w:pPr>
      <w:r w:rsidRPr="00C04F27">
        <w:rPr>
          <w:highlight w:val="yellow"/>
        </w:rPr>
        <w:t>Débridement chirurgical si abcès ou atteinte importante</w:t>
      </w:r>
    </w:p>
    <w:p w:rsidR="00375E01" w:rsidRPr="00C04F27" w:rsidRDefault="009D3587" w:rsidP="00A11F3C">
      <w:pPr>
        <w:pStyle w:val="Sansinterligne"/>
        <w:numPr>
          <w:ilvl w:val="1"/>
          <w:numId w:val="1609"/>
        </w:numPr>
        <w:ind w:right="5130"/>
        <w:rPr>
          <w:highlight w:val="yellow"/>
        </w:rPr>
      </w:pPr>
      <w:r w:rsidRPr="00C04F27">
        <w:rPr>
          <w:highlight w:val="yellow"/>
        </w:rPr>
        <w:t>Retraiter de corps étranger PRN</w:t>
      </w:r>
    </w:p>
    <w:p w:rsidR="00375E01" w:rsidRDefault="00375E01" w:rsidP="00140785">
      <w:pPr>
        <w:pStyle w:val="Sansinterligne"/>
      </w:pPr>
    </w:p>
    <w:p w:rsidR="00344D53" w:rsidRDefault="00344D53" w:rsidP="00140785">
      <w:pPr>
        <w:pStyle w:val="Sansinterligne"/>
        <w:rPr>
          <w:b/>
        </w:rPr>
        <w:sectPr w:rsidR="00344D53" w:rsidSect="00A35E51">
          <w:type w:val="continuous"/>
          <w:pgSz w:w="12240" w:h="15840"/>
          <w:pgMar w:top="720" w:right="720" w:bottom="720" w:left="720" w:header="708" w:footer="708" w:gutter="0"/>
          <w:cols w:space="708"/>
          <w:docGrid w:linePitch="360"/>
        </w:sectPr>
      </w:pPr>
    </w:p>
    <w:p w:rsidR="00CF2CD8" w:rsidRPr="00344D53" w:rsidRDefault="00CF2CD8" w:rsidP="00140785">
      <w:pPr>
        <w:pStyle w:val="Sansinterligne"/>
        <w:rPr>
          <w:b/>
        </w:rPr>
      </w:pPr>
      <w:r w:rsidRPr="00344D53">
        <w:rPr>
          <w:b/>
        </w:rPr>
        <w:t>Bursite</w:t>
      </w:r>
    </w:p>
    <w:p w:rsidR="00CF2CD8" w:rsidRDefault="00344D53" w:rsidP="00A11F3C">
      <w:pPr>
        <w:pStyle w:val="Sansinterligne"/>
        <w:numPr>
          <w:ilvl w:val="0"/>
          <w:numId w:val="1611"/>
        </w:numPr>
      </w:pPr>
      <w:r>
        <w:t>Acétaminophène et AINS</w:t>
      </w:r>
    </w:p>
    <w:p w:rsidR="00740222" w:rsidRDefault="00740222" w:rsidP="00A11F3C">
      <w:pPr>
        <w:pStyle w:val="Sansinterligne"/>
        <w:numPr>
          <w:ilvl w:val="0"/>
          <w:numId w:val="1611"/>
        </w:numPr>
      </w:pPr>
      <w:r>
        <w:t>Rassurer le patient</w:t>
      </w:r>
    </w:p>
    <w:p w:rsidR="00344D53" w:rsidRDefault="00344D53" w:rsidP="00A11F3C">
      <w:pPr>
        <w:pStyle w:val="Sansinterligne"/>
        <w:numPr>
          <w:ilvl w:val="0"/>
          <w:numId w:val="1611"/>
        </w:numPr>
      </w:pPr>
      <w:r>
        <w:t>Infiltration de corticostéroïdes et d’analgésique (Kenalog+ lidocaïne)</w:t>
      </w:r>
    </w:p>
    <w:p w:rsidR="00344D53" w:rsidRDefault="00344D53" w:rsidP="00A11F3C">
      <w:pPr>
        <w:pStyle w:val="Sansinterligne"/>
        <w:numPr>
          <w:ilvl w:val="1"/>
          <w:numId w:val="1611"/>
        </w:numPr>
      </w:pPr>
      <w:r>
        <w:t>Max q 3 mois</w:t>
      </w:r>
    </w:p>
    <w:p w:rsidR="00344D53" w:rsidRDefault="00344D53" w:rsidP="00A11F3C">
      <w:pPr>
        <w:pStyle w:val="Sansinterligne"/>
        <w:numPr>
          <w:ilvl w:val="0"/>
          <w:numId w:val="1611"/>
        </w:numPr>
      </w:pPr>
      <w:r>
        <w:t>Si infectieuse :</w:t>
      </w:r>
      <w:r w:rsidRPr="00344D53">
        <w:t xml:space="preserve"> </w:t>
      </w:r>
    </w:p>
    <w:p w:rsidR="00344D53" w:rsidRDefault="00344D53" w:rsidP="00A11F3C">
      <w:pPr>
        <w:pStyle w:val="Sansinterligne"/>
        <w:numPr>
          <w:ilvl w:val="1"/>
          <w:numId w:val="1611"/>
        </w:numPr>
      </w:pPr>
      <w:r>
        <w:t xml:space="preserve">ATB </w:t>
      </w:r>
      <w:r>
        <w:rPr>
          <w:rFonts w:cs="Times New Roman"/>
        </w:rPr>
        <w:t>± culture si possible</w:t>
      </w:r>
    </w:p>
    <w:p w:rsidR="00344D53" w:rsidRDefault="00344D53" w:rsidP="00A11F3C">
      <w:pPr>
        <w:pStyle w:val="Sansinterligne"/>
        <w:numPr>
          <w:ilvl w:val="1"/>
          <w:numId w:val="1611"/>
        </w:numPr>
      </w:pPr>
      <w:r>
        <w:t>Drainage si abcédée !</w:t>
      </w:r>
    </w:p>
    <w:p w:rsidR="00CF2CD8" w:rsidRDefault="00CF2CD8" w:rsidP="00140785">
      <w:pPr>
        <w:pStyle w:val="Sansinterligne"/>
      </w:pPr>
    </w:p>
    <w:p w:rsidR="00344D53" w:rsidRDefault="00344D53" w:rsidP="00140785">
      <w:pPr>
        <w:pStyle w:val="Sansinterligne"/>
      </w:pPr>
    </w:p>
    <w:p w:rsidR="00344D53" w:rsidRDefault="00344D53" w:rsidP="00140785">
      <w:pPr>
        <w:pStyle w:val="Sansinterligne"/>
      </w:pPr>
    </w:p>
    <w:p w:rsidR="00344D53" w:rsidRDefault="00344D53" w:rsidP="00140785">
      <w:pPr>
        <w:pStyle w:val="Sansinterligne"/>
      </w:pPr>
    </w:p>
    <w:p w:rsidR="00344D53" w:rsidRDefault="00344D53" w:rsidP="00140785">
      <w:pPr>
        <w:pStyle w:val="Sansinterligne"/>
      </w:pPr>
    </w:p>
    <w:p w:rsidR="00344D53" w:rsidRDefault="00344D53" w:rsidP="00140785">
      <w:pPr>
        <w:pStyle w:val="Sansinterligne"/>
      </w:pPr>
    </w:p>
    <w:p w:rsidR="00CF2CD8" w:rsidRPr="00344D53" w:rsidRDefault="00CF2CD8" w:rsidP="00140785">
      <w:pPr>
        <w:pStyle w:val="Sansinterligne"/>
        <w:rPr>
          <w:b/>
        </w:rPr>
      </w:pPr>
      <w:r w:rsidRPr="00344D53">
        <w:rPr>
          <w:b/>
        </w:rPr>
        <w:t>Tendinopathie</w:t>
      </w:r>
    </w:p>
    <w:p w:rsidR="00CF2CD8" w:rsidRDefault="00CF2CD8" w:rsidP="00A11F3C">
      <w:pPr>
        <w:pStyle w:val="Sansinterligne"/>
        <w:numPr>
          <w:ilvl w:val="0"/>
          <w:numId w:val="1612"/>
        </w:numPr>
      </w:pPr>
      <w:r>
        <w:t>Chronique</w:t>
      </w:r>
    </w:p>
    <w:p w:rsidR="00CF2CD8" w:rsidRDefault="00CF2CD8" w:rsidP="00A11F3C">
      <w:pPr>
        <w:pStyle w:val="Sansinterligne"/>
        <w:numPr>
          <w:ilvl w:val="1"/>
          <w:numId w:val="1612"/>
        </w:numPr>
      </w:pPr>
      <w:r>
        <w:t>Arrêt de l’insulte (travail, sport, mouvement)</w:t>
      </w:r>
    </w:p>
    <w:p w:rsidR="00CF2CD8" w:rsidRDefault="00CF2CD8" w:rsidP="00A11F3C">
      <w:pPr>
        <w:pStyle w:val="Sansinterligne"/>
        <w:numPr>
          <w:ilvl w:val="1"/>
          <w:numId w:val="1612"/>
        </w:numPr>
      </w:pPr>
      <w:r>
        <w:t>Adaptation au travail PRN, ergonomie</w:t>
      </w:r>
    </w:p>
    <w:p w:rsidR="00CF2CD8" w:rsidRDefault="00CF2CD8" w:rsidP="00A11F3C">
      <w:pPr>
        <w:pStyle w:val="Sansinterligne"/>
        <w:numPr>
          <w:ilvl w:val="1"/>
          <w:numId w:val="1612"/>
        </w:numPr>
      </w:pPr>
      <w:r>
        <w:t>Physiothérapie et entraînement physique</w:t>
      </w:r>
    </w:p>
    <w:p w:rsidR="00CF2CD8" w:rsidRDefault="00CF2CD8" w:rsidP="00A11F3C">
      <w:pPr>
        <w:pStyle w:val="Sansinterligne"/>
        <w:numPr>
          <w:ilvl w:val="1"/>
          <w:numId w:val="1612"/>
        </w:numPr>
      </w:pPr>
      <w:r>
        <w:t>Étirements</w:t>
      </w:r>
    </w:p>
    <w:p w:rsidR="00CF2CD8" w:rsidRDefault="00CF2CD8" w:rsidP="00A11F3C">
      <w:pPr>
        <w:pStyle w:val="Sansinterligne"/>
        <w:numPr>
          <w:ilvl w:val="1"/>
          <w:numId w:val="1612"/>
        </w:numPr>
      </w:pPr>
      <w:r>
        <w:t>AINS et acétaminophène</w:t>
      </w:r>
    </w:p>
    <w:p w:rsidR="00CF2CD8" w:rsidRDefault="00CF2CD8" w:rsidP="00A11F3C">
      <w:pPr>
        <w:pStyle w:val="Sansinterligne"/>
        <w:numPr>
          <w:ilvl w:val="0"/>
          <w:numId w:val="1612"/>
        </w:numPr>
      </w:pPr>
      <w:r>
        <w:t>Aigu</w:t>
      </w:r>
    </w:p>
    <w:p w:rsidR="00CF2CD8" w:rsidRDefault="00CF2CD8" w:rsidP="00A11F3C">
      <w:pPr>
        <w:pStyle w:val="Sansinterligne"/>
        <w:numPr>
          <w:ilvl w:val="1"/>
          <w:numId w:val="1612"/>
        </w:numPr>
      </w:pPr>
      <w:r>
        <w:t>Idem</w:t>
      </w:r>
    </w:p>
    <w:p w:rsidR="00CF2CD8" w:rsidRDefault="00CF2CD8" w:rsidP="00A11F3C">
      <w:pPr>
        <w:pStyle w:val="Sansinterligne"/>
        <w:numPr>
          <w:ilvl w:val="1"/>
          <w:numId w:val="1612"/>
        </w:numPr>
      </w:pPr>
      <w:r>
        <w:t>Parfois corticostéroïdes infiltr</w:t>
      </w:r>
      <w:r w:rsidR="00C24B4F">
        <w:t>és (peu recommandé)</w:t>
      </w:r>
    </w:p>
    <w:p w:rsidR="00CF2CD8" w:rsidRDefault="00CF2CD8" w:rsidP="00A11F3C">
      <w:pPr>
        <w:pStyle w:val="Sansinterligne"/>
        <w:numPr>
          <w:ilvl w:val="0"/>
          <w:numId w:val="1612"/>
        </w:numPr>
      </w:pPr>
      <w:r>
        <w:t>Chirurgie</w:t>
      </w:r>
    </w:p>
    <w:p w:rsidR="00CF2CD8" w:rsidRDefault="00CF2CD8" w:rsidP="00A11F3C">
      <w:pPr>
        <w:pStyle w:val="Sansinterligne"/>
        <w:numPr>
          <w:ilvl w:val="1"/>
          <w:numId w:val="1612"/>
        </w:numPr>
      </w:pPr>
      <w:r>
        <w:t>Seulement si déchirure et perte de fonction</w:t>
      </w:r>
    </w:p>
    <w:p w:rsidR="00344D53" w:rsidRDefault="00CF2CD8" w:rsidP="00A11F3C">
      <w:pPr>
        <w:pStyle w:val="Sansinterligne"/>
        <w:numPr>
          <w:ilvl w:val="1"/>
          <w:numId w:val="1612"/>
        </w:numPr>
        <w:sectPr w:rsidR="00344D53" w:rsidSect="00344D53">
          <w:type w:val="continuous"/>
          <w:pgSz w:w="12240" w:h="15840"/>
          <w:pgMar w:top="720" w:right="720" w:bottom="720" w:left="720" w:header="708" w:footer="708" w:gutter="0"/>
          <w:cols w:num="2" w:space="708"/>
          <w:docGrid w:linePitch="360"/>
        </w:sectPr>
      </w:pPr>
      <w:r>
        <w:t>Ex : déchirure de la coiffe des rotateurs</w:t>
      </w:r>
    </w:p>
    <w:p w:rsidR="00344D53" w:rsidRPr="00344D53" w:rsidRDefault="00344D53" w:rsidP="00344D53">
      <w:pPr>
        <w:pStyle w:val="Sansinterligne"/>
        <w:rPr>
          <w:b/>
        </w:rPr>
      </w:pPr>
      <w:r w:rsidRPr="00344D53">
        <w:rPr>
          <w:b/>
        </w:rPr>
        <w:t>Douleur neuropathique</w:t>
      </w:r>
    </w:p>
    <w:p w:rsidR="00344D53" w:rsidRDefault="00344D53" w:rsidP="00A11F3C">
      <w:pPr>
        <w:pStyle w:val="Sansinterligne"/>
        <w:numPr>
          <w:ilvl w:val="0"/>
          <w:numId w:val="1613"/>
        </w:numPr>
      </w:pPr>
      <w:r>
        <w:t>Essais thérapeutiques et combinaison</w:t>
      </w:r>
    </w:p>
    <w:p w:rsidR="00344D53" w:rsidRDefault="00344D53" w:rsidP="00A11F3C">
      <w:pPr>
        <w:pStyle w:val="Sansinterligne"/>
        <w:numPr>
          <w:ilvl w:val="1"/>
          <w:numId w:val="1613"/>
        </w:numPr>
      </w:pPr>
      <w:r>
        <w:t>Acétaminophène régulier (ex : 1g PO QID)</w:t>
      </w:r>
    </w:p>
    <w:p w:rsidR="00344D53" w:rsidRDefault="00344D53" w:rsidP="00A11F3C">
      <w:pPr>
        <w:pStyle w:val="Sansinterligne"/>
        <w:numPr>
          <w:ilvl w:val="1"/>
          <w:numId w:val="1613"/>
        </w:numPr>
      </w:pPr>
      <w:r>
        <w:t>Pregabalin, gababentin</w:t>
      </w:r>
    </w:p>
    <w:p w:rsidR="00344D53" w:rsidRDefault="00344D53" w:rsidP="00A11F3C">
      <w:pPr>
        <w:pStyle w:val="Sansinterligne"/>
        <w:numPr>
          <w:ilvl w:val="1"/>
          <w:numId w:val="1613"/>
        </w:numPr>
      </w:pPr>
      <w:r>
        <w:t>Antidépresseurs trycliques</w:t>
      </w:r>
    </w:p>
    <w:p w:rsidR="00344D53" w:rsidRDefault="00344D53" w:rsidP="00A11F3C">
      <w:pPr>
        <w:pStyle w:val="Sansinterligne"/>
        <w:numPr>
          <w:ilvl w:val="1"/>
          <w:numId w:val="1613"/>
        </w:numPr>
      </w:pPr>
      <w:r>
        <w:t>Inhibiteurs de la recpature de la sérotonine et de la noradrénaline (IRSN)</w:t>
      </w:r>
    </w:p>
    <w:p w:rsidR="00344D53" w:rsidRDefault="00344D53" w:rsidP="00A11F3C">
      <w:pPr>
        <w:pStyle w:val="Sansinterligne"/>
        <w:numPr>
          <w:ilvl w:val="2"/>
          <w:numId w:val="1613"/>
        </w:numPr>
      </w:pPr>
      <w:r>
        <w:t>Duloxetine</w:t>
      </w:r>
    </w:p>
    <w:p w:rsidR="00344D53" w:rsidRDefault="00344D53" w:rsidP="00A11F3C">
      <w:pPr>
        <w:pStyle w:val="Sansinterligne"/>
        <w:numPr>
          <w:ilvl w:val="2"/>
          <w:numId w:val="1613"/>
        </w:numPr>
      </w:pPr>
      <w:r>
        <w:t>Venlafaxine`</w:t>
      </w:r>
    </w:p>
    <w:p w:rsidR="00C97D44" w:rsidRPr="00140785" w:rsidRDefault="00344D53" w:rsidP="00A11F3C">
      <w:pPr>
        <w:pStyle w:val="Sansinterligne"/>
        <w:numPr>
          <w:ilvl w:val="0"/>
          <w:numId w:val="1613"/>
        </w:numPr>
      </w:pPr>
      <w:r>
        <w:t>Référence en anesthésiologie PRN ou si trop complexe</w:t>
      </w:r>
      <w:r w:rsidR="00C97D44" w:rsidRPr="00140785">
        <w:br w:type="page"/>
      </w:r>
    </w:p>
    <w:p w:rsidR="007820D8" w:rsidRPr="00F62E2A" w:rsidRDefault="00257ACB" w:rsidP="00F62E2A">
      <w:pPr>
        <w:pStyle w:val="Sansinterligne"/>
        <w:rPr>
          <w:rFonts w:cs="Times New Roman"/>
          <w:b/>
          <w:color w:val="548DD4" w:themeColor="text2" w:themeTint="99"/>
        </w:rPr>
      </w:pPr>
      <w:r w:rsidRPr="00F62E2A">
        <w:rPr>
          <w:rFonts w:cs="Times New Roman"/>
          <w:b/>
          <w:color w:val="548DD4" w:themeColor="text2" w:themeTint="99"/>
        </w:rPr>
        <w:t xml:space="preserve">CMC </w:t>
      </w:r>
      <w:r w:rsidR="007820D8" w:rsidRPr="00F62E2A">
        <w:rPr>
          <w:rFonts w:cs="Times New Roman"/>
          <w:b/>
          <w:color w:val="548DD4" w:themeColor="text2" w:themeTint="99"/>
        </w:rPr>
        <w:t>53</w:t>
      </w:r>
    </w:p>
    <w:p w:rsidR="007820D8" w:rsidRPr="00F62E2A" w:rsidRDefault="007820D8" w:rsidP="007820D8">
      <w:pPr>
        <w:pStyle w:val="Titre3"/>
        <w:spacing w:before="0"/>
        <w:rPr>
          <w:rFonts w:ascii="Times New Roman" w:hAnsi="Times New Roman" w:cs="Times New Roman"/>
        </w:rPr>
      </w:pPr>
      <w:bookmarkStart w:id="143" w:name="_Toc480797290"/>
      <w:r w:rsidRPr="00F012F8">
        <w:rPr>
          <w:rFonts w:ascii="Times New Roman" w:hAnsi="Times New Roman" w:cs="Times New Roman"/>
        </w:rPr>
        <w:t>Masse de l’appareil locomoteur</w:t>
      </w:r>
      <w:bookmarkEnd w:id="143"/>
    </w:p>
    <w:tbl>
      <w:tblPr>
        <w:tblW w:w="5000" w:type="pct"/>
        <w:tblCellSpacing w:w="0" w:type="dxa"/>
        <w:tblCellMar>
          <w:left w:w="0" w:type="dxa"/>
          <w:right w:w="0" w:type="dxa"/>
        </w:tblCellMar>
        <w:tblLook w:val="04A0" w:firstRow="1" w:lastRow="0" w:firstColumn="1" w:lastColumn="0" w:noHBand="0" w:noVBand="1"/>
      </w:tblPr>
      <w:tblGrid>
        <w:gridCol w:w="10759"/>
        <w:gridCol w:w="41"/>
      </w:tblGrid>
      <w:tr w:rsidR="007820D8" w:rsidRPr="00F012F8" w:rsidTr="007820D8">
        <w:trPr>
          <w:tblCellSpacing w:w="0" w:type="dxa"/>
        </w:trPr>
        <w:tc>
          <w:tcPr>
            <w:tcW w:w="0" w:type="auto"/>
            <w:vAlign w:val="bottom"/>
            <w:hideMark/>
          </w:tcPr>
          <w:bookmarkStart w:id="144" w:name="_Toc474266709"/>
          <w:bookmarkStart w:id="145" w:name="_Toc474274464"/>
          <w:bookmarkStart w:id="146" w:name="_Toc474769831"/>
          <w:bookmarkStart w:id="147" w:name="_Toc475198218"/>
          <w:bookmarkStart w:id="148" w:name="_Toc475563843"/>
          <w:p w:rsidR="007820D8" w:rsidRPr="001E71BC" w:rsidRDefault="00F62E2A" w:rsidP="001E71BC">
            <w:pPr>
              <w:pStyle w:val="Sansinterligne"/>
              <w:spacing w:before="240"/>
              <w:rPr>
                <w:b/>
                <w:sz w:val="18"/>
                <w:szCs w:val="18"/>
              </w:rPr>
            </w:pPr>
            <w:r w:rsidRPr="001E71BC">
              <w:rPr>
                <w:b/>
                <w:noProof/>
                <w:sz w:val="18"/>
                <w:szCs w:val="18"/>
                <w:lang w:eastAsia="fr-CA"/>
              </w:rPr>
              <mc:AlternateContent>
                <mc:Choice Requires="wps">
                  <w:drawing>
                    <wp:anchor distT="0" distB="0" distL="114300" distR="114300" simplePos="0" relativeHeight="251681792" behindDoc="0" locked="0" layoutInCell="1" allowOverlap="1" wp14:anchorId="3098A806" wp14:editId="6B72A95F">
                      <wp:simplePos x="0" y="0"/>
                      <wp:positionH relativeFrom="column">
                        <wp:posOffset>-48895</wp:posOffset>
                      </wp:positionH>
                      <wp:positionV relativeFrom="paragraph">
                        <wp:posOffset>41275</wp:posOffset>
                      </wp:positionV>
                      <wp:extent cx="7042150" cy="2227580"/>
                      <wp:effectExtent l="0" t="0" r="25400" b="20320"/>
                      <wp:wrapNone/>
                      <wp:docPr id="16" name="Rectangle 16"/>
                      <wp:cNvGraphicFramePr/>
                      <a:graphic xmlns:a="http://schemas.openxmlformats.org/drawingml/2006/main">
                        <a:graphicData uri="http://schemas.microsoft.com/office/word/2010/wordprocessingShape">
                          <wps:wsp>
                            <wps:cNvSpPr/>
                            <wps:spPr>
                              <a:xfrm>
                                <a:off x="0" y="0"/>
                                <a:ext cx="7042150" cy="2227580"/>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6" o:spid="_x0000_s1026" style="position:absolute;margin-left:-3.85pt;margin-top:3.25pt;width:554.5pt;height:175.4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" filled="f" strokecolor="black [1600]" strokeweight="2pt"/>
                  </w:pict>
                </mc:Fallback>
              </mc:AlternateContent>
            </w:r>
            <w:r w:rsidR="007820D8" w:rsidRPr="001E71BC">
              <w:rPr>
                <w:b/>
                <w:sz w:val="18"/>
                <w:szCs w:val="18"/>
              </w:rPr>
              <w:t>Objectifs principaux</w:t>
            </w:r>
            <w:bookmarkEnd w:id="144"/>
            <w:bookmarkEnd w:id="145"/>
            <w:bookmarkEnd w:id="146"/>
            <w:bookmarkEnd w:id="147"/>
            <w:bookmarkEnd w:id="148"/>
          </w:p>
        </w:tc>
        <w:tc>
          <w:tcPr>
            <w:tcW w:w="0" w:type="auto"/>
            <w:vAlign w:val="bottom"/>
            <w:hideMark/>
          </w:tcPr>
          <w:p w:rsidR="007820D8" w:rsidRPr="00F012F8" w:rsidRDefault="007820D8" w:rsidP="007820D8">
            <w:pPr>
              <w:spacing w:after="240"/>
              <w:jc w:val="right"/>
              <w:rPr>
                <w:rFonts w:cs="Times New Roman"/>
                <w:color w:val="000000"/>
                <w:sz w:val="18"/>
                <w:szCs w:val="18"/>
              </w:rPr>
            </w:pPr>
          </w:p>
        </w:tc>
      </w:tr>
    </w:tbl>
    <w:p w:rsidR="007820D8" w:rsidRPr="00F012F8" w:rsidRDefault="007820D8" w:rsidP="007820D8">
      <w:pPr>
        <w:pStyle w:val="NormalWeb"/>
        <w:spacing w:after="0" w:afterAutospacing="0"/>
        <w:ind w:left="360"/>
        <w:rPr>
          <w:color w:val="000000"/>
          <w:sz w:val="18"/>
          <w:szCs w:val="18"/>
          <w:shd w:val="clear" w:color="auto" w:fill="FFFFFF"/>
        </w:rPr>
      </w:pPr>
      <w:r w:rsidRPr="00F012F8">
        <w:rPr>
          <w:color w:val="000000"/>
          <w:sz w:val="18"/>
          <w:szCs w:val="18"/>
          <w:shd w:val="clear" w:color="auto" w:fill="FFFFFF"/>
        </w:rPr>
        <w:t>Dans le cas d'un patient ayant une masse de l'appareil locomoteur, le candidat devra en diagnostiquer la cause, la gravité et les complications, et mettre en place un plan de prise en charge approprié. En particulier, il devra pouvoir déterminer s'il s'agit d'un cas bénin ou malin.</w:t>
      </w:r>
    </w:p>
    <w:tbl>
      <w:tblPr>
        <w:tblW w:w="5000" w:type="pct"/>
        <w:tblCellSpacing w:w="0" w:type="dxa"/>
        <w:tblCellMar>
          <w:left w:w="0" w:type="dxa"/>
          <w:right w:w="0" w:type="dxa"/>
        </w:tblCellMar>
        <w:tblLook w:val="04A0" w:firstRow="1" w:lastRow="0" w:firstColumn="1" w:lastColumn="0" w:noHBand="0" w:noVBand="1"/>
      </w:tblPr>
      <w:tblGrid>
        <w:gridCol w:w="10754"/>
        <w:gridCol w:w="46"/>
      </w:tblGrid>
      <w:tr w:rsidR="007820D8" w:rsidRPr="00F012F8" w:rsidTr="007820D8">
        <w:trPr>
          <w:tblCellSpacing w:w="0" w:type="dxa"/>
        </w:trPr>
        <w:tc>
          <w:tcPr>
            <w:tcW w:w="0" w:type="auto"/>
            <w:vAlign w:val="bottom"/>
            <w:hideMark/>
          </w:tcPr>
          <w:p w:rsidR="007820D8" w:rsidRPr="001E71BC" w:rsidRDefault="007820D8" w:rsidP="001E71BC">
            <w:pPr>
              <w:pStyle w:val="Sansinterligne"/>
              <w:spacing w:before="240"/>
              <w:rPr>
                <w:b/>
                <w:sz w:val="16"/>
                <w:szCs w:val="16"/>
              </w:rPr>
            </w:pPr>
            <w:bookmarkStart w:id="149" w:name="_Toc474266710"/>
            <w:bookmarkStart w:id="150" w:name="_Toc474274465"/>
            <w:bookmarkStart w:id="151" w:name="_Toc474769832"/>
            <w:bookmarkStart w:id="152" w:name="_Toc475198219"/>
            <w:bookmarkStart w:id="153" w:name="_Toc475563844"/>
            <w:r w:rsidRPr="001E71BC">
              <w:rPr>
                <w:b/>
                <w:sz w:val="16"/>
                <w:szCs w:val="16"/>
              </w:rPr>
              <w:t>Objectifs spécifiques</w:t>
            </w:r>
            <w:bookmarkEnd w:id="149"/>
            <w:bookmarkEnd w:id="150"/>
            <w:bookmarkEnd w:id="151"/>
            <w:bookmarkEnd w:id="152"/>
            <w:bookmarkEnd w:id="153"/>
          </w:p>
        </w:tc>
        <w:tc>
          <w:tcPr>
            <w:tcW w:w="0" w:type="auto"/>
            <w:vAlign w:val="bottom"/>
            <w:hideMark/>
          </w:tcPr>
          <w:p w:rsidR="007820D8" w:rsidRPr="00F012F8" w:rsidRDefault="007820D8">
            <w:pPr>
              <w:jc w:val="right"/>
              <w:rPr>
                <w:rFonts w:cs="Times New Roman"/>
                <w:color w:val="000000"/>
                <w:sz w:val="16"/>
                <w:szCs w:val="16"/>
              </w:rPr>
            </w:pPr>
          </w:p>
        </w:tc>
      </w:tr>
    </w:tbl>
    <w:p w:rsidR="007820D8" w:rsidRPr="00F012F8" w:rsidRDefault="007820D8" w:rsidP="007820D8">
      <w:pPr>
        <w:pStyle w:val="NormalWeb"/>
        <w:shd w:val="clear" w:color="auto" w:fill="FFFFFF"/>
        <w:ind w:left="360"/>
        <w:rPr>
          <w:color w:val="000000"/>
          <w:sz w:val="16"/>
          <w:szCs w:val="16"/>
          <w:shd w:val="clear" w:color="auto" w:fill="FFFFFF"/>
        </w:rPr>
      </w:pPr>
      <w:r w:rsidRPr="00F012F8">
        <w:rPr>
          <w:color w:val="000000"/>
          <w:sz w:val="16"/>
          <w:szCs w:val="16"/>
          <w:shd w:val="clear" w:color="auto" w:fill="FFFFFF"/>
        </w:rPr>
        <w:t>Dans le cas d'un patient ayant une masse de l'appareil locomoteur, le candidat devra</w:t>
      </w:r>
    </w:p>
    <w:p w:rsidR="007820D8" w:rsidRPr="00F012F8" w:rsidRDefault="007820D8" w:rsidP="007820D8">
      <w:pPr>
        <w:numPr>
          <w:ilvl w:val="0"/>
          <w:numId w:val="100"/>
        </w:numPr>
        <w:shd w:val="clear" w:color="auto" w:fill="FFFFFF"/>
        <w:spacing w:before="100" w:beforeAutospacing="1" w:after="100" w:afterAutospacing="1" w:line="240" w:lineRule="auto"/>
        <w:rPr>
          <w:rFonts w:cs="Times New Roman"/>
          <w:color w:val="000000"/>
          <w:sz w:val="16"/>
          <w:szCs w:val="16"/>
          <w:shd w:val="clear" w:color="auto" w:fill="FFFFFF"/>
        </w:rPr>
      </w:pPr>
      <w:r w:rsidRPr="00F012F8">
        <w:rPr>
          <w:rFonts w:cs="Times New Roman"/>
          <w:color w:val="000000"/>
          <w:sz w:val="16"/>
          <w:szCs w:val="16"/>
          <w:shd w:val="clear" w:color="auto" w:fill="FFFFFF"/>
        </w:rPr>
        <w:t>énumérer et interpréter les constatations cliniques cruciales, notamment :</w:t>
      </w:r>
    </w:p>
    <w:p w:rsidR="007820D8" w:rsidRPr="00F012F8" w:rsidRDefault="007820D8" w:rsidP="007820D8">
      <w:pPr>
        <w:numPr>
          <w:ilvl w:val="1"/>
          <w:numId w:val="100"/>
        </w:numPr>
        <w:shd w:val="clear" w:color="auto" w:fill="FFFFFF"/>
        <w:spacing w:before="100" w:beforeAutospacing="1" w:after="100" w:afterAutospacing="1" w:line="240" w:lineRule="auto"/>
        <w:rPr>
          <w:rFonts w:cs="Times New Roman"/>
          <w:color w:val="000000"/>
          <w:sz w:val="16"/>
          <w:szCs w:val="16"/>
          <w:shd w:val="clear" w:color="auto" w:fill="FFFFFF"/>
        </w:rPr>
      </w:pPr>
      <w:r w:rsidRPr="00F012F8">
        <w:rPr>
          <w:rFonts w:cs="Times New Roman"/>
          <w:color w:val="000000"/>
          <w:sz w:val="16"/>
          <w:szCs w:val="16"/>
          <w:shd w:val="clear" w:color="auto" w:fill="FFFFFF"/>
        </w:rPr>
        <w:t>une anamnèse et un examen physique appropriés, avec une attention particulière aux signes évoquant la présence d'un sarcome;</w:t>
      </w:r>
    </w:p>
    <w:p w:rsidR="007820D8" w:rsidRPr="00F012F8" w:rsidRDefault="007820D8" w:rsidP="007820D8">
      <w:pPr>
        <w:numPr>
          <w:ilvl w:val="0"/>
          <w:numId w:val="100"/>
        </w:numPr>
        <w:shd w:val="clear" w:color="auto" w:fill="FFFFFF"/>
        <w:spacing w:before="100" w:beforeAutospacing="1" w:after="100" w:afterAutospacing="1" w:line="240" w:lineRule="auto"/>
        <w:rPr>
          <w:rFonts w:cs="Times New Roman"/>
          <w:color w:val="000000"/>
          <w:sz w:val="16"/>
          <w:szCs w:val="16"/>
          <w:shd w:val="clear" w:color="auto" w:fill="FFFFFF"/>
        </w:rPr>
      </w:pPr>
      <w:r w:rsidRPr="00F012F8">
        <w:rPr>
          <w:rFonts w:cs="Times New Roman"/>
          <w:color w:val="000000"/>
          <w:sz w:val="16"/>
          <w:szCs w:val="16"/>
          <w:shd w:val="clear" w:color="auto" w:fill="FFFFFF"/>
        </w:rPr>
        <w:t>énumérer et interpréter les examens essentiels, notamment :</w:t>
      </w:r>
    </w:p>
    <w:p w:rsidR="007820D8" w:rsidRPr="00F012F8" w:rsidRDefault="007820D8" w:rsidP="007820D8">
      <w:pPr>
        <w:numPr>
          <w:ilvl w:val="1"/>
          <w:numId w:val="100"/>
        </w:numPr>
        <w:shd w:val="clear" w:color="auto" w:fill="FFFFFF"/>
        <w:spacing w:before="100" w:beforeAutospacing="1" w:after="100" w:afterAutospacing="1" w:line="240" w:lineRule="auto"/>
        <w:rPr>
          <w:rFonts w:cs="Times New Roman"/>
          <w:color w:val="000000"/>
          <w:sz w:val="16"/>
          <w:szCs w:val="16"/>
          <w:shd w:val="clear" w:color="auto" w:fill="FFFFFF"/>
        </w:rPr>
      </w:pPr>
      <w:r w:rsidRPr="00F012F8">
        <w:rPr>
          <w:rFonts w:cs="Times New Roman"/>
          <w:color w:val="000000"/>
          <w:sz w:val="16"/>
          <w:szCs w:val="16"/>
          <w:shd w:val="clear" w:color="auto" w:fill="FFFFFF"/>
        </w:rPr>
        <w:t>les analyses de laboratoire et les examens radiologiques appropriés, et en particulier la détermination à savoir si le patient a besoin d'une biopsie;</w:t>
      </w:r>
    </w:p>
    <w:p w:rsidR="007820D8" w:rsidRPr="00F012F8" w:rsidRDefault="007820D8" w:rsidP="007820D8">
      <w:pPr>
        <w:numPr>
          <w:ilvl w:val="0"/>
          <w:numId w:val="100"/>
        </w:numPr>
        <w:shd w:val="clear" w:color="auto" w:fill="FFFFFF"/>
        <w:spacing w:before="100" w:beforeAutospacing="1" w:after="100" w:afterAutospacing="1" w:line="240" w:lineRule="auto"/>
        <w:rPr>
          <w:rFonts w:cs="Times New Roman"/>
          <w:color w:val="000000"/>
          <w:sz w:val="16"/>
          <w:szCs w:val="16"/>
          <w:shd w:val="clear" w:color="auto" w:fill="FFFFFF"/>
        </w:rPr>
      </w:pPr>
      <w:r w:rsidRPr="00F012F8">
        <w:rPr>
          <w:rFonts w:cs="Times New Roman"/>
          <w:color w:val="000000"/>
          <w:sz w:val="16"/>
          <w:szCs w:val="16"/>
          <w:shd w:val="clear" w:color="auto" w:fill="FFFFFF"/>
        </w:rPr>
        <w:t>établir un plan efficace de prise en charge initiale, notamment :</w:t>
      </w:r>
    </w:p>
    <w:p w:rsidR="0083670A" w:rsidRPr="00052610" w:rsidRDefault="007820D8" w:rsidP="00052610">
      <w:pPr>
        <w:numPr>
          <w:ilvl w:val="1"/>
          <w:numId w:val="100"/>
        </w:numPr>
        <w:shd w:val="clear" w:color="auto" w:fill="FFFFFF"/>
        <w:spacing w:before="100" w:beforeAutospacing="1" w:after="100" w:afterAutospacing="1" w:line="240" w:lineRule="auto"/>
        <w:rPr>
          <w:rFonts w:cs="Times New Roman"/>
          <w:color w:val="000000"/>
          <w:sz w:val="16"/>
          <w:szCs w:val="16"/>
          <w:shd w:val="clear" w:color="auto" w:fill="FFFFFF"/>
        </w:rPr>
      </w:pPr>
      <w:r w:rsidRPr="00F012F8">
        <w:rPr>
          <w:rFonts w:cs="Times New Roman"/>
          <w:color w:val="000000"/>
          <w:sz w:val="16"/>
          <w:szCs w:val="16"/>
          <w:shd w:val="clear" w:color="auto" w:fill="FFFFFF"/>
        </w:rPr>
        <w:t>la détermination à savoir si le patient a besoin d'un diagnostic et d'un traitement spécialisés ou urgents.</w:t>
      </w:r>
    </w:p>
    <w:p w:rsidR="0083670A" w:rsidRPr="00D155A9" w:rsidRDefault="00EE1A48" w:rsidP="0075765A">
      <w:pPr>
        <w:spacing w:before="240"/>
        <w:rPr>
          <w:rFonts w:cs="Times New Roman"/>
          <w:b/>
          <w:sz w:val="28"/>
          <w:szCs w:val="28"/>
        </w:rPr>
      </w:pPr>
      <w:r w:rsidRPr="00D155A9">
        <w:rPr>
          <w:rFonts w:cs="Times New Roman"/>
          <w:noProof/>
          <w:sz w:val="28"/>
          <w:szCs w:val="28"/>
          <w:lang w:eastAsia="fr-CA"/>
        </w:rPr>
        <w:drawing>
          <wp:anchor distT="0" distB="0" distL="114300" distR="114300" simplePos="0" relativeHeight="251693056" behindDoc="0" locked="0" layoutInCell="1" allowOverlap="1" wp14:anchorId="28D88E62" wp14:editId="16DB1C99">
            <wp:simplePos x="0" y="0"/>
            <wp:positionH relativeFrom="column">
              <wp:posOffset>4246245</wp:posOffset>
            </wp:positionH>
            <wp:positionV relativeFrom="paragraph">
              <wp:posOffset>192405</wp:posOffset>
            </wp:positionV>
            <wp:extent cx="2637155" cy="1756410"/>
            <wp:effectExtent l="0" t="0" r="0" b="0"/>
            <wp:wrapNone/>
            <wp:docPr id="40" name="Image 40" descr="Résultats de recherche d'images pour « néoplasie osseus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ésultats de recherche d'images pour « néoplasie osseuse »"/>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2637155" cy="1756410"/>
                    </a:xfrm>
                    <a:prstGeom prst="rect">
                      <a:avLst/>
                    </a:prstGeom>
                    <a:noFill/>
                    <a:ln>
                      <a:noFill/>
                    </a:ln>
                  </pic:spPr>
                </pic:pic>
              </a:graphicData>
            </a:graphic>
            <wp14:sizeRelH relativeFrom="page">
              <wp14:pctWidth>0</wp14:pctWidth>
            </wp14:sizeRelH>
            <wp14:sizeRelV relativeFrom="page">
              <wp14:pctHeight>0</wp14:pctHeight>
            </wp14:sizeRelV>
          </wp:anchor>
        </w:drawing>
      </w:r>
      <w:r w:rsidR="0083670A" w:rsidRPr="00D155A9">
        <w:rPr>
          <w:rFonts w:cs="Times New Roman"/>
          <w:b/>
          <w:sz w:val="28"/>
          <w:szCs w:val="28"/>
        </w:rPr>
        <w:t>Étiologies</w:t>
      </w:r>
    </w:p>
    <w:p w:rsidR="0083670A" w:rsidRPr="00F012F8" w:rsidRDefault="0083670A" w:rsidP="009302F6">
      <w:pPr>
        <w:pStyle w:val="Paragraphedeliste"/>
        <w:numPr>
          <w:ilvl w:val="0"/>
          <w:numId w:val="102"/>
        </w:numPr>
        <w:spacing w:after="0"/>
        <w:rPr>
          <w:rFonts w:cs="Times New Roman"/>
        </w:rPr>
      </w:pPr>
      <w:r w:rsidRPr="00F012F8">
        <w:rPr>
          <w:rFonts w:cs="Times New Roman"/>
        </w:rPr>
        <w:t>Os</w:t>
      </w:r>
      <w:r w:rsidR="00271E1C" w:rsidRPr="00F012F8">
        <w:rPr>
          <w:rFonts w:cs="Times New Roman"/>
        </w:rPr>
        <w:t xml:space="preserve"> (</w:t>
      </w:r>
      <w:r w:rsidR="009302F6" w:rsidRPr="00F012F8">
        <w:rPr>
          <w:rFonts w:cs="Times New Roman"/>
        </w:rPr>
        <w:t>fibrome</w:t>
      </w:r>
      <w:r w:rsidR="00271E1C" w:rsidRPr="00F012F8">
        <w:rPr>
          <w:rFonts w:cs="Times New Roman"/>
        </w:rPr>
        <w:t>,</w:t>
      </w:r>
      <w:r w:rsidR="0029328E" w:rsidRPr="00F012F8">
        <w:rPr>
          <w:rFonts w:cs="Times New Roman"/>
        </w:rPr>
        <w:t xml:space="preserve"> kyste</w:t>
      </w:r>
      <w:r w:rsidR="009302F6" w:rsidRPr="00F012F8">
        <w:rPr>
          <w:rFonts w:cs="Times New Roman"/>
        </w:rPr>
        <w:t>, ostéome ostéoide,</w:t>
      </w:r>
      <w:r w:rsidR="0029328E" w:rsidRPr="00F012F8">
        <w:rPr>
          <w:rFonts w:cs="Times New Roman"/>
        </w:rPr>
        <w:t xml:space="preserve"> ostéosarcome</w:t>
      </w:r>
      <w:r w:rsidR="00271E1C" w:rsidRPr="00F012F8">
        <w:rPr>
          <w:rFonts w:cs="Times New Roman"/>
        </w:rPr>
        <w:t xml:space="preserve">, </w:t>
      </w:r>
      <w:r w:rsidR="0029328E" w:rsidRPr="00F012F8">
        <w:rPr>
          <w:rFonts w:cs="Times New Roman"/>
        </w:rPr>
        <w:t>tumeur d’</w:t>
      </w:r>
      <w:r w:rsidR="009302F6" w:rsidRPr="00F012F8">
        <w:rPr>
          <w:rFonts w:cs="Times New Roman"/>
        </w:rPr>
        <w:t>Ewing</w:t>
      </w:r>
      <w:r w:rsidR="00271E1C" w:rsidRPr="00F012F8">
        <w:rPr>
          <w:rFonts w:cs="Times New Roman"/>
        </w:rPr>
        <w:t>)</w:t>
      </w:r>
    </w:p>
    <w:p w:rsidR="0029328E" w:rsidRPr="00F012F8" w:rsidRDefault="0029328E" w:rsidP="009302F6">
      <w:pPr>
        <w:pStyle w:val="Paragraphedeliste"/>
        <w:numPr>
          <w:ilvl w:val="0"/>
          <w:numId w:val="102"/>
        </w:numPr>
        <w:spacing w:after="0"/>
        <w:rPr>
          <w:rFonts w:cs="Times New Roman"/>
        </w:rPr>
      </w:pPr>
      <w:r w:rsidRPr="00F012F8">
        <w:rPr>
          <w:rFonts w:cs="Times New Roman"/>
        </w:rPr>
        <w:t>Cartilage (enchondrome, chondrosarcome)</w:t>
      </w:r>
    </w:p>
    <w:p w:rsidR="0083670A" w:rsidRPr="00F012F8" w:rsidRDefault="0083670A" w:rsidP="009302F6">
      <w:pPr>
        <w:pStyle w:val="Paragraphedeliste"/>
        <w:numPr>
          <w:ilvl w:val="0"/>
          <w:numId w:val="102"/>
        </w:numPr>
        <w:spacing w:after="0"/>
        <w:rPr>
          <w:rFonts w:cs="Times New Roman"/>
        </w:rPr>
      </w:pPr>
      <w:r w:rsidRPr="00F012F8">
        <w:rPr>
          <w:rFonts w:cs="Times New Roman"/>
        </w:rPr>
        <w:t>Tissus mous</w:t>
      </w:r>
    </w:p>
    <w:p w:rsidR="0083670A" w:rsidRPr="00F012F8" w:rsidRDefault="0083670A" w:rsidP="009302F6">
      <w:pPr>
        <w:pStyle w:val="Paragraphedeliste"/>
        <w:numPr>
          <w:ilvl w:val="0"/>
          <w:numId w:val="101"/>
        </w:numPr>
        <w:rPr>
          <w:rFonts w:cs="Times New Roman"/>
        </w:rPr>
      </w:pPr>
      <w:r w:rsidRPr="00F012F8">
        <w:rPr>
          <w:rFonts w:cs="Times New Roman"/>
        </w:rPr>
        <w:t>Muscle</w:t>
      </w:r>
      <w:r w:rsidR="009302F6" w:rsidRPr="00F012F8">
        <w:rPr>
          <w:rFonts w:cs="Times New Roman"/>
        </w:rPr>
        <w:t>s</w:t>
      </w:r>
      <w:r w:rsidR="00271E1C" w:rsidRPr="00F012F8">
        <w:rPr>
          <w:rFonts w:cs="Times New Roman"/>
        </w:rPr>
        <w:t xml:space="preserve"> (sarcomes, kystes)</w:t>
      </w:r>
    </w:p>
    <w:p w:rsidR="0083670A" w:rsidRPr="00F012F8" w:rsidRDefault="0083670A" w:rsidP="009302F6">
      <w:pPr>
        <w:pStyle w:val="Paragraphedeliste"/>
        <w:numPr>
          <w:ilvl w:val="0"/>
          <w:numId w:val="101"/>
        </w:numPr>
        <w:rPr>
          <w:rFonts w:cs="Times New Roman"/>
        </w:rPr>
      </w:pPr>
      <w:r w:rsidRPr="00F012F8">
        <w:rPr>
          <w:rFonts w:cs="Times New Roman"/>
        </w:rPr>
        <w:t>Tendons</w:t>
      </w:r>
      <w:r w:rsidR="00271E1C" w:rsidRPr="00F012F8">
        <w:rPr>
          <w:rFonts w:cs="Times New Roman"/>
        </w:rPr>
        <w:t xml:space="preserve"> (nodules rhumatoïdes</w:t>
      </w:r>
      <w:r w:rsidR="0029328E" w:rsidRPr="00F012F8">
        <w:rPr>
          <w:rFonts w:cs="Times New Roman"/>
        </w:rPr>
        <w:t>)</w:t>
      </w:r>
    </w:p>
    <w:p w:rsidR="009302F6" w:rsidRPr="00F012F8" w:rsidRDefault="00271E1C" w:rsidP="009302F6">
      <w:pPr>
        <w:pStyle w:val="Paragraphedeliste"/>
        <w:numPr>
          <w:ilvl w:val="0"/>
          <w:numId w:val="101"/>
        </w:numPr>
        <w:rPr>
          <w:rFonts w:cs="Times New Roman"/>
        </w:rPr>
      </w:pPr>
      <w:r w:rsidRPr="00F012F8">
        <w:rPr>
          <w:rFonts w:cs="Times New Roman"/>
        </w:rPr>
        <w:t>Sous-cutané (papules de Gottron,</w:t>
      </w:r>
      <w:r w:rsidR="009302F6" w:rsidRPr="00F012F8">
        <w:rPr>
          <w:rFonts w:cs="Times New Roman"/>
        </w:rPr>
        <w:t xml:space="preserve"> lipome,</w:t>
      </w:r>
      <w:r w:rsidRPr="00F012F8">
        <w:rPr>
          <w:rFonts w:cs="Times New Roman"/>
        </w:rPr>
        <w:t xml:space="preserve"> abcès, etc.)</w:t>
      </w:r>
    </w:p>
    <w:p w:rsidR="007A679D" w:rsidRPr="00F012F8" w:rsidRDefault="007A679D" w:rsidP="007A679D">
      <w:pPr>
        <w:pStyle w:val="Paragraphedeliste"/>
        <w:rPr>
          <w:rFonts w:cs="Times New Roman"/>
        </w:rPr>
      </w:pPr>
    </w:p>
    <w:p w:rsidR="0029328E" w:rsidRPr="00F012F8" w:rsidRDefault="0029328E" w:rsidP="007A679D">
      <w:pPr>
        <w:pStyle w:val="Paragraphedeliste"/>
        <w:numPr>
          <w:ilvl w:val="0"/>
          <w:numId w:val="106"/>
        </w:numPr>
        <w:spacing w:after="0"/>
        <w:rPr>
          <w:rFonts w:cs="Times New Roman"/>
        </w:rPr>
      </w:pPr>
      <w:r w:rsidRPr="00F012F8">
        <w:rPr>
          <w:rFonts w:cs="Times New Roman"/>
        </w:rPr>
        <w:t>Sarcome</w:t>
      </w:r>
      <w:r w:rsidR="009302F6" w:rsidRPr="00F012F8">
        <w:rPr>
          <w:rFonts w:cs="Times New Roman"/>
        </w:rPr>
        <w:t xml:space="preserve"> = origine mésenchymateuse </w:t>
      </w:r>
    </w:p>
    <w:p w:rsidR="009302F6" w:rsidRPr="00F012F8" w:rsidRDefault="0029328E" w:rsidP="007A679D">
      <w:pPr>
        <w:pStyle w:val="Paragraphedeliste"/>
        <w:numPr>
          <w:ilvl w:val="0"/>
          <w:numId w:val="106"/>
        </w:numPr>
        <w:spacing w:after="0"/>
        <w:rPr>
          <w:rFonts w:cs="Times New Roman"/>
        </w:rPr>
      </w:pPr>
      <w:r w:rsidRPr="00F012F8">
        <w:rPr>
          <w:rFonts w:cs="Times New Roman"/>
        </w:rPr>
        <w:t xml:space="preserve">Carcinome </w:t>
      </w:r>
      <w:r w:rsidR="009302F6" w:rsidRPr="00F012F8">
        <w:rPr>
          <w:rFonts w:cs="Times New Roman"/>
        </w:rPr>
        <w:t>= origine épithéliale</w:t>
      </w:r>
    </w:p>
    <w:p w:rsidR="001E71BC" w:rsidRPr="00F012F8" w:rsidRDefault="001E71BC" w:rsidP="007A679D">
      <w:pPr>
        <w:rPr>
          <w:rFonts w:cs="Times New Roman"/>
          <w:b/>
          <w:sz w:val="16"/>
          <w:szCs w:val="16"/>
        </w:rPr>
      </w:pPr>
    </w:p>
    <w:p w:rsidR="00271E1C" w:rsidRPr="00D155A9" w:rsidRDefault="00271E1C" w:rsidP="007A679D">
      <w:pPr>
        <w:rPr>
          <w:rFonts w:cs="Times New Roman"/>
          <w:b/>
          <w:sz w:val="28"/>
          <w:szCs w:val="28"/>
        </w:rPr>
      </w:pPr>
      <w:r w:rsidRPr="00D155A9">
        <w:rPr>
          <w:rFonts w:cs="Times New Roman"/>
          <w:b/>
          <w:sz w:val="28"/>
          <w:szCs w:val="28"/>
        </w:rPr>
        <w:t>Diagnostic</w:t>
      </w:r>
    </w:p>
    <w:tbl>
      <w:tblPr>
        <w:tblStyle w:val="Grilledutableau"/>
        <w:tblW w:w="0" w:type="auto"/>
        <w:tblLook w:val="04A0" w:firstRow="1" w:lastRow="0" w:firstColumn="1" w:lastColumn="0" w:noHBand="0" w:noVBand="1"/>
      </w:tblPr>
      <w:tblGrid>
        <w:gridCol w:w="1951"/>
        <w:gridCol w:w="3565"/>
        <w:gridCol w:w="2956"/>
        <w:gridCol w:w="2544"/>
      </w:tblGrid>
      <w:tr w:rsidR="009302F6" w:rsidRPr="00F012F8" w:rsidTr="00BB27B9">
        <w:trPr>
          <w:trHeight w:val="308"/>
        </w:trPr>
        <w:tc>
          <w:tcPr>
            <w:tcW w:w="11016" w:type="dxa"/>
            <w:gridSpan w:val="4"/>
            <w:shd w:val="clear" w:color="auto" w:fill="4F81BD" w:themeFill="accent1"/>
          </w:tcPr>
          <w:p w:rsidR="009302F6" w:rsidRPr="00F012F8" w:rsidRDefault="0029328E" w:rsidP="009B778C">
            <w:pPr>
              <w:jc w:val="center"/>
              <w:rPr>
                <w:rFonts w:cs="Times New Roman"/>
                <w:b/>
              </w:rPr>
            </w:pPr>
            <w:r w:rsidRPr="00F012F8">
              <w:rPr>
                <w:rFonts w:cs="Times New Roman"/>
                <w:b/>
              </w:rPr>
              <w:t>Cartilage</w:t>
            </w:r>
          </w:p>
        </w:tc>
      </w:tr>
      <w:tr w:rsidR="006C475F" w:rsidRPr="00F012F8" w:rsidTr="00BB27B9">
        <w:tc>
          <w:tcPr>
            <w:tcW w:w="1951" w:type="dxa"/>
            <w:shd w:val="clear" w:color="auto" w:fill="95B3D7" w:themeFill="accent1" w:themeFillTint="99"/>
          </w:tcPr>
          <w:p w:rsidR="00271E1C" w:rsidRPr="00F012F8" w:rsidRDefault="009302F6" w:rsidP="009B778C">
            <w:pPr>
              <w:jc w:val="center"/>
              <w:rPr>
                <w:rFonts w:cs="Times New Roman"/>
                <w:i/>
              </w:rPr>
            </w:pPr>
            <w:r w:rsidRPr="00F012F8">
              <w:rPr>
                <w:rFonts w:cs="Times New Roman"/>
                <w:i/>
              </w:rPr>
              <w:t>Diagnostic</w:t>
            </w:r>
          </w:p>
        </w:tc>
        <w:tc>
          <w:tcPr>
            <w:tcW w:w="3565" w:type="dxa"/>
            <w:shd w:val="clear" w:color="auto" w:fill="95B3D7" w:themeFill="accent1" w:themeFillTint="99"/>
          </w:tcPr>
          <w:p w:rsidR="00271E1C" w:rsidRPr="00F012F8" w:rsidRDefault="009302F6" w:rsidP="009B778C">
            <w:pPr>
              <w:jc w:val="center"/>
              <w:rPr>
                <w:rFonts w:cs="Times New Roman"/>
                <w:i/>
              </w:rPr>
            </w:pPr>
            <w:r w:rsidRPr="00F012F8">
              <w:rPr>
                <w:rFonts w:cs="Times New Roman"/>
                <w:i/>
              </w:rPr>
              <w:t>Facteurs de risque - épidémiologie</w:t>
            </w:r>
          </w:p>
        </w:tc>
        <w:tc>
          <w:tcPr>
            <w:tcW w:w="2956" w:type="dxa"/>
            <w:shd w:val="clear" w:color="auto" w:fill="95B3D7" w:themeFill="accent1" w:themeFillTint="99"/>
          </w:tcPr>
          <w:p w:rsidR="00271E1C" w:rsidRPr="00F012F8" w:rsidRDefault="009302F6" w:rsidP="009B778C">
            <w:pPr>
              <w:jc w:val="center"/>
              <w:rPr>
                <w:rFonts w:cs="Times New Roman"/>
                <w:i/>
              </w:rPr>
            </w:pPr>
            <w:r w:rsidRPr="00F012F8">
              <w:rPr>
                <w:rFonts w:cs="Times New Roman"/>
                <w:i/>
              </w:rPr>
              <w:t>Symptômes / Signes physiques</w:t>
            </w:r>
          </w:p>
        </w:tc>
        <w:tc>
          <w:tcPr>
            <w:tcW w:w="2544" w:type="dxa"/>
            <w:shd w:val="clear" w:color="auto" w:fill="95B3D7" w:themeFill="accent1" w:themeFillTint="99"/>
          </w:tcPr>
          <w:p w:rsidR="00271E1C" w:rsidRPr="00F012F8" w:rsidRDefault="00D739A0" w:rsidP="009B778C">
            <w:pPr>
              <w:jc w:val="center"/>
              <w:rPr>
                <w:rFonts w:cs="Times New Roman"/>
                <w:i/>
              </w:rPr>
            </w:pPr>
            <w:r w:rsidRPr="00F012F8">
              <w:rPr>
                <w:rFonts w:cs="Times New Roman"/>
                <w:i/>
              </w:rPr>
              <w:t>A</w:t>
            </w:r>
            <w:r w:rsidR="006C475F" w:rsidRPr="00F012F8">
              <w:rPr>
                <w:rFonts w:cs="Times New Roman"/>
                <w:i/>
              </w:rPr>
              <w:t xml:space="preserve">spect </w:t>
            </w:r>
            <w:r w:rsidRPr="00F012F8">
              <w:rPr>
                <w:rFonts w:cs="Times New Roman"/>
                <w:i/>
              </w:rPr>
              <w:t>radiologique</w:t>
            </w:r>
          </w:p>
        </w:tc>
      </w:tr>
      <w:tr w:rsidR="00DB0C57" w:rsidRPr="00F012F8" w:rsidTr="00BB27B9">
        <w:tc>
          <w:tcPr>
            <w:tcW w:w="1951" w:type="dxa"/>
            <w:shd w:val="clear" w:color="auto" w:fill="95B3D7" w:themeFill="accent1" w:themeFillTint="99"/>
            <w:vAlign w:val="center"/>
          </w:tcPr>
          <w:p w:rsidR="00DB0C57" w:rsidRPr="00F012F8" w:rsidRDefault="00DB0C57" w:rsidP="00DB0C57">
            <w:pPr>
              <w:jc w:val="center"/>
              <w:rPr>
                <w:rFonts w:cs="Times New Roman"/>
              </w:rPr>
            </w:pPr>
            <w:r w:rsidRPr="00F012F8">
              <w:rPr>
                <w:rFonts w:cs="Times New Roman"/>
              </w:rPr>
              <w:t>Enchondrome</w:t>
            </w:r>
          </w:p>
        </w:tc>
        <w:tc>
          <w:tcPr>
            <w:tcW w:w="3565" w:type="dxa"/>
          </w:tcPr>
          <w:p w:rsidR="00DB0C57" w:rsidRPr="00F012F8" w:rsidRDefault="00DB0C57" w:rsidP="00DB0C57">
            <w:pPr>
              <w:pStyle w:val="Paragraphedeliste"/>
              <w:numPr>
                <w:ilvl w:val="0"/>
                <w:numId w:val="104"/>
              </w:numPr>
              <w:rPr>
                <w:rFonts w:cs="Times New Roman"/>
              </w:rPr>
            </w:pPr>
            <w:r w:rsidRPr="00F012F8">
              <w:rPr>
                <w:rFonts w:cs="Times New Roman"/>
              </w:rPr>
              <w:t>10-30 ans</w:t>
            </w:r>
          </w:p>
          <w:p w:rsidR="00DB0C57" w:rsidRPr="00F012F8" w:rsidRDefault="00DB0C57" w:rsidP="007A679D">
            <w:pPr>
              <w:pStyle w:val="Paragraphedeliste"/>
              <w:numPr>
                <w:ilvl w:val="0"/>
                <w:numId w:val="104"/>
              </w:numPr>
              <w:rPr>
                <w:rFonts w:cs="Times New Roman"/>
              </w:rPr>
            </w:pPr>
            <w:r w:rsidRPr="00F012F8">
              <w:rPr>
                <w:rFonts w:cs="Times New Roman"/>
              </w:rPr>
              <w:t xml:space="preserve">60% petits os </w:t>
            </w:r>
            <w:r w:rsidR="007A679D" w:rsidRPr="00F012F8">
              <w:rPr>
                <w:rFonts w:cs="Times New Roman"/>
              </w:rPr>
              <w:t xml:space="preserve">tubulaires </w:t>
            </w:r>
            <w:r w:rsidRPr="00F012F8">
              <w:rPr>
                <w:rFonts w:cs="Times New Roman"/>
              </w:rPr>
              <w:t>de la main et du pied</w:t>
            </w:r>
            <w:r w:rsidR="007A679D" w:rsidRPr="00F012F8">
              <w:rPr>
                <w:rFonts w:cs="Times New Roman"/>
              </w:rPr>
              <w:t xml:space="preserve">, </w:t>
            </w:r>
            <w:r w:rsidRPr="00F012F8">
              <w:rPr>
                <w:rFonts w:cs="Times New Roman"/>
              </w:rPr>
              <w:t>20% au fémur</w:t>
            </w:r>
          </w:p>
          <w:p w:rsidR="00DB0C57" w:rsidRPr="00F012F8" w:rsidRDefault="00DB0C57" w:rsidP="00DB0C57">
            <w:pPr>
              <w:pStyle w:val="Paragraphedeliste"/>
              <w:numPr>
                <w:ilvl w:val="0"/>
                <w:numId w:val="104"/>
              </w:numPr>
              <w:rPr>
                <w:rFonts w:cs="Times New Roman"/>
              </w:rPr>
            </w:pPr>
            <w:r w:rsidRPr="00F012F8">
              <w:rPr>
                <w:rFonts w:cs="Times New Roman"/>
              </w:rPr>
              <w:t>1-2% évoluent en chondrosarcome</w:t>
            </w:r>
          </w:p>
          <w:p w:rsidR="007A679D" w:rsidRPr="00F012F8" w:rsidRDefault="007A679D" w:rsidP="00DB0C57">
            <w:pPr>
              <w:pStyle w:val="Paragraphedeliste"/>
              <w:numPr>
                <w:ilvl w:val="0"/>
                <w:numId w:val="104"/>
              </w:numPr>
              <w:rPr>
                <w:rFonts w:cs="Times New Roman"/>
              </w:rPr>
            </w:pPr>
            <w:r w:rsidRPr="00F012F8">
              <w:rPr>
                <w:rFonts w:cs="Times New Roman"/>
              </w:rPr>
              <w:t>Bénin</w:t>
            </w:r>
          </w:p>
        </w:tc>
        <w:tc>
          <w:tcPr>
            <w:tcW w:w="2956" w:type="dxa"/>
          </w:tcPr>
          <w:p w:rsidR="00DB0C57" w:rsidRPr="00F012F8" w:rsidRDefault="006E24B4" w:rsidP="006C475F">
            <w:pPr>
              <w:pStyle w:val="Paragraphedeliste"/>
              <w:numPr>
                <w:ilvl w:val="0"/>
                <w:numId w:val="104"/>
              </w:numPr>
              <w:rPr>
                <w:rFonts w:cs="Times New Roman"/>
              </w:rPr>
            </w:pPr>
            <w:r w:rsidRPr="00F012F8">
              <w:rPr>
                <w:rFonts w:cs="Times New Roman"/>
              </w:rPr>
              <w:t>Asymptomatique</w:t>
            </w:r>
          </w:p>
          <w:p w:rsidR="006E24B4" w:rsidRPr="00F012F8" w:rsidRDefault="006E24B4" w:rsidP="006C475F">
            <w:pPr>
              <w:pStyle w:val="Paragraphedeliste"/>
              <w:numPr>
                <w:ilvl w:val="0"/>
                <w:numId w:val="104"/>
              </w:numPr>
              <w:rPr>
                <w:rFonts w:cs="Times New Roman"/>
              </w:rPr>
            </w:pPr>
            <w:r w:rsidRPr="00F012F8">
              <w:rPr>
                <w:rFonts w:cs="Times New Roman"/>
              </w:rPr>
              <w:t>Douleur en absence de fracture pathologique = suspect de malignité</w:t>
            </w:r>
          </w:p>
        </w:tc>
        <w:tc>
          <w:tcPr>
            <w:tcW w:w="2544" w:type="dxa"/>
          </w:tcPr>
          <w:p w:rsidR="00DB0C57" w:rsidRPr="00F012F8" w:rsidRDefault="006E24B4" w:rsidP="006C475F">
            <w:pPr>
              <w:pStyle w:val="Paragraphedeliste"/>
              <w:numPr>
                <w:ilvl w:val="0"/>
                <w:numId w:val="104"/>
              </w:numPr>
              <w:rPr>
                <w:rFonts w:cs="Times New Roman"/>
              </w:rPr>
            </w:pPr>
            <w:r w:rsidRPr="00F012F8">
              <w:rPr>
                <w:rFonts w:cs="Times New Roman"/>
              </w:rPr>
              <w:t>Lésion lytique avec contours bien définis</w:t>
            </w:r>
          </w:p>
          <w:p w:rsidR="006E24B4" w:rsidRPr="00F012F8" w:rsidRDefault="006E24B4" w:rsidP="006C475F">
            <w:pPr>
              <w:pStyle w:val="Paragraphedeliste"/>
              <w:numPr>
                <w:ilvl w:val="0"/>
                <w:numId w:val="104"/>
              </w:numPr>
              <w:rPr>
                <w:rFonts w:cs="Times New Roman"/>
              </w:rPr>
            </w:pPr>
            <w:r w:rsidRPr="00F012F8">
              <w:rPr>
                <w:rFonts w:cs="Times New Roman"/>
              </w:rPr>
              <w:t>Calcification centrale</w:t>
            </w:r>
          </w:p>
          <w:p w:rsidR="006E24B4" w:rsidRPr="00F012F8" w:rsidRDefault="006E24B4" w:rsidP="006C475F">
            <w:pPr>
              <w:pStyle w:val="Paragraphedeliste"/>
              <w:numPr>
                <w:ilvl w:val="0"/>
                <w:numId w:val="104"/>
              </w:numPr>
              <w:rPr>
                <w:rFonts w:cs="Times New Roman"/>
              </w:rPr>
            </w:pPr>
            <w:r w:rsidRPr="00F012F8">
              <w:rPr>
                <w:rFonts w:cs="Times New Roman"/>
              </w:rPr>
              <w:t>Simple ou multiple</w:t>
            </w:r>
          </w:p>
        </w:tc>
      </w:tr>
      <w:tr w:rsidR="0029328E" w:rsidRPr="00F012F8" w:rsidTr="00BB27B9">
        <w:tc>
          <w:tcPr>
            <w:tcW w:w="1951" w:type="dxa"/>
            <w:shd w:val="clear" w:color="auto" w:fill="95B3D7" w:themeFill="accent1" w:themeFillTint="99"/>
            <w:vAlign w:val="center"/>
          </w:tcPr>
          <w:p w:rsidR="0029328E" w:rsidRPr="00F012F8" w:rsidRDefault="0029328E" w:rsidP="002F25C7">
            <w:pPr>
              <w:jc w:val="center"/>
              <w:rPr>
                <w:rFonts w:cs="Times New Roman"/>
              </w:rPr>
            </w:pPr>
            <w:r w:rsidRPr="00F012F8">
              <w:rPr>
                <w:rFonts w:cs="Times New Roman"/>
              </w:rPr>
              <w:t>Ostéochondrome</w:t>
            </w:r>
          </w:p>
        </w:tc>
        <w:tc>
          <w:tcPr>
            <w:tcW w:w="3565" w:type="dxa"/>
          </w:tcPr>
          <w:p w:rsidR="0029328E" w:rsidRPr="00F012F8" w:rsidRDefault="0029328E" w:rsidP="007A679D">
            <w:pPr>
              <w:pStyle w:val="Paragraphedeliste"/>
              <w:numPr>
                <w:ilvl w:val="0"/>
                <w:numId w:val="107"/>
              </w:numPr>
              <w:rPr>
                <w:rFonts w:cs="Times New Roman"/>
                <w:highlight w:val="yellow"/>
              </w:rPr>
            </w:pPr>
            <w:r w:rsidRPr="00F012F8">
              <w:rPr>
                <w:rFonts w:cs="Times New Roman"/>
                <w:highlight w:val="yellow"/>
              </w:rPr>
              <w:t>10-30 ans</w:t>
            </w:r>
          </w:p>
          <w:p w:rsidR="0029328E" w:rsidRPr="00F012F8" w:rsidRDefault="00AE5F7A" w:rsidP="007A679D">
            <w:pPr>
              <w:pStyle w:val="Paragraphedeliste"/>
              <w:numPr>
                <w:ilvl w:val="0"/>
                <w:numId w:val="107"/>
              </w:numPr>
              <w:rPr>
                <w:rFonts w:cs="Times New Roman"/>
                <w:bCs/>
                <w:color w:val="252525"/>
                <w:sz w:val="21"/>
                <w:szCs w:val="21"/>
                <w:highlight w:val="yellow"/>
                <w:shd w:val="clear" w:color="auto" w:fill="FFFFFF"/>
              </w:rPr>
            </w:pPr>
            <w:hyperlink r:id="rId149" w:tooltip="♂" w:history="1">
              <w:r w:rsidR="0029328E" w:rsidRPr="00F012F8">
                <w:rPr>
                  <w:rStyle w:val="Lienhypertexte"/>
                  <w:rFonts w:cs="Times New Roman"/>
                  <w:color w:val="0B0080"/>
                  <w:sz w:val="21"/>
                  <w:szCs w:val="21"/>
                  <w:highlight w:val="yellow"/>
                  <w:u w:val="none"/>
                  <w:shd w:val="clear" w:color="auto" w:fill="FFFFFF"/>
                </w:rPr>
                <w:t>♂</w:t>
              </w:r>
            </w:hyperlink>
            <w:r w:rsidR="0029328E" w:rsidRPr="00F012F8">
              <w:rPr>
                <w:rStyle w:val="Lienhypertexte"/>
                <w:rFonts w:cs="Times New Roman"/>
                <w:color w:val="0B0080"/>
                <w:sz w:val="21"/>
                <w:szCs w:val="21"/>
                <w:highlight w:val="yellow"/>
                <w:u w:val="none"/>
                <w:shd w:val="clear" w:color="auto" w:fill="FFFFFF"/>
              </w:rPr>
              <w:t> &gt;</w:t>
            </w:r>
            <w:r w:rsidR="0029328E" w:rsidRPr="00F012F8">
              <w:rPr>
                <w:rFonts w:cs="Times New Roman"/>
                <w:bCs/>
                <w:color w:val="252525"/>
                <w:sz w:val="21"/>
                <w:szCs w:val="21"/>
                <w:highlight w:val="yellow"/>
                <w:shd w:val="clear" w:color="auto" w:fill="FFFFFF"/>
              </w:rPr>
              <w:t>♀</w:t>
            </w:r>
          </w:p>
          <w:p w:rsidR="0029328E" w:rsidRPr="00F012F8" w:rsidRDefault="0029328E" w:rsidP="007A679D">
            <w:pPr>
              <w:pStyle w:val="Paragraphedeliste"/>
              <w:numPr>
                <w:ilvl w:val="0"/>
                <w:numId w:val="107"/>
              </w:numPr>
              <w:rPr>
                <w:rFonts w:cs="Times New Roman"/>
                <w:highlight w:val="yellow"/>
              </w:rPr>
            </w:pPr>
            <w:r w:rsidRPr="00F012F8">
              <w:rPr>
                <w:rFonts w:cs="Times New Roman"/>
                <w:bCs/>
                <w:color w:val="252525"/>
                <w:sz w:val="21"/>
                <w:szCs w:val="21"/>
                <w:highlight w:val="yellow"/>
                <w:shd w:val="clear" w:color="auto" w:fill="FFFFFF"/>
              </w:rPr>
              <w:t>Tumeur osseuse bénigne la + fréquente</w:t>
            </w:r>
            <w:r w:rsidR="007A679D" w:rsidRPr="00F012F8">
              <w:rPr>
                <w:rFonts w:cs="Times New Roman"/>
                <w:bCs/>
                <w:color w:val="252525"/>
                <w:sz w:val="21"/>
                <w:szCs w:val="21"/>
                <w:highlight w:val="yellow"/>
                <w:shd w:val="clear" w:color="auto" w:fill="FFFFFF"/>
              </w:rPr>
              <w:t xml:space="preserve"> </w:t>
            </w:r>
          </w:p>
          <w:p w:rsidR="007A679D" w:rsidRPr="00F012F8" w:rsidRDefault="007A679D" w:rsidP="007A679D">
            <w:pPr>
              <w:pStyle w:val="Paragraphedeliste"/>
              <w:numPr>
                <w:ilvl w:val="0"/>
                <w:numId w:val="107"/>
              </w:numPr>
              <w:rPr>
                <w:rFonts w:cs="Times New Roman"/>
              </w:rPr>
            </w:pPr>
            <w:r w:rsidRPr="00F012F8">
              <w:rPr>
                <w:rFonts w:cs="Times New Roman"/>
                <w:bCs/>
                <w:color w:val="252525"/>
                <w:sz w:val="21"/>
                <w:szCs w:val="21"/>
                <w:shd w:val="clear" w:color="auto" w:fill="FFFFFF"/>
              </w:rPr>
              <w:t>Croissance lent</w:t>
            </w:r>
          </w:p>
          <w:p w:rsidR="007A679D" w:rsidRPr="00F012F8" w:rsidRDefault="007A679D" w:rsidP="007A679D">
            <w:pPr>
              <w:pStyle w:val="Paragraphedeliste"/>
              <w:numPr>
                <w:ilvl w:val="0"/>
                <w:numId w:val="107"/>
              </w:numPr>
              <w:rPr>
                <w:rFonts w:cs="Times New Roman"/>
              </w:rPr>
            </w:pPr>
            <w:r w:rsidRPr="00F012F8">
              <w:rPr>
                <w:rFonts w:cs="Times New Roman"/>
              </w:rPr>
              <w:t>1-2% évoluent en chondrosarcome</w:t>
            </w:r>
          </w:p>
          <w:p w:rsidR="007A679D" w:rsidRPr="00F012F8" w:rsidRDefault="007A679D" w:rsidP="007A679D">
            <w:pPr>
              <w:pStyle w:val="Paragraphedeliste"/>
              <w:numPr>
                <w:ilvl w:val="0"/>
                <w:numId w:val="107"/>
              </w:numPr>
              <w:rPr>
                <w:rFonts w:cs="Times New Roman"/>
              </w:rPr>
            </w:pPr>
            <w:r w:rsidRPr="00F012F8">
              <w:rPr>
                <w:rFonts w:cs="Times New Roman"/>
                <w:bCs/>
                <w:color w:val="252525"/>
                <w:sz w:val="21"/>
                <w:szCs w:val="21"/>
                <w:shd w:val="clear" w:color="auto" w:fill="FFFFFF"/>
              </w:rPr>
              <w:t>Bénin</w:t>
            </w:r>
          </w:p>
        </w:tc>
        <w:tc>
          <w:tcPr>
            <w:tcW w:w="2956" w:type="dxa"/>
          </w:tcPr>
          <w:p w:rsidR="0029328E" w:rsidRPr="00F012F8" w:rsidRDefault="007A679D" w:rsidP="006C475F">
            <w:pPr>
              <w:pStyle w:val="Paragraphedeliste"/>
              <w:numPr>
                <w:ilvl w:val="0"/>
                <w:numId w:val="104"/>
              </w:numPr>
              <w:rPr>
                <w:rFonts w:cs="Times New Roman"/>
              </w:rPr>
            </w:pPr>
            <w:r w:rsidRPr="00F012F8">
              <w:rPr>
                <w:rFonts w:cs="Times New Roman"/>
              </w:rPr>
              <w:t>Asymptomatique</w:t>
            </w:r>
          </w:p>
          <w:p w:rsidR="007A679D" w:rsidRPr="00F012F8" w:rsidRDefault="007A679D" w:rsidP="007A679D">
            <w:pPr>
              <w:pStyle w:val="Paragraphedeliste"/>
              <w:numPr>
                <w:ilvl w:val="0"/>
                <w:numId w:val="104"/>
              </w:numPr>
              <w:rPr>
                <w:rFonts w:cs="Times New Roman"/>
              </w:rPr>
            </w:pPr>
            <w:r w:rsidRPr="00F012F8">
              <w:rPr>
                <w:rFonts w:cs="Times New Roman"/>
              </w:rPr>
              <w:t>Douleur ou croissance rapide = suspect</w:t>
            </w:r>
          </w:p>
        </w:tc>
        <w:tc>
          <w:tcPr>
            <w:tcW w:w="2544" w:type="dxa"/>
          </w:tcPr>
          <w:p w:rsidR="0029328E" w:rsidRPr="00F012F8" w:rsidRDefault="007A679D" w:rsidP="006C475F">
            <w:pPr>
              <w:pStyle w:val="Paragraphedeliste"/>
              <w:numPr>
                <w:ilvl w:val="0"/>
                <w:numId w:val="104"/>
              </w:numPr>
              <w:rPr>
                <w:rFonts w:cs="Times New Roman"/>
              </w:rPr>
            </w:pPr>
            <w:r w:rsidRPr="00F012F8">
              <w:rPr>
                <w:rFonts w:cs="Times New Roman"/>
              </w:rPr>
              <w:t>Éperon osseux recouvert de cartilage</w:t>
            </w:r>
          </w:p>
          <w:p w:rsidR="007A679D" w:rsidRPr="00F012F8" w:rsidRDefault="007A679D" w:rsidP="006C475F">
            <w:pPr>
              <w:pStyle w:val="Paragraphedeliste"/>
              <w:numPr>
                <w:ilvl w:val="0"/>
                <w:numId w:val="104"/>
              </w:numPr>
              <w:rPr>
                <w:rFonts w:cs="Times New Roman"/>
              </w:rPr>
            </w:pPr>
            <w:r w:rsidRPr="00F012F8">
              <w:rPr>
                <w:rFonts w:cs="Times New Roman"/>
                <w:highlight w:val="yellow"/>
              </w:rPr>
              <w:t>Aspect en champignon au rayon-X</w:t>
            </w:r>
          </w:p>
        </w:tc>
      </w:tr>
      <w:tr w:rsidR="0029328E" w:rsidRPr="00F012F8" w:rsidTr="00BB27B9">
        <w:tc>
          <w:tcPr>
            <w:tcW w:w="1951" w:type="dxa"/>
            <w:shd w:val="clear" w:color="auto" w:fill="95B3D7" w:themeFill="accent1" w:themeFillTint="99"/>
            <w:vAlign w:val="center"/>
          </w:tcPr>
          <w:p w:rsidR="0029328E" w:rsidRPr="00F012F8" w:rsidRDefault="0029328E" w:rsidP="002F25C7">
            <w:pPr>
              <w:jc w:val="center"/>
              <w:rPr>
                <w:rFonts w:cs="Times New Roman"/>
              </w:rPr>
            </w:pPr>
            <w:r w:rsidRPr="00F012F8">
              <w:rPr>
                <w:rFonts w:cs="Times New Roman"/>
              </w:rPr>
              <w:t>Chondrosarcome</w:t>
            </w:r>
          </w:p>
        </w:tc>
        <w:tc>
          <w:tcPr>
            <w:tcW w:w="3565" w:type="dxa"/>
          </w:tcPr>
          <w:p w:rsidR="0029328E" w:rsidRPr="00F012F8" w:rsidRDefault="007A679D" w:rsidP="007A679D">
            <w:pPr>
              <w:pStyle w:val="Paragraphedeliste"/>
              <w:numPr>
                <w:ilvl w:val="0"/>
                <w:numId w:val="108"/>
              </w:numPr>
              <w:rPr>
                <w:rFonts w:cs="Times New Roman"/>
              </w:rPr>
            </w:pPr>
            <w:r w:rsidRPr="00F012F8">
              <w:rPr>
                <w:rFonts w:cs="Times New Roman"/>
              </w:rPr>
              <w:t>30-60 ans</w:t>
            </w:r>
          </w:p>
          <w:p w:rsidR="007A679D" w:rsidRPr="00F012F8" w:rsidRDefault="007A679D" w:rsidP="007A679D">
            <w:pPr>
              <w:pStyle w:val="Paragraphedeliste"/>
              <w:numPr>
                <w:ilvl w:val="0"/>
                <w:numId w:val="108"/>
              </w:numPr>
              <w:rPr>
                <w:rFonts w:cs="Times New Roman"/>
              </w:rPr>
            </w:pPr>
            <w:r w:rsidRPr="00F012F8">
              <w:rPr>
                <w:rFonts w:cs="Times New Roman"/>
              </w:rPr>
              <w:t>Tumeur primaire surtout</w:t>
            </w:r>
            <w:r w:rsidR="00FE2D6B" w:rsidRPr="00F012F8">
              <w:rPr>
                <w:rFonts w:cs="Times New Roman"/>
              </w:rPr>
              <w:t xml:space="preserve"> (2/3)</w:t>
            </w:r>
          </w:p>
          <w:p w:rsidR="002D0356" w:rsidRPr="00F012F8" w:rsidRDefault="002D0356" w:rsidP="007A679D">
            <w:pPr>
              <w:pStyle w:val="Paragraphedeliste"/>
              <w:numPr>
                <w:ilvl w:val="0"/>
                <w:numId w:val="108"/>
              </w:numPr>
              <w:rPr>
                <w:rFonts w:cs="Times New Roman"/>
              </w:rPr>
            </w:pPr>
            <w:r w:rsidRPr="00F012F8">
              <w:rPr>
                <w:rFonts w:cs="Times New Roman"/>
                <w:highlight w:val="yellow"/>
              </w:rPr>
              <w:t>Malin</w:t>
            </w:r>
          </w:p>
        </w:tc>
        <w:tc>
          <w:tcPr>
            <w:tcW w:w="2956" w:type="dxa"/>
          </w:tcPr>
          <w:p w:rsidR="0029328E" w:rsidRPr="00F012F8" w:rsidRDefault="00FE2D6B" w:rsidP="006C475F">
            <w:pPr>
              <w:pStyle w:val="Paragraphedeliste"/>
              <w:numPr>
                <w:ilvl w:val="0"/>
                <w:numId w:val="104"/>
              </w:numPr>
              <w:rPr>
                <w:rFonts w:cs="Times New Roman"/>
                <w:highlight w:val="yellow"/>
              </w:rPr>
            </w:pPr>
            <w:r w:rsidRPr="00F012F8">
              <w:rPr>
                <w:rFonts w:cs="Times New Roman"/>
                <w:highlight w:val="yellow"/>
              </w:rPr>
              <w:t>Douleur progressive (atteinte corticale)</w:t>
            </w:r>
          </w:p>
          <w:p w:rsidR="00FE2D6B" w:rsidRPr="00F012F8" w:rsidRDefault="00FE2D6B" w:rsidP="006C475F">
            <w:pPr>
              <w:pStyle w:val="Paragraphedeliste"/>
              <w:numPr>
                <w:ilvl w:val="0"/>
                <w:numId w:val="104"/>
              </w:numPr>
              <w:rPr>
                <w:rFonts w:cs="Times New Roman"/>
              </w:rPr>
            </w:pPr>
            <w:r w:rsidRPr="00F012F8">
              <w:rPr>
                <w:rFonts w:cs="Times New Roman"/>
              </w:rPr>
              <w:t>Rarement masse palpable</w:t>
            </w:r>
          </w:p>
        </w:tc>
        <w:tc>
          <w:tcPr>
            <w:tcW w:w="2544" w:type="dxa"/>
          </w:tcPr>
          <w:p w:rsidR="0029328E" w:rsidRPr="00F012F8" w:rsidRDefault="007A679D" w:rsidP="006C475F">
            <w:pPr>
              <w:pStyle w:val="Paragraphedeliste"/>
              <w:numPr>
                <w:ilvl w:val="0"/>
                <w:numId w:val="104"/>
              </w:numPr>
              <w:rPr>
                <w:rFonts w:cs="Times New Roman"/>
              </w:rPr>
            </w:pPr>
            <w:r w:rsidRPr="00F012F8">
              <w:rPr>
                <w:rFonts w:cs="Times New Roman"/>
                <w:highlight w:val="yellow"/>
              </w:rPr>
              <w:t>Variable</w:t>
            </w:r>
            <w:r w:rsidRPr="00F012F8">
              <w:rPr>
                <w:rFonts w:cs="Times New Roman"/>
              </w:rPr>
              <w:t> : lytique seul à très calcifié</w:t>
            </w:r>
          </w:p>
          <w:p w:rsidR="00FE2D6B" w:rsidRDefault="00FE2D6B" w:rsidP="006C475F">
            <w:pPr>
              <w:pStyle w:val="Paragraphedeliste"/>
              <w:numPr>
                <w:ilvl w:val="0"/>
                <w:numId w:val="104"/>
              </w:numPr>
              <w:rPr>
                <w:rFonts w:cs="Times New Roman"/>
              </w:rPr>
            </w:pPr>
            <w:r w:rsidRPr="00F012F8">
              <w:rPr>
                <w:rFonts w:cs="Times New Roman"/>
              </w:rPr>
              <w:t>Aspect en popcorn</w:t>
            </w:r>
          </w:p>
          <w:p w:rsidR="001E71BC" w:rsidRPr="00F012F8" w:rsidRDefault="001E71BC" w:rsidP="001E71BC">
            <w:pPr>
              <w:pStyle w:val="Paragraphedeliste"/>
              <w:ind w:left="360"/>
              <w:rPr>
                <w:rFonts w:cs="Times New Roman"/>
              </w:rPr>
            </w:pPr>
          </w:p>
        </w:tc>
      </w:tr>
      <w:tr w:rsidR="0029328E" w:rsidRPr="00F012F8" w:rsidTr="00BB27B9">
        <w:tc>
          <w:tcPr>
            <w:tcW w:w="11016" w:type="dxa"/>
            <w:gridSpan w:val="4"/>
            <w:shd w:val="clear" w:color="auto" w:fill="4F81BD" w:themeFill="accent1"/>
          </w:tcPr>
          <w:p w:rsidR="0029328E" w:rsidRPr="00F012F8" w:rsidRDefault="0029328E" w:rsidP="0029328E">
            <w:pPr>
              <w:pStyle w:val="Paragraphedeliste"/>
              <w:ind w:left="360"/>
              <w:jc w:val="center"/>
              <w:rPr>
                <w:rFonts w:cs="Times New Roman"/>
              </w:rPr>
            </w:pPr>
            <w:r w:rsidRPr="00F012F8">
              <w:rPr>
                <w:rFonts w:cs="Times New Roman"/>
                <w:b/>
              </w:rPr>
              <w:t>Os</w:t>
            </w:r>
          </w:p>
        </w:tc>
      </w:tr>
      <w:tr w:rsidR="0029328E" w:rsidRPr="00F012F8" w:rsidTr="00BB27B9">
        <w:tc>
          <w:tcPr>
            <w:tcW w:w="1951" w:type="dxa"/>
            <w:shd w:val="clear" w:color="auto" w:fill="95B3D7" w:themeFill="accent1" w:themeFillTint="99"/>
          </w:tcPr>
          <w:p w:rsidR="0029328E" w:rsidRPr="00F012F8" w:rsidRDefault="0029328E" w:rsidP="002F25C7">
            <w:pPr>
              <w:jc w:val="center"/>
              <w:rPr>
                <w:rFonts w:cs="Times New Roman"/>
                <w:i/>
              </w:rPr>
            </w:pPr>
            <w:r w:rsidRPr="00F012F8">
              <w:rPr>
                <w:rFonts w:cs="Times New Roman"/>
                <w:i/>
              </w:rPr>
              <w:t>Diagnostic</w:t>
            </w:r>
          </w:p>
        </w:tc>
        <w:tc>
          <w:tcPr>
            <w:tcW w:w="3565" w:type="dxa"/>
            <w:shd w:val="clear" w:color="auto" w:fill="95B3D7" w:themeFill="accent1" w:themeFillTint="99"/>
          </w:tcPr>
          <w:p w:rsidR="0029328E" w:rsidRPr="00F012F8" w:rsidRDefault="0029328E" w:rsidP="002F25C7">
            <w:pPr>
              <w:jc w:val="center"/>
              <w:rPr>
                <w:rFonts w:cs="Times New Roman"/>
                <w:i/>
              </w:rPr>
            </w:pPr>
            <w:r w:rsidRPr="00F012F8">
              <w:rPr>
                <w:rFonts w:cs="Times New Roman"/>
                <w:i/>
              </w:rPr>
              <w:t>Facteurs de risque - épidémiologie</w:t>
            </w:r>
          </w:p>
        </w:tc>
        <w:tc>
          <w:tcPr>
            <w:tcW w:w="2956" w:type="dxa"/>
            <w:shd w:val="clear" w:color="auto" w:fill="95B3D7" w:themeFill="accent1" w:themeFillTint="99"/>
          </w:tcPr>
          <w:p w:rsidR="0029328E" w:rsidRPr="00F012F8" w:rsidRDefault="0029328E" w:rsidP="002F25C7">
            <w:pPr>
              <w:jc w:val="center"/>
              <w:rPr>
                <w:rFonts w:cs="Times New Roman"/>
                <w:i/>
              </w:rPr>
            </w:pPr>
            <w:r w:rsidRPr="00F012F8">
              <w:rPr>
                <w:rFonts w:cs="Times New Roman"/>
                <w:i/>
              </w:rPr>
              <w:t>Symptômes / Signes physiques</w:t>
            </w:r>
          </w:p>
        </w:tc>
        <w:tc>
          <w:tcPr>
            <w:tcW w:w="2544" w:type="dxa"/>
            <w:shd w:val="clear" w:color="auto" w:fill="95B3D7" w:themeFill="accent1" w:themeFillTint="99"/>
          </w:tcPr>
          <w:p w:rsidR="0029328E" w:rsidRPr="00F012F8" w:rsidRDefault="0029328E" w:rsidP="002F25C7">
            <w:pPr>
              <w:jc w:val="center"/>
              <w:rPr>
                <w:rFonts w:cs="Times New Roman"/>
                <w:i/>
              </w:rPr>
            </w:pPr>
            <w:r w:rsidRPr="00F012F8">
              <w:rPr>
                <w:rFonts w:cs="Times New Roman"/>
                <w:i/>
              </w:rPr>
              <w:t>Aspect radiologique</w:t>
            </w:r>
          </w:p>
        </w:tc>
      </w:tr>
      <w:tr w:rsidR="0029328E" w:rsidRPr="00F012F8" w:rsidTr="00BB27B9">
        <w:tc>
          <w:tcPr>
            <w:tcW w:w="1951" w:type="dxa"/>
            <w:shd w:val="clear" w:color="auto" w:fill="95B3D7" w:themeFill="accent1" w:themeFillTint="99"/>
            <w:vAlign w:val="center"/>
          </w:tcPr>
          <w:p w:rsidR="0029328E" w:rsidRPr="00F012F8" w:rsidRDefault="0029328E" w:rsidP="00DB0C57">
            <w:pPr>
              <w:jc w:val="center"/>
              <w:rPr>
                <w:rFonts w:cs="Times New Roman"/>
              </w:rPr>
            </w:pPr>
            <w:r w:rsidRPr="00F012F8">
              <w:rPr>
                <w:rFonts w:cs="Times New Roman"/>
              </w:rPr>
              <w:t>Fibrome non-ossifiant</w:t>
            </w:r>
          </w:p>
        </w:tc>
        <w:tc>
          <w:tcPr>
            <w:tcW w:w="3565" w:type="dxa"/>
          </w:tcPr>
          <w:p w:rsidR="0029328E" w:rsidRPr="00F012F8" w:rsidRDefault="0029328E" w:rsidP="006C475F">
            <w:pPr>
              <w:pStyle w:val="Paragraphedeliste"/>
              <w:numPr>
                <w:ilvl w:val="0"/>
                <w:numId w:val="104"/>
              </w:numPr>
              <w:rPr>
                <w:rFonts w:cs="Times New Roman"/>
              </w:rPr>
            </w:pPr>
            <w:r w:rsidRPr="00F012F8">
              <w:rPr>
                <w:rFonts w:cs="Times New Roman"/>
              </w:rPr>
              <w:t>Incidence max 2-20 ans</w:t>
            </w:r>
          </w:p>
          <w:p w:rsidR="0029328E" w:rsidRPr="00F012F8" w:rsidRDefault="00AE5F7A" w:rsidP="006C475F">
            <w:pPr>
              <w:pStyle w:val="Paragraphedeliste"/>
              <w:numPr>
                <w:ilvl w:val="0"/>
                <w:numId w:val="104"/>
              </w:numPr>
              <w:rPr>
                <w:rFonts w:cs="Times New Roman"/>
              </w:rPr>
            </w:pPr>
            <w:hyperlink r:id="rId150" w:tooltip="♂" w:history="1">
              <w:r w:rsidR="0029328E" w:rsidRPr="00F012F8">
                <w:rPr>
                  <w:rStyle w:val="Lienhypertexte"/>
                  <w:rFonts w:cs="Times New Roman"/>
                  <w:color w:val="0B0080"/>
                  <w:sz w:val="21"/>
                  <w:szCs w:val="21"/>
                  <w:u w:val="none"/>
                  <w:shd w:val="clear" w:color="auto" w:fill="FFFFFF"/>
                </w:rPr>
                <w:t>♂</w:t>
              </w:r>
            </w:hyperlink>
            <w:r w:rsidR="0029328E" w:rsidRPr="00F012F8">
              <w:rPr>
                <w:rStyle w:val="Lienhypertexte"/>
                <w:rFonts w:cs="Times New Roman"/>
                <w:color w:val="0B0080"/>
                <w:sz w:val="21"/>
                <w:szCs w:val="21"/>
                <w:u w:val="none"/>
                <w:shd w:val="clear" w:color="auto" w:fill="FFFFFF"/>
              </w:rPr>
              <w:t> &gt;</w:t>
            </w:r>
            <w:r w:rsidR="0029328E" w:rsidRPr="00F012F8">
              <w:rPr>
                <w:rFonts w:cs="Times New Roman"/>
                <w:bCs/>
                <w:color w:val="252525"/>
                <w:sz w:val="21"/>
                <w:szCs w:val="21"/>
                <w:shd w:val="clear" w:color="auto" w:fill="FFFFFF"/>
              </w:rPr>
              <w:t>♀, (ad 35% des enfants)</w:t>
            </w:r>
          </w:p>
          <w:p w:rsidR="0029328E" w:rsidRPr="00F012F8" w:rsidRDefault="0029328E" w:rsidP="006C475F">
            <w:pPr>
              <w:pStyle w:val="Paragraphedeliste"/>
              <w:numPr>
                <w:ilvl w:val="0"/>
                <w:numId w:val="104"/>
              </w:numPr>
              <w:rPr>
                <w:rFonts w:cs="Times New Roman"/>
              </w:rPr>
            </w:pPr>
            <w:r w:rsidRPr="00F012F8">
              <w:rPr>
                <w:rFonts w:cs="Times New Roman"/>
              </w:rPr>
              <w:t>Défaut de la plaque de croissance probable</w:t>
            </w:r>
          </w:p>
          <w:p w:rsidR="0029328E" w:rsidRPr="00F012F8" w:rsidRDefault="0029328E" w:rsidP="006C475F">
            <w:pPr>
              <w:pStyle w:val="Paragraphedeliste"/>
              <w:numPr>
                <w:ilvl w:val="0"/>
                <w:numId w:val="104"/>
              </w:numPr>
              <w:rPr>
                <w:rFonts w:cs="Times New Roman"/>
              </w:rPr>
            </w:pPr>
            <w:r w:rsidRPr="00F012F8">
              <w:rPr>
                <w:rFonts w:cs="Times New Roman"/>
              </w:rPr>
              <w:t>Guérit spontanément</w:t>
            </w:r>
          </w:p>
          <w:p w:rsidR="00F1322A" w:rsidRPr="00F012F8" w:rsidRDefault="00F1322A" w:rsidP="006C475F">
            <w:pPr>
              <w:pStyle w:val="Paragraphedeliste"/>
              <w:numPr>
                <w:ilvl w:val="0"/>
                <w:numId w:val="104"/>
              </w:numPr>
              <w:rPr>
                <w:rFonts w:cs="Times New Roman"/>
              </w:rPr>
            </w:pPr>
            <w:r w:rsidRPr="00F012F8">
              <w:rPr>
                <w:rFonts w:cs="Times New Roman"/>
              </w:rPr>
              <w:t>Bénin</w:t>
            </w:r>
          </w:p>
        </w:tc>
        <w:tc>
          <w:tcPr>
            <w:tcW w:w="2956" w:type="dxa"/>
          </w:tcPr>
          <w:p w:rsidR="0029328E" w:rsidRPr="00F012F8" w:rsidRDefault="0029328E" w:rsidP="006C475F">
            <w:pPr>
              <w:pStyle w:val="Paragraphedeliste"/>
              <w:numPr>
                <w:ilvl w:val="0"/>
                <w:numId w:val="104"/>
              </w:numPr>
              <w:rPr>
                <w:rFonts w:cs="Times New Roman"/>
              </w:rPr>
            </w:pPr>
            <w:r w:rsidRPr="00F012F8">
              <w:rPr>
                <w:rFonts w:cs="Times New Roman"/>
              </w:rPr>
              <w:t>Asymptomatique</w:t>
            </w:r>
          </w:p>
          <w:p w:rsidR="0029328E" w:rsidRPr="00F012F8" w:rsidRDefault="0029328E" w:rsidP="006C475F">
            <w:pPr>
              <w:pStyle w:val="Paragraphedeliste"/>
              <w:numPr>
                <w:ilvl w:val="0"/>
                <w:numId w:val="104"/>
              </w:numPr>
              <w:rPr>
                <w:rFonts w:cs="Times New Roman"/>
              </w:rPr>
            </w:pPr>
            <w:r w:rsidRPr="00F012F8">
              <w:rPr>
                <w:rFonts w:cs="Times New Roman"/>
              </w:rPr>
              <w:t>Fracture pathologique parfois</w:t>
            </w:r>
          </w:p>
        </w:tc>
        <w:tc>
          <w:tcPr>
            <w:tcW w:w="2544" w:type="dxa"/>
          </w:tcPr>
          <w:p w:rsidR="0029328E" w:rsidRPr="00F012F8" w:rsidRDefault="0029328E" w:rsidP="006C475F">
            <w:pPr>
              <w:pStyle w:val="Paragraphedeliste"/>
              <w:numPr>
                <w:ilvl w:val="0"/>
                <w:numId w:val="104"/>
              </w:numPr>
              <w:rPr>
                <w:rFonts w:cs="Times New Roman"/>
              </w:rPr>
            </w:pPr>
            <w:r w:rsidRPr="00F012F8">
              <w:rPr>
                <w:rFonts w:cs="Times New Roman"/>
              </w:rPr>
              <w:t>Atteinte corticale</w:t>
            </w:r>
          </w:p>
          <w:p w:rsidR="0029328E" w:rsidRPr="00F012F8" w:rsidRDefault="0029328E" w:rsidP="006C475F">
            <w:pPr>
              <w:pStyle w:val="Paragraphedeliste"/>
              <w:numPr>
                <w:ilvl w:val="0"/>
                <w:numId w:val="104"/>
              </w:numPr>
              <w:rPr>
                <w:rFonts w:cs="Times New Roman"/>
              </w:rPr>
            </w:pPr>
            <w:r w:rsidRPr="00F012F8">
              <w:rPr>
                <w:rFonts w:cs="Times New Roman"/>
              </w:rPr>
              <w:t>Excentrique</w:t>
            </w:r>
          </w:p>
        </w:tc>
      </w:tr>
      <w:tr w:rsidR="0029328E" w:rsidRPr="00F012F8" w:rsidTr="00BB27B9">
        <w:tc>
          <w:tcPr>
            <w:tcW w:w="1951" w:type="dxa"/>
            <w:shd w:val="clear" w:color="auto" w:fill="95B3D7" w:themeFill="accent1" w:themeFillTint="99"/>
            <w:vAlign w:val="center"/>
          </w:tcPr>
          <w:p w:rsidR="0029328E" w:rsidRPr="00F012F8" w:rsidRDefault="0029328E" w:rsidP="00DB0C57">
            <w:pPr>
              <w:jc w:val="center"/>
              <w:rPr>
                <w:rFonts w:cs="Times New Roman"/>
              </w:rPr>
            </w:pPr>
            <w:r w:rsidRPr="00F012F8">
              <w:rPr>
                <w:rFonts w:cs="Times New Roman"/>
              </w:rPr>
              <w:t>Kyste osseux</w:t>
            </w:r>
          </w:p>
        </w:tc>
        <w:tc>
          <w:tcPr>
            <w:tcW w:w="3565" w:type="dxa"/>
          </w:tcPr>
          <w:p w:rsidR="0029328E" w:rsidRPr="00F012F8" w:rsidRDefault="0029328E" w:rsidP="00B6019C">
            <w:pPr>
              <w:pStyle w:val="Paragraphedeliste"/>
              <w:numPr>
                <w:ilvl w:val="0"/>
                <w:numId w:val="109"/>
              </w:numPr>
              <w:rPr>
                <w:rFonts w:cs="Times New Roman"/>
              </w:rPr>
            </w:pPr>
            <w:r w:rsidRPr="00F012F8">
              <w:rPr>
                <w:rFonts w:cs="Times New Roman"/>
              </w:rPr>
              <w:t>0-10 ans</w:t>
            </w:r>
          </w:p>
          <w:p w:rsidR="0029328E" w:rsidRPr="00F012F8" w:rsidRDefault="0029328E" w:rsidP="00B6019C">
            <w:pPr>
              <w:pStyle w:val="Paragraphedeliste"/>
              <w:numPr>
                <w:ilvl w:val="0"/>
                <w:numId w:val="109"/>
              </w:numPr>
              <w:rPr>
                <w:rFonts w:cs="Times New Roman"/>
              </w:rPr>
            </w:pPr>
            <w:r w:rsidRPr="00F012F8">
              <w:rPr>
                <w:rFonts w:cs="Times New Roman"/>
              </w:rPr>
              <w:t>Surtout humérus et fémur proximal</w:t>
            </w:r>
          </w:p>
          <w:p w:rsidR="00F1322A" w:rsidRPr="00F012F8" w:rsidRDefault="00F1322A" w:rsidP="00B6019C">
            <w:pPr>
              <w:pStyle w:val="Paragraphedeliste"/>
              <w:numPr>
                <w:ilvl w:val="0"/>
                <w:numId w:val="109"/>
              </w:numPr>
              <w:rPr>
                <w:rFonts w:cs="Times New Roman"/>
              </w:rPr>
            </w:pPr>
            <w:r w:rsidRPr="00F012F8">
              <w:rPr>
                <w:rFonts w:cs="Times New Roman"/>
              </w:rPr>
              <w:t>Bénin</w:t>
            </w:r>
          </w:p>
        </w:tc>
        <w:tc>
          <w:tcPr>
            <w:tcW w:w="2956" w:type="dxa"/>
          </w:tcPr>
          <w:p w:rsidR="0029328E" w:rsidRPr="00F012F8" w:rsidRDefault="0029328E" w:rsidP="006C475F">
            <w:pPr>
              <w:pStyle w:val="Paragraphedeliste"/>
              <w:numPr>
                <w:ilvl w:val="0"/>
                <w:numId w:val="105"/>
              </w:numPr>
              <w:rPr>
                <w:rFonts w:cs="Times New Roman"/>
              </w:rPr>
            </w:pPr>
            <w:r w:rsidRPr="00F012F8">
              <w:rPr>
                <w:rFonts w:cs="Times New Roman"/>
              </w:rPr>
              <w:t>Fractures pathologiques fréquentes</w:t>
            </w:r>
          </w:p>
          <w:p w:rsidR="0029328E" w:rsidRPr="00F012F8" w:rsidRDefault="0029328E" w:rsidP="006C475F">
            <w:pPr>
              <w:pStyle w:val="Paragraphedeliste"/>
              <w:numPr>
                <w:ilvl w:val="0"/>
                <w:numId w:val="105"/>
              </w:numPr>
              <w:rPr>
                <w:rFonts w:cs="Times New Roman"/>
              </w:rPr>
            </w:pPr>
            <w:r w:rsidRPr="00F012F8">
              <w:rPr>
                <w:rFonts w:cs="Times New Roman"/>
              </w:rPr>
              <w:t>Douleur locale</w:t>
            </w:r>
          </w:p>
        </w:tc>
        <w:tc>
          <w:tcPr>
            <w:tcW w:w="2544" w:type="dxa"/>
          </w:tcPr>
          <w:p w:rsidR="0029328E" w:rsidRPr="00F012F8" w:rsidRDefault="0029328E" w:rsidP="006C475F">
            <w:pPr>
              <w:pStyle w:val="Paragraphedeliste"/>
              <w:numPr>
                <w:ilvl w:val="0"/>
                <w:numId w:val="105"/>
              </w:numPr>
              <w:rPr>
                <w:rFonts w:cs="Times New Roman"/>
              </w:rPr>
            </w:pPr>
            <w:r w:rsidRPr="00F012F8">
              <w:rPr>
                <w:rFonts w:cs="Times New Roman"/>
              </w:rPr>
              <w:t>Zone lytique translucide</w:t>
            </w:r>
          </w:p>
          <w:p w:rsidR="0029328E" w:rsidRPr="00F012F8" w:rsidRDefault="0029328E" w:rsidP="006C475F">
            <w:pPr>
              <w:pStyle w:val="Paragraphedeliste"/>
              <w:numPr>
                <w:ilvl w:val="0"/>
                <w:numId w:val="105"/>
              </w:numPr>
              <w:rPr>
                <w:rFonts w:cs="Times New Roman"/>
              </w:rPr>
            </w:pPr>
            <w:r w:rsidRPr="00F012F8">
              <w:rPr>
                <w:rFonts w:cs="Times New Roman"/>
              </w:rPr>
              <w:t>Métaphysaire</w:t>
            </w:r>
          </w:p>
          <w:p w:rsidR="0029328E" w:rsidRPr="00F012F8" w:rsidRDefault="0029328E" w:rsidP="006C475F">
            <w:pPr>
              <w:pStyle w:val="Paragraphedeliste"/>
              <w:numPr>
                <w:ilvl w:val="0"/>
                <w:numId w:val="105"/>
              </w:numPr>
              <w:rPr>
                <w:rFonts w:cs="Times New Roman"/>
              </w:rPr>
            </w:pPr>
            <w:r w:rsidRPr="00F012F8">
              <w:rPr>
                <w:rFonts w:cs="Times New Roman"/>
              </w:rPr>
              <w:t>Bien défini</w:t>
            </w:r>
          </w:p>
          <w:p w:rsidR="0029328E" w:rsidRPr="00F012F8" w:rsidRDefault="0029328E" w:rsidP="004B653D">
            <w:pPr>
              <w:pStyle w:val="Paragraphedeliste"/>
              <w:numPr>
                <w:ilvl w:val="0"/>
                <w:numId w:val="105"/>
              </w:numPr>
              <w:rPr>
                <w:rFonts w:cs="Times New Roman"/>
              </w:rPr>
            </w:pPr>
            <w:r w:rsidRPr="00F012F8">
              <w:rPr>
                <w:rFonts w:cs="Times New Roman"/>
              </w:rPr>
              <w:t>Cortex aminci/étendu</w:t>
            </w:r>
          </w:p>
        </w:tc>
      </w:tr>
      <w:tr w:rsidR="0029328E" w:rsidRPr="00F012F8" w:rsidTr="00BB27B9">
        <w:tc>
          <w:tcPr>
            <w:tcW w:w="1951" w:type="dxa"/>
            <w:shd w:val="clear" w:color="auto" w:fill="95B3D7" w:themeFill="accent1" w:themeFillTint="99"/>
            <w:vAlign w:val="center"/>
          </w:tcPr>
          <w:p w:rsidR="0029328E" w:rsidRPr="00F012F8" w:rsidRDefault="0029328E" w:rsidP="00DB0C57">
            <w:pPr>
              <w:jc w:val="center"/>
              <w:rPr>
                <w:rFonts w:cs="Times New Roman"/>
              </w:rPr>
            </w:pPr>
            <w:r w:rsidRPr="00F012F8">
              <w:rPr>
                <w:rFonts w:cs="Times New Roman"/>
              </w:rPr>
              <w:t>Ostéome ostéoïde</w:t>
            </w:r>
          </w:p>
        </w:tc>
        <w:tc>
          <w:tcPr>
            <w:tcW w:w="3565" w:type="dxa"/>
          </w:tcPr>
          <w:p w:rsidR="0029328E" w:rsidRPr="00F012F8" w:rsidRDefault="0029328E" w:rsidP="006C475F">
            <w:pPr>
              <w:pStyle w:val="Paragraphedeliste"/>
              <w:numPr>
                <w:ilvl w:val="0"/>
                <w:numId w:val="103"/>
              </w:numPr>
              <w:rPr>
                <w:rFonts w:cs="Times New Roman"/>
                <w:highlight w:val="yellow"/>
              </w:rPr>
            </w:pPr>
            <w:r w:rsidRPr="00F012F8">
              <w:rPr>
                <w:rFonts w:cs="Times New Roman"/>
                <w:highlight w:val="yellow"/>
              </w:rPr>
              <w:t>20-30 ans</w:t>
            </w:r>
          </w:p>
          <w:p w:rsidR="0029328E" w:rsidRPr="00F012F8" w:rsidRDefault="0029328E" w:rsidP="006C475F">
            <w:pPr>
              <w:pStyle w:val="Paragraphedeliste"/>
              <w:numPr>
                <w:ilvl w:val="0"/>
                <w:numId w:val="103"/>
              </w:numPr>
              <w:rPr>
                <w:rFonts w:cs="Times New Roman"/>
                <w:bCs/>
                <w:color w:val="252525"/>
                <w:sz w:val="21"/>
                <w:szCs w:val="21"/>
                <w:highlight w:val="yellow"/>
                <w:shd w:val="clear" w:color="auto" w:fill="FFFFFF"/>
              </w:rPr>
            </w:pPr>
            <w:r w:rsidRPr="00F012F8">
              <w:rPr>
                <w:rFonts w:cs="Times New Roman"/>
                <w:highlight w:val="yellow"/>
              </w:rPr>
              <w:t xml:space="preserve">2 </w:t>
            </w:r>
            <w:hyperlink r:id="rId151" w:tooltip="♂" w:history="1">
              <w:r w:rsidRPr="00F012F8">
                <w:rPr>
                  <w:rStyle w:val="Lienhypertexte"/>
                  <w:rFonts w:cs="Times New Roman"/>
                  <w:color w:val="0B0080"/>
                  <w:sz w:val="21"/>
                  <w:szCs w:val="21"/>
                  <w:highlight w:val="yellow"/>
                  <w:u w:val="none"/>
                  <w:shd w:val="clear" w:color="auto" w:fill="FFFFFF"/>
                </w:rPr>
                <w:t>♂</w:t>
              </w:r>
            </w:hyperlink>
            <w:r w:rsidRPr="00F012F8">
              <w:rPr>
                <w:rStyle w:val="Lienhypertexte"/>
                <w:rFonts w:cs="Times New Roman"/>
                <w:color w:val="0B0080"/>
                <w:sz w:val="21"/>
                <w:szCs w:val="21"/>
                <w:highlight w:val="yellow"/>
                <w:u w:val="none"/>
                <w:shd w:val="clear" w:color="auto" w:fill="FFFFFF"/>
              </w:rPr>
              <w:t> : 1</w:t>
            </w:r>
            <w:r w:rsidRPr="00F012F8">
              <w:rPr>
                <w:rFonts w:cs="Times New Roman"/>
                <w:bCs/>
                <w:color w:val="252525"/>
                <w:sz w:val="21"/>
                <w:szCs w:val="21"/>
                <w:highlight w:val="yellow"/>
                <w:shd w:val="clear" w:color="auto" w:fill="FFFFFF"/>
              </w:rPr>
              <w:t>♀</w:t>
            </w:r>
          </w:p>
          <w:p w:rsidR="0029328E" w:rsidRPr="00F012F8" w:rsidRDefault="0029328E" w:rsidP="006C475F">
            <w:pPr>
              <w:pStyle w:val="Paragraphedeliste"/>
              <w:numPr>
                <w:ilvl w:val="0"/>
                <w:numId w:val="103"/>
              </w:numPr>
              <w:rPr>
                <w:rFonts w:cs="Times New Roman"/>
                <w:bCs/>
                <w:color w:val="252525"/>
                <w:sz w:val="21"/>
                <w:szCs w:val="21"/>
                <w:highlight w:val="yellow"/>
                <w:shd w:val="clear" w:color="auto" w:fill="FFFFFF"/>
              </w:rPr>
            </w:pPr>
            <w:r w:rsidRPr="00F012F8">
              <w:rPr>
                <w:rFonts w:cs="Times New Roman"/>
                <w:bCs/>
                <w:color w:val="252525"/>
                <w:sz w:val="21"/>
                <w:szCs w:val="21"/>
                <w:highlight w:val="yellow"/>
                <w:shd w:val="clear" w:color="auto" w:fill="FFFFFF"/>
              </w:rPr>
              <w:t>Fémur proximal et diaphyse tibiale principalement</w:t>
            </w:r>
          </w:p>
          <w:p w:rsidR="0029328E" w:rsidRPr="00F012F8" w:rsidRDefault="0029328E" w:rsidP="006C475F">
            <w:pPr>
              <w:pStyle w:val="Paragraphedeliste"/>
              <w:numPr>
                <w:ilvl w:val="0"/>
                <w:numId w:val="103"/>
              </w:numPr>
              <w:rPr>
                <w:rFonts w:cs="Times New Roman"/>
              </w:rPr>
            </w:pPr>
            <w:r w:rsidRPr="00F012F8">
              <w:rPr>
                <w:rFonts w:cs="Times New Roman"/>
                <w:bCs/>
                <w:color w:val="252525"/>
                <w:sz w:val="21"/>
                <w:szCs w:val="21"/>
                <w:highlight w:val="yellow"/>
                <w:shd w:val="clear" w:color="auto" w:fill="FFFFFF"/>
              </w:rPr>
              <w:t>Bénin</w:t>
            </w:r>
          </w:p>
        </w:tc>
        <w:tc>
          <w:tcPr>
            <w:tcW w:w="2956" w:type="dxa"/>
          </w:tcPr>
          <w:p w:rsidR="0029328E" w:rsidRPr="00F012F8" w:rsidRDefault="0029328E" w:rsidP="006C475F">
            <w:pPr>
              <w:pStyle w:val="Paragraphedeliste"/>
              <w:numPr>
                <w:ilvl w:val="0"/>
                <w:numId w:val="103"/>
              </w:numPr>
              <w:rPr>
                <w:rFonts w:cs="Times New Roman"/>
                <w:highlight w:val="yellow"/>
              </w:rPr>
            </w:pPr>
            <w:r w:rsidRPr="00F012F8">
              <w:rPr>
                <w:rFonts w:cs="Times New Roman"/>
                <w:highlight w:val="yellow"/>
              </w:rPr>
              <w:t>Douleur intermittente et sévère</w:t>
            </w:r>
          </w:p>
          <w:p w:rsidR="0029328E" w:rsidRPr="00F012F8" w:rsidRDefault="0029328E" w:rsidP="006C475F">
            <w:pPr>
              <w:pStyle w:val="Paragraphedeliste"/>
              <w:numPr>
                <w:ilvl w:val="0"/>
                <w:numId w:val="103"/>
              </w:numPr>
              <w:rPr>
                <w:rFonts w:cs="Times New Roman"/>
                <w:u w:val="single"/>
              </w:rPr>
            </w:pPr>
            <w:r w:rsidRPr="00F012F8">
              <w:rPr>
                <w:rFonts w:cs="Times New Roman"/>
                <w:highlight w:val="yellow"/>
                <w:u w:val="single"/>
              </w:rPr>
              <w:t>Survient surtout la nuit</w:t>
            </w:r>
            <w:r w:rsidR="000559F8" w:rsidRPr="00F012F8">
              <w:rPr>
                <w:rFonts w:cs="Times New Roman"/>
                <w:highlight w:val="yellow"/>
                <w:u w:val="single"/>
              </w:rPr>
              <w:t xml:space="preserve"> +++</w:t>
            </w:r>
          </w:p>
        </w:tc>
        <w:tc>
          <w:tcPr>
            <w:tcW w:w="2544" w:type="dxa"/>
          </w:tcPr>
          <w:p w:rsidR="0029328E" w:rsidRPr="00F012F8" w:rsidRDefault="0029328E" w:rsidP="006C475F">
            <w:pPr>
              <w:pStyle w:val="Paragraphedeliste"/>
              <w:numPr>
                <w:ilvl w:val="0"/>
                <w:numId w:val="103"/>
              </w:numPr>
              <w:rPr>
                <w:rFonts w:cs="Times New Roman"/>
                <w:highlight w:val="yellow"/>
              </w:rPr>
            </w:pPr>
            <w:r w:rsidRPr="00F012F8">
              <w:rPr>
                <w:rFonts w:cs="Times New Roman"/>
                <w:highlight w:val="yellow"/>
              </w:rPr>
              <w:t>Petites zones arrondies</w:t>
            </w:r>
          </w:p>
          <w:p w:rsidR="0029328E" w:rsidRPr="00F012F8" w:rsidRDefault="0029328E" w:rsidP="006C475F">
            <w:pPr>
              <w:pStyle w:val="Paragraphedeliste"/>
              <w:numPr>
                <w:ilvl w:val="0"/>
                <w:numId w:val="103"/>
              </w:numPr>
              <w:rPr>
                <w:rFonts w:cs="Times New Roman"/>
                <w:highlight w:val="yellow"/>
              </w:rPr>
            </w:pPr>
            <w:r w:rsidRPr="00F012F8">
              <w:rPr>
                <w:rFonts w:cs="Times New Roman"/>
                <w:highlight w:val="yellow"/>
              </w:rPr>
              <w:t>Radiotranslucide</w:t>
            </w:r>
          </w:p>
          <w:p w:rsidR="0029328E" w:rsidRPr="00F012F8" w:rsidRDefault="0029328E" w:rsidP="006C475F">
            <w:pPr>
              <w:pStyle w:val="Paragraphedeliste"/>
              <w:numPr>
                <w:ilvl w:val="0"/>
                <w:numId w:val="103"/>
              </w:numPr>
              <w:rPr>
                <w:rFonts w:cs="Times New Roman"/>
                <w:highlight w:val="yellow"/>
              </w:rPr>
            </w:pPr>
            <w:r w:rsidRPr="00F012F8">
              <w:rPr>
                <w:rFonts w:cs="Times New Roman"/>
                <w:highlight w:val="yellow"/>
              </w:rPr>
              <w:t>&lt; 1 cm</w:t>
            </w:r>
          </w:p>
          <w:p w:rsidR="0029328E" w:rsidRPr="00F012F8" w:rsidRDefault="0029328E">
            <w:pPr>
              <w:rPr>
                <w:rFonts w:cs="Times New Roman"/>
              </w:rPr>
            </w:pPr>
          </w:p>
        </w:tc>
      </w:tr>
      <w:tr w:rsidR="00B6019C" w:rsidRPr="00F012F8" w:rsidTr="00BB27B9">
        <w:tc>
          <w:tcPr>
            <w:tcW w:w="1951" w:type="dxa"/>
            <w:shd w:val="clear" w:color="auto" w:fill="95B3D7" w:themeFill="accent1" w:themeFillTint="99"/>
            <w:vAlign w:val="center"/>
          </w:tcPr>
          <w:p w:rsidR="00B6019C" w:rsidRPr="00F012F8" w:rsidRDefault="00B6019C" w:rsidP="00DB0C57">
            <w:pPr>
              <w:jc w:val="center"/>
              <w:rPr>
                <w:rFonts w:cs="Times New Roman"/>
              </w:rPr>
            </w:pPr>
            <w:r w:rsidRPr="00F012F8">
              <w:rPr>
                <w:rFonts w:cs="Times New Roman"/>
              </w:rPr>
              <w:t>Myélome multiple</w:t>
            </w:r>
          </w:p>
        </w:tc>
        <w:tc>
          <w:tcPr>
            <w:tcW w:w="3565" w:type="dxa"/>
          </w:tcPr>
          <w:p w:rsidR="00B6019C" w:rsidRPr="00F012F8" w:rsidRDefault="0099706A" w:rsidP="006D7E8C">
            <w:pPr>
              <w:pStyle w:val="Paragraphedeliste"/>
              <w:numPr>
                <w:ilvl w:val="0"/>
                <w:numId w:val="103"/>
              </w:numPr>
              <w:rPr>
                <w:rFonts w:cs="Times New Roman"/>
                <w:highlight w:val="yellow"/>
              </w:rPr>
            </w:pPr>
            <w:r w:rsidRPr="00F012F8">
              <w:rPr>
                <w:rFonts w:cs="Times New Roman"/>
                <w:highlight w:val="yellow"/>
              </w:rPr>
              <w:t xml:space="preserve">Tumeur osseuse maligne primaire la + fréquente chez l’adulte </w:t>
            </w:r>
            <w:r w:rsidRPr="00F012F8">
              <w:rPr>
                <w:rFonts w:cs="Times New Roman"/>
                <w:sz w:val="20"/>
                <w:szCs w:val="20"/>
                <w:highlight w:val="yellow"/>
              </w:rPr>
              <w:t>(43%)</w:t>
            </w:r>
          </w:p>
          <w:p w:rsidR="0099706A" w:rsidRPr="00F012F8" w:rsidRDefault="00656E30" w:rsidP="006D7E8C">
            <w:pPr>
              <w:pStyle w:val="Paragraphedeliste"/>
              <w:numPr>
                <w:ilvl w:val="0"/>
                <w:numId w:val="103"/>
              </w:numPr>
              <w:rPr>
                <w:rFonts w:cs="Times New Roman"/>
              </w:rPr>
            </w:pPr>
            <w:r w:rsidRPr="00F012F8">
              <w:rPr>
                <w:rFonts w:cs="Times New Roman"/>
                <w:highlight w:val="yellow"/>
              </w:rPr>
              <w:t>90% chez &gt; 40 ans</w:t>
            </w:r>
          </w:p>
        </w:tc>
        <w:tc>
          <w:tcPr>
            <w:tcW w:w="2956" w:type="dxa"/>
          </w:tcPr>
          <w:p w:rsidR="00B6019C" w:rsidRPr="00F012F8" w:rsidRDefault="00656E30" w:rsidP="006D7E8C">
            <w:pPr>
              <w:pStyle w:val="Paragraphedeliste"/>
              <w:numPr>
                <w:ilvl w:val="0"/>
                <w:numId w:val="103"/>
              </w:numPr>
              <w:rPr>
                <w:rFonts w:cs="Times New Roman"/>
                <w:highlight w:val="yellow"/>
              </w:rPr>
            </w:pPr>
            <w:r w:rsidRPr="00F012F8">
              <w:rPr>
                <w:rFonts w:cs="Times New Roman"/>
                <w:highlight w:val="yellow"/>
              </w:rPr>
              <w:t>Douleur osseuse</w:t>
            </w:r>
          </w:p>
          <w:p w:rsidR="00656E30" w:rsidRPr="00F012F8" w:rsidRDefault="00656E30" w:rsidP="006D7E8C">
            <w:pPr>
              <w:pStyle w:val="Paragraphedeliste"/>
              <w:numPr>
                <w:ilvl w:val="0"/>
                <w:numId w:val="103"/>
              </w:numPr>
              <w:rPr>
                <w:rFonts w:cs="Times New Roman"/>
              </w:rPr>
            </w:pPr>
            <w:r w:rsidRPr="00F012F8">
              <w:rPr>
                <w:rFonts w:cs="Times New Roman"/>
              </w:rPr>
              <w:t>Fractures pathologiques</w:t>
            </w:r>
          </w:p>
          <w:p w:rsidR="00656E30" w:rsidRPr="00F012F8" w:rsidRDefault="00656E30" w:rsidP="006D7E8C">
            <w:pPr>
              <w:pStyle w:val="Paragraphedeliste"/>
              <w:numPr>
                <w:ilvl w:val="0"/>
                <w:numId w:val="103"/>
              </w:numPr>
              <w:rPr>
                <w:rFonts w:cs="Times New Roman"/>
                <w:highlight w:val="yellow"/>
              </w:rPr>
            </w:pPr>
            <w:r w:rsidRPr="00F012F8">
              <w:rPr>
                <w:rFonts w:cs="Times New Roman"/>
                <w:highlight w:val="yellow"/>
              </w:rPr>
              <w:t>Anémie</w:t>
            </w:r>
          </w:p>
          <w:p w:rsidR="00656E30" w:rsidRPr="00F012F8" w:rsidRDefault="00656E30" w:rsidP="006D7E8C">
            <w:pPr>
              <w:pStyle w:val="Paragraphedeliste"/>
              <w:numPr>
                <w:ilvl w:val="0"/>
                <w:numId w:val="103"/>
              </w:numPr>
              <w:rPr>
                <w:rFonts w:cs="Times New Roman"/>
              </w:rPr>
            </w:pPr>
            <w:r w:rsidRPr="00F012F8">
              <w:rPr>
                <w:rFonts w:cs="Times New Roman"/>
                <w:highlight w:val="yellow"/>
              </w:rPr>
              <w:t>Insuffisance rénale</w:t>
            </w:r>
          </w:p>
        </w:tc>
        <w:tc>
          <w:tcPr>
            <w:tcW w:w="2544" w:type="dxa"/>
          </w:tcPr>
          <w:p w:rsidR="00B6019C" w:rsidRPr="00F012F8" w:rsidRDefault="00656E30" w:rsidP="006D7E8C">
            <w:pPr>
              <w:pStyle w:val="Paragraphedeliste"/>
              <w:numPr>
                <w:ilvl w:val="0"/>
                <w:numId w:val="103"/>
              </w:numPr>
              <w:rPr>
                <w:rFonts w:cs="Times New Roman"/>
                <w:highlight w:val="yellow"/>
              </w:rPr>
            </w:pPr>
            <w:r w:rsidRPr="00F012F8">
              <w:rPr>
                <w:rFonts w:cs="Times New Roman"/>
                <w:highlight w:val="yellow"/>
              </w:rPr>
              <w:t>Multiples lésions découpées</w:t>
            </w:r>
          </w:p>
          <w:p w:rsidR="00656E30" w:rsidRPr="00F012F8" w:rsidRDefault="00656E30" w:rsidP="006D7E8C">
            <w:pPr>
              <w:pStyle w:val="Paragraphedeliste"/>
              <w:numPr>
                <w:ilvl w:val="0"/>
                <w:numId w:val="103"/>
              </w:numPr>
              <w:rPr>
                <w:rFonts w:cs="Times New Roman"/>
              </w:rPr>
            </w:pPr>
            <w:r w:rsidRPr="00F012F8">
              <w:rPr>
                <w:rFonts w:cs="Times New Roman"/>
              </w:rPr>
              <w:t>Bien délimitées</w:t>
            </w:r>
          </w:p>
          <w:p w:rsidR="00656E30" w:rsidRPr="00F012F8" w:rsidRDefault="00656E30" w:rsidP="003D6CF3">
            <w:pPr>
              <w:pStyle w:val="Paragraphedeliste"/>
              <w:numPr>
                <w:ilvl w:val="0"/>
                <w:numId w:val="103"/>
              </w:numPr>
              <w:rPr>
                <w:rFonts w:cs="Times New Roman"/>
              </w:rPr>
            </w:pPr>
            <w:r w:rsidRPr="00F012F8">
              <w:rPr>
                <w:rFonts w:cs="Times New Roman"/>
              </w:rPr>
              <w:t xml:space="preserve">Absence de sclérose </w:t>
            </w:r>
          </w:p>
        </w:tc>
      </w:tr>
      <w:tr w:rsidR="0029328E" w:rsidRPr="00F012F8" w:rsidTr="00BB27B9">
        <w:tc>
          <w:tcPr>
            <w:tcW w:w="1951" w:type="dxa"/>
            <w:shd w:val="clear" w:color="auto" w:fill="95B3D7" w:themeFill="accent1" w:themeFillTint="99"/>
            <w:vAlign w:val="center"/>
          </w:tcPr>
          <w:p w:rsidR="0029328E" w:rsidRPr="00F012F8" w:rsidRDefault="0029328E" w:rsidP="00DB0C57">
            <w:pPr>
              <w:jc w:val="center"/>
              <w:rPr>
                <w:rFonts w:cs="Times New Roman"/>
              </w:rPr>
            </w:pPr>
            <w:r w:rsidRPr="00F012F8">
              <w:rPr>
                <w:rFonts w:cs="Times New Roman"/>
              </w:rPr>
              <w:t>Ostéosarcome</w:t>
            </w:r>
          </w:p>
        </w:tc>
        <w:tc>
          <w:tcPr>
            <w:tcW w:w="3565" w:type="dxa"/>
          </w:tcPr>
          <w:p w:rsidR="0029328E" w:rsidRPr="00F012F8" w:rsidRDefault="000559F8" w:rsidP="006D7E8C">
            <w:pPr>
              <w:pStyle w:val="Paragraphedeliste"/>
              <w:numPr>
                <w:ilvl w:val="0"/>
                <w:numId w:val="103"/>
              </w:numPr>
              <w:rPr>
                <w:rFonts w:cs="Times New Roman"/>
                <w:highlight w:val="yellow"/>
              </w:rPr>
            </w:pPr>
            <w:r w:rsidRPr="00F012F8">
              <w:rPr>
                <w:rFonts w:cs="Times New Roman"/>
                <w:highlight w:val="yellow"/>
              </w:rPr>
              <w:t>0</w:t>
            </w:r>
            <w:r w:rsidR="0029328E" w:rsidRPr="00F012F8">
              <w:rPr>
                <w:rFonts w:cs="Times New Roman"/>
                <w:highlight w:val="yellow"/>
              </w:rPr>
              <w:t>-20 ans</w:t>
            </w:r>
            <w:r w:rsidRPr="00F012F8">
              <w:rPr>
                <w:rFonts w:cs="Times New Roman"/>
                <w:highlight w:val="yellow"/>
              </w:rPr>
              <w:t xml:space="preserve"> (60% des cas)</w:t>
            </w:r>
          </w:p>
          <w:p w:rsidR="00322494" w:rsidRPr="00F012F8" w:rsidRDefault="00322494" w:rsidP="006D7E8C">
            <w:pPr>
              <w:pStyle w:val="Paragraphedeliste"/>
              <w:numPr>
                <w:ilvl w:val="0"/>
                <w:numId w:val="103"/>
              </w:numPr>
              <w:rPr>
                <w:rFonts w:cs="Times New Roman"/>
              </w:rPr>
            </w:pPr>
            <w:r w:rsidRPr="00F012F8">
              <w:rPr>
                <w:rFonts w:cs="Times New Roman"/>
              </w:rPr>
              <w:t xml:space="preserve">ATCD de Mx de Paget </w:t>
            </w:r>
          </w:p>
          <w:p w:rsidR="000559F8" w:rsidRPr="00F012F8" w:rsidRDefault="000559F8" w:rsidP="006D7E8C">
            <w:pPr>
              <w:pStyle w:val="Paragraphedeliste"/>
              <w:numPr>
                <w:ilvl w:val="0"/>
                <w:numId w:val="103"/>
              </w:numPr>
              <w:rPr>
                <w:rFonts w:cs="Times New Roman"/>
              </w:rPr>
            </w:pPr>
            <w:r w:rsidRPr="00F012F8">
              <w:rPr>
                <w:rFonts w:cs="Times New Roman"/>
              </w:rPr>
              <w:t>~ 20% tumeurs malignes de l’os</w:t>
            </w:r>
          </w:p>
          <w:p w:rsidR="000559F8" w:rsidRPr="00F012F8" w:rsidRDefault="000559F8" w:rsidP="006D7E8C">
            <w:pPr>
              <w:pStyle w:val="Paragraphedeliste"/>
              <w:numPr>
                <w:ilvl w:val="0"/>
                <w:numId w:val="103"/>
              </w:numPr>
              <w:rPr>
                <w:rFonts w:cs="Times New Roman"/>
                <w:highlight w:val="yellow"/>
              </w:rPr>
            </w:pPr>
            <w:r w:rsidRPr="00F012F8">
              <w:rPr>
                <w:rFonts w:cs="Times New Roman"/>
                <w:highlight w:val="yellow"/>
              </w:rPr>
              <w:t>60% au genou et humérus prox.</w:t>
            </w:r>
          </w:p>
          <w:p w:rsidR="000559F8" w:rsidRPr="00F012F8" w:rsidRDefault="000559F8" w:rsidP="00322494">
            <w:pPr>
              <w:pStyle w:val="Paragraphedeliste"/>
              <w:ind w:left="360"/>
              <w:rPr>
                <w:rFonts w:cs="Times New Roman"/>
              </w:rPr>
            </w:pPr>
          </w:p>
        </w:tc>
        <w:tc>
          <w:tcPr>
            <w:tcW w:w="2956" w:type="dxa"/>
          </w:tcPr>
          <w:p w:rsidR="0029328E" w:rsidRPr="00F012F8" w:rsidRDefault="00D71070" w:rsidP="006D7E8C">
            <w:pPr>
              <w:pStyle w:val="Paragraphedeliste"/>
              <w:numPr>
                <w:ilvl w:val="0"/>
                <w:numId w:val="103"/>
              </w:numPr>
              <w:rPr>
                <w:rFonts w:cs="Times New Roman"/>
                <w:highlight w:val="yellow"/>
              </w:rPr>
            </w:pPr>
            <w:r w:rsidRPr="00F012F8">
              <w:rPr>
                <w:rFonts w:cs="Times New Roman"/>
                <w:highlight w:val="yellow"/>
              </w:rPr>
              <w:t>Douleur progressive</w:t>
            </w:r>
          </w:p>
          <w:p w:rsidR="00D71070" w:rsidRPr="00F012F8" w:rsidRDefault="00D71070" w:rsidP="006D7E8C">
            <w:pPr>
              <w:pStyle w:val="Paragraphedeliste"/>
              <w:numPr>
                <w:ilvl w:val="0"/>
                <w:numId w:val="103"/>
              </w:numPr>
              <w:rPr>
                <w:rFonts w:cs="Times New Roman"/>
                <w:highlight w:val="yellow"/>
              </w:rPr>
            </w:pPr>
            <w:r w:rsidRPr="00F012F8">
              <w:rPr>
                <w:rFonts w:cs="Times New Roman"/>
                <w:highlight w:val="yellow"/>
              </w:rPr>
              <w:t>Douleur nocturne</w:t>
            </w:r>
          </w:p>
          <w:p w:rsidR="00D71070" w:rsidRPr="00F012F8" w:rsidRDefault="00D71070" w:rsidP="006D7E8C">
            <w:pPr>
              <w:pStyle w:val="Paragraphedeliste"/>
              <w:numPr>
                <w:ilvl w:val="0"/>
                <w:numId w:val="103"/>
              </w:numPr>
              <w:rPr>
                <w:rFonts w:cs="Times New Roman"/>
                <w:highlight w:val="yellow"/>
              </w:rPr>
            </w:pPr>
            <w:r w:rsidRPr="00F012F8">
              <w:rPr>
                <w:rFonts w:cs="Times New Roman"/>
                <w:highlight w:val="yellow"/>
              </w:rPr>
              <w:t>Œdème mal délimité</w:t>
            </w:r>
          </w:p>
          <w:p w:rsidR="00D71070" w:rsidRPr="00F012F8" w:rsidRDefault="00D71070" w:rsidP="006D7E8C">
            <w:pPr>
              <w:pStyle w:val="Paragraphedeliste"/>
              <w:numPr>
                <w:ilvl w:val="0"/>
                <w:numId w:val="103"/>
              </w:numPr>
              <w:rPr>
                <w:rFonts w:cs="Times New Roman"/>
              </w:rPr>
            </w:pPr>
            <w:r w:rsidRPr="00F012F8">
              <w:rPr>
                <w:rFonts w:cs="Times New Roman"/>
                <w:highlight w:val="yellow"/>
              </w:rPr>
              <w:t>↓ amplitude articulaire</w:t>
            </w:r>
          </w:p>
        </w:tc>
        <w:tc>
          <w:tcPr>
            <w:tcW w:w="2544" w:type="dxa"/>
          </w:tcPr>
          <w:p w:rsidR="0029328E" w:rsidRPr="00F012F8" w:rsidRDefault="00D71070" w:rsidP="006D7E8C">
            <w:pPr>
              <w:pStyle w:val="Paragraphedeliste"/>
              <w:numPr>
                <w:ilvl w:val="0"/>
                <w:numId w:val="103"/>
              </w:numPr>
              <w:rPr>
                <w:rFonts w:cs="Times New Roman"/>
                <w:highlight w:val="yellow"/>
              </w:rPr>
            </w:pPr>
            <w:r w:rsidRPr="00F012F8">
              <w:rPr>
                <w:rFonts w:cs="Times New Roman"/>
                <w:highlight w:val="yellow"/>
              </w:rPr>
              <w:t>Triangle de Codman (réaction périostée)</w:t>
            </w:r>
          </w:p>
          <w:p w:rsidR="00D71070" w:rsidRPr="00F012F8" w:rsidRDefault="00D71070" w:rsidP="00D71070">
            <w:pPr>
              <w:pStyle w:val="Paragraphedeliste"/>
              <w:numPr>
                <w:ilvl w:val="0"/>
                <w:numId w:val="103"/>
              </w:numPr>
              <w:rPr>
                <w:rFonts w:cs="Times New Roman"/>
                <w:highlight w:val="yellow"/>
              </w:rPr>
            </w:pPr>
            <w:r w:rsidRPr="00F012F8">
              <w:rPr>
                <w:rFonts w:cs="Times New Roman"/>
                <w:highlight w:val="yellow"/>
              </w:rPr>
              <w:t>Spicule en rayons de soleil au périoste</w:t>
            </w:r>
          </w:p>
          <w:p w:rsidR="00D71070" w:rsidRPr="00F012F8" w:rsidRDefault="00D71070" w:rsidP="00D71070">
            <w:pPr>
              <w:pStyle w:val="Paragraphedeliste"/>
              <w:numPr>
                <w:ilvl w:val="0"/>
                <w:numId w:val="103"/>
              </w:numPr>
              <w:rPr>
                <w:rFonts w:cs="Times New Roman"/>
              </w:rPr>
            </w:pPr>
            <w:r w:rsidRPr="00F012F8">
              <w:rPr>
                <w:rFonts w:cs="Times New Roman"/>
              </w:rPr>
              <w:t>Atteinte métaphysaire impliquant la physe</w:t>
            </w:r>
          </w:p>
        </w:tc>
      </w:tr>
      <w:tr w:rsidR="0029328E" w:rsidRPr="00F012F8" w:rsidTr="00BB27B9">
        <w:tc>
          <w:tcPr>
            <w:tcW w:w="1951" w:type="dxa"/>
            <w:shd w:val="clear" w:color="auto" w:fill="95B3D7" w:themeFill="accent1" w:themeFillTint="99"/>
            <w:vAlign w:val="center"/>
          </w:tcPr>
          <w:p w:rsidR="0029328E" w:rsidRPr="00F012F8" w:rsidRDefault="0029328E" w:rsidP="00DB0C57">
            <w:pPr>
              <w:jc w:val="center"/>
              <w:rPr>
                <w:rFonts w:cs="Times New Roman"/>
              </w:rPr>
            </w:pPr>
            <w:r w:rsidRPr="00F012F8">
              <w:rPr>
                <w:rFonts w:cs="Times New Roman"/>
              </w:rPr>
              <w:t>Tumeur d’Ewing</w:t>
            </w:r>
          </w:p>
        </w:tc>
        <w:tc>
          <w:tcPr>
            <w:tcW w:w="3565" w:type="dxa"/>
          </w:tcPr>
          <w:p w:rsidR="0029328E" w:rsidRPr="00F012F8" w:rsidRDefault="0029328E" w:rsidP="006D7E8C">
            <w:pPr>
              <w:pStyle w:val="Paragraphedeliste"/>
              <w:numPr>
                <w:ilvl w:val="0"/>
                <w:numId w:val="103"/>
              </w:numPr>
              <w:rPr>
                <w:rFonts w:cs="Times New Roman"/>
              </w:rPr>
            </w:pPr>
            <w:r w:rsidRPr="00F012F8">
              <w:rPr>
                <w:rFonts w:cs="Times New Roman"/>
              </w:rPr>
              <w:t>1-30 ans</w:t>
            </w:r>
          </w:p>
          <w:p w:rsidR="003530CC" w:rsidRPr="00F012F8" w:rsidRDefault="003530CC" w:rsidP="003530CC">
            <w:pPr>
              <w:pStyle w:val="Paragraphedeliste"/>
              <w:numPr>
                <w:ilvl w:val="0"/>
                <w:numId w:val="103"/>
              </w:numPr>
              <w:rPr>
                <w:rFonts w:cs="Times New Roman"/>
              </w:rPr>
            </w:pPr>
            <w:r w:rsidRPr="00F012F8">
              <w:rPr>
                <w:rFonts w:cs="Times New Roman"/>
              </w:rPr>
              <w:t>2</w:t>
            </w:r>
            <w:r w:rsidRPr="00F012F8">
              <w:rPr>
                <w:rFonts w:cs="Times New Roman"/>
                <w:vertAlign w:val="superscript"/>
              </w:rPr>
              <w:t>e</w:t>
            </w:r>
            <w:r w:rsidRPr="00F012F8">
              <w:rPr>
                <w:rFonts w:cs="Times New Roman"/>
              </w:rPr>
              <w:t xml:space="preserve"> tumeur osseuse en fréquence chez l’enfant</w:t>
            </w:r>
          </w:p>
          <w:p w:rsidR="003530CC" w:rsidRPr="00F012F8" w:rsidRDefault="003530CC" w:rsidP="003530CC">
            <w:pPr>
              <w:pStyle w:val="Paragraphedeliste"/>
              <w:numPr>
                <w:ilvl w:val="0"/>
                <w:numId w:val="103"/>
              </w:numPr>
              <w:rPr>
                <w:rFonts w:cs="Times New Roman"/>
              </w:rPr>
            </w:pPr>
            <w:r w:rsidRPr="00F012F8">
              <w:rPr>
                <w:rFonts w:cs="Times New Roman"/>
              </w:rPr>
              <w:t>Bassin et os long</w:t>
            </w:r>
          </w:p>
          <w:p w:rsidR="009E1E7D" w:rsidRPr="00F012F8" w:rsidRDefault="009E1E7D" w:rsidP="003530CC">
            <w:pPr>
              <w:pStyle w:val="Paragraphedeliste"/>
              <w:numPr>
                <w:ilvl w:val="0"/>
                <w:numId w:val="103"/>
              </w:numPr>
              <w:rPr>
                <w:rFonts w:cs="Times New Roman"/>
              </w:rPr>
            </w:pPr>
            <w:r w:rsidRPr="00F012F8">
              <w:rPr>
                <w:rFonts w:cs="Times New Roman"/>
              </w:rPr>
              <w:t>20-30% d’emblée métastatique</w:t>
            </w:r>
          </w:p>
        </w:tc>
        <w:tc>
          <w:tcPr>
            <w:tcW w:w="2956" w:type="dxa"/>
          </w:tcPr>
          <w:p w:rsidR="0029328E" w:rsidRPr="00F012F8" w:rsidRDefault="003530CC" w:rsidP="006D7E8C">
            <w:pPr>
              <w:pStyle w:val="Paragraphedeliste"/>
              <w:numPr>
                <w:ilvl w:val="0"/>
                <w:numId w:val="103"/>
              </w:numPr>
              <w:rPr>
                <w:rFonts w:cs="Times New Roman"/>
              </w:rPr>
            </w:pPr>
            <w:r w:rsidRPr="00F012F8">
              <w:rPr>
                <w:rFonts w:cs="Times New Roman"/>
              </w:rPr>
              <w:t>Douleur</w:t>
            </w:r>
          </w:p>
          <w:p w:rsidR="003530CC" w:rsidRPr="00F012F8" w:rsidRDefault="003530CC" w:rsidP="006D7E8C">
            <w:pPr>
              <w:pStyle w:val="Paragraphedeliste"/>
              <w:numPr>
                <w:ilvl w:val="0"/>
                <w:numId w:val="103"/>
              </w:numPr>
              <w:rPr>
                <w:rFonts w:cs="Times New Roman"/>
              </w:rPr>
            </w:pPr>
            <w:r w:rsidRPr="00F012F8">
              <w:rPr>
                <w:rFonts w:cs="Times New Roman"/>
              </w:rPr>
              <w:t>30% d’atteinte de l’état général</w:t>
            </w:r>
          </w:p>
          <w:p w:rsidR="003530CC" w:rsidRPr="00F012F8" w:rsidRDefault="003530CC" w:rsidP="003530CC">
            <w:pPr>
              <w:pStyle w:val="Paragraphedeliste"/>
              <w:numPr>
                <w:ilvl w:val="1"/>
                <w:numId w:val="103"/>
              </w:numPr>
              <w:rPr>
                <w:rFonts w:cs="Times New Roman"/>
              </w:rPr>
            </w:pPr>
            <w:r w:rsidRPr="00F012F8">
              <w:rPr>
                <w:rFonts w:cs="Times New Roman"/>
              </w:rPr>
              <w:t>Fièvre légère</w:t>
            </w:r>
          </w:p>
          <w:p w:rsidR="003530CC" w:rsidRPr="00F012F8" w:rsidRDefault="003530CC" w:rsidP="003530CC">
            <w:pPr>
              <w:pStyle w:val="Paragraphedeliste"/>
              <w:numPr>
                <w:ilvl w:val="1"/>
                <w:numId w:val="103"/>
              </w:numPr>
              <w:rPr>
                <w:rFonts w:cs="Times New Roman"/>
              </w:rPr>
            </w:pPr>
            <w:r w:rsidRPr="00F012F8">
              <w:rPr>
                <w:rFonts w:cs="Times New Roman"/>
              </w:rPr>
              <w:t xml:space="preserve">Anémie </w:t>
            </w:r>
          </w:p>
          <w:p w:rsidR="003530CC" w:rsidRPr="00F012F8" w:rsidRDefault="003530CC" w:rsidP="003530CC">
            <w:pPr>
              <w:pStyle w:val="Paragraphedeliste"/>
              <w:numPr>
                <w:ilvl w:val="0"/>
                <w:numId w:val="103"/>
              </w:numPr>
              <w:rPr>
                <w:rFonts w:cs="Times New Roman"/>
              </w:rPr>
            </w:pPr>
            <w:r w:rsidRPr="00F012F8">
              <w:rPr>
                <w:rFonts w:cs="Times New Roman"/>
              </w:rPr>
              <w:t>Érythème, œdème</w:t>
            </w:r>
          </w:p>
        </w:tc>
        <w:tc>
          <w:tcPr>
            <w:tcW w:w="2544" w:type="dxa"/>
          </w:tcPr>
          <w:p w:rsidR="003530CC" w:rsidRPr="00F012F8" w:rsidRDefault="003530CC" w:rsidP="006D7E8C">
            <w:pPr>
              <w:pStyle w:val="Paragraphedeliste"/>
              <w:numPr>
                <w:ilvl w:val="0"/>
                <w:numId w:val="103"/>
              </w:numPr>
              <w:rPr>
                <w:rFonts w:cs="Times New Roman"/>
              </w:rPr>
            </w:pPr>
            <w:r w:rsidRPr="00F012F8">
              <w:rPr>
                <w:rFonts w:cs="Times New Roman"/>
              </w:rPr>
              <w:t>Aspect mangé par les mites</w:t>
            </w:r>
          </w:p>
          <w:p w:rsidR="0029328E" w:rsidRPr="00F012F8" w:rsidRDefault="003530CC" w:rsidP="003530CC">
            <w:pPr>
              <w:pStyle w:val="Paragraphedeliste"/>
              <w:numPr>
                <w:ilvl w:val="0"/>
                <w:numId w:val="103"/>
              </w:numPr>
              <w:rPr>
                <w:rFonts w:cs="Times New Roman"/>
              </w:rPr>
            </w:pPr>
            <w:r w:rsidRPr="00F012F8">
              <w:rPr>
                <w:rFonts w:cs="Times New Roman"/>
              </w:rPr>
              <w:t xml:space="preserve">En pelure d’oignon (strates) </w:t>
            </w:r>
          </w:p>
        </w:tc>
      </w:tr>
      <w:tr w:rsidR="0029328E" w:rsidRPr="00F012F8" w:rsidTr="00BB27B9">
        <w:tc>
          <w:tcPr>
            <w:tcW w:w="1951" w:type="dxa"/>
            <w:shd w:val="clear" w:color="auto" w:fill="95B3D7" w:themeFill="accent1" w:themeFillTint="99"/>
            <w:vAlign w:val="center"/>
          </w:tcPr>
          <w:p w:rsidR="0029328E" w:rsidRPr="00F012F8" w:rsidRDefault="0029328E" w:rsidP="00DB0C57">
            <w:pPr>
              <w:jc w:val="center"/>
              <w:rPr>
                <w:rFonts w:cs="Times New Roman"/>
              </w:rPr>
            </w:pPr>
            <w:r w:rsidRPr="00F012F8">
              <w:rPr>
                <w:rFonts w:cs="Times New Roman"/>
              </w:rPr>
              <w:t>Métastases systémiques</w:t>
            </w:r>
          </w:p>
        </w:tc>
        <w:tc>
          <w:tcPr>
            <w:tcW w:w="3565" w:type="dxa"/>
          </w:tcPr>
          <w:p w:rsidR="0029328E" w:rsidRPr="00F012F8" w:rsidRDefault="0029328E" w:rsidP="006D7E8C">
            <w:pPr>
              <w:pStyle w:val="Paragraphedeliste"/>
              <w:numPr>
                <w:ilvl w:val="0"/>
                <w:numId w:val="103"/>
              </w:numPr>
              <w:rPr>
                <w:rFonts w:cs="Times New Roman"/>
              </w:rPr>
            </w:pPr>
            <w:r w:rsidRPr="00F012F8">
              <w:rPr>
                <w:rFonts w:cs="Times New Roman"/>
              </w:rPr>
              <w:t>40-80 ans</w:t>
            </w:r>
          </w:p>
          <w:p w:rsidR="00187404" w:rsidRPr="00F012F8" w:rsidRDefault="00187404" w:rsidP="006D7E8C">
            <w:pPr>
              <w:pStyle w:val="Paragraphedeliste"/>
              <w:numPr>
                <w:ilvl w:val="0"/>
                <w:numId w:val="103"/>
              </w:numPr>
              <w:rPr>
                <w:rFonts w:cs="Times New Roman"/>
              </w:rPr>
            </w:pPr>
            <w:r w:rsidRPr="00F012F8">
              <w:rPr>
                <w:rFonts w:cs="Times New Roman"/>
              </w:rPr>
              <w:t>Prostate et seins (2/3)</w:t>
            </w:r>
          </w:p>
          <w:p w:rsidR="00187404" w:rsidRPr="00F012F8" w:rsidRDefault="00187404" w:rsidP="006D7E8C">
            <w:pPr>
              <w:pStyle w:val="Paragraphedeliste"/>
              <w:numPr>
                <w:ilvl w:val="0"/>
                <w:numId w:val="103"/>
              </w:numPr>
              <w:rPr>
                <w:rFonts w:cs="Times New Roman"/>
              </w:rPr>
            </w:pPr>
            <w:r w:rsidRPr="00F012F8">
              <w:rPr>
                <w:rFonts w:cs="Times New Roman"/>
              </w:rPr>
              <w:t xml:space="preserve">Poumon, rein, </w:t>
            </w:r>
            <w:r w:rsidR="00737E46" w:rsidRPr="00F012F8">
              <w:rPr>
                <w:rFonts w:cs="Times New Roman"/>
              </w:rPr>
              <w:t>thyroïde,</w:t>
            </w:r>
            <w:r w:rsidRPr="00F012F8">
              <w:rPr>
                <w:rFonts w:cs="Times New Roman"/>
              </w:rPr>
              <w:t xml:space="preserve"> mélanome</w:t>
            </w:r>
          </w:p>
          <w:p w:rsidR="00187404" w:rsidRPr="00F012F8" w:rsidRDefault="00187404" w:rsidP="00187404">
            <w:pPr>
              <w:pStyle w:val="Paragraphedeliste"/>
              <w:ind w:left="360"/>
              <w:rPr>
                <w:rFonts w:cs="Times New Roman"/>
              </w:rPr>
            </w:pPr>
          </w:p>
        </w:tc>
        <w:tc>
          <w:tcPr>
            <w:tcW w:w="2956" w:type="dxa"/>
          </w:tcPr>
          <w:p w:rsidR="0029328E" w:rsidRPr="00F012F8" w:rsidRDefault="00353735" w:rsidP="006D7E8C">
            <w:pPr>
              <w:pStyle w:val="Paragraphedeliste"/>
              <w:numPr>
                <w:ilvl w:val="0"/>
                <w:numId w:val="103"/>
              </w:numPr>
              <w:rPr>
                <w:rFonts w:cs="Times New Roman"/>
              </w:rPr>
            </w:pPr>
            <w:r w:rsidRPr="00F012F8">
              <w:rPr>
                <w:rFonts w:cs="Times New Roman"/>
              </w:rPr>
              <w:t>Fractures pathologiques</w:t>
            </w:r>
          </w:p>
          <w:p w:rsidR="00353735" w:rsidRPr="00F012F8" w:rsidRDefault="00353735" w:rsidP="006D7E8C">
            <w:pPr>
              <w:pStyle w:val="Paragraphedeliste"/>
              <w:numPr>
                <w:ilvl w:val="0"/>
                <w:numId w:val="103"/>
              </w:numPr>
              <w:rPr>
                <w:rFonts w:cs="Times New Roman"/>
              </w:rPr>
            </w:pPr>
            <w:r w:rsidRPr="00F012F8">
              <w:rPr>
                <w:rFonts w:cs="Times New Roman"/>
              </w:rPr>
              <w:t>Douleurs</w:t>
            </w:r>
          </w:p>
          <w:p w:rsidR="000029AB" w:rsidRPr="00F012F8" w:rsidRDefault="000029AB" w:rsidP="006D7E8C">
            <w:pPr>
              <w:pStyle w:val="Paragraphedeliste"/>
              <w:numPr>
                <w:ilvl w:val="0"/>
                <w:numId w:val="103"/>
              </w:numPr>
              <w:rPr>
                <w:rFonts w:cs="Times New Roman"/>
              </w:rPr>
            </w:pPr>
            <w:r w:rsidRPr="00F012F8">
              <w:rPr>
                <w:rFonts w:cs="Times New Roman"/>
              </w:rPr>
              <w:t>Atteinte systémique, selon  néo primaire</w:t>
            </w:r>
          </w:p>
        </w:tc>
        <w:tc>
          <w:tcPr>
            <w:tcW w:w="2544" w:type="dxa"/>
          </w:tcPr>
          <w:p w:rsidR="0029328E" w:rsidRPr="00F012F8" w:rsidRDefault="00187404" w:rsidP="006D7E8C">
            <w:pPr>
              <w:pStyle w:val="Paragraphedeliste"/>
              <w:numPr>
                <w:ilvl w:val="0"/>
                <w:numId w:val="103"/>
              </w:numPr>
              <w:rPr>
                <w:rFonts w:cs="Times New Roman"/>
              </w:rPr>
            </w:pPr>
            <w:r w:rsidRPr="00F012F8">
              <w:rPr>
                <w:rFonts w:cs="Times New Roman"/>
              </w:rPr>
              <w:t>Aspect ostéolytique</w:t>
            </w:r>
          </w:p>
        </w:tc>
      </w:tr>
      <w:tr w:rsidR="00CA7F5D" w:rsidRPr="00F012F8" w:rsidTr="002F25C7">
        <w:tc>
          <w:tcPr>
            <w:tcW w:w="11016" w:type="dxa"/>
            <w:gridSpan w:val="4"/>
            <w:vAlign w:val="center"/>
          </w:tcPr>
          <w:p w:rsidR="00CA7F5D" w:rsidRPr="00F012F8" w:rsidRDefault="00927265" w:rsidP="00CA7F5D">
            <w:pPr>
              <w:jc w:val="center"/>
              <w:rPr>
                <w:rFonts w:cs="Times New Roman"/>
              </w:rPr>
            </w:pPr>
            <w:r w:rsidRPr="00F012F8">
              <w:rPr>
                <w:rFonts w:cs="Times New Roman"/>
              </w:rPr>
              <w:t>T</w:t>
            </w:r>
            <w:r w:rsidR="00CA7F5D" w:rsidRPr="00F012F8">
              <w:rPr>
                <w:rFonts w:cs="Times New Roman"/>
              </w:rPr>
              <w:t>umeurs bénignes agressives (ostéoblastome, tumeur à cellules géantes, kyste anévrysmal</w:t>
            </w:r>
            <w:r w:rsidRPr="00F012F8">
              <w:rPr>
                <w:rFonts w:cs="Times New Roman"/>
              </w:rPr>
              <w:t>,</w:t>
            </w:r>
            <w:r w:rsidR="00CA7F5D" w:rsidRPr="00F012F8">
              <w:rPr>
                <w:rFonts w:cs="Times New Roman"/>
              </w:rPr>
              <w:t xml:space="preserve"> etc </w:t>
            </w:r>
            <w:r w:rsidRPr="00F012F8">
              <w:rPr>
                <w:rFonts w:cs="Times New Roman"/>
              </w:rPr>
              <w:t>.</w:t>
            </w:r>
            <w:r w:rsidR="00CA7F5D" w:rsidRPr="00F012F8">
              <w:rPr>
                <w:rFonts w:cs="Times New Roman"/>
              </w:rPr>
              <w:t>..)</w:t>
            </w:r>
          </w:p>
          <w:p w:rsidR="00CA7F5D" w:rsidRPr="00F012F8" w:rsidRDefault="00CA7F5D" w:rsidP="00CA7F5D">
            <w:pPr>
              <w:pStyle w:val="Paragraphedeliste"/>
              <w:numPr>
                <w:ilvl w:val="0"/>
                <w:numId w:val="110"/>
              </w:numPr>
              <w:jc w:val="center"/>
              <w:rPr>
                <w:rFonts w:cs="Times New Roman"/>
              </w:rPr>
            </w:pPr>
            <w:r w:rsidRPr="00F012F8">
              <w:rPr>
                <w:rFonts w:cs="Times New Roman"/>
              </w:rPr>
              <w:t>Symptômes : sensibilité locale, œdème, parfois compression locale, progression</w:t>
            </w:r>
          </w:p>
        </w:tc>
      </w:tr>
    </w:tbl>
    <w:p w:rsidR="00271E1C" w:rsidRPr="00F012F8" w:rsidRDefault="00304CDD">
      <w:pPr>
        <w:rPr>
          <w:rFonts w:cs="Times New Roman"/>
        </w:rPr>
      </w:pPr>
      <w:r w:rsidRPr="00F012F8">
        <w:rPr>
          <w:rFonts w:cs="Times New Roman"/>
          <w:noProof/>
          <w:lang w:eastAsia="fr-CA"/>
        </w:rPr>
        <mc:AlternateContent>
          <mc:Choice Requires="wpg">
            <w:drawing>
              <wp:anchor distT="0" distB="0" distL="114300" distR="114300" simplePos="0" relativeHeight="251686912" behindDoc="0" locked="0" layoutInCell="1" allowOverlap="1" wp14:anchorId="3DA1DE09" wp14:editId="05CFE420">
                <wp:simplePos x="0" y="0"/>
                <wp:positionH relativeFrom="column">
                  <wp:posOffset>272415</wp:posOffset>
                </wp:positionH>
                <wp:positionV relativeFrom="paragraph">
                  <wp:posOffset>15929</wp:posOffset>
                </wp:positionV>
                <wp:extent cx="6400800" cy="2188845"/>
                <wp:effectExtent l="0" t="0" r="0" b="1905"/>
                <wp:wrapNone/>
                <wp:docPr id="39" name="Groupe 39"/>
                <wp:cNvGraphicFramePr/>
                <a:graphic xmlns:a="http://schemas.openxmlformats.org/drawingml/2006/main">
                  <a:graphicData uri="http://schemas.microsoft.com/office/word/2010/wordprocessingGroup">
                    <wpg:wgp>
                      <wpg:cNvGrpSpPr/>
                      <wpg:grpSpPr>
                        <a:xfrm>
                          <a:off x="0" y="0"/>
                          <a:ext cx="6400800" cy="2188845"/>
                          <a:chOff x="0" y="0"/>
                          <a:chExt cx="6400800" cy="2189285"/>
                        </a:xfrm>
                      </wpg:grpSpPr>
                      <pic:pic xmlns:pic="http://schemas.openxmlformats.org/drawingml/2006/picture">
                        <pic:nvPicPr>
                          <pic:cNvPr id="28" name="Image 28"/>
                          <pic:cNvPicPr>
                            <a:picLocks noChangeAspect="1"/>
                          </pic:cNvPicPr>
                        </pic:nvPicPr>
                        <pic:blipFill>
                          <a:blip r:embed="rId152" cstate="print">
                            <a:extLst>
                              <a:ext uri="{28A0092B-C50C-407E-A947-70E740481C1C}">
                                <a14:useLocalDpi xmlns:a14="http://schemas.microsoft.com/office/drawing/2010/main" val="0"/>
                              </a:ext>
                            </a:extLst>
                          </a:blip>
                          <a:stretch>
                            <a:fillRect/>
                          </a:stretch>
                        </pic:blipFill>
                        <pic:spPr>
                          <a:xfrm>
                            <a:off x="0" y="35169"/>
                            <a:ext cx="2013439" cy="1635370"/>
                          </a:xfrm>
                          <a:prstGeom prst="rect">
                            <a:avLst/>
                          </a:prstGeom>
                        </pic:spPr>
                      </pic:pic>
                      <pic:pic xmlns:pic="http://schemas.openxmlformats.org/drawingml/2006/picture">
                        <pic:nvPicPr>
                          <pic:cNvPr id="29" name="Image 29"/>
                          <pic:cNvPicPr>
                            <a:picLocks noChangeAspect="1"/>
                          </pic:cNvPicPr>
                        </pic:nvPicPr>
                        <pic:blipFill>
                          <a:blip r:embed="rId153" cstate="print">
                            <a:extLst>
                              <a:ext uri="{28A0092B-C50C-407E-A947-70E740481C1C}">
                                <a14:useLocalDpi xmlns:a14="http://schemas.microsoft.com/office/drawing/2010/main" val="0"/>
                              </a:ext>
                            </a:extLst>
                          </a:blip>
                          <a:stretch>
                            <a:fillRect/>
                          </a:stretch>
                        </pic:blipFill>
                        <pic:spPr>
                          <a:xfrm>
                            <a:off x="2013439" y="35169"/>
                            <a:ext cx="1116623" cy="2145324"/>
                          </a:xfrm>
                          <a:prstGeom prst="rect">
                            <a:avLst/>
                          </a:prstGeom>
                        </pic:spPr>
                      </pic:pic>
                      <pic:pic xmlns:pic="http://schemas.openxmlformats.org/drawingml/2006/picture">
                        <pic:nvPicPr>
                          <pic:cNvPr id="31" name="Image 31"/>
                          <pic:cNvPicPr>
                            <a:picLocks noChangeAspect="1"/>
                          </pic:cNvPicPr>
                        </pic:nvPicPr>
                        <pic:blipFill rotWithShape="1">
                          <a:blip r:embed="rId154" cstate="print">
                            <a:extLst>
                              <a:ext uri="{28A0092B-C50C-407E-A947-70E740481C1C}">
                                <a14:useLocalDpi xmlns:a14="http://schemas.microsoft.com/office/drawing/2010/main" val="0"/>
                              </a:ext>
                            </a:extLst>
                          </a:blip>
                          <a:srcRect t="2354"/>
                          <a:stretch/>
                        </pic:blipFill>
                        <pic:spPr bwMode="auto">
                          <a:xfrm>
                            <a:off x="3130062" y="0"/>
                            <a:ext cx="1635369" cy="218928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32" name="Image 32"/>
                          <pic:cNvPicPr>
                            <a:picLocks noChangeAspect="1"/>
                          </pic:cNvPicPr>
                        </pic:nvPicPr>
                        <pic:blipFill>
                          <a:blip r:embed="rId155" cstate="print">
                            <a:extLst>
                              <a:ext uri="{28A0092B-C50C-407E-A947-70E740481C1C}">
                                <a14:useLocalDpi xmlns:a14="http://schemas.microsoft.com/office/drawing/2010/main" val="0"/>
                              </a:ext>
                            </a:extLst>
                          </a:blip>
                          <a:stretch>
                            <a:fillRect/>
                          </a:stretch>
                        </pic:blipFill>
                        <pic:spPr>
                          <a:xfrm>
                            <a:off x="4756639" y="26377"/>
                            <a:ext cx="1644161" cy="1547446"/>
                          </a:xfrm>
                          <a:prstGeom prst="rect">
                            <a:avLst/>
                          </a:prstGeom>
                        </pic:spPr>
                      </pic:pic>
                    </wpg:wgp>
                  </a:graphicData>
                </a:graphic>
              </wp:anchor>
            </w:drawing>
          </mc:Choice>
          <mc:Fallback>
            <w:pict>
              <v:group id="Groupe 39" o:spid="_x0000_s1026" style="position:absolute;margin-left:21.45pt;margin-top:1.25pt;width:7in;height:172.35pt;z-index:251686912" coordsize="64008,218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28" o:spid="_x0000_s1027" type="#_x0000_t75" style="position:absolute;top:351;width:20134;height:163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f5WnDCAAAA2wAAAA8AAABkcnMvZG93bnJldi54bWxET1trwjAUfh/4H8IR9jZThblRTYvoNvo0&#10;mBfw8dAcm2pz0iVRu3+/PAz2+PHdl+VgO3EjH1rHCqaTDARx7XTLjYL97v3pFUSIyBo7x6TghwKU&#10;xehhibl2d/6i2zY2IoVwyFGBibHPpQy1IYth4nrixJ2ctxgT9I3UHu8p3HZylmVzabHl1GCwp7Wh&#10;+rK9WgW+ejkPxznuuurj8HzamM83+r4q9TgeVgsQkYb4L/5zV1rBLI1NX9IPkMUv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H+VpwwgAAANsAAAAPAAAAAAAAAAAAAAAAAJ8C&#10;AABkcnMvZG93bnJldi54bWxQSwUGAAAAAAQABAD3AAAAjgMAAAAA&#10;">
                  <v:imagedata r:id="rId156" o:title=""/>
                  <v:path arrowok="t"/>
                </v:shape>
                <v:shape id="Image 29" o:spid="_x0000_s1028" type="#_x0000_t75" style="position:absolute;left:20134;top:351;width:11166;height:214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ljw9XDAAAA2wAAAA8AAABkcnMvZG93bnJldi54bWxEj0FrwkAUhO8F/8PyCt7MpgrFptlIUdSC&#10;BXErnh/Z1yQ0+zZkV5P++65Q6HGYmW+YfDXaVtyo941jBU9JCoK4dKbhSsH5cztbgvAB2WDrmBT8&#10;kIdVMXnIMTNu4BPddKhEhLDPUEEdQpdJ6cuaLPrEdcTR+3K9xRBlX0nT4xDhtpXzNH2WFhuOCzV2&#10;tK6p/NZXqwD1cbM341l/pIedX1wubj1op9T0cXx7BRFoDP/hv/a7UTB/gfuX+ANk8Q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WPD1cMAAADbAAAADwAAAAAAAAAAAAAAAACf&#10;AgAAZHJzL2Rvd25yZXYueG1sUEsFBgAAAAAEAAQA9wAAAI8DAAAAAA==&#10;">
                  <v:imagedata r:id="rId157" o:title=""/>
                  <v:path arrowok="t"/>
                </v:shape>
                <v:shape id="Image 31" o:spid="_x0000_s1029" type="#_x0000_t75" style="position:absolute;left:31300;width:16354;height:218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sRc43EAAAA2wAAAA8AAABkcnMvZG93bnJldi54bWxEj0FrwkAUhO+C/2F5Qm+60YKW1FWKKBVB&#10;pNFLb4/saxLMvo3Zbcz+e7dQ8DjMzDfMct2bWnTUusqygukkAUGcW11xoeBy3o3fQDiPrLG2TAoC&#10;OVivhoMlptre+Yu6zBciQtilqKD0vkmldHlJBt3ENsTR+7GtQR9lW0jd4j3CTS1nSTKXBiuOCyU2&#10;tCkpv2a/RsF3uHXhcOXtog7zkGQL3pyOn0q9jPqPdxCeev8M/7f3WsHrFP6+xB8gVw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sRc43EAAAA2wAAAA8AAAAAAAAAAAAAAAAA&#10;nwIAAGRycy9kb3ducmV2LnhtbFBLBQYAAAAABAAEAPcAAACQAwAAAAA=&#10;">
                  <v:imagedata r:id="rId158" o:title="" croptop="1543f"/>
                  <v:path arrowok="t"/>
                </v:shape>
                <v:shape id="Image 32" o:spid="_x0000_s1030" type="#_x0000_t75" style="position:absolute;left:47566;top:263;width:16442;height:154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9L0b/FAAAA2wAAAA8AAABkcnMvZG93bnJldi54bWxEj09rAjEUxO9Cv0N4BW+arYLI1qxIiyAe&#10;LF176e118/ZPu3nZJtFd++kbQfA4zMxvmNV6MK04k/ONZQVP0wQEcWF1w5WCj+N2sgThA7LG1jIp&#10;uJCHdfYwWmGqbc/vdM5DJSKEfYoK6hC6VEpf1GTQT21HHL3SOoMhSldJ7bCPcNPKWZIspMGG40KN&#10;Hb3UVPzkJ6Og2x8+q/ytfN2Yv2Lrv9zv96LfKzV+HDbPIAIN4R6+tXdawXwG1y/xB8jsH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PS9G/xQAAANsAAAAPAAAAAAAAAAAAAAAA&#10;AJ8CAABkcnMvZG93bnJldi54bWxQSwUGAAAAAAQABAD3AAAAkQMAAAAA&#10;">
                  <v:imagedata r:id="rId159" o:title=""/>
                  <v:path arrowok="t"/>
                </v:shape>
              </v:group>
            </w:pict>
          </mc:Fallback>
        </mc:AlternateContent>
      </w:r>
    </w:p>
    <w:p w:rsidR="00DD70A1" w:rsidRPr="00F012F8" w:rsidRDefault="00DD70A1">
      <w:pPr>
        <w:rPr>
          <w:rFonts w:cs="Times New Roman"/>
        </w:rPr>
      </w:pPr>
    </w:p>
    <w:p w:rsidR="00DD70A1" w:rsidRPr="00F012F8" w:rsidRDefault="00DD70A1">
      <w:pPr>
        <w:rPr>
          <w:rFonts w:cs="Times New Roman"/>
        </w:rPr>
      </w:pPr>
    </w:p>
    <w:p w:rsidR="00DD70A1" w:rsidRPr="00F012F8" w:rsidRDefault="00DD70A1">
      <w:pPr>
        <w:rPr>
          <w:rFonts w:cs="Times New Roman"/>
        </w:rPr>
      </w:pPr>
    </w:p>
    <w:p w:rsidR="00DD70A1" w:rsidRPr="00F012F8" w:rsidRDefault="00DD70A1">
      <w:pPr>
        <w:rPr>
          <w:rFonts w:cs="Times New Roman"/>
        </w:rPr>
      </w:pPr>
    </w:p>
    <w:p w:rsidR="00DD70A1" w:rsidRPr="00F012F8" w:rsidRDefault="00DD70A1">
      <w:pPr>
        <w:rPr>
          <w:rFonts w:cs="Times New Roman"/>
        </w:rPr>
      </w:pPr>
    </w:p>
    <w:p w:rsidR="00DD70A1" w:rsidRPr="00F012F8" w:rsidRDefault="00DD70A1">
      <w:pPr>
        <w:rPr>
          <w:rFonts w:cs="Times New Roman"/>
        </w:rPr>
      </w:pPr>
    </w:p>
    <w:p w:rsidR="00DD70A1" w:rsidRPr="00F012F8" w:rsidRDefault="002B55D5">
      <w:pPr>
        <w:rPr>
          <w:rFonts w:cs="Times New Roman"/>
        </w:rPr>
      </w:pPr>
      <w:r w:rsidRPr="00F012F8">
        <w:rPr>
          <w:rFonts w:cs="Times New Roman"/>
          <w:noProof/>
          <w:lang w:eastAsia="fr-CA"/>
        </w:rPr>
        <mc:AlternateContent>
          <mc:Choice Requires="wpg">
            <w:drawing>
              <wp:anchor distT="0" distB="0" distL="114300" distR="114300" simplePos="0" relativeHeight="251692032" behindDoc="0" locked="0" layoutInCell="1" allowOverlap="1" wp14:anchorId="136F65D6" wp14:editId="33A27DC9">
                <wp:simplePos x="0" y="0"/>
                <wp:positionH relativeFrom="column">
                  <wp:posOffset>-52754</wp:posOffset>
                </wp:positionH>
                <wp:positionV relativeFrom="paragraph">
                  <wp:posOffset>-167054</wp:posOffset>
                </wp:positionV>
                <wp:extent cx="7042639" cy="2022231"/>
                <wp:effectExtent l="0" t="0" r="6350" b="0"/>
                <wp:wrapNone/>
                <wp:docPr id="38" name="Groupe 38"/>
                <wp:cNvGraphicFramePr/>
                <a:graphic xmlns:a="http://schemas.openxmlformats.org/drawingml/2006/main">
                  <a:graphicData uri="http://schemas.microsoft.com/office/word/2010/wordprocessingGroup">
                    <wpg:wgp>
                      <wpg:cNvGrpSpPr/>
                      <wpg:grpSpPr>
                        <a:xfrm>
                          <a:off x="0" y="0"/>
                          <a:ext cx="7042639" cy="2022231"/>
                          <a:chOff x="0" y="0"/>
                          <a:chExt cx="7042639" cy="2022231"/>
                        </a:xfrm>
                      </wpg:grpSpPr>
                      <pic:pic xmlns:pic="http://schemas.openxmlformats.org/drawingml/2006/picture">
                        <pic:nvPicPr>
                          <pic:cNvPr id="33" name="Image 33"/>
                          <pic:cNvPicPr>
                            <a:picLocks noChangeAspect="1"/>
                          </pic:cNvPicPr>
                        </pic:nvPicPr>
                        <pic:blipFill>
                          <a:blip r:embed="rId160" cstate="print">
                            <a:extLst>
                              <a:ext uri="{28A0092B-C50C-407E-A947-70E740481C1C}">
                                <a14:useLocalDpi xmlns:a14="http://schemas.microsoft.com/office/drawing/2010/main" val="0"/>
                              </a:ext>
                            </a:extLst>
                          </a:blip>
                          <a:stretch>
                            <a:fillRect/>
                          </a:stretch>
                        </pic:blipFill>
                        <pic:spPr>
                          <a:xfrm>
                            <a:off x="0" y="96716"/>
                            <a:ext cx="1389185" cy="1732084"/>
                          </a:xfrm>
                          <a:prstGeom prst="rect">
                            <a:avLst/>
                          </a:prstGeom>
                        </pic:spPr>
                      </pic:pic>
                      <pic:pic xmlns:pic="http://schemas.openxmlformats.org/drawingml/2006/picture">
                        <pic:nvPicPr>
                          <pic:cNvPr id="34" name="Image 34"/>
                          <pic:cNvPicPr>
                            <a:picLocks noChangeAspect="1"/>
                          </pic:cNvPicPr>
                        </pic:nvPicPr>
                        <pic:blipFill>
                          <a:blip r:embed="rId161" cstate="print">
                            <a:extLst>
                              <a:ext uri="{28A0092B-C50C-407E-A947-70E740481C1C}">
                                <a14:useLocalDpi xmlns:a14="http://schemas.microsoft.com/office/drawing/2010/main" val="0"/>
                              </a:ext>
                            </a:extLst>
                          </a:blip>
                          <a:stretch>
                            <a:fillRect/>
                          </a:stretch>
                        </pic:blipFill>
                        <pic:spPr>
                          <a:xfrm>
                            <a:off x="1389185" y="96716"/>
                            <a:ext cx="1565031" cy="1670538"/>
                          </a:xfrm>
                          <a:prstGeom prst="rect">
                            <a:avLst/>
                          </a:prstGeom>
                        </pic:spPr>
                      </pic:pic>
                      <pic:pic xmlns:pic="http://schemas.openxmlformats.org/drawingml/2006/picture">
                        <pic:nvPicPr>
                          <pic:cNvPr id="35" name="Image 35"/>
                          <pic:cNvPicPr>
                            <a:picLocks noChangeAspect="1"/>
                          </pic:cNvPicPr>
                        </pic:nvPicPr>
                        <pic:blipFill>
                          <a:blip r:embed="rId162" cstate="print">
                            <a:extLst>
                              <a:ext uri="{28A0092B-C50C-407E-A947-70E740481C1C}">
                                <a14:useLocalDpi xmlns:a14="http://schemas.microsoft.com/office/drawing/2010/main" val="0"/>
                              </a:ext>
                            </a:extLst>
                          </a:blip>
                          <a:stretch>
                            <a:fillRect/>
                          </a:stretch>
                        </pic:blipFill>
                        <pic:spPr>
                          <a:xfrm>
                            <a:off x="2954216" y="0"/>
                            <a:ext cx="1380392" cy="2022231"/>
                          </a:xfrm>
                          <a:prstGeom prst="rect">
                            <a:avLst/>
                          </a:prstGeom>
                        </pic:spPr>
                      </pic:pic>
                      <pic:pic xmlns:pic="http://schemas.openxmlformats.org/drawingml/2006/picture">
                        <pic:nvPicPr>
                          <pic:cNvPr id="36" name="Image 36"/>
                          <pic:cNvPicPr>
                            <a:picLocks noChangeAspect="1"/>
                          </pic:cNvPicPr>
                        </pic:nvPicPr>
                        <pic:blipFill>
                          <a:blip r:embed="rId163" cstate="print">
                            <a:extLst>
                              <a:ext uri="{28A0092B-C50C-407E-A947-70E740481C1C}">
                                <a14:useLocalDpi xmlns:a14="http://schemas.microsoft.com/office/drawing/2010/main" val="0"/>
                              </a:ext>
                            </a:extLst>
                          </a:blip>
                          <a:stretch>
                            <a:fillRect/>
                          </a:stretch>
                        </pic:blipFill>
                        <pic:spPr>
                          <a:xfrm>
                            <a:off x="4273062" y="96716"/>
                            <a:ext cx="1477107" cy="1626576"/>
                          </a:xfrm>
                          <a:prstGeom prst="rect">
                            <a:avLst/>
                          </a:prstGeom>
                        </pic:spPr>
                      </pic:pic>
                      <pic:pic xmlns:pic="http://schemas.openxmlformats.org/drawingml/2006/picture">
                        <pic:nvPicPr>
                          <pic:cNvPr id="37" name="Image 37"/>
                          <pic:cNvPicPr>
                            <a:picLocks noChangeAspect="1"/>
                          </pic:cNvPicPr>
                        </pic:nvPicPr>
                        <pic:blipFill>
                          <a:blip r:embed="rId164" cstate="print">
                            <a:extLst>
                              <a:ext uri="{28A0092B-C50C-407E-A947-70E740481C1C}">
                                <a14:useLocalDpi xmlns:a14="http://schemas.microsoft.com/office/drawing/2010/main" val="0"/>
                              </a:ext>
                            </a:extLst>
                          </a:blip>
                          <a:stretch>
                            <a:fillRect/>
                          </a:stretch>
                        </pic:blipFill>
                        <pic:spPr>
                          <a:xfrm>
                            <a:off x="5750169" y="96716"/>
                            <a:ext cx="1292470" cy="1802423"/>
                          </a:xfrm>
                          <a:prstGeom prst="rect">
                            <a:avLst/>
                          </a:prstGeom>
                        </pic:spPr>
                      </pic:pic>
                    </wpg:wgp>
                  </a:graphicData>
                </a:graphic>
              </wp:anchor>
            </w:drawing>
          </mc:Choice>
          <mc:Fallback>
            <w:pict>
              <v:group id="Groupe 38" o:spid="_x0000_s1026" style="position:absolute;margin-left:-4.15pt;margin-top:-13.15pt;width:554.55pt;height:159.25pt;z-index:251692032" coordsize="70426,202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">
                <v:shape id="Image 33" o:spid="_x0000_s1027" type="#_x0000_t75" style="position:absolute;top:967;width:13891;height:173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mRTXFAAAA2wAAAA8AAABkcnMvZG93bnJldi54bWxEj0trwzAQhO+B/gexhd4S2c2D4EYOSaAQ&#10;SlvIkxwXa2ubWitHUhL331eFQI/DzHzDzOadacSVnK8tK0gHCQjiwuqaSwX73Wt/CsIHZI2NZVLw&#10;Qx7m+UNvhpm2N97QdRtKESHsM1RQhdBmUvqiIoN+YFvi6H1ZZzBE6UqpHd4i3DTyOUkm0mDNcaHC&#10;llYVFd/bi1HwMT69796WOHXpmZbdJ4+Oh8VIqafHbvECIlAX/sP39lorGA7h70v8ATL/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5kU1xQAAANsAAAAPAAAAAAAAAAAAAAAA&#10;AJ8CAABkcnMvZG93bnJldi54bWxQSwUGAAAAAAQABAD3AAAAkQMAAAAA&#10;">
                  <v:imagedata r:id="rId165" o:title=""/>
                  <v:path arrowok="t"/>
                </v:shape>
                <v:shape id="Image 34" o:spid="_x0000_s1028" type="#_x0000_t75" style="position:absolute;left:13891;top:967;width:15651;height:167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ahg03DAAAA2wAAAA8AAABkcnMvZG93bnJldi54bWxEj0FrAjEUhO8F/0N4greatRbR1ShSWKzg&#10;oWrp+bl5zS7dvCxJdLf/vhEKHoeZ+YZZbXrbiBv5UDtWMBlnIIhLp2s2Cj7PxfMcRIjIGhvHpOCX&#10;AmzWg6cV5tp1fKTbKRqRIBxyVFDF2OZShrIii2HsWuLkfTtvMSbpjdQeuwS3jXzJspm0WHNaqLCl&#10;t4rKn9PVKuiK8rL3nYkz1+4/vnZmUcwPC6VGw367BBGpj4/wf/tdK5i+wv1L+gFy/Q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hqGDTcMAAADbAAAADwAAAAAAAAAAAAAAAACf&#10;AgAAZHJzL2Rvd25yZXYueG1sUEsFBgAAAAAEAAQA9wAAAI8DAAAAAA==&#10;">
                  <v:imagedata r:id="rId166" o:title=""/>
                  <v:path arrowok="t"/>
                </v:shape>
                <v:shape id="Image 35" o:spid="_x0000_s1029" type="#_x0000_t75" style="position:absolute;left:29542;width:13804;height:202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gWWEjBAAAA2wAAAA8AAABkcnMvZG93bnJldi54bWxEj0uLwjAUhfcD/odwhdmNqYqvahQZHBRx&#10;U3Xh8tJc22JzU5pMrf/eCILLw3l8nMWqNaVoqHaFZQX9XgSCOLW64EzB+fT3MwXhPLLG0jIpeJCD&#10;1bLztcBY2zsn1Bx9JsIIuxgV5N5XsZQuzcmg69mKOHhXWxv0QdaZ1DXew7gp5SCKxtJgwYGQY0W/&#10;OaW3478J3MPmksz6zWN7yBJJ+4mLzM0p9d1t13MQnlr/Cb/bO61gOILXl/AD5PIJ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NgWWEjBAAAA2wAAAA8AAAAAAAAAAAAAAAAAnwIA&#10;AGRycy9kb3ducmV2LnhtbFBLBQYAAAAABAAEAPcAAACNAwAAAAA=&#10;">
                  <v:imagedata r:id="rId167" o:title=""/>
                  <v:path arrowok="t"/>
                </v:shape>
                <v:shape id="Image 36" o:spid="_x0000_s1030" type="#_x0000_t75" style="position:absolute;left:42730;top:967;width:14771;height:1626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kXcvbGAAAA2wAAAA8AAABkcnMvZG93bnJldi54bWxEj09rwkAUxO+C32F5hV6KbmwhSuomiCBV&#10;eyj1z8Hba/Y1G8y+Ddmtxm/fLRQ8DjPzG2Ze9LYRF+p87VjBZJyAIC6drrlScNivRjMQPiBrbByT&#10;ght5KPLhYI6Zdlf+pMsuVCJC2GeowITQZlL60pBFP3YtcfS+XWcxRNlVUnd4jXDbyOckSaXFmuOC&#10;wZaWhsrz7scqqI7T09eHfpr5N5mad7fZ3mSyVerxoV+8ggjUh3v4v73WCl5S+PsSf4DMfw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WRdy9sYAAADbAAAADwAAAAAAAAAAAAAA&#10;AACfAgAAZHJzL2Rvd25yZXYueG1sUEsFBgAAAAAEAAQA9wAAAJIDAAAAAA==&#10;">
                  <v:imagedata r:id="rId168" o:title=""/>
                  <v:path arrowok="t"/>
                </v:shape>
                <v:shape id="Image 37" o:spid="_x0000_s1031" type="#_x0000_t75" style="position:absolute;left:57501;top:967;width:12925;height:180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gWrh/DAAAA2wAAAA8AAABkcnMvZG93bnJldi54bWxEj9GKwjAURN+F/YdwBd80VVlXalNZREX2&#10;RXT9gGtzbYvNTWlirX79ZkHwcZiZM0yy7EwlWmpcaVnBeBSBIM6sLjlXcPrdDOcgnEfWWFkmBQ9y&#10;sEw/egnG2t75QO3R5yJA2MWooPC+jqV0WUEG3cjWxMG72MagD7LJpW7wHuCmkpMomkmDJYeFAmta&#10;FZRdjzejYHv+fGaT3bp9rrnTP+c9PtoLKjXod98LEJ46/w6/2jutYPoF/1/CD5Dp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6BauH8MAAADbAAAADwAAAAAAAAAAAAAAAACf&#10;AgAAZHJzL2Rvd25yZXYueG1sUEsFBgAAAAAEAAQA9wAAAI8DAAAAAA==&#10;">
                  <v:imagedata r:id="rId169" o:title=""/>
                  <v:path arrowok="t"/>
                </v:shape>
              </v:group>
            </w:pict>
          </mc:Fallback>
        </mc:AlternateContent>
      </w:r>
    </w:p>
    <w:p w:rsidR="00DD70A1" w:rsidRPr="00F012F8" w:rsidRDefault="00DD70A1">
      <w:pPr>
        <w:rPr>
          <w:rFonts w:cs="Times New Roman"/>
        </w:rPr>
      </w:pPr>
    </w:p>
    <w:p w:rsidR="00DD70A1" w:rsidRPr="00F012F8" w:rsidRDefault="00DD70A1">
      <w:pPr>
        <w:rPr>
          <w:rFonts w:cs="Times New Roman"/>
        </w:rPr>
      </w:pPr>
    </w:p>
    <w:p w:rsidR="00DD70A1" w:rsidRPr="00F012F8" w:rsidRDefault="00DD70A1">
      <w:pPr>
        <w:rPr>
          <w:rFonts w:cs="Times New Roman"/>
        </w:rPr>
      </w:pPr>
    </w:p>
    <w:p w:rsidR="00DD70A1" w:rsidRPr="00F012F8" w:rsidRDefault="00DD70A1">
      <w:pPr>
        <w:rPr>
          <w:rFonts w:cs="Times New Roman"/>
        </w:rPr>
      </w:pPr>
    </w:p>
    <w:p w:rsidR="00DD70A1" w:rsidRPr="00F012F8" w:rsidRDefault="00DD70A1">
      <w:pPr>
        <w:rPr>
          <w:rFonts w:cs="Times New Roman"/>
        </w:rPr>
      </w:pPr>
    </w:p>
    <w:tbl>
      <w:tblPr>
        <w:tblStyle w:val="Grilledutableau"/>
        <w:tblW w:w="0" w:type="auto"/>
        <w:tblLook w:val="04A0" w:firstRow="1" w:lastRow="0" w:firstColumn="1" w:lastColumn="0" w:noHBand="0" w:noVBand="1"/>
      </w:tblPr>
      <w:tblGrid>
        <w:gridCol w:w="2192"/>
        <w:gridCol w:w="4579"/>
        <w:gridCol w:w="3685"/>
      </w:tblGrid>
      <w:tr w:rsidR="00C62F6F" w:rsidRPr="00F012F8" w:rsidTr="00BB27B9">
        <w:tc>
          <w:tcPr>
            <w:tcW w:w="10456" w:type="dxa"/>
            <w:gridSpan w:val="3"/>
            <w:shd w:val="clear" w:color="auto" w:fill="4F81BD" w:themeFill="accent1"/>
          </w:tcPr>
          <w:p w:rsidR="00C62F6F" w:rsidRPr="00F012F8" w:rsidRDefault="00C62F6F" w:rsidP="002F25C7">
            <w:pPr>
              <w:jc w:val="center"/>
              <w:rPr>
                <w:rFonts w:cs="Times New Roman"/>
                <w:i/>
              </w:rPr>
            </w:pPr>
            <w:r w:rsidRPr="00F012F8">
              <w:rPr>
                <w:rFonts w:cs="Times New Roman"/>
              </w:rPr>
              <w:t>Tissus mous</w:t>
            </w:r>
            <w:r w:rsidR="007E6074" w:rsidRPr="00F012F8">
              <w:rPr>
                <w:rFonts w:cs="Times New Roman"/>
              </w:rPr>
              <w:t xml:space="preserve"> (locomoteurs)</w:t>
            </w:r>
          </w:p>
        </w:tc>
      </w:tr>
      <w:tr w:rsidR="00C62F6F" w:rsidRPr="00F012F8" w:rsidTr="00BB27B9">
        <w:tc>
          <w:tcPr>
            <w:tcW w:w="2192" w:type="dxa"/>
            <w:shd w:val="clear" w:color="auto" w:fill="95B3D7" w:themeFill="accent1" w:themeFillTint="99"/>
            <w:vAlign w:val="center"/>
          </w:tcPr>
          <w:p w:rsidR="00C62F6F" w:rsidRPr="00F012F8" w:rsidRDefault="00C62F6F" w:rsidP="00C62F6F">
            <w:pPr>
              <w:jc w:val="center"/>
              <w:rPr>
                <w:rFonts w:cs="Times New Roman"/>
                <w:i/>
              </w:rPr>
            </w:pPr>
            <w:r w:rsidRPr="00F012F8">
              <w:rPr>
                <w:rFonts w:cs="Times New Roman"/>
                <w:i/>
              </w:rPr>
              <w:t>Diagnostic</w:t>
            </w:r>
          </w:p>
        </w:tc>
        <w:tc>
          <w:tcPr>
            <w:tcW w:w="4579" w:type="dxa"/>
            <w:shd w:val="clear" w:color="auto" w:fill="95B3D7" w:themeFill="accent1" w:themeFillTint="99"/>
          </w:tcPr>
          <w:p w:rsidR="00C62F6F" w:rsidRPr="00F012F8" w:rsidRDefault="00C62F6F" w:rsidP="002F25C7">
            <w:pPr>
              <w:jc w:val="center"/>
              <w:rPr>
                <w:rFonts w:cs="Times New Roman"/>
                <w:i/>
              </w:rPr>
            </w:pPr>
            <w:r w:rsidRPr="00F012F8">
              <w:rPr>
                <w:rFonts w:cs="Times New Roman"/>
                <w:i/>
              </w:rPr>
              <w:t>Facteurs de risque - épidémiologie</w:t>
            </w:r>
          </w:p>
        </w:tc>
        <w:tc>
          <w:tcPr>
            <w:tcW w:w="3685" w:type="dxa"/>
            <w:shd w:val="clear" w:color="auto" w:fill="95B3D7" w:themeFill="accent1" w:themeFillTint="99"/>
          </w:tcPr>
          <w:p w:rsidR="00C62F6F" w:rsidRPr="00F012F8" w:rsidRDefault="00C62F6F" w:rsidP="002F25C7">
            <w:pPr>
              <w:jc w:val="center"/>
              <w:rPr>
                <w:rFonts w:cs="Times New Roman"/>
                <w:i/>
              </w:rPr>
            </w:pPr>
            <w:r w:rsidRPr="00F012F8">
              <w:rPr>
                <w:rFonts w:cs="Times New Roman"/>
                <w:i/>
              </w:rPr>
              <w:t>Symptômes / Signes physiques</w:t>
            </w:r>
          </w:p>
        </w:tc>
      </w:tr>
      <w:tr w:rsidR="00C62F6F" w:rsidRPr="00F012F8" w:rsidTr="00BB27B9">
        <w:tc>
          <w:tcPr>
            <w:tcW w:w="2192" w:type="dxa"/>
            <w:shd w:val="clear" w:color="auto" w:fill="95B3D7" w:themeFill="accent1" w:themeFillTint="99"/>
            <w:vAlign w:val="center"/>
          </w:tcPr>
          <w:p w:rsidR="00C62F6F" w:rsidRPr="00F012F8" w:rsidRDefault="00C62F6F" w:rsidP="00C62F6F">
            <w:pPr>
              <w:jc w:val="center"/>
              <w:rPr>
                <w:rFonts w:cs="Times New Roman"/>
              </w:rPr>
            </w:pPr>
            <w:r w:rsidRPr="00F012F8">
              <w:rPr>
                <w:rFonts w:cs="Times New Roman"/>
              </w:rPr>
              <w:t>Lipome</w:t>
            </w:r>
          </w:p>
        </w:tc>
        <w:tc>
          <w:tcPr>
            <w:tcW w:w="4579" w:type="dxa"/>
          </w:tcPr>
          <w:p w:rsidR="00C62F6F" w:rsidRPr="00F012F8" w:rsidRDefault="00C62F6F" w:rsidP="00C93754">
            <w:pPr>
              <w:pStyle w:val="Paragraphedeliste"/>
              <w:numPr>
                <w:ilvl w:val="0"/>
                <w:numId w:val="113"/>
              </w:numPr>
              <w:rPr>
                <w:rFonts w:cs="Times New Roman"/>
              </w:rPr>
            </w:pPr>
            <w:r w:rsidRPr="00F012F8">
              <w:rPr>
                <w:rFonts w:cs="Times New Roman"/>
              </w:rPr>
              <w:t>Néoplasie des tissus mous la + fréquente</w:t>
            </w:r>
          </w:p>
          <w:p w:rsidR="00C62F6F" w:rsidRPr="00F012F8" w:rsidRDefault="00C62F6F" w:rsidP="00C93754">
            <w:pPr>
              <w:pStyle w:val="Paragraphedeliste"/>
              <w:numPr>
                <w:ilvl w:val="0"/>
                <w:numId w:val="113"/>
              </w:numPr>
              <w:rPr>
                <w:rFonts w:cs="Times New Roman"/>
              </w:rPr>
            </w:pPr>
            <w:r w:rsidRPr="00F012F8">
              <w:rPr>
                <w:rFonts w:cs="Times New Roman"/>
              </w:rPr>
              <w:t xml:space="preserve">Rarement évolution en </w:t>
            </w:r>
            <w:r w:rsidRPr="00F012F8">
              <w:rPr>
                <w:rFonts w:cs="Times New Roman"/>
                <w:u w:val="single"/>
              </w:rPr>
              <w:t>liposarcome</w:t>
            </w:r>
          </w:p>
          <w:p w:rsidR="00C62F6F" w:rsidRPr="00F012F8" w:rsidRDefault="00C62F6F" w:rsidP="00C93754">
            <w:pPr>
              <w:pStyle w:val="Paragraphedeliste"/>
              <w:numPr>
                <w:ilvl w:val="0"/>
                <w:numId w:val="113"/>
              </w:numPr>
              <w:rPr>
                <w:rFonts w:cs="Times New Roman"/>
              </w:rPr>
            </w:pPr>
            <w:r w:rsidRPr="00F012F8">
              <w:rPr>
                <w:rFonts w:cs="Times New Roman"/>
              </w:rPr>
              <w:t>Diagnostic clinique</w:t>
            </w:r>
          </w:p>
          <w:p w:rsidR="00257ACB" w:rsidRPr="00F012F8" w:rsidRDefault="00F3673B" w:rsidP="00C93754">
            <w:pPr>
              <w:pStyle w:val="Paragraphedeliste"/>
              <w:numPr>
                <w:ilvl w:val="0"/>
                <w:numId w:val="113"/>
              </w:numPr>
              <w:rPr>
                <w:rFonts w:cs="Times New Roman"/>
              </w:rPr>
            </w:pPr>
            <w:r>
              <w:rPr>
                <w:rFonts w:cs="Times New Roman"/>
                <w:highlight w:val="yellow"/>
              </w:rPr>
              <w:t>Peu atteindre tous le</w:t>
            </w:r>
            <w:r w:rsidR="00257ACB" w:rsidRPr="00F012F8">
              <w:rPr>
                <w:rFonts w:cs="Times New Roman"/>
                <w:highlight w:val="yellow"/>
              </w:rPr>
              <w:t xml:space="preserve"> corps, mais généralement superficiel aux fascias</w:t>
            </w:r>
          </w:p>
        </w:tc>
        <w:tc>
          <w:tcPr>
            <w:tcW w:w="3685" w:type="dxa"/>
          </w:tcPr>
          <w:p w:rsidR="00C62F6F" w:rsidRPr="00F012F8" w:rsidRDefault="00257ACB" w:rsidP="00C93754">
            <w:pPr>
              <w:pStyle w:val="Paragraphedeliste"/>
              <w:numPr>
                <w:ilvl w:val="0"/>
                <w:numId w:val="113"/>
              </w:numPr>
              <w:rPr>
                <w:rFonts w:cs="Times New Roman"/>
                <w:highlight w:val="yellow"/>
              </w:rPr>
            </w:pPr>
            <w:r w:rsidRPr="00F012F8">
              <w:rPr>
                <w:rFonts w:cs="Times New Roman"/>
                <w:highlight w:val="yellow"/>
              </w:rPr>
              <w:t>Nodule</w:t>
            </w:r>
            <w:r w:rsidR="00C62F6F" w:rsidRPr="00F012F8">
              <w:rPr>
                <w:rFonts w:cs="Times New Roman"/>
                <w:highlight w:val="yellow"/>
              </w:rPr>
              <w:t xml:space="preserve"> sous-cutané </w:t>
            </w:r>
          </w:p>
          <w:p w:rsidR="00C62F6F" w:rsidRPr="00F012F8" w:rsidRDefault="00257ACB" w:rsidP="00C93754">
            <w:pPr>
              <w:pStyle w:val="Paragraphedeliste"/>
              <w:numPr>
                <w:ilvl w:val="0"/>
                <w:numId w:val="113"/>
              </w:numPr>
              <w:rPr>
                <w:rFonts w:cs="Times New Roman"/>
                <w:highlight w:val="yellow"/>
              </w:rPr>
            </w:pPr>
            <w:r w:rsidRPr="00F012F8">
              <w:rPr>
                <w:rFonts w:cs="Times New Roman"/>
                <w:highlight w:val="yellow"/>
              </w:rPr>
              <w:t>Mou</w:t>
            </w:r>
          </w:p>
          <w:p w:rsidR="00C62F6F" w:rsidRPr="00F012F8" w:rsidRDefault="00C62F6F" w:rsidP="00C93754">
            <w:pPr>
              <w:pStyle w:val="Paragraphedeliste"/>
              <w:numPr>
                <w:ilvl w:val="0"/>
                <w:numId w:val="113"/>
              </w:numPr>
              <w:rPr>
                <w:rFonts w:cs="Times New Roman"/>
              </w:rPr>
            </w:pPr>
            <w:r w:rsidRPr="00F012F8">
              <w:rPr>
                <w:rFonts w:cs="Times New Roman"/>
              </w:rPr>
              <w:t>1 à plus de 10 cm</w:t>
            </w:r>
          </w:p>
          <w:p w:rsidR="00C62F6F" w:rsidRPr="00F012F8" w:rsidRDefault="00C62F6F" w:rsidP="00C93754">
            <w:pPr>
              <w:pStyle w:val="Paragraphedeliste"/>
              <w:numPr>
                <w:ilvl w:val="0"/>
                <w:numId w:val="113"/>
              </w:numPr>
              <w:rPr>
                <w:rFonts w:cs="Times New Roman"/>
              </w:rPr>
            </w:pPr>
            <w:r w:rsidRPr="00F012F8">
              <w:rPr>
                <w:rFonts w:cs="Times New Roman"/>
                <w:highlight w:val="yellow"/>
              </w:rPr>
              <w:t>Non-douloureux</w:t>
            </w:r>
          </w:p>
        </w:tc>
      </w:tr>
      <w:tr w:rsidR="00C62F6F" w:rsidRPr="00F012F8" w:rsidTr="00BB27B9">
        <w:tc>
          <w:tcPr>
            <w:tcW w:w="2192" w:type="dxa"/>
            <w:shd w:val="clear" w:color="auto" w:fill="95B3D7" w:themeFill="accent1" w:themeFillTint="99"/>
            <w:vAlign w:val="center"/>
          </w:tcPr>
          <w:p w:rsidR="00C62F6F" w:rsidRPr="00F012F8" w:rsidRDefault="00C62F6F" w:rsidP="00C62F6F">
            <w:pPr>
              <w:jc w:val="center"/>
              <w:rPr>
                <w:rFonts w:cs="Times New Roman"/>
              </w:rPr>
            </w:pPr>
            <w:r w:rsidRPr="00F012F8">
              <w:rPr>
                <w:rFonts w:cs="Times New Roman"/>
              </w:rPr>
              <w:t>Nodules rhumatoïdes</w:t>
            </w:r>
          </w:p>
        </w:tc>
        <w:tc>
          <w:tcPr>
            <w:tcW w:w="4579" w:type="dxa"/>
            <w:vAlign w:val="center"/>
          </w:tcPr>
          <w:p w:rsidR="00C62F6F" w:rsidRPr="00F012F8" w:rsidRDefault="00FC0E1B" w:rsidP="00145DB2">
            <w:pPr>
              <w:pStyle w:val="Paragraphedeliste"/>
              <w:numPr>
                <w:ilvl w:val="0"/>
                <w:numId w:val="111"/>
              </w:numPr>
              <w:jc w:val="center"/>
              <w:rPr>
                <w:rFonts w:cs="Times New Roman"/>
              </w:rPr>
            </w:pPr>
            <w:r w:rsidRPr="00F012F8">
              <w:rPr>
                <w:rFonts w:cs="Times New Roman"/>
              </w:rPr>
              <w:t>Manifestation cutanée de la PAR la + fréquente</w:t>
            </w:r>
          </w:p>
        </w:tc>
        <w:tc>
          <w:tcPr>
            <w:tcW w:w="3685" w:type="dxa"/>
          </w:tcPr>
          <w:p w:rsidR="00C62F6F" w:rsidRPr="00F012F8" w:rsidRDefault="00FC0E1B" w:rsidP="00FC0E1B">
            <w:pPr>
              <w:pStyle w:val="Paragraphedeliste"/>
              <w:numPr>
                <w:ilvl w:val="0"/>
                <w:numId w:val="111"/>
              </w:numPr>
              <w:rPr>
                <w:rFonts w:cs="Times New Roman"/>
              </w:rPr>
            </w:pPr>
            <w:r w:rsidRPr="00F012F8">
              <w:rPr>
                <w:rFonts w:cs="Times New Roman"/>
              </w:rPr>
              <w:t>Nodules sous-cutané</w:t>
            </w:r>
          </w:p>
          <w:p w:rsidR="00FC0E1B" w:rsidRPr="00F012F8" w:rsidRDefault="00FC0E1B" w:rsidP="00FC0E1B">
            <w:pPr>
              <w:pStyle w:val="Paragraphedeliste"/>
              <w:numPr>
                <w:ilvl w:val="0"/>
                <w:numId w:val="111"/>
              </w:numPr>
              <w:rPr>
                <w:rFonts w:cs="Times New Roman"/>
              </w:rPr>
            </w:pPr>
            <w:r w:rsidRPr="00F012F8">
              <w:rPr>
                <w:rFonts w:cs="Times New Roman"/>
              </w:rPr>
              <w:t>Non-douloureux</w:t>
            </w:r>
          </w:p>
          <w:p w:rsidR="00FC0E1B" w:rsidRPr="00F012F8" w:rsidRDefault="00FC0E1B" w:rsidP="00FC0E1B">
            <w:pPr>
              <w:pStyle w:val="Paragraphedeliste"/>
              <w:numPr>
                <w:ilvl w:val="0"/>
                <w:numId w:val="111"/>
              </w:numPr>
              <w:rPr>
                <w:rFonts w:cs="Times New Roman"/>
              </w:rPr>
            </w:pPr>
            <w:r w:rsidRPr="00F012F8">
              <w:rPr>
                <w:rFonts w:cs="Times New Roman"/>
              </w:rPr>
              <w:t>Fermes</w:t>
            </w:r>
          </w:p>
          <w:p w:rsidR="00FC0E1B" w:rsidRPr="00F012F8" w:rsidRDefault="00FC0E1B" w:rsidP="00FC0E1B">
            <w:pPr>
              <w:pStyle w:val="Paragraphedeliste"/>
              <w:numPr>
                <w:ilvl w:val="0"/>
                <w:numId w:val="111"/>
              </w:numPr>
              <w:rPr>
                <w:rFonts w:cs="Times New Roman"/>
              </w:rPr>
            </w:pPr>
            <w:r w:rsidRPr="00F012F8">
              <w:rPr>
                <w:rFonts w:cs="Times New Roman"/>
              </w:rPr>
              <w:t>Croissance lente</w:t>
            </w:r>
          </w:p>
          <w:p w:rsidR="00FC0E1B" w:rsidRPr="00F012F8" w:rsidRDefault="00FC0E1B" w:rsidP="00FC0E1B">
            <w:pPr>
              <w:pStyle w:val="Paragraphedeliste"/>
              <w:numPr>
                <w:ilvl w:val="0"/>
                <w:numId w:val="111"/>
              </w:numPr>
              <w:rPr>
                <w:rFonts w:cs="Times New Roman"/>
              </w:rPr>
            </w:pPr>
            <w:r w:rsidRPr="00F012F8">
              <w:rPr>
                <w:rFonts w:cs="Times New Roman"/>
              </w:rPr>
              <w:t>Sur les masses des extenseurs près des articulations et des points de pression</w:t>
            </w:r>
          </w:p>
        </w:tc>
      </w:tr>
      <w:tr w:rsidR="00C62F6F" w:rsidRPr="00F012F8" w:rsidTr="00BB27B9">
        <w:tc>
          <w:tcPr>
            <w:tcW w:w="2192" w:type="dxa"/>
            <w:shd w:val="clear" w:color="auto" w:fill="95B3D7" w:themeFill="accent1" w:themeFillTint="99"/>
            <w:vAlign w:val="center"/>
          </w:tcPr>
          <w:p w:rsidR="00C62F6F" w:rsidRPr="00F012F8" w:rsidRDefault="00DA6BCC" w:rsidP="00C62F6F">
            <w:pPr>
              <w:jc w:val="center"/>
              <w:rPr>
                <w:rFonts w:cs="Times New Roman"/>
              </w:rPr>
            </w:pPr>
            <w:r w:rsidRPr="00F012F8">
              <w:rPr>
                <w:rFonts w:cs="Times New Roman"/>
              </w:rPr>
              <w:t>Tendinite</w:t>
            </w:r>
          </w:p>
        </w:tc>
        <w:tc>
          <w:tcPr>
            <w:tcW w:w="4579" w:type="dxa"/>
          </w:tcPr>
          <w:p w:rsidR="00C62F6F" w:rsidRPr="00F012F8" w:rsidRDefault="00145DB2" w:rsidP="00C93754">
            <w:pPr>
              <w:pStyle w:val="Paragraphedeliste"/>
              <w:numPr>
                <w:ilvl w:val="0"/>
                <w:numId w:val="114"/>
              </w:numPr>
              <w:rPr>
                <w:rFonts w:cs="Times New Roman"/>
              </w:rPr>
            </w:pPr>
            <w:r w:rsidRPr="00F012F8">
              <w:rPr>
                <w:rFonts w:cs="Times New Roman"/>
              </w:rPr>
              <w:t>Surutilisation</w:t>
            </w:r>
          </w:p>
          <w:p w:rsidR="00145DB2" w:rsidRPr="00F012F8" w:rsidRDefault="00145DB2" w:rsidP="00C93754">
            <w:pPr>
              <w:pStyle w:val="Paragraphedeliste"/>
              <w:numPr>
                <w:ilvl w:val="0"/>
                <w:numId w:val="114"/>
              </w:numPr>
              <w:rPr>
                <w:rFonts w:cs="Times New Roman"/>
              </w:rPr>
            </w:pPr>
            <w:r w:rsidRPr="00F012F8">
              <w:rPr>
                <w:rFonts w:cs="Times New Roman"/>
              </w:rPr>
              <w:t>Traumatique</w:t>
            </w:r>
          </w:p>
          <w:p w:rsidR="00145DB2" w:rsidRPr="00F012F8" w:rsidRDefault="00145DB2" w:rsidP="00C93754">
            <w:pPr>
              <w:pStyle w:val="Paragraphedeliste"/>
              <w:numPr>
                <w:ilvl w:val="0"/>
                <w:numId w:val="114"/>
              </w:numPr>
              <w:rPr>
                <w:rFonts w:cs="Times New Roman"/>
              </w:rPr>
            </w:pPr>
            <w:r w:rsidRPr="00F012F8">
              <w:rPr>
                <w:rFonts w:cs="Times New Roman"/>
              </w:rPr>
              <w:t>Âge</w:t>
            </w:r>
          </w:p>
          <w:p w:rsidR="00145DB2" w:rsidRPr="00F012F8" w:rsidRDefault="00AE5F7A" w:rsidP="00C93754">
            <w:pPr>
              <w:pStyle w:val="Paragraphedeliste"/>
              <w:numPr>
                <w:ilvl w:val="0"/>
                <w:numId w:val="114"/>
              </w:numPr>
              <w:rPr>
                <w:rFonts w:cs="Times New Roman"/>
                <w:bCs/>
                <w:color w:val="252525"/>
                <w:sz w:val="21"/>
                <w:szCs w:val="21"/>
                <w:shd w:val="clear" w:color="auto" w:fill="FFFFFF"/>
              </w:rPr>
            </w:pPr>
            <w:hyperlink r:id="rId170" w:tooltip="♂" w:history="1">
              <w:r w:rsidR="00145DB2" w:rsidRPr="00F012F8">
                <w:rPr>
                  <w:rStyle w:val="Lienhypertexte"/>
                  <w:rFonts w:cs="Times New Roman"/>
                  <w:color w:val="0B0080"/>
                  <w:sz w:val="21"/>
                  <w:szCs w:val="21"/>
                  <w:u w:val="none"/>
                  <w:shd w:val="clear" w:color="auto" w:fill="FFFFFF"/>
                </w:rPr>
                <w:t>♂</w:t>
              </w:r>
            </w:hyperlink>
            <w:r w:rsidR="00145DB2" w:rsidRPr="00F012F8">
              <w:rPr>
                <w:rStyle w:val="Lienhypertexte"/>
                <w:rFonts w:cs="Times New Roman"/>
                <w:color w:val="0B0080"/>
                <w:sz w:val="21"/>
                <w:szCs w:val="21"/>
                <w:u w:val="none"/>
                <w:shd w:val="clear" w:color="auto" w:fill="FFFFFF"/>
              </w:rPr>
              <w:t> &gt;</w:t>
            </w:r>
            <w:r w:rsidR="00145DB2" w:rsidRPr="00F012F8">
              <w:rPr>
                <w:rFonts w:cs="Times New Roman"/>
                <w:bCs/>
                <w:color w:val="252525"/>
                <w:sz w:val="21"/>
                <w:szCs w:val="21"/>
                <w:shd w:val="clear" w:color="auto" w:fill="FFFFFF"/>
              </w:rPr>
              <w:t>♀ en général (mais pas toujours)</w:t>
            </w:r>
          </w:p>
        </w:tc>
        <w:tc>
          <w:tcPr>
            <w:tcW w:w="3685" w:type="dxa"/>
          </w:tcPr>
          <w:p w:rsidR="00C62F6F" w:rsidRPr="00F012F8" w:rsidRDefault="00145DB2" w:rsidP="00C93754">
            <w:pPr>
              <w:pStyle w:val="Paragraphedeliste"/>
              <w:numPr>
                <w:ilvl w:val="0"/>
                <w:numId w:val="114"/>
              </w:numPr>
              <w:rPr>
                <w:rFonts w:cs="Times New Roman"/>
              </w:rPr>
            </w:pPr>
            <w:r w:rsidRPr="00F012F8">
              <w:rPr>
                <w:rFonts w:cs="Times New Roman"/>
              </w:rPr>
              <w:t>Douleur à la palpation du tendon</w:t>
            </w:r>
          </w:p>
          <w:p w:rsidR="00145DB2" w:rsidRPr="00F012F8" w:rsidRDefault="00145DB2" w:rsidP="00C93754">
            <w:pPr>
              <w:pStyle w:val="Paragraphedeliste"/>
              <w:numPr>
                <w:ilvl w:val="0"/>
                <w:numId w:val="114"/>
              </w:numPr>
              <w:rPr>
                <w:rFonts w:cs="Times New Roman"/>
              </w:rPr>
            </w:pPr>
            <w:r w:rsidRPr="00F012F8">
              <w:rPr>
                <w:rFonts w:cs="Times New Roman"/>
              </w:rPr>
              <w:t>Œdème</w:t>
            </w:r>
          </w:p>
          <w:p w:rsidR="00145DB2" w:rsidRPr="00F012F8" w:rsidRDefault="00145DB2" w:rsidP="00C93754">
            <w:pPr>
              <w:pStyle w:val="Paragraphedeliste"/>
              <w:numPr>
                <w:ilvl w:val="0"/>
                <w:numId w:val="114"/>
              </w:numPr>
              <w:rPr>
                <w:rFonts w:cs="Times New Roman"/>
              </w:rPr>
            </w:pPr>
            <w:r w:rsidRPr="00F012F8">
              <w:rPr>
                <w:rFonts w:cs="Times New Roman"/>
              </w:rPr>
              <w:t>Mise en charge du tendon douloureuse</w:t>
            </w:r>
          </w:p>
        </w:tc>
      </w:tr>
      <w:tr w:rsidR="00145DB2" w:rsidRPr="00F012F8" w:rsidTr="00BB27B9">
        <w:tc>
          <w:tcPr>
            <w:tcW w:w="2192" w:type="dxa"/>
            <w:shd w:val="clear" w:color="auto" w:fill="95B3D7" w:themeFill="accent1" w:themeFillTint="99"/>
            <w:vAlign w:val="center"/>
          </w:tcPr>
          <w:p w:rsidR="00145DB2" w:rsidRPr="00F012F8" w:rsidRDefault="00145DB2" w:rsidP="002F25C7">
            <w:pPr>
              <w:jc w:val="center"/>
              <w:rPr>
                <w:rFonts w:cs="Times New Roman"/>
              </w:rPr>
            </w:pPr>
            <w:r w:rsidRPr="00F012F8">
              <w:rPr>
                <w:rFonts w:cs="Times New Roman"/>
              </w:rPr>
              <w:t xml:space="preserve">Sarcome </w:t>
            </w:r>
            <w:r w:rsidRPr="00F012F8">
              <w:rPr>
                <w:rFonts w:cs="Times New Roman"/>
                <w:sz w:val="18"/>
                <w:szCs w:val="18"/>
              </w:rPr>
              <w:t>(léiomyosarcome, liposarcome)</w:t>
            </w:r>
          </w:p>
        </w:tc>
        <w:tc>
          <w:tcPr>
            <w:tcW w:w="4579" w:type="dxa"/>
          </w:tcPr>
          <w:p w:rsidR="00145DB2" w:rsidRPr="00F012F8" w:rsidRDefault="00145DB2" w:rsidP="002F25C7">
            <w:pPr>
              <w:pStyle w:val="Paragraphedeliste"/>
              <w:numPr>
                <w:ilvl w:val="0"/>
                <w:numId w:val="111"/>
              </w:numPr>
              <w:rPr>
                <w:rFonts w:cs="Times New Roman"/>
              </w:rPr>
            </w:pPr>
            <w:r w:rsidRPr="00F012F8">
              <w:rPr>
                <w:rFonts w:cs="Times New Roman"/>
              </w:rPr>
              <w:t>Distribution</w:t>
            </w:r>
          </w:p>
          <w:p w:rsidR="00145DB2" w:rsidRPr="00F012F8" w:rsidRDefault="00145DB2" w:rsidP="002F25C7">
            <w:pPr>
              <w:pStyle w:val="Paragraphedeliste"/>
              <w:numPr>
                <w:ilvl w:val="0"/>
                <w:numId w:val="112"/>
              </w:numPr>
              <w:rPr>
                <w:rFonts w:cs="Times New Roman"/>
                <w:sz w:val="20"/>
                <w:szCs w:val="20"/>
                <w:highlight w:val="yellow"/>
              </w:rPr>
            </w:pPr>
            <w:r w:rsidRPr="00F012F8">
              <w:rPr>
                <w:rFonts w:cs="Times New Roman"/>
                <w:sz w:val="20"/>
                <w:szCs w:val="20"/>
                <w:highlight w:val="yellow"/>
              </w:rPr>
              <w:t>Cuisse, fesse, aine (46%)</w:t>
            </w:r>
          </w:p>
          <w:p w:rsidR="00145DB2" w:rsidRPr="00F012F8" w:rsidRDefault="00145DB2" w:rsidP="002F25C7">
            <w:pPr>
              <w:pStyle w:val="Paragraphedeliste"/>
              <w:numPr>
                <w:ilvl w:val="0"/>
                <w:numId w:val="112"/>
              </w:numPr>
              <w:rPr>
                <w:rFonts w:cs="Times New Roman"/>
                <w:sz w:val="20"/>
                <w:szCs w:val="20"/>
                <w:highlight w:val="yellow"/>
              </w:rPr>
            </w:pPr>
            <w:r w:rsidRPr="00F012F8">
              <w:rPr>
                <w:rFonts w:cs="Times New Roman"/>
                <w:sz w:val="20"/>
                <w:szCs w:val="20"/>
                <w:highlight w:val="yellow"/>
              </w:rPr>
              <w:t>Torse (18%)</w:t>
            </w:r>
          </w:p>
          <w:p w:rsidR="00145DB2" w:rsidRPr="00F012F8" w:rsidRDefault="00145DB2" w:rsidP="002F25C7">
            <w:pPr>
              <w:pStyle w:val="Paragraphedeliste"/>
              <w:numPr>
                <w:ilvl w:val="0"/>
                <w:numId w:val="112"/>
              </w:numPr>
              <w:rPr>
                <w:rFonts w:cs="Times New Roman"/>
                <w:sz w:val="20"/>
                <w:szCs w:val="20"/>
              </w:rPr>
            </w:pPr>
            <w:r w:rsidRPr="00F012F8">
              <w:rPr>
                <w:rFonts w:cs="Times New Roman"/>
                <w:sz w:val="20"/>
                <w:szCs w:val="20"/>
              </w:rPr>
              <w:t>Membres supérieurs (13%)</w:t>
            </w:r>
          </w:p>
          <w:p w:rsidR="00145DB2" w:rsidRPr="00F012F8" w:rsidRDefault="00145DB2" w:rsidP="002F25C7">
            <w:pPr>
              <w:pStyle w:val="Paragraphedeliste"/>
              <w:numPr>
                <w:ilvl w:val="0"/>
                <w:numId w:val="112"/>
              </w:numPr>
              <w:rPr>
                <w:rFonts w:cs="Times New Roman"/>
                <w:sz w:val="20"/>
                <w:szCs w:val="20"/>
              </w:rPr>
            </w:pPr>
            <w:r w:rsidRPr="00F012F8">
              <w:rPr>
                <w:rFonts w:cs="Times New Roman"/>
                <w:sz w:val="20"/>
                <w:szCs w:val="20"/>
              </w:rPr>
              <w:t>Rétropéritoine (13%)</w:t>
            </w:r>
          </w:p>
          <w:p w:rsidR="00145DB2" w:rsidRPr="00F012F8" w:rsidRDefault="00145DB2" w:rsidP="002F25C7">
            <w:pPr>
              <w:pStyle w:val="Paragraphedeliste"/>
              <w:numPr>
                <w:ilvl w:val="0"/>
                <w:numId w:val="112"/>
              </w:numPr>
              <w:rPr>
                <w:rFonts w:cs="Times New Roman"/>
                <w:sz w:val="20"/>
                <w:szCs w:val="20"/>
              </w:rPr>
            </w:pPr>
            <w:r w:rsidRPr="00F012F8">
              <w:rPr>
                <w:rFonts w:cs="Times New Roman"/>
                <w:sz w:val="20"/>
                <w:szCs w:val="20"/>
              </w:rPr>
              <w:t>Tête et cou (9%)</w:t>
            </w:r>
          </w:p>
          <w:p w:rsidR="00145DB2" w:rsidRPr="00F012F8" w:rsidRDefault="00145DB2" w:rsidP="002F25C7">
            <w:pPr>
              <w:pStyle w:val="Paragraphedeliste"/>
              <w:numPr>
                <w:ilvl w:val="0"/>
                <w:numId w:val="111"/>
              </w:numPr>
              <w:rPr>
                <w:rFonts w:cs="Times New Roman"/>
              </w:rPr>
            </w:pPr>
            <w:r w:rsidRPr="00F012F8">
              <w:rPr>
                <w:rFonts w:cs="Times New Roman"/>
              </w:rPr>
              <w:t>Dissémination hématogène (poumon)</w:t>
            </w:r>
          </w:p>
        </w:tc>
        <w:tc>
          <w:tcPr>
            <w:tcW w:w="3685" w:type="dxa"/>
          </w:tcPr>
          <w:p w:rsidR="00145DB2" w:rsidRPr="00F012F8" w:rsidRDefault="00145DB2" w:rsidP="00C93754">
            <w:pPr>
              <w:pStyle w:val="Paragraphedeliste"/>
              <w:numPr>
                <w:ilvl w:val="0"/>
                <w:numId w:val="115"/>
              </w:numPr>
              <w:rPr>
                <w:rFonts w:cs="Times New Roman"/>
              </w:rPr>
            </w:pPr>
            <w:r w:rsidRPr="00F012F8">
              <w:rPr>
                <w:rFonts w:cs="Times New Roman"/>
              </w:rPr>
              <w:t>Masse non-douloureuse</w:t>
            </w:r>
          </w:p>
          <w:p w:rsidR="00145DB2" w:rsidRPr="00F012F8" w:rsidRDefault="00145DB2" w:rsidP="00C93754">
            <w:pPr>
              <w:pStyle w:val="Paragraphedeliste"/>
              <w:numPr>
                <w:ilvl w:val="0"/>
                <w:numId w:val="115"/>
              </w:numPr>
              <w:rPr>
                <w:rFonts w:cs="Times New Roman"/>
              </w:rPr>
            </w:pPr>
            <w:r w:rsidRPr="00F012F8">
              <w:rPr>
                <w:rFonts w:cs="Times New Roman"/>
                <w:highlight w:val="yellow"/>
              </w:rPr>
              <w:t>Croissance progressive</w:t>
            </w:r>
          </w:p>
        </w:tc>
      </w:tr>
      <w:tr w:rsidR="00145DB2" w:rsidRPr="00F012F8" w:rsidTr="00BB27B9">
        <w:tc>
          <w:tcPr>
            <w:tcW w:w="2192" w:type="dxa"/>
            <w:shd w:val="clear" w:color="auto" w:fill="95B3D7" w:themeFill="accent1" w:themeFillTint="99"/>
            <w:vAlign w:val="center"/>
          </w:tcPr>
          <w:p w:rsidR="00145DB2" w:rsidRPr="00F012F8" w:rsidRDefault="00145DB2" w:rsidP="002F25C7">
            <w:pPr>
              <w:jc w:val="center"/>
              <w:rPr>
                <w:rFonts w:cs="Times New Roman"/>
              </w:rPr>
            </w:pPr>
            <w:r w:rsidRPr="00F012F8">
              <w:rPr>
                <w:rFonts w:cs="Times New Roman"/>
              </w:rPr>
              <w:t>Lymphome</w:t>
            </w:r>
          </w:p>
        </w:tc>
        <w:tc>
          <w:tcPr>
            <w:tcW w:w="8264" w:type="dxa"/>
            <w:gridSpan w:val="2"/>
          </w:tcPr>
          <w:p w:rsidR="00145DB2" w:rsidRPr="00F012F8" w:rsidRDefault="00145DB2" w:rsidP="00145DB2">
            <w:pPr>
              <w:pStyle w:val="Paragraphedeliste"/>
              <w:ind w:left="360"/>
              <w:rPr>
                <w:rFonts w:cs="Times New Roman"/>
              </w:rPr>
            </w:pPr>
            <w:r w:rsidRPr="00F012F8">
              <w:rPr>
                <w:rFonts w:cs="Times New Roman"/>
              </w:rPr>
              <w:t>* Voir CMC 54-1</w:t>
            </w:r>
          </w:p>
        </w:tc>
      </w:tr>
    </w:tbl>
    <w:p w:rsidR="00CA7F5D" w:rsidRPr="00F012F8" w:rsidRDefault="006C5037">
      <w:pPr>
        <w:rPr>
          <w:rFonts w:cs="Times New Roman"/>
        </w:rPr>
      </w:pPr>
      <w:r w:rsidRPr="00F012F8">
        <w:rPr>
          <w:rFonts w:cs="Times New Roman"/>
          <w:noProof/>
          <w:lang w:eastAsia="fr-CA"/>
        </w:rPr>
        <mc:AlternateContent>
          <mc:Choice Requires="wpg">
            <w:drawing>
              <wp:anchor distT="0" distB="0" distL="114300" distR="114300" simplePos="0" relativeHeight="251698176" behindDoc="0" locked="0" layoutInCell="1" allowOverlap="1" wp14:anchorId="0AFA3860" wp14:editId="3C5184AE">
                <wp:simplePos x="0" y="0"/>
                <wp:positionH relativeFrom="column">
                  <wp:posOffset>14605</wp:posOffset>
                </wp:positionH>
                <wp:positionV relativeFrom="paragraph">
                  <wp:posOffset>27940</wp:posOffset>
                </wp:positionV>
                <wp:extent cx="6743700" cy="2004060"/>
                <wp:effectExtent l="0" t="0" r="0" b="0"/>
                <wp:wrapNone/>
                <wp:docPr id="45" name="Groupe 45"/>
                <wp:cNvGraphicFramePr/>
                <a:graphic xmlns:a="http://schemas.openxmlformats.org/drawingml/2006/main">
                  <a:graphicData uri="http://schemas.microsoft.com/office/word/2010/wordprocessingGroup">
                    <wpg:wgp>
                      <wpg:cNvGrpSpPr/>
                      <wpg:grpSpPr>
                        <a:xfrm>
                          <a:off x="0" y="0"/>
                          <a:ext cx="6743700" cy="2004060"/>
                          <a:chOff x="0" y="0"/>
                          <a:chExt cx="6743700" cy="2004646"/>
                        </a:xfrm>
                      </wpg:grpSpPr>
                      <wpg:grpSp>
                        <wpg:cNvPr id="44" name="Groupe 44"/>
                        <wpg:cNvGrpSpPr/>
                        <wpg:grpSpPr>
                          <a:xfrm>
                            <a:off x="0" y="0"/>
                            <a:ext cx="6743700" cy="2004646"/>
                            <a:chOff x="0" y="0"/>
                            <a:chExt cx="6743700" cy="2004646"/>
                          </a:xfrm>
                        </wpg:grpSpPr>
                        <pic:pic xmlns:pic="http://schemas.openxmlformats.org/drawingml/2006/picture">
                          <pic:nvPicPr>
                            <pic:cNvPr id="41" name="Image 41" descr="Résultats de recherche d'images pour « liposarcome »"/>
                            <pic:cNvPicPr>
                              <a:picLocks noChangeAspect="1"/>
                            </pic:cNvPicPr>
                          </pic:nvPicPr>
                          <pic:blipFill rotWithShape="1">
                            <a:blip r:embed="rId171">
                              <a:extLst>
                                <a:ext uri="{28A0092B-C50C-407E-A947-70E740481C1C}">
                                  <a14:useLocalDpi xmlns:a14="http://schemas.microsoft.com/office/drawing/2010/main" val="0"/>
                                </a:ext>
                              </a:extLst>
                            </a:blip>
                            <a:srcRect l="11231" t="11682" r="24307" b="23149"/>
                            <a:stretch/>
                          </pic:blipFill>
                          <pic:spPr bwMode="auto">
                            <a:xfrm>
                              <a:off x="4510454" y="202223"/>
                              <a:ext cx="2233246" cy="1696916"/>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42" name="Image 42"/>
                            <pic:cNvPicPr>
                              <a:picLocks noChangeAspect="1"/>
                            </pic:cNvPicPr>
                          </pic:nvPicPr>
                          <pic:blipFill>
                            <a:blip r:embed="rId172" cstate="print">
                              <a:extLst>
                                <a:ext uri="{28A0092B-C50C-407E-A947-70E740481C1C}">
                                  <a14:useLocalDpi xmlns:a14="http://schemas.microsoft.com/office/drawing/2010/main" val="0"/>
                                </a:ext>
                              </a:extLst>
                            </a:blip>
                            <a:stretch>
                              <a:fillRect/>
                            </a:stretch>
                          </pic:blipFill>
                          <pic:spPr>
                            <a:xfrm>
                              <a:off x="0" y="52754"/>
                              <a:ext cx="2365131" cy="1951892"/>
                            </a:xfrm>
                            <a:prstGeom prst="rect">
                              <a:avLst/>
                            </a:prstGeom>
                          </pic:spPr>
                        </pic:pic>
                        <pic:pic xmlns:pic="http://schemas.openxmlformats.org/drawingml/2006/picture">
                          <pic:nvPicPr>
                            <pic:cNvPr id="43" name="Image 43"/>
                            <pic:cNvPicPr>
                              <a:picLocks noChangeAspect="1"/>
                            </pic:cNvPicPr>
                          </pic:nvPicPr>
                          <pic:blipFill>
                            <a:blip r:embed="rId173">
                              <a:extLst>
                                <a:ext uri="{28A0092B-C50C-407E-A947-70E740481C1C}">
                                  <a14:useLocalDpi xmlns:a14="http://schemas.microsoft.com/office/drawing/2010/main" val="0"/>
                                </a:ext>
                              </a:extLst>
                            </a:blip>
                            <a:stretch>
                              <a:fillRect/>
                            </a:stretch>
                          </pic:blipFill>
                          <pic:spPr>
                            <a:xfrm>
                              <a:off x="2365131" y="0"/>
                              <a:ext cx="2066192" cy="1784839"/>
                            </a:xfrm>
                            <a:prstGeom prst="rect">
                              <a:avLst/>
                            </a:prstGeom>
                          </pic:spPr>
                        </pic:pic>
                      </wpg:grpSp>
                      <wps:wsp>
                        <wps:cNvPr id="307" name="Zone de texte 2"/>
                        <wps:cNvSpPr txBox="1">
                          <a:spLocks noChangeArrowheads="1"/>
                        </wps:cNvSpPr>
                        <wps:spPr bwMode="auto">
                          <a:xfrm>
                            <a:off x="4510454" y="8793"/>
                            <a:ext cx="1581785" cy="193040"/>
                          </a:xfrm>
                          <a:prstGeom prst="rect">
                            <a:avLst/>
                          </a:prstGeom>
                          <a:solidFill>
                            <a:srgbClr val="FFFFFF"/>
                          </a:solidFill>
                          <a:ln w="9525">
                            <a:noFill/>
                            <a:miter lim="800000"/>
                            <a:headEnd/>
                            <a:tailEnd/>
                          </a:ln>
                        </wps:spPr>
                        <wps:txbx>
                          <w:txbxContent>
                            <w:p w:rsidR="008276DC" w:rsidRPr="00DB1155" w:rsidRDefault="008276DC">
                              <w:pPr>
                                <w:rPr>
                                  <w:rFonts w:cs="Times New Roman"/>
                                  <w:b/>
                                  <w:sz w:val="16"/>
                                  <w:szCs w:val="16"/>
                                </w:rPr>
                              </w:pPr>
                              <w:r w:rsidRPr="00DB1155">
                                <w:rPr>
                                  <w:rFonts w:cs="Times New Roman"/>
                                  <w:b/>
                                  <w:sz w:val="16"/>
                                  <w:szCs w:val="16"/>
                                </w:rPr>
                                <w:t>Liposarcome du bras gauche</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Groupe 45" o:spid="_x0000_s1080" style="position:absolute;margin-left:1.15pt;margin-top:2.2pt;width:531pt;height:157.8pt;z-index:251698176;mso-width-relative:margin;mso-height-relative:margin" coordsize="67437,2004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">
                <v:group id="Groupe 44" o:spid="_x0000_s1081" style="position:absolute;width:67437;height:20046" coordsize="67437,200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bXrBMUAAADbAAAADwAAAGRycy9kb3ducmV2LnhtbESPT2vCQBTE70K/w/IK&#10;vdVN2rRIdBWRtvQgBZOCeHtkn0kw+zZkt/nz7V2h4HGYmd8wq81oGtFT52rLCuJ5BIK4sLrmUsFv&#10;/vm8AOE8ssbGMimYyMFm/TBbYartwAfqM1+KAGGXooLK+zaV0hUVGXRz2xIH72w7gz7IrpS6wyHA&#10;TSNfouhdGqw5LFTY0q6i4pL9GQVfAw7b1/ij31/Ou+mUv/0c9zEp9fQ4bpcgPI3+Hv5vf2sFSQK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G16wTFAAAA2wAA&#10;AA8AAAAAAAAAAAAAAAAAqgIAAGRycy9kb3ducmV2LnhtbFBLBQYAAAAABAAEAPoAAACcAwAAAAA=&#10;">
                  <v:shape id="Image 41" o:spid="_x0000_s1082" type="#_x0000_t75" alt="Résultats de recherche d'images pour « liposarcome »" style="position:absolute;left:45104;top:2022;width:22333;height:1696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O2/EvCAAAA2wAAAA8AAABkcnMvZG93bnJldi54bWxEj11rwjAUhu8H/odwhN3NtGOT0TXKEByi&#10;MPzY7g/NaVPWnJQk2vrvzWDg5cv78fCWy9F24kI+tI4V5LMMBHHldMuNgu/T+ukNRIjIGjvHpOBK&#10;AZaLyUOJhXYDH+hyjI1IIxwKVGBi7AspQ2XIYpi5njh5tfMWY5K+kdrjkMZtJ5+zbC4ttpwIBnta&#10;Gap+j2ebIAdfh9ftZxxOu/3XnqtcGvmj1ON0/HgHEWmM9/B/e6MVvOTw9yX9ALm4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ztvxLwgAAANsAAAAPAAAAAAAAAAAAAAAAAJ8C&#10;AABkcnMvZG93bnJldi54bWxQSwUGAAAAAAQABAD3AAAAjgMAAAAA&#10;">
                    <v:imagedata r:id="rId174" o:title="Résultats de recherche d'images pour « liposarcome »" croptop="7656f" cropbottom="15171f" cropleft="7360f" cropright="15930f"/>
                    <v:path arrowok="t"/>
                  </v:shape>
                  <v:shape id="Image 42" o:spid="_x0000_s1083" type="#_x0000_t75" style="position:absolute;top:527;width:23651;height:195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gFIyjCAAAA2wAAAA8AAABkcnMvZG93bnJldi54bWxEj0GLwjAUhO+C/yE8wYtoau2KVKOIKAie&#10;Vhf0+GiebbF5KU3U+u+NIOxxmJlvmMWqNZV4UONKywrGowgEcWZ1ybmCv9NuOAPhPLLGyjIpeJGD&#10;1bLbWWCq7ZN/6XH0uQgQdikqKLyvUyldVpBBN7I1cfCutjHog2xyqRt8BripZBxFU2mw5LBQYE2b&#10;grLb8W4UHLy08Wk7bSebc/JjosE1OVykUv1eu56D8NT6//C3vdcKkhg+X8IPkMs3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IBSMowgAAANsAAAAPAAAAAAAAAAAAAAAAAJ8C&#10;AABkcnMvZG93bnJldi54bWxQSwUGAAAAAAQABAD3AAAAjgMAAAAA&#10;">
                    <v:imagedata r:id="rId175" o:title=""/>
                    <v:path arrowok="t"/>
                  </v:shape>
                  <v:shape id="Image 43" o:spid="_x0000_s1084" type="#_x0000_t75" style="position:absolute;left:23651;width:20662;height:178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sLi0/EAAAA2wAAAA8AAABkcnMvZG93bnJldi54bWxEj0FrwkAUhO9C/8PyCr3pplqkRDdBChXB&#10;g1VbqrdH9pmEZt+G7Kum/74rCB6HmfmGmee9a9SZulB7NvA8SkARF97WXBr43L8PX0EFQbbYeCYD&#10;fxQgzx4Gc0ytv/CWzjspVYRwSNFAJdKmWoeiIodh5Fvi6J1851Ci7EptO7xEuGv0OEmm2mHNcaHC&#10;lt4qKn52v87A5FQf+g/35WUhzfH4vdz41Vob8/TYL2aghHq5h2/tlTXwMoHrl/gDdPY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sLi0/EAAAA2wAAAA8AAAAAAAAAAAAAAAAA&#10;nwIAAGRycy9kb3ducmV2LnhtbFBLBQYAAAAABAAEAPcAAACQAwAAAAA=&#10;">
                    <v:imagedata r:id="rId176" o:title=""/>
                    <v:path arrowok="t"/>
                  </v:shape>
                </v:group>
                <v:shape id="_x0000_s1085" type="#_x0000_t202" style="position:absolute;left:45104;top:87;width:15818;height:19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G5hMUA&#10;AADcAAAADwAAAGRycy9kb3ducmV2LnhtbESP3WrCQBSE74W+w3IKvZG6sbZGo2tohZbcxvoAx+wx&#10;CWbPhuyan7fvFgq9HGbmG2afjqYRPXWutqxguYhAEBdW11wqOH9/Pm9AOI+ssbFMCiZykB4eZntM&#10;tB04p/7kSxEg7BJUUHnfJlK6oiKDbmFb4uBdbWfQB9mVUnc4BLhp5EsUraXBmsNChS0dKypup7tR&#10;cM2G+dt2uHz5c5y/rj+wji92UurpcXzfgfA0+v/wXzvTClZRDL9nwhGQh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sbmExQAAANwAAAAPAAAAAAAAAAAAAAAAAJgCAABkcnMv&#10;ZG93bnJldi54bWxQSwUGAAAAAAQABAD1AAAAigMAAAAA&#10;" stroked="f">
                  <v:textbox>
                    <w:txbxContent>
                      <w:p w:rsidR="008276DC" w:rsidRPr="00DB1155" w:rsidRDefault="008276DC">
                        <w:pPr>
                          <w:rPr>
                            <w:rFonts w:cs="Times New Roman"/>
                            <w:b/>
                            <w:sz w:val="16"/>
                            <w:szCs w:val="16"/>
                          </w:rPr>
                        </w:pPr>
                        <w:r w:rsidRPr="00DB1155">
                          <w:rPr>
                            <w:rFonts w:cs="Times New Roman"/>
                            <w:b/>
                            <w:sz w:val="16"/>
                            <w:szCs w:val="16"/>
                          </w:rPr>
                          <w:t>Liposarcome du bras gauche</w:t>
                        </w:r>
                      </w:p>
                    </w:txbxContent>
                  </v:textbox>
                </v:shape>
              </v:group>
            </w:pict>
          </mc:Fallback>
        </mc:AlternateContent>
      </w:r>
    </w:p>
    <w:p w:rsidR="00DB1155" w:rsidRPr="00F012F8" w:rsidRDefault="00DB1155">
      <w:pPr>
        <w:rPr>
          <w:rFonts w:cs="Times New Roman"/>
        </w:rPr>
      </w:pPr>
    </w:p>
    <w:p w:rsidR="00DB1155" w:rsidRPr="00F012F8" w:rsidRDefault="00DB1155">
      <w:pPr>
        <w:rPr>
          <w:rFonts w:cs="Times New Roman"/>
        </w:rPr>
      </w:pPr>
    </w:p>
    <w:p w:rsidR="006C5037" w:rsidRPr="00F012F8" w:rsidRDefault="006C5037">
      <w:pPr>
        <w:rPr>
          <w:rFonts w:cs="Times New Roman"/>
        </w:rPr>
      </w:pPr>
    </w:p>
    <w:p w:rsidR="006C5037" w:rsidRPr="00F012F8" w:rsidRDefault="006C5037">
      <w:pPr>
        <w:rPr>
          <w:rFonts w:cs="Times New Roman"/>
        </w:rPr>
      </w:pPr>
    </w:p>
    <w:p w:rsidR="006C5037" w:rsidRPr="00F012F8" w:rsidRDefault="006C5037">
      <w:pPr>
        <w:rPr>
          <w:rFonts w:cs="Times New Roman"/>
        </w:rPr>
      </w:pPr>
    </w:p>
    <w:p w:rsidR="006C5037" w:rsidRPr="00F012F8" w:rsidRDefault="006C5037">
      <w:pPr>
        <w:rPr>
          <w:rFonts w:cs="Times New Roman"/>
        </w:rPr>
      </w:pPr>
    </w:p>
    <w:p w:rsidR="006C5037" w:rsidRPr="00F012F8" w:rsidRDefault="006C5037">
      <w:pPr>
        <w:rPr>
          <w:rFonts w:cs="Times New Roman"/>
        </w:rPr>
      </w:pPr>
    </w:p>
    <w:p w:rsidR="00D739A0" w:rsidRPr="00D155A9" w:rsidRDefault="00D739A0">
      <w:pPr>
        <w:rPr>
          <w:rFonts w:cs="Times New Roman"/>
          <w:b/>
          <w:sz w:val="28"/>
          <w:szCs w:val="28"/>
        </w:rPr>
      </w:pPr>
      <w:r w:rsidRPr="00D155A9">
        <w:rPr>
          <w:rFonts w:cs="Times New Roman"/>
          <w:b/>
          <w:sz w:val="28"/>
          <w:szCs w:val="28"/>
        </w:rPr>
        <w:t>Investigations</w:t>
      </w:r>
    </w:p>
    <w:p w:rsidR="00B1610D" w:rsidRPr="00F012F8" w:rsidRDefault="00B1610D" w:rsidP="00B1610D">
      <w:pPr>
        <w:rPr>
          <w:rFonts w:cs="Times New Roman"/>
        </w:rPr>
      </w:pPr>
      <w:r w:rsidRPr="00F012F8">
        <w:rPr>
          <w:rFonts w:cs="Times New Roman"/>
          <w:i/>
        </w:rPr>
        <w:t>FSC, créatinine, VS</w:t>
      </w:r>
      <w:r w:rsidRPr="00F012F8">
        <w:rPr>
          <w:rFonts w:cs="Times New Roman"/>
        </w:rPr>
        <w:t xml:space="preserve"> → permet</w:t>
      </w:r>
      <w:r w:rsidR="007F3F18" w:rsidRPr="00F012F8">
        <w:rPr>
          <w:rFonts w:cs="Times New Roman"/>
        </w:rPr>
        <w:t>t</w:t>
      </w:r>
      <w:r w:rsidR="00F3673B">
        <w:rPr>
          <w:rFonts w:cs="Times New Roman"/>
        </w:rPr>
        <w:t>e</w:t>
      </w:r>
      <w:r w:rsidR="007F3F18" w:rsidRPr="00F012F8">
        <w:rPr>
          <w:rFonts w:cs="Times New Roman"/>
        </w:rPr>
        <w:t>nt</w:t>
      </w:r>
      <w:r w:rsidRPr="00F012F8">
        <w:rPr>
          <w:rFonts w:cs="Times New Roman"/>
        </w:rPr>
        <w:t xml:space="preserve"> de vérifier la présence d’anémie </w:t>
      </w:r>
      <w:r w:rsidR="00F3673B" w:rsidRPr="00F012F8">
        <w:rPr>
          <w:rFonts w:cs="Times New Roman"/>
        </w:rPr>
        <w:t>concomitante</w:t>
      </w:r>
      <w:r w:rsidRPr="00F012F8">
        <w:rPr>
          <w:rFonts w:cs="Times New Roman"/>
        </w:rPr>
        <w:t>, et de vérifier la fonction rénale et l’activité inflammatoire (myélome multiple)</w:t>
      </w:r>
    </w:p>
    <w:p w:rsidR="00656E30" w:rsidRPr="00F012F8" w:rsidRDefault="00715340">
      <w:pPr>
        <w:rPr>
          <w:rFonts w:cs="Times New Roman"/>
        </w:rPr>
      </w:pPr>
      <w:r w:rsidRPr="00F012F8">
        <w:rPr>
          <w:rFonts w:cs="Times New Roman"/>
          <w:i/>
          <w:u w:val="single"/>
        </w:rPr>
        <w:t>Radiographie</w:t>
      </w:r>
      <w:r w:rsidR="00B1610D" w:rsidRPr="00F012F8">
        <w:rPr>
          <w:rFonts w:cs="Times New Roman"/>
        </w:rPr>
        <w:t xml:space="preserve"> → permet de bien caractériser la masse, surtout au niveau osseux, de vérifier la présence de factures associées</w:t>
      </w:r>
      <w:r w:rsidR="007F3F18" w:rsidRPr="00F012F8">
        <w:rPr>
          <w:rFonts w:cs="Times New Roman"/>
        </w:rPr>
        <w:t>.</w:t>
      </w:r>
    </w:p>
    <w:p w:rsidR="007F3F18" w:rsidRPr="00F012F8" w:rsidRDefault="007F3F18">
      <w:pPr>
        <w:rPr>
          <w:rFonts w:cs="Times New Roman"/>
        </w:rPr>
      </w:pPr>
      <w:r w:rsidRPr="00F012F8">
        <w:rPr>
          <w:rFonts w:cs="Times New Roman"/>
        </w:rPr>
        <w:t>Important de noter le site (diaphyse, métaphyse, etc.), la taille, l’apparence de la lésion, l’atteinte corticale ou extra-osseuse, de décrire la réaction périostée</w:t>
      </w:r>
    </w:p>
    <w:p w:rsidR="00656E30" w:rsidRPr="00F012F8" w:rsidRDefault="00656E30">
      <w:pPr>
        <w:rPr>
          <w:rFonts w:cs="Times New Roman"/>
        </w:rPr>
      </w:pPr>
      <w:r w:rsidRPr="00F012F8">
        <w:rPr>
          <w:rFonts w:cs="Times New Roman"/>
          <w:i/>
        </w:rPr>
        <w:t>IRM</w:t>
      </w:r>
      <w:r w:rsidR="00B1610D" w:rsidRPr="00F012F8">
        <w:rPr>
          <w:rFonts w:cs="Times New Roman"/>
        </w:rPr>
        <w:t xml:space="preserve"> → examen de choix pour les tissus mous,</w:t>
      </w:r>
    </w:p>
    <w:p w:rsidR="00B1610D" w:rsidRPr="00F012F8" w:rsidRDefault="00B1610D">
      <w:pPr>
        <w:rPr>
          <w:rFonts w:cs="Times New Roman"/>
        </w:rPr>
      </w:pPr>
      <w:r w:rsidRPr="00F012F8">
        <w:rPr>
          <w:rFonts w:cs="Times New Roman"/>
          <w:i/>
        </w:rPr>
        <w:t>TDM</w:t>
      </w:r>
      <w:r w:rsidRPr="00F012F8">
        <w:rPr>
          <w:rFonts w:cs="Times New Roman"/>
        </w:rPr>
        <w:t xml:space="preserve"> → utilisation pour les masses des tissus mous et les bilans d’extension</w:t>
      </w:r>
    </w:p>
    <w:p w:rsidR="00656E30" w:rsidRPr="00F012F8" w:rsidRDefault="00656E30">
      <w:pPr>
        <w:rPr>
          <w:rFonts w:cs="Times New Roman"/>
        </w:rPr>
      </w:pPr>
      <w:r w:rsidRPr="00F012F8">
        <w:rPr>
          <w:rFonts w:cs="Times New Roman"/>
          <w:i/>
        </w:rPr>
        <w:t>Électrophorèse des protéines</w:t>
      </w:r>
      <w:r w:rsidR="00B1610D" w:rsidRPr="00F012F8">
        <w:rPr>
          <w:rFonts w:cs="Times New Roman"/>
        </w:rPr>
        <w:t xml:space="preserve"> → si suspicion de myélome multiple</w:t>
      </w:r>
    </w:p>
    <w:p w:rsidR="006C5037" w:rsidRPr="00F012F8" w:rsidRDefault="00B1610D">
      <w:pPr>
        <w:rPr>
          <w:rFonts w:cs="Times New Roman"/>
        </w:rPr>
      </w:pPr>
      <w:r w:rsidRPr="00F012F8">
        <w:rPr>
          <w:rFonts w:cs="Times New Roman"/>
          <w:b/>
          <w:highlight w:val="yellow"/>
        </w:rPr>
        <w:t>Biopsie</w:t>
      </w:r>
      <w:r w:rsidRPr="00F012F8">
        <w:rPr>
          <w:rFonts w:cs="Times New Roman"/>
          <w:highlight w:val="yellow"/>
        </w:rPr>
        <w:t xml:space="preserve"> → </w:t>
      </w:r>
      <w:r w:rsidR="007F3F18" w:rsidRPr="00F012F8">
        <w:rPr>
          <w:rFonts w:cs="Times New Roman"/>
          <w:highlight w:val="yellow"/>
        </w:rPr>
        <w:t>si masse suspecte ou doute persistant (fait par spécialiste)</w:t>
      </w:r>
    </w:p>
    <w:p w:rsidR="007F3F18" w:rsidRPr="00F012F8" w:rsidRDefault="007F3F18">
      <w:pPr>
        <w:rPr>
          <w:rFonts w:cs="Times New Roman"/>
          <w:u w:val="single"/>
        </w:rPr>
        <w:sectPr w:rsidR="007F3F18" w:rsidRPr="00F012F8" w:rsidSect="00A35E51">
          <w:type w:val="continuous"/>
          <w:pgSz w:w="12240" w:h="15840"/>
          <w:pgMar w:top="720" w:right="720" w:bottom="720" w:left="720" w:header="708" w:footer="708" w:gutter="0"/>
          <w:cols w:space="708"/>
          <w:docGrid w:linePitch="360"/>
        </w:sectPr>
      </w:pPr>
    </w:p>
    <w:p w:rsidR="007F3F18" w:rsidRPr="00F012F8" w:rsidRDefault="007F3F18">
      <w:pPr>
        <w:rPr>
          <w:rFonts w:cs="Times New Roman"/>
          <w:u w:val="single"/>
        </w:rPr>
      </w:pPr>
      <w:r w:rsidRPr="00F012F8">
        <w:rPr>
          <w:rFonts w:cs="Times New Roman"/>
          <w:u w:val="single"/>
        </w:rPr>
        <w:t>Critères de malignité radiologique des masses osseuses</w:t>
      </w:r>
    </w:p>
    <w:p w:rsidR="007F3F18" w:rsidRPr="00F012F8" w:rsidRDefault="007F3F18" w:rsidP="00C93754">
      <w:pPr>
        <w:pStyle w:val="Paragraphedeliste"/>
        <w:numPr>
          <w:ilvl w:val="0"/>
          <w:numId w:val="116"/>
        </w:numPr>
        <w:rPr>
          <w:rFonts w:cs="Times New Roman"/>
        </w:rPr>
      </w:pPr>
      <w:r w:rsidRPr="00F012F8">
        <w:rPr>
          <w:rFonts w:cs="Times New Roman"/>
        </w:rPr>
        <w:t>Triangle de Codman</w:t>
      </w:r>
    </w:p>
    <w:p w:rsidR="007F3F18" w:rsidRPr="00F012F8" w:rsidRDefault="007F3F18" w:rsidP="00C93754">
      <w:pPr>
        <w:pStyle w:val="Paragraphedeliste"/>
        <w:numPr>
          <w:ilvl w:val="0"/>
          <w:numId w:val="116"/>
        </w:numPr>
        <w:rPr>
          <w:rFonts w:cs="Times New Roman"/>
        </w:rPr>
      </w:pPr>
      <w:r w:rsidRPr="00F012F8">
        <w:rPr>
          <w:rFonts w:cs="Times New Roman"/>
        </w:rPr>
        <w:t>Pelure d’oignon</w:t>
      </w:r>
    </w:p>
    <w:p w:rsidR="007F3F18" w:rsidRPr="00F012F8" w:rsidRDefault="007F3F18" w:rsidP="00C93754">
      <w:pPr>
        <w:pStyle w:val="Paragraphedeliste"/>
        <w:numPr>
          <w:ilvl w:val="0"/>
          <w:numId w:val="116"/>
        </w:numPr>
        <w:rPr>
          <w:rFonts w:cs="Times New Roman"/>
        </w:rPr>
      </w:pPr>
      <w:r w:rsidRPr="00F012F8">
        <w:rPr>
          <w:rFonts w:cs="Times New Roman"/>
        </w:rPr>
        <w:t>Rayons de soleil (périoste)</w:t>
      </w:r>
    </w:p>
    <w:p w:rsidR="007F3F18" w:rsidRPr="00F012F8" w:rsidRDefault="007F3F18" w:rsidP="00C93754">
      <w:pPr>
        <w:pStyle w:val="Paragraphedeliste"/>
        <w:numPr>
          <w:ilvl w:val="0"/>
          <w:numId w:val="116"/>
        </w:numPr>
        <w:rPr>
          <w:rFonts w:cs="Times New Roman"/>
        </w:rPr>
      </w:pPr>
      <w:r w:rsidRPr="00F012F8">
        <w:rPr>
          <w:rFonts w:cs="Times New Roman"/>
        </w:rPr>
        <w:t>Zone large entre la lésion et l’os normal (mal défini)</w:t>
      </w:r>
    </w:p>
    <w:p w:rsidR="007F3F18" w:rsidRPr="00F012F8" w:rsidRDefault="007F3F18" w:rsidP="00C93754">
      <w:pPr>
        <w:pStyle w:val="Paragraphedeliste"/>
        <w:numPr>
          <w:ilvl w:val="0"/>
          <w:numId w:val="116"/>
        </w:numPr>
        <w:rPr>
          <w:rFonts w:cs="Times New Roman"/>
        </w:rPr>
      </w:pPr>
      <w:r w:rsidRPr="00F012F8">
        <w:rPr>
          <w:rFonts w:cs="Times New Roman"/>
        </w:rPr>
        <w:t>Formation osseuse variée</w:t>
      </w:r>
    </w:p>
    <w:p w:rsidR="007F3F18" w:rsidRPr="00F012F8" w:rsidRDefault="007F3F18" w:rsidP="00C93754">
      <w:pPr>
        <w:pStyle w:val="Paragraphedeliste"/>
        <w:numPr>
          <w:ilvl w:val="0"/>
          <w:numId w:val="116"/>
        </w:numPr>
        <w:rPr>
          <w:rFonts w:cs="Times New Roman"/>
        </w:rPr>
      </w:pPr>
      <w:r w:rsidRPr="00F012F8">
        <w:rPr>
          <w:rFonts w:cs="Times New Roman"/>
        </w:rPr>
        <w:t>Calcification irrégulière et extra-osseuse</w:t>
      </w:r>
    </w:p>
    <w:p w:rsidR="00834520" w:rsidRPr="00F012F8" w:rsidRDefault="00834520">
      <w:pPr>
        <w:rPr>
          <w:rFonts w:cs="Times New Roman"/>
          <w:u w:val="single"/>
        </w:rPr>
      </w:pPr>
      <w:r w:rsidRPr="00F012F8">
        <w:rPr>
          <w:rFonts w:cs="Times New Roman"/>
          <w:u w:val="single"/>
        </w:rPr>
        <w:t>Critères de référence urgente de masse des tissus mous (</w:t>
      </w:r>
      <w:r w:rsidR="00C71A23" w:rsidRPr="00F012F8">
        <w:rPr>
          <w:rFonts w:cs="Times New Roman"/>
          <w:u w:val="single"/>
        </w:rPr>
        <w:t xml:space="preserve">selon </w:t>
      </w:r>
      <w:r w:rsidRPr="00F012F8">
        <w:rPr>
          <w:rFonts w:cs="Times New Roman"/>
          <w:u w:val="single"/>
        </w:rPr>
        <w:t>UK)</w:t>
      </w:r>
    </w:p>
    <w:p w:rsidR="00834520" w:rsidRPr="00F012F8" w:rsidRDefault="00834520" w:rsidP="00834520">
      <w:pPr>
        <w:pStyle w:val="Paragraphedeliste"/>
        <w:numPr>
          <w:ilvl w:val="0"/>
          <w:numId w:val="110"/>
        </w:numPr>
        <w:rPr>
          <w:rFonts w:cs="Times New Roman"/>
        </w:rPr>
      </w:pPr>
      <w:r w:rsidRPr="00F012F8">
        <w:rPr>
          <w:rFonts w:cs="Times New Roman"/>
        </w:rPr>
        <w:t>5 cm</w:t>
      </w:r>
    </w:p>
    <w:p w:rsidR="00834520" w:rsidRPr="00F012F8" w:rsidRDefault="00834520" w:rsidP="00834520">
      <w:pPr>
        <w:pStyle w:val="Paragraphedeliste"/>
        <w:numPr>
          <w:ilvl w:val="0"/>
          <w:numId w:val="110"/>
        </w:numPr>
        <w:rPr>
          <w:rFonts w:cs="Times New Roman"/>
        </w:rPr>
      </w:pPr>
      <w:r w:rsidRPr="00F012F8">
        <w:rPr>
          <w:rFonts w:cs="Times New Roman"/>
        </w:rPr>
        <w:t>Taille en augmentation</w:t>
      </w:r>
    </w:p>
    <w:p w:rsidR="00834520" w:rsidRPr="00F012F8" w:rsidRDefault="00834520" w:rsidP="00834520">
      <w:pPr>
        <w:pStyle w:val="Paragraphedeliste"/>
        <w:numPr>
          <w:ilvl w:val="0"/>
          <w:numId w:val="110"/>
        </w:numPr>
        <w:rPr>
          <w:rFonts w:cs="Times New Roman"/>
        </w:rPr>
      </w:pPr>
      <w:r w:rsidRPr="00F012F8">
        <w:rPr>
          <w:rFonts w:cs="Times New Roman"/>
        </w:rPr>
        <w:t>Douloureuse</w:t>
      </w:r>
    </w:p>
    <w:p w:rsidR="00834520" w:rsidRPr="00F012F8" w:rsidRDefault="00834520" w:rsidP="00834520">
      <w:pPr>
        <w:pStyle w:val="Paragraphedeliste"/>
        <w:numPr>
          <w:ilvl w:val="0"/>
          <w:numId w:val="110"/>
        </w:numPr>
        <w:rPr>
          <w:rFonts w:cs="Times New Roman"/>
        </w:rPr>
      </w:pPr>
      <w:r w:rsidRPr="00F012F8">
        <w:rPr>
          <w:rFonts w:cs="Times New Roman"/>
        </w:rPr>
        <w:t>Plus profond que le fascia musculaire (peu importe la taille) (+ sensible)</w:t>
      </w:r>
    </w:p>
    <w:p w:rsidR="007F3F18" w:rsidRPr="00F012F8" w:rsidRDefault="00834520" w:rsidP="009540A8">
      <w:pPr>
        <w:pStyle w:val="Paragraphedeliste"/>
        <w:numPr>
          <w:ilvl w:val="0"/>
          <w:numId w:val="110"/>
        </w:numPr>
        <w:rPr>
          <w:rFonts w:cs="Times New Roman"/>
        </w:rPr>
        <w:sectPr w:rsidR="007F3F18" w:rsidRPr="00F012F8" w:rsidSect="007F3F18">
          <w:type w:val="continuous"/>
          <w:pgSz w:w="12240" w:h="15840"/>
          <w:pgMar w:top="720" w:right="720" w:bottom="720" w:left="720" w:header="708" w:footer="708" w:gutter="0"/>
          <w:cols w:num="2" w:space="708"/>
          <w:docGrid w:linePitch="360"/>
        </w:sectPr>
      </w:pPr>
      <w:r w:rsidRPr="00F012F8">
        <w:rPr>
          <w:rFonts w:cs="Times New Roman"/>
        </w:rPr>
        <w:t>Récidive après excision</w:t>
      </w:r>
    </w:p>
    <w:p w:rsidR="00D739A0" w:rsidRPr="00F012F8" w:rsidRDefault="00D739A0">
      <w:pPr>
        <w:rPr>
          <w:rFonts w:cs="Times New Roman"/>
        </w:rPr>
      </w:pPr>
    </w:p>
    <w:p w:rsidR="00D739A0" w:rsidRPr="00F012F8" w:rsidRDefault="00D739A0">
      <w:pPr>
        <w:rPr>
          <w:rFonts w:cs="Times New Roman"/>
          <w:b/>
          <w:sz w:val="28"/>
          <w:szCs w:val="28"/>
        </w:rPr>
      </w:pPr>
      <w:r w:rsidRPr="00F012F8">
        <w:rPr>
          <w:rFonts w:cs="Times New Roman"/>
          <w:b/>
          <w:sz w:val="28"/>
          <w:szCs w:val="28"/>
        </w:rPr>
        <w:t>Prise en charge</w:t>
      </w:r>
    </w:p>
    <w:tbl>
      <w:tblPr>
        <w:tblStyle w:val="Grilledutableau"/>
        <w:tblW w:w="0" w:type="auto"/>
        <w:tblLook w:val="04A0" w:firstRow="1" w:lastRow="0" w:firstColumn="1" w:lastColumn="0" w:noHBand="0" w:noVBand="1"/>
      </w:tblPr>
      <w:tblGrid>
        <w:gridCol w:w="5470"/>
        <w:gridCol w:w="5470"/>
      </w:tblGrid>
      <w:tr w:rsidR="009540A8" w:rsidRPr="00F012F8" w:rsidTr="009540A8">
        <w:tc>
          <w:tcPr>
            <w:tcW w:w="5470" w:type="dxa"/>
          </w:tcPr>
          <w:p w:rsidR="009540A8" w:rsidRPr="00F012F8" w:rsidRDefault="009540A8" w:rsidP="009540A8">
            <w:pPr>
              <w:jc w:val="center"/>
              <w:rPr>
                <w:rFonts w:cs="Times New Roman"/>
                <w:b/>
              </w:rPr>
            </w:pPr>
            <w:r w:rsidRPr="00F012F8">
              <w:rPr>
                <w:rFonts w:cs="Times New Roman"/>
                <w:b/>
              </w:rPr>
              <w:t>Condition</w:t>
            </w:r>
          </w:p>
        </w:tc>
        <w:tc>
          <w:tcPr>
            <w:tcW w:w="5470" w:type="dxa"/>
          </w:tcPr>
          <w:p w:rsidR="009540A8" w:rsidRPr="00F012F8" w:rsidRDefault="009540A8" w:rsidP="009540A8">
            <w:pPr>
              <w:jc w:val="center"/>
              <w:rPr>
                <w:rFonts w:cs="Times New Roman"/>
                <w:b/>
              </w:rPr>
            </w:pPr>
            <w:r w:rsidRPr="00F012F8">
              <w:rPr>
                <w:rFonts w:cs="Times New Roman"/>
                <w:b/>
              </w:rPr>
              <w:t>Prise en charge</w:t>
            </w:r>
            <w:r w:rsidR="009D65EB" w:rsidRPr="00F012F8">
              <w:rPr>
                <w:rFonts w:cs="Times New Roman"/>
                <w:b/>
              </w:rPr>
              <w:t xml:space="preserve"> / Pronostic</w:t>
            </w:r>
          </w:p>
        </w:tc>
      </w:tr>
      <w:tr w:rsidR="009540A8" w:rsidRPr="00F012F8" w:rsidTr="00BB27B9">
        <w:tc>
          <w:tcPr>
            <w:tcW w:w="10940" w:type="dxa"/>
            <w:gridSpan w:val="2"/>
            <w:shd w:val="clear" w:color="auto" w:fill="4F81BD" w:themeFill="accent1"/>
          </w:tcPr>
          <w:p w:rsidR="009540A8" w:rsidRPr="00F012F8" w:rsidRDefault="009540A8" w:rsidP="009540A8">
            <w:pPr>
              <w:jc w:val="center"/>
              <w:rPr>
                <w:rFonts w:cs="Times New Roman"/>
                <w:u w:val="single"/>
              </w:rPr>
            </w:pPr>
            <w:r w:rsidRPr="00F012F8">
              <w:rPr>
                <w:rFonts w:cs="Times New Roman"/>
                <w:u w:val="single"/>
              </w:rPr>
              <w:t>Os et cartilage</w:t>
            </w:r>
          </w:p>
        </w:tc>
      </w:tr>
      <w:tr w:rsidR="009540A8" w:rsidRPr="00F012F8" w:rsidTr="00BB27B9">
        <w:tc>
          <w:tcPr>
            <w:tcW w:w="5470" w:type="dxa"/>
            <w:shd w:val="clear" w:color="auto" w:fill="95B3D7" w:themeFill="accent1" w:themeFillTint="99"/>
          </w:tcPr>
          <w:p w:rsidR="009540A8" w:rsidRPr="00F012F8" w:rsidRDefault="009540A8">
            <w:pPr>
              <w:rPr>
                <w:rFonts w:cs="Times New Roman"/>
              </w:rPr>
            </w:pPr>
            <w:r w:rsidRPr="00F012F8">
              <w:rPr>
                <w:rFonts w:cs="Times New Roman"/>
              </w:rPr>
              <w:t>Enchondrome</w:t>
            </w:r>
          </w:p>
        </w:tc>
        <w:tc>
          <w:tcPr>
            <w:tcW w:w="5470" w:type="dxa"/>
          </w:tcPr>
          <w:p w:rsidR="009D65EB" w:rsidRPr="00F012F8" w:rsidRDefault="009D65EB" w:rsidP="00C93754">
            <w:pPr>
              <w:pStyle w:val="Paragraphedeliste"/>
              <w:numPr>
                <w:ilvl w:val="0"/>
                <w:numId w:val="120"/>
              </w:numPr>
              <w:rPr>
                <w:rFonts w:cs="Times New Roman"/>
              </w:rPr>
            </w:pPr>
            <w:r w:rsidRPr="00F012F8">
              <w:rPr>
                <w:rFonts w:cs="Times New Roman"/>
              </w:rPr>
              <w:t>Suivi</w:t>
            </w:r>
          </w:p>
          <w:p w:rsidR="009540A8" w:rsidRPr="00F012F8" w:rsidRDefault="009D65EB" w:rsidP="00C93754">
            <w:pPr>
              <w:pStyle w:val="Paragraphedeliste"/>
              <w:numPr>
                <w:ilvl w:val="0"/>
                <w:numId w:val="120"/>
              </w:numPr>
              <w:rPr>
                <w:rFonts w:cs="Times New Roman"/>
                <w:b/>
              </w:rPr>
            </w:pPr>
            <w:r w:rsidRPr="00F012F8">
              <w:rPr>
                <w:rFonts w:cs="Times New Roman"/>
              </w:rPr>
              <w:t>B</w:t>
            </w:r>
            <w:r w:rsidR="009540A8" w:rsidRPr="00F012F8">
              <w:rPr>
                <w:rFonts w:cs="Times New Roman"/>
              </w:rPr>
              <w:t>iopsie si doute (enchondromatose = syndromes)</w:t>
            </w:r>
          </w:p>
        </w:tc>
      </w:tr>
      <w:tr w:rsidR="009540A8" w:rsidRPr="00F012F8" w:rsidTr="00BB27B9">
        <w:tc>
          <w:tcPr>
            <w:tcW w:w="5470" w:type="dxa"/>
            <w:shd w:val="clear" w:color="auto" w:fill="95B3D7" w:themeFill="accent1" w:themeFillTint="99"/>
          </w:tcPr>
          <w:p w:rsidR="009540A8" w:rsidRPr="00F012F8" w:rsidRDefault="009540A8">
            <w:pPr>
              <w:rPr>
                <w:rFonts w:cs="Times New Roman"/>
              </w:rPr>
            </w:pPr>
            <w:r w:rsidRPr="00F012F8">
              <w:rPr>
                <w:rFonts w:cs="Times New Roman"/>
              </w:rPr>
              <w:t>Ostéochondrome</w:t>
            </w:r>
          </w:p>
        </w:tc>
        <w:tc>
          <w:tcPr>
            <w:tcW w:w="5470" w:type="dxa"/>
          </w:tcPr>
          <w:p w:rsidR="009540A8" w:rsidRPr="00F012F8" w:rsidRDefault="009D65EB" w:rsidP="00C93754">
            <w:pPr>
              <w:pStyle w:val="Paragraphedeliste"/>
              <w:numPr>
                <w:ilvl w:val="0"/>
                <w:numId w:val="119"/>
              </w:numPr>
              <w:rPr>
                <w:rFonts w:cs="Times New Roman"/>
                <w:b/>
              </w:rPr>
            </w:pPr>
            <w:r w:rsidRPr="00F012F8">
              <w:rPr>
                <w:rFonts w:cs="Times New Roman"/>
              </w:rPr>
              <w:t>S</w:t>
            </w:r>
            <w:r w:rsidR="009540A8" w:rsidRPr="00F012F8">
              <w:rPr>
                <w:rFonts w:cs="Times New Roman"/>
              </w:rPr>
              <w:t>uivi, biopsie si doute</w:t>
            </w:r>
          </w:p>
        </w:tc>
      </w:tr>
      <w:tr w:rsidR="009540A8" w:rsidRPr="00F012F8" w:rsidTr="00BB27B9">
        <w:tc>
          <w:tcPr>
            <w:tcW w:w="5470" w:type="dxa"/>
            <w:shd w:val="clear" w:color="auto" w:fill="95B3D7" w:themeFill="accent1" w:themeFillTint="99"/>
          </w:tcPr>
          <w:p w:rsidR="009540A8" w:rsidRPr="00F012F8" w:rsidRDefault="009540A8">
            <w:pPr>
              <w:rPr>
                <w:rFonts w:cs="Times New Roman"/>
              </w:rPr>
            </w:pPr>
            <w:r w:rsidRPr="00BB27B9">
              <w:rPr>
                <w:rFonts w:cs="Times New Roman"/>
              </w:rPr>
              <w:t>Chondrosarcome</w:t>
            </w:r>
          </w:p>
        </w:tc>
        <w:tc>
          <w:tcPr>
            <w:tcW w:w="5470" w:type="dxa"/>
          </w:tcPr>
          <w:p w:rsidR="003F2B63" w:rsidRPr="00F012F8" w:rsidRDefault="003F2B63" w:rsidP="00C93754">
            <w:pPr>
              <w:pStyle w:val="Paragraphedeliste"/>
              <w:numPr>
                <w:ilvl w:val="0"/>
                <w:numId w:val="118"/>
              </w:numPr>
              <w:rPr>
                <w:rFonts w:cs="Times New Roman"/>
                <w:highlight w:val="yellow"/>
              </w:rPr>
            </w:pPr>
            <w:r w:rsidRPr="00F012F8">
              <w:rPr>
                <w:rFonts w:cs="Times New Roman"/>
                <w:highlight w:val="yellow"/>
              </w:rPr>
              <w:t>Référence en orthopédie</w:t>
            </w:r>
          </w:p>
          <w:p w:rsidR="009540A8" w:rsidRPr="00F012F8" w:rsidRDefault="009540A8" w:rsidP="00C93754">
            <w:pPr>
              <w:pStyle w:val="Paragraphedeliste"/>
              <w:numPr>
                <w:ilvl w:val="0"/>
                <w:numId w:val="118"/>
              </w:numPr>
              <w:rPr>
                <w:rFonts w:cs="Times New Roman"/>
                <w:highlight w:val="yellow"/>
              </w:rPr>
            </w:pPr>
            <w:r w:rsidRPr="00F012F8">
              <w:rPr>
                <w:rFonts w:cs="Times New Roman"/>
                <w:highlight w:val="yellow"/>
              </w:rPr>
              <w:t>Ne répond pas à la chimiothérapie / radiothérapie</w:t>
            </w:r>
          </w:p>
          <w:p w:rsidR="009540A8" w:rsidRPr="00F012F8" w:rsidRDefault="009540A8" w:rsidP="00C93754">
            <w:pPr>
              <w:pStyle w:val="Paragraphedeliste"/>
              <w:numPr>
                <w:ilvl w:val="0"/>
                <w:numId w:val="118"/>
              </w:numPr>
              <w:rPr>
                <w:rFonts w:cs="Times New Roman"/>
                <w:highlight w:val="yellow"/>
              </w:rPr>
            </w:pPr>
            <w:r w:rsidRPr="00F012F8">
              <w:rPr>
                <w:rFonts w:cs="Times New Roman"/>
                <w:highlight w:val="yellow"/>
              </w:rPr>
              <w:t>Chirurgie agressive d’emblée</w:t>
            </w:r>
          </w:p>
          <w:p w:rsidR="009540A8" w:rsidRPr="00F012F8" w:rsidRDefault="009540A8" w:rsidP="00C93754">
            <w:pPr>
              <w:pStyle w:val="Paragraphedeliste"/>
              <w:numPr>
                <w:ilvl w:val="0"/>
                <w:numId w:val="118"/>
              </w:numPr>
              <w:rPr>
                <w:rFonts w:cs="Times New Roman"/>
                <w:highlight w:val="yellow"/>
              </w:rPr>
            </w:pPr>
            <w:r w:rsidRPr="00F012F8">
              <w:rPr>
                <w:rFonts w:cs="Times New Roman"/>
                <w:highlight w:val="yellow"/>
              </w:rPr>
              <w:t>Suivi post-op avec radiographies régulières</w:t>
            </w:r>
          </w:p>
          <w:p w:rsidR="009540A8" w:rsidRPr="00F012F8" w:rsidRDefault="009D65EB" w:rsidP="00C93754">
            <w:pPr>
              <w:pStyle w:val="Paragraphedeliste"/>
              <w:numPr>
                <w:ilvl w:val="0"/>
                <w:numId w:val="118"/>
              </w:numPr>
              <w:rPr>
                <w:rFonts w:cs="Times New Roman"/>
                <w:b/>
              </w:rPr>
            </w:pPr>
            <w:r w:rsidRPr="00F012F8">
              <w:rPr>
                <w:rFonts w:cs="Times New Roman"/>
                <w:highlight w:val="yellow"/>
              </w:rPr>
              <w:t>S</w:t>
            </w:r>
            <w:r w:rsidR="009540A8" w:rsidRPr="00F012F8">
              <w:rPr>
                <w:rFonts w:cs="Times New Roman"/>
                <w:highlight w:val="yellow"/>
              </w:rPr>
              <w:t>urvie à 10 ans =  90% bas-grade, 20-40% haut-grade</w:t>
            </w:r>
          </w:p>
        </w:tc>
      </w:tr>
      <w:tr w:rsidR="009540A8" w:rsidRPr="00F012F8" w:rsidTr="00BB27B9">
        <w:tc>
          <w:tcPr>
            <w:tcW w:w="5470" w:type="dxa"/>
            <w:shd w:val="clear" w:color="auto" w:fill="95B3D7" w:themeFill="accent1" w:themeFillTint="99"/>
          </w:tcPr>
          <w:p w:rsidR="009540A8" w:rsidRPr="00F012F8" w:rsidRDefault="009540A8">
            <w:pPr>
              <w:rPr>
                <w:rFonts w:cs="Times New Roman"/>
              </w:rPr>
            </w:pPr>
            <w:r w:rsidRPr="00F012F8">
              <w:rPr>
                <w:rFonts w:cs="Times New Roman"/>
              </w:rPr>
              <w:t>Fibrome non-ossifiant</w:t>
            </w:r>
          </w:p>
        </w:tc>
        <w:tc>
          <w:tcPr>
            <w:tcW w:w="5470" w:type="dxa"/>
          </w:tcPr>
          <w:p w:rsidR="009540A8" w:rsidRPr="00F012F8" w:rsidRDefault="009540A8" w:rsidP="00C93754">
            <w:pPr>
              <w:pStyle w:val="Paragraphedeliste"/>
              <w:numPr>
                <w:ilvl w:val="0"/>
                <w:numId w:val="121"/>
              </w:numPr>
              <w:rPr>
                <w:rFonts w:cs="Times New Roman"/>
              </w:rPr>
            </w:pPr>
            <w:r w:rsidRPr="00F012F8">
              <w:rPr>
                <w:rFonts w:cs="Times New Roman"/>
              </w:rPr>
              <w:t>Observation</w:t>
            </w:r>
          </w:p>
        </w:tc>
      </w:tr>
      <w:tr w:rsidR="009540A8" w:rsidRPr="00F012F8" w:rsidTr="00BB27B9">
        <w:tc>
          <w:tcPr>
            <w:tcW w:w="5470" w:type="dxa"/>
            <w:shd w:val="clear" w:color="auto" w:fill="95B3D7" w:themeFill="accent1" w:themeFillTint="99"/>
          </w:tcPr>
          <w:p w:rsidR="009540A8" w:rsidRPr="00F012F8" w:rsidRDefault="009540A8" w:rsidP="009540A8">
            <w:pPr>
              <w:rPr>
                <w:rFonts w:cs="Times New Roman"/>
              </w:rPr>
            </w:pPr>
            <w:r w:rsidRPr="00F012F8">
              <w:rPr>
                <w:rFonts w:cs="Times New Roman"/>
              </w:rPr>
              <w:t>Kyste osseux</w:t>
            </w:r>
          </w:p>
          <w:p w:rsidR="009540A8" w:rsidRPr="00F012F8" w:rsidRDefault="009540A8">
            <w:pPr>
              <w:rPr>
                <w:rFonts w:cs="Times New Roman"/>
              </w:rPr>
            </w:pPr>
          </w:p>
        </w:tc>
        <w:tc>
          <w:tcPr>
            <w:tcW w:w="5470" w:type="dxa"/>
          </w:tcPr>
          <w:p w:rsidR="003F2B63" w:rsidRPr="00F012F8" w:rsidRDefault="003F2B63" w:rsidP="00C93754">
            <w:pPr>
              <w:pStyle w:val="Paragraphedeliste"/>
              <w:numPr>
                <w:ilvl w:val="0"/>
                <w:numId w:val="117"/>
              </w:numPr>
              <w:rPr>
                <w:rFonts w:cs="Times New Roman"/>
              </w:rPr>
            </w:pPr>
            <w:r w:rsidRPr="00F012F8">
              <w:rPr>
                <w:rFonts w:cs="Times New Roman"/>
              </w:rPr>
              <w:t>Référence en orthopédie</w:t>
            </w:r>
          </w:p>
          <w:p w:rsidR="009540A8" w:rsidRPr="00F012F8" w:rsidRDefault="009540A8" w:rsidP="00C93754">
            <w:pPr>
              <w:pStyle w:val="Paragraphedeliste"/>
              <w:numPr>
                <w:ilvl w:val="0"/>
                <w:numId w:val="117"/>
              </w:numPr>
              <w:rPr>
                <w:rFonts w:cs="Times New Roman"/>
              </w:rPr>
            </w:pPr>
            <w:r w:rsidRPr="00F012F8">
              <w:rPr>
                <w:rFonts w:cs="Times New Roman"/>
              </w:rPr>
              <w:t>Parfois résolution post-fracture</w:t>
            </w:r>
          </w:p>
          <w:p w:rsidR="009540A8" w:rsidRPr="00F012F8" w:rsidRDefault="009540A8" w:rsidP="00C93754">
            <w:pPr>
              <w:pStyle w:val="Paragraphedeliste"/>
              <w:numPr>
                <w:ilvl w:val="0"/>
                <w:numId w:val="117"/>
              </w:numPr>
              <w:rPr>
                <w:rFonts w:cs="Times New Roman"/>
              </w:rPr>
            </w:pPr>
            <w:r w:rsidRPr="00F012F8">
              <w:rPr>
                <w:rFonts w:cs="Times New Roman"/>
              </w:rPr>
              <w:t>Injection stéroïdienne intra-kystique</w:t>
            </w:r>
          </w:p>
          <w:p w:rsidR="009540A8" w:rsidRPr="00F012F8" w:rsidRDefault="009540A8" w:rsidP="00C93754">
            <w:pPr>
              <w:pStyle w:val="Paragraphedeliste"/>
              <w:numPr>
                <w:ilvl w:val="0"/>
                <w:numId w:val="117"/>
              </w:numPr>
              <w:rPr>
                <w:rFonts w:cs="Times New Roman"/>
              </w:rPr>
            </w:pPr>
            <w:r w:rsidRPr="00F012F8">
              <w:rPr>
                <w:rFonts w:cs="Times New Roman"/>
              </w:rPr>
              <w:t>Curetage/greffe</w:t>
            </w:r>
          </w:p>
        </w:tc>
      </w:tr>
      <w:tr w:rsidR="009540A8" w:rsidRPr="00F012F8" w:rsidTr="00BB27B9">
        <w:tc>
          <w:tcPr>
            <w:tcW w:w="5470" w:type="dxa"/>
            <w:shd w:val="clear" w:color="auto" w:fill="95B3D7" w:themeFill="accent1" w:themeFillTint="99"/>
          </w:tcPr>
          <w:p w:rsidR="009540A8" w:rsidRPr="00F012F8" w:rsidRDefault="009540A8" w:rsidP="009540A8">
            <w:pPr>
              <w:rPr>
                <w:rFonts w:cs="Times New Roman"/>
              </w:rPr>
            </w:pPr>
            <w:r w:rsidRPr="00F012F8">
              <w:rPr>
                <w:rFonts w:cs="Times New Roman"/>
              </w:rPr>
              <w:t>Ostéome ostéoïde</w:t>
            </w:r>
          </w:p>
          <w:p w:rsidR="009540A8" w:rsidRPr="00F012F8" w:rsidRDefault="009540A8">
            <w:pPr>
              <w:rPr>
                <w:rFonts w:cs="Times New Roman"/>
              </w:rPr>
            </w:pPr>
          </w:p>
        </w:tc>
        <w:tc>
          <w:tcPr>
            <w:tcW w:w="5470" w:type="dxa"/>
          </w:tcPr>
          <w:p w:rsidR="003F2B63" w:rsidRPr="00F012F8" w:rsidRDefault="003F2B63" w:rsidP="00C93754">
            <w:pPr>
              <w:pStyle w:val="Paragraphedeliste"/>
              <w:numPr>
                <w:ilvl w:val="0"/>
                <w:numId w:val="122"/>
              </w:numPr>
              <w:rPr>
                <w:rFonts w:cs="Times New Roman"/>
              </w:rPr>
            </w:pPr>
            <w:r w:rsidRPr="00F012F8">
              <w:rPr>
                <w:rFonts w:cs="Times New Roman"/>
              </w:rPr>
              <w:t>Référence en ortho-oncologie</w:t>
            </w:r>
          </w:p>
          <w:p w:rsidR="009540A8" w:rsidRPr="00F012F8" w:rsidRDefault="009540A8" w:rsidP="00C93754">
            <w:pPr>
              <w:pStyle w:val="Paragraphedeliste"/>
              <w:numPr>
                <w:ilvl w:val="0"/>
                <w:numId w:val="122"/>
              </w:numPr>
              <w:rPr>
                <w:rFonts w:cs="Times New Roman"/>
              </w:rPr>
            </w:pPr>
            <w:r w:rsidRPr="00F012F8">
              <w:rPr>
                <w:rFonts w:cs="Times New Roman"/>
              </w:rPr>
              <w:t xml:space="preserve">Traitement </w:t>
            </w:r>
            <w:r w:rsidR="009D65EB" w:rsidRPr="00F012F8">
              <w:rPr>
                <w:rFonts w:cs="Times New Roman"/>
              </w:rPr>
              <w:t xml:space="preserve">des douleurs </w:t>
            </w:r>
            <w:r w:rsidRPr="00F012F8">
              <w:rPr>
                <w:rFonts w:cs="Times New Roman"/>
              </w:rPr>
              <w:t>avec AINS PRN</w:t>
            </w:r>
          </w:p>
          <w:p w:rsidR="009540A8" w:rsidRPr="00F012F8" w:rsidRDefault="009540A8" w:rsidP="00C93754">
            <w:pPr>
              <w:pStyle w:val="Paragraphedeliste"/>
              <w:numPr>
                <w:ilvl w:val="0"/>
                <w:numId w:val="122"/>
              </w:numPr>
              <w:rPr>
                <w:rFonts w:cs="Times New Roman"/>
              </w:rPr>
            </w:pPr>
            <w:r w:rsidRPr="00F012F8">
              <w:rPr>
                <w:rFonts w:cs="Times New Roman"/>
              </w:rPr>
              <w:t>Parfois résection chirurgicale de la zone</w:t>
            </w:r>
          </w:p>
        </w:tc>
      </w:tr>
      <w:tr w:rsidR="009540A8" w:rsidRPr="00F012F8" w:rsidTr="00BB27B9">
        <w:tc>
          <w:tcPr>
            <w:tcW w:w="5470" w:type="dxa"/>
            <w:shd w:val="clear" w:color="auto" w:fill="95B3D7" w:themeFill="accent1" w:themeFillTint="99"/>
          </w:tcPr>
          <w:p w:rsidR="009540A8" w:rsidRPr="00BB27B9" w:rsidRDefault="009540A8" w:rsidP="009540A8">
            <w:pPr>
              <w:rPr>
                <w:rFonts w:cs="Times New Roman"/>
              </w:rPr>
            </w:pPr>
            <w:r w:rsidRPr="00BB27B9">
              <w:rPr>
                <w:rFonts w:cs="Times New Roman"/>
              </w:rPr>
              <w:t>Myélome multiple</w:t>
            </w:r>
          </w:p>
          <w:p w:rsidR="009540A8" w:rsidRPr="00BB27B9" w:rsidRDefault="009540A8">
            <w:pPr>
              <w:rPr>
                <w:rFonts w:cs="Times New Roman"/>
              </w:rPr>
            </w:pPr>
          </w:p>
        </w:tc>
        <w:tc>
          <w:tcPr>
            <w:tcW w:w="5470" w:type="dxa"/>
          </w:tcPr>
          <w:p w:rsidR="003F2B63" w:rsidRPr="00F012F8" w:rsidRDefault="003F2B63" w:rsidP="00C93754">
            <w:pPr>
              <w:pStyle w:val="Paragraphedeliste"/>
              <w:numPr>
                <w:ilvl w:val="0"/>
                <w:numId w:val="123"/>
              </w:numPr>
              <w:rPr>
                <w:rFonts w:cs="Times New Roman"/>
                <w:highlight w:val="yellow"/>
              </w:rPr>
            </w:pPr>
            <w:r w:rsidRPr="00F012F8">
              <w:rPr>
                <w:rFonts w:cs="Times New Roman"/>
                <w:highlight w:val="yellow"/>
              </w:rPr>
              <w:t>Référence en hémato-oncologie</w:t>
            </w:r>
          </w:p>
          <w:p w:rsidR="009540A8" w:rsidRPr="00F012F8" w:rsidRDefault="009540A8" w:rsidP="00C93754">
            <w:pPr>
              <w:pStyle w:val="Paragraphedeliste"/>
              <w:numPr>
                <w:ilvl w:val="0"/>
                <w:numId w:val="123"/>
              </w:numPr>
              <w:rPr>
                <w:rFonts w:cs="Times New Roman"/>
                <w:highlight w:val="yellow"/>
              </w:rPr>
            </w:pPr>
            <w:r w:rsidRPr="00F012F8">
              <w:rPr>
                <w:rFonts w:cs="Times New Roman"/>
                <w:highlight w:val="yellow"/>
              </w:rPr>
              <w:t>Chimiothérapie, radiothérapie, biphosphonates, chirurgie orthopédique si douleurs ou fractures,</w:t>
            </w:r>
          </w:p>
          <w:p w:rsidR="009540A8" w:rsidRPr="00F012F8" w:rsidRDefault="009540A8" w:rsidP="00C93754">
            <w:pPr>
              <w:pStyle w:val="Paragraphedeliste"/>
              <w:numPr>
                <w:ilvl w:val="0"/>
                <w:numId w:val="123"/>
              </w:numPr>
              <w:rPr>
                <w:rFonts w:cs="Times New Roman"/>
                <w:highlight w:val="yellow"/>
              </w:rPr>
            </w:pPr>
            <w:r w:rsidRPr="00F012F8">
              <w:rPr>
                <w:rFonts w:cs="Times New Roman"/>
                <w:highlight w:val="yellow"/>
              </w:rPr>
              <w:t>Pronostic : 3 ans</w:t>
            </w:r>
          </w:p>
        </w:tc>
      </w:tr>
      <w:tr w:rsidR="009540A8" w:rsidRPr="00F012F8" w:rsidTr="00BB27B9">
        <w:tc>
          <w:tcPr>
            <w:tcW w:w="5470" w:type="dxa"/>
            <w:shd w:val="clear" w:color="auto" w:fill="95B3D7" w:themeFill="accent1" w:themeFillTint="99"/>
          </w:tcPr>
          <w:p w:rsidR="009540A8" w:rsidRPr="00BB27B9" w:rsidRDefault="009540A8" w:rsidP="009540A8">
            <w:pPr>
              <w:rPr>
                <w:rFonts w:cs="Times New Roman"/>
              </w:rPr>
            </w:pPr>
            <w:r w:rsidRPr="00BB27B9">
              <w:rPr>
                <w:rFonts w:cs="Times New Roman"/>
              </w:rPr>
              <w:t>Ostéosarcome</w:t>
            </w:r>
          </w:p>
          <w:p w:rsidR="009540A8" w:rsidRPr="00BB27B9" w:rsidRDefault="009540A8">
            <w:pPr>
              <w:rPr>
                <w:rFonts w:cs="Times New Roman"/>
              </w:rPr>
            </w:pPr>
          </w:p>
        </w:tc>
        <w:tc>
          <w:tcPr>
            <w:tcW w:w="5470" w:type="dxa"/>
          </w:tcPr>
          <w:p w:rsidR="003F2B63" w:rsidRPr="00F012F8" w:rsidRDefault="003F2B63" w:rsidP="00C93754">
            <w:pPr>
              <w:pStyle w:val="Paragraphedeliste"/>
              <w:numPr>
                <w:ilvl w:val="0"/>
                <w:numId w:val="124"/>
              </w:numPr>
              <w:rPr>
                <w:rFonts w:cs="Times New Roman"/>
                <w:highlight w:val="yellow"/>
              </w:rPr>
            </w:pPr>
            <w:r w:rsidRPr="00F012F8">
              <w:rPr>
                <w:rFonts w:cs="Times New Roman"/>
                <w:highlight w:val="yellow"/>
              </w:rPr>
              <w:t>Référence en ortho-oncologie</w:t>
            </w:r>
          </w:p>
          <w:p w:rsidR="009540A8" w:rsidRPr="00F012F8" w:rsidRDefault="009540A8" w:rsidP="00C93754">
            <w:pPr>
              <w:pStyle w:val="Paragraphedeliste"/>
              <w:numPr>
                <w:ilvl w:val="0"/>
                <w:numId w:val="124"/>
              </w:numPr>
              <w:rPr>
                <w:rFonts w:cs="Times New Roman"/>
                <w:highlight w:val="yellow"/>
              </w:rPr>
            </w:pPr>
            <w:r w:rsidRPr="00F012F8">
              <w:rPr>
                <w:rFonts w:cs="Times New Roman"/>
                <w:highlight w:val="yellow"/>
              </w:rPr>
              <w:t>Chimiothérapie néo-adjuvante</w:t>
            </w:r>
          </w:p>
          <w:p w:rsidR="009540A8" w:rsidRPr="00F012F8" w:rsidRDefault="009540A8" w:rsidP="00C93754">
            <w:pPr>
              <w:pStyle w:val="Paragraphedeliste"/>
              <w:numPr>
                <w:ilvl w:val="0"/>
                <w:numId w:val="124"/>
              </w:numPr>
              <w:rPr>
                <w:rFonts w:cs="Times New Roman"/>
                <w:highlight w:val="yellow"/>
              </w:rPr>
            </w:pPr>
            <w:r w:rsidRPr="00F012F8">
              <w:rPr>
                <w:rFonts w:cs="Times New Roman"/>
                <w:highlight w:val="yellow"/>
              </w:rPr>
              <w:t xml:space="preserve">Résection complète, </w:t>
            </w:r>
          </w:p>
          <w:p w:rsidR="009540A8" w:rsidRPr="00F012F8" w:rsidRDefault="009540A8" w:rsidP="00C93754">
            <w:pPr>
              <w:pStyle w:val="Paragraphedeliste"/>
              <w:numPr>
                <w:ilvl w:val="0"/>
                <w:numId w:val="124"/>
              </w:numPr>
              <w:rPr>
                <w:rFonts w:cs="Times New Roman"/>
                <w:highlight w:val="yellow"/>
              </w:rPr>
            </w:pPr>
            <w:r w:rsidRPr="00F012F8">
              <w:rPr>
                <w:rFonts w:cs="Times New Roman"/>
                <w:highlight w:val="yellow"/>
              </w:rPr>
              <w:t>Scintigraphie osseuse + TDM thoracique pour éliminer métastases</w:t>
            </w:r>
          </w:p>
          <w:p w:rsidR="009540A8" w:rsidRPr="00F012F8" w:rsidRDefault="009540A8" w:rsidP="00C93754">
            <w:pPr>
              <w:pStyle w:val="Paragraphedeliste"/>
              <w:numPr>
                <w:ilvl w:val="0"/>
                <w:numId w:val="125"/>
              </w:numPr>
              <w:rPr>
                <w:rFonts w:cs="Times New Roman"/>
              </w:rPr>
            </w:pPr>
            <w:r w:rsidRPr="00F012F8">
              <w:rPr>
                <w:rFonts w:cs="Times New Roman"/>
                <w:highlight w:val="yellow"/>
              </w:rPr>
              <w:t>Pronostic : 70-90% selon le grade</w:t>
            </w:r>
          </w:p>
        </w:tc>
      </w:tr>
      <w:tr w:rsidR="009540A8" w:rsidRPr="00F012F8" w:rsidTr="00BB27B9">
        <w:trPr>
          <w:trHeight w:val="714"/>
        </w:trPr>
        <w:tc>
          <w:tcPr>
            <w:tcW w:w="5470" w:type="dxa"/>
            <w:shd w:val="clear" w:color="auto" w:fill="95B3D7" w:themeFill="accent1" w:themeFillTint="99"/>
          </w:tcPr>
          <w:p w:rsidR="009540A8" w:rsidRPr="00F012F8" w:rsidRDefault="009540A8" w:rsidP="009540A8">
            <w:pPr>
              <w:rPr>
                <w:rFonts w:cs="Times New Roman"/>
              </w:rPr>
            </w:pPr>
            <w:r w:rsidRPr="00F012F8">
              <w:rPr>
                <w:rFonts w:cs="Times New Roman"/>
              </w:rPr>
              <w:t>Tumeur d’Ewing</w:t>
            </w:r>
          </w:p>
          <w:p w:rsidR="009540A8" w:rsidRPr="00F012F8" w:rsidRDefault="009540A8" w:rsidP="009540A8">
            <w:pPr>
              <w:rPr>
                <w:rFonts w:cs="Times New Roman"/>
              </w:rPr>
            </w:pPr>
          </w:p>
        </w:tc>
        <w:tc>
          <w:tcPr>
            <w:tcW w:w="5470" w:type="dxa"/>
          </w:tcPr>
          <w:p w:rsidR="009540A8" w:rsidRPr="00F012F8" w:rsidRDefault="009540A8" w:rsidP="00C93754">
            <w:pPr>
              <w:pStyle w:val="Paragraphedeliste"/>
              <w:numPr>
                <w:ilvl w:val="0"/>
                <w:numId w:val="126"/>
              </w:numPr>
              <w:rPr>
                <w:rFonts w:cs="Times New Roman"/>
              </w:rPr>
            </w:pPr>
            <w:r w:rsidRPr="00F012F8">
              <w:rPr>
                <w:rFonts w:cs="Times New Roman"/>
              </w:rPr>
              <w:t>Chimiothérapie néo-adjuvante</w:t>
            </w:r>
          </w:p>
          <w:p w:rsidR="009540A8" w:rsidRPr="00F012F8" w:rsidRDefault="009540A8" w:rsidP="00C93754">
            <w:pPr>
              <w:pStyle w:val="Paragraphedeliste"/>
              <w:numPr>
                <w:ilvl w:val="0"/>
                <w:numId w:val="126"/>
              </w:numPr>
              <w:rPr>
                <w:rFonts w:cs="Times New Roman"/>
              </w:rPr>
            </w:pPr>
            <w:r w:rsidRPr="00F012F8">
              <w:rPr>
                <w:rFonts w:cs="Times New Roman"/>
              </w:rPr>
              <w:t>Résection vs radiothérapie</w:t>
            </w:r>
          </w:p>
          <w:p w:rsidR="009540A8" w:rsidRPr="00F012F8" w:rsidRDefault="009540A8" w:rsidP="00C93754">
            <w:pPr>
              <w:pStyle w:val="Paragraphedeliste"/>
              <w:numPr>
                <w:ilvl w:val="0"/>
                <w:numId w:val="126"/>
              </w:numPr>
              <w:rPr>
                <w:rFonts w:cs="Times New Roman"/>
              </w:rPr>
            </w:pPr>
            <w:r w:rsidRPr="00F012F8">
              <w:rPr>
                <w:rFonts w:cs="Times New Roman"/>
              </w:rPr>
              <w:t>Chimio post-op PRN</w:t>
            </w:r>
          </w:p>
          <w:p w:rsidR="009540A8" w:rsidRPr="00F012F8" w:rsidRDefault="009540A8" w:rsidP="00C93754">
            <w:pPr>
              <w:pStyle w:val="Paragraphedeliste"/>
              <w:numPr>
                <w:ilvl w:val="0"/>
                <w:numId w:val="126"/>
              </w:numPr>
              <w:rPr>
                <w:rFonts w:cs="Times New Roman"/>
              </w:rPr>
            </w:pPr>
            <w:r w:rsidRPr="00F012F8">
              <w:rPr>
                <w:rFonts w:cs="Times New Roman"/>
              </w:rPr>
              <w:t>Pronostic : survie à 5 ans : 60-70%, sauf si métastatique</w:t>
            </w:r>
          </w:p>
        </w:tc>
      </w:tr>
      <w:tr w:rsidR="009540A8" w:rsidRPr="00F012F8" w:rsidTr="00BB27B9">
        <w:tc>
          <w:tcPr>
            <w:tcW w:w="5470" w:type="dxa"/>
            <w:shd w:val="clear" w:color="auto" w:fill="95B3D7" w:themeFill="accent1" w:themeFillTint="99"/>
          </w:tcPr>
          <w:p w:rsidR="009540A8" w:rsidRPr="00F012F8" w:rsidRDefault="009540A8" w:rsidP="009540A8">
            <w:pPr>
              <w:rPr>
                <w:rFonts w:cs="Times New Roman"/>
              </w:rPr>
            </w:pPr>
            <w:r w:rsidRPr="00F012F8">
              <w:rPr>
                <w:rFonts w:cs="Times New Roman"/>
              </w:rPr>
              <w:t>Métastases systémiques</w:t>
            </w:r>
          </w:p>
          <w:p w:rsidR="009540A8" w:rsidRPr="00F012F8" w:rsidRDefault="009540A8">
            <w:pPr>
              <w:rPr>
                <w:rFonts w:cs="Times New Roman"/>
              </w:rPr>
            </w:pPr>
          </w:p>
        </w:tc>
        <w:tc>
          <w:tcPr>
            <w:tcW w:w="5470" w:type="dxa"/>
          </w:tcPr>
          <w:p w:rsidR="003F2B63" w:rsidRPr="00F012F8" w:rsidRDefault="003F2B63" w:rsidP="00C93754">
            <w:pPr>
              <w:pStyle w:val="Paragraphedeliste"/>
              <w:numPr>
                <w:ilvl w:val="0"/>
                <w:numId w:val="127"/>
              </w:numPr>
              <w:rPr>
                <w:rFonts w:cs="Times New Roman"/>
              </w:rPr>
            </w:pPr>
            <w:r w:rsidRPr="00F012F8">
              <w:rPr>
                <w:rFonts w:cs="Times New Roman"/>
              </w:rPr>
              <w:t>Référer si décision d’adresser (c-ex : soins pall.)</w:t>
            </w:r>
          </w:p>
          <w:p w:rsidR="009540A8" w:rsidRPr="00F012F8" w:rsidRDefault="009540A8" w:rsidP="00C93754">
            <w:pPr>
              <w:pStyle w:val="Paragraphedeliste"/>
              <w:numPr>
                <w:ilvl w:val="0"/>
                <w:numId w:val="127"/>
              </w:numPr>
              <w:rPr>
                <w:rFonts w:cs="Times New Roman"/>
              </w:rPr>
            </w:pPr>
            <w:r w:rsidRPr="00F012F8">
              <w:rPr>
                <w:rFonts w:cs="Times New Roman"/>
              </w:rPr>
              <w:t>Selon le cancer primaire</w:t>
            </w:r>
          </w:p>
          <w:p w:rsidR="009540A8" w:rsidRPr="00F012F8" w:rsidRDefault="009540A8" w:rsidP="00C93754">
            <w:pPr>
              <w:pStyle w:val="Paragraphedeliste"/>
              <w:numPr>
                <w:ilvl w:val="0"/>
                <w:numId w:val="127"/>
              </w:numPr>
              <w:rPr>
                <w:rFonts w:cs="Times New Roman"/>
              </w:rPr>
            </w:pPr>
            <w:r w:rsidRPr="00F012F8">
              <w:rPr>
                <w:rFonts w:cs="Times New Roman"/>
              </w:rPr>
              <w:t>Cimentation du site lytique, fixation</w:t>
            </w:r>
          </w:p>
        </w:tc>
      </w:tr>
      <w:tr w:rsidR="009540A8" w:rsidRPr="00F012F8" w:rsidTr="00BB27B9">
        <w:tc>
          <w:tcPr>
            <w:tcW w:w="10940" w:type="dxa"/>
            <w:gridSpan w:val="2"/>
            <w:shd w:val="clear" w:color="auto" w:fill="4F81BD" w:themeFill="accent1"/>
          </w:tcPr>
          <w:p w:rsidR="009540A8" w:rsidRPr="00F012F8" w:rsidRDefault="009540A8" w:rsidP="009540A8">
            <w:pPr>
              <w:jc w:val="center"/>
              <w:rPr>
                <w:rFonts w:cs="Times New Roman"/>
                <w:u w:val="single"/>
              </w:rPr>
            </w:pPr>
            <w:r w:rsidRPr="00F012F8">
              <w:rPr>
                <w:rFonts w:cs="Times New Roman"/>
                <w:u w:val="single"/>
              </w:rPr>
              <w:t>Tissus mous</w:t>
            </w:r>
          </w:p>
        </w:tc>
      </w:tr>
      <w:tr w:rsidR="009540A8" w:rsidRPr="00F012F8" w:rsidTr="00BB27B9">
        <w:tc>
          <w:tcPr>
            <w:tcW w:w="5470" w:type="dxa"/>
            <w:shd w:val="clear" w:color="auto" w:fill="95B3D7" w:themeFill="accent1" w:themeFillTint="99"/>
          </w:tcPr>
          <w:p w:rsidR="009540A8" w:rsidRPr="00F012F8" w:rsidRDefault="009540A8">
            <w:pPr>
              <w:rPr>
                <w:rFonts w:cs="Times New Roman"/>
              </w:rPr>
            </w:pPr>
            <w:r w:rsidRPr="00F012F8">
              <w:rPr>
                <w:rFonts w:cs="Times New Roman"/>
              </w:rPr>
              <w:t>Lipome</w:t>
            </w:r>
          </w:p>
        </w:tc>
        <w:tc>
          <w:tcPr>
            <w:tcW w:w="5470" w:type="dxa"/>
          </w:tcPr>
          <w:p w:rsidR="009540A8" w:rsidRPr="00F012F8" w:rsidRDefault="003F2B63" w:rsidP="00C93754">
            <w:pPr>
              <w:pStyle w:val="Paragraphedeliste"/>
              <w:numPr>
                <w:ilvl w:val="0"/>
                <w:numId w:val="128"/>
              </w:numPr>
              <w:rPr>
                <w:rFonts w:cs="Times New Roman"/>
                <w:b/>
              </w:rPr>
            </w:pPr>
            <w:r w:rsidRPr="00F012F8">
              <w:rPr>
                <w:rFonts w:cs="Times New Roman"/>
              </w:rPr>
              <w:t>E</w:t>
            </w:r>
            <w:r w:rsidR="009540A8" w:rsidRPr="00F012F8">
              <w:rPr>
                <w:rFonts w:cs="Times New Roman"/>
              </w:rPr>
              <w:t>xci</w:t>
            </w:r>
            <w:r w:rsidRPr="00F012F8">
              <w:rPr>
                <w:rFonts w:cs="Times New Roman"/>
              </w:rPr>
              <w:t>sion si symptomatique seulement</w:t>
            </w:r>
          </w:p>
        </w:tc>
      </w:tr>
      <w:tr w:rsidR="009540A8" w:rsidRPr="00F012F8" w:rsidTr="00BB27B9">
        <w:tc>
          <w:tcPr>
            <w:tcW w:w="5470" w:type="dxa"/>
            <w:shd w:val="clear" w:color="auto" w:fill="95B3D7" w:themeFill="accent1" w:themeFillTint="99"/>
          </w:tcPr>
          <w:p w:rsidR="009540A8" w:rsidRPr="00F012F8" w:rsidRDefault="009540A8" w:rsidP="009540A8">
            <w:pPr>
              <w:rPr>
                <w:rFonts w:cs="Times New Roman"/>
              </w:rPr>
            </w:pPr>
            <w:r w:rsidRPr="00F012F8">
              <w:rPr>
                <w:rFonts w:cs="Times New Roman"/>
              </w:rPr>
              <w:t>Tendinite</w:t>
            </w:r>
          </w:p>
          <w:p w:rsidR="009540A8" w:rsidRPr="00F012F8" w:rsidRDefault="009540A8">
            <w:pPr>
              <w:rPr>
                <w:rFonts w:cs="Times New Roman"/>
              </w:rPr>
            </w:pPr>
          </w:p>
        </w:tc>
        <w:tc>
          <w:tcPr>
            <w:tcW w:w="5470" w:type="dxa"/>
          </w:tcPr>
          <w:p w:rsidR="009540A8" w:rsidRPr="00F012F8" w:rsidRDefault="003F2B63" w:rsidP="00C93754">
            <w:pPr>
              <w:pStyle w:val="Paragraphedeliste"/>
              <w:numPr>
                <w:ilvl w:val="0"/>
                <w:numId w:val="128"/>
              </w:numPr>
              <w:rPr>
                <w:rFonts w:cs="Times New Roman"/>
              </w:rPr>
            </w:pPr>
            <w:r w:rsidRPr="00F012F8">
              <w:rPr>
                <w:rFonts w:cs="Times New Roman"/>
              </w:rPr>
              <w:t>AINS</w:t>
            </w:r>
          </w:p>
          <w:p w:rsidR="003F2B63" w:rsidRPr="00F012F8" w:rsidRDefault="003F2B63" w:rsidP="00C93754">
            <w:pPr>
              <w:pStyle w:val="Paragraphedeliste"/>
              <w:numPr>
                <w:ilvl w:val="0"/>
                <w:numId w:val="128"/>
              </w:numPr>
              <w:rPr>
                <w:rFonts w:cs="Times New Roman"/>
                <w:b/>
              </w:rPr>
            </w:pPr>
            <w:r w:rsidRPr="00F012F8">
              <w:rPr>
                <w:rFonts w:cs="Times New Roman"/>
              </w:rPr>
              <w:t>Physiothérapie</w:t>
            </w:r>
          </w:p>
        </w:tc>
      </w:tr>
      <w:tr w:rsidR="009540A8" w:rsidRPr="00F012F8" w:rsidTr="00BB27B9">
        <w:tc>
          <w:tcPr>
            <w:tcW w:w="5470" w:type="dxa"/>
            <w:shd w:val="clear" w:color="auto" w:fill="95B3D7" w:themeFill="accent1" w:themeFillTint="99"/>
          </w:tcPr>
          <w:p w:rsidR="009540A8" w:rsidRPr="00F012F8" w:rsidRDefault="009540A8" w:rsidP="009540A8">
            <w:pPr>
              <w:rPr>
                <w:rFonts w:cs="Times New Roman"/>
              </w:rPr>
            </w:pPr>
            <w:r w:rsidRPr="00F012F8">
              <w:rPr>
                <w:rFonts w:cs="Times New Roman"/>
              </w:rPr>
              <w:t xml:space="preserve">Nodules </w:t>
            </w:r>
            <w:r w:rsidR="00CF7911" w:rsidRPr="00F012F8">
              <w:rPr>
                <w:rFonts w:cs="Times New Roman"/>
              </w:rPr>
              <w:t>rhumatoïdes</w:t>
            </w:r>
          </w:p>
          <w:p w:rsidR="009540A8" w:rsidRPr="00F012F8" w:rsidRDefault="009540A8">
            <w:pPr>
              <w:rPr>
                <w:rFonts w:cs="Times New Roman"/>
              </w:rPr>
            </w:pPr>
          </w:p>
        </w:tc>
        <w:tc>
          <w:tcPr>
            <w:tcW w:w="5470" w:type="dxa"/>
          </w:tcPr>
          <w:p w:rsidR="009540A8" w:rsidRPr="00F012F8" w:rsidRDefault="003F2B63" w:rsidP="00C93754">
            <w:pPr>
              <w:pStyle w:val="Paragraphedeliste"/>
              <w:numPr>
                <w:ilvl w:val="0"/>
                <w:numId w:val="128"/>
              </w:numPr>
              <w:rPr>
                <w:rFonts w:cs="Times New Roman"/>
              </w:rPr>
            </w:pPr>
            <w:r w:rsidRPr="00F012F8">
              <w:rPr>
                <w:rFonts w:cs="Times New Roman"/>
              </w:rPr>
              <w:t>Pas de traitement particulier si asymptomatique</w:t>
            </w:r>
          </w:p>
          <w:p w:rsidR="003F2B63" w:rsidRPr="00F012F8" w:rsidRDefault="003F2B63" w:rsidP="00C93754">
            <w:pPr>
              <w:pStyle w:val="Paragraphedeliste"/>
              <w:numPr>
                <w:ilvl w:val="0"/>
                <w:numId w:val="128"/>
              </w:numPr>
              <w:rPr>
                <w:rFonts w:cs="Times New Roman"/>
                <w:b/>
              </w:rPr>
            </w:pPr>
            <w:r w:rsidRPr="00F012F8">
              <w:rPr>
                <w:rFonts w:cs="Times New Roman"/>
              </w:rPr>
              <w:t>Injection de glucocorticoïdes, excision</w:t>
            </w:r>
          </w:p>
        </w:tc>
      </w:tr>
    </w:tbl>
    <w:p w:rsidR="009540A8" w:rsidRPr="00F012F8" w:rsidRDefault="009540A8">
      <w:pPr>
        <w:rPr>
          <w:rFonts w:cs="Times New Roman"/>
        </w:rPr>
      </w:pPr>
    </w:p>
    <w:p w:rsidR="009540A8" w:rsidRPr="00F012F8" w:rsidRDefault="00BD5CDC" w:rsidP="009540A8">
      <w:pPr>
        <w:rPr>
          <w:rFonts w:cs="Times New Roman"/>
        </w:rPr>
      </w:pPr>
      <w:r w:rsidRPr="00F012F8">
        <w:rPr>
          <w:rFonts w:cs="Times New Roman"/>
          <w:noProof/>
          <w:lang w:eastAsia="fr-CA"/>
        </w:rPr>
        <w:drawing>
          <wp:anchor distT="0" distB="0" distL="114300" distR="114300" simplePos="0" relativeHeight="251699200" behindDoc="0" locked="0" layoutInCell="1" allowOverlap="1" wp14:anchorId="6223CBF4" wp14:editId="1254449B">
            <wp:simplePos x="0" y="0"/>
            <wp:positionH relativeFrom="column">
              <wp:posOffset>1301115</wp:posOffset>
            </wp:positionH>
            <wp:positionV relativeFrom="paragraph">
              <wp:posOffset>161290</wp:posOffset>
            </wp:positionV>
            <wp:extent cx="4176395" cy="2373630"/>
            <wp:effectExtent l="0" t="0" r="0" b="7620"/>
            <wp:wrapNone/>
            <wp:docPr id="46" name="Image 46" descr="Résultats de recherche d'images pour « cance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ésultats de recherche d'images pour « cancer »"/>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4176395" cy="2373630"/>
                    </a:xfrm>
                    <a:prstGeom prst="rect">
                      <a:avLst/>
                    </a:prstGeom>
                    <a:noFill/>
                    <a:ln>
                      <a:noFill/>
                    </a:ln>
                  </pic:spPr>
                </pic:pic>
              </a:graphicData>
            </a:graphic>
            <wp14:sizeRelH relativeFrom="page">
              <wp14:pctWidth>0</wp14:pctWidth>
            </wp14:sizeRelH>
            <wp14:sizeRelV relativeFrom="page">
              <wp14:pctHeight>0</wp14:pctHeight>
            </wp14:sizeRelV>
          </wp:anchor>
        </w:drawing>
      </w:r>
      <w:r w:rsidR="009540A8" w:rsidRPr="00F012F8">
        <w:rPr>
          <w:rFonts w:cs="Times New Roman"/>
        </w:rPr>
        <w:br w:type="page"/>
      </w:r>
    </w:p>
    <w:p w:rsidR="00540770" w:rsidRPr="00F62E2A" w:rsidRDefault="0001562A" w:rsidP="00F62E2A">
      <w:pPr>
        <w:pStyle w:val="Sansinterligne"/>
        <w:rPr>
          <w:rFonts w:cs="Times New Roman"/>
          <w:b/>
          <w:color w:val="548DD4" w:themeColor="text2" w:themeTint="99"/>
        </w:rPr>
      </w:pPr>
      <w:r w:rsidRPr="00F62E2A">
        <w:rPr>
          <w:rFonts w:cs="Times New Roman"/>
          <w:b/>
          <w:color w:val="548DD4" w:themeColor="text2" w:themeTint="99"/>
        </w:rPr>
        <w:t>CMC</w:t>
      </w:r>
      <w:r w:rsidR="00A35E51" w:rsidRPr="00F62E2A">
        <w:rPr>
          <w:rFonts w:cs="Times New Roman"/>
          <w:b/>
          <w:color w:val="548DD4" w:themeColor="text2" w:themeTint="99"/>
        </w:rPr>
        <w:t xml:space="preserve"> 54-1</w:t>
      </w:r>
    </w:p>
    <w:p w:rsidR="00A35E51" w:rsidRPr="00F012F8" w:rsidRDefault="00A35E51" w:rsidP="00A35E51">
      <w:pPr>
        <w:pStyle w:val="Titre3"/>
        <w:spacing w:before="0"/>
        <w:rPr>
          <w:rFonts w:ascii="Times New Roman" w:hAnsi="Times New Roman" w:cs="Times New Roman"/>
        </w:rPr>
      </w:pPr>
      <w:bookmarkStart w:id="154" w:name="_Toc480797291"/>
      <w:r w:rsidRPr="00F012F8">
        <w:rPr>
          <w:rFonts w:ascii="Times New Roman" w:hAnsi="Times New Roman" w:cs="Times New Roman"/>
        </w:rPr>
        <w:t>Masse médiastinale</w:t>
      </w:r>
      <w:bookmarkEnd w:id="154"/>
    </w:p>
    <w:p w:rsidR="00A35E51" w:rsidRPr="00F012F8" w:rsidRDefault="00A35E51" w:rsidP="00540770">
      <w:pPr>
        <w:rPr>
          <w:rFonts w:cs="Times New Roman"/>
        </w:rPr>
        <w:sectPr w:rsidR="00A35E51" w:rsidRPr="00F012F8" w:rsidSect="00A35E51">
          <w:type w:val="continuous"/>
          <w:pgSz w:w="12240" w:h="15840"/>
          <w:pgMar w:top="720" w:right="720" w:bottom="720" w:left="720" w:header="708" w:footer="708" w:gutter="0"/>
          <w:cols w:space="708"/>
          <w:docGrid w:linePitch="360"/>
        </w:sectPr>
      </w:pPr>
    </w:p>
    <w:tbl>
      <w:tblPr>
        <w:tblW w:w="5000" w:type="pct"/>
        <w:tblCellSpacing w:w="0" w:type="dxa"/>
        <w:tblCellMar>
          <w:left w:w="0" w:type="dxa"/>
          <w:right w:w="0" w:type="dxa"/>
        </w:tblCellMar>
        <w:tblLook w:val="04A0" w:firstRow="1" w:lastRow="0" w:firstColumn="1" w:lastColumn="0" w:noHBand="0" w:noVBand="1"/>
      </w:tblPr>
      <w:tblGrid>
        <w:gridCol w:w="10767"/>
        <w:gridCol w:w="33"/>
      </w:tblGrid>
      <w:tr w:rsidR="00A35E51" w:rsidRPr="00F012F8" w:rsidTr="00A35E51">
        <w:trPr>
          <w:tblCellSpacing w:w="0" w:type="dxa"/>
        </w:trPr>
        <w:tc>
          <w:tcPr>
            <w:tcW w:w="0" w:type="auto"/>
            <w:vAlign w:val="bottom"/>
            <w:hideMark/>
          </w:tcPr>
          <w:bookmarkStart w:id="155" w:name="_Toc474266712"/>
          <w:bookmarkStart w:id="156" w:name="_Toc474274467"/>
          <w:bookmarkStart w:id="157" w:name="_Toc474769834"/>
          <w:bookmarkStart w:id="158" w:name="_Toc475198221"/>
          <w:bookmarkStart w:id="159" w:name="_Toc475563846"/>
          <w:p w:rsidR="00A35E51" w:rsidRPr="00142FB5" w:rsidRDefault="004C2215" w:rsidP="00142FB5">
            <w:pPr>
              <w:pStyle w:val="Sansinterligne"/>
              <w:spacing w:before="240"/>
              <w:rPr>
                <w:b/>
              </w:rPr>
            </w:pPr>
            <w:r w:rsidRPr="00142FB5">
              <w:rPr>
                <w:b/>
                <w:noProof/>
                <w:lang w:eastAsia="fr-CA"/>
              </w:rPr>
              <mc:AlternateContent>
                <mc:Choice Requires="wps">
                  <w:drawing>
                    <wp:anchor distT="0" distB="0" distL="114300" distR="114300" simplePos="0" relativeHeight="251669504" behindDoc="0" locked="0" layoutInCell="1" allowOverlap="1" wp14:anchorId="45D8B68A" wp14:editId="25DFA9DF">
                      <wp:simplePos x="0" y="0"/>
                      <wp:positionH relativeFrom="column">
                        <wp:posOffset>-48895</wp:posOffset>
                      </wp:positionH>
                      <wp:positionV relativeFrom="paragraph">
                        <wp:posOffset>7620</wp:posOffset>
                      </wp:positionV>
                      <wp:extent cx="7103745" cy="2509520"/>
                      <wp:effectExtent l="0" t="0" r="20955" b="24130"/>
                      <wp:wrapNone/>
                      <wp:docPr id="5" name="Rectangle 5"/>
                      <wp:cNvGraphicFramePr/>
                      <a:graphic xmlns:a="http://schemas.openxmlformats.org/drawingml/2006/main">
                        <a:graphicData uri="http://schemas.microsoft.com/office/word/2010/wordprocessingShape">
                          <wps:wsp>
                            <wps:cNvSpPr/>
                            <wps:spPr>
                              <a:xfrm>
                                <a:off x="0" y="0"/>
                                <a:ext cx="7103745" cy="2509520"/>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5" o:spid="_x0000_s1026" style="position:absolute;margin-left:-3.85pt;margin-top:.6pt;width:559.35pt;height:197.6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" filled="f" strokecolor="black [1600]" strokeweight="2pt"/>
                  </w:pict>
                </mc:Fallback>
              </mc:AlternateContent>
            </w:r>
            <w:r w:rsidR="00A35E51" w:rsidRPr="00142FB5">
              <w:rPr>
                <w:b/>
              </w:rPr>
              <w:t>Objectifs principaux</w:t>
            </w:r>
            <w:bookmarkEnd w:id="155"/>
            <w:bookmarkEnd w:id="156"/>
            <w:bookmarkEnd w:id="157"/>
            <w:bookmarkEnd w:id="158"/>
            <w:bookmarkEnd w:id="159"/>
          </w:p>
        </w:tc>
        <w:tc>
          <w:tcPr>
            <w:tcW w:w="0" w:type="auto"/>
            <w:vAlign w:val="bottom"/>
            <w:hideMark/>
          </w:tcPr>
          <w:p w:rsidR="00A35E51" w:rsidRPr="00F012F8" w:rsidRDefault="00A35E51">
            <w:pPr>
              <w:jc w:val="right"/>
              <w:rPr>
                <w:rFonts w:cs="Times New Roman"/>
                <w:color w:val="000000"/>
                <w:sz w:val="18"/>
                <w:szCs w:val="18"/>
              </w:rPr>
            </w:pPr>
          </w:p>
        </w:tc>
      </w:tr>
    </w:tbl>
    <w:p w:rsidR="00A35E51" w:rsidRPr="00F012F8" w:rsidRDefault="00A35E51" w:rsidP="00A35E51">
      <w:pPr>
        <w:pStyle w:val="NormalWeb"/>
        <w:spacing w:after="0" w:afterAutospacing="0"/>
        <w:ind w:left="360"/>
        <w:rPr>
          <w:color w:val="000000"/>
          <w:sz w:val="18"/>
          <w:szCs w:val="18"/>
          <w:shd w:val="clear" w:color="auto" w:fill="FFFFFF"/>
        </w:rPr>
      </w:pPr>
      <w:r w:rsidRPr="00F012F8">
        <w:rPr>
          <w:color w:val="000000"/>
          <w:sz w:val="18"/>
          <w:szCs w:val="18"/>
          <w:shd w:val="clear" w:color="auto" w:fill="FFFFFF"/>
        </w:rPr>
        <w:t>Dans le cas d'un patient ayant une masse médiastinale, le candidat devra en diagnostiquer la cause, la gravité et les complications, et mettre en place un plan de prise en charge approprié. Il devra en particulier distinguer les causes d'une masse en fonction de son emplacement dans le médiastin.</w:t>
      </w:r>
    </w:p>
    <w:tbl>
      <w:tblPr>
        <w:tblW w:w="5000" w:type="pct"/>
        <w:tblCellSpacing w:w="0" w:type="dxa"/>
        <w:tblCellMar>
          <w:left w:w="0" w:type="dxa"/>
          <w:right w:w="0" w:type="dxa"/>
        </w:tblCellMar>
        <w:tblLook w:val="04A0" w:firstRow="1" w:lastRow="0" w:firstColumn="1" w:lastColumn="0" w:noHBand="0" w:noVBand="1"/>
      </w:tblPr>
      <w:tblGrid>
        <w:gridCol w:w="10754"/>
        <w:gridCol w:w="46"/>
      </w:tblGrid>
      <w:tr w:rsidR="00A35E51" w:rsidRPr="00F012F8" w:rsidTr="00A35E51">
        <w:trPr>
          <w:tblCellSpacing w:w="0" w:type="dxa"/>
        </w:trPr>
        <w:tc>
          <w:tcPr>
            <w:tcW w:w="0" w:type="auto"/>
            <w:vAlign w:val="bottom"/>
            <w:hideMark/>
          </w:tcPr>
          <w:p w:rsidR="00A35E51" w:rsidRPr="00142FB5" w:rsidRDefault="00A35E51" w:rsidP="00142FB5">
            <w:pPr>
              <w:pStyle w:val="Sansinterligne"/>
              <w:spacing w:before="240"/>
              <w:rPr>
                <w:b/>
                <w:sz w:val="16"/>
                <w:szCs w:val="16"/>
              </w:rPr>
            </w:pPr>
            <w:bookmarkStart w:id="160" w:name="_Toc474266713"/>
            <w:bookmarkStart w:id="161" w:name="_Toc474274468"/>
            <w:bookmarkStart w:id="162" w:name="_Toc474769835"/>
            <w:bookmarkStart w:id="163" w:name="_Toc475198222"/>
            <w:bookmarkStart w:id="164" w:name="_Toc475563847"/>
            <w:r w:rsidRPr="00142FB5">
              <w:rPr>
                <w:b/>
                <w:sz w:val="16"/>
                <w:szCs w:val="16"/>
              </w:rPr>
              <w:t>Objectifs spécifiques</w:t>
            </w:r>
            <w:bookmarkEnd w:id="160"/>
            <w:bookmarkEnd w:id="161"/>
            <w:bookmarkEnd w:id="162"/>
            <w:bookmarkEnd w:id="163"/>
            <w:bookmarkEnd w:id="164"/>
          </w:p>
        </w:tc>
        <w:tc>
          <w:tcPr>
            <w:tcW w:w="0" w:type="auto"/>
            <w:vAlign w:val="bottom"/>
            <w:hideMark/>
          </w:tcPr>
          <w:p w:rsidR="00A35E51" w:rsidRPr="00F012F8" w:rsidRDefault="00A35E51" w:rsidP="00A35E51">
            <w:pPr>
              <w:jc w:val="right"/>
              <w:rPr>
                <w:rFonts w:cs="Times New Roman"/>
                <w:color w:val="000000"/>
                <w:sz w:val="16"/>
                <w:szCs w:val="16"/>
              </w:rPr>
            </w:pPr>
          </w:p>
        </w:tc>
      </w:tr>
    </w:tbl>
    <w:p w:rsidR="00A35E51" w:rsidRPr="00F012F8" w:rsidRDefault="00A35E51" w:rsidP="00A35E51">
      <w:pPr>
        <w:pStyle w:val="NormalWeb"/>
        <w:shd w:val="clear" w:color="auto" w:fill="FFFFFF"/>
        <w:ind w:left="360"/>
        <w:rPr>
          <w:color w:val="000000"/>
          <w:sz w:val="16"/>
          <w:szCs w:val="16"/>
          <w:shd w:val="clear" w:color="auto" w:fill="FFFFFF"/>
        </w:rPr>
      </w:pPr>
      <w:r w:rsidRPr="00F012F8">
        <w:rPr>
          <w:color w:val="000000"/>
          <w:sz w:val="16"/>
          <w:szCs w:val="16"/>
          <w:shd w:val="clear" w:color="auto" w:fill="FFFFFF"/>
        </w:rPr>
        <w:t>Dans le cas d'un patient ayant une masse médiastinale, le candidat devra</w:t>
      </w:r>
    </w:p>
    <w:p w:rsidR="00A35E51" w:rsidRPr="00F012F8" w:rsidRDefault="00A35E51" w:rsidP="001A1752">
      <w:pPr>
        <w:numPr>
          <w:ilvl w:val="0"/>
          <w:numId w:val="55"/>
        </w:numPr>
        <w:shd w:val="clear" w:color="auto" w:fill="FFFFFF"/>
        <w:spacing w:before="100" w:beforeAutospacing="1" w:after="100" w:afterAutospacing="1" w:line="240" w:lineRule="auto"/>
        <w:rPr>
          <w:rFonts w:cs="Times New Roman"/>
          <w:color w:val="000000"/>
          <w:sz w:val="16"/>
          <w:szCs w:val="16"/>
          <w:shd w:val="clear" w:color="auto" w:fill="FFFFFF"/>
        </w:rPr>
      </w:pPr>
      <w:r w:rsidRPr="00F012F8">
        <w:rPr>
          <w:rFonts w:cs="Times New Roman"/>
          <w:color w:val="000000"/>
          <w:sz w:val="16"/>
          <w:szCs w:val="16"/>
          <w:shd w:val="clear" w:color="auto" w:fill="FFFFFF"/>
        </w:rPr>
        <w:t>énumérer et interpréter les constatations cliniques cruciales, notamment :</w:t>
      </w:r>
    </w:p>
    <w:p w:rsidR="00A35E51" w:rsidRPr="00F012F8" w:rsidRDefault="00A35E51" w:rsidP="001A1752">
      <w:pPr>
        <w:numPr>
          <w:ilvl w:val="1"/>
          <w:numId w:val="55"/>
        </w:numPr>
        <w:shd w:val="clear" w:color="auto" w:fill="FFFFFF"/>
        <w:spacing w:before="100" w:beforeAutospacing="1" w:after="100" w:afterAutospacing="1" w:line="240" w:lineRule="auto"/>
        <w:rPr>
          <w:rFonts w:cs="Times New Roman"/>
          <w:color w:val="000000"/>
          <w:sz w:val="16"/>
          <w:szCs w:val="16"/>
          <w:shd w:val="clear" w:color="auto" w:fill="FFFFFF"/>
        </w:rPr>
      </w:pPr>
      <w:r w:rsidRPr="00F012F8">
        <w:rPr>
          <w:rFonts w:cs="Times New Roman"/>
          <w:color w:val="000000"/>
          <w:sz w:val="16"/>
          <w:szCs w:val="16"/>
          <w:shd w:val="clear" w:color="auto" w:fill="FFFFFF"/>
        </w:rPr>
        <w:t>une anamnèse et un examen physique réalisés dans le but de déterminer la cause la plus probable de la masse;</w:t>
      </w:r>
    </w:p>
    <w:p w:rsidR="00A35E51" w:rsidRPr="00F012F8" w:rsidRDefault="00A35E51" w:rsidP="001A1752">
      <w:pPr>
        <w:numPr>
          <w:ilvl w:val="0"/>
          <w:numId w:val="55"/>
        </w:numPr>
        <w:shd w:val="clear" w:color="auto" w:fill="FFFFFF"/>
        <w:spacing w:before="100" w:beforeAutospacing="1" w:after="100" w:afterAutospacing="1" w:line="240" w:lineRule="auto"/>
        <w:rPr>
          <w:rFonts w:cs="Times New Roman"/>
          <w:color w:val="000000"/>
          <w:sz w:val="16"/>
          <w:szCs w:val="16"/>
          <w:shd w:val="clear" w:color="auto" w:fill="FFFFFF"/>
        </w:rPr>
      </w:pPr>
      <w:r w:rsidRPr="00F012F8">
        <w:rPr>
          <w:rFonts w:cs="Times New Roman"/>
          <w:color w:val="000000"/>
          <w:sz w:val="16"/>
          <w:szCs w:val="16"/>
          <w:shd w:val="clear" w:color="auto" w:fill="FFFFFF"/>
        </w:rPr>
        <w:t>énumérer et interpréter les examens pertinents, notamment :</w:t>
      </w:r>
    </w:p>
    <w:p w:rsidR="00A35E51" w:rsidRPr="00F012F8" w:rsidRDefault="00A35E51" w:rsidP="001A1752">
      <w:pPr>
        <w:numPr>
          <w:ilvl w:val="1"/>
          <w:numId w:val="55"/>
        </w:numPr>
        <w:shd w:val="clear" w:color="auto" w:fill="FFFFFF"/>
        <w:spacing w:before="100" w:beforeAutospacing="1" w:after="100" w:afterAutospacing="1" w:line="240" w:lineRule="auto"/>
        <w:rPr>
          <w:rFonts w:cs="Times New Roman"/>
          <w:color w:val="000000"/>
          <w:sz w:val="16"/>
          <w:szCs w:val="16"/>
          <w:shd w:val="clear" w:color="auto" w:fill="FFFFFF"/>
        </w:rPr>
      </w:pPr>
      <w:r w:rsidRPr="00F012F8">
        <w:rPr>
          <w:rFonts w:cs="Times New Roman"/>
          <w:color w:val="000000"/>
          <w:sz w:val="16"/>
          <w:szCs w:val="16"/>
          <w:shd w:val="clear" w:color="auto" w:fill="FFFFFF"/>
        </w:rPr>
        <w:t>les analyses de laboratoire et les examens radiologiques;</w:t>
      </w:r>
    </w:p>
    <w:p w:rsidR="00A35E51" w:rsidRPr="00F012F8" w:rsidRDefault="00A35E51" w:rsidP="001A1752">
      <w:pPr>
        <w:numPr>
          <w:ilvl w:val="0"/>
          <w:numId w:val="55"/>
        </w:numPr>
        <w:shd w:val="clear" w:color="auto" w:fill="FFFFFF"/>
        <w:spacing w:before="100" w:beforeAutospacing="1" w:after="100" w:afterAutospacing="1" w:line="240" w:lineRule="auto"/>
        <w:rPr>
          <w:rFonts w:cs="Times New Roman"/>
          <w:color w:val="000000"/>
          <w:sz w:val="16"/>
          <w:szCs w:val="16"/>
          <w:shd w:val="clear" w:color="auto" w:fill="FFFFFF"/>
        </w:rPr>
      </w:pPr>
      <w:r w:rsidRPr="00F012F8">
        <w:rPr>
          <w:rFonts w:cs="Times New Roman"/>
          <w:color w:val="000000"/>
          <w:sz w:val="16"/>
          <w:szCs w:val="16"/>
          <w:shd w:val="clear" w:color="auto" w:fill="FFFFFF"/>
        </w:rPr>
        <w:t>établir un plan efficace de prise en charge initiale, notamment :</w:t>
      </w:r>
    </w:p>
    <w:p w:rsidR="00A35E51" w:rsidRPr="00F012F8" w:rsidRDefault="00A35E51" w:rsidP="001A1752">
      <w:pPr>
        <w:numPr>
          <w:ilvl w:val="1"/>
          <w:numId w:val="55"/>
        </w:numPr>
        <w:shd w:val="clear" w:color="auto" w:fill="FFFFFF"/>
        <w:spacing w:before="100" w:beforeAutospacing="1" w:after="100" w:afterAutospacing="1" w:line="240" w:lineRule="auto"/>
        <w:rPr>
          <w:rFonts w:cs="Times New Roman"/>
          <w:color w:val="000000"/>
          <w:sz w:val="16"/>
          <w:szCs w:val="16"/>
          <w:shd w:val="clear" w:color="auto" w:fill="FFFFFF"/>
        </w:rPr>
      </w:pPr>
      <w:r w:rsidRPr="00F012F8">
        <w:rPr>
          <w:rFonts w:cs="Times New Roman"/>
          <w:color w:val="000000"/>
          <w:sz w:val="16"/>
          <w:szCs w:val="16"/>
          <w:shd w:val="clear" w:color="auto" w:fill="FFFFFF"/>
        </w:rPr>
        <w:t>déterminer si une investigation plus poussée est nécessaire;</w:t>
      </w:r>
    </w:p>
    <w:p w:rsidR="00A35E51" w:rsidRPr="00F012F8" w:rsidRDefault="00A35E51" w:rsidP="001A1752">
      <w:pPr>
        <w:numPr>
          <w:ilvl w:val="1"/>
          <w:numId w:val="55"/>
        </w:numPr>
        <w:shd w:val="clear" w:color="auto" w:fill="FFFFFF"/>
        <w:spacing w:before="100" w:beforeAutospacing="1" w:after="100" w:afterAutospacing="1" w:line="240" w:lineRule="auto"/>
        <w:rPr>
          <w:rFonts w:cs="Times New Roman"/>
          <w:color w:val="000000"/>
          <w:sz w:val="16"/>
          <w:szCs w:val="16"/>
          <w:shd w:val="clear" w:color="auto" w:fill="FFFFFF"/>
        </w:rPr>
      </w:pPr>
      <w:r w:rsidRPr="00F012F8">
        <w:rPr>
          <w:rFonts w:cs="Times New Roman"/>
          <w:color w:val="000000"/>
          <w:sz w:val="16"/>
          <w:szCs w:val="16"/>
          <w:shd w:val="clear" w:color="auto" w:fill="FFFFFF"/>
        </w:rPr>
        <w:t>adresser le patient s'il a besoin de tests diagnostiques et d'un traitement spécialisés;</w:t>
      </w:r>
    </w:p>
    <w:p w:rsidR="00A35E51" w:rsidRPr="00F012F8" w:rsidRDefault="00A35E51" w:rsidP="001A1752">
      <w:pPr>
        <w:numPr>
          <w:ilvl w:val="1"/>
          <w:numId w:val="55"/>
        </w:numPr>
        <w:shd w:val="clear" w:color="auto" w:fill="FFFFFF"/>
        <w:spacing w:before="100" w:beforeAutospacing="1" w:after="100" w:afterAutospacing="1" w:line="240" w:lineRule="auto"/>
        <w:rPr>
          <w:rFonts w:cs="Times New Roman"/>
          <w:color w:val="000000"/>
          <w:sz w:val="16"/>
          <w:szCs w:val="16"/>
          <w:shd w:val="clear" w:color="auto" w:fill="FFFFFF"/>
        </w:rPr>
      </w:pPr>
      <w:r w:rsidRPr="00F012F8">
        <w:rPr>
          <w:rFonts w:cs="Times New Roman"/>
          <w:color w:val="000000"/>
          <w:sz w:val="16"/>
          <w:szCs w:val="16"/>
          <w:shd w:val="clear" w:color="auto" w:fill="FFFFFF"/>
        </w:rPr>
        <w:t>conseiller et renseigner le patient à propos de la nature et de la portée des examens nécessaires.</w:t>
      </w:r>
    </w:p>
    <w:tbl>
      <w:tblPr>
        <w:tblW w:w="2934" w:type="pct"/>
        <w:tblCellSpacing w:w="0" w:type="dxa"/>
        <w:tblCellMar>
          <w:left w:w="0" w:type="dxa"/>
          <w:right w:w="0" w:type="dxa"/>
        </w:tblCellMar>
        <w:tblLook w:val="04A0" w:firstRow="1" w:lastRow="0" w:firstColumn="1" w:lastColumn="0" w:noHBand="0" w:noVBand="1"/>
      </w:tblPr>
      <w:tblGrid>
        <w:gridCol w:w="6337"/>
      </w:tblGrid>
      <w:tr w:rsidR="00B9265B" w:rsidRPr="00F012F8" w:rsidTr="00B9265B">
        <w:trPr>
          <w:tblCellSpacing w:w="0" w:type="dxa"/>
        </w:trPr>
        <w:tc>
          <w:tcPr>
            <w:tcW w:w="0" w:type="auto"/>
            <w:vAlign w:val="bottom"/>
            <w:hideMark/>
          </w:tcPr>
          <w:p w:rsidR="00B9265B" w:rsidRPr="005657E8" w:rsidRDefault="00B9265B" w:rsidP="005657E8">
            <w:pPr>
              <w:pStyle w:val="Sansinterligne"/>
              <w:rPr>
                <w:b/>
                <w:sz w:val="28"/>
                <w:szCs w:val="28"/>
              </w:rPr>
            </w:pPr>
            <w:bookmarkStart w:id="165" w:name="_Toc474266714"/>
            <w:bookmarkStart w:id="166" w:name="_Toc474274469"/>
            <w:bookmarkStart w:id="167" w:name="_Toc474769836"/>
            <w:bookmarkStart w:id="168" w:name="_Toc475198223"/>
            <w:r w:rsidRPr="005657E8">
              <w:rPr>
                <w:b/>
                <w:sz w:val="28"/>
                <w:szCs w:val="28"/>
              </w:rPr>
              <w:t>Étiologie</w:t>
            </w:r>
            <w:r w:rsidR="00515617" w:rsidRPr="005657E8">
              <w:rPr>
                <w:b/>
                <w:sz w:val="28"/>
                <w:szCs w:val="28"/>
              </w:rPr>
              <w:t>(s)</w:t>
            </w:r>
            <w:bookmarkEnd w:id="165"/>
            <w:bookmarkEnd w:id="166"/>
            <w:bookmarkEnd w:id="167"/>
            <w:bookmarkEnd w:id="168"/>
          </w:p>
        </w:tc>
      </w:tr>
    </w:tbl>
    <w:p w:rsidR="00B9265B" w:rsidRPr="00F012F8" w:rsidRDefault="00B9265B" w:rsidP="00B9265B">
      <w:pPr>
        <w:shd w:val="clear" w:color="auto" w:fill="FFFFFF"/>
        <w:spacing w:before="100" w:beforeAutospacing="1" w:after="100" w:afterAutospacing="1" w:line="240" w:lineRule="auto"/>
        <w:ind w:left="720"/>
        <w:rPr>
          <w:rFonts w:cs="Times New Roman"/>
          <w:color w:val="000000"/>
          <w:sz w:val="19"/>
          <w:szCs w:val="19"/>
          <w:shd w:val="clear" w:color="auto" w:fill="FFFFFF"/>
        </w:rPr>
      </w:pPr>
      <w:r w:rsidRPr="00F012F8">
        <w:rPr>
          <w:rFonts w:cs="Times New Roman"/>
          <w:noProof/>
          <w:lang w:eastAsia="fr-CA"/>
        </w:rPr>
        <w:drawing>
          <wp:anchor distT="0" distB="0" distL="114300" distR="114300" simplePos="0" relativeHeight="251670528" behindDoc="0" locked="0" layoutInCell="1" allowOverlap="1" wp14:anchorId="10848C68" wp14:editId="480B34B1">
            <wp:simplePos x="0" y="0"/>
            <wp:positionH relativeFrom="column">
              <wp:posOffset>3503979</wp:posOffset>
            </wp:positionH>
            <wp:positionV relativeFrom="paragraph">
              <wp:posOffset>334010</wp:posOffset>
            </wp:positionV>
            <wp:extent cx="3209192" cy="2272098"/>
            <wp:effectExtent l="0" t="0" r="0" b="0"/>
            <wp:wrapNone/>
            <wp:docPr id="6" name="Image 6" descr="Résultats de recherche d'images pour « division du médiasti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ésultats de recherche d'images pour « division du médiastin »"/>
                    <pic:cNvPicPr>
                      <a:picLocks noChangeAspect="1" noChangeArrowheads="1"/>
                    </pic:cNvPicPr>
                  </pic:nvPicPr>
                  <pic:blipFill rotWithShape="1">
                    <a:blip r:embed="rId178">
                      <a:extLst>
                        <a:ext uri="{28A0092B-C50C-407E-A947-70E740481C1C}">
                          <a14:useLocalDpi xmlns:a14="http://schemas.microsoft.com/office/drawing/2010/main" val="0"/>
                        </a:ext>
                      </a:extLst>
                    </a:blip>
                    <a:srcRect l="4197" t="9635" r="3618" b="3463"/>
                    <a:stretch/>
                  </pic:blipFill>
                  <pic:spPr bwMode="auto">
                    <a:xfrm>
                      <a:off x="0" y="0"/>
                      <a:ext cx="3209192" cy="227209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F012F8">
        <w:rPr>
          <w:rFonts w:cs="Times New Roman"/>
          <w:color w:val="000000"/>
          <w:sz w:val="19"/>
          <w:szCs w:val="19"/>
          <w:shd w:val="clear" w:color="auto" w:fill="FFFFFF"/>
        </w:rPr>
        <w:t xml:space="preserve">La répartition des causes par compartiment anatomique permet de bien classifier les causes et </w:t>
      </w:r>
      <w:r w:rsidR="00515617" w:rsidRPr="00F012F8">
        <w:rPr>
          <w:rFonts w:cs="Times New Roman"/>
          <w:color w:val="000000"/>
          <w:sz w:val="19"/>
          <w:szCs w:val="19"/>
          <w:shd w:val="clear" w:color="auto" w:fill="FFFFFF"/>
        </w:rPr>
        <w:t xml:space="preserve">de </w:t>
      </w:r>
      <w:r w:rsidRPr="00F012F8">
        <w:rPr>
          <w:rFonts w:cs="Times New Roman"/>
          <w:color w:val="000000"/>
          <w:sz w:val="19"/>
          <w:szCs w:val="19"/>
          <w:shd w:val="clear" w:color="auto" w:fill="FFFFFF"/>
        </w:rPr>
        <w:t>se rappeler les organes pouvant mener au développement d’une ou des masses médiastinales.</w:t>
      </w:r>
    </w:p>
    <w:p w:rsidR="00A35E51" w:rsidRPr="00F012F8" w:rsidRDefault="00A35E51" w:rsidP="00567EFA">
      <w:pPr>
        <w:shd w:val="clear" w:color="auto" w:fill="FFFFFF"/>
        <w:spacing w:after="0" w:line="240" w:lineRule="auto"/>
        <w:ind w:left="2124"/>
        <w:rPr>
          <w:rFonts w:cs="Times New Roman"/>
          <w:color w:val="000000"/>
          <w:sz w:val="19"/>
          <w:szCs w:val="19"/>
          <w:u w:val="single"/>
          <w:shd w:val="clear" w:color="auto" w:fill="FFFFFF"/>
        </w:rPr>
      </w:pPr>
      <w:r w:rsidRPr="00F012F8">
        <w:rPr>
          <w:rFonts w:cs="Times New Roman"/>
          <w:color w:val="000000"/>
          <w:sz w:val="19"/>
          <w:szCs w:val="19"/>
          <w:u w:val="single"/>
          <w:shd w:val="clear" w:color="auto" w:fill="FFFFFF"/>
        </w:rPr>
        <w:t>Médiastin antérieur</w:t>
      </w:r>
    </w:p>
    <w:p w:rsidR="00567EFA" w:rsidRPr="00F012F8" w:rsidRDefault="00567EFA" w:rsidP="00567EFA">
      <w:pPr>
        <w:shd w:val="clear" w:color="auto" w:fill="FFFFFF"/>
        <w:spacing w:after="0" w:line="240" w:lineRule="auto"/>
        <w:ind w:left="2124"/>
        <w:rPr>
          <w:rFonts w:cs="Times New Roman"/>
          <w:color w:val="000000"/>
          <w:sz w:val="19"/>
          <w:szCs w:val="19"/>
          <w:shd w:val="clear" w:color="auto" w:fill="FFFFFF"/>
        </w:rPr>
      </w:pPr>
    </w:p>
    <w:p w:rsidR="00A35E51" w:rsidRPr="00F012F8" w:rsidRDefault="00A35E51" w:rsidP="00567EFA">
      <w:pPr>
        <w:shd w:val="clear" w:color="auto" w:fill="FFFFFF"/>
        <w:spacing w:after="0" w:line="240" w:lineRule="auto"/>
        <w:ind w:left="2124"/>
        <w:rPr>
          <w:rFonts w:cs="Times New Roman"/>
          <w:color w:val="000000"/>
          <w:sz w:val="19"/>
          <w:szCs w:val="19"/>
          <w:u w:val="single"/>
          <w:shd w:val="clear" w:color="auto" w:fill="FFFFFF"/>
        </w:rPr>
      </w:pPr>
      <w:r w:rsidRPr="00F012F8">
        <w:rPr>
          <w:rFonts w:cs="Times New Roman"/>
          <w:color w:val="000000"/>
          <w:sz w:val="19"/>
          <w:szCs w:val="19"/>
          <w:u w:val="single"/>
          <w:shd w:val="clear" w:color="auto" w:fill="FFFFFF"/>
        </w:rPr>
        <w:t>Médiastin moyen</w:t>
      </w:r>
    </w:p>
    <w:p w:rsidR="00567EFA" w:rsidRPr="00F012F8" w:rsidRDefault="00567EFA" w:rsidP="00567EFA">
      <w:pPr>
        <w:shd w:val="clear" w:color="auto" w:fill="FFFFFF"/>
        <w:spacing w:after="0" w:line="240" w:lineRule="auto"/>
        <w:ind w:left="2124"/>
        <w:rPr>
          <w:rFonts w:cs="Times New Roman"/>
          <w:color w:val="000000"/>
          <w:sz w:val="19"/>
          <w:szCs w:val="19"/>
          <w:shd w:val="clear" w:color="auto" w:fill="FFFFFF"/>
        </w:rPr>
      </w:pPr>
    </w:p>
    <w:p w:rsidR="00A35E51" w:rsidRPr="00F012F8" w:rsidRDefault="00A35E51" w:rsidP="00567EFA">
      <w:pPr>
        <w:shd w:val="clear" w:color="auto" w:fill="FFFFFF"/>
        <w:spacing w:after="0" w:line="240" w:lineRule="auto"/>
        <w:ind w:left="2124"/>
        <w:rPr>
          <w:rFonts w:cs="Times New Roman"/>
          <w:color w:val="000000"/>
          <w:sz w:val="19"/>
          <w:szCs w:val="19"/>
          <w:u w:val="single"/>
          <w:shd w:val="clear" w:color="auto" w:fill="FFFFFF"/>
        </w:rPr>
      </w:pPr>
      <w:r w:rsidRPr="00F012F8">
        <w:rPr>
          <w:rFonts w:cs="Times New Roman"/>
          <w:color w:val="000000"/>
          <w:sz w:val="19"/>
          <w:szCs w:val="19"/>
          <w:u w:val="single"/>
          <w:shd w:val="clear" w:color="auto" w:fill="FFFFFF"/>
        </w:rPr>
        <w:t>Médiastin postérieur</w:t>
      </w:r>
    </w:p>
    <w:p w:rsidR="004C2215" w:rsidRPr="00F012F8" w:rsidRDefault="004C2215" w:rsidP="004A72CC">
      <w:pPr>
        <w:spacing w:after="0"/>
        <w:rPr>
          <w:rFonts w:cs="Times New Roman"/>
          <w:sz w:val="16"/>
          <w:szCs w:val="16"/>
        </w:rPr>
      </w:pPr>
    </w:p>
    <w:p w:rsidR="004C2215" w:rsidRPr="005657E8" w:rsidRDefault="004C2215" w:rsidP="00540770">
      <w:pPr>
        <w:rPr>
          <w:rFonts w:cs="Times New Roman"/>
          <w:b/>
          <w:sz w:val="28"/>
          <w:szCs w:val="28"/>
        </w:rPr>
      </w:pPr>
      <w:r w:rsidRPr="005657E8">
        <w:rPr>
          <w:rFonts w:cs="Times New Roman"/>
          <w:b/>
          <w:sz w:val="28"/>
          <w:szCs w:val="28"/>
        </w:rPr>
        <w:t>Diagnostic</w:t>
      </w:r>
    </w:p>
    <w:p w:rsidR="00B9265B" w:rsidRPr="00F012F8" w:rsidRDefault="00B9265B" w:rsidP="00540770">
      <w:pPr>
        <w:rPr>
          <w:rFonts w:cs="Times New Roman"/>
          <w:i/>
          <w:sz w:val="28"/>
          <w:szCs w:val="28"/>
        </w:rPr>
      </w:pPr>
      <w:r w:rsidRPr="00F012F8">
        <w:rPr>
          <w:rFonts w:cs="Times New Roman"/>
          <w:i/>
          <w:sz w:val="28"/>
          <w:szCs w:val="28"/>
        </w:rPr>
        <w:t>Médiastin antérieur </w:t>
      </w:r>
    </w:p>
    <w:p w:rsidR="00235A69" w:rsidRPr="00F012F8" w:rsidRDefault="00B9265B" w:rsidP="00C916D0">
      <w:pPr>
        <w:pStyle w:val="Paragraphedeliste"/>
        <w:numPr>
          <w:ilvl w:val="0"/>
          <w:numId w:val="56"/>
        </w:numPr>
        <w:rPr>
          <w:rFonts w:cs="Times New Roman"/>
        </w:rPr>
      </w:pPr>
      <w:r w:rsidRPr="00F012F8">
        <w:rPr>
          <w:rFonts w:cs="Times New Roman"/>
        </w:rPr>
        <w:t>4 T (thymome, thyroïde (goitre), tératome, tumeurs</w:t>
      </w:r>
      <w:r w:rsidR="00FE4531" w:rsidRPr="00F012F8">
        <w:rPr>
          <w:rFonts w:cs="Times New Roman"/>
        </w:rPr>
        <w:t>)</w:t>
      </w:r>
    </w:p>
    <w:p w:rsidR="00515617" w:rsidRPr="00F012F8" w:rsidRDefault="00235A69" w:rsidP="00C916D0">
      <w:pPr>
        <w:pStyle w:val="Paragraphedeliste"/>
        <w:numPr>
          <w:ilvl w:val="0"/>
          <w:numId w:val="56"/>
        </w:numPr>
        <w:rPr>
          <w:rFonts w:cs="Times New Roman"/>
          <w:i/>
        </w:rPr>
      </w:pPr>
      <w:r w:rsidRPr="00F012F8">
        <w:rPr>
          <w:rFonts w:cs="Times New Roman"/>
        </w:rPr>
        <w:t>Va du sternum jusqu’au péricarde</w:t>
      </w:r>
    </w:p>
    <w:tbl>
      <w:tblPr>
        <w:tblStyle w:val="Grilledutableau"/>
        <w:tblW w:w="0" w:type="auto"/>
        <w:tblLook w:val="04A0" w:firstRow="1" w:lastRow="0" w:firstColumn="1" w:lastColumn="0" w:noHBand="0" w:noVBand="1"/>
      </w:tblPr>
      <w:tblGrid>
        <w:gridCol w:w="1809"/>
        <w:gridCol w:w="3402"/>
        <w:gridCol w:w="2880"/>
        <w:gridCol w:w="2894"/>
      </w:tblGrid>
      <w:tr w:rsidR="00515617" w:rsidRPr="00F012F8" w:rsidTr="00BB27B9">
        <w:tc>
          <w:tcPr>
            <w:tcW w:w="1809" w:type="dxa"/>
            <w:shd w:val="clear" w:color="auto" w:fill="4F81BD" w:themeFill="accent1"/>
            <w:vAlign w:val="center"/>
          </w:tcPr>
          <w:p w:rsidR="00515617" w:rsidRPr="00F012F8" w:rsidRDefault="00515617" w:rsidP="0086153E">
            <w:pPr>
              <w:jc w:val="center"/>
              <w:rPr>
                <w:rFonts w:cs="Times New Roman"/>
                <w:i/>
                <w:sz w:val="20"/>
                <w:szCs w:val="20"/>
              </w:rPr>
            </w:pPr>
            <w:r w:rsidRPr="00F012F8">
              <w:rPr>
                <w:rFonts w:cs="Times New Roman"/>
                <w:i/>
                <w:sz w:val="20"/>
                <w:szCs w:val="20"/>
              </w:rPr>
              <w:t>Diagnostic</w:t>
            </w:r>
          </w:p>
        </w:tc>
        <w:tc>
          <w:tcPr>
            <w:tcW w:w="3402" w:type="dxa"/>
            <w:shd w:val="clear" w:color="auto" w:fill="4F81BD" w:themeFill="accent1"/>
          </w:tcPr>
          <w:p w:rsidR="00515617" w:rsidRPr="00F012F8" w:rsidRDefault="00515617" w:rsidP="0086153E">
            <w:pPr>
              <w:jc w:val="center"/>
              <w:rPr>
                <w:rFonts w:cs="Times New Roman"/>
                <w:i/>
                <w:sz w:val="20"/>
                <w:szCs w:val="20"/>
              </w:rPr>
            </w:pPr>
            <w:r w:rsidRPr="00F012F8">
              <w:rPr>
                <w:rFonts w:cs="Times New Roman"/>
                <w:i/>
                <w:sz w:val="20"/>
                <w:szCs w:val="20"/>
              </w:rPr>
              <w:t>Facteurs de risque -</w:t>
            </w:r>
            <w:r w:rsidR="00C96E37" w:rsidRPr="00F012F8">
              <w:rPr>
                <w:rFonts w:cs="Times New Roman"/>
                <w:i/>
                <w:sz w:val="20"/>
                <w:szCs w:val="20"/>
              </w:rPr>
              <w:t xml:space="preserve"> </w:t>
            </w:r>
            <w:r w:rsidRPr="00F012F8">
              <w:rPr>
                <w:rFonts w:cs="Times New Roman"/>
                <w:i/>
                <w:sz w:val="20"/>
                <w:szCs w:val="20"/>
              </w:rPr>
              <w:t>épidémiologie</w:t>
            </w:r>
          </w:p>
        </w:tc>
        <w:tc>
          <w:tcPr>
            <w:tcW w:w="2880" w:type="dxa"/>
            <w:shd w:val="clear" w:color="auto" w:fill="4F81BD" w:themeFill="accent1"/>
            <w:vAlign w:val="center"/>
          </w:tcPr>
          <w:p w:rsidR="00515617" w:rsidRPr="00F012F8" w:rsidRDefault="00515617" w:rsidP="0086153E">
            <w:pPr>
              <w:jc w:val="center"/>
              <w:rPr>
                <w:rFonts w:cs="Times New Roman"/>
                <w:i/>
                <w:sz w:val="20"/>
                <w:szCs w:val="20"/>
              </w:rPr>
            </w:pPr>
            <w:r w:rsidRPr="00F012F8">
              <w:rPr>
                <w:rFonts w:cs="Times New Roman"/>
                <w:i/>
                <w:sz w:val="20"/>
                <w:szCs w:val="20"/>
              </w:rPr>
              <w:t>Symptômes</w:t>
            </w:r>
          </w:p>
        </w:tc>
        <w:tc>
          <w:tcPr>
            <w:tcW w:w="2894" w:type="dxa"/>
            <w:shd w:val="clear" w:color="auto" w:fill="4F81BD" w:themeFill="accent1"/>
            <w:vAlign w:val="center"/>
          </w:tcPr>
          <w:p w:rsidR="00515617" w:rsidRPr="00F012F8" w:rsidRDefault="00515617" w:rsidP="0086153E">
            <w:pPr>
              <w:jc w:val="center"/>
              <w:rPr>
                <w:rFonts w:cs="Times New Roman"/>
                <w:i/>
                <w:sz w:val="20"/>
                <w:szCs w:val="20"/>
              </w:rPr>
            </w:pPr>
            <w:r w:rsidRPr="00F012F8">
              <w:rPr>
                <w:rFonts w:cs="Times New Roman"/>
                <w:i/>
                <w:sz w:val="20"/>
                <w:szCs w:val="20"/>
              </w:rPr>
              <w:t>Signes physiques</w:t>
            </w:r>
          </w:p>
        </w:tc>
      </w:tr>
      <w:tr w:rsidR="00515617" w:rsidRPr="00F012F8" w:rsidTr="00BB27B9">
        <w:tc>
          <w:tcPr>
            <w:tcW w:w="1809" w:type="dxa"/>
            <w:shd w:val="clear" w:color="auto" w:fill="95B3D7" w:themeFill="accent1" w:themeFillTint="99"/>
          </w:tcPr>
          <w:p w:rsidR="00515617" w:rsidRPr="00F012F8" w:rsidRDefault="00515617" w:rsidP="00540770">
            <w:pPr>
              <w:rPr>
                <w:rFonts w:cs="Times New Roman"/>
                <w:sz w:val="20"/>
                <w:szCs w:val="20"/>
              </w:rPr>
            </w:pPr>
            <w:r w:rsidRPr="00F012F8">
              <w:rPr>
                <w:rFonts w:cs="Times New Roman"/>
                <w:sz w:val="20"/>
                <w:szCs w:val="20"/>
              </w:rPr>
              <w:t>Thymome</w:t>
            </w:r>
          </w:p>
        </w:tc>
        <w:tc>
          <w:tcPr>
            <w:tcW w:w="3402" w:type="dxa"/>
          </w:tcPr>
          <w:p w:rsidR="00515617" w:rsidRPr="00F012F8" w:rsidRDefault="005B711E" w:rsidP="00C916D0">
            <w:pPr>
              <w:pStyle w:val="Paragraphedeliste"/>
              <w:numPr>
                <w:ilvl w:val="0"/>
                <w:numId w:val="57"/>
              </w:numPr>
              <w:rPr>
                <w:rFonts w:cs="Times New Roman"/>
                <w:sz w:val="20"/>
                <w:szCs w:val="20"/>
                <w:highlight w:val="yellow"/>
              </w:rPr>
            </w:pPr>
            <w:r w:rsidRPr="00F012F8">
              <w:rPr>
                <w:rFonts w:cs="Times New Roman"/>
                <w:sz w:val="20"/>
                <w:szCs w:val="20"/>
                <w:highlight w:val="yellow"/>
              </w:rPr>
              <w:t xml:space="preserve">20% des tumeurs médiastinales </w:t>
            </w:r>
          </w:p>
          <w:p w:rsidR="005B711E" w:rsidRPr="00F012F8" w:rsidRDefault="005B711E" w:rsidP="00C916D0">
            <w:pPr>
              <w:pStyle w:val="Paragraphedeliste"/>
              <w:numPr>
                <w:ilvl w:val="0"/>
                <w:numId w:val="57"/>
              </w:numPr>
              <w:rPr>
                <w:rFonts w:cs="Times New Roman"/>
                <w:sz w:val="20"/>
                <w:szCs w:val="20"/>
              </w:rPr>
            </w:pPr>
            <w:r w:rsidRPr="00F012F8">
              <w:rPr>
                <w:rFonts w:cs="Times New Roman"/>
                <w:sz w:val="20"/>
                <w:szCs w:val="20"/>
              </w:rPr>
              <w:t xml:space="preserve">Survient vers </w:t>
            </w:r>
            <w:r w:rsidRPr="00F012F8">
              <w:rPr>
                <w:rFonts w:cs="Times New Roman"/>
                <w:sz w:val="20"/>
                <w:szCs w:val="20"/>
                <w:highlight w:val="yellow"/>
              </w:rPr>
              <w:t>40-60 ans</w:t>
            </w:r>
          </w:p>
          <w:p w:rsidR="005B711E" w:rsidRPr="00F012F8" w:rsidRDefault="00AE5F7A" w:rsidP="00C916D0">
            <w:pPr>
              <w:pStyle w:val="Paragraphedeliste"/>
              <w:numPr>
                <w:ilvl w:val="0"/>
                <w:numId w:val="57"/>
              </w:numPr>
              <w:rPr>
                <w:rFonts w:cs="Times New Roman"/>
                <w:sz w:val="20"/>
                <w:szCs w:val="20"/>
              </w:rPr>
            </w:pPr>
            <w:hyperlink r:id="rId179" w:tooltip="♂" w:history="1">
              <w:r w:rsidR="005B711E" w:rsidRPr="00F012F8">
                <w:rPr>
                  <w:rStyle w:val="Lienhypertexte"/>
                  <w:rFonts w:cs="Times New Roman"/>
                  <w:color w:val="0B0080"/>
                  <w:sz w:val="20"/>
                  <w:szCs w:val="20"/>
                  <w:u w:val="none"/>
                  <w:shd w:val="clear" w:color="auto" w:fill="FFFFFF"/>
                </w:rPr>
                <w:t>♂</w:t>
              </w:r>
            </w:hyperlink>
            <w:r w:rsidR="005B711E" w:rsidRPr="00F012F8">
              <w:rPr>
                <w:rStyle w:val="Lienhypertexte"/>
                <w:rFonts w:cs="Times New Roman"/>
                <w:color w:val="0B0080"/>
                <w:sz w:val="20"/>
                <w:szCs w:val="20"/>
                <w:u w:val="none"/>
                <w:shd w:val="clear" w:color="auto" w:fill="FFFFFF"/>
              </w:rPr>
              <w:t>=</w:t>
            </w:r>
            <w:r w:rsidR="005B711E" w:rsidRPr="00F012F8">
              <w:rPr>
                <w:rFonts w:cs="Times New Roman"/>
                <w:bCs/>
                <w:color w:val="252525"/>
                <w:sz w:val="20"/>
                <w:szCs w:val="20"/>
                <w:shd w:val="clear" w:color="auto" w:fill="FFFFFF"/>
              </w:rPr>
              <w:t>♀</w:t>
            </w:r>
          </w:p>
          <w:p w:rsidR="005B711E" w:rsidRPr="00F012F8" w:rsidRDefault="005B711E" w:rsidP="00C916D0">
            <w:pPr>
              <w:pStyle w:val="Paragraphedeliste"/>
              <w:numPr>
                <w:ilvl w:val="0"/>
                <w:numId w:val="57"/>
              </w:numPr>
              <w:rPr>
                <w:rFonts w:cs="Times New Roman"/>
                <w:sz w:val="20"/>
                <w:szCs w:val="20"/>
              </w:rPr>
            </w:pPr>
            <w:r w:rsidRPr="00F012F8">
              <w:rPr>
                <w:rFonts w:cs="Times New Roman"/>
                <w:bCs/>
                <w:color w:val="252525"/>
                <w:sz w:val="20"/>
                <w:szCs w:val="20"/>
                <w:shd w:val="clear" w:color="auto" w:fill="FFFFFF"/>
              </w:rPr>
              <w:t>Associés avec myasthénie grave et syndromes paranéoplasiques</w:t>
            </w:r>
          </w:p>
          <w:p w:rsidR="00C96E37" w:rsidRPr="00F012F8" w:rsidRDefault="00C96E37" w:rsidP="00C916D0">
            <w:pPr>
              <w:pStyle w:val="Paragraphedeliste"/>
              <w:numPr>
                <w:ilvl w:val="0"/>
                <w:numId w:val="57"/>
              </w:numPr>
              <w:rPr>
                <w:rFonts w:cs="Times New Roman"/>
                <w:sz w:val="20"/>
                <w:szCs w:val="20"/>
              </w:rPr>
            </w:pPr>
            <w:r w:rsidRPr="00F012F8">
              <w:rPr>
                <w:rFonts w:cs="Times New Roman"/>
                <w:bCs/>
                <w:color w:val="252525"/>
                <w:sz w:val="20"/>
                <w:szCs w:val="20"/>
                <w:shd w:val="clear" w:color="auto" w:fill="FFFFFF"/>
              </w:rPr>
              <w:t>Souvent découvert de façon fortuite au TDM</w:t>
            </w:r>
          </w:p>
        </w:tc>
        <w:tc>
          <w:tcPr>
            <w:tcW w:w="2880" w:type="dxa"/>
          </w:tcPr>
          <w:p w:rsidR="00515617" w:rsidRPr="00F012F8" w:rsidRDefault="005B711E" w:rsidP="00C916D0">
            <w:pPr>
              <w:pStyle w:val="Paragraphedeliste"/>
              <w:numPr>
                <w:ilvl w:val="0"/>
                <w:numId w:val="57"/>
              </w:numPr>
              <w:rPr>
                <w:rFonts w:cs="Times New Roman"/>
                <w:sz w:val="20"/>
                <w:szCs w:val="20"/>
              </w:rPr>
            </w:pPr>
            <w:r w:rsidRPr="00F012F8">
              <w:rPr>
                <w:rFonts w:cs="Times New Roman"/>
                <w:sz w:val="20"/>
                <w:szCs w:val="20"/>
              </w:rPr>
              <w:t xml:space="preserve">Asymptomatique </w:t>
            </w:r>
          </w:p>
          <w:p w:rsidR="005B711E" w:rsidRPr="00F012F8" w:rsidRDefault="005B711E" w:rsidP="005B711E">
            <w:pPr>
              <w:jc w:val="center"/>
              <w:rPr>
                <w:rFonts w:cs="Times New Roman"/>
                <w:sz w:val="20"/>
                <w:szCs w:val="20"/>
              </w:rPr>
            </w:pPr>
            <w:r w:rsidRPr="00F012F8">
              <w:rPr>
                <w:rFonts w:cs="Times New Roman"/>
                <w:sz w:val="20"/>
                <w:szCs w:val="20"/>
              </w:rPr>
              <w:t>ou</w:t>
            </w:r>
          </w:p>
          <w:p w:rsidR="005B711E" w:rsidRPr="00F012F8" w:rsidRDefault="005B711E" w:rsidP="00C916D0">
            <w:pPr>
              <w:pStyle w:val="Paragraphedeliste"/>
              <w:numPr>
                <w:ilvl w:val="0"/>
                <w:numId w:val="59"/>
              </w:numPr>
              <w:rPr>
                <w:rFonts w:cs="Times New Roman"/>
                <w:sz w:val="20"/>
                <w:szCs w:val="20"/>
                <w:highlight w:val="yellow"/>
              </w:rPr>
            </w:pPr>
            <w:r w:rsidRPr="00F012F8">
              <w:rPr>
                <w:rFonts w:cs="Times New Roman"/>
                <w:sz w:val="20"/>
                <w:szCs w:val="20"/>
                <w:highlight w:val="yellow"/>
              </w:rPr>
              <w:t>Symptômes B ±</w:t>
            </w:r>
          </w:p>
          <w:p w:rsidR="005B711E" w:rsidRPr="00F012F8" w:rsidRDefault="005B711E" w:rsidP="00C916D0">
            <w:pPr>
              <w:pStyle w:val="Paragraphedeliste"/>
              <w:numPr>
                <w:ilvl w:val="0"/>
                <w:numId w:val="58"/>
              </w:numPr>
              <w:rPr>
                <w:rFonts w:cs="Times New Roman"/>
                <w:sz w:val="20"/>
                <w:szCs w:val="20"/>
              </w:rPr>
            </w:pPr>
            <w:r w:rsidRPr="00F012F8">
              <w:rPr>
                <w:rFonts w:cs="Times New Roman"/>
                <w:sz w:val="20"/>
                <w:szCs w:val="20"/>
                <w:highlight w:val="yellow"/>
              </w:rPr>
              <w:t>Sx compressifs locaux</w:t>
            </w:r>
            <w:r w:rsidRPr="00F012F8">
              <w:rPr>
                <w:rFonts w:cs="Times New Roman"/>
                <w:sz w:val="20"/>
                <w:szCs w:val="20"/>
              </w:rPr>
              <w:t xml:space="preserve"> (dyspnée, dysphagie, syndrome veine cave supérieure, Horner etc.)</w:t>
            </w:r>
          </w:p>
          <w:p w:rsidR="005B711E" w:rsidRPr="00F012F8" w:rsidRDefault="005B711E" w:rsidP="00C916D0">
            <w:pPr>
              <w:pStyle w:val="Paragraphedeliste"/>
              <w:numPr>
                <w:ilvl w:val="0"/>
                <w:numId w:val="58"/>
              </w:numPr>
              <w:rPr>
                <w:rFonts w:cs="Times New Roman"/>
                <w:sz w:val="20"/>
                <w:szCs w:val="20"/>
                <w:highlight w:val="yellow"/>
              </w:rPr>
            </w:pPr>
            <w:r w:rsidRPr="00F012F8">
              <w:rPr>
                <w:rFonts w:cs="Times New Roman"/>
                <w:sz w:val="20"/>
                <w:szCs w:val="20"/>
                <w:highlight w:val="yellow"/>
              </w:rPr>
              <w:t xml:space="preserve">Sx paranéoplasiques </w:t>
            </w:r>
          </w:p>
          <w:p w:rsidR="005B711E" w:rsidRPr="00F012F8" w:rsidRDefault="005B711E" w:rsidP="005B711E">
            <w:pPr>
              <w:ind w:left="360"/>
              <w:rPr>
                <w:rFonts w:cs="Times New Roman"/>
                <w:sz w:val="20"/>
                <w:szCs w:val="20"/>
              </w:rPr>
            </w:pPr>
            <w:r w:rsidRPr="00F012F8">
              <w:rPr>
                <w:rFonts w:cs="Times New Roman"/>
                <w:sz w:val="20"/>
                <w:szCs w:val="20"/>
              </w:rPr>
              <w:t>(ex : MS, aplasie érythrocytaire, hypogammaglobulinémie, TAMA, etc.)</w:t>
            </w:r>
          </w:p>
          <w:p w:rsidR="004318D3" w:rsidRPr="00F012F8" w:rsidRDefault="004318D3" w:rsidP="005B711E">
            <w:pPr>
              <w:ind w:left="360"/>
              <w:rPr>
                <w:rFonts w:cs="Times New Roman"/>
                <w:sz w:val="20"/>
                <w:szCs w:val="20"/>
              </w:rPr>
            </w:pPr>
          </w:p>
        </w:tc>
        <w:tc>
          <w:tcPr>
            <w:tcW w:w="2894" w:type="dxa"/>
          </w:tcPr>
          <w:p w:rsidR="00515617" w:rsidRPr="00F012F8" w:rsidRDefault="00AF092A" w:rsidP="00540770">
            <w:pPr>
              <w:rPr>
                <w:rFonts w:cs="Times New Roman"/>
                <w:sz w:val="20"/>
                <w:szCs w:val="20"/>
              </w:rPr>
            </w:pPr>
            <w:r w:rsidRPr="00F012F8">
              <w:rPr>
                <w:rFonts w:cs="Times New Roman"/>
                <w:sz w:val="20"/>
                <w:szCs w:val="20"/>
                <w:u w:val="single"/>
              </w:rPr>
              <w:t>Selon la présentation</w:t>
            </w:r>
            <w:r w:rsidRPr="00F012F8">
              <w:rPr>
                <w:rFonts w:cs="Times New Roman"/>
                <w:sz w:val="20"/>
                <w:szCs w:val="20"/>
              </w:rPr>
              <w:t> :</w:t>
            </w:r>
          </w:p>
          <w:p w:rsidR="00AF092A" w:rsidRPr="00F012F8" w:rsidRDefault="00AF092A" w:rsidP="00540770">
            <w:pPr>
              <w:rPr>
                <w:rFonts w:cs="Times New Roman"/>
                <w:sz w:val="20"/>
                <w:szCs w:val="20"/>
              </w:rPr>
            </w:pPr>
          </w:p>
          <w:p w:rsidR="00AF092A" w:rsidRPr="00F012F8" w:rsidRDefault="00AF092A" w:rsidP="00C916D0">
            <w:pPr>
              <w:pStyle w:val="Paragraphedeliste"/>
              <w:numPr>
                <w:ilvl w:val="0"/>
                <w:numId w:val="60"/>
              </w:numPr>
              <w:ind w:left="360"/>
              <w:rPr>
                <w:rFonts w:cs="Times New Roman"/>
                <w:sz w:val="20"/>
                <w:szCs w:val="20"/>
              </w:rPr>
            </w:pPr>
            <w:r w:rsidRPr="00F012F8">
              <w:rPr>
                <w:rFonts w:cs="Times New Roman"/>
                <w:sz w:val="20"/>
                <w:szCs w:val="20"/>
              </w:rPr>
              <w:t xml:space="preserve">Diplopie, </w:t>
            </w:r>
            <w:r w:rsidR="00C96E37" w:rsidRPr="00F012F8">
              <w:rPr>
                <w:rFonts w:cs="Times New Roman"/>
                <w:sz w:val="20"/>
                <w:szCs w:val="20"/>
              </w:rPr>
              <w:t>faiblesse musc</w:t>
            </w:r>
            <w:r w:rsidR="00F3673B">
              <w:rPr>
                <w:rFonts w:cs="Times New Roman"/>
                <w:sz w:val="20"/>
                <w:szCs w:val="20"/>
              </w:rPr>
              <w:t>ulaire</w:t>
            </w:r>
          </w:p>
          <w:p w:rsidR="00C96E37" w:rsidRPr="00F012F8" w:rsidRDefault="00C96E37" w:rsidP="00C96E37">
            <w:pPr>
              <w:rPr>
                <w:rFonts w:cs="Times New Roman"/>
                <w:sz w:val="20"/>
                <w:szCs w:val="20"/>
              </w:rPr>
            </w:pPr>
          </w:p>
          <w:p w:rsidR="00C96E37" w:rsidRPr="00F012F8" w:rsidRDefault="00C96E37" w:rsidP="00C916D0">
            <w:pPr>
              <w:pStyle w:val="Paragraphedeliste"/>
              <w:numPr>
                <w:ilvl w:val="0"/>
                <w:numId w:val="60"/>
              </w:numPr>
              <w:ind w:left="360"/>
              <w:rPr>
                <w:rFonts w:cs="Times New Roman"/>
                <w:sz w:val="20"/>
                <w:szCs w:val="20"/>
              </w:rPr>
            </w:pPr>
            <w:r w:rsidRPr="00F012F8">
              <w:rPr>
                <w:rFonts w:cs="Times New Roman"/>
                <w:sz w:val="20"/>
                <w:szCs w:val="20"/>
              </w:rPr>
              <w:t>Mydriase, ptose</w:t>
            </w:r>
          </w:p>
          <w:p w:rsidR="00C96E37" w:rsidRPr="00F012F8" w:rsidRDefault="00C96E37" w:rsidP="00C96E37">
            <w:pPr>
              <w:rPr>
                <w:rFonts w:cs="Times New Roman"/>
                <w:sz w:val="20"/>
                <w:szCs w:val="20"/>
              </w:rPr>
            </w:pPr>
          </w:p>
          <w:p w:rsidR="00C96E37" w:rsidRPr="00F012F8" w:rsidRDefault="00C96E37" w:rsidP="00C916D0">
            <w:pPr>
              <w:pStyle w:val="Paragraphedeliste"/>
              <w:numPr>
                <w:ilvl w:val="0"/>
                <w:numId w:val="60"/>
              </w:numPr>
              <w:ind w:left="360"/>
              <w:rPr>
                <w:rFonts w:cs="Times New Roman"/>
                <w:sz w:val="20"/>
                <w:szCs w:val="20"/>
              </w:rPr>
            </w:pPr>
            <w:r w:rsidRPr="00F012F8">
              <w:rPr>
                <w:rFonts w:cs="Times New Roman"/>
                <w:sz w:val="20"/>
                <w:szCs w:val="20"/>
              </w:rPr>
              <w:t>Lymphadénopathies</w:t>
            </w:r>
          </w:p>
        </w:tc>
      </w:tr>
      <w:tr w:rsidR="00515617" w:rsidRPr="00F012F8" w:rsidTr="00BB27B9">
        <w:tc>
          <w:tcPr>
            <w:tcW w:w="1809" w:type="dxa"/>
            <w:shd w:val="clear" w:color="auto" w:fill="95B3D7" w:themeFill="accent1" w:themeFillTint="99"/>
          </w:tcPr>
          <w:p w:rsidR="00515617" w:rsidRPr="00F012F8" w:rsidRDefault="00515617" w:rsidP="00540770">
            <w:pPr>
              <w:rPr>
                <w:rFonts w:cs="Times New Roman"/>
                <w:sz w:val="20"/>
                <w:szCs w:val="20"/>
              </w:rPr>
            </w:pPr>
            <w:r w:rsidRPr="00F012F8">
              <w:rPr>
                <w:rFonts w:cs="Times New Roman"/>
                <w:sz w:val="20"/>
                <w:szCs w:val="20"/>
              </w:rPr>
              <w:t>Goitre thyroïdien</w:t>
            </w:r>
          </w:p>
        </w:tc>
        <w:tc>
          <w:tcPr>
            <w:tcW w:w="3402" w:type="dxa"/>
          </w:tcPr>
          <w:p w:rsidR="00515617" w:rsidRPr="00F012F8" w:rsidRDefault="008D15FE" w:rsidP="00540770">
            <w:pPr>
              <w:rPr>
                <w:rFonts w:cs="Times New Roman"/>
                <w:sz w:val="20"/>
                <w:szCs w:val="20"/>
              </w:rPr>
            </w:pPr>
            <w:r w:rsidRPr="00F012F8">
              <w:rPr>
                <w:rFonts w:cs="Times New Roman"/>
                <w:sz w:val="20"/>
                <w:szCs w:val="20"/>
              </w:rPr>
              <w:t>Plusieurs causes (Hashimoto, Graves, etc.)</w:t>
            </w:r>
          </w:p>
        </w:tc>
        <w:tc>
          <w:tcPr>
            <w:tcW w:w="2880" w:type="dxa"/>
          </w:tcPr>
          <w:p w:rsidR="00515617" w:rsidRPr="00F012F8" w:rsidRDefault="008D15FE" w:rsidP="00C916D0">
            <w:pPr>
              <w:pStyle w:val="Paragraphedeliste"/>
              <w:numPr>
                <w:ilvl w:val="0"/>
                <w:numId w:val="64"/>
              </w:numPr>
              <w:rPr>
                <w:rFonts w:cs="Times New Roman"/>
                <w:sz w:val="20"/>
                <w:szCs w:val="20"/>
              </w:rPr>
            </w:pPr>
            <w:r w:rsidRPr="00F012F8">
              <w:rPr>
                <w:rFonts w:cs="Times New Roman"/>
                <w:sz w:val="20"/>
                <w:szCs w:val="20"/>
              </w:rPr>
              <w:t>Sx d’hypothyroïdie si  thyroïdite d’Hashimoto</w:t>
            </w:r>
          </w:p>
          <w:p w:rsidR="008D15FE" w:rsidRPr="00F012F8" w:rsidRDefault="008D15FE" w:rsidP="00C916D0">
            <w:pPr>
              <w:pStyle w:val="Paragraphedeliste"/>
              <w:numPr>
                <w:ilvl w:val="0"/>
                <w:numId w:val="64"/>
              </w:numPr>
              <w:rPr>
                <w:rFonts w:cs="Times New Roman"/>
                <w:sz w:val="20"/>
                <w:szCs w:val="20"/>
              </w:rPr>
            </w:pPr>
            <w:r w:rsidRPr="00F012F8">
              <w:rPr>
                <w:rFonts w:cs="Times New Roman"/>
                <w:sz w:val="20"/>
                <w:szCs w:val="20"/>
              </w:rPr>
              <w:t>Sx d’hyperthyroïdie si Maladie de Graves</w:t>
            </w:r>
          </w:p>
          <w:p w:rsidR="008D15FE" w:rsidRPr="00F012F8" w:rsidRDefault="008D15FE" w:rsidP="00C916D0">
            <w:pPr>
              <w:pStyle w:val="Paragraphedeliste"/>
              <w:numPr>
                <w:ilvl w:val="0"/>
                <w:numId w:val="64"/>
              </w:numPr>
              <w:rPr>
                <w:rFonts w:cs="Times New Roman"/>
                <w:sz w:val="20"/>
                <w:szCs w:val="20"/>
              </w:rPr>
            </w:pPr>
            <w:r w:rsidRPr="00F012F8">
              <w:rPr>
                <w:rFonts w:cs="Times New Roman"/>
                <w:sz w:val="20"/>
                <w:szCs w:val="20"/>
              </w:rPr>
              <w:t>Symptômes compressifs (voix rauque)</w:t>
            </w:r>
          </w:p>
          <w:p w:rsidR="008D15FE" w:rsidRPr="00F012F8" w:rsidRDefault="008D15FE" w:rsidP="00540770">
            <w:pPr>
              <w:rPr>
                <w:rFonts w:cs="Times New Roman"/>
                <w:sz w:val="20"/>
                <w:szCs w:val="20"/>
              </w:rPr>
            </w:pPr>
          </w:p>
        </w:tc>
        <w:tc>
          <w:tcPr>
            <w:tcW w:w="2894" w:type="dxa"/>
          </w:tcPr>
          <w:p w:rsidR="008D15FE" w:rsidRPr="00F012F8" w:rsidRDefault="008D15FE" w:rsidP="00C916D0">
            <w:pPr>
              <w:pStyle w:val="Paragraphedeliste"/>
              <w:numPr>
                <w:ilvl w:val="0"/>
                <w:numId w:val="63"/>
              </w:numPr>
              <w:rPr>
                <w:rFonts w:cs="Times New Roman"/>
                <w:sz w:val="20"/>
                <w:szCs w:val="20"/>
              </w:rPr>
            </w:pPr>
            <w:r w:rsidRPr="00F012F8">
              <w:rPr>
                <w:rFonts w:cs="Times New Roman"/>
                <w:sz w:val="20"/>
                <w:szCs w:val="20"/>
              </w:rPr>
              <w:t>Goitre cervical (homogène, nodulé, etc.)</w:t>
            </w:r>
          </w:p>
          <w:p w:rsidR="008D15FE" w:rsidRPr="00F012F8" w:rsidRDefault="008D15FE" w:rsidP="00C916D0">
            <w:pPr>
              <w:pStyle w:val="Paragraphedeliste"/>
              <w:numPr>
                <w:ilvl w:val="0"/>
                <w:numId w:val="63"/>
              </w:numPr>
              <w:rPr>
                <w:rFonts w:cs="Times New Roman"/>
                <w:sz w:val="20"/>
                <w:szCs w:val="20"/>
              </w:rPr>
            </w:pPr>
            <w:r w:rsidRPr="00F012F8">
              <w:rPr>
                <w:rFonts w:cs="Times New Roman"/>
                <w:sz w:val="20"/>
                <w:szCs w:val="20"/>
              </w:rPr>
              <w:t>Peau sèche/moite, froide/chaude</w:t>
            </w:r>
          </w:p>
          <w:p w:rsidR="008D15FE" w:rsidRPr="00F012F8" w:rsidRDefault="008D15FE" w:rsidP="00C916D0">
            <w:pPr>
              <w:pStyle w:val="Paragraphedeliste"/>
              <w:numPr>
                <w:ilvl w:val="0"/>
                <w:numId w:val="63"/>
              </w:numPr>
              <w:rPr>
                <w:rFonts w:cs="Times New Roman"/>
                <w:sz w:val="20"/>
                <w:szCs w:val="20"/>
              </w:rPr>
            </w:pPr>
            <w:r w:rsidRPr="00F012F8">
              <w:rPr>
                <w:rFonts w:cs="Times New Roman"/>
                <w:sz w:val="20"/>
                <w:szCs w:val="20"/>
              </w:rPr>
              <w:t>Cheveux cassants/fins</w:t>
            </w:r>
          </w:p>
          <w:p w:rsidR="008D15FE" w:rsidRPr="00F012F8" w:rsidRDefault="008D15FE" w:rsidP="00540770">
            <w:pPr>
              <w:rPr>
                <w:rFonts w:cs="Times New Roman"/>
                <w:sz w:val="20"/>
                <w:szCs w:val="20"/>
              </w:rPr>
            </w:pPr>
          </w:p>
          <w:p w:rsidR="008D15FE" w:rsidRPr="00F012F8" w:rsidRDefault="008D15FE" w:rsidP="00540770">
            <w:pPr>
              <w:rPr>
                <w:rFonts w:cs="Times New Roman"/>
                <w:sz w:val="20"/>
                <w:szCs w:val="20"/>
              </w:rPr>
            </w:pPr>
            <w:r w:rsidRPr="00F012F8">
              <w:rPr>
                <w:rFonts w:cs="Times New Roman"/>
                <w:sz w:val="20"/>
                <w:szCs w:val="20"/>
              </w:rPr>
              <w:t>Si compressif : stridor</w:t>
            </w:r>
          </w:p>
        </w:tc>
      </w:tr>
      <w:tr w:rsidR="00515617" w:rsidRPr="00F012F8" w:rsidTr="00BB27B9">
        <w:tc>
          <w:tcPr>
            <w:tcW w:w="1809" w:type="dxa"/>
            <w:shd w:val="clear" w:color="auto" w:fill="95B3D7" w:themeFill="accent1" w:themeFillTint="99"/>
          </w:tcPr>
          <w:p w:rsidR="00515617" w:rsidRPr="00F012F8" w:rsidRDefault="00515617" w:rsidP="00540770">
            <w:pPr>
              <w:rPr>
                <w:rFonts w:cs="Times New Roman"/>
                <w:sz w:val="20"/>
                <w:szCs w:val="20"/>
              </w:rPr>
            </w:pPr>
            <w:r w:rsidRPr="00F012F8">
              <w:rPr>
                <w:rFonts w:cs="Times New Roman"/>
                <w:sz w:val="20"/>
                <w:szCs w:val="20"/>
              </w:rPr>
              <w:t>Lymphome de Hodgkin</w:t>
            </w:r>
          </w:p>
        </w:tc>
        <w:tc>
          <w:tcPr>
            <w:tcW w:w="3402" w:type="dxa"/>
          </w:tcPr>
          <w:p w:rsidR="004318D3" w:rsidRPr="00F012F8" w:rsidRDefault="00AE5F7A" w:rsidP="00C916D0">
            <w:pPr>
              <w:pStyle w:val="Paragraphedeliste"/>
              <w:numPr>
                <w:ilvl w:val="0"/>
                <w:numId w:val="57"/>
              </w:numPr>
              <w:rPr>
                <w:rFonts w:cs="Times New Roman"/>
                <w:sz w:val="20"/>
                <w:szCs w:val="20"/>
                <w:highlight w:val="yellow"/>
              </w:rPr>
            </w:pPr>
            <w:hyperlink r:id="rId180" w:tooltip="♂" w:history="1">
              <w:r w:rsidR="004318D3" w:rsidRPr="00F012F8">
                <w:rPr>
                  <w:rStyle w:val="Lienhypertexte"/>
                  <w:rFonts w:cs="Times New Roman"/>
                  <w:color w:val="0B0080"/>
                  <w:sz w:val="20"/>
                  <w:szCs w:val="20"/>
                  <w:highlight w:val="yellow"/>
                  <w:u w:val="none"/>
                  <w:shd w:val="clear" w:color="auto" w:fill="FFFFFF"/>
                </w:rPr>
                <w:t>♂</w:t>
              </w:r>
            </w:hyperlink>
            <w:r w:rsidR="004318D3" w:rsidRPr="00F012F8">
              <w:rPr>
                <w:rStyle w:val="Lienhypertexte"/>
                <w:rFonts w:cs="Times New Roman"/>
                <w:color w:val="0B0080"/>
                <w:sz w:val="20"/>
                <w:szCs w:val="20"/>
                <w:highlight w:val="yellow"/>
                <w:u w:val="none"/>
                <w:shd w:val="clear" w:color="auto" w:fill="FFFFFF"/>
              </w:rPr>
              <w:t>&gt;</w:t>
            </w:r>
            <w:r w:rsidR="004318D3" w:rsidRPr="00F012F8">
              <w:rPr>
                <w:rFonts w:cs="Times New Roman"/>
                <w:bCs/>
                <w:color w:val="252525"/>
                <w:sz w:val="20"/>
                <w:szCs w:val="20"/>
                <w:highlight w:val="yellow"/>
                <w:shd w:val="clear" w:color="auto" w:fill="FFFFFF"/>
              </w:rPr>
              <w:t>♀</w:t>
            </w:r>
          </w:p>
          <w:p w:rsidR="008C51A4" w:rsidRPr="00F012F8" w:rsidRDefault="008C51A4" w:rsidP="00C916D0">
            <w:pPr>
              <w:pStyle w:val="Paragraphedeliste"/>
              <w:numPr>
                <w:ilvl w:val="0"/>
                <w:numId w:val="57"/>
              </w:numPr>
              <w:rPr>
                <w:rFonts w:cs="Times New Roman"/>
                <w:sz w:val="20"/>
                <w:szCs w:val="20"/>
                <w:highlight w:val="yellow"/>
              </w:rPr>
            </w:pPr>
            <w:r w:rsidRPr="00F012F8">
              <w:rPr>
                <w:rFonts w:cs="Times New Roman"/>
                <w:bCs/>
                <w:color w:val="252525"/>
                <w:sz w:val="20"/>
                <w:szCs w:val="20"/>
                <w:highlight w:val="yellow"/>
                <w:shd w:val="clear" w:color="auto" w:fill="FFFFFF"/>
              </w:rPr>
              <w:t>Pic d’incidence entre 20-35 ans</w:t>
            </w:r>
          </w:p>
          <w:p w:rsidR="000616F6" w:rsidRPr="00F012F8" w:rsidRDefault="000616F6" w:rsidP="00C916D0">
            <w:pPr>
              <w:pStyle w:val="Paragraphedeliste"/>
              <w:numPr>
                <w:ilvl w:val="0"/>
                <w:numId w:val="57"/>
              </w:numPr>
              <w:rPr>
                <w:rFonts w:cs="Times New Roman"/>
                <w:sz w:val="20"/>
                <w:szCs w:val="20"/>
                <w:highlight w:val="yellow"/>
              </w:rPr>
            </w:pPr>
            <w:r w:rsidRPr="00F012F8">
              <w:rPr>
                <w:rFonts w:cs="Times New Roman"/>
                <w:bCs/>
                <w:color w:val="252525"/>
                <w:sz w:val="20"/>
                <w:szCs w:val="20"/>
                <w:highlight w:val="yellow"/>
                <w:shd w:val="clear" w:color="auto" w:fill="FFFFFF"/>
              </w:rPr>
              <w:t>Lymphocytes B</w:t>
            </w:r>
          </w:p>
          <w:p w:rsidR="00072D8F" w:rsidRPr="00F012F8" w:rsidRDefault="00072D8F" w:rsidP="00C916D0">
            <w:pPr>
              <w:pStyle w:val="Paragraphedeliste"/>
              <w:numPr>
                <w:ilvl w:val="0"/>
                <w:numId w:val="57"/>
              </w:numPr>
              <w:rPr>
                <w:rFonts w:cs="Times New Roman"/>
                <w:sz w:val="20"/>
                <w:szCs w:val="20"/>
              </w:rPr>
            </w:pPr>
            <w:r w:rsidRPr="00F012F8">
              <w:rPr>
                <w:rFonts w:cs="Times New Roman"/>
                <w:bCs/>
                <w:color w:val="252525"/>
                <w:sz w:val="20"/>
                <w:szCs w:val="20"/>
                <w:shd w:val="clear" w:color="auto" w:fill="FFFFFF"/>
              </w:rPr>
              <w:t>Survie moyenne à 5 ans de 85%</w:t>
            </w:r>
          </w:p>
          <w:p w:rsidR="004318D3" w:rsidRPr="00F012F8" w:rsidRDefault="004318D3" w:rsidP="00C916D0">
            <w:pPr>
              <w:pStyle w:val="Paragraphedeliste"/>
              <w:numPr>
                <w:ilvl w:val="0"/>
                <w:numId w:val="57"/>
              </w:numPr>
              <w:rPr>
                <w:rFonts w:cs="Times New Roman"/>
                <w:sz w:val="20"/>
                <w:szCs w:val="20"/>
              </w:rPr>
            </w:pPr>
            <w:r w:rsidRPr="00F012F8">
              <w:rPr>
                <w:rFonts w:cs="Times New Roman"/>
                <w:bCs/>
                <w:color w:val="252525"/>
                <w:sz w:val="20"/>
                <w:szCs w:val="20"/>
                <w:shd w:val="clear" w:color="auto" w:fill="FFFFFF"/>
              </w:rPr>
              <w:t>Forme classique</w:t>
            </w:r>
          </w:p>
          <w:p w:rsidR="004318D3" w:rsidRPr="00F012F8" w:rsidRDefault="004318D3" w:rsidP="00C916D0">
            <w:pPr>
              <w:pStyle w:val="Paragraphedeliste"/>
              <w:numPr>
                <w:ilvl w:val="1"/>
                <w:numId w:val="57"/>
              </w:numPr>
              <w:rPr>
                <w:rFonts w:cs="Times New Roman"/>
                <w:sz w:val="20"/>
                <w:szCs w:val="20"/>
              </w:rPr>
            </w:pPr>
            <w:r w:rsidRPr="00F012F8">
              <w:rPr>
                <w:rFonts w:cs="Times New Roman"/>
                <w:bCs/>
                <w:color w:val="252525"/>
                <w:sz w:val="20"/>
                <w:szCs w:val="20"/>
                <w:shd w:val="clear" w:color="auto" w:fill="FFFFFF"/>
              </w:rPr>
              <w:t xml:space="preserve">Riche en lymphocytes </w:t>
            </w:r>
          </w:p>
          <w:p w:rsidR="004318D3" w:rsidRPr="00F012F8" w:rsidRDefault="004318D3" w:rsidP="00C916D0">
            <w:pPr>
              <w:pStyle w:val="Paragraphedeliste"/>
              <w:numPr>
                <w:ilvl w:val="1"/>
                <w:numId w:val="57"/>
              </w:numPr>
              <w:rPr>
                <w:rFonts w:cs="Times New Roman"/>
                <w:sz w:val="20"/>
                <w:szCs w:val="20"/>
              </w:rPr>
            </w:pPr>
            <w:r w:rsidRPr="00F012F8">
              <w:rPr>
                <w:rFonts w:cs="Times New Roman"/>
                <w:bCs/>
                <w:color w:val="252525"/>
                <w:sz w:val="20"/>
                <w:szCs w:val="20"/>
                <w:shd w:val="clear" w:color="auto" w:fill="FFFFFF"/>
              </w:rPr>
              <w:t>Sclérose nodulaire</w:t>
            </w:r>
          </w:p>
          <w:p w:rsidR="004318D3" w:rsidRPr="00F012F8" w:rsidRDefault="004318D3" w:rsidP="00C916D0">
            <w:pPr>
              <w:pStyle w:val="Paragraphedeliste"/>
              <w:numPr>
                <w:ilvl w:val="1"/>
                <w:numId w:val="57"/>
              </w:numPr>
              <w:rPr>
                <w:rFonts w:cs="Times New Roman"/>
                <w:sz w:val="20"/>
                <w:szCs w:val="20"/>
              </w:rPr>
            </w:pPr>
            <w:r w:rsidRPr="00F012F8">
              <w:rPr>
                <w:rFonts w:cs="Times New Roman"/>
                <w:bCs/>
                <w:color w:val="252525"/>
                <w:sz w:val="20"/>
                <w:szCs w:val="20"/>
                <w:shd w:val="clear" w:color="auto" w:fill="FFFFFF"/>
              </w:rPr>
              <w:t>Cellularité mixte</w:t>
            </w:r>
          </w:p>
          <w:p w:rsidR="004318D3" w:rsidRPr="00F012F8" w:rsidRDefault="004318D3" w:rsidP="00C916D0">
            <w:pPr>
              <w:pStyle w:val="Paragraphedeliste"/>
              <w:numPr>
                <w:ilvl w:val="1"/>
                <w:numId w:val="57"/>
              </w:numPr>
              <w:rPr>
                <w:rFonts w:cs="Times New Roman"/>
                <w:sz w:val="20"/>
                <w:szCs w:val="20"/>
              </w:rPr>
            </w:pPr>
            <w:r w:rsidRPr="00F012F8">
              <w:rPr>
                <w:rFonts w:cs="Times New Roman"/>
                <w:bCs/>
                <w:color w:val="252525"/>
                <w:sz w:val="20"/>
                <w:szCs w:val="20"/>
                <w:shd w:val="clear" w:color="auto" w:fill="FFFFFF"/>
              </w:rPr>
              <w:t>Déplétion lymphocytaires</w:t>
            </w:r>
          </w:p>
          <w:p w:rsidR="004318D3" w:rsidRPr="00F012F8" w:rsidRDefault="004318D3" w:rsidP="00C916D0">
            <w:pPr>
              <w:pStyle w:val="Paragraphedeliste"/>
              <w:numPr>
                <w:ilvl w:val="0"/>
                <w:numId w:val="57"/>
              </w:numPr>
              <w:rPr>
                <w:rFonts w:cs="Times New Roman"/>
                <w:sz w:val="20"/>
                <w:szCs w:val="20"/>
              </w:rPr>
            </w:pPr>
            <w:r w:rsidRPr="00F012F8">
              <w:rPr>
                <w:rFonts w:cs="Times New Roman"/>
                <w:bCs/>
                <w:color w:val="252525"/>
                <w:sz w:val="20"/>
                <w:szCs w:val="20"/>
                <w:shd w:val="clear" w:color="auto" w:fill="FFFFFF"/>
              </w:rPr>
              <w:t>Forme nodulaire (prédominance de lymphocytes)</w:t>
            </w:r>
          </w:p>
          <w:p w:rsidR="00515617" w:rsidRPr="00F012F8" w:rsidRDefault="00515617" w:rsidP="00540770">
            <w:pPr>
              <w:rPr>
                <w:rFonts w:cs="Times New Roman"/>
                <w:sz w:val="20"/>
                <w:szCs w:val="20"/>
              </w:rPr>
            </w:pPr>
          </w:p>
        </w:tc>
        <w:tc>
          <w:tcPr>
            <w:tcW w:w="2880" w:type="dxa"/>
          </w:tcPr>
          <w:p w:rsidR="000616F6" w:rsidRPr="00F012F8" w:rsidRDefault="000616F6" w:rsidP="00C916D0">
            <w:pPr>
              <w:pStyle w:val="Paragraphedeliste"/>
              <w:numPr>
                <w:ilvl w:val="0"/>
                <w:numId w:val="57"/>
              </w:numPr>
              <w:rPr>
                <w:rFonts w:cs="Times New Roman"/>
                <w:sz w:val="20"/>
                <w:szCs w:val="20"/>
              </w:rPr>
            </w:pPr>
            <w:r w:rsidRPr="00F012F8">
              <w:rPr>
                <w:rFonts w:cs="Times New Roman"/>
                <w:sz w:val="20"/>
                <w:szCs w:val="20"/>
              </w:rPr>
              <w:t>Plainte d’adénopathie unique</w:t>
            </w:r>
          </w:p>
          <w:p w:rsidR="008C51A4" w:rsidRPr="00F012F8" w:rsidRDefault="008C51A4" w:rsidP="00C916D0">
            <w:pPr>
              <w:pStyle w:val="Paragraphedeliste"/>
              <w:numPr>
                <w:ilvl w:val="0"/>
                <w:numId w:val="57"/>
              </w:numPr>
              <w:rPr>
                <w:rFonts w:cs="Times New Roman"/>
                <w:sz w:val="20"/>
                <w:szCs w:val="20"/>
              </w:rPr>
            </w:pPr>
            <w:r w:rsidRPr="00F012F8">
              <w:rPr>
                <w:rFonts w:cs="Times New Roman"/>
                <w:sz w:val="20"/>
                <w:szCs w:val="20"/>
                <w:highlight w:val="yellow"/>
              </w:rPr>
              <w:t>Sx B (fièvre, asthénie, anorexie, perte de poids, diaphorèse nocturne)</w:t>
            </w:r>
          </w:p>
          <w:p w:rsidR="008C51A4" w:rsidRPr="00F012F8" w:rsidRDefault="008C51A4" w:rsidP="00C916D0">
            <w:pPr>
              <w:pStyle w:val="Paragraphedeliste"/>
              <w:numPr>
                <w:ilvl w:val="0"/>
                <w:numId w:val="57"/>
              </w:numPr>
              <w:rPr>
                <w:rFonts w:cs="Times New Roman"/>
                <w:sz w:val="20"/>
                <w:szCs w:val="20"/>
              </w:rPr>
            </w:pPr>
            <w:r w:rsidRPr="00F012F8">
              <w:rPr>
                <w:rFonts w:cs="Times New Roman"/>
                <w:sz w:val="20"/>
                <w:szCs w:val="20"/>
              </w:rPr>
              <w:t>Prise de ROH ↑ douleur nodulaire</w:t>
            </w:r>
          </w:p>
          <w:p w:rsidR="008C51A4" w:rsidRPr="00F012F8" w:rsidRDefault="008C51A4" w:rsidP="00C916D0">
            <w:pPr>
              <w:pStyle w:val="Paragraphedeliste"/>
              <w:numPr>
                <w:ilvl w:val="0"/>
                <w:numId w:val="57"/>
              </w:numPr>
              <w:rPr>
                <w:rFonts w:cs="Times New Roman"/>
                <w:sz w:val="20"/>
                <w:szCs w:val="20"/>
              </w:rPr>
            </w:pPr>
            <w:r w:rsidRPr="00F012F8">
              <w:rPr>
                <w:rFonts w:cs="Times New Roman"/>
                <w:sz w:val="20"/>
                <w:szCs w:val="20"/>
              </w:rPr>
              <w:t>Prurit</w:t>
            </w:r>
          </w:p>
          <w:p w:rsidR="00EF1FC3" w:rsidRPr="00F012F8" w:rsidRDefault="00EF1FC3" w:rsidP="00C916D0">
            <w:pPr>
              <w:pStyle w:val="Paragraphedeliste"/>
              <w:numPr>
                <w:ilvl w:val="0"/>
                <w:numId w:val="57"/>
              </w:numPr>
              <w:rPr>
                <w:rFonts w:cs="Times New Roman"/>
                <w:sz w:val="20"/>
                <w:szCs w:val="20"/>
              </w:rPr>
            </w:pPr>
            <w:r w:rsidRPr="00F012F8">
              <w:rPr>
                <w:rFonts w:cs="Times New Roman"/>
                <w:sz w:val="20"/>
                <w:szCs w:val="20"/>
              </w:rPr>
              <w:t>Toux sèche</w:t>
            </w:r>
          </w:p>
          <w:p w:rsidR="00EF1FC3" w:rsidRPr="00F012F8" w:rsidRDefault="00EF1FC3" w:rsidP="00C916D0">
            <w:pPr>
              <w:pStyle w:val="Paragraphedeliste"/>
              <w:numPr>
                <w:ilvl w:val="0"/>
                <w:numId w:val="57"/>
              </w:numPr>
              <w:rPr>
                <w:rFonts w:cs="Times New Roman"/>
                <w:sz w:val="20"/>
                <w:szCs w:val="20"/>
              </w:rPr>
            </w:pPr>
            <w:r w:rsidRPr="00F012F8">
              <w:rPr>
                <w:rFonts w:cs="Times New Roman"/>
                <w:sz w:val="20"/>
                <w:szCs w:val="20"/>
              </w:rPr>
              <w:t>Syndrome de la veine cave supérieure</w:t>
            </w:r>
          </w:p>
          <w:p w:rsidR="008C51A4" w:rsidRPr="00F012F8" w:rsidRDefault="008C51A4" w:rsidP="00540770">
            <w:pPr>
              <w:rPr>
                <w:rFonts w:cs="Times New Roman"/>
                <w:sz w:val="20"/>
                <w:szCs w:val="20"/>
              </w:rPr>
            </w:pPr>
          </w:p>
        </w:tc>
        <w:tc>
          <w:tcPr>
            <w:tcW w:w="2894" w:type="dxa"/>
          </w:tcPr>
          <w:p w:rsidR="008C51A4" w:rsidRPr="00F012F8" w:rsidRDefault="008C51A4" w:rsidP="00C916D0">
            <w:pPr>
              <w:pStyle w:val="Paragraphedeliste"/>
              <w:numPr>
                <w:ilvl w:val="0"/>
                <w:numId w:val="57"/>
              </w:numPr>
              <w:rPr>
                <w:rFonts w:cs="Times New Roman"/>
                <w:sz w:val="20"/>
                <w:szCs w:val="20"/>
              </w:rPr>
            </w:pPr>
            <w:r w:rsidRPr="00F012F8">
              <w:rPr>
                <w:rFonts w:cs="Times New Roman"/>
                <w:sz w:val="20"/>
                <w:szCs w:val="20"/>
                <w:highlight w:val="yellow"/>
              </w:rPr>
              <w:t>Lymphadénopathies</w:t>
            </w:r>
            <w:r w:rsidRPr="00F012F8">
              <w:rPr>
                <w:rFonts w:cs="Times New Roman"/>
                <w:sz w:val="20"/>
                <w:szCs w:val="20"/>
              </w:rPr>
              <w:t xml:space="preserve"> (70%) caoutchouteuses, non douloureuses </w:t>
            </w:r>
          </w:p>
          <w:p w:rsidR="00EF1FC3" w:rsidRPr="00F012F8" w:rsidRDefault="00EF1FC3" w:rsidP="00C916D0">
            <w:pPr>
              <w:pStyle w:val="Paragraphedeliste"/>
              <w:numPr>
                <w:ilvl w:val="0"/>
                <w:numId w:val="57"/>
              </w:numPr>
              <w:rPr>
                <w:rFonts w:cs="Times New Roman"/>
                <w:sz w:val="20"/>
                <w:szCs w:val="20"/>
              </w:rPr>
            </w:pPr>
            <w:r w:rsidRPr="00F012F8">
              <w:rPr>
                <w:rFonts w:cs="Times New Roman"/>
                <w:sz w:val="20"/>
                <w:szCs w:val="20"/>
              </w:rPr>
              <w:t>Parfois nodule isolé</w:t>
            </w:r>
          </w:p>
          <w:p w:rsidR="008C51A4" w:rsidRPr="00F012F8" w:rsidRDefault="008C51A4" w:rsidP="00C916D0">
            <w:pPr>
              <w:pStyle w:val="Paragraphedeliste"/>
              <w:numPr>
                <w:ilvl w:val="0"/>
                <w:numId w:val="57"/>
              </w:numPr>
              <w:rPr>
                <w:rFonts w:cs="Times New Roman"/>
                <w:sz w:val="20"/>
                <w:szCs w:val="20"/>
              </w:rPr>
            </w:pPr>
            <w:r w:rsidRPr="00F012F8">
              <w:rPr>
                <w:rFonts w:cs="Times New Roman"/>
                <w:sz w:val="20"/>
                <w:szCs w:val="20"/>
              </w:rPr>
              <w:t>Surtout supra claviculaire et axillaire</w:t>
            </w:r>
          </w:p>
          <w:p w:rsidR="008C51A4" w:rsidRPr="00F012F8" w:rsidRDefault="008C51A4" w:rsidP="00C916D0">
            <w:pPr>
              <w:pStyle w:val="Paragraphedeliste"/>
              <w:numPr>
                <w:ilvl w:val="0"/>
                <w:numId w:val="57"/>
              </w:numPr>
              <w:rPr>
                <w:rFonts w:cs="Times New Roman"/>
                <w:sz w:val="20"/>
                <w:szCs w:val="20"/>
              </w:rPr>
            </w:pPr>
            <w:r w:rsidRPr="00F012F8">
              <w:rPr>
                <w:rFonts w:cs="Times New Roman"/>
                <w:sz w:val="20"/>
                <w:szCs w:val="20"/>
                <w:highlight w:val="yellow"/>
              </w:rPr>
              <w:t>Splénomégalie (50%)</w:t>
            </w:r>
            <w:r w:rsidRPr="00F012F8">
              <w:rPr>
                <w:rFonts w:cs="Times New Roman"/>
                <w:sz w:val="20"/>
                <w:szCs w:val="20"/>
              </w:rPr>
              <w:t xml:space="preserve"> ± hépatomégalie</w:t>
            </w:r>
          </w:p>
          <w:p w:rsidR="008C51A4" w:rsidRPr="00F012F8" w:rsidRDefault="008C51A4" w:rsidP="00540770">
            <w:pPr>
              <w:rPr>
                <w:rFonts w:cs="Times New Roman"/>
                <w:sz w:val="20"/>
                <w:szCs w:val="20"/>
              </w:rPr>
            </w:pPr>
            <w:r w:rsidRPr="00F012F8">
              <w:rPr>
                <w:rFonts w:cs="Times New Roman"/>
                <w:sz w:val="20"/>
                <w:szCs w:val="20"/>
              </w:rPr>
              <w:t xml:space="preserve"> </w:t>
            </w:r>
          </w:p>
          <w:p w:rsidR="008C51A4" w:rsidRPr="00F012F8" w:rsidRDefault="008C51A4" w:rsidP="00540770">
            <w:pPr>
              <w:rPr>
                <w:rFonts w:cs="Times New Roman"/>
                <w:sz w:val="20"/>
                <w:szCs w:val="20"/>
              </w:rPr>
            </w:pPr>
          </w:p>
        </w:tc>
      </w:tr>
      <w:tr w:rsidR="00515617" w:rsidRPr="00F012F8" w:rsidTr="00BB27B9">
        <w:tc>
          <w:tcPr>
            <w:tcW w:w="1809" w:type="dxa"/>
            <w:shd w:val="clear" w:color="auto" w:fill="95B3D7" w:themeFill="accent1" w:themeFillTint="99"/>
          </w:tcPr>
          <w:p w:rsidR="00515617" w:rsidRPr="00F012F8" w:rsidRDefault="00515617" w:rsidP="00540770">
            <w:pPr>
              <w:rPr>
                <w:rFonts w:cs="Times New Roman"/>
                <w:sz w:val="20"/>
                <w:szCs w:val="20"/>
              </w:rPr>
            </w:pPr>
            <w:r w:rsidRPr="00F012F8">
              <w:rPr>
                <w:rFonts w:cs="Times New Roman"/>
                <w:sz w:val="20"/>
                <w:szCs w:val="20"/>
              </w:rPr>
              <w:t>Lymphome non-hodgkinien</w:t>
            </w:r>
          </w:p>
        </w:tc>
        <w:tc>
          <w:tcPr>
            <w:tcW w:w="3402" w:type="dxa"/>
          </w:tcPr>
          <w:p w:rsidR="006C001C" w:rsidRPr="00F012F8" w:rsidRDefault="006C001C" w:rsidP="00C916D0">
            <w:pPr>
              <w:pStyle w:val="Paragraphedeliste"/>
              <w:numPr>
                <w:ilvl w:val="0"/>
                <w:numId w:val="66"/>
              </w:numPr>
              <w:rPr>
                <w:rFonts w:cs="Times New Roman"/>
                <w:sz w:val="20"/>
                <w:szCs w:val="20"/>
              </w:rPr>
            </w:pPr>
            <w:r w:rsidRPr="00F012F8">
              <w:rPr>
                <w:rFonts w:cs="Times New Roman"/>
                <w:sz w:val="20"/>
                <w:szCs w:val="20"/>
              </w:rPr>
              <w:t>Pic d’incidence &gt; 60 ans</w:t>
            </w:r>
          </w:p>
          <w:p w:rsidR="000616F6" w:rsidRPr="00F012F8" w:rsidRDefault="000616F6" w:rsidP="00C916D0">
            <w:pPr>
              <w:pStyle w:val="Paragraphedeliste"/>
              <w:numPr>
                <w:ilvl w:val="0"/>
                <w:numId w:val="66"/>
              </w:numPr>
              <w:rPr>
                <w:rFonts w:cs="Times New Roman"/>
                <w:sz w:val="20"/>
                <w:szCs w:val="20"/>
              </w:rPr>
            </w:pPr>
            <w:r w:rsidRPr="00F012F8">
              <w:rPr>
                <w:rFonts w:cs="Times New Roman"/>
                <w:sz w:val="20"/>
                <w:szCs w:val="20"/>
              </w:rPr>
              <w:t>~7 fois plus fréquent que LH</w:t>
            </w:r>
          </w:p>
          <w:p w:rsidR="000616F6" w:rsidRPr="00F012F8" w:rsidRDefault="000616F6" w:rsidP="00C916D0">
            <w:pPr>
              <w:pStyle w:val="Paragraphedeliste"/>
              <w:numPr>
                <w:ilvl w:val="0"/>
                <w:numId w:val="66"/>
              </w:numPr>
              <w:rPr>
                <w:rFonts w:cs="Times New Roman"/>
                <w:sz w:val="20"/>
                <w:szCs w:val="20"/>
              </w:rPr>
            </w:pPr>
            <w:r w:rsidRPr="00F012F8">
              <w:rPr>
                <w:rFonts w:cs="Times New Roman"/>
                <w:sz w:val="20"/>
                <w:szCs w:val="20"/>
              </w:rPr>
              <w:t>Lymphocytes B et T</w:t>
            </w:r>
          </w:p>
          <w:p w:rsidR="000616F6" w:rsidRPr="00F012F8" w:rsidRDefault="000616F6" w:rsidP="00C916D0">
            <w:pPr>
              <w:pStyle w:val="Paragraphedeliste"/>
              <w:numPr>
                <w:ilvl w:val="0"/>
                <w:numId w:val="66"/>
              </w:numPr>
              <w:rPr>
                <w:rFonts w:cs="Times New Roman"/>
                <w:sz w:val="20"/>
                <w:szCs w:val="20"/>
              </w:rPr>
            </w:pPr>
            <w:r w:rsidRPr="00F012F8">
              <w:rPr>
                <w:rFonts w:cs="Times New Roman"/>
                <w:sz w:val="20"/>
                <w:szCs w:val="20"/>
              </w:rPr>
              <w:t>+ fréquent si déficit immunitaire ou maladie auto-immune</w:t>
            </w:r>
          </w:p>
          <w:p w:rsidR="000616F6" w:rsidRPr="00F012F8" w:rsidRDefault="000616F6" w:rsidP="00C916D0">
            <w:pPr>
              <w:pStyle w:val="Paragraphedeliste"/>
              <w:numPr>
                <w:ilvl w:val="0"/>
                <w:numId w:val="66"/>
              </w:numPr>
              <w:rPr>
                <w:rFonts w:cs="Times New Roman"/>
                <w:sz w:val="20"/>
                <w:szCs w:val="20"/>
              </w:rPr>
            </w:pPr>
            <w:r w:rsidRPr="00F012F8">
              <w:rPr>
                <w:rFonts w:cs="Times New Roman"/>
                <w:sz w:val="20"/>
                <w:szCs w:val="20"/>
              </w:rPr>
              <w:t>Multiples types histologiques</w:t>
            </w:r>
          </w:p>
          <w:p w:rsidR="000616F6" w:rsidRPr="00F012F8" w:rsidRDefault="000616F6" w:rsidP="00C916D0">
            <w:pPr>
              <w:pStyle w:val="Paragraphedeliste"/>
              <w:numPr>
                <w:ilvl w:val="1"/>
                <w:numId w:val="66"/>
              </w:numPr>
              <w:rPr>
                <w:rFonts w:cs="Times New Roman"/>
                <w:sz w:val="20"/>
                <w:szCs w:val="20"/>
              </w:rPr>
            </w:pPr>
            <w:r w:rsidRPr="00F012F8">
              <w:rPr>
                <w:rFonts w:cs="Times New Roman"/>
                <w:sz w:val="20"/>
                <w:szCs w:val="20"/>
              </w:rPr>
              <w:t>Diffus B à grandes cellules (31%)</w:t>
            </w:r>
          </w:p>
          <w:p w:rsidR="000616F6" w:rsidRPr="00F012F8" w:rsidRDefault="000616F6" w:rsidP="00C916D0">
            <w:pPr>
              <w:pStyle w:val="Paragraphedeliste"/>
              <w:numPr>
                <w:ilvl w:val="1"/>
                <w:numId w:val="66"/>
              </w:numPr>
              <w:rPr>
                <w:rFonts w:cs="Times New Roman"/>
                <w:sz w:val="20"/>
                <w:szCs w:val="20"/>
              </w:rPr>
            </w:pPr>
            <w:r w:rsidRPr="00F012F8">
              <w:rPr>
                <w:rFonts w:cs="Times New Roman"/>
                <w:sz w:val="20"/>
                <w:szCs w:val="20"/>
              </w:rPr>
              <w:t>Folliculaire (22%)</w:t>
            </w:r>
          </w:p>
          <w:p w:rsidR="000616F6" w:rsidRPr="00F012F8" w:rsidRDefault="000616F6" w:rsidP="00C916D0">
            <w:pPr>
              <w:pStyle w:val="Paragraphedeliste"/>
              <w:numPr>
                <w:ilvl w:val="1"/>
                <w:numId w:val="66"/>
              </w:numPr>
              <w:rPr>
                <w:rFonts w:cs="Times New Roman"/>
                <w:sz w:val="20"/>
                <w:szCs w:val="20"/>
              </w:rPr>
            </w:pPr>
            <w:r w:rsidRPr="00F012F8">
              <w:rPr>
                <w:rFonts w:cs="Times New Roman"/>
                <w:sz w:val="20"/>
                <w:szCs w:val="20"/>
              </w:rPr>
              <w:t>MALT (8%)</w:t>
            </w:r>
          </w:p>
          <w:p w:rsidR="000616F6" w:rsidRPr="00F012F8" w:rsidRDefault="000616F6" w:rsidP="000616F6">
            <w:pPr>
              <w:pStyle w:val="Paragraphedeliste"/>
              <w:ind w:left="360"/>
              <w:rPr>
                <w:rFonts w:cs="Times New Roman"/>
                <w:sz w:val="20"/>
                <w:szCs w:val="20"/>
              </w:rPr>
            </w:pPr>
          </w:p>
        </w:tc>
        <w:tc>
          <w:tcPr>
            <w:tcW w:w="2880" w:type="dxa"/>
          </w:tcPr>
          <w:p w:rsidR="00515617" w:rsidRPr="00F012F8" w:rsidRDefault="000616F6" w:rsidP="00C916D0">
            <w:pPr>
              <w:pStyle w:val="Paragraphedeliste"/>
              <w:numPr>
                <w:ilvl w:val="0"/>
                <w:numId w:val="65"/>
              </w:numPr>
              <w:rPr>
                <w:rFonts w:cs="Times New Roman"/>
                <w:sz w:val="20"/>
                <w:szCs w:val="20"/>
              </w:rPr>
            </w:pPr>
            <w:r w:rsidRPr="00F012F8">
              <w:rPr>
                <w:rFonts w:cs="Times New Roman"/>
                <w:sz w:val="20"/>
                <w:szCs w:val="20"/>
              </w:rPr>
              <w:t>Plainte d’adénopathie unique</w:t>
            </w:r>
          </w:p>
          <w:p w:rsidR="000616F6" w:rsidRPr="00F012F8" w:rsidRDefault="000616F6" w:rsidP="00C916D0">
            <w:pPr>
              <w:pStyle w:val="Paragraphedeliste"/>
              <w:numPr>
                <w:ilvl w:val="0"/>
                <w:numId w:val="65"/>
              </w:numPr>
              <w:rPr>
                <w:rFonts w:cs="Times New Roman"/>
                <w:sz w:val="20"/>
                <w:szCs w:val="20"/>
              </w:rPr>
            </w:pPr>
            <w:r w:rsidRPr="00F012F8">
              <w:rPr>
                <w:rFonts w:cs="Times New Roman"/>
                <w:sz w:val="20"/>
                <w:szCs w:val="20"/>
              </w:rPr>
              <w:t>Sx B (fièvre, asthénie, anorexie, perte de poids, diaphorèse nocturne)</w:t>
            </w:r>
          </w:p>
          <w:p w:rsidR="000616F6" w:rsidRPr="00F012F8" w:rsidRDefault="000616F6" w:rsidP="00C916D0">
            <w:pPr>
              <w:pStyle w:val="Paragraphedeliste"/>
              <w:numPr>
                <w:ilvl w:val="0"/>
                <w:numId w:val="65"/>
              </w:numPr>
              <w:rPr>
                <w:rFonts w:cs="Times New Roman"/>
                <w:sz w:val="20"/>
                <w:szCs w:val="20"/>
              </w:rPr>
            </w:pPr>
            <w:r w:rsidRPr="00F012F8">
              <w:rPr>
                <w:rFonts w:cs="Times New Roman"/>
                <w:sz w:val="20"/>
                <w:szCs w:val="20"/>
              </w:rPr>
              <w:t>Peut atteindre à peu près n’importe quelle partie du corps, Sx divers selon le site</w:t>
            </w:r>
          </w:p>
        </w:tc>
        <w:tc>
          <w:tcPr>
            <w:tcW w:w="2894" w:type="dxa"/>
          </w:tcPr>
          <w:p w:rsidR="00515617" w:rsidRPr="00F012F8" w:rsidRDefault="000616F6" w:rsidP="00C916D0">
            <w:pPr>
              <w:pStyle w:val="Paragraphedeliste"/>
              <w:numPr>
                <w:ilvl w:val="0"/>
                <w:numId w:val="65"/>
              </w:numPr>
              <w:rPr>
                <w:rFonts w:cs="Times New Roman"/>
                <w:sz w:val="20"/>
                <w:szCs w:val="20"/>
              </w:rPr>
            </w:pPr>
            <w:r w:rsidRPr="00F012F8">
              <w:rPr>
                <w:rFonts w:cs="Times New Roman"/>
                <w:sz w:val="20"/>
                <w:szCs w:val="20"/>
              </w:rPr>
              <w:t>Adénopathies</w:t>
            </w:r>
          </w:p>
          <w:p w:rsidR="000616F6" w:rsidRPr="00F012F8" w:rsidRDefault="000616F6" w:rsidP="00C916D0">
            <w:pPr>
              <w:pStyle w:val="Paragraphedeliste"/>
              <w:numPr>
                <w:ilvl w:val="0"/>
                <w:numId w:val="65"/>
              </w:numPr>
              <w:rPr>
                <w:rFonts w:cs="Times New Roman"/>
                <w:sz w:val="20"/>
                <w:szCs w:val="20"/>
              </w:rPr>
            </w:pPr>
            <w:r w:rsidRPr="00F012F8">
              <w:rPr>
                <w:rFonts w:cs="Times New Roman"/>
                <w:sz w:val="20"/>
                <w:szCs w:val="20"/>
              </w:rPr>
              <w:t>Splénomégalie</w:t>
            </w:r>
          </w:p>
        </w:tc>
      </w:tr>
      <w:tr w:rsidR="00515617" w:rsidRPr="00F012F8" w:rsidTr="00BB27B9">
        <w:tc>
          <w:tcPr>
            <w:tcW w:w="1809" w:type="dxa"/>
            <w:shd w:val="clear" w:color="auto" w:fill="95B3D7" w:themeFill="accent1" w:themeFillTint="99"/>
          </w:tcPr>
          <w:p w:rsidR="00515617" w:rsidRPr="00F012F8" w:rsidRDefault="00C96E37" w:rsidP="00540770">
            <w:pPr>
              <w:rPr>
                <w:rFonts w:cs="Times New Roman"/>
                <w:sz w:val="20"/>
                <w:szCs w:val="20"/>
              </w:rPr>
            </w:pPr>
            <w:r w:rsidRPr="00F012F8">
              <w:rPr>
                <w:rFonts w:cs="Times New Roman"/>
                <w:sz w:val="20"/>
                <w:szCs w:val="20"/>
              </w:rPr>
              <w:t>Tératome</w:t>
            </w:r>
          </w:p>
        </w:tc>
        <w:tc>
          <w:tcPr>
            <w:tcW w:w="3402" w:type="dxa"/>
          </w:tcPr>
          <w:p w:rsidR="00515617" w:rsidRPr="00F012F8" w:rsidRDefault="00C96E37" w:rsidP="00C916D0">
            <w:pPr>
              <w:pStyle w:val="Paragraphedeliste"/>
              <w:numPr>
                <w:ilvl w:val="0"/>
                <w:numId w:val="62"/>
              </w:numPr>
              <w:rPr>
                <w:rFonts w:cs="Times New Roman"/>
                <w:sz w:val="20"/>
                <w:szCs w:val="20"/>
              </w:rPr>
            </w:pPr>
            <w:r w:rsidRPr="00F012F8">
              <w:rPr>
                <w:rFonts w:cs="Times New Roman"/>
                <w:sz w:val="20"/>
                <w:szCs w:val="20"/>
              </w:rPr>
              <w:t>Bénins, peuvent devenir malins</w:t>
            </w:r>
          </w:p>
          <w:p w:rsidR="00C96E37" w:rsidRPr="00F012F8" w:rsidRDefault="00C96E37" w:rsidP="00C916D0">
            <w:pPr>
              <w:pStyle w:val="Paragraphedeliste"/>
              <w:numPr>
                <w:ilvl w:val="0"/>
                <w:numId w:val="62"/>
              </w:numPr>
              <w:rPr>
                <w:rFonts w:cs="Times New Roman"/>
                <w:sz w:val="20"/>
                <w:szCs w:val="20"/>
              </w:rPr>
            </w:pPr>
            <w:r w:rsidRPr="00F012F8">
              <w:rPr>
                <w:rFonts w:cs="Times New Roman"/>
                <w:sz w:val="20"/>
                <w:szCs w:val="20"/>
              </w:rPr>
              <w:t>Généralement fortui</w:t>
            </w:r>
            <w:r w:rsidR="00D87F20" w:rsidRPr="00F012F8">
              <w:rPr>
                <w:rFonts w:cs="Times New Roman"/>
                <w:sz w:val="20"/>
                <w:szCs w:val="20"/>
              </w:rPr>
              <w:t xml:space="preserve">ts </w:t>
            </w:r>
          </w:p>
          <w:p w:rsidR="00C96E37" w:rsidRPr="00F012F8" w:rsidRDefault="00C96E37" w:rsidP="00C916D0">
            <w:pPr>
              <w:pStyle w:val="Paragraphedeliste"/>
              <w:numPr>
                <w:ilvl w:val="0"/>
                <w:numId w:val="62"/>
              </w:numPr>
              <w:rPr>
                <w:rFonts w:cs="Times New Roman"/>
                <w:sz w:val="20"/>
                <w:szCs w:val="20"/>
              </w:rPr>
            </w:pPr>
            <w:r w:rsidRPr="00F012F8">
              <w:rPr>
                <w:rFonts w:cs="Times New Roman"/>
                <w:sz w:val="20"/>
                <w:szCs w:val="20"/>
              </w:rPr>
              <w:t>Issus de cellules souches</w:t>
            </w:r>
          </w:p>
          <w:p w:rsidR="00C96E37" w:rsidRPr="00F012F8" w:rsidRDefault="00C96E37" w:rsidP="00C916D0">
            <w:pPr>
              <w:pStyle w:val="Paragraphedeliste"/>
              <w:numPr>
                <w:ilvl w:val="0"/>
                <w:numId w:val="62"/>
              </w:numPr>
              <w:rPr>
                <w:rFonts w:cs="Times New Roman"/>
                <w:sz w:val="20"/>
                <w:szCs w:val="20"/>
              </w:rPr>
            </w:pPr>
            <w:r w:rsidRPr="00F012F8">
              <w:rPr>
                <w:rFonts w:cs="Times New Roman"/>
                <w:sz w:val="20"/>
                <w:szCs w:val="20"/>
              </w:rPr>
              <w:t>Contiennent différents types de tissus</w:t>
            </w:r>
          </w:p>
        </w:tc>
        <w:tc>
          <w:tcPr>
            <w:tcW w:w="2880" w:type="dxa"/>
          </w:tcPr>
          <w:p w:rsidR="00515617" w:rsidRPr="00F012F8" w:rsidRDefault="00C96E37" w:rsidP="00C916D0">
            <w:pPr>
              <w:pStyle w:val="Paragraphedeliste"/>
              <w:numPr>
                <w:ilvl w:val="0"/>
                <w:numId w:val="61"/>
              </w:numPr>
              <w:rPr>
                <w:rFonts w:cs="Times New Roman"/>
                <w:sz w:val="20"/>
                <w:szCs w:val="20"/>
              </w:rPr>
            </w:pPr>
            <w:r w:rsidRPr="00F012F8">
              <w:rPr>
                <w:rFonts w:cs="Times New Roman"/>
                <w:sz w:val="20"/>
                <w:szCs w:val="20"/>
              </w:rPr>
              <w:t>Souvent asymptomatique</w:t>
            </w:r>
          </w:p>
          <w:p w:rsidR="00C96E37" w:rsidRPr="00F012F8" w:rsidRDefault="00C96E37" w:rsidP="00C916D0">
            <w:pPr>
              <w:pStyle w:val="Paragraphedeliste"/>
              <w:numPr>
                <w:ilvl w:val="0"/>
                <w:numId w:val="61"/>
              </w:numPr>
              <w:rPr>
                <w:rFonts w:cs="Times New Roman"/>
                <w:sz w:val="20"/>
                <w:szCs w:val="20"/>
              </w:rPr>
            </w:pPr>
            <w:r w:rsidRPr="00F012F8">
              <w:rPr>
                <w:rFonts w:cs="Times New Roman"/>
                <w:sz w:val="20"/>
                <w:szCs w:val="20"/>
              </w:rPr>
              <w:t>Parfois douleur ou effet de masse local</w:t>
            </w:r>
          </w:p>
        </w:tc>
        <w:tc>
          <w:tcPr>
            <w:tcW w:w="2894" w:type="dxa"/>
            <w:shd w:val="clear" w:color="auto" w:fill="auto"/>
          </w:tcPr>
          <w:p w:rsidR="00515617" w:rsidRPr="00F012F8" w:rsidRDefault="00D87F20" w:rsidP="00540770">
            <w:pPr>
              <w:rPr>
                <w:rFonts w:cs="Times New Roman"/>
                <w:sz w:val="20"/>
                <w:szCs w:val="20"/>
              </w:rPr>
            </w:pPr>
            <w:r w:rsidRPr="00F012F8">
              <w:rPr>
                <w:rFonts w:cs="Times New Roman"/>
                <w:sz w:val="20"/>
                <w:szCs w:val="20"/>
              </w:rPr>
              <w:t xml:space="preserve"> </w:t>
            </w:r>
          </w:p>
        </w:tc>
      </w:tr>
    </w:tbl>
    <w:p w:rsidR="00515617" w:rsidRPr="00F012F8" w:rsidRDefault="00515617" w:rsidP="00540770">
      <w:pPr>
        <w:rPr>
          <w:rFonts w:cs="Times New Roman"/>
          <w:sz w:val="20"/>
          <w:szCs w:val="20"/>
        </w:rPr>
      </w:pPr>
    </w:p>
    <w:p w:rsidR="00931B52" w:rsidRPr="00F012F8" w:rsidRDefault="00931B52" w:rsidP="00540770">
      <w:pPr>
        <w:rPr>
          <w:rFonts w:cs="Times New Roman"/>
          <w:i/>
          <w:sz w:val="32"/>
          <w:szCs w:val="32"/>
        </w:rPr>
      </w:pPr>
      <w:r w:rsidRPr="00F012F8">
        <w:rPr>
          <w:rFonts w:cs="Times New Roman"/>
          <w:i/>
          <w:sz w:val="32"/>
          <w:szCs w:val="32"/>
        </w:rPr>
        <w:t>Médiastin moyen</w:t>
      </w:r>
    </w:p>
    <w:p w:rsidR="00931B52" w:rsidRPr="00F012F8" w:rsidRDefault="00235A69" w:rsidP="00C916D0">
      <w:pPr>
        <w:pStyle w:val="Paragraphedeliste"/>
        <w:numPr>
          <w:ilvl w:val="0"/>
          <w:numId w:val="67"/>
        </w:numPr>
        <w:rPr>
          <w:rFonts w:cs="Times New Roman"/>
        </w:rPr>
      </w:pPr>
      <w:r w:rsidRPr="00F012F8">
        <w:rPr>
          <w:rFonts w:cs="Times New Roman"/>
        </w:rPr>
        <w:t xml:space="preserve">Va du péricarde antérieur </w:t>
      </w:r>
      <w:r w:rsidR="00931B52" w:rsidRPr="00F012F8">
        <w:rPr>
          <w:rFonts w:cs="Times New Roman"/>
        </w:rPr>
        <w:t>au péricarde postérieur</w:t>
      </w:r>
      <w:r w:rsidRPr="00F012F8">
        <w:rPr>
          <w:rFonts w:cs="Times New Roman"/>
        </w:rPr>
        <w:t xml:space="preserve"> </w:t>
      </w:r>
    </w:p>
    <w:p w:rsidR="00775B67" w:rsidRPr="00F012F8" w:rsidRDefault="00931B52" w:rsidP="00C916D0">
      <w:pPr>
        <w:pStyle w:val="Paragraphedeliste"/>
        <w:numPr>
          <w:ilvl w:val="0"/>
          <w:numId w:val="67"/>
        </w:numPr>
        <w:rPr>
          <w:rFonts w:cs="Times New Roman"/>
        </w:rPr>
      </w:pPr>
      <w:r w:rsidRPr="00F012F8">
        <w:rPr>
          <w:rFonts w:cs="Times New Roman"/>
        </w:rPr>
        <w:t>Co</w:t>
      </w:r>
      <w:r w:rsidR="00235A69" w:rsidRPr="00F012F8">
        <w:rPr>
          <w:rFonts w:cs="Times New Roman"/>
        </w:rPr>
        <w:t xml:space="preserve">mprend les gros vaisseaux, la crosse aortique, la trachée et </w:t>
      </w:r>
    </w:p>
    <w:p w:rsidR="00235A69" w:rsidRPr="00F012F8" w:rsidRDefault="00235A69" w:rsidP="00775B67">
      <w:pPr>
        <w:pStyle w:val="Paragraphedeliste"/>
        <w:rPr>
          <w:rFonts w:cs="Times New Roman"/>
        </w:rPr>
      </w:pPr>
      <w:r w:rsidRPr="00F012F8">
        <w:rPr>
          <w:rFonts w:cs="Times New Roman"/>
        </w:rPr>
        <w:t>les bronches</w:t>
      </w:r>
    </w:p>
    <w:p w:rsidR="000D519C" w:rsidRPr="00F012F8" w:rsidRDefault="000D519C" w:rsidP="000D519C">
      <w:pPr>
        <w:pStyle w:val="Paragraphedeliste"/>
        <w:ind w:left="360"/>
        <w:rPr>
          <w:rFonts w:cs="Times New Roman"/>
        </w:rPr>
      </w:pPr>
    </w:p>
    <w:p w:rsidR="009425BE" w:rsidRPr="00F012F8" w:rsidRDefault="009425BE" w:rsidP="00C916D0">
      <w:pPr>
        <w:pStyle w:val="Paragraphedeliste"/>
        <w:numPr>
          <w:ilvl w:val="0"/>
          <w:numId w:val="69"/>
        </w:numPr>
        <w:rPr>
          <w:rFonts w:cs="Times New Roman"/>
          <w:b/>
          <w:sz w:val="24"/>
          <w:szCs w:val="24"/>
          <w:u w:val="single"/>
        </w:rPr>
      </w:pPr>
      <w:r w:rsidRPr="00F012F8">
        <w:rPr>
          <w:rFonts w:cs="Times New Roman"/>
          <w:b/>
          <w:sz w:val="24"/>
          <w:szCs w:val="24"/>
          <w:u w:val="single"/>
        </w:rPr>
        <w:t>Sarcoïdose</w:t>
      </w:r>
    </w:p>
    <w:p w:rsidR="008018F7" w:rsidRPr="00F012F8" w:rsidRDefault="008018F7" w:rsidP="008018F7">
      <w:pPr>
        <w:pStyle w:val="Paragraphedeliste"/>
        <w:ind w:left="360"/>
        <w:rPr>
          <w:rFonts w:cs="Times New Roman"/>
          <w:sz w:val="24"/>
          <w:szCs w:val="24"/>
          <w:u w:val="single"/>
        </w:rPr>
      </w:pPr>
    </w:p>
    <w:p w:rsidR="009425BE" w:rsidRPr="00F012F8" w:rsidRDefault="008018F7" w:rsidP="00C916D0">
      <w:pPr>
        <w:pStyle w:val="Paragraphedeliste"/>
        <w:numPr>
          <w:ilvl w:val="0"/>
          <w:numId w:val="76"/>
        </w:numPr>
        <w:rPr>
          <w:rFonts w:cs="Times New Roman"/>
          <w:highlight w:val="yellow"/>
        </w:rPr>
      </w:pPr>
      <w:r w:rsidRPr="00F012F8">
        <w:rPr>
          <w:rFonts w:cs="Times New Roman"/>
          <w:highlight w:val="yellow"/>
        </w:rPr>
        <w:t>Maladie granulomateuse multisystémique idiopathique non-infectieuse</w:t>
      </w:r>
    </w:p>
    <w:p w:rsidR="008018F7" w:rsidRPr="00F012F8" w:rsidRDefault="008018F7" w:rsidP="00C916D0">
      <w:pPr>
        <w:pStyle w:val="Paragraphedeliste"/>
        <w:numPr>
          <w:ilvl w:val="0"/>
          <w:numId w:val="76"/>
        </w:numPr>
        <w:rPr>
          <w:rFonts w:cs="Times New Roman"/>
        </w:rPr>
      </w:pPr>
      <w:r w:rsidRPr="00F012F8">
        <w:rPr>
          <w:rFonts w:cs="Times New Roman"/>
        </w:rPr>
        <w:t>Plus fréquente chez les Afro-Américains et les peuples nordiques (Scandinavie, Canada)</w:t>
      </w:r>
    </w:p>
    <w:p w:rsidR="008018F7" w:rsidRPr="00F012F8" w:rsidRDefault="008018F7" w:rsidP="00C916D0">
      <w:pPr>
        <w:pStyle w:val="Paragraphedeliste"/>
        <w:numPr>
          <w:ilvl w:val="0"/>
          <w:numId w:val="76"/>
        </w:numPr>
        <w:rPr>
          <w:rFonts w:cs="Times New Roman"/>
        </w:rPr>
      </w:pPr>
      <w:r w:rsidRPr="00F012F8">
        <w:rPr>
          <w:rFonts w:cs="Times New Roman"/>
        </w:rPr>
        <w:t>Chez les adultes d’âge moyen et les jeunes</w:t>
      </w:r>
    </w:p>
    <w:p w:rsidR="008018F7" w:rsidRPr="00F012F8" w:rsidRDefault="008018F7" w:rsidP="009425BE">
      <w:pPr>
        <w:rPr>
          <w:rFonts w:cs="Times New Roman"/>
          <w:u w:val="single"/>
        </w:rPr>
      </w:pPr>
      <w:r w:rsidRPr="00F012F8">
        <w:rPr>
          <w:rFonts w:cs="Times New Roman"/>
          <w:u w:val="single"/>
        </w:rPr>
        <w:t>Présentation</w:t>
      </w:r>
    </w:p>
    <w:p w:rsidR="008018F7" w:rsidRPr="00F012F8" w:rsidRDefault="000638BD" w:rsidP="00C916D0">
      <w:pPr>
        <w:pStyle w:val="Paragraphedeliste"/>
        <w:numPr>
          <w:ilvl w:val="0"/>
          <w:numId w:val="75"/>
        </w:numPr>
        <w:rPr>
          <w:rFonts w:cs="Times New Roman"/>
        </w:rPr>
      </w:pPr>
      <w:r w:rsidRPr="00F012F8">
        <w:rPr>
          <w:rFonts w:cs="Times New Roman"/>
          <w:noProof/>
          <w:lang w:eastAsia="fr-CA"/>
        </w:rPr>
        <w:drawing>
          <wp:anchor distT="0" distB="0" distL="114300" distR="114300" simplePos="0" relativeHeight="251675648" behindDoc="0" locked="0" layoutInCell="1" allowOverlap="1" wp14:anchorId="39E7531D" wp14:editId="7A6C4E48">
            <wp:simplePos x="0" y="0"/>
            <wp:positionH relativeFrom="column">
              <wp:posOffset>4025900</wp:posOffset>
            </wp:positionH>
            <wp:positionV relativeFrom="paragraph">
              <wp:posOffset>70485</wp:posOffset>
            </wp:positionV>
            <wp:extent cx="2989580" cy="1362710"/>
            <wp:effectExtent l="0" t="0" r="1270" b="8890"/>
            <wp:wrapNone/>
            <wp:docPr id="14" name="Image 14" descr="Résultats de recherche d'images pour « érythème noueux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Résultats de recherche d'images pour « érythème noueux »"/>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2989580" cy="1362710"/>
                    </a:xfrm>
                    <a:prstGeom prst="rect">
                      <a:avLst/>
                    </a:prstGeom>
                    <a:noFill/>
                    <a:ln>
                      <a:noFill/>
                    </a:ln>
                  </pic:spPr>
                </pic:pic>
              </a:graphicData>
            </a:graphic>
            <wp14:sizeRelH relativeFrom="page">
              <wp14:pctWidth>0</wp14:pctWidth>
            </wp14:sizeRelH>
            <wp14:sizeRelV relativeFrom="page">
              <wp14:pctHeight>0</wp14:pctHeight>
            </wp14:sizeRelV>
          </wp:anchor>
        </w:drawing>
      </w:r>
      <w:r w:rsidR="008018F7" w:rsidRPr="00F012F8">
        <w:rPr>
          <w:rFonts w:cs="Times New Roman"/>
          <w:i/>
        </w:rPr>
        <w:t>Symptômes</w:t>
      </w:r>
      <w:r w:rsidR="008018F7" w:rsidRPr="00F012F8">
        <w:rPr>
          <w:rFonts w:cs="Times New Roman"/>
        </w:rPr>
        <w:t xml:space="preserve"> : Asymptomatique, toux, dyspnée, fièvre, </w:t>
      </w:r>
    </w:p>
    <w:p w:rsidR="008018F7" w:rsidRPr="00F012F8" w:rsidRDefault="008018F7" w:rsidP="008018F7">
      <w:pPr>
        <w:pStyle w:val="Paragraphedeliste"/>
        <w:rPr>
          <w:rFonts w:cs="Times New Roman"/>
        </w:rPr>
      </w:pPr>
      <w:r w:rsidRPr="00F012F8">
        <w:rPr>
          <w:rFonts w:cs="Times New Roman"/>
        </w:rPr>
        <w:t xml:space="preserve">arthralgies, malaise, </w:t>
      </w:r>
      <w:r w:rsidRPr="00F012F8">
        <w:rPr>
          <w:rFonts w:cs="Times New Roman"/>
          <w:highlight w:val="yellow"/>
        </w:rPr>
        <w:t>érythème noueux</w:t>
      </w:r>
      <w:r w:rsidRPr="00F012F8">
        <w:rPr>
          <w:rFonts w:cs="Times New Roman"/>
        </w:rPr>
        <w:t xml:space="preserve">*, douleur thoracique, </w:t>
      </w:r>
    </w:p>
    <w:p w:rsidR="008018F7" w:rsidRPr="00F012F8" w:rsidRDefault="008018F7" w:rsidP="008018F7">
      <w:pPr>
        <w:pStyle w:val="Paragraphedeliste"/>
        <w:rPr>
          <w:rFonts w:cs="Times New Roman"/>
        </w:rPr>
      </w:pPr>
      <w:r w:rsidRPr="00F012F8">
        <w:rPr>
          <w:rFonts w:cs="Times New Roman"/>
          <w:highlight w:val="yellow"/>
        </w:rPr>
        <w:t>uvéites antérieures et postérieures</w:t>
      </w:r>
    </w:p>
    <w:p w:rsidR="008018F7" w:rsidRPr="00F012F8" w:rsidRDefault="008018F7" w:rsidP="008018F7">
      <w:pPr>
        <w:pStyle w:val="Paragraphedeliste"/>
        <w:rPr>
          <w:rFonts w:cs="Times New Roman"/>
        </w:rPr>
      </w:pPr>
    </w:p>
    <w:p w:rsidR="008018F7" w:rsidRPr="00F012F8" w:rsidRDefault="008018F7" w:rsidP="00C916D0">
      <w:pPr>
        <w:pStyle w:val="Paragraphedeliste"/>
        <w:numPr>
          <w:ilvl w:val="0"/>
          <w:numId w:val="75"/>
        </w:numPr>
        <w:rPr>
          <w:rFonts w:cs="Times New Roman"/>
        </w:rPr>
      </w:pPr>
      <w:r w:rsidRPr="00F012F8">
        <w:rPr>
          <w:rFonts w:cs="Times New Roman"/>
          <w:i/>
        </w:rPr>
        <w:t>Examen physique</w:t>
      </w:r>
      <w:r w:rsidRPr="00F012F8">
        <w:rPr>
          <w:rFonts w:cs="Times New Roman"/>
        </w:rPr>
        <w:t xml:space="preserve"> : cardio-pulmonaire souvent normal, </w:t>
      </w:r>
    </w:p>
    <w:p w:rsidR="008018F7" w:rsidRPr="00F012F8" w:rsidRDefault="008018F7" w:rsidP="008018F7">
      <w:pPr>
        <w:pStyle w:val="Paragraphedeliste"/>
        <w:rPr>
          <w:rFonts w:cs="Times New Roman"/>
        </w:rPr>
      </w:pPr>
      <w:r w:rsidRPr="00F012F8">
        <w:rPr>
          <w:rFonts w:cs="Times New Roman"/>
        </w:rPr>
        <w:t xml:space="preserve">érythème noueux*, lupus pernio, lymphadénopathies, </w:t>
      </w:r>
    </w:p>
    <w:p w:rsidR="008018F7" w:rsidRPr="00F012F8" w:rsidRDefault="008018F7" w:rsidP="008018F7">
      <w:pPr>
        <w:pStyle w:val="Paragraphedeliste"/>
        <w:rPr>
          <w:rFonts w:cs="Times New Roman"/>
        </w:rPr>
      </w:pPr>
      <w:r w:rsidRPr="00F012F8">
        <w:rPr>
          <w:rFonts w:cs="Times New Roman"/>
        </w:rPr>
        <w:t>hépatomégalie, splénomégalie,</w:t>
      </w:r>
    </w:p>
    <w:p w:rsidR="008018F7" w:rsidRPr="00F012F8" w:rsidRDefault="008018F7" w:rsidP="008018F7">
      <w:pPr>
        <w:pStyle w:val="Paragraphedeliste"/>
        <w:rPr>
          <w:rFonts w:cs="Times New Roman"/>
        </w:rPr>
      </w:pPr>
    </w:p>
    <w:p w:rsidR="009425BE" w:rsidRPr="00F012F8" w:rsidRDefault="009425BE" w:rsidP="00C916D0">
      <w:pPr>
        <w:pStyle w:val="Paragraphedeliste"/>
        <w:numPr>
          <w:ilvl w:val="0"/>
          <w:numId w:val="69"/>
        </w:numPr>
        <w:rPr>
          <w:rFonts w:cs="Times New Roman"/>
          <w:b/>
          <w:sz w:val="24"/>
          <w:szCs w:val="24"/>
        </w:rPr>
      </w:pPr>
      <w:r w:rsidRPr="00F012F8">
        <w:rPr>
          <w:rFonts w:cs="Times New Roman"/>
          <w:b/>
          <w:sz w:val="24"/>
          <w:szCs w:val="24"/>
        </w:rPr>
        <w:t>Cancer bronchique</w:t>
      </w:r>
    </w:p>
    <w:p w:rsidR="000D519C" w:rsidRPr="00F012F8" w:rsidRDefault="000D519C" w:rsidP="000D519C">
      <w:pPr>
        <w:pStyle w:val="Paragraphedeliste"/>
        <w:rPr>
          <w:rFonts w:cs="Times New Roman"/>
        </w:rPr>
      </w:pPr>
    </w:p>
    <w:p w:rsidR="000D519C" w:rsidRPr="00F012F8" w:rsidRDefault="0008476E" w:rsidP="00C916D0">
      <w:pPr>
        <w:pStyle w:val="Paragraphedeliste"/>
        <w:numPr>
          <w:ilvl w:val="0"/>
          <w:numId w:val="77"/>
        </w:numPr>
        <w:rPr>
          <w:rFonts w:cs="Times New Roman"/>
        </w:rPr>
      </w:pPr>
      <w:r w:rsidRPr="00F012F8">
        <w:rPr>
          <w:rFonts w:cs="Times New Roman"/>
          <w:highlight w:val="yellow"/>
        </w:rPr>
        <w:t>Fortement associé au tabagisme (90%),</w:t>
      </w:r>
      <w:r w:rsidRPr="00F012F8">
        <w:rPr>
          <w:rFonts w:cs="Times New Roman"/>
        </w:rPr>
        <w:t xml:space="preserve"> à la fumée secondaire, et à l’exposition au radon, </w:t>
      </w:r>
      <w:r w:rsidR="00B72D77" w:rsidRPr="00F012F8">
        <w:rPr>
          <w:rFonts w:cs="Times New Roman"/>
        </w:rPr>
        <w:t>radiations</w:t>
      </w:r>
    </w:p>
    <w:p w:rsidR="0008476E" w:rsidRPr="00F012F8" w:rsidRDefault="0008476E" w:rsidP="00C916D0">
      <w:pPr>
        <w:pStyle w:val="Paragraphedeliste"/>
        <w:numPr>
          <w:ilvl w:val="0"/>
          <w:numId w:val="77"/>
        </w:numPr>
        <w:rPr>
          <w:rFonts w:cs="Times New Roman"/>
        </w:rPr>
      </w:pPr>
      <w:r w:rsidRPr="00F012F8">
        <w:rPr>
          <w:rFonts w:cs="Times New Roman"/>
        </w:rPr>
        <w:t>Âge moyen chez cancers non-à-petites-cellules (NSCLC)</w:t>
      </w:r>
      <w:r w:rsidR="00133895" w:rsidRPr="00F012F8">
        <w:rPr>
          <w:rFonts w:cs="Times New Roman"/>
        </w:rPr>
        <w:t xml:space="preserve"> = 64 ans</w:t>
      </w:r>
    </w:p>
    <w:p w:rsidR="0008476E" w:rsidRPr="00F012F8" w:rsidRDefault="0008476E" w:rsidP="00C916D0">
      <w:pPr>
        <w:pStyle w:val="Paragraphedeliste"/>
        <w:numPr>
          <w:ilvl w:val="0"/>
          <w:numId w:val="77"/>
        </w:numPr>
        <w:rPr>
          <w:rFonts w:cs="Times New Roman"/>
        </w:rPr>
      </w:pPr>
      <w:r w:rsidRPr="00F012F8">
        <w:rPr>
          <w:rFonts w:cs="Times New Roman"/>
        </w:rPr>
        <w:t xml:space="preserve">Plusieurs types histologiques </w:t>
      </w:r>
    </w:p>
    <w:tbl>
      <w:tblPr>
        <w:tblStyle w:val="Grilledutableau"/>
        <w:tblW w:w="0" w:type="auto"/>
        <w:tblInd w:w="360" w:type="dxa"/>
        <w:tblLook w:val="04A0" w:firstRow="1" w:lastRow="0" w:firstColumn="1" w:lastColumn="0" w:noHBand="0" w:noVBand="1"/>
      </w:tblPr>
      <w:tblGrid>
        <w:gridCol w:w="3150"/>
        <w:gridCol w:w="4536"/>
        <w:gridCol w:w="2970"/>
      </w:tblGrid>
      <w:tr w:rsidR="0015528C" w:rsidRPr="00F012F8" w:rsidTr="00BB27B9">
        <w:tc>
          <w:tcPr>
            <w:tcW w:w="3150" w:type="dxa"/>
            <w:shd w:val="clear" w:color="auto" w:fill="95B3D7" w:themeFill="accent1" w:themeFillTint="99"/>
          </w:tcPr>
          <w:p w:rsidR="0015528C" w:rsidRPr="00F012F8" w:rsidRDefault="0015528C" w:rsidP="0015528C">
            <w:pPr>
              <w:pStyle w:val="Paragraphedeliste"/>
              <w:ind w:left="0"/>
              <w:jc w:val="center"/>
              <w:rPr>
                <w:rFonts w:cs="Times New Roman"/>
                <w:i/>
              </w:rPr>
            </w:pPr>
            <w:r w:rsidRPr="00F012F8">
              <w:rPr>
                <w:rFonts w:cs="Times New Roman"/>
                <w:i/>
              </w:rPr>
              <w:t>Type</w:t>
            </w:r>
          </w:p>
        </w:tc>
        <w:tc>
          <w:tcPr>
            <w:tcW w:w="4536" w:type="dxa"/>
            <w:shd w:val="clear" w:color="auto" w:fill="95B3D7" w:themeFill="accent1" w:themeFillTint="99"/>
          </w:tcPr>
          <w:p w:rsidR="0015528C" w:rsidRPr="00F012F8" w:rsidRDefault="0015528C" w:rsidP="0015528C">
            <w:pPr>
              <w:pStyle w:val="Paragraphedeliste"/>
              <w:ind w:left="0"/>
              <w:jc w:val="center"/>
              <w:rPr>
                <w:rFonts w:cs="Times New Roman"/>
                <w:i/>
              </w:rPr>
            </w:pPr>
            <w:r w:rsidRPr="00F012F8">
              <w:rPr>
                <w:rFonts w:cs="Times New Roman"/>
                <w:i/>
              </w:rPr>
              <w:t>Incidence</w:t>
            </w:r>
          </w:p>
        </w:tc>
        <w:tc>
          <w:tcPr>
            <w:tcW w:w="2970" w:type="dxa"/>
            <w:shd w:val="clear" w:color="auto" w:fill="95B3D7" w:themeFill="accent1" w:themeFillTint="99"/>
          </w:tcPr>
          <w:p w:rsidR="0015528C" w:rsidRPr="00F012F8" w:rsidRDefault="0015528C" w:rsidP="0015528C">
            <w:pPr>
              <w:pStyle w:val="Paragraphedeliste"/>
              <w:ind w:left="0"/>
              <w:jc w:val="center"/>
              <w:rPr>
                <w:rFonts w:cs="Times New Roman"/>
                <w:i/>
              </w:rPr>
            </w:pPr>
            <w:r w:rsidRPr="00F012F8">
              <w:rPr>
                <w:rFonts w:cs="Times New Roman"/>
                <w:i/>
              </w:rPr>
              <w:t>Survie à 5 ans</w:t>
            </w:r>
          </w:p>
        </w:tc>
      </w:tr>
      <w:tr w:rsidR="0008476E" w:rsidRPr="00F012F8" w:rsidTr="0015528C">
        <w:tc>
          <w:tcPr>
            <w:tcW w:w="3150" w:type="dxa"/>
          </w:tcPr>
          <w:p w:rsidR="0008476E" w:rsidRPr="00F012F8" w:rsidRDefault="0008476E" w:rsidP="000D519C">
            <w:pPr>
              <w:pStyle w:val="Paragraphedeliste"/>
              <w:ind w:left="0"/>
              <w:rPr>
                <w:rFonts w:cs="Times New Roman"/>
              </w:rPr>
            </w:pPr>
            <w:r w:rsidRPr="00F012F8">
              <w:rPr>
                <w:rFonts w:cs="Times New Roman"/>
              </w:rPr>
              <w:t>Adénocarcinome</w:t>
            </w:r>
          </w:p>
        </w:tc>
        <w:tc>
          <w:tcPr>
            <w:tcW w:w="4536" w:type="dxa"/>
          </w:tcPr>
          <w:p w:rsidR="0008476E" w:rsidRPr="00F012F8" w:rsidRDefault="0015528C" w:rsidP="000D519C">
            <w:pPr>
              <w:pStyle w:val="Paragraphedeliste"/>
              <w:ind w:left="0"/>
              <w:rPr>
                <w:rFonts w:cs="Times New Roman"/>
              </w:rPr>
            </w:pPr>
            <w:r w:rsidRPr="00F012F8">
              <w:rPr>
                <w:rFonts w:cs="Times New Roman"/>
              </w:rPr>
              <w:t xml:space="preserve">35% </w:t>
            </w:r>
            <w:hyperlink r:id="rId182" w:tooltip="♂" w:history="1">
              <w:r w:rsidRPr="00F012F8">
                <w:rPr>
                  <w:rStyle w:val="Lienhypertexte"/>
                  <w:rFonts w:cs="Times New Roman"/>
                  <w:color w:val="0B0080"/>
                  <w:sz w:val="20"/>
                  <w:szCs w:val="20"/>
                  <w:u w:val="none"/>
                  <w:shd w:val="clear" w:color="auto" w:fill="FFFFFF"/>
                </w:rPr>
                <w:t>♂</w:t>
              </w:r>
            </w:hyperlink>
            <w:r w:rsidRPr="00F012F8">
              <w:rPr>
                <w:rStyle w:val="Lienhypertexte"/>
                <w:rFonts w:cs="Times New Roman"/>
                <w:color w:val="0B0080"/>
                <w:sz w:val="20"/>
                <w:szCs w:val="20"/>
                <w:u w:val="none"/>
                <w:shd w:val="clear" w:color="auto" w:fill="FFFFFF"/>
              </w:rPr>
              <w:t xml:space="preserve"> </w:t>
            </w:r>
            <w:r w:rsidRPr="00F012F8">
              <w:rPr>
                <w:rFonts w:cs="Times New Roman"/>
              </w:rPr>
              <w:t>40%</w:t>
            </w:r>
            <w:r w:rsidRPr="00F012F8">
              <w:rPr>
                <w:rFonts w:cs="Times New Roman"/>
                <w:bCs/>
                <w:color w:val="252525"/>
                <w:sz w:val="20"/>
                <w:szCs w:val="20"/>
                <w:shd w:val="clear" w:color="auto" w:fill="FFFFFF"/>
              </w:rPr>
              <w:t>♀ (le + fréquent chez les non-fumeurs)</w:t>
            </w:r>
          </w:p>
        </w:tc>
        <w:tc>
          <w:tcPr>
            <w:tcW w:w="2970" w:type="dxa"/>
          </w:tcPr>
          <w:p w:rsidR="0008476E" w:rsidRPr="00F012F8" w:rsidRDefault="0015528C" w:rsidP="000D519C">
            <w:pPr>
              <w:pStyle w:val="Paragraphedeliste"/>
              <w:ind w:left="0"/>
              <w:rPr>
                <w:rFonts w:cs="Times New Roman"/>
              </w:rPr>
            </w:pPr>
            <w:r w:rsidRPr="00F012F8">
              <w:rPr>
                <w:rFonts w:cs="Times New Roman"/>
              </w:rPr>
              <w:t>12%</w:t>
            </w:r>
          </w:p>
        </w:tc>
      </w:tr>
      <w:tr w:rsidR="0008476E" w:rsidRPr="00F012F8" w:rsidTr="0015528C">
        <w:tc>
          <w:tcPr>
            <w:tcW w:w="3150" w:type="dxa"/>
          </w:tcPr>
          <w:p w:rsidR="0008476E" w:rsidRPr="00F012F8" w:rsidRDefault="0008476E" w:rsidP="008575D1">
            <w:pPr>
              <w:pStyle w:val="Paragraphedeliste"/>
              <w:ind w:left="0"/>
              <w:rPr>
                <w:rFonts w:cs="Times New Roman"/>
              </w:rPr>
            </w:pPr>
            <w:r w:rsidRPr="00F012F8">
              <w:rPr>
                <w:rFonts w:cs="Times New Roman"/>
              </w:rPr>
              <w:t>Carcinome épi</w:t>
            </w:r>
            <w:r w:rsidR="008575D1" w:rsidRPr="00F012F8">
              <w:rPr>
                <w:rFonts w:cs="Times New Roman"/>
              </w:rPr>
              <w:t xml:space="preserve">dermoïde </w:t>
            </w:r>
            <w:r w:rsidRPr="00F012F8">
              <w:rPr>
                <w:rFonts w:cs="Times New Roman"/>
              </w:rPr>
              <w:t>(SCC)</w:t>
            </w:r>
          </w:p>
        </w:tc>
        <w:tc>
          <w:tcPr>
            <w:tcW w:w="4536" w:type="dxa"/>
          </w:tcPr>
          <w:p w:rsidR="0008476E" w:rsidRPr="00F012F8" w:rsidRDefault="0015528C" w:rsidP="000D519C">
            <w:pPr>
              <w:pStyle w:val="Paragraphedeliste"/>
              <w:ind w:left="0"/>
              <w:rPr>
                <w:rFonts w:cs="Times New Roman"/>
              </w:rPr>
            </w:pPr>
            <w:r w:rsidRPr="00F012F8">
              <w:rPr>
                <w:rFonts w:cs="Times New Roman"/>
              </w:rPr>
              <w:t>30%</w:t>
            </w:r>
          </w:p>
        </w:tc>
        <w:tc>
          <w:tcPr>
            <w:tcW w:w="2970" w:type="dxa"/>
          </w:tcPr>
          <w:p w:rsidR="0008476E" w:rsidRPr="00F012F8" w:rsidRDefault="0015528C" w:rsidP="000D519C">
            <w:pPr>
              <w:pStyle w:val="Paragraphedeliste"/>
              <w:ind w:left="0"/>
              <w:rPr>
                <w:rFonts w:cs="Times New Roman"/>
              </w:rPr>
            </w:pPr>
            <w:r w:rsidRPr="00F012F8">
              <w:rPr>
                <w:rFonts w:cs="Times New Roman"/>
              </w:rPr>
              <w:t>25%</w:t>
            </w:r>
          </w:p>
        </w:tc>
      </w:tr>
      <w:tr w:rsidR="0008476E" w:rsidRPr="00F012F8" w:rsidTr="0015528C">
        <w:tc>
          <w:tcPr>
            <w:tcW w:w="3150" w:type="dxa"/>
          </w:tcPr>
          <w:p w:rsidR="0008476E" w:rsidRPr="00F012F8" w:rsidRDefault="0015528C" w:rsidP="000D519C">
            <w:pPr>
              <w:pStyle w:val="Paragraphedeliste"/>
              <w:ind w:left="0"/>
              <w:rPr>
                <w:rFonts w:cs="Times New Roman"/>
                <w:highlight w:val="yellow"/>
              </w:rPr>
            </w:pPr>
            <w:r w:rsidRPr="00F012F8">
              <w:rPr>
                <w:rFonts w:cs="Times New Roman"/>
                <w:highlight w:val="yellow"/>
              </w:rPr>
              <w:t>À petites cellules (SCLC)</w:t>
            </w:r>
          </w:p>
        </w:tc>
        <w:tc>
          <w:tcPr>
            <w:tcW w:w="4536" w:type="dxa"/>
          </w:tcPr>
          <w:p w:rsidR="0008476E" w:rsidRPr="00F012F8" w:rsidRDefault="0015528C" w:rsidP="000D519C">
            <w:pPr>
              <w:pStyle w:val="Paragraphedeliste"/>
              <w:ind w:left="0"/>
              <w:rPr>
                <w:rFonts w:cs="Times New Roman"/>
                <w:highlight w:val="yellow"/>
              </w:rPr>
            </w:pPr>
            <w:r w:rsidRPr="00F012F8">
              <w:rPr>
                <w:rFonts w:cs="Times New Roman"/>
                <w:highlight w:val="yellow"/>
              </w:rPr>
              <w:t>25%</w:t>
            </w:r>
          </w:p>
        </w:tc>
        <w:tc>
          <w:tcPr>
            <w:tcW w:w="2970" w:type="dxa"/>
          </w:tcPr>
          <w:p w:rsidR="0008476E" w:rsidRPr="00F012F8" w:rsidRDefault="0015528C" w:rsidP="000D519C">
            <w:pPr>
              <w:pStyle w:val="Paragraphedeliste"/>
              <w:ind w:left="0"/>
              <w:rPr>
                <w:rFonts w:cs="Times New Roman"/>
                <w:highlight w:val="yellow"/>
              </w:rPr>
            </w:pPr>
            <w:r w:rsidRPr="00F012F8">
              <w:rPr>
                <w:rFonts w:cs="Times New Roman"/>
                <w:highlight w:val="yellow"/>
              </w:rPr>
              <w:t>1%</w:t>
            </w:r>
          </w:p>
        </w:tc>
      </w:tr>
      <w:tr w:rsidR="0008476E" w:rsidRPr="00F012F8" w:rsidTr="0015528C">
        <w:tc>
          <w:tcPr>
            <w:tcW w:w="3150" w:type="dxa"/>
          </w:tcPr>
          <w:p w:rsidR="0008476E" w:rsidRPr="00F012F8" w:rsidRDefault="0015528C" w:rsidP="000D519C">
            <w:pPr>
              <w:pStyle w:val="Paragraphedeliste"/>
              <w:ind w:left="0"/>
              <w:rPr>
                <w:rFonts w:cs="Times New Roman"/>
              </w:rPr>
            </w:pPr>
            <w:r w:rsidRPr="00F012F8">
              <w:rPr>
                <w:rFonts w:cs="Times New Roman"/>
              </w:rPr>
              <w:t xml:space="preserve">À grandes cellules </w:t>
            </w:r>
          </w:p>
        </w:tc>
        <w:tc>
          <w:tcPr>
            <w:tcW w:w="4536" w:type="dxa"/>
          </w:tcPr>
          <w:p w:rsidR="0008476E" w:rsidRPr="00F012F8" w:rsidRDefault="0015528C" w:rsidP="000D519C">
            <w:pPr>
              <w:pStyle w:val="Paragraphedeliste"/>
              <w:ind w:left="0"/>
              <w:rPr>
                <w:rFonts w:cs="Times New Roman"/>
              </w:rPr>
            </w:pPr>
            <w:r w:rsidRPr="00F012F8">
              <w:rPr>
                <w:rFonts w:cs="Times New Roman"/>
              </w:rPr>
              <w:t>10-15%</w:t>
            </w:r>
          </w:p>
        </w:tc>
        <w:tc>
          <w:tcPr>
            <w:tcW w:w="2970" w:type="dxa"/>
          </w:tcPr>
          <w:p w:rsidR="0008476E" w:rsidRPr="00F012F8" w:rsidRDefault="0015528C" w:rsidP="000D519C">
            <w:pPr>
              <w:pStyle w:val="Paragraphedeliste"/>
              <w:ind w:left="0"/>
              <w:rPr>
                <w:rFonts w:cs="Times New Roman"/>
              </w:rPr>
            </w:pPr>
            <w:r w:rsidRPr="00F012F8">
              <w:rPr>
                <w:rFonts w:cs="Times New Roman"/>
              </w:rPr>
              <w:t>13%</w:t>
            </w:r>
          </w:p>
        </w:tc>
      </w:tr>
    </w:tbl>
    <w:p w:rsidR="00B72D77" w:rsidRPr="00F012F8" w:rsidRDefault="00B72D77" w:rsidP="000D519C">
      <w:pPr>
        <w:pStyle w:val="Paragraphedeliste"/>
        <w:ind w:left="360"/>
        <w:rPr>
          <w:rFonts w:cs="Times New Roman"/>
          <w:b/>
        </w:rPr>
      </w:pPr>
    </w:p>
    <w:p w:rsidR="0008476E" w:rsidRPr="00F012F8" w:rsidRDefault="0008476E" w:rsidP="00B72D77">
      <w:pPr>
        <w:pStyle w:val="Paragraphedeliste"/>
        <w:ind w:left="0"/>
        <w:rPr>
          <w:rFonts w:cs="Times New Roman"/>
          <w:u w:val="single"/>
        </w:rPr>
      </w:pPr>
      <w:r w:rsidRPr="00F012F8">
        <w:rPr>
          <w:rFonts w:cs="Times New Roman"/>
          <w:u w:val="single"/>
        </w:rPr>
        <w:t>Présentation</w:t>
      </w:r>
    </w:p>
    <w:p w:rsidR="0008476E" w:rsidRPr="00F012F8" w:rsidRDefault="00B72D77" w:rsidP="00C916D0">
      <w:pPr>
        <w:pStyle w:val="Paragraphedeliste"/>
        <w:numPr>
          <w:ilvl w:val="0"/>
          <w:numId w:val="75"/>
        </w:numPr>
        <w:ind w:left="360"/>
        <w:rPr>
          <w:rFonts w:cs="Times New Roman"/>
          <w:highlight w:val="yellow"/>
        </w:rPr>
      </w:pPr>
      <w:r w:rsidRPr="00F012F8">
        <w:rPr>
          <w:rFonts w:cs="Times New Roman"/>
          <w:highlight w:val="yellow"/>
        </w:rPr>
        <w:t>Toux (7</w:t>
      </w:r>
      <w:r w:rsidR="00B76A25" w:rsidRPr="00F012F8">
        <w:rPr>
          <w:rFonts w:cs="Times New Roman"/>
          <w:highlight w:val="yellow"/>
        </w:rPr>
        <w:t>4-7</w:t>
      </w:r>
      <w:r w:rsidRPr="00F012F8">
        <w:rPr>
          <w:rFonts w:cs="Times New Roman"/>
          <w:highlight w:val="yellow"/>
        </w:rPr>
        <w:t>5%), dyspnée (60%), douleur thoracique (45</w:t>
      </w:r>
      <w:r w:rsidR="00B76A25" w:rsidRPr="00F012F8">
        <w:rPr>
          <w:rFonts w:cs="Times New Roman"/>
          <w:highlight w:val="yellow"/>
        </w:rPr>
        <w:t>-49</w:t>
      </w:r>
      <w:r w:rsidRPr="00F012F8">
        <w:rPr>
          <w:rFonts w:cs="Times New Roman"/>
          <w:highlight w:val="yellow"/>
        </w:rPr>
        <w:t>%), hémoptysies (35%), autre douleur, anorexie, fièvre, perte de poids</w:t>
      </w:r>
      <w:r w:rsidR="00B76A25" w:rsidRPr="00F012F8">
        <w:rPr>
          <w:rFonts w:cs="Times New Roman"/>
          <w:highlight w:val="yellow"/>
        </w:rPr>
        <w:t xml:space="preserve"> (68%)</w:t>
      </w:r>
      <w:r w:rsidRPr="00F012F8">
        <w:rPr>
          <w:rFonts w:cs="Times New Roman"/>
          <w:highlight w:val="yellow"/>
        </w:rPr>
        <w:t>, anémie</w:t>
      </w:r>
    </w:p>
    <w:p w:rsidR="00B72D77" w:rsidRPr="00F012F8" w:rsidRDefault="00B72D77" w:rsidP="00B72D77">
      <w:pPr>
        <w:pStyle w:val="Paragraphedeliste"/>
        <w:ind w:left="0"/>
        <w:rPr>
          <w:rFonts w:cs="Times New Roman"/>
        </w:rPr>
      </w:pPr>
    </w:p>
    <w:p w:rsidR="00B72D77" w:rsidRPr="00F012F8" w:rsidRDefault="00B72D77" w:rsidP="00C916D0">
      <w:pPr>
        <w:pStyle w:val="Paragraphedeliste"/>
        <w:numPr>
          <w:ilvl w:val="0"/>
          <w:numId w:val="75"/>
        </w:numPr>
        <w:ind w:left="360"/>
        <w:rPr>
          <w:rFonts w:cs="Times New Roman"/>
        </w:rPr>
      </w:pPr>
      <w:r w:rsidRPr="00F012F8">
        <w:rPr>
          <w:rFonts w:cs="Times New Roman"/>
          <w:i/>
        </w:rPr>
        <w:t xml:space="preserve">Examen </w:t>
      </w:r>
      <w:r w:rsidR="00B76A25" w:rsidRPr="00F012F8">
        <w:rPr>
          <w:rFonts w:cs="Times New Roman"/>
          <w:i/>
        </w:rPr>
        <w:t>physique</w:t>
      </w:r>
      <w:r w:rsidR="00B76A25" w:rsidRPr="00F012F8">
        <w:rPr>
          <w:rFonts w:cs="Times New Roman"/>
        </w:rPr>
        <w:t> : hippocratisme digital, adénopathies, voix rauque, stridor/wheezing (selon le site)</w:t>
      </w:r>
    </w:p>
    <w:p w:rsidR="00B72D77" w:rsidRPr="00F012F8" w:rsidRDefault="00B72D77" w:rsidP="00B72D77">
      <w:pPr>
        <w:pStyle w:val="Paragraphedeliste"/>
        <w:ind w:left="0"/>
        <w:rPr>
          <w:rFonts w:cs="Times New Roman"/>
        </w:rPr>
      </w:pPr>
    </w:p>
    <w:p w:rsidR="00B72D77" w:rsidRPr="00F012F8" w:rsidRDefault="00B72D77" w:rsidP="00C916D0">
      <w:pPr>
        <w:pStyle w:val="Paragraphedeliste"/>
        <w:numPr>
          <w:ilvl w:val="0"/>
          <w:numId w:val="75"/>
        </w:numPr>
        <w:ind w:left="360"/>
        <w:rPr>
          <w:rFonts w:cs="Times New Roman"/>
        </w:rPr>
      </w:pPr>
      <w:r w:rsidRPr="00F012F8">
        <w:rPr>
          <w:rFonts w:cs="Times New Roman"/>
        </w:rPr>
        <w:t>Myriade d’autre</w:t>
      </w:r>
      <w:r w:rsidR="00FB6A14" w:rsidRPr="00F012F8">
        <w:rPr>
          <w:rFonts w:cs="Times New Roman"/>
        </w:rPr>
        <w:t>s</w:t>
      </w:r>
      <w:r w:rsidRPr="00F012F8">
        <w:rPr>
          <w:rFonts w:cs="Times New Roman"/>
        </w:rPr>
        <w:t xml:space="preserve"> symptômes selon sites de métastase et symptômes paranéoplasiques (épanchement pleuraux, épanchement péricardique, </w:t>
      </w:r>
      <w:r w:rsidR="00133895" w:rsidRPr="00F012F8">
        <w:rPr>
          <w:rFonts w:cs="Times New Roman"/>
        </w:rPr>
        <w:t xml:space="preserve">hypercalcémie </w:t>
      </w:r>
      <w:r w:rsidRPr="00F012F8">
        <w:rPr>
          <w:rFonts w:cs="Times New Roman"/>
        </w:rPr>
        <w:t>, etc.)</w:t>
      </w:r>
    </w:p>
    <w:p w:rsidR="00133895" w:rsidRPr="00F012F8" w:rsidRDefault="00133895" w:rsidP="00133895">
      <w:pPr>
        <w:pStyle w:val="Paragraphedeliste"/>
        <w:rPr>
          <w:rFonts w:cs="Times New Roman"/>
        </w:rPr>
      </w:pPr>
    </w:p>
    <w:p w:rsidR="00133895" w:rsidRPr="00F012F8" w:rsidRDefault="00133895" w:rsidP="00C916D0">
      <w:pPr>
        <w:pStyle w:val="Paragraphedeliste"/>
        <w:numPr>
          <w:ilvl w:val="0"/>
          <w:numId w:val="75"/>
        </w:numPr>
        <w:ind w:left="360"/>
        <w:rPr>
          <w:rFonts w:cs="Times New Roman"/>
          <w:highlight w:val="yellow"/>
        </w:rPr>
      </w:pPr>
      <w:r w:rsidRPr="00F012F8">
        <w:rPr>
          <w:rFonts w:cs="Times New Roman"/>
          <w:highlight w:val="yellow"/>
        </w:rPr>
        <w:t>Notons : SIADH, Syndrome de la veine cave supérieure (SVCS), Syndrome de Pancoast</w:t>
      </w:r>
      <w:r w:rsidR="00163351" w:rsidRPr="00F012F8">
        <w:rPr>
          <w:rFonts w:cs="Times New Roman"/>
        </w:rPr>
        <w:t xml:space="preserve"> (paresthésies C8-D1 + Horner par atteinte radiculaire et du ganglion stellaire)</w:t>
      </w:r>
    </w:p>
    <w:p w:rsidR="0008476E" w:rsidRPr="00F012F8" w:rsidRDefault="0008476E" w:rsidP="000D519C">
      <w:pPr>
        <w:pStyle w:val="Paragraphedeliste"/>
        <w:ind w:left="360"/>
        <w:rPr>
          <w:rFonts w:cs="Times New Roman"/>
        </w:rPr>
      </w:pPr>
    </w:p>
    <w:p w:rsidR="00B956D9" w:rsidRPr="00F012F8" w:rsidRDefault="00B956D9" w:rsidP="000D519C">
      <w:pPr>
        <w:pStyle w:val="Paragraphedeliste"/>
        <w:ind w:left="360"/>
        <w:rPr>
          <w:rFonts w:cs="Times New Roman"/>
        </w:rPr>
      </w:pPr>
    </w:p>
    <w:p w:rsidR="009425BE" w:rsidRPr="00F012F8" w:rsidRDefault="009425BE" w:rsidP="00C916D0">
      <w:pPr>
        <w:pStyle w:val="Paragraphedeliste"/>
        <w:numPr>
          <w:ilvl w:val="0"/>
          <w:numId w:val="69"/>
        </w:numPr>
        <w:rPr>
          <w:rFonts w:cs="Times New Roman"/>
          <w:b/>
          <w:sz w:val="24"/>
          <w:szCs w:val="24"/>
        </w:rPr>
      </w:pPr>
      <w:r w:rsidRPr="00F012F8">
        <w:rPr>
          <w:rFonts w:cs="Times New Roman"/>
          <w:b/>
          <w:sz w:val="24"/>
          <w:szCs w:val="24"/>
        </w:rPr>
        <w:t xml:space="preserve">Anévrysme </w:t>
      </w:r>
      <w:r w:rsidR="000D519C" w:rsidRPr="00F012F8">
        <w:rPr>
          <w:rFonts w:cs="Times New Roman"/>
          <w:b/>
          <w:sz w:val="24"/>
          <w:szCs w:val="24"/>
        </w:rPr>
        <w:t xml:space="preserve">de l’aorte thoracique </w:t>
      </w:r>
    </w:p>
    <w:p w:rsidR="00530AB4" w:rsidRPr="00F012F8" w:rsidRDefault="00530AB4" w:rsidP="00530AB4">
      <w:pPr>
        <w:pStyle w:val="Paragraphedeliste"/>
        <w:ind w:left="360"/>
        <w:rPr>
          <w:rFonts w:cs="Times New Roman"/>
          <w:sz w:val="24"/>
          <w:szCs w:val="24"/>
          <w:u w:val="single"/>
        </w:rPr>
      </w:pPr>
    </w:p>
    <w:p w:rsidR="00530AB4" w:rsidRPr="00F012F8" w:rsidRDefault="00530AB4" w:rsidP="00C916D0">
      <w:pPr>
        <w:pStyle w:val="Paragraphedeliste"/>
        <w:numPr>
          <w:ilvl w:val="0"/>
          <w:numId w:val="72"/>
        </w:numPr>
        <w:spacing w:after="0"/>
        <w:rPr>
          <w:rFonts w:cs="Times New Roman"/>
        </w:rPr>
        <w:sectPr w:rsidR="00530AB4" w:rsidRPr="00F012F8" w:rsidSect="00A35E51">
          <w:type w:val="continuous"/>
          <w:pgSz w:w="12240" w:h="15840"/>
          <w:pgMar w:top="720" w:right="720" w:bottom="720" w:left="720" w:header="708" w:footer="708" w:gutter="0"/>
          <w:cols w:space="708"/>
          <w:docGrid w:linePitch="360"/>
        </w:sectPr>
      </w:pPr>
    </w:p>
    <w:p w:rsidR="000D519C" w:rsidRPr="00F012F8" w:rsidRDefault="008E3CD7" w:rsidP="00C916D0">
      <w:pPr>
        <w:pStyle w:val="Paragraphedeliste"/>
        <w:numPr>
          <w:ilvl w:val="0"/>
          <w:numId w:val="72"/>
        </w:numPr>
        <w:spacing w:after="0"/>
        <w:rPr>
          <w:rFonts w:cs="Times New Roman"/>
        </w:rPr>
      </w:pPr>
      <w:r w:rsidRPr="00F012F8">
        <w:rPr>
          <w:rFonts w:cs="Times New Roman"/>
          <w:noProof/>
          <w:lang w:eastAsia="fr-CA"/>
        </w:rPr>
        <w:drawing>
          <wp:anchor distT="0" distB="0" distL="114300" distR="114300" simplePos="0" relativeHeight="251677696" behindDoc="0" locked="0" layoutInCell="1" allowOverlap="1" wp14:anchorId="157149C0" wp14:editId="3627189A">
            <wp:simplePos x="0" y="0"/>
            <wp:positionH relativeFrom="column">
              <wp:posOffset>2522220</wp:posOffset>
            </wp:positionH>
            <wp:positionV relativeFrom="paragraph">
              <wp:posOffset>393700</wp:posOffset>
            </wp:positionV>
            <wp:extent cx="1266190" cy="1758315"/>
            <wp:effectExtent l="0" t="0" r="0" b="0"/>
            <wp:wrapNone/>
            <wp:docPr id="17" name="Image 17" descr="Résultats de recherche d'images pour « anévrisme aorte thoraciqu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Résultats de recherche d'images pour « anévrisme aorte thoracique »"/>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1266190" cy="1758315"/>
                    </a:xfrm>
                    <a:prstGeom prst="rect">
                      <a:avLst/>
                    </a:prstGeom>
                    <a:noFill/>
                    <a:ln>
                      <a:noFill/>
                    </a:ln>
                  </pic:spPr>
                </pic:pic>
              </a:graphicData>
            </a:graphic>
            <wp14:sizeRelH relativeFrom="page">
              <wp14:pctWidth>0</wp14:pctWidth>
            </wp14:sizeRelH>
            <wp14:sizeRelV relativeFrom="page">
              <wp14:pctHeight>0</wp14:pctHeight>
            </wp14:sizeRelV>
          </wp:anchor>
        </w:drawing>
      </w:r>
      <w:r w:rsidR="000D519C" w:rsidRPr="00F012F8">
        <w:rPr>
          <w:rFonts w:cs="Times New Roman"/>
        </w:rPr>
        <w:t>Vrai</w:t>
      </w:r>
      <w:r w:rsidR="00C15EA4" w:rsidRPr="00F012F8">
        <w:rPr>
          <w:rFonts w:cs="Times New Roman"/>
        </w:rPr>
        <w:t xml:space="preserve"> anévrysme</w:t>
      </w:r>
      <w:r w:rsidR="000D519C" w:rsidRPr="00F012F8">
        <w:rPr>
          <w:rFonts w:cs="Times New Roman"/>
        </w:rPr>
        <w:t> </w:t>
      </w:r>
      <w:r w:rsidR="00530AB4" w:rsidRPr="00F012F8">
        <w:rPr>
          <w:rFonts w:cs="Times New Roman"/>
        </w:rPr>
        <w:t>(</w:t>
      </w:r>
      <w:r w:rsidR="000D519C" w:rsidRPr="00F012F8">
        <w:rPr>
          <w:rFonts w:cs="Times New Roman"/>
        </w:rPr>
        <w:t>inclut toutes les couches cellulaires</w:t>
      </w:r>
      <w:r w:rsidR="00530AB4" w:rsidRPr="00F012F8">
        <w:rPr>
          <w:rFonts w:cs="Times New Roman"/>
        </w:rPr>
        <w:t>)</w:t>
      </w:r>
      <w:r w:rsidR="000D519C" w:rsidRPr="00F012F8">
        <w:rPr>
          <w:rFonts w:cs="Times New Roman"/>
        </w:rPr>
        <w:t xml:space="preserve"> </w:t>
      </w:r>
      <w:r w:rsidR="00530AB4" w:rsidRPr="00F012F8">
        <w:rPr>
          <w:rFonts w:cs="Times New Roman"/>
        </w:rPr>
        <w:t>vs p</w:t>
      </w:r>
      <w:r w:rsidR="000D519C" w:rsidRPr="00F012F8">
        <w:rPr>
          <w:rFonts w:cs="Times New Roman"/>
        </w:rPr>
        <w:t>seudoanévrysme </w:t>
      </w:r>
      <w:r w:rsidR="00530AB4" w:rsidRPr="00F012F8">
        <w:rPr>
          <w:rFonts w:cs="Times New Roman"/>
        </w:rPr>
        <w:t>(</w:t>
      </w:r>
      <w:r w:rsidR="000D519C" w:rsidRPr="00F012F8">
        <w:rPr>
          <w:rFonts w:cs="Times New Roman"/>
        </w:rPr>
        <w:t xml:space="preserve">hématome </w:t>
      </w:r>
      <w:r w:rsidR="00530AB4" w:rsidRPr="00F012F8">
        <w:rPr>
          <w:rFonts w:cs="Times New Roman"/>
        </w:rPr>
        <w:t>infiltrant la paroi)</w:t>
      </w:r>
    </w:p>
    <w:p w:rsidR="00530AB4" w:rsidRPr="00F012F8" w:rsidRDefault="000D519C" w:rsidP="00C916D0">
      <w:pPr>
        <w:pStyle w:val="Paragraphedeliste"/>
        <w:numPr>
          <w:ilvl w:val="0"/>
          <w:numId w:val="72"/>
        </w:numPr>
        <w:spacing w:after="0"/>
        <w:rPr>
          <w:rFonts w:cs="Times New Roman"/>
        </w:rPr>
      </w:pPr>
      <w:r w:rsidRPr="00F012F8">
        <w:rPr>
          <w:rFonts w:cs="Times New Roman"/>
        </w:rPr>
        <w:t>Incidence</w:t>
      </w:r>
      <w:r w:rsidR="00530AB4" w:rsidRPr="00F012F8">
        <w:rPr>
          <w:rFonts w:cs="Times New Roman"/>
        </w:rPr>
        <w:t> </w:t>
      </w:r>
      <w:r w:rsidRPr="00F012F8">
        <w:rPr>
          <w:rFonts w:cs="Times New Roman"/>
        </w:rPr>
        <w:t>5,9/100 000</w:t>
      </w:r>
      <w:r w:rsidR="00530AB4" w:rsidRPr="00F012F8">
        <w:rPr>
          <w:rFonts w:cs="Times New Roman"/>
        </w:rPr>
        <w:t xml:space="preserve"> </w:t>
      </w:r>
    </w:p>
    <w:p w:rsidR="000D519C" w:rsidRPr="00F012F8" w:rsidRDefault="000D519C" w:rsidP="00C916D0">
      <w:pPr>
        <w:pStyle w:val="Paragraphedeliste"/>
        <w:numPr>
          <w:ilvl w:val="0"/>
          <w:numId w:val="72"/>
        </w:numPr>
        <w:spacing w:after="0"/>
        <w:rPr>
          <w:rFonts w:cs="Times New Roman"/>
        </w:rPr>
      </w:pPr>
      <w:r w:rsidRPr="00F012F8">
        <w:rPr>
          <w:rFonts w:cs="Times New Roman"/>
        </w:rPr>
        <w:t>Facteurs de risques</w:t>
      </w:r>
    </w:p>
    <w:p w:rsidR="000D519C" w:rsidRPr="00F012F8" w:rsidRDefault="000D519C" w:rsidP="00C916D0">
      <w:pPr>
        <w:pStyle w:val="Paragraphedeliste"/>
        <w:numPr>
          <w:ilvl w:val="1"/>
          <w:numId w:val="57"/>
        </w:numPr>
        <w:spacing w:after="0"/>
        <w:rPr>
          <w:rFonts w:cs="Times New Roman"/>
          <w:sz w:val="20"/>
          <w:szCs w:val="20"/>
          <w:highlight w:val="yellow"/>
        </w:rPr>
      </w:pPr>
      <w:r w:rsidRPr="00F012F8">
        <w:rPr>
          <w:rFonts w:cs="Times New Roman"/>
          <w:sz w:val="20"/>
          <w:szCs w:val="20"/>
          <w:highlight w:val="yellow"/>
        </w:rPr>
        <w:t xml:space="preserve">3,8 </w:t>
      </w:r>
      <w:hyperlink r:id="rId184" w:tooltip="♂" w:history="1">
        <w:r w:rsidRPr="00F012F8">
          <w:rPr>
            <w:rStyle w:val="Lienhypertexte"/>
            <w:rFonts w:cs="Times New Roman"/>
            <w:color w:val="0B0080"/>
            <w:sz w:val="20"/>
            <w:szCs w:val="20"/>
            <w:highlight w:val="yellow"/>
            <w:u w:val="none"/>
            <w:shd w:val="clear" w:color="auto" w:fill="FFFFFF"/>
          </w:rPr>
          <w:t>♂</w:t>
        </w:r>
      </w:hyperlink>
      <w:r w:rsidRPr="00F012F8">
        <w:rPr>
          <w:rStyle w:val="Lienhypertexte"/>
          <w:rFonts w:cs="Times New Roman"/>
          <w:color w:val="0B0080"/>
          <w:sz w:val="20"/>
          <w:szCs w:val="20"/>
          <w:highlight w:val="yellow"/>
          <w:u w:val="none"/>
          <w:shd w:val="clear" w:color="auto" w:fill="FFFFFF"/>
        </w:rPr>
        <w:t> : 1</w:t>
      </w:r>
      <w:r w:rsidRPr="00F012F8">
        <w:rPr>
          <w:rFonts w:cs="Times New Roman"/>
          <w:bCs/>
          <w:color w:val="252525"/>
          <w:sz w:val="20"/>
          <w:szCs w:val="20"/>
          <w:highlight w:val="yellow"/>
          <w:shd w:val="clear" w:color="auto" w:fill="FFFFFF"/>
        </w:rPr>
        <w:t>♀</w:t>
      </w:r>
    </w:p>
    <w:p w:rsidR="000D519C" w:rsidRPr="00F012F8" w:rsidRDefault="000D519C" w:rsidP="00C916D0">
      <w:pPr>
        <w:pStyle w:val="Paragraphedeliste"/>
        <w:numPr>
          <w:ilvl w:val="1"/>
          <w:numId w:val="57"/>
        </w:numPr>
        <w:spacing w:after="0"/>
        <w:rPr>
          <w:rFonts w:cs="Times New Roman"/>
          <w:sz w:val="20"/>
          <w:szCs w:val="20"/>
          <w:highlight w:val="yellow"/>
        </w:rPr>
      </w:pPr>
      <w:r w:rsidRPr="00F012F8">
        <w:rPr>
          <w:rFonts w:cs="Times New Roman"/>
          <w:bCs/>
          <w:color w:val="252525"/>
          <w:sz w:val="20"/>
          <w:szCs w:val="20"/>
          <w:highlight w:val="yellow"/>
          <w:shd w:val="clear" w:color="auto" w:fill="FFFFFF"/>
        </w:rPr>
        <w:t>≥ 65 ans</w:t>
      </w:r>
    </w:p>
    <w:p w:rsidR="000D519C" w:rsidRPr="00F012F8" w:rsidRDefault="000D519C" w:rsidP="00C916D0">
      <w:pPr>
        <w:pStyle w:val="Paragraphedeliste"/>
        <w:numPr>
          <w:ilvl w:val="1"/>
          <w:numId w:val="57"/>
        </w:numPr>
        <w:spacing w:after="0"/>
        <w:rPr>
          <w:rFonts w:cs="Times New Roman"/>
          <w:sz w:val="20"/>
          <w:szCs w:val="20"/>
          <w:highlight w:val="yellow"/>
        </w:rPr>
      </w:pPr>
      <w:r w:rsidRPr="00F012F8">
        <w:rPr>
          <w:rFonts w:cs="Times New Roman"/>
          <w:bCs/>
          <w:color w:val="252525"/>
          <w:sz w:val="20"/>
          <w:szCs w:val="20"/>
          <w:highlight w:val="yellow"/>
          <w:shd w:val="clear" w:color="auto" w:fill="FFFFFF"/>
        </w:rPr>
        <w:t>MCAS, MVAS, AVC</w:t>
      </w:r>
    </w:p>
    <w:p w:rsidR="000D519C" w:rsidRPr="00F012F8" w:rsidRDefault="000D519C" w:rsidP="00C15EA4">
      <w:pPr>
        <w:spacing w:after="0"/>
        <w:rPr>
          <w:rFonts w:cs="Times New Roman"/>
        </w:rPr>
      </w:pPr>
    </w:p>
    <w:p w:rsidR="000D519C" w:rsidRPr="00F012F8" w:rsidRDefault="000D519C" w:rsidP="00C15EA4">
      <w:pPr>
        <w:spacing w:after="0"/>
        <w:rPr>
          <w:rFonts w:cs="Times New Roman"/>
        </w:rPr>
      </w:pPr>
    </w:p>
    <w:p w:rsidR="00530AB4" w:rsidRPr="00F012F8" w:rsidRDefault="00530AB4" w:rsidP="00530AB4">
      <w:pPr>
        <w:pStyle w:val="Paragraphedeliste"/>
        <w:spacing w:after="0"/>
        <w:rPr>
          <w:rFonts w:cs="Times New Roman"/>
        </w:rPr>
      </w:pPr>
    </w:p>
    <w:p w:rsidR="00530AB4" w:rsidRPr="00F012F8" w:rsidRDefault="00530AB4" w:rsidP="00530AB4">
      <w:pPr>
        <w:pStyle w:val="Paragraphedeliste"/>
        <w:spacing w:after="0"/>
        <w:rPr>
          <w:rFonts w:cs="Times New Roman"/>
        </w:rPr>
      </w:pPr>
    </w:p>
    <w:p w:rsidR="000D519C" w:rsidRPr="00F012F8" w:rsidRDefault="000D519C" w:rsidP="00C916D0">
      <w:pPr>
        <w:pStyle w:val="Paragraphedeliste"/>
        <w:numPr>
          <w:ilvl w:val="0"/>
          <w:numId w:val="73"/>
        </w:numPr>
        <w:spacing w:after="0"/>
        <w:rPr>
          <w:rFonts w:cs="Times New Roman"/>
          <w:i/>
        </w:rPr>
      </w:pPr>
      <w:r w:rsidRPr="00F012F8">
        <w:rPr>
          <w:rFonts w:cs="Times New Roman"/>
          <w:i/>
        </w:rPr>
        <w:t>Étiologies</w:t>
      </w:r>
    </w:p>
    <w:p w:rsidR="000D519C" w:rsidRPr="00F012F8" w:rsidRDefault="000D519C" w:rsidP="00C916D0">
      <w:pPr>
        <w:pStyle w:val="Paragraphedeliste"/>
        <w:numPr>
          <w:ilvl w:val="0"/>
          <w:numId w:val="71"/>
        </w:numPr>
        <w:spacing w:after="0"/>
        <w:rPr>
          <w:rFonts w:cs="Times New Roman"/>
        </w:rPr>
      </w:pPr>
      <w:r w:rsidRPr="00F012F8">
        <w:rPr>
          <w:rFonts w:cs="Times New Roman"/>
        </w:rPr>
        <w:t>Dégénératif</w:t>
      </w:r>
      <w:r w:rsidR="0091389D" w:rsidRPr="00F012F8">
        <w:rPr>
          <w:rFonts w:cs="Times New Roman"/>
        </w:rPr>
        <w:t xml:space="preserve"> (sclérose)</w:t>
      </w:r>
    </w:p>
    <w:p w:rsidR="000D519C" w:rsidRPr="00F012F8" w:rsidRDefault="000D519C" w:rsidP="00C916D0">
      <w:pPr>
        <w:pStyle w:val="Paragraphedeliste"/>
        <w:numPr>
          <w:ilvl w:val="0"/>
          <w:numId w:val="71"/>
        </w:numPr>
        <w:spacing w:after="0"/>
        <w:rPr>
          <w:rFonts w:cs="Times New Roman"/>
        </w:rPr>
      </w:pPr>
      <w:r w:rsidRPr="00F012F8">
        <w:rPr>
          <w:rFonts w:cs="Times New Roman"/>
        </w:rPr>
        <w:t>Traumatique</w:t>
      </w:r>
    </w:p>
    <w:p w:rsidR="000D519C" w:rsidRPr="00F012F8" w:rsidRDefault="000D519C" w:rsidP="00C916D0">
      <w:pPr>
        <w:pStyle w:val="Paragraphedeliste"/>
        <w:numPr>
          <w:ilvl w:val="0"/>
          <w:numId w:val="71"/>
        </w:numPr>
        <w:spacing w:after="0"/>
        <w:rPr>
          <w:rFonts w:cs="Times New Roman"/>
        </w:rPr>
      </w:pPr>
      <w:r w:rsidRPr="00F012F8">
        <w:rPr>
          <w:rFonts w:cs="Times New Roman"/>
        </w:rPr>
        <w:t>Mycotique</w:t>
      </w:r>
      <w:r w:rsidR="00133895" w:rsidRPr="00F012F8">
        <w:rPr>
          <w:rFonts w:cs="Times New Roman"/>
        </w:rPr>
        <w:t xml:space="preserve"> - Infectieux</w:t>
      </w:r>
    </w:p>
    <w:p w:rsidR="000D519C" w:rsidRPr="00F012F8" w:rsidRDefault="00530AB4" w:rsidP="00C916D0">
      <w:pPr>
        <w:pStyle w:val="Paragraphedeliste"/>
        <w:numPr>
          <w:ilvl w:val="0"/>
          <w:numId w:val="71"/>
        </w:numPr>
        <w:spacing w:after="0"/>
        <w:rPr>
          <w:rFonts w:cs="Times New Roman"/>
        </w:rPr>
      </w:pPr>
      <w:r w:rsidRPr="00F012F8">
        <w:rPr>
          <w:rFonts w:cs="Times New Roman"/>
        </w:rPr>
        <w:t>Maladies du tissu</w:t>
      </w:r>
      <w:r w:rsidR="000D519C" w:rsidRPr="00F012F8">
        <w:rPr>
          <w:rFonts w:cs="Times New Roman"/>
        </w:rPr>
        <w:t xml:space="preserve"> conjonctif (Marfan, Ehler-Danlos)</w:t>
      </w:r>
    </w:p>
    <w:p w:rsidR="000D519C" w:rsidRPr="00F012F8" w:rsidRDefault="000D519C" w:rsidP="00C916D0">
      <w:pPr>
        <w:pStyle w:val="Paragraphedeliste"/>
        <w:numPr>
          <w:ilvl w:val="0"/>
          <w:numId w:val="71"/>
        </w:numPr>
        <w:spacing w:after="0"/>
        <w:rPr>
          <w:rFonts w:cs="Times New Roman"/>
        </w:rPr>
      </w:pPr>
      <w:r w:rsidRPr="00F012F8">
        <w:rPr>
          <w:rFonts w:cs="Times New Roman"/>
        </w:rPr>
        <w:t>Vasculite</w:t>
      </w:r>
    </w:p>
    <w:p w:rsidR="00530AB4" w:rsidRPr="00F012F8" w:rsidRDefault="00530AB4" w:rsidP="00C15EA4">
      <w:pPr>
        <w:spacing w:after="0"/>
        <w:rPr>
          <w:rFonts w:cs="Times New Roman"/>
        </w:rPr>
        <w:sectPr w:rsidR="00530AB4" w:rsidRPr="00F012F8" w:rsidSect="00530AB4">
          <w:type w:val="continuous"/>
          <w:pgSz w:w="12240" w:h="15840"/>
          <w:pgMar w:top="720" w:right="720" w:bottom="720" w:left="720" w:header="708" w:footer="708" w:gutter="0"/>
          <w:cols w:num="2" w:space="708"/>
          <w:docGrid w:linePitch="360"/>
        </w:sectPr>
      </w:pPr>
    </w:p>
    <w:p w:rsidR="00C15EA4" w:rsidRPr="00F012F8" w:rsidRDefault="00C15EA4" w:rsidP="00C15EA4">
      <w:pPr>
        <w:spacing w:after="0"/>
        <w:rPr>
          <w:rFonts w:cs="Times New Roman"/>
        </w:rPr>
      </w:pPr>
    </w:p>
    <w:p w:rsidR="00C15EA4" w:rsidRPr="00F012F8" w:rsidRDefault="00C15EA4" w:rsidP="00C15EA4">
      <w:pPr>
        <w:spacing w:after="0"/>
        <w:rPr>
          <w:rFonts w:cs="Times New Roman"/>
          <w:u w:val="single"/>
        </w:rPr>
      </w:pPr>
      <w:r w:rsidRPr="00F012F8">
        <w:rPr>
          <w:rFonts w:cs="Times New Roman"/>
          <w:u w:val="single"/>
        </w:rPr>
        <w:t>Présentation clinique</w:t>
      </w:r>
    </w:p>
    <w:p w:rsidR="00C15EA4" w:rsidRPr="00F012F8" w:rsidRDefault="00C15EA4" w:rsidP="00C916D0">
      <w:pPr>
        <w:pStyle w:val="Paragraphedeliste"/>
        <w:numPr>
          <w:ilvl w:val="0"/>
          <w:numId w:val="74"/>
        </w:numPr>
        <w:spacing w:after="0"/>
        <w:rPr>
          <w:rFonts w:cs="Times New Roman"/>
          <w:highlight w:val="yellow"/>
        </w:rPr>
      </w:pPr>
      <w:r w:rsidRPr="00F012F8">
        <w:rPr>
          <w:rFonts w:cs="Times New Roman"/>
          <w:highlight w:val="yellow"/>
        </w:rPr>
        <w:t xml:space="preserve">75% </w:t>
      </w:r>
      <w:r w:rsidR="0043543D" w:rsidRPr="00F012F8">
        <w:rPr>
          <w:rFonts w:cs="Times New Roman"/>
          <w:highlight w:val="yellow"/>
        </w:rPr>
        <w:t xml:space="preserve">sont </w:t>
      </w:r>
      <w:r w:rsidRPr="00F012F8">
        <w:rPr>
          <w:rFonts w:cs="Times New Roman"/>
          <w:highlight w:val="yellow"/>
        </w:rPr>
        <w:t>asymptomatique</w:t>
      </w:r>
      <w:r w:rsidR="0043543D" w:rsidRPr="00F012F8">
        <w:rPr>
          <w:rFonts w:cs="Times New Roman"/>
          <w:highlight w:val="yellow"/>
        </w:rPr>
        <w:t>s</w:t>
      </w:r>
    </w:p>
    <w:p w:rsidR="0043543D" w:rsidRPr="00F012F8" w:rsidRDefault="0043543D" w:rsidP="0043543D">
      <w:pPr>
        <w:pStyle w:val="Paragraphedeliste"/>
        <w:spacing w:after="0"/>
        <w:ind w:left="360"/>
        <w:rPr>
          <w:rFonts w:cs="Times New Roman"/>
        </w:rPr>
      </w:pPr>
    </w:p>
    <w:p w:rsidR="00C15EA4" w:rsidRPr="00F012F8" w:rsidRDefault="0043543D" w:rsidP="00C916D0">
      <w:pPr>
        <w:pStyle w:val="Paragraphedeliste"/>
        <w:numPr>
          <w:ilvl w:val="0"/>
          <w:numId w:val="74"/>
        </w:numPr>
        <w:spacing w:after="0"/>
        <w:rPr>
          <w:rFonts w:cs="Times New Roman"/>
          <w:highlight w:val="yellow"/>
        </w:rPr>
      </w:pPr>
      <w:r w:rsidRPr="00F012F8">
        <w:rPr>
          <w:rFonts w:cs="Times New Roman"/>
          <w:highlight w:val="yellow"/>
        </w:rPr>
        <w:t>Typique</w:t>
      </w:r>
      <w:r w:rsidR="00C15EA4" w:rsidRPr="00F012F8">
        <w:rPr>
          <w:rFonts w:cs="Times New Roman"/>
          <w:highlight w:val="yellow"/>
        </w:rPr>
        <w:t> (aigue)</w:t>
      </w:r>
      <w:r w:rsidR="009F446F" w:rsidRPr="00F012F8">
        <w:rPr>
          <w:rFonts w:cs="Times New Roman"/>
          <w:highlight w:val="yellow"/>
        </w:rPr>
        <w:t> :</w:t>
      </w:r>
      <w:r w:rsidR="00C15EA4" w:rsidRPr="00F012F8">
        <w:rPr>
          <w:rFonts w:cs="Times New Roman"/>
          <w:highlight w:val="yellow"/>
        </w:rPr>
        <w:t xml:space="preserve"> </w:t>
      </w:r>
      <w:r w:rsidR="009F446F" w:rsidRPr="00F012F8">
        <w:rPr>
          <w:rFonts w:cs="Times New Roman"/>
          <w:highlight w:val="yellow"/>
        </w:rPr>
        <w:t>s</w:t>
      </w:r>
      <w:r w:rsidR="00C15EA4" w:rsidRPr="00F012F8">
        <w:rPr>
          <w:rFonts w:cs="Times New Roman"/>
          <w:highlight w:val="yellow"/>
        </w:rPr>
        <w:t xml:space="preserve">yncope, </w:t>
      </w:r>
      <w:r w:rsidR="00530AB4" w:rsidRPr="00F012F8">
        <w:rPr>
          <w:rFonts w:cs="Times New Roman"/>
          <w:highlight w:val="yellow"/>
        </w:rPr>
        <w:t>douleur</w:t>
      </w:r>
      <w:r w:rsidR="00C15EA4" w:rsidRPr="00F012F8">
        <w:rPr>
          <w:rFonts w:cs="Times New Roman"/>
          <w:highlight w:val="yellow"/>
        </w:rPr>
        <w:t>, dyspné</w:t>
      </w:r>
      <w:r w:rsidR="00530AB4" w:rsidRPr="00F012F8">
        <w:rPr>
          <w:rFonts w:cs="Times New Roman"/>
          <w:highlight w:val="yellow"/>
        </w:rPr>
        <w:t>e par compression ou dysphagie,</w:t>
      </w:r>
      <w:r w:rsidR="00C15EA4" w:rsidRPr="00F012F8">
        <w:rPr>
          <w:rFonts w:cs="Times New Roman"/>
          <w:highlight w:val="yellow"/>
        </w:rPr>
        <w:t xml:space="preserve"> hématémèse, hémoptysies</w:t>
      </w:r>
    </w:p>
    <w:p w:rsidR="008018F7" w:rsidRPr="00F012F8" w:rsidRDefault="008018F7" w:rsidP="00C916D0">
      <w:pPr>
        <w:pStyle w:val="Paragraphedeliste"/>
        <w:numPr>
          <w:ilvl w:val="0"/>
          <w:numId w:val="74"/>
        </w:numPr>
        <w:spacing w:after="0"/>
        <w:rPr>
          <w:rFonts w:cs="Times New Roman"/>
        </w:rPr>
      </w:pPr>
      <w:r w:rsidRPr="00F012F8">
        <w:rPr>
          <w:rFonts w:cs="Times New Roman"/>
        </w:rPr>
        <w:t>Atypique : embolisation distale (syndrome de l’orteil bleu)</w:t>
      </w:r>
    </w:p>
    <w:p w:rsidR="00530AB4" w:rsidRPr="00F012F8" w:rsidRDefault="00530AB4" w:rsidP="00C916D0">
      <w:pPr>
        <w:pStyle w:val="Paragraphedeliste"/>
        <w:numPr>
          <w:ilvl w:val="0"/>
          <w:numId w:val="74"/>
        </w:numPr>
        <w:spacing w:after="0"/>
        <w:rPr>
          <w:rFonts w:cs="Times New Roman"/>
        </w:rPr>
      </w:pPr>
      <w:r w:rsidRPr="00F012F8">
        <w:rPr>
          <w:rFonts w:cs="Times New Roman"/>
        </w:rPr>
        <w:t>À l’examen physique : hypotension, ↓ murmures vésiculaires si compressions des voies respiratoires</w:t>
      </w:r>
    </w:p>
    <w:p w:rsidR="0043543D" w:rsidRPr="00F012F8" w:rsidRDefault="0043543D" w:rsidP="0043543D">
      <w:pPr>
        <w:pStyle w:val="Paragraphedeliste"/>
        <w:spacing w:after="0"/>
        <w:ind w:left="360"/>
        <w:rPr>
          <w:rFonts w:cs="Times New Roman"/>
        </w:rPr>
      </w:pPr>
    </w:p>
    <w:p w:rsidR="0071296C" w:rsidRPr="00F012F8" w:rsidRDefault="0071296C" w:rsidP="000638BD">
      <w:pPr>
        <w:spacing w:after="0"/>
        <w:rPr>
          <w:rFonts w:cs="Times New Roman"/>
        </w:rPr>
      </w:pPr>
    </w:p>
    <w:p w:rsidR="009425BE" w:rsidRPr="00F012F8" w:rsidRDefault="009425BE" w:rsidP="00C916D0">
      <w:pPr>
        <w:pStyle w:val="Paragraphedeliste"/>
        <w:numPr>
          <w:ilvl w:val="0"/>
          <w:numId w:val="70"/>
        </w:numPr>
        <w:rPr>
          <w:rFonts w:cs="Times New Roman"/>
          <w:b/>
          <w:sz w:val="24"/>
          <w:szCs w:val="24"/>
        </w:rPr>
      </w:pPr>
      <w:r w:rsidRPr="00F012F8">
        <w:rPr>
          <w:rFonts w:cs="Times New Roman"/>
          <w:b/>
          <w:sz w:val="24"/>
          <w:szCs w:val="24"/>
        </w:rPr>
        <w:t>Lymphomes (voir médiastin antérieur)</w:t>
      </w:r>
    </w:p>
    <w:p w:rsidR="004A72CC" w:rsidRPr="00F012F8" w:rsidRDefault="004A72CC" w:rsidP="004A72CC">
      <w:pPr>
        <w:pStyle w:val="Paragraphedeliste"/>
        <w:ind w:left="360"/>
        <w:rPr>
          <w:rFonts w:cs="Times New Roman"/>
          <w:b/>
          <w:sz w:val="16"/>
          <w:szCs w:val="16"/>
        </w:rPr>
      </w:pPr>
    </w:p>
    <w:p w:rsidR="00931B52" w:rsidRPr="00F012F8" w:rsidRDefault="00931B52" w:rsidP="00235A69">
      <w:pPr>
        <w:rPr>
          <w:rFonts w:cs="Times New Roman"/>
          <w:i/>
          <w:sz w:val="32"/>
          <w:szCs w:val="32"/>
        </w:rPr>
      </w:pPr>
      <w:r w:rsidRPr="00F012F8">
        <w:rPr>
          <w:rFonts w:cs="Times New Roman"/>
          <w:i/>
          <w:sz w:val="32"/>
          <w:szCs w:val="32"/>
        </w:rPr>
        <w:t>Médiastin postérieur</w:t>
      </w:r>
    </w:p>
    <w:p w:rsidR="00931B52" w:rsidRPr="00F012F8" w:rsidRDefault="00235A69" w:rsidP="00C916D0">
      <w:pPr>
        <w:pStyle w:val="Paragraphedeliste"/>
        <w:numPr>
          <w:ilvl w:val="0"/>
          <w:numId w:val="68"/>
        </w:numPr>
        <w:rPr>
          <w:rFonts w:cs="Times New Roman"/>
        </w:rPr>
      </w:pPr>
      <w:r w:rsidRPr="00F012F8">
        <w:rPr>
          <w:rFonts w:cs="Times New Roman"/>
        </w:rPr>
        <w:t>Va du rebord postérieur du péricarde</w:t>
      </w:r>
      <w:r w:rsidR="00931B52" w:rsidRPr="00F012F8">
        <w:rPr>
          <w:rFonts w:cs="Times New Roman"/>
        </w:rPr>
        <w:t xml:space="preserve"> jusqu’aux corps vertébraux</w:t>
      </w:r>
    </w:p>
    <w:p w:rsidR="00235A69" w:rsidRPr="00F012F8" w:rsidRDefault="00931B52" w:rsidP="00C916D0">
      <w:pPr>
        <w:pStyle w:val="Paragraphedeliste"/>
        <w:numPr>
          <w:ilvl w:val="0"/>
          <w:numId w:val="68"/>
        </w:numPr>
        <w:rPr>
          <w:rFonts w:cs="Times New Roman"/>
        </w:rPr>
      </w:pPr>
      <w:r w:rsidRPr="00F012F8">
        <w:rPr>
          <w:rFonts w:cs="Times New Roman"/>
        </w:rPr>
        <w:t>I</w:t>
      </w:r>
      <w:r w:rsidR="00235A69" w:rsidRPr="00F012F8">
        <w:rPr>
          <w:rFonts w:cs="Times New Roman"/>
        </w:rPr>
        <w:t>nclu</w:t>
      </w:r>
      <w:r w:rsidRPr="00F012F8">
        <w:rPr>
          <w:rFonts w:cs="Times New Roman"/>
        </w:rPr>
        <w:t>t</w:t>
      </w:r>
      <w:r w:rsidR="00235A69" w:rsidRPr="00F012F8">
        <w:rPr>
          <w:rFonts w:cs="Times New Roman"/>
        </w:rPr>
        <w:t xml:space="preserve"> l’œsophage, le nerf vague, les système azygos et lymphatique (canal thoracique)</w:t>
      </w:r>
    </w:p>
    <w:p w:rsidR="00235A69" w:rsidRPr="00F012F8" w:rsidRDefault="00A0644F" w:rsidP="00C916D0">
      <w:pPr>
        <w:pStyle w:val="Paragraphedeliste"/>
        <w:numPr>
          <w:ilvl w:val="0"/>
          <w:numId w:val="68"/>
        </w:numPr>
        <w:rPr>
          <w:rFonts w:cs="Times New Roman"/>
        </w:rPr>
      </w:pPr>
      <w:r w:rsidRPr="00F012F8">
        <w:rPr>
          <w:rFonts w:cs="Times New Roman"/>
        </w:rPr>
        <w:t>Les masses tumorales bénignes sont très rares, et se manifestent surtout par de la dysphagie ou sont aSx.</w:t>
      </w:r>
    </w:p>
    <w:p w:rsidR="00F33024" w:rsidRPr="00F012F8" w:rsidRDefault="00F33024" w:rsidP="00F33024">
      <w:pPr>
        <w:pStyle w:val="Paragraphedeliste"/>
        <w:rPr>
          <w:rFonts w:cs="Times New Roman"/>
        </w:rPr>
      </w:pPr>
    </w:p>
    <w:p w:rsidR="00183B4F" w:rsidRPr="00F012F8" w:rsidRDefault="003227F7" w:rsidP="00C916D0">
      <w:pPr>
        <w:pStyle w:val="Paragraphedeliste"/>
        <w:numPr>
          <w:ilvl w:val="0"/>
          <w:numId w:val="70"/>
        </w:numPr>
        <w:spacing w:before="240"/>
        <w:rPr>
          <w:rFonts w:cs="Times New Roman"/>
          <w:b/>
          <w:sz w:val="24"/>
          <w:szCs w:val="24"/>
        </w:rPr>
      </w:pPr>
      <w:r w:rsidRPr="00F012F8">
        <w:rPr>
          <w:rFonts w:cs="Times New Roman"/>
          <w:b/>
          <w:sz w:val="24"/>
          <w:szCs w:val="24"/>
        </w:rPr>
        <w:t xml:space="preserve">Anévrysme aortique (voir </w:t>
      </w:r>
      <w:r w:rsidRPr="00F012F8">
        <w:rPr>
          <w:rFonts w:cs="Times New Roman"/>
          <w:b/>
          <w:i/>
          <w:sz w:val="24"/>
          <w:szCs w:val="24"/>
        </w:rPr>
        <w:t>Médiastin moyen</w:t>
      </w:r>
      <w:r w:rsidR="0012118A" w:rsidRPr="00F012F8">
        <w:rPr>
          <w:rFonts w:cs="Times New Roman"/>
          <w:b/>
          <w:i/>
          <w:sz w:val="24"/>
          <w:szCs w:val="24"/>
        </w:rPr>
        <w:t>)</w:t>
      </w:r>
    </w:p>
    <w:p w:rsidR="00183B4F" w:rsidRPr="00F012F8" w:rsidRDefault="00183B4F" w:rsidP="00183B4F">
      <w:pPr>
        <w:pStyle w:val="Paragraphedeliste"/>
        <w:spacing w:before="240"/>
        <w:ind w:left="360"/>
        <w:rPr>
          <w:rFonts w:cs="Times New Roman"/>
          <w:b/>
          <w:sz w:val="16"/>
          <w:szCs w:val="16"/>
        </w:rPr>
      </w:pPr>
    </w:p>
    <w:p w:rsidR="00A0644F" w:rsidRPr="00F012F8" w:rsidRDefault="003227F7" w:rsidP="00C916D0">
      <w:pPr>
        <w:pStyle w:val="Paragraphedeliste"/>
        <w:numPr>
          <w:ilvl w:val="0"/>
          <w:numId w:val="78"/>
        </w:numPr>
        <w:spacing w:before="240"/>
        <w:rPr>
          <w:rFonts w:cs="Times New Roman"/>
          <w:b/>
          <w:sz w:val="24"/>
          <w:szCs w:val="24"/>
        </w:rPr>
      </w:pPr>
      <w:r w:rsidRPr="00F012F8">
        <w:rPr>
          <w:rFonts w:cs="Times New Roman"/>
          <w:b/>
          <w:sz w:val="24"/>
          <w:szCs w:val="24"/>
        </w:rPr>
        <w:t>Carcinome</w:t>
      </w:r>
      <w:r w:rsidR="00A0644F" w:rsidRPr="00F012F8">
        <w:rPr>
          <w:rFonts w:cs="Times New Roman"/>
          <w:b/>
          <w:sz w:val="24"/>
          <w:szCs w:val="24"/>
        </w:rPr>
        <w:t xml:space="preserve"> </w:t>
      </w:r>
      <w:r w:rsidR="0033229A" w:rsidRPr="00F012F8">
        <w:rPr>
          <w:rFonts w:cs="Times New Roman"/>
          <w:b/>
          <w:sz w:val="24"/>
          <w:szCs w:val="24"/>
        </w:rPr>
        <w:t>œsophagien</w:t>
      </w:r>
    </w:p>
    <w:p w:rsidR="003227F7" w:rsidRPr="00F012F8" w:rsidRDefault="003227F7" w:rsidP="003227F7">
      <w:pPr>
        <w:spacing w:after="0"/>
        <w:rPr>
          <w:rFonts w:cs="Times New Roman"/>
          <w:bCs/>
          <w:color w:val="252525"/>
          <w:highlight w:val="yellow"/>
          <w:shd w:val="clear" w:color="auto" w:fill="FFFFFF"/>
        </w:rPr>
      </w:pPr>
      <w:r w:rsidRPr="00F012F8">
        <w:rPr>
          <w:rFonts w:cs="Times New Roman"/>
          <w:highlight w:val="yellow"/>
        </w:rPr>
        <w:t xml:space="preserve">3 </w:t>
      </w:r>
      <w:hyperlink r:id="rId185" w:tooltip="♂" w:history="1">
        <w:r w:rsidRPr="00F012F8">
          <w:rPr>
            <w:rStyle w:val="Lienhypertexte"/>
            <w:rFonts w:cs="Times New Roman"/>
            <w:color w:val="0B0080"/>
            <w:highlight w:val="yellow"/>
            <w:u w:val="none"/>
            <w:shd w:val="clear" w:color="auto" w:fill="FFFFFF"/>
          </w:rPr>
          <w:t>♂</w:t>
        </w:r>
      </w:hyperlink>
      <w:r w:rsidRPr="00F012F8">
        <w:rPr>
          <w:rStyle w:val="Lienhypertexte"/>
          <w:rFonts w:cs="Times New Roman"/>
          <w:color w:val="0B0080"/>
          <w:highlight w:val="yellow"/>
          <w:u w:val="none"/>
          <w:shd w:val="clear" w:color="auto" w:fill="FFFFFF"/>
        </w:rPr>
        <w:t xml:space="preserve"> : 1 </w:t>
      </w:r>
      <w:r w:rsidRPr="00F012F8">
        <w:rPr>
          <w:rFonts w:cs="Times New Roman"/>
          <w:bCs/>
          <w:color w:val="252525"/>
          <w:highlight w:val="yellow"/>
          <w:shd w:val="clear" w:color="auto" w:fill="FFFFFF"/>
        </w:rPr>
        <w:t>♀</w:t>
      </w:r>
    </w:p>
    <w:p w:rsidR="003227F7" w:rsidRPr="00F012F8" w:rsidRDefault="003227F7" w:rsidP="003227F7">
      <w:pPr>
        <w:spacing w:after="0"/>
        <w:rPr>
          <w:rFonts w:cs="Times New Roman"/>
          <w:bCs/>
          <w:color w:val="252525"/>
          <w:highlight w:val="yellow"/>
          <w:shd w:val="clear" w:color="auto" w:fill="FFFFFF"/>
        </w:rPr>
      </w:pPr>
      <w:r w:rsidRPr="00F012F8">
        <w:rPr>
          <w:rFonts w:cs="Times New Roman"/>
          <w:bCs/>
          <w:color w:val="252525"/>
          <w:highlight w:val="yellow"/>
          <w:shd w:val="clear" w:color="auto" w:fill="FFFFFF"/>
        </w:rPr>
        <w:t>Entre 50-60 ans</w:t>
      </w:r>
    </w:p>
    <w:p w:rsidR="003227F7" w:rsidRPr="00F012F8" w:rsidRDefault="003227F7" w:rsidP="003227F7">
      <w:pPr>
        <w:spacing w:after="0"/>
        <w:rPr>
          <w:rFonts w:cs="Times New Roman"/>
        </w:rPr>
      </w:pPr>
      <w:r w:rsidRPr="00F012F8">
        <w:rPr>
          <w:rFonts w:cs="Times New Roman"/>
          <w:highlight w:val="yellow"/>
        </w:rPr>
        <w:t xml:space="preserve">En Occident : </w:t>
      </w:r>
      <w:r w:rsidR="00C25805" w:rsidRPr="00F012F8">
        <w:rPr>
          <w:rFonts w:cs="Times New Roman"/>
          <w:highlight w:val="yellow"/>
        </w:rPr>
        <w:t xml:space="preserve">surtout </w:t>
      </w:r>
      <w:r w:rsidRPr="00F012F8">
        <w:rPr>
          <w:rFonts w:cs="Times New Roman"/>
          <w:highlight w:val="yellow"/>
          <w:u w:val="single"/>
        </w:rPr>
        <w:t>adénocarcinome</w:t>
      </w:r>
      <w:r w:rsidRPr="00F012F8">
        <w:rPr>
          <w:rFonts w:cs="Times New Roman"/>
          <w:highlight w:val="yellow"/>
        </w:rPr>
        <w:t xml:space="preserve"> du 1/3 distal</w:t>
      </w:r>
    </w:p>
    <w:p w:rsidR="003227F7" w:rsidRPr="00F012F8" w:rsidRDefault="003227F7" w:rsidP="003227F7">
      <w:pPr>
        <w:rPr>
          <w:rFonts w:cs="Times New Roman"/>
        </w:rPr>
      </w:pPr>
      <w:r w:rsidRPr="00F012F8">
        <w:rPr>
          <w:rFonts w:cs="Times New Roman"/>
        </w:rPr>
        <w:t>Le + fréquent dans le monde </w:t>
      </w:r>
      <w:r w:rsidR="00F33024" w:rsidRPr="00F012F8">
        <w:rPr>
          <w:rFonts w:cs="Times New Roman"/>
        </w:rPr>
        <w:t>=</w:t>
      </w:r>
      <w:r w:rsidRPr="00F012F8">
        <w:rPr>
          <w:rFonts w:cs="Times New Roman"/>
        </w:rPr>
        <w:t xml:space="preserve"> carcinome épi</w:t>
      </w:r>
      <w:r w:rsidR="008575D1" w:rsidRPr="00F012F8">
        <w:rPr>
          <w:rFonts w:cs="Times New Roman"/>
        </w:rPr>
        <w:t>dermoïde</w:t>
      </w:r>
    </w:p>
    <w:p w:rsidR="003227F7" w:rsidRPr="00F012F8" w:rsidRDefault="003227F7" w:rsidP="003227F7">
      <w:pPr>
        <w:spacing w:after="0"/>
        <w:rPr>
          <w:rFonts w:cs="Times New Roman"/>
        </w:rPr>
      </w:pPr>
      <w:r w:rsidRPr="00F012F8">
        <w:rPr>
          <w:rFonts w:cs="Times New Roman"/>
          <w:i/>
        </w:rPr>
        <w:t>Facteurs de risque</w:t>
      </w:r>
      <w:r w:rsidRPr="00F012F8">
        <w:rPr>
          <w:rFonts w:cs="Times New Roman"/>
        </w:rPr>
        <w:t xml:space="preserve"> : </w:t>
      </w:r>
    </w:p>
    <w:p w:rsidR="00F33024" w:rsidRPr="00F012F8" w:rsidRDefault="00F33024" w:rsidP="003227F7">
      <w:pPr>
        <w:rPr>
          <w:rFonts w:cs="Times New Roman"/>
        </w:rPr>
        <w:sectPr w:rsidR="00F33024" w:rsidRPr="00F012F8" w:rsidSect="00A35E51">
          <w:type w:val="continuous"/>
          <w:pgSz w:w="12240" w:h="15840"/>
          <w:pgMar w:top="720" w:right="720" w:bottom="720" w:left="720" w:header="708" w:footer="708" w:gutter="0"/>
          <w:cols w:space="708"/>
          <w:docGrid w:linePitch="360"/>
        </w:sectPr>
      </w:pPr>
    </w:p>
    <w:p w:rsidR="00F33024" w:rsidRPr="00F012F8" w:rsidRDefault="00F33024" w:rsidP="00C916D0">
      <w:pPr>
        <w:pStyle w:val="Paragraphedeliste"/>
        <w:numPr>
          <w:ilvl w:val="0"/>
          <w:numId w:val="79"/>
        </w:numPr>
        <w:spacing w:after="0"/>
        <w:rPr>
          <w:rFonts w:cs="Times New Roman"/>
          <w:highlight w:val="yellow"/>
        </w:rPr>
      </w:pPr>
      <w:r w:rsidRPr="00F012F8">
        <w:rPr>
          <w:rFonts w:cs="Times New Roman"/>
          <w:highlight w:val="yellow"/>
        </w:rPr>
        <w:t>Tabagisme</w:t>
      </w:r>
      <w:r w:rsidR="003227F7" w:rsidRPr="00F012F8">
        <w:rPr>
          <w:rFonts w:cs="Times New Roman"/>
          <w:highlight w:val="yellow"/>
        </w:rPr>
        <w:t xml:space="preserve"> </w:t>
      </w:r>
    </w:p>
    <w:p w:rsidR="00F33024" w:rsidRPr="00F012F8" w:rsidRDefault="00F33024" w:rsidP="00C916D0">
      <w:pPr>
        <w:pStyle w:val="Paragraphedeliste"/>
        <w:numPr>
          <w:ilvl w:val="0"/>
          <w:numId w:val="79"/>
        </w:numPr>
        <w:spacing w:after="0"/>
        <w:rPr>
          <w:rFonts w:cs="Times New Roman"/>
          <w:highlight w:val="yellow"/>
        </w:rPr>
      </w:pPr>
      <w:r w:rsidRPr="00F012F8">
        <w:rPr>
          <w:rFonts w:cs="Times New Roman"/>
          <w:highlight w:val="yellow"/>
        </w:rPr>
        <w:t>Prise de ROH</w:t>
      </w:r>
    </w:p>
    <w:p w:rsidR="00F33024" w:rsidRPr="00F012F8" w:rsidRDefault="00F33024" w:rsidP="00C916D0">
      <w:pPr>
        <w:pStyle w:val="Paragraphedeliste"/>
        <w:numPr>
          <w:ilvl w:val="0"/>
          <w:numId w:val="79"/>
        </w:numPr>
        <w:spacing w:after="0"/>
        <w:rPr>
          <w:rFonts w:cs="Times New Roman"/>
          <w:highlight w:val="yellow"/>
        </w:rPr>
      </w:pPr>
      <w:r w:rsidRPr="00F012F8">
        <w:rPr>
          <w:rFonts w:cs="Times New Roman"/>
          <w:highlight w:val="yellow"/>
        </w:rPr>
        <w:t xml:space="preserve">Breuvages chauds </w:t>
      </w:r>
    </w:p>
    <w:p w:rsidR="00F33024" w:rsidRPr="00F012F8" w:rsidRDefault="00F33024" w:rsidP="00C916D0">
      <w:pPr>
        <w:pStyle w:val="Paragraphedeliste"/>
        <w:numPr>
          <w:ilvl w:val="0"/>
          <w:numId w:val="79"/>
        </w:numPr>
        <w:spacing w:after="0"/>
        <w:rPr>
          <w:rFonts w:cs="Times New Roman"/>
          <w:highlight w:val="yellow"/>
        </w:rPr>
      </w:pPr>
      <w:r w:rsidRPr="00F012F8">
        <w:rPr>
          <w:rFonts w:cs="Times New Roman"/>
          <w:highlight w:val="yellow"/>
        </w:rPr>
        <w:t>Œsophage de Barrett</w:t>
      </w:r>
    </w:p>
    <w:p w:rsidR="00F33024" w:rsidRPr="00F012F8" w:rsidRDefault="00F33024" w:rsidP="00C916D0">
      <w:pPr>
        <w:pStyle w:val="Paragraphedeliste"/>
        <w:numPr>
          <w:ilvl w:val="0"/>
          <w:numId w:val="79"/>
        </w:numPr>
        <w:spacing w:after="0"/>
        <w:rPr>
          <w:rFonts w:cs="Times New Roman"/>
        </w:rPr>
      </w:pPr>
      <w:r w:rsidRPr="00F012F8">
        <w:rPr>
          <w:rFonts w:cs="Times New Roman"/>
        </w:rPr>
        <w:t>Obésité</w:t>
      </w:r>
    </w:p>
    <w:p w:rsidR="003227F7" w:rsidRPr="00F012F8" w:rsidRDefault="003227F7" w:rsidP="00C916D0">
      <w:pPr>
        <w:pStyle w:val="Paragraphedeliste"/>
        <w:numPr>
          <w:ilvl w:val="0"/>
          <w:numId w:val="79"/>
        </w:numPr>
        <w:rPr>
          <w:rFonts w:cs="Times New Roman"/>
        </w:rPr>
      </w:pPr>
      <w:r w:rsidRPr="00F012F8">
        <w:rPr>
          <w:rFonts w:cs="Times New Roman"/>
        </w:rPr>
        <w:t>RGO</w:t>
      </w:r>
    </w:p>
    <w:p w:rsidR="00246717" w:rsidRPr="00F012F8" w:rsidRDefault="00246717" w:rsidP="00C916D0">
      <w:pPr>
        <w:pStyle w:val="Paragraphedeliste"/>
        <w:numPr>
          <w:ilvl w:val="0"/>
          <w:numId w:val="79"/>
        </w:numPr>
        <w:rPr>
          <w:rFonts w:cs="Times New Roman"/>
        </w:rPr>
      </w:pPr>
      <w:r w:rsidRPr="00F012F8">
        <w:rPr>
          <w:rFonts w:cs="Times New Roman"/>
        </w:rPr>
        <w:t>Diverticules oeso</w:t>
      </w:r>
    </w:p>
    <w:p w:rsidR="00246717" w:rsidRPr="00F012F8" w:rsidRDefault="00246717" w:rsidP="00C916D0">
      <w:pPr>
        <w:pStyle w:val="Paragraphedeliste"/>
        <w:numPr>
          <w:ilvl w:val="0"/>
          <w:numId w:val="79"/>
        </w:numPr>
        <w:rPr>
          <w:rFonts w:cs="Times New Roman"/>
        </w:rPr>
      </w:pPr>
      <w:r w:rsidRPr="00F012F8">
        <w:rPr>
          <w:rFonts w:cs="Times New Roman"/>
        </w:rPr>
        <w:t>Sténose</w:t>
      </w:r>
    </w:p>
    <w:p w:rsidR="00246717" w:rsidRPr="00F012F8" w:rsidRDefault="00246717" w:rsidP="00C916D0">
      <w:pPr>
        <w:pStyle w:val="Paragraphedeliste"/>
        <w:numPr>
          <w:ilvl w:val="0"/>
          <w:numId w:val="79"/>
        </w:numPr>
        <w:rPr>
          <w:rFonts w:cs="Times New Roman"/>
        </w:rPr>
      </w:pPr>
      <w:r w:rsidRPr="00F012F8">
        <w:rPr>
          <w:rFonts w:cs="Times New Roman"/>
        </w:rPr>
        <w:t>Noix de Betel</w:t>
      </w:r>
    </w:p>
    <w:p w:rsidR="00246717" w:rsidRPr="00F012F8" w:rsidRDefault="00246717" w:rsidP="003227F7">
      <w:pPr>
        <w:rPr>
          <w:rFonts w:cs="Times New Roman"/>
          <w:sz w:val="24"/>
          <w:szCs w:val="24"/>
          <w:u w:val="single"/>
        </w:rPr>
        <w:sectPr w:rsidR="00246717" w:rsidRPr="00F012F8" w:rsidSect="00F33024">
          <w:type w:val="continuous"/>
          <w:pgSz w:w="12240" w:h="15840"/>
          <w:pgMar w:top="720" w:right="720" w:bottom="720" w:left="720" w:header="708" w:footer="708" w:gutter="0"/>
          <w:cols w:num="3" w:space="708"/>
          <w:docGrid w:linePitch="360"/>
        </w:sectPr>
      </w:pPr>
    </w:p>
    <w:p w:rsidR="003227F7" w:rsidRPr="00F012F8" w:rsidRDefault="00F33024" w:rsidP="003227F7">
      <w:pPr>
        <w:rPr>
          <w:rFonts w:cs="Times New Roman"/>
          <w:u w:val="single"/>
        </w:rPr>
      </w:pPr>
      <w:r w:rsidRPr="00F012F8">
        <w:rPr>
          <w:rFonts w:cs="Times New Roman"/>
          <w:u w:val="single"/>
        </w:rPr>
        <w:t>Présentation clinique</w:t>
      </w:r>
    </w:p>
    <w:p w:rsidR="00007943" w:rsidRPr="00F012F8" w:rsidRDefault="00007943" w:rsidP="00F33024">
      <w:pPr>
        <w:spacing w:after="0"/>
        <w:rPr>
          <w:rFonts w:cs="Times New Roman"/>
          <w:sz w:val="24"/>
          <w:szCs w:val="24"/>
        </w:rPr>
        <w:sectPr w:rsidR="00007943" w:rsidRPr="00F012F8" w:rsidSect="00A35E51">
          <w:type w:val="continuous"/>
          <w:pgSz w:w="12240" w:h="15840"/>
          <w:pgMar w:top="720" w:right="720" w:bottom="720" w:left="720" w:header="708" w:footer="708" w:gutter="0"/>
          <w:cols w:space="708"/>
          <w:docGrid w:linePitch="360"/>
        </w:sectPr>
      </w:pPr>
    </w:p>
    <w:p w:rsidR="00007943" w:rsidRPr="00F012F8" w:rsidRDefault="00F33024" w:rsidP="00007943">
      <w:pPr>
        <w:spacing w:after="0"/>
        <w:rPr>
          <w:rFonts w:cs="Times New Roman"/>
          <w:highlight w:val="yellow"/>
        </w:rPr>
      </w:pPr>
      <w:r w:rsidRPr="00F012F8">
        <w:rPr>
          <w:rFonts w:cs="Times New Roman"/>
          <w:highlight w:val="yellow"/>
        </w:rPr>
        <w:t xml:space="preserve">Dysphagie mécanique progressive (90%): </w:t>
      </w:r>
      <w:r w:rsidR="00007943" w:rsidRPr="00F012F8">
        <w:rPr>
          <w:rFonts w:cs="Times New Roman"/>
          <w:highlight w:val="yellow"/>
        </w:rPr>
        <w:t xml:space="preserve">   </w:t>
      </w:r>
    </w:p>
    <w:p w:rsidR="00F33024" w:rsidRPr="00F012F8" w:rsidRDefault="00007943" w:rsidP="00007943">
      <w:pPr>
        <w:spacing w:after="0"/>
        <w:rPr>
          <w:rFonts w:cs="Times New Roman"/>
          <w:highlight w:val="yellow"/>
        </w:rPr>
      </w:pPr>
      <w:r w:rsidRPr="00F012F8">
        <w:rPr>
          <w:rFonts w:cs="Times New Roman"/>
          <w:highlight w:val="yellow"/>
        </w:rPr>
        <w:t>(</w:t>
      </w:r>
      <w:r w:rsidR="00F33024" w:rsidRPr="00F012F8">
        <w:rPr>
          <w:rFonts w:cs="Times New Roman"/>
          <w:highlight w:val="yellow"/>
        </w:rPr>
        <w:t>solides→liquides</w:t>
      </w:r>
      <w:r w:rsidRPr="00F012F8">
        <w:rPr>
          <w:rFonts w:cs="Times New Roman"/>
          <w:highlight w:val="yellow"/>
        </w:rPr>
        <w:t>)</w:t>
      </w:r>
    </w:p>
    <w:p w:rsidR="00F33024" w:rsidRPr="00F012F8" w:rsidRDefault="00F33024" w:rsidP="00F33024">
      <w:pPr>
        <w:spacing w:after="0"/>
        <w:rPr>
          <w:rFonts w:cs="Times New Roman"/>
          <w:highlight w:val="yellow"/>
        </w:rPr>
      </w:pPr>
      <w:r w:rsidRPr="00F012F8">
        <w:rPr>
          <w:rFonts w:cs="Times New Roman"/>
          <w:highlight w:val="yellow"/>
        </w:rPr>
        <w:t>Odynophagie</w:t>
      </w:r>
      <w:r w:rsidR="008D5EBA" w:rsidRPr="00F012F8">
        <w:rPr>
          <w:rFonts w:cs="Times New Roman"/>
          <w:highlight w:val="yellow"/>
        </w:rPr>
        <w:t xml:space="preserve"> ± douleur locale constante</w:t>
      </w:r>
    </w:p>
    <w:p w:rsidR="00F33024" w:rsidRPr="00F012F8" w:rsidRDefault="008D5EBA" w:rsidP="00F33024">
      <w:pPr>
        <w:spacing w:after="0"/>
        <w:rPr>
          <w:rFonts w:cs="Times New Roman"/>
          <w:highlight w:val="yellow"/>
        </w:rPr>
      </w:pPr>
      <w:r w:rsidRPr="00F012F8">
        <w:rPr>
          <w:rFonts w:cs="Times New Roman"/>
          <w:highlight w:val="yellow"/>
        </w:rPr>
        <w:t>Sx B</w:t>
      </w:r>
    </w:p>
    <w:p w:rsidR="00F33024" w:rsidRPr="00F012F8" w:rsidRDefault="00F33024" w:rsidP="00F33024">
      <w:pPr>
        <w:spacing w:after="0"/>
        <w:rPr>
          <w:rFonts w:cs="Times New Roman"/>
          <w:highlight w:val="yellow"/>
        </w:rPr>
      </w:pPr>
      <w:r w:rsidRPr="00F012F8">
        <w:rPr>
          <w:rFonts w:cs="Times New Roman"/>
          <w:highlight w:val="yellow"/>
        </w:rPr>
        <w:t>Hématémèse, anémie</w:t>
      </w:r>
    </w:p>
    <w:p w:rsidR="00F33024" w:rsidRPr="00F012F8" w:rsidRDefault="00F33024" w:rsidP="00F33024">
      <w:pPr>
        <w:spacing w:after="0"/>
        <w:rPr>
          <w:rFonts w:cs="Times New Roman"/>
          <w:highlight w:val="yellow"/>
        </w:rPr>
      </w:pPr>
      <w:r w:rsidRPr="00F012F8">
        <w:rPr>
          <w:rFonts w:cs="Times New Roman"/>
          <w:highlight w:val="yellow"/>
        </w:rPr>
        <w:t>Aspiration bronchique</w:t>
      </w:r>
    </w:p>
    <w:p w:rsidR="00007943" w:rsidRPr="00F012F8" w:rsidRDefault="008D5EBA" w:rsidP="00F33024">
      <w:pPr>
        <w:spacing w:after="0"/>
        <w:rPr>
          <w:rFonts w:cs="Times New Roman"/>
        </w:rPr>
        <w:sectPr w:rsidR="00007943" w:rsidRPr="00F012F8" w:rsidSect="00007943">
          <w:type w:val="continuous"/>
          <w:pgSz w:w="12240" w:h="15840"/>
          <w:pgMar w:top="720" w:right="720" w:bottom="720" w:left="720" w:header="708" w:footer="708" w:gutter="0"/>
          <w:cols w:num="2" w:space="708"/>
          <w:docGrid w:linePitch="360"/>
        </w:sectPr>
      </w:pPr>
      <w:r w:rsidRPr="00F012F8">
        <w:rPr>
          <w:rFonts w:cs="Times New Roman"/>
          <w:highlight w:val="yellow"/>
        </w:rPr>
        <w:t xml:space="preserve">Selon dissémination : toux (trachée), </w:t>
      </w:r>
      <w:r w:rsidR="00183B4F" w:rsidRPr="00F012F8">
        <w:rPr>
          <w:rFonts w:cs="Times New Roman"/>
          <w:highlight w:val="yellow"/>
        </w:rPr>
        <w:t>voix rauque, adénopathies</w:t>
      </w:r>
    </w:p>
    <w:p w:rsidR="00A0644F" w:rsidRPr="00F012F8" w:rsidRDefault="008D5EBA" w:rsidP="00183B4F">
      <w:pPr>
        <w:spacing w:before="240"/>
        <w:rPr>
          <w:rFonts w:cs="Times New Roman"/>
        </w:rPr>
      </w:pPr>
      <w:r w:rsidRPr="00F012F8">
        <w:rPr>
          <w:rFonts w:cs="Times New Roman"/>
        </w:rPr>
        <w:t xml:space="preserve">Examen physique : adénopathies, </w:t>
      </w:r>
      <w:r w:rsidR="00007943" w:rsidRPr="00F012F8">
        <w:rPr>
          <w:rFonts w:cs="Times New Roman"/>
        </w:rPr>
        <w:t>pâleur</w:t>
      </w:r>
    </w:p>
    <w:p w:rsidR="004C2215" w:rsidRPr="00F012F8" w:rsidRDefault="00183B4F" w:rsidP="00C916D0">
      <w:pPr>
        <w:pStyle w:val="Paragraphedeliste"/>
        <w:numPr>
          <w:ilvl w:val="0"/>
          <w:numId w:val="78"/>
        </w:numPr>
        <w:rPr>
          <w:rFonts w:cs="Times New Roman"/>
          <w:b/>
          <w:sz w:val="24"/>
          <w:szCs w:val="24"/>
        </w:rPr>
      </w:pPr>
      <w:r w:rsidRPr="00F012F8">
        <w:rPr>
          <w:rFonts w:cs="Times New Roman"/>
          <w:noProof/>
          <w:lang w:eastAsia="fr-CA"/>
        </w:rPr>
        <w:drawing>
          <wp:anchor distT="0" distB="0" distL="114300" distR="114300" simplePos="0" relativeHeight="251678720" behindDoc="1" locked="0" layoutInCell="1" allowOverlap="1" wp14:anchorId="14E79B39" wp14:editId="143A93EE">
            <wp:simplePos x="0" y="0"/>
            <wp:positionH relativeFrom="column">
              <wp:posOffset>3505200</wp:posOffset>
            </wp:positionH>
            <wp:positionV relativeFrom="paragraph">
              <wp:posOffset>48260</wp:posOffset>
            </wp:positionV>
            <wp:extent cx="3629025" cy="1504950"/>
            <wp:effectExtent l="0" t="0" r="9525" b="0"/>
            <wp:wrapNone/>
            <wp:docPr id="12" name="Image 12" descr="Résultats de recherche d'images pour « figure 6. Types of hiatus herni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ésultats de recherche d'images pour « figure 6. Types of hiatus hernia »"/>
                    <pic:cNvPicPr>
                      <a:picLocks noChangeAspect="1" noChangeArrowheads="1"/>
                    </pic:cNvPicPr>
                  </pic:nvPicPr>
                  <pic:blipFill rotWithShape="1">
                    <a:blip r:embed="rId186" cstate="print">
                      <a:extLst>
                        <a:ext uri="{28A0092B-C50C-407E-A947-70E740481C1C}">
                          <a14:useLocalDpi xmlns:a14="http://schemas.microsoft.com/office/drawing/2010/main" val="0"/>
                        </a:ext>
                      </a:extLst>
                    </a:blip>
                    <a:srcRect b="-180"/>
                    <a:stretch/>
                  </pic:blipFill>
                  <pic:spPr bwMode="auto">
                    <a:xfrm>
                      <a:off x="0" y="0"/>
                      <a:ext cx="3629025" cy="1504950"/>
                    </a:xfrm>
                    <a:prstGeom prst="rect">
                      <a:avLst/>
                    </a:prstGeom>
                    <a:noFill/>
                    <a:ln w="9525" cap="flat" cmpd="sng" algn="ctr">
                      <a:no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A3C97" w:rsidRPr="00F012F8">
        <w:rPr>
          <w:rFonts w:cs="Times New Roman"/>
          <w:b/>
          <w:sz w:val="24"/>
          <w:szCs w:val="24"/>
        </w:rPr>
        <w:t>Hernie hiatale</w:t>
      </w:r>
    </w:p>
    <w:p w:rsidR="00786A78" w:rsidRPr="00F012F8" w:rsidRDefault="0012118A" w:rsidP="00540770">
      <w:pPr>
        <w:rPr>
          <w:rFonts w:cs="Times New Roman"/>
          <w:b/>
        </w:rPr>
      </w:pPr>
      <w:r w:rsidRPr="00F012F8">
        <w:rPr>
          <w:rFonts w:cs="Times New Roman"/>
        </w:rPr>
        <w:t xml:space="preserve"> </w:t>
      </w:r>
      <w:r w:rsidR="00786A78" w:rsidRPr="00F012F8">
        <w:rPr>
          <w:rFonts w:cs="Times New Roman"/>
          <w:b/>
        </w:rPr>
        <w:t>4 types d’hernie hiatale</w:t>
      </w:r>
    </w:p>
    <w:p w:rsidR="00786A78" w:rsidRPr="00F012F8" w:rsidRDefault="00786A78" w:rsidP="00C916D0">
      <w:pPr>
        <w:pStyle w:val="Paragraphedeliste"/>
        <w:numPr>
          <w:ilvl w:val="0"/>
          <w:numId w:val="80"/>
        </w:numPr>
        <w:spacing w:after="0"/>
        <w:rPr>
          <w:rFonts w:cs="Times New Roman"/>
        </w:rPr>
      </w:pPr>
      <w:r w:rsidRPr="00F012F8">
        <w:rPr>
          <w:rFonts w:cs="Times New Roman"/>
        </w:rPr>
        <w:t xml:space="preserve">I → </w:t>
      </w:r>
      <w:r w:rsidR="00183B4F" w:rsidRPr="00F012F8">
        <w:rPr>
          <w:rFonts w:cs="Times New Roman"/>
        </w:rPr>
        <w:t>Hernie par g</w:t>
      </w:r>
      <w:r w:rsidRPr="00F012F8">
        <w:rPr>
          <w:rFonts w:cs="Times New Roman"/>
        </w:rPr>
        <w:t xml:space="preserve">lissement (90%) </w:t>
      </w:r>
    </w:p>
    <w:p w:rsidR="00786A78" w:rsidRPr="00F012F8" w:rsidRDefault="00786A78" w:rsidP="00786A78">
      <w:pPr>
        <w:pStyle w:val="Paragraphedeliste"/>
        <w:spacing w:after="0"/>
        <w:ind w:left="360"/>
        <w:rPr>
          <w:rFonts w:cs="Times New Roman"/>
        </w:rPr>
      </w:pPr>
      <w:r w:rsidRPr="00F012F8">
        <w:rPr>
          <w:rFonts w:cs="Times New Roman"/>
        </w:rPr>
        <w:t>Hernie de l’estomac et de la jonction gastro-œsophagienne</w:t>
      </w:r>
    </w:p>
    <w:p w:rsidR="00786A78" w:rsidRPr="00F012F8" w:rsidRDefault="00786A78" w:rsidP="00C916D0">
      <w:pPr>
        <w:pStyle w:val="Paragraphedeliste"/>
        <w:numPr>
          <w:ilvl w:val="0"/>
          <w:numId w:val="80"/>
        </w:numPr>
        <w:spacing w:after="0"/>
        <w:rPr>
          <w:rFonts w:cs="Times New Roman"/>
        </w:rPr>
      </w:pPr>
      <w:r w:rsidRPr="00F012F8">
        <w:rPr>
          <w:rFonts w:cs="Times New Roman"/>
        </w:rPr>
        <w:t>II → Hernie paraœsophagienne (&lt;10%)</w:t>
      </w:r>
    </w:p>
    <w:p w:rsidR="00786A78" w:rsidRPr="00F012F8" w:rsidRDefault="00786A78" w:rsidP="00786A78">
      <w:pPr>
        <w:pStyle w:val="Paragraphedeliste"/>
        <w:spacing w:after="0"/>
        <w:ind w:left="360"/>
        <w:rPr>
          <w:rFonts w:cs="Times New Roman"/>
        </w:rPr>
      </w:pPr>
      <w:r w:rsidRPr="00F012F8">
        <w:rPr>
          <w:rFonts w:cs="Times New Roman"/>
        </w:rPr>
        <w:t>Hernie de l’estomac avec jonction GO en place</w:t>
      </w:r>
    </w:p>
    <w:p w:rsidR="00786A78" w:rsidRPr="00F012F8" w:rsidRDefault="00786A78" w:rsidP="00C916D0">
      <w:pPr>
        <w:pStyle w:val="Paragraphedeliste"/>
        <w:numPr>
          <w:ilvl w:val="0"/>
          <w:numId w:val="80"/>
        </w:numPr>
        <w:spacing w:after="0"/>
        <w:rPr>
          <w:rFonts w:cs="Times New Roman"/>
        </w:rPr>
      </w:pPr>
      <w:r w:rsidRPr="00F012F8">
        <w:rPr>
          <w:rFonts w:cs="Times New Roman"/>
        </w:rPr>
        <w:t>III → Hernie hiatale mixte (I et II)</w:t>
      </w:r>
    </w:p>
    <w:p w:rsidR="00183B4F" w:rsidRPr="00F012F8" w:rsidRDefault="00786A78" w:rsidP="00C916D0">
      <w:pPr>
        <w:pStyle w:val="Paragraphedeliste"/>
        <w:numPr>
          <w:ilvl w:val="0"/>
          <w:numId w:val="80"/>
        </w:numPr>
        <w:rPr>
          <w:rFonts w:cs="Times New Roman"/>
        </w:rPr>
      </w:pPr>
      <w:r w:rsidRPr="00F012F8">
        <w:rPr>
          <w:rFonts w:cs="Times New Roman"/>
        </w:rPr>
        <w:t xml:space="preserve">IV → Herniation </w:t>
      </w:r>
      <w:r w:rsidR="00A70FCB" w:rsidRPr="00F012F8">
        <w:rPr>
          <w:rFonts w:cs="Times New Roman"/>
        </w:rPr>
        <w:t>d’autres organes abdominaux</w:t>
      </w:r>
      <w:r w:rsidRPr="00F012F8">
        <w:rPr>
          <w:rFonts w:cs="Times New Roman"/>
        </w:rPr>
        <w:t xml:space="preserve"> dans le thorax</w:t>
      </w:r>
    </w:p>
    <w:p w:rsidR="00786A78" w:rsidRPr="00F012F8" w:rsidRDefault="00786A78" w:rsidP="00183B4F">
      <w:pPr>
        <w:spacing w:after="0"/>
        <w:rPr>
          <w:rFonts w:cs="Times New Roman"/>
        </w:rPr>
      </w:pPr>
      <w:r w:rsidRPr="00F012F8">
        <w:rPr>
          <w:rFonts w:cs="Times New Roman"/>
        </w:rPr>
        <w:t xml:space="preserve">Facteurs de risque : </w:t>
      </w:r>
    </w:p>
    <w:p w:rsidR="00786A78" w:rsidRPr="00F012F8" w:rsidRDefault="00786A78" w:rsidP="00C916D0">
      <w:pPr>
        <w:pStyle w:val="Paragraphedeliste"/>
        <w:numPr>
          <w:ilvl w:val="0"/>
          <w:numId w:val="81"/>
        </w:numPr>
        <w:rPr>
          <w:rFonts w:cs="Times New Roman"/>
        </w:rPr>
      </w:pPr>
      <w:r w:rsidRPr="00F012F8">
        <w:rPr>
          <w:rFonts w:cs="Times New Roman"/>
        </w:rPr>
        <w:t xml:space="preserve">Âge, </w:t>
      </w:r>
    </w:p>
    <w:p w:rsidR="00786A78" w:rsidRPr="00F012F8" w:rsidRDefault="00786A78" w:rsidP="00C916D0">
      <w:pPr>
        <w:pStyle w:val="Paragraphedeliste"/>
        <w:numPr>
          <w:ilvl w:val="0"/>
          <w:numId w:val="81"/>
        </w:numPr>
        <w:rPr>
          <w:rFonts w:cs="Times New Roman"/>
        </w:rPr>
      </w:pPr>
      <w:r w:rsidRPr="00F012F8">
        <w:rPr>
          <w:rFonts w:cs="Times New Roman"/>
        </w:rPr>
        <w:t xml:space="preserve">Tabagisme, </w:t>
      </w:r>
    </w:p>
    <w:p w:rsidR="00183B4F" w:rsidRPr="00F012F8" w:rsidRDefault="00786A78" w:rsidP="00C916D0">
      <w:pPr>
        <w:pStyle w:val="Paragraphedeliste"/>
        <w:numPr>
          <w:ilvl w:val="0"/>
          <w:numId w:val="81"/>
        </w:numPr>
        <w:rPr>
          <w:rFonts w:cs="Times New Roman"/>
        </w:rPr>
      </w:pPr>
      <w:r w:rsidRPr="00F012F8">
        <w:rPr>
          <w:rFonts w:cs="Times New Roman"/>
        </w:rPr>
        <w:t>↑ pression intra-abdominale (obésité, grossesse, toux, lever de lourdes charges)</w:t>
      </w:r>
    </w:p>
    <w:p w:rsidR="00786A78" w:rsidRPr="00F012F8" w:rsidRDefault="00786A78" w:rsidP="00183B4F">
      <w:pPr>
        <w:rPr>
          <w:rFonts w:cs="Times New Roman"/>
        </w:rPr>
      </w:pPr>
      <w:r w:rsidRPr="00F012F8">
        <w:rPr>
          <w:rFonts w:cs="Times New Roman"/>
          <w:u w:val="single"/>
        </w:rPr>
        <w:t>Présentation clinique</w:t>
      </w:r>
      <w:r w:rsidRPr="00F012F8">
        <w:rPr>
          <w:rFonts w:cs="Times New Roman"/>
        </w:rPr>
        <w:t xml:space="preserve"> : </w:t>
      </w:r>
      <w:r w:rsidRPr="00F012F8">
        <w:rPr>
          <w:rFonts w:cs="Times New Roman"/>
          <w:highlight w:val="yellow"/>
        </w:rPr>
        <w:t>souvent asymptomatique, RGO</w:t>
      </w:r>
      <w:r w:rsidRPr="00F012F8">
        <w:rPr>
          <w:rFonts w:cs="Times New Roman"/>
        </w:rPr>
        <w:t>, dysphagie</w:t>
      </w:r>
      <w:r w:rsidR="00183B4F" w:rsidRPr="00F012F8">
        <w:rPr>
          <w:rFonts w:cs="Times New Roman"/>
        </w:rPr>
        <w:t>, douleur (si strangulation)</w:t>
      </w:r>
    </w:p>
    <w:p w:rsidR="00786A78" w:rsidRPr="00F012F8" w:rsidRDefault="00786A78" w:rsidP="00C916D0">
      <w:pPr>
        <w:pStyle w:val="Paragraphedeliste"/>
        <w:numPr>
          <w:ilvl w:val="0"/>
          <w:numId w:val="82"/>
        </w:numPr>
        <w:rPr>
          <w:rFonts w:cs="Times New Roman"/>
        </w:rPr>
      </w:pPr>
      <w:r w:rsidRPr="00F012F8">
        <w:rPr>
          <w:rFonts w:cs="Times New Roman"/>
        </w:rPr>
        <w:t>Examen physique  s/p</w:t>
      </w:r>
    </w:p>
    <w:p w:rsidR="00262DA2" w:rsidRPr="00F012F8" w:rsidRDefault="00786A78" w:rsidP="00C916D0">
      <w:pPr>
        <w:pStyle w:val="Paragraphedeliste"/>
        <w:numPr>
          <w:ilvl w:val="0"/>
          <w:numId w:val="82"/>
        </w:numPr>
        <w:rPr>
          <w:rFonts w:cs="Times New Roman"/>
        </w:rPr>
      </w:pPr>
      <w:r w:rsidRPr="00F012F8">
        <w:rPr>
          <w:rFonts w:cs="Times New Roman"/>
        </w:rPr>
        <w:t>Complications : RGO → œsophagites, incarcéra</w:t>
      </w:r>
      <w:r w:rsidR="007A5497" w:rsidRPr="00F012F8">
        <w:rPr>
          <w:rFonts w:cs="Times New Roman"/>
        </w:rPr>
        <w:t>tion, strangulation (volvulus)</w:t>
      </w:r>
      <w:r w:rsidRPr="00F012F8">
        <w:rPr>
          <w:rFonts w:cs="Times New Roman"/>
        </w:rPr>
        <w:t xml:space="preserve">, ulcère de stase, </w:t>
      </w:r>
      <w:r w:rsidR="00183B4F" w:rsidRPr="00F012F8">
        <w:rPr>
          <w:rFonts w:cs="Times New Roman"/>
        </w:rPr>
        <w:t>hémorragie</w:t>
      </w:r>
    </w:p>
    <w:p w:rsidR="007A5497" w:rsidRDefault="007A5497" w:rsidP="007A5497">
      <w:pPr>
        <w:pStyle w:val="Paragraphedeliste"/>
        <w:ind w:left="360"/>
        <w:rPr>
          <w:rFonts w:cs="Times New Roman"/>
          <w:sz w:val="20"/>
          <w:szCs w:val="20"/>
        </w:rPr>
      </w:pPr>
    </w:p>
    <w:p w:rsidR="005657E8" w:rsidRPr="00F012F8" w:rsidRDefault="005657E8" w:rsidP="007A5497">
      <w:pPr>
        <w:pStyle w:val="Paragraphedeliste"/>
        <w:ind w:left="360"/>
        <w:rPr>
          <w:rFonts w:cs="Times New Roman"/>
          <w:sz w:val="20"/>
          <w:szCs w:val="20"/>
        </w:rPr>
      </w:pPr>
    </w:p>
    <w:p w:rsidR="00A0644F" w:rsidRPr="00F012F8" w:rsidRDefault="00A0644F" w:rsidP="00C916D0">
      <w:pPr>
        <w:pStyle w:val="Paragraphedeliste"/>
        <w:numPr>
          <w:ilvl w:val="0"/>
          <w:numId w:val="78"/>
        </w:numPr>
        <w:spacing w:before="240"/>
        <w:rPr>
          <w:rFonts w:cs="Times New Roman"/>
          <w:b/>
          <w:sz w:val="24"/>
          <w:szCs w:val="24"/>
        </w:rPr>
      </w:pPr>
      <w:r w:rsidRPr="00F012F8">
        <w:rPr>
          <w:rFonts w:cs="Times New Roman"/>
          <w:b/>
          <w:sz w:val="24"/>
          <w:szCs w:val="24"/>
        </w:rPr>
        <w:t>Méningocèle</w:t>
      </w:r>
    </w:p>
    <w:p w:rsidR="00072D8F" w:rsidRPr="00F012F8" w:rsidRDefault="00072D8F" w:rsidP="00072D8F">
      <w:pPr>
        <w:pStyle w:val="Paragraphedeliste"/>
        <w:spacing w:before="240"/>
        <w:ind w:left="360"/>
        <w:rPr>
          <w:rFonts w:cs="Times New Roman"/>
          <w:b/>
          <w:sz w:val="24"/>
          <w:szCs w:val="24"/>
        </w:rPr>
      </w:pPr>
    </w:p>
    <w:p w:rsidR="007A5497" w:rsidRPr="00F012F8" w:rsidRDefault="007A5497" w:rsidP="00C916D0">
      <w:pPr>
        <w:pStyle w:val="Paragraphedeliste"/>
        <w:numPr>
          <w:ilvl w:val="0"/>
          <w:numId w:val="83"/>
        </w:numPr>
        <w:spacing w:after="0"/>
        <w:rPr>
          <w:rFonts w:cs="Times New Roman"/>
        </w:rPr>
      </w:pPr>
      <w:r w:rsidRPr="00F012F8">
        <w:rPr>
          <w:rFonts w:cs="Times New Roman"/>
        </w:rPr>
        <w:t xml:space="preserve">Herniation de méninges et de LCR à travers un trou de la colonne (sans herniation </w:t>
      </w:r>
      <w:r w:rsidR="009B4D52" w:rsidRPr="00F012F8">
        <w:rPr>
          <w:rFonts w:cs="Times New Roman"/>
        </w:rPr>
        <w:t>médullaire</w:t>
      </w:r>
      <w:r w:rsidRPr="00F012F8">
        <w:rPr>
          <w:rFonts w:cs="Times New Roman"/>
        </w:rPr>
        <w:t>)</w:t>
      </w:r>
    </w:p>
    <w:p w:rsidR="007A5497" w:rsidRPr="00F012F8" w:rsidRDefault="007A5497" w:rsidP="00C916D0">
      <w:pPr>
        <w:pStyle w:val="Paragraphedeliste"/>
        <w:numPr>
          <w:ilvl w:val="0"/>
          <w:numId w:val="83"/>
        </w:numPr>
        <w:spacing w:after="0"/>
        <w:rPr>
          <w:rFonts w:cs="Times New Roman"/>
        </w:rPr>
      </w:pPr>
      <w:r w:rsidRPr="00F012F8">
        <w:rPr>
          <w:rFonts w:cs="Times New Roman"/>
        </w:rPr>
        <w:t>Peu de complications, souvent asymptomatique</w:t>
      </w:r>
    </w:p>
    <w:p w:rsidR="004A72CC" w:rsidRPr="00F012F8" w:rsidRDefault="004A72CC" w:rsidP="004A72CC">
      <w:pPr>
        <w:pStyle w:val="Paragraphedeliste"/>
        <w:spacing w:after="0"/>
        <w:ind w:left="1080"/>
        <w:rPr>
          <w:rFonts w:cs="Times New Roman"/>
        </w:rPr>
      </w:pPr>
    </w:p>
    <w:p w:rsidR="00026E2F" w:rsidRPr="00F012F8" w:rsidRDefault="00026E2F" w:rsidP="004A72CC">
      <w:pPr>
        <w:pStyle w:val="Paragraphedeliste"/>
        <w:spacing w:after="0"/>
        <w:ind w:left="1080"/>
        <w:rPr>
          <w:rFonts w:cs="Times New Roman"/>
        </w:rPr>
      </w:pPr>
    </w:p>
    <w:p w:rsidR="00026E2F" w:rsidRPr="00F012F8" w:rsidRDefault="00026E2F" w:rsidP="004A72CC">
      <w:pPr>
        <w:pStyle w:val="Paragraphedeliste"/>
        <w:spacing w:after="0"/>
        <w:ind w:left="1080"/>
        <w:rPr>
          <w:rFonts w:cs="Times New Roman"/>
        </w:rPr>
      </w:pPr>
    </w:p>
    <w:p w:rsidR="004C2215" w:rsidRPr="00F012F8" w:rsidRDefault="004C2215" w:rsidP="00540770">
      <w:pPr>
        <w:rPr>
          <w:rFonts w:cs="Times New Roman"/>
          <w:b/>
          <w:sz w:val="32"/>
          <w:szCs w:val="32"/>
        </w:rPr>
      </w:pPr>
      <w:r w:rsidRPr="00F012F8">
        <w:rPr>
          <w:rFonts w:cs="Times New Roman"/>
          <w:b/>
          <w:sz w:val="32"/>
          <w:szCs w:val="32"/>
        </w:rPr>
        <w:t xml:space="preserve">Investigations </w:t>
      </w:r>
    </w:p>
    <w:p w:rsidR="00D342C1" w:rsidRPr="00F012F8" w:rsidRDefault="00D342C1" w:rsidP="00D342C1">
      <w:pPr>
        <w:pStyle w:val="Paragraphedeliste"/>
        <w:rPr>
          <w:rFonts w:cs="Times New Roman"/>
          <w:b/>
        </w:rPr>
      </w:pPr>
      <w:r w:rsidRPr="00F012F8">
        <w:rPr>
          <w:rFonts w:cs="Times New Roman"/>
          <w:b/>
        </w:rPr>
        <w:t>Imagerie</w:t>
      </w:r>
    </w:p>
    <w:p w:rsidR="00A431F4" w:rsidRPr="00F012F8" w:rsidRDefault="00A431F4" w:rsidP="00C916D0">
      <w:pPr>
        <w:pStyle w:val="Paragraphedeliste"/>
        <w:numPr>
          <w:ilvl w:val="0"/>
          <w:numId w:val="84"/>
        </w:numPr>
        <w:rPr>
          <w:rFonts w:cs="Times New Roman"/>
        </w:rPr>
      </w:pPr>
      <w:r w:rsidRPr="00F012F8">
        <w:rPr>
          <w:rFonts w:cs="Times New Roman"/>
        </w:rPr>
        <w:t xml:space="preserve">RXP </w:t>
      </w:r>
      <w:r w:rsidR="00D342C1" w:rsidRPr="00F012F8">
        <w:rPr>
          <w:rFonts w:cs="Times New Roman"/>
        </w:rPr>
        <w:t>→ comparer avec un antérieur, situer la masse, contenu aérique ? métastases ? épanchements ?</w:t>
      </w:r>
    </w:p>
    <w:p w:rsidR="00A431F4" w:rsidRPr="00F012F8" w:rsidRDefault="00A431F4" w:rsidP="00C916D0">
      <w:pPr>
        <w:pStyle w:val="Paragraphedeliste"/>
        <w:numPr>
          <w:ilvl w:val="0"/>
          <w:numId w:val="84"/>
        </w:numPr>
        <w:rPr>
          <w:rFonts w:cs="Times New Roman"/>
        </w:rPr>
      </w:pPr>
      <w:r w:rsidRPr="00F012F8">
        <w:rPr>
          <w:rFonts w:cs="Times New Roman"/>
        </w:rPr>
        <w:t>TDM thoracique</w:t>
      </w:r>
      <w:r w:rsidR="00D342C1" w:rsidRPr="00F012F8">
        <w:rPr>
          <w:rFonts w:cs="Times New Roman"/>
        </w:rPr>
        <w:t xml:space="preserve"> → permet de mieux caractériser la masse, de vérifier la présence de compression, de chercher des métastases</w:t>
      </w:r>
    </w:p>
    <w:p w:rsidR="00A431F4" w:rsidRPr="00F012F8" w:rsidRDefault="00A431F4" w:rsidP="00C916D0">
      <w:pPr>
        <w:pStyle w:val="Paragraphedeliste"/>
        <w:numPr>
          <w:ilvl w:val="0"/>
          <w:numId w:val="84"/>
        </w:numPr>
        <w:rPr>
          <w:rFonts w:cs="Times New Roman"/>
        </w:rPr>
      </w:pPr>
      <w:r w:rsidRPr="00F012F8">
        <w:rPr>
          <w:rFonts w:cs="Times New Roman"/>
        </w:rPr>
        <w:t>Écho</w:t>
      </w:r>
      <w:r w:rsidR="00C25805" w:rsidRPr="00F012F8">
        <w:rPr>
          <w:rFonts w:cs="Times New Roman"/>
        </w:rPr>
        <w:t xml:space="preserve"> </w:t>
      </w:r>
      <w:r w:rsidRPr="00F012F8">
        <w:rPr>
          <w:rFonts w:cs="Times New Roman"/>
        </w:rPr>
        <w:t>cardi</w:t>
      </w:r>
      <w:r w:rsidR="00D342C1" w:rsidRPr="00F012F8">
        <w:rPr>
          <w:rFonts w:cs="Times New Roman"/>
        </w:rPr>
        <w:t>a</w:t>
      </w:r>
      <w:r w:rsidRPr="00F012F8">
        <w:rPr>
          <w:rFonts w:cs="Times New Roman"/>
        </w:rPr>
        <w:t>que (si suspicion d’anévrysme péricardique)</w:t>
      </w:r>
    </w:p>
    <w:p w:rsidR="00A431F4" w:rsidRPr="00F012F8" w:rsidRDefault="00D342C1" w:rsidP="00606AE1">
      <w:pPr>
        <w:spacing w:after="0"/>
        <w:ind w:left="708"/>
        <w:rPr>
          <w:rFonts w:cs="Times New Roman"/>
          <w:b/>
        </w:rPr>
      </w:pPr>
      <w:r w:rsidRPr="00F012F8">
        <w:rPr>
          <w:rFonts w:cs="Times New Roman"/>
          <w:b/>
        </w:rPr>
        <w:t>Bilans</w:t>
      </w:r>
    </w:p>
    <w:p w:rsidR="006C001C" w:rsidRPr="00F012F8" w:rsidRDefault="006C001C" w:rsidP="00C916D0">
      <w:pPr>
        <w:pStyle w:val="Paragraphedeliste"/>
        <w:numPr>
          <w:ilvl w:val="0"/>
          <w:numId w:val="84"/>
        </w:numPr>
        <w:rPr>
          <w:rFonts w:cs="Times New Roman"/>
        </w:rPr>
      </w:pPr>
      <w:r w:rsidRPr="00F012F8">
        <w:rPr>
          <w:rFonts w:cs="Times New Roman"/>
        </w:rPr>
        <w:t>FSC</w:t>
      </w:r>
      <w:r w:rsidR="00D342C1" w:rsidRPr="00F012F8">
        <w:rPr>
          <w:rFonts w:cs="Times New Roman"/>
        </w:rPr>
        <w:t xml:space="preserve"> vérifier si atteintes de lignées cellulaires → LNH surtout, anémie sur néoplasie ?</w:t>
      </w:r>
    </w:p>
    <w:p w:rsidR="00D342C1" w:rsidRPr="00F012F8" w:rsidRDefault="00D342C1" w:rsidP="00C916D0">
      <w:pPr>
        <w:pStyle w:val="Paragraphedeliste"/>
        <w:numPr>
          <w:ilvl w:val="0"/>
          <w:numId w:val="84"/>
        </w:numPr>
        <w:rPr>
          <w:rFonts w:cs="Times New Roman"/>
        </w:rPr>
      </w:pPr>
      <w:r w:rsidRPr="00F012F8">
        <w:rPr>
          <w:rFonts w:cs="Times New Roman"/>
        </w:rPr>
        <w:t>TSH → évaluer le goitre</w:t>
      </w:r>
      <w:r w:rsidR="00A431F4" w:rsidRPr="00F012F8">
        <w:rPr>
          <w:rFonts w:cs="Times New Roman"/>
        </w:rPr>
        <w:t xml:space="preserve"> </w:t>
      </w:r>
    </w:p>
    <w:p w:rsidR="00A431F4" w:rsidRPr="00F012F8" w:rsidRDefault="00D342C1" w:rsidP="00C916D0">
      <w:pPr>
        <w:pStyle w:val="Paragraphedeliste"/>
        <w:numPr>
          <w:ilvl w:val="0"/>
          <w:numId w:val="84"/>
        </w:numPr>
        <w:rPr>
          <w:rFonts w:cs="Times New Roman"/>
        </w:rPr>
      </w:pPr>
      <w:r w:rsidRPr="00F012F8">
        <w:rPr>
          <w:rFonts w:cs="Times New Roman"/>
        </w:rPr>
        <w:t xml:space="preserve">Créatininémie, </w:t>
      </w:r>
      <w:r w:rsidR="00A431F4" w:rsidRPr="00F012F8">
        <w:rPr>
          <w:rFonts w:cs="Times New Roman"/>
        </w:rPr>
        <w:t>calc</w:t>
      </w:r>
      <w:r w:rsidRPr="00F012F8">
        <w:rPr>
          <w:rFonts w:cs="Times New Roman"/>
        </w:rPr>
        <w:t xml:space="preserve">émie, </w:t>
      </w:r>
      <w:r w:rsidR="00727784" w:rsidRPr="00F012F8">
        <w:rPr>
          <w:rFonts w:cs="Times New Roman"/>
        </w:rPr>
        <w:t>phosphatase</w:t>
      </w:r>
      <w:r w:rsidRPr="00F012F8">
        <w:rPr>
          <w:rFonts w:cs="Times New Roman"/>
        </w:rPr>
        <w:t xml:space="preserve"> </w:t>
      </w:r>
      <w:r w:rsidR="00727784" w:rsidRPr="00F012F8">
        <w:rPr>
          <w:rFonts w:cs="Times New Roman"/>
        </w:rPr>
        <w:t>alcaline</w:t>
      </w:r>
      <w:r w:rsidRPr="00F012F8">
        <w:rPr>
          <w:rFonts w:cs="Times New Roman"/>
        </w:rPr>
        <w:t>, bilan hépatique (bilan d’extension hématologique)</w:t>
      </w:r>
      <w:r w:rsidR="00A431F4" w:rsidRPr="00F012F8">
        <w:rPr>
          <w:rFonts w:cs="Times New Roman"/>
        </w:rPr>
        <w:t xml:space="preserve"> </w:t>
      </w:r>
    </w:p>
    <w:p w:rsidR="006C001C" w:rsidRPr="00F012F8" w:rsidRDefault="006C001C" w:rsidP="00C916D0">
      <w:pPr>
        <w:pStyle w:val="Paragraphedeliste"/>
        <w:numPr>
          <w:ilvl w:val="0"/>
          <w:numId w:val="84"/>
        </w:numPr>
        <w:rPr>
          <w:rFonts w:cs="Times New Roman"/>
        </w:rPr>
      </w:pPr>
      <w:r w:rsidRPr="00F012F8">
        <w:rPr>
          <w:rFonts w:cs="Times New Roman"/>
        </w:rPr>
        <w:t>Biopsies</w:t>
      </w:r>
      <w:r w:rsidR="00072D8F" w:rsidRPr="00F012F8">
        <w:rPr>
          <w:rFonts w:cs="Times New Roman"/>
        </w:rPr>
        <w:t xml:space="preserve"> </w:t>
      </w:r>
      <w:r w:rsidR="00A431F4" w:rsidRPr="00F012F8">
        <w:rPr>
          <w:rFonts w:cs="Times New Roman"/>
        </w:rPr>
        <w:t>par médiastinoscopie ou percutanée (éliminer hernie avant)</w:t>
      </w:r>
      <w:r w:rsidR="00D342C1" w:rsidRPr="00F012F8">
        <w:rPr>
          <w:rFonts w:cs="Times New Roman"/>
        </w:rPr>
        <w:t xml:space="preserve"> → nécessaire pour la prise en charge d’une néoplasie</w:t>
      </w:r>
    </w:p>
    <w:p w:rsidR="006C001C" w:rsidRPr="00F012F8" w:rsidRDefault="006C001C" w:rsidP="00C916D0">
      <w:pPr>
        <w:pStyle w:val="Paragraphedeliste"/>
        <w:numPr>
          <w:ilvl w:val="0"/>
          <w:numId w:val="84"/>
        </w:numPr>
        <w:rPr>
          <w:rFonts w:cs="Times New Roman"/>
        </w:rPr>
      </w:pPr>
      <w:r w:rsidRPr="00F012F8">
        <w:rPr>
          <w:rFonts w:cs="Times New Roman"/>
        </w:rPr>
        <w:t>Bronchoscopie</w:t>
      </w:r>
      <w:r w:rsidR="00D342C1" w:rsidRPr="00F012F8">
        <w:rPr>
          <w:rFonts w:cs="Times New Roman"/>
        </w:rPr>
        <w:t xml:space="preserve"> → vérifier si voies aériennes compromises, biopsies, lavage bronchique</w:t>
      </w:r>
    </w:p>
    <w:p w:rsidR="004C2215" w:rsidRPr="00F012F8" w:rsidRDefault="006C001C" w:rsidP="00C916D0">
      <w:pPr>
        <w:pStyle w:val="Paragraphedeliste"/>
        <w:numPr>
          <w:ilvl w:val="0"/>
          <w:numId w:val="84"/>
        </w:numPr>
        <w:rPr>
          <w:rFonts w:cs="Times New Roman"/>
        </w:rPr>
      </w:pPr>
      <w:r w:rsidRPr="00F012F8">
        <w:rPr>
          <w:rFonts w:cs="Times New Roman"/>
        </w:rPr>
        <w:t>G</w:t>
      </w:r>
      <w:r w:rsidR="00A25D1E" w:rsidRPr="00F012F8">
        <w:rPr>
          <w:rFonts w:cs="Times New Roman"/>
        </w:rPr>
        <w:t>astroscopie</w:t>
      </w:r>
      <w:r w:rsidR="00D342C1" w:rsidRPr="00F012F8">
        <w:rPr>
          <w:rFonts w:cs="Times New Roman"/>
        </w:rPr>
        <w:t xml:space="preserve"> → biopsie si suspicion de carcinome </w:t>
      </w:r>
      <w:r w:rsidR="00727784" w:rsidRPr="00F012F8">
        <w:rPr>
          <w:rFonts w:cs="Times New Roman"/>
        </w:rPr>
        <w:t>œsophagien</w:t>
      </w:r>
      <w:r w:rsidR="00D342C1" w:rsidRPr="00F012F8">
        <w:rPr>
          <w:rFonts w:cs="Times New Roman"/>
        </w:rPr>
        <w:t>, vérifier intégrité des structures si hernie</w:t>
      </w:r>
    </w:p>
    <w:p w:rsidR="004C2215" w:rsidRPr="00F012F8" w:rsidRDefault="004C2215" w:rsidP="00540770">
      <w:pPr>
        <w:rPr>
          <w:rFonts w:cs="Times New Roman"/>
          <w:b/>
          <w:sz w:val="32"/>
          <w:szCs w:val="32"/>
        </w:rPr>
      </w:pPr>
      <w:r w:rsidRPr="00F012F8">
        <w:rPr>
          <w:rFonts w:cs="Times New Roman"/>
          <w:b/>
          <w:sz w:val="32"/>
          <w:szCs w:val="32"/>
        </w:rPr>
        <w:t>Prise en charge</w:t>
      </w:r>
    </w:p>
    <w:p w:rsidR="00634350" w:rsidRPr="00F012F8" w:rsidRDefault="00634350" w:rsidP="00811198">
      <w:pPr>
        <w:pStyle w:val="Paragraphedeliste"/>
        <w:spacing w:before="240"/>
        <w:ind w:left="0"/>
        <w:rPr>
          <w:rFonts w:cs="Times New Roman"/>
          <w:b/>
          <w:sz w:val="24"/>
          <w:szCs w:val="24"/>
        </w:rPr>
        <w:sectPr w:rsidR="00634350" w:rsidRPr="00F012F8" w:rsidSect="00A35E51">
          <w:type w:val="continuous"/>
          <w:pgSz w:w="12240" w:h="15840"/>
          <w:pgMar w:top="720" w:right="720" w:bottom="720" w:left="720" w:header="708" w:footer="708" w:gutter="0"/>
          <w:cols w:space="708"/>
          <w:docGrid w:linePitch="360"/>
        </w:sectPr>
      </w:pPr>
    </w:p>
    <w:p w:rsidR="00811198" w:rsidRPr="00F012F8" w:rsidRDefault="00811198" w:rsidP="00811198">
      <w:pPr>
        <w:pStyle w:val="Paragraphedeliste"/>
        <w:spacing w:before="240"/>
        <w:ind w:left="0"/>
        <w:rPr>
          <w:rFonts w:cs="Times New Roman"/>
          <w:b/>
          <w:sz w:val="24"/>
          <w:szCs w:val="24"/>
        </w:rPr>
      </w:pPr>
      <w:r w:rsidRPr="00F012F8">
        <w:rPr>
          <w:rFonts w:cs="Times New Roman"/>
          <w:b/>
          <w:sz w:val="24"/>
          <w:szCs w:val="24"/>
        </w:rPr>
        <w:t>Anévrysme aortique</w:t>
      </w:r>
    </w:p>
    <w:p w:rsidR="00811198" w:rsidRPr="00F012F8" w:rsidRDefault="00811198" w:rsidP="00C916D0">
      <w:pPr>
        <w:pStyle w:val="Paragraphedeliste"/>
        <w:numPr>
          <w:ilvl w:val="0"/>
          <w:numId w:val="91"/>
        </w:numPr>
        <w:spacing w:before="240"/>
        <w:rPr>
          <w:rFonts w:cs="Times New Roman"/>
          <w:highlight w:val="yellow"/>
        </w:rPr>
      </w:pPr>
      <w:r w:rsidRPr="00F012F8">
        <w:rPr>
          <w:rFonts w:cs="Times New Roman"/>
          <w:highlight w:val="yellow"/>
        </w:rPr>
        <w:t>Référence en chirurgie vasculaire ou cardiaque selon le niveau</w:t>
      </w:r>
    </w:p>
    <w:p w:rsidR="00811198" w:rsidRPr="00F012F8" w:rsidRDefault="00811198" w:rsidP="00C916D0">
      <w:pPr>
        <w:pStyle w:val="Paragraphedeliste"/>
        <w:numPr>
          <w:ilvl w:val="1"/>
          <w:numId w:val="91"/>
        </w:numPr>
        <w:spacing w:before="240"/>
        <w:rPr>
          <w:rFonts w:cs="Times New Roman"/>
        </w:rPr>
      </w:pPr>
      <w:r w:rsidRPr="00F012F8">
        <w:rPr>
          <w:rFonts w:cs="Times New Roman"/>
        </w:rPr>
        <w:t>Conservateur : contrôle de l’HTA, du DM, arrêt tabagique, exercice, suivi échographique</w:t>
      </w:r>
    </w:p>
    <w:p w:rsidR="00811198" w:rsidRPr="00F012F8" w:rsidRDefault="00811198" w:rsidP="00C916D0">
      <w:pPr>
        <w:pStyle w:val="Paragraphedeliste"/>
        <w:numPr>
          <w:ilvl w:val="1"/>
          <w:numId w:val="91"/>
        </w:numPr>
        <w:spacing w:before="240"/>
        <w:rPr>
          <w:rFonts w:cs="Times New Roman"/>
        </w:rPr>
      </w:pPr>
      <w:r w:rsidRPr="00F012F8">
        <w:rPr>
          <w:rFonts w:cs="Times New Roman"/>
        </w:rPr>
        <w:t>Chirurgical : selon le risque, en urgence si dissection aortique</w:t>
      </w:r>
    </w:p>
    <w:p w:rsidR="00811198" w:rsidRPr="00F012F8" w:rsidRDefault="00811198" w:rsidP="00811198">
      <w:pPr>
        <w:pStyle w:val="Paragraphedeliste"/>
        <w:spacing w:before="240"/>
        <w:ind w:left="0"/>
        <w:rPr>
          <w:rFonts w:cs="Times New Roman"/>
          <w:b/>
          <w:sz w:val="24"/>
          <w:szCs w:val="24"/>
        </w:rPr>
      </w:pPr>
      <w:r w:rsidRPr="00F012F8">
        <w:rPr>
          <w:rFonts w:cs="Times New Roman"/>
          <w:b/>
          <w:sz w:val="24"/>
          <w:szCs w:val="24"/>
        </w:rPr>
        <w:t>Cancer bronchique</w:t>
      </w:r>
    </w:p>
    <w:p w:rsidR="00811198" w:rsidRPr="00F012F8" w:rsidRDefault="00811198" w:rsidP="00C916D0">
      <w:pPr>
        <w:pStyle w:val="Paragraphedeliste"/>
        <w:numPr>
          <w:ilvl w:val="0"/>
          <w:numId w:val="90"/>
        </w:numPr>
        <w:spacing w:before="240"/>
        <w:rPr>
          <w:rFonts w:cs="Times New Roman"/>
          <w:highlight w:val="yellow"/>
        </w:rPr>
      </w:pPr>
      <w:r w:rsidRPr="00F012F8">
        <w:rPr>
          <w:rFonts w:cs="Times New Roman"/>
          <w:highlight w:val="yellow"/>
        </w:rPr>
        <w:t>Référence en pneumologie</w:t>
      </w:r>
    </w:p>
    <w:p w:rsidR="00811198" w:rsidRPr="00F012F8" w:rsidRDefault="00811198" w:rsidP="00C916D0">
      <w:pPr>
        <w:pStyle w:val="Paragraphedeliste"/>
        <w:numPr>
          <w:ilvl w:val="1"/>
          <w:numId w:val="90"/>
        </w:numPr>
        <w:spacing w:before="240"/>
        <w:rPr>
          <w:rFonts w:cs="Times New Roman"/>
          <w:highlight w:val="yellow"/>
        </w:rPr>
      </w:pPr>
      <w:r w:rsidRPr="00F012F8">
        <w:rPr>
          <w:rFonts w:cs="Times New Roman"/>
          <w:highlight w:val="yellow"/>
        </w:rPr>
        <w:t>Bilan d’extension selon pneumologue</w:t>
      </w:r>
    </w:p>
    <w:p w:rsidR="00811198" w:rsidRPr="00F012F8" w:rsidRDefault="00811198" w:rsidP="00C916D0">
      <w:pPr>
        <w:pStyle w:val="Paragraphedeliste"/>
        <w:numPr>
          <w:ilvl w:val="2"/>
          <w:numId w:val="90"/>
        </w:numPr>
        <w:spacing w:before="240"/>
        <w:ind w:left="1843"/>
        <w:rPr>
          <w:rFonts w:cs="Times New Roman"/>
        </w:rPr>
      </w:pPr>
      <w:r w:rsidRPr="00F012F8">
        <w:rPr>
          <w:rFonts w:cs="Times New Roman"/>
        </w:rPr>
        <w:t>Écho endobronchique, médiastinoscopie, TDM-thoracique etc.</w:t>
      </w:r>
    </w:p>
    <w:p w:rsidR="00811198" w:rsidRPr="00F012F8" w:rsidRDefault="00811198" w:rsidP="00C916D0">
      <w:pPr>
        <w:pStyle w:val="Paragraphedeliste"/>
        <w:numPr>
          <w:ilvl w:val="0"/>
          <w:numId w:val="90"/>
        </w:numPr>
        <w:spacing w:before="240" w:after="0"/>
        <w:rPr>
          <w:rFonts w:cs="Times New Roman"/>
        </w:rPr>
      </w:pPr>
      <w:r w:rsidRPr="00F012F8">
        <w:rPr>
          <w:rFonts w:cs="Times New Roman"/>
        </w:rPr>
        <w:t xml:space="preserve">Traitement </w:t>
      </w:r>
      <w:r w:rsidR="00634350" w:rsidRPr="00F012F8">
        <w:rPr>
          <w:rFonts w:cs="Times New Roman"/>
        </w:rPr>
        <w:t>chirurgical</w:t>
      </w:r>
      <w:r w:rsidRPr="00F012F8">
        <w:rPr>
          <w:rFonts w:cs="Times New Roman"/>
        </w:rPr>
        <w:t xml:space="preserve">, chimiothérapie, radiothérapie ou </w:t>
      </w:r>
      <w:r w:rsidR="00634350" w:rsidRPr="00F012F8">
        <w:rPr>
          <w:rFonts w:cs="Times New Roman"/>
        </w:rPr>
        <w:t xml:space="preserve">soins </w:t>
      </w:r>
      <w:r w:rsidRPr="00F012F8">
        <w:rPr>
          <w:rFonts w:cs="Times New Roman"/>
        </w:rPr>
        <w:t>palliatif</w:t>
      </w:r>
      <w:r w:rsidR="00634350" w:rsidRPr="00F012F8">
        <w:rPr>
          <w:rFonts w:cs="Times New Roman"/>
        </w:rPr>
        <w:t>s</w:t>
      </w:r>
      <w:r w:rsidRPr="00F012F8">
        <w:rPr>
          <w:rFonts w:cs="Times New Roman"/>
        </w:rPr>
        <w:t xml:space="preserve"> selon l</w:t>
      </w:r>
      <w:r w:rsidR="00634350" w:rsidRPr="00F012F8">
        <w:rPr>
          <w:rFonts w:cs="Times New Roman"/>
        </w:rPr>
        <w:t xml:space="preserve">a </w:t>
      </w:r>
      <w:r w:rsidRPr="00F012F8">
        <w:rPr>
          <w:rFonts w:cs="Times New Roman"/>
        </w:rPr>
        <w:t>pathologie et le bilan d’extension</w:t>
      </w:r>
    </w:p>
    <w:p w:rsidR="00811198" w:rsidRPr="00F012F8" w:rsidRDefault="00811198" w:rsidP="000213D9">
      <w:pPr>
        <w:spacing w:after="0"/>
        <w:rPr>
          <w:rFonts w:cs="Times New Roman"/>
          <w:b/>
          <w:sz w:val="24"/>
          <w:szCs w:val="24"/>
        </w:rPr>
      </w:pPr>
      <w:r w:rsidRPr="00F012F8">
        <w:rPr>
          <w:rFonts w:cs="Times New Roman"/>
          <w:b/>
          <w:sz w:val="24"/>
          <w:szCs w:val="24"/>
        </w:rPr>
        <w:t>Carcinome œsophagien</w:t>
      </w:r>
    </w:p>
    <w:p w:rsidR="00811198" w:rsidRPr="00F012F8" w:rsidRDefault="00811198" w:rsidP="00C916D0">
      <w:pPr>
        <w:pStyle w:val="Paragraphedeliste"/>
        <w:numPr>
          <w:ilvl w:val="0"/>
          <w:numId w:val="87"/>
        </w:numPr>
        <w:rPr>
          <w:rFonts w:cs="Times New Roman"/>
          <w:highlight w:val="yellow"/>
        </w:rPr>
      </w:pPr>
      <w:r w:rsidRPr="00F012F8">
        <w:rPr>
          <w:rFonts w:cs="Times New Roman"/>
          <w:highlight w:val="yellow"/>
        </w:rPr>
        <w:t>Référence en chirurgie générale + oncologie</w:t>
      </w:r>
    </w:p>
    <w:p w:rsidR="00811198" w:rsidRPr="00F012F8" w:rsidRDefault="00811198" w:rsidP="00C916D0">
      <w:pPr>
        <w:pStyle w:val="Paragraphedeliste"/>
        <w:numPr>
          <w:ilvl w:val="1"/>
          <w:numId w:val="87"/>
        </w:numPr>
        <w:spacing w:before="240"/>
        <w:rPr>
          <w:rFonts w:cs="Times New Roman"/>
          <w:highlight w:val="yellow"/>
        </w:rPr>
      </w:pPr>
      <w:r w:rsidRPr="00F012F8">
        <w:rPr>
          <w:rFonts w:cs="Times New Roman"/>
          <w:highlight w:val="yellow"/>
        </w:rPr>
        <w:t>Écho endoscopique</w:t>
      </w:r>
    </w:p>
    <w:p w:rsidR="00811198" w:rsidRPr="00F012F8" w:rsidRDefault="00811198" w:rsidP="00C916D0">
      <w:pPr>
        <w:pStyle w:val="Paragraphedeliste"/>
        <w:numPr>
          <w:ilvl w:val="1"/>
          <w:numId w:val="87"/>
        </w:numPr>
        <w:spacing w:before="240"/>
        <w:rPr>
          <w:rFonts w:cs="Times New Roman"/>
          <w:highlight w:val="yellow"/>
        </w:rPr>
      </w:pPr>
      <w:r w:rsidRPr="00F012F8">
        <w:rPr>
          <w:rFonts w:cs="Times New Roman"/>
          <w:highlight w:val="yellow"/>
        </w:rPr>
        <w:t>Pan-TDM</w:t>
      </w:r>
    </w:p>
    <w:p w:rsidR="00811198" w:rsidRPr="00F012F8" w:rsidRDefault="00811198" w:rsidP="00C916D0">
      <w:pPr>
        <w:pStyle w:val="Paragraphedeliste"/>
        <w:numPr>
          <w:ilvl w:val="0"/>
          <w:numId w:val="87"/>
        </w:numPr>
        <w:spacing w:before="240"/>
        <w:rPr>
          <w:rFonts w:cs="Times New Roman"/>
        </w:rPr>
      </w:pPr>
      <w:r w:rsidRPr="00F012F8">
        <w:rPr>
          <w:rFonts w:cs="Times New Roman"/>
        </w:rPr>
        <w:t>Traitement</w:t>
      </w:r>
    </w:p>
    <w:p w:rsidR="00811198" w:rsidRPr="00F012F8" w:rsidRDefault="00811198" w:rsidP="00C916D0">
      <w:pPr>
        <w:pStyle w:val="Paragraphedeliste"/>
        <w:numPr>
          <w:ilvl w:val="0"/>
          <w:numId w:val="98"/>
        </w:numPr>
        <w:spacing w:before="240"/>
        <w:rPr>
          <w:rFonts w:cs="Times New Roman"/>
        </w:rPr>
      </w:pPr>
      <w:r w:rsidRPr="00F012F8">
        <w:rPr>
          <w:rFonts w:cs="Times New Roman"/>
        </w:rPr>
        <w:t>Local</w:t>
      </w:r>
    </w:p>
    <w:p w:rsidR="00811198" w:rsidRPr="00F012F8" w:rsidRDefault="00811198" w:rsidP="00C916D0">
      <w:pPr>
        <w:pStyle w:val="Paragraphedeliste"/>
        <w:numPr>
          <w:ilvl w:val="1"/>
          <w:numId w:val="97"/>
        </w:numPr>
        <w:spacing w:before="240"/>
        <w:rPr>
          <w:rFonts w:cs="Times New Roman"/>
        </w:rPr>
      </w:pPr>
      <w:r w:rsidRPr="00F012F8">
        <w:rPr>
          <w:rFonts w:cs="Times New Roman"/>
        </w:rPr>
        <w:t>Oesophagotomie + lymphadénectomie</w:t>
      </w:r>
    </w:p>
    <w:p w:rsidR="00811198" w:rsidRPr="00F012F8" w:rsidRDefault="00811198" w:rsidP="00C916D0">
      <w:pPr>
        <w:pStyle w:val="Paragraphedeliste"/>
        <w:numPr>
          <w:ilvl w:val="0"/>
          <w:numId w:val="99"/>
        </w:numPr>
        <w:spacing w:before="240"/>
        <w:rPr>
          <w:rFonts w:cs="Times New Roman"/>
        </w:rPr>
      </w:pPr>
      <w:r w:rsidRPr="00F012F8">
        <w:rPr>
          <w:rFonts w:cs="Times New Roman"/>
        </w:rPr>
        <w:t>Local avancé (invasif)</w:t>
      </w:r>
    </w:p>
    <w:p w:rsidR="00811198" w:rsidRPr="00F012F8" w:rsidRDefault="00811198" w:rsidP="00C916D0">
      <w:pPr>
        <w:pStyle w:val="Paragraphedeliste"/>
        <w:numPr>
          <w:ilvl w:val="1"/>
          <w:numId w:val="96"/>
        </w:numPr>
        <w:spacing w:before="240"/>
        <w:rPr>
          <w:rFonts w:cs="Times New Roman"/>
        </w:rPr>
      </w:pPr>
      <w:r w:rsidRPr="00F012F8">
        <w:rPr>
          <w:rFonts w:cs="Times New Roman"/>
        </w:rPr>
        <w:t>Chimiothérapie + radiothérapie ± oesophagotomie si bonne réponse</w:t>
      </w:r>
    </w:p>
    <w:p w:rsidR="00634350" w:rsidRPr="00F012F8" w:rsidRDefault="00634350" w:rsidP="00C916D0">
      <w:pPr>
        <w:pStyle w:val="Paragraphedeliste"/>
        <w:numPr>
          <w:ilvl w:val="0"/>
          <w:numId w:val="99"/>
        </w:numPr>
        <w:spacing w:before="240"/>
        <w:rPr>
          <w:rFonts w:cs="Times New Roman"/>
        </w:rPr>
      </w:pPr>
      <w:r w:rsidRPr="00F012F8">
        <w:rPr>
          <w:rFonts w:cs="Times New Roman"/>
        </w:rPr>
        <w:t xml:space="preserve">Métastatique </w:t>
      </w:r>
    </w:p>
    <w:p w:rsidR="00811198" w:rsidRPr="00F012F8" w:rsidRDefault="00634350" w:rsidP="00C916D0">
      <w:pPr>
        <w:pStyle w:val="Paragraphedeliste"/>
        <w:numPr>
          <w:ilvl w:val="1"/>
          <w:numId w:val="96"/>
        </w:numPr>
        <w:spacing w:before="240"/>
        <w:rPr>
          <w:rFonts w:cs="Times New Roman"/>
        </w:rPr>
      </w:pPr>
      <w:r w:rsidRPr="00F012F8">
        <w:rPr>
          <w:rFonts w:cs="Times New Roman"/>
        </w:rPr>
        <w:t>T</w:t>
      </w:r>
      <w:r w:rsidR="00811198" w:rsidRPr="00F012F8">
        <w:rPr>
          <w:rFonts w:cs="Times New Roman"/>
        </w:rPr>
        <w:t>raitement systémique et tuteur</w:t>
      </w:r>
      <w:r w:rsidRPr="00F012F8">
        <w:rPr>
          <w:rFonts w:cs="Times New Roman"/>
        </w:rPr>
        <w:t xml:space="preserve"> oesophagien</w:t>
      </w:r>
    </w:p>
    <w:p w:rsidR="00811198" w:rsidRPr="00F012F8" w:rsidRDefault="00811198" w:rsidP="00811198">
      <w:pPr>
        <w:pStyle w:val="Paragraphedeliste"/>
        <w:spacing w:before="240"/>
        <w:ind w:left="0"/>
        <w:rPr>
          <w:rFonts w:cs="Times New Roman"/>
          <w:b/>
          <w:sz w:val="24"/>
          <w:szCs w:val="24"/>
        </w:rPr>
      </w:pPr>
      <w:r w:rsidRPr="00F012F8">
        <w:rPr>
          <w:rFonts w:cs="Times New Roman"/>
          <w:b/>
          <w:sz w:val="24"/>
          <w:szCs w:val="24"/>
        </w:rPr>
        <w:t>Goitre thyroïdien</w:t>
      </w:r>
    </w:p>
    <w:p w:rsidR="00811198" w:rsidRPr="00F012F8" w:rsidRDefault="00811198" w:rsidP="00C916D0">
      <w:pPr>
        <w:pStyle w:val="Paragraphedeliste"/>
        <w:numPr>
          <w:ilvl w:val="0"/>
          <w:numId w:val="93"/>
        </w:numPr>
        <w:spacing w:before="240"/>
        <w:rPr>
          <w:rFonts w:cs="Times New Roman"/>
        </w:rPr>
      </w:pPr>
      <w:r w:rsidRPr="00F012F8">
        <w:rPr>
          <w:rFonts w:cs="Times New Roman"/>
        </w:rPr>
        <w:t>Référence en ORL / endocrinologie</w:t>
      </w:r>
    </w:p>
    <w:p w:rsidR="00811198" w:rsidRPr="00F012F8" w:rsidRDefault="00811198" w:rsidP="00C916D0">
      <w:pPr>
        <w:pStyle w:val="Paragraphedeliste"/>
        <w:numPr>
          <w:ilvl w:val="0"/>
          <w:numId w:val="92"/>
        </w:numPr>
        <w:spacing w:before="240"/>
        <w:rPr>
          <w:rFonts w:cs="Times New Roman"/>
        </w:rPr>
      </w:pPr>
      <w:r w:rsidRPr="00F012F8">
        <w:rPr>
          <w:rFonts w:cs="Times New Roman"/>
        </w:rPr>
        <w:t>Si Maladie de Graves ou multinodulaire</w:t>
      </w:r>
    </w:p>
    <w:p w:rsidR="00811198" w:rsidRPr="00F012F8" w:rsidRDefault="00811198" w:rsidP="00C916D0">
      <w:pPr>
        <w:pStyle w:val="Paragraphedeliste"/>
        <w:numPr>
          <w:ilvl w:val="1"/>
          <w:numId w:val="92"/>
        </w:numPr>
        <w:spacing w:before="240"/>
        <w:rPr>
          <w:rFonts w:cs="Times New Roman"/>
          <w:highlight w:val="yellow"/>
        </w:rPr>
      </w:pPr>
      <w:r w:rsidRPr="00F012F8">
        <w:rPr>
          <w:rFonts w:cs="Times New Roman"/>
          <w:highlight w:val="yellow"/>
        </w:rPr>
        <w:t>PTU ou MMI</w:t>
      </w:r>
    </w:p>
    <w:p w:rsidR="00811198" w:rsidRPr="00F012F8" w:rsidRDefault="00811198" w:rsidP="00C916D0">
      <w:pPr>
        <w:pStyle w:val="Paragraphedeliste"/>
        <w:numPr>
          <w:ilvl w:val="1"/>
          <w:numId w:val="92"/>
        </w:numPr>
        <w:spacing w:before="240"/>
        <w:rPr>
          <w:rFonts w:cs="Times New Roman"/>
        </w:rPr>
      </w:pPr>
      <w:r w:rsidRPr="00F012F8">
        <w:rPr>
          <w:rFonts w:cs="Times New Roman"/>
        </w:rPr>
        <w:t>Ablation par radiothérapie à l’</w:t>
      </w:r>
      <w:r w:rsidRPr="00975F7E">
        <w:rPr>
          <w:rFonts w:cs="Times New Roman"/>
          <w:vertAlign w:val="superscript"/>
        </w:rPr>
        <w:t>131</w:t>
      </w:r>
      <w:r w:rsidRPr="00F012F8">
        <w:rPr>
          <w:rFonts w:cs="Times New Roman"/>
        </w:rPr>
        <w:t>I si échec au PTU ou</w:t>
      </w:r>
    </w:p>
    <w:p w:rsidR="00811198" w:rsidRPr="00F012F8" w:rsidRDefault="00811198" w:rsidP="00C916D0">
      <w:pPr>
        <w:pStyle w:val="Paragraphedeliste"/>
        <w:numPr>
          <w:ilvl w:val="1"/>
          <w:numId w:val="92"/>
        </w:numPr>
        <w:spacing w:before="240"/>
        <w:rPr>
          <w:rFonts w:cs="Times New Roman"/>
        </w:rPr>
      </w:pPr>
      <w:r w:rsidRPr="00F012F8">
        <w:rPr>
          <w:rFonts w:cs="Times New Roman"/>
        </w:rPr>
        <w:t xml:space="preserve">Thyroïdectomie </w:t>
      </w:r>
    </w:p>
    <w:p w:rsidR="00811198" w:rsidRPr="00F012F8" w:rsidRDefault="00811198" w:rsidP="00C916D0">
      <w:pPr>
        <w:pStyle w:val="Paragraphedeliste"/>
        <w:numPr>
          <w:ilvl w:val="0"/>
          <w:numId w:val="92"/>
        </w:numPr>
        <w:spacing w:before="240"/>
        <w:rPr>
          <w:rFonts w:cs="Times New Roman"/>
          <w:sz w:val="24"/>
          <w:szCs w:val="24"/>
        </w:rPr>
      </w:pPr>
      <w:r w:rsidRPr="00F012F8">
        <w:rPr>
          <w:rFonts w:cs="Times New Roman"/>
        </w:rPr>
        <w:t>Si thyroïdite d’Hashimoto : supplémentation en lévothyroxine</w:t>
      </w:r>
    </w:p>
    <w:p w:rsidR="00975F7E" w:rsidRDefault="00975F7E" w:rsidP="00811198">
      <w:pPr>
        <w:pStyle w:val="Paragraphedeliste"/>
        <w:ind w:left="0"/>
        <w:rPr>
          <w:rFonts w:cs="Times New Roman"/>
          <w:b/>
          <w:sz w:val="24"/>
          <w:szCs w:val="24"/>
        </w:rPr>
      </w:pPr>
    </w:p>
    <w:p w:rsidR="00975F7E" w:rsidRDefault="00975F7E" w:rsidP="00811198">
      <w:pPr>
        <w:pStyle w:val="Paragraphedeliste"/>
        <w:ind w:left="0"/>
        <w:rPr>
          <w:rFonts w:cs="Times New Roman"/>
          <w:b/>
          <w:sz w:val="24"/>
          <w:szCs w:val="24"/>
        </w:rPr>
      </w:pPr>
    </w:p>
    <w:p w:rsidR="00975F7E" w:rsidRDefault="00975F7E" w:rsidP="00811198">
      <w:pPr>
        <w:pStyle w:val="Paragraphedeliste"/>
        <w:ind w:left="0"/>
        <w:rPr>
          <w:rFonts w:cs="Times New Roman"/>
          <w:b/>
          <w:sz w:val="24"/>
          <w:szCs w:val="24"/>
        </w:rPr>
      </w:pPr>
    </w:p>
    <w:p w:rsidR="00811198" w:rsidRPr="00F012F8" w:rsidRDefault="00811198" w:rsidP="00811198">
      <w:pPr>
        <w:pStyle w:val="Paragraphedeliste"/>
        <w:ind w:left="0"/>
        <w:rPr>
          <w:rFonts w:cs="Times New Roman"/>
          <w:b/>
          <w:sz w:val="24"/>
          <w:szCs w:val="24"/>
        </w:rPr>
      </w:pPr>
      <w:r w:rsidRPr="00F012F8">
        <w:rPr>
          <w:rFonts w:cs="Times New Roman"/>
          <w:b/>
          <w:sz w:val="24"/>
          <w:szCs w:val="24"/>
        </w:rPr>
        <w:t>Hernie hiatale</w:t>
      </w:r>
    </w:p>
    <w:p w:rsidR="00811198" w:rsidRPr="00F012F8" w:rsidRDefault="00811198" w:rsidP="00C916D0">
      <w:pPr>
        <w:pStyle w:val="Paragraphedeliste"/>
        <w:numPr>
          <w:ilvl w:val="0"/>
          <w:numId w:val="88"/>
        </w:numPr>
        <w:spacing w:before="240"/>
        <w:rPr>
          <w:rFonts w:cs="Times New Roman"/>
        </w:rPr>
      </w:pPr>
      <w:r w:rsidRPr="00F012F8">
        <w:rPr>
          <w:rFonts w:cs="Times New Roman"/>
        </w:rPr>
        <w:t xml:space="preserve">Arrêt tabagique, perte de poids, élévation tête du lit, Ø repas avant de dormir, repas plus petit et plus fréquents, </w:t>
      </w:r>
    </w:p>
    <w:p w:rsidR="00811198" w:rsidRPr="00F012F8" w:rsidRDefault="00811198" w:rsidP="00C916D0">
      <w:pPr>
        <w:pStyle w:val="Paragraphedeliste"/>
        <w:numPr>
          <w:ilvl w:val="0"/>
          <w:numId w:val="88"/>
        </w:numPr>
        <w:spacing w:before="240"/>
        <w:rPr>
          <w:rFonts w:cs="Times New Roman"/>
          <w:highlight w:val="yellow"/>
        </w:rPr>
      </w:pPr>
      <w:r w:rsidRPr="00F012F8">
        <w:rPr>
          <w:rFonts w:cs="Times New Roman"/>
          <w:highlight w:val="yellow"/>
        </w:rPr>
        <w:t>IPP, anti-H2 (traitement du RGO)</w:t>
      </w:r>
    </w:p>
    <w:p w:rsidR="00811198" w:rsidRPr="00F012F8" w:rsidRDefault="00811198" w:rsidP="00C916D0">
      <w:pPr>
        <w:pStyle w:val="Paragraphedeliste"/>
        <w:numPr>
          <w:ilvl w:val="0"/>
          <w:numId w:val="88"/>
        </w:numPr>
        <w:spacing w:before="240"/>
        <w:rPr>
          <w:rFonts w:cs="Times New Roman"/>
        </w:rPr>
      </w:pPr>
      <w:r w:rsidRPr="00F012F8">
        <w:rPr>
          <w:rFonts w:cs="Times New Roman"/>
        </w:rPr>
        <w:t>Diète : éviter ROH, café, menthe et gras</w:t>
      </w:r>
    </w:p>
    <w:p w:rsidR="00811198" w:rsidRPr="00F012F8" w:rsidRDefault="00811198" w:rsidP="00C916D0">
      <w:pPr>
        <w:pStyle w:val="Paragraphedeliste"/>
        <w:numPr>
          <w:ilvl w:val="0"/>
          <w:numId w:val="88"/>
        </w:numPr>
        <w:spacing w:before="240"/>
        <w:rPr>
          <w:rFonts w:cs="Times New Roman"/>
        </w:rPr>
      </w:pPr>
      <w:r w:rsidRPr="00F012F8">
        <w:rPr>
          <w:rFonts w:cs="Times New Roman"/>
        </w:rPr>
        <w:t xml:space="preserve">Référence en chirurgie générale </w:t>
      </w:r>
    </w:p>
    <w:p w:rsidR="00811198" w:rsidRPr="00F012F8" w:rsidRDefault="00811198" w:rsidP="00C916D0">
      <w:pPr>
        <w:pStyle w:val="Paragraphedeliste"/>
        <w:numPr>
          <w:ilvl w:val="1"/>
          <w:numId w:val="88"/>
        </w:numPr>
        <w:spacing w:before="240" w:after="0"/>
        <w:rPr>
          <w:rFonts w:cs="Times New Roman"/>
          <w:highlight w:val="yellow"/>
        </w:rPr>
      </w:pPr>
      <w:r w:rsidRPr="00F012F8">
        <w:rPr>
          <w:rFonts w:cs="Times New Roman"/>
          <w:highlight w:val="yellow"/>
        </w:rPr>
        <w:t>Réduction chirurgicale si échec au traitement médical ou sévère (fundoplication de Nissen)</w:t>
      </w:r>
    </w:p>
    <w:p w:rsidR="00680D0A" w:rsidRPr="00F012F8" w:rsidRDefault="00680D0A" w:rsidP="00540770">
      <w:pPr>
        <w:rPr>
          <w:rFonts w:cs="Times New Roman"/>
          <w:b/>
          <w:sz w:val="24"/>
          <w:szCs w:val="24"/>
        </w:rPr>
      </w:pPr>
      <w:r w:rsidRPr="00F012F8">
        <w:rPr>
          <w:rFonts w:cs="Times New Roman"/>
          <w:b/>
          <w:sz w:val="24"/>
          <w:szCs w:val="24"/>
        </w:rPr>
        <w:t>Lymphome de Hodgkin</w:t>
      </w:r>
    </w:p>
    <w:p w:rsidR="00567EFA" w:rsidRPr="00F012F8" w:rsidRDefault="00567EFA" w:rsidP="00C916D0">
      <w:pPr>
        <w:pStyle w:val="Paragraphedeliste"/>
        <w:numPr>
          <w:ilvl w:val="0"/>
          <w:numId w:val="85"/>
        </w:numPr>
        <w:rPr>
          <w:rFonts w:cs="Times New Roman"/>
        </w:rPr>
      </w:pPr>
      <w:r w:rsidRPr="00F012F8">
        <w:rPr>
          <w:rFonts w:cs="Times New Roman"/>
        </w:rPr>
        <w:t>Référence en hémato-oncologie</w:t>
      </w:r>
      <w:r w:rsidR="00A431F4" w:rsidRPr="00F012F8">
        <w:rPr>
          <w:rFonts w:cs="Times New Roman"/>
        </w:rPr>
        <w:t xml:space="preserve"> pour le traitement</w:t>
      </w:r>
    </w:p>
    <w:p w:rsidR="00072D8F" w:rsidRPr="00F012F8" w:rsidRDefault="00072D8F" w:rsidP="00C916D0">
      <w:pPr>
        <w:pStyle w:val="Paragraphedeliste"/>
        <w:numPr>
          <w:ilvl w:val="0"/>
          <w:numId w:val="85"/>
        </w:numPr>
        <w:rPr>
          <w:rFonts w:cs="Times New Roman"/>
        </w:rPr>
      </w:pPr>
      <w:r w:rsidRPr="00F012F8">
        <w:rPr>
          <w:rFonts w:cs="Times New Roman"/>
        </w:rPr>
        <w:t>Bilan d’extension comprenant TDM pancorporel + TEP scan</w:t>
      </w:r>
    </w:p>
    <w:p w:rsidR="00567EFA" w:rsidRPr="00F012F8" w:rsidRDefault="00567EFA" w:rsidP="00C916D0">
      <w:pPr>
        <w:pStyle w:val="Paragraphedeliste"/>
        <w:numPr>
          <w:ilvl w:val="0"/>
          <w:numId w:val="85"/>
        </w:numPr>
        <w:rPr>
          <w:rFonts w:cs="Times New Roman"/>
        </w:rPr>
      </w:pPr>
      <w:r w:rsidRPr="00F012F8">
        <w:rPr>
          <w:rFonts w:cs="Times New Roman"/>
        </w:rPr>
        <w:t xml:space="preserve">Chimiothérapie </w:t>
      </w:r>
      <w:r w:rsidR="00072D8F" w:rsidRPr="00F012F8">
        <w:rPr>
          <w:rFonts w:cs="Times New Roman"/>
        </w:rPr>
        <w:t xml:space="preserve">ABVD </w:t>
      </w:r>
    </w:p>
    <w:p w:rsidR="00567EFA" w:rsidRPr="00F012F8" w:rsidRDefault="00567EFA" w:rsidP="00C916D0">
      <w:pPr>
        <w:pStyle w:val="Paragraphedeliste"/>
        <w:numPr>
          <w:ilvl w:val="0"/>
          <w:numId w:val="85"/>
        </w:numPr>
        <w:spacing w:after="0"/>
        <w:rPr>
          <w:rFonts w:cs="Times New Roman"/>
          <w:highlight w:val="yellow"/>
        </w:rPr>
      </w:pPr>
      <w:r w:rsidRPr="00F012F8">
        <w:rPr>
          <w:rFonts w:cs="Times New Roman"/>
          <w:highlight w:val="yellow"/>
        </w:rPr>
        <w:t>Radiothérapie adjuvante sur masse &gt; 10 cm</w:t>
      </w:r>
    </w:p>
    <w:p w:rsidR="00026E2F" w:rsidRPr="00F012F8" w:rsidRDefault="00026E2F" w:rsidP="00540770">
      <w:pPr>
        <w:rPr>
          <w:rFonts w:cs="Times New Roman"/>
          <w:b/>
          <w:sz w:val="24"/>
          <w:szCs w:val="24"/>
        </w:rPr>
      </w:pPr>
    </w:p>
    <w:p w:rsidR="00026E2F" w:rsidRPr="00F012F8" w:rsidRDefault="00026E2F" w:rsidP="00540770">
      <w:pPr>
        <w:rPr>
          <w:rFonts w:cs="Times New Roman"/>
          <w:b/>
          <w:sz w:val="24"/>
          <w:szCs w:val="24"/>
        </w:rPr>
      </w:pPr>
    </w:p>
    <w:p w:rsidR="00680D0A" w:rsidRPr="00F012F8" w:rsidRDefault="00680D0A" w:rsidP="00026E2F">
      <w:pPr>
        <w:spacing w:after="0"/>
        <w:rPr>
          <w:rFonts w:cs="Times New Roman"/>
          <w:b/>
          <w:sz w:val="24"/>
          <w:szCs w:val="24"/>
        </w:rPr>
      </w:pPr>
      <w:r w:rsidRPr="00F012F8">
        <w:rPr>
          <w:rFonts w:cs="Times New Roman"/>
          <w:b/>
          <w:sz w:val="24"/>
          <w:szCs w:val="24"/>
        </w:rPr>
        <w:t>Lymphome non-hodgkinien</w:t>
      </w:r>
    </w:p>
    <w:p w:rsidR="00680D0A" w:rsidRPr="00F012F8" w:rsidRDefault="00680D0A" w:rsidP="00C916D0">
      <w:pPr>
        <w:pStyle w:val="Paragraphedeliste"/>
        <w:numPr>
          <w:ilvl w:val="0"/>
          <w:numId w:val="86"/>
        </w:numPr>
        <w:rPr>
          <w:rFonts w:cs="Times New Roman"/>
        </w:rPr>
      </w:pPr>
      <w:r w:rsidRPr="00F012F8">
        <w:rPr>
          <w:rFonts w:cs="Times New Roman"/>
        </w:rPr>
        <w:t>Référence en hémato-oncologie</w:t>
      </w:r>
    </w:p>
    <w:p w:rsidR="00A431F4" w:rsidRPr="00F012F8" w:rsidRDefault="00A431F4" w:rsidP="00C916D0">
      <w:pPr>
        <w:pStyle w:val="Paragraphedeliste"/>
        <w:numPr>
          <w:ilvl w:val="0"/>
          <w:numId w:val="86"/>
        </w:numPr>
        <w:rPr>
          <w:rFonts w:cs="Times New Roman"/>
        </w:rPr>
      </w:pPr>
      <w:r w:rsidRPr="00F012F8">
        <w:rPr>
          <w:rFonts w:cs="Times New Roman"/>
        </w:rPr>
        <w:t>Bilan d’extension comprenant pan-TDM + biopsie de moelle osseuse + autres examens selon le spécialiste</w:t>
      </w:r>
    </w:p>
    <w:p w:rsidR="00680D0A" w:rsidRPr="00F012F8" w:rsidRDefault="00680D0A" w:rsidP="00C916D0">
      <w:pPr>
        <w:pStyle w:val="Paragraphedeliste"/>
        <w:numPr>
          <w:ilvl w:val="0"/>
          <w:numId w:val="86"/>
        </w:numPr>
        <w:rPr>
          <w:rFonts w:cs="Times New Roman"/>
        </w:rPr>
      </w:pPr>
      <w:r w:rsidRPr="00F012F8">
        <w:rPr>
          <w:rFonts w:cs="Times New Roman"/>
        </w:rPr>
        <w:t>Chimiothérap</w:t>
      </w:r>
      <w:r w:rsidR="00A431F4" w:rsidRPr="00F012F8">
        <w:rPr>
          <w:rFonts w:cs="Times New Roman"/>
        </w:rPr>
        <w:t>ie CVFD</w:t>
      </w:r>
      <w:r w:rsidRPr="00F012F8">
        <w:rPr>
          <w:rFonts w:cs="Times New Roman"/>
        </w:rPr>
        <w:t xml:space="preserve"> + prednisone</w:t>
      </w:r>
    </w:p>
    <w:p w:rsidR="00680D0A" w:rsidRPr="00F012F8" w:rsidRDefault="00680D0A" w:rsidP="00C916D0">
      <w:pPr>
        <w:pStyle w:val="Paragraphedeliste"/>
        <w:numPr>
          <w:ilvl w:val="0"/>
          <w:numId w:val="86"/>
        </w:numPr>
        <w:rPr>
          <w:rFonts w:cs="Times New Roman"/>
        </w:rPr>
      </w:pPr>
      <w:r w:rsidRPr="00F012F8">
        <w:rPr>
          <w:rFonts w:cs="Times New Roman"/>
        </w:rPr>
        <w:t xml:space="preserve">Immunothérapie </w:t>
      </w:r>
      <w:r w:rsidR="00567EFA" w:rsidRPr="00F012F8">
        <w:rPr>
          <w:rFonts w:cs="Times New Roman"/>
        </w:rPr>
        <w:t xml:space="preserve"> (</w:t>
      </w:r>
      <w:r w:rsidR="00606AE1" w:rsidRPr="00F012F8">
        <w:rPr>
          <w:rFonts w:cs="Times New Roman"/>
        </w:rPr>
        <w:t>rituximab, etc.</w:t>
      </w:r>
      <w:r w:rsidR="00567EFA" w:rsidRPr="00F012F8">
        <w:rPr>
          <w:rFonts w:cs="Times New Roman"/>
        </w:rPr>
        <w:t>)</w:t>
      </w:r>
    </w:p>
    <w:p w:rsidR="00567EFA" w:rsidRPr="00F012F8" w:rsidRDefault="00567EFA" w:rsidP="00C916D0">
      <w:pPr>
        <w:pStyle w:val="Paragraphedeliste"/>
        <w:numPr>
          <w:ilvl w:val="0"/>
          <w:numId w:val="86"/>
        </w:numPr>
        <w:rPr>
          <w:rFonts w:cs="Times New Roman"/>
          <w:highlight w:val="yellow"/>
        </w:rPr>
      </w:pPr>
      <w:r w:rsidRPr="00F012F8">
        <w:rPr>
          <w:rFonts w:cs="Times New Roman"/>
          <w:highlight w:val="yellow"/>
        </w:rPr>
        <w:t>Radiothérapie adjuvante sur masse &gt; 10 cm</w:t>
      </w:r>
    </w:p>
    <w:p w:rsidR="00B7524B" w:rsidRPr="00F012F8" w:rsidRDefault="00811198" w:rsidP="00B7524B">
      <w:pPr>
        <w:pStyle w:val="Paragraphedeliste"/>
        <w:spacing w:before="240"/>
        <w:ind w:left="0"/>
        <w:rPr>
          <w:rFonts w:cs="Times New Roman"/>
          <w:b/>
          <w:sz w:val="24"/>
          <w:szCs w:val="24"/>
        </w:rPr>
      </w:pPr>
      <w:r w:rsidRPr="00F012F8">
        <w:rPr>
          <w:rFonts w:cs="Times New Roman"/>
          <w:b/>
          <w:sz w:val="24"/>
          <w:szCs w:val="24"/>
        </w:rPr>
        <w:t>S</w:t>
      </w:r>
      <w:r w:rsidR="00B7524B" w:rsidRPr="00F012F8">
        <w:rPr>
          <w:rFonts w:cs="Times New Roman"/>
          <w:b/>
          <w:sz w:val="24"/>
          <w:szCs w:val="24"/>
        </w:rPr>
        <w:t>arcoïdose</w:t>
      </w:r>
    </w:p>
    <w:p w:rsidR="00D73394" w:rsidRPr="00F012F8" w:rsidRDefault="00D73394" w:rsidP="00C916D0">
      <w:pPr>
        <w:pStyle w:val="Paragraphedeliste"/>
        <w:numPr>
          <w:ilvl w:val="0"/>
          <w:numId w:val="89"/>
        </w:numPr>
        <w:spacing w:before="240"/>
        <w:rPr>
          <w:rFonts w:cs="Times New Roman"/>
        </w:rPr>
      </w:pPr>
      <w:r w:rsidRPr="00F012F8">
        <w:rPr>
          <w:rFonts w:cs="Times New Roman"/>
        </w:rPr>
        <w:t>Référence en médecine interne/pneumologie</w:t>
      </w:r>
    </w:p>
    <w:p w:rsidR="00D73394" w:rsidRPr="00F012F8" w:rsidRDefault="00D73394" w:rsidP="00C916D0">
      <w:pPr>
        <w:pStyle w:val="Paragraphedeliste"/>
        <w:numPr>
          <w:ilvl w:val="1"/>
          <w:numId w:val="89"/>
        </w:numPr>
        <w:spacing w:before="240"/>
        <w:rPr>
          <w:rFonts w:cs="Times New Roman"/>
        </w:rPr>
      </w:pPr>
      <w:r w:rsidRPr="00F012F8">
        <w:rPr>
          <w:rFonts w:cs="Times New Roman"/>
        </w:rPr>
        <w:t>Suivi</w:t>
      </w:r>
    </w:p>
    <w:p w:rsidR="00B7524B" w:rsidRPr="00F012F8" w:rsidRDefault="00D73394" w:rsidP="00C916D0">
      <w:pPr>
        <w:pStyle w:val="Paragraphedeliste"/>
        <w:numPr>
          <w:ilvl w:val="2"/>
          <w:numId w:val="89"/>
        </w:numPr>
        <w:spacing w:before="240"/>
        <w:rPr>
          <w:rFonts w:cs="Times New Roman"/>
        </w:rPr>
      </w:pPr>
      <w:r w:rsidRPr="00F012F8">
        <w:rPr>
          <w:rFonts w:cs="Times New Roman"/>
        </w:rPr>
        <w:t>Résolution spontanée</w:t>
      </w:r>
    </w:p>
    <w:p w:rsidR="00D73394" w:rsidRPr="00F012F8" w:rsidRDefault="00026E2F" w:rsidP="00C916D0">
      <w:pPr>
        <w:pStyle w:val="Paragraphedeliste"/>
        <w:numPr>
          <w:ilvl w:val="1"/>
          <w:numId w:val="89"/>
        </w:numPr>
        <w:spacing w:before="240"/>
        <w:rPr>
          <w:rFonts w:cs="Times New Roman"/>
        </w:rPr>
      </w:pPr>
      <w:r w:rsidRPr="00F012F8">
        <w:rPr>
          <w:rFonts w:cs="Times New Roman"/>
        </w:rPr>
        <w:t>Prednisone si Sx</w:t>
      </w:r>
      <w:r w:rsidR="00354C17">
        <w:rPr>
          <w:rFonts w:cs="Times New Roman"/>
        </w:rPr>
        <w:t xml:space="preserve">, ↑ </w:t>
      </w:r>
      <w:r w:rsidR="00D73394" w:rsidRPr="00F012F8">
        <w:rPr>
          <w:rFonts w:cs="Times New Roman"/>
        </w:rPr>
        <w:t>créatinine, hyperc</w:t>
      </w:r>
      <w:r w:rsidRPr="00F012F8">
        <w:rPr>
          <w:rFonts w:cs="Times New Roman"/>
        </w:rPr>
        <w:t>alcémie</w:t>
      </w:r>
      <w:r w:rsidR="00354C17">
        <w:rPr>
          <w:rFonts w:cs="Times New Roman"/>
        </w:rPr>
        <w:t xml:space="preserve"> ou</w:t>
      </w:r>
      <w:r w:rsidRPr="00F012F8">
        <w:rPr>
          <w:rFonts w:cs="Times New Roman"/>
        </w:rPr>
        <w:t xml:space="preserve"> </w:t>
      </w:r>
      <w:r w:rsidR="00354C17">
        <w:rPr>
          <w:rFonts w:cs="Times New Roman"/>
        </w:rPr>
        <w:t>lésion</w:t>
      </w:r>
      <w:r w:rsidRPr="00F012F8">
        <w:rPr>
          <w:rFonts w:cs="Times New Roman"/>
        </w:rPr>
        <w:t xml:space="preserve"> oculaire/</w:t>
      </w:r>
      <w:r w:rsidR="00D73394" w:rsidRPr="00F012F8">
        <w:rPr>
          <w:rFonts w:cs="Times New Roman"/>
        </w:rPr>
        <w:t xml:space="preserve"> SNC)</w:t>
      </w:r>
    </w:p>
    <w:p w:rsidR="00026E2F" w:rsidRPr="00F012F8" w:rsidRDefault="00D73394" w:rsidP="00C916D0">
      <w:pPr>
        <w:pStyle w:val="Paragraphedeliste"/>
        <w:numPr>
          <w:ilvl w:val="1"/>
          <w:numId w:val="89"/>
        </w:numPr>
        <w:spacing w:before="240"/>
        <w:rPr>
          <w:rFonts w:cs="Times New Roman"/>
          <w:sz w:val="24"/>
          <w:szCs w:val="24"/>
        </w:rPr>
      </w:pPr>
      <w:r w:rsidRPr="00F012F8">
        <w:rPr>
          <w:rFonts w:cs="Times New Roman"/>
        </w:rPr>
        <w:t>Parfois méthotrexate</w:t>
      </w:r>
      <w:r w:rsidRPr="00F012F8">
        <w:rPr>
          <w:rFonts w:cs="Times New Roman"/>
          <w:sz w:val="24"/>
          <w:szCs w:val="24"/>
        </w:rPr>
        <w:t xml:space="preserve"> </w:t>
      </w:r>
    </w:p>
    <w:p w:rsidR="009E1BE0" w:rsidRPr="00F012F8" w:rsidRDefault="009E1BE0" w:rsidP="009E1BE0">
      <w:pPr>
        <w:pStyle w:val="Paragraphedeliste"/>
        <w:spacing w:before="240"/>
        <w:ind w:left="0"/>
        <w:rPr>
          <w:rFonts w:cs="Times New Roman"/>
          <w:b/>
          <w:sz w:val="24"/>
          <w:szCs w:val="24"/>
        </w:rPr>
      </w:pPr>
      <w:r w:rsidRPr="00F012F8">
        <w:rPr>
          <w:rFonts w:cs="Times New Roman"/>
          <w:b/>
          <w:sz w:val="24"/>
          <w:szCs w:val="24"/>
        </w:rPr>
        <w:t>Tératome</w:t>
      </w:r>
    </w:p>
    <w:p w:rsidR="00CD0236" w:rsidRPr="00F012F8" w:rsidRDefault="00CD0236" w:rsidP="00C916D0">
      <w:pPr>
        <w:pStyle w:val="Paragraphedeliste"/>
        <w:numPr>
          <w:ilvl w:val="0"/>
          <w:numId w:val="94"/>
        </w:numPr>
        <w:spacing w:before="240"/>
        <w:rPr>
          <w:rFonts w:cs="Times New Roman"/>
        </w:rPr>
      </w:pPr>
      <w:r w:rsidRPr="00F012F8">
        <w:rPr>
          <w:rFonts w:cs="Times New Roman"/>
        </w:rPr>
        <w:t>Référence en chirurgie thoracique</w:t>
      </w:r>
      <w:r w:rsidR="00606AE1" w:rsidRPr="00F012F8">
        <w:rPr>
          <w:rFonts w:cs="Times New Roman"/>
        </w:rPr>
        <w:t xml:space="preserve"> ou ORL ?</w:t>
      </w:r>
    </w:p>
    <w:p w:rsidR="00CD0236" w:rsidRPr="00F012F8" w:rsidRDefault="00CD0236" w:rsidP="00C916D0">
      <w:pPr>
        <w:pStyle w:val="Paragraphedeliste"/>
        <w:numPr>
          <w:ilvl w:val="1"/>
          <w:numId w:val="94"/>
        </w:numPr>
        <w:spacing w:before="240"/>
        <w:rPr>
          <w:rFonts w:cs="Times New Roman"/>
        </w:rPr>
      </w:pPr>
      <w:r w:rsidRPr="00F012F8">
        <w:rPr>
          <w:rFonts w:cs="Times New Roman"/>
        </w:rPr>
        <w:t>Exérèse totale</w:t>
      </w:r>
    </w:p>
    <w:p w:rsidR="00CD0236" w:rsidRPr="00F012F8" w:rsidRDefault="00CD0236" w:rsidP="00C916D0">
      <w:pPr>
        <w:pStyle w:val="Paragraphedeliste"/>
        <w:numPr>
          <w:ilvl w:val="0"/>
          <w:numId w:val="94"/>
        </w:numPr>
        <w:spacing w:before="240"/>
        <w:rPr>
          <w:rFonts w:cs="Times New Roman"/>
        </w:rPr>
      </w:pPr>
      <w:r w:rsidRPr="00F012F8">
        <w:rPr>
          <w:rFonts w:cs="Times New Roman"/>
        </w:rPr>
        <w:t>Peu ou pas sensible à la chimiothérapie et la radiothérapie</w:t>
      </w:r>
    </w:p>
    <w:p w:rsidR="009E1BE0" w:rsidRPr="00F012F8" w:rsidRDefault="009E1BE0" w:rsidP="009E1BE0">
      <w:pPr>
        <w:pStyle w:val="Paragraphedeliste"/>
        <w:spacing w:before="240"/>
        <w:ind w:left="0"/>
        <w:rPr>
          <w:rFonts w:cs="Times New Roman"/>
          <w:b/>
          <w:sz w:val="24"/>
          <w:szCs w:val="24"/>
        </w:rPr>
      </w:pPr>
      <w:r w:rsidRPr="00F012F8">
        <w:rPr>
          <w:rFonts w:cs="Times New Roman"/>
          <w:b/>
          <w:sz w:val="24"/>
          <w:szCs w:val="24"/>
        </w:rPr>
        <w:t>Thymome</w:t>
      </w:r>
    </w:p>
    <w:p w:rsidR="009E1BE0" w:rsidRPr="00F012F8" w:rsidRDefault="009E1BE0" w:rsidP="00C916D0">
      <w:pPr>
        <w:pStyle w:val="Paragraphedeliste"/>
        <w:numPr>
          <w:ilvl w:val="0"/>
          <w:numId w:val="95"/>
        </w:numPr>
        <w:spacing w:before="240"/>
        <w:rPr>
          <w:rFonts w:cs="Times New Roman"/>
        </w:rPr>
      </w:pPr>
      <w:r w:rsidRPr="00F012F8">
        <w:rPr>
          <w:rFonts w:cs="Times New Roman"/>
        </w:rPr>
        <w:t>Référence en chirurgie thoracique</w:t>
      </w:r>
      <w:r w:rsidR="00606AE1" w:rsidRPr="00F012F8">
        <w:rPr>
          <w:rFonts w:cs="Times New Roman"/>
        </w:rPr>
        <w:t xml:space="preserve"> / oncologie</w:t>
      </w:r>
    </w:p>
    <w:p w:rsidR="009E1BE0" w:rsidRPr="00F012F8" w:rsidRDefault="00CD0236" w:rsidP="00C916D0">
      <w:pPr>
        <w:pStyle w:val="Paragraphedeliste"/>
        <w:numPr>
          <w:ilvl w:val="1"/>
          <w:numId w:val="95"/>
        </w:numPr>
        <w:spacing w:before="240"/>
        <w:rPr>
          <w:rFonts w:cs="Times New Roman"/>
        </w:rPr>
      </w:pPr>
      <w:r w:rsidRPr="00F012F8">
        <w:rPr>
          <w:rFonts w:cs="Times New Roman"/>
        </w:rPr>
        <w:t xml:space="preserve">Exérèse chirurgicale du thymus </w:t>
      </w:r>
      <w:r w:rsidR="009E1BE0" w:rsidRPr="00F012F8">
        <w:rPr>
          <w:rFonts w:cs="Times New Roman"/>
        </w:rPr>
        <w:t>(après biopsie)</w:t>
      </w:r>
    </w:p>
    <w:p w:rsidR="009E1BE0" w:rsidRPr="00F012F8" w:rsidRDefault="009E1BE0" w:rsidP="00C916D0">
      <w:pPr>
        <w:pStyle w:val="Paragraphedeliste"/>
        <w:numPr>
          <w:ilvl w:val="0"/>
          <w:numId w:val="95"/>
        </w:numPr>
        <w:spacing w:before="240"/>
        <w:rPr>
          <w:rFonts w:cs="Times New Roman"/>
        </w:rPr>
      </w:pPr>
      <w:r w:rsidRPr="00F012F8">
        <w:rPr>
          <w:rFonts w:cs="Times New Roman"/>
        </w:rPr>
        <w:t>Chimiothérapie ± radiothérapie pré-chirurgicale selon le type</w:t>
      </w:r>
    </w:p>
    <w:p w:rsidR="00634350" w:rsidRPr="00F012F8" w:rsidRDefault="009E1BE0" w:rsidP="00C916D0">
      <w:pPr>
        <w:pStyle w:val="Paragraphedeliste"/>
        <w:numPr>
          <w:ilvl w:val="0"/>
          <w:numId w:val="95"/>
        </w:numPr>
        <w:spacing w:before="240"/>
        <w:rPr>
          <w:rFonts w:cs="Times New Roman"/>
        </w:rPr>
        <w:sectPr w:rsidR="00634350" w:rsidRPr="00F012F8" w:rsidSect="00634350">
          <w:type w:val="continuous"/>
          <w:pgSz w:w="12240" w:h="15840"/>
          <w:pgMar w:top="720" w:right="720" w:bottom="720" w:left="720" w:header="708" w:footer="708" w:gutter="0"/>
          <w:cols w:num="2" w:space="708"/>
          <w:docGrid w:linePitch="360"/>
        </w:sectPr>
      </w:pPr>
      <w:r w:rsidRPr="00F012F8">
        <w:rPr>
          <w:rFonts w:cs="Times New Roman"/>
        </w:rPr>
        <w:t>Chimio/rad</w:t>
      </w:r>
      <w:r w:rsidR="00575789" w:rsidRPr="00F012F8">
        <w:rPr>
          <w:rFonts w:cs="Times New Roman"/>
        </w:rPr>
        <w:t xml:space="preserve">iothérapie palliative (si non </w:t>
      </w:r>
      <w:r w:rsidR="00026E2F" w:rsidRPr="00F012F8">
        <w:rPr>
          <w:rFonts w:cs="Times New Roman"/>
        </w:rPr>
        <w:t>sécable)</w:t>
      </w:r>
    </w:p>
    <w:p w:rsidR="00026E2F" w:rsidRPr="00F012F8" w:rsidRDefault="00AB7DB9" w:rsidP="00540770">
      <w:pPr>
        <w:rPr>
          <w:rFonts w:cs="Times New Roman"/>
          <w:b/>
        </w:rPr>
        <w:sectPr w:rsidR="00026E2F" w:rsidRPr="00F012F8" w:rsidSect="00A35E51">
          <w:type w:val="continuous"/>
          <w:pgSz w:w="12240" w:h="15840"/>
          <w:pgMar w:top="720" w:right="720" w:bottom="720" w:left="720" w:header="708" w:footer="708" w:gutter="0"/>
          <w:cols w:space="708"/>
          <w:docGrid w:linePitch="360"/>
        </w:sectPr>
      </w:pPr>
      <w:r w:rsidRPr="00F012F8">
        <w:rPr>
          <w:rFonts w:cs="Times New Roman"/>
          <w:noProof/>
          <w:lang w:eastAsia="fr-CA"/>
        </w:rPr>
        <w:drawing>
          <wp:anchor distT="0" distB="0" distL="114300" distR="114300" simplePos="0" relativeHeight="251680768" behindDoc="0" locked="0" layoutInCell="1" allowOverlap="1" wp14:anchorId="2649CA1C" wp14:editId="77DB53EF">
            <wp:simplePos x="0" y="0"/>
            <wp:positionH relativeFrom="column">
              <wp:posOffset>1459133</wp:posOffset>
            </wp:positionH>
            <wp:positionV relativeFrom="paragraph">
              <wp:posOffset>617220</wp:posOffset>
            </wp:positionV>
            <wp:extent cx="3930015" cy="2620645"/>
            <wp:effectExtent l="0" t="0" r="0" b="8255"/>
            <wp:wrapNone/>
            <wp:docPr id="15" name="Image 15" descr="Résultats de recherche d'images pour « chirurgi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ésultats de recherche d'images pour « chirurgie »"/>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3930015" cy="2620645"/>
                    </a:xfrm>
                    <a:prstGeom prst="rect">
                      <a:avLst/>
                    </a:prstGeom>
                    <a:noFill/>
                    <a:ln>
                      <a:noFill/>
                    </a:ln>
                  </pic:spPr>
                </pic:pic>
              </a:graphicData>
            </a:graphic>
            <wp14:sizeRelH relativeFrom="page">
              <wp14:pctWidth>0</wp14:pctWidth>
            </wp14:sizeRelH>
            <wp14:sizeRelV relativeFrom="page">
              <wp14:pctHeight>0</wp14:pctHeight>
            </wp14:sizeRelV>
          </wp:anchor>
        </w:drawing>
      </w:r>
      <w:r w:rsidR="00721760">
        <w:rPr>
          <w:rFonts w:cs="Times New Roman"/>
          <w:b/>
        </w:rPr>
        <w:br w:type="page"/>
      </w:r>
    </w:p>
    <w:p w:rsidR="00A2112B" w:rsidRDefault="00A2112B" w:rsidP="00A2112B">
      <w:pPr>
        <w:pStyle w:val="Sansinterligne"/>
        <w:rPr>
          <w:rFonts w:cs="Times New Roman"/>
          <w:b/>
          <w:color w:val="548DD4" w:themeColor="text2" w:themeTint="99"/>
        </w:rPr>
      </w:pPr>
      <w:r>
        <w:rPr>
          <w:rFonts w:cs="Times New Roman"/>
          <w:b/>
          <w:color w:val="548DD4" w:themeColor="text2" w:themeTint="99"/>
        </w:rPr>
        <w:t>CMC 56-1</w:t>
      </w:r>
    </w:p>
    <w:p w:rsidR="00A2112B" w:rsidRPr="00FD3422" w:rsidRDefault="00A2112B" w:rsidP="00A2112B">
      <w:pPr>
        <w:pStyle w:val="Titre3"/>
        <w:spacing w:before="0"/>
        <w:rPr>
          <w:rFonts w:ascii="Times New Roman" w:hAnsi="Times New Roman"/>
        </w:rPr>
      </w:pPr>
      <w:bookmarkStart w:id="169" w:name="_Toc480797292"/>
      <w:r>
        <w:t>Aménorrhée, oligoménorrhée</w:t>
      </w:r>
      <w:bookmarkEnd w:id="169"/>
      <w:r>
        <w:t xml:space="preserve"> </w:t>
      </w:r>
    </w:p>
    <w:tbl>
      <w:tblPr>
        <w:tblW w:w="5000" w:type="pct"/>
        <w:tblCellSpacing w:w="0" w:type="dxa"/>
        <w:tblCellMar>
          <w:left w:w="0" w:type="dxa"/>
          <w:right w:w="0" w:type="dxa"/>
        </w:tblCellMar>
        <w:tblLook w:val="04A0" w:firstRow="1" w:lastRow="0" w:firstColumn="1" w:lastColumn="0" w:noHBand="0" w:noVBand="1"/>
      </w:tblPr>
      <w:tblGrid>
        <w:gridCol w:w="10759"/>
        <w:gridCol w:w="41"/>
      </w:tblGrid>
      <w:tr w:rsidR="00A2112B" w:rsidRPr="00BA0BBD" w:rsidTr="0059616F">
        <w:trPr>
          <w:tblCellSpacing w:w="0" w:type="dxa"/>
        </w:trPr>
        <w:tc>
          <w:tcPr>
            <w:tcW w:w="0" w:type="auto"/>
            <w:vAlign w:val="bottom"/>
            <w:hideMark/>
          </w:tcPr>
          <w:bookmarkStart w:id="170" w:name="_Toc475198225"/>
          <w:bookmarkStart w:id="171" w:name="_Toc475563849"/>
          <w:p w:rsidR="00A2112B" w:rsidRPr="00142FB5" w:rsidRDefault="00142FB5" w:rsidP="00142FB5">
            <w:pPr>
              <w:pStyle w:val="Sansinterligne"/>
              <w:spacing w:before="240"/>
              <w:rPr>
                <w:b/>
                <w:sz w:val="18"/>
                <w:szCs w:val="18"/>
              </w:rPr>
            </w:pPr>
            <w:r w:rsidRPr="00142FB5">
              <w:rPr>
                <w:b/>
                <w:noProof/>
                <w:sz w:val="18"/>
                <w:szCs w:val="18"/>
                <w:lang w:eastAsia="fr-CA"/>
              </w:rPr>
              <mc:AlternateContent>
                <mc:Choice Requires="wps">
                  <w:drawing>
                    <wp:anchor distT="0" distB="0" distL="114300" distR="114300" simplePos="0" relativeHeight="251735040" behindDoc="0" locked="0" layoutInCell="1" allowOverlap="1" wp14:anchorId="342FE7C5" wp14:editId="2CDB326E">
                      <wp:simplePos x="0" y="0"/>
                      <wp:positionH relativeFrom="column">
                        <wp:posOffset>-58420</wp:posOffset>
                      </wp:positionH>
                      <wp:positionV relativeFrom="paragraph">
                        <wp:posOffset>55880</wp:posOffset>
                      </wp:positionV>
                      <wp:extent cx="6984365" cy="2762250"/>
                      <wp:effectExtent l="0" t="0" r="26035" b="19050"/>
                      <wp:wrapNone/>
                      <wp:docPr id="257" name="Rectangle 257"/>
                      <wp:cNvGraphicFramePr/>
                      <a:graphic xmlns:a="http://schemas.openxmlformats.org/drawingml/2006/main">
                        <a:graphicData uri="http://schemas.microsoft.com/office/word/2010/wordprocessingShape">
                          <wps:wsp>
                            <wps:cNvSpPr/>
                            <wps:spPr>
                              <a:xfrm>
                                <a:off x="0" y="0"/>
                                <a:ext cx="6984365" cy="2762250"/>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57" o:spid="_x0000_s1026" style="position:absolute;margin-left:-4.6pt;margin-top:4.4pt;width:549.95pt;height:217.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" filled="f" strokecolor="black [1600]" strokeweight="2pt"/>
                  </w:pict>
                </mc:Fallback>
              </mc:AlternateContent>
            </w:r>
            <w:r w:rsidR="00A2112B" w:rsidRPr="00142FB5">
              <w:rPr>
                <w:b/>
                <w:sz w:val="18"/>
                <w:szCs w:val="18"/>
              </w:rPr>
              <w:t>Objectifs principaux</w:t>
            </w:r>
            <w:bookmarkEnd w:id="170"/>
            <w:bookmarkEnd w:id="171"/>
          </w:p>
        </w:tc>
        <w:tc>
          <w:tcPr>
            <w:tcW w:w="0" w:type="auto"/>
            <w:vAlign w:val="bottom"/>
            <w:hideMark/>
          </w:tcPr>
          <w:p w:rsidR="00A2112B" w:rsidRPr="00BA0BBD" w:rsidRDefault="00A2112B" w:rsidP="0059616F">
            <w:pPr>
              <w:jc w:val="right"/>
              <w:rPr>
                <w:rFonts w:cs="Times New Roman"/>
                <w:color w:val="000000"/>
                <w:sz w:val="18"/>
                <w:szCs w:val="18"/>
              </w:rPr>
            </w:pPr>
          </w:p>
        </w:tc>
      </w:tr>
    </w:tbl>
    <w:p w:rsidR="00A2112B" w:rsidRPr="00BA0BBD" w:rsidRDefault="00A2112B" w:rsidP="00A2112B">
      <w:pPr>
        <w:pStyle w:val="NormalWeb"/>
        <w:ind w:left="360"/>
        <w:rPr>
          <w:color w:val="000000"/>
          <w:sz w:val="18"/>
          <w:szCs w:val="18"/>
          <w:shd w:val="clear" w:color="auto" w:fill="FFFFFF"/>
        </w:rPr>
      </w:pPr>
      <w:r w:rsidRPr="00BA0BBD">
        <w:rPr>
          <w:color w:val="000000"/>
          <w:sz w:val="18"/>
          <w:szCs w:val="18"/>
          <w:shd w:val="clear" w:color="auto" w:fill="FFFFFF"/>
        </w:rPr>
        <w:t>Dans le cas d'une patiente ayant une aménorrhée ou une oligoménorrhée, le candidat devra d'abord exclure une grossesse. Dans le cas d'une aménorrhée, le candidat devra aussi déterminer si elle est primaire ou secondaire. Le candidat devra en diagnostiquer la cause, la gravité et les complications, et établir un plan de prise en charge approprié</w:t>
      </w:r>
    </w:p>
    <w:tbl>
      <w:tblPr>
        <w:tblW w:w="5000" w:type="pct"/>
        <w:tblCellSpacing w:w="0" w:type="dxa"/>
        <w:tblCellMar>
          <w:left w:w="0" w:type="dxa"/>
          <w:right w:w="0" w:type="dxa"/>
        </w:tblCellMar>
        <w:tblLook w:val="04A0" w:firstRow="1" w:lastRow="0" w:firstColumn="1" w:lastColumn="0" w:noHBand="0" w:noVBand="1"/>
      </w:tblPr>
      <w:tblGrid>
        <w:gridCol w:w="10754"/>
        <w:gridCol w:w="46"/>
      </w:tblGrid>
      <w:tr w:rsidR="00A2112B" w:rsidRPr="00BA0BBD" w:rsidTr="0059616F">
        <w:trPr>
          <w:tblCellSpacing w:w="0" w:type="dxa"/>
        </w:trPr>
        <w:tc>
          <w:tcPr>
            <w:tcW w:w="0" w:type="auto"/>
            <w:vAlign w:val="bottom"/>
            <w:hideMark/>
          </w:tcPr>
          <w:p w:rsidR="00A2112B" w:rsidRPr="00142FB5" w:rsidRDefault="00A2112B" w:rsidP="00142FB5">
            <w:pPr>
              <w:pStyle w:val="Sansinterligne"/>
              <w:rPr>
                <w:b/>
                <w:sz w:val="16"/>
                <w:szCs w:val="16"/>
              </w:rPr>
            </w:pPr>
            <w:bookmarkStart w:id="172" w:name="_Toc475198226"/>
            <w:bookmarkStart w:id="173" w:name="_Toc475563850"/>
            <w:r w:rsidRPr="00142FB5">
              <w:rPr>
                <w:b/>
                <w:sz w:val="16"/>
                <w:szCs w:val="16"/>
              </w:rPr>
              <w:t>Objectifs spécifiques</w:t>
            </w:r>
            <w:bookmarkEnd w:id="172"/>
            <w:bookmarkEnd w:id="173"/>
          </w:p>
        </w:tc>
        <w:tc>
          <w:tcPr>
            <w:tcW w:w="0" w:type="auto"/>
            <w:vAlign w:val="bottom"/>
            <w:hideMark/>
          </w:tcPr>
          <w:p w:rsidR="00A2112B" w:rsidRPr="00BA0BBD" w:rsidRDefault="00A2112B" w:rsidP="0059616F">
            <w:pPr>
              <w:rPr>
                <w:rFonts w:cs="Times New Roman"/>
                <w:color w:val="000000"/>
                <w:sz w:val="16"/>
                <w:szCs w:val="16"/>
              </w:rPr>
            </w:pPr>
          </w:p>
        </w:tc>
      </w:tr>
    </w:tbl>
    <w:p w:rsidR="00A2112B" w:rsidRPr="00BA0BBD" w:rsidRDefault="00A2112B" w:rsidP="00A2112B">
      <w:pPr>
        <w:pStyle w:val="NormalWeb"/>
        <w:shd w:val="clear" w:color="auto" w:fill="FFFFFF"/>
        <w:ind w:left="360"/>
        <w:rPr>
          <w:color w:val="000000"/>
          <w:sz w:val="16"/>
          <w:szCs w:val="16"/>
          <w:shd w:val="clear" w:color="auto" w:fill="FFFFFF"/>
        </w:rPr>
      </w:pPr>
      <w:r w:rsidRPr="00BA0BBD">
        <w:rPr>
          <w:color w:val="000000"/>
          <w:sz w:val="16"/>
          <w:szCs w:val="16"/>
          <w:shd w:val="clear" w:color="auto" w:fill="FFFFFF"/>
        </w:rPr>
        <w:t>Dans le cas d'une patiente ayant une aménorrhée ou une oligoménorrhée, le candidat devra :</w:t>
      </w:r>
    </w:p>
    <w:p w:rsidR="00A2112B" w:rsidRPr="00BA0BBD" w:rsidRDefault="00A2112B" w:rsidP="00924651">
      <w:pPr>
        <w:numPr>
          <w:ilvl w:val="0"/>
          <w:numId w:val="252"/>
        </w:numPr>
        <w:shd w:val="clear" w:color="auto" w:fill="FFFFFF"/>
        <w:spacing w:before="100" w:beforeAutospacing="1" w:after="100" w:afterAutospacing="1" w:line="240" w:lineRule="auto"/>
        <w:rPr>
          <w:rFonts w:cs="Times New Roman"/>
          <w:color w:val="000000"/>
          <w:sz w:val="16"/>
          <w:szCs w:val="16"/>
          <w:shd w:val="clear" w:color="auto" w:fill="FFFFFF"/>
        </w:rPr>
      </w:pPr>
      <w:r w:rsidRPr="00BA0BBD">
        <w:rPr>
          <w:rFonts w:cs="Times New Roman"/>
          <w:color w:val="000000"/>
          <w:sz w:val="16"/>
          <w:szCs w:val="16"/>
          <w:shd w:val="clear" w:color="auto" w:fill="FFFFFF"/>
        </w:rPr>
        <w:t>énumérer et interpréter les constatations cliniques cruciales, notamment :</w:t>
      </w:r>
    </w:p>
    <w:p w:rsidR="00A2112B" w:rsidRPr="00BA0BBD" w:rsidRDefault="00A2112B" w:rsidP="00924651">
      <w:pPr>
        <w:numPr>
          <w:ilvl w:val="1"/>
          <w:numId w:val="252"/>
        </w:numPr>
        <w:shd w:val="clear" w:color="auto" w:fill="FFFFFF"/>
        <w:spacing w:before="100" w:beforeAutospacing="1" w:after="100" w:afterAutospacing="1" w:line="240" w:lineRule="auto"/>
        <w:rPr>
          <w:rFonts w:cs="Times New Roman"/>
          <w:color w:val="000000"/>
          <w:sz w:val="16"/>
          <w:szCs w:val="16"/>
          <w:shd w:val="clear" w:color="auto" w:fill="FFFFFF"/>
        </w:rPr>
      </w:pPr>
      <w:r w:rsidRPr="00BA0BBD">
        <w:rPr>
          <w:rFonts w:cs="Times New Roman"/>
          <w:color w:val="000000"/>
          <w:sz w:val="16"/>
          <w:szCs w:val="16"/>
          <w:shd w:val="clear" w:color="auto" w:fill="FFFFFF"/>
        </w:rPr>
        <w:t>les résultats d'une anamnèse et d'un examen physique appropriés, y compris un examen pelvien;</w:t>
      </w:r>
    </w:p>
    <w:p w:rsidR="00A2112B" w:rsidRPr="00BA0BBD" w:rsidRDefault="00A2112B" w:rsidP="00924651">
      <w:pPr>
        <w:numPr>
          <w:ilvl w:val="0"/>
          <w:numId w:val="252"/>
        </w:numPr>
        <w:shd w:val="clear" w:color="auto" w:fill="FFFFFF"/>
        <w:spacing w:before="100" w:beforeAutospacing="1" w:after="100" w:afterAutospacing="1" w:line="240" w:lineRule="auto"/>
        <w:rPr>
          <w:rFonts w:cs="Times New Roman"/>
          <w:color w:val="000000"/>
          <w:sz w:val="16"/>
          <w:szCs w:val="16"/>
          <w:shd w:val="clear" w:color="auto" w:fill="FFFFFF"/>
        </w:rPr>
      </w:pPr>
      <w:r w:rsidRPr="00BA0BBD">
        <w:rPr>
          <w:rFonts w:cs="Times New Roman"/>
          <w:color w:val="000000"/>
          <w:sz w:val="16"/>
          <w:szCs w:val="16"/>
          <w:shd w:val="clear" w:color="auto" w:fill="FFFFFF"/>
        </w:rPr>
        <w:t>énumérer et interpréter les examens essentiels, notamment :</w:t>
      </w:r>
    </w:p>
    <w:p w:rsidR="00A2112B" w:rsidRPr="00BA0BBD" w:rsidRDefault="00A2112B" w:rsidP="00924651">
      <w:pPr>
        <w:numPr>
          <w:ilvl w:val="1"/>
          <w:numId w:val="252"/>
        </w:numPr>
        <w:shd w:val="clear" w:color="auto" w:fill="FFFFFF"/>
        <w:spacing w:before="100" w:beforeAutospacing="1" w:after="100" w:afterAutospacing="1" w:line="240" w:lineRule="auto"/>
        <w:rPr>
          <w:rFonts w:cs="Times New Roman"/>
          <w:color w:val="000000"/>
          <w:sz w:val="16"/>
          <w:szCs w:val="16"/>
          <w:shd w:val="clear" w:color="auto" w:fill="FFFFFF"/>
        </w:rPr>
      </w:pPr>
      <w:r w:rsidRPr="00BA0BBD">
        <w:rPr>
          <w:rFonts w:cs="Times New Roman"/>
          <w:color w:val="000000"/>
          <w:sz w:val="16"/>
          <w:szCs w:val="16"/>
          <w:shd w:val="clear" w:color="auto" w:fill="FFFFFF"/>
        </w:rPr>
        <w:t>les analyses de laboratoire et les examens radiologiques appropriés, en particulier pour exclure d'emblée une grossesse;</w:t>
      </w:r>
    </w:p>
    <w:p w:rsidR="00A2112B" w:rsidRPr="00BA0BBD" w:rsidRDefault="00A2112B" w:rsidP="00924651">
      <w:pPr>
        <w:numPr>
          <w:ilvl w:val="0"/>
          <w:numId w:val="252"/>
        </w:numPr>
        <w:shd w:val="clear" w:color="auto" w:fill="FFFFFF"/>
        <w:spacing w:before="100" w:beforeAutospacing="1" w:after="100" w:afterAutospacing="1" w:line="240" w:lineRule="auto"/>
        <w:rPr>
          <w:rFonts w:cs="Times New Roman"/>
          <w:color w:val="000000"/>
          <w:sz w:val="16"/>
          <w:szCs w:val="16"/>
          <w:shd w:val="clear" w:color="auto" w:fill="FFFFFF"/>
        </w:rPr>
      </w:pPr>
      <w:r w:rsidRPr="00BA0BBD">
        <w:rPr>
          <w:rFonts w:cs="Times New Roman"/>
          <w:color w:val="000000"/>
          <w:sz w:val="16"/>
          <w:szCs w:val="16"/>
          <w:shd w:val="clear" w:color="auto" w:fill="FFFFFF"/>
        </w:rPr>
        <w:t>élaborer un plan efficace de prise en charge initiale, notamment :</w:t>
      </w:r>
    </w:p>
    <w:p w:rsidR="00A2112B" w:rsidRPr="00BA0BBD" w:rsidRDefault="00A2112B" w:rsidP="00924651">
      <w:pPr>
        <w:numPr>
          <w:ilvl w:val="1"/>
          <w:numId w:val="252"/>
        </w:numPr>
        <w:shd w:val="clear" w:color="auto" w:fill="FFFFFF"/>
        <w:spacing w:before="100" w:beforeAutospacing="1" w:after="100" w:afterAutospacing="1" w:line="240" w:lineRule="auto"/>
        <w:rPr>
          <w:rFonts w:cs="Times New Roman"/>
          <w:color w:val="000000"/>
          <w:sz w:val="16"/>
          <w:szCs w:val="16"/>
          <w:shd w:val="clear" w:color="auto" w:fill="FFFFFF"/>
        </w:rPr>
      </w:pPr>
      <w:r w:rsidRPr="00BA0BBD">
        <w:rPr>
          <w:rFonts w:cs="Times New Roman"/>
          <w:color w:val="000000"/>
          <w:sz w:val="16"/>
          <w:szCs w:val="16"/>
          <w:shd w:val="clear" w:color="auto" w:fill="FFFFFF"/>
        </w:rPr>
        <w:t>dans un cas de grossesse;</w:t>
      </w:r>
    </w:p>
    <w:p w:rsidR="00A2112B" w:rsidRPr="00BA0BBD" w:rsidRDefault="00A2112B" w:rsidP="00924651">
      <w:pPr>
        <w:numPr>
          <w:ilvl w:val="1"/>
          <w:numId w:val="252"/>
        </w:numPr>
        <w:shd w:val="clear" w:color="auto" w:fill="FFFFFF"/>
        <w:spacing w:before="100" w:beforeAutospacing="1" w:after="100" w:afterAutospacing="1" w:line="240" w:lineRule="auto"/>
        <w:rPr>
          <w:rFonts w:cs="Times New Roman"/>
          <w:color w:val="000000"/>
          <w:sz w:val="16"/>
          <w:szCs w:val="16"/>
          <w:shd w:val="clear" w:color="auto" w:fill="FFFFFF"/>
        </w:rPr>
      </w:pPr>
      <w:r w:rsidRPr="00BA0BBD">
        <w:rPr>
          <w:rFonts w:cs="Times New Roman"/>
          <w:color w:val="000000"/>
          <w:sz w:val="16"/>
          <w:szCs w:val="16"/>
          <w:shd w:val="clear" w:color="auto" w:fill="FFFFFF"/>
        </w:rPr>
        <w:t>dans le cas d'une aménorrhée primaire;</w:t>
      </w:r>
    </w:p>
    <w:p w:rsidR="00A2112B" w:rsidRPr="00BA0BBD" w:rsidRDefault="00A2112B" w:rsidP="00924651">
      <w:pPr>
        <w:numPr>
          <w:ilvl w:val="1"/>
          <w:numId w:val="252"/>
        </w:numPr>
        <w:shd w:val="clear" w:color="auto" w:fill="FFFFFF"/>
        <w:spacing w:before="100" w:beforeAutospacing="1" w:after="100" w:afterAutospacing="1" w:line="240" w:lineRule="auto"/>
        <w:rPr>
          <w:rFonts w:cs="Times New Roman"/>
          <w:color w:val="000000"/>
          <w:sz w:val="16"/>
          <w:szCs w:val="16"/>
          <w:shd w:val="clear" w:color="auto" w:fill="FFFFFF"/>
        </w:rPr>
      </w:pPr>
      <w:r w:rsidRPr="00BA0BBD">
        <w:rPr>
          <w:rFonts w:cs="Times New Roman"/>
          <w:color w:val="000000"/>
          <w:sz w:val="16"/>
          <w:szCs w:val="16"/>
          <w:shd w:val="clear" w:color="auto" w:fill="FFFFFF"/>
        </w:rPr>
        <w:t>dans le cas d'une aménorrhée secondaire non attribuable à une grossesse;</w:t>
      </w:r>
    </w:p>
    <w:p w:rsidR="00A2112B" w:rsidRPr="00BA0BBD" w:rsidRDefault="00A2112B" w:rsidP="00924651">
      <w:pPr>
        <w:numPr>
          <w:ilvl w:val="1"/>
          <w:numId w:val="252"/>
        </w:numPr>
        <w:shd w:val="clear" w:color="auto" w:fill="FFFFFF"/>
        <w:spacing w:before="100" w:beforeAutospacing="1" w:after="100" w:afterAutospacing="1" w:line="240" w:lineRule="auto"/>
        <w:rPr>
          <w:rFonts w:cs="Times New Roman"/>
          <w:color w:val="000000"/>
          <w:sz w:val="16"/>
          <w:szCs w:val="16"/>
          <w:shd w:val="clear" w:color="auto" w:fill="FFFFFF"/>
        </w:rPr>
      </w:pPr>
      <w:r w:rsidRPr="00BA0BBD">
        <w:rPr>
          <w:rFonts w:cs="Times New Roman"/>
          <w:color w:val="000000"/>
          <w:sz w:val="16"/>
          <w:szCs w:val="16"/>
          <w:shd w:val="clear" w:color="auto" w:fill="FFFFFF"/>
        </w:rPr>
        <w:t>orientation vers des soins spécialisés, s'il y a lieu;</w:t>
      </w:r>
    </w:p>
    <w:p w:rsidR="00A2112B" w:rsidRPr="00BA0BBD" w:rsidRDefault="00A2112B" w:rsidP="00924651">
      <w:pPr>
        <w:numPr>
          <w:ilvl w:val="1"/>
          <w:numId w:val="252"/>
        </w:numPr>
        <w:shd w:val="clear" w:color="auto" w:fill="FFFFFF"/>
        <w:spacing w:before="100" w:beforeAutospacing="1" w:after="100" w:afterAutospacing="1" w:line="240" w:lineRule="auto"/>
        <w:rPr>
          <w:rFonts w:cs="Times New Roman"/>
          <w:color w:val="000000"/>
          <w:sz w:val="16"/>
          <w:szCs w:val="16"/>
          <w:shd w:val="clear" w:color="auto" w:fill="FFFFFF"/>
        </w:rPr>
      </w:pPr>
      <w:r w:rsidRPr="00BA0BBD">
        <w:rPr>
          <w:rFonts w:cs="Times New Roman"/>
          <w:color w:val="000000"/>
          <w:sz w:val="16"/>
          <w:szCs w:val="16"/>
          <w:shd w:val="clear" w:color="auto" w:fill="FFFFFF"/>
        </w:rPr>
        <w:t>counseling et renseignements pertinents, selon le cas.</w:t>
      </w:r>
    </w:p>
    <w:p w:rsidR="00A2112B" w:rsidRPr="0008020E" w:rsidRDefault="00E8305F" w:rsidP="00A2112B">
      <w:pPr>
        <w:pStyle w:val="Sansinterligne"/>
        <w:rPr>
          <w:b/>
          <w:sz w:val="28"/>
          <w:szCs w:val="28"/>
        </w:rPr>
      </w:pPr>
      <w:r>
        <w:rPr>
          <w:noProof/>
          <w:lang w:eastAsia="fr-CA"/>
        </w:rPr>
        <w:drawing>
          <wp:anchor distT="0" distB="0" distL="114300" distR="114300" simplePos="0" relativeHeight="251736064" behindDoc="1" locked="0" layoutInCell="1" allowOverlap="1" wp14:anchorId="702A72D6" wp14:editId="27846385">
            <wp:simplePos x="0" y="0"/>
            <wp:positionH relativeFrom="column">
              <wp:posOffset>5067300</wp:posOffset>
            </wp:positionH>
            <wp:positionV relativeFrom="paragraph">
              <wp:posOffset>140335</wp:posOffset>
            </wp:positionV>
            <wp:extent cx="1863090" cy="2791460"/>
            <wp:effectExtent l="0" t="0" r="3810" b="8890"/>
            <wp:wrapNone/>
            <wp:docPr id="258" name="Image 258" descr="Résultats de recherche d'images pour « aménorrhé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ésultats de recherche d'images pour « aménorrhée »"/>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863090" cy="2791460"/>
                    </a:xfrm>
                    <a:prstGeom prst="rect">
                      <a:avLst/>
                    </a:prstGeom>
                    <a:noFill/>
                    <a:ln>
                      <a:noFill/>
                    </a:ln>
                  </pic:spPr>
                </pic:pic>
              </a:graphicData>
            </a:graphic>
            <wp14:sizeRelH relativeFrom="page">
              <wp14:pctWidth>0</wp14:pctWidth>
            </wp14:sizeRelH>
            <wp14:sizeRelV relativeFrom="page">
              <wp14:pctHeight>0</wp14:pctHeight>
            </wp14:sizeRelV>
          </wp:anchor>
        </w:drawing>
      </w:r>
      <w:r w:rsidR="00A2112B" w:rsidRPr="0008020E">
        <w:rPr>
          <w:b/>
          <w:sz w:val="28"/>
          <w:szCs w:val="28"/>
        </w:rPr>
        <w:t>Définition</w:t>
      </w:r>
    </w:p>
    <w:p w:rsidR="00A2112B" w:rsidRDefault="00A2112B" w:rsidP="00A2112B">
      <w:pPr>
        <w:pStyle w:val="Sansinterligne"/>
      </w:pPr>
    </w:p>
    <w:p w:rsidR="00797408" w:rsidRPr="00BA5D1D" w:rsidRDefault="00797408" w:rsidP="00924651">
      <w:pPr>
        <w:pStyle w:val="Sansinterligne"/>
        <w:numPr>
          <w:ilvl w:val="0"/>
          <w:numId w:val="255"/>
        </w:numPr>
        <w:rPr>
          <w:highlight w:val="yellow"/>
        </w:rPr>
      </w:pPr>
      <w:r w:rsidRPr="00BA5D1D">
        <w:rPr>
          <w:highlight w:val="yellow"/>
        </w:rPr>
        <w:t xml:space="preserve">Oligoménorrhée : règles peu fréquentes, irrégulières ou plusieurs cycles anovulatoires </w:t>
      </w:r>
    </w:p>
    <w:p w:rsidR="00797408" w:rsidRPr="00BA5D1D" w:rsidRDefault="00797408" w:rsidP="00A2112B">
      <w:pPr>
        <w:pStyle w:val="Sansinterligne"/>
        <w:rPr>
          <w:highlight w:val="yellow"/>
        </w:rPr>
      </w:pPr>
    </w:p>
    <w:p w:rsidR="00A2112B" w:rsidRPr="00BA5D1D" w:rsidRDefault="007167E5" w:rsidP="00924651">
      <w:pPr>
        <w:pStyle w:val="Sansinterligne"/>
        <w:numPr>
          <w:ilvl w:val="0"/>
          <w:numId w:val="256"/>
        </w:numPr>
        <w:rPr>
          <w:highlight w:val="yellow"/>
        </w:rPr>
      </w:pPr>
      <w:r w:rsidRPr="00BA5D1D">
        <w:rPr>
          <w:highlight w:val="yellow"/>
        </w:rPr>
        <w:t>Aménorrhée : absence ou cessation de règles</w:t>
      </w:r>
    </w:p>
    <w:p w:rsidR="00A2112B" w:rsidRDefault="00A2112B" w:rsidP="00A2112B">
      <w:pPr>
        <w:pStyle w:val="Sansinterligne"/>
      </w:pPr>
    </w:p>
    <w:p w:rsidR="00797408" w:rsidRPr="00BA5D1D" w:rsidRDefault="00797408" w:rsidP="00924651">
      <w:pPr>
        <w:pStyle w:val="Sansinterligne"/>
        <w:numPr>
          <w:ilvl w:val="0"/>
          <w:numId w:val="257"/>
        </w:numPr>
        <w:rPr>
          <w:highlight w:val="yellow"/>
        </w:rPr>
      </w:pPr>
      <w:r w:rsidRPr="00BA5D1D">
        <w:rPr>
          <w:highlight w:val="yellow"/>
        </w:rPr>
        <w:t>Aménorrhée primaire : critères d’investigation</w:t>
      </w:r>
    </w:p>
    <w:p w:rsidR="00A2112B" w:rsidRPr="00BA5D1D" w:rsidRDefault="00797408" w:rsidP="00924651">
      <w:pPr>
        <w:pStyle w:val="Sansinterligne"/>
        <w:numPr>
          <w:ilvl w:val="0"/>
          <w:numId w:val="254"/>
        </w:numPr>
        <w:rPr>
          <w:highlight w:val="yellow"/>
        </w:rPr>
      </w:pPr>
      <w:r w:rsidRPr="00BA5D1D">
        <w:rPr>
          <w:highlight w:val="yellow"/>
        </w:rPr>
        <w:t>Absence de règle à 15 ans + caractères sexuels secondaires normaux</w:t>
      </w:r>
    </w:p>
    <w:p w:rsidR="00E8305F" w:rsidRDefault="00797408" w:rsidP="00924651">
      <w:pPr>
        <w:pStyle w:val="Sansinterligne"/>
        <w:numPr>
          <w:ilvl w:val="0"/>
          <w:numId w:val="254"/>
        </w:numPr>
        <w:rPr>
          <w:highlight w:val="yellow"/>
        </w:rPr>
      </w:pPr>
      <w:r w:rsidRPr="00BA5D1D">
        <w:rPr>
          <w:highlight w:val="yellow"/>
        </w:rPr>
        <w:t xml:space="preserve">Absence de règle à 14 ans et signes d’hirsutisme, suspicion d’anomalie/obstruction </w:t>
      </w:r>
    </w:p>
    <w:p w:rsidR="00797408" w:rsidRPr="00BA5D1D" w:rsidRDefault="00797408" w:rsidP="00E8305F">
      <w:pPr>
        <w:pStyle w:val="Sansinterligne"/>
        <w:ind w:left="720"/>
        <w:rPr>
          <w:highlight w:val="yellow"/>
        </w:rPr>
      </w:pPr>
      <w:r w:rsidRPr="00BA5D1D">
        <w:rPr>
          <w:highlight w:val="yellow"/>
        </w:rPr>
        <w:t>du tractus génital, trouble alimentaire ou exercice excessif</w:t>
      </w:r>
    </w:p>
    <w:p w:rsidR="00797408" w:rsidRPr="00BA5D1D" w:rsidRDefault="00797408" w:rsidP="00924651">
      <w:pPr>
        <w:pStyle w:val="Sansinterligne"/>
        <w:numPr>
          <w:ilvl w:val="0"/>
          <w:numId w:val="254"/>
        </w:numPr>
        <w:rPr>
          <w:highlight w:val="yellow"/>
        </w:rPr>
      </w:pPr>
      <w:r w:rsidRPr="00BA5D1D">
        <w:rPr>
          <w:highlight w:val="yellow"/>
        </w:rPr>
        <w:t>Absence de règle à 13 ans sans caractères sexuels secondaires</w:t>
      </w:r>
    </w:p>
    <w:p w:rsidR="00797408" w:rsidRPr="00BA5D1D" w:rsidRDefault="00797408" w:rsidP="00924651">
      <w:pPr>
        <w:pStyle w:val="Sansinterligne"/>
        <w:numPr>
          <w:ilvl w:val="0"/>
          <w:numId w:val="254"/>
        </w:numPr>
        <w:rPr>
          <w:highlight w:val="yellow"/>
        </w:rPr>
      </w:pPr>
      <w:r w:rsidRPr="00BA5D1D">
        <w:rPr>
          <w:highlight w:val="yellow"/>
        </w:rPr>
        <w:t xml:space="preserve">Absence de règle et </w:t>
      </w:r>
      <w:r w:rsidRPr="00BA5D1D">
        <w:rPr>
          <w:rFonts w:ascii="Century Gothic" w:hAnsi="Century Gothic"/>
          <w:highlight w:val="yellow"/>
        </w:rPr>
        <w:t>&gt;</w:t>
      </w:r>
      <w:r w:rsidRPr="00BA5D1D">
        <w:rPr>
          <w:highlight w:val="yellow"/>
        </w:rPr>
        <w:t xml:space="preserve"> 3 ans écoulés depuis la thélarche</w:t>
      </w:r>
    </w:p>
    <w:p w:rsidR="00797408" w:rsidRDefault="00797408" w:rsidP="00797408">
      <w:pPr>
        <w:pStyle w:val="Sansinterligne"/>
      </w:pPr>
    </w:p>
    <w:p w:rsidR="00797408" w:rsidRDefault="00797408" w:rsidP="00924651">
      <w:pPr>
        <w:pStyle w:val="Sansinterligne"/>
        <w:numPr>
          <w:ilvl w:val="0"/>
          <w:numId w:val="258"/>
        </w:numPr>
      </w:pPr>
      <w:r>
        <w:t>Aménorrhée secondaire : critères d’investigation</w:t>
      </w:r>
    </w:p>
    <w:p w:rsidR="00797408" w:rsidRDefault="00797408" w:rsidP="00924651">
      <w:pPr>
        <w:pStyle w:val="Sansinterligne"/>
        <w:numPr>
          <w:ilvl w:val="0"/>
          <w:numId w:val="253"/>
        </w:numPr>
      </w:pPr>
      <w:r>
        <w:t>Absence de règle x 3 cycles consécutifs si cycles réguliers</w:t>
      </w:r>
    </w:p>
    <w:p w:rsidR="00797408" w:rsidRDefault="00797408" w:rsidP="00924651">
      <w:pPr>
        <w:pStyle w:val="Sansinterligne"/>
        <w:numPr>
          <w:ilvl w:val="0"/>
          <w:numId w:val="253"/>
        </w:numPr>
      </w:pPr>
      <w:r>
        <w:t>Absence de règles pendant 6 mois si oligoménorrhée préalable</w:t>
      </w:r>
    </w:p>
    <w:p w:rsidR="00A2112B" w:rsidRDefault="004A55C0" w:rsidP="004A55C0">
      <w:pPr>
        <w:pStyle w:val="Sansinterligne"/>
        <w:numPr>
          <w:ilvl w:val="0"/>
          <w:numId w:val="253"/>
        </w:numPr>
      </w:pPr>
      <w:r>
        <w:t xml:space="preserve">Absence de règle </w:t>
      </w:r>
      <w:r>
        <w:rPr>
          <w:rFonts w:ascii="Century Gothic" w:hAnsi="Century Gothic"/>
        </w:rPr>
        <w:t>≥</w:t>
      </w:r>
      <w:r>
        <w:t xml:space="preserve"> 6 mois après arrêt des COC ou </w:t>
      </w:r>
      <w:r>
        <w:rPr>
          <w:rFonts w:ascii="Century Gothic" w:hAnsi="Century Gothic"/>
        </w:rPr>
        <w:t>≥</w:t>
      </w:r>
      <w:r>
        <w:t xml:space="preserve"> 12 mois après Dépo-Provera</w:t>
      </w:r>
    </w:p>
    <w:p w:rsidR="005E5CD0" w:rsidRDefault="005E5CD0" w:rsidP="00A2112B">
      <w:pPr>
        <w:pStyle w:val="Sansinterligne"/>
        <w:rPr>
          <w:b/>
          <w:sz w:val="28"/>
          <w:szCs w:val="28"/>
        </w:rPr>
      </w:pPr>
    </w:p>
    <w:p w:rsidR="00A2112B" w:rsidRPr="00A2112B" w:rsidRDefault="00A2112B" w:rsidP="00A2112B">
      <w:pPr>
        <w:pStyle w:val="Sansinterligne"/>
        <w:rPr>
          <w:b/>
          <w:sz w:val="28"/>
          <w:szCs w:val="28"/>
        </w:rPr>
      </w:pPr>
      <w:r w:rsidRPr="00A2112B">
        <w:rPr>
          <w:b/>
          <w:sz w:val="28"/>
          <w:szCs w:val="28"/>
        </w:rPr>
        <w:t>Diagnostics</w:t>
      </w:r>
      <w:r w:rsidR="00B15476">
        <w:rPr>
          <w:b/>
          <w:sz w:val="28"/>
          <w:szCs w:val="28"/>
        </w:rPr>
        <w:t xml:space="preserve"> (liste non exhaustive)</w:t>
      </w:r>
    </w:p>
    <w:p w:rsidR="005E5CD0" w:rsidRDefault="005E5CD0" w:rsidP="00A2112B">
      <w:pPr>
        <w:pStyle w:val="Sansinterligne"/>
      </w:pPr>
    </w:p>
    <w:tbl>
      <w:tblPr>
        <w:tblStyle w:val="Grilledutableau"/>
        <w:tblW w:w="0" w:type="auto"/>
        <w:tblLook w:val="04A0" w:firstRow="1" w:lastRow="0" w:firstColumn="1" w:lastColumn="0" w:noHBand="0" w:noVBand="1"/>
      </w:tblPr>
      <w:tblGrid>
        <w:gridCol w:w="661"/>
        <w:gridCol w:w="1803"/>
        <w:gridCol w:w="54"/>
        <w:gridCol w:w="4111"/>
        <w:gridCol w:w="142"/>
        <w:gridCol w:w="2122"/>
        <w:gridCol w:w="2123"/>
      </w:tblGrid>
      <w:tr w:rsidR="003F1598" w:rsidTr="002A1F06">
        <w:tc>
          <w:tcPr>
            <w:tcW w:w="11016" w:type="dxa"/>
            <w:gridSpan w:val="7"/>
            <w:shd w:val="clear" w:color="auto" w:fill="CCC0D9" w:themeFill="accent4" w:themeFillTint="66"/>
          </w:tcPr>
          <w:p w:rsidR="003F1598" w:rsidRDefault="003F1598" w:rsidP="003F1598">
            <w:pPr>
              <w:pStyle w:val="Sansinterligne"/>
              <w:jc w:val="center"/>
            </w:pPr>
            <w:r>
              <w:t>Aménorrhée physiologique</w:t>
            </w:r>
          </w:p>
        </w:tc>
      </w:tr>
      <w:tr w:rsidR="00C33FD1" w:rsidTr="00FC1F4A">
        <w:tc>
          <w:tcPr>
            <w:tcW w:w="2464" w:type="dxa"/>
            <w:gridSpan w:val="2"/>
          </w:tcPr>
          <w:p w:rsidR="003F1598" w:rsidRPr="009A342D" w:rsidRDefault="003F1598" w:rsidP="009A342D">
            <w:pPr>
              <w:pStyle w:val="Sansinterligne"/>
              <w:jc w:val="center"/>
              <w:rPr>
                <w:i/>
              </w:rPr>
            </w:pPr>
            <w:r w:rsidRPr="009A342D">
              <w:rPr>
                <w:i/>
              </w:rPr>
              <w:t>Diagnostic</w:t>
            </w:r>
          </w:p>
        </w:tc>
        <w:tc>
          <w:tcPr>
            <w:tcW w:w="4307" w:type="dxa"/>
            <w:gridSpan w:val="3"/>
          </w:tcPr>
          <w:p w:rsidR="003F1598" w:rsidRPr="009A342D" w:rsidRDefault="003F1598" w:rsidP="009A342D">
            <w:pPr>
              <w:pStyle w:val="Sansinterligne"/>
              <w:jc w:val="center"/>
              <w:rPr>
                <w:i/>
              </w:rPr>
            </w:pPr>
            <w:r w:rsidRPr="009A342D">
              <w:rPr>
                <w:i/>
              </w:rPr>
              <w:t>Épidémiologie et facteurs de risque</w:t>
            </w:r>
          </w:p>
        </w:tc>
        <w:tc>
          <w:tcPr>
            <w:tcW w:w="4245" w:type="dxa"/>
            <w:gridSpan w:val="2"/>
          </w:tcPr>
          <w:p w:rsidR="003F1598" w:rsidRPr="009A342D" w:rsidRDefault="003F1598" w:rsidP="009A342D">
            <w:pPr>
              <w:pStyle w:val="Sansinterligne"/>
              <w:jc w:val="center"/>
              <w:rPr>
                <w:i/>
              </w:rPr>
            </w:pPr>
            <w:r w:rsidRPr="009A342D">
              <w:rPr>
                <w:i/>
              </w:rPr>
              <w:t>Manifestations cliniques</w:t>
            </w:r>
          </w:p>
        </w:tc>
      </w:tr>
      <w:tr w:rsidR="00C33FD1" w:rsidTr="00FC1F4A">
        <w:tc>
          <w:tcPr>
            <w:tcW w:w="2464" w:type="dxa"/>
            <w:gridSpan w:val="2"/>
          </w:tcPr>
          <w:p w:rsidR="003F1598" w:rsidRPr="00D21548" w:rsidRDefault="009A342D" w:rsidP="00A2112B">
            <w:pPr>
              <w:pStyle w:val="Sansinterligne"/>
              <w:rPr>
                <w:highlight w:val="yellow"/>
              </w:rPr>
            </w:pPr>
            <w:r w:rsidRPr="00D21548">
              <w:rPr>
                <w:highlight w:val="yellow"/>
              </w:rPr>
              <w:t>Grossesse</w:t>
            </w:r>
          </w:p>
        </w:tc>
        <w:tc>
          <w:tcPr>
            <w:tcW w:w="4307" w:type="dxa"/>
            <w:gridSpan w:val="3"/>
          </w:tcPr>
          <w:p w:rsidR="003F1598" w:rsidRPr="00D21548" w:rsidRDefault="00DF320F" w:rsidP="00A2112B">
            <w:pPr>
              <w:pStyle w:val="Sansinterligne"/>
              <w:rPr>
                <w:highlight w:val="yellow"/>
              </w:rPr>
            </w:pPr>
            <w:r w:rsidRPr="00D21548">
              <w:rPr>
                <w:highlight w:val="yellow"/>
              </w:rPr>
              <w:t>Cause d’aménorrhée la plus facile à éliminer !</w:t>
            </w:r>
          </w:p>
          <w:p w:rsidR="00DF320F" w:rsidRPr="00D21548" w:rsidRDefault="00DF320F" w:rsidP="00A2112B">
            <w:pPr>
              <w:pStyle w:val="Sansinterligne"/>
              <w:rPr>
                <w:highlight w:val="yellow"/>
              </w:rPr>
            </w:pPr>
            <w:r w:rsidRPr="00D21548">
              <w:rPr>
                <w:highlight w:val="yellow"/>
              </w:rPr>
              <w:t>Toujours y penser chez femmes non-ménopausées</w:t>
            </w:r>
          </w:p>
        </w:tc>
        <w:tc>
          <w:tcPr>
            <w:tcW w:w="4245" w:type="dxa"/>
            <w:gridSpan w:val="2"/>
          </w:tcPr>
          <w:p w:rsidR="003F1598" w:rsidRDefault="00DF320F" w:rsidP="00924651">
            <w:pPr>
              <w:pStyle w:val="Sansinterligne"/>
              <w:numPr>
                <w:ilvl w:val="0"/>
                <w:numId w:val="259"/>
              </w:numPr>
            </w:pPr>
            <w:r>
              <w:t>Nausées matinales</w:t>
            </w:r>
          </w:p>
          <w:p w:rsidR="00DF320F" w:rsidRDefault="00DF320F" w:rsidP="00924651">
            <w:pPr>
              <w:pStyle w:val="Sansinterligne"/>
              <w:numPr>
                <w:ilvl w:val="0"/>
                <w:numId w:val="259"/>
              </w:numPr>
            </w:pPr>
            <w:r>
              <w:t xml:space="preserve">Mastalgie / </w:t>
            </w:r>
            <w:r>
              <w:rPr>
                <w:rFonts w:ascii="Century Gothic" w:hAnsi="Century Gothic"/>
              </w:rPr>
              <w:t>↑</w:t>
            </w:r>
            <w:r>
              <w:t xml:space="preserve"> taille des seins</w:t>
            </w:r>
          </w:p>
          <w:p w:rsidR="00DF320F" w:rsidRDefault="00DF320F" w:rsidP="00924651">
            <w:pPr>
              <w:pStyle w:val="Sansinterligne"/>
              <w:numPr>
                <w:ilvl w:val="0"/>
                <w:numId w:val="259"/>
              </w:numPr>
            </w:pPr>
            <w:r>
              <w:t>Abdomen / utérus proéminent</w:t>
            </w:r>
          </w:p>
          <w:p w:rsidR="00DF320F" w:rsidRDefault="00DF320F" w:rsidP="00924651">
            <w:pPr>
              <w:pStyle w:val="Sansinterligne"/>
              <w:numPr>
                <w:ilvl w:val="0"/>
                <w:numId w:val="259"/>
              </w:numPr>
            </w:pPr>
            <w:r>
              <w:t xml:space="preserve">Mouvements fœtaux </w:t>
            </w:r>
          </w:p>
        </w:tc>
      </w:tr>
      <w:tr w:rsidR="00C33FD1" w:rsidTr="00FC1F4A">
        <w:tc>
          <w:tcPr>
            <w:tcW w:w="2464" w:type="dxa"/>
            <w:gridSpan w:val="2"/>
          </w:tcPr>
          <w:p w:rsidR="003F1598" w:rsidRDefault="009A342D" w:rsidP="00A2112B">
            <w:pPr>
              <w:pStyle w:val="Sansinterligne"/>
            </w:pPr>
            <w:r>
              <w:t>Allaitement</w:t>
            </w:r>
          </w:p>
        </w:tc>
        <w:tc>
          <w:tcPr>
            <w:tcW w:w="4307" w:type="dxa"/>
            <w:gridSpan w:val="3"/>
          </w:tcPr>
          <w:p w:rsidR="003F1598" w:rsidRDefault="00DF320F" w:rsidP="00A2112B">
            <w:pPr>
              <w:pStyle w:val="Sansinterligne"/>
            </w:pPr>
            <w:r w:rsidRPr="00DF320F">
              <w:rPr>
                <w:u w:val="single"/>
              </w:rPr>
              <w:t>Si allaitement exclusif</w:t>
            </w:r>
            <w:r>
              <w:t>, régulier même la nuit : 70% aménorrhée à 6 mois, 37% à 1 an</w:t>
            </w:r>
          </w:p>
        </w:tc>
        <w:tc>
          <w:tcPr>
            <w:tcW w:w="4245" w:type="dxa"/>
            <w:gridSpan w:val="2"/>
          </w:tcPr>
          <w:p w:rsidR="003F1598" w:rsidRDefault="005E5CD0" w:rsidP="00924651">
            <w:pPr>
              <w:pStyle w:val="Sansinterligne"/>
              <w:numPr>
                <w:ilvl w:val="0"/>
                <w:numId w:val="260"/>
              </w:numPr>
            </w:pPr>
            <w:r>
              <w:rPr>
                <w:rFonts w:ascii="Century Gothic" w:hAnsi="Century Gothic"/>
              </w:rPr>
              <w:t>↑</w:t>
            </w:r>
            <w:r>
              <w:t xml:space="preserve"> taille des seins</w:t>
            </w:r>
          </w:p>
          <w:p w:rsidR="005E5CD0" w:rsidRDefault="005E5CD0" w:rsidP="00924651">
            <w:pPr>
              <w:pStyle w:val="Sansinterligne"/>
              <w:numPr>
                <w:ilvl w:val="0"/>
                <w:numId w:val="260"/>
              </w:numPr>
            </w:pPr>
            <w:r>
              <w:t>Post-partum</w:t>
            </w:r>
          </w:p>
        </w:tc>
      </w:tr>
      <w:tr w:rsidR="005E5CD0" w:rsidTr="00FC1F4A">
        <w:tc>
          <w:tcPr>
            <w:tcW w:w="2464" w:type="dxa"/>
            <w:gridSpan w:val="2"/>
          </w:tcPr>
          <w:p w:rsidR="005E5CD0" w:rsidRPr="00D94FC5" w:rsidRDefault="005E5CD0" w:rsidP="00A2112B">
            <w:pPr>
              <w:pStyle w:val="Sansinterligne"/>
              <w:rPr>
                <w:highlight w:val="yellow"/>
              </w:rPr>
            </w:pPr>
            <w:r w:rsidRPr="00D94FC5">
              <w:rPr>
                <w:highlight w:val="yellow"/>
              </w:rPr>
              <w:t>Ménopause</w:t>
            </w:r>
          </w:p>
        </w:tc>
        <w:tc>
          <w:tcPr>
            <w:tcW w:w="8552" w:type="dxa"/>
            <w:gridSpan w:val="5"/>
          </w:tcPr>
          <w:p w:rsidR="005E5CD0" w:rsidRPr="00D94FC5" w:rsidRDefault="005E5CD0" w:rsidP="00A2112B">
            <w:pPr>
              <w:pStyle w:val="Sansinterligne"/>
              <w:rPr>
                <w:highlight w:val="yellow"/>
              </w:rPr>
            </w:pPr>
            <w:r w:rsidRPr="00D94FC5">
              <w:rPr>
                <w:highlight w:val="yellow"/>
              </w:rPr>
              <w:t xml:space="preserve">Voir </w:t>
            </w:r>
            <w:r w:rsidRPr="00D94FC5">
              <w:rPr>
                <w:i/>
                <w:highlight w:val="yellow"/>
              </w:rPr>
              <w:t>Ménopause CMC 57</w:t>
            </w:r>
          </w:p>
        </w:tc>
      </w:tr>
      <w:tr w:rsidR="00C33FD1" w:rsidTr="00C54C34">
        <w:tc>
          <w:tcPr>
            <w:tcW w:w="2464" w:type="dxa"/>
            <w:gridSpan w:val="2"/>
          </w:tcPr>
          <w:p w:rsidR="003F1598" w:rsidRDefault="009A342D" w:rsidP="00A2112B">
            <w:pPr>
              <w:pStyle w:val="Sansinterligne"/>
            </w:pPr>
            <w:r>
              <w:t>Retard pubertaire constitutionnel</w:t>
            </w:r>
          </w:p>
        </w:tc>
        <w:tc>
          <w:tcPr>
            <w:tcW w:w="4307" w:type="dxa"/>
            <w:gridSpan w:val="3"/>
          </w:tcPr>
          <w:p w:rsidR="003F1598" w:rsidRDefault="005E5CD0" w:rsidP="00924651">
            <w:pPr>
              <w:pStyle w:val="Sansinterligne"/>
              <w:numPr>
                <w:ilvl w:val="0"/>
                <w:numId w:val="261"/>
              </w:numPr>
            </w:pPr>
            <w:r>
              <w:t>Rare</w:t>
            </w:r>
          </w:p>
          <w:p w:rsidR="005E5CD0" w:rsidRDefault="005E5CD0" w:rsidP="00924651">
            <w:pPr>
              <w:pStyle w:val="Sansinterligne"/>
              <w:numPr>
                <w:ilvl w:val="0"/>
                <w:numId w:val="261"/>
              </w:numPr>
            </w:pPr>
            <w:r>
              <w:t>Diagnostic d’exclusion</w:t>
            </w:r>
          </w:p>
          <w:p w:rsidR="005E5CD0" w:rsidRDefault="005E5CD0" w:rsidP="00924651">
            <w:pPr>
              <w:pStyle w:val="Sansinterligne"/>
              <w:numPr>
                <w:ilvl w:val="0"/>
                <w:numId w:val="261"/>
              </w:numPr>
            </w:pPr>
            <w:r>
              <w:t>Âge osseux retardé</w:t>
            </w:r>
          </w:p>
        </w:tc>
        <w:tc>
          <w:tcPr>
            <w:tcW w:w="4245" w:type="dxa"/>
            <w:gridSpan w:val="2"/>
          </w:tcPr>
          <w:p w:rsidR="003F1598" w:rsidRDefault="005E5CD0" w:rsidP="00924651">
            <w:pPr>
              <w:pStyle w:val="Sansinterligne"/>
              <w:numPr>
                <w:ilvl w:val="0"/>
                <w:numId w:val="261"/>
              </w:numPr>
            </w:pPr>
            <w:r>
              <w:t xml:space="preserve">Absence ou retard d’apparition des caractères sexuels </w:t>
            </w:r>
          </w:p>
        </w:tc>
      </w:tr>
      <w:tr w:rsidR="009A342D" w:rsidRPr="009A342D" w:rsidTr="002A1F06">
        <w:tc>
          <w:tcPr>
            <w:tcW w:w="11016" w:type="dxa"/>
            <w:gridSpan w:val="7"/>
            <w:shd w:val="clear" w:color="auto" w:fill="CCC0D9" w:themeFill="accent4" w:themeFillTint="66"/>
          </w:tcPr>
          <w:p w:rsidR="009A342D" w:rsidRPr="009A342D" w:rsidRDefault="009A342D" w:rsidP="009A342D">
            <w:pPr>
              <w:pStyle w:val="Sansinterligne"/>
              <w:jc w:val="center"/>
            </w:pPr>
            <w:r w:rsidRPr="009A342D">
              <w:t>Anomalies du tractus génital</w:t>
            </w:r>
          </w:p>
        </w:tc>
      </w:tr>
      <w:tr w:rsidR="00C33FD1" w:rsidTr="00C54C34">
        <w:tc>
          <w:tcPr>
            <w:tcW w:w="2464" w:type="dxa"/>
            <w:gridSpan w:val="2"/>
          </w:tcPr>
          <w:p w:rsidR="009A342D" w:rsidRPr="009A342D" w:rsidRDefault="009A342D" w:rsidP="009A342D">
            <w:pPr>
              <w:pStyle w:val="Sansinterligne"/>
              <w:jc w:val="center"/>
              <w:rPr>
                <w:i/>
              </w:rPr>
            </w:pPr>
            <w:r w:rsidRPr="009A342D">
              <w:rPr>
                <w:i/>
              </w:rPr>
              <w:t>Diagnostic</w:t>
            </w:r>
          </w:p>
        </w:tc>
        <w:tc>
          <w:tcPr>
            <w:tcW w:w="4165" w:type="dxa"/>
            <w:gridSpan w:val="2"/>
          </w:tcPr>
          <w:p w:rsidR="009A342D" w:rsidRPr="009A342D" w:rsidRDefault="009A342D" w:rsidP="009A342D">
            <w:pPr>
              <w:pStyle w:val="Sansinterligne"/>
              <w:jc w:val="center"/>
              <w:rPr>
                <w:i/>
              </w:rPr>
            </w:pPr>
            <w:r w:rsidRPr="009A342D">
              <w:rPr>
                <w:i/>
              </w:rPr>
              <w:t>Épidémiologie et facteurs de risque</w:t>
            </w:r>
          </w:p>
        </w:tc>
        <w:tc>
          <w:tcPr>
            <w:tcW w:w="4387" w:type="dxa"/>
            <w:gridSpan w:val="3"/>
          </w:tcPr>
          <w:p w:rsidR="009A342D" w:rsidRPr="009A342D" w:rsidRDefault="009A342D" w:rsidP="009A342D">
            <w:pPr>
              <w:pStyle w:val="Sansinterligne"/>
              <w:jc w:val="center"/>
              <w:rPr>
                <w:i/>
              </w:rPr>
            </w:pPr>
            <w:r w:rsidRPr="009A342D">
              <w:rPr>
                <w:i/>
              </w:rPr>
              <w:t>Manifestations cliniques</w:t>
            </w:r>
          </w:p>
        </w:tc>
      </w:tr>
      <w:tr w:rsidR="00892976" w:rsidTr="00C54C34">
        <w:tc>
          <w:tcPr>
            <w:tcW w:w="2464" w:type="dxa"/>
            <w:gridSpan w:val="2"/>
          </w:tcPr>
          <w:p w:rsidR="009E5A77" w:rsidRPr="00A12A15" w:rsidRDefault="009E5A77" w:rsidP="00A2112B">
            <w:pPr>
              <w:pStyle w:val="Sansinterligne"/>
              <w:rPr>
                <w:highlight w:val="yellow"/>
              </w:rPr>
            </w:pPr>
            <w:r w:rsidRPr="00A12A15">
              <w:rPr>
                <w:highlight w:val="yellow"/>
              </w:rPr>
              <w:t>Syndrome d’Asherman</w:t>
            </w:r>
          </w:p>
        </w:tc>
        <w:tc>
          <w:tcPr>
            <w:tcW w:w="4165" w:type="dxa"/>
            <w:gridSpan w:val="2"/>
          </w:tcPr>
          <w:p w:rsidR="009A342D" w:rsidRPr="00A12A15" w:rsidRDefault="00FC1F4A" w:rsidP="00924651">
            <w:pPr>
              <w:pStyle w:val="Sansinterligne"/>
              <w:numPr>
                <w:ilvl w:val="0"/>
                <w:numId w:val="264"/>
              </w:numPr>
              <w:rPr>
                <w:highlight w:val="yellow"/>
              </w:rPr>
            </w:pPr>
            <w:r w:rsidRPr="00A12A15">
              <w:rPr>
                <w:highlight w:val="yellow"/>
              </w:rPr>
              <w:t>Avortement (IVG ou spontané)</w:t>
            </w:r>
          </w:p>
          <w:p w:rsidR="00FC1F4A" w:rsidRPr="00A12A15" w:rsidRDefault="00FC1F4A" w:rsidP="00924651">
            <w:pPr>
              <w:pStyle w:val="Sansinterligne"/>
              <w:numPr>
                <w:ilvl w:val="0"/>
                <w:numId w:val="264"/>
              </w:numPr>
              <w:rPr>
                <w:highlight w:val="yellow"/>
              </w:rPr>
            </w:pPr>
            <w:r w:rsidRPr="00A12A15">
              <w:rPr>
                <w:highlight w:val="yellow"/>
              </w:rPr>
              <w:t>Curetage post-partum</w:t>
            </w:r>
          </w:p>
          <w:p w:rsidR="00FC1F4A" w:rsidRPr="00A12A15" w:rsidRDefault="00FC1F4A" w:rsidP="00924651">
            <w:pPr>
              <w:pStyle w:val="Sansinterligne"/>
              <w:numPr>
                <w:ilvl w:val="0"/>
                <w:numId w:val="264"/>
              </w:numPr>
              <w:rPr>
                <w:highlight w:val="yellow"/>
              </w:rPr>
            </w:pPr>
            <w:r w:rsidRPr="00A12A15">
              <w:rPr>
                <w:highlight w:val="yellow"/>
              </w:rPr>
              <w:t>Césarienne</w:t>
            </w:r>
          </w:p>
        </w:tc>
        <w:tc>
          <w:tcPr>
            <w:tcW w:w="4387" w:type="dxa"/>
            <w:gridSpan w:val="3"/>
          </w:tcPr>
          <w:p w:rsidR="009A342D" w:rsidRPr="00A12A15" w:rsidRDefault="00FC1F4A" w:rsidP="00924651">
            <w:pPr>
              <w:pStyle w:val="Sansinterligne"/>
              <w:numPr>
                <w:ilvl w:val="0"/>
                <w:numId w:val="263"/>
              </w:numPr>
              <w:rPr>
                <w:highlight w:val="yellow"/>
              </w:rPr>
            </w:pPr>
            <w:r w:rsidRPr="00A12A15">
              <w:rPr>
                <w:highlight w:val="yellow"/>
              </w:rPr>
              <w:t>Aménorrhée/hypoménorrhée/infertilité</w:t>
            </w:r>
          </w:p>
          <w:p w:rsidR="00F47B2F" w:rsidRPr="00A12A15" w:rsidRDefault="00F47B2F" w:rsidP="00924651">
            <w:pPr>
              <w:pStyle w:val="Sansinterligne"/>
              <w:numPr>
                <w:ilvl w:val="1"/>
                <w:numId w:val="263"/>
              </w:numPr>
              <w:rPr>
                <w:highlight w:val="yellow"/>
              </w:rPr>
            </w:pPr>
            <w:r w:rsidRPr="00A12A15">
              <w:rPr>
                <w:highlight w:val="yellow"/>
              </w:rPr>
              <w:t>(Plainte principale)</w:t>
            </w:r>
          </w:p>
          <w:p w:rsidR="00FC1F4A" w:rsidRPr="00A12A15" w:rsidRDefault="00FC1F4A" w:rsidP="00924651">
            <w:pPr>
              <w:pStyle w:val="Sansinterligne"/>
              <w:numPr>
                <w:ilvl w:val="0"/>
                <w:numId w:val="263"/>
              </w:numPr>
              <w:rPr>
                <w:highlight w:val="yellow"/>
              </w:rPr>
            </w:pPr>
            <w:r w:rsidRPr="00A12A15">
              <w:rPr>
                <w:highlight w:val="yellow"/>
              </w:rPr>
              <w:t>Avortement spontanés répétés</w:t>
            </w:r>
          </w:p>
          <w:p w:rsidR="00FC1F4A" w:rsidRPr="00A12A15" w:rsidRDefault="00FC1F4A" w:rsidP="00924651">
            <w:pPr>
              <w:pStyle w:val="Sansinterligne"/>
              <w:numPr>
                <w:ilvl w:val="0"/>
                <w:numId w:val="263"/>
              </w:numPr>
              <w:rPr>
                <w:highlight w:val="yellow"/>
              </w:rPr>
            </w:pPr>
            <w:r w:rsidRPr="00A12A15">
              <w:rPr>
                <w:highlight w:val="yellow"/>
              </w:rPr>
              <w:t>Diathèse de placentation anormale</w:t>
            </w:r>
          </w:p>
          <w:p w:rsidR="00FC1F4A" w:rsidRPr="00A12A15" w:rsidRDefault="00FC1F4A" w:rsidP="00A2112B">
            <w:pPr>
              <w:pStyle w:val="Sansinterligne"/>
              <w:rPr>
                <w:highlight w:val="yellow"/>
                <w:u w:val="single"/>
              </w:rPr>
            </w:pPr>
            <w:r w:rsidRPr="00A12A15">
              <w:rPr>
                <w:highlight w:val="yellow"/>
                <w:u w:val="single"/>
              </w:rPr>
              <w:t>Parfois</w:t>
            </w:r>
          </w:p>
          <w:p w:rsidR="00FC1F4A" w:rsidRPr="00A12A15" w:rsidRDefault="00FC1F4A" w:rsidP="00924651">
            <w:pPr>
              <w:pStyle w:val="Sansinterligne"/>
              <w:numPr>
                <w:ilvl w:val="0"/>
                <w:numId w:val="262"/>
              </w:numPr>
              <w:rPr>
                <w:highlight w:val="yellow"/>
              </w:rPr>
            </w:pPr>
            <w:r w:rsidRPr="00A12A15">
              <w:rPr>
                <w:highlight w:val="yellow"/>
              </w:rPr>
              <w:t>Douleurs cycliques</w:t>
            </w:r>
          </w:p>
          <w:p w:rsidR="00FC1F4A" w:rsidRPr="00A12A15" w:rsidRDefault="00FC1F4A" w:rsidP="00924651">
            <w:pPr>
              <w:pStyle w:val="Sansinterligne"/>
              <w:numPr>
                <w:ilvl w:val="0"/>
                <w:numId w:val="262"/>
              </w:numPr>
              <w:rPr>
                <w:highlight w:val="yellow"/>
              </w:rPr>
            </w:pPr>
            <w:r w:rsidRPr="00A12A15">
              <w:rPr>
                <w:highlight w:val="yellow"/>
              </w:rPr>
              <w:t>Hématométrie</w:t>
            </w:r>
          </w:p>
        </w:tc>
      </w:tr>
      <w:tr w:rsidR="00C33FD1" w:rsidTr="00C54C34">
        <w:tc>
          <w:tcPr>
            <w:tcW w:w="2464" w:type="dxa"/>
            <w:gridSpan w:val="2"/>
          </w:tcPr>
          <w:p w:rsidR="009E5A77" w:rsidRPr="00A12A15" w:rsidRDefault="009E5A77" w:rsidP="00A2112B">
            <w:pPr>
              <w:pStyle w:val="Sansinterligne"/>
              <w:rPr>
                <w:highlight w:val="yellow"/>
              </w:rPr>
            </w:pPr>
            <w:r w:rsidRPr="00A12A15">
              <w:rPr>
                <w:highlight w:val="yellow"/>
              </w:rPr>
              <w:t xml:space="preserve">Syndrome d’insensibilité aux androgènes </w:t>
            </w:r>
          </w:p>
          <w:p w:rsidR="009A342D" w:rsidRPr="00A12A15" w:rsidRDefault="009E5A77" w:rsidP="00A2112B">
            <w:pPr>
              <w:pStyle w:val="Sansinterligne"/>
              <w:rPr>
                <w:highlight w:val="yellow"/>
              </w:rPr>
            </w:pPr>
            <w:r w:rsidRPr="00A12A15">
              <w:rPr>
                <w:highlight w:val="yellow"/>
              </w:rPr>
              <w:t>(partiel ou complet)</w:t>
            </w:r>
          </w:p>
        </w:tc>
        <w:tc>
          <w:tcPr>
            <w:tcW w:w="4165" w:type="dxa"/>
            <w:gridSpan w:val="2"/>
          </w:tcPr>
          <w:p w:rsidR="009A342D" w:rsidRDefault="00F47B2F" w:rsidP="00924651">
            <w:pPr>
              <w:pStyle w:val="Sansinterligne"/>
              <w:numPr>
                <w:ilvl w:val="0"/>
                <w:numId w:val="266"/>
              </w:numPr>
              <w:ind w:left="360"/>
            </w:pPr>
            <w:r>
              <w:t>Complet : incidence 1/20 000-1/100 000</w:t>
            </w:r>
          </w:p>
          <w:p w:rsidR="00EF7926" w:rsidRDefault="00EF7926" w:rsidP="00613F91">
            <w:pPr>
              <w:pStyle w:val="Sansinterligne"/>
            </w:pPr>
          </w:p>
          <w:p w:rsidR="00EF7926" w:rsidRDefault="00EF7926" w:rsidP="00924651">
            <w:pPr>
              <w:pStyle w:val="Sansinterligne"/>
              <w:numPr>
                <w:ilvl w:val="0"/>
                <w:numId w:val="266"/>
              </w:numPr>
              <w:ind w:left="360"/>
            </w:pPr>
            <w:r>
              <w:t>Partiel : Encore plus rare</w:t>
            </w:r>
          </w:p>
          <w:p w:rsidR="00EF7926" w:rsidRDefault="00EF7926" w:rsidP="00613F91">
            <w:pPr>
              <w:pStyle w:val="Sansinterligne"/>
            </w:pPr>
          </w:p>
          <w:p w:rsidR="00EF7926" w:rsidRDefault="00EF7926" w:rsidP="00924651">
            <w:pPr>
              <w:pStyle w:val="Sansinterligne"/>
              <w:numPr>
                <w:ilvl w:val="0"/>
                <w:numId w:val="266"/>
              </w:numPr>
              <w:ind w:left="360"/>
            </w:pPr>
            <w:r w:rsidRPr="00A12A15">
              <w:rPr>
                <w:highlight w:val="yellow"/>
              </w:rPr>
              <w:t>Caryotype XY</w:t>
            </w:r>
          </w:p>
        </w:tc>
        <w:tc>
          <w:tcPr>
            <w:tcW w:w="4387" w:type="dxa"/>
            <w:gridSpan w:val="3"/>
          </w:tcPr>
          <w:p w:rsidR="009A342D" w:rsidRPr="00A12A15" w:rsidRDefault="00F47B2F" w:rsidP="00924651">
            <w:pPr>
              <w:pStyle w:val="Sansinterligne"/>
              <w:numPr>
                <w:ilvl w:val="0"/>
                <w:numId w:val="266"/>
              </w:numPr>
              <w:ind w:left="360"/>
              <w:rPr>
                <w:highlight w:val="yellow"/>
              </w:rPr>
            </w:pPr>
            <w:r w:rsidRPr="00A12A15">
              <w:rPr>
                <w:highlight w:val="yellow"/>
              </w:rPr>
              <w:t>Absence ou peu de pilosité</w:t>
            </w:r>
          </w:p>
          <w:p w:rsidR="00F47B2F" w:rsidRPr="00A12A15" w:rsidRDefault="00F47B2F" w:rsidP="00924651">
            <w:pPr>
              <w:pStyle w:val="Sansinterligne"/>
              <w:numPr>
                <w:ilvl w:val="0"/>
                <w:numId w:val="266"/>
              </w:numPr>
              <w:ind w:left="360"/>
              <w:rPr>
                <w:highlight w:val="yellow"/>
              </w:rPr>
            </w:pPr>
            <w:r w:rsidRPr="00A12A15">
              <w:rPr>
                <w:highlight w:val="yellow"/>
              </w:rPr>
              <w:t>Petits mamelons, aréoles pâles</w:t>
            </w:r>
          </w:p>
          <w:p w:rsidR="00F47B2F" w:rsidRPr="00A12A15" w:rsidRDefault="00F47B2F" w:rsidP="00924651">
            <w:pPr>
              <w:pStyle w:val="Sansinterligne"/>
              <w:numPr>
                <w:ilvl w:val="0"/>
                <w:numId w:val="266"/>
              </w:numPr>
              <w:ind w:left="360"/>
              <w:rPr>
                <w:highlight w:val="yellow"/>
              </w:rPr>
            </w:pPr>
            <w:r w:rsidRPr="00A12A15">
              <w:rPr>
                <w:highlight w:val="yellow"/>
              </w:rPr>
              <w:t>Hernie inguinale</w:t>
            </w:r>
          </w:p>
          <w:p w:rsidR="00C54C34" w:rsidRPr="00A12A15" w:rsidRDefault="00C54C34" w:rsidP="00924651">
            <w:pPr>
              <w:pStyle w:val="Sansinterligne"/>
              <w:numPr>
                <w:ilvl w:val="0"/>
                <w:numId w:val="266"/>
              </w:numPr>
              <w:ind w:left="360"/>
              <w:rPr>
                <w:highlight w:val="yellow"/>
              </w:rPr>
            </w:pPr>
            <w:r w:rsidRPr="00A12A15">
              <w:rPr>
                <w:highlight w:val="yellow"/>
              </w:rPr>
              <w:t>Vagin borgne</w:t>
            </w:r>
          </w:p>
          <w:p w:rsidR="00F47B2F" w:rsidRDefault="00F47B2F" w:rsidP="00613F91">
            <w:pPr>
              <w:pStyle w:val="Sansinterligne"/>
            </w:pPr>
          </w:p>
          <w:p w:rsidR="00F47B2F" w:rsidRDefault="00F47B2F" w:rsidP="00924651">
            <w:pPr>
              <w:pStyle w:val="Sansinterligne"/>
              <w:numPr>
                <w:ilvl w:val="0"/>
                <w:numId w:val="266"/>
              </w:numPr>
              <w:ind w:left="360"/>
            </w:pPr>
            <w:r>
              <w:t xml:space="preserve">Partiel : </w:t>
            </w:r>
            <w:r w:rsidRPr="00F47B2F">
              <w:rPr>
                <w:u w:val="single"/>
              </w:rPr>
              <w:t>continuum</w:t>
            </w:r>
            <w:r>
              <w:t xml:space="preserve"> allant d’échec de virilisation à phénotype masculin</w:t>
            </w:r>
          </w:p>
        </w:tc>
      </w:tr>
      <w:tr w:rsidR="00C33FD1" w:rsidTr="00C54C34">
        <w:tc>
          <w:tcPr>
            <w:tcW w:w="2464" w:type="dxa"/>
            <w:gridSpan w:val="2"/>
          </w:tcPr>
          <w:p w:rsidR="009A342D" w:rsidRDefault="009E5A77" w:rsidP="00A2112B">
            <w:pPr>
              <w:pStyle w:val="Sansinterligne"/>
            </w:pPr>
            <w:r>
              <w:t>Déficit en 5-alpha-réductase</w:t>
            </w:r>
          </w:p>
        </w:tc>
        <w:tc>
          <w:tcPr>
            <w:tcW w:w="4165" w:type="dxa"/>
            <w:gridSpan w:val="2"/>
          </w:tcPr>
          <w:p w:rsidR="009A342D" w:rsidRDefault="00CE2932" w:rsidP="00A2112B">
            <w:pPr>
              <w:pStyle w:val="Sansinterligne"/>
            </w:pPr>
            <w:r>
              <w:t>Rare</w:t>
            </w:r>
          </w:p>
          <w:p w:rsidR="00CE2932" w:rsidRDefault="00CE2932" w:rsidP="00A2112B">
            <w:pPr>
              <w:pStyle w:val="Sansinterligne"/>
            </w:pPr>
            <w:r>
              <w:t>Caryotype XY, autosomale récessif</w:t>
            </w:r>
          </w:p>
        </w:tc>
        <w:tc>
          <w:tcPr>
            <w:tcW w:w="4387" w:type="dxa"/>
            <w:gridSpan w:val="3"/>
          </w:tcPr>
          <w:p w:rsidR="009A342D" w:rsidRDefault="00CE2932" w:rsidP="00924651">
            <w:pPr>
              <w:pStyle w:val="Sansinterligne"/>
              <w:numPr>
                <w:ilvl w:val="0"/>
                <w:numId w:val="265"/>
              </w:numPr>
            </w:pPr>
            <w:r>
              <w:t>Ambiguité sexuelle à la naissance</w:t>
            </w:r>
          </w:p>
          <w:p w:rsidR="00CE2932" w:rsidRDefault="00CE2932" w:rsidP="00924651">
            <w:pPr>
              <w:pStyle w:val="Sansinterligne"/>
              <w:numPr>
                <w:ilvl w:val="0"/>
                <w:numId w:val="265"/>
              </w:numPr>
            </w:pPr>
            <w:r>
              <w:t>Si manqué : virilisation à la puberté</w:t>
            </w:r>
          </w:p>
        </w:tc>
      </w:tr>
      <w:tr w:rsidR="00892976" w:rsidTr="002A1F06">
        <w:tc>
          <w:tcPr>
            <w:tcW w:w="661" w:type="dxa"/>
            <w:vMerge w:val="restart"/>
            <w:shd w:val="clear" w:color="auto" w:fill="CCC0D9" w:themeFill="accent4" w:themeFillTint="66"/>
            <w:textDirection w:val="btLr"/>
            <w:vAlign w:val="center"/>
          </w:tcPr>
          <w:p w:rsidR="009E5A77" w:rsidRDefault="009E5A77" w:rsidP="0017310A">
            <w:pPr>
              <w:pStyle w:val="Sansinterligne"/>
              <w:ind w:left="113" w:right="113"/>
              <w:jc w:val="center"/>
            </w:pPr>
            <w:r>
              <w:t>Anomalies mullériennes</w:t>
            </w:r>
          </w:p>
        </w:tc>
        <w:tc>
          <w:tcPr>
            <w:tcW w:w="1803" w:type="dxa"/>
          </w:tcPr>
          <w:p w:rsidR="009E5A77" w:rsidRPr="00C848DA" w:rsidRDefault="0017310A" w:rsidP="00A2112B">
            <w:pPr>
              <w:pStyle w:val="Sansinterligne"/>
              <w:rPr>
                <w:highlight w:val="yellow"/>
              </w:rPr>
            </w:pPr>
            <w:r w:rsidRPr="00C848DA">
              <w:rPr>
                <w:highlight w:val="yellow"/>
              </w:rPr>
              <w:t>Hymen imperforé</w:t>
            </w:r>
          </w:p>
        </w:tc>
        <w:tc>
          <w:tcPr>
            <w:tcW w:w="4165" w:type="dxa"/>
            <w:gridSpan w:val="2"/>
          </w:tcPr>
          <w:p w:rsidR="009E5A77" w:rsidRPr="00C848DA" w:rsidRDefault="00C54C34" w:rsidP="00924651">
            <w:pPr>
              <w:pStyle w:val="Sansinterligne"/>
              <w:numPr>
                <w:ilvl w:val="0"/>
                <w:numId w:val="268"/>
              </w:numPr>
              <w:rPr>
                <w:rFonts w:cs="Times New Roman"/>
                <w:bCs/>
                <w:color w:val="252525"/>
                <w:sz w:val="21"/>
                <w:szCs w:val="21"/>
                <w:highlight w:val="yellow"/>
                <w:shd w:val="clear" w:color="auto" w:fill="FFFFFF"/>
              </w:rPr>
            </w:pPr>
            <w:r w:rsidRPr="00C848DA">
              <w:rPr>
                <w:highlight w:val="yellow"/>
              </w:rPr>
              <w:t xml:space="preserve">1/1000 nouveau-né </w:t>
            </w:r>
            <w:r w:rsidRPr="00C848DA">
              <w:rPr>
                <w:rFonts w:cs="Times New Roman"/>
                <w:bCs/>
                <w:color w:val="252525"/>
                <w:sz w:val="21"/>
                <w:szCs w:val="21"/>
                <w:highlight w:val="yellow"/>
                <w:shd w:val="clear" w:color="auto" w:fill="FFFFFF"/>
              </w:rPr>
              <w:t>♀</w:t>
            </w:r>
          </w:p>
          <w:p w:rsidR="00C54C34" w:rsidRPr="00C848DA" w:rsidRDefault="00C54C34" w:rsidP="00924651">
            <w:pPr>
              <w:pStyle w:val="Sansinterligne"/>
              <w:numPr>
                <w:ilvl w:val="0"/>
                <w:numId w:val="268"/>
              </w:numPr>
              <w:rPr>
                <w:highlight w:val="yellow"/>
              </w:rPr>
            </w:pPr>
            <w:r w:rsidRPr="00C848DA">
              <w:rPr>
                <w:rFonts w:cs="Times New Roman"/>
                <w:bCs/>
                <w:color w:val="252525"/>
                <w:sz w:val="21"/>
                <w:szCs w:val="21"/>
                <w:highlight w:val="yellow"/>
                <w:shd w:val="clear" w:color="auto" w:fill="FFFFFF"/>
              </w:rPr>
              <w:t>Caryotype 46 XX</w:t>
            </w:r>
          </w:p>
        </w:tc>
        <w:tc>
          <w:tcPr>
            <w:tcW w:w="4387" w:type="dxa"/>
            <w:gridSpan w:val="3"/>
          </w:tcPr>
          <w:p w:rsidR="009E5A77" w:rsidRPr="00C848DA" w:rsidRDefault="00C54C34" w:rsidP="00924651">
            <w:pPr>
              <w:pStyle w:val="Sansinterligne"/>
              <w:numPr>
                <w:ilvl w:val="0"/>
                <w:numId w:val="267"/>
              </w:numPr>
              <w:rPr>
                <w:highlight w:val="yellow"/>
              </w:rPr>
            </w:pPr>
            <w:r w:rsidRPr="00C848DA">
              <w:rPr>
                <w:highlight w:val="yellow"/>
              </w:rPr>
              <w:t>Douleurs abdominales cycliques</w:t>
            </w:r>
          </w:p>
          <w:p w:rsidR="00C54C34" w:rsidRPr="00C848DA" w:rsidRDefault="00C54C34" w:rsidP="00924651">
            <w:pPr>
              <w:pStyle w:val="Sansinterligne"/>
              <w:numPr>
                <w:ilvl w:val="0"/>
                <w:numId w:val="267"/>
              </w:numPr>
              <w:rPr>
                <w:highlight w:val="yellow"/>
              </w:rPr>
            </w:pPr>
            <w:r w:rsidRPr="00C848DA">
              <w:rPr>
                <w:highlight w:val="yellow"/>
              </w:rPr>
              <w:t>Hymen bleuté bombé, distendu au Valsalva</w:t>
            </w:r>
          </w:p>
          <w:p w:rsidR="00C54C34" w:rsidRPr="00C848DA" w:rsidRDefault="00C54C34" w:rsidP="00924651">
            <w:pPr>
              <w:pStyle w:val="Sansinterligne"/>
              <w:numPr>
                <w:ilvl w:val="0"/>
                <w:numId w:val="267"/>
              </w:numPr>
              <w:rPr>
                <w:highlight w:val="yellow"/>
              </w:rPr>
            </w:pPr>
            <w:r w:rsidRPr="00C848DA">
              <w:rPr>
                <w:highlight w:val="yellow"/>
              </w:rPr>
              <w:t>Hématocolpos</w:t>
            </w:r>
          </w:p>
          <w:p w:rsidR="00C54C34" w:rsidRPr="00C848DA" w:rsidRDefault="00C54C34" w:rsidP="00924651">
            <w:pPr>
              <w:pStyle w:val="Sansinterligne"/>
              <w:numPr>
                <w:ilvl w:val="0"/>
                <w:numId w:val="267"/>
              </w:numPr>
              <w:rPr>
                <w:highlight w:val="yellow"/>
              </w:rPr>
            </w:pPr>
            <w:r w:rsidRPr="00C848DA">
              <w:rPr>
                <w:highlight w:val="yellow"/>
              </w:rPr>
              <w:t>Hématométrie</w:t>
            </w:r>
          </w:p>
        </w:tc>
      </w:tr>
      <w:tr w:rsidR="00892976" w:rsidTr="002A1F06">
        <w:tc>
          <w:tcPr>
            <w:tcW w:w="661" w:type="dxa"/>
            <w:vMerge/>
            <w:shd w:val="clear" w:color="auto" w:fill="CCC0D9" w:themeFill="accent4" w:themeFillTint="66"/>
          </w:tcPr>
          <w:p w:rsidR="009E5A77" w:rsidRDefault="009E5A77" w:rsidP="00A2112B">
            <w:pPr>
              <w:pStyle w:val="Sansinterligne"/>
            </w:pPr>
          </w:p>
        </w:tc>
        <w:tc>
          <w:tcPr>
            <w:tcW w:w="1803" w:type="dxa"/>
          </w:tcPr>
          <w:p w:rsidR="009E5A77" w:rsidRDefault="0017310A" w:rsidP="00A2112B">
            <w:pPr>
              <w:pStyle w:val="Sansinterligne"/>
            </w:pPr>
            <w:r>
              <w:t>Septum vaginal transverse</w:t>
            </w:r>
          </w:p>
        </w:tc>
        <w:tc>
          <w:tcPr>
            <w:tcW w:w="4165" w:type="dxa"/>
            <w:gridSpan w:val="2"/>
          </w:tcPr>
          <w:p w:rsidR="009E5A77" w:rsidRDefault="00C54C34" w:rsidP="00924651">
            <w:pPr>
              <w:pStyle w:val="Sansinterligne"/>
              <w:numPr>
                <w:ilvl w:val="0"/>
                <w:numId w:val="268"/>
              </w:numPr>
            </w:pPr>
            <w:r>
              <w:t xml:space="preserve">Rare, </w:t>
            </w:r>
            <w:r>
              <w:rPr>
                <w:rFonts w:cs="Times New Roman"/>
              </w:rPr>
              <w:t>~</w:t>
            </w:r>
            <w:r>
              <w:t xml:space="preserve"> 1/80 000 nouveau-né </w:t>
            </w:r>
            <w:r w:rsidRPr="00C54C34">
              <w:rPr>
                <w:rFonts w:cs="Times New Roman"/>
                <w:bCs/>
                <w:color w:val="252525"/>
                <w:sz w:val="21"/>
                <w:szCs w:val="21"/>
                <w:shd w:val="clear" w:color="auto" w:fill="FFFFFF"/>
              </w:rPr>
              <w:t>♀</w:t>
            </w:r>
          </w:p>
          <w:p w:rsidR="00C54C34" w:rsidRDefault="00C54C34" w:rsidP="00924651">
            <w:pPr>
              <w:pStyle w:val="Sansinterligne"/>
              <w:numPr>
                <w:ilvl w:val="0"/>
                <w:numId w:val="268"/>
              </w:numPr>
            </w:pPr>
            <w:r>
              <w:t>Portion moy. ou prox</w:t>
            </w:r>
            <w:r w:rsidR="001F44A5">
              <w:t>.</w:t>
            </w:r>
            <w:r>
              <w:t xml:space="preserve"> du vagin (80%)</w:t>
            </w:r>
          </w:p>
          <w:p w:rsidR="00C54C34" w:rsidRDefault="00C54C34" w:rsidP="00924651">
            <w:pPr>
              <w:pStyle w:val="Sansinterligne"/>
              <w:numPr>
                <w:ilvl w:val="0"/>
                <w:numId w:val="268"/>
              </w:numPr>
            </w:pPr>
            <w:r>
              <w:rPr>
                <w:rFonts w:cs="Times New Roman"/>
                <w:bCs/>
                <w:color w:val="252525"/>
                <w:sz w:val="21"/>
                <w:szCs w:val="21"/>
                <w:shd w:val="clear" w:color="auto" w:fill="FFFFFF"/>
              </w:rPr>
              <w:t>Caryotype 46 XX</w:t>
            </w:r>
          </w:p>
        </w:tc>
        <w:tc>
          <w:tcPr>
            <w:tcW w:w="4387" w:type="dxa"/>
            <w:gridSpan w:val="3"/>
          </w:tcPr>
          <w:p w:rsidR="009E5A77" w:rsidRDefault="00C54C34" w:rsidP="00924651">
            <w:pPr>
              <w:pStyle w:val="Sansinterligne"/>
              <w:numPr>
                <w:ilvl w:val="0"/>
                <w:numId w:val="267"/>
              </w:numPr>
            </w:pPr>
            <w:r>
              <w:t>Masse pelvienne palpable (TR ou TV)</w:t>
            </w:r>
          </w:p>
        </w:tc>
      </w:tr>
      <w:tr w:rsidR="00892976" w:rsidTr="002A1F06">
        <w:tc>
          <w:tcPr>
            <w:tcW w:w="661" w:type="dxa"/>
            <w:vMerge/>
            <w:shd w:val="clear" w:color="auto" w:fill="CCC0D9" w:themeFill="accent4" w:themeFillTint="66"/>
          </w:tcPr>
          <w:p w:rsidR="009E5A77" w:rsidRDefault="009E5A77" w:rsidP="00A2112B">
            <w:pPr>
              <w:pStyle w:val="Sansinterligne"/>
            </w:pPr>
          </w:p>
        </w:tc>
        <w:tc>
          <w:tcPr>
            <w:tcW w:w="1803" w:type="dxa"/>
          </w:tcPr>
          <w:p w:rsidR="009E5A77" w:rsidRDefault="0017310A" w:rsidP="00A2112B">
            <w:pPr>
              <w:pStyle w:val="Sansinterligne"/>
            </w:pPr>
            <w:r>
              <w:t>Agénésie cervicale</w:t>
            </w:r>
          </w:p>
        </w:tc>
        <w:tc>
          <w:tcPr>
            <w:tcW w:w="4165" w:type="dxa"/>
            <w:gridSpan w:val="2"/>
          </w:tcPr>
          <w:p w:rsidR="009E5A77" w:rsidRDefault="00C54C34" w:rsidP="00924651">
            <w:pPr>
              <w:pStyle w:val="Sansinterligne"/>
              <w:numPr>
                <w:ilvl w:val="0"/>
                <w:numId w:val="268"/>
              </w:numPr>
            </w:pPr>
            <w:r>
              <w:t>Très rare</w:t>
            </w:r>
          </w:p>
          <w:p w:rsidR="00C54C34" w:rsidRDefault="00C54C34" w:rsidP="00924651">
            <w:pPr>
              <w:pStyle w:val="Sansinterligne"/>
              <w:numPr>
                <w:ilvl w:val="0"/>
                <w:numId w:val="268"/>
              </w:numPr>
            </w:pPr>
            <w:r>
              <w:rPr>
                <w:rFonts w:cs="Times New Roman"/>
                <w:bCs/>
                <w:color w:val="252525"/>
                <w:sz w:val="21"/>
                <w:szCs w:val="21"/>
                <w:shd w:val="clear" w:color="auto" w:fill="FFFFFF"/>
              </w:rPr>
              <w:t>Caryotype 46 XX</w:t>
            </w:r>
          </w:p>
        </w:tc>
        <w:tc>
          <w:tcPr>
            <w:tcW w:w="4387" w:type="dxa"/>
            <w:gridSpan w:val="3"/>
          </w:tcPr>
          <w:p w:rsidR="009E5A77" w:rsidRDefault="00C54C34" w:rsidP="00924651">
            <w:pPr>
              <w:pStyle w:val="Sansinterligne"/>
              <w:numPr>
                <w:ilvl w:val="0"/>
                <w:numId w:val="267"/>
              </w:numPr>
            </w:pPr>
            <w:r>
              <w:t>Idem à Septum vaginal transverse</w:t>
            </w:r>
          </w:p>
        </w:tc>
      </w:tr>
      <w:tr w:rsidR="00892976" w:rsidTr="002A1F06">
        <w:tc>
          <w:tcPr>
            <w:tcW w:w="661" w:type="dxa"/>
            <w:vMerge/>
            <w:shd w:val="clear" w:color="auto" w:fill="CCC0D9" w:themeFill="accent4" w:themeFillTint="66"/>
          </w:tcPr>
          <w:p w:rsidR="009E5A77" w:rsidRDefault="009E5A77" w:rsidP="00A2112B">
            <w:pPr>
              <w:pStyle w:val="Sansinterligne"/>
            </w:pPr>
          </w:p>
        </w:tc>
        <w:tc>
          <w:tcPr>
            <w:tcW w:w="1803" w:type="dxa"/>
          </w:tcPr>
          <w:p w:rsidR="009E5A77" w:rsidRDefault="0017310A" w:rsidP="00C43D85">
            <w:pPr>
              <w:pStyle w:val="Sansinterligne"/>
            </w:pPr>
            <w:r>
              <w:t>Agénésie mull</w:t>
            </w:r>
            <w:r w:rsidR="00C43D85">
              <w:t>ë</w:t>
            </w:r>
            <w:r>
              <w:t>rienne</w:t>
            </w:r>
          </w:p>
        </w:tc>
        <w:tc>
          <w:tcPr>
            <w:tcW w:w="4165" w:type="dxa"/>
            <w:gridSpan w:val="2"/>
          </w:tcPr>
          <w:p w:rsidR="009E5A77" w:rsidRDefault="00C54C34" w:rsidP="00924651">
            <w:pPr>
              <w:pStyle w:val="Sansinterligne"/>
              <w:numPr>
                <w:ilvl w:val="0"/>
                <w:numId w:val="268"/>
              </w:numPr>
            </w:pPr>
            <w:r>
              <w:t>Absence d’utérus et 2/3 supérieur du vagin</w:t>
            </w:r>
          </w:p>
          <w:p w:rsidR="00C54C34" w:rsidRDefault="00C54C34" w:rsidP="00924651">
            <w:pPr>
              <w:pStyle w:val="Sansinterligne"/>
              <w:numPr>
                <w:ilvl w:val="0"/>
                <w:numId w:val="268"/>
              </w:numPr>
              <w:rPr>
                <w:rFonts w:cs="Times New Roman"/>
                <w:bCs/>
                <w:color w:val="252525"/>
                <w:sz w:val="21"/>
                <w:szCs w:val="21"/>
                <w:shd w:val="clear" w:color="auto" w:fill="FFFFFF"/>
              </w:rPr>
            </w:pPr>
            <w:r>
              <w:t xml:space="preserve">1/4000-1/5000 nouveau-nés </w:t>
            </w:r>
            <w:r w:rsidRPr="00C54C34">
              <w:rPr>
                <w:rFonts w:cs="Times New Roman"/>
                <w:bCs/>
                <w:color w:val="252525"/>
                <w:sz w:val="21"/>
                <w:szCs w:val="21"/>
                <w:shd w:val="clear" w:color="auto" w:fill="FFFFFF"/>
              </w:rPr>
              <w:t>♀</w:t>
            </w:r>
          </w:p>
          <w:p w:rsidR="00C54C34" w:rsidRDefault="00C54C34" w:rsidP="00924651">
            <w:pPr>
              <w:pStyle w:val="Sansinterligne"/>
              <w:numPr>
                <w:ilvl w:val="0"/>
                <w:numId w:val="268"/>
              </w:numPr>
            </w:pPr>
            <w:r>
              <w:rPr>
                <w:rFonts w:cs="Times New Roman"/>
                <w:bCs/>
                <w:color w:val="252525"/>
                <w:sz w:val="21"/>
                <w:szCs w:val="21"/>
                <w:shd w:val="clear" w:color="auto" w:fill="FFFFFF"/>
              </w:rPr>
              <w:t>Caryotype 46 XX</w:t>
            </w:r>
          </w:p>
        </w:tc>
        <w:tc>
          <w:tcPr>
            <w:tcW w:w="4387" w:type="dxa"/>
            <w:gridSpan w:val="3"/>
          </w:tcPr>
          <w:p w:rsidR="009E5A77" w:rsidRDefault="00C54C34" w:rsidP="00924651">
            <w:pPr>
              <w:pStyle w:val="Sansinterligne"/>
              <w:numPr>
                <w:ilvl w:val="0"/>
                <w:numId w:val="267"/>
              </w:numPr>
            </w:pPr>
            <w:r>
              <w:t>Vagin borgne</w:t>
            </w:r>
          </w:p>
          <w:p w:rsidR="00C54C34" w:rsidRDefault="00C54C34" w:rsidP="00924651">
            <w:pPr>
              <w:pStyle w:val="Sansinterligne"/>
              <w:numPr>
                <w:ilvl w:val="0"/>
                <w:numId w:val="267"/>
              </w:numPr>
            </w:pPr>
            <w:r>
              <w:t>Pas de masse pelvienne</w:t>
            </w:r>
          </w:p>
        </w:tc>
      </w:tr>
      <w:tr w:rsidR="009A342D" w:rsidTr="002A1F06">
        <w:tc>
          <w:tcPr>
            <w:tcW w:w="11016" w:type="dxa"/>
            <w:gridSpan w:val="7"/>
            <w:shd w:val="clear" w:color="auto" w:fill="CCC0D9" w:themeFill="accent4" w:themeFillTint="66"/>
          </w:tcPr>
          <w:p w:rsidR="009A342D" w:rsidRDefault="009A342D" w:rsidP="009A342D">
            <w:pPr>
              <w:pStyle w:val="Sansinterligne"/>
              <w:jc w:val="center"/>
            </w:pPr>
            <w:r>
              <w:t>Causes ovariennes</w:t>
            </w:r>
          </w:p>
        </w:tc>
      </w:tr>
      <w:tr w:rsidR="00C33FD1" w:rsidTr="0089202C">
        <w:tc>
          <w:tcPr>
            <w:tcW w:w="2464" w:type="dxa"/>
            <w:gridSpan w:val="2"/>
          </w:tcPr>
          <w:p w:rsidR="009A342D" w:rsidRPr="009A342D" w:rsidRDefault="009A342D" w:rsidP="009A342D">
            <w:pPr>
              <w:pStyle w:val="Sansinterligne"/>
              <w:jc w:val="center"/>
              <w:rPr>
                <w:i/>
              </w:rPr>
            </w:pPr>
            <w:r w:rsidRPr="009A342D">
              <w:rPr>
                <w:i/>
              </w:rPr>
              <w:t>Diagnostic</w:t>
            </w:r>
          </w:p>
        </w:tc>
        <w:tc>
          <w:tcPr>
            <w:tcW w:w="4165" w:type="dxa"/>
            <w:gridSpan w:val="2"/>
          </w:tcPr>
          <w:p w:rsidR="009A342D" w:rsidRPr="009A342D" w:rsidRDefault="009A342D" w:rsidP="009A342D">
            <w:pPr>
              <w:pStyle w:val="Sansinterligne"/>
              <w:jc w:val="center"/>
              <w:rPr>
                <w:i/>
              </w:rPr>
            </w:pPr>
            <w:r w:rsidRPr="009A342D">
              <w:rPr>
                <w:i/>
              </w:rPr>
              <w:t>Épidémiologie et facteurs de risque</w:t>
            </w:r>
          </w:p>
        </w:tc>
        <w:tc>
          <w:tcPr>
            <w:tcW w:w="4387" w:type="dxa"/>
            <w:gridSpan w:val="3"/>
          </w:tcPr>
          <w:p w:rsidR="009A342D" w:rsidRPr="009A342D" w:rsidRDefault="009A342D" w:rsidP="009A342D">
            <w:pPr>
              <w:pStyle w:val="Sansinterligne"/>
              <w:jc w:val="center"/>
              <w:rPr>
                <w:i/>
              </w:rPr>
            </w:pPr>
            <w:r w:rsidRPr="009A342D">
              <w:rPr>
                <w:i/>
              </w:rPr>
              <w:t>Manifestations cliniques</w:t>
            </w:r>
          </w:p>
        </w:tc>
      </w:tr>
      <w:tr w:rsidR="00C33FD1" w:rsidTr="0089202C">
        <w:tc>
          <w:tcPr>
            <w:tcW w:w="2464" w:type="dxa"/>
            <w:gridSpan w:val="2"/>
          </w:tcPr>
          <w:p w:rsidR="009A342D" w:rsidRDefault="00B15476" w:rsidP="00A2112B">
            <w:pPr>
              <w:pStyle w:val="Sansinterligne"/>
            </w:pPr>
            <w:r>
              <w:t>Insuffisance ovarienne précoce</w:t>
            </w:r>
          </w:p>
        </w:tc>
        <w:tc>
          <w:tcPr>
            <w:tcW w:w="4165" w:type="dxa"/>
            <w:gridSpan w:val="2"/>
          </w:tcPr>
          <w:p w:rsidR="009A342D" w:rsidRDefault="00C33FD1" w:rsidP="00924651">
            <w:pPr>
              <w:pStyle w:val="Sansinterligne"/>
              <w:numPr>
                <w:ilvl w:val="0"/>
                <w:numId w:val="271"/>
              </w:numPr>
            </w:pPr>
            <w:r>
              <w:t>Survient avant 40 ans</w:t>
            </w:r>
          </w:p>
          <w:p w:rsidR="00C33FD1" w:rsidRDefault="00C33FD1" w:rsidP="00924651">
            <w:pPr>
              <w:pStyle w:val="Sansinterligne"/>
              <w:numPr>
                <w:ilvl w:val="0"/>
                <w:numId w:val="271"/>
              </w:numPr>
            </w:pPr>
            <w:r>
              <w:t>Parfois rémission spontanée</w:t>
            </w:r>
          </w:p>
          <w:p w:rsidR="00C33FD1" w:rsidRPr="00C33FD1" w:rsidRDefault="00C33FD1" w:rsidP="00C33FD1">
            <w:pPr>
              <w:pStyle w:val="Sansinterligne"/>
              <w:rPr>
                <w:u w:val="single"/>
              </w:rPr>
            </w:pPr>
            <w:r w:rsidRPr="00C33FD1">
              <w:rPr>
                <w:u w:val="single"/>
              </w:rPr>
              <w:t>Facteurs de risque</w:t>
            </w:r>
            <w:r>
              <w:rPr>
                <w:u w:val="single"/>
              </w:rPr>
              <w:t xml:space="preserve"> / Étiologies</w:t>
            </w:r>
          </w:p>
          <w:p w:rsidR="00C33FD1" w:rsidRDefault="00C33FD1" w:rsidP="00924651">
            <w:pPr>
              <w:pStyle w:val="Sansinterligne"/>
              <w:numPr>
                <w:ilvl w:val="0"/>
                <w:numId w:val="271"/>
              </w:numPr>
            </w:pPr>
            <w:r>
              <w:t>Prédisposition génétique</w:t>
            </w:r>
          </w:p>
          <w:p w:rsidR="00C33FD1" w:rsidRDefault="00C33FD1" w:rsidP="00924651">
            <w:pPr>
              <w:pStyle w:val="Sansinterligne"/>
              <w:numPr>
                <w:ilvl w:val="0"/>
                <w:numId w:val="271"/>
              </w:numPr>
            </w:pPr>
            <w:r>
              <w:t xml:space="preserve">Syndrome de Savage </w:t>
            </w:r>
          </w:p>
          <w:p w:rsidR="00C33FD1" w:rsidRDefault="00C33FD1" w:rsidP="00924651">
            <w:pPr>
              <w:pStyle w:val="Sansinterligne"/>
              <w:numPr>
                <w:ilvl w:val="0"/>
                <w:numId w:val="271"/>
              </w:numPr>
            </w:pPr>
            <w:r>
              <w:t>Atteintes auto-immunes : thyroïdite, DM, Myasthénie grave, PTI, etc.</w:t>
            </w:r>
          </w:p>
          <w:p w:rsidR="00C33FD1" w:rsidRDefault="00C33FD1" w:rsidP="00924651">
            <w:pPr>
              <w:pStyle w:val="Sansinterligne"/>
              <w:numPr>
                <w:ilvl w:val="0"/>
                <w:numId w:val="271"/>
              </w:numPr>
            </w:pPr>
            <w:r>
              <w:t>Iatrogénique : Chimiothérapie/radiothérapie</w:t>
            </w:r>
          </w:p>
        </w:tc>
        <w:tc>
          <w:tcPr>
            <w:tcW w:w="4387" w:type="dxa"/>
            <w:gridSpan w:val="3"/>
          </w:tcPr>
          <w:p w:rsidR="009A342D" w:rsidRDefault="000B50BD" w:rsidP="00924651">
            <w:pPr>
              <w:pStyle w:val="Sansinterligne"/>
              <w:numPr>
                <w:ilvl w:val="0"/>
                <w:numId w:val="271"/>
              </w:numPr>
            </w:pPr>
            <w:r>
              <w:t>Si avant la puberté : absence de caractères sexuels secondaires</w:t>
            </w:r>
          </w:p>
          <w:p w:rsidR="000B50BD" w:rsidRDefault="000B50BD" w:rsidP="000B50BD">
            <w:pPr>
              <w:pStyle w:val="Sansinterligne"/>
            </w:pPr>
          </w:p>
          <w:p w:rsidR="000B50BD" w:rsidRDefault="000B50BD" w:rsidP="00924651">
            <w:pPr>
              <w:pStyle w:val="Sansinterligne"/>
              <w:numPr>
                <w:ilvl w:val="0"/>
                <w:numId w:val="271"/>
              </w:numPr>
            </w:pPr>
            <w:r>
              <w:t>Si après la puberté : présence de ces caractères</w:t>
            </w:r>
          </w:p>
          <w:p w:rsidR="000B50BD" w:rsidRDefault="000B50BD" w:rsidP="000B50BD">
            <w:pPr>
              <w:pStyle w:val="Sansinterligne"/>
            </w:pPr>
          </w:p>
          <w:p w:rsidR="000B50BD" w:rsidRDefault="000B50BD" w:rsidP="00924651">
            <w:pPr>
              <w:pStyle w:val="Sansinterligne"/>
              <w:numPr>
                <w:ilvl w:val="0"/>
                <w:numId w:val="271"/>
              </w:numPr>
            </w:pPr>
            <w:r>
              <w:t xml:space="preserve">Symptômes de ménopause </w:t>
            </w:r>
          </w:p>
          <w:p w:rsidR="000B50BD" w:rsidRDefault="000B50BD" w:rsidP="000B50BD">
            <w:pPr>
              <w:pStyle w:val="Sansinterligne"/>
            </w:pPr>
            <w:r>
              <w:t xml:space="preserve">      (Voir </w:t>
            </w:r>
            <w:r w:rsidRPr="000B50BD">
              <w:rPr>
                <w:i/>
              </w:rPr>
              <w:t>Ménopause CMC 57</w:t>
            </w:r>
            <w:r>
              <w:t>)</w:t>
            </w:r>
          </w:p>
        </w:tc>
      </w:tr>
      <w:tr w:rsidR="00C33FD1" w:rsidTr="0089202C">
        <w:tc>
          <w:tcPr>
            <w:tcW w:w="2464" w:type="dxa"/>
            <w:gridSpan w:val="2"/>
          </w:tcPr>
          <w:p w:rsidR="009A342D" w:rsidRPr="00766D32" w:rsidRDefault="00B15476" w:rsidP="00B15476">
            <w:pPr>
              <w:pStyle w:val="Sansinterligne"/>
              <w:rPr>
                <w:highlight w:val="yellow"/>
              </w:rPr>
            </w:pPr>
            <w:r w:rsidRPr="00766D32">
              <w:rPr>
                <w:highlight w:val="yellow"/>
              </w:rPr>
              <w:t>Syndrome des ovaires polykystiques (SOPK)</w:t>
            </w:r>
          </w:p>
        </w:tc>
        <w:tc>
          <w:tcPr>
            <w:tcW w:w="4165" w:type="dxa"/>
            <w:gridSpan w:val="2"/>
          </w:tcPr>
          <w:p w:rsidR="009A342D" w:rsidRPr="00766D32" w:rsidRDefault="00892976" w:rsidP="00924651">
            <w:pPr>
              <w:pStyle w:val="Sansinterligne"/>
              <w:numPr>
                <w:ilvl w:val="0"/>
                <w:numId w:val="273"/>
              </w:numPr>
              <w:rPr>
                <w:rFonts w:cs="Times New Roman"/>
                <w:bCs/>
                <w:color w:val="252525"/>
                <w:sz w:val="21"/>
                <w:szCs w:val="21"/>
                <w:highlight w:val="yellow"/>
                <w:shd w:val="clear" w:color="auto" w:fill="FFFFFF"/>
              </w:rPr>
            </w:pPr>
            <w:r w:rsidRPr="00766D32">
              <w:rPr>
                <w:highlight w:val="yellow"/>
              </w:rPr>
              <w:t xml:space="preserve">4-6% des </w:t>
            </w:r>
            <w:r w:rsidRPr="00766D32">
              <w:rPr>
                <w:rFonts w:cs="Times New Roman"/>
                <w:bCs/>
                <w:color w:val="252525"/>
                <w:sz w:val="21"/>
                <w:szCs w:val="21"/>
                <w:highlight w:val="yellow"/>
                <w:shd w:val="clear" w:color="auto" w:fill="FFFFFF"/>
              </w:rPr>
              <w:t>♀ en âge de procréer</w:t>
            </w:r>
          </w:p>
          <w:p w:rsidR="00892976" w:rsidRPr="00766D32" w:rsidRDefault="00892976" w:rsidP="00924651">
            <w:pPr>
              <w:pStyle w:val="Sansinterligne"/>
              <w:numPr>
                <w:ilvl w:val="0"/>
                <w:numId w:val="273"/>
              </w:numPr>
              <w:rPr>
                <w:rFonts w:cs="Times New Roman"/>
                <w:bCs/>
                <w:color w:val="252525"/>
                <w:sz w:val="21"/>
                <w:szCs w:val="21"/>
                <w:highlight w:val="yellow"/>
                <w:shd w:val="clear" w:color="auto" w:fill="FFFFFF"/>
              </w:rPr>
            </w:pPr>
            <w:r w:rsidRPr="00766D32">
              <w:rPr>
                <w:rFonts w:cs="Times New Roman"/>
                <w:bCs/>
                <w:color w:val="252525"/>
                <w:sz w:val="21"/>
                <w:szCs w:val="21"/>
                <w:highlight w:val="yellow"/>
                <w:shd w:val="clear" w:color="auto" w:fill="FFFFFF"/>
              </w:rPr>
              <w:t>35% présentent une résistance à l’insuline</w:t>
            </w:r>
          </w:p>
          <w:p w:rsidR="00892976" w:rsidRPr="00766D32" w:rsidRDefault="00892976" w:rsidP="00A2112B">
            <w:pPr>
              <w:pStyle w:val="Sansinterligne"/>
              <w:rPr>
                <w:rFonts w:cs="Times New Roman"/>
                <w:bCs/>
                <w:color w:val="252525"/>
                <w:sz w:val="21"/>
                <w:szCs w:val="21"/>
                <w:highlight w:val="yellow"/>
                <w:shd w:val="clear" w:color="auto" w:fill="FFFFFF"/>
              </w:rPr>
            </w:pPr>
          </w:p>
          <w:p w:rsidR="00892976" w:rsidRPr="00766D32" w:rsidRDefault="00892976" w:rsidP="00A2112B">
            <w:pPr>
              <w:pStyle w:val="Sansinterligne"/>
              <w:rPr>
                <w:rFonts w:cs="Times New Roman"/>
                <w:bCs/>
                <w:color w:val="252525"/>
                <w:sz w:val="21"/>
                <w:szCs w:val="21"/>
                <w:highlight w:val="yellow"/>
                <w:u w:val="single"/>
                <w:shd w:val="clear" w:color="auto" w:fill="FFFFFF"/>
              </w:rPr>
            </w:pPr>
            <w:r w:rsidRPr="00766D32">
              <w:rPr>
                <w:rFonts w:cs="Times New Roman"/>
                <w:bCs/>
                <w:color w:val="252525"/>
                <w:sz w:val="21"/>
                <w:szCs w:val="21"/>
                <w:highlight w:val="yellow"/>
                <w:u w:val="single"/>
                <w:shd w:val="clear" w:color="auto" w:fill="FFFFFF"/>
              </w:rPr>
              <w:t>Critères de Rotterdam</w:t>
            </w:r>
          </w:p>
          <w:p w:rsidR="00892976" w:rsidRPr="00766D32" w:rsidRDefault="00892976" w:rsidP="00924651">
            <w:pPr>
              <w:pStyle w:val="Sansinterligne"/>
              <w:numPr>
                <w:ilvl w:val="0"/>
                <w:numId w:val="274"/>
              </w:numPr>
              <w:rPr>
                <w:highlight w:val="yellow"/>
              </w:rPr>
            </w:pPr>
            <w:r w:rsidRPr="00766D32">
              <w:rPr>
                <w:rFonts w:cs="Times New Roman"/>
                <w:bCs/>
                <w:color w:val="252525"/>
                <w:sz w:val="21"/>
                <w:szCs w:val="21"/>
                <w:highlight w:val="yellow"/>
                <w:shd w:val="clear" w:color="auto" w:fill="FFFFFF"/>
              </w:rPr>
              <w:t>Oligoaménorrhée</w:t>
            </w:r>
          </w:p>
          <w:p w:rsidR="00892976" w:rsidRPr="00766D32" w:rsidRDefault="00892976" w:rsidP="00924651">
            <w:pPr>
              <w:pStyle w:val="Sansinterligne"/>
              <w:numPr>
                <w:ilvl w:val="0"/>
                <w:numId w:val="274"/>
              </w:numPr>
              <w:rPr>
                <w:highlight w:val="yellow"/>
              </w:rPr>
            </w:pPr>
            <w:r w:rsidRPr="00766D32">
              <w:rPr>
                <w:rFonts w:cs="Times New Roman"/>
                <w:bCs/>
                <w:color w:val="252525"/>
                <w:sz w:val="21"/>
                <w:szCs w:val="21"/>
                <w:highlight w:val="yellow"/>
                <w:shd w:val="clear" w:color="auto" w:fill="FFFFFF"/>
              </w:rPr>
              <w:t>Hyperandrogénisme chimique</w:t>
            </w:r>
            <w:r w:rsidR="00DC33E0" w:rsidRPr="00766D32">
              <w:rPr>
                <w:rFonts w:cs="Times New Roman"/>
                <w:bCs/>
                <w:color w:val="252525"/>
                <w:sz w:val="21"/>
                <w:szCs w:val="21"/>
                <w:highlight w:val="yellow"/>
                <w:shd w:val="clear" w:color="auto" w:fill="FFFFFF"/>
              </w:rPr>
              <w:t>/</w:t>
            </w:r>
            <w:r w:rsidRPr="00766D32">
              <w:rPr>
                <w:rFonts w:cs="Times New Roman"/>
                <w:bCs/>
                <w:color w:val="252525"/>
                <w:sz w:val="21"/>
                <w:szCs w:val="21"/>
                <w:highlight w:val="yellow"/>
                <w:shd w:val="clear" w:color="auto" w:fill="FFFFFF"/>
              </w:rPr>
              <w:t xml:space="preserve"> clinique</w:t>
            </w:r>
          </w:p>
          <w:p w:rsidR="00892976" w:rsidRPr="00766D32" w:rsidRDefault="00892976" w:rsidP="00924651">
            <w:pPr>
              <w:pStyle w:val="Sansinterligne"/>
              <w:numPr>
                <w:ilvl w:val="0"/>
                <w:numId w:val="274"/>
              </w:numPr>
              <w:rPr>
                <w:highlight w:val="yellow"/>
              </w:rPr>
            </w:pPr>
            <w:r w:rsidRPr="00766D32">
              <w:rPr>
                <w:rFonts w:cs="Times New Roman"/>
                <w:bCs/>
                <w:color w:val="252525"/>
                <w:sz w:val="21"/>
                <w:szCs w:val="21"/>
                <w:highlight w:val="yellow"/>
                <w:shd w:val="clear" w:color="auto" w:fill="FFFFFF"/>
              </w:rPr>
              <w:t>Ovaires polykystiques à l’écho</w:t>
            </w:r>
          </w:p>
        </w:tc>
        <w:tc>
          <w:tcPr>
            <w:tcW w:w="4387" w:type="dxa"/>
            <w:gridSpan w:val="3"/>
          </w:tcPr>
          <w:p w:rsidR="009A342D" w:rsidRPr="00766D32" w:rsidRDefault="00892976" w:rsidP="00924651">
            <w:pPr>
              <w:pStyle w:val="Sansinterligne"/>
              <w:numPr>
                <w:ilvl w:val="0"/>
                <w:numId w:val="272"/>
              </w:numPr>
              <w:rPr>
                <w:highlight w:val="yellow"/>
              </w:rPr>
            </w:pPr>
            <w:r w:rsidRPr="00766D32">
              <w:rPr>
                <w:highlight w:val="yellow"/>
              </w:rPr>
              <w:t>Saignements utérins dysfonctionnels</w:t>
            </w:r>
          </w:p>
          <w:p w:rsidR="00892976" w:rsidRPr="00766D32" w:rsidRDefault="00892976" w:rsidP="00924651">
            <w:pPr>
              <w:pStyle w:val="Sansinterligne"/>
              <w:numPr>
                <w:ilvl w:val="0"/>
                <w:numId w:val="272"/>
              </w:numPr>
              <w:rPr>
                <w:highlight w:val="yellow"/>
              </w:rPr>
            </w:pPr>
            <w:r w:rsidRPr="00766D32">
              <w:rPr>
                <w:highlight w:val="yellow"/>
              </w:rPr>
              <w:t>Infertilité</w:t>
            </w:r>
          </w:p>
          <w:p w:rsidR="00892976" w:rsidRPr="00766D32" w:rsidRDefault="00892976" w:rsidP="00924651">
            <w:pPr>
              <w:pStyle w:val="Sansinterligne"/>
              <w:numPr>
                <w:ilvl w:val="0"/>
                <w:numId w:val="272"/>
              </w:numPr>
              <w:rPr>
                <w:highlight w:val="yellow"/>
              </w:rPr>
            </w:pPr>
            <w:r w:rsidRPr="00766D32">
              <w:rPr>
                <w:highlight w:val="yellow"/>
              </w:rPr>
              <w:t>Hirsutisme</w:t>
            </w:r>
          </w:p>
          <w:p w:rsidR="00892976" w:rsidRPr="00766D32" w:rsidRDefault="00892976" w:rsidP="00924651">
            <w:pPr>
              <w:pStyle w:val="Sansinterligne"/>
              <w:numPr>
                <w:ilvl w:val="0"/>
                <w:numId w:val="272"/>
              </w:numPr>
              <w:rPr>
                <w:highlight w:val="yellow"/>
              </w:rPr>
            </w:pPr>
            <w:r w:rsidRPr="00766D32">
              <w:rPr>
                <w:highlight w:val="yellow"/>
              </w:rPr>
              <w:t>Acné, peau grasse</w:t>
            </w:r>
          </w:p>
          <w:p w:rsidR="00892976" w:rsidRPr="00766D32" w:rsidRDefault="00892976" w:rsidP="00924651">
            <w:pPr>
              <w:pStyle w:val="Sansinterligne"/>
              <w:numPr>
                <w:ilvl w:val="0"/>
                <w:numId w:val="272"/>
              </w:numPr>
              <w:rPr>
                <w:highlight w:val="yellow"/>
              </w:rPr>
            </w:pPr>
            <w:r w:rsidRPr="00766D32">
              <w:rPr>
                <w:highlight w:val="yellow"/>
              </w:rPr>
              <w:t>Alopécie</w:t>
            </w:r>
          </w:p>
          <w:p w:rsidR="00892976" w:rsidRPr="00766D32" w:rsidRDefault="00892976" w:rsidP="00924651">
            <w:pPr>
              <w:pStyle w:val="Sansinterligne"/>
              <w:numPr>
                <w:ilvl w:val="0"/>
                <w:numId w:val="272"/>
              </w:numPr>
              <w:rPr>
                <w:highlight w:val="yellow"/>
              </w:rPr>
            </w:pPr>
            <w:r w:rsidRPr="00766D32">
              <w:rPr>
                <w:highlight w:val="yellow"/>
              </w:rPr>
              <w:t>Obésité</w:t>
            </w:r>
          </w:p>
          <w:p w:rsidR="00892976" w:rsidRPr="00766D32" w:rsidRDefault="00892976" w:rsidP="00A2112B">
            <w:pPr>
              <w:pStyle w:val="Sansinterligne"/>
              <w:rPr>
                <w:highlight w:val="yellow"/>
              </w:rPr>
            </w:pPr>
          </w:p>
        </w:tc>
      </w:tr>
      <w:tr w:rsidR="00892976" w:rsidTr="0089202C">
        <w:tc>
          <w:tcPr>
            <w:tcW w:w="2464" w:type="dxa"/>
            <w:gridSpan w:val="2"/>
          </w:tcPr>
          <w:p w:rsidR="0089202C" w:rsidRPr="00766D32" w:rsidRDefault="0089202C" w:rsidP="00B15476">
            <w:pPr>
              <w:pStyle w:val="Sansinterligne"/>
              <w:rPr>
                <w:highlight w:val="yellow"/>
              </w:rPr>
            </w:pPr>
            <w:r w:rsidRPr="00766D32">
              <w:rPr>
                <w:highlight w:val="yellow"/>
              </w:rPr>
              <w:t xml:space="preserve">Syndrome de Turner </w:t>
            </w:r>
          </w:p>
        </w:tc>
        <w:tc>
          <w:tcPr>
            <w:tcW w:w="4165" w:type="dxa"/>
            <w:gridSpan w:val="2"/>
          </w:tcPr>
          <w:p w:rsidR="0089202C" w:rsidRPr="00766D32" w:rsidRDefault="0089202C" w:rsidP="00A2112B">
            <w:pPr>
              <w:pStyle w:val="Sansinterligne"/>
              <w:rPr>
                <w:rFonts w:cs="Times New Roman"/>
                <w:bCs/>
                <w:color w:val="252525"/>
                <w:sz w:val="21"/>
                <w:szCs w:val="21"/>
                <w:highlight w:val="yellow"/>
                <w:shd w:val="clear" w:color="auto" w:fill="FFFFFF"/>
              </w:rPr>
            </w:pPr>
            <w:r w:rsidRPr="00766D32">
              <w:rPr>
                <w:highlight w:val="yellow"/>
              </w:rPr>
              <w:t xml:space="preserve">1/2500-1/5000 nouveau-né </w:t>
            </w:r>
            <w:r w:rsidRPr="00766D32">
              <w:rPr>
                <w:rFonts w:cs="Times New Roman"/>
                <w:bCs/>
                <w:color w:val="252525"/>
                <w:sz w:val="21"/>
                <w:szCs w:val="21"/>
                <w:highlight w:val="yellow"/>
                <w:shd w:val="clear" w:color="auto" w:fill="FFFFFF"/>
              </w:rPr>
              <w:t>♀</w:t>
            </w:r>
          </w:p>
          <w:p w:rsidR="0089202C" w:rsidRPr="00766D32" w:rsidRDefault="0089202C" w:rsidP="00A2112B">
            <w:pPr>
              <w:pStyle w:val="Sansinterligne"/>
              <w:rPr>
                <w:highlight w:val="yellow"/>
              </w:rPr>
            </w:pPr>
            <w:r w:rsidRPr="00766D32">
              <w:rPr>
                <w:highlight w:val="yellow"/>
              </w:rPr>
              <w:t>Caryotype 45 XO</w:t>
            </w:r>
          </w:p>
          <w:p w:rsidR="0089202C" w:rsidRPr="00766D32" w:rsidRDefault="0089202C" w:rsidP="00A2112B">
            <w:pPr>
              <w:pStyle w:val="Sansinterligne"/>
              <w:rPr>
                <w:highlight w:val="yellow"/>
              </w:rPr>
            </w:pPr>
          </w:p>
        </w:tc>
        <w:tc>
          <w:tcPr>
            <w:tcW w:w="2264" w:type="dxa"/>
            <w:gridSpan w:val="2"/>
            <w:tcBorders>
              <w:right w:val="single" w:sz="4" w:space="0" w:color="FFFFFF" w:themeColor="background1"/>
            </w:tcBorders>
          </w:tcPr>
          <w:p w:rsidR="0089202C" w:rsidRPr="00766D32" w:rsidRDefault="0089202C" w:rsidP="00924651">
            <w:pPr>
              <w:pStyle w:val="Sansinterligne"/>
              <w:numPr>
                <w:ilvl w:val="0"/>
                <w:numId w:val="270"/>
              </w:numPr>
              <w:rPr>
                <w:highlight w:val="yellow"/>
              </w:rPr>
            </w:pPr>
            <w:r w:rsidRPr="00766D32">
              <w:rPr>
                <w:highlight w:val="yellow"/>
              </w:rPr>
              <w:t>Petite taille</w:t>
            </w:r>
          </w:p>
          <w:p w:rsidR="0089202C" w:rsidRPr="00766D32" w:rsidRDefault="0089202C" w:rsidP="00924651">
            <w:pPr>
              <w:pStyle w:val="Sansinterligne"/>
              <w:numPr>
                <w:ilvl w:val="0"/>
                <w:numId w:val="270"/>
              </w:numPr>
              <w:rPr>
                <w:highlight w:val="yellow"/>
              </w:rPr>
            </w:pPr>
            <w:r w:rsidRPr="00766D32">
              <w:rPr>
                <w:highlight w:val="yellow"/>
              </w:rPr>
              <w:t>Cou palmé</w:t>
            </w:r>
          </w:p>
          <w:p w:rsidR="0089202C" w:rsidRPr="00766D32" w:rsidRDefault="0089202C" w:rsidP="00924651">
            <w:pPr>
              <w:pStyle w:val="Sansinterligne"/>
              <w:numPr>
                <w:ilvl w:val="0"/>
                <w:numId w:val="270"/>
              </w:numPr>
              <w:rPr>
                <w:highlight w:val="yellow"/>
              </w:rPr>
            </w:pPr>
            <w:r w:rsidRPr="00766D32">
              <w:rPr>
                <w:highlight w:val="yellow"/>
              </w:rPr>
              <w:t>Palais ogival</w:t>
            </w:r>
          </w:p>
          <w:p w:rsidR="0089202C" w:rsidRPr="00766D32" w:rsidRDefault="0089202C" w:rsidP="00924651">
            <w:pPr>
              <w:pStyle w:val="Sansinterligne"/>
              <w:numPr>
                <w:ilvl w:val="0"/>
                <w:numId w:val="270"/>
              </w:numPr>
              <w:rPr>
                <w:highlight w:val="yellow"/>
              </w:rPr>
            </w:pPr>
            <w:r w:rsidRPr="00766D32">
              <w:rPr>
                <w:highlight w:val="yellow"/>
              </w:rPr>
              <w:t>Mamelons espacés</w:t>
            </w:r>
          </w:p>
          <w:p w:rsidR="0089202C" w:rsidRPr="00766D32" w:rsidRDefault="0089202C" w:rsidP="00924651">
            <w:pPr>
              <w:pStyle w:val="Sansinterligne"/>
              <w:numPr>
                <w:ilvl w:val="0"/>
                <w:numId w:val="270"/>
              </w:numPr>
              <w:rPr>
                <w:highlight w:val="yellow"/>
              </w:rPr>
            </w:pPr>
            <w:r w:rsidRPr="00766D32">
              <w:rPr>
                <w:highlight w:val="yellow"/>
              </w:rPr>
              <w:t>Thorax en cuirasse</w:t>
            </w:r>
          </w:p>
          <w:p w:rsidR="0089202C" w:rsidRPr="00766D32" w:rsidRDefault="0089202C" w:rsidP="00924651">
            <w:pPr>
              <w:pStyle w:val="Sansinterligne"/>
              <w:numPr>
                <w:ilvl w:val="0"/>
                <w:numId w:val="270"/>
              </w:numPr>
              <w:rPr>
                <w:highlight w:val="yellow"/>
              </w:rPr>
            </w:pPr>
            <w:r w:rsidRPr="00766D32">
              <w:rPr>
                <w:highlight w:val="yellow"/>
              </w:rPr>
              <w:t>Troubles auditifs</w:t>
            </w:r>
          </w:p>
          <w:p w:rsidR="0089202C" w:rsidRPr="00766D32" w:rsidRDefault="0089202C" w:rsidP="00924651">
            <w:pPr>
              <w:pStyle w:val="Sansinterligne"/>
              <w:numPr>
                <w:ilvl w:val="0"/>
                <w:numId w:val="270"/>
              </w:numPr>
              <w:rPr>
                <w:highlight w:val="yellow"/>
              </w:rPr>
            </w:pPr>
            <w:r w:rsidRPr="00766D32">
              <w:rPr>
                <w:highlight w:val="yellow"/>
              </w:rPr>
              <w:t>Hypertension</w:t>
            </w:r>
          </w:p>
        </w:tc>
        <w:tc>
          <w:tcPr>
            <w:tcW w:w="2123" w:type="dxa"/>
            <w:tcBorders>
              <w:left w:val="single" w:sz="4" w:space="0" w:color="FFFFFF" w:themeColor="background1"/>
            </w:tcBorders>
          </w:tcPr>
          <w:p w:rsidR="0089202C" w:rsidRPr="00766D32" w:rsidRDefault="0089202C" w:rsidP="00924651">
            <w:pPr>
              <w:pStyle w:val="Sansinterligne"/>
              <w:numPr>
                <w:ilvl w:val="0"/>
                <w:numId w:val="269"/>
              </w:numPr>
              <w:rPr>
                <w:highlight w:val="yellow"/>
              </w:rPr>
            </w:pPr>
            <w:r w:rsidRPr="00766D32">
              <w:rPr>
                <w:highlight w:val="yellow"/>
              </w:rPr>
              <w:t>Implantation basse des cheveux</w:t>
            </w:r>
          </w:p>
          <w:p w:rsidR="0089202C" w:rsidRPr="00766D32" w:rsidRDefault="0089202C" w:rsidP="00924651">
            <w:pPr>
              <w:pStyle w:val="Sansinterligne"/>
              <w:numPr>
                <w:ilvl w:val="0"/>
                <w:numId w:val="269"/>
              </w:numPr>
              <w:rPr>
                <w:highlight w:val="yellow"/>
              </w:rPr>
            </w:pPr>
            <w:r w:rsidRPr="00766D32">
              <w:rPr>
                <w:highlight w:val="yellow"/>
              </w:rPr>
              <w:t>Anomalies cardiaques</w:t>
            </w:r>
          </w:p>
          <w:p w:rsidR="0089202C" w:rsidRPr="00766D32" w:rsidRDefault="0089202C" w:rsidP="00924651">
            <w:pPr>
              <w:pStyle w:val="Sansinterligne"/>
              <w:numPr>
                <w:ilvl w:val="0"/>
                <w:numId w:val="269"/>
              </w:numPr>
              <w:rPr>
                <w:highlight w:val="yellow"/>
              </w:rPr>
            </w:pPr>
            <w:r w:rsidRPr="00766D32">
              <w:rPr>
                <w:highlight w:val="yellow"/>
              </w:rPr>
              <w:t>Palais ogival</w:t>
            </w:r>
          </w:p>
          <w:p w:rsidR="0089202C" w:rsidRPr="00766D32" w:rsidRDefault="0089202C" w:rsidP="00924651">
            <w:pPr>
              <w:pStyle w:val="Sansinterligne"/>
              <w:numPr>
                <w:ilvl w:val="0"/>
                <w:numId w:val="269"/>
              </w:numPr>
              <w:rPr>
                <w:highlight w:val="yellow"/>
              </w:rPr>
            </w:pPr>
            <w:r w:rsidRPr="00766D32">
              <w:rPr>
                <w:highlight w:val="yellow"/>
              </w:rPr>
              <w:t>Cubitus valgus</w:t>
            </w:r>
          </w:p>
        </w:tc>
      </w:tr>
      <w:tr w:rsidR="00B15476" w:rsidTr="00FC1F4A">
        <w:tc>
          <w:tcPr>
            <w:tcW w:w="2464" w:type="dxa"/>
            <w:gridSpan w:val="2"/>
          </w:tcPr>
          <w:p w:rsidR="00B15476" w:rsidRDefault="00B15476" w:rsidP="00A2112B">
            <w:pPr>
              <w:pStyle w:val="Sansinterligne"/>
            </w:pPr>
            <w:r>
              <w:t>Autres anomalies du caryotype</w:t>
            </w:r>
          </w:p>
        </w:tc>
        <w:tc>
          <w:tcPr>
            <w:tcW w:w="8552" w:type="dxa"/>
            <w:gridSpan w:val="5"/>
          </w:tcPr>
          <w:p w:rsidR="00B15476" w:rsidRDefault="0089202C" w:rsidP="00A2112B">
            <w:pPr>
              <w:pStyle w:val="Sansinterligne"/>
            </w:pPr>
            <w:r>
              <w:t>Syndrome de Swyer (46</w:t>
            </w:r>
            <w:r w:rsidR="00CD5079">
              <w:t xml:space="preserve"> </w:t>
            </w:r>
            <w:r>
              <w:t>XY) avec phénotype féminin</w:t>
            </w:r>
          </w:p>
          <w:p w:rsidR="00CD5079" w:rsidRDefault="00CD5079" w:rsidP="00A2112B">
            <w:pPr>
              <w:pStyle w:val="Sansinterligne"/>
            </w:pPr>
            <w:r>
              <w:t>Mosaïque, agénésie, 46 XX avec dysgénésie gonadique pure, etc.</w:t>
            </w:r>
          </w:p>
        </w:tc>
      </w:tr>
      <w:tr w:rsidR="009A342D" w:rsidTr="002A1F06">
        <w:tc>
          <w:tcPr>
            <w:tcW w:w="11016" w:type="dxa"/>
            <w:gridSpan w:val="7"/>
            <w:shd w:val="clear" w:color="auto" w:fill="CCC0D9" w:themeFill="accent4" w:themeFillTint="66"/>
          </w:tcPr>
          <w:p w:rsidR="009A342D" w:rsidRDefault="009A342D" w:rsidP="009A342D">
            <w:pPr>
              <w:pStyle w:val="Sansinterligne"/>
              <w:jc w:val="center"/>
            </w:pPr>
            <w:r>
              <w:t>Causes hypophysaires</w:t>
            </w:r>
          </w:p>
        </w:tc>
      </w:tr>
      <w:tr w:rsidR="009A342D" w:rsidRPr="0023528E" w:rsidTr="0023528E">
        <w:tc>
          <w:tcPr>
            <w:tcW w:w="2518" w:type="dxa"/>
            <w:gridSpan w:val="3"/>
          </w:tcPr>
          <w:p w:rsidR="009A342D" w:rsidRPr="0023528E" w:rsidRDefault="009A342D" w:rsidP="009A342D">
            <w:pPr>
              <w:pStyle w:val="Sansinterligne"/>
              <w:jc w:val="center"/>
              <w:rPr>
                <w:i/>
              </w:rPr>
            </w:pPr>
            <w:r w:rsidRPr="0023528E">
              <w:rPr>
                <w:i/>
              </w:rPr>
              <w:t>Diagnostic</w:t>
            </w:r>
          </w:p>
        </w:tc>
        <w:tc>
          <w:tcPr>
            <w:tcW w:w="4111" w:type="dxa"/>
          </w:tcPr>
          <w:p w:rsidR="009A342D" w:rsidRPr="0023528E" w:rsidRDefault="009A342D" w:rsidP="009A342D">
            <w:pPr>
              <w:pStyle w:val="Sansinterligne"/>
              <w:jc w:val="center"/>
              <w:rPr>
                <w:i/>
              </w:rPr>
            </w:pPr>
            <w:r w:rsidRPr="0023528E">
              <w:rPr>
                <w:i/>
              </w:rPr>
              <w:t>Épidémiologie et facteurs de risque</w:t>
            </w:r>
          </w:p>
        </w:tc>
        <w:tc>
          <w:tcPr>
            <w:tcW w:w="4387" w:type="dxa"/>
            <w:gridSpan w:val="3"/>
          </w:tcPr>
          <w:p w:rsidR="009A342D" w:rsidRPr="0023528E" w:rsidRDefault="009A342D" w:rsidP="009A342D">
            <w:pPr>
              <w:pStyle w:val="Sansinterligne"/>
              <w:jc w:val="center"/>
              <w:rPr>
                <w:i/>
              </w:rPr>
            </w:pPr>
            <w:r w:rsidRPr="0023528E">
              <w:rPr>
                <w:i/>
              </w:rPr>
              <w:t>Manifestations cliniques</w:t>
            </w:r>
          </w:p>
        </w:tc>
      </w:tr>
      <w:tr w:rsidR="00E75E87" w:rsidTr="0023528E">
        <w:tc>
          <w:tcPr>
            <w:tcW w:w="2518" w:type="dxa"/>
            <w:gridSpan w:val="3"/>
          </w:tcPr>
          <w:p w:rsidR="00E75E87" w:rsidRPr="005A2E57" w:rsidRDefault="00E75E87" w:rsidP="00A2112B">
            <w:pPr>
              <w:pStyle w:val="Sansinterligne"/>
              <w:rPr>
                <w:highlight w:val="yellow"/>
              </w:rPr>
            </w:pPr>
            <w:r w:rsidRPr="005A2E57">
              <w:rPr>
                <w:highlight w:val="yellow"/>
              </w:rPr>
              <w:t>Syndrome de Sheehan</w:t>
            </w:r>
          </w:p>
        </w:tc>
        <w:tc>
          <w:tcPr>
            <w:tcW w:w="4111" w:type="dxa"/>
          </w:tcPr>
          <w:p w:rsidR="00E75E87" w:rsidRPr="005A2E57" w:rsidRDefault="00E75E87" w:rsidP="00E75E87">
            <w:pPr>
              <w:pStyle w:val="Sansinterligne"/>
              <w:numPr>
                <w:ilvl w:val="0"/>
                <w:numId w:val="275"/>
              </w:numPr>
              <w:rPr>
                <w:highlight w:val="yellow"/>
              </w:rPr>
            </w:pPr>
            <w:r w:rsidRPr="005A2E57">
              <w:rPr>
                <w:highlight w:val="yellow"/>
              </w:rPr>
              <w:t>Incidence difficile à évaluer</w:t>
            </w:r>
          </w:p>
          <w:p w:rsidR="00E75E87" w:rsidRPr="005A2E57" w:rsidRDefault="00E75E87" w:rsidP="00E75E87">
            <w:pPr>
              <w:pStyle w:val="Sansinterligne"/>
              <w:numPr>
                <w:ilvl w:val="0"/>
                <w:numId w:val="275"/>
              </w:numPr>
              <w:rPr>
                <w:highlight w:val="yellow"/>
              </w:rPr>
            </w:pPr>
            <w:r w:rsidRPr="005A2E57">
              <w:rPr>
                <w:highlight w:val="yellow"/>
              </w:rPr>
              <w:t>Même si plusieurs causes d’infarctus aigu de l’hypophyse</w:t>
            </w:r>
          </w:p>
          <w:p w:rsidR="00E75E87" w:rsidRPr="005A2E57" w:rsidRDefault="00E75E87" w:rsidP="00E75E87">
            <w:pPr>
              <w:pStyle w:val="Sansinterligne"/>
              <w:numPr>
                <w:ilvl w:val="0"/>
                <w:numId w:val="275"/>
              </w:numPr>
              <w:rPr>
                <w:highlight w:val="yellow"/>
              </w:rPr>
            </w:pPr>
            <w:r w:rsidRPr="005A2E57">
              <w:rPr>
                <w:highlight w:val="yellow"/>
              </w:rPr>
              <w:t>La plus fréquente reste l’hypoTA péripartum</w:t>
            </w:r>
          </w:p>
        </w:tc>
        <w:tc>
          <w:tcPr>
            <w:tcW w:w="4387" w:type="dxa"/>
            <w:gridSpan w:val="3"/>
          </w:tcPr>
          <w:p w:rsidR="00E75E87" w:rsidRPr="005A2E57" w:rsidRDefault="009239F2" w:rsidP="0023528E">
            <w:pPr>
              <w:pStyle w:val="Sansinterligne"/>
              <w:numPr>
                <w:ilvl w:val="0"/>
                <w:numId w:val="275"/>
              </w:numPr>
              <w:rPr>
                <w:highlight w:val="yellow"/>
              </w:rPr>
            </w:pPr>
            <w:r w:rsidRPr="005A2E57">
              <w:rPr>
                <w:highlight w:val="yellow"/>
              </w:rPr>
              <w:t>Absence de montée laiteuse post-partum</w:t>
            </w:r>
          </w:p>
          <w:p w:rsidR="009239F2" w:rsidRPr="005A2E57" w:rsidRDefault="009239F2" w:rsidP="0023528E">
            <w:pPr>
              <w:pStyle w:val="Sansinterligne"/>
              <w:numPr>
                <w:ilvl w:val="0"/>
                <w:numId w:val="275"/>
              </w:numPr>
              <w:rPr>
                <w:highlight w:val="yellow"/>
              </w:rPr>
            </w:pPr>
            <w:r w:rsidRPr="005A2E57">
              <w:rPr>
                <w:highlight w:val="yellow"/>
              </w:rPr>
              <w:t>Diminution de la pilosité</w:t>
            </w:r>
          </w:p>
          <w:p w:rsidR="009239F2" w:rsidRPr="005A2E57" w:rsidRDefault="009239F2" w:rsidP="0023528E">
            <w:pPr>
              <w:pStyle w:val="Sansinterligne"/>
              <w:numPr>
                <w:ilvl w:val="0"/>
                <w:numId w:val="275"/>
              </w:numPr>
              <w:rPr>
                <w:highlight w:val="yellow"/>
              </w:rPr>
            </w:pPr>
            <w:r w:rsidRPr="005A2E57">
              <w:rPr>
                <w:highlight w:val="yellow"/>
              </w:rPr>
              <w:t>Constipation</w:t>
            </w:r>
          </w:p>
          <w:p w:rsidR="009239F2" w:rsidRPr="005A2E57" w:rsidRDefault="009239F2" w:rsidP="0023528E">
            <w:pPr>
              <w:pStyle w:val="Sansinterligne"/>
              <w:numPr>
                <w:ilvl w:val="0"/>
                <w:numId w:val="275"/>
              </w:numPr>
              <w:rPr>
                <w:highlight w:val="yellow"/>
              </w:rPr>
            </w:pPr>
            <w:r w:rsidRPr="005A2E57">
              <w:rPr>
                <w:highlight w:val="yellow"/>
              </w:rPr>
              <w:t>Ralentissement mental</w:t>
            </w:r>
          </w:p>
          <w:p w:rsidR="009239F2" w:rsidRPr="005A2E57" w:rsidRDefault="009239F2" w:rsidP="0023528E">
            <w:pPr>
              <w:pStyle w:val="Sansinterligne"/>
              <w:numPr>
                <w:ilvl w:val="0"/>
                <w:numId w:val="275"/>
              </w:numPr>
              <w:rPr>
                <w:highlight w:val="yellow"/>
              </w:rPr>
            </w:pPr>
            <w:r w:rsidRPr="005A2E57">
              <w:rPr>
                <w:highlight w:val="yellow"/>
              </w:rPr>
              <w:t>Intolérance au froid</w:t>
            </w:r>
          </w:p>
          <w:p w:rsidR="009239F2" w:rsidRPr="005A2E57" w:rsidRDefault="009239F2" w:rsidP="0023528E">
            <w:pPr>
              <w:pStyle w:val="Sansinterligne"/>
              <w:numPr>
                <w:ilvl w:val="0"/>
                <w:numId w:val="275"/>
              </w:numPr>
              <w:rPr>
                <w:highlight w:val="yellow"/>
              </w:rPr>
            </w:pPr>
            <w:r w:rsidRPr="005A2E57">
              <w:rPr>
                <w:highlight w:val="yellow"/>
              </w:rPr>
              <w:t>HypoTA, fatigue</w:t>
            </w:r>
          </w:p>
          <w:p w:rsidR="009239F2" w:rsidRPr="005A2E57" w:rsidRDefault="009239F2" w:rsidP="0023528E">
            <w:pPr>
              <w:pStyle w:val="Sansinterligne"/>
              <w:numPr>
                <w:ilvl w:val="0"/>
                <w:numId w:val="275"/>
              </w:numPr>
              <w:rPr>
                <w:highlight w:val="yellow"/>
              </w:rPr>
            </w:pPr>
            <w:r w:rsidRPr="005A2E57">
              <w:rPr>
                <w:highlight w:val="yellow"/>
              </w:rPr>
              <w:t>Diabète insipide</w:t>
            </w:r>
          </w:p>
        </w:tc>
      </w:tr>
      <w:tr w:rsidR="00B15476" w:rsidTr="0023528E">
        <w:tc>
          <w:tcPr>
            <w:tcW w:w="2518" w:type="dxa"/>
            <w:gridSpan w:val="3"/>
          </w:tcPr>
          <w:p w:rsidR="00B15476" w:rsidRDefault="00B15476" w:rsidP="00A2112B">
            <w:pPr>
              <w:pStyle w:val="Sansinterligne"/>
            </w:pPr>
            <w:r>
              <w:t>Prolactinome</w:t>
            </w:r>
          </w:p>
        </w:tc>
        <w:tc>
          <w:tcPr>
            <w:tcW w:w="8498" w:type="dxa"/>
            <w:gridSpan w:val="4"/>
          </w:tcPr>
          <w:p w:rsidR="00B15476" w:rsidRDefault="00B15476" w:rsidP="00B15476">
            <w:pPr>
              <w:pStyle w:val="Sansinterligne"/>
            </w:pPr>
            <w:r>
              <w:t xml:space="preserve">Voir </w:t>
            </w:r>
            <w:r w:rsidRPr="00B15476">
              <w:rPr>
                <w:i/>
              </w:rPr>
              <w:t>Écoulement mammaire (CMC 10-2)</w:t>
            </w:r>
          </w:p>
        </w:tc>
      </w:tr>
      <w:tr w:rsidR="00B15476" w:rsidTr="0023528E">
        <w:tc>
          <w:tcPr>
            <w:tcW w:w="2518" w:type="dxa"/>
            <w:gridSpan w:val="3"/>
          </w:tcPr>
          <w:p w:rsidR="00B15476" w:rsidRDefault="00B15476" w:rsidP="00A2112B">
            <w:pPr>
              <w:pStyle w:val="Sansinterligne"/>
            </w:pPr>
            <w:r>
              <w:t>Adénome hypophysaire</w:t>
            </w:r>
          </w:p>
        </w:tc>
        <w:tc>
          <w:tcPr>
            <w:tcW w:w="8498" w:type="dxa"/>
            <w:gridSpan w:val="4"/>
          </w:tcPr>
          <w:p w:rsidR="00B15476" w:rsidRDefault="00060176" w:rsidP="00A2112B">
            <w:pPr>
              <w:pStyle w:val="Sansinterligne"/>
            </w:pPr>
            <w:r>
              <w:t xml:space="preserve">Voir </w:t>
            </w:r>
            <w:r w:rsidRPr="00B15476">
              <w:rPr>
                <w:i/>
              </w:rPr>
              <w:t>Écoulement mammaire (CMC 10-2)</w:t>
            </w:r>
          </w:p>
        </w:tc>
      </w:tr>
      <w:tr w:rsidR="00B15476" w:rsidTr="0023528E">
        <w:tc>
          <w:tcPr>
            <w:tcW w:w="2518" w:type="dxa"/>
            <w:gridSpan w:val="3"/>
          </w:tcPr>
          <w:p w:rsidR="00B15476" w:rsidRDefault="00B15476" w:rsidP="00A2112B">
            <w:pPr>
              <w:pStyle w:val="Sansinterligne"/>
            </w:pPr>
            <w:r>
              <w:t>Hypothyroïdie</w:t>
            </w:r>
          </w:p>
        </w:tc>
        <w:tc>
          <w:tcPr>
            <w:tcW w:w="8498" w:type="dxa"/>
            <w:gridSpan w:val="4"/>
          </w:tcPr>
          <w:p w:rsidR="00B15476" w:rsidRDefault="00B15476" w:rsidP="00A2112B">
            <w:pPr>
              <w:pStyle w:val="Sansinterligne"/>
            </w:pPr>
            <w:r>
              <w:t xml:space="preserve">Voir </w:t>
            </w:r>
            <w:r w:rsidRPr="00B15476">
              <w:rPr>
                <w:i/>
              </w:rPr>
              <w:t>Masse cervicale, goitre, maladie thyroïdienne (CMC 63)</w:t>
            </w:r>
          </w:p>
        </w:tc>
      </w:tr>
      <w:tr w:rsidR="009A342D" w:rsidTr="002A1F06">
        <w:tc>
          <w:tcPr>
            <w:tcW w:w="11016" w:type="dxa"/>
            <w:gridSpan w:val="7"/>
            <w:shd w:val="clear" w:color="auto" w:fill="CCC0D9" w:themeFill="accent4" w:themeFillTint="66"/>
          </w:tcPr>
          <w:p w:rsidR="009A342D" w:rsidRDefault="009A342D" w:rsidP="009A342D">
            <w:pPr>
              <w:pStyle w:val="Sansinterligne"/>
              <w:jc w:val="center"/>
            </w:pPr>
            <w:r>
              <w:t>Causes hypothalamiques</w:t>
            </w:r>
          </w:p>
        </w:tc>
      </w:tr>
      <w:tr w:rsidR="009A342D" w:rsidTr="0023528E">
        <w:tc>
          <w:tcPr>
            <w:tcW w:w="2518" w:type="dxa"/>
            <w:gridSpan w:val="3"/>
          </w:tcPr>
          <w:p w:rsidR="009A342D" w:rsidRPr="009A342D" w:rsidRDefault="009A342D" w:rsidP="009A342D">
            <w:pPr>
              <w:pStyle w:val="Sansinterligne"/>
              <w:jc w:val="center"/>
              <w:rPr>
                <w:i/>
              </w:rPr>
            </w:pPr>
            <w:r w:rsidRPr="009A342D">
              <w:rPr>
                <w:i/>
              </w:rPr>
              <w:t>Diagnostic</w:t>
            </w:r>
          </w:p>
        </w:tc>
        <w:tc>
          <w:tcPr>
            <w:tcW w:w="4111" w:type="dxa"/>
          </w:tcPr>
          <w:p w:rsidR="009A342D" w:rsidRPr="009A342D" w:rsidRDefault="009A342D" w:rsidP="009A342D">
            <w:pPr>
              <w:pStyle w:val="Sansinterligne"/>
              <w:jc w:val="center"/>
              <w:rPr>
                <w:i/>
              </w:rPr>
            </w:pPr>
            <w:r w:rsidRPr="009A342D">
              <w:rPr>
                <w:i/>
              </w:rPr>
              <w:t>Épidémiologie et facteurs de risque</w:t>
            </w:r>
          </w:p>
        </w:tc>
        <w:tc>
          <w:tcPr>
            <w:tcW w:w="4387" w:type="dxa"/>
            <w:gridSpan w:val="3"/>
          </w:tcPr>
          <w:p w:rsidR="009A342D" w:rsidRPr="009A342D" w:rsidRDefault="009A342D" w:rsidP="009A342D">
            <w:pPr>
              <w:pStyle w:val="Sansinterligne"/>
              <w:jc w:val="center"/>
              <w:rPr>
                <w:i/>
              </w:rPr>
            </w:pPr>
            <w:r w:rsidRPr="009A342D">
              <w:rPr>
                <w:i/>
              </w:rPr>
              <w:t>Manifestations cliniques</w:t>
            </w:r>
          </w:p>
        </w:tc>
      </w:tr>
      <w:tr w:rsidR="009A342D" w:rsidTr="0023528E">
        <w:tc>
          <w:tcPr>
            <w:tcW w:w="2518" w:type="dxa"/>
            <w:gridSpan w:val="3"/>
          </w:tcPr>
          <w:p w:rsidR="009A342D" w:rsidRDefault="00631CFA" w:rsidP="00A2112B">
            <w:pPr>
              <w:pStyle w:val="Sansinterligne"/>
            </w:pPr>
            <w:r w:rsidRPr="005A2E57">
              <w:rPr>
                <w:highlight w:val="yellow"/>
              </w:rPr>
              <w:t>Aménorrhée hypothalamique fonctionnelle</w:t>
            </w:r>
          </w:p>
        </w:tc>
        <w:tc>
          <w:tcPr>
            <w:tcW w:w="4111" w:type="dxa"/>
          </w:tcPr>
          <w:p w:rsidR="009A342D" w:rsidRPr="005A2E57" w:rsidRDefault="009B1F45" w:rsidP="0023528E">
            <w:pPr>
              <w:pStyle w:val="Sansinterligne"/>
              <w:numPr>
                <w:ilvl w:val="0"/>
                <w:numId w:val="279"/>
              </w:numPr>
              <w:rPr>
                <w:highlight w:val="yellow"/>
              </w:rPr>
            </w:pPr>
            <w:r w:rsidRPr="005A2E57">
              <w:rPr>
                <w:highlight w:val="yellow"/>
              </w:rPr>
              <w:t>Diagnostic d’exclusion, bénin</w:t>
            </w:r>
          </w:p>
          <w:p w:rsidR="009B1F45" w:rsidRDefault="009B1F45" w:rsidP="0023528E">
            <w:pPr>
              <w:pStyle w:val="Sansinterligne"/>
              <w:numPr>
                <w:ilvl w:val="0"/>
                <w:numId w:val="279"/>
              </w:numPr>
            </w:pPr>
            <w:r>
              <w:rPr>
                <w:rFonts w:cs="Times New Roman"/>
              </w:rPr>
              <w:t>↓</w:t>
            </w:r>
            <w:r>
              <w:t xml:space="preserve"> sécrétion GnRH</w:t>
            </w:r>
          </w:p>
          <w:p w:rsidR="009B1F45" w:rsidRPr="005A2E57" w:rsidRDefault="009B1F45" w:rsidP="0023528E">
            <w:pPr>
              <w:pStyle w:val="Sansinterligne"/>
              <w:numPr>
                <w:ilvl w:val="0"/>
                <w:numId w:val="279"/>
              </w:numPr>
              <w:rPr>
                <w:highlight w:val="yellow"/>
              </w:rPr>
            </w:pPr>
            <w:r w:rsidRPr="005A2E57">
              <w:rPr>
                <w:highlight w:val="yellow"/>
              </w:rPr>
              <w:t>Troubles alimentaires/carence alimentaire</w:t>
            </w:r>
          </w:p>
          <w:p w:rsidR="009B1F45" w:rsidRDefault="009B1F45" w:rsidP="0023528E">
            <w:pPr>
              <w:pStyle w:val="Sansinterligne"/>
              <w:numPr>
                <w:ilvl w:val="0"/>
                <w:numId w:val="279"/>
              </w:numPr>
            </w:pPr>
            <w:r w:rsidRPr="005A2E57">
              <w:rPr>
                <w:highlight w:val="yellow"/>
              </w:rPr>
              <w:t>Stress, Exercice physique intense</w:t>
            </w:r>
          </w:p>
        </w:tc>
        <w:tc>
          <w:tcPr>
            <w:tcW w:w="4387" w:type="dxa"/>
            <w:gridSpan w:val="3"/>
          </w:tcPr>
          <w:p w:rsidR="009A342D" w:rsidRDefault="009B1F45" w:rsidP="0023528E">
            <w:pPr>
              <w:pStyle w:val="Sansinterligne"/>
              <w:numPr>
                <w:ilvl w:val="0"/>
                <w:numId w:val="278"/>
              </w:numPr>
            </w:pPr>
            <w:r>
              <w:t>Caractères sexuels généralement présent</w:t>
            </w:r>
          </w:p>
          <w:p w:rsidR="0023528E" w:rsidRDefault="0023528E" w:rsidP="00A2112B">
            <w:pPr>
              <w:pStyle w:val="Sansinterligne"/>
            </w:pPr>
          </w:p>
          <w:p w:rsidR="009B1F45" w:rsidRDefault="009B1F45" w:rsidP="0023528E">
            <w:pPr>
              <w:pStyle w:val="Sansinterligne"/>
              <w:numPr>
                <w:ilvl w:val="0"/>
                <w:numId w:val="277"/>
              </w:numPr>
            </w:pPr>
            <w:r w:rsidRPr="0023528E">
              <w:rPr>
                <w:u w:val="single"/>
              </w:rPr>
              <w:t>Si anorexie </w:t>
            </w:r>
            <w:r>
              <w:t>: bradycardie, hypoTA, lanugo, peau sèche, DB insipide</w:t>
            </w:r>
          </w:p>
        </w:tc>
      </w:tr>
      <w:tr w:rsidR="009A342D" w:rsidTr="0023528E">
        <w:tc>
          <w:tcPr>
            <w:tcW w:w="2518" w:type="dxa"/>
            <w:gridSpan w:val="3"/>
          </w:tcPr>
          <w:p w:rsidR="009A342D" w:rsidRDefault="00631CFA" w:rsidP="00A2112B">
            <w:pPr>
              <w:pStyle w:val="Sansinterligne"/>
            </w:pPr>
            <w:r w:rsidRPr="005A2E57">
              <w:rPr>
                <w:highlight w:val="yellow"/>
              </w:rPr>
              <w:t>Syndrome de Kallman</w:t>
            </w:r>
          </w:p>
        </w:tc>
        <w:tc>
          <w:tcPr>
            <w:tcW w:w="4111" w:type="dxa"/>
          </w:tcPr>
          <w:p w:rsidR="009A342D" w:rsidRDefault="000B0BF5" w:rsidP="0023528E">
            <w:pPr>
              <w:pStyle w:val="Sansinterligne"/>
              <w:numPr>
                <w:ilvl w:val="0"/>
                <w:numId w:val="277"/>
              </w:numPr>
              <w:rPr>
                <w:rFonts w:cs="Times New Roman"/>
                <w:bCs/>
                <w:color w:val="252525"/>
                <w:sz w:val="20"/>
                <w:szCs w:val="20"/>
                <w:shd w:val="clear" w:color="auto" w:fill="FFFFFF"/>
              </w:rPr>
            </w:pPr>
            <w:r>
              <w:t xml:space="preserve">5-7 </w:t>
            </w:r>
            <w:hyperlink r:id="rId189" w:tooltip="♂" w:history="1">
              <w:r w:rsidRPr="00F012F8">
                <w:rPr>
                  <w:rStyle w:val="Lienhypertexte"/>
                  <w:rFonts w:cs="Times New Roman"/>
                  <w:color w:val="0B0080"/>
                  <w:sz w:val="20"/>
                  <w:szCs w:val="20"/>
                  <w:u w:val="none"/>
                  <w:shd w:val="clear" w:color="auto" w:fill="FFFFFF"/>
                </w:rPr>
                <w:t>♂</w:t>
              </w:r>
            </w:hyperlink>
            <w:r>
              <w:rPr>
                <w:rStyle w:val="Lienhypertexte"/>
                <w:rFonts w:cs="Times New Roman"/>
                <w:color w:val="0B0080"/>
                <w:sz w:val="20"/>
                <w:szCs w:val="20"/>
                <w:u w:val="none"/>
                <w:shd w:val="clear" w:color="auto" w:fill="FFFFFF"/>
              </w:rPr>
              <w:t> : 1</w:t>
            </w:r>
            <w:r w:rsidR="0023528E" w:rsidRPr="00F012F8">
              <w:rPr>
                <w:rFonts w:cs="Times New Roman"/>
                <w:bCs/>
                <w:color w:val="252525"/>
                <w:sz w:val="20"/>
                <w:szCs w:val="20"/>
                <w:shd w:val="clear" w:color="auto" w:fill="FFFFFF"/>
              </w:rPr>
              <w:t>♀</w:t>
            </w:r>
            <w:r>
              <w:rPr>
                <w:rFonts w:cs="Times New Roman"/>
                <w:bCs/>
                <w:color w:val="252525"/>
                <w:sz w:val="20"/>
                <w:szCs w:val="20"/>
                <w:shd w:val="clear" w:color="auto" w:fill="FFFFFF"/>
              </w:rPr>
              <w:t>, car fréquemment lié au X</w:t>
            </w:r>
          </w:p>
          <w:p w:rsidR="000B0BF5" w:rsidRDefault="000B0BF5" w:rsidP="0023528E">
            <w:pPr>
              <w:pStyle w:val="Sansinterligne"/>
              <w:numPr>
                <w:ilvl w:val="0"/>
                <w:numId w:val="277"/>
              </w:numPr>
            </w:pPr>
            <w:r>
              <w:t>Déficit en GnRH</w:t>
            </w:r>
          </w:p>
        </w:tc>
        <w:tc>
          <w:tcPr>
            <w:tcW w:w="4387" w:type="dxa"/>
            <w:gridSpan w:val="3"/>
          </w:tcPr>
          <w:p w:rsidR="009A342D" w:rsidRPr="005A2E57" w:rsidRDefault="000B0BF5" w:rsidP="0023528E">
            <w:pPr>
              <w:pStyle w:val="Sansinterligne"/>
              <w:numPr>
                <w:ilvl w:val="0"/>
                <w:numId w:val="276"/>
              </w:numPr>
              <w:rPr>
                <w:highlight w:val="yellow"/>
              </w:rPr>
            </w:pPr>
            <w:r w:rsidRPr="005A2E57">
              <w:rPr>
                <w:highlight w:val="yellow"/>
              </w:rPr>
              <w:t>Anosmie</w:t>
            </w:r>
          </w:p>
          <w:p w:rsidR="000B0BF5" w:rsidRPr="005A2E57" w:rsidRDefault="000B0BF5" w:rsidP="0023528E">
            <w:pPr>
              <w:pStyle w:val="Sansinterligne"/>
              <w:numPr>
                <w:ilvl w:val="0"/>
                <w:numId w:val="276"/>
              </w:numPr>
              <w:rPr>
                <w:highlight w:val="yellow"/>
              </w:rPr>
            </w:pPr>
            <w:r w:rsidRPr="005A2E57">
              <w:rPr>
                <w:highlight w:val="yellow"/>
              </w:rPr>
              <w:t>Absence de caractère</w:t>
            </w:r>
            <w:r w:rsidR="0070762A" w:rsidRPr="005A2E57">
              <w:rPr>
                <w:highlight w:val="yellow"/>
              </w:rPr>
              <w:t>s</w:t>
            </w:r>
            <w:r w:rsidRPr="005A2E57">
              <w:rPr>
                <w:highlight w:val="yellow"/>
              </w:rPr>
              <w:t xml:space="preserve"> sexuels</w:t>
            </w:r>
          </w:p>
          <w:p w:rsidR="000B0BF5" w:rsidRDefault="000B0BF5" w:rsidP="0023528E">
            <w:pPr>
              <w:pStyle w:val="Sansinterligne"/>
              <w:numPr>
                <w:ilvl w:val="0"/>
                <w:numId w:val="276"/>
              </w:numPr>
            </w:pPr>
            <w:r>
              <w:t xml:space="preserve">Aménorrhée primaire </w:t>
            </w:r>
          </w:p>
          <w:p w:rsidR="000B0BF5" w:rsidRPr="000B0BF5" w:rsidRDefault="000B0BF5" w:rsidP="0023528E">
            <w:pPr>
              <w:pStyle w:val="Sansinterligne"/>
              <w:numPr>
                <w:ilvl w:val="0"/>
                <w:numId w:val="276"/>
              </w:numPr>
              <w:rPr>
                <w:rStyle w:val="Lienhypertexte"/>
                <w:color w:val="auto"/>
                <w:u w:val="none"/>
              </w:rPr>
            </w:pPr>
            <w:r>
              <w:t xml:space="preserve">Micropénis, cryptorchidie (chez </w:t>
            </w:r>
            <w:hyperlink r:id="rId190" w:tooltip="♂" w:history="1">
              <w:r w:rsidRPr="00F012F8">
                <w:rPr>
                  <w:rStyle w:val="Lienhypertexte"/>
                  <w:rFonts w:cs="Times New Roman"/>
                  <w:color w:val="0B0080"/>
                  <w:sz w:val="20"/>
                  <w:szCs w:val="20"/>
                  <w:u w:val="none"/>
                  <w:shd w:val="clear" w:color="auto" w:fill="FFFFFF"/>
                </w:rPr>
                <w:t>♂</w:t>
              </w:r>
            </w:hyperlink>
            <w:r>
              <w:rPr>
                <w:rStyle w:val="Lienhypertexte"/>
                <w:rFonts w:cs="Times New Roman"/>
                <w:color w:val="0B0080"/>
                <w:sz w:val="20"/>
                <w:szCs w:val="20"/>
                <w:u w:val="none"/>
                <w:shd w:val="clear" w:color="auto" w:fill="FFFFFF"/>
              </w:rPr>
              <w:t>)</w:t>
            </w:r>
          </w:p>
          <w:p w:rsidR="000B0BF5" w:rsidRPr="005A2E57" w:rsidRDefault="000B0BF5" w:rsidP="0023528E">
            <w:pPr>
              <w:pStyle w:val="Sansinterligne"/>
              <w:numPr>
                <w:ilvl w:val="0"/>
                <w:numId w:val="276"/>
              </w:numPr>
              <w:rPr>
                <w:rFonts w:cs="Times New Roman"/>
              </w:rPr>
            </w:pPr>
            <w:r w:rsidRPr="005A2E57">
              <w:rPr>
                <w:rStyle w:val="Lienhypertexte"/>
                <w:rFonts w:cs="Times New Roman"/>
                <w:color w:val="auto"/>
                <w:u w:val="none"/>
                <w:shd w:val="clear" w:color="auto" w:fill="FFFFFF"/>
              </w:rPr>
              <w:t>Distance bras/bras &gt; hauteur par ≥5 cm</w:t>
            </w:r>
          </w:p>
        </w:tc>
      </w:tr>
      <w:tr w:rsidR="009A342D" w:rsidTr="002A1F06">
        <w:tc>
          <w:tcPr>
            <w:tcW w:w="11016" w:type="dxa"/>
            <w:gridSpan w:val="7"/>
            <w:shd w:val="clear" w:color="auto" w:fill="CCC0D9" w:themeFill="accent4" w:themeFillTint="66"/>
          </w:tcPr>
          <w:p w:rsidR="009A342D" w:rsidRDefault="009A342D" w:rsidP="009A342D">
            <w:pPr>
              <w:pStyle w:val="Sansinterligne"/>
              <w:jc w:val="center"/>
            </w:pPr>
            <w:r>
              <w:t>Causes surrénaliennes</w:t>
            </w:r>
          </w:p>
        </w:tc>
      </w:tr>
      <w:tr w:rsidR="009A342D" w:rsidTr="0023528E">
        <w:tc>
          <w:tcPr>
            <w:tcW w:w="2518" w:type="dxa"/>
            <w:gridSpan w:val="3"/>
          </w:tcPr>
          <w:p w:rsidR="009A342D" w:rsidRPr="009A342D" w:rsidRDefault="009A342D" w:rsidP="009A342D">
            <w:pPr>
              <w:pStyle w:val="Sansinterligne"/>
              <w:jc w:val="center"/>
              <w:rPr>
                <w:i/>
              </w:rPr>
            </w:pPr>
            <w:r w:rsidRPr="009A342D">
              <w:rPr>
                <w:i/>
              </w:rPr>
              <w:t>Diagnostic</w:t>
            </w:r>
          </w:p>
        </w:tc>
        <w:tc>
          <w:tcPr>
            <w:tcW w:w="4111" w:type="dxa"/>
          </w:tcPr>
          <w:p w:rsidR="009A342D" w:rsidRPr="009A342D" w:rsidRDefault="009A342D" w:rsidP="009A342D">
            <w:pPr>
              <w:pStyle w:val="Sansinterligne"/>
              <w:jc w:val="center"/>
              <w:rPr>
                <w:i/>
              </w:rPr>
            </w:pPr>
            <w:r w:rsidRPr="009A342D">
              <w:rPr>
                <w:i/>
              </w:rPr>
              <w:t>Épidémiologie et facteurs de risque</w:t>
            </w:r>
          </w:p>
        </w:tc>
        <w:tc>
          <w:tcPr>
            <w:tcW w:w="4387" w:type="dxa"/>
            <w:gridSpan w:val="3"/>
          </w:tcPr>
          <w:p w:rsidR="009A342D" w:rsidRPr="009A342D" w:rsidRDefault="009A342D" w:rsidP="009A342D">
            <w:pPr>
              <w:pStyle w:val="Sansinterligne"/>
              <w:jc w:val="center"/>
              <w:rPr>
                <w:i/>
              </w:rPr>
            </w:pPr>
            <w:r w:rsidRPr="009A342D">
              <w:rPr>
                <w:i/>
              </w:rPr>
              <w:t>Manifestations cliniques</w:t>
            </w:r>
          </w:p>
        </w:tc>
      </w:tr>
      <w:tr w:rsidR="009A342D" w:rsidTr="0023528E">
        <w:tc>
          <w:tcPr>
            <w:tcW w:w="2518" w:type="dxa"/>
            <w:gridSpan w:val="3"/>
          </w:tcPr>
          <w:p w:rsidR="009A342D" w:rsidRDefault="00847E9E" w:rsidP="00A2112B">
            <w:pPr>
              <w:pStyle w:val="Sansinterligne"/>
            </w:pPr>
            <w:r w:rsidRPr="009B1F2C">
              <w:rPr>
                <w:highlight w:val="yellow"/>
              </w:rPr>
              <w:t>Hyperplasie congénitale des surrénales</w:t>
            </w:r>
            <w:r>
              <w:t xml:space="preserve"> </w:t>
            </w:r>
          </w:p>
        </w:tc>
        <w:tc>
          <w:tcPr>
            <w:tcW w:w="4111" w:type="dxa"/>
          </w:tcPr>
          <w:p w:rsidR="009A342D" w:rsidRDefault="009B1F2C" w:rsidP="009B1F2C">
            <w:pPr>
              <w:pStyle w:val="Sansinterligne"/>
              <w:numPr>
                <w:ilvl w:val="0"/>
                <w:numId w:val="283"/>
              </w:numPr>
            </w:pPr>
            <w:r>
              <w:t>Peut être complète ou partielle selon le gène atteint</w:t>
            </w:r>
          </w:p>
          <w:p w:rsidR="009B1F2C" w:rsidRDefault="009B1F2C" w:rsidP="009B1F2C">
            <w:pPr>
              <w:pStyle w:val="Sansinterligne"/>
              <w:numPr>
                <w:ilvl w:val="0"/>
                <w:numId w:val="283"/>
              </w:numPr>
            </w:pPr>
            <w:r w:rsidRPr="009B1F2C">
              <w:rPr>
                <w:highlight w:val="yellow"/>
              </w:rPr>
              <w:t>+ fréquent = déficit en 21-hydroxylase</w:t>
            </w:r>
          </w:p>
        </w:tc>
        <w:tc>
          <w:tcPr>
            <w:tcW w:w="4387" w:type="dxa"/>
            <w:gridSpan w:val="3"/>
          </w:tcPr>
          <w:p w:rsidR="009A342D" w:rsidRDefault="009B1F2C" w:rsidP="009B1F2C">
            <w:pPr>
              <w:pStyle w:val="Sansinterligne"/>
              <w:numPr>
                <w:ilvl w:val="0"/>
                <w:numId w:val="282"/>
              </w:numPr>
            </w:pPr>
            <w:r>
              <w:t>Caractères sexuels secondaires présents</w:t>
            </w:r>
          </w:p>
          <w:p w:rsidR="009B1F2C" w:rsidRDefault="009B1F2C" w:rsidP="009B1F2C">
            <w:pPr>
              <w:pStyle w:val="Sansinterligne"/>
              <w:numPr>
                <w:ilvl w:val="0"/>
                <w:numId w:val="282"/>
              </w:numPr>
            </w:pPr>
            <w:r>
              <w:t>Parfois pubarche précoce</w:t>
            </w:r>
          </w:p>
          <w:p w:rsidR="009B1F2C" w:rsidRDefault="009B1F2C" w:rsidP="009B1F2C">
            <w:pPr>
              <w:pStyle w:val="Sansinterligne"/>
              <w:numPr>
                <w:ilvl w:val="0"/>
                <w:numId w:val="282"/>
              </w:numPr>
            </w:pPr>
            <w:r w:rsidRPr="009B1F2C">
              <w:rPr>
                <w:highlight w:val="yellow"/>
              </w:rPr>
              <w:t>Hirsutisme, acné</w:t>
            </w:r>
          </w:p>
        </w:tc>
      </w:tr>
      <w:tr w:rsidR="009A342D" w:rsidTr="0023528E">
        <w:tc>
          <w:tcPr>
            <w:tcW w:w="2518" w:type="dxa"/>
            <w:gridSpan w:val="3"/>
          </w:tcPr>
          <w:p w:rsidR="009A342D" w:rsidRDefault="00847E9E" w:rsidP="00A2112B">
            <w:pPr>
              <w:pStyle w:val="Sansinterligne"/>
            </w:pPr>
            <w:r w:rsidRPr="009B1F2C">
              <w:rPr>
                <w:highlight w:val="yellow"/>
              </w:rPr>
              <w:t>Syndrome de Cushing</w:t>
            </w:r>
          </w:p>
        </w:tc>
        <w:tc>
          <w:tcPr>
            <w:tcW w:w="4111" w:type="dxa"/>
          </w:tcPr>
          <w:p w:rsidR="0059616F" w:rsidRPr="0059616F" w:rsidRDefault="0059616F" w:rsidP="00A2112B">
            <w:pPr>
              <w:pStyle w:val="Sansinterligne"/>
              <w:rPr>
                <w:u w:val="single"/>
              </w:rPr>
            </w:pPr>
            <w:r w:rsidRPr="0059616F">
              <w:rPr>
                <w:u w:val="single"/>
              </w:rPr>
              <w:t>Étiologies </w:t>
            </w:r>
          </w:p>
          <w:p w:rsidR="009A342D" w:rsidRPr="009B1F2C" w:rsidRDefault="0059616F" w:rsidP="0059616F">
            <w:pPr>
              <w:pStyle w:val="Sansinterligne"/>
              <w:numPr>
                <w:ilvl w:val="0"/>
                <w:numId w:val="281"/>
              </w:numPr>
              <w:rPr>
                <w:highlight w:val="yellow"/>
              </w:rPr>
            </w:pPr>
            <w:r w:rsidRPr="009B1F2C">
              <w:rPr>
                <w:highlight w:val="yellow"/>
              </w:rPr>
              <w:t>Prise de corticostéroïdes exogènes</w:t>
            </w:r>
          </w:p>
          <w:p w:rsidR="0059616F" w:rsidRDefault="0059616F" w:rsidP="0059616F">
            <w:pPr>
              <w:pStyle w:val="Sansinterligne"/>
              <w:numPr>
                <w:ilvl w:val="0"/>
                <w:numId w:val="281"/>
              </w:numPr>
            </w:pPr>
            <w:r>
              <w:t>Maladie de Cushing (adénome hypophysaire)</w:t>
            </w:r>
          </w:p>
          <w:p w:rsidR="0059616F" w:rsidRDefault="0059616F" w:rsidP="0059616F">
            <w:pPr>
              <w:pStyle w:val="Sansinterligne"/>
              <w:numPr>
                <w:ilvl w:val="0"/>
                <w:numId w:val="281"/>
              </w:numPr>
            </w:pPr>
            <w:r>
              <w:t>Tumeur surrénalienne</w:t>
            </w:r>
          </w:p>
        </w:tc>
        <w:tc>
          <w:tcPr>
            <w:tcW w:w="4387" w:type="dxa"/>
            <w:gridSpan w:val="3"/>
          </w:tcPr>
          <w:p w:rsidR="009A342D" w:rsidRPr="009B1F2C" w:rsidRDefault="0059616F" w:rsidP="0059616F">
            <w:pPr>
              <w:pStyle w:val="Sansinterligne"/>
              <w:numPr>
                <w:ilvl w:val="0"/>
                <w:numId w:val="280"/>
              </w:numPr>
              <w:rPr>
                <w:highlight w:val="yellow"/>
              </w:rPr>
            </w:pPr>
            <w:r w:rsidRPr="009B1F2C">
              <w:rPr>
                <w:highlight w:val="yellow"/>
              </w:rPr>
              <w:t>Asthénie, irritabilité, Sx anxio-dépressifs</w:t>
            </w:r>
          </w:p>
          <w:p w:rsidR="0059616F" w:rsidRPr="009B1F2C" w:rsidRDefault="0059616F" w:rsidP="0059616F">
            <w:pPr>
              <w:pStyle w:val="Sansinterligne"/>
              <w:numPr>
                <w:ilvl w:val="0"/>
                <w:numId w:val="280"/>
              </w:numPr>
              <w:rPr>
                <w:highlight w:val="yellow"/>
              </w:rPr>
            </w:pPr>
            <w:r w:rsidRPr="009B1F2C">
              <w:rPr>
                <w:highlight w:val="yellow"/>
              </w:rPr>
              <w:t>Faciès lunaire, bosse de bison</w:t>
            </w:r>
          </w:p>
          <w:p w:rsidR="0059616F" w:rsidRPr="009B1F2C" w:rsidRDefault="0059616F" w:rsidP="0059616F">
            <w:pPr>
              <w:pStyle w:val="Sansinterligne"/>
              <w:numPr>
                <w:ilvl w:val="0"/>
                <w:numId w:val="280"/>
              </w:numPr>
              <w:rPr>
                <w:highlight w:val="yellow"/>
              </w:rPr>
            </w:pPr>
            <w:r w:rsidRPr="009B1F2C">
              <w:rPr>
                <w:highlight w:val="yellow"/>
              </w:rPr>
              <w:t>Obésité tronculaire</w:t>
            </w:r>
          </w:p>
          <w:p w:rsidR="0059616F" w:rsidRPr="009B1F2C" w:rsidRDefault="0059616F" w:rsidP="0059616F">
            <w:pPr>
              <w:pStyle w:val="Sansinterligne"/>
              <w:numPr>
                <w:ilvl w:val="0"/>
                <w:numId w:val="280"/>
              </w:numPr>
              <w:rPr>
                <w:highlight w:val="yellow"/>
              </w:rPr>
            </w:pPr>
            <w:r w:rsidRPr="009B1F2C">
              <w:rPr>
                <w:highlight w:val="yellow"/>
              </w:rPr>
              <w:t>Alopécie, hirsutisme, acné</w:t>
            </w:r>
          </w:p>
          <w:p w:rsidR="0059616F" w:rsidRDefault="0059616F" w:rsidP="0059616F">
            <w:pPr>
              <w:pStyle w:val="Sansinterligne"/>
              <w:numPr>
                <w:ilvl w:val="0"/>
                <w:numId w:val="280"/>
              </w:numPr>
            </w:pPr>
            <w:r w:rsidRPr="009B1F2C">
              <w:rPr>
                <w:highlight w:val="yellow"/>
              </w:rPr>
              <w:t>Vergetures</w:t>
            </w:r>
          </w:p>
        </w:tc>
      </w:tr>
    </w:tbl>
    <w:p w:rsidR="009A342D" w:rsidRDefault="009A342D" w:rsidP="00A2112B">
      <w:pPr>
        <w:pStyle w:val="Sansinterligne"/>
      </w:pPr>
    </w:p>
    <w:p w:rsidR="00A2112B" w:rsidRDefault="00A2112B" w:rsidP="00A2112B">
      <w:pPr>
        <w:pStyle w:val="Sansinterligne"/>
      </w:pPr>
    </w:p>
    <w:p w:rsidR="00A2112B" w:rsidRDefault="00A2112B" w:rsidP="00A2112B">
      <w:pPr>
        <w:pStyle w:val="Sansinterligne"/>
        <w:rPr>
          <w:b/>
          <w:sz w:val="28"/>
          <w:szCs w:val="28"/>
        </w:rPr>
      </w:pPr>
      <w:r w:rsidRPr="00A2112B">
        <w:rPr>
          <w:b/>
          <w:sz w:val="28"/>
          <w:szCs w:val="28"/>
        </w:rPr>
        <w:t>Investigation et confirmation</w:t>
      </w:r>
    </w:p>
    <w:p w:rsidR="004A55C0" w:rsidRPr="00A2112B" w:rsidRDefault="004A55C0" w:rsidP="00A2112B">
      <w:pPr>
        <w:pStyle w:val="Sansinterligne"/>
        <w:rPr>
          <w:b/>
          <w:sz w:val="28"/>
          <w:szCs w:val="28"/>
        </w:rPr>
      </w:pPr>
    </w:p>
    <w:p w:rsidR="00A2112B" w:rsidRDefault="00BA341E" w:rsidP="002E2BC6">
      <w:pPr>
        <w:pStyle w:val="Sansinterligne"/>
        <w:numPr>
          <w:ilvl w:val="0"/>
          <w:numId w:val="284"/>
        </w:numPr>
      </w:pPr>
      <w:r>
        <w:t>Histoire complète incluant ATCD médicaux, chirurgicaux, familiaux et obstétricaux. Histoire menstruelle complète La médication prise, les habitus de vie et la présence de symptômes concomitants doivent être recherchés.</w:t>
      </w:r>
    </w:p>
    <w:p w:rsidR="002E2BC6" w:rsidRDefault="002E2BC6" w:rsidP="002E2BC6">
      <w:pPr>
        <w:pStyle w:val="Sansinterligne"/>
        <w:numPr>
          <w:ilvl w:val="0"/>
          <w:numId w:val="284"/>
        </w:numPr>
      </w:pPr>
      <w:r>
        <w:t>Examen physique complet à la recherche de signes cutanés, goitre, hyperandrogénisme, gal</w:t>
      </w:r>
      <w:r w:rsidR="00DF6F47">
        <w:t>actorrhée, examen gynécologique et de caractères sexuels secondaires.</w:t>
      </w:r>
    </w:p>
    <w:p w:rsidR="00BA341E" w:rsidRDefault="00BA341E" w:rsidP="00A2112B">
      <w:pPr>
        <w:pStyle w:val="Sansinterligne"/>
      </w:pPr>
    </w:p>
    <w:p w:rsidR="00DF6F47" w:rsidRPr="002551CC" w:rsidRDefault="00DF6F47" w:rsidP="00DF6F47">
      <w:pPr>
        <w:pStyle w:val="Sansinterligne"/>
        <w:rPr>
          <w:rFonts w:cs="Times New Roman"/>
          <w:u w:val="single"/>
        </w:rPr>
      </w:pPr>
      <w:r w:rsidRPr="002551CC">
        <w:rPr>
          <w:rFonts w:cs="Times New Roman"/>
          <w:u w:val="single"/>
        </w:rPr>
        <w:t>Si aménorrhée primaire :</w:t>
      </w:r>
    </w:p>
    <w:p w:rsidR="00DF6F47" w:rsidRPr="002551CC" w:rsidRDefault="00A45317" w:rsidP="00194D38">
      <w:pPr>
        <w:pStyle w:val="Sansinterligne"/>
        <w:numPr>
          <w:ilvl w:val="0"/>
          <w:numId w:val="286"/>
        </w:numPr>
        <w:rPr>
          <w:rFonts w:cs="Times New Roman"/>
          <w:i/>
        </w:rPr>
      </w:pPr>
      <w:r>
        <w:rPr>
          <w:rFonts w:cs="Times New Roman"/>
          <w:noProof/>
          <w:lang w:eastAsia="fr-CA"/>
        </w:rPr>
        <w:drawing>
          <wp:anchor distT="0" distB="0" distL="114300" distR="114300" simplePos="0" relativeHeight="251743232" behindDoc="1" locked="0" layoutInCell="1" allowOverlap="1" wp14:anchorId="026C7F3D" wp14:editId="1759EE33">
            <wp:simplePos x="0" y="0"/>
            <wp:positionH relativeFrom="column">
              <wp:posOffset>4221142</wp:posOffset>
            </wp:positionH>
            <wp:positionV relativeFrom="paragraph">
              <wp:posOffset>-410210</wp:posOffset>
            </wp:positionV>
            <wp:extent cx="2393004" cy="1709372"/>
            <wp:effectExtent l="0" t="0" r="7620" b="5715"/>
            <wp:wrapNone/>
            <wp:docPr id="262" name="Imag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ypophyse.PNG"/>
                    <pic:cNvPicPr/>
                  </pic:nvPicPr>
                  <pic:blipFill>
                    <a:blip r:embed="rId191">
                      <a:extLst>
                        <a:ext uri="{28A0092B-C50C-407E-A947-70E740481C1C}">
                          <a14:useLocalDpi xmlns:a14="http://schemas.microsoft.com/office/drawing/2010/main" val="0"/>
                        </a:ext>
                      </a:extLst>
                    </a:blip>
                    <a:stretch>
                      <a:fillRect/>
                    </a:stretch>
                  </pic:blipFill>
                  <pic:spPr>
                    <a:xfrm>
                      <a:off x="0" y="0"/>
                      <a:ext cx="2393004" cy="1709372"/>
                    </a:xfrm>
                    <a:prstGeom prst="rect">
                      <a:avLst/>
                    </a:prstGeom>
                  </pic:spPr>
                </pic:pic>
              </a:graphicData>
            </a:graphic>
            <wp14:sizeRelH relativeFrom="page">
              <wp14:pctWidth>0</wp14:pctWidth>
            </wp14:sizeRelH>
            <wp14:sizeRelV relativeFrom="page">
              <wp14:pctHeight>0</wp14:pctHeight>
            </wp14:sizeRelV>
          </wp:anchor>
        </w:drawing>
      </w:r>
      <w:r w:rsidR="00DF6F47" w:rsidRPr="002551CC">
        <w:rPr>
          <w:rFonts w:cs="Times New Roman"/>
          <w:i/>
        </w:rPr>
        <w:t>Caractères sexuels secondaires présents?</w:t>
      </w:r>
    </w:p>
    <w:p w:rsidR="00DF6F47" w:rsidRDefault="00DF6F47" w:rsidP="00194D38">
      <w:pPr>
        <w:pStyle w:val="Sansinterligne"/>
        <w:numPr>
          <w:ilvl w:val="1"/>
          <w:numId w:val="286"/>
        </w:numPr>
        <w:rPr>
          <w:rFonts w:cs="Times New Roman"/>
        </w:rPr>
      </w:pPr>
      <w:r>
        <w:rPr>
          <w:rFonts w:cs="Times New Roman"/>
        </w:rPr>
        <w:t>Oui : Présence d’œstrogène</w:t>
      </w:r>
    </w:p>
    <w:p w:rsidR="00DF6F47" w:rsidRDefault="00DF6F47" w:rsidP="00194D38">
      <w:pPr>
        <w:pStyle w:val="Sansinterligne"/>
        <w:numPr>
          <w:ilvl w:val="2"/>
          <w:numId w:val="286"/>
        </w:numPr>
        <w:rPr>
          <w:rFonts w:cs="Times New Roman"/>
        </w:rPr>
      </w:pPr>
      <w:r>
        <w:rPr>
          <w:rFonts w:cs="Times New Roman"/>
        </w:rPr>
        <w:t>Voir ci-bas, ajouter écho pelvienne ± caryotype</w:t>
      </w:r>
    </w:p>
    <w:p w:rsidR="00DF6F47" w:rsidRDefault="00DF6F47" w:rsidP="00194D38">
      <w:pPr>
        <w:pStyle w:val="Sansinterligne"/>
        <w:numPr>
          <w:ilvl w:val="1"/>
          <w:numId w:val="286"/>
        </w:numPr>
        <w:rPr>
          <w:rFonts w:cs="Times New Roman"/>
        </w:rPr>
      </w:pPr>
      <w:r>
        <w:rPr>
          <w:rFonts w:cs="Times New Roman"/>
        </w:rPr>
        <w:t>Non : absence d’œstrogène</w:t>
      </w:r>
    </w:p>
    <w:p w:rsidR="00DF6F47" w:rsidRDefault="00DF6F47" w:rsidP="00194D38">
      <w:pPr>
        <w:pStyle w:val="Sansinterligne"/>
        <w:numPr>
          <w:ilvl w:val="2"/>
          <w:numId w:val="286"/>
        </w:numPr>
        <w:rPr>
          <w:rFonts w:cs="Times New Roman"/>
        </w:rPr>
      </w:pPr>
      <w:r>
        <w:rPr>
          <w:rFonts w:cs="Times New Roman"/>
        </w:rPr>
        <w:t>Voir ci-bas et doser FSH-LH</w:t>
      </w:r>
      <w:r w:rsidR="00E84F8D" w:rsidRPr="00E84F8D">
        <w:t xml:space="preserve"> </w:t>
      </w:r>
    </w:p>
    <w:p w:rsidR="00DF6F47" w:rsidRPr="002551CC" w:rsidRDefault="00DF6F47" w:rsidP="00DF6F47">
      <w:pPr>
        <w:pStyle w:val="Sansinterligne"/>
        <w:ind w:left="2160"/>
        <w:rPr>
          <w:rFonts w:cs="Times New Roman"/>
        </w:rPr>
      </w:pPr>
    </w:p>
    <w:p w:rsidR="00DD35F7" w:rsidRPr="002551CC" w:rsidRDefault="00DD35F7" w:rsidP="00A2112B">
      <w:pPr>
        <w:pStyle w:val="Sansinterligne"/>
        <w:rPr>
          <w:rFonts w:cs="Times New Roman"/>
          <w:i/>
          <w:u w:val="single"/>
        </w:rPr>
      </w:pPr>
      <w:r w:rsidRPr="002551CC">
        <w:rPr>
          <w:rFonts w:cs="Times New Roman"/>
          <w:i/>
          <w:u w:val="single"/>
        </w:rPr>
        <w:t>Algorithme d’investigation :</w:t>
      </w:r>
    </w:p>
    <w:p w:rsidR="00A2112B" w:rsidRDefault="002151E9" w:rsidP="00DD35F7">
      <w:pPr>
        <w:pStyle w:val="Sansinterligne"/>
        <w:numPr>
          <w:ilvl w:val="0"/>
          <w:numId w:val="285"/>
        </w:numPr>
      </w:pPr>
      <w:r w:rsidRPr="002551CC">
        <w:rPr>
          <w:rFonts w:cs="Times New Roman"/>
          <w:b/>
        </w:rPr>
        <w:t>β</w:t>
      </w:r>
      <w:r w:rsidRPr="002551CC">
        <w:rPr>
          <w:b/>
        </w:rPr>
        <w:t>-HCG</w:t>
      </w:r>
      <w:r w:rsidR="0052410D">
        <w:t xml:space="preserve"> </w:t>
      </w:r>
      <w:r w:rsidR="0052410D">
        <w:rPr>
          <w:rFonts w:ascii="Century Gothic" w:hAnsi="Century Gothic"/>
        </w:rPr>
        <w:t>→</w:t>
      </w:r>
      <w:r w:rsidR="0052410D">
        <w:t xml:space="preserve"> éliminer grossesse (intra-utérine ou non)</w:t>
      </w:r>
    </w:p>
    <w:p w:rsidR="00A2112B" w:rsidRDefault="002151E9" w:rsidP="00DD35F7">
      <w:pPr>
        <w:pStyle w:val="Sansinterligne"/>
        <w:numPr>
          <w:ilvl w:val="0"/>
          <w:numId w:val="285"/>
        </w:numPr>
      </w:pPr>
      <w:r w:rsidRPr="002551CC">
        <w:rPr>
          <w:b/>
        </w:rPr>
        <w:t>TSH</w:t>
      </w:r>
      <w:r w:rsidR="0052410D" w:rsidRPr="002551CC">
        <w:rPr>
          <w:b/>
        </w:rPr>
        <w:t xml:space="preserve"> </w:t>
      </w:r>
      <w:r w:rsidR="0052410D">
        <w:rPr>
          <w:rFonts w:ascii="Century Gothic" w:hAnsi="Century Gothic"/>
        </w:rPr>
        <w:t>→</w:t>
      </w:r>
      <w:r w:rsidR="0052410D">
        <w:t xml:space="preserve"> vérifier fonction thyroïdienne et hypophysaire (</w:t>
      </w:r>
      <w:r w:rsidR="0052410D">
        <w:rPr>
          <w:rFonts w:cs="Times New Roman"/>
        </w:rPr>
        <w:t>↓</w:t>
      </w:r>
      <w:r w:rsidR="0052410D">
        <w:t xml:space="preserve"> si lésion hypophysaire, </w:t>
      </w:r>
      <w:r w:rsidR="0052410D">
        <w:rPr>
          <w:rFonts w:ascii="Century Gothic" w:hAnsi="Century Gothic"/>
        </w:rPr>
        <w:t>↑</w:t>
      </w:r>
      <w:r w:rsidR="0052410D">
        <w:t xml:space="preserve"> si hypoT</w:t>
      </w:r>
      <w:r w:rsidR="0052410D" w:rsidRPr="0052410D">
        <w:rPr>
          <w:vertAlign w:val="subscript"/>
        </w:rPr>
        <w:t>4</w:t>
      </w:r>
      <w:r w:rsidR="0052410D">
        <w:t xml:space="preserve"> = cause de l’aménorrhée)</w:t>
      </w:r>
    </w:p>
    <w:p w:rsidR="009E5A77" w:rsidRDefault="009E5A77" w:rsidP="00DD35F7">
      <w:pPr>
        <w:pStyle w:val="Sansinterligne"/>
        <w:numPr>
          <w:ilvl w:val="0"/>
          <w:numId w:val="285"/>
        </w:numPr>
        <w:rPr>
          <w:rFonts w:cs="Times New Roman"/>
        </w:rPr>
      </w:pPr>
      <w:r w:rsidRPr="002551CC">
        <w:rPr>
          <w:b/>
        </w:rPr>
        <w:t>Prolactine</w:t>
      </w:r>
      <w:r w:rsidR="0052410D">
        <w:t xml:space="preserve"> </w:t>
      </w:r>
      <w:r w:rsidR="0052410D">
        <w:rPr>
          <w:rFonts w:ascii="Century Gothic" w:hAnsi="Century Gothic"/>
        </w:rPr>
        <w:t>→</w:t>
      </w:r>
      <w:r w:rsidR="00F557AC">
        <w:rPr>
          <w:rFonts w:ascii="Century Gothic" w:hAnsi="Century Gothic"/>
        </w:rPr>
        <w:t xml:space="preserve"> </w:t>
      </w:r>
      <w:r w:rsidR="00F557AC" w:rsidRPr="00F557AC">
        <w:rPr>
          <w:rFonts w:cs="Times New Roman"/>
        </w:rPr>
        <w:t>exclure prolactinome</w:t>
      </w:r>
    </w:p>
    <w:p w:rsidR="00DD35F7" w:rsidRPr="002551CC" w:rsidRDefault="00DD35F7" w:rsidP="00DD35F7">
      <w:pPr>
        <w:pStyle w:val="Sansinterligne"/>
        <w:numPr>
          <w:ilvl w:val="0"/>
          <w:numId w:val="285"/>
        </w:numPr>
        <w:rPr>
          <w:highlight w:val="yellow"/>
        </w:rPr>
      </w:pPr>
      <w:r w:rsidRPr="002551CC">
        <w:rPr>
          <w:b/>
          <w:highlight w:val="yellow"/>
        </w:rPr>
        <w:t>Test à la progestérone</w:t>
      </w:r>
      <w:r w:rsidRPr="002551CC">
        <w:rPr>
          <w:highlight w:val="yellow"/>
        </w:rPr>
        <w:t> : Acétate de médroxyprogestérone (Provera) 10 mg PO DIE x 10 jours</w:t>
      </w:r>
    </w:p>
    <w:p w:rsidR="00DD35F7" w:rsidRPr="002551CC" w:rsidRDefault="00DD35F7" w:rsidP="002551CC">
      <w:pPr>
        <w:pStyle w:val="Sansinterligne"/>
        <w:numPr>
          <w:ilvl w:val="1"/>
          <w:numId w:val="285"/>
        </w:numPr>
        <w:rPr>
          <w:highlight w:val="yellow"/>
        </w:rPr>
      </w:pPr>
      <w:r w:rsidRPr="002551CC">
        <w:rPr>
          <w:highlight w:val="yellow"/>
        </w:rPr>
        <w:t>Positif si tâchetures/saignement dans les 10 jours de la dernière dose</w:t>
      </w:r>
    </w:p>
    <w:p w:rsidR="00DD35F7" w:rsidRPr="002551CC" w:rsidRDefault="00DD35F7" w:rsidP="002551CC">
      <w:pPr>
        <w:pStyle w:val="Sansinterligne"/>
        <w:numPr>
          <w:ilvl w:val="1"/>
          <w:numId w:val="285"/>
        </w:numPr>
        <w:rPr>
          <w:highlight w:val="yellow"/>
        </w:rPr>
      </w:pPr>
      <w:r w:rsidRPr="002551CC">
        <w:rPr>
          <w:highlight w:val="yellow"/>
        </w:rPr>
        <w:t>Permet de vérifier la présence d’œstrogène endogènes et les structures génitales basses.</w:t>
      </w:r>
    </w:p>
    <w:p w:rsidR="00DD35F7" w:rsidRPr="002551CC" w:rsidRDefault="00DD35F7" w:rsidP="002551CC">
      <w:pPr>
        <w:pStyle w:val="Sansinterligne"/>
        <w:numPr>
          <w:ilvl w:val="1"/>
          <w:numId w:val="285"/>
        </w:numPr>
        <w:rPr>
          <w:highlight w:val="yellow"/>
        </w:rPr>
      </w:pPr>
      <w:r w:rsidRPr="002551CC">
        <w:rPr>
          <w:highlight w:val="yellow"/>
          <w:u w:val="single"/>
        </w:rPr>
        <w:t>Si positif (saignement), il y a aménorrhée anovulatoire</w:t>
      </w:r>
      <w:r w:rsidRPr="002551CC">
        <w:rPr>
          <w:highlight w:val="yellow"/>
        </w:rPr>
        <w:t xml:space="preserve"> (SOPK, Hyperplasie congénitale des surrénales)</w:t>
      </w:r>
    </w:p>
    <w:p w:rsidR="00DD35F7" w:rsidRPr="002551CC" w:rsidRDefault="00DD35F7" w:rsidP="002551CC">
      <w:pPr>
        <w:pStyle w:val="Sansinterligne"/>
        <w:numPr>
          <w:ilvl w:val="1"/>
          <w:numId w:val="285"/>
        </w:numPr>
        <w:rPr>
          <w:highlight w:val="yellow"/>
        </w:rPr>
      </w:pPr>
      <w:r w:rsidRPr="002551CC">
        <w:rPr>
          <w:highlight w:val="yellow"/>
          <w:u w:val="single"/>
        </w:rPr>
        <w:t>Si négatif, répéter après oestrogènes exogènes</w:t>
      </w:r>
      <w:r w:rsidRPr="002551CC">
        <w:rPr>
          <w:highlight w:val="yellow"/>
        </w:rPr>
        <w:t xml:space="preserve"> (estradiol 2mg PO x 21 jours + Provera 10 mg PO dans les 10 derniers jours de l’estradiol)</w:t>
      </w:r>
    </w:p>
    <w:p w:rsidR="00DD35F7" w:rsidRPr="002551CC" w:rsidRDefault="00DD35F7" w:rsidP="002551CC">
      <w:pPr>
        <w:pStyle w:val="Sansinterligne"/>
        <w:numPr>
          <w:ilvl w:val="2"/>
          <w:numId w:val="285"/>
        </w:numPr>
        <w:rPr>
          <w:highlight w:val="yellow"/>
        </w:rPr>
      </w:pPr>
      <w:r w:rsidRPr="002551CC">
        <w:rPr>
          <w:highlight w:val="yellow"/>
        </w:rPr>
        <w:t>Positif = déficit oestrogénique (Insuffisance ovarienne, dysgénésie gonadique)</w:t>
      </w:r>
    </w:p>
    <w:p w:rsidR="00DD35F7" w:rsidRPr="002551CC" w:rsidRDefault="00DD35F7" w:rsidP="002551CC">
      <w:pPr>
        <w:pStyle w:val="Sansinterligne"/>
        <w:numPr>
          <w:ilvl w:val="2"/>
          <w:numId w:val="285"/>
        </w:numPr>
        <w:rPr>
          <w:highlight w:val="yellow"/>
        </w:rPr>
      </w:pPr>
      <w:r w:rsidRPr="002551CC">
        <w:rPr>
          <w:highlight w:val="yellow"/>
        </w:rPr>
        <w:t>Négatif = anomalie génitale (Asherman, anomalies mullériennes, Syndrome d’insensibilité aux androgènes)</w:t>
      </w:r>
    </w:p>
    <w:p w:rsidR="00DD35F7" w:rsidRDefault="00DD35F7" w:rsidP="00DD35F7">
      <w:pPr>
        <w:pStyle w:val="Sansinterligne"/>
        <w:numPr>
          <w:ilvl w:val="0"/>
          <w:numId w:val="285"/>
        </w:numPr>
      </w:pPr>
      <w:r w:rsidRPr="002551CC">
        <w:rPr>
          <w:b/>
        </w:rPr>
        <w:t>FSH / LH</w:t>
      </w:r>
      <w:r>
        <w:t xml:space="preserve"> </w:t>
      </w:r>
      <w:r>
        <w:rPr>
          <w:rFonts w:ascii="Century Gothic" w:hAnsi="Century Gothic"/>
        </w:rPr>
        <w:t xml:space="preserve">→ </w:t>
      </w:r>
      <w:r w:rsidRPr="002551CC">
        <w:rPr>
          <w:rFonts w:cs="Times New Roman"/>
        </w:rPr>
        <w:t>si ↑ : cause ovarienne, si normale ou</w:t>
      </w:r>
      <w:r>
        <w:rPr>
          <w:rFonts w:ascii="Century Gothic" w:hAnsi="Century Gothic"/>
        </w:rPr>
        <w:t xml:space="preserve"> </w:t>
      </w:r>
      <w:r>
        <w:rPr>
          <w:rFonts w:cs="Times New Roman"/>
        </w:rPr>
        <w:t>↓ : lésion hypophysaire ou hypothalamique</w:t>
      </w:r>
    </w:p>
    <w:p w:rsidR="00DD35F7" w:rsidRDefault="00DD35F7" w:rsidP="00A2112B">
      <w:pPr>
        <w:pStyle w:val="Sansinterligne"/>
        <w:rPr>
          <w:rFonts w:cs="Times New Roman"/>
        </w:rPr>
      </w:pPr>
    </w:p>
    <w:p w:rsidR="002551CC" w:rsidRDefault="002551CC" w:rsidP="00A2112B">
      <w:pPr>
        <w:pStyle w:val="Sansinterligne"/>
        <w:rPr>
          <w:rFonts w:cs="Times New Roman"/>
          <w:u w:val="single"/>
        </w:rPr>
        <w:sectPr w:rsidR="002551CC" w:rsidSect="00A35E51">
          <w:type w:val="continuous"/>
          <w:pgSz w:w="12240" w:h="15840"/>
          <w:pgMar w:top="720" w:right="720" w:bottom="720" w:left="720" w:header="708" w:footer="708" w:gutter="0"/>
          <w:cols w:space="708"/>
          <w:docGrid w:linePitch="360"/>
        </w:sectPr>
      </w:pPr>
    </w:p>
    <w:p w:rsidR="002551CC" w:rsidRDefault="002551CC" w:rsidP="00A2112B">
      <w:pPr>
        <w:pStyle w:val="Sansinterligne"/>
        <w:rPr>
          <w:rFonts w:cs="Times New Roman"/>
        </w:rPr>
      </w:pPr>
      <w:r w:rsidRPr="002551CC">
        <w:rPr>
          <w:rFonts w:cs="Times New Roman"/>
          <w:u w:val="single"/>
        </w:rPr>
        <w:t>Autres examens</w:t>
      </w:r>
      <w:r>
        <w:rPr>
          <w:rFonts w:cs="Times New Roman"/>
        </w:rPr>
        <w:t>:</w:t>
      </w:r>
    </w:p>
    <w:p w:rsidR="0059616F" w:rsidRDefault="0059616F" w:rsidP="00194D38">
      <w:pPr>
        <w:pStyle w:val="Sansinterligne"/>
        <w:numPr>
          <w:ilvl w:val="0"/>
          <w:numId w:val="286"/>
        </w:numPr>
        <w:ind w:left="360"/>
        <w:rPr>
          <w:rFonts w:cs="Times New Roman"/>
        </w:rPr>
      </w:pPr>
      <w:r w:rsidRPr="002551CC">
        <w:rPr>
          <w:rFonts w:cs="Times New Roman"/>
          <w:b/>
        </w:rPr>
        <w:t>Glycémie</w:t>
      </w:r>
      <w:r w:rsidR="009B1F2C">
        <w:rPr>
          <w:rFonts w:cs="Times New Roman"/>
        </w:rPr>
        <w:t xml:space="preserve"> </w:t>
      </w:r>
      <w:r w:rsidR="009B1F2C">
        <w:rPr>
          <w:rFonts w:ascii="Century Gothic" w:hAnsi="Century Gothic" w:cs="Times New Roman"/>
        </w:rPr>
        <w:t>→</w:t>
      </w:r>
      <w:r w:rsidR="009B1F2C">
        <w:rPr>
          <w:rFonts w:cs="Times New Roman"/>
        </w:rPr>
        <w:t xml:space="preserve"> hyperglycémie fréquente avec Syndrome de Cushing, parfois chez SOPK</w:t>
      </w:r>
    </w:p>
    <w:p w:rsidR="0059616F" w:rsidRDefault="0059616F" w:rsidP="00194D38">
      <w:pPr>
        <w:pStyle w:val="Sansinterligne"/>
        <w:numPr>
          <w:ilvl w:val="0"/>
          <w:numId w:val="286"/>
        </w:numPr>
        <w:ind w:left="360"/>
      </w:pPr>
      <w:r w:rsidRPr="002551CC">
        <w:rPr>
          <w:rFonts w:cs="Times New Roman"/>
          <w:b/>
        </w:rPr>
        <w:t>Cortisol</w:t>
      </w:r>
      <w:r w:rsidR="002551CC" w:rsidRPr="002551CC">
        <w:rPr>
          <w:rFonts w:cs="Times New Roman"/>
          <w:b/>
        </w:rPr>
        <w:t xml:space="preserve"> urinaire</w:t>
      </w:r>
      <w:r>
        <w:rPr>
          <w:rFonts w:cs="Times New Roman"/>
        </w:rPr>
        <w:t xml:space="preserve"> </w:t>
      </w:r>
      <w:r w:rsidRPr="002551CC">
        <w:rPr>
          <w:rFonts w:cs="Times New Roman"/>
          <w:b/>
        </w:rPr>
        <w:t>des 24h</w:t>
      </w:r>
    </w:p>
    <w:p w:rsidR="002151E9" w:rsidRDefault="002151E9" w:rsidP="00194D38">
      <w:pPr>
        <w:pStyle w:val="Sansinterligne"/>
        <w:numPr>
          <w:ilvl w:val="0"/>
          <w:numId w:val="286"/>
        </w:numPr>
        <w:ind w:left="360"/>
      </w:pPr>
      <w:r w:rsidRPr="002551CC">
        <w:rPr>
          <w:b/>
        </w:rPr>
        <w:t>Écho des ovaires</w:t>
      </w:r>
      <w:r w:rsidR="002551CC" w:rsidRPr="002551CC">
        <w:rPr>
          <w:b/>
        </w:rPr>
        <w:t xml:space="preserve"> (SOPK</w:t>
      </w:r>
      <w:r w:rsidR="002551CC">
        <w:t>)</w:t>
      </w:r>
    </w:p>
    <w:p w:rsidR="002151E9" w:rsidRDefault="00FC1F4A" w:rsidP="00194D38">
      <w:pPr>
        <w:pStyle w:val="Sansinterligne"/>
        <w:numPr>
          <w:ilvl w:val="0"/>
          <w:numId w:val="286"/>
        </w:numPr>
        <w:ind w:left="360"/>
      </w:pPr>
      <w:r>
        <w:t>Hystéroscopie : synéchies intra-utérines (Asherman)</w:t>
      </w:r>
    </w:p>
    <w:p w:rsidR="002551CC" w:rsidRDefault="002551CC" w:rsidP="00194D38">
      <w:pPr>
        <w:pStyle w:val="Sansinterligne"/>
        <w:numPr>
          <w:ilvl w:val="0"/>
          <w:numId w:val="286"/>
        </w:numPr>
        <w:ind w:left="360"/>
      </w:pPr>
      <w:r w:rsidRPr="002551CC">
        <w:rPr>
          <w:b/>
        </w:rPr>
        <w:t>IRM cérébrale (selle turcique)</w:t>
      </w:r>
      <w:r>
        <w:t xml:space="preserve"> </w:t>
      </w:r>
      <w:r>
        <w:rPr>
          <w:rFonts w:ascii="Century Gothic" w:hAnsi="Century Gothic"/>
        </w:rPr>
        <w:t>→</w:t>
      </w:r>
      <w:r>
        <w:t xml:space="preserve"> si céphalées/troubles visuels/galactorrhée (lésion hypophysaire)</w:t>
      </w:r>
    </w:p>
    <w:p w:rsidR="002151E9" w:rsidRDefault="002151E9" w:rsidP="00114A62">
      <w:pPr>
        <w:pStyle w:val="Sansinterligne"/>
      </w:pPr>
    </w:p>
    <w:p w:rsidR="002151E9" w:rsidRPr="002551CC" w:rsidRDefault="002551CC" w:rsidP="00114A62">
      <w:pPr>
        <w:pStyle w:val="Sansinterligne"/>
        <w:rPr>
          <w:u w:val="single"/>
        </w:rPr>
      </w:pPr>
      <w:r w:rsidRPr="002551CC">
        <w:rPr>
          <w:b/>
          <w:u w:val="single"/>
        </w:rPr>
        <w:t>Indications du caryotype</w:t>
      </w:r>
      <w:r w:rsidRPr="002551CC">
        <w:rPr>
          <w:u w:val="single"/>
        </w:rPr>
        <w:t> :</w:t>
      </w:r>
    </w:p>
    <w:p w:rsidR="002551CC" w:rsidRDefault="002551CC" w:rsidP="00194D38">
      <w:pPr>
        <w:pStyle w:val="Sansinterligne"/>
        <w:numPr>
          <w:ilvl w:val="0"/>
          <w:numId w:val="286"/>
        </w:numPr>
        <w:ind w:left="360"/>
      </w:pPr>
      <w:r>
        <w:t xml:space="preserve">Insuffisance ovarienne </w:t>
      </w:r>
      <w:r>
        <w:rPr>
          <w:rFonts w:ascii="Century Gothic" w:hAnsi="Century Gothic"/>
        </w:rPr>
        <w:t>&lt;</w:t>
      </w:r>
      <w:r>
        <w:t xml:space="preserve"> 30 ans</w:t>
      </w:r>
    </w:p>
    <w:p w:rsidR="002551CC" w:rsidRDefault="002551CC" w:rsidP="00194D38">
      <w:pPr>
        <w:pStyle w:val="Sansinterligne"/>
        <w:numPr>
          <w:ilvl w:val="0"/>
          <w:numId w:val="286"/>
        </w:numPr>
        <w:ind w:left="360"/>
      </w:pPr>
      <w:r>
        <w:t xml:space="preserve">Insuffisance ovarienne et taille </w:t>
      </w:r>
      <w:r>
        <w:rPr>
          <w:rFonts w:ascii="Century Gothic" w:hAnsi="Century Gothic"/>
        </w:rPr>
        <w:t>&lt;</w:t>
      </w:r>
      <w:r>
        <w:t xml:space="preserve"> 160 cm (5 pieds 3 pouces)</w:t>
      </w:r>
    </w:p>
    <w:p w:rsidR="002551CC" w:rsidRDefault="002551CC" w:rsidP="00194D38">
      <w:pPr>
        <w:pStyle w:val="Sansinterligne"/>
        <w:numPr>
          <w:ilvl w:val="0"/>
          <w:numId w:val="286"/>
        </w:numPr>
        <w:ind w:left="360"/>
      </w:pPr>
      <w:r>
        <w:t xml:space="preserve">Femme et taille </w:t>
      </w:r>
      <w:r>
        <w:rPr>
          <w:rFonts w:ascii="Century Gothic" w:hAnsi="Century Gothic"/>
        </w:rPr>
        <w:t>&lt;</w:t>
      </w:r>
      <w:r>
        <w:t xml:space="preserve"> 152 cm</w:t>
      </w:r>
    </w:p>
    <w:p w:rsidR="002551CC" w:rsidRDefault="002551CC" w:rsidP="00194D38">
      <w:pPr>
        <w:pStyle w:val="Sansinterligne"/>
        <w:numPr>
          <w:ilvl w:val="0"/>
          <w:numId w:val="286"/>
        </w:numPr>
        <w:ind w:left="360"/>
      </w:pPr>
      <w:r>
        <w:t>Suspicion de syndrome de Turner</w:t>
      </w:r>
    </w:p>
    <w:p w:rsidR="002551CC" w:rsidRDefault="00134336" w:rsidP="00194D38">
      <w:pPr>
        <w:pStyle w:val="Sansinterligne"/>
        <w:numPr>
          <w:ilvl w:val="0"/>
          <w:numId w:val="286"/>
        </w:numPr>
        <w:ind w:left="360"/>
        <w:sectPr w:rsidR="002551CC" w:rsidSect="002551CC">
          <w:type w:val="continuous"/>
          <w:pgSz w:w="12240" w:h="15840"/>
          <w:pgMar w:top="720" w:right="720" w:bottom="720" w:left="720" w:header="708" w:footer="708" w:gutter="0"/>
          <w:cols w:num="2" w:space="708"/>
          <w:docGrid w:linePitch="360"/>
        </w:sectPr>
      </w:pPr>
      <w:r>
        <w:rPr>
          <w:noProof/>
          <w:lang w:eastAsia="fr-CA"/>
        </w:rPr>
        <w:drawing>
          <wp:anchor distT="0" distB="0" distL="114300" distR="114300" simplePos="0" relativeHeight="251738112" behindDoc="0" locked="0" layoutInCell="1" allowOverlap="1" wp14:anchorId="7013E65B" wp14:editId="46791B02">
            <wp:simplePos x="0" y="0"/>
            <wp:positionH relativeFrom="column">
              <wp:posOffset>567055</wp:posOffset>
            </wp:positionH>
            <wp:positionV relativeFrom="paragraph">
              <wp:posOffset>252095</wp:posOffset>
            </wp:positionV>
            <wp:extent cx="2149475" cy="1689735"/>
            <wp:effectExtent l="0" t="0" r="3175" b="5715"/>
            <wp:wrapNone/>
            <wp:docPr id="259" name="Image 259" descr="Résultats de recherche d'images pour « syndrome de turne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ésultats de recherche d'images pour « syndrome de turner »"/>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2149475" cy="1689735"/>
                    </a:xfrm>
                    <a:prstGeom prst="rect">
                      <a:avLst/>
                    </a:prstGeom>
                    <a:noFill/>
                    <a:ln>
                      <a:noFill/>
                    </a:ln>
                  </pic:spPr>
                </pic:pic>
              </a:graphicData>
            </a:graphic>
            <wp14:sizeRelH relativeFrom="page">
              <wp14:pctWidth>0</wp14:pctWidth>
            </wp14:sizeRelH>
            <wp14:sizeRelV relativeFrom="page">
              <wp14:pctHeight>0</wp14:pctHeight>
            </wp14:sizeRelV>
          </wp:anchor>
        </w:drawing>
      </w:r>
      <w:r w:rsidR="002551CC">
        <w:t xml:space="preserve">Aménorrhée primaire + absence d’utérus </w:t>
      </w:r>
    </w:p>
    <w:p w:rsidR="002551CC" w:rsidRDefault="002551CC" w:rsidP="00A2112B">
      <w:pPr>
        <w:pStyle w:val="Sansinterligne"/>
      </w:pPr>
    </w:p>
    <w:p w:rsidR="00A2112B" w:rsidRPr="00A2112B" w:rsidRDefault="00A2112B" w:rsidP="00A2112B">
      <w:pPr>
        <w:pStyle w:val="Sansinterligne"/>
        <w:rPr>
          <w:b/>
          <w:sz w:val="28"/>
          <w:szCs w:val="28"/>
        </w:rPr>
      </w:pPr>
      <w:r w:rsidRPr="00A2112B">
        <w:rPr>
          <w:b/>
          <w:sz w:val="28"/>
          <w:szCs w:val="28"/>
        </w:rPr>
        <w:t>Prise en charge</w:t>
      </w:r>
    </w:p>
    <w:p w:rsidR="00A2112B" w:rsidRDefault="00A2112B" w:rsidP="00A2112B">
      <w:pPr>
        <w:pStyle w:val="Sansinterligne"/>
      </w:pPr>
    </w:p>
    <w:p w:rsidR="00F17BF5" w:rsidRPr="00F36611" w:rsidRDefault="00A2112B" w:rsidP="00A2112B">
      <w:pPr>
        <w:pStyle w:val="Sansinterligne"/>
        <w:rPr>
          <w:u w:val="single"/>
        </w:rPr>
      </w:pPr>
      <w:r w:rsidRPr="00F17BF5">
        <w:rPr>
          <w:u w:val="single"/>
        </w:rPr>
        <w:t>De la grossesse</w:t>
      </w:r>
    </w:p>
    <w:p w:rsidR="00F17BF5" w:rsidRDefault="00F17BF5" w:rsidP="00194D38">
      <w:pPr>
        <w:pStyle w:val="Sansinterligne"/>
        <w:numPr>
          <w:ilvl w:val="0"/>
          <w:numId w:val="287"/>
        </w:numPr>
      </w:pPr>
      <w:r>
        <w:t>Écho dating</w:t>
      </w:r>
    </w:p>
    <w:p w:rsidR="00F17BF5" w:rsidRDefault="00F17BF5" w:rsidP="00194D38">
      <w:pPr>
        <w:pStyle w:val="Sansinterligne"/>
        <w:numPr>
          <w:ilvl w:val="0"/>
          <w:numId w:val="287"/>
        </w:numPr>
      </w:pPr>
      <w:r>
        <w:t>Référence pour suivi par médecin de famille ou obstétricien si ATCD</w:t>
      </w:r>
    </w:p>
    <w:p w:rsidR="00F17BF5" w:rsidRDefault="00F17BF5" w:rsidP="00194D38">
      <w:pPr>
        <w:pStyle w:val="Sansinterligne"/>
        <w:numPr>
          <w:ilvl w:val="0"/>
          <w:numId w:val="287"/>
        </w:numPr>
      </w:pPr>
      <w:r>
        <w:t>obstétricaux le justifie.</w:t>
      </w:r>
    </w:p>
    <w:p w:rsidR="00F17BF5" w:rsidRDefault="00F17BF5" w:rsidP="00194D38">
      <w:pPr>
        <w:pStyle w:val="Sansinterligne"/>
        <w:numPr>
          <w:ilvl w:val="0"/>
          <w:numId w:val="287"/>
        </w:numPr>
      </w:pPr>
      <w:r>
        <w:t>Référence urgente en gynécologie si ectopique.</w:t>
      </w:r>
    </w:p>
    <w:p w:rsidR="00F17BF5" w:rsidRDefault="00F17BF5" w:rsidP="00A2112B">
      <w:pPr>
        <w:pStyle w:val="Sansinterligne"/>
      </w:pPr>
    </w:p>
    <w:p w:rsidR="00F36364" w:rsidRPr="00F36611" w:rsidRDefault="00A2112B" w:rsidP="00A2112B">
      <w:pPr>
        <w:pStyle w:val="Sansinterligne"/>
        <w:rPr>
          <w:u w:val="single"/>
        </w:rPr>
      </w:pPr>
      <w:r w:rsidRPr="00F36364">
        <w:rPr>
          <w:u w:val="single"/>
        </w:rPr>
        <w:t>De l’aménorrhée primaire (référence)</w:t>
      </w:r>
    </w:p>
    <w:p w:rsidR="00F36364" w:rsidRPr="0097329E" w:rsidRDefault="00F36364" w:rsidP="00194D38">
      <w:pPr>
        <w:pStyle w:val="Sansinterligne"/>
        <w:numPr>
          <w:ilvl w:val="0"/>
          <w:numId w:val="288"/>
        </w:numPr>
        <w:rPr>
          <w:highlight w:val="yellow"/>
        </w:rPr>
      </w:pPr>
      <w:r w:rsidRPr="0097329E">
        <w:rPr>
          <w:b/>
          <w:highlight w:val="yellow"/>
        </w:rPr>
        <w:t>Hymen imperforé ou septum vaginal transverse</w:t>
      </w:r>
      <w:r w:rsidRPr="0097329E">
        <w:rPr>
          <w:highlight w:val="yellow"/>
        </w:rPr>
        <w:t> : référence en gynécologie pour incision cruciforme</w:t>
      </w:r>
    </w:p>
    <w:p w:rsidR="00F36364" w:rsidRPr="0097329E" w:rsidRDefault="00F36364" w:rsidP="00194D38">
      <w:pPr>
        <w:pStyle w:val="Sansinterligne"/>
        <w:numPr>
          <w:ilvl w:val="0"/>
          <w:numId w:val="288"/>
        </w:numPr>
        <w:rPr>
          <w:highlight w:val="yellow"/>
        </w:rPr>
      </w:pPr>
      <w:r w:rsidRPr="0097329E">
        <w:rPr>
          <w:b/>
          <w:highlight w:val="yellow"/>
        </w:rPr>
        <w:t>SOPK</w:t>
      </w:r>
      <w:r w:rsidR="00F36611" w:rsidRPr="0097329E">
        <w:rPr>
          <w:b/>
          <w:highlight w:val="yellow"/>
        </w:rPr>
        <w:t>, hyperplasie congénitale des surrénales</w:t>
      </w:r>
      <w:r w:rsidRPr="0097329E">
        <w:rPr>
          <w:highlight w:val="yellow"/>
        </w:rPr>
        <w:t xml:space="preserve"> </w:t>
      </w:r>
      <w:r w:rsidRPr="0097329E">
        <w:rPr>
          <w:rFonts w:ascii="Century Gothic" w:hAnsi="Century Gothic"/>
          <w:highlight w:val="yellow"/>
        </w:rPr>
        <w:t>→</w:t>
      </w:r>
      <w:r w:rsidRPr="0097329E">
        <w:rPr>
          <w:highlight w:val="yellow"/>
        </w:rPr>
        <w:t xml:space="preserve"> </w:t>
      </w:r>
      <w:r w:rsidR="00F36611" w:rsidRPr="0097329E">
        <w:rPr>
          <w:highlight w:val="yellow"/>
        </w:rPr>
        <w:t>COC ou progestérone pour prévenir néoplasie de l’endomètre</w:t>
      </w:r>
      <w:r w:rsidRPr="0097329E">
        <w:rPr>
          <w:highlight w:val="yellow"/>
        </w:rPr>
        <w:t xml:space="preserve"> + perte de poids </w:t>
      </w:r>
      <w:r w:rsidR="00F36611" w:rsidRPr="0097329E">
        <w:rPr>
          <w:highlight w:val="yellow"/>
        </w:rPr>
        <w:t xml:space="preserve">(SOPK) </w:t>
      </w:r>
      <w:r w:rsidRPr="0097329E">
        <w:rPr>
          <w:highlight w:val="yellow"/>
        </w:rPr>
        <w:t>et suivi</w:t>
      </w:r>
    </w:p>
    <w:p w:rsidR="00F36364" w:rsidRDefault="00F36364" w:rsidP="00194D38">
      <w:pPr>
        <w:pStyle w:val="Sansinterligne"/>
        <w:numPr>
          <w:ilvl w:val="0"/>
          <w:numId w:val="288"/>
        </w:numPr>
      </w:pPr>
      <w:r>
        <w:t>Référence en pédiatrie si approprié (dysgénésie</w:t>
      </w:r>
      <w:r w:rsidR="00F36611">
        <w:t xml:space="preserve"> gonadique</w:t>
      </w:r>
      <w:r>
        <w:t>,</w:t>
      </w:r>
      <w:r w:rsidR="00F36611">
        <w:t xml:space="preserve"> agénésie structurelles,</w:t>
      </w:r>
      <w:r>
        <w:t xml:space="preserve"> syndrome de Turner et Kallmann)</w:t>
      </w:r>
    </w:p>
    <w:p w:rsidR="00F36364" w:rsidRDefault="00F36364" w:rsidP="00194D38">
      <w:pPr>
        <w:pStyle w:val="Sansinterligne"/>
        <w:numPr>
          <w:ilvl w:val="0"/>
          <w:numId w:val="288"/>
        </w:numPr>
      </w:pPr>
      <w:r>
        <w:t>Référence en chirurgie pour résection des gonades si caryotype avec Y (prévention de néoplasie)</w:t>
      </w:r>
    </w:p>
    <w:p w:rsidR="00F36364" w:rsidRDefault="00F36364" w:rsidP="00A2112B">
      <w:pPr>
        <w:pStyle w:val="Sansinterligne"/>
      </w:pPr>
    </w:p>
    <w:p w:rsidR="00A2112B" w:rsidRPr="00F36364" w:rsidRDefault="00A2112B" w:rsidP="00A2112B">
      <w:pPr>
        <w:pStyle w:val="Sansinterligne"/>
        <w:rPr>
          <w:u w:val="single"/>
        </w:rPr>
      </w:pPr>
      <w:r w:rsidRPr="00F36364">
        <w:rPr>
          <w:u w:val="single"/>
        </w:rPr>
        <w:t>De l’aménorrhée 2</w:t>
      </w:r>
      <w:r w:rsidRPr="00354C17">
        <w:rPr>
          <w:u w:val="single"/>
          <w:vertAlign w:val="superscript"/>
        </w:rPr>
        <w:t xml:space="preserve">aire </w:t>
      </w:r>
    </w:p>
    <w:p w:rsidR="00F36364" w:rsidRPr="0097329E" w:rsidRDefault="00F36364" w:rsidP="00194D38">
      <w:pPr>
        <w:pStyle w:val="Sansinterligne"/>
        <w:numPr>
          <w:ilvl w:val="0"/>
          <w:numId w:val="289"/>
        </w:numPr>
        <w:rPr>
          <w:highlight w:val="yellow"/>
        </w:rPr>
      </w:pPr>
      <w:r w:rsidRPr="0097329E">
        <w:rPr>
          <w:b/>
          <w:highlight w:val="yellow"/>
        </w:rPr>
        <w:t>Insuffisance ovarienne, dysgénésie gonadique</w:t>
      </w:r>
      <w:r w:rsidRPr="0097329E">
        <w:rPr>
          <w:highlight w:val="yellow"/>
        </w:rPr>
        <w:t xml:space="preserve"> </w:t>
      </w:r>
      <w:r w:rsidRPr="0097329E">
        <w:rPr>
          <w:rFonts w:ascii="Century Gothic" w:hAnsi="Century Gothic"/>
          <w:highlight w:val="yellow"/>
        </w:rPr>
        <w:t>→</w:t>
      </w:r>
      <w:r w:rsidRPr="0097329E">
        <w:rPr>
          <w:highlight w:val="yellow"/>
        </w:rPr>
        <w:t xml:space="preserve"> COC + supplémentation vitamine D/Calcium</w:t>
      </w:r>
    </w:p>
    <w:p w:rsidR="00F36364" w:rsidRPr="0097329E" w:rsidRDefault="00F36364" w:rsidP="00194D38">
      <w:pPr>
        <w:pStyle w:val="Sansinterligne"/>
        <w:numPr>
          <w:ilvl w:val="0"/>
          <w:numId w:val="289"/>
        </w:numPr>
        <w:rPr>
          <w:highlight w:val="yellow"/>
        </w:rPr>
      </w:pPr>
      <w:r w:rsidRPr="0097329E">
        <w:rPr>
          <w:b/>
          <w:highlight w:val="yellow"/>
        </w:rPr>
        <w:t>Aménorrhée fonctionnelle hypothalamique</w:t>
      </w:r>
      <w:r w:rsidRPr="0097329E">
        <w:rPr>
          <w:highlight w:val="yellow"/>
        </w:rPr>
        <w:t> : modifier le comportement en cause</w:t>
      </w:r>
    </w:p>
    <w:p w:rsidR="00F36364" w:rsidRPr="0097329E" w:rsidRDefault="00F36364" w:rsidP="00194D38">
      <w:pPr>
        <w:pStyle w:val="Sansinterligne"/>
        <w:numPr>
          <w:ilvl w:val="0"/>
          <w:numId w:val="289"/>
        </w:numPr>
        <w:rPr>
          <w:highlight w:val="yellow"/>
        </w:rPr>
      </w:pPr>
      <w:r w:rsidRPr="0097329E">
        <w:rPr>
          <w:b/>
          <w:highlight w:val="yellow"/>
        </w:rPr>
        <w:t>Syndrome de Sheehan</w:t>
      </w:r>
      <w:r w:rsidRPr="0097329E">
        <w:rPr>
          <w:highlight w:val="yellow"/>
        </w:rPr>
        <w:t> : remplacement des hormones déficientes</w:t>
      </w:r>
      <w:r w:rsidR="00F36611" w:rsidRPr="0097329E">
        <w:rPr>
          <w:highlight w:val="yellow"/>
        </w:rPr>
        <w:t>, référence en endocrinologie</w:t>
      </w:r>
    </w:p>
    <w:p w:rsidR="00F36364" w:rsidRDefault="00F36611" w:rsidP="00194D38">
      <w:pPr>
        <w:pStyle w:val="Sansinterligne"/>
        <w:numPr>
          <w:ilvl w:val="0"/>
          <w:numId w:val="289"/>
        </w:numPr>
      </w:pPr>
      <w:r>
        <w:t xml:space="preserve">Adénome hypophysaire ou surrénalien </w:t>
      </w:r>
      <w:r>
        <w:rPr>
          <w:rFonts w:ascii="Century Gothic" w:hAnsi="Century Gothic"/>
        </w:rPr>
        <w:t>→</w:t>
      </w:r>
      <w:r>
        <w:t xml:space="preserve"> référence en endocrinologie </w:t>
      </w:r>
      <w:r>
        <w:rPr>
          <w:rFonts w:cs="Times New Roman"/>
        </w:rPr>
        <w:t>±</w:t>
      </w:r>
      <w:r>
        <w:t xml:space="preserve"> neurochirurgie</w:t>
      </w:r>
    </w:p>
    <w:p w:rsidR="00A2112B" w:rsidRPr="00D70C09" w:rsidRDefault="00A2112B" w:rsidP="00194D38">
      <w:pPr>
        <w:pStyle w:val="Sansinterligne"/>
        <w:numPr>
          <w:ilvl w:val="0"/>
          <w:numId w:val="289"/>
        </w:numPr>
        <w:rPr>
          <w:highlight w:val="yellow"/>
        </w:rPr>
      </w:pPr>
      <w:r w:rsidRPr="00D70C09">
        <w:rPr>
          <w:highlight w:val="yellow"/>
        </w:rPr>
        <w:t>Enseignement</w:t>
      </w:r>
      <w:r w:rsidR="00F36611" w:rsidRPr="00D70C09">
        <w:rPr>
          <w:highlight w:val="yellow"/>
        </w:rPr>
        <w:t xml:space="preserve"> sur la condition évidemment !</w:t>
      </w:r>
    </w:p>
    <w:p w:rsidR="002713DF" w:rsidRDefault="002713DF" w:rsidP="00F62E2A">
      <w:pPr>
        <w:pStyle w:val="Sansinterligne"/>
        <w:rPr>
          <w:rFonts w:cs="Times New Roman"/>
          <w:b/>
          <w:color w:val="548DD4" w:themeColor="text2" w:themeTint="99"/>
        </w:rPr>
      </w:pPr>
      <w:r>
        <w:rPr>
          <w:rFonts w:cs="Times New Roman"/>
          <w:b/>
          <w:color w:val="548DD4" w:themeColor="text2" w:themeTint="99"/>
        </w:rPr>
        <w:t>CMC 56-2</w:t>
      </w:r>
    </w:p>
    <w:p w:rsidR="002713DF" w:rsidRPr="00F866BD" w:rsidRDefault="002713DF" w:rsidP="00F866BD">
      <w:pPr>
        <w:pStyle w:val="Titre3"/>
        <w:spacing w:before="0"/>
        <w:rPr>
          <w:rFonts w:ascii="Times New Roman" w:hAnsi="Times New Roman" w:cs="Times New Roman"/>
        </w:rPr>
      </w:pPr>
      <w:bookmarkStart w:id="174" w:name="_Toc480797293"/>
      <w:r w:rsidRPr="00F866BD">
        <w:rPr>
          <w:rFonts w:ascii="Times New Roman" w:hAnsi="Times New Roman" w:cs="Times New Roman"/>
        </w:rPr>
        <w:t>Dysménorrhée</w:t>
      </w:r>
      <w:bookmarkEnd w:id="174"/>
    </w:p>
    <w:tbl>
      <w:tblPr>
        <w:tblW w:w="3858" w:type="pct"/>
        <w:tblCellSpacing w:w="0" w:type="dxa"/>
        <w:tblCellMar>
          <w:left w:w="0" w:type="dxa"/>
          <w:right w:w="0" w:type="dxa"/>
        </w:tblCellMar>
        <w:tblLook w:val="04A0" w:firstRow="1" w:lastRow="0" w:firstColumn="1" w:lastColumn="0" w:noHBand="0" w:noVBand="1"/>
      </w:tblPr>
      <w:tblGrid>
        <w:gridCol w:w="8333"/>
      </w:tblGrid>
      <w:tr w:rsidR="002713DF" w:rsidRPr="00F866BD" w:rsidTr="002713DF">
        <w:trPr>
          <w:tblCellSpacing w:w="0" w:type="dxa"/>
        </w:trPr>
        <w:tc>
          <w:tcPr>
            <w:tcW w:w="0" w:type="auto"/>
            <w:vAlign w:val="bottom"/>
            <w:hideMark/>
          </w:tcPr>
          <w:bookmarkStart w:id="175" w:name="_Toc475198228"/>
          <w:bookmarkStart w:id="176" w:name="_Toc475563852"/>
          <w:p w:rsidR="002713DF" w:rsidRPr="00142FB5" w:rsidRDefault="001C7C4B" w:rsidP="00142FB5">
            <w:pPr>
              <w:pStyle w:val="Sansinterligne"/>
              <w:spacing w:before="240"/>
              <w:rPr>
                <w:b/>
                <w:sz w:val="18"/>
                <w:szCs w:val="18"/>
              </w:rPr>
            </w:pPr>
            <w:r w:rsidRPr="00142FB5">
              <w:rPr>
                <w:b/>
                <w:noProof/>
                <w:sz w:val="18"/>
                <w:szCs w:val="18"/>
                <w:lang w:eastAsia="fr-CA"/>
              </w:rPr>
              <mc:AlternateContent>
                <mc:Choice Requires="wps">
                  <w:drawing>
                    <wp:anchor distT="0" distB="0" distL="114300" distR="114300" simplePos="0" relativeHeight="251744256" behindDoc="0" locked="0" layoutInCell="1" allowOverlap="1" wp14:anchorId="2F0DEF93" wp14:editId="44AC97B2">
                      <wp:simplePos x="0" y="0"/>
                      <wp:positionH relativeFrom="column">
                        <wp:posOffset>-38911</wp:posOffset>
                      </wp:positionH>
                      <wp:positionV relativeFrom="paragraph">
                        <wp:posOffset>89900</wp:posOffset>
                      </wp:positionV>
                      <wp:extent cx="6809362" cy="2714017"/>
                      <wp:effectExtent l="0" t="0" r="10795" b="10160"/>
                      <wp:wrapNone/>
                      <wp:docPr id="263" name="Rectangle 263"/>
                      <wp:cNvGraphicFramePr/>
                      <a:graphic xmlns:a="http://schemas.openxmlformats.org/drawingml/2006/main">
                        <a:graphicData uri="http://schemas.microsoft.com/office/word/2010/wordprocessingShape">
                          <wps:wsp>
                            <wps:cNvSpPr/>
                            <wps:spPr>
                              <a:xfrm>
                                <a:off x="0" y="0"/>
                                <a:ext cx="6809362" cy="2714017"/>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63" o:spid="_x0000_s1026" style="position:absolute;margin-left:-3.05pt;margin-top:7.1pt;width:536.15pt;height:213.7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" filled="f" strokecolor="black [1600]" strokeweight="2pt"/>
                  </w:pict>
                </mc:Fallback>
              </mc:AlternateContent>
            </w:r>
            <w:r w:rsidR="002713DF" w:rsidRPr="00142FB5">
              <w:rPr>
                <w:b/>
                <w:sz w:val="18"/>
                <w:szCs w:val="18"/>
              </w:rPr>
              <w:t>Objectifs principaux</w:t>
            </w:r>
            <w:bookmarkEnd w:id="175"/>
            <w:bookmarkEnd w:id="176"/>
          </w:p>
        </w:tc>
      </w:tr>
    </w:tbl>
    <w:p w:rsidR="002713DF" w:rsidRPr="00F866BD" w:rsidRDefault="002713DF" w:rsidP="002713DF">
      <w:pPr>
        <w:pStyle w:val="NormalWeb"/>
        <w:ind w:left="360"/>
        <w:rPr>
          <w:color w:val="000000"/>
          <w:sz w:val="18"/>
          <w:szCs w:val="18"/>
          <w:shd w:val="clear" w:color="auto" w:fill="FFFFFF"/>
        </w:rPr>
      </w:pPr>
      <w:r w:rsidRPr="00F866BD">
        <w:rPr>
          <w:color w:val="000000"/>
          <w:sz w:val="18"/>
          <w:szCs w:val="18"/>
          <w:shd w:val="clear" w:color="auto" w:fill="FFFFFF"/>
        </w:rPr>
        <w:t>Dans le cas d'une patiente ayant une dysménorrhée, le candidat devra en diagnostiquer la cause, la gravité et les complications, et mettre en place un plan de prise en charge approprié. Il devra en particulier distinguer une dysménorrhée primaire d'une dysménorrhée secondaire.</w:t>
      </w:r>
    </w:p>
    <w:tbl>
      <w:tblPr>
        <w:tblW w:w="3925" w:type="pct"/>
        <w:tblCellSpacing w:w="0" w:type="dxa"/>
        <w:tblCellMar>
          <w:left w:w="0" w:type="dxa"/>
          <w:right w:w="0" w:type="dxa"/>
        </w:tblCellMar>
        <w:tblLook w:val="04A0" w:firstRow="1" w:lastRow="0" w:firstColumn="1" w:lastColumn="0" w:noHBand="0" w:noVBand="1"/>
      </w:tblPr>
      <w:tblGrid>
        <w:gridCol w:w="8478"/>
      </w:tblGrid>
      <w:tr w:rsidR="002713DF" w:rsidRPr="002713DF" w:rsidTr="002713DF">
        <w:trPr>
          <w:tblCellSpacing w:w="0" w:type="dxa"/>
        </w:trPr>
        <w:tc>
          <w:tcPr>
            <w:tcW w:w="0" w:type="auto"/>
            <w:vAlign w:val="bottom"/>
            <w:hideMark/>
          </w:tcPr>
          <w:p w:rsidR="002713DF" w:rsidRPr="00142FB5" w:rsidRDefault="002713DF" w:rsidP="00142FB5">
            <w:pPr>
              <w:pStyle w:val="Sansinterligne"/>
              <w:rPr>
                <w:b/>
                <w:sz w:val="16"/>
                <w:szCs w:val="16"/>
              </w:rPr>
            </w:pPr>
            <w:bookmarkStart w:id="177" w:name="_Toc475198229"/>
            <w:bookmarkStart w:id="178" w:name="_Toc475563853"/>
            <w:r w:rsidRPr="00142FB5">
              <w:rPr>
                <w:b/>
                <w:sz w:val="16"/>
                <w:szCs w:val="16"/>
              </w:rPr>
              <w:t>Objectifs spécifiques</w:t>
            </w:r>
            <w:bookmarkEnd w:id="177"/>
            <w:bookmarkEnd w:id="178"/>
          </w:p>
        </w:tc>
      </w:tr>
    </w:tbl>
    <w:p w:rsidR="002713DF" w:rsidRPr="002713DF" w:rsidRDefault="002713DF" w:rsidP="00AE35CD">
      <w:pPr>
        <w:pStyle w:val="NormalWeb"/>
        <w:shd w:val="clear" w:color="auto" w:fill="FFFFFF"/>
        <w:spacing w:after="0" w:afterAutospacing="0"/>
        <w:ind w:left="360"/>
        <w:rPr>
          <w:color w:val="000000"/>
          <w:sz w:val="16"/>
          <w:szCs w:val="16"/>
          <w:shd w:val="clear" w:color="auto" w:fill="FFFFFF"/>
        </w:rPr>
      </w:pPr>
      <w:r w:rsidRPr="002713DF">
        <w:rPr>
          <w:color w:val="000000"/>
          <w:sz w:val="16"/>
          <w:szCs w:val="16"/>
          <w:shd w:val="clear" w:color="auto" w:fill="FFFFFF"/>
        </w:rPr>
        <w:t>Dans le cas d'une patiente ayant une dysménorrhée, le candidat devra :</w:t>
      </w:r>
    </w:p>
    <w:p w:rsidR="002713DF" w:rsidRPr="002713DF" w:rsidRDefault="002713DF" w:rsidP="00194D38">
      <w:pPr>
        <w:numPr>
          <w:ilvl w:val="0"/>
          <w:numId w:val="300"/>
        </w:numPr>
        <w:shd w:val="clear" w:color="auto" w:fill="FFFFFF"/>
        <w:spacing w:after="100" w:afterAutospacing="1" w:line="240" w:lineRule="auto"/>
        <w:rPr>
          <w:rFonts w:cs="Times New Roman"/>
          <w:color w:val="000000"/>
          <w:sz w:val="16"/>
          <w:szCs w:val="16"/>
          <w:shd w:val="clear" w:color="auto" w:fill="FFFFFF"/>
        </w:rPr>
      </w:pPr>
      <w:r w:rsidRPr="002713DF">
        <w:rPr>
          <w:rFonts w:cs="Times New Roman"/>
          <w:color w:val="000000"/>
          <w:sz w:val="16"/>
          <w:szCs w:val="16"/>
          <w:shd w:val="clear" w:color="auto" w:fill="FFFFFF"/>
        </w:rPr>
        <w:t>énumérer et interpréter les constatations cliniques cruciales, notamment :</w:t>
      </w:r>
    </w:p>
    <w:p w:rsidR="002713DF" w:rsidRPr="002713DF" w:rsidRDefault="002713DF" w:rsidP="00194D38">
      <w:pPr>
        <w:numPr>
          <w:ilvl w:val="1"/>
          <w:numId w:val="300"/>
        </w:numPr>
        <w:shd w:val="clear" w:color="auto" w:fill="FFFFFF"/>
        <w:spacing w:before="100" w:beforeAutospacing="1" w:after="100" w:afterAutospacing="1" w:line="240" w:lineRule="auto"/>
        <w:rPr>
          <w:rFonts w:cs="Times New Roman"/>
          <w:color w:val="000000"/>
          <w:sz w:val="16"/>
          <w:szCs w:val="16"/>
          <w:shd w:val="clear" w:color="auto" w:fill="FFFFFF"/>
        </w:rPr>
      </w:pPr>
      <w:r w:rsidRPr="002713DF">
        <w:rPr>
          <w:rFonts w:cs="Times New Roman"/>
          <w:color w:val="000000"/>
          <w:sz w:val="16"/>
          <w:szCs w:val="16"/>
          <w:shd w:val="clear" w:color="auto" w:fill="FFFFFF"/>
        </w:rPr>
        <w:t>faire une anamnèse de la qualité et du moment de la douleur relativement aux saignements;</w:t>
      </w:r>
    </w:p>
    <w:p w:rsidR="002713DF" w:rsidRPr="002713DF" w:rsidRDefault="002713DF" w:rsidP="00194D38">
      <w:pPr>
        <w:numPr>
          <w:ilvl w:val="1"/>
          <w:numId w:val="300"/>
        </w:numPr>
        <w:shd w:val="clear" w:color="auto" w:fill="FFFFFF"/>
        <w:spacing w:before="100" w:beforeAutospacing="1" w:after="100" w:afterAutospacing="1" w:line="240" w:lineRule="auto"/>
        <w:rPr>
          <w:rFonts w:cs="Times New Roman"/>
          <w:color w:val="000000"/>
          <w:sz w:val="16"/>
          <w:szCs w:val="16"/>
          <w:shd w:val="clear" w:color="auto" w:fill="FFFFFF"/>
        </w:rPr>
      </w:pPr>
      <w:r w:rsidRPr="002713DF">
        <w:rPr>
          <w:rFonts w:cs="Times New Roman"/>
          <w:color w:val="000000"/>
          <w:sz w:val="16"/>
          <w:szCs w:val="16"/>
          <w:shd w:val="clear" w:color="auto" w:fill="FFFFFF"/>
        </w:rPr>
        <w:t>distinguer une dysménorrhée primaire d'une dysménorrhée secondaire;</w:t>
      </w:r>
    </w:p>
    <w:p w:rsidR="002713DF" w:rsidRPr="002713DF" w:rsidRDefault="002713DF" w:rsidP="00194D38">
      <w:pPr>
        <w:numPr>
          <w:ilvl w:val="1"/>
          <w:numId w:val="300"/>
        </w:numPr>
        <w:shd w:val="clear" w:color="auto" w:fill="FFFFFF"/>
        <w:spacing w:before="100" w:beforeAutospacing="1" w:after="100" w:afterAutospacing="1" w:line="240" w:lineRule="auto"/>
        <w:rPr>
          <w:rFonts w:cs="Times New Roman"/>
          <w:color w:val="000000"/>
          <w:sz w:val="16"/>
          <w:szCs w:val="16"/>
          <w:shd w:val="clear" w:color="auto" w:fill="FFFFFF"/>
        </w:rPr>
      </w:pPr>
      <w:bookmarkStart w:id="179" w:name="Objectifssp%C3%A9cifiques1.3"/>
      <w:r w:rsidRPr="002713DF">
        <w:rPr>
          <w:rFonts w:cs="Times New Roman"/>
          <w:color w:val="000000"/>
          <w:sz w:val="16"/>
          <w:szCs w:val="16"/>
          <w:shd w:val="clear" w:color="auto" w:fill="FFFFFF"/>
        </w:rPr>
        <w:t>effectuer un examen pelvien, afin d'exclure des causes possibles de dysménorrhée secondaire;</w:t>
      </w:r>
    </w:p>
    <w:bookmarkEnd w:id="179"/>
    <w:p w:rsidR="002713DF" w:rsidRPr="002713DF" w:rsidRDefault="002713DF" w:rsidP="00194D38">
      <w:pPr>
        <w:numPr>
          <w:ilvl w:val="0"/>
          <w:numId w:val="300"/>
        </w:numPr>
        <w:shd w:val="clear" w:color="auto" w:fill="FFFFFF"/>
        <w:spacing w:before="100" w:beforeAutospacing="1" w:after="100" w:afterAutospacing="1" w:line="240" w:lineRule="auto"/>
        <w:rPr>
          <w:rFonts w:cs="Times New Roman"/>
          <w:color w:val="000000"/>
          <w:sz w:val="16"/>
          <w:szCs w:val="16"/>
          <w:shd w:val="clear" w:color="auto" w:fill="FFFFFF"/>
        </w:rPr>
      </w:pPr>
      <w:r w:rsidRPr="002713DF">
        <w:rPr>
          <w:rFonts w:cs="Times New Roman"/>
          <w:color w:val="000000"/>
          <w:sz w:val="16"/>
          <w:szCs w:val="16"/>
          <w:shd w:val="clear" w:color="auto" w:fill="FFFFFF"/>
        </w:rPr>
        <w:t>énumérer et interpréter les examens essentiels, notamment :</w:t>
      </w:r>
    </w:p>
    <w:p w:rsidR="002713DF" w:rsidRPr="002713DF" w:rsidRDefault="002713DF" w:rsidP="00194D38">
      <w:pPr>
        <w:numPr>
          <w:ilvl w:val="1"/>
          <w:numId w:val="300"/>
        </w:numPr>
        <w:shd w:val="clear" w:color="auto" w:fill="FFFFFF"/>
        <w:spacing w:before="100" w:beforeAutospacing="1" w:after="100" w:afterAutospacing="1" w:line="240" w:lineRule="auto"/>
        <w:rPr>
          <w:rFonts w:cs="Times New Roman"/>
          <w:color w:val="000000"/>
          <w:sz w:val="16"/>
          <w:szCs w:val="16"/>
          <w:shd w:val="clear" w:color="auto" w:fill="FFFFFF"/>
        </w:rPr>
      </w:pPr>
      <w:r w:rsidRPr="002713DF">
        <w:rPr>
          <w:rFonts w:cs="Times New Roman"/>
          <w:color w:val="000000"/>
          <w:sz w:val="16"/>
          <w:szCs w:val="16"/>
          <w:shd w:val="clear" w:color="auto" w:fill="FFFFFF"/>
        </w:rPr>
        <w:t>test de Papanicolaou, selon les indications;</w:t>
      </w:r>
    </w:p>
    <w:p w:rsidR="002713DF" w:rsidRPr="002713DF" w:rsidRDefault="002713DF" w:rsidP="00194D38">
      <w:pPr>
        <w:numPr>
          <w:ilvl w:val="1"/>
          <w:numId w:val="300"/>
        </w:numPr>
        <w:shd w:val="clear" w:color="auto" w:fill="FFFFFF"/>
        <w:spacing w:before="100" w:beforeAutospacing="1" w:after="100" w:afterAutospacing="1" w:line="240" w:lineRule="auto"/>
        <w:rPr>
          <w:rFonts w:cs="Times New Roman"/>
          <w:color w:val="000000"/>
          <w:sz w:val="16"/>
          <w:szCs w:val="16"/>
          <w:shd w:val="clear" w:color="auto" w:fill="FFFFFF"/>
        </w:rPr>
      </w:pPr>
      <w:r w:rsidRPr="002713DF">
        <w:rPr>
          <w:rFonts w:cs="Times New Roman"/>
          <w:color w:val="000000"/>
          <w:sz w:val="16"/>
          <w:szCs w:val="16"/>
          <w:shd w:val="clear" w:color="auto" w:fill="FFFFFF"/>
        </w:rPr>
        <w:t>dépistage d'infections (p. ex. cultures vaginales et cervicales);</w:t>
      </w:r>
    </w:p>
    <w:p w:rsidR="002713DF" w:rsidRPr="002713DF" w:rsidRDefault="002713DF" w:rsidP="00194D38">
      <w:pPr>
        <w:numPr>
          <w:ilvl w:val="1"/>
          <w:numId w:val="300"/>
        </w:numPr>
        <w:shd w:val="clear" w:color="auto" w:fill="FFFFFF"/>
        <w:spacing w:before="100" w:beforeAutospacing="1" w:after="100" w:afterAutospacing="1" w:line="240" w:lineRule="auto"/>
        <w:rPr>
          <w:rFonts w:cs="Times New Roman"/>
          <w:color w:val="000000"/>
          <w:sz w:val="16"/>
          <w:szCs w:val="16"/>
          <w:shd w:val="clear" w:color="auto" w:fill="FFFFFF"/>
        </w:rPr>
      </w:pPr>
      <w:r w:rsidRPr="002713DF">
        <w:rPr>
          <w:rFonts w:cs="Times New Roman"/>
          <w:color w:val="000000"/>
          <w:sz w:val="16"/>
          <w:szCs w:val="16"/>
          <w:shd w:val="clear" w:color="auto" w:fill="FFFFFF"/>
        </w:rPr>
        <w:t>établissement des indications d'examens d'imagerie (p. ex. échographie);</w:t>
      </w:r>
    </w:p>
    <w:p w:rsidR="002713DF" w:rsidRPr="002713DF" w:rsidRDefault="002713DF" w:rsidP="00194D38">
      <w:pPr>
        <w:numPr>
          <w:ilvl w:val="0"/>
          <w:numId w:val="300"/>
        </w:numPr>
        <w:shd w:val="clear" w:color="auto" w:fill="FFFFFF"/>
        <w:spacing w:before="100" w:beforeAutospacing="1" w:after="100" w:afterAutospacing="1" w:line="240" w:lineRule="auto"/>
        <w:rPr>
          <w:rFonts w:cs="Times New Roman"/>
          <w:color w:val="000000"/>
          <w:sz w:val="16"/>
          <w:szCs w:val="16"/>
          <w:shd w:val="clear" w:color="auto" w:fill="FFFFFF"/>
        </w:rPr>
      </w:pPr>
      <w:r w:rsidRPr="002713DF">
        <w:rPr>
          <w:rFonts w:cs="Times New Roman"/>
          <w:color w:val="000000"/>
          <w:sz w:val="16"/>
          <w:szCs w:val="16"/>
          <w:shd w:val="clear" w:color="auto" w:fill="FFFFFF"/>
        </w:rPr>
        <w:t>élaborer un plan efficace de prise en charge initiale, notamment :</w:t>
      </w:r>
    </w:p>
    <w:p w:rsidR="002713DF" w:rsidRPr="002713DF" w:rsidRDefault="002713DF" w:rsidP="00194D38">
      <w:pPr>
        <w:numPr>
          <w:ilvl w:val="1"/>
          <w:numId w:val="300"/>
        </w:numPr>
        <w:shd w:val="clear" w:color="auto" w:fill="FFFFFF"/>
        <w:spacing w:before="100" w:beforeAutospacing="1" w:after="100" w:afterAutospacing="1" w:line="240" w:lineRule="auto"/>
        <w:rPr>
          <w:rFonts w:cs="Times New Roman"/>
          <w:color w:val="000000"/>
          <w:sz w:val="16"/>
          <w:szCs w:val="16"/>
          <w:shd w:val="clear" w:color="auto" w:fill="FFFFFF"/>
        </w:rPr>
      </w:pPr>
      <w:r w:rsidRPr="002713DF">
        <w:rPr>
          <w:rFonts w:cs="Times New Roman"/>
          <w:color w:val="000000"/>
          <w:sz w:val="16"/>
          <w:szCs w:val="16"/>
          <w:shd w:val="clear" w:color="auto" w:fill="FFFFFF"/>
        </w:rPr>
        <w:t>exposer les options de traitement, y compris la maîtrise des symptômes;</w:t>
      </w:r>
    </w:p>
    <w:p w:rsidR="002713DF" w:rsidRPr="002713DF" w:rsidRDefault="002713DF" w:rsidP="00194D38">
      <w:pPr>
        <w:numPr>
          <w:ilvl w:val="1"/>
          <w:numId w:val="300"/>
        </w:numPr>
        <w:shd w:val="clear" w:color="auto" w:fill="FFFFFF"/>
        <w:spacing w:before="100" w:beforeAutospacing="1" w:after="100" w:afterAutospacing="1" w:line="240" w:lineRule="auto"/>
        <w:rPr>
          <w:rFonts w:cs="Times New Roman"/>
          <w:color w:val="000000"/>
          <w:sz w:val="16"/>
          <w:szCs w:val="16"/>
          <w:shd w:val="clear" w:color="auto" w:fill="FFFFFF"/>
        </w:rPr>
      </w:pPr>
      <w:r w:rsidRPr="002713DF">
        <w:rPr>
          <w:rFonts w:cs="Times New Roman"/>
          <w:color w:val="000000"/>
          <w:sz w:val="16"/>
          <w:szCs w:val="16"/>
          <w:shd w:val="clear" w:color="auto" w:fill="FFFFFF"/>
        </w:rPr>
        <w:t>déterminer si la patiente doit être adressée pour un examen (examen sous anesthésie, laparoscopie);</w:t>
      </w:r>
    </w:p>
    <w:p w:rsidR="002713DF" w:rsidRPr="002713DF" w:rsidRDefault="002713DF" w:rsidP="00194D38">
      <w:pPr>
        <w:numPr>
          <w:ilvl w:val="1"/>
          <w:numId w:val="300"/>
        </w:numPr>
        <w:shd w:val="clear" w:color="auto" w:fill="FFFFFF"/>
        <w:spacing w:before="100" w:beforeAutospacing="1" w:after="100" w:afterAutospacing="1" w:line="240" w:lineRule="auto"/>
        <w:rPr>
          <w:rFonts w:cs="Times New Roman"/>
          <w:color w:val="000000"/>
          <w:sz w:val="16"/>
          <w:szCs w:val="16"/>
          <w:shd w:val="clear" w:color="auto" w:fill="FFFFFF"/>
        </w:rPr>
      </w:pPr>
      <w:r w:rsidRPr="002713DF">
        <w:rPr>
          <w:rFonts w:cs="Times New Roman"/>
          <w:color w:val="000000"/>
          <w:sz w:val="16"/>
          <w:szCs w:val="16"/>
          <w:shd w:val="clear" w:color="auto" w:fill="FFFFFF"/>
        </w:rPr>
        <w:t>déterminer si la patiente a besoin de soins spécialisés.</w:t>
      </w:r>
    </w:p>
    <w:tbl>
      <w:tblPr>
        <w:tblStyle w:val="Grilledutableau"/>
        <w:tblW w:w="0" w:type="auto"/>
        <w:tblLook w:val="04A0" w:firstRow="1" w:lastRow="0" w:firstColumn="1" w:lastColumn="0" w:noHBand="0" w:noVBand="1"/>
      </w:tblPr>
      <w:tblGrid>
        <w:gridCol w:w="1384"/>
        <w:gridCol w:w="4678"/>
        <w:gridCol w:w="4954"/>
      </w:tblGrid>
      <w:tr w:rsidR="005D306C" w:rsidRPr="005D306C" w:rsidTr="002A1F06">
        <w:tc>
          <w:tcPr>
            <w:tcW w:w="1384" w:type="dxa"/>
            <w:shd w:val="clear" w:color="auto" w:fill="B2A1C7" w:themeFill="accent4" w:themeFillTint="99"/>
          </w:tcPr>
          <w:p w:rsidR="005D306C" w:rsidRPr="005D306C" w:rsidRDefault="005D306C" w:rsidP="003641D8">
            <w:pPr>
              <w:spacing w:before="100" w:beforeAutospacing="1" w:after="100" w:afterAutospacing="1"/>
              <w:rPr>
                <w:rFonts w:eastAsia="Times New Roman" w:cs="Times New Roman"/>
                <w:color w:val="000000"/>
                <w:lang w:eastAsia="fr-CA"/>
              </w:rPr>
            </w:pPr>
            <w:bookmarkStart w:id="180" w:name="%C3%89tiologie2"/>
          </w:p>
        </w:tc>
        <w:tc>
          <w:tcPr>
            <w:tcW w:w="4678" w:type="dxa"/>
            <w:tcBorders>
              <w:bottom w:val="single" w:sz="4" w:space="0" w:color="auto"/>
            </w:tcBorders>
            <w:shd w:val="clear" w:color="auto" w:fill="B2A1C7" w:themeFill="accent4" w:themeFillTint="99"/>
          </w:tcPr>
          <w:p w:rsidR="005D306C" w:rsidRPr="005D306C" w:rsidRDefault="005D306C" w:rsidP="005D306C">
            <w:pPr>
              <w:spacing w:before="100" w:beforeAutospacing="1" w:after="100" w:afterAutospacing="1"/>
              <w:jc w:val="center"/>
              <w:rPr>
                <w:rFonts w:eastAsia="Times New Roman" w:cs="Times New Roman"/>
                <w:color w:val="000000"/>
                <w:lang w:eastAsia="fr-CA"/>
              </w:rPr>
            </w:pPr>
            <w:r w:rsidRPr="005D306C">
              <w:rPr>
                <w:rFonts w:eastAsia="Times New Roman" w:cs="Times New Roman"/>
                <w:color w:val="000000"/>
                <w:lang w:eastAsia="fr-CA"/>
              </w:rPr>
              <w:t>Dysménorrhée primaire</w:t>
            </w:r>
          </w:p>
        </w:tc>
        <w:tc>
          <w:tcPr>
            <w:tcW w:w="4954" w:type="dxa"/>
            <w:tcBorders>
              <w:bottom w:val="single" w:sz="4" w:space="0" w:color="auto"/>
            </w:tcBorders>
            <w:shd w:val="clear" w:color="auto" w:fill="B2A1C7" w:themeFill="accent4" w:themeFillTint="99"/>
          </w:tcPr>
          <w:p w:rsidR="005D306C" w:rsidRPr="005D306C" w:rsidRDefault="005D306C" w:rsidP="005D306C">
            <w:pPr>
              <w:spacing w:before="100" w:beforeAutospacing="1" w:after="100" w:afterAutospacing="1"/>
              <w:jc w:val="center"/>
              <w:rPr>
                <w:rFonts w:eastAsia="Times New Roman" w:cs="Times New Roman"/>
                <w:color w:val="000000"/>
                <w:lang w:eastAsia="fr-CA"/>
              </w:rPr>
            </w:pPr>
            <w:r w:rsidRPr="005D306C">
              <w:rPr>
                <w:rFonts w:eastAsia="Times New Roman" w:cs="Times New Roman"/>
                <w:color w:val="000000"/>
                <w:lang w:eastAsia="fr-CA"/>
              </w:rPr>
              <w:t>Dysménorrhée secondaire</w:t>
            </w:r>
          </w:p>
        </w:tc>
      </w:tr>
      <w:tr w:rsidR="005D306C" w:rsidRPr="005D306C" w:rsidTr="002A1F06">
        <w:tc>
          <w:tcPr>
            <w:tcW w:w="1384" w:type="dxa"/>
            <w:shd w:val="clear" w:color="auto" w:fill="CCC0D9" w:themeFill="accent4" w:themeFillTint="66"/>
          </w:tcPr>
          <w:p w:rsidR="005D306C" w:rsidRPr="005D306C" w:rsidRDefault="005D306C" w:rsidP="00493B66">
            <w:pPr>
              <w:rPr>
                <w:rFonts w:eastAsia="Times New Roman" w:cs="Times New Roman"/>
                <w:color w:val="000000"/>
                <w:lang w:eastAsia="fr-CA"/>
              </w:rPr>
            </w:pPr>
            <w:r w:rsidRPr="005D306C">
              <w:rPr>
                <w:rFonts w:eastAsia="Times New Roman" w:cs="Times New Roman"/>
                <w:color w:val="000000"/>
                <w:lang w:eastAsia="fr-CA"/>
              </w:rPr>
              <w:t>Définition</w:t>
            </w:r>
          </w:p>
        </w:tc>
        <w:tc>
          <w:tcPr>
            <w:tcW w:w="4678" w:type="dxa"/>
            <w:tcBorders>
              <w:top w:val="single" w:sz="4" w:space="0" w:color="auto"/>
            </w:tcBorders>
          </w:tcPr>
          <w:p w:rsidR="005D306C" w:rsidRPr="00E73B8F" w:rsidRDefault="005D306C" w:rsidP="00493B66">
            <w:pPr>
              <w:rPr>
                <w:rFonts w:eastAsia="Times New Roman" w:cs="Times New Roman"/>
                <w:color w:val="000000"/>
                <w:highlight w:val="yellow"/>
                <w:lang w:eastAsia="fr-CA"/>
              </w:rPr>
            </w:pPr>
            <w:r w:rsidRPr="00E73B8F">
              <w:rPr>
                <w:rFonts w:eastAsia="Times New Roman" w:cs="Times New Roman"/>
                <w:color w:val="000000"/>
                <w:highlight w:val="yellow"/>
                <w:lang w:eastAsia="fr-CA"/>
              </w:rPr>
              <w:t xml:space="preserve">Douleur pelvienne crampiforme </w:t>
            </w:r>
            <w:r w:rsidRPr="005344AC">
              <w:rPr>
                <w:rFonts w:eastAsia="Times New Roman" w:cs="Times New Roman"/>
                <w:color w:val="000000"/>
                <w:highlight w:val="yellow"/>
                <w:u w:val="single"/>
                <w:lang w:eastAsia="fr-CA"/>
              </w:rPr>
              <w:t xml:space="preserve">cyclique </w:t>
            </w:r>
            <w:r w:rsidRPr="00E73B8F">
              <w:rPr>
                <w:rFonts w:eastAsia="Times New Roman" w:cs="Times New Roman"/>
                <w:color w:val="000000"/>
                <w:highlight w:val="yellow"/>
                <w:lang w:eastAsia="fr-CA"/>
              </w:rPr>
              <w:t>survenant  durant les menstruations en l’absence de pathologie.</w:t>
            </w:r>
          </w:p>
        </w:tc>
        <w:tc>
          <w:tcPr>
            <w:tcW w:w="4954" w:type="dxa"/>
            <w:tcBorders>
              <w:top w:val="single" w:sz="4" w:space="0" w:color="auto"/>
            </w:tcBorders>
          </w:tcPr>
          <w:p w:rsidR="005D306C" w:rsidRPr="00E73B8F" w:rsidRDefault="005D306C" w:rsidP="00493B66">
            <w:pPr>
              <w:rPr>
                <w:rFonts w:eastAsia="Times New Roman" w:cs="Times New Roman"/>
                <w:color w:val="000000"/>
                <w:highlight w:val="yellow"/>
                <w:lang w:eastAsia="fr-CA"/>
              </w:rPr>
            </w:pPr>
            <w:r w:rsidRPr="00E73B8F">
              <w:rPr>
                <w:rFonts w:eastAsia="Times New Roman" w:cs="Times New Roman"/>
                <w:color w:val="000000"/>
                <w:highlight w:val="yellow"/>
                <w:lang w:eastAsia="fr-CA"/>
              </w:rPr>
              <w:t xml:space="preserve">Douleur pelvienne crampiforme </w:t>
            </w:r>
            <w:r w:rsidRPr="005344AC">
              <w:rPr>
                <w:rFonts w:eastAsia="Times New Roman" w:cs="Times New Roman"/>
                <w:color w:val="000000"/>
                <w:highlight w:val="yellow"/>
                <w:u w:val="single"/>
                <w:lang w:eastAsia="fr-CA"/>
              </w:rPr>
              <w:t>cyclique</w:t>
            </w:r>
            <w:r w:rsidRPr="00E73B8F">
              <w:rPr>
                <w:rFonts w:eastAsia="Times New Roman" w:cs="Times New Roman"/>
                <w:color w:val="000000"/>
                <w:highlight w:val="yellow"/>
                <w:lang w:eastAsia="fr-CA"/>
              </w:rPr>
              <w:t xml:space="preserve"> survenant  durant les menstruations associée à une condition pathologique.</w:t>
            </w:r>
          </w:p>
        </w:tc>
      </w:tr>
      <w:tr w:rsidR="005D306C" w:rsidRPr="005D306C" w:rsidTr="002A1F06">
        <w:tc>
          <w:tcPr>
            <w:tcW w:w="1384" w:type="dxa"/>
            <w:shd w:val="clear" w:color="auto" w:fill="CCC0D9" w:themeFill="accent4" w:themeFillTint="66"/>
          </w:tcPr>
          <w:p w:rsidR="005D306C" w:rsidRPr="005D306C" w:rsidRDefault="005D306C" w:rsidP="00493B66">
            <w:pPr>
              <w:rPr>
                <w:rFonts w:eastAsia="Times New Roman" w:cs="Times New Roman"/>
                <w:color w:val="000000"/>
                <w:lang w:eastAsia="fr-CA"/>
              </w:rPr>
            </w:pPr>
            <w:r w:rsidRPr="005D306C">
              <w:rPr>
                <w:rFonts w:eastAsia="Times New Roman" w:cs="Times New Roman"/>
                <w:color w:val="000000"/>
                <w:lang w:eastAsia="fr-CA"/>
              </w:rPr>
              <w:t>Signes et symptômes</w:t>
            </w:r>
          </w:p>
        </w:tc>
        <w:tc>
          <w:tcPr>
            <w:tcW w:w="4678" w:type="dxa"/>
          </w:tcPr>
          <w:p w:rsidR="005D306C" w:rsidRPr="00E73B8F" w:rsidRDefault="005D306C" w:rsidP="006C77C1">
            <w:pPr>
              <w:pStyle w:val="Paragraphedeliste"/>
              <w:numPr>
                <w:ilvl w:val="0"/>
                <w:numId w:val="303"/>
              </w:numPr>
              <w:rPr>
                <w:rFonts w:eastAsia="Times New Roman" w:cs="Times New Roman"/>
                <w:color w:val="000000"/>
                <w:highlight w:val="yellow"/>
                <w:lang w:eastAsia="fr-CA"/>
              </w:rPr>
            </w:pPr>
            <w:r w:rsidRPr="00E73B8F">
              <w:rPr>
                <w:rFonts w:eastAsia="Times New Roman" w:cs="Times New Roman"/>
                <w:color w:val="000000"/>
                <w:highlight w:val="yellow"/>
                <w:lang w:eastAsia="fr-CA"/>
              </w:rPr>
              <w:t>Début 6 mois-24 mois après la ménarche</w:t>
            </w:r>
          </w:p>
          <w:p w:rsidR="005D306C" w:rsidRPr="00E73B8F" w:rsidRDefault="005D306C" w:rsidP="00493B66">
            <w:pPr>
              <w:rPr>
                <w:rFonts w:eastAsia="Times New Roman" w:cs="Times New Roman"/>
                <w:color w:val="000000"/>
                <w:highlight w:val="yellow"/>
                <w:lang w:eastAsia="fr-CA"/>
              </w:rPr>
            </w:pPr>
          </w:p>
          <w:p w:rsidR="005D306C" w:rsidRPr="00E73B8F" w:rsidRDefault="005D306C" w:rsidP="006C77C1">
            <w:pPr>
              <w:pStyle w:val="Paragraphedeliste"/>
              <w:numPr>
                <w:ilvl w:val="0"/>
                <w:numId w:val="301"/>
              </w:numPr>
              <w:rPr>
                <w:rFonts w:eastAsia="Times New Roman" w:cs="Times New Roman"/>
                <w:color w:val="000000"/>
                <w:highlight w:val="yellow"/>
                <w:lang w:eastAsia="fr-CA"/>
              </w:rPr>
            </w:pPr>
            <w:r w:rsidRPr="00E73B8F">
              <w:rPr>
                <w:rFonts w:eastAsia="Times New Roman" w:cs="Times New Roman"/>
                <w:color w:val="000000"/>
                <w:highlight w:val="yellow"/>
                <w:lang w:eastAsia="fr-CA"/>
              </w:rPr>
              <w:t>Douleur dorsale</w:t>
            </w:r>
          </w:p>
          <w:p w:rsidR="005D306C" w:rsidRPr="00E73B8F" w:rsidRDefault="005D306C" w:rsidP="006C77C1">
            <w:pPr>
              <w:pStyle w:val="Paragraphedeliste"/>
              <w:numPr>
                <w:ilvl w:val="0"/>
                <w:numId w:val="301"/>
              </w:numPr>
              <w:rPr>
                <w:rFonts w:eastAsia="Times New Roman" w:cs="Times New Roman"/>
                <w:color w:val="000000"/>
                <w:highlight w:val="yellow"/>
                <w:lang w:eastAsia="fr-CA"/>
              </w:rPr>
            </w:pPr>
            <w:r w:rsidRPr="00E73B8F">
              <w:rPr>
                <w:rFonts w:eastAsia="Times New Roman" w:cs="Times New Roman"/>
                <w:color w:val="000000"/>
                <w:highlight w:val="yellow"/>
                <w:lang w:eastAsia="fr-CA"/>
              </w:rPr>
              <w:t>Nausées, vomissements</w:t>
            </w:r>
          </w:p>
          <w:p w:rsidR="005D306C" w:rsidRPr="00E73B8F" w:rsidRDefault="005D306C" w:rsidP="006C77C1">
            <w:pPr>
              <w:pStyle w:val="Paragraphedeliste"/>
              <w:numPr>
                <w:ilvl w:val="0"/>
                <w:numId w:val="301"/>
              </w:numPr>
              <w:rPr>
                <w:rFonts w:eastAsia="Times New Roman" w:cs="Times New Roman"/>
                <w:color w:val="000000"/>
                <w:highlight w:val="yellow"/>
                <w:lang w:eastAsia="fr-CA"/>
              </w:rPr>
            </w:pPr>
            <w:r w:rsidRPr="00E73B8F">
              <w:rPr>
                <w:rFonts w:eastAsia="Times New Roman" w:cs="Times New Roman"/>
                <w:color w:val="000000"/>
                <w:highlight w:val="yellow"/>
                <w:lang w:eastAsia="fr-CA"/>
              </w:rPr>
              <w:t>Étourdissements</w:t>
            </w:r>
          </w:p>
          <w:p w:rsidR="005D306C" w:rsidRPr="00E73B8F" w:rsidRDefault="005D306C" w:rsidP="006C77C1">
            <w:pPr>
              <w:pStyle w:val="Paragraphedeliste"/>
              <w:numPr>
                <w:ilvl w:val="0"/>
                <w:numId w:val="301"/>
              </w:numPr>
              <w:rPr>
                <w:rFonts w:eastAsia="Times New Roman" w:cs="Times New Roman"/>
                <w:color w:val="000000"/>
                <w:highlight w:val="yellow"/>
                <w:lang w:eastAsia="fr-CA"/>
              </w:rPr>
            </w:pPr>
            <w:r w:rsidRPr="00E73B8F">
              <w:rPr>
                <w:rFonts w:eastAsia="Times New Roman" w:cs="Times New Roman"/>
                <w:color w:val="000000"/>
                <w:highlight w:val="yellow"/>
                <w:lang w:eastAsia="fr-CA"/>
              </w:rPr>
              <w:t>Douleurs aux MI</w:t>
            </w:r>
          </w:p>
          <w:p w:rsidR="005D306C" w:rsidRPr="00E73B8F" w:rsidRDefault="005D306C" w:rsidP="006C77C1">
            <w:pPr>
              <w:pStyle w:val="Paragraphedeliste"/>
              <w:numPr>
                <w:ilvl w:val="0"/>
                <w:numId w:val="301"/>
              </w:numPr>
              <w:rPr>
                <w:rFonts w:eastAsia="Times New Roman" w:cs="Times New Roman"/>
                <w:color w:val="000000"/>
                <w:highlight w:val="yellow"/>
                <w:lang w:eastAsia="fr-CA"/>
              </w:rPr>
            </w:pPr>
            <w:r w:rsidRPr="00E73B8F">
              <w:rPr>
                <w:rFonts w:eastAsia="Times New Roman" w:cs="Times New Roman"/>
                <w:color w:val="000000"/>
                <w:highlight w:val="yellow"/>
                <w:lang w:eastAsia="fr-CA"/>
              </w:rPr>
              <w:t>Céphalée</w:t>
            </w:r>
          </w:p>
          <w:p w:rsidR="005D306C" w:rsidRPr="00E73B8F" w:rsidRDefault="005D306C" w:rsidP="006C77C1">
            <w:pPr>
              <w:pStyle w:val="Paragraphedeliste"/>
              <w:numPr>
                <w:ilvl w:val="0"/>
                <w:numId w:val="301"/>
              </w:numPr>
              <w:rPr>
                <w:rFonts w:eastAsia="Times New Roman" w:cs="Times New Roman"/>
                <w:color w:val="000000"/>
                <w:highlight w:val="yellow"/>
                <w:lang w:eastAsia="fr-CA"/>
              </w:rPr>
            </w:pPr>
            <w:r w:rsidRPr="00E73B8F">
              <w:rPr>
                <w:rFonts w:eastAsia="Times New Roman" w:cs="Times New Roman"/>
                <w:color w:val="000000"/>
                <w:highlight w:val="yellow"/>
                <w:lang w:eastAsia="fr-CA"/>
              </w:rPr>
              <w:t xml:space="preserve">Insomnie </w:t>
            </w:r>
          </w:p>
          <w:p w:rsidR="005D306C" w:rsidRPr="00E73B8F" w:rsidRDefault="005D306C" w:rsidP="006C77C1">
            <w:pPr>
              <w:pStyle w:val="Paragraphedeliste"/>
              <w:numPr>
                <w:ilvl w:val="0"/>
                <w:numId w:val="301"/>
              </w:numPr>
              <w:rPr>
                <w:rFonts w:eastAsia="Times New Roman" w:cs="Times New Roman"/>
                <w:color w:val="000000"/>
                <w:highlight w:val="yellow"/>
                <w:lang w:eastAsia="fr-CA"/>
              </w:rPr>
            </w:pPr>
            <w:r w:rsidRPr="00E73B8F">
              <w:rPr>
                <w:rFonts w:eastAsia="Times New Roman" w:cs="Times New Roman"/>
                <w:color w:val="000000"/>
                <w:highlight w:val="yellow"/>
                <w:lang w:eastAsia="fr-CA"/>
              </w:rPr>
              <w:t>Diarrhée</w:t>
            </w:r>
          </w:p>
        </w:tc>
        <w:tc>
          <w:tcPr>
            <w:tcW w:w="4954" w:type="dxa"/>
          </w:tcPr>
          <w:p w:rsidR="005D306C" w:rsidRPr="00E73B8F" w:rsidRDefault="005D306C" w:rsidP="006C77C1">
            <w:pPr>
              <w:pStyle w:val="Paragraphedeliste"/>
              <w:numPr>
                <w:ilvl w:val="0"/>
                <w:numId w:val="304"/>
              </w:numPr>
              <w:rPr>
                <w:rFonts w:eastAsia="Times New Roman" w:cs="Times New Roman"/>
                <w:color w:val="000000"/>
                <w:highlight w:val="yellow"/>
                <w:lang w:eastAsia="fr-CA"/>
              </w:rPr>
            </w:pPr>
            <w:r w:rsidRPr="00E73B8F">
              <w:rPr>
                <w:rFonts w:eastAsia="Times New Roman" w:cs="Times New Roman"/>
                <w:color w:val="000000"/>
                <w:highlight w:val="yellow"/>
                <w:lang w:eastAsia="fr-CA"/>
              </w:rPr>
              <w:t>Début généralement dans la vingtaine</w:t>
            </w:r>
          </w:p>
          <w:p w:rsidR="005D306C" w:rsidRPr="00E73B8F" w:rsidRDefault="005D306C" w:rsidP="006C77C1">
            <w:pPr>
              <w:pStyle w:val="Paragraphedeliste"/>
              <w:numPr>
                <w:ilvl w:val="0"/>
                <w:numId w:val="304"/>
              </w:numPr>
              <w:rPr>
                <w:rFonts w:eastAsia="Times New Roman" w:cs="Times New Roman"/>
                <w:color w:val="000000"/>
                <w:highlight w:val="yellow"/>
                <w:lang w:eastAsia="fr-CA"/>
              </w:rPr>
            </w:pPr>
            <w:r w:rsidRPr="00E73B8F">
              <w:rPr>
                <w:rFonts w:eastAsia="Times New Roman" w:cs="Times New Roman"/>
                <w:color w:val="000000"/>
                <w:highlight w:val="yellow"/>
                <w:lang w:eastAsia="fr-CA"/>
              </w:rPr>
              <w:t>Amélioration temporaire post-partum</w:t>
            </w:r>
          </w:p>
          <w:p w:rsidR="005D306C" w:rsidRPr="00E73B8F" w:rsidRDefault="005D306C" w:rsidP="006C77C1">
            <w:pPr>
              <w:pStyle w:val="Paragraphedeliste"/>
              <w:numPr>
                <w:ilvl w:val="0"/>
                <w:numId w:val="304"/>
              </w:numPr>
              <w:rPr>
                <w:rFonts w:eastAsia="Times New Roman" w:cs="Times New Roman"/>
                <w:color w:val="000000"/>
                <w:lang w:eastAsia="fr-CA"/>
              </w:rPr>
            </w:pPr>
            <w:r w:rsidRPr="00E73B8F">
              <w:rPr>
                <w:rFonts w:eastAsia="Times New Roman" w:cs="Times New Roman"/>
                <w:color w:val="000000"/>
                <w:highlight w:val="yellow"/>
                <w:lang w:eastAsia="fr-CA"/>
              </w:rPr>
              <w:t>Va en empirant avec l’âge</w:t>
            </w:r>
          </w:p>
          <w:p w:rsidR="005D306C" w:rsidRPr="00E73B8F" w:rsidRDefault="005D306C" w:rsidP="00493B66">
            <w:pPr>
              <w:rPr>
                <w:rFonts w:eastAsia="Times New Roman" w:cs="Times New Roman"/>
                <w:color w:val="000000"/>
                <w:lang w:eastAsia="fr-CA"/>
              </w:rPr>
            </w:pPr>
          </w:p>
          <w:p w:rsidR="005D306C" w:rsidRPr="00E73B8F" w:rsidRDefault="005D306C" w:rsidP="006C77C1">
            <w:pPr>
              <w:pStyle w:val="Paragraphedeliste"/>
              <w:numPr>
                <w:ilvl w:val="0"/>
                <w:numId w:val="302"/>
              </w:numPr>
              <w:rPr>
                <w:rFonts w:eastAsia="Times New Roman" w:cs="Times New Roman"/>
                <w:color w:val="000000"/>
                <w:lang w:eastAsia="fr-CA"/>
              </w:rPr>
            </w:pPr>
            <w:r w:rsidRPr="00E73B8F">
              <w:rPr>
                <w:rFonts w:eastAsia="Times New Roman" w:cs="Times New Roman"/>
                <w:color w:val="000000"/>
                <w:lang w:eastAsia="fr-CA"/>
              </w:rPr>
              <w:t>Dyspareunie</w:t>
            </w:r>
          </w:p>
          <w:p w:rsidR="005D306C" w:rsidRPr="00E73B8F" w:rsidRDefault="005D306C" w:rsidP="006C77C1">
            <w:pPr>
              <w:pStyle w:val="Paragraphedeliste"/>
              <w:numPr>
                <w:ilvl w:val="0"/>
                <w:numId w:val="302"/>
              </w:numPr>
              <w:rPr>
                <w:rFonts w:eastAsia="Times New Roman" w:cs="Times New Roman"/>
                <w:color w:val="000000"/>
                <w:lang w:eastAsia="fr-CA"/>
              </w:rPr>
            </w:pPr>
            <w:r w:rsidRPr="00E73B8F">
              <w:rPr>
                <w:rFonts w:eastAsia="Times New Roman" w:cs="Times New Roman"/>
                <w:color w:val="000000"/>
                <w:lang w:eastAsia="fr-CA"/>
              </w:rPr>
              <w:t>Dysurie</w:t>
            </w:r>
          </w:p>
          <w:p w:rsidR="005D306C" w:rsidRPr="00E73B8F" w:rsidRDefault="005D306C" w:rsidP="006C77C1">
            <w:pPr>
              <w:pStyle w:val="Paragraphedeliste"/>
              <w:numPr>
                <w:ilvl w:val="0"/>
                <w:numId w:val="302"/>
              </w:numPr>
              <w:rPr>
                <w:rFonts w:eastAsia="Times New Roman" w:cs="Times New Roman"/>
                <w:color w:val="000000"/>
                <w:lang w:eastAsia="fr-CA"/>
              </w:rPr>
            </w:pPr>
            <w:r w:rsidRPr="00E73B8F">
              <w:rPr>
                <w:rFonts w:eastAsia="Times New Roman" w:cs="Times New Roman"/>
                <w:color w:val="000000"/>
                <w:lang w:eastAsia="fr-CA"/>
              </w:rPr>
              <w:t>Saignements vaginaux anormaux</w:t>
            </w:r>
          </w:p>
          <w:p w:rsidR="005D306C" w:rsidRPr="00E73B8F" w:rsidRDefault="005D306C" w:rsidP="006C77C1">
            <w:pPr>
              <w:pStyle w:val="Paragraphedeliste"/>
              <w:numPr>
                <w:ilvl w:val="0"/>
                <w:numId w:val="302"/>
              </w:numPr>
              <w:rPr>
                <w:rFonts w:eastAsia="Times New Roman" w:cs="Times New Roman"/>
                <w:color w:val="000000"/>
                <w:lang w:eastAsia="fr-CA"/>
              </w:rPr>
            </w:pPr>
            <w:r w:rsidRPr="00E73B8F">
              <w:rPr>
                <w:rFonts w:eastAsia="Times New Roman" w:cs="Times New Roman"/>
                <w:color w:val="000000"/>
                <w:lang w:eastAsia="fr-CA"/>
              </w:rPr>
              <w:t>Infertilité</w:t>
            </w:r>
          </w:p>
        </w:tc>
      </w:tr>
      <w:tr w:rsidR="005D306C" w:rsidRPr="005D306C" w:rsidTr="002A1F06">
        <w:tc>
          <w:tcPr>
            <w:tcW w:w="1384" w:type="dxa"/>
            <w:shd w:val="clear" w:color="auto" w:fill="CCC0D9" w:themeFill="accent4" w:themeFillTint="66"/>
          </w:tcPr>
          <w:p w:rsidR="005D306C" w:rsidRPr="005D306C" w:rsidRDefault="005D306C" w:rsidP="00493B66">
            <w:pPr>
              <w:rPr>
                <w:rFonts w:eastAsia="Times New Roman" w:cs="Times New Roman"/>
                <w:color w:val="000000"/>
                <w:lang w:eastAsia="fr-CA"/>
              </w:rPr>
            </w:pPr>
            <w:r w:rsidRPr="005D306C">
              <w:rPr>
                <w:rFonts w:eastAsia="Times New Roman" w:cs="Times New Roman"/>
                <w:color w:val="000000"/>
                <w:lang w:eastAsia="fr-CA"/>
              </w:rPr>
              <w:t>Causes</w:t>
            </w:r>
          </w:p>
        </w:tc>
        <w:tc>
          <w:tcPr>
            <w:tcW w:w="4678" w:type="dxa"/>
          </w:tcPr>
          <w:p w:rsidR="005D306C" w:rsidRDefault="00493B66" w:rsidP="00493B66">
            <w:pPr>
              <w:rPr>
                <w:rFonts w:eastAsia="Times New Roman" w:cs="Times New Roman"/>
                <w:color w:val="000000"/>
                <w:lang w:eastAsia="fr-CA"/>
              </w:rPr>
            </w:pPr>
            <w:r>
              <w:rPr>
                <w:rFonts w:eastAsia="Times New Roman" w:cs="Times New Roman"/>
                <w:color w:val="000000"/>
                <w:lang w:eastAsia="fr-CA"/>
              </w:rPr>
              <w:t>Idiopathique</w:t>
            </w:r>
          </w:p>
          <w:p w:rsidR="00493B66" w:rsidRDefault="00493B66" w:rsidP="00493B66">
            <w:pPr>
              <w:rPr>
                <w:rFonts w:eastAsia="Times New Roman" w:cs="Times New Roman"/>
                <w:color w:val="000000"/>
                <w:lang w:eastAsia="fr-CA"/>
              </w:rPr>
            </w:pPr>
            <w:r w:rsidRPr="00E73B8F">
              <w:rPr>
                <w:rFonts w:eastAsia="Times New Roman" w:cs="Times New Roman"/>
                <w:color w:val="000000"/>
                <w:highlight w:val="yellow"/>
                <w:lang w:eastAsia="fr-CA"/>
              </w:rPr>
              <w:t>Diagnostic d’exclusion</w:t>
            </w:r>
          </w:p>
          <w:p w:rsidR="00493B66" w:rsidRPr="005D306C" w:rsidRDefault="00493B66" w:rsidP="00493B66">
            <w:pPr>
              <w:rPr>
                <w:rFonts w:eastAsia="Times New Roman" w:cs="Times New Roman"/>
                <w:color w:val="000000"/>
                <w:lang w:eastAsia="fr-CA"/>
              </w:rPr>
            </w:pPr>
            <w:r>
              <w:rPr>
                <w:rFonts w:eastAsia="Times New Roman" w:cs="Times New Roman"/>
                <w:color w:val="000000"/>
                <w:lang w:eastAsia="fr-CA"/>
              </w:rPr>
              <w:t>Exclure d’abord toute cause secondaire</w:t>
            </w:r>
          </w:p>
        </w:tc>
        <w:tc>
          <w:tcPr>
            <w:tcW w:w="4954" w:type="dxa"/>
          </w:tcPr>
          <w:p w:rsidR="005D306C" w:rsidRPr="00E73B8F" w:rsidRDefault="00AB0B26" w:rsidP="00493B66">
            <w:pPr>
              <w:rPr>
                <w:rFonts w:eastAsia="Times New Roman" w:cs="Times New Roman"/>
                <w:color w:val="000000"/>
                <w:lang w:eastAsia="fr-CA"/>
              </w:rPr>
            </w:pPr>
            <w:r w:rsidRPr="00E73B8F">
              <w:rPr>
                <w:rFonts w:eastAsia="Times New Roman" w:cs="Times New Roman"/>
                <w:b/>
                <w:color w:val="000000"/>
                <w:lang w:eastAsia="fr-CA"/>
              </w:rPr>
              <w:t>Endométriose</w:t>
            </w:r>
            <w:r w:rsidR="005A7575" w:rsidRPr="00E73B8F">
              <w:rPr>
                <w:rFonts w:eastAsia="Times New Roman" w:cs="Times New Roman"/>
                <w:color w:val="000000"/>
                <w:lang w:eastAsia="fr-CA"/>
              </w:rPr>
              <w:t xml:space="preserve"> </w:t>
            </w:r>
            <w:r w:rsidR="005A7575" w:rsidRPr="00E73B8F">
              <w:rPr>
                <w:rFonts w:ascii="Century Gothic" w:eastAsia="Times New Roman" w:hAnsi="Century Gothic" w:cs="Times New Roman"/>
                <w:color w:val="000000"/>
                <w:lang w:eastAsia="fr-CA"/>
              </w:rPr>
              <w:t>→</w:t>
            </w:r>
            <w:r w:rsidR="005A7575" w:rsidRPr="00E73B8F">
              <w:rPr>
                <w:rFonts w:eastAsia="Times New Roman" w:cs="Times New Roman"/>
                <w:color w:val="000000"/>
                <w:lang w:eastAsia="fr-CA"/>
              </w:rPr>
              <w:t xml:space="preserve"> Voir </w:t>
            </w:r>
            <w:r w:rsidR="005A7575" w:rsidRPr="00E73B8F">
              <w:rPr>
                <w:rFonts w:eastAsia="Times New Roman" w:cs="Times New Roman"/>
                <w:i/>
                <w:color w:val="000000"/>
                <w:lang w:eastAsia="fr-CA"/>
              </w:rPr>
              <w:t>Douleur pelvienne CMC 73</w:t>
            </w:r>
          </w:p>
          <w:p w:rsidR="00AB0B26" w:rsidRPr="00E73B8F" w:rsidRDefault="00AB0B26" w:rsidP="00493B66">
            <w:pPr>
              <w:rPr>
                <w:rFonts w:eastAsia="Times New Roman" w:cs="Times New Roman"/>
                <w:color w:val="000000"/>
                <w:lang w:eastAsia="fr-CA"/>
              </w:rPr>
            </w:pPr>
            <w:r w:rsidRPr="00E73B8F">
              <w:rPr>
                <w:rFonts w:eastAsia="Times New Roman" w:cs="Times New Roman"/>
                <w:b/>
                <w:color w:val="000000"/>
                <w:lang w:eastAsia="fr-CA"/>
              </w:rPr>
              <w:t>Adénomyose</w:t>
            </w:r>
            <w:r w:rsidR="005A7575" w:rsidRPr="00E73B8F">
              <w:rPr>
                <w:rFonts w:eastAsia="Times New Roman" w:cs="Times New Roman"/>
                <w:color w:val="000000"/>
                <w:lang w:eastAsia="fr-CA"/>
              </w:rPr>
              <w:t xml:space="preserve"> </w:t>
            </w:r>
            <w:r w:rsidR="005A7575" w:rsidRPr="00E73B8F">
              <w:rPr>
                <w:rFonts w:ascii="Century Gothic" w:eastAsia="Times New Roman" w:hAnsi="Century Gothic" w:cs="Times New Roman"/>
                <w:color w:val="000000"/>
                <w:lang w:eastAsia="fr-CA"/>
              </w:rPr>
              <w:t>→</w:t>
            </w:r>
            <w:r w:rsidR="005A7575" w:rsidRPr="00E73B8F">
              <w:rPr>
                <w:rFonts w:eastAsia="Times New Roman" w:cs="Times New Roman"/>
                <w:color w:val="000000"/>
                <w:lang w:eastAsia="fr-CA"/>
              </w:rPr>
              <w:t xml:space="preserve"> Voir </w:t>
            </w:r>
            <w:r w:rsidR="005A7575" w:rsidRPr="00E73B8F">
              <w:rPr>
                <w:rFonts w:eastAsia="Times New Roman" w:cs="Times New Roman"/>
                <w:i/>
                <w:color w:val="000000"/>
                <w:lang w:eastAsia="fr-CA"/>
              </w:rPr>
              <w:t>Douleur pelvienne CMC 73</w:t>
            </w:r>
          </w:p>
          <w:p w:rsidR="00AB0B26" w:rsidRPr="00E73B8F" w:rsidRDefault="00AB0B26" w:rsidP="00493B66">
            <w:pPr>
              <w:rPr>
                <w:rFonts w:eastAsia="Times New Roman" w:cs="Times New Roman"/>
                <w:color w:val="000000"/>
                <w:lang w:eastAsia="fr-CA"/>
              </w:rPr>
            </w:pPr>
            <w:r w:rsidRPr="00E73B8F">
              <w:rPr>
                <w:rFonts w:eastAsia="Times New Roman" w:cs="Times New Roman"/>
                <w:b/>
                <w:color w:val="000000"/>
                <w:lang w:eastAsia="fr-CA"/>
              </w:rPr>
              <w:t>Polypes utérins</w:t>
            </w:r>
            <w:r w:rsidR="005A7575" w:rsidRPr="00E73B8F">
              <w:rPr>
                <w:rFonts w:eastAsia="Times New Roman" w:cs="Times New Roman"/>
                <w:b/>
                <w:color w:val="000000"/>
                <w:lang w:eastAsia="fr-CA"/>
              </w:rPr>
              <w:t xml:space="preserve"> </w:t>
            </w:r>
            <w:r w:rsidR="005A7575" w:rsidRPr="00E73B8F">
              <w:rPr>
                <w:rFonts w:ascii="Century Gothic" w:eastAsia="Times New Roman" w:hAnsi="Century Gothic" w:cs="Times New Roman"/>
                <w:color w:val="000000"/>
                <w:lang w:eastAsia="fr-CA"/>
              </w:rPr>
              <w:t>→</w:t>
            </w:r>
            <w:r w:rsidR="005A7575" w:rsidRPr="00E73B8F">
              <w:rPr>
                <w:rFonts w:eastAsia="Times New Roman" w:cs="Times New Roman"/>
                <w:color w:val="000000"/>
                <w:lang w:eastAsia="fr-CA"/>
              </w:rPr>
              <w:t xml:space="preserve"> Voir </w:t>
            </w:r>
            <w:r w:rsidR="005A7575" w:rsidRPr="00E73B8F">
              <w:rPr>
                <w:rFonts w:eastAsia="Times New Roman" w:cs="Times New Roman"/>
                <w:i/>
                <w:color w:val="000000"/>
                <w:lang w:eastAsia="fr-CA"/>
              </w:rPr>
              <w:t>Saignements vaginaux excessifs, irréguliers,anormaux CMC 112</w:t>
            </w:r>
          </w:p>
          <w:p w:rsidR="00AB0B26" w:rsidRPr="00E73B8F" w:rsidRDefault="005A7575" w:rsidP="00493B66">
            <w:pPr>
              <w:rPr>
                <w:rFonts w:eastAsia="Times New Roman" w:cs="Times New Roman"/>
                <w:color w:val="000000"/>
                <w:lang w:eastAsia="fr-CA"/>
              </w:rPr>
            </w:pPr>
            <w:r w:rsidRPr="00E73B8F">
              <w:rPr>
                <w:rFonts w:eastAsia="Times New Roman" w:cs="Times New Roman"/>
                <w:b/>
                <w:color w:val="000000"/>
                <w:lang w:eastAsia="fr-CA"/>
              </w:rPr>
              <w:t>Léiomyomes</w:t>
            </w:r>
            <w:r w:rsidRPr="00E73B8F">
              <w:rPr>
                <w:rFonts w:eastAsia="Times New Roman" w:cs="Times New Roman"/>
                <w:color w:val="000000"/>
                <w:lang w:eastAsia="fr-CA"/>
              </w:rPr>
              <w:t xml:space="preserve"> </w:t>
            </w:r>
            <w:r w:rsidRPr="00E73B8F">
              <w:rPr>
                <w:rFonts w:ascii="Century Gothic" w:eastAsia="Times New Roman" w:hAnsi="Century Gothic" w:cs="Times New Roman"/>
                <w:color w:val="000000"/>
                <w:lang w:eastAsia="fr-CA"/>
              </w:rPr>
              <w:t>→</w:t>
            </w:r>
            <w:r w:rsidRPr="00E73B8F">
              <w:rPr>
                <w:rFonts w:eastAsia="Times New Roman" w:cs="Times New Roman"/>
                <w:color w:val="000000"/>
                <w:lang w:eastAsia="fr-CA"/>
              </w:rPr>
              <w:t xml:space="preserve"> Voir </w:t>
            </w:r>
            <w:r w:rsidRPr="00E73B8F">
              <w:rPr>
                <w:rFonts w:eastAsia="Times New Roman" w:cs="Times New Roman"/>
                <w:i/>
                <w:color w:val="000000"/>
                <w:lang w:eastAsia="fr-CA"/>
              </w:rPr>
              <w:t>Douleur pelvienne CMC 73</w:t>
            </w:r>
          </w:p>
          <w:p w:rsidR="005A7575" w:rsidRPr="00E73B8F" w:rsidRDefault="005A7575" w:rsidP="00493B66">
            <w:pPr>
              <w:rPr>
                <w:rFonts w:eastAsia="Times New Roman" w:cs="Times New Roman"/>
                <w:color w:val="000000"/>
                <w:lang w:eastAsia="fr-CA"/>
              </w:rPr>
            </w:pPr>
            <w:r w:rsidRPr="00E73B8F">
              <w:rPr>
                <w:rFonts w:eastAsia="Times New Roman" w:cs="Times New Roman"/>
                <w:b/>
                <w:color w:val="000000"/>
                <w:lang w:eastAsia="fr-CA"/>
              </w:rPr>
              <w:t xml:space="preserve">Kystes ovariens </w:t>
            </w:r>
            <w:r w:rsidRPr="00E73B8F">
              <w:rPr>
                <w:rFonts w:ascii="Century Gothic" w:eastAsia="Times New Roman" w:hAnsi="Century Gothic" w:cs="Times New Roman"/>
                <w:color w:val="000000"/>
                <w:lang w:eastAsia="fr-CA"/>
              </w:rPr>
              <w:t>→</w:t>
            </w:r>
            <w:r w:rsidRPr="00E73B8F">
              <w:rPr>
                <w:rFonts w:eastAsia="Times New Roman" w:cs="Times New Roman"/>
                <w:color w:val="000000"/>
                <w:lang w:eastAsia="fr-CA"/>
              </w:rPr>
              <w:t xml:space="preserve"> Voir </w:t>
            </w:r>
            <w:r w:rsidRPr="00E73B8F">
              <w:rPr>
                <w:rFonts w:eastAsia="Times New Roman" w:cs="Times New Roman"/>
                <w:i/>
                <w:color w:val="000000"/>
                <w:lang w:eastAsia="fr-CA"/>
              </w:rPr>
              <w:t>Douleur pelvienne CMC 73</w:t>
            </w:r>
          </w:p>
          <w:p w:rsidR="005A7575" w:rsidRPr="00E73B8F" w:rsidRDefault="005A7575" w:rsidP="00493B66">
            <w:pPr>
              <w:rPr>
                <w:rFonts w:eastAsia="Times New Roman" w:cs="Times New Roman"/>
                <w:color w:val="000000"/>
                <w:lang w:eastAsia="fr-CA"/>
              </w:rPr>
            </w:pPr>
            <w:r w:rsidRPr="00E73B8F">
              <w:rPr>
                <w:rFonts w:eastAsia="Times New Roman" w:cs="Times New Roman"/>
                <w:b/>
                <w:color w:val="000000"/>
                <w:lang w:eastAsia="fr-CA"/>
              </w:rPr>
              <w:t xml:space="preserve">Salpingite / Endométrite </w:t>
            </w:r>
            <w:r w:rsidRPr="00E73B8F">
              <w:rPr>
                <w:rFonts w:ascii="Century Gothic" w:eastAsia="Times New Roman" w:hAnsi="Century Gothic" w:cs="Times New Roman"/>
                <w:color w:val="000000"/>
                <w:lang w:eastAsia="fr-CA"/>
              </w:rPr>
              <w:t>→</w:t>
            </w:r>
            <w:r w:rsidRPr="00E73B8F">
              <w:rPr>
                <w:rFonts w:eastAsia="Times New Roman" w:cs="Times New Roman"/>
                <w:color w:val="000000"/>
                <w:lang w:eastAsia="fr-CA"/>
              </w:rPr>
              <w:t xml:space="preserve"> Voir </w:t>
            </w:r>
            <w:r w:rsidRPr="00E73B8F">
              <w:rPr>
                <w:rFonts w:eastAsia="Times New Roman" w:cs="Times New Roman"/>
                <w:i/>
                <w:color w:val="000000"/>
                <w:lang w:eastAsia="fr-CA"/>
              </w:rPr>
              <w:t>Douleur pelvienne CMC 73</w:t>
            </w:r>
          </w:p>
          <w:p w:rsidR="005A7575" w:rsidRPr="00E73B8F" w:rsidRDefault="005A7575" w:rsidP="00493B66">
            <w:pPr>
              <w:rPr>
                <w:rFonts w:eastAsia="Times New Roman" w:cs="Times New Roman"/>
                <w:b/>
                <w:color w:val="000000"/>
                <w:lang w:eastAsia="fr-CA"/>
              </w:rPr>
            </w:pPr>
            <w:r w:rsidRPr="00E73B8F">
              <w:rPr>
                <w:rFonts w:eastAsia="Times New Roman" w:cs="Times New Roman"/>
                <w:b/>
                <w:color w:val="000000"/>
                <w:lang w:eastAsia="fr-CA"/>
              </w:rPr>
              <w:t xml:space="preserve">DIU en cuivre </w:t>
            </w:r>
          </w:p>
          <w:p w:rsidR="005A7575" w:rsidRPr="00E73B8F" w:rsidRDefault="005A7575" w:rsidP="005A7575">
            <w:pPr>
              <w:rPr>
                <w:rFonts w:eastAsia="Times New Roman" w:cs="Times New Roman"/>
                <w:color w:val="000000"/>
                <w:lang w:eastAsia="fr-CA"/>
              </w:rPr>
            </w:pPr>
            <w:r w:rsidRPr="00E73B8F">
              <w:rPr>
                <w:rFonts w:eastAsia="Times New Roman" w:cs="Times New Roman"/>
                <w:b/>
                <w:color w:val="000000"/>
                <w:lang w:eastAsia="fr-CA"/>
              </w:rPr>
              <w:t>Synéchies intra-utérine</w:t>
            </w:r>
            <w:r w:rsidRPr="00E73B8F">
              <w:rPr>
                <w:rFonts w:eastAsia="Times New Roman" w:cs="Times New Roman"/>
                <w:color w:val="000000"/>
                <w:lang w:eastAsia="fr-CA"/>
              </w:rPr>
              <w:t xml:space="preserve"> (Asherman) </w:t>
            </w:r>
            <w:r w:rsidRPr="00E73B8F">
              <w:rPr>
                <w:rFonts w:ascii="Century Gothic" w:eastAsia="Times New Roman" w:hAnsi="Century Gothic" w:cs="Times New Roman"/>
                <w:color w:val="000000"/>
                <w:lang w:eastAsia="fr-CA"/>
              </w:rPr>
              <w:t>→</w:t>
            </w:r>
            <w:r w:rsidRPr="00E73B8F">
              <w:rPr>
                <w:rFonts w:eastAsia="Times New Roman" w:cs="Times New Roman"/>
                <w:color w:val="000000"/>
                <w:lang w:eastAsia="fr-CA"/>
              </w:rPr>
              <w:t xml:space="preserve"> Voir </w:t>
            </w:r>
            <w:r w:rsidRPr="00E73B8F">
              <w:rPr>
                <w:rFonts w:eastAsia="Times New Roman" w:cs="Times New Roman"/>
                <w:i/>
                <w:color w:val="000000"/>
                <w:lang w:eastAsia="fr-CA"/>
              </w:rPr>
              <w:t>Aménorrhée, oligoménorrhée CMC 56-1</w:t>
            </w:r>
          </w:p>
        </w:tc>
      </w:tr>
      <w:tr w:rsidR="005D306C" w:rsidRPr="005D306C" w:rsidTr="002A1F06">
        <w:tc>
          <w:tcPr>
            <w:tcW w:w="1384" w:type="dxa"/>
            <w:shd w:val="clear" w:color="auto" w:fill="CCC0D9" w:themeFill="accent4" w:themeFillTint="66"/>
          </w:tcPr>
          <w:p w:rsidR="005D306C" w:rsidRPr="005D306C" w:rsidRDefault="005D306C" w:rsidP="00493B66">
            <w:pPr>
              <w:rPr>
                <w:rFonts w:eastAsia="Times New Roman" w:cs="Times New Roman"/>
                <w:color w:val="000000"/>
                <w:lang w:eastAsia="fr-CA"/>
              </w:rPr>
            </w:pPr>
            <w:r w:rsidRPr="005D306C">
              <w:rPr>
                <w:rFonts w:eastAsia="Times New Roman" w:cs="Times New Roman"/>
                <w:color w:val="000000"/>
                <w:lang w:eastAsia="fr-CA"/>
              </w:rPr>
              <w:t>Traitement</w:t>
            </w:r>
          </w:p>
        </w:tc>
        <w:tc>
          <w:tcPr>
            <w:tcW w:w="4678" w:type="dxa"/>
          </w:tcPr>
          <w:p w:rsidR="00493B66" w:rsidRDefault="00493B66" w:rsidP="00493B66">
            <w:pPr>
              <w:rPr>
                <w:rFonts w:eastAsia="Times New Roman" w:cs="Times New Roman"/>
                <w:color w:val="000000"/>
                <w:lang w:eastAsia="fr-CA"/>
              </w:rPr>
            </w:pPr>
            <w:r>
              <w:rPr>
                <w:rFonts w:eastAsia="Times New Roman" w:cs="Times New Roman"/>
                <w:color w:val="000000"/>
                <w:lang w:eastAsia="fr-CA"/>
              </w:rPr>
              <w:t>AINS</w:t>
            </w:r>
          </w:p>
          <w:p w:rsidR="005D306C" w:rsidRDefault="005D306C" w:rsidP="00493B66">
            <w:pPr>
              <w:rPr>
                <w:rFonts w:eastAsia="Times New Roman" w:cs="Times New Roman"/>
                <w:color w:val="000000"/>
                <w:lang w:eastAsia="fr-CA"/>
              </w:rPr>
            </w:pPr>
            <w:r w:rsidRPr="005D306C">
              <w:rPr>
                <w:rFonts w:eastAsia="Times New Roman" w:cs="Times New Roman"/>
                <w:color w:val="000000"/>
                <w:lang w:eastAsia="fr-CA"/>
              </w:rPr>
              <w:t>Contraceptifs oraux combinés</w:t>
            </w:r>
            <w:r w:rsidR="00493B66">
              <w:rPr>
                <w:rFonts w:eastAsia="Times New Roman" w:cs="Times New Roman"/>
                <w:color w:val="000000"/>
                <w:lang w:eastAsia="fr-CA"/>
              </w:rPr>
              <w:t xml:space="preserve"> (COC)</w:t>
            </w:r>
          </w:p>
          <w:p w:rsidR="00493B66" w:rsidRDefault="00493B66" w:rsidP="00493B66">
            <w:pPr>
              <w:rPr>
                <w:rFonts w:eastAsia="Times New Roman" w:cs="Times New Roman"/>
                <w:color w:val="000000"/>
                <w:lang w:eastAsia="fr-CA"/>
              </w:rPr>
            </w:pPr>
            <w:r>
              <w:rPr>
                <w:rFonts w:eastAsia="Times New Roman" w:cs="Times New Roman"/>
                <w:color w:val="000000"/>
                <w:lang w:eastAsia="fr-CA"/>
              </w:rPr>
              <w:t>DIU au Levonorgestrel</w:t>
            </w:r>
          </w:p>
          <w:p w:rsidR="00493B66" w:rsidRDefault="00493B66" w:rsidP="00493B66">
            <w:pPr>
              <w:rPr>
                <w:rFonts w:eastAsia="Times New Roman" w:cs="Times New Roman"/>
                <w:color w:val="000000"/>
                <w:lang w:eastAsia="fr-CA"/>
              </w:rPr>
            </w:pPr>
            <w:r>
              <w:rPr>
                <w:rFonts w:eastAsia="Times New Roman" w:cs="Times New Roman"/>
                <w:color w:val="000000"/>
                <w:lang w:eastAsia="fr-CA"/>
              </w:rPr>
              <w:t>Depo-Provera</w:t>
            </w:r>
          </w:p>
          <w:p w:rsidR="00493B66" w:rsidRPr="005D306C" w:rsidRDefault="00493B66" w:rsidP="00493B66">
            <w:pPr>
              <w:rPr>
                <w:rFonts w:eastAsia="Times New Roman" w:cs="Times New Roman"/>
                <w:color w:val="000000"/>
                <w:lang w:eastAsia="fr-CA"/>
              </w:rPr>
            </w:pPr>
            <w:r>
              <w:rPr>
                <w:rFonts w:eastAsia="Times New Roman" w:cs="Times New Roman"/>
                <w:color w:val="000000"/>
                <w:lang w:eastAsia="fr-CA"/>
              </w:rPr>
              <w:t>Agonistes de la GnRH/Androgènes PRN</w:t>
            </w:r>
          </w:p>
        </w:tc>
        <w:tc>
          <w:tcPr>
            <w:tcW w:w="4954" w:type="dxa"/>
          </w:tcPr>
          <w:p w:rsidR="005D306C" w:rsidRPr="005D306C" w:rsidRDefault="005D306C" w:rsidP="00493B66">
            <w:pPr>
              <w:rPr>
                <w:rFonts w:eastAsia="Times New Roman" w:cs="Times New Roman"/>
                <w:color w:val="000000"/>
                <w:lang w:eastAsia="fr-CA"/>
              </w:rPr>
            </w:pPr>
            <w:r w:rsidRPr="005D306C">
              <w:rPr>
                <w:rFonts w:eastAsia="Times New Roman" w:cs="Times New Roman"/>
                <w:color w:val="000000"/>
                <w:lang w:eastAsia="fr-CA"/>
              </w:rPr>
              <w:t>Selon la cause</w:t>
            </w:r>
            <w:r w:rsidR="00B77324">
              <w:rPr>
                <w:rFonts w:eastAsia="Times New Roman" w:cs="Times New Roman"/>
                <w:color w:val="000000"/>
                <w:lang w:eastAsia="fr-CA"/>
              </w:rPr>
              <w:t xml:space="preserve"> identifiée</w:t>
            </w:r>
          </w:p>
        </w:tc>
      </w:tr>
    </w:tbl>
    <w:p w:rsidR="00D2143C" w:rsidRDefault="00D2143C" w:rsidP="003641D8">
      <w:pPr>
        <w:shd w:val="clear" w:color="auto" w:fill="FFFFFF"/>
        <w:spacing w:before="100" w:beforeAutospacing="1" w:after="100" w:afterAutospacing="1" w:line="240" w:lineRule="auto"/>
        <w:rPr>
          <w:rFonts w:eastAsia="Times New Roman" w:cs="Times New Roman"/>
          <w:b/>
          <w:color w:val="000000"/>
          <w:sz w:val="28"/>
          <w:szCs w:val="28"/>
          <w:lang w:eastAsia="fr-CA"/>
        </w:rPr>
      </w:pPr>
    </w:p>
    <w:p w:rsidR="00D14477" w:rsidRDefault="005D306C" w:rsidP="003641D8">
      <w:pPr>
        <w:shd w:val="clear" w:color="auto" w:fill="FFFFFF"/>
        <w:spacing w:before="100" w:beforeAutospacing="1" w:after="100" w:afterAutospacing="1" w:line="240" w:lineRule="auto"/>
        <w:rPr>
          <w:rFonts w:eastAsia="Times New Roman" w:cs="Times New Roman"/>
          <w:color w:val="000000"/>
          <w:lang w:eastAsia="fr-CA"/>
        </w:rPr>
      </w:pPr>
      <w:r w:rsidRPr="008C0C09">
        <w:rPr>
          <w:rFonts w:eastAsia="Times New Roman" w:cs="Times New Roman"/>
          <w:b/>
          <w:color w:val="000000"/>
          <w:sz w:val="28"/>
          <w:szCs w:val="28"/>
          <w:lang w:eastAsia="fr-CA"/>
        </w:rPr>
        <w:t>Investigation possible</w:t>
      </w:r>
      <w:r w:rsidR="00D14477">
        <w:rPr>
          <w:rFonts w:eastAsia="Times New Roman" w:cs="Times New Roman"/>
          <w:color w:val="000000"/>
          <w:lang w:eastAsia="fr-CA"/>
        </w:rPr>
        <w:t> :</w:t>
      </w:r>
    </w:p>
    <w:p w:rsidR="005344AC" w:rsidRDefault="005344AC" w:rsidP="003641D8">
      <w:pPr>
        <w:shd w:val="clear" w:color="auto" w:fill="FFFFFF"/>
        <w:spacing w:before="100" w:beforeAutospacing="1" w:after="100" w:afterAutospacing="1" w:line="240" w:lineRule="auto"/>
        <w:rPr>
          <w:rFonts w:eastAsia="Times New Roman" w:cs="Times New Roman"/>
          <w:color w:val="000000"/>
          <w:lang w:eastAsia="fr-CA"/>
        </w:rPr>
      </w:pPr>
      <w:r w:rsidRPr="005344AC">
        <w:rPr>
          <w:rFonts w:eastAsia="Times New Roman" w:cs="Times New Roman"/>
          <w:b/>
          <w:color w:val="000000"/>
          <w:lang w:eastAsia="fr-CA"/>
        </w:rPr>
        <w:t>Anamnèse </w:t>
      </w:r>
      <w:r>
        <w:rPr>
          <w:rFonts w:eastAsia="Times New Roman" w:cs="Times New Roman"/>
          <w:color w:val="000000"/>
          <w:lang w:eastAsia="fr-CA"/>
        </w:rPr>
        <w:t>: questionner la temporalité de la dysménorrhée (début, durée, relations avec les règles) pour mettre en évidence la relation avec le cycle menstruel.</w:t>
      </w:r>
    </w:p>
    <w:p w:rsidR="00D14477" w:rsidRDefault="00D14477" w:rsidP="003641D8">
      <w:pPr>
        <w:shd w:val="clear" w:color="auto" w:fill="FFFFFF"/>
        <w:spacing w:before="100" w:beforeAutospacing="1" w:after="100" w:afterAutospacing="1" w:line="240" w:lineRule="auto"/>
        <w:rPr>
          <w:rFonts w:eastAsia="Times New Roman" w:cs="Times New Roman"/>
          <w:color w:val="000000"/>
          <w:lang w:eastAsia="fr-CA"/>
        </w:rPr>
      </w:pPr>
      <w:r w:rsidRPr="005344AC">
        <w:rPr>
          <w:rFonts w:eastAsia="Times New Roman" w:cs="Times New Roman"/>
          <w:b/>
          <w:color w:val="000000"/>
          <w:lang w:eastAsia="fr-CA"/>
        </w:rPr>
        <w:t>Examen gynécologique complet</w:t>
      </w:r>
      <w:r>
        <w:rPr>
          <w:rFonts w:eastAsia="Times New Roman" w:cs="Times New Roman"/>
          <w:color w:val="000000"/>
          <w:lang w:eastAsia="fr-CA"/>
        </w:rPr>
        <w:t> : recherche de masses ou douleurs annexielles ou utérines, position de l’utérus, nodules sur les ligaments utérosacrés (endométriose)</w:t>
      </w:r>
    </w:p>
    <w:p w:rsidR="00594B13" w:rsidRPr="00594B13" w:rsidRDefault="00594B13" w:rsidP="006C77C1">
      <w:pPr>
        <w:pStyle w:val="Paragraphedeliste"/>
        <w:numPr>
          <w:ilvl w:val="0"/>
          <w:numId w:val="330"/>
        </w:numPr>
        <w:shd w:val="clear" w:color="auto" w:fill="FFFFFF"/>
        <w:spacing w:after="0" w:line="240" w:lineRule="auto"/>
        <w:rPr>
          <w:rFonts w:eastAsia="Times New Roman" w:cs="Times New Roman"/>
          <w:color w:val="000000"/>
          <w:lang w:eastAsia="fr-CA"/>
        </w:rPr>
      </w:pPr>
      <w:r w:rsidRPr="00594B13">
        <w:rPr>
          <w:rFonts w:eastAsia="Times New Roman" w:cs="Times New Roman"/>
          <w:color w:val="000000"/>
          <w:lang w:eastAsia="fr-CA"/>
        </w:rPr>
        <w:t xml:space="preserve">Échographie </w:t>
      </w:r>
      <w:r w:rsidR="008C0C09">
        <w:rPr>
          <w:rFonts w:eastAsia="Times New Roman" w:cs="Times New Roman"/>
          <w:color w:val="000000"/>
          <w:lang w:eastAsia="fr-CA"/>
        </w:rPr>
        <w:t>(kyste ovarienne)</w:t>
      </w:r>
    </w:p>
    <w:p w:rsidR="00594B13" w:rsidRPr="00594B13" w:rsidRDefault="00594B13" w:rsidP="006C77C1">
      <w:pPr>
        <w:pStyle w:val="Paragraphedeliste"/>
        <w:numPr>
          <w:ilvl w:val="0"/>
          <w:numId w:val="330"/>
        </w:numPr>
        <w:shd w:val="clear" w:color="auto" w:fill="FFFFFF"/>
        <w:spacing w:after="0" w:line="240" w:lineRule="auto"/>
        <w:rPr>
          <w:rFonts w:eastAsia="Times New Roman" w:cs="Times New Roman"/>
          <w:color w:val="000000"/>
          <w:lang w:eastAsia="fr-CA"/>
        </w:rPr>
      </w:pPr>
      <w:r w:rsidRPr="00594B13">
        <w:rPr>
          <w:rFonts w:eastAsia="Times New Roman" w:cs="Times New Roman"/>
          <w:color w:val="000000"/>
          <w:lang w:eastAsia="fr-CA"/>
        </w:rPr>
        <w:t>Hystéroscopie</w:t>
      </w:r>
      <w:r w:rsidR="005344AC">
        <w:rPr>
          <w:rFonts w:eastAsia="Times New Roman" w:cs="Times New Roman"/>
          <w:color w:val="000000"/>
          <w:lang w:eastAsia="fr-CA"/>
        </w:rPr>
        <w:t xml:space="preserve"> (polypes, adénomyose, léiomyomes, endométrite)</w:t>
      </w:r>
    </w:p>
    <w:p w:rsidR="00594B13" w:rsidRPr="00594B13" w:rsidRDefault="00594B13" w:rsidP="006C77C1">
      <w:pPr>
        <w:pStyle w:val="Paragraphedeliste"/>
        <w:numPr>
          <w:ilvl w:val="0"/>
          <w:numId w:val="330"/>
        </w:numPr>
        <w:shd w:val="clear" w:color="auto" w:fill="FFFFFF"/>
        <w:spacing w:after="0" w:line="240" w:lineRule="auto"/>
        <w:rPr>
          <w:rFonts w:eastAsia="Times New Roman" w:cs="Times New Roman"/>
          <w:color w:val="000000"/>
          <w:lang w:eastAsia="fr-CA"/>
        </w:rPr>
      </w:pPr>
      <w:r w:rsidRPr="00594B13">
        <w:rPr>
          <w:rFonts w:eastAsia="Times New Roman" w:cs="Times New Roman"/>
          <w:color w:val="000000"/>
          <w:lang w:eastAsia="fr-CA"/>
        </w:rPr>
        <w:t>Laparoscopie diagnostique</w:t>
      </w:r>
      <w:r w:rsidR="005344AC">
        <w:rPr>
          <w:rFonts w:eastAsia="Times New Roman" w:cs="Times New Roman"/>
          <w:color w:val="000000"/>
          <w:lang w:eastAsia="fr-CA"/>
        </w:rPr>
        <w:t xml:space="preserve"> (endométriose)</w:t>
      </w:r>
    </w:p>
    <w:p w:rsidR="00594B13" w:rsidRPr="00594B13" w:rsidRDefault="00594B13" w:rsidP="006C77C1">
      <w:pPr>
        <w:pStyle w:val="Paragraphedeliste"/>
        <w:numPr>
          <w:ilvl w:val="0"/>
          <w:numId w:val="330"/>
        </w:numPr>
        <w:shd w:val="clear" w:color="auto" w:fill="FFFFFF"/>
        <w:spacing w:after="0" w:line="240" w:lineRule="auto"/>
        <w:rPr>
          <w:rFonts w:eastAsia="Times New Roman" w:cs="Times New Roman"/>
          <w:color w:val="000000"/>
          <w:lang w:eastAsia="fr-CA"/>
        </w:rPr>
      </w:pPr>
      <w:r w:rsidRPr="00594B13">
        <w:rPr>
          <w:rFonts w:eastAsia="Times New Roman" w:cs="Times New Roman"/>
          <w:color w:val="000000"/>
          <w:lang w:eastAsia="fr-CA"/>
        </w:rPr>
        <w:t>Culture vaginales</w:t>
      </w:r>
      <w:r w:rsidR="005344AC">
        <w:rPr>
          <w:rFonts w:eastAsia="Times New Roman" w:cs="Times New Roman"/>
          <w:color w:val="000000"/>
          <w:lang w:eastAsia="fr-CA"/>
        </w:rPr>
        <w:t xml:space="preserve"> (salpingite, endométrite, vaginites)</w:t>
      </w:r>
    </w:p>
    <w:p w:rsidR="00594B13" w:rsidRDefault="00594B13" w:rsidP="006C77C1">
      <w:pPr>
        <w:pStyle w:val="Paragraphedeliste"/>
        <w:numPr>
          <w:ilvl w:val="0"/>
          <w:numId w:val="330"/>
        </w:numPr>
        <w:shd w:val="clear" w:color="auto" w:fill="FFFFFF"/>
        <w:spacing w:after="0" w:line="240" w:lineRule="auto"/>
        <w:rPr>
          <w:rFonts w:eastAsia="Times New Roman" w:cs="Times New Roman"/>
          <w:color w:val="000000"/>
          <w:lang w:eastAsia="fr-CA"/>
        </w:rPr>
      </w:pPr>
      <w:r w:rsidRPr="00594B13">
        <w:rPr>
          <w:rFonts w:eastAsia="Times New Roman" w:cs="Times New Roman"/>
          <w:color w:val="000000"/>
          <w:lang w:eastAsia="fr-CA"/>
        </w:rPr>
        <w:t xml:space="preserve">Test Papanicolaou </w:t>
      </w:r>
      <w:r w:rsidR="005344AC">
        <w:rPr>
          <w:rFonts w:eastAsia="Times New Roman" w:cs="Times New Roman"/>
          <w:color w:val="000000"/>
          <w:lang w:eastAsia="fr-CA"/>
        </w:rPr>
        <w:t>(recherche de néoplasies du col)</w:t>
      </w:r>
    </w:p>
    <w:p w:rsidR="005344AC" w:rsidRPr="005344AC" w:rsidRDefault="005344AC" w:rsidP="005344AC">
      <w:pPr>
        <w:shd w:val="clear" w:color="auto" w:fill="FFFFFF"/>
        <w:spacing w:after="0" w:line="240" w:lineRule="auto"/>
        <w:rPr>
          <w:rFonts w:eastAsia="Times New Roman" w:cs="Times New Roman"/>
          <w:color w:val="000000"/>
          <w:lang w:eastAsia="fr-CA"/>
        </w:rPr>
      </w:pPr>
    </w:p>
    <w:p w:rsidR="00D14477" w:rsidRPr="005D306C" w:rsidRDefault="00D14477" w:rsidP="003641D8">
      <w:pPr>
        <w:shd w:val="clear" w:color="auto" w:fill="FFFFFF"/>
        <w:spacing w:before="100" w:beforeAutospacing="1" w:after="100" w:afterAutospacing="1" w:line="240" w:lineRule="auto"/>
        <w:rPr>
          <w:rFonts w:eastAsia="Times New Roman" w:cs="Times New Roman"/>
          <w:color w:val="000000"/>
          <w:lang w:eastAsia="fr-CA"/>
        </w:rPr>
      </w:pPr>
    </w:p>
    <w:bookmarkEnd w:id="180"/>
    <w:p w:rsidR="001A1E5F" w:rsidRDefault="005344AC">
      <w:pPr>
        <w:rPr>
          <w:rFonts w:cs="Times New Roman"/>
          <w:b/>
          <w:color w:val="548DD4" w:themeColor="text2" w:themeTint="99"/>
        </w:rPr>
      </w:pPr>
      <w:r>
        <w:rPr>
          <w:noProof/>
          <w:lang w:eastAsia="fr-CA"/>
        </w:rPr>
        <w:drawing>
          <wp:anchor distT="0" distB="0" distL="114300" distR="114300" simplePos="0" relativeHeight="251747328" behindDoc="0" locked="0" layoutInCell="1" allowOverlap="1" wp14:anchorId="3C9476D1" wp14:editId="269F0113">
            <wp:simplePos x="0" y="0"/>
            <wp:positionH relativeFrom="column">
              <wp:posOffset>1457960</wp:posOffset>
            </wp:positionH>
            <wp:positionV relativeFrom="paragraph">
              <wp:posOffset>115570</wp:posOffset>
            </wp:positionV>
            <wp:extent cx="3813175" cy="2733675"/>
            <wp:effectExtent l="0" t="0" r="0" b="9525"/>
            <wp:wrapNone/>
            <wp:docPr id="266" name="Image 266" descr="Résultats de recherche d'images pour « dysménorrhé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ésultats de recherche d'images pour « dysménorrhée »"/>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3813175" cy="2733675"/>
                    </a:xfrm>
                    <a:prstGeom prst="rect">
                      <a:avLst/>
                    </a:prstGeom>
                    <a:noFill/>
                    <a:ln>
                      <a:noFill/>
                    </a:ln>
                  </pic:spPr>
                </pic:pic>
              </a:graphicData>
            </a:graphic>
            <wp14:sizeRelH relativeFrom="page">
              <wp14:pctWidth>0</wp14:pctWidth>
            </wp14:sizeRelH>
            <wp14:sizeRelV relativeFrom="page">
              <wp14:pctHeight>0</wp14:pctHeight>
            </wp14:sizeRelV>
          </wp:anchor>
        </w:drawing>
      </w:r>
      <w:r w:rsidR="001A1E5F">
        <w:rPr>
          <w:rFonts w:cs="Times New Roman"/>
          <w:b/>
          <w:color w:val="548DD4" w:themeColor="text2" w:themeTint="99"/>
        </w:rPr>
        <w:br w:type="page"/>
      </w:r>
    </w:p>
    <w:p w:rsidR="00561CB8" w:rsidRPr="00F62E2A" w:rsidRDefault="00AE7186" w:rsidP="00F62E2A">
      <w:pPr>
        <w:pStyle w:val="Sansinterligne"/>
        <w:rPr>
          <w:rFonts w:cs="Times New Roman"/>
          <w:b/>
          <w:color w:val="548DD4" w:themeColor="text2" w:themeTint="99"/>
        </w:rPr>
      </w:pPr>
      <w:r w:rsidRPr="00F62E2A">
        <w:rPr>
          <w:rFonts w:cs="Times New Roman"/>
          <w:b/>
          <w:color w:val="548DD4" w:themeColor="text2" w:themeTint="99"/>
        </w:rPr>
        <w:t>CMC 56-3</w:t>
      </w:r>
    </w:p>
    <w:p w:rsidR="00AE7186" w:rsidRPr="00F012F8" w:rsidRDefault="00AE7186" w:rsidP="00D12D6A">
      <w:pPr>
        <w:pStyle w:val="Titre3"/>
        <w:spacing w:before="0"/>
        <w:rPr>
          <w:rFonts w:ascii="Times New Roman" w:hAnsi="Times New Roman" w:cs="Times New Roman"/>
        </w:rPr>
      </w:pPr>
      <w:bookmarkStart w:id="181" w:name="_Toc480797294"/>
      <w:r w:rsidRPr="00F012F8">
        <w:rPr>
          <w:rFonts w:ascii="Times New Roman" w:hAnsi="Times New Roman" w:cs="Times New Roman"/>
        </w:rPr>
        <w:t>Trouble dysphorique prémenstruel (</w:t>
      </w:r>
      <w:r w:rsidR="00A26977" w:rsidRPr="00F012F8">
        <w:rPr>
          <w:rFonts w:ascii="Times New Roman" w:hAnsi="Times New Roman" w:cs="Times New Roman"/>
        </w:rPr>
        <w:t xml:space="preserve">et </w:t>
      </w:r>
      <w:r w:rsidRPr="00F012F8">
        <w:rPr>
          <w:rFonts w:ascii="Times New Roman" w:hAnsi="Times New Roman" w:cs="Times New Roman"/>
        </w:rPr>
        <w:t>SPM)</w:t>
      </w:r>
      <w:bookmarkEnd w:id="181"/>
    </w:p>
    <w:tbl>
      <w:tblPr>
        <w:tblW w:w="5000" w:type="pct"/>
        <w:tblCellSpacing w:w="0" w:type="dxa"/>
        <w:tblCellMar>
          <w:left w:w="0" w:type="dxa"/>
          <w:right w:w="0" w:type="dxa"/>
        </w:tblCellMar>
        <w:tblLook w:val="04A0" w:firstRow="1" w:lastRow="0" w:firstColumn="1" w:lastColumn="0" w:noHBand="0" w:noVBand="1"/>
      </w:tblPr>
      <w:tblGrid>
        <w:gridCol w:w="10759"/>
        <w:gridCol w:w="41"/>
      </w:tblGrid>
      <w:tr w:rsidR="0005379E" w:rsidRPr="00F012F8" w:rsidTr="0005379E">
        <w:trPr>
          <w:tblCellSpacing w:w="0" w:type="dxa"/>
        </w:trPr>
        <w:tc>
          <w:tcPr>
            <w:tcW w:w="0" w:type="auto"/>
            <w:vAlign w:val="bottom"/>
            <w:hideMark/>
          </w:tcPr>
          <w:bookmarkStart w:id="182" w:name="_Toc474266716"/>
          <w:bookmarkStart w:id="183" w:name="_Toc474274471"/>
          <w:bookmarkStart w:id="184" w:name="_Toc474769838"/>
          <w:bookmarkStart w:id="185" w:name="_Toc475198231"/>
          <w:bookmarkStart w:id="186" w:name="_Toc475563855"/>
          <w:p w:rsidR="0005379E" w:rsidRPr="00142FB5" w:rsidRDefault="00D12D6A" w:rsidP="00142FB5">
            <w:pPr>
              <w:pStyle w:val="Sansinterligne"/>
              <w:spacing w:before="240"/>
              <w:rPr>
                <w:b/>
                <w:sz w:val="18"/>
                <w:szCs w:val="18"/>
                <w:lang w:eastAsia="fr-CA"/>
              </w:rPr>
            </w:pPr>
            <w:r w:rsidRPr="00142FB5">
              <w:rPr>
                <w:b/>
                <w:noProof/>
                <w:sz w:val="18"/>
                <w:szCs w:val="18"/>
                <w:lang w:eastAsia="fr-CA"/>
              </w:rPr>
              <mc:AlternateContent>
                <mc:Choice Requires="wps">
                  <w:drawing>
                    <wp:anchor distT="0" distB="0" distL="114300" distR="114300" simplePos="0" relativeHeight="251659264" behindDoc="1" locked="0" layoutInCell="1" allowOverlap="1" wp14:anchorId="3CF904E1" wp14:editId="383CF073">
                      <wp:simplePos x="0" y="0"/>
                      <wp:positionH relativeFrom="column">
                        <wp:posOffset>-58366</wp:posOffset>
                      </wp:positionH>
                      <wp:positionV relativeFrom="paragraph">
                        <wp:posOffset>109396</wp:posOffset>
                      </wp:positionV>
                      <wp:extent cx="6963410" cy="3296920"/>
                      <wp:effectExtent l="0" t="0" r="27940" b="17780"/>
                      <wp:wrapNone/>
                      <wp:docPr id="1" name="Rectangle 1"/>
                      <wp:cNvGraphicFramePr/>
                      <a:graphic xmlns:a="http://schemas.openxmlformats.org/drawingml/2006/main">
                        <a:graphicData uri="http://schemas.microsoft.com/office/word/2010/wordprocessingShape">
                          <wps:wsp>
                            <wps:cNvSpPr/>
                            <wps:spPr>
                              <a:xfrm>
                                <a:off x="0" y="0"/>
                                <a:ext cx="6963410" cy="3296920"/>
                              </a:xfrm>
                              <a:prstGeom prst="rect">
                                <a:avLst/>
                              </a:prstGeom>
                              <a:noFill/>
                            </wps:spPr>
                            <wps:style>
                              <a:lnRef idx="2">
                                <a:schemeClr val="dk1">
                                  <a:shade val="50000"/>
                                </a:schemeClr>
                              </a:lnRef>
                              <a:fillRef idx="1">
                                <a:schemeClr val="dk1"/>
                              </a:fillRef>
                              <a:effectRef idx="0">
                                <a:schemeClr val="dk1"/>
                              </a:effectRef>
                              <a:fontRef idx="minor">
                                <a:schemeClr val="lt1"/>
                              </a:fontRef>
                            </wps:style>
                            <wps:txbx>
                              <w:txbxContent>
                                <w:p w:rsidR="008276DC" w:rsidRDefault="008276DC" w:rsidP="00EF774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 o:spid="_x0000_s1086" style="position:absolute;margin-left:-4.6pt;margin-top:8.6pt;width:548.3pt;height:259.6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" filled="f" strokecolor="black [1600]" strokeweight="2pt">
                      <v:textbox>
                        <w:txbxContent>
                          <w:p w:rsidR="008276DC" w:rsidRDefault="008276DC" w:rsidP="00EF7748">
                            <w:pPr>
                              <w:jc w:val="center"/>
                            </w:pPr>
                          </w:p>
                        </w:txbxContent>
                      </v:textbox>
                    </v:rect>
                  </w:pict>
                </mc:Fallback>
              </mc:AlternateContent>
            </w:r>
            <w:r w:rsidR="0005379E" w:rsidRPr="00142FB5">
              <w:rPr>
                <w:b/>
                <w:sz w:val="18"/>
                <w:szCs w:val="18"/>
                <w:lang w:eastAsia="fr-CA"/>
              </w:rPr>
              <w:t>Objectifs principaux</w:t>
            </w:r>
            <w:bookmarkEnd w:id="182"/>
            <w:bookmarkEnd w:id="183"/>
            <w:bookmarkEnd w:id="184"/>
            <w:bookmarkEnd w:id="185"/>
            <w:bookmarkEnd w:id="186"/>
          </w:p>
        </w:tc>
        <w:tc>
          <w:tcPr>
            <w:tcW w:w="0" w:type="auto"/>
            <w:vAlign w:val="bottom"/>
            <w:hideMark/>
          </w:tcPr>
          <w:p w:rsidR="0005379E" w:rsidRPr="00F012F8" w:rsidRDefault="0005379E" w:rsidP="0005379E">
            <w:pPr>
              <w:spacing w:after="0" w:line="240" w:lineRule="auto"/>
              <w:jc w:val="right"/>
              <w:rPr>
                <w:rFonts w:eastAsia="Times New Roman" w:cs="Times New Roman"/>
                <w:color w:val="000000"/>
                <w:sz w:val="18"/>
                <w:szCs w:val="18"/>
                <w:lang w:eastAsia="fr-CA"/>
              </w:rPr>
            </w:pPr>
          </w:p>
        </w:tc>
      </w:tr>
    </w:tbl>
    <w:p w:rsidR="0005379E" w:rsidRPr="00F012F8" w:rsidRDefault="0005379E" w:rsidP="009C10FD">
      <w:pPr>
        <w:spacing w:before="100" w:beforeAutospacing="1" w:after="0" w:line="240" w:lineRule="auto"/>
        <w:ind w:left="360"/>
        <w:rPr>
          <w:rFonts w:eastAsia="Times New Roman" w:cs="Times New Roman"/>
          <w:color w:val="000000"/>
          <w:sz w:val="18"/>
          <w:szCs w:val="18"/>
          <w:shd w:val="clear" w:color="auto" w:fill="FFFFFF"/>
          <w:lang w:eastAsia="fr-CA"/>
        </w:rPr>
      </w:pPr>
      <w:r w:rsidRPr="00F012F8">
        <w:rPr>
          <w:rFonts w:eastAsia="Times New Roman" w:cs="Times New Roman"/>
          <w:color w:val="000000"/>
          <w:sz w:val="18"/>
          <w:szCs w:val="18"/>
          <w:shd w:val="clear" w:color="auto" w:fill="FFFFFF"/>
          <w:lang w:eastAsia="fr-CA"/>
        </w:rPr>
        <w:t>Dans le cas d'une patiente atteinte du trouble dysphorique prémenstruel (SPM), le candidat devra en diagnostiquer la gravité et les complications, et mettre en place un plan de prise en charge approprié. Il devra en particulier distinguer le SPM de symptômes prémenstruels normaux ou d'autres causes de symptômes physiques ou de changements d'humeur. Il devra aussi étudier les effets psychosociaux de cette affection.</w:t>
      </w:r>
    </w:p>
    <w:tbl>
      <w:tblPr>
        <w:tblW w:w="5000" w:type="pct"/>
        <w:tblCellSpacing w:w="0" w:type="dxa"/>
        <w:tblCellMar>
          <w:left w:w="0" w:type="dxa"/>
          <w:right w:w="0" w:type="dxa"/>
        </w:tblCellMar>
        <w:tblLook w:val="04A0" w:firstRow="1" w:lastRow="0" w:firstColumn="1" w:lastColumn="0" w:noHBand="0" w:noVBand="1"/>
      </w:tblPr>
      <w:tblGrid>
        <w:gridCol w:w="10754"/>
        <w:gridCol w:w="46"/>
      </w:tblGrid>
      <w:tr w:rsidR="0005379E" w:rsidRPr="00F012F8" w:rsidTr="0005379E">
        <w:trPr>
          <w:tblCellSpacing w:w="0" w:type="dxa"/>
        </w:trPr>
        <w:tc>
          <w:tcPr>
            <w:tcW w:w="0" w:type="auto"/>
            <w:vAlign w:val="bottom"/>
            <w:hideMark/>
          </w:tcPr>
          <w:p w:rsidR="0005379E" w:rsidRPr="00142FB5" w:rsidRDefault="0005379E" w:rsidP="00142FB5">
            <w:pPr>
              <w:pStyle w:val="Sansinterligne"/>
              <w:spacing w:before="240"/>
              <w:rPr>
                <w:b/>
                <w:sz w:val="16"/>
                <w:szCs w:val="16"/>
                <w:lang w:eastAsia="fr-CA"/>
              </w:rPr>
            </w:pPr>
            <w:bookmarkStart w:id="187" w:name="_Toc474266717"/>
            <w:bookmarkStart w:id="188" w:name="_Toc474274472"/>
            <w:bookmarkStart w:id="189" w:name="_Toc474769839"/>
            <w:bookmarkStart w:id="190" w:name="_Toc475198232"/>
            <w:bookmarkStart w:id="191" w:name="_Toc475563856"/>
            <w:r w:rsidRPr="00142FB5">
              <w:rPr>
                <w:b/>
                <w:sz w:val="16"/>
                <w:szCs w:val="16"/>
                <w:lang w:eastAsia="fr-CA"/>
              </w:rPr>
              <w:t>Objectifs spécifiques</w:t>
            </w:r>
            <w:bookmarkEnd w:id="187"/>
            <w:bookmarkEnd w:id="188"/>
            <w:bookmarkEnd w:id="189"/>
            <w:bookmarkEnd w:id="190"/>
            <w:bookmarkEnd w:id="191"/>
          </w:p>
        </w:tc>
        <w:tc>
          <w:tcPr>
            <w:tcW w:w="0" w:type="auto"/>
            <w:vAlign w:val="bottom"/>
            <w:hideMark/>
          </w:tcPr>
          <w:p w:rsidR="0005379E" w:rsidRPr="00F012F8" w:rsidRDefault="0005379E" w:rsidP="00142FB5">
            <w:pPr>
              <w:spacing w:before="240" w:after="0" w:line="240" w:lineRule="auto"/>
              <w:jc w:val="right"/>
              <w:rPr>
                <w:rFonts w:eastAsia="Times New Roman" w:cs="Times New Roman"/>
                <w:color w:val="000000"/>
                <w:sz w:val="16"/>
                <w:szCs w:val="16"/>
                <w:lang w:eastAsia="fr-CA"/>
              </w:rPr>
            </w:pPr>
          </w:p>
        </w:tc>
      </w:tr>
    </w:tbl>
    <w:p w:rsidR="0005379E" w:rsidRPr="00F012F8" w:rsidRDefault="0005379E" w:rsidP="0005379E">
      <w:pPr>
        <w:shd w:val="clear" w:color="auto" w:fill="FFFFFF"/>
        <w:spacing w:before="100" w:beforeAutospacing="1" w:after="100" w:afterAutospacing="1" w:line="240" w:lineRule="auto"/>
        <w:ind w:left="360"/>
        <w:rPr>
          <w:rFonts w:eastAsia="Times New Roman" w:cs="Times New Roman"/>
          <w:color w:val="000000"/>
          <w:sz w:val="16"/>
          <w:szCs w:val="16"/>
          <w:shd w:val="clear" w:color="auto" w:fill="FFFFFF"/>
          <w:lang w:eastAsia="fr-CA"/>
        </w:rPr>
      </w:pPr>
      <w:r w:rsidRPr="00F012F8">
        <w:rPr>
          <w:rFonts w:eastAsia="Times New Roman" w:cs="Times New Roman"/>
          <w:color w:val="000000"/>
          <w:sz w:val="16"/>
          <w:szCs w:val="16"/>
          <w:shd w:val="clear" w:color="auto" w:fill="FFFFFF"/>
          <w:lang w:eastAsia="fr-CA"/>
        </w:rPr>
        <w:t>Dans le cas d'une patiente atteinte du trouble dysphorique prémenstruel (SPM), le candidat devra</w:t>
      </w:r>
    </w:p>
    <w:p w:rsidR="0005379E" w:rsidRPr="00F012F8" w:rsidRDefault="0005379E" w:rsidP="0005379E">
      <w:pPr>
        <w:numPr>
          <w:ilvl w:val="0"/>
          <w:numId w:val="1"/>
        </w:numPr>
        <w:shd w:val="clear" w:color="auto" w:fill="FFFFFF"/>
        <w:spacing w:before="100" w:beforeAutospacing="1" w:after="100" w:afterAutospacing="1" w:line="240" w:lineRule="auto"/>
        <w:rPr>
          <w:rFonts w:eastAsia="Times New Roman" w:cs="Times New Roman"/>
          <w:color w:val="000000"/>
          <w:sz w:val="16"/>
          <w:szCs w:val="16"/>
          <w:shd w:val="clear" w:color="auto" w:fill="FFFFFF"/>
          <w:lang w:eastAsia="fr-CA"/>
        </w:rPr>
      </w:pPr>
      <w:r w:rsidRPr="00F012F8">
        <w:rPr>
          <w:rFonts w:eastAsia="Times New Roman" w:cs="Times New Roman"/>
          <w:color w:val="000000"/>
          <w:sz w:val="16"/>
          <w:szCs w:val="16"/>
          <w:shd w:val="clear" w:color="auto" w:fill="FFFFFF"/>
          <w:lang w:eastAsia="fr-CA"/>
        </w:rPr>
        <w:t>énumérer et interpréter les constatations cliniques cruciales, notamment :</w:t>
      </w:r>
    </w:p>
    <w:p w:rsidR="0005379E" w:rsidRPr="00F012F8" w:rsidRDefault="0005379E" w:rsidP="0005379E">
      <w:pPr>
        <w:numPr>
          <w:ilvl w:val="1"/>
          <w:numId w:val="1"/>
        </w:numPr>
        <w:shd w:val="clear" w:color="auto" w:fill="FFFFFF"/>
        <w:spacing w:before="100" w:beforeAutospacing="1" w:after="100" w:afterAutospacing="1" w:line="240" w:lineRule="auto"/>
        <w:rPr>
          <w:rFonts w:eastAsia="Times New Roman" w:cs="Times New Roman"/>
          <w:color w:val="000000"/>
          <w:sz w:val="16"/>
          <w:szCs w:val="16"/>
          <w:shd w:val="clear" w:color="auto" w:fill="FFFFFF"/>
          <w:lang w:eastAsia="fr-CA"/>
        </w:rPr>
      </w:pPr>
      <w:r w:rsidRPr="00F012F8">
        <w:rPr>
          <w:rFonts w:eastAsia="Times New Roman" w:cs="Times New Roman"/>
          <w:color w:val="000000"/>
          <w:sz w:val="16"/>
          <w:szCs w:val="16"/>
          <w:shd w:val="clear" w:color="auto" w:fill="FFFFFF"/>
          <w:lang w:eastAsia="fr-CA"/>
        </w:rPr>
        <w:t>déterminer si les symptômes sont cycliques (p. ex. utilisation d'un journal des symptômes);</w:t>
      </w:r>
    </w:p>
    <w:p w:rsidR="0005379E" w:rsidRPr="00F012F8" w:rsidRDefault="0005379E" w:rsidP="0005379E">
      <w:pPr>
        <w:numPr>
          <w:ilvl w:val="1"/>
          <w:numId w:val="1"/>
        </w:numPr>
        <w:shd w:val="clear" w:color="auto" w:fill="FFFFFF"/>
        <w:spacing w:before="100" w:beforeAutospacing="1" w:after="100" w:afterAutospacing="1" w:line="240" w:lineRule="auto"/>
        <w:rPr>
          <w:rFonts w:eastAsia="Times New Roman" w:cs="Times New Roman"/>
          <w:color w:val="000000"/>
          <w:sz w:val="16"/>
          <w:szCs w:val="16"/>
          <w:shd w:val="clear" w:color="auto" w:fill="FFFFFF"/>
          <w:lang w:eastAsia="fr-CA"/>
        </w:rPr>
      </w:pPr>
      <w:r w:rsidRPr="00F012F8">
        <w:rPr>
          <w:rFonts w:eastAsia="Times New Roman" w:cs="Times New Roman"/>
          <w:color w:val="000000"/>
          <w:sz w:val="16"/>
          <w:szCs w:val="16"/>
          <w:shd w:val="clear" w:color="auto" w:fill="FFFFFF"/>
          <w:lang w:eastAsia="fr-CA"/>
        </w:rPr>
        <w:t>s'assurer que les symptômes ne constituent pas une exacerbation d'une autre affection chronique (p. ex. trouble dépressif majeur);</w:t>
      </w:r>
    </w:p>
    <w:p w:rsidR="0005379E" w:rsidRPr="00F012F8" w:rsidRDefault="0005379E" w:rsidP="0005379E">
      <w:pPr>
        <w:numPr>
          <w:ilvl w:val="1"/>
          <w:numId w:val="1"/>
        </w:numPr>
        <w:shd w:val="clear" w:color="auto" w:fill="FFFFFF"/>
        <w:spacing w:before="100" w:beforeAutospacing="1" w:after="100" w:afterAutospacing="1" w:line="240" w:lineRule="auto"/>
        <w:rPr>
          <w:rFonts w:eastAsia="Times New Roman" w:cs="Times New Roman"/>
          <w:color w:val="000000"/>
          <w:sz w:val="16"/>
          <w:szCs w:val="16"/>
          <w:shd w:val="clear" w:color="auto" w:fill="FFFFFF"/>
          <w:lang w:eastAsia="fr-CA"/>
        </w:rPr>
      </w:pPr>
      <w:r w:rsidRPr="00F012F8">
        <w:rPr>
          <w:rFonts w:eastAsia="Times New Roman" w:cs="Times New Roman"/>
          <w:color w:val="000000"/>
          <w:sz w:val="16"/>
          <w:szCs w:val="16"/>
          <w:shd w:val="clear" w:color="auto" w:fill="FFFFFF"/>
          <w:lang w:eastAsia="fr-CA"/>
        </w:rPr>
        <w:t>évaluer la gravité des symptômes physiques et de ceux qui concernent l'humeur, ainsi que leurs conséquences psychosociales;</w:t>
      </w:r>
    </w:p>
    <w:p w:rsidR="0005379E" w:rsidRPr="00F012F8" w:rsidRDefault="0005379E" w:rsidP="0005379E">
      <w:pPr>
        <w:numPr>
          <w:ilvl w:val="0"/>
          <w:numId w:val="1"/>
        </w:numPr>
        <w:shd w:val="clear" w:color="auto" w:fill="FFFFFF"/>
        <w:spacing w:before="100" w:beforeAutospacing="1" w:after="100" w:afterAutospacing="1" w:line="240" w:lineRule="auto"/>
        <w:rPr>
          <w:rFonts w:eastAsia="Times New Roman" w:cs="Times New Roman"/>
          <w:color w:val="000000"/>
          <w:sz w:val="16"/>
          <w:szCs w:val="16"/>
          <w:shd w:val="clear" w:color="auto" w:fill="FFFFFF"/>
          <w:lang w:eastAsia="fr-CA"/>
        </w:rPr>
      </w:pPr>
      <w:r w:rsidRPr="00F012F8">
        <w:rPr>
          <w:rFonts w:eastAsia="Times New Roman" w:cs="Times New Roman"/>
          <w:color w:val="000000"/>
          <w:sz w:val="16"/>
          <w:szCs w:val="16"/>
          <w:shd w:val="clear" w:color="auto" w:fill="FFFFFF"/>
          <w:lang w:eastAsia="fr-CA"/>
        </w:rPr>
        <w:t>énumérer et interpréter les examens essentiels, notamment :</w:t>
      </w:r>
    </w:p>
    <w:p w:rsidR="0005379E" w:rsidRPr="00F012F8" w:rsidRDefault="0005379E" w:rsidP="0005379E">
      <w:pPr>
        <w:numPr>
          <w:ilvl w:val="1"/>
          <w:numId w:val="1"/>
        </w:numPr>
        <w:shd w:val="clear" w:color="auto" w:fill="FFFFFF"/>
        <w:spacing w:before="100" w:beforeAutospacing="1" w:after="100" w:afterAutospacing="1" w:line="240" w:lineRule="auto"/>
        <w:rPr>
          <w:rFonts w:eastAsia="Times New Roman" w:cs="Times New Roman"/>
          <w:color w:val="000000"/>
          <w:sz w:val="16"/>
          <w:szCs w:val="16"/>
          <w:shd w:val="clear" w:color="auto" w:fill="FFFFFF"/>
          <w:lang w:eastAsia="fr-CA"/>
        </w:rPr>
      </w:pPr>
      <w:r w:rsidRPr="00F012F8">
        <w:rPr>
          <w:rFonts w:eastAsia="Times New Roman" w:cs="Times New Roman"/>
          <w:color w:val="000000"/>
          <w:sz w:val="16"/>
          <w:szCs w:val="16"/>
          <w:shd w:val="clear" w:color="auto" w:fill="FFFFFF"/>
          <w:lang w:eastAsia="fr-CA"/>
        </w:rPr>
        <w:t>considération et exclusion d'affections dont la symptomatologie est semblable (p. ex. hypothyroïdie, anémie);</w:t>
      </w:r>
    </w:p>
    <w:p w:rsidR="0005379E" w:rsidRPr="00F012F8" w:rsidRDefault="0005379E" w:rsidP="0005379E">
      <w:pPr>
        <w:numPr>
          <w:ilvl w:val="1"/>
          <w:numId w:val="1"/>
        </w:numPr>
        <w:shd w:val="clear" w:color="auto" w:fill="FFFFFF"/>
        <w:spacing w:before="100" w:beforeAutospacing="1" w:after="100" w:afterAutospacing="1" w:line="240" w:lineRule="auto"/>
        <w:rPr>
          <w:rFonts w:eastAsia="Times New Roman" w:cs="Times New Roman"/>
          <w:color w:val="000000"/>
          <w:sz w:val="16"/>
          <w:szCs w:val="16"/>
          <w:shd w:val="clear" w:color="auto" w:fill="FFFFFF"/>
          <w:lang w:eastAsia="fr-CA"/>
        </w:rPr>
      </w:pPr>
      <w:r w:rsidRPr="00F012F8">
        <w:rPr>
          <w:rFonts w:eastAsia="Times New Roman" w:cs="Times New Roman"/>
          <w:color w:val="000000"/>
          <w:sz w:val="16"/>
          <w:szCs w:val="16"/>
          <w:shd w:val="clear" w:color="auto" w:fill="FFFFFF"/>
          <w:lang w:eastAsia="fr-CA"/>
        </w:rPr>
        <w:t>prise en compte du fait que, dans la majorité des cas, aucun examen supplémentaire n'est requis;</w:t>
      </w:r>
    </w:p>
    <w:p w:rsidR="0005379E" w:rsidRPr="00F012F8" w:rsidRDefault="0005379E" w:rsidP="0005379E">
      <w:pPr>
        <w:numPr>
          <w:ilvl w:val="0"/>
          <w:numId w:val="1"/>
        </w:numPr>
        <w:shd w:val="clear" w:color="auto" w:fill="FFFFFF"/>
        <w:spacing w:before="100" w:beforeAutospacing="1" w:after="100" w:afterAutospacing="1" w:line="240" w:lineRule="auto"/>
        <w:rPr>
          <w:rFonts w:eastAsia="Times New Roman" w:cs="Times New Roman"/>
          <w:color w:val="000000"/>
          <w:sz w:val="16"/>
          <w:szCs w:val="16"/>
          <w:shd w:val="clear" w:color="auto" w:fill="FFFFFF"/>
          <w:lang w:eastAsia="fr-CA"/>
        </w:rPr>
      </w:pPr>
      <w:r w:rsidRPr="00F012F8">
        <w:rPr>
          <w:rFonts w:eastAsia="Times New Roman" w:cs="Times New Roman"/>
          <w:color w:val="000000"/>
          <w:sz w:val="16"/>
          <w:szCs w:val="16"/>
          <w:shd w:val="clear" w:color="auto" w:fill="FFFFFF"/>
          <w:lang w:eastAsia="fr-CA"/>
        </w:rPr>
        <w:t>établir un plan efficace de prise en charge initiale, notamment :</w:t>
      </w:r>
    </w:p>
    <w:p w:rsidR="0005379E" w:rsidRPr="00F012F8" w:rsidRDefault="0005379E" w:rsidP="0005379E">
      <w:pPr>
        <w:numPr>
          <w:ilvl w:val="1"/>
          <w:numId w:val="1"/>
        </w:numPr>
        <w:shd w:val="clear" w:color="auto" w:fill="FFFFFF"/>
        <w:spacing w:before="100" w:beforeAutospacing="1" w:after="100" w:afterAutospacing="1" w:line="240" w:lineRule="auto"/>
        <w:rPr>
          <w:rFonts w:eastAsia="Times New Roman" w:cs="Times New Roman"/>
          <w:color w:val="000000"/>
          <w:sz w:val="16"/>
          <w:szCs w:val="16"/>
          <w:shd w:val="clear" w:color="auto" w:fill="FFFFFF"/>
          <w:lang w:eastAsia="fr-CA"/>
        </w:rPr>
      </w:pPr>
      <w:r w:rsidRPr="00F012F8">
        <w:rPr>
          <w:rFonts w:eastAsia="Times New Roman" w:cs="Times New Roman"/>
          <w:color w:val="000000"/>
          <w:sz w:val="16"/>
          <w:szCs w:val="16"/>
          <w:shd w:val="clear" w:color="auto" w:fill="FFFFFF"/>
          <w:lang w:eastAsia="fr-CA"/>
        </w:rPr>
        <w:t>exposer la prise en charge initiale, dont le traitement de soutien et les conseils liés aux habitudes (p. ex. régime alimentaire, exercice, réduction du stress);</w:t>
      </w:r>
    </w:p>
    <w:p w:rsidR="0005379E" w:rsidRPr="00F012F8" w:rsidRDefault="0005379E" w:rsidP="0005379E">
      <w:pPr>
        <w:numPr>
          <w:ilvl w:val="1"/>
          <w:numId w:val="1"/>
        </w:numPr>
        <w:shd w:val="clear" w:color="auto" w:fill="FFFFFF"/>
        <w:spacing w:before="100" w:beforeAutospacing="1" w:after="100" w:afterAutospacing="1" w:line="240" w:lineRule="auto"/>
        <w:rPr>
          <w:rFonts w:eastAsia="Times New Roman" w:cs="Times New Roman"/>
          <w:color w:val="000000"/>
          <w:sz w:val="16"/>
          <w:szCs w:val="16"/>
          <w:shd w:val="clear" w:color="auto" w:fill="FFFFFF"/>
          <w:lang w:eastAsia="fr-CA"/>
        </w:rPr>
      </w:pPr>
      <w:r w:rsidRPr="00F012F8">
        <w:rPr>
          <w:rFonts w:eastAsia="Times New Roman" w:cs="Times New Roman"/>
          <w:color w:val="000000"/>
          <w:sz w:val="16"/>
          <w:szCs w:val="16"/>
          <w:shd w:val="clear" w:color="auto" w:fill="FFFFFF"/>
          <w:lang w:eastAsia="fr-CA"/>
        </w:rPr>
        <w:t>envisager le recours à l'hormonothérapie pour supprimer l'ovulation (p. ex. contraceptif oral);</w:t>
      </w:r>
    </w:p>
    <w:p w:rsidR="006B49BE" w:rsidRPr="00F012F8" w:rsidRDefault="0005379E" w:rsidP="006B49BE">
      <w:pPr>
        <w:numPr>
          <w:ilvl w:val="1"/>
          <w:numId w:val="1"/>
        </w:numPr>
        <w:shd w:val="clear" w:color="auto" w:fill="FFFFFF"/>
        <w:spacing w:before="100" w:beforeAutospacing="1" w:after="100" w:afterAutospacing="1" w:line="240" w:lineRule="auto"/>
        <w:rPr>
          <w:rFonts w:eastAsia="Times New Roman" w:cs="Times New Roman"/>
          <w:color w:val="000000"/>
          <w:sz w:val="16"/>
          <w:szCs w:val="16"/>
          <w:shd w:val="clear" w:color="auto" w:fill="FFFFFF"/>
          <w:lang w:eastAsia="fr-CA"/>
        </w:rPr>
      </w:pPr>
      <w:r w:rsidRPr="00F012F8">
        <w:rPr>
          <w:rFonts w:eastAsia="Times New Roman" w:cs="Times New Roman"/>
          <w:color w:val="000000"/>
          <w:sz w:val="16"/>
          <w:szCs w:val="16"/>
          <w:shd w:val="clear" w:color="auto" w:fill="FFFFFF"/>
          <w:lang w:eastAsia="fr-CA"/>
        </w:rPr>
        <w:t>énumérer les indications du recours à des inhibiteurs sélectifs de la recapture de la sérotonine pour le traitement du trouble dysphorique prémenstruel (SPM).</w:t>
      </w:r>
    </w:p>
    <w:p w:rsidR="00657C86" w:rsidRPr="00F012F8" w:rsidRDefault="00BB4102" w:rsidP="007942D5">
      <w:pPr>
        <w:spacing w:after="0"/>
        <w:rPr>
          <w:rFonts w:cs="Times New Roman"/>
        </w:rPr>
      </w:pPr>
      <w:r w:rsidRPr="00F012F8">
        <w:rPr>
          <w:rFonts w:cs="Times New Roman"/>
          <w:b/>
          <w:sz w:val="28"/>
          <w:szCs w:val="28"/>
        </w:rPr>
        <w:t>Étiologie </w:t>
      </w:r>
      <w:r w:rsidRPr="00F012F8">
        <w:rPr>
          <w:rFonts w:cs="Times New Roman"/>
          <w:b/>
        </w:rPr>
        <w:t>:</w:t>
      </w:r>
      <w:r w:rsidRPr="00F012F8">
        <w:rPr>
          <w:rFonts w:cs="Times New Roman"/>
        </w:rPr>
        <w:t xml:space="preserve"> non-établie, théorie sur un défaut de régulation de la sérotonine +/- interaction avec les stéroïdes hormonaux </w:t>
      </w:r>
    </w:p>
    <w:p w:rsidR="006B49BE" w:rsidRPr="00F012F8" w:rsidRDefault="006B49BE" w:rsidP="007942D5">
      <w:pPr>
        <w:spacing w:after="0"/>
        <w:rPr>
          <w:rFonts w:cs="Times New Roman"/>
          <w:b/>
          <w:sz w:val="28"/>
          <w:szCs w:val="28"/>
        </w:rPr>
      </w:pPr>
      <w:r w:rsidRPr="00F012F8">
        <w:rPr>
          <w:rFonts w:cs="Times New Roman"/>
          <w:b/>
          <w:sz w:val="28"/>
          <w:szCs w:val="28"/>
        </w:rPr>
        <w:t>Diagnostic</w:t>
      </w:r>
    </w:p>
    <w:tbl>
      <w:tblPr>
        <w:tblStyle w:val="Grilledutableau"/>
        <w:tblW w:w="11023" w:type="dxa"/>
        <w:tblLook w:val="04A0" w:firstRow="1" w:lastRow="0" w:firstColumn="1" w:lastColumn="0" w:noHBand="0" w:noVBand="1"/>
      </w:tblPr>
      <w:tblGrid>
        <w:gridCol w:w="4418"/>
        <w:gridCol w:w="1077"/>
        <w:gridCol w:w="5528"/>
      </w:tblGrid>
      <w:tr w:rsidR="00A26977" w:rsidRPr="00F012F8" w:rsidTr="002A1F06">
        <w:trPr>
          <w:trHeight w:val="538"/>
        </w:trPr>
        <w:tc>
          <w:tcPr>
            <w:tcW w:w="11023" w:type="dxa"/>
            <w:gridSpan w:val="3"/>
            <w:shd w:val="clear" w:color="auto" w:fill="B2A1C7" w:themeFill="accent4" w:themeFillTint="99"/>
          </w:tcPr>
          <w:p w:rsidR="00A26977" w:rsidRPr="00F012F8" w:rsidRDefault="00A26977" w:rsidP="00A26977">
            <w:pPr>
              <w:jc w:val="center"/>
              <w:rPr>
                <w:rFonts w:cs="Times New Roman"/>
                <w:b/>
              </w:rPr>
            </w:pPr>
            <w:r w:rsidRPr="00F012F8">
              <w:rPr>
                <w:rFonts w:cs="Times New Roman"/>
                <w:b/>
              </w:rPr>
              <w:t>Syndrome prémenstruel</w:t>
            </w:r>
          </w:p>
          <w:p w:rsidR="00A26977" w:rsidRPr="00F012F8" w:rsidRDefault="00A26977" w:rsidP="00A26977">
            <w:pPr>
              <w:jc w:val="center"/>
              <w:rPr>
                <w:rFonts w:cs="Times New Roman"/>
              </w:rPr>
            </w:pPr>
            <w:r w:rsidRPr="00F012F8">
              <w:rPr>
                <w:rFonts w:cs="Times New Roman"/>
              </w:rPr>
              <w:t>≥ 1 Sx affectif et ≥  1 Sx somatique dans les 5 jours précédents les menstruations</w:t>
            </w:r>
          </w:p>
          <w:p w:rsidR="00A26977" w:rsidRPr="00F012F8" w:rsidRDefault="00657C86" w:rsidP="00A26977">
            <w:pPr>
              <w:jc w:val="center"/>
              <w:rPr>
                <w:rFonts w:cs="Times New Roman"/>
              </w:rPr>
            </w:pPr>
            <w:r w:rsidRPr="00F012F8">
              <w:rPr>
                <w:rFonts w:cs="Times New Roman"/>
              </w:rPr>
              <w:t>Résolution des symptômes dans les 4 jours suivant le début des règles</w:t>
            </w:r>
          </w:p>
          <w:p w:rsidR="00657C86" w:rsidRPr="00F012F8" w:rsidRDefault="00657C86" w:rsidP="00A26977">
            <w:pPr>
              <w:jc w:val="center"/>
              <w:rPr>
                <w:rFonts w:cs="Times New Roman"/>
              </w:rPr>
            </w:pPr>
            <w:r w:rsidRPr="00F012F8">
              <w:rPr>
                <w:rFonts w:cs="Times New Roman"/>
              </w:rPr>
              <w:t>Symptomatologie reproductible dans au moins 2 cycles en l’absence de médication</w:t>
            </w:r>
          </w:p>
        </w:tc>
      </w:tr>
      <w:tr w:rsidR="00A26977" w:rsidRPr="00F012F8" w:rsidTr="00D53B58">
        <w:trPr>
          <w:trHeight w:val="253"/>
        </w:trPr>
        <w:tc>
          <w:tcPr>
            <w:tcW w:w="11023" w:type="dxa"/>
            <w:gridSpan w:val="3"/>
          </w:tcPr>
          <w:p w:rsidR="00A26977" w:rsidRPr="00F012F8" w:rsidRDefault="00A26977" w:rsidP="00A26977">
            <w:pPr>
              <w:jc w:val="center"/>
              <w:rPr>
                <w:rFonts w:cs="Times New Roman"/>
                <w:i/>
              </w:rPr>
            </w:pPr>
            <w:r w:rsidRPr="00F012F8">
              <w:rPr>
                <w:rFonts w:cs="Times New Roman"/>
                <w:i/>
              </w:rPr>
              <w:t>Affectifs</w:t>
            </w:r>
          </w:p>
        </w:tc>
      </w:tr>
      <w:tr w:rsidR="00A26977" w:rsidRPr="00F012F8" w:rsidTr="00D53B58">
        <w:trPr>
          <w:trHeight w:val="253"/>
        </w:trPr>
        <w:tc>
          <w:tcPr>
            <w:tcW w:w="4418" w:type="dxa"/>
          </w:tcPr>
          <w:p w:rsidR="00A26977" w:rsidRPr="00F012F8" w:rsidRDefault="00A26977">
            <w:pPr>
              <w:rPr>
                <w:rFonts w:cs="Times New Roman"/>
              </w:rPr>
            </w:pPr>
            <w:r w:rsidRPr="00F012F8">
              <w:rPr>
                <w:rFonts w:cs="Times New Roman"/>
              </w:rPr>
              <w:t>État dépressif</w:t>
            </w:r>
          </w:p>
        </w:tc>
        <w:tc>
          <w:tcPr>
            <w:tcW w:w="6605" w:type="dxa"/>
            <w:gridSpan w:val="2"/>
          </w:tcPr>
          <w:p w:rsidR="00A26977" w:rsidRPr="00F012F8" w:rsidRDefault="00A26977">
            <w:pPr>
              <w:rPr>
                <w:rFonts w:cs="Times New Roman"/>
              </w:rPr>
            </w:pPr>
            <w:r w:rsidRPr="00F012F8">
              <w:rPr>
                <w:rFonts w:cs="Times New Roman"/>
              </w:rPr>
              <w:t>Irritabilité</w:t>
            </w:r>
          </w:p>
        </w:tc>
      </w:tr>
      <w:tr w:rsidR="00A26977" w:rsidRPr="00F012F8" w:rsidTr="00D53B58">
        <w:trPr>
          <w:trHeight w:val="253"/>
        </w:trPr>
        <w:tc>
          <w:tcPr>
            <w:tcW w:w="4418" w:type="dxa"/>
          </w:tcPr>
          <w:p w:rsidR="00A26977" w:rsidRPr="00F012F8" w:rsidRDefault="00A26977">
            <w:pPr>
              <w:rPr>
                <w:rFonts w:cs="Times New Roman"/>
              </w:rPr>
            </w:pPr>
            <w:r w:rsidRPr="00F012F8">
              <w:rPr>
                <w:rFonts w:cs="Times New Roman"/>
              </w:rPr>
              <w:t>Poussées de colère</w:t>
            </w:r>
          </w:p>
        </w:tc>
        <w:tc>
          <w:tcPr>
            <w:tcW w:w="6605" w:type="dxa"/>
            <w:gridSpan w:val="2"/>
          </w:tcPr>
          <w:p w:rsidR="00A26977" w:rsidRPr="00F012F8" w:rsidRDefault="00A26977">
            <w:pPr>
              <w:rPr>
                <w:rFonts w:cs="Times New Roman"/>
              </w:rPr>
            </w:pPr>
            <w:r w:rsidRPr="00F012F8">
              <w:rPr>
                <w:rFonts w:cs="Times New Roman"/>
              </w:rPr>
              <w:t>Anxiété</w:t>
            </w:r>
          </w:p>
        </w:tc>
      </w:tr>
      <w:tr w:rsidR="00A26977" w:rsidRPr="00F012F8" w:rsidTr="00D53B58">
        <w:trPr>
          <w:trHeight w:val="253"/>
        </w:trPr>
        <w:tc>
          <w:tcPr>
            <w:tcW w:w="4418" w:type="dxa"/>
          </w:tcPr>
          <w:p w:rsidR="00A26977" w:rsidRPr="00F012F8" w:rsidRDefault="00A26977">
            <w:pPr>
              <w:rPr>
                <w:rFonts w:cs="Times New Roman"/>
              </w:rPr>
            </w:pPr>
            <w:r w:rsidRPr="00F012F8">
              <w:rPr>
                <w:rFonts w:cs="Times New Roman"/>
              </w:rPr>
              <w:t>Confusion</w:t>
            </w:r>
          </w:p>
        </w:tc>
        <w:tc>
          <w:tcPr>
            <w:tcW w:w="6605" w:type="dxa"/>
            <w:gridSpan w:val="2"/>
          </w:tcPr>
          <w:p w:rsidR="00A26977" w:rsidRPr="00F012F8" w:rsidRDefault="00A26977">
            <w:pPr>
              <w:rPr>
                <w:rFonts w:cs="Times New Roman"/>
              </w:rPr>
            </w:pPr>
            <w:r w:rsidRPr="00F012F8">
              <w:rPr>
                <w:rFonts w:cs="Times New Roman"/>
              </w:rPr>
              <w:t>Isolement social</w:t>
            </w:r>
          </w:p>
        </w:tc>
      </w:tr>
      <w:tr w:rsidR="00A26977" w:rsidRPr="00F012F8" w:rsidTr="00D53B58">
        <w:trPr>
          <w:trHeight w:val="266"/>
        </w:trPr>
        <w:tc>
          <w:tcPr>
            <w:tcW w:w="11023" w:type="dxa"/>
            <w:gridSpan w:val="3"/>
          </w:tcPr>
          <w:p w:rsidR="00A26977" w:rsidRPr="00F012F8" w:rsidRDefault="00A26977" w:rsidP="00A26977">
            <w:pPr>
              <w:jc w:val="center"/>
              <w:rPr>
                <w:rFonts w:cs="Times New Roman"/>
                <w:i/>
              </w:rPr>
            </w:pPr>
            <w:r w:rsidRPr="00F012F8">
              <w:rPr>
                <w:rFonts w:cs="Times New Roman"/>
                <w:i/>
              </w:rPr>
              <w:t>Somatiques</w:t>
            </w:r>
          </w:p>
        </w:tc>
      </w:tr>
      <w:tr w:rsidR="00A26977" w:rsidRPr="00F012F8" w:rsidTr="00D53B58">
        <w:trPr>
          <w:trHeight w:val="253"/>
        </w:trPr>
        <w:tc>
          <w:tcPr>
            <w:tcW w:w="4418" w:type="dxa"/>
          </w:tcPr>
          <w:p w:rsidR="00A26977" w:rsidRPr="00F012F8" w:rsidRDefault="00A26977">
            <w:pPr>
              <w:rPr>
                <w:rFonts w:cs="Times New Roman"/>
              </w:rPr>
            </w:pPr>
            <w:r w:rsidRPr="00F012F8">
              <w:rPr>
                <w:rFonts w:cs="Times New Roman"/>
              </w:rPr>
              <w:t>Sensibilité mammaire</w:t>
            </w:r>
          </w:p>
        </w:tc>
        <w:tc>
          <w:tcPr>
            <w:tcW w:w="6605" w:type="dxa"/>
            <w:gridSpan w:val="2"/>
          </w:tcPr>
          <w:p w:rsidR="00A26977" w:rsidRPr="00F012F8" w:rsidRDefault="00A26977">
            <w:pPr>
              <w:rPr>
                <w:rFonts w:cs="Times New Roman"/>
              </w:rPr>
            </w:pPr>
            <w:r w:rsidRPr="00F012F8">
              <w:rPr>
                <w:rFonts w:cs="Times New Roman"/>
              </w:rPr>
              <w:t>Ballonnement abdominal</w:t>
            </w:r>
          </w:p>
        </w:tc>
      </w:tr>
      <w:tr w:rsidR="00A26977" w:rsidRPr="00F012F8" w:rsidTr="00D53B58">
        <w:trPr>
          <w:trHeight w:val="253"/>
        </w:trPr>
        <w:tc>
          <w:tcPr>
            <w:tcW w:w="4418" w:type="dxa"/>
          </w:tcPr>
          <w:p w:rsidR="00A26977" w:rsidRPr="00F012F8" w:rsidRDefault="00D12D6A">
            <w:pPr>
              <w:rPr>
                <w:rFonts w:cs="Times New Roman"/>
              </w:rPr>
            </w:pPr>
            <w:r w:rsidRPr="00F012F8">
              <w:rPr>
                <w:rFonts w:cs="Times New Roman"/>
              </w:rPr>
              <w:t>Céphalées</w:t>
            </w:r>
          </w:p>
        </w:tc>
        <w:tc>
          <w:tcPr>
            <w:tcW w:w="6605" w:type="dxa"/>
            <w:gridSpan w:val="2"/>
          </w:tcPr>
          <w:p w:rsidR="00D12D6A" w:rsidRPr="00F012F8" w:rsidRDefault="00D12D6A">
            <w:pPr>
              <w:rPr>
                <w:rFonts w:cs="Times New Roman"/>
              </w:rPr>
            </w:pPr>
            <w:r w:rsidRPr="00F012F8">
              <w:rPr>
                <w:rFonts w:cs="Times New Roman"/>
              </w:rPr>
              <w:t>Œdème des extrémités</w:t>
            </w:r>
          </w:p>
        </w:tc>
      </w:tr>
      <w:tr w:rsidR="00657C86" w:rsidRPr="00F012F8" w:rsidTr="002A1F06">
        <w:trPr>
          <w:trHeight w:val="1306"/>
        </w:trPr>
        <w:tc>
          <w:tcPr>
            <w:tcW w:w="11023" w:type="dxa"/>
            <w:gridSpan w:val="3"/>
            <w:shd w:val="clear" w:color="auto" w:fill="B2A1C7" w:themeFill="accent4" w:themeFillTint="99"/>
          </w:tcPr>
          <w:p w:rsidR="00657C86" w:rsidRPr="00F012F8" w:rsidRDefault="00657C86" w:rsidP="00657C86">
            <w:pPr>
              <w:jc w:val="center"/>
              <w:rPr>
                <w:rFonts w:cs="Times New Roman"/>
              </w:rPr>
            </w:pPr>
            <w:r w:rsidRPr="00AC0A70">
              <w:rPr>
                <w:rFonts w:cs="Times New Roman"/>
                <w:b/>
              </w:rPr>
              <w:t>Trouble dysphorique prémenstruel</w:t>
            </w:r>
            <w:r w:rsidRPr="00F012F8">
              <w:rPr>
                <w:rFonts w:cs="Times New Roman"/>
              </w:rPr>
              <w:t xml:space="preserve"> (DSM-V)</w:t>
            </w:r>
          </w:p>
          <w:p w:rsidR="00657C86" w:rsidRPr="00F012F8" w:rsidRDefault="00657C86" w:rsidP="00657C86">
            <w:pPr>
              <w:jc w:val="center"/>
              <w:rPr>
                <w:rFonts w:cs="Times New Roman"/>
              </w:rPr>
            </w:pPr>
            <w:r w:rsidRPr="00AC0A70">
              <w:rPr>
                <w:rFonts w:cs="Times New Roman"/>
                <w:highlight w:val="yellow"/>
              </w:rPr>
              <w:t>Dans la majorité des cycles, ≥ 5 Sx suivants surviennent dans la semaine précédant les règles, dont au moins 1 dans chaque catégorie</w:t>
            </w:r>
          </w:p>
          <w:p w:rsidR="00657C86" w:rsidRPr="00F012F8" w:rsidRDefault="00657C86" w:rsidP="00657C86">
            <w:pPr>
              <w:jc w:val="center"/>
              <w:rPr>
                <w:rFonts w:cs="Times New Roman"/>
              </w:rPr>
            </w:pPr>
            <w:r w:rsidRPr="00F012F8">
              <w:rPr>
                <w:rFonts w:cs="Times New Roman"/>
              </w:rPr>
              <w:t>Ces Sx s’améliorent dans les premiers jours suivant le début des règles</w:t>
            </w:r>
          </w:p>
          <w:p w:rsidR="00657C86" w:rsidRPr="00F012F8" w:rsidRDefault="00657C86" w:rsidP="00657C86">
            <w:pPr>
              <w:jc w:val="center"/>
              <w:rPr>
                <w:rFonts w:cs="Times New Roman"/>
              </w:rPr>
            </w:pPr>
            <w:r w:rsidRPr="00F012F8">
              <w:rPr>
                <w:rFonts w:cs="Times New Roman"/>
              </w:rPr>
              <w:t>Deviennent minimaux ou absents dans la semaine qui suit</w:t>
            </w:r>
          </w:p>
          <w:p w:rsidR="00BB4102" w:rsidRPr="00F012F8" w:rsidRDefault="00BB4102" w:rsidP="00657C86">
            <w:pPr>
              <w:jc w:val="center"/>
              <w:rPr>
                <w:rFonts w:cs="Times New Roman"/>
              </w:rPr>
            </w:pPr>
            <w:r w:rsidRPr="00AC0A70">
              <w:rPr>
                <w:rFonts w:cs="Times New Roman"/>
                <w:highlight w:val="yellow"/>
              </w:rPr>
              <w:t>Entraînent un dysfonctionnement ou une détresse significative (objectivation sur 2 cycles)</w:t>
            </w:r>
          </w:p>
        </w:tc>
      </w:tr>
      <w:tr w:rsidR="00657C86" w:rsidRPr="00F012F8" w:rsidTr="00D53B58">
        <w:trPr>
          <w:trHeight w:val="253"/>
        </w:trPr>
        <w:tc>
          <w:tcPr>
            <w:tcW w:w="11023" w:type="dxa"/>
            <w:gridSpan w:val="3"/>
          </w:tcPr>
          <w:p w:rsidR="00657C86" w:rsidRPr="00F012F8" w:rsidRDefault="00657C86" w:rsidP="00156CD9">
            <w:pPr>
              <w:jc w:val="center"/>
              <w:rPr>
                <w:rFonts w:cs="Times New Roman"/>
                <w:i/>
              </w:rPr>
            </w:pPr>
            <w:r w:rsidRPr="00F012F8">
              <w:rPr>
                <w:rFonts w:cs="Times New Roman"/>
                <w:i/>
              </w:rPr>
              <w:t>Critère B</w:t>
            </w:r>
          </w:p>
        </w:tc>
      </w:tr>
      <w:tr w:rsidR="00A26977" w:rsidRPr="00F012F8" w:rsidTr="00D53B58">
        <w:trPr>
          <w:trHeight w:val="506"/>
        </w:trPr>
        <w:tc>
          <w:tcPr>
            <w:tcW w:w="5495" w:type="dxa"/>
            <w:gridSpan w:val="2"/>
          </w:tcPr>
          <w:p w:rsidR="00A26977" w:rsidRPr="00F012F8" w:rsidRDefault="00657C86">
            <w:pPr>
              <w:rPr>
                <w:rFonts w:cs="Times New Roman"/>
              </w:rPr>
            </w:pPr>
            <w:r w:rsidRPr="00F012F8">
              <w:rPr>
                <w:rFonts w:cs="Times New Roman"/>
              </w:rPr>
              <w:t xml:space="preserve">Humeur dépressive </w:t>
            </w:r>
            <w:r w:rsidRPr="00F012F8">
              <w:rPr>
                <w:rFonts w:cs="Times New Roman"/>
                <w:u w:val="single"/>
              </w:rPr>
              <w:t>marquée</w:t>
            </w:r>
            <w:r w:rsidRPr="00F012F8">
              <w:rPr>
                <w:rFonts w:cs="Times New Roman"/>
              </w:rPr>
              <w:t>/désespoir/autodépréciation</w:t>
            </w:r>
          </w:p>
        </w:tc>
        <w:tc>
          <w:tcPr>
            <w:tcW w:w="5528" w:type="dxa"/>
          </w:tcPr>
          <w:p w:rsidR="00A26977" w:rsidRPr="00F012F8" w:rsidRDefault="00657C86" w:rsidP="00657C86">
            <w:pPr>
              <w:rPr>
                <w:rFonts w:cs="Times New Roman"/>
              </w:rPr>
            </w:pPr>
            <w:r w:rsidRPr="00F012F8">
              <w:rPr>
                <w:rFonts w:cs="Times New Roman"/>
              </w:rPr>
              <w:t xml:space="preserve">Irritabilité </w:t>
            </w:r>
            <w:r w:rsidRPr="00F012F8">
              <w:rPr>
                <w:rFonts w:cs="Times New Roman"/>
                <w:u w:val="single"/>
              </w:rPr>
              <w:t>marquée</w:t>
            </w:r>
            <w:r w:rsidRPr="00F012F8">
              <w:rPr>
                <w:rFonts w:cs="Times New Roman"/>
              </w:rPr>
              <w:t xml:space="preserve"> /colère / augmentation des conflits interpersonnels</w:t>
            </w:r>
          </w:p>
        </w:tc>
      </w:tr>
      <w:tr w:rsidR="00A26977" w:rsidRPr="00F012F8" w:rsidTr="00D53B58">
        <w:trPr>
          <w:trHeight w:val="266"/>
        </w:trPr>
        <w:tc>
          <w:tcPr>
            <w:tcW w:w="5495" w:type="dxa"/>
            <w:gridSpan w:val="2"/>
          </w:tcPr>
          <w:p w:rsidR="00A26977" w:rsidRPr="00F012F8" w:rsidRDefault="00657C86">
            <w:pPr>
              <w:rPr>
                <w:rFonts w:cs="Times New Roman"/>
              </w:rPr>
            </w:pPr>
            <w:r w:rsidRPr="00F012F8">
              <w:rPr>
                <w:rFonts w:cs="Times New Roman"/>
              </w:rPr>
              <w:t xml:space="preserve">Labilité émotionnelle </w:t>
            </w:r>
            <w:r w:rsidRPr="00F012F8">
              <w:rPr>
                <w:rFonts w:cs="Times New Roman"/>
                <w:u w:val="single"/>
              </w:rPr>
              <w:t>marquée</w:t>
            </w:r>
          </w:p>
        </w:tc>
        <w:tc>
          <w:tcPr>
            <w:tcW w:w="5528" w:type="dxa"/>
          </w:tcPr>
          <w:p w:rsidR="00A26977" w:rsidRPr="00F012F8" w:rsidRDefault="00657C86">
            <w:pPr>
              <w:rPr>
                <w:rFonts w:cs="Times New Roman"/>
              </w:rPr>
            </w:pPr>
            <w:r w:rsidRPr="00F012F8">
              <w:rPr>
                <w:rFonts w:cs="Times New Roman"/>
              </w:rPr>
              <w:t>Anxiété marquée/nervosité/tension</w:t>
            </w:r>
          </w:p>
        </w:tc>
      </w:tr>
      <w:tr w:rsidR="00657C86" w:rsidRPr="00F012F8" w:rsidTr="00D53B58">
        <w:trPr>
          <w:trHeight w:val="253"/>
        </w:trPr>
        <w:tc>
          <w:tcPr>
            <w:tcW w:w="11023" w:type="dxa"/>
            <w:gridSpan w:val="3"/>
          </w:tcPr>
          <w:p w:rsidR="00657C86" w:rsidRPr="00F012F8" w:rsidRDefault="00657C86" w:rsidP="00156CD9">
            <w:pPr>
              <w:jc w:val="center"/>
              <w:rPr>
                <w:rFonts w:cs="Times New Roman"/>
                <w:i/>
              </w:rPr>
            </w:pPr>
            <w:r w:rsidRPr="00F012F8">
              <w:rPr>
                <w:rFonts w:cs="Times New Roman"/>
                <w:i/>
              </w:rPr>
              <w:t>Critère C</w:t>
            </w:r>
          </w:p>
        </w:tc>
      </w:tr>
      <w:tr w:rsidR="00A26977" w:rsidRPr="00F012F8" w:rsidTr="00D53B58">
        <w:trPr>
          <w:trHeight w:val="253"/>
        </w:trPr>
        <w:tc>
          <w:tcPr>
            <w:tcW w:w="5495" w:type="dxa"/>
            <w:gridSpan w:val="2"/>
          </w:tcPr>
          <w:p w:rsidR="00A26977" w:rsidRPr="00F012F8" w:rsidRDefault="00BF252A">
            <w:pPr>
              <w:rPr>
                <w:rFonts w:cs="Times New Roman"/>
              </w:rPr>
            </w:pPr>
            <w:r w:rsidRPr="00F012F8">
              <w:rPr>
                <w:rFonts w:cs="Times New Roman"/>
              </w:rPr>
              <w:t>↓ intérêt pour les activités habituelles</w:t>
            </w:r>
          </w:p>
        </w:tc>
        <w:tc>
          <w:tcPr>
            <w:tcW w:w="5528" w:type="dxa"/>
          </w:tcPr>
          <w:p w:rsidR="00A26977" w:rsidRPr="00F012F8" w:rsidRDefault="00BF252A">
            <w:pPr>
              <w:rPr>
                <w:rFonts w:cs="Times New Roman"/>
              </w:rPr>
            </w:pPr>
            <w:r w:rsidRPr="00F012F8">
              <w:rPr>
                <w:rFonts w:cs="Times New Roman"/>
              </w:rPr>
              <w:t>Difficulté subjective à se concentrer</w:t>
            </w:r>
          </w:p>
        </w:tc>
      </w:tr>
      <w:tr w:rsidR="00A26977" w:rsidRPr="00F012F8" w:rsidTr="00D53B58">
        <w:trPr>
          <w:trHeight w:val="506"/>
        </w:trPr>
        <w:tc>
          <w:tcPr>
            <w:tcW w:w="5495" w:type="dxa"/>
            <w:gridSpan w:val="2"/>
          </w:tcPr>
          <w:p w:rsidR="00A26977" w:rsidRPr="00F012F8" w:rsidRDefault="00BF252A">
            <w:pPr>
              <w:rPr>
                <w:rFonts w:cs="Times New Roman"/>
              </w:rPr>
            </w:pPr>
            <w:r w:rsidRPr="00F012F8">
              <w:rPr>
                <w:rFonts w:cs="Times New Roman"/>
              </w:rPr>
              <w:t>Léthargie/fatigabilité excessive</w:t>
            </w:r>
          </w:p>
        </w:tc>
        <w:tc>
          <w:tcPr>
            <w:tcW w:w="5528" w:type="dxa"/>
          </w:tcPr>
          <w:p w:rsidR="00A26977" w:rsidRPr="00F012F8" w:rsidRDefault="00BF252A">
            <w:pPr>
              <w:rPr>
                <w:rFonts w:cs="Times New Roman"/>
              </w:rPr>
            </w:pPr>
            <w:r w:rsidRPr="00F012F8">
              <w:rPr>
                <w:rFonts w:cs="Times New Roman"/>
              </w:rPr>
              <w:t>∆ marqués de l’appétit/hyperphagie/ envie impérieuse de certains aliments</w:t>
            </w:r>
          </w:p>
        </w:tc>
      </w:tr>
      <w:tr w:rsidR="00BF252A" w:rsidRPr="00F012F8" w:rsidTr="00D53B58">
        <w:trPr>
          <w:trHeight w:val="304"/>
        </w:trPr>
        <w:tc>
          <w:tcPr>
            <w:tcW w:w="5495" w:type="dxa"/>
            <w:gridSpan w:val="2"/>
          </w:tcPr>
          <w:p w:rsidR="00BF252A" w:rsidRPr="00F012F8" w:rsidRDefault="00156CD9">
            <w:pPr>
              <w:rPr>
                <w:rFonts w:cs="Times New Roman"/>
              </w:rPr>
            </w:pPr>
            <w:r w:rsidRPr="00F012F8">
              <w:rPr>
                <w:rFonts w:cs="Times New Roman"/>
              </w:rPr>
              <w:t>Hypersomnie/insomnie</w:t>
            </w:r>
          </w:p>
        </w:tc>
        <w:tc>
          <w:tcPr>
            <w:tcW w:w="5528" w:type="dxa"/>
          </w:tcPr>
          <w:p w:rsidR="00BF252A" w:rsidRPr="00F012F8" w:rsidRDefault="00156CD9">
            <w:pPr>
              <w:rPr>
                <w:rFonts w:cs="Times New Roman"/>
              </w:rPr>
            </w:pPr>
            <w:r w:rsidRPr="00F012F8">
              <w:rPr>
                <w:rFonts w:cs="Times New Roman"/>
              </w:rPr>
              <w:t>Sensation d’être débordé/de perdre le contrôle</w:t>
            </w:r>
          </w:p>
        </w:tc>
      </w:tr>
      <w:tr w:rsidR="00156CD9" w:rsidRPr="00F012F8" w:rsidTr="00D53B58">
        <w:trPr>
          <w:trHeight w:val="281"/>
        </w:trPr>
        <w:tc>
          <w:tcPr>
            <w:tcW w:w="11023" w:type="dxa"/>
            <w:gridSpan w:val="3"/>
          </w:tcPr>
          <w:p w:rsidR="00156CD9" w:rsidRPr="00F012F8" w:rsidRDefault="00156CD9" w:rsidP="00AC0A70">
            <w:pPr>
              <w:rPr>
                <w:rFonts w:cs="Times New Roman"/>
              </w:rPr>
            </w:pPr>
            <w:r w:rsidRPr="00AC0A70">
              <w:rPr>
                <w:rFonts w:cs="Times New Roman"/>
                <w:highlight w:val="yellow"/>
              </w:rPr>
              <w:t>S</w:t>
            </w:r>
            <w:r w:rsidR="00AC0A70">
              <w:rPr>
                <w:rFonts w:cs="Times New Roman"/>
                <w:highlight w:val="yellow"/>
              </w:rPr>
              <w:t>x</w:t>
            </w:r>
            <w:r w:rsidRPr="00AC0A70">
              <w:rPr>
                <w:rFonts w:cs="Times New Roman"/>
                <w:highlight w:val="yellow"/>
              </w:rPr>
              <w:t xml:space="preserve"> physiques</w:t>
            </w:r>
            <w:r w:rsidRPr="00F012F8">
              <w:rPr>
                <w:rFonts w:cs="Times New Roman"/>
              </w:rPr>
              <w:t> : Gonflement des seins, douleurs MSK, prise de poids, sensation d’enfler, tension</w:t>
            </w:r>
          </w:p>
        </w:tc>
      </w:tr>
    </w:tbl>
    <w:p w:rsidR="006B49BE" w:rsidRPr="00F012F8" w:rsidRDefault="006B49BE" w:rsidP="00B57A3E">
      <w:pPr>
        <w:jc w:val="center"/>
        <w:rPr>
          <w:rFonts w:cs="Times New Roman"/>
          <w:u w:val="single"/>
        </w:rPr>
      </w:pPr>
      <w:r w:rsidRPr="00F012F8">
        <w:rPr>
          <w:rFonts w:cs="Times New Roman"/>
          <w:u w:val="single"/>
        </w:rPr>
        <w:t>Syndrome prémenstruel =====» Trouble dysphorique</w:t>
      </w:r>
      <w:r w:rsidR="0011647D">
        <w:rPr>
          <w:rFonts w:cs="Times New Roman"/>
          <w:u w:val="single"/>
        </w:rPr>
        <w:t xml:space="preserve"> prémenstruel (continuum marqué</w:t>
      </w:r>
      <w:r w:rsidRPr="00F012F8">
        <w:rPr>
          <w:rFonts w:cs="Times New Roman"/>
          <w:u w:val="single"/>
        </w:rPr>
        <w:t>)</w:t>
      </w:r>
    </w:p>
    <w:p w:rsidR="006B49BE" w:rsidRPr="00F012F8" w:rsidRDefault="006B49BE" w:rsidP="001A1752">
      <w:pPr>
        <w:pStyle w:val="Paragraphedeliste"/>
        <w:numPr>
          <w:ilvl w:val="0"/>
          <w:numId w:val="2"/>
        </w:numPr>
        <w:rPr>
          <w:rFonts w:cs="Times New Roman"/>
        </w:rPr>
      </w:pPr>
      <w:r w:rsidRPr="00F012F8">
        <w:rPr>
          <w:rFonts w:cs="Times New Roman"/>
          <w:highlight w:val="yellow"/>
        </w:rPr>
        <w:t>Les symptômes doivent être suivis et démontrés cycliques</w:t>
      </w:r>
      <w:r w:rsidRPr="00F012F8">
        <w:rPr>
          <w:rFonts w:cs="Times New Roman"/>
        </w:rPr>
        <w:t>, notamment par l’utilisation d’un journal quotidien durant au moins 2 cycles dès la suspicion du diagnostic.</w:t>
      </w:r>
    </w:p>
    <w:p w:rsidR="006B49BE" w:rsidRPr="00F012F8" w:rsidRDefault="006B49BE" w:rsidP="001A1752">
      <w:pPr>
        <w:pStyle w:val="Paragraphedeliste"/>
        <w:numPr>
          <w:ilvl w:val="0"/>
          <w:numId w:val="2"/>
        </w:numPr>
        <w:rPr>
          <w:rFonts w:cs="Times New Roman"/>
        </w:rPr>
      </w:pPr>
      <w:r w:rsidRPr="00F012F8">
        <w:rPr>
          <w:rFonts w:cs="Times New Roman"/>
        </w:rPr>
        <w:t>Éliminer les autres causes psychologique, physique ou médicamenteuse possibles               (Critère DSM)</w:t>
      </w:r>
    </w:p>
    <w:p w:rsidR="006B49BE" w:rsidRPr="00F012F8" w:rsidRDefault="006B49BE" w:rsidP="001A1752">
      <w:pPr>
        <w:pStyle w:val="Paragraphedeliste"/>
        <w:numPr>
          <w:ilvl w:val="0"/>
          <w:numId w:val="2"/>
        </w:numPr>
        <w:rPr>
          <w:rFonts w:cs="Times New Roman"/>
        </w:rPr>
      </w:pPr>
      <w:r w:rsidRPr="00F012F8">
        <w:rPr>
          <w:rFonts w:cs="Times New Roman"/>
        </w:rPr>
        <w:t>Questionner les limitations fonctionnelles et sociales associées à a symptomatologie = essentiel pour le Dx et pour la prise en charge</w:t>
      </w:r>
    </w:p>
    <w:p w:rsidR="00A26977" w:rsidRPr="00F012F8" w:rsidRDefault="006B49BE">
      <w:pPr>
        <w:rPr>
          <w:rFonts w:cs="Times New Roman"/>
          <w:b/>
          <w:sz w:val="28"/>
          <w:szCs w:val="28"/>
        </w:rPr>
      </w:pPr>
      <w:r w:rsidRPr="00F012F8">
        <w:rPr>
          <w:rFonts w:cs="Times New Roman"/>
          <w:b/>
          <w:sz w:val="28"/>
          <w:szCs w:val="28"/>
        </w:rPr>
        <w:t>Investigations</w:t>
      </w:r>
    </w:p>
    <w:p w:rsidR="006B49BE" w:rsidRPr="00F012F8" w:rsidRDefault="006B49BE" w:rsidP="001A1752">
      <w:pPr>
        <w:pStyle w:val="Paragraphedeliste"/>
        <w:numPr>
          <w:ilvl w:val="0"/>
          <w:numId w:val="3"/>
        </w:numPr>
        <w:rPr>
          <w:rFonts w:cs="Times New Roman"/>
        </w:rPr>
      </w:pPr>
      <w:r w:rsidRPr="00F012F8">
        <w:rPr>
          <w:rFonts w:cs="Times New Roman"/>
        </w:rPr>
        <w:t>Selon diagnostics alternatifs si ne peuvent être éliminés cliniquement</w:t>
      </w:r>
    </w:p>
    <w:p w:rsidR="006B49BE" w:rsidRPr="00F012F8" w:rsidRDefault="006B49BE" w:rsidP="001A1752">
      <w:pPr>
        <w:pStyle w:val="Paragraphedeliste"/>
        <w:numPr>
          <w:ilvl w:val="0"/>
          <w:numId w:val="3"/>
        </w:numPr>
        <w:rPr>
          <w:rFonts w:cs="Times New Roman"/>
        </w:rPr>
      </w:pPr>
      <w:r w:rsidRPr="00F012F8">
        <w:rPr>
          <w:rFonts w:cs="Times New Roman"/>
        </w:rPr>
        <w:t>Ex : TSH, FSC (Anémie, hypoT4)</w:t>
      </w:r>
    </w:p>
    <w:p w:rsidR="006B49BE" w:rsidRPr="00F012F8" w:rsidRDefault="006B49BE" w:rsidP="00B57A3E">
      <w:pPr>
        <w:spacing w:after="0"/>
        <w:rPr>
          <w:rFonts w:cs="Times New Roman"/>
          <w:b/>
          <w:sz w:val="28"/>
          <w:szCs w:val="28"/>
        </w:rPr>
      </w:pPr>
      <w:r w:rsidRPr="00F012F8">
        <w:rPr>
          <w:rFonts w:cs="Times New Roman"/>
          <w:b/>
          <w:sz w:val="28"/>
          <w:szCs w:val="28"/>
        </w:rPr>
        <w:t>Prise en charge</w:t>
      </w:r>
    </w:p>
    <w:p w:rsidR="00D53B58" w:rsidRPr="00F012F8" w:rsidRDefault="00D53B58" w:rsidP="00B57A3E">
      <w:pPr>
        <w:spacing w:after="0"/>
        <w:rPr>
          <w:rFonts w:cs="Times New Roman"/>
          <w:b/>
        </w:rPr>
      </w:pPr>
    </w:p>
    <w:p w:rsidR="006B49BE" w:rsidRPr="00F012F8" w:rsidRDefault="006B49BE" w:rsidP="006B49BE">
      <w:pPr>
        <w:ind w:left="708"/>
        <w:rPr>
          <w:rFonts w:cs="Times New Roman"/>
          <w:b/>
        </w:rPr>
      </w:pPr>
      <w:r w:rsidRPr="00F012F8">
        <w:rPr>
          <w:rFonts w:cs="Times New Roman"/>
          <w:b/>
        </w:rPr>
        <w:t xml:space="preserve">SPM : </w:t>
      </w:r>
    </w:p>
    <w:p w:rsidR="006B49BE" w:rsidRPr="00F012F8" w:rsidRDefault="006B49BE" w:rsidP="006B49BE">
      <w:pPr>
        <w:spacing w:after="0" w:line="240" w:lineRule="auto"/>
        <w:ind w:left="708"/>
        <w:rPr>
          <w:rFonts w:cs="Times New Roman"/>
        </w:rPr>
        <w:sectPr w:rsidR="006B49BE" w:rsidRPr="00F012F8" w:rsidSect="00A35E51">
          <w:type w:val="continuous"/>
          <w:pgSz w:w="12240" w:h="15840"/>
          <w:pgMar w:top="720" w:right="720" w:bottom="720" w:left="720" w:header="708" w:footer="708" w:gutter="0"/>
          <w:cols w:space="708"/>
          <w:docGrid w:linePitch="360"/>
        </w:sectPr>
      </w:pPr>
    </w:p>
    <w:p w:rsidR="006B49BE" w:rsidRPr="00F012F8" w:rsidRDefault="006B49BE" w:rsidP="001A1752">
      <w:pPr>
        <w:pStyle w:val="Paragraphedeliste"/>
        <w:numPr>
          <w:ilvl w:val="0"/>
          <w:numId w:val="4"/>
        </w:numPr>
        <w:spacing w:after="0" w:line="240" w:lineRule="auto"/>
        <w:rPr>
          <w:rFonts w:cs="Times New Roman"/>
        </w:rPr>
      </w:pPr>
      <w:r w:rsidRPr="00F012F8">
        <w:rPr>
          <w:rFonts w:cs="Times New Roman"/>
        </w:rPr>
        <w:t>Support psychologique</w:t>
      </w:r>
    </w:p>
    <w:p w:rsidR="00B57A3E" w:rsidRPr="00F012F8" w:rsidRDefault="00B57A3E" w:rsidP="001A1752">
      <w:pPr>
        <w:pStyle w:val="Paragraphedeliste"/>
        <w:numPr>
          <w:ilvl w:val="0"/>
          <w:numId w:val="4"/>
        </w:numPr>
        <w:spacing w:after="0" w:line="240" w:lineRule="auto"/>
        <w:rPr>
          <w:rFonts w:cs="Times New Roman"/>
        </w:rPr>
      </w:pPr>
      <w:r w:rsidRPr="00F012F8">
        <w:rPr>
          <w:rFonts w:cs="Times New Roman"/>
        </w:rPr>
        <w:t>Exercice physique</w:t>
      </w:r>
    </w:p>
    <w:p w:rsidR="00B57A3E" w:rsidRPr="00F012F8" w:rsidRDefault="00B57A3E" w:rsidP="001A1752">
      <w:pPr>
        <w:pStyle w:val="Paragraphedeliste"/>
        <w:numPr>
          <w:ilvl w:val="0"/>
          <w:numId w:val="4"/>
        </w:numPr>
        <w:spacing w:after="0" w:line="240" w:lineRule="auto"/>
        <w:rPr>
          <w:rFonts w:cs="Times New Roman"/>
        </w:rPr>
      </w:pPr>
      <w:r w:rsidRPr="00F012F8">
        <w:rPr>
          <w:rFonts w:cs="Times New Roman"/>
        </w:rPr>
        <w:t>Restriction caféine/ROH/sucre /sodium</w:t>
      </w:r>
    </w:p>
    <w:p w:rsidR="006B49BE" w:rsidRPr="00F012F8" w:rsidRDefault="006B49BE" w:rsidP="001A1752">
      <w:pPr>
        <w:pStyle w:val="Paragraphedeliste"/>
        <w:numPr>
          <w:ilvl w:val="0"/>
          <w:numId w:val="4"/>
        </w:numPr>
        <w:spacing w:after="0" w:line="240" w:lineRule="auto"/>
        <w:rPr>
          <w:rFonts w:cs="Times New Roman"/>
        </w:rPr>
      </w:pPr>
      <w:r w:rsidRPr="00F012F8">
        <w:rPr>
          <w:rFonts w:cs="Times New Roman"/>
        </w:rPr>
        <w:t>AINS</w:t>
      </w:r>
      <w:r w:rsidR="00B57A3E" w:rsidRPr="00F012F8">
        <w:rPr>
          <w:rFonts w:cs="Times New Roman"/>
        </w:rPr>
        <w:t xml:space="preserve"> (si douleur)</w:t>
      </w:r>
    </w:p>
    <w:p w:rsidR="006B49BE" w:rsidRPr="00F012F8" w:rsidRDefault="006B49BE" w:rsidP="001A1752">
      <w:pPr>
        <w:pStyle w:val="Paragraphedeliste"/>
        <w:numPr>
          <w:ilvl w:val="0"/>
          <w:numId w:val="4"/>
        </w:numPr>
        <w:spacing w:after="0" w:line="240" w:lineRule="auto"/>
        <w:rPr>
          <w:rFonts w:cs="Times New Roman"/>
        </w:rPr>
      </w:pPr>
      <w:r w:rsidRPr="00F012F8">
        <w:rPr>
          <w:rFonts w:cs="Times New Roman"/>
        </w:rPr>
        <w:t>COC (pour  Sx somatiques)</w:t>
      </w:r>
    </w:p>
    <w:p w:rsidR="00B57A3E" w:rsidRPr="00F012F8" w:rsidRDefault="00B57A3E" w:rsidP="00B57A3E">
      <w:pPr>
        <w:pStyle w:val="Paragraphedeliste"/>
        <w:spacing w:after="0" w:line="240" w:lineRule="auto"/>
        <w:ind w:left="1428"/>
        <w:rPr>
          <w:rFonts w:cs="Times New Roman"/>
        </w:rPr>
      </w:pPr>
    </w:p>
    <w:p w:rsidR="00B57A3E" w:rsidRPr="00F012F8" w:rsidRDefault="00B57A3E" w:rsidP="001A1752">
      <w:pPr>
        <w:pStyle w:val="Paragraphedeliste"/>
        <w:numPr>
          <w:ilvl w:val="0"/>
          <w:numId w:val="4"/>
        </w:numPr>
        <w:spacing w:after="0" w:line="240" w:lineRule="auto"/>
        <w:rPr>
          <w:rFonts w:cs="Times New Roman"/>
          <w:highlight w:val="yellow"/>
        </w:rPr>
      </w:pPr>
      <w:r w:rsidRPr="00F012F8">
        <w:rPr>
          <w:rFonts w:cs="Times New Roman"/>
          <w:highlight w:val="yellow"/>
        </w:rPr>
        <w:t>ISRS x 14 jours (phase lutéale) ou en continu</w:t>
      </w:r>
    </w:p>
    <w:p w:rsidR="006B49BE" w:rsidRPr="00F012F8" w:rsidRDefault="006B49BE" w:rsidP="001A1752">
      <w:pPr>
        <w:pStyle w:val="Paragraphedeliste"/>
        <w:numPr>
          <w:ilvl w:val="0"/>
          <w:numId w:val="4"/>
        </w:numPr>
        <w:spacing w:after="0" w:line="240" w:lineRule="auto"/>
        <w:rPr>
          <w:rFonts w:cs="Times New Roman"/>
        </w:rPr>
      </w:pPr>
      <w:r w:rsidRPr="00F012F8">
        <w:rPr>
          <w:rFonts w:cs="Times New Roman"/>
        </w:rPr>
        <w:t>Danazol</w:t>
      </w:r>
    </w:p>
    <w:p w:rsidR="006B49BE" w:rsidRPr="00F012F8" w:rsidRDefault="006B49BE" w:rsidP="001A1752">
      <w:pPr>
        <w:pStyle w:val="Paragraphedeliste"/>
        <w:numPr>
          <w:ilvl w:val="0"/>
          <w:numId w:val="4"/>
        </w:numPr>
        <w:spacing w:after="0" w:line="240" w:lineRule="auto"/>
        <w:rPr>
          <w:rFonts w:cs="Times New Roman"/>
        </w:rPr>
      </w:pPr>
      <w:r w:rsidRPr="00F012F8">
        <w:rPr>
          <w:rFonts w:cs="Times New Roman"/>
        </w:rPr>
        <w:t>Agonistes de la GnRH (si sévère)</w:t>
      </w:r>
    </w:p>
    <w:p w:rsidR="006B49BE" w:rsidRPr="00F012F8" w:rsidRDefault="006B49BE" w:rsidP="001A1752">
      <w:pPr>
        <w:pStyle w:val="Paragraphedeliste"/>
        <w:numPr>
          <w:ilvl w:val="0"/>
          <w:numId w:val="4"/>
        </w:numPr>
        <w:spacing w:after="0" w:line="240" w:lineRule="auto"/>
        <w:rPr>
          <w:rFonts w:cs="Times New Roman"/>
        </w:rPr>
      </w:pPr>
      <w:r w:rsidRPr="00F012F8">
        <w:rPr>
          <w:rFonts w:cs="Times New Roman"/>
        </w:rPr>
        <w:t>Salpingo-ovariectomie bilatérale si très sévère</w:t>
      </w:r>
    </w:p>
    <w:p w:rsidR="006B49BE" w:rsidRPr="00F012F8" w:rsidRDefault="006B49BE" w:rsidP="006B49BE">
      <w:pPr>
        <w:ind w:left="708"/>
        <w:rPr>
          <w:rFonts w:cs="Times New Roman"/>
          <w:b/>
        </w:rPr>
      </w:pPr>
    </w:p>
    <w:p w:rsidR="006B49BE" w:rsidRPr="00F012F8" w:rsidRDefault="006B49BE" w:rsidP="006B49BE">
      <w:pPr>
        <w:ind w:left="708"/>
        <w:rPr>
          <w:rFonts w:cs="Times New Roman"/>
          <w:b/>
        </w:rPr>
        <w:sectPr w:rsidR="006B49BE" w:rsidRPr="00F012F8" w:rsidSect="00217865">
          <w:type w:val="continuous"/>
          <w:pgSz w:w="12240" w:h="15840"/>
          <w:pgMar w:top="720" w:right="720" w:bottom="720" w:left="720" w:header="708" w:footer="708" w:gutter="0"/>
          <w:cols w:num="2" w:space="708"/>
          <w:docGrid w:linePitch="360"/>
        </w:sectPr>
      </w:pPr>
    </w:p>
    <w:p w:rsidR="00D12D6A" w:rsidRPr="00F012F8" w:rsidRDefault="006B49BE" w:rsidP="00D12D6A">
      <w:pPr>
        <w:ind w:left="708"/>
        <w:rPr>
          <w:rFonts w:cs="Times New Roman"/>
        </w:rPr>
      </w:pPr>
      <w:r w:rsidRPr="00F012F8">
        <w:rPr>
          <w:rFonts w:cs="Times New Roman"/>
          <w:b/>
        </w:rPr>
        <w:t xml:space="preserve">TDP : </w:t>
      </w:r>
      <w:r w:rsidRPr="00F012F8">
        <w:rPr>
          <w:rFonts w:cs="Times New Roman"/>
          <w:highlight w:val="yellow"/>
        </w:rPr>
        <w:t>ISRS (1</w:t>
      </w:r>
      <w:r w:rsidRPr="00F012F8">
        <w:rPr>
          <w:rFonts w:cs="Times New Roman"/>
          <w:highlight w:val="yellow"/>
          <w:vertAlign w:val="superscript"/>
        </w:rPr>
        <w:t>ère</w:t>
      </w:r>
      <w:r w:rsidRPr="00F012F8">
        <w:rPr>
          <w:rFonts w:cs="Times New Roman"/>
          <w:highlight w:val="yellow"/>
        </w:rPr>
        <w:t xml:space="preserve"> ligne)</w:t>
      </w:r>
      <w:r w:rsidR="00B57A3E" w:rsidRPr="00F012F8">
        <w:rPr>
          <w:rFonts w:cs="Times New Roman"/>
          <w:highlight w:val="yellow"/>
        </w:rPr>
        <w:t xml:space="preserve"> si dysfonctionnement/détresse</w:t>
      </w:r>
      <w:r w:rsidRPr="00F012F8">
        <w:rPr>
          <w:rFonts w:cs="Times New Roman"/>
          <w:highlight w:val="yellow"/>
        </w:rPr>
        <w:t xml:space="preserve"> + COC</w:t>
      </w:r>
      <w:r w:rsidRPr="00F012F8">
        <w:rPr>
          <w:rFonts w:cs="Times New Roman"/>
        </w:rPr>
        <w:t xml:space="preserve"> (Yaz suggéré) avec bonne efficacité</w:t>
      </w:r>
    </w:p>
    <w:p w:rsidR="00D12D6A" w:rsidRPr="00F012F8" w:rsidRDefault="004318D3">
      <w:pPr>
        <w:rPr>
          <w:rFonts w:cs="Times New Roman"/>
          <w:b/>
        </w:rPr>
      </w:pPr>
      <w:r w:rsidRPr="00F012F8">
        <w:rPr>
          <w:rFonts w:cs="Times New Roman"/>
          <w:noProof/>
          <w:lang w:eastAsia="fr-CA"/>
        </w:rPr>
        <w:drawing>
          <wp:anchor distT="0" distB="0" distL="114300" distR="114300" simplePos="0" relativeHeight="251672576" behindDoc="0" locked="0" layoutInCell="1" allowOverlap="1" wp14:anchorId="632AE262" wp14:editId="7F3BC335">
            <wp:simplePos x="0" y="0"/>
            <wp:positionH relativeFrom="column">
              <wp:posOffset>1935304</wp:posOffset>
            </wp:positionH>
            <wp:positionV relativeFrom="paragraph">
              <wp:posOffset>127000</wp:posOffset>
            </wp:positionV>
            <wp:extent cx="2928025" cy="2928025"/>
            <wp:effectExtent l="0" t="0" r="5715" b="5715"/>
            <wp:wrapNone/>
            <wp:docPr id="10" name="Image 10" descr="Résultats de recherche d'images pour « trouble dysphorique prémenstrue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ésultats de recherche d'images pour « trouble dysphorique prémenstruel »"/>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2928025" cy="2928025"/>
                    </a:xfrm>
                    <a:prstGeom prst="rect">
                      <a:avLst/>
                    </a:prstGeom>
                    <a:noFill/>
                    <a:ln>
                      <a:noFill/>
                    </a:ln>
                  </pic:spPr>
                </pic:pic>
              </a:graphicData>
            </a:graphic>
            <wp14:sizeRelH relativeFrom="page">
              <wp14:pctWidth>0</wp14:pctWidth>
            </wp14:sizeRelH>
            <wp14:sizeRelV relativeFrom="page">
              <wp14:pctHeight>0</wp14:pctHeight>
            </wp14:sizeRelV>
          </wp:anchor>
        </w:drawing>
      </w:r>
      <w:r w:rsidR="00D12D6A" w:rsidRPr="00F012F8">
        <w:rPr>
          <w:rFonts w:cs="Times New Roman"/>
          <w:b/>
        </w:rPr>
        <w:br w:type="page"/>
      </w:r>
    </w:p>
    <w:p w:rsidR="00B911FF" w:rsidRDefault="00B911FF" w:rsidP="001F6100">
      <w:pPr>
        <w:spacing w:after="0"/>
        <w:rPr>
          <w:rFonts w:cs="Times New Roman"/>
          <w:b/>
          <w:color w:val="548DD4" w:themeColor="text2" w:themeTint="99"/>
        </w:rPr>
      </w:pPr>
      <w:r>
        <w:rPr>
          <w:rFonts w:cs="Times New Roman"/>
          <w:b/>
          <w:color w:val="548DD4" w:themeColor="text2" w:themeTint="99"/>
        </w:rPr>
        <w:t>CMC 57</w:t>
      </w:r>
    </w:p>
    <w:p w:rsidR="00B911FF" w:rsidRPr="00B911FF" w:rsidRDefault="00B911FF" w:rsidP="00B911FF">
      <w:pPr>
        <w:pStyle w:val="Titre3"/>
        <w:spacing w:before="0"/>
        <w:rPr>
          <w:rFonts w:ascii="Times New Roman" w:hAnsi="Times New Roman" w:cs="Times New Roman"/>
        </w:rPr>
      </w:pPr>
      <w:bookmarkStart w:id="192" w:name="_Toc480797295"/>
      <w:r w:rsidRPr="00B911FF">
        <w:rPr>
          <w:rFonts w:ascii="Times New Roman" w:hAnsi="Times New Roman" w:cs="Times New Roman"/>
        </w:rPr>
        <w:t>Ménopause</w:t>
      </w:r>
      <w:bookmarkEnd w:id="192"/>
    </w:p>
    <w:tbl>
      <w:tblPr>
        <w:tblW w:w="5000" w:type="pct"/>
        <w:tblCellSpacing w:w="0" w:type="dxa"/>
        <w:tblCellMar>
          <w:left w:w="0" w:type="dxa"/>
          <w:right w:w="0" w:type="dxa"/>
        </w:tblCellMar>
        <w:tblLook w:val="04A0" w:firstRow="1" w:lastRow="0" w:firstColumn="1" w:lastColumn="0" w:noHBand="0" w:noVBand="1"/>
      </w:tblPr>
      <w:tblGrid>
        <w:gridCol w:w="10759"/>
        <w:gridCol w:w="41"/>
      </w:tblGrid>
      <w:tr w:rsidR="00B911FF" w:rsidRPr="00FE60B8" w:rsidTr="00B911FF">
        <w:trPr>
          <w:tblCellSpacing w:w="0" w:type="dxa"/>
        </w:trPr>
        <w:tc>
          <w:tcPr>
            <w:tcW w:w="0" w:type="auto"/>
            <w:vAlign w:val="bottom"/>
            <w:hideMark/>
          </w:tcPr>
          <w:bookmarkStart w:id="193" w:name="_Toc475198234"/>
          <w:bookmarkStart w:id="194" w:name="_Toc475563858"/>
          <w:p w:rsidR="00B911FF" w:rsidRPr="00520ED3" w:rsidRDefault="00B911FF" w:rsidP="00520ED3">
            <w:pPr>
              <w:pStyle w:val="Sansinterligne"/>
              <w:spacing w:before="240"/>
              <w:rPr>
                <w:b/>
                <w:sz w:val="18"/>
                <w:szCs w:val="18"/>
              </w:rPr>
            </w:pPr>
            <w:r w:rsidRPr="00520ED3">
              <w:rPr>
                <w:b/>
                <w:noProof/>
                <w:sz w:val="18"/>
                <w:szCs w:val="18"/>
                <w:lang w:eastAsia="fr-CA"/>
              </w:rPr>
              <mc:AlternateContent>
                <mc:Choice Requires="wps">
                  <w:drawing>
                    <wp:anchor distT="0" distB="0" distL="114300" distR="114300" simplePos="0" relativeHeight="251727872" behindDoc="0" locked="0" layoutInCell="1" allowOverlap="1" wp14:anchorId="32BCC0E4" wp14:editId="0E40AF64">
                      <wp:simplePos x="0" y="0"/>
                      <wp:positionH relativeFrom="column">
                        <wp:posOffset>-58420</wp:posOffset>
                      </wp:positionH>
                      <wp:positionV relativeFrom="paragraph">
                        <wp:posOffset>90170</wp:posOffset>
                      </wp:positionV>
                      <wp:extent cx="7042785" cy="2858770"/>
                      <wp:effectExtent l="0" t="0" r="24765" b="17780"/>
                      <wp:wrapNone/>
                      <wp:docPr id="59" name="Rectangle 59"/>
                      <wp:cNvGraphicFramePr/>
                      <a:graphic xmlns:a="http://schemas.openxmlformats.org/drawingml/2006/main">
                        <a:graphicData uri="http://schemas.microsoft.com/office/word/2010/wordprocessingShape">
                          <wps:wsp>
                            <wps:cNvSpPr/>
                            <wps:spPr>
                              <a:xfrm>
                                <a:off x="0" y="0"/>
                                <a:ext cx="7042785" cy="2858770"/>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59" o:spid="_x0000_s1026" style="position:absolute;margin-left:-4.6pt;margin-top:7.1pt;width:554.55pt;height:225.1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" filled="f" strokecolor="black [1600]" strokeweight="2pt"/>
                  </w:pict>
                </mc:Fallback>
              </mc:AlternateContent>
            </w:r>
            <w:r w:rsidRPr="00520ED3">
              <w:rPr>
                <w:b/>
                <w:sz w:val="18"/>
                <w:szCs w:val="18"/>
              </w:rPr>
              <w:t>Objectifs principaux</w:t>
            </w:r>
            <w:bookmarkEnd w:id="193"/>
            <w:bookmarkEnd w:id="194"/>
          </w:p>
        </w:tc>
        <w:tc>
          <w:tcPr>
            <w:tcW w:w="0" w:type="auto"/>
            <w:vAlign w:val="bottom"/>
            <w:hideMark/>
          </w:tcPr>
          <w:p w:rsidR="00B911FF" w:rsidRPr="00FE60B8" w:rsidRDefault="00B911FF">
            <w:pPr>
              <w:jc w:val="right"/>
              <w:rPr>
                <w:rFonts w:cs="Times New Roman"/>
                <w:color w:val="000000"/>
                <w:sz w:val="18"/>
                <w:szCs w:val="18"/>
              </w:rPr>
            </w:pPr>
          </w:p>
        </w:tc>
      </w:tr>
    </w:tbl>
    <w:p w:rsidR="00B911FF" w:rsidRPr="00FE60B8" w:rsidRDefault="00B911FF" w:rsidP="00B911FF">
      <w:pPr>
        <w:pStyle w:val="NormalWeb"/>
        <w:ind w:left="360"/>
        <w:rPr>
          <w:color w:val="000000"/>
          <w:sz w:val="18"/>
          <w:szCs w:val="18"/>
          <w:shd w:val="clear" w:color="auto" w:fill="FFFFFF"/>
        </w:rPr>
      </w:pPr>
      <w:r w:rsidRPr="00FE60B8">
        <w:rPr>
          <w:color w:val="000000"/>
          <w:sz w:val="18"/>
          <w:szCs w:val="18"/>
          <w:shd w:val="clear" w:color="auto" w:fill="FFFFFF"/>
        </w:rPr>
        <w:t>Dans le cas d'une patiente ayant une ménopause physiologique, le candidat devra pouvoir en expliquer les effets indésirables et aider à les prévenir.</w:t>
      </w:r>
    </w:p>
    <w:tbl>
      <w:tblPr>
        <w:tblW w:w="5000" w:type="pct"/>
        <w:tblCellSpacing w:w="0" w:type="dxa"/>
        <w:tblCellMar>
          <w:left w:w="0" w:type="dxa"/>
          <w:right w:w="0" w:type="dxa"/>
        </w:tblCellMar>
        <w:tblLook w:val="04A0" w:firstRow="1" w:lastRow="0" w:firstColumn="1" w:lastColumn="0" w:noHBand="0" w:noVBand="1"/>
      </w:tblPr>
      <w:tblGrid>
        <w:gridCol w:w="10754"/>
        <w:gridCol w:w="46"/>
      </w:tblGrid>
      <w:tr w:rsidR="00B911FF" w:rsidRPr="00FE60B8" w:rsidTr="00B911FF">
        <w:trPr>
          <w:tblCellSpacing w:w="0" w:type="dxa"/>
        </w:trPr>
        <w:tc>
          <w:tcPr>
            <w:tcW w:w="0" w:type="auto"/>
            <w:vAlign w:val="bottom"/>
            <w:hideMark/>
          </w:tcPr>
          <w:p w:rsidR="00B911FF" w:rsidRPr="00520ED3" w:rsidRDefault="00B911FF" w:rsidP="00520ED3">
            <w:pPr>
              <w:pStyle w:val="Sansinterligne"/>
              <w:rPr>
                <w:b/>
                <w:sz w:val="16"/>
                <w:szCs w:val="16"/>
              </w:rPr>
            </w:pPr>
            <w:bookmarkStart w:id="195" w:name="_Toc475198235"/>
            <w:bookmarkStart w:id="196" w:name="_Toc475563859"/>
            <w:r w:rsidRPr="00520ED3">
              <w:rPr>
                <w:b/>
                <w:sz w:val="16"/>
                <w:szCs w:val="16"/>
              </w:rPr>
              <w:t>Objectifs spécifiques</w:t>
            </w:r>
            <w:bookmarkEnd w:id="195"/>
            <w:bookmarkEnd w:id="196"/>
          </w:p>
        </w:tc>
        <w:tc>
          <w:tcPr>
            <w:tcW w:w="0" w:type="auto"/>
            <w:vAlign w:val="bottom"/>
            <w:hideMark/>
          </w:tcPr>
          <w:p w:rsidR="00B911FF" w:rsidRPr="00FE60B8" w:rsidRDefault="00B911FF">
            <w:pPr>
              <w:jc w:val="right"/>
              <w:rPr>
                <w:rFonts w:cs="Times New Roman"/>
                <w:color w:val="000000"/>
                <w:sz w:val="16"/>
                <w:szCs w:val="16"/>
              </w:rPr>
            </w:pPr>
          </w:p>
        </w:tc>
      </w:tr>
    </w:tbl>
    <w:p w:rsidR="00B911FF" w:rsidRPr="00FE60B8" w:rsidRDefault="00B911FF" w:rsidP="00B911FF">
      <w:pPr>
        <w:pStyle w:val="NormalWeb"/>
        <w:shd w:val="clear" w:color="auto" w:fill="FFFFFF"/>
        <w:ind w:left="360"/>
        <w:rPr>
          <w:color w:val="000000"/>
          <w:sz w:val="16"/>
          <w:szCs w:val="16"/>
          <w:shd w:val="clear" w:color="auto" w:fill="FFFFFF"/>
        </w:rPr>
      </w:pPr>
      <w:r w:rsidRPr="00FE60B8">
        <w:rPr>
          <w:color w:val="000000"/>
          <w:sz w:val="16"/>
          <w:szCs w:val="16"/>
          <w:shd w:val="clear" w:color="auto" w:fill="FFFFFF"/>
        </w:rPr>
        <w:t>Dans le cas d'une patiente présentant des symptômes de ménopause, le candidat devra</w:t>
      </w:r>
    </w:p>
    <w:p w:rsidR="00B911FF" w:rsidRPr="00FE60B8" w:rsidRDefault="00B911FF" w:rsidP="00E648E3">
      <w:pPr>
        <w:numPr>
          <w:ilvl w:val="0"/>
          <w:numId w:val="235"/>
        </w:numPr>
        <w:shd w:val="clear" w:color="auto" w:fill="FFFFFF"/>
        <w:spacing w:before="100" w:beforeAutospacing="1" w:after="100" w:afterAutospacing="1" w:line="240" w:lineRule="auto"/>
        <w:rPr>
          <w:rFonts w:cs="Times New Roman"/>
          <w:color w:val="000000"/>
          <w:sz w:val="16"/>
          <w:szCs w:val="16"/>
          <w:shd w:val="clear" w:color="auto" w:fill="FFFFFF"/>
        </w:rPr>
      </w:pPr>
      <w:r w:rsidRPr="00FE60B8">
        <w:rPr>
          <w:rFonts w:cs="Times New Roman"/>
          <w:color w:val="000000"/>
          <w:sz w:val="16"/>
          <w:szCs w:val="16"/>
          <w:shd w:val="clear" w:color="auto" w:fill="FFFFFF"/>
        </w:rPr>
        <w:t>énumérer et interpréter les constatations cliniques pertinentes, notamment :</w:t>
      </w:r>
    </w:p>
    <w:p w:rsidR="00B911FF" w:rsidRPr="00FE60B8" w:rsidRDefault="00B911FF" w:rsidP="00E648E3">
      <w:pPr>
        <w:numPr>
          <w:ilvl w:val="1"/>
          <w:numId w:val="235"/>
        </w:numPr>
        <w:shd w:val="clear" w:color="auto" w:fill="FFFFFF"/>
        <w:spacing w:before="100" w:beforeAutospacing="1" w:after="100" w:afterAutospacing="1" w:line="240" w:lineRule="auto"/>
        <w:rPr>
          <w:rFonts w:cs="Times New Roman"/>
          <w:color w:val="000000"/>
          <w:sz w:val="16"/>
          <w:szCs w:val="16"/>
          <w:shd w:val="clear" w:color="auto" w:fill="FFFFFF"/>
        </w:rPr>
      </w:pPr>
      <w:r w:rsidRPr="00FE60B8">
        <w:rPr>
          <w:rFonts w:cs="Times New Roman"/>
          <w:color w:val="000000"/>
          <w:sz w:val="16"/>
          <w:szCs w:val="16"/>
          <w:shd w:val="clear" w:color="auto" w:fill="FFFFFF"/>
        </w:rPr>
        <w:t>faire une anamnèse et un examen physique appropriés, et rechercher en particulier des signes atypiques ou des facteurs de risque de complications de la ménopause;</w:t>
      </w:r>
    </w:p>
    <w:p w:rsidR="00B911FF" w:rsidRPr="00FE60B8" w:rsidRDefault="00B911FF" w:rsidP="00E648E3">
      <w:pPr>
        <w:numPr>
          <w:ilvl w:val="0"/>
          <w:numId w:val="235"/>
        </w:numPr>
        <w:shd w:val="clear" w:color="auto" w:fill="FFFFFF"/>
        <w:spacing w:before="100" w:beforeAutospacing="1" w:after="100" w:afterAutospacing="1" w:line="240" w:lineRule="auto"/>
        <w:rPr>
          <w:rFonts w:cs="Times New Roman"/>
          <w:color w:val="000000"/>
          <w:sz w:val="16"/>
          <w:szCs w:val="16"/>
          <w:shd w:val="clear" w:color="auto" w:fill="FFFFFF"/>
        </w:rPr>
      </w:pPr>
      <w:r w:rsidRPr="00FE60B8">
        <w:rPr>
          <w:rFonts w:cs="Times New Roman"/>
          <w:color w:val="000000"/>
          <w:sz w:val="16"/>
          <w:szCs w:val="16"/>
          <w:shd w:val="clear" w:color="auto" w:fill="FFFFFF"/>
        </w:rPr>
        <w:t>énumérer et interpréter les examens pertinents, notamment :</w:t>
      </w:r>
    </w:p>
    <w:p w:rsidR="00B911FF" w:rsidRPr="00FE60B8" w:rsidRDefault="00B911FF" w:rsidP="00E648E3">
      <w:pPr>
        <w:numPr>
          <w:ilvl w:val="1"/>
          <w:numId w:val="235"/>
        </w:numPr>
        <w:shd w:val="clear" w:color="auto" w:fill="FFFFFF"/>
        <w:spacing w:before="100" w:beforeAutospacing="1" w:after="100" w:afterAutospacing="1" w:line="240" w:lineRule="auto"/>
        <w:rPr>
          <w:rFonts w:cs="Times New Roman"/>
          <w:color w:val="000000"/>
          <w:sz w:val="16"/>
          <w:szCs w:val="16"/>
          <w:shd w:val="clear" w:color="auto" w:fill="FFFFFF"/>
        </w:rPr>
      </w:pPr>
      <w:r w:rsidRPr="00FE60B8">
        <w:rPr>
          <w:rFonts w:cs="Times New Roman"/>
          <w:color w:val="000000"/>
          <w:sz w:val="16"/>
          <w:szCs w:val="16"/>
          <w:shd w:val="clear" w:color="auto" w:fill="FFFFFF"/>
        </w:rPr>
        <w:t>les examens annuels pertinents chez la femme en période de ménopause;</w:t>
      </w:r>
    </w:p>
    <w:p w:rsidR="00B911FF" w:rsidRPr="00FE60B8" w:rsidRDefault="00B911FF" w:rsidP="00E648E3">
      <w:pPr>
        <w:numPr>
          <w:ilvl w:val="0"/>
          <w:numId w:val="235"/>
        </w:numPr>
        <w:shd w:val="clear" w:color="auto" w:fill="FFFFFF"/>
        <w:spacing w:before="100" w:beforeAutospacing="1" w:after="100" w:afterAutospacing="1" w:line="240" w:lineRule="auto"/>
        <w:rPr>
          <w:rFonts w:cs="Times New Roman"/>
          <w:color w:val="000000"/>
          <w:sz w:val="16"/>
          <w:szCs w:val="16"/>
          <w:shd w:val="clear" w:color="auto" w:fill="FFFFFF"/>
        </w:rPr>
      </w:pPr>
      <w:r w:rsidRPr="00FE60B8">
        <w:rPr>
          <w:rFonts w:cs="Times New Roman"/>
          <w:color w:val="000000"/>
          <w:sz w:val="16"/>
          <w:szCs w:val="16"/>
          <w:shd w:val="clear" w:color="auto" w:fill="FFFFFF"/>
        </w:rPr>
        <w:t>établir un plan efficace de prise en charge initiale, notamment :</w:t>
      </w:r>
    </w:p>
    <w:p w:rsidR="00B911FF" w:rsidRPr="00FE60B8" w:rsidRDefault="00B911FF" w:rsidP="00E648E3">
      <w:pPr>
        <w:numPr>
          <w:ilvl w:val="1"/>
          <w:numId w:val="235"/>
        </w:numPr>
        <w:shd w:val="clear" w:color="auto" w:fill="FFFFFF"/>
        <w:spacing w:before="100" w:beforeAutospacing="1" w:after="100" w:afterAutospacing="1" w:line="240" w:lineRule="auto"/>
        <w:rPr>
          <w:rFonts w:cs="Times New Roman"/>
          <w:color w:val="000000"/>
          <w:sz w:val="16"/>
          <w:szCs w:val="16"/>
          <w:shd w:val="clear" w:color="auto" w:fill="FFFFFF"/>
        </w:rPr>
      </w:pPr>
      <w:r w:rsidRPr="00FE60B8">
        <w:rPr>
          <w:rFonts w:cs="Times New Roman"/>
          <w:color w:val="000000"/>
          <w:sz w:val="16"/>
          <w:szCs w:val="16"/>
          <w:shd w:val="clear" w:color="auto" w:fill="FFFFFF"/>
        </w:rPr>
        <w:t>conseiller et renseigner la patiente à propos des changements normaux liés à la ménopause;</w:t>
      </w:r>
    </w:p>
    <w:p w:rsidR="00B911FF" w:rsidRPr="00FE60B8" w:rsidRDefault="00B911FF" w:rsidP="00E648E3">
      <w:pPr>
        <w:numPr>
          <w:ilvl w:val="1"/>
          <w:numId w:val="235"/>
        </w:numPr>
        <w:shd w:val="clear" w:color="auto" w:fill="FFFFFF"/>
        <w:spacing w:before="100" w:beforeAutospacing="1" w:after="100" w:afterAutospacing="1" w:line="240" w:lineRule="auto"/>
        <w:rPr>
          <w:rFonts w:cs="Times New Roman"/>
          <w:color w:val="000000"/>
          <w:sz w:val="16"/>
          <w:szCs w:val="16"/>
          <w:shd w:val="clear" w:color="auto" w:fill="FFFFFF"/>
        </w:rPr>
      </w:pPr>
      <w:r w:rsidRPr="00FE60B8">
        <w:rPr>
          <w:rFonts w:cs="Times New Roman"/>
          <w:color w:val="000000"/>
          <w:sz w:val="16"/>
          <w:szCs w:val="16"/>
          <w:shd w:val="clear" w:color="auto" w:fill="FFFFFF"/>
        </w:rPr>
        <w:t>rassurer la patiente à propos de ses préoccupations relatives au vieillissement et à la sexualité;</w:t>
      </w:r>
    </w:p>
    <w:p w:rsidR="00B911FF" w:rsidRPr="00FE60B8" w:rsidRDefault="00B911FF" w:rsidP="00E648E3">
      <w:pPr>
        <w:numPr>
          <w:ilvl w:val="1"/>
          <w:numId w:val="235"/>
        </w:numPr>
        <w:shd w:val="clear" w:color="auto" w:fill="FFFFFF"/>
        <w:spacing w:before="100" w:beforeAutospacing="1" w:after="100" w:afterAutospacing="1" w:line="240" w:lineRule="auto"/>
        <w:rPr>
          <w:rFonts w:cs="Times New Roman"/>
          <w:color w:val="000000"/>
          <w:sz w:val="16"/>
          <w:szCs w:val="16"/>
          <w:shd w:val="clear" w:color="auto" w:fill="FFFFFF"/>
        </w:rPr>
      </w:pPr>
      <w:bookmarkStart w:id="197" w:name="Objectifssp%C3%A9cifiques3.3"/>
      <w:r w:rsidRPr="00FE60B8">
        <w:rPr>
          <w:rFonts w:cs="Times New Roman"/>
          <w:color w:val="000000"/>
          <w:sz w:val="16"/>
          <w:szCs w:val="16"/>
          <w:shd w:val="clear" w:color="auto" w:fill="FFFFFF"/>
        </w:rPr>
        <w:t>conseiller et renseigner la patiente à propos de la prévention de l'ostéoporose et des maladies cardio-vasculaires;</w:t>
      </w:r>
    </w:p>
    <w:p w:rsidR="00B911FF" w:rsidRPr="00FE60B8" w:rsidRDefault="00B911FF" w:rsidP="00E648E3">
      <w:pPr>
        <w:numPr>
          <w:ilvl w:val="1"/>
          <w:numId w:val="235"/>
        </w:numPr>
        <w:shd w:val="clear" w:color="auto" w:fill="FFFFFF"/>
        <w:spacing w:before="100" w:beforeAutospacing="1" w:after="100" w:afterAutospacing="1" w:line="240" w:lineRule="auto"/>
        <w:rPr>
          <w:rFonts w:cs="Times New Roman"/>
          <w:color w:val="000000"/>
          <w:sz w:val="16"/>
          <w:szCs w:val="16"/>
          <w:shd w:val="clear" w:color="auto" w:fill="FFFFFF"/>
        </w:rPr>
      </w:pPr>
      <w:bookmarkStart w:id="198" w:name="Objectifssp%C3%A9cifiques3.4"/>
      <w:bookmarkEnd w:id="197"/>
      <w:r w:rsidRPr="00FE60B8">
        <w:rPr>
          <w:rFonts w:cs="Times New Roman"/>
          <w:color w:val="000000"/>
          <w:sz w:val="16"/>
          <w:szCs w:val="16"/>
          <w:shd w:val="clear" w:color="auto" w:fill="FFFFFF"/>
        </w:rPr>
        <w:t>exposer brièvement les risques, les avantages et les lignes directrices en ce qui concerne l'hormonothérapie substitutive, y compris l'œstrogénothérapie locale;</w:t>
      </w:r>
    </w:p>
    <w:p w:rsidR="00B911FF" w:rsidRPr="00FE60B8" w:rsidRDefault="00B911FF" w:rsidP="00E648E3">
      <w:pPr>
        <w:numPr>
          <w:ilvl w:val="1"/>
          <w:numId w:val="235"/>
        </w:numPr>
        <w:shd w:val="clear" w:color="auto" w:fill="FFFFFF"/>
        <w:spacing w:before="100" w:beforeAutospacing="1" w:after="100" w:afterAutospacing="1" w:line="240" w:lineRule="auto"/>
        <w:rPr>
          <w:rFonts w:cs="Times New Roman"/>
          <w:color w:val="000000"/>
          <w:sz w:val="16"/>
          <w:szCs w:val="16"/>
          <w:shd w:val="clear" w:color="auto" w:fill="FFFFFF"/>
        </w:rPr>
      </w:pPr>
      <w:bookmarkStart w:id="199" w:name="Objectifssp%C3%A9cifiques3.5"/>
      <w:bookmarkEnd w:id="198"/>
      <w:r w:rsidRPr="00FE60B8">
        <w:rPr>
          <w:rFonts w:cs="Times New Roman"/>
          <w:color w:val="000000"/>
          <w:sz w:val="16"/>
          <w:szCs w:val="16"/>
          <w:shd w:val="clear" w:color="auto" w:fill="FFFFFF"/>
        </w:rPr>
        <w:t>discuter des options de rechange à l'œstrogénothérapie pour certains symptômes de la ménopause.</w:t>
      </w:r>
    </w:p>
    <w:bookmarkEnd w:id="199"/>
    <w:p w:rsidR="00C536EC" w:rsidRPr="007B0519" w:rsidRDefault="00C536EC" w:rsidP="004F5781">
      <w:pPr>
        <w:pStyle w:val="Sansinterligne"/>
        <w:rPr>
          <w:b/>
          <w:sz w:val="28"/>
          <w:szCs w:val="28"/>
        </w:rPr>
      </w:pPr>
      <w:r w:rsidRPr="007B0519">
        <w:rPr>
          <w:b/>
          <w:sz w:val="28"/>
          <w:szCs w:val="28"/>
        </w:rPr>
        <w:t>Définition de la ménopause</w:t>
      </w:r>
    </w:p>
    <w:p w:rsidR="00C536EC" w:rsidRDefault="00182DFD" w:rsidP="004F5781">
      <w:pPr>
        <w:pStyle w:val="Sansinterligne"/>
      </w:pPr>
      <w:r>
        <w:rPr>
          <w:noProof/>
          <w:lang w:eastAsia="fr-CA"/>
        </w:rPr>
        <w:drawing>
          <wp:anchor distT="0" distB="0" distL="114300" distR="114300" simplePos="0" relativeHeight="251728896" behindDoc="0" locked="0" layoutInCell="1" allowOverlap="1" wp14:anchorId="62954A85" wp14:editId="1458BD31">
            <wp:simplePos x="0" y="0"/>
            <wp:positionH relativeFrom="column">
              <wp:posOffset>3950179</wp:posOffset>
            </wp:positionH>
            <wp:positionV relativeFrom="paragraph">
              <wp:posOffset>88900</wp:posOffset>
            </wp:positionV>
            <wp:extent cx="3036726" cy="1943100"/>
            <wp:effectExtent l="0" t="0" r="0" b="0"/>
            <wp:wrapNone/>
            <wp:docPr id="54" name="Image 54" descr="Image associé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associée"/>
                    <pic:cNvPicPr>
                      <a:picLocks noChangeAspect="1" noChangeArrowheads="1"/>
                    </pic:cNvPicPr>
                  </pic:nvPicPr>
                  <pic:blipFill rotWithShape="1">
                    <a:blip r:embed="rId195" cstate="print">
                      <a:extLst>
                        <a:ext uri="{28A0092B-C50C-407E-A947-70E740481C1C}">
                          <a14:useLocalDpi xmlns:a14="http://schemas.microsoft.com/office/drawing/2010/main" val="0"/>
                        </a:ext>
                      </a:extLst>
                    </a:blip>
                    <a:srcRect l="6250"/>
                    <a:stretch/>
                  </pic:blipFill>
                  <pic:spPr bwMode="auto">
                    <a:xfrm>
                      <a:off x="0" y="0"/>
                      <a:ext cx="3036726" cy="19431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56BB8" w:rsidRDefault="001B5F4A" w:rsidP="007B0519">
      <w:pPr>
        <w:pStyle w:val="Sansinterligne"/>
        <w:numPr>
          <w:ilvl w:val="0"/>
          <w:numId w:val="237"/>
        </w:numPr>
      </w:pPr>
      <w:r w:rsidRPr="008950C1">
        <w:rPr>
          <w:i/>
        </w:rPr>
        <w:t>Absence de menstruations sur 12 mois consécutifs</w:t>
      </w:r>
      <w:r>
        <w:t>.</w:t>
      </w:r>
      <w:r w:rsidR="007B0519">
        <w:t xml:space="preserve"> Elle peut être:</w:t>
      </w:r>
    </w:p>
    <w:p w:rsidR="001B5F4A" w:rsidRDefault="001B5F4A" w:rsidP="007B0519">
      <w:pPr>
        <w:pStyle w:val="Sansinterligne"/>
        <w:numPr>
          <w:ilvl w:val="0"/>
          <w:numId w:val="236"/>
        </w:numPr>
      </w:pPr>
      <w:r>
        <w:t xml:space="preserve">Physiologique : </w:t>
      </w:r>
      <w:r w:rsidRPr="00FE60B8">
        <w:rPr>
          <w:highlight w:val="yellow"/>
        </w:rPr>
        <w:t>âge moyen de 51 ans</w:t>
      </w:r>
    </w:p>
    <w:p w:rsidR="001B5F4A" w:rsidRDefault="001B5F4A" w:rsidP="007B0519">
      <w:pPr>
        <w:pStyle w:val="Sansinterligne"/>
        <w:numPr>
          <w:ilvl w:val="0"/>
          <w:numId w:val="236"/>
        </w:numPr>
      </w:pPr>
      <w:r>
        <w:t>Pathologique (insuffisance ovarienne – avant 40 ans)</w:t>
      </w:r>
    </w:p>
    <w:p w:rsidR="001B5F4A" w:rsidRDefault="001B5F4A" w:rsidP="007B0519">
      <w:pPr>
        <w:pStyle w:val="Sansinterligne"/>
        <w:numPr>
          <w:ilvl w:val="0"/>
          <w:numId w:val="236"/>
        </w:numPr>
      </w:pPr>
      <w:r>
        <w:t>Iatrogénique (ovariectomie, chimiothérapie, etc.)</w:t>
      </w:r>
    </w:p>
    <w:p w:rsidR="001B5F4A" w:rsidRDefault="00124996" w:rsidP="00124996">
      <w:pPr>
        <w:pStyle w:val="Sansinterligne"/>
        <w:numPr>
          <w:ilvl w:val="0"/>
          <w:numId w:val="237"/>
        </w:numPr>
      </w:pPr>
      <w:r>
        <w:t>Due à une diminution de la production hormonale ovarienne.</w:t>
      </w:r>
    </w:p>
    <w:p w:rsidR="00124996" w:rsidRDefault="00124996" w:rsidP="00124996">
      <w:pPr>
        <w:pStyle w:val="Sansinterligne"/>
        <w:ind w:left="360"/>
      </w:pPr>
    </w:p>
    <w:p w:rsidR="00182DFD" w:rsidRPr="00FE60B8" w:rsidRDefault="001B5F4A" w:rsidP="00924651">
      <w:pPr>
        <w:pStyle w:val="Sansinterligne"/>
        <w:numPr>
          <w:ilvl w:val="0"/>
          <w:numId w:val="238"/>
        </w:numPr>
        <w:rPr>
          <w:highlight w:val="yellow"/>
        </w:rPr>
      </w:pPr>
      <w:r w:rsidRPr="00FE60B8">
        <w:rPr>
          <w:b/>
          <w:highlight w:val="yellow"/>
        </w:rPr>
        <w:t>Périménopause </w:t>
      </w:r>
      <w:r w:rsidRPr="00FE60B8">
        <w:rPr>
          <w:highlight w:val="yellow"/>
        </w:rPr>
        <w:t xml:space="preserve">: période de temps définie comme 2 à 8 </w:t>
      </w:r>
    </w:p>
    <w:p w:rsidR="001B5F4A" w:rsidRDefault="001B5F4A" w:rsidP="00182DFD">
      <w:pPr>
        <w:pStyle w:val="Sansinterligne"/>
        <w:ind w:left="360"/>
      </w:pPr>
      <w:r w:rsidRPr="00FE60B8">
        <w:rPr>
          <w:highlight w:val="yellow"/>
        </w:rPr>
        <w:t>avant la ménopause et 1 an après la fin des règles</w:t>
      </w:r>
      <w:r>
        <w:t xml:space="preserve"> (OMS)</w:t>
      </w:r>
    </w:p>
    <w:p w:rsidR="001B5F4A" w:rsidRDefault="001B5F4A" w:rsidP="00924651">
      <w:pPr>
        <w:pStyle w:val="Sansinterligne"/>
        <w:numPr>
          <w:ilvl w:val="0"/>
          <w:numId w:val="238"/>
        </w:numPr>
      </w:pPr>
      <w:r>
        <w:t>Âge moyen : 45 ans</w:t>
      </w:r>
    </w:p>
    <w:p w:rsidR="007B0519" w:rsidRDefault="007B0519" w:rsidP="004F5781">
      <w:pPr>
        <w:pStyle w:val="Sansinterligne"/>
      </w:pPr>
    </w:p>
    <w:p w:rsidR="007B0519" w:rsidRDefault="007B0519" w:rsidP="004F5781">
      <w:pPr>
        <w:pStyle w:val="Sansinterligne"/>
      </w:pPr>
    </w:p>
    <w:p w:rsidR="00C536EC" w:rsidRPr="007B0519" w:rsidRDefault="00C536EC" w:rsidP="004F5781">
      <w:pPr>
        <w:pStyle w:val="Sansinterligne"/>
        <w:rPr>
          <w:b/>
          <w:sz w:val="28"/>
          <w:szCs w:val="28"/>
        </w:rPr>
      </w:pPr>
      <w:r w:rsidRPr="007B0519">
        <w:rPr>
          <w:b/>
          <w:sz w:val="28"/>
          <w:szCs w:val="28"/>
        </w:rPr>
        <w:t xml:space="preserve">Problématiques </w:t>
      </w:r>
      <w:r w:rsidR="00F56BB8" w:rsidRPr="007B0519">
        <w:rPr>
          <w:b/>
          <w:sz w:val="28"/>
          <w:szCs w:val="28"/>
        </w:rPr>
        <w:t>associées</w:t>
      </w:r>
      <w:r w:rsidRPr="007B0519">
        <w:rPr>
          <w:b/>
          <w:sz w:val="28"/>
          <w:szCs w:val="28"/>
        </w:rPr>
        <w:t xml:space="preserve"> à la ménopause </w:t>
      </w:r>
    </w:p>
    <w:p w:rsidR="00C536EC" w:rsidRDefault="00C536EC" w:rsidP="004F5781">
      <w:pPr>
        <w:pStyle w:val="Sansinterligne"/>
      </w:pPr>
    </w:p>
    <w:p w:rsidR="001B5F4A" w:rsidRDefault="00124996" w:rsidP="004F5781">
      <w:pPr>
        <w:pStyle w:val="Sansinterligne"/>
      </w:pPr>
      <w:r>
        <w:t>Les symptômes et phénomènes de la ménopause sont essentiellement le résultat d’une insuffisance en œstrogène</w:t>
      </w:r>
    </w:p>
    <w:p w:rsidR="00124996" w:rsidRDefault="00124996" w:rsidP="004F5781">
      <w:pPr>
        <w:pStyle w:val="Sansinterligne"/>
      </w:pPr>
    </w:p>
    <w:tbl>
      <w:tblPr>
        <w:tblStyle w:val="Grilledutableau"/>
        <w:tblW w:w="0" w:type="auto"/>
        <w:tblLook w:val="04A0" w:firstRow="1" w:lastRow="0" w:firstColumn="1" w:lastColumn="0" w:noHBand="0" w:noVBand="1"/>
      </w:tblPr>
      <w:tblGrid>
        <w:gridCol w:w="3227"/>
        <w:gridCol w:w="2551"/>
        <w:gridCol w:w="5162"/>
      </w:tblGrid>
      <w:tr w:rsidR="003C74F3" w:rsidTr="002A1F06">
        <w:tc>
          <w:tcPr>
            <w:tcW w:w="3227" w:type="dxa"/>
            <w:shd w:val="clear" w:color="auto" w:fill="B2A1C7" w:themeFill="accent4" w:themeFillTint="99"/>
          </w:tcPr>
          <w:p w:rsidR="003C74F3" w:rsidRPr="007B2AE3" w:rsidRDefault="003C74F3" w:rsidP="007B2AE3">
            <w:pPr>
              <w:pStyle w:val="Sansinterligne"/>
              <w:jc w:val="center"/>
              <w:rPr>
                <w:i/>
              </w:rPr>
            </w:pPr>
            <w:r w:rsidRPr="007B2AE3">
              <w:rPr>
                <w:i/>
              </w:rPr>
              <w:t>Problématique</w:t>
            </w:r>
          </w:p>
        </w:tc>
        <w:tc>
          <w:tcPr>
            <w:tcW w:w="2551" w:type="dxa"/>
            <w:shd w:val="clear" w:color="auto" w:fill="B2A1C7" w:themeFill="accent4" w:themeFillTint="99"/>
          </w:tcPr>
          <w:p w:rsidR="003C74F3" w:rsidRPr="007B2AE3" w:rsidRDefault="003C74F3" w:rsidP="007B2AE3">
            <w:pPr>
              <w:pStyle w:val="Sansinterligne"/>
              <w:jc w:val="center"/>
              <w:rPr>
                <w:i/>
              </w:rPr>
            </w:pPr>
            <w:r w:rsidRPr="007B2AE3">
              <w:rPr>
                <w:i/>
              </w:rPr>
              <w:t>Manifestations</w:t>
            </w:r>
          </w:p>
        </w:tc>
        <w:tc>
          <w:tcPr>
            <w:tcW w:w="5162" w:type="dxa"/>
            <w:shd w:val="clear" w:color="auto" w:fill="B2A1C7" w:themeFill="accent4" w:themeFillTint="99"/>
          </w:tcPr>
          <w:p w:rsidR="003C74F3" w:rsidRPr="007B2AE3" w:rsidRDefault="003C74F3" w:rsidP="007B2AE3">
            <w:pPr>
              <w:pStyle w:val="Sansinterligne"/>
              <w:jc w:val="center"/>
              <w:rPr>
                <w:i/>
              </w:rPr>
            </w:pPr>
            <w:r w:rsidRPr="007B2AE3">
              <w:rPr>
                <w:i/>
              </w:rPr>
              <w:t>Traitement</w:t>
            </w:r>
          </w:p>
        </w:tc>
      </w:tr>
      <w:tr w:rsidR="00124996" w:rsidTr="006674F1">
        <w:tc>
          <w:tcPr>
            <w:tcW w:w="3227" w:type="dxa"/>
            <w:vAlign w:val="center"/>
          </w:tcPr>
          <w:p w:rsidR="00124996" w:rsidRDefault="00796324" w:rsidP="006674F1">
            <w:pPr>
              <w:pStyle w:val="Sansinterligne"/>
              <w:jc w:val="center"/>
            </w:pPr>
            <w:r>
              <w:t>Instabilité vasomotrice</w:t>
            </w:r>
          </w:p>
        </w:tc>
        <w:tc>
          <w:tcPr>
            <w:tcW w:w="2551" w:type="dxa"/>
          </w:tcPr>
          <w:p w:rsidR="00124996" w:rsidRPr="006674F1" w:rsidRDefault="00796324" w:rsidP="004F5781">
            <w:pPr>
              <w:pStyle w:val="Sansinterligne"/>
              <w:rPr>
                <w:highlight w:val="yellow"/>
              </w:rPr>
            </w:pPr>
            <w:r w:rsidRPr="006674F1">
              <w:rPr>
                <w:highlight w:val="yellow"/>
              </w:rPr>
              <w:t>Bouffées de chaleur</w:t>
            </w:r>
          </w:p>
          <w:p w:rsidR="00796324" w:rsidRPr="006674F1" w:rsidRDefault="00796324" w:rsidP="004F5781">
            <w:pPr>
              <w:pStyle w:val="Sansinterligne"/>
              <w:rPr>
                <w:highlight w:val="yellow"/>
              </w:rPr>
            </w:pPr>
            <w:r w:rsidRPr="006674F1">
              <w:rPr>
                <w:highlight w:val="yellow"/>
              </w:rPr>
              <w:t>Sueurs nocturnes</w:t>
            </w:r>
          </w:p>
          <w:p w:rsidR="00796324" w:rsidRDefault="00796324" w:rsidP="004F5781">
            <w:pPr>
              <w:pStyle w:val="Sansinterligne"/>
            </w:pPr>
            <w:r w:rsidRPr="006674F1">
              <w:rPr>
                <w:highlight w:val="yellow"/>
              </w:rPr>
              <w:t>Troubles du sommeil</w:t>
            </w:r>
          </w:p>
          <w:p w:rsidR="00796324" w:rsidRDefault="00796324" w:rsidP="004F5781">
            <w:pPr>
              <w:pStyle w:val="Sansinterligne"/>
            </w:pPr>
            <w:r>
              <w:t>Fourmillements</w:t>
            </w:r>
          </w:p>
          <w:p w:rsidR="00796324" w:rsidRDefault="00796324" w:rsidP="004F5781">
            <w:pPr>
              <w:pStyle w:val="Sansinterligne"/>
            </w:pPr>
            <w:r>
              <w:t>Nausées, palpitations</w:t>
            </w:r>
          </w:p>
        </w:tc>
        <w:tc>
          <w:tcPr>
            <w:tcW w:w="5162" w:type="dxa"/>
          </w:tcPr>
          <w:p w:rsidR="00124996" w:rsidRDefault="00796324" w:rsidP="00924651">
            <w:pPr>
              <w:pStyle w:val="Sansinterligne"/>
              <w:numPr>
                <w:ilvl w:val="0"/>
                <w:numId w:val="242"/>
              </w:numPr>
            </w:pPr>
            <w:r w:rsidRPr="00DC10DA">
              <w:rPr>
                <w:highlight w:val="yellow"/>
              </w:rPr>
              <w:t>Hormonothérapie de remplacement (HTR)</w:t>
            </w:r>
          </w:p>
          <w:p w:rsidR="00796324" w:rsidRDefault="00DC10DA" w:rsidP="00924651">
            <w:pPr>
              <w:pStyle w:val="Sansinterligne"/>
              <w:numPr>
                <w:ilvl w:val="0"/>
                <w:numId w:val="242"/>
              </w:numPr>
            </w:pPr>
            <w:r>
              <w:rPr>
                <w:noProof/>
                <w:lang w:eastAsia="fr-CA"/>
              </w:rPr>
              <mc:AlternateContent>
                <mc:Choice Requires="wps">
                  <w:drawing>
                    <wp:anchor distT="0" distB="0" distL="114300" distR="114300" simplePos="0" relativeHeight="251731968" behindDoc="0" locked="0" layoutInCell="1" allowOverlap="1" wp14:anchorId="366CB672" wp14:editId="03A006E3">
                      <wp:simplePos x="0" y="0"/>
                      <wp:positionH relativeFrom="column">
                        <wp:posOffset>941705</wp:posOffset>
                      </wp:positionH>
                      <wp:positionV relativeFrom="paragraph">
                        <wp:posOffset>26035</wp:posOffset>
                      </wp:positionV>
                      <wp:extent cx="135890" cy="319405"/>
                      <wp:effectExtent l="0" t="0" r="16510" b="23495"/>
                      <wp:wrapNone/>
                      <wp:docPr id="62" name="Accolade fermante 62"/>
                      <wp:cNvGraphicFramePr/>
                      <a:graphic xmlns:a="http://schemas.openxmlformats.org/drawingml/2006/main">
                        <a:graphicData uri="http://schemas.microsoft.com/office/word/2010/wordprocessingShape">
                          <wps:wsp>
                            <wps:cNvSpPr/>
                            <wps:spPr>
                              <a:xfrm>
                                <a:off x="0" y="0"/>
                                <a:ext cx="135890" cy="319405"/>
                              </a:xfrm>
                              <a:prstGeom prst="rightBrace">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ccolade fermante 62" o:spid="_x0000_s1026" type="#_x0000_t88" style="position:absolute;margin-left:74.15pt;margin-top:2.05pt;width:10.7pt;height:25.15pt;z-index:2517319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" adj="766" strokecolor="black [3040]"/>
                  </w:pict>
                </mc:Fallback>
              </mc:AlternateContent>
            </w:r>
            <w:r w:rsidR="00796324">
              <w:t>ISRS</w:t>
            </w:r>
            <w:r>
              <w:t xml:space="preserve">                 (</w:t>
            </w:r>
            <w:r>
              <w:rPr>
                <w:rFonts w:cs="Times New Roman"/>
              </w:rPr>
              <w:t>↓</w:t>
            </w:r>
            <w:r>
              <w:t xml:space="preserve"> </w:t>
            </w:r>
            <w:r>
              <w:rPr>
                <w:rFonts w:cs="Times New Roman"/>
              </w:rPr>
              <w:t>~</w:t>
            </w:r>
            <w:r>
              <w:t xml:space="preserve"> 1 bouffée/jour – minime)</w:t>
            </w:r>
          </w:p>
          <w:p w:rsidR="00796324" w:rsidRDefault="00796324" w:rsidP="00924651">
            <w:pPr>
              <w:pStyle w:val="Sansinterligne"/>
              <w:numPr>
                <w:ilvl w:val="0"/>
                <w:numId w:val="242"/>
              </w:numPr>
            </w:pPr>
            <w:r>
              <w:t>Venlafaxine</w:t>
            </w:r>
          </w:p>
          <w:p w:rsidR="00796324" w:rsidRDefault="00796324" w:rsidP="00924651">
            <w:pPr>
              <w:pStyle w:val="Sansinterligne"/>
              <w:numPr>
                <w:ilvl w:val="0"/>
                <w:numId w:val="242"/>
              </w:numPr>
            </w:pPr>
            <w:r>
              <w:t>Acupuncture</w:t>
            </w:r>
          </w:p>
        </w:tc>
      </w:tr>
      <w:tr w:rsidR="00124996" w:rsidTr="006674F1">
        <w:tc>
          <w:tcPr>
            <w:tcW w:w="3227" w:type="dxa"/>
            <w:vAlign w:val="center"/>
          </w:tcPr>
          <w:p w:rsidR="00124996" w:rsidRDefault="003C74F3" w:rsidP="006674F1">
            <w:pPr>
              <w:pStyle w:val="Sansinterligne"/>
              <w:jc w:val="center"/>
            </w:pPr>
            <w:r>
              <w:t>Atrophie urogénitale</w:t>
            </w:r>
          </w:p>
        </w:tc>
        <w:tc>
          <w:tcPr>
            <w:tcW w:w="2551" w:type="dxa"/>
          </w:tcPr>
          <w:p w:rsidR="00124996" w:rsidRPr="006674F1" w:rsidRDefault="00796324" w:rsidP="004F5781">
            <w:pPr>
              <w:pStyle w:val="Sansinterligne"/>
              <w:rPr>
                <w:highlight w:val="yellow"/>
              </w:rPr>
            </w:pPr>
            <w:r w:rsidRPr="006674F1">
              <w:rPr>
                <w:highlight w:val="yellow"/>
              </w:rPr>
              <w:t>Sécheresse vaginale</w:t>
            </w:r>
          </w:p>
          <w:p w:rsidR="00796324" w:rsidRPr="006674F1" w:rsidRDefault="00796324" w:rsidP="004F5781">
            <w:pPr>
              <w:pStyle w:val="Sansinterligne"/>
              <w:rPr>
                <w:highlight w:val="yellow"/>
              </w:rPr>
            </w:pPr>
            <w:r w:rsidRPr="006674F1">
              <w:rPr>
                <w:highlight w:val="yellow"/>
              </w:rPr>
              <w:t>Prurit vaginal</w:t>
            </w:r>
          </w:p>
          <w:p w:rsidR="00796324" w:rsidRDefault="00796324" w:rsidP="004F5781">
            <w:pPr>
              <w:pStyle w:val="Sansinterligne"/>
            </w:pPr>
            <w:r w:rsidRPr="006674F1">
              <w:rPr>
                <w:highlight w:val="yellow"/>
              </w:rPr>
              <w:t>Dyspareunie</w:t>
            </w:r>
          </w:p>
          <w:p w:rsidR="00796324" w:rsidRDefault="00986AA2" w:rsidP="00986AA2">
            <w:pPr>
              <w:pStyle w:val="Sansinterligne"/>
            </w:pPr>
            <w:r>
              <w:t>Pollakiurie, urgenturie</w:t>
            </w:r>
          </w:p>
          <w:p w:rsidR="00986AA2" w:rsidRDefault="00986AA2" w:rsidP="00986AA2">
            <w:pPr>
              <w:pStyle w:val="Sansinterligne"/>
            </w:pPr>
            <w:r>
              <w:t>Incontinence</w:t>
            </w:r>
          </w:p>
        </w:tc>
        <w:tc>
          <w:tcPr>
            <w:tcW w:w="5162" w:type="dxa"/>
          </w:tcPr>
          <w:p w:rsidR="00124996" w:rsidRDefault="00796324" w:rsidP="00924651">
            <w:pPr>
              <w:pStyle w:val="Sansinterligne"/>
              <w:numPr>
                <w:ilvl w:val="0"/>
                <w:numId w:val="243"/>
              </w:numPr>
            </w:pPr>
            <w:r w:rsidRPr="006674F1">
              <w:rPr>
                <w:highlight w:val="yellow"/>
              </w:rPr>
              <w:t>Estrogènes topiques</w:t>
            </w:r>
            <w:r>
              <w:t> :</w:t>
            </w:r>
          </w:p>
          <w:p w:rsidR="00796324" w:rsidRDefault="00796324" w:rsidP="00924651">
            <w:pPr>
              <w:pStyle w:val="Sansinterligne"/>
              <w:numPr>
                <w:ilvl w:val="1"/>
                <w:numId w:val="243"/>
              </w:numPr>
            </w:pPr>
            <w:r>
              <w:t>Crème (Prémarine)</w:t>
            </w:r>
          </w:p>
          <w:p w:rsidR="00796324" w:rsidRDefault="00796324" w:rsidP="00924651">
            <w:pPr>
              <w:pStyle w:val="Sansinterligne"/>
              <w:numPr>
                <w:ilvl w:val="1"/>
                <w:numId w:val="243"/>
              </w:numPr>
            </w:pPr>
            <w:r>
              <w:t>Suppositoire vaginal (VagiFem)</w:t>
            </w:r>
          </w:p>
          <w:p w:rsidR="00796324" w:rsidRDefault="00796324" w:rsidP="00924651">
            <w:pPr>
              <w:pStyle w:val="Sansinterligne"/>
              <w:numPr>
                <w:ilvl w:val="1"/>
                <w:numId w:val="243"/>
              </w:numPr>
            </w:pPr>
            <w:r>
              <w:t>Anneau (Estring)</w:t>
            </w:r>
          </w:p>
          <w:p w:rsidR="00E50DE2" w:rsidRDefault="00796324" w:rsidP="00924651">
            <w:pPr>
              <w:pStyle w:val="Sansinterligne"/>
              <w:numPr>
                <w:ilvl w:val="0"/>
                <w:numId w:val="243"/>
              </w:numPr>
            </w:pPr>
            <w:r>
              <w:t>Lubrifiants (pour la dyspareunie)</w:t>
            </w:r>
          </w:p>
          <w:p w:rsidR="00E50DE2" w:rsidRDefault="00E50DE2" w:rsidP="00924651">
            <w:pPr>
              <w:pStyle w:val="Sansinterligne"/>
              <w:numPr>
                <w:ilvl w:val="0"/>
                <w:numId w:val="243"/>
              </w:numPr>
            </w:pPr>
            <w:r>
              <w:t>Pessaires, urètropexie si prolapsus ou cystocèle</w:t>
            </w:r>
          </w:p>
        </w:tc>
      </w:tr>
      <w:tr w:rsidR="00124996" w:rsidRPr="00ED210E" w:rsidTr="006674F1">
        <w:tc>
          <w:tcPr>
            <w:tcW w:w="3227" w:type="dxa"/>
            <w:vAlign w:val="center"/>
          </w:tcPr>
          <w:p w:rsidR="00124996" w:rsidRDefault="00796324" w:rsidP="006674F1">
            <w:pPr>
              <w:pStyle w:val="Sansinterligne"/>
              <w:jc w:val="center"/>
            </w:pPr>
            <w:r>
              <w:t>Changements squelettiques</w:t>
            </w:r>
          </w:p>
        </w:tc>
        <w:tc>
          <w:tcPr>
            <w:tcW w:w="2551" w:type="dxa"/>
          </w:tcPr>
          <w:p w:rsidR="00124996" w:rsidRDefault="00796324" w:rsidP="004F5781">
            <w:pPr>
              <w:pStyle w:val="Sansinterligne"/>
            </w:pPr>
            <w:r>
              <w:t>Douleurs articulaires</w:t>
            </w:r>
          </w:p>
          <w:p w:rsidR="00986AA2" w:rsidRDefault="00986AA2" w:rsidP="004F5781">
            <w:pPr>
              <w:pStyle w:val="Sansinterligne"/>
            </w:pPr>
            <w:r>
              <w:t>Douleurs dorsales</w:t>
            </w:r>
          </w:p>
          <w:p w:rsidR="00796324" w:rsidRPr="00986AA2" w:rsidRDefault="00796324" w:rsidP="004F5781">
            <w:pPr>
              <w:pStyle w:val="Sansinterligne"/>
              <w:rPr>
                <w:rFonts w:cs="Times New Roman"/>
              </w:rPr>
            </w:pPr>
            <w:r w:rsidRPr="006674F1">
              <w:rPr>
                <w:rFonts w:cs="Times New Roman"/>
                <w:highlight w:val="yellow"/>
              </w:rPr>
              <w:t>Ostéoporose</w:t>
            </w:r>
          </w:p>
        </w:tc>
        <w:tc>
          <w:tcPr>
            <w:tcW w:w="5162" w:type="dxa"/>
          </w:tcPr>
          <w:p w:rsidR="00124996" w:rsidRDefault="00986AA2" w:rsidP="00924651">
            <w:pPr>
              <w:pStyle w:val="Sansinterligne"/>
              <w:numPr>
                <w:ilvl w:val="0"/>
                <w:numId w:val="245"/>
              </w:numPr>
            </w:pPr>
            <w:r>
              <w:t>Suppléments calciques et vitamine D</w:t>
            </w:r>
          </w:p>
          <w:p w:rsidR="00986AA2" w:rsidRPr="00ED210E" w:rsidRDefault="00986AA2" w:rsidP="00924651">
            <w:pPr>
              <w:pStyle w:val="Sansinterligne"/>
              <w:numPr>
                <w:ilvl w:val="0"/>
                <w:numId w:val="245"/>
              </w:numPr>
              <w:rPr>
                <w:lang w:val="de-DE"/>
              </w:rPr>
            </w:pPr>
            <w:r w:rsidRPr="00ED210E">
              <w:rPr>
                <w:lang w:val="de-DE"/>
              </w:rPr>
              <w:t>1000-1500 mg PO DIE + 800-</w:t>
            </w:r>
            <w:r w:rsidR="00ED210E" w:rsidRPr="00ED210E">
              <w:rPr>
                <w:lang w:val="de-DE"/>
              </w:rPr>
              <w:t>2</w:t>
            </w:r>
            <w:r w:rsidRPr="00ED210E">
              <w:rPr>
                <w:lang w:val="de-DE"/>
              </w:rPr>
              <w:t>000 IU vitamine D</w:t>
            </w:r>
          </w:p>
          <w:p w:rsidR="00986AA2" w:rsidRDefault="00986AA2" w:rsidP="00924651">
            <w:pPr>
              <w:pStyle w:val="Sansinterligne"/>
              <w:numPr>
                <w:ilvl w:val="0"/>
                <w:numId w:val="245"/>
              </w:numPr>
            </w:pPr>
            <w:r>
              <w:t>Exercice physique avec mise en charge</w:t>
            </w:r>
          </w:p>
          <w:p w:rsidR="00ED210E" w:rsidRPr="00ED210E" w:rsidRDefault="00ED210E" w:rsidP="00ED210E">
            <w:pPr>
              <w:pStyle w:val="Sansinterligne"/>
            </w:pPr>
            <w:r w:rsidRPr="00ED210E">
              <w:rPr>
                <w:u w:val="single"/>
              </w:rPr>
              <w:t>Si fractures de fragilité ou vertébrale/hanche</w:t>
            </w:r>
            <w:r w:rsidRPr="00ED210E">
              <w:t>:</w:t>
            </w:r>
          </w:p>
          <w:p w:rsidR="00ED210E" w:rsidRPr="00ED210E" w:rsidRDefault="00ED210E" w:rsidP="00924651">
            <w:pPr>
              <w:pStyle w:val="Sansinterligne"/>
              <w:numPr>
                <w:ilvl w:val="0"/>
                <w:numId w:val="241"/>
              </w:numPr>
              <w:rPr>
                <w:lang w:val="de-DE"/>
              </w:rPr>
            </w:pPr>
            <w:r>
              <w:rPr>
                <w:lang w:val="de-DE"/>
              </w:rPr>
              <w:t>Biphosphonates</w:t>
            </w:r>
            <w:r w:rsidR="00986AA2" w:rsidRPr="00ED210E">
              <w:rPr>
                <w:lang w:val="de-DE"/>
              </w:rPr>
              <w:t xml:space="preserve"> </w:t>
            </w:r>
            <w:r w:rsidR="001D5FB1">
              <w:rPr>
                <w:lang w:val="de-DE"/>
              </w:rPr>
              <w:t>(1er choix)</w:t>
            </w:r>
          </w:p>
          <w:p w:rsidR="00ED210E" w:rsidRPr="00ED210E" w:rsidRDefault="00ED210E" w:rsidP="00924651">
            <w:pPr>
              <w:pStyle w:val="Sansinterligne"/>
              <w:numPr>
                <w:ilvl w:val="0"/>
                <w:numId w:val="241"/>
              </w:numPr>
              <w:rPr>
                <w:lang w:val="de-DE"/>
              </w:rPr>
            </w:pPr>
            <w:r w:rsidRPr="00ED210E">
              <w:rPr>
                <w:lang w:val="de-DE"/>
              </w:rPr>
              <w:t>Raloxif</w:t>
            </w:r>
            <w:r>
              <w:rPr>
                <w:lang w:val="de-DE"/>
              </w:rPr>
              <w:t>è</w:t>
            </w:r>
            <w:r w:rsidRPr="00ED210E">
              <w:rPr>
                <w:lang w:val="de-DE"/>
              </w:rPr>
              <w:t xml:space="preserve">ne 60 mg PO </w:t>
            </w:r>
            <w:r w:rsidR="006674F1">
              <w:rPr>
                <w:lang w:val="de-DE"/>
              </w:rPr>
              <w:t>DIE (2e ligne)</w:t>
            </w:r>
          </w:p>
          <w:p w:rsidR="00986AA2" w:rsidRPr="00ED210E" w:rsidRDefault="00ED210E" w:rsidP="00924651">
            <w:pPr>
              <w:pStyle w:val="Sansinterligne"/>
              <w:numPr>
                <w:ilvl w:val="0"/>
                <w:numId w:val="241"/>
              </w:numPr>
              <w:rPr>
                <w:lang w:val="de-DE"/>
              </w:rPr>
            </w:pPr>
            <w:r>
              <w:rPr>
                <w:lang w:val="de-DE"/>
              </w:rPr>
              <w:t>HTR (2e ligne)</w:t>
            </w:r>
          </w:p>
        </w:tc>
      </w:tr>
      <w:tr w:rsidR="00124996" w:rsidTr="006674F1">
        <w:tc>
          <w:tcPr>
            <w:tcW w:w="3227" w:type="dxa"/>
            <w:vAlign w:val="center"/>
          </w:tcPr>
          <w:p w:rsidR="00124996" w:rsidRDefault="003C74F3" w:rsidP="006674F1">
            <w:pPr>
              <w:pStyle w:val="Sansinterligne"/>
              <w:jc w:val="center"/>
            </w:pPr>
            <w:r>
              <w:t>Diminution de la libido</w:t>
            </w:r>
          </w:p>
        </w:tc>
        <w:tc>
          <w:tcPr>
            <w:tcW w:w="2551" w:type="dxa"/>
            <w:shd w:val="clear" w:color="auto" w:fill="000000" w:themeFill="text1"/>
          </w:tcPr>
          <w:p w:rsidR="00124996" w:rsidRDefault="00124996" w:rsidP="004F5781">
            <w:pPr>
              <w:pStyle w:val="Sansinterligne"/>
            </w:pPr>
          </w:p>
        </w:tc>
        <w:tc>
          <w:tcPr>
            <w:tcW w:w="5162" w:type="dxa"/>
          </w:tcPr>
          <w:p w:rsidR="00124996" w:rsidRDefault="00986AA2" w:rsidP="00924651">
            <w:pPr>
              <w:pStyle w:val="Sansinterligne"/>
              <w:numPr>
                <w:ilvl w:val="0"/>
                <w:numId w:val="244"/>
              </w:numPr>
            </w:pPr>
            <w:r w:rsidRPr="006674F1">
              <w:rPr>
                <w:highlight w:val="yellow"/>
              </w:rPr>
              <w:t>Lubrification vaginale</w:t>
            </w:r>
          </w:p>
          <w:p w:rsidR="00986AA2" w:rsidRDefault="00986AA2" w:rsidP="00924651">
            <w:pPr>
              <w:pStyle w:val="Sansinterligne"/>
              <w:numPr>
                <w:ilvl w:val="0"/>
                <w:numId w:val="244"/>
              </w:numPr>
            </w:pPr>
            <w:r>
              <w:t>Androgènes (crème ou PO)</w:t>
            </w:r>
            <w:r w:rsidR="006674F1">
              <w:t xml:space="preserve"> PRN</w:t>
            </w:r>
          </w:p>
        </w:tc>
      </w:tr>
      <w:tr w:rsidR="00124996" w:rsidTr="006674F1">
        <w:tc>
          <w:tcPr>
            <w:tcW w:w="3227" w:type="dxa"/>
            <w:vAlign w:val="center"/>
          </w:tcPr>
          <w:p w:rsidR="00124996" w:rsidRDefault="003C74F3" w:rsidP="006674F1">
            <w:pPr>
              <w:pStyle w:val="Sansinterligne"/>
              <w:jc w:val="center"/>
            </w:pPr>
            <w:r>
              <w:t>Altération de l’humeur</w:t>
            </w:r>
            <w:r w:rsidR="00986AA2">
              <w:t xml:space="preserve"> et perte de mémoire</w:t>
            </w:r>
          </w:p>
        </w:tc>
        <w:tc>
          <w:tcPr>
            <w:tcW w:w="2551" w:type="dxa"/>
          </w:tcPr>
          <w:p w:rsidR="00124996" w:rsidRDefault="00796324" w:rsidP="004F5781">
            <w:pPr>
              <w:pStyle w:val="Sansinterligne"/>
            </w:pPr>
            <w:r>
              <w:t>Humeur labile</w:t>
            </w:r>
          </w:p>
          <w:p w:rsidR="00796324" w:rsidRDefault="00796324" w:rsidP="004F5781">
            <w:pPr>
              <w:pStyle w:val="Sansinterligne"/>
            </w:pPr>
            <w:r>
              <w:t>Irritabilité</w:t>
            </w:r>
          </w:p>
        </w:tc>
        <w:tc>
          <w:tcPr>
            <w:tcW w:w="5162" w:type="dxa"/>
          </w:tcPr>
          <w:p w:rsidR="00124996" w:rsidRDefault="00986AA2" w:rsidP="004F5781">
            <w:pPr>
              <w:pStyle w:val="Sansinterligne"/>
            </w:pPr>
            <w:r>
              <w:t>ISRS</w:t>
            </w:r>
          </w:p>
          <w:p w:rsidR="00986AA2" w:rsidRDefault="00986AA2" w:rsidP="004F5781">
            <w:pPr>
              <w:pStyle w:val="Sansinterligne"/>
            </w:pPr>
            <w:r>
              <w:t>HTR (2</w:t>
            </w:r>
            <w:r w:rsidRPr="00986AA2">
              <w:rPr>
                <w:vertAlign w:val="superscript"/>
              </w:rPr>
              <w:t>e</w:t>
            </w:r>
            <w:r>
              <w:t xml:space="preserve"> ligne)</w:t>
            </w:r>
          </w:p>
        </w:tc>
      </w:tr>
    </w:tbl>
    <w:p w:rsidR="00124996" w:rsidRDefault="00124996" w:rsidP="004F5781">
      <w:pPr>
        <w:pStyle w:val="Sansinterligne"/>
      </w:pPr>
    </w:p>
    <w:p w:rsidR="00B66A3C" w:rsidRDefault="00B66A3C" w:rsidP="00924651">
      <w:pPr>
        <w:pStyle w:val="Sansinterligne"/>
        <w:numPr>
          <w:ilvl w:val="0"/>
          <w:numId w:val="240"/>
        </w:numPr>
      </w:pPr>
      <w:r>
        <w:t xml:space="preserve">Il faut faire une </w:t>
      </w:r>
      <w:r w:rsidRPr="00822A76">
        <w:rPr>
          <w:highlight w:val="yellow"/>
        </w:rPr>
        <w:t>bonne anamnèse et un examen gynécologique lorsque des plaintes urogénitale</w:t>
      </w:r>
      <w:r w:rsidR="00822A76">
        <w:rPr>
          <w:highlight w:val="yellow"/>
        </w:rPr>
        <w:t>s</w:t>
      </w:r>
      <w:r w:rsidRPr="00822A76">
        <w:rPr>
          <w:highlight w:val="yellow"/>
        </w:rPr>
        <w:t xml:space="preserve"> sont présentes</w:t>
      </w:r>
      <w:r>
        <w:t>.</w:t>
      </w:r>
    </w:p>
    <w:p w:rsidR="00B66A3C" w:rsidRDefault="00B66A3C" w:rsidP="00924651">
      <w:pPr>
        <w:pStyle w:val="Sansinterligne"/>
        <w:numPr>
          <w:ilvl w:val="0"/>
          <w:numId w:val="240"/>
        </w:numPr>
      </w:pPr>
      <w:r>
        <w:t>Dosage de la LH/FSH peut confirmer la ménopause, mais inutiles. Diagnostic clinique.</w:t>
      </w:r>
    </w:p>
    <w:p w:rsidR="00B66A3C" w:rsidRDefault="00B66A3C" w:rsidP="00B66A3C">
      <w:pPr>
        <w:pStyle w:val="Sansinterligne"/>
        <w:ind w:left="360"/>
      </w:pPr>
    </w:p>
    <w:p w:rsidR="00986AA2" w:rsidRDefault="00986AA2" w:rsidP="00924651">
      <w:pPr>
        <w:pStyle w:val="Sansinterligne"/>
        <w:numPr>
          <w:ilvl w:val="0"/>
          <w:numId w:val="240"/>
        </w:numPr>
      </w:pPr>
      <w:r>
        <w:t>Le risque ostéoporotique s’accroît à la ménopause. Il faut donc prévenir les fractures ostéoporotiques.</w:t>
      </w:r>
    </w:p>
    <w:p w:rsidR="00A72622" w:rsidRDefault="00A72622" w:rsidP="006C0F1F">
      <w:pPr>
        <w:pStyle w:val="Sansinterligne"/>
        <w:ind w:left="1080"/>
      </w:pPr>
    </w:p>
    <w:p w:rsidR="00E432CA" w:rsidRPr="00822A76" w:rsidRDefault="00E432CA" w:rsidP="00924651">
      <w:pPr>
        <w:pStyle w:val="Sansinterligne"/>
        <w:numPr>
          <w:ilvl w:val="1"/>
          <w:numId w:val="246"/>
        </w:numPr>
        <w:rPr>
          <w:highlight w:val="yellow"/>
        </w:rPr>
      </w:pPr>
      <w:r w:rsidRPr="00822A76">
        <w:rPr>
          <w:highlight w:val="yellow"/>
        </w:rPr>
        <w:t xml:space="preserve">Densité minérale osseuse (BMO) </w:t>
      </w:r>
      <w:r w:rsidR="001D5FB1" w:rsidRPr="00822A76">
        <w:rPr>
          <w:highlight w:val="yellow"/>
        </w:rPr>
        <w:t>(Voir indications)</w:t>
      </w:r>
    </w:p>
    <w:p w:rsidR="005A1B37" w:rsidRPr="00822A76" w:rsidRDefault="005A1B37" w:rsidP="00924651">
      <w:pPr>
        <w:pStyle w:val="Sansinterligne"/>
        <w:numPr>
          <w:ilvl w:val="1"/>
          <w:numId w:val="246"/>
        </w:numPr>
        <w:rPr>
          <w:highlight w:val="yellow"/>
        </w:rPr>
      </w:pPr>
      <w:r w:rsidRPr="00822A76">
        <w:rPr>
          <w:highlight w:val="yellow"/>
        </w:rPr>
        <w:t>Calcul du score CAROC ou FRAX</w:t>
      </w:r>
    </w:p>
    <w:p w:rsidR="005E55CC" w:rsidRPr="00822A76" w:rsidRDefault="005E55CC" w:rsidP="00924651">
      <w:pPr>
        <w:pStyle w:val="Sansinterligne"/>
        <w:numPr>
          <w:ilvl w:val="1"/>
          <w:numId w:val="246"/>
        </w:numPr>
        <w:rPr>
          <w:highlight w:val="yellow"/>
        </w:rPr>
      </w:pPr>
      <w:r w:rsidRPr="00822A76">
        <w:rPr>
          <w:highlight w:val="yellow"/>
        </w:rPr>
        <w:t>Supplémentation / traitement (Voir tableau)</w:t>
      </w:r>
    </w:p>
    <w:p w:rsidR="005E55CC" w:rsidRDefault="005E55CC" w:rsidP="007500A8">
      <w:pPr>
        <w:pStyle w:val="Sansinterligne"/>
      </w:pPr>
    </w:p>
    <w:p w:rsidR="00986AA2" w:rsidRDefault="00986AA2" w:rsidP="00924651">
      <w:pPr>
        <w:pStyle w:val="Sansinterligne"/>
        <w:numPr>
          <w:ilvl w:val="0"/>
          <w:numId w:val="240"/>
        </w:numPr>
      </w:pPr>
      <w:r>
        <w:t xml:space="preserve">Avec la ménopause, le risque cardiovasculaire des femmes augmente, pour atteindre celui des hommes. </w:t>
      </w:r>
      <w:r w:rsidR="00B66A3C">
        <w:t>(1</w:t>
      </w:r>
      <w:r w:rsidR="00B66A3C" w:rsidRPr="00B66A3C">
        <w:rPr>
          <w:vertAlign w:val="superscript"/>
        </w:rPr>
        <w:t>ère</w:t>
      </w:r>
      <w:r w:rsidR="00B66A3C">
        <w:t xml:space="preserve"> cause de décès post-ménopause). Il faut donc </w:t>
      </w:r>
      <w:r w:rsidRPr="00822A76">
        <w:rPr>
          <w:highlight w:val="yellow"/>
        </w:rPr>
        <w:t>se préoccuper des facteurs de risques connus et cibler nos interventions</w:t>
      </w:r>
      <w:r>
        <w:t> :</w:t>
      </w:r>
    </w:p>
    <w:p w:rsidR="00986AA2" w:rsidRDefault="007500A8" w:rsidP="00924651">
      <w:pPr>
        <w:pStyle w:val="Sansinterligne"/>
        <w:numPr>
          <w:ilvl w:val="0"/>
          <w:numId w:val="239"/>
        </w:numPr>
      </w:pPr>
      <w:r>
        <w:rPr>
          <w:noProof/>
          <w:lang w:eastAsia="fr-CA"/>
        </w:rPr>
        <w:drawing>
          <wp:anchor distT="0" distB="0" distL="114300" distR="114300" simplePos="0" relativeHeight="251730944" behindDoc="0" locked="0" layoutInCell="1" allowOverlap="1" wp14:anchorId="54A62576" wp14:editId="04F7FC8F">
            <wp:simplePos x="0" y="0"/>
            <wp:positionH relativeFrom="column">
              <wp:posOffset>3937635</wp:posOffset>
            </wp:positionH>
            <wp:positionV relativeFrom="paragraph">
              <wp:posOffset>146685</wp:posOffset>
            </wp:positionV>
            <wp:extent cx="2959100" cy="1602740"/>
            <wp:effectExtent l="0" t="0" r="0" b="0"/>
            <wp:wrapNone/>
            <wp:docPr id="61" name="Imag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ROC.PNG"/>
                    <pic:cNvPicPr/>
                  </pic:nvPicPr>
                  <pic:blipFill>
                    <a:blip r:embed="rId196">
                      <a:extLst>
                        <a:ext uri="{28A0092B-C50C-407E-A947-70E740481C1C}">
                          <a14:useLocalDpi xmlns:a14="http://schemas.microsoft.com/office/drawing/2010/main" val="0"/>
                        </a:ext>
                      </a:extLst>
                    </a:blip>
                    <a:stretch>
                      <a:fillRect/>
                    </a:stretch>
                  </pic:blipFill>
                  <pic:spPr>
                    <a:xfrm>
                      <a:off x="0" y="0"/>
                      <a:ext cx="2959100" cy="1602740"/>
                    </a:xfrm>
                    <a:prstGeom prst="rect">
                      <a:avLst/>
                    </a:prstGeom>
                  </pic:spPr>
                </pic:pic>
              </a:graphicData>
            </a:graphic>
            <wp14:sizeRelH relativeFrom="page">
              <wp14:pctWidth>0</wp14:pctWidth>
            </wp14:sizeRelH>
            <wp14:sizeRelV relativeFrom="page">
              <wp14:pctHeight>0</wp14:pctHeight>
            </wp14:sizeRelV>
          </wp:anchor>
        </w:drawing>
      </w:r>
      <w:r w:rsidR="00986AA2">
        <w:t>Arrêt tabagique</w:t>
      </w:r>
    </w:p>
    <w:p w:rsidR="00986AA2" w:rsidRDefault="00986AA2" w:rsidP="00924651">
      <w:pPr>
        <w:pStyle w:val="Sansinterligne"/>
        <w:numPr>
          <w:ilvl w:val="0"/>
          <w:numId w:val="239"/>
        </w:numPr>
      </w:pPr>
      <w:r>
        <w:t>Perte de poids et exercice physique</w:t>
      </w:r>
    </w:p>
    <w:p w:rsidR="00986AA2" w:rsidRDefault="00986AA2" w:rsidP="00924651">
      <w:pPr>
        <w:pStyle w:val="Sansinterligne"/>
        <w:numPr>
          <w:ilvl w:val="0"/>
          <w:numId w:val="239"/>
        </w:numPr>
      </w:pPr>
      <w:r>
        <w:t xml:space="preserve">Traitement de l’HTA, du </w:t>
      </w:r>
      <w:r w:rsidR="005A1B37">
        <w:t>DM,</w:t>
      </w:r>
      <w:r>
        <w:t xml:space="preserve"> de la </w:t>
      </w:r>
      <w:r w:rsidR="005A1B37">
        <w:t>DLPD</w:t>
      </w:r>
      <w:r>
        <w:t>, de la MCAS</w:t>
      </w:r>
    </w:p>
    <w:p w:rsidR="00986AA2" w:rsidRDefault="00986AA2" w:rsidP="004F5781">
      <w:pPr>
        <w:pStyle w:val="Sansinterligne"/>
      </w:pPr>
    </w:p>
    <w:p w:rsidR="00C536EC" w:rsidRPr="00345DA1" w:rsidRDefault="00C536EC" w:rsidP="004F5781">
      <w:pPr>
        <w:pStyle w:val="Sansinterligne"/>
        <w:rPr>
          <w:b/>
          <w:sz w:val="28"/>
          <w:szCs w:val="28"/>
        </w:rPr>
      </w:pPr>
      <w:r w:rsidRPr="00345DA1">
        <w:rPr>
          <w:b/>
          <w:sz w:val="28"/>
          <w:szCs w:val="28"/>
        </w:rPr>
        <w:t>Examens annuels pertinents en ménopause</w:t>
      </w:r>
    </w:p>
    <w:p w:rsidR="00E432CA" w:rsidRDefault="00E432CA" w:rsidP="004F5781">
      <w:pPr>
        <w:pStyle w:val="Sansinterligne"/>
      </w:pPr>
    </w:p>
    <w:p w:rsidR="00E432CA" w:rsidRDefault="00E432CA" w:rsidP="004F5781">
      <w:pPr>
        <w:pStyle w:val="Sansinterligne"/>
      </w:pPr>
      <w:r w:rsidRPr="0044583A">
        <w:rPr>
          <w:u w:val="single"/>
        </w:rPr>
        <w:t>Indications de la densité minérale osseuse</w:t>
      </w:r>
      <w:r>
        <w:t> :</w:t>
      </w:r>
    </w:p>
    <w:p w:rsidR="0044583A" w:rsidRDefault="00E432CA" w:rsidP="00924651">
      <w:pPr>
        <w:pStyle w:val="Sansinterligne"/>
        <w:numPr>
          <w:ilvl w:val="0"/>
          <w:numId w:val="240"/>
        </w:numPr>
      </w:pPr>
      <w:r w:rsidRPr="00E432CA">
        <w:rPr>
          <w:highlight w:val="yellow"/>
        </w:rPr>
        <w:t>Tous (</w:t>
      </w:r>
      <w:hyperlink r:id="rId197" w:tooltip="♂" w:history="1">
        <w:r w:rsidRPr="00E432CA">
          <w:rPr>
            <w:rStyle w:val="Lienhypertexte"/>
            <w:rFonts w:cs="Times New Roman"/>
            <w:color w:val="0B0080"/>
            <w:sz w:val="21"/>
            <w:szCs w:val="21"/>
            <w:highlight w:val="yellow"/>
            <w:u w:val="none"/>
            <w:shd w:val="clear" w:color="auto" w:fill="FFFFFF"/>
          </w:rPr>
          <w:t>♂</w:t>
        </w:r>
      </w:hyperlink>
      <w:r w:rsidRPr="00E432CA">
        <w:rPr>
          <w:rStyle w:val="Lienhypertexte"/>
          <w:rFonts w:cs="Times New Roman"/>
          <w:color w:val="0B0080"/>
          <w:sz w:val="21"/>
          <w:szCs w:val="21"/>
          <w:highlight w:val="yellow"/>
          <w:u w:val="none"/>
          <w:shd w:val="clear" w:color="auto" w:fill="FFFFFF"/>
        </w:rPr>
        <w:t xml:space="preserve"> et </w:t>
      </w:r>
      <w:r w:rsidRPr="00E432CA">
        <w:rPr>
          <w:rFonts w:cs="Times New Roman"/>
          <w:bCs/>
          <w:color w:val="252525"/>
          <w:sz w:val="21"/>
          <w:szCs w:val="21"/>
          <w:highlight w:val="yellow"/>
          <w:shd w:val="clear" w:color="auto" w:fill="FFFFFF"/>
        </w:rPr>
        <w:t>♀)</w:t>
      </w:r>
      <w:r w:rsidRPr="00E432CA">
        <w:rPr>
          <w:rFonts w:ascii="Century Gothic" w:hAnsi="Century Gothic"/>
          <w:highlight w:val="yellow"/>
        </w:rPr>
        <w:t>&gt;</w:t>
      </w:r>
      <w:r w:rsidRPr="00E432CA">
        <w:rPr>
          <w:highlight w:val="yellow"/>
        </w:rPr>
        <w:t xml:space="preserve"> 65 ans</w:t>
      </w:r>
      <w:r w:rsidRPr="00E432CA">
        <w:t xml:space="preserve"> </w:t>
      </w:r>
    </w:p>
    <w:p w:rsidR="00E432CA" w:rsidRPr="00E432CA" w:rsidRDefault="00E432CA" w:rsidP="00924651">
      <w:pPr>
        <w:pStyle w:val="Sansinterligne"/>
        <w:numPr>
          <w:ilvl w:val="0"/>
          <w:numId w:val="240"/>
        </w:numPr>
      </w:pPr>
      <w:r w:rsidRPr="00E432CA">
        <w:rPr>
          <w:rFonts w:ascii="Century Gothic" w:hAnsi="Century Gothic"/>
          <w:highlight w:val="yellow"/>
        </w:rPr>
        <w:t>&gt;</w:t>
      </w:r>
      <w:r w:rsidRPr="00E432CA">
        <w:rPr>
          <w:highlight w:val="yellow"/>
        </w:rPr>
        <w:t xml:space="preserve"> 50 ans si</w:t>
      </w:r>
      <w:r w:rsidRPr="00E432CA">
        <w:t> :</w:t>
      </w:r>
    </w:p>
    <w:p w:rsidR="00E432CA" w:rsidRPr="00E432CA" w:rsidRDefault="00E432CA" w:rsidP="00924651">
      <w:pPr>
        <w:pStyle w:val="Sansinterligne"/>
        <w:numPr>
          <w:ilvl w:val="1"/>
          <w:numId w:val="240"/>
        </w:numPr>
        <w:rPr>
          <w:highlight w:val="yellow"/>
        </w:rPr>
      </w:pPr>
      <w:r w:rsidRPr="00E432CA">
        <w:rPr>
          <w:highlight w:val="yellow"/>
        </w:rPr>
        <w:t xml:space="preserve">Fracture de fragilité au poignet </w:t>
      </w:r>
      <w:r w:rsidRPr="00E432CA">
        <w:rPr>
          <w:rFonts w:ascii="Century Gothic" w:hAnsi="Century Gothic"/>
          <w:highlight w:val="yellow"/>
        </w:rPr>
        <w:t>&gt;</w:t>
      </w:r>
      <w:r w:rsidRPr="00E432CA">
        <w:rPr>
          <w:highlight w:val="yellow"/>
        </w:rPr>
        <w:t xml:space="preserve"> 40 an</w:t>
      </w:r>
    </w:p>
    <w:p w:rsidR="00E432CA" w:rsidRPr="00E432CA" w:rsidRDefault="00E432CA" w:rsidP="00924651">
      <w:pPr>
        <w:pStyle w:val="Sansinterligne"/>
        <w:numPr>
          <w:ilvl w:val="1"/>
          <w:numId w:val="240"/>
        </w:numPr>
        <w:rPr>
          <w:highlight w:val="yellow"/>
        </w:rPr>
      </w:pPr>
      <w:r w:rsidRPr="00E432CA">
        <w:rPr>
          <w:highlight w:val="yellow"/>
        </w:rPr>
        <w:t>Utilisation prolongée de corticostéroïde (3 mois)</w:t>
      </w:r>
    </w:p>
    <w:p w:rsidR="00E432CA" w:rsidRPr="00E432CA" w:rsidRDefault="00E432CA" w:rsidP="00924651">
      <w:pPr>
        <w:pStyle w:val="Sansinterligne"/>
        <w:numPr>
          <w:ilvl w:val="1"/>
          <w:numId w:val="240"/>
        </w:numPr>
        <w:rPr>
          <w:highlight w:val="yellow"/>
        </w:rPr>
      </w:pPr>
      <w:r w:rsidRPr="00E432CA">
        <w:rPr>
          <w:highlight w:val="yellow"/>
        </w:rPr>
        <w:t>Mère ou père ayant eu une fracture de hanche</w:t>
      </w:r>
    </w:p>
    <w:p w:rsidR="00E432CA" w:rsidRDefault="00E432CA" w:rsidP="00924651">
      <w:pPr>
        <w:pStyle w:val="Sansinterligne"/>
        <w:numPr>
          <w:ilvl w:val="1"/>
          <w:numId w:val="240"/>
        </w:numPr>
      </w:pPr>
      <w:r>
        <w:t>Plusieurs facteurs de risques : Tabagisme, ROH ++, Fracture vertébrale ou ostéop</w:t>
      </w:r>
      <w:r w:rsidR="00E50DE2">
        <w:t>énie radiographique, médication</w:t>
      </w:r>
      <w:r>
        <w:t xml:space="preserve"> à risque, poids </w:t>
      </w:r>
      <w:r>
        <w:rPr>
          <w:rFonts w:ascii="Century Gothic" w:hAnsi="Century Gothic"/>
        </w:rPr>
        <w:t>&lt;</w:t>
      </w:r>
      <w:r>
        <w:t xml:space="preserve"> 60 kg, perte de poids, maladies inflammatoires chroniques</w:t>
      </w:r>
    </w:p>
    <w:p w:rsidR="00C536EC" w:rsidRDefault="00C536EC" w:rsidP="004F5781">
      <w:pPr>
        <w:pStyle w:val="Sansinterligne"/>
      </w:pPr>
    </w:p>
    <w:p w:rsidR="00C536EC" w:rsidRPr="007500A8" w:rsidRDefault="00C536EC" w:rsidP="004F5781">
      <w:pPr>
        <w:pStyle w:val="Sansinterligne"/>
        <w:rPr>
          <w:b/>
          <w:sz w:val="28"/>
          <w:szCs w:val="28"/>
        </w:rPr>
      </w:pPr>
      <w:r w:rsidRPr="007500A8">
        <w:rPr>
          <w:b/>
          <w:sz w:val="28"/>
          <w:szCs w:val="28"/>
        </w:rPr>
        <w:t>Prise en charge</w:t>
      </w:r>
    </w:p>
    <w:p w:rsidR="00C536EC" w:rsidRDefault="00C536EC" w:rsidP="004F5781">
      <w:pPr>
        <w:pStyle w:val="Sansinterligne"/>
      </w:pPr>
    </w:p>
    <w:p w:rsidR="00C536EC" w:rsidRDefault="00C536EC" w:rsidP="00924651">
      <w:pPr>
        <w:pStyle w:val="Sansinterligne"/>
        <w:numPr>
          <w:ilvl w:val="0"/>
          <w:numId w:val="247"/>
        </w:numPr>
      </w:pPr>
      <w:r>
        <w:t>Enseignement et réassurance</w:t>
      </w:r>
    </w:p>
    <w:p w:rsidR="00E50DE2" w:rsidRDefault="00E50DE2" w:rsidP="00924651">
      <w:pPr>
        <w:pStyle w:val="Sansinterligne"/>
        <w:numPr>
          <w:ilvl w:val="0"/>
          <w:numId w:val="248"/>
        </w:numPr>
      </w:pPr>
      <w:r>
        <w:t>Symptômes incapacitants, mais bénins et physiologiques.</w:t>
      </w:r>
      <w:r w:rsidR="001560B8">
        <w:t xml:space="preserve"> Ceux-ci vont se résorber avec le temps. Variable.</w:t>
      </w:r>
    </w:p>
    <w:p w:rsidR="00CD3DD2" w:rsidRDefault="00CD3DD2" w:rsidP="00924651">
      <w:pPr>
        <w:pStyle w:val="Sansinterligne"/>
        <w:numPr>
          <w:ilvl w:val="0"/>
          <w:numId w:val="248"/>
        </w:numPr>
      </w:pPr>
      <w:r>
        <w:t>La ménopause et le vieillissement ne doivent pas limiter la santé sexuelle ou les activités</w:t>
      </w:r>
    </w:p>
    <w:p w:rsidR="00C536EC" w:rsidRDefault="00E50DE2" w:rsidP="00924651">
      <w:pPr>
        <w:pStyle w:val="Sansinterligne"/>
        <w:numPr>
          <w:ilvl w:val="0"/>
          <w:numId w:val="248"/>
        </w:numPr>
      </w:pPr>
      <w:r>
        <w:t xml:space="preserve">Traitement existe si </w:t>
      </w:r>
      <w:r w:rsidR="00CD3DD2">
        <w:t xml:space="preserve">symptômes </w:t>
      </w:r>
      <w:r>
        <w:t xml:space="preserve">insupportables. </w:t>
      </w:r>
    </w:p>
    <w:p w:rsidR="009E7F95" w:rsidRDefault="009E7F95" w:rsidP="009E7F95">
      <w:pPr>
        <w:pStyle w:val="Sansinterligne"/>
        <w:ind w:left="720"/>
      </w:pPr>
    </w:p>
    <w:p w:rsidR="000516AA" w:rsidRDefault="000516AA" w:rsidP="00924651">
      <w:pPr>
        <w:pStyle w:val="Sansinterligne"/>
        <w:numPr>
          <w:ilvl w:val="0"/>
          <w:numId w:val="249"/>
        </w:numPr>
      </w:pPr>
      <w:r>
        <w:t>Traitements non-hormonaux (voir tableau)</w:t>
      </w:r>
    </w:p>
    <w:p w:rsidR="00822A76" w:rsidRDefault="00822A76" w:rsidP="00924651">
      <w:pPr>
        <w:pStyle w:val="Sansinterligne"/>
        <w:numPr>
          <w:ilvl w:val="0"/>
          <w:numId w:val="249"/>
        </w:numPr>
      </w:pPr>
      <w:r>
        <w:t>Phytoestrogènes, pas démontré</w:t>
      </w:r>
      <w:r w:rsidR="009E7F95">
        <w:t>s efficaces, mais sécuritaires.</w:t>
      </w:r>
    </w:p>
    <w:p w:rsidR="009E7F95" w:rsidRPr="009E7F95" w:rsidRDefault="009E7F95" w:rsidP="00924651">
      <w:pPr>
        <w:pStyle w:val="Sansinterligne"/>
        <w:numPr>
          <w:ilvl w:val="0"/>
          <w:numId w:val="249"/>
        </w:numPr>
      </w:pPr>
      <w:r w:rsidRPr="009E7F95">
        <w:rPr>
          <w:highlight w:val="yellow"/>
        </w:rPr>
        <w:t xml:space="preserve">HTR : </w:t>
      </w:r>
    </w:p>
    <w:p w:rsidR="009E7F95" w:rsidRPr="009E7F95" w:rsidRDefault="009E7F95" w:rsidP="00924651">
      <w:pPr>
        <w:pStyle w:val="Sansinterligne"/>
        <w:numPr>
          <w:ilvl w:val="1"/>
          <w:numId w:val="249"/>
        </w:numPr>
      </w:pPr>
      <w:r>
        <w:rPr>
          <w:highlight w:val="yellow"/>
        </w:rPr>
        <w:t>Il faut c</w:t>
      </w:r>
      <w:r w:rsidRPr="009E7F95">
        <w:rPr>
          <w:highlight w:val="yellow"/>
        </w:rPr>
        <w:t xml:space="preserve">ombiner estrogène + progestine chez </w:t>
      </w:r>
      <w:r w:rsidRPr="009E7F95">
        <w:rPr>
          <w:rFonts w:cs="Times New Roman"/>
          <w:bCs/>
          <w:color w:val="252525"/>
          <w:sz w:val="21"/>
          <w:szCs w:val="21"/>
          <w:highlight w:val="yellow"/>
          <w:shd w:val="clear" w:color="auto" w:fill="FFFFFF"/>
        </w:rPr>
        <w:t>♀ non-hystérectomisée pour prévenir néoplasie endomètre</w:t>
      </w:r>
    </w:p>
    <w:p w:rsidR="009E7F95" w:rsidRDefault="009E7F95" w:rsidP="00924651">
      <w:pPr>
        <w:pStyle w:val="Sansinterligne"/>
        <w:numPr>
          <w:ilvl w:val="1"/>
          <w:numId w:val="249"/>
        </w:numPr>
      </w:pPr>
      <w:r>
        <w:t xml:space="preserve">Augmente le risque relatif d’AVC (100%), MCAS (25%), thrombophlébite (38%) et de cancer du sein (30%) après 5 an d’utilisation. </w:t>
      </w:r>
    </w:p>
    <w:p w:rsidR="009E7F95" w:rsidRDefault="009E7F95" w:rsidP="00924651">
      <w:pPr>
        <w:pStyle w:val="Sansinterligne"/>
        <w:numPr>
          <w:ilvl w:val="1"/>
          <w:numId w:val="249"/>
        </w:numPr>
      </w:pPr>
      <w:r w:rsidRPr="009E7F95">
        <w:rPr>
          <w:highlight w:val="yellow"/>
        </w:rPr>
        <w:t>Cela est négligeable en absolu. (Ex : 6/1000 néo du sein de plus que l’incidence normale sur 10 ans)</w:t>
      </w:r>
    </w:p>
    <w:p w:rsidR="000516AA" w:rsidRDefault="000516AA" w:rsidP="004F5781">
      <w:pPr>
        <w:pStyle w:val="Sansinterligne"/>
      </w:pPr>
    </w:p>
    <w:p w:rsidR="00934274" w:rsidRDefault="00934274" w:rsidP="004F5781">
      <w:pPr>
        <w:pStyle w:val="Sansinterligne"/>
      </w:pPr>
    </w:p>
    <w:p w:rsidR="00934274" w:rsidRDefault="00934274" w:rsidP="004F5781">
      <w:pPr>
        <w:pStyle w:val="Sansinterligne"/>
      </w:pPr>
    </w:p>
    <w:p w:rsidR="00934274" w:rsidRDefault="00934274" w:rsidP="004F5781">
      <w:pPr>
        <w:pStyle w:val="Sansinterligne"/>
      </w:pPr>
    </w:p>
    <w:tbl>
      <w:tblPr>
        <w:tblStyle w:val="Grilledutableau"/>
        <w:tblW w:w="0" w:type="auto"/>
        <w:tblLook w:val="04A0" w:firstRow="1" w:lastRow="0" w:firstColumn="1" w:lastColumn="0" w:noHBand="0" w:noVBand="1"/>
      </w:tblPr>
      <w:tblGrid>
        <w:gridCol w:w="3936"/>
        <w:gridCol w:w="3357"/>
        <w:gridCol w:w="3647"/>
      </w:tblGrid>
      <w:tr w:rsidR="00B66A3C" w:rsidTr="00373CD6">
        <w:tc>
          <w:tcPr>
            <w:tcW w:w="10940" w:type="dxa"/>
            <w:gridSpan w:val="3"/>
            <w:shd w:val="clear" w:color="auto" w:fill="CCC0D9" w:themeFill="accent4" w:themeFillTint="66"/>
          </w:tcPr>
          <w:p w:rsidR="00B66A3C" w:rsidRDefault="00B66A3C" w:rsidP="00822A76">
            <w:pPr>
              <w:pStyle w:val="Sansinterligne"/>
              <w:jc w:val="center"/>
            </w:pPr>
            <w:r>
              <w:t>Hormonothérapie de remplacement (HTR)</w:t>
            </w:r>
          </w:p>
        </w:tc>
      </w:tr>
      <w:tr w:rsidR="000516AA" w:rsidTr="00F653C3">
        <w:tc>
          <w:tcPr>
            <w:tcW w:w="3936" w:type="dxa"/>
          </w:tcPr>
          <w:p w:rsidR="000516AA" w:rsidRPr="00373CD6" w:rsidRDefault="00822A76" w:rsidP="004F5781">
            <w:pPr>
              <w:pStyle w:val="Sansinterligne"/>
              <w:rPr>
                <w:i/>
              </w:rPr>
            </w:pPr>
            <w:r w:rsidRPr="00373CD6">
              <w:rPr>
                <w:i/>
              </w:rPr>
              <w:t>Formes</w:t>
            </w:r>
          </w:p>
        </w:tc>
        <w:tc>
          <w:tcPr>
            <w:tcW w:w="3357" w:type="dxa"/>
          </w:tcPr>
          <w:p w:rsidR="000516AA" w:rsidRPr="00373CD6" w:rsidRDefault="00822A76" w:rsidP="004F5781">
            <w:pPr>
              <w:pStyle w:val="Sansinterligne"/>
              <w:rPr>
                <w:i/>
              </w:rPr>
            </w:pPr>
            <w:r w:rsidRPr="00373CD6">
              <w:rPr>
                <w:i/>
              </w:rPr>
              <w:t>Effets secondaires</w:t>
            </w:r>
          </w:p>
        </w:tc>
        <w:tc>
          <w:tcPr>
            <w:tcW w:w="3647" w:type="dxa"/>
          </w:tcPr>
          <w:p w:rsidR="000516AA" w:rsidRPr="00373CD6" w:rsidRDefault="00822A76" w:rsidP="004F5781">
            <w:pPr>
              <w:pStyle w:val="Sansinterligne"/>
              <w:rPr>
                <w:i/>
              </w:rPr>
            </w:pPr>
            <w:r w:rsidRPr="00373CD6">
              <w:rPr>
                <w:i/>
              </w:rPr>
              <w:t>Contre-indications</w:t>
            </w:r>
          </w:p>
        </w:tc>
      </w:tr>
      <w:tr w:rsidR="00822A76" w:rsidTr="00F653C3">
        <w:trPr>
          <w:trHeight w:val="779"/>
        </w:trPr>
        <w:tc>
          <w:tcPr>
            <w:tcW w:w="3936" w:type="dxa"/>
          </w:tcPr>
          <w:p w:rsidR="00406238" w:rsidRPr="00934274" w:rsidRDefault="00F653C3" w:rsidP="004F5781">
            <w:pPr>
              <w:pStyle w:val="Sansinterligne"/>
              <w:rPr>
                <w:highlight w:val="yellow"/>
                <w:u w:val="single"/>
                <w:lang w:val="de-DE"/>
              </w:rPr>
            </w:pPr>
            <w:r w:rsidRPr="00934274">
              <w:rPr>
                <w:highlight w:val="yellow"/>
                <w:u w:val="single"/>
                <w:lang w:val="de-DE"/>
              </w:rPr>
              <w:t>Standard</w:t>
            </w:r>
          </w:p>
          <w:p w:rsidR="00F653C3" w:rsidRDefault="00F653C3" w:rsidP="004F5781">
            <w:pPr>
              <w:pStyle w:val="Sansinterligne"/>
              <w:rPr>
                <w:lang w:val="de-DE"/>
              </w:rPr>
            </w:pPr>
            <w:r w:rsidRPr="00934274">
              <w:rPr>
                <w:highlight w:val="yellow"/>
                <w:lang w:val="de-DE"/>
              </w:rPr>
              <w:t>Prémarine 0,625 mg DIE + Provera 2,5 mg PO DIE</w:t>
            </w:r>
          </w:p>
          <w:p w:rsidR="00F653C3" w:rsidRPr="00F653C3" w:rsidRDefault="00F653C3" w:rsidP="004F5781">
            <w:pPr>
              <w:pStyle w:val="Sansinterligne"/>
              <w:rPr>
                <w:lang w:val="de-DE"/>
              </w:rPr>
            </w:pPr>
          </w:p>
          <w:p w:rsidR="00406238" w:rsidRPr="00F653C3" w:rsidRDefault="00406238" w:rsidP="004F5781">
            <w:pPr>
              <w:pStyle w:val="Sansinterligne"/>
              <w:rPr>
                <w:u w:val="single"/>
              </w:rPr>
            </w:pPr>
            <w:r w:rsidRPr="00F653C3">
              <w:rPr>
                <w:u w:val="single"/>
              </w:rPr>
              <w:t>Cyclique</w:t>
            </w:r>
          </w:p>
          <w:p w:rsidR="009E7F95" w:rsidRDefault="009E7F95" w:rsidP="004F5781">
            <w:pPr>
              <w:pStyle w:val="Sansinterligne"/>
            </w:pPr>
            <w:r>
              <w:t>Prémarine 0,625 mg DIE+ Provera 5-10 mg PO DIE jours 1-14</w:t>
            </w:r>
          </w:p>
          <w:p w:rsidR="00406238" w:rsidRDefault="00406238" w:rsidP="004F5781">
            <w:pPr>
              <w:pStyle w:val="Sansinterligne"/>
            </w:pPr>
          </w:p>
          <w:p w:rsidR="00406238" w:rsidRPr="00F653C3" w:rsidRDefault="00F653C3" w:rsidP="004F5781">
            <w:pPr>
              <w:pStyle w:val="Sansinterligne"/>
              <w:rPr>
                <w:u w:val="single"/>
              </w:rPr>
            </w:pPr>
            <w:r w:rsidRPr="00F653C3">
              <w:rPr>
                <w:u w:val="single"/>
              </w:rPr>
              <w:t>Pulsatile</w:t>
            </w:r>
          </w:p>
          <w:p w:rsidR="00F653C3" w:rsidRDefault="00F653C3" w:rsidP="00F653C3">
            <w:pPr>
              <w:pStyle w:val="Sansinterligne"/>
            </w:pPr>
            <w:r>
              <w:t>Prémarine 0,625 mg DIE+ Provera petites doses. (3 jours de Tx/ 3 jours sans)</w:t>
            </w:r>
          </w:p>
          <w:p w:rsidR="00F653C3" w:rsidRDefault="00F653C3" w:rsidP="00F653C3">
            <w:pPr>
              <w:pStyle w:val="Sansinterligne"/>
            </w:pPr>
          </w:p>
          <w:p w:rsidR="00F653C3" w:rsidRPr="00F653C3" w:rsidRDefault="00F653C3" w:rsidP="00F653C3">
            <w:pPr>
              <w:pStyle w:val="Sansinterligne"/>
              <w:rPr>
                <w:u w:val="single"/>
              </w:rPr>
            </w:pPr>
            <w:r w:rsidRPr="00F653C3">
              <w:rPr>
                <w:u w:val="single"/>
              </w:rPr>
              <w:t>Timbres transdermiques</w:t>
            </w:r>
          </w:p>
          <w:p w:rsidR="00F653C3" w:rsidRDefault="00F653C3" w:rsidP="00F653C3">
            <w:pPr>
              <w:pStyle w:val="Sansinterligne"/>
            </w:pPr>
          </w:p>
          <w:p w:rsidR="00F653C3" w:rsidRPr="00F653C3" w:rsidRDefault="00F653C3" w:rsidP="00F653C3">
            <w:pPr>
              <w:pStyle w:val="Sansinterligne"/>
              <w:rPr>
                <w:u w:val="single"/>
              </w:rPr>
            </w:pPr>
            <w:r w:rsidRPr="00F653C3">
              <w:rPr>
                <w:u w:val="single"/>
              </w:rPr>
              <w:t>Topique</w:t>
            </w:r>
          </w:p>
          <w:p w:rsidR="00F653C3" w:rsidRDefault="00F653C3" w:rsidP="00F653C3">
            <w:pPr>
              <w:pStyle w:val="Sansinterligne"/>
            </w:pPr>
            <w:r>
              <w:t>Combiner estrogènes et progestine cr.</w:t>
            </w:r>
          </w:p>
        </w:tc>
        <w:tc>
          <w:tcPr>
            <w:tcW w:w="3357" w:type="dxa"/>
          </w:tcPr>
          <w:p w:rsidR="00822A76" w:rsidRDefault="00406238" w:rsidP="00924651">
            <w:pPr>
              <w:pStyle w:val="Sansinterligne"/>
              <w:numPr>
                <w:ilvl w:val="0"/>
                <w:numId w:val="250"/>
              </w:numPr>
            </w:pPr>
            <w:r>
              <w:t>Symptômes prémenstruels</w:t>
            </w:r>
          </w:p>
          <w:p w:rsidR="00406238" w:rsidRDefault="00406238" w:rsidP="00924651">
            <w:pPr>
              <w:pStyle w:val="Sansinterligne"/>
              <w:numPr>
                <w:ilvl w:val="0"/>
                <w:numId w:val="250"/>
              </w:numPr>
            </w:pPr>
            <w:r>
              <w:t>Saignements mensuel</w:t>
            </w:r>
            <w:r w:rsidR="00F653C3">
              <w:t xml:space="preserve"> ou de retrait selon la méthode</w:t>
            </w:r>
          </w:p>
          <w:p w:rsidR="00F653C3" w:rsidRDefault="00F653C3" w:rsidP="00924651">
            <w:pPr>
              <w:pStyle w:val="Sansinterligne"/>
              <w:numPr>
                <w:ilvl w:val="0"/>
                <w:numId w:val="250"/>
              </w:numPr>
            </w:pPr>
            <w:r>
              <w:t>Oedèm</w:t>
            </w:r>
            <w:r w:rsidR="00DF5C5A">
              <w:t>e</w:t>
            </w:r>
            <w:r>
              <w:t>, ballonement</w:t>
            </w:r>
          </w:p>
          <w:p w:rsidR="00F653C3" w:rsidRDefault="00F653C3" w:rsidP="00924651">
            <w:pPr>
              <w:pStyle w:val="Sansinterligne"/>
              <w:numPr>
                <w:ilvl w:val="0"/>
                <w:numId w:val="250"/>
              </w:numPr>
            </w:pPr>
            <w:r>
              <w:t>Nausées</w:t>
            </w:r>
          </w:p>
          <w:p w:rsidR="00F653C3" w:rsidRDefault="00F653C3" w:rsidP="00924651">
            <w:pPr>
              <w:pStyle w:val="Sansinterligne"/>
              <w:numPr>
                <w:ilvl w:val="0"/>
                <w:numId w:val="250"/>
              </w:numPr>
            </w:pPr>
            <w:r>
              <w:t>Changements d’humeur</w:t>
            </w:r>
          </w:p>
        </w:tc>
        <w:tc>
          <w:tcPr>
            <w:tcW w:w="3647" w:type="dxa"/>
          </w:tcPr>
          <w:p w:rsidR="00F653C3" w:rsidRPr="00934274" w:rsidRDefault="00F653C3" w:rsidP="004F5781">
            <w:pPr>
              <w:pStyle w:val="Sansinterligne"/>
              <w:rPr>
                <w:highlight w:val="yellow"/>
                <w:u w:val="single"/>
              </w:rPr>
            </w:pPr>
            <w:r w:rsidRPr="00934274">
              <w:rPr>
                <w:highlight w:val="yellow"/>
                <w:u w:val="single"/>
              </w:rPr>
              <w:t>Absolues</w:t>
            </w:r>
          </w:p>
          <w:p w:rsidR="00822A76" w:rsidRPr="00934274" w:rsidRDefault="00F653C3" w:rsidP="00924651">
            <w:pPr>
              <w:pStyle w:val="Sansinterligne"/>
              <w:numPr>
                <w:ilvl w:val="0"/>
                <w:numId w:val="251"/>
              </w:numPr>
              <w:rPr>
                <w:highlight w:val="yellow"/>
              </w:rPr>
            </w:pPr>
            <w:r w:rsidRPr="00934274">
              <w:rPr>
                <w:highlight w:val="yellow"/>
              </w:rPr>
              <w:t>Maladie hépatique</w:t>
            </w:r>
          </w:p>
          <w:p w:rsidR="00F653C3" w:rsidRPr="00934274" w:rsidRDefault="00F653C3" w:rsidP="00924651">
            <w:pPr>
              <w:pStyle w:val="Sansinterligne"/>
              <w:numPr>
                <w:ilvl w:val="0"/>
                <w:numId w:val="251"/>
              </w:numPr>
              <w:rPr>
                <w:highlight w:val="yellow"/>
              </w:rPr>
            </w:pPr>
            <w:r w:rsidRPr="00934274">
              <w:rPr>
                <w:highlight w:val="yellow"/>
              </w:rPr>
              <w:t>Saignement utérin anormal</w:t>
            </w:r>
          </w:p>
          <w:p w:rsidR="00F653C3" w:rsidRPr="00934274" w:rsidRDefault="00F653C3" w:rsidP="00924651">
            <w:pPr>
              <w:pStyle w:val="Sansinterligne"/>
              <w:numPr>
                <w:ilvl w:val="0"/>
                <w:numId w:val="251"/>
              </w:numPr>
              <w:rPr>
                <w:highlight w:val="yellow"/>
              </w:rPr>
            </w:pPr>
            <w:r w:rsidRPr="00934274">
              <w:rPr>
                <w:highlight w:val="yellow"/>
              </w:rPr>
              <w:t>Néoplasie sein/endomètre</w:t>
            </w:r>
          </w:p>
          <w:p w:rsidR="00F653C3" w:rsidRPr="00934274" w:rsidRDefault="00F653C3" w:rsidP="00924651">
            <w:pPr>
              <w:pStyle w:val="Sansinterligne"/>
              <w:numPr>
                <w:ilvl w:val="0"/>
                <w:numId w:val="251"/>
              </w:numPr>
              <w:rPr>
                <w:highlight w:val="yellow"/>
              </w:rPr>
            </w:pPr>
            <w:r w:rsidRPr="00934274">
              <w:rPr>
                <w:highlight w:val="yellow"/>
              </w:rPr>
              <w:t>Thrombose vasculaire aigue ou ATCD TEV</w:t>
            </w:r>
          </w:p>
          <w:p w:rsidR="00F653C3" w:rsidRPr="00934274" w:rsidRDefault="00F653C3" w:rsidP="00924651">
            <w:pPr>
              <w:pStyle w:val="Sansinterligne"/>
              <w:numPr>
                <w:ilvl w:val="0"/>
                <w:numId w:val="251"/>
              </w:numPr>
              <w:rPr>
                <w:highlight w:val="yellow"/>
              </w:rPr>
            </w:pPr>
            <w:r w:rsidRPr="00934274">
              <w:rPr>
                <w:highlight w:val="yellow"/>
              </w:rPr>
              <w:t>MCAS</w:t>
            </w:r>
          </w:p>
          <w:p w:rsidR="00F653C3" w:rsidRPr="00F653C3" w:rsidRDefault="00F653C3" w:rsidP="00F653C3">
            <w:pPr>
              <w:pStyle w:val="Sansinterligne"/>
              <w:rPr>
                <w:u w:val="single"/>
              </w:rPr>
            </w:pPr>
            <w:r w:rsidRPr="00F653C3">
              <w:rPr>
                <w:u w:val="single"/>
              </w:rPr>
              <w:t>Relatives</w:t>
            </w:r>
          </w:p>
          <w:p w:rsidR="00F653C3" w:rsidRDefault="00F653C3" w:rsidP="00924651">
            <w:pPr>
              <w:pStyle w:val="Sansinterligne"/>
              <w:numPr>
                <w:ilvl w:val="0"/>
                <w:numId w:val="251"/>
              </w:numPr>
            </w:pPr>
            <w:r>
              <w:t>Migraines</w:t>
            </w:r>
          </w:p>
          <w:p w:rsidR="00F653C3" w:rsidRDefault="00F653C3" w:rsidP="00924651">
            <w:pPr>
              <w:pStyle w:val="Sansinterligne"/>
              <w:numPr>
                <w:ilvl w:val="0"/>
                <w:numId w:val="251"/>
              </w:numPr>
            </w:pPr>
            <w:r>
              <w:t>Léiomyomes</w:t>
            </w:r>
          </w:p>
          <w:p w:rsidR="00F653C3" w:rsidRDefault="00F653C3" w:rsidP="00924651">
            <w:pPr>
              <w:pStyle w:val="Sansinterligne"/>
              <w:numPr>
                <w:ilvl w:val="0"/>
                <w:numId w:val="251"/>
              </w:numPr>
            </w:pPr>
            <w:r>
              <w:t>Endométriose</w:t>
            </w:r>
          </w:p>
          <w:p w:rsidR="00F653C3" w:rsidRDefault="00F653C3" w:rsidP="00924651">
            <w:pPr>
              <w:pStyle w:val="Sansinterligne"/>
              <w:numPr>
                <w:ilvl w:val="0"/>
                <w:numId w:val="251"/>
              </w:numPr>
            </w:pPr>
            <w:r>
              <w:t>Maladie fibrokystique du sein</w:t>
            </w:r>
          </w:p>
          <w:p w:rsidR="00F653C3" w:rsidRDefault="00F653C3" w:rsidP="00924651">
            <w:pPr>
              <w:pStyle w:val="Sansinterligne"/>
              <w:numPr>
                <w:ilvl w:val="0"/>
                <w:numId w:val="251"/>
              </w:numPr>
            </w:pPr>
            <w:r>
              <w:t>HTA</w:t>
            </w:r>
          </w:p>
          <w:p w:rsidR="00F653C3" w:rsidRDefault="00F653C3" w:rsidP="00924651">
            <w:pPr>
              <w:pStyle w:val="Sansinterligne"/>
              <w:numPr>
                <w:ilvl w:val="0"/>
                <w:numId w:val="251"/>
              </w:numPr>
            </w:pPr>
            <w:r>
              <w:t>DLP familiale</w:t>
            </w:r>
          </w:p>
          <w:p w:rsidR="00F653C3" w:rsidRDefault="00F653C3" w:rsidP="00924651">
            <w:pPr>
              <w:pStyle w:val="Sansinterligne"/>
              <w:numPr>
                <w:ilvl w:val="0"/>
                <w:numId w:val="251"/>
              </w:numPr>
            </w:pPr>
            <w:r>
              <w:t>DM avec atteinte vasculaire</w:t>
            </w:r>
          </w:p>
          <w:p w:rsidR="00F653C3" w:rsidRDefault="00585CFF" w:rsidP="00924651">
            <w:pPr>
              <w:pStyle w:val="Sansinterligne"/>
              <w:numPr>
                <w:ilvl w:val="0"/>
                <w:numId w:val="251"/>
              </w:numPr>
            </w:pPr>
            <w:r>
              <w:t>Thrombophlébite chronique</w:t>
            </w:r>
          </w:p>
          <w:p w:rsidR="00934274" w:rsidRDefault="00934274" w:rsidP="00924651">
            <w:pPr>
              <w:pStyle w:val="Sansinterligne"/>
              <w:numPr>
                <w:ilvl w:val="0"/>
                <w:numId w:val="251"/>
              </w:numPr>
            </w:pPr>
            <w:r>
              <w:t>Atteinte vésicule biliaire</w:t>
            </w:r>
          </w:p>
          <w:p w:rsidR="00585CFF" w:rsidRDefault="00934274" w:rsidP="00924651">
            <w:pPr>
              <w:pStyle w:val="Sansinterligne"/>
              <w:numPr>
                <w:ilvl w:val="0"/>
                <w:numId w:val="251"/>
              </w:numPr>
            </w:pPr>
            <w:r>
              <w:t>Hypertriglycéridémie</w:t>
            </w:r>
          </w:p>
        </w:tc>
      </w:tr>
    </w:tbl>
    <w:p w:rsidR="009E7F95" w:rsidRDefault="009E7F95" w:rsidP="004F5781">
      <w:pPr>
        <w:pStyle w:val="Sansinterligne"/>
      </w:pPr>
    </w:p>
    <w:p w:rsidR="00B911FF" w:rsidRPr="00C536EC" w:rsidRDefault="00D21389" w:rsidP="004F5781">
      <w:pPr>
        <w:pStyle w:val="Sansinterligne"/>
      </w:pPr>
      <w:r>
        <w:rPr>
          <w:noProof/>
          <w:lang w:eastAsia="fr-CA"/>
        </w:rPr>
        <mc:AlternateContent>
          <mc:Choice Requires="wpg">
            <w:drawing>
              <wp:anchor distT="0" distB="0" distL="114300" distR="114300" simplePos="0" relativeHeight="251732992" behindDoc="0" locked="0" layoutInCell="1" allowOverlap="1" wp14:anchorId="2574B83F" wp14:editId="09CD0C40">
                <wp:simplePos x="0" y="0"/>
                <wp:positionH relativeFrom="column">
                  <wp:posOffset>1156781</wp:posOffset>
                </wp:positionH>
                <wp:positionV relativeFrom="paragraph">
                  <wp:posOffset>75930</wp:posOffset>
                </wp:positionV>
                <wp:extent cx="4319081" cy="3122579"/>
                <wp:effectExtent l="0" t="0" r="5715" b="1905"/>
                <wp:wrapNone/>
                <wp:docPr id="256" name="Groupe 256"/>
                <wp:cNvGraphicFramePr/>
                <a:graphic xmlns:a="http://schemas.openxmlformats.org/drawingml/2006/main">
                  <a:graphicData uri="http://schemas.microsoft.com/office/word/2010/wordprocessingGroup">
                    <wpg:wgp>
                      <wpg:cNvGrpSpPr/>
                      <wpg:grpSpPr>
                        <a:xfrm>
                          <a:off x="0" y="0"/>
                          <a:ext cx="4319081" cy="3122579"/>
                          <a:chOff x="0" y="0"/>
                          <a:chExt cx="4319081" cy="3122579"/>
                        </a:xfrm>
                      </wpg:grpSpPr>
                      <pic:pic xmlns:pic="http://schemas.openxmlformats.org/drawingml/2006/picture">
                        <pic:nvPicPr>
                          <pic:cNvPr id="60" name="Image 60" descr="Résultats de recherche d'images pour « ostéoporose »"/>
                          <pic:cNvPicPr>
                            <a:picLocks noChangeAspect="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4319081" cy="3122579"/>
                          </a:xfrm>
                          <a:prstGeom prst="rect">
                            <a:avLst/>
                          </a:prstGeom>
                          <a:noFill/>
                          <a:ln>
                            <a:noFill/>
                          </a:ln>
                        </pic:spPr>
                      </pic:pic>
                      <wps:wsp>
                        <wps:cNvPr id="63" name="Rectangle 63"/>
                        <wps:cNvSpPr/>
                        <wps:spPr>
                          <a:xfrm>
                            <a:off x="1760706" y="2704290"/>
                            <a:ext cx="184826" cy="214008"/>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oupe 256" o:spid="_x0000_s1026" style="position:absolute;margin-left:91.1pt;margin-top:6pt;width:340.1pt;height:245.85pt;z-index:251732992" coordsize="43190,312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">
                <v:shape id="Image 60" o:spid="_x0000_s1027" type="#_x0000_t75" alt="Résultats de recherche d'images pour « ostéoporose »" style="position:absolute;width:43190;height:312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XZqli9AAAA2wAAAA8AAABkcnMvZG93bnJldi54bWxET8uKwjAU3Q/4D+EK7sZUkTJUo4j4WolW&#10;P+DSXPuwuSlNrPXvzUKY5eG8F6ve1KKj1pWWFUzGEQjizOqScwW36+73D4TzyBpry6TgTQ5Wy8HP&#10;AhNtX3yhLvW5CCHsElRQeN8kUrqsIINubBviwN1ta9AH2OZSt/gK4aaW0yiKpcGSQ0OBDW0Kyh7p&#10;0ygo1zOz31aVPZxdJbtn/MbTNFVqNOzXcxCeev8v/rqPWkEc1ocv4QfI5Qc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ddmqWL0AAADbAAAADwAAAAAAAAAAAAAAAACfAgAAZHJz&#10;L2Rvd25yZXYueG1sUEsFBgAAAAAEAAQA9wAAAIkDAAAAAA==&#10;">
                  <v:imagedata r:id="rId199" o:title="Résultats de recherche d'images pour « ostéoporose »"/>
                  <v:path arrowok="t"/>
                </v:shape>
                <v:rect id="Rectangle 63" o:spid="_x0000_s1028" style="position:absolute;left:17607;top:27042;width:1848;height:21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2jrcQA&#10;AADbAAAADwAAAGRycy9kb3ducmV2LnhtbESPQWsCMRSE74X+h/AKXkrNqlR0NUoRhJ6U2l56e2ye&#10;m8XNy5K8rtv++kYo9DjMzDfMejv4VvUUUxPYwGRcgCKugm24NvDxvn9agEqCbLENTAa+KcF2c3+3&#10;xtKGK79Rf5JaZQinEg04ka7UOlWOPKZx6Iizdw7Ro2QZa20jXjPct3paFHPtseG84LCjnaPqcvry&#10;BpY/1VEWoXt20nwuaz85nGP/aMzoYXhZgRIa5D/81361BuYzuH3JP0Bv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2No63EAAAA2wAAAA8AAAAAAAAAAAAAAAAAmAIAAGRycy9k&#10;b3ducmV2LnhtbFBLBQYAAAAABAAEAPUAAACJAwAAAAA=&#10;" fillcolor="white [3212]" strokecolor="white [3212]" strokeweight="2pt"/>
              </v:group>
            </w:pict>
          </mc:Fallback>
        </mc:AlternateContent>
      </w:r>
      <w:r w:rsidR="00B911FF" w:rsidRPr="00C536EC">
        <w:br w:type="page"/>
      </w:r>
    </w:p>
    <w:p w:rsidR="0083438D" w:rsidRDefault="0083438D" w:rsidP="00F44B6B">
      <w:pPr>
        <w:spacing w:after="0"/>
        <w:rPr>
          <w:rFonts w:cs="Times New Roman"/>
          <w:b/>
          <w:color w:val="548DD4" w:themeColor="text2" w:themeTint="99"/>
        </w:rPr>
      </w:pPr>
      <w:r>
        <w:rPr>
          <w:rFonts w:cs="Times New Roman"/>
          <w:b/>
          <w:color w:val="548DD4" w:themeColor="text2" w:themeTint="99"/>
        </w:rPr>
        <w:t>CMC 58-2</w:t>
      </w:r>
    </w:p>
    <w:bookmarkStart w:id="200" w:name="_Toc480797296"/>
    <w:p w:rsidR="0083438D" w:rsidRDefault="007C55C3" w:rsidP="007C55C3">
      <w:pPr>
        <w:pStyle w:val="Titre3"/>
        <w:spacing w:before="0" w:after="240"/>
      </w:pPr>
      <w:r>
        <w:rPr>
          <w:rFonts w:cs="Times New Roman"/>
          <w:b w:val="0"/>
          <w:noProof/>
          <w:color w:val="548DD4" w:themeColor="text2" w:themeTint="99"/>
          <w:lang w:eastAsia="fr-CA"/>
        </w:rPr>
        <mc:AlternateContent>
          <mc:Choice Requires="wps">
            <w:drawing>
              <wp:anchor distT="0" distB="0" distL="114300" distR="114300" simplePos="0" relativeHeight="251807744" behindDoc="0" locked="0" layoutInCell="1" allowOverlap="1" wp14:anchorId="1A5BB20B" wp14:editId="4ACA0BB7">
                <wp:simplePos x="0" y="0"/>
                <wp:positionH relativeFrom="column">
                  <wp:posOffset>-48638</wp:posOffset>
                </wp:positionH>
                <wp:positionV relativeFrom="paragraph">
                  <wp:posOffset>289464</wp:posOffset>
                </wp:positionV>
                <wp:extent cx="6915785" cy="2810619"/>
                <wp:effectExtent l="0" t="0" r="18415" b="27940"/>
                <wp:wrapNone/>
                <wp:docPr id="312" name="Rectangle 312"/>
                <wp:cNvGraphicFramePr/>
                <a:graphic xmlns:a="http://schemas.openxmlformats.org/drawingml/2006/main">
                  <a:graphicData uri="http://schemas.microsoft.com/office/word/2010/wordprocessingShape">
                    <wps:wsp>
                      <wps:cNvSpPr/>
                      <wps:spPr>
                        <a:xfrm>
                          <a:off x="0" y="0"/>
                          <a:ext cx="6915785" cy="2810619"/>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12" o:spid="_x0000_s1026" style="position:absolute;margin-left:-3.85pt;margin-top:22.8pt;width:544.55pt;height:221.3pt;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" filled="f" strokecolor="black [1600]" strokeweight="2pt"/>
            </w:pict>
          </mc:Fallback>
        </mc:AlternateContent>
      </w:r>
      <w:r w:rsidR="0083438D">
        <w:t>Délirium</w:t>
      </w:r>
      <w:bookmarkEnd w:id="200"/>
    </w:p>
    <w:tbl>
      <w:tblPr>
        <w:tblW w:w="3704" w:type="pct"/>
        <w:tblCellSpacing w:w="0" w:type="dxa"/>
        <w:tblCellMar>
          <w:left w:w="0" w:type="dxa"/>
          <w:right w:w="0" w:type="dxa"/>
        </w:tblCellMar>
        <w:tblLook w:val="04A0" w:firstRow="1" w:lastRow="0" w:firstColumn="1" w:lastColumn="0" w:noHBand="0" w:noVBand="1"/>
      </w:tblPr>
      <w:tblGrid>
        <w:gridCol w:w="8001"/>
      </w:tblGrid>
      <w:tr w:rsidR="0083438D" w:rsidRPr="0083438D" w:rsidTr="0083438D">
        <w:trPr>
          <w:tblCellSpacing w:w="0" w:type="dxa"/>
        </w:trPr>
        <w:tc>
          <w:tcPr>
            <w:tcW w:w="0" w:type="auto"/>
            <w:vAlign w:val="bottom"/>
            <w:hideMark/>
          </w:tcPr>
          <w:p w:rsidR="0083438D" w:rsidRPr="00520ED3" w:rsidRDefault="0083438D" w:rsidP="00520ED3">
            <w:pPr>
              <w:pStyle w:val="Sansinterligne"/>
              <w:rPr>
                <w:b/>
                <w:sz w:val="18"/>
                <w:szCs w:val="18"/>
              </w:rPr>
            </w:pPr>
            <w:r w:rsidRPr="00520ED3">
              <w:rPr>
                <w:b/>
                <w:sz w:val="18"/>
                <w:szCs w:val="18"/>
              </w:rPr>
              <w:t>Objectifs principaux</w:t>
            </w:r>
          </w:p>
        </w:tc>
      </w:tr>
    </w:tbl>
    <w:p w:rsidR="0083438D" w:rsidRPr="0083438D" w:rsidRDefault="0083438D" w:rsidP="0083438D">
      <w:pPr>
        <w:pStyle w:val="NormalWeb"/>
        <w:ind w:left="360"/>
        <w:rPr>
          <w:color w:val="000000"/>
          <w:sz w:val="18"/>
          <w:szCs w:val="18"/>
          <w:shd w:val="clear" w:color="auto" w:fill="FFFFFF"/>
        </w:rPr>
      </w:pPr>
      <w:r w:rsidRPr="0083438D">
        <w:rPr>
          <w:color w:val="000000"/>
          <w:sz w:val="18"/>
          <w:szCs w:val="18"/>
          <w:shd w:val="clear" w:color="auto" w:fill="FFFFFF"/>
        </w:rPr>
        <w:t>Dans le cas d'un patient en état de délirum, le candidat devra reconnaître le syndrome, en diagnostiquer les causes et mettre en place un plan de prise en charge approprié. Il devra accorder une attention particulière à la nature urgente ou critique de cet état.</w:t>
      </w:r>
    </w:p>
    <w:tbl>
      <w:tblPr>
        <w:tblW w:w="3702" w:type="pct"/>
        <w:tblCellSpacing w:w="0" w:type="dxa"/>
        <w:tblCellMar>
          <w:left w:w="0" w:type="dxa"/>
          <w:right w:w="0" w:type="dxa"/>
        </w:tblCellMar>
        <w:tblLook w:val="04A0" w:firstRow="1" w:lastRow="0" w:firstColumn="1" w:lastColumn="0" w:noHBand="0" w:noVBand="1"/>
      </w:tblPr>
      <w:tblGrid>
        <w:gridCol w:w="7996"/>
      </w:tblGrid>
      <w:tr w:rsidR="0083438D" w:rsidRPr="0083438D" w:rsidTr="0083438D">
        <w:trPr>
          <w:tblCellSpacing w:w="0" w:type="dxa"/>
        </w:trPr>
        <w:tc>
          <w:tcPr>
            <w:tcW w:w="0" w:type="auto"/>
            <w:vAlign w:val="bottom"/>
            <w:hideMark/>
          </w:tcPr>
          <w:p w:rsidR="0083438D" w:rsidRPr="00520ED3" w:rsidRDefault="0083438D" w:rsidP="00520ED3">
            <w:pPr>
              <w:pStyle w:val="Sansinterligne"/>
              <w:rPr>
                <w:b/>
                <w:sz w:val="16"/>
                <w:szCs w:val="16"/>
              </w:rPr>
            </w:pPr>
            <w:r w:rsidRPr="00520ED3">
              <w:rPr>
                <w:b/>
                <w:sz w:val="16"/>
                <w:szCs w:val="16"/>
              </w:rPr>
              <w:t>Objectifs spécifiques</w:t>
            </w:r>
          </w:p>
        </w:tc>
      </w:tr>
    </w:tbl>
    <w:p w:rsidR="0083438D" w:rsidRPr="0083438D" w:rsidRDefault="0083438D" w:rsidP="0083438D">
      <w:pPr>
        <w:pStyle w:val="NormalWeb"/>
        <w:shd w:val="clear" w:color="auto" w:fill="FFFFFF"/>
        <w:ind w:left="360"/>
        <w:rPr>
          <w:color w:val="000000"/>
          <w:sz w:val="16"/>
          <w:szCs w:val="16"/>
          <w:shd w:val="clear" w:color="auto" w:fill="FFFFFF"/>
        </w:rPr>
      </w:pPr>
      <w:r w:rsidRPr="0083438D">
        <w:rPr>
          <w:color w:val="000000"/>
          <w:sz w:val="16"/>
          <w:szCs w:val="16"/>
          <w:shd w:val="clear" w:color="auto" w:fill="FFFFFF"/>
        </w:rPr>
        <w:t>Dans le cas d'un patient en état de delirium, le candidat devra :</w:t>
      </w:r>
    </w:p>
    <w:p w:rsidR="0083438D" w:rsidRPr="0083438D" w:rsidRDefault="0083438D" w:rsidP="0083438D">
      <w:pPr>
        <w:numPr>
          <w:ilvl w:val="0"/>
          <w:numId w:val="530"/>
        </w:numPr>
        <w:shd w:val="clear" w:color="auto" w:fill="FFFFFF"/>
        <w:spacing w:before="100" w:beforeAutospacing="1" w:after="100" w:afterAutospacing="1" w:line="240" w:lineRule="auto"/>
        <w:rPr>
          <w:rFonts w:cs="Times New Roman"/>
          <w:color w:val="000000"/>
          <w:sz w:val="16"/>
          <w:szCs w:val="16"/>
          <w:shd w:val="clear" w:color="auto" w:fill="FFFFFF"/>
        </w:rPr>
      </w:pPr>
      <w:r w:rsidRPr="0083438D">
        <w:rPr>
          <w:rFonts w:cs="Times New Roman"/>
          <w:color w:val="000000"/>
          <w:sz w:val="16"/>
          <w:szCs w:val="16"/>
          <w:shd w:val="clear" w:color="auto" w:fill="FFFFFF"/>
        </w:rPr>
        <w:t>énumérer et interpréter les constatations cliniques cruciales, notamment celles découlant :</w:t>
      </w:r>
    </w:p>
    <w:p w:rsidR="0083438D" w:rsidRPr="0083438D" w:rsidRDefault="0083438D" w:rsidP="0083438D">
      <w:pPr>
        <w:numPr>
          <w:ilvl w:val="1"/>
          <w:numId w:val="530"/>
        </w:numPr>
        <w:shd w:val="clear" w:color="auto" w:fill="FFFFFF"/>
        <w:spacing w:before="100" w:beforeAutospacing="1" w:after="100" w:afterAutospacing="1" w:line="240" w:lineRule="auto"/>
        <w:rPr>
          <w:rFonts w:cs="Times New Roman"/>
          <w:color w:val="000000"/>
          <w:sz w:val="16"/>
          <w:szCs w:val="16"/>
          <w:shd w:val="clear" w:color="auto" w:fill="FFFFFF"/>
        </w:rPr>
      </w:pPr>
      <w:r w:rsidRPr="0083438D">
        <w:rPr>
          <w:rFonts w:cs="Times New Roman"/>
          <w:color w:val="000000"/>
          <w:sz w:val="16"/>
          <w:szCs w:val="16"/>
          <w:shd w:val="clear" w:color="auto" w:fill="FFFFFF"/>
        </w:rPr>
        <w:t>de l'identification des facteurs de susceptibilité au delirium (p. ex. âge, dépendance à l'alcool, trouble neurocognitif ?démence?);</w:t>
      </w:r>
    </w:p>
    <w:p w:rsidR="0083438D" w:rsidRPr="0083438D" w:rsidRDefault="0083438D" w:rsidP="0083438D">
      <w:pPr>
        <w:numPr>
          <w:ilvl w:val="1"/>
          <w:numId w:val="530"/>
        </w:numPr>
        <w:shd w:val="clear" w:color="auto" w:fill="FFFFFF"/>
        <w:spacing w:before="100" w:beforeAutospacing="1" w:after="100" w:afterAutospacing="1" w:line="240" w:lineRule="auto"/>
        <w:rPr>
          <w:rFonts w:cs="Times New Roman"/>
          <w:color w:val="000000"/>
          <w:sz w:val="16"/>
          <w:szCs w:val="16"/>
          <w:shd w:val="clear" w:color="auto" w:fill="FFFFFF"/>
        </w:rPr>
      </w:pPr>
      <w:r w:rsidRPr="0083438D">
        <w:rPr>
          <w:rFonts w:cs="Times New Roman"/>
          <w:color w:val="000000"/>
          <w:sz w:val="16"/>
          <w:szCs w:val="16"/>
          <w:shd w:val="clear" w:color="auto" w:fill="FFFFFF"/>
        </w:rPr>
        <w:t>du recours aux outils de diagnostic clinique appropriés (p. ex. mini-examen de l'état mental);</w:t>
      </w:r>
    </w:p>
    <w:p w:rsidR="0083438D" w:rsidRPr="0083438D" w:rsidRDefault="0083438D" w:rsidP="0083438D">
      <w:pPr>
        <w:numPr>
          <w:ilvl w:val="1"/>
          <w:numId w:val="530"/>
        </w:numPr>
        <w:shd w:val="clear" w:color="auto" w:fill="FFFFFF"/>
        <w:spacing w:before="100" w:beforeAutospacing="1" w:after="100" w:afterAutospacing="1" w:line="240" w:lineRule="auto"/>
        <w:rPr>
          <w:rFonts w:cs="Times New Roman"/>
          <w:color w:val="000000"/>
          <w:sz w:val="16"/>
          <w:szCs w:val="16"/>
          <w:shd w:val="clear" w:color="auto" w:fill="FFFFFF"/>
        </w:rPr>
      </w:pPr>
      <w:r w:rsidRPr="0083438D">
        <w:rPr>
          <w:rFonts w:cs="Times New Roman"/>
          <w:color w:val="000000"/>
          <w:sz w:val="16"/>
          <w:szCs w:val="16"/>
          <w:shd w:val="clear" w:color="auto" w:fill="FFFFFF"/>
        </w:rPr>
        <w:t>d'un examen physique et d'une anamnèse appropriés, y compris auprès des membres de la famille et du personnel soignant, effectués dans le but de déterminer la cause du delirium;</w:t>
      </w:r>
    </w:p>
    <w:p w:rsidR="0083438D" w:rsidRPr="0083438D" w:rsidRDefault="0083438D" w:rsidP="0083438D">
      <w:pPr>
        <w:numPr>
          <w:ilvl w:val="0"/>
          <w:numId w:val="530"/>
        </w:numPr>
        <w:shd w:val="clear" w:color="auto" w:fill="FFFFFF"/>
        <w:spacing w:before="100" w:beforeAutospacing="1" w:after="100" w:afterAutospacing="1" w:line="240" w:lineRule="auto"/>
        <w:rPr>
          <w:rFonts w:cs="Times New Roman"/>
          <w:color w:val="000000"/>
          <w:sz w:val="16"/>
          <w:szCs w:val="16"/>
          <w:shd w:val="clear" w:color="auto" w:fill="FFFFFF"/>
        </w:rPr>
      </w:pPr>
      <w:r w:rsidRPr="0083438D">
        <w:rPr>
          <w:rFonts w:cs="Times New Roman"/>
          <w:color w:val="000000"/>
          <w:sz w:val="16"/>
          <w:szCs w:val="16"/>
          <w:shd w:val="clear" w:color="auto" w:fill="FFFFFF"/>
        </w:rPr>
        <w:t>énumérer et interpréter les examens essentiels, notamment :</w:t>
      </w:r>
    </w:p>
    <w:p w:rsidR="0083438D" w:rsidRPr="0083438D" w:rsidRDefault="0083438D" w:rsidP="0083438D">
      <w:pPr>
        <w:numPr>
          <w:ilvl w:val="1"/>
          <w:numId w:val="530"/>
        </w:numPr>
        <w:shd w:val="clear" w:color="auto" w:fill="FFFFFF"/>
        <w:spacing w:before="100" w:beforeAutospacing="1" w:after="100" w:afterAutospacing="1" w:line="240" w:lineRule="auto"/>
        <w:rPr>
          <w:rFonts w:cs="Times New Roman"/>
          <w:color w:val="000000"/>
          <w:sz w:val="16"/>
          <w:szCs w:val="16"/>
          <w:shd w:val="clear" w:color="auto" w:fill="FFFFFF"/>
        </w:rPr>
      </w:pPr>
      <w:r w:rsidRPr="0083438D">
        <w:rPr>
          <w:rFonts w:cs="Times New Roman"/>
          <w:color w:val="000000"/>
          <w:sz w:val="16"/>
          <w:szCs w:val="16"/>
          <w:shd w:val="clear" w:color="auto" w:fill="FFFFFF"/>
        </w:rPr>
        <w:t>les analyses de laboratoire et les examens d'imagerie diagnostique appropriés (p. ex. gazométrie sanguine, hémoculture, tomodensitométrie);</w:t>
      </w:r>
    </w:p>
    <w:p w:rsidR="0083438D" w:rsidRPr="0083438D" w:rsidRDefault="0083438D" w:rsidP="0083438D">
      <w:pPr>
        <w:numPr>
          <w:ilvl w:val="0"/>
          <w:numId w:val="530"/>
        </w:numPr>
        <w:shd w:val="clear" w:color="auto" w:fill="FFFFFF"/>
        <w:spacing w:before="100" w:beforeAutospacing="1" w:after="100" w:afterAutospacing="1" w:line="240" w:lineRule="auto"/>
        <w:rPr>
          <w:rFonts w:cs="Times New Roman"/>
          <w:color w:val="000000"/>
          <w:sz w:val="16"/>
          <w:szCs w:val="16"/>
          <w:shd w:val="clear" w:color="auto" w:fill="FFFFFF"/>
        </w:rPr>
      </w:pPr>
      <w:r w:rsidRPr="0083438D">
        <w:rPr>
          <w:rFonts w:cs="Times New Roman"/>
          <w:color w:val="000000"/>
          <w:sz w:val="16"/>
          <w:szCs w:val="16"/>
          <w:shd w:val="clear" w:color="auto" w:fill="FFFFFF"/>
        </w:rPr>
        <w:t>établir un plan efficace de prise en charge initiale, notamment :</w:t>
      </w:r>
    </w:p>
    <w:p w:rsidR="0083438D" w:rsidRPr="0083438D" w:rsidRDefault="0083438D" w:rsidP="0083438D">
      <w:pPr>
        <w:numPr>
          <w:ilvl w:val="1"/>
          <w:numId w:val="530"/>
        </w:numPr>
        <w:shd w:val="clear" w:color="auto" w:fill="FFFFFF"/>
        <w:spacing w:before="100" w:beforeAutospacing="1" w:after="100" w:afterAutospacing="1" w:line="240" w:lineRule="auto"/>
        <w:rPr>
          <w:rFonts w:cs="Times New Roman"/>
          <w:color w:val="000000"/>
          <w:sz w:val="16"/>
          <w:szCs w:val="16"/>
          <w:shd w:val="clear" w:color="auto" w:fill="FFFFFF"/>
        </w:rPr>
      </w:pPr>
      <w:r w:rsidRPr="0083438D">
        <w:rPr>
          <w:rFonts w:cs="Times New Roman"/>
          <w:color w:val="000000"/>
          <w:sz w:val="16"/>
          <w:szCs w:val="16"/>
          <w:shd w:val="clear" w:color="auto" w:fill="FFFFFF"/>
        </w:rPr>
        <w:t>entreprendre un traitement aigu des affections sous-jacentes, s'il y a lieu;</w:t>
      </w:r>
    </w:p>
    <w:p w:rsidR="0083438D" w:rsidRPr="0083438D" w:rsidRDefault="0083438D" w:rsidP="0083438D">
      <w:pPr>
        <w:numPr>
          <w:ilvl w:val="1"/>
          <w:numId w:val="530"/>
        </w:numPr>
        <w:shd w:val="clear" w:color="auto" w:fill="FFFFFF"/>
        <w:spacing w:before="100" w:beforeAutospacing="1" w:after="100" w:afterAutospacing="1" w:line="240" w:lineRule="auto"/>
        <w:rPr>
          <w:rFonts w:cs="Times New Roman"/>
          <w:color w:val="000000"/>
          <w:sz w:val="16"/>
          <w:szCs w:val="16"/>
          <w:shd w:val="clear" w:color="auto" w:fill="FFFFFF"/>
        </w:rPr>
      </w:pPr>
      <w:r w:rsidRPr="0083438D">
        <w:rPr>
          <w:rFonts w:cs="Times New Roman"/>
          <w:color w:val="000000"/>
          <w:sz w:val="16"/>
          <w:szCs w:val="16"/>
          <w:shd w:val="clear" w:color="auto" w:fill="FFFFFF"/>
        </w:rPr>
        <w:t>traiter de manière appropriée l'état d'agitation et les perturbations du sommeil;</w:t>
      </w:r>
    </w:p>
    <w:p w:rsidR="0083438D" w:rsidRPr="0083438D" w:rsidRDefault="0083438D" w:rsidP="0083438D">
      <w:pPr>
        <w:numPr>
          <w:ilvl w:val="1"/>
          <w:numId w:val="530"/>
        </w:numPr>
        <w:shd w:val="clear" w:color="auto" w:fill="FFFFFF"/>
        <w:spacing w:before="100" w:beforeAutospacing="1" w:after="100" w:afterAutospacing="1" w:line="240" w:lineRule="auto"/>
        <w:rPr>
          <w:rFonts w:cs="Times New Roman"/>
          <w:color w:val="000000"/>
          <w:sz w:val="16"/>
          <w:szCs w:val="16"/>
          <w:shd w:val="clear" w:color="auto" w:fill="FFFFFF"/>
        </w:rPr>
      </w:pPr>
      <w:r w:rsidRPr="0083438D">
        <w:rPr>
          <w:rFonts w:cs="Times New Roman"/>
          <w:color w:val="000000"/>
          <w:sz w:val="16"/>
          <w:szCs w:val="16"/>
          <w:shd w:val="clear" w:color="auto" w:fill="FFFFFF"/>
        </w:rPr>
        <w:t>aménager l'environnement du patient de façon à faciliter son retour à la vie normale;</w:t>
      </w:r>
    </w:p>
    <w:p w:rsidR="0083438D" w:rsidRPr="009179C8" w:rsidRDefault="0083438D" w:rsidP="009179C8">
      <w:pPr>
        <w:numPr>
          <w:ilvl w:val="1"/>
          <w:numId w:val="530"/>
        </w:numPr>
        <w:shd w:val="clear" w:color="auto" w:fill="FFFFFF"/>
        <w:spacing w:before="100" w:beforeAutospacing="1" w:after="100" w:afterAutospacing="1" w:line="240" w:lineRule="auto"/>
        <w:rPr>
          <w:rFonts w:cs="Times New Roman"/>
          <w:color w:val="000000"/>
          <w:sz w:val="16"/>
          <w:szCs w:val="16"/>
          <w:shd w:val="clear" w:color="auto" w:fill="FFFFFF"/>
        </w:rPr>
      </w:pPr>
      <w:r w:rsidRPr="0083438D">
        <w:rPr>
          <w:rFonts w:cs="Times New Roman"/>
          <w:color w:val="000000"/>
          <w:sz w:val="16"/>
          <w:szCs w:val="16"/>
          <w:shd w:val="clear" w:color="auto" w:fill="FFFFFF"/>
        </w:rPr>
        <w:t>déterminer qui est le mandataire spécial pendant que le patient est inapte.</w:t>
      </w:r>
    </w:p>
    <w:p w:rsidR="00F959C3" w:rsidRDefault="00F959C3" w:rsidP="00EC0BA0">
      <w:pPr>
        <w:pStyle w:val="Sansinterligne"/>
        <w:rPr>
          <w:b/>
          <w:sz w:val="28"/>
          <w:szCs w:val="28"/>
        </w:rPr>
      </w:pPr>
      <w:r w:rsidRPr="00EC0BA0">
        <w:rPr>
          <w:b/>
          <w:sz w:val="28"/>
          <w:szCs w:val="28"/>
        </w:rPr>
        <w:t>Facteurs de risque</w:t>
      </w:r>
    </w:p>
    <w:p w:rsidR="009179C8" w:rsidRDefault="009179C8" w:rsidP="00EC0BA0">
      <w:pPr>
        <w:pStyle w:val="Sansinterligne"/>
      </w:pPr>
    </w:p>
    <w:p w:rsidR="009179C8" w:rsidRPr="009179C8" w:rsidRDefault="009179C8" w:rsidP="00EC0BA0">
      <w:pPr>
        <w:pStyle w:val="Sansinterligne"/>
        <w:sectPr w:rsidR="009179C8" w:rsidRPr="009179C8" w:rsidSect="00217865">
          <w:type w:val="continuous"/>
          <w:pgSz w:w="12240" w:h="15840"/>
          <w:pgMar w:top="720" w:right="720" w:bottom="720" w:left="720" w:header="708" w:footer="708" w:gutter="0"/>
          <w:cols w:space="708"/>
          <w:docGrid w:linePitch="360"/>
        </w:sectPr>
      </w:pPr>
    </w:p>
    <w:p w:rsidR="009179C8" w:rsidRPr="009179C8" w:rsidRDefault="009179C8" w:rsidP="007D72D9">
      <w:pPr>
        <w:pStyle w:val="Sansinterligne"/>
        <w:numPr>
          <w:ilvl w:val="0"/>
          <w:numId w:val="540"/>
        </w:numPr>
        <w:rPr>
          <w:highlight w:val="yellow"/>
        </w:rPr>
      </w:pPr>
      <w:r w:rsidRPr="009179C8">
        <w:rPr>
          <w:highlight w:val="yellow"/>
        </w:rPr>
        <w:t>Hospitalisation</w:t>
      </w:r>
    </w:p>
    <w:p w:rsidR="009179C8" w:rsidRPr="009179C8" w:rsidRDefault="009179C8" w:rsidP="007D72D9">
      <w:pPr>
        <w:pStyle w:val="Sansinterligne"/>
        <w:numPr>
          <w:ilvl w:val="0"/>
          <w:numId w:val="540"/>
        </w:numPr>
        <w:rPr>
          <w:highlight w:val="yellow"/>
        </w:rPr>
      </w:pPr>
      <w:r w:rsidRPr="009179C8">
        <w:rPr>
          <w:highlight w:val="yellow"/>
        </w:rPr>
        <w:t>Habiter en centre d’hébergement</w:t>
      </w:r>
    </w:p>
    <w:p w:rsidR="009179C8" w:rsidRPr="009179C8" w:rsidRDefault="009179C8" w:rsidP="007D72D9">
      <w:pPr>
        <w:pStyle w:val="Sansinterligne"/>
        <w:numPr>
          <w:ilvl w:val="0"/>
          <w:numId w:val="540"/>
        </w:numPr>
        <w:rPr>
          <w:highlight w:val="yellow"/>
        </w:rPr>
      </w:pPr>
      <w:r w:rsidRPr="009179C8">
        <w:rPr>
          <w:highlight w:val="yellow"/>
        </w:rPr>
        <w:t>Polypharmacie</w:t>
      </w:r>
    </w:p>
    <w:p w:rsidR="009179C8" w:rsidRDefault="009179C8" w:rsidP="007D72D9">
      <w:pPr>
        <w:pStyle w:val="Sansinterligne"/>
        <w:numPr>
          <w:ilvl w:val="0"/>
          <w:numId w:val="540"/>
        </w:numPr>
      </w:pPr>
      <w:r>
        <w:t>Enfance</w:t>
      </w:r>
    </w:p>
    <w:p w:rsidR="009179C8" w:rsidRPr="009179C8" w:rsidRDefault="009179C8" w:rsidP="007D72D9">
      <w:pPr>
        <w:pStyle w:val="Sansinterligne"/>
        <w:numPr>
          <w:ilvl w:val="0"/>
          <w:numId w:val="540"/>
        </w:numPr>
        <w:rPr>
          <w:highlight w:val="yellow"/>
        </w:rPr>
      </w:pPr>
      <w:r w:rsidRPr="009179C8">
        <w:rPr>
          <w:highlight w:val="yellow"/>
        </w:rPr>
        <w:t xml:space="preserve">Âge avancé </w:t>
      </w:r>
      <w:r w:rsidRPr="009179C8">
        <w:rPr>
          <w:rFonts w:ascii="Century Gothic" w:hAnsi="Century Gothic"/>
          <w:highlight w:val="yellow"/>
        </w:rPr>
        <w:t>&gt;</w:t>
      </w:r>
      <w:r w:rsidRPr="009179C8">
        <w:rPr>
          <w:highlight w:val="yellow"/>
        </w:rPr>
        <w:t xml:space="preserve"> 70 ans</w:t>
      </w:r>
    </w:p>
    <w:p w:rsidR="009179C8" w:rsidRDefault="009179C8" w:rsidP="007D72D9">
      <w:pPr>
        <w:pStyle w:val="Sansinterligne"/>
        <w:numPr>
          <w:ilvl w:val="0"/>
          <w:numId w:val="540"/>
        </w:numPr>
        <w:rPr>
          <w:highlight w:val="yellow"/>
        </w:rPr>
      </w:pPr>
      <w:r w:rsidRPr="009179C8">
        <w:rPr>
          <w:highlight w:val="yellow"/>
        </w:rPr>
        <w:t>Condition médicale sévère</w:t>
      </w:r>
    </w:p>
    <w:p w:rsidR="009179C8" w:rsidRPr="009179C8" w:rsidRDefault="009179C8" w:rsidP="007D72D9">
      <w:pPr>
        <w:pStyle w:val="Sansinterligne"/>
        <w:numPr>
          <w:ilvl w:val="0"/>
          <w:numId w:val="540"/>
        </w:numPr>
        <w:rPr>
          <w:highlight w:val="yellow"/>
        </w:rPr>
      </w:pPr>
      <w:r>
        <w:rPr>
          <w:highlight w:val="yellow"/>
        </w:rPr>
        <w:t>ATCD de délirium</w:t>
      </w:r>
    </w:p>
    <w:p w:rsidR="009179C8" w:rsidRDefault="009179C8" w:rsidP="007D72D9">
      <w:pPr>
        <w:pStyle w:val="Sansinterligne"/>
        <w:numPr>
          <w:ilvl w:val="0"/>
          <w:numId w:val="540"/>
        </w:numPr>
      </w:pPr>
      <w:r>
        <w:t>Trouble neurologique ou cérébral préexistant</w:t>
      </w:r>
    </w:p>
    <w:p w:rsidR="00C41462" w:rsidRDefault="00C41462" w:rsidP="007D72D9">
      <w:pPr>
        <w:pStyle w:val="Sansinterligne"/>
        <w:numPr>
          <w:ilvl w:val="0"/>
          <w:numId w:val="540"/>
        </w:numPr>
      </w:pPr>
      <w:r>
        <w:t>Tabagisme</w:t>
      </w:r>
    </w:p>
    <w:p w:rsidR="009179C8" w:rsidRDefault="009179C8" w:rsidP="007D72D9">
      <w:pPr>
        <w:pStyle w:val="Sansinterligne"/>
        <w:numPr>
          <w:ilvl w:val="0"/>
          <w:numId w:val="540"/>
        </w:numPr>
      </w:pPr>
      <w:r w:rsidRPr="009179C8">
        <w:rPr>
          <w:highlight w:val="yellow"/>
        </w:rPr>
        <w:t>Abus de substance (ROH, etc.)</w:t>
      </w:r>
    </w:p>
    <w:p w:rsidR="009179C8" w:rsidRPr="009179C8" w:rsidRDefault="009179C8" w:rsidP="007D72D9">
      <w:pPr>
        <w:pStyle w:val="Sansinterligne"/>
        <w:numPr>
          <w:ilvl w:val="0"/>
          <w:numId w:val="540"/>
        </w:numPr>
        <w:rPr>
          <w:highlight w:val="yellow"/>
        </w:rPr>
      </w:pPr>
      <w:r w:rsidRPr="009179C8">
        <w:rPr>
          <w:highlight w:val="yellow"/>
        </w:rPr>
        <w:t>Anesthésie récente</w:t>
      </w:r>
    </w:p>
    <w:p w:rsidR="009179C8" w:rsidRPr="009179C8" w:rsidRDefault="009179C8" w:rsidP="007D72D9">
      <w:pPr>
        <w:pStyle w:val="Sansinterligne"/>
        <w:numPr>
          <w:ilvl w:val="0"/>
          <w:numId w:val="540"/>
        </w:numPr>
        <w:rPr>
          <w:highlight w:val="yellow"/>
        </w:rPr>
      </w:pPr>
      <w:r w:rsidRPr="009179C8">
        <w:rPr>
          <w:highlight w:val="yellow"/>
        </w:rPr>
        <w:t>Sonde urinaire</w:t>
      </w:r>
    </w:p>
    <w:p w:rsidR="009179C8" w:rsidRDefault="009179C8" w:rsidP="007D72D9">
      <w:pPr>
        <w:pStyle w:val="Sansinterligne"/>
        <w:numPr>
          <w:ilvl w:val="0"/>
          <w:numId w:val="540"/>
        </w:numPr>
      </w:pPr>
      <w:r>
        <w:t>Atteinte visuelle</w:t>
      </w:r>
    </w:p>
    <w:p w:rsidR="009179C8" w:rsidRDefault="009179C8" w:rsidP="007D72D9">
      <w:pPr>
        <w:pStyle w:val="Sansinterligne"/>
        <w:numPr>
          <w:ilvl w:val="0"/>
          <w:numId w:val="540"/>
        </w:numPr>
      </w:pPr>
      <w:r>
        <w:t>Limitations fonctionnelles / contentions</w:t>
      </w:r>
    </w:p>
    <w:p w:rsidR="009179C8" w:rsidRDefault="009179C8" w:rsidP="007D72D9">
      <w:pPr>
        <w:pStyle w:val="Sansinterligne"/>
        <w:numPr>
          <w:ilvl w:val="0"/>
          <w:numId w:val="540"/>
        </w:numPr>
      </w:pPr>
      <w:r>
        <w:t>MPOC</w:t>
      </w:r>
    </w:p>
    <w:p w:rsidR="009179C8" w:rsidRDefault="009179C8" w:rsidP="007D72D9">
      <w:pPr>
        <w:pStyle w:val="Sansinterligne"/>
        <w:numPr>
          <w:ilvl w:val="0"/>
          <w:numId w:val="540"/>
        </w:numPr>
      </w:pPr>
      <w:r>
        <w:t>HTA</w:t>
      </w:r>
    </w:p>
    <w:p w:rsidR="009179C8" w:rsidRDefault="009179C8" w:rsidP="007D72D9">
      <w:pPr>
        <w:pStyle w:val="Sansinterligne"/>
        <w:numPr>
          <w:ilvl w:val="0"/>
          <w:numId w:val="540"/>
        </w:numPr>
        <w:sectPr w:rsidR="009179C8" w:rsidSect="009179C8">
          <w:type w:val="continuous"/>
          <w:pgSz w:w="12240" w:h="15840"/>
          <w:pgMar w:top="720" w:right="720" w:bottom="720" w:left="720" w:header="708" w:footer="708" w:gutter="0"/>
          <w:cols w:num="3" w:space="708"/>
          <w:docGrid w:linePitch="360"/>
        </w:sectPr>
      </w:pPr>
      <w:r>
        <w:t>Anomalies métaboliques   (ions, glycémie, etc.)</w:t>
      </w:r>
    </w:p>
    <w:p w:rsidR="00F959C3" w:rsidRDefault="00F959C3" w:rsidP="00DD0F1C">
      <w:pPr>
        <w:pStyle w:val="Sansinterligne"/>
      </w:pPr>
    </w:p>
    <w:p w:rsidR="00F959C3" w:rsidRPr="00EC0BA0" w:rsidRDefault="00F959C3" w:rsidP="00DD0F1C">
      <w:pPr>
        <w:pStyle w:val="Sansinterligne"/>
        <w:rPr>
          <w:b/>
          <w:sz w:val="28"/>
          <w:szCs w:val="28"/>
        </w:rPr>
      </w:pPr>
      <w:r w:rsidRPr="00EC0BA0">
        <w:rPr>
          <w:b/>
          <w:sz w:val="28"/>
          <w:szCs w:val="28"/>
        </w:rPr>
        <w:t>Diagnostic</w:t>
      </w:r>
    </w:p>
    <w:p w:rsidR="00EC0BA0" w:rsidRDefault="00EC0BA0" w:rsidP="00DD0F1C">
      <w:pPr>
        <w:pStyle w:val="Sansinterligne"/>
      </w:pPr>
    </w:p>
    <w:tbl>
      <w:tblPr>
        <w:tblStyle w:val="Grilledutableau"/>
        <w:tblW w:w="0" w:type="auto"/>
        <w:tblLook w:val="04A0" w:firstRow="1" w:lastRow="0" w:firstColumn="1" w:lastColumn="0" w:noHBand="0" w:noVBand="1"/>
      </w:tblPr>
      <w:tblGrid>
        <w:gridCol w:w="6912"/>
        <w:gridCol w:w="3828"/>
      </w:tblGrid>
      <w:tr w:rsidR="002D27DC" w:rsidTr="004F0C08">
        <w:tc>
          <w:tcPr>
            <w:tcW w:w="6912" w:type="dxa"/>
            <w:shd w:val="clear" w:color="auto" w:fill="9BBB59" w:themeFill="accent3"/>
          </w:tcPr>
          <w:p w:rsidR="002D27DC" w:rsidRPr="00204C64" w:rsidRDefault="002D27DC" w:rsidP="00204C64">
            <w:pPr>
              <w:pStyle w:val="Sansinterligne"/>
              <w:jc w:val="center"/>
              <w:rPr>
                <w:b/>
              </w:rPr>
            </w:pPr>
            <w:r w:rsidRPr="00204C64">
              <w:rPr>
                <w:b/>
              </w:rPr>
              <w:t>Critères diagnostics (DSM-V)</w:t>
            </w:r>
          </w:p>
        </w:tc>
        <w:tc>
          <w:tcPr>
            <w:tcW w:w="3828" w:type="dxa"/>
            <w:shd w:val="clear" w:color="auto" w:fill="9BBB59" w:themeFill="accent3"/>
          </w:tcPr>
          <w:p w:rsidR="002D27DC" w:rsidRPr="00204C64" w:rsidRDefault="002D27DC" w:rsidP="00204C64">
            <w:pPr>
              <w:pStyle w:val="Sansinterligne"/>
              <w:jc w:val="center"/>
              <w:rPr>
                <w:b/>
              </w:rPr>
            </w:pPr>
            <w:r w:rsidRPr="00204C64">
              <w:rPr>
                <w:b/>
              </w:rPr>
              <w:t>Signes physiques / mentaux</w:t>
            </w:r>
          </w:p>
        </w:tc>
      </w:tr>
      <w:tr w:rsidR="002D27DC" w:rsidTr="00171F62">
        <w:trPr>
          <w:trHeight w:val="4785"/>
        </w:trPr>
        <w:tc>
          <w:tcPr>
            <w:tcW w:w="6912" w:type="dxa"/>
          </w:tcPr>
          <w:p w:rsidR="002D27DC" w:rsidRPr="00171F62" w:rsidRDefault="002D27DC" w:rsidP="007D72D9">
            <w:pPr>
              <w:pStyle w:val="Sansinterligne"/>
              <w:numPr>
                <w:ilvl w:val="0"/>
                <w:numId w:val="535"/>
              </w:numPr>
              <w:ind w:left="360"/>
              <w:jc w:val="both"/>
              <w:rPr>
                <w:highlight w:val="yellow"/>
              </w:rPr>
            </w:pPr>
            <w:r w:rsidRPr="00171F62">
              <w:rPr>
                <w:highlight w:val="yellow"/>
              </w:rPr>
              <w:t>Perturbation de l’attention et de la conscience</w:t>
            </w:r>
          </w:p>
          <w:p w:rsidR="00204C64" w:rsidRPr="00171F62" w:rsidRDefault="00204C64" w:rsidP="00204C64">
            <w:pPr>
              <w:pStyle w:val="Sansinterligne"/>
              <w:ind w:left="360"/>
              <w:jc w:val="both"/>
              <w:rPr>
                <w:highlight w:val="yellow"/>
              </w:rPr>
            </w:pPr>
          </w:p>
          <w:p w:rsidR="002D27DC" w:rsidRPr="00BA42F2" w:rsidRDefault="002D27DC" w:rsidP="007D72D9">
            <w:pPr>
              <w:pStyle w:val="Sansinterligne"/>
              <w:numPr>
                <w:ilvl w:val="0"/>
                <w:numId w:val="535"/>
              </w:numPr>
              <w:ind w:left="360"/>
              <w:jc w:val="both"/>
            </w:pPr>
            <w:r w:rsidRPr="00BA42F2">
              <w:t xml:space="preserve">Cette perturbation </w:t>
            </w:r>
            <w:r w:rsidRPr="00BA42F2">
              <w:rPr>
                <w:highlight w:val="yellow"/>
              </w:rPr>
              <w:t>s’installe rapidement</w:t>
            </w:r>
            <w:r w:rsidRPr="00BA42F2">
              <w:t xml:space="preserve">, diffère de l’état de base du patient et </w:t>
            </w:r>
            <w:r w:rsidRPr="00BA42F2">
              <w:rPr>
                <w:highlight w:val="yellow"/>
                <w:u w:val="single"/>
              </w:rPr>
              <w:t>tend à fluctuer durant la journée</w:t>
            </w:r>
          </w:p>
          <w:p w:rsidR="00204C64" w:rsidRPr="00171F62" w:rsidRDefault="00204C64" w:rsidP="00204C64">
            <w:pPr>
              <w:pStyle w:val="Paragraphedeliste"/>
              <w:ind w:left="360"/>
              <w:jc w:val="both"/>
              <w:rPr>
                <w:highlight w:val="yellow"/>
              </w:rPr>
            </w:pPr>
          </w:p>
          <w:p w:rsidR="00204C64" w:rsidRPr="00171F62" w:rsidRDefault="00204C64" w:rsidP="00204C64">
            <w:pPr>
              <w:pStyle w:val="Sansinterligne"/>
              <w:ind w:left="360"/>
              <w:jc w:val="both"/>
              <w:rPr>
                <w:highlight w:val="yellow"/>
              </w:rPr>
            </w:pPr>
          </w:p>
          <w:p w:rsidR="002D27DC" w:rsidRPr="00171F62" w:rsidRDefault="002D27DC" w:rsidP="007D72D9">
            <w:pPr>
              <w:pStyle w:val="Sansinterligne"/>
              <w:numPr>
                <w:ilvl w:val="0"/>
                <w:numId w:val="535"/>
              </w:numPr>
              <w:ind w:left="360"/>
              <w:jc w:val="both"/>
              <w:rPr>
                <w:highlight w:val="yellow"/>
              </w:rPr>
            </w:pPr>
            <w:r w:rsidRPr="00171F62">
              <w:rPr>
                <w:highlight w:val="yellow"/>
              </w:rPr>
              <w:t>Autre perturbation cognitive (mémoire, langage, orientation, habilité visuospatiale, perceptions)</w:t>
            </w:r>
          </w:p>
          <w:p w:rsidR="00204C64" w:rsidRDefault="00204C64" w:rsidP="00204C64">
            <w:pPr>
              <w:pStyle w:val="Sansinterligne"/>
              <w:ind w:left="360"/>
              <w:jc w:val="both"/>
            </w:pPr>
          </w:p>
          <w:p w:rsidR="00204C64" w:rsidRDefault="00204C64" w:rsidP="007D72D9">
            <w:pPr>
              <w:pStyle w:val="Sansinterligne"/>
              <w:numPr>
                <w:ilvl w:val="0"/>
                <w:numId w:val="535"/>
              </w:numPr>
              <w:ind w:left="360"/>
              <w:jc w:val="both"/>
            </w:pPr>
            <w:r>
              <w:t>Les critères A à C ne sont pas expliqués par un trouble neurocognitif connu ou un coma.</w:t>
            </w:r>
          </w:p>
          <w:p w:rsidR="00204C64" w:rsidRDefault="00204C64" w:rsidP="00204C64">
            <w:pPr>
              <w:pStyle w:val="Paragraphedeliste"/>
              <w:ind w:left="360"/>
              <w:jc w:val="both"/>
            </w:pPr>
          </w:p>
          <w:p w:rsidR="00204C64" w:rsidRDefault="00204C64" w:rsidP="00204C64">
            <w:pPr>
              <w:pStyle w:val="Sansinterligne"/>
              <w:ind w:left="360"/>
              <w:jc w:val="both"/>
            </w:pPr>
          </w:p>
          <w:p w:rsidR="002D27DC" w:rsidRDefault="002D27DC" w:rsidP="007D72D9">
            <w:pPr>
              <w:pStyle w:val="Sansinterligne"/>
              <w:numPr>
                <w:ilvl w:val="0"/>
                <w:numId w:val="535"/>
              </w:numPr>
              <w:ind w:left="360"/>
              <w:jc w:val="both"/>
            </w:pPr>
            <w:r>
              <w:t>Mise en évidence d’une cause médicale, d’un sevrage à une substance, d’une exposition à un produit toxique ou de causes multiples à l’origine du délirium par les antécédents, l’anamnèse, l’examen et les investigations.</w:t>
            </w:r>
          </w:p>
        </w:tc>
        <w:tc>
          <w:tcPr>
            <w:tcW w:w="3828" w:type="dxa"/>
            <w:shd w:val="clear" w:color="auto" w:fill="FFFF00"/>
          </w:tcPr>
          <w:p w:rsidR="002D27DC" w:rsidRPr="00171F62" w:rsidRDefault="002D27DC" w:rsidP="007D72D9">
            <w:pPr>
              <w:pStyle w:val="Sansinterligne"/>
              <w:numPr>
                <w:ilvl w:val="0"/>
                <w:numId w:val="539"/>
              </w:numPr>
              <w:rPr>
                <w:u w:val="single"/>
              </w:rPr>
            </w:pPr>
            <w:r w:rsidRPr="00171F62">
              <w:rPr>
                <w:u w:val="single"/>
              </w:rPr>
              <w:t>Attention fluctuante</w:t>
            </w:r>
          </w:p>
          <w:p w:rsidR="002D27DC" w:rsidRDefault="002D27DC" w:rsidP="007D72D9">
            <w:pPr>
              <w:pStyle w:val="Sansinterligne"/>
              <w:numPr>
                <w:ilvl w:val="0"/>
                <w:numId w:val="539"/>
              </w:numPr>
            </w:pPr>
            <w:r>
              <w:t>Facilement distrait</w:t>
            </w:r>
          </w:p>
          <w:p w:rsidR="002D27DC" w:rsidRPr="00171F62" w:rsidRDefault="002D27DC" w:rsidP="007D72D9">
            <w:pPr>
              <w:pStyle w:val="Sansinterligne"/>
              <w:numPr>
                <w:ilvl w:val="0"/>
                <w:numId w:val="539"/>
              </w:numPr>
              <w:rPr>
                <w:u w:val="single"/>
              </w:rPr>
            </w:pPr>
            <w:r w:rsidRPr="00171F62">
              <w:rPr>
                <w:u w:val="single"/>
              </w:rPr>
              <w:t>Désorientation dans les 3 sphères</w:t>
            </w:r>
          </w:p>
          <w:p w:rsidR="002D27DC" w:rsidRDefault="002D27DC" w:rsidP="002D27DC">
            <w:pPr>
              <w:pStyle w:val="Sansinterligne"/>
              <w:numPr>
                <w:ilvl w:val="0"/>
                <w:numId w:val="531"/>
              </w:numPr>
            </w:pPr>
            <w:r>
              <w:t>Lieu</w:t>
            </w:r>
          </w:p>
          <w:p w:rsidR="002D27DC" w:rsidRDefault="002D27DC" w:rsidP="002D27DC">
            <w:pPr>
              <w:pStyle w:val="Sansinterligne"/>
              <w:numPr>
                <w:ilvl w:val="0"/>
                <w:numId w:val="531"/>
              </w:numPr>
            </w:pPr>
            <w:r>
              <w:t>Temps</w:t>
            </w:r>
          </w:p>
          <w:p w:rsidR="002D27DC" w:rsidRDefault="002D27DC" w:rsidP="002D27DC">
            <w:pPr>
              <w:pStyle w:val="Sansinterligne"/>
              <w:numPr>
                <w:ilvl w:val="0"/>
                <w:numId w:val="531"/>
              </w:numPr>
            </w:pPr>
            <w:r>
              <w:t>Personne</w:t>
            </w:r>
          </w:p>
          <w:p w:rsidR="002D27DC" w:rsidRPr="00171F62" w:rsidRDefault="002D27DC" w:rsidP="007D72D9">
            <w:pPr>
              <w:pStyle w:val="Sansinterligne"/>
              <w:numPr>
                <w:ilvl w:val="0"/>
                <w:numId w:val="538"/>
              </w:numPr>
              <w:rPr>
                <w:u w:val="single"/>
              </w:rPr>
            </w:pPr>
            <w:r w:rsidRPr="00171F62">
              <w:rPr>
                <w:u w:val="single"/>
              </w:rPr>
              <w:t>Illusions / Hallucinations</w:t>
            </w:r>
          </w:p>
          <w:p w:rsidR="002D27DC" w:rsidRDefault="002D27DC" w:rsidP="007D72D9">
            <w:pPr>
              <w:pStyle w:val="Sansinterligne"/>
              <w:numPr>
                <w:ilvl w:val="0"/>
                <w:numId w:val="538"/>
              </w:numPr>
            </w:pPr>
            <w:r>
              <w:t>Atteinte du langage</w:t>
            </w:r>
          </w:p>
          <w:p w:rsidR="002D27DC" w:rsidRDefault="002D27DC" w:rsidP="002D27DC">
            <w:pPr>
              <w:pStyle w:val="Sansinterligne"/>
              <w:numPr>
                <w:ilvl w:val="0"/>
                <w:numId w:val="532"/>
              </w:numPr>
            </w:pPr>
            <w:r>
              <w:t>Dysarthrie, dysnomie</w:t>
            </w:r>
          </w:p>
          <w:p w:rsidR="002D27DC" w:rsidRDefault="002D27DC" w:rsidP="007D72D9">
            <w:pPr>
              <w:pStyle w:val="Sansinterligne"/>
              <w:numPr>
                <w:ilvl w:val="0"/>
                <w:numId w:val="537"/>
              </w:numPr>
            </w:pPr>
            <w:r>
              <w:t>Symptômes affectifs</w:t>
            </w:r>
          </w:p>
          <w:p w:rsidR="002D27DC" w:rsidRDefault="002D27DC" w:rsidP="002D27DC">
            <w:pPr>
              <w:pStyle w:val="Sansinterligne"/>
              <w:numPr>
                <w:ilvl w:val="0"/>
                <w:numId w:val="533"/>
              </w:numPr>
            </w:pPr>
            <w:r>
              <w:t>Peur</w:t>
            </w:r>
          </w:p>
          <w:p w:rsidR="002D27DC" w:rsidRDefault="002D27DC" w:rsidP="002D27DC">
            <w:pPr>
              <w:pStyle w:val="Sansinterligne"/>
              <w:numPr>
                <w:ilvl w:val="0"/>
                <w:numId w:val="533"/>
              </w:numPr>
            </w:pPr>
            <w:r>
              <w:t>Anxiété</w:t>
            </w:r>
          </w:p>
          <w:p w:rsidR="002D27DC" w:rsidRDefault="002D27DC" w:rsidP="002D27DC">
            <w:pPr>
              <w:pStyle w:val="Sansinterligne"/>
              <w:numPr>
                <w:ilvl w:val="0"/>
                <w:numId w:val="533"/>
              </w:numPr>
            </w:pPr>
            <w:r>
              <w:t>Irritabilité</w:t>
            </w:r>
          </w:p>
          <w:p w:rsidR="002D27DC" w:rsidRDefault="002D27DC" w:rsidP="002D27DC">
            <w:pPr>
              <w:pStyle w:val="Sansinterligne"/>
              <w:numPr>
                <w:ilvl w:val="0"/>
                <w:numId w:val="533"/>
              </w:numPr>
            </w:pPr>
            <w:r>
              <w:t>Colère</w:t>
            </w:r>
          </w:p>
          <w:p w:rsidR="002D27DC" w:rsidRDefault="002D27DC" w:rsidP="002D27DC">
            <w:pPr>
              <w:pStyle w:val="Sansinterligne"/>
              <w:numPr>
                <w:ilvl w:val="0"/>
                <w:numId w:val="533"/>
              </w:numPr>
            </w:pPr>
            <w:r>
              <w:t>Euphorie</w:t>
            </w:r>
          </w:p>
          <w:p w:rsidR="002D27DC" w:rsidRDefault="002D27DC" w:rsidP="002D27DC">
            <w:pPr>
              <w:pStyle w:val="Sansinterligne"/>
              <w:numPr>
                <w:ilvl w:val="0"/>
                <w:numId w:val="533"/>
              </w:numPr>
            </w:pPr>
            <w:r>
              <w:t>Apathie</w:t>
            </w:r>
          </w:p>
          <w:p w:rsidR="002D27DC" w:rsidRPr="00674521" w:rsidRDefault="002D27DC" w:rsidP="007D72D9">
            <w:pPr>
              <w:pStyle w:val="Sansinterligne"/>
              <w:numPr>
                <w:ilvl w:val="0"/>
                <w:numId w:val="536"/>
              </w:numPr>
              <w:rPr>
                <w:u w:val="single"/>
              </w:rPr>
            </w:pPr>
            <w:r w:rsidRPr="00674521">
              <w:rPr>
                <w:u w:val="single"/>
              </w:rPr>
              <w:t>Altération psychomotrice</w:t>
            </w:r>
          </w:p>
          <w:p w:rsidR="002D27DC" w:rsidRDefault="002D27DC" w:rsidP="002D27DC">
            <w:pPr>
              <w:pStyle w:val="Sansinterligne"/>
              <w:numPr>
                <w:ilvl w:val="0"/>
                <w:numId w:val="534"/>
              </w:numPr>
            </w:pPr>
            <w:r>
              <w:t xml:space="preserve">Hyperactivité </w:t>
            </w:r>
          </w:p>
          <w:p w:rsidR="002D27DC" w:rsidRDefault="002D27DC" w:rsidP="00DD0F1C">
            <w:pPr>
              <w:pStyle w:val="Sansinterligne"/>
              <w:numPr>
                <w:ilvl w:val="0"/>
                <w:numId w:val="534"/>
              </w:numPr>
            </w:pPr>
            <w:r>
              <w:t>Léthargie, ralentissement</w:t>
            </w:r>
          </w:p>
        </w:tc>
      </w:tr>
    </w:tbl>
    <w:p w:rsidR="00B26281" w:rsidRPr="00BF0A0E" w:rsidRDefault="00CC28BC" w:rsidP="00DD0F1C">
      <w:pPr>
        <w:pStyle w:val="Sansinterligne"/>
      </w:pPr>
      <w:r>
        <w:rPr>
          <w:noProof/>
          <w:lang w:eastAsia="fr-CA"/>
        </w:rPr>
        <w:drawing>
          <wp:anchor distT="0" distB="0" distL="114300" distR="114300" simplePos="0" relativeHeight="251810816" behindDoc="1" locked="0" layoutInCell="1" allowOverlap="1" wp14:anchorId="5F45B1B8" wp14:editId="0FBFC84C">
            <wp:simplePos x="0" y="0"/>
            <wp:positionH relativeFrom="column">
              <wp:posOffset>4317365</wp:posOffset>
            </wp:positionH>
            <wp:positionV relativeFrom="paragraph">
              <wp:posOffset>18050</wp:posOffset>
            </wp:positionV>
            <wp:extent cx="2354580" cy="2800985"/>
            <wp:effectExtent l="0" t="0" r="7620" b="0"/>
            <wp:wrapNone/>
            <wp:docPr id="326" name="Image 326" descr="Résultats de recherche d'images pour « déliriu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ésultats de recherche d'images pour « délirium »"/>
                    <pic:cNvPicPr>
                      <a:picLocks noChangeAspect="1" noChangeArrowheads="1"/>
                    </pic:cNvPicPr>
                  </pic:nvPicPr>
                  <pic:blipFill rotWithShape="1">
                    <a:blip r:embed="rId200">
                      <a:extLst>
                        <a:ext uri="{28A0092B-C50C-407E-A947-70E740481C1C}">
                          <a14:useLocalDpi xmlns:a14="http://schemas.microsoft.com/office/drawing/2010/main" val="0"/>
                        </a:ext>
                      </a:extLst>
                    </a:blip>
                    <a:srcRect l="14577" t="7580" r="14723" b="8310"/>
                    <a:stretch/>
                  </pic:blipFill>
                  <pic:spPr bwMode="auto">
                    <a:xfrm>
                      <a:off x="0" y="0"/>
                      <a:ext cx="2354580" cy="28009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26281" w:rsidRPr="00B26281">
        <w:rPr>
          <w:b/>
          <w:sz w:val="28"/>
          <w:szCs w:val="28"/>
        </w:rPr>
        <w:t>Identifier la cause</w:t>
      </w:r>
    </w:p>
    <w:p w:rsidR="00B26281" w:rsidRDefault="00B26281" w:rsidP="00DD0F1C">
      <w:pPr>
        <w:pStyle w:val="Sansinterligne"/>
      </w:pPr>
    </w:p>
    <w:p w:rsidR="008D3AFC" w:rsidRDefault="008D3AFC" w:rsidP="008D3AFC">
      <w:pPr>
        <w:pStyle w:val="Sansinterligne"/>
      </w:pPr>
      <w:r>
        <w:t xml:space="preserve">Évidemment dans cette condition, l’histoire avec le patient sera </w:t>
      </w:r>
    </w:p>
    <w:p w:rsidR="008D3AFC" w:rsidRDefault="008D3AFC" w:rsidP="008D3AFC">
      <w:pPr>
        <w:pStyle w:val="Sansinterligne"/>
      </w:pPr>
      <w:r>
        <w:t>difficile, voire non contributoire. Il faut donc s’adresser aux personnes</w:t>
      </w:r>
    </w:p>
    <w:p w:rsidR="008D3AFC" w:rsidRDefault="008D3AFC" w:rsidP="008D3AFC">
      <w:pPr>
        <w:pStyle w:val="Sansinterligne"/>
      </w:pPr>
      <w:r>
        <w:t>qui ont vu le patient récemment (famille, amis, personnel soignant).</w:t>
      </w:r>
    </w:p>
    <w:p w:rsidR="00B26281" w:rsidRDefault="00B26281" w:rsidP="00DD0F1C">
      <w:pPr>
        <w:pStyle w:val="Sansinterligne"/>
      </w:pPr>
    </w:p>
    <w:p w:rsidR="008D3AFC" w:rsidRDefault="008D3AFC" w:rsidP="00DD0F1C">
      <w:pPr>
        <w:pStyle w:val="Sansinterligne"/>
      </w:pPr>
      <w:r w:rsidRPr="004475A3">
        <w:rPr>
          <w:u w:val="single"/>
        </w:rPr>
        <w:t>On recherche</w:t>
      </w:r>
      <w:r>
        <w:t> :</w:t>
      </w:r>
    </w:p>
    <w:p w:rsidR="008D3AFC" w:rsidRPr="004475A3" w:rsidRDefault="008D3AFC" w:rsidP="007D72D9">
      <w:pPr>
        <w:pStyle w:val="Sansinterligne"/>
        <w:numPr>
          <w:ilvl w:val="0"/>
          <w:numId w:val="536"/>
        </w:numPr>
        <w:rPr>
          <w:highlight w:val="yellow"/>
        </w:rPr>
      </w:pPr>
      <w:r w:rsidRPr="004475A3">
        <w:rPr>
          <w:highlight w:val="yellow"/>
        </w:rPr>
        <w:t>À décrire son état de base.</w:t>
      </w:r>
    </w:p>
    <w:p w:rsidR="008D3AFC" w:rsidRPr="004475A3" w:rsidRDefault="008D3AFC" w:rsidP="007D72D9">
      <w:pPr>
        <w:pStyle w:val="Sansinterligne"/>
        <w:numPr>
          <w:ilvl w:val="0"/>
          <w:numId w:val="536"/>
        </w:numPr>
        <w:rPr>
          <w:highlight w:val="yellow"/>
        </w:rPr>
      </w:pPr>
      <w:r w:rsidRPr="004475A3">
        <w:rPr>
          <w:highlight w:val="yellow"/>
        </w:rPr>
        <w:t>Le moment où les symptômes cardinaux du délirium ont débutés.</w:t>
      </w:r>
    </w:p>
    <w:p w:rsidR="008D3AFC" w:rsidRPr="004475A3" w:rsidRDefault="00C41462" w:rsidP="007D72D9">
      <w:pPr>
        <w:pStyle w:val="Sansinterligne"/>
        <w:numPr>
          <w:ilvl w:val="0"/>
          <w:numId w:val="536"/>
        </w:numPr>
        <w:rPr>
          <w:highlight w:val="yellow"/>
        </w:rPr>
      </w:pPr>
      <w:r>
        <w:rPr>
          <w:highlight w:val="yellow"/>
        </w:rPr>
        <w:t>Présence</w:t>
      </w:r>
      <w:r w:rsidR="008D3AFC" w:rsidRPr="004475A3">
        <w:rPr>
          <w:highlight w:val="yellow"/>
        </w:rPr>
        <w:t xml:space="preserve"> d’autres symptômes qui pourraient </w:t>
      </w:r>
      <w:r>
        <w:rPr>
          <w:highlight w:val="yellow"/>
        </w:rPr>
        <w:t>localiser</w:t>
      </w:r>
      <w:r w:rsidR="008D3AFC" w:rsidRPr="004475A3">
        <w:rPr>
          <w:highlight w:val="yellow"/>
        </w:rPr>
        <w:t xml:space="preserve"> la cause</w:t>
      </w:r>
    </w:p>
    <w:p w:rsidR="008D3AFC" w:rsidRDefault="008D3AFC" w:rsidP="007D72D9">
      <w:pPr>
        <w:pStyle w:val="Sansinterligne"/>
        <w:numPr>
          <w:ilvl w:val="1"/>
          <w:numId w:val="536"/>
        </w:numPr>
      </w:pPr>
      <w:r>
        <w:t>(fièvre, anom</w:t>
      </w:r>
      <w:r w:rsidR="00CC28BC">
        <w:t>.</w:t>
      </w:r>
      <w:r>
        <w:t xml:space="preserve"> neurologiques, tremblements, toux, dyspnée, céphalées …)</w:t>
      </w:r>
    </w:p>
    <w:p w:rsidR="008D3AFC" w:rsidRPr="004475A3" w:rsidRDefault="008D3AFC" w:rsidP="007D72D9">
      <w:pPr>
        <w:pStyle w:val="Sansinterligne"/>
        <w:numPr>
          <w:ilvl w:val="0"/>
          <w:numId w:val="536"/>
        </w:numPr>
        <w:rPr>
          <w:highlight w:val="yellow"/>
        </w:rPr>
      </w:pPr>
      <w:r w:rsidRPr="004475A3">
        <w:rPr>
          <w:highlight w:val="yellow"/>
        </w:rPr>
        <w:t xml:space="preserve">À savoir si le patient consomme régulièrement </w:t>
      </w:r>
    </w:p>
    <w:p w:rsidR="008D3AFC" w:rsidRDefault="008D3AFC" w:rsidP="007D72D9">
      <w:pPr>
        <w:pStyle w:val="Sansinterligne"/>
        <w:numPr>
          <w:ilvl w:val="1"/>
          <w:numId w:val="536"/>
        </w:numPr>
      </w:pPr>
      <w:r>
        <w:t>de l’alcool</w:t>
      </w:r>
    </w:p>
    <w:p w:rsidR="008D3AFC" w:rsidRDefault="008D3AFC" w:rsidP="007D72D9">
      <w:pPr>
        <w:pStyle w:val="Sansinterligne"/>
        <w:numPr>
          <w:ilvl w:val="1"/>
          <w:numId w:val="536"/>
        </w:numPr>
      </w:pPr>
      <w:r>
        <w:t>d’autres substances</w:t>
      </w:r>
    </w:p>
    <w:p w:rsidR="008D3AFC" w:rsidRDefault="008D3AFC" w:rsidP="007D72D9">
      <w:pPr>
        <w:pStyle w:val="Sansinterligne"/>
        <w:numPr>
          <w:ilvl w:val="1"/>
          <w:numId w:val="536"/>
        </w:numPr>
      </w:pPr>
      <w:r>
        <w:t>Si oui depuis combien de temps il est à jeun</w:t>
      </w:r>
    </w:p>
    <w:p w:rsidR="008D3AFC" w:rsidRDefault="008D3AFC" w:rsidP="007D72D9">
      <w:pPr>
        <w:pStyle w:val="Sansinterligne"/>
        <w:numPr>
          <w:ilvl w:val="0"/>
          <w:numId w:val="536"/>
        </w:numPr>
      </w:pPr>
      <w:r w:rsidRPr="004475A3">
        <w:rPr>
          <w:highlight w:val="yellow"/>
        </w:rPr>
        <w:t xml:space="preserve">Y-a-t-il eu changement de médication </w:t>
      </w:r>
      <w:r w:rsidR="00A7038C">
        <w:rPr>
          <w:highlight w:val="yellow"/>
        </w:rPr>
        <w:t>o</w:t>
      </w:r>
      <w:r w:rsidRPr="004475A3">
        <w:rPr>
          <w:highlight w:val="yellow"/>
        </w:rPr>
        <w:t xml:space="preserve">u </w:t>
      </w:r>
      <w:r w:rsidR="00A7038C">
        <w:rPr>
          <w:highlight w:val="yellow"/>
        </w:rPr>
        <w:t xml:space="preserve">une </w:t>
      </w:r>
      <w:r w:rsidRPr="004475A3">
        <w:rPr>
          <w:rFonts w:ascii="Century Gothic" w:hAnsi="Century Gothic"/>
          <w:highlight w:val="yellow"/>
        </w:rPr>
        <w:t>↑</w:t>
      </w:r>
      <w:r w:rsidRPr="004475A3">
        <w:rPr>
          <w:highlight w:val="yellow"/>
        </w:rPr>
        <w:t xml:space="preserve"> récente</w:t>
      </w:r>
      <w:r>
        <w:t xml:space="preserve"> ?</w:t>
      </w:r>
    </w:p>
    <w:p w:rsidR="008D3AFC" w:rsidRDefault="008D3AFC" w:rsidP="00DD0F1C">
      <w:pPr>
        <w:pStyle w:val="Sansinterligne"/>
      </w:pPr>
    </w:p>
    <w:p w:rsidR="008D3AFC" w:rsidRDefault="008D3AFC" w:rsidP="00DD0F1C">
      <w:pPr>
        <w:pStyle w:val="Sansinterligne"/>
      </w:pPr>
      <w:r w:rsidRPr="008D3AFC">
        <w:rPr>
          <w:u w:val="single"/>
        </w:rPr>
        <w:t>À l’examen physique</w:t>
      </w:r>
      <w:r>
        <w:t> :</w:t>
      </w:r>
    </w:p>
    <w:p w:rsidR="008D3AFC" w:rsidRDefault="005B39B1" w:rsidP="00233789">
      <w:pPr>
        <w:pStyle w:val="Sansinterligne"/>
        <w:numPr>
          <w:ilvl w:val="0"/>
          <w:numId w:val="546"/>
        </w:numPr>
      </w:pPr>
      <w:r>
        <w:t>Orienter selon les causes recherchées (voir plus bas)</w:t>
      </w:r>
    </w:p>
    <w:p w:rsidR="008D3AFC" w:rsidRDefault="008D3AFC" w:rsidP="00DD0F1C">
      <w:pPr>
        <w:pStyle w:val="Sansinterligne"/>
      </w:pPr>
    </w:p>
    <w:p w:rsidR="00935248" w:rsidRPr="009179C8" w:rsidRDefault="00935248" w:rsidP="00935248">
      <w:pPr>
        <w:pStyle w:val="Sansinterligne"/>
        <w:rPr>
          <w:b/>
          <w:sz w:val="28"/>
          <w:szCs w:val="28"/>
        </w:rPr>
      </w:pPr>
      <w:r w:rsidRPr="009179C8">
        <w:rPr>
          <w:b/>
          <w:sz w:val="28"/>
          <w:szCs w:val="28"/>
        </w:rPr>
        <w:t>Investigations</w:t>
      </w:r>
    </w:p>
    <w:p w:rsidR="007D71D6" w:rsidRDefault="007D71D6" w:rsidP="00935248">
      <w:pPr>
        <w:pStyle w:val="Sansinterligne"/>
      </w:pPr>
    </w:p>
    <w:p w:rsidR="007D71D6" w:rsidRDefault="007D71D6" w:rsidP="00935248">
      <w:pPr>
        <w:pStyle w:val="Sansinterligne"/>
      </w:pPr>
      <w:r>
        <w:t>Selon le jugement clinique :</w:t>
      </w:r>
    </w:p>
    <w:p w:rsidR="007D71D6" w:rsidRPr="005B39B1" w:rsidRDefault="007D71D6" w:rsidP="00935248">
      <w:pPr>
        <w:pStyle w:val="Sansinterligne"/>
        <w:rPr>
          <w:sz w:val="16"/>
          <w:szCs w:val="16"/>
        </w:rPr>
      </w:pPr>
    </w:p>
    <w:p w:rsidR="007D71D6" w:rsidRDefault="007D71D6" w:rsidP="00233789">
      <w:pPr>
        <w:pStyle w:val="Sansinterligne"/>
        <w:numPr>
          <w:ilvl w:val="0"/>
          <w:numId w:val="543"/>
        </w:numPr>
        <w:sectPr w:rsidR="007D71D6" w:rsidSect="00217865">
          <w:type w:val="continuous"/>
          <w:pgSz w:w="12240" w:h="15840"/>
          <w:pgMar w:top="720" w:right="720" w:bottom="720" w:left="720" w:header="708" w:footer="708" w:gutter="0"/>
          <w:cols w:space="708"/>
          <w:docGrid w:linePitch="360"/>
        </w:sectPr>
      </w:pPr>
    </w:p>
    <w:p w:rsidR="00935248" w:rsidRDefault="00935248" w:rsidP="00233789">
      <w:pPr>
        <w:pStyle w:val="Sansinterligne"/>
        <w:numPr>
          <w:ilvl w:val="0"/>
          <w:numId w:val="543"/>
        </w:numPr>
      </w:pPr>
      <w:r w:rsidRPr="00DD0F1C">
        <w:t>FSC</w:t>
      </w:r>
      <w:r w:rsidR="007D71D6">
        <w:t>, ions, urée, créatinémie</w:t>
      </w:r>
    </w:p>
    <w:p w:rsidR="00EB2C8B" w:rsidRDefault="00EB2C8B" w:rsidP="00233789">
      <w:pPr>
        <w:pStyle w:val="Sansinterligne"/>
        <w:numPr>
          <w:ilvl w:val="0"/>
          <w:numId w:val="543"/>
        </w:numPr>
      </w:pPr>
      <w:r>
        <w:t>Ca</w:t>
      </w:r>
      <w:r w:rsidRPr="00EB2C8B">
        <w:rPr>
          <w:vertAlign w:val="superscript"/>
        </w:rPr>
        <w:t>2+</w:t>
      </w:r>
      <w:r>
        <w:t>, PO</w:t>
      </w:r>
      <w:r w:rsidRPr="00EB2C8B">
        <w:rPr>
          <w:vertAlign w:val="subscript"/>
        </w:rPr>
        <w:t>4</w:t>
      </w:r>
      <w:r w:rsidRPr="00EB2C8B">
        <w:rPr>
          <w:vertAlign w:val="superscript"/>
        </w:rPr>
        <w:t>3-</w:t>
      </w:r>
      <w:r>
        <w:t>, Mg</w:t>
      </w:r>
      <w:r w:rsidRPr="00EB2C8B">
        <w:rPr>
          <w:vertAlign w:val="superscript"/>
        </w:rPr>
        <w:t>2+</w:t>
      </w:r>
    </w:p>
    <w:p w:rsidR="00EB2C8B" w:rsidRDefault="00EB2C8B" w:rsidP="00233789">
      <w:pPr>
        <w:pStyle w:val="Sansinterligne"/>
        <w:numPr>
          <w:ilvl w:val="0"/>
          <w:numId w:val="543"/>
        </w:numPr>
      </w:pPr>
      <w:r>
        <w:t>Bilan hépatique</w:t>
      </w:r>
    </w:p>
    <w:p w:rsidR="007D71D6" w:rsidRPr="00DD0F1C" w:rsidRDefault="007D71D6" w:rsidP="00233789">
      <w:pPr>
        <w:pStyle w:val="Sansinterligne"/>
        <w:numPr>
          <w:ilvl w:val="0"/>
          <w:numId w:val="543"/>
        </w:numPr>
      </w:pPr>
      <w:r>
        <w:t>Glycémie</w:t>
      </w:r>
    </w:p>
    <w:p w:rsidR="00935248" w:rsidRDefault="00935248" w:rsidP="00233789">
      <w:pPr>
        <w:pStyle w:val="Sansinterligne"/>
        <w:numPr>
          <w:ilvl w:val="0"/>
          <w:numId w:val="543"/>
        </w:numPr>
      </w:pPr>
      <w:r w:rsidRPr="00DD0F1C">
        <w:t>Hémoculture</w:t>
      </w:r>
    </w:p>
    <w:p w:rsidR="00503C49" w:rsidRPr="00DD0F1C" w:rsidRDefault="00503C49" w:rsidP="00233789">
      <w:pPr>
        <w:pStyle w:val="Sansinterligne"/>
        <w:numPr>
          <w:ilvl w:val="0"/>
          <w:numId w:val="543"/>
        </w:numPr>
      </w:pPr>
      <w:r>
        <w:t xml:space="preserve">Analyse </w:t>
      </w:r>
      <w:r w:rsidR="002B138D">
        <w:t xml:space="preserve">et culture </w:t>
      </w:r>
      <w:r>
        <w:t>d’urine</w:t>
      </w:r>
    </w:p>
    <w:p w:rsidR="00503C49" w:rsidRDefault="00503C49" w:rsidP="00233789">
      <w:pPr>
        <w:pStyle w:val="Sansinterligne"/>
        <w:numPr>
          <w:ilvl w:val="0"/>
          <w:numId w:val="543"/>
        </w:numPr>
      </w:pPr>
      <w:r>
        <w:t>Radiographie pulmonaire</w:t>
      </w:r>
    </w:p>
    <w:p w:rsidR="007D71D6" w:rsidRDefault="007D71D6" w:rsidP="00233789">
      <w:pPr>
        <w:pStyle w:val="Sansinterligne"/>
        <w:numPr>
          <w:ilvl w:val="0"/>
          <w:numId w:val="543"/>
        </w:numPr>
      </w:pPr>
      <w:r>
        <w:t>Ponction lombaire</w:t>
      </w:r>
    </w:p>
    <w:p w:rsidR="00503C49" w:rsidRPr="00DD0F1C" w:rsidRDefault="00503C49" w:rsidP="00233789">
      <w:pPr>
        <w:pStyle w:val="Sansinterligne"/>
        <w:numPr>
          <w:ilvl w:val="0"/>
          <w:numId w:val="543"/>
        </w:numPr>
      </w:pPr>
      <w:r>
        <w:t>Électrocardiogramme (ECG)</w:t>
      </w:r>
    </w:p>
    <w:p w:rsidR="00935248" w:rsidRDefault="00935248" w:rsidP="00233789">
      <w:pPr>
        <w:pStyle w:val="Sansinterligne"/>
        <w:numPr>
          <w:ilvl w:val="0"/>
          <w:numId w:val="543"/>
        </w:numPr>
      </w:pPr>
      <w:r w:rsidRPr="00DD0F1C">
        <w:t xml:space="preserve">TDM </w:t>
      </w:r>
      <w:r w:rsidR="007D71D6">
        <w:t xml:space="preserve">cérébral </w:t>
      </w:r>
      <w:r w:rsidR="007D71D6">
        <w:rPr>
          <w:rFonts w:ascii="Century Gothic" w:hAnsi="Century Gothic"/>
        </w:rPr>
        <w:t>→</w:t>
      </w:r>
      <w:r w:rsidR="007D71D6">
        <w:t xml:space="preserve"> éliminer AVC, masse, abcès</w:t>
      </w:r>
    </w:p>
    <w:p w:rsidR="007D4923" w:rsidRDefault="007D4923" w:rsidP="00233789">
      <w:pPr>
        <w:pStyle w:val="Sansinterligne"/>
        <w:numPr>
          <w:ilvl w:val="0"/>
          <w:numId w:val="543"/>
        </w:numPr>
      </w:pPr>
      <w:r>
        <w:t>Électroencéphalogramme (EEG)</w:t>
      </w:r>
    </w:p>
    <w:p w:rsidR="007D71D6" w:rsidRDefault="007D71D6" w:rsidP="00233789">
      <w:pPr>
        <w:pStyle w:val="Sansinterligne"/>
        <w:numPr>
          <w:ilvl w:val="0"/>
          <w:numId w:val="543"/>
        </w:numPr>
      </w:pPr>
      <w:r>
        <w:t>Dosage de la B12, recherche de métaux lourds</w:t>
      </w:r>
    </w:p>
    <w:p w:rsidR="000E3769" w:rsidRPr="000E3769" w:rsidRDefault="000E3769" w:rsidP="00233789">
      <w:pPr>
        <w:pStyle w:val="Sansinterligne"/>
        <w:numPr>
          <w:ilvl w:val="0"/>
          <w:numId w:val="543"/>
        </w:numPr>
        <w:sectPr w:rsidR="000E3769" w:rsidRPr="000E3769" w:rsidSect="002B138D">
          <w:type w:val="continuous"/>
          <w:pgSz w:w="12240" w:h="15840"/>
          <w:pgMar w:top="720" w:right="720" w:bottom="720" w:left="720" w:header="708" w:footer="708" w:gutter="0"/>
          <w:cols w:num="3" w:space="340"/>
          <w:docGrid w:linePitch="360"/>
        </w:sectPr>
      </w:pPr>
      <w:r w:rsidRPr="000E3769">
        <w:t xml:space="preserve">MMSE / Test de Folstein </w:t>
      </w:r>
      <w:r>
        <w:t>(si antérieur disponible)</w:t>
      </w:r>
    </w:p>
    <w:p w:rsidR="00935248" w:rsidRPr="000E3769" w:rsidRDefault="00935248" w:rsidP="00935248">
      <w:pPr>
        <w:pStyle w:val="Sansinterligne"/>
      </w:pPr>
    </w:p>
    <w:p w:rsidR="008D3AFC" w:rsidRPr="00935248" w:rsidRDefault="008D3AFC" w:rsidP="00DD0F1C">
      <w:pPr>
        <w:pStyle w:val="Sansinterligne"/>
        <w:rPr>
          <w:b/>
          <w:sz w:val="28"/>
          <w:szCs w:val="28"/>
        </w:rPr>
      </w:pPr>
      <w:r w:rsidRPr="00935248">
        <w:rPr>
          <w:b/>
          <w:sz w:val="28"/>
          <w:szCs w:val="28"/>
        </w:rPr>
        <w:t>Causes fréquentes</w:t>
      </w:r>
    </w:p>
    <w:p w:rsidR="008D3AFC" w:rsidRPr="005B39B1" w:rsidRDefault="008D3AFC" w:rsidP="00DD0F1C">
      <w:pPr>
        <w:pStyle w:val="Sansinterligne"/>
        <w:rPr>
          <w:sz w:val="16"/>
          <w:szCs w:val="16"/>
        </w:rPr>
      </w:pPr>
    </w:p>
    <w:tbl>
      <w:tblPr>
        <w:tblStyle w:val="Grilledutableau"/>
        <w:tblW w:w="0" w:type="auto"/>
        <w:tblLook w:val="04A0" w:firstRow="1" w:lastRow="0" w:firstColumn="1" w:lastColumn="0" w:noHBand="0" w:noVBand="1"/>
      </w:tblPr>
      <w:tblGrid>
        <w:gridCol w:w="3708"/>
        <w:gridCol w:w="3605"/>
        <w:gridCol w:w="3703"/>
      </w:tblGrid>
      <w:tr w:rsidR="001D1054" w:rsidTr="004F0C08">
        <w:tc>
          <w:tcPr>
            <w:tcW w:w="11016" w:type="dxa"/>
            <w:gridSpan w:val="3"/>
            <w:shd w:val="clear" w:color="auto" w:fill="9BBB59" w:themeFill="accent3"/>
          </w:tcPr>
          <w:p w:rsidR="001D1054" w:rsidRPr="004F0C08" w:rsidRDefault="001D1054" w:rsidP="001D1054">
            <w:pPr>
              <w:pStyle w:val="Sansinterligne"/>
              <w:jc w:val="center"/>
              <w:rPr>
                <w:b/>
              </w:rPr>
            </w:pPr>
            <w:r w:rsidRPr="004F0C08">
              <w:rPr>
                <w:b/>
              </w:rPr>
              <w:t xml:space="preserve">Causes </w:t>
            </w:r>
            <w:r w:rsidR="002E26B4">
              <w:rPr>
                <w:b/>
              </w:rPr>
              <w:t xml:space="preserve">fréquentes </w:t>
            </w:r>
            <w:r w:rsidRPr="004F0C08">
              <w:rPr>
                <w:b/>
              </w:rPr>
              <w:t>de délirium (non-exhaustif)</w:t>
            </w:r>
          </w:p>
        </w:tc>
      </w:tr>
      <w:tr w:rsidR="001D1054" w:rsidTr="004F0C08">
        <w:tc>
          <w:tcPr>
            <w:tcW w:w="3936" w:type="dxa"/>
            <w:tcBorders>
              <w:right w:val="single" w:sz="4" w:space="0" w:color="FFFFFF" w:themeColor="background1"/>
            </w:tcBorders>
          </w:tcPr>
          <w:p w:rsidR="001D1054" w:rsidRPr="004F0C08" w:rsidRDefault="001D1054" w:rsidP="00233789">
            <w:pPr>
              <w:pStyle w:val="Sansinterligne"/>
              <w:numPr>
                <w:ilvl w:val="0"/>
                <w:numId w:val="542"/>
              </w:numPr>
              <w:rPr>
                <w:highlight w:val="yellow"/>
              </w:rPr>
            </w:pPr>
            <w:r w:rsidRPr="004F0C08">
              <w:rPr>
                <w:highlight w:val="yellow"/>
              </w:rPr>
              <w:t>Méningite</w:t>
            </w:r>
          </w:p>
          <w:p w:rsidR="001D1054" w:rsidRPr="004F0C08" w:rsidRDefault="001D1054" w:rsidP="00233789">
            <w:pPr>
              <w:pStyle w:val="Sansinterligne"/>
              <w:numPr>
                <w:ilvl w:val="0"/>
                <w:numId w:val="542"/>
              </w:numPr>
              <w:rPr>
                <w:highlight w:val="yellow"/>
              </w:rPr>
            </w:pPr>
            <w:r w:rsidRPr="004F0C08">
              <w:rPr>
                <w:highlight w:val="yellow"/>
              </w:rPr>
              <w:t>AVC</w:t>
            </w:r>
          </w:p>
          <w:p w:rsidR="001D1054" w:rsidRDefault="001D1054" w:rsidP="00233789">
            <w:pPr>
              <w:pStyle w:val="Sansinterligne"/>
              <w:numPr>
                <w:ilvl w:val="0"/>
                <w:numId w:val="542"/>
              </w:numPr>
            </w:pPr>
            <w:r>
              <w:t>Tumeur cérébrale</w:t>
            </w:r>
          </w:p>
          <w:p w:rsidR="001D1054" w:rsidRDefault="001D1054" w:rsidP="00233789">
            <w:pPr>
              <w:pStyle w:val="Sansinterligne"/>
              <w:numPr>
                <w:ilvl w:val="0"/>
                <w:numId w:val="542"/>
              </w:numPr>
            </w:pPr>
            <w:r>
              <w:t>Épilepsie</w:t>
            </w:r>
          </w:p>
          <w:p w:rsidR="001D1054" w:rsidRDefault="001D1054" w:rsidP="00233789">
            <w:pPr>
              <w:pStyle w:val="Sansinterligne"/>
              <w:numPr>
                <w:ilvl w:val="0"/>
                <w:numId w:val="542"/>
              </w:numPr>
            </w:pPr>
            <w:r>
              <w:t>Trauma cérébral</w:t>
            </w:r>
          </w:p>
          <w:p w:rsidR="004F0C08" w:rsidRPr="004F0C08" w:rsidRDefault="004F0C08" w:rsidP="00233789">
            <w:pPr>
              <w:pStyle w:val="Sansinterligne"/>
              <w:numPr>
                <w:ilvl w:val="0"/>
                <w:numId w:val="542"/>
              </w:numPr>
              <w:rPr>
                <w:highlight w:val="yellow"/>
              </w:rPr>
            </w:pPr>
            <w:r w:rsidRPr="004F0C08">
              <w:rPr>
                <w:highlight w:val="yellow"/>
              </w:rPr>
              <w:t>Cystite / pyélonéphrite</w:t>
            </w:r>
          </w:p>
          <w:p w:rsidR="004F0C08" w:rsidRPr="004F0C08" w:rsidRDefault="004F0C08" w:rsidP="00233789">
            <w:pPr>
              <w:pStyle w:val="Sansinterligne"/>
              <w:numPr>
                <w:ilvl w:val="0"/>
                <w:numId w:val="542"/>
              </w:numPr>
              <w:rPr>
                <w:highlight w:val="yellow"/>
              </w:rPr>
            </w:pPr>
            <w:r w:rsidRPr="004F0C08">
              <w:rPr>
                <w:highlight w:val="yellow"/>
              </w:rPr>
              <w:t>Pneumonie</w:t>
            </w:r>
          </w:p>
          <w:p w:rsidR="001D1054" w:rsidRPr="004F0C08" w:rsidRDefault="001D1054" w:rsidP="00233789">
            <w:pPr>
              <w:pStyle w:val="Sansinterligne"/>
              <w:numPr>
                <w:ilvl w:val="0"/>
                <w:numId w:val="542"/>
              </w:numPr>
              <w:rPr>
                <w:highlight w:val="yellow"/>
              </w:rPr>
            </w:pPr>
            <w:r w:rsidRPr="004F0C08">
              <w:rPr>
                <w:highlight w:val="yellow"/>
              </w:rPr>
              <w:t>État de choc</w:t>
            </w:r>
          </w:p>
          <w:p w:rsidR="001D1054" w:rsidRPr="004F0C08" w:rsidRDefault="001D1054" w:rsidP="00233789">
            <w:pPr>
              <w:pStyle w:val="Sansinterligne"/>
              <w:numPr>
                <w:ilvl w:val="0"/>
                <w:numId w:val="542"/>
              </w:numPr>
              <w:rPr>
                <w:highlight w:val="yellow"/>
              </w:rPr>
            </w:pPr>
            <w:r w:rsidRPr="004F0C08">
              <w:rPr>
                <w:highlight w:val="yellow"/>
              </w:rPr>
              <w:t>Hypoxie</w:t>
            </w:r>
          </w:p>
          <w:p w:rsidR="001D1054" w:rsidRDefault="001D1054" w:rsidP="00233789">
            <w:pPr>
              <w:pStyle w:val="Sansinterligne"/>
              <w:numPr>
                <w:ilvl w:val="1"/>
                <w:numId w:val="542"/>
              </w:numPr>
            </w:pPr>
            <w:r>
              <w:t>Embolie pulmonaire</w:t>
            </w:r>
          </w:p>
          <w:p w:rsidR="001D1054" w:rsidRDefault="001D1054" w:rsidP="00233789">
            <w:pPr>
              <w:pStyle w:val="Sansinterligne"/>
              <w:numPr>
                <w:ilvl w:val="1"/>
                <w:numId w:val="542"/>
              </w:numPr>
            </w:pPr>
            <w:r>
              <w:t>Infarctus du myocarde</w:t>
            </w:r>
          </w:p>
          <w:p w:rsidR="001D1054" w:rsidRDefault="001D1054" w:rsidP="00233789">
            <w:pPr>
              <w:pStyle w:val="Sansinterligne"/>
              <w:numPr>
                <w:ilvl w:val="1"/>
                <w:numId w:val="542"/>
              </w:numPr>
            </w:pPr>
            <w:r>
              <w:t>Insuffisance cardiaque</w:t>
            </w:r>
          </w:p>
        </w:tc>
        <w:tc>
          <w:tcPr>
            <w:tcW w:w="3543" w:type="dxa"/>
            <w:tcBorders>
              <w:left w:val="single" w:sz="4" w:space="0" w:color="FFFFFF" w:themeColor="background1"/>
              <w:right w:val="single" w:sz="4" w:space="0" w:color="FFFFFF" w:themeColor="background1"/>
            </w:tcBorders>
          </w:tcPr>
          <w:p w:rsidR="004F0C08" w:rsidRDefault="004F0C08" w:rsidP="00233789">
            <w:pPr>
              <w:pStyle w:val="Sansinterligne"/>
              <w:numPr>
                <w:ilvl w:val="0"/>
                <w:numId w:val="542"/>
              </w:numPr>
            </w:pPr>
            <w:r>
              <w:t>Trouble thyroïdien</w:t>
            </w:r>
          </w:p>
          <w:p w:rsidR="004F0C08" w:rsidRPr="004F0C08" w:rsidRDefault="004F0C08" w:rsidP="00233789">
            <w:pPr>
              <w:pStyle w:val="Sansinterligne"/>
              <w:numPr>
                <w:ilvl w:val="0"/>
                <w:numId w:val="542"/>
              </w:numPr>
              <w:rPr>
                <w:highlight w:val="yellow"/>
              </w:rPr>
            </w:pPr>
            <w:r w:rsidRPr="004F0C08">
              <w:rPr>
                <w:highlight w:val="yellow"/>
              </w:rPr>
              <w:t>Anomalies ioniques</w:t>
            </w:r>
          </w:p>
          <w:p w:rsidR="004F0C08" w:rsidRPr="004F0C08" w:rsidRDefault="004F0C08" w:rsidP="00233789">
            <w:pPr>
              <w:pStyle w:val="Sansinterligne"/>
              <w:numPr>
                <w:ilvl w:val="0"/>
                <w:numId w:val="542"/>
              </w:numPr>
              <w:rPr>
                <w:highlight w:val="yellow"/>
              </w:rPr>
            </w:pPr>
            <w:r w:rsidRPr="004F0C08">
              <w:rPr>
                <w:highlight w:val="yellow"/>
              </w:rPr>
              <w:t>Anomalie glycémique</w:t>
            </w:r>
          </w:p>
          <w:p w:rsidR="001D1054" w:rsidRDefault="001D1054" w:rsidP="00233789">
            <w:pPr>
              <w:pStyle w:val="Sansinterligne"/>
              <w:numPr>
                <w:ilvl w:val="0"/>
                <w:numId w:val="542"/>
              </w:numPr>
            </w:pPr>
            <w:r>
              <w:t>Insuffisance rénale</w:t>
            </w:r>
          </w:p>
          <w:p w:rsidR="001D1054" w:rsidRDefault="001D1054" w:rsidP="00233789">
            <w:pPr>
              <w:pStyle w:val="Sansinterligne"/>
              <w:numPr>
                <w:ilvl w:val="0"/>
                <w:numId w:val="542"/>
              </w:numPr>
            </w:pPr>
            <w:r>
              <w:t>Insuffisance hépatique</w:t>
            </w:r>
          </w:p>
          <w:p w:rsidR="001D1054" w:rsidRDefault="001D1054" w:rsidP="00233789">
            <w:pPr>
              <w:pStyle w:val="Sansinterligne"/>
              <w:numPr>
                <w:ilvl w:val="0"/>
                <w:numId w:val="542"/>
              </w:numPr>
            </w:pPr>
            <w:r>
              <w:t>Intoxication aux métaux lourds</w:t>
            </w:r>
          </w:p>
          <w:p w:rsidR="001D1054" w:rsidRDefault="004F0C08" w:rsidP="00233789">
            <w:pPr>
              <w:pStyle w:val="Sansinterligne"/>
              <w:numPr>
                <w:ilvl w:val="0"/>
                <w:numId w:val="542"/>
              </w:numPr>
            </w:pPr>
            <w:r>
              <w:t>Carence vitaminique</w:t>
            </w:r>
          </w:p>
          <w:p w:rsidR="001D1054" w:rsidRDefault="001D1054" w:rsidP="00233789">
            <w:pPr>
              <w:pStyle w:val="Sansinterligne"/>
              <w:numPr>
                <w:ilvl w:val="1"/>
                <w:numId w:val="542"/>
              </w:numPr>
            </w:pPr>
            <w:r>
              <w:t>Cyanocobalamine (B12)</w:t>
            </w:r>
          </w:p>
          <w:p w:rsidR="001D1054" w:rsidRDefault="001D1054" w:rsidP="00233789">
            <w:pPr>
              <w:pStyle w:val="Sansinterligne"/>
              <w:numPr>
                <w:ilvl w:val="1"/>
                <w:numId w:val="542"/>
              </w:numPr>
            </w:pPr>
            <w:r>
              <w:t>Acide folique (B9)</w:t>
            </w:r>
          </w:p>
          <w:p w:rsidR="001D1054" w:rsidRDefault="001D1054" w:rsidP="00233789">
            <w:pPr>
              <w:pStyle w:val="Sansinterligne"/>
              <w:numPr>
                <w:ilvl w:val="1"/>
                <w:numId w:val="542"/>
              </w:numPr>
            </w:pPr>
            <w:r>
              <w:t>Thiamine (B1)</w:t>
            </w:r>
          </w:p>
        </w:tc>
        <w:tc>
          <w:tcPr>
            <w:tcW w:w="3537" w:type="dxa"/>
            <w:tcBorders>
              <w:left w:val="single" w:sz="4" w:space="0" w:color="FFFFFF" w:themeColor="background1"/>
            </w:tcBorders>
          </w:tcPr>
          <w:p w:rsidR="001D1054" w:rsidRPr="004F0C08" w:rsidRDefault="001D1054" w:rsidP="00233789">
            <w:pPr>
              <w:pStyle w:val="Sansinterligne"/>
              <w:numPr>
                <w:ilvl w:val="0"/>
                <w:numId w:val="542"/>
              </w:numPr>
              <w:rPr>
                <w:highlight w:val="yellow"/>
                <w:u w:val="single"/>
              </w:rPr>
            </w:pPr>
            <w:r w:rsidRPr="004F0C08">
              <w:rPr>
                <w:highlight w:val="yellow"/>
                <w:u w:val="single"/>
              </w:rPr>
              <w:t>Médicaments</w:t>
            </w:r>
          </w:p>
          <w:p w:rsidR="001D1054" w:rsidRPr="004F0C08" w:rsidRDefault="001D1054" w:rsidP="00233789">
            <w:pPr>
              <w:pStyle w:val="Sansinterligne"/>
              <w:numPr>
                <w:ilvl w:val="1"/>
                <w:numId w:val="542"/>
              </w:numPr>
              <w:rPr>
                <w:highlight w:val="yellow"/>
              </w:rPr>
            </w:pPr>
            <w:r w:rsidRPr="004F0C08">
              <w:rPr>
                <w:highlight w:val="yellow"/>
              </w:rPr>
              <w:t>Opiacés (morphine)</w:t>
            </w:r>
          </w:p>
          <w:p w:rsidR="001D1054" w:rsidRPr="004F0C08" w:rsidRDefault="001D1054" w:rsidP="00233789">
            <w:pPr>
              <w:pStyle w:val="Sansinterligne"/>
              <w:numPr>
                <w:ilvl w:val="1"/>
                <w:numId w:val="542"/>
              </w:numPr>
              <w:rPr>
                <w:highlight w:val="yellow"/>
              </w:rPr>
            </w:pPr>
            <w:r w:rsidRPr="004F0C08">
              <w:rPr>
                <w:highlight w:val="yellow"/>
              </w:rPr>
              <w:t>Anesthésiants</w:t>
            </w:r>
          </w:p>
          <w:p w:rsidR="001D1054" w:rsidRPr="004F0C08" w:rsidRDefault="001D1054" w:rsidP="00233789">
            <w:pPr>
              <w:pStyle w:val="Sansinterligne"/>
              <w:numPr>
                <w:ilvl w:val="1"/>
                <w:numId w:val="542"/>
              </w:numPr>
              <w:rPr>
                <w:highlight w:val="yellow"/>
              </w:rPr>
            </w:pPr>
            <w:r w:rsidRPr="004F0C08">
              <w:rPr>
                <w:highlight w:val="yellow"/>
              </w:rPr>
              <w:t>Anticholinergiques</w:t>
            </w:r>
          </w:p>
          <w:p w:rsidR="001D1054" w:rsidRPr="004F0C08" w:rsidRDefault="001D1054" w:rsidP="00233789">
            <w:pPr>
              <w:pStyle w:val="Sansinterligne"/>
              <w:numPr>
                <w:ilvl w:val="1"/>
                <w:numId w:val="542"/>
              </w:numPr>
              <w:rPr>
                <w:highlight w:val="yellow"/>
              </w:rPr>
            </w:pPr>
            <w:r w:rsidRPr="004F0C08">
              <w:rPr>
                <w:highlight w:val="yellow"/>
              </w:rPr>
              <w:t>Agents dopaminergiques</w:t>
            </w:r>
          </w:p>
          <w:p w:rsidR="001D1054" w:rsidRPr="004F0C08" w:rsidRDefault="001D1054" w:rsidP="00233789">
            <w:pPr>
              <w:pStyle w:val="Sansinterligne"/>
              <w:numPr>
                <w:ilvl w:val="1"/>
                <w:numId w:val="542"/>
              </w:numPr>
              <w:rPr>
                <w:highlight w:val="yellow"/>
              </w:rPr>
            </w:pPr>
            <w:r w:rsidRPr="004F0C08">
              <w:rPr>
                <w:highlight w:val="yellow"/>
              </w:rPr>
              <w:t>Insuline</w:t>
            </w:r>
          </w:p>
          <w:p w:rsidR="001D1054" w:rsidRPr="004F0C08" w:rsidRDefault="001D1054" w:rsidP="00233789">
            <w:pPr>
              <w:pStyle w:val="Sansinterligne"/>
              <w:numPr>
                <w:ilvl w:val="1"/>
                <w:numId w:val="542"/>
              </w:numPr>
              <w:rPr>
                <w:highlight w:val="yellow"/>
              </w:rPr>
            </w:pPr>
            <w:r w:rsidRPr="004F0C08">
              <w:rPr>
                <w:highlight w:val="yellow"/>
              </w:rPr>
              <w:t>Antibiotiques (quinolones)</w:t>
            </w:r>
          </w:p>
          <w:p w:rsidR="001D1054" w:rsidRPr="004F0C08" w:rsidRDefault="001D1054" w:rsidP="00233789">
            <w:pPr>
              <w:pStyle w:val="Sansinterligne"/>
              <w:numPr>
                <w:ilvl w:val="1"/>
                <w:numId w:val="542"/>
              </w:numPr>
              <w:rPr>
                <w:highlight w:val="yellow"/>
              </w:rPr>
            </w:pPr>
            <w:r w:rsidRPr="004F0C08">
              <w:rPr>
                <w:highlight w:val="yellow"/>
              </w:rPr>
              <w:t>AINS</w:t>
            </w:r>
          </w:p>
          <w:p w:rsidR="001D1054" w:rsidRPr="004F0C08" w:rsidRDefault="001D1054" w:rsidP="00233789">
            <w:pPr>
              <w:pStyle w:val="Sansinterligne"/>
              <w:numPr>
                <w:ilvl w:val="0"/>
                <w:numId w:val="542"/>
              </w:numPr>
              <w:rPr>
                <w:highlight w:val="yellow"/>
                <w:u w:val="single"/>
              </w:rPr>
            </w:pPr>
            <w:r w:rsidRPr="004F0C08">
              <w:rPr>
                <w:highlight w:val="yellow"/>
                <w:u w:val="single"/>
              </w:rPr>
              <w:t xml:space="preserve">Sevrage  </w:t>
            </w:r>
          </w:p>
          <w:p w:rsidR="001D1054" w:rsidRPr="004F0C08" w:rsidRDefault="001D1054" w:rsidP="00233789">
            <w:pPr>
              <w:pStyle w:val="Sansinterligne"/>
              <w:numPr>
                <w:ilvl w:val="1"/>
                <w:numId w:val="542"/>
              </w:numPr>
              <w:rPr>
                <w:highlight w:val="yellow"/>
              </w:rPr>
            </w:pPr>
            <w:r w:rsidRPr="004F0C08">
              <w:rPr>
                <w:highlight w:val="yellow"/>
              </w:rPr>
              <w:t>Éthanol</w:t>
            </w:r>
          </w:p>
          <w:p w:rsidR="001D1054" w:rsidRDefault="001D1054" w:rsidP="00233789">
            <w:pPr>
              <w:pStyle w:val="Sansinterligne"/>
              <w:numPr>
                <w:ilvl w:val="1"/>
                <w:numId w:val="542"/>
              </w:numPr>
            </w:pPr>
            <w:r>
              <w:t xml:space="preserve">Barbituriques </w:t>
            </w:r>
          </w:p>
          <w:p w:rsidR="001D1054" w:rsidRDefault="001D1054" w:rsidP="00233789">
            <w:pPr>
              <w:pStyle w:val="Sansinterligne"/>
              <w:numPr>
                <w:ilvl w:val="1"/>
                <w:numId w:val="542"/>
              </w:numPr>
            </w:pPr>
            <w:r>
              <w:t>Benzodiazépines</w:t>
            </w:r>
          </w:p>
        </w:tc>
      </w:tr>
    </w:tbl>
    <w:p w:rsidR="005B39B1" w:rsidRPr="005B39B1" w:rsidRDefault="005B39B1" w:rsidP="00DD0F1C">
      <w:pPr>
        <w:pStyle w:val="Sansinterligne"/>
        <w:rPr>
          <w:b/>
          <w:sz w:val="16"/>
          <w:szCs w:val="16"/>
          <w:u w:val="single"/>
        </w:rPr>
      </w:pPr>
    </w:p>
    <w:p w:rsidR="0032785C" w:rsidRPr="005B39B1" w:rsidRDefault="0032785C" w:rsidP="00DD0F1C">
      <w:pPr>
        <w:pStyle w:val="Sansinterligne"/>
        <w:rPr>
          <w:b/>
          <w:u w:val="single"/>
        </w:rPr>
      </w:pPr>
      <w:r w:rsidRPr="00317AE6">
        <w:rPr>
          <w:b/>
          <w:highlight w:val="yellow"/>
          <w:u w:val="single"/>
        </w:rPr>
        <w:t>Cas du sevrage à l’alcool</w:t>
      </w:r>
      <w:r w:rsidR="00780ED6">
        <w:rPr>
          <w:b/>
          <w:highlight w:val="yellow"/>
          <w:u w:val="single"/>
        </w:rPr>
        <w:t xml:space="preserve">  et </w:t>
      </w:r>
      <w:r w:rsidRPr="00317AE6">
        <w:rPr>
          <w:b/>
          <w:highlight w:val="yellow"/>
          <w:u w:val="single"/>
        </w:rPr>
        <w:t>d</w:t>
      </w:r>
      <w:r w:rsidR="00780ED6">
        <w:rPr>
          <w:b/>
          <w:highlight w:val="yellow"/>
          <w:u w:val="single"/>
        </w:rPr>
        <w:t>élirium tremens</w:t>
      </w:r>
    </w:p>
    <w:p w:rsidR="00B26281" w:rsidRPr="005B39B1" w:rsidRDefault="00B26281" w:rsidP="00DD0F1C">
      <w:pPr>
        <w:pStyle w:val="Sansinterligne"/>
        <w:rPr>
          <w:sz w:val="16"/>
          <w:szCs w:val="16"/>
        </w:rPr>
      </w:pPr>
    </w:p>
    <w:p w:rsidR="005B39B1" w:rsidRDefault="005B39B1" w:rsidP="00233789">
      <w:pPr>
        <w:pStyle w:val="Sansinterligne"/>
        <w:numPr>
          <w:ilvl w:val="0"/>
          <w:numId w:val="544"/>
        </w:numPr>
        <w:sectPr w:rsidR="005B39B1" w:rsidSect="00217865">
          <w:type w:val="continuous"/>
          <w:pgSz w:w="12240" w:h="15840"/>
          <w:pgMar w:top="720" w:right="720" w:bottom="720" w:left="720" w:header="708" w:footer="708" w:gutter="0"/>
          <w:cols w:space="708"/>
          <w:docGrid w:linePitch="360"/>
        </w:sectPr>
      </w:pPr>
    </w:p>
    <w:p w:rsidR="005B39B1" w:rsidRPr="00317AE6" w:rsidRDefault="005B39B1" w:rsidP="00233789">
      <w:pPr>
        <w:pStyle w:val="Sansinterligne"/>
        <w:numPr>
          <w:ilvl w:val="0"/>
          <w:numId w:val="544"/>
        </w:numPr>
        <w:rPr>
          <w:highlight w:val="yellow"/>
        </w:rPr>
      </w:pPr>
      <w:r w:rsidRPr="00317AE6">
        <w:rPr>
          <w:highlight w:val="yellow"/>
        </w:rPr>
        <w:t>Peut survenir 48-96 après la dernière consommation et durer jusqu’à 5 jours</w:t>
      </w:r>
    </w:p>
    <w:p w:rsidR="005B39B1" w:rsidRDefault="005B39B1" w:rsidP="00233789">
      <w:pPr>
        <w:pStyle w:val="Sansinterligne"/>
        <w:numPr>
          <w:ilvl w:val="0"/>
          <w:numId w:val="544"/>
        </w:numPr>
      </w:pPr>
      <w:r>
        <w:t>Il faut toujours l’exclure ou le traiter, puisque peut-être mortel.</w:t>
      </w:r>
    </w:p>
    <w:p w:rsidR="00317AE6" w:rsidRDefault="00317AE6" w:rsidP="00317AE6">
      <w:pPr>
        <w:pStyle w:val="Sansinterligne"/>
        <w:ind w:left="720"/>
        <w:rPr>
          <w:u w:val="single"/>
        </w:rPr>
      </w:pPr>
    </w:p>
    <w:p w:rsidR="005B39B1" w:rsidRPr="00317AE6" w:rsidRDefault="005B39B1" w:rsidP="00233789">
      <w:pPr>
        <w:pStyle w:val="Sansinterligne"/>
        <w:numPr>
          <w:ilvl w:val="0"/>
          <w:numId w:val="544"/>
        </w:numPr>
        <w:rPr>
          <w:highlight w:val="yellow"/>
          <w:u w:val="single"/>
        </w:rPr>
      </w:pPr>
      <w:r w:rsidRPr="00317AE6">
        <w:rPr>
          <w:highlight w:val="yellow"/>
          <w:u w:val="single"/>
        </w:rPr>
        <w:t>En plus des symptômes délirieux mentionnés:</w:t>
      </w:r>
    </w:p>
    <w:p w:rsidR="005B39B1" w:rsidRPr="00317AE6" w:rsidRDefault="005B39B1" w:rsidP="00233789">
      <w:pPr>
        <w:pStyle w:val="Sansinterligne"/>
        <w:numPr>
          <w:ilvl w:val="0"/>
          <w:numId w:val="545"/>
        </w:numPr>
        <w:rPr>
          <w:highlight w:val="yellow"/>
        </w:rPr>
      </w:pPr>
      <w:r w:rsidRPr="00317AE6">
        <w:rPr>
          <w:highlight w:val="yellow"/>
        </w:rPr>
        <w:t xml:space="preserve">Tremblements </w:t>
      </w:r>
      <w:r w:rsidRPr="00317AE6">
        <w:rPr>
          <w:rFonts w:ascii="Century Gothic" w:hAnsi="Century Gothic"/>
          <w:highlight w:val="yellow"/>
        </w:rPr>
        <w:t xml:space="preserve">→ </w:t>
      </w:r>
      <w:r w:rsidRPr="00317AE6">
        <w:rPr>
          <w:highlight w:val="yellow"/>
        </w:rPr>
        <w:t>convulsions tonico-cloniques</w:t>
      </w:r>
    </w:p>
    <w:p w:rsidR="005B39B1" w:rsidRPr="00317AE6" w:rsidRDefault="005B39B1" w:rsidP="00233789">
      <w:pPr>
        <w:pStyle w:val="Sansinterligne"/>
        <w:numPr>
          <w:ilvl w:val="0"/>
          <w:numId w:val="545"/>
        </w:numPr>
        <w:rPr>
          <w:highlight w:val="yellow"/>
        </w:rPr>
      </w:pPr>
      <w:r w:rsidRPr="00317AE6">
        <w:rPr>
          <w:highlight w:val="yellow"/>
        </w:rPr>
        <w:t>Anxiété, agitation</w:t>
      </w:r>
    </w:p>
    <w:p w:rsidR="005B39B1" w:rsidRPr="00317AE6" w:rsidRDefault="005B39B1" w:rsidP="00233789">
      <w:pPr>
        <w:pStyle w:val="Sansinterligne"/>
        <w:numPr>
          <w:ilvl w:val="0"/>
          <w:numId w:val="545"/>
        </w:numPr>
        <w:rPr>
          <w:highlight w:val="yellow"/>
        </w:rPr>
      </w:pPr>
      <w:r w:rsidRPr="00317AE6">
        <w:rPr>
          <w:highlight w:val="yellow"/>
        </w:rPr>
        <w:t>Diaphorèse, fièvre</w:t>
      </w:r>
    </w:p>
    <w:p w:rsidR="005B39B1" w:rsidRPr="00317AE6" w:rsidRDefault="005B39B1" w:rsidP="00233789">
      <w:pPr>
        <w:pStyle w:val="Sansinterligne"/>
        <w:numPr>
          <w:ilvl w:val="0"/>
          <w:numId w:val="545"/>
        </w:numPr>
        <w:rPr>
          <w:highlight w:val="yellow"/>
        </w:rPr>
        <w:sectPr w:rsidR="005B39B1" w:rsidRPr="00317AE6" w:rsidSect="005B39B1">
          <w:type w:val="continuous"/>
          <w:pgSz w:w="12240" w:h="15840"/>
          <w:pgMar w:top="720" w:right="720" w:bottom="720" w:left="720" w:header="708" w:footer="708" w:gutter="0"/>
          <w:cols w:num="2" w:space="57"/>
          <w:docGrid w:linePitch="360"/>
        </w:sectPr>
      </w:pPr>
      <w:r w:rsidRPr="00317AE6">
        <w:rPr>
          <w:highlight w:val="yellow"/>
        </w:rPr>
        <w:t>Hyper</w:t>
      </w:r>
      <w:r w:rsidR="00317AE6" w:rsidRPr="00317AE6">
        <w:rPr>
          <w:highlight w:val="yellow"/>
        </w:rPr>
        <w:t>tension, tachycardie, agitation</w:t>
      </w:r>
    </w:p>
    <w:p w:rsidR="005B39B1" w:rsidRDefault="005B39B1" w:rsidP="00DD0F1C">
      <w:pPr>
        <w:pStyle w:val="Sansinterligne"/>
        <w:rPr>
          <w:b/>
          <w:sz w:val="28"/>
          <w:szCs w:val="28"/>
        </w:rPr>
        <w:sectPr w:rsidR="005B39B1" w:rsidSect="00217865">
          <w:type w:val="continuous"/>
          <w:pgSz w:w="12240" w:h="15840"/>
          <w:pgMar w:top="720" w:right="720" w:bottom="720" w:left="720" w:header="708" w:footer="708" w:gutter="0"/>
          <w:cols w:space="708"/>
          <w:docGrid w:linePitch="360"/>
        </w:sectPr>
      </w:pPr>
    </w:p>
    <w:p w:rsidR="00F959C3" w:rsidRPr="00B26281" w:rsidRDefault="00F959C3" w:rsidP="00DD0F1C">
      <w:pPr>
        <w:pStyle w:val="Sansinterligne"/>
        <w:rPr>
          <w:b/>
          <w:sz w:val="28"/>
          <w:szCs w:val="28"/>
        </w:rPr>
      </w:pPr>
      <w:r w:rsidRPr="00B26281">
        <w:rPr>
          <w:b/>
          <w:sz w:val="28"/>
          <w:szCs w:val="28"/>
        </w:rPr>
        <w:t>Prise en charge</w:t>
      </w:r>
    </w:p>
    <w:p w:rsidR="00B26281" w:rsidRPr="00DD0F1C" w:rsidRDefault="00B26281" w:rsidP="00DD0F1C">
      <w:pPr>
        <w:pStyle w:val="Sansinterligne"/>
      </w:pPr>
    </w:p>
    <w:p w:rsidR="00F959C3" w:rsidRPr="00375C6D" w:rsidRDefault="00F959C3" w:rsidP="00233789">
      <w:pPr>
        <w:pStyle w:val="Sansinterligne"/>
        <w:numPr>
          <w:ilvl w:val="0"/>
          <w:numId w:val="547"/>
        </w:numPr>
        <w:rPr>
          <w:highlight w:val="yellow"/>
        </w:rPr>
      </w:pPr>
      <w:r w:rsidRPr="00375C6D">
        <w:rPr>
          <w:highlight w:val="yellow"/>
        </w:rPr>
        <w:t>Traiter la cause sous-jacente</w:t>
      </w:r>
    </w:p>
    <w:p w:rsidR="00780ED6" w:rsidRPr="00375C6D" w:rsidRDefault="00BF47F8" w:rsidP="00233789">
      <w:pPr>
        <w:pStyle w:val="Sansinterligne"/>
        <w:numPr>
          <w:ilvl w:val="0"/>
          <w:numId w:val="547"/>
        </w:numPr>
        <w:rPr>
          <w:highlight w:val="yellow"/>
        </w:rPr>
      </w:pPr>
      <w:r w:rsidRPr="00375C6D">
        <w:rPr>
          <w:highlight w:val="yellow"/>
        </w:rPr>
        <w:t>Maintenir l’h</w:t>
      </w:r>
      <w:r w:rsidR="00780ED6" w:rsidRPr="00375C6D">
        <w:rPr>
          <w:highlight w:val="yellow"/>
        </w:rPr>
        <w:t xml:space="preserve">ydratation et </w:t>
      </w:r>
      <w:r w:rsidRPr="00375C6D">
        <w:rPr>
          <w:highlight w:val="yellow"/>
        </w:rPr>
        <w:t xml:space="preserve">la </w:t>
      </w:r>
      <w:r w:rsidR="00780ED6" w:rsidRPr="00375C6D">
        <w:rPr>
          <w:highlight w:val="yellow"/>
        </w:rPr>
        <w:t>nutrition</w:t>
      </w:r>
    </w:p>
    <w:p w:rsidR="00BF47F8" w:rsidRPr="00375C6D" w:rsidRDefault="00BF47F8" w:rsidP="00233789">
      <w:pPr>
        <w:pStyle w:val="Sansinterligne"/>
        <w:numPr>
          <w:ilvl w:val="0"/>
          <w:numId w:val="547"/>
        </w:numPr>
        <w:rPr>
          <w:highlight w:val="yellow"/>
        </w:rPr>
      </w:pPr>
      <w:r w:rsidRPr="00375C6D">
        <w:rPr>
          <w:highlight w:val="yellow"/>
        </w:rPr>
        <w:t>Expectative</w:t>
      </w:r>
    </w:p>
    <w:p w:rsidR="00BF47F8" w:rsidRPr="00375C6D" w:rsidRDefault="00BF47F8" w:rsidP="00BF47F8">
      <w:pPr>
        <w:pStyle w:val="Sansinterligne"/>
        <w:ind w:left="720"/>
        <w:rPr>
          <w:highlight w:val="yellow"/>
        </w:rPr>
      </w:pPr>
    </w:p>
    <w:p w:rsidR="00F959C3" w:rsidRPr="00375C6D" w:rsidRDefault="00F959C3" w:rsidP="00233789">
      <w:pPr>
        <w:pStyle w:val="Sansinterligne"/>
        <w:numPr>
          <w:ilvl w:val="0"/>
          <w:numId w:val="547"/>
        </w:numPr>
        <w:rPr>
          <w:b/>
          <w:highlight w:val="yellow"/>
        </w:rPr>
      </w:pPr>
      <w:r w:rsidRPr="00375C6D">
        <w:rPr>
          <w:b/>
          <w:highlight w:val="yellow"/>
        </w:rPr>
        <w:t xml:space="preserve">Traitement de l’agitation </w:t>
      </w:r>
    </w:p>
    <w:p w:rsidR="00BF47F8" w:rsidRPr="00375C6D" w:rsidRDefault="00BF47F8" w:rsidP="00233789">
      <w:pPr>
        <w:pStyle w:val="Sansinterligne"/>
        <w:numPr>
          <w:ilvl w:val="1"/>
          <w:numId w:val="547"/>
        </w:numPr>
        <w:rPr>
          <w:highlight w:val="yellow"/>
        </w:rPr>
      </w:pPr>
      <w:r w:rsidRPr="00375C6D">
        <w:rPr>
          <w:highlight w:val="yellow"/>
        </w:rPr>
        <w:t>Petites doses d’antipsychotique (ex : halopéridol 1 mg PO DIE)</w:t>
      </w:r>
    </w:p>
    <w:p w:rsidR="00BF47F8" w:rsidRPr="00375C6D" w:rsidRDefault="00BF47F8" w:rsidP="00233789">
      <w:pPr>
        <w:pStyle w:val="Sansinterligne"/>
        <w:numPr>
          <w:ilvl w:val="1"/>
          <w:numId w:val="547"/>
        </w:numPr>
        <w:rPr>
          <w:highlight w:val="yellow"/>
        </w:rPr>
      </w:pPr>
      <w:r w:rsidRPr="00375C6D">
        <w:rPr>
          <w:highlight w:val="yellow"/>
        </w:rPr>
        <w:t>Contentions si patient violent (éviter si possible)</w:t>
      </w:r>
    </w:p>
    <w:p w:rsidR="00BF47F8" w:rsidRDefault="00BF47F8" w:rsidP="00780ED6">
      <w:pPr>
        <w:pStyle w:val="Sansinterligne"/>
      </w:pPr>
    </w:p>
    <w:p w:rsidR="00780ED6" w:rsidRPr="00375C6D" w:rsidRDefault="00780ED6" w:rsidP="00233789">
      <w:pPr>
        <w:pStyle w:val="Sansinterligne"/>
        <w:numPr>
          <w:ilvl w:val="0"/>
          <w:numId w:val="547"/>
        </w:numPr>
        <w:rPr>
          <w:b/>
          <w:highlight w:val="yellow"/>
        </w:rPr>
      </w:pPr>
      <w:r w:rsidRPr="00375C6D">
        <w:rPr>
          <w:b/>
          <w:highlight w:val="yellow"/>
        </w:rPr>
        <w:t xml:space="preserve">Si </w:t>
      </w:r>
      <w:r w:rsidR="00BF47F8" w:rsidRPr="00375C6D">
        <w:rPr>
          <w:b/>
          <w:highlight w:val="yellow"/>
        </w:rPr>
        <w:t>dé</w:t>
      </w:r>
      <w:r w:rsidRPr="00375C6D">
        <w:rPr>
          <w:b/>
          <w:highlight w:val="yellow"/>
        </w:rPr>
        <w:t xml:space="preserve">lirium </w:t>
      </w:r>
      <w:r w:rsidR="00BF47F8" w:rsidRPr="00375C6D">
        <w:rPr>
          <w:b/>
          <w:highlight w:val="yellow"/>
        </w:rPr>
        <w:t>t</w:t>
      </w:r>
      <w:r w:rsidRPr="00375C6D">
        <w:rPr>
          <w:b/>
          <w:highlight w:val="yellow"/>
        </w:rPr>
        <w:t>remens</w:t>
      </w:r>
    </w:p>
    <w:p w:rsidR="00780ED6" w:rsidRPr="00375C6D" w:rsidRDefault="00780ED6" w:rsidP="00233789">
      <w:pPr>
        <w:pStyle w:val="Sansinterligne"/>
        <w:numPr>
          <w:ilvl w:val="1"/>
          <w:numId w:val="547"/>
        </w:numPr>
        <w:rPr>
          <w:highlight w:val="yellow"/>
        </w:rPr>
      </w:pPr>
      <w:r w:rsidRPr="00375C6D">
        <w:rPr>
          <w:highlight w:val="yellow"/>
        </w:rPr>
        <w:t>Assurer un sevrage graduel</w:t>
      </w:r>
    </w:p>
    <w:p w:rsidR="00780ED6" w:rsidRPr="00375C6D" w:rsidRDefault="00780ED6" w:rsidP="00233789">
      <w:pPr>
        <w:pStyle w:val="Sansinterligne"/>
        <w:numPr>
          <w:ilvl w:val="1"/>
          <w:numId w:val="547"/>
        </w:numPr>
        <w:rPr>
          <w:highlight w:val="yellow"/>
        </w:rPr>
      </w:pPr>
      <w:r w:rsidRPr="00375C6D">
        <w:rPr>
          <w:highlight w:val="yellow"/>
        </w:rPr>
        <w:t xml:space="preserve">1 consommation ROH </w:t>
      </w:r>
      <w:r w:rsidRPr="00375C6D">
        <w:rPr>
          <w:rFonts w:ascii="Century Gothic" w:hAnsi="Century Gothic"/>
          <w:highlight w:val="yellow"/>
        </w:rPr>
        <w:t>≈</w:t>
      </w:r>
      <w:r w:rsidRPr="00375C6D">
        <w:rPr>
          <w:highlight w:val="yellow"/>
        </w:rPr>
        <w:t xml:space="preserve"> Lorazepam 0,5 mg PO q 6h puis titrer en réduisant</w:t>
      </w:r>
    </w:p>
    <w:p w:rsidR="00780ED6" w:rsidRPr="00375C6D" w:rsidRDefault="00780ED6" w:rsidP="00233789">
      <w:pPr>
        <w:pStyle w:val="Sansinterligne"/>
        <w:numPr>
          <w:ilvl w:val="1"/>
          <w:numId w:val="547"/>
        </w:numPr>
        <w:rPr>
          <w:highlight w:val="yellow"/>
        </w:rPr>
      </w:pPr>
      <w:r w:rsidRPr="00375C6D">
        <w:rPr>
          <w:highlight w:val="yellow"/>
        </w:rPr>
        <w:t>Si convulsions ou tremblements, on peut débuter IV</w:t>
      </w:r>
    </w:p>
    <w:p w:rsidR="00BF47F8" w:rsidRPr="00375C6D" w:rsidRDefault="00BF47F8" w:rsidP="00233789">
      <w:pPr>
        <w:pStyle w:val="Sansinterligne"/>
        <w:numPr>
          <w:ilvl w:val="1"/>
          <w:numId w:val="547"/>
        </w:numPr>
        <w:rPr>
          <w:highlight w:val="yellow"/>
        </w:rPr>
      </w:pPr>
      <w:r w:rsidRPr="00375C6D">
        <w:rPr>
          <w:highlight w:val="yellow"/>
        </w:rPr>
        <w:t>Thiamine 100 mg IV/IM x quelques jours puis 100 mg PO DIE ad réplétion</w:t>
      </w:r>
    </w:p>
    <w:p w:rsidR="00780ED6" w:rsidRPr="00DD0F1C" w:rsidRDefault="00780ED6" w:rsidP="00780ED6">
      <w:pPr>
        <w:pStyle w:val="Sansinterligne"/>
      </w:pPr>
    </w:p>
    <w:p w:rsidR="00F959C3" w:rsidRPr="00375C6D" w:rsidRDefault="00F959C3" w:rsidP="00233789">
      <w:pPr>
        <w:pStyle w:val="Sansinterligne"/>
        <w:numPr>
          <w:ilvl w:val="0"/>
          <w:numId w:val="547"/>
        </w:numPr>
        <w:rPr>
          <w:b/>
          <w:highlight w:val="yellow"/>
        </w:rPr>
      </w:pPr>
      <w:r w:rsidRPr="00375C6D">
        <w:rPr>
          <w:b/>
          <w:highlight w:val="yellow"/>
        </w:rPr>
        <w:t xml:space="preserve">Aménagement </w:t>
      </w:r>
      <w:r w:rsidR="00780ED6" w:rsidRPr="00375C6D">
        <w:rPr>
          <w:b/>
          <w:highlight w:val="yellow"/>
        </w:rPr>
        <w:t>de l’</w:t>
      </w:r>
      <w:r w:rsidRPr="00375C6D">
        <w:rPr>
          <w:b/>
          <w:highlight w:val="yellow"/>
        </w:rPr>
        <w:t>environnemen</w:t>
      </w:r>
      <w:r w:rsidR="00780ED6" w:rsidRPr="00375C6D">
        <w:rPr>
          <w:b/>
          <w:highlight w:val="yellow"/>
        </w:rPr>
        <w:t>t</w:t>
      </w:r>
    </w:p>
    <w:p w:rsidR="00780ED6" w:rsidRDefault="00780ED6" w:rsidP="00233789">
      <w:pPr>
        <w:pStyle w:val="Sansinterligne"/>
        <w:numPr>
          <w:ilvl w:val="1"/>
          <w:numId w:val="547"/>
        </w:numPr>
      </w:pPr>
      <w:r>
        <w:t>Milieu calme et apaisant</w:t>
      </w:r>
    </w:p>
    <w:p w:rsidR="00780ED6" w:rsidRDefault="00780ED6" w:rsidP="00233789">
      <w:pPr>
        <w:pStyle w:val="Sansinterligne"/>
        <w:numPr>
          <w:ilvl w:val="1"/>
          <w:numId w:val="547"/>
        </w:numPr>
      </w:pPr>
      <w:r>
        <w:t>Éclairage adéquat</w:t>
      </w:r>
    </w:p>
    <w:p w:rsidR="00780ED6" w:rsidRDefault="00780ED6" w:rsidP="00233789">
      <w:pPr>
        <w:pStyle w:val="Sansinterligne"/>
        <w:numPr>
          <w:ilvl w:val="1"/>
          <w:numId w:val="547"/>
        </w:numPr>
      </w:pPr>
      <w:r>
        <w:t xml:space="preserve">Appareil auditif ou </w:t>
      </w:r>
      <w:r>
        <w:rPr>
          <w:rFonts w:ascii="Century Gothic" w:hAnsi="Century Gothic"/>
        </w:rPr>
        <w:t>↑</w:t>
      </w:r>
      <w:r>
        <w:t xml:space="preserve"> ton de voix si surdité</w:t>
      </w:r>
    </w:p>
    <w:p w:rsidR="00BF47F8" w:rsidRDefault="00BF47F8" w:rsidP="00233789">
      <w:pPr>
        <w:pStyle w:val="Sansinterligne"/>
        <w:numPr>
          <w:ilvl w:val="1"/>
          <w:numId w:val="547"/>
        </w:numPr>
      </w:pPr>
      <w:r>
        <w:t>Calendrier, horloge pour s’orienter</w:t>
      </w:r>
    </w:p>
    <w:p w:rsidR="00BF47F8" w:rsidRDefault="00BF47F8" w:rsidP="00233789">
      <w:pPr>
        <w:pStyle w:val="Sansinterligne"/>
        <w:numPr>
          <w:ilvl w:val="1"/>
          <w:numId w:val="547"/>
        </w:numPr>
      </w:pPr>
      <w:r>
        <w:t>Présence de famille si possible</w:t>
      </w:r>
    </w:p>
    <w:p w:rsidR="00BF47F8" w:rsidRDefault="00BF47F8" w:rsidP="00233789">
      <w:pPr>
        <w:pStyle w:val="Sansinterligne"/>
        <w:numPr>
          <w:ilvl w:val="1"/>
          <w:numId w:val="547"/>
        </w:numPr>
      </w:pPr>
      <w:r>
        <w:t>Surveillance régulière par le personnel infirmier</w:t>
      </w:r>
    </w:p>
    <w:p w:rsidR="00BF47F8" w:rsidRPr="00DD0F1C" w:rsidRDefault="00BF47F8" w:rsidP="00DD0F1C">
      <w:pPr>
        <w:pStyle w:val="Sansinterligne"/>
      </w:pPr>
    </w:p>
    <w:p w:rsidR="00DD0F1C" w:rsidRPr="00BF47F8" w:rsidRDefault="00F959C3" w:rsidP="00233789">
      <w:pPr>
        <w:pStyle w:val="Sansinterligne"/>
        <w:numPr>
          <w:ilvl w:val="0"/>
          <w:numId w:val="547"/>
        </w:numPr>
        <w:rPr>
          <w:b/>
        </w:rPr>
      </w:pPr>
      <w:r w:rsidRPr="00BF47F8">
        <w:rPr>
          <w:b/>
        </w:rPr>
        <w:t>Déterminer le mandataire ou le titulaire du consentement substitué</w:t>
      </w:r>
    </w:p>
    <w:p w:rsidR="00BF47F8" w:rsidRDefault="00BF47F8" w:rsidP="00233789">
      <w:pPr>
        <w:pStyle w:val="Sansinterligne"/>
        <w:numPr>
          <w:ilvl w:val="1"/>
          <w:numId w:val="547"/>
        </w:numPr>
      </w:pPr>
      <w:r>
        <w:t>Si mandat disponible</w:t>
      </w:r>
    </w:p>
    <w:p w:rsidR="00BF47F8" w:rsidRDefault="00BF47F8" w:rsidP="00233789">
      <w:pPr>
        <w:pStyle w:val="Sansinterligne"/>
        <w:numPr>
          <w:ilvl w:val="1"/>
          <w:numId w:val="547"/>
        </w:numPr>
      </w:pPr>
      <w:r>
        <w:t>Sinon conjoint,  enfant ou proche avec intérêt particulier</w:t>
      </w:r>
    </w:p>
    <w:p w:rsidR="00BF47F8" w:rsidRDefault="00BF47F8" w:rsidP="00DD0F1C">
      <w:pPr>
        <w:pStyle w:val="Sansinterligne"/>
      </w:pPr>
    </w:p>
    <w:p w:rsidR="004E2127" w:rsidRDefault="004E2127" w:rsidP="004E2127">
      <w:pPr>
        <w:pStyle w:val="Sansinterligne"/>
        <w:ind w:left="720"/>
      </w:pPr>
    </w:p>
    <w:p w:rsidR="004E2127" w:rsidRDefault="004E2127" w:rsidP="004E2127">
      <w:pPr>
        <w:pStyle w:val="Sansinterligne"/>
        <w:ind w:left="720"/>
      </w:pPr>
    </w:p>
    <w:p w:rsidR="00BF47F8" w:rsidRPr="004E2127" w:rsidRDefault="00BF47F8" w:rsidP="004E2127">
      <w:pPr>
        <w:pStyle w:val="Sansinterligne"/>
        <w:ind w:left="720"/>
        <w:jc w:val="center"/>
        <w:rPr>
          <w:u w:val="single"/>
        </w:rPr>
      </w:pPr>
      <w:r w:rsidRPr="004E2127">
        <w:rPr>
          <w:u w:val="single"/>
        </w:rPr>
        <w:t>Taux de mortalité jusqu’à 50% dans l’année suivant un épisode de délirium</w:t>
      </w:r>
    </w:p>
    <w:p w:rsidR="00DD0F1C" w:rsidRPr="00DD0F1C" w:rsidRDefault="00CC28BC" w:rsidP="00DD0F1C">
      <w:pPr>
        <w:pStyle w:val="Sansinterligne"/>
      </w:pPr>
      <w:r>
        <w:rPr>
          <w:rFonts w:cs="Times New Roman"/>
          <w:noProof/>
          <w:color w:val="548DD4" w:themeColor="text2" w:themeTint="99"/>
          <w:lang w:eastAsia="fr-CA"/>
        </w:rPr>
        <w:drawing>
          <wp:anchor distT="0" distB="0" distL="114300" distR="114300" simplePos="0" relativeHeight="251808768" behindDoc="0" locked="0" layoutInCell="1" allowOverlap="1" wp14:anchorId="0E132F6F" wp14:editId="110F6189">
            <wp:simplePos x="0" y="0"/>
            <wp:positionH relativeFrom="column">
              <wp:posOffset>1624330</wp:posOffset>
            </wp:positionH>
            <wp:positionV relativeFrom="paragraph">
              <wp:posOffset>117475</wp:posOffset>
            </wp:positionV>
            <wp:extent cx="3595370" cy="2489835"/>
            <wp:effectExtent l="0" t="0" r="5080" b="5715"/>
            <wp:wrapNone/>
            <wp:docPr id="313" name="Imag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élirium prévalence.PNG"/>
                    <pic:cNvPicPr/>
                  </pic:nvPicPr>
                  <pic:blipFill>
                    <a:blip r:embed="rId201">
                      <a:extLst>
                        <a:ext uri="{28A0092B-C50C-407E-A947-70E740481C1C}">
                          <a14:useLocalDpi xmlns:a14="http://schemas.microsoft.com/office/drawing/2010/main" val="0"/>
                        </a:ext>
                      </a:extLst>
                    </a:blip>
                    <a:stretch>
                      <a:fillRect/>
                    </a:stretch>
                  </pic:blipFill>
                  <pic:spPr>
                    <a:xfrm>
                      <a:off x="0" y="0"/>
                      <a:ext cx="3595370" cy="2489835"/>
                    </a:xfrm>
                    <a:prstGeom prst="rect">
                      <a:avLst/>
                    </a:prstGeom>
                  </pic:spPr>
                </pic:pic>
              </a:graphicData>
            </a:graphic>
            <wp14:sizeRelH relativeFrom="page">
              <wp14:pctWidth>0</wp14:pctWidth>
            </wp14:sizeRelH>
            <wp14:sizeRelV relativeFrom="page">
              <wp14:pctHeight>0</wp14:pctHeight>
            </wp14:sizeRelV>
          </wp:anchor>
        </w:drawing>
      </w:r>
    </w:p>
    <w:p w:rsidR="00BA6B2F" w:rsidRPr="00DD0F1C" w:rsidRDefault="00BA6B2F">
      <w:pPr>
        <w:rPr>
          <w:rFonts w:cs="Times New Roman"/>
          <w:color w:val="548DD4" w:themeColor="text2" w:themeTint="99"/>
        </w:rPr>
      </w:pPr>
      <w:r w:rsidRPr="00DD0F1C">
        <w:rPr>
          <w:rFonts w:cs="Times New Roman"/>
          <w:color w:val="548DD4" w:themeColor="text2" w:themeTint="99"/>
        </w:rPr>
        <w:br w:type="page"/>
      </w:r>
    </w:p>
    <w:p w:rsidR="00DC06CF" w:rsidRDefault="00DC06CF" w:rsidP="00DC06CF">
      <w:pPr>
        <w:spacing w:after="0"/>
        <w:rPr>
          <w:rFonts w:cs="Times New Roman"/>
          <w:b/>
          <w:color w:val="548DD4" w:themeColor="text2" w:themeTint="99"/>
        </w:rPr>
      </w:pPr>
      <w:r>
        <w:rPr>
          <w:rFonts w:cs="Times New Roman"/>
          <w:b/>
          <w:color w:val="548DD4" w:themeColor="text2" w:themeTint="99"/>
        </w:rPr>
        <w:t>CMC  58-3</w:t>
      </w:r>
    </w:p>
    <w:p w:rsidR="00DC06CF" w:rsidRDefault="00DC06CF" w:rsidP="00DC06CF">
      <w:pPr>
        <w:pStyle w:val="Titre3"/>
        <w:spacing w:before="0"/>
      </w:pPr>
      <w:bookmarkStart w:id="201" w:name="_Toc480797297"/>
      <w:r>
        <w:t>Troubles neurocognitifs (démences)</w:t>
      </w:r>
      <w:bookmarkEnd w:id="201"/>
    </w:p>
    <w:tbl>
      <w:tblPr>
        <w:tblW w:w="3704" w:type="pct"/>
        <w:tblCellSpacing w:w="0" w:type="dxa"/>
        <w:tblCellMar>
          <w:left w:w="0" w:type="dxa"/>
          <w:right w:w="0" w:type="dxa"/>
        </w:tblCellMar>
        <w:tblLook w:val="04A0" w:firstRow="1" w:lastRow="0" w:firstColumn="1" w:lastColumn="0" w:noHBand="0" w:noVBand="1"/>
      </w:tblPr>
      <w:tblGrid>
        <w:gridCol w:w="8001"/>
      </w:tblGrid>
      <w:tr w:rsidR="00DC06CF" w:rsidRPr="00DC06CF" w:rsidTr="005B3B58">
        <w:trPr>
          <w:tblCellSpacing w:w="0" w:type="dxa"/>
        </w:trPr>
        <w:tc>
          <w:tcPr>
            <w:tcW w:w="0" w:type="auto"/>
            <w:vAlign w:val="bottom"/>
            <w:hideMark/>
          </w:tcPr>
          <w:p w:rsidR="00DC06CF" w:rsidRPr="00520ED3" w:rsidRDefault="00DC06CF" w:rsidP="00520ED3">
            <w:pPr>
              <w:pStyle w:val="Sansinterligne"/>
              <w:spacing w:before="240"/>
              <w:rPr>
                <w:b/>
                <w:sz w:val="18"/>
                <w:szCs w:val="18"/>
              </w:rPr>
            </w:pPr>
            <w:r w:rsidRPr="00520ED3">
              <w:rPr>
                <w:b/>
                <w:noProof/>
                <w:sz w:val="18"/>
                <w:szCs w:val="18"/>
                <w:lang w:eastAsia="fr-CA"/>
              </w:rPr>
              <mc:AlternateContent>
                <mc:Choice Requires="wps">
                  <w:drawing>
                    <wp:anchor distT="0" distB="0" distL="114300" distR="114300" simplePos="0" relativeHeight="251809792" behindDoc="0" locked="0" layoutInCell="1" allowOverlap="1" wp14:anchorId="161D7EB1" wp14:editId="04920F71">
                      <wp:simplePos x="0" y="0"/>
                      <wp:positionH relativeFrom="column">
                        <wp:posOffset>-58366</wp:posOffset>
                      </wp:positionH>
                      <wp:positionV relativeFrom="paragraph">
                        <wp:posOffset>111233</wp:posOffset>
                      </wp:positionV>
                      <wp:extent cx="6926094" cy="3015575"/>
                      <wp:effectExtent l="0" t="0" r="27305" b="13970"/>
                      <wp:wrapNone/>
                      <wp:docPr id="315" name="Rectangle 315"/>
                      <wp:cNvGraphicFramePr/>
                      <a:graphic xmlns:a="http://schemas.openxmlformats.org/drawingml/2006/main">
                        <a:graphicData uri="http://schemas.microsoft.com/office/word/2010/wordprocessingShape">
                          <wps:wsp>
                            <wps:cNvSpPr/>
                            <wps:spPr>
                              <a:xfrm>
                                <a:off x="0" y="0"/>
                                <a:ext cx="6926094" cy="3015575"/>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315" o:spid="_x0000_s1026" style="position:absolute;margin-left:-4.6pt;margin-top:8.75pt;width:545.35pt;height:237.45pt;z-index:2518097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" filled="f" strokecolor="black [1600]" strokeweight="2pt"/>
                  </w:pict>
                </mc:Fallback>
              </mc:AlternateContent>
            </w:r>
            <w:r w:rsidRPr="00520ED3">
              <w:rPr>
                <w:b/>
                <w:sz w:val="18"/>
                <w:szCs w:val="18"/>
              </w:rPr>
              <w:t>Objectifs principaux</w:t>
            </w:r>
          </w:p>
        </w:tc>
      </w:tr>
    </w:tbl>
    <w:p w:rsidR="00DC06CF" w:rsidRPr="00DC06CF" w:rsidRDefault="00DC06CF" w:rsidP="00DC06CF">
      <w:pPr>
        <w:pStyle w:val="NormalWeb"/>
        <w:ind w:left="360"/>
        <w:rPr>
          <w:color w:val="000000"/>
          <w:sz w:val="18"/>
          <w:szCs w:val="18"/>
          <w:shd w:val="clear" w:color="auto" w:fill="FFFFFF"/>
        </w:rPr>
      </w:pPr>
      <w:r w:rsidRPr="00DC06CF">
        <w:rPr>
          <w:color w:val="000000"/>
          <w:sz w:val="18"/>
          <w:szCs w:val="18"/>
          <w:shd w:val="clear" w:color="auto" w:fill="FFFFFF"/>
        </w:rPr>
        <w:t>Dans le cas d'un patient atteint d'un trouble cognitif (démence), le candidat devra en diagnostiquer les causes, la gravité et les complications, et mettre en place un plan de prise en charge approprié. En particulier, il devra pouvoir déceler une détérioration des fonctions cognitives et en rechercher les facteurs de risque réversibles. Le candidat devra distinguer un début de maladie d'Alzheimer d'autres causes possibles.</w:t>
      </w:r>
    </w:p>
    <w:tbl>
      <w:tblPr>
        <w:tblW w:w="3702" w:type="pct"/>
        <w:tblCellSpacing w:w="0" w:type="dxa"/>
        <w:tblCellMar>
          <w:left w:w="0" w:type="dxa"/>
          <w:right w:w="0" w:type="dxa"/>
        </w:tblCellMar>
        <w:tblLook w:val="04A0" w:firstRow="1" w:lastRow="0" w:firstColumn="1" w:lastColumn="0" w:noHBand="0" w:noVBand="1"/>
      </w:tblPr>
      <w:tblGrid>
        <w:gridCol w:w="7996"/>
      </w:tblGrid>
      <w:tr w:rsidR="00DC06CF" w:rsidRPr="00DC06CF" w:rsidTr="005B3B58">
        <w:trPr>
          <w:tblCellSpacing w:w="0" w:type="dxa"/>
        </w:trPr>
        <w:tc>
          <w:tcPr>
            <w:tcW w:w="0" w:type="auto"/>
            <w:vAlign w:val="bottom"/>
            <w:hideMark/>
          </w:tcPr>
          <w:p w:rsidR="00DC06CF" w:rsidRPr="004505EC" w:rsidRDefault="00DC06CF" w:rsidP="004505EC">
            <w:pPr>
              <w:pStyle w:val="Sansinterligne"/>
              <w:rPr>
                <w:b/>
                <w:sz w:val="16"/>
                <w:szCs w:val="16"/>
              </w:rPr>
            </w:pPr>
            <w:r w:rsidRPr="004505EC">
              <w:rPr>
                <w:b/>
                <w:sz w:val="16"/>
                <w:szCs w:val="16"/>
              </w:rPr>
              <w:t>Objectifs spécifiques</w:t>
            </w:r>
          </w:p>
        </w:tc>
      </w:tr>
    </w:tbl>
    <w:p w:rsidR="00DC06CF" w:rsidRPr="00DC06CF" w:rsidRDefault="00DC06CF" w:rsidP="00DC06CF">
      <w:pPr>
        <w:pStyle w:val="NormalWeb"/>
        <w:shd w:val="clear" w:color="auto" w:fill="FFFFFF"/>
        <w:ind w:left="360"/>
        <w:rPr>
          <w:color w:val="000000"/>
          <w:sz w:val="16"/>
          <w:szCs w:val="16"/>
          <w:shd w:val="clear" w:color="auto" w:fill="FFFFFF"/>
        </w:rPr>
      </w:pPr>
      <w:r w:rsidRPr="00DC06CF">
        <w:rPr>
          <w:color w:val="000000"/>
          <w:sz w:val="16"/>
          <w:szCs w:val="16"/>
          <w:shd w:val="clear" w:color="auto" w:fill="FFFFFF"/>
        </w:rPr>
        <w:t>Dans le cas d'un patient atteint d'un trouble cognitif (démence), le candidat devra :</w:t>
      </w:r>
    </w:p>
    <w:p w:rsidR="00DC06CF" w:rsidRPr="00DC06CF" w:rsidRDefault="00DC06CF" w:rsidP="007D72D9">
      <w:pPr>
        <w:numPr>
          <w:ilvl w:val="0"/>
          <w:numId w:val="541"/>
        </w:numPr>
        <w:shd w:val="clear" w:color="auto" w:fill="FFFFFF"/>
        <w:spacing w:before="100" w:beforeAutospacing="1" w:after="100" w:afterAutospacing="1" w:line="240" w:lineRule="auto"/>
        <w:rPr>
          <w:rFonts w:cs="Times New Roman"/>
          <w:color w:val="000000"/>
          <w:sz w:val="16"/>
          <w:szCs w:val="16"/>
          <w:shd w:val="clear" w:color="auto" w:fill="FFFFFF"/>
        </w:rPr>
      </w:pPr>
      <w:r w:rsidRPr="00DC06CF">
        <w:rPr>
          <w:rFonts w:cs="Times New Roman"/>
          <w:color w:val="000000"/>
          <w:sz w:val="16"/>
          <w:szCs w:val="16"/>
          <w:shd w:val="clear" w:color="auto" w:fill="FFFFFF"/>
        </w:rPr>
        <w:t>énumérer et interpréter les constatations cliniques cruciales, notamment celles fondées sur :</w:t>
      </w:r>
    </w:p>
    <w:p w:rsidR="00DC06CF" w:rsidRPr="00DC06CF" w:rsidRDefault="00DC06CF" w:rsidP="007D72D9">
      <w:pPr>
        <w:numPr>
          <w:ilvl w:val="1"/>
          <w:numId w:val="541"/>
        </w:numPr>
        <w:shd w:val="clear" w:color="auto" w:fill="FFFFFF"/>
        <w:spacing w:before="100" w:beforeAutospacing="1" w:after="100" w:afterAutospacing="1" w:line="240" w:lineRule="auto"/>
        <w:rPr>
          <w:rFonts w:cs="Times New Roman"/>
          <w:color w:val="000000"/>
          <w:sz w:val="16"/>
          <w:szCs w:val="16"/>
          <w:shd w:val="clear" w:color="auto" w:fill="FFFFFF"/>
        </w:rPr>
      </w:pPr>
      <w:r w:rsidRPr="00DC06CF">
        <w:rPr>
          <w:rFonts w:cs="Times New Roman"/>
          <w:color w:val="000000"/>
          <w:sz w:val="16"/>
          <w:szCs w:val="16"/>
          <w:shd w:val="clear" w:color="auto" w:fill="FFFFFF"/>
        </w:rPr>
        <w:t>une anamnèse auprès du patient et des proches afin de déterminer s'il y a un déclin des fonctions cognitives, son évolution dans le temps et les facteurs de risque possibles (p. ex. drogues, toxines);</w:t>
      </w:r>
    </w:p>
    <w:p w:rsidR="00DC06CF" w:rsidRPr="00DC06CF" w:rsidRDefault="00DC06CF" w:rsidP="007D72D9">
      <w:pPr>
        <w:numPr>
          <w:ilvl w:val="1"/>
          <w:numId w:val="541"/>
        </w:numPr>
        <w:shd w:val="clear" w:color="auto" w:fill="FFFFFF"/>
        <w:spacing w:before="100" w:beforeAutospacing="1" w:after="100" w:afterAutospacing="1" w:line="240" w:lineRule="auto"/>
        <w:rPr>
          <w:rFonts w:cs="Times New Roman"/>
          <w:color w:val="000000"/>
          <w:sz w:val="16"/>
          <w:szCs w:val="16"/>
          <w:shd w:val="clear" w:color="auto" w:fill="FFFFFF"/>
        </w:rPr>
      </w:pPr>
      <w:r w:rsidRPr="00DC06CF">
        <w:rPr>
          <w:rFonts w:cs="Times New Roman"/>
          <w:color w:val="000000"/>
          <w:sz w:val="16"/>
          <w:szCs w:val="16"/>
          <w:shd w:val="clear" w:color="auto" w:fill="FFFFFF"/>
        </w:rPr>
        <w:t>une différenciation entre un véritable trouble neurocognitif et d'autres troubles psychiatriques (p. ex. dépression);</w:t>
      </w:r>
    </w:p>
    <w:p w:rsidR="00DC06CF" w:rsidRPr="00DC06CF" w:rsidRDefault="00DC06CF" w:rsidP="007D72D9">
      <w:pPr>
        <w:numPr>
          <w:ilvl w:val="1"/>
          <w:numId w:val="541"/>
        </w:numPr>
        <w:shd w:val="clear" w:color="auto" w:fill="FFFFFF"/>
        <w:spacing w:before="100" w:beforeAutospacing="1" w:after="100" w:afterAutospacing="1" w:line="240" w:lineRule="auto"/>
        <w:rPr>
          <w:rFonts w:cs="Times New Roman"/>
          <w:color w:val="000000"/>
          <w:sz w:val="16"/>
          <w:szCs w:val="16"/>
          <w:shd w:val="clear" w:color="auto" w:fill="FFFFFF"/>
        </w:rPr>
      </w:pPr>
      <w:r w:rsidRPr="00DC06CF">
        <w:rPr>
          <w:rFonts w:cs="Times New Roman"/>
          <w:color w:val="000000"/>
          <w:sz w:val="16"/>
          <w:szCs w:val="16"/>
          <w:shd w:val="clear" w:color="auto" w:fill="FFFFFF"/>
        </w:rPr>
        <w:t>l'évaluation de l'état mental du patient et ses résultats au mini-examen de l'état mental;</w:t>
      </w:r>
    </w:p>
    <w:p w:rsidR="00DC06CF" w:rsidRPr="00DC06CF" w:rsidRDefault="00DC06CF" w:rsidP="007D72D9">
      <w:pPr>
        <w:numPr>
          <w:ilvl w:val="0"/>
          <w:numId w:val="541"/>
        </w:numPr>
        <w:shd w:val="clear" w:color="auto" w:fill="FFFFFF"/>
        <w:spacing w:before="100" w:beforeAutospacing="1" w:after="100" w:afterAutospacing="1" w:line="240" w:lineRule="auto"/>
        <w:rPr>
          <w:rFonts w:cs="Times New Roman"/>
          <w:color w:val="000000"/>
          <w:sz w:val="16"/>
          <w:szCs w:val="16"/>
          <w:shd w:val="clear" w:color="auto" w:fill="FFFFFF"/>
        </w:rPr>
      </w:pPr>
      <w:r w:rsidRPr="00DC06CF">
        <w:rPr>
          <w:rFonts w:cs="Times New Roman"/>
          <w:color w:val="000000"/>
          <w:sz w:val="16"/>
          <w:szCs w:val="16"/>
          <w:shd w:val="clear" w:color="auto" w:fill="FFFFFF"/>
        </w:rPr>
        <w:t>énumérer et interpréter les examens essentiels (p. ex. dosage de la thyréostimuline (TSH) et de la vitamine B12, analyses de laboratoire pour la recherche de maladies vénériennes);</w:t>
      </w:r>
    </w:p>
    <w:p w:rsidR="00DC06CF" w:rsidRPr="00DC06CF" w:rsidRDefault="00DC06CF" w:rsidP="007D72D9">
      <w:pPr>
        <w:numPr>
          <w:ilvl w:val="0"/>
          <w:numId w:val="541"/>
        </w:numPr>
        <w:shd w:val="clear" w:color="auto" w:fill="FFFFFF"/>
        <w:spacing w:before="100" w:beforeAutospacing="1" w:after="100" w:afterAutospacing="1" w:line="240" w:lineRule="auto"/>
        <w:rPr>
          <w:rFonts w:cs="Times New Roman"/>
          <w:color w:val="000000"/>
          <w:sz w:val="16"/>
          <w:szCs w:val="16"/>
          <w:shd w:val="clear" w:color="auto" w:fill="FFFFFF"/>
        </w:rPr>
      </w:pPr>
      <w:r w:rsidRPr="00DC06CF">
        <w:rPr>
          <w:rFonts w:cs="Times New Roman"/>
          <w:color w:val="000000"/>
          <w:sz w:val="16"/>
          <w:szCs w:val="16"/>
          <w:shd w:val="clear" w:color="auto" w:fill="FFFFFF"/>
        </w:rPr>
        <w:t>élaborer un plan efficace de prise en charge initiale, notamment :</w:t>
      </w:r>
    </w:p>
    <w:p w:rsidR="00DC06CF" w:rsidRPr="00DC06CF" w:rsidRDefault="00DC06CF" w:rsidP="007D72D9">
      <w:pPr>
        <w:numPr>
          <w:ilvl w:val="1"/>
          <w:numId w:val="541"/>
        </w:numPr>
        <w:shd w:val="clear" w:color="auto" w:fill="FFFFFF"/>
        <w:spacing w:before="100" w:beforeAutospacing="1" w:after="100" w:afterAutospacing="1" w:line="240" w:lineRule="auto"/>
        <w:rPr>
          <w:rFonts w:cs="Times New Roman"/>
          <w:color w:val="000000"/>
          <w:sz w:val="16"/>
          <w:szCs w:val="16"/>
          <w:shd w:val="clear" w:color="auto" w:fill="FFFFFF"/>
        </w:rPr>
      </w:pPr>
      <w:r w:rsidRPr="00DC06CF">
        <w:rPr>
          <w:rFonts w:cs="Times New Roman"/>
          <w:color w:val="000000"/>
          <w:sz w:val="16"/>
          <w:szCs w:val="16"/>
          <w:shd w:val="clear" w:color="auto" w:fill="FFFFFF"/>
        </w:rPr>
        <w:t>traiter les affections sous-jacentes réversibles;</w:t>
      </w:r>
    </w:p>
    <w:p w:rsidR="00DC06CF" w:rsidRPr="00DC06CF" w:rsidRDefault="00DC06CF" w:rsidP="007D72D9">
      <w:pPr>
        <w:numPr>
          <w:ilvl w:val="1"/>
          <w:numId w:val="541"/>
        </w:numPr>
        <w:shd w:val="clear" w:color="auto" w:fill="FFFFFF"/>
        <w:spacing w:before="100" w:beforeAutospacing="1" w:after="100" w:afterAutospacing="1" w:line="240" w:lineRule="auto"/>
        <w:rPr>
          <w:rFonts w:cs="Times New Roman"/>
          <w:color w:val="000000"/>
          <w:sz w:val="16"/>
          <w:szCs w:val="16"/>
          <w:shd w:val="clear" w:color="auto" w:fill="FFFFFF"/>
        </w:rPr>
      </w:pPr>
      <w:r w:rsidRPr="00DC06CF">
        <w:rPr>
          <w:rFonts w:cs="Times New Roman"/>
          <w:color w:val="000000"/>
          <w:sz w:val="16"/>
          <w:szCs w:val="16"/>
          <w:shd w:val="clear" w:color="auto" w:fill="FFFFFF"/>
        </w:rPr>
        <w:t>instaurer une pharmacothérapie appropriée (p. ex. inhibiteurs de la cholinestérase);</w:t>
      </w:r>
    </w:p>
    <w:p w:rsidR="00DC06CF" w:rsidRPr="00DC06CF" w:rsidRDefault="00DC06CF" w:rsidP="007D72D9">
      <w:pPr>
        <w:numPr>
          <w:ilvl w:val="1"/>
          <w:numId w:val="541"/>
        </w:numPr>
        <w:shd w:val="clear" w:color="auto" w:fill="FFFFFF"/>
        <w:spacing w:before="100" w:beforeAutospacing="1" w:after="100" w:afterAutospacing="1" w:line="240" w:lineRule="auto"/>
        <w:rPr>
          <w:rFonts w:cs="Times New Roman"/>
          <w:color w:val="000000"/>
          <w:sz w:val="16"/>
          <w:szCs w:val="16"/>
          <w:shd w:val="clear" w:color="auto" w:fill="FFFFFF"/>
        </w:rPr>
      </w:pPr>
      <w:r w:rsidRPr="00DC06CF">
        <w:rPr>
          <w:rFonts w:cs="Times New Roman"/>
          <w:color w:val="000000"/>
          <w:sz w:val="16"/>
          <w:szCs w:val="16"/>
          <w:shd w:val="clear" w:color="auto" w:fill="FFFFFF"/>
        </w:rPr>
        <w:t>conseiller le patient et sa famille (p. ex. pronostic, désignation d'un mandataire, services de soutien);</w:t>
      </w:r>
    </w:p>
    <w:p w:rsidR="00DC06CF" w:rsidRPr="00DC06CF" w:rsidRDefault="00DC06CF" w:rsidP="007D72D9">
      <w:pPr>
        <w:numPr>
          <w:ilvl w:val="1"/>
          <w:numId w:val="541"/>
        </w:numPr>
        <w:shd w:val="clear" w:color="auto" w:fill="FFFFFF"/>
        <w:spacing w:before="100" w:beforeAutospacing="1" w:after="100" w:afterAutospacing="1" w:line="240" w:lineRule="auto"/>
        <w:rPr>
          <w:rFonts w:cs="Times New Roman"/>
          <w:color w:val="000000"/>
          <w:sz w:val="16"/>
          <w:szCs w:val="16"/>
          <w:shd w:val="clear" w:color="auto" w:fill="FFFFFF"/>
        </w:rPr>
      </w:pPr>
      <w:r w:rsidRPr="00DC06CF">
        <w:rPr>
          <w:rFonts w:cs="Times New Roman"/>
          <w:color w:val="000000"/>
          <w:sz w:val="16"/>
          <w:szCs w:val="16"/>
          <w:shd w:val="clear" w:color="auto" w:fill="FFFFFF"/>
        </w:rPr>
        <w:t>déterminer si le patient doit être dirigé vers des services spécialisés (p. ex. ergothérapie, traitement de dépendances).</w:t>
      </w:r>
    </w:p>
    <w:p w:rsidR="005C2965" w:rsidRDefault="005C2965" w:rsidP="006B208F">
      <w:pPr>
        <w:pStyle w:val="Sansinterligne"/>
        <w:rPr>
          <w:b/>
          <w:sz w:val="28"/>
          <w:szCs w:val="28"/>
        </w:rPr>
      </w:pPr>
      <w:bookmarkStart w:id="202" w:name="%C3%89tiologie"/>
      <w:bookmarkEnd w:id="202"/>
    </w:p>
    <w:p w:rsidR="006B208F" w:rsidRDefault="006B208F" w:rsidP="006B208F">
      <w:pPr>
        <w:pStyle w:val="Sansinterligne"/>
        <w:rPr>
          <w:b/>
          <w:sz w:val="28"/>
          <w:szCs w:val="28"/>
        </w:rPr>
      </w:pPr>
      <w:r>
        <w:rPr>
          <w:b/>
          <w:sz w:val="28"/>
          <w:szCs w:val="28"/>
        </w:rPr>
        <w:t>Critères de trouble neurocognitif majeur (DSM-V)</w:t>
      </w:r>
    </w:p>
    <w:p w:rsidR="006B208F" w:rsidRDefault="006B208F" w:rsidP="006B208F">
      <w:pPr>
        <w:pStyle w:val="Sansinterligne"/>
      </w:pPr>
    </w:p>
    <w:tbl>
      <w:tblPr>
        <w:tblStyle w:val="Grilledutableau"/>
        <w:tblW w:w="0" w:type="auto"/>
        <w:tblLook w:val="04A0" w:firstRow="1" w:lastRow="0" w:firstColumn="1" w:lastColumn="0" w:noHBand="0" w:noVBand="1"/>
      </w:tblPr>
      <w:tblGrid>
        <w:gridCol w:w="10940"/>
      </w:tblGrid>
      <w:tr w:rsidR="006B208F" w:rsidRPr="00DA735F" w:rsidTr="00FA4713">
        <w:trPr>
          <w:trHeight w:val="1558"/>
        </w:trPr>
        <w:tc>
          <w:tcPr>
            <w:tcW w:w="10940" w:type="dxa"/>
          </w:tcPr>
          <w:p w:rsidR="006B208F" w:rsidRPr="00C01D46" w:rsidRDefault="006B208F" w:rsidP="00233789">
            <w:pPr>
              <w:pStyle w:val="Sansinterligne"/>
              <w:numPr>
                <w:ilvl w:val="0"/>
                <w:numId w:val="549"/>
              </w:numPr>
              <w:ind w:left="360"/>
              <w:rPr>
                <w:highlight w:val="yellow"/>
              </w:rPr>
            </w:pPr>
            <w:r w:rsidRPr="00C01D46">
              <w:rPr>
                <w:highlight w:val="yellow"/>
              </w:rPr>
              <w:t>Déclin cognitif significatif par rapport au niveau antérieur dans un ou plusieurs domaines (</w:t>
            </w:r>
            <w:r>
              <w:rPr>
                <w:rFonts w:cs="Times New Roman"/>
                <w:highlight w:val="yellow"/>
              </w:rPr>
              <w:t>↓</w:t>
            </w:r>
            <w:r>
              <w:rPr>
                <w:highlight w:val="yellow"/>
              </w:rPr>
              <w:t xml:space="preserve"> </w:t>
            </w:r>
            <w:r w:rsidRPr="00C01D46">
              <w:rPr>
                <w:highlight w:val="yellow"/>
              </w:rPr>
              <w:t>fonctions exécutives,</w:t>
            </w:r>
            <w:r>
              <w:rPr>
                <w:highlight w:val="yellow"/>
              </w:rPr>
              <w:t xml:space="preserve"> aph</w:t>
            </w:r>
            <w:r w:rsidR="00742F6D">
              <w:rPr>
                <w:highlight w:val="yellow"/>
              </w:rPr>
              <w:t>asie, agnosie, apraxie, amnésie)</w:t>
            </w:r>
          </w:p>
          <w:p w:rsidR="006B208F" w:rsidRPr="00DA735F" w:rsidRDefault="006B208F" w:rsidP="00233789">
            <w:pPr>
              <w:pStyle w:val="Sansinterligne"/>
              <w:numPr>
                <w:ilvl w:val="1"/>
                <w:numId w:val="550"/>
              </w:numPr>
              <w:ind w:left="1080"/>
            </w:pPr>
            <w:r w:rsidRPr="00DA735F">
              <w:t xml:space="preserve">Basé sur la plainte du patient, d’un proche ou </w:t>
            </w:r>
            <w:r>
              <w:t xml:space="preserve">l’observation </w:t>
            </w:r>
            <w:r w:rsidRPr="00DA735F">
              <w:t>du clinicien</w:t>
            </w:r>
          </w:p>
          <w:p w:rsidR="006B208F" w:rsidRPr="00DA735F" w:rsidRDefault="006B208F" w:rsidP="00233789">
            <w:pPr>
              <w:pStyle w:val="Sansinterligne"/>
              <w:numPr>
                <w:ilvl w:val="1"/>
                <w:numId w:val="550"/>
              </w:numPr>
              <w:ind w:left="1080"/>
            </w:pPr>
            <w:r w:rsidRPr="00DA735F">
              <w:t>Altération des performances cognitives documentée ou évaluée</w:t>
            </w:r>
          </w:p>
          <w:p w:rsidR="006B208F" w:rsidRPr="00DA735F" w:rsidRDefault="006B208F" w:rsidP="00233789">
            <w:pPr>
              <w:pStyle w:val="Sansinterligne"/>
              <w:numPr>
                <w:ilvl w:val="0"/>
                <w:numId w:val="549"/>
              </w:numPr>
              <w:ind w:left="360"/>
            </w:pPr>
            <w:r w:rsidRPr="00C01D46">
              <w:rPr>
                <w:highlight w:val="yellow"/>
              </w:rPr>
              <w:t>Les déficits cognitifs interfèrent avec l’autonomie dans les actes quotidiens (AVQ, AVD)</w:t>
            </w:r>
          </w:p>
          <w:p w:rsidR="006B208F" w:rsidRDefault="006B208F" w:rsidP="00233789">
            <w:pPr>
              <w:pStyle w:val="Sansinterligne"/>
              <w:numPr>
                <w:ilvl w:val="0"/>
                <w:numId w:val="549"/>
              </w:numPr>
              <w:ind w:left="360"/>
            </w:pPr>
            <w:r w:rsidRPr="00DA735F">
              <w:t xml:space="preserve">Ne survient pas dans un contexte de délirium </w:t>
            </w:r>
          </w:p>
          <w:p w:rsidR="006B208F" w:rsidRPr="00DA735F" w:rsidRDefault="006B208F" w:rsidP="00233789">
            <w:pPr>
              <w:pStyle w:val="Sansinterligne"/>
              <w:numPr>
                <w:ilvl w:val="0"/>
                <w:numId w:val="549"/>
              </w:numPr>
              <w:ind w:left="360"/>
            </w:pPr>
            <w:r>
              <w:t>N’est pas secondaire à un</w:t>
            </w:r>
            <w:r w:rsidRPr="00DA735F">
              <w:t xml:space="preserve"> autre trouble mental (ex : dépression)</w:t>
            </w:r>
          </w:p>
        </w:tc>
      </w:tr>
    </w:tbl>
    <w:p w:rsidR="006B208F" w:rsidRDefault="006B208F" w:rsidP="0029163E">
      <w:pPr>
        <w:pStyle w:val="Sansinterligne"/>
        <w:rPr>
          <w:b/>
          <w:sz w:val="28"/>
          <w:szCs w:val="28"/>
        </w:rPr>
      </w:pPr>
    </w:p>
    <w:p w:rsidR="005C2965" w:rsidRDefault="005C2965" w:rsidP="0029163E">
      <w:pPr>
        <w:pStyle w:val="Sansinterligne"/>
        <w:rPr>
          <w:b/>
          <w:sz w:val="28"/>
          <w:szCs w:val="28"/>
        </w:rPr>
      </w:pPr>
    </w:p>
    <w:p w:rsidR="00DC06CF" w:rsidRPr="004505EC" w:rsidRDefault="005C2965" w:rsidP="0029163E">
      <w:pPr>
        <w:pStyle w:val="Sansinterligne"/>
        <w:rPr>
          <w:b/>
          <w:sz w:val="28"/>
          <w:szCs w:val="28"/>
        </w:rPr>
      </w:pPr>
      <w:r>
        <w:rPr>
          <w:noProof/>
          <w:lang w:eastAsia="fr-CA"/>
        </w:rPr>
        <w:drawing>
          <wp:anchor distT="0" distB="0" distL="114300" distR="114300" simplePos="0" relativeHeight="251811840" behindDoc="0" locked="0" layoutInCell="1" allowOverlap="1" wp14:anchorId="72670BEF" wp14:editId="7641BE44">
            <wp:simplePos x="0" y="0"/>
            <wp:positionH relativeFrom="column">
              <wp:posOffset>3462020</wp:posOffset>
            </wp:positionH>
            <wp:positionV relativeFrom="paragraph">
              <wp:posOffset>24765</wp:posOffset>
            </wp:positionV>
            <wp:extent cx="3077210" cy="2412365"/>
            <wp:effectExtent l="0" t="0" r="8890" b="6985"/>
            <wp:wrapNone/>
            <wp:docPr id="331" name="Image 331" descr="Résultats de recherche d'images pour « alzheime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Résultats de recherche d'images pour « alzheimer »"/>
                    <pic:cNvPicPr>
                      <a:picLocks noChangeAspect="1" noChangeArrowheads="1"/>
                    </pic:cNvPicPr>
                  </pic:nvPicPr>
                  <pic:blipFill rotWithShape="1">
                    <a:blip r:embed="rId202" cstate="print">
                      <a:extLst>
                        <a:ext uri="{28A0092B-C50C-407E-A947-70E740481C1C}">
                          <a14:useLocalDpi xmlns:a14="http://schemas.microsoft.com/office/drawing/2010/main" val="0"/>
                        </a:ext>
                      </a:extLst>
                    </a:blip>
                    <a:srcRect l="9282" r="6752"/>
                    <a:stretch/>
                  </pic:blipFill>
                  <pic:spPr bwMode="auto">
                    <a:xfrm>
                      <a:off x="0" y="0"/>
                      <a:ext cx="3077210" cy="241236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F62E0" w:rsidRPr="004505EC">
        <w:rPr>
          <w:b/>
          <w:sz w:val="28"/>
          <w:szCs w:val="28"/>
        </w:rPr>
        <w:t>Facteurs de risque</w:t>
      </w:r>
    </w:p>
    <w:p w:rsidR="005430AB" w:rsidRDefault="005430AB" w:rsidP="0029163E">
      <w:pPr>
        <w:pStyle w:val="Sansinterligne"/>
      </w:pPr>
    </w:p>
    <w:p w:rsidR="005C2965" w:rsidRDefault="005C2965" w:rsidP="0029163E">
      <w:pPr>
        <w:pStyle w:val="Sansinterligne"/>
        <w:rPr>
          <w:u w:val="single"/>
        </w:rPr>
        <w:sectPr w:rsidR="005C2965" w:rsidSect="00217865">
          <w:type w:val="continuous"/>
          <w:pgSz w:w="12240" w:h="15840"/>
          <w:pgMar w:top="720" w:right="720" w:bottom="720" w:left="720" w:header="708" w:footer="708" w:gutter="0"/>
          <w:cols w:space="708"/>
          <w:docGrid w:linePitch="360"/>
        </w:sectPr>
      </w:pPr>
    </w:p>
    <w:p w:rsidR="00BA09F6" w:rsidRPr="008D3538" w:rsidRDefault="00BA09F6" w:rsidP="0029163E">
      <w:pPr>
        <w:pStyle w:val="Sansinterligne"/>
        <w:rPr>
          <w:u w:val="single"/>
        </w:rPr>
      </w:pPr>
      <w:r w:rsidRPr="008D3538">
        <w:rPr>
          <w:u w:val="single"/>
        </w:rPr>
        <w:t>Maladie d’Alzheimer</w:t>
      </w:r>
    </w:p>
    <w:p w:rsidR="005C2965" w:rsidRDefault="005C2965" w:rsidP="005C2965">
      <w:pPr>
        <w:pStyle w:val="Sansinterligne"/>
      </w:pPr>
    </w:p>
    <w:p w:rsidR="005C2965" w:rsidRDefault="005C2965" w:rsidP="005C2965">
      <w:pPr>
        <w:pStyle w:val="Sansinterligne"/>
        <w:sectPr w:rsidR="005C2965" w:rsidSect="005C2965">
          <w:type w:val="continuous"/>
          <w:pgSz w:w="12240" w:h="15840"/>
          <w:pgMar w:top="720" w:right="720" w:bottom="720" w:left="720" w:header="708" w:footer="708" w:gutter="0"/>
          <w:cols w:space="708"/>
          <w:docGrid w:linePitch="360"/>
        </w:sectPr>
      </w:pPr>
    </w:p>
    <w:p w:rsidR="00BA09F6" w:rsidRDefault="00BA09F6" w:rsidP="00233789">
      <w:pPr>
        <w:pStyle w:val="Sansinterligne"/>
        <w:numPr>
          <w:ilvl w:val="0"/>
          <w:numId w:val="548"/>
        </w:numPr>
      </w:pPr>
      <w:r>
        <w:t>Âge avancé</w:t>
      </w:r>
    </w:p>
    <w:p w:rsidR="00BA09F6" w:rsidRDefault="00BA09F6" w:rsidP="00233789">
      <w:pPr>
        <w:pStyle w:val="Sansinterligne"/>
        <w:numPr>
          <w:ilvl w:val="0"/>
          <w:numId w:val="548"/>
        </w:numPr>
      </w:pPr>
      <w:r>
        <w:t>Sexe féminin</w:t>
      </w:r>
    </w:p>
    <w:p w:rsidR="00BA09F6" w:rsidRDefault="00BA09F6" w:rsidP="00233789">
      <w:pPr>
        <w:pStyle w:val="Sansinterligne"/>
        <w:numPr>
          <w:ilvl w:val="0"/>
          <w:numId w:val="548"/>
        </w:numPr>
      </w:pPr>
      <w:r>
        <w:t>ATCD familiaux de démence</w:t>
      </w:r>
      <w:r w:rsidR="00F84B73" w:rsidRPr="00F84B73">
        <w:t xml:space="preserve"> </w:t>
      </w:r>
    </w:p>
    <w:p w:rsidR="00BA09F6" w:rsidRDefault="00BA09F6" w:rsidP="00233789">
      <w:pPr>
        <w:pStyle w:val="Sansinterligne"/>
        <w:numPr>
          <w:ilvl w:val="0"/>
          <w:numId w:val="548"/>
        </w:numPr>
      </w:pPr>
      <w:r>
        <w:t xml:space="preserve">Scolarité </w:t>
      </w:r>
      <w:r>
        <w:rPr>
          <w:rFonts w:ascii="Century Gothic" w:hAnsi="Century Gothic"/>
        </w:rPr>
        <w:t>&lt;</w:t>
      </w:r>
      <w:r>
        <w:t xml:space="preserve"> 7 ans</w:t>
      </w:r>
    </w:p>
    <w:p w:rsidR="00BA09F6" w:rsidRDefault="00BA09F6" w:rsidP="00233789">
      <w:pPr>
        <w:pStyle w:val="Sansinterligne"/>
        <w:numPr>
          <w:ilvl w:val="0"/>
          <w:numId w:val="548"/>
        </w:numPr>
      </w:pPr>
      <w:r>
        <w:t>HTA systolique</w:t>
      </w:r>
    </w:p>
    <w:p w:rsidR="00BA09F6" w:rsidRDefault="00BA09F6" w:rsidP="00233789">
      <w:pPr>
        <w:pStyle w:val="Sansinterligne"/>
        <w:numPr>
          <w:ilvl w:val="0"/>
          <w:numId w:val="548"/>
        </w:numPr>
      </w:pPr>
      <w:r>
        <w:t>Diabète, DLP</w:t>
      </w:r>
    </w:p>
    <w:p w:rsidR="008D3538" w:rsidRDefault="00BA09F6" w:rsidP="00233789">
      <w:pPr>
        <w:pStyle w:val="Sansinterligne"/>
        <w:numPr>
          <w:ilvl w:val="0"/>
          <w:numId w:val="548"/>
        </w:numPr>
        <w:sectPr w:rsidR="008D3538" w:rsidSect="005C2965">
          <w:type w:val="continuous"/>
          <w:pgSz w:w="12240" w:h="15840"/>
          <w:pgMar w:top="720" w:right="720" w:bottom="720" w:left="720" w:header="708" w:footer="708" w:gutter="0"/>
          <w:cols w:space="140"/>
          <w:docGrid w:linePitch="360"/>
        </w:sectPr>
      </w:pPr>
      <w:r>
        <w:t>Génot</w:t>
      </w:r>
      <w:r w:rsidR="00C27848">
        <w:t>ype apolipoprotéine E 4/3 ou 4/4</w:t>
      </w:r>
    </w:p>
    <w:p w:rsidR="00F84B73" w:rsidRDefault="00F84B73" w:rsidP="0029163E">
      <w:pPr>
        <w:pStyle w:val="Sansinterligne"/>
        <w:rPr>
          <w:b/>
          <w:sz w:val="28"/>
          <w:szCs w:val="28"/>
        </w:rPr>
        <w:sectPr w:rsidR="00F84B73" w:rsidSect="00217865">
          <w:type w:val="continuous"/>
          <w:pgSz w:w="12240" w:h="15840"/>
          <w:pgMar w:top="720" w:right="720" w:bottom="720" w:left="720" w:header="708" w:footer="708" w:gutter="0"/>
          <w:cols w:space="708"/>
          <w:docGrid w:linePitch="360"/>
        </w:sectPr>
      </w:pPr>
    </w:p>
    <w:p w:rsidR="005C2965" w:rsidRDefault="005C2965" w:rsidP="0029163E">
      <w:pPr>
        <w:pStyle w:val="Sansinterligne"/>
        <w:rPr>
          <w:b/>
          <w:sz w:val="28"/>
          <w:szCs w:val="28"/>
        </w:rPr>
      </w:pPr>
    </w:p>
    <w:p w:rsidR="005C2965" w:rsidRDefault="005C2965" w:rsidP="0029163E">
      <w:pPr>
        <w:pStyle w:val="Sansinterligne"/>
        <w:rPr>
          <w:b/>
          <w:sz w:val="28"/>
          <w:szCs w:val="28"/>
        </w:rPr>
      </w:pPr>
    </w:p>
    <w:p w:rsidR="005C2965" w:rsidRDefault="005C2965" w:rsidP="0029163E">
      <w:pPr>
        <w:pStyle w:val="Sansinterligne"/>
        <w:rPr>
          <w:b/>
          <w:sz w:val="28"/>
          <w:szCs w:val="28"/>
        </w:rPr>
      </w:pPr>
    </w:p>
    <w:p w:rsidR="005C2965" w:rsidRDefault="005C2965" w:rsidP="0029163E">
      <w:pPr>
        <w:pStyle w:val="Sansinterligne"/>
        <w:rPr>
          <w:b/>
          <w:sz w:val="28"/>
          <w:szCs w:val="28"/>
        </w:rPr>
      </w:pPr>
    </w:p>
    <w:p w:rsidR="005C2965" w:rsidRDefault="005C2965" w:rsidP="0029163E">
      <w:pPr>
        <w:pStyle w:val="Sansinterligne"/>
        <w:rPr>
          <w:b/>
          <w:sz w:val="28"/>
          <w:szCs w:val="28"/>
        </w:rPr>
      </w:pPr>
    </w:p>
    <w:p w:rsidR="001F62E0" w:rsidRPr="005430AB" w:rsidRDefault="001F62E0" w:rsidP="0029163E">
      <w:pPr>
        <w:pStyle w:val="Sansinterligne"/>
        <w:rPr>
          <w:b/>
          <w:sz w:val="28"/>
          <w:szCs w:val="28"/>
        </w:rPr>
      </w:pPr>
      <w:r w:rsidRPr="005430AB">
        <w:rPr>
          <w:b/>
          <w:sz w:val="28"/>
          <w:szCs w:val="28"/>
        </w:rPr>
        <w:t>Diagnostic</w:t>
      </w:r>
    </w:p>
    <w:p w:rsidR="001F62E0" w:rsidRDefault="001F62E0" w:rsidP="0029163E">
      <w:pPr>
        <w:pStyle w:val="Sansinterligne"/>
      </w:pPr>
    </w:p>
    <w:tbl>
      <w:tblPr>
        <w:tblStyle w:val="Grilledutableau"/>
        <w:tblW w:w="0" w:type="auto"/>
        <w:tblLook w:val="04A0" w:firstRow="1" w:lastRow="0" w:firstColumn="1" w:lastColumn="0" w:noHBand="0" w:noVBand="1"/>
      </w:tblPr>
      <w:tblGrid>
        <w:gridCol w:w="2943"/>
        <w:gridCol w:w="3969"/>
        <w:gridCol w:w="4028"/>
      </w:tblGrid>
      <w:tr w:rsidR="00A57A9E" w:rsidTr="00BE33A7">
        <w:tc>
          <w:tcPr>
            <w:tcW w:w="2943" w:type="dxa"/>
            <w:shd w:val="clear" w:color="auto" w:fill="9BBB59" w:themeFill="accent3"/>
          </w:tcPr>
          <w:p w:rsidR="00A57A9E" w:rsidRPr="00C32324" w:rsidRDefault="00A57A9E" w:rsidP="00C32324">
            <w:pPr>
              <w:pStyle w:val="Sansinterligne"/>
              <w:jc w:val="center"/>
              <w:rPr>
                <w:b/>
              </w:rPr>
            </w:pPr>
            <w:r w:rsidRPr="00C32324">
              <w:rPr>
                <w:b/>
              </w:rPr>
              <w:t>Diagnostic</w:t>
            </w:r>
          </w:p>
        </w:tc>
        <w:tc>
          <w:tcPr>
            <w:tcW w:w="3969" w:type="dxa"/>
            <w:shd w:val="clear" w:color="auto" w:fill="9BBB59" w:themeFill="accent3"/>
          </w:tcPr>
          <w:p w:rsidR="00A57A9E" w:rsidRPr="00C32324" w:rsidRDefault="00A57A9E" w:rsidP="00C32324">
            <w:pPr>
              <w:pStyle w:val="Sansinterligne"/>
              <w:jc w:val="center"/>
              <w:rPr>
                <w:b/>
              </w:rPr>
            </w:pPr>
            <w:r w:rsidRPr="00C32324">
              <w:rPr>
                <w:b/>
              </w:rPr>
              <w:t>Symptômes</w:t>
            </w:r>
          </w:p>
        </w:tc>
        <w:tc>
          <w:tcPr>
            <w:tcW w:w="4028" w:type="dxa"/>
            <w:shd w:val="clear" w:color="auto" w:fill="9BBB59" w:themeFill="accent3"/>
          </w:tcPr>
          <w:p w:rsidR="00A57A9E" w:rsidRPr="00C32324" w:rsidRDefault="00A57A9E" w:rsidP="00C32324">
            <w:pPr>
              <w:pStyle w:val="Sansinterligne"/>
              <w:jc w:val="center"/>
              <w:rPr>
                <w:b/>
              </w:rPr>
            </w:pPr>
            <w:r w:rsidRPr="00C32324">
              <w:rPr>
                <w:b/>
              </w:rPr>
              <w:t>Signes physiques / cliniques</w:t>
            </w:r>
          </w:p>
        </w:tc>
      </w:tr>
      <w:tr w:rsidR="00A57A9E" w:rsidTr="00BE33A7">
        <w:tc>
          <w:tcPr>
            <w:tcW w:w="2943" w:type="dxa"/>
            <w:shd w:val="clear" w:color="auto" w:fill="FFFF00"/>
            <w:vAlign w:val="center"/>
          </w:tcPr>
          <w:p w:rsidR="00A57A9E" w:rsidRPr="00CF1E22" w:rsidRDefault="00A57A9E" w:rsidP="00CF1E22">
            <w:pPr>
              <w:pStyle w:val="Sansinterligne"/>
              <w:jc w:val="center"/>
              <w:rPr>
                <w:b/>
              </w:rPr>
            </w:pPr>
            <w:r w:rsidRPr="00CF1E22">
              <w:rPr>
                <w:b/>
              </w:rPr>
              <w:t>Maladie d’Alzheimer</w:t>
            </w:r>
          </w:p>
          <w:p w:rsidR="00CC1E80" w:rsidRDefault="00A57A9E" w:rsidP="00CF1E22">
            <w:pPr>
              <w:pStyle w:val="Sansinterligne"/>
              <w:jc w:val="center"/>
            </w:pPr>
            <w:r>
              <w:t>(MA)</w:t>
            </w:r>
          </w:p>
          <w:p w:rsidR="00CC1E80" w:rsidRDefault="00CC1E80" w:rsidP="00CF1E22">
            <w:pPr>
              <w:pStyle w:val="Sansinterligne"/>
              <w:jc w:val="center"/>
            </w:pPr>
          </w:p>
          <w:p w:rsidR="00A57A9E" w:rsidRDefault="00CC1E80" w:rsidP="00CF1E22">
            <w:pPr>
              <w:pStyle w:val="Sansinterligne"/>
              <w:jc w:val="center"/>
            </w:pPr>
            <w:r>
              <w:rPr>
                <w:rFonts w:ascii="Century Gothic" w:hAnsi="Century Gothic"/>
              </w:rPr>
              <w:t>&gt;</w:t>
            </w:r>
            <w:r>
              <w:t>50% des démences</w:t>
            </w:r>
          </w:p>
        </w:tc>
        <w:tc>
          <w:tcPr>
            <w:tcW w:w="3969" w:type="dxa"/>
            <w:shd w:val="clear" w:color="auto" w:fill="FFFF00"/>
          </w:tcPr>
          <w:p w:rsidR="005B3B58" w:rsidRDefault="005B3B58" w:rsidP="00233789">
            <w:pPr>
              <w:pStyle w:val="Sansinterligne"/>
              <w:numPr>
                <w:ilvl w:val="0"/>
                <w:numId w:val="551"/>
              </w:numPr>
            </w:pPr>
            <w:r>
              <w:t xml:space="preserve">Progression </w:t>
            </w:r>
            <w:r w:rsidRPr="00006CA6">
              <w:rPr>
                <w:u w:val="single"/>
              </w:rPr>
              <w:t>au long cours</w:t>
            </w:r>
            <w:r>
              <w:t xml:space="preserve"> des symptômes (mois, années)</w:t>
            </w:r>
          </w:p>
          <w:p w:rsidR="00A57A9E" w:rsidRDefault="005B3B58" w:rsidP="00233789">
            <w:pPr>
              <w:pStyle w:val="Sansinterligne"/>
              <w:numPr>
                <w:ilvl w:val="0"/>
                <w:numId w:val="551"/>
              </w:numPr>
            </w:pPr>
            <w:r w:rsidRPr="00006CA6">
              <w:rPr>
                <w:u w:val="single"/>
              </w:rPr>
              <w:t xml:space="preserve">Perte de la mémoire récente </w:t>
            </w:r>
            <w:r>
              <w:rPr>
                <w:rFonts w:ascii="Century Gothic" w:hAnsi="Century Gothic"/>
              </w:rPr>
              <w:t>→</w:t>
            </w:r>
            <w:r>
              <w:t xml:space="preserve"> rétrograde</w:t>
            </w:r>
          </w:p>
          <w:p w:rsidR="005B3B58" w:rsidRDefault="005B3B58" w:rsidP="00233789">
            <w:pPr>
              <w:pStyle w:val="Sansinterligne"/>
              <w:numPr>
                <w:ilvl w:val="0"/>
                <w:numId w:val="551"/>
              </w:numPr>
            </w:pPr>
            <w:r>
              <w:t>(rapporté par les proches et non le patient)</w:t>
            </w:r>
          </w:p>
          <w:p w:rsidR="005B3B58" w:rsidRPr="00006CA6" w:rsidRDefault="005B3B58" w:rsidP="00233789">
            <w:pPr>
              <w:pStyle w:val="Sansinterligne"/>
              <w:numPr>
                <w:ilvl w:val="0"/>
                <w:numId w:val="551"/>
              </w:numPr>
              <w:rPr>
                <w:u w:val="single"/>
              </w:rPr>
            </w:pPr>
            <w:r w:rsidRPr="00006CA6">
              <w:rPr>
                <w:u w:val="single"/>
              </w:rPr>
              <w:t>Manque du mot</w:t>
            </w:r>
          </w:p>
          <w:p w:rsidR="005B3B58" w:rsidRDefault="005B3B58" w:rsidP="00233789">
            <w:pPr>
              <w:pStyle w:val="Sansinterligne"/>
              <w:numPr>
                <w:ilvl w:val="0"/>
                <w:numId w:val="551"/>
              </w:numPr>
            </w:pPr>
            <w:r>
              <w:t>Sommeil fragmenté</w:t>
            </w:r>
          </w:p>
          <w:p w:rsidR="005B3B58" w:rsidRDefault="005B3B58" w:rsidP="00233789">
            <w:pPr>
              <w:pStyle w:val="Sansinterligne"/>
              <w:numPr>
                <w:ilvl w:val="0"/>
                <w:numId w:val="551"/>
              </w:numPr>
            </w:pPr>
            <w:r>
              <w:t xml:space="preserve">Initialement orienté </w:t>
            </w:r>
            <w:r>
              <w:rPr>
                <w:rFonts w:ascii="Century Gothic" w:hAnsi="Century Gothic"/>
              </w:rPr>
              <w:t>→</w:t>
            </w:r>
            <w:r>
              <w:t xml:space="preserve"> désorienté</w:t>
            </w:r>
          </w:p>
        </w:tc>
        <w:tc>
          <w:tcPr>
            <w:tcW w:w="4028" w:type="dxa"/>
            <w:shd w:val="clear" w:color="auto" w:fill="FFFF00"/>
          </w:tcPr>
          <w:p w:rsidR="00A57A9E" w:rsidRPr="00006CA6" w:rsidRDefault="005B3B58" w:rsidP="00233789">
            <w:pPr>
              <w:pStyle w:val="Sansinterligne"/>
              <w:numPr>
                <w:ilvl w:val="0"/>
                <w:numId w:val="551"/>
              </w:numPr>
              <w:rPr>
                <w:u w:val="single"/>
              </w:rPr>
            </w:pPr>
            <w:r w:rsidRPr="00006CA6">
              <w:rPr>
                <w:u w:val="single"/>
              </w:rPr>
              <w:t>Agnosie</w:t>
            </w:r>
          </w:p>
          <w:p w:rsidR="005B3B58" w:rsidRDefault="005B3B58" w:rsidP="00233789">
            <w:pPr>
              <w:pStyle w:val="Sansinterligne"/>
              <w:numPr>
                <w:ilvl w:val="0"/>
                <w:numId w:val="551"/>
              </w:numPr>
            </w:pPr>
            <w:r>
              <w:t>Apraxies</w:t>
            </w:r>
          </w:p>
          <w:p w:rsidR="005B3B58" w:rsidRDefault="005B3B58" w:rsidP="00233789">
            <w:pPr>
              <w:pStyle w:val="Sansinterligne"/>
              <w:numPr>
                <w:ilvl w:val="0"/>
                <w:numId w:val="551"/>
              </w:numPr>
            </w:pPr>
            <w:r>
              <w:t>Aphasie</w:t>
            </w:r>
          </w:p>
          <w:p w:rsidR="005B3B58" w:rsidRDefault="005B3B58" w:rsidP="00233789">
            <w:pPr>
              <w:pStyle w:val="Sansinterligne"/>
              <w:numPr>
                <w:ilvl w:val="0"/>
                <w:numId w:val="551"/>
              </w:numPr>
            </w:pPr>
            <w:r>
              <w:t>Compréhension altérée</w:t>
            </w:r>
          </w:p>
          <w:p w:rsidR="005B3B58" w:rsidRPr="00006CA6" w:rsidRDefault="005B3B58" w:rsidP="00233789">
            <w:pPr>
              <w:pStyle w:val="Sansinterligne"/>
              <w:numPr>
                <w:ilvl w:val="0"/>
                <w:numId w:val="551"/>
              </w:numPr>
              <w:rPr>
                <w:u w:val="single"/>
              </w:rPr>
            </w:pPr>
            <w:r w:rsidRPr="00006CA6">
              <w:rPr>
                <w:u w:val="single"/>
              </w:rPr>
              <w:t>Répétition</w:t>
            </w:r>
          </w:p>
          <w:p w:rsidR="005B3B58" w:rsidRDefault="005B3B58" w:rsidP="00233789">
            <w:pPr>
              <w:pStyle w:val="Sansinterligne"/>
              <w:numPr>
                <w:ilvl w:val="0"/>
                <w:numId w:val="551"/>
              </w:numPr>
            </w:pPr>
            <w:r>
              <w:t>Écholalie, palilalie</w:t>
            </w:r>
          </w:p>
          <w:p w:rsidR="005B3B58" w:rsidRPr="00006CA6" w:rsidRDefault="005B3B58" w:rsidP="00233789">
            <w:pPr>
              <w:pStyle w:val="Sansinterligne"/>
              <w:numPr>
                <w:ilvl w:val="0"/>
                <w:numId w:val="551"/>
              </w:numPr>
              <w:rPr>
                <w:u w:val="single"/>
              </w:rPr>
            </w:pPr>
            <w:r w:rsidRPr="00006CA6">
              <w:rPr>
                <w:u w:val="single"/>
              </w:rPr>
              <w:t xml:space="preserve">Rappel difficile </w:t>
            </w:r>
          </w:p>
          <w:p w:rsidR="005B3B58" w:rsidRPr="00006CA6" w:rsidRDefault="005B3B58" w:rsidP="00233789">
            <w:pPr>
              <w:pStyle w:val="Sansinterligne"/>
              <w:numPr>
                <w:ilvl w:val="1"/>
                <w:numId w:val="551"/>
              </w:numPr>
              <w:rPr>
                <w:u w:val="single"/>
              </w:rPr>
            </w:pPr>
            <w:r w:rsidRPr="00006CA6">
              <w:rPr>
                <w:rFonts w:cs="Times New Roman"/>
                <w:u w:val="single"/>
              </w:rPr>
              <w:t>Ø</w:t>
            </w:r>
            <w:r w:rsidRPr="00006CA6">
              <w:rPr>
                <w:u w:val="single"/>
              </w:rPr>
              <w:t xml:space="preserve"> amélioré avec indice</w:t>
            </w:r>
          </w:p>
          <w:p w:rsidR="00402486" w:rsidRDefault="00402486" w:rsidP="00402486">
            <w:pPr>
              <w:pStyle w:val="Sansinterligne"/>
              <w:ind w:left="1080"/>
            </w:pPr>
          </w:p>
        </w:tc>
      </w:tr>
      <w:tr w:rsidR="00A57A9E" w:rsidTr="00BE33A7">
        <w:tc>
          <w:tcPr>
            <w:tcW w:w="2943" w:type="dxa"/>
            <w:shd w:val="clear" w:color="auto" w:fill="FFFF00"/>
            <w:vAlign w:val="center"/>
          </w:tcPr>
          <w:p w:rsidR="00CC1E80" w:rsidRPr="00CF1E22" w:rsidRDefault="00A57A9E" w:rsidP="00CF1E22">
            <w:pPr>
              <w:pStyle w:val="Sansinterligne"/>
              <w:jc w:val="center"/>
              <w:rPr>
                <w:b/>
              </w:rPr>
            </w:pPr>
            <w:r w:rsidRPr="00CF1E22">
              <w:rPr>
                <w:b/>
              </w:rPr>
              <w:t>Démence vasculaire</w:t>
            </w:r>
          </w:p>
          <w:p w:rsidR="00CF1E22" w:rsidRDefault="00CF1E22" w:rsidP="00CF1E22">
            <w:pPr>
              <w:pStyle w:val="Sansinterligne"/>
              <w:jc w:val="center"/>
            </w:pPr>
          </w:p>
          <w:p w:rsidR="00A57A9E" w:rsidRDefault="00CC1E80" w:rsidP="00CF1E22">
            <w:pPr>
              <w:pStyle w:val="Sansinterligne"/>
              <w:jc w:val="center"/>
            </w:pPr>
            <w:r>
              <w:rPr>
                <w:rFonts w:cs="Times New Roman"/>
              </w:rPr>
              <w:t>~</w:t>
            </w:r>
            <w:r>
              <w:t>15% des démences</w:t>
            </w:r>
          </w:p>
        </w:tc>
        <w:tc>
          <w:tcPr>
            <w:tcW w:w="3969" w:type="dxa"/>
            <w:shd w:val="clear" w:color="auto" w:fill="FFFF00"/>
          </w:tcPr>
          <w:p w:rsidR="005B3B58" w:rsidRDefault="005B3B58" w:rsidP="00233789">
            <w:pPr>
              <w:pStyle w:val="Sansinterligne"/>
              <w:numPr>
                <w:ilvl w:val="0"/>
                <w:numId w:val="551"/>
              </w:numPr>
            </w:pPr>
            <w:r w:rsidRPr="00006CA6">
              <w:rPr>
                <w:u w:val="single"/>
              </w:rPr>
              <w:t>Apparition subite</w:t>
            </w:r>
            <w:r>
              <w:t xml:space="preserve"> / paliers </w:t>
            </w:r>
          </w:p>
          <w:p w:rsidR="005B3B58" w:rsidRPr="00006CA6" w:rsidRDefault="005B3B58" w:rsidP="00233789">
            <w:pPr>
              <w:pStyle w:val="Sansinterligne"/>
              <w:numPr>
                <w:ilvl w:val="0"/>
                <w:numId w:val="551"/>
              </w:numPr>
              <w:rPr>
                <w:u w:val="single"/>
              </w:rPr>
            </w:pPr>
            <w:r w:rsidRPr="00006CA6">
              <w:rPr>
                <w:u w:val="single"/>
              </w:rPr>
              <w:t xml:space="preserve">Plaintes </w:t>
            </w:r>
            <w:r w:rsidR="00442E89" w:rsidRPr="00006CA6">
              <w:rPr>
                <w:u w:val="single"/>
              </w:rPr>
              <w:t>de</w:t>
            </w:r>
            <w:r w:rsidRPr="00006CA6">
              <w:rPr>
                <w:u w:val="single"/>
              </w:rPr>
              <w:t xml:space="preserve"> </w:t>
            </w:r>
            <w:r w:rsidRPr="00006CA6">
              <w:rPr>
                <w:rFonts w:cs="Times New Roman"/>
                <w:u w:val="single"/>
              </w:rPr>
              <w:t>↓</w:t>
            </w:r>
            <w:r w:rsidRPr="00006CA6">
              <w:rPr>
                <w:u w:val="single"/>
              </w:rPr>
              <w:t xml:space="preserve"> mémoire</w:t>
            </w:r>
          </w:p>
          <w:p w:rsidR="00A57A9E" w:rsidRPr="00006CA6" w:rsidRDefault="005B3B58" w:rsidP="00233789">
            <w:pPr>
              <w:pStyle w:val="Sansinterligne"/>
              <w:numPr>
                <w:ilvl w:val="0"/>
                <w:numId w:val="551"/>
              </w:numPr>
              <w:rPr>
                <w:u w:val="single"/>
              </w:rPr>
            </w:pPr>
            <w:r w:rsidRPr="00006CA6">
              <w:rPr>
                <w:u w:val="single"/>
              </w:rPr>
              <w:t>Attention diminuée</w:t>
            </w:r>
          </w:p>
          <w:p w:rsidR="005B3B58" w:rsidRDefault="005B3B58" w:rsidP="00233789">
            <w:pPr>
              <w:pStyle w:val="Sansinterligne"/>
              <w:numPr>
                <w:ilvl w:val="0"/>
                <w:numId w:val="551"/>
              </w:numPr>
            </w:pPr>
            <w:r>
              <w:t>Difficulté à verbaliser (aphasie, dysarthrie)</w:t>
            </w:r>
          </w:p>
          <w:p w:rsidR="005B3B58" w:rsidRDefault="005B3B58" w:rsidP="00233789">
            <w:pPr>
              <w:pStyle w:val="Sansinterligne"/>
              <w:numPr>
                <w:ilvl w:val="0"/>
                <w:numId w:val="551"/>
              </w:numPr>
            </w:pPr>
            <w:r>
              <w:t>Symptômes neurologiques focaux subtils</w:t>
            </w:r>
          </w:p>
          <w:p w:rsidR="005B3B58" w:rsidRDefault="005B3B58" w:rsidP="00233789">
            <w:pPr>
              <w:pStyle w:val="Sansinterligne"/>
              <w:numPr>
                <w:ilvl w:val="0"/>
                <w:numId w:val="551"/>
              </w:numPr>
            </w:pPr>
            <w:r>
              <w:t xml:space="preserve">Humeur labile </w:t>
            </w:r>
            <w:r>
              <w:rPr>
                <w:rFonts w:cs="Times New Roman"/>
              </w:rPr>
              <w:t>±</w:t>
            </w:r>
            <w:r>
              <w:t xml:space="preserve"> dépressive</w:t>
            </w:r>
          </w:p>
        </w:tc>
        <w:tc>
          <w:tcPr>
            <w:tcW w:w="4028" w:type="dxa"/>
            <w:shd w:val="clear" w:color="auto" w:fill="FFFF00"/>
          </w:tcPr>
          <w:p w:rsidR="00A57A9E" w:rsidRDefault="005B3B58" w:rsidP="00233789">
            <w:pPr>
              <w:pStyle w:val="Sansinterligne"/>
              <w:numPr>
                <w:ilvl w:val="0"/>
                <w:numId w:val="551"/>
              </w:numPr>
            </w:pPr>
            <w:r>
              <w:t>Attention diminuée</w:t>
            </w:r>
          </w:p>
          <w:p w:rsidR="005B3B58" w:rsidRPr="00006CA6" w:rsidRDefault="005B3B58" w:rsidP="00233789">
            <w:pPr>
              <w:pStyle w:val="Sansinterligne"/>
              <w:numPr>
                <w:ilvl w:val="0"/>
                <w:numId w:val="551"/>
              </w:numPr>
              <w:rPr>
                <w:u w:val="single"/>
              </w:rPr>
            </w:pPr>
            <w:r w:rsidRPr="00006CA6">
              <w:rPr>
                <w:u w:val="single"/>
              </w:rPr>
              <w:t>Orienté</w:t>
            </w:r>
          </w:p>
          <w:p w:rsidR="00CF1E22" w:rsidRPr="00006CA6" w:rsidRDefault="00CF1E22" w:rsidP="00233789">
            <w:pPr>
              <w:pStyle w:val="Sansinterligne"/>
              <w:numPr>
                <w:ilvl w:val="0"/>
                <w:numId w:val="551"/>
              </w:numPr>
              <w:rPr>
                <w:u w:val="single"/>
              </w:rPr>
            </w:pPr>
            <w:r w:rsidRPr="00006CA6">
              <w:rPr>
                <w:rFonts w:cs="Times New Roman"/>
                <w:u w:val="single"/>
              </w:rPr>
              <w:t>↓</w:t>
            </w:r>
            <w:r w:rsidRPr="00006CA6">
              <w:rPr>
                <w:u w:val="single"/>
              </w:rPr>
              <w:t xml:space="preserve"> fluidité verbale</w:t>
            </w:r>
          </w:p>
          <w:p w:rsidR="005B3B58" w:rsidRPr="00006CA6" w:rsidRDefault="00CF1E22" w:rsidP="00233789">
            <w:pPr>
              <w:pStyle w:val="Sansinterligne"/>
              <w:numPr>
                <w:ilvl w:val="0"/>
                <w:numId w:val="551"/>
              </w:numPr>
              <w:rPr>
                <w:u w:val="single"/>
              </w:rPr>
            </w:pPr>
            <w:r w:rsidRPr="00006CA6">
              <w:rPr>
                <w:rFonts w:cs="Times New Roman"/>
                <w:u w:val="single"/>
              </w:rPr>
              <w:t xml:space="preserve">↓ </w:t>
            </w:r>
            <w:r w:rsidRPr="00006CA6">
              <w:rPr>
                <w:u w:val="single"/>
              </w:rPr>
              <w:t>Rappel</w:t>
            </w:r>
            <w:r w:rsidR="005B3B58" w:rsidRPr="00006CA6">
              <w:rPr>
                <w:u w:val="single"/>
              </w:rPr>
              <w:t>, mais moins que MA</w:t>
            </w:r>
          </w:p>
          <w:p w:rsidR="005B3B58" w:rsidRPr="00006CA6" w:rsidRDefault="005B3B58" w:rsidP="00233789">
            <w:pPr>
              <w:pStyle w:val="Sansinterligne"/>
              <w:numPr>
                <w:ilvl w:val="1"/>
                <w:numId w:val="551"/>
              </w:numPr>
              <w:rPr>
                <w:u w:val="single"/>
              </w:rPr>
            </w:pPr>
            <w:r w:rsidRPr="00006CA6">
              <w:rPr>
                <w:u w:val="single"/>
              </w:rPr>
              <w:t>Amélioré avec indice</w:t>
            </w:r>
          </w:p>
          <w:p w:rsidR="005B3B58" w:rsidRDefault="005B3B58" w:rsidP="00233789">
            <w:pPr>
              <w:pStyle w:val="Sansinterligne"/>
              <w:numPr>
                <w:ilvl w:val="0"/>
                <w:numId w:val="551"/>
              </w:numPr>
              <w:rPr>
                <w:rFonts w:cs="Times New Roman"/>
              </w:rPr>
            </w:pPr>
            <w:r w:rsidRPr="00006CA6">
              <w:rPr>
                <w:rFonts w:cs="Times New Roman"/>
                <w:u w:val="single"/>
              </w:rPr>
              <w:t>Atteinte exécutive (</w:t>
            </w:r>
            <w:r w:rsidR="00212115" w:rsidRPr="00006CA6">
              <w:rPr>
                <w:rFonts w:cs="Times New Roman"/>
                <w:u w:val="single"/>
              </w:rPr>
              <w:t>sens des proverbes, planification</w:t>
            </w:r>
            <w:r w:rsidR="00212115">
              <w:rPr>
                <w:rFonts w:cs="Times New Roman"/>
              </w:rPr>
              <w:t>)</w:t>
            </w:r>
          </w:p>
          <w:p w:rsidR="00212115" w:rsidRDefault="00212115" w:rsidP="00233789">
            <w:pPr>
              <w:pStyle w:val="Sansinterligne"/>
              <w:numPr>
                <w:ilvl w:val="0"/>
                <w:numId w:val="551"/>
              </w:numPr>
              <w:rPr>
                <w:rFonts w:cs="Times New Roman"/>
              </w:rPr>
            </w:pPr>
            <w:r>
              <w:rPr>
                <w:rFonts w:cs="Times New Roman"/>
              </w:rPr>
              <w:t>Dyscalculie</w:t>
            </w:r>
          </w:p>
          <w:p w:rsidR="00212115" w:rsidRDefault="00212115" w:rsidP="00233789">
            <w:pPr>
              <w:pStyle w:val="Sansinterligne"/>
              <w:numPr>
                <w:ilvl w:val="0"/>
                <w:numId w:val="551"/>
              </w:numPr>
              <w:rPr>
                <w:rFonts w:cs="Times New Roman"/>
              </w:rPr>
            </w:pPr>
            <w:r>
              <w:rPr>
                <w:rFonts w:cs="Times New Roman"/>
              </w:rPr>
              <w:t>Dysgraphie</w:t>
            </w:r>
          </w:p>
          <w:p w:rsidR="00212115" w:rsidRDefault="00212115" w:rsidP="00233789">
            <w:pPr>
              <w:pStyle w:val="Sansinterligne"/>
              <w:numPr>
                <w:ilvl w:val="0"/>
                <w:numId w:val="551"/>
              </w:numPr>
            </w:pPr>
            <w:r>
              <w:rPr>
                <w:rFonts w:cs="Times New Roman"/>
              </w:rPr>
              <w:t>Symptômes neurologiques focaux</w:t>
            </w:r>
          </w:p>
        </w:tc>
      </w:tr>
      <w:tr w:rsidR="008940D7" w:rsidTr="00BE33A7">
        <w:tc>
          <w:tcPr>
            <w:tcW w:w="2943" w:type="dxa"/>
            <w:vAlign w:val="center"/>
          </w:tcPr>
          <w:p w:rsidR="008940D7" w:rsidRDefault="008940D7" w:rsidP="00C13358">
            <w:pPr>
              <w:pStyle w:val="Sansinterligne"/>
              <w:jc w:val="center"/>
            </w:pPr>
            <w:r>
              <w:t>Démence frontotemporale</w:t>
            </w:r>
          </w:p>
        </w:tc>
        <w:tc>
          <w:tcPr>
            <w:tcW w:w="3969" w:type="dxa"/>
          </w:tcPr>
          <w:p w:rsidR="00CA5075" w:rsidRPr="00CA5075" w:rsidRDefault="00CA5075" w:rsidP="0029163E">
            <w:pPr>
              <w:pStyle w:val="Sansinterligne"/>
              <w:rPr>
                <w:u w:val="single"/>
              </w:rPr>
            </w:pPr>
            <w:r w:rsidRPr="00CA5075">
              <w:rPr>
                <w:u w:val="single"/>
              </w:rPr>
              <w:t>Comportementale (</w:t>
            </w:r>
            <w:r>
              <w:rPr>
                <w:u w:val="single"/>
              </w:rPr>
              <w:t>syndrome</w:t>
            </w:r>
            <w:r w:rsidRPr="00CA5075">
              <w:rPr>
                <w:u w:val="single"/>
              </w:rPr>
              <w:t>)</w:t>
            </w:r>
          </w:p>
          <w:p w:rsidR="008940D7" w:rsidRDefault="00CA5075" w:rsidP="00233789">
            <w:pPr>
              <w:pStyle w:val="Sansinterligne"/>
              <w:numPr>
                <w:ilvl w:val="0"/>
                <w:numId w:val="554"/>
              </w:numPr>
            </w:pPr>
            <w:r>
              <w:t>Désinhibition</w:t>
            </w:r>
          </w:p>
          <w:p w:rsidR="00CA5075" w:rsidRDefault="00CA5075" w:rsidP="00233789">
            <w:pPr>
              <w:pStyle w:val="Sansinterligne"/>
              <w:numPr>
                <w:ilvl w:val="0"/>
                <w:numId w:val="554"/>
              </w:numPr>
            </w:pPr>
            <w:r>
              <w:t>Comportements compulsifs</w:t>
            </w:r>
          </w:p>
          <w:p w:rsidR="00CA5075" w:rsidRDefault="00CA5075" w:rsidP="00233789">
            <w:pPr>
              <w:pStyle w:val="Sansinterligne"/>
              <w:numPr>
                <w:ilvl w:val="0"/>
                <w:numId w:val="554"/>
              </w:numPr>
            </w:pPr>
            <w:r>
              <w:t>Hyperoralité (</w:t>
            </w:r>
            <w:r>
              <w:rPr>
                <w:rFonts w:cs="Times New Roman"/>
              </w:rPr>
              <w:t>∆</w:t>
            </w:r>
            <w:r>
              <w:t xml:space="preserve"> alimentaire, rage alimentaire)</w:t>
            </w:r>
          </w:p>
          <w:p w:rsidR="00CA5075" w:rsidRDefault="00CA5075" w:rsidP="00233789">
            <w:pPr>
              <w:pStyle w:val="Sansinterligne"/>
              <w:numPr>
                <w:ilvl w:val="0"/>
                <w:numId w:val="554"/>
              </w:numPr>
            </w:pPr>
            <w:r>
              <w:t>Apathie</w:t>
            </w:r>
          </w:p>
          <w:p w:rsidR="00CA5075" w:rsidRDefault="00CA5075" w:rsidP="00233789">
            <w:pPr>
              <w:pStyle w:val="Sansinterligne"/>
              <w:numPr>
                <w:ilvl w:val="0"/>
                <w:numId w:val="554"/>
              </w:numPr>
            </w:pPr>
            <w:r>
              <w:t>Perte d’empathie</w:t>
            </w:r>
          </w:p>
          <w:p w:rsidR="00CA5075" w:rsidRDefault="00CA5075" w:rsidP="0029163E">
            <w:pPr>
              <w:pStyle w:val="Sansinterligne"/>
            </w:pPr>
          </w:p>
          <w:p w:rsidR="00CA5075" w:rsidRDefault="00CA5075" w:rsidP="0029163E">
            <w:pPr>
              <w:pStyle w:val="Sansinterligne"/>
              <w:rPr>
                <w:u w:val="single"/>
              </w:rPr>
            </w:pPr>
            <w:r w:rsidRPr="00CA5075">
              <w:rPr>
                <w:u w:val="single"/>
              </w:rPr>
              <w:t>Aphasie primaire progressive (</w:t>
            </w:r>
            <w:r>
              <w:rPr>
                <w:u w:val="single"/>
              </w:rPr>
              <w:t>syndrome</w:t>
            </w:r>
            <w:r w:rsidRPr="00CA5075">
              <w:rPr>
                <w:u w:val="single"/>
              </w:rPr>
              <w:t>)</w:t>
            </w:r>
          </w:p>
          <w:p w:rsidR="00CA5075" w:rsidRPr="00CA5075" w:rsidRDefault="00CA5075" w:rsidP="00233789">
            <w:pPr>
              <w:pStyle w:val="Sansinterligne"/>
              <w:numPr>
                <w:ilvl w:val="0"/>
                <w:numId w:val="555"/>
              </w:numPr>
            </w:pPr>
            <w:r w:rsidRPr="00CA5075">
              <w:t>Troubles du langage</w:t>
            </w:r>
          </w:p>
          <w:p w:rsidR="00CA5075" w:rsidRPr="00CA5075" w:rsidRDefault="00CA5075" w:rsidP="00233789">
            <w:pPr>
              <w:pStyle w:val="Sansinterligne"/>
              <w:numPr>
                <w:ilvl w:val="1"/>
                <w:numId w:val="555"/>
              </w:numPr>
            </w:pPr>
            <w:r w:rsidRPr="00CA5075">
              <w:t>Fluidité (non-fluide)</w:t>
            </w:r>
          </w:p>
          <w:p w:rsidR="00CA5075" w:rsidRPr="00CA5075" w:rsidRDefault="00CA5075" w:rsidP="00233789">
            <w:pPr>
              <w:pStyle w:val="Sansinterligne"/>
              <w:numPr>
                <w:ilvl w:val="1"/>
                <w:numId w:val="555"/>
              </w:numPr>
            </w:pPr>
            <w:r w:rsidRPr="00CA5075">
              <w:t>Sémantique (perte de sens)</w:t>
            </w:r>
          </w:p>
          <w:p w:rsidR="00CA5075" w:rsidRPr="00BF3F05" w:rsidRDefault="00CA5075" w:rsidP="00233789">
            <w:pPr>
              <w:pStyle w:val="Sansinterligne"/>
              <w:numPr>
                <w:ilvl w:val="1"/>
                <w:numId w:val="555"/>
              </w:numPr>
            </w:pPr>
            <w:r w:rsidRPr="00CA5075">
              <w:t>Logopénique</w:t>
            </w:r>
          </w:p>
        </w:tc>
        <w:tc>
          <w:tcPr>
            <w:tcW w:w="4028" w:type="dxa"/>
          </w:tcPr>
          <w:p w:rsidR="00E5467A" w:rsidRDefault="00E5467A" w:rsidP="0029163E">
            <w:pPr>
              <w:pStyle w:val="Sansinterligne"/>
            </w:pPr>
          </w:p>
          <w:p w:rsidR="008940D7" w:rsidRDefault="00E5467A" w:rsidP="00233789">
            <w:pPr>
              <w:pStyle w:val="Sansinterligne"/>
              <w:numPr>
                <w:ilvl w:val="0"/>
                <w:numId w:val="555"/>
              </w:numPr>
            </w:pPr>
            <w:r>
              <w:t>Peu contributoire</w:t>
            </w:r>
          </w:p>
        </w:tc>
      </w:tr>
      <w:tr w:rsidR="007348A6" w:rsidTr="00BE33A7">
        <w:tc>
          <w:tcPr>
            <w:tcW w:w="2943" w:type="dxa"/>
            <w:shd w:val="clear" w:color="auto" w:fill="FFFF00"/>
            <w:vAlign w:val="center"/>
          </w:tcPr>
          <w:p w:rsidR="007348A6" w:rsidRPr="000A39BF" w:rsidRDefault="007348A6" w:rsidP="007348A6">
            <w:pPr>
              <w:pStyle w:val="Sansinterligne"/>
              <w:jc w:val="center"/>
              <w:rPr>
                <w:b/>
              </w:rPr>
            </w:pPr>
            <w:r w:rsidRPr="000A39BF">
              <w:rPr>
                <w:b/>
              </w:rPr>
              <w:t xml:space="preserve">Pseudodémence dépressive </w:t>
            </w:r>
          </w:p>
          <w:p w:rsidR="007348A6" w:rsidRDefault="007348A6" w:rsidP="007348A6">
            <w:pPr>
              <w:pStyle w:val="Sansinterligne"/>
              <w:jc w:val="center"/>
            </w:pPr>
          </w:p>
          <w:p w:rsidR="007348A6" w:rsidRDefault="007348A6" w:rsidP="007348A6">
            <w:pPr>
              <w:pStyle w:val="Sansinterligne"/>
              <w:jc w:val="center"/>
            </w:pPr>
            <w:r>
              <w:t>(</w:t>
            </w:r>
            <w:r>
              <w:rPr>
                <w:rFonts w:cs="Times New Roman"/>
              </w:rPr>
              <w:t>Ø</w:t>
            </w:r>
            <w:r>
              <w:t xml:space="preserve"> diagnostic, syndrome clinique à éliminer)</w:t>
            </w:r>
          </w:p>
        </w:tc>
        <w:tc>
          <w:tcPr>
            <w:tcW w:w="3969" w:type="dxa"/>
            <w:shd w:val="clear" w:color="auto" w:fill="FFFF00"/>
          </w:tcPr>
          <w:p w:rsidR="007348A6" w:rsidRDefault="000A39BF" w:rsidP="00233789">
            <w:pPr>
              <w:pStyle w:val="Sansinterligne"/>
              <w:numPr>
                <w:ilvl w:val="0"/>
                <w:numId w:val="559"/>
              </w:numPr>
            </w:pPr>
            <w:r>
              <w:rPr>
                <w:rFonts w:cs="Times New Roman"/>
              </w:rPr>
              <w:t>↓</w:t>
            </w:r>
            <w:r>
              <w:t xml:space="preserve"> Attention</w:t>
            </w:r>
          </w:p>
          <w:p w:rsidR="000A39BF" w:rsidRDefault="000A39BF" w:rsidP="00233789">
            <w:pPr>
              <w:pStyle w:val="Sansinterligne"/>
              <w:numPr>
                <w:ilvl w:val="0"/>
                <w:numId w:val="559"/>
              </w:numPr>
              <w:rPr>
                <w:rFonts w:cs="Times New Roman"/>
              </w:rPr>
            </w:pPr>
            <w:r>
              <w:rPr>
                <w:rFonts w:cs="Times New Roman"/>
              </w:rPr>
              <w:t>Anhédonie</w:t>
            </w:r>
          </w:p>
          <w:p w:rsidR="000A39BF" w:rsidRDefault="000A39BF" w:rsidP="00233789">
            <w:pPr>
              <w:pStyle w:val="Sansinterligne"/>
              <w:numPr>
                <w:ilvl w:val="0"/>
                <w:numId w:val="559"/>
              </w:numPr>
              <w:rPr>
                <w:rFonts w:cs="Times New Roman"/>
              </w:rPr>
            </w:pPr>
            <w:r>
              <w:rPr>
                <w:rFonts w:cs="Times New Roman"/>
              </w:rPr>
              <w:t>Tristesse / Idées noires</w:t>
            </w:r>
          </w:p>
          <w:p w:rsidR="000A39BF" w:rsidRDefault="000A39BF" w:rsidP="00233789">
            <w:pPr>
              <w:pStyle w:val="Sansinterligne"/>
              <w:numPr>
                <w:ilvl w:val="0"/>
                <w:numId w:val="559"/>
              </w:numPr>
              <w:rPr>
                <w:rFonts w:cs="Times New Roman"/>
              </w:rPr>
            </w:pPr>
            <w:r>
              <w:rPr>
                <w:rFonts w:cs="Times New Roman"/>
              </w:rPr>
              <w:t>∆ appétit</w:t>
            </w:r>
          </w:p>
          <w:p w:rsidR="000A39BF" w:rsidRDefault="000A39BF" w:rsidP="00233789">
            <w:pPr>
              <w:pStyle w:val="Sansinterligne"/>
              <w:numPr>
                <w:ilvl w:val="0"/>
                <w:numId w:val="559"/>
              </w:numPr>
              <w:rPr>
                <w:rFonts w:cs="Times New Roman"/>
              </w:rPr>
            </w:pPr>
            <w:r>
              <w:rPr>
                <w:rFonts w:cs="Times New Roman"/>
              </w:rPr>
              <w:t>Insomnie</w:t>
            </w:r>
          </w:p>
          <w:p w:rsidR="000A39BF" w:rsidRPr="000A39BF" w:rsidRDefault="000A39BF" w:rsidP="00233789">
            <w:pPr>
              <w:pStyle w:val="Sansinterligne"/>
              <w:numPr>
                <w:ilvl w:val="0"/>
                <w:numId w:val="559"/>
              </w:numPr>
            </w:pPr>
            <w:r>
              <w:rPr>
                <w:rFonts w:cs="Times New Roman"/>
              </w:rPr>
              <w:t>Lien avec stresseurs et contexte</w:t>
            </w:r>
          </w:p>
        </w:tc>
        <w:tc>
          <w:tcPr>
            <w:tcW w:w="4028" w:type="dxa"/>
            <w:shd w:val="clear" w:color="auto" w:fill="FFFF00"/>
          </w:tcPr>
          <w:p w:rsidR="007348A6" w:rsidRDefault="000A39BF" w:rsidP="00233789">
            <w:pPr>
              <w:pStyle w:val="Sansinterligne"/>
              <w:numPr>
                <w:ilvl w:val="0"/>
                <w:numId w:val="560"/>
              </w:numPr>
            </w:pPr>
            <w:r>
              <w:t>Orienté</w:t>
            </w:r>
          </w:p>
          <w:p w:rsidR="000A39BF" w:rsidRDefault="000A39BF" w:rsidP="00233789">
            <w:pPr>
              <w:pStyle w:val="Sansinterligne"/>
              <w:numPr>
                <w:ilvl w:val="0"/>
                <w:numId w:val="560"/>
              </w:numPr>
            </w:pPr>
            <w:r>
              <w:t>Attention diminuée</w:t>
            </w:r>
          </w:p>
          <w:p w:rsidR="000A39BF" w:rsidRDefault="000A39BF" w:rsidP="00233789">
            <w:pPr>
              <w:pStyle w:val="Sansinterligne"/>
              <w:numPr>
                <w:ilvl w:val="0"/>
                <w:numId w:val="560"/>
              </w:numPr>
            </w:pPr>
            <w:r>
              <w:t>Ralentissement psychomoteur</w:t>
            </w:r>
          </w:p>
          <w:p w:rsidR="000A39BF" w:rsidRDefault="000A39BF" w:rsidP="00233789">
            <w:pPr>
              <w:pStyle w:val="Sansinterligne"/>
              <w:numPr>
                <w:ilvl w:val="0"/>
                <w:numId w:val="560"/>
              </w:numPr>
            </w:pPr>
            <w:r>
              <w:rPr>
                <w:rFonts w:cs="Times New Roman"/>
              </w:rPr>
              <w:t>↓</w:t>
            </w:r>
            <w:r>
              <w:t xml:space="preserve"> fonctions exécutives</w:t>
            </w:r>
          </w:p>
        </w:tc>
      </w:tr>
    </w:tbl>
    <w:p w:rsidR="005B5C46" w:rsidRDefault="005B5C46" w:rsidP="00443A1C">
      <w:pPr>
        <w:pStyle w:val="Sansinterligne"/>
      </w:pPr>
    </w:p>
    <w:p w:rsidR="00620B7C" w:rsidRDefault="005C2965" w:rsidP="00443A1C">
      <w:pPr>
        <w:pStyle w:val="Sansinterligne"/>
      </w:pPr>
      <w:r>
        <w:rPr>
          <w:noProof/>
          <w:lang w:eastAsia="fr-CA"/>
        </w:rPr>
        <mc:AlternateContent>
          <mc:Choice Requires="wpg">
            <w:drawing>
              <wp:anchor distT="0" distB="0" distL="114300" distR="114300" simplePos="0" relativeHeight="251815936" behindDoc="0" locked="0" layoutInCell="1" allowOverlap="1" wp14:anchorId="1EE4D0D5" wp14:editId="4B2C3C31">
                <wp:simplePos x="0" y="0"/>
                <wp:positionH relativeFrom="column">
                  <wp:posOffset>85725</wp:posOffset>
                </wp:positionH>
                <wp:positionV relativeFrom="paragraph">
                  <wp:posOffset>15875</wp:posOffset>
                </wp:positionV>
                <wp:extent cx="6925945" cy="1517015"/>
                <wp:effectExtent l="0" t="0" r="8255" b="6985"/>
                <wp:wrapNone/>
                <wp:docPr id="335" name="Groupe 335"/>
                <wp:cNvGraphicFramePr/>
                <a:graphic xmlns:a="http://schemas.openxmlformats.org/drawingml/2006/main">
                  <a:graphicData uri="http://schemas.microsoft.com/office/word/2010/wordprocessingGroup">
                    <wpg:wgp>
                      <wpg:cNvGrpSpPr/>
                      <wpg:grpSpPr>
                        <a:xfrm>
                          <a:off x="0" y="0"/>
                          <a:ext cx="6925945" cy="1517015"/>
                          <a:chOff x="0" y="0"/>
                          <a:chExt cx="6926094" cy="1517515"/>
                        </a:xfrm>
                      </wpg:grpSpPr>
                      <pic:pic xmlns:pic="http://schemas.openxmlformats.org/drawingml/2006/picture">
                        <pic:nvPicPr>
                          <pic:cNvPr id="333" name="Image 333" descr="Résultats de recherche d'images pour « syndrome de korsakoff »"/>
                          <pic:cNvPicPr>
                            <a:picLocks noChangeAspect="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2461098" cy="1517515"/>
                          </a:xfrm>
                          <a:prstGeom prst="rect">
                            <a:avLst/>
                          </a:prstGeom>
                          <a:noFill/>
                          <a:ln>
                            <a:noFill/>
                          </a:ln>
                        </pic:spPr>
                      </pic:pic>
                      <pic:pic xmlns:pic="http://schemas.openxmlformats.org/drawingml/2006/picture">
                        <pic:nvPicPr>
                          <pic:cNvPr id="334" name="Image 334" descr="Résultats de recherche d'images pour « syndrome de korsakoff »"/>
                          <pic:cNvPicPr>
                            <a:picLocks noChangeAspect="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flipH="1">
                            <a:off x="4464996" y="0"/>
                            <a:ext cx="2461098" cy="1517515"/>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id="Groupe 335" o:spid="_x0000_s1026" style="position:absolute;margin-left:6.75pt;margin-top:1.25pt;width:545.35pt;height:119.45pt;z-index:251815936;mso-width-relative:margin;mso-height-relative:margin" coordsize="69260,1517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">
                <v:shape id="Image 333" o:spid="_x0000_s1027" type="#_x0000_t75" alt="Résultats de recherche d'images pour « syndrome de korsakoff »" style="position:absolute;width:24610;height:151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q/2mXEAAAA3AAAAA8AAABkcnMvZG93bnJldi54bWxEj0FrwkAUhO+F/oflCb3VjQZbia5ShFJP&#10;WmMPHh/ZZzaYfRuy2yT+e1cQPA4z8w2zXA+2Fh21vnKsYDJOQBAXTldcKvg7fr/PQfiArLF2TAqu&#10;5GG9en1ZYqZdzwfq8lCKCGGfoQITQpNJ6QtDFv3YNcTRO7vWYoiyLaVusY9wW8tpknxIixXHBYMN&#10;bQwVl/zfKjju68+ZDae+63Zkmsnvz+W8ZaXeRsPXAkSgITzDj/ZWK0jTFO5n4hGQqx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q/2mXEAAAA3AAAAA8AAAAAAAAAAAAAAAAA&#10;nwIAAGRycy9kb3ducmV2LnhtbFBLBQYAAAAABAAEAPcAAACQAwAAAAA=&#10;">
                  <v:imagedata r:id="rId204" o:title="Résultats de recherche d'images pour « syndrome de korsakoff »"/>
                  <v:path arrowok="t"/>
                </v:shape>
                <v:shape id="Image 334" o:spid="_x0000_s1028" type="#_x0000_t75" alt="Résultats de recherche d'images pour « syndrome de korsakoff »" style="position:absolute;left:44649;width:24611;height:15175;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ncgyLEAAAA3AAAAA8AAABkcnMvZG93bnJldi54bWxEj9FqwkAURN8L/sNyBd/qxio1RFeRghoo&#10;FKp+wCV7TaLZu3F3NfHvu4VCH4eZOcMs171pxIOcry0rmIwTEMSF1TWXCk7H7WsKwgdkjY1lUvAk&#10;D+vV4GWJmbYdf9PjEEoRIewzVFCF0GZS+qIig35sW+Lona0zGKJ0pdQOuwg3jXxLkndpsOa4UGFL&#10;HxUV18PdKJgXZ7fP0/k9/brt6gt1bv/MP5UaDfvNAkSgPvyH/9q5VjCdzuD3TDwCcvU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ncgyLEAAAA3AAAAA8AAAAAAAAAAAAAAAAA&#10;nwIAAGRycy9kb3ducmV2LnhtbFBLBQYAAAAABAAEAPcAAACQAwAAAAA=&#10;">
                  <v:imagedata r:id="rId204" o:title="Résultats de recherche d'images pour « syndrome de korsakoff »"/>
                  <v:path arrowok="t"/>
                </v:shape>
              </v:group>
            </w:pict>
          </mc:Fallback>
        </mc:AlternateContent>
      </w:r>
    </w:p>
    <w:p w:rsidR="00620B7C" w:rsidRDefault="00620B7C" w:rsidP="00443A1C">
      <w:pPr>
        <w:pStyle w:val="Sansinterligne"/>
      </w:pPr>
    </w:p>
    <w:p w:rsidR="00620B7C" w:rsidRDefault="00620B7C" w:rsidP="00443A1C">
      <w:pPr>
        <w:pStyle w:val="Sansinterligne"/>
      </w:pPr>
    </w:p>
    <w:p w:rsidR="00620B7C" w:rsidRDefault="00620B7C" w:rsidP="00443A1C">
      <w:pPr>
        <w:pStyle w:val="Sansinterligne"/>
      </w:pPr>
    </w:p>
    <w:p w:rsidR="00BF7276" w:rsidRDefault="00BF7276" w:rsidP="00443A1C">
      <w:pPr>
        <w:pStyle w:val="Sansinterligne"/>
      </w:pPr>
    </w:p>
    <w:p w:rsidR="00BF7276" w:rsidRDefault="00BF7276" w:rsidP="00443A1C">
      <w:pPr>
        <w:pStyle w:val="Sansinterligne"/>
      </w:pPr>
    </w:p>
    <w:p w:rsidR="00BF7276" w:rsidRDefault="00BF7276" w:rsidP="00443A1C">
      <w:pPr>
        <w:pStyle w:val="Sansinterligne"/>
      </w:pPr>
    </w:p>
    <w:p w:rsidR="00BF7276" w:rsidRDefault="00BF7276" w:rsidP="00443A1C">
      <w:pPr>
        <w:pStyle w:val="Sansinterligne"/>
      </w:pPr>
    </w:p>
    <w:p w:rsidR="00BF7276" w:rsidRDefault="00BF7276" w:rsidP="00443A1C">
      <w:pPr>
        <w:pStyle w:val="Sansinterligne"/>
      </w:pPr>
    </w:p>
    <w:tbl>
      <w:tblPr>
        <w:tblStyle w:val="Grilledutableau"/>
        <w:tblW w:w="0" w:type="auto"/>
        <w:tblLook w:val="04A0" w:firstRow="1" w:lastRow="0" w:firstColumn="1" w:lastColumn="0" w:noHBand="0" w:noVBand="1"/>
      </w:tblPr>
      <w:tblGrid>
        <w:gridCol w:w="3646"/>
        <w:gridCol w:w="3266"/>
        <w:gridCol w:w="4028"/>
      </w:tblGrid>
      <w:tr w:rsidR="000B15AD" w:rsidTr="00BE33A7">
        <w:tc>
          <w:tcPr>
            <w:tcW w:w="3646" w:type="dxa"/>
            <w:shd w:val="clear" w:color="auto" w:fill="9BBB59" w:themeFill="accent3"/>
          </w:tcPr>
          <w:p w:rsidR="000B15AD" w:rsidRPr="00C32324" w:rsidRDefault="000B15AD" w:rsidP="00FA4713">
            <w:pPr>
              <w:pStyle w:val="Sansinterligne"/>
              <w:jc w:val="center"/>
              <w:rPr>
                <w:b/>
              </w:rPr>
            </w:pPr>
            <w:r w:rsidRPr="00C32324">
              <w:rPr>
                <w:b/>
              </w:rPr>
              <w:t>Diagnostic</w:t>
            </w:r>
          </w:p>
        </w:tc>
        <w:tc>
          <w:tcPr>
            <w:tcW w:w="3266" w:type="dxa"/>
            <w:shd w:val="clear" w:color="auto" w:fill="9BBB59" w:themeFill="accent3"/>
          </w:tcPr>
          <w:p w:rsidR="000B15AD" w:rsidRPr="00C32324" w:rsidRDefault="000B15AD" w:rsidP="00FA4713">
            <w:pPr>
              <w:pStyle w:val="Sansinterligne"/>
              <w:jc w:val="center"/>
              <w:rPr>
                <w:b/>
              </w:rPr>
            </w:pPr>
            <w:r w:rsidRPr="00C32324">
              <w:rPr>
                <w:b/>
              </w:rPr>
              <w:t>Symptômes</w:t>
            </w:r>
          </w:p>
        </w:tc>
        <w:tc>
          <w:tcPr>
            <w:tcW w:w="4028" w:type="dxa"/>
            <w:shd w:val="clear" w:color="auto" w:fill="9BBB59" w:themeFill="accent3"/>
          </w:tcPr>
          <w:p w:rsidR="000B15AD" w:rsidRPr="00C32324" w:rsidRDefault="000B15AD" w:rsidP="00FA4713">
            <w:pPr>
              <w:pStyle w:val="Sansinterligne"/>
              <w:jc w:val="center"/>
              <w:rPr>
                <w:b/>
              </w:rPr>
            </w:pPr>
            <w:r w:rsidRPr="00C32324">
              <w:rPr>
                <w:b/>
              </w:rPr>
              <w:t>Signes physiques / cliniques</w:t>
            </w:r>
          </w:p>
        </w:tc>
      </w:tr>
      <w:tr w:rsidR="000B15AD" w:rsidTr="00BE33A7">
        <w:tc>
          <w:tcPr>
            <w:tcW w:w="3646" w:type="dxa"/>
            <w:shd w:val="clear" w:color="auto" w:fill="FFFF00"/>
            <w:vAlign w:val="center"/>
          </w:tcPr>
          <w:p w:rsidR="000B15AD" w:rsidRPr="005921BC" w:rsidRDefault="000B15AD" w:rsidP="00FA4713">
            <w:pPr>
              <w:pStyle w:val="Sansinterligne"/>
              <w:jc w:val="center"/>
              <w:rPr>
                <w:b/>
              </w:rPr>
            </w:pPr>
            <w:r w:rsidRPr="005921BC">
              <w:rPr>
                <w:b/>
              </w:rPr>
              <w:t>Maladie de Parkinson</w:t>
            </w:r>
          </w:p>
          <w:p w:rsidR="000B15AD" w:rsidRDefault="000B15AD" w:rsidP="00FA4713">
            <w:pPr>
              <w:pStyle w:val="Sansinterligne"/>
              <w:jc w:val="center"/>
            </w:pPr>
            <w:r w:rsidRPr="005921BC">
              <w:rPr>
                <w:b/>
              </w:rPr>
              <w:t>(MP)</w:t>
            </w:r>
          </w:p>
        </w:tc>
        <w:tc>
          <w:tcPr>
            <w:tcW w:w="3266" w:type="dxa"/>
            <w:shd w:val="clear" w:color="auto" w:fill="FFFF00"/>
          </w:tcPr>
          <w:p w:rsidR="000B15AD" w:rsidRDefault="00614150" w:rsidP="00233789">
            <w:pPr>
              <w:pStyle w:val="Sansinterligne"/>
              <w:numPr>
                <w:ilvl w:val="0"/>
                <w:numId w:val="562"/>
              </w:numPr>
            </w:pPr>
            <w:r>
              <w:t>Tremblements</w:t>
            </w:r>
          </w:p>
          <w:p w:rsidR="00614150" w:rsidRDefault="00614150" w:rsidP="00233789">
            <w:pPr>
              <w:pStyle w:val="Sansinterligne"/>
              <w:numPr>
                <w:ilvl w:val="0"/>
                <w:numId w:val="562"/>
              </w:numPr>
            </w:pPr>
            <w:r>
              <w:t>Instabilité posturale</w:t>
            </w:r>
          </w:p>
          <w:p w:rsidR="00614150" w:rsidRDefault="00614150" w:rsidP="00233789">
            <w:pPr>
              <w:pStyle w:val="Sansinterligne"/>
              <w:numPr>
                <w:ilvl w:val="0"/>
                <w:numId w:val="562"/>
              </w:numPr>
            </w:pPr>
            <w:r>
              <w:t>Dysphagie</w:t>
            </w:r>
          </w:p>
          <w:p w:rsidR="00614150" w:rsidRDefault="00614150" w:rsidP="00233789">
            <w:pPr>
              <w:pStyle w:val="Sansinterligne"/>
              <w:numPr>
                <w:ilvl w:val="0"/>
                <w:numId w:val="562"/>
              </w:numPr>
            </w:pPr>
            <w:r>
              <w:t>Sialorrhée</w:t>
            </w:r>
          </w:p>
          <w:p w:rsidR="00614150" w:rsidRDefault="00614150" w:rsidP="00233789">
            <w:pPr>
              <w:pStyle w:val="Sansinterligne"/>
              <w:numPr>
                <w:ilvl w:val="0"/>
                <w:numId w:val="562"/>
              </w:numPr>
            </w:pPr>
            <w:r>
              <w:t>Troubles cognitifs se développent avec la maladie</w:t>
            </w:r>
          </w:p>
          <w:p w:rsidR="008423E0" w:rsidRDefault="008423E0" w:rsidP="00233789">
            <w:pPr>
              <w:pStyle w:val="Sansinterligne"/>
              <w:numPr>
                <w:ilvl w:val="0"/>
                <w:numId w:val="562"/>
              </w:numPr>
            </w:pPr>
            <w:r>
              <w:t>Constipation</w:t>
            </w:r>
          </w:p>
          <w:p w:rsidR="008423E0" w:rsidRDefault="008423E0" w:rsidP="00233789">
            <w:pPr>
              <w:pStyle w:val="Sansinterligne"/>
              <w:numPr>
                <w:ilvl w:val="0"/>
                <w:numId w:val="562"/>
              </w:numPr>
            </w:pPr>
            <w:r>
              <w:t>Hallucinations / psychoses</w:t>
            </w:r>
          </w:p>
          <w:p w:rsidR="008423E0" w:rsidRDefault="008423E0" w:rsidP="00233789">
            <w:pPr>
              <w:pStyle w:val="Sansinterligne"/>
              <w:numPr>
                <w:ilvl w:val="0"/>
                <w:numId w:val="562"/>
              </w:numPr>
            </w:pPr>
            <w:r>
              <w:t xml:space="preserve">Symptômes humoraux </w:t>
            </w:r>
          </w:p>
        </w:tc>
        <w:tc>
          <w:tcPr>
            <w:tcW w:w="4028" w:type="dxa"/>
            <w:shd w:val="clear" w:color="auto" w:fill="FFFF00"/>
          </w:tcPr>
          <w:p w:rsidR="00614150" w:rsidRDefault="00614150" w:rsidP="00233789">
            <w:pPr>
              <w:pStyle w:val="Sansinterligne"/>
              <w:numPr>
                <w:ilvl w:val="0"/>
                <w:numId w:val="561"/>
              </w:numPr>
            </w:pPr>
            <w:r>
              <w:t>Tremblements</w:t>
            </w:r>
          </w:p>
          <w:p w:rsidR="00614150" w:rsidRDefault="00614150" w:rsidP="00233789">
            <w:pPr>
              <w:pStyle w:val="Sansinterligne"/>
              <w:numPr>
                <w:ilvl w:val="1"/>
                <w:numId w:val="561"/>
              </w:numPr>
            </w:pPr>
            <w:r>
              <w:t>De repos</w:t>
            </w:r>
          </w:p>
          <w:p w:rsidR="00614150" w:rsidRDefault="00614150" w:rsidP="00233789">
            <w:pPr>
              <w:pStyle w:val="Sansinterligne"/>
              <w:numPr>
                <w:ilvl w:val="1"/>
                <w:numId w:val="561"/>
              </w:numPr>
              <w:rPr>
                <w:rFonts w:cs="Times New Roman"/>
              </w:rPr>
            </w:pPr>
            <w:r w:rsidRPr="00614150">
              <w:rPr>
                <w:rFonts w:cs="Times New Roman"/>
              </w:rPr>
              <w:t>En «pill-rolling»</w:t>
            </w:r>
          </w:p>
          <w:p w:rsidR="00495EFF" w:rsidRPr="00614150" w:rsidRDefault="00495EFF" w:rsidP="00233789">
            <w:pPr>
              <w:pStyle w:val="Sansinterligne"/>
              <w:numPr>
                <w:ilvl w:val="1"/>
                <w:numId w:val="561"/>
              </w:numPr>
              <w:rPr>
                <w:rFonts w:cs="Times New Roman"/>
              </w:rPr>
            </w:pPr>
            <w:r>
              <w:rPr>
                <w:rFonts w:cs="Times New Roman"/>
              </w:rPr>
              <w:t>Asymétrique</w:t>
            </w:r>
          </w:p>
          <w:p w:rsidR="00614150" w:rsidRDefault="00614150" w:rsidP="00233789">
            <w:pPr>
              <w:pStyle w:val="Sansinterligne"/>
              <w:numPr>
                <w:ilvl w:val="0"/>
                <w:numId w:val="561"/>
              </w:numPr>
            </w:pPr>
            <w:r>
              <w:t>Rigidité</w:t>
            </w:r>
            <w:r w:rsidR="00495EFF">
              <w:t xml:space="preserve"> / roue dentée</w:t>
            </w:r>
          </w:p>
          <w:p w:rsidR="00614150" w:rsidRDefault="00614150" w:rsidP="00233789">
            <w:pPr>
              <w:pStyle w:val="Sansinterligne"/>
              <w:numPr>
                <w:ilvl w:val="0"/>
                <w:numId w:val="561"/>
              </w:numPr>
            </w:pPr>
            <w:r>
              <w:t>Bradykinésie</w:t>
            </w:r>
          </w:p>
          <w:p w:rsidR="000B15AD" w:rsidRDefault="000B15AD" w:rsidP="00233789">
            <w:pPr>
              <w:pStyle w:val="Sansinterligne"/>
              <w:numPr>
                <w:ilvl w:val="0"/>
                <w:numId w:val="561"/>
              </w:numPr>
            </w:pPr>
            <w:r>
              <w:t>Bradypsychie</w:t>
            </w:r>
            <w:r w:rsidR="00495EFF">
              <w:t xml:space="preserve"> / hypophonie</w:t>
            </w:r>
          </w:p>
          <w:p w:rsidR="00614150" w:rsidRDefault="00614150" w:rsidP="00233789">
            <w:pPr>
              <w:pStyle w:val="Sansinterligne"/>
              <w:numPr>
                <w:ilvl w:val="0"/>
                <w:numId w:val="561"/>
              </w:numPr>
            </w:pPr>
            <w:r>
              <w:t>Micrographie</w:t>
            </w:r>
          </w:p>
          <w:p w:rsidR="00614150" w:rsidRDefault="00614150" w:rsidP="00233789">
            <w:pPr>
              <w:pStyle w:val="Sansinterligne"/>
              <w:numPr>
                <w:ilvl w:val="0"/>
                <w:numId w:val="561"/>
              </w:numPr>
            </w:pPr>
            <w:r>
              <w:t>Hypomimie</w:t>
            </w:r>
          </w:p>
          <w:p w:rsidR="00495EFF" w:rsidRDefault="00614150" w:rsidP="00233789">
            <w:pPr>
              <w:pStyle w:val="Sansinterligne"/>
              <w:numPr>
                <w:ilvl w:val="0"/>
                <w:numId w:val="561"/>
              </w:numPr>
            </w:pPr>
            <w:r>
              <w:t>Festination / difficulté à initier la démarche</w:t>
            </w:r>
            <w:r w:rsidR="00713B64">
              <w:t xml:space="preserve"> / camptocormie</w:t>
            </w:r>
          </w:p>
        </w:tc>
      </w:tr>
      <w:tr w:rsidR="000B15AD" w:rsidTr="00BE33A7">
        <w:tc>
          <w:tcPr>
            <w:tcW w:w="3646" w:type="dxa"/>
            <w:shd w:val="clear" w:color="auto" w:fill="FFFF00"/>
            <w:vAlign w:val="center"/>
          </w:tcPr>
          <w:p w:rsidR="000B15AD" w:rsidRPr="005921BC" w:rsidRDefault="000B15AD" w:rsidP="00FA4713">
            <w:pPr>
              <w:pStyle w:val="Sansinterligne"/>
              <w:jc w:val="center"/>
              <w:rPr>
                <w:b/>
              </w:rPr>
            </w:pPr>
            <w:r w:rsidRPr="005921BC">
              <w:rPr>
                <w:b/>
              </w:rPr>
              <w:t>Démence à Corps de Lewy</w:t>
            </w:r>
          </w:p>
          <w:p w:rsidR="000B15AD" w:rsidRDefault="000B15AD" w:rsidP="00FA4713">
            <w:pPr>
              <w:pStyle w:val="Sansinterligne"/>
              <w:jc w:val="center"/>
            </w:pPr>
            <w:r w:rsidRPr="005921BC">
              <w:rPr>
                <w:b/>
              </w:rPr>
              <w:t>(DCL)</w:t>
            </w:r>
          </w:p>
        </w:tc>
        <w:tc>
          <w:tcPr>
            <w:tcW w:w="3266" w:type="dxa"/>
            <w:shd w:val="clear" w:color="auto" w:fill="FFFF00"/>
          </w:tcPr>
          <w:p w:rsidR="000B15AD" w:rsidRDefault="008423E0" w:rsidP="00233789">
            <w:pPr>
              <w:pStyle w:val="Sansinterligne"/>
              <w:numPr>
                <w:ilvl w:val="0"/>
                <w:numId w:val="561"/>
              </w:numPr>
            </w:pPr>
            <w:r>
              <w:t>Attention et cognition fluctuante</w:t>
            </w:r>
          </w:p>
          <w:p w:rsidR="00713B64" w:rsidRDefault="00713B64" w:rsidP="00233789">
            <w:pPr>
              <w:pStyle w:val="Sansinterligne"/>
              <w:numPr>
                <w:ilvl w:val="0"/>
                <w:numId w:val="561"/>
              </w:numPr>
            </w:pPr>
            <w:r>
              <w:t>Déficit de mémoire</w:t>
            </w:r>
          </w:p>
          <w:p w:rsidR="00713B64" w:rsidRDefault="00713B64" w:rsidP="00233789">
            <w:pPr>
              <w:pStyle w:val="Sansinterligne"/>
              <w:numPr>
                <w:ilvl w:val="0"/>
                <w:numId w:val="561"/>
              </w:numPr>
            </w:pPr>
            <w:r>
              <w:t>Déficit visuo-spatial / exécutif</w:t>
            </w:r>
          </w:p>
          <w:p w:rsidR="008423E0" w:rsidRDefault="008423E0" w:rsidP="00233789">
            <w:pPr>
              <w:pStyle w:val="Sansinterligne"/>
              <w:numPr>
                <w:ilvl w:val="0"/>
                <w:numId w:val="561"/>
              </w:numPr>
            </w:pPr>
            <w:r>
              <w:t>Hallucinations visuelles récurrentes</w:t>
            </w:r>
          </w:p>
          <w:p w:rsidR="008423E0" w:rsidRDefault="008423E0" w:rsidP="00233789">
            <w:pPr>
              <w:pStyle w:val="Sansinterligne"/>
              <w:numPr>
                <w:ilvl w:val="0"/>
                <w:numId w:val="561"/>
              </w:numPr>
            </w:pPr>
            <w:r>
              <w:t>Chutes fréquentes</w:t>
            </w:r>
          </w:p>
          <w:p w:rsidR="008423E0" w:rsidRDefault="008423E0" w:rsidP="00233789">
            <w:pPr>
              <w:pStyle w:val="Sansinterligne"/>
              <w:numPr>
                <w:ilvl w:val="0"/>
                <w:numId w:val="561"/>
              </w:numPr>
            </w:pPr>
            <w:r>
              <w:t>Parkinsonnisme</w:t>
            </w:r>
          </w:p>
        </w:tc>
        <w:tc>
          <w:tcPr>
            <w:tcW w:w="4028" w:type="dxa"/>
            <w:shd w:val="clear" w:color="auto" w:fill="FFFF00"/>
          </w:tcPr>
          <w:p w:rsidR="000B15AD" w:rsidRDefault="008423E0" w:rsidP="00233789">
            <w:pPr>
              <w:pStyle w:val="Sansinterligne"/>
              <w:numPr>
                <w:ilvl w:val="0"/>
                <w:numId w:val="561"/>
              </w:numPr>
            </w:pPr>
            <w:r>
              <w:t>Idem que Maladie de Parkinson sauf parfois tremblements</w:t>
            </w:r>
          </w:p>
          <w:p w:rsidR="00713B64" w:rsidRDefault="00713B64" w:rsidP="00713B64">
            <w:pPr>
              <w:pStyle w:val="Sansinterligne"/>
              <w:ind w:left="360"/>
            </w:pPr>
          </w:p>
        </w:tc>
      </w:tr>
      <w:tr w:rsidR="000B15AD" w:rsidTr="00BE33A7">
        <w:tc>
          <w:tcPr>
            <w:tcW w:w="3646" w:type="dxa"/>
            <w:vAlign w:val="center"/>
          </w:tcPr>
          <w:p w:rsidR="000B15AD" w:rsidRDefault="000B15AD" w:rsidP="00FA4713">
            <w:pPr>
              <w:pStyle w:val="Sansinterligne"/>
              <w:jc w:val="center"/>
            </w:pPr>
            <w:r>
              <w:t>Paralysie supra nucléaire progressive</w:t>
            </w:r>
          </w:p>
          <w:p w:rsidR="000B15AD" w:rsidRDefault="000B15AD" w:rsidP="00FA4713">
            <w:pPr>
              <w:pStyle w:val="Sansinterligne"/>
              <w:jc w:val="center"/>
            </w:pPr>
            <w:r>
              <w:t>(PSP)</w:t>
            </w:r>
          </w:p>
        </w:tc>
        <w:tc>
          <w:tcPr>
            <w:tcW w:w="3266" w:type="dxa"/>
          </w:tcPr>
          <w:p w:rsidR="000B15AD" w:rsidRDefault="00495EFF" w:rsidP="00233789">
            <w:pPr>
              <w:pStyle w:val="Sansinterligne"/>
              <w:numPr>
                <w:ilvl w:val="0"/>
                <w:numId w:val="561"/>
              </w:numPr>
            </w:pPr>
            <w:r>
              <w:t>Chutes précoces</w:t>
            </w:r>
          </w:p>
          <w:p w:rsidR="00495EFF" w:rsidRDefault="00495EFF" w:rsidP="00233789">
            <w:pPr>
              <w:pStyle w:val="Sansinterligne"/>
              <w:numPr>
                <w:ilvl w:val="0"/>
                <w:numId w:val="561"/>
              </w:numPr>
            </w:pPr>
            <w:r>
              <w:t>Dysphagie</w:t>
            </w:r>
          </w:p>
        </w:tc>
        <w:tc>
          <w:tcPr>
            <w:tcW w:w="4028" w:type="dxa"/>
          </w:tcPr>
          <w:p w:rsidR="00495EFF" w:rsidRDefault="00495EFF" w:rsidP="00233789">
            <w:pPr>
              <w:pStyle w:val="Sansinterligne"/>
              <w:numPr>
                <w:ilvl w:val="0"/>
                <w:numId w:val="561"/>
              </w:numPr>
            </w:pPr>
            <w:r>
              <w:t>Paralysie du regard vers le haut</w:t>
            </w:r>
          </w:p>
          <w:p w:rsidR="000B15AD" w:rsidRDefault="00495EFF" w:rsidP="00233789">
            <w:pPr>
              <w:pStyle w:val="Sansinterligne"/>
              <w:numPr>
                <w:ilvl w:val="0"/>
                <w:numId w:val="561"/>
              </w:numPr>
            </w:pPr>
            <w:r>
              <w:t>Rigidité axiale</w:t>
            </w:r>
          </w:p>
          <w:p w:rsidR="00495EFF" w:rsidRDefault="00495EFF" w:rsidP="00233789">
            <w:pPr>
              <w:pStyle w:val="Sansinterligne"/>
              <w:numPr>
                <w:ilvl w:val="0"/>
                <w:numId w:val="561"/>
              </w:numPr>
            </w:pPr>
            <w:r>
              <w:t>Akinésie</w:t>
            </w:r>
          </w:p>
          <w:p w:rsidR="00495EFF" w:rsidRDefault="00495EFF" w:rsidP="00233789">
            <w:pPr>
              <w:pStyle w:val="Sansinterligne"/>
              <w:numPr>
                <w:ilvl w:val="0"/>
                <w:numId w:val="561"/>
              </w:numPr>
            </w:pPr>
            <w:r>
              <w:t>Dysarthrie</w:t>
            </w:r>
          </w:p>
        </w:tc>
      </w:tr>
      <w:tr w:rsidR="000B15AD" w:rsidTr="00BE33A7">
        <w:tc>
          <w:tcPr>
            <w:tcW w:w="3646" w:type="dxa"/>
            <w:vAlign w:val="center"/>
          </w:tcPr>
          <w:p w:rsidR="000B15AD" w:rsidRDefault="000B15AD" w:rsidP="00FA4713">
            <w:pPr>
              <w:pStyle w:val="Sansinterligne"/>
              <w:jc w:val="center"/>
            </w:pPr>
            <w:r>
              <w:t>Dégénérescence corticobasale</w:t>
            </w:r>
          </w:p>
          <w:p w:rsidR="000B15AD" w:rsidRDefault="000B15AD" w:rsidP="00FA4713">
            <w:pPr>
              <w:pStyle w:val="Sansinterligne"/>
              <w:jc w:val="center"/>
            </w:pPr>
            <w:r>
              <w:t>(DCB)</w:t>
            </w:r>
          </w:p>
        </w:tc>
        <w:tc>
          <w:tcPr>
            <w:tcW w:w="3266" w:type="dxa"/>
          </w:tcPr>
          <w:p w:rsidR="000B15AD" w:rsidRDefault="00495EFF" w:rsidP="00233789">
            <w:pPr>
              <w:pStyle w:val="Sansinterligne"/>
              <w:numPr>
                <w:ilvl w:val="0"/>
                <w:numId w:val="564"/>
              </w:numPr>
            </w:pPr>
            <w:r>
              <w:t>Parkinsonisme unilatéral</w:t>
            </w:r>
          </w:p>
        </w:tc>
        <w:tc>
          <w:tcPr>
            <w:tcW w:w="4028" w:type="dxa"/>
          </w:tcPr>
          <w:p w:rsidR="000B15AD" w:rsidRDefault="00792077" w:rsidP="00233789">
            <w:pPr>
              <w:pStyle w:val="Sansinterligne"/>
              <w:numPr>
                <w:ilvl w:val="0"/>
                <w:numId w:val="563"/>
              </w:numPr>
            </w:pPr>
            <w:r>
              <w:t xml:space="preserve">Dystonie </w:t>
            </w:r>
          </w:p>
          <w:p w:rsidR="00792077" w:rsidRDefault="00792077" w:rsidP="00233789">
            <w:pPr>
              <w:pStyle w:val="Sansinterligne"/>
              <w:numPr>
                <w:ilvl w:val="0"/>
                <w:numId w:val="563"/>
              </w:numPr>
            </w:pPr>
            <w:r>
              <w:t>Myoclonie</w:t>
            </w:r>
          </w:p>
          <w:p w:rsidR="00792077" w:rsidRDefault="00792077" w:rsidP="00233789">
            <w:pPr>
              <w:pStyle w:val="Sansinterligne"/>
              <w:numPr>
                <w:ilvl w:val="0"/>
                <w:numId w:val="563"/>
              </w:numPr>
            </w:pPr>
            <w:r>
              <w:t>Apraxie</w:t>
            </w:r>
          </w:p>
          <w:p w:rsidR="00792077" w:rsidRDefault="00792077" w:rsidP="00233789">
            <w:pPr>
              <w:pStyle w:val="Sansinterligne"/>
              <w:numPr>
                <w:ilvl w:val="0"/>
                <w:numId w:val="563"/>
              </w:numPr>
            </w:pPr>
            <w:r>
              <w:t xml:space="preserve">Membre étranger </w:t>
            </w:r>
            <w:r>
              <w:rPr>
                <w:rFonts w:ascii="Century Gothic" w:hAnsi="Century Gothic"/>
              </w:rPr>
              <w:t>«</w:t>
            </w:r>
            <w:r w:rsidRPr="00792077">
              <w:rPr>
                <w:rFonts w:cs="Times New Roman"/>
                <w:i/>
              </w:rPr>
              <w:t>alien limb</w:t>
            </w:r>
            <w:r>
              <w:rPr>
                <w:rFonts w:cs="Times New Roman"/>
              </w:rPr>
              <w:t>»</w:t>
            </w:r>
          </w:p>
        </w:tc>
      </w:tr>
      <w:tr w:rsidR="000B15AD" w:rsidTr="00BE33A7">
        <w:tc>
          <w:tcPr>
            <w:tcW w:w="3646" w:type="dxa"/>
            <w:vAlign w:val="center"/>
          </w:tcPr>
          <w:p w:rsidR="000B15AD" w:rsidRDefault="000B15AD" w:rsidP="00FA4713">
            <w:pPr>
              <w:pStyle w:val="Sansinterligne"/>
              <w:jc w:val="center"/>
            </w:pPr>
            <w:r>
              <w:t xml:space="preserve">Atrophie </w:t>
            </w:r>
            <w:r w:rsidR="00792077">
              <w:t>multi systèmes</w:t>
            </w:r>
          </w:p>
          <w:p w:rsidR="000B15AD" w:rsidRDefault="000B15AD" w:rsidP="00FA4713">
            <w:pPr>
              <w:pStyle w:val="Sansinterligne"/>
              <w:jc w:val="center"/>
            </w:pPr>
            <w:r>
              <w:t>(AMS)</w:t>
            </w:r>
          </w:p>
        </w:tc>
        <w:tc>
          <w:tcPr>
            <w:tcW w:w="3266" w:type="dxa"/>
          </w:tcPr>
          <w:p w:rsidR="000B15AD" w:rsidRDefault="00967718" w:rsidP="00233789">
            <w:pPr>
              <w:pStyle w:val="Sansinterligne"/>
              <w:numPr>
                <w:ilvl w:val="0"/>
                <w:numId w:val="563"/>
              </w:numPr>
            </w:pPr>
            <w:r>
              <w:t xml:space="preserve">Incontinence urinaire </w:t>
            </w:r>
          </w:p>
          <w:p w:rsidR="00967718" w:rsidRDefault="00967718" w:rsidP="00233789">
            <w:pPr>
              <w:pStyle w:val="Sansinterligne"/>
              <w:numPr>
                <w:ilvl w:val="0"/>
                <w:numId w:val="563"/>
              </w:numPr>
            </w:pPr>
            <w:r>
              <w:t>Parkinsonnisme</w:t>
            </w:r>
          </w:p>
          <w:p w:rsidR="00967718" w:rsidRDefault="00967718" w:rsidP="00233789">
            <w:pPr>
              <w:pStyle w:val="Sansinterligne"/>
              <w:numPr>
                <w:ilvl w:val="0"/>
                <w:numId w:val="563"/>
              </w:numPr>
            </w:pPr>
            <w:r>
              <w:t>Atteinte cognitive moindre</w:t>
            </w:r>
          </w:p>
        </w:tc>
        <w:tc>
          <w:tcPr>
            <w:tcW w:w="4028" w:type="dxa"/>
          </w:tcPr>
          <w:p w:rsidR="000B15AD" w:rsidRDefault="00967718" w:rsidP="00233789">
            <w:pPr>
              <w:pStyle w:val="Sansinterligne"/>
              <w:numPr>
                <w:ilvl w:val="0"/>
                <w:numId w:val="563"/>
              </w:numPr>
            </w:pPr>
            <w:r>
              <w:t>Ataxie cérébelleuse</w:t>
            </w:r>
          </w:p>
          <w:p w:rsidR="00967718" w:rsidRDefault="00967718" w:rsidP="00233789">
            <w:pPr>
              <w:pStyle w:val="Sansinterligne"/>
              <w:numPr>
                <w:ilvl w:val="0"/>
                <w:numId w:val="563"/>
              </w:numPr>
            </w:pPr>
            <w:r>
              <w:t>Hypotension orthostatique</w:t>
            </w:r>
          </w:p>
        </w:tc>
      </w:tr>
      <w:tr w:rsidR="000B15AD" w:rsidTr="00BE33A7">
        <w:tc>
          <w:tcPr>
            <w:tcW w:w="3646" w:type="dxa"/>
            <w:vAlign w:val="center"/>
          </w:tcPr>
          <w:p w:rsidR="000B15AD" w:rsidRDefault="000B15AD" w:rsidP="00FA4713">
            <w:pPr>
              <w:pStyle w:val="Sansinterligne"/>
              <w:jc w:val="center"/>
            </w:pPr>
            <w:r>
              <w:t>Chorée de Huntigton</w:t>
            </w:r>
          </w:p>
        </w:tc>
        <w:tc>
          <w:tcPr>
            <w:tcW w:w="3266" w:type="dxa"/>
          </w:tcPr>
          <w:p w:rsidR="000B15AD" w:rsidRDefault="000B15AD" w:rsidP="00233789">
            <w:pPr>
              <w:pStyle w:val="Sansinterligne"/>
              <w:numPr>
                <w:ilvl w:val="0"/>
                <w:numId w:val="553"/>
              </w:numPr>
            </w:pPr>
            <w:r>
              <w:t>Peu d’introspection sur leurs fonctions cognitives</w:t>
            </w:r>
          </w:p>
          <w:p w:rsidR="000B15AD" w:rsidRDefault="000B15AD" w:rsidP="00233789">
            <w:pPr>
              <w:pStyle w:val="Sansinterligne"/>
              <w:numPr>
                <w:ilvl w:val="0"/>
                <w:numId w:val="553"/>
              </w:numPr>
            </w:pPr>
            <w:r>
              <w:t>Difficulté à effectuer des tâches complexes</w:t>
            </w:r>
          </w:p>
          <w:p w:rsidR="000B15AD" w:rsidRDefault="000B15AD" w:rsidP="00233789">
            <w:pPr>
              <w:pStyle w:val="Sansinterligne"/>
              <w:numPr>
                <w:ilvl w:val="0"/>
                <w:numId w:val="553"/>
              </w:numPr>
            </w:pPr>
            <w:r>
              <w:t>Mouvements incontrôlés</w:t>
            </w:r>
          </w:p>
          <w:p w:rsidR="000B15AD" w:rsidRDefault="000B15AD" w:rsidP="00233789">
            <w:pPr>
              <w:pStyle w:val="Sansinterligne"/>
              <w:numPr>
                <w:ilvl w:val="0"/>
                <w:numId w:val="553"/>
              </w:numPr>
            </w:pPr>
            <w:r>
              <w:t>Sx dépressifs</w:t>
            </w:r>
          </w:p>
          <w:p w:rsidR="000B15AD" w:rsidRDefault="000B15AD" w:rsidP="00233789">
            <w:pPr>
              <w:pStyle w:val="Sansinterligne"/>
              <w:numPr>
                <w:ilvl w:val="0"/>
                <w:numId w:val="553"/>
              </w:numPr>
            </w:pPr>
            <w:r>
              <w:t>Hallucinations / Illusions</w:t>
            </w:r>
          </w:p>
        </w:tc>
        <w:tc>
          <w:tcPr>
            <w:tcW w:w="4028" w:type="dxa"/>
          </w:tcPr>
          <w:p w:rsidR="000B15AD" w:rsidRDefault="000B15AD" w:rsidP="00233789">
            <w:pPr>
              <w:pStyle w:val="Sansinterligne"/>
              <w:numPr>
                <w:ilvl w:val="0"/>
                <w:numId w:val="553"/>
              </w:numPr>
            </w:pPr>
            <w:r>
              <w:t>Mouvements de chorée-athétose</w:t>
            </w:r>
          </w:p>
          <w:p w:rsidR="000B15AD" w:rsidRDefault="000B15AD" w:rsidP="00233789">
            <w:pPr>
              <w:pStyle w:val="Sansinterligne"/>
              <w:numPr>
                <w:ilvl w:val="0"/>
                <w:numId w:val="553"/>
              </w:numPr>
            </w:pPr>
            <w:r>
              <w:t>Hypotonie</w:t>
            </w:r>
          </w:p>
          <w:p w:rsidR="000B15AD" w:rsidRDefault="000B15AD" w:rsidP="00233789">
            <w:pPr>
              <w:pStyle w:val="Sansinterligne"/>
              <w:numPr>
                <w:ilvl w:val="0"/>
                <w:numId w:val="553"/>
              </w:numPr>
            </w:pPr>
            <w:r>
              <w:t>Hyperréflexie</w:t>
            </w:r>
          </w:p>
          <w:p w:rsidR="000B15AD" w:rsidRDefault="000B15AD" w:rsidP="00233789">
            <w:pPr>
              <w:pStyle w:val="Sansinterligne"/>
              <w:numPr>
                <w:ilvl w:val="0"/>
                <w:numId w:val="553"/>
              </w:numPr>
            </w:pPr>
            <w:r>
              <w:t>Irritabilité, symptômes dépressifs</w:t>
            </w:r>
          </w:p>
          <w:p w:rsidR="000B15AD" w:rsidRDefault="000B15AD" w:rsidP="00233789">
            <w:pPr>
              <w:pStyle w:val="Sansinterligne"/>
              <w:numPr>
                <w:ilvl w:val="0"/>
                <w:numId w:val="553"/>
              </w:numPr>
            </w:pPr>
            <w:r>
              <w:t>Anxiété, illusions, hallucinations</w:t>
            </w:r>
          </w:p>
          <w:p w:rsidR="000B15AD" w:rsidRDefault="000B15AD" w:rsidP="00233789">
            <w:pPr>
              <w:pStyle w:val="Sansinterligne"/>
              <w:numPr>
                <w:ilvl w:val="0"/>
                <w:numId w:val="553"/>
              </w:numPr>
            </w:pPr>
            <w:r>
              <w:t>Ralentissement psychomoteur</w:t>
            </w:r>
          </w:p>
        </w:tc>
      </w:tr>
    </w:tbl>
    <w:p w:rsidR="000B15AD" w:rsidRDefault="00713B64" w:rsidP="00443A1C">
      <w:pPr>
        <w:pStyle w:val="Sansinterligne"/>
      </w:pPr>
      <w:r>
        <w:rPr>
          <w:noProof/>
          <w:lang w:eastAsia="fr-CA"/>
        </w:rPr>
        <w:drawing>
          <wp:anchor distT="0" distB="0" distL="114300" distR="114300" simplePos="0" relativeHeight="251812864" behindDoc="0" locked="0" layoutInCell="1" allowOverlap="1" wp14:anchorId="564F9074" wp14:editId="45658AA2">
            <wp:simplePos x="0" y="0"/>
            <wp:positionH relativeFrom="column">
              <wp:posOffset>1867535</wp:posOffset>
            </wp:positionH>
            <wp:positionV relativeFrom="paragraph">
              <wp:posOffset>64770</wp:posOffset>
            </wp:positionV>
            <wp:extent cx="3511550" cy="2459990"/>
            <wp:effectExtent l="0" t="0" r="0" b="0"/>
            <wp:wrapNone/>
            <wp:docPr id="332" name="Image 332" descr="Résultats de recherche d'images pour « parkins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Résultats de recherche d'images pour « parkinson »"/>
                    <pic:cNvPicPr>
                      <a:picLocks noChangeAspect="1" noChangeArrowheads="1"/>
                    </pic:cNvPicPr>
                  </pic:nvPicPr>
                  <pic:blipFill rotWithShape="1">
                    <a:blip r:embed="rId205">
                      <a:extLst>
                        <a:ext uri="{28A0092B-C50C-407E-A947-70E740481C1C}">
                          <a14:useLocalDpi xmlns:a14="http://schemas.microsoft.com/office/drawing/2010/main" val="0"/>
                        </a:ext>
                      </a:extLst>
                    </a:blip>
                    <a:srcRect l="5540" t="5052" r="1420" b="2159"/>
                    <a:stretch/>
                  </pic:blipFill>
                  <pic:spPr bwMode="auto">
                    <a:xfrm>
                      <a:off x="0" y="0"/>
                      <a:ext cx="3511550" cy="24599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A57A9E" w:rsidRDefault="00A57A9E" w:rsidP="0029163E">
      <w:pPr>
        <w:pStyle w:val="Sansinterligne"/>
      </w:pPr>
    </w:p>
    <w:p w:rsidR="00360F57" w:rsidRDefault="00360F57" w:rsidP="0029163E">
      <w:pPr>
        <w:pStyle w:val="Sansinterligne"/>
      </w:pPr>
    </w:p>
    <w:p w:rsidR="00360F57" w:rsidRDefault="00360F57" w:rsidP="0029163E">
      <w:pPr>
        <w:pStyle w:val="Sansinterligne"/>
      </w:pPr>
    </w:p>
    <w:p w:rsidR="00360F57" w:rsidRDefault="00360F57" w:rsidP="0029163E">
      <w:pPr>
        <w:pStyle w:val="Sansinterligne"/>
      </w:pPr>
    </w:p>
    <w:p w:rsidR="00360F57" w:rsidRDefault="00360F57" w:rsidP="0029163E">
      <w:pPr>
        <w:pStyle w:val="Sansinterligne"/>
      </w:pPr>
    </w:p>
    <w:p w:rsidR="00360F57" w:rsidRDefault="00360F57" w:rsidP="0029163E">
      <w:pPr>
        <w:pStyle w:val="Sansinterligne"/>
      </w:pPr>
    </w:p>
    <w:p w:rsidR="00360F57" w:rsidRDefault="00360F57" w:rsidP="0029163E">
      <w:pPr>
        <w:pStyle w:val="Sansinterligne"/>
      </w:pPr>
    </w:p>
    <w:p w:rsidR="00360F57" w:rsidRDefault="00360F57" w:rsidP="0029163E">
      <w:pPr>
        <w:pStyle w:val="Sansinterligne"/>
      </w:pPr>
    </w:p>
    <w:p w:rsidR="00360F57" w:rsidRDefault="00360F57" w:rsidP="0029163E">
      <w:pPr>
        <w:pStyle w:val="Sansinterligne"/>
      </w:pPr>
    </w:p>
    <w:p w:rsidR="00360F57" w:rsidRDefault="00360F57" w:rsidP="0029163E">
      <w:pPr>
        <w:pStyle w:val="Sansinterligne"/>
      </w:pPr>
    </w:p>
    <w:p w:rsidR="00360F57" w:rsidRDefault="00360F57" w:rsidP="0029163E">
      <w:pPr>
        <w:pStyle w:val="Sansinterligne"/>
      </w:pPr>
    </w:p>
    <w:p w:rsidR="00360F57" w:rsidRDefault="00360F57" w:rsidP="0029163E">
      <w:pPr>
        <w:pStyle w:val="Sansinterligne"/>
      </w:pPr>
    </w:p>
    <w:p w:rsidR="00360F57" w:rsidRDefault="00360F57" w:rsidP="0029163E">
      <w:pPr>
        <w:pStyle w:val="Sansinterligne"/>
      </w:pPr>
    </w:p>
    <w:p w:rsidR="00360F57" w:rsidRPr="00360F57" w:rsidRDefault="00360F57" w:rsidP="0029163E">
      <w:pPr>
        <w:pStyle w:val="Sansinterligne"/>
        <w:rPr>
          <w:b/>
          <w:sz w:val="28"/>
          <w:szCs w:val="28"/>
        </w:rPr>
      </w:pPr>
      <w:r w:rsidRPr="00360F57">
        <w:rPr>
          <w:b/>
          <w:sz w:val="28"/>
          <w:szCs w:val="28"/>
        </w:rPr>
        <w:t xml:space="preserve">Autres causes de troubles cognitifs </w:t>
      </w:r>
      <w:r w:rsidR="007E282A">
        <w:rPr>
          <w:b/>
          <w:sz w:val="28"/>
          <w:szCs w:val="28"/>
        </w:rPr>
        <w:t>(</w:t>
      </w:r>
      <w:r w:rsidRPr="00360F57">
        <w:rPr>
          <w:b/>
          <w:sz w:val="28"/>
          <w:szCs w:val="28"/>
        </w:rPr>
        <w:t>moins fréquents</w:t>
      </w:r>
      <w:r w:rsidR="007E282A">
        <w:rPr>
          <w:b/>
          <w:sz w:val="28"/>
          <w:szCs w:val="28"/>
        </w:rPr>
        <w:t>)</w:t>
      </w:r>
    </w:p>
    <w:p w:rsidR="00360F57" w:rsidRDefault="00360F57" w:rsidP="0029163E">
      <w:pPr>
        <w:pStyle w:val="Sansinterligne"/>
      </w:pPr>
    </w:p>
    <w:tbl>
      <w:tblPr>
        <w:tblStyle w:val="Grilledutableau"/>
        <w:tblW w:w="0" w:type="auto"/>
        <w:tblLook w:val="04A0" w:firstRow="1" w:lastRow="0" w:firstColumn="1" w:lastColumn="0" w:noHBand="0" w:noVBand="1"/>
      </w:tblPr>
      <w:tblGrid>
        <w:gridCol w:w="3652"/>
        <w:gridCol w:w="3260"/>
        <w:gridCol w:w="4028"/>
      </w:tblGrid>
      <w:tr w:rsidR="00443A1C" w:rsidRPr="00C32324" w:rsidTr="00DF71A7">
        <w:tc>
          <w:tcPr>
            <w:tcW w:w="3652" w:type="dxa"/>
            <w:shd w:val="clear" w:color="auto" w:fill="9BBB59" w:themeFill="accent3"/>
          </w:tcPr>
          <w:p w:rsidR="00443A1C" w:rsidRPr="00C32324" w:rsidRDefault="00443A1C" w:rsidP="005B3B58">
            <w:pPr>
              <w:pStyle w:val="Sansinterligne"/>
              <w:jc w:val="center"/>
              <w:rPr>
                <w:b/>
              </w:rPr>
            </w:pPr>
            <w:r w:rsidRPr="00C32324">
              <w:rPr>
                <w:b/>
              </w:rPr>
              <w:t>Diagnostic</w:t>
            </w:r>
          </w:p>
        </w:tc>
        <w:tc>
          <w:tcPr>
            <w:tcW w:w="3260" w:type="dxa"/>
            <w:shd w:val="clear" w:color="auto" w:fill="9BBB59" w:themeFill="accent3"/>
          </w:tcPr>
          <w:p w:rsidR="00443A1C" w:rsidRPr="00C32324" w:rsidRDefault="00443A1C" w:rsidP="005B3B58">
            <w:pPr>
              <w:pStyle w:val="Sansinterligne"/>
              <w:jc w:val="center"/>
              <w:rPr>
                <w:b/>
              </w:rPr>
            </w:pPr>
            <w:r w:rsidRPr="00C32324">
              <w:rPr>
                <w:b/>
              </w:rPr>
              <w:t>Symptômes</w:t>
            </w:r>
          </w:p>
        </w:tc>
        <w:tc>
          <w:tcPr>
            <w:tcW w:w="4028" w:type="dxa"/>
            <w:shd w:val="clear" w:color="auto" w:fill="9BBB59" w:themeFill="accent3"/>
          </w:tcPr>
          <w:p w:rsidR="00443A1C" w:rsidRPr="00C32324" w:rsidRDefault="00443A1C" w:rsidP="005B3B58">
            <w:pPr>
              <w:pStyle w:val="Sansinterligne"/>
              <w:jc w:val="center"/>
              <w:rPr>
                <w:b/>
              </w:rPr>
            </w:pPr>
            <w:r w:rsidRPr="00C32324">
              <w:rPr>
                <w:b/>
              </w:rPr>
              <w:t>Signes physiques / cliniques</w:t>
            </w:r>
          </w:p>
        </w:tc>
      </w:tr>
      <w:tr w:rsidR="00443A1C" w:rsidTr="00DF71A7">
        <w:tc>
          <w:tcPr>
            <w:tcW w:w="3652" w:type="dxa"/>
            <w:vAlign w:val="center"/>
          </w:tcPr>
          <w:p w:rsidR="00B51F37" w:rsidRDefault="00B11C61" w:rsidP="00443A1C">
            <w:pPr>
              <w:pStyle w:val="Sansinterligne"/>
              <w:jc w:val="center"/>
            </w:pPr>
            <w:r>
              <w:t>Encéphalopathie traumatique chronique</w:t>
            </w:r>
          </w:p>
        </w:tc>
        <w:tc>
          <w:tcPr>
            <w:tcW w:w="3260" w:type="dxa"/>
          </w:tcPr>
          <w:p w:rsidR="00443A1C" w:rsidRDefault="00B91463" w:rsidP="00233789">
            <w:pPr>
              <w:pStyle w:val="Sansinterligne"/>
              <w:numPr>
                <w:ilvl w:val="0"/>
                <w:numId w:val="552"/>
              </w:numPr>
            </w:pPr>
            <w:r>
              <w:t>ATCD de trauma multiples                  (ex : TCC sportifs)</w:t>
            </w:r>
          </w:p>
          <w:p w:rsidR="00B91463" w:rsidRDefault="00B91463" w:rsidP="00233789">
            <w:pPr>
              <w:pStyle w:val="Sansinterligne"/>
              <w:numPr>
                <w:ilvl w:val="0"/>
                <w:numId w:val="552"/>
              </w:numPr>
            </w:pPr>
            <w:r>
              <w:t>Humeur labile</w:t>
            </w:r>
          </w:p>
          <w:p w:rsidR="00B91463" w:rsidRDefault="00B91463" w:rsidP="00233789">
            <w:pPr>
              <w:pStyle w:val="Sansinterligne"/>
              <w:numPr>
                <w:ilvl w:val="0"/>
                <w:numId w:val="552"/>
              </w:numPr>
            </w:pPr>
            <w:r>
              <w:t>Dysarthrie</w:t>
            </w:r>
          </w:p>
          <w:p w:rsidR="00B91463" w:rsidRDefault="00B91463" w:rsidP="00233789">
            <w:pPr>
              <w:pStyle w:val="Sansinterligne"/>
              <w:numPr>
                <w:ilvl w:val="0"/>
                <w:numId w:val="552"/>
              </w:numPr>
            </w:pPr>
            <w:r>
              <w:t>Impulsivité</w:t>
            </w:r>
          </w:p>
        </w:tc>
        <w:tc>
          <w:tcPr>
            <w:tcW w:w="4028" w:type="dxa"/>
          </w:tcPr>
          <w:p w:rsidR="00443A1C" w:rsidRDefault="00B51F37" w:rsidP="00233789">
            <w:pPr>
              <w:pStyle w:val="Sansinterligne"/>
              <w:numPr>
                <w:ilvl w:val="0"/>
                <w:numId w:val="558"/>
              </w:numPr>
            </w:pPr>
            <w:r>
              <w:t>Parkinsonnisme</w:t>
            </w:r>
          </w:p>
          <w:p w:rsidR="00B51F37" w:rsidRDefault="00B51F37" w:rsidP="00233789">
            <w:pPr>
              <w:pStyle w:val="Sansinterligne"/>
              <w:numPr>
                <w:ilvl w:val="0"/>
                <w:numId w:val="558"/>
              </w:numPr>
            </w:pPr>
            <w:r>
              <w:t>Démarche pathologique</w:t>
            </w:r>
          </w:p>
        </w:tc>
      </w:tr>
      <w:tr w:rsidR="00BB11E6" w:rsidTr="00DF71A7">
        <w:tc>
          <w:tcPr>
            <w:tcW w:w="3652" w:type="dxa"/>
            <w:vAlign w:val="center"/>
          </w:tcPr>
          <w:p w:rsidR="00BB11E6" w:rsidRPr="000121FB" w:rsidRDefault="00BB11E6" w:rsidP="00443A1C">
            <w:pPr>
              <w:pStyle w:val="Sansinterligne"/>
              <w:jc w:val="center"/>
              <w:rPr>
                <w:highlight w:val="yellow"/>
              </w:rPr>
            </w:pPr>
            <w:r w:rsidRPr="000121FB">
              <w:rPr>
                <w:highlight w:val="yellow"/>
              </w:rPr>
              <w:t>Hydrocéphalie à pression normale (HPN)</w:t>
            </w:r>
          </w:p>
        </w:tc>
        <w:tc>
          <w:tcPr>
            <w:tcW w:w="3260" w:type="dxa"/>
          </w:tcPr>
          <w:p w:rsidR="00C34CFF" w:rsidRPr="000121FB" w:rsidRDefault="00C34CFF" w:rsidP="00233789">
            <w:pPr>
              <w:pStyle w:val="Sansinterligne"/>
              <w:numPr>
                <w:ilvl w:val="0"/>
                <w:numId w:val="557"/>
              </w:numPr>
            </w:pPr>
            <w:r w:rsidRPr="000121FB">
              <w:t>Perte d’équilibre</w:t>
            </w:r>
          </w:p>
          <w:p w:rsidR="00BB11E6" w:rsidRPr="000121FB" w:rsidRDefault="00C34CFF" w:rsidP="00233789">
            <w:pPr>
              <w:pStyle w:val="Sansinterligne"/>
              <w:numPr>
                <w:ilvl w:val="0"/>
                <w:numId w:val="557"/>
              </w:numPr>
              <w:rPr>
                <w:highlight w:val="yellow"/>
                <w:u w:val="single"/>
              </w:rPr>
            </w:pPr>
            <w:r w:rsidRPr="000121FB">
              <w:rPr>
                <w:highlight w:val="yellow"/>
                <w:u w:val="single"/>
              </w:rPr>
              <w:t>Incontinence urinaire</w:t>
            </w:r>
          </w:p>
          <w:p w:rsidR="00C34CFF" w:rsidRPr="000121FB" w:rsidRDefault="00C34CFF" w:rsidP="00233789">
            <w:pPr>
              <w:pStyle w:val="Sansinterligne"/>
              <w:numPr>
                <w:ilvl w:val="0"/>
                <w:numId w:val="557"/>
              </w:numPr>
              <w:rPr>
                <w:highlight w:val="yellow"/>
                <w:u w:val="single"/>
              </w:rPr>
            </w:pPr>
            <w:r w:rsidRPr="000121FB">
              <w:rPr>
                <w:highlight w:val="yellow"/>
                <w:u w:val="single"/>
              </w:rPr>
              <w:t>Atteinte cognitive non-spécifique</w:t>
            </w:r>
          </w:p>
          <w:p w:rsidR="00C34CFF" w:rsidRPr="000121FB" w:rsidRDefault="00C34CFF" w:rsidP="00233789">
            <w:pPr>
              <w:pStyle w:val="Sansinterligne"/>
              <w:numPr>
                <w:ilvl w:val="0"/>
                <w:numId w:val="557"/>
              </w:numPr>
              <w:rPr>
                <w:highlight w:val="yellow"/>
                <w:u w:val="single"/>
              </w:rPr>
            </w:pPr>
            <w:r w:rsidRPr="000121FB">
              <w:rPr>
                <w:highlight w:val="yellow"/>
                <w:u w:val="single"/>
              </w:rPr>
              <w:t>Céphalées matinales</w:t>
            </w:r>
          </w:p>
          <w:p w:rsidR="00C34CFF" w:rsidRPr="000121FB" w:rsidRDefault="00C34CFF" w:rsidP="00233789">
            <w:pPr>
              <w:pStyle w:val="Sansinterligne"/>
              <w:numPr>
                <w:ilvl w:val="0"/>
                <w:numId w:val="557"/>
              </w:numPr>
            </w:pPr>
            <w:r w:rsidRPr="000121FB">
              <w:t>Troubles visuels</w:t>
            </w:r>
          </w:p>
        </w:tc>
        <w:tc>
          <w:tcPr>
            <w:tcW w:w="4028" w:type="dxa"/>
          </w:tcPr>
          <w:p w:rsidR="00BB11E6" w:rsidRPr="000121FB" w:rsidRDefault="00C34CFF" w:rsidP="00233789">
            <w:pPr>
              <w:pStyle w:val="Sansinterligne"/>
              <w:numPr>
                <w:ilvl w:val="0"/>
                <w:numId w:val="552"/>
              </w:numPr>
              <w:rPr>
                <w:u w:val="single"/>
              </w:rPr>
            </w:pPr>
            <w:r w:rsidRPr="000121FB">
              <w:rPr>
                <w:highlight w:val="yellow"/>
                <w:u w:val="single"/>
              </w:rPr>
              <w:t>Ataxie</w:t>
            </w:r>
          </w:p>
          <w:p w:rsidR="00C34CFF" w:rsidRPr="000121FB" w:rsidRDefault="00C34CFF" w:rsidP="00233789">
            <w:pPr>
              <w:pStyle w:val="Sansinterligne"/>
              <w:numPr>
                <w:ilvl w:val="0"/>
                <w:numId w:val="552"/>
              </w:numPr>
            </w:pPr>
            <w:r w:rsidRPr="000121FB">
              <w:t>Apraxie</w:t>
            </w:r>
          </w:p>
          <w:p w:rsidR="00C34CFF" w:rsidRPr="000121FB" w:rsidRDefault="00C34CFF" w:rsidP="00233789">
            <w:pPr>
              <w:pStyle w:val="Sansinterligne"/>
              <w:numPr>
                <w:ilvl w:val="0"/>
                <w:numId w:val="552"/>
              </w:numPr>
            </w:pPr>
            <w:r w:rsidRPr="000121FB">
              <w:t>Papilloedème</w:t>
            </w:r>
          </w:p>
        </w:tc>
      </w:tr>
      <w:tr w:rsidR="002F563A" w:rsidTr="002F563A">
        <w:tc>
          <w:tcPr>
            <w:tcW w:w="3652" w:type="dxa"/>
            <w:vAlign w:val="center"/>
          </w:tcPr>
          <w:p w:rsidR="002F563A" w:rsidRDefault="002F563A" w:rsidP="00FA4713">
            <w:pPr>
              <w:pStyle w:val="Sansinterligne"/>
              <w:jc w:val="center"/>
            </w:pPr>
            <w:r>
              <w:t>Syndrome de Wernicke-Korsakoff</w:t>
            </w:r>
          </w:p>
          <w:p w:rsidR="002F563A" w:rsidRDefault="002F563A" w:rsidP="00EE6D59">
            <w:pPr>
              <w:pStyle w:val="Sansinterligne"/>
              <w:jc w:val="center"/>
            </w:pPr>
            <w:r>
              <w:t xml:space="preserve">(carence en </w:t>
            </w:r>
            <w:r w:rsidR="00EE6D59">
              <w:t>thiamine</w:t>
            </w:r>
            <w:r>
              <w:t>)</w:t>
            </w:r>
          </w:p>
        </w:tc>
        <w:tc>
          <w:tcPr>
            <w:tcW w:w="3260" w:type="dxa"/>
          </w:tcPr>
          <w:p w:rsidR="002F563A" w:rsidRDefault="002F563A" w:rsidP="00233789">
            <w:pPr>
              <w:pStyle w:val="Sansinterligne"/>
              <w:numPr>
                <w:ilvl w:val="0"/>
                <w:numId w:val="565"/>
              </w:numPr>
            </w:pPr>
            <w:r>
              <w:t>Amnésie antérograde (Korsakoff)</w:t>
            </w:r>
          </w:p>
          <w:p w:rsidR="002F563A" w:rsidRDefault="002F563A" w:rsidP="00233789">
            <w:pPr>
              <w:pStyle w:val="Sansinterligne"/>
              <w:numPr>
                <w:ilvl w:val="0"/>
                <w:numId w:val="565"/>
              </w:numPr>
            </w:pPr>
            <w:r>
              <w:t>Confabulation (Korsakoff)</w:t>
            </w:r>
          </w:p>
        </w:tc>
        <w:tc>
          <w:tcPr>
            <w:tcW w:w="4028" w:type="dxa"/>
          </w:tcPr>
          <w:p w:rsidR="002F563A" w:rsidRDefault="002F563A" w:rsidP="00233789">
            <w:pPr>
              <w:pStyle w:val="Sansinterligne"/>
              <w:numPr>
                <w:ilvl w:val="0"/>
                <w:numId w:val="565"/>
              </w:numPr>
            </w:pPr>
            <w:r>
              <w:t>Nystagmus</w:t>
            </w:r>
          </w:p>
          <w:p w:rsidR="002F563A" w:rsidRDefault="002F563A" w:rsidP="00233789">
            <w:pPr>
              <w:pStyle w:val="Sansinterligne"/>
              <w:numPr>
                <w:ilvl w:val="0"/>
                <w:numId w:val="565"/>
              </w:numPr>
            </w:pPr>
            <w:r>
              <w:t>Paralysie du NC VI</w:t>
            </w:r>
          </w:p>
          <w:p w:rsidR="002F563A" w:rsidRDefault="002F563A" w:rsidP="00233789">
            <w:pPr>
              <w:pStyle w:val="Sansinterligne"/>
              <w:numPr>
                <w:ilvl w:val="0"/>
                <w:numId w:val="565"/>
              </w:numPr>
            </w:pPr>
            <w:r>
              <w:t>Ataxie</w:t>
            </w:r>
          </w:p>
          <w:p w:rsidR="002F563A" w:rsidRDefault="002F563A" w:rsidP="00233789">
            <w:pPr>
              <w:pStyle w:val="Sansinterligne"/>
              <w:numPr>
                <w:ilvl w:val="0"/>
                <w:numId w:val="565"/>
              </w:numPr>
            </w:pPr>
            <w:r>
              <w:t>Confusion</w:t>
            </w:r>
          </w:p>
        </w:tc>
      </w:tr>
      <w:tr w:rsidR="002F563A" w:rsidTr="00DF71A7">
        <w:tc>
          <w:tcPr>
            <w:tcW w:w="3652" w:type="dxa"/>
            <w:vAlign w:val="center"/>
          </w:tcPr>
          <w:p w:rsidR="002F563A" w:rsidRDefault="002F563A" w:rsidP="005B3B58">
            <w:pPr>
              <w:pStyle w:val="Sansinterligne"/>
              <w:jc w:val="center"/>
            </w:pPr>
            <w:r>
              <w:t>Hypothyroïdie</w:t>
            </w:r>
          </w:p>
        </w:tc>
        <w:tc>
          <w:tcPr>
            <w:tcW w:w="7288" w:type="dxa"/>
            <w:gridSpan w:val="2"/>
          </w:tcPr>
          <w:p w:rsidR="002F563A" w:rsidRDefault="002F563A" w:rsidP="005B3B58">
            <w:pPr>
              <w:pStyle w:val="Sansinterligne"/>
            </w:pPr>
            <w:r>
              <w:t xml:space="preserve">Voir </w:t>
            </w:r>
            <w:r w:rsidRPr="00EE4AA8">
              <w:rPr>
                <w:rFonts w:cs="Times New Roman"/>
                <w:i/>
              </w:rPr>
              <w:t>Écoulement mammaire CMC 10-2</w:t>
            </w:r>
          </w:p>
        </w:tc>
      </w:tr>
      <w:tr w:rsidR="002F563A" w:rsidTr="00DF71A7">
        <w:tc>
          <w:tcPr>
            <w:tcW w:w="3652" w:type="dxa"/>
            <w:vAlign w:val="center"/>
          </w:tcPr>
          <w:p w:rsidR="002F563A" w:rsidRDefault="002F563A" w:rsidP="00443A1C">
            <w:pPr>
              <w:pStyle w:val="Sansinterligne"/>
              <w:jc w:val="center"/>
            </w:pPr>
            <w:r>
              <w:t>Masse intracrânienne (tumeur, abcès)</w:t>
            </w:r>
          </w:p>
        </w:tc>
        <w:tc>
          <w:tcPr>
            <w:tcW w:w="3260" w:type="dxa"/>
          </w:tcPr>
          <w:p w:rsidR="002F563A" w:rsidRDefault="002F563A" w:rsidP="00233789">
            <w:pPr>
              <w:pStyle w:val="Sansinterligne"/>
              <w:numPr>
                <w:ilvl w:val="0"/>
                <w:numId w:val="566"/>
              </w:numPr>
            </w:pPr>
            <w:r>
              <w:t>Céphalées, No/Vo</w:t>
            </w:r>
          </w:p>
          <w:p w:rsidR="002F563A" w:rsidRDefault="002F563A" w:rsidP="00233789">
            <w:pPr>
              <w:pStyle w:val="Sansinterligne"/>
              <w:numPr>
                <w:ilvl w:val="0"/>
                <w:numId w:val="566"/>
              </w:numPr>
            </w:pPr>
            <w:r>
              <w:t>Symptômes neuro focaux</w:t>
            </w:r>
          </w:p>
          <w:p w:rsidR="002F563A" w:rsidRDefault="002F563A" w:rsidP="00233789">
            <w:pPr>
              <w:pStyle w:val="Sansinterligne"/>
              <w:numPr>
                <w:ilvl w:val="0"/>
                <w:numId w:val="566"/>
              </w:numPr>
            </w:pPr>
            <w:r>
              <w:t xml:space="preserve">Délirium / déficit cognitif localisé </w:t>
            </w:r>
          </w:p>
          <w:p w:rsidR="002F563A" w:rsidRDefault="002F563A" w:rsidP="00233789">
            <w:pPr>
              <w:pStyle w:val="Sansinterligne"/>
              <w:numPr>
                <w:ilvl w:val="0"/>
                <w:numId w:val="566"/>
              </w:numPr>
            </w:pPr>
            <w:r>
              <w:t>Fièvre (si abcès)</w:t>
            </w:r>
          </w:p>
        </w:tc>
        <w:tc>
          <w:tcPr>
            <w:tcW w:w="4028" w:type="dxa"/>
          </w:tcPr>
          <w:p w:rsidR="002F563A" w:rsidRDefault="002F563A" w:rsidP="00233789">
            <w:pPr>
              <w:pStyle w:val="Sansinterligne"/>
              <w:numPr>
                <w:ilvl w:val="0"/>
                <w:numId w:val="566"/>
              </w:numPr>
            </w:pPr>
            <w:r>
              <w:t>Selon la lésion</w:t>
            </w:r>
          </w:p>
        </w:tc>
      </w:tr>
      <w:tr w:rsidR="002F563A" w:rsidTr="00DF71A7">
        <w:tc>
          <w:tcPr>
            <w:tcW w:w="3652" w:type="dxa"/>
            <w:vAlign w:val="center"/>
          </w:tcPr>
          <w:p w:rsidR="002F563A" w:rsidRDefault="002F563A" w:rsidP="00443A1C">
            <w:pPr>
              <w:pStyle w:val="Sansinterligne"/>
              <w:jc w:val="center"/>
            </w:pPr>
            <w:r>
              <w:t>Neurosyphilis</w:t>
            </w:r>
          </w:p>
        </w:tc>
        <w:tc>
          <w:tcPr>
            <w:tcW w:w="3260" w:type="dxa"/>
          </w:tcPr>
          <w:p w:rsidR="002F563A" w:rsidRDefault="002F563A" w:rsidP="00233789">
            <w:pPr>
              <w:pStyle w:val="Sansinterligne"/>
              <w:numPr>
                <w:ilvl w:val="0"/>
                <w:numId w:val="568"/>
              </w:numPr>
            </w:pPr>
            <w:r>
              <w:t>Démence</w:t>
            </w:r>
          </w:p>
          <w:p w:rsidR="002F563A" w:rsidRDefault="002F563A" w:rsidP="00233789">
            <w:pPr>
              <w:pStyle w:val="Sansinterligne"/>
              <w:numPr>
                <w:ilvl w:val="0"/>
                <w:numId w:val="568"/>
              </w:numPr>
            </w:pPr>
            <w:r>
              <w:t>Changements de la personnalité</w:t>
            </w:r>
          </w:p>
          <w:p w:rsidR="002F563A" w:rsidRDefault="002F563A" w:rsidP="005B3B58">
            <w:pPr>
              <w:pStyle w:val="Sansinterligne"/>
            </w:pPr>
          </w:p>
        </w:tc>
        <w:tc>
          <w:tcPr>
            <w:tcW w:w="4028" w:type="dxa"/>
          </w:tcPr>
          <w:p w:rsidR="002F563A" w:rsidRDefault="002F563A" w:rsidP="00233789">
            <w:pPr>
              <w:pStyle w:val="Sansinterligne"/>
              <w:numPr>
                <w:ilvl w:val="0"/>
                <w:numId w:val="567"/>
              </w:numPr>
            </w:pPr>
            <w:r>
              <w:t>Pupilles d’Argyll-Robertson</w:t>
            </w:r>
          </w:p>
          <w:p w:rsidR="002F563A" w:rsidRDefault="002F563A" w:rsidP="00233789">
            <w:pPr>
              <w:pStyle w:val="Sansinterligne"/>
              <w:numPr>
                <w:ilvl w:val="0"/>
                <w:numId w:val="567"/>
              </w:numPr>
            </w:pPr>
            <w:r>
              <w:t>Aréflexie généralisée ou aux MI</w:t>
            </w:r>
          </w:p>
          <w:p w:rsidR="002F563A" w:rsidRDefault="002F563A" w:rsidP="00233789">
            <w:pPr>
              <w:pStyle w:val="Sansinterligne"/>
              <w:numPr>
                <w:ilvl w:val="0"/>
                <w:numId w:val="567"/>
              </w:numPr>
            </w:pPr>
            <w:r>
              <w:t>Ataxie</w:t>
            </w:r>
          </w:p>
          <w:p w:rsidR="002F563A" w:rsidRDefault="002F563A" w:rsidP="00233789">
            <w:pPr>
              <w:pStyle w:val="Sansinterligne"/>
              <w:numPr>
                <w:ilvl w:val="0"/>
                <w:numId w:val="567"/>
              </w:numPr>
            </w:pPr>
            <w:r>
              <w:t>Douleurs intenses</w:t>
            </w:r>
          </w:p>
        </w:tc>
      </w:tr>
      <w:tr w:rsidR="002F563A" w:rsidTr="00360F57">
        <w:tc>
          <w:tcPr>
            <w:tcW w:w="3652" w:type="dxa"/>
            <w:vAlign w:val="center"/>
          </w:tcPr>
          <w:p w:rsidR="002F563A" w:rsidRDefault="002F563A" w:rsidP="00FA4713">
            <w:pPr>
              <w:pStyle w:val="Sansinterligne"/>
              <w:jc w:val="center"/>
            </w:pPr>
            <w:r>
              <w:t>Maladie de Creutzfeldt-Jakob</w:t>
            </w:r>
          </w:p>
          <w:p w:rsidR="002F563A" w:rsidRDefault="002F563A" w:rsidP="00FA4713">
            <w:pPr>
              <w:pStyle w:val="Sansinterligne"/>
              <w:jc w:val="center"/>
            </w:pPr>
            <w:r>
              <w:t>(maladie à prion)</w:t>
            </w:r>
          </w:p>
        </w:tc>
        <w:tc>
          <w:tcPr>
            <w:tcW w:w="3260" w:type="dxa"/>
          </w:tcPr>
          <w:p w:rsidR="002F563A" w:rsidRDefault="002F563A" w:rsidP="00233789">
            <w:pPr>
              <w:pStyle w:val="Sansinterligne"/>
              <w:numPr>
                <w:ilvl w:val="0"/>
                <w:numId w:val="556"/>
              </w:numPr>
            </w:pPr>
            <w:r>
              <w:t>Déclin cognitif rapide</w:t>
            </w:r>
          </w:p>
        </w:tc>
        <w:tc>
          <w:tcPr>
            <w:tcW w:w="4028" w:type="dxa"/>
          </w:tcPr>
          <w:p w:rsidR="002F563A" w:rsidRDefault="002F563A" w:rsidP="00233789">
            <w:pPr>
              <w:pStyle w:val="Sansinterligne"/>
              <w:numPr>
                <w:ilvl w:val="0"/>
                <w:numId w:val="556"/>
              </w:numPr>
            </w:pPr>
            <w:r>
              <w:t>Myoclonies</w:t>
            </w:r>
          </w:p>
          <w:p w:rsidR="002F563A" w:rsidRDefault="002F563A" w:rsidP="00233789">
            <w:pPr>
              <w:pStyle w:val="Sansinterligne"/>
              <w:numPr>
                <w:ilvl w:val="0"/>
                <w:numId w:val="556"/>
              </w:numPr>
            </w:pPr>
            <w:r>
              <w:t>Ataxie</w:t>
            </w:r>
          </w:p>
        </w:tc>
      </w:tr>
      <w:tr w:rsidR="002F563A" w:rsidTr="00DF71A7">
        <w:tc>
          <w:tcPr>
            <w:tcW w:w="3652" w:type="dxa"/>
            <w:vAlign w:val="center"/>
          </w:tcPr>
          <w:p w:rsidR="002F563A" w:rsidRDefault="002F563A" w:rsidP="00443A1C">
            <w:pPr>
              <w:pStyle w:val="Sansinterligne"/>
              <w:jc w:val="center"/>
            </w:pPr>
            <w:r>
              <w:t>Leucoencéphalopathie multifocale progressive</w:t>
            </w:r>
          </w:p>
          <w:p w:rsidR="002F563A" w:rsidRDefault="002F563A" w:rsidP="00443A1C">
            <w:pPr>
              <w:pStyle w:val="Sansinterligne"/>
              <w:jc w:val="center"/>
            </w:pPr>
            <w:r>
              <w:t>(Co-infection à VIH)</w:t>
            </w:r>
          </w:p>
        </w:tc>
        <w:tc>
          <w:tcPr>
            <w:tcW w:w="7288" w:type="dxa"/>
            <w:gridSpan w:val="2"/>
          </w:tcPr>
          <w:p w:rsidR="002F563A" w:rsidRDefault="002F563A" w:rsidP="00233789">
            <w:pPr>
              <w:pStyle w:val="Sansinterligne"/>
              <w:numPr>
                <w:ilvl w:val="0"/>
                <w:numId w:val="567"/>
              </w:numPr>
            </w:pPr>
            <w:r>
              <w:t>Aphasie</w:t>
            </w:r>
          </w:p>
          <w:p w:rsidR="002F563A" w:rsidRDefault="002F563A" w:rsidP="00233789">
            <w:pPr>
              <w:pStyle w:val="Sansinterligne"/>
              <w:numPr>
                <w:ilvl w:val="0"/>
                <w:numId w:val="567"/>
              </w:numPr>
            </w:pPr>
            <w:r>
              <w:t>Hémianopsie / diplopie</w:t>
            </w:r>
          </w:p>
          <w:p w:rsidR="002F563A" w:rsidRDefault="002F563A" w:rsidP="00233789">
            <w:pPr>
              <w:pStyle w:val="Sansinterligne"/>
              <w:numPr>
                <w:ilvl w:val="0"/>
                <w:numId w:val="567"/>
              </w:numPr>
            </w:pPr>
            <w:r>
              <w:t>Ataxie</w:t>
            </w:r>
          </w:p>
          <w:p w:rsidR="002F563A" w:rsidRDefault="002F563A" w:rsidP="00233789">
            <w:pPr>
              <w:pStyle w:val="Sansinterligne"/>
              <w:numPr>
                <w:ilvl w:val="0"/>
                <w:numId w:val="567"/>
              </w:numPr>
            </w:pPr>
            <w:r>
              <w:t>Hémiparésie / monoparésie</w:t>
            </w:r>
          </w:p>
        </w:tc>
      </w:tr>
    </w:tbl>
    <w:p w:rsidR="001F7F62" w:rsidRDefault="001F7F62" w:rsidP="0029163E">
      <w:pPr>
        <w:pStyle w:val="Sansinterligne"/>
      </w:pPr>
    </w:p>
    <w:p w:rsidR="001F62E0" w:rsidRPr="001F7F62" w:rsidRDefault="001F62E0" w:rsidP="0029163E">
      <w:pPr>
        <w:pStyle w:val="Sansinterligne"/>
        <w:rPr>
          <w:b/>
          <w:sz w:val="28"/>
          <w:szCs w:val="28"/>
        </w:rPr>
      </w:pPr>
      <w:r w:rsidRPr="001F7F62">
        <w:rPr>
          <w:b/>
          <w:sz w:val="28"/>
          <w:szCs w:val="28"/>
        </w:rPr>
        <w:t>Investigation</w:t>
      </w:r>
    </w:p>
    <w:p w:rsidR="002E4DAC" w:rsidRDefault="002E4DAC" w:rsidP="0029163E">
      <w:pPr>
        <w:pStyle w:val="Sansinterligne"/>
        <w:sectPr w:rsidR="002E4DAC" w:rsidSect="00217865">
          <w:type w:val="continuous"/>
          <w:pgSz w:w="12240" w:h="15840"/>
          <w:pgMar w:top="720" w:right="720" w:bottom="720" w:left="720" w:header="708" w:footer="708" w:gutter="0"/>
          <w:cols w:space="708"/>
          <w:docGrid w:linePitch="360"/>
        </w:sectPr>
      </w:pPr>
    </w:p>
    <w:p w:rsidR="00D9395A" w:rsidRDefault="00D9395A" w:rsidP="0029163E">
      <w:pPr>
        <w:pStyle w:val="Sansinterligne"/>
      </w:pPr>
    </w:p>
    <w:p w:rsidR="00811E97" w:rsidRDefault="00811E97" w:rsidP="0029163E">
      <w:pPr>
        <w:pStyle w:val="Sansinterligne"/>
        <w:sectPr w:rsidR="00811E97" w:rsidSect="002E4DAC">
          <w:type w:val="continuous"/>
          <w:pgSz w:w="12240" w:h="15840"/>
          <w:pgMar w:top="720" w:right="720" w:bottom="720" w:left="720" w:header="708" w:footer="708" w:gutter="0"/>
          <w:cols w:space="708"/>
          <w:docGrid w:linePitch="360"/>
        </w:sectPr>
      </w:pPr>
    </w:p>
    <w:p w:rsidR="00811E97" w:rsidRPr="002E4DAC" w:rsidRDefault="00811E97" w:rsidP="00233789">
      <w:pPr>
        <w:pStyle w:val="Sansinterligne"/>
        <w:numPr>
          <w:ilvl w:val="0"/>
          <w:numId w:val="569"/>
        </w:numPr>
        <w:rPr>
          <w:highlight w:val="yellow"/>
        </w:rPr>
      </w:pPr>
      <w:r w:rsidRPr="002E4DAC">
        <w:rPr>
          <w:highlight w:val="yellow"/>
        </w:rPr>
        <w:t>ATCD complets (ITSS, familiaux,)</w:t>
      </w:r>
    </w:p>
    <w:p w:rsidR="00D9395A" w:rsidRPr="002E4DAC" w:rsidRDefault="00D9395A" w:rsidP="00233789">
      <w:pPr>
        <w:pStyle w:val="Sansinterligne"/>
        <w:numPr>
          <w:ilvl w:val="0"/>
          <w:numId w:val="569"/>
        </w:numPr>
        <w:rPr>
          <w:highlight w:val="yellow"/>
        </w:rPr>
      </w:pPr>
      <w:r w:rsidRPr="002E4DAC">
        <w:rPr>
          <w:highlight w:val="yellow"/>
        </w:rPr>
        <w:t xml:space="preserve">Anamnèse et </w:t>
      </w:r>
      <w:r w:rsidR="00857176">
        <w:rPr>
          <w:highlight w:val="yellow"/>
        </w:rPr>
        <w:t xml:space="preserve">E/P </w:t>
      </w:r>
      <w:r w:rsidRPr="002E4DAC">
        <w:rPr>
          <w:highlight w:val="yellow"/>
        </w:rPr>
        <w:t>neurologique complet et exhaustif</w:t>
      </w:r>
    </w:p>
    <w:p w:rsidR="00811E97" w:rsidRDefault="00811E97" w:rsidP="0029163E">
      <w:pPr>
        <w:pStyle w:val="Sansinterligne"/>
        <w:rPr>
          <w:b/>
        </w:rPr>
      </w:pPr>
    </w:p>
    <w:p w:rsidR="00811E97" w:rsidRPr="00811E97" w:rsidRDefault="00811E97" w:rsidP="0029163E">
      <w:pPr>
        <w:pStyle w:val="Sansinterligne"/>
        <w:rPr>
          <w:b/>
        </w:rPr>
      </w:pPr>
      <w:r w:rsidRPr="00811E97">
        <w:rPr>
          <w:b/>
        </w:rPr>
        <w:t>Bilans sanguins</w:t>
      </w:r>
    </w:p>
    <w:p w:rsidR="001F62E0" w:rsidRDefault="001F62E0" w:rsidP="00233789">
      <w:pPr>
        <w:pStyle w:val="Sansinterligne"/>
        <w:numPr>
          <w:ilvl w:val="0"/>
          <w:numId w:val="570"/>
        </w:numPr>
      </w:pPr>
      <w:r>
        <w:t>TSH</w:t>
      </w:r>
    </w:p>
    <w:p w:rsidR="00811E97" w:rsidRDefault="00811E97" w:rsidP="00233789">
      <w:pPr>
        <w:pStyle w:val="Sansinterligne"/>
        <w:numPr>
          <w:ilvl w:val="0"/>
          <w:numId w:val="570"/>
        </w:numPr>
      </w:pPr>
      <w:r>
        <w:t>Alcoolémie, dépistage de drogues</w:t>
      </w:r>
    </w:p>
    <w:p w:rsidR="001F62E0" w:rsidRDefault="00811E97" w:rsidP="00233789">
      <w:pPr>
        <w:pStyle w:val="Sansinterligne"/>
        <w:numPr>
          <w:ilvl w:val="0"/>
          <w:numId w:val="570"/>
        </w:numPr>
      </w:pPr>
      <w:r>
        <w:t xml:space="preserve">Dosage de vitamine </w:t>
      </w:r>
      <w:r w:rsidR="001F62E0">
        <w:t>B12</w:t>
      </w:r>
    </w:p>
    <w:p w:rsidR="001F62E0" w:rsidRDefault="00C14293" w:rsidP="00233789">
      <w:pPr>
        <w:pStyle w:val="Sansinterligne"/>
        <w:numPr>
          <w:ilvl w:val="0"/>
          <w:numId w:val="571"/>
        </w:numPr>
      </w:pPr>
      <w:r>
        <w:t>VIH, VDRL (neurosyphilis)</w:t>
      </w:r>
    </w:p>
    <w:p w:rsidR="00811E97" w:rsidRDefault="00811E97" w:rsidP="00233789">
      <w:pPr>
        <w:pStyle w:val="Sansinterligne"/>
        <w:numPr>
          <w:ilvl w:val="0"/>
          <w:numId w:val="571"/>
        </w:numPr>
      </w:pPr>
      <w:r>
        <w:t>Diagnostic génétique moléculaire (chorée)</w:t>
      </w:r>
    </w:p>
    <w:p w:rsidR="00811E97" w:rsidRDefault="00811E97" w:rsidP="0029163E">
      <w:pPr>
        <w:pStyle w:val="Sansinterligne"/>
      </w:pPr>
    </w:p>
    <w:p w:rsidR="00811E97" w:rsidRPr="00811E97" w:rsidRDefault="00811E97" w:rsidP="0029163E">
      <w:pPr>
        <w:pStyle w:val="Sansinterligne"/>
        <w:rPr>
          <w:b/>
        </w:rPr>
      </w:pPr>
      <w:r w:rsidRPr="00811E97">
        <w:rPr>
          <w:b/>
        </w:rPr>
        <w:t>Imagerie</w:t>
      </w:r>
    </w:p>
    <w:p w:rsidR="00811E97" w:rsidRPr="00811E97" w:rsidRDefault="00C14293" w:rsidP="00233789">
      <w:pPr>
        <w:pStyle w:val="Sansinterligne"/>
        <w:numPr>
          <w:ilvl w:val="0"/>
          <w:numId w:val="572"/>
        </w:numPr>
        <w:rPr>
          <w:highlight w:val="yellow"/>
        </w:rPr>
      </w:pPr>
      <w:r w:rsidRPr="00811E97">
        <w:rPr>
          <w:highlight w:val="yellow"/>
        </w:rPr>
        <w:t>IRM tête (leucoencéphalopathie, lacunes</w:t>
      </w:r>
      <w:r w:rsidR="0029163E" w:rsidRPr="00811E97">
        <w:rPr>
          <w:highlight w:val="yellow"/>
        </w:rPr>
        <w:t>, signes de trauma</w:t>
      </w:r>
      <w:r w:rsidRPr="00811E97">
        <w:rPr>
          <w:highlight w:val="yellow"/>
        </w:rPr>
        <w:t xml:space="preserve">), </w:t>
      </w:r>
    </w:p>
    <w:p w:rsidR="0029163E" w:rsidRPr="00811E97" w:rsidRDefault="00C14293" w:rsidP="00233789">
      <w:pPr>
        <w:pStyle w:val="Sansinterligne"/>
        <w:numPr>
          <w:ilvl w:val="0"/>
          <w:numId w:val="572"/>
        </w:numPr>
        <w:rPr>
          <w:highlight w:val="yellow"/>
        </w:rPr>
      </w:pPr>
      <w:r w:rsidRPr="00811E97">
        <w:rPr>
          <w:highlight w:val="yellow"/>
        </w:rPr>
        <w:t>TDM cérébral</w:t>
      </w:r>
    </w:p>
    <w:p w:rsidR="002E4DAC" w:rsidRDefault="002E4DAC" w:rsidP="0029163E">
      <w:pPr>
        <w:pStyle w:val="Sansinterligne"/>
      </w:pPr>
    </w:p>
    <w:p w:rsidR="002E4DAC" w:rsidRPr="002E4DAC" w:rsidRDefault="002E4DAC" w:rsidP="0029163E">
      <w:pPr>
        <w:pStyle w:val="Sansinterligne"/>
        <w:rPr>
          <w:b/>
        </w:rPr>
      </w:pPr>
      <w:r w:rsidRPr="002E4DAC">
        <w:rPr>
          <w:b/>
        </w:rPr>
        <w:t>Évaluatio</w:t>
      </w:r>
      <w:r>
        <w:rPr>
          <w:b/>
        </w:rPr>
        <w:t>n</w:t>
      </w:r>
    </w:p>
    <w:p w:rsidR="002E4DAC" w:rsidRDefault="002E4DAC" w:rsidP="00233789">
      <w:pPr>
        <w:pStyle w:val="Sansinterligne"/>
        <w:numPr>
          <w:ilvl w:val="0"/>
          <w:numId w:val="573"/>
        </w:numPr>
      </w:pPr>
      <w:r>
        <w:t>Test de Folstein (MMSE)</w:t>
      </w:r>
    </w:p>
    <w:p w:rsidR="002E4DAC" w:rsidRDefault="002E4DAC" w:rsidP="00233789">
      <w:pPr>
        <w:pStyle w:val="Sansinterligne"/>
        <w:numPr>
          <w:ilvl w:val="0"/>
          <w:numId w:val="573"/>
        </w:numPr>
      </w:pPr>
      <w:r>
        <w:t>Test de Luria</w:t>
      </w:r>
    </w:p>
    <w:p w:rsidR="002E4DAC" w:rsidRDefault="002E4DAC" w:rsidP="00233789">
      <w:pPr>
        <w:pStyle w:val="Sansinterligne"/>
        <w:numPr>
          <w:ilvl w:val="0"/>
          <w:numId w:val="573"/>
        </w:numPr>
        <w:sectPr w:rsidR="002E4DAC" w:rsidSect="00AA3850">
          <w:type w:val="continuous"/>
          <w:pgSz w:w="12240" w:h="15840"/>
          <w:pgMar w:top="720" w:right="720" w:bottom="720" w:left="720" w:header="708" w:footer="708" w:gutter="0"/>
          <w:cols w:num="2" w:space="708"/>
          <w:docGrid w:linePitch="360"/>
        </w:sectPr>
      </w:pPr>
      <w:r>
        <w:t>Montreal Cognitive Assessment (MoC</w:t>
      </w:r>
      <w:r w:rsidR="00AA3850">
        <w:t>A)</w:t>
      </w:r>
    </w:p>
    <w:p w:rsidR="002E4DAC" w:rsidRDefault="002E4DAC" w:rsidP="0029163E">
      <w:pPr>
        <w:pStyle w:val="Sansinterligne"/>
        <w:sectPr w:rsidR="002E4DAC" w:rsidSect="00217865">
          <w:type w:val="continuous"/>
          <w:pgSz w:w="12240" w:h="15840"/>
          <w:pgMar w:top="720" w:right="720" w:bottom="720" w:left="720" w:header="708" w:footer="708" w:gutter="0"/>
          <w:cols w:space="708"/>
          <w:docGrid w:linePitch="360"/>
        </w:sectPr>
      </w:pPr>
    </w:p>
    <w:p w:rsidR="002F563A" w:rsidRDefault="002F563A" w:rsidP="0029163E">
      <w:pPr>
        <w:pStyle w:val="Sansinterligne"/>
        <w:rPr>
          <w:b/>
          <w:sz w:val="28"/>
          <w:szCs w:val="28"/>
        </w:rPr>
      </w:pPr>
    </w:p>
    <w:p w:rsidR="00341BB1" w:rsidRDefault="00341BB1" w:rsidP="0029163E">
      <w:pPr>
        <w:pStyle w:val="Sansinterligne"/>
        <w:rPr>
          <w:b/>
          <w:sz w:val="28"/>
          <w:szCs w:val="28"/>
        </w:rPr>
      </w:pPr>
    </w:p>
    <w:p w:rsidR="00341BB1" w:rsidRDefault="00341BB1" w:rsidP="0029163E">
      <w:pPr>
        <w:pStyle w:val="Sansinterligne"/>
        <w:rPr>
          <w:b/>
          <w:sz w:val="28"/>
          <w:szCs w:val="28"/>
        </w:rPr>
      </w:pPr>
    </w:p>
    <w:p w:rsidR="0029163E" w:rsidRDefault="0029163E" w:rsidP="0029163E">
      <w:pPr>
        <w:pStyle w:val="Sansinterligne"/>
        <w:rPr>
          <w:b/>
          <w:sz w:val="28"/>
          <w:szCs w:val="28"/>
        </w:rPr>
      </w:pPr>
      <w:r w:rsidRPr="001F7F62">
        <w:rPr>
          <w:b/>
          <w:sz w:val="28"/>
          <w:szCs w:val="28"/>
        </w:rPr>
        <w:t>Prise en charge</w:t>
      </w:r>
    </w:p>
    <w:p w:rsidR="00160A74" w:rsidRPr="001F7F62" w:rsidRDefault="00160A74" w:rsidP="0029163E">
      <w:pPr>
        <w:pStyle w:val="Sansinterligne"/>
        <w:rPr>
          <w:b/>
          <w:sz w:val="28"/>
          <w:szCs w:val="28"/>
        </w:rPr>
      </w:pPr>
    </w:p>
    <w:p w:rsidR="0029163E" w:rsidRPr="0097723A" w:rsidRDefault="0029163E" w:rsidP="00233789">
      <w:pPr>
        <w:pStyle w:val="Sansinterligne"/>
        <w:numPr>
          <w:ilvl w:val="0"/>
          <w:numId w:val="580"/>
        </w:numPr>
        <w:rPr>
          <w:highlight w:val="yellow"/>
        </w:rPr>
      </w:pPr>
      <w:r w:rsidRPr="0097723A">
        <w:rPr>
          <w:highlight w:val="yellow"/>
        </w:rPr>
        <w:t>Expliquer l’évolution de la maladie et le pronostic</w:t>
      </w:r>
      <w:r w:rsidR="005D50B2" w:rsidRPr="0097723A">
        <w:rPr>
          <w:highlight w:val="yellow"/>
        </w:rPr>
        <w:t xml:space="preserve"> au patient</w:t>
      </w:r>
    </w:p>
    <w:p w:rsidR="00BA6D3C" w:rsidRPr="0097723A" w:rsidRDefault="005D50B2" w:rsidP="00233789">
      <w:pPr>
        <w:pStyle w:val="Sansinterligne"/>
        <w:numPr>
          <w:ilvl w:val="1"/>
          <w:numId w:val="580"/>
        </w:numPr>
        <w:rPr>
          <w:highlight w:val="yellow"/>
        </w:rPr>
      </w:pPr>
      <w:r w:rsidRPr="0097723A">
        <w:rPr>
          <w:highlight w:val="yellow"/>
        </w:rPr>
        <w:t>Progression par paliers (Alzheimer) ad agnosie des proches et perte de mémoire sév</w:t>
      </w:r>
      <w:r w:rsidR="00BA6D3C" w:rsidRPr="0097723A">
        <w:rPr>
          <w:highlight w:val="yellow"/>
        </w:rPr>
        <w:t>ère</w:t>
      </w:r>
    </w:p>
    <w:p w:rsidR="005D50B2" w:rsidRPr="0097723A" w:rsidRDefault="00BA6D3C" w:rsidP="00233789">
      <w:pPr>
        <w:pStyle w:val="Sansinterligne"/>
        <w:numPr>
          <w:ilvl w:val="1"/>
          <w:numId w:val="580"/>
        </w:numPr>
        <w:rPr>
          <w:highlight w:val="yellow"/>
        </w:rPr>
      </w:pPr>
      <w:r w:rsidRPr="0097723A">
        <w:rPr>
          <w:highlight w:val="yellow"/>
        </w:rPr>
        <w:t>A</w:t>
      </w:r>
      <w:r w:rsidR="005D50B2" w:rsidRPr="0097723A">
        <w:rPr>
          <w:highlight w:val="yellow"/>
        </w:rPr>
        <w:t>ltération du comportement</w:t>
      </w:r>
    </w:p>
    <w:p w:rsidR="005D50B2" w:rsidRPr="0097723A" w:rsidRDefault="005D50B2" w:rsidP="00233789">
      <w:pPr>
        <w:pStyle w:val="Sansinterligne"/>
        <w:numPr>
          <w:ilvl w:val="1"/>
          <w:numId w:val="580"/>
        </w:numPr>
        <w:rPr>
          <w:highlight w:val="yellow"/>
        </w:rPr>
      </w:pPr>
      <w:r w:rsidRPr="0097723A">
        <w:rPr>
          <w:highlight w:val="yellow"/>
        </w:rPr>
        <w:t>Généralement décès en 8-10 ans</w:t>
      </w:r>
    </w:p>
    <w:p w:rsidR="00C17CD1" w:rsidRPr="0097723A" w:rsidRDefault="00C17CD1" w:rsidP="00233789">
      <w:pPr>
        <w:pStyle w:val="Sansinterligne"/>
        <w:numPr>
          <w:ilvl w:val="0"/>
          <w:numId w:val="580"/>
        </w:numPr>
        <w:rPr>
          <w:highlight w:val="yellow"/>
        </w:rPr>
      </w:pPr>
      <w:r w:rsidRPr="0097723A">
        <w:rPr>
          <w:highlight w:val="yellow"/>
        </w:rPr>
        <w:t>Entraînement cognitif (jeu, exercices mentaux, etc.)</w:t>
      </w:r>
    </w:p>
    <w:p w:rsidR="00C17CD1" w:rsidRDefault="00C17CD1" w:rsidP="00233789">
      <w:pPr>
        <w:pStyle w:val="Sansinterligne"/>
        <w:numPr>
          <w:ilvl w:val="0"/>
          <w:numId w:val="580"/>
        </w:numPr>
      </w:pPr>
      <w:r>
        <w:t>Référence en ergothérapie pour optimisation des capacités</w:t>
      </w:r>
    </w:p>
    <w:p w:rsidR="00C17CD1" w:rsidRDefault="00C17CD1" w:rsidP="00233789">
      <w:pPr>
        <w:pStyle w:val="Sansinterligne"/>
        <w:numPr>
          <w:ilvl w:val="0"/>
          <w:numId w:val="580"/>
        </w:numPr>
      </w:pPr>
      <w:r>
        <w:t>Évaluer l’aptitude à conduire</w:t>
      </w:r>
    </w:p>
    <w:p w:rsidR="00C17CD1" w:rsidRDefault="00C17CD1" w:rsidP="00233789">
      <w:pPr>
        <w:pStyle w:val="Sansinterligne"/>
        <w:numPr>
          <w:ilvl w:val="1"/>
          <w:numId w:val="580"/>
        </w:numPr>
      </w:pPr>
      <w:r>
        <w:t>Si doute sur la sécurité. Référer pour évaluation (SAAQ)</w:t>
      </w:r>
    </w:p>
    <w:p w:rsidR="00C17CD1" w:rsidRPr="0097723A" w:rsidRDefault="00C17CD1" w:rsidP="00233789">
      <w:pPr>
        <w:pStyle w:val="Sansinterligne"/>
        <w:numPr>
          <w:ilvl w:val="0"/>
          <w:numId w:val="580"/>
        </w:numPr>
        <w:rPr>
          <w:highlight w:val="yellow"/>
        </w:rPr>
      </w:pPr>
      <w:r w:rsidRPr="0097723A">
        <w:rPr>
          <w:highlight w:val="yellow"/>
        </w:rPr>
        <w:t xml:space="preserve">Évaluer l’aptitude à consentir (Voir </w:t>
      </w:r>
      <w:r w:rsidRPr="0097723A">
        <w:rPr>
          <w:i/>
          <w:highlight w:val="yellow"/>
        </w:rPr>
        <w:t>Consentement</w:t>
      </w:r>
      <w:r w:rsidRPr="0097723A">
        <w:rPr>
          <w:highlight w:val="yellow"/>
        </w:rPr>
        <w:t xml:space="preserve"> CMC 121-1)</w:t>
      </w:r>
    </w:p>
    <w:p w:rsidR="00C17CD1" w:rsidRPr="0097723A" w:rsidRDefault="00C17CD1" w:rsidP="00233789">
      <w:pPr>
        <w:pStyle w:val="Sansinterligne"/>
        <w:numPr>
          <w:ilvl w:val="0"/>
          <w:numId w:val="580"/>
        </w:numPr>
        <w:rPr>
          <w:highlight w:val="yellow"/>
        </w:rPr>
      </w:pPr>
      <w:r w:rsidRPr="0097723A">
        <w:rPr>
          <w:highlight w:val="yellow"/>
        </w:rPr>
        <w:t>Prévoir un mandat en cas d’inaptitude, des directives médicales anticipées, un testament en prévision des stades plus avancés de la maladie</w:t>
      </w:r>
    </w:p>
    <w:p w:rsidR="00C17CD1" w:rsidRDefault="00C17CD1" w:rsidP="00C17CD1">
      <w:pPr>
        <w:pStyle w:val="Sansinterligne"/>
        <w:ind w:left="360"/>
      </w:pPr>
    </w:p>
    <w:p w:rsidR="00C17CD1" w:rsidRDefault="00680044" w:rsidP="00233789">
      <w:pPr>
        <w:pStyle w:val="Sansinterligne"/>
        <w:numPr>
          <w:ilvl w:val="0"/>
          <w:numId w:val="580"/>
        </w:numPr>
      </w:pPr>
      <w:r>
        <w:t xml:space="preserve">Réévaluation </w:t>
      </w:r>
      <w:r w:rsidR="00C17CD1">
        <w:t>régulière des aptitudes, documenter avec MMSE/MoCA, discussions</w:t>
      </w:r>
    </w:p>
    <w:p w:rsidR="00C17CD1" w:rsidRPr="0097723A" w:rsidRDefault="00C17CD1" w:rsidP="00233789">
      <w:pPr>
        <w:pStyle w:val="Sansinterligne"/>
        <w:numPr>
          <w:ilvl w:val="0"/>
          <w:numId w:val="580"/>
        </w:numPr>
        <w:rPr>
          <w:highlight w:val="yellow"/>
        </w:rPr>
      </w:pPr>
      <w:r w:rsidRPr="0097723A">
        <w:rPr>
          <w:highlight w:val="yellow"/>
        </w:rPr>
        <w:t>Soutien psychologique PRN, soutien communautaire (maisons de répits, repas, soins à domicile, etc)</w:t>
      </w:r>
    </w:p>
    <w:p w:rsidR="0029163E" w:rsidRDefault="00FA4713" w:rsidP="0029163E">
      <w:pPr>
        <w:pStyle w:val="Sansinterligne"/>
      </w:pPr>
      <w:r>
        <w:rPr>
          <w:noProof/>
          <w:lang w:eastAsia="fr-CA"/>
        </w:rPr>
        <w:drawing>
          <wp:anchor distT="0" distB="0" distL="114300" distR="114300" simplePos="0" relativeHeight="251816960" behindDoc="0" locked="0" layoutInCell="1" allowOverlap="1" wp14:anchorId="2D1494EA" wp14:editId="09A1984C">
            <wp:simplePos x="0" y="0"/>
            <wp:positionH relativeFrom="column">
              <wp:posOffset>1983740</wp:posOffset>
            </wp:positionH>
            <wp:positionV relativeFrom="paragraph">
              <wp:posOffset>42545</wp:posOffset>
            </wp:positionV>
            <wp:extent cx="2994025" cy="1167130"/>
            <wp:effectExtent l="0" t="0" r="0" b="0"/>
            <wp:wrapNone/>
            <wp:docPr id="336" name="Image 336" descr="Résultats de recherche d'images pour « donepezi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Résultats de recherche d'images pour « donepezil »"/>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2994025" cy="11671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A4713" w:rsidRDefault="00FA4713" w:rsidP="0029163E">
      <w:pPr>
        <w:pStyle w:val="Sansinterligne"/>
      </w:pPr>
    </w:p>
    <w:p w:rsidR="00FA4713" w:rsidRDefault="00FA4713" w:rsidP="0029163E">
      <w:pPr>
        <w:pStyle w:val="Sansinterligne"/>
      </w:pPr>
    </w:p>
    <w:p w:rsidR="00680044" w:rsidRPr="002A7B3A" w:rsidRDefault="00680044" w:rsidP="0029163E">
      <w:pPr>
        <w:pStyle w:val="Sansinterligne"/>
        <w:rPr>
          <w:b/>
          <w:highlight w:val="yellow"/>
        </w:rPr>
      </w:pPr>
      <w:r w:rsidRPr="002A7B3A">
        <w:rPr>
          <w:b/>
          <w:highlight w:val="yellow"/>
        </w:rPr>
        <w:t>Traitement pharmacologique</w:t>
      </w:r>
    </w:p>
    <w:p w:rsidR="00680044" w:rsidRPr="002A7B3A" w:rsidRDefault="00680044" w:rsidP="0029163E">
      <w:pPr>
        <w:pStyle w:val="Sansinterligne"/>
        <w:rPr>
          <w:highlight w:val="yellow"/>
        </w:rPr>
      </w:pPr>
    </w:p>
    <w:p w:rsidR="00905320" w:rsidRPr="002A7B3A" w:rsidRDefault="00905320" w:rsidP="0029163E">
      <w:pPr>
        <w:pStyle w:val="Sansinterligne"/>
        <w:rPr>
          <w:highlight w:val="yellow"/>
        </w:rPr>
      </w:pPr>
      <w:r w:rsidRPr="002A7B3A">
        <w:rPr>
          <w:i/>
          <w:highlight w:val="yellow"/>
          <w:u w:val="single"/>
        </w:rPr>
        <w:t>Troubles cognitifs</w:t>
      </w:r>
      <w:r w:rsidRPr="002A7B3A">
        <w:rPr>
          <w:highlight w:val="yellow"/>
        </w:rPr>
        <w:t> :</w:t>
      </w:r>
      <w:r w:rsidR="00FA4713" w:rsidRPr="00FA4713">
        <w:t xml:space="preserve"> </w:t>
      </w:r>
    </w:p>
    <w:p w:rsidR="00905320" w:rsidRPr="002A7B3A" w:rsidRDefault="00905320" w:rsidP="0029163E">
      <w:pPr>
        <w:pStyle w:val="Sansinterligne"/>
        <w:rPr>
          <w:highlight w:val="yellow"/>
        </w:rPr>
      </w:pPr>
    </w:p>
    <w:p w:rsidR="00905320" w:rsidRPr="002A7B3A" w:rsidRDefault="00905320" w:rsidP="0029163E">
      <w:pPr>
        <w:pStyle w:val="Sansinterligne"/>
        <w:rPr>
          <w:highlight w:val="yellow"/>
        </w:rPr>
        <w:sectPr w:rsidR="00905320" w:rsidRPr="002A7B3A" w:rsidSect="00217865">
          <w:type w:val="continuous"/>
          <w:pgSz w:w="12240" w:h="15840"/>
          <w:pgMar w:top="720" w:right="720" w:bottom="720" w:left="720" w:header="708" w:footer="708" w:gutter="0"/>
          <w:cols w:space="708"/>
          <w:docGrid w:linePitch="360"/>
        </w:sectPr>
      </w:pPr>
    </w:p>
    <w:p w:rsidR="00905320" w:rsidRPr="002A7B3A" w:rsidRDefault="00905320" w:rsidP="0029163E">
      <w:pPr>
        <w:pStyle w:val="Sansinterligne"/>
        <w:rPr>
          <w:highlight w:val="yellow"/>
        </w:rPr>
      </w:pPr>
      <w:r w:rsidRPr="002A7B3A">
        <w:rPr>
          <w:highlight w:val="yellow"/>
        </w:rPr>
        <w:t>Maladie d’Alzheimer</w:t>
      </w:r>
    </w:p>
    <w:p w:rsidR="00905320" w:rsidRPr="002A7B3A" w:rsidRDefault="00905320" w:rsidP="0029163E">
      <w:pPr>
        <w:pStyle w:val="Sansinterligne"/>
        <w:rPr>
          <w:highlight w:val="yellow"/>
        </w:rPr>
      </w:pPr>
      <w:r w:rsidRPr="002A7B3A">
        <w:rPr>
          <w:highlight w:val="yellow"/>
        </w:rPr>
        <w:t>Démence vasculaire</w:t>
      </w:r>
    </w:p>
    <w:p w:rsidR="00905320" w:rsidRPr="002A7B3A" w:rsidRDefault="00905320" w:rsidP="0029163E">
      <w:pPr>
        <w:pStyle w:val="Sansinterligne"/>
        <w:rPr>
          <w:highlight w:val="yellow"/>
        </w:rPr>
      </w:pPr>
      <w:r w:rsidRPr="002A7B3A">
        <w:rPr>
          <w:highlight w:val="yellow"/>
        </w:rPr>
        <w:t>Démence à Corps de Lewy</w:t>
      </w:r>
    </w:p>
    <w:p w:rsidR="00905320" w:rsidRPr="002A7B3A" w:rsidRDefault="00905320" w:rsidP="0029163E">
      <w:pPr>
        <w:pStyle w:val="Sansinterligne"/>
        <w:rPr>
          <w:highlight w:val="yellow"/>
        </w:rPr>
      </w:pPr>
      <w:r w:rsidRPr="002A7B3A">
        <w:rPr>
          <w:highlight w:val="yellow"/>
        </w:rPr>
        <w:t>Démence mixte (vasculaire + Alzheimer)</w:t>
      </w:r>
    </w:p>
    <w:p w:rsidR="00680044" w:rsidRPr="00FA4713" w:rsidRDefault="00680044" w:rsidP="0029163E">
      <w:pPr>
        <w:pStyle w:val="Sansinterligne"/>
        <w:rPr>
          <w:u w:val="single"/>
        </w:rPr>
      </w:pPr>
      <w:r w:rsidRPr="00FA4713">
        <w:rPr>
          <w:u w:val="single"/>
        </w:rPr>
        <w:t>Léger à modéré</w:t>
      </w:r>
    </w:p>
    <w:p w:rsidR="0029163E" w:rsidRPr="002A7B3A" w:rsidRDefault="0029163E" w:rsidP="00233789">
      <w:pPr>
        <w:pStyle w:val="Sansinterligne"/>
        <w:numPr>
          <w:ilvl w:val="0"/>
          <w:numId w:val="581"/>
        </w:numPr>
        <w:rPr>
          <w:highlight w:val="yellow"/>
        </w:rPr>
      </w:pPr>
      <w:r w:rsidRPr="002A7B3A">
        <w:rPr>
          <w:highlight w:val="yellow"/>
        </w:rPr>
        <w:t>Donepezil</w:t>
      </w:r>
      <w:r w:rsidR="00680044" w:rsidRPr="002A7B3A">
        <w:rPr>
          <w:highlight w:val="yellow"/>
        </w:rPr>
        <w:t xml:space="preserve"> </w:t>
      </w:r>
    </w:p>
    <w:p w:rsidR="00680044" w:rsidRPr="00FA4713" w:rsidRDefault="00680044" w:rsidP="0029163E">
      <w:pPr>
        <w:pStyle w:val="Sansinterligne"/>
        <w:rPr>
          <w:u w:val="single"/>
        </w:rPr>
      </w:pPr>
      <w:r w:rsidRPr="00FA4713">
        <w:rPr>
          <w:u w:val="single"/>
        </w:rPr>
        <w:t>Modéré à sévère</w:t>
      </w:r>
    </w:p>
    <w:p w:rsidR="0029163E" w:rsidRPr="002A7B3A" w:rsidRDefault="0029163E" w:rsidP="00233789">
      <w:pPr>
        <w:pStyle w:val="Sansinterligne"/>
        <w:numPr>
          <w:ilvl w:val="0"/>
          <w:numId w:val="581"/>
        </w:numPr>
        <w:rPr>
          <w:highlight w:val="yellow"/>
        </w:rPr>
      </w:pPr>
      <w:r w:rsidRPr="002A7B3A">
        <w:rPr>
          <w:highlight w:val="yellow"/>
        </w:rPr>
        <w:t>Mémantine</w:t>
      </w:r>
    </w:p>
    <w:p w:rsidR="00905320" w:rsidRPr="002A7B3A" w:rsidRDefault="00905320" w:rsidP="00233789">
      <w:pPr>
        <w:pStyle w:val="Sansinterligne"/>
        <w:numPr>
          <w:ilvl w:val="0"/>
          <w:numId w:val="581"/>
        </w:numPr>
        <w:rPr>
          <w:highlight w:val="yellow"/>
        </w:rPr>
        <w:sectPr w:rsidR="00905320" w:rsidRPr="002A7B3A" w:rsidSect="00905320">
          <w:type w:val="continuous"/>
          <w:pgSz w:w="12240" w:h="15840"/>
          <w:pgMar w:top="720" w:right="720" w:bottom="720" w:left="720" w:header="708" w:footer="708" w:gutter="0"/>
          <w:cols w:num="2" w:space="708"/>
          <w:docGrid w:linePitch="360"/>
        </w:sectPr>
      </w:pPr>
    </w:p>
    <w:p w:rsidR="00905320" w:rsidRPr="002A7B3A" w:rsidRDefault="00905320" w:rsidP="0029163E">
      <w:pPr>
        <w:pStyle w:val="Sansinterligne"/>
        <w:rPr>
          <w:highlight w:val="yellow"/>
        </w:rPr>
      </w:pPr>
    </w:p>
    <w:p w:rsidR="00905320" w:rsidRPr="002A7B3A" w:rsidRDefault="000161CA" w:rsidP="00905320">
      <w:pPr>
        <w:pStyle w:val="Sansinterligne"/>
        <w:numPr>
          <w:ilvl w:val="0"/>
          <w:numId w:val="78"/>
        </w:numPr>
        <w:rPr>
          <w:highlight w:val="yellow"/>
        </w:rPr>
      </w:pPr>
      <w:r>
        <w:rPr>
          <w:noProof/>
          <w:lang w:eastAsia="fr-CA"/>
        </w:rPr>
        <w:drawing>
          <wp:anchor distT="0" distB="0" distL="114300" distR="114300" simplePos="0" relativeHeight="251817984" behindDoc="0" locked="0" layoutInCell="1" allowOverlap="1" wp14:anchorId="175C536F" wp14:editId="4BF9892A">
            <wp:simplePos x="0" y="0"/>
            <wp:positionH relativeFrom="column">
              <wp:posOffset>4977927</wp:posOffset>
            </wp:positionH>
            <wp:positionV relativeFrom="paragraph">
              <wp:posOffset>271647</wp:posOffset>
            </wp:positionV>
            <wp:extent cx="1568503" cy="3725694"/>
            <wp:effectExtent l="0" t="0" r="0" b="8255"/>
            <wp:wrapNone/>
            <wp:docPr id="337" name="Image 337" descr="Image associé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Image associée"/>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1568503" cy="3725694"/>
                    </a:xfrm>
                    <a:prstGeom prst="rect">
                      <a:avLst/>
                    </a:prstGeom>
                    <a:noFill/>
                    <a:ln>
                      <a:noFill/>
                    </a:ln>
                  </pic:spPr>
                </pic:pic>
              </a:graphicData>
            </a:graphic>
            <wp14:sizeRelH relativeFrom="page">
              <wp14:pctWidth>0</wp14:pctWidth>
            </wp14:sizeRelH>
            <wp14:sizeRelV relativeFrom="page">
              <wp14:pctHeight>0</wp14:pctHeight>
            </wp14:sizeRelV>
          </wp:anchor>
        </w:drawing>
      </w:r>
      <w:r w:rsidR="00905320" w:rsidRPr="002A7B3A">
        <w:rPr>
          <w:highlight w:val="yellow"/>
        </w:rPr>
        <w:t>Il faut toutefois faire comprendre au patient et sa famille que ce traitement n’est pas miraculeux ni curatif, il ne fait que ralentir la progression de l’atteinte cognitive.</w:t>
      </w:r>
    </w:p>
    <w:p w:rsidR="00905320" w:rsidRDefault="00905320" w:rsidP="0029163E">
      <w:pPr>
        <w:pStyle w:val="Sansinterligne"/>
      </w:pPr>
    </w:p>
    <w:p w:rsidR="00BA6D3C" w:rsidRDefault="00BA6D3C" w:rsidP="0029163E">
      <w:pPr>
        <w:pStyle w:val="Sansinterligne"/>
        <w:rPr>
          <w:u w:val="single"/>
        </w:rPr>
      </w:pPr>
    </w:p>
    <w:p w:rsidR="002A7B3A" w:rsidRDefault="002A7B3A" w:rsidP="002A7B3A">
      <w:pPr>
        <w:pStyle w:val="Sansinterligne"/>
      </w:pPr>
      <w:r w:rsidRPr="00EE6D59">
        <w:rPr>
          <w:u w:val="single"/>
        </w:rPr>
        <w:t>Antipsychotiques / antidépresseurs</w:t>
      </w:r>
      <w:r>
        <w:t xml:space="preserve"> </w:t>
      </w:r>
    </w:p>
    <w:p w:rsidR="002A7B3A" w:rsidRDefault="002A7B3A" w:rsidP="00233789">
      <w:pPr>
        <w:pStyle w:val="Sansinterligne"/>
        <w:numPr>
          <w:ilvl w:val="0"/>
          <w:numId w:val="575"/>
        </w:numPr>
      </w:pPr>
      <w:r>
        <w:t xml:space="preserve">Si symptômes  associées aux syndromes démentiels </w:t>
      </w:r>
    </w:p>
    <w:p w:rsidR="002A7B3A" w:rsidRDefault="002A7B3A" w:rsidP="00233789">
      <w:pPr>
        <w:pStyle w:val="Sansinterligne"/>
        <w:numPr>
          <w:ilvl w:val="0"/>
          <w:numId w:val="575"/>
        </w:numPr>
      </w:pPr>
      <w:r>
        <w:t xml:space="preserve">Si pseudodémence dépressive (voir </w:t>
      </w:r>
      <w:r w:rsidRPr="004B258B">
        <w:rPr>
          <w:i/>
        </w:rPr>
        <w:t>Humeur dépressive CMC 59-1</w:t>
      </w:r>
      <w:r>
        <w:t>)</w:t>
      </w:r>
    </w:p>
    <w:p w:rsidR="002A7B3A" w:rsidRDefault="002A7B3A" w:rsidP="002A7B3A">
      <w:pPr>
        <w:pStyle w:val="Sansinterligne"/>
        <w:ind w:left="720"/>
      </w:pPr>
    </w:p>
    <w:p w:rsidR="00BA6D3C" w:rsidRDefault="00BA6D3C" w:rsidP="0029163E">
      <w:pPr>
        <w:pStyle w:val="Sansinterligne"/>
        <w:rPr>
          <w:u w:val="single"/>
        </w:rPr>
      </w:pPr>
      <w:r>
        <w:rPr>
          <w:u w:val="single"/>
        </w:rPr>
        <w:t>Hydrocéphalie à pression normale (HPN</w:t>
      </w:r>
      <w:r w:rsidR="00742F6D">
        <w:rPr>
          <w:u w:val="single"/>
        </w:rPr>
        <w:t>)</w:t>
      </w:r>
    </w:p>
    <w:p w:rsidR="00BA6D3C" w:rsidRPr="00BA6D3C" w:rsidRDefault="00BA6D3C" w:rsidP="00233789">
      <w:pPr>
        <w:pStyle w:val="Sansinterligne"/>
        <w:numPr>
          <w:ilvl w:val="0"/>
          <w:numId w:val="579"/>
        </w:numPr>
      </w:pPr>
      <w:r>
        <w:t>Dérivation ventriculaire (neurochirurgie)</w:t>
      </w:r>
    </w:p>
    <w:p w:rsidR="00BA6D3C" w:rsidRDefault="00BA6D3C" w:rsidP="0029163E">
      <w:pPr>
        <w:pStyle w:val="Sansinterligne"/>
        <w:rPr>
          <w:u w:val="single"/>
        </w:rPr>
      </w:pPr>
    </w:p>
    <w:p w:rsidR="00905320" w:rsidRPr="00EE6D59" w:rsidRDefault="00905320" w:rsidP="0029163E">
      <w:pPr>
        <w:pStyle w:val="Sansinterligne"/>
        <w:rPr>
          <w:u w:val="single"/>
        </w:rPr>
      </w:pPr>
      <w:r w:rsidRPr="00EE6D59">
        <w:rPr>
          <w:u w:val="single"/>
        </w:rPr>
        <w:t>Traitement des troubles moteurs en Maladie de Parkinson et démence à Corps de Lewy</w:t>
      </w:r>
    </w:p>
    <w:p w:rsidR="00F46BF1" w:rsidRPr="00EE6D59" w:rsidRDefault="00F46BF1" w:rsidP="00233789">
      <w:pPr>
        <w:pStyle w:val="Sansinterligne"/>
        <w:numPr>
          <w:ilvl w:val="0"/>
          <w:numId w:val="577"/>
        </w:numPr>
        <w:rPr>
          <w:lang w:val="en-CA"/>
        </w:rPr>
      </w:pPr>
      <w:r w:rsidRPr="00EE6D59">
        <w:rPr>
          <w:lang w:val="en-CA"/>
        </w:rPr>
        <w:t>Carbidopa/levodopa</w:t>
      </w:r>
      <w:r w:rsidR="0052126C" w:rsidRPr="00EE6D59">
        <w:rPr>
          <w:lang w:val="en-CA"/>
        </w:rPr>
        <w:t xml:space="preserve"> (Sinemet) </w:t>
      </w:r>
      <w:r w:rsidR="00EE6D59" w:rsidRPr="00EE6D59">
        <w:rPr>
          <w:lang w:val="en-CA"/>
        </w:rPr>
        <w:t>25-100 mg PO ½ CO BID-TID</w:t>
      </w:r>
      <w:r w:rsidR="00EE6D59">
        <w:rPr>
          <w:lang w:val="en-CA"/>
        </w:rPr>
        <w:t xml:space="preserve"> </w:t>
      </w:r>
      <w:r w:rsidR="00EE6D59">
        <w:rPr>
          <w:rFonts w:ascii="Century Gothic" w:hAnsi="Century Gothic"/>
          <w:lang w:val="en-CA"/>
        </w:rPr>
        <w:t>&gt;</w:t>
      </w:r>
      <w:r w:rsidR="00EE6D59">
        <w:rPr>
          <w:lang w:val="en-CA"/>
        </w:rPr>
        <w:t xml:space="preserve"> 60 ans</w:t>
      </w:r>
    </w:p>
    <w:p w:rsidR="00F46BF1" w:rsidRDefault="00EE6D59" w:rsidP="00233789">
      <w:pPr>
        <w:pStyle w:val="Sansinterligne"/>
        <w:numPr>
          <w:ilvl w:val="0"/>
          <w:numId w:val="577"/>
        </w:numPr>
        <w:rPr>
          <w:lang w:val="en-CA"/>
        </w:rPr>
      </w:pPr>
      <w:r>
        <w:rPr>
          <w:lang w:val="en-CA"/>
        </w:rPr>
        <w:t xml:space="preserve">Bromocriptine 1,25mg </w:t>
      </w:r>
      <w:r>
        <w:rPr>
          <w:rFonts w:ascii="Century Gothic" w:hAnsi="Century Gothic"/>
          <w:lang w:val="en-CA"/>
        </w:rPr>
        <w:t>→</w:t>
      </w:r>
      <w:r>
        <w:rPr>
          <w:lang w:val="en-CA"/>
        </w:rPr>
        <w:t xml:space="preserve"> 2,5 mg PO BID </w:t>
      </w:r>
      <w:r>
        <w:rPr>
          <w:rFonts w:ascii="Century Gothic" w:hAnsi="Century Gothic"/>
          <w:lang w:val="en-CA"/>
        </w:rPr>
        <w:t>&lt;</w:t>
      </w:r>
      <w:r>
        <w:rPr>
          <w:lang w:val="en-CA"/>
        </w:rPr>
        <w:t xml:space="preserve"> 60 ans</w:t>
      </w:r>
    </w:p>
    <w:p w:rsidR="00EE6D59" w:rsidRPr="00EE6D59" w:rsidRDefault="00EE6D59" w:rsidP="0029163E">
      <w:pPr>
        <w:pStyle w:val="Sansinterligne"/>
        <w:rPr>
          <w:lang w:val="en-CA"/>
        </w:rPr>
      </w:pPr>
    </w:p>
    <w:p w:rsidR="00EE6D59" w:rsidRPr="00EE6D59" w:rsidRDefault="00EE6D59" w:rsidP="00EE6D59">
      <w:pPr>
        <w:pStyle w:val="Sansinterligne"/>
        <w:rPr>
          <w:u w:val="single"/>
        </w:rPr>
      </w:pPr>
      <w:r w:rsidRPr="00EE6D59">
        <w:rPr>
          <w:u w:val="single"/>
        </w:rPr>
        <w:t>Traitement</w:t>
      </w:r>
      <w:r w:rsidR="00164BFE">
        <w:rPr>
          <w:u w:val="single"/>
        </w:rPr>
        <w:t xml:space="preserve"> moteur de la Chorée de Huntigt</w:t>
      </w:r>
      <w:r w:rsidRPr="00EE6D59">
        <w:rPr>
          <w:u w:val="single"/>
        </w:rPr>
        <w:t>on</w:t>
      </w:r>
    </w:p>
    <w:p w:rsidR="00EE6D59" w:rsidRDefault="00EE6D59" w:rsidP="00233789">
      <w:pPr>
        <w:pStyle w:val="Sansinterligne"/>
        <w:numPr>
          <w:ilvl w:val="0"/>
          <w:numId w:val="576"/>
        </w:numPr>
      </w:pPr>
      <w:r>
        <w:t>Tetrabenazine (chorée)</w:t>
      </w:r>
    </w:p>
    <w:p w:rsidR="00EE6D59" w:rsidRDefault="00EE6D59" w:rsidP="0029163E">
      <w:pPr>
        <w:pStyle w:val="Sansinterligne"/>
      </w:pPr>
    </w:p>
    <w:p w:rsidR="00904358" w:rsidRPr="00BA6D3C" w:rsidRDefault="00EE6D59" w:rsidP="0029163E">
      <w:pPr>
        <w:pStyle w:val="Sansinterligne"/>
        <w:rPr>
          <w:u w:val="single"/>
        </w:rPr>
      </w:pPr>
      <w:r w:rsidRPr="00BA6D3C">
        <w:rPr>
          <w:u w:val="single"/>
        </w:rPr>
        <w:t>Encéphalopathie de Wernicke</w:t>
      </w:r>
    </w:p>
    <w:p w:rsidR="00EE6D59" w:rsidRDefault="00EE6D59" w:rsidP="00233789">
      <w:pPr>
        <w:pStyle w:val="Sansinterligne"/>
        <w:numPr>
          <w:ilvl w:val="0"/>
          <w:numId w:val="574"/>
        </w:numPr>
      </w:pPr>
      <w:r>
        <w:t>Thiamine 500 mg IV</w:t>
      </w:r>
      <w:r w:rsidR="00BA6D3C">
        <w:t xml:space="preserve"> TID x 2 jours </w:t>
      </w:r>
      <w:r w:rsidR="00FA4713">
        <w:rPr>
          <w:rFonts w:ascii="Century Gothic" w:hAnsi="Century Gothic"/>
        </w:rPr>
        <w:t>→</w:t>
      </w:r>
      <w:r w:rsidR="00BA6D3C">
        <w:t xml:space="preserve"> Thiamine 250 mg IV/IM DIE x 5 jours</w:t>
      </w:r>
    </w:p>
    <w:p w:rsidR="00BA6D3C" w:rsidRDefault="00BA6D3C" w:rsidP="00233789">
      <w:pPr>
        <w:pStyle w:val="Sansinterligne"/>
        <w:numPr>
          <w:ilvl w:val="0"/>
          <w:numId w:val="574"/>
        </w:numPr>
      </w:pPr>
      <w:r>
        <w:t>Traitement de la dépendance à l’alcool si présente</w:t>
      </w:r>
    </w:p>
    <w:p w:rsidR="00BA6D3C" w:rsidRPr="00BA6D3C" w:rsidRDefault="00BA6D3C" w:rsidP="00233789">
      <w:pPr>
        <w:pStyle w:val="Sansinterligne"/>
        <w:numPr>
          <w:ilvl w:val="0"/>
          <w:numId w:val="578"/>
        </w:numPr>
      </w:pPr>
      <w:r w:rsidRPr="00BA6D3C">
        <w:t xml:space="preserve">Korsakoff </w:t>
      </w:r>
      <w:r>
        <w:rPr>
          <w:rFonts w:ascii="Century Gothic" w:hAnsi="Century Gothic"/>
        </w:rPr>
        <w:t>=</w:t>
      </w:r>
      <w:r w:rsidRPr="00BA6D3C">
        <w:t xml:space="preserve"> irréversible</w:t>
      </w:r>
    </w:p>
    <w:p w:rsidR="00BA6D3C" w:rsidRDefault="00BA6D3C" w:rsidP="00BA6D3C">
      <w:pPr>
        <w:pStyle w:val="Sansinterligne"/>
        <w:rPr>
          <w:rFonts w:cs="Times New Roman"/>
          <w:b/>
          <w:color w:val="548DD4" w:themeColor="text2" w:themeTint="99"/>
        </w:rPr>
      </w:pPr>
    </w:p>
    <w:p w:rsidR="0029163E" w:rsidRPr="00BA6D3C" w:rsidRDefault="00BA6D3C" w:rsidP="00BA6D3C">
      <w:pPr>
        <w:pStyle w:val="Sansinterligne"/>
        <w:rPr>
          <w:b/>
        </w:rPr>
      </w:pPr>
      <w:r w:rsidRPr="00BA6D3C">
        <w:rPr>
          <w:b/>
        </w:rPr>
        <w:t>Autres conditions, voir le traitement approprié.</w:t>
      </w:r>
      <w:r w:rsidR="0029163E" w:rsidRPr="00BA6D3C">
        <w:rPr>
          <w:b/>
        </w:rPr>
        <w:br w:type="page"/>
      </w:r>
    </w:p>
    <w:p w:rsidR="000758BB" w:rsidRDefault="000758BB" w:rsidP="000758BB">
      <w:pPr>
        <w:spacing w:after="0"/>
        <w:rPr>
          <w:rFonts w:cs="Times New Roman"/>
          <w:b/>
          <w:color w:val="548DD4" w:themeColor="text2" w:themeTint="99"/>
        </w:rPr>
      </w:pPr>
      <w:r>
        <w:rPr>
          <w:rFonts w:cs="Times New Roman"/>
          <w:b/>
          <w:color w:val="548DD4" w:themeColor="text2" w:themeTint="99"/>
        </w:rPr>
        <w:t>CMC 59-1</w:t>
      </w:r>
    </w:p>
    <w:p w:rsidR="000758BB" w:rsidRDefault="000758BB" w:rsidP="000758BB">
      <w:pPr>
        <w:pStyle w:val="Titre3"/>
        <w:spacing w:before="0"/>
      </w:pPr>
      <w:bookmarkStart w:id="203" w:name="_Toc480797298"/>
      <w:r>
        <w:t>Humeur dépressive</w:t>
      </w:r>
      <w:bookmarkEnd w:id="203"/>
    </w:p>
    <w:tbl>
      <w:tblPr>
        <w:tblW w:w="3858" w:type="pct"/>
        <w:tblCellSpacing w:w="0" w:type="dxa"/>
        <w:tblCellMar>
          <w:left w:w="0" w:type="dxa"/>
          <w:right w:w="0" w:type="dxa"/>
        </w:tblCellMar>
        <w:tblLook w:val="04A0" w:firstRow="1" w:lastRow="0" w:firstColumn="1" w:lastColumn="0" w:noHBand="0" w:noVBand="1"/>
      </w:tblPr>
      <w:tblGrid>
        <w:gridCol w:w="8333"/>
      </w:tblGrid>
      <w:tr w:rsidR="000758BB" w:rsidRPr="000758BB" w:rsidTr="000758BB">
        <w:trPr>
          <w:trHeight w:val="183"/>
          <w:tblCellSpacing w:w="0" w:type="dxa"/>
        </w:trPr>
        <w:tc>
          <w:tcPr>
            <w:tcW w:w="0" w:type="auto"/>
            <w:vAlign w:val="bottom"/>
            <w:hideMark/>
          </w:tcPr>
          <w:p w:rsidR="000758BB" w:rsidRPr="000758BB" w:rsidRDefault="000758BB" w:rsidP="000758BB">
            <w:pPr>
              <w:pStyle w:val="Sansinterligne"/>
              <w:spacing w:before="240"/>
              <w:rPr>
                <w:b/>
                <w:sz w:val="18"/>
                <w:szCs w:val="18"/>
              </w:rPr>
            </w:pPr>
            <w:r>
              <w:rPr>
                <w:b/>
                <w:noProof/>
                <w:sz w:val="18"/>
                <w:szCs w:val="18"/>
                <w:lang w:eastAsia="fr-CA"/>
              </w:rPr>
              <mc:AlternateContent>
                <mc:Choice Requires="wps">
                  <w:drawing>
                    <wp:anchor distT="0" distB="0" distL="114300" distR="114300" simplePos="0" relativeHeight="251819008" behindDoc="0" locked="0" layoutInCell="1" allowOverlap="1" wp14:anchorId="3F0FE0CE" wp14:editId="5F3022CA">
                      <wp:simplePos x="0" y="0"/>
                      <wp:positionH relativeFrom="column">
                        <wp:posOffset>-58366</wp:posOffset>
                      </wp:positionH>
                      <wp:positionV relativeFrom="paragraph">
                        <wp:posOffset>52908</wp:posOffset>
                      </wp:positionV>
                      <wp:extent cx="6945549" cy="2821021"/>
                      <wp:effectExtent l="0" t="0" r="27305" b="17780"/>
                      <wp:wrapNone/>
                      <wp:docPr id="338" name="Rectangle 338"/>
                      <wp:cNvGraphicFramePr/>
                      <a:graphic xmlns:a="http://schemas.openxmlformats.org/drawingml/2006/main">
                        <a:graphicData uri="http://schemas.microsoft.com/office/word/2010/wordprocessingShape">
                          <wps:wsp>
                            <wps:cNvSpPr/>
                            <wps:spPr>
                              <a:xfrm>
                                <a:off x="0" y="0"/>
                                <a:ext cx="6945549" cy="2821021"/>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338" o:spid="_x0000_s1026" style="position:absolute;margin-left:-4.6pt;margin-top:4.15pt;width:546.9pt;height:222.15pt;z-index:2518190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" filled="f" strokecolor="black [1600]" strokeweight="2pt"/>
                  </w:pict>
                </mc:Fallback>
              </mc:AlternateContent>
            </w:r>
            <w:r w:rsidRPr="000758BB">
              <w:rPr>
                <w:b/>
                <w:sz w:val="18"/>
                <w:szCs w:val="18"/>
              </w:rPr>
              <w:t>Objectifs principaux</w:t>
            </w:r>
          </w:p>
        </w:tc>
      </w:tr>
    </w:tbl>
    <w:p w:rsidR="000758BB" w:rsidRPr="000758BB" w:rsidRDefault="000758BB" w:rsidP="000758BB">
      <w:pPr>
        <w:pStyle w:val="NormalWeb"/>
        <w:ind w:left="360"/>
        <w:rPr>
          <w:color w:val="000000"/>
          <w:sz w:val="18"/>
          <w:szCs w:val="18"/>
          <w:shd w:val="clear" w:color="auto" w:fill="FFFFFF"/>
        </w:rPr>
      </w:pPr>
      <w:r w:rsidRPr="000758BB">
        <w:rPr>
          <w:color w:val="000000"/>
          <w:sz w:val="18"/>
          <w:szCs w:val="18"/>
          <w:shd w:val="clear" w:color="auto" w:fill="FFFFFF"/>
        </w:rPr>
        <w:t>Dans le cas d'un patient présentant des symptômes d'humeur dépressive, le candidat devra en diagnostiquer la cause, la gravité et les complications, et mettre en place un plan de prise en charge approprié. Le candidat devra également porter une attention particulière au risque de suicide et à la nécessité de soins urgents.</w:t>
      </w:r>
    </w:p>
    <w:tbl>
      <w:tblPr>
        <w:tblW w:w="3897" w:type="pct"/>
        <w:tblCellSpacing w:w="0" w:type="dxa"/>
        <w:tblCellMar>
          <w:left w:w="0" w:type="dxa"/>
          <w:right w:w="0" w:type="dxa"/>
        </w:tblCellMar>
        <w:tblLook w:val="04A0" w:firstRow="1" w:lastRow="0" w:firstColumn="1" w:lastColumn="0" w:noHBand="0" w:noVBand="1"/>
      </w:tblPr>
      <w:tblGrid>
        <w:gridCol w:w="8418"/>
      </w:tblGrid>
      <w:tr w:rsidR="000758BB" w:rsidRPr="000758BB" w:rsidTr="000758BB">
        <w:trPr>
          <w:tblCellSpacing w:w="0" w:type="dxa"/>
        </w:trPr>
        <w:tc>
          <w:tcPr>
            <w:tcW w:w="0" w:type="auto"/>
            <w:vAlign w:val="bottom"/>
            <w:hideMark/>
          </w:tcPr>
          <w:p w:rsidR="000758BB" w:rsidRPr="000758BB" w:rsidRDefault="000758BB" w:rsidP="000758BB">
            <w:pPr>
              <w:pStyle w:val="Sansinterligne"/>
              <w:rPr>
                <w:b/>
                <w:sz w:val="16"/>
                <w:szCs w:val="16"/>
              </w:rPr>
            </w:pPr>
            <w:r w:rsidRPr="000758BB">
              <w:rPr>
                <w:b/>
                <w:sz w:val="16"/>
                <w:szCs w:val="16"/>
              </w:rPr>
              <w:t>Objectifs spécifiques</w:t>
            </w:r>
          </w:p>
        </w:tc>
      </w:tr>
    </w:tbl>
    <w:p w:rsidR="000758BB" w:rsidRPr="000758BB" w:rsidRDefault="000758BB" w:rsidP="000758BB">
      <w:pPr>
        <w:pStyle w:val="NormalWeb"/>
        <w:shd w:val="clear" w:color="auto" w:fill="FFFFFF"/>
        <w:ind w:left="360"/>
        <w:rPr>
          <w:color w:val="000000"/>
          <w:sz w:val="16"/>
          <w:szCs w:val="16"/>
          <w:shd w:val="clear" w:color="auto" w:fill="FFFFFF"/>
        </w:rPr>
      </w:pPr>
      <w:r w:rsidRPr="000758BB">
        <w:rPr>
          <w:color w:val="000000"/>
          <w:sz w:val="16"/>
          <w:szCs w:val="16"/>
          <w:shd w:val="clear" w:color="auto" w:fill="FFFFFF"/>
        </w:rPr>
        <w:t>Dans le cas d'un patient présentant des symptômes d'humeur dépressive, le candidat devra</w:t>
      </w:r>
    </w:p>
    <w:p w:rsidR="000758BB" w:rsidRPr="000758BB" w:rsidRDefault="000758BB" w:rsidP="00233789">
      <w:pPr>
        <w:numPr>
          <w:ilvl w:val="0"/>
          <w:numId w:val="582"/>
        </w:numPr>
        <w:shd w:val="clear" w:color="auto" w:fill="FFFFFF"/>
        <w:spacing w:before="100" w:beforeAutospacing="1" w:after="100" w:afterAutospacing="1" w:line="240" w:lineRule="auto"/>
        <w:rPr>
          <w:rFonts w:cs="Times New Roman"/>
          <w:color w:val="000000"/>
          <w:sz w:val="16"/>
          <w:szCs w:val="16"/>
          <w:shd w:val="clear" w:color="auto" w:fill="FFFFFF"/>
        </w:rPr>
      </w:pPr>
      <w:r w:rsidRPr="000758BB">
        <w:rPr>
          <w:rFonts w:cs="Times New Roman"/>
          <w:color w:val="000000"/>
          <w:sz w:val="16"/>
          <w:szCs w:val="16"/>
          <w:shd w:val="clear" w:color="auto" w:fill="FFFFFF"/>
        </w:rPr>
        <w:t>énumérer et interpréter les constatations cliniques cruciales, notamment :</w:t>
      </w:r>
    </w:p>
    <w:p w:rsidR="000758BB" w:rsidRPr="000758BB" w:rsidRDefault="000758BB" w:rsidP="00233789">
      <w:pPr>
        <w:numPr>
          <w:ilvl w:val="1"/>
          <w:numId w:val="582"/>
        </w:numPr>
        <w:shd w:val="clear" w:color="auto" w:fill="FFFFFF"/>
        <w:spacing w:before="100" w:beforeAutospacing="1" w:after="100" w:afterAutospacing="1" w:line="240" w:lineRule="auto"/>
        <w:rPr>
          <w:rFonts w:cs="Times New Roman"/>
          <w:color w:val="000000"/>
          <w:sz w:val="16"/>
          <w:szCs w:val="16"/>
          <w:shd w:val="clear" w:color="auto" w:fill="FFFFFF"/>
        </w:rPr>
      </w:pPr>
      <w:r w:rsidRPr="000758BB">
        <w:rPr>
          <w:rFonts w:cs="Times New Roman"/>
          <w:color w:val="000000"/>
          <w:sz w:val="16"/>
          <w:szCs w:val="16"/>
          <w:shd w:val="clear" w:color="auto" w:fill="FFFFFF"/>
        </w:rPr>
        <w:t>les résultats de l'anamnèse, de l'examen physique et de l'évaluation de l'état mental du patient;</w:t>
      </w:r>
    </w:p>
    <w:p w:rsidR="000758BB" w:rsidRPr="000758BB" w:rsidRDefault="000758BB" w:rsidP="00233789">
      <w:pPr>
        <w:numPr>
          <w:ilvl w:val="1"/>
          <w:numId w:val="582"/>
        </w:numPr>
        <w:shd w:val="clear" w:color="auto" w:fill="FFFFFF"/>
        <w:spacing w:before="100" w:beforeAutospacing="1" w:after="100" w:afterAutospacing="1" w:line="240" w:lineRule="auto"/>
        <w:rPr>
          <w:rFonts w:cs="Times New Roman"/>
          <w:color w:val="000000"/>
          <w:sz w:val="16"/>
          <w:szCs w:val="16"/>
          <w:shd w:val="clear" w:color="auto" w:fill="FFFFFF"/>
        </w:rPr>
      </w:pPr>
      <w:r w:rsidRPr="000758BB">
        <w:rPr>
          <w:rFonts w:cs="Times New Roman"/>
          <w:color w:val="000000"/>
          <w:sz w:val="16"/>
          <w:szCs w:val="16"/>
          <w:shd w:val="clear" w:color="auto" w:fill="FFFFFF"/>
        </w:rPr>
        <w:t>le diagnostic différentiel fondé sur une distinction entre les divers syndromes cliniques associés à la dérégulation de l'humeur;</w:t>
      </w:r>
    </w:p>
    <w:p w:rsidR="000758BB" w:rsidRPr="000758BB" w:rsidRDefault="000758BB" w:rsidP="00233789">
      <w:pPr>
        <w:numPr>
          <w:ilvl w:val="1"/>
          <w:numId w:val="582"/>
        </w:numPr>
        <w:shd w:val="clear" w:color="auto" w:fill="FFFFFF"/>
        <w:spacing w:before="100" w:beforeAutospacing="1" w:after="100" w:afterAutospacing="1" w:line="240" w:lineRule="auto"/>
        <w:rPr>
          <w:rFonts w:cs="Times New Roman"/>
          <w:color w:val="000000"/>
          <w:sz w:val="16"/>
          <w:szCs w:val="16"/>
          <w:shd w:val="clear" w:color="auto" w:fill="FFFFFF"/>
        </w:rPr>
      </w:pPr>
      <w:r w:rsidRPr="000758BB">
        <w:rPr>
          <w:rFonts w:cs="Times New Roman"/>
          <w:color w:val="000000"/>
          <w:sz w:val="16"/>
          <w:szCs w:val="16"/>
          <w:shd w:val="clear" w:color="auto" w:fill="FFFFFF"/>
        </w:rPr>
        <w:t>les facteurs de risque identifiés exigeant une intervention immédiate;</w:t>
      </w:r>
    </w:p>
    <w:p w:rsidR="000758BB" w:rsidRPr="000758BB" w:rsidRDefault="000758BB" w:rsidP="00233789">
      <w:pPr>
        <w:numPr>
          <w:ilvl w:val="0"/>
          <w:numId w:val="582"/>
        </w:numPr>
        <w:shd w:val="clear" w:color="auto" w:fill="FFFFFF"/>
        <w:spacing w:before="100" w:beforeAutospacing="1" w:after="100" w:afterAutospacing="1" w:line="240" w:lineRule="auto"/>
        <w:rPr>
          <w:rFonts w:cs="Times New Roman"/>
          <w:color w:val="000000"/>
          <w:sz w:val="16"/>
          <w:szCs w:val="16"/>
          <w:shd w:val="clear" w:color="auto" w:fill="FFFFFF"/>
        </w:rPr>
      </w:pPr>
      <w:r w:rsidRPr="000758BB">
        <w:rPr>
          <w:rFonts w:cs="Times New Roman"/>
          <w:color w:val="000000"/>
          <w:sz w:val="16"/>
          <w:szCs w:val="16"/>
          <w:shd w:val="clear" w:color="auto" w:fill="FFFFFF"/>
        </w:rPr>
        <w:t>énumérer et interpréter les examens essentiels, y compris les analyses de laboratoire pertinentes (p. ex. dépistage de drogue, dosage de la thyréostimuline);</w:t>
      </w:r>
    </w:p>
    <w:p w:rsidR="000758BB" w:rsidRPr="000758BB" w:rsidRDefault="000758BB" w:rsidP="00233789">
      <w:pPr>
        <w:numPr>
          <w:ilvl w:val="0"/>
          <w:numId w:val="582"/>
        </w:numPr>
        <w:shd w:val="clear" w:color="auto" w:fill="FFFFFF"/>
        <w:spacing w:before="100" w:beforeAutospacing="1" w:after="100" w:afterAutospacing="1" w:line="240" w:lineRule="auto"/>
        <w:rPr>
          <w:rFonts w:cs="Times New Roman"/>
          <w:color w:val="000000"/>
          <w:sz w:val="16"/>
          <w:szCs w:val="16"/>
          <w:shd w:val="clear" w:color="auto" w:fill="FFFFFF"/>
        </w:rPr>
      </w:pPr>
      <w:r w:rsidRPr="000758BB">
        <w:rPr>
          <w:rFonts w:cs="Times New Roman"/>
          <w:color w:val="000000"/>
          <w:sz w:val="16"/>
          <w:szCs w:val="16"/>
          <w:shd w:val="clear" w:color="auto" w:fill="FFFFFF"/>
        </w:rPr>
        <w:t>établir un plan de prise en charge initiale, notamment :</w:t>
      </w:r>
    </w:p>
    <w:p w:rsidR="000758BB" w:rsidRPr="000758BB" w:rsidRDefault="000758BB" w:rsidP="00233789">
      <w:pPr>
        <w:numPr>
          <w:ilvl w:val="1"/>
          <w:numId w:val="582"/>
        </w:numPr>
        <w:shd w:val="clear" w:color="auto" w:fill="FFFFFF"/>
        <w:spacing w:before="100" w:beforeAutospacing="1" w:after="100" w:afterAutospacing="1" w:line="240" w:lineRule="auto"/>
        <w:rPr>
          <w:rFonts w:cs="Times New Roman"/>
          <w:color w:val="000000"/>
          <w:sz w:val="16"/>
          <w:szCs w:val="16"/>
          <w:shd w:val="clear" w:color="auto" w:fill="FFFFFF"/>
        </w:rPr>
      </w:pPr>
      <w:r w:rsidRPr="000758BB">
        <w:rPr>
          <w:rFonts w:cs="Times New Roman"/>
          <w:color w:val="000000"/>
          <w:sz w:val="16"/>
          <w:szCs w:val="16"/>
          <w:shd w:val="clear" w:color="auto" w:fill="FFFFFF"/>
        </w:rPr>
        <w:t>procéder à une évaluation de la sécurité du patient (p. ex. risque de tentative de suicide, risque pour autrui);</w:t>
      </w:r>
    </w:p>
    <w:p w:rsidR="000758BB" w:rsidRPr="000758BB" w:rsidRDefault="000758BB" w:rsidP="00233789">
      <w:pPr>
        <w:numPr>
          <w:ilvl w:val="1"/>
          <w:numId w:val="582"/>
        </w:numPr>
        <w:shd w:val="clear" w:color="auto" w:fill="FFFFFF"/>
        <w:spacing w:before="100" w:beforeAutospacing="1" w:after="100" w:afterAutospacing="1" w:line="240" w:lineRule="auto"/>
        <w:rPr>
          <w:rFonts w:cs="Times New Roman"/>
          <w:color w:val="000000"/>
          <w:sz w:val="16"/>
          <w:szCs w:val="16"/>
          <w:shd w:val="clear" w:color="auto" w:fill="FFFFFF"/>
        </w:rPr>
      </w:pPr>
      <w:r w:rsidRPr="000758BB">
        <w:rPr>
          <w:rFonts w:cs="Times New Roman"/>
          <w:color w:val="000000"/>
          <w:sz w:val="16"/>
          <w:szCs w:val="16"/>
          <w:shd w:val="clear" w:color="auto" w:fill="FFFFFF"/>
        </w:rPr>
        <w:t>entreprendre un traitement pharmacologique, au besoin;</w:t>
      </w:r>
    </w:p>
    <w:p w:rsidR="000758BB" w:rsidRPr="000758BB" w:rsidRDefault="000758BB" w:rsidP="00233789">
      <w:pPr>
        <w:numPr>
          <w:ilvl w:val="1"/>
          <w:numId w:val="582"/>
        </w:numPr>
        <w:shd w:val="clear" w:color="auto" w:fill="FFFFFF"/>
        <w:spacing w:before="100" w:beforeAutospacing="1" w:after="100" w:afterAutospacing="1" w:line="240" w:lineRule="auto"/>
        <w:rPr>
          <w:rFonts w:cs="Times New Roman"/>
          <w:color w:val="000000"/>
          <w:sz w:val="16"/>
          <w:szCs w:val="16"/>
          <w:shd w:val="clear" w:color="auto" w:fill="FFFFFF"/>
        </w:rPr>
      </w:pPr>
      <w:r w:rsidRPr="000758BB">
        <w:rPr>
          <w:rFonts w:cs="Times New Roman"/>
          <w:color w:val="000000"/>
          <w:sz w:val="16"/>
          <w:szCs w:val="16"/>
          <w:shd w:val="clear" w:color="auto" w:fill="FFFFFF"/>
        </w:rPr>
        <w:t>faire intervenir les membres de la famille et les services de soutien compétents;</w:t>
      </w:r>
    </w:p>
    <w:p w:rsidR="00F728C7" w:rsidRPr="00212AA6" w:rsidRDefault="000758BB" w:rsidP="00E77FE1">
      <w:pPr>
        <w:numPr>
          <w:ilvl w:val="1"/>
          <w:numId w:val="582"/>
        </w:numPr>
        <w:shd w:val="clear" w:color="auto" w:fill="FFFFFF"/>
        <w:spacing w:before="100" w:beforeAutospacing="1" w:after="100" w:afterAutospacing="1" w:line="240" w:lineRule="auto"/>
        <w:rPr>
          <w:rFonts w:cs="Times New Roman"/>
          <w:color w:val="000000"/>
          <w:sz w:val="16"/>
          <w:szCs w:val="16"/>
          <w:shd w:val="clear" w:color="auto" w:fill="FFFFFF"/>
        </w:rPr>
      </w:pPr>
      <w:r w:rsidRPr="000758BB">
        <w:rPr>
          <w:rFonts w:cs="Times New Roman"/>
          <w:color w:val="000000"/>
          <w:sz w:val="16"/>
          <w:szCs w:val="16"/>
          <w:shd w:val="clear" w:color="auto" w:fill="FFFFFF"/>
        </w:rPr>
        <w:t>déterminer si le patient a besoin de soins spécialisés.</w:t>
      </w:r>
    </w:p>
    <w:p w:rsidR="00DE49D3" w:rsidRDefault="00DE49D3" w:rsidP="00E77FE1">
      <w:pPr>
        <w:pStyle w:val="Sansinterligne"/>
        <w:rPr>
          <w:b/>
          <w:sz w:val="28"/>
          <w:szCs w:val="28"/>
        </w:rPr>
      </w:pPr>
    </w:p>
    <w:p w:rsidR="00C759E1" w:rsidRPr="00C759E1" w:rsidRDefault="00C759E1" w:rsidP="00C759E1">
      <w:pPr>
        <w:pStyle w:val="Sansinterligne"/>
        <w:rPr>
          <w:b/>
          <w:sz w:val="28"/>
          <w:szCs w:val="28"/>
        </w:rPr>
      </w:pPr>
      <w:r w:rsidRPr="00C759E1">
        <w:rPr>
          <w:b/>
          <w:sz w:val="28"/>
          <w:szCs w:val="28"/>
        </w:rPr>
        <w:t>Facteurs de risque</w:t>
      </w:r>
    </w:p>
    <w:p w:rsidR="00C759E1" w:rsidRPr="00C759E1" w:rsidRDefault="00715053" w:rsidP="00E77FE1">
      <w:pPr>
        <w:pStyle w:val="Sansinterligne"/>
      </w:pPr>
      <w:r>
        <w:rPr>
          <w:noProof/>
          <w:lang w:eastAsia="fr-CA"/>
        </w:rPr>
        <w:drawing>
          <wp:anchor distT="0" distB="0" distL="114300" distR="114300" simplePos="0" relativeHeight="251821056" behindDoc="0" locked="0" layoutInCell="1" allowOverlap="1" wp14:anchorId="54B3850F" wp14:editId="06047CF3">
            <wp:simplePos x="0" y="0"/>
            <wp:positionH relativeFrom="column">
              <wp:posOffset>3960495</wp:posOffset>
            </wp:positionH>
            <wp:positionV relativeFrom="paragraph">
              <wp:posOffset>95885</wp:posOffset>
            </wp:positionV>
            <wp:extent cx="2719705" cy="1964690"/>
            <wp:effectExtent l="0" t="0" r="4445" b="0"/>
            <wp:wrapNone/>
            <wp:docPr id="328" name="Image 328" descr="Résultats de recherche d'images pour « dépress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Résultats de recherche d'images pour « dépression »"/>
                    <pic:cNvPicPr>
                      <a:picLocks noChangeAspect="1" noChangeArrowheads="1"/>
                    </pic:cNvPicPr>
                  </pic:nvPicPr>
                  <pic:blipFill rotWithShape="1">
                    <a:blip r:embed="rId208">
                      <a:extLst>
                        <a:ext uri="{28A0092B-C50C-407E-A947-70E740481C1C}">
                          <a14:useLocalDpi xmlns:a14="http://schemas.microsoft.com/office/drawing/2010/main" val="0"/>
                        </a:ext>
                      </a:extLst>
                    </a:blip>
                    <a:srcRect t="3809"/>
                    <a:stretch/>
                  </pic:blipFill>
                  <pic:spPr bwMode="auto">
                    <a:xfrm>
                      <a:off x="0" y="0"/>
                      <a:ext cx="2719705" cy="19646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C759E1" w:rsidRPr="00447FC2" w:rsidRDefault="00C759E1" w:rsidP="00C759E1">
      <w:pPr>
        <w:pStyle w:val="Paragraphedeliste"/>
        <w:numPr>
          <w:ilvl w:val="0"/>
          <w:numId w:val="57"/>
        </w:numPr>
        <w:rPr>
          <w:rStyle w:val="Lienhypertexte"/>
          <w:rFonts w:cs="Times New Roman"/>
          <w:color w:val="auto"/>
          <w:u w:val="none"/>
        </w:rPr>
      </w:pPr>
      <w:r w:rsidRPr="00447FC2">
        <w:rPr>
          <w:rFonts w:cs="Times New Roman"/>
          <w:bCs/>
          <w:color w:val="252525"/>
          <w:shd w:val="clear" w:color="auto" w:fill="FFFFFF"/>
        </w:rPr>
        <w:t>♀&gt;</w:t>
      </w:r>
      <w:hyperlink r:id="rId209" w:tooltip="♂" w:history="1">
        <w:r w:rsidRPr="00447FC2">
          <w:rPr>
            <w:rStyle w:val="Lienhypertexte"/>
            <w:rFonts w:cs="Times New Roman"/>
            <w:color w:val="0B0080"/>
            <w:u w:val="none"/>
            <w:shd w:val="clear" w:color="auto" w:fill="FFFFFF"/>
          </w:rPr>
          <w:t>♂</w:t>
        </w:r>
      </w:hyperlink>
    </w:p>
    <w:p w:rsidR="00C759E1" w:rsidRPr="00447FC2" w:rsidRDefault="00C759E1" w:rsidP="00C759E1">
      <w:pPr>
        <w:pStyle w:val="Paragraphedeliste"/>
        <w:numPr>
          <w:ilvl w:val="0"/>
          <w:numId w:val="57"/>
        </w:numPr>
        <w:rPr>
          <w:rFonts w:cs="Times New Roman"/>
        </w:rPr>
      </w:pPr>
      <w:r w:rsidRPr="00447FC2">
        <w:rPr>
          <w:rFonts w:cs="Times New Roman"/>
          <w:bCs/>
          <w:color w:val="252525"/>
          <w:shd w:val="clear" w:color="auto" w:fill="FFFFFF"/>
        </w:rPr>
        <w:t>Âge 25-50 ans</w:t>
      </w:r>
    </w:p>
    <w:p w:rsidR="00C759E1" w:rsidRPr="00447FC2" w:rsidRDefault="00C759E1" w:rsidP="00C759E1">
      <w:pPr>
        <w:pStyle w:val="Paragraphedeliste"/>
        <w:numPr>
          <w:ilvl w:val="0"/>
          <w:numId w:val="57"/>
        </w:numPr>
        <w:rPr>
          <w:rFonts w:cs="Times New Roman"/>
        </w:rPr>
      </w:pPr>
      <w:r w:rsidRPr="00447FC2">
        <w:rPr>
          <w:rFonts w:cs="Times New Roman"/>
          <w:bCs/>
          <w:color w:val="252525"/>
          <w:shd w:val="clear" w:color="auto" w:fill="FFFFFF"/>
        </w:rPr>
        <w:t xml:space="preserve">Histoire </w:t>
      </w:r>
      <w:r w:rsidR="00DF1335" w:rsidRPr="00447FC2">
        <w:rPr>
          <w:rFonts w:cs="Times New Roman"/>
          <w:bCs/>
          <w:color w:val="252525"/>
          <w:shd w:val="clear" w:color="auto" w:fill="FFFFFF"/>
        </w:rPr>
        <w:t>familiale</w:t>
      </w:r>
      <w:r w:rsidRPr="00447FC2">
        <w:rPr>
          <w:rFonts w:cs="Times New Roman"/>
          <w:bCs/>
          <w:color w:val="252525"/>
          <w:shd w:val="clear" w:color="auto" w:fill="FFFFFF"/>
        </w:rPr>
        <w:t xml:space="preserve"> de dépression, alcoolisme ou sociopathie</w:t>
      </w:r>
    </w:p>
    <w:p w:rsidR="00447FC2" w:rsidRDefault="00C759E1" w:rsidP="00C759E1">
      <w:pPr>
        <w:pStyle w:val="Paragraphedeliste"/>
        <w:numPr>
          <w:ilvl w:val="0"/>
          <w:numId w:val="57"/>
        </w:numPr>
        <w:rPr>
          <w:rFonts w:cs="Times New Roman"/>
        </w:rPr>
      </w:pPr>
      <w:r w:rsidRPr="00447FC2">
        <w:rPr>
          <w:rFonts w:cs="Times New Roman"/>
        </w:rPr>
        <w:t xml:space="preserve">Décès d’un parent &lt; 11 ans, environnement infantile négatif </w:t>
      </w:r>
    </w:p>
    <w:p w:rsidR="00C759E1" w:rsidRPr="00447FC2" w:rsidRDefault="00C759E1" w:rsidP="00447FC2">
      <w:pPr>
        <w:pStyle w:val="Paragraphedeliste"/>
        <w:ind w:left="360"/>
        <w:rPr>
          <w:rFonts w:cs="Times New Roman"/>
        </w:rPr>
      </w:pPr>
      <w:r w:rsidRPr="00447FC2">
        <w:rPr>
          <w:rFonts w:cs="Times New Roman"/>
        </w:rPr>
        <w:t>(abus, négligence)</w:t>
      </w:r>
    </w:p>
    <w:p w:rsidR="00C759E1" w:rsidRPr="00447FC2" w:rsidRDefault="00C759E1" w:rsidP="00C759E1">
      <w:pPr>
        <w:pStyle w:val="Paragraphedeliste"/>
        <w:numPr>
          <w:ilvl w:val="0"/>
          <w:numId w:val="57"/>
        </w:numPr>
        <w:rPr>
          <w:rFonts w:cs="Times New Roman"/>
        </w:rPr>
      </w:pPr>
      <w:r w:rsidRPr="00447FC2">
        <w:rPr>
          <w:rFonts w:cs="Times New Roman"/>
        </w:rPr>
        <w:t>Personnalité obsessive ou manqu</w:t>
      </w:r>
      <w:r w:rsidR="00447FC2">
        <w:rPr>
          <w:rFonts w:cs="Times New Roman"/>
        </w:rPr>
        <w:t>ant</w:t>
      </w:r>
      <w:r w:rsidRPr="00447FC2">
        <w:rPr>
          <w:rFonts w:cs="Times New Roman"/>
        </w:rPr>
        <w:t xml:space="preserve"> de confiance</w:t>
      </w:r>
    </w:p>
    <w:p w:rsidR="00C759E1" w:rsidRPr="00447FC2" w:rsidRDefault="00C759E1" w:rsidP="00C759E1">
      <w:pPr>
        <w:pStyle w:val="Paragraphedeliste"/>
        <w:numPr>
          <w:ilvl w:val="0"/>
          <w:numId w:val="57"/>
        </w:numPr>
        <w:rPr>
          <w:rFonts w:cs="Times New Roman"/>
        </w:rPr>
      </w:pPr>
      <w:r w:rsidRPr="00447FC2">
        <w:rPr>
          <w:rFonts w:cs="Times New Roman"/>
        </w:rPr>
        <w:t>Stresseur financier, légal ou maladie</w:t>
      </w:r>
    </w:p>
    <w:p w:rsidR="00C759E1" w:rsidRPr="00447FC2" w:rsidRDefault="00C759E1" w:rsidP="00C759E1">
      <w:pPr>
        <w:pStyle w:val="Paragraphedeliste"/>
        <w:numPr>
          <w:ilvl w:val="0"/>
          <w:numId w:val="57"/>
        </w:numPr>
        <w:rPr>
          <w:rFonts w:cs="Times New Roman"/>
        </w:rPr>
      </w:pPr>
      <w:r w:rsidRPr="00447FC2">
        <w:rPr>
          <w:rFonts w:cs="Times New Roman"/>
        </w:rPr>
        <w:t>Postpartum &lt; 6 mois</w:t>
      </w:r>
    </w:p>
    <w:p w:rsidR="00C759E1" w:rsidRPr="00447FC2" w:rsidRDefault="00C759E1" w:rsidP="00E77FE1">
      <w:pPr>
        <w:pStyle w:val="Paragraphedeliste"/>
        <w:numPr>
          <w:ilvl w:val="0"/>
          <w:numId w:val="57"/>
        </w:numPr>
        <w:rPr>
          <w:rFonts w:cs="Times New Roman"/>
        </w:rPr>
      </w:pPr>
      <w:r w:rsidRPr="00447FC2">
        <w:rPr>
          <w:rFonts w:cs="Times New Roman"/>
        </w:rPr>
        <w:t xml:space="preserve">Isolement social ou absence de relation </w:t>
      </w:r>
      <w:r w:rsidR="00781820" w:rsidRPr="00447FC2">
        <w:rPr>
          <w:rFonts w:cs="Times New Roman"/>
        </w:rPr>
        <w:t xml:space="preserve">conjugale </w:t>
      </w:r>
    </w:p>
    <w:p w:rsidR="002E28B2" w:rsidRDefault="002E28B2" w:rsidP="00E77FE1">
      <w:pPr>
        <w:pStyle w:val="Sansinterligne"/>
        <w:rPr>
          <w:b/>
          <w:sz w:val="28"/>
          <w:szCs w:val="28"/>
        </w:rPr>
      </w:pPr>
    </w:p>
    <w:p w:rsidR="00F728C7" w:rsidRPr="00212AA6" w:rsidRDefault="00E77FE1" w:rsidP="00E77FE1">
      <w:pPr>
        <w:pStyle w:val="Sansinterligne"/>
        <w:rPr>
          <w:b/>
          <w:sz w:val="28"/>
          <w:szCs w:val="28"/>
        </w:rPr>
      </w:pPr>
      <w:r w:rsidRPr="00212AA6">
        <w:rPr>
          <w:b/>
          <w:sz w:val="28"/>
          <w:szCs w:val="28"/>
        </w:rPr>
        <w:t>Diagnostic(s)</w:t>
      </w:r>
    </w:p>
    <w:p w:rsidR="00212AA6" w:rsidRDefault="00212AA6" w:rsidP="00E77FE1">
      <w:pPr>
        <w:pStyle w:val="Sansinterligne"/>
      </w:pPr>
    </w:p>
    <w:tbl>
      <w:tblPr>
        <w:tblStyle w:val="Grilledutableau"/>
        <w:tblW w:w="0" w:type="auto"/>
        <w:tblLook w:val="04A0" w:firstRow="1" w:lastRow="0" w:firstColumn="1" w:lastColumn="0" w:noHBand="0" w:noVBand="1"/>
      </w:tblPr>
      <w:tblGrid>
        <w:gridCol w:w="5211"/>
        <w:gridCol w:w="5805"/>
      </w:tblGrid>
      <w:tr w:rsidR="00261349" w:rsidRPr="00BC277C" w:rsidTr="008B34DD">
        <w:trPr>
          <w:trHeight w:val="3012"/>
        </w:trPr>
        <w:tc>
          <w:tcPr>
            <w:tcW w:w="5211" w:type="dxa"/>
            <w:shd w:val="clear" w:color="auto" w:fill="FFFF00"/>
          </w:tcPr>
          <w:p w:rsidR="00261349" w:rsidRPr="00BC277C" w:rsidRDefault="00261349" w:rsidP="009F0356">
            <w:pPr>
              <w:pStyle w:val="Sansinterligne"/>
              <w:rPr>
                <w:b/>
              </w:rPr>
            </w:pPr>
            <w:r w:rsidRPr="00FD3F95">
              <w:rPr>
                <w:b/>
                <w:highlight w:val="yellow"/>
                <w:u w:val="single"/>
              </w:rPr>
              <w:t>Épisode</w:t>
            </w:r>
            <w:r w:rsidRPr="00FD3F95">
              <w:rPr>
                <w:b/>
                <w:highlight w:val="yellow"/>
              </w:rPr>
              <w:t xml:space="preserve"> dépressif majeur (</w:t>
            </w:r>
            <w:r w:rsidR="008B34DD">
              <w:rPr>
                <w:rFonts w:ascii="Century Gothic" w:hAnsi="Century Gothic"/>
                <w:b/>
                <w:highlight w:val="yellow"/>
              </w:rPr>
              <w:t xml:space="preserve">≥ </w:t>
            </w:r>
            <w:r w:rsidR="008B34DD">
              <w:rPr>
                <w:b/>
                <w:highlight w:val="yellow"/>
              </w:rPr>
              <w:t>5 symptômes</w:t>
            </w:r>
            <w:r w:rsidRPr="00FD3F95">
              <w:rPr>
                <w:b/>
                <w:highlight w:val="yellow"/>
              </w:rPr>
              <w:t xml:space="preserve">) </w:t>
            </w:r>
            <w:r w:rsidRPr="00FD3F95">
              <w:rPr>
                <w:rFonts w:ascii="Century Gothic" w:hAnsi="Century Gothic"/>
                <w:b/>
                <w:highlight w:val="yellow"/>
              </w:rPr>
              <w:t xml:space="preserve">≥ </w:t>
            </w:r>
            <w:r w:rsidRPr="00FD3F95">
              <w:rPr>
                <w:b/>
                <w:highlight w:val="yellow"/>
              </w:rPr>
              <w:t>2 sem</w:t>
            </w:r>
          </w:p>
          <w:p w:rsidR="00261349" w:rsidRDefault="00261349" w:rsidP="00BC277C">
            <w:pPr>
              <w:pStyle w:val="Sansinterligne"/>
              <w:ind w:left="720"/>
            </w:pPr>
          </w:p>
          <w:p w:rsidR="00261349" w:rsidRPr="00FD3F95" w:rsidRDefault="00261349" w:rsidP="009F0356">
            <w:pPr>
              <w:pStyle w:val="Sansinterligne"/>
              <w:numPr>
                <w:ilvl w:val="0"/>
                <w:numId w:val="584"/>
              </w:numPr>
              <w:rPr>
                <w:highlight w:val="yellow"/>
              </w:rPr>
            </w:pPr>
            <w:r w:rsidRPr="00FD3F95">
              <w:rPr>
                <w:highlight w:val="yellow"/>
              </w:rPr>
              <w:t xml:space="preserve">Humeur déprimée </w:t>
            </w:r>
          </w:p>
          <w:p w:rsidR="00261349" w:rsidRPr="00BC277C" w:rsidRDefault="00261349" w:rsidP="009F0356">
            <w:pPr>
              <w:pStyle w:val="Sansinterligne"/>
              <w:numPr>
                <w:ilvl w:val="0"/>
                <w:numId w:val="584"/>
              </w:numPr>
            </w:pPr>
            <w:r w:rsidRPr="00BC277C">
              <w:t>Hypersomnie ou insomnie</w:t>
            </w:r>
          </w:p>
          <w:p w:rsidR="00261349" w:rsidRPr="00BC277C" w:rsidRDefault="00261349" w:rsidP="009F0356">
            <w:pPr>
              <w:pStyle w:val="Sansinterligne"/>
              <w:numPr>
                <w:ilvl w:val="0"/>
                <w:numId w:val="584"/>
              </w:numPr>
            </w:pPr>
            <w:r w:rsidRPr="00FD3F95">
              <w:rPr>
                <w:highlight w:val="yellow"/>
              </w:rPr>
              <w:t>Intérêt diminué pour les activités plaisantes (anhédonie</w:t>
            </w:r>
            <w:r w:rsidRPr="00BC277C">
              <w:t>)</w:t>
            </w:r>
            <w:r>
              <w:t xml:space="preserve"> </w:t>
            </w:r>
          </w:p>
          <w:p w:rsidR="00261349" w:rsidRPr="00BC277C" w:rsidRDefault="00261349" w:rsidP="009F0356">
            <w:pPr>
              <w:pStyle w:val="Sansinterligne"/>
              <w:numPr>
                <w:ilvl w:val="0"/>
                <w:numId w:val="584"/>
              </w:numPr>
            </w:pPr>
            <w:r w:rsidRPr="00BC277C">
              <w:t>Sentiment de culpabilité ou d’inutilité</w:t>
            </w:r>
          </w:p>
          <w:p w:rsidR="00261349" w:rsidRPr="00BC277C" w:rsidRDefault="00261349" w:rsidP="009F0356">
            <w:pPr>
              <w:pStyle w:val="Sansinterligne"/>
              <w:numPr>
                <w:ilvl w:val="0"/>
                <w:numId w:val="584"/>
              </w:numPr>
            </w:pPr>
            <w:r w:rsidRPr="00BC277C">
              <w:t>Fatigue</w:t>
            </w:r>
          </w:p>
          <w:p w:rsidR="00261349" w:rsidRPr="00BC277C" w:rsidRDefault="00261349" w:rsidP="009F0356">
            <w:pPr>
              <w:pStyle w:val="Sansinterligne"/>
              <w:numPr>
                <w:ilvl w:val="0"/>
                <w:numId w:val="584"/>
              </w:numPr>
            </w:pPr>
            <w:r w:rsidRPr="00BC277C">
              <w:t>Diminution de la concentration</w:t>
            </w:r>
          </w:p>
          <w:p w:rsidR="00261349" w:rsidRPr="00BC277C" w:rsidRDefault="00261349" w:rsidP="009F0356">
            <w:pPr>
              <w:pStyle w:val="Sansinterligne"/>
              <w:numPr>
                <w:ilvl w:val="0"/>
                <w:numId w:val="584"/>
              </w:numPr>
              <w:rPr>
                <w:rFonts w:cs="Times New Roman"/>
              </w:rPr>
            </w:pPr>
            <w:r w:rsidRPr="00BC277C">
              <w:t xml:space="preserve">Appétit perturbé </w:t>
            </w:r>
            <w:r w:rsidRPr="00BC277C">
              <w:rPr>
                <w:rFonts w:cs="Times New Roman"/>
              </w:rPr>
              <w:t>( ↑ou ↓)</w:t>
            </w:r>
          </w:p>
          <w:p w:rsidR="00261349" w:rsidRPr="00BC277C" w:rsidRDefault="00261349" w:rsidP="009F0356">
            <w:pPr>
              <w:pStyle w:val="Sansinterligne"/>
              <w:numPr>
                <w:ilvl w:val="0"/>
                <w:numId w:val="584"/>
              </w:numPr>
              <w:rPr>
                <w:rFonts w:cs="Times New Roman"/>
              </w:rPr>
            </w:pPr>
            <w:r w:rsidRPr="00BC277C">
              <w:rPr>
                <w:rFonts w:cs="Times New Roman"/>
              </w:rPr>
              <w:t>Ralentissement psychomoteur ou agitation</w:t>
            </w:r>
          </w:p>
          <w:p w:rsidR="00261349" w:rsidRPr="00BC277C" w:rsidRDefault="00261349" w:rsidP="009F0356">
            <w:pPr>
              <w:pStyle w:val="Sansinterligne"/>
              <w:numPr>
                <w:ilvl w:val="0"/>
                <w:numId w:val="584"/>
              </w:numPr>
              <w:rPr>
                <w:b/>
              </w:rPr>
            </w:pPr>
            <w:r w:rsidRPr="00BC277C">
              <w:rPr>
                <w:rFonts w:cs="Times New Roman"/>
              </w:rPr>
              <w:t xml:space="preserve">Idéation suicidaire </w:t>
            </w:r>
          </w:p>
        </w:tc>
        <w:tc>
          <w:tcPr>
            <w:tcW w:w="5805" w:type="dxa"/>
            <w:shd w:val="clear" w:color="auto" w:fill="FFFF00"/>
          </w:tcPr>
          <w:p w:rsidR="00261349" w:rsidRDefault="00715053" w:rsidP="009F0356">
            <w:pPr>
              <w:pStyle w:val="Sansinterligne"/>
              <w:rPr>
                <w:b/>
                <w:highlight w:val="yellow"/>
              </w:rPr>
            </w:pPr>
            <w:r>
              <w:rPr>
                <w:b/>
                <w:highlight w:val="yellow"/>
                <w:u w:val="single"/>
              </w:rPr>
              <w:t>Examen physique et menta</w:t>
            </w:r>
            <w:r w:rsidRPr="00715053">
              <w:rPr>
                <w:b/>
                <w:highlight w:val="yellow"/>
                <w:u w:val="single"/>
              </w:rPr>
              <w:t>l</w:t>
            </w:r>
            <w:r w:rsidRPr="00715053">
              <w:rPr>
                <w:b/>
                <w:highlight w:val="yellow"/>
              </w:rPr>
              <w:t xml:space="preserve"> </w:t>
            </w:r>
            <w:r>
              <w:rPr>
                <w:b/>
                <w:highlight w:val="yellow"/>
              </w:rPr>
              <w:t>d’un épisode dépressif</w:t>
            </w:r>
          </w:p>
          <w:p w:rsidR="00715053" w:rsidRDefault="00715053" w:rsidP="00715053">
            <w:pPr>
              <w:pStyle w:val="Sansinterligne"/>
            </w:pPr>
          </w:p>
          <w:p w:rsidR="00715053" w:rsidRDefault="00715053" w:rsidP="001D29A9">
            <w:pPr>
              <w:pStyle w:val="Sansinterligne"/>
              <w:numPr>
                <w:ilvl w:val="0"/>
                <w:numId w:val="597"/>
              </w:numPr>
            </w:pPr>
            <w:r>
              <w:t>Orienté</w:t>
            </w:r>
          </w:p>
          <w:p w:rsidR="00715053" w:rsidRDefault="00715053" w:rsidP="001D29A9">
            <w:pPr>
              <w:pStyle w:val="Sansinterligne"/>
              <w:numPr>
                <w:ilvl w:val="0"/>
                <w:numId w:val="597"/>
              </w:numPr>
            </w:pPr>
            <w:r>
              <w:t>Ralentissement psychomoteur</w:t>
            </w:r>
          </w:p>
          <w:p w:rsidR="008B34DD" w:rsidRDefault="008B34DD" w:rsidP="001D29A9">
            <w:pPr>
              <w:pStyle w:val="Sansinterligne"/>
              <w:numPr>
                <w:ilvl w:val="0"/>
                <w:numId w:val="597"/>
              </w:numPr>
            </w:pPr>
            <w:r>
              <w:t>Affect congruent à l’humeur, difficilement mobilisable</w:t>
            </w:r>
          </w:p>
          <w:p w:rsidR="00715053" w:rsidRDefault="00715053" w:rsidP="001D29A9">
            <w:pPr>
              <w:pStyle w:val="Sansinterligne"/>
              <w:numPr>
                <w:ilvl w:val="0"/>
                <w:numId w:val="590"/>
              </w:numPr>
            </w:pPr>
            <w:r>
              <w:t>Hygiène parfois négligée</w:t>
            </w:r>
          </w:p>
          <w:p w:rsidR="00715053" w:rsidRDefault="00715053" w:rsidP="001D29A9">
            <w:pPr>
              <w:pStyle w:val="Sansinterligne"/>
              <w:numPr>
                <w:ilvl w:val="0"/>
                <w:numId w:val="590"/>
              </w:numPr>
            </w:pPr>
            <w:r>
              <w:rPr>
                <w:rFonts w:cs="Times New Roman"/>
              </w:rPr>
              <w:t>↓</w:t>
            </w:r>
            <w:r>
              <w:t xml:space="preserve"> concentration</w:t>
            </w:r>
          </w:p>
          <w:p w:rsidR="00715053" w:rsidRDefault="00715053" w:rsidP="001D29A9">
            <w:pPr>
              <w:pStyle w:val="Sansinterligne"/>
              <w:numPr>
                <w:ilvl w:val="0"/>
                <w:numId w:val="590"/>
              </w:numPr>
            </w:pPr>
            <w:r>
              <w:t>Discours de dévalorisation</w:t>
            </w:r>
          </w:p>
          <w:p w:rsidR="00715053" w:rsidRDefault="00715053" w:rsidP="001D29A9">
            <w:pPr>
              <w:pStyle w:val="Sansinterligne"/>
              <w:numPr>
                <w:ilvl w:val="0"/>
                <w:numId w:val="590"/>
              </w:numPr>
            </w:pPr>
            <w:r>
              <w:t>Discours hyperbolique sur leurs problèmes/symptômes</w:t>
            </w:r>
          </w:p>
          <w:p w:rsidR="00715053" w:rsidRDefault="00715053" w:rsidP="001D29A9">
            <w:pPr>
              <w:pStyle w:val="Sansinterligne"/>
              <w:numPr>
                <w:ilvl w:val="0"/>
                <w:numId w:val="590"/>
              </w:numPr>
            </w:pPr>
            <w:r>
              <w:t>Idéations suicidaires</w:t>
            </w:r>
          </w:p>
          <w:p w:rsidR="00715053" w:rsidRPr="00715053" w:rsidRDefault="00715053" w:rsidP="001D29A9">
            <w:pPr>
              <w:pStyle w:val="Sansinterligne"/>
              <w:numPr>
                <w:ilvl w:val="0"/>
                <w:numId w:val="590"/>
              </w:numPr>
              <w:rPr>
                <w:b/>
                <w:highlight w:val="yellow"/>
              </w:rPr>
            </w:pPr>
            <w:r>
              <w:t>Perception altérée (vision négative de soi et du monde)</w:t>
            </w:r>
          </w:p>
        </w:tc>
      </w:tr>
    </w:tbl>
    <w:p w:rsidR="00DE49D3" w:rsidRDefault="00261349" w:rsidP="00E77FE1">
      <w:pPr>
        <w:pStyle w:val="Sansinterligne"/>
      </w:pPr>
      <w:r>
        <w:t xml:space="preserve"> </w:t>
      </w:r>
    </w:p>
    <w:p w:rsidR="002E28B2" w:rsidRDefault="002E28B2" w:rsidP="00E77FE1">
      <w:pPr>
        <w:pStyle w:val="Sansinterligne"/>
      </w:pPr>
    </w:p>
    <w:p w:rsidR="004F44A4" w:rsidRDefault="004F44A4" w:rsidP="00E77FE1">
      <w:pPr>
        <w:pStyle w:val="Sansinterligne"/>
      </w:pPr>
    </w:p>
    <w:tbl>
      <w:tblPr>
        <w:tblStyle w:val="Grilledutableau"/>
        <w:tblW w:w="11165" w:type="dxa"/>
        <w:tblLook w:val="04A0" w:firstRow="1" w:lastRow="0" w:firstColumn="1" w:lastColumn="0" w:noHBand="0" w:noVBand="1"/>
      </w:tblPr>
      <w:tblGrid>
        <w:gridCol w:w="11165"/>
      </w:tblGrid>
      <w:tr w:rsidR="00715053" w:rsidTr="002A1F06">
        <w:tc>
          <w:tcPr>
            <w:tcW w:w="11165" w:type="dxa"/>
            <w:shd w:val="clear" w:color="auto" w:fill="9BBB59" w:themeFill="accent3"/>
          </w:tcPr>
          <w:p w:rsidR="00715053" w:rsidRPr="00BC277C" w:rsidRDefault="00715053" w:rsidP="00F728C7">
            <w:pPr>
              <w:pStyle w:val="Sansinterligne"/>
              <w:jc w:val="center"/>
              <w:rPr>
                <w:b/>
              </w:rPr>
            </w:pPr>
            <w:r w:rsidRPr="00BC277C">
              <w:rPr>
                <w:b/>
              </w:rPr>
              <w:t>Deuil normal</w:t>
            </w:r>
          </w:p>
        </w:tc>
      </w:tr>
      <w:tr w:rsidR="00715053" w:rsidTr="00715053">
        <w:tc>
          <w:tcPr>
            <w:tcW w:w="11165" w:type="dxa"/>
          </w:tcPr>
          <w:p w:rsidR="00715053" w:rsidRPr="00BC277C" w:rsidRDefault="00715053" w:rsidP="00F728C7">
            <w:pPr>
              <w:pStyle w:val="Sansinterligne"/>
              <w:jc w:val="center"/>
              <w:rPr>
                <w:i/>
              </w:rPr>
            </w:pPr>
            <w:r>
              <w:rPr>
                <w:i/>
              </w:rPr>
              <w:t>Caractéristiques</w:t>
            </w:r>
          </w:p>
        </w:tc>
      </w:tr>
      <w:tr w:rsidR="00715053" w:rsidTr="00715053">
        <w:tc>
          <w:tcPr>
            <w:tcW w:w="11165" w:type="dxa"/>
          </w:tcPr>
          <w:p w:rsidR="00715053" w:rsidRPr="007A3ED2" w:rsidRDefault="00715053" w:rsidP="007A3ED2">
            <w:pPr>
              <w:pStyle w:val="Sansinterligne"/>
              <w:numPr>
                <w:ilvl w:val="0"/>
                <w:numId w:val="588"/>
              </w:numPr>
              <w:rPr>
                <w:highlight w:val="yellow"/>
              </w:rPr>
            </w:pPr>
            <w:r w:rsidRPr="007A3ED2">
              <w:rPr>
                <w:highlight w:val="yellow"/>
              </w:rPr>
              <w:t>Réaction normale au décès d’un proche ou d’un être aimé.</w:t>
            </w:r>
          </w:p>
          <w:p w:rsidR="00715053" w:rsidRDefault="00715053" w:rsidP="00DA6988">
            <w:pPr>
              <w:pStyle w:val="Sansinterligne"/>
              <w:numPr>
                <w:ilvl w:val="0"/>
                <w:numId w:val="588"/>
              </w:numPr>
            </w:pPr>
            <w:r w:rsidRPr="00DE49D3">
              <w:rPr>
                <w:highlight w:val="yellow"/>
              </w:rPr>
              <w:t>Symptômes d’épisode dépressif majeur, perçus normaux par le patient</w:t>
            </w:r>
          </w:p>
          <w:p w:rsidR="00715053" w:rsidRDefault="00715053" w:rsidP="00DA6988">
            <w:pPr>
              <w:pStyle w:val="Sansinterligne"/>
              <w:numPr>
                <w:ilvl w:val="0"/>
                <w:numId w:val="588"/>
              </w:numPr>
            </w:pPr>
            <w:r>
              <w:t>Inclus : humeur déprimé, tristesse, envie de rejoindre le défunt, culpabilité en lien avec le décès, hallucinations (voix du défunt ou vision transitoire de celui-ci)</w:t>
            </w:r>
          </w:p>
          <w:p w:rsidR="00715053" w:rsidRDefault="00715053" w:rsidP="00DE49D3">
            <w:pPr>
              <w:pStyle w:val="Sansinterligne"/>
              <w:ind w:left="360"/>
            </w:pPr>
          </w:p>
          <w:p w:rsidR="00715053" w:rsidRDefault="00715053" w:rsidP="00DE49D3">
            <w:pPr>
              <w:pStyle w:val="Sansinterligne"/>
            </w:pPr>
            <w:r w:rsidRPr="00DE49D3">
              <w:rPr>
                <w:u w:val="single"/>
              </w:rPr>
              <w:t>Symptômes d’alarme d’un deuil pathologique</w:t>
            </w:r>
            <w:r>
              <w:t> :</w:t>
            </w:r>
          </w:p>
          <w:p w:rsidR="00715053" w:rsidRDefault="00715053" w:rsidP="007A3ED2">
            <w:pPr>
              <w:pStyle w:val="Sansinterligne"/>
              <w:numPr>
                <w:ilvl w:val="0"/>
                <w:numId w:val="587"/>
              </w:numPr>
            </w:pPr>
            <w:r>
              <w:rPr>
                <w:highlight w:val="yellow"/>
              </w:rPr>
              <w:t>Persistance des symptômes</w:t>
            </w:r>
            <w:r w:rsidRPr="00A92A9F">
              <w:rPr>
                <w:highlight w:val="yellow"/>
              </w:rPr>
              <w:t xml:space="preserve"> </w:t>
            </w:r>
            <w:r w:rsidRPr="00A92A9F">
              <w:rPr>
                <w:rFonts w:ascii="Century Gothic" w:hAnsi="Century Gothic"/>
                <w:highlight w:val="yellow"/>
              </w:rPr>
              <w:t>&gt;</w:t>
            </w:r>
            <w:r w:rsidRPr="00A92A9F">
              <w:rPr>
                <w:highlight w:val="yellow"/>
              </w:rPr>
              <w:t xml:space="preserve"> 12 mois après les évènements</w:t>
            </w:r>
          </w:p>
          <w:p w:rsidR="00715053" w:rsidRDefault="00715053" w:rsidP="007A3ED2">
            <w:pPr>
              <w:pStyle w:val="Sansinterligne"/>
              <w:numPr>
                <w:ilvl w:val="0"/>
                <w:numId w:val="587"/>
              </w:numPr>
            </w:pPr>
            <w:r>
              <w:t>Sévérité des symptômes jugée anormale par le clinicien ou entraînant un dysfonctionnement sévère.</w:t>
            </w:r>
          </w:p>
        </w:tc>
      </w:tr>
      <w:tr w:rsidR="00715053" w:rsidTr="002A1F06">
        <w:tc>
          <w:tcPr>
            <w:tcW w:w="11165" w:type="dxa"/>
            <w:shd w:val="clear" w:color="auto" w:fill="9BBB59" w:themeFill="accent3"/>
          </w:tcPr>
          <w:p w:rsidR="00715053" w:rsidRPr="00BC277C" w:rsidRDefault="00715053" w:rsidP="009F0356">
            <w:pPr>
              <w:pStyle w:val="Sansinterligne"/>
              <w:jc w:val="center"/>
              <w:rPr>
                <w:b/>
              </w:rPr>
            </w:pPr>
            <w:r w:rsidRPr="00BC277C">
              <w:rPr>
                <w:b/>
              </w:rPr>
              <w:t>Trouble d’adaptation</w:t>
            </w:r>
          </w:p>
        </w:tc>
      </w:tr>
      <w:tr w:rsidR="00715053" w:rsidTr="00715053">
        <w:tc>
          <w:tcPr>
            <w:tcW w:w="11165" w:type="dxa"/>
          </w:tcPr>
          <w:p w:rsidR="00715053" w:rsidRPr="00DE49D3" w:rsidRDefault="00715053" w:rsidP="00DE49D3">
            <w:pPr>
              <w:pStyle w:val="Sansinterligne"/>
              <w:jc w:val="center"/>
              <w:rPr>
                <w:i/>
              </w:rPr>
            </w:pPr>
            <w:r w:rsidRPr="00DE49D3">
              <w:rPr>
                <w:i/>
              </w:rPr>
              <w:t>Critères du DSM-V</w:t>
            </w:r>
          </w:p>
        </w:tc>
      </w:tr>
      <w:tr w:rsidR="00715053" w:rsidTr="00715053">
        <w:tc>
          <w:tcPr>
            <w:tcW w:w="11165" w:type="dxa"/>
            <w:shd w:val="clear" w:color="auto" w:fill="FFFF00"/>
          </w:tcPr>
          <w:p w:rsidR="00715053" w:rsidRPr="00E9762B" w:rsidRDefault="00715053" w:rsidP="00DA6988">
            <w:pPr>
              <w:pStyle w:val="Sansinterligne"/>
              <w:numPr>
                <w:ilvl w:val="0"/>
                <w:numId w:val="585"/>
              </w:numPr>
              <w:rPr>
                <w:highlight w:val="yellow"/>
              </w:rPr>
            </w:pPr>
            <w:r w:rsidRPr="00E9762B">
              <w:rPr>
                <w:highlight w:val="yellow"/>
              </w:rPr>
              <w:t>Symptômes émotionnels et comportementaux survenant en réponse à un stresseur survenu dans les 3 derniers mois</w:t>
            </w:r>
          </w:p>
          <w:p w:rsidR="00715053" w:rsidRDefault="00715053" w:rsidP="00DA6988">
            <w:pPr>
              <w:pStyle w:val="Sansinterligne"/>
              <w:numPr>
                <w:ilvl w:val="0"/>
                <w:numId w:val="585"/>
              </w:numPr>
            </w:pPr>
            <w:r>
              <w:t>Ces symptômes :</w:t>
            </w:r>
          </w:p>
          <w:p w:rsidR="00715053" w:rsidRPr="00E9762B" w:rsidRDefault="00715053" w:rsidP="00DA6988">
            <w:pPr>
              <w:pStyle w:val="Sansinterligne"/>
              <w:numPr>
                <w:ilvl w:val="1"/>
                <w:numId w:val="586"/>
              </w:numPr>
              <w:rPr>
                <w:highlight w:val="yellow"/>
              </w:rPr>
            </w:pPr>
            <w:r w:rsidRPr="00E9762B">
              <w:rPr>
                <w:highlight w:val="yellow"/>
              </w:rPr>
              <w:t>Induisent une détresse marquée excessive par rapport à ce qui serait attendu dans cette situation</w:t>
            </w:r>
          </w:p>
          <w:p w:rsidR="00715053" w:rsidRPr="00E9762B" w:rsidRDefault="00715053" w:rsidP="00DA6988">
            <w:pPr>
              <w:pStyle w:val="Sansinterligne"/>
              <w:numPr>
                <w:ilvl w:val="1"/>
                <w:numId w:val="586"/>
              </w:numPr>
              <w:rPr>
                <w:highlight w:val="yellow"/>
              </w:rPr>
            </w:pPr>
            <w:r w:rsidRPr="00E9762B">
              <w:rPr>
                <w:highlight w:val="yellow"/>
              </w:rPr>
              <w:t>Entraînent un dysfonctionnement social ou occupationnel significatif</w:t>
            </w:r>
          </w:p>
          <w:p w:rsidR="00715053" w:rsidRDefault="00715053" w:rsidP="00DA6988">
            <w:pPr>
              <w:pStyle w:val="Sansinterligne"/>
              <w:numPr>
                <w:ilvl w:val="0"/>
                <w:numId w:val="585"/>
              </w:numPr>
            </w:pPr>
            <w:r>
              <w:t>et D. La perturbation ne rencontre pas les critères d’un autre trouble mental et n’est pas une réaction de deuil normal</w:t>
            </w:r>
          </w:p>
          <w:p w:rsidR="00715053" w:rsidRPr="00DA6988" w:rsidRDefault="00715053" w:rsidP="00DA6988">
            <w:pPr>
              <w:pStyle w:val="Sansinterligne"/>
              <w:numPr>
                <w:ilvl w:val="0"/>
                <w:numId w:val="585"/>
              </w:numPr>
            </w:pPr>
            <w:r w:rsidRPr="00E9762B">
              <w:rPr>
                <w:highlight w:val="yellow"/>
              </w:rPr>
              <w:t xml:space="preserve">Les symptômes se résorbent en </w:t>
            </w:r>
            <w:r w:rsidRPr="00E9762B">
              <w:rPr>
                <w:rFonts w:ascii="Century Gothic" w:hAnsi="Century Gothic"/>
                <w:highlight w:val="yellow"/>
              </w:rPr>
              <w:t>&lt;</w:t>
            </w:r>
            <w:r w:rsidRPr="00E9762B">
              <w:rPr>
                <w:highlight w:val="yellow"/>
              </w:rPr>
              <w:t xml:space="preserve"> 6 mois après la fin du stresseur</w:t>
            </w:r>
          </w:p>
        </w:tc>
      </w:tr>
      <w:tr w:rsidR="00715053" w:rsidTr="002A1F06">
        <w:tc>
          <w:tcPr>
            <w:tcW w:w="11165" w:type="dxa"/>
            <w:shd w:val="clear" w:color="auto" w:fill="9BBB59" w:themeFill="accent3"/>
          </w:tcPr>
          <w:p w:rsidR="00715053" w:rsidRPr="00BC277C" w:rsidRDefault="00715053" w:rsidP="00F728C7">
            <w:pPr>
              <w:pStyle w:val="Sansinterligne"/>
              <w:jc w:val="center"/>
              <w:rPr>
                <w:b/>
              </w:rPr>
            </w:pPr>
            <w:r w:rsidRPr="00BC277C">
              <w:rPr>
                <w:b/>
              </w:rPr>
              <w:t>Trouble dépressif caractérisé (dépression majeure)</w:t>
            </w:r>
          </w:p>
        </w:tc>
      </w:tr>
      <w:tr w:rsidR="00715053" w:rsidTr="00715053">
        <w:tc>
          <w:tcPr>
            <w:tcW w:w="11165" w:type="dxa"/>
          </w:tcPr>
          <w:p w:rsidR="00715053" w:rsidRPr="00BC277C" w:rsidRDefault="00715053" w:rsidP="009F0356">
            <w:pPr>
              <w:pStyle w:val="Sansinterligne"/>
              <w:jc w:val="center"/>
              <w:rPr>
                <w:i/>
              </w:rPr>
            </w:pPr>
            <w:r w:rsidRPr="00BC277C">
              <w:rPr>
                <w:i/>
              </w:rPr>
              <w:t>Critères du DSM-V</w:t>
            </w:r>
          </w:p>
        </w:tc>
      </w:tr>
      <w:tr w:rsidR="00715053" w:rsidTr="00715053">
        <w:tc>
          <w:tcPr>
            <w:tcW w:w="11165" w:type="dxa"/>
            <w:shd w:val="clear" w:color="auto" w:fill="FFFF00"/>
          </w:tcPr>
          <w:p w:rsidR="00715053" w:rsidRDefault="00715053" w:rsidP="001D29A9">
            <w:pPr>
              <w:pStyle w:val="Sansinterligne"/>
              <w:numPr>
                <w:ilvl w:val="0"/>
                <w:numId w:val="589"/>
              </w:numPr>
            </w:pPr>
            <w:r>
              <w:t>Présence d’un épisode dépressif majeur (</w:t>
            </w:r>
            <w:r w:rsidRPr="004619C3">
              <w:rPr>
                <w:i/>
              </w:rPr>
              <w:t xml:space="preserve">voir </w:t>
            </w:r>
            <w:r>
              <w:rPr>
                <w:i/>
              </w:rPr>
              <w:t xml:space="preserve">plus </w:t>
            </w:r>
            <w:r w:rsidRPr="004619C3">
              <w:rPr>
                <w:i/>
              </w:rPr>
              <w:t>haut</w:t>
            </w:r>
            <w:r>
              <w:t>).</w:t>
            </w:r>
          </w:p>
          <w:p w:rsidR="00715053" w:rsidRDefault="00715053" w:rsidP="001D29A9">
            <w:pPr>
              <w:pStyle w:val="Sansinterligne"/>
              <w:numPr>
                <w:ilvl w:val="0"/>
                <w:numId w:val="589"/>
              </w:numPr>
            </w:pPr>
            <w:r>
              <w:t>L’épisode n’est pas mieux expliqué par un trouble psychotique.</w:t>
            </w:r>
          </w:p>
          <w:p w:rsidR="00715053" w:rsidRDefault="00715053" w:rsidP="001D29A9">
            <w:pPr>
              <w:pStyle w:val="Sansinterligne"/>
              <w:numPr>
                <w:ilvl w:val="0"/>
                <w:numId w:val="589"/>
              </w:numPr>
            </w:pPr>
            <w:r>
              <w:t>Il n’y a jamais eu d’épisode maniaque ou hypomaniaque.</w:t>
            </w:r>
          </w:p>
        </w:tc>
      </w:tr>
      <w:tr w:rsidR="00715053" w:rsidRPr="00BC277C" w:rsidTr="002A1F06">
        <w:tc>
          <w:tcPr>
            <w:tcW w:w="11165" w:type="dxa"/>
            <w:shd w:val="clear" w:color="auto" w:fill="9BBB59" w:themeFill="accent3"/>
          </w:tcPr>
          <w:p w:rsidR="00715053" w:rsidRPr="00BC277C" w:rsidRDefault="00715053" w:rsidP="009F0356">
            <w:pPr>
              <w:pStyle w:val="Sansinterligne"/>
              <w:jc w:val="center"/>
              <w:rPr>
                <w:b/>
              </w:rPr>
            </w:pPr>
            <w:r w:rsidRPr="00BC277C">
              <w:rPr>
                <w:b/>
              </w:rPr>
              <w:t>Trouble dépressif persistant (</w:t>
            </w:r>
            <w:r w:rsidRPr="00164BFE">
              <w:rPr>
                <w:b/>
              </w:rPr>
              <w:t>d</w:t>
            </w:r>
            <w:r w:rsidRPr="00164BFE">
              <w:rPr>
                <w:b/>
                <w:shd w:val="clear" w:color="auto" w:fill="9BBB59" w:themeFill="accent3"/>
              </w:rPr>
              <w:t>y</w:t>
            </w:r>
            <w:r w:rsidRPr="00164BFE">
              <w:rPr>
                <w:b/>
              </w:rPr>
              <w:t>st</w:t>
            </w:r>
            <w:r w:rsidRPr="00BC277C">
              <w:rPr>
                <w:b/>
              </w:rPr>
              <w:t>hymie)</w:t>
            </w:r>
          </w:p>
        </w:tc>
      </w:tr>
      <w:tr w:rsidR="00715053" w:rsidRPr="00BC277C" w:rsidTr="00715053">
        <w:tc>
          <w:tcPr>
            <w:tcW w:w="11165" w:type="dxa"/>
          </w:tcPr>
          <w:p w:rsidR="00715053" w:rsidRPr="00BC277C" w:rsidRDefault="00715053" w:rsidP="009F0356">
            <w:pPr>
              <w:pStyle w:val="Sansinterligne"/>
              <w:jc w:val="center"/>
              <w:rPr>
                <w:i/>
              </w:rPr>
            </w:pPr>
            <w:r w:rsidRPr="00BC277C">
              <w:rPr>
                <w:i/>
              </w:rPr>
              <w:t>Critères du DSM-V</w:t>
            </w:r>
          </w:p>
        </w:tc>
      </w:tr>
      <w:tr w:rsidR="00715053" w:rsidTr="00715053">
        <w:tc>
          <w:tcPr>
            <w:tcW w:w="11165" w:type="dxa"/>
          </w:tcPr>
          <w:p w:rsidR="00715053" w:rsidRDefault="00715053" w:rsidP="001D29A9">
            <w:pPr>
              <w:pStyle w:val="Sansinterligne"/>
              <w:numPr>
                <w:ilvl w:val="0"/>
                <w:numId w:val="591"/>
              </w:numPr>
            </w:pPr>
            <w:r>
              <w:t xml:space="preserve">Humeur dépressive une bonne partie de la journée et la plupart des jours </w:t>
            </w:r>
            <w:r>
              <w:rPr>
                <w:rFonts w:ascii="Century Gothic" w:hAnsi="Century Gothic"/>
              </w:rPr>
              <w:t>≥</w:t>
            </w:r>
            <w:r>
              <w:t xml:space="preserve"> 2 ans</w:t>
            </w:r>
          </w:p>
          <w:p w:rsidR="00715053" w:rsidRDefault="00715053" w:rsidP="001D29A9">
            <w:pPr>
              <w:pStyle w:val="Sansinterligne"/>
              <w:numPr>
                <w:ilvl w:val="0"/>
                <w:numId w:val="591"/>
              </w:numPr>
            </w:pPr>
            <w:r>
              <w:t xml:space="preserve">Présence de </w:t>
            </w:r>
            <w:r>
              <w:rPr>
                <w:rFonts w:ascii="Century Gothic" w:hAnsi="Century Gothic"/>
              </w:rPr>
              <w:t>≥</w:t>
            </w:r>
            <w:r>
              <w:t xml:space="preserve"> 2 des symptômes suivants</w:t>
            </w:r>
          </w:p>
          <w:p w:rsidR="00715053" w:rsidRDefault="00715053" w:rsidP="001D29A9">
            <w:pPr>
              <w:pStyle w:val="Sansinterligne"/>
              <w:numPr>
                <w:ilvl w:val="1"/>
                <w:numId w:val="592"/>
              </w:numPr>
            </w:pPr>
            <w:r>
              <w:t>Appétit diminué ou hyperalimentation</w:t>
            </w:r>
          </w:p>
          <w:p w:rsidR="00715053" w:rsidRDefault="00715053" w:rsidP="001D29A9">
            <w:pPr>
              <w:pStyle w:val="Sansinterligne"/>
              <w:numPr>
                <w:ilvl w:val="1"/>
                <w:numId w:val="592"/>
              </w:numPr>
            </w:pPr>
            <w:r>
              <w:t>Insomnie / Hypersomnie</w:t>
            </w:r>
          </w:p>
          <w:p w:rsidR="00715053" w:rsidRDefault="00715053" w:rsidP="001D29A9">
            <w:pPr>
              <w:pStyle w:val="Sansinterligne"/>
              <w:numPr>
                <w:ilvl w:val="1"/>
                <w:numId w:val="592"/>
              </w:numPr>
            </w:pPr>
            <w:r>
              <w:t>Fatigue ou peu d’énergie</w:t>
            </w:r>
          </w:p>
          <w:p w:rsidR="00715053" w:rsidRDefault="00715053" w:rsidP="001D29A9">
            <w:pPr>
              <w:pStyle w:val="Sansinterligne"/>
              <w:numPr>
                <w:ilvl w:val="1"/>
                <w:numId w:val="592"/>
              </w:numPr>
            </w:pPr>
            <w:r>
              <w:t>Faible estime de soi</w:t>
            </w:r>
          </w:p>
          <w:p w:rsidR="00715053" w:rsidRDefault="00715053" w:rsidP="001D29A9">
            <w:pPr>
              <w:pStyle w:val="Sansinterligne"/>
              <w:numPr>
                <w:ilvl w:val="1"/>
                <w:numId w:val="592"/>
              </w:numPr>
            </w:pPr>
            <w:r>
              <w:t>Faible concentration ou difficulté à prendre des décisions</w:t>
            </w:r>
          </w:p>
          <w:p w:rsidR="00715053" w:rsidRDefault="00715053" w:rsidP="001D29A9">
            <w:pPr>
              <w:pStyle w:val="Sansinterligne"/>
              <w:numPr>
                <w:ilvl w:val="1"/>
                <w:numId w:val="592"/>
              </w:numPr>
            </w:pPr>
            <w:r>
              <w:t>Désespoir</w:t>
            </w:r>
          </w:p>
          <w:p w:rsidR="00715053" w:rsidRDefault="00715053" w:rsidP="001D29A9">
            <w:pPr>
              <w:pStyle w:val="Sansinterligne"/>
              <w:numPr>
                <w:ilvl w:val="0"/>
                <w:numId w:val="591"/>
              </w:numPr>
            </w:pPr>
            <w:r>
              <w:t xml:space="preserve">N’a jamais eu </w:t>
            </w:r>
            <w:r>
              <w:rPr>
                <w:rFonts w:ascii="Century Gothic" w:hAnsi="Century Gothic"/>
              </w:rPr>
              <w:t>≥</w:t>
            </w:r>
            <w:r>
              <w:t xml:space="preserve"> 2 mois sans ces symptômes (A+B) durant ces 2 années.</w:t>
            </w:r>
          </w:p>
          <w:p w:rsidR="00715053" w:rsidRDefault="00715053" w:rsidP="001D29A9">
            <w:pPr>
              <w:pStyle w:val="Sansinterligne"/>
              <w:numPr>
                <w:ilvl w:val="0"/>
                <w:numId w:val="591"/>
              </w:numPr>
            </w:pPr>
            <w:r>
              <w:t>Les critères d’un trouble dépressif caractérisé (dépression majeure) peuvent être présents continuellement sur 2 ans.</w:t>
            </w:r>
          </w:p>
          <w:p w:rsidR="00715053" w:rsidRDefault="00715053" w:rsidP="001D29A9">
            <w:pPr>
              <w:pStyle w:val="Sansinterligne"/>
              <w:numPr>
                <w:ilvl w:val="0"/>
                <w:numId w:val="591"/>
              </w:numPr>
            </w:pPr>
            <w:r>
              <w:t>Il n’y a jamais eu d’épisode maniaque/hypomaniaque / trouble cyclothymique</w:t>
            </w:r>
          </w:p>
          <w:p w:rsidR="00715053" w:rsidRPr="00261349" w:rsidRDefault="00715053" w:rsidP="001D29A9">
            <w:pPr>
              <w:pStyle w:val="Sansinterligne"/>
              <w:numPr>
                <w:ilvl w:val="0"/>
                <w:numId w:val="591"/>
              </w:numPr>
            </w:pPr>
            <w:r w:rsidRPr="00261349">
              <w:t>La problématique n’est pas mieux expliquée par un trouble psychotique ou une condition médicale ou l’usage d’une substance.</w:t>
            </w:r>
          </w:p>
          <w:p w:rsidR="00715053" w:rsidRDefault="00715053" w:rsidP="001D29A9">
            <w:pPr>
              <w:pStyle w:val="Sansinterligne"/>
              <w:numPr>
                <w:ilvl w:val="0"/>
                <w:numId w:val="591"/>
              </w:numPr>
            </w:pPr>
            <w:r w:rsidRPr="00261349">
              <w:t>Les symptômes occasionnent une détresse clinique significative ou dysfonctionnement social/occupationnel/autre.</w:t>
            </w:r>
          </w:p>
        </w:tc>
      </w:tr>
      <w:tr w:rsidR="00715053" w:rsidTr="002A1F06">
        <w:tc>
          <w:tcPr>
            <w:tcW w:w="11165" w:type="dxa"/>
            <w:shd w:val="clear" w:color="auto" w:fill="9BBB59" w:themeFill="accent3"/>
          </w:tcPr>
          <w:p w:rsidR="00715053" w:rsidRPr="00BC277C" w:rsidRDefault="00715053" w:rsidP="00F728C7">
            <w:pPr>
              <w:pStyle w:val="Sansinterligne"/>
              <w:jc w:val="center"/>
              <w:rPr>
                <w:b/>
              </w:rPr>
            </w:pPr>
            <w:r w:rsidRPr="00BC277C">
              <w:rPr>
                <w:b/>
              </w:rPr>
              <w:t>Trouble bipolaire type I / II</w:t>
            </w:r>
          </w:p>
        </w:tc>
      </w:tr>
      <w:tr w:rsidR="00715053" w:rsidTr="00715053">
        <w:tc>
          <w:tcPr>
            <w:tcW w:w="11165" w:type="dxa"/>
          </w:tcPr>
          <w:p w:rsidR="00715053" w:rsidRDefault="00715053" w:rsidP="00F728C7">
            <w:pPr>
              <w:pStyle w:val="Sansinterligne"/>
            </w:pPr>
            <w:r>
              <w:t xml:space="preserve">Voir </w:t>
            </w:r>
            <w:r w:rsidRPr="00F728C7">
              <w:rPr>
                <w:i/>
              </w:rPr>
              <w:t>Manie / Hypomanie CMC 59-2</w:t>
            </w:r>
          </w:p>
        </w:tc>
      </w:tr>
      <w:tr w:rsidR="00715053" w:rsidTr="002A1F06">
        <w:tc>
          <w:tcPr>
            <w:tcW w:w="11165" w:type="dxa"/>
            <w:shd w:val="clear" w:color="auto" w:fill="9BBB59" w:themeFill="accent3"/>
          </w:tcPr>
          <w:p w:rsidR="00715053" w:rsidRPr="00BC277C" w:rsidRDefault="00715053" w:rsidP="00F44514">
            <w:pPr>
              <w:pStyle w:val="Sansinterligne"/>
              <w:jc w:val="center"/>
              <w:rPr>
                <w:b/>
              </w:rPr>
            </w:pPr>
            <w:r w:rsidRPr="00BC277C">
              <w:rPr>
                <w:b/>
              </w:rPr>
              <w:t xml:space="preserve">Trouble </w:t>
            </w:r>
            <w:r>
              <w:rPr>
                <w:b/>
              </w:rPr>
              <w:t>cyclothymique</w:t>
            </w:r>
          </w:p>
        </w:tc>
      </w:tr>
      <w:tr w:rsidR="00715053" w:rsidTr="00715053">
        <w:tc>
          <w:tcPr>
            <w:tcW w:w="11165" w:type="dxa"/>
          </w:tcPr>
          <w:p w:rsidR="00715053" w:rsidRDefault="00715053" w:rsidP="009F0356">
            <w:pPr>
              <w:pStyle w:val="Sansinterligne"/>
            </w:pPr>
            <w:r>
              <w:t xml:space="preserve">Voir </w:t>
            </w:r>
            <w:r w:rsidRPr="00F728C7">
              <w:rPr>
                <w:i/>
              </w:rPr>
              <w:t>Manie / Hypomanie CMC 59-2</w:t>
            </w:r>
          </w:p>
        </w:tc>
      </w:tr>
    </w:tbl>
    <w:p w:rsidR="00715053" w:rsidRDefault="006C0AEC" w:rsidP="00212AA6">
      <w:pPr>
        <w:pStyle w:val="Sansinterligne"/>
        <w:rPr>
          <w:b/>
          <w:lang w:eastAsia="fr-CA"/>
        </w:rPr>
      </w:pPr>
      <w:bookmarkStart w:id="204" w:name="%C3%89tiologie6"/>
      <w:r>
        <w:rPr>
          <w:noProof/>
          <w:lang w:eastAsia="fr-CA"/>
        </w:rPr>
        <w:drawing>
          <wp:anchor distT="0" distB="0" distL="114300" distR="114300" simplePos="0" relativeHeight="251830272" behindDoc="0" locked="0" layoutInCell="1" allowOverlap="1" wp14:anchorId="3F9D5B48" wp14:editId="12C3AAAE">
            <wp:simplePos x="0" y="0"/>
            <wp:positionH relativeFrom="column">
              <wp:posOffset>2041471</wp:posOffset>
            </wp:positionH>
            <wp:positionV relativeFrom="paragraph">
              <wp:posOffset>36478</wp:posOffset>
            </wp:positionV>
            <wp:extent cx="2552700" cy="1714500"/>
            <wp:effectExtent l="0" t="0" r="0" b="0"/>
            <wp:wrapNone/>
            <wp:docPr id="327" name="Imag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DC.PNG"/>
                    <pic:cNvPicPr/>
                  </pic:nvPicPr>
                  <pic:blipFill>
                    <a:blip r:embed="rId210">
                      <a:extLst>
                        <a:ext uri="{28A0092B-C50C-407E-A947-70E740481C1C}">
                          <a14:useLocalDpi xmlns:a14="http://schemas.microsoft.com/office/drawing/2010/main" val="0"/>
                        </a:ext>
                      </a:extLst>
                    </a:blip>
                    <a:stretch>
                      <a:fillRect/>
                    </a:stretch>
                  </pic:blipFill>
                  <pic:spPr>
                    <a:xfrm>
                      <a:off x="0" y="0"/>
                      <a:ext cx="2552700" cy="1714500"/>
                    </a:xfrm>
                    <a:prstGeom prst="rect">
                      <a:avLst/>
                    </a:prstGeom>
                  </pic:spPr>
                </pic:pic>
              </a:graphicData>
            </a:graphic>
            <wp14:sizeRelH relativeFrom="page">
              <wp14:pctWidth>0</wp14:pctWidth>
            </wp14:sizeRelH>
            <wp14:sizeRelV relativeFrom="page">
              <wp14:pctHeight>0</wp14:pctHeight>
            </wp14:sizeRelV>
          </wp:anchor>
        </w:drawing>
      </w:r>
    </w:p>
    <w:p w:rsidR="00715053" w:rsidRDefault="00715053" w:rsidP="00212AA6">
      <w:pPr>
        <w:pStyle w:val="Sansinterligne"/>
        <w:rPr>
          <w:b/>
          <w:lang w:eastAsia="fr-CA"/>
        </w:rPr>
      </w:pPr>
    </w:p>
    <w:p w:rsidR="00715053" w:rsidRDefault="00715053" w:rsidP="00212AA6">
      <w:pPr>
        <w:pStyle w:val="Sansinterligne"/>
        <w:rPr>
          <w:b/>
          <w:lang w:eastAsia="fr-CA"/>
        </w:rPr>
      </w:pPr>
    </w:p>
    <w:p w:rsidR="00715053" w:rsidRDefault="00715053" w:rsidP="00212AA6">
      <w:pPr>
        <w:pStyle w:val="Sansinterligne"/>
        <w:rPr>
          <w:b/>
          <w:lang w:eastAsia="fr-CA"/>
        </w:rPr>
      </w:pPr>
    </w:p>
    <w:p w:rsidR="00715053" w:rsidRDefault="00715053" w:rsidP="00212AA6">
      <w:pPr>
        <w:pStyle w:val="Sansinterligne"/>
        <w:rPr>
          <w:b/>
          <w:lang w:eastAsia="fr-CA"/>
        </w:rPr>
      </w:pPr>
    </w:p>
    <w:p w:rsidR="00715053" w:rsidRDefault="00715053" w:rsidP="00212AA6">
      <w:pPr>
        <w:pStyle w:val="Sansinterligne"/>
        <w:rPr>
          <w:b/>
          <w:lang w:eastAsia="fr-CA"/>
        </w:rPr>
      </w:pPr>
    </w:p>
    <w:p w:rsidR="00715053" w:rsidRDefault="00715053" w:rsidP="00212AA6">
      <w:pPr>
        <w:pStyle w:val="Sansinterligne"/>
        <w:rPr>
          <w:b/>
          <w:lang w:eastAsia="fr-CA"/>
        </w:rPr>
      </w:pPr>
    </w:p>
    <w:p w:rsidR="008B34DD" w:rsidRDefault="008B34DD" w:rsidP="00212AA6">
      <w:pPr>
        <w:pStyle w:val="Sansinterligne"/>
        <w:rPr>
          <w:b/>
          <w:lang w:eastAsia="fr-CA"/>
        </w:rPr>
      </w:pPr>
    </w:p>
    <w:p w:rsidR="00715053" w:rsidRDefault="00715053" w:rsidP="00212AA6">
      <w:pPr>
        <w:pStyle w:val="Sansinterligne"/>
        <w:rPr>
          <w:b/>
          <w:lang w:eastAsia="fr-CA"/>
        </w:rPr>
      </w:pPr>
    </w:p>
    <w:p w:rsidR="00212AA6" w:rsidRDefault="00212AA6" w:rsidP="00212AA6">
      <w:pPr>
        <w:pStyle w:val="Sansinterligne"/>
        <w:rPr>
          <w:b/>
          <w:lang w:eastAsia="fr-CA"/>
        </w:rPr>
      </w:pPr>
      <w:r w:rsidRPr="009F0356">
        <w:rPr>
          <w:b/>
          <w:lang w:eastAsia="fr-CA"/>
        </w:rPr>
        <w:t>Trouble induit par une substance toxique</w:t>
      </w:r>
    </w:p>
    <w:p w:rsidR="009F0356" w:rsidRPr="00AD218E" w:rsidRDefault="009F0356" w:rsidP="001D29A9">
      <w:pPr>
        <w:pStyle w:val="Sansinterligne"/>
        <w:numPr>
          <w:ilvl w:val="0"/>
          <w:numId w:val="595"/>
        </w:numPr>
        <w:rPr>
          <w:highlight w:val="yellow"/>
          <w:lang w:eastAsia="fr-CA"/>
        </w:rPr>
      </w:pPr>
      <w:r w:rsidRPr="00AD218E">
        <w:rPr>
          <w:highlight w:val="yellow"/>
          <w:lang w:eastAsia="fr-CA"/>
        </w:rPr>
        <w:t>Perturbation de l’humeur, surtout l’anhédonie et une humeur dépressive.</w:t>
      </w:r>
    </w:p>
    <w:p w:rsidR="009F0356" w:rsidRPr="00AD218E" w:rsidRDefault="009F0356" w:rsidP="001D29A9">
      <w:pPr>
        <w:pStyle w:val="Sansinterligne"/>
        <w:numPr>
          <w:ilvl w:val="0"/>
          <w:numId w:val="595"/>
        </w:numPr>
        <w:rPr>
          <w:highlight w:val="yellow"/>
          <w:lang w:eastAsia="fr-CA"/>
        </w:rPr>
      </w:pPr>
      <w:r w:rsidRPr="00AD218E">
        <w:rPr>
          <w:highlight w:val="yellow"/>
          <w:lang w:eastAsia="fr-CA"/>
        </w:rPr>
        <w:t>Chronologie et anamnèse compatible</w:t>
      </w:r>
      <w:r w:rsidR="002E57C3" w:rsidRPr="00AD218E">
        <w:rPr>
          <w:highlight w:val="yellow"/>
          <w:lang w:eastAsia="fr-CA"/>
        </w:rPr>
        <w:t>. (Symptômes suivant une intoxication ou un sevrage)</w:t>
      </w:r>
    </w:p>
    <w:p w:rsidR="009F0356" w:rsidRPr="002E57C3" w:rsidRDefault="009F0356" w:rsidP="001D29A9">
      <w:pPr>
        <w:pStyle w:val="Sansinterligne"/>
        <w:numPr>
          <w:ilvl w:val="0"/>
          <w:numId w:val="595"/>
        </w:numPr>
        <w:rPr>
          <w:lang w:eastAsia="fr-CA"/>
        </w:rPr>
      </w:pPr>
      <w:r w:rsidRPr="002E57C3">
        <w:rPr>
          <w:lang w:eastAsia="fr-CA"/>
        </w:rPr>
        <w:t>Autre cause exclue</w:t>
      </w:r>
    </w:p>
    <w:p w:rsidR="009F0356" w:rsidRPr="002E57C3" w:rsidRDefault="009F0356" w:rsidP="001D29A9">
      <w:pPr>
        <w:pStyle w:val="Sansinterligne"/>
        <w:numPr>
          <w:ilvl w:val="0"/>
          <w:numId w:val="595"/>
        </w:numPr>
        <w:rPr>
          <w:lang w:eastAsia="fr-CA"/>
        </w:rPr>
      </w:pPr>
      <w:r w:rsidRPr="002E57C3">
        <w:rPr>
          <w:lang w:eastAsia="fr-CA"/>
        </w:rPr>
        <w:t>Notamment :</w:t>
      </w:r>
    </w:p>
    <w:p w:rsidR="002E57C3" w:rsidRDefault="002E57C3" w:rsidP="001D29A9">
      <w:pPr>
        <w:pStyle w:val="Sansinterligne"/>
        <w:numPr>
          <w:ilvl w:val="0"/>
          <w:numId w:val="596"/>
        </w:numPr>
        <w:rPr>
          <w:lang w:eastAsia="fr-CA"/>
        </w:rPr>
        <w:sectPr w:rsidR="002E57C3" w:rsidSect="00217865">
          <w:type w:val="continuous"/>
          <w:pgSz w:w="12240" w:h="15840"/>
          <w:pgMar w:top="720" w:right="720" w:bottom="720" w:left="720" w:header="708" w:footer="708" w:gutter="0"/>
          <w:cols w:space="708"/>
          <w:docGrid w:linePitch="360"/>
        </w:sectPr>
      </w:pPr>
    </w:p>
    <w:p w:rsidR="009F0356" w:rsidRPr="002E57C3" w:rsidRDefault="009F0356" w:rsidP="001D29A9">
      <w:pPr>
        <w:pStyle w:val="Sansinterligne"/>
        <w:numPr>
          <w:ilvl w:val="0"/>
          <w:numId w:val="596"/>
        </w:numPr>
        <w:rPr>
          <w:lang w:eastAsia="fr-CA"/>
        </w:rPr>
      </w:pPr>
      <w:r w:rsidRPr="002E57C3">
        <w:rPr>
          <w:lang w:eastAsia="fr-CA"/>
        </w:rPr>
        <w:t>Alcool</w:t>
      </w:r>
    </w:p>
    <w:p w:rsidR="009F0356" w:rsidRPr="002E57C3" w:rsidRDefault="009F0356" w:rsidP="001D29A9">
      <w:pPr>
        <w:pStyle w:val="Sansinterligne"/>
        <w:numPr>
          <w:ilvl w:val="0"/>
          <w:numId w:val="596"/>
        </w:numPr>
        <w:rPr>
          <w:lang w:eastAsia="fr-CA"/>
        </w:rPr>
      </w:pPr>
      <w:r w:rsidRPr="002E57C3">
        <w:rPr>
          <w:lang w:eastAsia="fr-CA"/>
        </w:rPr>
        <w:t>Opiacés</w:t>
      </w:r>
    </w:p>
    <w:p w:rsidR="009F0356" w:rsidRPr="002E57C3" w:rsidRDefault="009F0356" w:rsidP="001D29A9">
      <w:pPr>
        <w:pStyle w:val="Sansinterligne"/>
        <w:numPr>
          <w:ilvl w:val="0"/>
          <w:numId w:val="596"/>
        </w:numPr>
        <w:rPr>
          <w:lang w:eastAsia="fr-CA"/>
        </w:rPr>
      </w:pPr>
      <w:r w:rsidRPr="002E57C3">
        <w:rPr>
          <w:lang w:eastAsia="fr-CA"/>
        </w:rPr>
        <w:t>Cocaïne</w:t>
      </w:r>
    </w:p>
    <w:p w:rsidR="009F0356" w:rsidRPr="002E57C3" w:rsidRDefault="009F0356" w:rsidP="001D29A9">
      <w:pPr>
        <w:pStyle w:val="Sansinterligne"/>
        <w:numPr>
          <w:ilvl w:val="0"/>
          <w:numId w:val="596"/>
        </w:numPr>
        <w:rPr>
          <w:lang w:eastAsia="fr-CA"/>
        </w:rPr>
      </w:pPr>
      <w:r w:rsidRPr="002E57C3">
        <w:rPr>
          <w:lang w:eastAsia="fr-CA"/>
        </w:rPr>
        <w:t>Amphétamines</w:t>
      </w:r>
    </w:p>
    <w:p w:rsidR="00C3435D" w:rsidRPr="002E57C3" w:rsidRDefault="002E57C3" w:rsidP="001D29A9">
      <w:pPr>
        <w:pStyle w:val="Sansinterligne"/>
        <w:numPr>
          <w:ilvl w:val="0"/>
          <w:numId w:val="596"/>
        </w:numPr>
        <w:rPr>
          <w:lang w:eastAsia="fr-CA"/>
        </w:rPr>
      </w:pPr>
      <w:r w:rsidRPr="002E57C3">
        <w:rPr>
          <w:lang w:eastAsia="fr-CA"/>
        </w:rPr>
        <w:t>Phencyclidine</w:t>
      </w:r>
    </w:p>
    <w:p w:rsidR="002E57C3" w:rsidRPr="002E57C3" w:rsidRDefault="002E57C3" w:rsidP="001D29A9">
      <w:pPr>
        <w:pStyle w:val="Sansinterligne"/>
        <w:numPr>
          <w:ilvl w:val="0"/>
          <w:numId w:val="596"/>
        </w:numPr>
        <w:rPr>
          <w:lang w:eastAsia="fr-CA"/>
        </w:rPr>
      </w:pPr>
      <w:r w:rsidRPr="002E57C3">
        <w:rPr>
          <w:lang w:eastAsia="fr-CA"/>
        </w:rPr>
        <w:t>Sédatifs, hypnotiques, anxiolytiques</w:t>
      </w:r>
    </w:p>
    <w:p w:rsidR="002E57C3" w:rsidRPr="002E57C3" w:rsidRDefault="002E57C3" w:rsidP="001D29A9">
      <w:pPr>
        <w:pStyle w:val="Sansinterligne"/>
        <w:numPr>
          <w:ilvl w:val="0"/>
          <w:numId w:val="596"/>
        </w:numPr>
        <w:rPr>
          <w:lang w:eastAsia="fr-CA"/>
        </w:rPr>
      </w:pPr>
      <w:r w:rsidRPr="002E57C3">
        <w:rPr>
          <w:lang w:eastAsia="fr-CA"/>
        </w:rPr>
        <w:t>Hallucinogènes</w:t>
      </w:r>
    </w:p>
    <w:p w:rsidR="002E57C3" w:rsidRPr="002E57C3" w:rsidRDefault="002E57C3" w:rsidP="001D29A9">
      <w:pPr>
        <w:pStyle w:val="Sansinterligne"/>
        <w:numPr>
          <w:ilvl w:val="0"/>
          <w:numId w:val="596"/>
        </w:numPr>
        <w:rPr>
          <w:lang w:eastAsia="fr-CA"/>
        </w:rPr>
      </w:pPr>
      <w:r w:rsidRPr="002E57C3">
        <w:rPr>
          <w:lang w:eastAsia="fr-CA"/>
        </w:rPr>
        <w:t>Substances inhalées</w:t>
      </w:r>
    </w:p>
    <w:p w:rsidR="002E57C3" w:rsidRDefault="002E57C3" w:rsidP="00212AA6">
      <w:pPr>
        <w:pStyle w:val="Sansinterligne"/>
        <w:rPr>
          <w:lang w:eastAsia="fr-CA"/>
        </w:rPr>
        <w:sectPr w:rsidR="002E57C3" w:rsidSect="002E57C3">
          <w:type w:val="continuous"/>
          <w:pgSz w:w="12240" w:h="15840"/>
          <w:pgMar w:top="720" w:right="720" w:bottom="720" w:left="720" w:header="708" w:footer="708" w:gutter="0"/>
          <w:cols w:num="2" w:space="0" w:equalWidth="0">
            <w:col w:w="2835" w:space="0"/>
            <w:col w:w="7965"/>
          </w:cols>
          <w:docGrid w:linePitch="360"/>
        </w:sectPr>
      </w:pPr>
    </w:p>
    <w:p w:rsidR="002E57C3" w:rsidRPr="000758BB" w:rsidRDefault="002E57C3" w:rsidP="00212AA6">
      <w:pPr>
        <w:pStyle w:val="Sansinterligne"/>
        <w:rPr>
          <w:lang w:eastAsia="fr-CA"/>
        </w:rPr>
      </w:pPr>
    </w:p>
    <w:p w:rsidR="009F0356" w:rsidRPr="009F0356" w:rsidRDefault="00212AA6" w:rsidP="00212AA6">
      <w:pPr>
        <w:pStyle w:val="Sansinterligne"/>
        <w:rPr>
          <w:b/>
          <w:lang w:eastAsia="fr-CA"/>
        </w:rPr>
      </w:pPr>
      <w:bookmarkStart w:id="205" w:name="%C3%89tiologie7"/>
      <w:bookmarkEnd w:id="204"/>
      <w:r w:rsidRPr="009F0356">
        <w:rPr>
          <w:b/>
          <w:lang w:eastAsia="fr-CA"/>
        </w:rPr>
        <w:t>Trouble de l'humeur secondaire à une affection médicale générale</w:t>
      </w:r>
    </w:p>
    <w:p w:rsidR="00C3435D" w:rsidRDefault="006C0AEC" w:rsidP="001D29A9">
      <w:pPr>
        <w:pStyle w:val="Sansinterligne"/>
        <w:numPr>
          <w:ilvl w:val="0"/>
          <w:numId w:val="594"/>
        </w:numPr>
        <w:rPr>
          <w:lang w:eastAsia="fr-CA"/>
        </w:rPr>
      </w:pPr>
      <w:r>
        <w:rPr>
          <w:noProof/>
          <w:lang w:eastAsia="fr-CA"/>
        </w:rPr>
        <w:drawing>
          <wp:anchor distT="0" distB="0" distL="114300" distR="114300" simplePos="0" relativeHeight="251824128" behindDoc="0" locked="0" layoutInCell="1" allowOverlap="1" wp14:anchorId="7777A0A9" wp14:editId="435B703A">
            <wp:simplePos x="0" y="0"/>
            <wp:positionH relativeFrom="column">
              <wp:posOffset>4541966</wp:posOffset>
            </wp:positionH>
            <wp:positionV relativeFrom="paragraph">
              <wp:posOffset>270510</wp:posOffset>
            </wp:positionV>
            <wp:extent cx="2178685" cy="1556385"/>
            <wp:effectExtent l="0" t="0" r="0" b="5715"/>
            <wp:wrapNone/>
            <wp:docPr id="341" name="Image 341" descr="Résultats de recherche d'images pour « citalopra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Résultats de recherche d'images pour « citalopram »"/>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2178685" cy="1556385"/>
                    </a:xfrm>
                    <a:prstGeom prst="rect">
                      <a:avLst/>
                    </a:prstGeom>
                    <a:noFill/>
                    <a:ln>
                      <a:noFill/>
                    </a:ln>
                  </pic:spPr>
                </pic:pic>
              </a:graphicData>
            </a:graphic>
            <wp14:sizeRelH relativeFrom="page">
              <wp14:pctWidth>0</wp14:pctWidth>
            </wp14:sizeRelH>
            <wp14:sizeRelV relativeFrom="page">
              <wp14:pctHeight>0</wp14:pctHeight>
            </wp14:sizeRelV>
          </wp:anchor>
        </w:drawing>
      </w:r>
      <w:r w:rsidR="009F0356">
        <w:rPr>
          <w:lang w:eastAsia="fr-CA"/>
        </w:rPr>
        <w:t>L’anamnèse, la chronologie, l’examen et les antécédents portent à croire que les symptômes dépressifs sont reliés à la condition médicale.</w:t>
      </w:r>
    </w:p>
    <w:p w:rsidR="001228F4" w:rsidRPr="000758BB" w:rsidRDefault="001228F4" w:rsidP="001D29A9">
      <w:pPr>
        <w:pStyle w:val="Sansinterligne"/>
        <w:numPr>
          <w:ilvl w:val="0"/>
          <w:numId w:val="594"/>
        </w:numPr>
        <w:rPr>
          <w:lang w:eastAsia="fr-CA"/>
        </w:rPr>
      </w:pPr>
      <w:r>
        <w:rPr>
          <w:lang w:eastAsia="fr-CA"/>
        </w:rPr>
        <w:t>Autre cause exclue</w:t>
      </w:r>
    </w:p>
    <w:bookmarkEnd w:id="205"/>
    <w:p w:rsidR="00C3435D" w:rsidRPr="00C3435D" w:rsidRDefault="00C3435D" w:rsidP="001D29A9">
      <w:pPr>
        <w:pStyle w:val="Sansinterligne"/>
        <w:numPr>
          <w:ilvl w:val="0"/>
          <w:numId w:val="594"/>
        </w:numPr>
      </w:pPr>
      <w:r w:rsidRPr="00C3435D">
        <w:t>Ex :</w:t>
      </w:r>
      <w:r w:rsidR="001228F4">
        <w:t xml:space="preserve"> </w:t>
      </w:r>
      <w:r w:rsidRPr="00C3435D">
        <w:t>dépression du postpartum</w:t>
      </w:r>
    </w:p>
    <w:p w:rsidR="00E77FE1" w:rsidRDefault="00E77FE1" w:rsidP="00F44B6B">
      <w:pPr>
        <w:spacing w:after="0"/>
        <w:rPr>
          <w:rFonts w:cs="Times New Roman"/>
          <w:b/>
          <w:color w:val="548DD4" w:themeColor="text2" w:themeTint="99"/>
        </w:rPr>
      </w:pPr>
    </w:p>
    <w:p w:rsidR="00E77FE1" w:rsidRPr="00C3435D" w:rsidRDefault="00C3435D" w:rsidP="00C3435D">
      <w:pPr>
        <w:pStyle w:val="Sansinterligne"/>
        <w:rPr>
          <w:b/>
          <w:sz w:val="28"/>
          <w:szCs w:val="28"/>
        </w:rPr>
      </w:pPr>
      <w:r w:rsidRPr="00C3435D">
        <w:rPr>
          <w:b/>
          <w:sz w:val="28"/>
          <w:szCs w:val="28"/>
        </w:rPr>
        <w:t>Investigations</w:t>
      </w:r>
    </w:p>
    <w:p w:rsidR="00C3435D" w:rsidRPr="00C3435D" w:rsidRDefault="00C3435D" w:rsidP="00C3435D">
      <w:pPr>
        <w:pStyle w:val="Sansinterligne"/>
      </w:pPr>
    </w:p>
    <w:p w:rsidR="00C3435D" w:rsidRDefault="00C3435D" w:rsidP="001D29A9">
      <w:pPr>
        <w:pStyle w:val="Sansinterligne"/>
        <w:numPr>
          <w:ilvl w:val="0"/>
          <w:numId w:val="593"/>
        </w:numPr>
      </w:pPr>
      <w:r>
        <w:t>Dépistage de drogues de rues</w:t>
      </w:r>
      <w:r w:rsidR="00C333D2" w:rsidRPr="00C333D2">
        <w:t xml:space="preserve"> </w:t>
      </w:r>
    </w:p>
    <w:p w:rsidR="00C3435D" w:rsidRDefault="00C3435D" w:rsidP="001D29A9">
      <w:pPr>
        <w:pStyle w:val="Sansinterligne"/>
        <w:numPr>
          <w:ilvl w:val="0"/>
          <w:numId w:val="593"/>
        </w:numPr>
      </w:pPr>
      <w:r>
        <w:t>TSH</w:t>
      </w:r>
    </w:p>
    <w:p w:rsidR="00C3435D" w:rsidRDefault="00C3435D" w:rsidP="00C3435D">
      <w:pPr>
        <w:pStyle w:val="Sansinterligne"/>
      </w:pPr>
    </w:p>
    <w:p w:rsidR="00C3435D" w:rsidRPr="0000137B" w:rsidRDefault="00C3435D" w:rsidP="00C3435D">
      <w:pPr>
        <w:pStyle w:val="Sansinterligne"/>
        <w:rPr>
          <w:b/>
          <w:sz w:val="28"/>
          <w:szCs w:val="28"/>
        </w:rPr>
      </w:pPr>
      <w:r w:rsidRPr="0000137B">
        <w:rPr>
          <w:b/>
          <w:sz w:val="28"/>
          <w:szCs w:val="28"/>
        </w:rPr>
        <w:t>Prise en charge</w:t>
      </w:r>
    </w:p>
    <w:p w:rsidR="0000137B" w:rsidRDefault="0000137B" w:rsidP="00C3435D">
      <w:pPr>
        <w:pStyle w:val="Sansinterligne"/>
      </w:pPr>
    </w:p>
    <w:p w:rsidR="00752515" w:rsidRPr="00B408F8" w:rsidRDefault="00752515" w:rsidP="001D29A9">
      <w:pPr>
        <w:pStyle w:val="Sansinterligne"/>
        <w:numPr>
          <w:ilvl w:val="0"/>
          <w:numId w:val="600"/>
        </w:numPr>
        <w:rPr>
          <w:highlight w:val="yellow"/>
        </w:rPr>
      </w:pPr>
      <w:r w:rsidRPr="00B408F8">
        <w:rPr>
          <w:highlight w:val="yellow"/>
        </w:rPr>
        <w:t xml:space="preserve">Évaluation du risque suicidaire </w:t>
      </w:r>
      <w:r w:rsidRPr="00B408F8">
        <w:rPr>
          <w:rFonts w:ascii="Century Gothic" w:hAnsi="Century Gothic"/>
          <w:highlight w:val="yellow"/>
        </w:rPr>
        <w:t>→</w:t>
      </w:r>
      <w:r w:rsidRPr="00B408F8">
        <w:rPr>
          <w:highlight w:val="yellow"/>
        </w:rPr>
        <w:t xml:space="preserve"> voir </w:t>
      </w:r>
      <w:r w:rsidRPr="00B408F8">
        <w:rPr>
          <w:i/>
          <w:highlight w:val="yellow"/>
        </w:rPr>
        <w:t>Comportement suicidaire</w:t>
      </w:r>
      <w:r w:rsidR="00F4288C" w:rsidRPr="00B408F8">
        <w:rPr>
          <w:i/>
          <w:highlight w:val="yellow"/>
        </w:rPr>
        <w:t xml:space="preserve"> CMC 105</w:t>
      </w:r>
    </w:p>
    <w:p w:rsidR="00261349" w:rsidRPr="00B408F8" w:rsidRDefault="00261349" w:rsidP="001D29A9">
      <w:pPr>
        <w:pStyle w:val="Sansinterligne"/>
        <w:numPr>
          <w:ilvl w:val="0"/>
          <w:numId w:val="600"/>
        </w:numPr>
        <w:rPr>
          <w:highlight w:val="yellow"/>
        </w:rPr>
      </w:pPr>
      <w:r w:rsidRPr="00B408F8">
        <w:rPr>
          <w:highlight w:val="yellow"/>
        </w:rPr>
        <w:t xml:space="preserve">Références à des services </w:t>
      </w:r>
      <w:r w:rsidR="00752515" w:rsidRPr="00B408F8">
        <w:rPr>
          <w:highlight w:val="yellow"/>
        </w:rPr>
        <w:t xml:space="preserve">de soutien </w:t>
      </w:r>
      <w:r w:rsidRPr="00B408F8">
        <w:rPr>
          <w:highlight w:val="yellow"/>
        </w:rPr>
        <w:t>(ex : lignes téléphoniques, groupes d’aides)</w:t>
      </w:r>
    </w:p>
    <w:p w:rsidR="00752515" w:rsidRPr="00B408F8" w:rsidRDefault="00261349" w:rsidP="001D29A9">
      <w:pPr>
        <w:pStyle w:val="Sansinterligne"/>
        <w:numPr>
          <w:ilvl w:val="0"/>
          <w:numId w:val="600"/>
        </w:numPr>
        <w:rPr>
          <w:highlight w:val="yellow"/>
        </w:rPr>
      </w:pPr>
      <w:r w:rsidRPr="00B408F8">
        <w:rPr>
          <w:highlight w:val="yellow"/>
        </w:rPr>
        <w:t>Impliquer l’</w:t>
      </w:r>
      <w:r w:rsidR="00752515" w:rsidRPr="00B408F8">
        <w:rPr>
          <w:highlight w:val="yellow"/>
        </w:rPr>
        <w:t>entourage</w:t>
      </w:r>
      <w:r w:rsidRPr="00B408F8">
        <w:rPr>
          <w:highlight w:val="yellow"/>
        </w:rPr>
        <w:t xml:space="preserve"> et les proches dans le soutien et la vigilance (si patient consent)</w:t>
      </w:r>
    </w:p>
    <w:p w:rsidR="00752515" w:rsidRDefault="00145019" w:rsidP="00C3435D">
      <w:pPr>
        <w:pStyle w:val="Sansinterligne"/>
        <w:rPr>
          <w:u w:val="single"/>
        </w:rPr>
      </w:pPr>
      <w:r>
        <w:rPr>
          <w:noProof/>
          <w:lang w:eastAsia="fr-CA"/>
        </w:rPr>
        <w:drawing>
          <wp:anchor distT="0" distB="0" distL="114300" distR="114300" simplePos="0" relativeHeight="251825152" behindDoc="0" locked="0" layoutInCell="1" allowOverlap="1" wp14:anchorId="25ED2C3A" wp14:editId="16C667AB">
            <wp:simplePos x="0" y="0"/>
            <wp:positionH relativeFrom="column">
              <wp:posOffset>4220845</wp:posOffset>
            </wp:positionH>
            <wp:positionV relativeFrom="paragraph">
              <wp:posOffset>83820</wp:posOffset>
            </wp:positionV>
            <wp:extent cx="2295525" cy="1525905"/>
            <wp:effectExtent l="0" t="0" r="9525" b="0"/>
            <wp:wrapNone/>
            <wp:docPr id="343" name="Image 343" descr="Résultats de recherche d'images pour « psychothérapi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Résultats de recherche d'images pour « psychothérapie »"/>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2295525" cy="15259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24586" w:rsidRPr="00F24586" w:rsidRDefault="00F24586" w:rsidP="00C3435D">
      <w:pPr>
        <w:pStyle w:val="Sansinterligne"/>
      </w:pPr>
      <w:r>
        <w:rPr>
          <w:u w:val="single"/>
        </w:rPr>
        <w:t>Deuil normal</w:t>
      </w:r>
    </w:p>
    <w:p w:rsidR="00F24586" w:rsidRPr="00F24586" w:rsidRDefault="00261349" w:rsidP="001D29A9">
      <w:pPr>
        <w:pStyle w:val="Sansinterligne"/>
        <w:numPr>
          <w:ilvl w:val="0"/>
          <w:numId w:val="599"/>
        </w:numPr>
      </w:pPr>
      <w:r>
        <w:t>Suivi</w:t>
      </w:r>
    </w:p>
    <w:p w:rsidR="00F24586" w:rsidRDefault="00F24586" w:rsidP="00C3435D">
      <w:pPr>
        <w:pStyle w:val="Sansinterligne"/>
        <w:rPr>
          <w:u w:val="single"/>
        </w:rPr>
      </w:pPr>
    </w:p>
    <w:p w:rsidR="0000137B" w:rsidRPr="00B408F8" w:rsidRDefault="0000137B" w:rsidP="00C3435D">
      <w:pPr>
        <w:pStyle w:val="Sansinterligne"/>
        <w:rPr>
          <w:highlight w:val="yellow"/>
          <w:u w:val="single"/>
        </w:rPr>
      </w:pPr>
      <w:r w:rsidRPr="00B408F8">
        <w:rPr>
          <w:highlight w:val="yellow"/>
          <w:u w:val="single"/>
        </w:rPr>
        <w:t>Trouble d’adaptation</w:t>
      </w:r>
    </w:p>
    <w:p w:rsidR="0000137B" w:rsidRPr="00B408F8" w:rsidRDefault="0000137B" w:rsidP="001D29A9">
      <w:pPr>
        <w:pStyle w:val="Sansinterligne"/>
        <w:numPr>
          <w:ilvl w:val="0"/>
          <w:numId w:val="598"/>
        </w:numPr>
        <w:rPr>
          <w:highlight w:val="yellow"/>
        </w:rPr>
      </w:pPr>
      <w:r w:rsidRPr="00B408F8">
        <w:rPr>
          <w:highlight w:val="yellow"/>
        </w:rPr>
        <w:t>Psychothérapie brève, gestion de crise</w:t>
      </w:r>
    </w:p>
    <w:p w:rsidR="0000137B" w:rsidRPr="00B408F8" w:rsidRDefault="0000137B" w:rsidP="001D29A9">
      <w:pPr>
        <w:pStyle w:val="Sansinterligne"/>
        <w:numPr>
          <w:ilvl w:val="0"/>
          <w:numId w:val="598"/>
        </w:numPr>
        <w:rPr>
          <w:highlight w:val="yellow"/>
        </w:rPr>
      </w:pPr>
      <w:r w:rsidRPr="00B408F8">
        <w:rPr>
          <w:highlight w:val="yellow"/>
        </w:rPr>
        <w:t>Benzodiazépines à court terme si symptômes anxieux</w:t>
      </w:r>
    </w:p>
    <w:p w:rsidR="0000137B" w:rsidRPr="00B408F8" w:rsidRDefault="0000137B" w:rsidP="001D29A9">
      <w:pPr>
        <w:pStyle w:val="Sansinterligne"/>
        <w:numPr>
          <w:ilvl w:val="0"/>
          <w:numId w:val="598"/>
        </w:numPr>
        <w:rPr>
          <w:highlight w:val="yellow"/>
        </w:rPr>
      </w:pPr>
      <w:r w:rsidRPr="00B408F8">
        <w:rPr>
          <w:highlight w:val="yellow"/>
        </w:rPr>
        <w:t>ISRS si symptômes anxieux ou dépressifs importants</w:t>
      </w:r>
    </w:p>
    <w:p w:rsidR="0000137B" w:rsidRPr="00B408F8" w:rsidRDefault="0000137B" w:rsidP="00C3435D">
      <w:pPr>
        <w:pStyle w:val="Sansinterligne"/>
        <w:rPr>
          <w:highlight w:val="yellow"/>
        </w:rPr>
      </w:pPr>
    </w:p>
    <w:p w:rsidR="0000137B" w:rsidRPr="00B408F8" w:rsidRDefault="00261349" w:rsidP="00C3435D">
      <w:pPr>
        <w:pStyle w:val="Sansinterligne"/>
        <w:rPr>
          <w:highlight w:val="yellow"/>
          <w:u w:val="single"/>
        </w:rPr>
      </w:pPr>
      <w:r w:rsidRPr="00B408F8">
        <w:rPr>
          <w:highlight w:val="yellow"/>
          <w:u w:val="single"/>
        </w:rPr>
        <w:t>Trouble dépressif caractérisé</w:t>
      </w:r>
    </w:p>
    <w:p w:rsidR="00715053" w:rsidRPr="00B408F8" w:rsidRDefault="00715053" w:rsidP="001D29A9">
      <w:pPr>
        <w:pStyle w:val="Sansinterligne"/>
        <w:numPr>
          <w:ilvl w:val="0"/>
          <w:numId w:val="601"/>
        </w:numPr>
        <w:rPr>
          <w:highlight w:val="yellow"/>
        </w:rPr>
      </w:pPr>
      <w:r w:rsidRPr="00B408F8">
        <w:rPr>
          <w:highlight w:val="yellow"/>
        </w:rPr>
        <w:t>Antidépresseurs (1</w:t>
      </w:r>
      <w:r w:rsidRPr="00B408F8">
        <w:rPr>
          <w:highlight w:val="yellow"/>
          <w:vertAlign w:val="superscript"/>
        </w:rPr>
        <w:t>ère</w:t>
      </w:r>
      <w:r w:rsidRPr="00B408F8">
        <w:rPr>
          <w:highlight w:val="yellow"/>
        </w:rPr>
        <w:t xml:space="preserve"> ligne) – Voir Pharmacothérapie plus bas</w:t>
      </w:r>
    </w:p>
    <w:p w:rsidR="00715053" w:rsidRPr="00B408F8" w:rsidRDefault="00715053" w:rsidP="001D29A9">
      <w:pPr>
        <w:pStyle w:val="Sansinterligne"/>
        <w:numPr>
          <w:ilvl w:val="0"/>
          <w:numId w:val="601"/>
        </w:numPr>
        <w:rPr>
          <w:highlight w:val="yellow"/>
        </w:rPr>
      </w:pPr>
      <w:r w:rsidRPr="00B408F8">
        <w:rPr>
          <w:highlight w:val="yellow"/>
        </w:rPr>
        <w:t>Psychothérapie (Thérapie cognitivo-comportementale (TCC), interpersonnelle, psychodynamique)</w:t>
      </w:r>
    </w:p>
    <w:p w:rsidR="00715053" w:rsidRPr="00B408F8" w:rsidRDefault="00715053" w:rsidP="001D29A9">
      <w:pPr>
        <w:pStyle w:val="Sansinterligne"/>
        <w:numPr>
          <w:ilvl w:val="0"/>
          <w:numId w:val="601"/>
        </w:numPr>
        <w:rPr>
          <w:highlight w:val="yellow"/>
        </w:rPr>
      </w:pPr>
      <w:r w:rsidRPr="00B408F8">
        <w:rPr>
          <w:highlight w:val="yellow"/>
        </w:rPr>
        <w:t>La combinaison d’antidépresseurs + psychothérapie TCC = meilleurs résultats</w:t>
      </w:r>
    </w:p>
    <w:p w:rsidR="00715053" w:rsidRPr="00B408F8" w:rsidRDefault="00715053" w:rsidP="001D29A9">
      <w:pPr>
        <w:pStyle w:val="Sansinterligne"/>
        <w:numPr>
          <w:ilvl w:val="0"/>
          <w:numId w:val="601"/>
        </w:numPr>
        <w:rPr>
          <w:highlight w:val="yellow"/>
        </w:rPr>
      </w:pPr>
      <w:r w:rsidRPr="00B408F8">
        <w:rPr>
          <w:highlight w:val="yellow"/>
        </w:rPr>
        <w:t>Anxiolytiques, antipsychotiques PRN</w:t>
      </w:r>
    </w:p>
    <w:p w:rsidR="00715053" w:rsidRPr="00B408F8" w:rsidRDefault="000C3B41" w:rsidP="001D29A9">
      <w:pPr>
        <w:pStyle w:val="Sansinterligne"/>
        <w:numPr>
          <w:ilvl w:val="0"/>
          <w:numId w:val="601"/>
        </w:numPr>
        <w:rPr>
          <w:highlight w:val="yellow"/>
        </w:rPr>
      </w:pPr>
      <w:r w:rsidRPr="00B408F8">
        <w:rPr>
          <w:b/>
          <w:noProof/>
          <w:sz w:val="28"/>
          <w:szCs w:val="28"/>
          <w:highlight w:val="yellow"/>
          <w:lang w:eastAsia="fr-CA"/>
        </w:rPr>
        <w:drawing>
          <wp:anchor distT="0" distB="0" distL="114300" distR="114300" simplePos="0" relativeHeight="251822080" behindDoc="0" locked="0" layoutInCell="1" allowOverlap="1" wp14:anchorId="5483C03F" wp14:editId="5D730268">
            <wp:simplePos x="0" y="0"/>
            <wp:positionH relativeFrom="column">
              <wp:posOffset>4540885</wp:posOffset>
            </wp:positionH>
            <wp:positionV relativeFrom="paragraph">
              <wp:posOffset>120015</wp:posOffset>
            </wp:positionV>
            <wp:extent cx="2343785" cy="1653540"/>
            <wp:effectExtent l="0" t="0" r="0" b="3810"/>
            <wp:wrapNone/>
            <wp:docPr id="330" name="Imag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DIFACES.png"/>
                    <pic:cNvPicPr/>
                  </pic:nvPicPr>
                  <pic:blipFill>
                    <a:blip r:embed="rId213">
                      <a:extLst>
                        <a:ext uri="{28A0092B-C50C-407E-A947-70E740481C1C}">
                          <a14:useLocalDpi xmlns:a14="http://schemas.microsoft.com/office/drawing/2010/main" val="0"/>
                        </a:ext>
                      </a:extLst>
                    </a:blip>
                    <a:stretch>
                      <a:fillRect/>
                    </a:stretch>
                  </pic:blipFill>
                  <pic:spPr>
                    <a:xfrm>
                      <a:off x="0" y="0"/>
                      <a:ext cx="2343785" cy="1653540"/>
                    </a:xfrm>
                    <a:prstGeom prst="rect">
                      <a:avLst/>
                    </a:prstGeom>
                  </pic:spPr>
                </pic:pic>
              </a:graphicData>
            </a:graphic>
            <wp14:sizeRelH relativeFrom="page">
              <wp14:pctWidth>0</wp14:pctWidth>
            </wp14:sizeRelH>
            <wp14:sizeRelV relativeFrom="page">
              <wp14:pctHeight>0</wp14:pctHeight>
            </wp14:sizeRelV>
          </wp:anchor>
        </w:drawing>
      </w:r>
      <w:r w:rsidR="00715053" w:rsidRPr="00B408F8">
        <w:rPr>
          <w:highlight w:val="yellow"/>
        </w:rPr>
        <w:t xml:space="preserve">Électroconvulsivothérapie, stimulation transcrânienne  </w:t>
      </w:r>
    </w:p>
    <w:p w:rsidR="00715053" w:rsidRDefault="00C3435D" w:rsidP="001D29A9">
      <w:pPr>
        <w:pStyle w:val="Sansinterligne"/>
        <w:numPr>
          <w:ilvl w:val="0"/>
          <w:numId w:val="601"/>
        </w:numPr>
      </w:pPr>
      <w:r w:rsidRPr="00B408F8">
        <w:rPr>
          <w:highlight w:val="yellow"/>
        </w:rPr>
        <w:t>Référence en psychiatrie</w:t>
      </w:r>
      <w:r w:rsidR="00715053" w:rsidRPr="00B408F8">
        <w:rPr>
          <w:highlight w:val="yellow"/>
        </w:rPr>
        <w:t xml:space="preserve"> si très sévère (hospitalisation) ou persistant</w:t>
      </w:r>
      <w:r w:rsidR="00715053">
        <w:t xml:space="preserve"> </w:t>
      </w:r>
    </w:p>
    <w:p w:rsidR="00715053" w:rsidRDefault="00715053" w:rsidP="00715053">
      <w:pPr>
        <w:pStyle w:val="Sansinterligne"/>
      </w:pPr>
    </w:p>
    <w:p w:rsidR="00715053" w:rsidRPr="000C3B41" w:rsidRDefault="00715053" w:rsidP="00715053">
      <w:pPr>
        <w:pStyle w:val="Sansinterligne"/>
        <w:rPr>
          <w:u w:val="single"/>
        </w:rPr>
      </w:pPr>
      <w:r w:rsidRPr="000C3B41">
        <w:rPr>
          <w:u w:val="single"/>
        </w:rPr>
        <w:t>Trouble dépressif persistant (dysthymie)</w:t>
      </w:r>
    </w:p>
    <w:p w:rsidR="00715053" w:rsidRDefault="000C3B41" w:rsidP="001D29A9">
      <w:pPr>
        <w:pStyle w:val="Sansinterligne"/>
        <w:numPr>
          <w:ilvl w:val="0"/>
          <w:numId w:val="602"/>
        </w:numPr>
      </w:pPr>
      <w:r>
        <w:t>Psychothérapie (1</w:t>
      </w:r>
      <w:r w:rsidRPr="000C3B41">
        <w:rPr>
          <w:vertAlign w:val="superscript"/>
        </w:rPr>
        <w:t>ère</w:t>
      </w:r>
      <w:r>
        <w:t xml:space="preserve"> ligne)</w:t>
      </w:r>
    </w:p>
    <w:p w:rsidR="000C3B41" w:rsidRDefault="000C3B41" w:rsidP="001D29A9">
      <w:pPr>
        <w:pStyle w:val="Sansinterligne"/>
        <w:numPr>
          <w:ilvl w:val="0"/>
          <w:numId w:val="602"/>
        </w:numPr>
      </w:pPr>
      <w:r>
        <w:t>Antidépresseurs – ISRS, IRSN (en externe)</w:t>
      </w:r>
    </w:p>
    <w:p w:rsidR="000C3B41" w:rsidRDefault="000C3B41" w:rsidP="001D29A9">
      <w:pPr>
        <w:pStyle w:val="Sansinterligne"/>
        <w:numPr>
          <w:ilvl w:val="0"/>
          <w:numId w:val="602"/>
        </w:numPr>
      </w:pPr>
      <w:r>
        <w:t xml:space="preserve">Référence en psychiatrie si très sévère (hospitalisation) ou persistant </w:t>
      </w:r>
    </w:p>
    <w:p w:rsidR="000C3B41" w:rsidRDefault="000C3B41" w:rsidP="000C3B41">
      <w:pPr>
        <w:pStyle w:val="Sansinterligne"/>
      </w:pPr>
    </w:p>
    <w:p w:rsidR="000C3B41" w:rsidRPr="000C3B41" w:rsidRDefault="000C3B41" w:rsidP="000C3B41">
      <w:pPr>
        <w:pStyle w:val="Sansinterligne"/>
        <w:rPr>
          <w:u w:val="single"/>
        </w:rPr>
      </w:pPr>
      <w:r w:rsidRPr="000C3B41">
        <w:rPr>
          <w:u w:val="single"/>
        </w:rPr>
        <w:t>Trouble de l’humeur secondaire (substance ou condition médicale)</w:t>
      </w:r>
    </w:p>
    <w:p w:rsidR="000C3B41" w:rsidRDefault="000C3B41" w:rsidP="001D29A9">
      <w:pPr>
        <w:pStyle w:val="Sansinterligne"/>
        <w:numPr>
          <w:ilvl w:val="0"/>
          <w:numId w:val="603"/>
        </w:numPr>
      </w:pPr>
      <w:r>
        <w:t>Traiter la condition sous-jacente.</w:t>
      </w:r>
    </w:p>
    <w:p w:rsidR="000C3B41" w:rsidRDefault="000C3B41" w:rsidP="001D29A9">
      <w:pPr>
        <w:pStyle w:val="Sansinterligne"/>
        <w:numPr>
          <w:ilvl w:val="0"/>
          <w:numId w:val="603"/>
        </w:numPr>
      </w:pPr>
      <w:r>
        <w:t>Traitement de support (antidépresseurs, psychothérapie, si indiqué)</w:t>
      </w:r>
    </w:p>
    <w:p w:rsidR="00E77FE1" w:rsidRDefault="000C3B41" w:rsidP="001D29A9">
      <w:pPr>
        <w:pStyle w:val="Sansinterligne"/>
        <w:numPr>
          <w:ilvl w:val="0"/>
          <w:numId w:val="603"/>
        </w:numPr>
      </w:pPr>
      <w:r>
        <w:t>Désintoxication / sevrage PRN</w:t>
      </w:r>
      <w:r w:rsidR="00E77FE1">
        <w:br w:type="page"/>
      </w:r>
    </w:p>
    <w:p w:rsidR="00311995" w:rsidRDefault="00311995" w:rsidP="00311995">
      <w:pPr>
        <w:pStyle w:val="Sansinterligne"/>
      </w:pPr>
      <w:r w:rsidRPr="00311995">
        <w:rPr>
          <w:b/>
          <w:sz w:val="28"/>
          <w:szCs w:val="28"/>
        </w:rPr>
        <w:t>Pharmacothérapie</w:t>
      </w:r>
      <w:r>
        <w:rPr>
          <w:b/>
          <w:sz w:val="28"/>
          <w:szCs w:val="28"/>
        </w:rPr>
        <w:t xml:space="preserve"> - Antidépresseurs</w:t>
      </w:r>
    </w:p>
    <w:p w:rsidR="00311995" w:rsidRDefault="00311995" w:rsidP="00311995">
      <w:pPr>
        <w:pStyle w:val="Sansinterligne"/>
      </w:pPr>
    </w:p>
    <w:p w:rsidR="00311995" w:rsidRDefault="00311995" w:rsidP="00311995">
      <w:pPr>
        <w:pStyle w:val="Sansinterligne"/>
      </w:pPr>
      <w:r w:rsidRPr="00353213">
        <w:rPr>
          <w:highlight w:val="yellow"/>
        </w:rPr>
        <w:t xml:space="preserve">Indiqué en troubles dépressifs mais aussi dans les troubles anxieux </w:t>
      </w:r>
      <w:r w:rsidR="00DA2DA4" w:rsidRPr="00353213">
        <w:rPr>
          <w:highlight w:val="yellow"/>
        </w:rPr>
        <w:t xml:space="preserve">et les troubles bipolaires (si combinés avec stabilisateur de l’humeur) </w:t>
      </w:r>
      <w:r w:rsidRPr="00353213">
        <w:rPr>
          <w:highlight w:val="yellow"/>
        </w:rPr>
        <w:t>et certaines autres indications.</w:t>
      </w:r>
      <w:r w:rsidR="00EA14F9" w:rsidRPr="00EA14F9">
        <w:t xml:space="preserve"> </w:t>
      </w:r>
    </w:p>
    <w:p w:rsidR="00311995" w:rsidRPr="00311995" w:rsidRDefault="00311995" w:rsidP="00311995">
      <w:pPr>
        <w:pStyle w:val="Sansinterligne"/>
      </w:pPr>
    </w:p>
    <w:p w:rsidR="00EA14F9" w:rsidRDefault="00EA14F9" w:rsidP="001D29A9">
      <w:pPr>
        <w:pStyle w:val="Sansinterligne"/>
        <w:numPr>
          <w:ilvl w:val="0"/>
          <w:numId w:val="604"/>
        </w:numPr>
      </w:pPr>
      <w:r>
        <w:t>Être prudent et graduel dans l’augmentation et l’arrêt des doses</w:t>
      </w:r>
    </w:p>
    <w:p w:rsidR="00EA14F9" w:rsidRDefault="00EA14F9" w:rsidP="00EA14F9">
      <w:pPr>
        <w:pStyle w:val="Sansinterligne"/>
      </w:pPr>
    </w:p>
    <w:p w:rsidR="00DA2DA4" w:rsidRDefault="00DA2DA4" w:rsidP="001D29A9">
      <w:pPr>
        <w:pStyle w:val="Sansinterligne"/>
        <w:numPr>
          <w:ilvl w:val="0"/>
          <w:numId w:val="604"/>
        </w:numPr>
      </w:pPr>
      <w:r>
        <w:t xml:space="preserve">Effet sur les symptômes neurovégétatifs (ralentissement psychomoteur, appétit, insomnie, etc.) </w:t>
      </w:r>
      <w:r>
        <w:rPr>
          <w:rFonts w:cs="Times New Roman"/>
        </w:rPr>
        <w:t>~</w:t>
      </w:r>
      <w:r>
        <w:t xml:space="preserve"> 3 semaines</w:t>
      </w:r>
    </w:p>
    <w:p w:rsidR="00DA2DA4" w:rsidRDefault="00DA2DA4" w:rsidP="001D29A9">
      <w:pPr>
        <w:pStyle w:val="Sansinterligne"/>
        <w:numPr>
          <w:ilvl w:val="0"/>
          <w:numId w:val="604"/>
        </w:numPr>
      </w:pPr>
      <w:r>
        <w:t xml:space="preserve">Effets émotifs / cognitifs (humeur dépressifs, distorsion cognitive) </w:t>
      </w:r>
      <w:r>
        <w:rPr>
          <w:rFonts w:cs="Times New Roman"/>
        </w:rPr>
        <w:t>~</w:t>
      </w:r>
      <w:r>
        <w:t xml:space="preserve"> 2-6 semaines</w:t>
      </w:r>
    </w:p>
    <w:p w:rsidR="00DA2DA4" w:rsidRDefault="00DA2DA4" w:rsidP="00DA2DA4">
      <w:pPr>
        <w:pStyle w:val="Sansinterligne"/>
      </w:pPr>
    </w:p>
    <w:tbl>
      <w:tblPr>
        <w:tblStyle w:val="Grilledutableau"/>
        <w:tblW w:w="0" w:type="auto"/>
        <w:tblLook w:val="04A0" w:firstRow="1" w:lastRow="0" w:firstColumn="1" w:lastColumn="0" w:noHBand="0" w:noVBand="1"/>
      </w:tblPr>
      <w:tblGrid>
        <w:gridCol w:w="2943"/>
        <w:gridCol w:w="1744"/>
        <w:gridCol w:w="6296"/>
      </w:tblGrid>
      <w:tr w:rsidR="00DA2DA4" w:rsidTr="0087545D">
        <w:tc>
          <w:tcPr>
            <w:tcW w:w="2943" w:type="dxa"/>
            <w:shd w:val="clear" w:color="auto" w:fill="E36C0A" w:themeFill="accent6" w:themeFillShade="BF"/>
          </w:tcPr>
          <w:p w:rsidR="00DA2DA4" w:rsidRPr="007E36F7" w:rsidRDefault="00DA2DA4" w:rsidP="0087545D">
            <w:pPr>
              <w:pStyle w:val="Sansinterligne"/>
              <w:jc w:val="center"/>
              <w:rPr>
                <w:i/>
              </w:rPr>
            </w:pPr>
            <w:r w:rsidRPr="007E36F7">
              <w:rPr>
                <w:i/>
              </w:rPr>
              <w:t>Classes</w:t>
            </w:r>
          </w:p>
        </w:tc>
        <w:tc>
          <w:tcPr>
            <w:tcW w:w="1701" w:type="dxa"/>
            <w:shd w:val="clear" w:color="auto" w:fill="E36C0A" w:themeFill="accent6" w:themeFillShade="BF"/>
          </w:tcPr>
          <w:p w:rsidR="00DA2DA4" w:rsidRPr="007E36F7" w:rsidRDefault="00DA2DA4" w:rsidP="0087545D">
            <w:pPr>
              <w:pStyle w:val="Sansinterligne"/>
              <w:jc w:val="center"/>
              <w:rPr>
                <w:i/>
              </w:rPr>
            </w:pPr>
            <w:r w:rsidRPr="007E36F7">
              <w:rPr>
                <w:i/>
              </w:rPr>
              <w:t>Médicaments</w:t>
            </w:r>
          </w:p>
        </w:tc>
        <w:tc>
          <w:tcPr>
            <w:tcW w:w="6296" w:type="dxa"/>
            <w:shd w:val="clear" w:color="auto" w:fill="E36C0A" w:themeFill="accent6" w:themeFillShade="BF"/>
          </w:tcPr>
          <w:p w:rsidR="00DA2DA4" w:rsidRPr="007E36F7" w:rsidRDefault="00DA2DA4" w:rsidP="0087545D">
            <w:pPr>
              <w:pStyle w:val="Sansinterligne"/>
              <w:jc w:val="center"/>
              <w:rPr>
                <w:i/>
              </w:rPr>
            </w:pPr>
            <w:r w:rsidRPr="007E36F7">
              <w:rPr>
                <w:i/>
              </w:rPr>
              <w:t>Commentaire / Précautions</w:t>
            </w:r>
          </w:p>
        </w:tc>
      </w:tr>
      <w:tr w:rsidR="00DA2DA4" w:rsidTr="0087545D">
        <w:tc>
          <w:tcPr>
            <w:tcW w:w="2943" w:type="dxa"/>
            <w:shd w:val="clear" w:color="auto" w:fill="FBD4B4" w:themeFill="accent6" w:themeFillTint="66"/>
          </w:tcPr>
          <w:p w:rsidR="00DA2DA4" w:rsidRPr="00751F7F" w:rsidRDefault="00DA2DA4" w:rsidP="00DA2DA4">
            <w:pPr>
              <w:pStyle w:val="Sansinterligne"/>
              <w:rPr>
                <w:b/>
              </w:rPr>
            </w:pPr>
            <w:r w:rsidRPr="00751F7F">
              <w:rPr>
                <w:b/>
              </w:rPr>
              <w:t>Inhibiteurs sélectifs de la recapture de la sérotonine (ISRS)</w:t>
            </w:r>
          </w:p>
        </w:tc>
        <w:tc>
          <w:tcPr>
            <w:tcW w:w="1701" w:type="dxa"/>
          </w:tcPr>
          <w:p w:rsidR="00DA2DA4" w:rsidRDefault="00DA2DA4" w:rsidP="00DA2DA4">
            <w:pPr>
              <w:pStyle w:val="Sansinterligne"/>
            </w:pPr>
            <w:r>
              <w:t>Fluoxétine</w:t>
            </w:r>
          </w:p>
          <w:p w:rsidR="00DA2DA4" w:rsidRDefault="00DA2DA4" w:rsidP="00DA2DA4">
            <w:pPr>
              <w:pStyle w:val="Sansinterligne"/>
            </w:pPr>
            <w:r>
              <w:t>Fluvoxamine</w:t>
            </w:r>
          </w:p>
          <w:p w:rsidR="00DA2DA4" w:rsidRDefault="00DA2DA4" w:rsidP="00DA2DA4">
            <w:pPr>
              <w:pStyle w:val="Sansinterligne"/>
            </w:pPr>
            <w:r>
              <w:t>Paroxetine</w:t>
            </w:r>
          </w:p>
          <w:p w:rsidR="00DA2DA4" w:rsidRDefault="00DA2DA4" w:rsidP="00DA2DA4">
            <w:pPr>
              <w:pStyle w:val="Sansinterligne"/>
            </w:pPr>
            <w:r>
              <w:t>Sertraline</w:t>
            </w:r>
          </w:p>
          <w:p w:rsidR="00DA2DA4" w:rsidRDefault="00DA2DA4" w:rsidP="00DA2DA4">
            <w:pPr>
              <w:pStyle w:val="Sansinterligne"/>
            </w:pPr>
            <w:r>
              <w:t>Citalopram</w:t>
            </w:r>
          </w:p>
          <w:p w:rsidR="00DA2DA4" w:rsidRDefault="00DA2DA4" w:rsidP="00DA2DA4">
            <w:pPr>
              <w:pStyle w:val="Sansinterligne"/>
            </w:pPr>
            <w:r>
              <w:t>Escitalopram</w:t>
            </w:r>
          </w:p>
        </w:tc>
        <w:tc>
          <w:tcPr>
            <w:tcW w:w="6296" w:type="dxa"/>
          </w:tcPr>
          <w:p w:rsidR="00DA2DA4" w:rsidRDefault="000C36B8" w:rsidP="00DA2DA4">
            <w:pPr>
              <w:pStyle w:val="Sansinterligne"/>
            </w:pPr>
            <w:r w:rsidRPr="000C36B8">
              <w:rPr>
                <w:highlight w:val="yellow"/>
              </w:rPr>
              <w:t xml:space="preserve">Citalopram, escitalopram </w:t>
            </w:r>
            <w:r w:rsidRPr="000C36B8">
              <w:rPr>
                <w:rFonts w:ascii="Century Gothic" w:hAnsi="Century Gothic"/>
                <w:highlight w:val="yellow"/>
              </w:rPr>
              <w:t>→</w:t>
            </w:r>
            <w:r w:rsidRPr="000C36B8">
              <w:rPr>
                <w:highlight w:val="yellow"/>
              </w:rPr>
              <w:t xml:space="preserve"> moins d’effets secondaires, peu d’effets sur le sommeil</w:t>
            </w:r>
          </w:p>
          <w:p w:rsidR="000C36B8" w:rsidRDefault="000C36B8" w:rsidP="00DA2DA4">
            <w:pPr>
              <w:pStyle w:val="Sansinterligne"/>
            </w:pPr>
            <w:r>
              <w:t xml:space="preserve">Fluoxetine, paroxetine </w:t>
            </w:r>
            <w:r>
              <w:rPr>
                <w:rFonts w:ascii="Century Gothic" w:hAnsi="Century Gothic"/>
              </w:rPr>
              <w:t>→</w:t>
            </w:r>
            <w:r>
              <w:t xml:space="preserve"> les plus stimulants</w:t>
            </w:r>
          </w:p>
          <w:p w:rsidR="000C36B8" w:rsidRDefault="000C36B8" w:rsidP="00DA2DA4">
            <w:pPr>
              <w:pStyle w:val="Sansinterligne"/>
            </w:pPr>
            <w:r>
              <w:t xml:space="preserve">Fluvoxamine </w:t>
            </w:r>
            <w:r>
              <w:rPr>
                <w:rFonts w:ascii="Century Gothic" w:hAnsi="Century Gothic"/>
              </w:rPr>
              <w:t>→</w:t>
            </w:r>
            <w:r>
              <w:t xml:space="preserve"> sédatif</w:t>
            </w:r>
          </w:p>
          <w:p w:rsidR="000C36B8" w:rsidRDefault="000C36B8" w:rsidP="00DA2DA4">
            <w:pPr>
              <w:pStyle w:val="Sansinterligne"/>
            </w:pPr>
          </w:p>
          <w:p w:rsidR="002C233D" w:rsidRDefault="000C36B8" w:rsidP="008A557C">
            <w:pPr>
              <w:pStyle w:val="Sansinterligne"/>
            </w:pPr>
            <w:r w:rsidRPr="002C233D">
              <w:rPr>
                <w:u w:val="single"/>
              </w:rPr>
              <w:t>Effets 2</w:t>
            </w:r>
            <w:r w:rsidRPr="002C233D">
              <w:rPr>
                <w:u w:val="single"/>
                <w:vertAlign w:val="superscript"/>
              </w:rPr>
              <w:t>aire</w:t>
            </w:r>
            <w:r w:rsidRPr="002C233D">
              <w:rPr>
                <w:u w:val="single"/>
              </w:rPr>
              <w:t> </w:t>
            </w:r>
            <w:r>
              <w:t xml:space="preserve">: </w:t>
            </w:r>
          </w:p>
          <w:p w:rsidR="000C36B8" w:rsidRDefault="000C36B8" w:rsidP="008A557C">
            <w:pPr>
              <w:pStyle w:val="Sansinterligne"/>
            </w:pPr>
            <w:r w:rsidRPr="000C36B8">
              <w:rPr>
                <w:highlight w:val="yellow"/>
              </w:rPr>
              <w:t>No/Vo, diarrhée</w:t>
            </w:r>
            <w:r>
              <w:t xml:space="preserve">, crampes abdominales, </w:t>
            </w:r>
            <w:r w:rsidRPr="000C36B8">
              <w:rPr>
                <w:highlight w:val="yellow"/>
              </w:rPr>
              <w:t>somnolence</w:t>
            </w:r>
            <w:r>
              <w:t xml:space="preserve">, </w:t>
            </w:r>
            <w:r w:rsidRPr="000C36B8">
              <w:rPr>
                <w:highlight w:val="yellow"/>
              </w:rPr>
              <w:t>céphalée</w:t>
            </w:r>
            <w:r>
              <w:t xml:space="preserve">, insomnie, </w:t>
            </w:r>
            <w:r w:rsidRPr="000C36B8">
              <w:rPr>
                <w:highlight w:val="yellow"/>
              </w:rPr>
              <w:t>impuissance sexuelle</w:t>
            </w:r>
            <w:r w:rsidR="008A557C">
              <w:t xml:space="preserve">, </w:t>
            </w:r>
            <w:r w:rsidR="008A557C">
              <w:rPr>
                <w:rFonts w:cs="Times New Roman"/>
              </w:rPr>
              <w:t>↓</w:t>
            </w:r>
            <w:r w:rsidR="008A557C">
              <w:t xml:space="preserve"> libido</w:t>
            </w:r>
            <w:r>
              <w:t xml:space="preserve">, </w:t>
            </w:r>
            <w:r w:rsidR="002C233D">
              <w:t xml:space="preserve">tachycardie, </w:t>
            </w:r>
            <w:r w:rsidRPr="000C36B8">
              <w:rPr>
                <w:highlight w:val="yellow"/>
              </w:rPr>
              <w:t>SIADH</w:t>
            </w:r>
            <w:r>
              <w:t xml:space="preserve">, </w:t>
            </w:r>
          </w:p>
        </w:tc>
      </w:tr>
      <w:tr w:rsidR="00DA2DA4" w:rsidTr="0087545D">
        <w:tc>
          <w:tcPr>
            <w:tcW w:w="2943" w:type="dxa"/>
            <w:shd w:val="clear" w:color="auto" w:fill="FBD4B4" w:themeFill="accent6" w:themeFillTint="66"/>
          </w:tcPr>
          <w:p w:rsidR="00DA2DA4" w:rsidRPr="00751F7F" w:rsidRDefault="00DA2DA4" w:rsidP="00DA2DA4">
            <w:pPr>
              <w:pStyle w:val="Sansinterligne"/>
              <w:rPr>
                <w:b/>
              </w:rPr>
            </w:pPr>
            <w:r w:rsidRPr="00751F7F">
              <w:rPr>
                <w:b/>
              </w:rPr>
              <w:t>Inhibiteurs de la recapture de la sérotonine et de la noradrénaline (IRSN)</w:t>
            </w:r>
          </w:p>
        </w:tc>
        <w:tc>
          <w:tcPr>
            <w:tcW w:w="1701" w:type="dxa"/>
          </w:tcPr>
          <w:p w:rsidR="00DA2DA4" w:rsidRDefault="00DA2DA4" w:rsidP="00DA2DA4">
            <w:pPr>
              <w:pStyle w:val="Sansinterligne"/>
            </w:pPr>
            <w:r>
              <w:t>Venlafaxine</w:t>
            </w:r>
          </w:p>
          <w:p w:rsidR="00DA2DA4" w:rsidRDefault="00DA2DA4" w:rsidP="00DA2DA4">
            <w:pPr>
              <w:pStyle w:val="Sansinterligne"/>
            </w:pPr>
            <w:r>
              <w:t>Duloxetine</w:t>
            </w:r>
          </w:p>
        </w:tc>
        <w:tc>
          <w:tcPr>
            <w:tcW w:w="6296" w:type="dxa"/>
          </w:tcPr>
          <w:p w:rsidR="002C233D" w:rsidRPr="002C233D" w:rsidRDefault="008A557C" w:rsidP="00DA2DA4">
            <w:pPr>
              <w:pStyle w:val="Sansinterligne"/>
              <w:rPr>
                <w:u w:val="single"/>
              </w:rPr>
            </w:pPr>
            <w:r w:rsidRPr="002C233D">
              <w:rPr>
                <w:u w:val="single"/>
              </w:rPr>
              <w:t>Effets 2</w:t>
            </w:r>
            <w:r w:rsidRPr="002C233D">
              <w:rPr>
                <w:u w:val="single"/>
                <w:vertAlign w:val="superscript"/>
              </w:rPr>
              <w:t>aire</w:t>
            </w:r>
            <w:r w:rsidRPr="002C233D">
              <w:rPr>
                <w:u w:val="single"/>
              </w:rPr>
              <w:t> </w:t>
            </w:r>
            <w:r w:rsidRPr="002C233D">
              <w:t xml:space="preserve">: </w:t>
            </w:r>
          </w:p>
          <w:p w:rsidR="00DA2DA4" w:rsidRDefault="00C06C32" w:rsidP="00DA2DA4">
            <w:pPr>
              <w:pStyle w:val="Sansinterligne"/>
            </w:pPr>
            <w:r w:rsidRPr="00C06C32">
              <w:rPr>
                <w:highlight w:val="yellow"/>
              </w:rPr>
              <w:t>I</w:t>
            </w:r>
            <w:r w:rsidR="002C233D" w:rsidRPr="00C06C32">
              <w:rPr>
                <w:highlight w:val="yellow"/>
              </w:rPr>
              <w:t>nsomnie</w:t>
            </w:r>
            <w:r w:rsidR="002C233D">
              <w:t xml:space="preserve">, tremblements, tachycardie, </w:t>
            </w:r>
            <w:r w:rsidR="002C233D" w:rsidRPr="00C06C32">
              <w:rPr>
                <w:highlight w:val="yellow"/>
              </w:rPr>
              <w:t xml:space="preserve">diaphorèse, </w:t>
            </w:r>
            <w:r w:rsidR="002C233D" w:rsidRPr="00C06C32">
              <w:rPr>
                <w:rFonts w:ascii="Century Gothic" w:hAnsi="Century Gothic"/>
                <w:highlight w:val="yellow"/>
              </w:rPr>
              <w:t>↑</w:t>
            </w:r>
            <w:r w:rsidR="002C233D" w:rsidRPr="00C06C32">
              <w:rPr>
                <w:highlight w:val="yellow"/>
              </w:rPr>
              <w:t xml:space="preserve"> TA diastolique</w:t>
            </w:r>
          </w:p>
        </w:tc>
      </w:tr>
      <w:tr w:rsidR="001B67D9" w:rsidTr="0087545D">
        <w:tc>
          <w:tcPr>
            <w:tcW w:w="2943" w:type="dxa"/>
            <w:shd w:val="clear" w:color="auto" w:fill="FBD4B4" w:themeFill="accent6" w:themeFillTint="66"/>
          </w:tcPr>
          <w:p w:rsidR="001B67D9" w:rsidRDefault="001B67D9" w:rsidP="003C29DE">
            <w:pPr>
              <w:pStyle w:val="Sansinterligne"/>
            </w:pPr>
            <w:r>
              <w:t>Antagoniste noradrénergique et spécifique de la sérotonine (ANSS)</w:t>
            </w:r>
          </w:p>
        </w:tc>
        <w:tc>
          <w:tcPr>
            <w:tcW w:w="1701" w:type="dxa"/>
          </w:tcPr>
          <w:p w:rsidR="001B67D9" w:rsidRDefault="001B67D9" w:rsidP="003C29DE">
            <w:pPr>
              <w:pStyle w:val="Sansinterligne"/>
            </w:pPr>
            <w:r>
              <w:t>Mirtazapine</w:t>
            </w:r>
          </w:p>
        </w:tc>
        <w:tc>
          <w:tcPr>
            <w:tcW w:w="6296" w:type="dxa"/>
          </w:tcPr>
          <w:p w:rsidR="001B67D9" w:rsidRDefault="008F2F92" w:rsidP="00DE6DC5">
            <w:pPr>
              <w:pStyle w:val="Sansinterligne"/>
            </w:pPr>
            <w:r w:rsidRPr="00DE6DC5">
              <w:rPr>
                <w:highlight w:val="yellow"/>
              </w:rPr>
              <w:t>Effet sédatif,</w:t>
            </w:r>
            <w:r w:rsidR="00DE6DC5">
              <w:rPr>
                <w:highlight w:val="yellow"/>
              </w:rPr>
              <w:t xml:space="preserve"> utile</w:t>
            </w:r>
            <w:r w:rsidRPr="00DE6DC5">
              <w:rPr>
                <w:highlight w:val="yellow"/>
              </w:rPr>
              <w:t xml:space="preserve"> si insomnie/agitation</w:t>
            </w:r>
          </w:p>
        </w:tc>
      </w:tr>
      <w:tr w:rsidR="001B67D9" w:rsidTr="0087545D">
        <w:tc>
          <w:tcPr>
            <w:tcW w:w="2943" w:type="dxa"/>
            <w:shd w:val="clear" w:color="auto" w:fill="FBD4B4" w:themeFill="accent6" w:themeFillTint="66"/>
          </w:tcPr>
          <w:p w:rsidR="001B67D9" w:rsidRDefault="001B67D9" w:rsidP="00DA2DA4">
            <w:pPr>
              <w:pStyle w:val="Sansinterligne"/>
            </w:pPr>
            <w:r>
              <w:t>Inhibiteurs de la recapture de la noradrénaline et de la dopamine (IRND</w:t>
            </w:r>
          </w:p>
        </w:tc>
        <w:tc>
          <w:tcPr>
            <w:tcW w:w="1701" w:type="dxa"/>
          </w:tcPr>
          <w:p w:rsidR="001B67D9" w:rsidRDefault="001B67D9" w:rsidP="00DA2DA4">
            <w:pPr>
              <w:pStyle w:val="Sansinterligne"/>
            </w:pPr>
            <w:r>
              <w:t>Bupropion</w:t>
            </w:r>
          </w:p>
        </w:tc>
        <w:tc>
          <w:tcPr>
            <w:tcW w:w="6296" w:type="dxa"/>
          </w:tcPr>
          <w:p w:rsidR="001B67D9" w:rsidRDefault="005C279F" w:rsidP="00DA2DA4">
            <w:pPr>
              <w:pStyle w:val="Sansinterligne"/>
            </w:pPr>
            <w:r>
              <w:t>Moins de dysfonction sexuelle</w:t>
            </w:r>
            <w:r w:rsidR="00866949">
              <w:t>, de sédation</w:t>
            </w:r>
            <w:r>
              <w:t xml:space="preserve"> et de prise de poids</w:t>
            </w:r>
          </w:p>
          <w:p w:rsidR="005C279F" w:rsidRDefault="00866949" w:rsidP="00DA2DA4">
            <w:pPr>
              <w:pStyle w:val="Sansinterligne"/>
            </w:pPr>
            <w:r>
              <w:t>Contre-indiqué si ATC d’épilpesie, AVC, tumeur/lésion cérébrale</w:t>
            </w:r>
          </w:p>
          <w:p w:rsidR="005C279F" w:rsidRDefault="00866949" w:rsidP="00DA2DA4">
            <w:pPr>
              <w:pStyle w:val="Sansinterligne"/>
            </w:pPr>
            <w:r>
              <w:t>Pas indiqué en trouble anxieux</w:t>
            </w:r>
          </w:p>
        </w:tc>
      </w:tr>
      <w:tr w:rsidR="001B67D9" w:rsidTr="0087545D">
        <w:tc>
          <w:tcPr>
            <w:tcW w:w="2943" w:type="dxa"/>
            <w:shd w:val="clear" w:color="auto" w:fill="FBD4B4" w:themeFill="accent6" w:themeFillTint="66"/>
          </w:tcPr>
          <w:p w:rsidR="001B67D9" w:rsidRPr="00751F7F" w:rsidRDefault="001B67D9" w:rsidP="00DA2DA4">
            <w:pPr>
              <w:pStyle w:val="Sansinterligne"/>
              <w:rPr>
                <w:b/>
              </w:rPr>
            </w:pPr>
            <w:r w:rsidRPr="00751F7F">
              <w:rPr>
                <w:b/>
              </w:rPr>
              <w:t>Antidépresseurs trycycliques (TCA)</w:t>
            </w:r>
          </w:p>
        </w:tc>
        <w:tc>
          <w:tcPr>
            <w:tcW w:w="1701" w:type="dxa"/>
          </w:tcPr>
          <w:p w:rsidR="001B67D9" w:rsidRDefault="001B67D9" w:rsidP="00DA2DA4">
            <w:pPr>
              <w:pStyle w:val="Sansinterligne"/>
            </w:pPr>
            <w:r>
              <w:t>Amitriptyline</w:t>
            </w:r>
          </w:p>
          <w:p w:rsidR="001B67D9" w:rsidRDefault="001B67D9" w:rsidP="00DA2DA4">
            <w:pPr>
              <w:pStyle w:val="Sansinterligne"/>
            </w:pPr>
            <w:r>
              <w:t>Nortriptyline</w:t>
            </w:r>
          </w:p>
          <w:p w:rsidR="001B67D9" w:rsidRDefault="001B67D9" w:rsidP="00DA2DA4">
            <w:pPr>
              <w:pStyle w:val="Sansinterligne"/>
            </w:pPr>
            <w:r>
              <w:t>Imipramine</w:t>
            </w:r>
          </w:p>
          <w:p w:rsidR="001B67D9" w:rsidRDefault="001B67D9" w:rsidP="00DA2DA4">
            <w:pPr>
              <w:pStyle w:val="Sansinterligne"/>
            </w:pPr>
            <w:r>
              <w:t>Desipramine</w:t>
            </w:r>
          </w:p>
        </w:tc>
        <w:tc>
          <w:tcPr>
            <w:tcW w:w="6296" w:type="dxa"/>
          </w:tcPr>
          <w:p w:rsidR="00866949" w:rsidRPr="002C233D" w:rsidRDefault="00866949" w:rsidP="00866949">
            <w:pPr>
              <w:pStyle w:val="Sansinterligne"/>
              <w:rPr>
                <w:u w:val="single"/>
              </w:rPr>
            </w:pPr>
            <w:r w:rsidRPr="002C233D">
              <w:rPr>
                <w:u w:val="single"/>
              </w:rPr>
              <w:t>Effets 2</w:t>
            </w:r>
            <w:r w:rsidRPr="002C233D">
              <w:rPr>
                <w:u w:val="single"/>
                <w:vertAlign w:val="superscript"/>
              </w:rPr>
              <w:t>aire</w:t>
            </w:r>
            <w:r w:rsidRPr="002C233D">
              <w:rPr>
                <w:u w:val="single"/>
              </w:rPr>
              <w:t> </w:t>
            </w:r>
            <w:r w:rsidRPr="002C233D">
              <w:t xml:space="preserve">: </w:t>
            </w:r>
          </w:p>
          <w:p w:rsidR="00866949" w:rsidRDefault="00866949" w:rsidP="00866949">
            <w:pPr>
              <w:pStyle w:val="Sansinterligne"/>
            </w:pPr>
            <w:r w:rsidRPr="00DE6DC5">
              <w:rPr>
                <w:highlight w:val="yellow"/>
              </w:rPr>
              <w:t xml:space="preserve">OVERDOSE </w:t>
            </w:r>
            <w:r w:rsidRPr="00DE6DC5">
              <w:rPr>
                <w:rFonts w:ascii="Century Gothic" w:hAnsi="Century Gothic"/>
                <w:highlight w:val="yellow"/>
              </w:rPr>
              <w:t>→</w:t>
            </w:r>
            <w:r w:rsidRPr="00DE6DC5">
              <w:rPr>
                <w:highlight w:val="yellow"/>
              </w:rPr>
              <w:t xml:space="preserve"> dose létale = dose thérapeutique x 3</w:t>
            </w:r>
          </w:p>
          <w:p w:rsidR="00866949" w:rsidRDefault="00866949" w:rsidP="00866949">
            <w:pPr>
              <w:pStyle w:val="Sansinterligne"/>
            </w:pPr>
            <w:r>
              <w:t>Sédation, prise de poids, troubles érectiles, tremblements, tachycardie, diaphorèse, hypoTA orthostatique</w:t>
            </w:r>
          </w:p>
        </w:tc>
      </w:tr>
      <w:tr w:rsidR="001B67D9" w:rsidTr="0087545D">
        <w:tc>
          <w:tcPr>
            <w:tcW w:w="2943" w:type="dxa"/>
            <w:shd w:val="clear" w:color="auto" w:fill="FBD4B4" w:themeFill="accent6" w:themeFillTint="66"/>
          </w:tcPr>
          <w:p w:rsidR="001B67D9" w:rsidRDefault="001B67D9" w:rsidP="00DA2DA4">
            <w:pPr>
              <w:pStyle w:val="Sansinterligne"/>
            </w:pPr>
            <w:r>
              <w:t>Inhibiteurs de la monoamine oxydase (IMAO)</w:t>
            </w:r>
          </w:p>
        </w:tc>
        <w:tc>
          <w:tcPr>
            <w:tcW w:w="1701" w:type="dxa"/>
          </w:tcPr>
          <w:p w:rsidR="001B67D9" w:rsidRDefault="001B67D9" w:rsidP="00DA2DA4">
            <w:pPr>
              <w:pStyle w:val="Sansinterligne"/>
            </w:pPr>
            <w:r>
              <w:t>Phenelzine</w:t>
            </w:r>
          </w:p>
          <w:p w:rsidR="001B67D9" w:rsidRDefault="001B67D9" w:rsidP="00DA2DA4">
            <w:pPr>
              <w:pStyle w:val="Sansinterligne"/>
            </w:pPr>
            <w:r>
              <w:t>Tranylcypromine</w:t>
            </w:r>
          </w:p>
        </w:tc>
        <w:tc>
          <w:tcPr>
            <w:tcW w:w="6296" w:type="dxa"/>
          </w:tcPr>
          <w:p w:rsidR="001B67D9" w:rsidRPr="00DE6DC5" w:rsidRDefault="00866949" w:rsidP="00DA2DA4">
            <w:pPr>
              <w:pStyle w:val="Sansinterligne"/>
              <w:rPr>
                <w:highlight w:val="yellow"/>
              </w:rPr>
            </w:pPr>
            <w:r w:rsidRPr="00DE6DC5">
              <w:rPr>
                <w:highlight w:val="yellow"/>
              </w:rPr>
              <w:t>Dernière ligne de traitement</w:t>
            </w:r>
          </w:p>
          <w:p w:rsidR="00866949" w:rsidRDefault="00866949" w:rsidP="00DA2DA4">
            <w:pPr>
              <w:pStyle w:val="Sansinterligne"/>
            </w:pPr>
            <w:r w:rsidRPr="00DE6DC5">
              <w:rPr>
                <w:highlight w:val="yellow"/>
              </w:rPr>
              <w:t xml:space="preserve">Diète restrictive sévère en thyramine </w:t>
            </w:r>
            <w:r>
              <w:t>(vin, fromages) car peut cause</w:t>
            </w:r>
            <w:r w:rsidR="00A5699D">
              <w:t>r</w:t>
            </w:r>
            <w:r>
              <w:t xml:space="preserve"> </w:t>
            </w:r>
            <w:r w:rsidR="00A5699D">
              <w:t xml:space="preserve">une </w:t>
            </w:r>
            <w:r>
              <w:t>crise hypertensive</w:t>
            </w:r>
          </w:p>
          <w:p w:rsidR="00866949" w:rsidRDefault="00866949" w:rsidP="00DA2DA4">
            <w:pPr>
              <w:pStyle w:val="Sansinterligne"/>
            </w:pPr>
            <w:r w:rsidRPr="00866949">
              <w:rPr>
                <w:u w:val="single"/>
              </w:rPr>
              <w:t xml:space="preserve">Effets </w:t>
            </w:r>
            <w:r w:rsidRPr="002C233D">
              <w:rPr>
                <w:u w:val="single"/>
              </w:rPr>
              <w:t>2</w:t>
            </w:r>
            <w:r w:rsidRPr="002C233D">
              <w:rPr>
                <w:u w:val="single"/>
                <w:vertAlign w:val="superscript"/>
              </w:rPr>
              <w:t>aire</w:t>
            </w:r>
            <w:r w:rsidRPr="00866949">
              <w:t> :</w:t>
            </w:r>
          </w:p>
          <w:p w:rsidR="00866949" w:rsidRDefault="00866949" w:rsidP="00DA2DA4">
            <w:pPr>
              <w:pStyle w:val="Sansinterligne"/>
            </w:pPr>
            <w:r>
              <w:t xml:space="preserve">Céphalées, étourdissement, photophobie, </w:t>
            </w:r>
          </w:p>
          <w:p w:rsidR="00866949" w:rsidRDefault="00866949" w:rsidP="00DA2DA4">
            <w:pPr>
              <w:pStyle w:val="Sansinterligne"/>
            </w:pPr>
            <w:r>
              <w:t xml:space="preserve">Tachycardie, palpitations, hyopTA orthostatique, prise de poids, dysfonction sociale, </w:t>
            </w:r>
          </w:p>
        </w:tc>
      </w:tr>
    </w:tbl>
    <w:p w:rsidR="00353213" w:rsidRDefault="00353213" w:rsidP="00DA2DA4">
      <w:pPr>
        <w:pStyle w:val="Sansinterligne"/>
      </w:pPr>
    </w:p>
    <w:p w:rsidR="00353213" w:rsidRPr="00C333D2" w:rsidRDefault="00353213" w:rsidP="00DA2DA4">
      <w:pPr>
        <w:pStyle w:val="Sansinterligne"/>
        <w:rPr>
          <w:b/>
          <w:sz w:val="32"/>
          <w:szCs w:val="32"/>
        </w:rPr>
      </w:pPr>
      <w:r w:rsidRPr="00C333D2">
        <w:rPr>
          <w:b/>
          <w:sz w:val="32"/>
          <w:szCs w:val="32"/>
        </w:rPr>
        <w:t>Attention !</w:t>
      </w:r>
    </w:p>
    <w:p w:rsidR="001041CA" w:rsidRDefault="00CA298D" w:rsidP="00DA2DA4">
      <w:pPr>
        <w:pStyle w:val="Sansinterligne"/>
      </w:pPr>
      <w:r w:rsidRPr="00376E73">
        <w:rPr>
          <w:b/>
          <w:noProof/>
          <w:lang w:eastAsia="fr-CA"/>
        </w:rPr>
        <w:drawing>
          <wp:anchor distT="0" distB="0" distL="114300" distR="114300" simplePos="0" relativeHeight="251823104" behindDoc="0" locked="0" layoutInCell="1" allowOverlap="1" wp14:anchorId="37AC9988" wp14:editId="738ACC92">
            <wp:simplePos x="0" y="0"/>
            <wp:positionH relativeFrom="column">
              <wp:posOffset>5507487</wp:posOffset>
            </wp:positionH>
            <wp:positionV relativeFrom="paragraph">
              <wp:posOffset>-6039</wp:posOffset>
            </wp:positionV>
            <wp:extent cx="1572260" cy="1692275"/>
            <wp:effectExtent l="0" t="0" r="8890" b="3175"/>
            <wp:wrapNone/>
            <wp:docPr id="340" name="Image 340" descr="Résultats de recherche d'images pour « drapeau rou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Résultats de recherche d'images pour « drapeau rouge »"/>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1572260" cy="16922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A298D" w:rsidRPr="00CA298D" w:rsidRDefault="00CA298D" w:rsidP="00CA298D">
      <w:pPr>
        <w:pStyle w:val="Sansinterligne"/>
        <w:rPr>
          <w:b/>
          <w:u w:val="single"/>
        </w:rPr>
      </w:pPr>
      <w:r w:rsidRPr="00CA298D">
        <w:rPr>
          <w:b/>
          <w:u w:val="single"/>
        </w:rPr>
        <w:t xml:space="preserve">Syndrome </w:t>
      </w:r>
      <w:r w:rsidR="0088544A">
        <w:rPr>
          <w:b/>
          <w:u w:val="single"/>
        </w:rPr>
        <w:t>d’</w:t>
      </w:r>
      <w:r w:rsidRPr="00CA298D">
        <w:rPr>
          <w:b/>
          <w:u w:val="single"/>
        </w:rPr>
        <w:t>arrêt</w:t>
      </w:r>
      <w:r w:rsidR="0088544A">
        <w:rPr>
          <w:b/>
          <w:u w:val="single"/>
        </w:rPr>
        <w:t xml:space="preserve"> des antidépresseurs</w:t>
      </w:r>
    </w:p>
    <w:p w:rsidR="00CA298D" w:rsidRDefault="00CA298D" w:rsidP="001D29A9">
      <w:pPr>
        <w:pStyle w:val="Sansinterligne"/>
        <w:numPr>
          <w:ilvl w:val="0"/>
          <w:numId w:val="606"/>
        </w:numPr>
      </w:pPr>
      <w:r>
        <w:t>Survient avec un arr</w:t>
      </w:r>
      <w:r w:rsidR="0088544A">
        <w:t xml:space="preserve">êt subit </w:t>
      </w:r>
      <w:r>
        <w:t>(surtout paroxetine, fluvoxamine, venlafaxine)</w:t>
      </w:r>
    </w:p>
    <w:p w:rsidR="00CA298D" w:rsidRDefault="00CA298D" w:rsidP="001D29A9">
      <w:pPr>
        <w:pStyle w:val="Sansinterligne"/>
        <w:numPr>
          <w:ilvl w:val="0"/>
          <w:numId w:val="606"/>
        </w:numPr>
      </w:pPr>
      <w:r>
        <w:rPr>
          <w:rFonts w:cs="Times New Roman"/>
        </w:rPr>
        <w:t>~</w:t>
      </w:r>
      <w:r>
        <w:t xml:space="preserve"> 1-3 jours post-arrêt</w:t>
      </w:r>
    </w:p>
    <w:p w:rsidR="00CA298D" w:rsidRDefault="00CA298D" w:rsidP="001D29A9">
      <w:pPr>
        <w:pStyle w:val="Sansinterligne"/>
        <w:numPr>
          <w:ilvl w:val="0"/>
          <w:numId w:val="606"/>
        </w:numPr>
      </w:pPr>
      <w:r>
        <w:t>Myalgies, étourdissements, frissons/tremblements, nausées, céphalées, insomnie, hypervigilance,</w:t>
      </w:r>
    </w:p>
    <w:p w:rsidR="00CA298D" w:rsidRDefault="00CA298D" w:rsidP="001D29A9">
      <w:pPr>
        <w:pStyle w:val="Sansinterligne"/>
        <w:numPr>
          <w:ilvl w:val="0"/>
          <w:numId w:val="606"/>
        </w:numPr>
      </w:pPr>
      <w:r>
        <w:t>Reprendre l’antidépresseur et débuter une réduction graduelle sur quelques semaines.</w:t>
      </w:r>
    </w:p>
    <w:p w:rsidR="00CA298D" w:rsidRDefault="00CA298D" w:rsidP="00CA298D">
      <w:pPr>
        <w:pStyle w:val="Sansinterligne"/>
        <w:ind w:left="360"/>
      </w:pPr>
    </w:p>
    <w:p w:rsidR="00353213" w:rsidRPr="00CA298D" w:rsidRDefault="00353213" w:rsidP="00CA298D">
      <w:pPr>
        <w:pStyle w:val="Sansinterligne"/>
        <w:rPr>
          <w:b/>
          <w:highlight w:val="yellow"/>
          <w:u w:val="single"/>
        </w:rPr>
      </w:pPr>
      <w:r w:rsidRPr="00CA298D">
        <w:rPr>
          <w:b/>
          <w:highlight w:val="yellow"/>
          <w:u w:val="single"/>
        </w:rPr>
        <w:t>Syndrome sérotoninergique</w:t>
      </w:r>
    </w:p>
    <w:p w:rsidR="00A65575" w:rsidRPr="00CA298D" w:rsidRDefault="00A65575" w:rsidP="001D29A9">
      <w:pPr>
        <w:pStyle w:val="Sansinterligne"/>
        <w:numPr>
          <w:ilvl w:val="0"/>
          <w:numId w:val="605"/>
        </w:numPr>
        <w:rPr>
          <w:highlight w:val="yellow"/>
        </w:rPr>
      </w:pPr>
      <w:r w:rsidRPr="00CA298D">
        <w:rPr>
          <w:highlight w:val="yellow"/>
        </w:rPr>
        <w:t>Survient rarement, généralement avec combinaison d’antidépresseurs</w:t>
      </w:r>
      <w:r w:rsidR="000457D3">
        <w:rPr>
          <w:highlight w:val="yellow"/>
        </w:rPr>
        <w:t>, peut être fatal</w:t>
      </w:r>
    </w:p>
    <w:p w:rsidR="001041CA" w:rsidRPr="00A65575" w:rsidRDefault="00A65575" w:rsidP="001D29A9">
      <w:pPr>
        <w:pStyle w:val="Sansinterligne"/>
        <w:numPr>
          <w:ilvl w:val="0"/>
          <w:numId w:val="605"/>
        </w:numPr>
        <w:rPr>
          <w:highlight w:val="yellow"/>
        </w:rPr>
      </w:pPr>
      <w:r w:rsidRPr="00A65575">
        <w:rPr>
          <w:highlight w:val="yellow"/>
        </w:rPr>
        <w:t xml:space="preserve">Symptômes : </w:t>
      </w:r>
      <w:r w:rsidR="001041CA" w:rsidRPr="00A65575">
        <w:rPr>
          <w:highlight w:val="yellow"/>
        </w:rPr>
        <w:t>Nausées, diarrhées, palpitations, frissons, agitation, confusion, léthargie</w:t>
      </w:r>
    </w:p>
    <w:p w:rsidR="001041CA" w:rsidRDefault="001041CA" w:rsidP="001D29A9">
      <w:pPr>
        <w:pStyle w:val="Sansinterligne"/>
        <w:numPr>
          <w:ilvl w:val="0"/>
          <w:numId w:val="605"/>
        </w:numPr>
        <w:rPr>
          <w:highlight w:val="yellow"/>
        </w:rPr>
      </w:pPr>
      <w:r w:rsidRPr="00A65575">
        <w:rPr>
          <w:highlight w:val="yellow"/>
        </w:rPr>
        <w:t>Peut évoluer vers hyperthermie, myoclonies</w:t>
      </w:r>
      <w:r w:rsidR="009F40A3">
        <w:rPr>
          <w:highlight w:val="yellow"/>
        </w:rPr>
        <w:t>,</w:t>
      </w:r>
      <w:r w:rsidRPr="00A65575">
        <w:rPr>
          <w:highlight w:val="yellow"/>
        </w:rPr>
        <w:t xml:space="preserve"> rigidité et hypertonicité </w:t>
      </w:r>
    </w:p>
    <w:p w:rsidR="000457D3" w:rsidRPr="00A65575" w:rsidRDefault="000457D3" w:rsidP="001D29A9">
      <w:pPr>
        <w:pStyle w:val="Sansinterligne"/>
        <w:numPr>
          <w:ilvl w:val="0"/>
          <w:numId w:val="605"/>
        </w:numPr>
        <w:rPr>
          <w:highlight w:val="yellow"/>
        </w:rPr>
      </w:pPr>
      <w:r>
        <w:rPr>
          <w:highlight w:val="yellow"/>
        </w:rPr>
        <w:t xml:space="preserve">Traitement : support, hydratation,  sédation avez benzodiazépines, si sévère </w:t>
      </w:r>
      <w:r>
        <w:rPr>
          <w:rFonts w:ascii="Century Gothic" w:hAnsi="Century Gothic"/>
          <w:highlight w:val="yellow"/>
        </w:rPr>
        <w:t>→</w:t>
      </w:r>
      <w:r>
        <w:rPr>
          <w:highlight w:val="yellow"/>
        </w:rPr>
        <w:t xml:space="preserve"> cryptoheptadine (antagoniste)</w:t>
      </w:r>
    </w:p>
    <w:p w:rsidR="00CA298D" w:rsidRPr="0073701C" w:rsidRDefault="0073701C" w:rsidP="00DA2DA4">
      <w:pPr>
        <w:pStyle w:val="Sansinterligne"/>
        <w:rPr>
          <w:b/>
          <w:color w:val="548DD4" w:themeColor="text2" w:themeTint="99"/>
        </w:rPr>
      </w:pPr>
      <w:r w:rsidRPr="0073701C">
        <w:rPr>
          <w:b/>
          <w:color w:val="548DD4" w:themeColor="text2" w:themeTint="99"/>
        </w:rPr>
        <w:t>CMC 59-2</w:t>
      </w:r>
    </w:p>
    <w:p w:rsidR="0073701C" w:rsidRDefault="0073701C" w:rsidP="0073701C">
      <w:pPr>
        <w:pStyle w:val="Titre3"/>
        <w:spacing w:before="0"/>
      </w:pPr>
      <w:bookmarkStart w:id="206" w:name="_Toc480797299"/>
      <w:r>
        <w:t>Manie / Hypomanie</w:t>
      </w:r>
      <w:bookmarkEnd w:id="206"/>
    </w:p>
    <w:tbl>
      <w:tblPr>
        <w:tblW w:w="3858" w:type="pct"/>
        <w:tblCellSpacing w:w="0" w:type="dxa"/>
        <w:tblCellMar>
          <w:left w:w="0" w:type="dxa"/>
          <w:right w:w="0" w:type="dxa"/>
        </w:tblCellMar>
        <w:tblLook w:val="04A0" w:firstRow="1" w:lastRow="0" w:firstColumn="1" w:lastColumn="0" w:noHBand="0" w:noVBand="1"/>
      </w:tblPr>
      <w:tblGrid>
        <w:gridCol w:w="8333"/>
      </w:tblGrid>
      <w:tr w:rsidR="0073701C" w:rsidRPr="0073701C" w:rsidTr="0073701C">
        <w:trPr>
          <w:tblCellSpacing w:w="0" w:type="dxa"/>
        </w:trPr>
        <w:tc>
          <w:tcPr>
            <w:tcW w:w="0" w:type="auto"/>
            <w:vAlign w:val="bottom"/>
            <w:hideMark/>
          </w:tcPr>
          <w:p w:rsidR="0073701C" w:rsidRPr="00C23278" w:rsidRDefault="00A754E1" w:rsidP="00C23278">
            <w:pPr>
              <w:pStyle w:val="Sansinterligne"/>
              <w:spacing w:before="240"/>
              <w:rPr>
                <w:b/>
                <w:sz w:val="18"/>
                <w:szCs w:val="18"/>
              </w:rPr>
            </w:pPr>
            <w:r w:rsidRPr="00C23278">
              <w:rPr>
                <w:b/>
                <w:noProof/>
                <w:sz w:val="18"/>
                <w:szCs w:val="18"/>
                <w:lang w:eastAsia="fr-CA"/>
              </w:rPr>
              <mc:AlternateContent>
                <mc:Choice Requires="wps">
                  <w:drawing>
                    <wp:anchor distT="0" distB="0" distL="114300" distR="114300" simplePos="0" relativeHeight="251828224" behindDoc="0" locked="0" layoutInCell="1" allowOverlap="1" wp14:anchorId="2ED6F8E6" wp14:editId="08174CC6">
                      <wp:simplePos x="0" y="0"/>
                      <wp:positionH relativeFrom="column">
                        <wp:posOffset>-38911</wp:posOffset>
                      </wp:positionH>
                      <wp:positionV relativeFrom="paragraph">
                        <wp:posOffset>125000</wp:posOffset>
                      </wp:positionV>
                      <wp:extent cx="6926094" cy="2869660"/>
                      <wp:effectExtent l="0" t="0" r="27305" b="26035"/>
                      <wp:wrapNone/>
                      <wp:docPr id="346" name="Rectangle 346"/>
                      <wp:cNvGraphicFramePr/>
                      <a:graphic xmlns:a="http://schemas.openxmlformats.org/drawingml/2006/main">
                        <a:graphicData uri="http://schemas.microsoft.com/office/word/2010/wordprocessingShape">
                          <wps:wsp>
                            <wps:cNvSpPr/>
                            <wps:spPr>
                              <a:xfrm>
                                <a:off x="0" y="0"/>
                                <a:ext cx="6926094" cy="2869660"/>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346" o:spid="_x0000_s1026" style="position:absolute;margin-left:-3.05pt;margin-top:9.85pt;width:545.35pt;height:225.95pt;z-index:2518282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" filled="f" strokecolor="black [1600]" strokeweight="2pt"/>
                  </w:pict>
                </mc:Fallback>
              </mc:AlternateContent>
            </w:r>
            <w:r w:rsidR="0073701C" w:rsidRPr="00C23278">
              <w:rPr>
                <w:b/>
                <w:sz w:val="18"/>
                <w:szCs w:val="18"/>
              </w:rPr>
              <w:t>Objectifs principaux</w:t>
            </w:r>
          </w:p>
        </w:tc>
      </w:tr>
    </w:tbl>
    <w:p w:rsidR="0073701C" w:rsidRPr="0073701C" w:rsidRDefault="0073701C" w:rsidP="0073701C">
      <w:pPr>
        <w:pStyle w:val="NormalWeb"/>
        <w:ind w:left="360"/>
        <w:rPr>
          <w:color w:val="000000"/>
          <w:sz w:val="18"/>
          <w:szCs w:val="18"/>
          <w:shd w:val="clear" w:color="auto" w:fill="FFFFFF"/>
        </w:rPr>
      </w:pPr>
      <w:r w:rsidRPr="0073701C">
        <w:rPr>
          <w:color w:val="000000"/>
          <w:sz w:val="18"/>
          <w:szCs w:val="18"/>
          <w:shd w:val="clear" w:color="auto" w:fill="FFFFFF"/>
        </w:rPr>
        <w:t>Dans le cas d'un patient présentant une manie ou une hypomanie, le candidat devra en diagnostiquer la cause, la gravité et les complications, et mettre en place un plan de prise en charge approprié. Le candidat devra également porter une attention particulière à l'évaluation des risques et à la nécessité de soins urgents.</w:t>
      </w:r>
    </w:p>
    <w:tbl>
      <w:tblPr>
        <w:tblW w:w="3897" w:type="pct"/>
        <w:tblCellSpacing w:w="0" w:type="dxa"/>
        <w:tblCellMar>
          <w:left w:w="0" w:type="dxa"/>
          <w:right w:w="0" w:type="dxa"/>
        </w:tblCellMar>
        <w:tblLook w:val="04A0" w:firstRow="1" w:lastRow="0" w:firstColumn="1" w:lastColumn="0" w:noHBand="0" w:noVBand="1"/>
      </w:tblPr>
      <w:tblGrid>
        <w:gridCol w:w="8418"/>
      </w:tblGrid>
      <w:tr w:rsidR="0073701C" w:rsidRPr="0073701C" w:rsidTr="0073701C">
        <w:trPr>
          <w:tblCellSpacing w:w="0" w:type="dxa"/>
        </w:trPr>
        <w:tc>
          <w:tcPr>
            <w:tcW w:w="0" w:type="auto"/>
            <w:vAlign w:val="bottom"/>
            <w:hideMark/>
          </w:tcPr>
          <w:p w:rsidR="0073701C" w:rsidRPr="00C23278" w:rsidRDefault="0073701C" w:rsidP="00C23278">
            <w:pPr>
              <w:pStyle w:val="Sansinterligne"/>
              <w:rPr>
                <w:b/>
                <w:sz w:val="16"/>
                <w:szCs w:val="16"/>
              </w:rPr>
            </w:pPr>
            <w:r w:rsidRPr="00C23278">
              <w:rPr>
                <w:b/>
                <w:sz w:val="16"/>
                <w:szCs w:val="16"/>
              </w:rPr>
              <w:t>Objectifs spécifiques</w:t>
            </w:r>
          </w:p>
        </w:tc>
      </w:tr>
    </w:tbl>
    <w:p w:rsidR="0073701C" w:rsidRPr="0073701C" w:rsidRDefault="0073701C" w:rsidP="0073701C">
      <w:pPr>
        <w:pStyle w:val="NormalWeb"/>
        <w:shd w:val="clear" w:color="auto" w:fill="FFFFFF"/>
        <w:ind w:left="360"/>
        <w:rPr>
          <w:color w:val="000000"/>
          <w:sz w:val="16"/>
          <w:szCs w:val="16"/>
          <w:shd w:val="clear" w:color="auto" w:fill="FFFFFF"/>
        </w:rPr>
      </w:pPr>
      <w:r w:rsidRPr="0073701C">
        <w:rPr>
          <w:color w:val="000000"/>
          <w:sz w:val="16"/>
          <w:szCs w:val="16"/>
          <w:shd w:val="clear" w:color="auto" w:fill="FFFFFF"/>
        </w:rPr>
        <w:t>Dans le cas d'un patient présentant une manie ou une hypomanie, le candidat devra</w:t>
      </w:r>
    </w:p>
    <w:p w:rsidR="0073701C" w:rsidRPr="0073701C" w:rsidRDefault="0073701C" w:rsidP="001D29A9">
      <w:pPr>
        <w:numPr>
          <w:ilvl w:val="0"/>
          <w:numId w:val="620"/>
        </w:numPr>
        <w:shd w:val="clear" w:color="auto" w:fill="FFFFFF"/>
        <w:spacing w:before="100" w:beforeAutospacing="1" w:after="100" w:afterAutospacing="1" w:line="240" w:lineRule="auto"/>
        <w:rPr>
          <w:rFonts w:cs="Times New Roman"/>
          <w:color w:val="000000"/>
          <w:sz w:val="16"/>
          <w:szCs w:val="16"/>
          <w:shd w:val="clear" w:color="auto" w:fill="FFFFFF"/>
        </w:rPr>
      </w:pPr>
      <w:r w:rsidRPr="0073701C">
        <w:rPr>
          <w:rFonts w:cs="Times New Roman"/>
          <w:color w:val="000000"/>
          <w:sz w:val="16"/>
          <w:szCs w:val="16"/>
          <w:shd w:val="clear" w:color="auto" w:fill="FFFFFF"/>
        </w:rPr>
        <w:t>énumérer et interpréter les constatations cliniques cruciales, notamment :</w:t>
      </w:r>
    </w:p>
    <w:p w:rsidR="0073701C" w:rsidRPr="0073701C" w:rsidRDefault="0073701C" w:rsidP="001D29A9">
      <w:pPr>
        <w:numPr>
          <w:ilvl w:val="1"/>
          <w:numId w:val="620"/>
        </w:numPr>
        <w:shd w:val="clear" w:color="auto" w:fill="FFFFFF"/>
        <w:spacing w:before="100" w:beforeAutospacing="1" w:after="100" w:afterAutospacing="1" w:line="240" w:lineRule="auto"/>
        <w:rPr>
          <w:rFonts w:cs="Times New Roman"/>
          <w:color w:val="000000"/>
          <w:sz w:val="16"/>
          <w:szCs w:val="16"/>
          <w:shd w:val="clear" w:color="auto" w:fill="FFFFFF"/>
        </w:rPr>
      </w:pPr>
      <w:r w:rsidRPr="0073701C">
        <w:rPr>
          <w:rFonts w:cs="Times New Roman"/>
          <w:color w:val="000000"/>
          <w:sz w:val="16"/>
          <w:szCs w:val="16"/>
          <w:shd w:val="clear" w:color="auto" w:fill="FFFFFF"/>
        </w:rPr>
        <w:t>les résultats de l'anamnèse, de l'examen physique et de l'évaluation de l'état mental du patient;</w:t>
      </w:r>
    </w:p>
    <w:p w:rsidR="0073701C" w:rsidRPr="0073701C" w:rsidRDefault="0073701C" w:rsidP="001D29A9">
      <w:pPr>
        <w:numPr>
          <w:ilvl w:val="1"/>
          <w:numId w:val="620"/>
        </w:numPr>
        <w:shd w:val="clear" w:color="auto" w:fill="FFFFFF"/>
        <w:spacing w:before="100" w:beforeAutospacing="1" w:after="100" w:afterAutospacing="1" w:line="240" w:lineRule="auto"/>
        <w:rPr>
          <w:rFonts w:cs="Times New Roman"/>
          <w:color w:val="000000"/>
          <w:sz w:val="16"/>
          <w:szCs w:val="16"/>
          <w:shd w:val="clear" w:color="auto" w:fill="FFFFFF"/>
        </w:rPr>
      </w:pPr>
      <w:r w:rsidRPr="0073701C">
        <w:rPr>
          <w:rFonts w:cs="Times New Roman"/>
          <w:color w:val="000000"/>
          <w:sz w:val="16"/>
          <w:szCs w:val="16"/>
          <w:shd w:val="clear" w:color="auto" w:fill="FFFFFF"/>
        </w:rPr>
        <w:t>les antécédents fournis par les proches;</w:t>
      </w:r>
    </w:p>
    <w:p w:rsidR="0073701C" w:rsidRPr="0073701C" w:rsidRDefault="0073701C" w:rsidP="001D29A9">
      <w:pPr>
        <w:numPr>
          <w:ilvl w:val="1"/>
          <w:numId w:val="620"/>
        </w:numPr>
        <w:shd w:val="clear" w:color="auto" w:fill="FFFFFF"/>
        <w:spacing w:before="100" w:beforeAutospacing="1" w:after="100" w:afterAutospacing="1" w:line="240" w:lineRule="auto"/>
        <w:rPr>
          <w:rFonts w:cs="Times New Roman"/>
          <w:color w:val="000000"/>
          <w:sz w:val="16"/>
          <w:szCs w:val="16"/>
          <w:shd w:val="clear" w:color="auto" w:fill="FFFFFF"/>
        </w:rPr>
      </w:pPr>
      <w:r w:rsidRPr="0073701C">
        <w:rPr>
          <w:rFonts w:cs="Times New Roman"/>
          <w:color w:val="000000"/>
          <w:sz w:val="16"/>
          <w:szCs w:val="16"/>
          <w:shd w:val="clear" w:color="auto" w:fill="FFFFFF"/>
        </w:rPr>
        <w:t>le diagnostic différentiel fondé sur une distinction entre les divers syndromes cliniques associés aux manies/hypomanies;</w:t>
      </w:r>
    </w:p>
    <w:p w:rsidR="0073701C" w:rsidRPr="0073701C" w:rsidRDefault="0073701C" w:rsidP="001D29A9">
      <w:pPr>
        <w:numPr>
          <w:ilvl w:val="1"/>
          <w:numId w:val="620"/>
        </w:numPr>
        <w:shd w:val="clear" w:color="auto" w:fill="FFFFFF"/>
        <w:spacing w:before="100" w:beforeAutospacing="1" w:after="100" w:afterAutospacing="1" w:line="240" w:lineRule="auto"/>
        <w:rPr>
          <w:rFonts w:cs="Times New Roman"/>
          <w:color w:val="000000"/>
          <w:sz w:val="16"/>
          <w:szCs w:val="16"/>
          <w:shd w:val="clear" w:color="auto" w:fill="FFFFFF"/>
        </w:rPr>
      </w:pPr>
      <w:r w:rsidRPr="0073701C">
        <w:rPr>
          <w:rFonts w:cs="Times New Roman"/>
          <w:color w:val="000000"/>
          <w:sz w:val="16"/>
          <w:szCs w:val="16"/>
          <w:shd w:val="clear" w:color="auto" w:fill="FFFFFF"/>
        </w:rPr>
        <w:t>les facteurs de risque identifiés exigeant une intervention immédiate;</w:t>
      </w:r>
    </w:p>
    <w:p w:rsidR="0073701C" w:rsidRPr="0073701C" w:rsidRDefault="0073701C" w:rsidP="001D29A9">
      <w:pPr>
        <w:numPr>
          <w:ilvl w:val="0"/>
          <w:numId w:val="620"/>
        </w:numPr>
        <w:shd w:val="clear" w:color="auto" w:fill="FFFFFF"/>
        <w:spacing w:before="100" w:beforeAutospacing="1" w:after="100" w:afterAutospacing="1" w:line="240" w:lineRule="auto"/>
        <w:rPr>
          <w:rFonts w:cs="Times New Roman"/>
          <w:color w:val="000000"/>
          <w:sz w:val="16"/>
          <w:szCs w:val="16"/>
          <w:shd w:val="clear" w:color="auto" w:fill="FFFFFF"/>
        </w:rPr>
      </w:pPr>
      <w:r w:rsidRPr="0073701C">
        <w:rPr>
          <w:rFonts w:cs="Times New Roman"/>
          <w:color w:val="000000"/>
          <w:sz w:val="16"/>
          <w:szCs w:val="16"/>
          <w:shd w:val="clear" w:color="auto" w:fill="FFFFFF"/>
        </w:rPr>
        <w:t>énumérer et interpréter les examens essentiels, y compris les analyses de laboratoire pertinentes (c.-à-d. dépistage de drogue, dosage de la thyréostimuline);</w:t>
      </w:r>
    </w:p>
    <w:p w:rsidR="0073701C" w:rsidRPr="0073701C" w:rsidRDefault="0073701C" w:rsidP="001D29A9">
      <w:pPr>
        <w:numPr>
          <w:ilvl w:val="0"/>
          <w:numId w:val="620"/>
        </w:numPr>
        <w:shd w:val="clear" w:color="auto" w:fill="FFFFFF"/>
        <w:spacing w:before="100" w:beforeAutospacing="1" w:after="100" w:afterAutospacing="1" w:line="240" w:lineRule="auto"/>
        <w:rPr>
          <w:rFonts w:cs="Times New Roman"/>
          <w:color w:val="000000"/>
          <w:sz w:val="16"/>
          <w:szCs w:val="16"/>
          <w:shd w:val="clear" w:color="auto" w:fill="FFFFFF"/>
        </w:rPr>
      </w:pPr>
      <w:r w:rsidRPr="0073701C">
        <w:rPr>
          <w:rFonts w:cs="Times New Roman"/>
          <w:color w:val="000000"/>
          <w:sz w:val="16"/>
          <w:szCs w:val="16"/>
          <w:shd w:val="clear" w:color="auto" w:fill="FFFFFF"/>
        </w:rPr>
        <w:t>établir un plan de prise en charge initiale, notamment :</w:t>
      </w:r>
    </w:p>
    <w:p w:rsidR="0073701C" w:rsidRPr="0073701C" w:rsidRDefault="0073701C" w:rsidP="001D29A9">
      <w:pPr>
        <w:numPr>
          <w:ilvl w:val="1"/>
          <w:numId w:val="620"/>
        </w:numPr>
        <w:shd w:val="clear" w:color="auto" w:fill="FFFFFF"/>
        <w:spacing w:before="100" w:beforeAutospacing="1" w:after="100" w:afterAutospacing="1" w:line="240" w:lineRule="auto"/>
        <w:rPr>
          <w:rFonts w:cs="Times New Roman"/>
          <w:color w:val="000000"/>
          <w:sz w:val="16"/>
          <w:szCs w:val="16"/>
          <w:shd w:val="clear" w:color="auto" w:fill="FFFFFF"/>
        </w:rPr>
      </w:pPr>
      <w:r w:rsidRPr="0073701C">
        <w:rPr>
          <w:rFonts w:cs="Times New Roman"/>
          <w:color w:val="000000"/>
          <w:sz w:val="16"/>
          <w:szCs w:val="16"/>
          <w:shd w:val="clear" w:color="auto" w:fill="FFFFFF"/>
        </w:rPr>
        <w:t>procéder à une évaluation de la sécurité du patient (p. ex. risque de tentative de suicide, risque pour autrui);</w:t>
      </w:r>
    </w:p>
    <w:p w:rsidR="0073701C" w:rsidRPr="0073701C" w:rsidRDefault="0073701C" w:rsidP="001D29A9">
      <w:pPr>
        <w:numPr>
          <w:ilvl w:val="1"/>
          <w:numId w:val="620"/>
        </w:numPr>
        <w:shd w:val="clear" w:color="auto" w:fill="FFFFFF"/>
        <w:spacing w:before="100" w:beforeAutospacing="1" w:after="100" w:afterAutospacing="1" w:line="240" w:lineRule="auto"/>
        <w:rPr>
          <w:rFonts w:cs="Times New Roman"/>
          <w:color w:val="000000"/>
          <w:sz w:val="16"/>
          <w:szCs w:val="16"/>
          <w:shd w:val="clear" w:color="auto" w:fill="FFFFFF"/>
        </w:rPr>
      </w:pPr>
      <w:r w:rsidRPr="0073701C">
        <w:rPr>
          <w:rFonts w:cs="Times New Roman"/>
          <w:color w:val="000000"/>
          <w:sz w:val="16"/>
          <w:szCs w:val="16"/>
          <w:shd w:val="clear" w:color="auto" w:fill="FFFFFF"/>
        </w:rPr>
        <w:t>entreprendre un traitement pharmacologique, au besoin;</w:t>
      </w:r>
    </w:p>
    <w:p w:rsidR="0073701C" w:rsidRPr="0073701C" w:rsidRDefault="0073701C" w:rsidP="001D29A9">
      <w:pPr>
        <w:numPr>
          <w:ilvl w:val="1"/>
          <w:numId w:val="620"/>
        </w:numPr>
        <w:shd w:val="clear" w:color="auto" w:fill="FFFFFF"/>
        <w:spacing w:before="100" w:beforeAutospacing="1" w:after="100" w:afterAutospacing="1" w:line="240" w:lineRule="auto"/>
        <w:rPr>
          <w:rFonts w:cs="Times New Roman"/>
          <w:color w:val="000000"/>
          <w:sz w:val="16"/>
          <w:szCs w:val="16"/>
          <w:shd w:val="clear" w:color="auto" w:fill="FFFFFF"/>
        </w:rPr>
      </w:pPr>
      <w:r w:rsidRPr="0073701C">
        <w:rPr>
          <w:rFonts w:cs="Times New Roman"/>
          <w:color w:val="000000"/>
          <w:sz w:val="16"/>
          <w:szCs w:val="16"/>
          <w:shd w:val="clear" w:color="auto" w:fill="FFFFFF"/>
        </w:rPr>
        <w:t>faire intervenir les membres de la famille et les services de soutien compétents;</w:t>
      </w:r>
    </w:p>
    <w:p w:rsidR="004E0124" w:rsidRPr="00460CEE" w:rsidRDefault="0073701C" w:rsidP="009B4966">
      <w:pPr>
        <w:numPr>
          <w:ilvl w:val="1"/>
          <w:numId w:val="620"/>
        </w:numPr>
        <w:shd w:val="clear" w:color="auto" w:fill="FFFFFF"/>
        <w:spacing w:before="100" w:beforeAutospacing="1" w:after="100" w:afterAutospacing="1" w:line="240" w:lineRule="auto"/>
        <w:rPr>
          <w:rFonts w:cs="Times New Roman"/>
          <w:color w:val="000000"/>
          <w:sz w:val="16"/>
          <w:szCs w:val="16"/>
          <w:shd w:val="clear" w:color="auto" w:fill="FFFFFF"/>
        </w:rPr>
      </w:pPr>
      <w:r w:rsidRPr="0073701C">
        <w:rPr>
          <w:rFonts w:cs="Times New Roman"/>
          <w:color w:val="000000"/>
          <w:sz w:val="16"/>
          <w:szCs w:val="16"/>
          <w:shd w:val="clear" w:color="auto" w:fill="FFFFFF"/>
        </w:rPr>
        <w:t>déterminer si le patient a besoin de soins spécialisés.</w:t>
      </w:r>
    </w:p>
    <w:p w:rsidR="004D78B3" w:rsidRPr="00C759E1" w:rsidRDefault="004D78B3" w:rsidP="004D78B3">
      <w:pPr>
        <w:pStyle w:val="Sansinterligne"/>
        <w:rPr>
          <w:b/>
          <w:sz w:val="28"/>
          <w:szCs w:val="28"/>
        </w:rPr>
      </w:pPr>
      <w:r w:rsidRPr="00C759E1">
        <w:rPr>
          <w:b/>
          <w:sz w:val="28"/>
          <w:szCs w:val="28"/>
        </w:rPr>
        <w:t>Facteurs de risque</w:t>
      </w:r>
      <w:r>
        <w:rPr>
          <w:b/>
          <w:sz w:val="28"/>
          <w:szCs w:val="28"/>
        </w:rPr>
        <w:t xml:space="preserve"> (trouble bipolaire)</w:t>
      </w:r>
    </w:p>
    <w:p w:rsidR="004D78B3" w:rsidRPr="00C759E1" w:rsidRDefault="004D78B3" w:rsidP="004D78B3">
      <w:pPr>
        <w:pStyle w:val="Sansinterligne"/>
      </w:pPr>
    </w:p>
    <w:p w:rsidR="004D78B3" w:rsidRPr="008C3D05" w:rsidRDefault="004D78B3" w:rsidP="004D78B3">
      <w:pPr>
        <w:pStyle w:val="Paragraphedeliste"/>
        <w:numPr>
          <w:ilvl w:val="0"/>
          <w:numId w:val="57"/>
        </w:numPr>
        <w:rPr>
          <w:rFonts w:cs="Times New Roman"/>
        </w:rPr>
      </w:pPr>
      <w:r>
        <w:rPr>
          <w:rFonts w:cs="Times New Roman"/>
          <w:bCs/>
          <w:color w:val="252525"/>
          <w:shd w:val="clear" w:color="auto" w:fill="FFFFFF"/>
        </w:rPr>
        <w:t>Génétique (60-65% ont une histoire familiale de troubles de l’humeur)</w:t>
      </w:r>
    </w:p>
    <w:p w:rsidR="004D78B3" w:rsidRPr="004D78B3" w:rsidRDefault="004D78B3" w:rsidP="004E0124">
      <w:pPr>
        <w:pStyle w:val="Paragraphedeliste"/>
        <w:numPr>
          <w:ilvl w:val="0"/>
          <w:numId w:val="57"/>
        </w:numPr>
        <w:rPr>
          <w:rFonts w:cs="Times New Roman"/>
        </w:rPr>
      </w:pPr>
      <w:r>
        <w:rPr>
          <w:rFonts w:cs="Times New Roman"/>
          <w:bCs/>
          <w:color w:val="252525"/>
          <w:shd w:val="clear" w:color="auto" w:fill="FFFFFF"/>
        </w:rPr>
        <w:t>Statut socio-économique élevé</w:t>
      </w:r>
    </w:p>
    <w:tbl>
      <w:tblPr>
        <w:tblStyle w:val="Grilledutableau"/>
        <w:tblpPr w:leftFromText="141" w:rightFromText="141" w:vertAnchor="text" w:tblpY="1"/>
        <w:tblOverlap w:val="never"/>
        <w:tblW w:w="0" w:type="auto"/>
        <w:tblLook w:val="04A0" w:firstRow="1" w:lastRow="0" w:firstColumn="1" w:lastColumn="0" w:noHBand="0" w:noVBand="1"/>
      </w:tblPr>
      <w:tblGrid>
        <w:gridCol w:w="5742"/>
        <w:gridCol w:w="5274"/>
      </w:tblGrid>
      <w:tr w:rsidR="004E0124" w:rsidRPr="00BC277C" w:rsidTr="008C3D05">
        <w:trPr>
          <w:trHeight w:val="1904"/>
        </w:trPr>
        <w:tc>
          <w:tcPr>
            <w:tcW w:w="5742" w:type="dxa"/>
            <w:shd w:val="clear" w:color="auto" w:fill="FFFF00"/>
          </w:tcPr>
          <w:p w:rsidR="004E0124" w:rsidRPr="00BC277C" w:rsidRDefault="004E0124" w:rsidP="008C3D05">
            <w:pPr>
              <w:pStyle w:val="Sansinterligne"/>
              <w:rPr>
                <w:b/>
              </w:rPr>
            </w:pPr>
            <w:r w:rsidRPr="00FD3F95">
              <w:rPr>
                <w:b/>
                <w:highlight w:val="yellow"/>
                <w:u w:val="single"/>
              </w:rPr>
              <w:t>Épisode</w:t>
            </w:r>
            <w:r w:rsidRPr="008C3D05">
              <w:rPr>
                <w:b/>
                <w:highlight w:val="yellow"/>
                <w:u w:val="single"/>
              </w:rPr>
              <w:t xml:space="preserve"> </w:t>
            </w:r>
            <w:r w:rsidR="00F92166" w:rsidRPr="008C3D05">
              <w:rPr>
                <w:b/>
                <w:highlight w:val="yellow"/>
                <w:u w:val="single"/>
              </w:rPr>
              <w:t>maniaque</w:t>
            </w:r>
          </w:p>
          <w:p w:rsidR="004E0124" w:rsidRDefault="004E0124" w:rsidP="008C3D05">
            <w:pPr>
              <w:pStyle w:val="Sansinterligne"/>
              <w:ind w:left="720"/>
            </w:pPr>
          </w:p>
          <w:p w:rsidR="004E0124" w:rsidRPr="00FD3F95" w:rsidRDefault="00F92166" w:rsidP="008C3D05">
            <w:pPr>
              <w:pStyle w:val="Sansinterligne"/>
              <w:numPr>
                <w:ilvl w:val="0"/>
                <w:numId w:val="584"/>
              </w:numPr>
              <w:rPr>
                <w:highlight w:val="yellow"/>
              </w:rPr>
            </w:pPr>
            <w:r>
              <w:rPr>
                <w:highlight w:val="yellow"/>
              </w:rPr>
              <w:t>Période</w:t>
            </w:r>
            <w:r w:rsidR="008C3D05">
              <w:rPr>
                <w:highlight w:val="yellow"/>
              </w:rPr>
              <w:t xml:space="preserve"> </w:t>
            </w:r>
            <w:r>
              <w:rPr>
                <w:highlight w:val="yellow"/>
              </w:rPr>
              <w:t>nettement délimitée où l’humeur est élevée, expansive ou irritable</w:t>
            </w:r>
            <w:r w:rsidR="00890F12">
              <w:rPr>
                <w:highlight w:val="yellow"/>
              </w:rPr>
              <w:t xml:space="preserve">, </w:t>
            </w:r>
            <w:r>
              <w:rPr>
                <w:highlight w:val="yellow"/>
              </w:rPr>
              <w:t>avec une augmentation de l’activité orien</w:t>
            </w:r>
            <w:r w:rsidR="00890F12">
              <w:rPr>
                <w:highlight w:val="yellow"/>
              </w:rPr>
              <w:t xml:space="preserve">tée vers un but ou de l’énergie, et ce, </w:t>
            </w:r>
            <w:r>
              <w:rPr>
                <w:highlight w:val="yellow"/>
              </w:rPr>
              <w:t xml:space="preserve">de façon anormale et persistante la plupart du temps, </w:t>
            </w:r>
            <w:r w:rsidRPr="008C3D05">
              <w:rPr>
                <w:highlight w:val="yellow"/>
                <w:u w:val="single"/>
              </w:rPr>
              <w:t>presque tous les jours, pendant au moins une semaine</w:t>
            </w:r>
            <w:r>
              <w:rPr>
                <w:highlight w:val="yellow"/>
              </w:rPr>
              <w:t>.</w:t>
            </w:r>
          </w:p>
          <w:p w:rsidR="004E0124" w:rsidRPr="00890F12" w:rsidRDefault="00890F12" w:rsidP="008C3D05">
            <w:pPr>
              <w:pStyle w:val="Sansinterligne"/>
              <w:numPr>
                <w:ilvl w:val="0"/>
                <w:numId w:val="584"/>
              </w:numPr>
              <w:rPr>
                <w:b/>
              </w:rPr>
            </w:pPr>
            <w:r>
              <w:rPr>
                <w:rFonts w:cs="Times New Roman"/>
              </w:rPr>
              <w:t xml:space="preserve">Durant cette  période, </w:t>
            </w:r>
            <w:r>
              <w:rPr>
                <w:rFonts w:ascii="Century Gothic" w:hAnsi="Century Gothic" w:cs="Times New Roman"/>
              </w:rPr>
              <w:t>≥</w:t>
            </w:r>
            <w:r>
              <w:rPr>
                <w:rFonts w:cs="Times New Roman"/>
              </w:rPr>
              <w:t xml:space="preserve"> 3 symptômes :</w:t>
            </w:r>
          </w:p>
          <w:p w:rsidR="00890F12" w:rsidRDefault="00890F12" w:rsidP="008C3D05">
            <w:pPr>
              <w:pStyle w:val="Sansinterligne"/>
              <w:numPr>
                <w:ilvl w:val="1"/>
                <w:numId w:val="584"/>
              </w:numPr>
            </w:pPr>
            <w:r w:rsidRPr="00B821F6">
              <w:rPr>
                <w:rFonts w:ascii="Century Gothic" w:hAnsi="Century Gothic"/>
                <w:u w:val="single"/>
              </w:rPr>
              <w:t>↑</w:t>
            </w:r>
            <w:r w:rsidRPr="00B821F6">
              <w:rPr>
                <w:u w:val="single"/>
              </w:rPr>
              <w:t xml:space="preserve"> de l’estime de soi</w:t>
            </w:r>
            <w:r w:rsidRPr="00890F12">
              <w:t xml:space="preserve"> / idées de grandeur</w:t>
            </w:r>
          </w:p>
          <w:p w:rsidR="00890F12" w:rsidRPr="00B821F6" w:rsidRDefault="00890F12" w:rsidP="008C3D05">
            <w:pPr>
              <w:pStyle w:val="Sansinterligne"/>
              <w:numPr>
                <w:ilvl w:val="1"/>
                <w:numId w:val="584"/>
              </w:numPr>
              <w:rPr>
                <w:u w:val="single"/>
              </w:rPr>
            </w:pPr>
            <w:r w:rsidRPr="00B821F6">
              <w:rPr>
                <w:u w:val="single"/>
              </w:rPr>
              <w:t>Réduction du besoin de sommeil</w:t>
            </w:r>
          </w:p>
          <w:p w:rsidR="00890F12" w:rsidRDefault="00890F12" w:rsidP="008C3D05">
            <w:pPr>
              <w:pStyle w:val="Sansinterligne"/>
              <w:numPr>
                <w:ilvl w:val="1"/>
                <w:numId w:val="584"/>
              </w:numPr>
            </w:pPr>
            <w:r>
              <w:t>Plus grande communicabilité qu’à l’habitude ou désir constant de parler</w:t>
            </w:r>
          </w:p>
          <w:p w:rsidR="00890F12" w:rsidRDefault="00890F12" w:rsidP="008C3D05">
            <w:pPr>
              <w:pStyle w:val="Sansinterligne"/>
              <w:numPr>
                <w:ilvl w:val="1"/>
                <w:numId w:val="584"/>
              </w:numPr>
            </w:pPr>
            <w:r>
              <w:t>Fuite des idées</w:t>
            </w:r>
          </w:p>
          <w:p w:rsidR="00890F12" w:rsidRDefault="00890F12" w:rsidP="008C3D05">
            <w:pPr>
              <w:pStyle w:val="Sansinterligne"/>
              <w:numPr>
                <w:ilvl w:val="1"/>
                <w:numId w:val="584"/>
              </w:numPr>
            </w:pPr>
            <w:r>
              <w:t>Distractibilité</w:t>
            </w:r>
          </w:p>
          <w:p w:rsidR="00890F12" w:rsidRDefault="00890F12" w:rsidP="008C3D05">
            <w:pPr>
              <w:pStyle w:val="Sansinterligne"/>
              <w:numPr>
                <w:ilvl w:val="1"/>
                <w:numId w:val="584"/>
              </w:numPr>
            </w:pPr>
            <w:r w:rsidRPr="00B821F6">
              <w:rPr>
                <w:u w:val="single"/>
              </w:rPr>
              <w:t>Augmentation de l’activité orientée vers un but</w:t>
            </w:r>
            <w:r>
              <w:t xml:space="preserve"> ou agitation psychomotrice (non-orienté)</w:t>
            </w:r>
          </w:p>
          <w:p w:rsidR="00890F12" w:rsidRPr="00B821F6" w:rsidRDefault="00890F12" w:rsidP="008C3D05">
            <w:pPr>
              <w:pStyle w:val="Sansinterligne"/>
              <w:numPr>
                <w:ilvl w:val="1"/>
                <w:numId w:val="584"/>
              </w:numPr>
              <w:rPr>
                <w:u w:val="single"/>
              </w:rPr>
            </w:pPr>
            <w:r>
              <w:t xml:space="preserve">Engagement excessif dans des </w:t>
            </w:r>
            <w:r w:rsidRPr="00B821F6">
              <w:rPr>
                <w:u w:val="single"/>
              </w:rPr>
              <w:t>activités à potentiel dommageable élevé</w:t>
            </w:r>
          </w:p>
          <w:p w:rsidR="00890F12" w:rsidRDefault="00890F12" w:rsidP="008C3D05">
            <w:pPr>
              <w:pStyle w:val="Sansinterligne"/>
              <w:numPr>
                <w:ilvl w:val="0"/>
                <w:numId w:val="584"/>
              </w:numPr>
            </w:pPr>
            <w:r>
              <w:t>Est suffisamment grave pour entraîner un dysfonctionnement ou une hospitalisation pour prévenir des conséquences dommageables ou caractéristiques psychotiques</w:t>
            </w:r>
          </w:p>
          <w:p w:rsidR="00890F12" w:rsidRPr="00890F12" w:rsidRDefault="00890F12" w:rsidP="008C3D05">
            <w:pPr>
              <w:pStyle w:val="Sansinterligne"/>
              <w:numPr>
                <w:ilvl w:val="0"/>
                <w:numId w:val="584"/>
              </w:numPr>
            </w:pPr>
            <w:r>
              <w:t>Pas imputable aux effets d’une substance ou une condition médicale</w:t>
            </w:r>
          </w:p>
        </w:tc>
        <w:tc>
          <w:tcPr>
            <w:tcW w:w="5274" w:type="dxa"/>
            <w:shd w:val="clear" w:color="auto" w:fill="FFFF00"/>
          </w:tcPr>
          <w:p w:rsidR="004E0124" w:rsidRDefault="004E0124" w:rsidP="008C3D05">
            <w:pPr>
              <w:pStyle w:val="Sansinterligne"/>
              <w:rPr>
                <w:b/>
                <w:highlight w:val="yellow"/>
              </w:rPr>
            </w:pPr>
            <w:r>
              <w:rPr>
                <w:b/>
                <w:highlight w:val="yellow"/>
                <w:u w:val="single"/>
              </w:rPr>
              <w:t>Examen physique et menta</w:t>
            </w:r>
            <w:r w:rsidRPr="00715053">
              <w:rPr>
                <w:b/>
                <w:highlight w:val="yellow"/>
                <w:u w:val="single"/>
              </w:rPr>
              <w:t>l</w:t>
            </w:r>
            <w:r w:rsidRPr="00715053">
              <w:rPr>
                <w:b/>
                <w:highlight w:val="yellow"/>
              </w:rPr>
              <w:t xml:space="preserve"> </w:t>
            </w:r>
            <w:r>
              <w:rPr>
                <w:b/>
                <w:highlight w:val="yellow"/>
              </w:rPr>
              <w:t xml:space="preserve">d’un épisode </w:t>
            </w:r>
            <w:r w:rsidR="00B71BB6">
              <w:rPr>
                <w:b/>
                <w:highlight w:val="yellow"/>
              </w:rPr>
              <w:t>maniaque</w:t>
            </w:r>
          </w:p>
          <w:p w:rsidR="004E0124" w:rsidRDefault="004E0124" w:rsidP="008C3D05">
            <w:pPr>
              <w:pStyle w:val="Sansinterligne"/>
            </w:pPr>
          </w:p>
          <w:p w:rsidR="00890F12" w:rsidRPr="00890F12" w:rsidRDefault="00890F12" w:rsidP="008C3D05">
            <w:pPr>
              <w:pStyle w:val="Sansinterligne"/>
              <w:numPr>
                <w:ilvl w:val="0"/>
                <w:numId w:val="590"/>
              </w:numPr>
              <w:rPr>
                <w:highlight w:val="yellow"/>
              </w:rPr>
            </w:pPr>
            <w:r>
              <w:rPr>
                <w:highlight w:val="yellow"/>
              </w:rPr>
              <w:t>Vêtements de couleurs criantes, bijoux ++</w:t>
            </w:r>
          </w:p>
          <w:p w:rsidR="004E0124" w:rsidRDefault="00890F12" w:rsidP="008C3D05">
            <w:pPr>
              <w:pStyle w:val="Sansinterligne"/>
              <w:numPr>
                <w:ilvl w:val="0"/>
                <w:numId w:val="590"/>
              </w:numPr>
              <w:rPr>
                <w:highlight w:val="yellow"/>
              </w:rPr>
            </w:pPr>
            <w:r w:rsidRPr="00890F12">
              <w:rPr>
                <w:highlight w:val="yellow"/>
              </w:rPr>
              <w:t>Humeur élevée, expansive</w:t>
            </w:r>
            <w:r w:rsidR="00100359">
              <w:rPr>
                <w:highlight w:val="yellow"/>
              </w:rPr>
              <w:t>, labile</w:t>
            </w:r>
          </w:p>
          <w:p w:rsidR="00BD28BD" w:rsidRPr="00890F12" w:rsidRDefault="00BD28BD" w:rsidP="008C3D05">
            <w:pPr>
              <w:pStyle w:val="Sansinterligne"/>
              <w:numPr>
                <w:ilvl w:val="0"/>
                <w:numId w:val="590"/>
              </w:numPr>
              <w:rPr>
                <w:highlight w:val="yellow"/>
              </w:rPr>
            </w:pPr>
            <w:r>
              <w:rPr>
                <w:highlight w:val="yellow"/>
              </w:rPr>
              <w:t>Affect congruent, mobilisable</w:t>
            </w:r>
          </w:p>
          <w:p w:rsidR="00890F12" w:rsidRPr="00100359" w:rsidRDefault="00890F12" w:rsidP="008C3D05">
            <w:pPr>
              <w:pStyle w:val="Sansinterligne"/>
              <w:numPr>
                <w:ilvl w:val="0"/>
                <w:numId w:val="590"/>
              </w:numPr>
              <w:rPr>
                <w:b/>
                <w:highlight w:val="yellow"/>
              </w:rPr>
            </w:pPr>
            <w:r w:rsidRPr="00B821F6">
              <w:rPr>
                <w:highlight w:val="yellow"/>
                <w:u w:val="single"/>
              </w:rPr>
              <w:t>Euphorie</w:t>
            </w:r>
            <w:r w:rsidRPr="00890F12">
              <w:rPr>
                <w:highlight w:val="yellow"/>
              </w:rPr>
              <w:t xml:space="preserve"> </w:t>
            </w:r>
            <w:r w:rsidRPr="00890F12">
              <w:rPr>
                <w:rFonts w:ascii="Century Gothic" w:hAnsi="Century Gothic"/>
              </w:rPr>
              <w:t>→</w:t>
            </w:r>
            <w:r w:rsidRPr="00890F12">
              <w:rPr>
                <w:highlight w:val="yellow"/>
              </w:rPr>
              <w:t xml:space="preserve"> </w:t>
            </w:r>
            <w:r>
              <w:rPr>
                <w:highlight w:val="yellow"/>
              </w:rPr>
              <w:t>irritabilité</w:t>
            </w:r>
          </w:p>
          <w:p w:rsidR="00100359" w:rsidRPr="00890F12" w:rsidRDefault="00100359" w:rsidP="008C3D05">
            <w:pPr>
              <w:pStyle w:val="Sansinterligne"/>
              <w:numPr>
                <w:ilvl w:val="0"/>
                <w:numId w:val="590"/>
              </w:numPr>
              <w:rPr>
                <w:b/>
                <w:highlight w:val="yellow"/>
              </w:rPr>
            </w:pPr>
            <w:r>
              <w:rPr>
                <w:highlight w:val="yellow"/>
              </w:rPr>
              <w:t>Faible tolérance à frustration / refus</w:t>
            </w:r>
          </w:p>
          <w:p w:rsidR="00100359" w:rsidRDefault="00100359" w:rsidP="008C3D05">
            <w:pPr>
              <w:pStyle w:val="Sansinterligne"/>
              <w:numPr>
                <w:ilvl w:val="0"/>
                <w:numId w:val="590"/>
              </w:numPr>
              <w:rPr>
                <w:highlight w:val="yellow"/>
              </w:rPr>
            </w:pPr>
            <w:r w:rsidRPr="00B821F6">
              <w:rPr>
                <w:highlight w:val="yellow"/>
                <w:u w:val="single"/>
              </w:rPr>
              <w:t>Agitation psychomotrice</w:t>
            </w:r>
            <w:r w:rsidRPr="00B71BB6">
              <w:rPr>
                <w:highlight w:val="yellow"/>
              </w:rPr>
              <w:t>, tics, etc.</w:t>
            </w:r>
          </w:p>
          <w:p w:rsidR="00100359" w:rsidRPr="00B71BB6" w:rsidRDefault="00100359" w:rsidP="008C3D05">
            <w:pPr>
              <w:pStyle w:val="Sansinterligne"/>
              <w:numPr>
                <w:ilvl w:val="0"/>
                <w:numId w:val="590"/>
              </w:numPr>
              <w:rPr>
                <w:highlight w:val="yellow"/>
              </w:rPr>
            </w:pPr>
            <w:r>
              <w:rPr>
                <w:highlight w:val="yellow"/>
              </w:rPr>
              <w:t xml:space="preserve">Discours avec jeux de mots, blagues </w:t>
            </w:r>
            <w:r>
              <w:rPr>
                <w:rFonts w:ascii="Century Gothic" w:hAnsi="Century Gothic"/>
                <w:highlight w:val="yellow"/>
              </w:rPr>
              <w:t>→</w:t>
            </w:r>
            <w:r>
              <w:rPr>
                <w:highlight w:val="yellow"/>
              </w:rPr>
              <w:t xml:space="preserve"> </w:t>
            </w:r>
            <w:r w:rsidRPr="00B821F6">
              <w:rPr>
                <w:highlight w:val="yellow"/>
                <w:u w:val="single"/>
              </w:rPr>
              <w:t>fuite des idées</w:t>
            </w:r>
            <w:r>
              <w:rPr>
                <w:highlight w:val="yellow"/>
              </w:rPr>
              <w:t>, rythme rapide, difficile à arrêter</w:t>
            </w:r>
          </w:p>
          <w:p w:rsidR="00890F12" w:rsidRPr="00100359" w:rsidRDefault="00890F12" w:rsidP="008C3D05">
            <w:pPr>
              <w:pStyle w:val="Sansinterligne"/>
              <w:numPr>
                <w:ilvl w:val="0"/>
                <w:numId w:val="590"/>
              </w:numPr>
              <w:rPr>
                <w:b/>
                <w:highlight w:val="yellow"/>
              </w:rPr>
            </w:pPr>
            <w:r>
              <w:rPr>
                <w:highlight w:val="yellow"/>
              </w:rPr>
              <w:t>Déresponsabilisation</w:t>
            </w:r>
          </w:p>
          <w:p w:rsidR="00100359" w:rsidRPr="00890F12" w:rsidRDefault="00100359" w:rsidP="008C3D05">
            <w:pPr>
              <w:pStyle w:val="Sansinterligne"/>
              <w:numPr>
                <w:ilvl w:val="0"/>
                <w:numId w:val="590"/>
              </w:numPr>
              <w:rPr>
                <w:b/>
                <w:highlight w:val="yellow"/>
              </w:rPr>
            </w:pPr>
            <w:r>
              <w:rPr>
                <w:highlight w:val="yellow"/>
              </w:rPr>
              <w:t>Clivage / contre-transfert</w:t>
            </w:r>
          </w:p>
          <w:p w:rsidR="00B71BB6" w:rsidRPr="00B821F6" w:rsidRDefault="00B71BB6" w:rsidP="008C3D05">
            <w:pPr>
              <w:pStyle w:val="Sansinterligne"/>
              <w:numPr>
                <w:ilvl w:val="0"/>
                <w:numId w:val="590"/>
              </w:numPr>
              <w:rPr>
                <w:highlight w:val="yellow"/>
                <w:u w:val="single"/>
              </w:rPr>
            </w:pPr>
            <w:r w:rsidRPr="00B821F6">
              <w:rPr>
                <w:highlight w:val="yellow"/>
                <w:u w:val="single"/>
              </w:rPr>
              <w:t xml:space="preserve">Idées de grandeur </w:t>
            </w:r>
          </w:p>
          <w:p w:rsidR="00B71BB6" w:rsidRPr="007B4205" w:rsidRDefault="00B71BB6" w:rsidP="008C3D05">
            <w:pPr>
              <w:pStyle w:val="Sansinterligne"/>
              <w:numPr>
                <w:ilvl w:val="0"/>
                <w:numId w:val="590"/>
              </w:numPr>
              <w:rPr>
                <w:highlight w:val="yellow"/>
              </w:rPr>
            </w:pPr>
            <w:r w:rsidRPr="007B4205">
              <w:rPr>
                <w:highlight w:val="yellow"/>
              </w:rPr>
              <w:t>Préoccupation politique, financière, religieuse, persécutoire ou sexuelle</w:t>
            </w:r>
          </w:p>
          <w:p w:rsidR="00100359" w:rsidRDefault="00890F12" w:rsidP="008C3D05">
            <w:pPr>
              <w:pStyle w:val="Sansinterligne"/>
              <w:numPr>
                <w:ilvl w:val="0"/>
                <w:numId w:val="590"/>
              </w:numPr>
              <w:rPr>
                <w:b/>
                <w:highlight w:val="yellow"/>
              </w:rPr>
            </w:pPr>
            <w:r>
              <w:rPr>
                <w:highlight w:val="yellow"/>
              </w:rPr>
              <w:t>Faible contrôle pulsionnel / impulsivité</w:t>
            </w:r>
          </w:p>
          <w:p w:rsidR="00100359" w:rsidRDefault="00100359" w:rsidP="008C3D05">
            <w:pPr>
              <w:pStyle w:val="Sansinterligne"/>
              <w:numPr>
                <w:ilvl w:val="0"/>
                <w:numId w:val="590"/>
              </w:numPr>
              <w:rPr>
                <w:highlight w:val="yellow"/>
                <w:u w:val="single"/>
              </w:rPr>
            </w:pPr>
            <w:r w:rsidRPr="00B821F6">
              <w:rPr>
                <w:highlight w:val="yellow"/>
                <w:u w:val="single"/>
              </w:rPr>
              <w:t>Jugement altéré</w:t>
            </w:r>
          </w:p>
          <w:p w:rsidR="008C3D05" w:rsidRDefault="008C3D05" w:rsidP="008C3D05">
            <w:pPr>
              <w:pStyle w:val="Sansinterligne"/>
              <w:rPr>
                <w:highlight w:val="yellow"/>
                <w:u w:val="single"/>
              </w:rPr>
            </w:pPr>
          </w:p>
          <w:p w:rsidR="008C3D05" w:rsidRDefault="008C3D05" w:rsidP="008C3D05">
            <w:pPr>
              <w:pStyle w:val="Sansinterligne"/>
              <w:rPr>
                <w:highlight w:val="yellow"/>
                <w:u w:val="single"/>
              </w:rPr>
            </w:pPr>
          </w:p>
          <w:p w:rsidR="008C3D05" w:rsidRDefault="008C3D05" w:rsidP="008C3D05">
            <w:pPr>
              <w:pStyle w:val="Sansinterligne"/>
              <w:rPr>
                <w:highlight w:val="yellow"/>
                <w:u w:val="single"/>
              </w:rPr>
            </w:pPr>
          </w:p>
          <w:p w:rsidR="008C3D05" w:rsidRDefault="008C3D05" w:rsidP="008C3D05">
            <w:pPr>
              <w:pStyle w:val="Sansinterligne"/>
              <w:rPr>
                <w:highlight w:val="yellow"/>
                <w:u w:val="single"/>
              </w:rPr>
            </w:pPr>
          </w:p>
          <w:p w:rsidR="008C3D05" w:rsidRDefault="008C3D05" w:rsidP="008C3D05">
            <w:pPr>
              <w:pStyle w:val="Sansinterligne"/>
              <w:rPr>
                <w:highlight w:val="yellow"/>
                <w:u w:val="single"/>
              </w:rPr>
            </w:pPr>
          </w:p>
          <w:p w:rsidR="008C3D05" w:rsidRPr="00B821F6" w:rsidRDefault="008C3D05" w:rsidP="008C3D05">
            <w:pPr>
              <w:pStyle w:val="Sansinterligne"/>
              <w:rPr>
                <w:highlight w:val="yellow"/>
                <w:u w:val="single"/>
              </w:rPr>
            </w:pPr>
          </w:p>
        </w:tc>
      </w:tr>
      <w:tr w:rsidR="008C3D05" w:rsidRPr="00BC277C" w:rsidTr="008C3D05">
        <w:trPr>
          <w:gridAfter w:val="1"/>
          <w:wAfter w:w="5274" w:type="dxa"/>
          <w:trHeight w:val="2046"/>
        </w:trPr>
        <w:tc>
          <w:tcPr>
            <w:tcW w:w="5742" w:type="dxa"/>
            <w:shd w:val="clear" w:color="auto" w:fill="FFFF00"/>
          </w:tcPr>
          <w:p w:rsidR="008C3D05" w:rsidRDefault="008C3D05" w:rsidP="008C3D05">
            <w:pPr>
              <w:pStyle w:val="Sansinterligne"/>
              <w:rPr>
                <w:b/>
                <w:highlight w:val="yellow"/>
                <w:u w:val="single"/>
              </w:rPr>
            </w:pPr>
            <w:r>
              <w:rPr>
                <w:b/>
                <w:highlight w:val="yellow"/>
                <w:u w:val="single"/>
              </w:rPr>
              <w:t>Épisode hypomaniaque</w:t>
            </w:r>
          </w:p>
          <w:p w:rsidR="008C3D05" w:rsidRDefault="008C3D05" w:rsidP="008C3D05">
            <w:pPr>
              <w:pStyle w:val="Sansinterligne"/>
              <w:rPr>
                <w:b/>
                <w:highlight w:val="yellow"/>
                <w:u w:val="single"/>
              </w:rPr>
            </w:pPr>
          </w:p>
          <w:p w:rsidR="008C3D05" w:rsidRDefault="008C3D05" w:rsidP="008C3D05">
            <w:pPr>
              <w:pStyle w:val="Sansinterligne"/>
              <w:numPr>
                <w:ilvl w:val="0"/>
                <w:numId w:val="622"/>
              </w:numPr>
              <w:rPr>
                <w:highlight w:val="yellow"/>
              </w:rPr>
            </w:pPr>
            <w:r>
              <w:rPr>
                <w:highlight w:val="yellow"/>
              </w:rPr>
              <w:t xml:space="preserve">Critères 1 et 2 de la manie pour </w:t>
            </w:r>
            <w:r>
              <w:rPr>
                <w:rFonts w:ascii="Century Gothic" w:hAnsi="Century Gothic"/>
                <w:highlight w:val="yellow"/>
              </w:rPr>
              <w:t>≥</w:t>
            </w:r>
            <w:r>
              <w:rPr>
                <w:highlight w:val="yellow"/>
              </w:rPr>
              <w:t xml:space="preserve"> 4 jours</w:t>
            </w:r>
          </w:p>
          <w:p w:rsidR="008C3D05" w:rsidRDefault="008C3D05" w:rsidP="008C3D05">
            <w:pPr>
              <w:pStyle w:val="Sansinterligne"/>
              <w:numPr>
                <w:ilvl w:val="0"/>
                <w:numId w:val="622"/>
              </w:numPr>
              <w:rPr>
                <w:highlight w:val="yellow"/>
              </w:rPr>
            </w:pPr>
            <w:r>
              <w:rPr>
                <w:highlight w:val="yellow"/>
              </w:rPr>
              <w:t>Changement du fonctionnement remarqué par les autres</w:t>
            </w:r>
          </w:p>
          <w:p w:rsidR="008C3D05" w:rsidRDefault="008C3D05" w:rsidP="008C3D05">
            <w:pPr>
              <w:pStyle w:val="Sansinterligne"/>
              <w:numPr>
                <w:ilvl w:val="0"/>
                <w:numId w:val="622"/>
              </w:numPr>
              <w:rPr>
                <w:rFonts w:cs="Times New Roman"/>
                <w:highlight w:val="yellow"/>
              </w:rPr>
            </w:pPr>
            <w:r>
              <w:rPr>
                <w:rFonts w:cs="Times New Roman"/>
                <w:highlight w:val="yellow"/>
              </w:rPr>
              <w:t>Ø</w:t>
            </w:r>
            <w:r>
              <w:rPr>
                <w:highlight w:val="yellow"/>
              </w:rPr>
              <w:t xml:space="preserve"> d’altération sévère du fonctionnement / </w:t>
            </w:r>
            <w:r>
              <w:rPr>
                <w:rFonts w:cs="Times New Roman"/>
                <w:highlight w:val="yellow"/>
              </w:rPr>
              <w:t>Ø nécessité d’hospitalisation</w:t>
            </w:r>
          </w:p>
          <w:p w:rsidR="008C3D05" w:rsidRPr="007D2487" w:rsidRDefault="008C3D05" w:rsidP="008C3D05">
            <w:pPr>
              <w:pStyle w:val="Sansinterligne"/>
              <w:numPr>
                <w:ilvl w:val="0"/>
                <w:numId w:val="622"/>
              </w:numPr>
              <w:rPr>
                <w:highlight w:val="yellow"/>
              </w:rPr>
            </w:pPr>
            <w:r>
              <w:rPr>
                <w:rFonts w:cs="Times New Roman"/>
                <w:highlight w:val="yellow"/>
              </w:rPr>
              <w:t>Pas de caractéristiques psychotiques</w:t>
            </w:r>
          </w:p>
          <w:p w:rsidR="007D2487" w:rsidRPr="004E0124" w:rsidRDefault="007D2487" w:rsidP="008C3D05">
            <w:pPr>
              <w:pStyle w:val="Sansinterligne"/>
              <w:numPr>
                <w:ilvl w:val="0"/>
                <w:numId w:val="622"/>
              </w:numPr>
              <w:rPr>
                <w:highlight w:val="yellow"/>
              </w:rPr>
            </w:pPr>
            <w:r>
              <w:rPr>
                <w:rFonts w:cs="Times New Roman"/>
                <w:highlight w:val="yellow"/>
              </w:rPr>
              <w:t>Pas secondaire à une substance ou une condition médicale</w:t>
            </w:r>
          </w:p>
        </w:tc>
      </w:tr>
    </w:tbl>
    <w:p w:rsidR="004E0124" w:rsidRPr="008C3D05" w:rsidRDefault="004D78B3" w:rsidP="004D78B3">
      <w:pPr>
        <w:pStyle w:val="Sansinterligne"/>
        <w:rPr>
          <w:rFonts w:cs="Times New Roman"/>
        </w:rPr>
      </w:pPr>
      <w:r>
        <w:rPr>
          <w:noProof/>
          <w:lang w:eastAsia="fr-CA"/>
        </w:rPr>
        <w:drawing>
          <wp:anchor distT="0" distB="0" distL="114300" distR="114300" simplePos="0" relativeHeight="251831296" behindDoc="0" locked="0" layoutInCell="1" allowOverlap="1" wp14:anchorId="6F8ADC60" wp14:editId="3D354FFA">
            <wp:simplePos x="0" y="0"/>
            <wp:positionH relativeFrom="column">
              <wp:posOffset>282696</wp:posOffset>
            </wp:positionH>
            <wp:positionV relativeFrom="paragraph">
              <wp:posOffset>-51246</wp:posOffset>
            </wp:positionV>
            <wp:extent cx="2379345" cy="1964987"/>
            <wp:effectExtent l="0" t="0" r="1905" b="0"/>
            <wp:wrapNone/>
            <wp:docPr id="342" name="Image 342" descr="Image associé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associée"/>
                    <pic:cNvPicPr>
                      <a:picLocks noChangeAspect="1" noChangeArrowheads="1"/>
                    </pic:cNvPicPr>
                  </pic:nvPicPr>
                  <pic:blipFill rotWithShape="1">
                    <a:blip r:embed="rId215" cstate="print">
                      <a:extLst>
                        <a:ext uri="{28A0092B-C50C-407E-A947-70E740481C1C}">
                          <a14:useLocalDpi xmlns:a14="http://schemas.microsoft.com/office/drawing/2010/main" val="0"/>
                        </a:ext>
                      </a:extLst>
                    </a:blip>
                    <a:srcRect t="12133" b="13603"/>
                    <a:stretch/>
                  </pic:blipFill>
                  <pic:spPr bwMode="auto">
                    <a:xfrm>
                      <a:off x="0" y="0"/>
                      <a:ext cx="2379345" cy="1964987"/>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C3D05">
        <w:rPr>
          <w:b/>
          <w:sz w:val="28"/>
          <w:szCs w:val="28"/>
        </w:rPr>
        <w:br w:type="textWrapping" w:clear="all"/>
      </w:r>
    </w:p>
    <w:p w:rsidR="008C3D05" w:rsidRDefault="008C3D05" w:rsidP="008C3D05">
      <w:pPr>
        <w:pStyle w:val="Sansinterligne"/>
        <w:rPr>
          <w:b/>
          <w:sz w:val="28"/>
          <w:szCs w:val="28"/>
        </w:rPr>
      </w:pPr>
      <w:r w:rsidRPr="00212AA6">
        <w:rPr>
          <w:b/>
          <w:sz w:val="28"/>
          <w:szCs w:val="28"/>
        </w:rPr>
        <w:t>Diagn</w:t>
      </w:r>
      <w:r>
        <w:rPr>
          <w:b/>
          <w:sz w:val="28"/>
          <w:szCs w:val="28"/>
        </w:rPr>
        <w:t>ostic(s)</w:t>
      </w:r>
    </w:p>
    <w:p w:rsidR="008C3D05" w:rsidRPr="008C3D05" w:rsidRDefault="008C3D05" w:rsidP="008C3D05">
      <w:pPr>
        <w:pStyle w:val="Sansinterligne"/>
        <w:rPr>
          <w:b/>
          <w:sz w:val="28"/>
          <w:szCs w:val="28"/>
        </w:rPr>
      </w:pPr>
    </w:p>
    <w:tbl>
      <w:tblPr>
        <w:tblStyle w:val="Grilledutableau"/>
        <w:tblW w:w="11165" w:type="dxa"/>
        <w:tblLook w:val="04A0" w:firstRow="1" w:lastRow="0" w:firstColumn="1" w:lastColumn="0" w:noHBand="0" w:noVBand="1"/>
      </w:tblPr>
      <w:tblGrid>
        <w:gridCol w:w="11165"/>
      </w:tblGrid>
      <w:tr w:rsidR="004E0124" w:rsidRPr="00BC277C" w:rsidTr="002A1F06">
        <w:tc>
          <w:tcPr>
            <w:tcW w:w="11165" w:type="dxa"/>
            <w:shd w:val="clear" w:color="auto" w:fill="9BBB59" w:themeFill="accent3"/>
          </w:tcPr>
          <w:p w:rsidR="004E0124" w:rsidRPr="00BC277C" w:rsidRDefault="004E0124" w:rsidP="004E0124">
            <w:pPr>
              <w:pStyle w:val="Sansinterligne"/>
              <w:jc w:val="center"/>
              <w:rPr>
                <w:b/>
              </w:rPr>
            </w:pPr>
            <w:r w:rsidRPr="00BC277C">
              <w:rPr>
                <w:b/>
              </w:rPr>
              <w:t xml:space="preserve">Trouble </w:t>
            </w:r>
            <w:r>
              <w:rPr>
                <w:b/>
              </w:rPr>
              <w:t>bipolaire type I</w:t>
            </w:r>
          </w:p>
        </w:tc>
      </w:tr>
      <w:tr w:rsidR="004E0124" w:rsidRPr="00BC277C" w:rsidTr="00F92166">
        <w:tc>
          <w:tcPr>
            <w:tcW w:w="11165" w:type="dxa"/>
          </w:tcPr>
          <w:p w:rsidR="004E0124" w:rsidRPr="00BC277C" w:rsidRDefault="004E0124" w:rsidP="00F92166">
            <w:pPr>
              <w:pStyle w:val="Sansinterligne"/>
              <w:jc w:val="center"/>
              <w:rPr>
                <w:i/>
              </w:rPr>
            </w:pPr>
            <w:r w:rsidRPr="00BC277C">
              <w:rPr>
                <w:i/>
              </w:rPr>
              <w:t>Critères du DSM-V</w:t>
            </w:r>
          </w:p>
        </w:tc>
      </w:tr>
      <w:tr w:rsidR="004E0124" w:rsidTr="00F92166">
        <w:tc>
          <w:tcPr>
            <w:tcW w:w="11165" w:type="dxa"/>
          </w:tcPr>
          <w:p w:rsidR="004E0124" w:rsidRPr="00773B12" w:rsidRDefault="007D2487" w:rsidP="007D2487">
            <w:pPr>
              <w:pStyle w:val="Sansinterligne"/>
              <w:numPr>
                <w:ilvl w:val="0"/>
                <w:numId w:val="623"/>
              </w:numPr>
              <w:rPr>
                <w:highlight w:val="yellow"/>
              </w:rPr>
            </w:pPr>
            <w:r w:rsidRPr="00773B12">
              <w:rPr>
                <w:highlight w:val="yellow"/>
              </w:rPr>
              <w:t>Survenue d’au moins un épisode maniaque (voir ci-haut)</w:t>
            </w:r>
          </w:p>
          <w:p w:rsidR="007D2487" w:rsidRDefault="007D2487" w:rsidP="007D2487">
            <w:pPr>
              <w:pStyle w:val="Sansinterligne"/>
              <w:numPr>
                <w:ilvl w:val="0"/>
                <w:numId w:val="623"/>
              </w:numPr>
            </w:pPr>
            <w:r>
              <w:t>L’épisode n’est pas mieux expliqué par un trouble psychotique.</w:t>
            </w:r>
          </w:p>
        </w:tc>
      </w:tr>
      <w:tr w:rsidR="004E0124" w:rsidRPr="00BC277C" w:rsidTr="002A1F06">
        <w:tc>
          <w:tcPr>
            <w:tcW w:w="11165" w:type="dxa"/>
            <w:shd w:val="clear" w:color="auto" w:fill="9BBB59" w:themeFill="accent3"/>
          </w:tcPr>
          <w:p w:rsidR="004E0124" w:rsidRPr="00BC277C" w:rsidRDefault="004E0124" w:rsidP="00F92166">
            <w:pPr>
              <w:pStyle w:val="Sansinterligne"/>
              <w:jc w:val="center"/>
              <w:rPr>
                <w:b/>
              </w:rPr>
            </w:pPr>
            <w:r>
              <w:rPr>
                <w:b/>
              </w:rPr>
              <w:t>Trouble bipolaire type</w:t>
            </w:r>
            <w:r w:rsidRPr="00BC277C">
              <w:rPr>
                <w:b/>
              </w:rPr>
              <w:t xml:space="preserve"> II</w:t>
            </w:r>
          </w:p>
        </w:tc>
      </w:tr>
      <w:tr w:rsidR="004E0124" w:rsidTr="00F92166">
        <w:tc>
          <w:tcPr>
            <w:tcW w:w="11165" w:type="dxa"/>
          </w:tcPr>
          <w:p w:rsidR="004E0124" w:rsidRDefault="004E0124" w:rsidP="004E0124">
            <w:pPr>
              <w:pStyle w:val="Sansinterligne"/>
              <w:jc w:val="center"/>
            </w:pPr>
            <w:r w:rsidRPr="00BC277C">
              <w:rPr>
                <w:i/>
              </w:rPr>
              <w:t>Critères du DSM-V</w:t>
            </w:r>
          </w:p>
        </w:tc>
      </w:tr>
      <w:tr w:rsidR="004E0124" w:rsidTr="00F92166">
        <w:tc>
          <w:tcPr>
            <w:tcW w:w="11165" w:type="dxa"/>
          </w:tcPr>
          <w:p w:rsidR="004E0124" w:rsidRPr="00773B12" w:rsidRDefault="007D2487" w:rsidP="007D2487">
            <w:pPr>
              <w:pStyle w:val="Sansinterligne"/>
              <w:numPr>
                <w:ilvl w:val="0"/>
                <w:numId w:val="624"/>
              </w:numPr>
              <w:rPr>
                <w:highlight w:val="yellow"/>
              </w:rPr>
            </w:pPr>
            <w:r w:rsidRPr="00773B12">
              <w:rPr>
                <w:highlight w:val="yellow"/>
              </w:rPr>
              <w:t xml:space="preserve">Critères remplis pour </w:t>
            </w:r>
            <w:r w:rsidRPr="00773B12">
              <w:rPr>
                <w:highlight w:val="yellow"/>
                <w:u w:val="single"/>
              </w:rPr>
              <w:t xml:space="preserve">au moins un épisode </w:t>
            </w:r>
            <w:r w:rsidR="00031FE9">
              <w:rPr>
                <w:highlight w:val="yellow"/>
                <w:u w:val="single"/>
              </w:rPr>
              <w:t>hypo</w:t>
            </w:r>
            <w:r w:rsidRPr="00773B12">
              <w:rPr>
                <w:highlight w:val="yellow"/>
                <w:u w:val="single"/>
              </w:rPr>
              <w:t>maniaque</w:t>
            </w:r>
            <w:r w:rsidRPr="00773B12">
              <w:rPr>
                <w:highlight w:val="yellow"/>
              </w:rPr>
              <w:t xml:space="preserve"> ET </w:t>
            </w:r>
            <w:r w:rsidRPr="00773B12">
              <w:rPr>
                <w:highlight w:val="yellow"/>
                <w:u w:val="single"/>
              </w:rPr>
              <w:t>un épisode dépressif caractérisé</w:t>
            </w:r>
            <w:r w:rsidRPr="00773B12">
              <w:rPr>
                <w:highlight w:val="yellow"/>
              </w:rPr>
              <w:t xml:space="preserve"> (actuels ou passés) (voir </w:t>
            </w:r>
            <w:r w:rsidR="00031FE9">
              <w:rPr>
                <w:i/>
                <w:highlight w:val="yellow"/>
              </w:rPr>
              <w:t>Humeur dépressive CMC</w:t>
            </w:r>
            <w:r w:rsidRPr="00773B12">
              <w:rPr>
                <w:i/>
                <w:highlight w:val="yellow"/>
              </w:rPr>
              <w:t xml:space="preserve"> 59-1</w:t>
            </w:r>
            <w:r w:rsidRPr="00773B12">
              <w:rPr>
                <w:highlight w:val="yellow"/>
              </w:rPr>
              <w:t>)</w:t>
            </w:r>
          </w:p>
          <w:p w:rsidR="007D2487" w:rsidRPr="00773B12" w:rsidRDefault="007D2487" w:rsidP="007D2487">
            <w:pPr>
              <w:pStyle w:val="Sansinterligne"/>
              <w:numPr>
                <w:ilvl w:val="0"/>
                <w:numId w:val="624"/>
              </w:numPr>
              <w:rPr>
                <w:highlight w:val="yellow"/>
              </w:rPr>
            </w:pPr>
            <w:r w:rsidRPr="00773B12">
              <w:rPr>
                <w:highlight w:val="yellow"/>
              </w:rPr>
              <w:t>Il n’y a jamais eu d’épisode maniaque.</w:t>
            </w:r>
          </w:p>
          <w:p w:rsidR="007D2487" w:rsidRDefault="007D2487" w:rsidP="007D2487">
            <w:pPr>
              <w:pStyle w:val="Sansinterligne"/>
              <w:numPr>
                <w:ilvl w:val="0"/>
                <w:numId w:val="624"/>
              </w:numPr>
            </w:pPr>
            <w:r>
              <w:t>Ces épisodes ne sont pas mieux expliqués par un trouble psychotique.</w:t>
            </w:r>
          </w:p>
          <w:p w:rsidR="007D2487" w:rsidRDefault="007D2487" w:rsidP="007D2487">
            <w:pPr>
              <w:pStyle w:val="Sansinterligne"/>
              <w:numPr>
                <w:ilvl w:val="0"/>
                <w:numId w:val="624"/>
              </w:numPr>
            </w:pPr>
            <w:r>
              <w:t>Les symptômes de dépression ou l’alternance dépression/hypomanie entraîne une souffrance importante ou un dysfonctionnement.</w:t>
            </w:r>
          </w:p>
        </w:tc>
      </w:tr>
      <w:tr w:rsidR="004E0124" w:rsidRPr="00BC277C" w:rsidTr="002A1F06">
        <w:tc>
          <w:tcPr>
            <w:tcW w:w="11165" w:type="dxa"/>
            <w:shd w:val="clear" w:color="auto" w:fill="9BBB59" w:themeFill="accent3"/>
          </w:tcPr>
          <w:p w:rsidR="004E0124" w:rsidRPr="00BC277C" w:rsidRDefault="004E0124" w:rsidP="00F92166">
            <w:pPr>
              <w:pStyle w:val="Sansinterligne"/>
              <w:jc w:val="center"/>
              <w:rPr>
                <w:b/>
              </w:rPr>
            </w:pPr>
            <w:r w:rsidRPr="00BC277C">
              <w:rPr>
                <w:b/>
              </w:rPr>
              <w:t xml:space="preserve">Trouble </w:t>
            </w:r>
            <w:r>
              <w:rPr>
                <w:b/>
              </w:rPr>
              <w:t>cyclothymique</w:t>
            </w:r>
          </w:p>
        </w:tc>
      </w:tr>
      <w:tr w:rsidR="004E0124" w:rsidTr="00F92166">
        <w:tc>
          <w:tcPr>
            <w:tcW w:w="11165" w:type="dxa"/>
          </w:tcPr>
          <w:p w:rsidR="004E0124" w:rsidRDefault="004E0124" w:rsidP="004E0124">
            <w:pPr>
              <w:pStyle w:val="Sansinterligne"/>
              <w:jc w:val="center"/>
            </w:pPr>
            <w:r w:rsidRPr="00BC277C">
              <w:rPr>
                <w:i/>
              </w:rPr>
              <w:t>Critères du DSM-V</w:t>
            </w:r>
          </w:p>
        </w:tc>
      </w:tr>
      <w:tr w:rsidR="004E0124" w:rsidTr="00F92166">
        <w:tc>
          <w:tcPr>
            <w:tcW w:w="11165" w:type="dxa"/>
          </w:tcPr>
          <w:p w:rsidR="004E0124" w:rsidRDefault="007D2487" w:rsidP="007D2487">
            <w:pPr>
              <w:pStyle w:val="Sansinterligne"/>
              <w:numPr>
                <w:ilvl w:val="0"/>
                <w:numId w:val="625"/>
              </w:numPr>
            </w:pPr>
            <w:r>
              <w:t>Existence pendant au moins 2 ans (1 an chez les enfants/adolescents) de périodes avec symptômes hypomaniaques et de périodes avec symptômes dépressifs sans rencontrer les critères d’hypomanie et d’épisode dépressif.</w:t>
            </w:r>
          </w:p>
          <w:p w:rsidR="007D2487" w:rsidRDefault="007D2487" w:rsidP="007D2487">
            <w:pPr>
              <w:pStyle w:val="Sansinterligne"/>
              <w:numPr>
                <w:ilvl w:val="0"/>
                <w:numId w:val="625"/>
              </w:numPr>
            </w:pPr>
            <w:r>
              <w:t xml:space="preserve">Pendant ces  2 ans, les périodes symptomatiques ont occupés au moins la moitié du temps, et il n’y a pas eu </w:t>
            </w:r>
            <w:r>
              <w:rPr>
                <w:rFonts w:ascii="Century Gothic" w:hAnsi="Century Gothic"/>
              </w:rPr>
              <w:t>≥</w:t>
            </w:r>
            <w:r>
              <w:t xml:space="preserve"> 2 mois sans ces symptômes.</w:t>
            </w:r>
          </w:p>
          <w:p w:rsidR="007D2487" w:rsidRDefault="007D2487" w:rsidP="007D2487">
            <w:pPr>
              <w:pStyle w:val="Sansinterligne"/>
              <w:numPr>
                <w:ilvl w:val="0"/>
                <w:numId w:val="625"/>
              </w:numPr>
            </w:pPr>
            <w:r>
              <w:t>Les critères d’épisode dépressif caractérisé, de manie et d’hypomanie n’ont jamais été rencontrés.</w:t>
            </w:r>
          </w:p>
          <w:p w:rsidR="007D2487" w:rsidRDefault="007D2487" w:rsidP="007D2487">
            <w:pPr>
              <w:pStyle w:val="Sansinterligne"/>
              <w:numPr>
                <w:ilvl w:val="0"/>
                <w:numId w:val="625"/>
              </w:numPr>
            </w:pPr>
            <w:r>
              <w:t>+ E + F</w:t>
            </w:r>
            <w:r w:rsidR="00773B12">
              <w:t xml:space="preserve">   </w:t>
            </w:r>
            <w:r>
              <w:t xml:space="preserve"> La condition n’est pas mieux expliquée par un trouble psychotique, l’usage de substance ou une condition médicale.</w:t>
            </w:r>
          </w:p>
          <w:p w:rsidR="007D2487" w:rsidRDefault="007D2487" w:rsidP="007D2487">
            <w:pPr>
              <w:pStyle w:val="Sansinterligne"/>
              <w:numPr>
                <w:ilvl w:val="0"/>
                <w:numId w:val="626"/>
              </w:numPr>
            </w:pPr>
            <w:r>
              <w:t>Détresse cliniquement significative ou dysfonctionnement.</w:t>
            </w:r>
          </w:p>
        </w:tc>
      </w:tr>
    </w:tbl>
    <w:p w:rsidR="005F6AED" w:rsidRDefault="005F6AED" w:rsidP="004E0124">
      <w:pPr>
        <w:pStyle w:val="Sansinterligne"/>
        <w:rPr>
          <w:b/>
          <w:lang w:eastAsia="fr-CA"/>
        </w:rPr>
      </w:pPr>
    </w:p>
    <w:p w:rsidR="004E0124" w:rsidRDefault="004E0124" w:rsidP="004E0124">
      <w:pPr>
        <w:pStyle w:val="Sansinterligne"/>
        <w:rPr>
          <w:b/>
          <w:lang w:eastAsia="fr-CA"/>
        </w:rPr>
      </w:pPr>
      <w:r w:rsidRPr="009F0356">
        <w:rPr>
          <w:b/>
          <w:lang w:eastAsia="fr-CA"/>
        </w:rPr>
        <w:t>Trouble induit par une substance toxique</w:t>
      </w:r>
    </w:p>
    <w:p w:rsidR="004E0124" w:rsidRPr="00AD218E" w:rsidRDefault="004E0124" w:rsidP="004E0124">
      <w:pPr>
        <w:pStyle w:val="Sansinterligne"/>
        <w:numPr>
          <w:ilvl w:val="0"/>
          <w:numId w:val="595"/>
        </w:numPr>
        <w:rPr>
          <w:highlight w:val="yellow"/>
          <w:lang w:eastAsia="fr-CA"/>
        </w:rPr>
      </w:pPr>
      <w:r w:rsidRPr="00AD218E">
        <w:rPr>
          <w:highlight w:val="yellow"/>
          <w:lang w:eastAsia="fr-CA"/>
        </w:rPr>
        <w:t>Perturbation de l’humeur, surtout l’anhédonie et une humeur dépressive.</w:t>
      </w:r>
    </w:p>
    <w:p w:rsidR="004E0124" w:rsidRPr="00AD218E" w:rsidRDefault="004E0124" w:rsidP="004E0124">
      <w:pPr>
        <w:pStyle w:val="Sansinterligne"/>
        <w:numPr>
          <w:ilvl w:val="0"/>
          <w:numId w:val="595"/>
        </w:numPr>
        <w:rPr>
          <w:highlight w:val="yellow"/>
          <w:lang w:eastAsia="fr-CA"/>
        </w:rPr>
      </w:pPr>
      <w:r w:rsidRPr="00AD218E">
        <w:rPr>
          <w:highlight w:val="yellow"/>
          <w:lang w:eastAsia="fr-CA"/>
        </w:rPr>
        <w:t>Chronologie et anamnèse compatible. (Symptômes suivant une intoxication ou un sevrage)</w:t>
      </w:r>
    </w:p>
    <w:p w:rsidR="004E0124" w:rsidRPr="002E57C3" w:rsidRDefault="004E0124" w:rsidP="004E0124">
      <w:pPr>
        <w:pStyle w:val="Sansinterligne"/>
        <w:numPr>
          <w:ilvl w:val="0"/>
          <w:numId w:val="595"/>
        </w:numPr>
        <w:rPr>
          <w:lang w:eastAsia="fr-CA"/>
        </w:rPr>
      </w:pPr>
      <w:r w:rsidRPr="002E57C3">
        <w:rPr>
          <w:lang w:eastAsia="fr-CA"/>
        </w:rPr>
        <w:t>Autre cause exclue</w:t>
      </w:r>
    </w:p>
    <w:p w:rsidR="004E0124" w:rsidRPr="002E57C3" w:rsidRDefault="004E0124" w:rsidP="004E0124">
      <w:pPr>
        <w:pStyle w:val="Sansinterligne"/>
        <w:numPr>
          <w:ilvl w:val="0"/>
          <w:numId w:val="595"/>
        </w:numPr>
        <w:rPr>
          <w:lang w:eastAsia="fr-CA"/>
        </w:rPr>
      </w:pPr>
      <w:r w:rsidRPr="002E57C3">
        <w:rPr>
          <w:lang w:eastAsia="fr-CA"/>
        </w:rPr>
        <w:t>Notamment :</w:t>
      </w:r>
    </w:p>
    <w:p w:rsidR="004E0124" w:rsidRDefault="004E0124" w:rsidP="004E0124">
      <w:pPr>
        <w:pStyle w:val="Sansinterligne"/>
        <w:numPr>
          <w:ilvl w:val="0"/>
          <w:numId w:val="596"/>
        </w:numPr>
        <w:rPr>
          <w:lang w:eastAsia="fr-CA"/>
        </w:rPr>
        <w:sectPr w:rsidR="004E0124" w:rsidSect="00217865">
          <w:type w:val="continuous"/>
          <w:pgSz w:w="12240" w:h="15840"/>
          <w:pgMar w:top="720" w:right="720" w:bottom="720" w:left="720" w:header="708" w:footer="708" w:gutter="0"/>
          <w:cols w:space="708"/>
          <w:docGrid w:linePitch="360"/>
        </w:sectPr>
      </w:pPr>
    </w:p>
    <w:p w:rsidR="004E0124" w:rsidRPr="002E57C3" w:rsidRDefault="004E0124" w:rsidP="004E0124">
      <w:pPr>
        <w:pStyle w:val="Sansinterligne"/>
        <w:numPr>
          <w:ilvl w:val="0"/>
          <w:numId w:val="596"/>
        </w:numPr>
        <w:rPr>
          <w:lang w:eastAsia="fr-CA"/>
        </w:rPr>
      </w:pPr>
      <w:r w:rsidRPr="002E57C3">
        <w:rPr>
          <w:lang w:eastAsia="fr-CA"/>
        </w:rPr>
        <w:t>Alcool</w:t>
      </w:r>
    </w:p>
    <w:p w:rsidR="004E0124" w:rsidRPr="002E57C3" w:rsidRDefault="004E0124" w:rsidP="004E0124">
      <w:pPr>
        <w:pStyle w:val="Sansinterligne"/>
        <w:numPr>
          <w:ilvl w:val="0"/>
          <w:numId w:val="596"/>
        </w:numPr>
        <w:rPr>
          <w:lang w:eastAsia="fr-CA"/>
        </w:rPr>
      </w:pPr>
      <w:r w:rsidRPr="002E57C3">
        <w:rPr>
          <w:lang w:eastAsia="fr-CA"/>
        </w:rPr>
        <w:t>Cocaïne</w:t>
      </w:r>
    </w:p>
    <w:p w:rsidR="004E0124" w:rsidRPr="002E57C3" w:rsidRDefault="004E0124" w:rsidP="004E0124">
      <w:pPr>
        <w:pStyle w:val="Sansinterligne"/>
        <w:numPr>
          <w:ilvl w:val="0"/>
          <w:numId w:val="596"/>
        </w:numPr>
        <w:rPr>
          <w:lang w:eastAsia="fr-CA"/>
        </w:rPr>
      </w:pPr>
      <w:r w:rsidRPr="002E57C3">
        <w:rPr>
          <w:lang w:eastAsia="fr-CA"/>
        </w:rPr>
        <w:t>Amphétamines</w:t>
      </w:r>
    </w:p>
    <w:p w:rsidR="004E0124" w:rsidRPr="002E57C3" w:rsidRDefault="004E0124" w:rsidP="004E0124">
      <w:pPr>
        <w:pStyle w:val="Sansinterligne"/>
        <w:numPr>
          <w:ilvl w:val="0"/>
          <w:numId w:val="596"/>
        </w:numPr>
        <w:rPr>
          <w:lang w:eastAsia="fr-CA"/>
        </w:rPr>
      </w:pPr>
      <w:r w:rsidRPr="002E57C3">
        <w:rPr>
          <w:lang w:eastAsia="fr-CA"/>
        </w:rPr>
        <w:t>Phencyclidine</w:t>
      </w:r>
    </w:p>
    <w:p w:rsidR="004E0124" w:rsidRPr="002E57C3" w:rsidRDefault="004E0124" w:rsidP="004E0124">
      <w:pPr>
        <w:pStyle w:val="Sansinterligne"/>
        <w:numPr>
          <w:ilvl w:val="0"/>
          <w:numId w:val="596"/>
        </w:numPr>
        <w:rPr>
          <w:lang w:eastAsia="fr-CA"/>
        </w:rPr>
      </w:pPr>
      <w:r w:rsidRPr="002E57C3">
        <w:rPr>
          <w:lang w:eastAsia="fr-CA"/>
        </w:rPr>
        <w:t>Sédatifs, hypnotiques, anxiolytiques</w:t>
      </w:r>
    </w:p>
    <w:p w:rsidR="004E0124" w:rsidRPr="002E57C3" w:rsidRDefault="004E0124" w:rsidP="004E0124">
      <w:pPr>
        <w:pStyle w:val="Sansinterligne"/>
        <w:numPr>
          <w:ilvl w:val="0"/>
          <w:numId w:val="596"/>
        </w:numPr>
        <w:rPr>
          <w:lang w:eastAsia="fr-CA"/>
        </w:rPr>
      </w:pPr>
      <w:r w:rsidRPr="002E57C3">
        <w:rPr>
          <w:lang w:eastAsia="fr-CA"/>
        </w:rPr>
        <w:t>Hallucinogènes</w:t>
      </w:r>
    </w:p>
    <w:p w:rsidR="004E0124" w:rsidRDefault="004E0124" w:rsidP="004E0124">
      <w:pPr>
        <w:pStyle w:val="Sansinterligne"/>
        <w:numPr>
          <w:ilvl w:val="0"/>
          <w:numId w:val="596"/>
        </w:numPr>
        <w:rPr>
          <w:lang w:eastAsia="fr-CA"/>
        </w:rPr>
        <w:sectPr w:rsidR="004E0124" w:rsidSect="002E57C3">
          <w:type w:val="continuous"/>
          <w:pgSz w:w="12240" w:h="15840"/>
          <w:pgMar w:top="720" w:right="720" w:bottom="720" w:left="720" w:header="708" w:footer="708" w:gutter="0"/>
          <w:cols w:num="2" w:space="0" w:equalWidth="0">
            <w:col w:w="2835" w:space="0"/>
            <w:col w:w="7965"/>
          </w:cols>
          <w:docGrid w:linePitch="360"/>
        </w:sectPr>
      </w:pPr>
    </w:p>
    <w:p w:rsidR="004E0124" w:rsidRPr="000758BB" w:rsidRDefault="004E0124" w:rsidP="004E0124">
      <w:pPr>
        <w:pStyle w:val="Sansinterligne"/>
        <w:rPr>
          <w:lang w:eastAsia="fr-CA"/>
        </w:rPr>
      </w:pPr>
    </w:p>
    <w:p w:rsidR="004E0124" w:rsidRPr="009F0356" w:rsidRDefault="004E0124" w:rsidP="004E0124">
      <w:pPr>
        <w:pStyle w:val="Sansinterligne"/>
        <w:rPr>
          <w:b/>
          <w:lang w:eastAsia="fr-CA"/>
        </w:rPr>
      </w:pPr>
      <w:r w:rsidRPr="009F0356">
        <w:rPr>
          <w:b/>
          <w:lang w:eastAsia="fr-CA"/>
        </w:rPr>
        <w:t>Trouble de l'humeur secondaire à une affection médicale générale</w:t>
      </w:r>
    </w:p>
    <w:p w:rsidR="004E0124" w:rsidRDefault="004E0124" w:rsidP="004E0124">
      <w:pPr>
        <w:pStyle w:val="Sansinterligne"/>
        <w:numPr>
          <w:ilvl w:val="0"/>
          <w:numId w:val="594"/>
        </w:numPr>
        <w:rPr>
          <w:lang w:eastAsia="fr-CA"/>
        </w:rPr>
      </w:pPr>
      <w:r>
        <w:rPr>
          <w:lang w:eastAsia="fr-CA"/>
        </w:rPr>
        <w:t xml:space="preserve">L’anamnèse, la chronologie, l’examen et les antécédents portent à croire que les symptômes </w:t>
      </w:r>
      <w:r w:rsidR="005F6AED">
        <w:rPr>
          <w:lang w:eastAsia="fr-CA"/>
        </w:rPr>
        <w:t>maniaques/hypomaniaques</w:t>
      </w:r>
      <w:r>
        <w:rPr>
          <w:lang w:eastAsia="fr-CA"/>
        </w:rPr>
        <w:t xml:space="preserve"> sont reliés à la condition médicale.</w:t>
      </w:r>
    </w:p>
    <w:p w:rsidR="004E0124" w:rsidRPr="00C3435D" w:rsidRDefault="004E0124" w:rsidP="005F6AED">
      <w:pPr>
        <w:pStyle w:val="Sansinterligne"/>
        <w:numPr>
          <w:ilvl w:val="0"/>
          <w:numId w:val="594"/>
        </w:numPr>
        <w:rPr>
          <w:lang w:eastAsia="fr-CA"/>
        </w:rPr>
      </w:pPr>
      <w:r>
        <w:rPr>
          <w:lang w:eastAsia="fr-CA"/>
        </w:rPr>
        <w:t>Autre cause exclue</w:t>
      </w:r>
    </w:p>
    <w:p w:rsidR="005F6AED" w:rsidRDefault="005F6AED" w:rsidP="0096763D">
      <w:pPr>
        <w:pStyle w:val="Sansinterligne"/>
        <w:rPr>
          <w:rFonts w:cs="Times New Roman"/>
          <w:b/>
          <w:color w:val="548DD4" w:themeColor="text2" w:themeTint="99"/>
        </w:rPr>
      </w:pPr>
    </w:p>
    <w:p w:rsidR="0096763D" w:rsidRPr="00C3435D" w:rsidRDefault="0096763D" w:rsidP="0096763D">
      <w:pPr>
        <w:pStyle w:val="Sansinterligne"/>
        <w:rPr>
          <w:b/>
          <w:sz w:val="28"/>
          <w:szCs w:val="28"/>
        </w:rPr>
      </w:pPr>
      <w:r w:rsidRPr="00C3435D">
        <w:rPr>
          <w:b/>
          <w:sz w:val="28"/>
          <w:szCs w:val="28"/>
        </w:rPr>
        <w:t>Investigations</w:t>
      </w:r>
    </w:p>
    <w:p w:rsidR="0096763D" w:rsidRPr="00C3435D" w:rsidRDefault="0096763D" w:rsidP="0096763D">
      <w:pPr>
        <w:pStyle w:val="Sansinterligne"/>
      </w:pPr>
    </w:p>
    <w:p w:rsidR="005F6AED" w:rsidRDefault="005F6AED" w:rsidP="0096763D">
      <w:pPr>
        <w:pStyle w:val="Sansinterligne"/>
        <w:numPr>
          <w:ilvl w:val="0"/>
          <w:numId w:val="593"/>
        </w:numPr>
        <w:sectPr w:rsidR="005F6AED" w:rsidSect="00217865">
          <w:type w:val="continuous"/>
          <w:pgSz w:w="12240" w:h="15840"/>
          <w:pgMar w:top="720" w:right="720" w:bottom="720" w:left="720" w:header="708" w:footer="708" w:gutter="0"/>
          <w:cols w:space="708"/>
          <w:docGrid w:linePitch="360"/>
        </w:sectPr>
      </w:pPr>
    </w:p>
    <w:p w:rsidR="0096763D" w:rsidRDefault="0096763D" w:rsidP="0096763D">
      <w:pPr>
        <w:pStyle w:val="Sansinterligne"/>
        <w:numPr>
          <w:ilvl w:val="0"/>
          <w:numId w:val="593"/>
        </w:numPr>
      </w:pPr>
      <w:r>
        <w:t>Dépistage de drogues de rues</w:t>
      </w:r>
      <w:r w:rsidRPr="00C333D2">
        <w:t xml:space="preserve"> </w:t>
      </w:r>
    </w:p>
    <w:p w:rsidR="0096763D" w:rsidRDefault="0096763D" w:rsidP="0096763D">
      <w:pPr>
        <w:pStyle w:val="Sansinterligne"/>
        <w:numPr>
          <w:ilvl w:val="0"/>
          <w:numId w:val="593"/>
        </w:numPr>
      </w:pPr>
      <w:r>
        <w:t>TSH</w:t>
      </w:r>
    </w:p>
    <w:p w:rsidR="005F6AED" w:rsidRDefault="005F6AED" w:rsidP="0096763D">
      <w:pPr>
        <w:pStyle w:val="Sansinterligne"/>
        <w:sectPr w:rsidR="005F6AED" w:rsidSect="005F6AED">
          <w:type w:val="continuous"/>
          <w:pgSz w:w="12240" w:h="15840"/>
          <w:pgMar w:top="720" w:right="720" w:bottom="720" w:left="720" w:header="708" w:footer="708" w:gutter="0"/>
          <w:cols w:num="2" w:space="708"/>
          <w:docGrid w:linePitch="360"/>
        </w:sectPr>
      </w:pPr>
    </w:p>
    <w:p w:rsidR="00264683" w:rsidRDefault="001B5879" w:rsidP="001B5879">
      <w:pPr>
        <w:pStyle w:val="Sansinterligne"/>
        <w:rPr>
          <w:b/>
          <w:sz w:val="28"/>
          <w:szCs w:val="28"/>
        </w:rPr>
      </w:pPr>
      <w:r>
        <w:rPr>
          <w:b/>
          <w:sz w:val="28"/>
          <w:szCs w:val="28"/>
        </w:rPr>
        <w:t>Prise en charge</w:t>
      </w:r>
    </w:p>
    <w:p w:rsidR="00F2207E" w:rsidRDefault="00F2207E" w:rsidP="00264683">
      <w:pPr>
        <w:pStyle w:val="Sansinterligne"/>
        <w:rPr>
          <w:b/>
          <w:sz w:val="28"/>
          <w:szCs w:val="28"/>
        </w:rPr>
      </w:pPr>
    </w:p>
    <w:p w:rsidR="00F2207E" w:rsidRDefault="00F2207E" w:rsidP="00264683">
      <w:pPr>
        <w:pStyle w:val="Sansinterligne"/>
        <w:rPr>
          <w:b/>
        </w:rPr>
        <w:sectPr w:rsidR="00F2207E" w:rsidSect="00217865">
          <w:type w:val="continuous"/>
          <w:pgSz w:w="12240" w:h="15840"/>
          <w:pgMar w:top="720" w:right="720" w:bottom="720" w:left="720" w:header="708" w:footer="708" w:gutter="0"/>
          <w:cols w:space="708"/>
          <w:docGrid w:linePitch="360"/>
        </w:sectPr>
      </w:pPr>
    </w:p>
    <w:p w:rsidR="00264683" w:rsidRDefault="00264683" w:rsidP="00264683">
      <w:pPr>
        <w:pStyle w:val="Sansinterligne"/>
        <w:rPr>
          <w:b/>
        </w:rPr>
      </w:pPr>
      <w:r w:rsidRPr="00264683">
        <w:rPr>
          <w:b/>
        </w:rPr>
        <w:t>Traitement pharmacologique</w:t>
      </w:r>
    </w:p>
    <w:p w:rsidR="00264683" w:rsidRPr="00264683" w:rsidRDefault="00264683" w:rsidP="00264683">
      <w:pPr>
        <w:pStyle w:val="Sansinterligne"/>
        <w:rPr>
          <w:b/>
        </w:rPr>
      </w:pPr>
    </w:p>
    <w:p w:rsidR="00790670" w:rsidRPr="00790670" w:rsidRDefault="00264683" w:rsidP="00264683">
      <w:pPr>
        <w:pStyle w:val="Sansinterligne"/>
        <w:numPr>
          <w:ilvl w:val="0"/>
          <w:numId w:val="627"/>
        </w:numPr>
        <w:rPr>
          <w:highlight w:val="yellow"/>
          <w:u w:val="single"/>
        </w:rPr>
      </w:pPr>
      <w:r w:rsidRPr="00790670">
        <w:rPr>
          <w:highlight w:val="yellow"/>
          <w:u w:val="single"/>
        </w:rPr>
        <w:t xml:space="preserve">Stabilisateurs de l’humeur </w:t>
      </w:r>
    </w:p>
    <w:p w:rsidR="00264683" w:rsidRDefault="00264683" w:rsidP="00790670">
      <w:pPr>
        <w:pStyle w:val="Sansinterligne"/>
        <w:ind w:left="360"/>
      </w:pPr>
      <w:r w:rsidRPr="00790670">
        <w:rPr>
          <w:highlight w:val="yellow"/>
        </w:rPr>
        <w:t>(lithium, anticonvulsivants)</w:t>
      </w:r>
    </w:p>
    <w:p w:rsidR="00790670" w:rsidRPr="00790670" w:rsidRDefault="00264683" w:rsidP="00264683">
      <w:pPr>
        <w:pStyle w:val="Sansinterligne"/>
        <w:numPr>
          <w:ilvl w:val="0"/>
          <w:numId w:val="627"/>
        </w:numPr>
        <w:rPr>
          <w:highlight w:val="yellow"/>
        </w:rPr>
      </w:pPr>
      <w:r w:rsidRPr="00790670">
        <w:rPr>
          <w:highlight w:val="yellow"/>
        </w:rPr>
        <w:t xml:space="preserve">Éviter les antidépresseurs en monothérapie </w:t>
      </w:r>
    </w:p>
    <w:p w:rsidR="00264683" w:rsidRPr="00790670" w:rsidRDefault="00264683" w:rsidP="00790670">
      <w:pPr>
        <w:pStyle w:val="Sansinterligne"/>
        <w:ind w:left="360"/>
        <w:rPr>
          <w:highlight w:val="yellow"/>
        </w:rPr>
      </w:pPr>
      <w:r w:rsidRPr="00790670">
        <w:rPr>
          <w:highlight w:val="yellow"/>
        </w:rPr>
        <w:t>(si symptômes dépressifs)</w:t>
      </w:r>
    </w:p>
    <w:p w:rsidR="00264683" w:rsidRPr="00790670" w:rsidRDefault="00264683" w:rsidP="00264683">
      <w:pPr>
        <w:pStyle w:val="Sansinterligne"/>
        <w:numPr>
          <w:ilvl w:val="1"/>
          <w:numId w:val="627"/>
        </w:numPr>
        <w:rPr>
          <w:highlight w:val="yellow"/>
        </w:rPr>
      </w:pPr>
      <w:r w:rsidRPr="00790670">
        <w:rPr>
          <w:highlight w:val="yellow"/>
        </w:rPr>
        <w:t>Ils peuvent précipiter des épisodes maniaques</w:t>
      </w:r>
    </w:p>
    <w:p w:rsidR="00264683" w:rsidRDefault="00264683" w:rsidP="00264683">
      <w:pPr>
        <w:pStyle w:val="Sansinterligne"/>
        <w:numPr>
          <w:ilvl w:val="0"/>
          <w:numId w:val="627"/>
        </w:numPr>
      </w:pPr>
      <w:r>
        <w:t>Antipsychotiques PRN</w:t>
      </w:r>
      <w:r w:rsidR="0099513A">
        <w:t xml:space="preserve"> (quétiapine)</w:t>
      </w:r>
    </w:p>
    <w:p w:rsidR="00790670" w:rsidRDefault="00790670" w:rsidP="00264683">
      <w:pPr>
        <w:pStyle w:val="Sansinterligne"/>
      </w:pPr>
    </w:p>
    <w:p w:rsidR="00B45C3D" w:rsidRDefault="00B45C3D" w:rsidP="00264683">
      <w:pPr>
        <w:pStyle w:val="Sansinterligne"/>
      </w:pPr>
    </w:p>
    <w:p w:rsidR="00F2207E" w:rsidRDefault="00F2207E" w:rsidP="00264683">
      <w:pPr>
        <w:pStyle w:val="Sansinterligne"/>
        <w:rPr>
          <w:b/>
        </w:rPr>
      </w:pPr>
      <w:r w:rsidRPr="00F2207E">
        <w:rPr>
          <w:b/>
        </w:rPr>
        <w:t>Autres options</w:t>
      </w:r>
    </w:p>
    <w:p w:rsidR="00F2207E" w:rsidRPr="00F2207E" w:rsidRDefault="00F2207E" w:rsidP="00264683">
      <w:pPr>
        <w:pStyle w:val="Sansinterligne"/>
        <w:rPr>
          <w:b/>
        </w:rPr>
      </w:pPr>
    </w:p>
    <w:p w:rsidR="00F2207E" w:rsidRDefault="00F2207E" w:rsidP="00264683">
      <w:pPr>
        <w:pStyle w:val="Sansinterligne"/>
        <w:numPr>
          <w:ilvl w:val="0"/>
          <w:numId w:val="629"/>
        </w:numPr>
      </w:pPr>
      <w:r>
        <w:t>Psychothérapie (surtout cognitive et psychodynamique)</w:t>
      </w:r>
    </w:p>
    <w:p w:rsidR="00264683" w:rsidRDefault="00264683" w:rsidP="00264683">
      <w:pPr>
        <w:pStyle w:val="Sansinterligne"/>
        <w:numPr>
          <w:ilvl w:val="0"/>
          <w:numId w:val="628"/>
        </w:numPr>
      </w:pPr>
      <w:r>
        <w:t>Électroconvulsivothérapie (ECT)</w:t>
      </w:r>
      <w:r w:rsidR="00352348">
        <w:t xml:space="preserve"> – en trouble bipolaire, pas en cyclothymie</w:t>
      </w:r>
    </w:p>
    <w:p w:rsidR="00F2207E" w:rsidRDefault="00F2207E" w:rsidP="00790670">
      <w:pPr>
        <w:pStyle w:val="Sansinterligne"/>
      </w:pPr>
    </w:p>
    <w:p w:rsidR="007552D2" w:rsidRDefault="007552D2" w:rsidP="00790670">
      <w:pPr>
        <w:pStyle w:val="Sansinterligne"/>
      </w:pPr>
    </w:p>
    <w:p w:rsidR="00790670" w:rsidRDefault="00790670" w:rsidP="00790670">
      <w:pPr>
        <w:pStyle w:val="Sansinterligne"/>
      </w:pPr>
    </w:p>
    <w:p w:rsidR="00790670" w:rsidRDefault="00790670" w:rsidP="00790670">
      <w:pPr>
        <w:pStyle w:val="Sansinterligne"/>
      </w:pPr>
    </w:p>
    <w:p w:rsidR="00790670" w:rsidRDefault="00790670" w:rsidP="00790670">
      <w:pPr>
        <w:pStyle w:val="Sansinterligne"/>
      </w:pPr>
    </w:p>
    <w:p w:rsidR="00B45C3D" w:rsidRDefault="00B45C3D" w:rsidP="00790670">
      <w:pPr>
        <w:pStyle w:val="Sansinterligne"/>
        <w:sectPr w:rsidR="00B45C3D" w:rsidSect="00F2207E">
          <w:type w:val="continuous"/>
          <w:pgSz w:w="12240" w:h="15840"/>
          <w:pgMar w:top="720" w:right="720" w:bottom="720" w:left="720" w:header="708" w:footer="708" w:gutter="0"/>
          <w:cols w:num="2" w:space="0" w:equalWidth="0">
            <w:col w:w="4536" w:space="0"/>
            <w:col w:w="6264"/>
          </w:cols>
          <w:docGrid w:linePitch="360"/>
        </w:sectPr>
      </w:pPr>
    </w:p>
    <w:p w:rsidR="007552D2" w:rsidRDefault="00264683" w:rsidP="00790670">
      <w:pPr>
        <w:pStyle w:val="Sansinterligne"/>
        <w:rPr>
          <w:b/>
        </w:rPr>
      </w:pPr>
      <w:r w:rsidRPr="00790670">
        <w:rPr>
          <w:b/>
        </w:rPr>
        <w:t xml:space="preserve">Une fois traité </w:t>
      </w:r>
      <w:r w:rsidRPr="00790670">
        <w:rPr>
          <w:rFonts w:ascii="Century Gothic" w:hAnsi="Century Gothic"/>
          <w:b/>
        </w:rPr>
        <w:t>→</w:t>
      </w:r>
      <w:r w:rsidRPr="00790670">
        <w:rPr>
          <w:b/>
        </w:rPr>
        <w:t xml:space="preserve"> explication et démystification de la maladie auprès du patient</w:t>
      </w:r>
    </w:p>
    <w:p w:rsidR="007552D2" w:rsidRPr="00790670" w:rsidRDefault="007552D2" w:rsidP="00790670">
      <w:pPr>
        <w:pStyle w:val="Sansinterligne"/>
        <w:rPr>
          <w:b/>
        </w:rPr>
      </w:pPr>
      <w:r>
        <w:rPr>
          <w:noProof/>
          <w:lang w:eastAsia="fr-CA"/>
        </w:rPr>
        <w:drawing>
          <wp:anchor distT="0" distB="0" distL="114300" distR="114300" simplePos="0" relativeHeight="251845632" behindDoc="0" locked="0" layoutInCell="1" allowOverlap="1" wp14:anchorId="65FF868C" wp14:editId="16D9A1CC">
            <wp:simplePos x="0" y="0"/>
            <wp:positionH relativeFrom="column">
              <wp:posOffset>4228519</wp:posOffset>
            </wp:positionH>
            <wp:positionV relativeFrom="paragraph">
              <wp:posOffset>57044</wp:posOffset>
            </wp:positionV>
            <wp:extent cx="2552700" cy="1123950"/>
            <wp:effectExtent l="0" t="0" r="0" b="0"/>
            <wp:wrapNone/>
            <wp:docPr id="329" name="Imag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polaire.PNG"/>
                    <pic:cNvPicPr/>
                  </pic:nvPicPr>
                  <pic:blipFill>
                    <a:blip r:embed="rId216">
                      <a:extLst>
                        <a:ext uri="{28A0092B-C50C-407E-A947-70E740481C1C}">
                          <a14:useLocalDpi xmlns:a14="http://schemas.microsoft.com/office/drawing/2010/main" val="0"/>
                        </a:ext>
                      </a:extLst>
                    </a:blip>
                    <a:stretch>
                      <a:fillRect/>
                    </a:stretch>
                  </pic:blipFill>
                  <pic:spPr>
                    <a:xfrm>
                      <a:off x="0" y="0"/>
                      <a:ext cx="2552700" cy="1123950"/>
                    </a:xfrm>
                    <a:prstGeom prst="rect">
                      <a:avLst/>
                    </a:prstGeom>
                  </pic:spPr>
                </pic:pic>
              </a:graphicData>
            </a:graphic>
            <wp14:sizeRelH relativeFrom="page">
              <wp14:pctWidth>0</wp14:pctWidth>
            </wp14:sizeRelH>
            <wp14:sizeRelV relativeFrom="page">
              <wp14:pctHeight>0</wp14:pctHeight>
            </wp14:sizeRelV>
          </wp:anchor>
        </w:drawing>
      </w:r>
    </w:p>
    <w:p w:rsidR="001B5879" w:rsidRPr="001B5879" w:rsidRDefault="00352348" w:rsidP="001B5879">
      <w:pPr>
        <w:pStyle w:val="Sansinterligne"/>
        <w:numPr>
          <w:ilvl w:val="1"/>
          <w:numId w:val="630"/>
        </w:numPr>
      </w:pPr>
      <w:r>
        <w:t xml:space="preserve">Trouble bipolaire type I </w:t>
      </w:r>
    </w:p>
    <w:p w:rsidR="001B5879" w:rsidRPr="001B5879" w:rsidRDefault="001B5879" w:rsidP="001B5879">
      <w:pPr>
        <w:pStyle w:val="Sansinterligne"/>
        <w:numPr>
          <w:ilvl w:val="2"/>
          <w:numId w:val="630"/>
        </w:numPr>
      </w:pPr>
      <w:r>
        <w:rPr>
          <w:rFonts w:cs="Times New Roman"/>
        </w:rPr>
        <w:t>R</w:t>
      </w:r>
      <w:r w:rsidR="00352348">
        <w:rPr>
          <w:rFonts w:cs="Times New Roman"/>
        </w:rPr>
        <w:t xml:space="preserve">echutes fréquentes au début (45%) </w:t>
      </w:r>
      <w:r w:rsidR="00352348">
        <w:rPr>
          <w:rFonts w:ascii="Century Gothic" w:hAnsi="Century Gothic" w:cs="Times New Roman"/>
        </w:rPr>
        <w:t>→</w:t>
      </w:r>
      <w:r w:rsidR="00352348">
        <w:rPr>
          <w:rFonts w:cs="Times New Roman"/>
        </w:rPr>
        <w:t xml:space="preserve"> stabilisation</w:t>
      </w:r>
      <w:r w:rsidR="00246613" w:rsidRPr="00246613">
        <w:t xml:space="preserve"> </w:t>
      </w:r>
    </w:p>
    <w:p w:rsidR="00352348" w:rsidRDefault="001B5879" w:rsidP="001B5879">
      <w:pPr>
        <w:pStyle w:val="Sansinterligne"/>
        <w:numPr>
          <w:ilvl w:val="2"/>
          <w:numId w:val="630"/>
        </w:numPr>
      </w:pPr>
      <w:r>
        <w:rPr>
          <w:rFonts w:cs="Times New Roman"/>
        </w:rPr>
        <w:t>Demeure une</w:t>
      </w:r>
      <w:r w:rsidR="00352348">
        <w:rPr>
          <w:rFonts w:cs="Times New Roman"/>
        </w:rPr>
        <w:t xml:space="preserve"> maladie chronique</w:t>
      </w:r>
    </w:p>
    <w:p w:rsidR="001B5879" w:rsidRDefault="00352348" w:rsidP="001B5879">
      <w:pPr>
        <w:pStyle w:val="Sansinterligne"/>
        <w:numPr>
          <w:ilvl w:val="1"/>
          <w:numId w:val="630"/>
        </w:numPr>
      </w:pPr>
      <w:r>
        <w:t xml:space="preserve">Trouble bipolaire type II </w:t>
      </w:r>
    </w:p>
    <w:p w:rsidR="00352348" w:rsidRDefault="001B5879" w:rsidP="001B5879">
      <w:pPr>
        <w:pStyle w:val="Sansinterligne"/>
        <w:numPr>
          <w:ilvl w:val="2"/>
          <w:numId w:val="630"/>
        </w:numPr>
      </w:pPr>
      <w:r>
        <w:t>Bo</w:t>
      </w:r>
      <w:r w:rsidR="00352348">
        <w:t>n pronostic avec traitement, stable</w:t>
      </w:r>
    </w:p>
    <w:p w:rsidR="001B5879" w:rsidRDefault="00352348" w:rsidP="001B5879">
      <w:pPr>
        <w:pStyle w:val="Sansinterligne"/>
        <w:numPr>
          <w:ilvl w:val="1"/>
          <w:numId w:val="630"/>
        </w:numPr>
      </w:pPr>
      <w:r>
        <w:t xml:space="preserve">Trouble cyclothymique </w:t>
      </w:r>
      <w:r>
        <w:rPr>
          <w:rFonts w:ascii="Century Gothic" w:hAnsi="Century Gothic"/>
        </w:rPr>
        <w:t>→</w:t>
      </w:r>
      <w:r>
        <w:t xml:space="preserve"> </w:t>
      </w:r>
    </w:p>
    <w:p w:rsidR="00352348" w:rsidRDefault="001B5879" w:rsidP="001B5879">
      <w:pPr>
        <w:pStyle w:val="Sansinterligne"/>
        <w:numPr>
          <w:ilvl w:val="2"/>
          <w:numId w:val="630"/>
        </w:numPr>
      </w:pPr>
      <w:r>
        <w:t>R</w:t>
      </w:r>
      <w:r w:rsidR="00352348">
        <w:t xml:space="preserve">émission complète difficile, </w:t>
      </w:r>
      <w:r>
        <w:t>ma</w:t>
      </w:r>
      <w:r w:rsidR="00352348">
        <w:t xml:space="preserve">is bon pronostic. </w:t>
      </w:r>
    </w:p>
    <w:p w:rsidR="00352348" w:rsidRDefault="00352348" w:rsidP="001B5879">
      <w:pPr>
        <w:pStyle w:val="Sansinterligne"/>
        <w:numPr>
          <w:ilvl w:val="2"/>
          <w:numId w:val="630"/>
        </w:numPr>
      </w:pPr>
      <w:r>
        <w:rPr>
          <w:rFonts w:cs="Times New Roman"/>
        </w:rPr>
        <w:t>~</w:t>
      </w:r>
      <w:r>
        <w:t xml:space="preserve"> 20% progresse en trouble dépressif caractérisé et 15% en trouble bipolaire de type II</w:t>
      </w:r>
    </w:p>
    <w:p w:rsidR="001B5879" w:rsidRDefault="00246613" w:rsidP="001B5879">
      <w:pPr>
        <w:pStyle w:val="Sansinterligne"/>
        <w:ind w:left="1800"/>
      </w:pPr>
      <w:r>
        <w:rPr>
          <w:noProof/>
          <w:lang w:eastAsia="fr-CA"/>
        </w:rPr>
        <w:drawing>
          <wp:anchor distT="0" distB="0" distL="114300" distR="114300" simplePos="0" relativeHeight="251835392" behindDoc="0" locked="0" layoutInCell="1" allowOverlap="1" wp14:anchorId="3620C908" wp14:editId="22CCFB0B">
            <wp:simplePos x="0" y="0"/>
            <wp:positionH relativeFrom="column">
              <wp:posOffset>4687651</wp:posOffset>
            </wp:positionH>
            <wp:positionV relativeFrom="paragraph">
              <wp:posOffset>122215</wp:posOffset>
            </wp:positionV>
            <wp:extent cx="1906905" cy="1527175"/>
            <wp:effectExtent l="0" t="0" r="0" b="0"/>
            <wp:wrapNone/>
            <wp:docPr id="351" name="Image 351" descr="Résultats de recherche d'images pour « lamotrigin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ésultats de recherche d'images pour « lamotrigine »"/>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1906905" cy="15271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9513A" w:rsidRDefault="00264683" w:rsidP="0099513A">
      <w:pPr>
        <w:pStyle w:val="Sansinterligne"/>
        <w:numPr>
          <w:ilvl w:val="0"/>
          <w:numId w:val="630"/>
        </w:numPr>
      </w:pPr>
      <w:r>
        <w:t>Référence en psychiatrie pour suivi ± ajustement de thérapie.</w:t>
      </w:r>
    </w:p>
    <w:p w:rsidR="00246613" w:rsidRDefault="00246613" w:rsidP="0099513A">
      <w:pPr>
        <w:pStyle w:val="Sansinterligne"/>
        <w:numPr>
          <w:ilvl w:val="0"/>
          <w:numId w:val="630"/>
        </w:numPr>
      </w:pPr>
      <w:r>
        <w:t>Support psychologique et familial nécessaire</w:t>
      </w:r>
    </w:p>
    <w:p w:rsidR="003A3875" w:rsidRDefault="003A3875" w:rsidP="0099513A">
      <w:pPr>
        <w:pStyle w:val="Sansinterligne"/>
        <w:rPr>
          <w:b/>
          <w:sz w:val="28"/>
          <w:szCs w:val="28"/>
        </w:rPr>
      </w:pPr>
    </w:p>
    <w:p w:rsidR="00820B1A" w:rsidRDefault="0099513A" w:rsidP="0099513A">
      <w:pPr>
        <w:pStyle w:val="Sansinterligne"/>
        <w:rPr>
          <w:b/>
          <w:sz w:val="28"/>
          <w:szCs w:val="28"/>
        </w:rPr>
      </w:pPr>
      <w:r w:rsidRPr="00820B1A">
        <w:rPr>
          <w:b/>
          <w:sz w:val="28"/>
          <w:szCs w:val="28"/>
        </w:rPr>
        <w:t>Pharmacothérapie – Stabilisateurs de l’humeur</w:t>
      </w:r>
    </w:p>
    <w:p w:rsidR="00820B1A" w:rsidRPr="00311995" w:rsidRDefault="00820B1A" w:rsidP="00820B1A">
      <w:pPr>
        <w:pStyle w:val="Sansinterligne"/>
      </w:pPr>
    </w:p>
    <w:p w:rsidR="00820B1A" w:rsidRDefault="00544FA0" w:rsidP="00820B1A">
      <w:pPr>
        <w:pStyle w:val="Sansinterligne"/>
        <w:numPr>
          <w:ilvl w:val="0"/>
          <w:numId w:val="604"/>
        </w:numPr>
      </w:pPr>
      <w:r w:rsidRPr="003A3875">
        <w:rPr>
          <w:highlight w:val="yellow"/>
        </w:rPr>
        <w:t>Faire FSC, créatinine, ECG, ions, TSH avant de débuter le lithium et la carbamazépine</w:t>
      </w:r>
    </w:p>
    <w:p w:rsidR="00544FA0" w:rsidRDefault="00544FA0" w:rsidP="00544FA0">
      <w:pPr>
        <w:pStyle w:val="Sansinterligne"/>
        <w:numPr>
          <w:ilvl w:val="0"/>
          <w:numId w:val="604"/>
        </w:numPr>
      </w:pPr>
      <w:r>
        <w:t>Utilisés dans le traitement de la manie aigue (sauf la lamotrigine) et le mai</w:t>
      </w:r>
      <w:r w:rsidR="00624297">
        <w:t>n</w:t>
      </w:r>
      <w:r>
        <w:t>tien</w:t>
      </w:r>
    </w:p>
    <w:p w:rsidR="00AA02BA" w:rsidRPr="003A3875" w:rsidRDefault="00544FA0" w:rsidP="00820B1A">
      <w:pPr>
        <w:pStyle w:val="Sansinterligne"/>
        <w:numPr>
          <w:ilvl w:val="0"/>
          <w:numId w:val="604"/>
        </w:numPr>
        <w:rPr>
          <w:highlight w:val="yellow"/>
        </w:rPr>
      </w:pPr>
      <w:r w:rsidRPr="003A3875">
        <w:rPr>
          <w:highlight w:val="yellow"/>
        </w:rPr>
        <w:t xml:space="preserve">Effets secondaires communs : </w:t>
      </w:r>
      <w:r w:rsidR="00AA02BA" w:rsidRPr="003A3875">
        <w:rPr>
          <w:highlight w:val="yellow"/>
        </w:rPr>
        <w:t>No/Vo, diarrhée, ataxie, somnolence</w:t>
      </w:r>
    </w:p>
    <w:p w:rsidR="00820B1A" w:rsidRDefault="00820B1A" w:rsidP="00820B1A">
      <w:pPr>
        <w:pStyle w:val="Sansinterligne"/>
      </w:pPr>
    </w:p>
    <w:tbl>
      <w:tblPr>
        <w:tblStyle w:val="Grilledutableau"/>
        <w:tblW w:w="0" w:type="auto"/>
        <w:tblLook w:val="04A0" w:firstRow="1" w:lastRow="0" w:firstColumn="1" w:lastColumn="0" w:noHBand="0" w:noVBand="1"/>
      </w:tblPr>
      <w:tblGrid>
        <w:gridCol w:w="2518"/>
        <w:gridCol w:w="8222"/>
      </w:tblGrid>
      <w:tr w:rsidR="00344097" w:rsidTr="002A1F06">
        <w:tc>
          <w:tcPr>
            <w:tcW w:w="2518" w:type="dxa"/>
            <w:shd w:val="clear" w:color="auto" w:fill="9BBB59" w:themeFill="accent3"/>
          </w:tcPr>
          <w:p w:rsidR="00344097" w:rsidRPr="007E36F7" w:rsidRDefault="00344097" w:rsidP="00B519F2">
            <w:pPr>
              <w:pStyle w:val="Sansinterligne"/>
              <w:jc w:val="center"/>
              <w:rPr>
                <w:i/>
              </w:rPr>
            </w:pPr>
            <w:r w:rsidRPr="007E36F7">
              <w:rPr>
                <w:i/>
              </w:rPr>
              <w:t>Classes</w:t>
            </w:r>
          </w:p>
        </w:tc>
        <w:tc>
          <w:tcPr>
            <w:tcW w:w="8222" w:type="dxa"/>
            <w:shd w:val="clear" w:color="auto" w:fill="9BBB59" w:themeFill="accent3"/>
          </w:tcPr>
          <w:p w:rsidR="00344097" w:rsidRPr="007E36F7" w:rsidRDefault="00344097" w:rsidP="00B519F2">
            <w:pPr>
              <w:pStyle w:val="Sansinterligne"/>
              <w:jc w:val="center"/>
              <w:rPr>
                <w:i/>
              </w:rPr>
            </w:pPr>
            <w:r w:rsidRPr="007E36F7">
              <w:rPr>
                <w:i/>
              </w:rPr>
              <w:t>Commentaire / Précautions</w:t>
            </w:r>
          </w:p>
        </w:tc>
      </w:tr>
      <w:tr w:rsidR="00344097" w:rsidTr="002A1F06">
        <w:tc>
          <w:tcPr>
            <w:tcW w:w="2518" w:type="dxa"/>
            <w:shd w:val="clear" w:color="auto" w:fill="C2D69B" w:themeFill="accent3" w:themeFillTint="99"/>
          </w:tcPr>
          <w:p w:rsidR="00344097" w:rsidRPr="00751F7F" w:rsidRDefault="00344097" w:rsidP="00B519F2">
            <w:pPr>
              <w:pStyle w:val="Sansinterligne"/>
              <w:rPr>
                <w:b/>
              </w:rPr>
            </w:pPr>
            <w:r>
              <w:rPr>
                <w:b/>
              </w:rPr>
              <w:t>Lithium (1</w:t>
            </w:r>
            <w:r w:rsidRPr="006D50DA">
              <w:rPr>
                <w:b/>
                <w:vertAlign w:val="superscript"/>
              </w:rPr>
              <w:t>ère</w:t>
            </w:r>
            <w:r>
              <w:rPr>
                <w:b/>
              </w:rPr>
              <w:t xml:space="preserve"> ligne)</w:t>
            </w:r>
          </w:p>
        </w:tc>
        <w:tc>
          <w:tcPr>
            <w:tcW w:w="8222" w:type="dxa"/>
          </w:tcPr>
          <w:p w:rsidR="00344097" w:rsidRDefault="009B1C38" w:rsidP="00B519F2">
            <w:pPr>
              <w:pStyle w:val="Sansinterligne"/>
            </w:pPr>
            <w:r>
              <w:t>A</w:t>
            </w:r>
            <w:r w:rsidR="00344097">
              <w:t>ussi indiqué en trouble schizoaffectif</w:t>
            </w:r>
          </w:p>
          <w:p w:rsidR="00344097" w:rsidRDefault="00344097" w:rsidP="00B519F2">
            <w:pPr>
              <w:pStyle w:val="Sansinterligne"/>
            </w:pPr>
          </w:p>
          <w:p w:rsidR="00AA02BA" w:rsidRPr="002C233D" w:rsidRDefault="00AA02BA" w:rsidP="00AA02BA">
            <w:pPr>
              <w:pStyle w:val="Sansinterligne"/>
              <w:rPr>
                <w:u w:val="single"/>
              </w:rPr>
            </w:pPr>
            <w:r w:rsidRPr="002C233D">
              <w:rPr>
                <w:u w:val="single"/>
              </w:rPr>
              <w:t>Effets 2</w:t>
            </w:r>
            <w:r w:rsidRPr="002C233D">
              <w:rPr>
                <w:u w:val="single"/>
                <w:vertAlign w:val="superscript"/>
              </w:rPr>
              <w:t>aire</w:t>
            </w:r>
            <w:r w:rsidRPr="002C233D">
              <w:rPr>
                <w:u w:val="single"/>
              </w:rPr>
              <w:t> </w:t>
            </w:r>
            <w:r>
              <w:rPr>
                <w:u w:val="single"/>
              </w:rPr>
              <w:t>particulier</w:t>
            </w:r>
            <w:r w:rsidRPr="002C233D">
              <w:t xml:space="preserve">: </w:t>
            </w:r>
          </w:p>
          <w:p w:rsidR="00344097" w:rsidRDefault="00344097" w:rsidP="00624297">
            <w:pPr>
              <w:pStyle w:val="Sansinterligne"/>
            </w:pPr>
            <w:r w:rsidRPr="00544FA0">
              <w:rPr>
                <w:highlight w:val="yellow"/>
              </w:rPr>
              <w:t xml:space="preserve">polyurie, polydypsie, </w:t>
            </w:r>
            <w:r w:rsidRPr="00624297">
              <w:rPr>
                <w:highlight w:val="yellow"/>
                <w:u w:val="single"/>
              </w:rPr>
              <w:t>diabète insipide</w:t>
            </w:r>
            <w:r w:rsidRPr="00544FA0">
              <w:rPr>
                <w:highlight w:val="yellow"/>
              </w:rPr>
              <w:t xml:space="preserve">, </w:t>
            </w:r>
            <w:r w:rsidRPr="00624297">
              <w:rPr>
                <w:highlight w:val="yellow"/>
                <w:u w:val="single"/>
              </w:rPr>
              <w:t>insuffisance rénale</w:t>
            </w:r>
            <w:r w:rsidRPr="00544FA0">
              <w:rPr>
                <w:highlight w:val="yellow"/>
              </w:rPr>
              <w:t>, tremblements</w:t>
            </w:r>
            <w:r>
              <w:t>,</w:t>
            </w:r>
            <w:r w:rsidR="009B1C38">
              <w:t xml:space="preserve"> léthargie, céphalées</w:t>
            </w:r>
            <w:r w:rsidR="00AA02BA">
              <w:t>,</w:t>
            </w:r>
            <w:r w:rsidR="009B1C38">
              <w:t xml:space="preserve"> </w:t>
            </w:r>
            <w:r w:rsidR="00AA02BA">
              <w:t>l</w:t>
            </w:r>
            <w:r w:rsidR="009B1C38">
              <w:t xml:space="preserve">eucocytose, </w:t>
            </w:r>
            <w:r w:rsidR="009B1C38" w:rsidRPr="00544FA0">
              <w:rPr>
                <w:highlight w:val="yellow"/>
              </w:rPr>
              <w:t>tératogène</w:t>
            </w:r>
            <w:r w:rsidR="009B1C38">
              <w:t xml:space="preserve">, œdème, </w:t>
            </w:r>
            <w:r w:rsidR="009B1C38" w:rsidRPr="003D7F05">
              <w:rPr>
                <w:highlight w:val="yellow"/>
              </w:rPr>
              <w:t>hypothyroïdie</w:t>
            </w:r>
            <w:r w:rsidR="009B1C38">
              <w:t xml:space="preserve">, </w:t>
            </w:r>
            <w:r w:rsidR="00624297">
              <w:t>changements à l’ECG</w:t>
            </w:r>
            <w:r>
              <w:t xml:space="preserve"> </w:t>
            </w:r>
          </w:p>
        </w:tc>
      </w:tr>
      <w:tr w:rsidR="00344097" w:rsidTr="002A1F06">
        <w:tc>
          <w:tcPr>
            <w:tcW w:w="2518" w:type="dxa"/>
            <w:shd w:val="clear" w:color="auto" w:fill="C2D69B" w:themeFill="accent3" w:themeFillTint="99"/>
          </w:tcPr>
          <w:p w:rsidR="00344097" w:rsidRDefault="00344097" w:rsidP="00B519F2">
            <w:pPr>
              <w:pStyle w:val="Sansinterligne"/>
              <w:rPr>
                <w:b/>
              </w:rPr>
            </w:pPr>
            <w:r>
              <w:rPr>
                <w:b/>
              </w:rPr>
              <w:t>Acide valproïque / divalproex  (1</w:t>
            </w:r>
            <w:r w:rsidRPr="006D50DA">
              <w:rPr>
                <w:b/>
                <w:vertAlign w:val="superscript"/>
              </w:rPr>
              <w:t>ère</w:t>
            </w:r>
            <w:r>
              <w:rPr>
                <w:b/>
              </w:rPr>
              <w:t xml:space="preserve"> ligne) </w:t>
            </w:r>
          </w:p>
          <w:p w:rsidR="00344097" w:rsidRDefault="00344097" w:rsidP="00B519F2">
            <w:pPr>
              <w:pStyle w:val="Sansinterligne"/>
              <w:rPr>
                <w:b/>
              </w:rPr>
            </w:pPr>
          </w:p>
          <w:p w:rsidR="00344097" w:rsidRPr="00751F7F" w:rsidRDefault="00344097" w:rsidP="00B519F2">
            <w:pPr>
              <w:pStyle w:val="Sansinterligne"/>
              <w:rPr>
                <w:b/>
              </w:rPr>
            </w:pPr>
            <w:r>
              <w:rPr>
                <w:b/>
              </w:rPr>
              <w:t>(Epival, Depakene)</w:t>
            </w:r>
          </w:p>
        </w:tc>
        <w:tc>
          <w:tcPr>
            <w:tcW w:w="8222" w:type="dxa"/>
          </w:tcPr>
          <w:p w:rsidR="009B1C38" w:rsidRPr="00AA02BA" w:rsidRDefault="004129DA" w:rsidP="00B519F2">
            <w:pPr>
              <w:pStyle w:val="Sansinterligne"/>
            </w:pPr>
            <w:r>
              <w:t xml:space="preserve">Efficace </w:t>
            </w:r>
            <w:r w:rsidR="00AA02BA">
              <w:t>si cy</w:t>
            </w:r>
            <w:r>
              <w:t>c</w:t>
            </w:r>
            <w:r w:rsidR="00AA02BA">
              <w:t xml:space="preserve">les bipolaires rapides </w:t>
            </w:r>
          </w:p>
          <w:p w:rsidR="009B1C38" w:rsidRDefault="009B1C38" w:rsidP="00B519F2">
            <w:pPr>
              <w:pStyle w:val="Sansinterligne"/>
              <w:rPr>
                <w:u w:val="single"/>
              </w:rPr>
            </w:pPr>
          </w:p>
          <w:p w:rsidR="00AA02BA" w:rsidRPr="002C233D" w:rsidRDefault="00AA02BA" w:rsidP="00AA02BA">
            <w:pPr>
              <w:pStyle w:val="Sansinterligne"/>
              <w:rPr>
                <w:u w:val="single"/>
              </w:rPr>
            </w:pPr>
            <w:r w:rsidRPr="002C233D">
              <w:rPr>
                <w:u w:val="single"/>
              </w:rPr>
              <w:t>Effets 2</w:t>
            </w:r>
            <w:r w:rsidRPr="002C233D">
              <w:rPr>
                <w:u w:val="single"/>
                <w:vertAlign w:val="superscript"/>
              </w:rPr>
              <w:t>aire</w:t>
            </w:r>
            <w:r w:rsidRPr="002C233D">
              <w:rPr>
                <w:u w:val="single"/>
              </w:rPr>
              <w:t> </w:t>
            </w:r>
            <w:r>
              <w:rPr>
                <w:u w:val="single"/>
              </w:rPr>
              <w:t>particulier</w:t>
            </w:r>
            <w:r w:rsidRPr="002C233D">
              <w:t xml:space="preserve">: </w:t>
            </w:r>
          </w:p>
          <w:p w:rsidR="00344097" w:rsidRDefault="00AA02BA" w:rsidP="00B519F2">
            <w:pPr>
              <w:pStyle w:val="Sansinterligne"/>
            </w:pPr>
            <w:r w:rsidRPr="00AA02BA">
              <w:rPr>
                <w:highlight w:val="yellow"/>
              </w:rPr>
              <w:t>No/Vo, diarrhée, ataxie, somnolence, tremblements, confusion</w:t>
            </w:r>
            <w:r>
              <w:t xml:space="preserve">, perte de cheveux, prise de poids, troubles hépatiques, </w:t>
            </w:r>
            <w:r w:rsidRPr="00AA02BA">
              <w:rPr>
                <w:highlight w:val="yellow"/>
                <w:u w:val="single"/>
              </w:rPr>
              <w:t>anomalies neurales fœtales si pris en grossesse</w:t>
            </w:r>
          </w:p>
        </w:tc>
      </w:tr>
      <w:tr w:rsidR="00344097" w:rsidTr="002A1F06">
        <w:tc>
          <w:tcPr>
            <w:tcW w:w="2518" w:type="dxa"/>
            <w:shd w:val="clear" w:color="auto" w:fill="C2D69B" w:themeFill="accent3" w:themeFillTint="99"/>
          </w:tcPr>
          <w:p w:rsidR="00344097" w:rsidRDefault="00344097" w:rsidP="00B519F2">
            <w:pPr>
              <w:pStyle w:val="Sansinterligne"/>
            </w:pPr>
            <w:r>
              <w:t xml:space="preserve">Lamotrigrine </w:t>
            </w:r>
          </w:p>
          <w:p w:rsidR="00344097" w:rsidRDefault="00344097" w:rsidP="00B519F2">
            <w:pPr>
              <w:pStyle w:val="Sansinterligne"/>
            </w:pPr>
            <w:r>
              <w:t>(Lamictal)</w:t>
            </w:r>
          </w:p>
        </w:tc>
        <w:tc>
          <w:tcPr>
            <w:tcW w:w="8222" w:type="dxa"/>
          </w:tcPr>
          <w:p w:rsidR="00344097" w:rsidRDefault="00AA02BA" w:rsidP="00B519F2">
            <w:pPr>
              <w:pStyle w:val="Sansinterligne"/>
            </w:pPr>
            <w:r>
              <w:t>Traitement de maintien du trouble bipolaire</w:t>
            </w:r>
            <w:r w:rsidR="004129DA">
              <w:t xml:space="preserve"> seulement</w:t>
            </w:r>
          </w:p>
          <w:p w:rsidR="004129DA" w:rsidRDefault="004129DA" w:rsidP="00B519F2">
            <w:pPr>
              <w:pStyle w:val="Sansinterligne"/>
            </w:pPr>
          </w:p>
          <w:p w:rsidR="00AA02BA" w:rsidRPr="002C233D" w:rsidRDefault="00AA02BA" w:rsidP="00AA02BA">
            <w:pPr>
              <w:pStyle w:val="Sansinterligne"/>
              <w:rPr>
                <w:u w:val="single"/>
              </w:rPr>
            </w:pPr>
            <w:r w:rsidRPr="002C233D">
              <w:rPr>
                <w:u w:val="single"/>
              </w:rPr>
              <w:t>Effets 2</w:t>
            </w:r>
            <w:r w:rsidRPr="002C233D">
              <w:rPr>
                <w:u w:val="single"/>
                <w:vertAlign w:val="superscript"/>
              </w:rPr>
              <w:t>aire</w:t>
            </w:r>
            <w:r w:rsidRPr="002C233D">
              <w:rPr>
                <w:u w:val="single"/>
              </w:rPr>
              <w:t> </w:t>
            </w:r>
            <w:r>
              <w:rPr>
                <w:u w:val="single"/>
              </w:rPr>
              <w:t>particulier</w:t>
            </w:r>
            <w:r w:rsidRPr="002C233D">
              <w:t xml:space="preserve">: </w:t>
            </w:r>
          </w:p>
          <w:p w:rsidR="00AA02BA" w:rsidRDefault="00AA02BA" w:rsidP="00AA02BA">
            <w:pPr>
              <w:pStyle w:val="Sansinterligne"/>
            </w:pPr>
            <w:r>
              <w:t xml:space="preserve">Diplopie, céphalées, </w:t>
            </w:r>
            <w:r w:rsidRPr="00544FA0">
              <w:rPr>
                <w:highlight w:val="yellow"/>
              </w:rPr>
              <w:t>Rash (risque de Steven—Johnson - SSJ)</w:t>
            </w:r>
          </w:p>
        </w:tc>
      </w:tr>
      <w:tr w:rsidR="00344097" w:rsidTr="002A1F06">
        <w:trPr>
          <w:trHeight w:val="161"/>
        </w:trPr>
        <w:tc>
          <w:tcPr>
            <w:tcW w:w="2518" w:type="dxa"/>
            <w:shd w:val="clear" w:color="auto" w:fill="C2D69B" w:themeFill="accent3" w:themeFillTint="99"/>
          </w:tcPr>
          <w:p w:rsidR="00344097" w:rsidRDefault="00344097" w:rsidP="00B519F2">
            <w:pPr>
              <w:pStyle w:val="Sansinterligne"/>
            </w:pPr>
            <w:r>
              <w:t>Carbamazépine</w:t>
            </w:r>
          </w:p>
          <w:p w:rsidR="004129DA" w:rsidRDefault="004129DA" w:rsidP="00B519F2">
            <w:pPr>
              <w:pStyle w:val="Sansinterligne"/>
            </w:pPr>
            <w:r>
              <w:t>(Tegretol)</w:t>
            </w:r>
          </w:p>
        </w:tc>
        <w:tc>
          <w:tcPr>
            <w:tcW w:w="8222" w:type="dxa"/>
          </w:tcPr>
          <w:p w:rsidR="00AA02BA" w:rsidRDefault="00AA02BA" w:rsidP="00B519F2">
            <w:pPr>
              <w:pStyle w:val="Sansinterligne"/>
            </w:pPr>
          </w:p>
          <w:p w:rsidR="00AA02BA" w:rsidRDefault="00AA02BA" w:rsidP="00AA02BA">
            <w:pPr>
              <w:pStyle w:val="Sansinterligne"/>
            </w:pPr>
            <w:r w:rsidRPr="002C233D">
              <w:rPr>
                <w:u w:val="single"/>
              </w:rPr>
              <w:t>Effets 2</w:t>
            </w:r>
            <w:r w:rsidRPr="002C233D">
              <w:rPr>
                <w:u w:val="single"/>
                <w:vertAlign w:val="superscript"/>
              </w:rPr>
              <w:t>aire</w:t>
            </w:r>
            <w:r w:rsidRPr="002C233D">
              <w:rPr>
                <w:u w:val="single"/>
              </w:rPr>
              <w:t> </w:t>
            </w:r>
            <w:r w:rsidRPr="002C233D">
              <w:t xml:space="preserve">: </w:t>
            </w:r>
          </w:p>
          <w:p w:rsidR="00AA02BA" w:rsidRDefault="00AA02BA" w:rsidP="00AA02BA">
            <w:pPr>
              <w:pStyle w:val="Sansinterligne"/>
            </w:pPr>
            <w:r>
              <w:t>Toxi</w:t>
            </w:r>
            <w:r w:rsidR="003D635D">
              <w:t>cité hépatique, étourdissements</w:t>
            </w:r>
            <w:r>
              <w:t xml:space="preserve">, </w:t>
            </w:r>
            <w:r w:rsidRPr="003D635D">
              <w:rPr>
                <w:highlight w:val="yellow"/>
              </w:rPr>
              <w:t>diplopie, nystagmus</w:t>
            </w:r>
            <w:r>
              <w:t xml:space="preserve">, </w:t>
            </w:r>
            <w:r w:rsidRPr="00544FA0">
              <w:rPr>
                <w:highlight w:val="yellow"/>
              </w:rPr>
              <w:t>rash (risque de SSJ)</w:t>
            </w:r>
            <w:r>
              <w:t xml:space="preserve">, </w:t>
            </w:r>
            <w:r w:rsidRPr="00544FA0">
              <w:rPr>
                <w:highlight w:val="yellow"/>
              </w:rPr>
              <w:t>agranulocytose</w:t>
            </w:r>
            <w:r>
              <w:t>, anémie aplastique</w:t>
            </w:r>
            <w:r w:rsidR="004129DA">
              <w:t xml:space="preserve">, </w:t>
            </w:r>
            <w:r w:rsidR="004129DA" w:rsidRPr="00AA02BA">
              <w:rPr>
                <w:highlight w:val="yellow"/>
                <w:u w:val="single"/>
              </w:rPr>
              <w:t>anomalies neurales fœtales si pris en grossesse</w:t>
            </w:r>
          </w:p>
          <w:p w:rsidR="00AA02BA" w:rsidRDefault="00AA02BA" w:rsidP="00B519F2">
            <w:pPr>
              <w:pStyle w:val="Sansinterligne"/>
            </w:pPr>
          </w:p>
        </w:tc>
      </w:tr>
    </w:tbl>
    <w:p w:rsidR="00820B1A" w:rsidRPr="00C333D2" w:rsidRDefault="002153A2" w:rsidP="00820B1A">
      <w:pPr>
        <w:pStyle w:val="Sansinterligne"/>
        <w:rPr>
          <w:b/>
          <w:sz w:val="32"/>
          <w:szCs w:val="32"/>
        </w:rPr>
      </w:pPr>
      <w:r w:rsidRPr="00376E73">
        <w:rPr>
          <w:b/>
          <w:noProof/>
          <w:lang w:eastAsia="fr-CA"/>
        </w:rPr>
        <w:drawing>
          <wp:anchor distT="0" distB="0" distL="114300" distR="114300" simplePos="0" relativeHeight="251833344" behindDoc="0" locked="0" layoutInCell="1" allowOverlap="1" wp14:anchorId="2F421226" wp14:editId="14BEFDBF">
            <wp:simplePos x="0" y="0"/>
            <wp:positionH relativeFrom="column">
              <wp:posOffset>4787265</wp:posOffset>
            </wp:positionH>
            <wp:positionV relativeFrom="paragraph">
              <wp:posOffset>-102870</wp:posOffset>
            </wp:positionV>
            <wp:extent cx="1572260" cy="1692275"/>
            <wp:effectExtent l="0" t="0" r="8890" b="3175"/>
            <wp:wrapNone/>
            <wp:docPr id="349" name="Image 349" descr="Résultats de recherche d'images pour « drapeau rou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Résultats de recherche d'images pour « drapeau rouge »"/>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1572260" cy="1692275"/>
                    </a:xfrm>
                    <a:prstGeom prst="rect">
                      <a:avLst/>
                    </a:prstGeom>
                    <a:noFill/>
                    <a:ln>
                      <a:noFill/>
                    </a:ln>
                  </pic:spPr>
                </pic:pic>
              </a:graphicData>
            </a:graphic>
            <wp14:sizeRelH relativeFrom="page">
              <wp14:pctWidth>0</wp14:pctWidth>
            </wp14:sizeRelH>
            <wp14:sizeRelV relativeFrom="page">
              <wp14:pctHeight>0</wp14:pctHeight>
            </wp14:sizeRelV>
          </wp:anchor>
        </w:drawing>
      </w:r>
      <w:r w:rsidR="00820B1A" w:rsidRPr="00C333D2">
        <w:rPr>
          <w:b/>
          <w:sz w:val="32"/>
          <w:szCs w:val="32"/>
        </w:rPr>
        <w:t>Attention !</w:t>
      </w:r>
    </w:p>
    <w:p w:rsidR="00820B1A" w:rsidRDefault="00820B1A" w:rsidP="00820B1A">
      <w:pPr>
        <w:pStyle w:val="Sansinterligne"/>
      </w:pPr>
    </w:p>
    <w:p w:rsidR="00820B1A" w:rsidRPr="002153A2" w:rsidRDefault="002D67A0" w:rsidP="00820B1A">
      <w:pPr>
        <w:pStyle w:val="Sansinterligne"/>
        <w:rPr>
          <w:b/>
          <w:highlight w:val="yellow"/>
          <w:u w:val="single"/>
        </w:rPr>
      </w:pPr>
      <w:r w:rsidRPr="002153A2">
        <w:rPr>
          <w:b/>
          <w:highlight w:val="yellow"/>
          <w:u w:val="single"/>
        </w:rPr>
        <w:t>Intoxication au lithium</w:t>
      </w:r>
    </w:p>
    <w:p w:rsidR="00820B1A" w:rsidRDefault="00624297" w:rsidP="00820B1A">
      <w:pPr>
        <w:pStyle w:val="Sansinterligne"/>
        <w:numPr>
          <w:ilvl w:val="0"/>
          <w:numId w:val="606"/>
        </w:numPr>
      </w:pPr>
      <w:r w:rsidRPr="002153A2">
        <w:rPr>
          <w:highlight w:val="yellow"/>
        </w:rPr>
        <w:t>Diagnostic clinique</w:t>
      </w:r>
      <w:r>
        <w:t xml:space="preserve"> et non un dosage, doser lithémie quand même</w:t>
      </w:r>
    </w:p>
    <w:p w:rsidR="00820B1A" w:rsidRPr="002153A2" w:rsidRDefault="00624297" w:rsidP="00820B1A">
      <w:pPr>
        <w:pStyle w:val="Sansinterligne"/>
        <w:numPr>
          <w:ilvl w:val="0"/>
          <w:numId w:val="606"/>
        </w:numPr>
        <w:rPr>
          <w:highlight w:val="yellow"/>
        </w:rPr>
      </w:pPr>
      <w:r w:rsidRPr="002153A2">
        <w:rPr>
          <w:rFonts w:cs="Times New Roman"/>
          <w:highlight w:val="yellow"/>
        </w:rPr>
        <w:t>Si surdose ou insuffisance rénale, hypovolémie etc,</w:t>
      </w:r>
    </w:p>
    <w:p w:rsidR="002153A2" w:rsidRDefault="00624297" w:rsidP="002153A2">
      <w:pPr>
        <w:pStyle w:val="Sansinterligne"/>
        <w:numPr>
          <w:ilvl w:val="0"/>
          <w:numId w:val="606"/>
        </w:numPr>
      </w:pPr>
      <w:r>
        <w:t>No/Vo et diarrhées sévères</w:t>
      </w:r>
      <w:r w:rsidR="002153A2">
        <w:t>, a</w:t>
      </w:r>
      <w:r>
        <w:t xml:space="preserve">taxie, trouble de l’élocution, myoclonies, chorée, </w:t>
      </w:r>
    </w:p>
    <w:p w:rsidR="00624297" w:rsidRDefault="00624297" w:rsidP="002153A2">
      <w:pPr>
        <w:pStyle w:val="Sansinterligne"/>
        <w:ind w:left="360"/>
      </w:pPr>
      <w:r>
        <w:t>convulsions, délirium, etc.</w:t>
      </w:r>
    </w:p>
    <w:p w:rsidR="00624297" w:rsidRDefault="00624297" w:rsidP="00820B1A">
      <w:pPr>
        <w:pStyle w:val="Sansinterligne"/>
        <w:numPr>
          <w:ilvl w:val="0"/>
          <w:numId w:val="606"/>
        </w:numPr>
      </w:pPr>
      <w:r>
        <w:t xml:space="preserve">Cesser le lithium et reprendre après </w:t>
      </w:r>
      <w:r>
        <w:rPr>
          <w:rFonts w:cs="Times New Roman"/>
        </w:rPr>
        <w:t>↓</w:t>
      </w:r>
      <w:r>
        <w:t xml:space="preserve"> lithémie, hydratation, hémodialyse PRN</w:t>
      </w:r>
    </w:p>
    <w:p w:rsidR="0073701C" w:rsidRPr="00820B1A" w:rsidRDefault="00472651" w:rsidP="00820B1A">
      <w:pPr>
        <w:pStyle w:val="Sansinterligne"/>
        <w:rPr>
          <w:b/>
          <w:sz w:val="28"/>
          <w:szCs w:val="28"/>
        </w:rPr>
      </w:pPr>
      <w:r>
        <w:rPr>
          <w:noProof/>
          <w:lang w:eastAsia="fr-CA"/>
        </w:rPr>
        <w:drawing>
          <wp:anchor distT="0" distB="0" distL="114300" distR="114300" simplePos="0" relativeHeight="251834368" behindDoc="0" locked="0" layoutInCell="1" allowOverlap="1" wp14:anchorId="7E1935DD" wp14:editId="2834694E">
            <wp:simplePos x="0" y="0"/>
            <wp:positionH relativeFrom="column">
              <wp:posOffset>1332230</wp:posOffset>
            </wp:positionH>
            <wp:positionV relativeFrom="paragraph">
              <wp:posOffset>2248062</wp:posOffset>
            </wp:positionV>
            <wp:extent cx="4046855" cy="2684780"/>
            <wp:effectExtent l="0" t="0" r="0" b="1270"/>
            <wp:wrapNone/>
            <wp:docPr id="350" name="Image 350" descr="Résultats de recherche d'images pour « trouble bipolair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ésultats de recherche d'images pour « trouble bipolaire »"/>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4046855" cy="2684780"/>
                    </a:xfrm>
                    <a:prstGeom prst="rect">
                      <a:avLst/>
                    </a:prstGeom>
                    <a:noFill/>
                    <a:ln>
                      <a:noFill/>
                    </a:ln>
                  </pic:spPr>
                </pic:pic>
              </a:graphicData>
            </a:graphic>
            <wp14:sizeRelH relativeFrom="page">
              <wp14:pctWidth>0</wp14:pctWidth>
            </wp14:sizeRelH>
            <wp14:sizeRelV relativeFrom="page">
              <wp14:pctHeight>0</wp14:pctHeight>
            </wp14:sizeRelV>
          </wp:anchor>
        </w:drawing>
      </w:r>
      <w:r w:rsidR="0073701C" w:rsidRPr="00820B1A">
        <w:rPr>
          <w:b/>
          <w:sz w:val="28"/>
          <w:szCs w:val="28"/>
        </w:rPr>
        <w:br w:type="page"/>
      </w:r>
    </w:p>
    <w:p w:rsidR="00FB65E0" w:rsidRDefault="00FB65E0" w:rsidP="0073701C">
      <w:pPr>
        <w:pStyle w:val="Sansinterligne"/>
        <w:rPr>
          <w:b/>
          <w:color w:val="548DD4" w:themeColor="text2" w:themeTint="99"/>
        </w:rPr>
      </w:pPr>
      <w:r>
        <w:rPr>
          <w:b/>
          <w:color w:val="548DD4" w:themeColor="text2" w:themeTint="99"/>
        </w:rPr>
        <w:t>CMC 64</w:t>
      </w:r>
    </w:p>
    <w:p w:rsidR="00FB65E0" w:rsidRPr="00FB65E0" w:rsidRDefault="00FB65E0" w:rsidP="00FB65E0">
      <w:pPr>
        <w:pStyle w:val="Titre3"/>
        <w:spacing w:before="0"/>
        <w:rPr>
          <w:rFonts w:ascii="Times New Roman" w:hAnsi="Times New Roman" w:cs="Times New Roman"/>
        </w:rPr>
      </w:pPr>
      <w:bookmarkStart w:id="207" w:name="_Toc480797300"/>
      <w:r w:rsidRPr="00FB65E0">
        <w:rPr>
          <w:rFonts w:ascii="Times New Roman" w:hAnsi="Times New Roman" w:cs="Times New Roman"/>
        </w:rPr>
        <w:t>Détresse néonatale</w:t>
      </w:r>
      <w:bookmarkEnd w:id="207"/>
    </w:p>
    <w:p w:rsidR="00FB65E0" w:rsidRDefault="00FB65E0" w:rsidP="0073701C">
      <w:pPr>
        <w:pStyle w:val="Sansinterligne"/>
        <w:rPr>
          <w:b/>
          <w:color w:val="548DD4" w:themeColor="text2" w:themeTint="99"/>
        </w:rPr>
      </w:pPr>
      <w:r>
        <w:rPr>
          <w:b/>
          <w:noProof/>
          <w:color w:val="548DD4" w:themeColor="text2" w:themeTint="99"/>
          <w:lang w:eastAsia="fr-CA"/>
        </w:rPr>
        <mc:AlternateContent>
          <mc:Choice Requires="wps">
            <w:drawing>
              <wp:anchor distT="0" distB="0" distL="114300" distR="114300" simplePos="0" relativeHeight="252091392" behindDoc="0" locked="0" layoutInCell="1" allowOverlap="1" wp14:anchorId="7DB89F49" wp14:editId="2EC3BE70">
                <wp:simplePos x="0" y="0"/>
                <wp:positionH relativeFrom="column">
                  <wp:posOffset>-29183</wp:posOffset>
                </wp:positionH>
                <wp:positionV relativeFrom="paragraph">
                  <wp:posOffset>128810</wp:posOffset>
                </wp:positionV>
                <wp:extent cx="6965004" cy="3219856"/>
                <wp:effectExtent l="0" t="0" r="26670" b="19050"/>
                <wp:wrapNone/>
                <wp:docPr id="568" name="Rectangle 568"/>
                <wp:cNvGraphicFramePr/>
                <a:graphic xmlns:a="http://schemas.openxmlformats.org/drawingml/2006/main">
                  <a:graphicData uri="http://schemas.microsoft.com/office/word/2010/wordprocessingShape">
                    <wps:wsp>
                      <wps:cNvSpPr/>
                      <wps:spPr>
                        <a:xfrm>
                          <a:off x="0" y="0"/>
                          <a:ext cx="6965004" cy="3219856"/>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568" o:spid="_x0000_s1026" style="position:absolute;margin-left:-2.3pt;margin-top:10.15pt;width:548.45pt;height:253.55pt;z-index:2520913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" filled="f" strokecolor="black [1600]" strokeweight="2pt"/>
            </w:pict>
          </mc:Fallback>
        </mc:AlternateContent>
      </w:r>
    </w:p>
    <w:tbl>
      <w:tblPr>
        <w:tblW w:w="3858" w:type="pct"/>
        <w:tblCellSpacing w:w="0" w:type="dxa"/>
        <w:tblCellMar>
          <w:left w:w="0" w:type="dxa"/>
          <w:right w:w="0" w:type="dxa"/>
        </w:tblCellMar>
        <w:tblLook w:val="04A0" w:firstRow="1" w:lastRow="0" w:firstColumn="1" w:lastColumn="0" w:noHBand="0" w:noVBand="1"/>
      </w:tblPr>
      <w:tblGrid>
        <w:gridCol w:w="8333"/>
      </w:tblGrid>
      <w:tr w:rsidR="00FB65E0" w:rsidRPr="00FB65E0" w:rsidTr="00FB65E0">
        <w:trPr>
          <w:tblCellSpacing w:w="0" w:type="dxa"/>
        </w:trPr>
        <w:tc>
          <w:tcPr>
            <w:tcW w:w="0" w:type="auto"/>
            <w:vAlign w:val="bottom"/>
            <w:hideMark/>
          </w:tcPr>
          <w:p w:rsidR="00FB65E0" w:rsidRPr="00FB65E0" w:rsidRDefault="00FB65E0" w:rsidP="00FB65E0">
            <w:pPr>
              <w:pStyle w:val="Sansinterligne"/>
              <w:rPr>
                <w:rFonts w:cs="Times New Roman"/>
                <w:b/>
                <w:sz w:val="18"/>
                <w:szCs w:val="18"/>
              </w:rPr>
            </w:pPr>
            <w:r w:rsidRPr="00FB65E0">
              <w:rPr>
                <w:rFonts w:cs="Times New Roman"/>
                <w:b/>
                <w:sz w:val="18"/>
                <w:szCs w:val="18"/>
              </w:rPr>
              <w:t>Objectifs principaux</w:t>
            </w:r>
          </w:p>
        </w:tc>
      </w:tr>
    </w:tbl>
    <w:p w:rsidR="00FB65E0" w:rsidRPr="00FB65E0" w:rsidRDefault="00FB65E0" w:rsidP="00FB65E0">
      <w:pPr>
        <w:pStyle w:val="NormalWeb"/>
        <w:ind w:left="360"/>
        <w:rPr>
          <w:color w:val="000000"/>
          <w:sz w:val="18"/>
          <w:szCs w:val="18"/>
          <w:shd w:val="clear" w:color="auto" w:fill="FFFFFF"/>
        </w:rPr>
      </w:pPr>
      <w:r w:rsidRPr="00FB65E0">
        <w:rPr>
          <w:color w:val="000000"/>
          <w:sz w:val="18"/>
          <w:szCs w:val="18"/>
          <w:shd w:val="clear" w:color="auto" w:fill="FFFFFF"/>
        </w:rPr>
        <w:t>Dans les cas de détresse néonatale, le candidat devra être en mesure d'évaluer la nécessité d'une réanimation, de commencer les manœuvres et de déterminer l'étiologie et les pathologies en cause de même que les besoins immédiats et futurs, notamment à savoir si le nouveau-né requiert des soins néonatals intensifs de niveau 2 ou 3.</w:t>
      </w:r>
    </w:p>
    <w:tbl>
      <w:tblPr>
        <w:tblW w:w="3897" w:type="pct"/>
        <w:tblCellSpacing w:w="0" w:type="dxa"/>
        <w:tblCellMar>
          <w:left w:w="0" w:type="dxa"/>
          <w:right w:w="0" w:type="dxa"/>
        </w:tblCellMar>
        <w:tblLook w:val="04A0" w:firstRow="1" w:lastRow="0" w:firstColumn="1" w:lastColumn="0" w:noHBand="0" w:noVBand="1"/>
      </w:tblPr>
      <w:tblGrid>
        <w:gridCol w:w="8418"/>
      </w:tblGrid>
      <w:tr w:rsidR="00FB65E0" w:rsidRPr="00FB65E0" w:rsidTr="00FB65E0">
        <w:trPr>
          <w:tblCellSpacing w:w="0" w:type="dxa"/>
        </w:trPr>
        <w:tc>
          <w:tcPr>
            <w:tcW w:w="0" w:type="auto"/>
            <w:vAlign w:val="bottom"/>
            <w:hideMark/>
          </w:tcPr>
          <w:p w:rsidR="00FB65E0" w:rsidRPr="00FB65E0" w:rsidRDefault="00FB65E0" w:rsidP="00FB65E0">
            <w:pPr>
              <w:pStyle w:val="Sansinterligne"/>
              <w:rPr>
                <w:rFonts w:cs="Times New Roman"/>
                <w:b/>
                <w:sz w:val="16"/>
                <w:szCs w:val="16"/>
              </w:rPr>
            </w:pPr>
            <w:r w:rsidRPr="00FB65E0">
              <w:rPr>
                <w:rFonts w:cs="Times New Roman"/>
                <w:b/>
                <w:sz w:val="16"/>
                <w:szCs w:val="16"/>
              </w:rPr>
              <w:t>Objectifs spécifiques</w:t>
            </w:r>
          </w:p>
        </w:tc>
      </w:tr>
    </w:tbl>
    <w:p w:rsidR="00FB65E0" w:rsidRPr="00FB65E0" w:rsidRDefault="00FB65E0" w:rsidP="00FB65E0">
      <w:pPr>
        <w:pStyle w:val="NormalWeb"/>
        <w:shd w:val="clear" w:color="auto" w:fill="FFFFFF"/>
        <w:ind w:left="360"/>
        <w:rPr>
          <w:color w:val="000000"/>
          <w:sz w:val="16"/>
          <w:szCs w:val="16"/>
          <w:shd w:val="clear" w:color="auto" w:fill="FFFFFF"/>
        </w:rPr>
      </w:pPr>
      <w:r w:rsidRPr="00FB65E0">
        <w:rPr>
          <w:color w:val="000000"/>
          <w:sz w:val="16"/>
          <w:szCs w:val="16"/>
          <w:shd w:val="clear" w:color="auto" w:fill="FFFFFF"/>
        </w:rPr>
        <w:t>Dans les cas de détresse néonatale, le candidat devra</w:t>
      </w:r>
    </w:p>
    <w:p w:rsidR="00FB65E0" w:rsidRPr="00FB65E0" w:rsidRDefault="00FB65E0" w:rsidP="00AF6ADC">
      <w:pPr>
        <w:numPr>
          <w:ilvl w:val="0"/>
          <w:numId w:val="1276"/>
        </w:numPr>
        <w:shd w:val="clear" w:color="auto" w:fill="FFFFFF"/>
        <w:spacing w:before="100" w:beforeAutospacing="1" w:after="100" w:afterAutospacing="1" w:line="240" w:lineRule="auto"/>
        <w:rPr>
          <w:rFonts w:cs="Times New Roman"/>
          <w:color w:val="000000"/>
          <w:sz w:val="16"/>
          <w:szCs w:val="16"/>
          <w:shd w:val="clear" w:color="auto" w:fill="FFFFFF"/>
        </w:rPr>
      </w:pPr>
      <w:r w:rsidRPr="00FB65E0">
        <w:rPr>
          <w:rFonts w:cs="Times New Roman"/>
          <w:color w:val="000000"/>
          <w:sz w:val="16"/>
          <w:szCs w:val="16"/>
          <w:shd w:val="clear" w:color="auto" w:fill="FFFFFF"/>
        </w:rPr>
        <w:t>énumérer et interpréter les constatations cliniques cruciales, notamment :</w:t>
      </w:r>
    </w:p>
    <w:p w:rsidR="00FB65E0" w:rsidRPr="00FB65E0" w:rsidRDefault="00FB65E0" w:rsidP="00AF6ADC">
      <w:pPr>
        <w:numPr>
          <w:ilvl w:val="1"/>
          <w:numId w:val="1276"/>
        </w:numPr>
        <w:shd w:val="clear" w:color="auto" w:fill="FFFFFF"/>
        <w:spacing w:before="100" w:beforeAutospacing="1" w:after="100" w:afterAutospacing="1" w:line="240" w:lineRule="auto"/>
        <w:rPr>
          <w:rFonts w:cs="Times New Roman"/>
          <w:color w:val="000000"/>
          <w:sz w:val="16"/>
          <w:szCs w:val="16"/>
          <w:shd w:val="clear" w:color="auto" w:fill="FFFFFF"/>
        </w:rPr>
      </w:pPr>
      <w:r w:rsidRPr="00FB65E0">
        <w:rPr>
          <w:rFonts w:cs="Times New Roman"/>
          <w:color w:val="000000"/>
          <w:sz w:val="16"/>
          <w:szCs w:val="16"/>
          <w:shd w:val="clear" w:color="auto" w:fill="FFFFFF"/>
        </w:rPr>
        <w:t>les signes et les symptômes physiques indiquant la nécessité de procéder à des manœuvres de réanimation;</w:t>
      </w:r>
    </w:p>
    <w:p w:rsidR="00FB65E0" w:rsidRPr="00FB65E0" w:rsidRDefault="00FB65E0" w:rsidP="00AF6ADC">
      <w:pPr>
        <w:numPr>
          <w:ilvl w:val="1"/>
          <w:numId w:val="1276"/>
        </w:numPr>
        <w:shd w:val="clear" w:color="auto" w:fill="FFFFFF"/>
        <w:spacing w:before="100" w:beforeAutospacing="1" w:after="100" w:afterAutospacing="1" w:line="240" w:lineRule="auto"/>
        <w:rPr>
          <w:rFonts w:cs="Times New Roman"/>
          <w:color w:val="000000"/>
          <w:sz w:val="16"/>
          <w:szCs w:val="16"/>
          <w:shd w:val="clear" w:color="auto" w:fill="FFFFFF"/>
        </w:rPr>
      </w:pPr>
      <w:r w:rsidRPr="00FB65E0">
        <w:rPr>
          <w:rFonts w:cs="Times New Roman"/>
          <w:color w:val="000000"/>
          <w:sz w:val="16"/>
          <w:szCs w:val="16"/>
          <w:shd w:val="clear" w:color="auto" w:fill="FFFFFF"/>
        </w:rPr>
        <w:t>l'anamnèse portant sur la grossesse et la période périnatale;</w:t>
      </w:r>
    </w:p>
    <w:p w:rsidR="00FB65E0" w:rsidRPr="00FB65E0" w:rsidRDefault="00FB65E0" w:rsidP="00AF6ADC">
      <w:pPr>
        <w:numPr>
          <w:ilvl w:val="1"/>
          <w:numId w:val="1276"/>
        </w:numPr>
        <w:shd w:val="clear" w:color="auto" w:fill="FFFFFF"/>
        <w:spacing w:before="100" w:beforeAutospacing="1" w:after="100" w:afterAutospacing="1" w:line="240" w:lineRule="auto"/>
        <w:rPr>
          <w:rFonts w:cs="Times New Roman"/>
          <w:color w:val="000000"/>
          <w:sz w:val="16"/>
          <w:szCs w:val="16"/>
          <w:shd w:val="clear" w:color="auto" w:fill="FFFFFF"/>
        </w:rPr>
      </w:pPr>
      <w:r w:rsidRPr="00FB65E0">
        <w:rPr>
          <w:rFonts w:cs="Times New Roman"/>
          <w:color w:val="000000"/>
          <w:sz w:val="16"/>
          <w:szCs w:val="16"/>
          <w:shd w:val="clear" w:color="auto" w:fill="FFFFFF"/>
        </w:rPr>
        <w:t>les résultats pertinents de l'examen physique en vue d'établir un diagnostic différentiel;</w:t>
      </w:r>
    </w:p>
    <w:p w:rsidR="00FB65E0" w:rsidRPr="00FB65E0" w:rsidRDefault="00FB65E0" w:rsidP="00AF6ADC">
      <w:pPr>
        <w:numPr>
          <w:ilvl w:val="0"/>
          <w:numId w:val="1276"/>
        </w:numPr>
        <w:shd w:val="clear" w:color="auto" w:fill="FFFFFF"/>
        <w:spacing w:before="100" w:beforeAutospacing="1" w:after="100" w:afterAutospacing="1" w:line="240" w:lineRule="auto"/>
        <w:rPr>
          <w:rFonts w:cs="Times New Roman"/>
          <w:color w:val="000000"/>
          <w:sz w:val="16"/>
          <w:szCs w:val="16"/>
          <w:shd w:val="clear" w:color="auto" w:fill="FFFFFF"/>
        </w:rPr>
      </w:pPr>
      <w:r w:rsidRPr="00FB65E0">
        <w:rPr>
          <w:rFonts w:cs="Times New Roman"/>
          <w:color w:val="000000"/>
          <w:sz w:val="16"/>
          <w:szCs w:val="16"/>
          <w:shd w:val="clear" w:color="auto" w:fill="FFFFFF"/>
        </w:rPr>
        <w:t>énumérer et interpréter les résultats des examens initiaux visant à déterminer la cause sous-jacente (p. ex. g</w:t>
      </w:r>
      <w:r w:rsidR="0082421F">
        <w:rPr>
          <w:rFonts w:cs="Times New Roman"/>
          <w:color w:val="000000"/>
          <w:sz w:val="16"/>
          <w:szCs w:val="16"/>
          <w:shd w:val="clear" w:color="auto" w:fill="FFFFFF"/>
        </w:rPr>
        <w:t>az</w:t>
      </w:r>
      <w:r w:rsidRPr="00FB65E0">
        <w:rPr>
          <w:rFonts w:cs="Times New Roman"/>
          <w:color w:val="000000"/>
          <w:sz w:val="16"/>
          <w:szCs w:val="16"/>
          <w:shd w:val="clear" w:color="auto" w:fill="FFFFFF"/>
        </w:rPr>
        <w:t xml:space="preserve"> du sang du cordon, glycémie);</w:t>
      </w:r>
    </w:p>
    <w:p w:rsidR="00FB65E0" w:rsidRPr="00FB65E0" w:rsidRDefault="00FB65E0" w:rsidP="00AF6ADC">
      <w:pPr>
        <w:numPr>
          <w:ilvl w:val="0"/>
          <w:numId w:val="1276"/>
        </w:numPr>
        <w:shd w:val="clear" w:color="auto" w:fill="FFFFFF"/>
        <w:spacing w:before="100" w:beforeAutospacing="1" w:after="100" w:afterAutospacing="1" w:line="240" w:lineRule="auto"/>
        <w:rPr>
          <w:rFonts w:cs="Times New Roman"/>
          <w:color w:val="000000"/>
          <w:sz w:val="16"/>
          <w:szCs w:val="16"/>
          <w:shd w:val="clear" w:color="auto" w:fill="FFFFFF"/>
        </w:rPr>
      </w:pPr>
      <w:r w:rsidRPr="00FB65E0">
        <w:rPr>
          <w:rFonts w:cs="Times New Roman"/>
          <w:color w:val="000000"/>
          <w:sz w:val="16"/>
          <w:szCs w:val="16"/>
          <w:shd w:val="clear" w:color="auto" w:fill="FFFFFF"/>
        </w:rPr>
        <w:t>établir un plan efficace de prise en charge initiale, notamment :</w:t>
      </w:r>
    </w:p>
    <w:p w:rsidR="00FB65E0" w:rsidRPr="00FB65E0" w:rsidRDefault="00FB65E0" w:rsidP="00AF6ADC">
      <w:pPr>
        <w:numPr>
          <w:ilvl w:val="1"/>
          <w:numId w:val="1276"/>
        </w:numPr>
        <w:shd w:val="clear" w:color="auto" w:fill="FFFFFF"/>
        <w:spacing w:before="100" w:beforeAutospacing="1" w:after="100" w:afterAutospacing="1" w:line="240" w:lineRule="auto"/>
        <w:rPr>
          <w:rFonts w:cs="Times New Roman"/>
          <w:color w:val="000000"/>
          <w:sz w:val="16"/>
          <w:szCs w:val="16"/>
          <w:shd w:val="clear" w:color="auto" w:fill="FFFFFF"/>
        </w:rPr>
      </w:pPr>
      <w:r w:rsidRPr="00FB65E0">
        <w:rPr>
          <w:rFonts w:cs="Times New Roman"/>
          <w:color w:val="000000"/>
          <w:sz w:val="16"/>
          <w:szCs w:val="16"/>
          <w:shd w:val="clear" w:color="auto" w:fill="FFFFFF"/>
        </w:rPr>
        <w:t>procéder à une réanimation néonatale;</w:t>
      </w:r>
    </w:p>
    <w:p w:rsidR="00FB65E0" w:rsidRPr="00FB65E0" w:rsidRDefault="00FB65E0" w:rsidP="00AF6ADC">
      <w:pPr>
        <w:numPr>
          <w:ilvl w:val="1"/>
          <w:numId w:val="1276"/>
        </w:numPr>
        <w:shd w:val="clear" w:color="auto" w:fill="FFFFFF"/>
        <w:spacing w:before="100" w:beforeAutospacing="1" w:after="100" w:afterAutospacing="1" w:line="240" w:lineRule="auto"/>
        <w:rPr>
          <w:rFonts w:cs="Times New Roman"/>
          <w:color w:val="000000"/>
          <w:sz w:val="16"/>
          <w:szCs w:val="16"/>
          <w:shd w:val="clear" w:color="auto" w:fill="FFFFFF"/>
        </w:rPr>
      </w:pPr>
      <w:r w:rsidRPr="00FB65E0">
        <w:rPr>
          <w:rFonts w:cs="Times New Roman"/>
          <w:color w:val="000000"/>
          <w:sz w:val="16"/>
          <w:szCs w:val="16"/>
          <w:shd w:val="clear" w:color="auto" w:fill="FFFFFF"/>
        </w:rPr>
        <w:t>passer en revue les éléments des soins de soutien continus, notamment :</w:t>
      </w:r>
    </w:p>
    <w:p w:rsidR="00FB65E0" w:rsidRPr="00FB65E0" w:rsidRDefault="00FB65E0" w:rsidP="00AF6ADC">
      <w:pPr>
        <w:numPr>
          <w:ilvl w:val="2"/>
          <w:numId w:val="1276"/>
        </w:numPr>
        <w:shd w:val="clear" w:color="auto" w:fill="FFFFFF"/>
        <w:spacing w:before="100" w:beforeAutospacing="1" w:after="100" w:afterAutospacing="1" w:line="240" w:lineRule="auto"/>
        <w:rPr>
          <w:rFonts w:cs="Times New Roman"/>
          <w:color w:val="000000"/>
          <w:sz w:val="16"/>
          <w:szCs w:val="16"/>
          <w:shd w:val="clear" w:color="auto" w:fill="FFFFFF"/>
        </w:rPr>
      </w:pPr>
      <w:r w:rsidRPr="00FB65E0">
        <w:rPr>
          <w:rFonts w:cs="Times New Roman"/>
          <w:color w:val="000000"/>
          <w:sz w:val="16"/>
          <w:szCs w:val="16"/>
          <w:shd w:val="clear" w:color="auto" w:fill="FFFFFF"/>
        </w:rPr>
        <w:t>thermorégulation;</w:t>
      </w:r>
    </w:p>
    <w:p w:rsidR="00FB65E0" w:rsidRPr="00FB65E0" w:rsidRDefault="00FB65E0" w:rsidP="00AF6ADC">
      <w:pPr>
        <w:numPr>
          <w:ilvl w:val="2"/>
          <w:numId w:val="1276"/>
        </w:numPr>
        <w:shd w:val="clear" w:color="auto" w:fill="FFFFFF"/>
        <w:spacing w:before="100" w:beforeAutospacing="1" w:after="100" w:afterAutospacing="1" w:line="240" w:lineRule="auto"/>
        <w:rPr>
          <w:rFonts w:cs="Times New Roman"/>
          <w:color w:val="000000"/>
          <w:sz w:val="16"/>
          <w:szCs w:val="16"/>
          <w:shd w:val="clear" w:color="auto" w:fill="FFFFFF"/>
        </w:rPr>
      </w:pPr>
      <w:r w:rsidRPr="00FB65E0">
        <w:rPr>
          <w:rFonts w:cs="Times New Roman"/>
          <w:color w:val="000000"/>
          <w:sz w:val="16"/>
          <w:szCs w:val="16"/>
          <w:shd w:val="clear" w:color="auto" w:fill="FFFFFF"/>
        </w:rPr>
        <w:t>équilibre des fluides et des électrolytes;</w:t>
      </w:r>
    </w:p>
    <w:p w:rsidR="00FB65E0" w:rsidRPr="00FB65E0" w:rsidRDefault="00FB65E0" w:rsidP="00AF6ADC">
      <w:pPr>
        <w:numPr>
          <w:ilvl w:val="2"/>
          <w:numId w:val="1276"/>
        </w:numPr>
        <w:shd w:val="clear" w:color="auto" w:fill="FFFFFF"/>
        <w:spacing w:before="100" w:beforeAutospacing="1" w:after="100" w:afterAutospacing="1" w:line="240" w:lineRule="auto"/>
        <w:rPr>
          <w:rFonts w:cs="Times New Roman"/>
          <w:color w:val="000000"/>
          <w:sz w:val="16"/>
          <w:szCs w:val="16"/>
          <w:shd w:val="clear" w:color="auto" w:fill="FFFFFF"/>
        </w:rPr>
      </w:pPr>
      <w:r w:rsidRPr="00FB65E0">
        <w:rPr>
          <w:rFonts w:cs="Times New Roman"/>
          <w:color w:val="000000"/>
          <w:sz w:val="16"/>
          <w:szCs w:val="16"/>
          <w:shd w:val="clear" w:color="auto" w:fill="FFFFFF"/>
        </w:rPr>
        <w:t>traitement des cas de sepsi</w:t>
      </w:r>
      <w:r w:rsidR="0082421F">
        <w:rPr>
          <w:rFonts w:cs="Times New Roman"/>
          <w:color w:val="000000"/>
          <w:sz w:val="16"/>
          <w:szCs w:val="16"/>
          <w:shd w:val="clear" w:color="auto" w:fill="FFFFFF"/>
        </w:rPr>
        <w:t>s</w:t>
      </w:r>
      <w:r w:rsidRPr="00FB65E0">
        <w:rPr>
          <w:rFonts w:cs="Times New Roman"/>
          <w:color w:val="000000"/>
          <w:sz w:val="16"/>
          <w:szCs w:val="16"/>
          <w:shd w:val="clear" w:color="auto" w:fill="FFFFFF"/>
        </w:rPr>
        <w:t>;</w:t>
      </w:r>
    </w:p>
    <w:p w:rsidR="00FB65E0" w:rsidRPr="00FB65E0" w:rsidRDefault="00FB65E0" w:rsidP="00AF6ADC">
      <w:pPr>
        <w:numPr>
          <w:ilvl w:val="2"/>
          <w:numId w:val="1276"/>
        </w:numPr>
        <w:shd w:val="clear" w:color="auto" w:fill="FFFFFF"/>
        <w:spacing w:before="100" w:beforeAutospacing="1" w:after="100" w:afterAutospacing="1" w:line="240" w:lineRule="auto"/>
        <w:rPr>
          <w:rFonts w:cs="Times New Roman"/>
          <w:color w:val="000000"/>
          <w:sz w:val="16"/>
          <w:szCs w:val="16"/>
          <w:shd w:val="clear" w:color="auto" w:fill="FFFFFF"/>
        </w:rPr>
      </w:pPr>
      <w:r w:rsidRPr="00FB65E0">
        <w:rPr>
          <w:rFonts w:cs="Times New Roman"/>
          <w:color w:val="000000"/>
          <w:sz w:val="16"/>
          <w:szCs w:val="16"/>
          <w:shd w:val="clear" w:color="auto" w:fill="FFFFFF"/>
        </w:rPr>
        <w:t>assistance cardiorespiratoire;</w:t>
      </w:r>
    </w:p>
    <w:p w:rsidR="00FB65E0" w:rsidRPr="00FB65E0" w:rsidRDefault="00FB65E0" w:rsidP="00AF6ADC">
      <w:pPr>
        <w:numPr>
          <w:ilvl w:val="1"/>
          <w:numId w:val="1276"/>
        </w:numPr>
        <w:shd w:val="clear" w:color="auto" w:fill="FFFFFF"/>
        <w:spacing w:before="100" w:beforeAutospacing="1" w:after="100" w:afterAutospacing="1" w:line="240" w:lineRule="auto"/>
        <w:rPr>
          <w:rFonts w:cs="Times New Roman"/>
          <w:color w:val="000000"/>
          <w:sz w:val="16"/>
          <w:szCs w:val="16"/>
          <w:shd w:val="clear" w:color="auto" w:fill="FFFFFF"/>
        </w:rPr>
      </w:pPr>
      <w:r w:rsidRPr="00FB65E0">
        <w:rPr>
          <w:rFonts w:cs="Times New Roman"/>
          <w:color w:val="000000"/>
          <w:sz w:val="16"/>
          <w:szCs w:val="16"/>
          <w:shd w:val="clear" w:color="auto" w:fill="FFFFFF"/>
        </w:rPr>
        <w:t>maintenir des liens de communication appropriés avec la ou les personnes soignantes;</w:t>
      </w:r>
    </w:p>
    <w:p w:rsidR="00FB65E0" w:rsidRPr="00C164B9" w:rsidRDefault="00606E27" w:rsidP="00AF6ADC">
      <w:pPr>
        <w:numPr>
          <w:ilvl w:val="1"/>
          <w:numId w:val="1276"/>
        </w:numPr>
        <w:shd w:val="clear" w:color="auto" w:fill="FFFFFF"/>
        <w:spacing w:before="100" w:beforeAutospacing="1" w:after="100" w:afterAutospacing="1" w:line="240" w:lineRule="auto"/>
        <w:rPr>
          <w:rFonts w:cs="Times New Roman"/>
          <w:color w:val="000000"/>
          <w:sz w:val="16"/>
          <w:szCs w:val="16"/>
          <w:shd w:val="clear" w:color="auto" w:fill="FFFFFF"/>
        </w:rPr>
      </w:pPr>
      <w:r>
        <w:rPr>
          <w:noProof/>
          <w:lang w:eastAsia="fr-CA"/>
        </w:rPr>
        <w:drawing>
          <wp:anchor distT="0" distB="0" distL="114300" distR="114300" simplePos="0" relativeHeight="252096512" behindDoc="1" locked="0" layoutInCell="1" allowOverlap="1" wp14:anchorId="266D9F89" wp14:editId="568E243C">
            <wp:simplePos x="0" y="0"/>
            <wp:positionH relativeFrom="column">
              <wp:posOffset>4288790</wp:posOffset>
            </wp:positionH>
            <wp:positionV relativeFrom="paragraph">
              <wp:posOffset>278130</wp:posOffset>
            </wp:positionV>
            <wp:extent cx="2480310" cy="1779270"/>
            <wp:effectExtent l="0" t="0" r="0" b="0"/>
            <wp:wrapNone/>
            <wp:docPr id="588" name="Image 588" descr="Résultats de recherche d'images pour « tetralogie de fallo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 name="Image 397" descr="Résultats de recherche d'images pour « tetralogie de fallot »"/>
                    <pic:cNvPicPr>
                      <a:picLocks noChangeAspect="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480310" cy="1779270"/>
                    </a:xfrm>
                    <a:prstGeom prst="rect">
                      <a:avLst/>
                    </a:prstGeom>
                    <a:noFill/>
                    <a:ln>
                      <a:noFill/>
                    </a:ln>
                  </pic:spPr>
                </pic:pic>
              </a:graphicData>
            </a:graphic>
          </wp:anchor>
        </w:drawing>
      </w:r>
      <w:r w:rsidR="00FB65E0" w:rsidRPr="00FB65E0">
        <w:rPr>
          <w:rFonts w:cs="Times New Roman"/>
          <w:color w:val="000000"/>
          <w:sz w:val="16"/>
          <w:szCs w:val="16"/>
          <w:shd w:val="clear" w:color="auto" w:fill="FFFFFF"/>
        </w:rPr>
        <w:t>demander une consultation auprès de spécialistes, s'il y a lieu.</w:t>
      </w:r>
    </w:p>
    <w:p w:rsidR="00BE32E8" w:rsidRPr="00C164B9" w:rsidRDefault="00C164B9" w:rsidP="00BE32E8">
      <w:pPr>
        <w:pStyle w:val="Sansinterligne"/>
        <w:rPr>
          <w:b/>
          <w:sz w:val="28"/>
          <w:szCs w:val="28"/>
        </w:rPr>
      </w:pPr>
      <w:r w:rsidRPr="00C164B9">
        <w:rPr>
          <w:b/>
          <w:sz w:val="28"/>
          <w:szCs w:val="28"/>
        </w:rPr>
        <w:t>Détresse néonatale</w:t>
      </w:r>
    </w:p>
    <w:p w:rsidR="00BE32E8" w:rsidRDefault="00BE32E8" w:rsidP="00BE32E8">
      <w:pPr>
        <w:pStyle w:val="Sansinterligne"/>
      </w:pPr>
      <w:r>
        <w:t xml:space="preserve"> </w:t>
      </w:r>
    </w:p>
    <w:p w:rsidR="000B1DCF" w:rsidRDefault="000B1DCF" w:rsidP="00606E27">
      <w:pPr>
        <w:pStyle w:val="Sansinterligne"/>
        <w:ind w:right="4704"/>
      </w:pPr>
      <w:r w:rsidRPr="004E2352">
        <w:rPr>
          <w:highlight w:val="yellow"/>
          <w:lang w:eastAsia="fr-CA"/>
        </w:rPr>
        <w:t>L’enfant en détresse respiratoire, particulièrement le nouveau-né et le jeune enfant présenteront de la tachypnée, de la tachycardie</w:t>
      </w:r>
      <w:r w:rsidRPr="004E2352">
        <w:rPr>
          <w:rFonts w:ascii="Century Gothic" w:hAnsi="Century Gothic"/>
          <w:highlight w:val="yellow"/>
          <w:lang w:eastAsia="fr-CA"/>
        </w:rPr>
        <w:t xml:space="preserve">, </w:t>
      </w:r>
      <w:r w:rsidRPr="004E2352">
        <w:rPr>
          <w:highlight w:val="yellow"/>
        </w:rPr>
        <w:t xml:space="preserve">du battement des ailes du nez, du tirage et parfois du </w:t>
      </w:r>
      <w:r w:rsidRPr="004E2352">
        <w:rPr>
          <w:i/>
          <w:highlight w:val="yellow"/>
        </w:rPr>
        <w:t>gruntin</w:t>
      </w:r>
      <w:r w:rsidRPr="004E2352">
        <w:rPr>
          <w:highlight w:val="yellow"/>
        </w:rPr>
        <w:t>g, soit un bruit apparenté à un grognement correspondant à une tentative d’auto-PEEP de l’enfant.</w:t>
      </w:r>
    </w:p>
    <w:p w:rsidR="000B1DCF" w:rsidRDefault="000B1DCF" w:rsidP="00606E27">
      <w:pPr>
        <w:pStyle w:val="Sansinterligne"/>
        <w:ind w:right="4704"/>
      </w:pPr>
    </w:p>
    <w:p w:rsidR="000B1DCF" w:rsidRDefault="000B1DCF" w:rsidP="00606E27">
      <w:pPr>
        <w:pStyle w:val="Sansinterligne"/>
        <w:ind w:right="4704"/>
        <w:rPr>
          <w:lang w:eastAsia="fr-CA"/>
        </w:rPr>
      </w:pPr>
      <w:r>
        <w:t>Chez un nouveau-né, on s’attend à une FC d’environ 140 et un rythme respiratoire d’environ 40.</w:t>
      </w:r>
    </w:p>
    <w:p w:rsidR="0082421F" w:rsidRDefault="0082421F" w:rsidP="00BE32E8">
      <w:pPr>
        <w:pStyle w:val="Sansinterligne"/>
      </w:pPr>
    </w:p>
    <w:tbl>
      <w:tblPr>
        <w:tblStyle w:val="Grilledutableau"/>
        <w:tblW w:w="0" w:type="auto"/>
        <w:tblLook w:val="04A0" w:firstRow="1" w:lastRow="0" w:firstColumn="1" w:lastColumn="0" w:noHBand="0" w:noVBand="1"/>
      </w:tblPr>
      <w:tblGrid>
        <w:gridCol w:w="1985"/>
        <w:gridCol w:w="5636"/>
        <w:gridCol w:w="3395"/>
      </w:tblGrid>
      <w:tr w:rsidR="0082421F" w:rsidRPr="00E46411" w:rsidTr="00C164B9">
        <w:tc>
          <w:tcPr>
            <w:tcW w:w="11016" w:type="dxa"/>
            <w:gridSpan w:val="3"/>
            <w:shd w:val="clear" w:color="auto" w:fill="FFC000"/>
          </w:tcPr>
          <w:p w:rsidR="0082421F" w:rsidRPr="00E46411" w:rsidRDefault="0082421F" w:rsidP="00C164B9">
            <w:pPr>
              <w:pStyle w:val="Sansinterligne"/>
              <w:jc w:val="center"/>
              <w:rPr>
                <w:b/>
                <w:lang w:eastAsia="fr-CA"/>
              </w:rPr>
            </w:pPr>
            <w:r w:rsidRPr="00E46411">
              <w:rPr>
                <w:b/>
                <w:lang w:eastAsia="fr-CA"/>
              </w:rPr>
              <w:t>Nouveau-né</w:t>
            </w:r>
          </w:p>
        </w:tc>
      </w:tr>
      <w:tr w:rsidR="0082421F" w:rsidRPr="004811D3" w:rsidTr="00C164B9">
        <w:tc>
          <w:tcPr>
            <w:tcW w:w="1985" w:type="dxa"/>
            <w:shd w:val="clear" w:color="auto" w:fill="FABF8F" w:themeFill="accent6" w:themeFillTint="99"/>
          </w:tcPr>
          <w:p w:rsidR="0082421F" w:rsidRPr="004811D3" w:rsidRDefault="0082421F" w:rsidP="00C164B9">
            <w:pPr>
              <w:pStyle w:val="Sansinterligne"/>
              <w:jc w:val="center"/>
              <w:rPr>
                <w:i/>
                <w:lang w:eastAsia="fr-CA"/>
              </w:rPr>
            </w:pPr>
            <w:r w:rsidRPr="004811D3">
              <w:rPr>
                <w:i/>
                <w:lang w:eastAsia="fr-CA"/>
              </w:rPr>
              <w:t>Diagnostic</w:t>
            </w:r>
          </w:p>
        </w:tc>
        <w:tc>
          <w:tcPr>
            <w:tcW w:w="5636" w:type="dxa"/>
            <w:shd w:val="clear" w:color="auto" w:fill="FABF8F" w:themeFill="accent6" w:themeFillTint="99"/>
          </w:tcPr>
          <w:p w:rsidR="0082421F" w:rsidRPr="004811D3" w:rsidRDefault="0082421F" w:rsidP="00C164B9">
            <w:pPr>
              <w:pStyle w:val="Sansinterligne"/>
              <w:jc w:val="center"/>
              <w:rPr>
                <w:i/>
                <w:lang w:eastAsia="fr-CA"/>
              </w:rPr>
            </w:pPr>
            <w:r w:rsidRPr="004811D3">
              <w:rPr>
                <w:i/>
                <w:lang w:eastAsia="fr-CA"/>
              </w:rPr>
              <w:t>Manifestations cliniques</w:t>
            </w:r>
            <w:r>
              <w:rPr>
                <w:i/>
                <w:lang w:eastAsia="fr-CA"/>
              </w:rPr>
              <w:t xml:space="preserve"> et facteurs de risque</w:t>
            </w:r>
          </w:p>
        </w:tc>
        <w:tc>
          <w:tcPr>
            <w:tcW w:w="3395" w:type="dxa"/>
            <w:shd w:val="clear" w:color="auto" w:fill="FABF8F" w:themeFill="accent6" w:themeFillTint="99"/>
          </w:tcPr>
          <w:p w:rsidR="0082421F" w:rsidRPr="004811D3" w:rsidRDefault="0082421F" w:rsidP="00C164B9">
            <w:pPr>
              <w:pStyle w:val="Sansinterligne"/>
              <w:jc w:val="center"/>
              <w:rPr>
                <w:i/>
                <w:lang w:eastAsia="fr-CA"/>
              </w:rPr>
            </w:pPr>
            <w:r>
              <w:rPr>
                <w:i/>
                <w:lang w:eastAsia="fr-CA"/>
              </w:rPr>
              <w:t>Traitement</w:t>
            </w:r>
          </w:p>
        </w:tc>
      </w:tr>
      <w:tr w:rsidR="0082421F" w:rsidRPr="00CD2C0C" w:rsidTr="00C164B9">
        <w:tc>
          <w:tcPr>
            <w:tcW w:w="1985" w:type="dxa"/>
            <w:shd w:val="clear" w:color="auto" w:fill="FABF8F" w:themeFill="accent6" w:themeFillTint="99"/>
            <w:vAlign w:val="center"/>
          </w:tcPr>
          <w:p w:rsidR="0082421F" w:rsidRPr="0064465D" w:rsidRDefault="0082421F" w:rsidP="00C164B9">
            <w:pPr>
              <w:pStyle w:val="Sansinterligne"/>
              <w:jc w:val="center"/>
              <w:rPr>
                <w:b/>
                <w:lang w:eastAsia="fr-CA"/>
              </w:rPr>
            </w:pPr>
            <w:r w:rsidRPr="0064465D">
              <w:rPr>
                <w:b/>
                <w:lang w:eastAsia="fr-CA"/>
              </w:rPr>
              <w:t>Maladie des membranes hyalines</w:t>
            </w:r>
          </w:p>
        </w:tc>
        <w:tc>
          <w:tcPr>
            <w:tcW w:w="5636" w:type="dxa"/>
            <w:shd w:val="clear" w:color="auto" w:fill="FFFF00"/>
          </w:tcPr>
          <w:p w:rsidR="0082421F" w:rsidRDefault="0082421F" w:rsidP="00C164B9">
            <w:pPr>
              <w:pStyle w:val="Sansinterligne"/>
              <w:numPr>
                <w:ilvl w:val="0"/>
                <w:numId w:val="811"/>
              </w:numPr>
              <w:rPr>
                <w:lang w:eastAsia="fr-CA"/>
              </w:rPr>
            </w:pPr>
            <w:r>
              <w:rPr>
                <w:lang w:eastAsia="fr-CA"/>
              </w:rPr>
              <w:t xml:space="preserve">Prématuré </w:t>
            </w:r>
            <w:r>
              <w:rPr>
                <w:rFonts w:ascii="Century Gothic" w:hAnsi="Century Gothic"/>
                <w:lang w:eastAsia="fr-CA"/>
              </w:rPr>
              <w:t>&lt;</w:t>
            </w:r>
            <w:r>
              <w:rPr>
                <w:lang w:eastAsia="fr-CA"/>
              </w:rPr>
              <w:t xml:space="preserve"> 34 semaines</w:t>
            </w:r>
          </w:p>
          <w:p w:rsidR="0082421F" w:rsidRDefault="0082421F" w:rsidP="00C164B9">
            <w:pPr>
              <w:pStyle w:val="Sansinterligne"/>
              <w:numPr>
                <w:ilvl w:val="0"/>
                <w:numId w:val="811"/>
              </w:numPr>
              <w:rPr>
                <w:lang w:eastAsia="fr-CA"/>
              </w:rPr>
            </w:pPr>
            <w:r>
              <w:rPr>
                <w:lang w:eastAsia="fr-CA"/>
              </w:rPr>
              <w:t>Détresse respiratoire dans les premières heures de vie</w:t>
            </w:r>
          </w:p>
          <w:p w:rsidR="0082421F" w:rsidRDefault="0082421F" w:rsidP="00C164B9">
            <w:pPr>
              <w:pStyle w:val="Sansinterligne"/>
              <w:numPr>
                <w:ilvl w:val="0"/>
                <w:numId w:val="811"/>
              </w:numPr>
              <w:rPr>
                <w:lang w:eastAsia="fr-CA"/>
              </w:rPr>
            </w:pPr>
            <w:r>
              <w:rPr>
                <w:lang w:eastAsia="fr-CA"/>
              </w:rPr>
              <w:t>Empire ad 24-72h</w:t>
            </w:r>
          </w:p>
          <w:p w:rsidR="0082421F" w:rsidRDefault="0082421F" w:rsidP="00C164B9">
            <w:pPr>
              <w:pStyle w:val="Sansinterligne"/>
              <w:numPr>
                <w:ilvl w:val="0"/>
                <w:numId w:val="811"/>
              </w:numPr>
              <w:rPr>
                <w:lang w:eastAsia="fr-CA"/>
              </w:rPr>
            </w:pPr>
            <w:r>
              <w:rPr>
                <w:lang w:eastAsia="fr-CA"/>
              </w:rPr>
              <w:t>Cyanose</w:t>
            </w:r>
          </w:p>
          <w:p w:rsidR="0082421F" w:rsidRDefault="0082421F" w:rsidP="00C164B9">
            <w:pPr>
              <w:pStyle w:val="Sansinterligne"/>
              <w:numPr>
                <w:ilvl w:val="0"/>
                <w:numId w:val="811"/>
              </w:numPr>
              <w:rPr>
                <w:lang w:eastAsia="fr-CA"/>
              </w:rPr>
            </w:pPr>
            <w:r>
              <w:rPr>
                <w:lang w:eastAsia="fr-CA"/>
              </w:rPr>
              <w:t xml:space="preserve">FR : Diabète gestationnel, </w:t>
            </w:r>
            <w:r>
              <w:rPr>
                <w:rFonts w:ascii="Century Gothic" w:hAnsi="Century Gothic"/>
              </w:rPr>
              <w:t>♂</w:t>
            </w:r>
            <w:r>
              <w:t>, PPAG, acidose, sepsis, hypothermie, grossesse gémellaire (2</w:t>
            </w:r>
            <w:r w:rsidRPr="00E41883">
              <w:rPr>
                <w:vertAlign w:val="superscript"/>
              </w:rPr>
              <w:t>e</w:t>
            </w:r>
            <w:r>
              <w:t>)</w:t>
            </w:r>
          </w:p>
        </w:tc>
        <w:tc>
          <w:tcPr>
            <w:tcW w:w="3395" w:type="dxa"/>
            <w:shd w:val="clear" w:color="auto" w:fill="FFFF00"/>
          </w:tcPr>
          <w:p w:rsidR="0082421F" w:rsidRDefault="0082421F" w:rsidP="00C164B9">
            <w:pPr>
              <w:pStyle w:val="Sansinterligne"/>
              <w:numPr>
                <w:ilvl w:val="0"/>
                <w:numId w:val="810"/>
              </w:numPr>
              <w:rPr>
                <w:lang w:eastAsia="fr-CA"/>
              </w:rPr>
            </w:pPr>
            <w:r>
              <w:rPr>
                <w:lang w:eastAsia="fr-CA"/>
              </w:rPr>
              <w:t>Réanimation</w:t>
            </w:r>
          </w:p>
          <w:p w:rsidR="0082421F" w:rsidRDefault="0082421F" w:rsidP="00C164B9">
            <w:pPr>
              <w:pStyle w:val="Sansinterligne"/>
              <w:numPr>
                <w:ilvl w:val="0"/>
                <w:numId w:val="810"/>
              </w:numPr>
              <w:rPr>
                <w:lang w:eastAsia="fr-CA"/>
              </w:rPr>
            </w:pPr>
            <w:r>
              <w:rPr>
                <w:lang w:eastAsia="fr-CA"/>
              </w:rPr>
              <w:t>O</w:t>
            </w:r>
            <w:r w:rsidRPr="00E41883">
              <w:rPr>
                <w:vertAlign w:val="subscript"/>
                <w:lang w:eastAsia="fr-CA"/>
              </w:rPr>
              <w:t>2</w:t>
            </w:r>
            <w:r>
              <w:rPr>
                <w:lang w:eastAsia="fr-CA"/>
              </w:rPr>
              <w:t xml:space="preserve"> + ventilation avec PEP </w:t>
            </w:r>
          </w:p>
          <w:p w:rsidR="0082421F" w:rsidRPr="00CD2C0C" w:rsidRDefault="0082421F" w:rsidP="00C164B9">
            <w:pPr>
              <w:pStyle w:val="Sansinterligne"/>
              <w:numPr>
                <w:ilvl w:val="0"/>
                <w:numId w:val="810"/>
              </w:numPr>
              <w:rPr>
                <w:u w:val="single"/>
                <w:lang w:eastAsia="fr-CA"/>
              </w:rPr>
            </w:pPr>
            <w:r w:rsidRPr="00CD2C0C">
              <w:rPr>
                <w:u w:val="single"/>
                <w:lang w:eastAsia="fr-CA"/>
              </w:rPr>
              <w:t>Intubation et surfactant intratrachéal si insuffisant</w:t>
            </w:r>
          </w:p>
        </w:tc>
      </w:tr>
      <w:tr w:rsidR="0082421F" w:rsidTr="00C164B9">
        <w:tc>
          <w:tcPr>
            <w:tcW w:w="1985" w:type="dxa"/>
            <w:shd w:val="clear" w:color="auto" w:fill="FABF8F" w:themeFill="accent6" w:themeFillTint="99"/>
            <w:vAlign w:val="center"/>
          </w:tcPr>
          <w:p w:rsidR="0082421F" w:rsidRPr="0064465D" w:rsidRDefault="0082421F" w:rsidP="00C164B9">
            <w:pPr>
              <w:pStyle w:val="Sansinterligne"/>
              <w:jc w:val="center"/>
              <w:rPr>
                <w:b/>
                <w:lang w:eastAsia="fr-CA"/>
              </w:rPr>
            </w:pPr>
            <w:r w:rsidRPr="0064465D">
              <w:rPr>
                <w:b/>
                <w:lang w:eastAsia="fr-CA"/>
              </w:rPr>
              <w:t>Tachypnée transitoire du nouveau-né</w:t>
            </w:r>
          </w:p>
        </w:tc>
        <w:tc>
          <w:tcPr>
            <w:tcW w:w="5636" w:type="dxa"/>
            <w:shd w:val="clear" w:color="auto" w:fill="FFFF00"/>
          </w:tcPr>
          <w:p w:rsidR="0082421F" w:rsidRDefault="0082421F" w:rsidP="00C164B9">
            <w:pPr>
              <w:pStyle w:val="Sansinterligne"/>
              <w:numPr>
                <w:ilvl w:val="0"/>
                <w:numId w:val="811"/>
              </w:numPr>
              <w:rPr>
                <w:lang w:eastAsia="fr-CA"/>
              </w:rPr>
            </w:pPr>
            <w:r>
              <w:rPr>
                <w:lang w:eastAsia="fr-CA"/>
              </w:rPr>
              <w:t xml:space="preserve">Nouveau-né à terme, césarienne sans travail </w:t>
            </w:r>
            <w:r>
              <w:rPr>
                <w:rFonts w:ascii="Century Gothic" w:hAnsi="Century Gothic"/>
                <w:lang w:eastAsia="fr-CA"/>
              </w:rPr>
              <w:t>&gt;</w:t>
            </w:r>
            <w:r>
              <w:rPr>
                <w:lang w:eastAsia="fr-CA"/>
              </w:rPr>
              <w:t xml:space="preserve"> vaginal</w:t>
            </w:r>
          </w:p>
          <w:p w:rsidR="0082421F" w:rsidRDefault="0082421F" w:rsidP="00C164B9">
            <w:pPr>
              <w:pStyle w:val="Sansinterligne"/>
              <w:numPr>
                <w:ilvl w:val="0"/>
                <w:numId w:val="811"/>
              </w:numPr>
              <w:rPr>
                <w:lang w:eastAsia="fr-CA"/>
              </w:rPr>
            </w:pPr>
            <w:r>
              <w:rPr>
                <w:lang w:eastAsia="fr-CA"/>
              </w:rPr>
              <w:t>Détresse respiratoire dans les premières heures de vie</w:t>
            </w:r>
          </w:p>
          <w:p w:rsidR="0082421F" w:rsidRDefault="0082421F" w:rsidP="00C164B9">
            <w:pPr>
              <w:pStyle w:val="Sansinterligne"/>
              <w:numPr>
                <w:ilvl w:val="0"/>
                <w:numId w:val="811"/>
              </w:numPr>
              <w:rPr>
                <w:lang w:eastAsia="fr-CA"/>
              </w:rPr>
            </w:pPr>
            <w:r>
              <w:rPr>
                <w:lang w:eastAsia="fr-CA"/>
              </w:rPr>
              <w:t>Légère à modérée</w:t>
            </w:r>
          </w:p>
          <w:p w:rsidR="0082421F" w:rsidRDefault="0082421F" w:rsidP="00C164B9">
            <w:pPr>
              <w:pStyle w:val="Sansinterligne"/>
              <w:numPr>
                <w:ilvl w:val="0"/>
                <w:numId w:val="811"/>
              </w:numPr>
              <w:rPr>
                <w:lang w:eastAsia="fr-CA"/>
              </w:rPr>
            </w:pPr>
            <w:r>
              <w:rPr>
                <w:lang w:eastAsia="fr-CA"/>
              </w:rPr>
              <w:t xml:space="preserve">Grunting </w:t>
            </w:r>
          </w:p>
          <w:p w:rsidR="0082421F" w:rsidRDefault="0082421F" w:rsidP="00C164B9">
            <w:pPr>
              <w:pStyle w:val="Sansinterligne"/>
              <w:numPr>
                <w:ilvl w:val="0"/>
                <w:numId w:val="811"/>
              </w:numPr>
              <w:rPr>
                <w:lang w:eastAsia="fr-CA"/>
              </w:rPr>
            </w:pPr>
            <w:r>
              <w:rPr>
                <w:lang w:eastAsia="fr-CA"/>
              </w:rPr>
              <w:t>Battements des ailes du nez, tirage</w:t>
            </w:r>
          </w:p>
          <w:p w:rsidR="0082421F" w:rsidRPr="00026599" w:rsidRDefault="0082421F" w:rsidP="00C164B9">
            <w:pPr>
              <w:pStyle w:val="Sansinterligne"/>
              <w:numPr>
                <w:ilvl w:val="0"/>
                <w:numId w:val="811"/>
              </w:numPr>
              <w:rPr>
                <w:u w:val="single"/>
                <w:lang w:eastAsia="fr-CA"/>
              </w:rPr>
            </w:pPr>
            <w:r w:rsidRPr="00026599">
              <w:rPr>
                <w:u w:val="single"/>
                <w:lang w:eastAsia="fr-CA"/>
              </w:rPr>
              <w:t>Diagnostic d’exclusion</w:t>
            </w:r>
          </w:p>
        </w:tc>
        <w:tc>
          <w:tcPr>
            <w:tcW w:w="3395" w:type="dxa"/>
            <w:shd w:val="clear" w:color="auto" w:fill="FFFF00"/>
          </w:tcPr>
          <w:p w:rsidR="0082421F" w:rsidRDefault="0082421F" w:rsidP="00C164B9">
            <w:pPr>
              <w:pStyle w:val="Sansinterligne"/>
              <w:numPr>
                <w:ilvl w:val="0"/>
                <w:numId w:val="812"/>
              </w:numPr>
              <w:rPr>
                <w:lang w:eastAsia="fr-CA"/>
              </w:rPr>
            </w:pPr>
            <w:r>
              <w:rPr>
                <w:lang w:eastAsia="fr-CA"/>
              </w:rPr>
              <w:t>O</w:t>
            </w:r>
            <w:r w:rsidRPr="00E41883">
              <w:rPr>
                <w:vertAlign w:val="subscript"/>
                <w:lang w:eastAsia="fr-CA"/>
              </w:rPr>
              <w:t>2</w:t>
            </w:r>
            <w:r>
              <w:rPr>
                <w:lang w:eastAsia="fr-CA"/>
              </w:rPr>
              <w:t xml:space="preserve"> PRN</w:t>
            </w:r>
          </w:p>
          <w:p w:rsidR="0082421F" w:rsidRDefault="0082421F" w:rsidP="00C164B9">
            <w:pPr>
              <w:pStyle w:val="Sansinterligne"/>
              <w:numPr>
                <w:ilvl w:val="0"/>
                <w:numId w:val="812"/>
              </w:numPr>
              <w:rPr>
                <w:lang w:eastAsia="fr-CA"/>
              </w:rPr>
            </w:pPr>
            <w:r>
              <w:rPr>
                <w:lang w:eastAsia="fr-CA"/>
              </w:rPr>
              <w:t>Ventilation (ex : CPAP)</w:t>
            </w:r>
          </w:p>
          <w:p w:rsidR="0082421F" w:rsidRDefault="0082421F" w:rsidP="00C164B9">
            <w:pPr>
              <w:pStyle w:val="Sansinterligne"/>
              <w:numPr>
                <w:ilvl w:val="0"/>
                <w:numId w:val="812"/>
              </w:numPr>
              <w:rPr>
                <w:lang w:eastAsia="fr-CA"/>
              </w:rPr>
            </w:pPr>
            <w:r>
              <w:rPr>
                <w:lang w:eastAsia="fr-CA"/>
              </w:rPr>
              <w:t>Hydratation IV + TNG si incapable de manger</w:t>
            </w:r>
          </w:p>
          <w:p w:rsidR="0082421F" w:rsidRDefault="0082421F" w:rsidP="00C164B9">
            <w:pPr>
              <w:pStyle w:val="Sansinterligne"/>
              <w:numPr>
                <w:ilvl w:val="0"/>
                <w:numId w:val="812"/>
              </w:numPr>
              <w:rPr>
                <w:lang w:eastAsia="fr-CA"/>
              </w:rPr>
            </w:pPr>
            <w:r>
              <w:rPr>
                <w:lang w:eastAsia="fr-CA"/>
              </w:rPr>
              <w:t>Bref, traitement de support</w:t>
            </w:r>
          </w:p>
          <w:p w:rsidR="0082421F" w:rsidRDefault="0082421F" w:rsidP="00C164B9">
            <w:pPr>
              <w:pStyle w:val="Sansinterligne"/>
              <w:numPr>
                <w:ilvl w:val="0"/>
                <w:numId w:val="812"/>
              </w:numPr>
              <w:rPr>
                <w:lang w:eastAsia="fr-CA"/>
              </w:rPr>
            </w:pPr>
            <w:r>
              <w:rPr>
                <w:lang w:eastAsia="fr-CA"/>
              </w:rPr>
              <w:t>Autorésolutif</w:t>
            </w:r>
          </w:p>
        </w:tc>
      </w:tr>
      <w:tr w:rsidR="0082421F" w:rsidTr="00C164B9">
        <w:tc>
          <w:tcPr>
            <w:tcW w:w="1985" w:type="dxa"/>
            <w:shd w:val="clear" w:color="auto" w:fill="FABF8F" w:themeFill="accent6" w:themeFillTint="99"/>
            <w:vAlign w:val="center"/>
          </w:tcPr>
          <w:p w:rsidR="0082421F" w:rsidRPr="0064465D" w:rsidRDefault="0082421F" w:rsidP="00C164B9">
            <w:pPr>
              <w:pStyle w:val="Sansinterligne"/>
              <w:jc w:val="center"/>
              <w:rPr>
                <w:b/>
                <w:lang w:eastAsia="fr-CA"/>
              </w:rPr>
            </w:pPr>
            <w:r w:rsidRPr="0064465D">
              <w:rPr>
                <w:b/>
                <w:lang w:eastAsia="fr-CA"/>
              </w:rPr>
              <w:t>Inhalation de méconium</w:t>
            </w:r>
          </w:p>
        </w:tc>
        <w:tc>
          <w:tcPr>
            <w:tcW w:w="5636" w:type="dxa"/>
            <w:shd w:val="clear" w:color="auto" w:fill="FFFF00"/>
          </w:tcPr>
          <w:p w:rsidR="0082421F" w:rsidRDefault="0082421F" w:rsidP="00C164B9">
            <w:pPr>
              <w:pStyle w:val="Sansinterligne"/>
              <w:numPr>
                <w:ilvl w:val="0"/>
                <w:numId w:val="813"/>
              </w:numPr>
              <w:rPr>
                <w:lang w:eastAsia="fr-CA"/>
              </w:rPr>
            </w:pPr>
            <w:r>
              <w:rPr>
                <w:lang w:eastAsia="fr-CA"/>
              </w:rPr>
              <w:t>Liquide amniotique méconial à la naissance</w:t>
            </w:r>
          </w:p>
          <w:p w:rsidR="0082421F" w:rsidRDefault="0082421F" w:rsidP="00C164B9">
            <w:pPr>
              <w:pStyle w:val="Sansinterligne"/>
              <w:numPr>
                <w:ilvl w:val="0"/>
                <w:numId w:val="813"/>
              </w:numPr>
              <w:rPr>
                <w:lang w:eastAsia="fr-CA"/>
              </w:rPr>
            </w:pPr>
            <w:r>
              <w:rPr>
                <w:lang w:eastAsia="fr-CA"/>
              </w:rPr>
              <w:t>Détresse dans les heures suivant la naissance</w:t>
            </w:r>
          </w:p>
          <w:p w:rsidR="0082421F" w:rsidRDefault="0082421F" w:rsidP="00C164B9">
            <w:pPr>
              <w:pStyle w:val="Sansinterligne"/>
              <w:numPr>
                <w:ilvl w:val="0"/>
                <w:numId w:val="813"/>
              </w:numPr>
              <w:rPr>
                <w:lang w:eastAsia="fr-CA"/>
              </w:rPr>
            </w:pPr>
            <w:r>
              <w:rPr>
                <w:lang w:eastAsia="fr-CA"/>
              </w:rPr>
              <w:t>Tachypnée, hypoxie ++</w:t>
            </w:r>
          </w:p>
          <w:p w:rsidR="0082421F" w:rsidRDefault="0082421F" w:rsidP="00C164B9">
            <w:pPr>
              <w:pStyle w:val="Sansinterligne"/>
              <w:numPr>
                <w:ilvl w:val="0"/>
                <w:numId w:val="813"/>
              </w:numPr>
              <w:rPr>
                <w:lang w:eastAsia="fr-CA"/>
              </w:rPr>
            </w:pPr>
            <w:r>
              <w:rPr>
                <w:lang w:eastAsia="fr-CA"/>
              </w:rPr>
              <w:t>Crépitants à l’auscultation</w:t>
            </w:r>
          </w:p>
        </w:tc>
        <w:tc>
          <w:tcPr>
            <w:tcW w:w="3395" w:type="dxa"/>
            <w:shd w:val="clear" w:color="auto" w:fill="FFFF00"/>
          </w:tcPr>
          <w:p w:rsidR="0082421F" w:rsidRDefault="0082421F" w:rsidP="00C164B9">
            <w:pPr>
              <w:pStyle w:val="Sansinterligne"/>
              <w:numPr>
                <w:ilvl w:val="0"/>
                <w:numId w:val="812"/>
              </w:numPr>
              <w:rPr>
                <w:lang w:eastAsia="fr-CA"/>
              </w:rPr>
            </w:pPr>
            <w:r>
              <w:rPr>
                <w:lang w:eastAsia="fr-CA"/>
              </w:rPr>
              <w:t>Réanimation</w:t>
            </w:r>
          </w:p>
          <w:p w:rsidR="0082421F" w:rsidRDefault="0082421F" w:rsidP="00C164B9">
            <w:pPr>
              <w:pStyle w:val="Sansinterligne"/>
              <w:numPr>
                <w:ilvl w:val="0"/>
                <w:numId w:val="812"/>
              </w:numPr>
              <w:rPr>
                <w:lang w:eastAsia="fr-CA"/>
              </w:rPr>
            </w:pPr>
            <w:r>
              <w:rPr>
                <w:lang w:eastAsia="fr-CA"/>
              </w:rPr>
              <w:t>Antibiotiques en prophylaxie</w:t>
            </w:r>
          </w:p>
          <w:p w:rsidR="0082421F" w:rsidRDefault="0082421F" w:rsidP="00C164B9">
            <w:pPr>
              <w:pStyle w:val="Sansinterligne"/>
              <w:numPr>
                <w:ilvl w:val="0"/>
                <w:numId w:val="812"/>
              </w:numPr>
              <w:rPr>
                <w:lang w:eastAsia="fr-CA"/>
              </w:rPr>
            </w:pPr>
            <w:r>
              <w:rPr>
                <w:lang w:eastAsia="fr-CA"/>
              </w:rPr>
              <w:t>Ventilation + O</w:t>
            </w:r>
            <w:r w:rsidRPr="001A6492">
              <w:rPr>
                <w:vertAlign w:val="subscript"/>
                <w:lang w:eastAsia="fr-CA"/>
              </w:rPr>
              <w:t>2</w:t>
            </w:r>
          </w:p>
          <w:p w:rsidR="0082421F" w:rsidRDefault="0082421F" w:rsidP="00C164B9">
            <w:pPr>
              <w:pStyle w:val="Sansinterligne"/>
              <w:numPr>
                <w:ilvl w:val="0"/>
                <w:numId w:val="812"/>
              </w:numPr>
              <w:rPr>
                <w:lang w:eastAsia="fr-CA"/>
              </w:rPr>
            </w:pPr>
            <w:r>
              <w:rPr>
                <w:lang w:eastAsia="fr-CA"/>
              </w:rPr>
              <w:t>Surfactant peut parfois aider</w:t>
            </w:r>
          </w:p>
        </w:tc>
      </w:tr>
      <w:tr w:rsidR="0082421F" w:rsidTr="00C164B9">
        <w:tc>
          <w:tcPr>
            <w:tcW w:w="1985" w:type="dxa"/>
            <w:shd w:val="clear" w:color="auto" w:fill="FABF8F" w:themeFill="accent6" w:themeFillTint="99"/>
            <w:vAlign w:val="center"/>
          </w:tcPr>
          <w:p w:rsidR="0082421F" w:rsidRDefault="0082421F" w:rsidP="00C164B9">
            <w:pPr>
              <w:pStyle w:val="Sansinterligne"/>
              <w:jc w:val="center"/>
              <w:rPr>
                <w:lang w:eastAsia="fr-CA"/>
              </w:rPr>
            </w:pPr>
            <w:r>
              <w:rPr>
                <w:lang w:eastAsia="fr-CA"/>
              </w:rPr>
              <w:t>Pneumonie</w:t>
            </w:r>
          </w:p>
        </w:tc>
        <w:tc>
          <w:tcPr>
            <w:tcW w:w="5636" w:type="dxa"/>
          </w:tcPr>
          <w:p w:rsidR="0082421F" w:rsidRDefault="0082421F" w:rsidP="00C164B9">
            <w:pPr>
              <w:pStyle w:val="Sansinterligne"/>
              <w:numPr>
                <w:ilvl w:val="0"/>
                <w:numId w:val="812"/>
              </w:numPr>
              <w:rPr>
                <w:lang w:eastAsia="fr-CA"/>
              </w:rPr>
            </w:pPr>
            <w:r>
              <w:rPr>
                <w:lang w:eastAsia="fr-CA"/>
              </w:rPr>
              <w:t>Crépitants pulmonaires</w:t>
            </w:r>
          </w:p>
          <w:p w:rsidR="0082421F" w:rsidRDefault="0082421F" w:rsidP="00C164B9">
            <w:pPr>
              <w:pStyle w:val="Sansinterligne"/>
              <w:numPr>
                <w:ilvl w:val="0"/>
                <w:numId w:val="812"/>
              </w:numPr>
              <w:rPr>
                <w:lang w:eastAsia="fr-CA"/>
              </w:rPr>
            </w:pPr>
            <w:r>
              <w:rPr>
                <w:lang w:eastAsia="fr-CA"/>
              </w:rPr>
              <w:t>Fièvre</w:t>
            </w:r>
          </w:p>
          <w:p w:rsidR="0082421F" w:rsidRDefault="0082421F" w:rsidP="00C164B9">
            <w:pPr>
              <w:pStyle w:val="Sansinterligne"/>
              <w:numPr>
                <w:ilvl w:val="0"/>
                <w:numId w:val="812"/>
              </w:numPr>
              <w:rPr>
                <w:lang w:eastAsia="fr-CA"/>
              </w:rPr>
            </w:pPr>
            <w:r>
              <w:rPr>
                <w:lang w:eastAsia="fr-CA"/>
              </w:rPr>
              <w:t>FR : Mère porteuse du SGB non-couvertes par ATB</w:t>
            </w:r>
          </w:p>
        </w:tc>
        <w:tc>
          <w:tcPr>
            <w:tcW w:w="3395" w:type="dxa"/>
          </w:tcPr>
          <w:p w:rsidR="0082421F" w:rsidRDefault="0082421F" w:rsidP="00C164B9">
            <w:pPr>
              <w:pStyle w:val="Sansinterligne"/>
              <w:numPr>
                <w:ilvl w:val="0"/>
                <w:numId w:val="812"/>
              </w:numPr>
              <w:rPr>
                <w:lang w:eastAsia="fr-CA"/>
              </w:rPr>
            </w:pPr>
            <w:r>
              <w:rPr>
                <w:lang w:eastAsia="fr-CA"/>
              </w:rPr>
              <w:t>Réanimation</w:t>
            </w:r>
          </w:p>
          <w:p w:rsidR="0082421F" w:rsidRDefault="0082421F" w:rsidP="00C164B9">
            <w:pPr>
              <w:pStyle w:val="Sansinterligne"/>
              <w:numPr>
                <w:ilvl w:val="0"/>
                <w:numId w:val="812"/>
              </w:numPr>
              <w:rPr>
                <w:lang w:eastAsia="fr-CA"/>
              </w:rPr>
            </w:pPr>
            <w:r>
              <w:rPr>
                <w:lang w:eastAsia="fr-CA"/>
              </w:rPr>
              <w:t>Antibiotiques en prophylaxie</w:t>
            </w:r>
          </w:p>
          <w:p w:rsidR="0082421F" w:rsidRDefault="0082421F" w:rsidP="00C164B9">
            <w:pPr>
              <w:pStyle w:val="Sansinterligne"/>
              <w:numPr>
                <w:ilvl w:val="0"/>
                <w:numId w:val="812"/>
              </w:numPr>
              <w:rPr>
                <w:lang w:eastAsia="fr-CA"/>
              </w:rPr>
            </w:pPr>
            <w:r>
              <w:rPr>
                <w:lang w:eastAsia="fr-CA"/>
              </w:rPr>
              <w:t>Ventilation + O</w:t>
            </w:r>
            <w:r w:rsidRPr="001A6492">
              <w:rPr>
                <w:vertAlign w:val="subscript"/>
                <w:lang w:eastAsia="fr-CA"/>
              </w:rPr>
              <w:t>2</w:t>
            </w:r>
          </w:p>
        </w:tc>
      </w:tr>
      <w:tr w:rsidR="0082421F" w:rsidTr="00C164B9">
        <w:tc>
          <w:tcPr>
            <w:tcW w:w="1985" w:type="dxa"/>
            <w:shd w:val="clear" w:color="auto" w:fill="FABF8F" w:themeFill="accent6" w:themeFillTint="99"/>
            <w:vAlign w:val="center"/>
          </w:tcPr>
          <w:p w:rsidR="0082421F" w:rsidRDefault="0082421F" w:rsidP="00C164B9">
            <w:pPr>
              <w:pStyle w:val="Sansinterligne"/>
              <w:jc w:val="center"/>
              <w:rPr>
                <w:lang w:eastAsia="fr-CA"/>
              </w:rPr>
            </w:pPr>
            <w:r>
              <w:rPr>
                <w:lang w:eastAsia="fr-CA"/>
              </w:rPr>
              <w:t>Pneumothorax</w:t>
            </w:r>
          </w:p>
        </w:tc>
        <w:tc>
          <w:tcPr>
            <w:tcW w:w="5636" w:type="dxa"/>
          </w:tcPr>
          <w:p w:rsidR="0082421F" w:rsidRDefault="0082421F" w:rsidP="00C164B9">
            <w:pPr>
              <w:pStyle w:val="Sansinterligne"/>
              <w:numPr>
                <w:ilvl w:val="0"/>
                <w:numId w:val="812"/>
              </w:numPr>
              <w:rPr>
                <w:lang w:eastAsia="fr-CA"/>
              </w:rPr>
            </w:pPr>
            <w:r>
              <w:rPr>
                <w:lang w:eastAsia="fr-CA"/>
              </w:rPr>
              <w:t>Asymétrie de ventilation, MV diminué du côté atteint, bruits cardiaques augmentés du côté sain</w:t>
            </w:r>
          </w:p>
          <w:p w:rsidR="0082421F" w:rsidRDefault="0082421F" w:rsidP="00C164B9">
            <w:pPr>
              <w:pStyle w:val="Sansinterligne"/>
              <w:numPr>
                <w:ilvl w:val="0"/>
                <w:numId w:val="812"/>
              </w:numPr>
              <w:rPr>
                <w:lang w:eastAsia="fr-CA"/>
              </w:rPr>
            </w:pPr>
            <w:r>
              <w:rPr>
                <w:lang w:eastAsia="fr-CA"/>
              </w:rPr>
              <w:t xml:space="preserve">FR : Maladie des membranes hyalines, inhalation de méconium, hypoplasie pulmonaire ou post-réanimation </w:t>
            </w:r>
          </w:p>
        </w:tc>
        <w:tc>
          <w:tcPr>
            <w:tcW w:w="3395" w:type="dxa"/>
          </w:tcPr>
          <w:p w:rsidR="0082421F" w:rsidRDefault="0082421F" w:rsidP="00C164B9">
            <w:pPr>
              <w:pStyle w:val="Sansinterligne"/>
              <w:numPr>
                <w:ilvl w:val="0"/>
                <w:numId w:val="812"/>
              </w:numPr>
              <w:rPr>
                <w:lang w:eastAsia="fr-CA"/>
              </w:rPr>
            </w:pPr>
            <w:r>
              <w:rPr>
                <w:lang w:eastAsia="fr-CA"/>
              </w:rPr>
              <w:t>Drainage à l’aiguille si sous tension</w:t>
            </w:r>
          </w:p>
          <w:p w:rsidR="0082421F" w:rsidRDefault="0082421F" w:rsidP="00C164B9">
            <w:pPr>
              <w:pStyle w:val="Sansinterligne"/>
              <w:numPr>
                <w:ilvl w:val="0"/>
                <w:numId w:val="812"/>
              </w:numPr>
              <w:rPr>
                <w:lang w:eastAsia="fr-CA"/>
              </w:rPr>
            </w:pPr>
            <w:r>
              <w:rPr>
                <w:lang w:eastAsia="fr-CA"/>
              </w:rPr>
              <w:t>Drain thoracique</w:t>
            </w:r>
          </w:p>
        </w:tc>
      </w:tr>
      <w:tr w:rsidR="0082421F" w:rsidTr="00C164B9">
        <w:tc>
          <w:tcPr>
            <w:tcW w:w="1985" w:type="dxa"/>
            <w:shd w:val="clear" w:color="auto" w:fill="FABF8F" w:themeFill="accent6" w:themeFillTint="99"/>
            <w:vAlign w:val="center"/>
          </w:tcPr>
          <w:p w:rsidR="0082421F" w:rsidRDefault="0082421F" w:rsidP="00C164B9">
            <w:pPr>
              <w:pStyle w:val="Sansinterligne"/>
              <w:jc w:val="center"/>
              <w:rPr>
                <w:lang w:eastAsia="fr-CA"/>
              </w:rPr>
            </w:pPr>
            <w:r>
              <w:rPr>
                <w:lang w:eastAsia="fr-CA"/>
              </w:rPr>
              <w:t>Cardiopathies non-cyanogènes</w:t>
            </w:r>
          </w:p>
          <w:p w:rsidR="0082421F" w:rsidRDefault="0082421F" w:rsidP="00C164B9">
            <w:pPr>
              <w:pStyle w:val="Sansinterligne"/>
              <w:jc w:val="center"/>
              <w:rPr>
                <w:lang w:eastAsia="fr-CA"/>
              </w:rPr>
            </w:pPr>
            <w:r>
              <w:rPr>
                <w:lang w:eastAsia="fr-CA"/>
              </w:rPr>
              <w:t>(CIV, CIA, coarctation de l’aorte, sténose Ao et pulm))</w:t>
            </w:r>
          </w:p>
        </w:tc>
        <w:tc>
          <w:tcPr>
            <w:tcW w:w="5636" w:type="dxa"/>
            <w:shd w:val="clear" w:color="auto" w:fill="auto"/>
          </w:tcPr>
          <w:p w:rsidR="0082421F" w:rsidRPr="00980DBF" w:rsidRDefault="0082421F" w:rsidP="00C164B9">
            <w:pPr>
              <w:pStyle w:val="Sansinterligne"/>
              <w:rPr>
                <w:b/>
                <w:lang w:eastAsia="fr-CA"/>
              </w:rPr>
            </w:pPr>
            <w:r w:rsidRPr="00980DBF">
              <w:rPr>
                <w:b/>
                <w:lang w:eastAsia="fr-CA"/>
              </w:rPr>
              <w:t>C</w:t>
            </w:r>
            <w:r>
              <w:rPr>
                <w:b/>
                <w:lang w:eastAsia="fr-CA"/>
              </w:rPr>
              <w:t>ommunication interventriculaire (CIV)</w:t>
            </w:r>
          </w:p>
          <w:p w:rsidR="0082421F" w:rsidRDefault="0082421F" w:rsidP="00C164B9">
            <w:pPr>
              <w:pStyle w:val="Sansinterligne"/>
              <w:numPr>
                <w:ilvl w:val="0"/>
                <w:numId w:val="825"/>
              </w:numPr>
              <w:rPr>
                <w:lang w:eastAsia="fr-CA"/>
              </w:rPr>
            </w:pPr>
            <w:r>
              <w:rPr>
                <w:lang w:eastAsia="fr-CA"/>
              </w:rPr>
              <w:t>Asymptomatique</w:t>
            </w:r>
          </w:p>
          <w:p w:rsidR="0082421F" w:rsidRDefault="0082421F" w:rsidP="00C164B9">
            <w:pPr>
              <w:pStyle w:val="Sansinterligne"/>
              <w:numPr>
                <w:ilvl w:val="0"/>
                <w:numId w:val="825"/>
              </w:numPr>
              <w:rPr>
                <w:lang w:eastAsia="fr-CA"/>
              </w:rPr>
            </w:pPr>
            <w:r>
              <w:rPr>
                <w:lang w:eastAsia="fr-CA"/>
              </w:rPr>
              <w:t>Faible tolérance à l’effort, IVRS récurrentes</w:t>
            </w:r>
          </w:p>
          <w:p w:rsidR="0082421F" w:rsidRDefault="0082421F" w:rsidP="00C164B9">
            <w:pPr>
              <w:pStyle w:val="Sansinterligne"/>
              <w:numPr>
                <w:ilvl w:val="0"/>
                <w:numId w:val="825"/>
              </w:numPr>
              <w:rPr>
                <w:lang w:eastAsia="fr-CA"/>
              </w:rPr>
            </w:pPr>
            <w:r>
              <w:rPr>
                <w:lang w:eastAsia="fr-CA"/>
              </w:rPr>
              <w:t>Retard de croissance</w:t>
            </w:r>
          </w:p>
          <w:p w:rsidR="0082421F" w:rsidRDefault="0082421F" w:rsidP="00C164B9">
            <w:pPr>
              <w:pStyle w:val="Sansinterligne"/>
              <w:numPr>
                <w:ilvl w:val="0"/>
                <w:numId w:val="825"/>
              </w:numPr>
              <w:rPr>
                <w:lang w:eastAsia="fr-CA"/>
              </w:rPr>
            </w:pPr>
            <w:r>
              <w:rPr>
                <w:lang w:eastAsia="fr-CA"/>
              </w:rPr>
              <w:t>Thrill</w:t>
            </w:r>
          </w:p>
          <w:p w:rsidR="0082421F" w:rsidRDefault="0082421F" w:rsidP="00C164B9">
            <w:pPr>
              <w:pStyle w:val="Sansinterligne"/>
              <w:numPr>
                <w:ilvl w:val="0"/>
                <w:numId w:val="825"/>
              </w:numPr>
              <w:rPr>
                <w:lang w:eastAsia="fr-CA"/>
              </w:rPr>
            </w:pPr>
            <w:r>
              <w:rPr>
                <w:lang w:eastAsia="fr-CA"/>
              </w:rPr>
              <w:t>Souffle proto ou holosystolique 1/</w:t>
            </w:r>
            <w:r>
              <w:rPr>
                <w:rFonts w:ascii="Century Gothic" w:hAnsi="Century Gothic"/>
                <w:lang w:eastAsia="fr-CA"/>
              </w:rPr>
              <w:t>α</w:t>
            </w:r>
            <w:r>
              <w:rPr>
                <w:lang w:eastAsia="fr-CA"/>
              </w:rPr>
              <w:t xml:space="preserve"> au diamètre </w:t>
            </w:r>
          </w:p>
          <w:p w:rsidR="0082421F" w:rsidRPr="00980DBF" w:rsidRDefault="0082421F" w:rsidP="00C164B9">
            <w:pPr>
              <w:pStyle w:val="Sansinterligne"/>
              <w:rPr>
                <w:b/>
                <w:lang w:eastAsia="fr-CA"/>
              </w:rPr>
            </w:pPr>
            <w:r w:rsidRPr="00980DBF">
              <w:rPr>
                <w:b/>
                <w:lang w:eastAsia="fr-CA"/>
              </w:rPr>
              <w:t>Communication interauriculaire (CIA)</w:t>
            </w:r>
          </w:p>
          <w:p w:rsidR="0082421F" w:rsidRDefault="0082421F" w:rsidP="00C164B9">
            <w:pPr>
              <w:pStyle w:val="Sansinterligne"/>
              <w:numPr>
                <w:ilvl w:val="0"/>
                <w:numId w:val="826"/>
              </w:numPr>
              <w:rPr>
                <w:lang w:eastAsia="fr-CA"/>
              </w:rPr>
            </w:pPr>
            <w:r>
              <w:rPr>
                <w:lang w:eastAsia="fr-CA"/>
              </w:rPr>
              <w:t>Asymptomatique</w:t>
            </w:r>
          </w:p>
          <w:p w:rsidR="0082421F" w:rsidRDefault="0082421F" w:rsidP="00C164B9">
            <w:pPr>
              <w:pStyle w:val="Sansinterligne"/>
              <w:numPr>
                <w:ilvl w:val="0"/>
                <w:numId w:val="826"/>
              </w:numPr>
              <w:rPr>
                <w:lang w:eastAsia="fr-CA"/>
              </w:rPr>
            </w:pPr>
            <w:r>
              <w:rPr>
                <w:lang w:eastAsia="fr-CA"/>
              </w:rPr>
              <w:t>Souffle pulmonaire 2-3/6, B2 élargi et fixe</w:t>
            </w:r>
          </w:p>
          <w:p w:rsidR="0082421F" w:rsidRDefault="0082421F" w:rsidP="00C164B9">
            <w:pPr>
              <w:pStyle w:val="Sansinterligne"/>
              <w:numPr>
                <w:ilvl w:val="0"/>
                <w:numId w:val="826"/>
              </w:numPr>
              <w:rPr>
                <w:lang w:eastAsia="fr-CA"/>
              </w:rPr>
            </w:pPr>
            <w:r>
              <w:rPr>
                <w:lang w:eastAsia="fr-CA"/>
              </w:rPr>
              <w:t>Crépitants pulmonaires si CIA large</w:t>
            </w:r>
          </w:p>
        </w:tc>
        <w:tc>
          <w:tcPr>
            <w:tcW w:w="3395" w:type="dxa"/>
            <w:shd w:val="clear" w:color="auto" w:fill="auto"/>
          </w:tcPr>
          <w:p w:rsidR="0082421F" w:rsidRPr="00980DBF" w:rsidRDefault="0082421F" w:rsidP="00C164B9">
            <w:pPr>
              <w:pStyle w:val="Sansinterligne"/>
              <w:rPr>
                <w:u w:val="single"/>
                <w:lang w:eastAsia="fr-CA"/>
              </w:rPr>
            </w:pPr>
            <w:r w:rsidRPr="00980DBF">
              <w:rPr>
                <w:u w:val="single"/>
                <w:lang w:eastAsia="fr-CA"/>
              </w:rPr>
              <w:t>CIV</w:t>
            </w:r>
          </w:p>
          <w:p w:rsidR="0082421F" w:rsidRDefault="0082421F" w:rsidP="00C164B9">
            <w:pPr>
              <w:pStyle w:val="Sansinterligne"/>
              <w:rPr>
                <w:lang w:eastAsia="fr-CA"/>
              </w:rPr>
            </w:pPr>
            <w:r>
              <w:rPr>
                <w:lang w:eastAsia="fr-CA"/>
              </w:rPr>
              <w:t>Traitement de l’insuffisance cardiaque associée</w:t>
            </w:r>
          </w:p>
          <w:p w:rsidR="0082421F" w:rsidRDefault="0082421F" w:rsidP="00C164B9">
            <w:pPr>
              <w:pStyle w:val="Sansinterligne"/>
              <w:rPr>
                <w:lang w:eastAsia="fr-CA"/>
              </w:rPr>
            </w:pPr>
            <w:r>
              <w:rPr>
                <w:lang w:eastAsia="fr-CA"/>
              </w:rPr>
              <w:t>Fermeture chirurgicale vers 1 an</w:t>
            </w:r>
          </w:p>
          <w:p w:rsidR="0082421F" w:rsidRDefault="0082421F" w:rsidP="00C164B9">
            <w:pPr>
              <w:pStyle w:val="Sansinterligne"/>
              <w:rPr>
                <w:lang w:eastAsia="fr-CA"/>
              </w:rPr>
            </w:pPr>
          </w:p>
          <w:p w:rsidR="0082421F" w:rsidRPr="00980DBF" w:rsidRDefault="0082421F" w:rsidP="00C164B9">
            <w:pPr>
              <w:pStyle w:val="Sansinterligne"/>
              <w:rPr>
                <w:u w:val="single"/>
                <w:lang w:eastAsia="fr-CA"/>
              </w:rPr>
            </w:pPr>
            <w:r w:rsidRPr="00980DBF">
              <w:rPr>
                <w:u w:val="single"/>
                <w:lang w:eastAsia="fr-CA"/>
              </w:rPr>
              <w:t>CIA</w:t>
            </w:r>
          </w:p>
          <w:p w:rsidR="0082421F" w:rsidRDefault="0082421F" w:rsidP="00C164B9">
            <w:pPr>
              <w:pStyle w:val="Sansinterligne"/>
              <w:numPr>
                <w:ilvl w:val="0"/>
                <w:numId w:val="827"/>
              </w:numPr>
              <w:rPr>
                <w:lang w:eastAsia="fr-CA"/>
              </w:rPr>
            </w:pPr>
            <w:r>
              <w:rPr>
                <w:lang w:eastAsia="fr-CA"/>
              </w:rPr>
              <w:t>Auto fermeture dans 80-100% des cas</w:t>
            </w:r>
          </w:p>
          <w:p w:rsidR="0082421F" w:rsidRDefault="0082421F" w:rsidP="00C164B9">
            <w:pPr>
              <w:pStyle w:val="Sansinterligne"/>
              <w:numPr>
                <w:ilvl w:val="0"/>
                <w:numId w:val="827"/>
              </w:numPr>
              <w:rPr>
                <w:lang w:eastAsia="fr-CA"/>
              </w:rPr>
            </w:pPr>
            <w:r>
              <w:rPr>
                <w:lang w:eastAsia="fr-CA"/>
              </w:rPr>
              <w:t>Correction chirurgicale ou endovasculaire élective 2-5 ans</w:t>
            </w:r>
          </w:p>
        </w:tc>
      </w:tr>
      <w:tr w:rsidR="0082421F" w:rsidTr="00C164B9">
        <w:tc>
          <w:tcPr>
            <w:tcW w:w="1985" w:type="dxa"/>
            <w:shd w:val="clear" w:color="auto" w:fill="FABF8F" w:themeFill="accent6" w:themeFillTint="99"/>
            <w:vAlign w:val="center"/>
          </w:tcPr>
          <w:p w:rsidR="0082421F" w:rsidRDefault="0082421F" w:rsidP="00C164B9">
            <w:pPr>
              <w:pStyle w:val="Sansinterligne"/>
              <w:jc w:val="center"/>
              <w:rPr>
                <w:lang w:eastAsia="fr-CA"/>
              </w:rPr>
            </w:pPr>
            <w:r w:rsidRPr="0064465D">
              <w:rPr>
                <w:b/>
                <w:lang w:eastAsia="fr-CA"/>
              </w:rPr>
              <w:t>Persistance du canal artériel</w:t>
            </w:r>
            <w:r>
              <w:rPr>
                <w:lang w:eastAsia="fr-CA"/>
              </w:rPr>
              <w:t xml:space="preserve"> </w:t>
            </w:r>
          </w:p>
        </w:tc>
        <w:tc>
          <w:tcPr>
            <w:tcW w:w="5636" w:type="dxa"/>
            <w:shd w:val="clear" w:color="auto" w:fill="FFFF00"/>
          </w:tcPr>
          <w:p w:rsidR="0082421F" w:rsidRDefault="0082421F" w:rsidP="00C164B9">
            <w:pPr>
              <w:pStyle w:val="Sansinterligne"/>
              <w:numPr>
                <w:ilvl w:val="0"/>
                <w:numId w:val="814"/>
              </w:numPr>
              <w:rPr>
                <w:lang w:eastAsia="fr-CA"/>
              </w:rPr>
            </w:pPr>
            <w:r>
              <w:rPr>
                <w:lang w:eastAsia="fr-CA"/>
              </w:rPr>
              <w:t>Détresse respiratoire dès les premières 24h</w:t>
            </w:r>
          </w:p>
          <w:p w:rsidR="0082421F" w:rsidRDefault="0082421F" w:rsidP="00C164B9">
            <w:pPr>
              <w:pStyle w:val="Sansinterligne"/>
              <w:numPr>
                <w:ilvl w:val="0"/>
                <w:numId w:val="814"/>
              </w:numPr>
              <w:rPr>
                <w:lang w:eastAsia="fr-CA"/>
              </w:rPr>
            </w:pPr>
            <w:r>
              <w:rPr>
                <w:lang w:eastAsia="fr-CA"/>
              </w:rPr>
              <w:t>S</w:t>
            </w:r>
            <w:r w:rsidRPr="001A6492">
              <w:rPr>
                <w:vertAlign w:val="subscript"/>
                <w:lang w:eastAsia="fr-CA"/>
              </w:rPr>
              <w:t>a</w:t>
            </w:r>
            <w:r>
              <w:rPr>
                <w:lang w:eastAsia="fr-CA"/>
              </w:rPr>
              <w:t>O</w:t>
            </w:r>
            <w:r w:rsidRPr="001A6492">
              <w:rPr>
                <w:vertAlign w:val="subscript"/>
                <w:lang w:eastAsia="fr-CA"/>
              </w:rPr>
              <w:t>2</w:t>
            </w:r>
            <w:r>
              <w:rPr>
                <w:lang w:eastAsia="fr-CA"/>
              </w:rPr>
              <w:t xml:space="preserve"> MS </w:t>
            </w:r>
            <w:r>
              <w:rPr>
                <w:rFonts w:ascii="Century Gothic" w:hAnsi="Century Gothic"/>
                <w:lang w:eastAsia="fr-CA"/>
              </w:rPr>
              <w:t>&gt;</w:t>
            </w:r>
            <w:r>
              <w:rPr>
                <w:lang w:eastAsia="fr-CA"/>
              </w:rPr>
              <w:t xml:space="preserve"> MI</w:t>
            </w:r>
          </w:p>
          <w:p w:rsidR="0082421F" w:rsidRDefault="0082421F" w:rsidP="00C164B9">
            <w:pPr>
              <w:pStyle w:val="Sansinterligne"/>
              <w:numPr>
                <w:ilvl w:val="0"/>
                <w:numId w:val="814"/>
              </w:numPr>
              <w:rPr>
                <w:lang w:eastAsia="fr-CA"/>
              </w:rPr>
            </w:pPr>
            <w:r>
              <w:rPr>
                <w:lang w:eastAsia="fr-CA"/>
              </w:rPr>
              <w:t>Tachycardie, Précordium hyperactif</w:t>
            </w:r>
          </w:p>
          <w:p w:rsidR="0082421F" w:rsidRDefault="0082421F" w:rsidP="00C164B9">
            <w:pPr>
              <w:pStyle w:val="Sansinterligne"/>
              <w:numPr>
                <w:ilvl w:val="0"/>
                <w:numId w:val="814"/>
              </w:numPr>
              <w:rPr>
                <w:lang w:eastAsia="fr-CA"/>
              </w:rPr>
            </w:pPr>
            <w:r>
              <w:rPr>
                <w:lang w:eastAsia="fr-CA"/>
              </w:rPr>
              <w:t>Pouls bondissant, TA différentielle importante</w:t>
            </w:r>
          </w:p>
          <w:p w:rsidR="0082421F" w:rsidRDefault="0082421F" w:rsidP="00C164B9">
            <w:pPr>
              <w:pStyle w:val="Sansinterligne"/>
              <w:numPr>
                <w:ilvl w:val="0"/>
                <w:numId w:val="814"/>
              </w:numPr>
              <w:rPr>
                <w:lang w:eastAsia="fr-CA"/>
              </w:rPr>
            </w:pPr>
            <w:r>
              <w:rPr>
                <w:lang w:eastAsia="fr-CA"/>
              </w:rPr>
              <w:t>Souffle ‘’mécanique’’ en sous-claviculaire gauche</w:t>
            </w:r>
          </w:p>
        </w:tc>
        <w:tc>
          <w:tcPr>
            <w:tcW w:w="3395" w:type="dxa"/>
            <w:shd w:val="clear" w:color="auto" w:fill="FFFF00"/>
          </w:tcPr>
          <w:p w:rsidR="0082421F" w:rsidRDefault="0082421F" w:rsidP="00C164B9">
            <w:pPr>
              <w:pStyle w:val="Sansinterligne"/>
              <w:numPr>
                <w:ilvl w:val="0"/>
                <w:numId w:val="828"/>
              </w:numPr>
              <w:rPr>
                <w:lang w:eastAsia="fr-CA"/>
              </w:rPr>
            </w:pPr>
            <w:r>
              <w:rPr>
                <w:lang w:eastAsia="fr-CA"/>
              </w:rPr>
              <w:t>Indométhacine</w:t>
            </w:r>
          </w:p>
          <w:p w:rsidR="0082421F" w:rsidRDefault="0082421F" w:rsidP="00C164B9">
            <w:pPr>
              <w:pStyle w:val="Sansinterligne"/>
              <w:numPr>
                <w:ilvl w:val="0"/>
                <w:numId w:val="828"/>
              </w:numPr>
              <w:rPr>
                <w:lang w:eastAsia="fr-CA"/>
              </w:rPr>
            </w:pPr>
            <w:r>
              <w:rPr>
                <w:lang w:eastAsia="fr-CA"/>
              </w:rPr>
              <w:t xml:space="preserve">Correction chirurgicale si retard de croissance, compromis respiratoire ou persistant </w:t>
            </w:r>
            <w:r>
              <w:rPr>
                <w:rFonts w:ascii="Century Gothic" w:hAnsi="Century Gothic"/>
                <w:lang w:eastAsia="fr-CA"/>
              </w:rPr>
              <w:t>&gt;</w:t>
            </w:r>
            <w:r>
              <w:rPr>
                <w:lang w:eastAsia="fr-CA"/>
              </w:rPr>
              <w:t xml:space="preserve"> 3 mois</w:t>
            </w:r>
          </w:p>
        </w:tc>
      </w:tr>
      <w:tr w:rsidR="0082421F" w:rsidTr="00C164B9">
        <w:tc>
          <w:tcPr>
            <w:tcW w:w="1985" w:type="dxa"/>
            <w:shd w:val="clear" w:color="auto" w:fill="FABF8F" w:themeFill="accent6" w:themeFillTint="99"/>
            <w:vAlign w:val="center"/>
          </w:tcPr>
          <w:p w:rsidR="0082421F" w:rsidRDefault="0082421F" w:rsidP="00C164B9">
            <w:pPr>
              <w:pStyle w:val="Sansinterligne"/>
              <w:jc w:val="center"/>
              <w:rPr>
                <w:lang w:eastAsia="fr-CA"/>
              </w:rPr>
            </w:pPr>
            <w:r>
              <w:rPr>
                <w:lang w:eastAsia="fr-CA"/>
              </w:rPr>
              <w:t xml:space="preserve">Cardiopathies cyanogènes </w:t>
            </w:r>
          </w:p>
          <w:p w:rsidR="0082421F" w:rsidRDefault="0082421F" w:rsidP="00C164B9">
            <w:pPr>
              <w:pStyle w:val="Sansinterligne"/>
              <w:jc w:val="center"/>
              <w:rPr>
                <w:lang w:eastAsia="fr-CA"/>
              </w:rPr>
            </w:pPr>
            <w:r>
              <w:rPr>
                <w:lang w:eastAsia="fr-CA"/>
              </w:rPr>
              <w:t>(nombreuses)</w:t>
            </w:r>
          </w:p>
        </w:tc>
        <w:tc>
          <w:tcPr>
            <w:tcW w:w="5636" w:type="dxa"/>
            <w:shd w:val="clear" w:color="auto" w:fill="FFFF00"/>
          </w:tcPr>
          <w:p w:rsidR="0082421F" w:rsidRPr="00AB5B0A" w:rsidRDefault="0082421F" w:rsidP="00C164B9">
            <w:pPr>
              <w:pStyle w:val="Sansinterligne"/>
              <w:rPr>
                <w:b/>
                <w:lang w:eastAsia="fr-CA"/>
              </w:rPr>
            </w:pPr>
            <w:r w:rsidRPr="00AB5B0A">
              <w:rPr>
                <w:b/>
                <w:lang w:eastAsia="fr-CA"/>
              </w:rPr>
              <w:t xml:space="preserve">Tétralogie de Fallot </w:t>
            </w:r>
          </w:p>
          <w:p w:rsidR="0082421F" w:rsidRDefault="0082421F" w:rsidP="00C164B9">
            <w:pPr>
              <w:pStyle w:val="Sansinterligne"/>
              <w:numPr>
                <w:ilvl w:val="0"/>
                <w:numId w:val="823"/>
              </w:numPr>
              <w:rPr>
                <w:lang w:eastAsia="fr-CA"/>
              </w:rPr>
            </w:pPr>
            <w:r>
              <w:rPr>
                <w:lang w:eastAsia="fr-CA"/>
              </w:rPr>
              <w:t xml:space="preserve">Apnées à l’effort ou au boire </w:t>
            </w:r>
            <w:r>
              <w:rPr>
                <w:rFonts w:ascii="Century Gothic" w:hAnsi="Century Gothic"/>
                <w:lang w:eastAsia="fr-CA"/>
              </w:rPr>
              <w:t>→</w:t>
            </w:r>
            <w:r>
              <w:rPr>
                <w:lang w:eastAsia="fr-CA"/>
              </w:rPr>
              <w:t xml:space="preserve"> cyanose </w:t>
            </w:r>
            <w:r>
              <w:rPr>
                <w:rFonts w:ascii="Century Gothic" w:hAnsi="Century Gothic"/>
                <w:lang w:eastAsia="fr-CA"/>
              </w:rPr>
              <w:t>↑</w:t>
            </w:r>
            <w:r>
              <w:rPr>
                <w:lang w:eastAsia="fr-CA"/>
              </w:rPr>
              <w:t xml:space="preserve"> </w:t>
            </w:r>
            <w:r>
              <w:rPr>
                <w:rFonts w:ascii="Century Gothic" w:hAnsi="Century Gothic"/>
                <w:lang w:eastAsia="fr-CA"/>
              </w:rPr>
              <w:t>→</w:t>
            </w:r>
            <w:r>
              <w:rPr>
                <w:lang w:eastAsia="fr-CA"/>
              </w:rPr>
              <w:t xml:space="preserve"> respiration profonde et rapide </w:t>
            </w:r>
            <w:r>
              <w:rPr>
                <w:rFonts w:ascii="Century Gothic" w:hAnsi="Century Gothic"/>
                <w:lang w:eastAsia="fr-CA"/>
              </w:rPr>
              <w:t>→</w:t>
            </w:r>
            <w:r>
              <w:rPr>
                <w:lang w:eastAsia="fr-CA"/>
              </w:rPr>
              <w:t xml:space="preserve"> perte de conscience</w:t>
            </w:r>
          </w:p>
          <w:p w:rsidR="0082421F" w:rsidRDefault="0082421F" w:rsidP="00C164B9">
            <w:pPr>
              <w:pStyle w:val="Sansinterligne"/>
              <w:numPr>
                <w:ilvl w:val="0"/>
                <w:numId w:val="823"/>
              </w:numPr>
              <w:rPr>
                <w:lang w:eastAsia="fr-CA"/>
              </w:rPr>
            </w:pPr>
            <w:r>
              <w:rPr>
                <w:lang w:eastAsia="fr-CA"/>
              </w:rPr>
              <w:t>B2 fort, souffle holosystolique</w:t>
            </w:r>
          </w:p>
          <w:p w:rsidR="0082421F" w:rsidRPr="00AB5B0A" w:rsidRDefault="0082421F" w:rsidP="00C164B9">
            <w:pPr>
              <w:pStyle w:val="Sansinterligne"/>
              <w:rPr>
                <w:b/>
                <w:lang w:eastAsia="fr-CA"/>
              </w:rPr>
            </w:pPr>
            <w:r w:rsidRPr="00AB5B0A">
              <w:rPr>
                <w:b/>
                <w:lang w:eastAsia="fr-CA"/>
              </w:rPr>
              <w:t>Transposition des gros vaisseaux (TGV)</w:t>
            </w:r>
          </w:p>
          <w:p w:rsidR="0082421F" w:rsidRDefault="0082421F" w:rsidP="00C164B9">
            <w:pPr>
              <w:pStyle w:val="Sansinterligne"/>
              <w:numPr>
                <w:ilvl w:val="0"/>
                <w:numId w:val="822"/>
              </w:numPr>
              <w:rPr>
                <w:lang w:eastAsia="fr-CA"/>
              </w:rPr>
            </w:pPr>
            <w:r>
              <w:rPr>
                <w:lang w:eastAsia="fr-CA"/>
              </w:rPr>
              <w:t xml:space="preserve">Hypoxémie progressant rapidement (fermeture du CA </w:t>
            </w:r>
            <w:r>
              <w:rPr>
                <w:rFonts w:ascii="Century Gothic" w:hAnsi="Century Gothic"/>
                <w:lang w:eastAsia="fr-CA"/>
              </w:rPr>
              <w:t>→</w:t>
            </w:r>
            <w:r>
              <w:rPr>
                <w:lang w:eastAsia="fr-CA"/>
              </w:rPr>
              <w:t xml:space="preserve"> acidose </w:t>
            </w:r>
            <w:r>
              <w:rPr>
                <w:rFonts w:ascii="Century Gothic" w:hAnsi="Century Gothic"/>
                <w:lang w:eastAsia="fr-CA"/>
              </w:rPr>
              <w:t>→</w:t>
            </w:r>
            <w:r>
              <w:rPr>
                <w:lang w:eastAsia="fr-CA"/>
              </w:rPr>
              <w:t xml:space="preserve"> décès</w:t>
            </w:r>
          </w:p>
          <w:p w:rsidR="0082421F" w:rsidRDefault="0082421F" w:rsidP="00C164B9">
            <w:pPr>
              <w:pStyle w:val="Sansinterligne"/>
              <w:numPr>
                <w:ilvl w:val="0"/>
                <w:numId w:val="822"/>
              </w:numPr>
              <w:rPr>
                <w:lang w:eastAsia="fr-CA"/>
              </w:rPr>
            </w:pPr>
            <w:r>
              <w:rPr>
                <w:rFonts w:cs="Times New Roman"/>
                <w:lang w:eastAsia="fr-CA"/>
              </w:rPr>
              <w:t>Ø</w:t>
            </w:r>
            <w:r>
              <w:rPr>
                <w:lang w:eastAsia="fr-CA"/>
              </w:rPr>
              <w:t xml:space="preserve"> souffle si pas de CIV concomittante</w:t>
            </w:r>
          </w:p>
        </w:tc>
        <w:tc>
          <w:tcPr>
            <w:tcW w:w="3395" w:type="dxa"/>
            <w:shd w:val="clear" w:color="auto" w:fill="FFFF00"/>
          </w:tcPr>
          <w:p w:rsidR="0082421F" w:rsidRPr="00AB5B0A" w:rsidRDefault="0082421F" w:rsidP="00C164B9">
            <w:pPr>
              <w:pStyle w:val="Sansinterligne"/>
              <w:rPr>
                <w:u w:val="single"/>
                <w:lang w:eastAsia="fr-CA"/>
              </w:rPr>
            </w:pPr>
            <w:r w:rsidRPr="00AB5B0A">
              <w:rPr>
                <w:u w:val="single"/>
                <w:lang w:eastAsia="fr-CA"/>
              </w:rPr>
              <w:t>Tétralogie de Fallot</w:t>
            </w:r>
          </w:p>
          <w:p w:rsidR="0082421F" w:rsidRDefault="0082421F" w:rsidP="00C164B9">
            <w:pPr>
              <w:pStyle w:val="Sansinterligne"/>
              <w:numPr>
                <w:ilvl w:val="0"/>
                <w:numId w:val="824"/>
              </w:numPr>
              <w:rPr>
                <w:lang w:eastAsia="fr-CA"/>
              </w:rPr>
            </w:pPr>
            <w:r>
              <w:rPr>
                <w:lang w:eastAsia="fr-CA"/>
              </w:rPr>
              <w:t>(Apnées) : O</w:t>
            </w:r>
            <w:r w:rsidRPr="00AB5B0A">
              <w:rPr>
                <w:vertAlign w:val="subscript"/>
                <w:lang w:eastAsia="fr-CA"/>
              </w:rPr>
              <w:t>2</w:t>
            </w:r>
            <w:r>
              <w:rPr>
                <w:lang w:eastAsia="fr-CA"/>
              </w:rPr>
              <w:t>, position genou-thorax, morphine, propanolol</w:t>
            </w:r>
          </w:p>
          <w:p w:rsidR="0082421F" w:rsidRDefault="0082421F" w:rsidP="00C164B9">
            <w:pPr>
              <w:pStyle w:val="Sansinterligne"/>
              <w:numPr>
                <w:ilvl w:val="0"/>
                <w:numId w:val="824"/>
              </w:numPr>
              <w:rPr>
                <w:lang w:eastAsia="fr-CA"/>
              </w:rPr>
            </w:pPr>
            <w:r>
              <w:rPr>
                <w:lang w:eastAsia="fr-CA"/>
              </w:rPr>
              <w:t>Chirurgie cardiaque à 4-6 mois</w:t>
            </w:r>
          </w:p>
          <w:p w:rsidR="0082421F" w:rsidRPr="00AB5B0A" w:rsidRDefault="0082421F" w:rsidP="00C164B9">
            <w:pPr>
              <w:pStyle w:val="Sansinterligne"/>
              <w:rPr>
                <w:u w:val="single"/>
                <w:lang w:eastAsia="fr-CA"/>
              </w:rPr>
            </w:pPr>
            <w:r w:rsidRPr="00AB5B0A">
              <w:rPr>
                <w:u w:val="single"/>
                <w:lang w:eastAsia="fr-CA"/>
              </w:rPr>
              <w:t>TGV</w:t>
            </w:r>
          </w:p>
          <w:p w:rsidR="0082421F" w:rsidRDefault="0082421F" w:rsidP="00C164B9">
            <w:pPr>
              <w:pStyle w:val="Sansinterligne"/>
              <w:numPr>
                <w:ilvl w:val="0"/>
                <w:numId w:val="821"/>
              </w:numPr>
              <w:rPr>
                <w:lang w:eastAsia="fr-CA"/>
              </w:rPr>
            </w:pPr>
            <w:r>
              <w:rPr>
                <w:lang w:eastAsia="fr-CA"/>
              </w:rPr>
              <w:t>Perfusion de prostaglandines</w:t>
            </w:r>
          </w:p>
          <w:p w:rsidR="0082421F" w:rsidRDefault="0082421F" w:rsidP="00C164B9">
            <w:pPr>
              <w:pStyle w:val="Sansinterligne"/>
              <w:numPr>
                <w:ilvl w:val="0"/>
                <w:numId w:val="821"/>
              </w:numPr>
              <w:rPr>
                <w:lang w:eastAsia="fr-CA"/>
              </w:rPr>
            </w:pPr>
            <w:r>
              <w:rPr>
                <w:lang w:eastAsia="fr-CA"/>
              </w:rPr>
              <w:t>Septostomie atriale par ballon (temporaire)</w:t>
            </w:r>
          </w:p>
          <w:p w:rsidR="0082421F" w:rsidRDefault="0082421F" w:rsidP="00C164B9">
            <w:pPr>
              <w:pStyle w:val="Sansinterligne"/>
              <w:numPr>
                <w:ilvl w:val="0"/>
                <w:numId w:val="821"/>
              </w:numPr>
              <w:rPr>
                <w:lang w:eastAsia="fr-CA"/>
              </w:rPr>
            </w:pPr>
            <w:r>
              <w:rPr>
                <w:lang w:eastAsia="fr-CA"/>
              </w:rPr>
              <w:t xml:space="preserve">Chirurgie cardiaque </w:t>
            </w:r>
            <w:r>
              <w:rPr>
                <w:rFonts w:ascii="Century Gothic" w:hAnsi="Century Gothic"/>
                <w:lang w:eastAsia="fr-CA"/>
              </w:rPr>
              <w:t>&lt;</w:t>
            </w:r>
            <w:r>
              <w:rPr>
                <w:lang w:eastAsia="fr-CA"/>
              </w:rPr>
              <w:t xml:space="preserve"> 2 sem.</w:t>
            </w:r>
          </w:p>
        </w:tc>
      </w:tr>
      <w:tr w:rsidR="0082421F" w:rsidTr="00C164B9">
        <w:tc>
          <w:tcPr>
            <w:tcW w:w="1985" w:type="dxa"/>
            <w:shd w:val="clear" w:color="auto" w:fill="FABF8F" w:themeFill="accent6" w:themeFillTint="99"/>
            <w:vAlign w:val="center"/>
          </w:tcPr>
          <w:p w:rsidR="0082421F" w:rsidRDefault="0082421F" w:rsidP="00C164B9">
            <w:pPr>
              <w:pStyle w:val="Sansinterligne"/>
              <w:jc w:val="center"/>
              <w:rPr>
                <w:lang w:eastAsia="fr-CA"/>
              </w:rPr>
            </w:pPr>
            <w:r>
              <w:rPr>
                <w:lang w:eastAsia="fr-CA"/>
              </w:rPr>
              <w:t>Sécrétions / sang</w:t>
            </w:r>
          </w:p>
        </w:tc>
        <w:tc>
          <w:tcPr>
            <w:tcW w:w="5636" w:type="dxa"/>
            <w:shd w:val="clear" w:color="auto" w:fill="auto"/>
          </w:tcPr>
          <w:p w:rsidR="0082421F" w:rsidRDefault="0082421F" w:rsidP="00C164B9">
            <w:pPr>
              <w:pStyle w:val="Sansinterligne"/>
              <w:numPr>
                <w:ilvl w:val="0"/>
                <w:numId w:val="818"/>
              </w:numPr>
              <w:rPr>
                <w:lang w:eastAsia="fr-CA"/>
              </w:rPr>
            </w:pPr>
            <w:r>
              <w:rPr>
                <w:lang w:eastAsia="fr-CA"/>
              </w:rPr>
              <w:t>Nez obstrué, sécrétions naso ou oropharyngées</w:t>
            </w:r>
          </w:p>
          <w:p w:rsidR="0082421F" w:rsidRDefault="0082421F" w:rsidP="00606E27">
            <w:pPr>
              <w:pStyle w:val="Sansinterligne"/>
              <w:numPr>
                <w:ilvl w:val="0"/>
                <w:numId w:val="818"/>
              </w:numPr>
              <w:rPr>
                <w:lang w:eastAsia="fr-CA"/>
              </w:rPr>
            </w:pPr>
            <w:r>
              <w:rPr>
                <w:lang w:eastAsia="fr-CA"/>
              </w:rPr>
              <w:t>Reniflements</w:t>
            </w:r>
          </w:p>
        </w:tc>
        <w:tc>
          <w:tcPr>
            <w:tcW w:w="3395" w:type="dxa"/>
            <w:shd w:val="clear" w:color="auto" w:fill="auto"/>
          </w:tcPr>
          <w:p w:rsidR="0082421F" w:rsidRDefault="0082421F" w:rsidP="00C164B9">
            <w:pPr>
              <w:pStyle w:val="Sansinterligne"/>
              <w:numPr>
                <w:ilvl w:val="0"/>
                <w:numId w:val="817"/>
              </w:numPr>
              <w:rPr>
                <w:lang w:eastAsia="fr-CA"/>
              </w:rPr>
            </w:pPr>
            <w:r>
              <w:rPr>
                <w:lang w:eastAsia="fr-CA"/>
              </w:rPr>
              <w:t>Aspirations des sécrétions</w:t>
            </w:r>
          </w:p>
        </w:tc>
      </w:tr>
      <w:tr w:rsidR="0082421F" w:rsidTr="00C164B9">
        <w:tc>
          <w:tcPr>
            <w:tcW w:w="1985" w:type="dxa"/>
            <w:shd w:val="clear" w:color="auto" w:fill="FABF8F" w:themeFill="accent6" w:themeFillTint="99"/>
            <w:vAlign w:val="center"/>
          </w:tcPr>
          <w:p w:rsidR="0082421F" w:rsidRDefault="0082421F" w:rsidP="00C164B9">
            <w:pPr>
              <w:pStyle w:val="Sansinterligne"/>
              <w:jc w:val="center"/>
              <w:rPr>
                <w:lang w:eastAsia="fr-CA"/>
              </w:rPr>
            </w:pPr>
            <w:r>
              <w:rPr>
                <w:lang w:eastAsia="fr-CA"/>
              </w:rPr>
              <w:t>Atrésie des choanes</w:t>
            </w:r>
          </w:p>
        </w:tc>
        <w:tc>
          <w:tcPr>
            <w:tcW w:w="5636" w:type="dxa"/>
            <w:shd w:val="clear" w:color="auto" w:fill="auto"/>
          </w:tcPr>
          <w:p w:rsidR="0082421F" w:rsidRPr="00B052CE" w:rsidRDefault="0082421F" w:rsidP="00C164B9">
            <w:pPr>
              <w:pStyle w:val="Sansinterligne"/>
              <w:rPr>
                <w:u w:val="single"/>
                <w:lang w:eastAsia="fr-CA"/>
              </w:rPr>
            </w:pPr>
            <w:r w:rsidRPr="00B052CE">
              <w:rPr>
                <w:u w:val="single"/>
                <w:lang w:eastAsia="fr-CA"/>
              </w:rPr>
              <w:t>Si bilatérale</w:t>
            </w:r>
          </w:p>
          <w:p w:rsidR="0082421F" w:rsidRDefault="0082421F" w:rsidP="00C164B9">
            <w:pPr>
              <w:pStyle w:val="Sansinterligne"/>
              <w:numPr>
                <w:ilvl w:val="0"/>
                <w:numId w:val="815"/>
              </w:numPr>
              <w:rPr>
                <w:lang w:eastAsia="fr-CA"/>
              </w:rPr>
            </w:pPr>
            <w:r>
              <w:rPr>
                <w:lang w:eastAsia="fr-CA"/>
              </w:rPr>
              <w:t xml:space="preserve">Efforts respiratoires </w:t>
            </w:r>
            <w:r>
              <w:rPr>
                <w:rFonts w:ascii="Century Gothic" w:hAnsi="Century Gothic"/>
                <w:lang w:eastAsia="fr-CA"/>
              </w:rPr>
              <w:t>→</w:t>
            </w:r>
            <w:r>
              <w:rPr>
                <w:lang w:eastAsia="fr-CA"/>
              </w:rPr>
              <w:t xml:space="preserve"> cyanose </w:t>
            </w:r>
            <w:r>
              <w:rPr>
                <w:rFonts w:ascii="Century Gothic" w:hAnsi="Century Gothic"/>
                <w:lang w:eastAsia="fr-CA"/>
              </w:rPr>
              <w:t>→</w:t>
            </w:r>
            <w:r>
              <w:rPr>
                <w:lang w:eastAsia="fr-CA"/>
              </w:rPr>
              <w:t xml:space="preserve"> pleurs </w:t>
            </w:r>
            <w:r>
              <w:rPr>
                <w:rFonts w:ascii="Century Gothic" w:hAnsi="Century Gothic"/>
                <w:lang w:eastAsia="fr-CA"/>
              </w:rPr>
              <w:t>→</w:t>
            </w:r>
            <w:r w:rsidRPr="00AA098E">
              <w:rPr>
                <w:rFonts w:cs="Times New Roman"/>
                <w:lang w:eastAsia="fr-CA"/>
              </w:rPr>
              <w:t xml:space="preserve"> retour à une </w:t>
            </w:r>
            <w:r>
              <w:rPr>
                <w:lang w:eastAsia="fr-CA"/>
              </w:rPr>
              <w:t xml:space="preserve">coloration normale ou cyanose au boire </w:t>
            </w:r>
          </w:p>
          <w:p w:rsidR="0082421F" w:rsidRDefault="0082421F" w:rsidP="00C164B9">
            <w:pPr>
              <w:pStyle w:val="Sansinterligne"/>
              <w:numPr>
                <w:ilvl w:val="0"/>
                <w:numId w:val="815"/>
              </w:numPr>
              <w:rPr>
                <w:lang w:eastAsia="fr-CA"/>
              </w:rPr>
            </w:pPr>
            <w:r>
              <w:rPr>
                <w:lang w:eastAsia="fr-CA"/>
              </w:rPr>
              <w:t>Pattern répété</w:t>
            </w:r>
          </w:p>
        </w:tc>
        <w:tc>
          <w:tcPr>
            <w:tcW w:w="3395" w:type="dxa"/>
            <w:shd w:val="clear" w:color="auto" w:fill="auto"/>
          </w:tcPr>
          <w:p w:rsidR="0082421F" w:rsidRDefault="0082421F" w:rsidP="00C164B9">
            <w:pPr>
              <w:pStyle w:val="Sansinterligne"/>
              <w:numPr>
                <w:ilvl w:val="0"/>
                <w:numId w:val="816"/>
              </w:numPr>
              <w:rPr>
                <w:lang w:eastAsia="fr-CA"/>
              </w:rPr>
            </w:pPr>
            <w:r>
              <w:rPr>
                <w:lang w:eastAsia="fr-CA"/>
              </w:rPr>
              <w:t>Canule oropharyngé</w:t>
            </w:r>
          </w:p>
          <w:p w:rsidR="0082421F" w:rsidRDefault="0082421F" w:rsidP="00C164B9">
            <w:pPr>
              <w:pStyle w:val="Sansinterligne"/>
              <w:numPr>
                <w:ilvl w:val="0"/>
                <w:numId w:val="816"/>
              </w:numPr>
              <w:rPr>
                <w:lang w:eastAsia="fr-CA"/>
              </w:rPr>
            </w:pPr>
            <w:r>
              <w:rPr>
                <w:lang w:eastAsia="fr-CA"/>
              </w:rPr>
              <w:t>Référence en ORL pour chirurgie définitive</w:t>
            </w:r>
          </w:p>
        </w:tc>
      </w:tr>
      <w:tr w:rsidR="0082421F" w:rsidTr="00C164B9">
        <w:tc>
          <w:tcPr>
            <w:tcW w:w="1985" w:type="dxa"/>
            <w:shd w:val="clear" w:color="auto" w:fill="FABF8F" w:themeFill="accent6" w:themeFillTint="99"/>
            <w:vAlign w:val="center"/>
          </w:tcPr>
          <w:p w:rsidR="0082421F" w:rsidRDefault="0082421F" w:rsidP="00C164B9">
            <w:pPr>
              <w:pStyle w:val="Sansinterligne"/>
              <w:jc w:val="center"/>
              <w:rPr>
                <w:lang w:eastAsia="fr-CA"/>
              </w:rPr>
            </w:pPr>
            <w:r>
              <w:rPr>
                <w:lang w:eastAsia="fr-CA"/>
              </w:rPr>
              <w:t>Fistule trachéo-oesophagienne</w:t>
            </w:r>
          </w:p>
        </w:tc>
        <w:tc>
          <w:tcPr>
            <w:tcW w:w="5636" w:type="dxa"/>
            <w:shd w:val="clear" w:color="auto" w:fill="auto"/>
          </w:tcPr>
          <w:p w:rsidR="0082421F" w:rsidRDefault="0082421F" w:rsidP="00C164B9">
            <w:pPr>
              <w:pStyle w:val="Sansinterligne"/>
              <w:numPr>
                <w:ilvl w:val="0"/>
                <w:numId w:val="817"/>
              </w:numPr>
              <w:rPr>
                <w:lang w:eastAsia="fr-CA"/>
              </w:rPr>
            </w:pPr>
            <w:r>
              <w:rPr>
                <w:lang w:eastAsia="fr-CA"/>
              </w:rPr>
              <w:t>Étouffement au moment du boire</w:t>
            </w:r>
          </w:p>
          <w:p w:rsidR="0082421F" w:rsidRDefault="0082421F" w:rsidP="00C164B9">
            <w:pPr>
              <w:pStyle w:val="Sansinterligne"/>
              <w:numPr>
                <w:ilvl w:val="0"/>
                <w:numId w:val="817"/>
              </w:numPr>
              <w:rPr>
                <w:lang w:eastAsia="fr-CA"/>
              </w:rPr>
            </w:pPr>
            <w:r>
              <w:rPr>
                <w:lang w:eastAsia="fr-CA"/>
              </w:rPr>
              <w:t xml:space="preserve">Toux </w:t>
            </w:r>
          </w:p>
          <w:p w:rsidR="0082421F" w:rsidRDefault="0082421F" w:rsidP="00C164B9">
            <w:pPr>
              <w:pStyle w:val="Sansinterligne"/>
              <w:numPr>
                <w:ilvl w:val="0"/>
                <w:numId w:val="817"/>
              </w:numPr>
              <w:rPr>
                <w:lang w:eastAsia="fr-CA"/>
              </w:rPr>
            </w:pPr>
            <w:r>
              <w:rPr>
                <w:lang w:eastAsia="fr-CA"/>
              </w:rPr>
              <w:t>Vomissements</w:t>
            </w:r>
          </w:p>
          <w:p w:rsidR="0082421F" w:rsidRDefault="0082421F" w:rsidP="00C164B9">
            <w:pPr>
              <w:pStyle w:val="Sansinterligne"/>
              <w:numPr>
                <w:ilvl w:val="0"/>
                <w:numId w:val="817"/>
              </w:numPr>
              <w:rPr>
                <w:lang w:eastAsia="fr-CA"/>
              </w:rPr>
            </w:pPr>
            <w:r>
              <w:rPr>
                <w:lang w:eastAsia="fr-CA"/>
              </w:rPr>
              <w:t>Crépitants aux poumons par suite de sécrétions/aliments</w:t>
            </w:r>
          </w:p>
          <w:p w:rsidR="0082421F" w:rsidRDefault="0082421F" w:rsidP="00C164B9">
            <w:pPr>
              <w:pStyle w:val="Sansinterligne"/>
              <w:numPr>
                <w:ilvl w:val="0"/>
                <w:numId w:val="817"/>
              </w:numPr>
              <w:rPr>
                <w:lang w:eastAsia="fr-CA"/>
              </w:rPr>
            </w:pPr>
            <w:r>
              <w:rPr>
                <w:lang w:eastAsia="fr-CA"/>
              </w:rPr>
              <w:t>Pneumonies à répétition</w:t>
            </w:r>
          </w:p>
        </w:tc>
        <w:tc>
          <w:tcPr>
            <w:tcW w:w="3395" w:type="dxa"/>
            <w:shd w:val="clear" w:color="auto" w:fill="auto"/>
          </w:tcPr>
          <w:p w:rsidR="0082421F" w:rsidRDefault="0082421F" w:rsidP="00C164B9">
            <w:pPr>
              <w:pStyle w:val="Sansinterligne"/>
              <w:numPr>
                <w:ilvl w:val="0"/>
                <w:numId w:val="817"/>
              </w:numPr>
              <w:rPr>
                <w:lang w:eastAsia="fr-CA"/>
              </w:rPr>
            </w:pPr>
            <w:r>
              <w:rPr>
                <w:lang w:eastAsia="fr-CA"/>
              </w:rPr>
              <w:t>Ligature chirurgicale</w:t>
            </w:r>
          </w:p>
        </w:tc>
      </w:tr>
      <w:tr w:rsidR="0082421F" w:rsidTr="00C164B9">
        <w:tc>
          <w:tcPr>
            <w:tcW w:w="1985" w:type="dxa"/>
            <w:shd w:val="clear" w:color="auto" w:fill="FABF8F" w:themeFill="accent6" w:themeFillTint="99"/>
            <w:vAlign w:val="center"/>
          </w:tcPr>
          <w:p w:rsidR="0082421F" w:rsidRDefault="0082421F" w:rsidP="00C164B9">
            <w:pPr>
              <w:pStyle w:val="Sansinterligne"/>
              <w:jc w:val="center"/>
              <w:rPr>
                <w:lang w:eastAsia="fr-CA"/>
              </w:rPr>
            </w:pPr>
            <w:r>
              <w:rPr>
                <w:lang w:eastAsia="fr-CA"/>
              </w:rPr>
              <w:t>Laryngomalacie</w:t>
            </w:r>
          </w:p>
        </w:tc>
        <w:tc>
          <w:tcPr>
            <w:tcW w:w="5636" w:type="dxa"/>
            <w:shd w:val="clear" w:color="auto" w:fill="FFFF00"/>
          </w:tcPr>
          <w:p w:rsidR="0082421F" w:rsidRDefault="0082421F" w:rsidP="00C164B9">
            <w:pPr>
              <w:pStyle w:val="Sansinterligne"/>
              <w:numPr>
                <w:ilvl w:val="0"/>
                <w:numId w:val="820"/>
              </w:numPr>
              <w:rPr>
                <w:lang w:eastAsia="fr-CA"/>
              </w:rPr>
            </w:pPr>
            <w:r>
              <w:rPr>
                <w:lang w:eastAsia="fr-CA"/>
              </w:rPr>
              <w:t>Stridor aigu</w:t>
            </w:r>
          </w:p>
          <w:p w:rsidR="0082421F" w:rsidRDefault="0082421F" w:rsidP="00C164B9">
            <w:pPr>
              <w:pStyle w:val="Sansinterligne"/>
              <w:numPr>
                <w:ilvl w:val="0"/>
                <w:numId w:val="820"/>
              </w:numPr>
              <w:rPr>
                <w:lang w:eastAsia="fr-CA"/>
              </w:rPr>
            </w:pPr>
            <w:r>
              <w:rPr>
                <w:lang w:eastAsia="fr-CA"/>
              </w:rPr>
              <w:t>Apparait vers la 1</w:t>
            </w:r>
            <w:r>
              <w:rPr>
                <w:vertAlign w:val="superscript"/>
                <w:lang w:eastAsia="fr-CA"/>
              </w:rPr>
              <w:t xml:space="preserve">ère </w:t>
            </w:r>
            <w:r>
              <w:rPr>
                <w:lang w:eastAsia="fr-CA"/>
              </w:rPr>
              <w:t>– 2</w:t>
            </w:r>
            <w:r w:rsidRPr="007A56F7">
              <w:rPr>
                <w:vertAlign w:val="superscript"/>
                <w:lang w:eastAsia="fr-CA"/>
              </w:rPr>
              <w:t>e</w:t>
            </w:r>
            <w:r>
              <w:rPr>
                <w:lang w:eastAsia="fr-CA"/>
              </w:rPr>
              <w:t xml:space="preserve"> semaine de vie</w:t>
            </w:r>
          </w:p>
          <w:p w:rsidR="0082421F" w:rsidRDefault="0082421F" w:rsidP="00C164B9">
            <w:pPr>
              <w:pStyle w:val="Sansinterligne"/>
              <w:numPr>
                <w:ilvl w:val="0"/>
                <w:numId w:val="820"/>
              </w:numPr>
              <w:rPr>
                <w:lang w:eastAsia="fr-CA"/>
              </w:rPr>
            </w:pPr>
            <w:r>
              <w:rPr>
                <w:lang w:eastAsia="fr-CA"/>
              </w:rPr>
              <w:t>Constant ou épisodique</w:t>
            </w:r>
          </w:p>
          <w:p w:rsidR="0082421F" w:rsidRDefault="0082421F" w:rsidP="00C164B9">
            <w:pPr>
              <w:pStyle w:val="Sansinterligne"/>
              <w:numPr>
                <w:ilvl w:val="0"/>
                <w:numId w:val="820"/>
              </w:numPr>
              <w:rPr>
                <w:lang w:eastAsia="fr-CA"/>
              </w:rPr>
            </w:pPr>
            <w:r>
              <w:rPr>
                <w:lang w:eastAsia="fr-CA"/>
              </w:rPr>
              <w:t>Pire en position dorsale et post-IVRS</w:t>
            </w:r>
          </w:p>
          <w:p w:rsidR="0082421F" w:rsidRDefault="0082421F" w:rsidP="00C164B9">
            <w:pPr>
              <w:pStyle w:val="Sansinterligne"/>
              <w:numPr>
                <w:ilvl w:val="0"/>
                <w:numId w:val="820"/>
              </w:numPr>
              <w:rPr>
                <w:lang w:eastAsia="fr-CA"/>
              </w:rPr>
            </w:pPr>
            <w:r>
              <w:rPr>
                <w:lang w:eastAsia="fr-CA"/>
              </w:rPr>
              <w:t>Cyanose, difficulté à boire/croître si sévère</w:t>
            </w:r>
          </w:p>
        </w:tc>
        <w:tc>
          <w:tcPr>
            <w:tcW w:w="3395" w:type="dxa"/>
            <w:shd w:val="clear" w:color="auto" w:fill="FFFF00"/>
          </w:tcPr>
          <w:p w:rsidR="0082421F" w:rsidRDefault="0082421F" w:rsidP="00C164B9">
            <w:pPr>
              <w:pStyle w:val="Sansinterligne"/>
              <w:numPr>
                <w:ilvl w:val="0"/>
                <w:numId w:val="819"/>
              </w:numPr>
              <w:rPr>
                <w:lang w:eastAsia="fr-CA"/>
              </w:rPr>
            </w:pPr>
            <w:r>
              <w:rPr>
                <w:lang w:eastAsia="fr-CA"/>
              </w:rPr>
              <w:t>Expectative, autorésolutif vers 12-18 mois</w:t>
            </w:r>
          </w:p>
          <w:p w:rsidR="0082421F" w:rsidRDefault="0082421F" w:rsidP="00C164B9">
            <w:pPr>
              <w:pStyle w:val="Sansinterligne"/>
              <w:numPr>
                <w:ilvl w:val="0"/>
                <w:numId w:val="819"/>
              </w:numPr>
              <w:rPr>
                <w:lang w:eastAsia="fr-CA"/>
              </w:rPr>
            </w:pPr>
            <w:r>
              <w:rPr>
                <w:lang w:eastAsia="fr-CA"/>
              </w:rPr>
              <w:t>Traitement chirurgical ORL si sévère avec atteinte fonctionnelle</w:t>
            </w:r>
          </w:p>
        </w:tc>
      </w:tr>
      <w:tr w:rsidR="0082421F" w:rsidTr="00C164B9">
        <w:tc>
          <w:tcPr>
            <w:tcW w:w="1985" w:type="dxa"/>
            <w:shd w:val="clear" w:color="auto" w:fill="FABF8F" w:themeFill="accent6" w:themeFillTint="99"/>
            <w:vAlign w:val="center"/>
          </w:tcPr>
          <w:p w:rsidR="0082421F" w:rsidRDefault="0082421F" w:rsidP="00C164B9">
            <w:pPr>
              <w:pStyle w:val="Sansinterligne"/>
              <w:jc w:val="center"/>
              <w:rPr>
                <w:lang w:eastAsia="fr-CA"/>
              </w:rPr>
            </w:pPr>
            <w:r>
              <w:rPr>
                <w:lang w:eastAsia="fr-CA"/>
              </w:rPr>
              <w:t>Anémie</w:t>
            </w:r>
          </w:p>
        </w:tc>
        <w:tc>
          <w:tcPr>
            <w:tcW w:w="9031" w:type="dxa"/>
            <w:gridSpan w:val="2"/>
          </w:tcPr>
          <w:p w:rsidR="0082421F" w:rsidRDefault="0082421F" w:rsidP="00C164B9">
            <w:pPr>
              <w:pStyle w:val="Sansinterligne"/>
              <w:rPr>
                <w:lang w:eastAsia="fr-CA"/>
              </w:rPr>
            </w:pPr>
            <w:r>
              <w:rPr>
                <w:lang w:eastAsia="fr-CA"/>
              </w:rPr>
              <w:t xml:space="preserve">Voir </w:t>
            </w:r>
            <w:r w:rsidRPr="00FE5F2A">
              <w:rPr>
                <w:i/>
                <w:lang w:eastAsia="fr-CA"/>
              </w:rPr>
              <w:t>Anémie CMC 42-1</w:t>
            </w:r>
          </w:p>
        </w:tc>
      </w:tr>
      <w:tr w:rsidR="0082421F" w:rsidTr="00C164B9">
        <w:tc>
          <w:tcPr>
            <w:tcW w:w="1985" w:type="dxa"/>
            <w:shd w:val="clear" w:color="auto" w:fill="FABF8F" w:themeFill="accent6" w:themeFillTint="99"/>
            <w:vAlign w:val="center"/>
          </w:tcPr>
          <w:p w:rsidR="0082421F" w:rsidRDefault="0082421F" w:rsidP="00C164B9">
            <w:pPr>
              <w:pStyle w:val="Sansinterligne"/>
              <w:jc w:val="center"/>
              <w:rPr>
                <w:lang w:eastAsia="fr-CA"/>
              </w:rPr>
            </w:pPr>
            <w:r>
              <w:rPr>
                <w:lang w:eastAsia="fr-CA"/>
              </w:rPr>
              <w:t>Causes neuromusculaires</w:t>
            </w:r>
          </w:p>
        </w:tc>
        <w:tc>
          <w:tcPr>
            <w:tcW w:w="5636" w:type="dxa"/>
          </w:tcPr>
          <w:p w:rsidR="0082421F" w:rsidRDefault="0082421F" w:rsidP="00AF6ADC">
            <w:pPr>
              <w:pStyle w:val="Sansinterligne"/>
              <w:numPr>
                <w:ilvl w:val="0"/>
                <w:numId w:val="1296"/>
              </w:numPr>
              <w:rPr>
                <w:lang w:eastAsia="fr-CA"/>
              </w:rPr>
            </w:pPr>
            <w:r>
              <w:rPr>
                <w:lang w:eastAsia="fr-CA"/>
              </w:rPr>
              <w:t>Mère avec myasthénie grave (anticorps)</w:t>
            </w:r>
          </w:p>
          <w:p w:rsidR="0082421F" w:rsidRDefault="0082421F" w:rsidP="00AF6ADC">
            <w:pPr>
              <w:pStyle w:val="Sansinterligne"/>
              <w:numPr>
                <w:ilvl w:val="0"/>
                <w:numId w:val="1296"/>
              </w:numPr>
              <w:rPr>
                <w:lang w:eastAsia="fr-CA"/>
              </w:rPr>
            </w:pPr>
            <w:r w:rsidRPr="00C164B9">
              <w:rPr>
                <w:highlight w:val="yellow"/>
                <w:lang w:eastAsia="fr-CA"/>
              </w:rPr>
              <w:t>Prise d’opiacés par la mère (dépression respiratoire du nourrisson)</w:t>
            </w:r>
          </w:p>
        </w:tc>
        <w:tc>
          <w:tcPr>
            <w:tcW w:w="3395" w:type="dxa"/>
          </w:tcPr>
          <w:p w:rsidR="0082421F" w:rsidRDefault="0082421F" w:rsidP="00AF6ADC">
            <w:pPr>
              <w:pStyle w:val="Sansinterligne"/>
              <w:numPr>
                <w:ilvl w:val="0"/>
                <w:numId w:val="1296"/>
              </w:numPr>
              <w:rPr>
                <w:lang w:eastAsia="fr-CA"/>
              </w:rPr>
            </w:pPr>
            <w:r>
              <w:rPr>
                <w:lang w:eastAsia="fr-CA"/>
              </w:rPr>
              <w:t>Traiter la cause</w:t>
            </w:r>
          </w:p>
        </w:tc>
      </w:tr>
    </w:tbl>
    <w:p w:rsidR="00C164B9" w:rsidRDefault="00C164B9" w:rsidP="00BE32E8">
      <w:pPr>
        <w:pStyle w:val="Sansinterligne"/>
      </w:pPr>
    </w:p>
    <w:p w:rsidR="00C164B9" w:rsidRPr="000B1DCF" w:rsidRDefault="00C164B9" w:rsidP="00BE32E8">
      <w:pPr>
        <w:pStyle w:val="Sansinterligne"/>
        <w:rPr>
          <w:b/>
          <w:sz w:val="28"/>
          <w:szCs w:val="28"/>
        </w:rPr>
      </w:pPr>
      <w:r w:rsidRPr="000B1DCF">
        <w:rPr>
          <w:b/>
          <w:sz w:val="28"/>
          <w:szCs w:val="28"/>
        </w:rPr>
        <w:t>Examens initiaux</w:t>
      </w:r>
    </w:p>
    <w:p w:rsidR="00F20AB7" w:rsidRDefault="00F20AB7" w:rsidP="00BE32E8">
      <w:pPr>
        <w:pStyle w:val="Sansinterligne"/>
      </w:pPr>
    </w:p>
    <w:p w:rsidR="00C164B9" w:rsidRDefault="00C164B9" w:rsidP="00AF6ADC">
      <w:pPr>
        <w:pStyle w:val="Sansinterligne"/>
        <w:numPr>
          <w:ilvl w:val="0"/>
          <w:numId w:val="1298"/>
        </w:numPr>
      </w:pPr>
      <w:r>
        <w:t>Glycémie</w:t>
      </w:r>
      <w:r w:rsidR="000B1DCF">
        <w:t xml:space="preserve"> </w:t>
      </w:r>
      <w:r w:rsidR="000B1DCF">
        <w:rPr>
          <w:rFonts w:ascii="Century Gothic" w:hAnsi="Century Gothic"/>
        </w:rPr>
        <w:t>→</w:t>
      </w:r>
      <w:r w:rsidR="000B1DCF">
        <w:t xml:space="preserve"> s’assurer que l’enfant n’est pas en hypoglycémie (compromis neurologique)</w:t>
      </w:r>
    </w:p>
    <w:p w:rsidR="000B1DCF" w:rsidRDefault="00C164B9" w:rsidP="00AF6ADC">
      <w:pPr>
        <w:pStyle w:val="Sansinterligne"/>
        <w:numPr>
          <w:ilvl w:val="0"/>
          <w:numId w:val="1298"/>
        </w:numPr>
      </w:pPr>
      <w:r>
        <w:t>Gaz du cordon</w:t>
      </w:r>
      <w:r w:rsidR="000B1DCF">
        <w:t xml:space="preserve"> </w:t>
      </w:r>
      <w:r w:rsidR="000B1DCF">
        <w:rPr>
          <w:rFonts w:ascii="Century Gothic" w:hAnsi="Century Gothic"/>
        </w:rPr>
        <w:t>→</w:t>
      </w:r>
      <w:r w:rsidR="000B1DCF">
        <w:t xml:space="preserve"> s’assurer que l’enfant n’est pas en acidose métabolique</w:t>
      </w:r>
    </w:p>
    <w:p w:rsidR="009E7F0E" w:rsidRDefault="009E7F0E" w:rsidP="00AF6ADC">
      <w:pPr>
        <w:pStyle w:val="Sansinterligne"/>
        <w:numPr>
          <w:ilvl w:val="0"/>
          <w:numId w:val="1298"/>
        </w:numPr>
      </w:pPr>
      <w:r>
        <w:t>Radiographie pulmonaire si suspicion de pneumothorax</w:t>
      </w:r>
    </w:p>
    <w:p w:rsidR="000B1DCF" w:rsidRDefault="000B1DCF" w:rsidP="00BE32E8">
      <w:pPr>
        <w:pStyle w:val="Sansinterligne"/>
      </w:pPr>
    </w:p>
    <w:p w:rsidR="00764051" w:rsidRPr="009E7F0E" w:rsidRDefault="00764051" w:rsidP="00BE32E8">
      <w:pPr>
        <w:pStyle w:val="Sansinterligne"/>
        <w:rPr>
          <w:b/>
          <w:sz w:val="28"/>
          <w:szCs w:val="28"/>
        </w:rPr>
      </w:pPr>
      <w:r w:rsidRPr="009E7F0E">
        <w:rPr>
          <w:b/>
          <w:sz w:val="28"/>
          <w:szCs w:val="28"/>
        </w:rPr>
        <w:t>Prise en charge – spécificité</w:t>
      </w:r>
      <w:r w:rsidR="009E7F0E" w:rsidRPr="009E7F0E">
        <w:rPr>
          <w:b/>
          <w:sz w:val="28"/>
          <w:szCs w:val="28"/>
        </w:rPr>
        <w:t>s</w:t>
      </w:r>
    </w:p>
    <w:p w:rsidR="00764051" w:rsidRDefault="00764051" w:rsidP="00BE32E8">
      <w:pPr>
        <w:pStyle w:val="Sansinterligne"/>
      </w:pPr>
    </w:p>
    <w:p w:rsidR="00764051" w:rsidRPr="00606E27" w:rsidRDefault="00764051" w:rsidP="00AF6ADC">
      <w:pPr>
        <w:pStyle w:val="Sansinterligne"/>
        <w:numPr>
          <w:ilvl w:val="0"/>
          <w:numId w:val="1297"/>
        </w:numPr>
        <w:rPr>
          <w:highlight w:val="yellow"/>
        </w:rPr>
      </w:pPr>
      <w:r w:rsidRPr="00606E27">
        <w:rPr>
          <w:highlight w:val="yellow"/>
        </w:rPr>
        <w:t>Si l’enfant se détériore, appeler un pédiatre néonatalogiste</w:t>
      </w:r>
    </w:p>
    <w:p w:rsidR="009E7F0E" w:rsidRPr="00606E27" w:rsidRDefault="00764051" w:rsidP="00AF6ADC">
      <w:pPr>
        <w:pStyle w:val="Sansinterligne"/>
        <w:numPr>
          <w:ilvl w:val="0"/>
          <w:numId w:val="1297"/>
        </w:numPr>
        <w:rPr>
          <w:highlight w:val="yellow"/>
        </w:rPr>
      </w:pPr>
      <w:r w:rsidRPr="00606E27">
        <w:rPr>
          <w:highlight w:val="yellow"/>
        </w:rPr>
        <w:t>Statuer rapidement sur le besoin de transfert en centre spécialisé.</w:t>
      </w:r>
    </w:p>
    <w:p w:rsidR="009E7F0E" w:rsidRPr="00606E27" w:rsidRDefault="009E7F0E" w:rsidP="00AF6ADC">
      <w:pPr>
        <w:pStyle w:val="Sansinterligne"/>
        <w:numPr>
          <w:ilvl w:val="0"/>
          <w:numId w:val="1297"/>
        </w:numPr>
        <w:rPr>
          <w:highlight w:val="yellow"/>
        </w:rPr>
      </w:pPr>
      <w:r w:rsidRPr="00606E27">
        <w:rPr>
          <w:highlight w:val="yellow"/>
        </w:rPr>
        <w:t>Réchauffer l’enfant pour le maintenir à 37,0</w:t>
      </w:r>
      <w:r w:rsidRPr="00606E27">
        <w:rPr>
          <w:rFonts w:cs="Times New Roman"/>
          <w:highlight w:val="yellow"/>
        </w:rPr>
        <w:t>°</w:t>
      </w:r>
      <w:r w:rsidRPr="00606E27">
        <w:rPr>
          <w:highlight w:val="yellow"/>
        </w:rPr>
        <w:t>C</w:t>
      </w:r>
    </w:p>
    <w:p w:rsidR="009E7F0E" w:rsidRPr="00606E27" w:rsidRDefault="009E7F0E" w:rsidP="00AF6ADC">
      <w:pPr>
        <w:pStyle w:val="Sansinterligne"/>
        <w:numPr>
          <w:ilvl w:val="0"/>
          <w:numId w:val="1297"/>
        </w:numPr>
        <w:rPr>
          <w:highlight w:val="yellow"/>
        </w:rPr>
      </w:pPr>
      <w:r w:rsidRPr="00606E27">
        <w:rPr>
          <w:highlight w:val="yellow"/>
        </w:rPr>
        <w:t xml:space="preserve">Assécher (liquide amniotique etc.) </w:t>
      </w:r>
    </w:p>
    <w:p w:rsidR="009E7F0E" w:rsidRPr="00606E27" w:rsidRDefault="009E7F0E" w:rsidP="00AF6ADC">
      <w:pPr>
        <w:pStyle w:val="Sansinterligne"/>
        <w:numPr>
          <w:ilvl w:val="0"/>
          <w:numId w:val="1297"/>
        </w:numPr>
        <w:rPr>
          <w:highlight w:val="yellow"/>
        </w:rPr>
      </w:pPr>
      <w:r w:rsidRPr="00606E27">
        <w:rPr>
          <w:highlight w:val="yellow"/>
        </w:rPr>
        <w:t>Aspirer les sécrétions</w:t>
      </w:r>
      <w:r w:rsidR="00E071FB">
        <w:rPr>
          <w:highlight w:val="yellow"/>
        </w:rPr>
        <w:t xml:space="preserve"> (bouche d’abord, nez ensuite)</w:t>
      </w:r>
    </w:p>
    <w:p w:rsidR="009E7F0E" w:rsidRPr="00606E27" w:rsidRDefault="009E7F0E" w:rsidP="00AF6ADC">
      <w:pPr>
        <w:pStyle w:val="Sansinterligne"/>
        <w:numPr>
          <w:ilvl w:val="0"/>
          <w:numId w:val="1297"/>
        </w:numPr>
        <w:rPr>
          <w:highlight w:val="yellow"/>
        </w:rPr>
      </w:pPr>
      <w:r w:rsidRPr="00606E27">
        <w:rPr>
          <w:highlight w:val="yellow"/>
        </w:rPr>
        <w:t>Ne pas se gêner pour débuter des antibiotiques si aspirations méconiales ou supicion de sepsis (hyperthermie, mère SGB+ non-couverte, etc,)</w:t>
      </w:r>
    </w:p>
    <w:p w:rsidR="009E7F0E" w:rsidRPr="00606E27" w:rsidRDefault="009E7F0E" w:rsidP="00AF6ADC">
      <w:pPr>
        <w:pStyle w:val="Sansinterligne"/>
        <w:numPr>
          <w:ilvl w:val="0"/>
          <w:numId w:val="1297"/>
        </w:numPr>
        <w:rPr>
          <w:highlight w:val="yellow"/>
        </w:rPr>
      </w:pPr>
      <w:r w:rsidRPr="00606E27">
        <w:rPr>
          <w:highlight w:val="yellow"/>
        </w:rPr>
        <w:t xml:space="preserve">Si apnée ou FC </w:t>
      </w:r>
      <w:r w:rsidRPr="00606E27">
        <w:rPr>
          <w:rFonts w:ascii="Century Gothic" w:hAnsi="Century Gothic"/>
          <w:highlight w:val="yellow"/>
        </w:rPr>
        <w:t>&lt;</w:t>
      </w:r>
      <w:r w:rsidRPr="00606E27">
        <w:rPr>
          <w:highlight w:val="yellow"/>
        </w:rPr>
        <w:t xml:space="preserve"> 100 </w:t>
      </w:r>
      <w:r w:rsidRPr="00606E27">
        <w:rPr>
          <w:rFonts w:ascii="Century Gothic" w:hAnsi="Century Gothic"/>
          <w:highlight w:val="yellow"/>
        </w:rPr>
        <w:t>→</w:t>
      </w:r>
      <w:r w:rsidRPr="00606E27">
        <w:rPr>
          <w:highlight w:val="yellow"/>
        </w:rPr>
        <w:t xml:space="preserve"> ventiler à pression positive</w:t>
      </w:r>
    </w:p>
    <w:p w:rsidR="009E7F0E" w:rsidRPr="00606E27" w:rsidRDefault="009E7F0E" w:rsidP="00AF6ADC">
      <w:pPr>
        <w:pStyle w:val="Sansinterligne"/>
        <w:numPr>
          <w:ilvl w:val="1"/>
          <w:numId w:val="1297"/>
        </w:numPr>
        <w:rPr>
          <w:highlight w:val="yellow"/>
        </w:rPr>
      </w:pPr>
      <w:r w:rsidRPr="00606E27">
        <w:rPr>
          <w:highlight w:val="yellow"/>
        </w:rPr>
        <w:t>Intubation endotrachéale ou masque laryngé si insuffisant</w:t>
      </w:r>
    </w:p>
    <w:p w:rsidR="009E7F0E" w:rsidRPr="00606E27" w:rsidRDefault="009E7F0E" w:rsidP="00AF6ADC">
      <w:pPr>
        <w:pStyle w:val="Sansinterligne"/>
        <w:numPr>
          <w:ilvl w:val="0"/>
          <w:numId w:val="1297"/>
        </w:numPr>
        <w:rPr>
          <w:highlight w:val="yellow"/>
        </w:rPr>
      </w:pPr>
      <w:r w:rsidRPr="00606E27">
        <w:rPr>
          <w:highlight w:val="yellow"/>
        </w:rPr>
        <w:t xml:space="preserve">Si FC </w:t>
      </w:r>
      <w:r w:rsidRPr="00606E27">
        <w:rPr>
          <w:rFonts w:ascii="Century Gothic" w:hAnsi="Century Gothic"/>
          <w:highlight w:val="yellow"/>
        </w:rPr>
        <w:t>&lt;</w:t>
      </w:r>
      <w:r w:rsidRPr="00606E27">
        <w:rPr>
          <w:highlight w:val="yellow"/>
        </w:rPr>
        <w:t xml:space="preserve"> 60</w:t>
      </w:r>
    </w:p>
    <w:p w:rsidR="009E7F0E" w:rsidRPr="00606E27" w:rsidRDefault="009E7F0E" w:rsidP="00AF6ADC">
      <w:pPr>
        <w:pStyle w:val="Sansinterligne"/>
        <w:numPr>
          <w:ilvl w:val="1"/>
          <w:numId w:val="1297"/>
        </w:numPr>
        <w:rPr>
          <w:highlight w:val="yellow"/>
        </w:rPr>
      </w:pPr>
      <w:r w:rsidRPr="00606E27">
        <w:rPr>
          <w:highlight w:val="yellow"/>
        </w:rPr>
        <w:t>Débuter le massage cardiaque</w:t>
      </w:r>
    </w:p>
    <w:p w:rsidR="009E7F0E" w:rsidRPr="00606E27" w:rsidRDefault="009E7F0E" w:rsidP="00AF6ADC">
      <w:pPr>
        <w:pStyle w:val="Sansinterligne"/>
        <w:numPr>
          <w:ilvl w:val="1"/>
          <w:numId w:val="1297"/>
        </w:numPr>
        <w:rPr>
          <w:highlight w:val="yellow"/>
        </w:rPr>
      </w:pPr>
      <w:r w:rsidRPr="00606E27">
        <w:rPr>
          <w:highlight w:val="yellow"/>
        </w:rPr>
        <w:t>Si ne répond pas</w:t>
      </w:r>
    </w:p>
    <w:p w:rsidR="009E7F0E" w:rsidRPr="00606E27" w:rsidRDefault="009E7F0E" w:rsidP="00AF6ADC">
      <w:pPr>
        <w:pStyle w:val="Sansinterligne"/>
        <w:numPr>
          <w:ilvl w:val="2"/>
          <w:numId w:val="1297"/>
        </w:numPr>
        <w:rPr>
          <w:highlight w:val="yellow"/>
        </w:rPr>
      </w:pPr>
      <w:r w:rsidRPr="00606E27">
        <w:rPr>
          <w:highlight w:val="yellow"/>
        </w:rPr>
        <w:t>Adrénaline IV</w:t>
      </w:r>
    </w:p>
    <w:p w:rsidR="009E7F0E" w:rsidRPr="00606E27" w:rsidRDefault="009E7F0E" w:rsidP="00AF6ADC">
      <w:pPr>
        <w:pStyle w:val="Sansinterligne"/>
        <w:numPr>
          <w:ilvl w:val="2"/>
          <w:numId w:val="1297"/>
        </w:numPr>
        <w:rPr>
          <w:highlight w:val="yellow"/>
        </w:rPr>
      </w:pPr>
      <w:r w:rsidRPr="00606E27">
        <w:rPr>
          <w:highlight w:val="yellow"/>
        </w:rPr>
        <w:t>Exclure et corriger hypovolémie et pneumothorax</w:t>
      </w:r>
    </w:p>
    <w:p w:rsidR="00FB65E0" w:rsidRDefault="00606E27" w:rsidP="00AF6ADC">
      <w:pPr>
        <w:pStyle w:val="Sansinterligne"/>
        <w:numPr>
          <w:ilvl w:val="1"/>
          <w:numId w:val="1297"/>
        </w:numPr>
      </w:pPr>
      <w:r w:rsidRPr="00606E27">
        <w:rPr>
          <w:noProof/>
          <w:highlight w:val="yellow"/>
          <w:lang w:eastAsia="fr-CA"/>
        </w:rPr>
        <w:drawing>
          <wp:anchor distT="0" distB="0" distL="114300" distR="114300" simplePos="0" relativeHeight="252097536" behindDoc="0" locked="0" layoutInCell="1" allowOverlap="1" wp14:anchorId="29F39DF3" wp14:editId="01FF4A46">
            <wp:simplePos x="0" y="0"/>
            <wp:positionH relativeFrom="column">
              <wp:posOffset>3481705</wp:posOffset>
            </wp:positionH>
            <wp:positionV relativeFrom="paragraph">
              <wp:posOffset>76916</wp:posOffset>
            </wp:positionV>
            <wp:extent cx="3239135" cy="2428875"/>
            <wp:effectExtent l="76200" t="76200" r="132715" b="142875"/>
            <wp:wrapNone/>
            <wp:docPr id="589" name="Imag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946.JPG"/>
                    <pic:cNvPicPr/>
                  </pic:nvPicPr>
                  <pic:blipFill>
                    <a:blip r:embed="rId219" cstate="print">
                      <a:extLst>
                        <a:ext uri="{28A0092B-C50C-407E-A947-70E740481C1C}">
                          <a14:useLocalDpi xmlns:a14="http://schemas.microsoft.com/office/drawing/2010/main" val="0"/>
                        </a:ext>
                      </a:extLst>
                    </a:blip>
                    <a:stretch>
                      <a:fillRect/>
                    </a:stretch>
                  </pic:blipFill>
                  <pic:spPr>
                    <a:xfrm>
                      <a:off x="0" y="0"/>
                      <a:ext cx="3239135" cy="242887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Pr>
          <w:noProof/>
          <w:lang w:eastAsia="fr-CA"/>
        </w:rPr>
        <w:drawing>
          <wp:anchor distT="0" distB="0" distL="114300" distR="114300" simplePos="0" relativeHeight="252098560" behindDoc="0" locked="0" layoutInCell="1" allowOverlap="1" wp14:anchorId="39D10E7C" wp14:editId="24258796">
            <wp:simplePos x="0" y="0"/>
            <wp:positionH relativeFrom="column">
              <wp:posOffset>-429280</wp:posOffset>
            </wp:positionH>
            <wp:positionV relativeFrom="paragraph">
              <wp:posOffset>596339</wp:posOffset>
            </wp:positionV>
            <wp:extent cx="4429760" cy="3316605"/>
            <wp:effectExtent l="4127" t="0" r="0" b="0"/>
            <wp:wrapNone/>
            <wp:docPr id="590" name="Image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947.JPG"/>
                    <pic:cNvPicPr/>
                  </pic:nvPicPr>
                  <pic:blipFill rotWithShape="1">
                    <a:blip r:embed="rId220" cstate="print">
                      <a:extLst>
                        <a:ext uri="{28A0092B-C50C-407E-A947-70E740481C1C}">
                          <a14:useLocalDpi xmlns:a14="http://schemas.microsoft.com/office/drawing/2010/main" val="0"/>
                        </a:ext>
                      </a:extLst>
                    </a:blip>
                    <a:srcRect t="8298" r="8147"/>
                    <a:stretch/>
                  </pic:blipFill>
                  <pic:spPr bwMode="auto">
                    <a:xfrm rot="5400000">
                      <a:off x="0" y="0"/>
                      <a:ext cx="4429760" cy="331660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B65E0">
        <w:br w:type="page"/>
      </w:r>
    </w:p>
    <w:p w:rsidR="00E30DCF" w:rsidRDefault="00E30DCF" w:rsidP="0073701C">
      <w:pPr>
        <w:pStyle w:val="Sansinterligne"/>
        <w:rPr>
          <w:b/>
          <w:color w:val="548DD4" w:themeColor="text2" w:themeTint="99"/>
        </w:rPr>
      </w:pPr>
      <w:r>
        <w:rPr>
          <w:b/>
          <w:color w:val="548DD4" w:themeColor="text2" w:themeTint="99"/>
        </w:rPr>
        <w:t>CMC 69</w:t>
      </w:r>
    </w:p>
    <w:p w:rsidR="00E30DCF" w:rsidRPr="00E30DCF" w:rsidRDefault="00E30DCF" w:rsidP="00E30DCF">
      <w:pPr>
        <w:pStyle w:val="Titre3"/>
        <w:spacing w:before="0"/>
      </w:pPr>
      <w:bookmarkStart w:id="208" w:name="_Toc480797301"/>
      <w:r>
        <w:t>Anxiété</w:t>
      </w:r>
      <w:bookmarkEnd w:id="208"/>
    </w:p>
    <w:tbl>
      <w:tblPr>
        <w:tblW w:w="3702" w:type="pct"/>
        <w:tblCellSpacing w:w="0" w:type="dxa"/>
        <w:tblCellMar>
          <w:left w:w="0" w:type="dxa"/>
          <w:right w:w="0" w:type="dxa"/>
        </w:tblCellMar>
        <w:tblLook w:val="04A0" w:firstRow="1" w:lastRow="0" w:firstColumn="1" w:lastColumn="0" w:noHBand="0" w:noVBand="1"/>
      </w:tblPr>
      <w:tblGrid>
        <w:gridCol w:w="7996"/>
      </w:tblGrid>
      <w:tr w:rsidR="00E30DCF" w:rsidRPr="00E30DCF" w:rsidTr="00E30DCF">
        <w:trPr>
          <w:tblCellSpacing w:w="0" w:type="dxa"/>
        </w:trPr>
        <w:tc>
          <w:tcPr>
            <w:tcW w:w="0" w:type="auto"/>
            <w:vAlign w:val="bottom"/>
            <w:hideMark/>
          </w:tcPr>
          <w:p w:rsidR="00E30DCF" w:rsidRPr="00C23278" w:rsidRDefault="00E30DCF" w:rsidP="00C23278">
            <w:pPr>
              <w:pStyle w:val="Sansinterligne"/>
              <w:spacing w:before="240"/>
              <w:rPr>
                <w:b/>
                <w:sz w:val="18"/>
                <w:szCs w:val="18"/>
              </w:rPr>
            </w:pPr>
            <w:r w:rsidRPr="00C23278">
              <w:rPr>
                <w:b/>
                <w:noProof/>
                <w:sz w:val="18"/>
                <w:szCs w:val="18"/>
                <w:lang w:eastAsia="fr-CA"/>
              </w:rPr>
              <mc:AlternateContent>
                <mc:Choice Requires="wps">
                  <w:drawing>
                    <wp:anchor distT="0" distB="0" distL="114300" distR="114300" simplePos="0" relativeHeight="251829248" behindDoc="0" locked="0" layoutInCell="1" allowOverlap="1" wp14:anchorId="4ECF5C7C" wp14:editId="041BD678">
                      <wp:simplePos x="0" y="0"/>
                      <wp:positionH relativeFrom="column">
                        <wp:posOffset>-68580</wp:posOffset>
                      </wp:positionH>
                      <wp:positionV relativeFrom="paragraph">
                        <wp:posOffset>80010</wp:posOffset>
                      </wp:positionV>
                      <wp:extent cx="6934835" cy="3141345"/>
                      <wp:effectExtent l="0" t="0" r="18415" b="20955"/>
                      <wp:wrapNone/>
                      <wp:docPr id="347" name="Rectangle 347"/>
                      <wp:cNvGraphicFramePr/>
                      <a:graphic xmlns:a="http://schemas.openxmlformats.org/drawingml/2006/main">
                        <a:graphicData uri="http://schemas.microsoft.com/office/word/2010/wordprocessingShape">
                          <wps:wsp>
                            <wps:cNvSpPr/>
                            <wps:spPr>
                              <a:xfrm>
                                <a:off x="0" y="0"/>
                                <a:ext cx="6934835" cy="3141345"/>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47" o:spid="_x0000_s1026" style="position:absolute;margin-left:-5.4pt;margin-top:6.3pt;width:546.05pt;height:247.35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" filled="f" strokecolor="black [1600]" strokeweight="2pt"/>
                  </w:pict>
                </mc:Fallback>
              </mc:AlternateContent>
            </w:r>
            <w:r w:rsidRPr="00C23278">
              <w:rPr>
                <w:b/>
                <w:sz w:val="18"/>
                <w:szCs w:val="18"/>
              </w:rPr>
              <w:t>Objectifs principaux</w:t>
            </w:r>
          </w:p>
        </w:tc>
      </w:tr>
    </w:tbl>
    <w:p w:rsidR="00E30DCF" w:rsidRPr="00E30DCF" w:rsidRDefault="00E30DCF" w:rsidP="00E30DCF">
      <w:pPr>
        <w:pStyle w:val="NormalWeb"/>
        <w:ind w:left="360"/>
        <w:rPr>
          <w:color w:val="000000"/>
          <w:sz w:val="18"/>
          <w:szCs w:val="18"/>
          <w:shd w:val="clear" w:color="auto" w:fill="FFFFFF"/>
        </w:rPr>
      </w:pPr>
      <w:r w:rsidRPr="00E30DCF">
        <w:rPr>
          <w:color w:val="000000"/>
          <w:sz w:val="18"/>
          <w:szCs w:val="18"/>
          <w:shd w:val="clear" w:color="auto" w:fill="FFFFFF"/>
        </w:rPr>
        <w:t>Dans le cas d'un patient présentant un trouble anxieux, le candidat devra en diagnostiquer la cause, la gravité et les complications, et mettre en place un plan de prise en charge approprié.</w:t>
      </w:r>
    </w:p>
    <w:tbl>
      <w:tblPr>
        <w:tblW w:w="3702" w:type="pct"/>
        <w:tblCellSpacing w:w="0" w:type="dxa"/>
        <w:tblCellMar>
          <w:left w:w="0" w:type="dxa"/>
          <w:right w:w="0" w:type="dxa"/>
        </w:tblCellMar>
        <w:tblLook w:val="04A0" w:firstRow="1" w:lastRow="0" w:firstColumn="1" w:lastColumn="0" w:noHBand="0" w:noVBand="1"/>
      </w:tblPr>
      <w:tblGrid>
        <w:gridCol w:w="7996"/>
      </w:tblGrid>
      <w:tr w:rsidR="00E30DCF" w:rsidRPr="00E30DCF" w:rsidTr="00E30DCF">
        <w:trPr>
          <w:tblCellSpacing w:w="0" w:type="dxa"/>
        </w:trPr>
        <w:tc>
          <w:tcPr>
            <w:tcW w:w="0" w:type="auto"/>
            <w:vAlign w:val="bottom"/>
            <w:hideMark/>
          </w:tcPr>
          <w:p w:rsidR="00E30DCF" w:rsidRPr="00C23278" w:rsidRDefault="00E30DCF" w:rsidP="00C23278">
            <w:pPr>
              <w:pStyle w:val="Sansinterligne"/>
              <w:rPr>
                <w:b/>
                <w:sz w:val="16"/>
                <w:szCs w:val="16"/>
              </w:rPr>
            </w:pPr>
            <w:r w:rsidRPr="00C23278">
              <w:rPr>
                <w:b/>
                <w:sz w:val="16"/>
                <w:szCs w:val="16"/>
              </w:rPr>
              <w:t>Objectifs spécifiques</w:t>
            </w:r>
          </w:p>
        </w:tc>
      </w:tr>
    </w:tbl>
    <w:p w:rsidR="00E30DCF" w:rsidRPr="00E30DCF" w:rsidRDefault="00E30DCF" w:rsidP="00E30DCF">
      <w:pPr>
        <w:pStyle w:val="NormalWeb"/>
        <w:shd w:val="clear" w:color="auto" w:fill="FFFFFF"/>
        <w:ind w:left="360"/>
        <w:rPr>
          <w:color w:val="000000"/>
          <w:sz w:val="16"/>
          <w:szCs w:val="16"/>
          <w:shd w:val="clear" w:color="auto" w:fill="FFFFFF"/>
        </w:rPr>
      </w:pPr>
      <w:r w:rsidRPr="00E30DCF">
        <w:rPr>
          <w:color w:val="000000"/>
          <w:sz w:val="16"/>
          <w:szCs w:val="16"/>
          <w:shd w:val="clear" w:color="auto" w:fill="FFFFFF"/>
        </w:rPr>
        <w:t>Dans le cas d'un patient présentant un trouble anxieux, le candidat devra</w:t>
      </w:r>
    </w:p>
    <w:p w:rsidR="00E30DCF" w:rsidRPr="00E30DCF" w:rsidRDefault="00E30DCF" w:rsidP="001D29A9">
      <w:pPr>
        <w:numPr>
          <w:ilvl w:val="0"/>
          <w:numId w:val="621"/>
        </w:numPr>
        <w:shd w:val="clear" w:color="auto" w:fill="FFFFFF"/>
        <w:spacing w:before="100" w:beforeAutospacing="1" w:after="100" w:afterAutospacing="1" w:line="240" w:lineRule="auto"/>
        <w:rPr>
          <w:rFonts w:cs="Times New Roman"/>
          <w:color w:val="000000"/>
          <w:sz w:val="16"/>
          <w:szCs w:val="16"/>
          <w:shd w:val="clear" w:color="auto" w:fill="FFFFFF"/>
        </w:rPr>
      </w:pPr>
      <w:r w:rsidRPr="00E30DCF">
        <w:rPr>
          <w:rFonts w:cs="Times New Roman"/>
          <w:color w:val="000000"/>
          <w:sz w:val="16"/>
          <w:szCs w:val="16"/>
          <w:shd w:val="clear" w:color="auto" w:fill="FFFFFF"/>
        </w:rPr>
        <w:t>énumérer et interpréter les constatations cliniques cruciales, y compris celles découlant de l'anamnèse et de l'examen physique, de façon :</w:t>
      </w:r>
    </w:p>
    <w:p w:rsidR="00E30DCF" w:rsidRPr="00E30DCF" w:rsidRDefault="00E30DCF" w:rsidP="001D29A9">
      <w:pPr>
        <w:numPr>
          <w:ilvl w:val="1"/>
          <w:numId w:val="621"/>
        </w:numPr>
        <w:shd w:val="clear" w:color="auto" w:fill="FFFFFF"/>
        <w:spacing w:before="100" w:beforeAutospacing="1" w:after="100" w:afterAutospacing="1" w:line="240" w:lineRule="auto"/>
        <w:rPr>
          <w:rFonts w:cs="Times New Roman"/>
          <w:color w:val="000000"/>
          <w:sz w:val="16"/>
          <w:szCs w:val="16"/>
          <w:shd w:val="clear" w:color="auto" w:fill="FFFFFF"/>
        </w:rPr>
      </w:pPr>
      <w:r w:rsidRPr="00E30DCF">
        <w:rPr>
          <w:rFonts w:cs="Times New Roman"/>
          <w:color w:val="000000"/>
          <w:sz w:val="16"/>
          <w:szCs w:val="16"/>
          <w:shd w:val="clear" w:color="auto" w:fill="FFFFFF"/>
        </w:rPr>
        <w:t>à distinguer un stress de situation d'un trouble anxieux véritable;</w:t>
      </w:r>
    </w:p>
    <w:p w:rsidR="00E30DCF" w:rsidRPr="00E30DCF" w:rsidRDefault="00E30DCF" w:rsidP="001D29A9">
      <w:pPr>
        <w:numPr>
          <w:ilvl w:val="1"/>
          <w:numId w:val="621"/>
        </w:numPr>
        <w:shd w:val="clear" w:color="auto" w:fill="FFFFFF"/>
        <w:spacing w:before="100" w:beforeAutospacing="1" w:after="100" w:afterAutospacing="1" w:line="240" w:lineRule="auto"/>
        <w:rPr>
          <w:rFonts w:cs="Times New Roman"/>
          <w:color w:val="000000"/>
          <w:sz w:val="16"/>
          <w:szCs w:val="16"/>
          <w:shd w:val="clear" w:color="auto" w:fill="FFFFFF"/>
        </w:rPr>
      </w:pPr>
      <w:r w:rsidRPr="00E30DCF">
        <w:rPr>
          <w:rFonts w:cs="Times New Roman"/>
          <w:color w:val="000000"/>
          <w:sz w:val="16"/>
          <w:szCs w:val="16"/>
          <w:shd w:val="clear" w:color="auto" w:fill="FFFFFF"/>
        </w:rPr>
        <w:t>à exclure toute affection médicale sous-jacente éventuelle comme cause possible de l'anxiété (p. ex. tumeurs surrénaliennes);</w:t>
      </w:r>
    </w:p>
    <w:p w:rsidR="00E30DCF" w:rsidRPr="00E30DCF" w:rsidRDefault="00E30DCF" w:rsidP="001D29A9">
      <w:pPr>
        <w:numPr>
          <w:ilvl w:val="1"/>
          <w:numId w:val="621"/>
        </w:numPr>
        <w:shd w:val="clear" w:color="auto" w:fill="FFFFFF"/>
        <w:spacing w:before="100" w:beforeAutospacing="1" w:after="100" w:afterAutospacing="1" w:line="240" w:lineRule="auto"/>
        <w:rPr>
          <w:rFonts w:cs="Times New Roman"/>
          <w:color w:val="000000"/>
          <w:sz w:val="16"/>
          <w:szCs w:val="16"/>
          <w:shd w:val="clear" w:color="auto" w:fill="FFFFFF"/>
        </w:rPr>
      </w:pPr>
      <w:r w:rsidRPr="00E30DCF">
        <w:rPr>
          <w:rFonts w:cs="Times New Roman"/>
          <w:color w:val="000000"/>
          <w:sz w:val="16"/>
          <w:szCs w:val="16"/>
          <w:shd w:val="clear" w:color="auto" w:fill="FFFFFF"/>
        </w:rPr>
        <w:t>à déterminer les facteurs de comorbidité possibles (p. ex. trouble lié à une substance ou de dépendance);</w:t>
      </w:r>
    </w:p>
    <w:p w:rsidR="00E30DCF" w:rsidRPr="00E30DCF" w:rsidRDefault="00E30DCF" w:rsidP="001D29A9">
      <w:pPr>
        <w:numPr>
          <w:ilvl w:val="1"/>
          <w:numId w:val="621"/>
        </w:numPr>
        <w:shd w:val="clear" w:color="auto" w:fill="FFFFFF"/>
        <w:spacing w:before="100" w:beforeAutospacing="1" w:after="100" w:afterAutospacing="1" w:line="240" w:lineRule="auto"/>
        <w:rPr>
          <w:rFonts w:cs="Times New Roman"/>
          <w:color w:val="000000"/>
          <w:sz w:val="16"/>
          <w:szCs w:val="16"/>
          <w:shd w:val="clear" w:color="auto" w:fill="FFFFFF"/>
        </w:rPr>
      </w:pPr>
      <w:r w:rsidRPr="00E30DCF">
        <w:rPr>
          <w:rFonts w:cs="Times New Roman"/>
          <w:color w:val="000000"/>
          <w:sz w:val="16"/>
          <w:szCs w:val="16"/>
          <w:shd w:val="clear" w:color="auto" w:fill="FFFFFF"/>
        </w:rPr>
        <w:t>à déterminer la gravité des symptômes et à vérifier la présence d'affections menaçant le pronostic vital (p. ex. idées suicidaires);</w:t>
      </w:r>
    </w:p>
    <w:p w:rsidR="00E30DCF" w:rsidRPr="00E30DCF" w:rsidRDefault="00E30DCF" w:rsidP="001D29A9">
      <w:pPr>
        <w:numPr>
          <w:ilvl w:val="0"/>
          <w:numId w:val="621"/>
        </w:numPr>
        <w:shd w:val="clear" w:color="auto" w:fill="FFFFFF"/>
        <w:spacing w:before="100" w:beforeAutospacing="1" w:after="100" w:afterAutospacing="1" w:line="240" w:lineRule="auto"/>
        <w:rPr>
          <w:rFonts w:cs="Times New Roman"/>
          <w:color w:val="000000"/>
          <w:sz w:val="16"/>
          <w:szCs w:val="16"/>
          <w:shd w:val="clear" w:color="auto" w:fill="FFFFFF"/>
        </w:rPr>
      </w:pPr>
      <w:r w:rsidRPr="00E30DCF">
        <w:rPr>
          <w:rFonts w:cs="Times New Roman"/>
          <w:color w:val="000000"/>
          <w:sz w:val="16"/>
          <w:szCs w:val="16"/>
          <w:shd w:val="clear" w:color="auto" w:fill="FFFFFF"/>
        </w:rPr>
        <w:t>énumérer et interpréter les examens essentiels, y compris les analyses de laboratoire pertinentes eu égard aux constatations cliniques (p. ex. test de dépistage toxicologique)</w:t>
      </w:r>
    </w:p>
    <w:p w:rsidR="00E30DCF" w:rsidRPr="00E30DCF" w:rsidRDefault="00E30DCF" w:rsidP="001D29A9">
      <w:pPr>
        <w:numPr>
          <w:ilvl w:val="0"/>
          <w:numId w:val="621"/>
        </w:numPr>
        <w:shd w:val="clear" w:color="auto" w:fill="FFFFFF"/>
        <w:spacing w:before="100" w:beforeAutospacing="1" w:after="100" w:afterAutospacing="1" w:line="240" w:lineRule="auto"/>
        <w:rPr>
          <w:rFonts w:cs="Times New Roman"/>
          <w:color w:val="000000"/>
          <w:sz w:val="16"/>
          <w:szCs w:val="16"/>
          <w:shd w:val="clear" w:color="auto" w:fill="FFFFFF"/>
        </w:rPr>
      </w:pPr>
      <w:r w:rsidRPr="00E30DCF">
        <w:rPr>
          <w:rFonts w:cs="Times New Roman"/>
          <w:color w:val="000000"/>
          <w:sz w:val="16"/>
          <w:szCs w:val="16"/>
          <w:shd w:val="clear" w:color="auto" w:fill="FFFFFF"/>
        </w:rPr>
        <w:t>établir un plan efficace de prise en charge initiale, notamment :</w:t>
      </w:r>
    </w:p>
    <w:p w:rsidR="00E30DCF" w:rsidRPr="00E30DCF" w:rsidRDefault="00E30DCF" w:rsidP="001D29A9">
      <w:pPr>
        <w:numPr>
          <w:ilvl w:val="1"/>
          <w:numId w:val="621"/>
        </w:numPr>
        <w:shd w:val="clear" w:color="auto" w:fill="FFFFFF"/>
        <w:spacing w:before="100" w:beforeAutospacing="1" w:after="100" w:afterAutospacing="1" w:line="240" w:lineRule="auto"/>
        <w:rPr>
          <w:rFonts w:cs="Times New Roman"/>
          <w:color w:val="000000"/>
          <w:sz w:val="16"/>
          <w:szCs w:val="16"/>
          <w:shd w:val="clear" w:color="auto" w:fill="FFFFFF"/>
        </w:rPr>
      </w:pPr>
      <w:r w:rsidRPr="00E30DCF">
        <w:rPr>
          <w:rFonts w:cs="Times New Roman"/>
          <w:color w:val="000000"/>
          <w:sz w:val="16"/>
          <w:szCs w:val="16"/>
          <w:shd w:val="clear" w:color="auto" w:fill="FFFFFF"/>
        </w:rPr>
        <w:t>assurer la sécurité du patient et d'autrui;</w:t>
      </w:r>
    </w:p>
    <w:p w:rsidR="00E30DCF" w:rsidRPr="00E30DCF" w:rsidRDefault="00E30DCF" w:rsidP="001D29A9">
      <w:pPr>
        <w:numPr>
          <w:ilvl w:val="1"/>
          <w:numId w:val="621"/>
        </w:numPr>
        <w:shd w:val="clear" w:color="auto" w:fill="FFFFFF"/>
        <w:spacing w:before="100" w:beforeAutospacing="1" w:after="100" w:afterAutospacing="1" w:line="240" w:lineRule="auto"/>
        <w:rPr>
          <w:rFonts w:cs="Times New Roman"/>
          <w:color w:val="000000"/>
          <w:sz w:val="16"/>
          <w:szCs w:val="16"/>
          <w:shd w:val="clear" w:color="auto" w:fill="FFFFFF"/>
        </w:rPr>
      </w:pPr>
      <w:r w:rsidRPr="00E30DCF">
        <w:rPr>
          <w:rFonts w:cs="Times New Roman"/>
          <w:color w:val="000000"/>
          <w:sz w:val="16"/>
          <w:szCs w:val="16"/>
          <w:shd w:val="clear" w:color="auto" w:fill="FFFFFF"/>
        </w:rPr>
        <w:t>recourir à des formes appropriées d'interventions médicamenteuses, environnementales (p. ex. hospitalisation) et psychologiques (p. ex. psychothérapies);</w:t>
      </w:r>
    </w:p>
    <w:p w:rsidR="00E30DCF" w:rsidRPr="00E30DCF" w:rsidRDefault="00E30DCF" w:rsidP="001D29A9">
      <w:pPr>
        <w:numPr>
          <w:ilvl w:val="1"/>
          <w:numId w:val="621"/>
        </w:numPr>
        <w:shd w:val="clear" w:color="auto" w:fill="FFFFFF"/>
        <w:spacing w:before="100" w:beforeAutospacing="1" w:after="100" w:afterAutospacing="1" w:line="240" w:lineRule="auto"/>
        <w:rPr>
          <w:rFonts w:cs="Times New Roman"/>
          <w:color w:val="000000"/>
          <w:sz w:val="16"/>
          <w:szCs w:val="16"/>
          <w:shd w:val="clear" w:color="auto" w:fill="FFFFFF"/>
        </w:rPr>
      </w:pPr>
      <w:r w:rsidRPr="00E30DCF">
        <w:rPr>
          <w:rFonts w:cs="Times New Roman"/>
          <w:color w:val="000000"/>
          <w:sz w:val="16"/>
          <w:szCs w:val="16"/>
          <w:shd w:val="clear" w:color="auto" w:fill="FFFFFF"/>
        </w:rPr>
        <w:t>traiter toute maladie sous-jacente et/ou tout état comorbide, s'il y a lieu;</w:t>
      </w:r>
    </w:p>
    <w:p w:rsidR="00E30DCF" w:rsidRPr="00E30DCF" w:rsidRDefault="00E30DCF" w:rsidP="001D29A9">
      <w:pPr>
        <w:numPr>
          <w:ilvl w:val="1"/>
          <w:numId w:val="621"/>
        </w:numPr>
        <w:shd w:val="clear" w:color="auto" w:fill="FFFFFF"/>
        <w:spacing w:before="100" w:beforeAutospacing="1" w:after="100" w:afterAutospacing="1" w:line="240" w:lineRule="auto"/>
        <w:rPr>
          <w:rFonts w:cs="Times New Roman"/>
          <w:color w:val="000000"/>
          <w:sz w:val="16"/>
          <w:szCs w:val="16"/>
          <w:shd w:val="clear" w:color="auto" w:fill="FFFFFF"/>
        </w:rPr>
      </w:pPr>
      <w:r w:rsidRPr="00E30DCF">
        <w:rPr>
          <w:rFonts w:cs="Times New Roman"/>
          <w:color w:val="000000"/>
          <w:sz w:val="16"/>
          <w:szCs w:val="16"/>
          <w:shd w:val="clear" w:color="auto" w:fill="FFFFFF"/>
        </w:rPr>
        <w:t>fournir un soutien à la famille et/ou aux personnes soignantes;</w:t>
      </w:r>
    </w:p>
    <w:p w:rsidR="00E30DCF" w:rsidRPr="00B519F2" w:rsidRDefault="00E30DCF" w:rsidP="00B519F2">
      <w:pPr>
        <w:numPr>
          <w:ilvl w:val="1"/>
          <w:numId w:val="621"/>
        </w:numPr>
        <w:shd w:val="clear" w:color="auto" w:fill="FFFFFF"/>
        <w:spacing w:before="100" w:beforeAutospacing="1" w:after="100" w:afterAutospacing="1" w:line="240" w:lineRule="auto"/>
        <w:rPr>
          <w:rFonts w:cs="Times New Roman"/>
          <w:color w:val="000000"/>
          <w:sz w:val="16"/>
          <w:szCs w:val="16"/>
          <w:shd w:val="clear" w:color="auto" w:fill="FFFFFF"/>
        </w:rPr>
      </w:pPr>
      <w:r w:rsidRPr="00E30DCF">
        <w:rPr>
          <w:rFonts w:cs="Times New Roman"/>
          <w:color w:val="000000"/>
          <w:sz w:val="16"/>
          <w:szCs w:val="16"/>
          <w:shd w:val="clear" w:color="auto" w:fill="FFFFFF"/>
        </w:rPr>
        <w:t>diriger le patient vers des soins spécialisés, au besoin.</w:t>
      </w:r>
    </w:p>
    <w:p w:rsidR="002842BC" w:rsidRDefault="002842BC" w:rsidP="00B519F2">
      <w:pPr>
        <w:pStyle w:val="Sansinterligne"/>
      </w:pPr>
      <w:r>
        <w:rPr>
          <w:b/>
          <w:sz w:val="28"/>
          <w:szCs w:val="28"/>
        </w:rPr>
        <w:t>Stress physiologique versus pathologique</w:t>
      </w:r>
    </w:p>
    <w:p w:rsidR="002842BC" w:rsidRDefault="002842BC" w:rsidP="00B519F2">
      <w:pPr>
        <w:pStyle w:val="Sansinterligne"/>
      </w:pPr>
    </w:p>
    <w:p w:rsidR="002842BC" w:rsidRDefault="002842BC" w:rsidP="00AF740B">
      <w:pPr>
        <w:pStyle w:val="Sansinterligne"/>
        <w:numPr>
          <w:ilvl w:val="0"/>
          <w:numId w:val="653"/>
        </w:numPr>
      </w:pPr>
      <w:r>
        <w:t>Anxiété : réponse normale adaptative à un stresseur ou une menace ou ce qui est perçu comme tel</w:t>
      </w:r>
    </w:p>
    <w:p w:rsidR="002842BC" w:rsidRDefault="002842BC" w:rsidP="00AF740B">
      <w:pPr>
        <w:pStyle w:val="Sansinterligne"/>
        <w:numPr>
          <w:ilvl w:val="0"/>
          <w:numId w:val="653"/>
        </w:numPr>
      </w:pPr>
      <w:r>
        <w:t xml:space="preserve">Anxiété pathologique : si la peur est disproportionnée ou persistente malgré la fin du stresseur ou si elle entraîne un  </w:t>
      </w:r>
    </w:p>
    <w:p w:rsidR="002842BC" w:rsidRDefault="002842BC" w:rsidP="002842BC">
      <w:pPr>
        <w:pStyle w:val="Sansinterligne"/>
        <w:ind w:left="360"/>
      </w:pPr>
      <w:r>
        <w:t xml:space="preserve">                                      dysfonctionnement social ou professionnel</w:t>
      </w:r>
    </w:p>
    <w:p w:rsidR="002842BC" w:rsidRPr="002842BC" w:rsidRDefault="002842BC" w:rsidP="002842BC">
      <w:pPr>
        <w:pStyle w:val="Sansinterligne"/>
        <w:ind w:left="360"/>
      </w:pPr>
    </w:p>
    <w:p w:rsidR="00B519F2" w:rsidRDefault="00B519F2" w:rsidP="00B519F2">
      <w:pPr>
        <w:pStyle w:val="Sansinterligne"/>
        <w:rPr>
          <w:b/>
          <w:sz w:val="28"/>
          <w:szCs w:val="28"/>
        </w:rPr>
      </w:pPr>
      <w:r w:rsidRPr="00B519F2">
        <w:rPr>
          <w:b/>
          <w:sz w:val="28"/>
          <w:szCs w:val="28"/>
        </w:rPr>
        <w:t>D</w:t>
      </w:r>
      <w:r w:rsidR="0038446D">
        <w:rPr>
          <w:b/>
          <w:sz w:val="28"/>
          <w:szCs w:val="28"/>
        </w:rPr>
        <w:t>iagnostics</w:t>
      </w:r>
    </w:p>
    <w:p w:rsidR="0038446D" w:rsidRPr="0038446D" w:rsidRDefault="0038446D" w:rsidP="00B519F2">
      <w:pPr>
        <w:pStyle w:val="Sansinterligne"/>
        <w:rPr>
          <w:b/>
          <w:sz w:val="28"/>
          <w:szCs w:val="28"/>
        </w:rPr>
      </w:pPr>
    </w:p>
    <w:tbl>
      <w:tblPr>
        <w:tblStyle w:val="Grilledutableau"/>
        <w:tblW w:w="10940" w:type="dxa"/>
        <w:tblLook w:val="04A0" w:firstRow="1" w:lastRow="0" w:firstColumn="1" w:lastColumn="0" w:noHBand="0" w:noVBand="1"/>
      </w:tblPr>
      <w:tblGrid>
        <w:gridCol w:w="5470"/>
        <w:gridCol w:w="450"/>
        <w:gridCol w:w="5020"/>
      </w:tblGrid>
      <w:tr w:rsidR="00B519F2" w:rsidTr="002A1F06">
        <w:tc>
          <w:tcPr>
            <w:tcW w:w="10940" w:type="dxa"/>
            <w:gridSpan w:val="3"/>
            <w:shd w:val="clear" w:color="auto" w:fill="9BBB59" w:themeFill="accent3"/>
          </w:tcPr>
          <w:p w:rsidR="00B519F2" w:rsidRDefault="00B519F2" w:rsidP="00B519F2">
            <w:pPr>
              <w:pStyle w:val="Sansinterligne"/>
              <w:jc w:val="center"/>
            </w:pPr>
            <w:r>
              <w:t>Trouble d’adaptation</w:t>
            </w:r>
          </w:p>
        </w:tc>
      </w:tr>
      <w:tr w:rsidR="00B519F2" w:rsidTr="00BB04FA">
        <w:tc>
          <w:tcPr>
            <w:tcW w:w="10940" w:type="dxa"/>
            <w:gridSpan w:val="3"/>
          </w:tcPr>
          <w:p w:rsidR="00B519F2" w:rsidRDefault="00B519F2" w:rsidP="00B519F2">
            <w:pPr>
              <w:pStyle w:val="Sansinterligne"/>
            </w:pPr>
            <w:r>
              <w:t xml:space="preserve">* Voir </w:t>
            </w:r>
            <w:r w:rsidRPr="00B519F2">
              <w:rPr>
                <w:i/>
              </w:rPr>
              <w:t>Humeur dépressive CMC 59-1</w:t>
            </w:r>
          </w:p>
        </w:tc>
      </w:tr>
      <w:tr w:rsidR="00B519F2" w:rsidTr="002A1F06">
        <w:tc>
          <w:tcPr>
            <w:tcW w:w="10940" w:type="dxa"/>
            <w:gridSpan w:val="3"/>
            <w:shd w:val="clear" w:color="auto" w:fill="9BBB59" w:themeFill="accent3"/>
          </w:tcPr>
          <w:p w:rsidR="00B519F2" w:rsidRPr="00D03358" w:rsidRDefault="00B519F2" w:rsidP="00B519F2">
            <w:pPr>
              <w:pStyle w:val="Sansinterligne"/>
              <w:jc w:val="center"/>
              <w:rPr>
                <w:b/>
              </w:rPr>
            </w:pPr>
            <w:r w:rsidRPr="00D03358">
              <w:rPr>
                <w:b/>
              </w:rPr>
              <w:t>Trouble panique</w:t>
            </w:r>
          </w:p>
        </w:tc>
      </w:tr>
      <w:tr w:rsidR="00B519F2" w:rsidTr="00BB04FA">
        <w:tc>
          <w:tcPr>
            <w:tcW w:w="10940" w:type="dxa"/>
            <w:gridSpan w:val="3"/>
          </w:tcPr>
          <w:p w:rsidR="00B519F2" w:rsidRPr="00B519F2" w:rsidRDefault="00B519F2" w:rsidP="00B519F2">
            <w:pPr>
              <w:pStyle w:val="Sansinterligne"/>
              <w:jc w:val="center"/>
              <w:rPr>
                <w:i/>
              </w:rPr>
            </w:pPr>
            <w:r w:rsidRPr="00B519F2">
              <w:rPr>
                <w:i/>
              </w:rPr>
              <w:t>Critères du DSM-V</w:t>
            </w:r>
          </w:p>
        </w:tc>
      </w:tr>
      <w:tr w:rsidR="00B05FC1" w:rsidTr="00BB04FA">
        <w:tc>
          <w:tcPr>
            <w:tcW w:w="10940" w:type="dxa"/>
            <w:gridSpan w:val="3"/>
            <w:tcBorders>
              <w:bottom w:val="single" w:sz="4" w:space="0" w:color="FFFFFF" w:themeColor="background1"/>
            </w:tcBorders>
          </w:tcPr>
          <w:p w:rsidR="00317071" w:rsidRDefault="00B05FC1" w:rsidP="00AF740B">
            <w:pPr>
              <w:pStyle w:val="Sansinterligne"/>
              <w:numPr>
                <w:ilvl w:val="0"/>
                <w:numId w:val="632"/>
              </w:numPr>
            </w:pPr>
            <w:r w:rsidRPr="00BB04FA">
              <w:rPr>
                <w:highlight w:val="yellow"/>
              </w:rPr>
              <w:t>Attaques de paniques récurrentes</w:t>
            </w:r>
            <w:r w:rsidR="00317071" w:rsidRPr="00BB04FA">
              <w:rPr>
                <w:highlight w:val="yellow"/>
              </w:rPr>
              <w:t xml:space="preserve"> et inattendues</w:t>
            </w:r>
            <w:r w:rsidRPr="00BB04FA">
              <w:rPr>
                <w:highlight w:val="yellow"/>
              </w:rPr>
              <w:t xml:space="preserve">. Celles-ci sont définies comme </w:t>
            </w:r>
            <w:r w:rsidR="00317071" w:rsidRPr="00BB04FA">
              <w:rPr>
                <w:highlight w:val="yellow"/>
              </w:rPr>
              <w:t xml:space="preserve">l’apparition d’une peur ou d’un malaise intense qui devient maximal en quelques minutes et qui comprend </w:t>
            </w:r>
            <w:r w:rsidR="00317071" w:rsidRPr="00BB04FA">
              <w:rPr>
                <w:rFonts w:ascii="Century Gothic" w:hAnsi="Century Gothic"/>
                <w:highlight w:val="yellow"/>
              </w:rPr>
              <w:t>≥</w:t>
            </w:r>
            <w:r w:rsidR="00317071" w:rsidRPr="00BB04FA">
              <w:rPr>
                <w:highlight w:val="yellow"/>
              </w:rPr>
              <w:t xml:space="preserve"> 4 des suivants :</w:t>
            </w:r>
          </w:p>
        </w:tc>
      </w:tr>
      <w:tr w:rsidR="00BB04FA" w:rsidTr="00BB04FA">
        <w:tc>
          <w:tcPr>
            <w:tcW w:w="5470" w:type="dxa"/>
            <w:tcBorders>
              <w:top w:val="single" w:sz="4" w:space="0" w:color="FFFFFF" w:themeColor="background1"/>
              <w:bottom w:val="single" w:sz="4" w:space="0" w:color="FFFFFF" w:themeColor="background1"/>
              <w:right w:val="single" w:sz="4" w:space="0" w:color="FFFFFF" w:themeColor="background1"/>
            </w:tcBorders>
          </w:tcPr>
          <w:p w:rsidR="00BB04FA" w:rsidRPr="00BB04FA" w:rsidRDefault="00BB04FA" w:rsidP="00AF740B">
            <w:pPr>
              <w:pStyle w:val="Sansinterligne"/>
              <w:numPr>
                <w:ilvl w:val="0"/>
                <w:numId w:val="633"/>
              </w:numPr>
              <w:rPr>
                <w:highlight w:val="yellow"/>
              </w:rPr>
            </w:pPr>
            <w:r w:rsidRPr="00BB04FA">
              <w:rPr>
                <w:highlight w:val="yellow"/>
              </w:rPr>
              <w:t>Palpitations ou accélération du rythme cardiaque</w:t>
            </w:r>
          </w:p>
          <w:p w:rsidR="00BB04FA" w:rsidRDefault="00BB04FA" w:rsidP="00AF740B">
            <w:pPr>
              <w:pStyle w:val="Sansinterligne"/>
              <w:numPr>
                <w:ilvl w:val="0"/>
                <w:numId w:val="633"/>
              </w:numPr>
            </w:pPr>
            <w:r>
              <w:t>Transpiration</w:t>
            </w:r>
          </w:p>
          <w:p w:rsidR="00BB04FA" w:rsidRDefault="00BB04FA" w:rsidP="00AF740B">
            <w:pPr>
              <w:pStyle w:val="Sansinterligne"/>
              <w:numPr>
                <w:ilvl w:val="0"/>
                <w:numId w:val="633"/>
              </w:numPr>
            </w:pPr>
            <w:r>
              <w:t>Tremblements ou secousses musculaires</w:t>
            </w:r>
          </w:p>
          <w:p w:rsidR="00BB04FA" w:rsidRDefault="00BB04FA" w:rsidP="00AF740B">
            <w:pPr>
              <w:pStyle w:val="Sansinterligne"/>
              <w:numPr>
                <w:ilvl w:val="0"/>
                <w:numId w:val="633"/>
              </w:numPr>
            </w:pPr>
            <w:r>
              <w:t>Sensation d’avoir le souffle court ou d’étouffer</w:t>
            </w:r>
          </w:p>
          <w:p w:rsidR="00BB04FA" w:rsidRDefault="00BB04FA" w:rsidP="00AF740B">
            <w:pPr>
              <w:pStyle w:val="Sansinterligne"/>
              <w:numPr>
                <w:ilvl w:val="0"/>
                <w:numId w:val="633"/>
              </w:numPr>
            </w:pPr>
            <w:r>
              <w:t>Sensation d’étranglement</w:t>
            </w:r>
          </w:p>
          <w:p w:rsidR="00BB04FA" w:rsidRPr="00BB04FA" w:rsidRDefault="00BB04FA" w:rsidP="00AF740B">
            <w:pPr>
              <w:pStyle w:val="Sansinterligne"/>
              <w:numPr>
                <w:ilvl w:val="0"/>
                <w:numId w:val="633"/>
              </w:numPr>
              <w:rPr>
                <w:highlight w:val="yellow"/>
              </w:rPr>
            </w:pPr>
            <w:r w:rsidRPr="00BB04FA">
              <w:rPr>
                <w:highlight w:val="yellow"/>
              </w:rPr>
              <w:t>Douleur ou inconfort thoracique</w:t>
            </w:r>
          </w:p>
          <w:p w:rsidR="00BB04FA" w:rsidRDefault="00BB04FA" w:rsidP="00AF740B">
            <w:pPr>
              <w:pStyle w:val="Sansinterligne"/>
              <w:numPr>
                <w:ilvl w:val="0"/>
                <w:numId w:val="633"/>
              </w:numPr>
            </w:pPr>
            <w:r>
              <w:t>Nausée ou gêne abdominale</w:t>
            </w:r>
          </w:p>
        </w:tc>
        <w:tc>
          <w:tcPr>
            <w:tcW w:w="5470" w:type="dxa"/>
            <w:gridSpan w:val="2"/>
            <w:tcBorders>
              <w:top w:val="single" w:sz="4" w:space="0" w:color="FFFFFF" w:themeColor="background1"/>
              <w:left w:val="single" w:sz="4" w:space="0" w:color="FFFFFF" w:themeColor="background1"/>
              <w:bottom w:val="single" w:sz="4" w:space="0" w:color="FFFFFF" w:themeColor="background1"/>
            </w:tcBorders>
          </w:tcPr>
          <w:p w:rsidR="00BB04FA" w:rsidRPr="00BB04FA" w:rsidRDefault="00BB04FA" w:rsidP="00AF740B">
            <w:pPr>
              <w:pStyle w:val="Sansinterligne"/>
              <w:numPr>
                <w:ilvl w:val="0"/>
                <w:numId w:val="633"/>
              </w:numPr>
              <w:rPr>
                <w:highlight w:val="yellow"/>
              </w:rPr>
            </w:pPr>
            <w:r w:rsidRPr="00BB04FA">
              <w:rPr>
                <w:highlight w:val="yellow"/>
              </w:rPr>
              <w:t>Vertige, instabilité, sensation de tête vide ou d’évanouissement</w:t>
            </w:r>
          </w:p>
          <w:p w:rsidR="00BB04FA" w:rsidRDefault="00BB04FA" w:rsidP="00AF740B">
            <w:pPr>
              <w:pStyle w:val="Sansinterligne"/>
              <w:numPr>
                <w:ilvl w:val="0"/>
                <w:numId w:val="633"/>
              </w:numPr>
            </w:pPr>
            <w:r>
              <w:t>Frissons ou bouffées de chaleur</w:t>
            </w:r>
          </w:p>
          <w:p w:rsidR="00BB04FA" w:rsidRDefault="00BB04FA" w:rsidP="00AF740B">
            <w:pPr>
              <w:pStyle w:val="Sansinterligne"/>
              <w:numPr>
                <w:ilvl w:val="0"/>
                <w:numId w:val="633"/>
              </w:numPr>
            </w:pPr>
            <w:r>
              <w:t>Paresthésies</w:t>
            </w:r>
          </w:p>
          <w:p w:rsidR="00BB04FA" w:rsidRPr="00BB04FA" w:rsidRDefault="00BB04FA" w:rsidP="00AF740B">
            <w:pPr>
              <w:pStyle w:val="Sansinterligne"/>
              <w:numPr>
                <w:ilvl w:val="0"/>
                <w:numId w:val="633"/>
              </w:numPr>
              <w:rPr>
                <w:highlight w:val="yellow"/>
              </w:rPr>
            </w:pPr>
            <w:r w:rsidRPr="00BB04FA">
              <w:rPr>
                <w:highlight w:val="yellow"/>
              </w:rPr>
              <w:t>Déréalisation ou dépersonnalisation</w:t>
            </w:r>
          </w:p>
          <w:p w:rsidR="00BB04FA" w:rsidRPr="00BB04FA" w:rsidRDefault="00BB04FA" w:rsidP="00AF740B">
            <w:pPr>
              <w:pStyle w:val="Sansinterligne"/>
              <w:numPr>
                <w:ilvl w:val="0"/>
                <w:numId w:val="633"/>
              </w:numPr>
              <w:rPr>
                <w:highlight w:val="yellow"/>
              </w:rPr>
            </w:pPr>
            <w:r w:rsidRPr="00BB04FA">
              <w:rPr>
                <w:highlight w:val="yellow"/>
              </w:rPr>
              <w:t>Peur de devenir fou ou de perdre le contrôle de soi</w:t>
            </w:r>
          </w:p>
          <w:p w:rsidR="00BB04FA" w:rsidRDefault="00BB04FA" w:rsidP="00AF740B">
            <w:pPr>
              <w:pStyle w:val="Sansinterligne"/>
              <w:numPr>
                <w:ilvl w:val="0"/>
                <w:numId w:val="633"/>
              </w:numPr>
            </w:pPr>
            <w:r w:rsidRPr="00BB04FA">
              <w:rPr>
                <w:highlight w:val="yellow"/>
              </w:rPr>
              <w:t>Peur de mourir</w:t>
            </w:r>
          </w:p>
        </w:tc>
      </w:tr>
      <w:tr w:rsidR="003C168A" w:rsidTr="00BB04FA">
        <w:tc>
          <w:tcPr>
            <w:tcW w:w="10940" w:type="dxa"/>
            <w:gridSpan w:val="3"/>
            <w:tcBorders>
              <w:top w:val="single" w:sz="4" w:space="0" w:color="FFFFFF" w:themeColor="background1"/>
            </w:tcBorders>
          </w:tcPr>
          <w:p w:rsidR="003C168A" w:rsidRPr="00BB04FA" w:rsidRDefault="003C168A" w:rsidP="00AF740B">
            <w:pPr>
              <w:pStyle w:val="Sansinterligne"/>
              <w:numPr>
                <w:ilvl w:val="0"/>
                <w:numId w:val="632"/>
              </w:numPr>
              <w:rPr>
                <w:highlight w:val="yellow"/>
              </w:rPr>
            </w:pPr>
            <w:r w:rsidRPr="00BB04FA">
              <w:rPr>
                <w:highlight w:val="yellow"/>
              </w:rPr>
              <w:t xml:space="preserve">Au moins une attaque a été suivi par une période de </w:t>
            </w:r>
            <w:r w:rsidRPr="00BB04FA">
              <w:rPr>
                <w:rFonts w:ascii="Century Gothic" w:hAnsi="Century Gothic"/>
                <w:highlight w:val="yellow"/>
              </w:rPr>
              <w:t>≥</w:t>
            </w:r>
            <w:r w:rsidRPr="00BB04FA">
              <w:rPr>
                <w:highlight w:val="yellow"/>
              </w:rPr>
              <w:t xml:space="preserve"> 1 mois comprenant soit :</w:t>
            </w:r>
          </w:p>
          <w:p w:rsidR="003C168A" w:rsidRPr="00BB04FA" w:rsidRDefault="003C168A" w:rsidP="00AF740B">
            <w:pPr>
              <w:pStyle w:val="Sansinterligne"/>
              <w:numPr>
                <w:ilvl w:val="1"/>
                <w:numId w:val="632"/>
              </w:numPr>
              <w:rPr>
                <w:highlight w:val="yellow"/>
              </w:rPr>
            </w:pPr>
            <w:r w:rsidRPr="00BB04FA">
              <w:rPr>
                <w:highlight w:val="yellow"/>
              </w:rPr>
              <w:t>Crainte persistante d’une autre attaque ou ses conséquences</w:t>
            </w:r>
          </w:p>
          <w:p w:rsidR="00BB04FA" w:rsidRPr="00BB04FA" w:rsidRDefault="003C168A" w:rsidP="00AF740B">
            <w:pPr>
              <w:pStyle w:val="Sansinterligne"/>
              <w:numPr>
                <w:ilvl w:val="1"/>
                <w:numId w:val="632"/>
              </w:numPr>
              <w:rPr>
                <w:highlight w:val="yellow"/>
              </w:rPr>
            </w:pPr>
            <w:r w:rsidRPr="00BB04FA">
              <w:rPr>
                <w:highlight w:val="yellow"/>
              </w:rPr>
              <w:t xml:space="preserve">Changement de comportement significatif et inadapté en lien avec les attaques </w:t>
            </w:r>
          </w:p>
          <w:p w:rsidR="00BB04FA" w:rsidRDefault="003C168A" w:rsidP="00BB04FA">
            <w:pPr>
              <w:pStyle w:val="Sansinterligne"/>
              <w:ind w:left="1080"/>
            </w:pPr>
            <w:r w:rsidRPr="00BB04FA">
              <w:rPr>
                <w:highlight w:val="yellow"/>
              </w:rPr>
              <w:t>(ex : évitement de lieu ou d’éléments perçus comme déclencheurs)</w:t>
            </w:r>
          </w:p>
          <w:p w:rsidR="003C168A" w:rsidRDefault="00BB04FA" w:rsidP="00AF740B">
            <w:pPr>
              <w:pStyle w:val="Sansinterligne"/>
              <w:numPr>
                <w:ilvl w:val="0"/>
                <w:numId w:val="632"/>
              </w:numPr>
            </w:pPr>
            <w:r>
              <w:t xml:space="preserve">+ </w:t>
            </w:r>
            <w:r w:rsidR="00773073">
              <w:t>D</w:t>
            </w:r>
            <w:r>
              <w:t xml:space="preserve"> + </w:t>
            </w:r>
            <w:r w:rsidR="00773073">
              <w:t>E</w:t>
            </w:r>
            <w:r>
              <w:t xml:space="preserve"> </w:t>
            </w:r>
            <w:r w:rsidR="003C168A">
              <w:t>La perturbation n’est pas mieux expliqué par une substance, une autre affection médicale ou un autre trouble mental.</w:t>
            </w:r>
          </w:p>
        </w:tc>
      </w:tr>
      <w:tr w:rsidR="00B519F2" w:rsidTr="002A1F06">
        <w:tc>
          <w:tcPr>
            <w:tcW w:w="10940" w:type="dxa"/>
            <w:gridSpan w:val="3"/>
            <w:shd w:val="clear" w:color="auto" w:fill="9BBB59" w:themeFill="accent3"/>
          </w:tcPr>
          <w:p w:rsidR="00B519F2" w:rsidRPr="00D03358" w:rsidRDefault="00B519F2" w:rsidP="00B519F2">
            <w:pPr>
              <w:pStyle w:val="Sansinterligne"/>
              <w:jc w:val="center"/>
              <w:rPr>
                <w:b/>
              </w:rPr>
            </w:pPr>
            <w:r w:rsidRPr="00D03358">
              <w:rPr>
                <w:b/>
              </w:rPr>
              <w:t>Trouble anxieux généralisé (TAG)</w:t>
            </w:r>
          </w:p>
        </w:tc>
      </w:tr>
      <w:tr w:rsidR="00B519F2" w:rsidTr="00BB04FA">
        <w:tc>
          <w:tcPr>
            <w:tcW w:w="10940" w:type="dxa"/>
            <w:gridSpan w:val="3"/>
          </w:tcPr>
          <w:p w:rsidR="00B519F2" w:rsidRDefault="00B519F2" w:rsidP="00B519F2">
            <w:pPr>
              <w:pStyle w:val="Sansinterligne"/>
              <w:jc w:val="center"/>
            </w:pPr>
            <w:r w:rsidRPr="00B519F2">
              <w:rPr>
                <w:i/>
              </w:rPr>
              <w:t>Critères du DSM-V</w:t>
            </w:r>
          </w:p>
        </w:tc>
      </w:tr>
      <w:tr w:rsidR="00AB6146" w:rsidTr="0038446D">
        <w:tc>
          <w:tcPr>
            <w:tcW w:w="10940" w:type="dxa"/>
            <w:gridSpan w:val="3"/>
            <w:tcBorders>
              <w:bottom w:val="single" w:sz="4" w:space="0" w:color="FFFFFF" w:themeColor="background1"/>
            </w:tcBorders>
          </w:tcPr>
          <w:p w:rsidR="00AB6146" w:rsidRPr="0038446D" w:rsidRDefault="006F37C9" w:rsidP="00AF740B">
            <w:pPr>
              <w:pStyle w:val="Sansinterligne"/>
              <w:numPr>
                <w:ilvl w:val="0"/>
                <w:numId w:val="634"/>
              </w:numPr>
              <w:rPr>
                <w:highlight w:val="yellow"/>
              </w:rPr>
            </w:pPr>
            <w:r w:rsidRPr="0038446D">
              <w:rPr>
                <w:highlight w:val="yellow"/>
              </w:rPr>
              <w:t xml:space="preserve">Anxiété et soucis excessifs concernant un certain nombre d’activités / évènements, survenant la plupart du temps, durant au moins durant 6 mois </w:t>
            </w:r>
          </w:p>
          <w:p w:rsidR="006F37C9" w:rsidRPr="0038446D" w:rsidRDefault="006F37C9" w:rsidP="00AF740B">
            <w:pPr>
              <w:pStyle w:val="Sansinterligne"/>
              <w:numPr>
                <w:ilvl w:val="0"/>
                <w:numId w:val="634"/>
              </w:numPr>
              <w:rPr>
                <w:highlight w:val="yellow"/>
              </w:rPr>
            </w:pPr>
            <w:r w:rsidRPr="0038446D">
              <w:rPr>
                <w:highlight w:val="yellow"/>
              </w:rPr>
              <w:t>La personne éprouve de la difficulté à contrôler ces préoccupations</w:t>
            </w:r>
          </w:p>
          <w:p w:rsidR="006F37C9" w:rsidRDefault="006F37C9" w:rsidP="00AF740B">
            <w:pPr>
              <w:pStyle w:val="Sansinterligne"/>
              <w:numPr>
                <w:ilvl w:val="0"/>
                <w:numId w:val="634"/>
              </w:numPr>
            </w:pPr>
            <w:r w:rsidRPr="0038446D">
              <w:rPr>
                <w:highlight w:val="yellow"/>
              </w:rPr>
              <w:t xml:space="preserve">L’anxiété et les soucis sont associés à </w:t>
            </w:r>
            <w:r w:rsidRPr="0038446D">
              <w:rPr>
                <w:rFonts w:ascii="Century Gothic" w:hAnsi="Century Gothic"/>
                <w:highlight w:val="yellow"/>
              </w:rPr>
              <w:t>≥</w:t>
            </w:r>
            <w:r w:rsidRPr="0038446D">
              <w:rPr>
                <w:highlight w:val="yellow"/>
              </w:rPr>
              <w:t xml:space="preserve"> 3 des symptômes suivants (1 seul chez l’enfant)</w:t>
            </w:r>
          </w:p>
        </w:tc>
      </w:tr>
      <w:tr w:rsidR="006F37C9" w:rsidTr="0038446D">
        <w:tc>
          <w:tcPr>
            <w:tcW w:w="5920" w:type="dxa"/>
            <w:gridSpan w:val="2"/>
            <w:tcBorders>
              <w:top w:val="single" w:sz="4" w:space="0" w:color="FFFFFF" w:themeColor="background1"/>
              <w:bottom w:val="single" w:sz="4" w:space="0" w:color="FFFFFF" w:themeColor="background1"/>
              <w:right w:val="single" w:sz="4" w:space="0" w:color="FFFFFF" w:themeColor="background1"/>
            </w:tcBorders>
          </w:tcPr>
          <w:p w:rsidR="006F37C9" w:rsidRPr="0038446D" w:rsidRDefault="006F37C9" w:rsidP="00AF740B">
            <w:pPr>
              <w:pStyle w:val="Sansinterligne"/>
              <w:numPr>
                <w:ilvl w:val="0"/>
                <w:numId w:val="635"/>
              </w:numPr>
              <w:rPr>
                <w:highlight w:val="yellow"/>
              </w:rPr>
            </w:pPr>
            <w:r w:rsidRPr="0038446D">
              <w:rPr>
                <w:highlight w:val="yellow"/>
              </w:rPr>
              <w:t>Agitation, sensation d’être à bout, ou d’être survolté</w:t>
            </w:r>
          </w:p>
          <w:p w:rsidR="006F37C9" w:rsidRPr="0038446D" w:rsidRDefault="006F37C9" w:rsidP="00AF740B">
            <w:pPr>
              <w:pStyle w:val="Sansinterligne"/>
              <w:numPr>
                <w:ilvl w:val="0"/>
                <w:numId w:val="635"/>
              </w:numPr>
              <w:rPr>
                <w:highlight w:val="yellow"/>
              </w:rPr>
            </w:pPr>
            <w:r w:rsidRPr="0038446D">
              <w:rPr>
                <w:highlight w:val="yellow"/>
              </w:rPr>
              <w:t>Fatigabilité</w:t>
            </w:r>
          </w:p>
          <w:p w:rsidR="006F37C9" w:rsidRDefault="006F37C9" w:rsidP="00AF740B">
            <w:pPr>
              <w:pStyle w:val="Sansinterligne"/>
              <w:numPr>
                <w:ilvl w:val="0"/>
                <w:numId w:val="635"/>
              </w:numPr>
            </w:pPr>
            <w:r w:rsidRPr="0038446D">
              <w:rPr>
                <w:highlight w:val="yellow"/>
              </w:rPr>
              <w:t>Difficulté de concentration / trous de mémoire</w:t>
            </w:r>
          </w:p>
        </w:tc>
        <w:tc>
          <w:tcPr>
            <w:tcW w:w="5020" w:type="dxa"/>
            <w:tcBorders>
              <w:top w:val="single" w:sz="4" w:space="0" w:color="FFFFFF" w:themeColor="background1"/>
              <w:left w:val="single" w:sz="4" w:space="0" w:color="FFFFFF" w:themeColor="background1"/>
              <w:bottom w:val="single" w:sz="4" w:space="0" w:color="FFFFFF" w:themeColor="background1"/>
            </w:tcBorders>
          </w:tcPr>
          <w:p w:rsidR="006F37C9" w:rsidRDefault="006F37C9" w:rsidP="00AF740B">
            <w:pPr>
              <w:pStyle w:val="Sansinterligne"/>
              <w:numPr>
                <w:ilvl w:val="0"/>
                <w:numId w:val="635"/>
              </w:numPr>
            </w:pPr>
            <w:r>
              <w:t>Irritabilité</w:t>
            </w:r>
          </w:p>
          <w:p w:rsidR="006F37C9" w:rsidRDefault="006F37C9" w:rsidP="00AF740B">
            <w:pPr>
              <w:pStyle w:val="Sansinterligne"/>
              <w:numPr>
                <w:ilvl w:val="0"/>
                <w:numId w:val="635"/>
              </w:numPr>
            </w:pPr>
            <w:r>
              <w:t>Tension musculaire</w:t>
            </w:r>
          </w:p>
          <w:p w:rsidR="006F37C9" w:rsidRDefault="006F37C9" w:rsidP="00AF740B">
            <w:pPr>
              <w:pStyle w:val="Sansinterligne"/>
              <w:numPr>
                <w:ilvl w:val="0"/>
                <w:numId w:val="635"/>
              </w:numPr>
            </w:pPr>
            <w:r w:rsidRPr="0038446D">
              <w:rPr>
                <w:highlight w:val="yellow"/>
              </w:rPr>
              <w:t>Perturbation du sommeil</w:t>
            </w:r>
          </w:p>
        </w:tc>
      </w:tr>
      <w:tr w:rsidR="006F37C9" w:rsidTr="0038446D">
        <w:tc>
          <w:tcPr>
            <w:tcW w:w="10940" w:type="dxa"/>
            <w:gridSpan w:val="3"/>
            <w:tcBorders>
              <w:top w:val="single" w:sz="4" w:space="0" w:color="FFFFFF" w:themeColor="background1"/>
            </w:tcBorders>
          </w:tcPr>
          <w:p w:rsidR="006F37C9" w:rsidRDefault="006F37C9" w:rsidP="00AF740B">
            <w:pPr>
              <w:pStyle w:val="Sansinterligne"/>
              <w:numPr>
                <w:ilvl w:val="0"/>
                <w:numId w:val="634"/>
              </w:numPr>
            </w:pPr>
            <w:r w:rsidRPr="0038446D">
              <w:rPr>
                <w:highlight w:val="yellow"/>
              </w:rPr>
              <w:t>L’anxiété, les soucis et les symptômes entraînent un</w:t>
            </w:r>
            <w:r w:rsidR="0038446D">
              <w:rPr>
                <w:highlight w:val="yellow"/>
              </w:rPr>
              <w:t>e</w:t>
            </w:r>
            <w:r w:rsidRPr="0038446D">
              <w:rPr>
                <w:highlight w:val="yellow"/>
              </w:rPr>
              <w:t xml:space="preserve"> détresse ou un dysfonctionnement significatif</w:t>
            </w:r>
            <w:r>
              <w:t>.</w:t>
            </w:r>
          </w:p>
          <w:p w:rsidR="006F37C9" w:rsidRDefault="006F37C9" w:rsidP="00AF740B">
            <w:pPr>
              <w:pStyle w:val="Sansinterligne"/>
              <w:numPr>
                <w:ilvl w:val="0"/>
                <w:numId w:val="634"/>
              </w:numPr>
            </w:pPr>
            <w:r>
              <w:t>+ F  La perturbation n’est pas mieux expliqué par une substance, une autre affection médicale ou un autre trouble mental.</w:t>
            </w:r>
          </w:p>
        </w:tc>
      </w:tr>
      <w:tr w:rsidR="00B519F2" w:rsidTr="002A1F06">
        <w:tc>
          <w:tcPr>
            <w:tcW w:w="10940" w:type="dxa"/>
            <w:gridSpan w:val="3"/>
            <w:shd w:val="clear" w:color="auto" w:fill="9BBB59" w:themeFill="accent3"/>
          </w:tcPr>
          <w:p w:rsidR="00B519F2" w:rsidRDefault="00B519F2" w:rsidP="00B519F2">
            <w:pPr>
              <w:pStyle w:val="Sansinterligne"/>
              <w:jc w:val="center"/>
            </w:pPr>
            <w:r>
              <w:t>Syndrome de stress aigu</w:t>
            </w:r>
          </w:p>
        </w:tc>
      </w:tr>
      <w:tr w:rsidR="00B519F2" w:rsidTr="00BB04FA">
        <w:tc>
          <w:tcPr>
            <w:tcW w:w="10940" w:type="dxa"/>
            <w:gridSpan w:val="3"/>
          </w:tcPr>
          <w:p w:rsidR="00B519F2" w:rsidRDefault="00B519F2" w:rsidP="00B519F2">
            <w:pPr>
              <w:pStyle w:val="Sansinterligne"/>
              <w:jc w:val="center"/>
            </w:pPr>
            <w:r w:rsidRPr="00B519F2">
              <w:rPr>
                <w:i/>
              </w:rPr>
              <w:t>Critères du DSM-V</w:t>
            </w:r>
          </w:p>
        </w:tc>
      </w:tr>
      <w:tr w:rsidR="00AB6146" w:rsidTr="00BB04FA">
        <w:tc>
          <w:tcPr>
            <w:tcW w:w="10940" w:type="dxa"/>
            <w:gridSpan w:val="3"/>
          </w:tcPr>
          <w:p w:rsidR="00AB6146" w:rsidRDefault="006D70A8" w:rsidP="00AF740B">
            <w:pPr>
              <w:pStyle w:val="Sansinterligne"/>
              <w:numPr>
                <w:ilvl w:val="0"/>
                <w:numId w:val="638"/>
              </w:numPr>
            </w:pPr>
            <w:r>
              <w:t>Critères pratiquement identique (à quelques symptômes de moins) au syndrome de stress post-traumatique.</w:t>
            </w:r>
          </w:p>
          <w:p w:rsidR="006D70A8" w:rsidRDefault="006D70A8" w:rsidP="00AF740B">
            <w:pPr>
              <w:pStyle w:val="Sansinterligne"/>
              <w:numPr>
                <w:ilvl w:val="0"/>
                <w:numId w:val="638"/>
              </w:numPr>
            </w:pPr>
            <w:r w:rsidRPr="006D70A8">
              <w:rPr>
                <w:highlight w:val="yellow"/>
              </w:rPr>
              <w:t>Durée de 3 jours à 1 mois après la survenu d’un évènement traumatique.</w:t>
            </w:r>
          </w:p>
        </w:tc>
      </w:tr>
      <w:tr w:rsidR="00B519F2" w:rsidTr="002A1F06">
        <w:tc>
          <w:tcPr>
            <w:tcW w:w="10940" w:type="dxa"/>
            <w:gridSpan w:val="3"/>
            <w:shd w:val="clear" w:color="auto" w:fill="9BBB59" w:themeFill="accent3"/>
          </w:tcPr>
          <w:p w:rsidR="00B519F2" w:rsidRPr="00D03358" w:rsidRDefault="00B519F2" w:rsidP="00B519F2">
            <w:pPr>
              <w:pStyle w:val="Sansinterligne"/>
              <w:jc w:val="center"/>
              <w:rPr>
                <w:b/>
              </w:rPr>
            </w:pPr>
            <w:r w:rsidRPr="00D03358">
              <w:rPr>
                <w:b/>
              </w:rPr>
              <w:t>Syndrome de stress post-traumatique (SSPT</w:t>
            </w:r>
            <w:r w:rsidR="00D03358" w:rsidRPr="00D03358">
              <w:rPr>
                <w:b/>
              </w:rPr>
              <w:t>)</w:t>
            </w:r>
          </w:p>
        </w:tc>
      </w:tr>
      <w:tr w:rsidR="00B519F2" w:rsidTr="00BB04FA">
        <w:tc>
          <w:tcPr>
            <w:tcW w:w="10940" w:type="dxa"/>
            <w:gridSpan w:val="3"/>
          </w:tcPr>
          <w:p w:rsidR="00B519F2" w:rsidRDefault="00B519F2" w:rsidP="00B519F2">
            <w:pPr>
              <w:pStyle w:val="Sansinterligne"/>
              <w:jc w:val="center"/>
            </w:pPr>
            <w:r w:rsidRPr="00B519F2">
              <w:rPr>
                <w:i/>
              </w:rPr>
              <w:t>Critères du DSM-V</w:t>
            </w:r>
          </w:p>
        </w:tc>
      </w:tr>
      <w:tr w:rsidR="00AB6146" w:rsidTr="00BB04FA">
        <w:tc>
          <w:tcPr>
            <w:tcW w:w="10940" w:type="dxa"/>
            <w:gridSpan w:val="3"/>
          </w:tcPr>
          <w:p w:rsidR="00AB6146" w:rsidRDefault="0010672B" w:rsidP="00AF740B">
            <w:pPr>
              <w:pStyle w:val="Sansinterligne"/>
              <w:numPr>
                <w:ilvl w:val="0"/>
                <w:numId w:val="637"/>
              </w:numPr>
            </w:pPr>
            <w:r w:rsidRPr="00716125">
              <w:rPr>
                <w:highlight w:val="yellow"/>
              </w:rPr>
              <w:t>Exposition à la mort effective, à une menace de mort, à une blessure grave ou des violences sexuelles</w:t>
            </w:r>
            <w:r>
              <w:t xml:space="preserve"> d’une des façons :</w:t>
            </w:r>
          </w:p>
          <w:p w:rsidR="0010672B" w:rsidRDefault="0010672B" w:rsidP="00AF740B">
            <w:pPr>
              <w:pStyle w:val="Sansinterligne"/>
              <w:numPr>
                <w:ilvl w:val="1"/>
                <w:numId w:val="637"/>
              </w:numPr>
            </w:pPr>
            <w:r>
              <w:t>Exposition directe à un ou des évènements traumatiques</w:t>
            </w:r>
          </w:p>
          <w:p w:rsidR="0010672B" w:rsidRDefault="0010672B" w:rsidP="00AF740B">
            <w:pPr>
              <w:pStyle w:val="Sansinterligne"/>
              <w:numPr>
                <w:ilvl w:val="1"/>
                <w:numId w:val="637"/>
              </w:numPr>
            </w:pPr>
            <w:r>
              <w:t>Témoin directe d’un évènement traumatique survenue à d’autres personnes</w:t>
            </w:r>
          </w:p>
          <w:p w:rsidR="0010672B" w:rsidRDefault="0010672B" w:rsidP="00AF740B">
            <w:pPr>
              <w:pStyle w:val="Sansinterligne"/>
              <w:numPr>
                <w:ilvl w:val="1"/>
                <w:numId w:val="637"/>
              </w:numPr>
            </w:pPr>
            <w:r>
              <w:t>Avoir appris qu’un évènement traumatique est survenu à un ami proche ou un membre de la famille proche. S’il s’agit de mort ou de menace de mort, cela doit être survenu de manière accidentelle ou violente.</w:t>
            </w:r>
          </w:p>
          <w:p w:rsidR="0010672B" w:rsidRDefault="0010672B" w:rsidP="00AF740B">
            <w:pPr>
              <w:pStyle w:val="Sansinterligne"/>
              <w:numPr>
                <w:ilvl w:val="1"/>
                <w:numId w:val="637"/>
              </w:numPr>
            </w:pPr>
            <w:r>
              <w:t xml:space="preserve">Exposition répétée ou extrême aux caractéristiques aversives d’un ou des évènements traumatiques </w:t>
            </w:r>
          </w:p>
          <w:p w:rsidR="006417C5" w:rsidRPr="00716125" w:rsidRDefault="006417C5" w:rsidP="00AF740B">
            <w:pPr>
              <w:pStyle w:val="Sansinterligne"/>
              <w:numPr>
                <w:ilvl w:val="0"/>
                <w:numId w:val="637"/>
              </w:numPr>
              <w:rPr>
                <w:highlight w:val="yellow"/>
              </w:rPr>
            </w:pPr>
            <w:r>
              <w:t xml:space="preserve">Présence d’un ou des </w:t>
            </w:r>
            <w:r w:rsidRPr="00716125">
              <w:rPr>
                <w:highlight w:val="yellow"/>
              </w:rPr>
              <w:t>symptômes envahissants suivants en lien avec un évènement traumatique et survenus après celui-ci</w:t>
            </w:r>
          </w:p>
          <w:p w:rsidR="006417C5" w:rsidRDefault="006417C5" w:rsidP="00AF740B">
            <w:pPr>
              <w:pStyle w:val="Sansinterligne"/>
              <w:numPr>
                <w:ilvl w:val="1"/>
                <w:numId w:val="637"/>
              </w:numPr>
            </w:pPr>
            <w:r w:rsidRPr="00716125">
              <w:rPr>
                <w:highlight w:val="yellow"/>
              </w:rPr>
              <w:t>Souvenirs répétitifs, involontaires et envahissant</w:t>
            </w:r>
            <w:r>
              <w:t xml:space="preserve"> de l’évènement provoquant une détresse</w:t>
            </w:r>
          </w:p>
          <w:p w:rsidR="006417C5" w:rsidRDefault="006417C5" w:rsidP="00AF740B">
            <w:pPr>
              <w:pStyle w:val="Sansinterligne"/>
              <w:numPr>
                <w:ilvl w:val="1"/>
                <w:numId w:val="637"/>
              </w:numPr>
            </w:pPr>
            <w:r w:rsidRPr="00716125">
              <w:rPr>
                <w:highlight w:val="yellow"/>
              </w:rPr>
              <w:t>Rêves répétitifs</w:t>
            </w:r>
            <w:r>
              <w:t xml:space="preserve"> provoquant un sentiment de détresse et dont le contenu est lié aux évènements traumatiques</w:t>
            </w:r>
          </w:p>
          <w:p w:rsidR="006417C5" w:rsidRDefault="006417C5" w:rsidP="00AF740B">
            <w:pPr>
              <w:pStyle w:val="Sansinterligne"/>
              <w:numPr>
                <w:ilvl w:val="1"/>
                <w:numId w:val="637"/>
              </w:numPr>
            </w:pPr>
            <w:r>
              <w:t>Réactions dissociatives ou le sujet se sent ou agit comme si la scène allait se reproduire (</w:t>
            </w:r>
            <w:r w:rsidRPr="00716125">
              <w:rPr>
                <w:highlight w:val="yellow"/>
              </w:rPr>
              <w:t>ex : flashback</w:t>
            </w:r>
            <w:r>
              <w:t>)</w:t>
            </w:r>
          </w:p>
          <w:p w:rsidR="006417C5" w:rsidRPr="00716125" w:rsidRDefault="006417C5" w:rsidP="00AF740B">
            <w:pPr>
              <w:pStyle w:val="Sansinterligne"/>
              <w:numPr>
                <w:ilvl w:val="1"/>
                <w:numId w:val="637"/>
              </w:numPr>
              <w:rPr>
                <w:highlight w:val="yellow"/>
              </w:rPr>
            </w:pPr>
            <w:r w:rsidRPr="00716125">
              <w:rPr>
                <w:highlight w:val="yellow"/>
              </w:rPr>
              <w:t>Sentiment intense ou prolongé de détresse lorsqu’exposé à des indices internes ou externes pouvant évoquer un aspect de l’évènement traumatique</w:t>
            </w:r>
          </w:p>
          <w:p w:rsidR="006417C5" w:rsidRPr="00716125" w:rsidRDefault="006417C5" w:rsidP="00AF740B">
            <w:pPr>
              <w:pStyle w:val="Sansinterligne"/>
              <w:numPr>
                <w:ilvl w:val="1"/>
                <w:numId w:val="637"/>
              </w:numPr>
              <w:rPr>
                <w:highlight w:val="yellow"/>
              </w:rPr>
            </w:pPr>
            <w:r w:rsidRPr="00716125">
              <w:rPr>
                <w:highlight w:val="yellow"/>
              </w:rPr>
              <w:t>Réactions physiologiques marquées lorsqu’exposé à de tels indices</w:t>
            </w:r>
          </w:p>
          <w:p w:rsidR="006417C5" w:rsidRDefault="006417C5" w:rsidP="00AF740B">
            <w:pPr>
              <w:pStyle w:val="Sansinterligne"/>
              <w:numPr>
                <w:ilvl w:val="0"/>
                <w:numId w:val="637"/>
              </w:numPr>
            </w:pPr>
            <w:r w:rsidRPr="00716125">
              <w:rPr>
                <w:highlight w:val="yellow"/>
              </w:rPr>
              <w:t>Évitement persistant des stimuli associés</w:t>
            </w:r>
            <w:r w:rsidR="002856EB">
              <w:rPr>
                <w:highlight w:val="yellow"/>
              </w:rPr>
              <w:t xml:space="preserve"> à l’évènement traumatique</w:t>
            </w:r>
            <w:r w:rsidRPr="00716125">
              <w:rPr>
                <w:highlight w:val="yellow"/>
              </w:rPr>
              <w:t>,</w:t>
            </w:r>
            <w:r>
              <w:t xml:space="preserve"> par exemple :</w:t>
            </w:r>
          </w:p>
          <w:p w:rsidR="006417C5" w:rsidRDefault="006417C5" w:rsidP="00AF740B">
            <w:pPr>
              <w:pStyle w:val="Sansinterligne"/>
              <w:numPr>
                <w:ilvl w:val="1"/>
                <w:numId w:val="637"/>
              </w:numPr>
            </w:pPr>
            <w:r>
              <w:t>Évitement ou effort pour oublier les souvenirs, pensées ou sentiments associé à l’évènement</w:t>
            </w:r>
          </w:p>
          <w:p w:rsidR="006417C5" w:rsidRDefault="006417C5" w:rsidP="00AF740B">
            <w:pPr>
              <w:pStyle w:val="Sansinterligne"/>
              <w:numPr>
                <w:ilvl w:val="1"/>
                <w:numId w:val="637"/>
              </w:numPr>
            </w:pPr>
            <w:r>
              <w:t xml:space="preserve">Évitement ou effort pour éviter des indices externes (endroits, personnes, objets) associé à l’évènement </w:t>
            </w:r>
          </w:p>
          <w:p w:rsidR="006417C5" w:rsidRDefault="006417C5" w:rsidP="00AF740B">
            <w:pPr>
              <w:pStyle w:val="Sansinterligne"/>
              <w:numPr>
                <w:ilvl w:val="0"/>
                <w:numId w:val="637"/>
              </w:numPr>
            </w:pPr>
            <w:r w:rsidRPr="00716125">
              <w:rPr>
                <w:highlight w:val="yellow"/>
              </w:rPr>
              <w:t>Altération cognitive des cognitions et de l’humeur</w:t>
            </w:r>
            <w:r>
              <w:t xml:space="preserve"> associé ou s’aggravant après la survenu d’un évènement traumatique</w:t>
            </w:r>
          </w:p>
          <w:p w:rsidR="006417C5" w:rsidRDefault="006417C5" w:rsidP="00AF740B">
            <w:pPr>
              <w:pStyle w:val="Sansinterligne"/>
              <w:numPr>
                <w:ilvl w:val="1"/>
                <w:numId w:val="637"/>
              </w:numPr>
            </w:pPr>
            <w:r>
              <w:t>Incapacité de se rappeler un aspect important de l’évènement</w:t>
            </w:r>
          </w:p>
          <w:p w:rsidR="006417C5" w:rsidRDefault="006417C5" w:rsidP="00AF740B">
            <w:pPr>
              <w:pStyle w:val="Sansinterligne"/>
              <w:numPr>
                <w:ilvl w:val="1"/>
                <w:numId w:val="637"/>
              </w:numPr>
            </w:pPr>
            <w:r>
              <w:t>Croyances ou attentes négative persistantes envers soi-même, les autres ou le monde</w:t>
            </w:r>
          </w:p>
          <w:p w:rsidR="006417C5" w:rsidRDefault="006417C5" w:rsidP="00AF740B">
            <w:pPr>
              <w:pStyle w:val="Sansinterligne"/>
              <w:numPr>
                <w:ilvl w:val="1"/>
                <w:numId w:val="637"/>
              </w:numPr>
            </w:pPr>
            <w:r>
              <w:t>Distorsion cognitive persistantes en lien avec les causes/conséquences qui poussent le sujet à se blâmer/blâmer les autres</w:t>
            </w:r>
          </w:p>
          <w:p w:rsidR="006417C5" w:rsidRDefault="006417C5" w:rsidP="00AF740B">
            <w:pPr>
              <w:pStyle w:val="Sansinterligne"/>
              <w:numPr>
                <w:ilvl w:val="1"/>
                <w:numId w:val="637"/>
              </w:numPr>
            </w:pPr>
            <w:r>
              <w:t>État émotionnel négatif persistant</w:t>
            </w:r>
          </w:p>
          <w:p w:rsidR="006417C5" w:rsidRDefault="006417C5" w:rsidP="00AF740B">
            <w:pPr>
              <w:pStyle w:val="Sansinterligne"/>
              <w:numPr>
                <w:ilvl w:val="1"/>
                <w:numId w:val="637"/>
              </w:numPr>
            </w:pPr>
            <w:r>
              <w:t>Réduction nette de l’intérêt pour certaines activités ou de la participation à celles-ci</w:t>
            </w:r>
          </w:p>
          <w:p w:rsidR="006417C5" w:rsidRDefault="00AD78D4" w:rsidP="00AF740B">
            <w:pPr>
              <w:pStyle w:val="Sansinterligne"/>
              <w:numPr>
                <w:ilvl w:val="1"/>
                <w:numId w:val="637"/>
              </w:numPr>
            </w:pPr>
            <w:r>
              <w:rPr>
                <w:noProof/>
                <w:lang w:eastAsia="fr-CA"/>
              </w:rPr>
              <w:drawing>
                <wp:anchor distT="0" distB="0" distL="114300" distR="114300" simplePos="0" relativeHeight="251838464" behindDoc="1" locked="0" layoutInCell="1" allowOverlap="1" wp14:anchorId="06708EE8" wp14:editId="272705D1">
                  <wp:simplePos x="0" y="0"/>
                  <wp:positionH relativeFrom="column">
                    <wp:posOffset>4620638</wp:posOffset>
                  </wp:positionH>
                  <wp:positionV relativeFrom="paragraph">
                    <wp:posOffset>31264</wp:posOffset>
                  </wp:positionV>
                  <wp:extent cx="2256790" cy="1741170"/>
                  <wp:effectExtent l="0" t="0" r="0" b="0"/>
                  <wp:wrapNone/>
                  <wp:docPr id="354" name="Image 354" descr="Résultats de recherche d'images pour « syndrome de stress post traumatiqu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Résultats de recherche d'images pour « syndrome de stress post traumatique »"/>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2256790" cy="1741170"/>
                          </a:xfrm>
                          <a:prstGeom prst="rect">
                            <a:avLst/>
                          </a:prstGeom>
                          <a:noFill/>
                          <a:ln>
                            <a:noFill/>
                          </a:ln>
                        </pic:spPr>
                      </pic:pic>
                    </a:graphicData>
                  </a:graphic>
                  <wp14:sizeRelH relativeFrom="page">
                    <wp14:pctWidth>0</wp14:pctWidth>
                  </wp14:sizeRelH>
                  <wp14:sizeRelV relativeFrom="page">
                    <wp14:pctHeight>0</wp14:pctHeight>
                  </wp14:sizeRelV>
                </wp:anchor>
              </w:drawing>
            </w:r>
            <w:r w:rsidR="006417C5">
              <w:t>Sentiment de détachement d’autrui ou de devenir étranger aux autres</w:t>
            </w:r>
          </w:p>
          <w:p w:rsidR="006417C5" w:rsidRDefault="006417C5" w:rsidP="00AF740B">
            <w:pPr>
              <w:pStyle w:val="Sansinterligne"/>
              <w:numPr>
                <w:ilvl w:val="1"/>
                <w:numId w:val="637"/>
              </w:numPr>
            </w:pPr>
            <w:r>
              <w:t>Incapacité persistante d’éprouver des émotions positives</w:t>
            </w:r>
          </w:p>
          <w:p w:rsidR="006417C5" w:rsidRDefault="006417C5" w:rsidP="00AF740B">
            <w:pPr>
              <w:pStyle w:val="Sansinterligne"/>
              <w:numPr>
                <w:ilvl w:val="0"/>
                <w:numId w:val="637"/>
              </w:numPr>
            </w:pPr>
            <w:r w:rsidRPr="00716125">
              <w:rPr>
                <w:highlight w:val="yellow"/>
              </w:rPr>
              <w:t>Altération marquée de l’éveil et de la réactivité</w:t>
            </w:r>
          </w:p>
          <w:p w:rsidR="00716125" w:rsidRPr="006C4F28" w:rsidRDefault="006C4F28" w:rsidP="00AF740B">
            <w:pPr>
              <w:pStyle w:val="Sansinterligne"/>
              <w:numPr>
                <w:ilvl w:val="1"/>
                <w:numId w:val="637"/>
              </w:numPr>
              <w:rPr>
                <w:highlight w:val="yellow"/>
              </w:rPr>
            </w:pPr>
            <w:r w:rsidRPr="006C4F28">
              <w:rPr>
                <w:highlight w:val="yellow"/>
              </w:rPr>
              <w:t>Comportement irritable ou accès de colère</w:t>
            </w:r>
          </w:p>
          <w:p w:rsidR="006C4F28" w:rsidRDefault="006C4F28" w:rsidP="00AF740B">
            <w:pPr>
              <w:pStyle w:val="Sansinterligne"/>
              <w:numPr>
                <w:ilvl w:val="1"/>
                <w:numId w:val="637"/>
              </w:numPr>
            </w:pPr>
            <w:r>
              <w:t>Comportement irréfléchi ou autodestructeur</w:t>
            </w:r>
          </w:p>
          <w:p w:rsidR="006C4F28" w:rsidRPr="006C4F28" w:rsidRDefault="006C4F28" w:rsidP="00AF740B">
            <w:pPr>
              <w:pStyle w:val="Sansinterligne"/>
              <w:numPr>
                <w:ilvl w:val="1"/>
                <w:numId w:val="637"/>
              </w:numPr>
              <w:rPr>
                <w:highlight w:val="yellow"/>
              </w:rPr>
            </w:pPr>
            <w:r w:rsidRPr="006C4F28">
              <w:rPr>
                <w:highlight w:val="yellow"/>
              </w:rPr>
              <w:t>Hypervigilance</w:t>
            </w:r>
          </w:p>
          <w:p w:rsidR="006C4F28" w:rsidRDefault="006C4F28" w:rsidP="00AF740B">
            <w:pPr>
              <w:pStyle w:val="Sansinterligne"/>
              <w:numPr>
                <w:ilvl w:val="1"/>
                <w:numId w:val="637"/>
              </w:numPr>
            </w:pPr>
            <w:r>
              <w:t>Réaction de sursaut exagéré</w:t>
            </w:r>
          </w:p>
          <w:p w:rsidR="006C4F28" w:rsidRDefault="006C4F28" w:rsidP="00AF740B">
            <w:pPr>
              <w:pStyle w:val="Sansinterligne"/>
              <w:numPr>
                <w:ilvl w:val="1"/>
                <w:numId w:val="637"/>
              </w:numPr>
            </w:pPr>
            <w:r>
              <w:t>Problèmes de concentration</w:t>
            </w:r>
          </w:p>
          <w:p w:rsidR="006C4F28" w:rsidRDefault="006C4F28" w:rsidP="00AF740B">
            <w:pPr>
              <w:pStyle w:val="Sansinterligne"/>
              <w:numPr>
                <w:ilvl w:val="1"/>
                <w:numId w:val="637"/>
              </w:numPr>
            </w:pPr>
            <w:r>
              <w:t>Perturbation du sommeil</w:t>
            </w:r>
          </w:p>
          <w:p w:rsidR="006C4F28" w:rsidRPr="006C4F28" w:rsidRDefault="006C4F28" w:rsidP="00AF740B">
            <w:pPr>
              <w:pStyle w:val="Sansinterligne"/>
              <w:numPr>
                <w:ilvl w:val="0"/>
                <w:numId w:val="637"/>
              </w:numPr>
              <w:rPr>
                <w:highlight w:val="yellow"/>
              </w:rPr>
            </w:pPr>
            <w:r w:rsidRPr="006C4F28">
              <w:rPr>
                <w:highlight w:val="yellow"/>
              </w:rPr>
              <w:t>La perturbation (critères B, C, D, E durent plus d’un mois)</w:t>
            </w:r>
          </w:p>
          <w:p w:rsidR="006C4F28" w:rsidRDefault="006C4F28" w:rsidP="00AF740B">
            <w:pPr>
              <w:pStyle w:val="Sansinterligne"/>
              <w:numPr>
                <w:ilvl w:val="0"/>
                <w:numId w:val="637"/>
              </w:numPr>
            </w:pPr>
            <w:r>
              <w:t>Les symptômes ne sont pas mieux expliqués par une substance ou une condition médicale.</w:t>
            </w:r>
          </w:p>
        </w:tc>
      </w:tr>
    </w:tbl>
    <w:tbl>
      <w:tblPr>
        <w:tblW w:w="0" w:type="auto"/>
        <w:tblInd w:w="1188" w:type="dxa"/>
        <w:tblBorders>
          <w:top w:val="single" w:sz="4" w:space="0" w:color="FFFFFF" w:themeColor="background1"/>
        </w:tblBorders>
        <w:tblCellMar>
          <w:left w:w="70" w:type="dxa"/>
          <w:right w:w="70" w:type="dxa"/>
        </w:tblCellMar>
        <w:tblLook w:val="0000" w:firstRow="0" w:lastRow="0" w:firstColumn="0" w:lastColumn="0" w:noHBand="0" w:noVBand="0"/>
      </w:tblPr>
      <w:tblGrid>
        <w:gridCol w:w="2053"/>
      </w:tblGrid>
      <w:tr w:rsidR="0038446D" w:rsidTr="0038446D">
        <w:trPr>
          <w:trHeight w:val="100"/>
        </w:trPr>
        <w:tc>
          <w:tcPr>
            <w:tcW w:w="2053" w:type="dxa"/>
          </w:tcPr>
          <w:p w:rsidR="0038446D" w:rsidRDefault="0038446D" w:rsidP="00B519F2">
            <w:pPr>
              <w:pStyle w:val="Sansinterligne"/>
            </w:pPr>
          </w:p>
        </w:tc>
      </w:tr>
    </w:tbl>
    <w:p w:rsidR="00354B38" w:rsidRDefault="00354B38" w:rsidP="00B519F2">
      <w:pPr>
        <w:pStyle w:val="Sansinterligne"/>
      </w:pPr>
    </w:p>
    <w:tbl>
      <w:tblPr>
        <w:tblStyle w:val="Grilledutableau"/>
        <w:tblW w:w="0" w:type="auto"/>
        <w:tblLook w:val="04A0" w:firstRow="1" w:lastRow="0" w:firstColumn="1" w:lastColumn="0" w:noHBand="0" w:noVBand="1"/>
      </w:tblPr>
      <w:tblGrid>
        <w:gridCol w:w="6487"/>
        <w:gridCol w:w="4453"/>
      </w:tblGrid>
      <w:tr w:rsidR="00C045FA" w:rsidTr="002A1F06">
        <w:tc>
          <w:tcPr>
            <w:tcW w:w="6487" w:type="dxa"/>
            <w:shd w:val="clear" w:color="auto" w:fill="9BBB59" w:themeFill="accent3"/>
          </w:tcPr>
          <w:p w:rsidR="00C045FA" w:rsidRPr="00C045FA" w:rsidRDefault="00C045FA" w:rsidP="005B2BBC">
            <w:pPr>
              <w:pStyle w:val="Sansinterligne"/>
              <w:jc w:val="center"/>
            </w:pPr>
            <w:r w:rsidRPr="00C045FA">
              <w:t>Phobie sociale</w:t>
            </w:r>
          </w:p>
        </w:tc>
        <w:tc>
          <w:tcPr>
            <w:tcW w:w="4453" w:type="dxa"/>
            <w:shd w:val="clear" w:color="auto" w:fill="9BBB59" w:themeFill="accent3"/>
          </w:tcPr>
          <w:p w:rsidR="00C045FA" w:rsidRDefault="00C045FA" w:rsidP="005B2BBC">
            <w:pPr>
              <w:pStyle w:val="Sansinterligne"/>
              <w:jc w:val="center"/>
            </w:pPr>
            <w:r>
              <w:t>Phobie spécifique</w:t>
            </w:r>
          </w:p>
        </w:tc>
      </w:tr>
      <w:tr w:rsidR="00C045FA" w:rsidTr="00C045FA">
        <w:tc>
          <w:tcPr>
            <w:tcW w:w="6487" w:type="dxa"/>
          </w:tcPr>
          <w:p w:rsidR="00C045FA" w:rsidRPr="00C045FA" w:rsidRDefault="00C045FA" w:rsidP="00AF740B">
            <w:pPr>
              <w:pStyle w:val="Sansinterligne"/>
              <w:numPr>
                <w:ilvl w:val="0"/>
                <w:numId w:val="649"/>
              </w:numPr>
              <w:rPr>
                <w:highlight w:val="yellow"/>
              </w:rPr>
            </w:pPr>
            <w:r w:rsidRPr="00C045FA">
              <w:rPr>
                <w:highlight w:val="yellow"/>
              </w:rPr>
              <w:t>Peu</w:t>
            </w:r>
            <w:r w:rsidR="00A07E98">
              <w:rPr>
                <w:highlight w:val="yellow"/>
              </w:rPr>
              <w:t>r</w:t>
            </w:r>
            <w:r w:rsidRPr="00C045FA">
              <w:rPr>
                <w:highlight w:val="yellow"/>
              </w:rPr>
              <w:t xml:space="preserve"> marquée et persistante de situations sociales ou de performance devant des personnes inconnues ou dans laquelle la personne pourrait s’humilier.</w:t>
            </w:r>
          </w:p>
          <w:p w:rsidR="00C045FA" w:rsidRPr="00C045FA" w:rsidRDefault="00C045FA" w:rsidP="00AF740B">
            <w:pPr>
              <w:pStyle w:val="Sansinterligne"/>
              <w:numPr>
                <w:ilvl w:val="0"/>
                <w:numId w:val="649"/>
              </w:numPr>
              <w:rPr>
                <w:highlight w:val="yellow"/>
              </w:rPr>
            </w:pPr>
            <w:r w:rsidRPr="00C045FA">
              <w:rPr>
                <w:highlight w:val="yellow"/>
              </w:rPr>
              <w:t>L’exposition provoque toujours une réponse anxieuse (parfois semblable à une attaque de panique)</w:t>
            </w:r>
          </w:p>
          <w:p w:rsidR="00C045FA" w:rsidRPr="00C045FA" w:rsidRDefault="00C045FA" w:rsidP="00AF740B">
            <w:pPr>
              <w:pStyle w:val="Sansinterligne"/>
              <w:numPr>
                <w:ilvl w:val="0"/>
                <w:numId w:val="649"/>
              </w:numPr>
              <w:rPr>
                <w:highlight w:val="yellow"/>
              </w:rPr>
            </w:pPr>
            <w:r w:rsidRPr="00C045FA">
              <w:rPr>
                <w:highlight w:val="yellow"/>
              </w:rPr>
              <w:t>La personne reconnait la peur comme irraisonnable ou excessive</w:t>
            </w:r>
          </w:p>
          <w:p w:rsidR="00C045FA" w:rsidRPr="00C045FA" w:rsidRDefault="00C045FA" w:rsidP="00AF740B">
            <w:pPr>
              <w:pStyle w:val="Sansinterligne"/>
              <w:numPr>
                <w:ilvl w:val="0"/>
                <w:numId w:val="649"/>
              </w:numPr>
            </w:pPr>
            <w:r w:rsidRPr="00C045FA">
              <w:t>Les situations anxiogènes sont évitées ou endurées avec anxiété.</w:t>
            </w:r>
          </w:p>
          <w:p w:rsidR="00C045FA" w:rsidRPr="00C045FA" w:rsidRDefault="00C045FA" w:rsidP="00AF740B">
            <w:pPr>
              <w:pStyle w:val="Sansinterligne"/>
              <w:numPr>
                <w:ilvl w:val="0"/>
                <w:numId w:val="649"/>
              </w:numPr>
            </w:pPr>
            <w:r w:rsidRPr="00C045FA">
              <w:t>Détresse marquée, dysfonctionnement ou interférence avec la routine quotidienne</w:t>
            </w:r>
          </w:p>
        </w:tc>
        <w:tc>
          <w:tcPr>
            <w:tcW w:w="4453" w:type="dxa"/>
          </w:tcPr>
          <w:p w:rsidR="00C045FA" w:rsidRPr="0079183D" w:rsidRDefault="00C045FA" w:rsidP="00AF740B">
            <w:pPr>
              <w:pStyle w:val="Sansinterligne"/>
              <w:numPr>
                <w:ilvl w:val="0"/>
                <w:numId w:val="639"/>
              </w:numPr>
              <w:rPr>
                <w:highlight w:val="yellow"/>
              </w:rPr>
            </w:pPr>
            <w:r w:rsidRPr="0079183D">
              <w:rPr>
                <w:highlight w:val="yellow"/>
              </w:rPr>
              <w:t>Peur persistante ou excessive d’un stimulus</w:t>
            </w:r>
          </w:p>
          <w:p w:rsidR="00C045FA" w:rsidRPr="0079183D" w:rsidRDefault="00C045FA" w:rsidP="00AF740B">
            <w:pPr>
              <w:pStyle w:val="Sansinterligne"/>
              <w:numPr>
                <w:ilvl w:val="0"/>
                <w:numId w:val="639"/>
              </w:numPr>
              <w:rPr>
                <w:highlight w:val="yellow"/>
              </w:rPr>
            </w:pPr>
            <w:r w:rsidRPr="0079183D">
              <w:rPr>
                <w:highlight w:val="yellow"/>
              </w:rPr>
              <w:t>Anticipation de la situation ou de l’objet</w:t>
            </w:r>
          </w:p>
          <w:p w:rsidR="00C045FA" w:rsidRDefault="00C045FA" w:rsidP="00C045FA">
            <w:pPr>
              <w:pStyle w:val="Sansinterligne"/>
              <w:rPr>
                <w:highlight w:val="yellow"/>
              </w:rPr>
            </w:pPr>
          </w:p>
          <w:p w:rsidR="00C045FA" w:rsidRDefault="00C045FA" w:rsidP="00C045FA">
            <w:pPr>
              <w:pStyle w:val="Sansinterligne"/>
              <w:rPr>
                <w:highlight w:val="yellow"/>
              </w:rPr>
            </w:pPr>
          </w:p>
          <w:p w:rsidR="00C045FA" w:rsidRPr="00C045FA" w:rsidRDefault="00C045FA" w:rsidP="00C045FA">
            <w:pPr>
              <w:pStyle w:val="Sansinterligne"/>
              <w:rPr>
                <w:u w:val="single"/>
              </w:rPr>
            </w:pPr>
            <w:r w:rsidRPr="00C045FA">
              <w:rPr>
                <w:u w:val="single"/>
              </w:rPr>
              <w:t>Types </w:t>
            </w:r>
          </w:p>
          <w:p w:rsidR="00C045FA" w:rsidRDefault="00C045FA" w:rsidP="00C045FA">
            <w:pPr>
              <w:pStyle w:val="Sansinterligne"/>
            </w:pPr>
            <w:r w:rsidRPr="00C045FA">
              <w:t>Animal, insecte, hauteurs, éclairs, sang, piqûres, infection, avions, espace clos, clowns, etc.</w:t>
            </w:r>
          </w:p>
        </w:tc>
      </w:tr>
      <w:tr w:rsidR="00AB6146" w:rsidTr="002A1F06">
        <w:tc>
          <w:tcPr>
            <w:tcW w:w="10940" w:type="dxa"/>
            <w:gridSpan w:val="2"/>
            <w:shd w:val="clear" w:color="auto" w:fill="9BBB59" w:themeFill="accent3"/>
          </w:tcPr>
          <w:p w:rsidR="00AB6146" w:rsidRDefault="00AB6146" w:rsidP="005B2BBC">
            <w:pPr>
              <w:pStyle w:val="Sansinterligne"/>
              <w:jc w:val="center"/>
            </w:pPr>
            <w:r>
              <w:t>Agoraphobie</w:t>
            </w:r>
          </w:p>
        </w:tc>
      </w:tr>
      <w:tr w:rsidR="00AB6146" w:rsidTr="005B2BBC">
        <w:tc>
          <w:tcPr>
            <w:tcW w:w="10940" w:type="dxa"/>
            <w:gridSpan w:val="2"/>
          </w:tcPr>
          <w:p w:rsidR="00AB6146" w:rsidRDefault="00AB6146" w:rsidP="005B2BBC">
            <w:pPr>
              <w:pStyle w:val="Sansinterligne"/>
              <w:jc w:val="center"/>
            </w:pPr>
            <w:r w:rsidRPr="00B519F2">
              <w:rPr>
                <w:i/>
              </w:rPr>
              <w:t>Critères du DSM-V</w:t>
            </w:r>
          </w:p>
        </w:tc>
      </w:tr>
      <w:tr w:rsidR="00AB6146" w:rsidTr="009D6F70">
        <w:tc>
          <w:tcPr>
            <w:tcW w:w="10940" w:type="dxa"/>
            <w:gridSpan w:val="2"/>
            <w:tcBorders>
              <w:bottom w:val="single" w:sz="4" w:space="0" w:color="FFFFFF" w:themeColor="background1"/>
            </w:tcBorders>
          </w:tcPr>
          <w:p w:rsidR="0033765C" w:rsidRPr="001372A2" w:rsidRDefault="0079183D" w:rsidP="00AF740B">
            <w:pPr>
              <w:pStyle w:val="Sansinterligne"/>
              <w:numPr>
                <w:ilvl w:val="0"/>
                <w:numId w:val="640"/>
              </w:numPr>
              <w:rPr>
                <w:highlight w:val="yellow"/>
              </w:rPr>
            </w:pPr>
            <w:r w:rsidRPr="001372A2">
              <w:rPr>
                <w:highlight w:val="yellow"/>
              </w:rPr>
              <w:t>Peu</w:t>
            </w:r>
            <w:r w:rsidR="001372A2" w:rsidRPr="001372A2">
              <w:rPr>
                <w:highlight w:val="yellow"/>
              </w:rPr>
              <w:t>r</w:t>
            </w:r>
            <w:r w:rsidRPr="001372A2">
              <w:rPr>
                <w:highlight w:val="yellow"/>
              </w:rPr>
              <w:t xml:space="preserve"> ou </w:t>
            </w:r>
            <w:r w:rsidR="0033765C" w:rsidRPr="001372A2">
              <w:rPr>
                <w:highlight w:val="yellow"/>
              </w:rPr>
              <w:t>anxiété marquée pour 2 des 5 situations suivantes :</w:t>
            </w:r>
          </w:p>
        </w:tc>
      </w:tr>
      <w:tr w:rsidR="0033765C" w:rsidTr="00C045FA">
        <w:tc>
          <w:tcPr>
            <w:tcW w:w="6487" w:type="dxa"/>
            <w:tcBorders>
              <w:top w:val="single" w:sz="4" w:space="0" w:color="FFFFFF" w:themeColor="background1"/>
              <w:bottom w:val="single" w:sz="4" w:space="0" w:color="FFFFFF" w:themeColor="background1"/>
              <w:right w:val="single" w:sz="4" w:space="0" w:color="FFFFFF" w:themeColor="background1"/>
            </w:tcBorders>
          </w:tcPr>
          <w:p w:rsidR="0033765C" w:rsidRPr="001372A2" w:rsidRDefault="0033765C" w:rsidP="00AF740B">
            <w:pPr>
              <w:pStyle w:val="Sansinterligne"/>
              <w:numPr>
                <w:ilvl w:val="0"/>
                <w:numId w:val="641"/>
              </w:numPr>
              <w:rPr>
                <w:highlight w:val="yellow"/>
              </w:rPr>
            </w:pPr>
            <w:r w:rsidRPr="001372A2">
              <w:rPr>
                <w:highlight w:val="yellow"/>
              </w:rPr>
              <w:t>Utiliser les transports en commun</w:t>
            </w:r>
          </w:p>
          <w:p w:rsidR="0033765C" w:rsidRPr="001372A2" w:rsidRDefault="0033765C" w:rsidP="00AF740B">
            <w:pPr>
              <w:pStyle w:val="Sansinterligne"/>
              <w:numPr>
                <w:ilvl w:val="0"/>
                <w:numId w:val="641"/>
              </w:numPr>
              <w:rPr>
                <w:highlight w:val="yellow"/>
              </w:rPr>
            </w:pPr>
            <w:r w:rsidRPr="001372A2">
              <w:rPr>
                <w:highlight w:val="yellow"/>
              </w:rPr>
              <w:t>Être dans des endroits ouverts</w:t>
            </w:r>
          </w:p>
          <w:p w:rsidR="0033765C" w:rsidRDefault="0033765C" w:rsidP="00AF740B">
            <w:pPr>
              <w:pStyle w:val="Sansinterligne"/>
              <w:numPr>
                <w:ilvl w:val="0"/>
                <w:numId w:val="641"/>
              </w:numPr>
            </w:pPr>
            <w:r w:rsidRPr="001372A2">
              <w:rPr>
                <w:highlight w:val="yellow"/>
              </w:rPr>
              <w:t>Être dans des endroits clos</w:t>
            </w:r>
          </w:p>
        </w:tc>
        <w:tc>
          <w:tcPr>
            <w:tcW w:w="4453" w:type="dxa"/>
            <w:tcBorders>
              <w:top w:val="single" w:sz="4" w:space="0" w:color="FFFFFF" w:themeColor="background1"/>
              <w:left w:val="single" w:sz="4" w:space="0" w:color="FFFFFF" w:themeColor="background1"/>
              <w:bottom w:val="single" w:sz="4" w:space="0" w:color="FFFFFF" w:themeColor="background1"/>
            </w:tcBorders>
          </w:tcPr>
          <w:p w:rsidR="0033765C" w:rsidRPr="001372A2" w:rsidRDefault="0033765C" w:rsidP="00AF740B">
            <w:pPr>
              <w:pStyle w:val="Sansinterligne"/>
              <w:numPr>
                <w:ilvl w:val="0"/>
                <w:numId w:val="642"/>
              </w:numPr>
              <w:rPr>
                <w:highlight w:val="yellow"/>
              </w:rPr>
            </w:pPr>
            <w:r w:rsidRPr="001372A2">
              <w:rPr>
                <w:highlight w:val="yellow"/>
              </w:rPr>
              <w:t>Être dans une file d’attente ou dans une foule</w:t>
            </w:r>
          </w:p>
          <w:p w:rsidR="0033765C" w:rsidRPr="001372A2" w:rsidRDefault="0033765C" w:rsidP="00AF740B">
            <w:pPr>
              <w:pStyle w:val="Sansinterligne"/>
              <w:numPr>
                <w:ilvl w:val="0"/>
                <w:numId w:val="642"/>
              </w:numPr>
              <w:rPr>
                <w:highlight w:val="yellow"/>
              </w:rPr>
            </w:pPr>
            <w:r w:rsidRPr="001372A2">
              <w:rPr>
                <w:highlight w:val="yellow"/>
              </w:rPr>
              <w:t>Être seul à l’extérieur du domicile</w:t>
            </w:r>
          </w:p>
        </w:tc>
      </w:tr>
      <w:tr w:rsidR="0033765C" w:rsidTr="009D6F70">
        <w:tc>
          <w:tcPr>
            <w:tcW w:w="10940" w:type="dxa"/>
            <w:gridSpan w:val="2"/>
            <w:tcBorders>
              <w:top w:val="single" w:sz="4" w:space="0" w:color="FFFFFF" w:themeColor="background1"/>
            </w:tcBorders>
          </w:tcPr>
          <w:p w:rsidR="0033765C" w:rsidRPr="001372A2" w:rsidRDefault="009D6F70" w:rsidP="00AF740B">
            <w:pPr>
              <w:pStyle w:val="Sansinterligne"/>
              <w:numPr>
                <w:ilvl w:val="0"/>
                <w:numId w:val="640"/>
              </w:numPr>
              <w:rPr>
                <w:highlight w:val="yellow"/>
              </w:rPr>
            </w:pPr>
            <w:r w:rsidRPr="001372A2">
              <w:rPr>
                <w:highlight w:val="yellow"/>
              </w:rPr>
              <w:t>Crainte ou évitement de ces situations parce qu’il pense qu’il pourrait être difficile de s’en échapper ou d’avoir des secours si une attaque de panique survenait.</w:t>
            </w:r>
          </w:p>
          <w:p w:rsidR="009D6F70" w:rsidRDefault="009D6F70" w:rsidP="00AF740B">
            <w:pPr>
              <w:pStyle w:val="Sansinterligne"/>
              <w:numPr>
                <w:ilvl w:val="0"/>
                <w:numId w:val="640"/>
              </w:numPr>
            </w:pPr>
            <w:r>
              <w:t>Les situations agoraphobagènes</w:t>
            </w:r>
            <w:r w:rsidR="008E681F">
              <w:t xml:space="preserve"> provoquent presque toujours peur ou anxiété.</w:t>
            </w:r>
          </w:p>
          <w:p w:rsidR="008E681F" w:rsidRDefault="008E681F" w:rsidP="00AF740B">
            <w:pPr>
              <w:pStyle w:val="Sansinterligne"/>
              <w:numPr>
                <w:ilvl w:val="0"/>
                <w:numId w:val="640"/>
              </w:numPr>
            </w:pPr>
            <w:r>
              <w:t>Les situations agoraphobagènes sont activement évitées, nécessitent un accompagnant ou sont subies avec anxiété.</w:t>
            </w:r>
          </w:p>
          <w:p w:rsidR="008E681F" w:rsidRDefault="008E681F" w:rsidP="00AF740B">
            <w:pPr>
              <w:pStyle w:val="Sansinterligne"/>
              <w:numPr>
                <w:ilvl w:val="0"/>
                <w:numId w:val="640"/>
              </w:numPr>
            </w:pPr>
            <w:r>
              <w:t>La peur</w:t>
            </w:r>
            <w:r w:rsidR="00910B6B">
              <w:t xml:space="preserve">, </w:t>
            </w:r>
            <w:r>
              <w:t>l’anxiété</w:t>
            </w:r>
            <w:r w:rsidR="00910B6B">
              <w:t xml:space="preserve"> ou l’évitement</w:t>
            </w:r>
            <w:r>
              <w:t xml:space="preserve"> sont disproportionnées, persistants et dure typiquement plus de 6 mois.</w:t>
            </w:r>
          </w:p>
          <w:p w:rsidR="008E681F" w:rsidRDefault="00910B6B" w:rsidP="00AF740B">
            <w:pPr>
              <w:pStyle w:val="Sansinterligne"/>
              <w:numPr>
                <w:ilvl w:val="0"/>
                <w:numId w:val="640"/>
              </w:numPr>
            </w:pPr>
            <w:r>
              <w:t>Ces symptômes engendrent une détresse ou un dysfonctionnement.</w:t>
            </w:r>
          </w:p>
          <w:p w:rsidR="00910B6B" w:rsidRDefault="00910B6B" w:rsidP="00AF740B">
            <w:pPr>
              <w:pStyle w:val="Sansinterligne"/>
              <w:numPr>
                <w:ilvl w:val="0"/>
                <w:numId w:val="640"/>
              </w:numPr>
            </w:pPr>
            <w:r>
              <w:t>Si une autre affection médicale est présente, l’anxiété est disproportionnée.</w:t>
            </w:r>
          </w:p>
          <w:p w:rsidR="008E681F" w:rsidRDefault="00910B6B" w:rsidP="00AF740B">
            <w:pPr>
              <w:pStyle w:val="Sansinterligne"/>
              <w:numPr>
                <w:ilvl w:val="0"/>
                <w:numId w:val="640"/>
              </w:numPr>
            </w:pPr>
            <w:r>
              <w:t>La perturbation n’est pas mieux expliquée par un autre trouble mental.</w:t>
            </w:r>
          </w:p>
        </w:tc>
      </w:tr>
      <w:tr w:rsidR="00AB6146" w:rsidTr="002A1F06">
        <w:tc>
          <w:tcPr>
            <w:tcW w:w="10940" w:type="dxa"/>
            <w:gridSpan w:val="2"/>
            <w:shd w:val="clear" w:color="auto" w:fill="9BBB59" w:themeFill="accent3"/>
          </w:tcPr>
          <w:p w:rsidR="00AB6146" w:rsidRDefault="00AB6146" w:rsidP="005B2BBC">
            <w:pPr>
              <w:pStyle w:val="Sansinterligne"/>
              <w:jc w:val="center"/>
            </w:pPr>
            <w:r>
              <w:t>Angoisse de séparation</w:t>
            </w:r>
          </w:p>
        </w:tc>
      </w:tr>
      <w:tr w:rsidR="00AB6146" w:rsidTr="005B2BBC">
        <w:tc>
          <w:tcPr>
            <w:tcW w:w="10940" w:type="dxa"/>
            <w:gridSpan w:val="2"/>
          </w:tcPr>
          <w:p w:rsidR="00AB6146" w:rsidRDefault="00AB6146" w:rsidP="005B2BBC">
            <w:pPr>
              <w:pStyle w:val="Sansinterligne"/>
              <w:jc w:val="center"/>
            </w:pPr>
            <w:r w:rsidRPr="00B519F2">
              <w:rPr>
                <w:i/>
              </w:rPr>
              <w:t>Critères du DSM-V</w:t>
            </w:r>
          </w:p>
        </w:tc>
      </w:tr>
      <w:tr w:rsidR="00AB6146" w:rsidTr="005B2BBC">
        <w:tc>
          <w:tcPr>
            <w:tcW w:w="10940" w:type="dxa"/>
            <w:gridSpan w:val="2"/>
          </w:tcPr>
          <w:p w:rsidR="00AB6146" w:rsidRPr="0076145D" w:rsidRDefault="005B2BBC" w:rsidP="00AF740B">
            <w:pPr>
              <w:pStyle w:val="Sansinterligne"/>
              <w:numPr>
                <w:ilvl w:val="0"/>
                <w:numId w:val="643"/>
              </w:numPr>
              <w:rPr>
                <w:highlight w:val="yellow"/>
              </w:rPr>
            </w:pPr>
            <w:r w:rsidRPr="0076145D">
              <w:rPr>
                <w:highlight w:val="yellow"/>
              </w:rPr>
              <w:t>Peur ou anxiété excessives et inappropriées au stade du développement concernant la séparation d’avec les personnes auxquelles le sujet est attaché (</w:t>
            </w:r>
            <w:r w:rsidRPr="0076145D">
              <w:rPr>
                <w:rFonts w:ascii="Century Gothic" w:hAnsi="Century Gothic"/>
                <w:highlight w:val="yellow"/>
              </w:rPr>
              <w:t>≥</w:t>
            </w:r>
            <w:r w:rsidRPr="0076145D">
              <w:rPr>
                <w:highlight w:val="yellow"/>
              </w:rPr>
              <w:t>3 manifestation suivantes)</w:t>
            </w:r>
          </w:p>
          <w:p w:rsidR="005B2BBC" w:rsidRDefault="005B2BBC" w:rsidP="00AF740B">
            <w:pPr>
              <w:pStyle w:val="Sansinterligne"/>
              <w:numPr>
                <w:ilvl w:val="1"/>
                <w:numId w:val="643"/>
              </w:numPr>
            </w:pPr>
            <w:r>
              <w:t>Détresse excessive ou récurrente dans les situations de séparation d’avec la maison ou les principales figures d’attachement ou anticipation de séparation.</w:t>
            </w:r>
          </w:p>
          <w:p w:rsidR="005B2BBC" w:rsidRDefault="005B2BBC" w:rsidP="00AF740B">
            <w:pPr>
              <w:pStyle w:val="Sansinterligne"/>
              <w:numPr>
                <w:ilvl w:val="1"/>
                <w:numId w:val="643"/>
              </w:numPr>
            </w:pPr>
            <w:r>
              <w:t>Soucis excessifs et persistants concernant la disparation de ses figures d’attachement (mort, maladie, etc.)</w:t>
            </w:r>
          </w:p>
          <w:p w:rsidR="005B2BBC" w:rsidRDefault="005B2BBC" w:rsidP="00AF740B">
            <w:pPr>
              <w:pStyle w:val="Sansinterligne"/>
              <w:numPr>
                <w:ilvl w:val="1"/>
                <w:numId w:val="643"/>
              </w:numPr>
            </w:pPr>
            <w:r>
              <w:t>Soucis qu’un évènement malheureux ne vient séparer le sujet de ses figures d’attachement.</w:t>
            </w:r>
          </w:p>
          <w:p w:rsidR="005B2BBC" w:rsidRDefault="005B2BBC" w:rsidP="00AF740B">
            <w:pPr>
              <w:pStyle w:val="Sansinterligne"/>
              <w:numPr>
                <w:ilvl w:val="1"/>
                <w:numId w:val="643"/>
              </w:numPr>
            </w:pPr>
            <w:r>
              <w:t>Réticence persistante à sortir de la maison pour aller à l’école ou au travail.</w:t>
            </w:r>
          </w:p>
          <w:p w:rsidR="005B2BBC" w:rsidRDefault="005B2BBC" w:rsidP="00AF740B">
            <w:pPr>
              <w:pStyle w:val="Sansinterligne"/>
              <w:numPr>
                <w:ilvl w:val="1"/>
                <w:numId w:val="643"/>
              </w:numPr>
            </w:pPr>
            <w:r>
              <w:t>Appréhension excessive à rester seule ou sans une de ses figures d’attachement ou dans un autre environnement</w:t>
            </w:r>
          </w:p>
          <w:p w:rsidR="005B2BBC" w:rsidRDefault="005B2BBC" w:rsidP="00AF740B">
            <w:pPr>
              <w:pStyle w:val="Sansinterligne"/>
              <w:numPr>
                <w:ilvl w:val="1"/>
                <w:numId w:val="643"/>
              </w:numPr>
            </w:pPr>
            <w:r>
              <w:t>Réticence persistante</w:t>
            </w:r>
          </w:p>
          <w:p w:rsidR="005B2BBC" w:rsidRDefault="005B2BBC" w:rsidP="00AF740B">
            <w:pPr>
              <w:pStyle w:val="Sansinterligne"/>
              <w:numPr>
                <w:ilvl w:val="1"/>
                <w:numId w:val="643"/>
              </w:numPr>
            </w:pPr>
            <w:r>
              <w:t>Cauchemars répétés à thème de séparation</w:t>
            </w:r>
          </w:p>
          <w:p w:rsidR="005B2BBC" w:rsidRDefault="005B2BBC" w:rsidP="00AF740B">
            <w:pPr>
              <w:pStyle w:val="Sansinterligne"/>
              <w:numPr>
                <w:ilvl w:val="1"/>
                <w:numId w:val="643"/>
              </w:numPr>
            </w:pPr>
            <w:r>
              <w:t>Plaintes somatiques répétées lors de situation de séparation</w:t>
            </w:r>
          </w:p>
          <w:p w:rsidR="005B2BBC" w:rsidRDefault="005B2BBC" w:rsidP="00AF740B">
            <w:pPr>
              <w:pStyle w:val="Sansinterligne"/>
              <w:numPr>
                <w:ilvl w:val="0"/>
                <w:numId w:val="643"/>
              </w:numPr>
            </w:pPr>
            <w:r>
              <w:t xml:space="preserve">La peur, l’anxiété ou l’évitement persistent </w:t>
            </w:r>
            <w:r w:rsidR="0076145D">
              <w:rPr>
                <w:rFonts w:ascii="Century Gothic" w:hAnsi="Century Gothic"/>
              </w:rPr>
              <w:t>≥</w:t>
            </w:r>
            <w:r>
              <w:t xml:space="preserve">4 mois ou plus (enfants/adolescents) ou </w:t>
            </w:r>
            <w:r w:rsidR="0076145D">
              <w:rPr>
                <w:rFonts w:ascii="Century Gothic" w:hAnsi="Century Gothic"/>
              </w:rPr>
              <w:t>≥</w:t>
            </w:r>
            <w:r w:rsidR="0076145D">
              <w:t xml:space="preserve"> </w:t>
            </w:r>
            <w:r>
              <w:t>6 mois chez l’adulte.</w:t>
            </w:r>
          </w:p>
          <w:p w:rsidR="005B2BBC" w:rsidRDefault="005B2BBC" w:rsidP="00AF740B">
            <w:pPr>
              <w:pStyle w:val="Sansinterligne"/>
              <w:numPr>
                <w:ilvl w:val="0"/>
                <w:numId w:val="643"/>
              </w:numPr>
            </w:pPr>
            <w:r>
              <w:t>Le trouble entraîne une détresse cliniquement significative</w:t>
            </w:r>
            <w:r w:rsidR="00660C9F">
              <w:t xml:space="preserve"> ou dysfonctionnement.</w:t>
            </w:r>
          </w:p>
          <w:p w:rsidR="00660C9F" w:rsidRDefault="00660C9F" w:rsidP="00AF740B">
            <w:pPr>
              <w:pStyle w:val="Sansinterligne"/>
              <w:numPr>
                <w:ilvl w:val="0"/>
                <w:numId w:val="643"/>
              </w:numPr>
            </w:pPr>
            <w:r>
              <w:t>Le trouble n’est pas mieux expliqué par un autre problème mental.</w:t>
            </w:r>
          </w:p>
        </w:tc>
      </w:tr>
    </w:tbl>
    <w:p w:rsidR="00AB6146" w:rsidRDefault="00AB6146" w:rsidP="00B519F2">
      <w:pPr>
        <w:pStyle w:val="Sansinterligne"/>
      </w:pPr>
    </w:p>
    <w:p w:rsidR="00C1070C" w:rsidRDefault="00B24459" w:rsidP="00B519F2">
      <w:pPr>
        <w:pStyle w:val="Sansinterligne"/>
        <w:rPr>
          <w:b/>
        </w:rPr>
      </w:pPr>
      <w:r>
        <w:rPr>
          <w:noProof/>
          <w:lang w:eastAsia="fr-CA"/>
        </w:rPr>
        <w:drawing>
          <wp:anchor distT="0" distB="0" distL="114300" distR="114300" simplePos="0" relativeHeight="251839488" behindDoc="0" locked="0" layoutInCell="1" allowOverlap="1" wp14:anchorId="536F814B" wp14:editId="77C002C5">
            <wp:simplePos x="0" y="0"/>
            <wp:positionH relativeFrom="column">
              <wp:posOffset>323215</wp:posOffset>
            </wp:positionH>
            <wp:positionV relativeFrom="paragraph">
              <wp:posOffset>35560</wp:posOffset>
            </wp:positionV>
            <wp:extent cx="2624455" cy="1925955"/>
            <wp:effectExtent l="0" t="0" r="4445" b="0"/>
            <wp:wrapNone/>
            <wp:docPr id="355" name="Image 355" descr="Résultats de recherche d'images pour « phobie peu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Résultats de recherche d'images pour « phobie peur »"/>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2624455" cy="192595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fr-CA"/>
        </w:rPr>
        <w:drawing>
          <wp:anchor distT="0" distB="0" distL="114300" distR="114300" simplePos="0" relativeHeight="251840512" behindDoc="0" locked="0" layoutInCell="1" allowOverlap="1" wp14:anchorId="1C372852" wp14:editId="0B1282DF">
            <wp:simplePos x="0" y="0"/>
            <wp:positionH relativeFrom="column">
              <wp:posOffset>3920139</wp:posOffset>
            </wp:positionH>
            <wp:positionV relativeFrom="paragraph">
              <wp:posOffset>35966</wp:posOffset>
            </wp:positionV>
            <wp:extent cx="2480553" cy="1906621"/>
            <wp:effectExtent l="0" t="0" r="0" b="0"/>
            <wp:wrapNone/>
            <wp:docPr id="356" name="Image 356" descr="Résultats de recherche d'images pour « agoraphobi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Résultats de recherche d'images pour « agoraphobia »"/>
                    <pic:cNvPicPr>
                      <a:picLocks noChangeAspect="1" noChangeArrowheads="1"/>
                    </pic:cNvPicPr>
                  </pic:nvPicPr>
                  <pic:blipFill rotWithShape="1">
                    <a:blip r:embed="rId223">
                      <a:extLst>
                        <a:ext uri="{28A0092B-C50C-407E-A947-70E740481C1C}">
                          <a14:useLocalDpi xmlns:a14="http://schemas.microsoft.com/office/drawing/2010/main" val="0"/>
                        </a:ext>
                      </a:extLst>
                    </a:blip>
                    <a:srcRect r="13133"/>
                    <a:stretch/>
                  </pic:blipFill>
                  <pic:spPr bwMode="auto">
                    <a:xfrm>
                      <a:off x="0" y="0"/>
                      <a:ext cx="2480553" cy="1906621"/>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C1070C" w:rsidRDefault="00C1070C" w:rsidP="00B519F2">
      <w:pPr>
        <w:pStyle w:val="Sansinterligne"/>
        <w:rPr>
          <w:b/>
        </w:rPr>
      </w:pPr>
    </w:p>
    <w:p w:rsidR="00C1070C" w:rsidRDefault="00C1070C" w:rsidP="00B519F2">
      <w:pPr>
        <w:pStyle w:val="Sansinterligne"/>
        <w:rPr>
          <w:b/>
        </w:rPr>
      </w:pPr>
    </w:p>
    <w:p w:rsidR="00C1070C" w:rsidRDefault="00C1070C" w:rsidP="00B519F2">
      <w:pPr>
        <w:pStyle w:val="Sansinterligne"/>
        <w:rPr>
          <w:b/>
        </w:rPr>
      </w:pPr>
    </w:p>
    <w:p w:rsidR="00C1070C" w:rsidRDefault="00C1070C" w:rsidP="00B519F2">
      <w:pPr>
        <w:pStyle w:val="Sansinterligne"/>
        <w:rPr>
          <w:b/>
        </w:rPr>
      </w:pPr>
    </w:p>
    <w:p w:rsidR="00C1070C" w:rsidRDefault="00C1070C" w:rsidP="00B519F2">
      <w:pPr>
        <w:pStyle w:val="Sansinterligne"/>
        <w:rPr>
          <w:b/>
        </w:rPr>
      </w:pPr>
    </w:p>
    <w:p w:rsidR="00C1070C" w:rsidRDefault="00C1070C" w:rsidP="00B519F2">
      <w:pPr>
        <w:pStyle w:val="Sansinterligne"/>
        <w:rPr>
          <w:b/>
        </w:rPr>
      </w:pPr>
    </w:p>
    <w:p w:rsidR="00C1070C" w:rsidRDefault="00C1070C" w:rsidP="00B519F2">
      <w:pPr>
        <w:pStyle w:val="Sansinterligne"/>
        <w:rPr>
          <w:b/>
        </w:rPr>
      </w:pPr>
    </w:p>
    <w:p w:rsidR="00C1070C" w:rsidRDefault="00C1070C" w:rsidP="00B519F2">
      <w:pPr>
        <w:pStyle w:val="Sansinterligne"/>
        <w:rPr>
          <w:b/>
        </w:rPr>
      </w:pPr>
    </w:p>
    <w:p w:rsidR="00C1070C" w:rsidRDefault="00C1070C" w:rsidP="00B519F2">
      <w:pPr>
        <w:pStyle w:val="Sansinterligne"/>
        <w:rPr>
          <w:b/>
        </w:rPr>
      </w:pPr>
    </w:p>
    <w:p w:rsidR="00C1070C" w:rsidRDefault="00C1070C" w:rsidP="00B519F2">
      <w:pPr>
        <w:pStyle w:val="Sansinterligne"/>
        <w:rPr>
          <w:b/>
        </w:rPr>
      </w:pPr>
    </w:p>
    <w:p w:rsidR="00B24459" w:rsidRDefault="00B24459" w:rsidP="00B519F2">
      <w:pPr>
        <w:pStyle w:val="Sansinterligne"/>
        <w:rPr>
          <w:b/>
        </w:rPr>
      </w:pPr>
    </w:p>
    <w:p w:rsidR="009844EF" w:rsidRPr="00045F04" w:rsidRDefault="009844EF" w:rsidP="00B519F2">
      <w:pPr>
        <w:pStyle w:val="Sansinterligne"/>
        <w:rPr>
          <w:b/>
        </w:rPr>
      </w:pPr>
      <w:r w:rsidRPr="00045F04">
        <w:rPr>
          <w:b/>
        </w:rPr>
        <w:t>Autres causes médicales d’anxiété</w:t>
      </w:r>
    </w:p>
    <w:p w:rsidR="009844EF" w:rsidRDefault="009844EF" w:rsidP="00B519F2">
      <w:pPr>
        <w:pStyle w:val="Sansinterligne"/>
      </w:pPr>
    </w:p>
    <w:tbl>
      <w:tblPr>
        <w:tblStyle w:val="Grilledutableau"/>
        <w:tblW w:w="7338" w:type="dxa"/>
        <w:tblLook w:val="04A0" w:firstRow="1" w:lastRow="0" w:firstColumn="1" w:lastColumn="0" w:noHBand="0" w:noVBand="1"/>
      </w:tblPr>
      <w:tblGrid>
        <w:gridCol w:w="959"/>
        <w:gridCol w:w="6379"/>
      </w:tblGrid>
      <w:tr w:rsidR="00045F04" w:rsidTr="002A1F06">
        <w:trPr>
          <w:cantSplit/>
          <w:trHeight w:val="1134"/>
        </w:trPr>
        <w:tc>
          <w:tcPr>
            <w:tcW w:w="959" w:type="dxa"/>
            <w:shd w:val="clear" w:color="auto" w:fill="C2D69B" w:themeFill="accent3" w:themeFillTint="99"/>
            <w:textDirection w:val="btLr"/>
          </w:tcPr>
          <w:p w:rsidR="00045F04" w:rsidRDefault="00045F04" w:rsidP="00045F04">
            <w:pPr>
              <w:pStyle w:val="Sansinterligne"/>
              <w:ind w:left="113" w:right="113"/>
            </w:pPr>
            <w:r>
              <w:t>Faire une histoire et un examen approprié à la plainte principale dans ces cas</w:t>
            </w:r>
          </w:p>
        </w:tc>
        <w:tc>
          <w:tcPr>
            <w:tcW w:w="6379" w:type="dxa"/>
          </w:tcPr>
          <w:p w:rsidR="00045F04" w:rsidRDefault="009D2E76" w:rsidP="00AF740B">
            <w:pPr>
              <w:pStyle w:val="Sansinterligne"/>
              <w:numPr>
                <w:ilvl w:val="0"/>
                <w:numId w:val="631"/>
              </w:numPr>
            </w:pPr>
            <w:r>
              <w:rPr>
                <w:noProof/>
                <w:lang w:eastAsia="fr-CA"/>
              </w:rPr>
              <w:drawing>
                <wp:anchor distT="0" distB="0" distL="114300" distR="114300" simplePos="0" relativeHeight="251837440" behindDoc="0" locked="0" layoutInCell="1" allowOverlap="1" wp14:anchorId="60335783" wp14:editId="2CB126C4">
                  <wp:simplePos x="0" y="0"/>
                  <wp:positionH relativeFrom="column">
                    <wp:posOffset>4011673</wp:posOffset>
                  </wp:positionH>
                  <wp:positionV relativeFrom="paragraph">
                    <wp:posOffset>-1122</wp:posOffset>
                  </wp:positionV>
                  <wp:extent cx="2266545" cy="2363821"/>
                  <wp:effectExtent l="0" t="0" r="635" b="0"/>
                  <wp:wrapNone/>
                  <wp:docPr id="353" name="Image 353" descr="Résultats de recherche d'images pour « anxiété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Résultats de recherche d'images pour « anxiété »"/>
                          <pic:cNvPicPr>
                            <a:picLocks noChangeAspect="1" noChangeArrowheads="1"/>
                          </pic:cNvPicPr>
                        </pic:nvPicPr>
                        <pic:blipFill rotWithShape="1">
                          <a:blip r:embed="rId224">
                            <a:extLst>
                              <a:ext uri="{28A0092B-C50C-407E-A947-70E740481C1C}">
                                <a14:useLocalDpi xmlns:a14="http://schemas.microsoft.com/office/drawing/2010/main" val="0"/>
                              </a:ext>
                            </a:extLst>
                          </a:blip>
                          <a:srcRect l="16901" t="-1" r="17464" b="3383"/>
                          <a:stretch/>
                        </pic:blipFill>
                        <pic:spPr bwMode="auto">
                          <a:xfrm>
                            <a:off x="0" y="0"/>
                            <a:ext cx="2266545" cy="2363821"/>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45F04">
              <w:t>Infarctus du myocarde</w:t>
            </w:r>
          </w:p>
          <w:p w:rsidR="00045F04" w:rsidRDefault="00045F04" w:rsidP="00AF740B">
            <w:pPr>
              <w:pStyle w:val="Sansinterligne"/>
              <w:numPr>
                <w:ilvl w:val="0"/>
                <w:numId w:val="631"/>
              </w:numPr>
            </w:pPr>
            <w:r>
              <w:t>Embolie pulmonaire</w:t>
            </w:r>
          </w:p>
          <w:p w:rsidR="00045F04" w:rsidRDefault="00045F04" w:rsidP="00AF740B">
            <w:pPr>
              <w:pStyle w:val="Sansinterligne"/>
              <w:numPr>
                <w:ilvl w:val="0"/>
                <w:numId w:val="631"/>
              </w:numPr>
            </w:pPr>
            <w:r>
              <w:t>Insuffisance cardiaque aigue</w:t>
            </w:r>
          </w:p>
          <w:p w:rsidR="00045F04" w:rsidRDefault="00045F04" w:rsidP="00AF740B">
            <w:pPr>
              <w:pStyle w:val="Sansinterligne"/>
              <w:numPr>
                <w:ilvl w:val="0"/>
                <w:numId w:val="631"/>
              </w:numPr>
            </w:pPr>
            <w:r>
              <w:t>Asthme</w:t>
            </w:r>
          </w:p>
          <w:p w:rsidR="00045F04" w:rsidRDefault="00045F04" w:rsidP="00AF740B">
            <w:pPr>
              <w:pStyle w:val="Sansinterligne"/>
              <w:numPr>
                <w:ilvl w:val="0"/>
                <w:numId w:val="631"/>
              </w:numPr>
            </w:pPr>
            <w:r>
              <w:t>Hyperventilation</w:t>
            </w:r>
          </w:p>
          <w:p w:rsidR="00045F04" w:rsidRDefault="00045F04" w:rsidP="00AF740B">
            <w:pPr>
              <w:pStyle w:val="Sansinterligne"/>
              <w:numPr>
                <w:ilvl w:val="0"/>
                <w:numId w:val="631"/>
              </w:numPr>
            </w:pPr>
            <w:r>
              <w:t>Hyperthyroïdie</w:t>
            </w:r>
          </w:p>
          <w:p w:rsidR="00664A45" w:rsidRDefault="00664A45" w:rsidP="00AF740B">
            <w:pPr>
              <w:pStyle w:val="Sansinterligne"/>
              <w:numPr>
                <w:ilvl w:val="0"/>
                <w:numId w:val="631"/>
              </w:numPr>
            </w:pPr>
            <w:r>
              <w:t>Tumeur surrénalienne</w:t>
            </w:r>
          </w:p>
          <w:p w:rsidR="00045F04" w:rsidRDefault="00045F04" w:rsidP="00AF740B">
            <w:pPr>
              <w:pStyle w:val="Sansinterligne"/>
              <w:numPr>
                <w:ilvl w:val="0"/>
                <w:numId w:val="631"/>
              </w:numPr>
            </w:pPr>
            <w:r>
              <w:t>Encéphalite</w:t>
            </w:r>
          </w:p>
          <w:p w:rsidR="00045F04" w:rsidRDefault="00045F04" w:rsidP="00AF740B">
            <w:pPr>
              <w:pStyle w:val="Sansinterligne"/>
              <w:numPr>
                <w:ilvl w:val="0"/>
                <w:numId w:val="631"/>
              </w:numPr>
            </w:pPr>
            <w:r>
              <w:t>Sevrage (alcool, benzodiazépines)</w:t>
            </w:r>
          </w:p>
          <w:p w:rsidR="00045F04" w:rsidRDefault="00045F04" w:rsidP="00AF740B">
            <w:pPr>
              <w:pStyle w:val="Sansinterligne"/>
              <w:numPr>
                <w:ilvl w:val="0"/>
                <w:numId w:val="631"/>
              </w:numPr>
            </w:pPr>
            <w:r>
              <w:t>Intoxications (caféine, amphétamines, cocaïne, pseudoéphédrine)</w:t>
            </w:r>
          </w:p>
          <w:p w:rsidR="00045F04" w:rsidRDefault="00045F04" w:rsidP="00AF740B">
            <w:pPr>
              <w:pStyle w:val="Sansinterligne"/>
              <w:numPr>
                <w:ilvl w:val="0"/>
                <w:numId w:val="631"/>
              </w:numPr>
            </w:pPr>
            <w:r>
              <w:t>Troubles psychotiques</w:t>
            </w:r>
          </w:p>
          <w:p w:rsidR="00045F04" w:rsidRDefault="00045F04" w:rsidP="00AF740B">
            <w:pPr>
              <w:pStyle w:val="Sansinterligne"/>
              <w:numPr>
                <w:ilvl w:val="0"/>
                <w:numId w:val="631"/>
              </w:numPr>
            </w:pPr>
            <w:r>
              <w:t>Trouble de personnalité (obsessif-compulsif, dépendant, etc.)</w:t>
            </w:r>
          </w:p>
          <w:p w:rsidR="00045F04" w:rsidRDefault="00045F04" w:rsidP="00AF740B">
            <w:pPr>
              <w:pStyle w:val="Sansinterligne"/>
              <w:numPr>
                <w:ilvl w:val="0"/>
                <w:numId w:val="631"/>
              </w:numPr>
            </w:pPr>
            <w:r>
              <w:t>Troubles somatoformes</w:t>
            </w:r>
          </w:p>
          <w:p w:rsidR="00045F04" w:rsidRDefault="00045F04" w:rsidP="00AF740B">
            <w:pPr>
              <w:pStyle w:val="Sansinterligne"/>
              <w:numPr>
                <w:ilvl w:val="0"/>
                <w:numId w:val="631"/>
              </w:numPr>
            </w:pPr>
            <w:r>
              <w:t>Troubles de l’humeur avec symptômes anxieux</w:t>
            </w:r>
          </w:p>
        </w:tc>
      </w:tr>
    </w:tbl>
    <w:p w:rsidR="00537E43" w:rsidRPr="008F40CA" w:rsidRDefault="008F40CA" w:rsidP="00537E43">
      <w:pPr>
        <w:pStyle w:val="Sansinterligne"/>
        <w:rPr>
          <w:b/>
          <w:sz w:val="28"/>
          <w:szCs w:val="28"/>
        </w:rPr>
      </w:pPr>
      <w:r w:rsidRPr="008F40CA">
        <w:rPr>
          <w:b/>
          <w:sz w:val="28"/>
          <w:szCs w:val="28"/>
        </w:rPr>
        <w:t>Investigations</w:t>
      </w:r>
    </w:p>
    <w:p w:rsidR="008F40CA" w:rsidRDefault="008F40CA" w:rsidP="00537E43">
      <w:pPr>
        <w:pStyle w:val="Sansinterligne"/>
      </w:pPr>
    </w:p>
    <w:p w:rsidR="008F40CA" w:rsidRDefault="008F40CA" w:rsidP="00AF740B">
      <w:pPr>
        <w:pStyle w:val="Sansinterligne"/>
        <w:numPr>
          <w:ilvl w:val="0"/>
          <w:numId w:val="636"/>
        </w:numPr>
      </w:pPr>
      <w:r>
        <w:t>FSC</w:t>
      </w:r>
    </w:p>
    <w:p w:rsidR="008F40CA" w:rsidRDefault="008F40CA" w:rsidP="00AF740B">
      <w:pPr>
        <w:pStyle w:val="Sansinterligne"/>
        <w:numPr>
          <w:ilvl w:val="0"/>
          <w:numId w:val="636"/>
        </w:numPr>
      </w:pPr>
      <w:r>
        <w:t>TSH</w:t>
      </w:r>
      <w:r w:rsidR="00664A45">
        <w:t xml:space="preserve"> (hyperthyroïdie)</w:t>
      </w:r>
    </w:p>
    <w:p w:rsidR="008F40CA" w:rsidRDefault="008F40CA" w:rsidP="00AF740B">
      <w:pPr>
        <w:pStyle w:val="Sansinterligne"/>
        <w:numPr>
          <w:ilvl w:val="0"/>
          <w:numId w:val="636"/>
        </w:numPr>
      </w:pPr>
      <w:r>
        <w:t>Ions, SMU</w:t>
      </w:r>
      <w:r w:rsidR="00664A45">
        <w:t xml:space="preserve"> (infection)</w:t>
      </w:r>
      <w:r>
        <w:t>, dépistage de drogues de rue</w:t>
      </w:r>
      <w:r w:rsidR="00664A45">
        <w:t xml:space="preserve"> (anxiété induite)</w:t>
      </w:r>
    </w:p>
    <w:p w:rsidR="00664A45" w:rsidRDefault="008F40CA" w:rsidP="00AF740B">
      <w:pPr>
        <w:pStyle w:val="Sansinterligne"/>
        <w:numPr>
          <w:ilvl w:val="0"/>
          <w:numId w:val="636"/>
        </w:numPr>
      </w:pPr>
      <w:r>
        <w:t>ECG, radiographie pulmonaire</w:t>
      </w:r>
      <w:r w:rsidR="00664A45">
        <w:t xml:space="preserve"> (pneumonie, insuffisance cardiaque)</w:t>
      </w:r>
      <w:r>
        <w:t xml:space="preserve">, </w:t>
      </w:r>
      <w:r w:rsidR="00664A45">
        <w:t>TDM (tumeur surrénalienne, etc.)</w:t>
      </w:r>
    </w:p>
    <w:p w:rsidR="008F40CA" w:rsidRPr="00537E43" w:rsidRDefault="00664A45" w:rsidP="00AF740B">
      <w:pPr>
        <w:pStyle w:val="Sansinterligne"/>
        <w:numPr>
          <w:ilvl w:val="0"/>
          <w:numId w:val="636"/>
        </w:numPr>
      </w:pPr>
      <w:r>
        <w:t>C</w:t>
      </w:r>
      <w:r w:rsidR="008F40CA">
        <w:t>onsultation en neurologie selon le contexte</w:t>
      </w:r>
    </w:p>
    <w:p w:rsidR="00537E43" w:rsidRPr="00537E43" w:rsidRDefault="00537E43" w:rsidP="00537E43">
      <w:pPr>
        <w:pStyle w:val="Sansinterligne"/>
      </w:pPr>
    </w:p>
    <w:p w:rsidR="00537E43" w:rsidRPr="008F40CA" w:rsidRDefault="008F40CA" w:rsidP="00537E43">
      <w:pPr>
        <w:pStyle w:val="Sansinterligne"/>
        <w:rPr>
          <w:b/>
          <w:sz w:val="28"/>
          <w:szCs w:val="28"/>
        </w:rPr>
      </w:pPr>
      <w:r w:rsidRPr="008F40CA">
        <w:rPr>
          <w:b/>
          <w:sz w:val="28"/>
          <w:szCs w:val="28"/>
        </w:rPr>
        <w:t>Prise en charge</w:t>
      </w:r>
    </w:p>
    <w:p w:rsidR="00537E43" w:rsidRDefault="00537E43" w:rsidP="00537E43">
      <w:pPr>
        <w:pStyle w:val="Sansinterligne"/>
      </w:pPr>
    </w:p>
    <w:p w:rsidR="00EC3AFC" w:rsidRDefault="00EC3AFC" w:rsidP="00AF740B">
      <w:pPr>
        <w:pStyle w:val="Sansinterligne"/>
        <w:numPr>
          <w:ilvl w:val="0"/>
          <w:numId w:val="652"/>
        </w:numPr>
      </w:pPr>
      <w:r>
        <w:t>S’assurer que le patient ne présente pas d’idées suicidaires</w:t>
      </w:r>
    </w:p>
    <w:p w:rsidR="00EC3AFC" w:rsidRDefault="00EC3AFC" w:rsidP="00AF740B">
      <w:pPr>
        <w:pStyle w:val="Sansinterligne"/>
        <w:numPr>
          <w:ilvl w:val="0"/>
          <w:numId w:val="652"/>
        </w:numPr>
      </w:pPr>
      <w:r>
        <w:t>Suivi régulier, soutien familial</w:t>
      </w:r>
    </w:p>
    <w:p w:rsidR="004C6CC8" w:rsidRPr="00EC3AFC" w:rsidRDefault="00EC3AFC" w:rsidP="00AF740B">
      <w:pPr>
        <w:pStyle w:val="Sansinterligne"/>
        <w:numPr>
          <w:ilvl w:val="0"/>
          <w:numId w:val="652"/>
        </w:numPr>
      </w:pPr>
      <w:r>
        <w:t>Groupes de discussions</w:t>
      </w:r>
    </w:p>
    <w:p w:rsidR="00EC3AFC" w:rsidRDefault="00EC3AFC" w:rsidP="00537E43">
      <w:pPr>
        <w:pStyle w:val="Sansinterligne"/>
        <w:rPr>
          <w:u w:val="single"/>
        </w:rPr>
      </w:pPr>
    </w:p>
    <w:p w:rsidR="00EC3AFC" w:rsidRDefault="00EC3AFC" w:rsidP="00537E43">
      <w:pPr>
        <w:pStyle w:val="Sansinterligne"/>
        <w:rPr>
          <w:u w:val="single"/>
        </w:rPr>
        <w:sectPr w:rsidR="00EC3AFC" w:rsidSect="00217865">
          <w:type w:val="continuous"/>
          <w:pgSz w:w="12240" w:h="15840"/>
          <w:pgMar w:top="720" w:right="720" w:bottom="720" w:left="720" w:header="708" w:footer="708" w:gutter="0"/>
          <w:cols w:space="708"/>
          <w:docGrid w:linePitch="360"/>
        </w:sectPr>
      </w:pPr>
    </w:p>
    <w:p w:rsidR="00537E43" w:rsidRPr="00E01654" w:rsidRDefault="00811E50" w:rsidP="00537E43">
      <w:pPr>
        <w:pStyle w:val="Sansinterligne"/>
        <w:rPr>
          <w:highlight w:val="yellow"/>
          <w:u w:val="single"/>
        </w:rPr>
      </w:pPr>
      <w:r w:rsidRPr="00E01654">
        <w:rPr>
          <w:highlight w:val="yellow"/>
          <w:u w:val="single"/>
        </w:rPr>
        <w:t>Trouble panique</w:t>
      </w:r>
      <w:r w:rsidR="00972B50" w:rsidRPr="00E01654">
        <w:rPr>
          <w:highlight w:val="yellow"/>
          <w:u w:val="single"/>
        </w:rPr>
        <w:t xml:space="preserve"> et </w:t>
      </w:r>
      <w:r w:rsidR="00A6067F">
        <w:rPr>
          <w:highlight w:val="yellow"/>
          <w:u w:val="single"/>
        </w:rPr>
        <w:t>agoraphobie</w:t>
      </w:r>
    </w:p>
    <w:p w:rsidR="00162AB4" w:rsidRPr="00E01654" w:rsidRDefault="00162AB4" w:rsidP="00537E43">
      <w:pPr>
        <w:pStyle w:val="Sansinterligne"/>
        <w:rPr>
          <w:highlight w:val="yellow"/>
          <w:u w:val="single"/>
        </w:rPr>
      </w:pPr>
    </w:p>
    <w:p w:rsidR="00811E50" w:rsidRPr="00E01654" w:rsidRDefault="00811E50" w:rsidP="00AF740B">
      <w:pPr>
        <w:pStyle w:val="Sansinterligne"/>
        <w:numPr>
          <w:ilvl w:val="0"/>
          <w:numId w:val="644"/>
        </w:numPr>
        <w:rPr>
          <w:b/>
          <w:highlight w:val="yellow"/>
        </w:rPr>
      </w:pPr>
      <w:r w:rsidRPr="00E01654">
        <w:rPr>
          <w:b/>
          <w:highlight w:val="yellow"/>
        </w:rPr>
        <w:t>Pyschothérapie cognitivo-comportementale</w:t>
      </w:r>
    </w:p>
    <w:p w:rsidR="00811E50" w:rsidRPr="00E01654" w:rsidRDefault="00811E50" w:rsidP="00AF740B">
      <w:pPr>
        <w:pStyle w:val="Sansinterligne"/>
        <w:numPr>
          <w:ilvl w:val="0"/>
          <w:numId w:val="644"/>
        </w:numPr>
        <w:rPr>
          <w:rFonts w:ascii="Century Gothic" w:hAnsi="Century Gothic"/>
          <w:b/>
          <w:highlight w:val="yellow"/>
        </w:rPr>
      </w:pPr>
      <w:r w:rsidRPr="00E01654">
        <w:rPr>
          <w:b/>
          <w:highlight w:val="yellow"/>
        </w:rPr>
        <w:t xml:space="preserve">ISRS, venlafaxine </w:t>
      </w:r>
    </w:p>
    <w:p w:rsidR="00811E50" w:rsidRPr="00162AB4" w:rsidRDefault="00811E50" w:rsidP="00AF740B">
      <w:pPr>
        <w:pStyle w:val="Sansinterligne"/>
        <w:numPr>
          <w:ilvl w:val="0"/>
          <w:numId w:val="645"/>
        </w:numPr>
      </w:pPr>
      <w:r w:rsidRPr="00162AB4">
        <w:t>Débuter à faible dose, puis titrer selon la réponse</w:t>
      </w:r>
    </w:p>
    <w:p w:rsidR="00811E50" w:rsidRPr="00162AB4" w:rsidRDefault="00811E50" w:rsidP="00AF740B">
      <w:pPr>
        <w:pStyle w:val="Sansinterligne"/>
        <w:numPr>
          <w:ilvl w:val="0"/>
          <w:numId w:val="645"/>
        </w:numPr>
      </w:pPr>
      <w:r w:rsidRPr="00162AB4">
        <w:t>Expliquer les effets secondaires pour prévenir la non-compliance</w:t>
      </w:r>
    </w:p>
    <w:p w:rsidR="00811E50" w:rsidRDefault="00811E50" w:rsidP="00AF740B">
      <w:pPr>
        <w:pStyle w:val="Sansinterligne"/>
        <w:numPr>
          <w:ilvl w:val="0"/>
          <w:numId w:val="644"/>
        </w:numPr>
      </w:pPr>
      <w:r>
        <w:t>Autres antidépresseurs en 2</w:t>
      </w:r>
      <w:r w:rsidRPr="00811E50">
        <w:rPr>
          <w:vertAlign w:val="superscript"/>
        </w:rPr>
        <w:t>e</w:t>
      </w:r>
      <w:r>
        <w:t xml:space="preserve"> ligne (TCA, mirtazapine, IMAO)</w:t>
      </w:r>
    </w:p>
    <w:p w:rsidR="00811E50" w:rsidRPr="00E01654" w:rsidRDefault="00162AB4" w:rsidP="00AF740B">
      <w:pPr>
        <w:pStyle w:val="Sansinterligne"/>
        <w:numPr>
          <w:ilvl w:val="0"/>
          <w:numId w:val="644"/>
        </w:numPr>
        <w:rPr>
          <w:b/>
          <w:highlight w:val="yellow"/>
        </w:rPr>
      </w:pPr>
      <w:r w:rsidRPr="00E01654">
        <w:rPr>
          <w:b/>
          <w:highlight w:val="yellow"/>
        </w:rPr>
        <w:t>Benzodiazépines</w:t>
      </w:r>
    </w:p>
    <w:p w:rsidR="00162AB4" w:rsidRDefault="00162AB4" w:rsidP="00AF740B">
      <w:pPr>
        <w:pStyle w:val="Sansinterligne"/>
        <w:numPr>
          <w:ilvl w:val="1"/>
          <w:numId w:val="644"/>
        </w:numPr>
      </w:pPr>
      <w:r>
        <w:t>Seulement à court terme et à petite dose</w:t>
      </w:r>
    </w:p>
    <w:p w:rsidR="00162AB4" w:rsidRDefault="00162AB4" w:rsidP="00AF740B">
      <w:pPr>
        <w:pStyle w:val="Sansinterligne"/>
        <w:numPr>
          <w:ilvl w:val="1"/>
          <w:numId w:val="644"/>
        </w:numPr>
      </w:pPr>
      <w:r>
        <w:t>Utiliser des molécules à longue-action</w:t>
      </w:r>
    </w:p>
    <w:p w:rsidR="00162AB4" w:rsidRDefault="00162AB4" w:rsidP="00162AB4">
      <w:pPr>
        <w:pStyle w:val="Sansinterligne"/>
      </w:pPr>
    </w:p>
    <w:p w:rsidR="00162AB4" w:rsidRPr="00E01654" w:rsidRDefault="00162AB4" w:rsidP="00162AB4">
      <w:pPr>
        <w:pStyle w:val="Sansinterligne"/>
        <w:rPr>
          <w:highlight w:val="yellow"/>
          <w:u w:val="single"/>
        </w:rPr>
      </w:pPr>
      <w:r w:rsidRPr="00E01654">
        <w:rPr>
          <w:highlight w:val="yellow"/>
          <w:u w:val="single"/>
        </w:rPr>
        <w:t>Trouble anxieux généralisé</w:t>
      </w:r>
    </w:p>
    <w:p w:rsidR="004916E9" w:rsidRPr="00E01654" w:rsidRDefault="004916E9" w:rsidP="00162AB4">
      <w:pPr>
        <w:pStyle w:val="Sansinterligne"/>
        <w:rPr>
          <w:highlight w:val="yellow"/>
          <w:u w:val="single"/>
        </w:rPr>
      </w:pPr>
    </w:p>
    <w:p w:rsidR="00811E50" w:rsidRPr="00E01654" w:rsidRDefault="00162AB4" w:rsidP="00AF740B">
      <w:pPr>
        <w:pStyle w:val="Sansinterligne"/>
        <w:numPr>
          <w:ilvl w:val="0"/>
          <w:numId w:val="646"/>
        </w:numPr>
        <w:rPr>
          <w:highlight w:val="yellow"/>
        </w:rPr>
      </w:pPr>
      <w:r w:rsidRPr="00E01654">
        <w:rPr>
          <w:highlight w:val="yellow"/>
        </w:rPr>
        <w:t>Limiter l’usage de caféine et d’alcool</w:t>
      </w:r>
    </w:p>
    <w:p w:rsidR="00162AB4" w:rsidRPr="00E01654" w:rsidRDefault="00162AB4" w:rsidP="00AF740B">
      <w:pPr>
        <w:pStyle w:val="Sansinterligne"/>
        <w:numPr>
          <w:ilvl w:val="0"/>
          <w:numId w:val="646"/>
        </w:numPr>
        <w:rPr>
          <w:highlight w:val="yellow"/>
        </w:rPr>
      </w:pPr>
      <w:r w:rsidRPr="00E01654">
        <w:rPr>
          <w:highlight w:val="yellow"/>
        </w:rPr>
        <w:t>Utiliser une hygiène de sommeil</w:t>
      </w:r>
    </w:p>
    <w:p w:rsidR="00162AB4" w:rsidRPr="00E01654" w:rsidRDefault="00162AB4" w:rsidP="00AF740B">
      <w:pPr>
        <w:pStyle w:val="Sansinterligne"/>
        <w:numPr>
          <w:ilvl w:val="0"/>
          <w:numId w:val="646"/>
        </w:numPr>
        <w:rPr>
          <w:b/>
          <w:highlight w:val="yellow"/>
        </w:rPr>
      </w:pPr>
      <w:r w:rsidRPr="00E01654">
        <w:rPr>
          <w:b/>
          <w:highlight w:val="yellow"/>
        </w:rPr>
        <w:t>Pyschothérapie cognitivo-comportementale</w:t>
      </w:r>
    </w:p>
    <w:p w:rsidR="00162AB4" w:rsidRPr="00E01654" w:rsidRDefault="00162AB4" w:rsidP="00AF740B">
      <w:pPr>
        <w:pStyle w:val="Sansinterligne"/>
        <w:numPr>
          <w:ilvl w:val="0"/>
          <w:numId w:val="646"/>
        </w:numPr>
        <w:rPr>
          <w:b/>
          <w:highlight w:val="yellow"/>
        </w:rPr>
      </w:pPr>
      <w:r w:rsidRPr="00E01654">
        <w:rPr>
          <w:b/>
          <w:highlight w:val="yellow"/>
        </w:rPr>
        <w:t>ISRS et INRS</w:t>
      </w:r>
      <w:r w:rsidR="00366D36">
        <w:rPr>
          <w:b/>
          <w:highlight w:val="yellow"/>
        </w:rPr>
        <w:t xml:space="preserve"> </w:t>
      </w:r>
      <w:r w:rsidRPr="00E01654">
        <w:rPr>
          <w:b/>
          <w:highlight w:val="yellow"/>
        </w:rPr>
        <w:t>en 1</w:t>
      </w:r>
      <w:r w:rsidRPr="00E01654">
        <w:rPr>
          <w:b/>
          <w:highlight w:val="yellow"/>
          <w:vertAlign w:val="superscript"/>
        </w:rPr>
        <w:t>ère</w:t>
      </w:r>
      <w:r w:rsidRPr="00E01654">
        <w:rPr>
          <w:b/>
          <w:highlight w:val="yellow"/>
        </w:rPr>
        <w:t xml:space="preserve"> ligne</w:t>
      </w:r>
    </w:p>
    <w:p w:rsidR="00162AB4" w:rsidRDefault="00162AB4" w:rsidP="00AF740B">
      <w:pPr>
        <w:pStyle w:val="Sansinterligne"/>
        <w:numPr>
          <w:ilvl w:val="0"/>
          <w:numId w:val="646"/>
        </w:numPr>
        <w:rPr>
          <w:b/>
        </w:rPr>
      </w:pPr>
      <w:r>
        <w:rPr>
          <w:b/>
        </w:rPr>
        <w:t>Bupropion en 2</w:t>
      </w:r>
      <w:r w:rsidRPr="00162AB4">
        <w:rPr>
          <w:b/>
          <w:vertAlign w:val="superscript"/>
        </w:rPr>
        <w:t>e</w:t>
      </w:r>
      <w:r>
        <w:rPr>
          <w:b/>
        </w:rPr>
        <w:t xml:space="preserve"> ligne</w:t>
      </w:r>
    </w:p>
    <w:p w:rsidR="00162AB4" w:rsidRPr="00E01654" w:rsidRDefault="00162AB4" w:rsidP="00AF740B">
      <w:pPr>
        <w:pStyle w:val="Sansinterligne"/>
        <w:numPr>
          <w:ilvl w:val="0"/>
          <w:numId w:val="646"/>
        </w:numPr>
        <w:rPr>
          <w:b/>
          <w:highlight w:val="yellow"/>
        </w:rPr>
      </w:pPr>
      <w:r w:rsidRPr="00E01654">
        <w:rPr>
          <w:b/>
          <w:highlight w:val="yellow"/>
        </w:rPr>
        <w:t>Benzodiazépines</w:t>
      </w:r>
    </w:p>
    <w:p w:rsidR="00162AB4" w:rsidRDefault="00162AB4" w:rsidP="00AF740B">
      <w:pPr>
        <w:pStyle w:val="Sansinterligne"/>
        <w:numPr>
          <w:ilvl w:val="1"/>
          <w:numId w:val="646"/>
        </w:numPr>
      </w:pPr>
      <w:r>
        <w:t>Seulement à court terme et à petite dose</w:t>
      </w:r>
    </w:p>
    <w:p w:rsidR="00162AB4" w:rsidRDefault="00162AB4" w:rsidP="00AF740B">
      <w:pPr>
        <w:pStyle w:val="Sansinterligne"/>
        <w:numPr>
          <w:ilvl w:val="1"/>
          <w:numId w:val="646"/>
        </w:numPr>
      </w:pPr>
      <w:r>
        <w:t>Utiliser des molécules à longue-action</w:t>
      </w:r>
    </w:p>
    <w:p w:rsidR="00162AB4" w:rsidRPr="00162AB4" w:rsidRDefault="00162AB4" w:rsidP="00162AB4">
      <w:pPr>
        <w:pStyle w:val="Sansinterligne"/>
        <w:rPr>
          <w:b/>
        </w:rPr>
      </w:pPr>
    </w:p>
    <w:p w:rsidR="00162AB4" w:rsidRPr="00E01654" w:rsidRDefault="00B5544F" w:rsidP="00537E43">
      <w:pPr>
        <w:pStyle w:val="Sansinterligne"/>
        <w:rPr>
          <w:highlight w:val="yellow"/>
          <w:u w:val="single"/>
        </w:rPr>
      </w:pPr>
      <w:r w:rsidRPr="00E01654">
        <w:rPr>
          <w:highlight w:val="yellow"/>
          <w:u w:val="single"/>
        </w:rPr>
        <w:t>Syndrome de stress post-traumatique</w:t>
      </w:r>
    </w:p>
    <w:p w:rsidR="00B5544F" w:rsidRPr="00E01654" w:rsidRDefault="00B5544F" w:rsidP="00AF740B">
      <w:pPr>
        <w:pStyle w:val="Sansinterligne"/>
        <w:numPr>
          <w:ilvl w:val="0"/>
          <w:numId w:val="647"/>
        </w:numPr>
        <w:rPr>
          <w:highlight w:val="yellow"/>
        </w:rPr>
      </w:pPr>
      <w:r w:rsidRPr="00E01654">
        <w:rPr>
          <w:highlight w:val="yellow"/>
        </w:rPr>
        <w:t>Psychothérapie d’exposition</w:t>
      </w:r>
    </w:p>
    <w:p w:rsidR="00B5544F" w:rsidRPr="00E01654" w:rsidRDefault="00B5544F" w:rsidP="00AF740B">
      <w:pPr>
        <w:pStyle w:val="Sansinterligne"/>
        <w:numPr>
          <w:ilvl w:val="0"/>
          <w:numId w:val="647"/>
        </w:numPr>
        <w:rPr>
          <w:highlight w:val="yellow"/>
        </w:rPr>
      </w:pPr>
      <w:r w:rsidRPr="00E01654">
        <w:rPr>
          <w:highlight w:val="yellow"/>
        </w:rPr>
        <w:t>ISRS</w:t>
      </w:r>
    </w:p>
    <w:p w:rsidR="00B5544F" w:rsidRPr="00E01654" w:rsidRDefault="00B5544F" w:rsidP="00AF740B">
      <w:pPr>
        <w:pStyle w:val="Sansinterligne"/>
        <w:numPr>
          <w:ilvl w:val="0"/>
          <w:numId w:val="647"/>
        </w:numPr>
        <w:rPr>
          <w:highlight w:val="yellow"/>
        </w:rPr>
      </w:pPr>
      <w:r w:rsidRPr="00E01654">
        <w:rPr>
          <w:highlight w:val="yellow"/>
        </w:rPr>
        <w:t>Benzodiazépines si anxiété aigue</w:t>
      </w:r>
    </w:p>
    <w:p w:rsidR="00B5544F" w:rsidRDefault="00B5544F" w:rsidP="00AF740B">
      <w:pPr>
        <w:pStyle w:val="Sansinterligne"/>
        <w:numPr>
          <w:ilvl w:val="0"/>
          <w:numId w:val="647"/>
        </w:numPr>
      </w:pPr>
      <w:r>
        <w:t>Antipsychotiques PRN (risperidone, olanzapine)</w:t>
      </w:r>
    </w:p>
    <w:p w:rsidR="008E3328" w:rsidRDefault="008E3328" w:rsidP="00537E43">
      <w:pPr>
        <w:pStyle w:val="Sansinterligne"/>
      </w:pPr>
    </w:p>
    <w:p w:rsidR="008E3328" w:rsidRPr="00972B50" w:rsidRDefault="008E3328" w:rsidP="00537E43">
      <w:pPr>
        <w:pStyle w:val="Sansinterligne"/>
        <w:rPr>
          <w:u w:val="single"/>
        </w:rPr>
      </w:pPr>
      <w:r w:rsidRPr="00972B50">
        <w:rPr>
          <w:u w:val="single"/>
        </w:rPr>
        <w:t>Phobie sociale et/ou spécifique</w:t>
      </w:r>
    </w:p>
    <w:p w:rsidR="00811E50" w:rsidRDefault="002842BC" w:rsidP="00AF740B">
      <w:pPr>
        <w:pStyle w:val="Sansinterligne"/>
        <w:numPr>
          <w:ilvl w:val="0"/>
          <w:numId w:val="648"/>
        </w:numPr>
      </w:pPr>
      <w:r>
        <w:rPr>
          <w:noProof/>
          <w:lang w:eastAsia="fr-CA"/>
        </w:rPr>
        <w:drawing>
          <wp:anchor distT="0" distB="0" distL="114300" distR="114300" simplePos="0" relativeHeight="251842560" behindDoc="0" locked="0" layoutInCell="1" allowOverlap="1" wp14:anchorId="294B5B9B" wp14:editId="4B06028E">
            <wp:simplePos x="0" y="0"/>
            <wp:positionH relativeFrom="column">
              <wp:posOffset>1370965</wp:posOffset>
            </wp:positionH>
            <wp:positionV relativeFrom="paragraph">
              <wp:posOffset>283542</wp:posOffset>
            </wp:positionV>
            <wp:extent cx="1161415" cy="2198370"/>
            <wp:effectExtent l="0" t="0" r="635" b="0"/>
            <wp:wrapNone/>
            <wp:docPr id="358" name="Image 358" descr="Résultats de recherche d'images pour « diazepa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Résultats de recherche d'images pour « diazepam »"/>
                    <pic:cNvPicPr>
                      <a:picLocks noChangeAspect="1" noChangeArrowheads="1"/>
                    </pic:cNvPicPr>
                  </pic:nvPicPr>
                  <pic:blipFill rotWithShape="1">
                    <a:blip r:embed="rId225" cstate="print">
                      <a:extLst>
                        <a:ext uri="{28A0092B-C50C-407E-A947-70E740481C1C}">
                          <a14:useLocalDpi xmlns:a14="http://schemas.microsoft.com/office/drawing/2010/main" val="0"/>
                        </a:ext>
                      </a:extLst>
                    </a:blip>
                    <a:srcRect l="27095" t="4749" r="26257" b="6984"/>
                    <a:stretch/>
                  </pic:blipFill>
                  <pic:spPr bwMode="auto">
                    <a:xfrm>
                      <a:off x="0" y="0"/>
                      <a:ext cx="1161415" cy="219837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72B50">
        <w:t xml:space="preserve">Psychothérapie TCC (exposition virtuelle et </w:t>
      </w:r>
      <w:r w:rsidR="00972B50" w:rsidRPr="00707309">
        <w:rPr>
          <w:i/>
        </w:rPr>
        <w:t>in viv</w:t>
      </w:r>
      <w:r>
        <w:t xml:space="preserve">o au </w:t>
      </w:r>
      <w:r w:rsidR="00972B50">
        <w:t>stimuli)</w:t>
      </w:r>
    </w:p>
    <w:p w:rsidR="00972B50" w:rsidRDefault="00972B50" w:rsidP="00AF740B">
      <w:pPr>
        <w:pStyle w:val="Sansinterligne"/>
        <w:numPr>
          <w:ilvl w:val="0"/>
          <w:numId w:val="648"/>
        </w:numPr>
      </w:pPr>
      <w:r>
        <w:t>ISRS / ISRN</w:t>
      </w:r>
    </w:p>
    <w:p w:rsidR="00EC3AFC" w:rsidRDefault="00EC3AFC" w:rsidP="00EC3AFC">
      <w:pPr>
        <w:pStyle w:val="Sansinterligne"/>
      </w:pPr>
    </w:p>
    <w:p w:rsidR="00EC3AFC" w:rsidRDefault="00EC3AFC" w:rsidP="00EC3AFC">
      <w:pPr>
        <w:pStyle w:val="Sansinterligne"/>
      </w:pPr>
    </w:p>
    <w:p w:rsidR="00EC3AFC" w:rsidRDefault="00EC3AFC" w:rsidP="00EC3AFC">
      <w:pPr>
        <w:pStyle w:val="Sansinterligne"/>
      </w:pPr>
    </w:p>
    <w:p w:rsidR="00EC3AFC" w:rsidRDefault="00EC3AFC" w:rsidP="00EC3AFC">
      <w:pPr>
        <w:pStyle w:val="Sansinterligne"/>
      </w:pPr>
    </w:p>
    <w:p w:rsidR="00EC3AFC" w:rsidRDefault="00EC3AFC" w:rsidP="00EC3AFC">
      <w:pPr>
        <w:pStyle w:val="Sansinterligne"/>
      </w:pPr>
    </w:p>
    <w:p w:rsidR="00EC3AFC" w:rsidRDefault="00EC3AFC" w:rsidP="00EC3AFC">
      <w:pPr>
        <w:pStyle w:val="Sansinterligne"/>
      </w:pPr>
    </w:p>
    <w:p w:rsidR="00EC3AFC" w:rsidRDefault="00EC3AFC" w:rsidP="00EC3AFC">
      <w:pPr>
        <w:pStyle w:val="Sansinterligne"/>
      </w:pPr>
    </w:p>
    <w:p w:rsidR="00EC3AFC" w:rsidRDefault="00EC3AFC" w:rsidP="00EC3AFC">
      <w:pPr>
        <w:pStyle w:val="Sansinterligne"/>
      </w:pPr>
    </w:p>
    <w:p w:rsidR="00EC3AFC" w:rsidRDefault="00EC3AFC" w:rsidP="00EC3AFC">
      <w:pPr>
        <w:pStyle w:val="Sansinterligne"/>
      </w:pPr>
    </w:p>
    <w:p w:rsidR="00EC3AFC" w:rsidRPr="00537E43" w:rsidRDefault="00EC3AFC" w:rsidP="00EC3AFC">
      <w:pPr>
        <w:pStyle w:val="Sansinterligne"/>
      </w:pPr>
    </w:p>
    <w:p w:rsidR="004C6CC8" w:rsidRDefault="004C6CC8" w:rsidP="00537E43">
      <w:pPr>
        <w:pStyle w:val="Sansinterligne"/>
      </w:pPr>
    </w:p>
    <w:p w:rsidR="004C6CC8" w:rsidRDefault="004C6CC8" w:rsidP="00537E43">
      <w:pPr>
        <w:pStyle w:val="Sansinterligne"/>
      </w:pPr>
    </w:p>
    <w:p w:rsidR="00EC3AFC" w:rsidRDefault="00EC3AFC" w:rsidP="00537E43">
      <w:pPr>
        <w:pStyle w:val="Sansinterligne"/>
        <w:sectPr w:rsidR="00EC3AFC" w:rsidSect="00EC3AFC">
          <w:type w:val="continuous"/>
          <w:pgSz w:w="12240" w:h="15840"/>
          <w:pgMar w:top="720" w:right="720" w:bottom="720" w:left="720" w:header="708" w:footer="708" w:gutter="0"/>
          <w:cols w:num="2" w:space="0"/>
          <w:docGrid w:linePitch="360"/>
        </w:sectPr>
      </w:pPr>
    </w:p>
    <w:p w:rsidR="00537E43" w:rsidRPr="004C6CC8" w:rsidRDefault="004C6CC8" w:rsidP="00537E43">
      <w:pPr>
        <w:pStyle w:val="Sansinterligne"/>
        <w:rPr>
          <w:b/>
          <w:sz w:val="28"/>
          <w:szCs w:val="28"/>
        </w:rPr>
      </w:pPr>
      <w:r w:rsidRPr="004C6CC8">
        <w:rPr>
          <w:b/>
          <w:sz w:val="28"/>
          <w:szCs w:val="28"/>
        </w:rPr>
        <w:t xml:space="preserve">Pharmacothérapie </w:t>
      </w:r>
      <w:r w:rsidR="000E3692">
        <w:rPr>
          <w:b/>
          <w:sz w:val="28"/>
          <w:szCs w:val="28"/>
        </w:rPr>
        <w:t>–</w:t>
      </w:r>
      <w:r w:rsidRPr="004C6CC8">
        <w:rPr>
          <w:b/>
          <w:sz w:val="28"/>
          <w:szCs w:val="28"/>
        </w:rPr>
        <w:t xml:space="preserve"> </w:t>
      </w:r>
      <w:r w:rsidR="000E3692">
        <w:rPr>
          <w:b/>
          <w:sz w:val="28"/>
          <w:szCs w:val="28"/>
        </w:rPr>
        <w:t>Anxiolytiques / Hypnotiques</w:t>
      </w:r>
    </w:p>
    <w:p w:rsidR="00537E43" w:rsidRPr="004C6CC8" w:rsidRDefault="00537E43" w:rsidP="004C6CC8">
      <w:pPr>
        <w:pStyle w:val="Sansinterligne"/>
      </w:pPr>
    </w:p>
    <w:tbl>
      <w:tblPr>
        <w:tblStyle w:val="Grilledutableau"/>
        <w:tblW w:w="0" w:type="auto"/>
        <w:tblLook w:val="04A0" w:firstRow="1" w:lastRow="0" w:firstColumn="1" w:lastColumn="0" w:noHBand="0" w:noVBand="1"/>
      </w:tblPr>
      <w:tblGrid>
        <w:gridCol w:w="3598"/>
        <w:gridCol w:w="3173"/>
        <w:gridCol w:w="4169"/>
      </w:tblGrid>
      <w:tr w:rsidR="002E27F9" w:rsidTr="002A1F06">
        <w:tc>
          <w:tcPr>
            <w:tcW w:w="6771" w:type="dxa"/>
            <w:gridSpan w:val="2"/>
            <w:shd w:val="clear" w:color="auto" w:fill="9BBB59" w:themeFill="accent3"/>
          </w:tcPr>
          <w:p w:rsidR="002E27F9" w:rsidRPr="002E27F9" w:rsidRDefault="002E27F9" w:rsidP="002E27F9">
            <w:pPr>
              <w:pStyle w:val="Sansinterligne"/>
              <w:jc w:val="center"/>
              <w:rPr>
                <w:b/>
              </w:rPr>
            </w:pPr>
            <w:r w:rsidRPr="002E27F9">
              <w:rPr>
                <w:b/>
              </w:rPr>
              <w:t>Indications</w:t>
            </w:r>
          </w:p>
        </w:tc>
        <w:tc>
          <w:tcPr>
            <w:tcW w:w="4169" w:type="dxa"/>
            <w:shd w:val="clear" w:color="auto" w:fill="9BBB59" w:themeFill="accent3"/>
          </w:tcPr>
          <w:p w:rsidR="002E27F9" w:rsidRPr="002E27F9" w:rsidRDefault="002E27F9" w:rsidP="002E27F9">
            <w:pPr>
              <w:pStyle w:val="Sansinterligne"/>
              <w:jc w:val="center"/>
              <w:rPr>
                <w:b/>
              </w:rPr>
            </w:pPr>
            <w:r w:rsidRPr="002E27F9">
              <w:rPr>
                <w:b/>
              </w:rPr>
              <w:t>Contre-indications</w:t>
            </w:r>
          </w:p>
        </w:tc>
      </w:tr>
      <w:tr w:rsidR="00A905CF" w:rsidTr="00A905CF">
        <w:tc>
          <w:tcPr>
            <w:tcW w:w="3598" w:type="dxa"/>
            <w:tcBorders>
              <w:right w:val="single" w:sz="4" w:space="0" w:color="FFFFFF" w:themeColor="background1"/>
            </w:tcBorders>
          </w:tcPr>
          <w:p w:rsidR="00A905CF" w:rsidRDefault="00A905CF" w:rsidP="00AF740B">
            <w:pPr>
              <w:pStyle w:val="Sansinterligne"/>
              <w:numPr>
                <w:ilvl w:val="0"/>
                <w:numId w:val="651"/>
              </w:numPr>
            </w:pPr>
            <w:r>
              <w:t>Troubles anxieux (à court terme)</w:t>
            </w:r>
          </w:p>
          <w:p w:rsidR="00A905CF" w:rsidRDefault="00A905CF" w:rsidP="00AF740B">
            <w:pPr>
              <w:pStyle w:val="Sansinterligne"/>
              <w:numPr>
                <w:ilvl w:val="0"/>
                <w:numId w:val="651"/>
              </w:numPr>
            </w:pPr>
            <w:r>
              <w:t>Insomnie</w:t>
            </w:r>
          </w:p>
          <w:p w:rsidR="00A905CF" w:rsidRDefault="00A905CF" w:rsidP="00AF740B">
            <w:pPr>
              <w:pStyle w:val="Sansinterligne"/>
              <w:numPr>
                <w:ilvl w:val="0"/>
                <w:numId w:val="651"/>
              </w:numPr>
            </w:pPr>
            <w:r>
              <w:t>Sevrage à l’alcool</w:t>
            </w:r>
          </w:p>
          <w:p w:rsidR="00A905CF" w:rsidRDefault="00A905CF" w:rsidP="00AF740B">
            <w:pPr>
              <w:pStyle w:val="Sansinterligne"/>
              <w:numPr>
                <w:ilvl w:val="0"/>
                <w:numId w:val="651"/>
              </w:numPr>
            </w:pPr>
            <w:r>
              <w:t>Sevrage aux barbituriques</w:t>
            </w:r>
          </w:p>
        </w:tc>
        <w:tc>
          <w:tcPr>
            <w:tcW w:w="3173" w:type="dxa"/>
            <w:tcBorders>
              <w:left w:val="single" w:sz="4" w:space="0" w:color="FFFFFF" w:themeColor="background1"/>
            </w:tcBorders>
          </w:tcPr>
          <w:p w:rsidR="00A905CF" w:rsidRDefault="00A905CF" w:rsidP="00AF740B">
            <w:pPr>
              <w:pStyle w:val="Sansinterligne"/>
              <w:numPr>
                <w:ilvl w:val="0"/>
                <w:numId w:val="651"/>
              </w:numPr>
            </w:pPr>
            <w:r>
              <w:t>Agitation</w:t>
            </w:r>
          </w:p>
          <w:p w:rsidR="00A905CF" w:rsidRDefault="00A905CF" w:rsidP="00AF740B">
            <w:pPr>
              <w:pStyle w:val="Sansinterligne"/>
              <w:numPr>
                <w:ilvl w:val="0"/>
                <w:numId w:val="651"/>
              </w:numPr>
            </w:pPr>
            <w:r>
              <w:t>Symptômes extrapyramidaux</w:t>
            </w:r>
          </w:p>
          <w:p w:rsidR="00A905CF" w:rsidRDefault="00A905CF" w:rsidP="00A905CF">
            <w:pPr>
              <w:pStyle w:val="Sansinterligne"/>
              <w:ind w:left="360"/>
            </w:pPr>
            <w:r>
              <w:t>Épilepsie</w:t>
            </w:r>
          </w:p>
        </w:tc>
        <w:tc>
          <w:tcPr>
            <w:tcW w:w="4169" w:type="dxa"/>
          </w:tcPr>
          <w:p w:rsidR="00A905CF" w:rsidRDefault="00A905CF" w:rsidP="00AF740B">
            <w:pPr>
              <w:pStyle w:val="Sansinterligne"/>
              <w:numPr>
                <w:ilvl w:val="0"/>
                <w:numId w:val="650"/>
              </w:numPr>
            </w:pPr>
            <w:r>
              <w:t>Dépression majeure (relative)</w:t>
            </w:r>
          </w:p>
          <w:p w:rsidR="00A905CF" w:rsidRDefault="00A905CF" w:rsidP="00AF740B">
            <w:pPr>
              <w:pStyle w:val="Sansinterligne"/>
              <w:numPr>
                <w:ilvl w:val="0"/>
                <w:numId w:val="650"/>
              </w:numPr>
            </w:pPr>
            <w:r>
              <w:t>ATCD d’abus d’alcool ou de médicaments</w:t>
            </w:r>
          </w:p>
          <w:p w:rsidR="00A905CF" w:rsidRDefault="00A905CF" w:rsidP="00AF740B">
            <w:pPr>
              <w:pStyle w:val="Sansinterligne"/>
              <w:numPr>
                <w:ilvl w:val="0"/>
                <w:numId w:val="650"/>
              </w:numPr>
            </w:pPr>
            <w:r>
              <w:t>Grossesse / allaitement</w:t>
            </w:r>
          </w:p>
        </w:tc>
      </w:tr>
    </w:tbl>
    <w:p w:rsidR="00537E43" w:rsidRPr="004C6CC8" w:rsidRDefault="00537E43" w:rsidP="004C6CC8">
      <w:pPr>
        <w:pStyle w:val="Sansinterligne"/>
      </w:pPr>
    </w:p>
    <w:tbl>
      <w:tblPr>
        <w:tblStyle w:val="Grilledutableau"/>
        <w:tblW w:w="0" w:type="auto"/>
        <w:tblLook w:val="04A0" w:firstRow="1" w:lastRow="0" w:firstColumn="1" w:lastColumn="0" w:noHBand="0" w:noVBand="1"/>
      </w:tblPr>
      <w:tblGrid>
        <w:gridCol w:w="534"/>
        <w:gridCol w:w="2693"/>
        <w:gridCol w:w="2977"/>
        <w:gridCol w:w="4736"/>
      </w:tblGrid>
      <w:tr w:rsidR="00085AF5" w:rsidTr="002A1F06">
        <w:tc>
          <w:tcPr>
            <w:tcW w:w="534" w:type="dxa"/>
            <w:shd w:val="clear" w:color="auto" w:fill="000000" w:themeFill="text1"/>
            <w:textDirection w:val="btLr"/>
            <w:vAlign w:val="center"/>
          </w:tcPr>
          <w:p w:rsidR="00085AF5" w:rsidRDefault="00085AF5" w:rsidP="00085AF5">
            <w:pPr>
              <w:pStyle w:val="Sansinterligne"/>
              <w:ind w:left="113" w:right="113"/>
              <w:jc w:val="center"/>
            </w:pPr>
          </w:p>
        </w:tc>
        <w:tc>
          <w:tcPr>
            <w:tcW w:w="2693" w:type="dxa"/>
            <w:shd w:val="clear" w:color="auto" w:fill="9BBB59" w:themeFill="accent3"/>
          </w:tcPr>
          <w:p w:rsidR="00085AF5" w:rsidRPr="00085AF5" w:rsidRDefault="00085AF5" w:rsidP="00085AF5">
            <w:pPr>
              <w:pStyle w:val="Sansinterligne"/>
              <w:jc w:val="center"/>
              <w:rPr>
                <w:b/>
              </w:rPr>
            </w:pPr>
            <w:r w:rsidRPr="00085AF5">
              <w:rPr>
                <w:b/>
              </w:rPr>
              <w:t>Médicament</w:t>
            </w:r>
          </w:p>
        </w:tc>
        <w:tc>
          <w:tcPr>
            <w:tcW w:w="2977" w:type="dxa"/>
            <w:shd w:val="clear" w:color="auto" w:fill="9BBB59" w:themeFill="accent3"/>
          </w:tcPr>
          <w:p w:rsidR="00085AF5" w:rsidRPr="00085AF5" w:rsidRDefault="00085AF5" w:rsidP="00085AF5">
            <w:pPr>
              <w:pStyle w:val="Sansinterligne"/>
              <w:jc w:val="center"/>
              <w:rPr>
                <w:b/>
              </w:rPr>
            </w:pPr>
            <w:r w:rsidRPr="00085AF5">
              <w:rPr>
                <w:b/>
              </w:rPr>
              <w:t>Intervalle de doses</w:t>
            </w:r>
            <w:r w:rsidR="00A52BC8">
              <w:rPr>
                <w:b/>
              </w:rPr>
              <w:t xml:space="preserve"> (mg/jr)</w:t>
            </w:r>
          </w:p>
        </w:tc>
        <w:tc>
          <w:tcPr>
            <w:tcW w:w="4736" w:type="dxa"/>
            <w:shd w:val="clear" w:color="auto" w:fill="9BBB59" w:themeFill="accent3"/>
          </w:tcPr>
          <w:p w:rsidR="00085AF5" w:rsidRPr="00085AF5" w:rsidRDefault="00085AF5" w:rsidP="00085AF5">
            <w:pPr>
              <w:pStyle w:val="Sansinterligne"/>
              <w:jc w:val="center"/>
              <w:rPr>
                <w:b/>
              </w:rPr>
            </w:pPr>
            <w:r w:rsidRPr="00085AF5">
              <w:rPr>
                <w:b/>
              </w:rPr>
              <w:t>T</w:t>
            </w:r>
            <w:r w:rsidRPr="00085AF5">
              <w:rPr>
                <w:b/>
                <w:vertAlign w:val="subscript"/>
              </w:rPr>
              <w:t xml:space="preserve">1/2 </w:t>
            </w:r>
            <w:r w:rsidRPr="00085AF5">
              <w:rPr>
                <w:b/>
              </w:rPr>
              <w:t>(h)</w:t>
            </w:r>
          </w:p>
        </w:tc>
      </w:tr>
      <w:tr w:rsidR="00085AF5" w:rsidTr="00303548">
        <w:tc>
          <w:tcPr>
            <w:tcW w:w="534" w:type="dxa"/>
            <w:vMerge w:val="restart"/>
            <w:shd w:val="clear" w:color="auto" w:fill="C2D69B" w:themeFill="accent3" w:themeFillTint="99"/>
            <w:textDirection w:val="btLr"/>
            <w:vAlign w:val="center"/>
          </w:tcPr>
          <w:p w:rsidR="00085AF5" w:rsidRDefault="00085AF5" w:rsidP="00085AF5">
            <w:pPr>
              <w:pStyle w:val="Sansinterligne"/>
              <w:ind w:left="113" w:right="113"/>
              <w:jc w:val="center"/>
            </w:pPr>
            <w:r>
              <w:t>Benzodiazépines</w:t>
            </w:r>
          </w:p>
        </w:tc>
        <w:tc>
          <w:tcPr>
            <w:tcW w:w="2693" w:type="dxa"/>
            <w:vAlign w:val="center"/>
          </w:tcPr>
          <w:p w:rsidR="00085AF5" w:rsidRDefault="00A52BC8" w:rsidP="00A52BC8">
            <w:pPr>
              <w:pStyle w:val="Sansinterligne"/>
              <w:jc w:val="center"/>
            </w:pPr>
            <w:r>
              <w:t>Clonazépam</w:t>
            </w:r>
          </w:p>
        </w:tc>
        <w:tc>
          <w:tcPr>
            <w:tcW w:w="2977" w:type="dxa"/>
            <w:vAlign w:val="center"/>
          </w:tcPr>
          <w:p w:rsidR="00085AF5" w:rsidRDefault="00A52BC8" w:rsidP="00A52BC8">
            <w:pPr>
              <w:pStyle w:val="Sansinterligne"/>
              <w:jc w:val="center"/>
            </w:pPr>
            <w:r>
              <w:t>0,25-4</w:t>
            </w:r>
          </w:p>
        </w:tc>
        <w:tc>
          <w:tcPr>
            <w:tcW w:w="4736" w:type="dxa"/>
            <w:vAlign w:val="center"/>
          </w:tcPr>
          <w:p w:rsidR="00085AF5" w:rsidRDefault="00A52BC8" w:rsidP="00A52BC8">
            <w:pPr>
              <w:pStyle w:val="Sansinterligne"/>
              <w:jc w:val="center"/>
            </w:pPr>
            <w:r>
              <w:t>18-50</w:t>
            </w:r>
          </w:p>
        </w:tc>
      </w:tr>
      <w:tr w:rsidR="00085AF5" w:rsidTr="00303548">
        <w:tc>
          <w:tcPr>
            <w:tcW w:w="534" w:type="dxa"/>
            <w:vMerge/>
            <w:shd w:val="clear" w:color="auto" w:fill="C2D69B" w:themeFill="accent3" w:themeFillTint="99"/>
          </w:tcPr>
          <w:p w:rsidR="00085AF5" w:rsidRDefault="00085AF5" w:rsidP="004C6CC8">
            <w:pPr>
              <w:pStyle w:val="Sansinterligne"/>
            </w:pPr>
          </w:p>
        </w:tc>
        <w:tc>
          <w:tcPr>
            <w:tcW w:w="2693" w:type="dxa"/>
            <w:shd w:val="clear" w:color="auto" w:fill="FFFF00"/>
            <w:vAlign w:val="center"/>
          </w:tcPr>
          <w:p w:rsidR="00085AF5" w:rsidRDefault="00A52BC8" w:rsidP="00A52BC8">
            <w:pPr>
              <w:pStyle w:val="Sansinterligne"/>
              <w:jc w:val="center"/>
            </w:pPr>
            <w:r>
              <w:t>Diazépam</w:t>
            </w:r>
          </w:p>
        </w:tc>
        <w:tc>
          <w:tcPr>
            <w:tcW w:w="2977" w:type="dxa"/>
            <w:shd w:val="clear" w:color="auto" w:fill="FFFF00"/>
            <w:vAlign w:val="center"/>
          </w:tcPr>
          <w:p w:rsidR="00085AF5" w:rsidRDefault="00A52BC8" w:rsidP="00A52BC8">
            <w:pPr>
              <w:pStyle w:val="Sansinterligne"/>
              <w:jc w:val="center"/>
            </w:pPr>
            <w:r>
              <w:t>2-40</w:t>
            </w:r>
          </w:p>
        </w:tc>
        <w:tc>
          <w:tcPr>
            <w:tcW w:w="4736" w:type="dxa"/>
            <w:shd w:val="clear" w:color="auto" w:fill="FFFF00"/>
            <w:vAlign w:val="center"/>
          </w:tcPr>
          <w:p w:rsidR="00085AF5" w:rsidRDefault="00A52BC8" w:rsidP="00A52BC8">
            <w:pPr>
              <w:pStyle w:val="Sansinterligne"/>
              <w:jc w:val="center"/>
            </w:pPr>
            <w:r>
              <w:t>30-100</w:t>
            </w:r>
          </w:p>
        </w:tc>
      </w:tr>
      <w:tr w:rsidR="00085AF5" w:rsidTr="00303548">
        <w:tc>
          <w:tcPr>
            <w:tcW w:w="534" w:type="dxa"/>
            <w:vMerge/>
            <w:shd w:val="clear" w:color="auto" w:fill="C2D69B" w:themeFill="accent3" w:themeFillTint="99"/>
          </w:tcPr>
          <w:p w:rsidR="00085AF5" w:rsidRDefault="00085AF5" w:rsidP="004C6CC8">
            <w:pPr>
              <w:pStyle w:val="Sansinterligne"/>
            </w:pPr>
          </w:p>
        </w:tc>
        <w:tc>
          <w:tcPr>
            <w:tcW w:w="2693" w:type="dxa"/>
            <w:vAlign w:val="center"/>
          </w:tcPr>
          <w:p w:rsidR="00085AF5" w:rsidRDefault="00A52BC8" w:rsidP="00A52BC8">
            <w:pPr>
              <w:pStyle w:val="Sansinterligne"/>
              <w:jc w:val="center"/>
            </w:pPr>
            <w:r>
              <w:t>Chlordiazépoxide</w:t>
            </w:r>
          </w:p>
        </w:tc>
        <w:tc>
          <w:tcPr>
            <w:tcW w:w="2977" w:type="dxa"/>
            <w:vAlign w:val="center"/>
          </w:tcPr>
          <w:p w:rsidR="00085AF5" w:rsidRDefault="00A52BC8" w:rsidP="00A52BC8">
            <w:pPr>
              <w:pStyle w:val="Sansinterligne"/>
              <w:jc w:val="center"/>
            </w:pPr>
            <w:r>
              <w:t>5-300</w:t>
            </w:r>
          </w:p>
        </w:tc>
        <w:tc>
          <w:tcPr>
            <w:tcW w:w="4736" w:type="dxa"/>
            <w:vAlign w:val="center"/>
          </w:tcPr>
          <w:p w:rsidR="00085AF5" w:rsidRDefault="00A52BC8" w:rsidP="00A52BC8">
            <w:pPr>
              <w:pStyle w:val="Sansinterligne"/>
              <w:jc w:val="center"/>
            </w:pPr>
            <w:r>
              <w:t>30-100</w:t>
            </w:r>
          </w:p>
        </w:tc>
      </w:tr>
      <w:tr w:rsidR="00085AF5" w:rsidTr="00303548">
        <w:tc>
          <w:tcPr>
            <w:tcW w:w="534" w:type="dxa"/>
            <w:vMerge/>
            <w:shd w:val="clear" w:color="auto" w:fill="C2D69B" w:themeFill="accent3" w:themeFillTint="99"/>
          </w:tcPr>
          <w:p w:rsidR="00085AF5" w:rsidRDefault="00085AF5" w:rsidP="004C6CC8">
            <w:pPr>
              <w:pStyle w:val="Sansinterligne"/>
            </w:pPr>
          </w:p>
        </w:tc>
        <w:tc>
          <w:tcPr>
            <w:tcW w:w="2693" w:type="dxa"/>
            <w:vAlign w:val="center"/>
          </w:tcPr>
          <w:p w:rsidR="00085AF5" w:rsidRDefault="00A52BC8" w:rsidP="00A52BC8">
            <w:pPr>
              <w:pStyle w:val="Sansinterligne"/>
              <w:jc w:val="center"/>
            </w:pPr>
            <w:r>
              <w:t>Flurazépam</w:t>
            </w:r>
          </w:p>
        </w:tc>
        <w:tc>
          <w:tcPr>
            <w:tcW w:w="2977" w:type="dxa"/>
            <w:vAlign w:val="center"/>
          </w:tcPr>
          <w:p w:rsidR="00085AF5" w:rsidRDefault="00A52BC8" w:rsidP="00A52BC8">
            <w:pPr>
              <w:pStyle w:val="Sansinterligne"/>
              <w:jc w:val="center"/>
            </w:pPr>
            <w:r>
              <w:t>15-30</w:t>
            </w:r>
          </w:p>
        </w:tc>
        <w:tc>
          <w:tcPr>
            <w:tcW w:w="4736" w:type="dxa"/>
            <w:vAlign w:val="center"/>
          </w:tcPr>
          <w:p w:rsidR="00085AF5" w:rsidRDefault="00A52BC8" w:rsidP="00A52BC8">
            <w:pPr>
              <w:pStyle w:val="Sansinterligne"/>
              <w:jc w:val="center"/>
            </w:pPr>
            <w:r>
              <w:t>50-160</w:t>
            </w:r>
          </w:p>
        </w:tc>
      </w:tr>
      <w:tr w:rsidR="00085AF5" w:rsidTr="00303548">
        <w:tc>
          <w:tcPr>
            <w:tcW w:w="534" w:type="dxa"/>
            <w:vMerge/>
            <w:shd w:val="clear" w:color="auto" w:fill="C2D69B" w:themeFill="accent3" w:themeFillTint="99"/>
          </w:tcPr>
          <w:p w:rsidR="00085AF5" w:rsidRDefault="00085AF5" w:rsidP="004C6CC8">
            <w:pPr>
              <w:pStyle w:val="Sansinterligne"/>
            </w:pPr>
          </w:p>
        </w:tc>
        <w:tc>
          <w:tcPr>
            <w:tcW w:w="2693" w:type="dxa"/>
            <w:vAlign w:val="center"/>
          </w:tcPr>
          <w:p w:rsidR="00085AF5" w:rsidRDefault="00A52BC8" w:rsidP="00A52BC8">
            <w:pPr>
              <w:pStyle w:val="Sansinterligne"/>
              <w:jc w:val="center"/>
            </w:pPr>
            <w:r>
              <w:t>Alprazolam</w:t>
            </w:r>
          </w:p>
        </w:tc>
        <w:tc>
          <w:tcPr>
            <w:tcW w:w="2977" w:type="dxa"/>
            <w:vAlign w:val="center"/>
          </w:tcPr>
          <w:p w:rsidR="00085AF5" w:rsidRDefault="00A52BC8" w:rsidP="00A52BC8">
            <w:pPr>
              <w:pStyle w:val="Sansinterligne"/>
              <w:jc w:val="center"/>
            </w:pPr>
            <w:r>
              <w:t>0,25-4</w:t>
            </w:r>
          </w:p>
        </w:tc>
        <w:tc>
          <w:tcPr>
            <w:tcW w:w="4736" w:type="dxa"/>
            <w:vAlign w:val="center"/>
          </w:tcPr>
          <w:p w:rsidR="00085AF5" w:rsidRDefault="00A52BC8" w:rsidP="00A52BC8">
            <w:pPr>
              <w:pStyle w:val="Sansinterligne"/>
              <w:jc w:val="center"/>
            </w:pPr>
            <w:r>
              <w:t>6-20</w:t>
            </w:r>
          </w:p>
        </w:tc>
      </w:tr>
      <w:tr w:rsidR="00085AF5" w:rsidTr="00303548">
        <w:tc>
          <w:tcPr>
            <w:tcW w:w="534" w:type="dxa"/>
            <w:vMerge/>
            <w:shd w:val="clear" w:color="auto" w:fill="C2D69B" w:themeFill="accent3" w:themeFillTint="99"/>
          </w:tcPr>
          <w:p w:rsidR="00085AF5" w:rsidRDefault="00085AF5" w:rsidP="004C6CC8">
            <w:pPr>
              <w:pStyle w:val="Sansinterligne"/>
            </w:pPr>
          </w:p>
        </w:tc>
        <w:tc>
          <w:tcPr>
            <w:tcW w:w="2693" w:type="dxa"/>
            <w:shd w:val="clear" w:color="auto" w:fill="FFFF00"/>
            <w:vAlign w:val="center"/>
          </w:tcPr>
          <w:p w:rsidR="00085AF5" w:rsidRDefault="00A52BC8" w:rsidP="00A52BC8">
            <w:pPr>
              <w:pStyle w:val="Sansinterligne"/>
              <w:jc w:val="center"/>
            </w:pPr>
            <w:r>
              <w:t>Lorazépam</w:t>
            </w:r>
          </w:p>
        </w:tc>
        <w:tc>
          <w:tcPr>
            <w:tcW w:w="2977" w:type="dxa"/>
            <w:shd w:val="clear" w:color="auto" w:fill="FFFF00"/>
            <w:vAlign w:val="center"/>
          </w:tcPr>
          <w:p w:rsidR="00085AF5" w:rsidRDefault="00A52BC8" w:rsidP="00A52BC8">
            <w:pPr>
              <w:pStyle w:val="Sansinterligne"/>
              <w:jc w:val="center"/>
            </w:pPr>
            <w:r>
              <w:t>0,5-6</w:t>
            </w:r>
          </w:p>
        </w:tc>
        <w:tc>
          <w:tcPr>
            <w:tcW w:w="4736" w:type="dxa"/>
            <w:shd w:val="clear" w:color="auto" w:fill="FFFF00"/>
            <w:vAlign w:val="center"/>
          </w:tcPr>
          <w:p w:rsidR="00085AF5" w:rsidRDefault="00A52BC8" w:rsidP="00A52BC8">
            <w:pPr>
              <w:pStyle w:val="Sansinterligne"/>
              <w:jc w:val="center"/>
            </w:pPr>
            <w:r>
              <w:t>10-20</w:t>
            </w:r>
          </w:p>
        </w:tc>
      </w:tr>
      <w:tr w:rsidR="00085AF5" w:rsidTr="00303548">
        <w:tc>
          <w:tcPr>
            <w:tcW w:w="534" w:type="dxa"/>
            <w:vMerge/>
            <w:shd w:val="clear" w:color="auto" w:fill="C2D69B" w:themeFill="accent3" w:themeFillTint="99"/>
          </w:tcPr>
          <w:p w:rsidR="00085AF5" w:rsidRDefault="00085AF5" w:rsidP="004C6CC8">
            <w:pPr>
              <w:pStyle w:val="Sansinterligne"/>
            </w:pPr>
          </w:p>
        </w:tc>
        <w:tc>
          <w:tcPr>
            <w:tcW w:w="2693" w:type="dxa"/>
            <w:shd w:val="clear" w:color="auto" w:fill="FFFF00"/>
            <w:vAlign w:val="center"/>
          </w:tcPr>
          <w:p w:rsidR="00085AF5" w:rsidRDefault="00A52BC8" w:rsidP="00A52BC8">
            <w:pPr>
              <w:pStyle w:val="Sansinterligne"/>
              <w:jc w:val="center"/>
            </w:pPr>
            <w:r>
              <w:t>Oxazépam</w:t>
            </w:r>
          </w:p>
        </w:tc>
        <w:tc>
          <w:tcPr>
            <w:tcW w:w="2977" w:type="dxa"/>
            <w:shd w:val="clear" w:color="auto" w:fill="FFFF00"/>
            <w:vAlign w:val="center"/>
          </w:tcPr>
          <w:p w:rsidR="00085AF5" w:rsidRDefault="00A52BC8" w:rsidP="00A52BC8">
            <w:pPr>
              <w:pStyle w:val="Sansinterligne"/>
              <w:jc w:val="center"/>
            </w:pPr>
            <w:r>
              <w:t>10-120</w:t>
            </w:r>
          </w:p>
        </w:tc>
        <w:tc>
          <w:tcPr>
            <w:tcW w:w="4736" w:type="dxa"/>
            <w:shd w:val="clear" w:color="auto" w:fill="FFFF00"/>
            <w:vAlign w:val="center"/>
          </w:tcPr>
          <w:p w:rsidR="00085AF5" w:rsidRDefault="00A52BC8" w:rsidP="00A52BC8">
            <w:pPr>
              <w:pStyle w:val="Sansinterligne"/>
              <w:jc w:val="center"/>
            </w:pPr>
            <w:r>
              <w:t>8-12</w:t>
            </w:r>
          </w:p>
        </w:tc>
      </w:tr>
      <w:tr w:rsidR="00085AF5" w:rsidTr="00303548">
        <w:tc>
          <w:tcPr>
            <w:tcW w:w="534" w:type="dxa"/>
            <w:vMerge/>
            <w:shd w:val="clear" w:color="auto" w:fill="C2D69B" w:themeFill="accent3" w:themeFillTint="99"/>
          </w:tcPr>
          <w:p w:rsidR="00085AF5" w:rsidRDefault="00085AF5" w:rsidP="004C6CC8">
            <w:pPr>
              <w:pStyle w:val="Sansinterligne"/>
            </w:pPr>
          </w:p>
        </w:tc>
        <w:tc>
          <w:tcPr>
            <w:tcW w:w="2693" w:type="dxa"/>
            <w:shd w:val="clear" w:color="auto" w:fill="FFFF00"/>
            <w:vAlign w:val="center"/>
          </w:tcPr>
          <w:p w:rsidR="00085AF5" w:rsidRDefault="00A52BC8" w:rsidP="00A52BC8">
            <w:pPr>
              <w:pStyle w:val="Sansinterligne"/>
              <w:jc w:val="center"/>
            </w:pPr>
            <w:r>
              <w:t>Temazépam</w:t>
            </w:r>
          </w:p>
        </w:tc>
        <w:tc>
          <w:tcPr>
            <w:tcW w:w="2977" w:type="dxa"/>
            <w:shd w:val="clear" w:color="auto" w:fill="FFFF00"/>
            <w:vAlign w:val="center"/>
          </w:tcPr>
          <w:p w:rsidR="00085AF5" w:rsidRDefault="00A52BC8" w:rsidP="00A52BC8">
            <w:pPr>
              <w:pStyle w:val="Sansinterligne"/>
              <w:jc w:val="center"/>
            </w:pPr>
            <w:r>
              <w:t>7,5-30</w:t>
            </w:r>
          </w:p>
        </w:tc>
        <w:tc>
          <w:tcPr>
            <w:tcW w:w="4736" w:type="dxa"/>
            <w:shd w:val="clear" w:color="auto" w:fill="FFFF00"/>
            <w:vAlign w:val="center"/>
          </w:tcPr>
          <w:p w:rsidR="00085AF5" w:rsidRDefault="00A52BC8" w:rsidP="00A52BC8">
            <w:pPr>
              <w:pStyle w:val="Sansinterligne"/>
              <w:jc w:val="center"/>
            </w:pPr>
            <w:r>
              <w:t>8-20</w:t>
            </w:r>
          </w:p>
        </w:tc>
      </w:tr>
      <w:tr w:rsidR="00085AF5" w:rsidTr="00303548">
        <w:tc>
          <w:tcPr>
            <w:tcW w:w="534" w:type="dxa"/>
            <w:vMerge/>
            <w:shd w:val="clear" w:color="auto" w:fill="C2D69B" w:themeFill="accent3" w:themeFillTint="99"/>
          </w:tcPr>
          <w:p w:rsidR="00085AF5" w:rsidRDefault="00085AF5" w:rsidP="004C6CC8">
            <w:pPr>
              <w:pStyle w:val="Sansinterligne"/>
            </w:pPr>
          </w:p>
        </w:tc>
        <w:tc>
          <w:tcPr>
            <w:tcW w:w="2693" w:type="dxa"/>
            <w:vAlign w:val="center"/>
          </w:tcPr>
          <w:p w:rsidR="00085AF5" w:rsidRDefault="00A52BC8" w:rsidP="00A52BC8">
            <w:pPr>
              <w:pStyle w:val="Sansinterligne"/>
              <w:jc w:val="center"/>
            </w:pPr>
            <w:r>
              <w:t>Triazolam</w:t>
            </w:r>
          </w:p>
        </w:tc>
        <w:tc>
          <w:tcPr>
            <w:tcW w:w="2977" w:type="dxa"/>
            <w:vAlign w:val="center"/>
          </w:tcPr>
          <w:p w:rsidR="00085AF5" w:rsidRDefault="00A52BC8" w:rsidP="00A52BC8">
            <w:pPr>
              <w:pStyle w:val="Sansinterligne"/>
              <w:jc w:val="center"/>
            </w:pPr>
            <w:r>
              <w:t>0,125-0,5</w:t>
            </w:r>
          </w:p>
        </w:tc>
        <w:tc>
          <w:tcPr>
            <w:tcW w:w="4736" w:type="dxa"/>
            <w:vAlign w:val="center"/>
          </w:tcPr>
          <w:p w:rsidR="00085AF5" w:rsidRDefault="00A52BC8" w:rsidP="00A52BC8">
            <w:pPr>
              <w:pStyle w:val="Sansinterligne"/>
              <w:jc w:val="center"/>
            </w:pPr>
            <w:r>
              <w:t>1,5-5</w:t>
            </w:r>
          </w:p>
        </w:tc>
      </w:tr>
      <w:tr w:rsidR="00085AF5" w:rsidTr="00303548">
        <w:tc>
          <w:tcPr>
            <w:tcW w:w="534" w:type="dxa"/>
            <w:shd w:val="clear" w:color="auto" w:fill="FF0000"/>
          </w:tcPr>
          <w:p w:rsidR="00085AF5" w:rsidRDefault="00085AF5" w:rsidP="004C6CC8">
            <w:pPr>
              <w:pStyle w:val="Sansinterligne"/>
            </w:pPr>
          </w:p>
        </w:tc>
        <w:tc>
          <w:tcPr>
            <w:tcW w:w="2693" w:type="dxa"/>
            <w:vAlign w:val="center"/>
          </w:tcPr>
          <w:p w:rsidR="00085AF5" w:rsidRDefault="00A52BC8" w:rsidP="00A52BC8">
            <w:pPr>
              <w:pStyle w:val="Sansinterligne"/>
              <w:jc w:val="center"/>
            </w:pPr>
            <w:r>
              <w:t>Buspirone</w:t>
            </w:r>
          </w:p>
        </w:tc>
        <w:tc>
          <w:tcPr>
            <w:tcW w:w="2977" w:type="dxa"/>
            <w:vAlign w:val="center"/>
          </w:tcPr>
          <w:p w:rsidR="00085AF5" w:rsidRDefault="00A52BC8" w:rsidP="00A52BC8">
            <w:pPr>
              <w:pStyle w:val="Sansinterligne"/>
              <w:jc w:val="center"/>
            </w:pPr>
            <w:r>
              <w:t>20-60</w:t>
            </w:r>
          </w:p>
        </w:tc>
        <w:tc>
          <w:tcPr>
            <w:tcW w:w="4736" w:type="dxa"/>
            <w:vAlign w:val="center"/>
          </w:tcPr>
          <w:p w:rsidR="00085AF5" w:rsidRDefault="00A52BC8" w:rsidP="00A52BC8">
            <w:pPr>
              <w:pStyle w:val="Sansinterligne"/>
              <w:jc w:val="center"/>
            </w:pPr>
            <w:r>
              <w:t>2-11</w:t>
            </w:r>
          </w:p>
        </w:tc>
      </w:tr>
      <w:tr w:rsidR="00085AF5" w:rsidTr="00303548">
        <w:tc>
          <w:tcPr>
            <w:tcW w:w="534" w:type="dxa"/>
            <w:shd w:val="clear" w:color="auto" w:fill="CCC0D9" w:themeFill="accent4" w:themeFillTint="66"/>
          </w:tcPr>
          <w:p w:rsidR="00085AF5" w:rsidRDefault="00085AF5" w:rsidP="004C6CC8">
            <w:pPr>
              <w:pStyle w:val="Sansinterligne"/>
            </w:pPr>
          </w:p>
        </w:tc>
        <w:tc>
          <w:tcPr>
            <w:tcW w:w="2693" w:type="dxa"/>
            <w:shd w:val="clear" w:color="auto" w:fill="FFFF00"/>
            <w:vAlign w:val="center"/>
          </w:tcPr>
          <w:p w:rsidR="00085AF5" w:rsidRDefault="00A52BC8" w:rsidP="00A52BC8">
            <w:pPr>
              <w:pStyle w:val="Sansinterligne"/>
              <w:jc w:val="center"/>
            </w:pPr>
            <w:r>
              <w:t>Zopiclone</w:t>
            </w:r>
          </w:p>
        </w:tc>
        <w:tc>
          <w:tcPr>
            <w:tcW w:w="2977" w:type="dxa"/>
            <w:shd w:val="clear" w:color="auto" w:fill="FFFF00"/>
            <w:vAlign w:val="center"/>
          </w:tcPr>
          <w:p w:rsidR="00085AF5" w:rsidRDefault="00A52BC8" w:rsidP="00A52BC8">
            <w:pPr>
              <w:pStyle w:val="Sansinterligne"/>
              <w:jc w:val="center"/>
            </w:pPr>
            <w:r>
              <w:t>5-7,5</w:t>
            </w:r>
          </w:p>
        </w:tc>
        <w:tc>
          <w:tcPr>
            <w:tcW w:w="4736" w:type="dxa"/>
            <w:shd w:val="clear" w:color="auto" w:fill="FFFF00"/>
            <w:vAlign w:val="center"/>
          </w:tcPr>
          <w:p w:rsidR="00085AF5" w:rsidRDefault="00A52BC8" w:rsidP="00A52BC8">
            <w:pPr>
              <w:pStyle w:val="Sansinterligne"/>
              <w:jc w:val="center"/>
            </w:pPr>
            <w:r>
              <w:t>3,8-6,5</w:t>
            </w:r>
          </w:p>
        </w:tc>
      </w:tr>
    </w:tbl>
    <w:p w:rsidR="00537E43" w:rsidRPr="004C6CC8" w:rsidRDefault="00537E43" w:rsidP="004C6CC8">
      <w:pPr>
        <w:pStyle w:val="Sansinterligne"/>
      </w:pPr>
    </w:p>
    <w:p w:rsidR="00537E43" w:rsidRPr="00537E43" w:rsidRDefault="00537E43" w:rsidP="00537E43">
      <w:pPr>
        <w:pStyle w:val="Sansinterligne"/>
      </w:pPr>
    </w:p>
    <w:p w:rsidR="00537E43" w:rsidRPr="00537E43" w:rsidRDefault="00537E43" w:rsidP="00537E43">
      <w:pPr>
        <w:pStyle w:val="Sansinterligne"/>
      </w:pPr>
    </w:p>
    <w:p w:rsidR="00537E43" w:rsidRPr="00537E43" w:rsidRDefault="002842BC" w:rsidP="00537E43">
      <w:pPr>
        <w:pStyle w:val="Sansinterligne"/>
      </w:pPr>
      <w:r>
        <w:rPr>
          <w:noProof/>
          <w:lang w:eastAsia="fr-CA"/>
        </w:rPr>
        <w:drawing>
          <wp:anchor distT="0" distB="0" distL="114300" distR="114300" simplePos="0" relativeHeight="251841536" behindDoc="0" locked="0" layoutInCell="1" allowOverlap="1" wp14:anchorId="143F90AA" wp14:editId="659D8F5D">
            <wp:simplePos x="0" y="0"/>
            <wp:positionH relativeFrom="column">
              <wp:posOffset>1419860</wp:posOffset>
            </wp:positionH>
            <wp:positionV relativeFrom="paragraph">
              <wp:posOffset>126365</wp:posOffset>
            </wp:positionV>
            <wp:extent cx="4338320" cy="3551555"/>
            <wp:effectExtent l="0" t="0" r="5080" b="0"/>
            <wp:wrapNone/>
            <wp:docPr id="357" name="Image 357" descr="Résultats de recherche d'images pour « benzodiazépin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Résultats de recherche d'images pour « benzodiazépines »"/>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4338320" cy="35515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0489F" w:rsidRDefault="0030489F">
      <w:pPr>
        <w:rPr>
          <w:b/>
          <w:color w:val="548DD4" w:themeColor="text2" w:themeTint="99"/>
        </w:rPr>
      </w:pPr>
      <w:r>
        <w:rPr>
          <w:b/>
          <w:color w:val="548DD4" w:themeColor="text2" w:themeTint="99"/>
        </w:rPr>
        <w:br w:type="page"/>
      </w:r>
    </w:p>
    <w:p w:rsidR="001B1E34" w:rsidRDefault="001B1E34" w:rsidP="0073701C">
      <w:pPr>
        <w:pStyle w:val="Sansinterligne"/>
        <w:rPr>
          <w:b/>
          <w:color w:val="548DD4" w:themeColor="text2" w:themeTint="99"/>
        </w:rPr>
      </w:pPr>
      <w:r>
        <w:rPr>
          <w:b/>
          <w:color w:val="548DD4" w:themeColor="text2" w:themeTint="99"/>
        </w:rPr>
        <w:t>CMC 71-1</w:t>
      </w:r>
    </w:p>
    <w:p w:rsidR="001B1E34" w:rsidRPr="001B1E34" w:rsidRDefault="001B1E34" w:rsidP="001B1E34">
      <w:pPr>
        <w:pStyle w:val="Titre3"/>
        <w:spacing w:before="0"/>
        <w:rPr>
          <w:rFonts w:ascii="Times New Roman" w:hAnsi="Times New Roman" w:cs="Times New Roman"/>
        </w:rPr>
      </w:pPr>
      <w:bookmarkStart w:id="209" w:name="_Toc480797302"/>
      <w:r w:rsidRPr="001B1E34">
        <w:rPr>
          <w:rFonts w:ascii="Times New Roman" w:hAnsi="Times New Roman" w:cs="Times New Roman"/>
        </w:rPr>
        <w:t>Enfant qui pleure ou qui geint</w:t>
      </w:r>
      <w:bookmarkEnd w:id="209"/>
    </w:p>
    <w:tbl>
      <w:tblPr>
        <w:tblW w:w="3858" w:type="pct"/>
        <w:tblCellSpacing w:w="0" w:type="dxa"/>
        <w:tblCellMar>
          <w:left w:w="0" w:type="dxa"/>
          <w:right w:w="0" w:type="dxa"/>
        </w:tblCellMar>
        <w:tblLook w:val="04A0" w:firstRow="1" w:lastRow="0" w:firstColumn="1" w:lastColumn="0" w:noHBand="0" w:noVBand="1"/>
      </w:tblPr>
      <w:tblGrid>
        <w:gridCol w:w="8333"/>
      </w:tblGrid>
      <w:tr w:rsidR="001B1E34" w:rsidRPr="001B1E34" w:rsidTr="001B1E34">
        <w:trPr>
          <w:tblCellSpacing w:w="0" w:type="dxa"/>
        </w:trPr>
        <w:tc>
          <w:tcPr>
            <w:tcW w:w="0" w:type="auto"/>
            <w:vAlign w:val="bottom"/>
            <w:hideMark/>
          </w:tcPr>
          <w:p w:rsidR="001B1E34" w:rsidRPr="001B1E34" w:rsidRDefault="001B1E34" w:rsidP="001B1E34">
            <w:pPr>
              <w:pStyle w:val="Sansinterligne"/>
              <w:spacing w:before="240"/>
              <w:rPr>
                <w:rFonts w:cs="Times New Roman"/>
                <w:b/>
                <w:sz w:val="18"/>
                <w:szCs w:val="18"/>
              </w:rPr>
            </w:pPr>
            <w:r>
              <w:rPr>
                <w:rFonts w:cs="Times New Roman"/>
                <w:b/>
                <w:noProof/>
                <w:sz w:val="18"/>
                <w:szCs w:val="18"/>
                <w:lang w:eastAsia="fr-CA"/>
              </w:rPr>
              <mc:AlternateContent>
                <mc:Choice Requires="wps">
                  <w:drawing>
                    <wp:anchor distT="0" distB="0" distL="114300" distR="114300" simplePos="0" relativeHeight="252081152" behindDoc="0" locked="0" layoutInCell="1" allowOverlap="1" wp14:anchorId="6891D92B" wp14:editId="3E454686">
                      <wp:simplePos x="0" y="0"/>
                      <wp:positionH relativeFrom="column">
                        <wp:posOffset>-58366</wp:posOffset>
                      </wp:positionH>
                      <wp:positionV relativeFrom="paragraph">
                        <wp:posOffset>80172</wp:posOffset>
                      </wp:positionV>
                      <wp:extent cx="6867728" cy="2811294"/>
                      <wp:effectExtent l="0" t="0" r="28575" b="27305"/>
                      <wp:wrapNone/>
                      <wp:docPr id="558" name="Rectangle 558"/>
                      <wp:cNvGraphicFramePr/>
                      <a:graphic xmlns:a="http://schemas.openxmlformats.org/drawingml/2006/main">
                        <a:graphicData uri="http://schemas.microsoft.com/office/word/2010/wordprocessingShape">
                          <wps:wsp>
                            <wps:cNvSpPr/>
                            <wps:spPr>
                              <a:xfrm>
                                <a:off x="0" y="0"/>
                                <a:ext cx="6867728" cy="2811294"/>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558" o:spid="_x0000_s1026" style="position:absolute;margin-left:-4.6pt;margin-top:6.3pt;width:540.75pt;height:221.35pt;z-index:2520811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" filled="f" strokecolor="black [1600]" strokeweight="2pt"/>
                  </w:pict>
                </mc:Fallback>
              </mc:AlternateContent>
            </w:r>
            <w:r w:rsidRPr="001B1E34">
              <w:rPr>
                <w:rFonts w:cs="Times New Roman"/>
                <w:b/>
                <w:sz w:val="18"/>
                <w:szCs w:val="18"/>
              </w:rPr>
              <w:t>Objectifs principaux</w:t>
            </w:r>
          </w:p>
        </w:tc>
      </w:tr>
    </w:tbl>
    <w:p w:rsidR="001B1E34" w:rsidRPr="001B1E34" w:rsidRDefault="001B1E34" w:rsidP="001B1E34">
      <w:pPr>
        <w:pStyle w:val="NormalWeb"/>
        <w:ind w:left="360"/>
        <w:rPr>
          <w:color w:val="000000"/>
          <w:sz w:val="18"/>
          <w:szCs w:val="18"/>
          <w:shd w:val="clear" w:color="auto" w:fill="FFFFFF"/>
        </w:rPr>
      </w:pPr>
      <w:r w:rsidRPr="001B1E34">
        <w:rPr>
          <w:color w:val="000000"/>
          <w:sz w:val="18"/>
          <w:szCs w:val="18"/>
          <w:shd w:val="clear" w:color="auto" w:fill="FFFFFF"/>
        </w:rPr>
        <w:t>Dans le cas d'un nourrisson ou d'un enfant qui pleure ou qui geint, le candidat devra diagnostiquer la cause, la gravité et les complications du problème sous-jacent, et mettre en place un plan de prise en charge approprié. Il devra en particulier distinguer les urgences pédiatriques des affections qui ne requièrent aucun traitement d'urgence.</w:t>
      </w:r>
    </w:p>
    <w:tbl>
      <w:tblPr>
        <w:tblW w:w="3897" w:type="pct"/>
        <w:tblCellSpacing w:w="0" w:type="dxa"/>
        <w:tblCellMar>
          <w:left w:w="0" w:type="dxa"/>
          <w:right w:w="0" w:type="dxa"/>
        </w:tblCellMar>
        <w:tblLook w:val="04A0" w:firstRow="1" w:lastRow="0" w:firstColumn="1" w:lastColumn="0" w:noHBand="0" w:noVBand="1"/>
      </w:tblPr>
      <w:tblGrid>
        <w:gridCol w:w="8418"/>
      </w:tblGrid>
      <w:tr w:rsidR="001B1E34" w:rsidRPr="001B1E34" w:rsidTr="001B1E34">
        <w:trPr>
          <w:tblCellSpacing w:w="0" w:type="dxa"/>
        </w:trPr>
        <w:tc>
          <w:tcPr>
            <w:tcW w:w="0" w:type="auto"/>
            <w:vAlign w:val="bottom"/>
            <w:hideMark/>
          </w:tcPr>
          <w:p w:rsidR="001B1E34" w:rsidRPr="001B1E34" w:rsidRDefault="001B1E34" w:rsidP="001B1E34">
            <w:pPr>
              <w:pStyle w:val="Sansinterligne"/>
              <w:rPr>
                <w:rFonts w:cs="Times New Roman"/>
                <w:b/>
                <w:sz w:val="16"/>
                <w:szCs w:val="16"/>
              </w:rPr>
            </w:pPr>
            <w:r w:rsidRPr="001B1E34">
              <w:rPr>
                <w:rFonts w:cs="Times New Roman"/>
                <w:b/>
                <w:sz w:val="16"/>
                <w:szCs w:val="16"/>
              </w:rPr>
              <w:t>Objectifs spécifiques</w:t>
            </w:r>
          </w:p>
        </w:tc>
      </w:tr>
    </w:tbl>
    <w:p w:rsidR="001B1E34" w:rsidRPr="001B1E34" w:rsidRDefault="001B1E34" w:rsidP="001B1E34">
      <w:pPr>
        <w:pStyle w:val="NormalWeb"/>
        <w:shd w:val="clear" w:color="auto" w:fill="FFFFFF"/>
        <w:ind w:left="360"/>
        <w:rPr>
          <w:color w:val="000000"/>
          <w:sz w:val="16"/>
          <w:szCs w:val="16"/>
          <w:shd w:val="clear" w:color="auto" w:fill="FFFFFF"/>
        </w:rPr>
      </w:pPr>
      <w:r w:rsidRPr="001B1E34">
        <w:rPr>
          <w:color w:val="000000"/>
          <w:sz w:val="16"/>
          <w:szCs w:val="16"/>
          <w:shd w:val="clear" w:color="auto" w:fill="FFFFFF"/>
        </w:rPr>
        <w:t>Dans le cas d'un nourrisson ou d'un enfant qui pleure ou qui geint, le candidat devra</w:t>
      </w:r>
    </w:p>
    <w:p w:rsidR="001B1E34" w:rsidRPr="001B1E34" w:rsidRDefault="001B1E34" w:rsidP="00AF6ADC">
      <w:pPr>
        <w:numPr>
          <w:ilvl w:val="0"/>
          <w:numId w:val="1248"/>
        </w:numPr>
        <w:shd w:val="clear" w:color="auto" w:fill="FFFFFF"/>
        <w:spacing w:before="100" w:beforeAutospacing="1" w:after="100" w:afterAutospacing="1" w:line="240" w:lineRule="auto"/>
        <w:rPr>
          <w:rFonts w:cs="Times New Roman"/>
          <w:color w:val="000000"/>
          <w:sz w:val="16"/>
          <w:szCs w:val="16"/>
          <w:shd w:val="clear" w:color="auto" w:fill="FFFFFF"/>
        </w:rPr>
      </w:pPr>
      <w:r w:rsidRPr="001B1E34">
        <w:rPr>
          <w:rFonts w:cs="Times New Roman"/>
          <w:color w:val="000000"/>
          <w:sz w:val="16"/>
          <w:szCs w:val="16"/>
          <w:shd w:val="clear" w:color="auto" w:fill="FFFFFF"/>
        </w:rPr>
        <w:t>énumérer et interpréter les constatations cliniques cruciales, notamment</w:t>
      </w:r>
    </w:p>
    <w:p w:rsidR="001B1E34" w:rsidRPr="001B1E34" w:rsidRDefault="001B1E34" w:rsidP="00AF6ADC">
      <w:pPr>
        <w:numPr>
          <w:ilvl w:val="1"/>
          <w:numId w:val="1248"/>
        </w:numPr>
        <w:shd w:val="clear" w:color="auto" w:fill="FFFFFF"/>
        <w:spacing w:before="100" w:beforeAutospacing="1" w:after="100" w:afterAutospacing="1" w:line="240" w:lineRule="auto"/>
        <w:rPr>
          <w:rFonts w:cs="Times New Roman"/>
          <w:color w:val="000000"/>
          <w:sz w:val="16"/>
          <w:szCs w:val="16"/>
          <w:shd w:val="clear" w:color="auto" w:fill="FFFFFF"/>
        </w:rPr>
      </w:pPr>
      <w:r w:rsidRPr="001B1E34">
        <w:rPr>
          <w:rFonts w:cs="Times New Roman"/>
          <w:color w:val="000000"/>
          <w:sz w:val="16"/>
          <w:szCs w:val="16"/>
          <w:shd w:val="clear" w:color="auto" w:fill="FFFFFF"/>
        </w:rPr>
        <w:t xml:space="preserve">faire l'anamnèse du comportement antérieur du patient, de ses habitudes de sommeil et alimentaires, ainsi que des symptômes </w:t>
      </w:r>
      <w:r w:rsidR="00054853" w:rsidRPr="001B1E34">
        <w:rPr>
          <w:rFonts w:cs="Times New Roman"/>
          <w:color w:val="000000"/>
          <w:sz w:val="16"/>
          <w:szCs w:val="16"/>
          <w:shd w:val="clear" w:color="auto" w:fill="FFFFFF"/>
        </w:rPr>
        <w:t>concomitants</w:t>
      </w:r>
      <w:r w:rsidRPr="001B1E34">
        <w:rPr>
          <w:rFonts w:cs="Times New Roman"/>
          <w:color w:val="000000"/>
          <w:sz w:val="16"/>
          <w:szCs w:val="16"/>
          <w:shd w:val="clear" w:color="auto" w:fill="FFFFFF"/>
        </w:rPr>
        <w:t xml:space="preserve"> (p. ex. fièvre, douleur);</w:t>
      </w:r>
    </w:p>
    <w:p w:rsidR="001B1E34" w:rsidRPr="001B1E34" w:rsidRDefault="001B1E34" w:rsidP="00AF6ADC">
      <w:pPr>
        <w:numPr>
          <w:ilvl w:val="1"/>
          <w:numId w:val="1248"/>
        </w:numPr>
        <w:shd w:val="clear" w:color="auto" w:fill="FFFFFF"/>
        <w:spacing w:before="100" w:beforeAutospacing="1" w:after="100" w:afterAutospacing="1" w:line="240" w:lineRule="auto"/>
        <w:rPr>
          <w:rFonts w:cs="Times New Roman"/>
          <w:color w:val="000000"/>
          <w:sz w:val="16"/>
          <w:szCs w:val="16"/>
          <w:shd w:val="clear" w:color="auto" w:fill="FFFFFF"/>
        </w:rPr>
      </w:pPr>
      <w:r w:rsidRPr="001B1E34">
        <w:rPr>
          <w:rFonts w:cs="Times New Roman"/>
          <w:color w:val="000000"/>
          <w:sz w:val="16"/>
          <w:szCs w:val="16"/>
          <w:shd w:val="clear" w:color="auto" w:fill="FFFFFF"/>
        </w:rPr>
        <w:t>effectuer un examen physique complet afin de déterminer si l'enfant est malade ou non;</w:t>
      </w:r>
    </w:p>
    <w:p w:rsidR="001B1E34" w:rsidRPr="001B1E34" w:rsidRDefault="001B1E34" w:rsidP="00AF6ADC">
      <w:pPr>
        <w:numPr>
          <w:ilvl w:val="0"/>
          <w:numId w:val="1248"/>
        </w:numPr>
        <w:shd w:val="clear" w:color="auto" w:fill="FFFFFF"/>
        <w:spacing w:before="100" w:beforeAutospacing="1" w:after="100" w:afterAutospacing="1" w:line="240" w:lineRule="auto"/>
        <w:rPr>
          <w:rFonts w:cs="Times New Roman"/>
          <w:color w:val="000000"/>
          <w:sz w:val="16"/>
          <w:szCs w:val="16"/>
          <w:shd w:val="clear" w:color="auto" w:fill="FFFFFF"/>
        </w:rPr>
      </w:pPr>
      <w:r w:rsidRPr="001B1E34">
        <w:rPr>
          <w:rFonts w:cs="Times New Roman"/>
          <w:color w:val="000000"/>
          <w:sz w:val="16"/>
          <w:szCs w:val="16"/>
          <w:shd w:val="clear" w:color="auto" w:fill="FFFFFF"/>
        </w:rPr>
        <w:t>énumérer et interpréter les examens essentiels, notamment :</w:t>
      </w:r>
    </w:p>
    <w:p w:rsidR="001B1E34" w:rsidRPr="001B1E34" w:rsidRDefault="001B1E34" w:rsidP="00AF6ADC">
      <w:pPr>
        <w:numPr>
          <w:ilvl w:val="1"/>
          <w:numId w:val="1248"/>
        </w:numPr>
        <w:shd w:val="clear" w:color="auto" w:fill="FFFFFF"/>
        <w:spacing w:before="100" w:beforeAutospacing="1" w:after="100" w:afterAutospacing="1" w:line="240" w:lineRule="auto"/>
        <w:rPr>
          <w:rFonts w:cs="Times New Roman"/>
          <w:color w:val="000000"/>
          <w:sz w:val="16"/>
          <w:szCs w:val="16"/>
          <w:shd w:val="clear" w:color="auto" w:fill="FFFFFF"/>
        </w:rPr>
      </w:pPr>
      <w:r w:rsidRPr="001B1E34">
        <w:rPr>
          <w:rFonts w:cs="Times New Roman"/>
          <w:color w:val="000000"/>
          <w:sz w:val="16"/>
          <w:szCs w:val="16"/>
          <w:shd w:val="clear" w:color="auto" w:fill="FFFFFF"/>
        </w:rPr>
        <w:t>les examens appropriés en cas de soupçon de maladie ou de traumatisme;</w:t>
      </w:r>
    </w:p>
    <w:p w:rsidR="001B1E34" w:rsidRPr="001B1E34" w:rsidRDefault="001B1E34" w:rsidP="00AF6ADC">
      <w:pPr>
        <w:numPr>
          <w:ilvl w:val="0"/>
          <w:numId w:val="1248"/>
        </w:numPr>
        <w:shd w:val="clear" w:color="auto" w:fill="FFFFFF"/>
        <w:spacing w:before="100" w:beforeAutospacing="1" w:after="100" w:afterAutospacing="1" w:line="240" w:lineRule="auto"/>
        <w:rPr>
          <w:rFonts w:cs="Times New Roman"/>
          <w:color w:val="000000"/>
          <w:sz w:val="16"/>
          <w:szCs w:val="16"/>
          <w:shd w:val="clear" w:color="auto" w:fill="FFFFFF"/>
        </w:rPr>
      </w:pPr>
      <w:r w:rsidRPr="001B1E34">
        <w:rPr>
          <w:rFonts w:cs="Times New Roman"/>
          <w:color w:val="000000"/>
          <w:sz w:val="16"/>
          <w:szCs w:val="16"/>
          <w:shd w:val="clear" w:color="auto" w:fill="FFFFFF"/>
        </w:rPr>
        <w:t>établir un plan efficace de prise en charge initiale, notamment :</w:t>
      </w:r>
    </w:p>
    <w:p w:rsidR="001B1E34" w:rsidRPr="001B1E34" w:rsidRDefault="001B1E34" w:rsidP="00AF6ADC">
      <w:pPr>
        <w:numPr>
          <w:ilvl w:val="1"/>
          <w:numId w:val="1248"/>
        </w:numPr>
        <w:shd w:val="clear" w:color="auto" w:fill="FFFFFF"/>
        <w:spacing w:before="100" w:beforeAutospacing="1" w:after="100" w:afterAutospacing="1" w:line="240" w:lineRule="auto"/>
        <w:rPr>
          <w:rFonts w:cs="Times New Roman"/>
          <w:color w:val="000000"/>
          <w:sz w:val="16"/>
          <w:szCs w:val="16"/>
          <w:shd w:val="clear" w:color="auto" w:fill="FFFFFF"/>
        </w:rPr>
      </w:pPr>
      <w:r w:rsidRPr="001B1E34">
        <w:rPr>
          <w:rFonts w:cs="Times New Roman"/>
          <w:color w:val="000000"/>
          <w:sz w:val="16"/>
          <w:szCs w:val="16"/>
          <w:shd w:val="clear" w:color="auto" w:fill="FFFFFF"/>
        </w:rPr>
        <w:t>conseiller les personnes qui prennent soin d'un enfant qui pleure ou qui geint sans être atteint d'une maladie organique;</w:t>
      </w:r>
    </w:p>
    <w:p w:rsidR="001B1E34" w:rsidRPr="001B1E34" w:rsidRDefault="001B1E34" w:rsidP="00AF6ADC">
      <w:pPr>
        <w:numPr>
          <w:ilvl w:val="1"/>
          <w:numId w:val="1248"/>
        </w:numPr>
        <w:shd w:val="clear" w:color="auto" w:fill="FFFFFF"/>
        <w:spacing w:before="100" w:beforeAutospacing="1" w:after="100" w:afterAutospacing="1" w:line="240" w:lineRule="auto"/>
        <w:rPr>
          <w:rFonts w:cs="Times New Roman"/>
          <w:color w:val="000000"/>
          <w:sz w:val="16"/>
          <w:szCs w:val="16"/>
          <w:shd w:val="clear" w:color="auto" w:fill="FFFFFF"/>
        </w:rPr>
      </w:pPr>
      <w:r w:rsidRPr="001B1E34">
        <w:rPr>
          <w:rFonts w:cs="Times New Roman"/>
          <w:color w:val="000000"/>
          <w:sz w:val="16"/>
          <w:szCs w:val="16"/>
          <w:shd w:val="clear" w:color="auto" w:fill="FFFFFF"/>
        </w:rPr>
        <w:t>déterminer si l'enfant a besoin d'un suivi en vue d'examens ou d'une prise en charge plus poussés;</w:t>
      </w:r>
    </w:p>
    <w:p w:rsidR="001B1E34" w:rsidRPr="001B1E34" w:rsidRDefault="001B1E34" w:rsidP="00AF6ADC">
      <w:pPr>
        <w:numPr>
          <w:ilvl w:val="1"/>
          <w:numId w:val="1248"/>
        </w:numPr>
        <w:shd w:val="clear" w:color="auto" w:fill="FFFFFF"/>
        <w:spacing w:before="100" w:beforeAutospacing="1" w:after="100" w:afterAutospacing="1" w:line="240" w:lineRule="auto"/>
        <w:rPr>
          <w:rFonts w:cs="Times New Roman"/>
          <w:color w:val="000000"/>
          <w:sz w:val="16"/>
          <w:szCs w:val="16"/>
          <w:shd w:val="clear" w:color="auto" w:fill="FFFFFF"/>
        </w:rPr>
      </w:pPr>
      <w:r w:rsidRPr="001B1E34">
        <w:rPr>
          <w:rFonts w:cs="Times New Roman"/>
          <w:color w:val="000000"/>
          <w:sz w:val="16"/>
          <w:szCs w:val="16"/>
          <w:shd w:val="clear" w:color="auto" w:fill="FFFFFF"/>
        </w:rPr>
        <w:t>déterminer si l'enfant doit être adressé à un spécialiste, soit en vue d'une consultation urgente ou d'une consultation non urgente.</w:t>
      </w:r>
    </w:p>
    <w:p w:rsidR="001B1E34" w:rsidRPr="00BC0F25" w:rsidRDefault="001B1E34" w:rsidP="0073701C">
      <w:pPr>
        <w:pStyle w:val="Sansinterligne"/>
        <w:rPr>
          <w:b/>
          <w:color w:val="548DD4" w:themeColor="text2" w:themeTint="99"/>
          <w:sz w:val="16"/>
          <w:szCs w:val="16"/>
        </w:rPr>
      </w:pPr>
    </w:p>
    <w:p w:rsidR="00054853" w:rsidRPr="0080016B" w:rsidRDefault="00054853" w:rsidP="00054853">
      <w:pPr>
        <w:pStyle w:val="Sansinterligne"/>
        <w:rPr>
          <w:b/>
          <w:sz w:val="28"/>
          <w:szCs w:val="28"/>
        </w:rPr>
      </w:pPr>
      <w:r w:rsidRPr="0080016B">
        <w:rPr>
          <w:b/>
          <w:sz w:val="28"/>
          <w:szCs w:val="28"/>
        </w:rPr>
        <w:t>Pleurs physiologiques ou normaux</w:t>
      </w:r>
    </w:p>
    <w:p w:rsidR="0080016B" w:rsidRDefault="0080016B" w:rsidP="00054853">
      <w:pPr>
        <w:pStyle w:val="Sansinterligne"/>
      </w:pPr>
    </w:p>
    <w:p w:rsidR="0080016B" w:rsidRDefault="00054853" w:rsidP="00054853">
      <w:pPr>
        <w:pStyle w:val="Sansinterligne"/>
      </w:pPr>
      <w:r>
        <w:t>Dans les 3 premiers mois, de vie un enfant pleure davantage qu’à aucun autre moment. En fait, selon certaines données, les enfants pourraient pleurer (au total) jusqu’à 2 heures par jour</w:t>
      </w:r>
      <w:r w:rsidR="00366D36">
        <w:t xml:space="preserve"> à cet âge</w:t>
      </w:r>
      <w:r>
        <w:t>.</w:t>
      </w:r>
    </w:p>
    <w:p w:rsidR="0080016B" w:rsidRDefault="0080016B" w:rsidP="00054853">
      <w:pPr>
        <w:pStyle w:val="Sansinterligne"/>
      </w:pPr>
    </w:p>
    <w:p w:rsidR="00054853" w:rsidRDefault="0080016B" w:rsidP="00054853">
      <w:pPr>
        <w:pStyle w:val="Sansinterligne"/>
      </w:pPr>
      <w:r>
        <w:t>Dans certaines circonstances, lorsque l’enfant a faim, n’a pas été changé, est irritable ou a peur, il est normal de pleurer.</w:t>
      </w:r>
    </w:p>
    <w:p w:rsidR="00054853" w:rsidRPr="00BC0F25" w:rsidRDefault="00054853" w:rsidP="00054853">
      <w:pPr>
        <w:pStyle w:val="Sansinterligne"/>
        <w:rPr>
          <w:sz w:val="16"/>
          <w:szCs w:val="16"/>
        </w:rPr>
      </w:pPr>
    </w:p>
    <w:p w:rsidR="00054853" w:rsidRPr="0080016B" w:rsidRDefault="00054853" w:rsidP="00054853">
      <w:pPr>
        <w:pStyle w:val="Sansinterligne"/>
        <w:rPr>
          <w:b/>
          <w:sz w:val="28"/>
          <w:szCs w:val="28"/>
        </w:rPr>
      </w:pPr>
      <w:r w:rsidRPr="0080016B">
        <w:rPr>
          <w:b/>
          <w:sz w:val="28"/>
          <w:szCs w:val="28"/>
        </w:rPr>
        <w:t>Diagnostics</w:t>
      </w:r>
    </w:p>
    <w:p w:rsidR="00054853" w:rsidRPr="00BC0F25" w:rsidRDefault="00054853" w:rsidP="00054853">
      <w:pPr>
        <w:pStyle w:val="Sansinterligne"/>
        <w:rPr>
          <w:sz w:val="16"/>
          <w:szCs w:val="16"/>
        </w:rPr>
      </w:pPr>
    </w:p>
    <w:tbl>
      <w:tblPr>
        <w:tblStyle w:val="Grilledutableau"/>
        <w:tblW w:w="0" w:type="auto"/>
        <w:tblLook w:val="04A0" w:firstRow="1" w:lastRow="0" w:firstColumn="1" w:lastColumn="0" w:noHBand="0" w:noVBand="1"/>
      </w:tblPr>
      <w:tblGrid>
        <w:gridCol w:w="2943"/>
        <w:gridCol w:w="4036"/>
        <w:gridCol w:w="4037"/>
      </w:tblGrid>
      <w:tr w:rsidR="00054853" w:rsidRPr="00054853" w:rsidTr="0080016B">
        <w:tc>
          <w:tcPr>
            <w:tcW w:w="2943" w:type="dxa"/>
            <w:shd w:val="clear" w:color="auto" w:fill="FFC000"/>
          </w:tcPr>
          <w:p w:rsidR="00054853" w:rsidRPr="00054853" w:rsidRDefault="00054853" w:rsidP="00DB062E">
            <w:pPr>
              <w:pStyle w:val="Sansinterligne"/>
              <w:jc w:val="center"/>
            </w:pPr>
            <w:r>
              <w:t>Condition</w:t>
            </w:r>
          </w:p>
        </w:tc>
        <w:tc>
          <w:tcPr>
            <w:tcW w:w="8073" w:type="dxa"/>
            <w:gridSpan w:val="2"/>
            <w:shd w:val="clear" w:color="auto" w:fill="FFC000"/>
          </w:tcPr>
          <w:p w:rsidR="00054853" w:rsidRPr="00054853" w:rsidRDefault="00054853" w:rsidP="00DB062E">
            <w:pPr>
              <w:pStyle w:val="Sansinterligne"/>
              <w:jc w:val="center"/>
            </w:pPr>
            <w:r>
              <w:t>Manifestations cliniques</w:t>
            </w:r>
          </w:p>
        </w:tc>
      </w:tr>
      <w:tr w:rsidR="0080016B" w:rsidRPr="00054853" w:rsidTr="0080016B">
        <w:tc>
          <w:tcPr>
            <w:tcW w:w="2943" w:type="dxa"/>
            <w:shd w:val="clear" w:color="auto" w:fill="D6E3BC" w:themeFill="accent3" w:themeFillTint="66"/>
            <w:vAlign w:val="center"/>
          </w:tcPr>
          <w:p w:rsidR="0080016B" w:rsidRPr="009936EF" w:rsidRDefault="0080016B" w:rsidP="0080016B">
            <w:pPr>
              <w:pStyle w:val="Sansinterligne"/>
              <w:jc w:val="center"/>
              <w:rPr>
                <w:b/>
              </w:rPr>
            </w:pPr>
            <w:r w:rsidRPr="009936EF">
              <w:rPr>
                <w:b/>
              </w:rPr>
              <w:t>Colique du nourrisson</w:t>
            </w:r>
          </w:p>
          <w:p w:rsidR="009936EF" w:rsidRDefault="009936EF" w:rsidP="0080016B">
            <w:pPr>
              <w:pStyle w:val="Sansinterligne"/>
              <w:jc w:val="center"/>
            </w:pPr>
          </w:p>
          <w:p w:rsidR="0080016B" w:rsidRPr="00054853" w:rsidRDefault="0080016B" w:rsidP="0080016B">
            <w:pPr>
              <w:pStyle w:val="Sansinterligne"/>
              <w:jc w:val="center"/>
            </w:pPr>
            <w:r>
              <w:t>(étiologie incertaine, possiblement GI)</w:t>
            </w:r>
          </w:p>
        </w:tc>
        <w:tc>
          <w:tcPr>
            <w:tcW w:w="4036" w:type="dxa"/>
            <w:tcBorders>
              <w:right w:val="single" w:sz="4" w:space="0" w:color="FFFF00"/>
            </w:tcBorders>
            <w:shd w:val="clear" w:color="auto" w:fill="FFFF00"/>
          </w:tcPr>
          <w:p w:rsidR="0080016B" w:rsidRDefault="0080016B" w:rsidP="00AF6ADC">
            <w:pPr>
              <w:pStyle w:val="Sansinterligne"/>
              <w:numPr>
                <w:ilvl w:val="0"/>
                <w:numId w:val="1252"/>
              </w:numPr>
            </w:pPr>
            <w:r>
              <w:t>Pleurs sans cause apparente</w:t>
            </w:r>
          </w:p>
          <w:p w:rsidR="0080016B" w:rsidRDefault="0080016B" w:rsidP="00AF6ADC">
            <w:pPr>
              <w:pStyle w:val="Sansinterligne"/>
              <w:numPr>
                <w:ilvl w:val="0"/>
                <w:numId w:val="1252"/>
              </w:numPr>
            </w:pPr>
            <w:r>
              <w:rPr>
                <w:rFonts w:ascii="Century Gothic" w:hAnsi="Century Gothic"/>
              </w:rPr>
              <w:t>≥</w:t>
            </w:r>
            <w:r>
              <w:t xml:space="preserve"> 3 heures par jour, </w:t>
            </w:r>
            <w:r>
              <w:rPr>
                <w:rFonts w:ascii="Century Gothic" w:hAnsi="Century Gothic"/>
              </w:rPr>
              <w:t>≥</w:t>
            </w:r>
            <w:r>
              <w:t xml:space="preserve"> 3 jours par semaine,</w:t>
            </w:r>
            <w:r>
              <w:rPr>
                <w:rFonts w:ascii="Century Gothic" w:hAnsi="Century Gothic"/>
              </w:rPr>
              <w:t>&gt;</w:t>
            </w:r>
            <w:r>
              <w:t xml:space="preserve"> 3 semaines</w:t>
            </w:r>
          </w:p>
          <w:p w:rsidR="0080016B" w:rsidRDefault="0080016B" w:rsidP="00AF6ADC">
            <w:pPr>
              <w:pStyle w:val="Sansinterligne"/>
              <w:numPr>
                <w:ilvl w:val="0"/>
                <w:numId w:val="1252"/>
              </w:numPr>
            </w:pPr>
            <w:r>
              <w:t xml:space="preserve">Âge </w:t>
            </w:r>
            <w:r>
              <w:rPr>
                <w:rFonts w:ascii="Century Gothic" w:hAnsi="Century Gothic"/>
              </w:rPr>
              <w:t>&lt;</w:t>
            </w:r>
            <w:r>
              <w:t xml:space="preserve"> 3 mois</w:t>
            </w:r>
          </w:p>
          <w:p w:rsidR="0080016B" w:rsidRDefault="0080016B" w:rsidP="00AF6ADC">
            <w:pPr>
              <w:pStyle w:val="Sansinterligne"/>
              <w:numPr>
                <w:ilvl w:val="0"/>
                <w:numId w:val="1252"/>
              </w:numPr>
            </w:pPr>
            <w:r>
              <w:t>Généralement + forts qu’à l’habitude</w:t>
            </w:r>
          </w:p>
          <w:p w:rsidR="0080016B" w:rsidRDefault="0080016B" w:rsidP="00AF6ADC">
            <w:pPr>
              <w:pStyle w:val="Sansinterligne"/>
              <w:numPr>
                <w:ilvl w:val="0"/>
                <w:numId w:val="1252"/>
              </w:numPr>
            </w:pPr>
            <w:r>
              <w:t>Inconsolables</w:t>
            </w:r>
          </w:p>
          <w:p w:rsidR="0080016B" w:rsidRDefault="0080016B" w:rsidP="00AF6ADC">
            <w:pPr>
              <w:pStyle w:val="Sansinterligne"/>
              <w:numPr>
                <w:ilvl w:val="0"/>
                <w:numId w:val="1252"/>
              </w:numPr>
            </w:pPr>
            <w:r>
              <w:t>Parfois pseudo-hypertonie : dos arqué, poings fermés, devient rouge, etc.</w:t>
            </w:r>
          </w:p>
        </w:tc>
        <w:tc>
          <w:tcPr>
            <w:tcW w:w="4037" w:type="dxa"/>
            <w:tcBorders>
              <w:left w:val="single" w:sz="4" w:space="0" w:color="FFFF00"/>
            </w:tcBorders>
            <w:shd w:val="clear" w:color="auto" w:fill="FFFF00"/>
          </w:tcPr>
          <w:p w:rsidR="0080016B" w:rsidRDefault="0080016B" w:rsidP="00AF6ADC">
            <w:pPr>
              <w:pStyle w:val="Sansinterligne"/>
              <w:numPr>
                <w:ilvl w:val="0"/>
                <w:numId w:val="1252"/>
              </w:numPr>
            </w:pPr>
            <w:r>
              <w:t>Paroxystiques</w:t>
            </w:r>
          </w:p>
          <w:p w:rsidR="0080016B" w:rsidRDefault="0080016B" w:rsidP="00AF6ADC">
            <w:pPr>
              <w:pStyle w:val="Sansinterligne"/>
              <w:numPr>
                <w:ilvl w:val="1"/>
                <w:numId w:val="1252"/>
              </w:numPr>
            </w:pPr>
            <w:r>
              <w:t>Surviennent de façon abrupte</w:t>
            </w:r>
          </w:p>
          <w:p w:rsidR="0080016B" w:rsidRDefault="0080016B" w:rsidP="00AF6ADC">
            <w:pPr>
              <w:pStyle w:val="Sansinterligne"/>
              <w:numPr>
                <w:ilvl w:val="1"/>
                <w:numId w:val="1252"/>
              </w:numPr>
            </w:pPr>
            <w:r>
              <w:t>N’importe quel moment de la journée, mais plus souvent le soir</w:t>
            </w:r>
          </w:p>
          <w:p w:rsidR="0080016B" w:rsidRDefault="0080016B" w:rsidP="00AF6ADC">
            <w:pPr>
              <w:pStyle w:val="Sansinterligne"/>
              <w:numPr>
                <w:ilvl w:val="1"/>
                <w:numId w:val="1252"/>
              </w:numPr>
            </w:pPr>
            <w:r>
              <w:t>Cessent abruptement</w:t>
            </w:r>
          </w:p>
          <w:p w:rsidR="0080016B" w:rsidRPr="00054853" w:rsidRDefault="0080016B" w:rsidP="0080016B">
            <w:pPr>
              <w:pStyle w:val="Sansinterligne"/>
              <w:ind w:left="360"/>
            </w:pPr>
          </w:p>
        </w:tc>
      </w:tr>
      <w:tr w:rsidR="0075254D" w:rsidRPr="00054853" w:rsidTr="009936EF">
        <w:tc>
          <w:tcPr>
            <w:tcW w:w="2943" w:type="dxa"/>
            <w:shd w:val="clear" w:color="auto" w:fill="D6E3BC" w:themeFill="accent3" w:themeFillTint="66"/>
            <w:vAlign w:val="center"/>
          </w:tcPr>
          <w:p w:rsidR="0075254D" w:rsidRPr="009936EF" w:rsidRDefault="0075254D" w:rsidP="0080016B">
            <w:pPr>
              <w:pStyle w:val="Sansinterligne"/>
              <w:jc w:val="center"/>
              <w:rPr>
                <w:b/>
              </w:rPr>
            </w:pPr>
            <w:r w:rsidRPr="009936EF">
              <w:rPr>
                <w:b/>
              </w:rPr>
              <w:t>Spasmes du sanglot</w:t>
            </w:r>
          </w:p>
        </w:tc>
        <w:tc>
          <w:tcPr>
            <w:tcW w:w="8073" w:type="dxa"/>
            <w:gridSpan w:val="2"/>
            <w:shd w:val="clear" w:color="auto" w:fill="FFFF00"/>
          </w:tcPr>
          <w:p w:rsidR="0075254D" w:rsidRDefault="0075254D" w:rsidP="00AF6ADC">
            <w:pPr>
              <w:pStyle w:val="Sansinterligne"/>
              <w:numPr>
                <w:ilvl w:val="0"/>
                <w:numId w:val="1250"/>
              </w:numPr>
            </w:pPr>
            <w:r>
              <w:t>Pleurs +++</w:t>
            </w:r>
          </w:p>
          <w:p w:rsidR="0075254D" w:rsidRDefault="0075254D" w:rsidP="00AF6ADC">
            <w:pPr>
              <w:pStyle w:val="Sansinterligne"/>
              <w:numPr>
                <w:ilvl w:val="0"/>
                <w:numId w:val="1250"/>
              </w:numPr>
            </w:pPr>
            <w:r>
              <w:t>Généralement causés par la peur, la colère ou une blessure</w:t>
            </w:r>
          </w:p>
          <w:p w:rsidR="0075254D" w:rsidRDefault="0075254D" w:rsidP="00AF6ADC">
            <w:pPr>
              <w:pStyle w:val="Sansinterligne"/>
              <w:numPr>
                <w:ilvl w:val="0"/>
                <w:numId w:val="1250"/>
              </w:numPr>
            </w:pPr>
            <w:r>
              <w:t>Retient sa respiration et devient cyanosé</w:t>
            </w:r>
          </w:p>
          <w:p w:rsidR="0075254D" w:rsidRDefault="0075254D" w:rsidP="00AF6ADC">
            <w:pPr>
              <w:pStyle w:val="Sansinterligne"/>
              <w:numPr>
                <w:ilvl w:val="0"/>
                <w:numId w:val="1250"/>
              </w:numPr>
            </w:pPr>
            <w:r>
              <w:t>Reprend la respiration après un certain temps ou perd brièvement conscience</w:t>
            </w:r>
          </w:p>
        </w:tc>
      </w:tr>
      <w:tr w:rsidR="00054853" w:rsidRPr="00054853" w:rsidTr="0080016B">
        <w:tc>
          <w:tcPr>
            <w:tcW w:w="2943" w:type="dxa"/>
            <w:shd w:val="clear" w:color="auto" w:fill="D6E3BC" w:themeFill="accent3" w:themeFillTint="66"/>
            <w:vAlign w:val="center"/>
          </w:tcPr>
          <w:p w:rsidR="00054853" w:rsidRDefault="00054853" w:rsidP="0080016B">
            <w:pPr>
              <w:pStyle w:val="Sansinterligne"/>
              <w:jc w:val="center"/>
            </w:pPr>
            <w:r w:rsidRPr="00054853">
              <w:t>Trauma</w:t>
            </w:r>
          </w:p>
          <w:p w:rsidR="0078305E" w:rsidRPr="00054853" w:rsidRDefault="0078305E" w:rsidP="0080016B">
            <w:pPr>
              <w:pStyle w:val="Sansinterligne"/>
              <w:jc w:val="center"/>
            </w:pPr>
            <w:r>
              <w:t>(incluant maltraitance)</w:t>
            </w:r>
          </w:p>
        </w:tc>
        <w:tc>
          <w:tcPr>
            <w:tcW w:w="8073" w:type="dxa"/>
            <w:gridSpan w:val="2"/>
          </w:tcPr>
          <w:p w:rsidR="00054853" w:rsidRDefault="0078305E" w:rsidP="00AF6ADC">
            <w:pPr>
              <w:pStyle w:val="Sansinterligne"/>
              <w:numPr>
                <w:ilvl w:val="0"/>
                <w:numId w:val="1249"/>
              </w:numPr>
            </w:pPr>
            <w:r>
              <w:t>Ecchymoses</w:t>
            </w:r>
          </w:p>
          <w:p w:rsidR="0078305E" w:rsidRDefault="0078305E" w:rsidP="00AF6ADC">
            <w:pPr>
              <w:pStyle w:val="Sansinterligne"/>
              <w:numPr>
                <w:ilvl w:val="0"/>
                <w:numId w:val="1249"/>
              </w:numPr>
            </w:pPr>
            <w:r>
              <w:t>Pétéchies</w:t>
            </w:r>
          </w:p>
          <w:p w:rsidR="0078305E" w:rsidRPr="00054853" w:rsidRDefault="0078305E" w:rsidP="00054853">
            <w:pPr>
              <w:pStyle w:val="Sansinterligne"/>
            </w:pPr>
            <w:r>
              <w:t xml:space="preserve">Voir </w:t>
            </w:r>
            <w:r w:rsidRPr="0078305E">
              <w:rPr>
                <w:i/>
              </w:rPr>
              <w:t>Mauvais traitement envers un enfant CMC 114-1</w:t>
            </w:r>
          </w:p>
        </w:tc>
      </w:tr>
      <w:tr w:rsidR="0080016B" w:rsidRPr="00054853" w:rsidTr="0080016B">
        <w:tc>
          <w:tcPr>
            <w:tcW w:w="2943" w:type="dxa"/>
            <w:shd w:val="clear" w:color="auto" w:fill="D6E3BC" w:themeFill="accent3" w:themeFillTint="66"/>
            <w:vAlign w:val="center"/>
          </w:tcPr>
          <w:p w:rsidR="0080016B" w:rsidRDefault="0080016B" w:rsidP="0080016B">
            <w:pPr>
              <w:pStyle w:val="Sansinterligne"/>
              <w:jc w:val="center"/>
            </w:pPr>
            <w:r>
              <w:t>Pleurs pathologiques</w:t>
            </w:r>
          </w:p>
        </w:tc>
        <w:tc>
          <w:tcPr>
            <w:tcW w:w="4036" w:type="dxa"/>
            <w:tcBorders>
              <w:right w:val="single" w:sz="4" w:space="0" w:color="FFFFFF" w:themeColor="background1"/>
            </w:tcBorders>
          </w:tcPr>
          <w:p w:rsidR="0080016B" w:rsidRDefault="0080016B" w:rsidP="00AF6ADC">
            <w:pPr>
              <w:pStyle w:val="Sansinterligne"/>
              <w:numPr>
                <w:ilvl w:val="0"/>
                <w:numId w:val="1251"/>
              </w:numPr>
            </w:pPr>
            <w:r>
              <w:t>Début après l’âge de 2 mois</w:t>
            </w:r>
          </w:p>
          <w:p w:rsidR="0080016B" w:rsidRDefault="0080016B" w:rsidP="00AF6ADC">
            <w:pPr>
              <w:pStyle w:val="Sansinterligne"/>
              <w:numPr>
                <w:ilvl w:val="0"/>
                <w:numId w:val="1251"/>
              </w:numPr>
            </w:pPr>
            <w:r>
              <w:t>Persistants après 3 mois, sans prédominance le soir</w:t>
            </w:r>
          </w:p>
          <w:p w:rsidR="0080016B" w:rsidRDefault="0080016B" w:rsidP="00AF6ADC">
            <w:pPr>
              <w:pStyle w:val="Sansinterligne"/>
              <w:numPr>
                <w:ilvl w:val="0"/>
                <w:numId w:val="1251"/>
              </w:numPr>
            </w:pPr>
            <w:r>
              <w:t>Difficulté alimentaire</w:t>
            </w:r>
          </w:p>
        </w:tc>
        <w:tc>
          <w:tcPr>
            <w:tcW w:w="4037" w:type="dxa"/>
            <w:tcBorders>
              <w:left w:val="single" w:sz="4" w:space="0" w:color="FFFFFF" w:themeColor="background1"/>
            </w:tcBorders>
          </w:tcPr>
          <w:p w:rsidR="0080016B" w:rsidRDefault="0080016B" w:rsidP="00AF6ADC">
            <w:pPr>
              <w:pStyle w:val="Sansinterligne"/>
              <w:numPr>
                <w:ilvl w:val="0"/>
                <w:numId w:val="1251"/>
              </w:numPr>
            </w:pPr>
            <w:r>
              <w:t>Retard staturo-pondéral</w:t>
            </w:r>
          </w:p>
          <w:p w:rsidR="0080016B" w:rsidRDefault="0080016B" w:rsidP="00AF6ADC">
            <w:pPr>
              <w:pStyle w:val="Sansinterligne"/>
              <w:numPr>
                <w:ilvl w:val="0"/>
                <w:numId w:val="1251"/>
              </w:numPr>
            </w:pPr>
            <w:r>
              <w:t>Retard de développent</w:t>
            </w:r>
          </w:p>
          <w:p w:rsidR="0080016B" w:rsidRDefault="0080016B" w:rsidP="00AF6ADC">
            <w:pPr>
              <w:pStyle w:val="Sansinterligne"/>
              <w:numPr>
                <w:ilvl w:val="0"/>
                <w:numId w:val="1251"/>
              </w:numPr>
            </w:pPr>
            <w:r>
              <w:t>Divers symptômes localisateurs</w:t>
            </w:r>
          </w:p>
        </w:tc>
      </w:tr>
      <w:tr w:rsidR="00054853" w:rsidRPr="00054853" w:rsidTr="0080016B">
        <w:tc>
          <w:tcPr>
            <w:tcW w:w="2943" w:type="dxa"/>
            <w:shd w:val="clear" w:color="auto" w:fill="D6E3BC" w:themeFill="accent3" w:themeFillTint="66"/>
            <w:vAlign w:val="center"/>
          </w:tcPr>
          <w:p w:rsidR="00054853" w:rsidRPr="00054853" w:rsidRDefault="0078305E" w:rsidP="0080016B">
            <w:pPr>
              <w:pStyle w:val="Sansinterligne"/>
              <w:jc w:val="center"/>
            </w:pPr>
            <w:r>
              <w:t>Dyspnée</w:t>
            </w:r>
          </w:p>
        </w:tc>
        <w:tc>
          <w:tcPr>
            <w:tcW w:w="8073" w:type="dxa"/>
            <w:gridSpan w:val="2"/>
          </w:tcPr>
          <w:p w:rsidR="00054853" w:rsidRPr="00054853" w:rsidRDefault="0078305E" w:rsidP="00054853">
            <w:pPr>
              <w:pStyle w:val="Sansinterligne"/>
            </w:pPr>
            <w:r>
              <w:t xml:space="preserve">Voir </w:t>
            </w:r>
            <w:r w:rsidRPr="0078305E">
              <w:rPr>
                <w:i/>
              </w:rPr>
              <w:t>Détresse respiratoire chez l’enfant CMC 27-3</w:t>
            </w:r>
          </w:p>
        </w:tc>
      </w:tr>
      <w:tr w:rsidR="00054853" w:rsidRPr="00054853" w:rsidTr="0080016B">
        <w:tc>
          <w:tcPr>
            <w:tcW w:w="2943" w:type="dxa"/>
            <w:shd w:val="clear" w:color="auto" w:fill="D6E3BC" w:themeFill="accent3" w:themeFillTint="66"/>
            <w:vAlign w:val="center"/>
          </w:tcPr>
          <w:p w:rsidR="00054853" w:rsidRPr="00054853" w:rsidRDefault="0078305E" w:rsidP="0080016B">
            <w:pPr>
              <w:pStyle w:val="Sansinterligne"/>
              <w:jc w:val="center"/>
            </w:pPr>
            <w:r>
              <w:t>Fièvre</w:t>
            </w:r>
          </w:p>
        </w:tc>
        <w:tc>
          <w:tcPr>
            <w:tcW w:w="8073" w:type="dxa"/>
            <w:gridSpan w:val="2"/>
          </w:tcPr>
          <w:p w:rsidR="00054853" w:rsidRPr="00054853" w:rsidRDefault="0078305E" w:rsidP="00054853">
            <w:pPr>
              <w:pStyle w:val="Sansinterligne"/>
            </w:pPr>
            <w:r>
              <w:t xml:space="preserve">Voir </w:t>
            </w:r>
            <w:r>
              <w:rPr>
                <w:i/>
              </w:rPr>
              <w:t>F</w:t>
            </w:r>
            <w:r w:rsidRPr="0078305E">
              <w:rPr>
                <w:i/>
              </w:rPr>
              <w:t>ièvre chez un nouveau-né / chez un enfant CMC 107-3</w:t>
            </w:r>
          </w:p>
        </w:tc>
      </w:tr>
      <w:tr w:rsidR="00054853" w:rsidTr="0080016B">
        <w:tc>
          <w:tcPr>
            <w:tcW w:w="2943" w:type="dxa"/>
            <w:shd w:val="clear" w:color="auto" w:fill="D6E3BC" w:themeFill="accent3" w:themeFillTint="66"/>
            <w:vAlign w:val="center"/>
          </w:tcPr>
          <w:p w:rsidR="00054853" w:rsidRDefault="0078305E" w:rsidP="0080016B">
            <w:pPr>
              <w:pStyle w:val="Sansinterligne"/>
              <w:jc w:val="center"/>
            </w:pPr>
            <w:r>
              <w:t>Douleur abdominale</w:t>
            </w:r>
          </w:p>
        </w:tc>
        <w:tc>
          <w:tcPr>
            <w:tcW w:w="8073" w:type="dxa"/>
            <w:gridSpan w:val="2"/>
          </w:tcPr>
          <w:p w:rsidR="00054853" w:rsidRPr="00054853" w:rsidRDefault="0078305E" w:rsidP="00054853">
            <w:pPr>
              <w:pStyle w:val="Sansinterligne"/>
            </w:pPr>
            <w:r>
              <w:t xml:space="preserve">Voir </w:t>
            </w:r>
            <w:r w:rsidRPr="0078305E">
              <w:rPr>
                <w:i/>
              </w:rPr>
              <w:t>Douleur abdominale chez l’enfant CMC 3-1</w:t>
            </w:r>
          </w:p>
        </w:tc>
      </w:tr>
    </w:tbl>
    <w:p w:rsidR="00054853" w:rsidRDefault="00054853" w:rsidP="00054853">
      <w:pPr>
        <w:pStyle w:val="Sansinterligne"/>
      </w:pPr>
    </w:p>
    <w:p w:rsidR="004F3F92" w:rsidRDefault="004F3F92" w:rsidP="00054853">
      <w:pPr>
        <w:pStyle w:val="Sansinterligne"/>
        <w:sectPr w:rsidR="004F3F92" w:rsidSect="00217865">
          <w:type w:val="continuous"/>
          <w:pgSz w:w="12240" w:h="15840"/>
          <w:pgMar w:top="720" w:right="720" w:bottom="720" w:left="720" w:header="708" w:footer="708" w:gutter="0"/>
          <w:cols w:space="708"/>
          <w:docGrid w:linePitch="360"/>
        </w:sectPr>
      </w:pPr>
    </w:p>
    <w:p w:rsidR="00054853" w:rsidRDefault="008F2B70" w:rsidP="00054853">
      <w:pPr>
        <w:pStyle w:val="Sansinterligne"/>
      </w:pPr>
      <w:r w:rsidRPr="004F3F92">
        <w:rPr>
          <w:u w:val="single"/>
        </w:rPr>
        <w:t>Il faut bien caractériser</w:t>
      </w:r>
      <w:r>
        <w:t>:</w:t>
      </w:r>
    </w:p>
    <w:p w:rsidR="008F2B70" w:rsidRPr="004F3F92" w:rsidRDefault="008F2B70" w:rsidP="00AF6ADC">
      <w:pPr>
        <w:pStyle w:val="Sansinterligne"/>
        <w:numPr>
          <w:ilvl w:val="0"/>
          <w:numId w:val="1257"/>
        </w:numPr>
        <w:rPr>
          <w:highlight w:val="yellow"/>
        </w:rPr>
      </w:pPr>
      <w:r w:rsidRPr="004F3F92">
        <w:rPr>
          <w:highlight w:val="yellow"/>
        </w:rPr>
        <w:t>La durée des pleurs, la fréquence</w:t>
      </w:r>
    </w:p>
    <w:p w:rsidR="008F2B70" w:rsidRPr="004F3F92" w:rsidRDefault="008F2B70" w:rsidP="00AF6ADC">
      <w:pPr>
        <w:pStyle w:val="Sansinterligne"/>
        <w:numPr>
          <w:ilvl w:val="0"/>
          <w:numId w:val="1257"/>
        </w:numPr>
        <w:rPr>
          <w:highlight w:val="yellow"/>
        </w:rPr>
      </w:pPr>
      <w:r w:rsidRPr="004F3F92">
        <w:rPr>
          <w:highlight w:val="yellow"/>
        </w:rPr>
        <w:t>Depuis quand l’enfant pleure-t-il de cette manière</w:t>
      </w:r>
      <w:r w:rsidR="00366D36">
        <w:rPr>
          <w:highlight w:val="yellow"/>
        </w:rPr>
        <w:t xml:space="preserve"> ?</w:t>
      </w:r>
    </w:p>
    <w:p w:rsidR="008F2B70" w:rsidRPr="004F3F92" w:rsidRDefault="008F2B70" w:rsidP="00AF6ADC">
      <w:pPr>
        <w:pStyle w:val="Sansinterligne"/>
        <w:numPr>
          <w:ilvl w:val="0"/>
          <w:numId w:val="1257"/>
        </w:numPr>
        <w:rPr>
          <w:highlight w:val="yellow"/>
        </w:rPr>
      </w:pPr>
      <w:r w:rsidRPr="004F3F92">
        <w:rPr>
          <w:highlight w:val="yellow"/>
        </w:rPr>
        <w:t>Le moment de survenue</w:t>
      </w:r>
    </w:p>
    <w:p w:rsidR="008F2B70" w:rsidRPr="004F3F92" w:rsidRDefault="008F2B70" w:rsidP="00AF6ADC">
      <w:pPr>
        <w:pStyle w:val="Sansinterligne"/>
        <w:numPr>
          <w:ilvl w:val="0"/>
          <w:numId w:val="1257"/>
        </w:numPr>
        <w:rPr>
          <w:highlight w:val="yellow"/>
        </w:rPr>
      </w:pPr>
      <w:r w:rsidRPr="004F3F92">
        <w:rPr>
          <w:highlight w:val="yellow"/>
        </w:rPr>
        <w:t>Le lien avec les boires (avant, après, pendant)</w:t>
      </w:r>
    </w:p>
    <w:p w:rsidR="008F2B70" w:rsidRPr="004F3F92" w:rsidRDefault="008F2B70" w:rsidP="00AF6ADC">
      <w:pPr>
        <w:pStyle w:val="Sansinterligne"/>
        <w:numPr>
          <w:ilvl w:val="0"/>
          <w:numId w:val="1257"/>
        </w:numPr>
        <w:rPr>
          <w:highlight w:val="yellow"/>
        </w:rPr>
      </w:pPr>
      <w:r w:rsidRPr="004F3F92">
        <w:rPr>
          <w:highlight w:val="yellow"/>
        </w:rPr>
        <w:t>Le type d</w:t>
      </w:r>
      <w:r w:rsidR="00366D36">
        <w:rPr>
          <w:highlight w:val="yellow"/>
        </w:rPr>
        <w:t>’alimentation (ex : intolérance</w:t>
      </w:r>
      <w:r w:rsidRPr="004F3F92">
        <w:rPr>
          <w:highlight w:val="yellow"/>
        </w:rPr>
        <w:t xml:space="preserve"> aux protéines bovines)</w:t>
      </w:r>
    </w:p>
    <w:p w:rsidR="008F2B70" w:rsidRPr="004F3F92" w:rsidRDefault="008F2B70" w:rsidP="00AF6ADC">
      <w:pPr>
        <w:pStyle w:val="Sansinterligne"/>
        <w:numPr>
          <w:ilvl w:val="0"/>
          <w:numId w:val="1257"/>
        </w:numPr>
        <w:rPr>
          <w:highlight w:val="yellow"/>
        </w:rPr>
      </w:pPr>
      <w:r w:rsidRPr="004F3F92">
        <w:rPr>
          <w:highlight w:val="yellow"/>
        </w:rPr>
        <w:t>Présence de régurgitation ? (RGO)</w:t>
      </w:r>
    </w:p>
    <w:p w:rsidR="008F2B70" w:rsidRPr="004F3F92" w:rsidRDefault="008F2B70" w:rsidP="00AF6ADC">
      <w:pPr>
        <w:pStyle w:val="Sansinterligne"/>
        <w:numPr>
          <w:ilvl w:val="0"/>
          <w:numId w:val="1257"/>
        </w:numPr>
        <w:rPr>
          <w:highlight w:val="yellow"/>
        </w:rPr>
      </w:pPr>
      <w:r w:rsidRPr="004F3F92">
        <w:rPr>
          <w:highlight w:val="yellow"/>
        </w:rPr>
        <w:t>La présence de symptômes d’alarmes (diarrhée, fièvre, rectorragie, dyspnée, stridor, etc)</w:t>
      </w:r>
    </w:p>
    <w:p w:rsidR="008F2B70" w:rsidRPr="004F3F92" w:rsidRDefault="008F2B70" w:rsidP="00AF6ADC">
      <w:pPr>
        <w:pStyle w:val="Sansinterligne"/>
        <w:numPr>
          <w:ilvl w:val="0"/>
          <w:numId w:val="1257"/>
        </w:numPr>
        <w:rPr>
          <w:highlight w:val="yellow"/>
        </w:rPr>
      </w:pPr>
      <w:r w:rsidRPr="004F3F92">
        <w:rPr>
          <w:highlight w:val="yellow"/>
        </w:rPr>
        <w:t>La gestion des pleurs par les parents, le réseau de support</w:t>
      </w:r>
    </w:p>
    <w:p w:rsidR="008F2B70" w:rsidRPr="004F3F92" w:rsidRDefault="008A0D9A" w:rsidP="00AF6ADC">
      <w:pPr>
        <w:pStyle w:val="Sansinterligne"/>
        <w:numPr>
          <w:ilvl w:val="0"/>
          <w:numId w:val="1257"/>
        </w:numPr>
        <w:rPr>
          <w:highlight w:val="yellow"/>
        </w:rPr>
      </w:pPr>
      <w:r w:rsidRPr="004F3F92">
        <w:rPr>
          <w:highlight w:val="yellow"/>
        </w:rPr>
        <w:t>Signes de dépression maternelle ?</w:t>
      </w:r>
    </w:p>
    <w:p w:rsidR="008A0D9A" w:rsidRDefault="008A0D9A" w:rsidP="00054853">
      <w:pPr>
        <w:pStyle w:val="Sansinterligne"/>
      </w:pPr>
    </w:p>
    <w:p w:rsidR="008A0D9A" w:rsidRDefault="008A0D9A" w:rsidP="00054853">
      <w:pPr>
        <w:pStyle w:val="Sansinterligne"/>
      </w:pPr>
      <w:r w:rsidRPr="004F3F92">
        <w:rPr>
          <w:u w:val="single"/>
        </w:rPr>
        <w:t>À l’examen </w:t>
      </w:r>
      <w:r w:rsidR="004F3F92" w:rsidRPr="004F3F92">
        <w:rPr>
          <w:u w:val="single"/>
        </w:rPr>
        <w:t>on recherche</w:t>
      </w:r>
      <w:r>
        <w:t>:</w:t>
      </w:r>
    </w:p>
    <w:p w:rsidR="008A0D9A" w:rsidRDefault="008A0D9A" w:rsidP="00054853">
      <w:pPr>
        <w:pStyle w:val="Sansinterligne"/>
      </w:pPr>
    </w:p>
    <w:p w:rsidR="008A0D9A" w:rsidRDefault="004F3F92" w:rsidP="00AF6ADC">
      <w:pPr>
        <w:pStyle w:val="Sansinterligne"/>
        <w:numPr>
          <w:ilvl w:val="0"/>
          <w:numId w:val="1258"/>
        </w:numPr>
      </w:pPr>
      <w:r>
        <w:t>Des</w:t>
      </w:r>
      <w:r w:rsidR="008A0D9A">
        <w:t xml:space="preserve"> signes neurologiques, une altération de l’état de conscience (méningite, syndrome du bébé secoué)</w:t>
      </w:r>
    </w:p>
    <w:p w:rsidR="008A0D9A" w:rsidRDefault="008A0D9A" w:rsidP="00AF6ADC">
      <w:pPr>
        <w:pStyle w:val="Sansinterligne"/>
        <w:numPr>
          <w:ilvl w:val="0"/>
          <w:numId w:val="1258"/>
        </w:numPr>
      </w:pPr>
      <w:r>
        <w:t>Une mauvaise hydratation, de la tachycardie (cardiopathies)</w:t>
      </w:r>
    </w:p>
    <w:p w:rsidR="008A0D9A" w:rsidRDefault="008A0D9A" w:rsidP="00AF6ADC">
      <w:pPr>
        <w:pStyle w:val="Sansinterligne"/>
        <w:numPr>
          <w:ilvl w:val="0"/>
          <w:numId w:val="1258"/>
        </w:numPr>
      </w:pPr>
      <w:r>
        <w:t>Des signes respiratoires (pneumonie, etc.)</w:t>
      </w:r>
    </w:p>
    <w:p w:rsidR="008A0D9A" w:rsidRDefault="008A0D9A" w:rsidP="00AF6ADC">
      <w:pPr>
        <w:pStyle w:val="Sansinterligne"/>
        <w:numPr>
          <w:ilvl w:val="0"/>
          <w:numId w:val="1258"/>
        </w:numPr>
      </w:pPr>
      <w:r>
        <w:t>Une masse abdominale</w:t>
      </w:r>
    </w:p>
    <w:p w:rsidR="008A0D9A" w:rsidRDefault="008A0D9A" w:rsidP="00AF6ADC">
      <w:pPr>
        <w:pStyle w:val="Sansinterligne"/>
        <w:numPr>
          <w:ilvl w:val="0"/>
          <w:numId w:val="1258"/>
        </w:numPr>
      </w:pPr>
      <w:r>
        <w:t>Un œdème scrotal</w:t>
      </w:r>
    </w:p>
    <w:p w:rsidR="008A0D9A" w:rsidRDefault="008A0D9A" w:rsidP="00AF6ADC">
      <w:pPr>
        <w:pStyle w:val="Sansinterligne"/>
        <w:numPr>
          <w:ilvl w:val="0"/>
          <w:numId w:val="1258"/>
        </w:numPr>
      </w:pPr>
      <w:r>
        <w:t>Des ecchymoses, un signe de fracture, un membre immobile</w:t>
      </w:r>
    </w:p>
    <w:p w:rsidR="004F3F92" w:rsidRDefault="004F3F92" w:rsidP="00054853">
      <w:pPr>
        <w:pStyle w:val="Sansinterligne"/>
      </w:pPr>
    </w:p>
    <w:p w:rsidR="004F3F92" w:rsidRDefault="004F3F92" w:rsidP="00054853">
      <w:pPr>
        <w:pStyle w:val="Sansinterligne"/>
      </w:pPr>
    </w:p>
    <w:p w:rsidR="004F3F92" w:rsidRDefault="004F3F92" w:rsidP="00054853">
      <w:pPr>
        <w:pStyle w:val="Sansinterligne"/>
        <w:sectPr w:rsidR="004F3F92" w:rsidSect="004F3F92">
          <w:type w:val="continuous"/>
          <w:pgSz w:w="12240" w:h="15840"/>
          <w:pgMar w:top="720" w:right="720" w:bottom="720" w:left="720" w:header="708" w:footer="708" w:gutter="0"/>
          <w:cols w:num="2" w:space="708"/>
          <w:docGrid w:linePitch="360"/>
        </w:sectPr>
      </w:pPr>
    </w:p>
    <w:p w:rsidR="00054853" w:rsidRPr="004F3F92" w:rsidRDefault="00054853" w:rsidP="00054853">
      <w:pPr>
        <w:pStyle w:val="Sansinterligne"/>
        <w:rPr>
          <w:b/>
          <w:sz w:val="28"/>
          <w:szCs w:val="28"/>
        </w:rPr>
      </w:pPr>
      <w:r w:rsidRPr="004F3F92">
        <w:rPr>
          <w:b/>
          <w:sz w:val="28"/>
          <w:szCs w:val="28"/>
        </w:rPr>
        <w:t>Investigations</w:t>
      </w:r>
    </w:p>
    <w:p w:rsidR="00054853" w:rsidRDefault="00054853" w:rsidP="00054853">
      <w:pPr>
        <w:pStyle w:val="Sansinterligne"/>
      </w:pPr>
    </w:p>
    <w:p w:rsidR="008A0D9A" w:rsidRDefault="008F2B70" w:rsidP="00AF6ADC">
      <w:pPr>
        <w:pStyle w:val="Sansinterligne"/>
        <w:numPr>
          <w:ilvl w:val="0"/>
          <w:numId w:val="1253"/>
        </w:numPr>
        <w:rPr>
          <w:rFonts w:ascii="Century Gothic" w:hAnsi="Century Gothic"/>
        </w:rPr>
      </w:pPr>
      <w:r>
        <w:t>Essai de lait à base d’hydrolysat de caséine</w:t>
      </w:r>
      <w:r w:rsidR="008A0D9A">
        <w:t>, puis de Nutramigen</w:t>
      </w:r>
      <w:r>
        <w:t xml:space="preserve"> (si l’enfant est au biberon) </w:t>
      </w:r>
      <w:r w:rsidR="008A0D9A">
        <w:t>pendant 2 semaines</w:t>
      </w:r>
    </w:p>
    <w:p w:rsidR="008F2B70" w:rsidRDefault="008A0D9A" w:rsidP="00AF6ADC">
      <w:pPr>
        <w:pStyle w:val="Sansinterligne"/>
        <w:numPr>
          <w:ilvl w:val="1"/>
          <w:numId w:val="1253"/>
        </w:numPr>
      </w:pPr>
      <w:r>
        <w:t>Éliminer intolérance aux protéines bovines</w:t>
      </w:r>
    </w:p>
    <w:p w:rsidR="004F3F92" w:rsidRDefault="008A0D9A" w:rsidP="00AF6ADC">
      <w:pPr>
        <w:pStyle w:val="Sansinterligne"/>
        <w:numPr>
          <w:ilvl w:val="0"/>
          <w:numId w:val="1253"/>
        </w:numPr>
      </w:pPr>
      <w:r>
        <w:t xml:space="preserve">Tentative de lait épaissi (Enfamil) </w:t>
      </w:r>
      <w:r>
        <w:rPr>
          <w:rFonts w:cs="Times New Roman"/>
        </w:rPr>
        <w:t>±</w:t>
      </w:r>
      <w:r>
        <w:t xml:space="preserve"> IPP x 2 semaines </w:t>
      </w:r>
    </w:p>
    <w:p w:rsidR="008A0D9A" w:rsidRDefault="008A0D9A" w:rsidP="00AF6ADC">
      <w:pPr>
        <w:pStyle w:val="Sansinterligne"/>
        <w:numPr>
          <w:ilvl w:val="1"/>
          <w:numId w:val="1253"/>
        </w:numPr>
      </w:pPr>
      <w:r>
        <w:t>si suspicion de RGO</w:t>
      </w:r>
    </w:p>
    <w:p w:rsidR="008A0D9A" w:rsidRDefault="004F3F92" w:rsidP="00AF6ADC">
      <w:pPr>
        <w:pStyle w:val="Sansinterligne"/>
        <w:numPr>
          <w:ilvl w:val="0"/>
          <w:numId w:val="1253"/>
        </w:numPr>
      </w:pPr>
      <w:r>
        <w:t>Tout examen jugé efficace selon la présentation clinique si pathologique</w:t>
      </w:r>
    </w:p>
    <w:p w:rsidR="004F3F92" w:rsidRDefault="004F3F92" w:rsidP="00054853">
      <w:pPr>
        <w:pStyle w:val="Sansinterligne"/>
      </w:pPr>
    </w:p>
    <w:p w:rsidR="008A0D9A" w:rsidRPr="004F3F92" w:rsidRDefault="00054853" w:rsidP="00054853">
      <w:pPr>
        <w:pStyle w:val="Sansinterligne"/>
        <w:rPr>
          <w:b/>
          <w:sz w:val="28"/>
          <w:szCs w:val="28"/>
        </w:rPr>
      </w:pPr>
      <w:r w:rsidRPr="004F3F92">
        <w:rPr>
          <w:b/>
          <w:sz w:val="28"/>
          <w:szCs w:val="28"/>
        </w:rPr>
        <w:t>Prise en charge</w:t>
      </w:r>
    </w:p>
    <w:p w:rsidR="008A0D9A" w:rsidRDefault="008A0D9A" w:rsidP="00054853">
      <w:pPr>
        <w:pStyle w:val="Sansinterligne"/>
      </w:pPr>
    </w:p>
    <w:p w:rsidR="008A0D9A" w:rsidRPr="004F3F92" w:rsidRDefault="008A0D9A" w:rsidP="00054853">
      <w:pPr>
        <w:pStyle w:val="Sansinterligne"/>
        <w:rPr>
          <w:b/>
        </w:rPr>
      </w:pPr>
      <w:r w:rsidRPr="004F3F92">
        <w:rPr>
          <w:b/>
        </w:rPr>
        <w:t>Colique du nourrisson</w:t>
      </w:r>
    </w:p>
    <w:p w:rsidR="008A0D9A" w:rsidRPr="004F3F92" w:rsidRDefault="008A0D9A" w:rsidP="00AF6ADC">
      <w:pPr>
        <w:pStyle w:val="Sansinterligne"/>
        <w:numPr>
          <w:ilvl w:val="0"/>
          <w:numId w:val="1255"/>
        </w:numPr>
        <w:rPr>
          <w:highlight w:val="yellow"/>
        </w:rPr>
      </w:pPr>
      <w:r w:rsidRPr="004F3F92">
        <w:rPr>
          <w:highlight w:val="yellow"/>
        </w:rPr>
        <w:t>Rassurance</w:t>
      </w:r>
    </w:p>
    <w:p w:rsidR="004F3F92" w:rsidRPr="004F3F92" w:rsidRDefault="004F3F92" w:rsidP="00AF6ADC">
      <w:pPr>
        <w:pStyle w:val="Sansinterligne"/>
        <w:numPr>
          <w:ilvl w:val="0"/>
          <w:numId w:val="1255"/>
        </w:numPr>
        <w:rPr>
          <w:highlight w:val="yellow"/>
        </w:rPr>
      </w:pPr>
      <w:r w:rsidRPr="004F3F92">
        <w:rPr>
          <w:highlight w:val="yellow"/>
        </w:rPr>
        <w:t>Se donner du temps, la plupart des cas rentrent dans l’ordre après 3 mois.</w:t>
      </w:r>
    </w:p>
    <w:p w:rsidR="008A0D9A" w:rsidRPr="004F3F92" w:rsidRDefault="008A0D9A" w:rsidP="00AF6ADC">
      <w:pPr>
        <w:pStyle w:val="Sansinterligne"/>
        <w:numPr>
          <w:ilvl w:val="0"/>
          <w:numId w:val="1255"/>
        </w:numPr>
        <w:rPr>
          <w:highlight w:val="yellow"/>
        </w:rPr>
      </w:pPr>
      <w:r w:rsidRPr="004F3F92">
        <w:rPr>
          <w:highlight w:val="yellow"/>
        </w:rPr>
        <w:t>Vérifier que les besoins de base de l’enfant sont comblés (couche propre, offrir à boire)</w:t>
      </w:r>
    </w:p>
    <w:p w:rsidR="004F3F92" w:rsidRPr="004F3F92" w:rsidRDefault="004F3F92" w:rsidP="00AF6ADC">
      <w:pPr>
        <w:pStyle w:val="Sansinterligne"/>
        <w:numPr>
          <w:ilvl w:val="0"/>
          <w:numId w:val="1255"/>
        </w:numPr>
        <w:rPr>
          <w:highlight w:val="yellow"/>
        </w:rPr>
      </w:pPr>
      <w:r w:rsidRPr="004F3F92">
        <w:rPr>
          <w:highlight w:val="yellow"/>
        </w:rPr>
        <w:t>Bercer l’enfant, mettre de la musique</w:t>
      </w:r>
    </w:p>
    <w:p w:rsidR="008A0D9A" w:rsidRPr="004F3F92" w:rsidRDefault="008A0D9A" w:rsidP="00AF6ADC">
      <w:pPr>
        <w:pStyle w:val="Sansinterligne"/>
        <w:numPr>
          <w:ilvl w:val="0"/>
          <w:numId w:val="1255"/>
        </w:numPr>
        <w:rPr>
          <w:highlight w:val="yellow"/>
        </w:rPr>
      </w:pPr>
      <w:r w:rsidRPr="004F3F92">
        <w:rPr>
          <w:highlight w:val="yellow"/>
        </w:rPr>
        <w:t>Recommander aux parents de se relayer pour s’occuper de l’enfant la nuit.</w:t>
      </w:r>
    </w:p>
    <w:p w:rsidR="008A0D9A" w:rsidRPr="004F3F92" w:rsidRDefault="008A0D9A" w:rsidP="00AF6ADC">
      <w:pPr>
        <w:pStyle w:val="Sansinterligne"/>
        <w:numPr>
          <w:ilvl w:val="0"/>
          <w:numId w:val="1255"/>
        </w:numPr>
        <w:rPr>
          <w:highlight w:val="yellow"/>
        </w:rPr>
      </w:pPr>
      <w:r w:rsidRPr="004F3F92">
        <w:rPr>
          <w:highlight w:val="yellow"/>
        </w:rPr>
        <w:t>Parfois laisser l’enfant dans sa couchette et appeler une autre personne pour la relayer</w:t>
      </w:r>
    </w:p>
    <w:p w:rsidR="008A0D9A" w:rsidRPr="004F3F92" w:rsidRDefault="008A0D9A" w:rsidP="00AF6ADC">
      <w:pPr>
        <w:pStyle w:val="Sansinterligne"/>
        <w:numPr>
          <w:ilvl w:val="0"/>
          <w:numId w:val="1255"/>
        </w:numPr>
        <w:rPr>
          <w:highlight w:val="yellow"/>
        </w:rPr>
      </w:pPr>
      <w:r w:rsidRPr="004F3F92">
        <w:rPr>
          <w:highlight w:val="yellow"/>
        </w:rPr>
        <w:t>Ne jamais secouer l’enfant</w:t>
      </w:r>
    </w:p>
    <w:p w:rsidR="008A0D9A" w:rsidRDefault="008A0D9A" w:rsidP="00054853">
      <w:pPr>
        <w:pStyle w:val="Sansinterligne"/>
      </w:pPr>
    </w:p>
    <w:p w:rsidR="00BC0F25" w:rsidRDefault="00BC0F25" w:rsidP="00054853">
      <w:pPr>
        <w:pStyle w:val="Sansinterligne"/>
        <w:rPr>
          <w:b/>
        </w:rPr>
        <w:sectPr w:rsidR="00BC0F25" w:rsidSect="00217865">
          <w:type w:val="continuous"/>
          <w:pgSz w:w="12240" w:h="15840"/>
          <w:pgMar w:top="720" w:right="720" w:bottom="720" w:left="720" w:header="708" w:footer="708" w:gutter="0"/>
          <w:cols w:space="708"/>
          <w:docGrid w:linePitch="360"/>
        </w:sectPr>
      </w:pPr>
    </w:p>
    <w:p w:rsidR="008A0D9A" w:rsidRPr="004F3F92" w:rsidRDefault="008A0D9A" w:rsidP="00054853">
      <w:pPr>
        <w:pStyle w:val="Sansinterligne"/>
        <w:rPr>
          <w:b/>
        </w:rPr>
      </w:pPr>
      <w:r w:rsidRPr="004F3F92">
        <w:rPr>
          <w:b/>
        </w:rPr>
        <w:t>Spasme du sanglot</w:t>
      </w:r>
    </w:p>
    <w:p w:rsidR="008A0D9A" w:rsidRDefault="008A0D9A" w:rsidP="00AF6ADC">
      <w:pPr>
        <w:pStyle w:val="Sansinterligne"/>
        <w:numPr>
          <w:ilvl w:val="0"/>
          <w:numId w:val="1254"/>
        </w:numPr>
      </w:pPr>
      <w:r>
        <w:t>Rassurance</w:t>
      </w:r>
    </w:p>
    <w:p w:rsidR="008A0D9A" w:rsidRDefault="008A0D9A" w:rsidP="00AF6ADC">
      <w:pPr>
        <w:pStyle w:val="Sansinterligne"/>
        <w:numPr>
          <w:ilvl w:val="0"/>
          <w:numId w:val="1254"/>
        </w:numPr>
      </w:pPr>
      <w:r>
        <w:t>Résolution spontanée</w:t>
      </w:r>
    </w:p>
    <w:p w:rsidR="004F3F92" w:rsidRPr="004F3F92" w:rsidRDefault="00BC0F25" w:rsidP="00AF6ADC">
      <w:pPr>
        <w:pStyle w:val="Sansinterligne"/>
        <w:numPr>
          <w:ilvl w:val="0"/>
          <w:numId w:val="1254"/>
        </w:numPr>
        <w:rPr>
          <w:highlight w:val="yellow"/>
        </w:rPr>
      </w:pPr>
      <w:r>
        <w:rPr>
          <w:noProof/>
          <w:lang w:eastAsia="fr-CA"/>
        </w:rPr>
        <w:drawing>
          <wp:anchor distT="0" distB="0" distL="114300" distR="114300" simplePos="0" relativeHeight="252084224" behindDoc="0" locked="0" layoutInCell="1" allowOverlap="1" wp14:anchorId="50D9C6BF" wp14:editId="4DAA6DAB">
            <wp:simplePos x="0" y="0"/>
            <wp:positionH relativeFrom="column">
              <wp:posOffset>1390515</wp:posOffset>
            </wp:positionH>
            <wp:positionV relativeFrom="paragraph">
              <wp:posOffset>234666</wp:posOffset>
            </wp:positionV>
            <wp:extent cx="3959158" cy="2229572"/>
            <wp:effectExtent l="0" t="0" r="3810" b="0"/>
            <wp:wrapNone/>
            <wp:docPr id="561" name="Image 561" descr="Résultats de recherche d'images pour « pleurs inconsolables bébé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ésultats de recherche d'images pour « pleurs inconsolables bébé »"/>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3959158" cy="2229572"/>
                    </a:xfrm>
                    <a:prstGeom prst="rect">
                      <a:avLst/>
                    </a:prstGeom>
                    <a:noFill/>
                    <a:ln>
                      <a:noFill/>
                    </a:ln>
                  </pic:spPr>
                </pic:pic>
              </a:graphicData>
            </a:graphic>
            <wp14:sizeRelH relativeFrom="page">
              <wp14:pctWidth>0</wp14:pctWidth>
            </wp14:sizeRelH>
            <wp14:sizeRelV relativeFrom="page">
              <wp14:pctHeight>0</wp14:pctHeight>
            </wp14:sizeRelV>
          </wp:anchor>
        </w:drawing>
      </w:r>
      <w:r w:rsidR="004F3F92" w:rsidRPr="004F3F92">
        <w:rPr>
          <w:highlight w:val="yellow"/>
        </w:rPr>
        <w:t xml:space="preserve">Ignorer les crises </w:t>
      </w:r>
      <w:r w:rsidR="004F3F92" w:rsidRPr="004F3F92">
        <w:rPr>
          <w:rFonts w:ascii="Century Gothic" w:hAnsi="Century Gothic"/>
          <w:highlight w:val="yellow"/>
        </w:rPr>
        <w:t>→</w:t>
      </w:r>
      <w:r w:rsidR="004F3F92" w:rsidRPr="004F3F92">
        <w:rPr>
          <w:highlight w:val="yellow"/>
        </w:rPr>
        <w:t xml:space="preserve"> apprend à l’enfant à contrôler la frustration </w:t>
      </w:r>
    </w:p>
    <w:p w:rsidR="004F3F92" w:rsidRDefault="004F3F92" w:rsidP="004F3F92">
      <w:pPr>
        <w:pStyle w:val="Sansinterligne"/>
      </w:pPr>
    </w:p>
    <w:p w:rsidR="004F3F92" w:rsidRPr="004F3F92" w:rsidRDefault="004F3F92" w:rsidP="004F3F92">
      <w:pPr>
        <w:pStyle w:val="Sansinterligne"/>
        <w:rPr>
          <w:b/>
        </w:rPr>
      </w:pPr>
      <w:r w:rsidRPr="004F3F92">
        <w:rPr>
          <w:b/>
        </w:rPr>
        <w:t>Pleurs pathologiques</w:t>
      </w:r>
    </w:p>
    <w:p w:rsidR="004F3F92" w:rsidRDefault="004F3F92" w:rsidP="00AF6ADC">
      <w:pPr>
        <w:pStyle w:val="Sansinterligne"/>
        <w:numPr>
          <w:ilvl w:val="0"/>
          <w:numId w:val="1256"/>
        </w:numPr>
      </w:pPr>
      <w:r>
        <w:t>Selon le diagnostic final</w:t>
      </w:r>
    </w:p>
    <w:p w:rsidR="004F3F92" w:rsidRDefault="004F3F92" w:rsidP="00AF6ADC">
      <w:pPr>
        <w:pStyle w:val="Sansinterligne"/>
        <w:numPr>
          <w:ilvl w:val="0"/>
          <w:numId w:val="1256"/>
        </w:numPr>
      </w:pPr>
      <w:r>
        <w:t>Si amélioré par le changement de type de lait, poursuivre avec ce régime.</w:t>
      </w:r>
    </w:p>
    <w:p w:rsidR="00BC0F25" w:rsidRDefault="00BC0F25" w:rsidP="00054853">
      <w:pPr>
        <w:pStyle w:val="Sansinterligne"/>
      </w:pPr>
    </w:p>
    <w:p w:rsidR="00BC0F25" w:rsidRDefault="00BC0F25" w:rsidP="00054853">
      <w:pPr>
        <w:pStyle w:val="Sansinterligne"/>
        <w:sectPr w:rsidR="00BC0F25" w:rsidSect="00BC0F25">
          <w:type w:val="continuous"/>
          <w:pgSz w:w="12240" w:h="15840"/>
          <w:pgMar w:top="720" w:right="720" w:bottom="720" w:left="720" w:header="708" w:footer="708" w:gutter="0"/>
          <w:cols w:num="2" w:space="708"/>
          <w:docGrid w:linePitch="360"/>
        </w:sectPr>
      </w:pPr>
    </w:p>
    <w:p w:rsidR="001B1E34" w:rsidRDefault="001B1E34" w:rsidP="00054853">
      <w:pPr>
        <w:pStyle w:val="Sansinterligne"/>
      </w:pPr>
      <w:r>
        <w:br w:type="page"/>
      </w:r>
    </w:p>
    <w:p w:rsidR="00DB3A1E" w:rsidRDefault="00DB3A1E" w:rsidP="0073701C">
      <w:pPr>
        <w:pStyle w:val="Sansinterligne"/>
        <w:rPr>
          <w:b/>
          <w:color w:val="548DD4" w:themeColor="text2" w:themeTint="99"/>
        </w:rPr>
      </w:pPr>
      <w:r>
        <w:rPr>
          <w:b/>
          <w:color w:val="548DD4" w:themeColor="text2" w:themeTint="99"/>
        </w:rPr>
        <w:t>CMC 71-2</w:t>
      </w:r>
    </w:p>
    <w:p w:rsidR="00DB3A1E" w:rsidRPr="00DB3A1E" w:rsidRDefault="00DB3A1E" w:rsidP="00DB3A1E">
      <w:pPr>
        <w:pStyle w:val="Titre3"/>
        <w:spacing w:before="0"/>
        <w:rPr>
          <w:rFonts w:ascii="Times New Roman" w:hAnsi="Times New Roman" w:cs="Times New Roman"/>
        </w:rPr>
      </w:pPr>
      <w:bookmarkStart w:id="210" w:name="_Toc480797303"/>
      <w:r w:rsidRPr="00DB3A1E">
        <w:rPr>
          <w:rFonts w:ascii="Times New Roman" w:hAnsi="Times New Roman" w:cs="Times New Roman"/>
        </w:rPr>
        <w:t>Hypotonie du nourrisson</w:t>
      </w:r>
      <w:bookmarkEnd w:id="210"/>
    </w:p>
    <w:p w:rsidR="00DB3A1E" w:rsidRDefault="00DB3A1E" w:rsidP="0073701C">
      <w:pPr>
        <w:pStyle w:val="Sansinterligne"/>
        <w:rPr>
          <w:b/>
          <w:color w:val="548DD4" w:themeColor="text2" w:themeTint="99"/>
        </w:rPr>
      </w:pPr>
      <w:r>
        <w:rPr>
          <w:b/>
          <w:noProof/>
          <w:color w:val="548DD4" w:themeColor="text2" w:themeTint="99"/>
          <w:lang w:eastAsia="fr-CA"/>
        </w:rPr>
        <mc:AlternateContent>
          <mc:Choice Requires="wps">
            <w:drawing>
              <wp:anchor distT="0" distB="0" distL="114300" distR="114300" simplePos="0" relativeHeight="252085248" behindDoc="0" locked="0" layoutInCell="1" allowOverlap="1" wp14:anchorId="1E3E229F" wp14:editId="50C2FE02">
                <wp:simplePos x="0" y="0"/>
                <wp:positionH relativeFrom="column">
                  <wp:posOffset>-87549</wp:posOffset>
                </wp:positionH>
                <wp:positionV relativeFrom="paragraph">
                  <wp:posOffset>60717</wp:posOffset>
                </wp:positionV>
                <wp:extent cx="6955277" cy="2772383"/>
                <wp:effectExtent l="0" t="0" r="17145" b="28575"/>
                <wp:wrapNone/>
                <wp:docPr id="562" name="Rectangle 562"/>
                <wp:cNvGraphicFramePr/>
                <a:graphic xmlns:a="http://schemas.openxmlformats.org/drawingml/2006/main">
                  <a:graphicData uri="http://schemas.microsoft.com/office/word/2010/wordprocessingShape">
                    <wps:wsp>
                      <wps:cNvSpPr/>
                      <wps:spPr>
                        <a:xfrm>
                          <a:off x="0" y="0"/>
                          <a:ext cx="6955277" cy="2772383"/>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562" o:spid="_x0000_s1026" style="position:absolute;margin-left:-6.9pt;margin-top:4.8pt;width:547.65pt;height:218.3pt;z-index:2520852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" filled="f" strokecolor="black [1600]" strokeweight="2pt"/>
            </w:pict>
          </mc:Fallback>
        </mc:AlternateContent>
      </w:r>
    </w:p>
    <w:tbl>
      <w:tblPr>
        <w:tblW w:w="3858" w:type="pct"/>
        <w:tblCellSpacing w:w="0" w:type="dxa"/>
        <w:tblCellMar>
          <w:left w:w="0" w:type="dxa"/>
          <w:right w:w="0" w:type="dxa"/>
        </w:tblCellMar>
        <w:tblLook w:val="04A0" w:firstRow="1" w:lastRow="0" w:firstColumn="1" w:lastColumn="0" w:noHBand="0" w:noVBand="1"/>
      </w:tblPr>
      <w:tblGrid>
        <w:gridCol w:w="8333"/>
      </w:tblGrid>
      <w:tr w:rsidR="00DB3A1E" w:rsidRPr="00DB3A1E" w:rsidTr="00DB3A1E">
        <w:trPr>
          <w:tblCellSpacing w:w="0" w:type="dxa"/>
        </w:trPr>
        <w:tc>
          <w:tcPr>
            <w:tcW w:w="0" w:type="auto"/>
            <w:vAlign w:val="bottom"/>
            <w:hideMark/>
          </w:tcPr>
          <w:p w:rsidR="00DB3A1E" w:rsidRPr="00DB3A1E" w:rsidRDefault="00DB3A1E" w:rsidP="00DB3A1E">
            <w:pPr>
              <w:pStyle w:val="Sansinterligne"/>
              <w:rPr>
                <w:rFonts w:cs="Times New Roman"/>
                <w:b/>
                <w:sz w:val="18"/>
                <w:szCs w:val="18"/>
              </w:rPr>
            </w:pPr>
            <w:r w:rsidRPr="00DB3A1E">
              <w:rPr>
                <w:rFonts w:cs="Times New Roman"/>
                <w:b/>
                <w:sz w:val="18"/>
                <w:szCs w:val="18"/>
              </w:rPr>
              <w:t>Objectifs principaux</w:t>
            </w:r>
          </w:p>
        </w:tc>
      </w:tr>
    </w:tbl>
    <w:p w:rsidR="00DB3A1E" w:rsidRPr="00DB3A1E" w:rsidRDefault="00DB3A1E" w:rsidP="00DB3A1E">
      <w:pPr>
        <w:pStyle w:val="NormalWeb"/>
        <w:ind w:left="360"/>
        <w:rPr>
          <w:color w:val="000000"/>
          <w:sz w:val="18"/>
          <w:szCs w:val="18"/>
          <w:shd w:val="clear" w:color="auto" w:fill="FFFFFF"/>
        </w:rPr>
      </w:pPr>
      <w:r w:rsidRPr="00DB3A1E">
        <w:rPr>
          <w:color w:val="000000"/>
          <w:sz w:val="18"/>
          <w:szCs w:val="18"/>
          <w:shd w:val="clear" w:color="auto" w:fill="FFFFFF"/>
        </w:rPr>
        <w:t>Le candidat devra considérer l'hypotonie chez un nourrisson comme une constatation exigeant une attention immédiate. Suivant la présence ou l'absence de constatations cliniques additionnelles, le candidat devra faire un diagnostic différentiel adéquat, évaluer la gravité du problème et mettre en place un plan de prise en charge approprié.</w:t>
      </w:r>
    </w:p>
    <w:tbl>
      <w:tblPr>
        <w:tblW w:w="3897" w:type="pct"/>
        <w:tblCellSpacing w:w="0" w:type="dxa"/>
        <w:tblCellMar>
          <w:left w:w="0" w:type="dxa"/>
          <w:right w:w="0" w:type="dxa"/>
        </w:tblCellMar>
        <w:tblLook w:val="04A0" w:firstRow="1" w:lastRow="0" w:firstColumn="1" w:lastColumn="0" w:noHBand="0" w:noVBand="1"/>
      </w:tblPr>
      <w:tblGrid>
        <w:gridCol w:w="8418"/>
      </w:tblGrid>
      <w:tr w:rsidR="00DB3A1E" w:rsidRPr="00DB3A1E" w:rsidTr="00DB3A1E">
        <w:trPr>
          <w:tblCellSpacing w:w="0" w:type="dxa"/>
        </w:trPr>
        <w:tc>
          <w:tcPr>
            <w:tcW w:w="0" w:type="auto"/>
            <w:vAlign w:val="bottom"/>
            <w:hideMark/>
          </w:tcPr>
          <w:p w:rsidR="00DB3A1E" w:rsidRPr="00DB3A1E" w:rsidRDefault="00DB3A1E" w:rsidP="00DB3A1E">
            <w:pPr>
              <w:pStyle w:val="Sansinterligne"/>
              <w:rPr>
                <w:rFonts w:cs="Times New Roman"/>
                <w:b/>
                <w:sz w:val="16"/>
                <w:szCs w:val="16"/>
              </w:rPr>
            </w:pPr>
            <w:r w:rsidRPr="00DB3A1E">
              <w:rPr>
                <w:rFonts w:cs="Times New Roman"/>
                <w:b/>
                <w:sz w:val="16"/>
                <w:szCs w:val="16"/>
              </w:rPr>
              <w:t>Objectifs spécifiques</w:t>
            </w:r>
          </w:p>
        </w:tc>
      </w:tr>
    </w:tbl>
    <w:p w:rsidR="00DB3A1E" w:rsidRPr="00DB3A1E" w:rsidRDefault="00DB3A1E" w:rsidP="00DB3A1E">
      <w:pPr>
        <w:pStyle w:val="NormalWeb"/>
        <w:shd w:val="clear" w:color="auto" w:fill="FFFFFF"/>
        <w:ind w:left="360"/>
        <w:rPr>
          <w:color w:val="000000"/>
          <w:sz w:val="16"/>
          <w:szCs w:val="16"/>
          <w:shd w:val="clear" w:color="auto" w:fill="FFFFFF"/>
        </w:rPr>
      </w:pPr>
      <w:r w:rsidRPr="00DB3A1E">
        <w:rPr>
          <w:color w:val="000000"/>
          <w:sz w:val="16"/>
          <w:szCs w:val="16"/>
          <w:shd w:val="clear" w:color="auto" w:fill="FFFFFF"/>
        </w:rPr>
        <w:t>Dans le cas d'un nourrisson présentant une hypotonie, le candidat devra</w:t>
      </w:r>
    </w:p>
    <w:p w:rsidR="00DB3A1E" w:rsidRPr="00DB3A1E" w:rsidRDefault="00DB3A1E" w:rsidP="00AF6ADC">
      <w:pPr>
        <w:numPr>
          <w:ilvl w:val="0"/>
          <w:numId w:val="1259"/>
        </w:numPr>
        <w:shd w:val="clear" w:color="auto" w:fill="FFFFFF"/>
        <w:spacing w:before="100" w:beforeAutospacing="1" w:after="100" w:afterAutospacing="1" w:line="240" w:lineRule="auto"/>
        <w:rPr>
          <w:rFonts w:cs="Times New Roman"/>
          <w:color w:val="000000"/>
          <w:sz w:val="16"/>
          <w:szCs w:val="16"/>
          <w:shd w:val="clear" w:color="auto" w:fill="FFFFFF"/>
        </w:rPr>
      </w:pPr>
      <w:r w:rsidRPr="00DB3A1E">
        <w:rPr>
          <w:rFonts w:cs="Times New Roman"/>
          <w:color w:val="000000"/>
          <w:sz w:val="16"/>
          <w:szCs w:val="16"/>
          <w:shd w:val="clear" w:color="auto" w:fill="FFFFFF"/>
        </w:rPr>
        <w:t>énumérer et interpréter les constatations cliniques cruciales, notamment :</w:t>
      </w:r>
    </w:p>
    <w:p w:rsidR="00DB3A1E" w:rsidRPr="00DB3A1E" w:rsidRDefault="00DB3A1E" w:rsidP="00AF6ADC">
      <w:pPr>
        <w:numPr>
          <w:ilvl w:val="1"/>
          <w:numId w:val="1259"/>
        </w:numPr>
        <w:shd w:val="clear" w:color="auto" w:fill="FFFFFF"/>
        <w:spacing w:before="100" w:beforeAutospacing="1" w:after="100" w:afterAutospacing="1" w:line="240" w:lineRule="auto"/>
        <w:rPr>
          <w:rFonts w:cs="Times New Roman"/>
          <w:color w:val="000000"/>
          <w:sz w:val="16"/>
          <w:szCs w:val="16"/>
          <w:shd w:val="clear" w:color="auto" w:fill="FFFFFF"/>
        </w:rPr>
      </w:pPr>
      <w:r w:rsidRPr="00DB3A1E">
        <w:rPr>
          <w:rFonts w:cs="Times New Roman"/>
          <w:color w:val="000000"/>
          <w:sz w:val="16"/>
          <w:szCs w:val="16"/>
          <w:shd w:val="clear" w:color="auto" w:fill="FFFFFF"/>
        </w:rPr>
        <w:t>les résultats de l'évaluation de la stabilité physiologique du bébé (p. ex. oxygénation, fonction cardiovasculaire)</w:t>
      </w:r>
    </w:p>
    <w:p w:rsidR="00DB3A1E" w:rsidRPr="00DB3A1E" w:rsidRDefault="00DB3A1E" w:rsidP="00AF6ADC">
      <w:pPr>
        <w:numPr>
          <w:ilvl w:val="1"/>
          <w:numId w:val="1259"/>
        </w:numPr>
        <w:shd w:val="clear" w:color="auto" w:fill="FFFFFF"/>
        <w:spacing w:before="100" w:beforeAutospacing="1" w:after="100" w:afterAutospacing="1" w:line="240" w:lineRule="auto"/>
        <w:rPr>
          <w:rFonts w:cs="Times New Roman"/>
          <w:color w:val="000000"/>
          <w:sz w:val="16"/>
          <w:szCs w:val="16"/>
          <w:shd w:val="clear" w:color="auto" w:fill="FFFFFF"/>
        </w:rPr>
      </w:pPr>
      <w:r w:rsidRPr="00DB3A1E">
        <w:rPr>
          <w:rFonts w:cs="Times New Roman"/>
          <w:color w:val="000000"/>
          <w:sz w:val="16"/>
          <w:szCs w:val="16"/>
          <w:shd w:val="clear" w:color="auto" w:fill="FFFFFF"/>
        </w:rPr>
        <w:t>l'anamnèse complète, y compris les antécédents périnataux;</w:t>
      </w:r>
    </w:p>
    <w:p w:rsidR="00DB3A1E" w:rsidRPr="00DB3A1E" w:rsidRDefault="00DB3A1E" w:rsidP="00AF6ADC">
      <w:pPr>
        <w:numPr>
          <w:ilvl w:val="1"/>
          <w:numId w:val="1259"/>
        </w:numPr>
        <w:shd w:val="clear" w:color="auto" w:fill="FFFFFF"/>
        <w:spacing w:before="100" w:beforeAutospacing="1" w:after="100" w:afterAutospacing="1" w:line="240" w:lineRule="auto"/>
        <w:rPr>
          <w:rFonts w:cs="Times New Roman"/>
          <w:color w:val="000000"/>
          <w:sz w:val="16"/>
          <w:szCs w:val="16"/>
          <w:shd w:val="clear" w:color="auto" w:fill="FFFFFF"/>
        </w:rPr>
      </w:pPr>
      <w:r w:rsidRPr="00DB3A1E">
        <w:rPr>
          <w:rFonts w:cs="Times New Roman"/>
          <w:color w:val="000000"/>
          <w:sz w:val="16"/>
          <w:szCs w:val="16"/>
          <w:shd w:val="clear" w:color="auto" w:fill="FFFFFF"/>
        </w:rPr>
        <w:t>les résultats de l'examen physique complet, lequel doit comprendre un examen neurologique et muscolosquelettique rigoureux;</w:t>
      </w:r>
    </w:p>
    <w:p w:rsidR="00DB3A1E" w:rsidRPr="00DB3A1E" w:rsidRDefault="00DB3A1E" w:rsidP="00AF6ADC">
      <w:pPr>
        <w:numPr>
          <w:ilvl w:val="0"/>
          <w:numId w:val="1259"/>
        </w:numPr>
        <w:shd w:val="clear" w:color="auto" w:fill="FFFFFF"/>
        <w:spacing w:before="100" w:beforeAutospacing="1" w:after="100" w:afterAutospacing="1" w:line="240" w:lineRule="auto"/>
        <w:rPr>
          <w:rFonts w:cs="Times New Roman"/>
          <w:color w:val="000000"/>
          <w:sz w:val="16"/>
          <w:szCs w:val="16"/>
          <w:shd w:val="clear" w:color="auto" w:fill="FFFFFF"/>
        </w:rPr>
      </w:pPr>
      <w:r w:rsidRPr="00DB3A1E">
        <w:rPr>
          <w:rFonts w:cs="Times New Roman"/>
          <w:color w:val="000000"/>
          <w:sz w:val="16"/>
          <w:szCs w:val="16"/>
          <w:shd w:val="clear" w:color="auto" w:fill="FFFFFF"/>
        </w:rPr>
        <w:t>énumérer et interpréter les examens essentiels pertinents selon l'état clinique du bébé, lesquels peuvent comprendre :</w:t>
      </w:r>
    </w:p>
    <w:p w:rsidR="00DB3A1E" w:rsidRPr="00DB3A1E" w:rsidRDefault="00DB3A1E" w:rsidP="00AF6ADC">
      <w:pPr>
        <w:numPr>
          <w:ilvl w:val="1"/>
          <w:numId w:val="1259"/>
        </w:numPr>
        <w:shd w:val="clear" w:color="auto" w:fill="FFFFFF"/>
        <w:spacing w:before="100" w:beforeAutospacing="1" w:after="100" w:afterAutospacing="1" w:line="240" w:lineRule="auto"/>
        <w:rPr>
          <w:rFonts w:cs="Times New Roman"/>
          <w:color w:val="000000"/>
          <w:sz w:val="16"/>
          <w:szCs w:val="16"/>
          <w:shd w:val="clear" w:color="auto" w:fill="FFFFFF"/>
        </w:rPr>
      </w:pPr>
      <w:r w:rsidRPr="00DB3A1E">
        <w:rPr>
          <w:rFonts w:cs="Times New Roman"/>
          <w:color w:val="000000"/>
          <w:sz w:val="16"/>
          <w:szCs w:val="16"/>
          <w:shd w:val="clear" w:color="auto" w:fill="FFFFFF"/>
        </w:rPr>
        <w:t>les examens d'urgence pertinents dans le cas d'un bébé gravement atteint (p. ex. électrolytes sériques, glycémie, gazométrie artérielle);</w:t>
      </w:r>
    </w:p>
    <w:p w:rsidR="00DB3A1E" w:rsidRPr="00DB3A1E" w:rsidRDefault="00DB3A1E" w:rsidP="00AF6ADC">
      <w:pPr>
        <w:numPr>
          <w:ilvl w:val="1"/>
          <w:numId w:val="1259"/>
        </w:numPr>
        <w:shd w:val="clear" w:color="auto" w:fill="FFFFFF"/>
        <w:spacing w:before="100" w:beforeAutospacing="1" w:after="100" w:afterAutospacing="1" w:line="240" w:lineRule="auto"/>
        <w:rPr>
          <w:rFonts w:cs="Times New Roman"/>
          <w:color w:val="000000"/>
          <w:sz w:val="16"/>
          <w:szCs w:val="16"/>
          <w:shd w:val="clear" w:color="auto" w:fill="FFFFFF"/>
        </w:rPr>
      </w:pPr>
      <w:r w:rsidRPr="00DB3A1E">
        <w:rPr>
          <w:rFonts w:cs="Times New Roman"/>
          <w:color w:val="000000"/>
          <w:sz w:val="16"/>
          <w:szCs w:val="16"/>
          <w:shd w:val="clear" w:color="auto" w:fill="FFFFFF"/>
        </w:rPr>
        <w:t>les tests diagnostiques (p. ex. tomodensitométrie, dosage de la créatine-kinase, électromyogramme, études génétiques);</w:t>
      </w:r>
    </w:p>
    <w:p w:rsidR="00DB3A1E" w:rsidRPr="00DB3A1E" w:rsidRDefault="00DB3A1E" w:rsidP="00AF6ADC">
      <w:pPr>
        <w:numPr>
          <w:ilvl w:val="0"/>
          <w:numId w:val="1259"/>
        </w:numPr>
        <w:shd w:val="clear" w:color="auto" w:fill="FFFFFF"/>
        <w:spacing w:before="100" w:beforeAutospacing="1" w:after="100" w:afterAutospacing="1" w:line="240" w:lineRule="auto"/>
        <w:rPr>
          <w:rFonts w:cs="Times New Roman"/>
          <w:color w:val="000000"/>
          <w:sz w:val="16"/>
          <w:szCs w:val="16"/>
          <w:shd w:val="clear" w:color="auto" w:fill="FFFFFF"/>
        </w:rPr>
      </w:pPr>
      <w:r w:rsidRPr="00DB3A1E">
        <w:rPr>
          <w:rFonts w:cs="Times New Roman"/>
          <w:color w:val="000000"/>
          <w:sz w:val="16"/>
          <w:szCs w:val="16"/>
          <w:shd w:val="clear" w:color="auto" w:fill="FFFFFF"/>
        </w:rPr>
        <w:t>établir un plan efficace de prise en charge initiale, notamment :</w:t>
      </w:r>
    </w:p>
    <w:p w:rsidR="00DB3A1E" w:rsidRPr="00DB3A1E" w:rsidRDefault="00DB3A1E" w:rsidP="00AF6ADC">
      <w:pPr>
        <w:numPr>
          <w:ilvl w:val="1"/>
          <w:numId w:val="1259"/>
        </w:numPr>
        <w:shd w:val="clear" w:color="auto" w:fill="FFFFFF"/>
        <w:spacing w:before="100" w:beforeAutospacing="1" w:after="100" w:afterAutospacing="1" w:line="240" w:lineRule="auto"/>
        <w:rPr>
          <w:rFonts w:cs="Times New Roman"/>
          <w:color w:val="000000"/>
          <w:sz w:val="16"/>
          <w:szCs w:val="16"/>
          <w:shd w:val="clear" w:color="auto" w:fill="FFFFFF"/>
        </w:rPr>
      </w:pPr>
      <w:r w:rsidRPr="00DB3A1E">
        <w:rPr>
          <w:rFonts w:cs="Times New Roman"/>
          <w:color w:val="000000"/>
          <w:sz w:val="16"/>
          <w:szCs w:val="16"/>
          <w:shd w:val="clear" w:color="auto" w:fill="FFFFFF"/>
        </w:rPr>
        <w:t>mettre en place les services de soutien requis, s'il y a lieu;</w:t>
      </w:r>
    </w:p>
    <w:p w:rsidR="00DB3A1E" w:rsidRDefault="00DB3A1E" w:rsidP="00AF6ADC">
      <w:pPr>
        <w:numPr>
          <w:ilvl w:val="1"/>
          <w:numId w:val="1259"/>
        </w:numPr>
        <w:shd w:val="clear" w:color="auto" w:fill="FFFFFF"/>
        <w:spacing w:before="100" w:beforeAutospacing="1" w:after="0" w:line="240" w:lineRule="auto"/>
        <w:rPr>
          <w:rFonts w:cs="Times New Roman"/>
          <w:color w:val="000000"/>
          <w:sz w:val="16"/>
          <w:szCs w:val="16"/>
          <w:shd w:val="clear" w:color="auto" w:fill="FFFFFF"/>
        </w:rPr>
      </w:pPr>
      <w:r w:rsidRPr="00DB3A1E">
        <w:rPr>
          <w:rFonts w:cs="Times New Roman"/>
          <w:color w:val="000000"/>
          <w:sz w:val="16"/>
          <w:szCs w:val="16"/>
          <w:shd w:val="clear" w:color="auto" w:fill="FFFFFF"/>
        </w:rPr>
        <w:t>établir une relation d'aide avec la famille;</w:t>
      </w:r>
    </w:p>
    <w:p w:rsidR="00C80131" w:rsidRPr="00DB3A1E" w:rsidRDefault="00C80131" w:rsidP="00C80131">
      <w:pPr>
        <w:shd w:val="clear" w:color="auto" w:fill="FFFFFF"/>
        <w:spacing w:after="0" w:line="240" w:lineRule="auto"/>
        <w:ind w:left="1440"/>
        <w:rPr>
          <w:rFonts w:cs="Times New Roman"/>
          <w:color w:val="000000"/>
          <w:sz w:val="16"/>
          <w:szCs w:val="16"/>
          <w:shd w:val="clear" w:color="auto" w:fill="FFFFFF"/>
        </w:rPr>
      </w:pPr>
    </w:p>
    <w:p w:rsidR="00F82B20" w:rsidRPr="00A61E72" w:rsidRDefault="00F82B20" w:rsidP="00DB3A1E">
      <w:pPr>
        <w:pStyle w:val="Sansinterligne"/>
        <w:rPr>
          <w:b/>
          <w:sz w:val="28"/>
          <w:szCs w:val="28"/>
          <w:lang w:eastAsia="fr-CA"/>
        </w:rPr>
      </w:pPr>
      <w:r w:rsidRPr="00A61E72">
        <w:rPr>
          <w:b/>
          <w:sz w:val="28"/>
          <w:szCs w:val="28"/>
          <w:lang w:eastAsia="fr-CA"/>
        </w:rPr>
        <w:t>Introduction</w:t>
      </w:r>
    </w:p>
    <w:p w:rsidR="00F82B20" w:rsidRPr="00C80131" w:rsidRDefault="00F82B20" w:rsidP="00DB3A1E">
      <w:pPr>
        <w:pStyle w:val="Sansinterligne"/>
        <w:rPr>
          <w:sz w:val="16"/>
          <w:szCs w:val="16"/>
          <w:lang w:eastAsia="fr-CA"/>
        </w:rPr>
      </w:pPr>
    </w:p>
    <w:p w:rsidR="00ED73C0" w:rsidRDefault="00ED73C0" w:rsidP="00DB3A1E">
      <w:pPr>
        <w:pStyle w:val="Sansinterligne"/>
        <w:rPr>
          <w:lang w:eastAsia="fr-CA"/>
        </w:rPr>
      </w:pPr>
      <w:r>
        <w:rPr>
          <w:lang w:eastAsia="fr-CA"/>
        </w:rPr>
        <w:t>L’hypotonie du nourrisson est toujours inquiétante et mérite une investigation.</w:t>
      </w:r>
    </w:p>
    <w:p w:rsidR="00ED73C0" w:rsidRDefault="00ED73C0" w:rsidP="00DB3A1E">
      <w:pPr>
        <w:pStyle w:val="Sansinterligne"/>
        <w:rPr>
          <w:lang w:eastAsia="fr-CA"/>
        </w:rPr>
      </w:pPr>
      <w:r>
        <w:rPr>
          <w:lang w:eastAsia="fr-CA"/>
        </w:rPr>
        <w:t>Elle peut-être transitoire (ex : 2</w:t>
      </w:r>
      <w:r w:rsidRPr="00366D36">
        <w:rPr>
          <w:vertAlign w:val="superscript"/>
          <w:lang w:eastAsia="fr-CA"/>
        </w:rPr>
        <w:t>aire</w:t>
      </w:r>
      <w:r>
        <w:rPr>
          <w:lang w:eastAsia="fr-CA"/>
        </w:rPr>
        <w:t xml:space="preserve"> méningite ou permanente</w:t>
      </w:r>
      <w:r w:rsidR="00366D36">
        <w:rPr>
          <w:lang w:eastAsia="fr-CA"/>
        </w:rPr>
        <w:t xml:space="preserve"> -</w:t>
      </w:r>
      <w:r>
        <w:rPr>
          <w:lang w:eastAsia="fr-CA"/>
        </w:rPr>
        <w:t xml:space="preserve"> ex : Wernig-Hoffmann).</w:t>
      </w:r>
    </w:p>
    <w:p w:rsidR="00ED73C0" w:rsidRPr="00C80131" w:rsidRDefault="00ED73C0" w:rsidP="00DB3A1E">
      <w:pPr>
        <w:pStyle w:val="Sansinterligne"/>
        <w:rPr>
          <w:sz w:val="16"/>
          <w:szCs w:val="16"/>
          <w:lang w:eastAsia="fr-CA"/>
        </w:rPr>
      </w:pPr>
    </w:p>
    <w:p w:rsidR="00F82B20" w:rsidRPr="00076BA0" w:rsidRDefault="00C80131" w:rsidP="00DB3A1E">
      <w:pPr>
        <w:pStyle w:val="Sansinterligne"/>
        <w:rPr>
          <w:u w:val="single"/>
          <w:lang w:eastAsia="fr-CA"/>
        </w:rPr>
      </w:pPr>
      <w:r>
        <w:rPr>
          <w:noProof/>
          <w:lang w:eastAsia="fr-CA"/>
        </w:rPr>
        <w:drawing>
          <wp:anchor distT="0" distB="0" distL="114300" distR="114300" simplePos="0" relativeHeight="252086272" behindDoc="1" locked="0" layoutInCell="1" allowOverlap="1" wp14:anchorId="6397812B" wp14:editId="464344C8">
            <wp:simplePos x="0" y="0"/>
            <wp:positionH relativeFrom="column">
              <wp:posOffset>3574415</wp:posOffset>
            </wp:positionH>
            <wp:positionV relativeFrom="paragraph">
              <wp:posOffset>107315</wp:posOffset>
            </wp:positionV>
            <wp:extent cx="3397885" cy="2694305"/>
            <wp:effectExtent l="0" t="0" r="0" b="0"/>
            <wp:wrapNone/>
            <wp:docPr id="563" name="Image 563" descr="Résultats de recherche d'images pour « hypotonie du nourriss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ésultats de recherche d'images pour « hypotonie du nourrisson »"/>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3397885" cy="2694305"/>
                    </a:xfrm>
                    <a:prstGeom prst="rect">
                      <a:avLst/>
                    </a:prstGeom>
                    <a:noFill/>
                    <a:ln>
                      <a:noFill/>
                    </a:ln>
                  </pic:spPr>
                </pic:pic>
              </a:graphicData>
            </a:graphic>
            <wp14:sizeRelH relativeFrom="page">
              <wp14:pctWidth>0</wp14:pctWidth>
            </wp14:sizeRelH>
            <wp14:sizeRelV relativeFrom="page">
              <wp14:pctHeight>0</wp14:pctHeight>
            </wp14:sizeRelV>
          </wp:anchor>
        </w:drawing>
      </w:r>
      <w:r w:rsidR="00076BA0" w:rsidRPr="00076BA0">
        <w:rPr>
          <w:u w:val="single"/>
          <w:lang w:eastAsia="fr-CA"/>
        </w:rPr>
        <w:t>Histoire ciblée </w:t>
      </w:r>
    </w:p>
    <w:p w:rsidR="0095070A" w:rsidRDefault="0095070A" w:rsidP="00AF6ADC">
      <w:pPr>
        <w:pStyle w:val="Sansinterligne"/>
        <w:numPr>
          <w:ilvl w:val="0"/>
          <w:numId w:val="1274"/>
        </w:numPr>
        <w:rPr>
          <w:lang w:eastAsia="fr-CA"/>
        </w:rPr>
      </w:pPr>
      <w:r>
        <w:rPr>
          <w:lang w:eastAsia="fr-CA"/>
        </w:rPr>
        <w:t>ATCD maternel de Dystrophie musculaire de Steinert</w:t>
      </w:r>
    </w:p>
    <w:p w:rsidR="0095070A" w:rsidRDefault="0095070A" w:rsidP="00AF6ADC">
      <w:pPr>
        <w:pStyle w:val="Sansinterligne"/>
        <w:numPr>
          <w:ilvl w:val="0"/>
          <w:numId w:val="1274"/>
        </w:numPr>
        <w:rPr>
          <w:lang w:eastAsia="fr-CA"/>
        </w:rPr>
      </w:pPr>
      <w:r>
        <w:rPr>
          <w:lang w:eastAsia="fr-CA"/>
        </w:rPr>
        <w:t>Questionner la consanguinité</w:t>
      </w:r>
    </w:p>
    <w:p w:rsidR="0095070A" w:rsidRDefault="0095070A" w:rsidP="00AF6ADC">
      <w:pPr>
        <w:pStyle w:val="Sansinterligne"/>
        <w:numPr>
          <w:ilvl w:val="0"/>
          <w:numId w:val="1274"/>
        </w:numPr>
        <w:rPr>
          <w:lang w:eastAsia="fr-CA"/>
        </w:rPr>
      </w:pPr>
      <w:r>
        <w:rPr>
          <w:lang w:eastAsia="fr-CA"/>
        </w:rPr>
        <w:t>Présence d’un polyhydramnios en grossesse</w:t>
      </w:r>
      <w:r w:rsidR="00076BA0">
        <w:rPr>
          <w:lang w:eastAsia="fr-CA"/>
        </w:rPr>
        <w:t xml:space="preserve"> (MG)</w:t>
      </w:r>
    </w:p>
    <w:p w:rsidR="00076BA0" w:rsidRDefault="00076BA0" w:rsidP="00AF6ADC">
      <w:pPr>
        <w:pStyle w:val="Sansinterligne"/>
        <w:numPr>
          <w:ilvl w:val="0"/>
          <w:numId w:val="1274"/>
        </w:numPr>
        <w:rPr>
          <w:lang w:eastAsia="fr-CA"/>
        </w:rPr>
      </w:pPr>
      <w:r>
        <w:rPr>
          <w:lang w:eastAsia="fr-CA"/>
        </w:rPr>
        <w:t>Anoxie périnatale (paralysie cérébrale)</w:t>
      </w:r>
    </w:p>
    <w:p w:rsidR="00A61E72" w:rsidRDefault="00A61E72" w:rsidP="00AF6ADC">
      <w:pPr>
        <w:pStyle w:val="Sansinterligne"/>
        <w:numPr>
          <w:ilvl w:val="0"/>
          <w:numId w:val="1274"/>
        </w:numPr>
        <w:rPr>
          <w:lang w:eastAsia="fr-CA"/>
        </w:rPr>
      </w:pPr>
      <w:r>
        <w:rPr>
          <w:lang w:eastAsia="fr-CA"/>
        </w:rPr>
        <w:t>Peu de mouvements spontanés</w:t>
      </w:r>
    </w:p>
    <w:p w:rsidR="00A61E72" w:rsidRDefault="00A61E72" w:rsidP="00AF6ADC">
      <w:pPr>
        <w:pStyle w:val="Sansinterligne"/>
        <w:numPr>
          <w:ilvl w:val="0"/>
          <w:numId w:val="1274"/>
        </w:numPr>
        <w:rPr>
          <w:lang w:eastAsia="fr-CA"/>
        </w:rPr>
      </w:pPr>
      <w:r>
        <w:rPr>
          <w:lang w:eastAsia="fr-CA"/>
        </w:rPr>
        <w:t>Succion difficile</w:t>
      </w:r>
    </w:p>
    <w:p w:rsidR="00A61E72" w:rsidRDefault="00A61E72" w:rsidP="00AF6ADC">
      <w:pPr>
        <w:pStyle w:val="Sansinterligne"/>
        <w:numPr>
          <w:ilvl w:val="0"/>
          <w:numId w:val="1274"/>
        </w:numPr>
        <w:rPr>
          <w:lang w:eastAsia="fr-CA"/>
        </w:rPr>
      </w:pPr>
      <w:r>
        <w:rPr>
          <w:lang w:eastAsia="fr-CA"/>
        </w:rPr>
        <w:t>Difficultés respiratoires</w:t>
      </w:r>
    </w:p>
    <w:p w:rsidR="00A61E72" w:rsidRDefault="00A61E72" w:rsidP="00AF6ADC">
      <w:pPr>
        <w:pStyle w:val="Sansinterligne"/>
        <w:numPr>
          <w:ilvl w:val="0"/>
          <w:numId w:val="1274"/>
        </w:numPr>
        <w:rPr>
          <w:lang w:eastAsia="fr-CA"/>
        </w:rPr>
      </w:pPr>
      <w:r>
        <w:rPr>
          <w:lang w:eastAsia="fr-CA"/>
        </w:rPr>
        <w:t>APGAR peu élevé</w:t>
      </w:r>
      <w:r w:rsidR="00076BA0">
        <w:rPr>
          <w:lang w:eastAsia="fr-CA"/>
        </w:rPr>
        <w:t xml:space="preserve"> </w:t>
      </w:r>
    </w:p>
    <w:p w:rsidR="00076BA0" w:rsidRDefault="00076BA0" w:rsidP="00AF6ADC">
      <w:pPr>
        <w:pStyle w:val="Sansinterligne"/>
        <w:numPr>
          <w:ilvl w:val="0"/>
          <w:numId w:val="1274"/>
        </w:numPr>
        <w:rPr>
          <w:lang w:eastAsia="fr-CA"/>
        </w:rPr>
      </w:pPr>
      <w:r>
        <w:rPr>
          <w:lang w:eastAsia="fr-CA"/>
        </w:rPr>
        <w:t>Fièvre (sepsis/méningite)</w:t>
      </w:r>
    </w:p>
    <w:p w:rsidR="00A61E72" w:rsidRPr="00C80131" w:rsidRDefault="00A61E72" w:rsidP="00DB3A1E">
      <w:pPr>
        <w:pStyle w:val="Sansinterligne"/>
        <w:rPr>
          <w:sz w:val="16"/>
          <w:szCs w:val="16"/>
          <w:lang w:eastAsia="fr-CA"/>
        </w:rPr>
      </w:pPr>
    </w:p>
    <w:p w:rsidR="00A61E72" w:rsidRPr="00076BA0" w:rsidRDefault="00076BA0" w:rsidP="00A61E72">
      <w:pPr>
        <w:pStyle w:val="Sansinterligne"/>
        <w:rPr>
          <w:u w:val="single"/>
          <w:lang w:eastAsia="fr-CA"/>
        </w:rPr>
      </w:pPr>
      <w:r>
        <w:rPr>
          <w:u w:val="single"/>
          <w:lang w:eastAsia="fr-CA"/>
        </w:rPr>
        <w:t>Examen physique</w:t>
      </w:r>
    </w:p>
    <w:p w:rsidR="00A61E72" w:rsidRDefault="00A61E72" w:rsidP="00AF6ADC">
      <w:pPr>
        <w:pStyle w:val="Sansinterligne"/>
        <w:numPr>
          <w:ilvl w:val="0"/>
          <w:numId w:val="1275"/>
        </w:numPr>
        <w:rPr>
          <w:lang w:eastAsia="fr-CA"/>
        </w:rPr>
      </w:pPr>
      <w:r>
        <w:rPr>
          <w:lang w:eastAsia="fr-CA"/>
        </w:rPr>
        <w:t>Suspension ventrale</w:t>
      </w:r>
    </w:p>
    <w:p w:rsidR="00A61E72" w:rsidRDefault="00A61E72" w:rsidP="00AF6ADC">
      <w:pPr>
        <w:pStyle w:val="Sansinterligne"/>
        <w:numPr>
          <w:ilvl w:val="0"/>
          <w:numId w:val="1275"/>
        </w:numPr>
        <w:rPr>
          <w:lang w:eastAsia="fr-CA"/>
        </w:rPr>
      </w:pPr>
      <w:r>
        <w:rPr>
          <w:lang w:eastAsia="fr-CA"/>
        </w:rPr>
        <w:t>Tiré-assis</w:t>
      </w:r>
    </w:p>
    <w:p w:rsidR="00A61E72" w:rsidRDefault="00A61E72" w:rsidP="00AF6ADC">
      <w:pPr>
        <w:pStyle w:val="Sansinterligne"/>
        <w:numPr>
          <w:ilvl w:val="0"/>
          <w:numId w:val="1275"/>
        </w:numPr>
        <w:rPr>
          <w:lang w:eastAsia="fr-CA"/>
        </w:rPr>
      </w:pPr>
      <w:r>
        <w:rPr>
          <w:lang w:eastAsia="fr-CA"/>
        </w:rPr>
        <w:t xml:space="preserve">Suspension </w:t>
      </w:r>
      <w:r w:rsidR="00366D36">
        <w:rPr>
          <w:lang w:eastAsia="fr-CA"/>
        </w:rPr>
        <w:t>verticale</w:t>
      </w:r>
      <w:r>
        <w:rPr>
          <w:lang w:eastAsia="fr-CA"/>
        </w:rPr>
        <w:t xml:space="preserve"> (l’enfant glisse dans les mains)</w:t>
      </w:r>
    </w:p>
    <w:p w:rsidR="00076BA0" w:rsidRDefault="00076BA0" w:rsidP="00AF6ADC">
      <w:pPr>
        <w:pStyle w:val="Sansinterligne"/>
        <w:numPr>
          <w:ilvl w:val="0"/>
          <w:numId w:val="1275"/>
        </w:numPr>
        <w:rPr>
          <w:lang w:eastAsia="fr-CA"/>
        </w:rPr>
      </w:pPr>
      <w:r>
        <w:rPr>
          <w:lang w:eastAsia="fr-CA"/>
        </w:rPr>
        <w:t>Examen neurologique complet</w:t>
      </w:r>
    </w:p>
    <w:p w:rsidR="00076BA0" w:rsidRDefault="00076BA0" w:rsidP="00AF6ADC">
      <w:pPr>
        <w:pStyle w:val="Sansinterligne"/>
        <w:numPr>
          <w:ilvl w:val="1"/>
          <w:numId w:val="1275"/>
        </w:numPr>
        <w:rPr>
          <w:lang w:eastAsia="fr-CA"/>
        </w:rPr>
      </w:pPr>
      <w:r>
        <w:rPr>
          <w:lang w:eastAsia="fr-CA"/>
        </w:rPr>
        <w:t>Incluant réflexes primitifs et ostéotendineux</w:t>
      </w:r>
    </w:p>
    <w:p w:rsidR="00A61E72" w:rsidRPr="00C80131" w:rsidRDefault="00A61E72" w:rsidP="00DB3A1E">
      <w:pPr>
        <w:pStyle w:val="Sansinterligne"/>
        <w:rPr>
          <w:sz w:val="16"/>
          <w:szCs w:val="16"/>
          <w:lang w:eastAsia="fr-CA"/>
        </w:rPr>
      </w:pPr>
    </w:p>
    <w:p w:rsidR="00F82B20" w:rsidRPr="00A61E72" w:rsidRDefault="00F82B20" w:rsidP="00DB3A1E">
      <w:pPr>
        <w:pStyle w:val="Sansinterligne"/>
        <w:rPr>
          <w:b/>
          <w:sz w:val="28"/>
          <w:szCs w:val="28"/>
          <w:lang w:eastAsia="fr-CA"/>
        </w:rPr>
      </w:pPr>
      <w:r w:rsidRPr="00A61E72">
        <w:rPr>
          <w:b/>
          <w:sz w:val="28"/>
          <w:szCs w:val="28"/>
          <w:lang w:eastAsia="fr-CA"/>
        </w:rPr>
        <w:t>Diagnostics</w:t>
      </w:r>
      <w:r w:rsidR="00A61E72">
        <w:rPr>
          <w:b/>
          <w:sz w:val="28"/>
          <w:szCs w:val="28"/>
          <w:lang w:eastAsia="fr-CA"/>
        </w:rPr>
        <w:t xml:space="preserve"> (liste non-exhaustive)</w:t>
      </w:r>
    </w:p>
    <w:p w:rsidR="00A61E72" w:rsidRPr="00C80131" w:rsidRDefault="00A61E72" w:rsidP="00DB3A1E">
      <w:pPr>
        <w:pStyle w:val="Sansinterligne"/>
        <w:rPr>
          <w:sz w:val="16"/>
          <w:szCs w:val="16"/>
          <w:lang w:eastAsia="fr-CA"/>
        </w:rPr>
      </w:pPr>
    </w:p>
    <w:tbl>
      <w:tblPr>
        <w:tblStyle w:val="Grilledutableau"/>
        <w:tblW w:w="0" w:type="auto"/>
        <w:tblLook w:val="04A0" w:firstRow="1" w:lastRow="0" w:firstColumn="1" w:lastColumn="0" w:noHBand="0" w:noVBand="1"/>
      </w:tblPr>
      <w:tblGrid>
        <w:gridCol w:w="2943"/>
        <w:gridCol w:w="3928"/>
        <w:gridCol w:w="70"/>
        <w:gridCol w:w="255"/>
        <w:gridCol w:w="3744"/>
      </w:tblGrid>
      <w:tr w:rsidR="00F82B20" w:rsidTr="000321DD">
        <w:tc>
          <w:tcPr>
            <w:tcW w:w="10940" w:type="dxa"/>
            <w:gridSpan w:val="5"/>
            <w:shd w:val="clear" w:color="auto" w:fill="FFC000"/>
          </w:tcPr>
          <w:p w:rsidR="00F82B20" w:rsidRPr="000321DD" w:rsidRDefault="00F82B20" w:rsidP="000321DD">
            <w:pPr>
              <w:pStyle w:val="Sansinterligne"/>
              <w:jc w:val="center"/>
              <w:rPr>
                <w:b/>
                <w:lang w:eastAsia="fr-CA"/>
              </w:rPr>
            </w:pPr>
            <w:r w:rsidRPr="000321DD">
              <w:rPr>
                <w:b/>
                <w:lang w:eastAsia="fr-CA"/>
              </w:rPr>
              <w:t>Hypotonie du nourrisson</w:t>
            </w:r>
          </w:p>
        </w:tc>
      </w:tr>
      <w:tr w:rsidR="00F82B20" w:rsidTr="00ED73C0">
        <w:tc>
          <w:tcPr>
            <w:tcW w:w="2943" w:type="dxa"/>
            <w:shd w:val="clear" w:color="auto" w:fill="C2D69B" w:themeFill="accent3" w:themeFillTint="99"/>
          </w:tcPr>
          <w:p w:rsidR="00F82B20" w:rsidRDefault="00F82B20" w:rsidP="000321DD">
            <w:pPr>
              <w:pStyle w:val="Sansinterligne"/>
              <w:jc w:val="center"/>
              <w:rPr>
                <w:lang w:eastAsia="fr-CA"/>
              </w:rPr>
            </w:pPr>
            <w:r>
              <w:rPr>
                <w:lang w:eastAsia="fr-CA"/>
              </w:rPr>
              <w:t>Diagnostic</w:t>
            </w:r>
          </w:p>
        </w:tc>
        <w:tc>
          <w:tcPr>
            <w:tcW w:w="7997" w:type="dxa"/>
            <w:gridSpan w:val="4"/>
            <w:shd w:val="clear" w:color="auto" w:fill="C2D69B" w:themeFill="accent3" w:themeFillTint="99"/>
          </w:tcPr>
          <w:p w:rsidR="00F82B20" w:rsidRDefault="00F82B20" w:rsidP="000321DD">
            <w:pPr>
              <w:pStyle w:val="Sansinterligne"/>
              <w:jc w:val="center"/>
              <w:rPr>
                <w:lang w:eastAsia="fr-CA"/>
              </w:rPr>
            </w:pPr>
            <w:r>
              <w:rPr>
                <w:lang w:eastAsia="fr-CA"/>
              </w:rPr>
              <w:t>Manifestations cliniques</w:t>
            </w:r>
          </w:p>
        </w:tc>
      </w:tr>
      <w:tr w:rsidR="00F82B20" w:rsidTr="00ED73C0">
        <w:tc>
          <w:tcPr>
            <w:tcW w:w="2943" w:type="dxa"/>
            <w:shd w:val="clear" w:color="auto" w:fill="C2D69B" w:themeFill="accent3" w:themeFillTint="99"/>
            <w:vAlign w:val="center"/>
          </w:tcPr>
          <w:p w:rsidR="00F82B20" w:rsidRDefault="00F82B20" w:rsidP="00ED73C0">
            <w:pPr>
              <w:pStyle w:val="Sansinterligne"/>
              <w:jc w:val="center"/>
              <w:rPr>
                <w:lang w:eastAsia="fr-CA"/>
              </w:rPr>
            </w:pPr>
            <w:r>
              <w:rPr>
                <w:lang w:eastAsia="fr-CA"/>
              </w:rPr>
              <w:t>Sepsis, méningite</w:t>
            </w:r>
          </w:p>
        </w:tc>
        <w:tc>
          <w:tcPr>
            <w:tcW w:w="7997" w:type="dxa"/>
            <w:gridSpan w:val="4"/>
          </w:tcPr>
          <w:p w:rsidR="00F82B20" w:rsidRDefault="00767374" w:rsidP="00AF6ADC">
            <w:pPr>
              <w:pStyle w:val="Sansinterligne"/>
              <w:numPr>
                <w:ilvl w:val="0"/>
                <w:numId w:val="1264"/>
              </w:numPr>
              <w:rPr>
                <w:lang w:eastAsia="fr-CA"/>
              </w:rPr>
            </w:pPr>
            <w:r>
              <w:rPr>
                <w:lang w:eastAsia="fr-CA"/>
              </w:rPr>
              <w:t>Hypotonie  avec i</w:t>
            </w:r>
            <w:r w:rsidR="00A61E72">
              <w:rPr>
                <w:lang w:eastAsia="fr-CA"/>
              </w:rPr>
              <w:t>nstallation après une période de normalité</w:t>
            </w:r>
          </w:p>
          <w:p w:rsidR="00767374" w:rsidRDefault="00767374" w:rsidP="00AF6ADC">
            <w:pPr>
              <w:pStyle w:val="Sansinterligne"/>
              <w:numPr>
                <w:ilvl w:val="0"/>
                <w:numId w:val="1264"/>
              </w:numPr>
              <w:rPr>
                <w:lang w:eastAsia="fr-CA"/>
              </w:rPr>
            </w:pPr>
            <w:r>
              <w:rPr>
                <w:lang w:eastAsia="fr-CA"/>
              </w:rPr>
              <w:t>Prédominance tronculaire (l’enfant glisse quand on le prend)</w:t>
            </w:r>
          </w:p>
          <w:p w:rsidR="00767374" w:rsidRDefault="00767374" w:rsidP="00767374">
            <w:pPr>
              <w:pStyle w:val="Sansinterligne"/>
              <w:rPr>
                <w:lang w:eastAsia="fr-CA"/>
              </w:rPr>
            </w:pPr>
            <w:r>
              <w:rPr>
                <w:lang w:eastAsia="fr-CA"/>
              </w:rPr>
              <w:t xml:space="preserve">Voir </w:t>
            </w:r>
            <w:r w:rsidRPr="00767374">
              <w:rPr>
                <w:i/>
                <w:lang w:eastAsia="fr-CA"/>
              </w:rPr>
              <w:t>Fièvre chez un nouvea-né / chez un enfant CMC 107-3</w:t>
            </w:r>
          </w:p>
        </w:tc>
      </w:tr>
      <w:tr w:rsidR="00767374" w:rsidTr="00963C75">
        <w:tc>
          <w:tcPr>
            <w:tcW w:w="2943" w:type="dxa"/>
            <w:shd w:val="clear" w:color="auto" w:fill="C2D69B" w:themeFill="accent3" w:themeFillTint="99"/>
            <w:vAlign w:val="center"/>
          </w:tcPr>
          <w:p w:rsidR="00767374" w:rsidRDefault="00767374" w:rsidP="00ED73C0">
            <w:pPr>
              <w:pStyle w:val="Sansinterligne"/>
              <w:jc w:val="center"/>
              <w:rPr>
                <w:lang w:eastAsia="fr-CA"/>
              </w:rPr>
            </w:pPr>
            <w:r>
              <w:rPr>
                <w:lang w:eastAsia="fr-CA"/>
              </w:rPr>
              <w:t>Botulisme</w:t>
            </w:r>
          </w:p>
        </w:tc>
        <w:tc>
          <w:tcPr>
            <w:tcW w:w="3928" w:type="dxa"/>
            <w:tcBorders>
              <w:right w:val="single" w:sz="4" w:space="0" w:color="FFFF00"/>
            </w:tcBorders>
            <w:shd w:val="clear" w:color="auto" w:fill="FFFF00"/>
          </w:tcPr>
          <w:p w:rsidR="00767374" w:rsidRDefault="00767374" w:rsidP="00AF6ADC">
            <w:pPr>
              <w:pStyle w:val="Sansinterligne"/>
              <w:numPr>
                <w:ilvl w:val="0"/>
                <w:numId w:val="1263"/>
              </w:numPr>
              <w:rPr>
                <w:lang w:eastAsia="fr-CA"/>
              </w:rPr>
            </w:pPr>
            <w:r>
              <w:rPr>
                <w:lang w:eastAsia="fr-CA"/>
              </w:rPr>
              <w:t>Consommation de miel avant 1 an</w:t>
            </w:r>
          </w:p>
          <w:p w:rsidR="00767374" w:rsidRDefault="00767374" w:rsidP="00AF6ADC">
            <w:pPr>
              <w:pStyle w:val="Sansinterligne"/>
              <w:numPr>
                <w:ilvl w:val="0"/>
                <w:numId w:val="1263"/>
              </w:numPr>
              <w:rPr>
                <w:lang w:eastAsia="fr-CA"/>
              </w:rPr>
            </w:pPr>
            <w:r>
              <w:rPr>
                <w:lang w:eastAsia="fr-CA"/>
              </w:rPr>
              <w:t>Hypotonie</w:t>
            </w:r>
          </w:p>
          <w:p w:rsidR="00767374" w:rsidRDefault="00767374" w:rsidP="00AF6ADC">
            <w:pPr>
              <w:pStyle w:val="Sansinterligne"/>
              <w:numPr>
                <w:ilvl w:val="0"/>
                <w:numId w:val="1263"/>
              </w:numPr>
              <w:rPr>
                <w:lang w:eastAsia="fr-CA"/>
              </w:rPr>
            </w:pPr>
            <w:r>
              <w:rPr>
                <w:lang w:eastAsia="fr-CA"/>
              </w:rPr>
              <w:t>Constipation</w:t>
            </w:r>
          </w:p>
          <w:p w:rsidR="00C80131" w:rsidRDefault="00C80131" w:rsidP="00AF6ADC">
            <w:pPr>
              <w:pStyle w:val="Sansinterligne"/>
              <w:numPr>
                <w:ilvl w:val="0"/>
                <w:numId w:val="1263"/>
              </w:numPr>
              <w:rPr>
                <w:lang w:eastAsia="fr-CA"/>
              </w:rPr>
            </w:pPr>
            <w:r>
              <w:rPr>
                <w:lang w:eastAsia="fr-CA"/>
              </w:rPr>
              <w:t>Faible appétit</w:t>
            </w:r>
          </w:p>
        </w:tc>
        <w:tc>
          <w:tcPr>
            <w:tcW w:w="4069" w:type="dxa"/>
            <w:gridSpan w:val="3"/>
            <w:tcBorders>
              <w:left w:val="single" w:sz="4" w:space="0" w:color="FFFF00"/>
            </w:tcBorders>
            <w:shd w:val="clear" w:color="auto" w:fill="FFFF00"/>
          </w:tcPr>
          <w:p w:rsidR="00767374" w:rsidRDefault="00767374" w:rsidP="00AF6ADC">
            <w:pPr>
              <w:pStyle w:val="Sansinterligne"/>
              <w:numPr>
                <w:ilvl w:val="0"/>
                <w:numId w:val="1263"/>
              </w:numPr>
              <w:rPr>
                <w:lang w:eastAsia="fr-CA"/>
              </w:rPr>
            </w:pPr>
            <w:r>
              <w:rPr>
                <w:lang w:eastAsia="fr-CA"/>
              </w:rPr>
              <w:t>Progression c</w:t>
            </w:r>
            <w:r w:rsidR="00366D36">
              <w:rPr>
                <w:lang w:eastAsia="fr-CA"/>
              </w:rPr>
              <w:t>éphalo</w:t>
            </w:r>
            <w:r>
              <w:rPr>
                <w:lang w:eastAsia="fr-CA"/>
              </w:rPr>
              <w:t>caudale des symptômes</w:t>
            </w:r>
          </w:p>
          <w:p w:rsidR="00767374" w:rsidRDefault="00767374" w:rsidP="00AF6ADC">
            <w:pPr>
              <w:pStyle w:val="Sansinterligne"/>
              <w:numPr>
                <w:ilvl w:val="0"/>
                <w:numId w:val="1263"/>
              </w:numPr>
              <w:rPr>
                <w:lang w:eastAsia="fr-CA"/>
              </w:rPr>
            </w:pPr>
            <w:r>
              <w:rPr>
                <w:lang w:eastAsia="fr-CA"/>
              </w:rPr>
              <w:t>Progression vers insuffisance ventilatoire</w:t>
            </w:r>
          </w:p>
        </w:tc>
      </w:tr>
      <w:tr w:rsidR="00DD6F2B" w:rsidTr="00ED73C0">
        <w:tc>
          <w:tcPr>
            <w:tcW w:w="2943" w:type="dxa"/>
            <w:shd w:val="clear" w:color="auto" w:fill="C2D69B" w:themeFill="accent3" w:themeFillTint="99"/>
            <w:vAlign w:val="center"/>
          </w:tcPr>
          <w:p w:rsidR="00DD6F2B" w:rsidRDefault="00DD6F2B" w:rsidP="00ED73C0">
            <w:pPr>
              <w:pStyle w:val="Sansinterligne"/>
              <w:jc w:val="center"/>
              <w:rPr>
                <w:lang w:eastAsia="fr-CA"/>
              </w:rPr>
            </w:pPr>
            <w:r>
              <w:rPr>
                <w:lang w:eastAsia="fr-CA"/>
              </w:rPr>
              <w:t>Polyomyélite</w:t>
            </w:r>
          </w:p>
        </w:tc>
        <w:tc>
          <w:tcPr>
            <w:tcW w:w="7997" w:type="dxa"/>
            <w:gridSpan w:val="4"/>
          </w:tcPr>
          <w:p w:rsidR="00ED73C0" w:rsidRDefault="00ED73C0" w:rsidP="00AF6ADC">
            <w:pPr>
              <w:pStyle w:val="Sansinterligne"/>
              <w:numPr>
                <w:ilvl w:val="0"/>
                <w:numId w:val="1262"/>
              </w:numPr>
              <w:rPr>
                <w:lang w:eastAsia="fr-CA"/>
              </w:rPr>
            </w:pPr>
            <w:r>
              <w:rPr>
                <w:lang w:eastAsia="fr-CA"/>
              </w:rPr>
              <w:t>Rares zones endémiques en Asie et en Afrique (populations non-vaccinées)</w:t>
            </w:r>
          </w:p>
          <w:p w:rsidR="00ED73C0" w:rsidRDefault="00ED73C0" w:rsidP="00AF6ADC">
            <w:pPr>
              <w:pStyle w:val="Sansinterligne"/>
              <w:numPr>
                <w:ilvl w:val="0"/>
                <w:numId w:val="1262"/>
              </w:numPr>
              <w:rPr>
                <w:lang w:eastAsia="fr-CA"/>
              </w:rPr>
            </w:pPr>
            <w:r>
              <w:rPr>
                <w:lang w:eastAsia="fr-CA"/>
              </w:rPr>
              <w:t>Paralysie flasque aigue</w:t>
            </w:r>
          </w:p>
        </w:tc>
      </w:tr>
      <w:tr w:rsidR="00DC5016" w:rsidTr="00DC5016">
        <w:tc>
          <w:tcPr>
            <w:tcW w:w="2943" w:type="dxa"/>
            <w:shd w:val="clear" w:color="auto" w:fill="C2D69B" w:themeFill="accent3" w:themeFillTint="99"/>
            <w:vAlign w:val="center"/>
          </w:tcPr>
          <w:p w:rsidR="00DC5016" w:rsidRDefault="00DC5016" w:rsidP="00ED73C0">
            <w:pPr>
              <w:pStyle w:val="Sansinterligne"/>
              <w:jc w:val="center"/>
              <w:rPr>
                <w:lang w:eastAsia="fr-CA"/>
              </w:rPr>
            </w:pPr>
            <w:r>
              <w:rPr>
                <w:lang w:eastAsia="fr-CA"/>
              </w:rPr>
              <w:t>Hypoglycémie</w:t>
            </w:r>
          </w:p>
        </w:tc>
        <w:tc>
          <w:tcPr>
            <w:tcW w:w="3998" w:type="dxa"/>
            <w:gridSpan w:val="2"/>
            <w:tcBorders>
              <w:bottom w:val="single" w:sz="4" w:space="0" w:color="FFFFFF" w:themeColor="background1"/>
              <w:right w:val="single" w:sz="4" w:space="0" w:color="FFFFFF" w:themeColor="background1"/>
            </w:tcBorders>
            <w:shd w:val="clear" w:color="auto" w:fill="auto"/>
          </w:tcPr>
          <w:p w:rsidR="00DC5016" w:rsidRDefault="00DC5016" w:rsidP="00AF6ADC">
            <w:pPr>
              <w:pStyle w:val="Sansinterligne"/>
              <w:numPr>
                <w:ilvl w:val="0"/>
                <w:numId w:val="1262"/>
              </w:numPr>
              <w:rPr>
                <w:lang w:eastAsia="fr-CA"/>
              </w:rPr>
            </w:pPr>
            <w:r>
              <w:rPr>
                <w:lang w:eastAsia="fr-CA"/>
              </w:rPr>
              <w:t>Macrosome</w:t>
            </w:r>
          </w:p>
        </w:tc>
        <w:tc>
          <w:tcPr>
            <w:tcW w:w="3999" w:type="dxa"/>
            <w:gridSpan w:val="2"/>
            <w:tcBorders>
              <w:left w:val="single" w:sz="4" w:space="0" w:color="FFFFFF" w:themeColor="background1"/>
            </w:tcBorders>
            <w:shd w:val="clear" w:color="auto" w:fill="auto"/>
          </w:tcPr>
          <w:p w:rsidR="00DC5016" w:rsidRDefault="00DC5016" w:rsidP="00AF6ADC">
            <w:pPr>
              <w:pStyle w:val="Sansinterligne"/>
              <w:numPr>
                <w:ilvl w:val="0"/>
                <w:numId w:val="1262"/>
              </w:numPr>
              <w:rPr>
                <w:lang w:eastAsia="fr-CA"/>
              </w:rPr>
            </w:pPr>
            <w:r>
              <w:rPr>
                <w:lang w:eastAsia="fr-CA"/>
              </w:rPr>
              <w:t>Faible appétit</w:t>
            </w:r>
          </w:p>
        </w:tc>
      </w:tr>
      <w:tr w:rsidR="00A61E72" w:rsidTr="00ED73C0">
        <w:tc>
          <w:tcPr>
            <w:tcW w:w="2943" w:type="dxa"/>
            <w:shd w:val="clear" w:color="auto" w:fill="C2D69B" w:themeFill="accent3" w:themeFillTint="99"/>
            <w:vAlign w:val="center"/>
          </w:tcPr>
          <w:p w:rsidR="00A61E72" w:rsidRDefault="00A61E72" w:rsidP="00ED73C0">
            <w:pPr>
              <w:pStyle w:val="Sansinterligne"/>
              <w:jc w:val="center"/>
              <w:rPr>
                <w:lang w:eastAsia="fr-CA"/>
              </w:rPr>
            </w:pPr>
            <w:r>
              <w:rPr>
                <w:lang w:eastAsia="fr-CA"/>
              </w:rPr>
              <w:t>Asphyxie néonatale / paralysie cérébrale</w:t>
            </w:r>
          </w:p>
        </w:tc>
        <w:tc>
          <w:tcPr>
            <w:tcW w:w="7997" w:type="dxa"/>
            <w:gridSpan w:val="4"/>
            <w:shd w:val="clear" w:color="auto" w:fill="FFFF00"/>
          </w:tcPr>
          <w:p w:rsidR="00A61E72" w:rsidRDefault="00E12C64" w:rsidP="00AF6ADC">
            <w:pPr>
              <w:pStyle w:val="Sansinterligne"/>
              <w:numPr>
                <w:ilvl w:val="0"/>
                <w:numId w:val="1260"/>
              </w:numPr>
              <w:rPr>
                <w:lang w:eastAsia="fr-CA"/>
              </w:rPr>
            </w:pPr>
            <w:r>
              <w:rPr>
                <w:lang w:eastAsia="fr-CA"/>
              </w:rPr>
              <w:t>Histoire d’anoxie périnatale (circulaire du cordon, apnée prolongée, etc.)</w:t>
            </w:r>
          </w:p>
          <w:p w:rsidR="00E12C64" w:rsidRDefault="00E12C64" w:rsidP="00AF6ADC">
            <w:pPr>
              <w:pStyle w:val="Sansinterligne"/>
              <w:numPr>
                <w:ilvl w:val="0"/>
                <w:numId w:val="1260"/>
              </w:numPr>
              <w:rPr>
                <w:lang w:eastAsia="fr-CA"/>
              </w:rPr>
            </w:pPr>
            <w:r>
              <w:rPr>
                <w:lang w:eastAsia="fr-CA"/>
              </w:rPr>
              <w:t>Hypotonie dès la naissance</w:t>
            </w:r>
          </w:p>
          <w:p w:rsidR="00E12C64" w:rsidRDefault="00E12C64" w:rsidP="00AF6ADC">
            <w:pPr>
              <w:pStyle w:val="Sansinterligne"/>
              <w:numPr>
                <w:ilvl w:val="0"/>
                <w:numId w:val="1260"/>
              </w:numPr>
              <w:rPr>
                <w:lang w:eastAsia="fr-CA"/>
              </w:rPr>
            </w:pPr>
            <w:r>
              <w:rPr>
                <w:lang w:eastAsia="fr-CA"/>
              </w:rPr>
              <w:t>Évolue ensuite vers un tableau hypertonique, spastique</w:t>
            </w:r>
          </w:p>
          <w:p w:rsidR="00E12C64" w:rsidRPr="00E12C64" w:rsidRDefault="00E12C64" w:rsidP="008E7476">
            <w:pPr>
              <w:pStyle w:val="Sansinterligne"/>
              <w:rPr>
                <w:lang w:eastAsia="fr-CA"/>
              </w:rPr>
            </w:pPr>
            <w:r w:rsidRPr="00E12C64">
              <w:rPr>
                <w:lang w:eastAsia="fr-CA"/>
              </w:rPr>
              <w:t xml:space="preserve">Voir </w:t>
            </w:r>
            <w:r w:rsidRPr="00E12C64">
              <w:rPr>
                <w:i/>
                <w:lang w:eastAsia="fr-CA"/>
              </w:rPr>
              <w:t xml:space="preserve">Trouble du développement chez </w:t>
            </w:r>
            <w:r w:rsidR="008E7476">
              <w:rPr>
                <w:i/>
                <w:lang w:eastAsia="fr-CA"/>
              </w:rPr>
              <w:t>l</w:t>
            </w:r>
            <w:r w:rsidRPr="00E12C64">
              <w:rPr>
                <w:i/>
                <w:lang w:eastAsia="fr-CA"/>
              </w:rPr>
              <w:t>es adulte</w:t>
            </w:r>
            <w:r w:rsidR="008E7476">
              <w:rPr>
                <w:i/>
                <w:lang w:eastAsia="fr-CA"/>
              </w:rPr>
              <w:t>s</w:t>
            </w:r>
            <w:r w:rsidRPr="00E12C64">
              <w:rPr>
                <w:i/>
                <w:lang w:eastAsia="fr-CA"/>
              </w:rPr>
              <w:t xml:space="preserve"> CMC 21-1</w:t>
            </w:r>
          </w:p>
        </w:tc>
      </w:tr>
      <w:tr w:rsidR="00A61E72" w:rsidTr="00ED73C0">
        <w:tc>
          <w:tcPr>
            <w:tcW w:w="2943" w:type="dxa"/>
            <w:shd w:val="clear" w:color="auto" w:fill="C2D69B" w:themeFill="accent3" w:themeFillTint="99"/>
            <w:vAlign w:val="center"/>
          </w:tcPr>
          <w:p w:rsidR="00A61E72" w:rsidRDefault="00A61E72" w:rsidP="00ED73C0">
            <w:pPr>
              <w:pStyle w:val="Sansinterligne"/>
              <w:jc w:val="center"/>
              <w:rPr>
                <w:lang w:eastAsia="fr-CA"/>
              </w:rPr>
            </w:pPr>
            <w:r>
              <w:rPr>
                <w:lang w:eastAsia="fr-CA"/>
              </w:rPr>
              <w:t>Syndrome de Prader-Willi</w:t>
            </w:r>
          </w:p>
        </w:tc>
        <w:tc>
          <w:tcPr>
            <w:tcW w:w="7997" w:type="dxa"/>
            <w:gridSpan w:val="4"/>
            <w:shd w:val="clear" w:color="auto" w:fill="FFFF00"/>
          </w:tcPr>
          <w:p w:rsidR="00E12C64" w:rsidRDefault="0095070A" w:rsidP="00E12C64">
            <w:pPr>
              <w:pStyle w:val="Sansinterligne"/>
              <w:rPr>
                <w:lang w:eastAsia="fr-CA"/>
              </w:rPr>
            </w:pPr>
            <w:r>
              <w:rPr>
                <w:lang w:eastAsia="fr-CA"/>
              </w:rPr>
              <w:t xml:space="preserve">Voir </w:t>
            </w:r>
            <w:r w:rsidRPr="0095070A">
              <w:rPr>
                <w:i/>
                <w:lang w:eastAsia="fr-CA"/>
              </w:rPr>
              <w:t>Anomalies génétiques, traits dysmorphiques CMC 36-2</w:t>
            </w:r>
          </w:p>
        </w:tc>
      </w:tr>
      <w:tr w:rsidR="00A61E72" w:rsidTr="00ED73C0">
        <w:tc>
          <w:tcPr>
            <w:tcW w:w="2943" w:type="dxa"/>
            <w:shd w:val="clear" w:color="auto" w:fill="C2D69B" w:themeFill="accent3" w:themeFillTint="99"/>
            <w:vAlign w:val="center"/>
          </w:tcPr>
          <w:p w:rsidR="00A61E72" w:rsidRDefault="00A61E72" w:rsidP="00ED73C0">
            <w:pPr>
              <w:pStyle w:val="Sansinterligne"/>
              <w:jc w:val="center"/>
              <w:rPr>
                <w:lang w:eastAsia="fr-CA"/>
              </w:rPr>
            </w:pPr>
            <w:r>
              <w:rPr>
                <w:lang w:eastAsia="fr-CA"/>
              </w:rPr>
              <w:t>Hypothyroïdie congénitale</w:t>
            </w:r>
          </w:p>
        </w:tc>
        <w:tc>
          <w:tcPr>
            <w:tcW w:w="7997" w:type="dxa"/>
            <w:gridSpan w:val="4"/>
            <w:shd w:val="clear" w:color="auto" w:fill="FFFF00"/>
          </w:tcPr>
          <w:p w:rsidR="00A61E72" w:rsidRDefault="00BA17F4" w:rsidP="00AF6ADC">
            <w:pPr>
              <w:pStyle w:val="Sansinterligne"/>
              <w:numPr>
                <w:ilvl w:val="0"/>
                <w:numId w:val="1261"/>
              </w:numPr>
              <w:rPr>
                <w:lang w:eastAsia="fr-CA"/>
              </w:rPr>
            </w:pPr>
            <w:r>
              <w:rPr>
                <w:lang w:eastAsia="fr-CA"/>
              </w:rPr>
              <w:t>Hypotonie</w:t>
            </w:r>
          </w:p>
          <w:p w:rsidR="00BA17F4" w:rsidRDefault="00BA17F4" w:rsidP="00AF6ADC">
            <w:pPr>
              <w:pStyle w:val="Sansinterligne"/>
              <w:numPr>
                <w:ilvl w:val="0"/>
                <w:numId w:val="1261"/>
              </w:numPr>
              <w:rPr>
                <w:lang w:eastAsia="fr-CA"/>
              </w:rPr>
            </w:pPr>
            <w:r>
              <w:rPr>
                <w:lang w:eastAsia="fr-CA"/>
              </w:rPr>
              <w:t>Peu de manifestations chez le nouveau-né</w:t>
            </w:r>
          </w:p>
        </w:tc>
      </w:tr>
      <w:tr w:rsidR="00A61E72" w:rsidTr="00ED73C0">
        <w:tc>
          <w:tcPr>
            <w:tcW w:w="2943" w:type="dxa"/>
            <w:shd w:val="clear" w:color="auto" w:fill="C2D69B" w:themeFill="accent3" w:themeFillTint="99"/>
            <w:vAlign w:val="center"/>
          </w:tcPr>
          <w:p w:rsidR="00767374" w:rsidRDefault="00767374" w:rsidP="00ED73C0">
            <w:pPr>
              <w:pStyle w:val="Sansinterligne"/>
              <w:jc w:val="center"/>
              <w:rPr>
                <w:lang w:val="de-DE" w:eastAsia="fr-CA"/>
              </w:rPr>
            </w:pPr>
            <w:r>
              <w:rPr>
                <w:lang w:val="de-DE" w:eastAsia="fr-CA"/>
              </w:rPr>
              <w:t>S</w:t>
            </w:r>
            <w:r w:rsidRPr="00767374">
              <w:rPr>
                <w:lang w:val="de-DE" w:eastAsia="fr-CA"/>
              </w:rPr>
              <w:t xml:space="preserve">yndrome de </w:t>
            </w:r>
            <w:r w:rsidR="00ED73C0">
              <w:rPr>
                <w:lang w:val="de-DE" w:eastAsia="fr-CA"/>
              </w:rPr>
              <w:t xml:space="preserve">               </w:t>
            </w:r>
            <w:r w:rsidRPr="00767374">
              <w:rPr>
                <w:lang w:val="de-DE" w:eastAsia="fr-CA"/>
              </w:rPr>
              <w:t>Werdnig-Hoffman</w:t>
            </w:r>
            <w:r>
              <w:rPr>
                <w:lang w:val="de-DE" w:eastAsia="fr-CA"/>
              </w:rPr>
              <w:t>n</w:t>
            </w:r>
          </w:p>
          <w:p w:rsidR="00767374" w:rsidRDefault="00767374" w:rsidP="00ED73C0">
            <w:pPr>
              <w:pStyle w:val="Sansinterligne"/>
              <w:jc w:val="center"/>
              <w:rPr>
                <w:lang w:val="de-DE" w:eastAsia="fr-CA"/>
              </w:rPr>
            </w:pPr>
            <w:r>
              <w:rPr>
                <w:lang w:val="de-DE" w:eastAsia="fr-CA"/>
              </w:rPr>
              <w:t>ou</w:t>
            </w:r>
          </w:p>
          <w:p w:rsidR="00A61E72" w:rsidRPr="00767374" w:rsidRDefault="00A61E72" w:rsidP="00ED73C0">
            <w:pPr>
              <w:pStyle w:val="Sansinterligne"/>
              <w:jc w:val="center"/>
              <w:rPr>
                <w:lang w:val="de-DE" w:eastAsia="fr-CA"/>
              </w:rPr>
            </w:pPr>
            <w:r w:rsidRPr="00767374">
              <w:rPr>
                <w:lang w:val="de-DE" w:eastAsia="fr-CA"/>
              </w:rPr>
              <w:t>A</w:t>
            </w:r>
            <w:r w:rsidR="0095070A" w:rsidRPr="00767374">
              <w:rPr>
                <w:lang w:val="de-DE" w:eastAsia="fr-CA"/>
              </w:rPr>
              <w:t>my</w:t>
            </w:r>
            <w:r w:rsidR="00767374" w:rsidRPr="00767374">
              <w:rPr>
                <w:lang w:val="de-DE" w:eastAsia="fr-CA"/>
              </w:rPr>
              <w:t xml:space="preserve">otrophie spinale </w:t>
            </w:r>
            <w:r w:rsidRPr="00767374">
              <w:rPr>
                <w:lang w:val="de-DE" w:eastAsia="fr-CA"/>
              </w:rPr>
              <w:t xml:space="preserve"> type I</w:t>
            </w:r>
          </w:p>
          <w:p w:rsidR="00A61E72" w:rsidRPr="00767374" w:rsidRDefault="00A61E72" w:rsidP="00ED73C0">
            <w:pPr>
              <w:pStyle w:val="Sansinterligne"/>
              <w:jc w:val="center"/>
              <w:rPr>
                <w:lang w:val="de-DE" w:eastAsia="fr-CA"/>
              </w:rPr>
            </w:pPr>
          </w:p>
        </w:tc>
        <w:tc>
          <w:tcPr>
            <w:tcW w:w="7997" w:type="dxa"/>
            <w:gridSpan w:val="4"/>
            <w:shd w:val="clear" w:color="auto" w:fill="FFFF00"/>
          </w:tcPr>
          <w:p w:rsidR="00A61E72" w:rsidRDefault="00A61E72" w:rsidP="00AF6ADC">
            <w:pPr>
              <w:pStyle w:val="Sansinterligne"/>
              <w:numPr>
                <w:ilvl w:val="0"/>
                <w:numId w:val="1265"/>
              </w:numPr>
              <w:rPr>
                <w:lang w:eastAsia="fr-CA"/>
              </w:rPr>
            </w:pPr>
            <w:r>
              <w:rPr>
                <w:lang w:eastAsia="fr-CA"/>
              </w:rPr>
              <w:t>Fasciculations</w:t>
            </w:r>
            <w:r w:rsidR="0095070A">
              <w:rPr>
                <w:lang w:eastAsia="fr-CA"/>
              </w:rPr>
              <w:t xml:space="preserve"> linguales et digitales</w:t>
            </w:r>
          </w:p>
          <w:p w:rsidR="00A61E72" w:rsidRDefault="0095070A" w:rsidP="00AF6ADC">
            <w:pPr>
              <w:pStyle w:val="Sansinterligne"/>
              <w:numPr>
                <w:ilvl w:val="0"/>
                <w:numId w:val="1265"/>
              </w:numPr>
              <w:rPr>
                <w:lang w:eastAsia="fr-CA"/>
              </w:rPr>
            </w:pPr>
            <w:r>
              <w:rPr>
                <w:lang w:eastAsia="fr-CA"/>
              </w:rPr>
              <w:t>A</w:t>
            </w:r>
            <w:r w:rsidR="00A61E72">
              <w:rPr>
                <w:lang w:eastAsia="fr-CA"/>
              </w:rPr>
              <w:t>réflexie</w:t>
            </w:r>
            <w:r>
              <w:rPr>
                <w:lang w:eastAsia="fr-CA"/>
              </w:rPr>
              <w:t xml:space="preserve"> ostéo-tendineuse</w:t>
            </w:r>
          </w:p>
          <w:p w:rsidR="001B06C7" w:rsidRDefault="001B06C7" w:rsidP="00AF6ADC">
            <w:pPr>
              <w:pStyle w:val="Sansinterligne"/>
              <w:numPr>
                <w:ilvl w:val="0"/>
                <w:numId w:val="1265"/>
              </w:numPr>
              <w:rPr>
                <w:lang w:eastAsia="fr-CA"/>
              </w:rPr>
            </w:pPr>
            <w:r>
              <w:rPr>
                <w:lang w:eastAsia="fr-CA"/>
              </w:rPr>
              <w:t xml:space="preserve">Hypotonie </w:t>
            </w:r>
          </w:p>
        </w:tc>
      </w:tr>
      <w:tr w:rsidR="00BA17F4" w:rsidTr="00ED73C0">
        <w:tc>
          <w:tcPr>
            <w:tcW w:w="2943" w:type="dxa"/>
            <w:shd w:val="clear" w:color="auto" w:fill="C2D69B" w:themeFill="accent3" w:themeFillTint="99"/>
            <w:vAlign w:val="center"/>
          </w:tcPr>
          <w:p w:rsidR="00BA17F4" w:rsidRDefault="00BA17F4" w:rsidP="00ED73C0">
            <w:pPr>
              <w:pStyle w:val="Sansinterligne"/>
              <w:jc w:val="center"/>
              <w:rPr>
                <w:lang w:eastAsia="fr-CA"/>
              </w:rPr>
            </w:pPr>
            <w:r>
              <w:rPr>
                <w:lang w:eastAsia="fr-CA"/>
              </w:rPr>
              <w:t>Myasthénie grave congénitale</w:t>
            </w:r>
          </w:p>
        </w:tc>
        <w:tc>
          <w:tcPr>
            <w:tcW w:w="3928" w:type="dxa"/>
            <w:tcBorders>
              <w:right w:val="single" w:sz="4" w:space="0" w:color="FFFFFF" w:themeColor="background1"/>
            </w:tcBorders>
          </w:tcPr>
          <w:p w:rsidR="00BA17F4" w:rsidRDefault="00BA17F4" w:rsidP="00AF6ADC">
            <w:pPr>
              <w:pStyle w:val="Sansinterligne"/>
              <w:numPr>
                <w:ilvl w:val="0"/>
                <w:numId w:val="1265"/>
              </w:numPr>
              <w:rPr>
                <w:lang w:eastAsia="fr-CA"/>
              </w:rPr>
            </w:pPr>
            <w:r>
              <w:rPr>
                <w:lang w:eastAsia="fr-CA"/>
              </w:rPr>
              <w:t>Histoire maternelle souvent +</w:t>
            </w:r>
          </w:p>
          <w:p w:rsidR="00BA17F4" w:rsidRDefault="00BA17F4" w:rsidP="00AF6ADC">
            <w:pPr>
              <w:pStyle w:val="Sansinterligne"/>
              <w:numPr>
                <w:ilvl w:val="0"/>
                <w:numId w:val="1265"/>
              </w:numPr>
              <w:rPr>
                <w:lang w:eastAsia="fr-CA"/>
              </w:rPr>
            </w:pPr>
            <w:r>
              <w:rPr>
                <w:lang w:eastAsia="fr-CA"/>
              </w:rPr>
              <w:t>Faible succion</w:t>
            </w:r>
          </w:p>
          <w:p w:rsidR="00BA17F4" w:rsidRDefault="00BA17F4" w:rsidP="00AF6ADC">
            <w:pPr>
              <w:pStyle w:val="Sansinterligne"/>
              <w:numPr>
                <w:ilvl w:val="0"/>
                <w:numId w:val="1265"/>
              </w:numPr>
              <w:rPr>
                <w:lang w:eastAsia="fr-CA"/>
              </w:rPr>
            </w:pPr>
            <w:r>
              <w:rPr>
                <w:lang w:eastAsia="fr-CA"/>
              </w:rPr>
              <w:t>Ptose</w:t>
            </w:r>
          </w:p>
          <w:p w:rsidR="00BA17F4" w:rsidRDefault="00BA17F4" w:rsidP="00AF6ADC">
            <w:pPr>
              <w:pStyle w:val="Sansinterligne"/>
              <w:numPr>
                <w:ilvl w:val="0"/>
                <w:numId w:val="1265"/>
              </w:numPr>
              <w:rPr>
                <w:lang w:eastAsia="fr-CA"/>
              </w:rPr>
            </w:pPr>
            <w:r>
              <w:rPr>
                <w:lang w:eastAsia="fr-CA"/>
              </w:rPr>
              <w:t>Réflexes ostéo-tendineux préservés</w:t>
            </w:r>
          </w:p>
        </w:tc>
        <w:tc>
          <w:tcPr>
            <w:tcW w:w="4069" w:type="dxa"/>
            <w:gridSpan w:val="3"/>
            <w:tcBorders>
              <w:left w:val="single" w:sz="4" w:space="0" w:color="FFFFFF" w:themeColor="background1"/>
            </w:tcBorders>
          </w:tcPr>
          <w:p w:rsidR="00BA17F4" w:rsidRDefault="00BA17F4" w:rsidP="00AF6ADC">
            <w:pPr>
              <w:pStyle w:val="Sansinterligne"/>
              <w:numPr>
                <w:ilvl w:val="0"/>
                <w:numId w:val="1265"/>
              </w:numPr>
              <w:rPr>
                <w:lang w:eastAsia="fr-CA"/>
              </w:rPr>
            </w:pPr>
            <w:r>
              <w:rPr>
                <w:lang w:eastAsia="fr-CA"/>
              </w:rPr>
              <w:t>Hypotonie prédominance membres proximaux</w:t>
            </w:r>
          </w:p>
          <w:p w:rsidR="00BA17F4" w:rsidRDefault="00BA17F4" w:rsidP="00AF6ADC">
            <w:pPr>
              <w:pStyle w:val="Sansinterligne"/>
              <w:numPr>
                <w:ilvl w:val="0"/>
                <w:numId w:val="1265"/>
              </w:numPr>
              <w:rPr>
                <w:lang w:eastAsia="fr-CA"/>
              </w:rPr>
            </w:pPr>
            <w:r>
              <w:rPr>
                <w:lang w:eastAsia="fr-CA"/>
              </w:rPr>
              <w:t>Difficulté respiratoire</w:t>
            </w:r>
          </w:p>
          <w:p w:rsidR="00BA17F4" w:rsidRDefault="00BA17F4" w:rsidP="00AF6ADC">
            <w:pPr>
              <w:pStyle w:val="Sansinterligne"/>
              <w:numPr>
                <w:ilvl w:val="0"/>
                <w:numId w:val="1265"/>
              </w:numPr>
              <w:rPr>
                <w:lang w:eastAsia="fr-CA"/>
              </w:rPr>
            </w:pPr>
            <w:r>
              <w:rPr>
                <w:lang w:eastAsia="fr-CA"/>
              </w:rPr>
              <w:t>Cri faible</w:t>
            </w:r>
          </w:p>
        </w:tc>
      </w:tr>
      <w:tr w:rsidR="00767374" w:rsidTr="00ED73C0">
        <w:tc>
          <w:tcPr>
            <w:tcW w:w="2943" w:type="dxa"/>
            <w:shd w:val="clear" w:color="auto" w:fill="C2D69B" w:themeFill="accent3" w:themeFillTint="99"/>
            <w:vAlign w:val="center"/>
          </w:tcPr>
          <w:p w:rsidR="00767374" w:rsidRDefault="00767374" w:rsidP="00963C75">
            <w:pPr>
              <w:pStyle w:val="Sansinterligne"/>
              <w:jc w:val="center"/>
              <w:rPr>
                <w:lang w:eastAsia="fr-CA"/>
              </w:rPr>
            </w:pPr>
            <w:r>
              <w:rPr>
                <w:lang w:eastAsia="fr-CA"/>
              </w:rPr>
              <w:t xml:space="preserve">Dystrophie myotonique </w:t>
            </w:r>
            <w:r w:rsidR="00963C75">
              <w:rPr>
                <w:lang w:eastAsia="fr-CA"/>
              </w:rPr>
              <w:t>type I (</w:t>
            </w:r>
            <w:r>
              <w:rPr>
                <w:lang w:eastAsia="fr-CA"/>
              </w:rPr>
              <w:t>de Steinert</w:t>
            </w:r>
            <w:r w:rsidR="00963C75">
              <w:rPr>
                <w:lang w:eastAsia="fr-CA"/>
              </w:rPr>
              <w:t>)</w:t>
            </w:r>
            <w:r>
              <w:rPr>
                <w:lang w:eastAsia="fr-CA"/>
              </w:rPr>
              <w:t xml:space="preserve"> congénit</w:t>
            </w:r>
            <w:r w:rsidR="00963C75">
              <w:rPr>
                <w:lang w:eastAsia="fr-CA"/>
              </w:rPr>
              <w:t>ale</w:t>
            </w:r>
          </w:p>
        </w:tc>
        <w:tc>
          <w:tcPr>
            <w:tcW w:w="3928" w:type="dxa"/>
            <w:tcBorders>
              <w:right w:val="single" w:sz="4" w:space="0" w:color="FFFFFF" w:themeColor="background1"/>
            </w:tcBorders>
          </w:tcPr>
          <w:p w:rsidR="00767374" w:rsidRDefault="00767374" w:rsidP="00AF6ADC">
            <w:pPr>
              <w:pStyle w:val="Sansinterligne"/>
              <w:numPr>
                <w:ilvl w:val="0"/>
                <w:numId w:val="1265"/>
              </w:numPr>
              <w:rPr>
                <w:lang w:eastAsia="fr-CA"/>
              </w:rPr>
            </w:pPr>
            <w:r>
              <w:rPr>
                <w:lang w:eastAsia="fr-CA"/>
              </w:rPr>
              <w:t>Hypotonie sévère</w:t>
            </w:r>
          </w:p>
          <w:p w:rsidR="00767374" w:rsidRDefault="00767374" w:rsidP="00AF6ADC">
            <w:pPr>
              <w:pStyle w:val="Sansinterligne"/>
              <w:numPr>
                <w:ilvl w:val="0"/>
                <w:numId w:val="1265"/>
              </w:numPr>
              <w:rPr>
                <w:lang w:eastAsia="fr-CA"/>
              </w:rPr>
            </w:pPr>
            <w:r>
              <w:rPr>
                <w:lang w:eastAsia="fr-CA"/>
              </w:rPr>
              <w:t>Diplégie faciale avec lèvre en forme de V</w:t>
            </w:r>
          </w:p>
          <w:p w:rsidR="00767374" w:rsidRDefault="00767374" w:rsidP="00AF6ADC">
            <w:pPr>
              <w:pStyle w:val="Sansinterligne"/>
              <w:numPr>
                <w:ilvl w:val="0"/>
                <w:numId w:val="1265"/>
              </w:numPr>
              <w:rPr>
                <w:lang w:eastAsia="fr-CA"/>
              </w:rPr>
            </w:pPr>
            <w:r>
              <w:rPr>
                <w:lang w:eastAsia="fr-CA"/>
              </w:rPr>
              <w:t>Faible alimentation</w:t>
            </w:r>
          </w:p>
        </w:tc>
        <w:tc>
          <w:tcPr>
            <w:tcW w:w="4069" w:type="dxa"/>
            <w:gridSpan w:val="3"/>
            <w:tcBorders>
              <w:left w:val="single" w:sz="4" w:space="0" w:color="FFFFFF" w:themeColor="background1"/>
            </w:tcBorders>
          </w:tcPr>
          <w:p w:rsidR="00767374" w:rsidRDefault="00767374" w:rsidP="00AF6ADC">
            <w:pPr>
              <w:pStyle w:val="Sansinterligne"/>
              <w:numPr>
                <w:ilvl w:val="0"/>
                <w:numId w:val="1265"/>
              </w:numPr>
              <w:rPr>
                <w:lang w:eastAsia="fr-CA"/>
              </w:rPr>
            </w:pPr>
            <w:r>
              <w:rPr>
                <w:lang w:eastAsia="fr-CA"/>
              </w:rPr>
              <w:t>Détresse respiratoire</w:t>
            </w:r>
          </w:p>
          <w:p w:rsidR="00767374" w:rsidRDefault="00767374" w:rsidP="00AF6ADC">
            <w:pPr>
              <w:pStyle w:val="Sansinterligne"/>
              <w:numPr>
                <w:ilvl w:val="0"/>
                <w:numId w:val="1265"/>
              </w:numPr>
              <w:rPr>
                <w:lang w:eastAsia="fr-CA"/>
              </w:rPr>
            </w:pPr>
            <w:r>
              <w:rPr>
                <w:lang w:eastAsia="fr-CA"/>
              </w:rPr>
              <w:t>Arthrogrypose (ankylose articulaire)</w:t>
            </w:r>
          </w:p>
        </w:tc>
      </w:tr>
      <w:tr w:rsidR="001A3D4E" w:rsidTr="001A3D4E">
        <w:tc>
          <w:tcPr>
            <w:tcW w:w="2943" w:type="dxa"/>
            <w:shd w:val="clear" w:color="auto" w:fill="C2D69B" w:themeFill="accent3" w:themeFillTint="99"/>
            <w:vAlign w:val="center"/>
          </w:tcPr>
          <w:p w:rsidR="001A3D4E" w:rsidRDefault="001A3D4E" w:rsidP="00ED73C0">
            <w:pPr>
              <w:pStyle w:val="Sansinterligne"/>
              <w:jc w:val="center"/>
              <w:rPr>
                <w:lang w:eastAsia="fr-CA"/>
              </w:rPr>
            </w:pPr>
            <w:r>
              <w:rPr>
                <w:lang w:eastAsia="fr-CA"/>
              </w:rPr>
              <w:t>Maladies mitochondriales</w:t>
            </w:r>
          </w:p>
        </w:tc>
        <w:tc>
          <w:tcPr>
            <w:tcW w:w="4253" w:type="dxa"/>
            <w:gridSpan w:val="3"/>
            <w:tcBorders>
              <w:right w:val="single" w:sz="4" w:space="0" w:color="FFFFFF" w:themeColor="background1"/>
            </w:tcBorders>
          </w:tcPr>
          <w:p w:rsidR="001A3D4E" w:rsidRDefault="001A3D4E" w:rsidP="00AF6ADC">
            <w:pPr>
              <w:pStyle w:val="Sansinterligne"/>
              <w:numPr>
                <w:ilvl w:val="0"/>
                <w:numId w:val="1272"/>
              </w:numPr>
              <w:rPr>
                <w:lang w:eastAsia="fr-CA"/>
              </w:rPr>
            </w:pPr>
            <w:r>
              <w:rPr>
                <w:lang w:eastAsia="fr-CA"/>
              </w:rPr>
              <w:t>Tableau clinique très variable selon type</w:t>
            </w:r>
          </w:p>
          <w:p w:rsidR="001A3D4E" w:rsidRDefault="001A3D4E" w:rsidP="00AF6ADC">
            <w:pPr>
              <w:pStyle w:val="Sansinterligne"/>
              <w:numPr>
                <w:ilvl w:val="0"/>
                <w:numId w:val="1272"/>
              </w:numPr>
              <w:rPr>
                <w:lang w:eastAsia="fr-CA"/>
              </w:rPr>
            </w:pPr>
            <w:r>
              <w:rPr>
                <w:lang w:eastAsia="fr-CA"/>
              </w:rPr>
              <w:t>Souvent atteinte cardiaque</w:t>
            </w:r>
          </w:p>
        </w:tc>
        <w:tc>
          <w:tcPr>
            <w:tcW w:w="3744" w:type="dxa"/>
            <w:tcBorders>
              <w:left w:val="single" w:sz="4" w:space="0" w:color="FFFFFF" w:themeColor="background1"/>
            </w:tcBorders>
          </w:tcPr>
          <w:p w:rsidR="001A3D4E" w:rsidRPr="001A3D4E" w:rsidRDefault="001A3D4E" w:rsidP="001A3D4E">
            <w:pPr>
              <w:pStyle w:val="Sansinterligne"/>
              <w:rPr>
                <w:i/>
                <w:lang w:eastAsia="fr-CA"/>
              </w:rPr>
            </w:pPr>
            <w:r w:rsidRPr="001A3D4E">
              <w:rPr>
                <w:i/>
                <w:lang w:eastAsia="fr-CA"/>
              </w:rPr>
              <w:t>La prise en charge dépasse les objectifs</w:t>
            </w:r>
          </w:p>
          <w:p w:rsidR="001A3D4E" w:rsidRDefault="001A3D4E" w:rsidP="001A3D4E">
            <w:pPr>
              <w:pStyle w:val="Sansinterligne"/>
              <w:rPr>
                <w:lang w:eastAsia="fr-CA"/>
              </w:rPr>
            </w:pPr>
            <w:r w:rsidRPr="001A3D4E">
              <w:rPr>
                <w:i/>
                <w:lang w:eastAsia="fr-CA"/>
              </w:rPr>
              <w:t>Référer en pédiatrie</w:t>
            </w:r>
          </w:p>
        </w:tc>
      </w:tr>
    </w:tbl>
    <w:p w:rsidR="00DB3A1E" w:rsidRPr="00301B3D" w:rsidRDefault="00DB3A1E" w:rsidP="0073701C">
      <w:pPr>
        <w:pStyle w:val="Sansinterligne"/>
        <w:rPr>
          <w:b/>
          <w:color w:val="548DD4" w:themeColor="text2" w:themeTint="99"/>
          <w:sz w:val="16"/>
          <w:szCs w:val="16"/>
        </w:rPr>
      </w:pPr>
    </w:p>
    <w:p w:rsidR="00DB3A1E" w:rsidRPr="00ED73C0" w:rsidRDefault="00F82B20" w:rsidP="00F82B20">
      <w:pPr>
        <w:pStyle w:val="Sansinterligne"/>
        <w:rPr>
          <w:b/>
          <w:sz w:val="28"/>
          <w:szCs w:val="28"/>
        </w:rPr>
      </w:pPr>
      <w:r w:rsidRPr="00ED73C0">
        <w:rPr>
          <w:b/>
          <w:sz w:val="28"/>
          <w:szCs w:val="28"/>
        </w:rPr>
        <w:t>Investigations</w:t>
      </w:r>
    </w:p>
    <w:p w:rsidR="00ED73C0" w:rsidRDefault="00ED73C0" w:rsidP="00F82B20">
      <w:pPr>
        <w:pStyle w:val="Sansinterligne"/>
      </w:pPr>
    </w:p>
    <w:p w:rsidR="00963C75" w:rsidRPr="00301B3D" w:rsidRDefault="00963C75" w:rsidP="00F82B20">
      <w:pPr>
        <w:pStyle w:val="Sansinterligne"/>
        <w:rPr>
          <w:sz w:val="16"/>
          <w:szCs w:val="16"/>
        </w:rPr>
        <w:sectPr w:rsidR="00963C75" w:rsidRPr="00301B3D" w:rsidSect="00217865">
          <w:type w:val="continuous"/>
          <w:pgSz w:w="12240" w:h="15840"/>
          <w:pgMar w:top="720" w:right="720" w:bottom="720" w:left="720" w:header="708" w:footer="708" w:gutter="0"/>
          <w:cols w:space="708"/>
          <w:docGrid w:linePitch="360"/>
        </w:sectPr>
      </w:pPr>
    </w:p>
    <w:p w:rsidR="00ED73C0" w:rsidRDefault="00ED73C0" w:rsidP="00AF6ADC">
      <w:pPr>
        <w:pStyle w:val="Sansinterligne"/>
        <w:numPr>
          <w:ilvl w:val="0"/>
          <w:numId w:val="1266"/>
        </w:numPr>
      </w:pPr>
      <w:r>
        <w:t xml:space="preserve">FSC, glycémie, </w:t>
      </w:r>
      <w:r w:rsidRPr="00E1227E">
        <w:rPr>
          <w:highlight w:val="yellow"/>
        </w:rPr>
        <w:t>ponction lombaire PRN</w:t>
      </w:r>
    </w:p>
    <w:p w:rsidR="00ED73C0" w:rsidRDefault="00ED73C0" w:rsidP="00AF6ADC">
      <w:pPr>
        <w:pStyle w:val="Sansinterligne"/>
        <w:numPr>
          <w:ilvl w:val="0"/>
          <w:numId w:val="1266"/>
        </w:numPr>
      </w:pPr>
      <w:r>
        <w:t>Ions</w:t>
      </w:r>
      <w:r w:rsidR="00F82B20" w:rsidRPr="00F82B20">
        <w:t xml:space="preserve">, </w:t>
      </w:r>
      <w:r w:rsidR="00A61E72">
        <w:t>ca</w:t>
      </w:r>
      <w:r>
        <w:t>l</w:t>
      </w:r>
      <w:r w:rsidR="00A61E72">
        <w:t xml:space="preserve">cium, </w:t>
      </w:r>
      <w:r w:rsidR="00F82B20" w:rsidRPr="00F82B20">
        <w:t>gaz artériel</w:t>
      </w:r>
    </w:p>
    <w:p w:rsidR="00ED73C0" w:rsidRDefault="00ED73C0" w:rsidP="00AF6ADC">
      <w:pPr>
        <w:pStyle w:val="Sansinterligne"/>
        <w:numPr>
          <w:ilvl w:val="0"/>
          <w:numId w:val="1266"/>
        </w:numPr>
      </w:pPr>
      <w:r w:rsidRPr="00E1227E">
        <w:rPr>
          <w:highlight w:val="yellow"/>
        </w:rPr>
        <w:t>TSH, T4</w:t>
      </w:r>
      <w:r>
        <w:t xml:space="preserve"> libre</w:t>
      </w:r>
      <w:r w:rsidR="00963C75">
        <w:t xml:space="preserve"> (hypothyroïdie congénitale)</w:t>
      </w:r>
    </w:p>
    <w:p w:rsidR="00ED73C0" w:rsidRDefault="00ED73C0" w:rsidP="00AF6ADC">
      <w:pPr>
        <w:pStyle w:val="Sansinterligne"/>
        <w:numPr>
          <w:ilvl w:val="0"/>
          <w:numId w:val="1266"/>
        </w:numPr>
      </w:pPr>
      <w:r w:rsidRPr="00E1227E">
        <w:rPr>
          <w:highlight w:val="yellow"/>
        </w:rPr>
        <w:t>CK</w:t>
      </w:r>
      <w:r w:rsidR="00963C75">
        <w:t xml:space="preserve"> (dystrophie myotonique)</w:t>
      </w:r>
    </w:p>
    <w:p w:rsidR="00ED73C0" w:rsidRDefault="00ED73C0" w:rsidP="00AF6ADC">
      <w:pPr>
        <w:pStyle w:val="Sansinterligne"/>
        <w:numPr>
          <w:ilvl w:val="0"/>
          <w:numId w:val="1266"/>
        </w:numPr>
      </w:pPr>
      <w:r>
        <w:t>Caryotype</w:t>
      </w:r>
    </w:p>
    <w:p w:rsidR="0095070A" w:rsidRDefault="0095070A" w:rsidP="00AF6ADC">
      <w:pPr>
        <w:pStyle w:val="Sansinterligne"/>
        <w:numPr>
          <w:ilvl w:val="0"/>
          <w:numId w:val="1266"/>
        </w:numPr>
      </w:pPr>
      <w:r>
        <w:t xml:space="preserve">Recherche de mutation du gène SMN </w:t>
      </w:r>
      <w:r w:rsidR="00963C75">
        <w:t xml:space="preserve">           </w:t>
      </w:r>
      <w:r>
        <w:t>(Wer</w:t>
      </w:r>
      <w:r w:rsidR="00E1227E">
        <w:t>d</w:t>
      </w:r>
      <w:r>
        <w:t>nig-Hoffmann)</w:t>
      </w:r>
    </w:p>
    <w:p w:rsidR="00A61E72" w:rsidRPr="00301B3D" w:rsidRDefault="00A61E72" w:rsidP="00F82B20">
      <w:pPr>
        <w:pStyle w:val="Sansinterligne"/>
        <w:rPr>
          <w:sz w:val="16"/>
          <w:szCs w:val="16"/>
        </w:rPr>
      </w:pPr>
    </w:p>
    <w:p w:rsidR="00963C75" w:rsidRPr="009A3F87" w:rsidRDefault="00963C75" w:rsidP="00F82B20">
      <w:pPr>
        <w:pStyle w:val="Sansinterligne"/>
        <w:rPr>
          <w:sz w:val="16"/>
          <w:szCs w:val="16"/>
        </w:rPr>
      </w:pPr>
    </w:p>
    <w:p w:rsidR="00963C75" w:rsidRPr="009A3F87" w:rsidRDefault="00963C75" w:rsidP="00F82B20">
      <w:pPr>
        <w:pStyle w:val="Sansinterligne"/>
        <w:rPr>
          <w:sz w:val="16"/>
          <w:szCs w:val="16"/>
        </w:rPr>
      </w:pPr>
    </w:p>
    <w:p w:rsidR="00A61E72" w:rsidRDefault="00A61E72" w:rsidP="00AF6ADC">
      <w:pPr>
        <w:pStyle w:val="Sansinterligne"/>
        <w:numPr>
          <w:ilvl w:val="0"/>
          <w:numId w:val="1266"/>
        </w:numPr>
      </w:pPr>
      <w:r>
        <w:t>EMG</w:t>
      </w:r>
    </w:p>
    <w:p w:rsidR="00BA17F4" w:rsidRDefault="00BA17F4" w:rsidP="00AF6ADC">
      <w:pPr>
        <w:pStyle w:val="Sansinterligne"/>
        <w:numPr>
          <w:ilvl w:val="0"/>
          <w:numId w:val="1266"/>
        </w:numPr>
      </w:pPr>
      <w:r w:rsidRPr="00E1227E">
        <w:rPr>
          <w:highlight w:val="yellow"/>
        </w:rPr>
        <w:t xml:space="preserve">Test à la néostigmine </w:t>
      </w:r>
      <w:r>
        <w:t>(inhibiteurs de l’</w:t>
      </w:r>
      <w:r w:rsidR="00E1227E">
        <w:t>acétylcholinestérase</w:t>
      </w:r>
      <w:r>
        <w:t>)</w:t>
      </w:r>
      <w:r>
        <w:rPr>
          <w:rFonts w:ascii="Century Gothic" w:hAnsi="Century Gothic"/>
        </w:rPr>
        <w:t>→</w:t>
      </w:r>
      <w:r>
        <w:t xml:space="preserve"> amélioration des symptômes</w:t>
      </w:r>
    </w:p>
    <w:p w:rsidR="00767374" w:rsidRPr="00F82B20" w:rsidRDefault="00767374" w:rsidP="00AF6ADC">
      <w:pPr>
        <w:pStyle w:val="Sansinterligne"/>
        <w:numPr>
          <w:ilvl w:val="0"/>
          <w:numId w:val="1266"/>
        </w:numPr>
      </w:pPr>
      <w:r w:rsidRPr="00E1227E">
        <w:rPr>
          <w:highlight w:val="yellow"/>
        </w:rPr>
        <w:t xml:space="preserve">Recherche d’une expansion du trinucléotide sur le gène DMPK </w:t>
      </w:r>
      <w:r>
        <w:t>(Dystrophie myotonique de Steinert)</w:t>
      </w:r>
    </w:p>
    <w:p w:rsidR="00963C75" w:rsidRPr="00963C75" w:rsidRDefault="00452B5F" w:rsidP="00AF6ADC">
      <w:pPr>
        <w:pStyle w:val="Sansinterligne"/>
        <w:numPr>
          <w:ilvl w:val="0"/>
          <w:numId w:val="1266"/>
        </w:numPr>
        <w:sectPr w:rsidR="00963C75" w:rsidRPr="00963C75" w:rsidSect="00963C75">
          <w:type w:val="continuous"/>
          <w:pgSz w:w="12240" w:h="15840"/>
          <w:pgMar w:top="720" w:right="720" w:bottom="720" w:left="720" w:header="708" w:footer="708" w:gutter="0"/>
          <w:cols w:num="2" w:space="708"/>
          <w:docGrid w:linePitch="360"/>
        </w:sectPr>
      </w:pPr>
      <w:r>
        <w:t>IRM</w:t>
      </w:r>
      <w:r w:rsidR="00767374">
        <w:t xml:space="preserve"> cérébrale (pour évaluer l’anoxie cérébrale</w:t>
      </w:r>
      <w:r w:rsidR="00ED73C0">
        <w:t xml:space="preserve"> </w:t>
      </w:r>
      <w:r w:rsidR="00301B3D">
        <w:t>–</w:t>
      </w:r>
      <w:r w:rsidR="00ED73C0">
        <w:t xml:space="preserve"> tardivement</w:t>
      </w:r>
    </w:p>
    <w:p w:rsidR="00F82B20" w:rsidRPr="00ED73C0" w:rsidRDefault="00F82B20" w:rsidP="00F82B20">
      <w:pPr>
        <w:pStyle w:val="Sansinterligne"/>
        <w:rPr>
          <w:b/>
          <w:sz w:val="28"/>
          <w:szCs w:val="28"/>
        </w:rPr>
      </w:pPr>
      <w:r w:rsidRPr="00ED73C0">
        <w:rPr>
          <w:b/>
          <w:sz w:val="28"/>
          <w:szCs w:val="28"/>
        </w:rPr>
        <w:t>Prise en charge</w:t>
      </w:r>
    </w:p>
    <w:p w:rsidR="00DB3A1E" w:rsidRPr="00301B3D" w:rsidRDefault="00DB3A1E" w:rsidP="001B06C7">
      <w:pPr>
        <w:pStyle w:val="Sansinterligne"/>
        <w:rPr>
          <w:sz w:val="16"/>
          <w:szCs w:val="16"/>
        </w:rPr>
      </w:pPr>
    </w:p>
    <w:p w:rsidR="001B06C7" w:rsidRPr="00E1227E" w:rsidRDefault="001B06C7" w:rsidP="001B06C7">
      <w:pPr>
        <w:pStyle w:val="Sansinterligne"/>
        <w:rPr>
          <w:b/>
          <w:highlight w:val="yellow"/>
        </w:rPr>
      </w:pPr>
      <w:r w:rsidRPr="00E1227E">
        <w:rPr>
          <w:b/>
          <w:highlight w:val="yellow"/>
        </w:rPr>
        <w:t>Botulisme</w:t>
      </w:r>
    </w:p>
    <w:p w:rsidR="001B06C7" w:rsidRPr="009A3F87" w:rsidRDefault="00E1227E" w:rsidP="00AF6ADC">
      <w:pPr>
        <w:pStyle w:val="Sansinterligne"/>
        <w:numPr>
          <w:ilvl w:val="0"/>
          <w:numId w:val="1267"/>
        </w:numPr>
        <w:rPr>
          <w:highlight w:val="yellow"/>
        </w:rPr>
      </w:pPr>
      <w:r w:rsidRPr="00E1227E">
        <w:rPr>
          <w:noProof/>
          <w:highlight w:val="yellow"/>
          <w:lang w:eastAsia="fr-CA"/>
        </w:rPr>
        <w:drawing>
          <wp:anchor distT="0" distB="0" distL="114300" distR="114300" simplePos="0" relativeHeight="252087296" behindDoc="1" locked="0" layoutInCell="1" allowOverlap="1" wp14:anchorId="15499985" wp14:editId="439349D3">
            <wp:simplePos x="0" y="0"/>
            <wp:positionH relativeFrom="column">
              <wp:posOffset>4045748</wp:posOffset>
            </wp:positionH>
            <wp:positionV relativeFrom="paragraph">
              <wp:posOffset>3175</wp:posOffset>
            </wp:positionV>
            <wp:extent cx="2860040" cy="1906905"/>
            <wp:effectExtent l="0" t="0" r="0" b="0"/>
            <wp:wrapNone/>
            <wp:docPr id="564" name="Image 564" descr="Résultats de recherche d'images pour « botulisme infanti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ésultats de recherche d'images pour « botulisme infantile »"/>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2860040" cy="1906905"/>
                    </a:xfrm>
                    <a:prstGeom prst="rect">
                      <a:avLst/>
                    </a:prstGeom>
                    <a:noFill/>
                    <a:ln>
                      <a:noFill/>
                    </a:ln>
                  </pic:spPr>
                </pic:pic>
              </a:graphicData>
            </a:graphic>
            <wp14:sizeRelH relativeFrom="page">
              <wp14:pctWidth>0</wp14:pctWidth>
            </wp14:sizeRelH>
            <wp14:sizeRelV relativeFrom="page">
              <wp14:pctHeight>0</wp14:pctHeight>
            </wp14:sizeRelV>
          </wp:anchor>
        </w:drawing>
      </w:r>
      <w:r w:rsidR="001B06C7" w:rsidRPr="00E1227E">
        <w:rPr>
          <w:highlight w:val="yellow"/>
        </w:rPr>
        <w:t>Hospitalisation urgente</w:t>
      </w:r>
      <w:r w:rsidR="009A3F87" w:rsidRPr="009A3F87">
        <w:rPr>
          <w:highlight w:val="yellow"/>
        </w:rPr>
        <w:t xml:space="preserve"> </w:t>
      </w:r>
      <w:r w:rsidR="009A3F87">
        <w:rPr>
          <w:highlight w:val="yellow"/>
        </w:rPr>
        <w:t>avec s</w:t>
      </w:r>
      <w:r w:rsidR="009A3F87" w:rsidRPr="00E1227E">
        <w:rPr>
          <w:highlight w:val="yellow"/>
        </w:rPr>
        <w:t>upport ventilatoire</w:t>
      </w:r>
    </w:p>
    <w:p w:rsidR="001B06C7" w:rsidRPr="00E1227E" w:rsidRDefault="00963C75" w:rsidP="00AF6ADC">
      <w:pPr>
        <w:pStyle w:val="Sansinterligne"/>
        <w:numPr>
          <w:ilvl w:val="0"/>
          <w:numId w:val="1267"/>
        </w:numPr>
        <w:rPr>
          <w:highlight w:val="yellow"/>
        </w:rPr>
      </w:pPr>
      <w:r w:rsidRPr="00E1227E">
        <w:rPr>
          <w:highlight w:val="yellow"/>
        </w:rPr>
        <w:t>Consulter un</w:t>
      </w:r>
      <w:r w:rsidR="001B06C7" w:rsidRPr="00E1227E">
        <w:rPr>
          <w:highlight w:val="yellow"/>
        </w:rPr>
        <w:t xml:space="preserve"> pédiatre intensiviste</w:t>
      </w:r>
    </w:p>
    <w:p w:rsidR="001B06C7" w:rsidRPr="00E1227E" w:rsidRDefault="001B06C7" w:rsidP="00AF6ADC">
      <w:pPr>
        <w:pStyle w:val="Sansinterligne"/>
        <w:numPr>
          <w:ilvl w:val="0"/>
          <w:numId w:val="1267"/>
        </w:numPr>
        <w:rPr>
          <w:highlight w:val="yellow"/>
        </w:rPr>
      </w:pPr>
      <w:r w:rsidRPr="00E1227E">
        <w:rPr>
          <w:highlight w:val="yellow"/>
        </w:rPr>
        <w:t>Immunoglobuline botulinique IV (BIG-IV)</w:t>
      </w:r>
    </w:p>
    <w:p w:rsidR="001B06C7" w:rsidRPr="00301B3D" w:rsidRDefault="001B06C7" w:rsidP="001B06C7">
      <w:pPr>
        <w:pStyle w:val="Sansinterligne"/>
        <w:rPr>
          <w:sz w:val="16"/>
          <w:szCs w:val="16"/>
          <w:highlight w:val="yellow"/>
        </w:rPr>
      </w:pPr>
    </w:p>
    <w:p w:rsidR="00DB3A1E" w:rsidRPr="00E1227E" w:rsidRDefault="00BA17F4" w:rsidP="001B06C7">
      <w:pPr>
        <w:pStyle w:val="Sansinterligne"/>
        <w:rPr>
          <w:highlight w:val="yellow"/>
        </w:rPr>
      </w:pPr>
      <w:r w:rsidRPr="00E1227E">
        <w:rPr>
          <w:b/>
          <w:highlight w:val="yellow"/>
        </w:rPr>
        <w:t>Anoxie cérébrale</w:t>
      </w:r>
      <w:r w:rsidRPr="00E1227E">
        <w:rPr>
          <w:highlight w:val="yellow"/>
        </w:rPr>
        <w:t xml:space="preserve"> </w:t>
      </w:r>
      <w:r w:rsidRPr="00E1227E">
        <w:rPr>
          <w:rFonts w:ascii="Century Gothic" w:hAnsi="Century Gothic"/>
          <w:highlight w:val="yellow"/>
        </w:rPr>
        <w:t>→</w:t>
      </w:r>
      <w:r w:rsidRPr="00E1227E">
        <w:rPr>
          <w:highlight w:val="yellow"/>
        </w:rPr>
        <w:t xml:space="preserve"> voir </w:t>
      </w:r>
      <w:r w:rsidRPr="00E1227E">
        <w:rPr>
          <w:i/>
          <w:highlight w:val="yellow"/>
        </w:rPr>
        <w:t>Trouble de développement chez l’</w:t>
      </w:r>
      <w:r w:rsidR="001B06C7" w:rsidRPr="00E1227E">
        <w:rPr>
          <w:i/>
          <w:highlight w:val="yellow"/>
        </w:rPr>
        <w:t>adulte</w:t>
      </w:r>
      <w:r w:rsidR="008E7476" w:rsidRPr="00E1227E">
        <w:rPr>
          <w:i/>
          <w:highlight w:val="yellow"/>
        </w:rPr>
        <w:t xml:space="preserve"> CMC 21-1</w:t>
      </w:r>
    </w:p>
    <w:p w:rsidR="001B06C7" w:rsidRPr="00E1227E" w:rsidRDefault="001B06C7" w:rsidP="00AF6ADC">
      <w:pPr>
        <w:pStyle w:val="Sansinterligne"/>
        <w:numPr>
          <w:ilvl w:val="0"/>
          <w:numId w:val="1268"/>
        </w:numPr>
        <w:rPr>
          <w:highlight w:val="yellow"/>
        </w:rPr>
      </w:pPr>
      <w:r w:rsidRPr="00E1227E">
        <w:rPr>
          <w:highlight w:val="yellow"/>
        </w:rPr>
        <w:t>Référence en pédiatrie et neurologie pédiatrique</w:t>
      </w:r>
    </w:p>
    <w:p w:rsidR="001B06C7" w:rsidRPr="00E1227E" w:rsidRDefault="001B06C7" w:rsidP="00AF6ADC">
      <w:pPr>
        <w:pStyle w:val="Sansinterligne"/>
        <w:numPr>
          <w:ilvl w:val="0"/>
          <w:numId w:val="1268"/>
        </w:numPr>
        <w:rPr>
          <w:highlight w:val="yellow"/>
        </w:rPr>
      </w:pPr>
      <w:r w:rsidRPr="00E1227E">
        <w:rPr>
          <w:highlight w:val="yellow"/>
        </w:rPr>
        <w:t>Équipe multidisciplinaire pour permettre à l’enfant d’acquérir son plein potentiel</w:t>
      </w:r>
    </w:p>
    <w:p w:rsidR="001B06C7" w:rsidRPr="00E1227E" w:rsidRDefault="001B06C7" w:rsidP="00AF6ADC">
      <w:pPr>
        <w:pStyle w:val="Sansinterligne"/>
        <w:numPr>
          <w:ilvl w:val="1"/>
          <w:numId w:val="1268"/>
        </w:numPr>
        <w:rPr>
          <w:highlight w:val="yellow"/>
        </w:rPr>
      </w:pPr>
      <w:r w:rsidRPr="00E1227E">
        <w:rPr>
          <w:highlight w:val="yellow"/>
        </w:rPr>
        <w:t>(Ergothérapie, physiothérapie et plus tard, orthophoniste)</w:t>
      </w:r>
    </w:p>
    <w:p w:rsidR="001B06C7" w:rsidRPr="00E1227E" w:rsidRDefault="001B06C7" w:rsidP="00AF6ADC">
      <w:pPr>
        <w:pStyle w:val="Sansinterligne"/>
        <w:numPr>
          <w:ilvl w:val="0"/>
          <w:numId w:val="1268"/>
        </w:numPr>
        <w:rPr>
          <w:highlight w:val="yellow"/>
        </w:rPr>
      </w:pPr>
      <w:r w:rsidRPr="00E1227E">
        <w:rPr>
          <w:highlight w:val="yellow"/>
        </w:rPr>
        <w:t>Pronostic variable selon la localisation et la gravité de l’atteinte</w:t>
      </w:r>
    </w:p>
    <w:p w:rsidR="001B06C7" w:rsidRPr="00301B3D" w:rsidRDefault="001B06C7" w:rsidP="001B06C7">
      <w:pPr>
        <w:pStyle w:val="Sansinterligne"/>
        <w:rPr>
          <w:sz w:val="16"/>
          <w:szCs w:val="16"/>
          <w:highlight w:val="yellow"/>
        </w:rPr>
      </w:pPr>
    </w:p>
    <w:p w:rsidR="00E1227E" w:rsidRPr="00E1227E" w:rsidRDefault="00E1227E" w:rsidP="001B06C7">
      <w:pPr>
        <w:pStyle w:val="Sansinterligne"/>
        <w:rPr>
          <w:b/>
          <w:highlight w:val="yellow"/>
        </w:rPr>
      </w:pPr>
      <w:r w:rsidRPr="00E1227E">
        <w:rPr>
          <w:b/>
          <w:highlight w:val="yellow"/>
        </w:rPr>
        <w:t>Hypothyroïdie congénitale</w:t>
      </w:r>
    </w:p>
    <w:p w:rsidR="00E1227E" w:rsidRPr="00E1227E" w:rsidRDefault="00E1227E" w:rsidP="00AF6ADC">
      <w:pPr>
        <w:pStyle w:val="Sansinterligne"/>
        <w:numPr>
          <w:ilvl w:val="0"/>
          <w:numId w:val="1273"/>
        </w:numPr>
        <w:rPr>
          <w:highlight w:val="yellow"/>
        </w:rPr>
      </w:pPr>
      <w:r w:rsidRPr="00E1227E">
        <w:rPr>
          <w:highlight w:val="yellow"/>
        </w:rPr>
        <w:t>Remplacement par lévothyroxine</w:t>
      </w:r>
    </w:p>
    <w:p w:rsidR="00E1227E" w:rsidRPr="00E1227E" w:rsidRDefault="00E1227E" w:rsidP="00AF6ADC">
      <w:pPr>
        <w:pStyle w:val="Sansinterligne"/>
        <w:numPr>
          <w:ilvl w:val="0"/>
          <w:numId w:val="1273"/>
        </w:numPr>
        <w:rPr>
          <w:highlight w:val="yellow"/>
        </w:rPr>
      </w:pPr>
      <w:r w:rsidRPr="00E1227E">
        <w:rPr>
          <w:highlight w:val="yellow"/>
        </w:rPr>
        <w:t>Référence en endocrinologie pédiatrique</w:t>
      </w:r>
    </w:p>
    <w:p w:rsidR="009A3F87" w:rsidRDefault="009A3F87" w:rsidP="001B06C7">
      <w:pPr>
        <w:pStyle w:val="Sansinterligne"/>
        <w:rPr>
          <w:b/>
        </w:rPr>
      </w:pPr>
    </w:p>
    <w:p w:rsidR="0095070A" w:rsidRPr="008E7476" w:rsidRDefault="001B06C7" w:rsidP="001B06C7">
      <w:pPr>
        <w:pStyle w:val="Sansinterligne"/>
        <w:rPr>
          <w:b/>
        </w:rPr>
      </w:pPr>
      <w:r w:rsidRPr="008E7476">
        <w:rPr>
          <w:b/>
        </w:rPr>
        <w:t>Malad</w:t>
      </w:r>
      <w:r w:rsidR="0095070A" w:rsidRPr="008E7476">
        <w:rPr>
          <w:b/>
        </w:rPr>
        <w:t>ie de Wer</w:t>
      </w:r>
      <w:r w:rsidR="00E1227E">
        <w:rPr>
          <w:b/>
        </w:rPr>
        <w:t>d</w:t>
      </w:r>
      <w:r w:rsidR="0095070A" w:rsidRPr="008E7476">
        <w:rPr>
          <w:b/>
        </w:rPr>
        <w:t>nig-Hoffmann</w:t>
      </w:r>
    </w:p>
    <w:p w:rsidR="008E7476" w:rsidRDefault="008E7476" w:rsidP="00AF6ADC">
      <w:pPr>
        <w:pStyle w:val="Sansinterligne"/>
        <w:numPr>
          <w:ilvl w:val="0"/>
          <w:numId w:val="1269"/>
        </w:numPr>
      </w:pPr>
      <w:r>
        <w:t>Il n’existe pas de traitement</w:t>
      </w:r>
    </w:p>
    <w:p w:rsidR="001B06C7" w:rsidRDefault="001B06C7" w:rsidP="00AF6ADC">
      <w:pPr>
        <w:pStyle w:val="Sansinterligne"/>
        <w:numPr>
          <w:ilvl w:val="0"/>
          <w:numId w:val="1269"/>
        </w:numPr>
      </w:pPr>
      <w:r>
        <w:t>Référence en soins palliatifs pédiatriques</w:t>
      </w:r>
    </w:p>
    <w:p w:rsidR="008E7476" w:rsidRPr="00E1227E" w:rsidRDefault="008E7476" w:rsidP="00AF6ADC">
      <w:pPr>
        <w:pStyle w:val="Sansinterligne"/>
        <w:numPr>
          <w:ilvl w:val="0"/>
          <w:numId w:val="1269"/>
        </w:numPr>
        <w:rPr>
          <w:highlight w:val="yellow"/>
        </w:rPr>
      </w:pPr>
      <w:r w:rsidRPr="00E1227E">
        <w:rPr>
          <w:highlight w:val="yellow"/>
        </w:rPr>
        <w:t>Soins palliatifs</w:t>
      </w:r>
    </w:p>
    <w:p w:rsidR="008E7476" w:rsidRDefault="008E7476" w:rsidP="00AF6ADC">
      <w:pPr>
        <w:pStyle w:val="Sansinterligne"/>
        <w:numPr>
          <w:ilvl w:val="0"/>
          <w:numId w:val="1269"/>
        </w:numPr>
      </w:pPr>
      <w:r>
        <w:t>Décès par insuffisance respiratoire</w:t>
      </w:r>
    </w:p>
    <w:p w:rsidR="001B06C7" w:rsidRDefault="001B06C7" w:rsidP="001B06C7">
      <w:pPr>
        <w:pStyle w:val="Sansinterligne"/>
      </w:pPr>
    </w:p>
    <w:p w:rsidR="001B06C7" w:rsidRPr="008E7476" w:rsidRDefault="001B06C7" w:rsidP="001B06C7">
      <w:pPr>
        <w:pStyle w:val="Sansinterligne"/>
        <w:rPr>
          <w:b/>
        </w:rPr>
      </w:pPr>
      <w:r w:rsidRPr="008E7476">
        <w:rPr>
          <w:b/>
        </w:rPr>
        <w:t>Myasthénie grave congénitale</w:t>
      </w:r>
    </w:p>
    <w:p w:rsidR="001B06C7" w:rsidRDefault="001B06C7" w:rsidP="00AF6ADC">
      <w:pPr>
        <w:pStyle w:val="Sansinterligne"/>
        <w:numPr>
          <w:ilvl w:val="0"/>
          <w:numId w:val="1270"/>
        </w:numPr>
      </w:pPr>
      <w:r>
        <w:t>Consultation en néonatalogie</w:t>
      </w:r>
    </w:p>
    <w:p w:rsidR="008E7476" w:rsidRDefault="008E7476" w:rsidP="00AF6ADC">
      <w:pPr>
        <w:pStyle w:val="Sansinterligne"/>
        <w:numPr>
          <w:ilvl w:val="0"/>
          <w:numId w:val="1270"/>
        </w:numPr>
      </w:pPr>
      <w:r>
        <w:t>Alimentation par TNG PRN</w:t>
      </w:r>
    </w:p>
    <w:p w:rsidR="001B06C7" w:rsidRDefault="008E7476" w:rsidP="00AF6ADC">
      <w:pPr>
        <w:pStyle w:val="Sansinterligne"/>
        <w:numPr>
          <w:ilvl w:val="0"/>
          <w:numId w:val="1270"/>
        </w:numPr>
      </w:pPr>
      <w:r>
        <w:t>Support ventilatoire PRN</w:t>
      </w:r>
    </w:p>
    <w:p w:rsidR="001B06C7" w:rsidRPr="00E1227E" w:rsidRDefault="001B06C7" w:rsidP="00AF6ADC">
      <w:pPr>
        <w:pStyle w:val="Sansinterligne"/>
        <w:numPr>
          <w:ilvl w:val="0"/>
          <w:numId w:val="1270"/>
        </w:numPr>
        <w:rPr>
          <w:highlight w:val="yellow"/>
        </w:rPr>
      </w:pPr>
      <w:r w:rsidRPr="00E1227E">
        <w:rPr>
          <w:highlight w:val="yellow"/>
        </w:rPr>
        <w:t>Neostigmine 0,05 mg/kg IM 30 minutes avant les boires</w:t>
      </w:r>
    </w:p>
    <w:p w:rsidR="001B06C7" w:rsidRDefault="001B06C7" w:rsidP="00AF6ADC">
      <w:pPr>
        <w:pStyle w:val="Sansinterligne"/>
        <w:numPr>
          <w:ilvl w:val="1"/>
          <w:numId w:val="1270"/>
        </w:numPr>
      </w:pPr>
      <w:r>
        <w:t>Lorsque les capacités respiratoires et d’alimentation s’améliorent, on peut passer à 0,5 mg/kg PO puis graduellement réduire les doses.</w:t>
      </w:r>
    </w:p>
    <w:p w:rsidR="00767374" w:rsidRDefault="00767374" w:rsidP="001B06C7">
      <w:pPr>
        <w:pStyle w:val="Sansinterligne"/>
      </w:pPr>
    </w:p>
    <w:p w:rsidR="00767374" w:rsidRPr="001A3D4E" w:rsidRDefault="00767374" w:rsidP="001B06C7">
      <w:pPr>
        <w:pStyle w:val="Sansinterligne"/>
        <w:rPr>
          <w:b/>
        </w:rPr>
      </w:pPr>
      <w:r w:rsidRPr="001A3D4E">
        <w:rPr>
          <w:b/>
        </w:rPr>
        <w:t>Dystrophie myotonique de Steinert</w:t>
      </w:r>
    </w:p>
    <w:p w:rsidR="00767374" w:rsidRPr="00E1227E" w:rsidRDefault="00767374" w:rsidP="00AF6ADC">
      <w:pPr>
        <w:pStyle w:val="Sansinterligne"/>
        <w:numPr>
          <w:ilvl w:val="0"/>
          <w:numId w:val="1271"/>
        </w:numPr>
        <w:rPr>
          <w:highlight w:val="yellow"/>
        </w:rPr>
      </w:pPr>
      <w:r w:rsidRPr="00E1227E">
        <w:rPr>
          <w:highlight w:val="yellow"/>
        </w:rPr>
        <w:t>Référence en pédiatrie</w:t>
      </w:r>
    </w:p>
    <w:p w:rsidR="00767374" w:rsidRDefault="00767374" w:rsidP="00AF6ADC">
      <w:pPr>
        <w:pStyle w:val="Sansinterligne"/>
        <w:numPr>
          <w:ilvl w:val="0"/>
          <w:numId w:val="1271"/>
        </w:numPr>
      </w:pPr>
      <w:r>
        <w:t>Support ventilatoire PRN</w:t>
      </w:r>
    </w:p>
    <w:p w:rsidR="00767374" w:rsidRDefault="00767374" w:rsidP="00AF6ADC">
      <w:pPr>
        <w:pStyle w:val="Sansinterligne"/>
        <w:numPr>
          <w:ilvl w:val="0"/>
          <w:numId w:val="1271"/>
        </w:numPr>
      </w:pPr>
      <w:r>
        <w:t>Ortophonie (pour difficulté à s’alimenter)</w:t>
      </w:r>
    </w:p>
    <w:p w:rsidR="00767374" w:rsidRDefault="00767374" w:rsidP="00AF6ADC">
      <w:pPr>
        <w:pStyle w:val="Sansinterligne"/>
        <w:numPr>
          <w:ilvl w:val="0"/>
          <w:numId w:val="1271"/>
        </w:numPr>
      </w:pPr>
      <w:r>
        <w:t>Pas de traitement curatif</w:t>
      </w:r>
    </w:p>
    <w:p w:rsidR="00767374" w:rsidRDefault="00767374" w:rsidP="001B06C7">
      <w:pPr>
        <w:pStyle w:val="Sansinterligne"/>
      </w:pPr>
    </w:p>
    <w:p w:rsidR="00767374" w:rsidRPr="001B06C7" w:rsidRDefault="00767374" w:rsidP="001B06C7">
      <w:pPr>
        <w:pStyle w:val="Sansinterligne"/>
      </w:pPr>
    </w:p>
    <w:p w:rsidR="00E1227E" w:rsidRDefault="00E1227E">
      <w:pPr>
        <w:rPr>
          <w:b/>
          <w:color w:val="548DD4" w:themeColor="text2" w:themeTint="99"/>
        </w:rPr>
      </w:pPr>
      <w:r>
        <w:rPr>
          <w:b/>
          <w:noProof/>
          <w:color w:val="548DD4" w:themeColor="text2" w:themeTint="99"/>
          <w:lang w:eastAsia="fr-CA"/>
        </w:rPr>
        <mc:AlternateContent>
          <mc:Choice Requires="wpg">
            <w:drawing>
              <wp:anchor distT="0" distB="0" distL="114300" distR="114300" simplePos="0" relativeHeight="252090368" behindDoc="0" locked="0" layoutInCell="1" allowOverlap="1" wp14:anchorId="0483FA93" wp14:editId="5630817D">
                <wp:simplePos x="0" y="0"/>
                <wp:positionH relativeFrom="column">
                  <wp:posOffset>2042809</wp:posOffset>
                </wp:positionH>
                <wp:positionV relativeFrom="paragraph">
                  <wp:posOffset>213346</wp:posOffset>
                </wp:positionV>
                <wp:extent cx="2188588" cy="3618690"/>
                <wp:effectExtent l="0" t="0" r="0" b="1270"/>
                <wp:wrapNone/>
                <wp:docPr id="567" name="Groupe 567"/>
                <wp:cNvGraphicFramePr/>
                <a:graphic xmlns:a="http://schemas.openxmlformats.org/drawingml/2006/main">
                  <a:graphicData uri="http://schemas.microsoft.com/office/word/2010/wordprocessingGroup">
                    <wpg:wgp>
                      <wpg:cNvGrpSpPr/>
                      <wpg:grpSpPr>
                        <a:xfrm>
                          <a:off x="0" y="0"/>
                          <a:ext cx="2188588" cy="3618690"/>
                          <a:chOff x="0" y="0"/>
                          <a:chExt cx="2188588" cy="3618690"/>
                        </a:xfrm>
                      </wpg:grpSpPr>
                      <pic:pic xmlns:pic="http://schemas.openxmlformats.org/drawingml/2006/picture">
                        <pic:nvPicPr>
                          <pic:cNvPr id="565" name="Image 565"/>
                          <pic:cNvPicPr>
                            <a:picLocks noChangeAspect="1"/>
                          </pic:cNvPicPr>
                        </pic:nvPicPr>
                        <pic:blipFill>
                          <a:blip r:embed="rId230">
                            <a:extLst>
                              <a:ext uri="{28A0092B-C50C-407E-A947-70E740481C1C}">
                                <a14:useLocalDpi xmlns:a14="http://schemas.microsoft.com/office/drawing/2010/main" val="0"/>
                              </a:ext>
                            </a:extLst>
                          </a:blip>
                          <a:stretch>
                            <a:fillRect/>
                          </a:stretch>
                        </pic:blipFill>
                        <pic:spPr>
                          <a:xfrm>
                            <a:off x="0" y="233464"/>
                            <a:ext cx="2101174" cy="3385226"/>
                          </a:xfrm>
                          <a:prstGeom prst="rect">
                            <a:avLst/>
                          </a:prstGeom>
                        </pic:spPr>
                      </pic:pic>
                      <wps:wsp>
                        <wps:cNvPr id="566" name="Zone de texte 2"/>
                        <wps:cNvSpPr txBox="1">
                          <a:spLocks noChangeArrowheads="1"/>
                        </wps:cNvSpPr>
                        <wps:spPr bwMode="auto">
                          <a:xfrm>
                            <a:off x="48638" y="0"/>
                            <a:ext cx="2139950" cy="291465"/>
                          </a:xfrm>
                          <a:prstGeom prst="rect">
                            <a:avLst/>
                          </a:prstGeom>
                          <a:noFill/>
                          <a:ln w="9525">
                            <a:noFill/>
                            <a:miter lim="800000"/>
                            <a:headEnd/>
                            <a:tailEnd/>
                          </a:ln>
                        </wps:spPr>
                        <wps:txbx>
                          <w:txbxContent>
                            <w:p w:rsidR="008276DC" w:rsidRPr="00E1227E" w:rsidRDefault="008276DC">
                              <w:pPr>
                                <w:rPr>
                                  <w:b/>
                                </w:rPr>
                              </w:pPr>
                              <w:r w:rsidRPr="00E1227E">
                                <w:rPr>
                                  <w:b/>
                                </w:rPr>
                                <w:t>Amyotrophie spinale de type I</w:t>
                              </w:r>
                            </w:p>
                          </w:txbxContent>
                        </wps:txbx>
                        <wps:bodyPr rot="0" vert="horz" wrap="square" lIns="91440" tIns="45720" rIns="91440" bIns="45720" anchor="t" anchorCtr="0">
                          <a:noAutofit/>
                        </wps:bodyPr>
                      </wps:wsp>
                    </wpg:wgp>
                  </a:graphicData>
                </a:graphic>
              </wp:anchor>
            </w:drawing>
          </mc:Choice>
          <mc:Fallback>
            <w:pict>
              <v:group id="Groupe 567" o:spid="_x0000_s1087" style="position:absolute;margin-left:160.85pt;margin-top:16.8pt;width:172.35pt;height:284.95pt;z-index:252090368" coordsize="21885,36186" o:gfxdata="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">
                <v:shape id="Image 565" o:spid="_x0000_s1088" type="#_x0000_t75" style="position:absolute;top:2334;width:21011;height:338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4opA/EAAAA3AAAAA8AAABkcnMvZG93bnJldi54bWxEj0FrwkAUhO8F/8PyCl5Ks7GaUFJXEaHg&#10;0Zq250f2NUmbfRt21yT+e7cgeBxm5htmvZ1MJwZyvrWsYJGkIIgrq1uuFXyW78+vIHxA1thZJgUX&#10;8rDdzB7WWGg78gcNp1CLCGFfoIImhL6Q0lcNGfSJ7Ymj92OdwRClq6V2OEa46eRLmubSYMtxocGe&#10;9g1Vf6ezUXBe5U9t575WeT8drfs9fl+WpVFq/jjt3kAEmsI9fGsftIIsz+D/TDwCcnM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4opA/EAAAA3AAAAA8AAAAAAAAAAAAAAAAA&#10;nwIAAGRycy9kb3ducmV2LnhtbFBLBQYAAAAABAAEAPcAAACQAwAAAAA=&#10;">
                  <v:imagedata r:id="rId231" o:title=""/>
                  <v:path arrowok="t"/>
                </v:shape>
                <v:shape id="_x0000_s1089" type="#_x0000_t202" style="position:absolute;left:486;width:21399;height:29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VrtsMA&#10;AADcAAAADwAAAGRycy9kb3ducmV2LnhtbESPT4vCMBTE74LfITzBm01WtOx2jSLKgidF9w/s7dE8&#10;27LNS2mytn57Iwgeh5n5DbNY9bYWF2p95VjDS6JAEOfOVFxo+Pr8mLyC8AHZYO2YNFzJw2o5HCww&#10;M67jI11OoRARwj5DDWUITSalz0uy6BPXEEfv7FqLIcq2kKbFLsJtLadKpdJixXGhxIY2JeV/p3+r&#10;4Xt//v2ZqUOxtfOmc72SbN+k1uNRv34HEagPz/CjvTMa5mkK9zPxCMjl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qVrtsMAAADcAAAADwAAAAAAAAAAAAAAAACYAgAAZHJzL2Rv&#10;d25yZXYueG1sUEsFBgAAAAAEAAQA9QAAAIgDAAAAAA==&#10;" filled="f" stroked="f">
                  <v:textbox>
                    <w:txbxContent>
                      <w:p w:rsidR="008276DC" w:rsidRPr="00E1227E" w:rsidRDefault="008276DC">
                        <w:pPr>
                          <w:rPr>
                            <w:b/>
                          </w:rPr>
                        </w:pPr>
                        <w:r w:rsidRPr="00E1227E">
                          <w:rPr>
                            <w:b/>
                          </w:rPr>
                          <w:t>Amyotrophie spinale de type I</w:t>
                        </w:r>
                      </w:p>
                    </w:txbxContent>
                  </v:textbox>
                </v:shape>
              </v:group>
            </w:pict>
          </mc:Fallback>
        </mc:AlternateContent>
      </w:r>
      <w:r>
        <w:rPr>
          <w:b/>
          <w:color w:val="548DD4" w:themeColor="text2" w:themeTint="99"/>
        </w:rPr>
        <w:br w:type="page"/>
      </w:r>
    </w:p>
    <w:p w:rsidR="00F44B6B" w:rsidRPr="0073701C" w:rsidRDefault="00F44B6B" w:rsidP="0073701C">
      <w:pPr>
        <w:pStyle w:val="Sansinterligne"/>
        <w:rPr>
          <w:b/>
          <w:color w:val="548DD4" w:themeColor="text2" w:themeTint="99"/>
        </w:rPr>
      </w:pPr>
      <w:r w:rsidRPr="0073701C">
        <w:rPr>
          <w:b/>
          <w:color w:val="548DD4" w:themeColor="text2" w:themeTint="99"/>
        </w:rPr>
        <w:t>CMC 73</w:t>
      </w:r>
    </w:p>
    <w:bookmarkStart w:id="211" w:name="_Toc480797304"/>
    <w:p w:rsidR="00F44B6B" w:rsidRDefault="005A511B" w:rsidP="005A511B">
      <w:pPr>
        <w:pStyle w:val="Titre3"/>
        <w:spacing w:before="0" w:after="240"/>
      </w:pPr>
      <w:r>
        <w:rPr>
          <w:noProof/>
          <w:color w:val="000000"/>
          <w:sz w:val="18"/>
          <w:szCs w:val="18"/>
          <w:lang w:eastAsia="fr-CA"/>
        </w:rPr>
        <mc:AlternateContent>
          <mc:Choice Requires="wps">
            <w:drawing>
              <wp:anchor distT="0" distB="0" distL="114300" distR="114300" simplePos="0" relativeHeight="251748352" behindDoc="0" locked="0" layoutInCell="1" allowOverlap="1" wp14:anchorId="1DE47912" wp14:editId="61056727">
                <wp:simplePos x="0" y="0"/>
                <wp:positionH relativeFrom="column">
                  <wp:posOffset>-77821</wp:posOffset>
                </wp:positionH>
                <wp:positionV relativeFrom="paragraph">
                  <wp:posOffset>231099</wp:posOffset>
                </wp:positionV>
                <wp:extent cx="7032625" cy="3142035"/>
                <wp:effectExtent l="0" t="0" r="15875" b="20320"/>
                <wp:wrapNone/>
                <wp:docPr id="267" name="Rectangle 267"/>
                <wp:cNvGraphicFramePr/>
                <a:graphic xmlns:a="http://schemas.openxmlformats.org/drawingml/2006/main">
                  <a:graphicData uri="http://schemas.microsoft.com/office/word/2010/wordprocessingShape">
                    <wps:wsp>
                      <wps:cNvSpPr/>
                      <wps:spPr>
                        <a:xfrm>
                          <a:off x="0" y="0"/>
                          <a:ext cx="7032625" cy="3142035"/>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267" o:spid="_x0000_s1026" style="position:absolute;margin-left:-6.15pt;margin-top:18.2pt;width:553.75pt;height:247.4pt;z-index:2517483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" filled="f" strokecolor="black [1600]" strokeweight="2pt"/>
            </w:pict>
          </mc:Fallback>
        </mc:AlternateContent>
      </w:r>
      <w:r w:rsidR="00F44B6B">
        <w:t>Douleur pelvienne</w:t>
      </w:r>
      <w:bookmarkEnd w:id="211"/>
    </w:p>
    <w:tbl>
      <w:tblPr>
        <w:tblW w:w="3858" w:type="pct"/>
        <w:tblCellSpacing w:w="0" w:type="dxa"/>
        <w:tblCellMar>
          <w:left w:w="0" w:type="dxa"/>
          <w:right w:w="0" w:type="dxa"/>
        </w:tblCellMar>
        <w:tblLook w:val="04A0" w:firstRow="1" w:lastRow="0" w:firstColumn="1" w:lastColumn="0" w:noHBand="0" w:noVBand="1"/>
      </w:tblPr>
      <w:tblGrid>
        <w:gridCol w:w="8333"/>
      </w:tblGrid>
      <w:tr w:rsidR="00F44B6B" w:rsidRPr="00F44B6B" w:rsidTr="00F44B6B">
        <w:trPr>
          <w:tblCellSpacing w:w="0" w:type="dxa"/>
        </w:trPr>
        <w:tc>
          <w:tcPr>
            <w:tcW w:w="0" w:type="auto"/>
            <w:vAlign w:val="bottom"/>
            <w:hideMark/>
          </w:tcPr>
          <w:p w:rsidR="00F44B6B" w:rsidRPr="00520ED3" w:rsidRDefault="00F44B6B" w:rsidP="00520ED3">
            <w:pPr>
              <w:pStyle w:val="Sansinterligne"/>
              <w:rPr>
                <w:b/>
                <w:sz w:val="18"/>
                <w:szCs w:val="18"/>
              </w:rPr>
            </w:pPr>
            <w:bookmarkStart w:id="212" w:name="_Toc475198237"/>
            <w:bookmarkStart w:id="213" w:name="_Toc475563861"/>
            <w:r w:rsidRPr="00520ED3">
              <w:rPr>
                <w:b/>
                <w:sz w:val="18"/>
                <w:szCs w:val="18"/>
              </w:rPr>
              <w:t>Objectifs principaux</w:t>
            </w:r>
            <w:bookmarkEnd w:id="212"/>
            <w:bookmarkEnd w:id="213"/>
          </w:p>
        </w:tc>
      </w:tr>
    </w:tbl>
    <w:p w:rsidR="00F44B6B" w:rsidRPr="00F44B6B" w:rsidRDefault="00F44B6B" w:rsidP="00F44B6B">
      <w:pPr>
        <w:pStyle w:val="NormalWeb"/>
        <w:spacing w:after="0" w:afterAutospacing="0"/>
        <w:ind w:left="360"/>
        <w:rPr>
          <w:color w:val="000000"/>
          <w:sz w:val="18"/>
          <w:szCs w:val="18"/>
          <w:shd w:val="clear" w:color="auto" w:fill="FFFFFF"/>
        </w:rPr>
      </w:pPr>
      <w:r w:rsidRPr="00F44B6B">
        <w:rPr>
          <w:color w:val="000000"/>
          <w:sz w:val="18"/>
          <w:szCs w:val="18"/>
          <w:shd w:val="clear" w:color="auto" w:fill="FFFFFF"/>
        </w:rPr>
        <w:t>Dans le cas d'une patiente ayant une douleur pelvienne, le candidat devra en diagnostiquer la cause, la gravité et les complications, et mettre en place un plan de prise en charge approprié. En particulier, le candidat devra pouvoir vérifier si la douleur est due à une affection potentiellement mortelle, déterminer s'il s'agit d'un cas probable de grossesse et veiller à stabiliser la patiente si elle est hémodynamiquement instable.</w:t>
      </w:r>
    </w:p>
    <w:tbl>
      <w:tblPr>
        <w:tblW w:w="3897" w:type="pct"/>
        <w:tblCellSpacing w:w="0" w:type="dxa"/>
        <w:tblCellMar>
          <w:left w:w="0" w:type="dxa"/>
          <w:right w:w="0" w:type="dxa"/>
        </w:tblCellMar>
        <w:tblLook w:val="04A0" w:firstRow="1" w:lastRow="0" w:firstColumn="1" w:lastColumn="0" w:noHBand="0" w:noVBand="1"/>
      </w:tblPr>
      <w:tblGrid>
        <w:gridCol w:w="8418"/>
      </w:tblGrid>
      <w:tr w:rsidR="00F44B6B" w:rsidRPr="00F44B6B" w:rsidTr="00F44B6B">
        <w:trPr>
          <w:tblCellSpacing w:w="0" w:type="dxa"/>
        </w:trPr>
        <w:tc>
          <w:tcPr>
            <w:tcW w:w="0" w:type="auto"/>
            <w:vAlign w:val="bottom"/>
            <w:hideMark/>
          </w:tcPr>
          <w:p w:rsidR="00F44B6B" w:rsidRPr="00F44B6B" w:rsidRDefault="00F44B6B" w:rsidP="00F44B6B">
            <w:pPr>
              <w:pStyle w:val="Titre2"/>
              <w:spacing w:before="0" w:beforeAutospacing="0" w:after="0" w:afterAutospacing="0"/>
              <w:rPr>
                <w:color w:val="000000"/>
                <w:sz w:val="16"/>
                <w:szCs w:val="16"/>
              </w:rPr>
            </w:pPr>
          </w:p>
          <w:p w:rsidR="00F44B6B" w:rsidRPr="00520ED3" w:rsidRDefault="00F44B6B" w:rsidP="00520ED3">
            <w:pPr>
              <w:pStyle w:val="Sansinterligne"/>
              <w:rPr>
                <w:b/>
                <w:sz w:val="16"/>
                <w:szCs w:val="16"/>
              </w:rPr>
            </w:pPr>
            <w:bookmarkStart w:id="214" w:name="_Toc475198238"/>
            <w:bookmarkStart w:id="215" w:name="_Toc475563862"/>
            <w:r w:rsidRPr="00520ED3">
              <w:rPr>
                <w:b/>
                <w:sz w:val="16"/>
                <w:szCs w:val="16"/>
              </w:rPr>
              <w:t>Objectifs spécifiques</w:t>
            </w:r>
            <w:bookmarkEnd w:id="214"/>
            <w:bookmarkEnd w:id="215"/>
          </w:p>
        </w:tc>
      </w:tr>
    </w:tbl>
    <w:p w:rsidR="00F44B6B" w:rsidRPr="00F44B6B" w:rsidRDefault="00F44B6B" w:rsidP="00F44B6B">
      <w:pPr>
        <w:pStyle w:val="NormalWeb"/>
        <w:shd w:val="clear" w:color="auto" w:fill="FFFFFF"/>
        <w:ind w:left="360"/>
        <w:rPr>
          <w:color w:val="000000"/>
          <w:sz w:val="16"/>
          <w:szCs w:val="16"/>
          <w:shd w:val="clear" w:color="auto" w:fill="FFFFFF"/>
        </w:rPr>
      </w:pPr>
      <w:r w:rsidRPr="00F44B6B">
        <w:rPr>
          <w:color w:val="000000"/>
          <w:sz w:val="16"/>
          <w:szCs w:val="16"/>
          <w:shd w:val="clear" w:color="auto" w:fill="FFFFFF"/>
        </w:rPr>
        <w:t>Dans le cas d'une patiente ayant une douleur pelvienne, le candidat devra</w:t>
      </w:r>
    </w:p>
    <w:p w:rsidR="00F44B6B" w:rsidRPr="00F44B6B" w:rsidRDefault="00F44B6B" w:rsidP="006C77C1">
      <w:pPr>
        <w:numPr>
          <w:ilvl w:val="0"/>
          <w:numId w:val="305"/>
        </w:numPr>
        <w:shd w:val="clear" w:color="auto" w:fill="FFFFFF"/>
        <w:spacing w:before="100" w:beforeAutospacing="1" w:after="100" w:afterAutospacing="1" w:line="240" w:lineRule="auto"/>
        <w:rPr>
          <w:rFonts w:cs="Times New Roman"/>
          <w:color w:val="000000"/>
          <w:sz w:val="16"/>
          <w:szCs w:val="16"/>
          <w:shd w:val="clear" w:color="auto" w:fill="FFFFFF"/>
        </w:rPr>
      </w:pPr>
      <w:r w:rsidRPr="00F44B6B">
        <w:rPr>
          <w:rFonts w:cs="Times New Roman"/>
          <w:color w:val="000000"/>
          <w:sz w:val="16"/>
          <w:szCs w:val="16"/>
          <w:shd w:val="clear" w:color="auto" w:fill="FFFFFF"/>
        </w:rPr>
        <w:t>énumérer et interpréter les constatations cliniques cruciales, notamment :</w:t>
      </w:r>
    </w:p>
    <w:p w:rsidR="00F44B6B" w:rsidRPr="00F44B6B" w:rsidRDefault="00F44B6B" w:rsidP="006C77C1">
      <w:pPr>
        <w:numPr>
          <w:ilvl w:val="1"/>
          <w:numId w:val="305"/>
        </w:numPr>
        <w:shd w:val="clear" w:color="auto" w:fill="FFFFFF"/>
        <w:spacing w:before="100" w:beforeAutospacing="1" w:after="100" w:afterAutospacing="1" w:line="240" w:lineRule="auto"/>
        <w:rPr>
          <w:rFonts w:cs="Times New Roman"/>
          <w:color w:val="000000"/>
          <w:sz w:val="16"/>
          <w:szCs w:val="16"/>
          <w:shd w:val="clear" w:color="auto" w:fill="FFFFFF"/>
        </w:rPr>
      </w:pPr>
      <w:r w:rsidRPr="00F44B6B">
        <w:rPr>
          <w:rFonts w:cs="Times New Roman"/>
          <w:color w:val="000000"/>
          <w:sz w:val="16"/>
          <w:szCs w:val="16"/>
          <w:shd w:val="clear" w:color="auto" w:fill="FFFFFF"/>
        </w:rPr>
        <w:t>déterminer si la patiente doit être stabilisée d'urgence;</w:t>
      </w:r>
    </w:p>
    <w:p w:rsidR="00F44B6B" w:rsidRPr="00F44B6B" w:rsidRDefault="00F44B6B" w:rsidP="006C77C1">
      <w:pPr>
        <w:numPr>
          <w:ilvl w:val="1"/>
          <w:numId w:val="305"/>
        </w:numPr>
        <w:shd w:val="clear" w:color="auto" w:fill="FFFFFF"/>
        <w:spacing w:before="100" w:beforeAutospacing="1" w:after="100" w:afterAutospacing="1" w:line="240" w:lineRule="auto"/>
        <w:rPr>
          <w:rFonts w:cs="Times New Roman"/>
          <w:color w:val="000000"/>
          <w:sz w:val="16"/>
          <w:szCs w:val="16"/>
          <w:shd w:val="clear" w:color="auto" w:fill="FFFFFF"/>
        </w:rPr>
      </w:pPr>
      <w:r w:rsidRPr="00F44B6B">
        <w:rPr>
          <w:rFonts w:cs="Times New Roman"/>
          <w:color w:val="000000"/>
          <w:sz w:val="16"/>
          <w:szCs w:val="16"/>
          <w:shd w:val="clear" w:color="auto" w:fill="FFFFFF"/>
        </w:rPr>
        <w:t>faire une anamnèse et un examen physique afin de déterminer la cause sous-jacente (p. ex. antécédents menstruels, examen pelvien et examen au spéculum);</w:t>
      </w:r>
    </w:p>
    <w:p w:rsidR="00F44B6B" w:rsidRPr="00F44B6B" w:rsidRDefault="00F44B6B" w:rsidP="006C77C1">
      <w:pPr>
        <w:numPr>
          <w:ilvl w:val="0"/>
          <w:numId w:val="305"/>
        </w:numPr>
        <w:shd w:val="clear" w:color="auto" w:fill="FFFFFF"/>
        <w:spacing w:before="100" w:beforeAutospacing="1" w:after="100" w:afterAutospacing="1" w:line="240" w:lineRule="auto"/>
        <w:rPr>
          <w:rFonts w:cs="Times New Roman"/>
          <w:color w:val="000000"/>
          <w:sz w:val="16"/>
          <w:szCs w:val="16"/>
          <w:shd w:val="clear" w:color="auto" w:fill="FFFFFF"/>
        </w:rPr>
      </w:pPr>
      <w:r w:rsidRPr="00F44B6B">
        <w:rPr>
          <w:rFonts w:cs="Times New Roman"/>
          <w:color w:val="000000"/>
          <w:sz w:val="16"/>
          <w:szCs w:val="16"/>
          <w:shd w:val="clear" w:color="auto" w:fill="FFFFFF"/>
        </w:rPr>
        <w:t>énumérer et interpréter les examens pertinents, notamment :</w:t>
      </w:r>
    </w:p>
    <w:p w:rsidR="00F44B6B" w:rsidRPr="00F44B6B" w:rsidRDefault="00F44B6B" w:rsidP="006C77C1">
      <w:pPr>
        <w:numPr>
          <w:ilvl w:val="1"/>
          <w:numId w:val="305"/>
        </w:numPr>
        <w:shd w:val="clear" w:color="auto" w:fill="FFFFFF"/>
        <w:spacing w:before="100" w:beforeAutospacing="1" w:after="100" w:afterAutospacing="1" w:line="240" w:lineRule="auto"/>
        <w:rPr>
          <w:rFonts w:cs="Times New Roman"/>
          <w:color w:val="000000"/>
          <w:sz w:val="16"/>
          <w:szCs w:val="16"/>
          <w:shd w:val="clear" w:color="auto" w:fill="FFFFFF"/>
        </w:rPr>
      </w:pPr>
      <w:r w:rsidRPr="00F44B6B">
        <w:rPr>
          <w:rFonts w:cs="Times New Roman"/>
          <w:color w:val="000000"/>
          <w:sz w:val="16"/>
          <w:szCs w:val="16"/>
          <w:shd w:val="clear" w:color="auto" w:fill="FFFFFF"/>
        </w:rPr>
        <w:t>un test de grossesse, selon les indications;</w:t>
      </w:r>
    </w:p>
    <w:p w:rsidR="00F44B6B" w:rsidRPr="00F44B6B" w:rsidRDefault="00F44B6B" w:rsidP="006C77C1">
      <w:pPr>
        <w:numPr>
          <w:ilvl w:val="1"/>
          <w:numId w:val="305"/>
        </w:numPr>
        <w:shd w:val="clear" w:color="auto" w:fill="FFFFFF"/>
        <w:spacing w:before="100" w:beforeAutospacing="1" w:after="100" w:afterAutospacing="1" w:line="240" w:lineRule="auto"/>
        <w:rPr>
          <w:rFonts w:cs="Times New Roman"/>
          <w:color w:val="000000"/>
          <w:sz w:val="16"/>
          <w:szCs w:val="16"/>
          <w:shd w:val="clear" w:color="auto" w:fill="FFFFFF"/>
        </w:rPr>
      </w:pPr>
      <w:r w:rsidRPr="00F44B6B">
        <w:rPr>
          <w:rFonts w:cs="Times New Roman"/>
          <w:color w:val="000000"/>
          <w:sz w:val="16"/>
          <w:szCs w:val="16"/>
          <w:shd w:val="clear" w:color="auto" w:fill="FFFFFF"/>
        </w:rPr>
        <w:t>les examens d'imagerie diagnostique appropriés (p. ex. échographie pelvienne);</w:t>
      </w:r>
    </w:p>
    <w:p w:rsidR="00F44B6B" w:rsidRPr="00F44B6B" w:rsidRDefault="00F44B6B" w:rsidP="006C77C1">
      <w:pPr>
        <w:numPr>
          <w:ilvl w:val="0"/>
          <w:numId w:val="305"/>
        </w:numPr>
        <w:shd w:val="clear" w:color="auto" w:fill="FFFFFF"/>
        <w:spacing w:before="100" w:beforeAutospacing="1" w:after="100" w:afterAutospacing="1" w:line="240" w:lineRule="auto"/>
        <w:rPr>
          <w:rFonts w:cs="Times New Roman"/>
          <w:color w:val="000000"/>
          <w:sz w:val="16"/>
          <w:szCs w:val="16"/>
          <w:shd w:val="clear" w:color="auto" w:fill="FFFFFF"/>
        </w:rPr>
      </w:pPr>
      <w:r w:rsidRPr="00F44B6B">
        <w:rPr>
          <w:rFonts w:cs="Times New Roman"/>
          <w:color w:val="000000"/>
          <w:sz w:val="16"/>
          <w:szCs w:val="16"/>
          <w:shd w:val="clear" w:color="auto" w:fill="FFFFFF"/>
        </w:rPr>
        <w:t>établir un plan efficace de prise en charge initiale, notamment :</w:t>
      </w:r>
    </w:p>
    <w:p w:rsidR="00F44B6B" w:rsidRPr="00F44B6B" w:rsidRDefault="00F44B6B" w:rsidP="006C77C1">
      <w:pPr>
        <w:numPr>
          <w:ilvl w:val="1"/>
          <w:numId w:val="305"/>
        </w:numPr>
        <w:shd w:val="clear" w:color="auto" w:fill="FFFFFF"/>
        <w:spacing w:before="100" w:beforeAutospacing="1" w:after="100" w:afterAutospacing="1" w:line="240" w:lineRule="auto"/>
        <w:rPr>
          <w:rFonts w:cs="Times New Roman"/>
          <w:color w:val="000000"/>
          <w:sz w:val="16"/>
          <w:szCs w:val="16"/>
          <w:shd w:val="clear" w:color="auto" w:fill="FFFFFF"/>
        </w:rPr>
      </w:pPr>
      <w:r w:rsidRPr="00F44B6B">
        <w:rPr>
          <w:rFonts w:cs="Times New Roman"/>
          <w:color w:val="000000"/>
          <w:sz w:val="16"/>
          <w:szCs w:val="16"/>
          <w:shd w:val="clear" w:color="auto" w:fill="FFFFFF"/>
        </w:rPr>
        <w:t>stabiliser la patiente et déterminer si elle a besoin d'être opérée d'urgence;</w:t>
      </w:r>
    </w:p>
    <w:p w:rsidR="00F44B6B" w:rsidRPr="00F44B6B" w:rsidRDefault="00F44B6B" w:rsidP="006C77C1">
      <w:pPr>
        <w:numPr>
          <w:ilvl w:val="1"/>
          <w:numId w:val="305"/>
        </w:numPr>
        <w:shd w:val="clear" w:color="auto" w:fill="FFFFFF"/>
        <w:spacing w:before="100" w:beforeAutospacing="1" w:after="100" w:afterAutospacing="1" w:line="240" w:lineRule="auto"/>
        <w:rPr>
          <w:rFonts w:cs="Times New Roman"/>
          <w:color w:val="000000"/>
          <w:sz w:val="16"/>
          <w:szCs w:val="16"/>
          <w:shd w:val="clear" w:color="auto" w:fill="FFFFFF"/>
        </w:rPr>
      </w:pPr>
      <w:r w:rsidRPr="00F44B6B">
        <w:rPr>
          <w:rFonts w:cs="Times New Roman"/>
          <w:color w:val="000000"/>
          <w:sz w:val="16"/>
          <w:szCs w:val="16"/>
          <w:shd w:val="clear" w:color="auto" w:fill="FFFFFF"/>
        </w:rPr>
        <w:t>traiter de manière appropriée l'affection sous-jacente (p. ex. dysménorrhée, maladie pelvienne inflammatoire);</w:t>
      </w:r>
    </w:p>
    <w:p w:rsidR="00F44B6B" w:rsidRPr="00F44B6B" w:rsidRDefault="00F44B6B" w:rsidP="006C77C1">
      <w:pPr>
        <w:numPr>
          <w:ilvl w:val="1"/>
          <w:numId w:val="305"/>
        </w:numPr>
        <w:shd w:val="clear" w:color="auto" w:fill="FFFFFF"/>
        <w:spacing w:before="100" w:beforeAutospacing="1" w:after="100" w:afterAutospacing="1" w:line="240" w:lineRule="auto"/>
        <w:rPr>
          <w:rFonts w:cs="Times New Roman"/>
          <w:color w:val="000000"/>
          <w:sz w:val="16"/>
          <w:szCs w:val="16"/>
          <w:shd w:val="clear" w:color="auto" w:fill="FFFFFF"/>
        </w:rPr>
      </w:pPr>
      <w:r w:rsidRPr="00F44B6B">
        <w:rPr>
          <w:rFonts w:cs="Times New Roman"/>
          <w:color w:val="000000"/>
          <w:sz w:val="16"/>
          <w:szCs w:val="16"/>
          <w:shd w:val="clear" w:color="auto" w:fill="FFFFFF"/>
        </w:rPr>
        <w:t>dans le cas d'une douleur pelvienne chronique, recommander un traitement non pharmacologique et pharmacologique approprié;</w:t>
      </w:r>
    </w:p>
    <w:p w:rsidR="00F44B6B" w:rsidRPr="00F44B6B" w:rsidRDefault="00F44B6B" w:rsidP="006C77C1">
      <w:pPr>
        <w:numPr>
          <w:ilvl w:val="1"/>
          <w:numId w:val="305"/>
        </w:numPr>
        <w:shd w:val="clear" w:color="auto" w:fill="FFFFFF"/>
        <w:spacing w:before="100" w:beforeAutospacing="1" w:after="100" w:afterAutospacing="1" w:line="240" w:lineRule="auto"/>
        <w:rPr>
          <w:rFonts w:cs="Times New Roman"/>
          <w:color w:val="000000"/>
          <w:sz w:val="16"/>
          <w:szCs w:val="16"/>
          <w:shd w:val="clear" w:color="auto" w:fill="FFFFFF"/>
        </w:rPr>
      </w:pPr>
      <w:r w:rsidRPr="00F44B6B">
        <w:rPr>
          <w:rFonts w:cs="Times New Roman"/>
          <w:color w:val="000000"/>
          <w:sz w:val="16"/>
          <w:szCs w:val="16"/>
          <w:shd w:val="clear" w:color="auto" w:fill="FFFFFF"/>
        </w:rPr>
        <w:t>conseiller la patiente en ce qui concerne la prévention des infections transmissibles sexuellement;</w:t>
      </w:r>
    </w:p>
    <w:p w:rsidR="00F44B6B" w:rsidRPr="00F44B6B" w:rsidRDefault="00F44B6B" w:rsidP="006C77C1">
      <w:pPr>
        <w:numPr>
          <w:ilvl w:val="1"/>
          <w:numId w:val="305"/>
        </w:numPr>
        <w:shd w:val="clear" w:color="auto" w:fill="FFFFFF"/>
        <w:spacing w:before="100" w:beforeAutospacing="1" w:after="100" w:afterAutospacing="1" w:line="240" w:lineRule="auto"/>
        <w:rPr>
          <w:rFonts w:cs="Times New Roman"/>
          <w:color w:val="000000"/>
          <w:sz w:val="16"/>
          <w:szCs w:val="16"/>
          <w:shd w:val="clear" w:color="auto" w:fill="FFFFFF"/>
        </w:rPr>
      </w:pPr>
      <w:r w:rsidRPr="00F44B6B">
        <w:rPr>
          <w:rFonts w:cs="Times New Roman"/>
          <w:color w:val="000000"/>
          <w:sz w:val="16"/>
          <w:szCs w:val="16"/>
          <w:shd w:val="clear" w:color="auto" w:fill="FFFFFF"/>
        </w:rPr>
        <w:t>déterminer si la patiente a besoin de soins gynécologiques spécialisés ou urgents.</w:t>
      </w:r>
    </w:p>
    <w:p w:rsidR="00F44B6B" w:rsidRDefault="00255A6D" w:rsidP="003208BE">
      <w:pPr>
        <w:pStyle w:val="Sansinterligne"/>
        <w:rPr>
          <w:b/>
          <w:sz w:val="28"/>
          <w:szCs w:val="28"/>
        </w:rPr>
      </w:pPr>
      <w:r w:rsidRPr="003208BE">
        <w:rPr>
          <w:b/>
          <w:sz w:val="28"/>
          <w:szCs w:val="28"/>
        </w:rPr>
        <w:t>Étiologies</w:t>
      </w:r>
    </w:p>
    <w:p w:rsidR="003208BE" w:rsidRPr="003208BE" w:rsidRDefault="00AC5B72" w:rsidP="003208BE">
      <w:pPr>
        <w:pStyle w:val="Sansinterligne"/>
        <w:rPr>
          <w:b/>
          <w:sz w:val="28"/>
          <w:szCs w:val="28"/>
        </w:rPr>
      </w:pPr>
      <w:r>
        <w:rPr>
          <w:noProof/>
          <w:lang w:eastAsia="fr-CA"/>
        </w:rPr>
        <w:drawing>
          <wp:anchor distT="0" distB="0" distL="114300" distR="114300" simplePos="0" relativeHeight="251750400" behindDoc="0" locked="0" layoutInCell="1" allowOverlap="1" wp14:anchorId="2753252D" wp14:editId="3BC5F94D">
            <wp:simplePos x="0" y="0"/>
            <wp:positionH relativeFrom="column">
              <wp:posOffset>4468495</wp:posOffset>
            </wp:positionH>
            <wp:positionV relativeFrom="paragraph">
              <wp:posOffset>39370</wp:posOffset>
            </wp:positionV>
            <wp:extent cx="2383155" cy="2383155"/>
            <wp:effectExtent l="0" t="0" r="0" b="0"/>
            <wp:wrapNone/>
            <wp:docPr id="265" name="Image 265" descr="Résultats de recherche d'images pour « dysménorrhé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ésultats de recherche d'images pour « dysménorrhée »"/>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2383155" cy="23831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A610A" w:rsidRPr="00B43AE6" w:rsidRDefault="005A610A" w:rsidP="006C77C1">
      <w:pPr>
        <w:pStyle w:val="Sansinterligne"/>
        <w:numPr>
          <w:ilvl w:val="0"/>
          <w:numId w:val="306"/>
        </w:numPr>
        <w:rPr>
          <w:rFonts w:eastAsia="Times New Roman" w:cs="Times New Roman"/>
          <w:color w:val="000000"/>
          <w:lang w:eastAsia="fr-CA"/>
        </w:rPr>
      </w:pPr>
      <w:r w:rsidRPr="00B43AE6">
        <w:rPr>
          <w:rFonts w:eastAsia="Times New Roman" w:cs="Times New Roman"/>
          <w:color w:val="000000"/>
          <w:lang w:eastAsia="fr-CA"/>
        </w:rPr>
        <w:t>Douleur</w:t>
      </w:r>
      <w:r w:rsidR="005B7C5C" w:rsidRPr="00B43AE6">
        <w:rPr>
          <w:rFonts w:eastAsia="Times New Roman" w:cs="Times New Roman"/>
          <w:color w:val="000000"/>
          <w:lang w:eastAsia="fr-CA"/>
        </w:rPr>
        <w:t>s</w:t>
      </w:r>
      <w:r w:rsidRPr="00B43AE6">
        <w:rPr>
          <w:rFonts w:eastAsia="Times New Roman" w:cs="Times New Roman"/>
          <w:color w:val="000000"/>
          <w:lang w:eastAsia="fr-CA"/>
        </w:rPr>
        <w:t xml:space="preserve"> </w:t>
      </w:r>
      <w:r w:rsidR="005B7C5C" w:rsidRPr="00B43AE6">
        <w:rPr>
          <w:rFonts w:eastAsia="Times New Roman" w:cs="Times New Roman"/>
          <w:color w:val="000000"/>
          <w:lang w:eastAsia="fr-CA"/>
        </w:rPr>
        <w:t>gynéco-obstétricale</w:t>
      </w:r>
    </w:p>
    <w:p w:rsidR="005A610A" w:rsidRPr="00B43AE6" w:rsidRDefault="005A610A" w:rsidP="006C77C1">
      <w:pPr>
        <w:pStyle w:val="Sansinterligne"/>
        <w:numPr>
          <w:ilvl w:val="1"/>
          <w:numId w:val="306"/>
        </w:numPr>
        <w:rPr>
          <w:rFonts w:eastAsia="Times New Roman" w:cs="Times New Roman"/>
          <w:color w:val="000000"/>
          <w:lang w:eastAsia="fr-CA"/>
        </w:rPr>
      </w:pPr>
      <w:bookmarkStart w:id="216" w:name="%C3%89tiologie2.1"/>
      <w:r w:rsidRPr="00B43AE6">
        <w:rPr>
          <w:rFonts w:eastAsia="Times New Roman" w:cs="Times New Roman"/>
          <w:color w:val="000000"/>
          <w:lang w:eastAsia="fr-CA"/>
        </w:rPr>
        <w:t>Ovarienne (</w:t>
      </w:r>
      <w:r w:rsidR="005B7C5C" w:rsidRPr="00B43AE6">
        <w:rPr>
          <w:rFonts w:eastAsia="Times New Roman" w:cs="Times New Roman"/>
          <w:color w:val="000000"/>
          <w:lang w:eastAsia="fr-CA"/>
        </w:rPr>
        <w:t>kyste ovarien rupturé, torsion ovarienne</w:t>
      </w:r>
      <w:r w:rsidRPr="00B43AE6">
        <w:rPr>
          <w:rFonts w:eastAsia="Times New Roman" w:cs="Times New Roman"/>
          <w:color w:val="000000"/>
          <w:lang w:eastAsia="fr-CA"/>
        </w:rPr>
        <w:t>)</w:t>
      </w:r>
    </w:p>
    <w:p w:rsidR="005A610A" w:rsidRPr="00B43AE6" w:rsidRDefault="005A610A" w:rsidP="006C77C1">
      <w:pPr>
        <w:pStyle w:val="Sansinterligne"/>
        <w:numPr>
          <w:ilvl w:val="1"/>
          <w:numId w:val="306"/>
        </w:numPr>
        <w:rPr>
          <w:rFonts w:eastAsia="Times New Roman" w:cs="Times New Roman"/>
          <w:color w:val="000000"/>
          <w:lang w:eastAsia="fr-CA"/>
        </w:rPr>
      </w:pPr>
      <w:bookmarkStart w:id="217" w:name="%C3%89tiologie2.2"/>
      <w:bookmarkEnd w:id="216"/>
      <w:r w:rsidRPr="00B43AE6">
        <w:rPr>
          <w:rFonts w:eastAsia="Times New Roman" w:cs="Times New Roman"/>
          <w:color w:val="000000"/>
          <w:lang w:eastAsia="fr-CA"/>
        </w:rPr>
        <w:t>Tubaire (maladie pelvienne inflammatoire</w:t>
      </w:r>
      <w:r w:rsidR="005B7C5C" w:rsidRPr="00B43AE6">
        <w:rPr>
          <w:rFonts w:eastAsia="Times New Roman" w:cs="Times New Roman"/>
          <w:color w:val="000000"/>
          <w:lang w:eastAsia="fr-CA"/>
        </w:rPr>
        <w:t>, endométriose</w:t>
      </w:r>
      <w:r w:rsidRPr="00B43AE6">
        <w:rPr>
          <w:rFonts w:eastAsia="Times New Roman" w:cs="Times New Roman"/>
          <w:color w:val="000000"/>
          <w:lang w:eastAsia="fr-CA"/>
        </w:rPr>
        <w:t>)</w:t>
      </w:r>
    </w:p>
    <w:p w:rsidR="005A610A" w:rsidRPr="00B43AE6" w:rsidRDefault="005A610A" w:rsidP="006C77C1">
      <w:pPr>
        <w:pStyle w:val="Sansinterligne"/>
        <w:numPr>
          <w:ilvl w:val="1"/>
          <w:numId w:val="306"/>
        </w:numPr>
        <w:rPr>
          <w:rFonts w:eastAsia="Times New Roman" w:cs="Times New Roman"/>
          <w:color w:val="000000"/>
          <w:lang w:eastAsia="fr-CA"/>
        </w:rPr>
      </w:pPr>
      <w:bookmarkStart w:id="218" w:name="%C3%89tiologie2.3"/>
      <w:bookmarkEnd w:id="217"/>
      <w:r w:rsidRPr="00B43AE6">
        <w:rPr>
          <w:rFonts w:eastAsia="Times New Roman" w:cs="Times New Roman"/>
          <w:color w:val="000000"/>
          <w:lang w:eastAsia="fr-CA"/>
        </w:rPr>
        <w:t xml:space="preserve">Utérine (léiomyome, </w:t>
      </w:r>
      <w:r w:rsidR="005B7C5C" w:rsidRPr="00B43AE6">
        <w:rPr>
          <w:rFonts w:eastAsia="Times New Roman" w:cs="Times New Roman"/>
          <w:color w:val="000000"/>
          <w:lang w:eastAsia="fr-CA"/>
        </w:rPr>
        <w:t>adénomyose</w:t>
      </w:r>
      <w:r w:rsidRPr="00B43AE6">
        <w:rPr>
          <w:rFonts w:eastAsia="Times New Roman" w:cs="Times New Roman"/>
          <w:color w:val="000000"/>
          <w:lang w:eastAsia="fr-CA"/>
        </w:rPr>
        <w:t>)</w:t>
      </w:r>
      <w:r w:rsidR="000C1BB8" w:rsidRPr="00B43AE6">
        <w:rPr>
          <w:rFonts w:cs="Times New Roman"/>
          <w:noProof/>
          <w:lang w:eastAsia="fr-CA"/>
        </w:rPr>
        <w:t xml:space="preserve"> </w:t>
      </w:r>
    </w:p>
    <w:p w:rsidR="005B7C5C" w:rsidRPr="00B43AE6" w:rsidRDefault="005B7C5C" w:rsidP="006C77C1">
      <w:pPr>
        <w:pStyle w:val="Sansinterligne"/>
        <w:numPr>
          <w:ilvl w:val="1"/>
          <w:numId w:val="306"/>
        </w:numPr>
        <w:rPr>
          <w:rFonts w:eastAsia="Times New Roman" w:cs="Times New Roman"/>
          <w:color w:val="000000"/>
          <w:lang w:eastAsia="fr-CA"/>
        </w:rPr>
      </w:pPr>
      <w:r w:rsidRPr="00B43AE6">
        <w:rPr>
          <w:rFonts w:eastAsia="Times New Roman" w:cs="Times New Roman"/>
          <w:color w:val="000000"/>
          <w:lang w:eastAsia="fr-CA"/>
        </w:rPr>
        <w:t>Obstétricale (</w:t>
      </w:r>
      <w:r w:rsidR="00B92D0E" w:rsidRPr="00B43AE6">
        <w:rPr>
          <w:rFonts w:eastAsia="Times New Roman" w:cs="Times New Roman"/>
          <w:color w:val="000000"/>
          <w:lang w:eastAsia="fr-CA"/>
        </w:rPr>
        <w:t xml:space="preserve">grossesse </w:t>
      </w:r>
      <w:r w:rsidR="00A324B0" w:rsidRPr="00B43AE6">
        <w:rPr>
          <w:rFonts w:eastAsia="Times New Roman" w:cs="Times New Roman"/>
          <w:color w:val="000000"/>
          <w:lang w:eastAsia="fr-CA"/>
        </w:rPr>
        <w:t>ectopique,</w:t>
      </w:r>
      <w:r w:rsidRPr="00B43AE6">
        <w:rPr>
          <w:rFonts w:eastAsia="Times New Roman" w:cs="Times New Roman"/>
          <w:color w:val="000000"/>
          <w:lang w:eastAsia="fr-CA"/>
        </w:rPr>
        <w:t xml:space="preserve"> </w:t>
      </w:r>
      <w:r w:rsidR="005829AC" w:rsidRPr="00B43AE6">
        <w:rPr>
          <w:rFonts w:eastAsia="Times New Roman" w:cs="Times New Roman"/>
          <w:color w:val="000000"/>
          <w:lang w:eastAsia="fr-CA"/>
        </w:rPr>
        <w:t>avortement</w:t>
      </w:r>
      <w:r w:rsidRPr="00B43AE6">
        <w:rPr>
          <w:rFonts w:eastAsia="Times New Roman" w:cs="Times New Roman"/>
          <w:color w:val="000000"/>
          <w:lang w:eastAsia="fr-CA"/>
        </w:rPr>
        <w:t>)</w:t>
      </w:r>
    </w:p>
    <w:p w:rsidR="005A610A" w:rsidRPr="000F2F9C" w:rsidRDefault="005B7C5C" w:rsidP="006C77C1">
      <w:pPr>
        <w:pStyle w:val="Sansinterligne"/>
        <w:numPr>
          <w:ilvl w:val="1"/>
          <w:numId w:val="306"/>
        </w:numPr>
        <w:rPr>
          <w:rFonts w:eastAsia="Times New Roman" w:cs="Times New Roman"/>
          <w:color w:val="000000"/>
          <w:highlight w:val="yellow"/>
          <w:lang w:eastAsia="fr-CA"/>
        </w:rPr>
      </w:pPr>
      <w:bookmarkStart w:id="219" w:name="%C3%89tiologie3"/>
      <w:bookmarkEnd w:id="218"/>
      <w:r w:rsidRPr="000F2F9C">
        <w:rPr>
          <w:rFonts w:eastAsia="Times New Roman" w:cs="Times New Roman"/>
          <w:color w:val="000000"/>
          <w:highlight w:val="yellow"/>
          <w:lang w:eastAsia="fr-CA"/>
        </w:rPr>
        <w:t>Dyspareunie</w:t>
      </w:r>
    </w:p>
    <w:p w:rsidR="005B7C5C" w:rsidRPr="00B43AE6" w:rsidRDefault="005B7C5C" w:rsidP="006C77C1">
      <w:pPr>
        <w:pStyle w:val="Sansinterligne"/>
        <w:numPr>
          <w:ilvl w:val="1"/>
          <w:numId w:val="306"/>
        </w:numPr>
        <w:rPr>
          <w:rFonts w:eastAsia="Times New Roman" w:cs="Times New Roman"/>
          <w:color w:val="000000"/>
          <w:lang w:eastAsia="fr-CA"/>
        </w:rPr>
      </w:pPr>
      <w:r w:rsidRPr="00B43AE6">
        <w:rPr>
          <w:rFonts w:eastAsia="Times New Roman" w:cs="Times New Roman"/>
          <w:color w:val="000000"/>
          <w:lang w:eastAsia="fr-CA"/>
        </w:rPr>
        <w:t>Dysménorrhée primaire</w:t>
      </w:r>
    </w:p>
    <w:p w:rsidR="005B7C5C" w:rsidRPr="00B43AE6" w:rsidRDefault="005B7C5C" w:rsidP="006C77C1">
      <w:pPr>
        <w:pStyle w:val="Sansinterligne"/>
        <w:numPr>
          <w:ilvl w:val="1"/>
          <w:numId w:val="306"/>
        </w:numPr>
        <w:rPr>
          <w:rFonts w:eastAsia="Times New Roman" w:cs="Times New Roman"/>
          <w:color w:val="000000"/>
          <w:lang w:eastAsia="fr-CA"/>
        </w:rPr>
      </w:pPr>
      <w:r w:rsidRPr="00B43AE6">
        <w:rPr>
          <w:rFonts w:eastAsia="Times New Roman" w:cs="Times New Roman"/>
          <w:color w:val="000000"/>
          <w:lang w:eastAsia="fr-CA"/>
        </w:rPr>
        <w:t>Mittels</w:t>
      </w:r>
      <w:r w:rsidR="005829AC" w:rsidRPr="00B43AE6">
        <w:rPr>
          <w:rFonts w:eastAsia="Times New Roman" w:cs="Times New Roman"/>
          <w:color w:val="000000"/>
          <w:lang w:eastAsia="fr-CA"/>
        </w:rPr>
        <w:t>chmer</w:t>
      </w:r>
      <w:r w:rsidRPr="00B43AE6">
        <w:rPr>
          <w:rFonts w:eastAsia="Times New Roman" w:cs="Times New Roman"/>
          <w:color w:val="000000"/>
          <w:lang w:eastAsia="fr-CA"/>
        </w:rPr>
        <w:t>z</w:t>
      </w:r>
      <w:bookmarkStart w:id="220" w:name="%C3%89tiologie4.1"/>
      <w:bookmarkEnd w:id="219"/>
    </w:p>
    <w:p w:rsidR="003C6B86" w:rsidRPr="00B43AE6" w:rsidRDefault="003C6B86" w:rsidP="006C77C1">
      <w:pPr>
        <w:pStyle w:val="Sansinterligne"/>
        <w:numPr>
          <w:ilvl w:val="0"/>
          <w:numId w:val="306"/>
        </w:numPr>
        <w:rPr>
          <w:rFonts w:eastAsia="Times New Roman" w:cs="Times New Roman"/>
          <w:color w:val="000000"/>
          <w:lang w:eastAsia="fr-CA"/>
        </w:rPr>
      </w:pPr>
      <w:bookmarkStart w:id="221" w:name="%C3%89tiologie4.3"/>
      <w:r w:rsidRPr="00B43AE6">
        <w:rPr>
          <w:rFonts w:eastAsia="Times New Roman" w:cs="Times New Roman"/>
          <w:color w:val="000000"/>
          <w:lang w:eastAsia="fr-CA"/>
        </w:rPr>
        <w:t xml:space="preserve">Douleurs d’origine gastro-intestinales </w:t>
      </w:r>
    </w:p>
    <w:bookmarkEnd w:id="221"/>
    <w:p w:rsidR="003208BE" w:rsidRPr="00B43AE6" w:rsidRDefault="005B7C5C" w:rsidP="006C77C1">
      <w:pPr>
        <w:pStyle w:val="Sansinterligne"/>
        <w:numPr>
          <w:ilvl w:val="0"/>
          <w:numId w:val="306"/>
        </w:numPr>
        <w:rPr>
          <w:rFonts w:eastAsia="Times New Roman" w:cs="Times New Roman"/>
          <w:color w:val="000000"/>
          <w:lang w:eastAsia="fr-CA"/>
        </w:rPr>
      </w:pPr>
      <w:r w:rsidRPr="00B43AE6">
        <w:rPr>
          <w:rFonts w:eastAsia="Times New Roman" w:cs="Times New Roman"/>
          <w:color w:val="000000"/>
          <w:lang w:eastAsia="fr-CA"/>
        </w:rPr>
        <w:t>Douleurs d’origine u</w:t>
      </w:r>
      <w:r w:rsidR="003208BE" w:rsidRPr="00B43AE6">
        <w:rPr>
          <w:rFonts w:eastAsia="Times New Roman" w:cs="Times New Roman"/>
          <w:color w:val="000000"/>
          <w:lang w:eastAsia="fr-CA"/>
        </w:rPr>
        <w:t xml:space="preserve">rologiques </w:t>
      </w:r>
    </w:p>
    <w:p w:rsidR="005A610A" w:rsidRPr="00B43AE6" w:rsidRDefault="005B7C5C" w:rsidP="006C77C1">
      <w:pPr>
        <w:pStyle w:val="Sansinterligne"/>
        <w:numPr>
          <w:ilvl w:val="0"/>
          <w:numId w:val="306"/>
        </w:numPr>
        <w:rPr>
          <w:rFonts w:eastAsia="Times New Roman" w:cs="Times New Roman"/>
          <w:color w:val="000000"/>
          <w:lang w:eastAsia="fr-CA"/>
        </w:rPr>
      </w:pPr>
      <w:bookmarkStart w:id="222" w:name="%C3%89tiologie5"/>
      <w:bookmarkEnd w:id="220"/>
      <w:r w:rsidRPr="00B43AE6">
        <w:rPr>
          <w:rFonts w:eastAsia="Times New Roman" w:cs="Times New Roman"/>
          <w:color w:val="000000"/>
          <w:lang w:eastAsia="fr-CA"/>
        </w:rPr>
        <w:t>Santé mentale</w:t>
      </w:r>
    </w:p>
    <w:bookmarkEnd w:id="222"/>
    <w:p w:rsidR="003208BE" w:rsidRPr="00B43AE6" w:rsidRDefault="003208BE" w:rsidP="003208BE">
      <w:pPr>
        <w:pStyle w:val="Sansinterligne"/>
        <w:rPr>
          <w:rFonts w:eastAsia="Times New Roman" w:cs="Times New Roman"/>
          <w:color w:val="000000"/>
          <w:lang w:eastAsia="fr-CA"/>
        </w:rPr>
      </w:pPr>
    </w:p>
    <w:p w:rsidR="00677CA2" w:rsidRPr="00EC364D" w:rsidRDefault="00A324B0" w:rsidP="003208BE">
      <w:pPr>
        <w:pStyle w:val="Sansinterligne"/>
        <w:rPr>
          <w:rFonts w:eastAsia="Times New Roman" w:cs="Times New Roman"/>
          <w:color w:val="000000"/>
          <w:highlight w:val="yellow"/>
          <w:u w:val="single"/>
          <w:lang w:eastAsia="fr-CA"/>
        </w:rPr>
      </w:pPr>
      <w:r w:rsidRPr="00EC364D">
        <w:rPr>
          <w:rFonts w:eastAsia="Times New Roman" w:cs="Times New Roman"/>
          <w:color w:val="000000"/>
          <w:highlight w:val="yellow"/>
          <w:u w:val="single"/>
          <w:lang w:eastAsia="fr-CA"/>
        </w:rPr>
        <w:t>Urgence</w:t>
      </w:r>
      <w:r w:rsidR="003208BE" w:rsidRPr="00EC364D">
        <w:rPr>
          <w:rFonts w:eastAsia="Times New Roman" w:cs="Times New Roman"/>
          <w:color w:val="000000"/>
          <w:highlight w:val="yellow"/>
          <w:u w:val="single"/>
          <w:lang w:eastAsia="fr-CA"/>
        </w:rPr>
        <w:t>s</w:t>
      </w:r>
      <w:r w:rsidRPr="00EC364D">
        <w:rPr>
          <w:rFonts w:eastAsia="Times New Roman" w:cs="Times New Roman"/>
          <w:color w:val="000000"/>
          <w:highlight w:val="yellow"/>
          <w:u w:val="single"/>
          <w:lang w:eastAsia="fr-CA"/>
        </w:rPr>
        <w:t> :</w:t>
      </w:r>
      <w:r w:rsidR="00677CA2" w:rsidRPr="00EC364D">
        <w:rPr>
          <w:rFonts w:eastAsia="Times New Roman" w:cs="Times New Roman"/>
          <w:color w:val="000000"/>
          <w:highlight w:val="yellow"/>
          <w:u w:val="single"/>
          <w:lang w:eastAsia="fr-CA"/>
        </w:rPr>
        <w:t xml:space="preserve"> appendicite, </w:t>
      </w:r>
      <w:r w:rsidRPr="00EC364D">
        <w:rPr>
          <w:rFonts w:eastAsia="Times New Roman" w:cs="Times New Roman"/>
          <w:color w:val="000000"/>
          <w:highlight w:val="yellow"/>
          <w:u w:val="single"/>
          <w:lang w:eastAsia="fr-CA"/>
        </w:rPr>
        <w:t xml:space="preserve"> grossesse ectopiq</w:t>
      </w:r>
      <w:r w:rsidR="000C1BB8" w:rsidRPr="00EC364D">
        <w:rPr>
          <w:rFonts w:eastAsia="Times New Roman" w:cs="Times New Roman"/>
          <w:color w:val="000000"/>
          <w:highlight w:val="yellow"/>
          <w:u w:val="single"/>
          <w:lang w:eastAsia="fr-CA"/>
        </w:rPr>
        <w:t>ue rupturée, torsion ovarienne</w:t>
      </w:r>
      <w:r w:rsidRPr="00EC364D">
        <w:rPr>
          <w:rFonts w:eastAsia="Times New Roman" w:cs="Times New Roman"/>
          <w:color w:val="000000"/>
          <w:highlight w:val="yellow"/>
          <w:u w:val="single"/>
          <w:lang w:eastAsia="fr-CA"/>
        </w:rPr>
        <w:t xml:space="preserve">, </w:t>
      </w:r>
    </w:p>
    <w:p w:rsidR="00A324B0" w:rsidRPr="00B43AE6" w:rsidRDefault="00A324B0" w:rsidP="003208BE">
      <w:pPr>
        <w:pStyle w:val="Sansinterligne"/>
        <w:rPr>
          <w:rFonts w:eastAsia="Times New Roman" w:cs="Times New Roman"/>
          <w:color w:val="000000"/>
          <w:u w:val="single"/>
          <w:lang w:eastAsia="fr-CA"/>
        </w:rPr>
      </w:pPr>
      <w:r w:rsidRPr="00EC364D">
        <w:rPr>
          <w:rFonts w:eastAsia="Times New Roman" w:cs="Times New Roman"/>
          <w:color w:val="000000"/>
          <w:highlight w:val="yellow"/>
          <w:u w:val="single"/>
          <w:lang w:eastAsia="fr-CA"/>
        </w:rPr>
        <w:t>hernie incarcérée</w:t>
      </w:r>
    </w:p>
    <w:p w:rsidR="003208BE" w:rsidRPr="008E2A22" w:rsidRDefault="003208BE" w:rsidP="003208BE">
      <w:pPr>
        <w:pStyle w:val="Sansinterligne"/>
        <w:rPr>
          <w:rFonts w:eastAsia="Times New Roman" w:cs="Times New Roman"/>
          <w:color w:val="000000"/>
          <w:sz w:val="19"/>
          <w:szCs w:val="19"/>
          <w:u w:val="single"/>
          <w:lang w:eastAsia="fr-CA"/>
        </w:rPr>
      </w:pPr>
    </w:p>
    <w:p w:rsidR="00255A6D" w:rsidRPr="003208BE" w:rsidRDefault="00255A6D" w:rsidP="003208BE">
      <w:pPr>
        <w:pStyle w:val="Sansinterligne"/>
        <w:rPr>
          <w:b/>
          <w:sz w:val="28"/>
          <w:szCs w:val="28"/>
        </w:rPr>
      </w:pPr>
      <w:r w:rsidRPr="003208BE">
        <w:rPr>
          <w:b/>
          <w:sz w:val="28"/>
          <w:szCs w:val="28"/>
        </w:rPr>
        <w:t>Diagnostic</w:t>
      </w:r>
    </w:p>
    <w:tbl>
      <w:tblPr>
        <w:tblStyle w:val="Grilledutableau"/>
        <w:tblW w:w="0" w:type="auto"/>
        <w:tblLook w:val="04A0" w:firstRow="1" w:lastRow="0" w:firstColumn="1" w:lastColumn="0" w:noHBand="0" w:noVBand="1"/>
      </w:tblPr>
      <w:tblGrid>
        <w:gridCol w:w="3227"/>
        <w:gridCol w:w="3402"/>
        <w:gridCol w:w="4311"/>
      </w:tblGrid>
      <w:tr w:rsidR="00A324B0" w:rsidTr="002A1F06">
        <w:tc>
          <w:tcPr>
            <w:tcW w:w="10940" w:type="dxa"/>
            <w:gridSpan w:val="3"/>
            <w:shd w:val="clear" w:color="auto" w:fill="B2A1C7" w:themeFill="accent4" w:themeFillTint="99"/>
          </w:tcPr>
          <w:p w:rsidR="00A324B0" w:rsidRPr="000B30ED" w:rsidRDefault="00A324B0" w:rsidP="000B30ED">
            <w:pPr>
              <w:pStyle w:val="Sansinterligne"/>
              <w:jc w:val="center"/>
              <w:rPr>
                <w:i/>
              </w:rPr>
            </w:pPr>
            <w:r w:rsidRPr="000B30ED">
              <w:rPr>
                <w:i/>
              </w:rPr>
              <w:t>Douleurs gynéco-obstétricales</w:t>
            </w:r>
          </w:p>
        </w:tc>
      </w:tr>
      <w:tr w:rsidR="00A324B0" w:rsidTr="00A76E1A">
        <w:tc>
          <w:tcPr>
            <w:tcW w:w="3227" w:type="dxa"/>
          </w:tcPr>
          <w:p w:rsidR="00A324B0" w:rsidRPr="000B30ED" w:rsidRDefault="003208BE" w:rsidP="000B30ED">
            <w:pPr>
              <w:pStyle w:val="Sansinterligne"/>
              <w:jc w:val="center"/>
              <w:rPr>
                <w:u w:val="single"/>
              </w:rPr>
            </w:pPr>
            <w:r w:rsidRPr="000B30ED">
              <w:rPr>
                <w:u w:val="single"/>
              </w:rPr>
              <w:t>Diagnostic</w:t>
            </w:r>
          </w:p>
        </w:tc>
        <w:tc>
          <w:tcPr>
            <w:tcW w:w="3402" w:type="dxa"/>
          </w:tcPr>
          <w:p w:rsidR="00A324B0" w:rsidRPr="000B30ED" w:rsidRDefault="003208BE" w:rsidP="000B30ED">
            <w:pPr>
              <w:pStyle w:val="Sansinterligne"/>
              <w:jc w:val="center"/>
              <w:rPr>
                <w:u w:val="single"/>
              </w:rPr>
            </w:pPr>
            <w:r w:rsidRPr="000B30ED">
              <w:rPr>
                <w:u w:val="single"/>
              </w:rPr>
              <w:t>Facteurs de risque</w:t>
            </w:r>
          </w:p>
        </w:tc>
        <w:tc>
          <w:tcPr>
            <w:tcW w:w="4311" w:type="dxa"/>
          </w:tcPr>
          <w:p w:rsidR="00A324B0" w:rsidRPr="000B30ED" w:rsidRDefault="003208BE" w:rsidP="000B30ED">
            <w:pPr>
              <w:pStyle w:val="Sansinterligne"/>
              <w:jc w:val="center"/>
              <w:rPr>
                <w:u w:val="single"/>
              </w:rPr>
            </w:pPr>
            <w:r w:rsidRPr="000B30ED">
              <w:rPr>
                <w:u w:val="single"/>
              </w:rPr>
              <w:t>Manifestations cliniques</w:t>
            </w:r>
          </w:p>
        </w:tc>
      </w:tr>
      <w:tr w:rsidR="000C1BB8" w:rsidTr="00A76E1A">
        <w:tc>
          <w:tcPr>
            <w:tcW w:w="3227" w:type="dxa"/>
            <w:vAlign w:val="center"/>
          </w:tcPr>
          <w:p w:rsidR="000C1BB8" w:rsidRDefault="000C1BB8" w:rsidP="00F00364">
            <w:pPr>
              <w:pStyle w:val="Sansinterligne"/>
              <w:jc w:val="center"/>
            </w:pPr>
            <w:r w:rsidRPr="003A3A60">
              <w:rPr>
                <w:highlight w:val="yellow"/>
              </w:rPr>
              <w:t>Avortement inévitable ou spontané</w:t>
            </w:r>
          </w:p>
        </w:tc>
        <w:tc>
          <w:tcPr>
            <w:tcW w:w="7713" w:type="dxa"/>
            <w:gridSpan w:val="2"/>
          </w:tcPr>
          <w:p w:rsidR="000C1BB8" w:rsidRDefault="000C1BB8" w:rsidP="003208BE">
            <w:pPr>
              <w:pStyle w:val="Sansinterligne"/>
            </w:pPr>
            <w:r>
              <w:t xml:space="preserve">Voir </w:t>
            </w:r>
            <w:r>
              <w:rPr>
                <w:i/>
              </w:rPr>
              <w:t>Avortement spontané ou fausse couche CMC 81</w:t>
            </w:r>
          </w:p>
        </w:tc>
      </w:tr>
      <w:tr w:rsidR="000C1BB8" w:rsidTr="00A76E1A">
        <w:tc>
          <w:tcPr>
            <w:tcW w:w="3227" w:type="dxa"/>
            <w:vAlign w:val="center"/>
          </w:tcPr>
          <w:p w:rsidR="000C1BB8" w:rsidRDefault="00987CD1" w:rsidP="00F00364">
            <w:pPr>
              <w:pStyle w:val="Sansinterligne"/>
              <w:jc w:val="center"/>
            </w:pPr>
            <w:r>
              <w:t>Mittelschmer</w:t>
            </w:r>
            <w:r w:rsidR="000C1BB8">
              <w:t>z</w:t>
            </w:r>
          </w:p>
        </w:tc>
        <w:tc>
          <w:tcPr>
            <w:tcW w:w="3402" w:type="dxa"/>
          </w:tcPr>
          <w:p w:rsidR="000C1BB8" w:rsidRDefault="00E60155" w:rsidP="003208BE">
            <w:pPr>
              <w:pStyle w:val="Sansinterligne"/>
            </w:pPr>
            <w:r>
              <w:t>Cycles menstruels ovulatoires réguliers</w:t>
            </w:r>
          </w:p>
        </w:tc>
        <w:tc>
          <w:tcPr>
            <w:tcW w:w="4311" w:type="dxa"/>
          </w:tcPr>
          <w:p w:rsidR="00E60155" w:rsidRDefault="00E60155" w:rsidP="006C77C1">
            <w:pPr>
              <w:pStyle w:val="Sansinterligne"/>
              <w:numPr>
                <w:ilvl w:val="0"/>
                <w:numId w:val="314"/>
              </w:numPr>
              <w:ind w:left="360"/>
            </w:pPr>
            <w:r>
              <w:t>Douleur unilatérale légère</w:t>
            </w:r>
          </w:p>
          <w:p w:rsidR="00E60155" w:rsidRDefault="00E60155" w:rsidP="00E60155">
            <w:pPr>
              <w:pStyle w:val="Sansinterligne"/>
              <w:ind w:left="360"/>
            </w:pPr>
            <w:r>
              <w:t>(récurrente)</w:t>
            </w:r>
          </w:p>
          <w:p w:rsidR="00E60155" w:rsidRDefault="00E60155" w:rsidP="006C77C1">
            <w:pPr>
              <w:pStyle w:val="Sansinterligne"/>
              <w:numPr>
                <w:ilvl w:val="0"/>
                <w:numId w:val="314"/>
              </w:numPr>
              <w:ind w:left="360"/>
            </w:pPr>
            <w:r>
              <w:t xml:space="preserve">Survient entre les menstruations </w:t>
            </w:r>
          </w:p>
          <w:p w:rsidR="00E60155" w:rsidRDefault="00E60155" w:rsidP="006C77C1">
            <w:pPr>
              <w:pStyle w:val="Sansinterligne"/>
              <w:numPr>
                <w:ilvl w:val="0"/>
                <w:numId w:val="314"/>
              </w:numPr>
              <w:ind w:left="360"/>
            </w:pPr>
            <w:r>
              <w:t>Heures/jours</w:t>
            </w:r>
          </w:p>
        </w:tc>
      </w:tr>
      <w:tr w:rsidR="000C1BB8" w:rsidTr="00A76E1A">
        <w:tc>
          <w:tcPr>
            <w:tcW w:w="3227" w:type="dxa"/>
            <w:vAlign w:val="center"/>
          </w:tcPr>
          <w:p w:rsidR="000C1BB8" w:rsidRDefault="000C1BB8" w:rsidP="00F00364">
            <w:pPr>
              <w:pStyle w:val="Sansinterligne"/>
              <w:jc w:val="center"/>
            </w:pPr>
            <w:r w:rsidRPr="003A3A60">
              <w:rPr>
                <w:highlight w:val="yellow"/>
              </w:rPr>
              <w:t>Grossesse ectopique</w:t>
            </w:r>
          </w:p>
        </w:tc>
        <w:tc>
          <w:tcPr>
            <w:tcW w:w="3402" w:type="dxa"/>
          </w:tcPr>
          <w:p w:rsidR="000C1BB8" w:rsidRPr="00BE73F4" w:rsidRDefault="002704F6" w:rsidP="006C77C1">
            <w:pPr>
              <w:pStyle w:val="Sansinterligne"/>
              <w:numPr>
                <w:ilvl w:val="0"/>
                <w:numId w:val="324"/>
              </w:numPr>
              <w:rPr>
                <w:highlight w:val="yellow"/>
              </w:rPr>
            </w:pPr>
            <w:r>
              <w:rPr>
                <w:highlight w:val="yellow"/>
              </w:rPr>
              <w:t xml:space="preserve">1/100- 1/200 </w:t>
            </w:r>
            <w:r w:rsidR="000073C0" w:rsidRPr="00BE73F4">
              <w:rPr>
                <w:highlight w:val="yellow"/>
              </w:rPr>
              <w:t>grossesse</w:t>
            </w:r>
          </w:p>
          <w:p w:rsidR="000073C0" w:rsidRPr="00BE73F4" w:rsidRDefault="000073C0" w:rsidP="006C77C1">
            <w:pPr>
              <w:pStyle w:val="Sansinterligne"/>
              <w:numPr>
                <w:ilvl w:val="0"/>
                <w:numId w:val="324"/>
              </w:numPr>
              <w:rPr>
                <w:highlight w:val="yellow"/>
              </w:rPr>
            </w:pPr>
            <w:r w:rsidRPr="00BE73F4">
              <w:rPr>
                <w:highlight w:val="yellow"/>
              </w:rPr>
              <w:t xml:space="preserve">Maladie inflammatoire pelvienne </w:t>
            </w:r>
          </w:p>
          <w:p w:rsidR="000073C0" w:rsidRPr="00BE73F4" w:rsidRDefault="000073C0" w:rsidP="006C77C1">
            <w:pPr>
              <w:pStyle w:val="Sansinterligne"/>
              <w:numPr>
                <w:ilvl w:val="0"/>
                <w:numId w:val="324"/>
              </w:numPr>
              <w:rPr>
                <w:highlight w:val="yellow"/>
              </w:rPr>
            </w:pPr>
            <w:r w:rsidRPr="00BE73F4">
              <w:rPr>
                <w:highlight w:val="yellow"/>
              </w:rPr>
              <w:t>Infertilité</w:t>
            </w:r>
          </w:p>
          <w:p w:rsidR="000073C0" w:rsidRPr="00BE73F4" w:rsidRDefault="000073C0" w:rsidP="006C77C1">
            <w:pPr>
              <w:pStyle w:val="Sansinterligne"/>
              <w:numPr>
                <w:ilvl w:val="0"/>
                <w:numId w:val="324"/>
              </w:numPr>
              <w:rPr>
                <w:highlight w:val="yellow"/>
              </w:rPr>
            </w:pPr>
            <w:r w:rsidRPr="00BE73F4">
              <w:rPr>
                <w:highlight w:val="yellow"/>
              </w:rPr>
              <w:t>Chirurgie des trompes</w:t>
            </w:r>
          </w:p>
          <w:p w:rsidR="000073C0" w:rsidRPr="00BE73F4" w:rsidRDefault="000073C0" w:rsidP="006C77C1">
            <w:pPr>
              <w:pStyle w:val="Sansinterligne"/>
              <w:numPr>
                <w:ilvl w:val="0"/>
                <w:numId w:val="324"/>
              </w:numPr>
              <w:rPr>
                <w:highlight w:val="yellow"/>
              </w:rPr>
            </w:pPr>
            <w:r w:rsidRPr="00BE73F4">
              <w:rPr>
                <w:highlight w:val="yellow"/>
              </w:rPr>
              <w:t>Tabagisme</w:t>
            </w:r>
          </w:p>
        </w:tc>
        <w:tc>
          <w:tcPr>
            <w:tcW w:w="4311" w:type="dxa"/>
          </w:tcPr>
          <w:p w:rsidR="00BE73F4" w:rsidRPr="00BE73F4" w:rsidRDefault="00BE73F4" w:rsidP="006C77C1">
            <w:pPr>
              <w:pStyle w:val="Sansinterligne"/>
              <w:numPr>
                <w:ilvl w:val="0"/>
                <w:numId w:val="324"/>
              </w:numPr>
              <w:rPr>
                <w:highlight w:val="yellow"/>
              </w:rPr>
            </w:pPr>
            <w:r w:rsidRPr="00BE73F4">
              <w:rPr>
                <w:highlight w:val="yellow"/>
              </w:rPr>
              <w:t>No/Vo, mastalgie, aménorrhée</w:t>
            </w:r>
          </w:p>
          <w:p w:rsidR="00BE73F4" w:rsidRPr="00BE73F4" w:rsidRDefault="00BE73F4" w:rsidP="006C77C1">
            <w:pPr>
              <w:pStyle w:val="Sansinterligne"/>
              <w:numPr>
                <w:ilvl w:val="0"/>
                <w:numId w:val="324"/>
              </w:numPr>
              <w:rPr>
                <w:highlight w:val="yellow"/>
              </w:rPr>
            </w:pPr>
            <w:r w:rsidRPr="00BE73F4">
              <w:rPr>
                <w:highlight w:val="yellow"/>
              </w:rPr>
              <w:t xml:space="preserve">Température </w:t>
            </w:r>
            <w:r w:rsidRPr="00BE73F4">
              <w:rPr>
                <w:rFonts w:ascii="Century Gothic" w:hAnsi="Century Gothic"/>
                <w:highlight w:val="yellow"/>
              </w:rPr>
              <w:t>≥</w:t>
            </w:r>
            <w:r w:rsidRPr="00BE73F4">
              <w:rPr>
                <w:highlight w:val="yellow"/>
              </w:rPr>
              <w:t xml:space="preserve"> 38</w:t>
            </w:r>
            <w:r w:rsidRPr="00BE73F4">
              <w:rPr>
                <w:rFonts w:cs="Times New Roman"/>
                <w:highlight w:val="yellow"/>
              </w:rPr>
              <w:t>°</w:t>
            </w:r>
            <w:r w:rsidRPr="00BE73F4">
              <w:rPr>
                <w:highlight w:val="yellow"/>
              </w:rPr>
              <w:t>C (20%)</w:t>
            </w:r>
          </w:p>
          <w:p w:rsidR="00BE73F4" w:rsidRPr="00BE73F4" w:rsidRDefault="00BE73F4" w:rsidP="006C77C1">
            <w:pPr>
              <w:pStyle w:val="Sansinterligne"/>
              <w:numPr>
                <w:ilvl w:val="0"/>
                <w:numId w:val="324"/>
              </w:numPr>
              <w:rPr>
                <w:highlight w:val="yellow"/>
              </w:rPr>
            </w:pPr>
            <w:r w:rsidRPr="00BE73F4">
              <w:rPr>
                <w:highlight w:val="yellow"/>
              </w:rPr>
              <w:t>Sensibilité abdominale (90%)</w:t>
            </w:r>
          </w:p>
          <w:p w:rsidR="00BE73F4" w:rsidRDefault="00BE73F4" w:rsidP="006C77C1">
            <w:pPr>
              <w:pStyle w:val="Sansinterligne"/>
              <w:numPr>
                <w:ilvl w:val="0"/>
                <w:numId w:val="324"/>
              </w:numPr>
              <w:rPr>
                <w:highlight w:val="yellow"/>
              </w:rPr>
            </w:pPr>
            <w:r w:rsidRPr="00BE73F4">
              <w:rPr>
                <w:highlight w:val="yellow"/>
              </w:rPr>
              <w:t>Signe du rebond (45%)</w:t>
            </w:r>
          </w:p>
          <w:p w:rsidR="00887A13" w:rsidRPr="00BE73F4" w:rsidRDefault="00887A13" w:rsidP="006C77C1">
            <w:pPr>
              <w:pStyle w:val="Sansinterligne"/>
              <w:numPr>
                <w:ilvl w:val="0"/>
                <w:numId w:val="324"/>
              </w:numPr>
              <w:rPr>
                <w:highlight w:val="yellow"/>
              </w:rPr>
            </w:pPr>
            <w:r>
              <w:rPr>
                <w:highlight w:val="yellow"/>
              </w:rPr>
              <w:t>Saignement / Ménorragie</w:t>
            </w:r>
          </w:p>
          <w:p w:rsidR="009379B9" w:rsidRPr="009379B9" w:rsidRDefault="00BE73F4" w:rsidP="006C77C1">
            <w:pPr>
              <w:pStyle w:val="Sansinterligne"/>
              <w:numPr>
                <w:ilvl w:val="0"/>
                <w:numId w:val="324"/>
              </w:numPr>
              <w:rPr>
                <w:highlight w:val="yellow"/>
              </w:rPr>
            </w:pPr>
            <w:r w:rsidRPr="00BE73F4">
              <w:rPr>
                <w:highlight w:val="yellow"/>
              </w:rPr>
              <w:t>Masse annexielle palpable (50%)</w:t>
            </w:r>
          </w:p>
          <w:p w:rsidR="00BE73F4" w:rsidRDefault="00BE73F4" w:rsidP="006C77C1">
            <w:pPr>
              <w:pStyle w:val="Sansinterligne"/>
              <w:numPr>
                <w:ilvl w:val="0"/>
                <w:numId w:val="324"/>
              </w:numPr>
              <w:rPr>
                <w:highlight w:val="yellow"/>
              </w:rPr>
            </w:pPr>
            <w:r w:rsidRPr="00BE73F4">
              <w:rPr>
                <w:highlight w:val="yellow"/>
              </w:rPr>
              <w:t>Signe de Chadwick – muqueuse vaginale violacée</w:t>
            </w:r>
          </w:p>
          <w:p w:rsidR="009379B9" w:rsidRPr="00BE73F4" w:rsidRDefault="009379B9" w:rsidP="006C77C1">
            <w:pPr>
              <w:pStyle w:val="Sansinterligne"/>
              <w:numPr>
                <w:ilvl w:val="0"/>
                <w:numId w:val="324"/>
              </w:numPr>
              <w:rPr>
                <w:highlight w:val="yellow"/>
              </w:rPr>
            </w:pPr>
            <w:r>
              <w:rPr>
                <w:highlight w:val="yellow"/>
              </w:rPr>
              <w:t>Syncope, pâleur, hypoTA (si rupture)</w:t>
            </w:r>
          </w:p>
        </w:tc>
      </w:tr>
      <w:tr w:rsidR="000C1BB8" w:rsidTr="00A76E1A">
        <w:tc>
          <w:tcPr>
            <w:tcW w:w="3227" w:type="dxa"/>
            <w:vAlign w:val="center"/>
          </w:tcPr>
          <w:p w:rsidR="000C1BB8" w:rsidRDefault="000C1BB8" w:rsidP="00F00364">
            <w:pPr>
              <w:pStyle w:val="Sansinterligne"/>
              <w:jc w:val="center"/>
            </w:pPr>
            <w:r>
              <w:t>Kyste ovarien rupturé</w:t>
            </w:r>
          </w:p>
        </w:tc>
        <w:tc>
          <w:tcPr>
            <w:tcW w:w="3402" w:type="dxa"/>
          </w:tcPr>
          <w:p w:rsidR="000C1BB8" w:rsidRDefault="009379B9" w:rsidP="006C77C1">
            <w:pPr>
              <w:pStyle w:val="Sansinterligne"/>
              <w:numPr>
                <w:ilvl w:val="0"/>
                <w:numId w:val="332"/>
              </w:numPr>
            </w:pPr>
            <w:r>
              <w:t>Effort physique ou relation sexuelle précédent la douleur</w:t>
            </w:r>
          </w:p>
        </w:tc>
        <w:tc>
          <w:tcPr>
            <w:tcW w:w="4311" w:type="dxa"/>
          </w:tcPr>
          <w:p w:rsidR="000C1BB8" w:rsidRDefault="009379B9" w:rsidP="006C77C1">
            <w:pPr>
              <w:pStyle w:val="Sansinterligne"/>
              <w:numPr>
                <w:ilvl w:val="0"/>
                <w:numId w:val="331"/>
              </w:numPr>
            </w:pPr>
            <w:r>
              <w:t>Douleur unilatérale intense</w:t>
            </w:r>
          </w:p>
          <w:p w:rsidR="009379B9" w:rsidRDefault="009379B9" w:rsidP="006C77C1">
            <w:pPr>
              <w:pStyle w:val="Sansinterligne"/>
              <w:numPr>
                <w:ilvl w:val="0"/>
                <w:numId w:val="331"/>
              </w:numPr>
            </w:pPr>
            <w:r>
              <w:t>Parfois hypoTa / Tachycardie</w:t>
            </w:r>
          </w:p>
        </w:tc>
      </w:tr>
      <w:tr w:rsidR="000C1BB8" w:rsidTr="00A76E1A">
        <w:tc>
          <w:tcPr>
            <w:tcW w:w="3227" w:type="dxa"/>
            <w:vAlign w:val="center"/>
          </w:tcPr>
          <w:p w:rsidR="000C1BB8" w:rsidRPr="003A3A60" w:rsidRDefault="000C1BB8" w:rsidP="00F00364">
            <w:pPr>
              <w:pStyle w:val="Sansinterligne"/>
              <w:jc w:val="center"/>
              <w:rPr>
                <w:highlight w:val="yellow"/>
              </w:rPr>
            </w:pPr>
            <w:r w:rsidRPr="003A3A60">
              <w:rPr>
                <w:highlight w:val="yellow"/>
              </w:rPr>
              <w:t>Torsion ovarienne</w:t>
            </w:r>
          </w:p>
        </w:tc>
        <w:tc>
          <w:tcPr>
            <w:tcW w:w="3402" w:type="dxa"/>
          </w:tcPr>
          <w:p w:rsidR="000C1BB8" w:rsidRPr="00A23826" w:rsidRDefault="009379B9" w:rsidP="006C77C1">
            <w:pPr>
              <w:pStyle w:val="Sansinterligne"/>
              <w:numPr>
                <w:ilvl w:val="0"/>
                <w:numId w:val="331"/>
              </w:numPr>
              <w:rPr>
                <w:highlight w:val="yellow"/>
              </w:rPr>
            </w:pPr>
            <w:r w:rsidRPr="00A23826">
              <w:rPr>
                <w:highlight w:val="yellow"/>
              </w:rPr>
              <w:t>Kystes connus</w:t>
            </w:r>
          </w:p>
        </w:tc>
        <w:tc>
          <w:tcPr>
            <w:tcW w:w="4311" w:type="dxa"/>
          </w:tcPr>
          <w:p w:rsidR="000C1BB8" w:rsidRPr="00A23826" w:rsidRDefault="009379B9" w:rsidP="006C77C1">
            <w:pPr>
              <w:pStyle w:val="Sansinterligne"/>
              <w:numPr>
                <w:ilvl w:val="0"/>
                <w:numId w:val="331"/>
              </w:numPr>
              <w:rPr>
                <w:highlight w:val="yellow"/>
              </w:rPr>
            </w:pPr>
            <w:r w:rsidRPr="00A23826">
              <w:rPr>
                <w:highlight w:val="yellow"/>
              </w:rPr>
              <w:t>Douleur pelvienne unilatérale intense</w:t>
            </w:r>
          </w:p>
          <w:p w:rsidR="009379B9" w:rsidRPr="00A23826" w:rsidRDefault="009379B9" w:rsidP="006C77C1">
            <w:pPr>
              <w:pStyle w:val="Sansinterligne"/>
              <w:numPr>
                <w:ilvl w:val="0"/>
                <w:numId w:val="331"/>
              </w:numPr>
              <w:rPr>
                <w:highlight w:val="yellow"/>
              </w:rPr>
            </w:pPr>
            <w:r w:rsidRPr="00A23826">
              <w:rPr>
                <w:highlight w:val="yellow"/>
              </w:rPr>
              <w:t>No/Vo</w:t>
            </w:r>
          </w:p>
          <w:p w:rsidR="009379B9" w:rsidRPr="00A23826" w:rsidRDefault="009379B9" w:rsidP="006C77C1">
            <w:pPr>
              <w:pStyle w:val="Sansinterligne"/>
              <w:numPr>
                <w:ilvl w:val="0"/>
                <w:numId w:val="331"/>
              </w:numPr>
              <w:rPr>
                <w:highlight w:val="yellow"/>
              </w:rPr>
            </w:pPr>
            <w:r w:rsidRPr="00A23826">
              <w:rPr>
                <w:highlight w:val="yellow"/>
              </w:rPr>
              <w:t>Fièvre légère</w:t>
            </w:r>
            <w:r w:rsidR="00A23826">
              <w:rPr>
                <w:highlight w:val="yellow"/>
              </w:rPr>
              <w:t>, tachycardie</w:t>
            </w:r>
          </w:p>
          <w:p w:rsidR="009379B9" w:rsidRPr="00A23826" w:rsidRDefault="009379B9" w:rsidP="006C77C1">
            <w:pPr>
              <w:pStyle w:val="Sansinterligne"/>
              <w:numPr>
                <w:ilvl w:val="0"/>
                <w:numId w:val="331"/>
              </w:numPr>
              <w:rPr>
                <w:highlight w:val="yellow"/>
              </w:rPr>
            </w:pPr>
            <w:r w:rsidRPr="00A23826">
              <w:rPr>
                <w:highlight w:val="yellow"/>
              </w:rPr>
              <w:t>Parfois léger saignement vaginal</w:t>
            </w:r>
          </w:p>
        </w:tc>
      </w:tr>
      <w:tr w:rsidR="000C1BB8" w:rsidTr="00A76E1A">
        <w:tc>
          <w:tcPr>
            <w:tcW w:w="3227" w:type="dxa"/>
            <w:vAlign w:val="center"/>
          </w:tcPr>
          <w:p w:rsidR="000C1BB8" w:rsidRPr="003A3A60" w:rsidRDefault="000C1BB8" w:rsidP="00F00364">
            <w:pPr>
              <w:pStyle w:val="Sansinterligne"/>
              <w:jc w:val="center"/>
              <w:rPr>
                <w:highlight w:val="yellow"/>
              </w:rPr>
            </w:pPr>
            <w:r w:rsidRPr="003A3A60">
              <w:rPr>
                <w:highlight w:val="yellow"/>
              </w:rPr>
              <w:t>Maladie pelvienne inflammatoire (endométrite, salpingite)</w:t>
            </w:r>
          </w:p>
        </w:tc>
        <w:tc>
          <w:tcPr>
            <w:tcW w:w="3402" w:type="dxa"/>
          </w:tcPr>
          <w:p w:rsidR="000C1BB8" w:rsidRDefault="00AF07D5" w:rsidP="006C77C1">
            <w:pPr>
              <w:pStyle w:val="Sansinterligne"/>
              <w:numPr>
                <w:ilvl w:val="0"/>
                <w:numId w:val="322"/>
              </w:numPr>
            </w:pPr>
            <w:r>
              <w:rPr>
                <w:rFonts w:ascii="Century Gothic" w:hAnsi="Century Gothic"/>
              </w:rPr>
              <w:t>&lt;</w:t>
            </w:r>
            <w:r>
              <w:t xml:space="preserve"> 30 ans</w:t>
            </w:r>
          </w:p>
          <w:p w:rsidR="00AF07D5" w:rsidRDefault="00AF07D5" w:rsidP="006C77C1">
            <w:pPr>
              <w:pStyle w:val="Sansinterligne"/>
              <w:numPr>
                <w:ilvl w:val="0"/>
                <w:numId w:val="322"/>
              </w:numPr>
            </w:pPr>
            <w:r>
              <w:t>Facteurs de risque des ITS</w:t>
            </w:r>
          </w:p>
          <w:p w:rsidR="00AF07D5" w:rsidRDefault="00AF07D5" w:rsidP="006C77C1">
            <w:pPr>
              <w:pStyle w:val="Sansinterligne"/>
              <w:numPr>
                <w:ilvl w:val="0"/>
                <w:numId w:val="322"/>
              </w:numPr>
            </w:pPr>
            <w:r>
              <w:t>Douche vaginal</w:t>
            </w:r>
            <w:r w:rsidR="00366D36">
              <w:t>e</w:t>
            </w:r>
          </w:p>
          <w:p w:rsidR="00AF07D5" w:rsidRDefault="00AF07D5" w:rsidP="006C77C1">
            <w:pPr>
              <w:pStyle w:val="Sansinterligne"/>
              <w:numPr>
                <w:ilvl w:val="0"/>
                <w:numId w:val="322"/>
              </w:numPr>
            </w:pPr>
            <w:r>
              <w:t xml:space="preserve">Insertion de DIU </w:t>
            </w:r>
            <w:r>
              <w:rPr>
                <w:rFonts w:ascii="Century Gothic" w:hAnsi="Century Gothic"/>
              </w:rPr>
              <w:t>&lt;</w:t>
            </w:r>
            <w:r>
              <w:t xml:space="preserve"> 10 jours</w:t>
            </w:r>
          </w:p>
          <w:p w:rsidR="00AF07D5" w:rsidRDefault="00EC364D" w:rsidP="006C77C1">
            <w:pPr>
              <w:pStyle w:val="Sansinterligne"/>
              <w:numPr>
                <w:ilvl w:val="0"/>
                <w:numId w:val="322"/>
              </w:numPr>
            </w:pPr>
            <w:r>
              <w:rPr>
                <w:noProof/>
                <w:lang w:eastAsia="fr-CA"/>
              </w:rPr>
              <w:drawing>
                <wp:anchor distT="0" distB="0" distL="114300" distR="114300" simplePos="0" relativeHeight="251752448" behindDoc="0" locked="0" layoutInCell="1" allowOverlap="1" wp14:anchorId="77000FED" wp14:editId="586FFBDF">
                  <wp:simplePos x="0" y="0"/>
                  <wp:positionH relativeFrom="column">
                    <wp:posOffset>13119</wp:posOffset>
                  </wp:positionH>
                  <wp:positionV relativeFrom="paragraph">
                    <wp:posOffset>218048</wp:posOffset>
                  </wp:positionV>
                  <wp:extent cx="2034294" cy="1381328"/>
                  <wp:effectExtent l="0" t="0" r="4445" b="0"/>
                  <wp:wrapNone/>
                  <wp:docPr id="270" name="Image 270" descr="Résultats de recherche d'images pour « PID diseas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ésultats de recherche d'images pour « PID disease »"/>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2039923" cy="1385150"/>
                          </a:xfrm>
                          <a:prstGeom prst="rect">
                            <a:avLst/>
                          </a:prstGeom>
                          <a:noFill/>
                          <a:ln>
                            <a:noFill/>
                          </a:ln>
                        </pic:spPr>
                      </pic:pic>
                    </a:graphicData>
                  </a:graphic>
                  <wp14:sizeRelH relativeFrom="page">
                    <wp14:pctWidth>0</wp14:pctWidth>
                  </wp14:sizeRelH>
                  <wp14:sizeRelV relativeFrom="page">
                    <wp14:pctHeight>0</wp14:pctHeight>
                  </wp14:sizeRelV>
                </wp:anchor>
              </w:drawing>
            </w:r>
            <w:r w:rsidR="00AF07D5">
              <w:t>Curetage, biopsie récente</w:t>
            </w:r>
            <w:r w:rsidR="004E4C1E">
              <w:t xml:space="preserve"> </w:t>
            </w:r>
          </w:p>
        </w:tc>
        <w:tc>
          <w:tcPr>
            <w:tcW w:w="4311" w:type="dxa"/>
          </w:tcPr>
          <w:p w:rsidR="000C1BB8" w:rsidRPr="00AF07D5" w:rsidRDefault="00AF07D5" w:rsidP="00AF07D5">
            <w:pPr>
              <w:pStyle w:val="Sansinterligne"/>
              <w:rPr>
                <w:rFonts w:cs="Times New Roman"/>
                <w:highlight w:val="yellow"/>
                <w:u w:val="single"/>
              </w:rPr>
            </w:pPr>
            <w:r w:rsidRPr="00A32A14">
              <w:rPr>
                <w:rFonts w:ascii="Century Gothic" w:hAnsi="Century Gothic"/>
                <w:u w:val="single"/>
              </w:rPr>
              <w:t>≥</w:t>
            </w:r>
            <w:r w:rsidRPr="00A32A14">
              <w:rPr>
                <w:rFonts w:cs="Times New Roman"/>
                <w:u w:val="single"/>
              </w:rPr>
              <w:t>1 Critères minimaux</w:t>
            </w:r>
          </w:p>
          <w:p w:rsidR="00AF07D5" w:rsidRPr="00AF07D5" w:rsidRDefault="00AF07D5" w:rsidP="006C77C1">
            <w:pPr>
              <w:pStyle w:val="Sansinterligne"/>
              <w:numPr>
                <w:ilvl w:val="0"/>
                <w:numId w:val="321"/>
              </w:numPr>
              <w:rPr>
                <w:rFonts w:cs="Times New Roman"/>
                <w:highlight w:val="yellow"/>
              </w:rPr>
            </w:pPr>
            <w:r w:rsidRPr="00AF07D5">
              <w:rPr>
                <w:rFonts w:cs="Times New Roman"/>
                <w:highlight w:val="yellow"/>
              </w:rPr>
              <w:t>Douleur abdominale basse</w:t>
            </w:r>
          </w:p>
          <w:p w:rsidR="00AF07D5" w:rsidRPr="00AF07D5" w:rsidRDefault="00AF07D5" w:rsidP="006C77C1">
            <w:pPr>
              <w:pStyle w:val="Sansinterligne"/>
              <w:numPr>
                <w:ilvl w:val="0"/>
                <w:numId w:val="321"/>
              </w:numPr>
              <w:rPr>
                <w:rFonts w:cs="Times New Roman"/>
                <w:highlight w:val="yellow"/>
              </w:rPr>
            </w:pPr>
            <w:r w:rsidRPr="00AF07D5">
              <w:rPr>
                <w:rFonts w:cs="Times New Roman"/>
                <w:highlight w:val="yellow"/>
              </w:rPr>
              <w:t>Douleur à la mobilisation du col</w:t>
            </w:r>
          </w:p>
          <w:p w:rsidR="00AF07D5" w:rsidRPr="00AF07D5" w:rsidRDefault="00AF07D5" w:rsidP="006C77C1">
            <w:pPr>
              <w:pStyle w:val="Sansinterligne"/>
              <w:numPr>
                <w:ilvl w:val="0"/>
                <w:numId w:val="321"/>
              </w:numPr>
              <w:rPr>
                <w:rFonts w:cs="Times New Roman"/>
                <w:highlight w:val="yellow"/>
              </w:rPr>
            </w:pPr>
            <w:r w:rsidRPr="00AF07D5">
              <w:rPr>
                <w:rFonts w:cs="Times New Roman"/>
                <w:highlight w:val="yellow"/>
              </w:rPr>
              <w:t>Douleur à la palpation annexielle</w:t>
            </w:r>
          </w:p>
          <w:p w:rsidR="00AF07D5" w:rsidRPr="00AF07D5" w:rsidRDefault="00AF07D5" w:rsidP="00AF07D5">
            <w:pPr>
              <w:pStyle w:val="Sansinterligne"/>
              <w:rPr>
                <w:rFonts w:cs="Times New Roman"/>
                <w:u w:val="single"/>
              </w:rPr>
            </w:pPr>
            <w:r w:rsidRPr="00AF07D5">
              <w:rPr>
                <w:rFonts w:cs="Times New Roman"/>
                <w:u w:val="single"/>
              </w:rPr>
              <w:t>≥1 critères supplémentaires</w:t>
            </w:r>
          </w:p>
          <w:p w:rsidR="00AF07D5" w:rsidRPr="00AF07D5" w:rsidRDefault="00AF07D5" w:rsidP="006C77C1">
            <w:pPr>
              <w:pStyle w:val="Sansinterligne"/>
              <w:numPr>
                <w:ilvl w:val="0"/>
                <w:numId w:val="320"/>
              </w:numPr>
              <w:rPr>
                <w:rFonts w:cs="Times New Roman"/>
                <w:highlight w:val="yellow"/>
              </w:rPr>
            </w:pPr>
            <w:r w:rsidRPr="00AF07D5">
              <w:rPr>
                <w:rFonts w:cs="Times New Roman"/>
                <w:highlight w:val="yellow"/>
              </w:rPr>
              <w:t>Fièvre ≥ 38,3°C</w:t>
            </w:r>
          </w:p>
          <w:p w:rsidR="00AF07D5" w:rsidRPr="00AF07D5" w:rsidRDefault="00AF07D5" w:rsidP="006C77C1">
            <w:pPr>
              <w:pStyle w:val="Sansinterligne"/>
              <w:numPr>
                <w:ilvl w:val="0"/>
                <w:numId w:val="320"/>
              </w:numPr>
              <w:rPr>
                <w:rFonts w:cs="Times New Roman"/>
                <w:highlight w:val="yellow"/>
              </w:rPr>
            </w:pPr>
            <w:r w:rsidRPr="00AF07D5">
              <w:rPr>
                <w:rFonts w:cs="Times New Roman"/>
                <w:highlight w:val="yellow"/>
              </w:rPr>
              <w:t>Écoulement vaginal/cervical</w:t>
            </w:r>
          </w:p>
          <w:p w:rsidR="00AF07D5" w:rsidRDefault="00AF07D5" w:rsidP="006C77C1">
            <w:pPr>
              <w:pStyle w:val="Sansinterligne"/>
              <w:numPr>
                <w:ilvl w:val="0"/>
                <w:numId w:val="320"/>
              </w:numPr>
              <w:rPr>
                <w:rFonts w:cs="Times New Roman"/>
                <w:highlight w:val="yellow"/>
              </w:rPr>
            </w:pPr>
            <w:r w:rsidRPr="00AF07D5">
              <w:rPr>
                <w:rFonts w:cs="Times New Roman"/>
                <w:highlight w:val="yellow"/>
              </w:rPr>
              <w:t xml:space="preserve">Culture positive pour </w:t>
            </w:r>
            <w:r w:rsidRPr="00A64C68">
              <w:rPr>
                <w:rFonts w:cs="Times New Roman"/>
                <w:i/>
                <w:highlight w:val="yellow"/>
              </w:rPr>
              <w:t xml:space="preserve">C. Trachomatis </w:t>
            </w:r>
            <w:r w:rsidRPr="00AF07D5">
              <w:rPr>
                <w:rFonts w:cs="Times New Roman"/>
                <w:highlight w:val="yellow"/>
              </w:rPr>
              <w:t xml:space="preserve">ou </w:t>
            </w:r>
            <w:r w:rsidRPr="00A64C68">
              <w:rPr>
                <w:rFonts w:cs="Times New Roman"/>
                <w:i/>
                <w:highlight w:val="yellow"/>
              </w:rPr>
              <w:t>N. Gonorrhea</w:t>
            </w:r>
          </w:p>
          <w:p w:rsidR="002956D8" w:rsidRPr="00AF07D5" w:rsidRDefault="002956D8" w:rsidP="006C77C1">
            <w:pPr>
              <w:pStyle w:val="Sansinterligne"/>
              <w:numPr>
                <w:ilvl w:val="0"/>
                <w:numId w:val="320"/>
              </w:numPr>
              <w:rPr>
                <w:rFonts w:cs="Times New Roman"/>
                <w:highlight w:val="yellow"/>
              </w:rPr>
            </w:pPr>
            <w:r>
              <w:rPr>
                <w:rFonts w:cs="Times New Roman"/>
                <w:highlight w:val="yellow"/>
              </w:rPr>
              <w:t>Partenaire à haut risque</w:t>
            </w:r>
          </w:p>
          <w:p w:rsidR="00AF07D5" w:rsidRPr="00AF07D5" w:rsidRDefault="00AF07D5" w:rsidP="006C77C1">
            <w:pPr>
              <w:pStyle w:val="Sansinterligne"/>
              <w:numPr>
                <w:ilvl w:val="0"/>
                <w:numId w:val="320"/>
              </w:numPr>
              <w:rPr>
                <w:rFonts w:cs="Times New Roman"/>
                <w:highlight w:val="yellow"/>
              </w:rPr>
            </w:pPr>
            <w:r w:rsidRPr="00AF07D5">
              <w:rPr>
                <w:rFonts w:cs="Times New Roman"/>
                <w:highlight w:val="yellow"/>
              </w:rPr>
              <w:t>Abcès pelvien</w:t>
            </w:r>
            <w:r w:rsidR="0010404C">
              <w:rPr>
                <w:rFonts w:cs="Times New Roman"/>
                <w:highlight w:val="yellow"/>
              </w:rPr>
              <w:t xml:space="preserve"> (écho ou palpable)</w:t>
            </w:r>
          </w:p>
          <w:p w:rsidR="00AF07D5" w:rsidRPr="00AF07D5" w:rsidRDefault="00AF07D5" w:rsidP="006C77C1">
            <w:pPr>
              <w:pStyle w:val="Sansinterligne"/>
              <w:numPr>
                <w:ilvl w:val="0"/>
                <w:numId w:val="320"/>
              </w:numPr>
              <w:rPr>
                <w:rFonts w:cs="Times New Roman"/>
              </w:rPr>
            </w:pPr>
            <w:r w:rsidRPr="00AF07D5">
              <w:rPr>
                <w:rFonts w:cs="Times New Roman"/>
              </w:rPr>
              <w:t>Leucocytose</w:t>
            </w:r>
          </w:p>
          <w:p w:rsidR="00AF07D5" w:rsidRPr="00AF07D5" w:rsidRDefault="00AF07D5" w:rsidP="006C77C1">
            <w:pPr>
              <w:pStyle w:val="Sansinterligne"/>
              <w:numPr>
                <w:ilvl w:val="0"/>
                <w:numId w:val="320"/>
              </w:numPr>
              <w:rPr>
                <w:rFonts w:cs="Times New Roman"/>
              </w:rPr>
            </w:pPr>
            <w:r w:rsidRPr="00AF07D5">
              <w:rPr>
                <w:rFonts w:cs="Times New Roman"/>
              </w:rPr>
              <w:t xml:space="preserve">CRP ou VS↑ </w:t>
            </w:r>
          </w:p>
          <w:p w:rsidR="00AF07D5" w:rsidRDefault="00281BE0" w:rsidP="00AF07D5">
            <w:pPr>
              <w:pStyle w:val="Sansinterligne"/>
            </w:pPr>
            <w:r w:rsidRPr="00281BE0">
              <w:rPr>
                <w:highlight w:val="yellow"/>
              </w:rPr>
              <w:t>Parfois chronique</w:t>
            </w:r>
          </w:p>
        </w:tc>
      </w:tr>
      <w:tr w:rsidR="000C1BB8" w:rsidTr="00A76E1A">
        <w:tc>
          <w:tcPr>
            <w:tcW w:w="3227" w:type="dxa"/>
            <w:shd w:val="clear" w:color="auto" w:fill="auto"/>
            <w:vAlign w:val="center"/>
          </w:tcPr>
          <w:p w:rsidR="000C1BB8" w:rsidRPr="0066194B" w:rsidRDefault="000C1BB8" w:rsidP="00F00364">
            <w:pPr>
              <w:pStyle w:val="Sansinterligne"/>
              <w:jc w:val="center"/>
              <w:rPr>
                <w:highlight w:val="yellow"/>
              </w:rPr>
            </w:pPr>
            <w:r w:rsidRPr="0066194B">
              <w:rPr>
                <w:highlight w:val="yellow"/>
              </w:rPr>
              <w:t>Endométriose</w:t>
            </w:r>
          </w:p>
        </w:tc>
        <w:tc>
          <w:tcPr>
            <w:tcW w:w="3402" w:type="dxa"/>
            <w:shd w:val="clear" w:color="auto" w:fill="auto"/>
          </w:tcPr>
          <w:p w:rsidR="000C1BB8" w:rsidRPr="0066194B" w:rsidRDefault="00281BE0" w:rsidP="006C77C1">
            <w:pPr>
              <w:pStyle w:val="Sansinterligne"/>
              <w:numPr>
                <w:ilvl w:val="0"/>
                <w:numId w:val="337"/>
              </w:numPr>
              <w:rPr>
                <w:highlight w:val="yellow"/>
              </w:rPr>
            </w:pPr>
            <w:r w:rsidRPr="0066194B">
              <w:rPr>
                <w:highlight w:val="yellow"/>
              </w:rPr>
              <w:t>Âge moyen de 28 ans</w:t>
            </w:r>
          </w:p>
          <w:p w:rsidR="00281BE0" w:rsidRPr="0066194B" w:rsidRDefault="00281BE0" w:rsidP="006C77C1">
            <w:pPr>
              <w:pStyle w:val="Sansinterligne"/>
              <w:numPr>
                <w:ilvl w:val="0"/>
                <w:numId w:val="337"/>
              </w:numPr>
              <w:rPr>
                <w:highlight w:val="yellow"/>
              </w:rPr>
            </w:pPr>
            <w:r w:rsidRPr="0066194B">
              <w:rPr>
                <w:highlight w:val="yellow"/>
              </w:rPr>
              <w:t xml:space="preserve">Prévalence estimée à </w:t>
            </w:r>
            <w:r w:rsidRPr="0066194B">
              <w:rPr>
                <w:rFonts w:cs="Times New Roman"/>
                <w:highlight w:val="yellow"/>
              </w:rPr>
              <w:t>~</w:t>
            </w:r>
            <w:r w:rsidRPr="0066194B">
              <w:rPr>
                <w:highlight w:val="yellow"/>
              </w:rPr>
              <w:t xml:space="preserve"> 10% des femmes en âge de procréer</w:t>
            </w:r>
          </w:p>
        </w:tc>
        <w:tc>
          <w:tcPr>
            <w:tcW w:w="4311" w:type="dxa"/>
            <w:shd w:val="clear" w:color="auto" w:fill="auto"/>
          </w:tcPr>
          <w:p w:rsidR="00281BE0" w:rsidRPr="0066194B" w:rsidRDefault="00281BE0" w:rsidP="006C77C1">
            <w:pPr>
              <w:pStyle w:val="Sansinterligne"/>
              <w:numPr>
                <w:ilvl w:val="0"/>
                <w:numId w:val="336"/>
              </w:numPr>
              <w:rPr>
                <w:highlight w:val="yellow"/>
              </w:rPr>
            </w:pPr>
            <w:r w:rsidRPr="0066194B">
              <w:rPr>
                <w:highlight w:val="yellow"/>
              </w:rPr>
              <w:t>Chronique</w:t>
            </w:r>
          </w:p>
          <w:p w:rsidR="000C1BB8" w:rsidRPr="000926C0" w:rsidRDefault="00281BE0" w:rsidP="006C77C1">
            <w:pPr>
              <w:pStyle w:val="Sansinterligne"/>
              <w:numPr>
                <w:ilvl w:val="0"/>
                <w:numId w:val="336"/>
              </w:numPr>
              <w:rPr>
                <w:b/>
                <w:highlight w:val="yellow"/>
              </w:rPr>
            </w:pPr>
            <w:r w:rsidRPr="000926C0">
              <w:rPr>
                <w:b/>
                <w:highlight w:val="yellow"/>
              </w:rPr>
              <w:t>Dysménorrhée</w:t>
            </w:r>
          </w:p>
          <w:p w:rsidR="00281BE0" w:rsidRPr="0066194B" w:rsidRDefault="00281BE0" w:rsidP="006C77C1">
            <w:pPr>
              <w:pStyle w:val="Sansinterligne"/>
              <w:numPr>
                <w:ilvl w:val="0"/>
                <w:numId w:val="336"/>
              </w:numPr>
              <w:rPr>
                <w:highlight w:val="yellow"/>
              </w:rPr>
            </w:pPr>
            <w:r w:rsidRPr="0066194B">
              <w:rPr>
                <w:highlight w:val="yellow"/>
              </w:rPr>
              <w:t>Douleur pelvienne diffuse</w:t>
            </w:r>
          </w:p>
          <w:p w:rsidR="00281BE0" w:rsidRPr="000926C0" w:rsidRDefault="00281BE0" w:rsidP="006C77C1">
            <w:pPr>
              <w:pStyle w:val="Sansinterligne"/>
              <w:numPr>
                <w:ilvl w:val="0"/>
                <w:numId w:val="336"/>
              </w:numPr>
              <w:rPr>
                <w:b/>
                <w:highlight w:val="yellow"/>
              </w:rPr>
            </w:pPr>
            <w:r w:rsidRPr="000926C0">
              <w:rPr>
                <w:b/>
                <w:highlight w:val="yellow"/>
              </w:rPr>
              <w:t>Dyspareunie</w:t>
            </w:r>
          </w:p>
          <w:p w:rsidR="00281BE0" w:rsidRPr="0066194B" w:rsidRDefault="00281BE0" w:rsidP="006C77C1">
            <w:pPr>
              <w:pStyle w:val="Sansinterligne"/>
              <w:numPr>
                <w:ilvl w:val="0"/>
                <w:numId w:val="336"/>
              </w:numPr>
              <w:rPr>
                <w:highlight w:val="yellow"/>
              </w:rPr>
            </w:pPr>
            <w:r w:rsidRPr="0066194B">
              <w:rPr>
                <w:highlight w:val="yellow"/>
              </w:rPr>
              <w:t>Infertilité</w:t>
            </w:r>
          </w:p>
          <w:p w:rsidR="00281BE0" w:rsidRPr="000926C0" w:rsidRDefault="00281BE0" w:rsidP="006C77C1">
            <w:pPr>
              <w:pStyle w:val="Sansinterligne"/>
              <w:numPr>
                <w:ilvl w:val="0"/>
                <w:numId w:val="336"/>
              </w:numPr>
              <w:rPr>
                <w:b/>
                <w:highlight w:val="yellow"/>
              </w:rPr>
            </w:pPr>
            <w:r w:rsidRPr="000926C0">
              <w:rPr>
                <w:b/>
                <w:highlight w:val="yellow"/>
              </w:rPr>
              <w:t>Dyschézie</w:t>
            </w:r>
          </w:p>
          <w:p w:rsidR="00281BE0" w:rsidRPr="0066194B" w:rsidRDefault="00281BE0" w:rsidP="006C77C1">
            <w:pPr>
              <w:pStyle w:val="Sansinterligne"/>
              <w:numPr>
                <w:ilvl w:val="0"/>
                <w:numId w:val="336"/>
              </w:numPr>
              <w:rPr>
                <w:highlight w:val="yellow"/>
              </w:rPr>
            </w:pPr>
            <w:r w:rsidRPr="0066194B">
              <w:rPr>
                <w:highlight w:val="yellow"/>
              </w:rPr>
              <w:t>Parfois induration palpables sur ligaments utéro-sacrés</w:t>
            </w:r>
          </w:p>
          <w:p w:rsidR="00281BE0" w:rsidRPr="0066194B" w:rsidRDefault="00281BE0" w:rsidP="006C77C1">
            <w:pPr>
              <w:pStyle w:val="Sansinterligne"/>
              <w:numPr>
                <w:ilvl w:val="0"/>
                <w:numId w:val="336"/>
              </w:numPr>
              <w:rPr>
                <w:highlight w:val="yellow"/>
              </w:rPr>
            </w:pPr>
            <w:r w:rsidRPr="0066194B">
              <w:rPr>
                <w:highlight w:val="yellow"/>
              </w:rPr>
              <w:t>Sensibilité à la mobilisation du col</w:t>
            </w:r>
          </w:p>
        </w:tc>
      </w:tr>
      <w:tr w:rsidR="000C1BB8" w:rsidTr="00A76E1A">
        <w:tc>
          <w:tcPr>
            <w:tcW w:w="3227" w:type="dxa"/>
            <w:shd w:val="clear" w:color="auto" w:fill="auto"/>
            <w:vAlign w:val="center"/>
          </w:tcPr>
          <w:p w:rsidR="000C1BB8" w:rsidRDefault="000C1BB8" w:rsidP="00F00364">
            <w:pPr>
              <w:pStyle w:val="Sansinterligne"/>
              <w:jc w:val="center"/>
            </w:pPr>
            <w:r>
              <w:t>Adénomyose</w:t>
            </w:r>
          </w:p>
        </w:tc>
        <w:tc>
          <w:tcPr>
            <w:tcW w:w="3402" w:type="dxa"/>
            <w:shd w:val="clear" w:color="auto" w:fill="auto"/>
          </w:tcPr>
          <w:p w:rsidR="000C1BB8" w:rsidRDefault="00CB1D12" w:rsidP="006C77C1">
            <w:pPr>
              <w:pStyle w:val="Sansinterligne"/>
              <w:numPr>
                <w:ilvl w:val="0"/>
                <w:numId w:val="329"/>
              </w:numPr>
            </w:pPr>
            <w:r>
              <w:t>Âge moyen: 40-50 ans</w:t>
            </w:r>
          </w:p>
        </w:tc>
        <w:tc>
          <w:tcPr>
            <w:tcW w:w="4311" w:type="dxa"/>
            <w:shd w:val="clear" w:color="auto" w:fill="auto"/>
          </w:tcPr>
          <w:p w:rsidR="000C1BB8" w:rsidRDefault="00CB1D12" w:rsidP="006C77C1">
            <w:pPr>
              <w:pStyle w:val="Sansinterligne"/>
              <w:numPr>
                <w:ilvl w:val="0"/>
                <w:numId w:val="328"/>
              </w:numPr>
            </w:pPr>
            <w:r>
              <w:t>Asymptomatique (souvent)</w:t>
            </w:r>
          </w:p>
          <w:p w:rsidR="00CB1D12" w:rsidRDefault="00CB1D12" w:rsidP="006C77C1">
            <w:pPr>
              <w:pStyle w:val="Sansinterligne"/>
              <w:numPr>
                <w:ilvl w:val="0"/>
                <w:numId w:val="328"/>
              </w:numPr>
            </w:pPr>
            <w:r>
              <w:t>Ménorragie</w:t>
            </w:r>
          </w:p>
          <w:p w:rsidR="00CB1D12" w:rsidRDefault="00CB1D12" w:rsidP="006C77C1">
            <w:pPr>
              <w:pStyle w:val="Sansinterligne"/>
              <w:numPr>
                <w:ilvl w:val="0"/>
                <w:numId w:val="328"/>
              </w:numPr>
            </w:pPr>
            <w:r>
              <w:t>Dysménorrhée</w:t>
            </w:r>
          </w:p>
          <w:p w:rsidR="00CB1D12" w:rsidRDefault="00CB1D12" w:rsidP="006C77C1">
            <w:pPr>
              <w:pStyle w:val="Sansinterligne"/>
              <w:numPr>
                <w:ilvl w:val="0"/>
                <w:numId w:val="328"/>
              </w:numPr>
            </w:pPr>
            <w:r>
              <w:t>Inconfort pelvien</w:t>
            </w:r>
          </w:p>
          <w:p w:rsidR="00CB1D12" w:rsidRDefault="00CB1D12" w:rsidP="006C77C1">
            <w:pPr>
              <w:pStyle w:val="Sansinterligne"/>
              <w:numPr>
                <w:ilvl w:val="0"/>
                <w:numId w:val="328"/>
              </w:numPr>
            </w:pPr>
            <w:r>
              <w:t>Dyspareunie, dyschézie</w:t>
            </w:r>
          </w:p>
          <w:p w:rsidR="00D11616" w:rsidRDefault="00D11616" w:rsidP="006C77C1">
            <w:pPr>
              <w:pStyle w:val="Sansinterligne"/>
              <w:numPr>
                <w:ilvl w:val="0"/>
                <w:numId w:val="328"/>
              </w:numPr>
            </w:pPr>
            <w:r>
              <w:t>Utérus volumineux, mou, sensible en prémenstruel (examen)</w:t>
            </w:r>
          </w:p>
        </w:tc>
      </w:tr>
      <w:tr w:rsidR="000C1BB8" w:rsidTr="00A76E1A">
        <w:tc>
          <w:tcPr>
            <w:tcW w:w="3227" w:type="dxa"/>
            <w:shd w:val="clear" w:color="auto" w:fill="auto"/>
            <w:vAlign w:val="center"/>
          </w:tcPr>
          <w:p w:rsidR="000C1BB8" w:rsidRDefault="000C1BB8" w:rsidP="00F00364">
            <w:pPr>
              <w:pStyle w:val="Sansinterligne"/>
              <w:jc w:val="center"/>
            </w:pPr>
            <w:r>
              <w:t>Léiomyomes</w:t>
            </w:r>
          </w:p>
        </w:tc>
        <w:tc>
          <w:tcPr>
            <w:tcW w:w="3402" w:type="dxa"/>
            <w:shd w:val="clear" w:color="auto" w:fill="auto"/>
          </w:tcPr>
          <w:p w:rsidR="00695C77" w:rsidRDefault="00695C77" w:rsidP="003208BE">
            <w:pPr>
              <w:pStyle w:val="Sansinterligne"/>
            </w:pPr>
          </w:p>
          <w:p w:rsidR="00695C77" w:rsidRDefault="00695C77" w:rsidP="003208BE">
            <w:pPr>
              <w:pStyle w:val="Sansinterligne"/>
            </w:pPr>
            <w:r>
              <w:t xml:space="preserve">40-50% des femmes </w:t>
            </w:r>
            <w:r>
              <w:rPr>
                <w:rFonts w:ascii="Century Gothic" w:hAnsi="Century Gothic"/>
              </w:rPr>
              <w:t>&gt;</w:t>
            </w:r>
            <w:r>
              <w:t xml:space="preserve"> 35 ans</w:t>
            </w:r>
          </w:p>
          <w:p w:rsidR="000C1BB8" w:rsidRDefault="00695C77" w:rsidP="003208BE">
            <w:pPr>
              <w:pStyle w:val="Sansinterligne"/>
            </w:pPr>
            <w:r>
              <w:t>Afro-américaines</w:t>
            </w:r>
          </w:p>
        </w:tc>
        <w:tc>
          <w:tcPr>
            <w:tcW w:w="4311" w:type="dxa"/>
            <w:shd w:val="clear" w:color="auto" w:fill="auto"/>
          </w:tcPr>
          <w:p w:rsidR="000C1BB8" w:rsidRDefault="00695C77" w:rsidP="006C77C1">
            <w:pPr>
              <w:pStyle w:val="Sansinterligne"/>
              <w:numPr>
                <w:ilvl w:val="0"/>
                <w:numId w:val="326"/>
              </w:numPr>
            </w:pPr>
            <w:r>
              <w:t>Asymptomatique</w:t>
            </w:r>
          </w:p>
          <w:p w:rsidR="00695C77" w:rsidRDefault="00695C77" w:rsidP="006C77C1">
            <w:pPr>
              <w:pStyle w:val="Sansinterligne"/>
              <w:numPr>
                <w:ilvl w:val="0"/>
                <w:numId w:val="326"/>
              </w:numPr>
            </w:pPr>
            <w:r>
              <w:t>Ménorragies</w:t>
            </w:r>
          </w:p>
          <w:p w:rsidR="00695C77" w:rsidRDefault="00695C77" w:rsidP="006C77C1">
            <w:pPr>
              <w:pStyle w:val="Sansinterligne"/>
              <w:numPr>
                <w:ilvl w:val="0"/>
                <w:numId w:val="326"/>
              </w:numPr>
            </w:pPr>
            <w:r>
              <w:t>Dysménorrhée</w:t>
            </w:r>
          </w:p>
          <w:p w:rsidR="00695C77" w:rsidRPr="00695C77" w:rsidRDefault="00695C77" w:rsidP="006C77C1">
            <w:pPr>
              <w:pStyle w:val="Sansinterligne"/>
              <w:numPr>
                <w:ilvl w:val="0"/>
                <w:numId w:val="326"/>
              </w:numPr>
              <w:rPr>
                <w:highlight w:val="yellow"/>
              </w:rPr>
            </w:pPr>
            <w:r w:rsidRPr="00695C77">
              <w:rPr>
                <w:highlight w:val="yellow"/>
              </w:rPr>
              <w:t>Pression pelvienne</w:t>
            </w:r>
          </w:p>
          <w:p w:rsidR="00695C77" w:rsidRDefault="00695C77" w:rsidP="006C77C1">
            <w:pPr>
              <w:pStyle w:val="Sansinterligne"/>
              <w:numPr>
                <w:ilvl w:val="0"/>
                <w:numId w:val="326"/>
              </w:numPr>
            </w:pPr>
            <w:r>
              <w:t>Pollakiurie/urgenturie</w:t>
            </w:r>
          </w:p>
          <w:p w:rsidR="00695C77" w:rsidRDefault="00695C77" w:rsidP="006C77C1">
            <w:pPr>
              <w:pStyle w:val="Sansinterligne"/>
              <w:numPr>
                <w:ilvl w:val="0"/>
                <w:numId w:val="326"/>
              </w:numPr>
            </w:pPr>
            <w:r w:rsidRPr="00EA7873">
              <w:rPr>
                <w:highlight w:val="yellow"/>
              </w:rPr>
              <w:t>Douleur aigue (si pédiculé + torsion)</w:t>
            </w:r>
          </w:p>
        </w:tc>
      </w:tr>
      <w:tr w:rsidR="004E6925" w:rsidTr="001078B6">
        <w:tc>
          <w:tcPr>
            <w:tcW w:w="3227" w:type="dxa"/>
            <w:vAlign w:val="center"/>
          </w:tcPr>
          <w:p w:rsidR="004E6925" w:rsidRDefault="004E6925" w:rsidP="001905C8">
            <w:pPr>
              <w:pStyle w:val="Sansinterligne"/>
              <w:jc w:val="center"/>
            </w:pPr>
            <w:r w:rsidRPr="003A3A60">
              <w:rPr>
                <w:highlight w:val="yellow"/>
              </w:rPr>
              <w:t>Bartholinite / Abcès d’une glande de Bartholin</w:t>
            </w:r>
          </w:p>
        </w:tc>
        <w:tc>
          <w:tcPr>
            <w:tcW w:w="3402" w:type="dxa"/>
            <w:shd w:val="clear" w:color="auto" w:fill="auto"/>
          </w:tcPr>
          <w:p w:rsidR="004E6925" w:rsidRDefault="004E6925" w:rsidP="001905C8">
            <w:pPr>
              <w:pStyle w:val="Sansinterligne"/>
            </w:pPr>
          </w:p>
          <w:p w:rsidR="00EC364D" w:rsidRDefault="00EC364D" w:rsidP="001905C8">
            <w:pPr>
              <w:pStyle w:val="Sansinterligne"/>
            </w:pPr>
          </w:p>
          <w:p w:rsidR="00EC364D" w:rsidRDefault="00EC364D" w:rsidP="001905C8">
            <w:pPr>
              <w:pStyle w:val="Sansinterligne"/>
            </w:pPr>
          </w:p>
          <w:p w:rsidR="00EC364D" w:rsidRDefault="00EC364D" w:rsidP="001905C8">
            <w:pPr>
              <w:pStyle w:val="Sansinterligne"/>
            </w:pPr>
          </w:p>
          <w:p w:rsidR="00EC364D" w:rsidRDefault="00EC364D" w:rsidP="001905C8">
            <w:pPr>
              <w:pStyle w:val="Sansinterligne"/>
            </w:pPr>
          </w:p>
        </w:tc>
        <w:tc>
          <w:tcPr>
            <w:tcW w:w="4311" w:type="dxa"/>
          </w:tcPr>
          <w:p w:rsidR="004E6925" w:rsidRDefault="004E6925" w:rsidP="006C77C1">
            <w:pPr>
              <w:pStyle w:val="Sansinterligne"/>
              <w:numPr>
                <w:ilvl w:val="0"/>
                <w:numId w:val="312"/>
              </w:numPr>
            </w:pPr>
            <w:r>
              <w:t>Douleur à la partie inféro-latérale du vagin à son ouverture</w:t>
            </w:r>
          </w:p>
          <w:p w:rsidR="004E6925" w:rsidRDefault="004E6925" w:rsidP="006C77C1">
            <w:pPr>
              <w:pStyle w:val="Sansinterligne"/>
              <w:numPr>
                <w:ilvl w:val="0"/>
                <w:numId w:val="312"/>
              </w:numPr>
            </w:pPr>
            <w:r>
              <w:t>Masse œdématiée</w:t>
            </w:r>
          </w:p>
          <w:p w:rsidR="00EC364D" w:rsidRDefault="004E6925" w:rsidP="00887A13">
            <w:pPr>
              <w:pStyle w:val="Sansinterligne"/>
              <w:numPr>
                <w:ilvl w:val="0"/>
                <w:numId w:val="312"/>
              </w:numPr>
            </w:pPr>
            <w:r>
              <w:t>Po</w:t>
            </w:r>
            <w:r w:rsidR="00887A13">
              <w:t>sition assise/marche douloureuse</w:t>
            </w:r>
          </w:p>
          <w:p w:rsidR="002A1F06" w:rsidRDefault="002A1F06" w:rsidP="002A1F06">
            <w:pPr>
              <w:pStyle w:val="Sansinterligne"/>
              <w:ind w:left="360"/>
            </w:pPr>
          </w:p>
        </w:tc>
      </w:tr>
      <w:tr w:rsidR="004E6925" w:rsidTr="002A1F06">
        <w:tc>
          <w:tcPr>
            <w:tcW w:w="10940" w:type="dxa"/>
            <w:gridSpan w:val="3"/>
            <w:shd w:val="clear" w:color="auto" w:fill="B2A1C7" w:themeFill="accent4" w:themeFillTint="99"/>
            <w:vAlign w:val="center"/>
          </w:tcPr>
          <w:p w:rsidR="004E6925" w:rsidRPr="00433C19" w:rsidRDefault="004E6925" w:rsidP="004E6925">
            <w:pPr>
              <w:pStyle w:val="Sansinterligne"/>
              <w:jc w:val="center"/>
              <w:rPr>
                <w:i/>
              </w:rPr>
            </w:pPr>
            <w:r w:rsidRPr="00433C19">
              <w:rPr>
                <w:i/>
              </w:rPr>
              <w:t>Dyspareunie</w:t>
            </w:r>
          </w:p>
        </w:tc>
      </w:tr>
      <w:tr w:rsidR="004E6925" w:rsidTr="00A76E1A">
        <w:tc>
          <w:tcPr>
            <w:tcW w:w="3227" w:type="dxa"/>
            <w:vAlign w:val="center"/>
          </w:tcPr>
          <w:p w:rsidR="004E6925" w:rsidRDefault="004E6925" w:rsidP="00F00364">
            <w:pPr>
              <w:pStyle w:val="Sansinterligne"/>
              <w:jc w:val="center"/>
            </w:pPr>
            <w:r>
              <w:t>Syndrome myofascial</w:t>
            </w:r>
          </w:p>
        </w:tc>
        <w:tc>
          <w:tcPr>
            <w:tcW w:w="3402" w:type="dxa"/>
          </w:tcPr>
          <w:p w:rsidR="004E6925" w:rsidRDefault="004E6925" w:rsidP="006C77C1">
            <w:pPr>
              <w:pStyle w:val="Sansinterligne"/>
              <w:numPr>
                <w:ilvl w:val="0"/>
                <w:numId w:val="316"/>
              </w:numPr>
            </w:pPr>
            <w:r>
              <w:t>7% des douleurs pelviennes chroniques</w:t>
            </w:r>
          </w:p>
          <w:p w:rsidR="004E6925" w:rsidRDefault="004E6925" w:rsidP="006C77C1">
            <w:pPr>
              <w:pStyle w:val="Sansinterligne"/>
              <w:numPr>
                <w:ilvl w:val="0"/>
                <w:numId w:val="316"/>
              </w:numPr>
            </w:pPr>
            <w:r>
              <w:t>30-50 ans</w:t>
            </w:r>
          </w:p>
          <w:p w:rsidR="004E6925" w:rsidRDefault="004E6925" w:rsidP="006C77C1">
            <w:pPr>
              <w:pStyle w:val="Sansinterligne"/>
              <w:numPr>
                <w:ilvl w:val="0"/>
                <w:numId w:val="316"/>
              </w:numPr>
            </w:pPr>
            <w:r>
              <w:t>ATC</w:t>
            </w:r>
            <w:r w:rsidR="00FB1FA6">
              <w:t>D</w:t>
            </w:r>
            <w:r>
              <w:t xml:space="preserve"> trauma, chiru</w:t>
            </w:r>
            <w:r w:rsidR="002F5631">
              <w:t>r</w:t>
            </w:r>
            <w:r>
              <w:t>gie</w:t>
            </w:r>
          </w:p>
        </w:tc>
        <w:tc>
          <w:tcPr>
            <w:tcW w:w="4311" w:type="dxa"/>
          </w:tcPr>
          <w:p w:rsidR="004E6925" w:rsidRDefault="004E6925" w:rsidP="006C77C1">
            <w:pPr>
              <w:pStyle w:val="Sansinterligne"/>
              <w:numPr>
                <w:ilvl w:val="0"/>
                <w:numId w:val="315"/>
              </w:numPr>
            </w:pPr>
            <w:r>
              <w:t>Trigger point déclenché par pression/froid/position)</w:t>
            </w:r>
          </w:p>
          <w:p w:rsidR="004E6925" w:rsidRDefault="004E6925" w:rsidP="006C77C1">
            <w:pPr>
              <w:pStyle w:val="Sansinterligne"/>
              <w:numPr>
                <w:ilvl w:val="0"/>
                <w:numId w:val="315"/>
              </w:numPr>
            </w:pPr>
            <w:r>
              <w:t>Contraction musculaire de la zone touchée</w:t>
            </w:r>
          </w:p>
          <w:p w:rsidR="006B25D2" w:rsidRDefault="006B25D2" w:rsidP="006C77C1">
            <w:pPr>
              <w:pStyle w:val="Sansinterligne"/>
              <w:numPr>
                <w:ilvl w:val="0"/>
                <w:numId w:val="315"/>
              </w:numPr>
            </w:pPr>
            <w:r>
              <w:t>Dyspareunie</w:t>
            </w:r>
          </w:p>
        </w:tc>
      </w:tr>
      <w:tr w:rsidR="004E6925" w:rsidTr="00A76E1A">
        <w:tc>
          <w:tcPr>
            <w:tcW w:w="3227" w:type="dxa"/>
            <w:vAlign w:val="center"/>
          </w:tcPr>
          <w:p w:rsidR="004E6925" w:rsidRDefault="004E6925" w:rsidP="00F00364">
            <w:pPr>
              <w:pStyle w:val="Sansinterligne"/>
              <w:jc w:val="center"/>
            </w:pPr>
            <w:r>
              <w:t>Vulvodynie</w:t>
            </w:r>
          </w:p>
        </w:tc>
        <w:tc>
          <w:tcPr>
            <w:tcW w:w="3402" w:type="dxa"/>
          </w:tcPr>
          <w:p w:rsidR="004E6925" w:rsidRDefault="00FB1FA6" w:rsidP="006C77C1">
            <w:pPr>
              <w:pStyle w:val="Sansinterligne"/>
              <w:numPr>
                <w:ilvl w:val="0"/>
                <w:numId w:val="317"/>
              </w:numPr>
            </w:pPr>
            <w:r>
              <w:t>Jeune âge</w:t>
            </w:r>
          </w:p>
          <w:p w:rsidR="00FB1FA6" w:rsidRDefault="00FB1FA6" w:rsidP="006C77C1">
            <w:pPr>
              <w:pStyle w:val="Sansinterligne"/>
              <w:numPr>
                <w:ilvl w:val="0"/>
                <w:numId w:val="317"/>
              </w:numPr>
            </w:pPr>
            <w:r>
              <w:t>Hispaniques</w:t>
            </w:r>
          </w:p>
          <w:p w:rsidR="00FB1FA6" w:rsidRDefault="00FB1FA6" w:rsidP="006C77C1">
            <w:pPr>
              <w:pStyle w:val="Sansinterligne"/>
              <w:numPr>
                <w:ilvl w:val="0"/>
                <w:numId w:val="317"/>
              </w:numPr>
            </w:pPr>
            <w:r>
              <w:t>Mariée / couple</w:t>
            </w:r>
          </w:p>
          <w:p w:rsidR="00FB1FA6" w:rsidRDefault="00FB1FA6" w:rsidP="006C77C1">
            <w:pPr>
              <w:pStyle w:val="Sansinterligne"/>
              <w:numPr>
                <w:ilvl w:val="0"/>
                <w:numId w:val="317"/>
              </w:numPr>
            </w:pPr>
            <w:r>
              <w:t>ATCD dépression</w:t>
            </w:r>
          </w:p>
        </w:tc>
        <w:tc>
          <w:tcPr>
            <w:tcW w:w="4311" w:type="dxa"/>
          </w:tcPr>
          <w:p w:rsidR="004E6925" w:rsidRDefault="00FB1FA6" w:rsidP="006C77C1">
            <w:pPr>
              <w:pStyle w:val="Sansinterligne"/>
              <w:numPr>
                <w:ilvl w:val="0"/>
                <w:numId w:val="315"/>
              </w:numPr>
            </w:pPr>
            <w:r>
              <w:t>Douleur vestibulaire ou vulvaire</w:t>
            </w:r>
            <w:r w:rsidR="00B41D28">
              <w:t xml:space="preserve"> (introitus)</w:t>
            </w:r>
          </w:p>
          <w:p w:rsidR="00FB1FA6" w:rsidRDefault="00FB1FA6" w:rsidP="006C77C1">
            <w:pPr>
              <w:pStyle w:val="Sansinterligne"/>
              <w:numPr>
                <w:ilvl w:val="0"/>
                <w:numId w:val="315"/>
              </w:numPr>
            </w:pPr>
            <w:r>
              <w:t>Dyspareunie</w:t>
            </w:r>
          </w:p>
          <w:p w:rsidR="00FB1FA6" w:rsidRDefault="00FB1FA6" w:rsidP="006C77C1">
            <w:pPr>
              <w:pStyle w:val="Sansinterligne"/>
              <w:numPr>
                <w:ilvl w:val="0"/>
                <w:numId w:val="315"/>
              </w:numPr>
            </w:pPr>
            <w:r>
              <w:t>Apparition subite, constante</w:t>
            </w:r>
          </w:p>
          <w:p w:rsidR="00FB1FA6" w:rsidRDefault="00FB1FA6" w:rsidP="006C77C1">
            <w:pPr>
              <w:pStyle w:val="Sansinterligne"/>
              <w:numPr>
                <w:ilvl w:val="0"/>
                <w:numId w:val="315"/>
              </w:numPr>
            </w:pPr>
            <w:r>
              <w:t>Érythème vestibulaire</w:t>
            </w:r>
          </w:p>
        </w:tc>
      </w:tr>
      <w:tr w:rsidR="004E6925" w:rsidTr="00A76E1A">
        <w:tc>
          <w:tcPr>
            <w:tcW w:w="3227" w:type="dxa"/>
            <w:vAlign w:val="center"/>
          </w:tcPr>
          <w:p w:rsidR="004E6925" w:rsidRPr="00BE63E1" w:rsidRDefault="004E6925" w:rsidP="00754DEA">
            <w:pPr>
              <w:pStyle w:val="Sansinterligne"/>
              <w:jc w:val="center"/>
            </w:pPr>
            <w:r w:rsidRPr="00BE63E1">
              <w:t>Cervicite</w:t>
            </w:r>
          </w:p>
        </w:tc>
        <w:tc>
          <w:tcPr>
            <w:tcW w:w="3402" w:type="dxa"/>
          </w:tcPr>
          <w:p w:rsidR="004E6925" w:rsidRPr="00BE63E1" w:rsidRDefault="00D42505" w:rsidP="006C77C1">
            <w:pPr>
              <w:pStyle w:val="Sansinterligne"/>
              <w:numPr>
                <w:ilvl w:val="0"/>
                <w:numId w:val="319"/>
              </w:numPr>
            </w:pPr>
            <w:r w:rsidRPr="00BE63E1">
              <w:t>Chlamydia trachomatis</w:t>
            </w:r>
          </w:p>
          <w:p w:rsidR="00D42505" w:rsidRPr="00BE63E1" w:rsidRDefault="00D42505" w:rsidP="006C77C1">
            <w:pPr>
              <w:pStyle w:val="Sansinterligne"/>
              <w:numPr>
                <w:ilvl w:val="0"/>
                <w:numId w:val="319"/>
              </w:numPr>
            </w:pPr>
            <w:r w:rsidRPr="00BE63E1">
              <w:t>Neisseir</w:t>
            </w:r>
            <w:r w:rsidR="00F72872">
              <w:t>i</w:t>
            </w:r>
            <w:r w:rsidRPr="00BE63E1">
              <w:t>a gonorrhea</w:t>
            </w:r>
          </w:p>
          <w:p w:rsidR="00876164" w:rsidRPr="00BE63E1" w:rsidRDefault="00876164" w:rsidP="006C77C1">
            <w:pPr>
              <w:pStyle w:val="Sansinterligne"/>
              <w:numPr>
                <w:ilvl w:val="0"/>
                <w:numId w:val="319"/>
              </w:numPr>
            </w:pPr>
            <w:r w:rsidRPr="00BE63E1">
              <w:t>Trichomonase</w:t>
            </w:r>
          </w:p>
          <w:p w:rsidR="00D42505" w:rsidRPr="00BE63E1" w:rsidRDefault="00D42505" w:rsidP="006C77C1">
            <w:pPr>
              <w:pStyle w:val="Sansinterligne"/>
              <w:numPr>
                <w:ilvl w:val="0"/>
                <w:numId w:val="319"/>
              </w:numPr>
            </w:pPr>
            <w:r w:rsidRPr="00BE63E1">
              <w:t>Irritation chimique ou traumatique</w:t>
            </w:r>
          </w:p>
        </w:tc>
        <w:tc>
          <w:tcPr>
            <w:tcW w:w="4311" w:type="dxa"/>
          </w:tcPr>
          <w:p w:rsidR="004E6925" w:rsidRPr="00BE63E1" w:rsidRDefault="00D42505" w:rsidP="006C77C1">
            <w:pPr>
              <w:pStyle w:val="Sansinterligne"/>
              <w:numPr>
                <w:ilvl w:val="0"/>
                <w:numId w:val="312"/>
              </w:numPr>
            </w:pPr>
            <w:r w:rsidRPr="00BE63E1">
              <w:t>Écoulement purulent</w:t>
            </w:r>
          </w:p>
          <w:p w:rsidR="00D42505" w:rsidRPr="00BE63E1" w:rsidRDefault="00D42505" w:rsidP="006C77C1">
            <w:pPr>
              <w:pStyle w:val="Sansinterligne"/>
              <w:numPr>
                <w:ilvl w:val="0"/>
                <w:numId w:val="312"/>
              </w:numPr>
            </w:pPr>
            <w:r w:rsidRPr="00BE63E1">
              <w:t>Saignements post-coitaux ou intermenstruels</w:t>
            </w:r>
          </w:p>
          <w:p w:rsidR="00D42505" w:rsidRPr="00BE63E1" w:rsidRDefault="00D42505" w:rsidP="006C77C1">
            <w:pPr>
              <w:pStyle w:val="Sansinterligne"/>
              <w:numPr>
                <w:ilvl w:val="0"/>
                <w:numId w:val="312"/>
              </w:numPr>
            </w:pPr>
            <w:r w:rsidRPr="00BE63E1">
              <w:t>Dyspareunie</w:t>
            </w:r>
          </w:p>
          <w:p w:rsidR="00D42505" w:rsidRPr="00BE63E1" w:rsidRDefault="00D42505" w:rsidP="006C77C1">
            <w:pPr>
              <w:pStyle w:val="Sansinterligne"/>
              <w:numPr>
                <w:ilvl w:val="0"/>
                <w:numId w:val="312"/>
              </w:numPr>
            </w:pPr>
            <w:r w:rsidRPr="00BE63E1">
              <w:t>Dysurie</w:t>
            </w:r>
          </w:p>
          <w:p w:rsidR="00D108A4" w:rsidRPr="00BE63E1" w:rsidRDefault="00F55D6F" w:rsidP="006C77C1">
            <w:pPr>
              <w:pStyle w:val="Sansinterligne"/>
              <w:numPr>
                <w:ilvl w:val="0"/>
                <w:numId w:val="312"/>
              </w:numPr>
            </w:pPr>
            <w:r w:rsidRPr="00BE63E1">
              <w:t xml:space="preserve">Sensibilité du col à la mobilisation </w:t>
            </w:r>
            <w:r w:rsidR="00876164" w:rsidRPr="00BE63E1">
              <w:t xml:space="preserve">Pétéchies (fraise) </w:t>
            </w:r>
            <w:r w:rsidR="00D108A4" w:rsidRPr="00BE63E1">
              <w:t>–</w:t>
            </w:r>
            <w:r w:rsidR="00876164" w:rsidRPr="00BE63E1">
              <w:t xml:space="preserve"> Trichomonase</w:t>
            </w:r>
          </w:p>
        </w:tc>
      </w:tr>
    </w:tbl>
    <w:p w:rsidR="00346857" w:rsidRDefault="00346857" w:rsidP="003208BE">
      <w:pPr>
        <w:pStyle w:val="Sansinterligne"/>
      </w:pPr>
    </w:p>
    <w:p w:rsidR="00346857" w:rsidRDefault="00346857" w:rsidP="003208BE">
      <w:pPr>
        <w:pStyle w:val="Sansinterligne"/>
      </w:pPr>
    </w:p>
    <w:tbl>
      <w:tblPr>
        <w:tblStyle w:val="Grilledutableau"/>
        <w:tblW w:w="0" w:type="auto"/>
        <w:tblLook w:val="04A0" w:firstRow="1" w:lastRow="0" w:firstColumn="1" w:lastColumn="0" w:noHBand="0" w:noVBand="1"/>
      </w:tblPr>
      <w:tblGrid>
        <w:gridCol w:w="3227"/>
        <w:gridCol w:w="3402"/>
        <w:gridCol w:w="4311"/>
      </w:tblGrid>
      <w:tr w:rsidR="00A324B0" w:rsidTr="002A1F06">
        <w:tc>
          <w:tcPr>
            <w:tcW w:w="10940" w:type="dxa"/>
            <w:gridSpan w:val="3"/>
            <w:shd w:val="clear" w:color="auto" w:fill="B2A1C7" w:themeFill="accent4" w:themeFillTint="99"/>
          </w:tcPr>
          <w:p w:rsidR="00A324B0" w:rsidRPr="000B30ED" w:rsidRDefault="0044547C" w:rsidP="000B30ED">
            <w:pPr>
              <w:pStyle w:val="Sansinterligne"/>
              <w:jc w:val="center"/>
              <w:rPr>
                <w:i/>
              </w:rPr>
            </w:pPr>
            <w:r w:rsidRPr="000B30ED">
              <w:rPr>
                <w:i/>
              </w:rPr>
              <w:t>Douleur d’origine gastro-intestinale</w:t>
            </w:r>
          </w:p>
        </w:tc>
      </w:tr>
      <w:tr w:rsidR="003208BE" w:rsidTr="00A76E1A">
        <w:tc>
          <w:tcPr>
            <w:tcW w:w="3227" w:type="dxa"/>
          </w:tcPr>
          <w:p w:rsidR="003208BE" w:rsidRPr="000B30ED" w:rsidRDefault="003208BE" w:rsidP="000B30ED">
            <w:pPr>
              <w:pStyle w:val="Sansinterligne"/>
              <w:jc w:val="center"/>
              <w:rPr>
                <w:u w:val="single"/>
              </w:rPr>
            </w:pPr>
            <w:r w:rsidRPr="000B30ED">
              <w:rPr>
                <w:u w:val="single"/>
              </w:rPr>
              <w:t>Diagnostic</w:t>
            </w:r>
          </w:p>
        </w:tc>
        <w:tc>
          <w:tcPr>
            <w:tcW w:w="3402" w:type="dxa"/>
          </w:tcPr>
          <w:p w:rsidR="003208BE" w:rsidRPr="000B30ED" w:rsidRDefault="003208BE" w:rsidP="000B30ED">
            <w:pPr>
              <w:pStyle w:val="Sansinterligne"/>
              <w:jc w:val="center"/>
              <w:rPr>
                <w:u w:val="single"/>
              </w:rPr>
            </w:pPr>
            <w:r w:rsidRPr="000B30ED">
              <w:rPr>
                <w:u w:val="single"/>
              </w:rPr>
              <w:t>Facteurs de risque</w:t>
            </w:r>
          </w:p>
        </w:tc>
        <w:tc>
          <w:tcPr>
            <w:tcW w:w="4311" w:type="dxa"/>
          </w:tcPr>
          <w:p w:rsidR="003208BE" w:rsidRPr="000B30ED" w:rsidRDefault="003208BE" w:rsidP="000B30ED">
            <w:pPr>
              <w:pStyle w:val="Sansinterligne"/>
              <w:jc w:val="center"/>
              <w:rPr>
                <w:u w:val="single"/>
              </w:rPr>
            </w:pPr>
            <w:r w:rsidRPr="000B30ED">
              <w:rPr>
                <w:u w:val="single"/>
              </w:rPr>
              <w:t>Manifestations cliniques</w:t>
            </w:r>
          </w:p>
        </w:tc>
      </w:tr>
      <w:tr w:rsidR="001C248B" w:rsidTr="00A76E1A">
        <w:tc>
          <w:tcPr>
            <w:tcW w:w="3227" w:type="dxa"/>
            <w:vAlign w:val="center"/>
          </w:tcPr>
          <w:p w:rsidR="001C248B" w:rsidRPr="001C248B" w:rsidRDefault="001C248B" w:rsidP="00F00364">
            <w:pPr>
              <w:pStyle w:val="Sansinterligne"/>
              <w:jc w:val="center"/>
            </w:pPr>
            <w:r w:rsidRPr="004D4393">
              <w:rPr>
                <w:highlight w:val="yellow"/>
              </w:rPr>
              <w:t>Appendicite</w:t>
            </w:r>
          </w:p>
        </w:tc>
        <w:tc>
          <w:tcPr>
            <w:tcW w:w="7713" w:type="dxa"/>
            <w:gridSpan w:val="2"/>
          </w:tcPr>
          <w:p w:rsidR="001C248B" w:rsidRPr="001C248B" w:rsidRDefault="001C248B" w:rsidP="006C77C1">
            <w:pPr>
              <w:pStyle w:val="Sansinterligne"/>
              <w:numPr>
                <w:ilvl w:val="0"/>
                <w:numId w:val="310"/>
              </w:numPr>
            </w:pPr>
            <w:r w:rsidRPr="001C248B">
              <w:t xml:space="preserve">Voir </w:t>
            </w:r>
            <w:r w:rsidRPr="001C248B">
              <w:rPr>
                <w:i/>
              </w:rPr>
              <w:t>Douleur abdominale aigue CMC 3-2</w:t>
            </w:r>
          </w:p>
        </w:tc>
      </w:tr>
      <w:tr w:rsidR="003208BE" w:rsidTr="00A76E1A">
        <w:tc>
          <w:tcPr>
            <w:tcW w:w="3227" w:type="dxa"/>
            <w:vAlign w:val="center"/>
          </w:tcPr>
          <w:p w:rsidR="003208BE" w:rsidRDefault="003208BE" w:rsidP="00F00364">
            <w:pPr>
              <w:pStyle w:val="Sansinterligne"/>
              <w:jc w:val="center"/>
            </w:pPr>
            <w:r w:rsidRPr="00B25AC2">
              <w:rPr>
                <w:highlight w:val="yellow"/>
              </w:rPr>
              <w:t>Syndrome du côlon irritable</w:t>
            </w:r>
          </w:p>
        </w:tc>
        <w:tc>
          <w:tcPr>
            <w:tcW w:w="3402" w:type="dxa"/>
          </w:tcPr>
          <w:p w:rsidR="003208BE" w:rsidRDefault="00F514FA" w:rsidP="00B25AC2">
            <w:pPr>
              <w:pStyle w:val="Sansinterligne"/>
            </w:pPr>
            <w:r w:rsidRPr="00B25AC2">
              <w:rPr>
                <w:highlight w:val="yellow"/>
              </w:rPr>
              <w:t>Diagnostic d’exclusion</w:t>
            </w:r>
          </w:p>
          <w:p w:rsidR="00690F7F" w:rsidRDefault="00690F7F" w:rsidP="006C77C1">
            <w:pPr>
              <w:pStyle w:val="Sansinterligne"/>
              <w:numPr>
                <w:ilvl w:val="0"/>
                <w:numId w:val="311"/>
              </w:numPr>
            </w:pPr>
            <w:r>
              <w:t>50% avant 35 ans</w:t>
            </w:r>
          </w:p>
          <w:p w:rsidR="00690F7F" w:rsidRDefault="00690F7F" w:rsidP="006C77C1">
            <w:pPr>
              <w:pStyle w:val="Sansinterligne"/>
              <w:numPr>
                <w:ilvl w:val="0"/>
                <w:numId w:val="311"/>
              </w:numPr>
            </w:pPr>
            <w:r>
              <w:t>+ fréquent chez Caucasiens</w:t>
            </w:r>
          </w:p>
          <w:p w:rsidR="00690F7F" w:rsidRPr="00F012F8" w:rsidRDefault="00AE5F7A" w:rsidP="006C77C1">
            <w:pPr>
              <w:pStyle w:val="Paragraphedeliste"/>
              <w:numPr>
                <w:ilvl w:val="0"/>
                <w:numId w:val="311"/>
              </w:numPr>
              <w:rPr>
                <w:rFonts w:cs="Times New Roman"/>
                <w:sz w:val="20"/>
                <w:szCs w:val="20"/>
              </w:rPr>
            </w:pPr>
            <w:hyperlink r:id="rId234" w:tooltip="♂" w:history="1">
              <w:r w:rsidR="00690F7F" w:rsidRPr="00F012F8">
                <w:rPr>
                  <w:rStyle w:val="Lienhypertexte"/>
                  <w:rFonts w:cs="Times New Roman"/>
                  <w:color w:val="0B0080"/>
                  <w:sz w:val="20"/>
                  <w:szCs w:val="20"/>
                  <w:u w:val="none"/>
                  <w:shd w:val="clear" w:color="auto" w:fill="FFFFFF"/>
                </w:rPr>
                <w:t>♂</w:t>
              </w:r>
            </w:hyperlink>
            <w:r w:rsidR="00690F7F" w:rsidRPr="00F012F8">
              <w:rPr>
                <w:rStyle w:val="Lienhypertexte"/>
                <w:rFonts w:cs="Times New Roman"/>
                <w:color w:val="0B0080"/>
                <w:sz w:val="20"/>
                <w:szCs w:val="20"/>
                <w:u w:val="none"/>
                <w:shd w:val="clear" w:color="auto" w:fill="FFFFFF"/>
              </w:rPr>
              <w:t>=</w:t>
            </w:r>
            <w:r w:rsidR="00690F7F" w:rsidRPr="00F012F8">
              <w:rPr>
                <w:rFonts w:cs="Times New Roman"/>
                <w:bCs/>
                <w:color w:val="252525"/>
                <w:sz w:val="20"/>
                <w:szCs w:val="20"/>
                <w:shd w:val="clear" w:color="auto" w:fill="FFFFFF"/>
              </w:rPr>
              <w:t>♀</w:t>
            </w:r>
          </w:p>
          <w:p w:rsidR="00690F7F" w:rsidRDefault="00690F7F" w:rsidP="00690F7F">
            <w:pPr>
              <w:pStyle w:val="Sansinterligne"/>
            </w:pPr>
          </w:p>
        </w:tc>
        <w:tc>
          <w:tcPr>
            <w:tcW w:w="4311" w:type="dxa"/>
          </w:tcPr>
          <w:p w:rsidR="003208BE" w:rsidRDefault="00F514FA" w:rsidP="006C77C1">
            <w:pPr>
              <w:pStyle w:val="Sansinterligne"/>
              <w:numPr>
                <w:ilvl w:val="0"/>
                <w:numId w:val="310"/>
              </w:numPr>
            </w:pPr>
            <w:r w:rsidRPr="00B25AC2">
              <w:rPr>
                <w:highlight w:val="yellow"/>
              </w:rPr>
              <w:t xml:space="preserve">Douleur </w:t>
            </w:r>
            <w:r w:rsidR="00825B8C" w:rsidRPr="00B25AC2">
              <w:rPr>
                <w:highlight w:val="yellow"/>
              </w:rPr>
              <w:t xml:space="preserve">soulagée par </w:t>
            </w:r>
            <w:r w:rsidRPr="00B25AC2">
              <w:rPr>
                <w:highlight w:val="yellow"/>
              </w:rPr>
              <w:t>la défécation</w:t>
            </w:r>
          </w:p>
          <w:p w:rsidR="00825B8C" w:rsidRDefault="00825B8C" w:rsidP="006C77C1">
            <w:pPr>
              <w:pStyle w:val="Sansinterligne"/>
              <w:numPr>
                <w:ilvl w:val="0"/>
                <w:numId w:val="310"/>
              </w:numPr>
            </w:pPr>
            <w:r>
              <w:t>Urgence fécale</w:t>
            </w:r>
          </w:p>
          <w:p w:rsidR="00825B8C" w:rsidRDefault="00825B8C" w:rsidP="006C77C1">
            <w:pPr>
              <w:pStyle w:val="Sansinterligne"/>
              <w:numPr>
                <w:ilvl w:val="0"/>
                <w:numId w:val="310"/>
              </w:numPr>
            </w:pPr>
            <w:r>
              <w:t>Ballonnement</w:t>
            </w:r>
          </w:p>
          <w:p w:rsidR="00690F7F" w:rsidRDefault="00825B8C" w:rsidP="006C77C1">
            <w:pPr>
              <w:pStyle w:val="Sansinterligne"/>
              <w:numPr>
                <w:ilvl w:val="0"/>
                <w:numId w:val="310"/>
              </w:numPr>
            </w:pPr>
            <w:r>
              <w:t>Sensation de vidange incomplète</w:t>
            </w:r>
          </w:p>
          <w:p w:rsidR="00F514FA" w:rsidRPr="00B25AC2" w:rsidRDefault="00F514FA" w:rsidP="006C77C1">
            <w:pPr>
              <w:pStyle w:val="Sansinterligne"/>
              <w:numPr>
                <w:ilvl w:val="0"/>
                <w:numId w:val="310"/>
              </w:numPr>
              <w:rPr>
                <w:highlight w:val="yellow"/>
              </w:rPr>
            </w:pPr>
            <w:r w:rsidRPr="00B25AC2">
              <w:rPr>
                <w:highlight w:val="yellow"/>
              </w:rPr>
              <w:t>Modification des selles, alternance diarrhée/constipation</w:t>
            </w:r>
            <w:r w:rsidR="00690F7F" w:rsidRPr="00B25AC2">
              <w:rPr>
                <w:highlight w:val="yellow"/>
              </w:rPr>
              <w:t>, mucus</w:t>
            </w:r>
          </w:p>
          <w:p w:rsidR="00825B8C" w:rsidRDefault="00690F7F" w:rsidP="006C77C1">
            <w:pPr>
              <w:pStyle w:val="Sansinterligne"/>
              <w:numPr>
                <w:ilvl w:val="0"/>
                <w:numId w:val="310"/>
              </w:numPr>
            </w:pPr>
            <w:r w:rsidRPr="00B25AC2">
              <w:rPr>
                <w:highlight w:val="yellow"/>
              </w:rPr>
              <w:t>Symptômes diurnes seulement</w:t>
            </w:r>
          </w:p>
        </w:tc>
      </w:tr>
      <w:tr w:rsidR="00E17FEA" w:rsidTr="00A76E1A">
        <w:tc>
          <w:tcPr>
            <w:tcW w:w="3227" w:type="dxa"/>
            <w:vAlign w:val="center"/>
          </w:tcPr>
          <w:p w:rsidR="00E17FEA" w:rsidRDefault="00E17FEA" w:rsidP="00F00364">
            <w:pPr>
              <w:pStyle w:val="Sansinterligne"/>
              <w:jc w:val="center"/>
            </w:pPr>
            <w:r>
              <w:t>Hernie inguinale incarcérée</w:t>
            </w:r>
          </w:p>
        </w:tc>
        <w:tc>
          <w:tcPr>
            <w:tcW w:w="7713" w:type="dxa"/>
            <w:gridSpan w:val="2"/>
          </w:tcPr>
          <w:p w:rsidR="00E17FEA" w:rsidRDefault="00E17FEA" w:rsidP="000926C0">
            <w:pPr>
              <w:pStyle w:val="Sansinterligne"/>
            </w:pPr>
            <w:r>
              <w:t xml:space="preserve">Voir </w:t>
            </w:r>
            <w:r w:rsidR="000926C0">
              <w:rPr>
                <w:i/>
              </w:rPr>
              <w:t>Hernie de la paroi abdominale et hernie inguinale</w:t>
            </w:r>
            <w:r w:rsidRPr="00E17FEA">
              <w:rPr>
                <w:i/>
              </w:rPr>
              <w:t xml:space="preserve"> CMC </w:t>
            </w:r>
            <w:r w:rsidR="000926C0">
              <w:rPr>
                <w:i/>
              </w:rPr>
              <w:t>2</w:t>
            </w:r>
            <w:r w:rsidRPr="00E17FEA">
              <w:rPr>
                <w:i/>
              </w:rPr>
              <w:t>-</w:t>
            </w:r>
            <w:r w:rsidR="000926C0">
              <w:rPr>
                <w:i/>
              </w:rPr>
              <w:t>4</w:t>
            </w:r>
          </w:p>
        </w:tc>
      </w:tr>
      <w:tr w:rsidR="00E17FEA" w:rsidTr="00A76E1A">
        <w:tc>
          <w:tcPr>
            <w:tcW w:w="3227" w:type="dxa"/>
            <w:vAlign w:val="center"/>
          </w:tcPr>
          <w:p w:rsidR="00E17FEA" w:rsidRDefault="00E17FEA" w:rsidP="00F00364">
            <w:pPr>
              <w:pStyle w:val="Sansinterligne"/>
              <w:jc w:val="center"/>
            </w:pPr>
            <w:r>
              <w:t>Diverticulite</w:t>
            </w:r>
          </w:p>
        </w:tc>
        <w:tc>
          <w:tcPr>
            <w:tcW w:w="7713" w:type="dxa"/>
            <w:gridSpan w:val="2"/>
          </w:tcPr>
          <w:p w:rsidR="00E17FEA" w:rsidRDefault="00E17FEA" w:rsidP="003208BE">
            <w:pPr>
              <w:pStyle w:val="Sansinterligne"/>
            </w:pPr>
            <w:r>
              <w:t xml:space="preserve">Voir </w:t>
            </w:r>
            <w:r w:rsidRPr="00E17FEA">
              <w:rPr>
                <w:i/>
              </w:rPr>
              <w:t>Douleur abdominale aigue CMC 3-2</w:t>
            </w:r>
          </w:p>
        </w:tc>
      </w:tr>
      <w:tr w:rsidR="003208BE" w:rsidTr="00A76E1A">
        <w:tc>
          <w:tcPr>
            <w:tcW w:w="3227" w:type="dxa"/>
            <w:vAlign w:val="center"/>
          </w:tcPr>
          <w:p w:rsidR="003208BE" w:rsidRDefault="003208BE" w:rsidP="00E64124">
            <w:pPr>
              <w:pStyle w:val="Sansinterligne"/>
              <w:jc w:val="center"/>
            </w:pPr>
            <w:r>
              <w:t>Mal</w:t>
            </w:r>
            <w:r w:rsidR="00E64124">
              <w:t xml:space="preserve">adies inflammatoires intestinales </w:t>
            </w:r>
          </w:p>
        </w:tc>
        <w:tc>
          <w:tcPr>
            <w:tcW w:w="7713" w:type="dxa"/>
            <w:gridSpan w:val="2"/>
          </w:tcPr>
          <w:p w:rsidR="003208BE" w:rsidRDefault="003208BE" w:rsidP="003208BE">
            <w:pPr>
              <w:pStyle w:val="Sansinterligne"/>
            </w:pPr>
            <w:r>
              <w:t xml:space="preserve">Voir </w:t>
            </w:r>
            <w:r w:rsidRPr="0044547C">
              <w:rPr>
                <w:i/>
              </w:rPr>
              <w:t>Hémorragie digestive basse CMC 6-2</w:t>
            </w:r>
          </w:p>
        </w:tc>
      </w:tr>
      <w:tr w:rsidR="003208BE" w:rsidTr="002A1F06">
        <w:tc>
          <w:tcPr>
            <w:tcW w:w="10940" w:type="dxa"/>
            <w:gridSpan w:val="3"/>
            <w:shd w:val="clear" w:color="auto" w:fill="B2A1C7" w:themeFill="accent4" w:themeFillTint="99"/>
          </w:tcPr>
          <w:p w:rsidR="003208BE" w:rsidRPr="000B30ED" w:rsidRDefault="003208BE" w:rsidP="000B30ED">
            <w:pPr>
              <w:pStyle w:val="Sansinterligne"/>
              <w:jc w:val="center"/>
              <w:rPr>
                <w:i/>
              </w:rPr>
            </w:pPr>
            <w:r w:rsidRPr="000B30ED">
              <w:rPr>
                <w:i/>
              </w:rPr>
              <w:t>Douleurs d’origine urologiques</w:t>
            </w:r>
          </w:p>
        </w:tc>
      </w:tr>
      <w:tr w:rsidR="003208BE" w:rsidTr="00A76E1A">
        <w:tc>
          <w:tcPr>
            <w:tcW w:w="3227" w:type="dxa"/>
            <w:vAlign w:val="center"/>
          </w:tcPr>
          <w:p w:rsidR="003208BE" w:rsidRDefault="003208BE" w:rsidP="00F00364">
            <w:pPr>
              <w:pStyle w:val="Sansinterligne"/>
              <w:jc w:val="center"/>
            </w:pPr>
            <w:r>
              <w:t>Colique néphrétique</w:t>
            </w:r>
          </w:p>
        </w:tc>
        <w:tc>
          <w:tcPr>
            <w:tcW w:w="7713" w:type="dxa"/>
            <w:gridSpan w:val="2"/>
          </w:tcPr>
          <w:p w:rsidR="003208BE" w:rsidRDefault="003208BE" w:rsidP="003208BE">
            <w:pPr>
              <w:pStyle w:val="Sansinterligne"/>
            </w:pPr>
            <w:r>
              <w:t xml:space="preserve">Voir </w:t>
            </w:r>
            <w:r>
              <w:rPr>
                <w:i/>
              </w:rPr>
              <w:t>Douleur abdominale aigue</w:t>
            </w:r>
            <w:r w:rsidRPr="0044547C">
              <w:rPr>
                <w:i/>
              </w:rPr>
              <w:t xml:space="preserve"> CMC </w:t>
            </w:r>
            <w:r>
              <w:rPr>
                <w:i/>
              </w:rPr>
              <w:t>3</w:t>
            </w:r>
            <w:r w:rsidRPr="0044547C">
              <w:rPr>
                <w:i/>
              </w:rPr>
              <w:t>-2</w:t>
            </w:r>
          </w:p>
        </w:tc>
      </w:tr>
      <w:tr w:rsidR="003208BE" w:rsidTr="00A76E1A">
        <w:tc>
          <w:tcPr>
            <w:tcW w:w="3227" w:type="dxa"/>
            <w:vAlign w:val="center"/>
          </w:tcPr>
          <w:p w:rsidR="003208BE" w:rsidRDefault="003208BE" w:rsidP="00F00364">
            <w:pPr>
              <w:pStyle w:val="Sansinterligne"/>
              <w:jc w:val="center"/>
            </w:pPr>
            <w:r>
              <w:t>Cystite interstitielle</w:t>
            </w:r>
          </w:p>
        </w:tc>
        <w:tc>
          <w:tcPr>
            <w:tcW w:w="3402" w:type="dxa"/>
          </w:tcPr>
          <w:p w:rsidR="003208BE" w:rsidRPr="00F00364" w:rsidRDefault="00F73B3D" w:rsidP="003208BE">
            <w:pPr>
              <w:pStyle w:val="Sansinterligne"/>
              <w:rPr>
                <w:u w:val="single"/>
              </w:rPr>
            </w:pPr>
            <w:r w:rsidRPr="00F00364">
              <w:rPr>
                <w:u w:val="single"/>
              </w:rPr>
              <w:t>Diagnostic d’exclusion</w:t>
            </w:r>
          </w:p>
          <w:p w:rsidR="00F73B3D" w:rsidRPr="00F00364" w:rsidRDefault="00F73B3D" w:rsidP="00F73B3D">
            <w:pPr>
              <w:pStyle w:val="Paragraphedeliste"/>
              <w:numPr>
                <w:ilvl w:val="0"/>
                <w:numId w:val="57"/>
              </w:numPr>
              <w:rPr>
                <w:rFonts w:cs="Times New Roman"/>
              </w:rPr>
            </w:pPr>
            <w:r w:rsidRPr="00F00364">
              <w:rPr>
                <w:rFonts w:cs="Times New Roman"/>
                <w:bCs/>
                <w:color w:val="252525"/>
                <w:shd w:val="clear" w:color="auto" w:fill="FFFFFF"/>
              </w:rPr>
              <w:t xml:space="preserve">♀ </w:t>
            </w:r>
          </w:p>
          <w:p w:rsidR="00F73B3D" w:rsidRPr="00F00364" w:rsidRDefault="00F73B3D" w:rsidP="00F73B3D">
            <w:pPr>
              <w:pStyle w:val="Paragraphedeliste"/>
              <w:numPr>
                <w:ilvl w:val="0"/>
                <w:numId w:val="57"/>
              </w:numPr>
              <w:rPr>
                <w:rFonts w:cs="Times New Roman"/>
              </w:rPr>
            </w:pPr>
            <w:r w:rsidRPr="00F00364">
              <w:rPr>
                <w:rFonts w:cs="Times New Roman"/>
                <w:bCs/>
                <w:color w:val="252525"/>
                <w:shd w:val="clear" w:color="auto" w:fill="FFFFFF"/>
              </w:rPr>
              <w:t>Race blanche</w:t>
            </w:r>
          </w:p>
          <w:p w:rsidR="00F73B3D" w:rsidRPr="00F00364" w:rsidRDefault="00F73B3D" w:rsidP="00F73B3D">
            <w:pPr>
              <w:pStyle w:val="Paragraphedeliste"/>
              <w:numPr>
                <w:ilvl w:val="0"/>
                <w:numId w:val="57"/>
              </w:numPr>
              <w:rPr>
                <w:rFonts w:cs="Times New Roman"/>
              </w:rPr>
            </w:pPr>
            <w:r w:rsidRPr="00F00364">
              <w:rPr>
                <w:rFonts w:cs="Times New Roman"/>
                <w:bCs/>
                <w:color w:val="252525"/>
                <w:shd w:val="clear" w:color="auto" w:fill="FFFFFF"/>
              </w:rPr>
              <w:t>Tabagisme</w:t>
            </w:r>
          </w:p>
          <w:p w:rsidR="00F73B3D" w:rsidRPr="00F00364" w:rsidRDefault="00F73B3D" w:rsidP="00F73B3D">
            <w:pPr>
              <w:pStyle w:val="Paragraphedeliste"/>
              <w:numPr>
                <w:ilvl w:val="0"/>
                <w:numId w:val="57"/>
              </w:numPr>
              <w:rPr>
                <w:rFonts w:cs="Times New Roman"/>
              </w:rPr>
            </w:pPr>
            <w:r w:rsidRPr="00F00364">
              <w:rPr>
                <w:rFonts w:cs="Times New Roman"/>
                <w:bCs/>
                <w:color w:val="252525"/>
                <w:shd w:val="clear" w:color="auto" w:fill="FFFFFF"/>
              </w:rPr>
              <w:t xml:space="preserve">Âge = 40aine </w:t>
            </w:r>
          </w:p>
          <w:p w:rsidR="00F73B3D" w:rsidRPr="00F00364" w:rsidRDefault="00F73B3D" w:rsidP="003208BE">
            <w:pPr>
              <w:pStyle w:val="Paragraphedeliste"/>
              <w:numPr>
                <w:ilvl w:val="0"/>
                <w:numId w:val="57"/>
              </w:numPr>
              <w:rPr>
                <w:rFonts w:cs="Times New Roman"/>
              </w:rPr>
            </w:pPr>
            <w:r w:rsidRPr="00F00364">
              <w:rPr>
                <w:rFonts w:cs="Times New Roman"/>
                <w:bCs/>
                <w:color w:val="252525"/>
                <w:shd w:val="clear" w:color="auto" w:fill="FFFFFF"/>
              </w:rPr>
              <w:t xml:space="preserve">Associée </w:t>
            </w:r>
            <w:r w:rsidR="00AF07D5">
              <w:rPr>
                <w:rFonts w:cs="Times New Roman"/>
                <w:bCs/>
                <w:color w:val="252525"/>
                <w:shd w:val="clear" w:color="auto" w:fill="FFFFFF"/>
              </w:rPr>
              <w:t>à SCI, Fibromyalgie</w:t>
            </w:r>
            <w:r w:rsidRPr="00F00364">
              <w:rPr>
                <w:rFonts w:cs="Times New Roman"/>
                <w:bCs/>
                <w:color w:val="252525"/>
                <w:shd w:val="clear" w:color="auto" w:fill="FFFFFF"/>
              </w:rPr>
              <w:t xml:space="preserve"> </w:t>
            </w:r>
          </w:p>
        </w:tc>
        <w:tc>
          <w:tcPr>
            <w:tcW w:w="4311" w:type="dxa"/>
          </w:tcPr>
          <w:p w:rsidR="003208BE" w:rsidRDefault="006A6688" w:rsidP="006C77C1">
            <w:pPr>
              <w:pStyle w:val="Sansinterligne"/>
              <w:numPr>
                <w:ilvl w:val="0"/>
                <w:numId w:val="307"/>
              </w:numPr>
            </w:pPr>
            <w:r>
              <w:t>Douleur supra-pubienne, basse</w:t>
            </w:r>
          </w:p>
          <w:p w:rsidR="006A6688" w:rsidRDefault="006A6688" w:rsidP="006C77C1">
            <w:pPr>
              <w:pStyle w:val="Sansinterligne"/>
              <w:numPr>
                <w:ilvl w:val="0"/>
                <w:numId w:val="307"/>
              </w:numPr>
            </w:pPr>
            <w:r>
              <w:t>Exacerbée en prémenstruel</w:t>
            </w:r>
          </w:p>
          <w:p w:rsidR="006A6688" w:rsidRDefault="006A6688" w:rsidP="006C77C1">
            <w:pPr>
              <w:pStyle w:val="Sansinterligne"/>
              <w:numPr>
                <w:ilvl w:val="0"/>
                <w:numId w:val="307"/>
              </w:numPr>
            </w:pPr>
            <w:r>
              <w:t>Urgenturie</w:t>
            </w:r>
          </w:p>
          <w:p w:rsidR="006A6688" w:rsidRDefault="006A6688" w:rsidP="006C77C1">
            <w:pPr>
              <w:pStyle w:val="Sansinterligne"/>
              <w:numPr>
                <w:ilvl w:val="0"/>
                <w:numId w:val="307"/>
              </w:numPr>
            </w:pPr>
            <w:r>
              <w:t>Dysurie</w:t>
            </w:r>
          </w:p>
          <w:p w:rsidR="006A6688" w:rsidRDefault="006A6688" w:rsidP="006C77C1">
            <w:pPr>
              <w:pStyle w:val="Sansinterligne"/>
              <w:numPr>
                <w:ilvl w:val="0"/>
                <w:numId w:val="307"/>
              </w:numPr>
            </w:pPr>
            <w:r>
              <w:t>Pollakiurie</w:t>
            </w:r>
          </w:p>
          <w:p w:rsidR="006A6688" w:rsidRDefault="00F73B3D" w:rsidP="006C77C1">
            <w:pPr>
              <w:pStyle w:val="Sansinterligne"/>
              <w:numPr>
                <w:ilvl w:val="0"/>
                <w:numId w:val="307"/>
              </w:numPr>
            </w:pPr>
            <w:r>
              <w:t>S</w:t>
            </w:r>
            <w:r w:rsidR="006A6688">
              <w:t>oulagée par vidange vésicale</w:t>
            </w:r>
          </w:p>
        </w:tc>
      </w:tr>
      <w:tr w:rsidR="003208BE" w:rsidTr="002A1F06">
        <w:tc>
          <w:tcPr>
            <w:tcW w:w="10940" w:type="dxa"/>
            <w:gridSpan w:val="3"/>
            <w:shd w:val="clear" w:color="auto" w:fill="B2A1C7" w:themeFill="accent4" w:themeFillTint="99"/>
          </w:tcPr>
          <w:p w:rsidR="003208BE" w:rsidRPr="000B30ED" w:rsidRDefault="003208BE" w:rsidP="000B30ED">
            <w:pPr>
              <w:pStyle w:val="Sansinterligne"/>
              <w:jc w:val="center"/>
              <w:rPr>
                <w:i/>
              </w:rPr>
            </w:pPr>
            <w:r w:rsidRPr="000B30ED">
              <w:rPr>
                <w:i/>
              </w:rPr>
              <w:t>Santé mentale</w:t>
            </w:r>
          </w:p>
        </w:tc>
      </w:tr>
      <w:tr w:rsidR="003208BE" w:rsidTr="00A76E1A">
        <w:tc>
          <w:tcPr>
            <w:tcW w:w="3227" w:type="dxa"/>
            <w:shd w:val="clear" w:color="auto" w:fill="auto"/>
            <w:vAlign w:val="center"/>
          </w:tcPr>
          <w:p w:rsidR="003208BE" w:rsidRDefault="003208BE" w:rsidP="00F00364">
            <w:pPr>
              <w:pStyle w:val="Sansinterligne"/>
              <w:jc w:val="center"/>
            </w:pPr>
            <w:r>
              <w:t>Somatisation</w:t>
            </w:r>
          </w:p>
        </w:tc>
        <w:tc>
          <w:tcPr>
            <w:tcW w:w="3402" w:type="dxa"/>
          </w:tcPr>
          <w:p w:rsidR="003208BE" w:rsidRDefault="007D02C0" w:rsidP="00852AE0">
            <w:pPr>
              <w:pStyle w:val="Sansinterligne"/>
              <w:numPr>
                <w:ilvl w:val="0"/>
                <w:numId w:val="360"/>
              </w:numPr>
            </w:pPr>
            <w:r>
              <w:t>Diagnostic d’exclusion</w:t>
            </w:r>
          </w:p>
        </w:tc>
        <w:tc>
          <w:tcPr>
            <w:tcW w:w="4311" w:type="dxa"/>
          </w:tcPr>
          <w:p w:rsidR="003208BE" w:rsidRDefault="007D02C0" w:rsidP="00DB69F7">
            <w:pPr>
              <w:pStyle w:val="Sansinterligne"/>
              <w:numPr>
                <w:ilvl w:val="0"/>
                <w:numId w:val="339"/>
              </w:numPr>
            </w:pPr>
            <w:r>
              <w:t>Contexte psychosocial</w:t>
            </w:r>
          </w:p>
          <w:p w:rsidR="007D02C0" w:rsidRDefault="007D02C0" w:rsidP="00DB69F7">
            <w:pPr>
              <w:pStyle w:val="Sansinterligne"/>
              <w:numPr>
                <w:ilvl w:val="0"/>
                <w:numId w:val="339"/>
              </w:numPr>
            </w:pPr>
            <w:r>
              <w:t>Bénéfices secondaires</w:t>
            </w:r>
          </w:p>
        </w:tc>
      </w:tr>
      <w:tr w:rsidR="003208BE" w:rsidTr="00A76E1A">
        <w:tc>
          <w:tcPr>
            <w:tcW w:w="3227" w:type="dxa"/>
            <w:shd w:val="clear" w:color="auto" w:fill="auto"/>
            <w:vAlign w:val="center"/>
          </w:tcPr>
          <w:p w:rsidR="003208BE" w:rsidRDefault="003208BE" w:rsidP="00F00364">
            <w:pPr>
              <w:pStyle w:val="Sansinterligne"/>
              <w:jc w:val="center"/>
            </w:pPr>
            <w:r>
              <w:t>ATCD de sévices sexuels</w:t>
            </w:r>
          </w:p>
        </w:tc>
        <w:tc>
          <w:tcPr>
            <w:tcW w:w="3402" w:type="dxa"/>
          </w:tcPr>
          <w:p w:rsidR="003208BE" w:rsidRDefault="003208BE" w:rsidP="003208BE">
            <w:pPr>
              <w:pStyle w:val="Sansinterligne"/>
            </w:pPr>
            <w:r>
              <w:t>Ad 20% des douleurs pelviennes chroniques</w:t>
            </w:r>
          </w:p>
          <w:p w:rsidR="00FB611E" w:rsidRDefault="00FB611E" w:rsidP="003208BE">
            <w:pPr>
              <w:pStyle w:val="Sansinterligne"/>
            </w:pPr>
          </w:p>
          <w:p w:rsidR="00FB611E" w:rsidRDefault="00FB611E" w:rsidP="003208BE">
            <w:pPr>
              <w:pStyle w:val="Sansinterligne"/>
            </w:pPr>
            <w:r>
              <w:t xml:space="preserve">Voir </w:t>
            </w:r>
            <w:r w:rsidRPr="00FB611E">
              <w:rPr>
                <w:i/>
              </w:rPr>
              <w:t>Violence entre adultes ou partenaires intimes CMC 114-3</w:t>
            </w:r>
          </w:p>
        </w:tc>
        <w:tc>
          <w:tcPr>
            <w:tcW w:w="4311" w:type="dxa"/>
          </w:tcPr>
          <w:p w:rsidR="003208BE" w:rsidRDefault="0084406E" w:rsidP="006C77C1">
            <w:pPr>
              <w:pStyle w:val="Sansinterligne"/>
              <w:numPr>
                <w:ilvl w:val="0"/>
                <w:numId w:val="338"/>
              </w:numPr>
            </w:pPr>
            <w:r>
              <w:t>Plusieurs consultations</w:t>
            </w:r>
          </w:p>
          <w:p w:rsidR="0084406E" w:rsidRDefault="0084406E" w:rsidP="006C77C1">
            <w:pPr>
              <w:pStyle w:val="Sansinterligne"/>
              <w:numPr>
                <w:ilvl w:val="0"/>
                <w:numId w:val="338"/>
              </w:numPr>
            </w:pPr>
            <w:r>
              <w:t>Symptômes vagues</w:t>
            </w:r>
          </w:p>
          <w:p w:rsidR="0084406E" w:rsidRDefault="0084406E" w:rsidP="006C77C1">
            <w:pPr>
              <w:pStyle w:val="Sansinterligne"/>
              <w:numPr>
                <w:ilvl w:val="0"/>
                <w:numId w:val="338"/>
              </w:numPr>
            </w:pPr>
            <w:r>
              <w:t>Céphalées, insomnie, Sx G-I, douleur chronique, etc.</w:t>
            </w:r>
          </w:p>
          <w:p w:rsidR="00FB611E" w:rsidRDefault="0084406E" w:rsidP="006C77C1">
            <w:pPr>
              <w:pStyle w:val="Sansinterligne"/>
              <w:numPr>
                <w:ilvl w:val="0"/>
                <w:numId w:val="338"/>
              </w:numPr>
            </w:pPr>
            <w:r>
              <w:t>Si récent : chercher érythème, lésions génitales</w:t>
            </w:r>
          </w:p>
        </w:tc>
      </w:tr>
    </w:tbl>
    <w:p w:rsidR="00255A6D" w:rsidRDefault="00255A6D" w:rsidP="003208BE">
      <w:pPr>
        <w:pStyle w:val="Sansinterligne"/>
      </w:pPr>
    </w:p>
    <w:p w:rsidR="00255A6D" w:rsidRPr="003208BE" w:rsidRDefault="00065FC3" w:rsidP="003208BE">
      <w:pPr>
        <w:pStyle w:val="Sansinterligne"/>
        <w:rPr>
          <w:b/>
          <w:sz w:val="28"/>
          <w:szCs w:val="28"/>
        </w:rPr>
      </w:pPr>
      <w:r w:rsidRPr="00D94410">
        <w:rPr>
          <w:noProof/>
          <w:lang w:eastAsia="fr-CA"/>
        </w:rPr>
        <w:drawing>
          <wp:anchor distT="0" distB="0" distL="114300" distR="114300" simplePos="0" relativeHeight="251751424" behindDoc="0" locked="0" layoutInCell="1" allowOverlap="1" wp14:anchorId="384A37E4" wp14:editId="124EE898">
            <wp:simplePos x="0" y="0"/>
            <wp:positionH relativeFrom="column">
              <wp:posOffset>3705860</wp:posOffset>
            </wp:positionH>
            <wp:positionV relativeFrom="paragraph">
              <wp:posOffset>-70228</wp:posOffset>
            </wp:positionV>
            <wp:extent cx="2742405" cy="1546698"/>
            <wp:effectExtent l="0" t="0" r="1270" b="0"/>
            <wp:wrapNone/>
            <wp:docPr id="269" name="Image 269" descr="Résultats de recherche d'images pour « grossesse ectopiqu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ésultats de recherche d'images pour « grossesse ectopique »"/>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2742405" cy="1546698"/>
                    </a:xfrm>
                    <a:prstGeom prst="rect">
                      <a:avLst/>
                    </a:prstGeom>
                    <a:noFill/>
                    <a:ln>
                      <a:noFill/>
                    </a:ln>
                  </pic:spPr>
                </pic:pic>
              </a:graphicData>
            </a:graphic>
            <wp14:sizeRelH relativeFrom="page">
              <wp14:pctWidth>0</wp14:pctWidth>
            </wp14:sizeRelH>
            <wp14:sizeRelV relativeFrom="page">
              <wp14:pctHeight>0</wp14:pctHeight>
            </wp14:sizeRelV>
          </wp:anchor>
        </w:drawing>
      </w:r>
      <w:r w:rsidR="00255A6D" w:rsidRPr="00D94410">
        <w:rPr>
          <w:b/>
          <w:sz w:val="28"/>
          <w:szCs w:val="28"/>
        </w:rPr>
        <w:t>Investigation</w:t>
      </w:r>
    </w:p>
    <w:p w:rsidR="00255A6D" w:rsidRDefault="00255A6D" w:rsidP="003208BE">
      <w:pPr>
        <w:pStyle w:val="Sansinterligne"/>
      </w:pPr>
    </w:p>
    <w:p w:rsidR="000D0D71" w:rsidRDefault="000D0D71" w:rsidP="00981363">
      <w:pPr>
        <w:pStyle w:val="Sansinterligne"/>
        <w:numPr>
          <w:ilvl w:val="0"/>
          <w:numId w:val="343"/>
        </w:numPr>
        <w:rPr>
          <w:rFonts w:cs="Times New Roman"/>
          <w:b/>
        </w:rPr>
        <w:sectPr w:rsidR="000D0D71" w:rsidSect="00217865">
          <w:type w:val="continuous"/>
          <w:pgSz w:w="12240" w:h="15840"/>
          <w:pgMar w:top="720" w:right="720" w:bottom="720" w:left="720" w:header="708" w:footer="708" w:gutter="0"/>
          <w:cols w:space="708"/>
          <w:docGrid w:linePitch="360"/>
        </w:sectPr>
      </w:pPr>
    </w:p>
    <w:p w:rsidR="001905C8" w:rsidRPr="00D94410" w:rsidRDefault="001905C8" w:rsidP="00981363">
      <w:pPr>
        <w:pStyle w:val="Sansinterligne"/>
        <w:numPr>
          <w:ilvl w:val="0"/>
          <w:numId w:val="343"/>
        </w:numPr>
        <w:rPr>
          <w:b/>
        </w:rPr>
      </w:pPr>
      <w:r w:rsidRPr="00D94410">
        <w:rPr>
          <w:rFonts w:cs="Times New Roman"/>
          <w:b/>
        </w:rPr>
        <w:t>β</w:t>
      </w:r>
      <w:r w:rsidRPr="00D94410">
        <w:rPr>
          <w:b/>
        </w:rPr>
        <w:t xml:space="preserve">-HCG </w:t>
      </w:r>
    </w:p>
    <w:p w:rsidR="001905C8" w:rsidRDefault="001905C8" w:rsidP="00981363">
      <w:pPr>
        <w:pStyle w:val="Sansinterligne"/>
        <w:numPr>
          <w:ilvl w:val="0"/>
          <w:numId w:val="343"/>
        </w:numPr>
      </w:pPr>
      <w:r>
        <w:t>FSC (anémie, leucocytose)</w:t>
      </w:r>
    </w:p>
    <w:p w:rsidR="001905C8" w:rsidRDefault="001905C8" w:rsidP="00981363">
      <w:pPr>
        <w:pStyle w:val="Sansinterligne"/>
        <w:numPr>
          <w:ilvl w:val="0"/>
          <w:numId w:val="343"/>
        </w:numPr>
      </w:pPr>
      <w:r>
        <w:t>Analyse d’urine</w:t>
      </w:r>
    </w:p>
    <w:p w:rsidR="00981363" w:rsidRPr="00D94410" w:rsidRDefault="001905C8" w:rsidP="00981363">
      <w:pPr>
        <w:pStyle w:val="Sansinterligne"/>
        <w:numPr>
          <w:ilvl w:val="0"/>
          <w:numId w:val="343"/>
        </w:numPr>
        <w:rPr>
          <w:b/>
        </w:rPr>
      </w:pPr>
      <w:r w:rsidRPr="00D94410">
        <w:rPr>
          <w:b/>
        </w:rPr>
        <w:t xml:space="preserve">Examen gynécologique et pelvien </w:t>
      </w:r>
    </w:p>
    <w:p w:rsidR="00D94410" w:rsidRDefault="00D94410" w:rsidP="00D94410">
      <w:pPr>
        <w:pStyle w:val="Sansinterligne"/>
        <w:numPr>
          <w:ilvl w:val="0"/>
          <w:numId w:val="342"/>
        </w:numPr>
      </w:pPr>
      <w:r>
        <w:t xml:space="preserve">Masses annexielles ou utérine </w:t>
      </w:r>
    </w:p>
    <w:p w:rsidR="00981363" w:rsidRDefault="00981363" w:rsidP="00981363">
      <w:pPr>
        <w:pStyle w:val="Sansinterligne"/>
        <w:numPr>
          <w:ilvl w:val="0"/>
          <w:numId w:val="342"/>
        </w:numPr>
      </w:pPr>
      <w:r>
        <w:t>Culture sur col/muqueuse vaginal</w:t>
      </w:r>
    </w:p>
    <w:p w:rsidR="00D94410" w:rsidRDefault="00D94410" w:rsidP="00D94410">
      <w:pPr>
        <w:pStyle w:val="Sansinterligne"/>
        <w:numPr>
          <w:ilvl w:val="0"/>
          <w:numId w:val="342"/>
        </w:numPr>
      </w:pPr>
      <w:r>
        <w:t>Kyste de Bartholin</w:t>
      </w:r>
    </w:p>
    <w:p w:rsidR="00D94410" w:rsidRDefault="00D94410" w:rsidP="00D94410">
      <w:pPr>
        <w:pStyle w:val="Sansinterligne"/>
        <w:numPr>
          <w:ilvl w:val="0"/>
          <w:numId w:val="342"/>
        </w:numPr>
      </w:pPr>
      <w:r>
        <w:t>Aspect du col (ouvert, écoulement, érythème, aspect en fraise)</w:t>
      </w:r>
    </w:p>
    <w:p w:rsidR="00F73B3D" w:rsidRDefault="00F73B3D" w:rsidP="00981363">
      <w:pPr>
        <w:pStyle w:val="Sansinterligne"/>
        <w:numPr>
          <w:ilvl w:val="0"/>
          <w:numId w:val="344"/>
        </w:numPr>
      </w:pPr>
      <w:r>
        <w:t xml:space="preserve">Cystoscopie </w:t>
      </w:r>
      <w:r>
        <w:rPr>
          <w:rFonts w:ascii="Century Gothic" w:hAnsi="Century Gothic"/>
        </w:rPr>
        <w:t>→</w:t>
      </w:r>
      <w:r>
        <w:t xml:space="preserve"> petits ulcères de la muqueuse vésicale (ulcères de Hunner)</w:t>
      </w:r>
    </w:p>
    <w:p w:rsidR="001905C8" w:rsidRDefault="001905C8" w:rsidP="00981363">
      <w:pPr>
        <w:pStyle w:val="Sansinterligne"/>
        <w:numPr>
          <w:ilvl w:val="0"/>
          <w:numId w:val="344"/>
        </w:numPr>
      </w:pPr>
      <w:r w:rsidRPr="00D94410">
        <w:rPr>
          <w:b/>
        </w:rPr>
        <w:t>Échographie pelvienne</w:t>
      </w:r>
      <w:r>
        <w:t xml:space="preserve"> (kystes ovariens, torsions, abcès, gros endométriomes)</w:t>
      </w:r>
    </w:p>
    <w:p w:rsidR="001905C8" w:rsidRDefault="001905C8" w:rsidP="00981363">
      <w:pPr>
        <w:pStyle w:val="Sansinterligne"/>
        <w:numPr>
          <w:ilvl w:val="0"/>
          <w:numId w:val="344"/>
        </w:numPr>
      </w:pPr>
      <w:r>
        <w:t>TDM abdominal (si pathologie G-I suspectée et grossesse exclue)</w:t>
      </w:r>
    </w:p>
    <w:p w:rsidR="00D94410" w:rsidRDefault="00D94410" w:rsidP="00D94410">
      <w:pPr>
        <w:pStyle w:val="Sansinterligne"/>
        <w:numPr>
          <w:ilvl w:val="0"/>
          <w:numId w:val="344"/>
        </w:numPr>
      </w:pPr>
      <w:r>
        <w:t xml:space="preserve">Laparoscopie diagnostique si endométriose très probable </w:t>
      </w:r>
    </w:p>
    <w:p w:rsidR="000D0D71" w:rsidRDefault="000D0D71" w:rsidP="003208BE">
      <w:pPr>
        <w:pStyle w:val="Sansinterligne"/>
        <w:sectPr w:rsidR="000D0D71" w:rsidSect="001078B6">
          <w:type w:val="continuous"/>
          <w:pgSz w:w="12240" w:h="15840"/>
          <w:pgMar w:top="720" w:right="720" w:bottom="720" w:left="720" w:header="708" w:footer="708" w:gutter="0"/>
          <w:cols w:space="708"/>
          <w:docGrid w:linePitch="360"/>
        </w:sectPr>
      </w:pPr>
    </w:p>
    <w:p w:rsidR="00F73B3D" w:rsidRDefault="00F73B3D" w:rsidP="003208BE">
      <w:pPr>
        <w:pStyle w:val="Sansinterligne"/>
      </w:pPr>
    </w:p>
    <w:p w:rsidR="00255A6D" w:rsidRPr="003208BE" w:rsidRDefault="00255A6D" w:rsidP="003208BE">
      <w:pPr>
        <w:pStyle w:val="Sansinterligne"/>
        <w:rPr>
          <w:b/>
          <w:sz w:val="28"/>
          <w:szCs w:val="28"/>
        </w:rPr>
      </w:pPr>
      <w:r w:rsidRPr="003208BE">
        <w:rPr>
          <w:b/>
          <w:sz w:val="28"/>
          <w:szCs w:val="28"/>
        </w:rPr>
        <w:t>Prise en charge</w:t>
      </w:r>
    </w:p>
    <w:p w:rsidR="00255A6D" w:rsidRDefault="00255A6D" w:rsidP="003208BE">
      <w:pPr>
        <w:pStyle w:val="Sansinterligne"/>
      </w:pPr>
    </w:p>
    <w:p w:rsidR="000D0D71" w:rsidRDefault="000D0D71" w:rsidP="001078B6">
      <w:pPr>
        <w:pStyle w:val="Sansinterligne"/>
        <w:ind w:left="708"/>
      </w:pPr>
      <w:r>
        <w:t>Si patiente instable hémodynamiquement, saignements abondants</w:t>
      </w:r>
      <w:r w:rsidR="001078B6">
        <w:t xml:space="preserve"> ou</w:t>
      </w:r>
      <w:r>
        <w:t xml:space="preserve"> abdomen aigu :</w:t>
      </w:r>
    </w:p>
    <w:p w:rsidR="000D0D71" w:rsidRDefault="000D0D71" w:rsidP="00852AE0">
      <w:pPr>
        <w:pStyle w:val="Sansinterligne"/>
        <w:numPr>
          <w:ilvl w:val="0"/>
          <w:numId w:val="345"/>
        </w:numPr>
        <w:ind w:left="2136"/>
      </w:pPr>
      <w:r>
        <w:t xml:space="preserve">Réanimation volémique </w:t>
      </w:r>
      <w:r>
        <w:rPr>
          <w:rFonts w:cs="Times New Roman"/>
        </w:rPr>
        <w:t>±</w:t>
      </w:r>
      <w:r>
        <w:t xml:space="preserve"> transfusions, stabilisation</w:t>
      </w:r>
    </w:p>
    <w:p w:rsidR="000D0D71" w:rsidRDefault="000D0D71" w:rsidP="00852AE0">
      <w:pPr>
        <w:pStyle w:val="Sansinterligne"/>
        <w:numPr>
          <w:ilvl w:val="0"/>
          <w:numId w:val="345"/>
        </w:numPr>
        <w:ind w:left="2136"/>
      </w:pPr>
      <w:r>
        <w:t>Garder à jeun (en prévision de chirurgie)</w:t>
      </w:r>
    </w:p>
    <w:p w:rsidR="000D0D71" w:rsidRDefault="000D0D71" w:rsidP="00852AE0">
      <w:pPr>
        <w:pStyle w:val="Sansinterligne"/>
        <w:numPr>
          <w:ilvl w:val="0"/>
          <w:numId w:val="345"/>
        </w:numPr>
        <w:ind w:left="2136"/>
      </w:pPr>
      <w:r>
        <w:t>Consultation urgente en chirurgie / gynécologie selon le milieu</w:t>
      </w:r>
    </w:p>
    <w:p w:rsidR="000D0D71" w:rsidRDefault="000D0D71" w:rsidP="003208BE">
      <w:pPr>
        <w:pStyle w:val="Sansinterligne"/>
      </w:pPr>
    </w:p>
    <w:p w:rsidR="000D0D71" w:rsidRDefault="000D0D71" w:rsidP="00852AE0">
      <w:pPr>
        <w:pStyle w:val="Sansinterligne"/>
        <w:numPr>
          <w:ilvl w:val="0"/>
          <w:numId w:val="346"/>
        </w:numPr>
        <w:sectPr w:rsidR="000D0D71" w:rsidSect="00217865">
          <w:type w:val="continuous"/>
          <w:pgSz w:w="12240" w:h="15840"/>
          <w:pgMar w:top="720" w:right="720" w:bottom="720" w:left="720" w:header="708" w:footer="708" w:gutter="0"/>
          <w:cols w:space="708"/>
          <w:docGrid w:linePitch="360"/>
        </w:sectPr>
      </w:pPr>
    </w:p>
    <w:p w:rsidR="00141EF8" w:rsidRPr="001078B6" w:rsidRDefault="00141EF8" w:rsidP="00852AE0">
      <w:pPr>
        <w:pStyle w:val="Sansinterligne"/>
        <w:numPr>
          <w:ilvl w:val="0"/>
          <w:numId w:val="346"/>
        </w:numPr>
        <w:rPr>
          <w:b/>
          <w:highlight w:val="yellow"/>
        </w:rPr>
      </w:pPr>
      <w:r w:rsidRPr="001078B6">
        <w:rPr>
          <w:b/>
          <w:highlight w:val="yellow"/>
        </w:rPr>
        <w:t>Grossesse ectopique</w:t>
      </w:r>
    </w:p>
    <w:p w:rsidR="00141EF8" w:rsidRPr="001078B6" w:rsidRDefault="00141EF8" w:rsidP="006C77C1">
      <w:pPr>
        <w:pStyle w:val="Sansinterligne"/>
        <w:numPr>
          <w:ilvl w:val="0"/>
          <w:numId w:val="325"/>
        </w:numPr>
        <w:rPr>
          <w:highlight w:val="yellow"/>
        </w:rPr>
      </w:pPr>
      <w:r w:rsidRPr="001078B6">
        <w:rPr>
          <w:highlight w:val="yellow"/>
        </w:rPr>
        <w:t>Référence</w:t>
      </w:r>
      <w:r w:rsidR="000D0D71" w:rsidRPr="001078B6">
        <w:rPr>
          <w:highlight w:val="yellow"/>
        </w:rPr>
        <w:t xml:space="preserve"> urgente</w:t>
      </w:r>
      <w:r w:rsidRPr="001078B6">
        <w:rPr>
          <w:highlight w:val="yellow"/>
        </w:rPr>
        <w:t xml:space="preserve"> en gynécologie/chirurgie générale</w:t>
      </w:r>
    </w:p>
    <w:p w:rsidR="00141EF8" w:rsidRPr="001078B6" w:rsidRDefault="002F5D80" w:rsidP="006C77C1">
      <w:pPr>
        <w:pStyle w:val="Sansinterligne"/>
        <w:numPr>
          <w:ilvl w:val="0"/>
          <w:numId w:val="325"/>
        </w:numPr>
        <w:rPr>
          <w:highlight w:val="yellow"/>
        </w:rPr>
      </w:pPr>
      <w:r>
        <w:rPr>
          <w:highlight w:val="yellow"/>
        </w:rPr>
        <w:t>Si instable : salpingo</w:t>
      </w:r>
      <w:r w:rsidR="00141EF8" w:rsidRPr="001078B6">
        <w:rPr>
          <w:highlight w:val="yellow"/>
        </w:rPr>
        <w:t>tomie linéaire /salpingectomie</w:t>
      </w:r>
    </w:p>
    <w:p w:rsidR="00141EF8" w:rsidRPr="001078B6" w:rsidRDefault="00141EF8" w:rsidP="006C77C1">
      <w:pPr>
        <w:pStyle w:val="Sansinterligne"/>
        <w:numPr>
          <w:ilvl w:val="1"/>
          <w:numId w:val="325"/>
        </w:numPr>
        <w:rPr>
          <w:highlight w:val="yellow"/>
        </w:rPr>
      </w:pPr>
      <w:r w:rsidRPr="001078B6">
        <w:rPr>
          <w:highlight w:val="yellow"/>
        </w:rPr>
        <w:t xml:space="preserve">Suivi </w:t>
      </w:r>
      <w:r w:rsidRPr="001078B6">
        <w:rPr>
          <w:rFonts w:cs="Times New Roman"/>
          <w:highlight w:val="yellow"/>
        </w:rPr>
        <w:t>β</w:t>
      </w:r>
      <w:r w:rsidRPr="001078B6">
        <w:rPr>
          <w:highlight w:val="yellow"/>
        </w:rPr>
        <w:t>-HCG post-op (éliminer persistance)</w:t>
      </w:r>
    </w:p>
    <w:p w:rsidR="00141EF8" w:rsidRPr="001078B6" w:rsidRDefault="00141EF8" w:rsidP="006C77C1">
      <w:pPr>
        <w:pStyle w:val="Sansinterligne"/>
        <w:numPr>
          <w:ilvl w:val="0"/>
          <w:numId w:val="325"/>
        </w:numPr>
        <w:rPr>
          <w:highlight w:val="yellow"/>
        </w:rPr>
      </w:pPr>
      <w:r w:rsidRPr="001078B6">
        <w:rPr>
          <w:highlight w:val="yellow"/>
        </w:rPr>
        <w:t xml:space="preserve">Si stable + </w:t>
      </w:r>
      <w:r w:rsidRPr="001078B6">
        <w:rPr>
          <w:rFonts w:ascii="Century Gothic" w:hAnsi="Century Gothic"/>
          <w:highlight w:val="yellow"/>
        </w:rPr>
        <w:t>&lt;</w:t>
      </w:r>
      <w:r w:rsidRPr="001078B6">
        <w:rPr>
          <w:highlight w:val="yellow"/>
        </w:rPr>
        <w:t xml:space="preserve">3,5 cm </w:t>
      </w:r>
      <w:r w:rsidRPr="001078B6">
        <w:rPr>
          <w:rFonts w:cs="Times New Roman"/>
          <w:highlight w:val="yellow"/>
        </w:rPr>
        <w:t>β</w:t>
      </w:r>
      <w:r w:rsidRPr="001078B6">
        <w:rPr>
          <w:highlight w:val="yellow"/>
        </w:rPr>
        <w:t>-HCH</w:t>
      </w:r>
      <w:r w:rsidRPr="001078B6">
        <w:rPr>
          <w:rFonts w:ascii="Century Gothic" w:hAnsi="Century Gothic"/>
          <w:highlight w:val="yellow"/>
        </w:rPr>
        <w:t>&lt;</w:t>
      </w:r>
      <w:r w:rsidRPr="001078B6">
        <w:rPr>
          <w:highlight w:val="yellow"/>
        </w:rPr>
        <w:t xml:space="preserve">5000 + absence de cœur fœtal + compliance </w:t>
      </w:r>
    </w:p>
    <w:p w:rsidR="000D0D71" w:rsidRPr="001078B6" w:rsidRDefault="00141EF8" w:rsidP="006C77C1">
      <w:pPr>
        <w:pStyle w:val="Sansinterligne"/>
        <w:numPr>
          <w:ilvl w:val="1"/>
          <w:numId w:val="325"/>
        </w:numPr>
        <w:rPr>
          <w:highlight w:val="yellow"/>
        </w:rPr>
      </w:pPr>
      <w:r w:rsidRPr="001078B6">
        <w:rPr>
          <w:highlight w:val="yellow"/>
        </w:rPr>
        <w:t>Méthotrexate et suivi serré</w:t>
      </w:r>
    </w:p>
    <w:p w:rsidR="00141EF8" w:rsidRPr="001078B6" w:rsidRDefault="00141EF8" w:rsidP="000D0D71">
      <w:pPr>
        <w:pStyle w:val="Sansinterligne"/>
        <w:ind w:left="1440"/>
        <w:rPr>
          <w:highlight w:val="yellow"/>
        </w:rPr>
      </w:pPr>
      <w:r w:rsidRPr="001078B6">
        <w:rPr>
          <w:highlight w:val="yellow"/>
        </w:rPr>
        <w:t xml:space="preserve"> </w:t>
      </w:r>
    </w:p>
    <w:p w:rsidR="0010404C" w:rsidRPr="001078B6" w:rsidRDefault="0010404C" w:rsidP="00852AE0">
      <w:pPr>
        <w:pStyle w:val="Sansinterligne"/>
        <w:numPr>
          <w:ilvl w:val="0"/>
          <w:numId w:val="347"/>
        </w:numPr>
        <w:rPr>
          <w:b/>
          <w:highlight w:val="yellow"/>
        </w:rPr>
      </w:pPr>
      <w:r w:rsidRPr="001078B6">
        <w:rPr>
          <w:b/>
          <w:highlight w:val="yellow"/>
        </w:rPr>
        <w:t>Maladie inflammatoire pelvienne</w:t>
      </w:r>
    </w:p>
    <w:p w:rsidR="0010404C" w:rsidRPr="001078B6" w:rsidRDefault="0010404C" w:rsidP="006C77C1">
      <w:pPr>
        <w:pStyle w:val="Sansinterligne"/>
        <w:numPr>
          <w:ilvl w:val="0"/>
          <w:numId w:val="323"/>
        </w:numPr>
        <w:rPr>
          <w:highlight w:val="yellow"/>
        </w:rPr>
      </w:pPr>
      <w:r w:rsidRPr="001078B6">
        <w:rPr>
          <w:highlight w:val="yellow"/>
        </w:rPr>
        <w:t>Couverture antibiotique large</w:t>
      </w:r>
    </w:p>
    <w:p w:rsidR="0010404C" w:rsidRPr="001078B6" w:rsidRDefault="0010404C" w:rsidP="001078B6">
      <w:pPr>
        <w:pStyle w:val="Sansinterligne"/>
        <w:numPr>
          <w:ilvl w:val="0"/>
          <w:numId w:val="323"/>
        </w:numPr>
        <w:rPr>
          <w:highlight w:val="yellow"/>
        </w:rPr>
      </w:pPr>
      <w:r w:rsidRPr="001078B6">
        <w:rPr>
          <w:b/>
          <w:highlight w:val="yellow"/>
        </w:rPr>
        <w:t>Cefoxitin 2 IV q 6h + doxycycline 100 mg IV/PO q 12h</w:t>
      </w:r>
      <w:r w:rsidR="001078B6" w:rsidRPr="001078B6">
        <w:rPr>
          <w:highlight w:val="yellow"/>
        </w:rPr>
        <w:t xml:space="preserve"> ou </w:t>
      </w:r>
      <w:r w:rsidRPr="001078B6">
        <w:rPr>
          <w:highlight w:val="yellow"/>
        </w:rPr>
        <w:t>Clindamycine 900 mg IV q 8h + gentamycine 2mg/kg IV/IM x 1 puis 1,5 mg/kg q 8h</w:t>
      </w:r>
    </w:p>
    <w:p w:rsidR="0010404C" w:rsidRPr="001078B6" w:rsidRDefault="0010404C" w:rsidP="006C77C1">
      <w:pPr>
        <w:pStyle w:val="Sansinterligne"/>
        <w:numPr>
          <w:ilvl w:val="0"/>
          <w:numId w:val="323"/>
        </w:numPr>
        <w:rPr>
          <w:highlight w:val="yellow"/>
        </w:rPr>
      </w:pPr>
      <w:r w:rsidRPr="001078B6">
        <w:rPr>
          <w:highlight w:val="yellow"/>
        </w:rPr>
        <w:t>Admission à l’étage si suspicion d’abcès, atteinte sévère, enceinte, 1</w:t>
      </w:r>
      <w:r w:rsidRPr="001078B6">
        <w:rPr>
          <w:highlight w:val="yellow"/>
          <w:vertAlign w:val="superscript"/>
        </w:rPr>
        <w:t>er</w:t>
      </w:r>
      <w:r w:rsidRPr="001078B6">
        <w:rPr>
          <w:highlight w:val="yellow"/>
        </w:rPr>
        <w:t xml:space="preserve"> épisode, traitement PO impossible</w:t>
      </w:r>
    </w:p>
    <w:p w:rsidR="0010404C" w:rsidRPr="001078B6" w:rsidRDefault="0010404C" w:rsidP="006C77C1">
      <w:pPr>
        <w:pStyle w:val="Sansinterligne"/>
        <w:numPr>
          <w:ilvl w:val="0"/>
          <w:numId w:val="323"/>
        </w:numPr>
        <w:rPr>
          <w:highlight w:val="yellow"/>
        </w:rPr>
      </w:pPr>
      <w:r w:rsidRPr="001078B6">
        <w:rPr>
          <w:highlight w:val="yellow"/>
        </w:rPr>
        <w:t>Si traitement en externe possible, suivi 48-72h</w:t>
      </w:r>
    </w:p>
    <w:p w:rsidR="0010404C" w:rsidRPr="001078B6" w:rsidRDefault="0010404C" w:rsidP="006C77C1">
      <w:pPr>
        <w:pStyle w:val="Sansinterligne"/>
        <w:numPr>
          <w:ilvl w:val="0"/>
          <w:numId w:val="323"/>
        </w:numPr>
        <w:rPr>
          <w:highlight w:val="yellow"/>
        </w:rPr>
      </w:pPr>
      <w:r w:rsidRPr="001078B6">
        <w:rPr>
          <w:highlight w:val="yellow"/>
          <w:u w:val="single"/>
        </w:rPr>
        <w:t>Consultation en gynécologie</w:t>
      </w:r>
      <w:r w:rsidRPr="001078B6">
        <w:rPr>
          <w:highlight w:val="yellow"/>
        </w:rPr>
        <w:t xml:space="preserve"> si possible, drainage si abcès</w:t>
      </w:r>
    </w:p>
    <w:p w:rsidR="000D0D71" w:rsidRPr="001078B6" w:rsidRDefault="000D0D71" w:rsidP="000D0D71">
      <w:pPr>
        <w:pStyle w:val="Sansinterligne"/>
        <w:ind w:left="720"/>
        <w:rPr>
          <w:highlight w:val="yellow"/>
        </w:rPr>
      </w:pPr>
    </w:p>
    <w:p w:rsidR="001078B6" w:rsidRPr="001078B6" w:rsidRDefault="001078B6" w:rsidP="00852AE0">
      <w:pPr>
        <w:pStyle w:val="Sansinterligne"/>
        <w:numPr>
          <w:ilvl w:val="0"/>
          <w:numId w:val="348"/>
        </w:numPr>
        <w:rPr>
          <w:b/>
          <w:highlight w:val="yellow"/>
        </w:rPr>
      </w:pPr>
      <w:r w:rsidRPr="001078B6">
        <w:rPr>
          <w:b/>
          <w:highlight w:val="yellow"/>
        </w:rPr>
        <w:t>Endométriose</w:t>
      </w:r>
    </w:p>
    <w:p w:rsidR="001078B6" w:rsidRPr="001078B6" w:rsidRDefault="001078B6" w:rsidP="00852AE0">
      <w:pPr>
        <w:pStyle w:val="Sansinterligne"/>
        <w:numPr>
          <w:ilvl w:val="0"/>
          <w:numId w:val="359"/>
        </w:numPr>
        <w:rPr>
          <w:highlight w:val="yellow"/>
        </w:rPr>
      </w:pPr>
      <w:r w:rsidRPr="001078B6">
        <w:rPr>
          <w:highlight w:val="yellow"/>
        </w:rPr>
        <w:t>AINS, COC, Depo-Provera</w:t>
      </w:r>
    </w:p>
    <w:p w:rsidR="001078B6" w:rsidRPr="001078B6" w:rsidRDefault="001078B6" w:rsidP="00852AE0">
      <w:pPr>
        <w:pStyle w:val="Sansinterligne"/>
        <w:numPr>
          <w:ilvl w:val="0"/>
          <w:numId w:val="359"/>
        </w:numPr>
        <w:rPr>
          <w:highlight w:val="yellow"/>
        </w:rPr>
      </w:pPr>
      <w:r w:rsidRPr="001078B6">
        <w:rPr>
          <w:highlight w:val="yellow"/>
        </w:rPr>
        <w:t>Danazol, Leuprolide PRN</w:t>
      </w:r>
    </w:p>
    <w:p w:rsidR="001078B6" w:rsidRPr="001078B6" w:rsidRDefault="001078B6" w:rsidP="00852AE0">
      <w:pPr>
        <w:pStyle w:val="Sansinterligne"/>
        <w:numPr>
          <w:ilvl w:val="0"/>
          <w:numId w:val="359"/>
        </w:numPr>
        <w:rPr>
          <w:highlight w:val="yellow"/>
        </w:rPr>
      </w:pPr>
      <w:r w:rsidRPr="001078B6">
        <w:rPr>
          <w:highlight w:val="yellow"/>
        </w:rPr>
        <w:t>Laparoscopie ablation/résection implants (préservation de fertilité)</w:t>
      </w:r>
    </w:p>
    <w:p w:rsidR="001078B6" w:rsidRPr="001078B6" w:rsidRDefault="001078B6" w:rsidP="00852AE0">
      <w:pPr>
        <w:pStyle w:val="Sansinterligne"/>
        <w:numPr>
          <w:ilvl w:val="0"/>
          <w:numId w:val="359"/>
        </w:numPr>
        <w:rPr>
          <w:highlight w:val="yellow"/>
        </w:rPr>
      </w:pPr>
      <w:r w:rsidRPr="001078B6">
        <w:rPr>
          <w:highlight w:val="yellow"/>
        </w:rPr>
        <w:t>HAT-SOB (définitif)</w:t>
      </w:r>
    </w:p>
    <w:p w:rsidR="001078B6" w:rsidRPr="001078B6" w:rsidRDefault="001078B6" w:rsidP="001078B6">
      <w:pPr>
        <w:pStyle w:val="Sansinterligne"/>
        <w:ind w:left="360"/>
      </w:pPr>
    </w:p>
    <w:p w:rsidR="000D0D71" w:rsidRPr="001078B6" w:rsidRDefault="000D0D71" w:rsidP="00852AE0">
      <w:pPr>
        <w:pStyle w:val="Sansinterligne"/>
        <w:numPr>
          <w:ilvl w:val="0"/>
          <w:numId w:val="350"/>
        </w:numPr>
        <w:rPr>
          <w:b/>
          <w:highlight w:val="yellow"/>
        </w:rPr>
      </w:pPr>
      <w:r w:rsidRPr="001078B6">
        <w:rPr>
          <w:b/>
          <w:highlight w:val="yellow"/>
        </w:rPr>
        <w:t>Kyste ovarien rupturé</w:t>
      </w:r>
    </w:p>
    <w:p w:rsidR="000D0D71" w:rsidRPr="001078B6" w:rsidRDefault="000D0D71" w:rsidP="000D0D71">
      <w:pPr>
        <w:pStyle w:val="Sansinterligne"/>
        <w:numPr>
          <w:ilvl w:val="0"/>
          <w:numId w:val="335"/>
        </w:numPr>
        <w:rPr>
          <w:highlight w:val="yellow"/>
        </w:rPr>
      </w:pPr>
      <w:r w:rsidRPr="001078B6">
        <w:rPr>
          <w:highlight w:val="yellow"/>
        </w:rPr>
        <w:t>AINS</w:t>
      </w:r>
    </w:p>
    <w:p w:rsidR="000D0D71" w:rsidRDefault="000D0D71" w:rsidP="000D0D71">
      <w:pPr>
        <w:pStyle w:val="Sansinterligne"/>
        <w:rPr>
          <w:highlight w:val="yellow"/>
        </w:rPr>
      </w:pPr>
    </w:p>
    <w:p w:rsidR="00065FC3" w:rsidRPr="001078B6" w:rsidRDefault="00065FC3" w:rsidP="000D0D71">
      <w:pPr>
        <w:pStyle w:val="Sansinterligne"/>
        <w:rPr>
          <w:highlight w:val="yellow"/>
        </w:rPr>
      </w:pPr>
    </w:p>
    <w:p w:rsidR="000D0D71" w:rsidRPr="001078B6" w:rsidRDefault="000D0D71" w:rsidP="00852AE0">
      <w:pPr>
        <w:pStyle w:val="Sansinterligne"/>
        <w:numPr>
          <w:ilvl w:val="0"/>
          <w:numId w:val="351"/>
        </w:numPr>
        <w:rPr>
          <w:b/>
          <w:highlight w:val="yellow"/>
        </w:rPr>
      </w:pPr>
      <w:r w:rsidRPr="001078B6">
        <w:rPr>
          <w:b/>
          <w:highlight w:val="yellow"/>
        </w:rPr>
        <w:t>Torsion ovarienne</w:t>
      </w:r>
    </w:p>
    <w:p w:rsidR="000D0D71" w:rsidRPr="001078B6" w:rsidRDefault="000D0D71" w:rsidP="000D0D71">
      <w:pPr>
        <w:pStyle w:val="Sansinterligne"/>
        <w:numPr>
          <w:ilvl w:val="0"/>
          <w:numId w:val="334"/>
        </w:numPr>
        <w:rPr>
          <w:highlight w:val="yellow"/>
        </w:rPr>
      </w:pPr>
      <w:r w:rsidRPr="001078B6">
        <w:rPr>
          <w:highlight w:val="yellow"/>
        </w:rPr>
        <w:t>Urgence chirurgicale</w:t>
      </w:r>
    </w:p>
    <w:p w:rsidR="000D0D71" w:rsidRPr="001078B6" w:rsidRDefault="000D0D71" w:rsidP="000D0D71">
      <w:pPr>
        <w:pStyle w:val="Sansinterligne"/>
        <w:numPr>
          <w:ilvl w:val="0"/>
          <w:numId w:val="334"/>
        </w:numPr>
        <w:rPr>
          <w:highlight w:val="yellow"/>
        </w:rPr>
      </w:pPr>
      <w:r w:rsidRPr="001078B6">
        <w:rPr>
          <w:highlight w:val="yellow"/>
        </w:rPr>
        <w:t>Tentative de détorsion ou salpingoovariectomie.</w:t>
      </w:r>
    </w:p>
    <w:p w:rsidR="000D0D71" w:rsidRPr="001078B6" w:rsidRDefault="000D0D71" w:rsidP="000D0D71">
      <w:pPr>
        <w:pStyle w:val="Sansinterligne"/>
        <w:rPr>
          <w:highlight w:val="yellow"/>
        </w:rPr>
      </w:pPr>
    </w:p>
    <w:p w:rsidR="000D0D71" w:rsidRPr="001078B6" w:rsidRDefault="000D0D71" w:rsidP="00852AE0">
      <w:pPr>
        <w:pStyle w:val="Sansinterligne"/>
        <w:numPr>
          <w:ilvl w:val="0"/>
          <w:numId w:val="352"/>
        </w:numPr>
        <w:rPr>
          <w:b/>
          <w:highlight w:val="yellow"/>
        </w:rPr>
      </w:pPr>
      <w:r w:rsidRPr="001078B6">
        <w:rPr>
          <w:b/>
          <w:highlight w:val="yellow"/>
        </w:rPr>
        <w:t>Bartholinite</w:t>
      </w:r>
    </w:p>
    <w:p w:rsidR="000D0D71" w:rsidRPr="001078B6" w:rsidRDefault="000D0D71" w:rsidP="000D0D71">
      <w:pPr>
        <w:pStyle w:val="Sansinterligne"/>
        <w:numPr>
          <w:ilvl w:val="0"/>
          <w:numId w:val="313"/>
        </w:numPr>
        <w:rPr>
          <w:highlight w:val="yellow"/>
        </w:rPr>
      </w:pPr>
      <w:r w:rsidRPr="001078B6">
        <w:rPr>
          <w:highlight w:val="yellow"/>
          <w:u w:val="single"/>
        </w:rPr>
        <w:t>Référence en gynécologie</w:t>
      </w:r>
      <w:r w:rsidRPr="001078B6">
        <w:rPr>
          <w:highlight w:val="yellow"/>
        </w:rPr>
        <w:t xml:space="preserve"> pour drainage et insertion de cathéter de Word x 2-3 semaines</w:t>
      </w:r>
    </w:p>
    <w:p w:rsidR="000D0D71" w:rsidRPr="001078B6" w:rsidRDefault="000D0D71" w:rsidP="000D0D71">
      <w:pPr>
        <w:pStyle w:val="Sansinterligne"/>
        <w:numPr>
          <w:ilvl w:val="0"/>
          <w:numId w:val="313"/>
        </w:numPr>
        <w:rPr>
          <w:highlight w:val="yellow"/>
        </w:rPr>
      </w:pPr>
      <w:r w:rsidRPr="001078B6">
        <w:rPr>
          <w:highlight w:val="yellow"/>
        </w:rPr>
        <w:t>Bain de siège</w:t>
      </w:r>
    </w:p>
    <w:p w:rsidR="000D0D71" w:rsidRPr="001078B6" w:rsidRDefault="000D0D71" w:rsidP="000D0D71">
      <w:pPr>
        <w:pStyle w:val="Sansinterligne"/>
        <w:numPr>
          <w:ilvl w:val="0"/>
          <w:numId w:val="313"/>
        </w:numPr>
        <w:rPr>
          <w:highlight w:val="yellow"/>
        </w:rPr>
      </w:pPr>
      <w:r w:rsidRPr="001078B6">
        <w:rPr>
          <w:highlight w:val="yellow"/>
        </w:rPr>
        <w:t>Céphalexine x 1 semaine</w:t>
      </w:r>
    </w:p>
    <w:p w:rsidR="000D0D71" w:rsidRDefault="000D0D71" w:rsidP="000D0D71">
      <w:pPr>
        <w:pStyle w:val="Sansinterligne"/>
        <w:ind w:left="720"/>
      </w:pPr>
    </w:p>
    <w:p w:rsidR="00C441C3" w:rsidRPr="001078B6" w:rsidRDefault="00C441C3" w:rsidP="00852AE0">
      <w:pPr>
        <w:pStyle w:val="Sansinterligne"/>
        <w:numPr>
          <w:ilvl w:val="0"/>
          <w:numId w:val="348"/>
        </w:numPr>
        <w:rPr>
          <w:b/>
        </w:rPr>
      </w:pPr>
      <w:r w:rsidRPr="001078B6">
        <w:rPr>
          <w:b/>
        </w:rPr>
        <w:t>Léiomyomes</w:t>
      </w:r>
    </w:p>
    <w:p w:rsidR="00C441C3" w:rsidRDefault="00C441C3" w:rsidP="006C77C1">
      <w:pPr>
        <w:pStyle w:val="Sansinterligne"/>
        <w:numPr>
          <w:ilvl w:val="0"/>
          <w:numId w:val="327"/>
        </w:numPr>
      </w:pPr>
      <w:r>
        <w:t>Expectative</w:t>
      </w:r>
      <w:r w:rsidR="00D04671">
        <w:t xml:space="preserve"> (suivi échographique)</w:t>
      </w:r>
    </w:p>
    <w:p w:rsidR="00C441C3" w:rsidRDefault="00C441C3" w:rsidP="006C77C1">
      <w:pPr>
        <w:pStyle w:val="Sansinterligne"/>
        <w:numPr>
          <w:ilvl w:val="0"/>
          <w:numId w:val="327"/>
        </w:numPr>
      </w:pPr>
      <w:r>
        <w:t>Traitement si symptomatique seulement</w:t>
      </w:r>
      <w:r w:rsidR="003D1776">
        <w:t xml:space="preserve"> (référence en gynécologie)</w:t>
      </w:r>
    </w:p>
    <w:p w:rsidR="00C441C3" w:rsidRDefault="00C441C3" w:rsidP="006C77C1">
      <w:pPr>
        <w:pStyle w:val="Sansinterligne"/>
        <w:numPr>
          <w:ilvl w:val="0"/>
          <w:numId w:val="327"/>
        </w:numPr>
      </w:pPr>
      <w:r>
        <w:t>AINS</w:t>
      </w:r>
      <w:r w:rsidR="00A543EF">
        <w:t>, COC, Depo-Provera</w:t>
      </w:r>
    </w:p>
    <w:p w:rsidR="00C441C3" w:rsidRDefault="00C441C3" w:rsidP="006C77C1">
      <w:pPr>
        <w:pStyle w:val="Sansinterligne"/>
        <w:numPr>
          <w:ilvl w:val="0"/>
          <w:numId w:val="327"/>
        </w:numPr>
      </w:pPr>
      <w:r>
        <w:t xml:space="preserve">Acide tranexamique </w:t>
      </w:r>
      <w:r w:rsidR="00CB1D12">
        <w:t>(</w:t>
      </w:r>
      <w:r>
        <w:t>Cy</w:t>
      </w:r>
      <w:r w:rsidR="008C6C6B">
        <w:t>k</w:t>
      </w:r>
      <w:r>
        <w:t>lokapron</w:t>
      </w:r>
      <w:r w:rsidR="00CB1D12">
        <w:t>) - si saignements</w:t>
      </w:r>
    </w:p>
    <w:p w:rsidR="00C441C3" w:rsidRDefault="00C441C3" w:rsidP="006C77C1">
      <w:pPr>
        <w:pStyle w:val="Sansinterligne"/>
        <w:numPr>
          <w:ilvl w:val="0"/>
          <w:numId w:val="327"/>
        </w:numPr>
      </w:pPr>
      <w:r>
        <w:t>Angio-embolisation PRN (C-I si désir de grossesse)</w:t>
      </w:r>
    </w:p>
    <w:p w:rsidR="00C441C3" w:rsidRDefault="00C441C3" w:rsidP="006C77C1">
      <w:pPr>
        <w:pStyle w:val="Sansinterligne"/>
        <w:numPr>
          <w:ilvl w:val="0"/>
          <w:numId w:val="327"/>
        </w:numPr>
      </w:pPr>
      <w:r>
        <w:t>Myomectomie hystéroscopique / hystérectomie</w:t>
      </w:r>
    </w:p>
    <w:p w:rsidR="000D0D71" w:rsidRDefault="000D0D71" w:rsidP="000D0D71">
      <w:pPr>
        <w:pStyle w:val="Sansinterligne"/>
        <w:ind w:left="720"/>
      </w:pPr>
    </w:p>
    <w:p w:rsidR="0010404C" w:rsidRPr="000D0D71" w:rsidRDefault="008163D4" w:rsidP="00852AE0">
      <w:pPr>
        <w:pStyle w:val="Sansinterligne"/>
        <w:numPr>
          <w:ilvl w:val="0"/>
          <w:numId w:val="349"/>
        </w:numPr>
        <w:rPr>
          <w:b/>
        </w:rPr>
      </w:pPr>
      <w:r w:rsidRPr="000D0D71">
        <w:rPr>
          <w:b/>
        </w:rPr>
        <w:t>Adénomyose</w:t>
      </w:r>
    </w:p>
    <w:p w:rsidR="00E60155" w:rsidRDefault="001078B6" w:rsidP="001078B6">
      <w:pPr>
        <w:pStyle w:val="Sansinterligne"/>
        <w:numPr>
          <w:ilvl w:val="0"/>
          <w:numId w:val="333"/>
        </w:numPr>
      </w:pPr>
      <w:r>
        <w:t xml:space="preserve">Médical : idem qu’endométriose </w:t>
      </w:r>
    </w:p>
    <w:p w:rsidR="001078B6" w:rsidRPr="001078B6" w:rsidRDefault="001078B6" w:rsidP="001078B6">
      <w:pPr>
        <w:pStyle w:val="Sansinterligne"/>
        <w:numPr>
          <w:ilvl w:val="0"/>
          <w:numId w:val="333"/>
        </w:numPr>
      </w:pPr>
      <w:r>
        <w:t>Chirurgical, pas de chirurgie conservatrice</w:t>
      </w:r>
    </w:p>
    <w:p w:rsidR="00D34EC9" w:rsidRPr="000D0D71" w:rsidRDefault="00D34EC9" w:rsidP="00852AE0">
      <w:pPr>
        <w:pStyle w:val="Sansinterligne"/>
        <w:numPr>
          <w:ilvl w:val="0"/>
          <w:numId w:val="353"/>
        </w:numPr>
        <w:rPr>
          <w:b/>
        </w:rPr>
      </w:pPr>
      <w:r w:rsidRPr="000D0D71">
        <w:rPr>
          <w:b/>
        </w:rPr>
        <w:t>Syndrome myofascial</w:t>
      </w:r>
    </w:p>
    <w:p w:rsidR="00D34EC9" w:rsidRDefault="00D34EC9" w:rsidP="006C77C1">
      <w:pPr>
        <w:pStyle w:val="Sansinterligne"/>
        <w:numPr>
          <w:ilvl w:val="0"/>
          <w:numId w:val="313"/>
        </w:numPr>
      </w:pPr>
      <w:r>
        <w:t>AINS</w:t>
      </w:r>
      <w:r w:rsidR="001078B6">
        <w:t>, chaleur</w:t>
      </w:r>
    </w:p>
    <w:p w:rsidR="00D34EC9" w:rsidRDefault="00D34EC9" w:rsidP="006C77C1">
      <w:pPr>
        <w:pStyle w:val="Sansinterligne"/>
        <w:numPr>
          <w:ilvl w:val="0"/>
          <w:numId w:val="313"/>
        </w:numPr>
      </w:pPr>
      <w:r>
        <w:t>Physiothérapie</w:t>
      </w:r>
    </w:p>
    <w:p w:rsidR="00D34EC9" w:rsidRDefault="00D34EC9" w:rsidP="006C77C1">
      <w:pPr>
        <w:pStyle w:val="Sansinterligne"/>
        <w:numPr>
          <w:ilvl w:val="0"/>
          <w:numId w:val="313"/>
        </w:numPr>
      </w:pPr>
      <w:r>
        <w:t>Infiltration du triggerpoint</w:t>
      </w:r>
    </w:p>
    <w:p w:rsidR="00FB1FA6" w:rsidRDefault="00FB1FA6" w:rsidP="00FB1FA6">
      <w:pPr>
        <w:pStyle w:val="Sansinterligne"/>
        <w:ind w:left="720"/>
      </w:pPr>
    </w:p>
    <w:p w:rsidR="00FB1FA6" w:rsidRPr="000D0D71" w:rsidRDefault="00FB1FA6" w:rsidP="00852AE0">
      <w:pPr>
        <w:pStyle w:val="Sansinterligne"/>
        <w:numPr>
          <w:ilvl w:val="0"/>
          <w:numId w:val="354"/>
        </w:numPr>
        <w:rPr>
          <w:b/>
        </w:rPr>
      </w:pPr>
      <w:r w:rsidRPr="000D0D71">
        <w:rPr>
          <w:b/>
        </w:rPr>
        <w:t>Vulvodynie</w:t>
      </w:r>
    </w:p>
    <w:p w:rsidR="00FB1FA6" w:rsidRPr="00104DB3" w:rsidRDefault="00FB1FA6" w:rsidP="006C77C1">
      <w:pPr>
        <w:pStyle w:val="Sansinterligne"/>
        <w:numPr>
          <w:ilvl w:val="0"/>
          <w:numId w:val="318"/>
        </w:numPr>
        <w:rPr>
          <w:u w:val="single"/>
        </w:rPr>
      </w:pPr>
      <w:r w:rsidRPr="00104DB3">
        <w:rPr>
          <w:u w:val="single"/>
        </w:rPr>
        <w:t>Référence en gynécologie</w:t>
      </w:r>
    </w:p>
    <w:p w:rsidR="00D34EC9" w:rsidRDefault="00D34EC9" w:rsidP="00E60155">
      <w:pPr>
        <w:pStyle w:val="Sansinterligne"/>
        <w:ind w:left="720"/>
      </w:pPr>
    </w:p>
    <w:p w:rsidR="001078B6" w:rsidRDefault="001078B6" w:rsidP="00E60155">
      <w:pPr>
        <w:pStyle w:val="Sansinterligne"/>
        <w:ind w:left="720"/>
      </w:pPr>
    </w:p>
    <w:p w:rsidR="001078B6" w:rsidRDefault="001078B6" w:rsidP="00E60155">
      <w:pPr>
        <w:pStyle w:val="Sansinterligne"/>
        <w:ind w:left="720"/>
      </w:pPr>
    </w:p>
    <w:p w:rsidR="00255A6D" w:rsidRPr="000D0D71" w:rsidRDefault="00C45CFE" w:rsidP="00852AE0">
      <w:pPr>
        <w:pStyle w:val="Sansinterligne"/>
        <w:numPr>
          <w:ilvl w:val="0"/>
          <w:numId w:val="355"/>
        </w:numPr>
        <w:rPr>
          <w:b/>
        </w:rPr>
      </w:pPr>
      <w:r w:rsidRPr="000D0D71">
        <w:rPr>
          <w:b/>
        </w:rPr>
        <w:t>Cystite interstitielle</w:t>
      </w:r>
    </w:p>
    <w:p w:rsidR="00C45CFE" w:rsidRPr="00C45CFE" w:rsidRDefault="00C45CFE" w:rsidP="006C77C1">
      <w:pPr>
        <w:pStyle w:val="Sansinterligne"/>
        <w:numPr>
          <w:ilvl w:val="0"/>
          <w:numId w:val="308"/>
        </w:numPr>
      </w:pPr>
      <w:r w:rsidRPr="00C45CFE">
        <w:t>Expectactive</w:t>
      </w:r>
    </w:p>
    <w:p w:rsidR="00C45CFE" w:rsidRPr="00C45CFE" w:rsidRDefault="00C45CFE" w:rsidP="006C77C1">
      <w:pPr>
        <w:pStyle w:val="Sansinterligne"/>
        <w:numPr>
          <w:ilvl w:val="0"/>
          <w:numId w:val="308"/>
        </w:numPr>
      </w:pPr>
      <w:r w:rsidRPr="00C45CFE">
        <w:t>Diète restrictive (agrumes, café, ROH)</w:t>
      </w:r>
    </w:p>
    <w:p w:rsidR="00C45CFE" w:rsidRPr="00C45CFE" w:rsidRDefault="00C45CFE" w:rsidP="006C77C1">
      <w:pPr>
        <w:pStyle w:val="Sansinterligne"/>
        <w:numPr>
          <w:ilvl w:val="0"/>
          <w:numId w:val="308"/>
        </w:numPr>
      </w:pPr>
      <w:r w:rsidRPr="00C45CFE">
        <w:t>Hydrodistension de la vessie</w:t>
      </w:r>
    </w:p>
    <w:p w:rsidR="00C45CFE" w:rsidRPr="00C45CFE" w:rsidRDefault="00C45CFE" w:rsidP="006C77C1">
      <w:pPr>
        <w:pStyle w:val="Sansinterligne"/>
        <w:numPr>
          <w:ilvl w:val="0"/>
          <w:numId w:val="308"/>
        </w:numPr>
      </w:pPr>
      <w:r w:rsidRPr="00C45CFE">
        <w:t>Amitryptiline</w:t>
      </w:r>
    </w:p>
    <w:p w:rsidR="001078B6" w:rsidRDefault="001078B6" w:rsidP="00C45CFE">
      <w:pPr>
        <w:pStyle w:val="Sansinterligne"/>
      </w:pPr>
    </w:p>
    <w:p w:rsidR="00255A6D" w:rsidRPr="000D0D71" w:rsidRDefault="00F514FA" w:rsidP="00852AE0">
      <w:pPr>
        <w:pStyle w:val="Sansinterligne"/>
        <w:numPr>
          <w:ilvl w:val="0"/>
          <w:numId w:val="356"/>
        </w:numPr>
        <w:rPr>
          <w:b/>
        </w:rPr>
      </w:pPr>
      <w:r w:rsidRPr="000D0D71">
        <w:rPr>
          <w:b/>
        </w:rPr>
        <w:t xml:space="preserve">Syndrome du </w:t>
      </w:r>
      <w:r w:rsidR="006C223A" w:rsidRPr="000D0D71">
        <w:rPr>
          <w:b/>
        </w:rPr>
        <w:t>côlon</w:t>
      </w:r>
      <w:r w:rsidRPr="000D0D71">
        <w:rPr>
          <w:b/>
        </w:rPr>
        <w:t xml:space="preserve"> irritable</w:t>
      </w:r>
    </w:p>
    <w:p w:rsidR="00F514FA" w:rsidRDefault="00F514FA" w:rsidP="006C77C1">
      <w:pPr>
        <w:pStyle w:val="Sansinterligne"/>
        <w:numPr>
          <w:ilvl w:val="0"/>
          <w:numId w:val="309"/>
        </w:numPr>
      </w:pPr>
      <w:r>
        <w:t>Diète riche en fibres</w:t>
      </w:r>
    </w:p>
    <w:p w:rsidR="00F514FA" w:rsidRDefault="00F514FA" w:rsidP="006C77C1">
      <w:pPr>
        <w:pStyle w:val="Sansinterligne"/>
        <w:numPr>
          <w:ilvl w:val="0"/>
          <w:numId w:val="309"/>
        </w:numPr>
      </w:pPr>
      <w:r>
        <w:t>Loperamide PRN</w:t>
      </w:r>
    </w:p>
    <w:p w:rsidR="00F514FA" w:rsidRDefault="00F514FA" w:rsidP="006C77C1">
      <w:pPr>
        <w:pStyle w:val="Sansinterligne"/>
        <w:numPr>
          <w:ilvl w:val="0"/>
          <w:numId w:val="309"/>
        </w:numPr>
      </w:pPr>
      <w:r>
        <w:t>Psyllium</w:t>
      </w:r>
    </w:p>
    <w:p w:rsidR="00F514FA" w:rsidRDefault="00F514FA" w:rsidP="006C77C1">
      <w:pPr>
        <w:pStyle w:val="Sansinterligne"/>
        <w:numPr>
          <w:ilvl w:val="0"/>
          <w:numId w:val="309"/>
        </w:numPr>
      </w:pPr>
      <w:r>
        <w:t>Lactulose</w:t>
      </w:r>
    </w:p>
    <w:p w:rsidR="00F514FA" w:rsidRPr="00104DB3" w:rsidRDefault="00F514FA" w:rsidP="006C77C1">
      <w:pPr>
        <w:pStyle w:val="Sansinterligne"/>
        <w:numPr>
          <w:ilvl w:val="0"/>
          <w:numId w:val="309"/>
        </w:numPr>
        <w:rPr>
          <w:u w:val="single"/>
        </w:rPr>
      </w:pPr>
      <w:r w:rsidRPr="00104DB3">
        <w:rPr>
          <w:u w:val="single"/>
        </w:rPr>
        <w:t xml:space="preserve">Référence en gastro-entérologie </w:t>
      </w:r>
    </w:p>
    <w:p w:rsidR="00F514FA" w:rsidRDefault="00F514FA" w:rsidP="00C45CFE">
      <w:pPr>
        <w:pStyle w:val="Sansinterligne"/>
      </w:pPr>
    </w:p>
    <w:p w:rsidR="00267807" w:rsidRPr="000D0D71" w:rsidRDefault="00267807" w:rsidP="00852AE0">
      <w:pPr>
        <w:pStyle w:val="Sansinterligne"/>
        <w:numPr>
          <w:ilvl w:val="0"/>
          <w:numId w:val="357"/>
        </w:numPr>
        <w:rPr>
          <w:b/>
        </w:rPr>
      </w:pPr>
      <w:r w:rsidRPr="000D0D71">
        <w:rPr>
          <w:b/>
        </w:rPr>
        <w:t>Somatisation</w:t>
      </w:r>
    </w:p>
    <w:p w:rsidR="00267807" w:rsidRDefault="00267807" w:rsidP="00267807">
      <w:pPr>
        <w:pStyle w:val="Sansinterligne"/>
        <w:numPr>
          <w:ilvl w:val="0"/>
          <w:numId w:val="340"/>
        </w:numPr>
      </w:pPr>
      <w:r>
        <w:t>Nommer la problématique</w:t>
      </w:r>
    </w:p>
    <w:p w:rsidR="00267807" w:rsidRDefault="00267807" w:rsidP="00267807">
      <w:pPr>
        <w:pStyle w:val="Sansinterligne"/>
        <w:numPr>
          <w:ilvl w:val="0"/>
          <w:numId w:val="340"/>
        </w:numPr>
      </w:pPr>
      <w:r>
        <w:t>Référer en psychologie/psychiatrie</w:t>
      </w:r>
    </w:p>
    <w:p w:rsidR="000D0D71" w:rsidRDefault="000D0D71" w:rsidP="000D0D71">
      <w:pPr>
        <w:pStyle w:val="Sansinterligne"/>
        <w:ind w:left="720"/>
      </w:pPr>
    </w:p>
    <w:p w:rsidR="0084406E" w:rsidRPr="000D0D71" w:rsidRDefault="00267807" w:rsidP="00852AE0">
      <w:pPr>
        <w:pStyle w:val="Sansinterligne"/>
        <w:numPr>
          <w:ilvl w:val="0"/>
          <w:numId w:val="358"/>
        </w:numPr>
        <w:rPr>
          <w:b/>
        </w:rPr>
      </w:pPr>
      <w:r w:rsidRPr="000D0D71">
        <w:rPr>
          <w:b/>
        </w:rPr>
        <w:t>Abus</w:t>
      </w:r>
      <w:r w:rsidR="000D0D71" w:rsidRPr="000D0D71">
        <w:rPr>
          <w:b/>
        </w:rPr>
        <w:t xml:space="preserve"> </w:t>
      </w:r>
      <w:r w:rsidR="0084406E" w:rsidRPr="000D0D71">
        <w:rPr>
          <w:b/>
        </w:rPr>
        <w:t>sexuel</w:t>
      </w:r>
    </w:p>
    <w:p w:rsidR="0084406E" w:rsidRDefault="0084406E" w:rsidP="00267807">
      <w:pPr>
        <w:pStyle w:val="Sansinterligne"/>
        <w:numPr>
          <w:ilvl w:val="0"/>
          <w:numId w:val="341"/>
        </w:numPr>
      </w:pPr>
      <w:r>
        <w:t>Toujours le rechercher, aborder la question de façon globale avec des questions</w:t>
      </w:r>
    </w:p>
    <w:p w:rsidR="000D0D71" w:rsidRDefault="000D0D71" w:rsidP="00267807">
      <w:pPr>
        <w:pStyle w:val="Sansinterligne"/>
        <w:ind w:left="720"/>
        <w:sectPr w:rsidR="000D0D71" w:rsidSect="001078B6">
          <w:type w:val="continuous"/>
          <w:pgSz w:w="12240" w:h="15840"/>
          <w:pgMar w:top="720" w:right="720" w:bottom="720" w:left="720" w:header="708" w:footer="708" w:gutter="0"/>
          <w:cols w:num="2" w:space="48"/>
          <w:docGrid w:linePitch="360"/>
        </w:sectPr>
      </w:pPr>
    </w:p>
    <w:p w:rsidR="00267807" w:rsidRDefault="00267807" w:rsidP="00267807">
      <w:pPr>
        <w:pStyle w:val="Sansinterligne"/>
        <w:ind w:left="720"/>
      </w:pPr>
    </w:p>
    <w:p w:rsidR="00B32705" w:rsidRDefault="001078B6" w:rsidP="00B32705">
      <w:pPr>
        <w:rPr>
          <w:rFonts w:cs="Times New Roman"/>
          <w:b/>
          <w:color w:val="548DD4" w:themeColor="text2" w:themeTint="99"/>
        </w:rPr>
      </w:pPr>
      <w:r>
        <w:rPr>
          <w:noProof/>
          <w:lang w:eastAsia="fr-CA"/>
        </w:rPr>
        <w:drawing>
          <wp:anchor distT="0" distB="0" distL="114300" distR="114300" simplePos="0" relativeHeight="251754496" behindDoc="0" locked="0" layoutInCell="1" allowOverlap="1" wp14:anchorId="783DC816" wp14:editId="7531EF06">
            <wp:simplePos x="0" y="0"/>
            <wp:positionH relativeFrom="column">
              <wp:posOffset>735546</wp:posOffset>
            </wp:positionH>
            <wp:positionV relativeFrom="paragraph">
              <wp:posOffset>874463</wp:posOffset>
            </wp:positionV>
            <wp:extent cx="5106670" cy="3978275"/>
            <wp:effectExtent l="0" t="0" r="0" b="3175"/>
            <wp:wrapNone/>
            <wp:docPr id="268" name="Image 268" descr="Résultats de recherche d'images pour « endométriose schém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ésultats de recherche d'images pour « endométriose schéma »"/>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5106670" cy="3978275"/>
                    </a:xfrm>
                    <a:prstGeom prst="rect">
                      <a:avLst/>
                    </a:prstGeom>
                    <a:noFill/>
                    <a:ln>
                      <a:noFill/>
                    </a:ln>
                  </pic:spPr>
                </pic:pic>
              </a:graphicData>
            </a:graphic>
            <wp14:sizeRelH relativeFrom="page">
              <wp14:pctWidth>0</wp14:pctWidth>
            </wp14:sizeRelH>
            <wp14:sizeRelV relativeFrom="page">
              <wp14:pctHeight>0</wp14:pctHeight>
            </wp14:sizeRelV>
          </wp:anchor>
        </w:drawing>
      </w:r>
      <w:r w:rsidR="00267807">
        <w:rPr>
          <w:rFonts w:cs="Times New Roman"/>
          <w:b/>
          <w:color w:val="548DD4" w:themeColor="text2" w:themeTint="99"/>
        </w:rPr>
        <w:br w:type="page"/>
      </w:r>
    </w:p>
    <w:p w:rsidR="002A6C58" w:rsidRDefault="002A6C58" w:rsidP="00B32705">
      <w:pPr>
        <w:spacing w:after="0"/>
        <w:rPr>
          <w:rFonts w:cs="Times New Roman"/>
          <w:b/>
          <w:color w:val="548DD4" w:themeColor="text2" w:themeTint="99"/>
        </w:rPr>
      </w:pPr>
      <w:r>
        <w:rPr>
          <w:rFonts w:cs="Times New Roman"/>
          <w:b/>
          <w:color w:val="548DD4" w:themeColor="text2" w:themeTint="99"/>
        </w:rPr>
        <w:t>CMC 74</w:t>
      </w:r>
    </w:p>
    <w:p w:rsidR="002A6C58" w:rsidRPr="002A6C58" w:rsidRDefault="002A6C58" w:rsidP="002A6C58">
      <w:pPr>
        <w:pStyle w:val="Titre3"/>
        <w:spacing w:before="0"/>
        <w:rPr>
          <w:rFonts w:ascii="Times New Roman" w:hAnsi="Times New Roman" w:cs="Times New Roman"/>
        </w:rPr>
      </w:pPr>
      <w:bookmarkStart w:id="223" w:name="_Toc480797305"/>
      <w:r w:rsidRPr="002A6C58">
        <w:rPr>
          <w:rFonts w:ascii="Times New Roman" w:hAnsi="Times New Roman" w:cs="Times New Roman"/>
        </w:rPr>
        <w:t>Examen médical périodique</w:t>
      </w:r>
      <w:bookmarkEnd w:id="223"/>
    </w:p>
    <w:p w:rsidR="002A6C58" w:rsidRPr="002A6C58" w:rsidRDefault="002A6C58" w:rsidP="00B32705">
      <w:pPr>
        <w:spacing w:after="0"/>
        <w:rPr>
          <w:rFonts w:cs="Times New Roman"/>
          <w:b/>
          <w:color w:val="548DD4" w:themeColor="text2" w:themeTint="99"/>
          <w:sz w:val="16"/>
          <w:szCs w:val="16"/>
        </w:rPr>
      </w:pPr>
      <w:r>
        <w:rPr>
          <w:rFonts w:cs="Times New Roman"/>
          <w:b/>
          <w:noProof/>
          <w:color w:val="548DD4" w:themeColor="text2" w:themeTint="99"/>
          <w:sz w:val="16"/>
          <w:szCs w:val="16"/>
          <w:lang w:eastAsia="fr-CA"/>
        </w:rPr>
        <mc:AlternateContent>
          <mc:Choice Requires="wps">
            <w:drawing>
              <wp:anchor distT="0" distB="0" distL="114300" distR="114300" simplePos="0" relativeHeight="252194816" behindDoc="0" locked="0" layoutInCell="1" allowOverlap="1" wp14:anchorId="17AB9CE9" wp14:editId="2DAF677E">
                <wp:simplePos x="0" y="0"/>
                <wp:positionH relativeFrom="column">
                  <wp:posOffset>-68094</wp:posOffset>
                </wp:positionH>
                <wp:positionV relativeFrom="paragraph">
                  <wp:posOffset>65770</wp:posOffset>
                </wp:positionV>
                <wp:extent cx="6974732" cy="2558374"/>
                <wp:effectExtent l="0" t="0" r="17145" b="13970"/>
                <wp:wrapNone/>
                <wp:docPr id="668" name="Rectangle 668"/>
                <wp:cNvGraphicFramePr/>
                <a:graphic xmlns:a="http://schemas.openxmlformats.org/drawingml/2006/main">
                  <a:graphicData uri="http://schemas.microsoft.com/office/word/2010/wordprocessingShape">
                    <wps:wsp>
                      <wps:cNvSpPr/>
                      <wps:spPr>
                        <a:xfrm>
                          <a:off x="0" y="0"/>
                          <a:ext cx="6974732" cy="2558374"/>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668" o:spid="_x0000_s1026" style="position:absolute;margin-left:-5.35pt;margin-top:5.2pt;width:549.2pt;height:201.45pt;z-index:2521948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" filled="f" strokecolor="black [1600]" strokeweight="2pt"/>
            </w:pict>
          </mc:Fallback>
        </mc:AlternateContent>
      </w:r>
    </w:p>
    <w:tbl>
      <w:tblPr>
        <w:tblW w:w="3858" w:type="pct"/>
        <w:tblCellSpacing w:w="0" w:type="dxa"/>
        <w:tblCellMar>
          <w:left w:w="0" w:type="dxa"/>
          <w:right w:w="0" w:type="dxa"/>
        </w:tblCellMar>
        <w:tblLook w:val="04A0" w:firstRow="1" w:lastRow="0" w:firstColumn="1" w:lastColumn="0" w:noHBand="0" w:noVBand="1"/>
      </w:tblPr>
      <w:tblGrid>
        <w:gridCol w:w="8333"/>
      </w:tblGrid>
      <w:tr w:rsidR="002A6C58" w:rsidRPr="002A6C58" w:rsidTr="002A6C58">
        <w:trPr>
          <w:tblCellSpacing w:w="0" w:type="dxa"/>
        </w:trPr>
        <w:tc>
          <w:tcPr>
            <w:tcW w:w="0" w:type="auto"/>
            <w:vAlign w:val="bottom"/>
            <w:hideMark/>
          </w:tcPr>
          <w:p w:rsidR="002A6C58" w:rsidRPr="002A6C58" w:rsidRDefault="002A6C58" w:rsidP="002A6C58">
            <w:pPr>
              <w:pStyle w:val="Sansinterligne"/>
              <w:rPr>
                <w:b/>
                <w:sz w:val="18"/>
                <w:szCs w:val="18"/>
              </w:rPr>
            </w:pPr>
            <w:r w:rsidRPr="002A6C58">
              <w:rPr>
                <w:b/>
                <w:sz w:val="18"/>
                <w:szCs w:val="18"/>
              </w:rPr>
              <w:t>Objectifs principaux</w:t>
            </w:r>
          </w:p>
        </w:tc>
      </w:tr>
    </w:tbl>
    <w:p w:rsidR="002A6C58" w:rsidRPr="002A6C58" w:rsidRDefault="002A6C58" w:rsidP="002A6C58">
      <w:pPr>
        <w:pStyle w:val="NormalWeb"/>
        <w:ind w:left="360"/>
        <w:rPr>
          <w:color w:val="000000"/>
          <w:sz w:val="18"/>
          <w:szCs w:val="18"/>
          <w:shd w:val="clear" w:color="auto" w:fill="FFFFFF"/>
        </w:rPr>
      </w:pPr>
      <w:r w:rsidRPr="002A6C58">
        <w:rPr>
          <w:color w:val="000000"/>
          <w:sz w:val="18"/>
          <w:szCs w:val="18"/>
          <w:shd w:val="clear" w:color="auto" w:fill="FFFFFF"/>
        </w:rPr>
        <w:t>Dans le cas d'un patient qui vient passer un EMP, le candidat devra orienter l'anamnèse, l'examen physique et les analyses de laboratoire en fonction des risques propres à l'âge et au sexe du patient.</w:t>
      </w:r>
    </w:p>
    <w:tbl>
      <w:tblPr>
        <w:tblW w:w="3925" w:type="pct"/>
        <w:tblCellSpacing w:w="0" w:type="dxa"/>
        <w:tblCellMar>
          <w:left w:w="0" w:type="dxa"/>
          <w:right w:w="0" w:type="dxa"/>
        </w:tblCellMar>
        <w:tblLook w:val="04A0" w:firstRow="1" w:lastRow="0" w:firstColumn="1" w:lastColumn="0" w:noHBand="0" w:noVBand="1"/>
      </w:tblPr>
      <w:tblGrid>
        <w:gridCol w:w="8478"/>
      </w:tblGrid>
      <w:tr w:rsidR="002A6C58" w:rsidRPr="002A6C58" w:rsidTr="002A6C58">
        <w:trPr>
          <w:tblCellSpacing w:w="0" w:type="dxa"/>
        </w:trPr>
        <w:tc>
          <w:tcPr>
            <w:tcW w:w="0" w:type="auto"/>
            <w:vAlign w:val="bottom"/>
            <w:hideMark/>
          </w:tcPr>
          <w:p w:rsidR="002A6C58" w:rsidRPr="002A6C58" w:rsidRDefault="002A6C58" w:rsidP="002A6C58">
            <w:pPr>
              <w:pStyle w:val="Sansinterligne"/>
              <w:rPr>
                <w:b/>
                <w:sz w:val="16"/>
                <w:szCs w:val="16"/>
              </w:rPr>
            </w:pPr>
            <w:r w:rsidRPr="002A6C58">
              <w:rPr>
                <w:b/>
                <w:sz w:val="16"/>
                <w:szCs w:val="16"/>
              </w:rPr>
              <w:t>Objectifs spécifiques</w:t>
            </w:r>
          </w:p>
        </w:tc>
      </w:tr>
    </w:tbl>
    <w:p w:rsidR="002A6C58" w:rsidRPr="002A6C58" w:rsidRDefault="002A6C58" w:rsidP="002A6C58">
      <w:pPr>
        <w:pStyle w:val="NormalWeb"/>
        <w:shd w:val="clear" w:color="auto" w:fill="FFFFFF"/>
        <w:ind w:left="360"/>
        <w:rPr>
          <w:color w:val="000000"/>
          <w:sz w:val="16"/>
          <w:szCs w:val="16"/>
          <w:shd w:val="clear" w:color="auto" w:fill="FFFFFF"/>
        </w:rPr>
      </w:pPr>
      <w:r w:rsidRPr="002A6C58">
        <w:rPr>
          <w:color w:val="000000"/>
          <w:sz w:val="16"/>
          <w:szCs w:val="16"/>
          <w:shd w:val="clear" w:color="auto" w:fill="FFFFFF"/>
        </w:rPr>
        <w:t>Dans le cas d'un patient qui vient passer un EMP, le candidat devra</w:t>
      </w:r>
    </w:p>
    <w:p w:rsidR="002A6C58" w:rsidRPr="002A6C58" w:rsidRDefault="002A6C58" w:rsidP="00402C69">
      <w:pPr>
        <w:numPr>
          <w:ilvl w:val="0"/>
          <w:numId w:val="1444"/>
        </w:numPr>
        <w:shd w:val="clear" w:color="auto" w:fill="FFFFFF"/>
        <w:spacing w:before="100" w:beforeAutospacing="1" w:after="100" w:afterAutospacing="1" w:line="240" w:lineRule="auto"/>
        <w:rPr>
          <w:rFonts w:cs="Times New Roman"/>
          <w:color w:val="000000"/>
          <w:sz w:val="16"/>
          <w:szCs w:val="16"/>
          <w:shd w:val="clear" w:color="auto" w:fill="FFFFFF"/>
        </w:rPr>
      </w:pPr>
      <w:r w:rsidRPr="002A6C58">
        <w:rPr>
          <w:rFonts w:cs="Times New Roman"/>
          <w:color w:val="000000"/>
          <w:sz w:val="16"/>
          <w:szCs w:val="16"/>
          <w:shd w:val="clear" w:color="auto" w:fill="FFFFFF"/>
        </w:rPr>
        <w:t>faire une anamnèse et un examen physique appropriés en fonction de l'âge, du sexe et des antécédents du patient;</w:t>
      </w:r>
    </w:p>
    <w:p w:rsidR="002A6C58" w:rsidRPr="002A6C58" w:rsidRDefault="002A6C58" w:rsidP="00402C69">
      <w:pPr>
        <w:numPr>
          <w:ilvl w:val="0"/>
          <w:numId w:val="1444"/>
        </w:numPr>
        <w:shd w:val="clear" w:color="auto" w:fill="FFFFFF"/>
        <w:spacing w:before="100" w:beforeAutospacing="1" w:after="100" w:afterAutospacing="1" w:line="240" w:lineRule="auto"/>
        <w:rPr>
          <w:rFonts w:cs="Times New Roman"/>
          <w:color w:val="000000"/>
          <w:sz w:val="16"/>
          <w:szCs w:val="16"/>
          <w:shd w:val="clear" w:color="auto" w:fill="FFFFFF"/>
        </w:rPr>
      </w:pPr>
      <w:r w:rsidRPr="002A6C58">
        <w:rPr>
          <w:rFonts w:cs="Times New Roman"/>
          <w:color w:val="000000"/>
          <w:sz w:val="16"/>
          <w:szCs w:val="16"/>
          <w:shd w:val="clear" w:color="auto" w:fill="FFFFFF"/>
        </w:rPr>
        <w:t>énumérer et interpréter les examens appropriés, notamment :</w:t>
      </w:r>
    </w:p>
    <w:p w:rsidR="002A6C58" w:rsidRPr="002A6C58" w:rsidRDefault="002A6C58" w:rsidP="00402C69">
      <w:pPr>
        <w:numPr>
          <w:ilvl w:val="1"/>
          <w:numId w:val="1444"/>
        </w:numPr>
        <w:shd w:val="clear" w:color="auto" w:fill="FFFFFF"/>
        <w:spacing w:before="100" w:beforeAutospacing="1" w:after="100" w:afterAutospacing="1" w:line="240" w:lineRule="auto"/>
        <w:rPr>
          <w:rFonts w:cs="Times New Roman"/>
          <w:color w:val="000000"/>
          <w:sz w:val="16"/>
          <w:szCs w:val="16"/>
          <w:shd w:val="clear" w:color="auto" w:fill="FFFFFF"/>
        </w:rPr>
      </w:pPr>
      <w:r w:rsidRPr="002A6C58">
        <w:rPr>
          <w:rFonts w:cs="Times New Roman"/>
          <w:color w:val="000000"/>
          <w:sz w:val="16"/>
          <w:szCs w:val="16"/>
          <w:shd w:val="clear" w:color="auto" w:fill="FFFFFF"/>
        </w:rPr>
        <w:t>les examens de dépistage fondés sur des données probantes selon l'âge et le sexe du patient (p. ex. glycémie à jeun à partir de 40 ans, mammographie pour une femme à partir de 50 ans);</w:t>
      </w:r>
    </w:p>
    <w:p w:rsidR="002A6C58" w:rsidRPr="002A6C58" w:rsidRDefault="002A6C58" w:rsidP="00402C69">
      <w:pPr>
        <w:numPr>
          <w:ilvl w:val="0"/>
          <w:numId w:val="1444"/>
        </w:numPr>
        <w:shd w:val="clear" w:color="auto" w:fill="FFFFFF"/>
        <w:spacing w:before="100" w:beforeAutospacing="1" w:after="100" w:afterAutospacing="1" w:line="240" w:lineRule="auto"/>
        <w:rPr>
          <w:rFonts w:cs="Times New Roman"/>
          <w:color w:val="000000"/>
          <w:sz w:val="16"/>
          <w:szCs w:val="16"/>
          <w:shd w:val="clear" w:color="auto" w:fill="FFFFFF"/>
        </w:rPr>
      </w:pPr>
      <w:r w:rsidRPr="002A6C58">
        <w:rPr>
          <w:rFonts w:cs="Times New Roman"/>
          <w:color w:val="000000"/>
          <w:sz w:val="16"/>
          <w:szCs w:val="16"/>
          <w:shd w:val="clear" w:color="auto" w:fill="FFFFFF"/>
        </w:rPr>
        <w:t>établir un plan efficace de prise en charge initiale, notamment :</w:t>
      </w:r>
    </w:p>
    <w:p w:rsidR="002A6C58" w:rsidRPr="002A6C58" w:rsidRDefault="002A6C58" w:rsidP="00402C69">
      <w:pPr>
        <w:numPr>
          <w:ilvl w:val="1"/>
          <w:numId w:val="1444"/>
        </w:numPr>
        <w:shd w:val="clear" w:color="auto" w:fill="FFFFFF"/>
        <w:spacing w:before="100" w:beforeAutospacing="1" w:after="100" w:afterAutospacing="1" w:line="240" w:lineRule="auto"/>
        <w:rPr>
          <w:rFonts w:cs="Times New Roman"/>
          <w:color w:val="000000"/>
          <w:sz w:val="16"/>
          <w:szCs w:val="16"/>
          <w:shd w:val="clear" w:color="auto" w:fill="FFFFFF"/>
        </w:rPr>
      </w:pPr>
      <w:r w:rsidRPr="002A6C58">
        <w:rPr>
          <w:rFonts w:cs="Times New Roman"/>
          <w:color w:val="000000"/>
          <w:sz w:val="16"/>
          <w:szCs w:val="16"/>
          <w:shd w:val="clear" w:color="auto" w:fill="FFFFFF"/>
        </w:rPr>
        <w:t>communiquer de manière efficace avec le patient afin de s'entendre avec lui sur les objectifs liés à la prévention de la maladie et à la réduction des risques;</w:t>
      </w:r>
    </w:p>
    <w:p w:rsidR="002A6C58" w:rsidRPr="002A6C58" w:rsidRDefault="002A6C58" w:rsidP="00402C69">
      <w:pPr>
        <w:numPr>
          <w:ilvl w:val="1"/>
          <w:numId w:val="1444"/>
        </w:numPr>
        <w:shd w:val="clear" w:color="auto" w:fill="FFFFFF"/>
        <w:spacing w:before="100" w:beforeAutospacing="1" w:after="100" w:afterAutospacing="1" w:line="240" w:lineRule="auto"/>
        <w:rPr>
          <w:rFonts w:cs="Times New Roman"/>
          <w:color w:val="000000"/>
          <w:sz w:val="16"/>
          <w:szCs w:val="16"/>
          <w:shd w:val="clear" w:color="auto" w:fill="FFFFFF"/>
        </w:rPr>
      </w:pPr>
      <w:r w:rsidRPr="002A6C58">
        <w:rPr>
          <w:rFonts w:cs="Times New Roman"/>
          <w:color w:val="000000"/>
          <w:sz w:val="16"/>
          <w:szCs w:val="16"/>
          <w:shd w:val="clear" w:color="auto" w:fill="FFFFFF"/>
        </w:rPr>
        <w:t>recommander des stratégies éprouvées de prévention (p. ex. cessation du tabagisme, exercice régulier);</w:t>
      </w:r>
    </w:p>
    <w:p w:rsidR="002A6C58" w:rsidRPr="002A6C58" w:rsidRDefault="002A6C58" w:rsidP="00402C69">
      <w:pPr>
        <w:numPr>
          <w:ilvl w:val="1"/>
          <w:numId w:val="1444"/>
        </w:numPr>
        <w:shd w:val="clear" w:color="auto" w:fill="FFFFFF"/>
        <w:spacing w:before="100" w:beforeAutospacing="1" w:after="100" w:afterAutospacing="1" w:line="240" w:lineRule="auto"/>
        <w:rPr>
          <w:rFonts w:cs="Times New Roman"/>
          <w:color w:val="000000"/>
          <w:sz w:val="16"/>
          <w:szCs w:val="16"/>
          <w:shd w:val="clear" w:color="auto" w:fill="FFFFFF"/>
        </w:rPr>
      </w:pPr>
      <w:r w:rsidRPr="002A6C58">
        <w:rPr>
          <w:rFonts w:cs="Times New Roman"/>
          <w:color w:val="000000"/>
          <w:sz w:val="16"/>
          <w:szCs w:val="16"/>
          <w:shd w:val="clear" w:color="auto" w:fill="FFFFFF"/>
        </w:rPr>
        <w:t>inclure les principes de l'examen médical périodique dans le suivi d'un patient atteint d'une maladie chronique.</w:t>
      </w:r>
    </w:p>
    <w:p w:rsidR="002A6C58" w:rsidRPr="008947D9" w:rsidRDefault="008947D9" w:rsidP="008947D9">
      <w:pPr>
        <w:pStyle w:val="Sansinterligne"/>
        <w:rPr>
          <w:b/>
          <w:sz w:val="28"/>
          <w:szCs w:val="28"/>
        </w:rPr>
      </w:pPr>
      <w:r w:rsidRPr="008947D9">
        <w:rPr>
          <w:b/>
          <w:sz w:val="28"/>
          <w:szCs w:val="28"/>
        </w:rPr>
        <w:t>Pathologies à considérer et dépistage en fonction de l’âge (tableau)</w:t>
      </w:r>
    </w:p>
    <w:p w:rsidR="00962746" w:rsidRDefault="00962746" w:rsidP="00962746">
      <w:pPr>
        <w:pStyle w:val="Sansinterligne"/>
        <w:rPr>
          <w:lang w:eastAsia="fr-CA"/>
        </w:rPr>
      </w:pPr>
    </w:p>
    <w:tbl>
      <w:tblPr>
        <w:tblStyle w:val="Grilledutableau"/>
        <w:tblW w:w="11023" w:type="dxa"/>
        <w:tblLook w:val="04A0" w:firstRow="1" w:lastRow="0" w:firstColumn="1" w:lastColumn="0" w:noHBand="0" w:noVBand="1"/>
      </w:tblPr>
      <w:tblGrid>
        <w:gridCol w:w="592"/>
        <w:gridCol w:w="2068"/>
        <w:gridCol w:w="6520"/>
        <w:gridCol w:w="1843"/>
      </w:tblGrid>
      <w:tr w:rsidR="00962746" w:rsidTr="00513781">
        <w:tc>
          <w:tcPr>
            <w:tcW w:w="592" w:type="dxa"/>
            <w:shd w:val="clear" w:color="auto" w:fill="C4BC96" w:themeFill="background2" w:themeFillShade="BF"/>
          </w:tcPr>
          <w:p w:rsidR="00962746" w:rsidRDefault="00962746" w:rsidP="00962746">
            <w:pPr>
              <w:pStyle w:val="Sansinterligne"/>
              <w:rPr>
                <w:rFonts w:eastAsia="Times New Roman" w:cs="Times New Roman"/>
                <w:color w:val="000000"/>
                <w:lang w:eastAsia="fr-CA"/>
              </w:rPr>
            </w:pPr>
          </w:p>
        </w:tc>
        <w:tc>
          <w:tcPr>
            <w:tcW w:w="2068" w:type="dxa"/>
            <w:shd w:val="clear" w:color="auto" w:fill="C4BC96" w:themeFill="background2" w:themeFillShade="BF"/>
          </w:tcPr>
          <w:p w:rsidR="00962746" w:rsidRPr="00383C37" w:rsidRDefault="00962746" w:rsidP="00383C37">
            <w:pPr>
              <w:pStyle w:val="Sansinterligne"/>
              <w:jc w:val="center"/>
              <w:rPr>
                <w:rFonts w:eastAsia="Times New Roman" w:cs="Times New Roman"/>
                <w:i/>
                <w:color w:val="000000"/>
                <w:lang w:eastAsia="fr-CA"/>
              </w:rPr>
            </w:pPr>
            <w:r w:rsidRPr="00383C37">
              <w:rPr>
                <w:rFonts w:eastAsia="Times New Roman" w:cs="Times New Roman"/>
                <w:i/>
                <w:color w:val="000000"/>
                <w:lang w:eastAsia="fr-CA"/>
              </w:rPr>
              <w:t>Pathologie et situations à considérer</w:t>
            </w:r>
          </w:p>
        </w:tc>
        <w:tc>
          <w:tcPr>
            <w:tcW w:w="6520" w:type="dxa"/>
            <w:shd w:val="clear" w:color="auto" w:fill="C4BC96" w:themeFill="background2" w:themeFillShade="BF"/>
          </w:tcPr>
          <w:p w:rsidR="00962746" w:rsidRPr="00383C37" w:rsidRDefault="00962746" w:rsidP="00383C37">
            <w:pPr>
              <w:pStyle w:val="Sansinterligne"/>
              <w:jc w:val="center"/>
              <w:rPr>
                <w:rFonts w:eastAsia="Times New Roman" w:cs="Times New Roman"/>
                <w:i/>
                <w:color w:val="000000"/>
                <w:lang w:eastAsia="fr-CA"/>
              </w:rPr>
            </w:pPr>
            <w:r w:rsidRPr="00383C37">
              <w:rPr>
                <w:rFonts w:eastAsia="Times New Roman" w:cs="Times New Roman"/>
                <w:i/>
                <w:color w:val="000000"/>
                <w:lang w:eastAsia="fr-CA"/>
              </w:rPr>
              <w:t>Interventions</w:t>
            </w:r>
          </w:p>
        </w:tc>
        <w:tc>
          <w:tcPr>
            <w:tcW w:w="1843" w:type="dxa"/>
            <w:shd w:val="clear" w:color="auto" w:fill="C4BC96" w:themeFill="background2" w:themeFillShade="BF"/>
          </w:tcPr>
          <w:p w:rsidR="00962746" w:rsidRPr="00383C37" w:rsidRDefault="00962746" w:rsidP="00383C37">
            <w:pPr>
              <w:pStyle w:val="Sansinterligne"/>
              <w:jc w:val="center"/>
              <w:rPr>
                <w:rFonts w:eastAsia="Times New Roman" w:cs="Times New Roman"/>
                <w:i/>
                <w:color w:val="000000"/>
                <w:lang w:eastAsia="fr-CA"/>
              </w:rPr>
            </w:pPr>
            <w:r w:rsidRPr="00383C37">
              <w:rPr>
                <w:rFonts w:eastAsia="Times New Roman" w:cs="Times New Roman"/>
                <w:i/>
                <w:color w:val="000000"/>
                <w:lang w:eastAsia="fr-CA"/>
              </w:rPr>
              <w:t>Âge du dépistage</w:t>
            </w:r>
          </w:p>
        </w:tc>
      </w:tr>
      <w:tr w:rsidR="00735DE8" w:rsidTr="00513781">
        <w:trPr>
          <w:cantSplit/>
          <w:trHeight w:val="324"/>
        </w:trPr>
        <w:tc>
          <w:tcPr>
            <w:tcW w:w="592" w:type="dxa"/>
            <w:vMerge w:val="restart"/>
            <w:shd w:val="clear" w:color="auto" w:fill="C4BC96" w:themeFill="background2" w:themeFillShade="BF"/>
            <w:textDirection w:val="btLr"/>
            <w:vAlign w:val="center"/>
          </w:tcPr>
          <w:p w:rsidR="00735DE8" w:rsidRPr="00905B38" w:rsidRDefault="00735DE8" w:rsidP="00962746">
            <w:pPr>
              <w:pStyle w:val="Sansinterligne"/>
              <w:ind w:left="113" w:right="113"/>
              <w:jc w:val="center"/>
              <w:rPr>
                <w:rFonts w:eastAsia="Times New Roman" w:cs="Times New Roman"/>
                <w:b/>
                <w:color w:val="000000"/>
                <w:lang w:eastAsia="fr-CA"/>
              </w:rPr>
            </w:pPr>
            <w:r w:rsidRPr="00905B38">
              <w:rPr>
                <w:rFonts w:eastAsia="Times New Roman" w:cs="Times New Roman"/>
                <w:b/>
                <w:color w:val="000000"/>
                <w:lang w:eastAsia="fr-CA"/>
              </w:rPr>
              <w:t>Tous les âges</w:t>
            </w:r>
          </w:p>
        </w:tc>
        <w:tc>
          <w:tcPr>
            <w:tcW w:w="2068" w:type="dxa"/>
            <w:vAlign w:val="center"/>
          </w:tcPr>
          <w:p w:rsidR="00735DE8" w:rsidRDefault="00735DE8" w:rsidP="0057662A">
            <w:pPr>
              <w:pStyle w:val="Sansinterligne"/>
              <w:jc w:val="center"/>
              <w:rPr>
                <w:rFonts w:eastAsia="Times New Roman" w:cs="Times New Roman"/>
                <w:color w:val="000000"/>
                <w:lang w:eastAsia="fr-CA"/>
              </w:rPr>
            </w:pPr>
            <w:r w:rsidRPr="00513781">
              <w:rPr>
                <w:rFonts w:eastAsia="Times New Roman" w:cs="Times New Roman"/>
                <w:color w:val="000000"/>
                <w:highlight w:val="yellow"/>
                <w:lang w:eastAsia="fr-CA"/>
              </w:rPr>
              <w:t>Mode de vie</w:t>
            </w:r>
          </w:p>
        </w:tc>
        <w:tc>
          <w:tcPr>
            <w:tcW w:w="6520" w:type="dxa"/>
          </w:tcPr>
          <w:p w:rsidR="00735DE8" w:rsidRDefault="00735DE8" w:rsidP="00ED1F48">
            <w:pPr>
              <w:pStyle w:val="Sansinterligne"/>
              <w:numPr>
                <w:ilvl w:val="0"/>
                <w:numId w:val="1446"/>
              </w:numPr>
              <w:rPr>
                <w:rFonts w:eastAsia="Times New Roman" w:cs="Times New Roman"/>
                <w:color w:val="000000"/>
                <w:lang w:eastAsia="fr-CA"/>
              </w:rPr>
            </w:pPr>
            <w:r>
              <w:rPr>
                <w:rFonts w:eastAsia="Times New Roman" w:cs="Times New Roman"/>
                <w:color w:val="000000"/>
                <w:lang w:eastAsia="fr-CA"/>
              </w:rPr>
              <w:t>Recommandations</w:t>
            </w:r>
          </w:p>
          <w:p w:rsidR="00735DE8" w:rsidRDefault="00735DE8" w:rsidP="00ED1F48">
            <w:pPr>
              <w:pStyle w:val="Sansinterligne"/>
              <w:numPr>
                <w:ilvl w:val="1"/>
                <w:numId w:val="1446"/>
              </w:numPr>
              <w:rPr>
                <w:rFonts w:eastAsia="Times New Roman" w:cs="Times New Roman"/>
                <w:color w:val="000000"/>
                <w:lang w:eastAsia="fr-CA"/>
              </w:rPr>
            </w:pPr>
            <w:r>
              <w:rPr>
                <w:rFonts w:eastAsia="Times New Roman" w:cs="Times New Roman"/>
                <w:color w:val="000000"/>
                <w:lang w:eastAsia="fr-CA"/>
              </w:rPr>
              <w:t xml:space="preserve">Activité physique </w:t>
            </w:r>
            <w:r>
              <w:rPr>
                <w:rFonts w:ascii="Century Gothic" w:eastAsia="Times New Roman" w:hAnsi="Century Gothic" w:cs="Times New Roman"/>
                <w:color w:val="000000"/>
                <w:lang w:eastAsia="fr-CA"/>
              </w:rPr>
              <w:t>≈</w:t>
            </w:r>
            <w:r>
              <w:rPr>
                <w:rFonts w:eastAsia="Times New Roman" w:cs="Times New Roman"/>
                <w:color w:val="000000"/>
                <w:lang w:eastAsia="fr-CA"/>
              </w:rPr>
              <w:t xml:space="preserve"> 30 min/jour</w:t>
            </w:r>
          </w:p>
          <w:p w:rsidR="00735DE8" w:rsidRDefault="00735DE8" w:rsidP="00ED1F48">
            <w:pPr>
              <w:pStyle w:val="Sansinterligne"/>
              <w:numPr>
                <w:ilvl w:val="1"/>
                <w:numId w:val="1446"/>
              </w:numPr>
              <w:rPr>
                <w:rFonts w:eastAsia="Times New Roman" w:cs="Times New Roman"/>
                <w:color w:val="000000"/>
                <w:lang w:eastAsia="fr-CA"/>
              </w:rPr>
            </w:pPr>
            <w:r>
              <w:rPr>
                <w:rFonts w:eastAsia="Times New Roman" w:cs="Times New Roman"/>
                <w:color w:val="000000"/>
                <w:lang w:eastAsia="fr-CA"/>
              </w:rPr>
              <w:t>Arrêt tabagique</w:t>
            </w:r>
          </w:p>
          <w:p w:rsidR="00735DE8" w:rsidRDefault="00735DE8" w:rsidP="00ED1F48">
            <w:pPr>
              <w:pStyle w:val="Sansinterligne"/>
              <w:numPr>
                <w:ilvl w:val="1"/>
                <w:numId w:val="1446"/>
              </w:numPr>
              <w:rPr>
                <w:rFonts w:eastAsia="Times New Roman" w:cs="Times New Roman"/>
                <w:color w:val="000000"/>
                <w:lang w:eastAsia="fr-CA"/>
              </w:rPr>
            </w:pPr>
            <w:r>
              <w:rPr>
                <w:rFonts w:eastAsia="Times New Roman" w:cs="Times New Roman"/>
                <w:color w:val="000000"/>
                <w:lang w:eastAsia="fr-CA"/>
              </w:rPr>
              <w:t xml:space="preserve">Guide alimentaire canadien </w:t>
            </w:r>
          </w:p>
          <w:p w:rsidR="00735DE8" w:rsidRDefault="00735DE8" w:rsidP="00ED1F48">
            <w:pPr>
              <w:pStyle w:val="Sansinterligne"/>
              <w:numPr>
                <w:ilvl w:val="2"/>
                <w:numId w:val="1446"/>
              </w:numPr>
              <w:rPr>
                <w:rFonts w:eastAsia="Times New Roman" w:cs="Times New Roman"/>
                <w:color w:val="000000"/>
                <w:lang w:eastAsia="fr-CA"/>
              </w:rPr>
            </w:pPr>
            <w:r>
              <w:rPr>
                <w:rFonts w:eastAsia="Times New Roman" w:cs="Times New Roman"/>
                <w:color w:val="000000"/>
                <w:lang w:eastAsia="fr-CA"/>
              </w:rPr>
              <w:t>Alimentation riche en fruits, légumes et fibres</w:t>
            </w:r>
          </w:p>
          <w:p w:rsidR="00735DE8" w:rsidRDefault="00735DE8" w:rsidP="00ED1F48">
            <w:pPr>
              <w:pStyle w:val="Sansinterligne"/>
              <w:numPr>
                <w:ilvl w:val="2"/>
                <w:numId w:val="1446"/>
              </w:numPr>
              <w:rPr>
                <w:rFonts w:eastAsia="Times New Roman" w:cs="Times New Roman"/>
                <w:color w:val="000000"/>
                <w:lang w:eastAsia="fr-CA"/>
              </w:rPr>
            </w:pPr>
            <w:r>
              <w:rPr>
                <w:rFonts w:eastAsia="Times New Roman" w:cs="Times New Roman"/>
                <w:color w:val="000000"/>
                <w:lang w:eastAsia="fr-CA"/>
              </w:rPr>
              <w:t>Limiter la consommation de viandes rouges</w:t>
            </w:r>
          </w:p>
          <w:p w:rsidR="008C022F" w:rsidRDefault="008C022F" w:rsidP="00ED1F48">
            <w:pPr>
              <w:pStyle w:val="Sansinterligne"/>
              <w:numPr>
                <w:ilvl w:val="2"/>
                <w:numId w:val="1446"/>
              </w:numPr>
              <w:rPr>
                <w:rFonts w:eastAsia="Times New Roman" w:cs="Times New Roman"/>
                <w:color w:val="000000"/>
                <w:lang w:eastAsia="fr-CA"/>
              </w:rPr>
            </w:pPr>
            <w:r>
              <w:rPr>
                <w:rFonts w:eastAsia="Times New Roman" w:cs="Times New Roman"/>
                <w:color w:val="000000"/>
                <w:lang w:eastAsia="fr-CA"/>
              </w:rPr>
              <w:t>Besoins en calcium et vitamine D</w:t>
            </w:r>
          </w:p>
          <w:p w:rsidR="00735DE8" w:rsidRDefault="00735DE8" w:rsidP="00ED1F48">
            <w:pPr>
              <w:pStyle w:val="Sansinterligne"/>
              <w:numPr>
                <w:ilvl w:val="1"/>
                <w:numId w:val="1446"/>
              </w:numPr>
              <w:rPr>
                <w:rFonts w:eastAsia="Times New Roman" w:cs="Times New Roman"/>
                <w:color w:val="000000"/>
                <w:lang w:eastAsia="fr-CA"/>
              </w:rPr>
            </w:pPr>
            <w:r>
              <w:rPr>
                <w:rFonts w:eastAsia="Times New Roman" w:cs="Times New Roman"/>
                <w:color w:val="000000"/>
                <w:lang w:eastAsia="fr-CA"/>
              </w:rPr>
              <w:t xml:space="preserve">Réduire la consommation d’alcool (2/jour </w:t>
            </w:r>
            <w:r>
              <w:rPr>
                <w:rFonts w:ascii="Century Gothic" w:eastAsia="Times New Roman" w:hAnsi="Century Gothic" w:cs="Times New Roman"/>
                <w:color w:val="000000"/>
                <w:lang w:eastAsia="fr-CA"/>
              </w:rPr>
              <w:t>♀</w:t>
            </w:r>
            <w:r>
              <w:rPr>
                <w:rFonts w:eastAsia="Times New Roman" w:cs="Times New Roman"/>
                <w:color w:val="000000"/>
                <w:lang w:eastAsia="fr-CA"/>
              </w:rPr>
              <w:t xml:space="preserve">, 3/jour </w:t>
            </w:r>
            <w:r>
              <w:rPr>
                <w:rFonts w:ascii="Century Gothic" w:eastAsia="Times New Roman" w:hAnsi="Century Gothic" w:cs="Times New Roman"/>
                <w:color w:val="000000"/>
                <w:lang w:eastAsia="fr-CA"/>
              </w:rPr>
              <w:t>♂</w:t>
            </w:r>
            <w:r>
              <w:rPr>
                <w:rFonts w:eastAsia="Times New Roman" w:cs="Times New Roman"/>
                <w:color w:val="000000"/>
                <w:lang w:eastAsia="fr-CA"/>
              </w:rPr>
              <w:t>)</w:t>
            </w:r>
          </w:p>
          <w:p w:rsidR="00735DE8" w:rsidRDefault="00735DE8" w:rsidP="00ED1F48">
            <w:pPr>
              <w:pStyle w:val="Sansinterligne"/>
              <w:numPr>
                <w:ilvl w:val="1"/>
                <w:numId w:val="1446"/>
              </w:numPr>
              <w:rPr>
                <w:rFonts w:eastAsia="Times New Roman" w:cs="Times New Roman"/>
                <w:color w:val="000000"/>
                <w:lang w:eastAsia="fr-CA"/>
              </w:rPr>
            </w:pPr>
            <w:r>
              <w:rPr>
                <w:rFonts w:eastAsia="Times New Roman" w:cs="Times New Roman"/>
                <w:color w:val="000000"/>
                <w:lang w:eastAsia="fr-CA"/>
              </w:rPr>
              <w:t>Limiter la consommation de sel et produits surgelés</w:t>
            </w:r>
          </w:p>
          <w:p w:rsidR="008C022F" w:rsidRDefault="008C022F" w:rsidP="00ED1F48">
            <w:pPr>
              <w:pStyle w:val="Sansinterligne"/>
              <w:numPr>
                <w:ilvl w:val="0"/>
                <w:numId w:val="1446"/>
              </w:numPr>
              <w:rPr>
                <w:rFonts w:eastAsia="Times New Roman" w:cs="Times New Roman"/>
                <w:color w:val="000000"/>
                <w:lang w:eastAsia="fr-CA"/>
              </w:rPr>
            </w:pPr>
            <w:r>
              <w:rPr>
                <w:rFonts w:eastAsia="Times New Roman" w:cs="Times New Roman"/>
                <w:color w:val="000000"/>
                <w:lang w:eastAsia="fr-CA"/>
              </w:rPr>
              <w:t>Questionner la situation socioéconomique (interventions appropriées)</w:t>
            </w:r>
          </w:p>
        </w:tc>
        <w:tc>
          <w:tcPr>
            <w:tcW w:w="1843" w:type="dxa"/>
            <w:vMerge w:val="restart"/>
            <w:shd w:val="clear" w:color="auto" w:fill="000000" w:themeFill="text1"/>
          </w:tcPr>
          <w:p w:rsidR="00735DE8" w:rsidRDefault="00735DE8" w:rsidP="00962746">
            <w:pPr>
              <w:pStyle w:val="Sansinterligne"/>
              <w:rPr>
                <w:rFonts w:eastAsia="Times New Roman" w:cs="Times New Roman"/>
                <w:color w:val="000000"/>
                <w:lang w:eastAsia="fr-CA"/>
              </w:rPr>
            </w:pPr>
          </w:p>
        </w:tc>
      </w:tr>
      <w:tr w:rsidR="00735DE8" w:rsidTr="00513781">
        <w:trPr>
          <w:cantSplit/>
          <w:trHeight w:val="321"/>
        </w:trPr>
        <w:tc>
          <w:tcPr>
            <w:tcW w:w="592" w:type="dxa"/>
            <w:vMerge/>
            <w:shd w:val="clear" w:color="auto" w:fill="C4BC96" w:themeFill="background2" w:themeFillShade="BF"/>
            <w:textDirection w:val="btLr"/>
            <w:vAlign w:val="center"/>
          </w:tcPr>
          <w:p w:rsidR="00735DE8" w:rsidRPr="00905B38" w:rsidRDefault="00735DE8" w:rsidP="00962746">
            <w:pPr>
              <w:pStyle w:val="Sansinterligne"/>
              <w:ind w:left="113" w:right="113"/>
              <w:jc w:val="center"/>
              <w:rPr>
                <w:rFonts w:eastAsia="Times New Roman" w:cs="Times New Roman"/>
                <w:b/>
                <w:color w:val="000000"/>
                <w:lang w:eastAsia="fr-CA"/>
              </w:rPr>
            </w:pPr>
          </w:p>
        </w:tc>
        <w:tc>
          <w:tcPr>
            <w:tcW w:w="2068" w:type="dxa"/>
            <w:vAlign w:val="center"/>
          </w:tcPr>
          <w:p w:rsidR="00735DE8" w:rsidRDefault="00735DE8" w:rsidP="0057662A">
            <w:pPr>
              <w:pStyle w:val="Sansinterligne"/>
              <w:jc w:val="center"/>
              <w:rPr>
                <w:rFonts w:eastAsia="Times New Roman" w:cs="Times New Roman"/>
                <w:color w:val="000000"/>
                <w:lang w:eastAsia="fr-CA"/>
              </w:rPr>
            </w:pPr>
            <w:r w:rsidRPr="00513781">
              <w:rPr>
                <w:rFonts w:eastAsia="Times New Roman" w:cs="Times New Roman"/>
                <w:color w:val="000000"/>
                <w:highlight w:val="yellow"/>
                <w:lang w:eastAsia="fr-CA"/>
              </w:rPr>
              <w:t>Sécurité</w:t>
            </w:r>
          </w:p>
        </w:tc>
        <w:tc>
          <w:tcPr>
            <w:tcW w:w="6520" w:type="dxa"/>
          </w:tcPr>
          <w:p w:rsidR="00735DE8" w:rsidRDefault="00735DE8" w:rsidP="00ED1F48">
            <w:pPr>
              <w:pStyle w:val="Sansinterligne"/>
              <w:numPr>
                <w:ilvl w:val="0"/>
                <w:numId w:val="1447"/>
              </w:numPr>
              <w:rPr>
                <w:rFonts w:eastAsia="Times New Roman" w:cs="Times New Roman"/>
                <w:color w:val="000000"/>
                <w:lang w:eastAsia="fr-CA"/>
              </w:rPr>
            </w:pPr>
            <w:r>
              <w:rPr>
                <w:rFonts w:eastAsia="Times New Roman" w:cs="Times New Roman"/>
                <w:color w:val="000000"/>
                <w:lang w:eastAsia="fr-CA"/>
              </w:rPr>
              <w:t>Recommandations</w:t>
            </w:r>
          </w:p>
          <w:p w:rsidR="00735DE8" w:rsidRDefault="00735DE8" w:rsidP="00ED1F48">
            <w:pPr>
              <w:pStyle w:val="Sansinterligne"/>
              <w:numPr>
                <w:ilvl w:val="1"/>
                <w:numId w:val="1447"/>
              </w:numPr>
              <w:rPr>
                <w:rFonts w:eastAsia="Times New Roman" w:cs="Times New Roman"/>
                <w:color w:val="000000"/>
                <w:lang w:eastAsia="fr-CA"/>
              </w:rPr>
            </w:pPr>
            <w:r>
              <w:rPr>
                <w:rFonts w:eastAsia="Times New Roman" w:cs="Times New Roman"/>
                <w:color w:val="000000"/>
                <w:lang w:eastAsia="fr-CA"/>
              </w:rPr>
              <w:t>Casque de vélo</w:t>
            </w:r>
          </w:p>
          <w:p w:rsidR="00735DE8" w:rsidRDefault="00735DE8" w:rsidP="00ED1F48">
            <w:pPr>
              <w:pStyle w:val="Sansinterligne"/>
              <w:numPr>
                <w:ilvl w:val="1"/>
                <w:numId w:val="1447"/>
              </w:numPr>
              <w:rPr>
                <w:rFonts w:eastAsia="Times New Roman" w:cs="Times New Roman"/>
                <w:color w:val="000000"/>
                <w:lang w:eastAsia="fr-CA"/>
              </w:rPr>
            </w:pPr>
            <w:r>
              <w:rPr>
                <w:rFonts w:eastAsia="Times New Roman" w:cs="Times New Roman"/>
                <w:color w:val="000000"/>
                <w:lang w:eastAsia="fr-CA"/>
              </w:rPr>
              <w:t>Siège d’auto pour enfant / ceinture de sécurité</w:t>
            </w:r>
          </w:p>
          <w:p w:rsidR="00735DE8" w:rsidRDefault="00735DE8" w:rsidP="00ED1F48">
            <w:pPr>
              <w:pStyle w:val="Sansinterligne"/>
              <w:numPr>
                <w:ilvl w:val="1"/>
                <w:numId w:val="1447"/>
              </w:numPr>
              <w:rPr>
                <w:rFonts w:eastAsia="Times New Roman" w:cs="Times New Roman"/>
                <w:color w:val="000000"/>
                <w:lang w:eastAsia="fr-CA"/>
              </w:rPr>
            </w:pPr>
            <w:r>
              <w:rPr>
                <w:rFonts w:eastAsia="Times New Roman" w:cs="Times New Roman"/>
                <w:color w:val="000000"/>
                <w:lang w:eastAsia="fr-CA"/>
              </w:rPr>
              <w:t xml:space="preserve">Crème solaire </w:t>
            </w:r>
            <w:r>
              <w:rPr>
                <w:rFonts w:ascii="Century Gothic" w:eastAsia="Times New Roman" w:hAnsi="Century Gothic" w:cs="Times New Roman"/>
                <w:color w:val="000000"/>
                <w:lang w:eastAsia="fr-CA"/>
              </w:rPr>
              <w:t>≥</w:t>
            </w:r>
            <w:r>
              <w:rPr>
                <w:rFonts w:eastAsia="Times New Roman" w:cs="Times New Roman"/>
                <w:color w:val="000000"/>
                <w:lang w:eastAsia="fr-CA"/>
              </w:rPr>
              <w:t>30 FPS lorsque à l’extérieur</w:t>
            </w:r>
          </w:p>
          <w:p w:rsidR="00735DE8" w:rsidRDefault="00735DE8" w:rsidP="00ED1F48">
            <w:pPr>
              <w:pStyle w:val="Sansinterligne"/>
              <w:numPr>
                <w:ilvl w:val="0"/>
                <w:numId w:val="1447"/>
              </w:numPr>
              <w:rPr>
                <w:rFonts w:eastAsia="Times New Roman" w:cs="Times New Roman"/>
                <w:color w:val="000000"/>
                <w:lang w:eastAsia="fr-CA"/>
              </w:rPr>
            </w:pPr>
            <w:r>
              <w:rPr>
                <w:rFonts w:eastAsia="Times New Roman" w:cs="Times New Roman"/>
                <w:color w:val="000000"/>
                <w:lang w:eastAsia="fr-CA"/>
              </w:rPr>
              <w:t>Investiguer les conditions de travail et de vie (expositions)</w:t>
            </w:r>
          </w:p>
        </w:tc>
        <w:tc>
          <w:tcPr>
            <w:tcW w:w="1843" w:type="dxa"/>
            <w:vMerge/>
            <w:shd w:val="clear" w:color="auto" w:fill="000000" w:themeFill="text1"/>
          </w:tcPr>
          <w:p w:rsidR="00735DE8" w:rsidRDefault="00735DE8" w:rsidP="00962746">
            <w:pPr>
              <w:pStyle w:val="Sansinterligne"/>
              <w:rPr>
                <w:rFonts w:eastAsia="Times New Roman" w:cs="Times New Roman"/>
                <w:color w:val="000000"/>
                <w:lang w:eastAsia="fr-CA"/>
              </w:rPr>
            </w:pPr>
          </w:p>
        </w:tc>
      </w:tr>
      <w:tr w:rsidR="00735DE8" w:rsidTr="00513781">
        <w:trPr>
          <w:cantSplit/>
          <w:trHeight w:val="321"/>
        </w:trPr>
        <w:tc>
          <w:tcPr>
            <w:tcW w:w="592" w:type="dxa"/>
            <w:vMerge/>
            <w:shd w:val="clear" w:color="auto" w:fill="C4BC96" w:themeFill="background2" w:themeFillShade="BF"/>
            <w:textDirection w:val="btLr"/>
            <w:vAlign w:val="center"/>
          </w:tcPr>
          <w:p w:rsidR="00735DE8" w:rsidRPr="00905B38" w:rsidRDefault="00735DE8" w:rsidP="00962746">
            <w:pPr>
              <w:pStyle w:val="Sansinterligne"/>
              <w:ind w:left="113" w:right="113"/>
              <w:jc w:val="center"/>
              <w:rPr>
                <w:rFonts w:eastAsia="Times New Roman" w:cs="Times New Roman"/>
                <w:b/>
                <w:color w:val="000000"/>
                <w:lang w:eastAsia="fr-CA"/>
              </w:rPr>
            </w:pPr>
          </w:p>
        </w:tc>
        <w:tc>
          <w:tcPr>
            <w:tcW w:w="2068" w:type="dxa"/>
            <w:vAlign w:val="center"/>
          </w:tcPr>
          <w:p w:rsidR="00735DE8" w:rsidRPr="00513781" w:rsidRDefault="00735DE8" w:rsidP="0057662A">
            <w:pPr>
              <w:pStyle w:val="Sansinterligne"/>
              <w:jc w:val="center"/>
              <w:rPr>
                <w:rFonts w:eastAsia="Times New Roman" w:cs="Times New Roman"/>
                <w:color w:val="000000"/>
                <w:highlight w:val="yellow"/>
                <w:lang w:eastAsia="fr-CA"/>
              </w:rPr>
            </w:pPr>
            <w:r w:rsidRPr="00513781">
              <w:rPr>
                <w:rFonts w:eastAsia="Times New Roman" w:cs="Times New Roman"/>
                <w:color w:val="000000"/>
                <w:highlight w:val="yellow"/>
                <w:lang w:eastAsia="fr-CA"/>
              </w:rPr>
              <w:t>Dépendances à l’alcool</w:t>
            </w:r>
          </w:p>
        </w:tc>
        <w:tc>
          <w:tcPr>
            <w:tcW w:w="6520" w:type="dxa"/>
          </w:tcPr>
          <w:p w:rsidR="00735DE8" w:rsidRPr="00513781" w:rsidRDefault="00735DE8" w:rsidP="00ED1F48">
            <w:pPr>
              <w:pStyle w:val="Sansinterligne"/>
              <w:numPr>
                <w:ilvl w:val="0"/>
                <w:numId w:val="1448"/>
              </w:numPr>
              <w:rPr>
                <w:rFonts w:eastAsia="Times New Roman" w:cs="Times New Roman"/>
                <w:color w:val="000000"/>
                <w:highlight w:val="yellow"/>
                <w:lang w:eastAsia="fr-CA"/>
              </w:rPr>
            </w:pPr>
            <w:r w:rsidRPr="00513781">
              <w:rPr>
                <w:rFonts w:eastAsia="Times New Roman" w:cs="Times New Roman"/>
                <w:color w:val="000000"/>
                <w:highlight w:val="yellow"/>
                <w:lang w:eastAsia="fr-CA"/>
              </w:rPr>
              <w:t>Dépistage CAGE</w:t>
            </w:r>
          </w:p>
        </w:tc>
        <w:tc>
          <w:tcPr>
            <w:tcW w:w="1843" w:type="dxa"/>
            <w:vMerge/>
            <w:shd w:val="clear" w:color="auto" w:fill="000000" w:themeFill="text1"/>
          </w:tcPr>
          <w:p w:rsidR="00735DE8" w:rsidRDefault="00735DE8" w:rsidP="00962746">
            <w:pPr>
              <w:pStyle w:val="Sansinterligne"/>
              <w:rPr>
                <w:rFonts w:eastAsia="Times New Roman" w:cs="Times New Roman"/>
                <w:color w:val="000000"/>
                <w:lang w:eastAsia="fr-CA"/>
              </w:rPr>
            </w:pPr>
          </w:p>
        </w:tc>
      </w:tr>
      <w:tr w:rsidR="00735DE8" w:rsidTr="00513781">
        <w:trPr>
          <w:cantSplit/>
          <w:trHeight w:val="321"/>
        </w:trPr>
        <w:tc>
          <w:tcPr>
            <w:tcW w:w="592" w:type="dxa"/>
            <w:vMerge/>
            <w:shd w:val="clear" w:color="auto" w:fill="C4BC96" w:themeFill="background2" w:themeFillShade="BF"/>
            <w:textDirection w:val="btLr"/>
            <w:vAlign w:val="center"/>
          </w:tcPr>
          <w:p w:rsidR="00735DE8" w:rsidRPr="00905B38" w:rsidRDefault="00735DE8" w:rsidP="00962746">
            <w:pPr>
              <w:pStyle w:val="Sansinterligne"/>
              <w:ind w:left="113" w:right="113"/>
              <w:jc w:val="center"/>
              <w:rPr>
                <w:rFonts w:eastAsia="Times New Roman" w:cs="Times New Roman"/>
                <w:b/>
                <w:color w:val="000000"/>
                <w:lang w:eastAsia="fr-CA"/>
              </w:rPr>
            </w:pPr>
          </w:p>
        </w:tc>
        <w:tc>
          <w:tcPr>
            <w:tcW w:w="2068" w:type="dxa"/>
            <w:vAlign w:val="center"/>
          </w:tcPr>
          <w:p w:rsidR="00735DE8" w:rsidRDefault="00735DE8" w:rsidP="0057662A">
            <w:pPr>
              <w:pStyle w:val="Sansinterligne"/>
              <w:jc w:val="center"/>
              <w:rPr>
                <w:rFonts w:eastAsia="Times New Roman" w:cs="Times New Roman"/>
                <w:color w:val="000000"/>
                <w:lang w:eastAsia="fr-CA"/>
              </w:rPr>
            </w:pPr>
            <w:r w:rsidRPr="00513781">
              <w:rPr>
                <w:rFonts w:eastAsia="Times New Roman" w:cs="Times New Roman"/>
                <w:color w:val="000000"/>
                <w:highlight w:val="yellow"/>
                <w:lang w:eastAsia="fr-CA"/>
              </w:rPr>
              <w:t>Vaccination</w:t>
            </w:r>
          </w:p>
          <w:p w:rsidR="00735DE8" w:rsidRDefault="00735DE8" w:rsidP="0057662A">
            <w:pPr>
              <w:pStyle w:val="Sansinterligne"/>
              <w:jc w:val="center"/>
              <w:rPr>
                <w:rFonts w:eastAsia="Times New Roman" w:cs="Times New Roman"/>
                <w:color w:val="000000"/>
                <w:lang w:eastAsia="fr-CA"/>
              </w:rPr>
            </w:pPr>
          </w:p>
        </w:tc>
        <w:tc>
          <w:tcPr>
            <w:tcW w:w="6520" w:type="dxa"/>
          </w:tcPr>
          <w:p w:rsidR="00735DE8" w:rsidRDefault="00735DE8" w:rsidP="00ED1F48">
            <w:pPr>
              <w:pStyle w:val="Sansinterligne"/>
              <w:numPr>
                <w:ilvl w:val="0"/>
                <w:numId w:val="1449"/>
              </w:numPr>
              <w:rPr>
                <w:rFonts w:eastAsia="Times New Roman" w:cs="Times New Roman"/>
                <w:color w:val="000000"/>
                <w:lang w:eastAsia="fr-CA"/>
              </w:rPr>
            </w:pPr>
            <w:r>
              <w:rPr>
                <w:rFonts w:eastAsia="Times New Roman" w:cs="Times New Roman"/>
                <w:color w:val="000000"/>
                <w:lang w:eastAsia="fr-CA"/>
              </w:rPr>
              <w:t>Suivre le calendrier vaccinal de l’enfant</w:t>
            </w:r>
          </w:p>
          <w:p w:rsidR="00735DE8" w:rsidRDefault="00735DE8" w:rsidP="00ED1F48">
            <w:pPr>
              <w:pStyle w:val="Sansinterligne"/>
              <w:numPr>
                <w:ilvl w:val="0"/>
                <w:numId w:val="1449"/>
              </w:numPr>
              <w:rPr>
                <w:rFonts w:eastAsia="Times New Roman" w:cs="Times New Roman"/>
                <w:color w:val="000000"/>
                <w:lang w:eastAsia="fr-CA"/>
              </w:rPr>
            </w:pPr>
            <w:r>
              <w:rPr>
                <w:rFonts w:eastAsia="Times New Roman" w:cs="Times New Roman"/>
                <w:color w:val="000000"/>
                <w:lang w:eastAsia="fr-CA"/>
              </w:rPr>
              <w:t>Mise à jour vaccinale (tétanos</w:t>
            </w:r>
            <w:r w:rsidR="000C0CEC">
              <w:rPr>
                <w:rFonts w:eastAsia="Times New Roman" w:cs="Times New Roman"/>
                <w:color w:val="000000"/>
                <w:lang w:eastAsia="fr-CA"/>
              </w:rPr>
              <w:t xml:space="preserve"> q 10 ans</w:t>
            </w:r>
            <w:r>
              <w:rPr>
                <w:rFonts w:eastAsia="Times New Roman" w:cs="Times New Roman"/>
                <w:color w:val="000000"/>
                <w:lang w:eastAsia="fr-CA"/>
              </w:rPr>
              <w:t>, rage, etc.)</w:t>
            </w:r>
          </w:p>
        </w:tc>
        <w:tc>
          <w:tcPr>
            <w:tcW w:w="1843" w:type="dxa"/>
            <w:vMerge/>
            <w:shd w:val="clear" w:color="auto" w:fill="000000" w:themeFill="text1"/>
          </w:tcPr>
          <w:p w:rsidR="00735DE8" w:rsidRDefault="00735DE8" w:rsidP="00962746">
            <w:pPr>
              <w:pStyle w:val="Sansinterligne"/>
              <w:rPr>
                <w:rFonts w:eastAsia="Times New Roman" w:cs="Times New Roman"/>
                <w:color w:val="000000"/>
                <w:lang w:eastAsia="fr-CA"/>
              </w:rPr>
            </w:pPr>
          </w:p>
        </w:tc>
      </w:tr>
      <w:tr w:rsidR="00735DE8" w:rsidTr="00513781">
        <w:trPr>
          <w:cantSplit/>
          <w:trHeight w:val="291"/>
        </w:trPr>
        <w:tc>
          <w:tcPr>
            <w:tcW w:w="592" w:type="dxa"/>
            <w:vMerge w:val="restart"/>
            <w:shd w:val="clear" w:color="auto" w:fill="C4BC96" w:themeFill="background2" w:themeFillShade="BF"/>
            <w:textDirection w:val="btLr"/>
            <w:vAlign w:val="center"/>
          </w:tcPr>
          <w:p w:rsidR="00735DE8" w:rsidRPr="00905B38" w:rsidRDefault="00735DE8" w:rsidP="00962746">
            <w:pPr>
              <w:pStyle w:val="Sansinterligne"/>
              <w:ind w:left="113" w:right="113"/>
              <w:jc w:val="center"/>
              <w:rPr>
                <w:rFonts w:eastAsia="Times New Roman" w:cs="Times New Roman"/>
                <w:b/>
                <w:color w:val="000000"/>
                <w:lang w:eastAsia="fr-CA"/>
              </w:rPr>
            </w:pPr>
            <w:r w:rsidRPr="00905B38">
              <w:rPr>
                <w:rFonts w:eastAsia="Times New Roman" w:cs="Times New Roman"/>
                <w:b/>
                <w:color w:val="000000"/>
                <w:lang w:eastAsia="fr-CA"/>
              </w:rPr>
              <w:t>Enfants</w:t>
            </w:r>
          </w:p>
        </w:tc>
        <w:tc>
          <w:tcPr>
            <w:tcW w:w="2068" w:type="dxa"/>
            <w:vAlign w:val="center"/>
          </w:tcPr>
          <w:p w:rsidR="00735DE8" w:rsidRPr="00513781" w:rsidRDefault="00735DE8" w:rsidP="0057662A">
            <w:pPr>
              <w:pStyle w:val="Sansinterligne"/>
              <w:jc w:val="center"/>
              <w:rPr>
                <w:rFonts w:eastAsia="Times New Roman" w:cs="Times New Roman"/>
                <w:color w:val="000000"/>
                <w:highlight w:val="yellow"/>
                <w:lang w:eastAsia="fr-CA"/>
              </w:rPr>
            </w:pPr>
            <w:r w:rsidRPr="00513781">
              <w:rPr>
                <w:rFonts w:eastAsia="Times New Roman" w:cs="Times New Roman"/>
                <w:color w:val="000000"/>
                <w:highlight w:val="yellow"/>
                <w:lang w:eastAsia="fr-CA"/>
              </w:rPr>
              <w:t>Retar</w:t>
            </w:r>
            <w:r w:rsidR="00282A9F" w:rsidRPr="00513781">
              <w:rPr>
                <w:rFonts w:eastAsia="Times New Roman" w:cs="Times New Roman"/>
                <w:color w:val="000000"/>
                <w:highlight w:val="yellow"/>
                <w:lang w:eastAsia="fr-CA"/>
              </w:rPr>
              <w:t>d de développement</w:t>
            </w:r>
          </w:p>
        </w:tc>
        <w:tc>
          <w:tcPr>
            <w:tcW w:w="6520" w:type="dxa"/>
          </w:tcPr>
          <w:p w:rsidR="00735DE8" w:rsidRDefault="00383C37" w:rsidP="00ED1F48">
            <w:pPr>
              <w:pStyle w:val="Sansinterligne"/>
              <w:numPr>
                <w:ilvl w:val="0"/>
                <w:numId w:val="1450"/>
              </w:numPr>
              <w:rPr>
                <w:rFonts w:eastAsia="Times New Roman" w:cs="Times New Roman"/>
                <w:color w:val="000000"/>
                <w:lang w:eastAsia="fr-CA"/>
              </w:rPr>
            </w:pPr>
            <w:r>
              <w:rPr>
                <w:rFonts w:eastAsia="Times New Roman" w:cs="Times New Roman"/>
                <w:color w:val="000000"/>
                <w:lang w:eastAsia="fr-CA"/>
              </w:rPr>
              <w:t>Évaluer l’enfant régulièrement pour voir sa courbe de croissance et le développement des habiletés</w:t>
            </w:r>
          </w:p>
          <w:p w:rsidR="00383C37" w:rsidRDefault="00383C37" w:rsidP="00ED1F48">
            <w:pPr>
              <w:pStyle w:val="Sansinterligne"/>
              <w:numPr>
                <w:ilvl w:val="0"/>
                <w:numId w:val="1450"/>
              </w:numPr>
              <w:rPr>
                <w:rFonts w:eastAsia="Times New Roman" w:cs="Times New Roman"/>
                <w:color w:val="000000"/>
                <w:lang w:eastAsia="fr-CA"/>
              </w:rPr>
            </w:pPr>
            <w:r>
              <w:rPr>
                <w:rFonts w:eastAsia="Times New Roman" w:cs="Times New Roman"/>
                <w:color w:val="000000"/>
                <w:lang w:eastAsia="fr-CA"/>
              </w:rPr>
              <w:t xml:space="preserve">Se référer à </w:t>
            </w:r>
            <w:r w:rsidRPr="00383C37">
              <w:rPr>
                <w:rFonts w:eastAsia="Times New Roman" w:cs="Times New Roman"/>
                <w:i/>
                <w:color w:val="000000"/>
                <w:lang w:eastAsia="fr-CA"/>
              </w:rPr>
              <w:t>Retard de développement CMC 21</w:t>
            </w:r>
          </w:p>
        </w:tc>
        <w:tc>
          <w:tcPr>
            <w:tcW w:w="1843" w:type="dxa"/>
          </w:tcPr>
          <w:p w:rsidR="00735DE8" w:rsidRPr="00383C37" w:rsidRDefault="00383C37" w:rsidP="00383C37">
            <w:pPr>
              <w:pStyle w:val="Sansinterligne"/>
              <w:jc w:val="center"/>
              <w:rPr>
                <w:rFonts w:eastAsia="Times New Roman" w:cs="Times New Roman"/>
                <w:color w:val="000000"/>
                <w:u w:val="single"/>
                <w:lang w:eastAsia="fr-CA"/>
              </w:rPr>
            </w:pPr>
            <w:r w:rsidRPr="00383C37">
              <w:rPr>
                <w:rFonts w:eastAsia="Times New Roman" w:cs="Times New Roman"/>
                <w:color w:val="000000"/>
                <w:u w:val="single"/>
                <w:lang w:eastAsia="fr-CA"/>
              </w:rPr>
              <w:t>Toute l’enfance</w:t>
            </w:r>
          </w:p>
          <w:p w:rsidR="00383C37" w:rsidRDefault="00383C37" w:rsidP="00383C37">
            <w:pPr>
              <w:pStyle w:val="Sansinterligne"/>
              <w:rPr>
                <w:rFonts w:eastAsia="Times New Roman" w:cs="Times New Roman"/>
                <w:color w:val="000000"/>
                <w:lang w:eastAsia="fr-CA"/>
              </w:rPr>
            </w:pPr>
            <w:r>
              <w:rPr>
                <w:rFonts w:eastAsia="Times New Roman" w:cs="Times New Roman"/>
                <w:color w:val="000000"/>
                <w:lang w:eastAsia="fr-CA"/>
              </w:rPr>
              <w:t xml:space="preserve"> </w:t>
            </w:r>
          </w:p>
        </w:tc>
      </w:tr>
      <w:tr w:rsidR="00735DE8" w:rsidTr="00513781">
        <w:trPr>
          <w:cantSplit/>
          <w:trHeight w:val="291"/>
        </w:trPr>
        <w:tc>
          <w:tcPr>
            <w:tcW w:w="592" w:type="dxa"/>
            <w:vMerge/>
            <w:shd w:val="clear" w:color="auto" w:fill="C4BC96" w:themeFill="background2" w:themeFillShade="BF"/>
            <w:textDirection w:val="btLr"/>
            <w:vAlign w:val="center"/>
          </w:tcPr>
          <w:p w:rsidR="00735DE8" w:rsidRDefault="00735DE8" w:rsidP="00962746">
            <w:pPr>
              <w:pStyle w:val="Sansinterligne"/>
              <w:ind w:left="113" w:right="113"/>
              <w:jc w:val="center"/>
              <w:rPr>
                <w:rFonts w:eastAsia="Times New Roman" w:cs="Times New Roman"/>
                <w:color w:val="000000"/>
                <w:lang w:eastAsia="fr-CA"/>
              </w:rPr>
            </w:pPr>
          </w:p>
        </w:tc>
        <w:tc>
          <w:tcPr>
            <w:tcW w:w="2068" w:type="dxa"/>
            <w:vAlign w:val="center"/>
          </w:tcPr>
          <w:p w:rsidR="00735DE8" w:rsidRPr="00513781" w:rsidRDefault="00282A9F" w:rsidP="0057662A">
            <w:pPr>
              <w:pStyle w:val="Sansinterligne"/>
              <w:jc w:val="center"/>
              <w:rPr>
                <w:rFonts w:eastAsia="Times New Roman" w:cs="Times New Roman"/>
                <w:color w:val="000000"/>
                <w:highlight w:val="yellow"/>
                <w:lang w:eastAsia="fr-CA"/>
              </w:rPr>
            </w:pPr>
            <w:r w:rsidRPr="00513781">
              <w:rPr>
                <w:rFonts w:eastAsia="Times New Roman" w:cs="Times New Roman"/>
                <w:color w:val="000000"/>
                <w:highlight w:val="yellow"/>
                <w:lang w:eastAsia="fr-CA"/>
              </w:rPr>
              <w:t>Maltraitance</w:t>
            </w:r>
          </w:p>
        </w:tc>
        <w:tc>
          <w:tcPr>
            <w:tcW w:w="6520" w:type="dxa"/>
          </w:tcPr>
          <w:p w:rsidR="00383C37" w:rsidRDefault="00383C37" w:rsidP="00ED1F48">
            <w:pPr>
              <w:pStyle w:val="Sansinterligne"/>
              <w:numPr>
                <w:ilvl w:val="0"/>
                <w:numId w:val="1451"/>
              </w:numPr>
              <w:rPr>
                <w:rFonts w:eastAsia="Times New Roman" w:cs="Times New Roman"/>
                <w:color w:val="000000"/>
                <w:lang w:eastAsia="fr-CA"/>
              </w:rPr>
            </w:pPr>
            <w:r>
              <w:rPr>
                <w:rFonts w:eastAsia="Times New Roman" w:cs="Times New Roman"/>
                <w:color w:val="000000"/>
                <w:lang w:eastAsia="fr-CA"/>
              </w:rPr>
              <w:t>Considérer la maltraitance et ses facteurs de risque lors d’une plainte inhabituelle, suspecte ou un retard de développement.</w:t>
            </w:r>
          </w:p>
          <w:p w:rsidR="00383C37" w:rsidRDefault="00383C37" w:rsidP="00ED1F48">
            <w:pPr>
              <w:pStyle w:val="Sansinterligne"/>
              <w:numPr>
                <w:ilvl w:val="0"/>
                <w:numId w:val="1451"/>
              </w:numPr>
              <w:rPr>
                <w:rFonts w:eastAsia="Times New Roman" w:cs="Times New Roman"/>
                <w:color w:val="000000"/>
                <w:lang w:eastAsia="fr-CA"/>
              </w:rPr>
            </w:pPr>
            <w:r>
              <w:rPr>
                <w:rFonts w:eastAsia="Times New Roman" w:cs="Times New Roman"/>
                <w:color w:val="000000"/>
                <w:lang w:eastAsia="fr-CA"/>
              </w:rPr>
              <w:t xml:space="preserve">Voir </w:t>
            </w:r>
            <w:r w:rsidRPr="00383C37">
              <w:rPr>
                <w:rFonts w:eastAsia="Times New Roman" w:cs="Times New Roman"/>
                <w:i/>
                <w:color w:val="000000"/>
                <w:lang w:eastAsia="fr-CA"/>
              </w:rPr>
              <w:t>Mauvais traitements envers un enfant CMC 114-1</w:t>
            </w:r>
          </w:p>
        </w:tc>
        <w:tc>
          <w:tcPr>
            <w:tcW w:w="1843" w:type="dxa"/>
          </w:tcPr>
          <w:p w:rsidR="00383C37" w:rsidRPr="00383C37" w:rsidRDefault="00383C37" w:rsidP="00383C37">
            <w:pPr>
              <w:pStyle w:val="Sansinterligne"/>
              <w:jc w:val="center"/>
              <w:rPr>
                <w:rFonts w:eastAsia="Times New Roman" w:cs="Times New Roman"/>
                <w:color w:val="000000"/>
                <w:u w:val="single"/>
                <w:lang w:eastAsia="fr-CA"/>
              </w:rPr>
            </w:pPr>
            <w:r w:rsidRPr="00383C37">
              <w:rPr>
                <w:rFonts w:eastAsia="Times New Roman" w:cs="Times New Roman"/>
                <w:color w:val="000000"/>
                <w:u w:val="single"/>
                <w:lang w:eastAsia="fr-CA"/>
              </w:rPr>
              <w:t>Toute l’enfance</w:t>
            </w:r>
          </w:p>
          <w:p w:rsidR="00735DE8" w:rsidRDefault="00735DE8" w:rsidP="00962746">
            <w:pPr>
              <w:pStyle w:val="Sansinterligne"/>
              <w:rPr>
                <w:rFonts w:eastAsia="Times New Roman" w:cs="Times New Roman"/>
                <w:color w:val="000000"/>
                <w:lang w:eastAsia="fr-CA"/>
              </w:rPr>
            </w:pPr>
          </w:p>
        </w:tc>
      </w:tr>
      <w:tr w:rsidR="00735DE8" w:rsidTr="00513781">
        <w:trPr>
          <w:cantSplit/>
          <w:trHeight w:val="291"/>
        </w:trPr>
        <w:tc>
          <w:tcPr>
            <w:tcW w:w="592" w:type="dxa"/>
            <w:vMerge/>
            <w:shd w:val="clear" w:color="auto" w:fill="C4BC96" w:themeFill="background2" w:themeFillShade="BF"/>
            <w:textDirection w:val="btLr"/>
            <w:vAlign w:val="center"/>
          </w:tcPr>
          <w:p w:rsidR="00735DE8" w:rsidRDefault="00735DE8" w:rsidP="00962746">
            <w:pPr>
              <w:pStyle w:val="Sansinterligne"/>
              <w:ind w:left="113" w:right="113"/>
              <w:jc w:val="center"/>
              <w:rPr>
                <w:rFonts w:eastAsia="Times New Roman" w:cs="Times New Roman"/>
                <w:color w:val="000000"/>
                <w:lang w:eastAsia="fr-CA"/>
              </w:rPr>
            </w:pPr>
          </w:p>
        </w:tc>
        <w:tc>
          <w:tcPr>
            <w:tcW w:w="2068" w:type="dxa"/>
            <w:vAlign w:val="center"/>
          </w:tcPr>
          <w:p w:rsidR="00735DE8" w:rsidRDefault="00282A9F" w:rsidP="0057662A">
            <w:pPr>
              <w:pStyle w:val="Sansinterligne"/>
              <w:jc w:val="center"/>
              <w:rPr>
                <w:rFonts w:eastAsia="Times New Roman" w:cs="Times New Roman"/>
                <w:color w:val="000000"/>
                <w:lang w:eastAsia="fr-CA"/>
              </w:rPr>
            </w:pPr>
            <w:r w:rsidRPr="00513781">
              <w:rPr>
                <w:rFonts w:eastAsia="Times New Roman" w:cs="Times New Roman"/>
                <w:color w:val="000000"/>
                <w:highlight w:val="yellow"/>
                <w:lang w:eastAsia="fr-CA"/>
              </w:rPr>
              <w:t>Amblyopie</w:t>
            </w:r>
          </w:p>
        </w:tc>
        <w:tc>
          <w:tcPr>
            <w:tcW w:w="6520" w:type="dxa"/>
          </w:tcPr>
          <w:p w:rsidR="00383C37" w:rsidRDefault="00383C37" w:rsidP="00ED1F48">
            <w:pPr>
              <w:pStyle w:val="Sansinterligne"/>
              <w:numPr>
                <w:ilvl w:val="0"/>
                <w:numId w:val="1452"/>
              </w:numPr>
              <w:rPr>
                <w:rFonts w:eastAsia="Times New Roman" w:cs="Times New Roman"/>
                <w:color w:val="000000"/>
                <w:lang w:eastAsia="fr-CA"/>
              </w:rPr>
            </w:pPr>
            <w:r>
              <w:rPr>
                <w:rFonts w:eastAsia="Times New Roman" w:cs="Times New Roman"/>
                <w:color w:val="000000"/>
                <w:lang w:eastAsia="fr-CA"/>
              </w:rPr>
              <w:t xml:space="preserve">Évaluer l’alignement oculaire et la vision de l’enfant régulièrement </w:t>
            </w:r>
          </w:p>
          <w:p w:rsidR="00383C37" w:rsidRDefault="00383C37" w:rsidP="00ED1F48">
            <w:pPr>
              <w:pStyle w:val="Sansinterligne"/>
              <w:numPr>
                <w:ilvl w:val="0"/>
                <w:numId w:val="1452"/>
              </w:numPr>
              <w:rPr>
                <w:rFonts w:eastAsia="Times New Roman" w:cs="Times New Roman"/>
                <w:color w:val="000000"/>
                <w:lang w:eastAsia="fr-CA"/>
              </w:rPr>
            </w:pPr>
            <w:r>
              <w:rPr>
                <w:rFonts w:eastAsia="Times New Roman" w:cs="Times New Roman"/>
                <w:color w:val="000000"/>
                <w:lang w:eastAsia="fr-CA"/>
              </w:rPr>
              <w:t>Inclure le reflet rétinien dans son examen</w:t>
            </w:r>
          </w:p>
          <w:p w:rsidR="00735DE8" w:rsidRDefault="00282A9F" w:rsidP="00ED1F48">
            <w:pPr>
              <w:pStyle w:val="Sansinterligne"/>
              <w:numPr>
                <w:ilvl w:val="0"/>
                <w:numId w:val="1452"/>
              </w:numPr>
              <w:rPr>
                <w:rFonts w:eastAsia="Times New Roman" w:cs="Times New Roman"/>
                <w:color w:val="000000"/>
                <w:lang w:eastAsia="fr-CA"/>
              </w:rPr>
            </w:pPr>
            <w:r>
              <w:rPr>
                <w:rFonts w:eastAsia="Times New Roman" w:cs="Times New Roman"/>
                <w:color w:val="000000"/>
                <w:lang w:eastAsia="fr-CA"/>
              </w:rPr>
              <w:t xml:space="preserve">Voir </w:t>
            </w:r>
            <w:r w:rsidRPr="00383C37">
              <w:rPr>
                <w:rFonts w:eastAsia="Times New Roman" w:cs="Times New Roman"/>
                <w:i/>
                <w:color w:val="000000"/>
                <w:lang w:eastAsia="fr-CA"/>
              </w:rPr>
              <w:t>Strabisme et/ou amblyopie CMC 102</w:t>
            </w:r>
          </w:p>
        </w:tc>
        <w:tc>
          <w:tcPr>
            <w:tcW w:w="1843" w:type="dxa"/>
          </w:tcPr>
          <w:p w:rsidR="00735DE8" w:rsidRDefault="00282A9F" w:rsidP="00513781">
            <w:pPr>
              <w:pStyle w:val="Sansinterligne"/>
              <w:jc w:val="center"/>
              <w:rPr>
                <w:rFonts w:eastAsia="Times New Roman" w:cs="Times New Roman"/>
                <w:color w:val="000000"/>
                <w:lang w:eastAsia="fr-CA"/>
              </w:rPr>
            </w:pPr>
            <w:r w:rsidRPr="00513781">
              <w:rPr>
                <w:rFonts w:eastAsia="Times New Roman" w:cs="Times New Roman"/>
                <w:color w:val="000000"/>
                <w:highlight w:val="yellow"/>
                <w:lang w:eastAsia="fr-CA"/>
              </w:rPr>
              <w:t>Avant 7 ans</w:t>
            </w:r>
          </w:p>
          <w:p w:rsidR="00383C37" w:rsidRDefault="00383C37" w:rsidP="00383C37">
            <w:pPr>
              <w:pStyle w:val="Sansinterligne"/>
              <w:jc w:val="center"/>
              <w:rPr>
                <w:rFonts w:eastAsia="Times New Roman" w:cs="Times New Roman"/>
                <w:color w:val="000000"/>
                <w:lang w:eastAsia="fr-CA"/>
              </w:rPr>
            </w:pPr>
            <w:r>
              <w:rPr>
                <w:rFonts w:eastAsia="Times New Roman" w:cs="Times New Roman"/>
                <w:color w:val="000000"/>
                <w:lang w:eastAsia="fr-CA"/>
              </w:rPr>
              <w:t>(irréversible ensuite)</w:t>
            </w:r>
          </w:p>
        </w:tc>
      </w:tr>
      <w:tr w:rsidR="00735DE8" w:rsidTr="00513781">
        <w:trPr>
          <w:cantSplit/>
          <w:trHeight w:val="291"/>
        </w:trPr>
        <w:tc>
          <w:tcPr>
            <w:tcW w:w="592" w:type="dxa"/>
            <w:vMerge/>
            <w:shd w:val="clear" w:color="auto" w:fill="C4BC96" w:themeFill="background2" w:themeFillShade="BF"/>
            <w:textDirection w:val="btLr"/>
            <w:vAlign w:val="center"/>
          </w:tcPr>
          <w:p w:rsidR="00735DE8" w:rsidRDefault="00735DE8" w:rsidP="00962746">
            <w:pPr>
              <w:pStyle w:val="Sansinterligne"/>
              <w:ind w:left="113" w:right="113"/>
              <w:jc w:val="center"/>
              <w:rPr>
                <w:rFonts w:eastAsia="Times New Roman" w:cs="Times New Roman"/>
                <w:color w:val="000000"/>
                <w:lang w:eastAsia="fr-CA"/>
              </w:rPr>
            </w:pPr>
          </w:p>
        </w:tc>
        <w:tc>
          <w:tcPr>
            <w:tcW w:w="2068" w:type="dxa"/>
            <w:vAlign w:val="center"/>
          </w:tcPr>
          <w:p w:rsidR="00735DE8" w:rsidRDefault="00282A9F" w:rsidP="0057662A">
            <w:pPr>
              <w:pStyle w:val="Sansinterligne"/>
              <w:jc w:val="center"/>
              <w:rPr>
                <w:rFonts w:eastAsia="Times New Roman" w:cs="Times New Roman"/>
                <w:color w:val="000000"/>
                <w:lang w:eastAsia="fr-CA"/>
              </w:rPr>
            </w:pPr>
            <w:r>
              <w:rPr>
                <w:rFonts w:eastAsia="Times New Roman" w:cs="Times New Roman"/>
                <w:color w:val="000000"/>
                <w:lang w:eastAsia="fr-CA"/>
              </w:rPr>
              <w:t>Perte auditive</w:t>
            </w:r>
          </w:p>
        </w:tc>
        <w:tc>
          <w:tcPr>
            <w:tcW w:w="6520" w:type="dxa"/>
          </w:tcPr>
          <w:p w:rsidR="00735DE8" w:rsidRDefault="00383C37" w:rsidP="00ED1F48">
            <w:pPr>
              <w:pStyle w:val="Sansinterligne"/>
              <w:numPr>
                <w:ilvl w:val="0"/>
                <w:numId w:val="1453"/>
              </w:numPr>
              <w:rPr>
                <w:rFonts w:eastAsia="Times New Roman" w:cs="Times New Roman"/>
                <w:color w:val="000000"/>
                <w:lang w:eastAsia="fr-CA"/>
              </w:rPr>
            </w:pPr>
            <w:r>
              <w:rPr>
                <w:rFonts w:eastAsia="Times New Roman" w:cs="Times New Roman"/>
                <w:color w:val="000000"/>
                <w:lang w:eastAsia="fr-CA"/>
              </w:rPr>
              <w:t>Lors d’un retard de langage ou de développement considérer atteinte auditive</w:t>
            </w:r>
          </w:p>
          <w:p w:rsidR="00383C37" w:rsidRDefault="00383C37" w:rsidP="00ED1F48">
            <w:pPr>
              <w:pStyle w:val="Sansinterligne"/>
              <w:numPr>
                <w:ilvl w:val="0"/>
                <w:numId w:val="1453"/>
              </w:numPr>
              <w:rPr>
                <w:rFonts w:eastAsia="Times New Roman" w:cs="Times New Roman"/>
                <w:color w:val="000000"/>
                <w:lang w:eastAsia="fr-CA"/>
              </w:rPr>
            </w:pPr>
            <w:r>
              <w:rPr>
                <w:rFonts w:eastAsia="Times New Roman" w:cs="Times New Roman"/>
                <w:color w:val="000000"/>
                <w:lang w:eastAsia="fr-CA"/>
              </w:rPr>
              <w:t>Examen audiologique si suspicion</w:t>
            </w:r>
          </w:p>
        </w:tc>
        <w:tc>
          <w:tcPr>
            <w:tcW w:w="1843" w:type="dxa"/>
          </w:tcPr>
          <w:p w:rsidR="00735DE8" w:rsidRDefault="00735DE8" w:rsidP="00962746">
            <w:pPr>
              <w:pStyle w:val="Sansinterligne"/>
              <w:rPr>
                <w:rFonts w:eastAsia="Times New Roman" w:cs="Times New Roman"/>
                <w:color w:val="000000"/>
                <w:lang w:eastAsia="fr-CA"/>
              </w:rPr>
            </w:pPr>
          </w:p>
        </w:tc>
      </w:tr>
      <w:tr w:rsidR="00735DE8" w:rsidTr="00513781">
        <w:trPr>
          <w:cantSplit/>
          <w:trHeight w:val="388"/>
        </w:trPr>
        <w:tc>
          <w:tcPr>
            <w:tcW w:w="592" w:type="dxa"/>
            <w:vMerge w:val="restart"/>
            <w:shd w:val="clear" w:color="auto" w:fill="C4BC96" w:themeFill="background2" w:themeFillShade="BF"/>
            <w:textDirection w:val="btLr"/>
            <w:vAlign w:val="center"/>
          </w:tcPr>
          <w:p w:rsidR="00735DE8" w:rsidRPr="00905B38" w:rsidRDefault="00735DE8" w:rsidP="00962746">
            <w:pPr>
              <w:pStyle w:val="Sansinterligne"/>
              <w:ind w:left="113" w:right="113"/>
              <w:jc w:val="center"/>
              <w:rPr>
                <w:rFonts w:eastAsia="Times New Roman" w:cs="Times New Roman"/>
                <w:b/>
                <w:color w:val="000000"/>
                <w:lang w:eastAsia="fr-CA"/>
              </w:rPr>
            </w:pPr>
            <w:r w:rsidRPr="00905B38">
              <w:rPr>
                <w:rFonts w:eastAsia="Times New Roman" w:cs="Times New Roman"/>
                <w:b/>
                <w:color w:val="000000"/>
                <w:lang w:eastAsia="fr-CA"/>
              </w:rPr>
              <w:t>Adolescents</w:t>
            </w:r>
          </w:p>
        </w:tc>
        <w:tc>
          <w:tcPr>
            <w:tcW w:w="2068" w:type="dxa"/>
            <w:vAlign w:val="center"/>
          </w:tcPr>
          <w:p w:rsidR="00735DE8" w:rsidRDefault="00735DE8" w:rsidP="0057662A">
            <w:pPr>
              <w:pStyle w:val="Sansinterligne"/>
              <w:jc w:val="center"/>
              <w:rPr>
                <w:rFonts w:eastAsia="Times New Roman" w:cs="Times New Roman"/>
                <w:color w:val="000000"/>
                <w:lang w:eastAsia="fr-CA"/>
              </w:rPr>
            </w:pPr>
            <w:r w:rsidRPr="00513781">
              <w:rPr>
                <w:rFonts w:eastAsia="Times New Roman" w:cs="Times New Roman"/>
                <w:color w:val="000000"/>
                <w:highlight w:val="yellow"/>
                <w:lang w:eastAsia="fr-CA"/>
              </w:rPr>
              <w:t>ITSS</w:t>
            </w:r>
          </w:p>
          <w:p w:rsidR="00735DE8" w:rsidRDefault="00735DE8" w:rsidP="0057662A">
            <w:pPr>
              <w:pStyle w:val="Sansinterligne"/>
              <w:jc w:val="center"/>
              <w:rPr>
                <w:rFonts w:eastAsia="Times New Roman" w:cs="Times New Roman"/>
                <w:color w:val="000000"/>
                <w:lang w:eastAsia="fr-CA"/>
              </w:rPr>
            </w:pPr>
          </w:p>
        </w:tc>
        <w:tc>
          <w:tcPr>
            <w:tcW w:w="6520" w:type="dxa"/>
          </w:tcPr>
          <w:p w:rsidR="0057662A" w:rsidRDefault="0057662A" w:rsidP="00ED1F48">
            <w:pPr>
              <w:pStyle w:val="Sansinterligne"/>
              <w:numPr>
                <w:ilvl w:val="0"/>
                <w:numId w:val="1454"/>
              </w:numPr>
              <w:rPr>
                <w:rFonts w:eastAsia="Times New Roman" w:cs="Times New Roman"/>
                <w:color w:val="000000"/>
                <w:lang w:eastAsia="fr-CA"/>
              </w:rPr>
            </w:pPr>
            <w:r>
              <w:rPr>
                <w:rFonts w:eastAsia="Times New Roman" w:cs="Times New Roman"/>
                <w:color w:val="000000"/>
                <w:lang w:eastAsia="fr-CA"/>
              </w:rPr>
              <w:t>Aborder la question de la sexualité avec les adolescents (idéalement en privé)</w:t>
            </w:r>
          </w:p>
          <w:p w:rsidR="0057662A" w:rsidRDefault="0057662A" w:rsidP="00ED1F48">
            <w:pPr>
              <w:pStyle w:val="Sansinterligne"/>
              <w:numPr>
                <w:ilvl w:val="0"/>
                <w:numId w:val="1454"/>
              </w:numPr>
              <w:rPr>
                <w:rFonts w:eastAsia="Times New Roman" w:cs="Times New Roman"/>
                <w:color w:val="000000"/>
                <w:lang w:eastAsia="fr-CA"/>
              </w:rPr>
            </w:pPr>
            <w:r>
              <w:rPr>
                <w:rFonts w:eastAsia="Times New Roman" w:cs="Times New Roman"/>
                <w:color w:val="000000"/>
                <w:lang w:eastAsia="fr-CA"/>
              </w:rPr>
              <w:t xml:space="preserve">Considérer les facteurs de risque (nombres de partenaires, </w:t>
            </w:r>
            <w:r w:rsidR="004D43D1">
              <w:rPr>
                <w:rFonts w:eastAsia="Times New Roman" w:cs="Times New Roman"/>
                <w:color w:val="000000"/>
                <w:lang w:eastAsia="fr-CA"/>
              </w:rPr>
              <w:t>etc)</w:t>
            </w:r>
          </w:p>
          <w:p w:rsidR="0057662A" w:rsidRDefault="0057662A" w:rsidP="00ED1F48">
            <w:pPr>
              <w:pStyle w:val="Sansinterligne"/>
              <w:numPr>
                <w:ilvl w:val="0"/>
                <w:numId w:val="1454"/>
              </w:numPr>
              <w:rPr>
                <w:rFonts w:eastAsia="Times New Roman" w:cs="Times New Roman"/>
                <w:color w:val="000000"/>
                <w:lang w:eastAsia="fr-CA"/>
              </w:rPr>
            </w:pPr>
            <w:r>
              <w:rPr>
                <w:rFonts w:eastAsia="Times New Roman" w:cs="Times New Roman"/>
                <w:color w:val="000000"/>
                <w:lang w:eastAsia="fr-CA"/>
              </w:rPr>
              <w:t>Faire de l’enseignement PRN</w:t>
            </w:r>
          </w:p>
          <w:p w:rsidR="0057662A" w:rsidRDefault="0057662A" w:rsidP="00ED1F48">
            <w:pPr>
              <w:pStyle w:val="Sansinterligne"/>
              <w:numPr>
                <w:ilvl w:val="0"/>
                <w:numId w:val="1454"/>
              </w:numPr>
              <w:rPr>
                <w:rFonts w:eastAsia="Times New Roman" w:cs="Times New Roman"/>
                <w:color w:val="000000"/>
                <w:lang w:eastAsia="fr-CA"/>
              </w:rPr>
            </w:pPr>
            <w:r>
              <w:rPr>
                <w:rFonts w:eastAsia="Times New Roman" w:cs="Times New Roman"/>
                <w:color w:val="000000"/>
                <w:lang w:eastAsia="fr-CA"/>
              </w:rPr>
              <w:t>Offrir un dépistage Gonorrhée-chlamydia</w:t>
            </w:r>
          </w:p>
        </w:tc>
        <w:tc>
          <w:tcPr>
            <w:tcW w:w="1843" w:type="dxa"/>
          </w:tcPr>
          <w:p w:rsidR="00735DE8" w:rsidRDefault="0057662A" w:rsidP="008C022F">
            <w:pPr>
              <w:pStyle w:val="Sansinterligne"/>
              <w:jc w:val="center"/>
              <w:rPr>
                <w:rFonts w:eastAsia="Times New Roman" w:cs="Times New Roman"/>
                <w:color w:val="000000"/>
                <w:lang w:eastAsia="fr-CA"/>
              </w:rPr>
            </w:pPr>
            <w:r w:rsidRPr="004D43D1">
              <w:rPr>
                <w:rFonts w:eastAsia="Times New Roman" w:cs="Times New Roman"/>
                <w:color w:val="000000"/>
                <w:highlight w:val="yellow"/>
                <w:u w:val="single"/>
                <w:lang w:eastAsia="fr-CA"/>
              </w:rPr>
              <w:t>À la puberté</w:t>
            </w:r>
          </w:p>
          <w:p w:rsidR="0057662A" w:rsidRPr="0057662A" w:rsidRDefault="0057662A" w:rsidP="0057662A">
            <w:pPr>
              <w:pStyle w:val="Sansinterligne"/>
              <w:jc w:val="center"/>
              <w:rPr>
                <w:rFonts w:eastAsia="Times New Roman" w:cs="Times New Roman"/>
                <w:color w:val="000000"/>
                <w:lang w:eastAsia="fr-CA"/>
              </w:rPr>
            </w:pPr>
          </w:p>
        </w:tc>
      </w:tr>
      <w:tr w:rsidR="00735DE8" w:rsidTr="00513781">
        <w:trPr>
          <w:cantSplit/>
          <w:trHeight w:val="388"/>
        </w:trPr>
        <w:tc>
          <w:tcPr>
            <w:tcW w:w="592" w:type="dxa"/>
            <w:vMerge/>
            <w:shd w:val="clear" w:color="auto" w:fill="C4BC96" w:themeFill="background2" w:themeFillShade="BF"/>
            <w:textDirection w:val="btLr"/>
            <w:vAlign w:val="center"/>
          </w:tcPr>
          <w:p w:rsidR="00735DE8" w:rsidRPr="00905B38" w:rsidRDefault="00735DE8" w:rsidP="00962746">
            <w:pPr>
              <w:pStyle w:val="Sansinterligne"/>
              <w:ind w:left="113" w:right="113"/>
              <w:jc w:val="center"/>
              <w:rPr>
                <w:rFonts w:eastAsia="Times New Roman" w:cs="Times New Roman"/>
                <w:b/>
                <w:color w:val="000000"/>
                <w:lang w:eastAsia="fr-CA"/>
              </w:rPr>
            </w:pPr>
          </w:p>
        </w:tc>
        <w:tc>
          <w:tcPr>
            <w:tcW w:w="2068" w:type="dxa"/>
            <w:vAlign w:val="center"/>
          </w:tcPr>
          <w:p w:rsidR="00735DE8" w:rsidRDefault="00905B38" w:rsidP="0057662A">
            <w:pPr>
              <w:pStyle w:val="Sansinterligne"/>
              <w:jc w:val="center"/>
              <w:rPr>
                <w:rFonts w:eastAsia="Times New Roman" w:cs="Times New Roman"/>
                <w:color w:val="000000"/>
                <w:lang w:eastAsia="fr-CA"/>
              </w:rPr>
            </w:pPr>
            <w:r>
              <w:rPr>
                <w:rFonts w:eastAsia="Times New Roman" w:cs="Times New Roman"/>
                <w:color w:val="000000"/>
                <w:lang w:eastAsia="fr-CA"/>
              </w:rPr>
              <w:t>Contraception</w:t>
            </w:r>
          </w:p>
        </w:tc>
        <w:tc>
          <w:tcPr>
            <w:tcW w:w="6520" w:type="dxa"/>
          </w:tcPr>
          <w:p w:rsidR="00735DE8" w:rsidRDefault="0057662A" w:rsidP="00ED1F48">
            <w:pPr>
              <w:pStyle w:val="Sansinterligne"/>
              <w:numPr>
                <w:ilvl w:val="0"/>
                <w:numId w:val="1455"/>
              </w:numPr>
              <w:rPr>
                <w:rFonts w:eastAsia="Times New Roman" w:cs="Times New Roman"/>
                <w:color w:val="000000"/>
                <w:lang w:eastAsia="fr-CA"/>
              </w:rPr>
            </w:pPr>
            <w:r>
              <w:rPr>
                <w:rFonts w:eastAsia="Times New Roman" w:cs="Times New Roman"/>
                <w:color w:val="000000"/>
                <w:lang w:eastAsia="fr-CA"/>
              </w:rPr>
              <w:t xml:space="preserve">Vérifier les connaissances quant à la sexualité / cycle menstruel </w:t>
            </w:r>
            <w:r>
              <w:rPr>
                <w:rFonts w:ascii="Century Gothic" w:eastAsia="Times New Roman" w:hAnsi="Century Gothic" w:cs="Times New Roman"/>
                <w:color w:val="000000"/>
                <w:lang w:eastAsia="fr-CA"/>
              </w:rPr>
              <w:t>♀</w:t>
            </w:r>
          </w:p>
          <w:p w:rsidR="0057662A" w:rsidRDefault="0057662A" w:rsidP="00ED1F48">
            <w:pPr>
              <w:pStyle w:val="Sansinterligne"/>
              <w:numPr>
                <w:ilvl w:val="0"/>
                <w:numId w:val="1455"/>
              </w:numPr>
              <w:rPr>
                <w:rFonts w:eastAsia="Times New Roman" w:cs="Times New Roman"/>
                <w:color w:val="000000"/>
                <w:lang w:eastAsia="fr-CA"/>
              </w:rPr>
            </w:pPr>
            <w:r>
              <w:rPr>
                <w:rFonts w:eastAsia="Times New Roman" w:cs="Times New Roman"/>
                <w:color w:val="000000"/>
                <w:lang w:eastAsia="fr-CA"/>
              </w:rPr>
              <w:t>Questionner l’activité sexuelle</w:t>
            </w:r>
          </w:p>
          <w:p w:rsidR="0057662A" w:rsidRDefault="0057662A" w:rsidP="00ED1F48">
            <w:pPr>
              <w:pStyle w:val="Sansinterligne"/>
              <w:numPr>
                <w:ilvl w:val="0"/>
                <w:numId w:val="1455"/>
              </w:numPr>
              <w:rPr>
                <w:rFonts w:eastAsia="Times New Roman" w:cs="Times New Roman"/>
                <w:color w:val="000000"/>
                <w:lang w:eastAsia="fr-CA"/>
              </w:rPr>
            </w:pPr>
            <w:r>
              <w:rPr>
                <w:rFonts w:eastAsia="Times New Roman" w:cs="Times New Roman"/>
                <w:color w:val="000000"/>
                <w:lang w:eastAsia="fr-CA"/>
              </w:rPr>
              <w:t>Recommander l’usage de contraceptifs</w:t>
            </w:r>
          </w:p>
          <w:p w:rsidR="0057662A" w:rsidRDefault="0057662A" w:rsidP="00ED1F48">
            <w:pPr>
              <w:pStyle w:val="Sansinterligne"/>
              <w:numPr>
                <w:ilvl w:val="0"/>
                <w:numId w:val="1455"/>
              </w:numPr>
              <w:rPr>
                <w:rFonts w:eastAsia="Times New Roman" w:cs="Times New Roman"/>
                <w:color w:val="000000"/>
                <w:lang w:eastAsia="fr-CA"/>
              </w:rPr>
            </w:pPr>
            <w:r>
              <w:rPr>
                <w:rFonts w:eastAsia="Times New Roman" w:cs="Times New Roman"/>
                <w:color w:val="000000"/>
                <w:lang w:eastAsia="fr-CA"/>
              </w:rPr>
              <w:t xml:space="preserve">Expliquer les options, les recours en cas d’échec </w:t>
            </w:r>
          </w:p>
          <w:p w:rsidR="0057662A" w:rsidRDefault="0057662A" w:rsidP="00ED1F48">
            <w:pPr>
              <w:pStyle w:val="Sansinterligne"/>
              <w:numPr>
                <w:ilvl w:val="0"/>
                <w:numId w:val="1455"/>
              </w:numPr>
              <w:rPr>
                <w:rFonts w:eastAsia="Times New Roman" w:cs="Times New Roman"/>
                <w:color w:val="000000"/>
                <w:lang w:eastAsia="fr-CA"/>
              </w:rPr>
            </w:pPr>
            <w:r w:rsidRPr="00513781">
              <w:rPr>
                <w:rFonts w:eastAsia="Times New Roman" w:cs="Times New Roman"/>
                <w:color w:val="000000"/>
                <w:highlight w:val="yellow"/>
                <w:lang w:eastAsia="fr-CA"/>
              </w:rPr>
              <w:t xml:space="preserve">Voir </w:t>
            </w:r>
            <w:r w:rsidRPr="00513781">
              <w:rPr>
                <w:rFonts w:eastAsia="Times New Roman" w:cs="Times New Roman"/>
                <w:i/>
                <w:color w:val="000000"/>
                <w:highlight w:val="yellow"/>
                <w:lang w:eastAsia="fr-CA"/>
              </w:rPr>
              <w:t>Contraception CMC 17</w:t>
            </w:r>
          </w:p>
        </w:tc>
        <w:tc>
          <w:tcPr>
            <w:tcW w:w="1843" w:type="dxa"/>
          </w:tcPr>
          <w:p w:rsidR="00735DE8" w:rsidRPr="008D6930" w:rsidRDefault="008D6930" w:rsidP="00513781">
            <w:pPr>
              <w:pStyle w:val="Sansinterligne"/>
              <w:jc w:val="center"/>
              <w:rPr>
                <w:rFonts w:eastAsia="Times New Roman" w:cs="Times New Roman"/>
                <w:color w:val="000000"/>
                <w:u w:val="single"/>
                <w:lang w:eastAsia="fr-CA"/>
              </w:rPr>
            </w:pPr>
            <w:r w:rsidRPr="004D43D1">
              <w:rPr>
                <w:rFonts w:eastAsia="Times New Roman" w:cs="Times New Roman"/>
                <w:color w:val="000000"/>
                <w:highlight w:val="yellow"/>
                <w:u w:val="single"/>
                <w:lang w:eastAsia="fr-CA"/>
              </w:rPr>
              <w:t>À la puberté</w:t>
            </w:r>
          </w:p>
        </w:tc>
      </w:tr>
      <w:tr w:rsidR="00735DE8" w:rsidTr="00513781">
        <w:trPr>
          <w:cantSplit/>
          <w:trHeight w:val="388"/>
        </w:trPr>
        <w:tc>
          <w:tcPr>
            <w:tcW w:w="592" w:type="dxa"/>
            <w:vMerge/>
            <w:shd w:val="clear" w:color="auto" w:fill="C4BC96" w:themeFill="background2" w:themeFillShade="BF"/>
            <w:textDirection w:val="btLr"/>
            <w:vAlign w:val="center"/>
          </w:tcPr>
          <w:p w:rsidR="00735DE8" w:rsidRPr="00905B38" w:rsidRDefault="00735DE8" w:rsidP="00962746">
            <w:pPr>
              <w:pStyle w:val="Sansinterligne"/>
              <w:ind w:left="113" w:right="113"/>
              <w:jc w:val="center"/>
              <w:rPr>
                <w:rFonts w:eastAsia="Times New Roman" w:cs="Times New Roman"/>
                <w:b/>
                <w:color w:val="000000"/>
                <w:lang w:eastAsia="fr-CA"/>
              </w:rPr>
            </w:pPr>
          </w:p>
        </w:tc>
        <w:tc>
          <w:tcPr>
            <w:tcW w:w="2068" w:type="dxa"/>
            <w:vAlign w:val="center"/>
          </w:tcPr>
          <w:p w:rsidR="00735DE8" w:rsidRDefault="00282A9F" w:rsidP="0057662A">
            <w:pPr>
              <w:pStyle w:val="Sansinterligne"/>
              <w:jc w:val="center"/>
              <w:rPr>
                <w:rFonts w:eastAsia="Times New Roman" w:cs="Times New Roman"/>
                <w:color w:val="000000"/>
                <w:lang w:eastAsia="fr-CA"/>
              </w:rPr>
            </w:pPr>
            <w:r>
              <w:rPr>
                <w:rFonts w:eastAsia="Times New Roman" w:cs="Times New Roman"/>
                <w:color w:val="000000"/>
                <w:lang w:eastAsia="fr-CA"/>
              </w:rPr>
              <w:t>Tabagisme, drogues</w:t>
            </w:r>
          </w:p>
        </w:tc>
        <w:tc>
          <w:tcPr>
            <w:tcW w:w="6520" w:type="dxa"/>
          </w:tcPr>
          <w:p w:rsidR="00735DE8" w:rsidRDefault="008D6930" w:rsidP="00ED1F48">
            <w:pPr>
              <w:pStyle w:val="Sansinterligne"/>
              <w:numPr>
                <w:ilvl w:val="0"/>
                <w:numId w:val="1456"/>
              </w:numPr>
              <w:rPr>
                <w:rFonts w:eastAsia="Times New Roman" w:cs="Times New Roman"/>
                <w:color w:val="000000"/>
                <w:lang w:eastAsia="fr-CA"/>
              </w:rPr>
            </w:pPr>
            <w:r>
              <w:rPr>
                <w:rFonts w:eastAsia="Times New Roman" w:cs="Times New Roman"/>
                <w:color w:val="000000"/>
                <w:lang w:eastAsia="fr-CA"/>
              </w:rPr>
              <w:t>Aborder la question du tabagisme et de l’usage des drogues</w:t>
            </w:r>
          </w:p>
          <w:p w:rsidR="008D6930" w:rsidRDefault="008D6930" w:rsidP="00ED1F48">
            <w:pPr>
              <w:pStyle w:val="Sansinterligne"/>
              <w:numPr>
                <w:ilvl w:val="0"/>
                <w:numId w:val="1456"/>
              </w:numPr>
              <w:rPr>
                <w:rFonts w:eastAsia="Times New Roman" w:cs="Times New Roman"/>
                <w:color w:val="000000"/>
                <w:lang w:eastAsia="fr-CA"/>
              </w:rPr>
            </w:pPr>
            <w:r>
              <w:rPr>
                <w:rFonts w:eastAsia="Times New Roman" w:cs="Times New Roman"/>
                <w:color w:val="000000"/>
                <w:lang w:eastAsia="fr-CA"/>
              </w:rPr>
              <w:t>Recommandations et explications des risques</w:t>
            </w:r>
          </w:p>
        </w:tc>
        <w:tc>
          <w:tcPr>
            <w:tcW w:w="1843" w:type="dxa"/>
          </w:tcPr>
          <w:p w:rsidR="00735DE8" w:rsidRDefault="00735DE8" w:rsidP="00962746">
            <w:pPr>
              <w:pStyle w:val="Sansinterligne"/>
              <w:rPr>
                <w:rFonts w:eastAsia="Times New Roman" w:cs="Times New Roman"/>
                <w:color w:val="000000"/>
                <w:lang w:eastAsia="fr-CA"/>
              </w:rPr>
            </w:pPr>
          </w:p>
        </w:tc>
      </w:tr>
      <w:tr w:rsidR="00735DE8" w:rsidTr="00513781">
        <w:trPr>
          <w:cantSplit/>
          <w:trHeight w:val="388"/>
        </w:trPr>
        <w:tc>
          <w:tcPr>
            <w:tcW w:w="592" w:type="dxa"/>
            <w:vMerge w:val="restart"/>
            <w:shd w:val="clear" w:color="auto" w:fill="C4BC96" w:themeFill="background2" w:themeFillShade="BF"/>
            <w:textDirection w:val="btLr"/>
            <w:vAlign w:val="center"/>
          </w:tcPr>
          <w:p w:rsidR="00735DE8" w:rsidRPr="00905B38" w:rsidRDefault="00735DE8" w:rsidP="00962746">
            <w:pPr>
              <w:pStyle w:val="Sansinterligne"/>
              <w:ind w:left="113" w:right="113"/>
              <w:jc w:val="center"/>
              <w:rPr>
                <w:rFonts w:eastAsia="Times New Roman" w:cs="Times New Roman"/>
                <w:b/>
                <w:color w:val="000000"/>
                <w:lang w:eastAsia="fr-CA"/>
              </w:rPr>
            </w:pPr>
            <w:r w:rsidRPr="00905B38">
              <w:rPr>
                <w:rFonts w:eastAsia="Times New Roman" w:cs="Times New Roman"/>
                <w:b/>
                <w:color w:val="000000"/>
                <w:lang w:eastAsia="fr-CA"/>
              </w:rPr>
              <w:t>Jeunes adultes</w:t>
            </w:r>
          </w:p>
        </w:tc>
        <w:tc>
          <w:tcPr>
            <w:tcW w:w="2068" w:type="dxa"/>
            <w:vAlign w:val="center"/>
          </w:tcPr>
          <w:p w:rsidR="00735DE8" w:rsidRDefault="00282A9F" w:rsidP="0057662A">
            <w:pPr>
              <w:pStyle w:val="Sansinterligne"/>
              <w:jc w:val="center"/>
              <w:rPr>
                <w:rFonts w:eastAsia="Times New Roman" w:cs="Times New Roman"/>
                <w:color w:val="000000"/>
                <w:lang w:eastAsia="fr-CA"/>
              </w:rPr>
            </w:pPr>
            <w:r w:rsidRPr="00513781">
              <w:rPr>
                <w:rFonts w:eastAsia="Times New Roman" w:cs="Times New Roman"/>
                <w:color w:val="000000"/>
                <w:highlight w:val="yellow"/>
                <w:lang w:eastAsia="fr-CA"/>
              </w:rPr>
              <w:t>Cancer du col de l’utérus</w:t>
            </w:r>
          </w:p>
        </w:tc>
        <w:tc>
          <w:tcPr>
            <w:tcW w:w="6520" w:type="dxa"/>
          </w:tcPr>
          <w:p w:rsidR="00735DE8" w:rsidRPr="00513781" w:rsidRDefault="008C022F" w:rsidP="00ED1F48">
            <w:pPr>
              <w:pStyle w:val="Sansinterligne"/>
              <w:numPr>
                <w:ilvl w:val="0"/>
                <w:numId w:val="1459"/>
              </w:numPr>
              <w:rPr>
                <w:rFonts w:eastAsia="Times New Roman" w:cs="Times New Roman"/>
                <w:color w:val="000000"/>
                <w:highlight w:val="yellow"/>
                <w:lang w:eastAsia="fr-CA"/>
              </w:rPr>
            </w:pPr>
            <w:r w:rsidRPr="00513781">
              <w:rPr>
                <w:rFonts w:eastAsia="Times New Roman" w:cs="Times New Roman"/>
                <w:color w:val="000000"/>
                <w:highlight w:val="yellow"/>
                <w:lang w:eastAsia="fr-CA"/>
              </w:rPr>
              <w:t>Vaccination</w:t>
            </w:r>
            <w:r w:rsidR="00513781" w:rsidRPr="00513781">
              <w:rPr>
                <w:rFonts w:eastAsia="Times New Roman" w:cs="Times New Roman"/>
                <w:color w:val="000000"/>
                <w:highlight w:val="yellow"/>
                <w:lang w:eastAsia="fr-CA"/>
              </w:rPr>
              <w:t xml:space="preserve"> (V)</w:t>
            </w:r>
            <w:r w:rsidRPr="00513781">
              <w:rPr>
                <w:rFonts w:eastAsia="Times New Roman" w:cs="Times New Roman"/>
                <w:color w:val="000000"/>
                <w:highlight w:val="yellow"/>
                <w:lang w:eastAsia="fr-CA"/>
              </w:rPr>
              <w:t xml:space="preserve"> contre le VPH </w:t>
            </w:r>
          </w:p>
          <w:p w:rsidR="008C022F" w:rsidRDefault="008C022F" w:rsidP="00ED1F48">
            <w:pPr>
              <w:pStyle w:val="Sansinterligne"/>
              <w:numPr>
                <w:ilvl w:val="0"/>
                <w:numId w:val="1459"/>
              </w:numPr>
              <w:rPr>
                <w:rFonts w:eastAsia="Times New Roman" w:cs="Times New Roman"/>
                <w:color w:val="000000"/>
                <w:lang w:eastAsia="fr-CA"/>
              </w:rPr>
            </w:pPr>
            <w:r w:rsidRPr="00513781">
              <w:rPr>
                <w:rFonts w:eastAsia="Times New Roman" w:cs="Times New Roman"/>
                <w:color w:val="000000"/>
                <w:highlight w:val="yellow"/>
                <w:lang w:eastAsia="fr-CA"/>
              </w:rPr>
              <w:t xml:space="preserve">Dépistage du cancer du col (test de Papanicolaou </w:t>
            </w:r>
            <w:r w:rsidR="008C6C6B">
              <w:rPr>
                <w:rFonts w:eastAsia="Times New Roman" w:cs="Times New Roman"/>
                <w:color w:val="000000"/>
                <w:highlight w:val="yellow"/>
                <w:lang w:eastAsia="fr-CA"/>
              </w:rPr>
              <w:t>(PT)</w:t>
            </w:r>
            <w:r w:rsidRPr="00513781">
              <w:rPr>
                <w:rFonts w:eastAsia="Times New Roman" w:cs="Times New Roman"/>
                <w:color w:val="000000"/>
                <w:highlight w:val="yellow"/>
                <w:lang w:eastAsia="fr-CA"/>
              </w:rPr>
              <w:t>–</w:t>
            </w:r>
            <w:r w:rsidR="00513781" w:rsidRPr="00513781">
              <w:rPr>
                <w:rFonts w:eastAsia="Times New Roman" w:cs="Times New Roman"/>
                <w:color w:val="000000"/>
                <w:highlight w:val="yellow"/>
                <w:lang w:eastAsia="fr-CA"/>
              </w:rPr>
              <w:t xml:space="preserve"> q 3 ans)</w:t>
            </w:r>
          </w:p>
        </w:tc>
        <w:tc>
          <w:tcPr>
            <w:tcW w:w="1843" w:type="dxa"/>
          </w:tcPr>
          <w:p w:rsidR="008C022F" w:rsidRPr="00513781" w:rsidRDefault="00513781" w:rsidP="00962746">
            <w:pPr>
              <w:pStyle w:val="Sansinterligne"/>
              <w:rPr>
                <w:rFonts w:eastAsia="Times New Roman" w:cs="Times New Roman"/>
                <w:color w:val="000000"/>
                <w:highlight w:val="yellow"/>
                <w:lang w:eastAsia="fr-CA"/>
              </w:rPr>
            </w:pPr>
            <w:r>
              <w:rPr>
                <w:rFonts w:eastAsia="Times New Roman" w:cs="Times New Roman"/>
                <w:color w:val="000000"/>
                <w:highlight w:val="yellow"/>
                <w:lang w:eastAsia="fr-CA"/>
              </w:rPr>
              <w:t xml:space="preserve">V : </w:t>
            </w:r>
            <w:r w:rsidR="008C022F" w:rsidRPr="00513781">
              <w:rPr>
                <w:rFonts w:eastAsia="Times New Roman" w:cs="Times New Roman"/>
                <w:color w:val="000000"/>
                <w:highlight w:val="yellow"/>
                <w:lang w:eastAsia="fr-CA"/>
              </w:rPr>
              <w:t>4</w:t>
            </w:r>
            <w:r w:rsidR="008C022F" w:rsidRPr="00513781">
              <w:rPr>
                <w:rFonts w:eastAsia="Times New Roman" w:cs="Times New Roman"/>
                <w:color w:val="000000"/>
                <w:highlight w:val="yellow"/>
                <w:vertAlign w:val="superscript"/>
                <w:lang w:eastAsia="fr-CA"/>
              </w:rPr>
              <w:t>e</w:t>
            </w:r>
            <w:r w:rsidRPr="00513781">
              <w:rPr>
                <w:rFonts w:eastAsia="Times New Roman" w:cs="Times New Roman"/>
                <w:color w:val="000000"/>
                <w:highlight w:val="yellow"/>
                <w:lang w:eastAsia="fr-CA"/>
              </w:rPr>
              <w:t xml:space="preserve"> année~9</w:t>
            </w:r>
            <w:r>
              <w:rPr>
                <w:rFonts w:eastAsia="Times New Roman" w:cs="Times New Roman"/>
                <w:color w:val="000000"/>
                <w:highlight w:val="yellow"/>
                <w:lang w:eastAsia="fr-CA"/>
              </w:rPr>
              <w:t>ans</w:t>
            </w:r>
          </w:p>
          <w:p w:rsidR="008C022F" w:rsidRDefault="00513781" w:rsidP="00962746">
            <w:pPr>
              <w:pStyle w:val="Sansinterligne"/>
              <w:rPr>
                <w:rFonts w:eastAsia="Times New Roman" w:cs="Times New Roman"/>
                <w:color w:val="000000"/>
                <w:lang w:eastAsia="fr-CA"/>
              </w:rPr>
            </w:pPr>
            <w:r w:rsidRPr="00513781">
              <w:rPr>
                <w:rFonts w:eastAsia="Times New Roman" w:cs="Times New Roman"/>
                <w:color w:val="000000"/>
                <w:highlight w:val="yellow"/>
                <w:lang w:eastAsia="fr-CA"/>
              </w:rPr>
              <w:t>PT : 21 ans</w:t>
            </w:r>
          </w:p>
        </w:tc>
      </w:tr>
      <w:tr w:rsidR="00735DE8" w:rsidTr="00513781">
        <w:trPr>
          <w:cantSplit/>
          <w:trHeight w:val="388"/>
        </w:trPr>
        <w:tc>
          <w:tcPr>
            <w:tcW w:w="592" w:type="dxa"/>
            <w:vMerge/>
            <w:shd w:val="clear" w:color="auto" w:fill="C4BC96" w:themeFill="background2" w:themeFillShade="BF"/>
            <w:textDirection w:val="btLr"/>
            <w:vAlign w:val="center"/>
          </w:tcPr>
          <w:p w:rsidR="00735DE8" w:rsidRDefault="00735DE8" w:rsidP="00962746">
            <w:pPr>
              <w:pStyle w:val="Sansinterligne"/>
              <w:ind w:left="113" w:right="113"/>
              <w:jc w:val="center"/>
              <w:rPr>
                <w:rFonts w:eastAsia="Times New Roman" w:cs="Times New Roman"/>
                <w:color w:val="000000"/>
                <w:lang w:eastAsia="fr-CA"/>
              </w:rPr>
            </w:pPr>
          </w:p>
        </w:tc>
        <w:tc>
          <w:tcPr>
            <w:tcW w:w="2068" w:type="dxa"/>
            <w:vAlign w:val="center"/>
          </w:tcPr>
          <w:p w:rsidR="00735DE8" w:rsidRDefault="00282A9F" w:rsidP="0057662A">
            <w:pPr>
              <w:pStyle w:val="Sansinterligne"/>
              <w:jc w:val="center"/>
              <w:rPr>
                <w:rFonts w:eastAsia="Times New Roman" w:cs="Times New Roman"/>
                <w:color w:val="000000"/>
                <w:lang w:eastAsia="fr-CA"/>
              </w:rPr>
            </w:pPr>
            <w:r>
              <w:rPr>
                <w:rFonts w:eastAsia="Times New Roman" w:cs="Times New Roman"/>
                <w:color w:val="000000"/>
                <w:lang w:eastAsia="fr-CA"/>
              </w:rPr>
              <w:t>ITSS</w:t>
            </w:r>
          </w:p>
        </w:tc>
        <w:tc>
          <w:tcPr>
            <w:tcW w:w="6520" w:type="dxa"/>
          </w:tcPr>
          <w:p w:rsidR="00513781" w:rsidRDefault="00513781" w:rsidP="00ED1F48">
            <w:pPr>
              <w:pStyle w:val="Sansinterligne"/>
              <w:numPr>
                <w:ilvl w:val="0"/>
                <w:numId w:val="1454"/>
              </w:numPr>
              <w:rPr>
                <w:rFonts w:eastAsia="Times New Roman" w:cs="Times New Roman"/>
                <w:color w:val="000000"/>
                <w:lang w:eastAsia="fr-CA"/>
              </w:rPr>
            </w:pPr>
            <w:r>
              <w:rPr>
                <w:rFonts w:eastAsia="Times New Roman" w:cs="Times New Roman"/>
                <w:color w:val="000000"/>
                <w:lang w:eastAsia="fr-CA"/>
              </w:rPr>
              <w:t xml:space="preserve">Considérer les facteurs de risque </w:t>
            </w:r>
          </w:p>
          <w:p w:rsidR="00735DE8" w:rsidRPr="00513781" w:rsidRDefault="00513781" w:rsidP="00ED1F48">
            <w:pPr>
              <w:pStyle w:val="Sansinterligne"/>
              <w:numPr>
                <w:ilvl w:val="0"/>
                <w:numId w:val="1454"/>
              </w:numPr>
              <w:rPr>
                <w:rFonts w:eastAsia="Times New Roman" w:cs="Times New Roman"/>
                <w:color w:val="000000"/>
                <w:lang w:eastAsia="fr-CA"/>
              </w:rPr>
            </w:pPr>
            <w:r>
              <w:rPr>
                <w:rFonts w:eastAsia="Times New Roman" w:cs="Times New Roman"/>
                <w:color w:val="000000"/>
                <w:lang w:eastAsia="fr-CA"/>
              </w:rPr>
              <w:t>Offrir un dépistage Gonorrhée-chlamydia (avec pap test)</w:t>
            </w:r>
          </w:p>
        </w:tc>
        <w:tc>
          <w:tcPr>
            <w:tcW w:w="1843" w:type="dxa"/>
          </w:tcPr>
          <w:p w:rsidR="00735DE8" w:rsidRDefault="00513781" w:rsidP="00962746">
            <w:pPr>
              <w:pStyle w:val="Sansinterligne"/>
              <w:rPr>
                <w:rFonts w:eastAsia="Times New Roman" w:cs="Times New Roman"/>
                <w:color w:val="000000"/>
                <w:lang w:eastAsia="fr-CA"/>
              </w:rPr>
            </w:pPr>
            <w:r>
              <w:rPr>
                <w:rFonts w:eastAsia="Times New Roman" w:cs="Times New Roman"/>
                <w:color w:val="000000"/>
                <w:lang w:eastAsia="fr-CA"/>
              </w:rPr>
              <w:t>Si actif sexuellement</w:t>
            </w:r>
          </w:p>
        </w:tc>
      </w:tr>
      <w:tr w:rsidR="00735DE8" w:rsidTr="00513781">
        <w:trPr>
          <w:cantSplit/>
          <w:trHeight w:val="388"/>
        </w:trPr>
        <w:tc>
          <w:tcPr>
            <w:tcW w:w="592" w:type="dxa"/>
            <w:vMerge/>
            <w:shd w:val="clear" w:color="auto" w:fill="C4BC96" w:themeFill="background2" w:themeFillShade="BF"/>
            <w:textDirection w:val="btLr"/>
            <w:vAlign w:val="center"/>
          </w:tcPr>
          <w:p w:rsidR="00735DE8" w:rsidRDefault="00735DE8" w:rsidP="00962746">
            <w:pPr>
              <w:pStyle w:val="Sansinterligne"/>
              <w:ind w:left="113" w:right="113"/>
              <w:jc w:val="center"/>
              <w:rPr>
                <w:rFonts w:eastAsia="Times New Roman" w:cs="Times New Roman"/>
                <w:color w:val="000000"/>
                <w:lang w:eastAsia="fr-CA"/>
              </w:rPr>
            </w:pPr>
          </w:p>
        </w:tc>
        <w:tc>
          <w:tcPr>
            <w:tcW w:w="2068" w:type="dxa"/>
            <w:vAlign w:val="center"/>
          </w:tcPr>
          <w:p w:rsidR="00735DE8" w:rsidRDefault="00282A9F" w:rsidP="0057662A">
            <w:pPr>
              <w:pStyle w:val="Sansinterligne"/>
              <w:jc w:val="center"/>
              <w:rPr>
                <w:rFonts w:eastAsia="Times New Roman" w:cs="Times New Roman"/>
                <w:color w:val="000000"/>
                <w:lang w:eastAsia="fr-CA"/>
              </w:rPr>
            </w:pPr>
            <w:r w:rsidRPr="00513781">
              <w:rPr>
                <w:rFonts w:eastAsia="Times New Roman" w:cs="Times New Roman"/>
                <w:color w:val="000000"/>
                <w:highlight w:val="yellow"/>
                <w:lang w:eastAsia="fr-CA"/>
              </w:rPr>
              <w:t>Grossesse</w:t>
            </w:r>
          </w:p>
        </w:tc>
        <w:tc>
          <w:tcPr>
            <w:tcW w:w="6520" w:type="dxa"/>
          </w:tcPr>
          <w:p w:rsidR="00735DE8" w:rsidRDefault="00513781" w:rsidP="00ED1F48">
            <w:pPr>
              <w:pStyle w:val="Sansinterligne"/>
              <w:numPr>
                <w:ilvl w:val="0"/>
                <w:numId w:val="1457"/>
              </w:numPr>
              <w:rPr>
                <w:rFonts w:eastAsia="Times New Roman" w:cs="Times New Roman"/>
                <w:color w:val="000000"/>
                <w:lang w:eastAsia="fr-CA"/>
              </w:rPr>
            </w:pPr>
            <w:r>
              <w:rPr>
                <w:rFonts w:eastAsia="Times New Roman" w:cs="Times New Roman"/>
                <w:color w:val="000000"/>
                <w:lang w:eastAsia="fr-CA"/>
              </w:rPr>
              <w:t>Voir ci-haut, adolescents pour contraception.</w:t>
            </w:r>
          </w:p>
          <w:p w:rsidR="00513781" w:rsidRDefault="00513781" w:rsidP="00ED1F48">
            <w:pPr>
              <w:pStyle w:val="Sansinterligne"/>
              <w:numPr>
                <w:ilvl w:val="0"/>
                <w:numId w:val="1457"/>
              </w:numPr>
              <w:rPr>
                <w:rFonts w:eastAsia="Times New Roman" w:cs="Times New Roman"/>
                <w:color w:val="000000"/>
                <w:lang w:eastAsia="fr-CA"/>
              </w:rPr>
            </w:pPr>
            <w:r w:rsidRPr="00513781">
              <w:rPr>
                <w:rFonts w:eastAsia="Times New Roman" w:cs="Times New Roman"/>
                <w:color w:val="000000"/>
                <w:highlight w:val="yellow"/>
                <w:lang w:eastAsia="fr-CA"/>
              </w:rPr>
              <w:t>Recommander la prise d’acide folique 0,4 mg PO DIE</w:t>
            </w:r>
            <w:r>
              <w:rPr>
                <w:rFonts w:eastAsia="Times New Roman" w:cs="Times New Roman"/>
                <w:color w:val="000000"/>
                <w:lang w:eastAsia="fr-CA"/>
              </w:rPr>
              <w:t xml:space="preserve"> si désir de grossesse ou absence de contraception</w:t>
            </w:r>
          </w:p>
          <w:p w:rsidR="000C0CEC" w:rsidRDefault="000C0CEC" w:rsidP="00B262E7">
            <w:pPr>
              <w:pStyle w:val="Sansinterligne"/>
              <w:numPr>
                <w:ilvl w:val="0"/>
                <w:numId w:val="1457"/>
              </w:numPr>
              <w:rPr>
                <w:rFonts w:eastAsia="Times New Roman" w:cs="Times New Roman"/>
                <w:color w:val="000000"/>
                <w:lang w:eastAsia="fr-CA"/>
              </w:rPr>
            </w:pPr>
            <w:r>
              <w:rPr>
                <w:rFonts w:eastAsia="Times New Roman" w:cs="Times New Roman"/>
                <w:color w:val="000000"/>
                <w:lang w:eastAsia="fr-CA"/>
              </w:rPr>
              <w:t>Va</w:t>
            </w:r>
            <w:r w:rsidR="00B262E7">
              <w:rPr>
                <w:rFonts w:eastAsia="Times New Roman" w:cs="Times New Roman"/>
                <w:color w:val="000000"/>
                <w:lang w:eastAsia="fr-CA"/>
              </w:rPr>
              <w:t>ccination contre la rubéole si</w:t>
            </w:r>
            <w:r>
              <w:rPr>
                <w:rFonts w:eastAsia="Times New Roman" w:cs="Times New Roman"/>
                <w:color w:val="000000"/>
                <w:lang w:eastAsia="fr-CA"/>
              </w:rPr>
              <w:t xml:space="preserve"> non-immune</w:t>
            </w:r>
          </w:p>
        </w:tc>
        <w:tc>
          <w:tcPr>
            <w:tcW w:w="1843" w:type="dxa"/>
          </w:tcPr>
          <w:p w:rsidR="00735DE8" w:rsidRDefault="00513781" w:rsidP="00513781">
            <w:pPr>
              <w:pStyle w:val="Sansinterligne"/>
              <w:jc w:val="center"/>
              <w:rPr>
                <w:rFonts w:eastAsia="Times New Roman" w:cs="Times New Roman"/>
                <w:color w:val="000000"/>
                <w:lang w:eastAsia="fr-CA"/>
              </w:rPr>
            </w:pPr>
            <w:r w:rsidRPr="00513781">
              <w:rPr>
                <w:rFonts w:eastAsia="Times New Roman" w:cs="Times New Roman"/>
                <w:color w:val="000000"/>
                <w:highlight w:val="yellow"/>
                <w:lang w:eastAsia="fr-CA"/>
              </w:rPr>
              <w:t>Dès que fertile</w:t>
            </w:r>
          </w:p>
        </w:tc>
      </w:tr>
      <w:tr w:rsidR="00735DE8" w:rsidTr="00513781">
        <w:trPr>
          <w:cantSplit/>
          <w:trHeight w:val="262"/>
        </w:trPr>
        <w:tc>
          <w:tcPr>
            <w:tcW w:w="592" w:type="dxa"/>
            <w:vMerge w:val="restart"/>
            <w:shd w:val="clear" w:color="auto" w:fill="C4BC96" w:themeFill="background2" w:themeFillShade="BF"/>
            <w:textDirection w:val="btLr"/>
            <w:vAlign w:val="center"/>
          </w:tcPr>
          <w:p w:rsidR="00735DE8" w:rsidRPr="00905B38" w:rsidRDefault="00735DE8" w:rsidP="00962746">
            <w:pPr>
              <w:pStyle w:val="Sansinterligne"/>
              <w:ind w:left="113" w:right="113"/>
              <w:jc w:val="center"/>
              <w:rPr>
                <w:rFonts w:eastAsia="Times New Roman" w:cs="Times New Roman"/>
                <w:b/>
                <w:color w:val="000000"/>
                <w:lang w:eastAsia="fr-CA"/>
              </w:rPr>
            </w:pPr>
            <w:r w:rsidRPr="00905B38">
              <w:rPr>
                <w:rFonts w:eastAsia="Times New Roman" w:cs="Times New Roman"/>
                <w:b/>
                <w:color w:val="000000"/>
                <w:lang w:eastAsia="fr-CA"/>
              </w:rPr>
              <w:t>Adultes</w:t>
            </w:r>
          </w:p>
        </w:tc>
        <w:tc>
          <w:tcPr>
            <w:tcW w:w="2068" w:type="dxa"/>
            <w:vAlign w:val="center"/>
          </w:tcPr>
          <w:p w:rsidR="00735DE8" w:rsidRDefault="00282A9F" w:rsidP="0057662A">
            <w:pPr>
              <w:pStyle w:val="Sansinterligne"/>
              <w:jc w:val="center"/>
              <w:rPr>
                <w:rFonts w:eastAsia="Times New Roman" w:cs="Times New Roman"/>
                <w:color w:val="000000"/>
                <w:lang w:eastAsia="fr-CA"/>
              </w:rPr>
            </w:pPr>
            <w:r w:rsidRPr="00513781">
              <w:rPr>
                <w:rFonts w:eastAsia="Times New Roman" w:cs="Times New Roman"/>
                <w:color w:val="000000"/>
                <w:highlight w:val="yellow"/>
                <w:lang w:eastAsia="fr-CA"/>
              </w:rPr>
              <w:t>Cancer du sein</w:t>
            </w:r>
          </w:p>
        </w:tc>
        <w:tc>
          <w:tcPr>
            <w:tcW w:w="6520" w:type="dxa"/>
          </w:tcPr>
          <w:p w:rsidR="00735DE8" w:rsidRPr="00513781" w:rsidRDefault="00513781" w:rsidP="00ED1F48">
            <w:pPr>
              <w:pStyle w:val="Sansinterligne"/>
              <w:numPr>
                <w:ilvl w:val="0"/>
                <w:numId w:val="1458"/>
              </w:numPr>
              <w:rPr>
                <w:rFonts w:eastAsia="Times New Roman" w:cs="Times New Roman"/>
                <w:color w:val="000000"/>
                <w:highlight w:val="yellow"/>
                <w:lang w:eastAsia="fr-CA"/>
              </w:rPr>
            </w:pPr>
            <w:r w:rsidRPr="00513781">
              <w:rPr>
                <w:rFonts w:eastAsia="Times New Roman" w:cs="Times New Roman"/>
                <w:color w:val="000000"/>
                <w:highlight w:val="yellow"/>
                <w:lang w:eastAsia="fr-CA"/>
              </w:rPr>
              <w:t>Dépistage universel par mammographie q 2 ans</w:t>
            </w:r>
          </w:p>
          <w:p w:rsidR="00513781" w:rsidRDefault="00513781" w:rsidP="00ED1F48">
            <w:pPr>
              <w:pStyle w:val="Sansinterligne"/>
              <w:numPr>
                <w:ilvl w:val="0"/>
                <w:numId w:val="1458"/>
              </w:numPr>
              <w:rPr>
                <w:rFonts w:eastAsia="Times New Roman" w:cs="Times New Roman"/>
                <w:color w:val="000000"/>
                <w:lang w:eastAsia="fr-CA"/>
              </w:rPr>
            </w:pPr>
            <w:r>
              <w:rPr>
                <w:rFonts w:eastAsia="Times New Roman" w:cs="Times New Roman"/>
                <w:color w:val="000000"/>
                <w:lang w:eastAsia="fr-CA"/>
              </w:rPr>
              <w:t>Dépistage personnalisé plus précoce (40-50 ans) si facteurs de risque présents</w:t>
            </w:r>
          </w:p>
          <w:p w:rsidR="00F67EFC" w:rsidRDefault="00F67EFC" w:rsidP="00ED1F48">
            <w:pPr>
              <w:pStyle w:val="Sansinterligne"/>
              <w:numPr>
                <w:ilvl w:val="0"/>
                <w:numId w:val="1458"/>
              </w:numPr>
              <w:rPr>
                <w:rFonts w:eastAsia="Times New Roman" w:cs="Times New Roman"/>
                <w:color w:val="000000"/>
                <w:lang w:eastAsia="fr-CA"/>
              </w:rPr>
            </w:pPr>
            <w:r>
              <w:rPr>
                <w:rFonts w:eastAsia="Times New Roman" w:cs="Times New Roman"/>
                <w:color w:val="000000"/>
                <w:lang w:eastAsia="fr-CA"/>
              </w:rPr>
              <w:t>Examen du sein pas indiqué en dépistage</w:t>
            </w:r>
          </w:p>
          <w:p w:rsidR="00513781" w:rsidRDefault="00513781" w:rsidP="00ED1F48">
            <w:pPr>
              <w:pStyle w:val="Sansinterligne"/>
              <w:numPr>
                <w:ilvl w:val="0"/>
                <w:numId w:val="1458"/>
              </w:numPr>
              <w:rPr>
                <w:rFonts w:eastAsia="Times New Roman" w:cs="Times New Roman"/>
                <w:color w:val="000000"/>
                <w:lang w:eastAsia="fr-CA"/>
              </w:rPr>
            </w:pPr>
            <w:r>
              <w:rPr>
                <w:rFonts w:eastAsia="Times New Roman" w:cs="Times New Roman"/>
                <w:color w:val="000000"/>
                <w:lang w:eastAsia="fr-CA"/>
              </w:rPr>
              <w:t xml:space="preserve">Voir </w:t>
            </w:r>
            <w:r w:rsidRPr="00513781">
              <w:rPr>
                <w:rFonts w:eastAsia="Times New Roman" w:cs="Times New Roman"/>
                <w:i/>
                <w:color w:val="000000"/>
                <w:lang w:eastAsia="fr-CA"/>
              </w:rPr>
              <w:t>Masse au sein, dépistage du cancer du sein CMC 10-1</w:t>
            </w:r>
          </w:p>
        </w:tc>
        <w:tc>
          <w:tcPr>
            <w:tcW w:w="1843" w:type="dxa"/>
          </w:tcPr>
          <w:p w:rsidR="00735DE8" w:rsidRDefault="00513781" w:rsidP="00513781">
            <w:pPr>
              <w:pStyle w:val="Sansinterligne"/>
              <w:jc w:val="center"/>
              <w:rPr>
                <w:rFonts w:eastAsia="Times New Roman" w:cs="Times New Roman"/>
                <w:color w:val="000000"/>
                <w:lang w:eastAsia="fr-CA"/>
              </w:rPr>
            </w:pPr>
            <w:r w:rsidRPr="00513781">
              <w:rPr>
                <w:rFonts w:eastAsia="Times New Roman" w:cs="Times New Roman"/>
                <w:color w:val="000000"/>
                <w:highlight w:val="yellow"/>
                <w:lang w:eastAsia="fr-CA"/>
              </w:rPr>
              <w:t>50-69 ans</w:t>
            </w:r>
          </w:p>
        </w:tc>
      </w:tr>
      <w:tr w:rsidR="00735DE8" w:rsidTr="00513781">
        <w:trPr>
          <w:cantSplit/>
          <w:trHeight w:val="258"/>
        </w:trPr>
        <w:tc>
          <w:tcPr>
            <w:tcW w:w="592" w:type="dxa"/>
            <w:vMerge/>
            <w:shd w:val="clear" w:color="auto" w:fill="C4BC96" w:themeFill="background2" w:themeFillShade="BF"/>
            <w:textDirection w:val="btLr"/>
            <w:vAlign w:val="center"/>
          </w:tcPr>
          <w:p w:rsidR="00735DE8" w:rsidRDefault="00735DE8" w:rsidP="00962746">
            <w:pPr>
              <w:pStyle w:val="Sansinterligne"/>
              <w:ind w:left="113" w:right="113"/>
              <w:jc w:val="center"/>
              <w:rPr>
                <w:rFonts w:eastAsia="Times New Roman" w:cs="Times New Roman"/>
                <w:color w:val="000000"/>
                <w:lang w:eastAsia="fr-CA"/>
              </w:rPr>
            </w:pPr>
          </w:p>
        </w:tc>
        <w:tc>
          <w:tcPr>
            <w:tcW w:w="2068" w:type="dxa"/>
            <w:vAlign w:val="center"/>
          </w:tcPr>
          <w:p w:rsidR="00735DE8" w:rsidRDefault="00282A9F" w:rsidP="0057662A">
            <w:pPr>
              <w:pStyle w:val="Sansinterligne"/>
              <w:jc w:val="center"/>
              <w:rPr>
                <w:rFonts w:eastAsia="Times New Roman" w:cs="Times New Roman"/>
                <w:color w:val="000000"/>
                <w:lang w:eastAsia="fr-CA"/>
              </w:rPr>
            </w:pPr>
            <w:r w:rsidRPr="00284D5E">
              <w:rPr>
                <w:rFonts w:eastAsia="Times New Roman" w:cs="Times New Roman"/>
                <w:color w:val="000000"/>
                <w:highlight w:val="yellow"/>
                <w:lang w:eastAsia="fr-CA"/>
              </w:rPr>
              <w:t>Cancer du colon</w:t>
            </w:r>
          </w:p>
        </w:tc>
        <w:tc>
          <w:tcPr>
            <w:tcW w:w="6520" w:type="dxa"/>
          </w:tcPr>
          <w:p w:rsidR="00735DE8" w:rsidRPr="00284D5E" w:rsidRDefault="00F67EFC" w:rsidP="00ED1F48">
            <w:pPr>
              <w:pStyle w:val="Sansinterligne"/>
              <w:numPr>
                <w:ilvl w:val="0"/>
                <w:numId w:val="1460"/>
              </w:numPr>
              <w:rPr>
                <w:rFonts w:eastAsia="Times New Roman" w:cs="Times New Roman"/>
                <w:color w:val="000000"/>
                <w:highlight w:val="yellow"/>
                <w:lang w:eastAsia="fr-CA"/>
              </w:rPr>
            </w:pPr>
            <w:r w:rsidRPr="00284D5E">
              <w:rPr>
                <w:rFonts w:eastAsia="Times New Roman" w:cs="Times New Roman"/>
                <w:color w:val="000000"/>
                <w:highlight w:val="yellow"/>
                <w:lang w:eastAsia="fr-CA"/>
              </w:rPr>
              <w:t>Dépistage des individus sans facteurs de risque</w:t>
            </w:r>
          </w:p>
          <w:p w:rsidR="00F67EFC" w:rsidRPr="00284D5E" w:rsidRDefault="00F67EFC" w:rsidP="00ED1F48">
            <w:pPr>
              <w:pStyle w:val="Sansinterligne"/>
              <w:numPr>
                <w:ilvl w:val="1"/>
                <w:numId w:val="1460"/>
              </w:numPr>
              <w:rPr>
                <w:rFonts w:eastAsia="Times New Roman" w:cs="Times New Roman"/>
                <w:color w:val="000000"/>
                <w:highlight w:val="yellow"/>
                <w:lang w:eastAsia="fr-CA"/>
              </w:rPr>
            </w:pPr>
            <w:r w:rsidRPr="00284D5E">
              <w:rPr>
                <w:rFonts w:eastAsia="Times New Roman" w:cs="Times New Roman"/>
                <w:color w:val="000000"/>
                <w:highlight w:val="yellow"/>
                <w:lang w:eastAsia="fr-CA"/>
              </w:rPr>
              <w:t>Dépistage de san</w:t>
            </w:r>
            <w:r w:rsidR="00B262E7">
              <w:rPr>
                <w:rFonts w:eastAsia="Times New Roman" w:cs="Times New Roman"/>
                <w:color w:val="000000"/>
                <w:highlight w:val="yellow"/>
                <w:lang w:eastAsia="fr-CA"/>
              </w:rPr>
              <w:t>G</w:t>
            </w:r>
            <w:r w:rsidRPr="00284D5E">
              <w:rPr>
                <w:rFonts w:eastAsia="Times New Roman" w:cs="Times New Roman"/>
                <w:color w:val="000000"/>
                <w:highlight w:val="yellow"/>
                <w:lang w:eastAsia="fr-CA"/>
              </w:rPr>
              <w:t xml:space="preserve"> occulte dans les selles q 1-2 ans</w:t>
            </w:r>
          </w:p>
          <w:p w:rsidR="00F67EFC" w:rsidRPr="00284D5E" w:rsidRDefault="00F67EFC" w:rsidP="00ED1F48">
            <w:pPr>
              <w:pStyle w:val="Sansinterligne"/>
              <w:numPr>
                <w:ilvl w:val="1"/>
                <w:numId w:val="1460"/>
              </w:numPr>
              <w:rPr>
                <w:rFonts w:eastAsia="Times New Roman" w:cs="Times New Roman"/>
                <w:color w:val="000000"/>
                <w:highlight w:val="yellow"/>
                <w:lang w:eastAsia="fr-CA"/>
              </w:rPr>
            </w:pPr>
            <w:r w:rsidRPr="00284D5E">
              <w:rPr>
                <w:rFonts w:eastAsia="Times New Roman" w:cs="Times New Roman"/>
                <w:color w:val="000000"/>
                <w:highlight w:val="yellow"/>
                <w:lang w:eastAsia="fr-CA"/>
              </w:rPr>
              <w:t>Sigmoidoscopie q 10 ans</w:t>
            </w:r>
          </w:p>
          <w:p w:rsidR="004D43D1" w:rsidRPr="00284D5E" w:rsidRDefault="004D43D1" w:rsidP="00ED1F48">
            <w:pPr>
              <w:pStyle w:val="Sansinterligne"/>
              <w:numPr>
                <w:ilvl w:val="0"/>
                <w:numId w:val="1460"/>
              </w:numPr>
              <w:rPr>
                <w:rFonts w:eastAsia="Times New Roman" w:cs="Times New Roman"/>
                <w:color w:val="000000"/>
                <w:highlight w:val="yellow"/>
                <w:lang w:eastAsia="fr-CA"/>
              </w:rPr>
            </w:pPr>
            <w:r w:rsidRPr="00284D5E">
              <w:rPr>
                <w:rFonts w:eastAsia="Times New Roman" w:cs="Times New Roman"/>
                <w:color w:val="000000"/>
                <w:highlight w:val="yellow"/>
                <w:lang w:eastAsia="fr-CA"/>
              </w:rPr>
              <w:t>Si risque élevé (FR+), dépistage précoce</w:t>
            </w:r>
          </w:p>
          <w:p w:rsidR="004D43D1" w:rsidRPr="00284D5E" w:rsidRDefault="004D43D1" w:rsidP="00ED1F48">
            <w:pPr>
              <w:pStyle w:val="Sansinterligne"/>
              <w:numPr>
                <w:ilvl w:val="1"/>
                <w:numId w:val="1460"/>
              </w:numPr>
              <w:rPr>
                <w:rFonts w:eastAsia="Times New Roman" w:cs="Times New Roman"/>
                <w:color w:val="000000"/>
                <w:highlight w:val="yellow"/>
                <w:lang w:eastAsia="fr-CA"/>
              </w:rPr>
            </w:pPr>
            <w:r w:rsidRPr="00284D5E">
              <w:rPr>
                <w:rFonts w:eastAsia="Times New Roman" w:cs="Times New Roman"/>
                <w:color w:val="000000"/>
                <w:highlight w:val="yellow"/>
                <w:lang w:eastAsia="fr-CA"/>
              </w:rPr>
              <w:t>Si membre de famille 1</w:t>
            </w:r>
            <w:r w:rsidRPr="00284D5E">
              <w:rPr>
                <w:rFonts w:eastAsia="Times New Roman" w:cs="Times New Roman"/>
                <w:color w:val="000000"/>
                <w:highlight w:val="yellow"/>
                <w:vertAlign w:val="superscript"/>
                <w:lang w:eastAsia="fr-CA"/>
              </w:rPr>
              <w:t>er</w:t>
            </w:r>
            <w:r w:rsidRPr="00284D5E">
              <w:rPr>
                <w:rFonts w:eastAsia="Times New Roman" w:cs="Times New Roman"/>
                <w:color w:val="000000"/>
                <w:highlight w:val="yellow"/>
                <w:lang w:eastAsia="fr-CA"/>
              </w:rPr>
              <w:t xml:space="preserve"> degré </w:t>
            </w:r>
            <w:r w:rsidR="00284D5E" w:rsidRPr="00284D5E">
              <w:rPr>
                <w:rFonts w:eastAsia="Times New Roman" w:cs="Times New Roman"/>
                <w:color w:val="000000"/>
                <w:highlight w:val="yellow"/>
                <w:lang w:eastAsia="fr-CA"/>
              </w:rPr>
              <w:t>avec</w:t>
            </w:r>
            <w:r w:rsidRPr="00284D5E">
              <w:rPr>
                <w:rFonts w:eastAsia="Times New Roman" w:cs="Times New Roman"/>
                <w:color w:val="000000"/>
                <w:highlight w:val="yellow"/>
                <w:lang w:eastAsia="fr-CA"/>
              </w:rPr>
              <w:t xml:space="preserve"> néo du côlon ou polype adénomateux </w:t>
            </w:r>
            <w:r w:rsidR="00284D5E" w:rsidRPr="00284D5E">
              <w:rPr>
                <w:rFonts w:ascii="Century Gothic" w:eastAsia="Times New Roman" w:hAnsi="Century Gothic" w:cs="Times New Roman"/>
                <w:color w:val="000000"/>
                <w:highlight w:val="yellow"/>
                <w:u w:val="single"/>
                <w:lang w:eastAsia="fr-CA"/>
              </w:rPr>
              <w:t>&lt;</w:t>
            </w:r>
            <w:r w:rsidRPr="00284D5E">
              <w:rPr>
                <w:rFonts w:eastAsia="Times New Roman" w:cs="Times New Roman"/>
                <w:color w:val="000000"/>
                <w:highlight w:val="yellow"/>
                <w:u w:val="single"/>
                <w:lang w:eastAsia="fr-CA"/>
              </w:rPr>
              <w:t xml:space="preserve"> 60 ans </w:t>
            </w:r>
            <w:r w:rsidRPr="00284D5E">
              <w:rPr>
                <w:rFonts w:eastAsia="Times New Roman" w:cs="Times New Roman"/>
                <w:color w:val="000000"/>
                <w:highlight w:val="yellow"/>
                <w:lang w:eastAsia="fr-CA"/>
              </w:rPr>
              <w:t xml:space="preserve">ou 2 </w:t>
            </w:r>
            <w:r w:rsidR="00284D5E" w:rsidRPr="00284D5E">
              <w:rPr>
                <w:rFonts w:eastAsia="Times New Roman" w:cs="Times New Roman"/>
                <w:color w:val="000000"/>
                <w:highlight w:val="yellow"/>
                <w:lang w:eastAsia="fr-CA"/>
              </w:rPr>
              <w:t>MF 1</w:t>
            </w:r>
            <w:r w:rsidR="00284D5E" w:rsidRPr="00284D5E">
              <w:rPr>
                <w:rFonts w:eastAsia="Times New Roman" w:cs="Times New Roman"/>
                <w:color w:val="000000"/>
                <w:highlight w:val="yellow"/>
                <w:vertAlign w:val="superscript"/>
                <w:lang w:eastAsia="fr-CA"/>
              </w:rPr>
              <w:t>er</w:t>
            </w:r>
            <w:r w:rsidR="00284D5E" w:rsidRPr="00284D5E">
              <w:rPr>
                <w:rFonts w:eastAsia="Times New Roman" w:cs="Times New Roman"/>
                <w:color w:val="000000"/>
                <w:highlight w:val="yellow"/>
                <w:lang w:eastAsia="fr-CA"/>
              </w:rPr>
              <w:t xml:space="preserve"> degré polypes +</w:t>
            </w:r>
          </w:p>
          <w:p w:rsidR="004D43D1" w:rsidRPr="00284D5E" w:rsidRDefault="004D43D1" w:rsidP="00ED1F48">
            <w:pPr>
              <w:pStyle w:val="Sansinterligne"/>
              <w:numPr>
                <w:ilvl w:val="2"/>
                <w:numId w:val="1460"/>
              </w:numPr>
              <w:rPr>
                <w:rFonts w:eastAsia="Times New Roman" w:cs="Times New Roman"/>
                <w:color w:val="000000"/>
                <w:highlight w:val="yellow"/>
                <w:lang w:eastAsia="fr-CA"/>
              </w:rPr>
            </w:pPr>
            <w:r w:rsidRPr="00284D5E">
              <w:rPr>
                <w:rFonts w:eastAsia="Times New Roman" w:cs="Times New Roman"/>
                <w:color w:val="000000"/>
                <w:highlight w:val="yellow"/>
                <w:lang w:eastAsia="fr-CA"/>
              </w:rPr>
              <w:t>Colonoscopie q 5 ans dès 40 ans</w:t>
            </w:r>
          </w:p>
          <w:p w:rsidR="004D43D1" w:rsidRPr="00284D5E" w:rsidRDefault="00284D5E" w:rsidP="00ED1F48">
            <w:pPr>
              <w:pStyle w:val="Sansinterligne"/>
              <w:numPr>
                <w:ilvl w:val="1"/>
                <w:numId w:val="1460"/>
              </w:numPr>
              <w:rPr>
                <w:rFonts w:eastAsia="Times New Roman" w:cs="Times New Roman"/>
                <w:color w:val="000000"/>
                <w:highlight w:val="yellow"/>
                <w:lang w:eastAsia="fr-CA"/>
              </w:rPr>
            </w:pPr>
            <w:r w:rsidRPr="00284D5E">
              <w:rPr>
                <w:rFonts w:eastAsia="Times New Roman" w:cs="Times New Roman"/>
                <w:color w:val="000000"/>
                <w:highlight w:val="yellow"/>
                <w:lang w:eastAsia="fr-CA"/>
              </w:rPr>
              <w:t>Si membre 1</w:t>
            </w:r>
            <w:r w:rsidRPr="00284D5E">
              <w:rPr>
                <w:rFonts w:eastAsia="Times New Roman" w:cs="Times New Roman"/>
                <w:color w:val="000000"/>
                <w:highlight w:val="yellow"/>
                <w:vertAlign w:val="superscript"/>
                <w:lang w:eastAsia="fr-CA"/>
              </w:rPr>
              <w:t>er</w:t>
            </w:r>
            <w:r w:rsidRPr="00284D5E">
              <w:rPr>
                <w:rFonts w:eastAsia="Times New Roman" w:cs="Times New Roman"/>
                <w:color w:val="000000"/>
                <w:highlight w:val="yellow"/>
                <w:lang w:eastAsia="fr-CA"/>
              </w:rPr>
              <w:t xml:space="preserve"> degré, néo ou polype </w:t>
            </w:r>
            <w:r w:rsidRPr="00284D5E">
              <w:rPr>
                <w:rFonts w:ascii="Century Gothic" w:eastAsia="Times New Roman" w:hAnsi="Century Gothic" w:cs="Times New Roman"/>
                <w:color w:val="000000"/>
                <w:highlight w:val="yellow"/>
                <w:lang w:eastAsia="fr-CA"/>
              </w:rPr>
              <w:t>&gt;</w:t>
            </w:r>
            <w:r w:rsidRPr="00284D5E">
              <w:rPr>
                <w:rFonts w:eastAsia="Times New Roman" w:cs="Times New Roman"/>
                <w:color w:val="000000"/>
                <w:highlight w:val="yellow"/>
                <w:lang w:eastAsia="fr-CA"/>
              </w:rPr>
              <w:t>60</w:t>
            </w:r>
          </w:p>
          <w:p w:rsidR="00284D5E" w:rsidRPr="00284D5E" w:rsidRDefault="00284D5E" w:rsidP="00ED1F48">
            <w:pPr>
              <w:pStyle w:val="Sansinterligne"/>
              <w:numPr>
                <w:ilvl w:val="2"/>
                <w:numId w:val="1460"/>
              </w:numPr>
              <w:rPr>
                <w:rFonts w:eastAsia="Times New Roman" w:cs="Times New Roman"/>
                <w:color w:val="000000"/>
                <w:highlight w:val="yellow"/>
                <w:lang w:eastAsia="fr-CA"/>
              </w:rPr>
            </w:pPr>
            <w:r w:rsidRPr="00284D5E">
              <w:rPr>
                <w:rFonts w:eastAsia="Times New Roman" w:cs="Times New Roman"/>
                <w:color w:val="000000"/>
                <w:highlight w:val="yellow"/>
                <w:lang w:eastAsia="fr-CA"/>
              </w:rPr>
              <w:t xml:space="preserve">Dépistage habituel, débuter </w:t>
            </w:r>
            <w:r w:rsidRPr="00284D5E">
              <w:rPr>
                <w:rFonts w:eastAsia="Times New Roman" w:cs="Times New Roman"/>
                <w:color w:val="000000"/>
                <w:highlight w:val="yellow"/>
                <w:u w:val="single"/>
                <w:lang w:eastAsia="fr-CA"/>
              </w:rPr>
              <w:t>à 40 ans</w:t>
            </w:r>
          </w:p>
          <w:p w:rsidR="00284D5E" w:rsidRDefault="00284D5E" w:rsidP="00ED1F48">
            <w:pPr>
              <w:pStyle w:val="Sansinterligne"/>
              <w:numPr>
                <w:ilvl w:val="1"/>
                <w:numId w:val="1460"/>
              </w:numPr>
              <w:rPr>
                <w:rFonts w:eastAsia="Times New Roman" w:cs="Times New Roman"/>
                <w:color w:val="000000"/>
                <w:lang w:eastAsia="fr-CA"/>
              </w:rPr>
            </w:pPr>
            <w:r w:rsidRPr="00284D5E">
              <w:rPr>
                <w:rFonts w:eastAsia="Times New Roman" w:cs="Times New Roman"/>
                <w:color w:val="000000"/>
                <w:lang w:eastAsia="fr-CA"/>
              </w:rPr>
              <w:t>Polypes connus</w:t>
            </w:r>
            <w:r>
              <w:rPr>
                <w:rFonts w:eastAsia="Times New Roman" w:cs="Times New Roman"/>
                <w:color w:val="000000"/>
                <w:lang w:eastAsia="fr-CA"/>
              </w:rPr>
              <w:t xml:space="preserve"> adénomes tubulaires</w:t>
            </w:r>
          </w:p>
          <w:p w:rsidR="00284D5E" w:rsidRDefault="00284D5E" w:rsidP="00ED1F48">
            <w:pPr>
              <w:pStyle w:val="Sansinterligne"/>
              <w:numPr>
                <w:ilvl w:val="2"/>
                <w:numId w:val="1460"/>
              </w:numPr>
              <w:rPr>
                <w:rFonts w:eastAsia="Times New Roman" w:cs="Times New Roman"/>
                <w:color w:val="000000"/>
                <w:lang w:eastAsia="fr-CA"/>
              </w:rPr>
            </w:pPr>
            <w:r>
              <w:rPr>
                <w:rFonts w:eastAsia="Times New Roman" w:cs="Times New Roman"/>
                <w:color w:val="000000"/>
                <w:lang w:eastAsia="fr-CA"/>
              </w:rPr>
              <w:t>1-2 : colonoscopie x 1 dans 5 ans</w:t>
            </w:r>
          </w:p>
          <w:p w:rsidR="00284D5E" w:rsidRPr="00284D5E" w:rsidRDefault="00284D5E" w:rsidP="00ED1F48">
            <w:pPr>
              <w:pStyle w:val="Sansinterligne"/>
              <w:numPr>
                <w:ilvl w:val="2"/>
                <w:numId w:val="1460"/>
              </w:numPr>
              <w:rPr>
                <w:rFonts w:eastAsia="Times New Roman" w:cs="Times New Roman"/>
                <w:color w:val="000000"/>
                <w:lang w:eastAsia="fr-CA"/>
              </w:rPr>
            </w:pPr>
            <w:r>
              <w:rPr>
                <w:rFonts w:ascii="Century Gothic" w:eastAsia="Times New Roman" w:hAnsi="Century Gothic" w:cs="Times New Roman"/>
                <w:color w:val="000000"/>
                <w:lang w:eastAsia="fr-CA"/>
              </w:rPr>
              <w:t>≥</w:t>
            </w:r>
            <w:r>
              <w:rPr>
                <w:rFonts w:eastAsia="Times New Roman" w:cs="Times New Roman"/>
                <w:color w:val="000000"/>
                <w:lang w:eastAsia="fr-CA"/>
              </w:rPr>
              <w:t>3 colonoscopie x 1 dans 3 ans</w:t>
            </w:r>
          </w:p>
          <w:p w:rsidR="004D43D1" w:rsidRDefault="004D43D1" w:rsidP="00ED1F48">
            <w:pPr>
              <w:pStyle w:val="Sansinterligne"/>
              <w:numPr>
                <w:ilvl w:val="1"/>
                <w:numId w:val="1460"/>
              </w:numPr>
              <w:rPr>
                <w:rFonts w:eastAsia="Times New Roman" w:cs="Times New Roman"/>
                <w:color w:val="000000"/>
                <w:lang w:eastAsia="fr-CA"/>
              </w:rPr>
            </w:pPr>
            <w:r>
              <w:rPr>
                <w:rFonts w:eastAsia="Times New Roman" w:cs="Times New Roman"/>
                <w:color w:val="000000"/>
                <w:lang w:eastAsia="fr-CA"/>
              </w:rPr>
              <w:t>HNPCC (Syndrome de Lynch)</w:t>
            </w:r>
          </w:p>
          <w:p w:rsidR="004D43D1" w:rsidRDefault="004D43D1" w:rsidP="00ED1F48">
            <w:pPr>
              <w:pStyle w:val="Sansinterligne"/>
              <w:numPr>
                <w:ilvl w:val="2"/>
                <w:numId w:val="1460"/>
              </w:numPr>
              <w:rPr>
                <w:rFonts w:eastAsia="Times New Roman" w:cs="Times New Roman"/>
                <w:color w:val="000000"/>
                <w:lang w:eastAsia="fr-CA"/>
              </w:rPr>
            </w:pPr>
            <w:r>
              <w:rPr>
                <w:rFonts w:eastAsia="Times New Roman" w:cs="Times New Roman"/>
                <w:color w:val="000000"/>
                <w:lang w:eastAsia="fr-CA"/>
              </w:rPr>
              <w:t>Colonoscopie q 2 ans dès 20 ans</w:t>
            </w:r>
          </w:p>
          <w:p w:rsidR="004D43D1" w:rsidRDefault="004D43D1" w:rsidP="00ED1F48">
            <w:pPr>
              <w:pStyle w:val="Sansinterligne"/>
              <w:numPr>
                <w:ilvl w:val="1"/>
                <w:numId w:val="1460"/>
              </w:numPr>
              <w:rPr>
                <w:rFonts w:eastAsia="Times New Roman" w:cs="Times New Roman"/>
                <w:color w:val="000000"/>
                <w:lang w:eastAsia="fr-CA"/>
              </w:rPr>
            </w:pPr>
            <w:r>
              <w:rPr>
                <w:rFonts w:eastAsia="Times New Roman" w:cs="Times New Roman"/>
                <w:color w:val="000000"/>
                <w:lang w:eastAsia="fr-CA"/>
              </w:rPr>
              <w:t>Polypose familiale adénomateuse</w:t>
            </w:r>
          </w:p>
          <w:p w:rsidR="004D43D1" w:rsidRDefault="004D43D1" w:rsidP="00ED1F48">
            <w:pPr>
              <w:pStyle w:val="Sansinterligne"/>
              <w:numPr>
                <w:ilvl w:val="2"/>
                <w:numId w:val="1460"/>
              </w:numPr>
              <w:rPr>
                <w:rFonts w:eastAsia="Times New Roman" w:cs="Times New Roman"/>
                <w:color w:val="000000"/>
                <w:lang w:eastAsia="fr-CA"/>
              </w:rPr>
            </w:pPr>
            <w:r>
              <w:rPr>
                <w:rFonts w:eastAsia="Times New Roman" w:cs="Times New Roman"/>
                <w:color w:val="000000"/>
                <w:lang w:eastAsia="fr-CA"/>
              </w:rPr>
              <w:t>Sigmoidoscopie q 1 an dès 10-12 ans</w:t>
            </w:r>
          </w:p>
          <w:p w:rsidR="004D43D1" w:rsidRDefault="004D43D1" w:rsidP="00ED1F48">
            <w:pPr>
              <w:pStyle w:val="Sansinterligne"/>
              <w:numPr>
                <w:ilvl w:val="1"/>
                <w:numId w:val="1460"/>
              </w:numPr>
              <w:rPr>
                <w:rFonts w:eastAsia="Times New Roman" w:cs="Times New Roman"/>
                <w:color w:val="000000"/>
                <w:lang w:eastAsia="fr-CA"/>
              </w:rPr>
            </w:pPr>
            <w:r>
              <w:rPr>
                <w:rFonts w:eastAsia="Times New Roman" w:cs="Times New Roman"/>
                <w:color w:val="000000"/>
                <w:lang w:eastAsia="fr-CA"/>
              </w:rPr>
              <w:t>Polypose adénomateuse atténuée</w:t>
            </w:r>
          </w:p>
          <w:p w:rsidR="004D43D1" w:rsidRDefault="004D43D1" w:rsidP="00ED1F48">
            <w:pPr>
              <w:pStyle w:val="Sansinterligne"/>
              <w:numPr>
                <w:ilvl w:val="2"/>
                <w:numId w:val="1460"/>
              </w:numPr>
              <w:rPr>
                <w:rFonts w:eastAsia="Times New Roman" w:cs="Times New Roman"/>
                <w:color w:val="000000"/>
                <w:lang w:eastAsia="fr-CA"/>
              </w:rPr>
            </w:pPr>
            <w:r>
              <w:rPr>
                <w:rFonts w:eastAsia="Times New Roman" w:cs="Times New Roman"/>
                <w:color w:val="000000"/>
                <w:lang w:eastAsia="fr-CA"/>
              </w:rPr>
              <w:t>Colonoscopie q 1 an dès 16-18 ans</w:t>
            </w:r>
          </w:p>
        </w:tc>
        <w:tc>
          <w:tcPr>
            <w:tcW w:w="1843" w:type="dxa"/>
          </w:tcPr>
          <w:p w:rsidR="00735DE8" w:rsidRDefault="00F67EFC" w:rsidP="004D43D1">
            <w:pPr>
              <w:pStyle w:val="Sansinterligne"/>
              <w:jc w:val="center"/>
              <w:rPr>
                <w:rFonts w:eastAsia="Times New Roman" w:cs="Times New Roman"/>
                <w:color w:val="000000"/>
                <w:lang w:eastAsia="fr-CA"/>
              </w:rPr>
            </w:pPr>
            <w:r w:rsidRPr="00284D5E">
              <w:rPr>
                <w:rFonts w:eastAsia="Times New Roman" w:cs="Times New Roman"/>
                <w:color w:val="000000"/>
                <w:highlight w:val="yellow"/>
                <w:lang w:eastAsia="fr-CA"/>
              </w:rPr>
              <w:t>50 ans – 75 ans</w:t>
            </w:r>
          </w:p>
        </w:tc>
      </w:tr>
      <w:tr w:rsidR="00735DE8" w:rsidTr="00513781">
        <w:trPr>
          <w:cantSplit/>
          <w:trHeight w:val="258"/>
        </w:trPr>
        <w:tc>
          <w:tcPr>
            <w:tcW w:w="592" w:type="dxa"/>
            <w:vMerge/>
            <w:shd w:val="clear" w:color="auto" w:fill="C4BC96" w:themeFill="background2" w:themeFillShade="BF"/>
            <w:textDirection w:val="btLr"/>
            <w:vAlign w:val="center"/>
          </w:tcPr>
          <w:p w:rsidR="00735DE8" w:rsidRDefault="00735DE8" w:rsidP="00962746">
            <w:pPr>
              <w:pStyle w:val="Sansinterligne"/>
              <w:ind w:left="113" w:right="113"/>
              <w:jc w:val="center"/>
              <w:rPr>
                <w:rFonts w:eastAsia="Times New Roman" w:cs="Times New Roman"/>
                <w:color w:val="000000"/>
                <w:lang w:eastAsia="fr-CA"/>
              </w:rPr>
            </w:pPr>
          </w:p>
        </w:tc>
        <w:tc>
          <w:tcPr>
            <w:tcW w:w="2068" w:type="dxa"/>
            <w:vAlign w:val="center"/>
          </w:tcPr>
          <w:p w:rsidR="00735DE8" w:rsidRDefault="00282A9F" w:rsidP="0057662A">
            <w:pPr>
              <w:pStyle w:val="Sansinterligne"/>
              <w:jc w:val="center"/>
              <w:rPr>
                <w:rFonts w:eastAsia="Times New Roman" w:cs="Times New Roman"/>
                <w:color w:val="000000"/>
                <w:lang w:eastAsia="fr-CA"/>
              </w:rPr>
            </w:pPr>
            <w:r w:rsidRPr="001B1B8F">
              <w:rPr>
                <w:rFonts w:eastAsia="Times New Roman" w:cs="Times New Roman"/>
                <w:color w:val="000000"/>
                <w:highlight w:val="yellow"/>
                <w:lang w:eastAsia="fr-CA"/>
              </w:rPr>
              <w:t>Cancer de la prostate</w:t>
            </w:r>
          </w:p>
        </w:tc>
        <w:tc>
          <w:tcPr>
            <w:tcW w:w="6520" w:type="dxa"/>
          </w:tcPr>
          <w:p w:rsidR="00735DE8" w:rsidRPr="001B1B8F" w:rsidRDefault="001B1B8F" w:rsidP="00ED1F48">
            <w:pPr>
              <w:pStyle w:val="Sansinterligne"/>
              <w:numPr>
                <w:ilvl w:val="0"/>
                <w:numId w:val="1465"/>
              </w:numPr>
              <w:rPr>
                <w:rFonts w:eastAsia="Times New Roman" w:cs="Times New Roman"/>
                <w:color w:val="000000"/>
                <w:highlight w:val="yellow"/>
                <w:lang w:eastAsia="fr-CA"/>
              </w:rPr>
            </w:pPr>
            <w:r w:rsidRPr="001B1B8F">
              <w:rPr>
                <w:rFonts w:eastAsia="Times New Roman" w:cs="Times New Roman"/>
                <w:color w:val="000000"/>
                <w:highlight w:val="yellow"/>
                <w:lang w:eastAsia="fr-CA"/>
              </w:rPr>
              <w:t>Dépistage systématique plus recommandé (impact sur la survie non-démontré)</w:t>
            </w:r>
          </w:p>
          <w:p w:rsidR="001B1B8F" w:rsidRDefault="001B1B8F" w:rsidP="00ED1F48">
            <w:pPr>
              <w:pStyle w:val="Sansinterligne"/>
              <w:numPr>
                <w:ilvl w:val="0"/>
                <w:numId w:val="1465"/>
              </w:numPr>
              <w:rPr>
                <w:rFonts w:eastAsia="Times New Roman" w:cs="Times New Roman"/>
                <w:color w:val="000000"/>
                <w:lang w:eastAsia="fr-CA"/>
              </w:rPr>
            </w:pPr>
            <w:r>
              <w:rPr>
                <w:rFonts w:eastAsia="Times New Roman" w:cs="Times New Roman"/>
                <w:color w:val="000000"/>
                <w:lang w:eastAsia="fr-CA"/>
              </w:rPr>
              <w:t xml:space="preserve">Si suspicion (symptomatique) ou à haut risque et espérance de vie </w:t>
            </w:r>
            <w:r>
              <w:rPr>
                <w:rFonts w:ascii="Century Gothic" w:eastAsia="Times New Roman" w:hAnsi="Century Gothic" w:cs="Times New Roman"/>
                <w:color w:val="000000"/>
                <w:lang w:eastAsia="fr-CA"/>
              </w:rPr>
              <w:t>&gt;</w:t>
            </w:r>
            <w:r>
              <w:rPr>
                <w:rFonts w:eastAsia="Times New Roman" w:cs="Times New Roman"/>
                <w:color w:val="000000"/>
                <w:lang w:eastAsia="fr-CA"/>
              </w:rPr>
              <w:t xml:space="preserve"> 10 ans</w:t>
            </w:r>
          </w:p>
          <w:p w:rsidR="001B1B8F" w:rsidRDefault="001B1B8F" w:rsidP="00ED1F48">
            <w:pPr>
              <w:pStyle w:val="Sansinterligne"/>
              <w:numPr>
                <w:ilvl w:val="1"/>
                <w:numId w:val="1465"/>
              </w:numPr>
              <w:rPr>
                <w:rFonts w:eastAsia="Times New Roman" w:cs="Times New Roman"/>
                <w:color w:val="000000"/>
                <w:lang w:eastAsia="fr-CA"/>
              </w:rPr>
            </w:pPr>
            <w:r>
              <w:rPr>
                <w:rFonts w:eastAsia="Times New Roman" w:cs="Times New Roman"/>
                <w:color w:val="000000"/>
                <w:lang w:eastAsia="fr-CA"/>
              </w:rPr>
              <w:t>Toucher rectal et/ou antigène prostate-spécifique APS-PSA en haut de 40 ans</w:t>
            </w:r>
          </w:p>
        </w:tc>
        <w:tc>
          <w:tcPr>
            <w:tcW w:w="1843" w:type="dxa"/>
          </w:tcPr>
          <w:p w:rsidR="00735DE8" w:rsidRDefault="00735DE8" w:rsidP="00962746">
            <w:pPr>
              <w:pStyle w:val="Sansinterligne"/>
              <w:rPr>
                <w:rFonts w:eastAsia="Times New Roman" w:cs="Times New Roman"/>
                <w:color w:val="000000"/>
                <w:lang w:eastAsia="fr-CA"/>
              </w:rPr>
            </w:pPr>
          </w:p>
        </w:tc>
      </w:tr>
      <w:tr w:rsidR="00735DE8" w:rsidTr="00513781">
        <w:trPr>
          <w:cantSplit/>
          <w:trHeight w:val="258"/>
        </w:trPr>
        <w:tc>
          <w:tcPr>
            <w:tcW w:w="592" w:type="dxa"/>
            <w:vMerge/>
            <w:shd w:val="clear" w:color="auto" w:fill="C4BC96" w:themeFill="background2" w:themeFillShade="BF"/>
            <w:textDirection w:val="btLr"/>
            <w:vAlign w:val="center"/>
          </w:tcPr>
          <w:p w:rsidR="00735DE8" w:rsidRDefault="00735DE8" w:rsidP="00962746">
            <w:pPr>
              <w:pStyle w:val="Sansinterligne"/>
              <w:ind w:left="113" w:right="113"/>
              <w:jc w:val="center"/>
              <w:rPr>
                <w:rFonts w:eastAsia="Times New Roman" w:cs="Times New Roman"/>
                <w:color w:val="000000"/>
                <w:lang w:eastAsia="fr-CA"/>
              </w:rPr>
            </w:pPr>
          </w:p>
        </w:tc>
        <w:tc>
          <w:tcPr>
            <w:tcW w:w="2068" w:type="dxa"/>
            <w:vAlign w:val="center"/>
          </w:tcPr>
          <w:p w:rsidR="00735DE8" w:rsidRDefault="00282A9F" w:rsidP="0057662A">
            <w:pPr>
              <w:pStyle w:val="Sansinterligne"/>
              <w:jc w:val="center"/>
              <w:rPr>
                <w:rFonts w:eastAsia="Times New Roman" w:cs="Times New Roman"/>
                <w:color w:val="000000"/>
                <w:lang w:eastAsia="fr-CA"/>
              </w:rPr>
            </w:pPr>
            <w:r>
              <w:rPr>
                <w:rFonts w:eastAsia="Times New Roman" w:cs="Times New Roman"/>
                <w:color w:val="000000"/>
                <w:lang w:eastAsia="fr-CA"/>
              </w:rPr>
              <w:t>Cancer de la peau</w:t>
            </w:r>
          </w:p>
        </w:tc>
        <w:tc>
          <w:tcPr>
            <w:tcW w:w="6520" w:type="dxa"/>
          </w:tcPr>
          <w:p w:rsidR="00735DE8" w:rsidRDefault="007B0FF7" w:rsidP="00ED1F48">
            <w:pPr>
              <w:pStyle w:val="Sansinterligne"/>
              <w:numPr>
                <w:ilvl w:val="0"/>
                <w:numId w:val="1466"/>
              </w:numPr>
              <w:rPr>
                <w:rFonts w:eastAsia="Times New Roman" w:cs="Times New Roman"/>
                <w:color w:val="000000"/>
                <w:lang w:eastAsia="fr-CA"/>
              </w:rPr>
            </w:pPr>
            <w:r>
              <w:rPr>
                <w:rFonts w:eastAsia="Times New Roman" w:cs="Times New Roman"/>
                <w:color w:val="000000"/>
                <w:lang w:eastAsia="fr-CA"/>
              </w:rPr>
              <w:t>Pas de données très probantes sur le dépistage du mélanome</w:t>
            </w:r>
          </w:p>
          <w:p w:rsidR="007B0FF7" w:rsidRDefault="007B0FF7" w:rsidP="00ED1F48">
            <w:pPr>
              <w:pStyle w:val="Sansinterligne"/>
              <w:numPr>
                <w:ilvl w:val="0"/>
                <w:numId w:val="1466"/>
              </w:numPr>
              <w:rPr>
                <w:rFonts w:eastAsia="Times New Roman" w:cs="Times New Roman"/>
                <w:color w:val="000000"/>
                <w:lang w:eastAsia="fr-CA"/>
              </w:rPr>
            </w:pPr>
            <w:r>
              <w:rPr>
                <w:rFonts w:eastAsia="Times New Roman" w:cs="Times New Roman"/>
                <w:color w:val="000000"/>
                <w:lang w:eastAsia="fr-CA"/>
              </w:rPr>
              <w:t>Il est toutefois suggéré d’examiner les zone</w:t>
            </w:r>
            <w:r w:rsidR="00B262E7">
              <w:rPr>
                <w:rFonts w:eastAsia="Times New Roman" w:cs="Times New Roman"/>
                <w:color w:val="000000"/>
                <w:lang w:eastAsia="fr-CA"/>
              </w:rPr>
              <w:t>s de peau difficiles d’atteinte</w:t>
            </w:r>
            <w:r>
              <w:rPr>
                <w:rFonts w:eastAsia="Times New Roman" w:cs="Times New Roman"/>
                <w:color w:val="000000"/>
                <w:lang w:eastAsia="fr-CA"/>
              </w:rPr>
              <w:t xml:space="preserve"> pour le patient (cou, dos, cuir chevelu, etc.) lors d’un examen de routine.</w:t>
            </w:r>
          </w:p>
        </w:tc>
        <w:tc>
          <w:tcPr>
            <w:tcW w:w="1843" w:type="dxa"/>
          </w:tcPr>
          <w:p w:rsidR="00735DE8" w:rsidRDefault="00735DE8" w:rsidP="00962746">
            <w:pPr>
              <w:pStyle w:val="Sansinterligne"/>
              <w:rPr>
                <w:rFonts w:eastAsia="Times New Roman" w:cs="Times New Roman"/>
                <w:color w:val="000000"/>
                <w:lang w:eastAsia="fr-CA"/>
              </w:rPr>
            </w:pPr>
          </w:p>
        </w:tc>
      </w:tr>
      <w:tr w:rsidR="00735DE8" w:rsidTr="00513781">
        <w:trPr>
          <w:cantSplit/>
          <w:trHeight w:val="258"/>
        </w:trPr>
        <w:tc>
          <w:tcPr>
            <w:tcW w:w="592" w:type="dxa"/>
            <w:vMerge/>
            <w:shd w:val="clear" w:color="auto" w:fill="C4BC96" w:themeFill="background2" w:themeFillShade="BF"/>
            <w:textDirection w:val="btLr"/>
            <w:vAlign w:val="center"/>
          </w:tcPr>
          <w:p w:rsidR="00735DE8" w:rsidRDefault="00735DE8" w:rsidP="00962746">
            <w:pPr>
              <w:pStyle w:val="Sansinterligne"/>
              <w:ind w:left="113" w:right="113"/>
              <w:jc w:val="center"/>
              <w:rPr>
                <w:rFonts w:eastAsia="Times New Roman" w:cs="Times New Roman"/>
                <w:color w:val="000000"/>
                <w:lang w:eastAsia="fr-CA"/>
              </w:rPr>
            </w:pPr>
          </w:p>
        </w:tc>
        <w:tc>
          <w:tcPr>
            <w:tcW w:w="2068" w:type="dxa"/>
            <w:vAlign w:val="center"/>
          </w:tcPr>
          <w:p w:rsidR="00735DE8" w:rsidRDefault="00282A9F" w:rsidP="0057662A">
            <w:pPr>
              <w:pStyle w:val="Sansinterligne"/>
              <w:jc w:val="center"/>
              <w:rPr>
                <w:rFonts w:eastAsia="Times New Roman" w:cs="Times New Roman"/>
                <w:color w:val="000000"/>
                <w:lang w:eastAsia="fr-CA"/>
              </w:rPr>
            </w:pPr>
            <w:r>
              <w:rPr>
                <w:rFonts w:eastAsia="Times New Roman" w:cs="Times New Roman"/>
                <w:color w:val="000000"/>
                <w:lang w:eastAsia="fr-CA"/>
              </w:rPr>
              <w:t>MCAS</w:t>
            </w:r>
          </w:p>
        </w:tc>
        <w:tc>
          <w:tcPr>
            <w:tcW w:w="6520" w:type="dxa"/>
          </w:tcPr>
          <w:p w:rsidR="00735DE8" w:rsidRPr="001445CD" w:rsidRDefault="001445CD" w:rsidP="00ED1F48">
            <w:pPr>
              <w:pStyle w:val="Sansinterligne"/>
              <w:numPr>
                <w:ilvl w:val="0"/>
                <w:numId w:val="1462"/>
              </w:numPr>
              <w:rPr>
                <w:rFonts w:eastAsia="Times New Roman" w:cs="Times New Roman"/>
                <w:color w:val="000000"/>
                <w:highlight w:val="yellow"/>
                <w:lang w:eastAsia="fr-CA"/>
              </w:rPr>
            </w:pPr>
            <w:r w:rsidRPr="001445CD">
              <w:rPr>
                <w:rFonts w:eastAsia="Times New Roman" w:cs="Times New Roman"/>
                <w:color w:val="000000"/>
                <w:highlight w:val="yellow"/>
                <w:lang w:eastAsia="fr-CA"/>
              </w:rPr>
              <w:t>Pas de de dépistage recommandé</w:t>
            </w:r>
          </w:p>
          <w:p w:rsidR="001445CD" w:rsidRDefault="001445CD" w:rsidP="00ED1F48">
            <w:pPr>
              <w:pStyle w:val="Sansinterligne"/>
              <w:numPr>
                <w:ilvl w:val="0"/>
                <w:numId w:val="1462"/>
              </w:numPr>
              <w:rPr>
                <w:rFonts w:eastAsia="Times New Roman" w:cs="Times New Roman"/>
                <w:color w:val="000000"/>
                <w:lang w:eastAsia="fr-CA"/>
              </w:rPr>
            </w:pPr>
            <w:r>
              <w:rPr>
                <w:rFonts w:eastAsia="Times New Roman" w:cs="Times New Roman"/>
                <w:color w:val="000000"/>
                <w:lang w:eastAsia="fr-CA"/>
              </w:rPr>
              <w:t xml:space="preserve">Toutefois, évaluer </w:t>
            </w:r>
            <w:r w:rsidRPr="001445CD">
              <w:rPr>
                <w:rFonts w:eastAsia="Times New Roman" w:cs="Times New Roman"/>
                <w:color w:val="000000"/>
                <w:u w:val="single"/>
                <w:lang w:eastAsia="fr-CA"/>
              </w:rPr>
              <w:t>le risque</w:t>
            </w:r>
            <w:r>
              <w:rPr>
                <w:rFonts w:eastAsia="Times New Roman" w:cs="Times New Roman"/>
                <w:color w:val="000000"/>
                <w:lang w:eastAsia="fr-CA"/>
              </w:rPr>
              <w:t xml:space="preserve"> cardiovasculaire de temps à autres</w:t>
            </w:r>
          </w:p>
        </w:tc>
        <w:tc>
          <w:tcPr>
            <w:tcW w:w="1843" w:type="dxa"/>
          </w:tcPr>
          <w:p w:rsidR="00735DE8" w:rsidRDefault="001445CD" w:rsidP="001445CD">
            <w:pPr>
              <w:pStyle w:val="Sansinterligne"/>
              <w:jc w:val="center"/>
              <w:rPr>
                <w:rFonts w:eastAsia="Times New Roman" w:cs="Times New Roman"/>
                <w:color w:val="000000"/>
                <w:lang w:eastAsia="fr-CA"/>
              </w:rPr>
            </w:pPr>
            <w:r>
              <w:rPr>
                <w:rFonts w:eastAsia="Times New Roman" w:cs="Times New Roman"/>
                <w:color w:val="000000"/>
                <w:lang w:eastAsia="fr-CA"/>
              </w:rPr>
              <w:t>~ 50 ans</w:t>
            </w:r>
          </w:p>
        </w:tc>
      </w:tr>
      <w:tr w:rsidR="00735DE8" w:rsidTr="00513781">
        <w:trPr>
          <w:cantSplit/>
          <w:trHeight w:val="258"/>
        </w:trPr>
        <w:tc>
          <w:tcPr>
            <w:tcW w:w="592" w:type="dxa"/>
            <w:vMerge/>
            <w:shd w:val="clear" w:color="auto" w:fill="C4BC96" w:themeFill="background2" w:themeFillShade="BF"/>
            <w:textDirection w:val="btLr"/>
            <w:vAlign w:val="center"/>
          </w:tcPr>
          <w:p w:rsidR="00735DE8" w:rsidRDefault="00735DE8" w:rsidP="00962746">
            <w:pPr>
              <w:pStyle w:val="Sansinterligne"/>
              <w:ind w:left="113" w:right="113"/>
              <w:jc w:val="center"/>
              <w:rPr>
                <w:rFonts w:eastAsia="Times New Roman" w:cs="Times New Roman"/>
                <w:color w:val="000000"/>
                <w:lang w:eastAsia="fr-CA"/>
              </w:rPr>
            </w:pPr>
          </w:p>
        </w:tc>
        <w:tc>
          <w:tcPr>
            <w:tcW w:w="2068" w:type="dxa"/>
            <w:vAlign w:val="center"/>
          </w:tcPr>
          <w:p w:rsidR="00735DE8" w:rsidRDefault="00282A9F" w:rsidP="0057662A">
            <w:pPr>
              <w:pStyle w:val="Sansinterligne"/>
              <w:jc w:val="center"/>
              <w:rPr>
                <w:rFonts w:eastAsia="Times New Roman" w:cs="Times New Roman"/>
                <w:color w:val="000000"/>
                <w:lang w:eastAsia="fr-CA"/>
              </w:rPr>
            </w:pPr>
            <w:r>
              <w:rPr>
                <w:rFonts w:eastAsia="Times New Roman" w:cs="Times New Roman"/>
                <w:color w:val="000000"/>
                <w:lang w:eastAsia="fr-CA"/>
              </w:rPr>
              <w:t>Diabète</w:t>
            </w:r>
          </w:p>
        </w:tc>
        <w:tc>
          <w:tcPr>
            <w:tcW w:w="6520" w:type="dxa"/>
          </w:tcPr>
          <w:p w:rsidR="00735DE8" w:rsidRPr="001445CD" w:rsidRDefault="001445CD" w:rsidP="00ED1F48">
            <w:pPr>
              <w:pStyle w:val="Sansinterligne"/>
              <w:numPr>
                <w:ilvl w:val="0"/>
                <w:numId w:val="1461"/>
              </w:numPr>
              <w:rPr>
                <w:rFonts w:eastAsia="Times New Roman" w:cs="Times New Roman"/>
                <w:color w:val="000000"/>
                <w:highlight w:val="yellow"/>
                <w:lang w:eastAsia="fr-CA"/>
              </w:rPr>
            </w:pPr>
            <w:r w:rsidRPr="001445CD">
              <w:rPr>
                <w:rFonts w:eastAsia="Times New Roman" w:cs="Times New Roman"/>
                <w:color w:val="000000"/>
                <w:highlight w:val="yellow"/>
                <w:lang w:eastAsia="fr-CA"/>
              </w:rPr>
              <w:t>Dépistage universel non recommandé</w:t>
            </w:r>
          </w:p>
          <w:p w:rsidR="001445CD" w:rsidRPr="00905B38" w:rsidRDefault="001445CD" w:rsidP="00ED1F48">
            <w:pPr>
              <w:pStyle w:val="Sansinterligne"/>
              <w:numPr>
                <w:ilvl w:val="0"/>
                <w:numId w:val="1461"/>
              </w:numPr>
              <w:rPr>
                <w:rFonts w:eastAsia="Times New Roman" w:cs="Times New Roman"/>
                <w:color w:val="000000"/>
                <w:highlight w:val="yellow"/>
                <w:lang w:eastAsia="fr-CA"/>
              </w:rPr>
            </w:pPr>
            <w:r w:rsidRPr="00905B38">
              <w:rPr>
                <w:rFonts w:eastAsia="Times New Roman" w:cs="Times New Roman"/>
                <w:color w:val="000000"/>
                <w:highlight w:val="yellow"/>
                <w:lang w:eastAsia="fr-CA"/>
              </w:rPr>
              <w:t>Dépister seulement les individus à haut risque cardiovasculaire</w:t>
            </w:r>
          </w:p>
          <w:p w:rsidR="001445CD" w:rsidRDefault="001445CD" w:rsidP="00ED1F48">
            <w:pPr>
              <w:pStyle w:val="Sansinterligne"/>
              <w:numPr>
                <w:ilvl w:val="1"/>
                <w:numId w:val="1461"/>
              </w:numPr>
              <w:rPr>
                <w:rFonts w:eastAsia="Times New Roman" w:cs="Times New Roman"/>
                <w:color w:val="000000"/>
                <w:lang w:eastAsia="fr-CA"/>
              </w:rPr>
            </w:pPr>
            <w:r>
              <w:rPr>
                <w:rFonts w:eastAsia="Times New Roman" w:cs="Times New Roman"/>
                <w:color w:val="000000"/>
                <w:lang w:eastAsia="fr-CA"/>
              </w:rPr>
              <w:t>HbA1C</w:t>
            </w:r>
          </w:p>
          <w:p w:rsidR="001445CD" w:rsidRDefault="00B262E7" w:rsidP="00ED1F48">
            <w:pPr>
              <w:pStyle w:val="Sansinterligne"/>
              <w:numPr>
                <w:ilvl w:val="1"/>
                <w:numId w:val="1461"/>
              </w:numPr>
              <w:rPr>
                <w:rFonts w:eastAsia="Times New Roman" w:cs="Times New Roman"/>
                <w:color w:val="000000"/>
                <w:lang w:eastAsia="fr-CA"/>
              </w:rPr>
            </w:pPr>
            <w:r>
              <w:rPr>
                <w:rFonts w:eastAsia="Times New Roman" w:cs="Times New Roman"/>
                <w:color w:val="000000"/>
                <w:lang w:eastAsia="fr-CA"/>
              </w:rPr>
              <w:t>Glycémie à jeun</w:t>
            </w:r>
            <w:r w:rsidR="001445CD">
              <w:rPr>
                <w:rFonts w:eastAsia="Times New Roman" w:cs="Times New Roman"/>
                <w:color w:val="000000"/>
                <w:lang w:eastAsia="fr-CA"/>
              </w:rPr>
              <w:t>, etc.</w:t>
            </w:r>
          </w:p>
        </w:tc>
        <w:tc>
          <w:tcPr>
            <w:tcW w:w="1843" w:type="dxa"/>
          </w:tcPr>
          <w:p w:rsidR="00735DE8" w:rsidRDefault="00735DE8" w:rsidP="00962746">
            <w:pPr>
              <w:pStyle w:val="Sansinterligne"/>
              <w:rPr>
                <w:rFonts w:eastAsia="Times New Roman" w:cs="Times New Roman"/>
                <w:color w:val="000000"/>
                <w:lang w:eastAsia="fr-CA"/>
              </w:rPr>
            </w:pPr>
          </w:p>
        </w:tc>
      </w:tr>
      <w:tr w:rsidR="00735DE8" w:rsidTr="00513781">
        <w:trPr>
          <w:cantSplit/>
          <w:trHeight w:val="258"/>
        </w:trPr>
        <w:tc>
          <w:tcPr>
            <w:tcW w:w="592" w:type="dxa"/>
            <w:vMerge/>
            <w:shd w:val="clear" w:color="auto" w:fill="C4BC96" w:themeFill="background2" w:themeFillShade="BF"/>
            <w:textDirection w:val="btLr"/>
            <w:vAlign w:val="center"/>
          </w:tcPr>
          <w:p w:rsidR="00735DE8" w:rsidRDefault="00735DE8" w:rsidP="00962746">
            <w:pPr>
              <w:pStyle w:val="Sansinterligne"/>
              <w:ind w:left="113" w:right="113"/>
              <w:jc w:val="center"/>
              <w:rPr>
                <w:rFonts w:eastAsia="Times New Roman" w:cs="Times New Roman"/>
                <w:color w:val="000000"/>
                <w:lang w:eastAsia="fr-CA"/>
              </w:rPr>
            </w:pPr>
          </w:p>
        </w:tc>
        <w:tc>
          <w:tcPr>
            <w:tcW w:w="2068" w:type="dxa"/>
            <w:vAlign w:val="center"/>
          </w:tcPr>
          <w:p w:rsidR="00735DE8" w:rsidRDefault="00282A9F" w:rsidP="0057662A">
            <w:pPr>
              <w:pStyle w:val="Sansinterligne"/>
              <w:jc w:val="center"/>
              <w:rPr>
                <w:rFonts w:eastAsia="Times New Roman" w:cs="Times New Roman"/>
                <w:color w:val="000000"/>
                <w:lang w:eastAsia="fr-CA"/>
              </w:rPr>
            </w:pPr>
            <w:r>
              <w:rPr>
                <w:rFonts w:eastAsia="Times New Roman" w:cs="Times New Roman"/>
                <w:color w:val="000000"/>
                <w:lang w:eastAsia="fr-CA"/>
              </w:rPr>
              <w:t>HTA</w:t>
            </w:r>
          </w:p>
        </w:tc>
        <w:tc>
          <w:tcPr>
            <w:tcW w:w="6520" w:type="dxa"/>
          </w:tcPr>
          <w:p w:rsidR="00735DE8" w:rsidRDefault="0056300D" w:rsidP="00ED1F48">
            <w:pPr>
              <w:pStyle w:val="Sansinterligne"/>
              <w:numPr>
                <w:ilvl w:val="0"/>
                <w:numId w:val="1463"/>
              </w:numPr>
              <w:rPr>
                <w:rFonts w:eastAsia="Times New Roman" w:cs="Times New Roman"/>
                <w:color w:val="000000"/>
                <w:lang w:eastAsia="fr-CA"/>
              </w:rPr>
            </w:pPr>
            <w:r>
              <w:rPr>
                <w:rFonts w:eastAsia="Times New Roman" w:cs="Times New Roman"/>
                <w:color w:val="000000"/>
                <w:lang w:eastAsia="fr-CA"/>
              </w:rPr>
              <w:t>Prendre la TA annuellement lors de la visite au bureau</w:t>
            </w:r>
          </w:p>
          <w:p w:rsidR="0056300D" w:rsidRDefault="0056300D" w:rsidP="00ED1F48">
            <w:pPr>
              <w:pStyle w:val="Sansinterligne"/>
              <w:numPr>
                <w:ilvl w:val="0"/>
                <w:numId w:val="1463"/>
              </w:numPr>
              <w:rPr>
                <w:rFonts w:eastAsia="Times New Roman" w:cs="Times New Roman"/>
                <w:color w:val="000000"/>
                <w:lang w:eastAsia="fr-CA"/>
              </w:rPr>
            </w:pPr>
            <w:r>
              <w:rPr>
                <w:rFonts w:eastAsia="Times New Roman" w:cs="Times New Roman"/>
                <w:color w:val="000000"/>
                <w:lang w:eastAsia="fr-CA"/>
              </w:rPr>
              <w:t>Investiguer davantage seulement si anormale</w:t>
            </w:r>
          </w:p>
        </w:tc>
        <w:tc>
          <w:tcPr>
            <w:tcW w:w="1843" w:type="dxa"/>
          </w:tcPr>
          <w:p w:rsidR="00735DE8" w:rsidRDefault="00735DE8" w:rsidP="00962746">
            <w:pPr>
              <w:pStyle w:val="Sansinterligne"/>
              <w:rPr>
                <w:rFonts w:eastAsia="Times New Roman" w:cs="Times New Roman"/>
                <w:color w:val="000000"/>
                <w:lang w:eastAsia="fr-CA"/>
              </w:rPr>
            </w:pPr>
          </w:p>
        </w:tc>
      </w:tr>
      <w:tr w:rsidR="00735DE8" w:rsidTr="00513781">
        <w:trPr>
          <w:cantSplit/>
          <w:trHeight w:val="258"/>
        </w:trPr>
        <w:tc>
          <w:tcPr>
            <w:tcW w:w="592" w:type="dxa"/>
            <w:vMerge/>
            <w:shd w:val="clear" w:color="auto" w:fill="C4BC96" w:themeFill="background2" w:themeFillShade="BF"/>
            <w:textDirection w:val="btLr"/>
            <w:vAlign w:val="center"/>
          </w:tcPr>
          <w:p w:rsidR="00735DE8" w:rsidRDefault="00735DE8" w:rsidP="00962746">
            <w:pPr>
              <w:pStyle w:val="Sansinterligne"/>
              <w:ind w:left="113" w:right="113"/>
              <w:jc w:val="center"/>
              <w:rPr>
                <w:rFonts w:eastAsia="Times New Roman" w:cs="Times New Roman"/>
                <w:color w:val="000000"/>
                <w:lang w:eastAsia="fr-CA"/>
              </w:rPr>
            </w:pPr>
          </w:p>
        </w:tc>
        <w:tc>
          <w:tcPr>
            <w:tcW w:w="2068" w:type="dxa"/>
            <w:vAlign w:val="center"/>
          </w:tcPr>
          <w:p w:rsidR="00735DE8" w:rsidRPr="00B74DC4" w:rsidRDefault="00282A9F" w:rsidP="0057662A">
            <w:pPr>
              <w:pStyle w:val="Sansinterligne"/>
              <w:jc w:val="center"/>
              <w:rPr>
                <w:rFonts w:eastAsia="Times New Roman" w:cs="Times New Roman"/>
                <w:color w:val="000000"/>
                <w:highlight w:val="yellow"/>
                <w:lang w:eastAsia="fr-CA"/>
              </w:rPr>
            </w:pPr>
            <w:r w:rsidRPr="00B74DC4">
              <w:rPr>
                <w:rFonts w:eastAsia="Times New Roman" w:cs="Times New Roman"/>
                <w:color w:val="000000"/>
                <w:highlight w:val="yellow"/>
                <w:lang w:eastAsia="fr-CA"/>
              </w:rPr>
              <w:t>Dyslipidémie</w:t>
            </w:r>
          </w:p>
        </w:tc>
        <w:tc>
          <w:tcPr>
            <w:tcW w:w="6520" w:type="dxa"/>
          </w:tcPr>
          <w:p w:rsidR="00735DE8" w:rsidRPr="00B74DC4" w:rsidRDefault="00B74DC4" w:rsidP="00ED1F48">
            <w:pPr>
              <w:pStyle w:val="Sansinterligne"/>
              <w:numPr>
                <w:ilvl w:val="0"/>
                <w:numId w:val="1464"/>
              </w:numPr>
              <w:rPr>
                <w:rFonts w:eastAsia="Times New Roman" w:cs="Times New Roman"/>
                <w:color w:val="000000"/>
                <w:highlight w:val="yellow"/>
                <w:lang w:eastAsia="fr-CA"/>
              </w:rPr>
            </w:pPr>
            <w:r w:rsidRPr="00B74DC4">
              <w:rPr>
                <w:rFonts w:eastAsia="Times New Roman" w:cs="Times New Roman"/>
                <w:color w:val="000000"/>
                <w:highlight w:val="yellow"/>
                <w:lang w:eastAsia="fr-CA"/>
              </w:rPr>
              <w:t>Bilan lipidique à jeun q 1 an (si FR cardiovasculaire, âge requis ou ménopausée)</w:t>
            </w:r>
          </w:p>
        </w:tc>
        <w:tc>
          <w:tcPr>
            <w:tcW w:w="1843" w:type="dxa"/>
          </w:tcPr>
          <w:p w:rsidR="00735DE8" w:rsidRPr="00B74DC4" w:rsidRDefault="00B74DC4" w:rsidP="00962746">
            <w:pPr>
              <w:pStyle w:val="Sansinterligne"/>
              <w:rPr>
                <w:rFonts w:eastAsia="Times New Roman" w:cs="Times New Roman"/>
                <w:color w:val="000000"/>
                <w:highlight w:val="yellow"/>
                <w:lang w:eastAsia="fr-CA"/>
              </w:rPr>
            </w:pPr>
            <w:r w:rsidRPr="00B74DC4">
              <w:rPr>
                <w:rFonts w:ascii="Century Gothic" w:eastAsia="Times New Roman" w:hAnsi="Century Gothic" w:cs="Times New Roman"/>
                <w:color w:val="000000"/>
                <w:highlight w:val="yellow"/>
                <w:lang w:eastAsia="fr-CA"/>
              </w:rPr>
              <w:t>♂</w:t>
            </w:r>
            <w:r w:rsidRPr="00B74DC4">
              <w:rPr>
                <w:rFonts w:eastAsia="Times New Roman" w:cs="Times New Roman"/>
                <w:color w:val="000000"/>
                <w:highlight w:val="yellow"/>
                <w:lang w:eastAsia="fr-CA"/>
              </w:rPr>
              <w:t xml:space="preserve"> </w:t>
            </w:r>
            <w:r w:rsidRPr="00B74DC4">
              <w:rPr>
                <w:rFonts w:ascii="Century Gothic" w:eastAsia="Times New Roman" w:hAnsi="Century Gothic" w:cs="Times New Roman"/>
                <w:color w:val="000000"/>
                <w:highlight w:val="yellow"/>
                <w:lang w:eastAsia="fr-CA"/>
              </w:rPr>
              <w:t>&gt;</w:t>
            </w:r>
            <w:r w:rsidRPr="00B74DC4">
              <w:rPr>
                <w:rFonts w:eastAsia="Times New Roman" w:cs="Times New Roman"/>
                <w:color w:val="000000"/>
                <w:highlight w:val="yellow"/>
                <w:lang w:eastAsia="fr-CA"/>
              </w:rPr>
              <w:t xml:space="preserve"> 40 ans</w:t>
            </w:r>
          </w:p>
          <w:p w:rsidR="00B74DC4" w:rsidRPr="00B74DC4" w:rsidRDefault="00B74DC4" w:rsidP="00962746">
            <w:pPr>
              <w:pStyle w:val="Sansinterligne"/>
              <w:rPr>
                <w:rFonts w:eastAsia="Times New Roman" w:cs="Times New Roman"/>
                <w:color w:val="000000"/>
                <w:highlight w:val="yellow"/>
                <w:lang w:eastAsia="fr-CA"/>
              </w:rPr>
            </w:pPr>
            <w:r w:rsidRPr="00B74DC4">
              <w:rPr>
                <w:rFonts w:ascii="Century Gothic" w:eastAsia="Times New Roman" w:hAnsi="Century Gothic" w:cs="Times New Roman"/>
                <w:color w:val="000000"/>
                <w:highlight w:val="yellow"/>
                <w:lang w:eastAsia="fr-CA"/>
              </w:rPr>
              <w:t>♀</w:t>
            </w:r>
            <w:r w:rsidRPr="00B74DC4">
              <w:rPr>
                <w:rFonts w:eastAsia="Times New Roman" w:cs="Times New Roman"/>
                <w:color w:val="000000"/>
                <w:highlight w:val="yellow"/>
                <w:lang w:eastAsia="fr-CA"/>
              </w:rPr>
              <w:t xml:space="preserve"> </w:t>
            </w:r>
            <w:r w:rsidRPr="00B74DC4">
              <w:rPr>
                <w:rFonts w:ascii="Century Gothic" w:eastAsia="Times New Roman" w:hAnsi="Century Gothic" w:cs="Times New Roman"/>
                <w:color w:val="000000"/>
                <w:highlight w:val="yellow"/>
                <w:lang w:eastAsia="fr-CA"/>
              </w:rPr>
              <w:t>&gt;</w:t>
            </w:r>
            <w:r w:rsidRPr="00B74DC4">
              <w:rPr>
                <w:rFonts w:eastAsia="Times New Roman" w:cs="Times New Roman"/>
                <w:color w:val="000000"/>
                <w:highlight w:val="yellow"/>
                <w:lang w:eastAsia="fr-CA"/>
              </w:rPr>
              <w:t xml:space="preserve"> 50 ans </w:t>
            </w:r>
          </w:p>
        </w:tc>
      </w:tr>
      <w:tr w:rsidR="00513781" w:rsidTr="00513781">
        <w:trPr>
          <w:cantSplit/>
          <w:trHeight w:val="311"/>
        </w:trPr>
        <w:tc>
          <w:tcPr>
            <w:tcW w:w="592" w:type="dxa"/>
            <w:vMerge w:val="restart"/>
            <w:shd w:val="clear" w:color="auto" w:fill="C4BC96" w:themeFill="background2" w:themeFillShade="BF"/>
            <w:textDirection w:val="btLr"/>
            <w:vAlign w:val="center"/>
          </w:tcPr>
          <w:p w:rsidR="00513781" w:rsidRPr="00905B38" w:rsidRDefault="00513781" w:rsidP="00962746">
            <w:pPr>
              <w:pStyle w:val="Sansinterligne"/>
              <w:ind w:left="113" w:right="113"/>
              <w:jc w:val="center"/>
              <w:rPr>
                <w:rFonts w:eastAsia="Times New Roman" w:cs="Times New Roman"/>
                <w:b/>
                <w:color w:val="000000"/>
                <w:lang w:eastAsia="fr-CA"/>
              </w:rPr>
            </w:pPr>
            <w:r w:rsidRPr="00905B38">
              <w:rPr>
                <w:rFonts w:eastAsia="Times New Roman" w:cs="Times New Roman"/>
                <w:b/>
                <w:color w:val="000000"/>
                <w:lang w:eastAsia="fr-CA"/>
              </w:rPr>
              <w:t>Aînés</w:t>
            </w:r>
          </w:p>
        </w:tc>
        <w:tc>
          <w:tcPr>
            <w:tcW w:w="2068" w:type="dxa"/>
            <w:vAlign w:val="center"/>
          </w:tcPr>
          <w:p w:rsidR="00513781" w:rsidRDefault="00161F04" w:rsidP="0057662A">
            <w:pPr>
              <w:pStyle w:val="Sansinterligne"/>
              <w:jc w:val="center"/>
              <w:rPr>
                <w:rFonts w:eastAsia="Times New Roman" w:cs="Times New Roman"/>
                <w:color w:val="000000"/>
                <w:lang w:eastAsia="fr-CA"/>
              </w:rPr>
            </w:pPr>
            <w:r>
              <w:rPr>
                <w:rFonts w:eastAsia="Times New Roman" w:cs="Times New Roman"/>
                <w:color w:val="000000"/>
                <w:lang w:eastAsia="fr-CA"/>
              </w:rPr>
              <w:t>Troubles cognitifs</w:t>
            </w:r>
          </w:p>
        </w:tc>
        <w:tc>
          <w:tcPr>
            <w:tcW w:w="6520" w:type="dxa"/>
          </w:tcPr>
          <w:p w:rsidR="00513781" w:rsidRDefault="00161F04" w:rsidP="00ED1F48">
            <w:pPr>
              <w:pStyle w:val="Sansinterligne"/>
              <w:numPr>
                <w:ilvl w:val="0"/>
                <w:numId w:val="1470"/>
              </w:numPr>
              <w:rPr>
                <w:rFonts w:eastAsia="Times New Roman" w:cs="Times New Roman"/>
                <w:color w:val="000000"/>
                <w:lang w:eastAsia="fr-CA"/>
              </w:rPr>
            </w:pPr>
            <w:r>
              <w:rPr>
                <w:rFonts w:eastAsia="Times New Roman" w:cs="Times New Roman"/>
                <w:color w:val="000000"/>
                <w:lang w:eastAsia="fr-CA"/>
              </w:rPr>
              <w:t>Être à l’affut des plaintes cognitives</w:t>
            </w:r>
          </w:p>
          <w:p w:rsidR="00161F04" w:rsidRDefault="00161F04" w:rsidP="00ED1F48">
            <w:pPr>
              <w:pStyle w:val="Sansinterligne"/>
              <w:numPr>
                <w:ilvl w:val="0"/>
                <w:numId w:val="1470"/>
              </w:numPr>
              <w:rPr>
                <w:rFonts w:eastAsia="Times New Roman" w:cs="Times New Roman"/>
                <w:color w:val="000000"/>
                <w:lang w:eastAsia="fr-CA"/>
              </w:rPr>
            </w:pPr>
            <w:r>
              <w:rPr>
                <w:rFonts w:eastAsia="Times New Roman" w:cs="Times New Roman"/>
                <w:color w:val="000000"/>
                <w:lang w:eastAsia="fr-CA"/>
              </w:rPr>
              <w:t>Faire les tests de dépistage appropriés</w:t>
            </w:r>
          </w:p>
          <w:p w:rsidR="00161F04" w:rsidRDefault="00161F04" w:rsidP="00B262E7">
            <w:pPr>
              <w:pStyle w:val="Sansinterligne"/>
              <w:numPr>
                <w:ilvl w:val="1"/>
                <w:numId w:val="1470"/>
              </w:numPr>
              <w:rPr>
                <w:rFonts w:eastAsia="Times New Roman" w:cs="Times New Roman"/>
                <w:color w:val="000000"/>
                <w:lang w:eastAsia="fr-CA"/>
              </w:rPr>
            </w:pPr>
            <w:r>
              <w:rPr>
                <w:rFonts w:eastAsia="Times New Roman" w:cs="Times New Roman"/>
                <w:color w:val="000000"/>
                <w:lang w:eastAsia="fr-CA"/>
              </w:rPr>
              <w:t>Folstein, MoCA, Luria, dépression …</w:t>
            </w:r>
          </w:p>
        </w:tc>
        <w:tc>
          <w:tcPr>
            <w:tcW w:w="1843" w:type="dxa"/>
          </w:tcPr>
          <w:p w:rsidR="00513781" w:rsidRDefault="00513781" w:rsidP="00962746">
            <w:pPr>
              <w:pStyle w:val="Sansinterligne"/>
              <w:rPr>
                <w:rFonts w:eastAsia="Times New Roman" w:cs="Times New Roman"/>
                <w:color w:val="000000"/>
                <w:lang w:eastAsia="fr-CA"/>
              </w:rPr>
            </w:pPr>
          </w:p>
        </w:tc>
      </w:tr>
      <w:tr w:rsidR="00513781" w:rsidTr="00513781">
        <w:trPr>
          <w:cantSplit/>
          <w:trHeight w:val="309"/>
        </w:trPr>
        <w:tc>
          <w:tcPr>
            <w:tcW w:w="592" w:type="dxa"/>
            <w:vMerge/>
            <w:shd w:val="clear" w:color="auto" w:fill="C4BC96" w:themeFill="background2" w:themeFillShade="BF"/>
            <w:textDirection w:val="btLr"/>
            <w:vAlign w:val="center"/>
          </w:tcPr>
          <w:p w:rsidR="00513781" w:rsidRDefault="00513781" w:rsidP="00962746">
            <w:pPr>
              <w:pStyle w:val="Sansinterligne"/>
              <w:ind w:left="113" w:right="113"/>
              <w:jc w:val="center"/>
              <w:rPr>
                <w:rFonts w:eastAsia="Times New Roman" w:cs="Times New Roman"/>
                <w:color w:val="000000"/>
                <w:lang w:eastAsia="fr-CA"/>
              </w:rPr>
            </w:pPr>
          </w:p>
        </w:tc>
        <w:tc>
          <w:tcPr>
            <w:tcW w:w="2068" w:type="dxa"/>
            <w:vAlign w:val="center"/>
          </w:tcPr>
          <w:p w:rsidR="00513781" w:rsidRDefault="00161F04" w:rsidP="0057662A">
            <w:pPr>
              <w:pStyle w:val="Sansinterligne"/>
              <w:jc w:val="center"/>
              <w:rPr>
                <w:rFonts w:eastAsia="Times New Roman" w:cs="Times New Roman"/>
                <w:color w:val="000000"/>
                <w:lang w:eastAsia="fr-CA"/>
              </w:rPr>
            </w:pPr>
            <w:r>
              <w:rPr>
                <w:rFonts w:eastAsia="Times New Roman" w:cs="Times New Roman"/>
                <w:color w:val="000000"/>
                <w:lang w:eastAsia="fr-CA"/>
              </w:rPr>
              <w:t>Presbyacousie</w:t>
            </w:r>
          </w:p>
        </w:tc>
        <w:tc>
          <w:tcPr>
            <w:tcW w:w="6520" w:type="dxa"/>
          </w:tcPr>
          <w:p w:rsidR="00513781" w:rsidRDefault="00161F04" w:rsidP="00ED1F48">
            <w:pPr>
              <w:pStyle w:val="Sansinterligne"/>
              <w:numPr>
                <w:ilvl w:val="0"/>
                <w:numId w:val="1472"/>
              </w:numPr>
              <w:rPr>
                <w:rFonts w:eastAsia="Times New Roman" w:cs="Times New Roman"/>
                <w:color w:val="000000"/>
                <w:lang w:eastAsia="fr-CA"/>
              </w:rPr>
            </w:pPr>
            <w:r>
              <w:rPr>
                <w:rFonts w:eastAsia="Times New Roman" w:cs="Times New Roman"/>
                <w:color w:val="000000"/>
                <w:lang w:eastAsia="fr-CA"/>
              </w:rPr>
              <w:t>Être à l’affut des plaintes auditives, penser à le questionner</w:t>
            </w:r>
          </w:p>
          <w:p w:rsidR="00161F04" w:rsidRDefault="00161F04" w:rsidP="00ED1F48">
            <w:pPr>
              <w:pStyle w:val="Sansinterligne"/>
              <w:numPr>
                <w:ilvl w:val="0"/>
                <w:numId w:val="1472"/>
              </w:numPr>
              <w:rPr>
                <w:rFonts w:eastAsia="Times New Roman" w:cs="Times New Roman"/>
                <w:color w:val="000000"/>
                <w:lang w:eastAsia="fr-CA"/>
              </w:rPr>
            </w:pPr>
            <w:r>
              <w:rPr>
                <w:rFonts w:eastAsia="Times New Roman" w:cs="Times New Roman"/>
                <w:color w:val="000000"/>
                <w:lang w:eastAsia="fr-CA"/>
              </w:rPr>
              <w:t>Référence en audiologie pour évaluation des besoins (aides auditives)</w:t>
            </w:r>
          </w:p>
        </w:tc>
        <w:tc>
          <w:tcPr>
            <w:tcW w:w="1843" w:type="dxa"/>
          </w:tcPr>
          <w:p w:rsidR="00513781" w:rsidRDefault="00513781" w:rsidP="00962746">
            <w:pPr>
              <w:pStyle w:val="Sansinterligne"/>
              <w:rPr>
                <w:rFonts w:eastAsia="Times New Roman" w:cs="Times New Roman"/>
                <w:color w:val="000000"/>
                <w:lang w:eastAsia="fr-CA"/>
              </w:rPr>
            </w:pPr>
          </w:p>
        </w:tc>
      </w:tr>
      <w:tr w:rsidR="00513781" w:rsidTr="00513781">
        <w:trPr>
          <w:cantSplit/>
          <w:trHeight w:val="309"/>
        </w:trPr>
        <w:tc>
          <w:tcPr>
            <w:tcW w:w="592" w:type="dxa"/>
            <w:vMerge/>
            <w:shd w:val="clear" w:color="auto" w:fill="C4BC96" w:themeFill="background2" w:themeFillShade="BF"/>
            <w:textDirection w:val="btLr"/>
            <w:vAlign w:val="center"/>
          </w:tcPr>
          <w:p w:rsidR="00513781" w:rsidRDefault="00513781" w:rsidP="00962746">
            <w:pPr>
              <w:pStyle w:val="Sansinterligne"/>
              <w:ind w:left="113" w:right="113"/>
              <w:jc w:val="center"/>
              <w:rPr>
                <w:rFonts w:eastAsia="Times New Roman" w:cs="Times New Roman"/>
                <w:color w:val="000000"/>
                <w:lang w:eastAsia="fr-CA"/>
              </w:rPr>
            </w:pPr>
          </w:p>
        </w:tc>
        <w:tc>
          <w:tcPr>
            <w:tcW w:w="2068" w:type="dxa"/>
            <w:vAlign w:val="center"/>
          </w:tcPr>
          <w:p w:rsidR="00513781" w:rsidRDefault="00513781" w:rsidP="0057662A">
            <w:pPr>
              <w:pStyle w:val="Sansinterligne"/>
              <w:jc w:val="center"/>
              <w:rPr>
                <w:rFonts w:eastAsia="Times New Roman" w:cs="Times New Roman"/>
                <w:color w:val="000000"/>
                <w:lang w:eastAsia="fr-CA"/>
              </w:rPr>
            </w:pPr>
            <w:r>
              <w:rPr>
                <w:rFonts w:eastAsia="Times New Roman" w:cs="Times New Roman"/>
                <w:color w:val="000000"/>
                <w:lang w:eastAsia="fr-CA"/>
              </w:rPr>
              <w:t>Cataractes / atteintes visuelles</w:t>
            </w:r>
          </w:p>
        </w:tc>
        <w:tc>
          <w:tcPr>
            <w:tcW w:w="6520" w:type="dxa"/>
          </w:tcPr>
          <w:p w:rsidR="00513781" w:rsidRDefault="00161F04" w:rsidP="00ED1F48">
            <w:pPr>
              <w:pStyle w:val="Sansinterligne"/>
              <w:numPr>
                <w:ilvl w:val="0"/>
                <w:numId w:val="1471"/>
              </w:numPr>
              <w:rPr>
                <w:rFonts w:eastAsia="Times New Roman" w:cs="Times New Roman"/>
                <w:color w:val="000000"/>
                <w:lang w:eastAsia="fr-CA"/>
              </w:rPr>
            </w:pPr>
            <w:r>
              <w:rPr>
                <w:rFonts w:eastAsia="Times New Roman" w:cs="Times New Roman"/>
                <w:color w:val="000000"/>
                <w:lang w:eastAsia="fr-CA"/>
              </w:rPr>
              <w:t>Être à l’affut des plaintes visuelles</w:t>
            </w:r>
          </w:p>
          <w:p w:rsidR="00161F04" w:rsidRDefault="00161F04" w:rsidP="00ED1F48">
            <w:pPr>
              <w:pStyle w:val="Sansinterligne"/>
              <w:numPr>
                <w:ilvl w:val="1"/>
                <w:numId w:val="1471"/>
              </w:numPr>
              <w:rPr>
                <w:rFonts w:eastAsia="Times New Roman" w:cs="Times New Roman"/>
                <w:color w:val="000000"/>
                <w:lang w:eastAsia="fr-CA"/>
              </w:rPr>
            </w:pPr>
            <w:r>
              <w:rPr>
                <w:rFonts w:eastAsia="Times New Roman" w:cs="Times New Roman"/>
                <w:color w:val="000000"/>
                <w:lang w:eastAsia="fr-CA"/>
              </w:rPr>
              <w:t>Examen oculaire de base PRN</w:t>
            </w:r>
          </w:p>
          <w:p w:rsidR="00161F04" w:rsidRDefault="00161F04" w:rsidP="00ED1F48">
            <w:pPr>
              <w:pStyle w:val="Sansinterligne"/>
              <w:numPr>
                <w:ilvl w:val="1"/>
                <w:numId w:val="1471"/>
              </w:numPr>
              <w:rPr>
                <w:rFonts w:eastAsia="Times New Roman" w:cs="Times New Roman"/>
                <w:color w:val="000000"/>
                <w:lang w:eastAsia="fr-CA"/>
              </w:rPr>
            </w:pPr>
            <w:r>
              <w:rPr>
                <w:rFonts w:eastAsia="Times New Roman" w:cs="Times New Roman"/>
                <w:color w:val="000000"/>
                <w:lang w:eastAsia="fr-CA"/>
              </w:rPr>
              <w:t>Référence en ophtalmologie si n’est plus fonctionnel</w:t>
            </w:r>
          </w:p>
        </w:tc>
        <w:tc>
          <w:tcPr>
            <w:tcW w:w="1843" w:type="dxa"/>
          </w:tcPr>
          <w:p w:rsidR="00513781" w:rsidRDefault="00513781" w:rsidP="00962746">
            <w:pPr>
              <w:pStyle w:val="Sansinterligne"/>
              <w:rPr>
                <w:rFonts w:eastAsia="Times New Roman" w:cs="Times New Roman"/>
                <w:color w:val="000000"/>
                <w:lang w:eastAsia="fr-CA"/>
              </w:rPr>
            </w:pPr>
          </w:p>
        </w:tc>
      </w:tr>
      <w:tr w:rsidR="00513781" w:rsidTr="00513781">
        <w:trPr>
          <w:cantSplit/>
          <w:trHeight w:val="309"/>
        </w:trPr>
        <w:tc>
          <w:tcPr>
            <w:tcW w:w="592" w:type="dxa"/>
            <w:vMerge/>
            <w:shd w:val="clear" w:color="auto" w:fill="C4BC96" w:themeFill="background2" w:themeFillShade="BF"/>
            <w:textDirection w:val="btLr"/>
            <w:vAlign w:val="center"/>
          </w:tcPr>
          <w:p w:rsidR="00513781" w:rsidRDefault="00513781" w:rsidP="00962746">
            <w:pPr>
              <w:pStyle w:val="Sansinterligne"/>
              <w:ind w:left="113" w:right="113"/>
              <w:jc w:val="center"/>
              <w:rPr>
                <w:rFonts w:eastAsia="Times New Roman" w:cs="Times New Roman"/>
                <w:color w:val="000000"/>
                <w:lang w:eastAsia="fr-CA"/>
              </w:rPr>
            </w:pPr>
          </w:p>
        </w:tc>
        <w:tc>
          <w:tcPr>
            <w:tcW w:w="2068" w:type="dxa"/>
            <w:vAlign w:val="center"/>
          </w:tcPr>
          <w:p w:rsidR="00513781" w:rsidRDefault="00513781" w:rsidP="0057662A">
            <w:pPr>
              <w:pStyle w:val="Sansinterligne"/>
              <w:jc w:val="center"/>
              <w:rPr>
                <w:rFonts w:eastAsia="Times New Roman" w:cs="Times New Roman"/>
                <w:color w:val="000000"/>
                <w:lang w:eastAsia="fr-CA"/>
              </w:rPr>
            </w:pPr>
            <w:r w:rsidRPr="006F17B3">
              <w:rPr>
                <w:rFonts w:eastAsia="Times New Roman" w:cs="Times New Roman"/>
                <w:color w:val="000000"/>
                <w:highlight w:val="yellow"/>
                <w:lang w:eastAsia="fr-CA"/>
              </w:rPr>
              <w:t>Ostéoporose</w:t>
            </w:r>
          </w:p>
        </w:tc>
        <w:tc>
          <w:tcPr>
            <w:tcW w:w="6520" w:type="dxa"/>
          </w:tcPr>
          <w:p w:rsidR="00513781" w:rsidRDefault="000C0CEC" w:rsidP="00ED1F48">
            <w:pPr>
              <w:pStyle w:val="Sansinterligne"/>
              <w:numPr>
                <w:ilvl w:val="0"/>
                <w:numId w:val="1467"/>
              </w:numPr>
              <w:rPr>
                <w:rFonts w:eastAsia="Times New Roman" w:cs="Times New Roman"/>
                <w:color w:val="000000"/>
                <w:lang w:eastAsia="fr-CA"/>
              </w:rPr>
            </w:pPr>
            <w:r w:rsidRPr="006F17B3">
              <w:rPr>
                <w:rFonts w:eastAsia="Times New Roman" w:cs="Times New Roman"/>
                <w:color w:val="000000"/>
                <w:highlight w:val="yellow"/>
                <w:lang w:eastAsia="fr-CA"/>
              </w:rPr>
              <w:t>Ostéodensitométrie q 5 ans si dans la moyenne</w:t>
            </w:r>
          </w:p>
          <w:p w:rsidR="000C0CEC" w:rsidRDefault="000C0CEC" w:rsidP="00ED1F48">
            <w:pPr>
              <w:pStyle w:val="Sansinterligne"/>
              <w:numPr>
                <w:ilvl w:val="0"/>
                <w:numId w:val="1467"/>
              </w:numPr>
              <w:rPr>
                <w:rFonts w:eastAsia="Times New Roman" w:cs="Times New Roman"/>
                <w:color w:val="000000"/>
                <w:lang w:eastAsia="fr-CA"/>
              </w:rPr>
            </w:pPr>
            <w:r>
              <w:rPr>
                <w:rFonts w:eastAsia="Times New Roman" w:cs="Times New Roman"/>
                <w:color w:val="000000"/>
                <w:lang w:eastAsia="fr-CA"/>
              </w:rPr>
              <w:t>Si risque élevé, débuter à 50 ans :</w:t>
            </w:r>
          </w:p>
          <w:p w:rsidR="000C0CEC" w:rsidRDefault="000C0CEC" w:rsidP="00ED1F48">
            <w:pPr>
              <w:pStyle w:val="Sansinterligne"/>
              <w:numPr>
                <w:ilvl w:val="1"/>
                <w:numId w:val="1467"/>
              </w:numPr>
              <w:rPr>
                <w:rFonts w:eastAsia="Times New Roman" w:cs="Times New Roman"/>
                <w:color w:val="000000"/>
                <w:lang w:eastAsia="fr-CA"/>
              </w:rPr>
            </w:pPr>
            <w:r>
              <w:rPr>
                <w:rFonts w:eastAsia="Times New Roman" w:cs="Times New Roman"/>
                <w:color w:val="000000"/>
                <w:lang w:eastAsia="fr-CA"/>
              </w:rPr>
              <w:t>Prise de corticostéroïdes régulière</w:t>
            </w:r>
          </w:p>
          <w:p w:rsidR="000C0CEC" w:rsidRDefault="000C0CEC" w:rsidP="00ED1F48">
            <w:pPr>
              <w:pStyle w:val="Sansinterligne"/>
              <w:numPr>
                <w:ilvl w:val="1"/>
                <w:numId w:val="1467"/>
              </w:numPr>
              <w:rPr>
                <w:rFonts w:eastAsia="Times New Roman" w:cs="Times New Roman"/>
                <w:color w:val="000000"/>
                <w:lang w:eastAsia="fr-CA"/>
              </w:rPr>
            </w:pPr>
            <w:r>
              <w:rPr>
                <w:rFonts w:eastAsia="Times New Roman" w:cs="Times New Roman"/>
                <w:color w:val="000000"/>
                <w:lang w:eastAsia="fr-CA"/>
              </w:rPr>
              <w:t xml:space="preserve">Fracture de fragilité </w:t>
            </w:r>
            <w:r>
              <w:rPr>
                <w:rFonts w:ascii="Century Gothic" w:eastAsia="Times New Roman" w:hAnsi="Century Gothic" w:cs="Times New Roman"/>
                <w:color w:val="000000"/>
                <w:lang w:eastAsia="fr-CA"/>
              </w:rPr>
              <w:t>&gt;</w:t>
            </w:r>
            <w:r>
              <w:rPr>
                <w:rFonts w:eastAsia="Times New Roman" w:cs="Times New Roman"/>
                <w:color w:val="000000"/>
                <w:lang w:eastAsia="fr-CA"/>
              </w:rPr>
              <w:t xml:space="preserve"> 40 ans</w:t>
            </w:r>
          </w:p>
          <w:p w:rsidR="000C0CEC" w:rsidRDefault="000C0CEC" w:rsidP="00ED1F48">
            <w:pPr>
              <w:pStyle w:val="Sansinterligne"/>
              <w:numPr>
                <w:ilvl w:val="1"/>
                <w:numId w:val="1467"/>
              </w:numPr>
              <w:rPr>
                <w:rFonts w:eastAsia="Times New Roman" w:cs="Times New Roman"/>
                <w:color w:val="000000"/>
                <w:lang w:eastAsia="fr-CA"/>
              </w:rPr>
            </w:pPr>
            <w:r>
              <w:rPr>
                <w:rFonts w:eastAsia="Times New Roman" w:cs="Times New Roman"/>
                <w:color w:val="000000"/>
                <w:lang w:eastAsia="fr-CA"/>
              </w:rPr>
              <w:t>Fracture de hanche ou de vertèbre</w:t>
            </w:r>
          </w:p>
          <w:p w:rsidR="000C0CEC" w:rsidRDefault="000C0CEC" w:rsidP="00ED1F48">
            <w:pPr>
              <w:pStyle w:val="Sansinterligne"/>
              <w:numPr>
                <w:ilvl w:val="1"/>
                <w:numId w:val="1467"/>
              </w:numPr>
              <w:rPr>
                <w:rFonts w:eastAsia="Times New Roman" w:cs="Times New Roman"/>
                <w:color w:val="000000"/>
                <w:lang w:eastAsia="fr-CA"/>
              </w:rPr>
            </w:pPr>
            <w:r>
              <w:rPr>
                <w:rFonts w:eastAsia="Times New Roman" w:cs="Times New Roman"/>
                <w:color w:val="000000"/>
                <w:lang w:eastAsia="fr-CA"/>
              </w:rPr>
              <w:t>Tabagisme ou alcool +++</w:t>
            </w:r>
          </w:p>
          <w:p w:rsidR="000C0CEC" w:rsidRDefault="000C0CEC" w:rsidP="00ED1F48">
            <w:pPr>
              <w:pStyle w:val="Sansinterligne"/>
              <w:numPr>
                <w:ilvl w:val="1"/>
                <w:numId w:val="1467"/>
              </w:numPr>
              <w:rPr>
                <w:rFonts w:eastAsia="Times New Roman" w:cs="Times New Roman"/>
                <w:color w:val="000000"/>
                <w:lang w:eastAsia="fr-CA"/>
              </w:rPr>
            </w:pPr>
            <w:r>
              <w:rPr>
                <w:rFonts w:ascii="Century Gothic" w:eastAsia="Times New Roman" w:hAnsi="Century Gothic" w:cs="Times New Roman"/>
                <w:color w:val="000000"/>
                <w:lang w:eastAsia="fr-CA"/>
              </w:rPr>
              <w:t>&lt;</w:t>
            </w:r>
            <w:r>
              <w:rPr>
                <w:rFonts w:eastAsia="Times New Roman" w:cs="Times New Roman"/>
                <w:color w:val="000000"/>
                <w:lang w:eastAsia="fr-CA"/>
              </w:rPr>
              <w:t>60 kg</w:t>
            </w:r>
          </w:p>
        </w:tc>
        <w:tc>
          <w:tcPr>
            <w:tcW w:w="1843" w:type="dxa"/>
          </w:tcPr>
          <w:p w:rsidR="00513781" w:rsidRDefault="000C0CEC" w:rsidP="006F17B3">
            <w:pPr>
              <w:pStyle w:val="Sansinterligne"/>
              <w:jc w:val="center"/>
              <w:rPr>
                <w:rFonts w:eastAsia="Times New Roman" w:cs="Times New Roman"/>
                <w:color w:val="000000"/>
                <w:lang w:eastAsia="fr-CA"/>
              </w:rPr>
            </w:pPr>
            <w:r w:rsidRPr="006F17B3">
              <w:rPr>
                <w:rFonts w:eastAsia="Times New Roman" w:cs="Times New Roman"/>
                <w:color w:val="000000"/>
                <w:highlight w:val="yellow"/>
                <w:lang w:eastAsia="fr-CA"/>
              </w:rPr>
              <w:t>65 ans</w:t>
            </w:r>
          </w:p>
        </w:tc>
      </w:tr>
      <w:tr w:rsidR="00513781" w:rsidTr="00513781">
        <w:trPr>
          <w:cantSplit/>
          <w:trHeight w:val="309"/>
        </w:trPr>
        <w:tc>
          <w:tcPr>
            <w:tcW w:w="592" w:type="dxa"/>
            <w:vMerge/>
            <w:shd w:val="clear" w:color="auto" w:fill="C4BC96" w:themeFill="background2" w:themeFillShade="BF"/>
            <w:textDirection w:val="btLr"/>
            <w:vAlign w:val="center"/>
          </w:tcPr>
          <w:p w:rsidR="00513781" w:rsidRDefault="00513781" w:rsidP="00962746">
            <w:pPr>
              <w:pStyle w:val="Sansinterligne"/>
              <w:ind w:left="113" w:right="113"/>
              <w:jc w:val="center"/>
              <w:rPr>
                <w:rFonts w:eastAsia="Times New Roman" w:cs="Times New Roman"/>
                <w:color w:val="000000"/>
                <w:lang w:eastAsia="fr-CA"/>
              </w:rPr>
            </w:pPr>
          </w:p>
        </w:tc>
        <w:tc>
          <w:tcPr>
            <w:tcW w:w="2068" w:type="dxa"/>
            <w:vAlign w:val="center"/>
          </w:tcPr>
          <w:p w:rsidR="00513781" w:rsidRDefault="00513781" w:rsidP="0057662A">
            <w:pPr>
              <w:pStyle w:val="Sansinterligne"/>
              <w:jc w:val="center"/>
              <w:rPr>
                <w:rFonts w:eastAsia="Times New Roman" w:cs="Times New Roman"/>
                <w:color w:val="000000"/>
                <w:lang w:eastAsia="fr-CA"/>
              </w:rPr>
            </w:pPr>
            <w:r>
              <w:rPr>
                <w:rFonts w:eastAsia="Times New Roman" w:cs="Times New Roman"/>
                <w:color w:val="000000"/>
                <w:lang w:eastAsia="fr-CA"/>
              </w:rPr>
              <w:t>Maltraitance</w:t>
            </w:r>
          </w:p>
        </w:tc>
        <w:tc>
          <w:tcPr>
            <w:tcW w:w="6520" w:type="dxa"/>
          </w:tcPr>
          <w:p w:rsidR="00513781" w:rsidRDefault="006F17B3" w:rsidP="00ED1F48">
            <w:pPr>
              <w:pStyle w:val="Sansinterligne"/>
              <w:numPr>
                <w:ilvl w:val="0"/>
                <w:numId w:val="1468"/>
              </w:numPr>
              <w:rPr>
                <w:rFonts w:eastAsia="Times New Roman" w:cs="Times New Roman"/>
                <w:color w:val="000000"/>
                <w:lang w:eastAsia="fr-CA"/>
              </w:rPr>
            </w:pPr>
            <w:r>
              <w:rPr>
                <w:rFonts w:eastAsia="Times New Roman" w:cs="Times New Roman"/>
                <w:color w:val="000000"/>
                <w:lang w:eastAsia="fr-CA"/>
              </w:rPr>
              <w:t>Être à l’affut de signes de maltraitance lors des consultations</w:t>
            </w:r>
          </w:p>
          <w:p w:rsidR="006F17B3" w:rsidRDefault="006F17B3" w:rsidP="00ED1F48">
            <w:pPr>
              <w:pStyle w:val="Sansinterligne"/>
              <w:numPr>
                <w:ilvl w:val="0"/>
                <w:numId w:val="1468"/>
              </w:numPr>
              <w:rPr>
                <w:rFonts w:eastAsia="Times New Roman" w:cs="Times New Roman"/>
                <w:color w:val="000000"/>
                <w:lang w:eastAsia="fr-CA"/>
              </w:rPr>
            </w:pPr>
            <w:r>
              <w:rPr>
                <w:rFonts w:eastAsia="Times New Roman" w:cs="Times New Roman"/>
                <w:color w:val="000000"/>
                <w:lang w:eastAsia="fr-CA"/>
              </w:rPr>
              <w:t xml:space="preserve">Voir </w:t>
            </w:r>
            <w:r w:rsidRPr="006F17B3">
              <w:rPr>
                <w:rFonts w:eastAsia="Times New Roman" w:cs="Times New Roman"/>
                <w:i/>
                <w:color w:val="000000"/>
                <w:lang w:eastAsia="fr-CA"/>
              </w:rPr>
              <w:t>Mauvais traitement envers une personne âgée CMC 114-2</w:t>
            </w:r>
          </w:p>
        </w:tc>
        <w:tc>
          <w:tcPr>
            <w:tcW w:w="1843" w:type="dxa"/>
          </w:tcPr>
          <w:p w:rsidR="00513781" w:rsidRDefault="00513781" w:rsidP="00962746">
            <w:pPr>
              <w:pStyle w:val="Sansinterligne"/>
              <w:rPr>
                <w:rFonts w:eastAsia="Times New Roman" w:cs="Times New Roman"/>
                <w:color w:val="000000"/>
                <w:lang w:eastAsia="fr-CA"/>
              </w:rPr>
            </w:pPr>
          </w:p>
        </w:tc>
      </w:tr>
      <w:tr w:rsidR="00513781" w:rsidTr="00513781">
        <w:trPr>
          <w:cantSplit/>
          <w:trHeight w:val="309"/>
        </w:trPr>
        <w:tc>
          <w:tcPr>
            <w:tcW w:w="592" w:type="dxa"/>
            <w:vMerge/>
            <w:shd w:val="clear" w:color="auto" w:fill="C4BC96" w:themeFill="background2" w:themeFillShade="BF"/>
            <w:textDirection w:val="btLr"/>
            <w:vAlign w:val="center"/>
          </w:tcPr>
          <w:p w:rsidR="00513781" w:rsidRDefault="00513781" w:rsidP="00962746">
            <w:pPr>
              <w:pStyle w:val="Sansinterligne"/>
              <w:ind w:left="113" w:right="113"/>
              <w:jc w:val="center"/>
              <w:rPr>
                <w:rFonts w:eastAsia="Times New Roman" w:cs="Times New Roman"/>
                <w:color w:val="000000"/>
                <w:lang w:eastAsia="fr-CA"/>
              </w:rPr>
            </w:pPr>
          </w:p>
        </w:tc>
        <w:tc>
          <w:tcPr>
            <w:tcW w:w="2068" w:type="dxa"/>
            <w:vAlign w:val="center"/>
          </w:tcPr>
          <w:p w:rsidR="00513781" w:rsidRDefault="006F17B3" w:rsidP="0057662A">
            <w:pPr>
              <w:pStyle w:val="Sansinterligne"/>
              <w:jc w:val="center"/>
              <w:rPr>
                <w:rFonts w:eastAsia="Times New Roman" w:cs="Times New Roman"/>
                <w:color w:val="000000"/>
                <w:lang w:eastAsia="fr-CA"/>
              </w:rPr>
            </w:pPr>
            <w:r w:rsidRPr="00905B38">
              <w:rPr>
                <w:rFonts w:eastAsia="Times New Roman" w:cs="Times New Roman"/>
                <w:color w:val="000000"/>
                <w:highlight w:val="yellow"/>
                <w:lang w:eastAsia="fr-CA"/>
              </w:rPr>
              <w:t>Vaccination</w:t>
            </w:r>
            <w:r>
              <w:rPr>
                <w:rFonts w:eastAsia="Times New Roman" w:cs="Times New Roman"/>
                <w:color w:val="000000"/>
                <w:lang w:eastAsia="fr-CA"/>
              </w:rPr>
              <w:t xml:space="preserve"> </w:t>
            </w:r>
          </w:p>
        </w:tc>
        <w:tc>
          <w:tcPr>
            <w:tcW w:w="6520" w:type="dxa"/>
          </w:tcPr>
          <w:p w:rsidR="006F17B3" w:rsidRDefault="00513781" w:rsidP="00ED1F48">
            <w:pPr>
              <w:pStyle w:val="Sansinterligne"/>
              <w:numPr>
                <w:ilvl w:val="0"/>
                <w:numId w:val="1469"/>
              </w:numPr>
              <w:rPr>
                <w:rFonts w:eastAsia="Times New Roman" w:cs="Times New Roman"/>
                <w:color w:val="000000"/>
                <w:lang w:eastAsia="fr-CA"/>
              </w:rPr>
            </w:pPr>
            <w:r>
              <w:rPr>
                <w:rFonts w:eastAsia="Times New Roman" w:cs="Times New Roman"/>
                <w:color w:val="000000"/>
                <w:lang w:eastAsia="fr-CA"/>
              </w:rPr>
              <w:t>Recommander</w:t>
            </w:r>
            <w:r w:rsidR="000C0CEC">
              <w:rPr>
                <w:rFonts w:eastAsia="Times New Roman" w:cs="Times New Roman"/>
                <w:color w:val="000000"/>
                <w:lang w:eastAsia="fr-CA"/>
              </w:rPr>
              <w:t xml:space="preserve"> la </w:t>
            </w:r>
            <w:r w:rsidR="006F17B3">
              <w:rPr>
                <w:rFonts w:eastAsia="Times New Roman" w:cs="Times New Roman"/>
                <w:color w:val="000000"/>
                <w:lang w:eastAsia="fr-CA"/>
              </w:rPr>
              <w:t>vaccination :</w:t>
            </w:r>
            <w:r w:rsidR="000C0CEC">
              <w:rPr>
                <w:rFonts w:eastAsia="Times New Roman" w:cs="Times New Roman"/>
                <w:color w:val="000000"/>
                <w:lang w:eastAsia="fr-CA"/>
              </w:rPr>
              <w:t xml:space="preserve"> </w:t>
            </w:r>
          </w:p>
          <w:p w:rsidR="00513781" w:rsidRPr="006F17B3" w:rsidRDefault="006F17B3" w:rsidP="00ED1F48">
            <w:pPr>
              <w:pStyle w:val="Sansinterligne"/>
              <w:numPr>
                <w:ilvl w:val="1"/>
                <w:numId w:val="1469"/>
              </w:numPr>
              <w:rPr>
                <w:rFonts w:eastAsia="Times New Roman" w:cs="Times New Roman"/>
                <w:color w:val="000000"/>
                <w:highlight w:val="yellow"/>
                <w:lang w:eastAsia="fr-CA"/>
              </w:rPr>
            </w:pPr>
            <w:r w:rsidRPr="006F17B3">
              <w:rPr>
                <w:rFonts w:eastAsia="Times New Roman" w:cs="Times New Roman"/>
                <w:color w:val="000000"/>
                <w:highlight w:val="yellow"/>
                <w:lang w:eastAsia="fr-CA"/>
              </w:rPr>
              <w:t>A</w:t>
            </w:r>
            <w:r w:rsidR="000C0CEC" w:rsidRPr="006F17B3">
              <w:rPr>
                <w:rFonts w:eastAsia="Times New Roman" w:cs="Times New Roman"/>
                <w:color w:val="000000"/>
                <w:highlight w:val="yellow"/>
                <w:lang w:eastAsia="fr-CA"/>
              </w:rPr>
              <w:t xml:space="preserve">nnuelle </w:t>
            </w:r>
            <w:r w:rsidRPr="006F17B3">
              <w:rPr>
                <w:rFonts w:eastAsia="Times New Roman" w:cs="Times New Roman"/>
                <w:color w:val="000000"/>
                <w:highlight w:val="yellow"/>
                <w:lang w:eastAsia="fr-CA"/>
              </w:rPr>
              <w:t xml:space="preserve">contre l’influenza </w:t>
            </w:r>
          </w:p>
          <w:p w:rsidR="006F17B3" w:rsidRPr="006F17B3" w:rsidRDefault="006F17B3" w:rsidP="00ED1F48">
            <w:pPr>
              <w:pStyle w:val="Sansinterligne"/>
              <w:numPr>
                <w:ilvl w:val="1"/>
                <w:numId w:val="1469"/>
              </w:numPr>
              <w:rPr>
                <w:rFonts w:eastAsia="Times New Roman" w:cs="Times New Roman"/>
                <w:color w:val="000000"/>
                <w:highlight w:val="yellow"/>
                <w:lang w:eastAsia="fr-CA"/>
              </w:rPr>
            </w:pPr>
            <w:r w:rsidRPr="006F17B3">
              <w:rPr>
                <w:rFonts w:eastAsia="Times New Roman" w:cs="Times New Roman"/>
                <w:color w:val="000000"/>
                <w:highlight w:val="yellow"/>
                <w:lang w:eastAsia="fr-CA"/>
              </w:rPr>
              <w:t>Q 5 ans contre le pneumocoque</w:t>
            </w:r>
          </w:p>
          <w:p w:rsidR="006F17B3" w:rsidRDefault="006F17B3" w:rsidP="00ED1F48">
            <w:pPr>
              <w:pStyle w:val="Sansinterligne"/>
              <w:numPr>
                <w:ilvl w:val="1"/>
                <w:numId w:val="1469"/>
              </w:numPr>
              <w:rPr>
                <w:rFonts w:eastAsia="Times New Roman" w:cs="Times New Roman"/>
                <w:color w:val="000000"/>
                <w:lang w:eastAsia="fr-CA"/>
              </w:rPr>
            </w:pPr>
            <w:r>
              <w:rPr>
                <w:rFonts w:eastAsia="Times New Roman" w:cs="Times New Roman"/>
                <w:color w:val="000000"/>
                <w:lang w:eastAsia="fr-CA"/>
              </w:rPr>
              <w:t>Rappel tétanos q 10 ans</w:t>
            </w:r>
          </w:p>
          <w:p w:rsidR="006F17B3" w:rsidRDefault="006F17B3" w:rsidP="00ED1F48">
            <w:pPr>
              <w:pStyle w:val="Sansinterligne"/>
              <w:numPr>
                <w:ilvl w:val="1"/>
                <w:numId w:val="1469"/>
              </w:numPr>
              <w:rPr>
                <w:rFonts w:eastAsia="Times New Roman" w:cs="Times New Roman"/>
                <w:color w:val="000000"/>
                <w:lang w:eastAsia="fr-CA"/>
              </w:rPr>
            </w:pPr>
            <w:r>
              <w:rPr>
                <w:rFonts w:eastAsia="Times New Roman" w:cs="Times New Roman"/>
                <w:color w:val="000000"/>
                <w:lang w:eastAsia="fr-CA"/>
              </w:rPr>
              <w:t>X 1 contre le zona</w:t>
            </w:r>
          </w:p>
        </w:tc>
        <w:tc>
          <w:tcPr>
            <w:tcW w:w="1843" w:type="dxa"/>
          </w:tcPr>
          <w:p w:rsidR="00513781" w:rsidRDefault="006F17B3" w:rsidP="006F17B3">
            <w:pPr>
              <w:pStyle w:val="Sansinterligne"/>
              <w:jc w:val="center"/>
              <w:rPr>
                <w:rFonts w:eastAsia="Times New Roman" w:cs="Times New Roman"/>
                <w:color w:val="000000"/>
                <w:lang w:eastAsia="fr-CA"/>
              </w:rPr>
            </w:pPr>
            <w:r w:rsidRPr="006F17B3">
              <w:rPr>
                <w:rFonts w:eastAsia="Times New Roman" w:cs="Times New Roman"/>
                <w:color w:val="000000"/>
                <w:highlight w:val="yellow"/>
                <w:lang w:eastAsia="fr-CA"/>
              </w:rPr>
              <w:t>Plus  de 65 ans</w:t>
            </w:r>
          </w:p>
        </w:tc>
      </w:tr>
    </w:tbl>
    <w:p w:rsidR="008947D9" w:rsidRDefault="008947D9" w:rsidP="008947D9">
      <w:pPr>
        <w:pStyle w:val="Sansinterligne"/>
      </w:pPr>
    </w:p>
    <w:p w:rsidR="008947D9" w:rsidRPr="008947D9" w:rsidRDefault="00161F04" w:rsidP="008947D9">
      <w:pPr>
        <w:pStyle w:val="Sansinterligne"/>
        <w:rPr>
          <w:b/>
          <w:sz w:val="28"/>
          <w:szCs w:val="28"/>
        </w:rPr>
      </w:pPr>
      <w:r>
        <w:rPr>
          <w:b/>
          <w:sz w:val="28"/>
          <w:szCs w:val="28"/>
        </w:rPr>
        <w:t>Notes sur l’examen médical périodique et la logique sous-jacente</w:t>
      </w:r>
    </w:p>
    <w:p w:rsidR="00161F04" w:rsidRDefault="00161F04" w:rsidP="008947D9">
      <w:pPr>
        <w:pStyle w:val="Sansinterligne"/>
      </w:pPr>
    </w:p>
    <w:p w:rsidR="008947D9" w:rsidRDefault="0099619F" w:rsidP="0099619F">
      <w:pPr>
        <w:pStyle w:val="Sansinterligne"/>
        <w:tabs>
          <w:tab w:val="left" w:pos="6237"/>
        </w:tabs>
        <w:ind w:right="4563"/>
        <w:jc w:val="both"/>
      </w:pPr>
      <w:r>
        <w:rPr>
          <w:noProof/>
          <w:lang w:eastAsia="fr-CA"/>
        </w:rPr>
        <w:drawing>
          <wp:anchor distT="0" distB="0" distL="114300" distR="114300" simplePos="0" relativeHeight="252196864" behindDoc="0" locked="0" layoutInCell="1" allowOverlap="1" wp14:anchorId="029FEF98" wp14:editId="4CB73DA9">
            <wp:simplePos x="0" y="0"/>
            <wp:positionH relativeFrom="column">
              <wp:posOffset>4015446</wp:posOffset>
            </wp:positionH>
            <wp:positionV relativeFrom="paragraph">
              <wp:posOffset>22590</wp:posOffset>
            </wp:positionV>
            <wp:extent cx="2971800" cy="1633855"/>
            <wp:effectExtent l="0" t="0" r="0" b="4445"/>
            <wp:wrapNone/>
            <wp:docPr id="664" name="Image 664" descr="Résultats de recherche d'images pour « dépista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ésultats de recherche d'images pour « dépistage »"/>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2971800" cy="1633855"/>
                    </a:xfrm>
                    <a:prstGeom prst="rect">
                      <a:avLst/>
                    </a:prstGeom>
                    <a:noFill/>
                    <a:ln>
                      <a:noFill/>
                    </a:ln>
                  </pic:spPr>
                </pic:pic>
              </a:graphicData>
            </a:graphic>
            <wp14:sizeRelH relativeFrom="page">
              <wp14:pctWidth>0</wp14:pctWidth>
            </wp14:sizeRelH>
            <wp14:sizeRelV relativeFrom="page">
              <wp14:pctHeight>0</wp14:pctHeight>
            </wp14:sizeRelV>
          </wp:anchor>
        </w:drawing>
      </w:r>
      <w:r w:rsidR="00161F04">
        <w:t>L’examen médical périodique vise à dépister les problématiques fréquentes selon les groupes d’âge et à appliquer, si adéquat et indiqué, les tests de dépistages recommandés.</w:t>
      </w:r>
      <w:r w:rsidR="00D326F7">
        <w:t xml:space="preserve"> C’est aussi l’occasion de faire le tour des problématiques expérimentées par le patient et de mettre à jour son dossier. C’est aussi un bon moment pour faire de la prévention primaire et la promotion de la santé, notamment les habitus.</w:t>
      </w:r>
    </w:p>
    <w:p w:rsidR="00D326F7" w:rsidRDefault="00D326F7" w:rsidP="0099619F">
      <w:pPr>
        <w:pStyle w:val="Sansinterligne"/>
        <w:tabs>
          <w:tab w:val="left" w:pos="6237"/>
        </w:tabs>
        <w:ind w:right="4563"/>
        <w:jc w:val="both"/>
      </w:pPr>
    </w:p>
    <w:p w:rsidR="0099619F" w:rsidRDefault="00D326F7" w:rsidP="0099619F">
      <w:pPr>
        <w:pStyle w:val="Sansinterligne"/>
        <w:tabs>
          <w:tab w:val="left" w:pos="6237"/>
        </w:tabs>
        <w:ind w:right="4563"/>
        <w:jc w:val="both"/>
      </w:pPr>
      <w:r>
        <w:t>Lors de dépistage, il faut toujours expliquer au patient les risques du dépistage (faux positifs, examens invasifs, anxiété, etc.) et ses avantages (détection de maladies graves pour lequel un traitement qui change le cours de la maladie est disponible). Le patient doit lui-même décider s’il sou</w:t>
      </w:r>
      <w:r w:rsidR="0099619F">
        <w:t>haite ou non subir un dépistage.</w:t>
      </w:r>
      <w:r w:rsidR="0099619F" w:rsidRPr="0099619F">
        <w:t xml:space="preserve"> </w:t>
      </w:r>
    </w:p>
    <w:p w:rsidR="00B32705" w:rsidRPr="0099619F" w:rsidRDefault="00B32705" w:rsidP="0099619F">
      <w:pPr>
        <w:pStyle w:val="Sansinterligne"/>
        <w:tabs>
          <w:tab w:val="left" w:pos="6237"/>
        </w:tabs>
        <w:ind w:right="4563"/>
        <w:jc w:val="both"/>
      </w:pPr>
      <w:r>
        <w:rPr>
          <w:rFonts w:cs="Times New Roman"/>
          <w:b/>
          <w:color w:val="548DD4" w:themeColor="text2" w:themeTint="99"/>
        </w:rPr>
        <w:t>CMC 74-1</w:t>
      </w:r>
    </w:p>
    <w:p w:rsidR="00B32705" w:rsidRPr="00B32705" w:rsidRDefault="00B32705" w:rsidP="00B32705">
      <w:pPr>
        <w:pStyle w:val="Titre3"/>
        <w:spacing w:before="0"/>
        <w:rPr>
          <w:rFonts w:ascii="Times New Roman" w:hAnsi="Times New Roman" w:cs="Times New Roman"/>
        </w:rPr>
      </w:pPr>
      <w:bookmarkStart w:id="224" w:name="_Toc480797306"/>
      <w:r w:rsidRPr="00B32705">
        <w:rPr>
          <w:rFonts w:ascii="Times New Roman" w:hAnsi="Times New Roman" w:cs="Times New Roman"/>
        </w:rPr>
        <w:t>Examen du nouveau-né</w:t>
      </w:r>
      <w:bookmarkEnd w:id="224"/>
    </w:p>
    <w:tbl>
      <w:tblPr>
        <w:tblW w:w="3858" w:type="pct"/>
        <w:tblCellSpacing w:w="0" w:type="dxa"/>
        <w:tblCellMar>
          <w:left w:w="0" w:type="dxa"/>
          <w:right w:w="0" w:type="dxa"/>
        </w:tblCellMar>
        <w:tblLook w:val="04A0" w:firstRow="1" w:lastRow="0" w:firstColumn="1" w:lastColumn="0" w:noHBand="0" w:noVBand="1"/>
      </w:tblPr>
      <w:tblGrid>
        <w:gridCol w:w="8333"/>
      </w:tblGrid>
      <w:tr w:rsidR="00B32705" w:rsidRPr="00B32705" w:rsidTr="00B32705">
        <w:trPr>
          <w:tblCellSpacing w:w="0" w:type="dxa"/>
        </w:trPr>
        <w:tc>
          <w:tcPr>
            <w:tcW w:w="0" w:type="auto"/>
            <w:vAlign w:val="bottom"/>
            <w:hideMark/>
          </w:tcPr>
          <w:p w:rsidR="00B32705" w:rsidRPr="00B32705" w:rsidRDefault="00B32705" w:rsidP="00B32705">
            <w:pPr>
              <w:pStyle w:val="Sansinterligne"/>
              <w:spacing w:before="240"/>
              <w:rPr>
                <w:rFonts w:cs="Times New Roman"/>
                <w:b/>
                <w:sz w:val="18"/>
                <w:szCs w:val="18"/>
              </w:rPr>
            </w:pPr>
            <w:r>
              <w:rPr>
                <w:rFonts w:cs="Times New Roman"/>
                <w:b/>
                <w:noProof/>
                <w:sz w:val="18"/>
                <w:szCs w:val="18"/>
                <w:lang w:eastAsia="fr-CA"/>
              </w:rPr>
              <mc:AlternateContent>
                <mc:Choice Requires="wps">
                  <w:drawing>
                    <wp:anchor distT="0" distB="0" distL="114300" distR="114300" simplePos="0" relativeHeight="252067840" behindDoc="0" locked="0" layoutInCell="1" allowOverlap="1" wp14:anchorId="2CC55304" wp14:editId="290E8A09">
                      <wp:simplePos x="0" y="0"/>
                      <wp:positionH relativeFrom="column">
                        <wp:posOffset>-68094</wp:posOffset>
                      </wp:positionH>
                      <wp:positionV relativeFrom="paragraph">
                        <wp:posOffset>114408</wp:posOffset>
                      </wp:positionV>
                      <wp:extent cx="6955277" cy="3745149"/>
                      <wp:effectExtent l="0" t="0" r="17145" b="27305"/>
                      <wp:wrapNone/>
                      <wp:docPr id="546" name="Rectangle 546"/>
                      <wp:cNvGraphicFramePr/>
                      <a:graphic xmlns:a="http://schemas.openxmlformats.org/drawingml/2006/main">
                        <a:graphicData uri="http://schemas.microsoft.com/office/word/2010/wordprocessingShape">
                          <wps:wsp>
                            <wps:cNvSpPr/>
                            <wps:spPr>
                              <a:xfrm>
                                <a:off x="0" y="0"/>
                                <a:ext cx="6955277" cy="3745149"/>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546" o:spid="_x0000_s1026" style="position:absolute;margin-left:-5.35pt;margin-top:9pt;width:547.65pt;height:294.9pt;z-index:2520678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" filled="f" strokecolor="black [1600]" strokeweight="2pt"/>
                  </w:pict>
                </mc:Fallback>
              </mc:AlternateContent>
            </w:r>
            <w:r w:rsidRPr="00B32705">
              <w:rPr>
                <w:rFonts w:cs="Times New Roman"/>
                <w:b/>
                <w:sz w:val="18"/>
                <w:szCs w:val="18"/>
              </w:rPr>
              <w:t>Objectifs principaux</w:t>
            </w:r>
          </w:p>
        </w:tc>
      </w:tr>
    </w:tbl>
    <w:p w:rsidR="00B32705" w:rsidRPr="00B32705" w:rsidRDefault="00B32705" w:rsidP="00B32705">
      <w:pPr>
        <w:pStyle w:val="NormalWeb"/>
        <w:ind w:left="360"/>
        <w:rPr>
          <w:color w:val="000000"/>
          <w:sz w:val="18"/>
          <w:szCs w:val="18"/>
          <w:shd w:val="clear" w:color="auto" w:fill="FFFFFF"/>
        </w:rPr>
      </w:pPr>
      <w:r w:rsidRPr="00B32705">
        <w:rPr>
          <w:color w:val="000000"/>
          <w:sz w:val="18"/>
          <w:szCs w:val="18"/>
          <w:shd w:val="clear" w:color="auto" w:fill="FFFFFF"/>
        </w:rPr>
        <w:t>Dans le cadre d'un examen de routine d'un nouveau-né, le candidat devra procéder de façon habile et systématique en vue de déceler chez celui-ci toute anomalie sérieuse ou tout facteur de risque important. Il devra en outre offrir des conseils aux personnes soignantes sur les soins à prodiguer au nouveau-né.</w:t>
      </w:r>
    </w:p>
    <w:tbl>
      <w:tblPr>
        <w:tblW w:w="3897" w:type="pct"/>
        <w:tblCellSpacing w:w="0" w:type="dxa"/>
        <w:tblCellMar>
          <w:left w:w="0" w:type="dxa"/>
          <w:right w:w="0" w:type="dxa"/>
        </w:tblCellMar>
        <w:tblLook w:val="04A0" w:firstRow="1" w:lastRow="0" w:firstColumn="1" w:lastColumn="0" w:noHBand="0" w:noVBand="1"/>
      </w:tblPr>
      <w:tblGrid>
        <w:gridCol w:w="8418"/>
      </w:tblGrid>
      <w:tr w:rsidR="00B32705" w:rsidRPr="00B32705" w:rsidTr="00B32705">
        <w:trPr>
          <w:tblCellSpacing w:w="0" w:type="dxa"/>
        </w:trPr>
        <w:tc>
          <w:tcPr>
            <w:tcW w:w="0" w:type="auto"/>
            <w:vAlign w:val="bottom"/>
            <w:hideMark/>
          </w:tcPr>
          <w:p w:rsidR="00B32705" w:rsidRPr="00B32705" w:rsidRDefault="00B32705" w:rsidP="00B32705">
            <w:pPr>
              <w:pStyle w:val="Sansinterligne"/>
              <w:rPr>
                <w:rFonts w:cs="Times New Roman"/>
                <w:b/>
                <w:sz w:val="16"/>
                <w:szCs w:val="16"/>
              </w:rPr>
            </w:pPr>
            <w:r w:rsidRPr="00B32705">
              <w:rPr>
                <w:rFonts w:cs="Times New Roman"/>
                <w:b/>
                <w:sz w:val="16"/>
                <w:szCs w:val="16"/>
              </w:rPr>
              <w:t>Objectifs spécifiques</w:t>
            </w:r>
          </w:p>
        </w:tc>
      </w:tr>
    </w:tbl>
    <w:p w:rsidR="00B32705" w:rsidRPr="00B32705" w:rsidRDefault="00B32705" w:rsidP="00B32705">
      <w:pPr>
        <w:pStyle w:val="NormalWeb"/>
        <w:shd w:val="clear" w:color="auto" w:fill="FFFFFF"/>
        <w:ind w:left="360"/>
        <w:rPr>
          <w:color w:val="000000"/>
          <w:sz w:val="16"/>
          <w:szCs w:val="16"/>
          <w:shd w:val="clear" w:color="auto" w:fill="FFFFFF"/>
        </w:rPr>
      </w:pPr>
      <w:r w:rsidRPr="00B32705">
        <w:rPr>
          <w:color w:val="000000"/>
          <w:sz w:val="16"/>
          <w:szCs w:val="16"/>
          <w:shd w:val="clear" w:color="auto" w:fill="FFFFFF"/>
        </w:rPr>
        <w:t>Dans le cadre d'un examen de routine d'un nouveau-né, le candidat devra</w:t>
      </w:r>
    </w:p>
    <w:p w:rsidR="00B32705" w:rsidRPr="00B32705" w:rsidRDefault="00B32705" w:rsidP="00AF6ADC">
      <w:pPr>
        <w:numPr>
          <w:ilvl w:val="0"/>
          <w:numId w:val="1220"/>
        </w:numPr>
        <w:shd w:val="clear" w:color="auto" w:fill="FFFFFF"/>
        <w:spacing w:before="100" w:beforeAutospacing="1" w:after="100" w:afterAutospacing="1" w:line="240" w:lineRule="auto"/>
        <w:rPr>
          <w:rFonts w:cs="Times New Roman"/>
          <w:color w:val="000000"/>
          <w:sz w:val="16"/>
          <w:szCs w:val="16"/>
          <w:shd w:val="clear" w:color="auto" w:fill="FFFFFF"/>
        </w:rPr>
      </w:pPr>
      <w:r w:rsidRPr="00B32705">
        <w:rPr>
          <w:rFonts w:cs="Times New Roman"/>
          <w:color w:val="000000"/>
          <w:sz w:val="16"/>
          <w:szCs w:val="16"/>
          <w:shd w:val="clear" w:color="auto" w:fill="FFFFFF"/>
        </w:rPr>
        <w:t>énumérer et interpréter les constatations cliniques cruciales, notamment :</w:t>
      </w:r>
    </w:p>
    <w:p w:rsidR="00B32705" w:rsidRPr="00B32705" w:rsidRDefault="00B32705" w:rsidP="00AF6ADC">
      <w:pPr>
        <w:numPr>
          <w:ilvl w:val="1"/>
          <w:numId w:val="1220"/>
        </w:numPr>
        <w:shd w:val="clear" w:color="auto" w:fill="FFFFFF"/>
        <w:spacing w:before="100" w:beforeAutospacing="1" w:after="100" w:afterAutospacing="1" w:line="240" w:lineRule="auto"/>
        <w:rPr>
          <w:rFonts w:cs="Times New Roman"/>
          <w:color w:val="000000"/>
          <w:sz w:val="16"/>
          <w:szCs w:val="16"/>
          <w:shd w:val="clear" w:color="auto" w:fill="FFFFFF"/>
        </w:rPr>
      </w:pPr>
      <w:r w:rsidRPr="00B32705">
        <w:rPr>
          <w:rFonts w:cs="Times New Roman"/>
          <w:color w:val="000000"/>
          <w:sz w:val="16"/>
          <w:szCs w:val="16"/>
          <w:shd w:val="clear" w:color="auto" w:fill="FFFFFF"/>
        </w:rPr>
        <w:t>l'anamnèse portant sur la grossesse et la période périnatale (p. ex. fièvre intrapartum, prise de médicaments);</w:t>
      </w:r>
    </w:p>
    <w:p w:rsidR="00B32705" w:rsidRPr="00B32705" w:rsidRDefault="00B32705" w:rsidP="00AF6ADC">
      <w:pPr>
        <w:numPr>
          <w:ilvl w:val="1"/>
          <w:numId w:val="1220"/>
        </w:numPr>
        <w:shd w:val="clear" w:color="auto" w:fill="FFFFFF"/>
        <w:spacing w:before="100" w:beforeAutospacing="1" w:after="100" w:afterAutospacing="1" w:line="240" w:lineRule="auto"/>
        <w:rPr>
          <w:rFonts w:cs="Times New Roman"/>
          <w:color w:val="000000"/>
          <w:sz w:val="16"/>
          <w:szCs w:val="16"/>
          <w:shd w:val="clear" w:color="auto" w:fill="FFFFFF"/>
        </w:rPr>
      </w:pPr>
      <w:r w:rsidRPr="00B32705">
        <w:rPr>
          <w:rFonts w:cs="Times New Roman"/>
          <w:color w:val="000000"/>
          <w:sz w:val="16"/>
          <w:szCs w:val="16"/>
          <w:shd w:val="clear" w:color="auto" w:fill="FFFFFF"/>
        </w:rPr>
        <w:t>l'anamnèse néonatale (p. ex. indices d'Apgar, alimentation et élimination);</w:t>
      </w:r>
    </w:p>
    <w:p w:rsidR="00B32705" w:rsidRPr="00B32705" w:rsidRDefault="00B32705" w:rsidP="00AF6ADC">
      <w:pPr>
        <w:numPr>
          <w:ilvl w:val="1"/>
          <w:numId w:val="1220"/>
        </w:numPr>
        <w:shd w:val="clear" w:color="auto" w:fill="FFFFFF"/>
        <w:spacing w:before="100" w:beforeAutospacing="1" w:after="100" w:afterAutospacing="1" w:line="240" w:lineRule="auto"/>
        <w:rPr>
          <w:rFonts w:cs="Times New Roman"/>
          <w:color w:val="000000"/>
          <w:sz w:val="16"/>
          <w:szCs w:val="16"/>
          <w:shd w:val="clear" w:color="auto" w:fill="FFFFFF"/>
        </w:rPr>
      </w:pPr>
      <w:r w:rsidRPr="00B32705">
        <w:rPr>
          <w:rFonts w:cs="Times New Roman"/>
          <w:color w:val="000000"/>
          <w:sz w:val="16"/>
          <w:szCs w:val="16"/>
          <w:shd w:val="clear" w:color="auto" w:fill="FFFFFF"/>
        </w:rPr>
        <w:t>les antécédents psychosociaux (p. ex. santé mentale de la mère, milieu de vie, soutien familial);</w:t>
      </w:r>
    </w:p>
    <w:p w:rsidR="00B32705" w:rsidRPr="00B32705" w:rsidRDefault="00B32705" w:rsidP="00AF6ADC">
      <w:pPr>
        <w:numPr>
          <w:ilvl w:val="1"/>
          <w:numId w:val="1220"/>
        </w:numPr>
        <w:shd w:val="clear" w:color="auto" w:fill="FFFFFF"/>
        <w:spacing w:before="100" w:beforeAutospacing="1" w:after="100" w:afterAutospacing="1" w:line="240" w:lineRule="auto"/>
        <w:rPr>
          <w:rFonts w:cs="Times New Roman"/>
          <w:color w:val="000000"/>
          <w:sz w:val="16"/>
          <w:szCs w:val="16"/>
          <w:shd w:val="clear" w:color="auto" w:fill="FFFFFF"/>
        </w:rPr>
      </w:pPr>
      <w:r w:rsidRPr="00B32705">
        <w:rPr>
          <w:rFonts w:cs="Times New Roman"/>
          <w:color w:val="000000"/>
          <w:sz w:val="16"/>
          <w:szCs w:val="16"/>
          <w:shd w:val="clear" w:color="auto" w:fill="FFFFFF"/>
        </w:rPr>
        <w:t>l'examen systématique du nouveau-né, avec une attention particulière aux signes de toute maladie aiguë (p. ex. ictère, état d'hydratation du bébé);</w:t>
      </w:r>
    </w:p>
    <w:p w:rsidR="00B32705" w:rsidRPr="00B32705" w:rsidRDefault="00B32705" w:rsidP="00AF6ADC">
      <w:pPr>
        <w:numPr>
          <w:ilvl w:val="1"/>
          <w:numId w:val="1220"/>
        </w:numPr>
        <w:shd w:val="clear" w:color="auto" w:fill="FFFFFF"/>
        <w:spacing w:before="100" w:beforeAutospacing="1" w:after="100" w:afterAutospacing="1" w:line="240" w:lineRule="auto"/>
        <w:rPr>
          <w:rFonts w:cs="Times New Roman"/>
          <w:color w:val="000000"/>
          <w:sz w:val="16"/>
          <w:szCs w:val="16"/>
          <w:shd w:val="clear" w:color="auto" w:fill="FFFFFF"/>
        </w:rPr>
      </w:pPr>
      <w:r w:rsidRPr="00B32705">
        <w:rPr>
          <w:rFonts w:cs="Times New Roman"/>
          <w:color w:val="000000"/>
          <w:sz w:val="16"/>
          <w:szCs w:val="16"/>
          <w:shd w:val="clear" w:color="auto" w:fill="FFFFFF"/>
        </w:rPr>
        <w:t>le dépistage de malformations congénitales importantes (p. ex. reflet rétinien, souffle cardiaque);</w:t>
      </w:r>
    </w:p>
    <w:p w:rsidR="00B32705" w:rsidRPr="00B32705" w:rsidRDefault="00B32705" w:rsidP="00AF6ADC">
      <w:pPr>
        <w:numPr>
          <w:ilvl w:val="1"/>
          <w:numId w:val="1220"/>
        </w:numPr>
        <w:shd w:val="clear" w:color="auto" w:fill="FFFFFF"/>
        <w:spacing w:before="100" w:beforeAutospacing="1" w:after="100" w:afterAutospacing="1" w:line="240" w:lineRule="auto"/>
        <w:rPr>
          <w:rFonts w:cs="Times New Roman"/>
          <w:color w:val="000000"/>
          <w:sz w:val="16"/>
          <w:szCs w:val="16"/>
          <w:shd w:val="clear" w:color="auto" w:fill="FFFFFF"/>
        </w:rPr>
      </w:pPr>
      <w:r w:rsidRPr="00B32705">
        <w:rPr>
          <w:rFonts w:cs="Times New Roman"/>
          <w:color w:val="000000"/>
          <w:sz w:val="16"/>
          <w:szCs w:val="16"/>
          <w:shd w:val="clear" w:color="auto" w:fill="FFFFFF"/>
        </w:rPr>
        <w:t>les préoccupations de la ou des personnes soignantes;</w:t>
      </w:r>
    </w:p>
    <w:p w:rsidR="00B32705" w:rsidRPr="00B32705" w:rsidRDefault="00B32705" w:rsidP="00AF6ADC">
      <w:pPr>
        <w:numPr>
          <w:ilvl w:val="0"/>
          <w:numId w:val="1220"/>
        </w:numPr>
        <w:shd w:val="clear" w:color="auto" w:fill="FFFFFF"/>
        <w:spacing w:before="100" w:beforeAutospacing="1" w:after="100" w:afterAutospacing="1" w:line="240" w:lineRule="auto"/>
        <w:rPr>
          <w:rFonts w:cs="Times New Roman"/>
          <w:color w:val="000000"/>
          <w:sz w:val="16"/>
          <w:szCs w:val="16"/>
          <w:shd w:val="clear" w:color="auto" w:fill="FFFFFF"/>
        </w:rPr>
      </w:pPr>
      <w:r w:rsidRPr="00B32705">
        <w:rPr>
          <w:rFonts w:cs="Times New Roman"/>
          <w:color w:val="000000"/>
          <w:sz w:val="16"/>
          <w:szCs w:val="16"/>
          <w:shd w:val="clear" w:color="auto" w:fill="FFFFFF"/>
        </w:rPr>
        <w:t>énumérer et interpréter les examens essentiels, notamment :</w:t>
      </w:r>
    </w:p>
    <w:p w:rsidR="00B32705" w:rsidRPr="00B32705" w:rsidRDefault="00B32705" w:rsidP="00AF6ADC">
      <w:pPr>
        <w:numPr>
          <w:ilvl w:val="1"/>
          <w:numId w:val="1220"/>
        </w:numPr>
        <w:shd w:val="clear" w:color="auto" w:fill="FFFFFF"/>
        <w:spacing w:before="100" w:beforeAutospacing="1" w:after="100" w:afterAutospacing="1" w:line="240" w:lineRule="auto"/>
        <w:rPr>
          <w:rFonts w:cs="Times New Roman"/>
          <w:color w:val="000000"/>
          <w:sz w:val="16"/>
          <w:szCs w:val="16"/>
          <w:shd w:val="clear" w:color="auto" w:fill="FFFFFF"/>
        </w:rPr>
      </w:pPr>
      <w:r w:rsidRPr="00B32705">
        <w:rPr>
          <w:rFonts w:cs="Times New Roman"/>
          <w:color w:val="000000"/>
          <w:sz w:val="16"/>
          <w:szCs w:val="16"/>
          <w:shd w:val="clear" w:color="auto" w:fill="FFFFFF"/>
        </w:rPr>
        <w:t>les tests de dépistage de maladies aigües (p. ex. glycémie);</w:t>
      </w:r>
    </w:p>
    <w:p w:rsidR="00B32705" w:rsidRPr="00B32705" w:rsidRDefault="00B32705" w:rsidP="00AF6ADC">
      <w:pPr>
        <w:numPr>
          <w:ilvl w:val="1"/>
          <w:numId w:val="1220"/>
        </w:numPr>
        <w:shd w:val="clear" w:color="auto" w:fill="FFFFFF"/>
        <w:spacing w:before="100" w:beforeAutospacing="1" w:after="100" w:afterAutospacing="1" w:line="240" w:lineRule="auto"/>
        <w:rPr>
          <w:rFonts w:cs="Times New Roman"/>
          <w:color w:val="000000"/>
          <w:sz w:val="16"/>
          <w:szCs w:val="16"/>
          <w:shd w:val="clear" w:color="auto" w:fill="FFFFFF"/>
        </w:rPr>
      </w:pPr>
      <w:r w:rsidRPr="00B32705">
        <w:rPr>
          <w:rFonts w:cs="Times New Roman"/>
          <w:color w:val="000000"/>
          <w:sz w:val="16"/>
          <w:szCs w:val="16"/>
          <w:shd w:val="clear" w:color="auto" w:fill="FFFFFF"/>
        </w:rPr>
        <w:t>les tests de dépistage d'anomalies cliniques (p. ex. échocardiogramme, dépistage génétique);</w:t>
      </w:r>
    </w:p>
    <w:p w:rsidR="00B32705" w:rsidRPr="00B32705" w:rsidRDefault="00B32705" w:rsidP="00AF6ADC">
      <w:pPr>
        <w:numPr>
          <w:ilvl w:val="1"/>
          <w:numId w:val="1220"/>
        </w:numPr>
        <w:shd w:val="clear" w:color="auto" w:fill="FFFFFF"/>
        <w:spacing w:before="100" w:beforeAutospacing="1" w:after="100" w:afterAutospacing="1" w:line="240" w:lineRule="auto"/>
        <w:rPr>
          <w:rFonts w:cs="Times New Roman"/>
          <w:color w:val="000000"/>
          <w:sz w:val="16"/>
          <w:szCs w:val="16"/>
          <w:shd w:val="clear" w:color="auto" w:fill="FFFFFF"/>
        </w:rPr>
      </w:pPr>
      <w:r w:rsidRPr="00B32705">
        <w:rPr>
          <w:rFonts w:cs="Times New Roman"/>
          <w:color w:val="000000"/>
          <w:sz w:val="16"/>
          <w:szCs w:val="16"/>
          <w:shd w:val="clear" w:color="auto" w:fill="FFFFFF"/>
        </w:rPr>
        <w:t>la mesure de la bilirubine sérique;</w:t>
      </w:r>
    </w:p>
    <w:p w:rsidR="00B32705" w:rsidRPr="00B32705" w:rsidRDefault="00B32705" w:rsidP="00AF6ADC">
      <w:pPr>
        <w:numPr>
          <w:ilvl w:val="0"/>
          <w:numId w:val="1220"/>
        </w:numPr>
        <w:shd w:val="clear" w:color="auto" w:fill="FFFFFF"/>
        <w:spacing w:before="100" w:beforeAutospacing="1" w:after="100" w:afterAutospacing="1" w:line="240" w:lineRule="auto"/>
        <w:rPr>
          <w:rFonts w:cs="Times New Roman"/>
          <w:color w:val="000000"/>
          <w:sz w:val="16"/>
          <w:szCs w:val="16"/>
          <w:shd w:val="clear" w:color="auto" w:fill="FFFFFF"/>
        </w:rPr>
      </w:pPr>
      <w:r w:rsidRPr="00B32705">
        <w:rPr>
          <w:rFonts w:cs="Times New Roman"/>
          <w:color w:val="000000"/>
          <w:sz w:val="16"/>
          <w:szCs w:val="16"/>
          <w:shd w:val="clear" w:color="auto" w:fill="FFFFFF"/>
        </w:rPr>
        <w:t>établir un plan efficace de prise en charge initiale, notamment :</w:t>
      </w:r>
    </w:p>
    <w:p w:rsidR="00B32705" w:rsidRPr="00B32705" w:rsidRDefault="00B32705" w:rsidP="00AF6ADC">
      <w:pPr>
        <w:numPr>
          <w:ilvl w:val="1"/>
          <w:numId w:val="1220"/>
        </w:numPr>
        <w:shd w:val="clear" w:color="auto" w:fill="FFFFFF"/>
        <w:spacing w:before="100" w:beforeAutospacing="1" w:after="100" w:afterAutospacing="1" w:line="240" w:lineRule="auto"/>
        <w:rPr>
          <w:rFonts w:cs="Times New Roman"/>
          <w:color w:val="000000"/>
          <w:sz w:val="16"/>
          <w:szCs w:val="16"/>
          <w:shd w:val="clear" w:color="auto" w:fill="FFFFFF"/>
        </w:rPr>
      </w:pPr>
      <w:r w:rsidRPr="00B32705">
        <w:rPr>
          <w:rFonts w:cs="Times New Roman"/>
          <w:color w:val="000000"/>
          <w:sz w:val="16"/>
          <w:szCs w:val="16"/>
          <w:shd w:val="clear" w:color="auto" w:fill="FFFFFF"/>
        </w:rPr>
        <w:t>traiter de façon adéquate toute maladie aiguë, y compris l'orientation vers des soins spécialisés, s'il y a lieu;</w:t>
      </w:r>
    </w:p>
    <w:p w:rsidR="00B32705" w:rsidRPr="00B32705" w:rsidRDefault="00B32705" w:rsidP="00AF6ADC">
      <w:pPr>
        <w:numPr>
          <w:ilvl w:val="1"/>
          <w:numId w:val="1220"/>
        </w:numPr>
        <w:shd w:val="clear" w:color="auto" w:fill="FFFFFF"/>
        <w:spacing w:before="100" w:beforeAutospacing="1" w:after="100" w:afterAutospacing="1" w:line="240" w:lineRule="auto"/>
        <w:rPr>
          <w:rFonts w:cs="Times New Roman"/>
          <w:color w:val="000000"/>
          <w:sz w:val="16"/>
          <w:szCs w:val="16"/>
          <w:shd w:val="clear" w:color="auto" w:fill="FFFFFF"/>
        </w:rPr>
      </w:pPr>
      <w:r w:rsidRPr="00B32705">
        <w:rPr>
          <w:rFonts w:cs="Times New Roman"/>
          <w:color w:val="000000"/>
          <w:sz w:val="16"/>
          <w:szCs w:val="16"/>
          <w:shd w:val="clear" w:color="auto" w:fill="FFFFFF"/>
        </w:rPr>
        <w:t>conseiller la ou les personnes soignantes en ce qui concerne l'allaitement maternel et l'alimentation du bébé;</w:t>
      </w:r>
    </w:p>
    <w:p w:rsidR="00B32705" w:rsidRPr="00B32705" w:rsidRDefault="00B32705" w:rsidP="00AF6ADC">
      <w:pPr>
        <w:numPr>
          <w:ilvl w:val="1"/>
          <w:numId w:val="1220"/>
        </w:numPr>
        <w:shd w:val="clear" w:color="auto" w:fill="FFFFFF"/>
        <w:spacing w:before="100" w:beforeAutospacing="1" w:after="100" w:afterAutospacing="1" w:line="240" w:lineRule="auto"/>
        <w:rPr>
          <w:rFonts w:cs="Times New Roman"/>
          <w:color w:val="000000"/>
          <w:sz w:val="16"/>
          <w:szCs w:val="16"/>
          <w:shd w:val="clear" w:color="auto" w:fill="FFFFFF"/>
        </w:rPr>
      </w:pPr>
      <w:r w:rsidRPr="00B32705">
        <w:rPr>
          <w:rFonts w:cs="Times New Roman"/>
          <w:color w:val="000000"/>
          <w:sz w:val="16"/>
          <w:szCs w:val="16"/>
          <w:shd w:val="clear" w:color="auto" w:fill="FFFFFF"/>
        </w:rPr>
        <w:t>donner des conseils sur les soins de routine (p. ex. soins du cordon ombilical) et la sécurité du bébé (p. ex. siège de voiture, prévention du syndrome de mort subite du nourrisson);</w:t>
      </w:r>
    </w:p>
    <w:p w:rsidR="00B32705" w:rsidRPr="00B32705" w:rsidRDefault="00B32705" w:rsidP="00AF6ADC">
      <w:pPr>
        <w:numPr>
          <w:ilvl w:val="1"/>
          <w:numId w:val="1220"/>
        </w:numPr>
        <w:shd w:val="clear" w:color="auto" w:fill="FFFFFF"/>
        <w:spacing w:before="100" w:beforeAutospacing="1" w:after="100" w:afterAutospacing="1" w:line="240" w:lineRule="auto"/>
        <w:rPr>
          <w:rFonts w:cs="Times New Roman"/>
          <w:color w:val="000000"/>
          <w:sz w:val="16"/>
          <w:szCs w:val="16"/>
          <w:shd w:val="clear" w:color="auto" w:fill="FFFFFF"/>
        </w:rPr>
      </w:pPr>
      <w:r w:rsidRPr="00B32705">
        <w:rPr>
          <w:rFonts w:cs="Times New Roman"/>
          <w:color w:val="000000"/>
          <w:sz w:val="16"/>
          <w:szCs w:val="16"/>
          <w:shd w:val="clear" w:color="auto" w:fill="FFFFFF"/>
        </w:rPr>
        <w:t>répondre aux préoccupations parentales;</w:t>
      </w:r>
    </w:p>
    <w:p w:rsidR="007B5AA6" w:rsidRPr="00DD5EF0" w:rsidRDefault="00B32705" w:rsidP="00AF6ADC">
      <w:pPr>
        <w:numPr>
          <w:ilvl w:val="1"/>
          <w:numId w:val="1220"/>
        </w:numPr>
        <w:shd w:val="clear" w:color="auto" w:fill="FFFFFF"/>
        <w:spacing w:before="100" w:beforeAutospacing="1" w:after="100" w:afterAutospacing="1" w:line="240" w:lineRule="auto"/>
        <w:rPr>
          <w:rFonts w:cs="Times New Roman"/>
          <w:color w:val="000000"/>
          <w:sz w:val="16"/>
          <w:szCs w:val="16"/>
          <w:shd w:val="clear" w:color="auto" w:fill="FFFFFF"/>
        </w:rPr>
      </w:pPr>
      <w:r w:rsidRPr="00B32705">
        <w:rPr>
          <w:rFonts w:cs="Times New Roman"/>
          <w:color w:val="000000"/>
          <w:sz w:val="16"/>
          <w:szCs w:val="16"/>
          <w:shd w:val="clear" w:color="auto" w:fill="FFFFFF"/>
        </w:rPr>
        <w:t>discuter du dépistage métabolique du nouveau-né avec la ou les personnes soignantes.</w:t>
      </w:r>
    </w:p>
    <w:p w:rsidR="00B32705" w:rsidRDefault="004563CF" w:rsidP="004563CF">
      <w:pPr>
        <w:pStyle w:val="Sansinterligne"/>
      </w:pPr>
      <w:r>
        <w:t>L’examen et l’évaluation du nouveau-né est une étape importante. En effet, c’est l’occasion de détecter des maladies graves qui pourront causer un grand tort à l’enfant et de les prévenir. C’est également le moment de répondre aux inquiétudes parentales et de faire de l’enseignement et de la prévention au sujet des soins à donner au nourrisson.</w:t>
      </w:r>
    </w:p>
    <w:p w:rsidR="004563CF" w:rsidRDefault="004563CF" w:rsidP="004563CF">
      <w:pPr>
        <w:pStyle w:val="Sansinterligne"/>
      </w:pPr>
    </w:p>
    <w:p w:rsidR="004563CF" w:rsidRDefault="004563CF" w:rsidP="004563CF">
      <w:pPr>
        <w:pStyle w:val="Sansinterligne"/>
      </w:pPr>
      <w:r>
        <w:t>Il faut d’abord une anamnèse complète incluant :</w:t>
      </w:r>
    </w:p>
    <w:p w:rsidR="004563CF" w:rsidRDefault="004563CF" w:rsidP="004563CF">
      <w:pPr>
        <w:pStyle w:val="Sansinterligne"/>
      </w:pPr>
    </w:p>
    <w:p w:rsidR="00A341C6" w:rsidRDefault="00A341C6" w:rsidP="004563CF">
      <w:pPr>
        <w:pStyle w:val="Sansinterligne"/>
        <w:sectPr w:rsidR="00A341C6" w:rsidSect="00217865">
          <w:type w:val="continuous"/>
          <w:pgSz w:w="12240" w:h="15840"/>
          <w:pgMar w:top="720" w:right="720" w:bottom="720" w:left="720" w:header="708" w:footer="708" w:gutter="0"/>
          <w:cols w:space="708"/>
          <w:docGrid w:linePitch="360"/>
        </w:sectPr>
      </w:pPr>
    </w:p>
    <w:p w:rsidR="004563CF" w:rsidRPr="007B5AA6" w:rsidRDefault="004563CF" w:rsidP="004563CF">
      <w:pPr>
        <w:pStyle w:val="Sansinterligne"/>
        <w:rPr>
          <w:b/>
          <w:highlight w:val="yellow"/>
        </w:rPr>
      </w:pPr>
      <w:r w:rsidRPr="007B5AA6">
        <w:rPr>
          <w:b/>
          <w:highlight w:val="yellow"/>
        </w:rPr>
        <w:t>ATCD gestationnel</w:t>
      </w:r>
      <w:r w:rsidR="006718C5" w:rsidRPr="007B5AA6">
        <w:rPr>
          <w:b/>
          <w:highlight w:val="yellow"/>
        </w:rPr>
        <w:t>s</w:t>
      </w:r>
    </w:p>
    <w:p w:rsidR="00840AF7" w:rsidRPr="007B5AA6" w:rsidRDefault="00840AF7" w:rsidP="00AF6ADC">
      <w:pPr>
        <w:pStyle w:val="Sansinterligne"/>
        <w:numPr>
          <w:ilvl w:val="0"/>
          <w:numId w:val="1231"/>
        </w:numPr>
        <w:rPr>
          <w:highlight w:val="yellow"/>
        </w:rPr>
      </w:pPr>
      <w:r w:rsidRPr="007B5AA6">
        <w:rPr>
          <w:highlight w:val="yellow"/>
        </w:rPr>
        <w:t>RCIU</w:t>
      </w:r>
    </w:p>
    <w:p w:rsidR="00840AF7" w:rsidRPr="007B5AA6" w:rsidRDefault="00840AF7" w:rsidP="00AF6ADC">
      <w:pPr>
        <w:pStyle w:val="Sansinterligne"/>
        <w:numPr>
          <w:ilvl w:val="0"/>
          <w:numId w:val="1231"/>
        </w:numPr>
        <w:rPr>
          <w:highlight w:val="yellow"/>
        </w:rPr>
      </w:pPr>
      <w:r w:rsidRPr="007B5AA6">
        <w:rPr>
          <w:highlight w:val="yellow"/>
        </w:rPr>
        <w:t>Diabète gestationnel, prééclampsie</w:t>
      </w:r>
    </w:p>
    <w:p w:rsidR="00840AF7" w:rsidRPr="007B5AA6" w:rsidRDefault="00840AF7" w:rsidP="00AF6ADC">
      <w:pPr>
        <w:pStyle w:val="Sansinterligne"/>
        <w:numPr>
          <w:ilvl w:val="0"/>
          <w:numId w:val="1231"/>
        </w:numPr>
        <w:rPr>
          <w:highlight w:val="yellow"/>
        </w:rPr>
      </w:pPr>
      <w:r w:rsidRPr="007B5AA6">
        <w:rPr>
          <w:highlight w:val="yellow"/>
        </w:rPr>
        <w:t>Exposition à des médicaments, drogues ou alcool</w:t>
      </w:r>
    </w:p>
    <w:p w:rsidR="00840AF7" w:rsidRPr="007B5AA6" w:rsidRDefault="00840AF7" w:rsidP="00AF6ADC">
      <w:pPr>
        <w:pStyle w:val="Sansinterligne"/>
        <w:numPr>
          <w:ilvl w:val="0"/>
          <w:numId w:val="1231"/>
        </w:numPr>
        <w:rPr>
          <w:highlight w:val="yellow"/>
        </w:rPr>
      </w:pPr>
      <w:r w:rsidRPr="007B5AA6">
        <w:rPr>
          <w:highlight w:val="yellow"/>
        </w:rPr>
        <w:t>Infections TORCH</w:t>
      </w:r>
      <w:r w:rsidR="00DD4B61" w:rsidRPr="007B5AA6">
        <w:rPr>
          <w:highlight w:val="yellow"/>
        </w:rPr>
        <w:t xml:space="preserve"> (voyages, contacts infectieux, présence de chats)</w:t>
      </w:r>
    </w:p>
    <w:p w:rsidR="00840AF7" w:rsidRPr="007B5AA6" w:rsidRDefault="00840AF7" w:rsidP="00AF6ADC">
      <w:pPr>
        <w:pStyle w:val="Sansinterligne"/>
        <w:numPr>
          <w:ilvl w:val="0"/>
          <w:numId w:val="1231"/>
        </w:numPr>
        <w:rPr>
          <w:highlight w:val="yellow"/>
        </w:rPr>
      </w:pPr>
      <w:r w:rsidRPr="007B5AA6">
        <w:rPr>
          <w:highlight w:val="yellow"/>
        </w:rPr>
        <w:t xml:space="preserve">Prématurité </w:t>
      </w:r>
      <w:r w:rsidR="00A341C6" w:rsidRPr="007B5AA6">
        <w:rPr>
          <w:highlight w:val="yellow"/>
        </w:rPr>
        <w:t>/ postmaturité</w:t>
      </w:r>
    </w:p>
    <w:p w:rsidR="00A341C6" w:rsidRPr="007B5AA6" w:rsidRDefault="006718C5" w:rsidP="00AF6ADC">
      <w:pPr>
        <w:pStyle w:val="Sansinterligne"/>
        <w:numPr>
          <w:ilvl w:val="0"/>
          <w:numId w:val="1231"/>
        </w:numPr>
        <w:rPr>
          <w:highlight w:val="yellow"/>
        </w:rPr>
      </w:pPr>
      <w:r w:rsidRPr="007B5AA6">
        <w:rPr>
          <w:highlight w:val="yellow"/>
        </w:rPr>
        <w:t xml:space="preserve">Statut SGB </w:t>
      </w:r>
    </w:p>
    <w:p w:rsidR="00B32705" w:rsidRDefault="00B32705" w:rsidP="004563CF">
      <w:pPr>
        <w:pStyle w:val="Sansinterligne"/>
      </w:pPr>
    </w:p>
    <w:p w:rsidR="00840AF7" w:rsidRPr="006718C5" w:rsidRDefault="00840AF7" w:rsidP="004563CF">
      <w:pPr>
        <w:pStyle w:val="Sansinterligne"/>
        <w:rPr>
          <w:b/>
        </w:rPr>
      </w:pPr>
      <w:r w:rsidRPr="006718C5">
        <w:rPr>
          <w:b/>
        </w:rPr>
        <w:t>ATCD familiaux</w:t>
      </w:r>
      <w:r w:rsidR="002540F1" w:rsidRPr="006718C5">
        <w:rPr>
          <w:b/>
        </w:rPr>
        <w:t xml:space="preserve"> et sociaux</w:t>
      </w:r>
    </w:p>
    <w:p w:rsidR="00840AF7" w:rsidRPr="007B5AA6" w:rsidRDefault="00840AF7" w:rsidP="00AF6ADC">
      <w:pPr>
        <w:pStyle w:val="Sansinterligne"/>
        <w:numPr>
          <w:ilvl w:val="0"/>
          <w:numId w:val="1232"/>
        </w:numPr>
        <w:rPr>
          <w:highlight w:val="yellow"/>
        </w:rPr>
      </w:pPr>
      <w:r w:rsidRPr="007B5AA6">
        <w:rPr>
          <w:highlight w:val="yellow"/>
        </w:rPr>
        <w:t>Maladies génétique familiales</w:t>
      </w:r>
    </w:p>
    <w:p w:rsidR="002540F1" w:rsidRDefault="002540F1" w:rsidP="00AF6ADC">
      <w:pPr>
        <w:pStyle w:val="Sansinterligne"/>
        <w:numPr>
          <w:ilvl w:val="0"/>
          <w:numId w:val="1232"/>
        </w:numPr>
      </w:pPr>
      <w:r>
        <w:t xml:space="preserve">Environnement social (monoparentalité, </w:t>
      </w:r>
      <w:r w:rsidR="00DD5EF0">
        <w:t>tr. psy</w:t>
      </w:r>
      <w:r>
        <w:t>)</w:t>
      </w:r>
    </w:p>
    <w:p w:rsidR="002540F1" w:rsidRDefault="002540F1" w:rsidP="00AF6ADC">
      <w:pPr>
        <w:pStyle w:val="Sansinterligne"/>
        <w:numPr>
          <w:ilvl w:val="0"/>
          <w:numId w:val="1232"/>
        </w:numPr>
      </w:pPr>
      <w:r>
        <w:t>Situation socioéconomique</w:t>
      </w:r>
    </w:p>
    <w:p w:rsidR="002540F1" w:rsidRDefault="002540F1" w:rsidP="00AF6ADC">
      <w:pPr>
        <w:pStyle w:val="Sansinterligne"/>
        <w:numPr>
          <w:ilvl w:val="0"/>
          <w:numId w:val="1232"/>
        </w:numPr>
      </w:pPr>
      <w:r>
        <w:t>Blues du postpartum ?</w:t>
      </w:r>
    </w:p>
    <w:p w:rsidR="00840AF7" w:rsidRDefault="00840AF7" w:rsidP="004563CF">
      <w:pPr>
        <w:pStyle w:val="Sansinterligne"/>
      </w:pPr>
    </w:p>
    <w:p w:rsidR="00840AF7" w:rsidRPr="006718C5" w:rsidRDefault="00840AF7" w:rsidP="004563CF">
      <w:pPr>
        <w:pStyle w:val="Sansinterligne"/>
        <w:rPr>
          <w:b/>
        </w:rPr>
      </w:pPr>
      <w:r w:rsidRPr="006718C5">
        <w:rPr>
          <w:b/>
        </w:rPr>
        <w:t>ATCD périnataux</w:t>
      </w:r>
    </w:p>
    <w:p w:rsidR="00840AF7" w:rsidRPr="007B5AA6" w:rsidRDefault="00840AF7" w:rsidP="00AF6ADC">
      <w:pPr>
        <w:pStyle w:val="Sansinterligne"/>
        <w:numPr>
          <w:ilvl w:val="0"/>
          <w:numId w:val="1233"/>
        </w:numPr>
        <w:rPr>
          <w:highlight w:val="yellow"/>
        </w:rPr>
      </w:pPr>
      <w:r w:rsidRPr="007B5AA6">
        <w:rPr>
          <w:highlight w:val="yellow"/>
        </w:rPr>
        <w:t>APGAR</w:t>
      </w:r>
    </w:p>
    <w:p w:rsidR="00840AF7" w:rsidRPr="007B5AA6" w:rsidRDefault="00840AF7" w:rsidP="00AF6ADC">
      <w:pPr>
        <w:pStyle w:val="Sansinterligne"/>
        <w:numPr>
          <w:ilvl w:val="0"/>
          <w:numId w:val="1233"/>
        </w:numPr>
        <w:rPr>
          <w:highlight w:val="yellow"/>
        </w:rPr>
      </w:pPr>
      <w:r w:rsidRPr="007B5AA6">
        <w:rPr>
          <w:highlight w:val="yellow"/>
        </w:rPr>
        <w:t>Usage de forceps/ventouse</w:t>
      </w:r>
    </w:p>
    <w:p w:rsidR="00840AF7" w:rsidRDefault="00840AF7" w:rsidP="00AF6ADC">
      <w:pPr>
        <w:pStyle w:val="Sansinterligne"/>
        <w:numPr>
          <w:ilvl w:val="0"/>
          <w:numId w:val="1233"/>
        </w:numPr>
      </w:pPr>
      <w:r>
        <w:t>Procidence du cordon</w:t>
      </w:r>
    </w:p>
    <w:p w:rsidR="00B32705" w:rsidRDefault="00840AF7" w:rsidP="00AF6ADC">
      <w:pPr>
        <w:pStyle w:val="Sansinterligne"/>
        <w:numPr>
          <w:ilvl w:val="0"/>
          <w:numId w:val="1233"/>
        </w:numPr>
      </w:pPr>
      <w:r>
        <w:t>Anoxie périnatale</w:t>
      </w:r>
    </w:p>
    <w:p w:rsidR="00840AF7" w:rsidRDefault="00840AF7" w:rsidP="00AF6ADC">
      <w:pPr>
        <w:pStyle w:val="Sansinterligne"/>
        <w:numPr>
          <w:ilvl w:val="0"/>
          <w:numId w:val="1233"/>
        </w:numPr>
      </w:pPr>
      <w:r>
        <w:t>Maladie des membranes hyalines / détresse néonatale</w:t>
      </w:r>
    </w:p>
    <w:p w:rsidR="007B5AA6" w:rsidRPr="007B5AA6" w:rsidRDefault="00840AF7" w:rsidP="00AF6ADC">
      <w:pPr>
        <w:pStyle w:val="Sansinterligne"/>
        <w:numPr>
          <w:ilvl w:val="0"/>
          <w:numId w:val="1233"/>
        </w:numPr>
        <w:rPr>
          <w:highlight w:val="yellow"/>
        </w:rPr>
      </w:pPr>
      <w:r w:rsidRPr="007B5AA6">
        <w:rPr>
          <w:highlight w:val="yellow"/>
        </w:rPr>
        <w:t xml:space="preserve">Poids à la naissance, </w:t>
      </w:r>
    </w:p>
    <w:p w:rsidR="00840AF7" w:rsidRPr="007B5AA6" w:rsidRDefault="007B5AA6" w:rsidP="00AF6ADC">
      <w:pPr>
        <w:pStyle w:val="Sansinterligne"/>
        <w:numPr>
          <w:ilvl w:val="0"/>
          <w:numId w:val="1233"/>
        </w:numPr>
        <w:rPr>
          <w:highlight w:val="yellow"/>
        </w:rPr>
      </w:pPr>
      <w:r w:rsidRPr="007B5AA6">
        <w:rPr>
          <w:highlight w:val="yellow"/>
        </w:rPr>
        <w:t>G</w:t>
      </w:r>
      <w:r w:rsidR="00840AF7" w:rsidRPr="007B5AA6">
        <w:rPr>
          <w:highlight w:val="yellow"/>
        </w:rPr>
        <w:t>roupe sanguin mère/fœtus compatible ?</w:t>
      </w:r>
    </w:p>
    <w:p w:rsidR="00840AF7" w:rsidRPr="007B5AA6" w:rsidRDefault="00840AF7" w:rsidP="00AF6ADC">
      <w:pPr>
        <w:pStyle w:val="Sansinterligne"/>
        <w:numPr>
          <w:ilvl w:val="0"/>
          <w:numId w:val="1233"/>
        </w:numPr>
        <w:rPr>
          <w:highlight w:val="yellow"/>
        </w:rPr>
      </w:pPr>
      <w:r w:rsidRPr="007B5AA6">
        <w:rPr>
          <w:highlight w:val="yellow"/>
        </w:rPr>
        <w:t>Passage du méconium ? (</w:t>
      </w:r>
      <w:r w:rsidRPr="007B5AA6">
        <w:rPr>
          <w:rFonts w:ascii="Century Gothic" w:hAnsi="Century Gothic"/>
          <w:highlight w:val="yellow"/>
        </w:rPr>
        <w:t>&lt;</w:t>
      </w:r>
      <w:r w:rsidRPr="007B5AA6">
        <w:rPr>
          <w:highlight w:val="yellow"/>
        </w:rPr>
        <w:t>48h)</w:t>
      </w:r>
    </w:p>
    <w:p w:rsidR="00840AF7" w:rsidRDefault="00840AF7" w:rsidP="004563CF">
      <w:pPr>
        <w:pStyle w:val="Sansinterligne"/>
      </w:pPr>
    </w:p>
    <w:p w:rsidR="00840AF7" w:rsidRPr="006718C5" w:rsidRDefault="002540F1" w:rsidP="004563CF">
      <w:pPr>
        <w:pStyle w:val="Sansinterligne"/>
        <w:rPr>
          <w:b/>
        </w:rPr>
      </w:pPr>
      <w:r w:rsidRPr="006718C5">
        <w:rPr>
          <w:b/>
        </w:rPr>
        <w:t>Histoire actuelle</w:t>
      </w:r>
    </w:p>
    <w:p w:rsidR="002540F1" w:rsidRPr="007B5AA6" w:rsidRDefault="00056950" w:rsidP="00AF6ADC">
      <w:pPr>
        <w:pStyle w:val="Sansinterligne"/>
        <w:numPr>
          <w:ilvl w:val="0"/>
          <w:numId w:val="1234"/>
        </w:numPr>
        <w:rPr>
          <w:highlight w:val="yellow"/>
        </w:rPr>
      </w:pPr>
      <w:r w:rsidRPr="007B5AA6">
        <w:rPr>
          <w:highlight w:val="yellow"/>
        </w:rPr>
        <w:t>Allaitement</w:t>
      </w:r>
      <w:r w:rsidR="002540F1" w:rsidRPr="007B5AA6">
        <w:rPr>
          <w:highlight w:val="yellow"/>
        </w:rPr>
        <w:t xml:space="preserve"> vs biberon</w:t>
      </w:r>
    </w:p>
    <w:p w:rsidR="002540F1" w:rsidRPr="007B5AA6" w:rsidRDefault="002540F1" w:rsidP="00AF6ADC">
      <w:pPr>
        <w:pStyle w:val="Sansinterligne"/>
        <w:numPr>
          <w:ilvl w:val="0"/>
          <w:numId w:val="1234"/>
        </w:numPr>
        <w:rPr>
          <w:highlight w:val="yellow"/>
        </w:rPr>
      </w:pPr>
      <w:r w:rsidRPr="007B5AA6">
        <w:rPr>
          <w:highlight w:val="yellow"/>
        </w:rPr>
        <w:t>Appétit (fréquence et quantité des boires)</w:t>
      </w:r>
    </w:p>
    <w:p w:rsidR="007B5AA6" w:rsidRDefault="007B5AA6" w:rsidP="00AF6ADC">
      <w:pPr>
        <w:pStyle w:val="Sansinterligne"/>
        <w:numPr>
          <w:ilvl w:val="0"/>
          <w:numId w:val="1234"/>
        </w:numPr>
      </w:pPr>
      <w:r>
        <w:t xml:space="preserve">Prise de vitamine D (supplément) </w:t>
      </w:r>
    </w:p>
    <w:p w:rsidR="002540F1" w:rsidRDefault="002540F1" w:rsidP="00AF6ADC">
      <w:pPr>
        <w:pStyle w:val="Sansinterligne"/>
        <w:numPr>
          <w:ilvl w:val="0"/>
          <w:numId w:val="1234"/>
        </w:numPr>
      </w:pPr>
      <w:r>
        <w:t>État d’éveil</w:t>
      </w:r>
    </w:p>
    <w:p w:rsidR="002540F1" w:rsidRPr="007B5AA6" w:rsidRDefault="002540F1" w:rsidP="00AF6ADC">
      <w:pPr>
        <w:pStyle w:val="Sansinterligne"/>
        <w:numPr>
          <w:ilvl w:val="0"/>
          <w:numId w:val="1234"/>
        </w:numPr>
        <w:rPr>
          <w:highlight w:val="yellow"/>
        </w:rPr>
      </w:pPr>
      <w:r w:rsidRPr="007B5AA6">
        <w:rPr>
          <w:highlight w:val="yellow"/>
        </w:rPr>
        <w:t>Prise de poids</w:t>
      </w:r>
    </w:p>
    <w:p w:rsidR="002540F1" w:rsidRPr="007B5AA6" w:rsidRDefault="002540F1" w:rsidP="00AF6ADC">
      <w:pPr>
        <w:pStyle w:val="Sansinterligne"/>
        <w:numPr>
          <w:ilvl w:val="0"/>
          <w:numId w:val="1234"/>
        </w:numPr>
        <w:rPr>
          <w:highlight w:val="yellow"/>
        </w:rPr>
      </w:pPr>
      <w:r w:rsidRPr="007B5AA6">
        <w:rPr>
          <w:highlight w:val="yellow"/>
        </w:rPr>
        <w:t>Quantifier le nombre de mictions/selles par jour</w:t>
      </w:r>
    </w:p>
    <w:p w:rsidR="002540F1" w:rsidRDefault="002540F1" w:rsidP="004563CF">
      <w:pPr>
        <w:pStyle w:val="Sansinterligne"/>
      </w:pPr>
    </w:p>
    <w:p w:rsidR="002540F1" w:rsidRPr="006718C5" w:rsidRDefault="002540F1" w:rsidP="004563CF">
      <w:pPr>
        <w:pStyle w:val="Sansinterligne"/>
        <w:rPr>
          <w:b/>
        </w:rPr>
      </w:pPr>
      <w:r w:rsidRPr="007B5AA6">
        <w:rPr>
          <w:b/>
          <w:highlight w:val="yellow"/>
        </w:rPr>
        <w:t>Présence d’i</w:t>
      </w:r>
      <w:r w:rsidR="006718C5" w:rsidRPr="007B5AA6">
        <w:rPr>
          <w:b/>
          <w:highlight w:val="yellow"/>
        </w:rPr>
        <w:t>nquiétudes parentales</w:t>
      </w:r>
      <w:r w:rsidR="006718C5" w:rsidRPr="006718C5">
        <w:rPr>
          <w:b/>
        </w:rPr>
        <w:t xml:space="preserve"> </w:t>
      </w:r>
    </w:p>
    <w:p w:rsidR="002540F1" w:rsidRDefault="002540F1" w:rsidP="00AF6ADC">
      <w:pPr>
        <w:pStyle w:val="Sansinterligne"/>
        <w:numPr>
          <w:ilvl w:val="0"/>
          <w:numId w:val="1235"/>
        </w:numPr>
      </w:pPr>
      <w:r>
        <w:t>Anomalies remarquées</w:t>
      </w:r>
    </w:p>
    <w:p w:rsidR="002540F1" w:rsidRDefault="002540F1" w:rsidP="00AF6ADC">
      <w:pPr>
        <w:pStyle w:val="Sansinterligne"/>
        <w:numPr>
          <w:ilvl w:val="0"/>
          <w:numId w:val="1235"/>
        </w:numPr>
      </w:pPr>
      <w:r>
        <w:t xml:space="preserve">Exanthème </w:t>
      </w:r>
    </w:p>
    <w:p w:rsidR="002540F1" w:rsidRDefault="002540F1" w:rsidP="00AF6ADC">
      <w:pPr>
        <w:pStyle w:val="Sansinterligne"/>
        <w:numPr>
          <w:ilvl w:val="0"/>
          <w:numId w:val="1235"/>
        </w:numPr>
      </w:pPr>
      <w:r>
        <w:t>Technique d’allaitement</w:t>
      </w:r>
    </w:p>
    <w:p w:rsidR="002540F1" w:rsidRDefault="002540F1" w:rsidP="00AF6ADC">
      <w:pPr>
        <w:pStyle w:val="Sansinterligne"/>
        <w:numPr>
          <w:ilvl w:val="0"/>
          <w:numId w:val="1235"/>
        </w:numPr>
      </w:pPr>
      <w:r>
        <w:t>Co</w:t>
      </w:r>
      <w:r w:rsidR="00DD4B61">
        <w:t>mportement du nourrisson</w:t>
      </w:r>
    </w:p>
    <w:p w:rsidR="00A341C6" w:rsidRDefault="00A341C6" w:rsidP="004563CF">
      <w:pPr>
        <w:pStyle w:val="Sansinterligne"/>
      </w:pPr>
    </w:p>
    <w:p w:rsidR="007B5AA6" w:rsidRDefault="007B5AA6" w:rsidP="004563CF">
      <w:pPr>
        <w:pStyle w:val="Sansinterligne"/>
      </w:pPr>
    </w:p>
    <w:p w:rsidR="00DD5EF0" w:rsidRDefault="00DD5EF0" w:rsidP="004563CF">
      <w:pPr>
        <w:pStyle w:val="Sansinterligne"/>
      </w:pPr>
    </w:p>
    <w:p w:rsidR="00DD5EF0" w:rsidRDefault="00DD5EF0" w:rsidP="004563CF">
      <w:pPr>
        <w:pStyle w:val="Sansinterligne"/>
        <w:sectPr w:rsidR="00DD5EF0" w:rsidSect="00A341C6">
          <w:type w:val="continuous"/>
          <w:pgSz w:w="12240" w:h="15840"/>
          <w:pgMar w:top="720" w:right="720" w:bottom="720" w:left="720" w:header="708" w:footer="708" w:gutter="0"/>
          <w:cols w:num="2" w:space="708"/>
          <w:docGrid w:linePitch="360"/>
        </w:sectPr>
      </w:pPr>
    </w:p>
    <w:tbl>
      <w:tblPr>
        <w:tblStyle w:val="Grilledutableau"/>
        <w:tblpPr w:leftFromText="141" w:rightFromText="141" w:vertAnchor="text" w:horzAnchor="margin" w:tblpXSpec="right" w:tblpY="-33"/>
        <w:tblW w:w="0" w:type="auto"/>
        <w:tblLook w:val="04A0" w:firstRow="1" w:lastRow="0" w:firstColumn="1" w:lastColumn="0" w:noHBand="0" w:noVBand="1"/>
      </w:tblPr>
      <w:tblGrid>
        <w:gridCol w:w="2132"/>
        <w:gridCol w:w="3130"/>
      </w:tblGrid>
      <w:tr w:rsidR="00A341C6" w:rsidTr="00A341C6">
        <w:tc>
          <w:tcPr>
            <w:tcW w:w="2132" w:type="dxa"/>
            <w:shd w:val="clear" w:color="auto" w:fill="FFC000"/>
            <w:vAlign w:val="center"/>
          </w:tcPr>
          <w:p w:rsidR="00A341C6" w:rsidRDefault="00A341C6" w:rsidP="00A341C6">
            <w:pPr>
              <w:pStyle w:val="Sansinterligne"/>
              <w:jc w:val="center"/>
            </w:pPr>
            <w:r>
              <w:t>Céphalhématome</w:t>
            </w:r>
          </w:p>
        </w:tc>
        <w:tc>
          <w:tcPr>
            <w:tcW w:w="3130" w:type="dxa"/>
          </w:tcPr>
          <w:p w:rsidR="00A341C6" w:rsidRDefault="00A341C6" w:rsidP="00AF6ADC">
            <w:pPr>
              <w:pStyle w:val="Sansinterligne"/>
              <w:numPr>
                <w:ilvl w:val="0"/>
                <w:numId w:val="1221"/>
              </w:numPr>
            </w:pPr>
            <w:r>
              <w:t>Sous-périosté, limitée</w:t>
            </w:r>
          </w:p>
          <w:p w:rsidR="00A341C6" w:rsidRDefault="00A341C6" w:rsidP="00AF6ADC">
            <w:pPr>
              <w:pStyle w:val="Sansinterligne"/>
              <w:numPr>
                <w:ilvl w:val="0"/>
                <w:numId w:val="1221"/>
              </w:numPr>
            </w:pPr>
            <w:r>
              <w:t>Ne chevauche pas les sutures</w:t>
            </w:r>
          </w:p>
          <w:p w:rsidR="00A341C6" w:rsidRDefault="00A341C6" w:rsidP="00AF6ADC">
            <w:pPr>
              <w:pStyle w:val="Sansinterligne"/>
              <w:numPr>
                <w:ilvl w:val="0"/>
                <w:numId w:val="1221"/>
              </w:numPr>
            </w:pPr>
            <w:r>
              <w:t>Apparition retardée</w:t>
            </w:r>
          </w:p>
        </w:tc>
      </w:tr>
      <w:tr w:rsidR="00A341C6" w:rsidTr="00A341C6">
        <w:tc>
          <w:tcPr>
            <w:tcW w:w="2132" w:type="dxa"/>
            <w:shd w:val="clear" w:color="auto" w:fill="FFC000"/>
            <w:vAlign w:val="center"/>
          </w:tcPr>
          <w:p w:rsidR="00A341C6" w:rsidRDefault="00A341C6" w:rsidP="00A341C6">
            <w:pPr>
              <w:pStyle w:val="Sansinterligne"/>
              <w:jc w:val="center"/>
            </w:pPr>
            <w:r>
              <w:t>Bosse sérosanguine</w:t>
            </w:r>
          </w:p>
        </w:tc>
        <w:tc>
          <w:tcPr>
            <w:tcW w:w="3130" w:type="dxa"/>
          </w:tcPr>
          <w:p w:rsidR="00A341C6" w:rsidRDefault="00A341C6" w:rsidP="00AF6ADC">
            <w:pPr>
              <w:pStyle w:val="Sansinterligne"/>
              <w:numPr>
                <w:ilvl w:val="0"/>
                <w:numId w:val="1221"/>
              </w:numPr>
            </w:pPr>
            <w:r>
              <w:t>Sous-cutané, ecchymotique</w:t>
            </w:r>
          </w:p>
          <w:p w:rsidR="00A341C6" w:rsidRDefault="00A341C6" w:rsidP="00AF6ADC">
            <w:pPr>
              <w:pStyle w:val="Sansinterligne"/>
              <w:numPr>
                <w:ilvl w:val="0"/>
                <w:numId w:val="1221"/>
              </w:numPr>
            </w:pPr>
            <w:r>
              <w:t>Chevauche les sutures</w:t>
            </w:r>
          </w:p>
          <w:p w:rsidR="00A341C6" w:rsidRDefault="00A341C6" w:rsidP="00AF6ADC">
            <w:pPr>
              <w:pStyle w:val="Sansinterligne"/>
              <w:numPr>
                <w:ilvl w:val="0"/>
                <w:numId w:val="1221"/>
              </w:numPr>
            </w:pPr>
            <w:r>
              <w:t>Dès la naissance</w:t>
            </w:r>
          </w:p>
          <w:p w:rsidR="00A341C6" w:rsidRDefault="00A341C6" w:rsidP="00AF6ADC">
            <w:pPr>
              <w:pStyle w:val="Sansinterligne"/>
              <w:numPr>
                <w:ilvl w:val="0"/>
                <w:numId w:val="1221"/>
              </w:numPr>
            </w:pPr>
            <w:r>
              <w:t>Régression rapide</w:t>
            </w:r>
          </w:p>
        </w:tc>
      </w:tr>
      <w:tr w:rsidR="00A341C6" w:rsidTr="00A341C6">
        <w:tc>
          <w:tcPr>
            <w:tcW w:w="2132" w:type="dxa"/>
            <w:shd w:val="clear" w:color="auto" w:fill="FFC000"/>
            <w:vAlign w:val="center"/>
          </w:tcPr>
          <w:p w:rsidR="00A341C6" w:rsidRDefault="00A341C6" w:rsidP="00A341C6">
            <w:pPr>
              <w:pStyle w:val="Sansinterligne"/>
              <w:jc w:val="center"/>
            </w:pPr>
            <w:r>
              <w:t>Hématome sous-galéal</w:t>
            </w:r>
          </w:p>
        </w:tc>
        <w:tc>
          <w:tcPr>
            <w:tcW w:w="3130" w:type="dxa"/>
          </w:tcPr>
          <w:p w:rsidR="00A341C6" w:rsidRDefault="00A341C6" w:rsidP="00AF6ADC">
            <w:pPr>
              <w:pStyle w:val="Sansinterligne"/>
              <w:numPr>
                <w:ilvl w:val="0"/>
                <w:numId w:val="1221"/>
              </w:numPr>
            </w:pPr>
            <w:r>
              <w:t>Sous-cutané extensif</w:t>
            </w:r>
          </w:p>
          <w:p w:rsidR="00A341C6" w:rsidRDefault="00A341C6" w:rsidP="00AF6ADC">
            <w:pPr>
              <w:pStyle w:val="Sansinterligne"/>
              <w:numPr>
                <w:ilvl w:val="0"/>
                <w:numId w:val="1221"/>
              </w:numPr>
            </w:pPr>
            <w:r>
              <w:t>Oreilles décollent</w:t>
            </w:r>
          </w:p>
          <w:p w:rsidR="00A341C6" w:rsidRDefault="00A341C6" w:rsidP="00AF6ADC">
            <w:pPr>
              <w:pStyle w:val="Sansinterligne"/>
              <w:numPr>
                <w:ilvl w:val="0"/>
                <w:numId w:val="1221"/>
              </w:numPr>
            </w:pPr>
            <w:r>
              <w:t>Attention à l’hypovolémie sévère</w:t>
            </w:r>
          </w:p>
        </w:tc>
      </w:tr>
    </w:tbl>
    <w:p w:rsidR="00DD4B61" w:rsidRDefault="00DD4B61" w:rsidP="006718C5">
      <w:pPr>
        <w:pStyle w:val="Sansinterligne"/>
        <w:jc w:val="both"/>
      </w:pPr>
      <w:r>
        <w:t xml:space="preserve">L’examen physique quant à lui est particulièrement déterminant. Il décidera du congé du nourrisson ou d’une investigation plus poussée. C’est également ce qui est </w:t>
      </w:r>
      <w:r w:rsidR="00B834BB">
        <w:t>l</w:t>
      </w:r>
      <w:r>
        <w:t>e plus parlant, puisque l’enfant ne peut exprimer ses besoins, et ses parents ne sont peut-être pas encore outillés pour les déduire. Il faut donc être systématique, idéalement en procédant de la tête aux pieds.</w:t>
      </w:r>
    </w:p>
    <w:p w:rsidR="00DD4B61" w:rsidRDefault="00DD4B61" w:rsidP="004563CF">
      <w:pPr>
        <w:pStyle w:val="Sansinterligne"/>
      </w:pPr>
    </w:p>
    <w:p w:rsidR="006718C5" w:rsidRDefault="006718C5" w:rsidP="004563CF">
      <w:pPr>
        <w:pStyle w:val="Sansinterligne"/>
        <w:rPr>
          <w:b/>
        </w:rPr>
        <w:sectPr w:rsidR="006718C5" w:rsidSect="00217865">
          <w:type w:val="continuous"/>
          <w:pgSz w:w="12240" w:h="15840"/>
          <w:pgMar w:top="720" w:right="720" w:bottom="720" w:left="720" w:header="708" w:footer="708" w:gutter="0"/>
          <w:cols w:space="708"/>
          <w:docGrid w:linePitch="360"/>
        </w:sectPr>
      </w:pPr>
    </w:p>
    <w:p w:rsidR="006718C5" w:rsidRPr="006718C5" w:rsidRDefault="006718C5" w:rsidP="004563CF">
      <w:pPr>
        <w:pStyle w:val="Sansinterligne"/>
        <w:rPr>
          <w:b/>
          <w:highlight w:val="yellow"/>
        </w:rPr>
      </w:pPr>
      <w:r w:rsidRPr="006718C5">
        <w:rPr>
          <w:b/>
          <w:highlight w:val="yellow"/>
        </w:rPr>
        <w:t>Mesures</w:t>
      </w:r>
    </w:p>
    <w:p w:rsidR="006718C5" w:rsidRPr="006718C5" w:rsidRDefault="006718C5" w:rsidP="00AF6ADC">
      <w:pPr>
        <w:pStyle w:val="Sansinterligne"/>
        <w:numPr>
          <w:ilvl w:val="0"/>
          <w:numId w:val="1223"/>
        </w:numPr>
        <w:rPr>
          <w:highlight w:val="yellow"/>
        </w:rPr>
      </w:pPr>
      <w:r w:rsidRPr="006718C5">
        <w:rPr>
          <w:highlight w:val="yellow"/>
        </w:rPr>
        <w:t>Périmètre crânien</w:t>
      </w:r>
    </w:p>
    <w:p w:rsidR="006718C5" w:rsidRPr="006718C5" w:rsidRDefault="006718C5" w:rsidP="00AF6ADC">
      <w:pPr>
        <w:pStyle w:val="Sansinterligne"/>
        <w:numPr>
          <w:ilvl w:val="0"/>
          <w:numId w:val="1223"/>
        </w:numPr>
        <w:rPr>
          <w:highlight w:val="yellow"/>
        </w:rPr>
      </w:pPr>
      <w:r w:rsidRPr="006718C5">
        <w:rPr>
          <w:highlight w:val="yellow"/>
        </w:rPr>
        <w:t>Poids</w:t>
      </w:r>
    </w:p>
    <w:p w:rsidR="006718C5" w:rsidRPr="006718C5" w:rsidRDefault="006718C5" w:rsidP="00AF6ADC">
      <w:pPr>
        <w:pStyle w:val="Sansinterligne"/>
        <w:numPr>
          <w:ilvl w:val="0"/>
          <w:numId w:val="1223"/>
        </w:numPr>
        <w:rPr>
          <w:highlight w:val="yellow"/>
        </w:rPr>
      </w:pPr>
      <w:r w:rsidRPr="006718C5">
        <w:rPr>
          <w:highlight w:val="yellow"/>
        </w:rPr>
        <w:t>Taille</w:t>
      </w:r>
    </w:p>
    <w:p w:rsidR="006718C5" w:rsidRPr="006718C5" w:rsidRDefault="006718C5" w:rsidP="004563CF">
      <w:pPr>
        <w:pStyle w:val="Sansinterligne"/>
        <w:rPr>
          <w:highlight w:val="yellow"/>
        </w:rPr>
      </w:pPr>
    </w:p>
    <w:p w:rsidR="00A341C6" w:rsidRPr="006718C5" w:rsidRDefault="00A341C6" w:rsidP="004563CF">
      <w:pPr>
        <w:pStyle w:val="Sansinterligne"/>
        <w:rPr>
          <w:b/>
          <w:highlight w:val="yellow"/>
        </w:rPr>
      </w:pPr>
      <w:r w:rsidRPr="006718C5">
        <w:rPr>
          <w:b/>
          <w:highlight w:val="yellow"/>
        </w:rPr>
        <w:t>Aspect</w:t>
      </w:r>
    </w:p>
    <w:p w:rsidR="00A341C6" w:rsidRPr="006718C5" w:rsidRDefault="00A341C6" w:rsidP="00AF6ADC">
      <w:pPr>
        <w:pStyle w:val="Sansinterligne"/>
        <w:numPr>
          <w:ilvl w:val="0"/>
          <w:numId w:val="1222"/>
        </w:numPr>
        <w:rPr>
          <w:highlight w:val="yellow"/>
        </w:rPr>
      </w:pPr>
      <w:r w:rsidRPr="006718C5">
        <w:rPr>
          <w:highlight w:val="yellow"/>
        </w:rPr>
        <w:t>Cyanose / ictère</w:t>
      </w:r>
    </w:p>
    <w:p w:rsidR="00A341C6" w:rsidRPr="006718C5" w:rsidRDefault="00A341C6" w:rsidP="00AF6ADC">
      <w:pPr>
        <w:pStyle w:val="Sansinterligne"/>
        <w:numPr>
          <w:ilvl w:val="0"/>
          <w:numId w:val="1222"/>
        </w:numPr>
        <w:rPr>
          <w:highlight w:val="yellow"/>
        </w:rPr>
      </w:pPr>
      <w:r w:rsidRPr="006718C5">
        <w:rPr>
          <w:highlight w:val="yellow"/>
        </w:rPr>
        <w:t>Détresse</w:t>
      </w:r>
    </w:p>
    <w:p w:rsidR="006718C5" w:rsidRDefault="006718C5" w:rsidP="00AF6ADC">
      <w:pPr>
        <w:pStyle w:val="Sansinterligne"/>
        <w:numPr>
          <w:ilvl w:val="0"/>
          <w:numId w:val="1222"/>
        </w:numPr>
        <w:rPr>
          <w:highlight w:val="yellow"/>
        </w:rPr>
      </w:pPr>
      <w:r w:rsidRPr="006718C5">
        <w:rPr>
          <w:highlight w:val="yellow"/>
        </w:rPr>
        <w:t>Toxique</w:t>
      </w:r>
    </w:p>
    <w:p w:rsidR="0083493F" w:rsidRPr="006718C5" w:rsidRDefault="0083493F" w:rsidP="00AF6ADC">
      <w:pPr>
        <w:pStyle w:val="Sansinterligne"/>
        <w:numPr>
          <w:ilvl w:val="0"/>
          <w:numId w:val="1222"/>
        </w:numPr>
        <w:rPr>
          <w:highlight w:val="yellow"/>
        </w:rPr>
        <w:sectPr w:rsidR="0083493F" w:rsidRPr="006718C5" w:rsidSect="006718C5">
          <w:type w:val="continuous"/>
          <w:pgSz w:w="12240" w:h="15840"/>
          <w:pgMar w:top="720" w:right="720" w:bottom="720" w:left="720" w:header="708" w:footer="708" w:gutter="0"/>
          <w:cols w:num="2" w:space="0" w:equalWidth="0">
            <w:col w:w="3402" w:space="0"/>
            <w:col w:w="7398"/>
          </w:cols>
          <w:docGrid w:linePitch="360"/>
        </w:sectPr>
      </w:pPr>
      <w:r>
        <w:rPr>
          <w:highlight w:val="yellow"/>
        </w:rPr>
        <w:t>Dysmorphisme</w:t>
      </w:r>
    </w:p>
    <w:p w:rsidR="00DD4B61" w:rsidRPr="006718C5" w:rsidRDefault="00DD4B61" w:rsidP="004563CF">
      <w:pPr>
        <w:pStyle w:val="Sansinterligne"/>
        <w:rPr>
          <w:b/>
        </w:rPr>
      </w:pPr>
      <w:r w:rsidRPr="006718C5">
        <w:rPr>
          <w:b/>
        </w:rPr>
        <w:t>Tête</w:t>
      </w:r>
    </w:p>
    <w:p w:rsidR="00DD4B61" w:rsidRPr="006718C5" w:rsidRDefault="00DD4B61" w:rsidP="00AF6ADC">
      <w:pPr>
        <w:pStyle w:val="Sansinterligne"/>
        <w:numPr>
          <w:ilvl w:val="0"/>
          <w:numId w:val="1224"/>
        </w:numPr>
        <w:rPr>
          <w:highlight w:val="yellow"/>
        </w:rPr>
      </w:pPr>
      <w:r w:rsidRPr="006718C5">
        <w:rPr>
          <w:highlight w:val="yellow"/>
        </w:rPr>
        <w:t>Palpation des fontanelles (état d’hydratation)</w:t>
      </w:r>
    </w:p>
    <w:p w:rsidR="00A341C6" w:rsidRPr="006718C5" w:rsidRDefault="007B5AA6" w:rsidP="00AF6ADC">
      <w:pPr>
        <w:pStyle w:val="Sansinterligne"/>
        <w:numPr>
          <w:ilvl w:val="0"/>
          <w:numId w:val="1224"/>
        </w:numPr>
        <w:rPr>
          <w:highlight w:val="yellow"/>
        </w:rPr>
      </w:pPr>
      <w:r>
        <w:rPr>
          <w:noProof/>
          <w:lang w:eastAsia="fr-CA"/>
        </w:rPr>
        <w:drawing>
          <wp:anchor distT="0" distB="0" distL="114300" distR="114300" simplePos="0" relativeHeight="252069888" behindDoc="1" locked="0" layoutInCell="1" allowOverlap="1" wp14:anchorId="3A76E148" wp14:editId="7DAD63FD">
            <wp:simplePos x="0" y="0"/>
            <wp:positionH relativeFrom="column">
              <wp:posOffset>3773765</wp:posOffset>
            </wp:positionH>
            <wp:positionV relativeFrom="paragraph">
              <wp:posOffset>136305</wp:posOffset>
            </wp:positionV>
            <wp:extent cx="3161030" cy="1978660"/>
            <wp:effectExtent l="0" t="0" r="1270" b="2540"/>
            <wp:wrapNone/>
            <wp:docPr id="547" name="Image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rotWithShape="1">
                    <a:blip r:embed="rId238" cstate="print">
                      <a:extLst>
                        <a:ext uri="{28A0092B-C50C-407E-A947-70E740481C1C}">
                          <a14:useLocalDpi xmlns:a14="http://schemas.microsoft.com/office/drawing/2010/main" val="0"/>
                        </a:ext>
                      </a:extLst>
                    </a:blip>
                    <a:srcRect l="3161" r="3448"/>
                    <a:stretch/>
                  </pic:blipFill>
                  <pic:spPr bwMode="auto">
                    <a:xfrm>
                      <a:off x="0" y="0"/>
                      <a:ext cx="3161030" cy="19786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D4B61" w:rsidRPr="006718C5">
        <w:rPr>
          <w:highlight w:val="yellow"/>
        </w:rPr>
        <w:t>Recherche de céphalhématome, bosse sérosanguine, hémorragie sous-galéale</w:t>
      </w:r>
    </w:p>
    <w:p w:rsidR="00DD4B61" w:rsidRDefault="00A341C6" w:rsidP="00AF6ADC">
      <w:pPr>
        <w:pStyle w:val="Sansinterligne"/>
        <w:numPr>
          <w:ilvl w:val="0"/>
          <w:numId w:val="1224"/>
        </w:numPr>
      </w:pPr>
      <w:r>
        <w:t>Recherche de déformation crânienne</w:t>
      </w:r>
    </w:p>
    <w:p w:rsidR="00A341C6" w:rsidRPr="006718C5" w:rsidRDefault="00A341C6" w:rsidP="00AF6ADC">
      <w:pPr>
        <w:pStyle w:val="Sansinterligne"/>
        <w:numPr>
          <w:ilvl w:val="0"/>
          <w:numId w:val="1224"/>
        </w:numPr>
        <w:rPr>
          <w:highlight w:val="yellow"/>
        </w:rPr>
      </w:pPr>
      <w:r w:rsidRPr="006718C5">
        <w:rPr>
          <w:highlight w:val="yellow"/>
        </w:rPr>
        <w:t>Reflet rétinien rouge (éliminer rétinoblastome, cataracte congénitale)</w:t>
      </w:r>
    </w:p>
    <w:p w:rsidR="00A341C6" w:rsidRPr="006718C5" w:rsidRDefault="00A341C6" w:rsidP="00AF6ADC">
      <w:pPr>
        <w:pStyle w:val="Sansinterligne"/>
        <w:numPr>
          <w:ilvl w:val="0"/>
          <w:numId w:val="1224"/>
        </w:numPr>
        <w:rPr>
          <w:highlight w:val="yellow"/>
        </w:rPr>
      </w:pPr>
      <w:r w:rsidRPr="006718C5">
        <w:rPr>
          <w:highlight w:val="yellow"/>
        </w:rPr>
        <w:t>Visualiser la bouche / doigt (éliminer fente palatine)</w:t>
      </w:r>
    </w:p>
    <w:p w:rsidR="00A341C6" w:rsidRDefault="00A341C6" w:rsidP="004563CF">
      <w:pPr>
        <w:pStyle w:val="Sansinterligne"/>
      </w:pPr>
    </w:p>
    <w:p w:rsidR="00A341C6" w:rsidRPr="006718C5" w:rsidRDefault="00A341C6" w:rsidP="004563CF">
      <w:pPr>
        <w:pStyle w:val="Sansinterligne"/>
        <w:rPr>
          <w:b/>
        </w:rPr>
      </w:pPr>
      <w:r w:rsidRPr="006718C5">
        <w:rPr>
          <w:b/>
        </w:rPr>
        <w:t>Cou</w:t>
      </w:r>
    </w:p>
    <w:p w:rsidR="00A341C6" w:rsidRDefault="00A341C6" w:rsidP="00AF6ADC">
      <w:pPr>
        <w:pStyle w:val="Sansinterligne"/>
        <w:numPr>
          <w:ilvl w:val="0"/>
          <w:numId w:val="1226"/>
        </w:numPr>
      </w:pPr>
      <w:r>
        <w:t>Palper les clavicules</w:t>
      </w:r>
    </w:p>
    <w:p w:rsidR="00A341C6" w:rsidRDefault="00A341C6" w:rsidP="00AF6ADC">
      <w:pPr>
        <w:pStyle w:val="Sansinterligne"/>
        <w:numPr>
          <w:ilvl w:val="0"/>
          <w:numId w:val="1226"/>
        </w:numPr>
      </w:pPr>
      <w:r>
        <w:t>Nuque souple</w:t>
      </w:r>
    </w:p>
    <w:p w:rsidR="00A341C6" w:rsidRDefault="00A341C6" w:rsidP="004563CF">
      <w:pPr>
        <w:pStyle w:val="Sansinterligne"/>
      </w:pPr>
    </w:p>
    <w:p w:rsidR="00A341C6" w:rsidRPr="006718C5" w:rsidRDefault="00A341C6" w:rsidP="004563CF">
      <w:pPr>
        <w:pStyle w:val="Sansinterligne"/>
        <w:rPr>
          <w:b/>
        </w:rPr>
      </w:pPr>
      <w:r w:rsidRPr="006718C5">
        <w:rPr>
          <w:b/>
        </w:rPr>
        <w:t>Cœur</w:t>
      </w:r>
      <w:r w:rsidR="006718C5">
        <w:rPr>
          <w:b/>
        </w:rPr>
        <w:t xml:space="preserve"> et poumons</w:t>
      </w:r>
    </w:p>
    <w:p w:rsidR="00A341C6" w:rsidRPr="006718C5" w:rsidRDefault="00A341C6" w:rsidP="00AF6ADC">
      <w:pPr>
        <w:pStyle w:val="Sansinterligne"/>
        <w:numPr>
          <w:ilvl w:val="0"/>
          <w:numId w:val="1225"/>
        </w:numPr>
        <w:rPr>
          <w:highlight w:val="yellow"/>
        </w:rPr>
      </w:pPr>
      <w:r w:rsidRPr="006718C5">
        <w:rPr>
          <w:highlight w:val="yellow"/>
        </w:rPr>
        <w:t>Recherche de souffle (éliminer cardiopathie congénitale)</w:t>
      </w:r>
    </w:p>
    <w:p w:rsidR="00A341C6" w:rsidRPr="006718C5" w:rsidRDefault="00A341C6" w:rsidP="00AF6ADC">
      <w:pPr>
        <w:pStyle w:val="Sansinterligne"/>
        <w:numPr>
          <w:ilvl w:val="0"/>
          <w:numId w:val="1225"/>
        </w:numPr>
        <w:rPr>
          <w:highlight w:val="yellow"/>
        </w:rPr>
      </w:pPr>
      <w:r w:rsidRPr="006718C5">
        <w:rPr>
          <w:highlight w:val="yellow"/>
        </w:rPr>
        <w:t>Pouls fémoraux bilatéralement (éliminer coarctation)</w:t>
      </w:r>
    </w:p>
    <w:p w:rsidR="00A341C6" w:rsidRDefault="00A341C6" w:rsidP="00AF6ADC">
      <w:pPr>
        <w:pStyle w:val="Sansinterligne"/>
        <w:numPr>
          <w:ilvl w:val="0"/>
          <w:numId w:val="1225"/>
        </w:numPr>
      </w:pPr>
      <w:r>
        <w:t>MV normal (éliminer aspiration méconiale)</w:t>
      </w:r>
    </w:p>
    <w:p w:rsidR="00A341C6" w:rsidRDefault="00A341C6" w:rsidP="00AF6ADC">
      <w:pPr>
        <w:pStyle w:val="Sansinterligne"/>
        <w:numPr>
          <w:ilvl w:val="0"/>
          <w:numId w:val="1225"/>
        </w:numPr>
      </w:pPr>
      <w:r>
        <w:t>Tirage</w:t>
      </w:r>
    </w:p>
    <w:p w:rsidR="00A341C6" w:rsidRDefault="00A341C6" w:rsidP="004563CF">
      <w:pPr>
        <w:pStyle w:val="Sansinterligne"/>
      </w:pPr>
    </w:p>
    <w:p w:rsidR="00A341C6" w:rsidRPr="006718C5" w:rsidRDefault="007B5AA6" w:rsidP="004563CF">
      <w:pPr>
        <w:pStyle w:val="Sansinterligne"/>
        <w:rPr>
          <w:b/>
        </w:rPr>
      </w:pPr>
      <w:r>
        <w:rPr>
          <w:noProof/>
          <w:lang w:eastAsia="fr-CA"/>
        </w:rPr>
        <w:drawing>
          <wp:anchor distT="0" distB="0" distL="114300" distR="114300" simplePos="0" relativeHeight="252070912" behindDoc="0" locked="0" layoutInCell="1" allowOverlap="1" wp14:anchorId="7FE1E322" wp14:editId="17D383DE">
            <wp:simplePos x="0" y="0"/>
            <wp:positionH relativeFrom="column">
              <wp:posOffset>4025900</wp:posOffset>
            </wp:positionH>
            <wp:positionV relativeFrom="paragraph">
              <wp:posOffset>153035</wp:posOffset>
            </wp:positionV>
            <wp:extent cx="2499995" cy="2098040"/>
            <wp:effectExtent l="0" t="0" r="0" b="0"/>
            <wp:wrapNone/>
            <wp:docPr id="548" name="Image 548" descr="Résultats de recherche d'images pour « barlow-ortolani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ésultats de recherche d'images pour « barlow-ortolani »"/>
                    <pic:cNvPicPr>
                      <a:picLocks noChangeAspect="1" noChangeArrowheads="1"/>
                    </pic:cNvPicPr>
                  </pic:nvPicPr>
                  <pic:blipFill rotWithShape="1">
                    <a:blip r:embed="rId64">
                      <a:extLst>
                        <a:ext uri="{28A0092B-C50C-407E-A947-70E740481C1C}">
                          <a14:useLocalDpi xmlns:a14="http://schemas.microsoft.com/office/drawing/2010/main" val="0"/>
                        </a:ext>
                      </a:extLst>
                    </a:blip>
                    <a:srcRect t="6889" b="9183"/>
                    <a:stretch/>
                  </pic:blipFill>
                  <pic:spPr bwMode="auto">
                    <a:xfrm>
                      <a:off x="0" y="0"/>
                      <a:ext cx="2499995" cy="20980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341C6" w:rsidRPr="006718C5">
        <w:rPr>
          <w:b/>
        </w:rPr>
        <w:t>Abdomen</w:t>
      </w:r>
    </w:p>
    <w:p w:rsidR="00A341C6" w:rsidRDefault="00A341C6" w:rsidP="00AF6ADC">
      <w:pPr>
        <w:pStyle w:val="Sansinterligne"/>
        <w:numPr>
          <w:ilvl w:val="0"/>
          <w:numId w:val="1227"/>
        </w:numPr>
      </w:pPr>
      <w:r>
        <w:t>Ombilic et cordon</w:t>
      </w:r>
    </w:p>
    <w:p w:rsidR="00A341C6" w:rsidRDefault="00A341C6" w:rsidP="00AF6ADC">
      <w:pPr>
        <w:pStyle w:val="Sansinterligne"/>
        <w:numPr>
          <w:ilvl w:val="0"/>
          <w:numId w:val="1227"/>
        </w:numPr>
      </w:pPr>
      <w:r>
        <w:t>Souple, absence de masse</w:t>
      </w:r>
    </w:p>
    <w:p w:rsidR="00A341C6" w:rsidRDefault="00A341C6" w:rsidP="004563CF">
      <w:pPr>
        <w:pStyle w:val="Sansinterligne"/>
      </w:pPr>
    </w:p>
    <w:p w:rsidR="00A341C6" w:rsidRPr="006718C5" w:rsidRDefault="00A341C6" w:rsidP="004563CF">
      <w:pPr>
        <w:pStyle w:val="Sansinterligne"/>
        <w:rPr>
          <w:b/>
        </w:rPr>
      </w:pPr>
      <w:r w:rsidRPr="006718C5">
        <w:rPr>
          <w:b/>
        </w:rPr>
        <w:t>Hanches / MI</w:t>
      </w:r>
    </w:p>
    <w:p w:rsidR="00A341C6" w:rsidRPr="006718C5" w:rsidRDefault="00A341C6" w:rsidP="00AF6ADC">
      <w:pPr>
        <w:pStyle w:val="Sansinterligne"/>
        <w:numPr>
          <w:ilvl w:val="0"/>
          <w:numId w:val="1228"/>
        </w:numPr>
        <w:rPr>
          <w:highlight w:val="yellow"/>
        </w:rPr>
      </w:pPr>
      <w:r w:rsidRPr="006718C5">
        <w:rPr>
          <w:highlight w:val="yellow"/>
        </w:rPr>
        <w:t>Manœuvres de Barlow-Ortolani (éliminer dysplasie de la hanche)</w:t>
      </w:r>
    </w:p>
    <w:p w:rsidR="00A341C6" w:rsidRDefault="00A341C6" w:rsidP="00AF6ADC">
      <w:pPr>
        <w:pStyle w:val="Sansinterligne"/>
        <w:numPr>
          <w:ilvl w:val="0"/>
          <w:numId w:val="1228"/>
        </w:numPr>
      </w:pPr>
      <w:r>
        <w:t xml:space="preserve">Symétrie </w:t>
      </w:r>
      <w:r w:rsidR="006718C5">
        <w:t xml:space="preserve">de longueur </w:t>
      </w:r>
      <w:r>
        <w:t>des MI</w:t>
      </w:r>
    </w:p>
    <w:p w:rsidR="00A341C6" w:rsidRDefault="00A341C6" w:rsidP="004563CF">
      <w:pPr>
        <w:pStyle w:val="Sansinterligne"/>
      </w:pPr>
    </w:p>
    <w:p w:rsidR="00A341C6" w:rsidRPr="006718C5" w:rsidRDefault="00A341C6" w:rsidP="004563CF">
      <w:pPr>
        <w:pStyle w:val="Sansinterligne"/>
        <w:rPr>
          <w:b/>
        </w:rPr>
      </w:pPr>
      <w:r w:rsidRPr="006718C5">
        <w:rPr>
          <w:b/>
        </w:rPr>
        <w:t>Périnée</w:t>
      </w:r>
    </w:p>
    <w:p w:rsidR="00A341C6" w:rsidRDefault="00A341C6" w:rsidP="00AF6ADC">
      <w:pPr>
        <w:pStyle w:val="Sansinterligne"/>
        <w:numPr>
          <w:ilvl w:val="0"/>
          <w:numId w:val="1229"/>
        </w:numPr>
      </w:pPr>
      <w:r>
        <w:t xml:space="preserve">Anus </w:t>
      </w:r>
      <w:r w:rsidR="00E82712">
        <w:t>(éliminer imperforation anale)</w:t>
      </w:r>
    </w:p>
    <w:p w:rsidR="00A341C6" w:rsidRDefault="00E82712" w:rsidP="00AF6ADC">
      <w:pPr>
        <w:pStyle w:val="Sansinterligne"/>
        <w:numPr>
          <w:ilvl w:val="0"/>
          <w:numId w:val="1229"/>
        </w:numPr>
      </w:pPr>
      <w:r>
        <w:t xml:space="preserve">Examen des </w:t>
      </w:r>
      <w:r w:rsidR="00A341C6">
        <w:t>OGE (éliminer cryptorchidie, fusion labiale)</w:t>
      </w:r>
    </w:p>
    <w:p w:rsidR="00A341C6" w:rsidRDefault="00A341C6" w:rsidP="004563CF">
      <w:pPr>
        <w:pStyle w:val="Sansinterligne"/>
      </w:pPr>
    </w:p>
    <w:p w:rsidR="00A341C6" w:rsidRPr="006718C5" w:rsidRDefault="00A341C6" w:rsidP="004563CF">
      <w:pPr>
        <w:pStyle w:val="Sansinterligne"/>
        <w:rPr>
          <w:b/>
        </w:rPr>
      </w:pPr>
      <w:r w:rsidRPr="006718C5">
        <w:rPr>
          <w:b/>
        </w:rPr>
        <w:t>Neurologique</w:t>
      </w:r>
    </w:p>
    <w:p w:rsidR="00A341C6" w:rsidRPr="006718C5" w:rsidRDefault="00A341C6" w:rsidP="00AF6ADC">
      <w:pPr>
        <w:pStyle w:val="Sansinterligne"/>
        <w:numPr>
          <w:ilvl w:val="0"/>
          <w:numId w:val="1230"/>
        </w:numPr>
        <w:rPr>
          <w:highlight w:val="yellow"/>
        </w:rPr>
      </w:pPr>
      <w:r w:rsidRPr="006718C5">
        <w:rPr>
          <w:highlight w:val="yellow"/>
        </w:rPr>
        <w:t>Réflexe de Moro symétrique</w:t>
      </w:r>
    </w:p>
    <w:p w:rsidR="00A341C6" w:rsidRDefault="00E82712" w:rsidP="00AF6ADC">
      <w:pPr>
        <w:pStyle w:val="Sansinterligne"/>
        <w:numPr>
          <w:ilvl w:val="0"/>
          <w:numId w:val="1230"/>
        </w:numPr>
      </w:pPr>
      <w:r>
        <w:t>Réflexe du landau (parachute)</w:t>
      </w:r>
    </w:p>
    <w:p w:rsidR="00E82712" w:rsidRPr="006718C5" w:rsidRDefault="00E82712" w:rsidP="00AF6ADC">
      <w:pPr>
        <w:pStyle w:val="Sansinterligne"/>
        <w:numPr>
          <w:ilvl w:val="1"/>
          <w:numId w:val="1230"/>
        </w:numPr>
        <w:rPr>
          <w:highlight w:val="yellow"/>
        </w:rPr>
      </w:pPr>
      <w:r w:rsidRPr="006718C5">
        <w:rPr>
          <w:highlight w:val="yellow"/>
        </w:rPr>
        <w:t>On regarde la colonne dorsale au même  moment (éliminer anomalie ligne médiane, tache, poils, etc.)</w:t>
      </w:r>
    </w:p>
    <w:p w:rsidR="00E82712" w:rsidRDefault="00E82712" w:rsidP="00AF6ADC">
      <w:pPr>
        <w:pStyle w:val="Sansinterligne"/>
        <w:numPr>
          <w:ilvl w:val="0"/>
          <w:numId w:val="1230"/>
        </w:numPr>
      </w:pPr>
      <w:r>
        <w:t>Réflexe de l’escrimeur</w:t>
      </w:r>
    </w:p>
    <w:p w:rsidR="00E82712" w:rsidRDefault="00E82712" w:rsidP="00AF6ADC">
      <w:pPr>
        <w:pStyle w:val="Sansinterligne"/>
        <w:numPr>
          <w:ilvl w:val="0"/>
          <w:numId w:val="1230"/>
        </w:numPr>
      </w:pPr>
      <w:r>
        <w:t>Réflexion de succion</w:t>
      </w:r>
    </w:p>
    <w:p w:rsidR="00E82712" w:rsidRDefault="00E82712" w:rsidP="00AF6ADC">
      <w:pPr>
        <w:pStyle w:val="Sansinterligne"/>
        <w:numPr>
          <w:ilvl w:val="0"/>
          <w:numId w:val="1230"/>
        </w:numPr>
      </w:pPr>
      <w:r>
        <w:t>Réflexe des points cardinaux</w:t>
      </w:r>
    </w:p>
    <w:p w:rsidR="00A341C6" w:rsidRPr="006718C5" w:rsidRDefault="00E82712" w:rsidP="00AF6ADC">
      <w:pPr>
        <w:pStyle w:val="Sansinterligne"/>
        <w:numPr>
          <w:ilvl w:val="0"/>
          <w:numId w:val="1230"/>
        </w:numPr>
        <w:rPr>
          <w:highlight w:val="yellow"/>
        </w:rPr>
      </w:pPr>
      <w:r w:rsidRPr="006718C5">
        <w:rPr>
          <w:highlight w:val="yellow"/>
        </w:rPr>
        <w:t>Réflexe de préhension (grasping)</w:t>
      </w:r>
      <w:r w:rsidR="006718C5" w:rsidRPr="006718C5">
        <w:rPr>
          <w:highlight w:val="yellow"/>
        </w:rPr>
        <w:t xml:space="preserve"> (pieds et mains)</w:t>
      </w:r>
    </w:p>
    <w:p w:rsidR="00E82712" w:rsidRPr="006718C5" w:rsidRDefault="00E82712" w:rsidP="00AF6ADC">
      <w:pPr>
        <w:pStyle w:val="Sansinterligne"/>
        <w:numPr>
          <w:ilvl w:val="0"/>
          <w:numId w:val="1230"/>
        </w:numPr>
        <w:rPr>
          <w:highlight w:val="yellow"/>
        </w:rPr>
      </w:pPr>
      <w:r w:rsidRPr="006718C5">
        <w:rPr>
          <w:highlight w:val="yellow"/>
        </w:rPr>
        <w:t>Flexion des 4 membres (spontanées)</w:t>
      </w:r>
    </w:p>
    <w:p w:rsidR="00DD4B61" w:rsidRDefault="00DD4B61" w:rsidP="004563CF">
      <w:pPr>
        <w:pStyle w:val="Sansinterligne"/>
      </w:pPr>
    </w:p>
    <w:p w:rsidR="00DD4B61" w:rsidRDefault="00DD4B61" w:rsidP="004563CF">
      <w:pPr>
        <w:pStyle w:val="Sansinterligne"/>
      </w:pPr>
    </w:p>
    <w:p w:rsidR="00B32705" w:rsidRDefault="00B32705" w:rsidP="004563CF">
      <w:pPr>
        <w:pStyle w:val="Sansinterligne"/>
      </w:pPr>
    </w:p>
    <w:p w:rsidR="00B32705" w:rsidRPr="00DD5EF0" w:rsidRDefault="001B68C9" w:rsidP="00DD5EF0">
      <w:pPr>
        <w:pStyle w:val="Sansinterligne"/>
      </w:pPr>
      <w:r>
        <w:rPr>
          <w:noProof/>
          <w:lang w:eastAsia="fr-CA"/>
        </w:rPr>
        <mc:AlternateContent>
          <mc:Choice Requires="wps">
            <w:drawing>
              <wp:anchor distT="0" distB="0" distL="114300" distR="114300" simplePos="0" relativeHeight="252072960" behindDoc="0" locked="0" layoutInCell="1" allowOverlap="1" wp14:anchorId="2876A082" wp14:editId="69F8724A">
                <wp:simplePos x="0" y="0"/>
                <wp:positionH relativeFrom="column">
                  <wp:posOffset>3723640</wp:posOffset>
                </wp:positionH>
                <wp:positionV relativeFrom="paragraph">
                  <wp:posOffset>-101600</wp:posOffset>
                </wp:positionV>
                <wp:extent cx="2374265" cy="1857375"/>
                <wp:effectExtent l="0" t="0" r="19050" b="28575"/>
                <wp:wrapNone/>
                <wp:docPr id="54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857375"/>
                        </a:xfrm>
                        <a:prstGeom prst="rect">
                          <a:avLst/>
                        </a:prstGeom>
                        <a:solidFill>
                          <a:srgbClr val="FFC000"/>
                        </a:solidFill>
                        <a:ln w="9525">
                          <a:solidFill>
                            <a:srgbClr val="000000"/>
                          </a:solidFill>
                          <a:miter lim="800000"/>
                          <a:headEnd/>
                          <a:tailEnd/>
                        </a:ln>
                      </wps:spPr>
                      <wps:txbx>
                        <w:txbxContent>
                          <w:p w:rsidR="008276DC" w:rsidRPr="00264762" w:rsidRDefault="008276DC" w:rsidP="00264762">
                            <w:pPr>
                              <w:jc w:val="center"/>
                              <w:rPr>
                                <w:b/>
                              </w:rPr>
                            </w:pPr>
                            <w:r w:rsidRPr="00264762">
                              <w:rPr>
                                <w:b/>
                              </w:rPr>
                              <w:t xml:space="preserve">Médicaments </w:t>
                            </w:r>
                            <w:r>
                              <w:rPr>
                                <w:b/>
                              </w:rPr>
                              <w:t xml:space="preserve">fréquents                              </w:t>
                            </w:r>
                            <w:r w:rsidRPr="00264762">
                              <w:rPr>
                                <w:b/>
                              </w:rPr>
                              <w:t>excrétés dans le lait</w:t>
                            </w:r>
                          </w:p>
                          <w:p w:rsidR="008276DC" w:rsidRDefault="008276DC" w:rsidP="00AF6ADC">
                            <w:pPr>
                              <w:pStyle w:val="Paragraphedeliste"/>
                              <w:numPr>
                                <w:ilvl w:val="0"/>
                                <w:numId w:val="1241"/>
                              </w:numPr>
                              <w:spacing w:after="0"/>
                            </w:pPr>
                            <w:r>
                              <w:t>Métronidazole</w:t>
                            </w:r>
                          </w:p>
                          <w:p w:rsidR="008276DC" w:rsidRDefault="008276DC" w:rsidP="00AF6ADC">
                            <w:pPr>
                              <w:pStyle w:val="Paragraphedeliste"/>
                              <w:numPr>
                                <w:ilvl w:val="0"/>
                                <w:numId w:val="1241"/>
                              </w:numPr>
                              <w:spacing w:after="0"/>
                            </w:pPr>
                            <w:r>
                              <w:t>Tetracyclines</w:t>
                            </w:r>
                          </w:p>
                          <w:p w:rsidR="008276DC" w:rsidRDefault="008276DC" w:rsidP="00AF6ADC">
                            <w:pPr>
                              <w:pStyle w:val="Paragraphedeliste"/>
                              <w:numPr>
                                <w:ilvl w:val="0"/>
                                <w:numId w:val="1241"/>
                              </w:numPr>
                              <w:spacing w:after="0"/>
                            </w:pPr>
                            <w:r>
                              <w:t>Lithium</w:t>
                            </w:r>
                          </w:p>
                          <w:p w:rsidR="008276DC" w:rsidRDefault="008276DC" w:rsidP="00AF6ADC">
                            <w:pPr>
                              <w:pStyle w:val="Paragraphedeliste"/>
                              <w:numPr>
                                <w:ilvl w:val="0"/>
                                <w:numId w:val="1241"/>
                              </w:numPr>
                              <w:spacing w:after="0"/>
                            </w:pPr>
                            <w:r>
                              <w:t>Cyclophosphamide</w:t>
                            </w:r>
                          </w:p>
                          <w:p w:rsidR="008276DC" w:rsidRDefault="008276DC" w:rsidP="00AF6ADC">
                            <w:pPr>
                              <w:pStyle w:val="Paragraphedeliste"/>
                              <w:numPr>
                                <w:ilvl w:val="0"/>
                                <w:numId w:val="1241"/>
                              </w:numPr>
                              <w:spacing w:after="0"/>
                            </w:pPr>
                            <w:r>
                              <w:t>Bromocriptine</w:t>
                            </w:r>
                          </w:p>
                          <w:p w:rsidR="008276DC" w:rsidRDefault="008276DC" w:rsidP="00AF6ADC">
                            <w:pPr>
                              <w:pStyle w:val="Paragraphedeliste"/>
                              <w:numPr>
                                <w:ilvl w:val="0"/>
                                <w:numId w:val="1241"/>
                              </w:numPr>
                              <w:spacing w:after="0"/>
                            </w:pPr>
                            <w:r>
                              <w:t>Diazepam</w:t>
                            </w:r>
                          </w:p>
                          <w:p w:rsidR="008276DC" w:rsidRDefault="008276DC"/>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 id="_x0000_s1090" type="#_x0000_t202" style="position:absolute;margin-left:293.2pt;margin-top:-8pt;width:186.95pt;height:146.25pt;z-index:252072960;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" fillcolor="#ffc000">
                <v:textbox>
                  <w:txbxContent>
                    <w:p w:rsidR="008276DC" w:rsidRPr="00264762" w:rsidRDefault="008276DC" w:rsidP="00264762">
                      <w:pPr>
                        <w:jc w:val="center"/>
                        <w:rPr>
                          <w:b/>
                        </w:rPr>
                      </w:pPr>
                      <w:r w:rsidRPr="00264762">
                        <w:rPr>
                          <w:b/>
                        </w:rPr>
                        <w:t xml:space="preserve">Médicaments </w:t>
                      </w:r>
                      <w:r>
                        <w:rPr>
                          <w:b/>
                        </w:rPr>
                        <w:t xml:space="preserve">fréquents                              </w:t>
                      </w:r>
                      <w:r w:rsidRPr="00264762">
                        <w:rPr>
                          <w:b/>
                        </w:rPr>
                        <w:t>excrétés dans le lait</w:t>
                      </w:r>
                    </w:p>
                    <w:p w:rsidR="008276DC" w:rsidRDefault="008276DC" w:rsidP="00AF6ADC">
                      <w:pPr>
                        <w:pStyle w:val="Paragraphedeliste"/>
                        <w:numPr>
                          <w:ilvl w:val="0"/>
                          <w:numId w:val="1241"/>
                        </w:numPr>
                        <w:spacing w:after="0"/>
                      </w:pPr>
                      <w:r>
                        <w:t>Métronidazole</w:t>
                      </w:r>
                    </w:p>
                    <w:p w:rsidR="008276DC" w:rsidRDefault="008276DC" w:rsidP="00AF6ADC">
                      <w:pPr>
                        <w:pStyle w:val="Paragraphedeliste"/>
                        <w:numPr>
                          <w:ilvl w:val="0"/>
                          <w:numId w:val="1241"/>
                        </w:numPr>
                        <w:spacing w:after="0"/>
                      </w:pPr>
                      <w:r>
                        <w:t>Tetracyclines</w:t>
                      </w:r>
                    </w:p>
                    <w:p w:rsidR="008276DC" w:rsidRDefault="008276DC" w:rsidP="00AF6ADC">
                      <w:pPr>
                        <w:pStyle w:val="Paragraphedeliste"/>
                        <w:numPr>
                          <w:ilvl w:val="0"/>
                          <w:numId w:val="1241"/>
                        </w:numPr>
                        <w:spacing w:after="0"/>
                      </w:pPr>
                      <w:r>
                        <w:t>Lithium</w:t>
                      </w:r>
                    </w:p>
                    <w:p w:rsidR="008276DC" w:rsidRDefault="008276DC" w:rsidP="00AF6ADC">
                      <w:pPr>
                        <w:pStyle w:val="Paragraphedeliste"/>
                        <w:numPr>
                          <w:ilvl w:val="0"/>
                          <w:numId w:val="1241"/>
                        </w:numPr>
                        <w:spacing w:after="0"/>
                      </w:pPr>
                      <w:r>
                        <w:t>Cyclophosphamide</w:t>
                      </w:r>
                    </w:p>
                    <w:p w:rsidR="008276DC" w:rsidRDefault="008276DC" w:rsidP="00AF6ADC">
                      <w:pPr>
                        <w:pStyle w:val="Paragraphedeliste"/>
                        <w:numPr>
                          <w:ilvl w:val="0"/>
                          <w:numId w:val="1241"/>
                        </w:numPr>
                        <w:spacing w:after="0"/>
                      </w:pPr>
                      <w:r>
                        <w:t>Bromocriptine</w:t>
                      </w:r>
                    </w:p>
                    <w:p w:rsidR="008276DC" w:rsidRDefault="008276DC" w:rsidP="00AF6ADC">
                      <w:pPr>
                        <w:pStyle w:val="Paragraphedeliste"/>
                        <w:numPr>
                          <w:ilvl w:val="0"/>
                          <w:numId w:val="1241"/>
                        </w:numPr>
                        <w:spacing w:after="0"/>
                      </w:pPr>
                      <w:r>
                        <w:t>Diazepam</w:t>
                      </w:r>
                    </w:p>
                    <w:p w:rsidR="008276DC" w:rsidRDefault="008276DC"/>
                  </w:txbxContent>
                </v:textbox>
              </v:shape>
            </w:pict>
          </mc:Fallback>
        </mc:AlternateContent>
      </w:r>
    </w:p>
    <w:p w:rsidR="00DD5EF0" w:rsidRPr="001C3582" w:rsidRDefault="00DD5EF0" w:rsidP="00DD5EF0">
      <w:pPr>
        <w:pStyle w:val="Sansinterligne"/>
        <w:rPr>
          <w:b/>
          <w:sz w:val="28"/>
          <w:szCs w:val="28"/>
        </w:rPr>
      </w:pPr>
      <w:r w:rsidRPr="001C3582">
        <w:rPr>
          <w:b/>
          <w:sz w:val="28"/>
          <w:szCs w:val="28"/>
        </w:rPr>
        <w:t>Dépistage et investigations de base</w:t>
      </w:r>
    </w:p>
    <w:p w:rsidR="001C3582" w:rsidRDefault="001C3582" w:rsidP="00DD5EF0">
      <w:pPr>
        <w:pStyle w:val="Sansinterligne"/>
      </w:pPr>
    </w:p>
    <w:p w:rsidR="001C3582" w:rsidRPr="00C211F2" w:rsidRDefault="001C3582" w:rsidP="00AF6ADC">
      <w:pPr>
        <w:pStyle w:val="Sansinterligne"/>
        <w:numPr>
          <w:ilvl w:val="0"/>
          <w:numId w:val="1236"/>
        </w:numPr>
        <w:rPr>
          <w:highlight w:val="yellow"/>
        </w:rPr>
      </w:pPr>
      <w:r w:rsidRPr="00C211F2">
        <w:rPr>
          <w:highlight w:val="yellow"/>
        </w:rPr>
        <w:t>FSC</w:t>
      </w:r>
    </w:p>
    <w:p w:rsidR="001C3582" w:rsidRPr="00C211F2" w:rsidRDefault="001C3582" w:rsidP="00AF6ADC">
      <w:pPr>
        <w:pStyle w:val="Sansinterligne"/>
        <w:numPr>
          <w:ilvl w:val="0"/>
          <w:numId w:val="1236"/>
        </w:numPr>
        <w:rPr>
          <w:highlight w:val="yellow"/>
        </w:rPr>
      </w:pPr>
      <w:r w:rsidRPr="00C211F2">
        <w:rPr>
          <w:highlight w:val="yellow"/>
        </w:rPr>
        <w:t>Glycémie</w:t>
      </w:r>
    </w:p>
    <w:p w:rsidR="001C3582" w:rsidRPr="00C211F2" w:rsidRDefault="001C3582" w:rsidP="00AF6ADC">
      <w:pPr>
        <w:pStyle w:val="Sansinterligne"/>
        <w:numPr>
          <w:ilvl w:val="0"/>
          <w:numId w:val="1236"/>
        </w:numPr>
        <w:rPr>
          <w:highlight w:val="yellow"/>
        </w:rPr>
      </w:pPr>
      <w:r w:rsidRPr="00C211F2">
        <w:rPr>
          <w:highlight w:val="yellow"/>
        </w:rPr>
        <w:t>Bilirubininémie</w:t>
      </w:r>
    </w:p>
    <w:p w:rsidR="00667F61" w:rsidRPr="00C211F2" w:rsidRDefault="00DD5EF0" w:rsidP="00AF6ADC">
      <w:pPr>
        <w:pStyle w:val="Sansinterligne"/>
        <w:numPr>
          <w:ilvl w:val="0"/>
          <w:numId w:val="1236"/>
        </w:numPr>
        <w:rPr>
          <w:highlight w:val="yellow"/>
        </w:rPr>
      </w:pPr>
      <w:r w:rsidRPr="00C211F2">
        <w:rPr>
          <w:highlight w:val="yellow"/>
        </w:rPr>
        <w:t>Maladies métaboliques</w:t>
      </w:r>
      <w:r w:rsidR="00667F61" w:rsidRPr="00C211F2">
        <w:rPr>
          <w:highlight w:val="yellow"/>
        </w:rPr>
        <w:t xml:space="preserve"> </w:t>
      </w:r>
      <w:r w:rsidR="001C3582" w:rsidRPr="00C211F2">
        <w:rPr>
          <w:highlight w:val="yellow"/>
        </w:rPr>
        <w:t>(dépistage systématique)</w:t>
      </w:r>
    </w:p>
    <w:p w:rsidR="001C3582" w:rsidRPr="00C211F2" w:rsidRDefault="001C3582" w:rsidP="00AF6ADC">
      <w:pPr>
        <w:pStyle w:val="Sansinterligne"/>
        <w:numPr>
          <w:ilvl w:val="1"/>
          <w:numId w:val="1236"/>
        </w:numPr>
        <w:rPr>
          <w:highlight w:val="yellow"/>
        </w:rPr>
      </w:pPr>
      <w:r w:rsidRPr="00C211F2">
        <w:rPr>
          <w:highlight w:val="yellow"/>
        </w:rPr>
        <w:t>Fait par une simple ponction de sang au talon</w:t>
      </w:r>
    </w:p>
    <w:p w:rsidR="001C3582" w:rsidRDefault="00667F61" w:rsidP="00AF6ADC">
      <w:pPr>
        <w:pStyle w:val="Sansinterligne"/>
        <w:numPr>
          <w:ilvl w:val="1"/>
          <w:numId w:val="1236"/>
        </w:numPr>
      </w:pPr>
      <w:r>
        <w:t>Au QC comprend</w:t>
      </w:r>
      <w:r w:rsidR="001C3582">
        <w:t> :</w:t>
      </w:r>
    </w:p>
    <w:p w:rsidR="001C3582" w:rsidRDefault="001C3582" w:rsidP="00AF6ADC">
      <w:pPr>
        <w:pStyle w:val="Sansinterligne"/>
        <w:numPr>
          <w:ilvl w:val="2"/>
          <w:numId w:val="1236"/>
        </w:numPr>
      </w:pPr>
      <w:r>
        <w:t>Phénylcétonurie</w:t>
      </w:r>
    </w:p>
    <w:p w:rsidR="001C3582" w:rsidRDefault="001C3582" w:rsidP="00AF6ADC">
      <w:pPr>
        <w:pStyle w:val="Sansinterligne"/>
        <w:numPr>
          <w:ilvl w:val="2"/>
          <w:numId w:val="1236"/>
        </w:numPr>
      </w:pPr>
      <w:r>
        <w:t>Tyrosinémie de type I,</w:t>
      </w:r>
    </w:p>
    <w:p w:rsidR="001C3582" w:rsidRDefault="001C3582" w:rsidP="00AF6ADC">
      <w:pPr>
        <w:pStyle w:val="Sansinterligne"/>
        <w:numPr>
          <w:ilvl w:val="2"/>
          <w:numId w:val="1236"/>
        </w:numPr>
      </w:pPr>
      <w:r>
        <w:t>C</w:t>
      </w:r>
      <w:r w:rsidR="00667F61">
        <w:t>arence en acyl-coA déshyd</w:t>
      </w:r>
      <w:r>
        <w:t>rogénase des acides gras</w:t>
      </w:r>
    </w:p>
    <w:p w:rsidR="00DD5EF0" w:rsidRPr="00DD5EF0" w:rsidRDefault="001C3582" w:rsidP="00AF6ADC">
      <w:pPr>
        <w:pStyle w:val="Sansinterligne"/>
        <w:numPr>
          <w:ilvl w:val="2"/>
          <w:numId w:val="1236"/>
        </w:numPr>
      </w:pPr>
      <w:r>
        <w:t>Hypothyroïdie congénitale</w:t>
      </w:r>
    </w:p>
    <w:p w:rsidR="00DD5EF0" w:rsidRPr="00C211F2" w:rsidRDefault="00DD5EF0" w:rsidP="00DD5EF0">
      <w:pPr>
        <w:pStyle w:val="Sansinterligne"/>
        <w:rPr>
          <w:sz w:val="16"/>
          <w:szCs w:val="16"/>
        </w:rPr>
      </w:pPr>
    </w:p>
    <w:p w:rsidR="00DD5EF0" w:rsidRPr="001C3582" w:rsidRDefault="00DD5EF0" w:rsidP="00DD5EF0">
      <w:pPr>
        <w:pStyle w:val="Sansinterligne"/>
        <w:rPr>
          <w:b/>
          <w:sz w:val="28"/>
          <w:szCs w:val="28"/>
        </w:rPr>
      </w:pPr>
      <w:r w:rsidRPr="001C3582">
        <w:rPr>
          <w:b/>
          <w:sz w:val="28"/>
          <w:szCs w:val="28"/>
        </w:rPr>
        <w:t>Prise en charge</w:t>
      </w:r>
    </w:p>
    <w:p w:rsidR="001C3582" w:rsidRDefault="001C3582" w:rsidP="00DD5EF0">
      <w:pPr>
        <w:pStyle w:val="Sansinterligne"/>
      </w:pPr>
    </w:p>
    <w:p w:rsidR="00264762" w:rsidRPr="001B68C9" w:rsidRDefault="00264762" w:rsidP="00DD5EF0">
      <w:pPr>
        <w:pStyle w:val="Sansinterligne"/>
        <w:rPr>
          <w:highlight w:val="yellow"/>
        </w:rPr>
      </w:pPr>
      <w:r w:rsidRPr="001B68C9">
        <w:rPr>
          <w:highlight w:val="yellow"/>
        </w:rPr>
        <w:t>S’il y a</w:t>
      </w:r>
      <w:r w:rsidR="0083493F" w:rsidRPr="001B68C9">
        <w:rPr>
          <w:highlight w:val="yellow"/>
        </w:rPr>
        <w:t xml:space="preserve"> découverte d’une anomalie, celle-ci devra être prise en charge. </w:t>
      </w:r>
    </w:p>
    <w:p w:rsidR="00DD5EF0" w:rsidRPr="001B68C9" w:rsidRDefault="0083493F" w:rsidP="00DD5EF0">
      <w:pPr>
        <w:pStyle w:val="Sansinterligne"/>
        <w:rPr>
          <w:highlight w:val="yellow"/>
        </w:rPr>
      </w:pPr>
      <w:r w:rsidRPr="001B68C9">
        <w:rPr>
          <w:highlight w:val="yellow"/>
        </w:rPr>
        <w:t>Il convient de réexaminer l’enfant avant son départ.</w:t>
      </w:r>
    </w:p>
    <w:p w:rsidR="0083493F" w:rsidRPr="001B68C9" w:rsidRDefault="0083493F" w:rsidP="00DD5EF0">
      <w:pPr>
        <w:pStyle w:val="Sansinterligne"/>
        <w:rPr>
          <w:highlight w:val="yellow"/>
        </w:rPr>
      </w:pPr>
      <w:r w:rsidRPr="001B68C9">
        <w:rPr>
          <w:highlight w:val="yellow"/>
          <w:u w:val="single"/>
        </w:rPr>
        <w:t>Exemples</w:t>
      </w:r>
      <w:r w:rsidRPr="001B68C9">
        <w:rPr>
          <w:highlight w:val="yellow"/>
        </w:rPr>
        <w:t xml:space="preserve"> : </w:t>
      </w:r>
    </w:p>
    <w:p w:rsidR="0083493F" w:rsidRPr="001B68C9" w:rsidRDefault="0083493F" w:rsidP="00AF6ADC">
      <w:pPr>
        <w:pStyle w:val="Sansinterligne"/>
        <w:numPr>
          <w:ilvl w:val="0"/>
          <w:numId w:val="1237"/>
        </w:numPr>
        <w:rPr>
          <w:highlight w:val="yellow"/>
        </w:rPr>
      </w:pPr>
      <w:r w:rsidRPr="001B68C9">
        <w:rPr>
          <w:highlight w:val="yellow"/>
        </w:rPr>
        <w:t xml:space="preserve">Prématurité </w:t>
      </w:r>
      <w:r w:rsidRPr="001B68C9">
        <w:rPr>
          <w:rFonts w:ascii="Century Gothic" w:hAnsi="Century Gothic"/>
          <w:highlight w:val="yellow"/>
        </w:rPr>
        <w:t>→</w:t>
      </w:r>
      <w:r w:rsidRPr="001B68C9">
        <w:rPr>
          <w:highlight w:val="yellow"/>
        </w:rPr>
        <w:t xml:space="preserve"> séjour à la pouponnière </w:t>
      </w:r>
    </w:p>
    <w:p w:rsidR="0083493F" w:rsidRPr="001B68C9" w:rsidRDefault="0083493F" w:rsidP="00AF6ADC">
      <w:pPr>
        <w:pStyle w:val="Sansinterligne"/>
        <w:numPr>
          <w:ilvl w:val="0"/>
          <w:numId w:val="1237"/>
        </w:numPr>
        <w:rPr>
          <w:highlight w:val="yellow"/>
        </w:rPr>
      </w:pPr>
      <w:r w:rsidRPr="001B68C9">
        <w:rPr>
          <w:highlight w:val="yellow"/>
        </w:rPr>
        <w:t xml:space="preserve">Hémorragie sous-galéale </w:t>
      </w:r>
      <w:r w:rsidRPr="001B68C9">
        <w:rPr>
          <w:rFonts w:ascii="Century Gothic" w:hAnsi="Century Gothic"/>
          <w:highlight w:val="yellow"/>
        </w:rPr>
        <w:t>→</w:t>
      </w:r>
      <w:r w:rsidRPr="001B68C9">
        <w:rPr>
          <w:highlight w:val="yellow"/>
        </w:rPr>
        <w:t xml:space="preserve"> réanimation </w:t>
      </w:r>
      <w:r w:rsidR="00264762" w:rsidRPr="001B68C9">
        <w:rPr>
          <w:highlight w:val="yellow"/>
        </w:rPr>
        <w:t>HD</w:t>
      </w:r>
      <w:r w:rsidRPr="001B68C9">
        <w:rPr>
          <w:highlight w:val="yellow"/>
        </w:rPr>
        <w:t>, référence en néonatalogie</w:t>
      </w:r>
    </w:p>
    <w:p w:rsidR="0083493F" w:rsidRPr="001B68C9" w:rsidRDefault="0083493F" w:rsidP="00AF6ADC">
      <w:pPr>
        <w:pStyle w:val="Sansinterligne"/>
        <w:numPr>
          <w:ilvl w:val="0"/>
          <w:numId w:val="1237"/>
        </w:numPr>
        <w:rPr>
          <w:highlight w:val="yellow"/>
        </w:rPr>
      </w:pPr>
      <w:r w:rsidRPr="001B68C9">
        <w:rPr>
          <w:highlight w:val="yellow"/>
        </w:rPr>
        <w:t xml:space="preserve">Leucocorie </w:t>
      </w:r>
      <w:r w:rsidRPr="001B68C9">
        <w:rPr>
          <w:rFonts w:ascii="Century Gothic" w:hAnsi="Century Gothic"/>
          <w:highlight w:val="yellow"/>
        </w:rPr>
        <w:t>→</w:t>
      </w:r>
      <w:r w:rsidRPr="001B68C9">
        <w:rPr>
          <w:highlight w:val="yellow"/>
        </w:rPr>
        <w:t xml:space="preserve"> référence en ophtalmologie pédiatrique rapide</w:t>
      </w:r>
    </w:p>
    <w:p w:rsidR="0083493F" w:rsidRPr="001B68C9" w:rsidRDefault="0083493F" w:rsidP="00AF6ADC">
      <w:pPr>
        <w:pStyle w:val="Sansinterligne"/>
        <w:numPr>
          <w:ilvl w:val="0"/>
          <w:numId w:val="1237"/>
        </w:numPr>
        <w:rPr>
          <w:highlight w:val="yellow"/>
        </w:rPr>
      </w:pPr>
      <w:r w:rsidRPr="001B68C9">
        <w:rPr>
          <w:highlight w:val="yellow"/>
        </w:rPr>
        <w:t xml:space="preserve">Souffle cardiaque </w:t>
      </w:r>
      <w:r w:rsidRPr="001B68C9">
        <w:rPr>
          <w:rFonts w:ascii="Century Gothic" w:hAnsi="Century Gothic"/>
          <w:highlight w:val="yellow"/>
        </w:rPr>
        <w:t>→</w:t>
      </w:r>
      <w:r w:rsidRPr="001B68C9">
        <w:rPr>
          <w:highlight w:val="yellow"/>
        </w:rPr>
        <w:t xml:space="preserve"> référence en cardiologie pédiatrique et écho</w:t>
      </w:r>
    </w:p>
    <w:p w:rsidR="0083493F" w:rsidRPr="001B68C9" w:rsidRDefault="007308C9" w:rsidP="00AF6ADC">
      <w:pPr>
        <w:pStyle w:val="Sansinterligne"/>
        <w:numPr>
          <w:ilvl w:val="0"/>
          <w:numId w:val="1237"/>
        </w:numPr>
        <w:rPr>
          <w:highlight w:val="yellow"/>
        </w:rPr>
      </w:pPr>
      <w:r>
        <w:rPr>
          <w:noProof/>
          <w:lang w:eastAsia="fr-CA"/>
        </w:rPr>
        <w:drawing>
          <wp:anchor distT="0" distB="0" distL="114300" distR="114300" simplePos="0" relativeHeight="252075008" behindDoc="0" locked="0" layoutInCell="1" allowOverlap="1" wp14:anchorId="7B4583A1" wp14:editId="34D7B645">
            <wp:simplePos x="0" y="0"/>
            <wp:positionH relativeFrom="column">
              <wp:posOffset>3306864</wp:posOffset>
            </wp:positionH>
            <wp:positionV relativeFrom="paragraph">
              <wp:posOffset>48895</wp:posOffset>
            </wp:positionV>
            <wp:extent cx="2917825" cy="1710690"/>
            <wp:effectExtent l="0" t="0" r="0" b="3810"/>
            <wp:wrapNone/>
            <wp:docPr id="551" name="Image 551" descr="Résultats de recherche d'images pour « allaitement nouveau né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ésultats de recherche d'images pour « allaitement nouveau né »"/>
                    <pic:cNvPicPr>
                      <a:picLocks noChangeAspect="1" noChangeArrowheads="1"/>
                    </pic:cNvPicPr>
                  </pic:nvPicPr>
                  <pic:blipFill rotWithShape="1">
                    <a:blip r:embed="rId239" cstate="print">
                      <a:extLst>
                        <a:ext uri="{28A0092B-C50C-407E-A947-70E740481C1C}">
                          <a14:useLocalDpi xmlns:a14="http://schemas.microsoft.com/office/drawing/2010/main" val="0"/>
                        </a:ext>
                      </a:extLst>
                    </a:blip>
                    <a:srcRect l="22855" r="2557"/>
                    <a:stretch/>
                  </pic:blipFill>
                  <pic:spPr bwMode="auto">
                    <a:xfrm>
                      <a:off x="0" y="0"/>
                      <a:ext cx="2917825" cy="17106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3493F" w:rsidRPr="001B68C9">
        <w:rPr>
          <w:highlight w:val="yellow"/>
        </w:rPr>
        <w:t xml:space="preserve">Anus imperforé </w:t>
      </w:r>
      <w:r w:rsidR="0083493F" w:rsidRPr="001B68C9">
        <w:rPr>
          <w:rFonts w:ascii="Century Gothic" w:hAnsi="Century Gothic"/>
          <w:highlight w:val="yellow"/>
        </w:rPr>
        <w:t>→</w:t>
      </w:r>
      <w:r w:rsidR="0083493F" w:rsidRPr="001B68C9">
        <w:rPr>
          <w:highlight w:val="yellow"/>
        </w:rPr>
        <w:t xml:space="preserve"> référence en chirurgie pédiatrique</w:t>
      </w:r>
    </w:p>
    <w:p w:rsidR="0083493F" w:rsidRPr="00DD5EF0" w:rsidRDefault="0083493F" w:rsidP="00DD5EF0">
      <w:pPr>
        <w:pStyle w:val="Sansinterligne"/>
      </w:pPr>
    </w:p>
    <w:p w:rsidR="00DD5EF0" w:rsidRPr="00264762" w:rsidRDefault="0083493F" w:rsidP="00DD5EF0">
      <w:pPr>
        <w:pStyle w:val="Sansinterligne"/>
        <w:rPr>
          <w:b/>
        </w:rPr>
      </w:pPr>
      <w:r w:rsidRPr="00264762">
        <w:rPr>
          <w:b/>
        </w:rPr>
        <w:t>Conseils</w:t>
      </w:r>
    </w:p>
    <w:p w:rsidR="00264762" w:rsidRPr="001B68C9" w:rsidRDefault="00264762" w:rsidP="00AF6ADC">
      <w:pPr>
        <w:pStyle w:val="Sansinterligne"/>
        <w:numPr>
          <w:ilvl w:val="0"/>
          <w:numId w:val="1240"/>
        </w:numPr>
        <w:rPr>
          <w:highlight w:val="yellow"/>
          <w:u w:val="single"/>
        </w:rPr>
      </w:pPr>
      <w:r w:rsidRPr="001B68C9">
        <w:rPr>
          <w:highlight w:val="yellow"/>
          <w:u w:val="single"/>
        </w:rPr>
        <w:t>Allaitement</w:t>
      </w:r>
    </w:p>
    <w:p w:rsidR="0083493F" w:rsidRPr="001B68C9" w:rsidRDefault="0083493F" w:rsidP="00AF6ADC">
      <w:pPr>
        <w:pStyle w:val="Sansinterligne"/>
        <w:numPr>
          <w:ilvl w:val="1"/>
          <w:numId w:val="1240"/>
        </w:numPr>
        <w:ind w:right="5555"/>
        <w:rPr>
          <w:highlight w:val="yellow"/>
        </w:rPr>
      </w:pPr>
      <w:r w:rsidRPr="001B68C9">
        <w:rPr>
          <w:highlight w:val="yellow"/>
        </w:rPr>
        <w:t>Suggérer fortement l’allaitement à la mère si incertaine ou intéressée :</w:t>
      </w:r>
    </w:p>
    <w:p w:rsidR="0083493F" w:rsidRPr="001B68C9" w:rsidRDefault="0083493F" w:rsidP="00AF6ADC">
      <w:pPr>
        <w:pStyle w:val="Sansinterligne"/>
        <w:numPr>
          <w:ilvl w:val="2"/>
          <w:numId w:val="1240"/>
        </w:numPr>
        <w:rPr>
          <w:highlight w:val="yellow"/>
        </w:rPr>
      </w:pPr>
      <w:r w:rsidRPr="001B68C9">
        <w:rPr>
          <w:highlight w:val="yellow"/>
        </w:rPr>
        <w:t>Naturel, économique</w:t>
      </w:r>
    </w:p>
    <w:p w:rsidR="0083493F" w:rsidRPr="001B68C9" w:rsidRDefault="0083493F" w:rsidP="00AF6ADC">
      <w:pPr>
        <w:pStyle w:val="Sansinterligne"/>
        <w:numPr>
          <w:ilvl w:val="2"/>
          <w:numId w:val="1240"/>
        </w:numPr>
        <w:rPr>
          <w:highlight w:val="yellow"/>
        </w:rPr>
      </w:pPr>
      <w:r w:rsidRPr="001B68C9">
        <w:rPr>
          <w:highlight w:val="yellow"/>
        </w:rPr>
        <w:t>Riche en protéines</w:t>
      </w:r>
    </w:p>
    <w:p w:rsidR="0083493F" w:rsidRPr="001B68C9" w:rsidRDefault="0083493F" w:rsidP="00AF6ADC">
      <w:pPr>
        <w:pStyle w:val="Sansinterligne"/>
        <w:numPr>
          <w:ilvl w:val="2"/>
          <w:numId w:val="1240"/>
        </w:numPr>
        <w:rPr>
          <w:highlight w:val="yellow"/>
        </w:rPr>
      </w:pPr>
      <w:r w:rsidRPr="001B68C9">
        <w:rPr>
          <w:highlight w:val="yellow"/>
        </w:rPr>
        <w:t>Contribue à l’immunité de l’enfant</w:t>
      </w:r>
    </w:p>
    <w:p w:rsidR="0083493F" w:rsidRPr="001B68C9" w:rsidRDefault="0083493F" w:rsidP="00AF6ADC">
      <w:pPr>
        <w:pStyle w:val="Sansinterligne"/>
        <w:numPr>
          <w:ilvl w:val="2"/>
          <w:numId w:val="1240"/>
        </w:numPr>
        <w:rPr>
          <w:highlight w:val="yellow"/>
        </w:rPr>
      </w:pPr>
      <w:r w:rsidRPr="001B68C9">
        <w:rPr>
          <w:highlight w:val="yellow"/>
        </w:rPr>
        <w:t>Contribue au lien mère-enfant</w:t>
      </w:r>
    </w:p>
    <w:p w:rsidR="0083493F" w:rsidRPr="001B68C9" w:rsidRDefault="0083493F" w:rsidP="00AF6ADC">
      <w:pPr>
        <w:pStyle w:val="Sansinterligne"/>
        <w:numPr>
          <w:ilvl w:val="2"/>
          <w:numId w:val="1240"/>
        </w:numPr>
        <w:rPr>
          <w:highlight w:val="yellow"/>
        </w:rPr>
      </w:pPr>
      <w:r w:rsidRPr="001B68C9">
        <w:rPr>
          <w:highlight w:val="yellow"/>
        </w:rPr>
        <w:t>Facilement digéré</w:t>
      </w:r>
    </w:p>
    <w:p w:rsidR="00D2549C" w:rsidRPr="001B68C9" w:rsidRDefault="00D2549C" w:rsidP="00AF6ADC">
      <w:pPr>
        <w:pStyle w:val="Sansinterligne"/>
        <w:numPr>
          <w:ilvl w:val="1"/>
          <w:numId w:val="1240"/>
        </w:numPr>
        <w:rPr>
          <w:highlight w:val="yellow"/>
        </w:rPr>
      </w:pPr>
      <w:r w:rsidRPr="001B68C9">
        <w:rPr>
          <w:highlight w:val="yellow"/>
        </w:rPr>
        <w:t>Si incapable ou ne souhaite pas, s’assurer qu’il reçoive au moins le colostrum (extraction x 2-3 jours)</w:t>
      </w:r>
    </w:p>
    <w:p w:rsidR="00D2549C" w:rsidRDefault="007308C9" w:rsidP="00AF6ADC">
      <w:pPr>
        <w:pStyle w:val="Sansinterligne"/>
        <w:numPr>
          <w:ilvl w:val="1"/>
          <w:numId w:val="1240"/>
        </w:numPr>
      </w:pPr>
      <w:r>
        <w:rPr>
          <w:noProof/>
          <w:lang w:eastAsia="fr-CA"/>
        </w:rPr>
        <w:drawing>
          <wp:anchor distT="0" distB="0" distL="114300" distR="114300" simplePos="0" relativeHeight="252076032" behindDoc="1" locked="0" layoutInCell="1" allowOverlap="1" wp14:anchorId="5278356E" wp14:editId="68A697EC">
            <wp:simplePos x="0" y="0"/>
            <wp:positionH relativeFrom="column">
              <wp:posOffset>3889375</wp:posOffset>
            </wp:positionH>
            <wp:positionV relativeFrom="paragraph">
              <wp:posOffset>93345</wp:posOffset>
            </wp:positionV>
            <wp:extent cx="3161030" cy="3161030"/>
            <wp:effectExtent l="0" t="0" r="1270" b="1270"/>
            <wp:wrapNone/>
            <wp:docPr id="552" name="Image 552" descr="Résultats de recherche d'images pour « siège d'auto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Résultats de recherche d'images pour « siège d'auto »"/>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3161030" cy="3161030"/>
                    </a:xfrm>
                    <a:prstGeom prst="rect">
                      <a:avLst/>
                    </a:prstGeom>
                    <a:noFill/>
                    <a:ln>
                      <a:noFill/>
                    </a:ln>
                  </pic:spPr>
                </pic:pic>
              </a:graphicData>
            </a:graphic>
            <wp14:sizeRelH relativeFrom="page">
              <wp14:pctWidth>0</wp14:pctWidth>
            </wp14:sizeRelH>
            <wp14:sizeRelV relativeFrom="page">
              <wp14:pctHeight>0</wp14:pctHeight>
            </wp14:sizeRelV>
          </wp:anchor>
        </w:drawing>
      </w:r>
      <w:r w:rsidR="00D2549C">
        <w:t>Allaitement contre-indiqué si :</w:t>
      </w:r>
    </w:p>
    <w:p w:rsidR="00D2549C" w:rsidRDefault="00D2549C" w:rsidP="00AF6ADC">
      <w:pPr>
        <w:pStyle w:val="Sansinterligne"/>
        <w:numPr>
          <w:ilvl w:val="2"/>
          <w:numId w:val="1240"/>
        </w:numPr>
      </w:pPr>
      <w:r>
        <w:t xml:space="preserve">Chimio/radiothérapie, </w:t>
      </w:r>
    </w:p>
    <w:p w:rsidR="00D2549C" w:rsidRDefault="00D2549C" w:rsidP="00AF6ADC">
      <w:pPr>
        <w:pStyle w:val="Sansinterligne"/>
        <w:numPr>
          <w:ilvl w:val="2"/>
          <w:numId w:val="1240"/>
        </w:numPr>
      </w:pPr>
      <w:r>
        <w:t xml:space="preserve">VIH+, TB active, herpès aux mamelons </w:t>
      </w:r>
    </w:p>
    <w:p w:rsidR="00D2549C" w:rsidRDefault="00D2549C" w:rsidP="00AF6ADC">
      <w:pPr>
        <w:pStyle w:val="Sansinterligne"/>
        <w:numPr>
          <w:ilvl w:val="2"/>
          <w:numId w:val="1240"/>
        </w:numPr>
      </w:pPr>
      <w:r>
        <w:t>Alcool ou drogues</w:t>
      </w:r>
    </w:p>
    <w:p w:rsidR="00D2549C" w:rsidRDefault="00D2549C" w:rsidP="00AF6ADC">
      <w:pPr>
        <w:pStyle w:val="Sansinterligne"/>
        <w:numPr>
          <w:ilvl w:val="2"/>
          <w:numId w:val="1240"/>
        </w:numPr>
      </w:pPr>
      <w:r>
        <w:t>Prise de médication excrétée dans le lait</w:t>
      </w:r>
    </w:p>
    <w:p w:rsidR="00667F61" w:rsidRPr="001B68C9" w:rsidRDefault="00667F61" w:rsidP="00AF6ADC">
      <w:pPr>
        <w:pStyle w:val="Sansinterligne"/>
        <w:numPr>
          <w:ilvl w:val="0"/>
          <w:numId w:val="1240"/>
        </w:numPr>
        <w:rPr>
          <w:highlight w:val="yellow"/>
        </w:rPr>
      </w:pPr>
      <w:r w:rsidRPr="001B68C9">
        <w:rPr>
          <w:highlight w:val="yellow"/>
          <w:u w:val="single"/>
        </w:rPr>
        <w:t>Ordonnance</w:t>
      </w:r>
      <w:r w:rsidR="0083493F" w:rsidRPr="001B68C9">
        <w:rPr>
          <w:highlight w:val="yellow"/>
          <w:u w:val="single"/>
        </w:rPr>
        <w:t xml:space="preserve"> de</w:t>
      </w:r>
      <w:r w:rsidRPr="001B68C9">
        <w:rPr>
          <w:highlight w:val="yellow"/>
          <w:u w:val="single"/>
        </w:rPr>
        <w:t xml:space="preserve"> vitamine D</w:t>
      </w:r>
      <w:r w:rsidRPr="001B68C9">
        <w:rPr>
          <w:highlight w:val="yellow"/>
        </w:rPr>
        <w:t xml:space="preserve"> 400 UI PO </w:t>
      </w:r>
      <w:r w:rsidR="0083493F" w:rsidRPr="001B68C9">
        <w:rPr>
          <w:highlight w:val="yellow"/>
        </w:rPr>
        <w:t xml:space="preserve">(gouttes) </w:t>
      </w:r>
      <w:r w:rsidRPr="001B68C9">
        <w:rPr>
          <w:highlight w:val="yellow"/>
        </w:rPr>
        <w:t>au boire q 24h</w:t>
      </w:r>
      <w:r w:rsidR="0083493F" w:rsidRPr="001B68C9">
        <w:rPr>
          <w:highlight w:val="yellow"/>
        </w:rPr>
        <w:t xml:space="preserve"> x 1 an</w:t>
      </w:r>
    </w:p>
    <w:p w:rsidR="0083493F" w:rsidRDefault="0083493F" w:rsidP="00AF6ADC">
      <w:pPr>
        <w:pStyle w:val="Sansinterligne"/>
        <w:numPr>
          <w:ilvl w:val="1"/>
          <w:numId w:val="1240"/>
        </w:numPr>
      </w:pPr>
      <w:r>
        <w:t xml:space="preserve">Latitude nordique </w:t>
      </w:r>
      <w:r>
        <w:rPr>
          <w:rFonts w:ascii="Century Gothic" w:hAnsi="Century Gothic"/>
        </w:rPr>
        <w:t>→</w:t>
      </w:r>
      <w:r>
        <w:t xml:space="preserve"> </w:t>
      </w:r>
      <w:r w:rsidR="00D2549C">
        <w:t xml:space="preserve">production naturelle insuffisante </w:t>
      </w:r>
    </w:p>
    <w:p w:rsidR="00D2549C" w:rsidRDefault="00D2549C" w:rsidP="00AF6ADC">
      <w:pPr>
        <w:pStyle w:val="Sansinterligne"/>
        <w:numPr>
          <w:ilvl w:val="0"/>
          <w:numId w:val="1240"/>
        </w:numPr>
      </w:pPr>
      <w:r>
        <w:t>S’assurer que l’enfant à reçu sa dose de vitamine K IM à la naissance</w:t>
      </w:r>
      <w:r w:rsidR="00C211F2" w:rsidRPr="00C211F2">
        <w:t xml:space="preserve"> </w:t>
      </w:r>
    </w:p>
    <w:p w:rsidR="00D2549C" w:rsidRPr="00DD5EF0" w:rsidRDefault="00D2549C" w:rsidP="00DD5EF0">
      <w:pPr>
        <w:pStyle w:val="Sansinterligne"/>
      </w:pPr>
    </w:p>
    <w:p w:rsidR="00D2549C" w:rsidRPr="00264762" w:rsidRDefault="00DD5EF0" w:rsidP="00DD5EF0">
      <w:pPr>
        <w:pStyle w:val="Sansinterligne"/>
        <w:rPr>
          <w:b/>
        </w:rPr>
      </w:pPr>
      <w:r w:rsidRPr="00264762">
        <w:rPr>
          <w:b/>
        </w:rPr>
        <w:t xml:space="preserve">Prévention </w:t>
      </w:r>
    </w:p>
    <w:p w:rsidR="00D2549C" w:rsidRDefault="00D2549C" w:rsidP="00AF6ADC">
      <w:pPr>
        <w:pStyle w:val="Sansinterligne"/>
        <w:numPr>
          <w:ilvl w:val="0"/>
          <w:numId w:val="1239"/>
        </w:numPr>
      </w:pPr>
      <w:r>
        <w:t>Utiliser des sièges pour enfant ajustés dans la voiture (toujours à l’arrière)</w:t>
      </w:r>
    </w:p>
    <w:p w:rsidR="00D2549C" w:rsidRDefault="00D2549C" w:rsidP="00AF6ADC">
      <w:pPr>
        <w:pStyle w:val="Sansinterligne"/>
        <w:numPr>
          <w:ilvl w:val="0"/>
          <w:numId w:val="1239"/>
        </w:numPr>
      </w:pPr>
      <w:r>
        <w:t>Ne pas laisser l’enfant seul sur une surface d’où il pourrait tomber</w:t>
      </w:r>
    </w:p>
    <w:p w:rsidR="00D2549C" w:rsidRDefault="00D2549C" w:rsidP="00AF6ADC">
      <w:pPr>
        <w:pStyle w:val="Sansinterligne"/>
        <w:numPr>
          <w:ilvl w:val="0"/>
          <w:numId w:val="1239"/>
        </w:numPr>
      </w:pPr>
      <w:r>
        <w:t>Vérifier la température du lait avant de nourrir (si biberon)</w:t>
      </w:r>
    </w:p>
    <w:p w:rsidR="00264762" w:rsidRPr="001B68C9" w:rsidRDefault="00264762" w:rsidP="00AF6ADC">
      <w:pPr>
        <w:pStyle w:val="Sansinterligne"/>
        <w:numPr>
          <w:ilvl w:val="0"/>
          <w:numId w:val="1239"/>
        </w:numPr>
        <w:rPr>
          <w:highlight w:val="yellow"/>
        </w:rPr>
      </w:pPr>
      <w:r w:rsidRPr="001B68C9">
        <w:rPr>
          <w:highlight w:val="yellow"/>
        </w:rPr>
        <w:t>Penser à prendre la T</w:t>
      </w:r>
      <w:r w:rsidRPr="001B68C9">
        <w:rPr>
          <w:rFonts w:cs="Times New Roman"/>
          <w:highlight w:val="yellow"/>
        </w:rPr>
        <w:t xml:space="preserve">° </w:t>
      </w:r>
      <w:r w:rsidRPr="001B68C9">
        <w:rPr>
          <w:highlight w:val="yellow"/>
        </w:rPr>
        <w:t>si l’enfant semble moche ou les inquiète</w:t>
      </w:r>
    </w:p>
    <w:p w:rsidR="00D2549C" w:rsidRPr="001B68C9" w:rsidRDefault="00D2549C" w:rsidP="00AF6ADC">
      <w:pPr>
        <w:pStyle w:val="Sansinterligne"/>
        <w:numPr>
          <w:ilvl w:val="1"/>
          <w:numId w:val="1239"/>
        </w:numPr>
        <w:rPr>
          <w:highlight w:val="yellow"/>
        </w:rPr>
      </w:pPr>
      <w:r w:rsidRPr="001B68C9">
        <w:rPr>
          <w:highlight w:val="yellow"/>
        </w:rPr>
        <w:t>Consulter un médecin si T</w:t>
      </w:r>
      <w:r w:rsidRPr="001B68C9">
        <w:rPr>
          <w:rFonts w:cs="Times New Roman"/>
          <w:highlight w:val="yellow"/>
        </w:rPr>
        <w:t>°</w:t>
      </w:r>
      <w:r w:rsidRPr="001B68C9">
        <w:rPr>
          <w:highlight w:val="yellow"/>
        </w:rPr>
        <w:t xml:space="preserve"> rectale </w:t>
      </w:r>
      <w:r w:rsidRPr="001B68C9">
        <w:rPr>
          <w:rFonts w:ascii="Century Gothic" w:hAnsi="Century Gothic"/>
          <w:highlight w:val="yellow"/>
        </w:rPr>
        <w:t>&gt;</w:t>
      </w:r>
      <w:r w:rsidRPr="001B68C9">
        <w:rPr>
          <w:highlight w:val="yellow"/>
        </w:rPr>
        <w:t>38</w:t>
      </w:r>
      <w:r w:rsidRPr="001B68C9">
        <w:rPr>
          <w:rFonts w:cs="Times New Roman"/>
          <w:highlight w:val="yellow"/>
        </w:rPr>
        <w:t>°</w:t>
      </w:r>
      <w:r w:rsidRPr="001B68C9">
        <w:rPr>
          <w:highlight w:val="yellow"/>
        </w:rPr>
        <w:t>C</w:t>
      </w:r>
    </w:p>
    <w:p w:rsidR="00D2549C" w:rsidRPr="001B68C9" w:rsidRDefault="00D2549C" w:rsidP="00AF6ADC">
      <w:pPr>
        <w:pStyle w:val="Sansinterligne"/>
        <w:numPr>
          <w:ilvl w:val="0"/>
          <w:numId w:val="1239"/>
        </w:numPr>
        <w:rPr>
          <w:highlight w:val="yellow"/>
        </w:rPr>
      </w:pPr>
      <w:r w:rsidRPr="001B68C9">
        <w:rPr>
          <w:highlight w:val="yellow"/>
        </w:rPr>
        <w:t>Syndrome de mort subite (à porter attention)</w:t>
      </w:r>
    </w:p>
    <w:p w:rsidR="00D2549C" w:rsidRPr="001B68C9" w:rsidRDefault="00D2549C" w:rsidP="00AF6ADC">
      <w:pPr>
        <w:pStyle w:val="Sansinterligne"/>
        <w:numPr>
          <w:ilvl w:val="1"/>
          <w:numId w:val="1239"/>
        </w:numPr>
        <w:rPr>
          <w:highlight w:val="yellow"/>
        </w:rPr>
      </w:pPr>
      <w:r w:rsidRPr="001B68C9">
        <w:rPr>
          <w:highlight w:val="yellow"/>
        </w:rPr>
        <w:t>Faire dormir sur le dos</w:t>
      </w:r>
    </w:p>
    <w:p w:rsidR="00D2549C" w:rsidRPr="001B68C9" w:rsidRDefault="00D2549C" w:rsidP="00AF6ADC">
      <w:pPr>
        <w:pStyle w:val="Sansinterligne"/>
        <w:numPr>
          <w:ilvl w:val="1"/>
          <w:numId w:val="1239"/>
        </w:numPr>
        <w:rPr>
          <w:highlight w:val="yellow"/>
        </w:rPr>
      </w:pPr>
      <w:r w:rsidRPr="001B68C9">
        <w:rPr>
          <w:highlight w:val="yellow"/>
        </w:rPr>
        <w:t>Arrêt tabagique (fumée secondaire)</w:t>
      </w:r>
      <w:r w:rsidR="007308C9" w:rsidRPr="007308C9">
        <w:t xml:space="preserve"> </w:t>
      </w:r>
    </w:p>
    <w:p w:rsidR="00D2549C" w:rsidRPr="001B68C9" w:rsidRDefault="00D2549C" w:rsidP="00AF6ADC">
      <w:pPr>
        <w:pStyle w:val="Sansinterligne"/>
        <w:numPr>
          <w:ilvl w:val="1"/>
          <w:numId w:val="1239"/>
        </w:numPr>
        <w:rPr>
          <w:highlight w:val="yellow"/>
        </w:rPr>
      </w:pPr>
      <w:r w:rsidRPr="001B68C9">
        <w:rPr>
          <w:highlight w:val="yellow"/>
        </w:rPr>
        <w:t xml:space="preserve">Ne pas trop emmailloter ou pièce trop chaude </w:t>
      </w:r>
    </w:p>
    <w:p w:rsidR="00D2549C" w:rsidRDefault="00D2549C" w:rsidP="00D2549C">
      <w:pPr>
        <w:pStyle w:val="Sansinterligne"/>
      </w:pPr>
    </w:p>
    <w:p w:rsidR="00D2549C" w:rsidRPr="00D2549C" w:rsidRDefault="00D2549C" w:rsidP="00D2549C">
      <w:pPr>
        <w:pStyle w:val="Sansinterligne"/>
        <w:rPr>
          <w:b/>
        </w:rPr>
      </w:pPr>
      <w:r w:rsidRPr="00D2549C">
        <w:rPr>
          <w:b/>
        </w:rPr>
        <w:t xml:space="preserve">Suivi </w:t>
      </w:r>
    </w:p>
    <w:p w:rsidR="00264762" w:rsidRDefault="00D2549C" w:rsidP="00AF6ADC">
      <w:pPr>
        <w:pStyle w:val="Sansinterligne"/>
        <w:numPr>
          <w:ilvl w:val="0"/>
          <w:numId w:val="1238"/>
        </w:numPr>
      </w:pPr>
      <w:r>
        <w:t>On pleut planifier le suivi de l’</w:t>
      </w:r>
      <w:r w:rsidR="00264762">
        <w:t xml:space="preserve">enfant </w:t>
      </w:r>
      <w:r>
        <w:t>par</w:t>
      </w:r>
      <w:r w:rsidR="00264762">
        <w:t> :</w:t>
      </w:r>
    </w:p>
    <w:p w:rsidR="00264762" w:rsidRDefault="00264762" w:rsidP="00AF6ADC">
      <w:pPr>
        <w:pStyle w:val="Sansinterligne"/>
        <w:numPr>
          <w:ilvl w:val="1"/>
          <w:numId w:val="1238"/>
        </w:numPr>
      </w:pPr>
      <w:r>
        <w:t>U</w:t>
      </w:r>
      <w:r w:rsidR="00D2549C">
        <w:t>n médecin de famille</w:t>
      </w:r>
    </w:p>
    <w:p w:rsidR="00264762" w:rsidRDefault="00264762" w:rsidP="00AF6ADC">
      <w:pPr>
        <w:pStyle w:val="Sansinterligne"/>
        <w:numPr>
          <w:ilvl w:val="1"/>
          <w:numId w:val="1238"/>
        </w:numPr>
      </w:pPr>
      <w:r>
        <w:t>Un</w:t>
      </w:r>
      <w:r w:rsidR="00D2549C">
        <w:t xml:space="preserve"> pédiatre. </w:t>
      </w:r>
    </w:p>
    <w:p w:rsidR="00D2549C" w:rsidRDefault="00264762" w:rsidP="00AF6ADC">
      <w:pPr>
        <w:pStyle w:val="Sansinterligne"/>
        <w:numPr>
          <w:ilvl w:val="1"/>
          <w:numId w:val="1238"/>
        </w:numPr>
      </w:pPr>
      <w:r>
        <w:t>Idéalement</w:t>
      </w:r>
      <w:r w:rsidR="00D2549C">
        <w:t xml:space="preserve"> un pédiatre si l’enfant à des considérations particulières.</w:t>
      </w:r>
    </w:p>
    <w:p w:rsidR="00264762" w:rsidRPr="001B68C9" w:rsidRDefault="00264762" w:rsidP="00AF6ADC">
      <w:pPr>
        <w:pStyle w:val="Sansinterligne"/>
        <w:numPr>
          <w:ilvl w:val="0"/>
          <w:numId w:val="1238"/>
        </w:numPr>
        <w:rPr>
          <w:highlight w:val="yellow"/>
        </w:rPr>
      </w:pPr>
      <w:r w:rsidRPr="001B68C9">
        <w:rPr>
          <w:highlight w:val="yellow"/>
        </w:rPr>
        <w:t>R</w:t>
      </w:r>
      <w:r w:rsidR="00D2549C" w:rsidRPr="001B68C9">
        <w:rPr>
          <w:highlight w:val="yellow"/>
        </w:rPr>
        <w:t xml:space="preserve">ecommander aux parents de suivre le calendrier vaccinal </w:t>
      </w:r>
    </w:p>
    <w:p w:rsidR="00D2549C" w:rsidRPr="00DD5EF0" w:rsidRDefault="00264762" w:rsidP="00AF6ADC">
      <w:pPr>
        <w:pStyle w:val="Sansinterligne"/>
        <w:numPr>
          <w:ilvl w:val="1"/>
          <w:numId w:val="1238"/>
        </w:numPr>
      </w:pPr>
      <w:r>
        <w:t xml:space="preserve">Pour </w:t>
      </w:r>
      <w:r w:rsidR="00D2549C">
        <w:t>prévenir l’émergence de maladies infectieuses potentiellement très dommageable</w:t>
      </w:r>
      <w:r>
        <w:t>s</w:t>
      </w:r>
      <w:r w:rsidR="00D2549C">
        <w:t xml:space="preserve"> pour leur enfant. (Voir </w:t>
      </w:r>
      <w:r w:rsidR="00D2549C" w:rsidRPr="00D2549C">
        <w:rPr>
          <w:i/>
        </w:rPr>
        <w:t>Vaccination du nourrisson/de l’enfant CMC 74-2</w:t>
      </w:r>
      <w:r w:rsidR="00D2549C">
        <w:t>)</w:t>
      </w:r>
    </w:p>
    <w:p w:rsidR="00D2549C" w:rsidRDefault="00D2549C" w:rsidP="00DD5EF0">
      <w:pPr>
        <w:pStyle w:val="Sansinterligne"/>
      </w:pPr>
    </w:p>
    <w:p w:rsidR="00DD5EF0" w:rsidRPr="00DD5EF0" w:rsidRDefault="00D2549C" w:rsidP="00DD5EF0">
      <w:pPr>
        <w:pStyle w:val="Sansinterligne"/>
      </w:pPr>
      <w:r>
        <w:t>Il faut également se montrer rassurant et expliquer qu’il est normal de ne pas savoir s’y prendre lorsqu’il s’agit d’un premier enfant. Il faut seulement faire de son mieux. On peut également leur recommander le guide Mieux vivre avec votre enfant de la grossesse à deux ans. Qui peut répondre à beaucoup de leurs questions à venir et leur donner une base de connaissance solide.</w:t>
      </w:r>
    </w:p>
    <w:p w:rsidR="00B32705" w:rsidRDefault="00C211F2">
      <w:pPr>
        <w:rPr>
          <w:rFonts w:cs="Times New Roman"/>
          <w:b/>
          <w:color w:val="548DD4" w:themeColor="text2" w:themeTint="99"/>
        </w:rPr>
      </w:pPr>
      <w:r>
        <w:rPr>
          <w:rFonts w:cs="Times New Roman"/>
          <w:b/>
          <w:noProof/>
          <w:color w:val="548DD4" w:themeColor="text2" w:themeTint="99"/>
          <w:lang w:eastAsia="fr-CA"/>
        </w:rPr>
        <w:drawing>
          <wp:anchor distT="0" distB="0" distL="114300" distR="114300" simplePos="0" relativeHeight="252073984" behindDoc="0" locked="0" layoutInCell="1" allowOverlap="1" wp14:anchorId="5A1F2634" wp14:editId="78098130">
            <wp:simplePos x="0" y="0"/>
            <wp:positionH relativeFrom="column">
              <wp:posOffset>0</wp:posOffset>
            </wp:positionH>
            <wp:positionV relativeFrom="paragraph">
              <wp:posOffset>900227</wp:posOffset>
            </wp:positionV>
            <wp:extent cx="6846728" cy="4348264"/>
            <wp:effectExtent l="0" t="0" r="0" b="0"/>
            <wp:wrapNone/>
            <wp:docPr id="550" name="Image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rotWithShape="1">
                    <a:blip r:embed="rId241">
                      <a:extLst>
                        <a:ext uri="{28A0092B-C50C-407E-A947-70E740481C1C}">
                          <a14:useLocalDpi xmlns:a14="http://schemas.microsoft.com/office/drawing/2010/main" val="0"/>
                        </a:ext>
                      </a:extLst>
                    </a:blip>
                    <a:srcRect b="1324"/>
                    <a:stretch/>
                  </pic:blipFill>
                  <pic:spPr bwMode="auto">
                    <a:xfrm>
                      <a:off x="0" y="0"/>
                      <a:ext cx="6846728" cy="434826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32705">
        <w:rPr>
          <w:rFonts w:cs="Times New Roman"/>
          <w:b/>
          <w:color w:val="548DD4" w:themeColor="text2" w:themeTint="99"/>
        </w:rPr>
        <w:br w:type="page"/>
      </w:r>
    </w:p>
    <w:p w:rsidR="00811184" w:rsidRDefault="00811184" w:rsidP="00811184">
      <w:pPr>
        <w:spacing w:after="0"/>
        <w:rPr>
          <w:rFonts w:cs="Times New Roman"/>
          <w:b/>
          <w:color w:val="548DD4" w:themeColor="text2" w:themeTint="99"/>
        </w:rPr>
      </w:pPr>
      <w:r>
        <w:rPr>
          <w:rFonts w:cs="Times New Roman"/>
          <w:b/>
          <w:color w:val="548DD4" w:themeColor="text2" w:themeTint="99"/>
        </w:rPr>
        <w:t>CMC 74-2</w:t>
      </w:r>
    </w:p>
    <w:bookmarkStart w:id="225" w:name="_Toc480797307"/>
    <w:p w:rsidR="00811184" w:rsidRPr="00810375" w:rsidRDefault="00C83C3E" w:rsidP="00811184">
      <w:pPr>
        <w:pStyle w:val="Titre3"/>
        <w:spacing w:before="0" w:after="240"/>
        <w:rPr>
          <w:rFonts w:ascii="Times New Roman" w:hAnsi="Times New Roman" w:cs="Times New Roman"/>
        </w:rPr>
      </w:pPr>
      <w:r w:rsidRPr="00810375">
        <w:rPr>
          <w:rFonts w:ascii="Times New Roman" w:hAnsi="Times New Roman" w:cs="Times New Roman"/>
          <w:noProof/>
          <w:lang w:eastAsia="fr-CA"/>
        </w:rPr>
        <mc:AlternateContent>
          <mc:Choice Requires="wps">
            <w:drawing>
              <wp:anchor distT="0" distB="0" distL="114300" distR="114300" simplePos="0" relativeHeight="252077056" behindDoc="0" locked="0" layoutInCell="1" allowOverlap="1" wp14:anchorId="1FAE08A6" wp14:editId="728E85AB">
                <wp:simplePos x="0" y="0"/>
                <wp:positionH relativeFrom="column">
                  <wp:posOffset>-68094</wp:posOffset>
                </wp:positionH>
                <wp:positionV relativeFrom="paragraph">
                  <wp:posOffset>289506</wp:posOffset>
                </wp:positionV>
                <wp:extent cx="7023371" cy="2908570"/>
                <wp:effectExtent l="0" t="0" r="25400" b="25400"/>
                <wp:wrapNone/>
                <wp:docPr id="553" name="Rectangle 553"/>
                <wp:cNvGraphicFramePr/>
                <a:graphic xmlns:a="http://schemas.openxmlformats.org/drawingml/2006/main">
                  <a:graphicData uri="http://schemas.microsoft.com/office/word/2010/wordprocessingShape">
                    <wps:wsp>
                      <wps:cNvSpPr/>
                      <wps:spPr>
                        <a:xfrm>
                          <a:off x="0" y="0"/>
                          <a:ext cx="7023371" cy="2908570"/>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553" o:spid="_x0000_s1026" style="position:absolute;margin-left:-5.35pt;margin-top:22.8pt;width:553pt;height:229pt;z-index:2520770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" filled="f" strokecolor="black [1600]" strokeweight="2pt"/>
            </w:pict>
          </mc:Fallback>
        </mc:AlternateContent>
      </w:r>
      <w:r w:rsidR="00811184" w:rsidRPr="00810375">
        <w:rPr>
          <w:rFonts w:ascii="Times New Roman" w:hAnsi="Times New Roman" w:cs="Times New Roman"/>
        </w:rPr>
        <w:t>Vaccination du nourrisson/de l’enfant</w:t>
      </w:r>
      <w:bookmarkEnd w:id="225"/>
    </w:p>
    <w:tbl>
      <w:tblPr>
        <w:tblW w:w="3858" w:type="pct"/>
        <w:tblCellSpacing w:w="0" w:type="dxa"/>
        <w:tblCellMar>
          <w:left w:w="0" w:type="dxa"/>
          <w:right w:w="0" w:type="dxa"/>
        </w:tblCellMar>
        <w:tblLook w:val="04A0" w:firstRow="1" w:lastRow="0" w:firstColumn="1" w:lastColumn="0" w:noHBand="0" w:noVBand="1"/>
      </w:tblPr>
      <w:tblGrid>
        <w:gridCol w:w="8333"/>
      </w:tblGrid>
      <w:tr w:rsidR="00811184" w:rsidRPr="00C83C3E" w:rsidTr="00811184">
        <w:trPr>
          <w:tblCellSpacing w:w="0" w:type="dxa"/>
        </w:trPr>
        <w:tc>
          <w:tcPr>
            <w:tcW w:w="0" w:type="auto"/>
            <w:vAlign w:val="bottom"/>
            <w:hideMark/>
          </w:tcPr>
          <w:p w:rsidR="00811184" w:rsidRPr="00C83C3E" w:rsidRDefault="00811184" w:rsidP="00811184">
            <w:pPr>
              <w:pStyle w:val="Sansinterligne"/>
              <w:rPr>
                <w:rFonts w:cs="Times New Roman"/>
                <w:b/>
                <w:sz w:val="18"/>
                <w:szCs w:val="18"/>
              </w:rPr>
            </w:pPr>
            <w:r w:rsidRPr="00C83C3E">
              <w:rPr>
                <w:rFonts w:cs="Times New Roman"/>
                <w:b/>
                <w:sz w:val="18"/>
                <w:szCs w:val="18"/>
              </w:rPr>
              <w:t>Objectifs principaux</w:t>
            </w:r>
          </w:p>
        </w:tc>
      </w:tr>
    </w:tbl>
    <w:p w:rsidR="00811184" w:rsidRPr="00C83C3E" w:rsidRDefault="00811184" w:rsidP="00811184">
      <w:pPr>
        <w:pStyle w:val="NormalWeb"/>
        <w:ind w:left="360"/>
        <w:rPr>
          <w:color w:val="000000"/>
          <w:sz w:val="18"/>
          <w:szCs w:val="18"/>
          <w:shd w:val="clear" w:color="auto" w:fill="FFFFFF"/>
        </w:rPr>
      </w:pPr>
      <w:r w:rsidRPr="00C83C3E">
        <w:rPr>
          <w:color w:val="000000"/>
          <w:sz w:val="18"/>
          <w:szCs w:val="18"/>
          <w:shd w:val="clear" w:color="auto" w:fill="FFFFFF"/>
        </w:rPr>
        <w:t>Dans le cadre d'une consultation médicale pour un bébé ou un enfant, le candidat devra être en mesure de recommander pour celui-ci un calendrier d'immunisation approprié et de discuter avec les parents des risques et des bienfaits de l'immunisation. Le candidat doit être apte à désigner les bébés ou les enfants qui ont besoin d'être immunisés dans d'autres contextes que dans celui d'une consultation de routine pour bébés bien portants (p. ex. dans le cadre d'une consultation pour un problème de santé quelconque).</w:t>
      </w:r>
    </w:p>
    <w:tbl>
      <w:tblPr>
        <w:tblW w:w="3897" w:type="pct"/>
        <w:tblCellSpacing w:w="0" w:type="dxa"/>
        <w:tblCellMar>
          <w:left w:w="0" w:type="dxa"/>
          <w:right w:w="0" w:type="dxa"/>
        </w:tblCellMar>
        <w:tblLook w:val="04A0" w:firstRow="1" w:lastRow="0" w:firstColumn="1" w:lastColumn="0" w:noHBand="0" w:noVBand="1"/>
      </w:tblPr>
      <w:tblGrid>
        <w:gridCol w:w="8418"/>
      </w:tblGrid>
      <w:tr w:rsidR="00811184" w:rsidRPr="00811184" w:rsidTr="00811184">
        <w:trPr>
          <w:tblCellSpacing w:w="0" w:type="dxa"/>
        </w:trPr>
        <w:tc>
          <w:tcPr>
            <w:tcW w:w="0" w:type="auto"/>
            <w:vAlign w:val="bottom"/>
            <w:hideMark/>
          </w:tcPr>
          <w:p w:rsidR="00811184" w:rsidRPr="00811184" w:rsidRDefault="00811184" w:rsidP="00811184">
            <w:pPr>
              <w:pStyle w:val="Sansinterligne"/>
              <w:rPr>
                <w:rFonts w:cs="Times New Roman"/>
                <w:b/>
                <w:sz w:val="16"/>
                <w:szCs w:val="16"/>
              </w:rPr>
            </w:pPr>
            <w:r w:rsidRPr="00811184">
              <w:rPr>
                <w:rFonts w:cs="Times New Roman"/>
                <w:b/>
                <w:sz w:val="16"/>
                <w:szCs w:val="16"/>
              </w:rPr>
              <w:t>Objectifs spécifiques</w:t>
            </w:r>
          </w:p>
        </w:tc>
      </w:tr>
    </w:tbl>
    <w:p w:rsidR="00811184" w:rsidRPr="00811184" w:rsidRDefault="00811184" w:rsidP="00811184">
      <w:pPr>
        <w:pStyle w:val="NormalWeb"/>
        <w:shd w:val="clear" w:color="auto" w:fill="FFFFFF"/>
        <w:ind w:left="360"/>
        <w:rPr>
          <w:color w:val="000000"/>
          <w:sz w:val="16"/>
          <w:szCs w:val="16"/>
          <w:shd w:val="clear" w:color="auto" w:fill="FFFFFF"/>
        </w:rPr>
      </w:pPr>
      <w:r w:rsidRPr="00811184">
        <w:rPr>
          <w:color w:val="000000"/>
          <w:sz w:val="16"/>
          <w:szCs w:val="16"/>
          <w:shd w:val="clear" w:color="auto" w:fill="FFFFFF"/>
        </w:rPr>
        <w:t>Dans le cas d'un bébé ou d'un enfant devant être vacciné, le candidat devra</w:t>
      </w:r>
    </w:p>
    <w:p w:rsidR="00811184" w:rsidRPr="00811184" w:rsidRDefault="00811184" w:rsidP="00AF6ADC">
      <w:pPr>
        <w:numPr>
          <w:ilvl w:val="0"/>
          <w:numId w:val="1242"/>
        </w:numPr>
        <w:shd w:val="clear" w:color="auto" w:fill="FFFFFF"/>
        <w:spacing w:before="100" w:beforeAutospacing="1" w:after="100" w:afterAutospacing="1" w:line="240" w:lineRule="auto"/>
        <w:rPr>
          <w:rFonts w:cs="Times New Roman"/>
          <w:color w:val="000000"/>
          <w:sz w:val="16"/>
          <w:szCs w:val="16"/>
          <w:shd w:val="clear" w:color="auto" w:fill="FFFFFF"/>
        </w:rPr>
      </w:pPr>
      <w:r w:rsidRPr="00811184">
        <w:rPr>
          <w:rFonts w:cs="Times New Roman"/>
          <w:color w:val="000000"/>
          <w:sz w:val="16"/>
          <w:szCs w:val="16"/>
          <w:shd w:val="clear" w:color="auto" w:fill="FFFFFF"/>
        </w:rPr>
        <w:t>énumérer et interpréter les constatations cliniques cruciales, notamment :</w:t>
      </w:r>
    </w:p>
    <w:p w:rsidR="00811184" w:rsidRPr="00811184" w:rsidRDefault="00811184" w:rsidP="00AF6ADC">
      <w:pPr>
        <w:numPr>
          <w:ilvl w:val="1"/>
          <w:numId w:val="1242"/>
        </w:numPr>
        <w:shd w:val="clear" w:color="auto" w:fill="FFFFFF"/>
        <w:spacing w:before="100" w:beforeAutospacing="1" w:after="100" w:afterAutospacing="1" w:line="240" w:lineRule="auto"/>
        <w:rPr>
          <w:rFonts w:cs="Times New Roman"/>
          <w:color w:val="000000"/>
          <w:sz w:val="16"/>
          <w:szCs w:val="16"/>
          <w:shd w:val="clear" w:color="auto" w:fill="FFFFFF"/>
        </w:rPr>
      </w:pPr>
      <w:r w:rsidRPr="00811184">
        <w:rPr>
          <w:rFonts w:cs="Times New Roman"/>
          <w:color w:val="000000"/>
          <w:sz w:val="16"/>
          <w:szCs w:val="16"/>
          <w:shd w:val="clear" w:color="auto" w:fill="FFFFFF"/>
        </w:rPr>
        <w:t>vérifier les antécédents de vaccination et déterminer s'il y a des contre-indications de l'immunisation, soit pour l'enfant ou pour un membre de sa famille (p. ex. anaphylaxie, immunosuppression);</w:t>
      </w:r>
    </w:p>
    <w:p w:rsidR="00811184" w:rsidRPr="00811184" w:rsidRDefault="00811184" w:rsidP="00AF6ADC">
      <w:pPr>
        <w:numPr>
          <w:ilvl w:val="0"/>
          <w:numId w:val="1242"/>
        </w:numPr>
        <w:shd w:val="clear" w:color="auto" w:fill="FFFFFF"/>
        <w:spacing w:before="100" w:beforeAutospacing="1" w:after="100" w:afterAutospacing="1" w:line="240" w:lineRule="auto"/>
        <w:rPr>
          <w:rFonts w:cs="Times New Roman"/>
          <w:color w:val="000000"/>
          <w:sz w:val="16"/>
          <w:szCs w:val="16"/>
          <w:shd w:val="clear" w:color="auto" w:fill="FFFFFF"/>
        </w:rPr>
      </w:pPr>
      <w:r w:rsidRPr="00811184">
        <w:rPr>
          <w:rFonts w:cs="Times New Roman"/>
          <w:color w:val="000000"/>
          <w:sz w:val="16"/>
          <w:szCs w:val="16"/>
          <w:shd w:val="clear" w:color="auto" w:fill="FFFFFF"/>
        </w:rPr>
        <w:t>établir un plan efficace de prise en charge initiale, notamment :</w:t>
      </w:r>
    </w:p>
    <w:p w:rsidR="00811184" w:rsidRPr="00811184" w:rsidRDefault="00811184" w:rsidP="00AF6ADC">
      <w:pPr>
        <w:numPr>
          <w:ilvl w:val="1"/>
          <w:numId w:val="1242"/>
        </w:numPr>
        <w:shd w:val="clear" w:color="auto" w:fill="FFFFFF"/>
        <w:spacing w:before="100" w:beforeAutospacing="1" w:after="100" w:afterAutospacing="1" w:line="240" w:lineRule="auto"/>
        <w:rPr>
          <w:rFonts w:cs="Times New Roman"/>
          <w:color w:val="000000"/>
          <w:sz w:val="16"/>
          <w:szCs w:val="16"/>
          <w:shd w:val="clear" w:color="auto" w:fill="FFFFFF"/>
        </w:rPr>
      </w:pPr>
      <w:r w:rsidRPr="00811184">
        <w:rPr>
          <w:rFonts w:cs="Times New Roman"/>
          <w:color w:val="000000"/>
          <w:sz w:val="16"/>
          <w:szCs w:val="16"/>
          <w:shd w:val="clear" w:color="auto" w:fill="FFFFFF"/>
        </w:rPr>
        <w:t>obtenir le consentement éclairé des parents;</w:t>
      </w:r>
    </w:p>
    <w:p w:rsidR="00811184" w:rsidRPr="00811184" w:rsidRDefault="00811184" w:rsidP="00AF6ADC">
      <w:pPr>
        <w:numPr>
          <w:ilvl w:val="1"/>
          <w:numId w:val="1242"/>
        </w:numPr>
        <w:shd w:val="clear" w:color="auto" w:fill="FFFFFF"/>
        <w:spacing w:before="100" w:beforeAutospacing="1" w:after="100" w:afterAutospacing="1" w:line="240" w:lineRule="auto"/>
        <w:rPr>
          <w:rFonts w:cs="Times New Roman"/>
          <w:color w:val="000000"/>
          <w:sz w:val="16"/>
          <w:szCs w:val="16"/>
          <w:shd w:val="clear" w:color="auto" w:fill="FFFFFF"/>
        </w:rPr>
      </w:pPr>
      <w:r w:rsidRPr="00811184">
        <w:rPr>
          <w:rFonts w:cs="Times New Roman"/>
          <w:color w:val="000000"/>
          <w:sz w:val="16"/>
          <w:szCs w:val="16"/>
          <w:shd w:val="clear" w:color="auto" w:fill="FFFFFF"/>
        </w:rPr>
        <w:t>fournir aux parents toute l'information dont ils ont besoin pour une prise en charge efficace de toute réaction éventuelle à un vaccin;</w:t>
      </w:r>
    </w:p>
    <w:p w:rsidR="00811184" w:rsidRPr="00811184" w:rsidRDefault="00811184" w:rsidP="00AF6ADC">
      <w:pPr>
        <w:numPr>
          <w:ilvl w:val="1"/>
          <w:numId w:val="1242"/>
        </w:numPr>
        <w:shd w:val="clear" w:color="auto" w:fill="FFFFFF"/>
        <w:spacing w:before="100" w:beforeAutospacing="1" w:after="100" w:afterAutospacing="1" w:line="240" w:lineRule="auto"/>
        <w:rPr>
          <w:rFonts w:cs="Times New Roman"/>
          <w:color w:val="000000"/>
          <w:sz w:val="16"/>
          <w:szCs w:val="16"/>
          <w:shd w:val="clear" w:color="auto" w:fill="FFFFFF"/>
        </w:rPr>
      </w:pPr>
      <w:r w:rsidRPr="00811184">
        <w:rPr>
          <w:rFonts w:cs="Times New Roman"/>
          <w:color w:val="000000"/>
          <w:sz w:val="16"/>
          <w:szCs w:val="16"/>
          <w:shd w:val="clear" w:color="auto" w:fill="FFFFFF"/>
        </w:rPr>
        <w:t>donner un aperçu du calendrier approprié de vaccination, y compris en cas de dérogations au calendrier de vaccination usuel en raison de circonstances particulières (p. ex. calendrier de rattrapage, enfant immunodéprimé);</w:t>
      </w:r>
    </w:p>
    <w:p w:rsidR="00811184" w:rsidRPr="00811184" w:rsidRDefault="00811184" w:rsidP="00AF6ADC">
      <w:pPr>
        <w:numPr>
          <w:ilvl w:val="1"/>
          <w:numId w:val="1242"/>
        </w:numPr>
        <w:shd w:val="clear" w:color="auto" w:fill="FFFFFF"/>
        <w:spacing w:before="100" w:beforeAutospacing="1" w:after="100" w:afterAutospacing="1" w:line="240" w:lineRule="auto"/>
        <w:rPr>
          <w:rFonts w:cs="Times New Roman"/>
          <w:color w:val="000000"/>
          <w:sz w:val="16"/>
          <w:szCs w:val="16"/>
          <w:shd w:val="clear" w:color="auto" w:fill="FFFFFF"/>
        </w:rPr>
      </w:pPr>
      <w:r w:rsidRPr="00811184">
        <w:rPr>
          <w:rFonts w:cs="Times New Roman"/>
          <w:color w:val="000000"/>
          <w:sz w:val="16"/>
          <w:szCs w:val="16"/>
          <w:shd w:val="clear" w:color="auto" w:fill="FFFFFF"/>
        </w:rPr>
        <w:t>conseiller les parents qui refusent que leur enfant soit vacciné;</w:t>
      </w:r>
    </w:p>
    <w:p w:rsidR="00811184" w:rsidRPr="00B208B9" w:rsidRDefault="00811184" w:rsidP="00AF6ADC">
      <w:pPr>
        <w:numPr>
          <w:ilvl w:val="1"/>
          <w:numId w:val="1242"/>
        </w:numPr>
        <w:shd w:val="clear" w:color="auto" w:fill="FFFFFF"/>
        <w:spacing w:before="100" w:beforeAutospacing="1" w:after="100" w:afterAutospacing="1" w:line="240" w:lineRule="auto"/>
        <w:rPr>
          <w:rFonts w:cs="Times New Roman"/>
          <w:color w:val="000000"/>
          <w:sz w:val="16"/>
          <w:szCs w:val="16"/>
          <w:shd w:val="clear" w:color="auto" w:fill="FFFFFF"/>
        </w:rPr>
      </w:pPr>
      <w:r w:rsidRPr="00811184">
        <w:rPr>
          <w:rFonts w:cs="Times New Roman"/>
          <w:color w:val="000000"/>
          <w:sz w:val="16"/>
          <w:szCs w:val="16"/>
          <w:shd w:val="clear" w:color="auto" w:fill="FFFFFF"/>
        </w:rPr>
        <w:t>déclarer toute réaction indésirable, s'il y a lieu.</w:t>
      </w:r>
    </w:p>
    <w:p w:rsidR="00811184" w:rsidRPr="00B208B9" w:rsidRDefault="00B208B9" w:rsidP="00B208B9">
      <w:pPr>
        <w:pStyle w:val="Sansinterligne"/>
        <w:rPr>
          <w:b/>
          <w:sz w:val="28"/>
          <w:szCs w:val="28"/>
        </w:rPr>
      </w:pPr>
      <w:r w:rsidRPr="00B208B9">
        <w:rPr>
          <w:b/>
          <w:sz w:val="28"/>
          <w:szCs w:val="28"/>
        </w:rPr>
        <w:t>Antécédents vaccinaux</w:t>
      </w:r>
      <w:r w:rsidR="00F55C82">
        <w:rPr>
          <w:b/>
          <w:sz w:val="28"/>
          <w:szCs w:val="28"/>
        </w:rPr>
        <w:t xml:space="preserve"> et précautions</w:t>
      </w:r>
    </w:p>
    <w:p w:rsidR="00B208B9" w:rsidRDefault="00B208B9" w:rsidP="00B208B9">
      <w:pPr>
        <w:pStyle w:val="Sansinterligne"/>
      </w:pPr>
    </w:p>
    <w:p w:rsidR="00766BD6" w:rsidRDefault="00C7224E" w:rsidP="00766BD6">
      <w:pPr>
        <w:pStyle w:val="Sansinterligne"/>
        <w:ind w:right="4988"/>
      </w:pPr>
      <w:r w:rsidRPr="00DA7604">
        <w:rPr>
          <w:u w:val="single"/>
        </w:rPr>
        <w:t>Réaction anaphylactique à un vaccin combiné</w:t>
      </w:r>
      <w:r>
        <w:t xml:space="preserve"> </w:t>
      </w:r>
    </w:p>
    <w:p w:rsidR="00B208B9" w:rsidRDefault="00B425E3" w:rsidP="00766BD6">
      <w:pPr>
        <w:pStyle w:val="Sansinterligne"/>
        <w:ind w:right="4988"/>
      </w:pPr>
      <w:r>
        <w:rPr>
          <w:noProof/>
          <w:lang w:eastAsia="fr-CA"/>
        </w:rPr>
        <w:drawing>
          <wp:anchor distT="0" distB="0" distL="114300" distR="114300" simplePos="0" relativeHeight="252082176" behindDoc="0" locked="0" layoutInCell="1" allowOverlap="1" wp14:anchorId="60AAE841" wp14:editId="179CFEA0">
            <wp:simplePos x="0" y="0"/>
            <wp:positionH relativeFrom="column">
              <wp:posOffset>3832225</wp:posOffset>
            </wp:positionH>
            <wp:positionV relativeFrom="paragraph">
              <wp:posOffset>57785</wp:posOffset>
            </wp:positionV>
            <wp:extent cx="2985770" cy="2494915"/>
            <wp:effectExtent l="0" t="0" r="5080" b="635"/>
            <wp:wrapNone/>
            <wp:docPr id="559" name="Image 559" descr="Résultats de recherche d'images pour « vaccin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ésultats de recherche d'images pour « vaccins »"/>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2985770" cy="2494915"/>
                    </a:xfrm>
                    <a:prstGeom prst="rect">
                      <a:avLst/>
                    </a:prstGeom>
                    <a:noFill/>
                    <a:ln>
                      <a:noFill/>
                    </a:ln>
                  </pic:spPr>
                </pic:pic>
              </a:graphicData>
            </a:graphic>
            <wp14:sizeRelH relativeFrom="page">
              <wp14:pctWidth>0</wp14:pctWidth>
            </wp14:sizeRelH>
            <wp14:sizeRelV relativeFrom="page">
              <wp14:pctHeight>0</wp14:pctHeight>
            </wp14:sizeRelV>
          </wp:anchor>
        </w:drawing>
      </w:r>
      <w:r w:rsidR="00C7224E">
        <w:rPr>
          <w:rFonts w:ascii="Century Gothic" w:hAnsi="Century Gothic"/>
        </w:rPr>
        <w:t>→</w:t>
      </w:r>
      <w:r w:rsidR="00C7224E">
        <w:t xml:space="preserve"> référence en immunologie</w:t>
      </w:r>
    </w:p>
    <w:p w:rsidR="00766BD6" w:rsidRDefault="00C7224E" w:rsidP="00766BD6">
      <w:pPr>
        <w:pStyle w:val="Sansinterligne"/>
        <w:ind w:right="4988"/>
        <w:rPr>
          <w:highlight w:val="yellow"/>
          <w:u w:val="single"/>
        </w:rPr>
      </w:pPr>
      <w:r w:rsidRPr="00DA7604">
        <w:rPr>
          <w:highlight w:val="yellow"/>
          <w:u w:val="single"/>
        </w:rPr>
        <w:t xml:space="preserve">Réaction anaphylactique à un vaccin </w:t>
      </w:r>
    </w:p>
    <w:p w:rsidR="00C7224E" w:rsidRDefault="00C7224E" w:rsidP="00766BD6">
      <w:pPr>
        <w:pStyle w:val="Sansinterligne"/>
        <w:ind w:right="4988"/>
      </w:pPr>
      <w:r w:rsidRPr="00DA7604">
        <w:rPr>
          <w:rFonts w:ascii="Century Gothic" w:hAnsi="Century Gothic"/>
          <w:highlight w:val="yellow"/>
        </w:rPr>
        <w:t>→</w:t>
      </w:r>
      <w:r w:rsidRPr="00DA7604">
        <w:rPr>
          <w:highlight w:val="yellow"/>
        </w:rPr>
        <w:t xml:space="preserve"> contre-indication absolue aux vaccins </w:t>
      </w:r>
      <w:r w:rsidRPr="00B834BB">
        <w:rPr>
          <w:b/>
          <w:highlight w:val="yellow"/>
        </w:rPr>
        <w:t>contenant le même antigène</w:t>
      </w:r>
    </w:p>
    <w:p w:rsidR="00766BD6" w:rsidRDefault="00C7224E" w:rsidP="00766BD6">
      <w:pPr>
        <w:pStyle w:val="Sansinterligne"/>
        <w:ind w:right="4988"/>
      </w:pPr>
      <w:r w:rsidRPr="00DA7604">
        <w:rPr>
          <w:u w:val="single"/>
        </w:rPr>
        <w:t>Allergie aux œufs</w:t>
      </w:r>
      <w:r>
        <w:t> </w:t>
      </w:r>
    </w:p>
    <w:p w:rsidR="00C7224E" w:rsidRDefault="00C7224E" w:rsidP="00766BD6">
      <w:pPr>
        <w:pStyle w:val="Sansinterligne"/>
        <w:ind w:right="4988"/>
      </w:pPr>
      <w:r>
        <w:rPr>
          <w:rFonts w:ascii="Century Gothic" w:hAnsi="Century Gothic"/>
        </w:rPr>
        <w:t>→</w:t>
      </w:r>
      <w:r>
        <w:t xml:space="preserve"> contre-indication à la vaccination à la fièvre jaune SEULEMENT</w:t>
      </w:r>
    </w:p>
    <w:p w:rsidR="00766BD6" w:rsidRDefault="00C7224E" w:rsidP="00766BD6">
      <w:pPr>
        <w:pStyle w:val="Sansinterligne"/>
        <w:ind w:right="4988"/>
      </w:pPr>
      <w:r w:rsidRPr="00DA7604">
        <w:rPr>
          <w:u w:val="single"/>
        </w:rPr>
        <w:t>Spasmes infantiles ou épilepsie non-stable</w:t>
      </w:r>
      <w:r>
        <w:t xml:space="preserve"> </w:t>
      </w:r>
    </w:p>
    <w:p w:rsidR="00C7224E" w:rsidRDefault="00C7224E" w:rsidP="00766BD6">
      <w:pPr>
        <w:pStyle w:val="Sansinterligne"/>
        <w:ind w:right="4988"/>
      </w:pPr>
      <w:r>
        <w:rPr>
          <w:rFonts w:ascii="Century Gothic" w:hAnsi="Century Gothic"/>
        </w:rPr>
        <w:t>→</w:t>
      </w:r>
      <w:r>
        <w:t xml:space="preserve"> contre-indication à la vaccination contenant coqueluche</w:t>
      </w:r>
    </w:p>
    <w:p w:rsidR="00766BD6" w:rsidRDefault="00C7224E" w:rsidP="00766BD6">
      <w:pPr>
        <w:pStyle w:val="Sansinterligne"/>
        <w:ind w:right="4988"/>
      </w:pPr>
      <w:r w:rsidRPr="00DA7604">
        <w:rPr>
          <w:u w:val="single"/>
        </w:rPr>
        <w:t>Névrite ou Syndrome de Guillain-Barré post-vaccin</w:t>
      </w:r>
      <w:r>
        <w:t xml:space="preserve"> </w:t>
      </w:r>
    </w:p>
    <w:p w:rsidR="00C7224E" w:rsidRDefault="00C7224E" w:rsidP="00766BD6">
      <w:pPr>
        <w:pStyle w:val="Sansinterligne"/>
        <w:ind w:right="4988"/>
      </w:pPr>
      <w:r>
        <w:rPr>
          <w:rFonts w:ascii="Century Gothic" w:hAnsi="Century Gothic"/>
        </w:rPr>
        <w:t>→</w:t>
      </w:r>
      <w:r>
        <w:t xml:space="preserve"> contre-indication à réutiliser le même vaccin</w:t>
      </w:r>
    </w:p>
    <w:p w:rsidR="00766BD6" w:rsidRDefault="00C7224E" w:rsidP="00766BD6">
      <w:pPr>
        <w:pStyle w:val="Sansinterligne"/>
        <w:ind w:right="4988"/>
        <w:rPr>
          <w:rFonts w:ascii="Century Gothic" w:hAnsi="Century Gothic"/>
          <w:highlight w:val="yellow"/>
        </w:rPr>
      </w:pPr>
      <w:r w:rsidRPr="00DA7604">
        <w:rPr>
          <w:highlight w:val="yellow"/>
          <w:u w:val="single"/>
        </w:rPr>
        <w:t xml:space="preserve">Immunodéficience (incluant prise de corticostéroïdes </w:t>
      </w:r>
      <w:r w:rsidR="00766BD6">
        <w:rPr>
          <w:highlight w:val="yellow"/>
          <w:u w:val="single"/>
        </w:rPr>
        <w:t>PO/IV</w:t>
      </w:r>
      <w:r w:rsidR="00DA7604" w:rsidRPr="00DA7604">
        <w:rPr>
          <w:highlight w:val="yellow"/>
          <w:u w:val="single"/>
        </w:rPr>
        <w:t>)</w:t>
      </w:r>
      <w:r w:rsidRPr="00DA7604">
        <w:rPr>
          <w:rFonts w:ascii="Century Gothic" w:hAnsi="Century Gothic"/>
          <w:highlight w:val="yellow"/>
        </w:rPr>
        <w:t xml:space="preserve"> </w:t>
      </w:r>
      <w:r w:rsidR="00766BD6">
        <w:rPr>
          <w:rFonts w:ascii="Century Gothic" w:hAnsi="Century Gothic"/>
          <w:highlight w:val="yellow"/>
        </w:rPr>
        <w:t xml:space="preserve"> </w:t>
      </w:r>
    </w:p>
    <w:p w:rsidR="00C7224E" w:rsidRDefault="00C7224E" w:rsidP="00766BD6">
      <w:pPr>
        <w:pStyle w:val="Sansinterligne"/>
        <w:ind w:right="4988"/>
      </w:pPr>
      <w:r w:rsidRPr="00DA7604">
        <w:rPr>
          <w:rFonts w:ascii="Century Gothic" w:hAnsi="Century Gothic"/>
          <w:highlight w:val="yellow"/>
        </w:rPr>
        <w:t>→</w:t>
      </w:r>
      <w:r w:rsidRPr="00DA7604">
        <w:rPr>
          <w:highlight w:val="yellow"/>
        </w:rPr>
        <w:t xml:space="preserve"> contre-indication aux vaccins vivants</w:t>
      </w:r>
    </w:p>
    <w:p w:rsidR="00766BD6" w:rsidRDefault="0077412D" w:rsidP="00766BD6">
      <w:pPr>
        <w:pStyle w:val="Sansinterligne"/>
        <w:ind w:right="4988"/>
      </w:pPr>
      <w:r w:rsidRPr="0077412D">
        <w:rPr>
          <w:u w:val="single"/>
        </w:rPr>
        <w:t>Troubles de la coagulation</w:t>
      </w:r>
      <w:r>
        <w:t xml:space="preserve"> </w:t>
      </w:r>
    </w:p>
    <w:p w:rsidR="0077412D" w:rsidRDefault="0077412D" w:rsidP="00766BD6">
      <w:pPr>
        <w:pStyle w:val="Sansinterligne"/>
        <w:ind w:right="4988"/>
      </w:pPr>
      <w:r w:rsidRPr="0077412D">
        <w:rPr>
          <w:rFonts w:ascii="Century Gothic" w:hAnsi="Century Gothic"/>
        </w:rPr>
        <w:t>→</w:t>
      </w:r>
      <w:r>
        <w:t xml:space="preserve"> utiliser une aiguille plus petite puis comprimer </w:t>
      </w:r>
      <w:r>
        <w:rPr>
          <w:rFonts w:cs="Times New Roman"/>
        </w:rPr>
        <w:t>~</w:t>
      </w:r>
      <w:r>
        <w:t xml:space="preserve"> 5 min le site de vaccination</w:t>
      </w:r>
    </w:p>
    <w:p w:rsidR="00B208B9" w:rsidRDefault="00B208B9" w:rsidP="00B208B9">
      <w:pPr>
        <w:pStyle w:val="Sansinterligne"/>
      </w:pPr>
    </w:p>
    <w:p w:rsidR="00811184" w:rsidRPr="00B208B9" w:rsidRDefault="00B208B9" w:rsidP="00B208B9">
      <w:pPr>
        <w:pStyle w:val="Sansinterligne"/>
        <w:rPr>
          <w:b/>
          <w:sz w:val="28"/>
          <w:szCs w:val="28"/>
        </w:rPr>
      </w:pPr>
      <w:r w:rsidRPr="00B208B9">
        <w:rPr>
          <w:b/>
          <w:sz w:val="28"/>
          <w:szCs w:val="28"/>
        </w:rPr>
        <w:t>Vaccination</w:t>
      </w:r>
    </w:p>
    <w:p w:rsidR="00B208B9" w:rsidRDefault="00B208B9" w:rsidP="00B208B9">
      <w:pPr>
        <w:pStyle w:val="Sansinterligne"/>
      </w:pPr>
    </w:p>
    <w:p w:rsidR="00B208B9" w:rsidRDefault="00B208B9" w:rsidP="00B208B9">
      <w:pPr>
        <w:pStyle w:val="Sansinterligne"/>
      </w:pPr>
      <w:r>
        <w:t>Il faut obtenir le consentement éclairé des parents. Pour ce faire, il faut leur expliquer les risques et inconvénients des vaccins.</w:t>
      </w:r>
      <w:r w:rsidR="0077412D">
        <w:t xml:space="preserve"> Les parents réticents aux vaccins doivent être avisés qu’il s’agit d’une décision importante pour leur enfant</w:t>
      </w:r>
      <w:r w:rsidR="00B834BB">
        <w:t>, la santé publique</w:t>
      </w:r>
      <w:r w:rsidR="0077412D">
        <w:t xml:space="preserve"> et pas seulement pour eux.</w:t>
      </w:r>
    </w:p>
    <w:p w:rsidR="00B208B9" w:rsidRDefault="00B208B9" w:rsidP="00B208B9">
      <w:pPr>
        <w:pStyle w:val="Sansinterligne"/>
      </w:pPr>
    </w:p>
    <w:p w:rsidR="00AD0953" w:rsidRDefault="00AD0953" w:rsidP="00B208B9">
      <w:pPr>
        <w:pStyle w:val="Sansinterligne"/>
        <w:sectPr w:rsidR="00AD0953" w:rsidSect="00217865">
          <w:type w:val="continuous"/>
          <w:pgSz w:w="12240" w:h="15840"/>
          <w:pgMar w:top="720" w:right="720" w:bottom="720" w:left="720" w:header="708" w:footer="708" w:gutter="0"/>
          <w:cols w:space="708"/>
          <w:docGrid w:linePitch="360"/>
        </w:sectPr>
      </w:pPr>
    </w:p>
    <w:p w:rsidR="00B208B9" w:rsidRPr="00AD0953" w:rsidRDefault="00B208B9" w:rsidP="00B208B9">
      <w:pPr>
        <w:pStyle w:val="Sansinterligne"/>
        <w:rPr>
          <w:b/>
        </w:rPr>
      </w:pPr>
      <w:r w:rsidRPr="00AD0953">
        <w:rPr>
          <w:b/>
        </w:rPr>
        <w:t>Avant</w:t>
      </w:r>
      <w:r w:rsidR="00AD0953" w:rsidRPr="00AD0953">
        <w:rPr>
          <w:b/>
        </w:rPr>
        <w:t>ages </w:t>
      </w:r>
      <w:r w:rsidRPr="00AD0953">
        <w:rPr>
          <w:b/>
        </w:rPr>
        <w:t xml:space="preserve"> </w:t>
      </w:r>
    </w:p>
    <w:p w:rsidR="00B208B9" w:rsidRPr="005D22DB" w:rsidRDefault="00B208B9" w:rsidP="00AF6ADC">
      <w:pPr>
        <w:pStyle w:val="Sansinterligne"/>
        <w:numPr>
          <w:ilvl w:val="0"/>
          <w:numId w:val="1243"/>
        </w:numPr>
        <w:rPr>
          <w:highlight w:val="yellow"/>
        </w:rPr>
      </w:pPr>
      <w:r w:rsidRPr="005D22DB">
        <w:rPr>
          <w:highlight w:val="yellow"/>
        </w:rPr>
        <w:t>Sécuritaires</w:t>
      </w:r>
    </w:p>
    <w:p w:rsidR="00B208B9" w:rsidRPr="005D22DB" w:rsidRDefault="00B208B9" w:rsidP="00AF6ADC">
      <w:pPr>
        <w:pStyle w:val="Sansinterligne"/>
        <w:numPr>
          <w:ilvl w:val="0"/>
          <w:numId w:val="1243"/>
        </w:numPr>
        <w:rPr>
          <w:highlight w:val="yellow"/>
        </w:rPr>
      </w:pPr>
      <w:r w:rsidRPr="005D22DB">
        <w:rPr>
          <w:highlight w:val="yellow"/>
        </w:rPr>
        <w:t>Éprouvés</w:t>
      </w:r>
    </w:p>
    <w:p w:rsidR="00B208B9" w:rsidRPr="005D22DB" w:rsidRDefault="00B208B9" w:rsidP="00AF6ADC">
      <w:pPr>
        <w:pStyle w:val="Sansinterligne"/>
        <w:numPr>
          <w:ilvl w:val="0"/>
          <w:numId w:val="1243"/>
        </w:numPr>
        <w:rPr>
          <w:highlight w:val="yellow"/>
        </w:rPr>
      </w:pPr>
      <w:r w:rsidRPr="005D22DB">
        <w:rPr>
          <w:highlight w:val="yellow"/>
        </w:rPr>
        <w:t>Protègent leur enfant des maladies graves</w:t>
      </w:r>
    </w:p>
    <w:p w:rsidR="00B208B9" w:rsidRPr="005D22DB" w:rsidRDefault="00B208B9" w:rsidP="00AF6ADC">
      <w:pPr>
        <w:pStyle w:val="Sansinterligne"/>
        <w:numPr>
          <w:ilvl w:val="0"/>
          <w:numId w:val="1243"/>
        </w:numPr>
        <w:rPr>
          <w:highlight w:val="yellow"/>
        </w:rPr>
      </w:pPr>
      <w:r w:rsidRPr="005D22DB">
        <w:rPr>
          <w:highlight w:val="yellow"/>
        </w:rPr>
        <w:t xml:space="preserve">Protège </w:t>
      </w:r>
      <w:r w:rsidR="00AD0953" w:rsidRPr="005D22DB">
        <w:rPr>
          <w:highlight w:val="yellow"/>
        </w:rPr>
        <w:t>leur entourage et la communauté</w:t>
      </w:r>
    </w:p>
    <w:p w:rsidR="00AD0953" w:rsidRDefault="00AD0953" w:rsidP="00B208B9">
      <w:pPr>
        <w:pStyle w:val="Sansinterligne"/>
      </w:pPr>
    </w:p>
    <w:p w:rsidR="00B208B9" w:rsidRPr="005D22DB" w:rsidRDefault="00AD0953" w:rsidP="00B208B9">
      <w:pPr>
        <w:pStyle w:val="Sansinterligne"/>
        <w:rPr>
          <w:b/>
        </w:rPr>
      </w:pPr>
      <w:r w:rsidRPr="005D22DB">
        <w:rPr>
          <w:b/>
        </w:rPr>
        <w:t>Désavantages </w:t>
      </w:r>
      <w:r w:rsidR="00B208B9" w:rsidRPr="005D22DB">
        <w:rPr>
          <w:b/>
        </w:rPr>
        <w:t xml:space="preserve"> </w:t>
      </w:r>
    </w:p>
    <w:p w:rsidR="00B208B9" w:rsidRDefault="00B208B9" w:rsidP="00AF6ADC">
      <w:pPr>
        <w:pStyle w:val="Sansinterligne"/>
        <w:numPr>
          <w:ilvl w:val="0"/>
          <w:numId w:val="1244"/>
        </w:numPr>
      </w:pPr>
      <w:r>
        <w:t>Rares réactions vaccinales</w:t>
      </w:r>
    </w:p>
    <w:p w:rsidR="00B208B9" w:rsidRDefault="00B208B9" w:rsidP="00AF6ADC">
      <w:pPr>
        <w:pStyle w:val="Sansinterligne"/>
        <w:numPr>
          <w:ilvl w:val="0"/>
          <w:numId w:val="1244"/>
        </w:numPr>
      </w:pPr>
      <w:r>
        <w:t>Piqûre occasionnelle pour l’enfant</w:t>
      </w:r>
    </w:p>
    <w:p w:rsidR="00AD0953" w:rsidRDefault="00AD0953" w:rsidP="00B208B9">
      <w:pPr>
        <w:pStyle w:val="Sansinterligne"/>
        <w:sectPr w:rsidR="00AD0953" w:rsidSect="00AD0953">
          <w:type w:val="continuous"/>
          <w:pgSz w:w="12240" w:h="15840"/>
          <w:pgMar w:top="720" w:right="720" w:bottom="720" w:left="720" w:header="708" w:footer="708" w:gutter="0"/>
          <w:cols w:num="2" w:space="708"/>
          <w:docGrid w:linePitch="360"/>
        </w:sectPr>
      </w:pPr>
    </w:p>
    <w:p w:rsidR="00B208B9" w:rsidRDefault="00B208B9" w:rsidP="00B208B9">
      <w:pPr>
        <w:pStyle w:val="Sansinterligne"/>
      </w:pPr>
    </w:p>
    <w:p w:rsidR="00B208B9" w:rsidRDefault="00B208B9" w:rsidP="00766BD6">
      <w:pPr>
        <w:pStyle w:val="Sansinterligne"/>
        <w:jc w:val="center"/>
      </w:pPr>
      <w:r>
        <w:t>Le calendrier de vaccination recommandé aux enfants sans particularités est le suivant :</w:t>
      </w:r>
    </w:p>
    <w:p w:rsidR="00B208B9" w:rsidRDefault="00B208B9" w:rsidP="005D22DB">
      <w:pPr>
        <w:pStyle w:val="Sansinterligne"/>
        <w:jc w:val="center"/>
      </w:pPr>
      <w:r>
        <w:rPr>
          <w:noProof/>
          <w:lang w:eastAsia="fr-CA"/>
        </w:rPr>
        <w:drawing>
          <wp:inline distT="0" distB="0" distL="0" distR="0" wp14:anchorId="7CE10102" wp14:editId="5EF0B577">
            <wp:extent cx="3939702" cy="2392907"/>
            <wp:effectExtent l="0" t="0" r="3810" b="7620"/>
            <wp:docPr id="554" name="Image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lendrier régulier du PIQ.PNG"/>
                    <pic:cNvPicPr/>
                  </pic:nvPicPr>
                  <pic:blipFill rotWithShape="1">
                    <a:blip r:embed="rId243">
                      <a:extLst>
                        <a:ext uri="{28A0092B-C50C-407E-A947-70E740481C1C}">
                          <a14:useLocalDpi xmlns:a14="http://schemas.microsoft.com/office/drawing/2010/main" val="0"/>
                        </a:ext>
                      </a:extLst>
                    </a:blip>
                    <a:srcRect b="1361"/>
                    <a:stretch/>
                  </pic:blipFill>
                  <pic:spPr bwMode="auto">
                    <a:xfrm>
                      <a:off x="0" y="0"/>
                      <a:ext cx="3942318" cy="2394496"/>
                    </a:xfrm>
                    <a:prstGeom prst="rect">
                      <a:avLst/>
                    </a:prstGeom>
                    <a:ln>
                      <a:noFill/>
                    </a:ln>
                    <a:extLst>
                      <a:ext uri="{53640926-AAD7-44D8-BBD7-CCE9431645EC}">
                        <a14:shadowObscured xmlns:a14="http://schemas.microsoft.com/office/drawing/2010/main"/>
                      </a:ext>
                    </a:extLst>
                  </pic:spPr>
                </pic:pic>
              </a:graphicData>
            </a:graphic>
          </wp:inline>
        </w:drawing>
      </w:r>
    </w:p>
    <w:tbl>
      <w:tblPr>
        <w:tblStyle w:val="Grilledutableau"/>
        <w:tblW w:w="0" w:type="auto"/>
        <w:tblInd w:w="1524" w:type="dxa"/>
        <w:tblLook w:val="04A0" w:firstRow="1" w:lastRow="0" w:firstColumn="1" w:lastColumn="0" w:noHBand="0" w:noVBand="1"/>
      </w:tblPr>
      <w:tblGrid>
        <w:gridCol w:w="2235"/>
        <w:gridCol w:w="2764"/>
        <w:gridCol w:w="2764"/>
      </w:tblGrid>
      <w:tr w:rsidR="00C7224E" w:rsidTr="00C7224E">
        <w:tc>
          <w:tcPr>
            <w:tcW w:w="7763" w:type="dxa"/>
            <w:gridSpan w:val="3"/>
            <w:shd w:val="clear" w:color="auto" w:fill="FFC000"/>
          </w:tcPr>
          <w:p w:rsidR="00C7224E" w:rsidRPr="00874371" w:rsidRDefault="00C7224E" w:rsidP="00C7224E">
            <w:pPr>
              <w:pStyle w:val="Sansinterligne"/>
              <w:jc w:val="center"/>
              <w:rPr>
                <w:sz w:val="16"/>
                <w:szCs w:val="16"/>
              </w:rPr>
            </w:pPr>
            <w:r w:rsidRPr="00874371">
              <w:rPr>
                <w:sz w:val="16"/>
                <w:szCs w:val="16"/>
              </w:rPr>
              <w:t>Légende et types de vaccins</w:t>
            </w:r>
          </w:p>
        </w:tc>
      </w:tr>
      <w:tr w:rsidR="00766BD6" w:rsidTr="00766BD6">
        <w:tc>
          <w:tcPr>
            <w:tcW w:w="2235" w:type="dxa"/>
            <w:shd w:val="clear" w:color="auto" w:fill="FFC000"/>
            <w:vAlign w:val="center"/>
          </w:tcPr>
          <w:p w:rsidR="00766BD6" w:rsidRPr="00874371" w:rsidRDefault="00766BD6" w:rsidP="00C7224E">
            <w:pPr>
              <w:pStyle w:val="Sansinterligne"/>
              <w:jc w:val="center"/>
              <w:rPr>
                <w:sz w:val="16"/>
                <w:szCs w:val="16"/>
              </w:rPr>
            </w:pPr>
            <w:r w:rsidRPr="00874371">
              <w:rPr>
                <w:sz w:val="16"/>
                <w:szCs w:val="16"/>
              </w:rPr>
              <w:t>Vaccins vivants atténués</w:t>
            </w:r>
          </w:p>
        </w:tc>
        <w:tc>
          <w:tcPr>
            <w:tcW w:w="2764" w:type="dxa"/>
            <w:tcBorders>
              <w:right w:val="single" w:sz="4" w:space="0" w:color="FFFFFF" w:themeColor="background1"/>
            </w:tcBorders>
          </w:tcPr>
          <w:p w:rsidR="00766BD6" w:rsidRPr="00874371" w:rsidRDefault="00766BD6" w:rsidP="00FB0183">
            <w:pPr>
              <w:pStyle w:val="Sansinterligne"/>
              <w:rPr>
                <w:b/>
                <w:sz w:val="16"/>
                <w:szCs w:val="16"/>
                <w:lang w:val="es-NI"/>
              </w:rPr>
            </w:pPr>
            <w:r w:rsidRPr="00874371">
              <w:rPr>
                <w:b/>
                <w:sz w:val="16"/>
                <w:szCs w:val="16"/>
                <w:lang w:val="es-NI"/>
              </w:rPr>
              <w:t>Rota : Rotavirus</w:t>
            </w:r>
          </w:p>
          <w:p w:rsidR="00766BD6" w:rsidRPr="00874371" w:rsidRDefault="00766BD6" w:rsidP="00FB0183">
            <w:pPr>
              <w:pStyle w:val="Sansinterligne"/>
              <w:rPr>
                <w:b/>
                <w:sz w:val="16"/>
                <w:szCs w:val="16"/>
              </w:rPr>
            </w:pPr>
            <w:r w:rsidRPr="00874371">
              <w:rPr>
                <w:b/>
                <w:sz w:val="16"/>
                <w:szCs w:val="16"/>
              </w:rPr>
              <w:t>RRO : Rougeole, rubéole, oreillons</w:t>
            </w:r>
          </w:p>
          <w:p w:rsidR="00766BD6" w:rsidRPr="00874371" w:rsidRDefault="00766BD6" w:rsidP="00FB0183">
            <w:pPr>
              <w:pStyle w:val="Sansinterligne"/>
              <w:rPr>
                <w:b/>
                <w:sz w:val="16"/>
                <w:szCs w:val="16"/>
              </w:rPr>
            </w:pPr>
            <w:r w:rsidRPr="00874371">
              <w:rPr>
                <w:b/>
                <w:sz w:val="16"/>
                <w:szCs w:val="16"/>
              </w:rPr>
              <w:t>Var : Varicelle</w:t>
            </w:r>
          </w:p>
        </w:tc>
        <w:tc>
          <w:tcPr>
            <w:tcW w:w="2764" w:type="dxa"/>
            <w:tcBorders>
              <w:left w:val="single" w:sz="4" w:space="0" w:color="FFFFFF" w:themeColor="background1"/>
            </w:tcBorders>
          </w:tcPr>
          <w:p w:rsidR="00766BD6" w:rsidRPr="00874371" w:rsidRDefault="00766BD6" w:rsidP="00B208B9">
            <w:pPr>
              <w:pStyle w:val="Sansinterligne"/>
              <w:rPr>
                <w:sz w:val="16"/>
                <w:szCs w:val="16"/>
              </w:rPr>
            </w:pPr>
            <w:r w:rsidRPr="00874371">
              <w:rPr>
                <w:sz w:val="16"/>
                <w:szCs w:val="16"/>
              </w:rPr>
              <w:t>Influenza</w:t>
            </w:r>
          </w:p>
          <w:p w:rsidR="00766BD6" w:rsidRPr="00874371" w:rsidRDefault="00766BD6" w:rsidP="00B208B9">
            <w:pPr>
              <w:pStyle w:val="Sansinterligne"/>
              <w:rPr>
                <w:sz w:val="16"/>
                <w:szCs w:val="16"/>
              </w:rPr>
            </w:pPr>
            <w:r w:rsidRPr="00874371">
              <w:rPr>
                <w:sz w:val="16"/>
                <w:szCs w:val="16"/>
              </w:rPr>
              <w:t>Turberculos (BCG)</w:t>
            </w:r>
          </w:p>
        </w:tc>
      </w:tr>
      <w:tr w:rsidR="00766BD6" w:rsidTr="00766BD6">
        <w:tc>
          <w:tcPr>
            <w:tcW w:w="2235" w:type="dxa"/>
            <w:shd w:val="clear" w:color="auto" w:fill="FFC000"/>
            <w:vAlign w:val="center"/>
          </w:tcPr>
          <w:p w:rsidR="00766BD6" w:rsidRPr="00874371" w:rsidRDefault="00766BD6" w:rsidP="00C7224E">
            <w:pPr>
              <w:pStyle w:val="Sansinterligne"/>
              <w:jc w:val="center"/>
              <w:rPr>
                <w:sz w:val="16"/>
                <w:szCs w:val="16"/>
              </w:rPr>
            </w:pPr>
            <w:r w:rsidRPr="00874371">
              <w:rPr>
                <w:sz w:val="16"/>
                <w:szCs w:val="16"/>
              </w:rPr>
              <w:t>Vaccins inactivés entiers</w:t>
            </w:r>
          </w:p>
        </w:tc>
        <w:tc>
          <w:tcPr>
            <w:tcW w:w="2764" w:type="dxa"/>
            <w:tcBorders>
              <w:right w:val="single" w:sz="4" w:space="0" w:color="FFFFFF" w:themeColor="background1"/>
            </w:tcBorders>
          </w:tcPr>
          <w:p w:rsidR="00766BD6" w:rsidRPr="00874371" w:rsidRDefault="00766BD6" w:rsidP="00FB0183">
            <w:pPr>
              <w:pStyle w:val="Sansinterligne"/>
              <w:rPr>
                <w:b/>
                <w:sz w:val="16"/>
                <w:szCs w:val="16"/>
              </w:rPr>
            </w:pPr>
            <w:r w:rsidRPr="00874371">
              <w:rPr>
                <w:b/>
                <w:sz w:val="16"/>
                <w:szCs w:val="16"/>
              </w:rPr>
              <w:t>VPI : Vaccin contre la polyomyélite inactivé</w:t>
            </w:r>
          </w:p>
          <w:p w:rsidR="00766BD6" w:rsidRPr="00874371" w:rsidRDefault="00766BD6" w:rsidP="00B208B9">
            <w:pPr>
              <w:pStyle w:val="Sansinterligne"/>
              <w:rPr>
                <w:sz w:val="16"/>
                <w:szCs w:val="16"/>
              </w:rPr>
            </w:pPr>
            <w:r w:rsidRPr="00874371">
              <w:rPr>
                <w:sz w:val="16"/>
                <w:szCs w:val="16"/>
              </w:rPr>
              <w:t>Hépatite A</w:t>
            </w:r>
          </w:p>
        </w:tc>
        <w:tc>
          <w:tcPr>
            <w:tcW w:w="2764" w:type="dxa"/>
            <w:tcBorders>
              <w:left w:val="single" w:sz="4" w:space="0" w:color="FFFFFF" w:themeColor="background1"/>
            </w:tcBorders>
          </w:tcPr>
          <w:p w:rsidR="00766BD6" w:rsidRPr="00874371" w:rsidRDefault="00766BD6" w:rsidP="00B208B9">
            <w:pPr>
              <w:pStyle w:val="Sansinterligne"/>
              <w:rPr>
                <w:sz w:val="16"/>
                <w:szCs w:val="16"/>
              </w:rPr>
            </w:pPr>
            <w:r w:rsidRPr="00874371">
              <w:rPr>
                <w:sz w:val="16"/>
                <w:szCs w:val="16"/>
              </w:rPr>
              <w:t>Influenza</w:t>
            </w:r>
          </w:p>
          <w:p w:rsidR="00766BD6" w:rsidRPr="00874371" w:rsidRDefault="00766BD6" w:rsidP="00B208B9">
            <w:pPr>
              <w:pStyle w:val="Sansinterligne"/>
              <w:rPr>
                <w:sz w:val="16"/>
                <w:szCs w:val="16"/>
              </w:rPr>
            </w:pPr>
            <w:r w:rsidRPr="00874371">
              <w:rPr>
                <w:sz w:val="16"/>
                <w:szCs w:val="16"/>
              </w:rPr>
              <w:t>Coqueluche à germes entiers</w:t>
            </w:r>
          </w:p>
        </w:tc>
      </w:tr>
      <w:tr w:rsidR="00FB0183" w:rsidTr="00C7224E">
        <w:tc>
          <w:tcPr>
            <w:tcW w:w="2235" w:type="dxa"/>
            <w:shd w:val="clear" w:color="auto" w:fill="FFC000"/>
            <w:vAlign w:val="center"/>
          </w:tcPr>
          <w:p w:rsidR="00FB0183" w:rsidRPr="00874371" w:rsidRDefault="00FB0183" w:rsidP="00C7224E">
            <w:pPr>
              <w:pStyle w:val="Sansinterligne"/>
              <w:jc w:val="center"/>
              <w:rPr>
                <w:sz w:val="16"/>
                <w:szCs w:val="16"/>
              </w:rPr>
            </w:pPr>
            <w:r w:rsidRPr="00874371">
              <w:rPr>
                <w:sz w:val="16"/>
                <w:szCs w:val="16"/>
              </w:rPr>
              <w:t>Vaccins inactivés de protéines purifiées</w:t>
            </w:r>
          </w:p>
        </w:tc>
        <w:tc>
          <w:tcPr>
            <w:tcW w:w="5528" w:type="dxa"/>
            <w:gridSpan w:val="2"/>
          </w:tcPr>
          <w:p w:rsidR="00FB0183" w:rsidRPr="00874371" w:rsidRDefault="00FB0183" w:rsidP="00FB0183">
            <w:pPr>
              <w:pStyle w:val="Sansinterligne"/>
              <w:rPr>
                <w:b/>
                <w:sz w:val="16"/>
                <w:szCs w:val="16"/>
              </w:rPr>
            </w:pPr>
            <w:r w:rsidRPr="00874371">
              <w:rPr>
                <w:b/>
                <w:sz w:val="16"/>
                <w:szCs w:val="16"/>
              </w:rPr>
              <w:t>DCaT : Diphtérie, Coqueluche acellulaire, Tétanos</w:t>
            </w:r>
          </w:p>
          <w:p w:rsidR="00FB0183" w:rsidRPr="00874371" w:rsidRDefault="00FB0183" w:rsidP="00FB0183">
            <w:pPr>
              <w:pStyle w:val="Sansinterligne"/>
              <w:rPr>
                <w:sz w:val="16"/>
                <w:szCs w:val="16"/>
              </w:rPr>
            </w:pPr>
            <w:r w:rsidRPr="00874371">
              <w:rPr>
                <w:b/>
                <w:sz w:val="16"/>
                <w:szCs w:val="16"/>
              </w:rPr>
              <w:t>HB :</w:t>
            </w:r>
            <w:r w:rsidR="00C7224E" w:rsidRPr="00874371">
              <w:rPr>
                <w:b/>
                <w:sz w:val="16"/>
                <w:szCs w:val="16"/>
              </w:rPr>
              <w:t xml:space="preserve"> Hépatite B</w:t>
            </w:r>
          </w:p>
        </w:tc>
      </w:tr>
      <w:tr w:rsidR="00FB0183" w:rsidTr="00C7224E">
        <w:tc>
          <w:tcPr>
            <w:tcW w:w="2235" w:type="dxa"/>
            <w:shd w:val="clear" w:color="auto" w:fill="FFC000"/>
            <w:vAlign w:val="center"/>
          </w:tcPr>
          <w:p w:rsidR="00FB0183" w:rsidRPr="00874371" w:rsidRDefault="00FB0183" w:rsidP="00C7224E">
            <w:pPr>
              <w:pStyle w:val="Sansinterligne"/>
              <w:jc w:val="center"/>
              <w:rPr>
                <w:sz w:val="16"/>
                <w:szCs w:val="16"/>
              </w:rPr>
            </w:pPr>
            <w:r w:rsidRPr="00874371">
              <w:rPr>
                <w:sz w:val="16"/>
                <w:szCs w:val="16"/>
              </w:rPr>
              <w:t>Vaccins inactivés polysaccharidiques</w:t>
            </w:r>
          </w:p>
        </w:tc>
        <w:tc>
          <w:tcPr>
            <w:tcW w:w="5528" w:type="dxa"/>
            <w:gridSpan w:val="2"/>
          </w:tcPr>
          <w:p w:rsidR="00FB0183" w:rsidRPr="00874371" w:rsidRDefault="00FB0183" w:rsidP="00B208B9">
            <w:pPr>
              <w:pStyle w:val="Sansinterligne"/>
              <w:rPr>
                <w:sz w:val="16"/>
                <w:szCs w:val="16"/>
              </w:rPr>
            </w:pPr>
            <w:r w:rsidRPr="00874371">
              <w:rPr>
                <w:sz w:val="16"/>
                <w:szCs w:val="16"/>
              </w:rPr>
              <w:t>Pneumocoque 23-valent</w:t>
            </w:r>
          </w:p>
        </w:tc>
      </w:tr>
      <w:tr w:rsidR="00766BD6" w:rsidTr="00766BD6">
        <w:tc>
          <w:tcPr>
            <w:tcW w:w="2235" w:type="dxa"/>
            <w:shd w:val="clear" w:color="auto" w:fill="FFC000"/>
            <w:vAlign w:val="center"/>
          </w:tcPr>
          <w:p w:rsidR="00766BD6" w:rsidRPr="00874371" w:rsidRDefault="00766BD6" w:rsidP="00C7224E">
            <w:pPr>
              <w:pStyle w:val="Sansinterligne"/>
              <w:jc w:val="center"/>
              <w:rPr>
                <w:sz w:val="16"/>
                <w:szCs w:val="16"/>
              </w:rPr>
            </w:pPr>
            <w:r w:rsidRPr="00874371">
              <w:rPr>
                <w:sz w:val="16"/>
                <w:szCs w:val="16"/>
              </w:rPr>
              <w:t>Vaccins inactivités conjugués</w:t>
            </w:r>
          </w:p>
        </w:tc>
        <w:tc>
          <w:tcPr>
            <w:tcW w:w="2764" w:type="dxa"/>
            <w:tcBorders>
              <w:right w:val="single" w:sz="4" w:space="0" w:color="FFFFFF" w:themeColor="background1"/>
            </w:tcBorders>
          </w:tcPr>
          <w:p w:rsidR="00766BD6" w:rsidRPr="00874371" w:rsidRDefault="00766BD6" w:rsidP="00FB0183">
            <w:pPr>
              <w:pStyle w:val="Sansinterligne"/>
              <w:rPr>
                <w:b/>
                <w:sz w:val="16"/>
                <w:szCs w:val="16"/>
              </w:rPr>
            </w:pPr>
            <w:r w:rsidRPr="00874371">
              <w:rPr>
                <w:b/>
                <w:sz w:val="16"/>
                <w:szCs w:val="16"/>
              </w:rPr>
              <w:t>Hib : Haemophilus influenza type B</w:t>
            </w:r>
          </w:p>
          <w:p w:rsidR="00766BD6" w:rsidRPr="00874371" w:rsidRDefault="00766BD6" w:rsidP="00FB0183">
            <w:pPr>
              <w:pStyle w:val="Sansinterligne"/>
              <w:rPr>
                <w:b/>
                <w:sz w:val="16"/>
                <w:szCs w:val="16"/>
              </w:rPr>
            </w:pPr>
            <w:r w:rsidRPr="00874371">
              <w:rPr>
                <w:b/>
                <w:sz w:val="16"/>
                <w:szCs w:val="16"/>
              </w:rPr>
              <w:t>Pneu-C-13 : Pneumocoque conjugué 13-valent</w:t>
            </w:r>
          </w:p>
        </w:tc>
        <w:tc>
          <w:tcPr>
            <w:tcW w:w="2764" w:type="dxa"/>
            <w:tcBorders>
              <w:left w:val="single" w:sz="4" w:space="0" w:color="FFFFFF" w:themeColor="background1"/>
            </w:tcBorders>
          </w:tcPr>
          <w:p w:rsidR="00766BD6" w:rsidRPr="00874371" w:rsidRDefault="00766BD6" w:rsidP="00B208B9">
            <w:pPr>
              <w:pStyle w:val="Sansinterligne"/>
              <w:rPr>
                <w:sz w:val="16"/>
                <w:szCs w:val="16"/>
              </w:rPr>
            </w:pPr>
            <w:r w:rsidRPr="00874371">
              <w:rPr>
                <w:b/>
                <w:sz w:val="16"/>
                <w:szCs w:val="16"/>
              </w:rPr>
              <w:t>Men-C-C : Méningocoque conjugué du sérogroupe C</w:t>
            </w:r>
          </w:p>
        </w:tc>
      </w:tr>
      <w:tr w:rsidR="00FB0183" w:rsidTr="00C7224E">
        <w:tc>
          <w:tcPr>
            <w:tcW w:w="2235" w:type="dxa"/>
            <w:shd w:val="clear" w:color="auto" w:fill="FFC000"/>
            <w:vAlign w:val="center"/>
          </w:tcPr>
          <w:p w:rsidR="00FB0183" w:rsidRPr="00874371" w:rsidRDefault="00FB0183" w:rsidP="00C7224E">
            <w:pPr>
              <w:pStyle w:val="Sansinterligne"/>
              <w:jc w:val="center"/>
              <w:rPr>
                <w:sz w:val="16"/>
                <w:szCs w:val="16"/>
              </w:rPr>
            </w:pPr>
            <w:r w:rsidRPr="00874371">
              <w:rPr>
                <w:sz w:val="16"/>
                <w:szCs w:val="16"/>
              </w:rPr>
              <w:t>Vaccins protéiniques</w:t>
            </w:r>
          </w:p>
        </w:tc>
        <w:tc>
          <w:tcPr>
            <w:tcW w:w="5528" w:type="dxa"/>
            <w:gridSpan w:val="2"/>
          </w:tcPr>
          <w:p w:rsidR="00FB0183" w:rsidRPr="00874371" w:rsidRDefault="00FB0183" w:rsidP="00B208B9">
            <w:pPr>
              <w:pStyle w:val="Sansinterligne"/>
              <w:rPr>
                <w:sz w:val="16"/>
                <w:szCs w:val="16"/>
              </w:rPr>
            </w:pPr>
            <w:r w:rsidRPr="00874371">
              <w:rPr>
                <w:sz w:val="16"/>
                <w:szCs w:val="16"/>
              </w:rPr>
              <w:t xml:space="preserve">Méningocoque </w:t>
            </w:r>
            <w:r w:rsidR="009712DF">
              <w:rPr>
                <w:sz w:val="16"/>
                <w:szCs w:val="16"/>
              </w:rPr>
              <w:t xml:space="preserve">du sérogroupe </w:t>
            </w:r>
            <w:r w:rsidRPr="00874371">
              <w:rPr>
                <w:sz w:val="16"/>
                <w:szCs w:val="16"/>
              </w:rPr>
              <w:t>B</w:t>
            </w:r>
          </w:p>
        </w:tc>
      </w:tr>
      <w:tr w:rsidR="00FB0183" w:rsidTr="00C7224E">
        <w:tc>
          <w:tcPr>
            <w:tcW w:w="2235" w:type="dxa"/>
            <w:shd w:val="clear" w:color="auto" w:fill="FFC000"/>
            <w:vAlign w:val="center"/>
          </w:tcPr>
          <w:p w:rsidR="00FB0183" w:rsidRPr="00874371" w:rsidRDefault="00FB0183" w:rsidP="00C7224E">
            <w:pPr>
              <w:pStyle w:val="Sansinterligne"/>
              <w:jc w:val="center"/>
              <w:rPr>
                <w:sz w:val="16"/>
                <w:szCs w:val="16"/>
              </w:rPr>
            </w:pPr>
          </w:p>
        </w:tc>
        <w:tc>
          <w:tcPr>
            <w:tcW w:w="5528" w:type="dxa"/>
            <w:gridSpan w:val="2"/>
          </w:tcPr>
          <w:p w:rsidR="00FB0183" w:rsidRPr="00874371" w:rsidRDefault="00C7224E" w:rsidP="00B208B9">
            <w:pPr>
              <w:pStyle w:val="Sansinterligne"/>
              <w:rPr>
                <w:b/>
                <w:sz w:val="16"/>
                <w:szCs w:val="16"/>
              </w:rPr>
            </w:pPr>
            <w:r w:rsidRPr="00874371">
              <w:rPr>
                <w:b/>
                <w:sz w:val="16"/>
                <w:szCs w:val="16"/>
              </w:rPr>
              <w:t>VPH : Virus de papillome humain</w:t>
            </w:r>
          </w:p>
        </w:tc>
      </w:tr>
    </w:tbl>
    <w:p w:rsidR="00B208B9" w:rsidRPr="00643060" w:rsidRDefault="00B208B9" w:rsidP="00B208B9">
      <w:pPr>
        <w:pStyle w:val="Sansinterligne"/>
        <w:rPr>
          <w:u w:val="single"/>
        </w:rPr>
      </w:pPr>
      <w:r w:rsidRPr="00F55C82">
        <w:rPr>
          <w:u w:val="single"/>
        </w:rPr>
        <w:t>Cas particuliers</w:t>
      </w:r>
    </w:p>
    <w:p w:rsidR="00B208B9" w:rsidRPr="0057778D" w:rsidRDefault="00B208B9" w:rsidP="00AF6ADC">
      <w:pPr>
        <w:pStyle w:val="Sansinterligne"/>
        <w:numPr>
          <w:ilvl w:val="0"/>
          <w:numId w:val="1245"/>
        </w:numPr>
        <w:ind w:left="360"/>
        <w:rPr>
          <w:sz w:val="20"/>
          <w:szCs w:val="20"/>
        </w:rPr>
      </w:pPr>
      <w:r w:rsidRPr="0057778D">
        <w:rPr>
          <w:sz w:val="20"/>
          <w:szCs w:val="20"/>
        </w:rPr>
        <w:t>Enfants nés d’une mère porteuse chronique d’HBV : vaccin pour hépatite B à 0,</w:t>
      </w:r>
      <w:r w:rsidR="00B834BB">
        <w:rPr>
          <w:sz w:val="20"/>
          <w:szCs w:val="20"/>
        </w:rPr>
        <w:t xml:space="preserve"> </w:t>
      </w:r>
      <w:r w:rsidRPr="0057778D">
        <w:rPr>
          <w:sz w:val="20"/>
          <w:szCs w:val="20"/>
        </w:rPr>
        <w:t>1 et 6 mois</w:t>
      </w:r>
    </w:p>
    <w:p w:rsidR="00C7224E" w:rsidRPr="0057778D" w:rsidRDefault="00B208B9" w:rsidP="00AF6ADC">
      <w:pPr>
        <w:pStyle w:val="Sansinterligne"/>
        <w:numPr>
          <w:ilvl w:val="0"/>
          <w:numId w:val="1245"/>
        </w:numPr>
        <w:ind w:left="360"/>
        <w:rPr>
          <w:sz w:val="20"/>
          <w:szCs w:val="20"/>
        </w:rPr>
      </w:pPr>
      <w:r w:rsidRPr="0057778D">
        <w:rPr>
          <w:sz w:val="20"/>
          <w:szCs w:val="20"/>
        </w:rPr>
        <w:t xml:space="preserve">Enfant, adolescents en contact avec un porteur d’HBV (garderie, maison) : 3 doses </w:t>
      </w:r>
      <w:r w:rsidR="004977C7" w:rsidRPr="0057778D">
        <w:rPr>
          <w:sz w:val="20"/>
          <w:szCs w:val="20"/>
        </w:rPr>
        <w:t xml:space="preserve">d’HB </w:t>
      </w:r>
      <w:r w:rsidRPr="0057778D">
        <w:rPr>
          <w:sz w:val="20"/>
          <w:szCs w:val="20"/>
        </w:rPr>
        <w:t>à 0,1 et 6 mois</w:t>
      </w:r>
    </w:p>
    <w:p w:rsidR="0077412D" w:rsidRPr="0057778D" w:rsidRDefault="00C7224E" w:rsidP="00AF6ADC">
      <w:pPr>
        <w:pStyle w:val="Sansinterligne"/>
        <w:numPr>
          <w:ilvl w:val="0"/>
          <w:numId w:val="1245"/>
        </w:numPr>
        <w:ind w:left="360"/>
        <w:rPr>
          <w:sz w:val="20"/>
          <w:szCs w:val="20"/>
        </w:rPr>
      </w:pPr>
      <w:r w:rsidRPr="0057778D">
        <w:rPr>
          <w:sz w:val="20"/>
          <w:szCs w:val="20"/>
        </w:rPr>
        <w:t>Voyage dans une zone de rage endémique ou métier à risque : vaccin prophylaxique contre la rage</w:t>
      </w:r>
    </w:p>
    <w:p w:rsidR="00643060" w:rsidRPr="0057778D" w:rsidRDefault="00643060" w:rsidP="00AF6ADC">
      <w:pPr>
        <w:pStyle w:val="Sansinterligne"/>
        <w:numPr>
          <w:ilvl w:val="0"/>
          <w:numId w:val="1245"/>
        </w:numPr>
        <w:ind w:left="360"/>
        <w:rPr>
          <w:sz w:val="20"/>
          <w:szCs w:val="20"/>
        </w:rPr>
      </w:pPr>
      <w:r w:rsidRPr="0057778D">
        <w:rPr>
          <w:sz w:val="20"/>
          <w:szCs w:val="20"/>
        </w:rPr>
        <w:t xml:space="preserve">Tous les enfants </w:t>
      </w:r>
      <w:r w:rsidRPr="0057778D">
        <w:rPr>
          <w:rFonts w:ascii="Century Gothic" w:hAnsi="Century Gothic"/>
          <w:sz w:val="20"/>
          <w:szCs w:val="20"/>
        </w:rPr>
        <w:t>&gt;</w:t>
      </w:r>
      <w:r w:rsidRPr="0057778D">
        <w:rPr>
          <w:sz w:val="20"/>
          <w:szCs w:val="20"/>
        </w:rPr>
        <w:t xml:space="preserve"> 6 mois avec une maladie chronique, pulmonaire, cardiaque ou autre devrait recevoir annuellement le vaccin contre la grippe. (virus influenza).</w:t>
      </w:r>
    </w:p>
    <w:p w:rsidR="0057778D" w:rsidRPr="0057778D" w:rsidRDefault="0057778D" w:rsidP="00AF6ADC">
      <w:pPr>
        <w:pStyle w:val="Sansinterligne"/>
        <w:numPr>
          <w:ilvl w:val="0"/>
          <w:numId w:val="1245"/>
        </w:numPr>
        <w:ind w:left="360"/>
        <w:rPr>
          <w:sz w:val="20"/>
          <w:szCs w:val="20"/>
        </w:rPr>
      </w:pPr>
      <w:r w:rsidRPr="0057778D">
        <w:rPr>
          <w:sz w:val="20"/>
          <w:szCs w:val="20"/>
        </w:rPr>
        <w:t>Vaccination supplémentaire selon la zone en cas de voyage : hépatite A, encéphalite japonaise B, fièvre jaune, et typhoïde</w:t>
      </w:r>
    </w:p>
    <w:p w:rsidR="004977C7" w:rsidRDefault="004977C7" w:rsidP="00B208B9">
      <w:pPr>
        <w:pStyle w:val="Sansinterligne"/>
      </w:pPr>
    </w:p>
    <w:p w:rsidR="004977C7" w:rsidRDefault="00A155BD" w:rsidP="00B208B9">
      <w:pPr>
        <w:pStyle w:val="Sansinterligne"/>
      </w:pPr>
      <w:r>
        <w:rPr>
          <w:noProof/>
          <w:lang w:eastAsia="fr-CA"/>
        </w:rPr>
        <w:drawing>
          <wp:anchor distT="0" distB="0" distL="114300" distR="114300" simplePos="0" relativeHeight="252079104" behindDoc="0" locked="0" layoutInCell="1" allowOverlap="1" wp14:anchorId="588B484F" wp14:editId="7261D52A">
            <wp:simplePos x="0" y="0"/>
            <wp:positionH relativeFrom="column">
              <wp:posOffset>3053080</wp:posOffset>
            </wp:positionH>
            <wp:positionV relativeFrom="paragraph">
              <wp:posOffset>364409</wp:posOffset>
            </wp:positionV>
            <wp:extent cx="3209925" cy="1332865"/>
            <wp:effectExtent l="0" t="0" r="9525" b="635"/>
            <wp:wrapNone/>
            <wp:docPr id="556" name="Image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attrapage 2.PNG"/>
                    <pic:cNvPicPr/>
                  </pic:nvPicPr>
                  <pic:blipFill>
                    <a:blip r:embed="rId244">
                      <a:extLst>
                        <a:ext uri="{28A0092B-C50C-407E-A947-70E740481C1C}">
                          <a14:useLocalDpi xmlns:a14="http://schemas.microsoft.com/office/drawing/2010/main" val="0"/>
                        </a:ext>
                      </a:extLst>
                    </a:blip>
                    <a:stretch>
                      <a:fillRect/>
                    </a:stretch>
                  </pic:blipFill>
                  <pic:spPr>
                    <a:xfrm>
                      <a:off x="0" y="0"/>
                      <a:ext cx="3209925" cy="1332865"/>
                    </a:xfrm>
                    <a:prstGeom prst="rect">
                      <a:avLst/>
                    </a:prstGeom>
                  </pic:spPr>
                </pic:pic>
              </a:graphicData>
            </a:graphic>
            <wp14:sizeRelH relativeFrom="page">
              <wp14:pctWidth>0</wp14:pctWidth>
            </wp14:sizeRelH>
            <wp14:sizeRelV relativeFrom="page">
              <wp14:pctHeight>0</wp14:pctHeight>
            </wp14:sizeRelV>
          </wp:anchor>
        </w:drawing>
      </w:r>
      <w:r w:rsidRPr="00A155BD">
        <w:rPr>
          <w:highlight w:val="yellow"/>
        </w:rPr>
        <w:t>En cas d’incapacité, de retard de vaccination, il existe un calendrier de rattrapage. Essentiellement, il consister à amorcer la vaccination de tous les vaccins que l’enfant aurait dû recevoir, dès la 1</w:t>
      </w:r>
      <w:r w:rsidRPr="00A155BD">
        <w:rPr>
          <w:highlight w:val="yellow"/>
          <w:vertAlign w:val="superscript"/>
        </w:rPr>
        <w:t>ère</w:t>
      </w:r>
      <w:r w:rsidRPr="00A155BD">
        <w:rPr>
          <w:highlight w:val="yellow"/>
        </w:rPr>
        <w:t xml:space="preserve"> visite et d’injecter les doses suivantes selon le délai prévu dans le calendrier régulier.</w:t>
      </w:r>
    </w:p>
    <w:p w:rsidR="004977C7" w:rsidRDefault="00A155BD" w:rsidP="00B208B9">
      <w:pPr>
        <w:pStyle w:val="Sansinterligne"/>
      </w:pPr>
      <w:r>
        <w:rPr>
          <w:noProof/>
          <w:lang w:eastAsia="fr-CA"/>
        </w:rPr>
        <w:drawing>
          <wp:anchor distT="0" distB="0" distL="114300" distR="114300" simplePos="0" relativeHeight="252078080" behindDoc="0" locked="0" layoutInCell="1" allowOverlap="1" wp14:anchorId="2E3B9DA0" wp14:editId="401AD639">
            <wp:simplePos x="0" y="0"/>
            <wp:positionH relativeFrom="column">
              <wp:posOffset>-10619</wp:posOffset>
            </wp:positionH>
            <wp:positionV relativeFrom="paragraph">
              <wp:posOffset>28586</wp:posOffset>
            </wp:positionV>
            <wp:extent cx="3063875" cy="2237105"/>
            <wp:effectExtent l="0" t="0" r="3175" b="0"/>
            <wp:wrapNone/>
            <wp:docPr id="555" name="Image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attrapage 1.PNG"/>
                    <pic:cNvPicPr/>
                  </pic:nvPicPr>
                  <pic:blipFill>
                    <a:blip r:embed="rId245">
                      <a:extLst>
                        <a:ext uri="{28A0092B-C50C-407E-A947-70E740481C1C}">
                          <a14:useLocalDpi xmlns:a14="http://schemas.microsoft.com/office/drawing/2010/main" val="0"/>
                        </a:ext>
                      </a:extLst>
                    </a:blip>
                    <a:stretch>
                      <a:fillRect/>
                    </a:stretch>
                  </pic:blipFill>
                  <pic:spPr>
                    <a:xfrm>
                      <a:off x="0" y="0"/>
                      <a:ext cx="3063875" cy="2237105"/>
                    </a:xfrm>
                    <a:prstGeom prst="rect">
                      <a:avLst/>
                    </a:prstGeom>
                  </pic:spPr>
                </pic:pic>
              </a:graphicData>
            </a:graphic>
            <wp14:sizeRelH relativeFrom="page">
              <wp14:pctWidth>0</wp14:pctWidth>
            </wp14:sizeRelH>
            <wp14:sizeRelV relativeFrom="page">
              <wp14:pctHeight>0</wp14:pctHeight>
            </wp14:sizeRelV>
          </wp:anchor>
        </w:drawing>
      </w:r>
    </w:p>
    <w:p w:rsidR="004977C7" w:rsidRDefault="004977C7" w:rsidP="00B208B9">
      <w:pPr>
        <w:pStyle w:val="Sansinterligne"/>
      </w:pPr>
    </w:p>
    <w:p w:rsidR="004977C7" w:rsidRDefault="004977C7" w:rsidP="00B208B9">
      <w:pPr>
        <w:pStyle w:val="Sansinterligne"/>
      </w:pPr>
    </w:p>
    <w:p w:rsidR="00A155BD" w:rsidRDefault="00A155BD" w:rsidP="00B208B9">
      <w:pPr>
        <w:pStyle w:val="Sansinterligne"/>
      </w:pPr>
    </w:p>
    <w:p w:rsidR="00A155BD" w:rsidRDefault="00A155BD" w:rsidP="00B208B9">
      <w:pPr>
        <w:pStyle w:val="Sansinterligne"/>
      </w:pPr>
    </w:p>
    <w:p w:rsidR="00A155BD" w:rsidRDefault="00A155BD" w:rsidP="00B208B9">
      <w:pPr>
        <w:pStyle w:val="Sansinterligne"/>
      </w:pPr>
    </w:p>
    <w:p w:rsidR="00A155BD" w:rsidRDefault="00A155BD" w:rsidP="00B208B9">
      <w:pPr>
        <w:pStyle w:val="Sansinterligne"/>
      </w:pPr>
    </w:p>
    <w:p w:rsidR="00A155BD" w:rsidRDefault="00A155BD" w:rsidP="00B208B9">
      <w:pPr>
        <w:pStyle w:val="Sansinterligne"/>
      </w:pPr>
      <w:r>
        <w:rPr>
          <w:noProof/>
          <w:lang w:eastAsia="fr-CA"/>
        </w:rPr>
        <w:drawing>
          <wp:anchor distT="0" distB="0" distL="114300" distR="114300" simplePos="0" relativeHeight="252080128" behindDoc="0" locked="0" layoutInCell="1" allowOverlap="1" wp14:anchorId="60990D0A" wp14:editId="6A962BA5">
            <wp:simplePos x="0" y="0"/>
            <wp:positionH relativeFrom="column">
              <wp:posOffset>3051810</wp:posOffset>
            </wp:positionH>
            <wp:positionV relativeFrom="paragraph">
              <wp:posOffset>35817</wp:posOffset>
            </wp:positionV>
            <wp:extent cx="3048000" cy="1419860"/>
            <wp:effectExtent l="0" t="0" r="0" b="8890"/>
            <wp:wrapNone/>
            <wp:docPr id="557" name="Image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attrapage 3.PNG"/>
                    <pic:cNvPicPr/>
                  </pic:nvPicPr>
                  <pic:blipFill>
                    <a:blip r:embed="rId246">
                      <a:extLst>
                        <a:ext uri="{28A0092B-C50C-407E-A947-70E740481C1C}">
                          <a14:useLocalDpi xmlns:a14="http://schemas.microsoft.com/office/drawing/2010/main" val="0"/>
                        </a:ext>
                      </a:extLst>
                    </a:blip>
                    <a:stretch>
                      <a:fillRect/>
                    </a:stretch>
                  </pic:blipFill>
                  <pic:spPr>
                    <a:xfrm>
                      <a:off x="0" y="0"/>
                      <a:ext cx="3048000" cy="1419860"/>
                    </a:xfrm>
                    <a:prstGeom prst="rect">
                      <a:avLst/>
                    </a:prstGeom>
                  </pic:spPr>
                </pic:pic>
              </a:graphicData>
            </a:graphic>
            <wp14:sizeRelH relativeFrom="page">
              <wp14:pctWidth>0</wp14:pctWidth>
            </wp14:sizeRelH>
            <wp14:sizeRelV relativeFrom="page">
              <wp14:pctHeight>0</wp14:pctHeight>
            </wp14:sizeRelV>
          </wp:anchor>
        </w:drawing>
      </w:r>
    </w:p>
    <w:p w:rsidR="00A155BD" w:rsidRDefault="00A155BD" w:rsidP="00B208B9">
      <w:pPr>
        <w:pStyle w:val="Sansinterligne"/>
      </w:pPr>
    </w:p>
    <w:p w:rsidR="00A155BD" w:rsidRDefault="00A155BD" w:rsidP="00B208B9">
      <w:pPr>
        <w:pStyle w:val="Sansinterligne"/>
      </w:pPr>
    </w:p>
    <w:p w:rsidR="00A155BD" w:rsidRDefault="00A155BD" w:rsidP="00B208B9">
      <w:pPr>
        <w:pStyle w:val="Sansinterligne"/>
      </w:pPr>
    </w:p>
    <w:p w:rsidR="00A155BD" w:rsidRDefault="00A155BD" w:rsidP="00B208B9">
      <w:pPr>
        <w:pStyle w:val="Sansinterligne"/>
      </w:pPr>
    </w:p>
    <w:p w:rsidR="00A155BD" w:rsidRDefault="00A155BD" w:rsidP="00B208B9">
      <w:pPr>
        <w:pStyle w:val="Sansinterligne"/>
      </w:pPr>
    </w:p>
    <w:p w:rsidR="00A155BD" w:rsidRDefault="00A155BD" w:rsidP="00B208B9">
      <w:pPr>
        <w:pStyle w:val="Sansinterligne"/>
      </w:pPr>
    </w:p>
    <w:p w:rsidR="00A155BD" w:rsidRDefault="00A155BD" w:rsidP="00B208B9">
      <w:pPr>
        <w:pStyle w:val="Sansinterligne"/>
      </w:pPr>
    </w:p>
    <w:p w:rsidR="009712DF" w:rsidRDefault="009712DF" w:rsidP="00B208B9">
      <w:pPr>
        <w:pStyle w:val="Sansinterligne"/>
      </w:pPr>
    </w:p>
    <w:p w:rsidR="0077412D" w:rsidRPr="004977C7" w:rsidRDefault="0077412D" w:rsidP="00B208B9">
      <w:pPr>
        <w:pStyle w:val="Sansinterligne"/>
        <w:rPr>
          <w:b/>
          <w:sz w:val="28"/>
          <w:szCs w:val="28"/>
        </w:rPr>
      </w:pPr>
      <w:r w:rsidRPr="004977C7">
        <w:rPr>
          <w:b/>
          <w:sz w:val="28"/>
          <w:szCs w:val="28"/>
        </w:rPr>
        <w:t>Effets secondaires généraux et complications des vaccins</w:t>
      </w:r>
    </w:p>
    <w:p w:rsidR="000A68AB" w:rsidRDefault="00036115" w:rsidP="00B208B9">
      <w:pPr>
        <w:pStyle w:val="Sansinterligne"/>
      </w:pPr>
      <w:r>
        <w:rPr>
          <w:noProof/>
          <w:lang w:eastAsia="fr-CA"/>
        </w:rPr>
        <w:drawing>
          <wp:anchor distT="0" distB="0" distL="114300" distR="114300" simplePos="0" relativeHeight="252083200" behindDoc="0" locked="0" layoutInCell="1" allowOverlap="1" wp14:anchorId="1E15522E" wp14:editId="32FE5E24">
            <wp:simplePos x="0" y="0"/>
            <wp:positionH relativeFrom="column">
              <wp:posOffset>3987165</wp:posOffset>
            </wp:positionH>
            <wp:positionV relativeFrom="paragraph">
              <wp:posOffset>141605</wp:posOffset>
            </wp:positionV>
            <wp:extent cx="2985770" cy="1993265"/>
            <wp:effectExtent l="0" t="0" r="5080" b="6985"/>
            <wp:wrapNone/>
            <wp:docPr id="560" name="Image 560" descr="Image associé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associée"/>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2985770" cy="19932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A68AB" w:rsidRPr="005D22DB" w:rsidRDefault="000A68AB" w:rsidP="00B208B9">
      <w:pPr>
        <w:pStyle w:val="Sansinterligne"/>
        <w:rPr>
          <w:highlight w:val="yellow"/>
        </w:rPr>
      </w:pPr>
      <w:r w:rsidRPr="005D22DB">
        <w:rPr>
          <w:b/>
          <w:highlight w:val="yellow"/>
        </w:rPr>
        <w:t>Effets secondaires</w:t>
      </w:r>
      <w:r w:rsidR="004977C7" w:rsidRPr="005D22DB">
        <w:rPr>
          <w:b/>
          <w:highlight w:val="yellow"/>
        </w:rPr>
        <w:t xml:space="preserve"> principaux</w:t>
      </w:r>
      <w:r w:rsidRPr="005D22DB">
        <w:rPr>
          <w:highlight w:val="yellow"/>
        </w:rPr>
        <w:t xml:space="preserve"> : </w:t>
      </w:r>
    </w:p>
    <w:p w:rsidR="000A68AB" w:rsidRPr="005D22DB" w:rsidRDefault="000A68AB" w:rsidP="00AF6ADC">
      <w:pPr>
        <w:pStyle w:val="Sansinterligne"/>
        <w:numPr>
          <w:ilvl w:val="0"/>
          <w:numId w:val="1246"/>
        </w:numPr>
        <w:rPr>
          <w:highlight w:val="yellow"/>
        </w:rPr>
      </w:pPr>
      <w:r w:rsidRPr="005D22DB">
        <w:rPr>
          <w:highlight w:val="yellow"/>
        </w:rPr>
        <w:t>Œdème</w:t>
      </w:r>
      <w:r w:rsidR="000B1354" w:rsidRPr="005D22DB">
        <w:rPr>
          <w:highlight w:val="yellow"/>
        </w:rPr>
        <w:t xml:space="preserve"> local</w:t>
      </w:r>
      <w:r w:rsidRPr="005D22DB">
        <w:rPr>
          <w:highlight w:val="yellow"/>
        </w:rPr>
        <w:t>, rougeur, douleur au site d’infection</w:t>
      </w:r>
    </w:p>
    <w:p w:rsidR="000A68AB" w:rsidRPr="005D22DB" w:rsidRDefault="000A68AB" w:rsidP="00AF6ADC">
      <w:pPr>
        <w:pStyle w:val="Sansinterligne"/>
        <w:numPr>
          <w:ilvl w:val="1"/>
          <w:numId w:val="1246"/>
        </w:numPr>
        <w:rPr>
          <w:highlight w:val="yellow"/>
        </w:rPr>
      </w:pPr>
      <w:r w:rsidRPr="005D22DB">
        <w:rPr>
          <w:highlight w:val="yellow"/>
        </w:rPr>
        <w:t>Surtout avec le vaccin DCaT</w:t>
      </w:r>
    </w:p>
    <w:p w:rsidR="000A68AB" w:rsidRPr="005D22DB" w:rsidRDefault="004977C7" w:rsidP="00AF6ADC">
      <w:pPr>
        <w:pStyle w:val="Sansinterligne"/>
        <w:numPr>
          <w:ilvl w:val="1"/>
          <w:numId w:val="1246"/>
        </w:numPr>
        <w:rPr>
          <w:highlight w:val="yellow"/>
        </w:rPr>
      </w:pPr>
      <w:r w:rsidRPr="005D22DB">
        <w:rPr>
          <w:highlight w:val="yellow"/>
        </w:rPr>
        <w:t>Traiter avec a</w:t>
      </w:r>
      <w:r w:rsidR="000A68AB" w:rsidRPr="005D22DB">
        <w:rPr>
          <w:highlight w:val="yellow"/>
        </w:rPr>
        <w:t>cétaminophène, glace</w:t>
      </w:r>
    </w:p>
    <w:p w:rsidR="008A4F28" w:rsidRPr="005D22DB" w:rsidRDefault="008A4F28" w:rsidP="00AF6ADC">
      <w:pPr>
        <w:pStyle w:val="Sansinterligne"/>
        <w:numPr>
          <w:ilvl w:val="0"/>
          <w:numId w:val="1247"/>
        </w:numPr>
        <w:rPr>
          <w:highlight w:val="yellow"/>
        </w:rPr>
      </w:pPr>
      <w:r w:rsidRPr="005D22DB">
        <w:rPr>
          <w:highlight w:val="yellow"/>
        </w:rPr>
        <w:t>Fièvre, malaise, céphalées</w:t>
      </w:r>
    </w:p>
    <w:p w:rsidR="008A4F28" w:rsidRPr="005D22DB" w:rsidRDefault="008A4F28" w:rsidP="00AF6ADC">
      <w:pPr>
        <w:pStyle w:val="Sansinterligne"/>
        <w:numPr>
          <w:ilvl w:val="1"/>
          <w:numId w:val="1247"/>
        </w:numPr>
        <w:rPr>
          <w:highlight w:val="yellow"/>
        </w:rPr>
      </w:pPr>
      <w:r w:rsidRPr="005D22DB">
        <w:rPr>
          <w:highlight w:val="yellow"/>
        </w:rPr>
        <w:t>Traiter avec acétaminophène, expectative</w:t>
      </w:r>
    </w:p>
    <w:p w:rsidR="008A4F28" w:rsidRPr="005D22DB" w:rsidRDefault="008A4F28" w:rsidP="00AF6ADC">
      <w:pPr>
        <w:pStyle w:val="Sansinterligne"/>
        <w:numPr>
          <w:ilvl w:val="0"/>
          <w:numId w:val="1247"/>
        </w:numPr>
        <w:rPr>
          <w:highlight w:val="yellow"/>
        </w:rPr>
      </w:pPr>
      <w:r w:rsidRPr="005D22DB">
        <w:rPr>
          <w:highlight w:val="yellow"/>
        </w:rPr>
        <w:t>No/Vo, perte d’appétit</w:t>
      </w:r>
    </w:p>
    <w:p w:rsidR="000B1354" w:rsidRPr="005D22DB" w:rsidRDefault="000B1354" w:rsidP="00AF6ADC">
      <w:pPr>
        <w:pStyle w:val="Sansinterligne"/>
        <w:numPr>
          <w:ilvl w:val="0"/>
          <w:numId w:val="1247"/>
        </w:numPr>
        <w:rPr>
          <w:highlight w:val="yellow"/>
        </w:rPr>
      </w:pPr>
      <w:r w:rsidRPr="005D22DB">
        <w:rPr>
          <w:highlight w:val="yellow"/>
        </w:rPr>
        <w:t>Expectative</w:t>
      </w:r>
    </w:p>
    <w:p w:rsidR="000B1354" w:rsidRPr="005D22DB" w:rsidRDefault="000B1354" w:rsidP="00AF6ADC">
      <w:pPr>
        <w:pStyle w:val="Sansinterligne"/>
        <w:numPr>
          <w:ilvl w:val="1"/>
          <w:numId w:val="1247"/>
        </w:numPr>
        <w:rPr>
          <w:highlight w:val="yellow"/>
        </w:rPr>
      </w:pPr>
      <w:r w:rsidRPr="005D22DB">
        <w:rPr>
          <w:highlight w:val="yellow"/>
        </w:rPr>
        <w:t>Consulter si persistant ou autres symptômes inquiétants</w:t>
      </w:r>
    </w:p>
    <w:p w:rsidR="00036115" w:rsidRDefault="008A4F28" w:rsidP="00AF6ADC">
      <w:pPr>
        <w:pStyle w:val="Sansinterligne"/>
        <w:numPr>
          <w:ilvl w:val="0"/>
          <w:numId w:val="1247"/>
        </w:numPr>
        <w:rPr>
          <w:highlight w:val="yellow"/>
        </w:rPr>
      </w:pPr>
      <w:r w:rsidRPr="005D22DB">
        <w:rPr>
          <w:highlight w:val="yellow"/>
        </w:rPr>
        <w:t>Syncope vaso-vagale</w:t>
      </w:r>
      <w:r w:rsidR="000B1354" w:rsidRPr="005D22DB">
        <w:rPr>
          <w:highlight w:val="yellow"/>
        </w:rPr>
        <w:t xml:space="preserve"> </w:t>
      </w:r>
    </w:p>
    <w:p w:rsidR="000B1354" w:rsidRPr="005D22DB" w:rsidRDefault="00036115" w:rsidP="00AF6ADC">
      <w:pPr>
        <w:pStyle w:val="Sansinterligne"/>
        <w:numPr>
          <w:ilvl w:val="1"/>
          <w:numId w:val="1247"/>
        </w:numPr>
        <w:rPr>
          <w:highlight w:val="yellow"/>
        </w:rPr>
      </w:pPr>
      <w:r>
        <w:rPr>
          <w:highlight w:val="yellow"/>
        </w:rPr>
        <w:t>D</w:t>
      </w:r>
      <w:r w:rsidR="000B1354" w:rsidRPr="005D22DB">
        <w:rPr>
          <w:highlight w:val="yellow"/>
        </w:rPr>
        <w:t xml:space="preserve">iaphorèse, bradycardie, </w:t>
      </w:r>
      <w:r>
        <w:rPr>
          <w:highlight w:val="yellow"/>
        </w:rPr>
        <w:t>étourdissements, évanouissement</w:t>
      </w:r>
    </w:p>
    <w:p w:rsidR="008A4F28" w:rsidRPr="005D22DB" w:rsidRDefault="008A4F28" w:rsidP="00AF6ADC">
      <w:pPr>
        <w:pStyle w:val="Sansinterligne"/>
        <w:numPr>
          <w:ilvl w:val="1"/>
          <w:numId w:val="1247"/>
        </w:numPr>
        <w:rPr>
          <w:highlight w:val="yellow"/>
        </w:rPr>
      </w:pPr>
      <w:r w:rsidRPr="005D22DB">
        <w:rPr>
          <w:highlight w:val="yellow"/>
        </w:rPr>
        <w:t xml:space="preserve">Allonger le patient, </w:t>
      </w:r>
      <w:r w:rsidR="000B1354" w:rsidRPr="005D22DB">
        <w:rPr>
          <w:highlight w:val="yellow"/>
        </w:rPr>
        <w:t>les pieds plus hauts que</w:t>
      </w:r>
      <w:r w:rsidRPr="005D22DB">
        <w:rPr>
          <w:highlight w:val="yellow"/>
        </w:rPr>
        <w:t xml:space="preserve"> la tête</w:t>
      </w:r>
    </w:p>
    <w:p w:rsidR="000B1354" w:rsidRPr="005D22DB" w:rsidRDefault="000B1354" w:rsidP="00AF6ADC">
      <w:pPr>
        <w:pStyle w:val="Sansinterligne"/>
        <w:numPr>
          <w:ilvl w:val="1"/>
          <w:numId w:val="1247"/>
        </w:numPr>
        <w:rPr>
          <w:highlight w:val="yellow"/>
        </w:rPr>
      </w:pPr>
      <w:r w:rsidRPr="005D22DB">
        <w:rPr>
          <w:highlight w:val="yellow"/>
        </w:rPr>
        <w:t>Serviette d’eau froide sur le visage</w:t>
      </w:r>
    </w:p>
    <w:p w:rsidR="008A4F28" w:rsidRPr="005D22DB" w:rsidRDefault="008A4F28" w:rsidP="00AF6ADC">
      <w:pPr>
        <w:pStyle w:val="Sansinterligne"/>
        <w:numPr>
          <w:ilvl w:val="0"/>
          <w:numId w:val="1247"/>
        </w:numPr>
        <w:rPr>
          <w:highlight w:val="yellow"/>
        </w:rPr>
      </w:pPr>
      <w:r w:rsidRPr="005D22DB">
        <w:rPr>
          <w:highlight w:val="yellow"/>
        </w:rPr>
        <w:t>Spasme du sanglot (chez le jeune enfant)</w:t>
      </w:r>
    </w:p>
    <w:p w:rsidR="008A4F28" w:rsidRPr="005D22DB" w:rsidRDefault="008A4F28" w:rsidP="00AF6ADC">
      <w:pPr>
        <w:pStyle w:val="Sansinterligne"/>
        <w:numPr>
          <w:ilvl w:val="1"/>
          <w:numId w:val="1247"/>
        </w:numPr>
        <w:rPr>
          <w:highlight w:val="yellow"/>
        </w:rPr>
      </w:pPr>
      <w:r w:rsidRPr="005D22DB">
        <w:rPr>
          <w:highlight w:val="yellow"/>
        </w:rPr>
        <w:t>Rassurer les parents, condition bénigne même si peu être inquiétante</w:t>
      </w:r>
    </w:p>
    <w:p w:rsidR="008A4F28" w:rsidRPr="005D22DB" w:rsidRDefault="008A4F28" w:rsidP="00AF6ADC">
      <w:pPr>
        <w:pStyle w:val="Sansinterligne"/>
        <w:numPr>
          <w:ilvl w:val="1"/>
          <w:numId w:val="1247"/>
        </w:numPr>
        <w:rPr>
          <w:highlight w:val="yellow"/>
        </w:rPr>
      </w:pPr>
      <w:r w:rsidRPr="005D22DB">
        <w:rPr>
          <w:highlight w:val="yellow"/>
        </w:rPr>
        <w:t>Expectative</w:t>
      </w:r>
    </w:p>
    <w:p w:rsidR="000A68AB" w:rsidRDefault="000A68AB" w:rsidP="00B208B9">
      <w:pPr>
        <w:pStyle w:val="Sansinterligne"/>
      </w:pPr>
    </w:p>
    <w:tbl>
      <w:tblPr>
        <w:tblStyle w:val="Grilledutableau"/>
        <w:tblW w:w="0" w:type="auto"/>
        <w:tblInd w:w="1739" w:type="dxa"/>
        <w:tblLook w:val="04A0" w:firstRow="1" w:lastRow="0" w:firstColumn="1" w:lastColumn="0" w:noHBand="0" w:noVBand="1"/>
      </w:tblPr>
      <w:tblGrid>
        <w:gridCol w:w="3672"/>
        <w:gridCol w:w="3672"/>
      </w:tblGrid>
      <w:tr w:rsidR="000A68AB" w:rsidTr="000B1354">
        <w:tc>
          <w:tcPr>
            <w:tcW w:w="3672" w:type="dxa"/>
            <w:shd w:val="clear" w:color="auto" w:fill="D6E3BC" w:themeFill="accent3" w:themeFillTint="66"/>
          </w:tcPr>
          <w:p w:rsidR="000A68AB" w:rsidRPr="004977C7" w:rsidRDefault="000A68AB" w:rsidP="004977C7">
            <w:pPr>
              <w:pStyle w:val="Sansinterligne"/>
              <w:jc w:val="center"/>
              <w:rPr>
                <w:i/>
              </w:rPr>
            </w:pPr>
            <w:r w:rsidRPr="004977C7">
              <w:rPr>
                <w:i/>
              </w:rPr>
              <w:t>Complications (toutes très rares)</w:t>
            </w:r>
          </w:p>
        </w:tc>
        <w:tc>
          <w:tcPr>
            <w:tcW w:w="3672" w:type="dxa"/>
            <w:shd w:val="clear" w:color="auto" w:fill="D6E3BC" w:themeFill="accent3" w:themeFillTint="66"/>
          </w:tcPr>
          <w:p w:rsidR="000A68AB" w:rsidRPr="004977C7" w:rsidRDefault="000A68AB" w:rsidP="004977C7">
            <w:pPr>
              <w:pStyle w:val="Sansinterligne"/>
              <w:jc w:val="center"/>
              <w:rPr>
                <w:i/>
              </w:rPr>
            </w:pPr>
            <w:r w:rsidRPr="004977C7">
              <w:rPr>
                <w:i/>
              </w:rPr>
              <w:t>Manifestations</w:t>
            </w:r>
          </w:p>
        </w:tc>
      </w:tr>
      <w:tr w:rsidR="000A68AB" w:rsidTr="000B1354">
        <w:tc>
          <w:tcPr>
            <w:tcW w:w="3672" w:type="dxa"/>
            <w:shd w:val="clear" w:color="auto" w:fill="D6E3BC" w:themeFill="accent3" w:themeFillTint="66"/>
          </w:tcPr>
          <w:p w:rsidR="000A68AB" w:rsidRDefault="000A68AB" w:rsidP="00B208B9">
            <w:pPr>
              <w:pStyle w:val="Sansinterligne"/>
            </w:pPr>
            <w:r>
              <w:t>Réaction anaphylactique</w:t>
            </w:r>
          </w:p>
        </w:tc>
        <w:tc>
          <w:tcPr>
            <w:tcW w:w="3672" w:type="dxa"/>
          </w:tcPr>
          <w:p w:rsidR="000A68AB" w:rsidRDefault="004977C7" w:rsidP="004977C7">
            <w:pPr>
              <w:pStyle w:val="Sansinterligne"/>
            </w:pPr>
            <w:r>
              <w:t>Détresse respiratoire, bronchospasme, œdème des muqueuses, Sx GI, réaction urticarienne</w:t>
            </w:r>
          </w:p>
        </w:tc>
      </w:tr>
      <w:tr w:rsidR="000A68AB" w:rsidTr="000B1354">
        <w:tc>
          <w:tcPr>
            <w:tcW w:w="3672" w:type="dxa"/>
            <w:shd w:val="clear" w:color="auto" w:fill="D6E3BC" w:themeFill="accent3" w:themeFillTint="66"/>
          </w:tcPr>
          <w:p w:rsidR="000A68AB" w:rsidRDefault="000A68AB" w:rsidP="00B208B9">
            <w:pPr>
              <w:pStyle w:val="Sansinterligne"/>
            </w:pPr>
            <w:r>
              <w:t>Convulsions</w:t>
            </w:r>
          </w:p>
        </w:tc>
        <w:tc>
          <w:tcPr>
            <w:tcW w:w="3672" w:type="dxa"/>
          </w:tcPr>
          <w:p w:rsidR="000A68AB" w:rsidRDefault="000A68AB" w:rsidP="00B208B9">
            <w:pPr>
              <w:pStyle w:val="Sansinterligne"/>
            </w:pPr>
            <w:r>
              <w:t>Convulsions, fébriles ou non</w:t>
            </w:r>
          </w:p>
        </w:tc>
      </w:tr>
      <w:tr w:rsidR="000A68AB" w:rsidTr="000B1354">
        <w:tc>
          <w:tcPr>
            <w:tcW w:w="3672" w:type="dxa"/>
            <w:shd w:val="clear" w:color="auto" w:fill="D6E3BC" w:themeFill="accent3" w:themeFillTint="66"/>
          </w:tcPr>
          <w:p w:rsidR="000A68AB" w:rsidRDefault="000A68AB" w:rsidP="00B208B9">
            <w:pPr>
              <w:pStyle w:val="Sansinterligne"/>
            </w:pPr>
            <w:r>
              <w:t>Encéphalite</w:t>
            </w:r>
          </w:p>
        </w:tc>
        <w:tc>
          <w:tcPr>
            <w:tcW w:w="3672" w:type="dxa"/>
          </w:tcPr>
          <w:p w:rsidR="000A68AB" w:rsidRDefault="004977C7" w:rsidP="00B208B9">
            <w:pPr>
              <w:pStyle w:val="Sansinterligne"/>
            </w:pPr>
            <w:r>
              <w:t>Altération de l’état de conscience</w:t>
            </w:r>
          </w:p>
          <w:p w:rsidR="004977C7" w:rsidRDefault="004977C7" w:rsidP="00B208B9">
            <w:pPr>
              <w:pStyle w:val="Sansinterligne"/>
            </w:pPr>
            <w:r>
              <w:t>Pleurs anormaux</w:t>
            </w:r>
          </w:p>
          <w:p w:rsidR="004977C7" w:rsidRDefault="004977C7" w:rsidP="00B208B9">
            <w:pPr>
              <w:pStyle w:val="Sansinterligne"/>
            </w:pPr>
            <w:r>
              <w:t>Convulsions</w:t>
            </w:r>
          </w:p>
          <w:p w:rsidR="004977C7" w:rsidRDefault="004977C7" w:rsidP="00B208B9">
            <w:pPr>
              <w:pStyle w:val="Sansinterligne"/>
            </w:pPr>
            <w:r>
              <w:t>Persiste plusieurs heures</w:t>
            </w:r>
          </w:p>
        </w:tc>
      </w:tr>
      <w:tr w:rsidR="000A68AB" w:rsidTr="000B1354">
        <w:tc>
          <w:tcPr>
            <w:tcW w:w="3672" w:type="dxa"/>
            <w:shd w:val="clear" w:color="auto" w:fill="D6E3BC" w:themeFill="accent3" w:themeFillTint="66"/>
          </w:tcPr>
          <w:p w:rsidR="000A68AB" w:rsidRDefault="000A68AB" w:rsidP="00B208B9">
            <w:pPr>
              <w:pStyle w:val="Sansinterligne"/>
            </w:pPr>
            <w:r>
              <w:t>Hypersensibilité de type III</w:t>
            </w:r>
          </w:p>
        </w:tc>
        <w:tc>
          <w:tcPr>
            <w:tcW w:w="3672" w:type="dxa"/>
          </w:tcPr>
          <w:p w:rsidR="004977C7" w:rsidRDefault="004977C7" w:rsidP="00B208B9">
            <w:pPr>
              <w:pStyle w:val="Sansinterligne"/>
            </w:pPr>
            <w:r>
              <w:t>Réaction inflammatoire croissante au site d’infection</w:t>
            </w:r>
          </w:p>
          <w:p w:rsidR="004977C7" w:rsidRDefault="004977C7" w:rsidP="00B208B9">
            <w:pPr>
              <w:pStyle w:val="Sansinterligne"/>
            </w:pPr>
            <w:r>
              <w:t>De plus en plus forte à chaque dose</w:t>
            </w:r>
          </w:p>
          <w:p w:rsidR="004977C7" w:rsidRDefault="004977C7" w:rsidP="00B208B9">
            <w:pPr>
              <w:pStyle w:val="Sansinterligne"/>
            </w:pPr>
            <w:r>
              <w:t>Surtout avec DCaT</w:t>
            </w:r>
          </w:p>
        </w:tc>
      </w:tr>
      <w:tr w:rsidR="000A68AB" w:rsidTr="000B1354">
        <w:tc>
          <w:tcPr>
            <w:tcW w:w="3672" w:type="dxa"/>
            <w:shd w:val="clear" w:color="auto" w:fill="D6E3BC" w:themeFill="accent3" w:themeFillTint="66"/>
          </w:tcPr>
          <w:p w:rsidR="000A68AB" w:rsidRDefault="000A68AB" w:rsidP="00B208B9">
            <w:pPr>
              <w:pStyle w:val="Sansinterligne"/>
            </w:pPr>
            <w:r>
              <w:t>Hypotonie</w:t>
            </w:r>
          </w:p>
        </w:tc>
        <w:tc>
          <w:tcPr>
            <w:tcW w:w="3672" w:type="dxa"/>
          </w:tcPr>
          <w:p w:rsidR="000A68AB" w:rsidRDefault="004977C7" w:rsidP="00B208B9">
            <w:pPr>
              <w:pStyle w:val="Sansinterligne"/>
            </w:pPr>
            <w:r>
              <w:t>Hypotonie, hyporéactivité</w:t>
            </w:r>
          </w:p>
        </w:tc>
      </w:tr>
      <w:tr w:rsidR="000A68AB" w:rsidTr="000B1354">
        <w:tc>
          <w:tcPr>
            <w:tcW w:w="3672" w:type="dxa"/>
            <w:shd w:val="clear" w:color="auto" w:fill="D6E3BC" w:themeFill="accent3" w:themeFillTint="66"/>
          </w:tcPr>
          <w:p w:rsidR="000A68AB" w:rsidRDefault="000A68AB" w:rsidP="00B208B9">
            <w:pPr>
              <w:pStyle w:val="Sansinterligne"/>
            </w:pPr>
            <w:r>
              <w:t>Thrombopénie</w:t>
            </w:r>
          </w:p>
        </w:tc>
        <w:tc>
          <w:tcPr>
            <w:tcW w:w="3672" w:type="dxa"/>
          </w:tcPr>
          <w:p w:rsidR="000A68AB" w:rsidRDefault="004977C7" w:rsidP="00B208B9">
            <w:pPr>
              <w:pStyle w:val="Sansinterligne"/>
            </w:pPr>
            <w:r>
              <w:t>Thrombopénie</w:t>
            </w:r>
          </w:p>
          <w:p w:rsidR="004977C7" w:rsidRDefault="004977C7" w:rsidP="00B208B9">
            <w:pPr>
              <w:pStyle w:val="Sansinterligne"/>
            </w:pPr>
            <w:r>
              <w:t>Surtout avec vaccins vivants</w:t>
            </w:r>
          </w:p>
        </w:tc>
      </w:tr>
      <w:tr w:rsidR="000A68AB" w:rsidTr="000B1354">
        <w:tc>
          <w:tcPr>
            <w:tcW w:w="3672" w:type="dxa"/>
            <w:shd w:val="clear" w:color="auto" w:fill="D6E3BC" w:themeFill="accent3" w:themeFillTint="66"/>
          </w:tcPr>
          <w:p w:rsidR="000A68AB" w:rsidRDefault="000A68AB" w:rsidP="00B208B9">
            <w:pPr>
              <w:pStyle w:val="Sansinterligne"/>
            </w:pPr>
            <w:r>
              <w:t>Syndrome de Guillain-Barré</w:t>
            </w:r>
          </w:p>
        </w:tc>
        <w:tc>
          <w:tcPr>
            <w:tcW w:w="3672" w:type="dxa"/>
          </w:tcPr>
          <w:p w:rsidR="000A68AB" w:rsidRDefault="004977C7" w:rsidP="00B208B9">
            <w:pPr>
              <w:pStyle w:val="Sansinterligne"/>
            </w:pPr>
            <w:r>
              <w:t>Faiblesse, paralysie des MI et MS, progressive</w:t>
            </w:r>
          </w:p>
        </w:tc>
      </w:tr>
    </w:tbl>
    <w:p w:rsidR="00874371" w:rsidRDefault="00874371" w:rsidP="00B208B9">
      <w:pPr>
        <w:pStyle w:val="Sansinterligne"/>
      </w:pPr>
    </w:p>
    <w:p w:rsidR="00811184" w:rsidRDefault="00874371" w:rsidP="00B208B9">
      <w:pPr>
        <w:pStyle w:val="Sansinterligne"/>
      </w:pPr>
      <w:r>
        <w:t>Il faut déclarer à la direction de santé publique, via un formulaire, toute réaction grave ou complication survenant suite à la vaccination.</w:t>
      </w:r>
      <w:r w:rsidR="00811184">
        <w:br w:type="page"/>
      </w:r>
    </w:p>
    <w:p w:rsidR="003A700D" w:rsidRDefault="003A700D" w:rsidP="003A700D">
      <w:pPr>
        <w:spacing w:after="0"/>
        <w:rPr>
          <w:rFonts w:cs="Times New Roman"/>
          <w:b/>
          <w:color w:val="548DD4" w:themeColor="text2" w:themeTint="99"/>
        </w:rPr>
      </w:pPr>
      <w:r>
        <w:rPr>
          <w:rFonts w:cs="Times New Roman"/>
          <w:b/>
          <w:color w:val="548DD4" w:themeColor="text2" w:themeTint="99"/>
        </w:rPr>
        <w:t>CMC 75</w:t>
      </w:r>
    </w:p>
    <w:p w:rsidR="003A700D" w:rsidRDefault="003A700D" w:rsidP="003A700D">
      <w:pPr>
        <w:pStyle w:val="Titre3"/>
        <w:spacing w:before="0"/>
        <w:rPr>
          <w:rFonts w:ascii="Times New Roman" w:hAnsi="Times New Roman" w:cs="Times New Roman"/>
        </w:rPr>
      </w:pPr>
      <w:bookmarkStart w:id="226" w:name="_Toc480797308"/>
      <w:r w:rsidRPr="003A700D">
        <w:rPr>
          <w:rFonts w:ascii="Times New Roman" w:hAnsi="Times New Roman" w:cs="Times New Roman"/>
        </w:rPr>
        <w:t>Troubles de la personnalité</w:t>
      </w:r>
      <w:bookmarkEnd w:id="226"/>
    </w:p>
    <w:tbl>
      <w:tblPr>
        <w:tblW w:w="3858" w:type="pct"/>
        <w:tblCellSpacing w:w="0" w:type="dxa"/>
        <w:tblCellMar>
          <w:left w:w="0" w:type="dxa"/>
          <w:right w:w="0" w:type="dxa"/>
        </w:tblCellMar>
        <w:tblLook w:val="04A0" w:firstRow="1" w:lastRow="0" w:firstColumn="1" w:lastColumn="0" w:noHBand="0" w:noVBand="1"/>
      </w:tblPr>
      <w:tblGrid>
        <w:gridCol w:w="8333"/>
      </w:tblGrid>
      <w:tr w:rsidR="003A700D" w:rsidRPr="003A700D" w:rsidTr="003A700D">
        <w:trPr>
          <w:tblCellSpacing w:w="0" w:type="dxa"/>
        </w:trPr>
        <w:tc>
          <w:tcPr>
            <w:tcW w:w="0" w:type="auto"/>
            <w:vAlign w:val="bottom"/>
            <w:hideMark/>
          </w:tcPr>
          <w:p w:rsidR="003A700D" w:rsidRPr="00BD1872" w:rsidRDefault="00B13B2D" w:rsidP="00BD1872">
            <w:pPr>
              <w:pStyle w:val="Sansinterligne"/>
              <w:spacing w:before="240"/>
              <w:rPr>
                <w:b/>
                <w:sz w:val="18"/>
                <w:szCs w:val="18"/>
              </w:rPr>
            </w:pPr>
            <w:r w:rsidRPr="00BD1872">
              <w:rPr>
                <w:b/>
                <w:noProof/>
                <w:sz w:val="18"/>
                <w:szCs w:val="18"/>
                <w:lang w:eastAsia="fr-CA"/>
              </w:rPr>
              <mc:AlternateContent>
                <mc:Choice Requires="wps">
                  <w:drawing>
                    <wp:anchor distT="0" distB="0" distL="114300" distR="114300" simplePos="0" relativeHeight="251856896" behindDoc="0" locked="0" layoutInCell="1" allowOverlap="1" wp14:anchorId="5802D010" wp14:editId="7EF4C947">
                      <wp:simplePos x="0" y="0"/>
                      <wp:positionH relativeFrom="column">
                        <wp:posOffset>-87630</wp:posOffset>
                      </wp:positionH>
                      <wp:positionV relativeFrom="paragraph">
                        <wp:posOffset>70485</wp:posOffset>
                      </wp:positionV>
                      <wp:extent cx="6974205" cy="2557780"/>
                      <wp:effectExtent l="0" t="0" r="17145" b="13970"/>
                      <wp:wrapNone/>
                      <wp:docPr id="370" name="Rectangle 370"/>
                      <wp:cNvGraphicFramePr/>
                      <a:graphic xmlns:a="http://schemas.openxmlformats.org/drawingml/2006/main">
                        <a:graphicData uri="http://schemas.microsoft.com/office/word/2010/wordprocessingShape">
                          <wps:wsp>
                            <wps:cNvSpPr/>
                            <wps:spPr>
                              <a:xfrm>
                                <a:off x="0" y="0"/>
                                <a:ext cx="6974205" cy="2557780"/>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70" o:spid="_x0000_s1026" style="position:absolute;margin-left:-6.9pt;margin-top:5.55pt;width:549.15pt;height:201.4pt;z-index:25185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" filled="f" strokecolor="black [1600]" strokeweight="2pt"/>
                  </w:pict>
                </mc:Fallback>
              </mc:AlternateContent>
            </w:r>
            <w:r w:rsidR="003A700D" w:rsidRPr="00BD1872">
              <w:rPr>
                <w:b/>
                <w:sz w:val="18"/>
                <w:szCs w:val="18"/>
              </w:rPr>
              <w:t>Objectifs principaux</w:t>
            </w:r>
          </w:p>
        </w:tc>
      </w:tr>
    </w:tbl>
    <w:p w:rsidR="003A700D" w:rsidRPr="003A700D" w:rsidRDefault="003A700D" w:rsidP="003A700D">
      <w:pPr>
        <w:pStyle w:val="NormalWeb"/>
        <w:ind w:left="360"/>
        <w:rPr>
          <w:color w:val="000000"/>
          <w:sz w:val="18"/>
          <w:szCs w:val="18"/>
          <w:shd w:val="clear" w:color="auto" w:fill="FFFFFF"/>
        </w:rPr>
      </w:pPr>
      <w:r w:rsidRPr="003A700D">
        <w:rPr>
          <w:color w:val="000000"/>
          <w:sz w:val="18"/>
          <w:szCs w:val="18"/>
          <w:shd w:val="clear" w:color="auto" w:fill="FFFFFF"/>
        </w:rPr>
        <w:t>Dans le cas d'un patient présentant un trouble de la personnalité, le candidat devra faire la distinction entre un trouble de la personnalité et une maladie mentale tout en étant conscient de la grande prévalence des états de comorbidité qui y sont associés. Le candidat devra en outre élaborer un plan de prise en charge approprié.</w:t>
      </w:r>
    </w:p>
    <w:tbl>
      <w:tblPr>
        <w:tblW w:w="3897" w:type="pct"/>
        <w:tblCellSpacing w:w="0" w:type="dxa"/>
        <w:tblCellMar>
          <w:left w:w="0" w:type="dxa"/>
          <w:right w:w="0" w:type="dxa"/>
        </w:tblCellMar>
        <w:tblLook w:val="04A0" w:firstRow="1" w:lastRow="0" w:firstColumn="1" w:lastColumn="0" w:noHBand="0" w:noVBand="1"/>
      </w:tblPr>
      <w:tblGrid>
        <w:gridCol w:w="8418"/>
      </w:tblGrid>
      <w:tr w:rsidR="003A700D" w:rsidRPr="003A700D" w:rsidTr="003A700D">
        <w:trPr>
          <w:tblCellSpacing w:w="0" w:type="dxa"/>
        </w:trPr>
        <w:tc>
          <w:tcPr>
            <w:tcW w:w="0" w:type="auto"/>
            <w:vAlign w:val="bottom"/>
            <w:hideMark/>
          </w:tcPr>
          <w:p w:rsidR="003A700D" w:rsidRPr="00BD1872" w:rsidRDefault="003A700D" w:rsidP="00BD1872">
            <w:pPr>
              <w:pStyle w:val="Sansinterligne"/>
              <w:rPr>
                <w:b/>
                <w:sz w:val="16"/>
                <w:szCs w:val="16"/>
              </w:rPr>
            </w:pPr>
            <w:r w:rsidRPr="00BD1872">
              <w:rPr>
                <w:b/>
                <w:sz w:val="16"/>
                <w:szCs w:val="16"/>
              </w:rPr>
              <w:t>Objectifs spécifiques</w:t>
            </w:r>
          </w:p>
        </w:tc>
      </w:tr>
    </w:tbl>
    <w:p w:rsidR="003A700D" w:rsidRPr="003A700D" w:rsidRDefault="003A700D" w:rsidP="003A700D">
      <w:pPr>
        <w:pStyle w:val="NormalWeb"/>
        <w:shd w:val="clear" w:color="auto" w:fill="FFFFFF"/>
        <w:ind w:left="360"/>
        <w:rPr>
          <w:color w:val="000000"/>
          <w:sz w:val="16"/>
          <w:szCs w:val="16"/>
          <w:shd w:val="clear" w:color="auto" w:fill="FFFFFF"/>
        </w:rPr>
      </w:pPr>
      <w:r w:rsidRPr="003A700D">
        <w:rPr>
          <w:color w:val="000000"/>
          <w:sz w:val="16"/>
          <w:szCs w:val="16"/>
          <w:shd w:val="clear" w:color="auto" w:fill="FFFFFF"/>
        </w:rPr>
        <w:t>Dans le cas d'un patient présentant un trouble de la personnalité, le candidat devra</w:t>
      </w:r>
    </w:p>
    <w:p w:rsidR="003A700D" w:rsidRPr="003A700D" w:rsidRDefault="003A700D" w:rsidP="00867E49">
      <w:pPr>
        <w:numPr>
          <w:ilvl w:val="0"/>
          <w:numId w:val="707"/>
        </w:numPr>
        <w:shd w:val="clear" w:color="auto" w:fill="FFFFFF"/>
        <w:spacing w:before="100" w:beforeAutospacing="1" w:after="100" w:afterAutospacing="1" w:line="240" w:lineRule="auto"/>
        <w:rPr>
          <w:rFonts w:cs="Times New Roman"/>
          <w:color w:val="000000"/>
          <w:sz w:val="16"/>
          <w:szCs w:val="16"/>
          <w:shd w:val="clear" w:color="auto" w:fill="FFFFFF"/>
        </w:rPr>
      </w:pPr>
      <w:r w:rsidRPr="003A700D">
        <w:rPr>
          <w:rFonts w:cs="Times New Roman"/>
          <w:color w:val="000000"/>
          <w:sz w:val="16"/>
          <w:szCs w:val="16"/>
          <w:shd w:val="clear" w:color="auto" w:fill="FFFFFF"/>
        </w:rPr>
        <w:t>énumérer et interpréter les constatations cliniques cruciales, notamment :</w:t>
      </w:r>
    </w:p>
    <w:p w:rsidR="003A700D" w:rsidRPr="003A700D" w:rsidRDefault="003A700D" w:rsidP="00867E49">
      <w:pPr>
        <w:numPr>
          <w:ilvl w:val="1"/>
          <w:numId w:val="707"/>
        </w:numPr>
        <w:shd w:val="clear" w:color="auto" w:fill="FFFFFF"/>
        <w:spacing w:before="100" w:beforeAutospacing="1" w:after="100" w:afterAutospacing="1" w:line="240" w:lineRule="auto"/>
        <w:rPr>
          <w:rFonts w:cs="Times New Roman"/>
          <w:color w:val="000000"/>
          <w:sz w:val="16"/>
          <w:szCs w:val="16"/>
          <w:shd w:val="clear" w:color="auto" w:fill="FFFFFF"/>
        </w:rPr>
      </w:pPr>
      <w:r w:rsidRPr="003A700D">
        <w:rPr>
          <w:rFonts w:cs="Times New Roman"/>
          <w:color w:val="000000"/>
          <w:sz w:val="16"/>
          <w:szCs w:val="16"/>
          <w:shd w:val="clear" w:color="auto" w:fill="FFFFFF"/>
        </w:rPr>
        <w:t>des données cliniques suffisantes</w:t>
      </w:r>
      <w:r w:rsidR="00B13B2D">
        <w:rPr>
          <w:rFonts w:cs="Times New Roman"/>
          <w:color w:val="000000"/>
          <w:sz w:val="16"/>
          <w:szCs w:val="16"/>
          <w:shd w:val="clear" w:color="auto" w:fill="FFFFFF"/>
        </w:rPr>
        <w:t xml:space="preserve"> </w:t>
      </w:r>
      <w:r w:rsidRPr="003A700D">
        <w:rPr>
          <w:rFonts w:cs="Times New Roman"/>
          <w:color w:val="000000"/>
          <w:sz w:val="16"/>
          <w:szCs w:val="16"/>
          <w:shd w:val="clear" w:color="auto" w:fill="FFFFFF"/>
        </w:rPr>
        <w:t>(p. ex. examen de l'état mental) de façon à pouvoir diagnostiquer le trouble de la personnalité en cause;</w:t>
      </w:r>
    </w:p>
    <w:p w:rsidR="003A700D" w:rsidRPr="003A700D" w:rsidRDefault="003A700D" w:rsidP="00867E49">
      <w:pPr>
        <w:numPr>
          <w:ilvl w:val="1"/>
          <w:numId w:val="707"/>
        </w:numPr>
        <w:shd w:val="clear" w:color="auto" w:fill="FFFFFF"/>
        <w:spacing w:before="100" w:beforeAutospacing="1" w:after="100" w:afterAutospacing="1" w:line="240" w:lineRule="auto"/>
        <w:rPr>
          <w:rFonts w:cs="Times New Roman"/>
          <w:color w:val="000000"/>
          <w:sz w:val="16"/>
          <w:szCs w:val="16"/>
          <w:shd w:val="clear" w:color="auto" w:fill="FFFFFF"/>
        </w:rPr>
      </w:pPr>
      <w:r w:rsidRPr="003A700D">
        <w:rPr>
          <w:rFonts w:cs="Times New Roman"/>
          <w:color w:val="000000"/>
          <w:sz w:val="16"/>
          <w:szCs w:val="16"/>
          <w:shd w:val="clear" w:color="auto" w:fill="FFFFFF"/>
        </w:rPr>
        <w:t>les facteurs de risque associés aux troubles de la personnalité (p. ex. idées suicidaires, consommation d'alcool et/ou de drogues);</w:t>
      </w:r>
    </w:p>
    <w:p w:rsidR="003A700D" w:rsidRPr="003A700D" w:rsidRDefault="003A700D" w:rsidP="00867E49">
      <w:pPr>
        <w:numPr>
          <w:ilvl w:val="1"/>
          <w:numId w:val="707"/>
        </w:numPr>
        <w:shd w:val="clear" w:color="auto" w:fill="FFFFFF"/>
        <w:spacing w:before="100" w:beforeAutospacing="1" w:after="100" w:afterAutospacing="1" w:line="240" w:lineRule="auto"/>
        <w:rPr>
          <w:rFonts w:cs="Times New Roman"/>
          <w:color w:val="000000"/>
          <w:sz w:val="16"/>
          <w:szCs w:val="16"/>
          <w:shd w:val="clear" w:color="auto" w:fill="FFFFFF"/>
        </w:rPr>
      </w:pPr>
      <w:r w:rsidRPr="003A700D">
        <w:rPr>
          <w:rFonts w:cs="Times New Roman"/>
          <w:color w:val="000000"/>
          <w:sz w:val="16"/>
          <w:szCs w:val="16"/>
          <w:shd w:val="clear" w:color="auto" w:fill="FFFFFF"/>
        </w:rPr>
        <w:t>tout signe d'affection psychiatrique concomitante (p. ex. trouble de l'humeur);</w:t>
      </w:r>
    </w:p>
    <w:p w:rsidR="003A700D" w:rsidRPr="003A700D" w:rsidRDefault="003A700D" w:rsidP="00867E49">
      <w:pPr>
        <w:numPr>
          <w:ilvl w:val="0"/>
          <w:numId w:val="707"/>
        </w:numPr>
        <w:shd w:val="clear" w:color="auto" w:fill="FFFFFF"/>
        <w:spacing w:before="100" w:beforeAutospacing="1" w:after="100" w:afterAutospacing="1" w:line="240" w:lineRule="auto"/>
        <w:rPr>
          <w:rFonts w:cs="Times New Roman"/>
          <w:color w:val="000000"/>
          <w:sz w:val="16"/>
          <w:szCs w:val="16"/>
          <w:shd w:val="clear" w:color="auto" w:fill="FFFFFF"/>
        </w:rPr>
      </w:pPr>
      <w:r w:rsidRPr="003A700D">
        <w:rPr>
          <w:rFonts w:cs="Times New Roman"/>
          <w:color w:val="000000"/>
          <w:sz w:val="16"/>
          <w:szCs w:val="16"/>
          <w:shd w:val="clear" w:color="auto" w:fill="FFFFFF"/>
        </w:rPr>
        <w:t>établir un plan efficace de prise en charge initiale, notamment :</w:t>
      </w:r>
    </w:p>
    <w:p w:rsidR="003A700D" w:rsidRPr="003A700D" w:rsidRDefault="003A700D" w:rsidP="00867E49">
      <w:pPr>
        <w:numPr>
          <w:ilvl w:val="1"/>
          <w:numId w:val="707"/>
        </w:numPr>
        <w:shd w:val="clear" w:color="auto" w:fill="FFFFFF"/>
        <w:spacing w:before="100" w:beforeAutospacing="1" w:after="100" w:afterAutospacing="1" w:line="240" w:lineRule="auto"/>
        <w:rPr>
          <w:rFonts w:cs="Times New Roman"/>
          <w:color w:val="000000"/>
          <w:sz w:val="16"/>
          <w:szCs w:val="16"/>
          <w:shd w:val="clear" w:color="auto" w:fill="FFFFFF"/>
        </w:rPr>
      </w:pPr>
      <w:r w:rsidRPr="003A700D">
        <w:rPr>
          <w:rFonts w:cs="Times New Roman"/>
          <w:color w:val="000000"/>
          <w:sz w:val="16"/>
          <w:szCs w:val="16"/>
          <w:shd w:val="clear" w:color="auto" w:fill="FFFFFF"/>
        </w:rPr>
        <w:t>une prise en charge adéquate du sujet si celui-ci a besoin d'une intervention immédiate (p. ex., risque de tentative de suicide, risque pour autrui);</w:t>
      </w:r>
    </w:p>
    <w:p w:rsidR="003A700D" w:rsidRPr="003A700D" w:rsidRDefault="003A700D" w:rsidP="00867E49">
      <w:pPr>
        <w:numPr>
          <w:ilvl w:val="1"/>
          <w:numId w:val="707"/>
        </w:numPr>
        <w:shd w:val="clear" w:color="auto" w:fill="FFFFFF"/>
        <w:spacing w:before="100" w:beforeAutospacing="1" w:after="100" w:afterAutospacing="1" w:line="240" w:lineRule="auto"/>
        <w:rPr>
          <w:rFonts w:cs="Times New Roman"/>
          <w:color w:val="000000"/>
          <w:sz w:val="16"/>
          <w:szCs w:val="16"/>
          <w:shd w:val="clear" w:color="auto" w:fill="FFFFFF"/>
        </w:rPr>
      </w:pPr>
      <w:r w:rsidRPr="003A700D">
        <w:rPr>
          <w:rFonts w:cs="Times New Roman"/>
          <w:color w:val="000000"/>
          <w:sz w:val="16"/>
          <w:szCs w:val="16"/>
          <w:shd w:val="clear" w:color="auto" w:fill="FFFFFF"/>
        </w:rPr>
        <w:t>un recours judicieux à la pharmacothérapie compte tenu du risque d'abus ou de surdose;</w:t>
      </w:r>
    </w:p>
    <w:p w:rsidR="00B13B2D" w:rsidRPr="00B13B2D" w:rsidRDefault="003A700D" w:rsidP="00867E49">
      <w:pPr>
        <w:numPr>
          <w:ilvl w:val="1"/>
          <w:numId w:val="707"/>
        </w:numPr>
        <w:shd w:val="clear" w:color="auto" w:fill="FFFFFF"/>
        <w:spacing w:before="100" w:beforeAutospacing="1" w:after="100" w:afterAutospacing="1" w:line="240" w:lineRule="auto"/>
        <w:rPr>
          <w:rFonts w:cs="Times New Roman"/>
          <w:color w:val="000000"/>
          <w:sz w:val="16"/>
          <w:szCs w:val="16"/>
          <w:shd w:val="clear" w:color="auto" w:fill="FFFFFF"/>
        </w:rPr>
      </w:pPr>
      <w:r w:rsidRPr="003A700D">
        <w:rPr>
          <w:rFonts w:cs="Times New Roman"/>
          <w:color w:val="000000"/>
          <w:sz w:val="16"/>
          <w:szCs w:val="16"/>
          <w:shd w:val="clear" w:color="auto" w:fill="FFFFFF"/>
        </w:rPr>
        <w:t>une orientation vers des soins pluridisciplinaires et/ou spécialisés, s'il y a lieu.</w:t>
      </w:r>
    </w:p>
    <w:p w:rsidR="00974E7C" w:rsidRPr="00974E7C" w:rsidRDefault="00974E7C" w:rsidP="00B13B2D">
      <w:pPr>
        <w:shd w:val="clear" w:color="auto" w:fill="FFFFFF"/>
        <w:spacing w:before="100" w:beforeAutospacing="1" w:after="100" w:afterAutospacing="1" w:line="240" w:lineRule="auto"/>
        <w:rPr>
          <w:b/>
          <w:sz w:val="28"/>
          <w:szCs w:val="28"/>
        </w:rPr>
      </w:pPr>
      <w:r w:rsidRPr="00974E7C">
        <w:rPr>
          <w:b/>
          <w:sz w:val="28"/>
          <w:szCs w:val="28"/>
        </w:rPr>
        <w:t>Troubles de la personnalité et condition psychologique</w:t>
      </w:r>
    </w:p>
    <w:p w:rsidR="00974E7C" w:rsidRDefault="00974E7C" w:rsidP="00974E7C">
      <w:pPr>
        <w:pStyle w:val="Sansinterligne"/>
      </w:pPr>
      <w:r>
        <w:t xml:space="preserve">Les troubles de la personnalité sont des pathologies dites égosyntones. C’est-à-dire que les manifestations ou symptômes sont accord avec le </w:t>
      </w:r>
      <w:r w:rsidRPr="00E056C9">
        <w:rPr>
          <w:i/>
        </w:rPr>
        <w:t>soi</w:t>
      </w:r>
      <w:r>
        <w:t xml:space="preserve">. Concrètement, cela signifie que le problème n’est pas perçu comme étant intérieur. Cela rend leur acceptation </w:t>
      </w:r>
      <w:r w:rsidR="00B20340">
        <w:t xml:space="preserve">par le patient </w:t>
      </w:r>
      <w:r>
        <w:t>et leur traitement d’autant plus ardu.</w:t>
      </w:r>
    </w:p>
    <w:p w:rsidR="00974E7C" w:rsidRDefault="00974E7C" w:rsidP="00974E7C">
      <w:pPr>
        <w:pStyle w:val="Sansinterligne"/>
      </w:pPr>
    </w:p>
    <w:p w:rsidR="00E056C9" w:rsidRDefault="00E056C9" w:rsidP="00974E7C">
      <w:pPr>
        <w:pStyle w:val="Sansinterligne"/>
      </w:pPr>
      <w:r>
        <w:t xml:space="preserve">Il importe de distinguer les traits de personnalité, d’un trouble. Les traits caractérisent chaque individu et n’entraînent pas un dysfonctionnement social, une impulsivité ou des perturbations émotives </w:t>
      </w:r>
      <w:r w:rsidR="00C0524A">
        <w:t xml:space="preserve">contrairement au trouble </w:t>
      </w:r>
      <w:r>
        <w:t>(voir critères généraux de TP).</w:t>
      </w:r>
    </w:p>
    <w:p w:rsidR="00E056C9" w:rsidRDefault="00E056C9" w:rsidP="00974E7C">
      <w:pPr>
        <w:pStyle w:val="Sansinterligne"/>
      </w:pPr>
    </w:p>
    <w:p w:rsidR="00E056C9" w:rsidRDefault="00974E7C" w:rsidP="00974E7C">
      <w:pPr>
        <w:pStyle w:val="Sansinterligne"/>
      </w:pPr>
      <w:r>
        <w:t>Il est</w:t>
      </w:r>
      <w:r w:rsidR="00C0524A">
        <w:t xml:space="preserve"> également</w:t>
      </w:r>
      <w:r>
        <w:t xml:space="preserve"> important de ne pas diagnostique un trouble de l</w:t>
      </w:r>
      <w:r w:rsidR="00E056C9">
        <w:t>a personnalité (TP) à la légère ou sur une rencontre unique.</w:t>
      </w:r>
      <w:r w:rsidR="00C0524A">
        <w:t xml:space="preserve"> </w:t>
      </w:r>
      <w:r w:rsidR="00E056C9">
        <w:t xml:space="preserve">Cette condition reste au dossier du patient et change malheureusement </w:t>
      </w:r>
      <w:r w:rsidR="00C0524A">
        <w:t xml:space="preserve">trop </w:t>
      </w:r>
      <w:r w:rsidR="00E056C9">
        <w:t xml:space="preserve">souvent la perception et le degré d’empathie du personnel soignant </w:t>
      </w:r>
      <w:r w:rsidR="00C0524A">
        <w:t>envers</w:t>
      </w:r>
      <w:r w:rsidR="00E056C9">
        <w:t xml:space="preserve"> la personne.</w:t>
      </w:r>
    </w:p>
    <w:p w:rsidR="00E056C9" w:rsidRDefault="00E056C9" w:rsidP="00974E7C">
      <w:pPr>
        <w:pStyle w:val="Sansinterligne"/>
      </w:pPr>
    </w:p>
    <w:p w:rsidR="002436D5" w:rsidRPr="002436D5" w:rsidRDefault="002436D5" w:rsidP="00974E7C">
      <w:pPr>
        <w:pStyle w:val="Sansinterligne"/>
        <w:rPr>
          <w:u w:val="single"/>
        </w:rPr>
      </w:pPr>
      <w:r w:rsidRPr="002436D5">
        <w:rPr>
          <w:u w:val="single"/>
        </w:rPr>
        <w:t>Problématiques associées</w:t>
      </w:r>
    </w:p>
    <w:p w:rsidR="002436D5" w:rsidRDefault="002436D5" w:rsidP="00974E7C">
      <w:pPr>
        <w:pStyle w:val="Sansinterligne"/>
      </w:pPr>
    </w:p>
    <w:p w:rsidR="002436D5" w:rsidRDefault="002436D5" w:rsidP="00974E7C">
      <w:pPr>
        <w:pStyle w:val="Sansinterligne"/>
      </w:pPr>
      <w:r>
        <w:t>Les troubles de personnalités constituent un facteur de risque pour :</w:t>
      </w:r>
    </w:p>
    <w:p w:rsidR="002436D5" w:rsidRDefault="002436D5" w:rsidP="002436D5">
      <w:pPr>
        <w:pStyle w:val="Sansinterligne"/>
        <w:numPr>
          <w:ilvl w:val="0"/>
          <w:numId w:val="726"/>
        </w:numPr>
        <w:sectPr w:rsidR="002436D5" w:rsidSect="00217865">
          <w:type w:val="continuous"/>
          <w:pgSz w:w="12240" w:h="15840"/>
          <w:pgMar w:top="720" w:right="720" w:bottom="720" w:left="720" w:header="708" w:footer="708" w:gutter="0"/>
          <w:cols w:space="708"/>
          <w:docGrid w:linePitch="360"/>
        </w:sectPr>
      </w:pPr>
    </w:p>
    <w:p w:rsidR="002436D5" w:rsidRDefault="002436D5" w:rsidP="002436D5">
      <w:pPr>
        <w:pStyle w:val="Sansinterligne"/>
        <w:numPr>
          <w:ilvl w:val="0"/>
          <w:numId w:val="726"/>
        </w:numPr>
      </w:pPr>
      <w:r>
        <w:t>Le suicide</w:t>
      </w:r>
    </w:p>
    <w:p w:rsidR="002436D5" w:rsidRDefault="002436D5" w:rsidP="002436D5">
      <w:pPr>
        <w:pStyle w:val="Sansinterligne"/>
        <w:numPr>
          <w:ilvl w:val="0"/>
          <w:numId w:val="726"/>
        </w:numPr>
      </w:pPr>
      <w:r>
        <w:t>La dépression</w:t>
      </w:r>
    </w:p>
    <w:p w:rsidR="002436D5" w:rsidRDefault="002436D5" w:rsidP="002436D5">
      <w:pPr>
        <w:pStyle w:val="Sansinterligne"/>
        <w:numPr>
          <w:ilvl w:val="0"/>
          <w:numId w:val="726"/>
        </w:numPr>
      </w:pPr>
      <w:r>
        <w:t>La violence</w:t>
      </w:r>
    </w:p>
    <w:p w:rsidR="002436D5" w:rsidRDefault="002436D5" w:rsidP="002436D5">
      <w:pPr>
        <w:pStyle w:val="Sansinterligne"/>
        <w:numPr>
          <w:ilvl w:val="0"/>
          <w:numId w:val="726"/>
        </w:numPr>
      </w:pPr>
      <w:r>
        <w:t>Le trouble psychotique bref</w:t>
      </w:r>
    </w:p>
    <w:p w:rsidR="002436D5" w:rsidRDefault="002436D5" w:rsidP="002436D5">
      <w:pPr>
        <w:pStyle w:val="Sansinterligne"/>
        <w:numPr>
          <w:ilvl w:val="0"/>
          <w:numId w:val="726"/>
        </w:numPr>
      </w:pPr>
      <w:r>
        <w:t>L’usage de drogues multiples</w:t>
      </w:r>
    </w:p>
    <w:p w:rsidR="00974E7C" w:rsidRDefault="002436D5" w:rsidP="002436D5">
      <w:pPr>
        <w:pStyle w:val="Sansinterligne"/>
        <w:numPr>
          <w:ilvl w:val="0"/>
          <w:numId w:val="726"/>
        </w:numPr>
      </w:pPr>
      <w:r>
        <w:t xml:space="preserve">La </w:t>
      </w:r>
      <w:r w:rsidR="00974E7C">
        <w:t>résistance au traitement</w:t>
      </w:r>
    </w:p>
    <w:p w:rsidR="002436D5" w:rsidRDefault="002436D5" w:rsidP="00B13B2D">
      <w:pPr>
        <w:shd w:val="clear" w:color="auto" w:fill="FFFFFF"/>
        <w:spacing w:before="100" w:beforeAutospacing="1" w:after="100" w:afterAutospacing="1" w:line="240" w:lineRule="auto"/>
        <w:sectPr w:rsidR="002436D5" w:rsidSect="002436D5">
          <w:type w:val="continuous"/>
          <w:pgSz w:w="12240" w:h="15840"/>
          <w:pgMar w:top="720" w:right="720" w:bottom="720" w:left="720" w:header="708" w:footer="708" w:gutter="0"/>
          <w:cols w:num="3" w:space="0" w:equalWidth="0">
            <w:col w:w="3127" w:space="0"/>
            <w:col w:w="3446" w:space="0"/>
            <w:col w:w="4227"/>
          </w:cols>
          <w:docGrid w:linePitch="360"/>
        </w:sectPr>
      </w:pPr>
    </w:p>
    <w:p w:rsidR="002436D5" w:rsidRDefault="002436D5" w:rsidP="003A700D">
      <w:pPr>
        <w:pStyle w:val="Sansinterligne"/>
        <w:rPr>
          <w:b/>
          <w:sz w:val="28"/>
          <w:szCs w:val="28"/>
        </w:rPr>
      </w:pPr>
    </w:p>
    <w:p w:rsidR="00B13B2D" w:rsidRPr="00B13B2D" w:rsidRDefault="00B13B2D" w:rsidP="003A700D">
      <w:pPr>
        <w:pStyle w:val="Sansinterligne"/>
        <w:rPr>
          <w:b/>
          <w:sz w:val="28"/>
          <w:szCs w:val="28"/>
        </w:rPr>
      </w:pPr>
      <w:r w:rsidRPr="00B13B2D">
        <w:rPr>
          <w:b/>
          <w:sz w:val="28"/>
          <w:szCs w:val="28"/>
        </w:rPr>
        <w:t>Diagnostics</w:t>
      </w:r>
    </w:p>
    <w:p w:rsidR="00B13B2D" w:rsidRDefault="00B13B2D" w:rsidP="003A700D">
      <w:pPr>
        <w:pStyle w:val="Sansinterligne"/>
      </w:pPr>
    </w:p>
    <w:p w:rsidR="004F2B79" w:rsidRDefault="004F2B79" w:rsidP="003A700D">
      <w:pPr>
        <w:pStyle w:val="Sansinterligne"/>
      </w:pPr>
    </w:p>
    <w:tbl>
      <w:tblPr>
        <w:tblStyle w:val="Grilledutableau"/>
        <w:tblW w:w="11023" w:type="dxa"/>
        <w:tblLook w:val="04A0" w:firstRow="1" w:lastRow="0" w:firstColumn="1" w:lastColumn="0" w:noHBand="0" w:noVBand="1"/>
      </w:tblPr>
      <w:tblGrid>
        <w:gridCol w:w="5495"/>
        <w:gridCol w:w="5445"/>
        <w:gridCol w:w="83"/>
      </w:tblGrid>
      <w:tr w:rsidR="0037666B" w:rsidTr="002A1F06">
        <w:trPr>
          <w:gridAfter w:val="1"/>
          <w:wAfter w:w="83" w:type="dxa"/>
        </w:trPr>
        <w:tc>
          <w:tcPr>
            <w:tcW w:w="10940" w:type="dxa"/>
            <w:gridSpan w:val="2"/>
            <w:shd w:val="clear" w:color="auto" w:fill="9BBB59" w:themeFill="accent3"/>
          </w:tcPr>
          <w:p w:rsidR="0037666B" w:rsidRPr="00F928E1" w:rsidRDefault="0037666B" w:rsidP="00F928E1">
            <w:pPr>
              <w:pStyle w:val="Sansinterligne"/>
              <w:jc w:val="center"/>
              <w:rPr>
                <w:i/>
              </w:rPr>
            </w:pPr>
            <w:r w:rsidRPr="00F928E1">
              <w:rPr>
                <w:i/>
              </w:rPr>
              <w:t>Critères généraux de TP</w:t>
            </w:r>
            <w:r w:rsidR="00F928E1" w:rsidRPr="00F928E1">
              <w:rPr>
                <w:i/>
              </w:rPr>
              <w:t xml:space="preserve"> (DSM-V)</w:t>
            </w:r>
          </w:p>
        </w:tc>
      </w:tr>
      <w:tr w:rsidR="0037666B" w:rsidTr="002269C5">
        <w:trPr>
          <w:gridAfter w:val="1"/>
          <w:wAfter w:w="83" w:type="dxa"/>
        </w:trPr>
        <w:tc>
          <w:tcPr>
            <w:tcW w:w="10940" w:type="dxa"/>
            <w:gridSpan w:val="2"/>
          </w:tcPr>
          <w:p w:rsidR="0037666B" w:rsidRPr="00F928E1" w:rsidRDefault="0037666B" w:rsidP="00F928E1">
            <w:pPr>
              <w:pStyle w:val="Sansinterligne"/>
              <w:numPr>
                <w:ilvl w:val="0"/>
                <w:numId w:val="708"/>
              </w:numPr>
              <w:rPr>
                <w:highlight w:val="yellow"/>
              </w:rPr>
            </w:pPr>
            <w:r w:rsidRPr="00F928E1">
              <w:rPr>
                <w:highlight w:val="yellow"/>
              </w:rPr>
              <w:t>Modalité persistante de l’expérience vécue et des comportements qui dévient de façon marqué de ce qui est attendue dans la culture d’un individu.</w:t>
            </w:r>
          </w:p>
          <w:p w:rsidR="0037666B" w:rsidRPr="00F928E1" w:rsidRDefault="0037666B" w:rsidP="00F928E1">
            <w:pPr>
              <w:pStyle w:val="Sansinterligne"/>
              <w:numPr>
                <w:ilvl w:val="0"/>
                <w:numId w:val="708"/>
              </w:numPr>
              <w:rPr>
                <w:highlight w:val="yellow"/>
              </w:rPr>
            </w:pPr>
            <w:r w:rsidRPr="00F928E1">
              <w:rPr>
                <w:highlight w:val="yellow"/>
              </w:rPr>
              <w:t>Affecte 2 aspects suivants ou plus :</w:t>
            </w:r>
          </w:p>
          <w:p w:rsidR="0037666B" w:rsidRPr="00F928E1" w:rsidRDefault="0037666B" w:rsidP="00F928E1">
            <w:pPr>
              <w:pStyle w:val="Sansinterligne"/>
              <w:numPr>
                <w:ilvl w:val="1"/>
                <w:numId w:val="708"/>
              </w:numPr>
              <w:rPr>
                <w:highlight w:val="yellow"/>
              </w:rPr>
            </w:pPr>
            <w:r w:rsidRPr="00F928E1">
              <w:rPr>
                <w:highlight w:val="yellow"/>
              </w:rPr>
              <w:t>Cognition</w:t>
            </w:r>
          </w:p>
          <w:p w:rsidR="0037666B" w:rsidRPr="00F928E1" w:rsidRDefault="0037666B" w:rsidP="00F928E1">
            <w:pPr>
              <w:pStyle w:val="Sansinterligne"/>
              <w:numPr>
                <w:ilvl w:val="1"/>
                <w:numId w:val="708"/>
              </w:numPr>
              <w:rPr>
                <w:highlight w:val="yellow"/>
              </w:rPr>
            </w:pPr>
            <w:r w:rsidRPr="00F928E1">
              <w:rPr>
                <w:highlight w:val="yellow"/>
              </w:rPr>
              <w:t>Affect</w:t>
            </w:r>
          </w:p>
          <w:p w:rsidR="0037666B" w:rsidRPr="00F928E1" w:rsidRDefault="0037666B" w:rsidP="00F928E1">
            <w:pPr>
              <w:pStyle w:val="Sansinterligne"/>
              <w:numPr>
                <w:ilvl w:val="1"/>
                <w:numId w:val="708"/>
              </w:numPr>
              <w:rPr>
                <w:highlight w:val="yellow"/>
              </w:rPr>
            </w:pPr>
            <w:r w:rsidRPr="00F928E1">
              <w:rPr>
                <w:highlight w:val="yellow"/>
              </w:rPr>
              <w:t>Fonctionnement interpersonnel</w:t>
            </w:r>
          </w:p>
          <w:p w:rsidR="0037666B" w:rsidRPr="00F928E1" w:rsidRDefault="0037666B" w:rsidP="00F928E1">
            <w:pPr>
              <w:pStyle w:val="Sansinterligne"/>
              <w:numPr>
                <w:ilvl w:val="1"/>
                <w:numId w:val="708"/>
              </w:numPr>
              <w:rPr>
                <w:highlight w:val="yellow"/>
              </w:rPr>
            </w:pPr>
            <w:r w:rsidRPr="00F928E1">
              <w:rPr>
                <w:highlight w:val="yellow"/>
              </w:rPr>
              <w:t>Le contrôle des pulsions</w:t>
            </w:r>
          </w:p>
          <w:p w:rsidR="00F928E1" w:rsidRPr="00F928E1" w:rsidRDefault="00F928E1" w:rsidP="00F928E1">
            <w:pPr>
              <w:pStyle w:val="Sansinterligne"/>
              <w:numPr>
                <w:ilvl w:val="0"/>
                <w:numId w:val="708"/>
              </w:numPr>
              <w:rPr>
                <w:highlight w:val="yellow"/>
              </w:rPr>
            </w:pPr>
            <w:r w:rsidRPr="00F928E1">
              <w:rPr>
                <w:highlight w:val="yellow"/>
              </w:rPr>
              <w:t>Ce mode est stable et prolongé et a débuté au plus tard en fin d’adolescence / âge adulte (début)</w:t>
            </w:r>
          </w:p>
          <w:p w:rsidR="00F928E1" w:rsidRDefault="00F928E1" w:rsidP="00F928E1">
            <w:pPr>
              <w:pStyle w:val="Sansinterligne"/>
              <w:numPr>
                <w:ilvl w:val="0"/>
                <w:numId w:val="708"/>
              </w:numPr>
            </w:pPr>
            <w:r>
              <w:t>N’est pas mieux expliqué par un autre trouble mental</w:t>
            </w:r>
          </w:p>
          <w:p w:rsidR="00F928E1" w:rsidRDefault="00F928E1" w:rsidP="00F928E1">
            <w:pPr>
              <w:pStyle w:val="Sansinterligne"/>
              <w:numPr>
                <w:ilvl w:val="0"/>
                <w:numId w:val="708"/>
              </w:numPr>
            </w:pPr>
            <w:r>
              <w:t xml:space="preserve">N’est pas </w:t>
            </w:r>
            <w:r w:rsidR="002269C5">
              <w:t>dû</w:t>
            </w:r>
            <w:r>
              <w:t xml:space="preserve"> à une substance ou une autre condition médicale </w:t>
            </w:r>
          </w:p>
        </w:tc>
      </w:tr>
      <w:tr w:rsidR="0037666B" w:rsidTr="002A1F06">
        <w:tc>
          <w:tcPr>
            <w:tcW w:w="11023" w:type="dxa"/>
            <w:gridSpan w:val="3"/>
            <w:shd w:val="clear" w:color="auto" w:fill="9BBB59" w:themeFill="accent3"/>
          </w:tcPr>
          <w:p w:rsidR="0037666B" w:rsidRDefault="0037666B" w:rsidP="00F928E1">
            <w:pPr>
              <w:pStyle w:val="Sansinterligne"/>
              <w:jc w:val="center"/>
            </w:pPr>
            <w:r>
              <w:t>Cluster A</w:t>
            </w:r>
            <w:r w:rsidR="00F928E1">
              <w:t xml:space="preserve"> – critères DSM V</w:t>
            </w:r>
          </w:p>
        </w:tc>
      </w:tr>
      <w:tr w:rsidR="0037666B" w:rsidTr="002269C5">
        <w:tc>
          <w:tcPr>
            <w:tcW w:w="5495" w:type="dxa"/>
            <w:shd w:val="clear" w:color="auto" w:fill="C2D69B" w:themeFill="accent3" w:themeFillTint="99"/>
          </w:tcPr>
          <w:p w:rsidR="0037666B" w:rsidRDefault="0037666B" w:rsidP="00F928E1">
            <w:pPr>
              <w:pStyle w:val="Sansinterligne"/>
              <w:jc w:val="center"/>
            </w:pPr>
            <w:r>
              <w:t>Trouble de personnalité paranoïde</w:t>
            </w:r>
          </w:p>
        </w:tc>
        <w:tc>
          <w:tcPr>
            <w:tcW w:w="5528" w:type="dxa"/>
            <w:gridSpan w:val="2"/>
            <w:shd w:val="clear" w:color="auto" w:fill="C2D69B" w:themeFill="accent3" w:themeFillTint="99"/>
          </w:tcPr>
          <w:p w:rsidR="0037666B" w:rsidRDefault="0037666B" w:rsidP="00F928E1">
            <w:pPr>
              <w:pStyle w:val="Sansinterligne"/>
              <w:jc w:val="center"/>
            </w:pPr>
            <w:r>
              <w:t>Trouble de personnalité schizoïde</w:t>
            </w:r>
          </w:p>
        </w:tc>
      </w:tr>
      <w:tr w:rsidR="0037666B" w:rsidTr="002269C5">
        <w:tc>
          <w:tcPr>
            <w:tcW w:w="5495" w:type="dxa"/>
          </w:tcPr>
          <w:p w:rsidR="00F16E03" w:rsidRPr="00F16E03" w:rsidRDefault="00F16E03" w:rsidP="00F16E03">
            <w:pPr>
              <w:pStyle w:val="Sansinterligne"/>
              <w:numPr>
                <w:ilvl w:val="0"/>
                <w:numId w:val="710"/>
              </w:numPr>
              <w:rPr>
                <w:highlight w:val="yellow"/>
              </w:rPr>
            </w:pPr>
            <w:r w:rsidRPr="00F16E03">
              <w:rPr>
                <w:highlight w:val="yellow"/>
              </w:rPr>
              <w:t>Méfiance envahissante, suspicieux, interprétant</w:t>
            </w:r>
          </w:p>
          <w:p w:rsidR="0037666B" w:rsidRDefault="00576B8E" w:rsidP="00F16E03">
            <w:pPr>
              <w:pStyle w:val="Sansinterligne"/>
              <w:jc w:val="center"/>
            </w:pPr>
            <w:r w:rsidRPr="00F16E03">
              <w:rPr>
                <w:rFonts w:ascii="Century Gothic" w:hAnsi="Century Gothic"/>
                <w:u w:val="single"/>
              </w:rPr>
              <w:t>≥</w:t>
            </w:r>
            <w:r w:rsidRPr="00F16E03">
              <w:rPr>
                <w:u w:val="single"/>
              </w:rPr>
              <w:t xml:space="preserve"> 4 critères</w:t>
            </w:r>
            <w:r>
              <w:t> :</w:t>
            </w:r>
          </w:p>
          <w:p w:rsidR="00576B8E" w:rsidRDefault="00F16E03" w:rsidP="00F16E03">
            <w:pPr>
              <w:pStyle w:val="Sansinterligne"/>
              <w:numPr>
                <w:ilvl w:val="0"/>
                <w:numId w:val="709"/>
              </w:numPr>
            </w:pPr>
            <w:r>
              <w:t>S’attend à ce que les autres l’exploitent ou le déçoivent</w:t>
            </w:r>
          </w:p>
          <w:p w:rsidR="00F16E03" w:rsidRDefault="00F16E03" w:rsidP="00F16E03">
            <w:pPr>
              <w:pStyle w:val="Sansinterligne"/>
              <w:numPr>
                <w:ilvl w:val="0"/>
                <w:numId w:val="709"/>
              </w:numPr>
            </w:pPr>
            <w:r>
              <w:t>Préoccupations  par la fidélité de ses proches</w:t>
            </w:r>
          </w:p>
          <w:p w:rsidR="00F16E03" w:rsidRDefault="00F16E03" w:rsidP="00F16E03">
            <w:pPr>
              <w:pStyle w:val="Sansinterligne"/>
              <w:numPr>
                <w:ilvl w:val="0"/>
                <w:numId w:val="709"/>
              </w:numPr>
            </w:pPr>
            <w:r>
              <w:t>Réticent à se confier à autrui</w:t>
            </w:r>
          </w:p>
          <w:p w:rsidR="00F16E03" w:rsidRDefault="00F16E03" w:rsidP="00F16E03">
            <w:pPr>
              <w:pStyle w:val="Sansinterligne"/>
              <w:numPr>
                <w:ilvl w:val="0"/>
                <w:numId w:val="709"/>
              </w:numPr>
            </w:pPr>
            <w:r>
              <w:t>Interprète des remarques anodines à son sujet comme une menaçantes ou humiliants ou ayant un sens caché.</w:t>
            </w:r>
          </w:p>
          <w:p w:rsidR="00F16E03" w:rsidRDefault="00F16E03" w:rsidP="00F16E03">
            <w:pPr>
              <w:pStyle w:val="Sansinterligne"/>
              <w:numPr>
                <w:ilvl w:val="0"/>
                <w:numId w:val="709"/>
              </w:numPr>
            </w:pPr>
            <w:r>
              <w:t>Garde rancune</w:t>
            </w:r>
          </w:p>
          <w:p w:rsidR="00F16E03" w:rsidRDefault="00F16E03" w:rsidP="00F16E03">
            <w:pPr>
              <w:pStyle w:val="Sansinterligne"/>
              <w:numPr>
                <w:ilvl w:val="0"/>
                <w:numId w:val="709"/>
              </w:numPr>
            </w:pPr>
            <w:r>
              <w:t>Perçoit des attaques à sa réputation ou sans personne et contre-attaque de manière rapide</w:t>
            </w:r>
          </w:p>
          <w:p w:rsidR="00F16E03" w:rsidRDefault="00F16E03" w:rsidP="00F16E03">
            <w:pPr>
              <w:pStyle w:val="Sansinterligne"/>
              <w:numPr>
                <w:ilvl w:val="0"/>
                <w:numId w:val="709"/>
              </w:numPr>
            </w:pPr>
            <w:r>
              <w:t>Remet en question la fidélité de son partenaire sans raison</w:t>
            </w:r>
          </w:p>
        </w:tc>
        <w:tc>
          <w:tcPr>
            <w:tcW w:w="5528" w:type="dxa"/>
            <w:gridSpan w:val="2"/>
          </w:tcPr>
          <w:p w:rsidR="0037666B" w:rsidRPr="00F16E03" w:rsidRDefault="00F16E03" w:rsidP="00F16E03">
            <w:pPr>
              <w:pStyle w:val="Sansinterligne"/>
              <w:numPr>
                <w:ilvl w:val="0"/>
                <w:numId w:val="710"/>
              </w:numPr>
              <w:rPr>
                <w:highlight w:val="yellow"/>
              </w:rPr>
            </w:pPr>
            <w:r w:rsidRPr="00F16E03">
              <w:rPr>
                <w:highlight w:val="yellow"/>
              </w:rPr>
              <w:t>N’apprécie pas les contacts sociaux, solitaire, excentrique</w:t>
            </w:r>
          </w:p>
          <w:p w:rsidR="00F16E03" w:rsidRDefault="00F16E03" w:rsidP="00F16E03">
            <w:pPr>
              <w:pStyle w:val="Sansinterligne"/>
              <w:jc w:val="center"/>
            </w:pPr>
            <w:r w:rsidRPr="00F16E03">
              <w:rPr>
                <w:rFonts w:ascii="Century Gothic" w:hAnsi="Century Gothic"/>
                <w:u w:val="single"/>
              </w:rPr>
              <w:t>≥</w:t>
            </w:r>
            <w:r w:rsidRPr="00F16E03">
              <w:rPr>
                <w:u w:val="single"/>
              </w:rPr>
              <w:t xml:space="preserve"> 4 critères</w:t>
            </w:r>
            <w:r>
              <w:t> :</w:t>
            </w:r>
          </w:p>
          <w:p w:rsidR="00F16E03" w:rsidRDefault="00F16E03" w:rsidP="00F16E03">
            <w:pPr>
              <w:pStyle w:val="Sansinterligne"/>
              <w:numPr>
                <w:ilvl w:val="0"/>
                <w:numId w:val="711"/>
              </w:numPr>
            </w:pPr>
            <w:r>
              <w:t>Ne recherche pas et n’apprécie pas les relations proches (incluant les liens familiaux)</w:t>
            </w:r>
          </w:p>
          <w:p w:rsidR="00F16E03" w:rsidRDefault="00F16E03" w:rsidP="00F16E03">
            <w:pPr>
              <w:pStyle w:val="Sansinterligne"/>
              <w:numPr>
                <w:ilvl w:val="0"/>
                <w:numId w:val="711"/>
              </w:numPr>
            </w:pPr>
            <w:r>
              <w:t>Préfère les activités solitaires</w:t>
            </w:r>
          </w:p>
          <w:p w:rsidR="00F16E03" w:rsidRDefault="00F16E03" w:rsidP="00F16E03">
            <w:pPr>
              <w:pStyle w:val="Sansinterligne"/>
              <w:numPr>
                <w:ilvl w:val="0"/>
                <w:numId w:val="711"/>
              </w:numPr>
            </w:pPr>
            <w:r>
              <w:t>Peu ou pas d’intérêt pour la sexualité avec autrui</w:t>
            </w:r>
          </w:p>
          <w:p w:rsidR="00F16E03" w:rsidRDefault="00F16E03" w:rsidP="00F16E03">
            <w:pPr>
              <w:pStyle w:val="Sansinterligne"/>
              <w:numPr>
                <w:ilvl w:val="0"/>
                <w:numId w:val="711"/>
              </w:numPr>
            </w:pPr>
            <w:r>
              <w:t>Éprouve du plaisir dans peu ou pas d’activité</w:t>
            </w:r>
          </w:p>
          <w:p w:rsidR="00F16E03" w:rsidRDefault="00F16E03" w:rsidP="00F16E03">
            <w:pPr>
              <w:pStyle w:val="Sansinterligne"/>
              <w:numPr>
                <w:ilvl w:val="0"/>
                <w:numId w:val="711"/>
              </w:numPr>
            </w:pPr>
            <w:r>
              <w:t>Peu ou pas d’amis proche</w:t>
            </w:r>
          </w:p>
          <w:p w:rsidR="00F16E03" w:rsidRDefault="00F16E03" w:rsidP="00F16E03">
            <w:pPr>
              <w:pStyle w:val="Sansinterligne"/>
              <w:numPr>
                <w:ilvl w:val="0"/>
                <w:numId w:val="711"/>
              </w:numPr>
            </w:pPr>
            <w:r>
              <w:t>Indifférent face aux critiques ou aux éloges</w:t>
            </w:r>
          </w:p>
          <w:p w:rsidR="00F16E03" w:rsidRDefault="00F16E03" w:rsidP="00F16E03">
            <w:pPr>
              <w:pStyle w:val="Sansinterligne"/>
              <w:numPr>
                <w:ilvl w:val="0"/>
                <w:numId w:val="711"/>
              </w:numPr>
            </w:pPr>
            <w:r>
              <w:t>Froid, détaché ou affect plat</w:t>
            </w:r>
          </w:p>
        </w:tc>
      </w:tr>
      <w:tr w:rsidR="00026C90" w:rsidTr="002269C5">
        <w:tc>
          <w:tcPr>
            <w:tcW w:w="5495" w:type="dxa"/>
            <w:shd w:val="clear" w:color="auto" w:fill="C2D69B" w:themeFill="accent3" w:themeFillTint="99"/>
          </w:tcPr>
          <w:p w:rsidR="00026C90" w:rsidRDefault="00026C90" w:rsidP="00F928E1">
            <w:pPr>
              <w:pStyle w:val="Sansinterligne"/>
              <w:jc w:val="center"/>
            </w:pPr>
            <w:r>
              <w:t>Trouble de personnalité schizotypique</w:t>
            </w:r>
          </w:p>
        </w:tc>
        <w:tc>
          <w:tcPr>
            <w:tcW w:w="5528" w:type="dxa"/>
            <w:gridSpan w:val="2"/>
            <w:vMerge w:val="restart"/>
            <w:shd w:val="clear" w:color="auto" w:fill="000000" w:themeFill="text1"/>
          </w:tcPr>
          <w:p w:rsidR="00026C90" w:rsidRDefault="00026C90" w:rsidP="00F928E1">
            <w:pPr>
              <w:pStyle w:val="Sansinterligne"/>
              <w:jc w:val="center"/>
            </w:pPr>
            <w:r>
              <w:rPr>
                <w:noProof/>
                <w:lang w:eastAsia="fr-CA"/>
              </w:rPr>
              <w:drawing>
                <wp:anchor distT="0" distB="0" distL="114300" distR="114300" simplePos="0" relativeHeight="251857920" behindDoc="0" locked="0" layoutInCell="1" allowOverlap="1" wp14:anchorId="22CBB460" wp14:editId="7BD39A0B">
                  <wp:simplePos x="0" y="0"/>
                  <wp:positionH relativeFrom="column">
                    <wp:posOffset>887825</wp:posOffset>
                  </wp:positionH>
                  <wp:positionV relativeFrom="paragraph">
                    <wp:posOffset>635</wp:posOffset>
                  </wp:positionV>
                  <wp:extent cx="1857983" cy="1857983"/>
                  <wp:effectExtent l="0" t="0" r="9525" b="9525"/>
                  <wp:wrapNone/>
                  <wp:docPr id="366" name="Image 366" descr="Résultats de recherche d'images pour « schizotypiqu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ésultats de recherche d'images pour « schizotypique »"/>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1857983" cy="1857983"/>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026C90" w:rsidTr="002269C5">
        <w:tc>
          <w:tcPr>
            <w:tcW w:w="5495" w:type="dxa"/>
          </w:tcPr>
          <w:p w:rsidR="00026C90" w:rsidRDefault="00026C90" w:rsidP="006E39BA">
            <w:pPr>
              <w:pStyle w:val="Sansinterligne"/>
              <w:numPr>
                <w:ilvl w:val="0"/>
                <w:numId w:val="710"/>
              </w:numPr>
            </w:pPr>
            <w:r w:rsidRPr="006E39BA">
              <w:rPr>
                <w:highlight w:val="yellow"/>
              </w:rPr>
              <w:t>Excentrique, bizarre, pensées particulières</w:t>
            </w:r>
          </w:p>
          <w:p w:rsidR="00026C90" w:rsidRDefault="00026C90" w:rsidP="006E39BA">
            <w:pPr>
              <w:pStyle w:val="Sansinterligne"/>
              <w:jc w:val="center"/>
            </w:pPr>
            <w:r w:rsidRPr="006E39BA">
              <w:rPr>
                <w:rFonts w:ascii="Century Gothic" w:hAnsi="Century Gothic"/>
                <w:highlight w:val="yellow"/>
                <w:u w:val="single"/>
              </w:rPr>
              <w:t>≥</w:t>
            </w:r>
            <w:r w:rsidRPr="006E39BA">
              <w:rPr>
                <w:highlight w:val="yellow"/>
                <w:u w:val="single"/>
              </w:rPr>
              <w:t xml:space="preserve"> 5 critères</w:t>
            </w:r>
            <w:r>
              <w:t> :</w:t>
            </w:r>
          </w:p>
          <w:p w:rsidR="00026C90" w:rsidRDefault="00026C90" w:rsidP="006E39BA">
            <w:pPr>
              <w:pStyle w:val="Sansinterligne"/>
              <w:numPr>
                <w:ilvl w:val="0"/>
                <w:numId w:val="712"/>
              </w:numPr>
            </w:pPr>
            <w:r>
              <w:t>Idées de référence</w:t>
            </w:r>
          </w:p>
          <w:p w:rsidR="00026C90" w:rsidRDefault="00026C90" w:rsidP="006E39BA">
            <w:pPr>
              <w:pStyle w:val="Sansinterligne"/>
              <w:numPr>
                <w:ilvl w:val="0"/>
                <w:numId w:val="712"/>
              </w:numPr>
            </w:pPr>
            <w:r>
              <w:t>Croyances bizarres ou magiques</w:t>
            </w:r>
          </w:p>
          <w:p w:rsidR="00026C90" w:rsidRDefault="00026C90" w:rsidP="006E39BA">
            <w:pPr>
              <w:pStyle w:val="Sansinterligne"/>
              <w:numPr>
                <w:ilvl w:val="0"/>
                <w:numId w:val="712"/>
              </w:numPr>
            </w:pPr>
            <w:r>
              <w:t>Méfiance</w:t>
            </w:r>
          </w:p>
          <w:p w:rsidR="00026C90" w:rsidRDefault="00026C90" w:rsidP="006E39BA">
            <w:pPr>
              <w:pStyle w:val="Sansinterligne"/>
              <w:numPr>
                <w:ilvl w:val="0"/>
                <w:numId w:val="712"/>
              </w:numPr>
            </w:pPr>
            <w:r>
              <w:t>Affect restreint ou inapproprié</w:t>
            </w:r>
          </w:p>
          <w:p w:rsidR="00026C90" w:rsidRDefault="00026C90" w:rsidP="006E39BA">
            <w:pPr>
              <w:pStyle w:val="Sansinterligne"/>
              <w:numPr>
                <w:ilvl w:val="0"/>
                <w:numId w:val="712"/>
              </w:numPr>
            </w:pPr>
            <w:r>
              <w:t>Apparence ou comportement bizarre et excentrique</w:t>
            </w:r>
          </w:p>
          <w:p w:rsidR="00026C90" w:rsidRDefault="00026C90" w:rsidP="006E39BA">
            <w:pPr>
              <w:pStyle w:val="Sansinterligne"/>
              <w:numPr>
                <w:ilvl w:val="0"/>
                <w:numId w:val="712"/>
              </w:numPr>
            </w:pPr>
            <w:r>
              <w:t>Peu d’amis proches</w:t>
            </w:r>
          </w:p>
          <w:p w:rsidR="00026C90" w:rsidRDefault="00026C90" w:rsidP="006E39BA">
            <w:pPr>
              <w:pStyle w:val="Sansinterligne"/>
              <w:numPr>
                <w:ilvl w:val="0"/>
                <w:numId w:val="712"/>
              </w:numPr>
            </w:pPr>
            <w:r>
              <w:t>Pensée et/ou discours bizarre</w:t>
            </w:r>
          </w:p>
          <w:p w:rsidR="00026C90" w:rsidRDefault="00026C90" w:rsidP="006E39BA">
            <w:pPr>
              <w:pStyle w:val="Sansinterligne"/>
              <w:numPr>
                <w:ilvl w:val="0"/>
                <w:numId w:val="712"/>
              </w:numPr>
            </w:pPr>
            <w:r>
              <w:t>Anxiété sociale excessive</w:t>
            </w:r>
          </w:p>
        </w:tc>
        <w:tc>
          <w:tcPr>
            <w:tcW w:w="5528" w:type="dxa"/>
            <w:gridSpan w:val="2"/>
            <w:vMerge/>
            <w:shd w:val="clear" w:color="auto" w:fill="000000" w:themeFill="text1"/>
          </w:tcPr>
          <w:p w:rsidR="00026C90" w:rsidRDefault="00026C90" w:rsidP="003A700D">
            <w:pPr>
              <w:pStyle w:val="Sansinterligne"/>
            </w:pPr>
          </w:p>
        </w:tc>
      </w:tr>
      <w:tr w:rsidR="0037666B" w:rsidTr="002269C5">
        <w:tc>
          <w:tcPr>
            <w:tcW w:w="11023" w:type="dxa"/>
            <w:gridSpan w:val="3"/>
            <w:shd w:val="clear" w:color="auto" w:fill="C2D69B" w:themeFill="accent3" w:themeFillTint="99"/>
          </w:tcPr>
          <w:p w:rsidR="0037666B" w:rsidRDefault="0037666B" w:rsidP="00F928E1">
            <w:pPr>
              <w:pStyle w:val="Sansinterligne"/>
              <w:jc w:val="center"/>
            </w:pPr>
            <w:r>
              <w:t>Mécanismes de défenses communs</w:t>
            </w:r>
          </w:p>
        </w:tc>
      </w:tr>
      <w:tr w:rsidR="0037666B" w:rsidTr="002269C5">
        <w:tc>
          <w:tcPr>
            <w:tcW w:w="11023" w:type="dxa"/>
            <w:gridSpan w:val="3"/>
          </w:tcPr>
          <w:p w:rsidR="00644581" w:rsidRDefault="00644581" w:rsidP="00644581">
            <w:pPr>
              <w:pStyle w:val="Sansinterligne"/>
              <w:jc w:val="center"/>
            </w:pPr>
            <w:r>
              <w:t>Intellectualisation, projection, pensée magique</w:t>
            </w:r>
          </w:p>
        </w:tc>
      </w:tr>
    </w:tbl>
    <w:p w:rsidR="00B13B2D" w:rsidRDefault="00B13B2D" w:rsidP="003A700D">
      <w:pPr>
        <w:pStyle w:val="Sansinterligne"/>
      </w:pPr>
    </w:p>
    <w:tbl>
      <w:tblPr>
        <w:tblStyle w:val="Grilledutableau"/>
        <w:tblW w:w="11023" w:type="dxa"/>
        <w:tblLook w:val="04A0" w:firstRow="1" w:lastRow="0" w:firstColumn="1" w:lastColumn="0" w:noHBand="0" w:noVBand="1"/>
      </w:tblPr>
      <w:tblGrid>
        <w:gridCol w:w="5495"/>
        <w:gridCol w:w="5528"/>
      </w:tblGrid>
      <w:tr w:rsidR="0037666B" w:rsidTr="002A1F06">
        <w:tc>
          <w:tcPr>
            <w:tcW w:w="11023" w:type="dxa"/>
            <w:gridSpan w:val="2"/>
            <w:shd w:val="clear" w:color="auto" w:fill="9BBB59" w:themeFill="accent3"/>
          </w:tcPr>
          <w:p w:rsidR="0037666B" w:rsidRDefault="0037666B" w:rsidP="00F928E1">
            <w:pPr>
              <w:pStyle w:val="Sansinterligne"/>
              <w:jc w:val="center"/>
            </w:pPr>
            <w:r>
              <w:t>Cluster B</w:t>
            </w:r>
            <w:r w:rsidR="00F928E1">
              <w:t xml:space="preserve"> - critères DSM V</w:t>
            </w:r>
          </w:p>
        </w:tc>
      </w:tr>
      <w:tr w:rsidR="0037666B" w:rsidTr="00F928E1">
        <w:tc>
          <w:tcPr>
            <w:tcW w:w="5495" w:type="dxa"/>
            <w:shd w:val="clear" w:color="auto" w:fill="C2D69B" w:themeFill="accent3" w:themeFillTint="99"/>
          </w:tcPr>
          <w:p w:rsidR="0037666B" w:rsidRDefault="0037666B" w:rsidP="00F928E1">
            <w:pPr>
              <w:pStyle w:val="Sansinterligne"/>
              <w:jc w:val="center"/>
            </w:pPr>
            <w:r>
              <w:t>Trouble de personnalité limite</w:t>
            </w:r>
            <w:r w:rsidR="00BC390C">
              <w:t xml:space="preserve"> (TPL)</w:t>
            </w:r>
          </w:p>
        </w:tc>
        <w:tc>
          <w:tcPr>
            <w:tcW w:w="5528" w:type="dxa"/>
            <w:shd w:val="clear" w:color="auto" w:fill="C2D69B" w:themeFill="accent3" w:themeFillTint="99"/>
          </w:tcPr>
          <w:p w:rsidR="0037666B" w:rsidRDefault="0037666B" w:rsidP="00F928E1">
            <w:pPr>
              <w:pStyle w:val="Sansinterligne"/>
              <w:jc w:val="center"/>
            </w:pPr>
            <w:r>
              <w:t>Trouble de personnalité histrionique</w:t>
            </w:r>
          </w:p>
        </w:tc>
      </w:tr>
      <w:tr w:rsidR="0037666B" w:rsidTr="0037666B">
        <w:tc>
          <w:tcPr>
            <w:tcW w:w="5495" w:type="dxa"/>
          </w:tcPr>
          <w:p w:rsidR="0037666B" w:rsidRDefault="002C147E" w:rsidP="002C147E">
            <w:pPr>
              <w:pStyle w:val="Sansinterligne"/>
            </w:pPr>
            <w:r w:rsidRPr="00FB2D4E">
              <w:rPr>
                <w:highlight w:val="yellow"/>
              </w:rPr>
              <w:t>Humeur et comportement instable, sentiment de vide intérieur, faible estime, comportements autodestructeurs</w:t>
            </w:r>
          </w:p>
          <w:p w:rsidR="002C147E" w:rsidRPr="002C147E" w:rsidRDefault="002C147E" w:rsidP="002C147E">
            <w:pPr>
              <w:pStyle w:val="Sansinterligne"/>
              <w:jc w:val="center"/>
              <w:rPr>
                <w:u w:val="single"/>
              </w:rPr>
            </w:pPr>
            <w:r w:rsidRPr="002C147E">
              <w:rPr>
                <w:rFonts w:ascii="Century Gothic" w:hAnsi="Century Gothic"/>
                <w:u w:val="single"/>
              </w:rPr>
              <w:t>≥</w:t>
            </w:r>
            <w:r w:rsidRPr="002C147E">
              <w:rPr>
                <w:u w:val="single"/>
              </w:rPr>
              <w:t>5 critères</w:t>
            </w:r>
            <w:r w:rsidRPr="00FB2D4E">
              <w:t> :</w:t>
            </w:r>
          </w:p>
          <w:p w:rsidR="002C147E" w:rsidRDefault="002C147E" w:rsidP="00FB2D4E">
            <w:pPr>
              <w:pStyle w:val="Sansinterligne"/>
              <w:numPr>
                <w:ilvl w:val="0"/>
                <w:numId w:val="713"/>
              </w:numPr>
            </w:pPr>
            <w:r>
              <w:t>Efforts constants pour éviter l’abandon (réel ou imaginé)</w:t>
            </w:r>
          </w:p>
          <w:p w:rsidR="002C147E" w:rsidRDefault="002C147E" w:rsidP="00FB2D4E">
            <w:pPr>
              <w:pStyle w:val="Sansinterligne"/>
              <w:numPr>
                <w:ilvl w:val="0"/>
                <w:numId w:val="713"/>
              </w:numPr>
            </w:pPr>
            <w:r>
              <w:t>Relations interpersonnelles intenses et instables</w:t>
            </w:r>
          </w:p>
          <w:p w:rsidR="002C147E" w:rsidRDefault="00FB2D4E" w:rsidP="00FB2D4E">
            <w:pPr>
              <w:pStyle w:val="Sansinterligne"/>
              <w:numPr>
                <w:ilvl w:val="0"/>
                <w:numId w:val="713"/>
              </w:numPr>
            </w:pPr>
            <w:r>
              <w:t>Notion/image de soi instable</w:t>
            </w:r>
          </w:p>
          <w:p w:rsidR="002C147E" w:rsidRDefault="00FB2D4E" w:rsidP="00FB2D4E">
            <w:pPr>
              <w:pStyle w:val="Sansinterligne"/>
              <w:numPr>
                <w:ilvl w:val="0"/>
                <w:numId w:val="713"/>
              </w:numPr>
            </w:pPr>
            <w:r>
              <w:t>Comportements autodestructeurs/tentatives suicidaires répétées</w:t>
            </w:r>
          </w:p>
          <w:p w:rsidR="00FB2D4E" w:rsidRDefault="00FB2D4E" w:rsidP="00FB2D4E">
            <w:pPr>
              <w:pStyle w:val="Sansinterligne"/>
              <w:numPr>
                <w:ilvl w:val="0"/>
                <w:numId w:val="713"/>
              </w:numPr>
            </w:pPr>
            <w:r>
              <w:t>Humeur/affect instable</w:t>
            </w:r>
          </w:p>
          <w:p w:rsidR="00FB2D4E" w:rsidRDefault="00FB2D4E" w:rsidP="00FB2D4E">
            <w:pPr>
              <w:pStyle w:val="Sansinterligne"/>
              <w:numPr>
                <w:ilvl w:val="0"/>
                <w:numId w:val="713"/>
              </w:numPr>
            </w:pPr>
            <w:r>
              <w:t>Sentiment de vide chronique</w:t>
            </w:r>
          </w:p>
          <w:p w:rsidR="00FB2D4E" w:rsidRDefault="00FB2D4E" w:rsidP="00FB2D4E">
            <w:pPr>
              <w:pStyle w:val="Sansinterligne"/>
              <w:numPr>
                <w:ilvl w:val="0"/>
                <w:numId w:val="713"/>
              </w:numPr>
            </w:pPr>
            <w:r>
              <w:t>Colère difficilement contrôlable</w:t>
            </w:r>
          </w:p>
          <w:p w:rsidR="002C147E" w:rsidRDefault="00FB2D4E" w:rsidP="00FB2D4E">
            <w:pPr>
              <w:pStyle w:val="Sansinterligne"/>
              <w:numPr>
                <w:ilvl w:val="0"/>
                <w:numId w:val="713"/>
              </w:numPr>
            </w:pPr>
            <w:r>
              <w:t>Symptômes dissociatifs transitoires ou idéation paranoïde lors de stress</w:t>
            </w:r>
          </w:p>
        </w:tc>
        <w:tc>
          <w:tcPr>
            <w:tcW w:w="5528" w:type="dxa"/>
          </w:tcPr>
          <w:p w:rsidR="0037666B" w:rsidRPr="00FB2D4E" w:rsidRDefault="00FB2D4E" w:rsidP="00FB2D4E">
            <w:pPr>
              <w:pStyle w:val="Sansinterligne"/>
              <w:numPr>
                <w:ilvl w:val="0"/>
                <w:numId w:val="715"/>
              </w:numPr>
              <w:rPr>
                <w:highlight w:val="yellow"/>
              </w:rPr>
            </w:pPr>
            <w:r w:rsidRPr="00FB2D4E">
              <w:rPr>
                <w:highlight w:val="yellow"/>
              </w:rPr>
              <w:t>Recherche l’attention, émotivité excessive. Dramatique, extrovertie. Souvent sexuellement inapproprié.</w:t>
            </w:r>
          </w:p>
          <w:p w:rsidR="00FB2D4E" w:rsidRPr="00FB2D4E" w:rsidRDefault="00FB2D4E" w:rsidP="00FB2D4E">
            <w:pPr>
              <w:pStyle w:val="Sansinterligne"/>
              <w:jc w:val="center"/>
            </w:pPr>
            <w:r w:rsidRPr="00FB2D4E">
              <w:rPr>
                <w:rFonts w:ascii="Century Gothic" w:hAnsi="Century Gothic"/>
                <w:u w:val="single"/>
              </w:rPr>
              <w:t>≥</w:t>
            </w:r>
            <w:r w:rsidRPr="00FB2D4E">
              <w:rPr>
                <w:u w:val="single"/>
              </w:rPr>
              <w:t>5 critères</w:t>
            </w:r>
            <w:r w:rsidRPr="00FB2D4E">
              <w:t> :</w:t>
            </w:r>
          </w:p>
          <w:p w:rsidR="00FB2D4E" w:rsidRDefault="00FB2D4E" w:rsidP="00FB2D4E">
            <w:pPr>
              <w:pStyle w:val="Sansinterligne"/>
              <w:numPr>
                <w:ilvl w:val="0"/>
                <w:numId w:val="714"/>
              </w:numPr>
            </w:pPr>
            <w:r>
              <w:t>Mal à l’aise si n’est pas au centre de l’attention</w:t>
            </w:r>
          </w:p>
          <w:p w:rsidR="00FB2D4E" w:rsidRDefault="00FB2D4E" w:rsidP="00FB2D4E">
            <w:pPr>
              <w:pStyle w:val="Sansinterligne"/>
              <w:numPr>
                <w:ilvl w:val="0"/>
                <w:numId w:val="714"/>
              </w:numPr>
            </w:pPr>
            <w:r>
              <w:t>Séduction sexuelle inappropriée</w:t>
            </w:r>
          </w:p>
          <w:p w:rsidR="00FB2D4E" w:rsidRDefault="00FB2D4E" w:rsidP="00FB2D4E">
            <w:pPr>
              <w:pStyle w:val="Sansinterligne"/>
              <w:numPr>
                <w:ilvl w:val="0"/>
                <w:numId w:val="714"/>
              </w:numPr>
            </w:pPr>
            <w:r>
              <w:t>Utilise son apparence physique pour avoir de l’attention</w:t>
            </w:r>
          </w:p>
          <w:p w:rsidR="00FB2D4E" w:rsidRDefault="00FB2D4E" w:rsidP="00FB2D4E">
            <w:pPr>
              <w:pStyle w:val="Sansinterligne"/>
              <w:numPr>
                <w:ilvl w:val="0"/>
                <w:numId w:val="714"/>
              </w:numPr>
            </w:pPr>
            <w:r>
              <w:t>Discours subjectif, mais pauvre en détails</w:t>
            </w:r>
          </w:p>
          <w:p w:rsidR="00FB2D4E" w:rsidRDefault="00FB2D4E" w:rsidP="00FB2D4E">
            <w:pPr>
              <w:pStyle w:val="Sansinterligne"/>
              <w:numPr>
                <w:ilvl w:val="0"/>
                <w:numId w:val="714"/>
              </w:numPr>
            </w:pPr>
            <w:r>
              <w:t xml:space="preserve">Expression émotive théâtrale ou exagérée </w:t>
            </w:r>
          </w:p>
          <w:p w:rsidR="00FB2D4E" w:rsidRDefault="00FB2D4E" w:rsidP="00FB2D4E">
            <w:pPr>
              <w:pStyle w:val="Sansinterligne"/>
              <w:numPr>
                <w:ilvl w:val="0"/>
                <w:numId w:val="714"/>
              </w:numPr>
            </w:pPr>
            <w:r>
              <w:t>Facilement influençable par autrui</w:t>
            </w:r>
          </w:p>
          <w:p w:rsidR="00FB2D4E" w:rsidRDefault="00FB2D4E" w:rsidP="00FB2D4E">
            <w:pPr>
              <w:pStyle w:val="Sansinterligne"/>
              <w:numPr>
                <w:ilvl w:val="0"/>
                <w:numId w:val="714"/>
              </w:numPr>
            </w:pPr>
            <w:r>
              <w:t>Perçoit ses relations avec autrui comme plus intime qu’en réalité</w:t>
            </w:r>
          </w:p>
          <w:p w:rsidR="00FB2D4E" w:rsidRDefault="00FB2D4E" w:rsidP="003A700D">
            <w:pPr>
              <w:pStyle w:val="Sansinterligne"/>
            </w:pPr>
          </w:p>
        </w:tc>
      </w:tr>
      <w:tr w:rsidR="0037666B" w:rsidTr="00F928E1">
        <w:tc>
          <w:tcPr>
            <w:tcW w:w="5495" w:type="dxa"/>
            <w:shd w:val="clear" w:color="auto" w:fill="C2D69B" w:themeFill="accent3" w:themeFillTint="99"/>
          </w:tcPr>
          <w:p w:rsidR="0037666B" w:rsidRDefault="0037666B" w:rsidP="00F928E1">
            <w:pPr>
              <w:pStyle w:val="Sansinterligne"/>
              <w:jc w:val="center"/>
            </w:pPr>
            <w:r>
              <w:t xml:space="preserve">Trouble de personnalité </w:t>
            </w:r>
            <w:r w:rsidR="00F928E1">
              <w:t>n</w:t>
            </w:r>
            <w:r>
              <w:t>arcissique</w:t>
            </w:r>
          </w:p>
        </w:tc>
        <w:tc>
          <w:tcPr>
            <w:tcW w:w="5528" w:type="dxa"/>
            <w:shd w:val="clear" w:color="auto" w:fill="C2D69B" w:themeFill="accent3" w:themeFillTint="99"/>
          </w:tcPr>
          <w:p w:rsidR="0037666B" w:rsidRDefault="0037666B" w:rsidP="00F928E1">
            <w:pPr>
              <w:pStyle w:val="Sansinterligne"/>
              <w:jc w:val="center"/>
            </w:pPr>
            <w:r>
              <w:t>Troubles de personnalité antisociale</w:t>
            </w:r>
          </w:p>
        </w:tc>
      </w:tr>
      <w:tr w:rsidR="0037666B" w:rsidTr="0037666B">
        <w:tc>
          <w:tcPr>
            <w:tcW w:w="5495" w:type="dxa"/>
          </w:tcPr>
          <w:p w:rsidR="0037666B" w:rsidRDefault="00FB2D4E" w:rsidP="00367EDE">
            <w:pPr>
              <w:pStyle w:val="Sansinterligne"/>
              <w:numPr>
                <w:ilvl w:val="0"/>
                <w:numId w:val="719"/>
              </w:numPr>
            </w:pPr>
            <w:r w:rsidRPr="00B04A6A">
              <w:rPr>
                <w:highlight w:val="yellow"/>
              </w:rPr>
              <w:t>Sentiment de supériorité, besoin d’admiration. Manque d’empathie. Exploit</w:t>
            </w:r>
            <w:r w:rsidR="00B04A6A" w:rsidRPr="00B04A6A">
              <w:rPr>
                <w:highlight w:val="yellow"/>
              </w:rPr>
              <w:t>e autrui</w:t>
            </w:r>
            <w:r w:rsidRPr="00B04A6A">
              <w:rPr>
                <w:highlight w:val="yellow"/>
              </w:rPr>
              <w:t xml:space="preserve"> à des fins personnelles</w:t>
            </w:r>
            <w:r w:rsidR="00B04A6A" w:rsidRPr="00B04A6A">
              <w:rPr>
                <w:highlight w:val="yellow"/>
              </w:rPr>
              <w:t>.</w:t>
            </w:r>
          </w:p>
          <w:p w:rsidR="00FB2D4E" w:rsidRPr="002C147E" w:rsidRDefault="00FB2D4E" w:rsidP="00FB2D4E">
            <w:pPr>
              <w:pStyle w:val="Sansinterligne"/>
              <w:jc w:val="center"/>
              <w:rPr>
                <w:u w:val="single"/>
              </w:rPr>
            </w:pPr>
            <w:r w:rsidRPr="002C147E">
              <w:rPr>
                <w:rFonts w:ascii="Century Gothic" w:hAnsi="Century Gothic"/>
                <w:u w:val="single"/>
              </w:rPr>
              <w:t>≥</w:t>
            </w:r>
            <w:r w:rsidRPr="002C147E">
              <w:rPr>
                <w:u w:val="single"/>
              </w:rPr>
              <w:t>5 critères</w:t>
            </w:r>
            <w:r w:rsidRPr="00FB2D4E">
              <w:t> :</w:t>
            </w:r>
          </w:p>
          <w:p w:rsidR="00FB2D4E" w:rsidRDefault="00FB2D4E" w:rsidP="00FB2D4E">
            <w:pPr>
              <w:pStyle w:val="Sansinterligne"/>
              <w:numPr>
                <w:ilvl w:val="0"/>
                <w:numId w:val="716"/>
              </w:numPr>
            </w:pPr>
            <w:r>
              <w:t>Grandiose (exagération de son importante)</w:t>
            </w:r>
          </w:p>
          <w:p w:rsidR="00FB2D4E" w:rsidRDefault="00FB2D4E" w:rsidP="00FB2D4E">
            <w:pPr>
              <w:pStyle w:val="Sansinterligne"/>
              <w:numPr>
                <w:ilvl w:val="0"/>
                <w:numId w:val="716"/>
              </w:numPr>
            </w:pPr>
            <w:r>
              <w:t>Préoccupation par des fantaisies de succès illimité, de pouvoir, de beauté ou d’amour</w:t>
            </w:r>
          </w:p>
          <w:p w:rsidR="00FB2D4E" w:rsidRDefault="00FB2D4E" w:rsidP="00FB2D4E">
            <w:pPr>
              <w:pStyle w:val="Sansinterligne"/>
              <w:numPr>
                <w:ilvl w:val="0"/>
                <w:numId w:val="716"/>
              </w:numPr>
            </w:pPr>
            <w:r>
              <w:t>Croit être spécial(e) et devoir être associé à des gens spéciaux</w:t>
            </w:r>
          </w:p>
          <w:p w:rsidR="00FB2D4E" w:rsidRDefault="00FB2D4E" w:rsidP="00FB2D4E">
            <w:pPr>
              <w:pStyle w:val="Sansinterligne"/>
              <w:numPr>
                <w:ilvl w:val="0"/>
                <w:numId w:val="716"/>
              </w:numPr>
            </w:pPr>
            <w:r>
              <w:t>Recherche une admiration excessive</w:t>
            </w:r>
          </w:p>
          <w:p w:rsidR="00FB2D4E" w:rsidRDefault="00FB2D4E" w:rsidP="00FB2D4E">
            <w:pPr>
              <w:pStyle w:val="Sansinterligne"/>
              <w:numPr>
                <w:ilvl w:val="0"/>
                <w:numId w:val="716"/>
              </w:numPr>
            </w:pPr>
            <w:r>
              <w:t>Pense que tout lui est dû</w:t>
            </w:r>
          </w:p>
          <w:p w:rsidR="00FB2D4E" w:rsidRDefault="00FB2D4E" w:rsidP="00FB2D4E">
            <w:pPr>
              <w:pStyle w:val="Sansinterligne"/>
              <w:numPr>
                <w:ilvl w:val="0"/>
                <w:numId w:val="716"/>
              </w:numPr>
            </w:pPr>
            <w:r>
              <w:t>Exploite les autres à son avantage</w:t>
            </w:r>
          </w:p>
          <w:p w:rsidR="00FB2D4E" w:rsidRDefault="00FB2D4E" w:rsidP="00FB2D4E">
            <w:pPr>
              <w:pStyle w:val="Sansinterligne"/>
              <w:numPr>
                <w:ilvl w:val="0"/>
                <w:numId w:val="716"/>
              </w:numPr>
            </w:pPr>
            <w:r>
              <w:t>Manque d’empathie</w:t>
            </w:r>
          </w:p>
          <w:p w:rsidR="00FB2D4E" w:rsidRDefault="00FB2D4E" w:rsidP="00FB2D4E">
            <w:pPr>
              <w:pStyle w:val="Sansinterligne"/>
              <w:numPr>
                <w:ilvl w:val="0"/>
                <w:numId w:val="716"/>
              </w:numPr>
            </w:pPr>
            <w:r>
              <w:t>Envie les autres ou croit être envié par autrui</w:t>
            </w:r>
          </w:p>
          <w:p w:rsidR="00FB2D4E" w:rsidRDefault="00FB2D4E" w:rsidP="00FB2D4E">
            <w:pPr>
              <w:pStyle w:val="Sansinterligne"/>
              <w:numPr>
                <w:ilvl w:val="0"/>
                <w:numId w:val="716"/>
              </w:numPr>
            </w:pPr>
            <w:r>
              <w:t>Attitude arrogante</w:t>
            </w:r>
          </w:p>
        </w:tc>
        <w:tc>
          <w:tcPr>
            <w:tcW w:w="5528" w:type="dxa"/>
          </w:tcPr>
          <w:p w:rsidR="0037666B" w:rsidRPr="00367EDE" w:rsidRDefault="00367EDE" w:rsidP="00367EDE">
            <w:pPr>
              <w:pStyle w:val="Sansinterligne"/>
              <w:numPr>
                <w:ilvl w:val="0"/>
                <w:numId w:val="718"/>
              </w:numPr>
              <w:rPr>
                <w:highlight w:val="yellow"/>
              </w:rPr>
            </w:pPr>
            <w:r w:rsidRPr="00367EDE">
              <w:rPr>
                <w:highlight w:val="yellow"/>
              </w:rPr>
              <w:t>Absence de remords pour ses actes, manipulateur, méprisant. Charmant au 1</w:t>
            </w:r>
            <w:r w:rsidRPr="00367EDE">
              <w:rPr>
                <w:highlight w:val="yellow"/>
                <w:vertAlign w:val="superscript"/>
              </w:rPr>
              <w:t>er</w:t>
            </w:r>
            <w:r w:rsidRPr="00367EDE">
              <w:rPr>
                <w:highlight w:val="yellow"/>
              </w:rPr>
              <w:t xml:space="preserve"> abord. Viole les droits d’autrui.</w:t>
            </w:r>
          </w:p>
          <w:p w:rsidR="00367EDE" w:rsidRDefault="00367EDE" w:rsidP="00367EDE">
            <w:pPr>
              <w:pStyle w:val="Sansinterligne"/>
              <w:jc w:val="center"/>
            </w:pPr>
            <w:r w:rsidRPr="00FB2D4E">
              <w:rPr>
                <w:rFonts w:ascii="Century Gothic" w:hAnsi="Century Gothic"/>
                <w:u w:val="single"/>
              </w:rPr>
              <w:t>≥</w:t>
            </w:r>
            <w:r>
              <w:rPr>
                <w:u w:val="single"/>
              </w:rPr>
              <w:t>3</w:t>
            </w:r>
            <w:r w:rsidRPr="00FB2D4E">
              <w:rPr>
                <w:u w:val="single"/>
              </w:rPr>
              <w:t xml:space="preserve"> critères</w:t>
            </w:r>
          </w:p>
          <w:p w:rsidR="00367EDE" w:rsidRDefault="00367EDE" w:rsidP="00367EDE">
            <w:pPr>
              <w:pStyle w:val="Sansinterligne"/>
              <w:numPr>
                <w:ilvl w:val="0"/>
                <w:numId w:val="717"/>
              </w:numPr>
            </w:pPr>
            <w:r>
              <w:t>Incapacité de se confirmer aux normes sociales (actes illégaux)</w:t>
            </w:r>
          </w:p>
          <w:p w:rsidR="00367EDE" w:rsidRDefault="00367EDE" w:rsidP="00367EDE">
            <w:pPr>
              <w:pStyle w:val="Sansinterligne"/>
              <w:numPr>
                <w:ilvl w:val="0"/>
                <w:numId w:val="717"/>
              </w:numPr>
            </w:pPr>
            <w:r>
              <w:t>Trompeur, menteur, manipulateur dans un but personnel</w:t>
            </w:r>
          </w:p>
          <w:p w:rsidR="00367EDE" w:rsidRDefault="00367EDE" w:rsidP="00367EDE">
            <w:pPr>
              <w:pStyle w:val="Sansinterligne"/>
              <w:numPr>
                <w:ilvl w:val="0"/>
                <w:numId w:val="717"/>
              </w:numPr>
            </w:pPr>
            <w:r>
              <w:t>Impulsif, incapable de planifier d’avance</w:t>
            </w:r>
          </w:p>
          <w:p w:rsidR="00367EDE" w:rsidRDefault="00367EDE" w:rsidP="00367EDE">
            <w:pPr>
              <w:pStyle w:val="Sansinterligne"/>
              <w:numPr>
                <w:ilvl w:val="0"/>
                <w:numId w:val="717"/>
              </w:numPr>
            </w:pPr>
            <w:r>
              <w:t>Irritable, agressif; agressions ou bagarres répétées</w:t>
            </w:r>
          </w:p>
          <w:p w:rsidR="00367EDE" w:rsidRDefault="00367EDE" w:rsidP="00367EDE">
            <w:pPr>
              <w:pStyle w:val="Sansinterligne"/>
              <w:numPr>
                <w:ilvl w:val="0"/>
                <w:numId w:val="717"/>
              </w:numPr>
            </w:pPr>
            <w:r>
              <w:t>Mépris de sa sécurité et celle des autres</w:t>
            </w:r>
          </w:p>
          <w:p w:rsidR="00367EDE" w:rsidRDefault="00367EDE" w:rsidP="00367EDE">
            <w:pPr>
              <w:pStyle w:val="Sansinterligne"/>
              <w:numPr>
                <w:ilvl w:val="0"/>
                <w:numId w:val="717"/>
              </w:numPr>
            </w:pPr>
            <w:r>
              <w:t>Irresponsable, ne peut conserver un emploi</w:t>
            </w:r>
          </w:p>
          <w:p w:rsidR="00367EDE" w:rsidRDefault="00367EDE" w:rsidP="00367EDE">
            <w:pPr>
              <w:pStyle w:val="Sansinterligne"/>
              <w:numPr>
                <w:ilvl w:val="0"/>
                <w:numId w:val="717"/>
              </w:numPr>
            </w:pPr>
            <w:r>
              <w:t>Manque de remords</w:t>
            </w:r>
          </w:p>
          <w:p w:rsidR="00367EDE" w:rsidRPr="00367EDE" w:rsidRDefault="00367EDE" w:rsidP="00367EDE">
            <w:pPr>
              <w:pStyle w:val="Sansinterligne"/>
              <w:numPr>
                <w:ilvl w:val="0"/>
                <w:numId w:val="717"/>
              </w:numPr>
              <w:rPr>
                <w:highlight w:val="yellow"/>
              </w:rPr>
            </w:pPr>
            <w:r w:rsidRPr="00367EDE">
              <w:rPr>
                <w:highlight w:val="yellow"/>
              </w:rPr>
              <w:t>(Début avant 15 ans, diagnostiqué après 18 ans)</w:t>
            </w:r>
          </w:p>
        </w:tc>
      </w:tr>
      <w:tr w:rsidR="0037666B" w:rsidTr="00F928E1">
        <w:tc>
          <w:tcPr>
            <w:tcW w:w="11023" w:type="dxa"/>
            <w:gridSpan w:val="2"/>
            <w:shd w:val="clear" w:color="auto" w:fill="C2D69B" w:themeFill="accent3" w:themeFillTint="99"/>
          </w:tcPr>
          <w:p w:rsidR="0037666B" w:rsidRDefault="0037666B" w:rsidP="00F928E1">
            <w:pPr>
              <w:pStyle w:val="Sansinterligne"/>
              <w:jc w:val="center"/>
            </w:pPr>
            <w:r>
              <w:t>Mécanismes de défense communs</w:t>
            </w:r>
          </w:p>
        </w:tc>
      </w:tr>
      <w:tr w:rsidR="0037666B" w:rsidTr="0037666B">
        <w:tc>
          <w:tcPr>
            <w:tcW w:w="11023" w:type="dxa"/>
            <w:gridSpan w:val="2"/>
          </w:tcPr>
          <w:p w:rsidR="0037666B" w:rsidRDefault="00644581" w:rsidP="00644581">
            <w:pPr>
              <w:pStyle w:val="Sansinterligne"/>
              <w:jc w:val="center"/>
            </w:pPr>
            <w:r>
              <w:t>Déni, passage à l’acte (acting out), régression, clivage, identification projective, idéalisation/dévalorisation</w:t>
            </w:r>
          </w:p>
        </w:tc>
      </w:tr>
    </w:tbl>
    <w:p w:rsidR="0037666B" w:rsidRDefault="0037666B" w:rsidP="003A700D">
      <w:pPr>
        <w:pStyle w:val="Sansinterligne"/>
      </w:pPr>
    </w:p>
    <w:tbl>
      <w:tblPr>
        <w:tblStyle w:val="Grilledutableau"/>
        <w:tblW w:w="0" w:type="auto"/>
        <w:tblLook w:val="04A0" w:firstRow="1" w:lastRow="0" w:firstColumn="1" w:lastColumn="0" w:noHBand="0" w:noVBand="1"/>
      </w:tblPr>
      <w:tblGrid>
        <w:gridCol w:w="5470"/>
        <w:gridCol w:w="5470"/>
      </w:tblGrid>
      <w:tr w:rsidR="0037666B" w:rsidTr="002A1F06">
        <w:tc>
          <w:tcPr>
            <w:tcW w:w="10940" w:type="dxa"/>
            <w:gridSpan w:val="2"/>
            <w:shd w:val="clear" w:color="auto" w:fill="9BBB59" w:themeFill="accent3"/>
          </w:tcPr>
          <w:p w:rsidR="0037666B" w:rsidRDefault="0037666B" w:rsidP="00F928E1">
            <w:pPr>
              <w:pStyle w:val="Sansinterligne"/>
              <w:jc w:val="center"/>
            </w:pPr>
            <w:r>
              <w:t>Cluster C</w:t>
            </w:r>
            <w:r w:rsidR="00F928E1">
              <w:t>- critères DSM V</w:t>
            </w:r>
          </w:p>
        </w:tc>
      </w:tr>
      <w:tr w:rsidR="0037666B" w:rsidTr="00F928E1">
        <w:tc>
          <w:tcPr>
            <w:tcW w:w="5470" w:type="dxa"/>
            <w:shd w:val="clear" w:color="auto" w:fill="C2D69B" w:themeFill="accent3" w:themeFillTint="99"/>
          </w:tcPr>
          <w:p w:rsidR="0037666B" w:rsidRDefault="0037666B" w:rsidP="00F928E1">
            <w:pPr>
              <w:pStyle w:val="Sansinterligne"/>
              <w:jc w:val="center"/>
            </w:pPr>
            <w:r>
              <w:t>Trouble de personnalité évitante</w:t>
            </w:r>
          </w:p>
        </w:tc>
        <w:tc>
          <w:tcPr>
            <w:tcW w:w="5470" w:type="dxa"/>
            <w:shd w:val="clear" w:color="auto" w:fill="C2D69B" w:themeFill="accent3" w:themeFillTint="99"/>
          </w:tcPr>
          <w:p w:rsidR="0037666B" w:rsidRDefault="0037666B" w:rsidP="00F928E1">
            <w:pPr>
              <w:pStyle w:val="Sansinterligne"/>
              <w:jc w:val="center"/>
            </w:pPr>
            <w:r>
              <w:t>Trouble de personnalité obsessive-compulsive</w:t>
            </w:r>
            <w:r w:rsidR="00BC390C">
              <w:t xml:space="preserve"> (POC)</w:t>
            </w:r>
          </w:p>
        </w:tc>
      </w:tr>
      <w:tr w:rsidR="0037666B" w:rsidTr="0037666B">
        <w:tc>
          <w:tcPr>
            <w:tcW w:w="5470" w:type="dxa"/>
          </w:tcPr>
          <w:p w:rsidR="0037666B" w:rsidRDefault="003501DD" w:rsidP="001275BA">
            <w:pPr>
              <w:pStyle w:val="Sansinterligne"/>
              <w:numPr>
                <w:ilvl w:val="0"/>
                <w:numId w:val="721"/>
              </w:numPr>
            </w:pPr>
            <w:r w:rsidRPr="009F391B">
              <w:rPr>
                <w:highlight w:val="yellow"/>
              </w:rPr>
              <w:t>Timide, sentiment d’être inadéquat socialement, hypersensible au jugement d’autrui</w:t>
            </w:r>
          </w:p>
          <w:p w:rsidR="003501DD" w:rsidRDefault="003501DD" w:rsidP="003501DD">
            <w:pPr>
              <w:pStyle w:val="Sansinterligne"/>
              <w:jc w:val="center"/>
            </w:pPr>
            <w:r w:rsidRPr="002C147E">
              <w:rPr>
                <w:rFonts w:ascii="Century Gothic" w:hAnsi="Century Gothic"/>
                <w:u w:val="single"/>
              </w:rPr>
              <w:t>≥</w:t>
            </w:r>
            <w:r>
              <w:rPr>
                <w:u w:val="single"/>
              </w:rPr>
              <w:t>4</w:t>
            </w:r>
            <w:r w:rsidRPr="002C147E">
              <w:rPr>
                <w:u w:val="single"/>
              </w:rPr>
              <w:t xml:space="preserve"> critères</w:t>
            </w:r>
            <w:r w:rsidRPr="00FB2D4E">
              <w:t> :</w:t>
            </w:r>
          </w:p>
          <w:p w:rsidR="003501DD" w:rsidRDefault="003501DD" w:rsidP="001275BA">
            <w:pPr>
              <w:pStyle w:val="Sansinterligne"/>
              <w:numPr>
                <w:ilvl w:val="0"/>
                <w:numId w:val="720"/>
              </w:numPr>
            </w:pPr>
            <w:r>
              <w:t>Évite les activités ou emploi qui impliquent un contact social significatif par peur du rejet ou de la critique.</w:t>
            </w:r>
          </w:p>
          <w:p w:rsidR="003501DD" w:rsidRDefault="003501DD" w:rsidP="001275BA">
            <w:pPr>
              <w:pStyle w:val="Sansinterligne"/>
              <w:numPr>
                <w:ilvl w:val="0"/>
                <w:numId w:val="720"/>
              </w:numPr>
            </w:pPr>
            <w:r>
              <w:t>Refus de s’impliquer avec autrui à moins d’être certain d’être apprécié.</w:t>
            </w:r>
          </w:p>
          <w:p w:rsidR="003501DD" w:rsidRDefault="001275BA" w:rsidP="001275BA">
            <w:pPr>
              <w:pStyle w:val="Sansinterligne"/>
              <w:numPr>
                <w:ilvl w:val="0"/>
                <w:numId w:val="720"/>
              </w:numPr>
            </w:pPr>
            <w:r>
              <w:t>Réservé dans ses relations intimes par peur d’être exposé au ridicule ou à la honte.</w:t>
            </w:r>
          </w:p>
          <w:p w:rsidR="001275BA" w:rsidRDefault="001275BA" w:rsidP="001275BA">
            <w:pPr>
              <w:pStyle w:val="Sansinterligne"/>
              <w:numPr>
                <w:ilvl w:val="0"/>
                <w:numId w:val="720"/>
              </w:numPr>
            </w:pPr>
            <w:r>
              <w:t>Préoccupation vis-à-vis le rejet ou la critique sociale.</w:t>
            </w:r>
          </w:p>
          <w:p w:rsidR="001275BA" w:rsidRDefault="001275BA" w:rsidP="001275BA">
            <w:pPr>
              <w:pStyle w:val="Sansinterligne"/>
              <w:numPr>
                <w:ilvl w:val="0"/>
                <w:numId w:val="720"/>
              </w:numPr>
            </w:pPr>
            <w:r>
              <w:t>Inhibé dans de nouvelles relations (peur d’être inadéquat)</w:t>
            </w:r>
          </w:p>
          <w:p w:rsidR="003501DD" w:rsidRDefault="001275BA" w:rsidP="001275BA">
            <w:pPr>
              <w:pStyle w:val="Sansinterligne"/>
              <w:numPr>
                <w:ilvl w:val="0"/>
                <w:numId w:val="720"/>
              </w:numPr>
            </w:pPr>
            <w:r>
              <w:t>Se perçoit comme inférieur, peu attirant ou inadéquat</w:t>
            </w:r>
          </w:p>
          <w:p w:rsidR="001275BA" w:rsidRDefault="001275BA" w:rsidP="001275BA">
            <w:pPr>
              <w:pStyle w:val="Sansinterligne"/>
              <w:numPr>
                <w:ilvl w:val="0"/>
                <w:numId w:val="720"/>
              </w:numPr>
            </w:pPr>
            <w:r>
              <w:t>Réticent à s’engager dans de nouvelles activités.</w:t>
            </w:r>
          </w:p>
        </w:tc>
        <w:tc>
          <w:tcPr>
            <w:tcW w:w="5470" w:type="dxa"/>
          </w:tcPr>
          <w:p w:rsidR="0037666B" w:rsidRPr="00B20340" w:rsidRDefault="00BC72C7" w:rsidP="00BC72C7">
            <w:pPr>
              <w:pStyle w:val="Sansinterligne"/>
              <w:numPr>
                <w:ilvl w:val="0"/>
                <w:numId w:val="723"/>
              </w:numPr>
              <w:rPr>
                <w:highlight w:val="yellow"/>
              </w:rPr>
            </w:pPr>
            <w:r w:rsidRPr="00B20340">
              <w:rPr>
                <w:highlight w:val="yellow"/>
              </w:rPr>
              <w:t>Préoccupé par l’ordre, le perfectionnisme et le contrôle</w:t>
            </w:r>
          </w:p>
          <w:p w:rsidR="00BC72C7" w:rsidRPr="00B20340" w:rsidRDefault="00BC72C7" w:rsidP="00BC72C7">
            <w:pPr>
              <w:pStyle w:val="Sansinterligne"/>
              <w:numPr>
                <w:ilvl w:val="0"/>
                <w:numId w:val="723"/>
              </w:numPr>
              <w:rPr>
                <w:highlight w:val="yellow"/>
              </w:rPr>
            </w:pPr>
            <w:r w:rsidRPr="00B20340">
              <w:rPr>
                <w:highlight w:val="yellow"/>
              </w:rPr>
              <w:t>Inflexible, fermé d’esprit.</w:t>
            </w:r>
          </w:p>
          <w:p w:rsidR="00BC72C7" w:rsidRDefault="00BC72C7" w:rsidP="00BC72C7">
            <w:pPr>
              <w:pStyle w:val="Sansinterligne"/>
              <w:jc w:val="center"/>
            </w:pPr>
            <w:r w:rsidRPr="002C147E">
              <w:rPr>
                <w:rFonts w:ascii="Century Gothic" w:hAnsi="Century Gothic"/>
                <w:u w:val="single"/>
              </w:rPr>
              <w:t>≥</w:t>
            </w:r>
            <w:r>
              <w:rPr>
                <w:u w:val="single"/>
              </w:rPr>
              <w:t>4</w:t>
            </w:r>
            <w:r w:rsidRPr="002C147E">
              <w:rPr>
                <w:u w:val="single"/>
              </w:rPr>
              <w:t xml:space="preserve"> critères</w:t>
            </w:r>
            <w:r w:rsidRPr="00FB2D4E">
              <w:t> :</w:t>
            </w:r>
          </w:p>
          <w:p w:rsidR="00BC72C7" w:rsidRDefault="00BC72C7" w:rsidP="00BC72C7">
            <w:pPr>
              <w:pStyle w:val="Sansinterligne"/>
              <w:numPr>
                <w:ilvl w:val="0"/>
                <w:numId w:val="722"/>
              </w:numPr>
            </w:pPr>
            <w:r>
              <w:t>Préoccupé par les détails, les règles, les listes, l’ordre, l’organisation ou les plans au point que le but de l’activité est perdu de vue</w:t>
            </w:r>
          </w:p>
          <w:p w:rsidR="00BC72C7" w:rsidRDefault="00BC72C7" w:rsidP="00BC72C7">
            <w:pPr>
              <w:pStyle w:val="Sansinterligne"/>
              <w:numPr>
                <w:ilvl w:val="0"/>
                <w:numId w:val="722"/>
              </w:numPr>
            </w:pPr>
            <w:r>
              <w:t>Perfectionnisme qui interfère avec la tâche</w:t>
            </w:r>
          </w:p>
          <w:p w:rsidR="00BC72C7" w:rsidRDefault="00BC72C7" w:rsidP="00BC72C7">
            <w:pPr>
              <w:pStyle w:val="Sansinterligne"/>
              <w:numPr>
                <w:ilvl w:val="0"/>
                <w:numId w:val="722"/>
              </w:numPr>
            </w:pPr>
            <w:r>
              <w:t>Dévouement excessif au travail à l’exclusion des loisirs et des amitiés</w:t>
            </w:r>
          </w:p>
          <w:p w:rsidR="00BC72C7" w:rsidRDefault="00BC72C7" w:rsidP="00BC72C7">
            <w:pPr>
              <w:pStyle w:val="Sansinterligne"/>
              <w:numPr>
                <w:ilvl w:val="0"/>
                <w:numId w:val="722"/>
              </w:numPr>
            </w:pPr>
            <w:r>
              <w:t>Inflexible par rapport à la morale, l’éthique</w:t>
            </w:r>
            <w:r w:rsidR="004B6871">
              <w:t>,</w:t>
            </w:r>
            <w:r>
              <w:t xml:space="preserve"> les valeurs</w:t>
            </w:r>
          </w:p>
          <w:p w:rsidR="00BC72C7" w:rsidRDefault="00BC72C7" w:rsidP="00BC72C7">
            <w:pPr>
              <w:pStyle w:val="Sansinterligne"/>
              <w:numPr>
                <w:ilvl w:val="0"/>
                <w:numId w:val="722"/>
              </w:numPr>
            </w:pPr>
            <w:r>
              <w:t xml:space="preserve">Incapable de se défaire d’objets inutiles/ sans valeur </w:t>
            </w:r>
          </w:p>
          <w:p w:rsidR="00BC72C7" w:rsidRDefault="00BC72C7" w:rsidP="00BC72C7">
            <w:pPr>
              <w:pStyle w:val="Sansinterligne"/>
              <w:numPr>
                <w:ilvl w:val="0"/>
                <w:numId w:val="722"/>
              </w:numPr>
            </w:pPr>
            <w:r>
              <w:t>Réticent à déléguer des tâches</w:t>
            </w:r>
          </w:p>
          <w:p w:rsidR="00BC72C7" w:rsidRDefault="00BC72C7" w:rsidP="00BC72C7">
            <w:pPr>
              <w:pStyle w:val="Sansinterligne"/>
              <w:numPr>
                <w:ilvl w:val="0"/>
                <w:numId w:val="722"/>
              </w:numPr>
            </w:pPr>
            <w:r>
              <w:t>Avarice, l’argent doit être cumulé en prévision du futur</w:t>
            </w:r>
          </w:p>
          <w:p w:rsidR="00BC72C7" w:rsidRDefault="00BC72C7" w:rsidP="00BC72C7">
            <w:pPr>
              <w:pStyle w:val="Sansinterligne"/>
              <w:numPr>
                <w:ilvl w:val="0"/>
                <w:numId w:val="722"/>
              </w:numPr>
            </w:pPr>
            <w:r>
              <w:t>Rigide et borné ou têtu</w:t>
            </w:r>
          </w:p>
        </w:tc>
      </w:tr>
      <w:tr w:rsidR="009C1F09" w:rsidTr="00CF659F">
        <w:tc>
          <w:tcPr>
            <w:tcW w:w="5470" w:type="dxa"/>
            <w:shd w:val="clear" w:color="auto" w:fill="C2D69B" w:themeFill="accent3" w:themeFillTint="99"/>
          </w:tcPr>
          <w:p w:rsidR="009C1F09" w:rsidRDefault="009C1F09" w:rsidP="00F928E1">
            <w:pPr>
              <w:pStyle w:val="Sansinterligne"/>
              <w:jc w:val="center"/>
            </w:pPr>
            <w:r>
              <w:t>Trouble de personnalité dépendante</w:t>
            </w:r>
          </w:p>
        </w:tc>
        <w:tc>
          <w:tcPr>
            <w:tcW w:w="5470" w:type="dxa"/>
            <w:vMerge w:val="restart"/>
            <w:shd w:val="clear" w:color="auto" w:fill="auto"/>
          </w:tcPr>
          <w:p w:rsidR="009C1F09" w:rsidRDefault="00CF659F" w:rsidP="00F928E1">
            <w:pPr>
              <w:pStyle w:val="Sansinterligne"/>
              <w:jc w:val="center"/>
            </w:pPr>
            <w:r>
              <w:rPr>
                <w:noProof/>
                <w:lang w:eastAsia="fr-CA"/>
              </w:rPr>
              <w:drawing>
                <wp:anchor distT="0" distB="0" distL="114300" distR="114300" simplePos="0" relativeHeight="251858944" behindDoc="0" locked="0" layoutInCell="1" allowOverlap="1" wp14:anchorId="296190E5" wp14:editId="1F006095">
                  <wp:simplePos x="0" y="0"/>
                  <wp:positionH relativeFrom="column">
                    <wp:posOffset>-68580</wp:posOffset>
                  </wp:positionH>
                  <wp:positionV relativeFrom="paragraph">
                    <wp:posOffset>534386</wp:posOffset>
                  </wp:positionV>
                  <wp:extent cx="3453319" cy="2305455"/>
                  <wp:effectExtent l="0" t="0" r="0" b="0"/>
                  <wp:wrapNone/>
                  <wp:docPr id="371" name="Image 371" descr="Résultats de recherche d'images pour « personnalité obsessive compulsiv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ésultats de recherche d'images pour « personnalité obsessive compulsive »"/>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3453319" cy="230545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9C1F09" w:rsidTr="00CF659F">
        <w:tc>
          <w:tcPr>
            <w:tcW w:w="5470" w:type="dxa"/>
          </w:tcPr>
          <w:p w:rsidR="009C1F09" w:rsidRPr="004B6871" w:rsidRDefault="004B6871" w:rsidP="004B6871">
            <w:pPr>
              <w:pStyle w:val="Sansinterligne"/>
              <w:numPr>
                <w:ilvl w:val="0"/>
                <w:numId w:val="725"/>
              </w:numPr>
              <w:rPr>
                <w:highlight w:val="yellow"/>
              </w:rPr>
            </w:pPr>
            <w:r w:rsidRPr="004B6871">
              <w:rPr>
                <w:highlight w:val="yellow"/>
              </w:rPr>
              <w:t>Besoin envahissant et excessif d’être prise en charge. Soumis, collant, craint la séparation. Indécis.</w:t>
            </w:r>
          </w:p>
          <w:p w:rsidR="004B6871" w:rsidRDefault="004B6871" w:rsidP="004B6871">
            <w:pPr>
              <w:pStyle w:val="Sansinterligne"/>
              <w:jc w:val="center"/>
            </w:pPr>
            <w:r w:rsidRPr="002C147E">
              <w:rPr>
                <w:rFonts w:ascii="Century Gothic" w:hAnsi="Century Gothic"/>
                <w:u w:val="single"/>
              </w:rPr>
              <w:t>≥</w:t>
            </w:r>
            <w:r>
              <w:rPr>
                <w:u w:val="single"/>
              </w:rPr>
              <w:t>5</w:t>
            </w:r>
            <w:r w:rsidRPr="002C147E">
              <w:rPr>
                <w:u w:val="single"/>
              </w:rPr>
              <w:t xml:space="preserve"> critères</w:t>
            </w:r>
            <w:r w:rsidRPr="00FB2D4E">
              <w:t> :</w:t>
            </w:r>
          </w:p>
          <w:p w:rsidR="004B6871" w:rsidRDefault="004B6871" w:rsidP="004B6871">
            <w:pPr>
              <w:pStyle w:val="Sansinterligne"/>
              <w:numPr>
                <w:ilvl w:val="0"/>
                <w:numId w:val="724"/>
              </w:numPr>
            </w:pPr>
            <w:r>
              <w:t>A du mal à prendre des décisions de la vie courante sans conseils ou rassurance d’autrui.</w:t>
            </w:r>
          </w:p>
          <w:p w:rsidR="004B6871" w:rsidRDefault="004B6871" w:rsidP="004B6871">
            <w:pPr>
              <w:pStyle w:val="Sansinterligne"/>
              <w:numPr>
                <w:ilvl w:val="0"/>
                <w:numId w:val="724"/>
              </w:numPr>
            </w:pPr>
            <w:r>
              <w:t>Besoin qu’autrui assume la responsabilité dans la plupart des sphères de sa vie.</w:t>
            </w:r>
          </w:p>
          <w:p w:rsidR="004B6871" w:rsidRDefault="004B6871" w:rsidP="004B6871">
            <w:pPr>
              <w:pStyle w:val="Sansinterligne"/>
              <w:numPr>
                <w:ilvl w:val="0"/>
                <w:numId w:val="724"/>
              </w:numPr>
            </w:pPr>
            <w:r>
              <w:t>A du mal à exprimer son désaccord.</w:t>
            </w:r>
          </w:p>
          <w:p w:rsidR="004B6871" w:rsidRDefault="004B6871" w:rsidP="004B6871">
            <w:pPr>
              <w:pStyle w:val="Sansinterligne"/>
              <w:numPr>
                <w:ilvl w:val="0"/>
                <w:numId w:val="724"/>
              </w:numPr>
            </w:pPr>
            <w:r>
              <w:t>Difficulté à initier des projets par manque de confiance</w:t>
            </w:r>
          </w:p>
          <w:p w:rsidR="004B6871" w:rsidRDefault="004B6871" w:rsidP="004B6871">
            <w:pPr>
              <w:pStyle w:val="Sansinterligne"/>
              <w:numPr>
                <w:ilvl w:val="0"/>
                <w:numId w:val="724"/>
              </w:numPr>
            </w:pPr>
            <w:r>
              <w:t>Cherchent le soutien, l’appui à outrance</w:t>
            </w:r>
          </w:p>
          <w:p w:rsidR="004B6871" w:rsidRDefault="004B6871" w:rsidP="004B6871">
            <w:pPr>
              <w:pStyle w:val="Sansinterligne"/>
              <w:numPr>
                <w:ilvl w:val="0"/>
                <w:numId w:val="724"/>
              </w:numPr>
            </w:pPr>
            <w:r>
              <w:t>Se sent impuissant lorsque seul</w:t>
            </w:r>
          </w:p>
          <w:p w:rsidR="004B6871" w:rsidRDefault="004B6871" w:rsidP="004B6871">
            <w:pPr>
              <w:pStyle w:val="Sansinterligne"/>
              <w:numPr>
                <w:ilvl w:val="0"/>
                <w:numId w:val="724"/>
              </w:numPr>
            </w:pPr>
            <w:r>
              <w:t>Recherche urgente d’une nouvelle relation comme soutien et soins en remplacement d’une relation ayant pris fin</w:t>
            </w:r>
          </w:p>
          <w:p w:rsidR="004B6871" w:rsidRDefault="004B6871" w:rsidP="004B6871">
            <w:pPr>
              <w:pStyle w:val="Sansinterligne"/>
              <w:numPr>
                <w:ilvl w:val="0"/>
                <w:numId w:val="724"/>
              </w:numPr>
            </w:pPr>
            <w:r>
              <w:t>Préoccupation excessive avec la peur d’être laissé à soi-même</w:t>
            </w:r>
          </w:p>
        </w:tc>
        <w:tc>
          <w:tcPr>
            <w:tcW w:w="5470" w:type="dxa"/>
            <w:vMerge/>
            <w:shd w:val="clear" w:color="auto" w:fill="auto"/>
          </w:tcPr>
          <w:p w:rsidR="009C1F09" w:rsidRDefault="009C1F09" w:rsidP="003A700D">
            <w:pPr>
              <w:pStyle w:val="Sansinterligne"/>
            </w:pPr>
          </w:p>
        </w:tc>
      </w:tr>
      <w:tr w:rsidR="0037666B" w:rsidTr="00F928E1">
        <w:tc>
          <w:tcPr>
            <w:tcW w:w="10940" w:type="dxa"/>
            <w:gridSpan w:val="2"/>
            <w:shd w:val="clear" w:color="auto" w:fill="C2D69B" w:themeFill="accent3" w:themeFillTint="99"/>
          </w:tcPr>
          <w:p w:rsidR="0037666B" w:rsidRDefault="0037666B" w:rsidP="00F928E1">
            <w:pPr>
              <w:pStyle w:val="Sansinterligne"/>
              <w:jc w:val="center"/>
            </w:pPr>
            <w:r>
              <w:t>Mécanismes de défense communs</w:t>
            </w:r>
          </w:p>
        </w:tc>
      </w:tr>
      <w:tr w:rsidR="0037666B" w:rsidTr="0037666B">
        <w:tc>
          <w:tcPr>
            <w:tcW w:w="10940" w:type="dxa"/>
            <w:gridSpan w:val="2"/>
          </w:tcPr>
          <w:p w:rsidR="0037666B" w:rsidRDefault="002269C5" w:rsidP="002269C5">
            <w:pPr>
              <w:pStyle w:val="Sansinterligne"/>
              <w:jc w:val="center"/>
            </w:pPr>
            <w:r>
              <w:t>Isolement, évitement, hypochondrie</w:t>
            </w:r>
          </w:p>
        </w:tc>
      </w:tr>
    </w:tbl>
    <w:p w:rsidR="0037666B" w:rsidRPr="00F37B8E" w:rsidRDefault="0037666B" w:rsidP="003A700D">
      <w:pPr>
        <w:pStyle w:val="Sansinterligne"/>
        <w:rPr>
          <w:sz w:val="16"/>
          <w:szCs w:val="16"/>
        </w:rPr>
      </w:pPr>
    </w:p>
    <w:p w:rsidR="00B13B2D" w:rsidRPr="0037666B" w:rsidRDefault="00B13B2D" w:rsidP="003A700D">
      <w:pPr>
        <w:pStyle w:val="Sansinterligne"/>
        <w:rPr>
          <w:b/>
          <w:sz w:val="28"/>
          <w:szCs w:val="28"/>
        </w:rPr>
      </w:pPr>
      <w:r w:rsidRPr="0037666B">
        <w:rPr>
          <w:b/>
          <w:sz w:val="28"/>
          <w:szCs w:val="28"/>
        </w:rPr>
        <w:t>Prise en charge</w:t>
      </w:r>
    </w:p>
    <w:p w:rsidR="007D6DDF" w:rsidRPr="00F37B8E" w:rsidRDefault="007D6DDF" w:rsidP="003A700D">
      <w:pPr>
        <w:pStyle w:val="Sansinterligne"/>
        <w:rPr>
          <w:sz w:val="16"/>
          <w:szCs w:val="16"/>
        </w:rPr>
      </w:pPr>
    </w:p>
    <w:p w:rsidR="007D6DDF" w:rsidRDefault="00BC390C" w:rsidP="003A700D">
      <w:pPr>
        <w:pStyle w:val="Sansinterligne"/>
      </w:pPr>
      <w:r w:rsidRPr="007F2A9B">
        <w:rPr>
          <w:highlight w:val="yellow"/>
        </w:rPr>
        <w:t>La psychothérapie demeure le traitement de référence</w:t>
      </w:r>
      <w:r>
        <w:t>. Il faut également s’assurer de traiter une comorbidité si présente à l’axe 1 (dépression, trouble de l’usage de substance, etc.)</w:t>
      </w:r>
    </w:p>
    <w:p w:rsidR="00F37B8E" w:rsidRDefault="00F37B8E" w:rsidP="003A700D">
      <w:pPr>
        <w:pStyle w:val="Sansinterligne"/>
      </w:pPr>
    </w:p>
    <w:p w:rsidR="007D6DDF" w:rsidRDefault="007D6DDF" w:rsidP="003A700D">
      <w:pPr>
        <w:pStyle w:val="Sansinterligne"/>
      </w:pPr>
      <w:r>
        <w:t xml:space="preserve">TPL </w:t>
      </w:r>
      <w:r>
        <w:rPr>
          <w:rFonts w:ascii="Century Gothic" w:hAnsi="Century Gothic"/>
        </w:rPr>
        <w:t>→</w:t>
      </w:r>
      <w:r>
        <w:t xml:space="preserve"> psychothérapie comportemental</w:t>
      </w:r>
      <w:r w:rsidR="00F37B8E">
        <w:t>e</w:t>
      </w:r>
      <w:r>
        <w:t xml:space="preserve"> dialectique (m</w:t>
      </w:r>
      <w:r w:rsidR="00F37B8E">
        <w:t>ise</w:t>
      </w:r>
      <w:r>
        <w:t xml:space="preserve"> en évidence </w:t>
      </w:r>
      <w:r w:rsidR="00F37B8E">
        <w:t>d</w:t>
      </w:r>
      <w:r>
        <w:t xml:space="preserve">es contradictions, </w:t>
      </w:r>
      <w:r w:rsidR="00F37B8E">
        <w:t>renforcement</w:t>
      </w:r>
      <w:r>
        <w:t xml:space="preserve"> </w:t>
      </w:r>
      <w:r w:rsidR="00F37B8E">
        <w:t>des</w:t>
      </w:r>
      <w:r>
        <w:t xml:space="preserve"> éléments positifs plutôt que </w:t>
      </w:r>
      <w:r w:rsidR="00F37B8E">
        <w:t>sanctions</w:t>
      </w:r>
      <w:r>
        <w:t>, remplacements des comportements inadéquats</w:t>
      </w:r>
      <w:r w:rsidR="00F37B8E">
        <w:t xml:space="preserve"> par des comportements adaptés</w:t>
      </w:r>
      <w:r>
        <w:t>)</w:t>
      </w:r>
    </w:p>
    <w:p w:rsidR="002A6C58" w:rsidRDefault="002A6C58" w:rsidP="002A6C58">
      <w:pPr>
        <w:spacing w:after="0"/>
        <w:rPr>
          <w:rFonts w:cs="Times New Roman"/>
          <w:b/>
          <w:color w:val="548DD4" w:themeColor="text2" w:themeTint="99"/>
        </w:rPr>
      </w:pPr>
      <w:r>
        <w:rPr>
          <w:rFonts w:cs="Times New Roman"/>
          <w:b/>
          <w:color w:val="548DD4" w:themeColor="text2" w:themeTint="99"/>
        </w:rPr>
        <w:t>CMC 77</w:t>
      </w:r>
    </w:p>
    <w:p w:rsidR="002A6C58" w:rsidRPr="002A6C58" w:rsidRDefault="002A6C58" w:rsidP="002A6C58">
      <w:pPr>
        <w:pStyle w:val="Titre3"/>
        <w:spacing w:before="0"/>
        <w:rPr>
          <w:rFonts w:ascii="Times New Roman" w:hAnsi="Times New Roman" w:cs="Times New Roman"/>
        </w:rPr>
      </w:pPr>
      <w:bookmarkStart w:id="227" w:name="_Toc480797309"/>
      <w:r w:rsidRPr="002A6C58">
        <w:rPr>
          <w:rFonts w:ascii="Times New Roman" w:hAnsi="Times New Roman" w:cs="Times New Roman"/>
        </w:rPr>
        <w:t>Intoxication</w:t>
      </w:r>
      <w:bookmarkEnd w:id="227"/>
    </w:p>
    <w:tbl>
      <w:tblPr>
        <w:tblW w:w="776" w:type="pct"/>
        <w:tblCellSpacing w:w="0" w:type="dxa"/>
        <w:tblCellMar>
          <w:left w:w="0" w:type="dxa"/>
          <w:right w:w="0" w:type="dxa"/>
        </w:tblCellMar>
        <w:tblLook w:val="04A0" w:firstRow="1" w:lastRow="0" w:firstColumn="1" w:lastColumn="0" w:noHBand="0" w:noVBand="1"/>
      </w:tblPr>
      <w:tblGrid>
        <w:gridCol w:w="1676"/>
      </w:tblGrid>
      <w:tr w:rsidR="002A6C58" w:rsidRPr="002A6C58" w:rsidTr="002A6C58">
        <w:trPr>
          <w:tblCellSpacing w:w="0" w:type="dxa"/>
        </w:trPr>
        <w:tc>
          <w:tcPr>
            <w:tcW w:w="5000" w:type="pct"/>
            <w:vAlign w:val="bottom"/>
            <w:hideMark/>
          </w:tcPr>
          <w:p w:rsidR="002A6C58" w:rsidRDefault="002A6C58" w:rsidP="002A6C58">
            <w:pPr>
              <w:pStyle w:val="Sansinterligne"/>
              <w:rPr>
                <w:rFonts w:cs="Times New Roman"/>
                <w:b/>
                <w:sz w:val="18"/>
                <w:szCs w:val="18"/>
              </w:rPr>
            </w:pPr>
            <w:r>
              <w:rPr>
                <w:rFonts w:cs="Times New Roman"/>
                <w:b/>
                <w:noProof/>
                <w:sz w:val="18"/>
                <w:szCs w:val="18"/>
                <w:lang w:eastAsia="fr-CA"/>
              </w:rPr>
              <mc:AlternateContent>
                <mc:Choice Requires="wps">
                  <w:drawing>
                    <wp:anchor distT="0" distB="0" distL="114300" distR="114300" simplePos="0" relativeHeight="252195840" behindDoc="0" locked="0" layoutInCell="1" allowOverlap="1" wp14:anchorId="50AAB447" wp14:editId="3FD2F736">
                      <wp:simplePos x="0" y="0"/>
                      <wp:positionH relativeFrom="column">
                        <wp:posOffset>-48638</wp:posOffset>
                      </wp:positionH>
                      <wp:positionV relativeFrom="paragraph">
                        <wp:posOffset>75497</wp:posOffset>
                      </wp:positionV>
                      <wp:extent cx="6916366" cy="3579779"/>
                      <wp:effectExtent l="0" t="0" r="18415" b="20955"/>
                      <wp:wrapNone/>
                      <wp:docPr id="669" name="Rectangle 669"/>
                      <wp:cNvGraphicFramePr/>
                      <a:graphic xmlns:a="http://schemas.openxmlformats.org/drawingml/2006/main">
                        <a:graphicData uri="http://schemas.microsoft.com/office/word/2010/wordprocessingShape">
                          <wps:wsp>
                            <wps:cNvSpPr/>
                            <wps:spPr>
                              <a:xfrm>
                                <a:off x="0" y="0"/>
                                <a:ext cx="6916366" cy="3579779"/>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669" o:spid="_x0000_s1026" style="position:absolute;margin-left:-3.85pt;margin-top:5.95pt;width:544.6pt;height:281.85pt;z-index:2521958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" filled="f" strokecolor="black [1600]" strokeweight="2pt"/>
                  </w:pict>
                </mc:Fallback>
              </mc:AlternateContent>
            </w:r>
          </w:p>
          <w:p w:rsidR="002A6C58" w:rsidRPr="002A6C58" w:rsidRDefault="002A6C58" w:rsidP="002A6C58">
            <w:pPr>
              <w:pStyle w:val="Sansinterligne"/>
              <w:rPr>
                <w:rFonts w:cs="Times New Roman"/>
                <w:b/>
                <w:sz w:val="18"/>
                <w:szCs w:val="18"/>
              </w:rPr>
            </w:pPr>
            <w:r w:rsidRPr="002A6C58">
              <w:rPr>
                <w:rFonts w:cs="Times New Roman"/>
                <w:b/>
                <w:sz w:val="18"/>
                <w:szCs w:val="18"/>
              </w:rPr>
              <w:t>Objectifs principaux</w:t>
            </w:r>
          </w:p>
        </w:tc>
      </w:tr>
    </w:tbl>
    <w:p w:rsidR="002A6C58" w:rsidRPr="002A6C58" w:rsidRDefault="002A6C58" w:rsidP="002A6C58">
      <w:pPr>
        <w:pStyle w:val="NormalWeb"/>
        <w:ind w:left="360"/>
        <w:rPr>
          <w:color w:val="000000"/>
          <w:sz w:val="18"/>
          <w:szCs w:val="18"/>
          <w:shd w:val="clear" w:color="auto" w:fill="FFFFFF"/>
        </w:rPr>
      </w:pPr>
      <w:r w:rsidRPr="002A6C58">
        <w:rPr>
          <w:color w:val="000000"/>
          <w:sz w:val="18"/>
          <w:szCs w:val="18"/>
          <w:shd w:val="clear" w:color="auto" w:fill="FFFFFF"/>
        </w:rPr>
        <w:t>Dans le cas d'un patient présentant une intoxication, le candidat devra en diagnostiquer la cause, la gravité et les complications, et mettre en place un plan de prise en charge approprié. En particulier, il devra déterminer la nature de l'intoxication et de l'exposition, et fournir un traitement spécifique et des soins d'entretien en fonction de la cause déterminée.</w:t>
      </w:r>
    </w:p>
    <w:tbl>
      <w:tblPr>
        <w:tblW w:w="3897" w:type="pct"/>
        <w:tblCellSpacing w:w="0" w:type="dxa"/>
        <w:tblCellMar>
          <w:left w:w="0" w:type="dxa"/>
          <w:right w:w="0" w:type="dxa"/>
        </w:tblCellMar>
        <w:tblLook w:val="04A0" w:firstRow="1" w:lastRow="0" w:firstColumn="1" w:lastColumn="0" w:noHBand="0" w:noVBand="1"/>
      </w:tblPr>
      <w:tblGrid>
        <w:gridCol w:w="8418"/>
      </w:tblGrid>
      <w:tr w:rsidR="002A6C58" w:rsidRPr="002A6C58" w:rsidTr="002A6C58">
        <w:trPr>
          <w:tblCellSpacing w:w="0" w:type="dxa"/>
        </w:trPr>
        <w:tc>
          <w:tcPr>
            <w:tcW w:w="0" w:type="auto"/>
            <w:vAlign w:val="bottom"/>
            <w:hideMark/>
          </w:tcPr>
          <w:p w:rsidR="002A6C58" w:rsidRPr="002A6C58" w:rsidRDefault="002A6C58" w:rsidP="002A6C58">
            <w:pPr>
              <w:pStyle w:val="Sansinterligne"/>
              <w:rPr>
                <w:rFonts w:cs="Times New Roman"/>
                <w:b/>
                <w:sz w:val="16"/>
                <w:szCs w:val="16"/>
              </w:rPr>
            </w:pPr>
            <w:r w:rsidRPr="002A6C58">
              <w:rPr>
                <w:rFonts w:cs="Times New Roman"/>
                <w:b/>
                <w:sz w:val="16"/>
                <w:szCs w:val="16"/>
              </w:rPr>
              <w:t>Objectifs spécifiques</w:t>
            </w:r>
          </w:p>
        </w:tc>
      </w:tr>
    </w:tbl>
    <w:p w:rsidR="002A6C58" w:rsidRPr="002A6C58" w:rsidRDefault="002A6C58" w:rsidP="002A6C58">
      <w:pPr>
        <w:pStyle w:val="NormalWeb"/>
        <w:shd w:val="clear" w:color="auto" w:fill="FFFFFF"/>
        <w:ind w:left="360"/>
        <w:rPr>
          <w:color w:val="000000"/>
          <w:sz w:val="16"/>
          <w:szCs w:val="16"/>
          <w:shd w:val="clear" w:color="auto" w:fill="FFFFFF"/>
        </w:rPr>
      </w:pPr>
      <w:r w:rsidRPr="002A6C58">
        <w:rPr>
          <w:color w:val="000000"/>
          <w:sz w:val="16"/>
          <w:szCs w:val="16"/>
          <w:shd w:val="clear" w:color="auto" w:fill="FFFFFF"/>
        </w:rPr>
        <w:t>Dans le cas d'un patient présentant une intoxication, le candidat devra</w:t>
      </w:r>
    </w:p>
    <w:p w:rsidR="002A6C58" w:rsidRPr="002A6C58" w:rsidRDefault="002A6C58" w:rsidP="00ED1F48">
      <w:pPr>
        <w:numPr>
          <w:ilvl w:val="0"/>
          <w:numId w:val="1445"/>
        </w:numPr>
        <w:shd w:val="clear" w:color="auto" w:fill="FFFFFF"/>
        <w:spacing w:before="100" w:beforeAutospacing="1" w:after="100" w:afterAutospacing="1" w:line="240" w:lineRule="auto"/>
        <w:rPr>
          <w:rFonts w:cs="Times New Roman"/>
          <w:color w:val="000000"/>
          <w:sz w:val="16"/>
          <w:szCs w:val="16"/>
          <w:shd w:val="clear" w:color="auto" w:fill="FFFFFF"/>
        </w:rPr>
      </w:pPr>
      <w:r w:rsidRPr="002A6C58">
        <w:rPr>
          <w:rFonts w:cs="Times New Roman"/>
          <w:color w:val="000000"/>
          <w:sz w:val="16"/>
          <w:szCs w:val="16"/>
          <w:shd w:val="clear" w:color="auto" w:fill="FFFFFF"/>
        </w:rPr>
        <w:t>énumérer et interpréter les constatations cliniques cruciales, notamment :</w:t>
      </w:r>
    </w:p>
    <w:p w:rsidR="002A6C58" w:rsidRPr="002A6C58" w:rsidRDefault="002A6C58" w:rsidP="00ED1F48">
      <w:pPr>
        <w:numPr>
          <w:ilvl w:val="1"/>
          <w:numId w:val="1445"/>
        </w:numPr>
        <w:shd w:val="clear" w:color="auto" w:fill="FFFFFF"/>
        <w:spacing w:before="100" w:beforeAutospacing="1" w:after="100" w:afterAutospacing="1" w:line="240" w:lineRule="auto"/>
        <w:rPr>
          <w:rFonts w:cs="Times New Roman"/>
          <w:color w:val="000000"/>
          <w:sz w:val="16"/>
          <w:szCs w:val="16"/>
          <w:shd w:val="clear" w:color="auto" w:fill="FFFFFF"/>
        </w:rPr>
      </w:pPr>
      <w:r w:rsidRPr="002A6C58">
        <w:rPr>
          <w:rFonts w:cs="Times New Roman"/>
          <w:color w:val="000000"/>
          <w:sz w:val="16"/>
          <w:szCs w:val="16"/>
          <w:shd w:val="clear" w:color="auto" w:fill="FFFFFF"/>
        </w:rPr>
        <w:t>les données d'une anamnèse recueillie auprès des proches, dans le but de déterminer la substance en cause et la gravité potentielle de l'intoxication;</w:t>
      </w:r>
    </w:p>
    <w:p w:rsidR="002A6C58" w:rsidRPr="002A6C58" w:rsidRDefault="002A6C58" w:rsidP="00ED1F48">
      <w:pPr>
        <w:numPr>
          <w:ilvl w:val="1"/>
          <w:numId w:val="1445"/>
        </w:numPr>
        <w:shd w:val="clear" w:color="auto" w:fill="FFFFFF"/>
        <w:spacing w:before="100" w:beforeAutospacing="1" w:after="100" w:afterAutospacing="1" w:line="240" w:lineRule="auto"/>
        <w:rPr>
          <w:rFonts w:cs="Times New Roman"/>
          <w:color w:val="000000"/>
          <w:sz w:val="16"/>
          <w:szCs w:val="16"/>
          <w:shd w:val="clear" w:color="auto" w:fill="FFFFFF"/>
        </w:rPr>
      </w:pPr>
      <w:r w:rsidRPr="002A6C58">
        <w:rPr>
          <w:rFonts w:cs="Times New Roman"/>
          <w:color w:val="000000"/>
          <w:sz w:val="16"/>
          <w:szCs w:val="16"/>
          <w:shd w:val="clear" w:color="auto" w:fill="FFFFFF"/>
        </w:rPr>
        <w:t>les résultats d'un examen physique visant à déterminer l'état de stabilité du patient et la nature du toxidrome (p. ex. crise cholinergique, syndrome sérotoninergique); un examen physique pour déterminer l'état de stabilité du patient et la nature du toxidrome (p. ex. crise cholinergique, syndrome sérotoninergique);</w:t>
      </w:r>
    </w:p>
    <w:p w:rsidR="002A6C58" w:rsidRPr="002A6C58" w:rsidRDefault="002A6C58" w:rsidP="00ED1F48">
      <w:pPr>
        <w:numPr>
          <w:ilvl w:val="0"/>
          <w:numId w:val="1445"/>
        </w:numPr>
        <w:shd w:val="clear" w:color="auto" w:fill="FFFFFF"/>
        <w:spacing w:before="100" w:beforeAutospacing="1" w:after="100" w:afterAutospacing="1" w:line="240" w:lineRule="auto"/>
        <w:rPr>
          <w:rFonts w:cs="Times New Roman"/>
          <w:color w:val="000000"/>
          <w:sz w:val="16"/>
          <w:szCs w:val="16"/>
          <w:shd w:val="clear" w:color="auto" w:fill="FFFFFF"/>
        </w:rPr>
      </w:pPr>
      <w:r w:rsidRPr="002A6C58">
        <w:rPr>
          <w:rFonts w:cs="Times New Roman"/>
          <w:color w:val="000000"/>
          <w:sz w:val="16"/>
          <w:szCs w:val="16"/>
          <w:shd w:val="clear" w:color="auto" w:fill="FFFFFF"/>
        </w:rPr>
        <w:t>énumérer et interpréter les examens essentiels, notamment :</w:t>
      </w:r>
    </w:p>
    <w:p w:rsidR="002A6C58" w:rsidRPr="002A6C58" w:rsidRDefault="002A6C58" w:rsidP="00ED1F48">
      <w:pPr>
        <w:numPr>
          <w:ilvl w:val="1"/>
          <w:numId w:val="1445"/>
        </w:numPr>
        <w:shd w:val="clear" w:color="auto" w:fill="FFFFFF"/>
        <w:spacing w:before="100" w:beforeAutospacing="1" w:after="100" w:afterAutospacing="1" w:line="240" w:lineRule="auto"/>
        <w:rPr>
          <w:rFonts w:cs="Times New Roman"/>
          <w:color w:val="000000"/>
          <w:sz w:val="16"/>
          <w:szCs w:val="16"/>
          <w:shd w:val="clear" w:color="auto" w:fill="FFFFFF"/>
        </w:rPr>
      </w:pPr>
      <w:r w:rsidRPr="002A6C58">
        <w:rPr>
          <w:rFonts w:cs="Times New Roman"/>
          <w:color w:val="000000"/>
          <w:sz w:val="16"/>
          <w:szCs w:val="16"/>
          <w:shd w:val="clear" w:color="auto" w:fill="FFFFFF"/>
        </w:rPr>
        <w:t>les analyses de laboratoire permettant d'identifier la substance ingérée (p. ex. dosage de l'acétaminophène ou de l'AAS);</w:t>
      </w:r>
    </w:p>
    <w:p w:rsidR="002A6C58" w:rsidRPr="002A6C58" w:rsidRDefault="002A6C58" w:rsidP="00ED1F48">
      <w:pPr>
        <w:numPr>
          <w:ilvl w:val="1"/>
          <w:numId w:val="1445"/>
        </w:numPr>
        <w:shd w:val="clear" w:color="auto" w:fill="FFFFFF"/>
        <w:spacing w:before="100" w:beforeAutospacing="1" w:after="100" w:afterAutospacing="1" w:line="240" w:lineRule="auto"/>
        <w:rPr>
          <w:rFonts w:cs="Times New Roman"/>
          <w:color w:val="000000"/>
          <w:sz w:val="16"/>
          <w:szCs w:val="16"/>
          <w:shd w:val="clear" w:color="auto" w:fill="FFFFFF"/>
        </w:rPr>
      </w:pPr>
      <w:r w:rsidRPr="002A6C58">
        <w:rPr>
          <w:rFonts w:cs="Times New Roman"/>
          <w:color w:val="000000"/>
          <w:sz w:val="16"/>
          <w:szCs w:val="16"/>
          <w:shd w:val="clear" w:color="auto" w:fill="FFFFFF"/>
        </w:rPr>
        <w:t>l'évaluation des effets toxiques (gazométrie du sang artériel, trous anionique et osmolaire);</w:t>
      </w:r>
    </w:p>
    <w:p w:rsidR="002A6C58" w:rsidRPr="002A6C58" w:rsidRDefault="002A6C58" w:rsidP="00ED1F48">
      <w:pPr>
        <w:numPr>
          <w:ilvl w:val="0"/>
          <w:numId w:val="1445"/>
        </w:numPr>
        <w:shd w:val="clear" w:color="auto" w:fill="FFFFFF"/>
        <w:spacing w:before="100" w:beforeAutospacing="1" w:after="100" w:afterAutospacing="1" w:line="240" w:lineRule="auto"/>
        <w:rPr>
          <w:rFonts w:cs="Times New Roman"/>
          <w:color w:val="000000"/>
          <w:sz w:val="16"/>
          <w:szCs w:val="16"/>
          <w:shd w:val="clear" w:color="auto" w:fill="FFFFFF"/>
        </w:rPr>
      </w:pPr>
      <w:r w:rsidRPr="002A6C58">
        <w:rPr>
          <w:rFonts w:cs="Times New Roman"/>
          <w:color w:val="000000"/>
          <w:sz w:val="16"/>
          <w:szCs w:val="16"/>
          <w:shd w:val="clear" w:color="auto" w:fill="FFFFFF"/>
        </w:rPr>
        <w:t>établir un plan efficace de prise en charge initiale, notamment :</w:t>
      </w:r>
    </w:p>
    <w:p w:rsidR="002A6C58" w:rsidRPr="002A6C58" w:rsidRDefault="002A6C58" w:rsidP="00ED1F48">
      <w:pPr>
        <w:numPr>
          <w:ilvl w:val="1"/>
          <w:numId w:val="1445"/>
        </w:numPr>
        <w:shd w:val="clear" w:color="auto" w:fill="FFFFFF"/>
        <w:spacing w:before="100" w:beforeAutospacing="1" w:after="100" w:afterAutospacing="1" w:line="240" w:lineRule="auto"/>
        <w:rPr>
          <w:rFonts w:cs="Times New Roman"/>
          <w:color w:val="000000"/>
          <w:sz w:val="16"/>
          <w:szCs w:val="16"/>
          <w:shd w:val="clear" w:color="auto" w:fill="FFFFFF"/>
        </w:rPr>
      </w:pPr>
      <w:r w:rsidRPr="002A6C58">
        <w:rPr>
          <w:rFonts w:cs="Times New Roman"/>
          <w:color w:val="000000"/>
          <w:sz w:val="16"/>
          <w:szCs w:val="16"/>
          <w:shd w:val="clear" w:color="auto" w:fill="FFFFFF"/>
        </w:rPr>
        <w:t>fournir des soins d'entretien tout en procédant à l'anamnèse et à l'examen (p. ex. assurer le dégagement des voies aériennes et la stabilité hémodynamique);</w:t>
      </w:r>
    </w:p>
    <w:p w:rsidR="002A6C58" w:rsidRPr="002A6C58" w:rsidRDefault="002A6C58" w:rsidP="00ED1F48">
      <w:pPr>
        <w:numPr>
          <w:ilvl w:val="1"/>
          <w:numId w:val="1445"/>
        </w:numPr>
        <w:shd w:val="clear" w:color="auto" w:fill="FFFFFF"/>
        <w:spacing w:before="100" w:beforeAutospacing="1" w:after="100" w:afterAutospacing="1" w:line="240" w:lineRule="auto"/>
        <w:rPr>
          <w:rFonts w:cs="Times New Roman"/>
          <w:color w:val="000000"/>
          <w:sz w:val="16"/>
          <w:szCs w:val="16"/>
          <w:shd w:val="clear" w:color="auto" w:fill="FFFFFF"/>
        </w:rPr>
      </w:pPr>
      <w:r w:rsidRPr="002A6C58">
        <w:rPr>
          <w:rFonts w:cs="Times New Roman"/>
          <w:color w:val="000000"/>
          <w:sz w:val="16"/>
          <w:szCs w:val="16"/>
          <w:shd w:val="clear" w:color="auto" w:fill="FFFFFF"/>
        </w:rPr>
        <w:t>effectuer la décontamination appropriée ou empêcher l'absorption de la substance toxique (p. ex. charbon activé);</w:t>
      </w:r>
    </w:p>
    <w:p w:rsidR="002A6C58" w:rsidRPr="002A6C58" w:rsidRDefault="002A6C58" w:rsidP="00ED1F48">
      <w:pPr>
        <w:numPr>
          <w:ilvl w:val="1"/>
          <w:numId w:val="1445"/>
        </w:numPr>
        <w:shd w:val="clear" w:color="auto" w:fill="FFFFFF"/>
        <w:spacing w:before="100" w:beforeAutospacing="1" w:after="100" w:afterAutospacing="1" w:line="240" w:lineRule="auto"/>
        <w:rPr>
          <w:rFonts w:cs="Times New Roman"/>
          <w:color w:val="000000"/>
          <w:sz w:val="16"/>
          <w:szCs w:val="16"/>
          <w:shd w:val="clear" w:color="auto" w:fill="FFFFFF"/>
        </w:rPr>
      </w:pPr>
      <w:r w:rsidRPr="002A6C58">
        <w:rPr>
          <w:rFonts w:cs="Times New Roman"/>
          <w:color w:val="000000"/>
          <w:sz w:val="16"/>
          <w:szCs w:val="16"/>
          <w:shd w:val="clear" w:color="auto" w:fill="FFFFFF"/>
        </w:rPr>
        <w:t>administrer les antidotes spécifiques indiqués (p. ex. naloxone, N-acétylcystéine);</w:t>
      </w:r>
    </w:p>
    <w:p w:rsidR="002A6C58" w:rsidRPr="002A6C58" w:rsidRDefault="002A6C58" w:rsidP="00ED1F48">
      <w:pPr>
        <w:numPr>
          <w:ilvl w:val="1"/>
          <w:numId w:val="1445"/>
        </w:numPr>
        <w:shd w:val="clear" w:color="auto" w:fill="FFFFFF"/>
        <w:spacing w:before="100" w:beforeAutospacing="1" w:after="100" w:afterAutospacing="1" w:line="240" w:lineRule="auto"/>
        <w:rPr>
          <w:rFonts w:cs="Times New Roman"/>
          <w:color w:val="000000"/>
          <w:sz w:val="16"/>
          <w:szCs w:val="16"/>
          <w:shd w:val="clear" w:color="auto" w:fill="FFFFFF"/>
        </w:rPr>
      </w:pPr>
      <w:r w:rsidRPr="002A6C58">
        <w:rPr>
          <w:rFonts w:cs="Times New Roman"/>
          <w:color w:val="000000"/>
          <w:sz w:val="16"/>
          <w:szCs w:val="16"/>
          <w:shd w:val="clear" w:color="auto" w:fill="FFFFFF"/>
        </w:rPr>
        <w:t>favoriser l'élimination du poison (p. ex. alcalinisation, dialyse);</w:t>
      </w:r>
    </w:p>
    <w:p w:rsidR="002A6C58" w:rsidRPr="002A6C58" w:rsidRDefault="002A6C58" w:rsidP="00ED1F48">
      <w:pPr>
        <w:numPr>
          <w:ilvl w:val="1"/>
          <w:numId w:val="1445"/>
        </w:numPr>
        <w:shd w:val="clear" w:color="auto" w:fill="FFFFFF"/>
        <w:spacing w:before="100" w:beforeAutospacing="1" w:after="100" w:afterAutospacing="1" w:line="240" w:lineRule="auto"/>
        <w:rPr>
          <w:rFonts w:cs="Times New Roman"/>
          <w:color w:val="000000"/>
          <w:sz w:val="16"/>
          <w:szCs w:val="16"/>
          <w:shd w:val="clear" w:color="auto" w:fill="FFFFFF"/>
        </w:rPr>
      </w:pPr>
      <w:r w:rsidRPr="002A6C58">
        <w:rPr>
          <w:rFonts w:cs="Times New Roman"/>
          <w:color w:val="000000"/>
          <w:sz w:val="16"/>
          <w:szCs w:val="16"/>
          <w:shd w:val="clear" w:color="auto" w:fill="FFFFFF"/>
        </w:rPr>
        <w:t>communiquer avec le Centre antipoison;</w:t>
      </w:r>
    </w:p>
    <w:p w:rsidR="002A6C58" w:rsidRPr="00B74E14" w:rsidRDefault="002A6C58" w:rsidP="008947D9">
      <w:pPr>
        <w:numPr>
          <w:ilvl w:val="1"/>
          <w:numId w:val="1445"/>
        </w:numPr>
        <w:shd w:val="clear" w:color="auto" w:fill="FFFFFF"/>
        <w:spacing w:before="100" w:beforeAutospacing="1" w:after="100" w:afterAutospacing="1" w:line="240" w:lineRule="auto"/>
        <w:rPr>
          <w:rFonts w:cs="Times New Roman"/>
          <w:color w:val="000000"/>
          <w:sz w:val="16"/>
          <w:szCs w:val="16"/>
          <w:shd w:val="clear" w:color="auto" w:fill="FFFFFF"/>
        </w:rPr>
      </w:pPr>
      <w:r w:rsidRPr="002A6C58">
        <w:rPr>
          <w:rFonts w:cs="Times New Roman"/>
          <w:color w:val="000000"/>
          <w:sz w:val="16"/>
          <w:szCs w:val="16"/>
          <w:shd w:val="clear" w:color="auto" w:fill="FFFFFF"/>
        </w:rPr>
        <w:t>adresser le patient en psychiatrie, s'il y a lieu.</w:t>
      </w:r>
    </w:p>
    <w:p w:rsidR="00944D8E" w:rsidRPr="008947D9" w:rsidRDefault="008947D9" w:rsidP="008947D9">
      <w:pPr>
        <w:pStyle w:val="Sansinterligne"/>
        <w:rPr>
          <w:b/>
          <w:sz w:val="28"/>
          <w:szCs w:val="28"/>
        </w:rPr>
      </w:pPr>
      <w:r w:rsidRPr="008947D9">
        <w:rPr>
          <w:b/>
          <w:sz w:val="28"/>
          <w:szCs w:val="28"/>
        </w:rPr>
        <w:t>Toxidromes (tableau)</w:t>
      </w:r>
      <w:r w:rsidR="009F40A3">
        <w:rPr>
          <w:b/>
          <w:sz w:val="28"/>
          <w:szCs w:val="28"/>
        </w:rPr>
        <w:t xml:space="preserve"> – Non-exhaustif</w:t>
      </w:r>
    </w:p>
    <w:p w:rsidR="008947D9" w:rsidRPr="008F6737" w:rsidRDefault="008947D9" w:rsidP="001D07DA">
      <w:pPr>
        <w:pStyle w:val="Sansinterligne"/>
        <w:jc w:val="center"/>
        <w:rPr>
          <w:i/>
          <w:lang w:eastAsia="fr-CA"/>
        </w:rPr>
      </w:pPr>
    </w:p>
    <w:tbl>
      <w:tblPr>
        <w:tblStyle w:val="Grilledutableau"/>
        <w:tblW w:w="0" w:type="auto"/>
        <w:tblLayout w:type="fixed"/>
        <w:tblLook w:val="04A0" w:firstRow="1" w:lastRow="0" w:firstColumn="1" w:lastColumn="0" w:noHBand="0" w:noVBand="1"/>
      </w:tblPr>
      <w:tblGrid>
        <w:gridCol w:w="1951"/>
        <w:gridCol w:w="2126"/>
        <w:gridCol w:w="140"/>
        <w:gridCol w:w="2266"/>
        <w:gridCol w:w="146"/>
        <w:gridCol w:w="2120"/>
        <w:gridCol w:w="73"/>
        <w:gridCol w:w="2194"/>
      </w:tblGrid>
      <w:tr w:rsidR="009F40A3" w:rsidRPr="008F6737" w:rsidTr="00F65B30">
        <w:tc>
          <w:tcPr>
            <w:tcW w:w="1951" w:type="dxa"/>
            <w:shd w:val="clear" w:color="auto" w:fill="C4BC96" w:themeFill="background2" w:themeFillShade="BF"/>
          </w:tcPr>
          <w:p w:rsidR="009F40A3" w:rsidRPr="008F6737" w:rsidRDefault="009F40A3" w:rsidP="001D07DA">
            <w:pPr>
              <w:pStyle w:val="Sansinterligne"/>
              <w:jc w:val="center"/>
              <w:rPr>
                <w:i/>
                <w:lang w:eastAsia="fr-CA"/>
              </w:rPr>
            </w:pPr>
            <w:r w:rsidRPr="008F6737">
              <w:rPr>
                <w:i/>
                <w:lang w:eastAsia="fr-CA"/>
              </w:rPr>
              <w:t>Toxidrome</w:t>
            </w:r>
          </w:p>
        </w:tc>
        <w:tc>
          <w:tcPr>
            <w:tcW w:w="2126" w:type="dxa"/>
            <w:shd w:val="clear" w:color="auto" w:fill="FDE9D9" w:themeFill="accent6" w:themeFillTint="33"/>
          </w:tcPr>
          <w:p w:rsidR="009F40A3" w:rsidRPr="008F6737" w:rsidRDefault="009F40A3" w:rsidP="001D07DA">
            <w:pPr>
              <w:pStyle w:val="Sansinterligne"/>
              <w:jc w:val="center"/>
              <w:rPr>
                <w:i/>
                <w:lang w:eastAsia="fr-CA"/>
              </w:rPr>
            </w:pPr>
            <w:r w:rsidRPr="008F6737">
              <w:rPr>
                <w:i/>
                <w:lang w:eastAsia="fr-CA"/>
              </w:rPr>
              <w:t>Substances</w:t>
            </w:r>
          </w:p>
        </w:tc>
        <w:tc>
          <w:tcPr>
            <w:tcW w:w="2552" w:type="dxa"/>
            <w:gridSpan w:val="3"/>
            <w:shd w:val="clear" w:color="auto" w:fill="FDE9D9" w:themeFill="accent6" w:themeFillTint="33"/>
          </w:tcPr>
          <w:p w:rsidR="009F40A3" w:rsidRPr="008F6737" w:rsidRDefault="009F40A3" w:rsidP="001D07DA">
            <w:pPr>
              <w:pStyle w:val="Sansinterligne"/>
              <w:jc w:val="center"/>
              <w:rPr>
                <w:i/>
                <w:lang w:eastAsia="fr-CA"/>
              </w:rPr>
            </w:pPr>
            <w:r w:rsidRPr="008F6737">
              <w:rPr>
                <w:i/>
                <w:lang w:eastAsia="fr-CA"/>
              </w:rPr>
              <w:t>Signes vitaux</w:t>
            </w:r>
          </w:p>
        </w:tc>
        <w:tc>
          <w:tcPr>
            <w:tcW w:w="4387" w:type="dxa"/>
            <w:gridSpan w:val="3"/>
            <w:shd w:val="clear" w:color="auto" w:fill="FDE9D9" w:themeFill="accent6" w:themeFillTint="33"/>
          </w:tcPr>
          <w:p w:rsidR="009F40A3" w:rsidRPr="008F6737" w:rsidRDefault="009F40A3" w:rsidP="001D07DA">
            <w:pPr>
              <w:pStyle w:val="Sansinterligne"/>
              <w:jc w:val="center"/>
              <w:rPr>
                <w:i/>
                <w:lang w:eastAsia="fr-CA"/>
              </w:rPr>
            </w:pPr>
            <w:r w:rsidRPr="008F6737">
              <w:rPr>
                <w:i/>
                <w:lang w:eastAsia="fr-CA"/>
              </w:rPr>
              <w:t>Autres signes</w:t>
            </w:r>
            <w:r w:rsidR="001D07DA" w:rsidRPr="008F6737">
              <w:rPr>
                <w:i/>
                <w:lang w:eastAsia="fr-CA"/>
              </w:rPr>
              <w:t xml:space="preserve"> et symptômes</w:t>
            </w:r>
          </w:p>
        </w:tc>
      </w:tr>
      <w:tr w:rsidR="008F6737" w:rsidTr="00F65B30">
        <w:tc>
          <w:tcPr>
            <w:tcW w:w="1951" w:type="dxa"/>
            <w:shd w:val="clear" w:color="auto" w:fill="C4BC96" w:themeFill="background2" w:themeFillShade="BF"/>
            <w:vAlign w:val="center"/>
          </w:tcPr>
          <w:p w:rsidR="008F6737" w:rsidRDefault="008F6737" w:rsidP="00CA410A">
            <w:pPr>
              <w:pStyle w:val="Sansinterligne"/>
              <w:jc w:val="center"/>
              <w:rPr>
                <w:lang w:eastAsia="fr-CA"/>
              </w:rPr>
            </w:pPr>
            <w:r>
              <w:rPr>
                <w:lang w:eastAsia="fr-CA"/>
              </w:rPr>
              <w:t>Salicylates</w:t>
            </w:r>
          </w:p>
        </w:tc>
        <w:tc>
          <w:tcPr>
            <w:tcW w:w="2126" w:type="dxa"/>
            <w:shd w:val="clear" w:color="auto" w:fill="FFFF00"/>
          </w:tcPr>
          <w:p w:rsidR="008F6737" w:rsidRDefault="008F6737" w:rsidP="008947D9">
            <w:pPr>
              <w:pStyle w:val="Sansinterligne"/>
              <w:rPr>
                <w:lang w:eastAsia="fr-CA"/>
              </w:rPr>
            </w:pPr>
            <w:r>
              <w:rPr>
                <w:lang w:eastAsia="fr-CA"/>
              </w:rPr>
              <w:t>Aspirine</w:t>
            </w:r>
          </w:p>
          <w:p w:rsidR="008F6737" w:rsidRDefault="008F6737" w:rsidP="008947D9">
            <w:pPr>
              <w:pStyle w:val="Sansinterligne"/>
              <w:rPr>
                <w:lang w:eastAsia="fr-CA"/>
              </w:rPr>
            </w:pPr>
            <w:r>
              <w:rPr>
                <w:lang w:eastAsia="fr-CA"/>
              </w:rPr>
              <w:t>Thé des bois</w:t>
            </w:r>
          </w:p>
        </w:tc>
        <w:tc>
          <w:tcPr>
            <w:tcW w:w="2552" w:type="dxa"/>
            <w:gridSpan w:val="3"/>
            <w:shd w:val="clear" w:color="auto" w:fill="FFFF00"/>
          </w:tcPr>
          <w:p w:rsidR="008F6737" w:rsidRDefault="008F6737" w:rsidP="008947D9">
            <w:pPr>
              <w:pStyle w:val="Sansinterligne"/>
              <w:rPr>
                <w:lang w:eastAsia="fr-CA"/>
              </w:rPr>
            </w:pPr>
            <w:r>
              <w:rPr>
                <w:lang w:eastAsia="fr-CA"/>
              </w:rPr>
              <w:t>Tachypnée</w:t>
            </w:r>
          </w:p>
          <w:p w:rsidR="008F6737" w:rsidRDefault="008F6737" w:rsidP="008F6737">
            <w:pPr>
              <w:pStyle w:val="Sansinterligne"/>
              <w:rPr>
                <w:lang w:eastAsia="fr-CA"/>
              </w:rPr>
            </w:pPr>
            <w:r>
              <w:rPr>
                <w:lang w:eastAsia="fr-CA"/>
              </w:rPr>
              <w:t xml:space="preserve">Hyperthermie </w:t>
            </w:r>
            <w:r w:rsidR="00F65B30">
              <w:rPr>
                <w:lang w:eastAsia="fr-CA"/>
              </w:rPr>
              <w:t xml:space="preserve">                       </w:t>
            </w:r>
            <w:r>
              <w:rPr>
                <w:lang w:eastAsia="fr-CA"/>
              </w:rPr>
              <w:t>(</w:t>
            </w:r>
            <w:r>
              <w:rPr>
                <w:rFonts w:cs="Times New Roman"/>
                <w:lang w:eastAsia="fr-CA"/>
              </w:rPr>
              <w:t>Ø</w:t>
            </w:r>
            <w:r>
              <w:rPr>
                <w:lang w:eastAsia="fr-CA"/>
              </w:rPr>
              <w:t xml:space="preserve"> toujours)</w:t>
            </w:r>
          </w:p>
        </w:tc>
        <w:tc>
          <w:tcPr>
            <w:tcW w:w="2193" w:type="dxa"/>
            <w:gridSpan w:val="2"/>
            <w:tcBorders>
              <w:right w:val="single" w:sz="4" w:space="0" w:color="FFFF00"/>
            </w:tcBorders>
            <w:shd w:val="clear" w:color="auto" w:fill="FFFF00"/>
          </w:tcPr>
          <w:p w:rsidR="008F6737" w:rsidRDefault="008F6737" w:rsidP="0091313F">
            <w:pPr>
              <w:pStyle w:val="Sansinterligne"/>
              <w:numPr>
                <w:ilvl w:val="0"/>
                <w:numId w:val="1478"/>
              </w:numPr>
              <w:rPr>
                <w:lang w:eastAsia="fr-CA"/>
              </w:rPr>
            </w:pPr>
            <w:r>
              <w:rPr>
                <w:lang w:eastAsia="fr-CA"/>
              </w:rPr>
              <w:t>Altération de conscience</w:t>
            </w:r>
          </w:p>
          <w:p w:rsidR="008F6737" w:rsidRDefault="008F6737" w:rsidP="0091313F">
            <w:pPr>
              <w:pStyle w:val="Sansinterligne"/>
              <w:numPr>
                <w:ilvl w:val="0"/>
                <w:numId w:val="1478"/>
              </w:numPr>
              <w:rPr>
                <w:lang w:eastAsia="fr-CA"/>
              </w:rPr>
            </w:pPr>
            <w:r>
              <w:rPr>
                <w:lang w:eastAsia="fr-CA"/>
              </w:rPr>
              <w:t>Acouphènes</w:t>
            </w:r>
          </w:p>
        </w:tc>
        <w:tc>
          <w:tcPr>
            <w:tcW w:w="2194" w:type="dxa"/>
            <w:tcBorders>
              <w:left w:val="single" w:sz="4" w:space="0" w:color="FFFF00"/>
            </w:tcBorders>
            <w:shd w:val="clear" w:color="auto" w:fill="FFFF00"/>
          </w:tcPr>
          <w:p w:rsidR="008F6737" w:rsidRDefault="008F6737" w:rsidP="0091313F">
            <w:pPr>
              <w:pStyle w:val="Sansinterligne"/>
              <w:numPr>
                <w:ilvl w:val="0"/>
                <w:numId w:val="1478"/>
              </w:numPr>
              <w:rPr>
                <w:lang w:eastAsia="fr-CA"/>
              </w:rPr>
            </w:pPr>
            <w:r>
              <w:rPr>
                <w:lang w:eastAsia="fr-CA"/>
              </w:rPr>
              <w:t>No/Vo</w:t>
            </w:r>
          </w:p>
          <w:p w:rsidR="008F6737" w:rsidRPr="008F6737" w:rsidRDefault="008F6737" w:rsidP="0091313F">
            <w:pPr>
              <w:pStyle w:val="Sansinterligne"/>
              <w:numPr>
                <w:ilvl w:val="0"/>
                <w:numId w:val="1478"/>
              </w:numPr>
              <w:rPr>
                <w:b/>
                <w:lang w:eastAsia="fr-CA"/>
              </w:rPr>
            </w:pPr>
            <w:r w:rsidRPr="008F6737">
              <w:rPr>
                <w:b/>
                <w:lang w:eastAsia="fr-CA"/>
              </w:rPr>
              <w:t>Hypoglycémie</w:t>
            </w:r>
            <w:r>
              <w:rPr>
                <w:b/>
                <w:lang w:eastAsia="fr-CA"/>
              </w:rPr>
              <w:t>/ neuroglycopénie</w:t>
            </w:r>
          </w:p>
        </w:tc>
      </w:tr>
      <w:tr w:rsidR="008F6737" w:rsidTr="00F65B30">
        <w:tc>
          <w:tcPr>
            <w:tcW w:w="1951" w:type="dxa"/>
            <w:shd w:val="clear" w:color="auto" w:fill="C4BC96" w:themeFill="background2" w:themeFillShade="BF"/>
            <w:vAlign w:val="center"/>
          </w:tcPr>
          <w:p w:rsidR="008F6737" w:rsidRDefault="008F6737" w:rsidP="00CA410A">
            <w:pPr>
              <w:pStyle w:val="Sansinterligne"/>
              <w:jc w:val="center"/>
              <w:rPr>
                <w:lang w:eastAsia="fr-CA"/>
              </w:rPr>
            </w:pPr>
            <w:r>
              <w:rPr>
                <w:lang w:eastAsia="fr-CA"/>
              </w:rPr>
              <w:t>Acétaminophène</w:t>
            </w:r>
          </w:p>
        </w:tc>
        <w:tc>
          <w:tcPr>
            <w:tcW w:w="2126" w:type="dxa"/>
          </w:tcPr>
          <w:p w:rsidR="008F6737" w:rsidRDefault="008F6737" w:rsidP="008947D9">
            <w:pPr>
              <w:pStyle w:val="Sansinterligne"/>
              <w:rPr>
                <w:lang w:eastAsia="fr-CA"/>
              </w:rPr>
            </w:pPr>
            <w:r>
              <w:rPr>
                <w:lang w:eastAsia="fr-CA"/>
              </w:rPr>
              <w:t>Acétaminophène</w:t>
            </w:r>
          </w:p>
          <w:p w:rsidR="008F6737" w:rsidRDefault="008F6737" w:rsidP="008947D9">
            <w:pPr>
              <w:pStyle w:val="Sansinterligne"/>
              <w:rPr>
                <w:lang w:eastAsia="fr-CA"/>
              </w:rPr>
            </w:pPr>
            <w:r>
              <w:rPr>
                <w:lang w:eastAsia="fr-CA"/>
              </w:rPr>
              <w:t>Sirops avec acéta.</w:t>
            </w:r>
          </w:p>
        </w:tc>
        <w:tc>
          <w:tcPr>
            <w:tcW w:w="2552" w:type="dxa"/>
            <w:gridSpan w:val="3"/>
          </w:tcPr>
          <w:p w:rsidR="008F6737" w:rsidRDefault="00E64703" w:rsidP="008947D9">
            <w:pPr>
              <w:pStyle w:val="Sansinterligne"/>
              <w:rPr>
                <w:lang w:eastAsia="fr-CA"/>
              </w:rPr>
            </w:pPr>
            <w:r>
              <w:rPr>
                <w:lang w:eastAsia="fr-CA"/>
              </w:rPr>
              <w:t>Non-spécifique</w:t>
            </w:r>
          </w:p>
        </w:tc>
        <w:tc>
          <w:tcPr>
            <w:tcW w:w="2193" w:type="dxa"/>
            <w:gridSpan w:val="2"/>
            <w:tcBorders>
              <w:right w:val="single" w:sz="4" w:space="0" w:color="FFFFFF" w:themeColor="background1"/>
            </w:tcBorders>
          </w:tcPr>
          <w:p w:rsidR="008F6737" w:rsidRDefault="00CE6626" w:rsidP="0091313F">
            <w:pPr>
              <w:pStyle w:val="Sansinterligne"/>
              <w:numPr>
                <w:ilvl w:val="0"/>
                <w:numId w:val="1478"/>
              </w:numPr>
              <w:rPr>
                <w:lang w:eastAsia="fr-CA"/>
              </w:rPr>
            </w:pPr>
            <w:r>
              <w:rPr>
                <w:lang w:eastAsia="fr-CA"/>
              </w:rPr>
              <w:t>No/Vo</w:t>
            </w:r>
          </w:p>
          <w:p w:rsidR="00CE6626" w:rsidRDefault="00CE6626" w:rsidP="0091313F">
            <w:pPr>
              <w:pStyle w:val="Sansinterligne"/>
              <w:numPr>
                <w:ilvl w:val="0"/>
                <w:numId w:val="1478"/>
              </w:numPr>
              <w:rPr>
                <w:lang w:eastAsia="fr-CA"/>
              </w:rPr>
            </w:pPr>
            <w:r>
              <w:rPr>
                <w:lang w:eastAsia="fr-CA"/>
              </w:rPr>
              <w:t>Diaphorèse</w:t>
            </w:r>
          </w:p>
          <w:p w:rsidR="00CE6626" w:rsidRDefault="00CE6626" w:rsidP="0091313F">
            <w:pPr>
              <w:pStyle w:val="Sansinterligne"/>
              <w:numPr>
                <w:ilvl w:val="0"/>
                <w:numId w:val="1478"/>
              </w:numPr>
              <w:rPr>
                <w:lang w:eastAsia="fr-CA"/>
              </w:rPr>
            </w:pPr>
            <w:r>
              <w:rPr>
                <w:lang w:eastAsia="fr-CA"/>
              </w:rPr>
              <w:t>Ictère</w:t>
            </w:r>
          </w:p>
        </w:tc>
        <w:tc>
          <w:tcPr>
            <w:tcW w:w="2194" w:type="dxa"/>
            <w:tcBorders>
              <w:left w:val="single" w:sz="4" w:space="0" w:color="FFFFFF" w:themeColor="background1"/>
            </w:tcBorders>
          </w:tcPr>
          <w:p w:rsidR="00CE6626" w:rsidRDefault="00CE6626" w:rsidP="0091313F">
            <w:pPr>
              <w:pStyle w:val="Sansinterligne"/>
              <w:numPr>
                <w:ilvl w:val="0"/>
                <w:numId w:val="1478"/>
              </w:numPr>
              <w:rPr>
                <w:lang w:eastAsia="fr-CA"/>
              </w:rPr>
            </w:pPr>
            <w:r>
              <w:rPr>
                <w:lang w:eastAsia="fr-CA"/>
              </w:rPr>
              <w:t>Léthargie</w:t>
            </w:r>
          </w:p>
          <w:p w:rsidR="00CE6626" w:rsidRDefault="00CE6626" w:rsidP="0091313F">
            <w:pPr>
              <w:pStyle w:val="Sansinterligne"/>
              <w:numPr>
                <w:ilvl w:val="0"/>
                <w:numId w:val="1478"/>
              </w:numPr>
              <w:rPr>
                <w:lang w:eastAsia="fr-CA"/>
              </w:rPr>
            </w:pPr>
            <w:r>
              <w:rPr>
                <w:lang w:eastAsia="fr-CA"/>
              </w:rPr>
              <w:t>Altération de conscience</w:t>
            </w:r>
          </w:p>
        </w:tc>
      </w:tr>
      <w:tr w:rsidR="008F6737" w:rsidTr="00F65B30">
        <w:tc>
          <w:tcPr>
            <w:tcW w:w="1951" w:type="dxa"/>
            <w:shd w:val="clear" w:color="auto" w:fill="C4BC96" w:themeFill="background2" w:themeFillShade="BF"/>
            <w:vAlign w:val="center"/>
          </w:tcPr>
          <w:p w:rsidR="008F6737" w:rsidRDefault="008F6737" w:rsidP="00CA410A">
            <w:pPr>
              <w:pStyle w:val="Sansinterligne"/>
              <w:jc w:val="center"/>
              <w:rPr>
                <w:lang w:eastAsia="fr-CA"/>
              </w:rPr>
            </w:pPr>
            <w:r>
              <w:rPr>
                <w:lang w:eastAsia="fr-CA"/>
              </w:rPr>
              <w:t>Digitalique</w:t>
            </w:r>
          </w:p>
        </w:tc>
        <w:tc>
          <w:tcPr>
            <w:tcW w:w="2126" w:type="dxa"/>
          </w:tcPr>
          <w:p w:rsidR="008F6737" w:rsidRDefault="008F6737" w:rsidP="008947D9">
            <w:pPr>
              <w:pStyle w:val="Sansinterligne"/>
              <w:rPr>
                <w:lang w:eastAsia="fr-CA"/>
              </w:rPr>
            </w:pPr>
            <w:r>
              <w:rPr>
                <w:lang w:eastAsia="fr-CA"/>
              </w:rPr>
              <w:t>Digitale / digoxine</w:t>
            </w:r>
          </w:p>
        </w:tc>
        <w:tc>
          <w:tcPr>
            <w:tcW w:w="2552" w:type="dxa"/>
            <w:gridSpan w:val="3"/>
          </w:tcPr>
          <w:p w:rsidR="008F6737" w:rsidRDefault="00E64703" w:rsidP="008947D9">
            <w:pPr>
              <w:pStyle w:val="Sansinterligne"/>
              <w:rPr>
                <w:lang w:eastAsia="fr-CA"/>
              </w:rPr>
            </w:pPr>
            <w:r>
              <w:rPr>
                <w:lang w:eastAsia="fr-CA"/>
              </w:rPr>
              <w:t>Bradycardie</w:t>
            </w:r>
          </w:p>
        </w:tc>
        <w:tc>
          <w:tcPr>
            <w:tcW w:w="2193" w:type="dxa"/>
            <w:gridSpan w:val="2"/>
            <w:tcBorders>
              <w:right w:val="single" w:sz="4" w:space="0" w:color="FFFFFF" w:themeColor="background1"/>
            </w:tcBorders>
          </w:tcPr>
          <w:p w:rsidR="008F6737" w:rsidRDefault="00E64703" w:rsidP="0091313F">
            <w:pPr>
              <w:pStyle w:val="Sansinterligne"/>
              <w:numPr>
                <w:ilvl w:val="0"/>
                <w:numId w:val="1478"/>
              </w:numPr>
              <w:rPr>
                <w:lang w:eastAsia="fr-CA"/>
              </w:rPr>
            </w:pPr>
            <w:r>
              <w:rPr>
                <w:lang w:eastAsia="fr-CA"/>
              </w:rPr>
              <w:t>No/Vo</w:t>
            </w:r>
            <w:r w:rsidR="004D3E52">
              <w:rPr>
                <w:lang w:eastAsia="fr-CA"/>
              </w:rPr>
              <w:t>, anorexie</w:t>
            </w:r>
          </w:p>
          <w:p w:rsidR="00E64703" w:rsidRDefault="004D3E52" w:rsidP="0091313F">
            <w:pPr>
              <w:pStyle w:val="Sansinterligne"/>
              <w:numPr>
                <w:ilvl w:val="0"/>
                <w:numId w:val="1478"/>
              </w:numPr>
              <w:rPr>
                <w:lang w:eastAsia="fr-CA"/>
              </w:rPr>
            </w:pPr>
            <w:r>
              <w:rPr>
                <w:lang w:eastAsia="fr-CA"/>
              </w:rPr>
              <w:t>Altération de conscience</w:t>
            </w:r>
          </w:p>
        </w:tc>
        <w:tc>
          <w:tcPr>
            <w:tcW w:w="2194" w:type="dxa"/>
            <w:tcBorders>
              <w:left w:val="single" w:sz="4" w:space="0" w:color="FFFFFF" w:themeColor="background1"/>
            </w:tcBorders>
          </w:tcPr>
          <w:p w:rsidR="008F6737" w:rsidRDefault="00E64703" w:rsidP="0091313F">
            <w:pPr>
              <w:pStyle w:val="Sansinterligne"/>
              <w:numPr>
                <w:ilvl w:val="0"/>
                <w:numId w:val="1478"/>
              </w:numPr>
              <w:rPr>
                <w:lang w:eastAsia="fr-CA"/>
              </w:rPr>
            </w:pPr>
            <w:r>
              <w:rPr>
                <w:lang w:eastAsia="fr-CA"/>
              </w:rPr>
              <w:t>Douleur abdominale</w:t>
            </w:r>
          </w:p>
          <w:p w:rsidR="00E64703" w:rsidRDefault="00E64703" w:rsidP="0091313F">
            <w:pPr>
              <w:pStyle w:val="Sansinterligne"/>
              <w:numPr>
                <w:ilvl w:val="0"/>
                <w:numId w:val="1478"/>
              </w:numPr>
              <w:rPr>
                <w:lang w:eastAsia="fr-CA"/>
              </w:rPr>
            </w:pPr>
            <w:r>
              <w:rPr>
                <w:lang w:eastAsia="fr-CA"/>
              </w:rPr>
              <w:t>Arythmies</w:t>
            </w:r>
          </w:p>
        </w:tc>
      </w:tr>
      <w:tr w:rsidR="008F6737" w:rsidTr="00F65B30">
        <w:tc>
          <w:tcPr>
            <w:tcW w:w="1951" w:type="dxa"/>
            <w:shd w:val="clear" w:color="auto" w:fill="C4BC96" w:themeFill="background2" w:themeFillShade="BF"/>
            <w:vAlign w:val="center"/>
          </w:tcPr>
          <w:p w:rsidR="008F6737" w:rsidRDefault="008F6737" w:rsidP="00CA410A">
            <w:pPr>
              <w:pStyle w:val="Sansinterligne"/>
              <w:jc w:val="center"/>
              <w:rPr>
                <w:lang w:eastAsia="fr-CA"/>
              </w:rPr>
            </w:pPr>
            <w:r>
              <w:rPr>
                <w:lang w:eastAsia="fr-CA"/>
              </w:rPr>
              <w:t>Opiacés</w:t>
            </w:r>
          </w:p>
        </w:tc>
        <w:tc>
          <w:tcPr>
            <w:tcW w:w="2126" w:type="dxa"/>
            <w:shd w:val="clear" w:color="auto" w:fill="FFFF00"/>
          </w:tcPr>
          <w:p w:rsidR="008F6737" w:rsidRDefault="008F6737" w:rsidP="008947D9">
            <w:pPr>
              <w:pStyle w:val="Sansinterligne"/>
              <w:rPr>
                <w:lang w:eastAsia="fr-CA"/>
              </w:rPr>
            </w:pPr>
            <w:r>
              <w:rPr>
                <w:lang w:eastAsia="fr-CA"/>
              </w:rPr>
              <w:t>Héroïne</w:t>
            </w:r>
          </w:p>
          <w:p w:rsidR="008F6737" w:rsidRDefault="00CC61C4" w:rsidP="008947D9">
            <w:pPr>
              <w:pStyle w:val="Sansinterligne"/>
              <w:rPr>
                <w:lang w:eastAsia="fr-CA"/>
              </w:rPr>
            </w:pPr>
            <w:r>
              <w:rPr>
                <w:lang w:eastAsia="fr-CA"/>
              </w:rPr>
              <w:t>Morphine</w:t>
            </w:r>
          </w:p>
          <w:p w:rsidR="008F6737" w:rsidRDefault="008F6737" w:rsidP="008947D9">
            <w:pPr>
              <w:pStyle w:val="Sansinterligne"/>
              <w:rPr>
                <w:lang w:eastAsia="fr-CA"/>
              </w:rPr>
            </w:pPr>
            <w:r>
              <w:rPr>
                <w:lang w:eastAsia="fr-CA"/>
              </w:rPr>
              <w:t>Hydromorphone</w:t>
            </w:r>
          </w:p>
          <w:p w:rsidR="008F6737" w:rsidRDefault="008F6737" w:rsidP="008947D9">
            <w:pPr>
              <w:pStyle w:val="Sansinterligne"/>
              <w:rPr>
                <w:lang w:eastAsia="fr-CA"/>
              </w:rPr>
            </w:pPr>
            <w:r>
              <w:rPr>
                <w:lang w:eastAsia="fr-CA"/>
              </w:rPr>
              <w:t>Méthadone …</w:t>
            </w:r>
          </w:p>
        </w:tc>
        <w:tc>
          <w:tcPr>
            <w:tcW w:w="2552" w:type="dxa"/>
            <w:gridSpan w:val="3"/>
            <w:shd w:val="clear" w:color="auto" w:fill="FFFF00"/>
          </w:tcPr>
          <w:p w:rsidR="008F6737" w:rsidRPr="00B74E14" w:rsidRDefault="00B525AE" w:rsidP="008947D9">
            <w:pPr>
              <w:pStyle w:val="Sansinterligne"/>
              <w:rPr>
                <w:b/>
                <w:lang w:eastAsia="fr-CA"/>
              </w:rPr>
            </w:pPr>
            <w:r w:rsidRPr="00B74E14">
              <w:rPr>
                <w:b/>
                <w:lang w:eastAsia="fr-CA"/>
              </w:rPr>
              <w:t>Bradycardie</w:t>
            </w:r>
          </w:p>
          <w:p w:rsidR="00B525AE" w:rsidRPr="00B74E14" w:rsidRDefault="00B525AE" w:rsidP="008947D9">
            <w:pPr>
              <w:pStyle w:val="Sansinterligne"/>
              <w:rPr>
                <w:b/>
                <w:lang w:eastAsia="fr-CA"/>
              </w:rPr>
            </w:pPr>
            <w:r w:rsidRPr="00B74E14">
              <w:rPr>
                <w:b/>
                <w:lang w:eastAsia="fr-CA"/>
              </w:rPr>
              <w:t>Hypotension</w:t>
            </w:r>
          </w:p>
          <w:p w:rsidR="00B525AE" w:rsidRPr="00B74E14" w:rsidRDefault="00B525AE" w:rsidP="008947D9">
            <w:pPr>
              <w:pStyle w:val="Sansinterligne"/>
              <w:rPr>
                <w:b/>
                <w:lang w:eastAsia="fr-CA"/>
              </w:rPr>
            </w:pPr>
            <w:r w:rsidRPr="00B74E14">
              <w:rPr>
                <w:b/>
                <w:lang w:eastAsia="fr-CA"/>
              </w:rPr>
              <w:t>Bradypnée</w:t>
            </w:r>
          </w:p>
          <w:p w:rsidR="00B525AE" w:rsidRPr="00B74E14" w:rsidRDefault="00B525AE" w:rsidP="00B525AE">
            <w:pPr>
              <w:pStyle w:val="Sansinterligne"/>
              <w:rPr>
                <w:b/>
                <w:lang w:eastAsia="fr-CA"/>
              </w:rPr>
            </w:pPr>
            <w:r w:rsidRPr="00B74E14">
              <w:rPr>
                <w:b/>
                <w:lang w:eastAsia="fr-CA"/>
              </w:rPr>
              <w:t>Hypothermie</w:t>
            </w:r>
          </w:p>
        </w:tc>
        <w:tc>
          <w:tcPr>
            <w:tcW w:w="2193" w:type="dxa"/>
            <w:gridSpan w:val="2"/>
            <w:tcBorders>
              <w:right w:val="single" w:sz="4" w:space="0" w:color="FFFF00"/>
            </w:tcBorders>
            <w:shd w:val="clear" w:color="auto" w:fill="FFFF00"/>
          </w:tcPr>
          <w:p w:rsidR="008F6737" w:rsidRPr="00980068" w:rsidRDefault="00B525AE" w:rsidP="0091313F">
            <w:pPr>
              <w:pStyle w:val="Sansinterligne"/>
              <w:numPr>
                <w:ilvl w:val="0"/>
                <w:numId w:val="1478"/>
              </w:numPr>
              <w:rPr>
                <w:b/>
                <w:lang w:eastAsia="fr-CA"/>
              </w:rPr>
            </w:pPr>
            <w:r w:rsidRPr="00980068">
              <w:rPr>
                <w:b/>
                <w:lang w:eastAsia="fr-CA"/>
              </w:rPr>
              <w:t>Myosis</w:t>
            </w:r>
          </w:p>
          <w:p w:rsidR="00B525AE" w:rsidRDefault="00B525AE" w:rsidP="0091313F">
            <w:pPr>
              <w:pStyle w:val="Sansinterligne"/>
              <w:numPr>
                <w:ilvl w:val="0"/>
                <w:numId w:val="1478"/>
              </w:numPr>
              <w:rPr>
                <w:lang w:eastAsia="fr-CA"/>
              </w:rPr>
            </w:pPr>
            <w:r>
              <w:rPr>
                <w:lang w:eastAsia="fr-CA"/>
              </w:rPr>
              <w:t>Hyporéflexie</w:t>
            </w:r>
          </w:p>
          <w:p w:rsidR="00B525AE" w:rsidRDefault="00370DBA" w:rsidP="0091313F">
            <w:pPr>
              <w:pStyle w:val="Sansinterligne"/>
              <w:numPr>
                <w:ilvl w:val="0"/>
                <w:numId w:val="1478"/>
              </w:numPr>
              <w:rPr>
                <w:lang w:eastAsia="fr-CA"/>
              </w:rPr>
            </w:pPr>
            <w:r>
              <w:rPr>
                <w:lang w:eastAsia="fr-CA"/>
              </w:rPr>
              <w:t xml:space="preserve">Stupeur </w:t>
            </w:r>
            <w:r>
              <w:rPr>
                <w:rFonts w:ascii="Century Gothic" w:hAnsi="Century Gothic"/>
                <w:lang w:eastAsia="fr-CA"/>
              </w:rPr>
              <w:t>→</w:t>
            </w:r>
            <w:r>
              <w:rPr>
                <w:lang w:eastAsia="fr-CA"/>
              </w:rPr>
              <w:t xml:space="preserve"> coma</w:t>
            </w:r>
          </w:p>
        </w:tc>
        <w:tc>
          <w:tcPr>
            <w:tcW w:w="2194" w:type="dxa"/>
            <w:tcBorders>
              <w:left w:val="single" w:sz="4" w:space="0" w:color="FFFF00"/>
            </w:tcBorders>
            <w:shd w:val="clear" w:color="auto" w:fill="FFFF00"/>
          </w:tcPr>
          <w:p w:rsidR="00B525AE" w:rsidRPr="00980068" w:rsidRDefault="00B525AE" w:rsidP="0091313F">
            <w:pPr>
              <w:pStyle w:val="Sansinterligne"/>
              <w:numPr>
                <w:ilvl w:val="0"/>
                <w:numId w:val="1478"/>
              </w:numPr>
              <w:rPr>
                <w:b/>
                <w:lang w:eastAsia="fr-CA"/>
              </w:rPr>
            </w:pPr>
            <w:r w:rsidRPr="00980068">
              <w:rPr>
                <w:b/>
                <w:lang w:eastAsia="fr-CA"/>
              </w:rPr>
              <w:t>Dépression respiratoire</w:t>
            </w:r>
          </w:p>
          <w:p w:rsidR="008F6737" w:rsidRDefault="00B525AE" w:rsidP="0091313F">
            <w:pPr>
              <w:pStyle w:val="Sansinterligne"/>
              <w:numPr>
                <w:ilvl w:val="0"/>
                <w:numId w:val="1478"/>
              </w:numPr>
              <w:rPr>
                <w:lang w:eastAsia="fr-CA"/>
              </w:rPr>
            </w:pPr>
            <w:r>
              <w:rPr>
                <w:lang w:eastAsia="fr-CA"/>
              </w:rPr>
              <w:t>Apnée</w:t>
            </w:r>
          </w:p>
        </w:tc>
      </w:tr>
      <w:tr w:rsidR="008F6737" w:rsidTr="00F65B30">
        <w:tc>
          <w:tcPr>
            <w:tcW w:w="1951" w:type="dxa"/>
            <w:shd w:val="clear" w:color="auto" w:fill="C4BC96" w:themeFill="background2" w:themeFillShade="BF"/>
            <w:vAlign w:val="center"/>
          </w:tcPr>
          <w:p w:rsidR="008F6737" w:rsidRDefault="008F6737" w:rsidP="00CA410A">
            <w:pPr>
              <w:pStyle w:val="Sansinterligne"/>
              <w:jc w:val="center"/>
              <w:rPr>
                <w:lang w:eastAsia="fr-CA"/>
              </w:rPr>
            </w:pPr>
            <w:r>
              <w:rPr>
                <w:lang w:eastAsia="fr-CA"/>
              </w:rPr>
              <w:t>Sédatifs</w:t>
            </w:r>
          </w:p>
        </w:tc>
        <w:tc>
          <w:tcPr>
            <w:tcW w:w="2126" w:type="dxa"/>
          </w:tcPr>
          <w:p w:rsidR="008F6737" w:rsidRDefault="008F6737" w:rsidP="008947D9">
            <w:pPr>
              <w:pStyle w:val="Sansinterligne"/>
              <w:rPr>
                <w:lang w:eastAsia="fr-CA"/>
              </w:rPr>
            </w:pPr>
            <w:r>
              <w:rPr>
                <w:lang w:eastAsia="fr-CA"/>
              </w:rPr>
              <w:t>Alcool</w:t>
            </w:r>
          </w:p>
          <w:p w:rsidR="008F6737" w:rsidRDefault="008F6737" w:rsidP="008947D9">
            <w:pPr>
              <w:pStyle w:val="Sansinterligne"/>
              <w:rPr>
                <w:lang w:eastAsia="fr-CA"/>
              </w:rPr>
            </w:pPr>
            <w:r>
              <w:rPr>
                <w:lang w:eastAsia="fr-CA"/>
              </w:rPr>
              <w:t>Benzodiazépines</w:t>
            </w:r>
          </w:p>
          <w:p w:rsidR="00980068" w:rsidRDefault="00980068" w:rsidP="008947D9">
            <w:pPr>
              <w:pStyle w:val="Sansinterligne"/>
              <w:rPr>
                <w:lang w:eastAsia="fr-CA"/>
              </w:rPr>
            </w:pPr>
            <w:r>
              <w:rPr>
                <w:lang w:eastAsia="fr-CA"/>
              </w:rPr>
              <w:t>Barbituriques</w:t>
            </w:r>
          </w:p>
          <w:p w:rsidR="00980068" w:rsidRDefault="00980068" w:rsidP="008947D9">
            <w:pPr>
              <w:pStyle w:val="Sansinterligne"/>
              <w:rPr>
                <w:lang w:eastAsia="fr-CA"/>
              </w:rPr>
            </w:pPr>
            <w:r>
              <w:rPr>
                <w:lang w:eastAsia="fr-CA"/>
              </w:rPr>
              <w:t>Zolpidem</w:t>
            </w:r>
          </w:p>
        </w:tc>
        <w:tc>
          <w:tcPr>
            <w:tcW w:w="2552" w:type="dxa"/>
            <w:gridSpan w:val="3"/>
          </w:tcPr>
          <w:p w:rsidR="00980068" w:rsidRPr="00B74E14" w:rsidRDefault="00980068" w:rsidP="00980068">
            <w:pPr>
              <w:pStyle w:val="Sansinterligne"/>
              <w:rPr>
                <w:b/>
                <w:lang w:eastAsia="fr-CA"/>
              </w:rPr>
            </w:pPr>
            <w:r w:rsidRPr="00B74E14">
              <w:rPr>
                <w:b/>
                <w:lang w:eastAsia="fr-CA"/>
              </w:rPr>
              <w:t>Bradycardie</w:t>
            </w:r>
          </w:p>
          <w:p w:rsidR="00980068" w:rsidRPr="00B74E14" w:rsidRDefault="00980068" w:rsidP="00980068">
            <w:pPr>
              <w:pStyle w:val="Sansinterligne"/>
              <w:rPr>
                <w:b/>
                <w:lang w:eastAsia="fr-CA"/>
              </w:rPr>
            </w:pPr>
            <w:r w:rsidRPr="00B74E14">
              <w:rPr>
                <w:b/>
                <w:lang w:eastAsia="fr-CA"/>
              </w:rPr>
              <w:t>Hypotension</w:t>
            </w:r>
          </w:p>
          <w:p w:rsidR="00980068" w:rsidRPr="00B74E14" w:rsidRDefault="00980068" w:rsidP="00980068">
            <w:pPr>
              <w:pStyle w:val="Sansinterligne"/>
              <w:rPr>
                <w:b/>
                <w:lang w:eastAsia="fr-CA"/>
              </w:rPr>
            </w:pPr>
            <w:r w:rsidRPr="00B74E14">
              <w:rPr>
                <w:b/>
                <w:lang w:eastAsia="fr-CA"/>
              </w:rPr>
              <w:t>Bradypnée</w:t>
            </w:r>
          </w:p>
          <w:p w:rsidR="008F6737" w:rsidRPr="00B74E14" w:rsidRDefault="00980068" w:rsidP="00980068">
            <w:pPr>
              <w:pStyle w:val="Sansinterligne"/>
              <w:rPr>
                <w:b/>
                <w:lang w:eastAsia="fr-CA"/>
              </w:rPr>
            </w:pPr>
            <w:r w:rsidRPr="00B74E14">
              <w:rPr>
                <w:b/>
                <w:lang w:eastAsia="fr-CA"/>
              </w:rPr>
              <w:t>Hypothermie</w:t>
            </w:r>
          </w:p>
        </w:tc>
        <w:tc>
          <w:tcPr>
            <w:tcW w:w="2193" w:type="dxa"/>
            <w:gridSpan w:val="2"/>
            <w:tcBorders>
              <w:right w:val="single" w:sz="4" w:space="0" w:color="FFFFFF" w:themeColor="background1"/>
            </w:tcBorders>
          </w:tcPr>
          <w:p w:rsidR="00A67457" w:rsidRDefault="00A67457" w:rsidP="0091313F">
            <w:pPr>
              <w:pStyle w:val="Sansinterligne"/>
              <w:numPr>
                <w:ilvl w:val="0"/>
                <w:numId w:val="1478"/>
              </w:numPr>
              <w:rPr>
                <w:lang w:eastAsia="fr-CA"/>
              </w:rPr>
            </w:pPr>
            <w:r>
              <w:rPr>
                <w:lang w:eastAsia="fr-CA"/>
              </w:rPr>
              <w:t>Altération de l’état de conscience</w:t>
            </w:r>
          </w:p>
          <w:p w:rsidR="00495F50" w:rsidRPr="00CC61C4" w:rsidRDefault="00495F50" w:rsidP="0091313F">
            <w:pPr>
              <w:pStyle w:val="Sansinterligne"/>
              <w:numPr>
                <w:ilvl w:val="0"/>
                <w:numId w:val="1478"/>
              </w:numPr>
              <w:rPr>
                <w:b/>
                <w:lang w:eastAsia="fr-CA"/>
              </w:rPr>
            </w:pPr>
            <w:r w:rsidRPr="00CC61C4">
              <w:rPr>
                <w:b/>
                <w:lang w:eastAsia="fr-CA"/>
              </w:rPr>
              <w:t>Ataxie</w:t>
            </w:r>
          </w:p>
        </w:tc>
        <w:tc>
          <w:tcPr>
            <w:tcW w:w="2194" w:type="dxa"/>
            <w:tcBorders>
              <w:left w:val="single" w:sz="4" w:space="0" w:color="FFFFFF" w:themeColor="background1"/>
            </w:tcBorders>
          </w:tcPr>
          <w:p w:rsidR="00A67457" w:rsidRDefault="00A67457" w:rsidP="0091313F">
            <w:pPr>
              <w:pStyle w:val="Sansinterligne"/>
              <w:numPr>
                <w:ilvl w:val="0"/>
                <w:numId w:val="1478"/>
              </w:numPr>
              <w:rPr>
                <w:lang w:eastAsia="fr-CA"/>
              </w:rPr>
            </w:pPr>
            <w:r>
              <w:rPr>
                <w:lang w:eastAsia="fr-CA"/>
              </w:rPr>
              <w:t>Hyporéflexie</w:t>
            </w:r>
          </w:p>
          <w:p w:rsidR="00A67457" w:rsidRDefault="00A67457" w:rsidP="0091313F">
            <w:pPr>
              <w:pStyle w:val="Sansinterligne"/>
              <w:numPr>
                <w:ilvl w:val="0"/>
                <w:numId w:val="1478"/>
              </w:numPr>
              <w:rPr>
                <w:lang w:eastAsia="fr-CA"/>
              </w:rPr>
            </w:pPr>
            <w:r>
              <w:rPr>
                <w:lang w:eastAsia="fr-CA"/>
              </w:rPr>
              <w:t>Haleine éthylique           (si éthanol)</w:t>
            </w:r>
          </w:p>
          <w:p w:rsidR="008F6737" w:rsidRDefault="008F6737" w:rsidP="008947D9">
            <w:pPr>
              <w:pStyle w:val="Sansinterligne"/>
              <w:rPr>
                <w:lang w:eastAsia="fr-CA"/>
              </w:rPr>
            </w:pPr>
          </w:p>
        </w:tc>
      </w:tr>
      <w:tr w:rsidR="00F008C6" w:rsidTr="00134DD0">
        <w:tc>
          <w:tcPr>
            <w:tcW w:w="1951" w:type="dxa"/>
            <w:shd w:val="clear" w:color="auto" w:fill="C4BC96" w:themeFill="background2" w:themeFillShade="BF"/>
            <w:vAlign w:val="center"/>
          </w:tcPr>
          <w:p w:rsidR="00F008C6" w:rsidRDefault="00F008C6" w:rsidP="00CA410A">
            <w:pPr>
              <w:pStyle w:val="Sansinterligne"/>
              <w:jc w:val="center"/>
              <w:rPr>
                <w:lang w:eastAsia="fr-CA"/>
              </w:rPr>
            </w:pPr>
            <w:r>
              <w:rPr>
                <w:lang w:eastAsia="fr-CA"/>
              </w:rPr>
              <w:t>Cholinergique</w:t>
            </w:r>
          </w:p>
        </w:tc>
        <w:tc>
          <w:tcPr>
            <w:tcW w:w="2126" w:type="dxa"/>
            <w:shd w:val="clear" w:color="auto" w:fill="FFFF00"/>
          </w:tcPr>
          <w:p w:rsidR="00F008C6" w:rsidRDefault="00F008C6" w:rsidP="008947D9">
            <w:pPr>
              <w:pStyle w:val="Sansinterligne"/>
              <w:rPr>
                <w:lang w:eastAsia="fr-CA"/>
              </w:rPr>
            </w:pPr>
            <w:r>
              <w:rPr>
                <w:lang w:eastAsia="fr-CA"/>
              </w:rPr>
              <w:t>Nicotine</w:t>
            </w:r>
          </w:p>
          <w:p w:rsidR="00F008C6" w:rsidRDefault="00F008C6" w:rsidP="008947D9">
            <w:pPr>
              <w:pStyle w:val="Sansinterligne"/>
              <w:rPr>
                <w:lang w:eastAsia="fr-CA"/>
              </w:rPr>
            </w:pPr>
            <w:r>
              <w:rPr>
                <w:lang w:eastAsia="fr-CA"/>
              </w:rPr>
              <w:t>Pilocarpine</w:t>
            </w:r>
          </w:p>
          <w:p w:rsidR="00F008C6" w:rsidRPr="00F65B30" w:rsidRDefault="00F008C6" w:rsidP="008947D9">
            <w:pPr>
              <w:pStyle w:val="Sansinterligne"/>
              <w:rPr>
                <w:b/>
                <w:lang w:eastAsia="fr-CA"/>
              </w:rPr>
            </w:pPr>
            <w:r w:rsidRPr="00F65B30">
              <w:rPr>
                <w:b/>
                <w:lang w:eastAsia="fr-CA"/>
              </w:rPr>
              <w:t>Organophosphates</w:t>
            </w:r>
          </w:p>
          <w:p w:rsidR="00F008C6" w:rsidRDefault="00F008C6" w:rsidP="008947D9">
            <w:pPr>
              <w:pStyle w:val="Sansinterligne"/>
              <w:rPr>
                <w:lang w:eastAsia="fr-CA"/>
              </w:rPr>
            </w:pPr>
            <w:r w:rsidRPr="00F65B30">
              <w:rPr>
                <w:b/>
                <w:lang w:eastAsia="fr-CA"/>
              </w:rPr>
              <w:t>Insecticides</w:t>
            </w:r>
          </w:p>
        </w:tc>
        <w:tc>
          <w:tcPr>
            <w:tcW w:w="2552" w:type="dxa"/>
            <w:gridSpan w:val="3"/>
            <w:shd w:val="clear" w:color="auto" w:fill="FFFF00"/>
          </w:tcPr>
          <w:p w:rsidR="00F008C6" w:rsidRDefault="00495F50" w:rsidP="008947D9">
            <w:pPr>
              <w:pStyle w:val="Sansinterligne"/>
              <w:rPr>
                <w:lang w:eastAsia="fr-CA"/>
              </w:rPr>
            </w:pPr>
            <w:r>
              <w:rPr>
                <w:lang w:eastAsia="fr-CA"/>
              </w:rPr>
              <w:t>Bradycardie</w:t>
            </w:r>
          </w:p>
          <w:p w:rsidR="00495F50" w:rsidRDefault="00495F50" w:rsidP="008947D9">
            <w:pPr>
              <w:pStyle w:val="Sansinterligne"/>
              <w:rPr>
                <w:lang w:eastAsia="fr-CA"/>
              </w:rPr>
            </w:pPr>
            <w:r>
              <w:rPr>
                <w:lang w:eastAsia="fr-CA"/>
              </w:rPr>
              <w:t>Hypo/Hypertension</w:t>
            </w:r>
          </w:p>
          <w:p w:rsidR="00495F50" w:rsidRDefault="00495F50" w:rsidP="008947D9">
            <w:pPr>
              <w:pStyle w:val="Sansinterligne"/>
              <w:rPr>
                <w:lang w:eastAsia="fr-CA"/>
              </w:rPr>
            </w:pPr>
            <w:r>
              <w:rPr>
                <w:lang w:eastAsia="fr-CA"/>
              </w:rPr>
              <w:t>Brady/tachypnée</w:t>
            </w:r>
          </w:p>
        </w:tc>
        <w:tc>
          <w:tcPr>
            <w:tcW w:w="2193" w:type="dxa"/>
            <w:gridSpan w:val="2"/>
            <w:tcBorders>
              <w:right w:val="single" w:sz="4" w:space="0" w:color="FFFF00"/>
            </w:tcBorders>
            <w:shd w:val="clear" w:color="auto" w:fill="FFFF00"/>
          </w:tcPr>
          <w:p w:rsidR="007533D3" w:rsidRPr="00F65B30" w:rsidRDefault="007533D3" w:rsidP="0091313F">
            <w:pPr>
              <w:pStyle w:val="Sansinterligne"/>
              <w:numPr>
                <w:ilvl w:val="0"/>
                <w:numId w:val="1478"/>
              </w:numPr>
              <w:rPr>
                <w:b/>
                <w:lang w:eastAsia="fr-CA"/>
              </w:rPr>
            </w:pPr>
            <w:r w:rsidRPr="00F65B30">
              <w:rPr>
                <w:b/>
                <w:lang w:eastAsia="fr-CA"/>
              </w:rPr>
              <w:t>Miosis</w:t>
            </w:r>
          </w:p>
          <w:p w:rsidR="00F008C6" w:rsidRPr="00F65B30" w:rsidRDefault="007533D3" w:rsidP="0091313F">
            <w:pPr>
              <w:pStyle w:val="Sansinterligne"/>
              <w:numPr>
                <w:ilvl w:val="0"/>
                <w:numId w:val="1478"/>
              </w:numPr>
              <w:rPr>
                <w:b/>
                <w:lang w:eastAsia="fr-CA"/>
              </w:rPr>
            </w:pPr>
            <w:r w:rsidRPr="00F65B30">
              <w:rPr>
                <w:b/>
                <w:lang w:eastAsia="fr-CA"/>
              </w:rPr>
              <w:t>Hypersialorrhée</w:t>
            </w:r>
          </w:p>
          <w:p w:rsidR="007533D3" w:rsidRDefault="007533D3" w:rsidP="0091313F">
            <w:pPr>
              <w:pStyle w:val="Sansinterligne"/>
              <w:numPr>
                <w:ilvl w:val="0"/>
                <w:numId w:val="1478"/>
              </w:numPr>
              <w:rPr>
                <w:lang w:eastAsia="fr-CA"/>
              </w:rPr>
            </w:pPr>
            <w:r>
              <w:rPr>
                <w:lang w:eastAsia="fr-CA"/>
              </w:rPr>
              <w:t>Diarrhée</w:t>
            </w:r>
          </w:p>
          <w:p w:rsidR="007533D3" w:rsidRPr="00F65B30" w:rsidRDefault="007533D3" w:rsidP="0091313F">
            <w:pPr>
              <w:pStyle w:val="Sansinterligne"/>
              <w:numPr>
                <w:ilvl w:val="0"/>
                <w:numId w:val="1478"/>
              </w:numPr>
              <w:rPr>
                <w:b/>
                <w:lang w:eastAsia="fr-CA"/>
              </w:rPr>
            </w:pPr>
            <w:r w:rsidRPr="00F65B30">
              <w:rPr>
                <w:b/>
                <w:lang w:eastAsia="fr-CA"/>
              </w:rPr>
              <w:t>Incontinence</w:t>
            </w:r>
          </w:p>
        </w:tc>
        <w:tc>
          <w:tcPr>
            <w:tcW w:w="2194" w:type="dxa"/>
            <w:tcBorders>
              <w:left w:val="single" w:sz="4" w:space="0" w:color="FFFF00"/>
            </w:tcBorders>
            <w:shd w:val="clear" w:color="auto" w:fill="FFFF00"/>
          </w:tcPr>
          <w:p w:rsidR="00F008C6" w:rsidRPr="00F65B30" w:rsidRDefault="007533D3" w:rsidP="0091313F">
            <w:pPr>
              <w:pStyle w:val="Sansinterligne"/>
              <w:numPr>
                <w:ilvl w:val="0"/>
                <w:numId w:val="1478"/>
              </w:numPr>
              <w:rPr>
                <w:b/>
                <w:lang w:eastAsia="fr-CA"/>
              </w:rPr>
            </w:pPr>
            <w:r w:rsidRPr="00F65B30">
              <w:rPr>
                <w:b/>
                <w:lang w:eastAsia="fr-CA"/>
              </w:rPr>
              <w:t>Larmoiement</w:t>
            </w:r>
          </w:p>
          <w:p w:rsidR="007533D3" w:rsidRDefault="007533D3" w:rsidP="0091313F">
            <w:pPr>
              <w:pStyle w:val="Sansinterligne"/>
              <w:numPr>
                <w:ilvl w:val="0"/>
                <w:numId w:val="1478"/>
              </w:numPr>
              <w:rPr>
                <w:lang w:eastAsia="fr-CA"/>
              </w:rPr>
            </w:pPr>
            <w:r>
              <w:rPr>
                <w:lang w:eastAsia="fr-CA"/>
              </w:rPr>
              <w:t>Fasciculations</w:t>
            </w:r>
          </w:p>
          <w:p w:rsidR="007533D3" w:rsidRDefault="007533D3" w:rsidP="0091313F">
            <w:pPr>
              <w:pStyle w:val="Sansinterligne"/>
              <w:numPr>
                <w:ilvl w:val="0"/>
                <w:numId w:val="1478"/>
              </w:numPr>
              <w:rPr>
                <w:lang w:eastAsia="fr-CA"/>
              </w:rPr>
            </w:pPr>
            <w:r>
              <w:rPr>
                <w:lang w:eastAsia="fr-CA"/>
              </w:rPr>
              <w:t>Bronchoconstriction</w:t>
            </w:r>
          </w:p>
          <w:p w:rsidR="00134DD0" w:rsidRDefault="00134DD0" w:rsidP="0091313F">
            <w:pPr>
              <w:pStyle w:val="Sansinterligne"/>
              <w:numPr>
                <w:ilvl w:val="0"/>
                <w:numId w:val="1478"/>
              </w:numPr>
              <w:rPr>
                <w:lang w:eastAsia="fr-CA"/>
              </w:rPr>
            </w:pPr>
            <w:r>
              <w:rPr>
                <w:lang w:eastAsia="fr-CA"/>
              </w:rPr>
              <w:t xml:space="preserve">Confusion </w:t>
            </w:r>
            <w:r>
              <w:rPr>
                <w:rFonts w:ascii="Century Gothic" w:hAnsi="Century Gothic"/>
                <w:lang w:eastAsia="fr-CA"/>
              </w:rPr>
              <w:t>→</w:t>
            </w:r>
            <w:r>
              <w:rPr>
                <w:lang w:eastAsia="fr-CA"/>
              </w:rPr>
              <w:t xml:space="preserve"> coma</w:t>
            </w:r>
          </w:p>
        </w:tc>
      </w:tr>
      <w:tr w:rsidR="00F008C6" w:rsidTr="00F65B30">
        <w:tc>
          <w:tcPr>
            <w:tcW w:w="1951" w:type="dxa"/>
            <w:shd w:val="clear" w:color="auto" w:fill="C4BC96" w:themeFill="background2" w:themeFillShade="BF"/>
            <w:vAlign w:val="center"/>
          </w:tcPr>
          <w:p w:rsidR="00F008C6" w:rsidRDefault="00F008C6" w:rsidP="00CA410A">
            <w:pPr>
              <w:pStyle w:val="Sansinterligne"/>
              <w:jc w:val="center"/>
              <w:rPr>
                <w:lang w:eastAsia="fr-CA"/>
              </w:rPr>
            </w:pPr>
            <w:r>
              <w:rPr>
                <w:lang w:eastAsia="fr-CA"/>
              </w:rPr>
              <w:t>Anticholinergique</w:t>
            </w:r>
          </w:p>
        </w:tc>
        <w:tc>
          <w:tcPr>
            <w:tcW w:w="2126" w:type="dxa"/>
          </w:tcPr>
          <w:p w:rsidR="00F008C6" w:rsidRDefault="00B74E14" w:rsidP="008947D9">
            <w:pPr>
              <w:pStyle w:val="Sansinterligne"/>
              <w:rPr>
                <w:lang w:eastAsia="fr-CA"/>
              </w:rPr>
            </w:pPr>
            <w:r>
              <w:rPr>
                <w:lang w:eastAsia="fr-CA"/>
              </w:rPr>
              <w:t>Antidépresseur TCA</w:t>
            </w:r>
          </w:p>
          <w:p w:rsidR="00B74E14" w:rsidRDefault="00B74E14" w:rsidP="008947D9">
            <w:pPr>
              <w:pStyle w:val="Sansinterligne"/>
              <w:rPr>
                <w:lang w:eastAsia="fr-CA"/>
              </w:rPr>
            </w:pPr>
            <w:r>
              <w:rPr>
                <w:lang w:eastAsia="fr-CA"/>
              </w:rPr>
              <w:t>Atropine</w:t>
            </w:r>
          </w:p>
          <w:p w:rsidR="00B74E14" w:rsidRDefault="00B74E14" w:rsidP="008947D9">
            <w:pPr>
              <w:pStyle w:val="Sansinterligne"/>
              <w:rPr>
                <w:lang w:eastAsia="fr-CA"/>
              </w:rPr>
            </w:pPr>
            <w:r>
              <w:rPr>
                <w:lang w:eastAsia="fr-CA"/>
              </w:rPr>
              <w:t>Cyclobenzaprine</w:t>
            </w:r>
          </w:p>
          <w:p w:rsidR="00B74E14" w:rsidRDefault="00B74E14" w:rsidP="008947D9">
            <w:pPr>
              <w:pStyle w:val="Sansinterligne"/>
              <w:rPr>
                <w:lang w:eastAsia="fr-CA"/>
              </w:rPr>
            </w:pPr>
            <w:r>
              <w:rPr>
                <w:lang w:eastAsia="fr-CA"/>
              </w:rPr>
              <w:t xml:space="preserve">Benztropine </w:t>
            </w:r>
          </w:p>
        </w:tc>
        <w:tc>
          <w:tcPr>
            <w:tcW w:w="2552" w:type="dxa"/>
            <w:gridSpan w:val="3"/>
          </w:tcPr>
          <w:p w:rsidR="00F008C6" w:rsidRPr="00B74E14" w:rsidRDefault="00134DD0" w:rsidP="008947D9">
            <w:pPr>
              <w:pStyle w:val="Sansinterligne"/>
              <w:rPr>
                <w:b/>
                <w:lang w:eastAsia="fr-CA"/>
              </w:rPr>
            </w:pPr>
            <w:r w:rsidRPr="00B74E14">
              <w:rPr>
                <w:b/>
                <w:lang w:eastAsia="fr-CA"/>
              </w:rPr>
              <w:t>Tachycardie</w:t>
            </w:r>
          </w:p>
          <w:p w:rsidR="00134DD0" w:rsidRPr="00B74E14" w:rsidRDefault="00134DD0" w:rsidP="008947D9">
            <w:pPr>
              <w:pStyle w:val="Sansinterligne"/>
              <w:rPr>
                <w:b/>
                <w:lang w:eastAsia="fr-CA"/>
              </w:rPr>
            </w:pPr>
            <w:r w:rsidRPr="00B74E14">
              <w:rPr>
                <w:b/>
                <w:lang w:eastAsia="fr-CA"/>
              </w:rPr>
              <w:t>Hypertension</w:t>
            </w:r>
          </w:p>
          <w:p w:rsidR="00134DD0" w:rsidRPr="00B74E14" w:rsidRDefault="00134DD0" w:rsidP="008947D9">
            <w:pPr>
              <w:pStyle w:val="Sansinterligne"/>
              <w:rPr>
                <w:b/>
                <w:lang w:eastAsia="fr-CA"/>
              </w:rPr>
            </w:pPr>
            <w:r w:rsidRPr="00B74E14">
              <w:rPr>
                <w:b/>
                <w:lang w:eastAsia="fr-CA"/>
              </w:rPr>
              <w:t>Tachypnée</w:t>
            </w:r>
          </w:p>
          <w:p w:rsidR="00134DD0" w:rsidRDefault="00134DD0" w:rsidP="008947D9">
            <w:pPr>
              <w:pStyle w:val="Sansinterligne"/>
              <w:rPr>
                <w:lang w:eastAsia="fr-CA"/>
              </w:rPr>
            </w:pPr>
            <w:r w:rsidRPr="00B74E14">
              <w:rPr>
                <w:b/>
                <w:lang w:eastAsia="fr-CA"/>
              </w:rPr>
              <w:t>Hyperthermie</w:t>
            </w:r>
          </w:p>
        </w:tc>
        <w:tc>
          <w:tcPr>
            <w:tcW w:w="2193" w:type="dxa"/>
            <w:gridSpan w:val="2"/>
          </w:tcPr>
          <w:p w:rsidR="00F008C6" w:rsidRPr="00B74E14" w:rsidRDefault="00134DD0" w:rsidP="0091313F">
            <w:pPr>
              <w:pStyle w:val="Sansinterligne"/>
              <w:numPr>
                <w:ilvl w:val="0"/>
                <w:numId w:val="1478"/>
              </w:numPr>
              <w:rPr>
                <w:b/>
                <w:lang w:eastAsia="fr-CA"/>
              </w:rPr>
            </w:pPr>
            <w:r w:rsidRPr="00B74E14">
              <w:rPr>
                <w:b/>
                <w:lang w:eastAsia="fr-CA"/>
              </w:rPr>
              <w:t>Mydriase</w:t>
            </w:r>
          </w:p>
          <w:p w:rsidR="00134DD0" w:rsidRPr="00EC24CE" w:rsidRDefault="00134DD0" w:rsidP="0091313F">
            <w:pPr>
              <w:pStyle w:val="Sansinterligne"/>
              <w:numPr>
                <w:ilvl w:val="0"/>
                <w:numId w:val="1478"/>
              </w:numPr>
              <w:rPr>
                <w:lang w:eastAsia="fr-CA"/>
              </w:rPr>
            </w:pPr>
            <w:r w:rsidRPr="00EC24CE">
              <w:rPr>
                <w:lang w:eastAsia="fr-CA"/>
              </w:rPr>
              <w:t>Hypervigilance</w:t>
            </w:r>
          </w:p>
          <w:p w:rsidR="00134DD0" w:rsidRDefault="00134DD0" w:rsidP="0091313F">
            <w:pPr>
              <w:pStyle w:val="Sansinterligne"/>
              <w:numPr>
                <w:ilvl w:val="0"/>
                <w:numId w:val="1478"/>
              </w:numPr>
              <w:rPr>
                <w:lang w:eastAsia="fr-CA"/>
              </w:rPr>
            </w:pPr>
            <w:r w:rsidRPr="00EC24CE">
              <w:rPr>
                <w:lang w:eastAsia="fr-CA"/>
              </w:rPr>
              <w:t>Hallucinations</w:t>
            </w:r>
          </w:p>
        </w:tc>
        <w:tc>
          <w:tcPr>
            <w:tcW w:w="2194" w:type="dxa"/>
          </w:tcPr>
          <w:p w:rsidR="00F008C6" w:rsidRDefault="00134DD0" w:rsidP="0091313F">
            <w:pPr>
              <w:pStyle w:val="Sansinterligne"/>
              <w:numPr>
                <w:ilvl w:val="0"/>
                <w:numId w:val="1478"/>
              </w:numPr>
              <w:rPr>
                <w:lang w:eastAsia="fr-CA"/>
              </w:rPr>
            </w:pPr>
            <w:r>
              <w:rPr>
                <w:lang w:eastAsia="fr-CA"/>
              </w:rPr>
              <w:t>Peau rouge, sèche</w:t>
            </w:r>
          </w:p>
          <w:p w:rsidR="00134DD0" w:rsidRDefault="00134DD0" w:rsidP="0091313F">
            <w:pPr>
              <w:pStyle w:val="Sansinterligne"/>
              <w:numPr>
                <w:ilvl w:val="0"/>
                <w:numId w:val="1478"/>
              </w:numPr>
              <w:rPr>
                <w:lang w:eastAsia="fr-CA"/>
              </w:rPr>
            </w:pPr>
            <w:r>
              <w:rPr>
                <w:lang w:eastAsia="fr-CA"/>
              </w:rPr>
              <w:t>Myoclonies</w:t>
            </w:r>
          </w:p>
          <w:p w:rsidR="00134DD0" w:rsidRPr="00B74E14" w:rsidRDefault="00134DD0" w:rsidP="0091313F">
            <w:pPr>
              <w:pStyle w:val="Sansinterligne"/>
              <w:numPr>
                <w:ilvl w:val="0"/>
                <w:numId w:val="1478"/>
              </w:numPr>
              <w:rPr>
                <w:b/>
                <w:lang w:eastAsia="fr-CA"/>
              </w:rPr>
            </w:pPr>
            <w:r w:rsidRPr="00B74E14">
              <w:rPr>
                <w:b/>
                <w:lang w:eastAsia="fr-CA"/>
              </w:rPr>
              <w:t>Rétention urinaire</w:t>
            </w:r>
          </w:p>
        </w:tc>
      </w:tr>
      <w:tr w:rsidR="008F6737" w:rsidTr="00EC24CE">
        <w:tc>
          <w:tcPr>
            <w:tcW w:w="1951" w:type="dxa"/>
            <w:shd w:val="clear" w:color="auto" w:fill="C4BC96" w:themeFill="background2" w:themeFillShade="BF"/>
            <w:vAlign w:val="center"/>
          </w:tcPr>
          <w:p w:rsidR="008F6737" w:rsidRDefault="008F6737" w:rsidP="00CA410A">
            <w:pPr>
              <w:pStyle w:val="Sansinterligne"/>
              <w:jc w:val="center"/>
              <w:rPr>
                <w:lang w:eastAsia="fr-CA"/>
              </w:rPr>
            </w:pPr>
            <w:r>
              <w:rPr>
                <w:lang w:eastAsia="fr-CA"/>
              </w:rPr>
              <w:t>Sympathico</w:t>
            </w:r>
            <w:r w:rsidR="00F65B30">
              <w:rPr>
                <w:lang w:eastAsia="fr-CA"/>
              </w:rPr>
              <w:t>-</w:t>
            </w:r>
            <w:r>
              <w:rPr>
                <w:lang w:eastAsia="fr-CA"/>
              </w:rPr>
              <w:t>mimétique</w:t>
            </w:r>
          </w:p>
        </w:tc>
        <w:tc>
          <w:tcPr>
            <w:tcW w:w="2126" w:type="dxa"/>
            <w:shd w:val="clear" w:color="auto" w:fill="FFFF00"/>
          </w:tcPr>
          <w:p w:rsidR="008F6737" w:rsidRDefault="008F6737" w:rsidP="008947D9">
            <w:pPr>
              <w:pStyle w:val="Sansinterligne"/>
              <w:rPr>
                <w:lang w:eastAsia="fr-CA"/>
              </w:rPr>
            </w:pPr>
            <w:r>
              <w:rPr>
                <w:lang w:eastAsia="fr-CA"/>
              </w:rPr>
              <w:t>Cocaïne</w:t>
            </w:r>
          </w:p>
          <w:p w:rsidR="008F6737" w:rsidRDefault="008F6737" w:rsidP="008947D9">
            <w:pPr>
              <w:pStyle w:val="Sansinterligne"/>
              <w:rPr>
                <w:lang w:eastAsia="fr-CA"/>
              </w:rPr>
            </w:pPr>
            <w:r>
              <w:rPr>
                <w:lang w:eastAsia="fr-CA"/>
              </w:rPr>
              <w:t>Amphétamines</w:t>
            </w:r>
          </w:p>
          <w:p w:rsidR="008F6737" w:rsidRDefault="008F6737" w:rsidP="008947D9">
            <w:pPr>
              <w:pStyle w:val="Sansinterligne"/>
              <w:rPr>
                <w:lang w:eastAsia="fr-CA"/>
              </w:rPr>
            </w:pPr>
            <w:r>
              <w:rPr>
                <w:lang w:eastAsia="fr-CA"/>
              </w:rPr>
              <w:t>Caféine</w:t>
            </w:r>
          </w:p>
          <w:p w:rsidR="008F6737" w:rsidRDefault="008F6737" w:rsidP="008947D9">
            <w:pPr>
              <w:pStyle w:val="Sansinterligne"/>
              <w:rPr>
                <w:lang w:eastAsia="fr-CA"/>
              </w:rPr>
            </w:pPr>
            <w:r>
              <w:rPr>
                <w:lang w:eastAsia="fr-CA"/>
              </w:rPr>
              <w:t>Éphédrine …</w:t>
            </w:r>
          </w:p>
        </w:tc>
        <w:tc>
          <w:tcPr>
            <w:tcW w:w="2552" w:type="dxa"/>
            <w:gridSpan w:val="3"/>
            <w:shd w:val="clear" w:color="auto" w:fill="FFFF00"/>
          </w:tcPr>
          <w:p w:rsidR="008F6737" w:rsidRPr="0008206E" w:rsidRDefault="008F6737" w:rsidP="008F6737">
            <w:pPr>
              <w:pStyle w:val="Sansinterligne"/>
              <w:rPr>
                <w:b/>
                <w:lang w:eastAsia="fr-CA"/>
              </w:rPr>
            </w:pPr>
            <w:r w:rsidRPr="0008206E">
              <w:rPr>
                <w:b/>
                <w:lang w:eastAsia="fr-CA"/>
              </w:rPr>
              <w:t>Tachycardie</w:t>
            </w:r>
          </w:p>
          <w:p w:rsidR="008F6737" w:rsidRPr="0008206E" w:rsidRDefault="008F6737" w:rsidP="008F6737">
            <w:pPr>
              <w:pStyle w:val="Sansinterligne"/>
              <w:rPr>
                <w:b/>
                <w:lang w:eastAsia="fr-CA"/>
              </w:rPr>
            </w:pPr>
            <w:r w:rsidRPr="0008206E">
              <w:rPr>
                <w:b/>
                <w:lang w:eastAsia="fr-CA"/>
              </w:rPr>
              <w:t>Hypertension</w:t>
            </w:r>
          </w:p>
          <w:p w:rsidR="008F6737" w:rsidRPr="0008206E" w:rsidRDefault="008F6737" w:rsidP="008F6737">
            <w:pPr>
              <w:pStyle w:val="Sansinterligne"/>
              <w:rPr>
                <w:b/>
                <w:lang w:eastAsia="fr-CA"/>
              </w:rPr>
            </w:pPr>
            <w:r w:rsidRPr="0008206E">
              <w:rPr>
                <w:b/>
                <w:lang w:eastAsia="fr-CA"/>
              </w:rPr>
              <w:t>Tachypnée</w:t>
            </w:r>
          </w:p>
          <w:p w:rsidR="008F6737" w:rsidRDefault="008F6737" w:rsidP="008F6737">
            <w:pPr>
              <w:pStyle w:val="Sansinterligne"/>
              <w:rPr>
                <w:lang w:eastAsia="fr-CA"/>
              </w:rPr>
            </w:pPr>
            <w:r w:rsidRPr="0008206E">
              <w:rPr>
                <w:b/>
                <w:lang w:eastAsia="fr-CA"/>
              </w:rPr>
              <w:t>Hyperthermie</w:t>
            </w:r>
          </w:p>
        </w:tc>
        <w:tc>
          <w:tcPr>
            <w:tcW w:w="2193" w:type="dxa"/>
            <w:gridSpan w:val="2"/>
            <w:shd w:val="clear" w:color="auto" w:fill="FFFF00"/>
          </w:tcPr>
          <w:p w:rsidR="008F6737" w:rsidRDefault="00EC24CE" w:rsidP="0091313F">
            <w:pPr>
              <w:pStyle w:val="Sansinterligne"/>
              <w:numPr>
                <w:ilvl w:val="0"/>
                <w:numId w:val="1478"/>
              </w:numPr>
              <w:rPr>
                <w:b/>
                <w:lang w:eastAsia="fr-CA"/>
              </w:rPr>
            </w:pPr>
            <w:r w:rsidRPr="00EC24CE">
              <w:rPr>
                <w:b/>
                <w:lang w:eastAsia="fr-CA"/>
              </w:rPr>
              <w:t>My</w:t>
            </w:r>
            <w:r w:rsidR="00185EA8">
              <w:rPr>
                <w:b/>
                <w:lang w:eastAsia="fr-CA"/>
              </w:rPr>
              <w:t>driase</w:t>
            </w:r>
          </w:p>
          <w:p w:rsidR="00185EA8" w:rsidRPr="00185EA8" w:rsidRDefault="00185EA8" w:rsidP="0091313F">
            <w:pPr>
              <w:pStyle w:val="Sansinterligne"/>
              <w:numPr>
                <w:ilvl w:val="0"/>
                <w:numId w:val="1478"/>
              </w:numPr>
              <w:rPr>
                <w:lang w:eastAsia="fr-CA"/>
              </w:rPr>
            </w:pPr>
            <w:r w:rsidRPr="00185EA8">
              <w:rPr>
                <w:lang w:eastAsia="fr-CA"/>
              </w:rPr>
              <w:t>Hypervigilance</w:t>
            </w:r>
          </w:p>
          <w:p w:rsidR="00EC24CE" w:rsidRPr="00185EA8" w:rsidRDefault="00EC24CE" w:rsidP="0091313F">
            <w:pPr>
              <w:pStyle w:val="Sansinterligne"/>
              <w:numPr>
                <w:ilvl w:val="0"/>
                <w:numId w:val="1478"/>
              </w:numPr>
              <w:rPr>
                <w:b/>
                <w:lang w:eastAsia="fr-CA"/>
              </w:rPr>
            </w:pPr>
            <w:r w:rsidRPr="00185EA8">
              <w:rPr>
                <w:b/>
                <w:lang w:eastAsia="fr-CA"/>
              </w:rPr>
              <w:t>Diaphorèse</w:t>
            </w:r>
          </w:p>
          <w:p w:rsidR="00EC24CE" w:rsidRPr="00EC24CE" w:rsidRDefault="00EC24CE" w:rsidP="0091313F">
            <w:pPr>
              <w:pStyle w:val="Sansinterligne"/>
              <w:numPr>
                <w:ilvl w:val="0"/>
                <w:numId w:val="1478"/>
              </w:numPr>
              <w:rPr>
                <w:lang w:eastAsia="fr-CA"/>
              </w:rPr>
            </w:pPr>
            <w:r>
              <w:rPr>
                <w:lang w:eastAsia="fr-CA"/>
              </w:rPr>
              <w:t>Tremblements</w:t>
            </w:r>
          </w:p>
        </w:tc>
        <w:tc>
          <w:tcPr>
            <w:tcW w:w="2194" w:type="dxa"/>
            <w:shd w:val="clear" w:color="auto" w:fill="FFFF00"/>
          </w:tcPr>
          <w:p w:rsidR="008F6737" w:rsidRPr="00EC24CE" w:rsidRDefault="00EC24CE" w:rsidP="0091313F">
            <w:pPr>
              <w:pStyle w:val="Sansinterligne"/>
              <w:numPr>
                <w:ilvl w:val="0"/>
                <w:numId w:val="1478"/>
              </w:numPr>
              <w:rPr>
                <w:b/>
                <w:lang w:eastAsia="fr-CA"/>
              </w:rPr>
            </w:pPr>
            <w:r w:rsidRPr="00EC24CE">
              <w:rPr>
                <w:b/>
                <w:lang w:eastAsia="fr-CA"/>
              </w:rPr>
              <w:t>Hype</w:t>
            </w:r>
            <w:r w:rsidR="00185EA8">
              <w:rPr>
                <w:b/>
                <w:lang w:eastAsia="fr-CA"/>
              </w:rPr>
              <w:t>r</w:t>
            </w:r>
            <w:r w:rsidRPr="00EC24CE">
              <w:rPr>
                <w:b/>
                <w:lang w:eastAsia="fr-CA"/>
              </w:rPr>
              <w:t>réflexie</w:t>
            </w:r>
          </w:p>
          <w:p w:rsidR="00EC24CE" w:rsidRDefault="00EC24CE" w:rsidP="0091313F">
            <w:pPr>
              <w:pStyle w:val="Sansinterligne"/>
              <w:numPr>
                <w:ilvl w:val="0"/>
                <w:numId w:val="1478"/>
              </w:numPr>
              <w:rPr>
                <w:lang w:eastAsia="fr-CA"/>
              </w:rPr>
            </w:pPr>
            <w:r>
              <w:rPr>
                <w:lang w:eastAsia="fr-CA"/>
              </w:rPr>
              <w:t>Convulsions</w:t>
            </w:r>
          </w:p>
        </w:tc>
      </w:tr>
      <w:tr w:rsidR="008F6737" w:rsidRPr="00B525AE" w:rsidTr="0091313F">
        <w:tc>
          <w:tcPr>
            <w:tcW w:w="1951" w:type="dxa"/>
            <w:shd w:val="clear" w:color="auto" w:fill="C4BC96" w:themeFill="background2" w:themeFillShade="BF"/>
            <w:vAlign w:val="center"/>
          </w:tcPr>
          <w:p w:rsidR="008F6737" w:rsidRDefault="008F6737" w:rsidP="00CA410A">
            <w:pPr>
              <w:pStyle w:val="Sansinterligne"/>
              <w:jc w:val="center"/>
              <w:rPr>
                <w:lang w:eastAsia="fr-CA"/>
              </w:rPr>
            </w:pPr>
            <w:r>
              <w:rPr>
                <w:lang w:eastAsia="fr-CA"/>
              </w:rPr>
              <w:t>Hallucinogènes</w:t>
            </w:r>
          </w:p>
        </w:tc>
        <w:tc>
          <w:tcPr>
            <w:tcW w:w="2126" w:type="dxa"/>
          </w:tcPr>
          <w:p w:rsidR="008F6737" w:rsidRPr="00B525AE" w:rsidRDefault="00F328D9" w:rsidP="008947D9">
            <w:pPr>
              <w:pStyle w:val="Sansinterligne"/>
              <w:rPr>
                <w:lang w:val="en-CA" w:eastAsia="fr-CA"/>
              </w:rPr>
            </w:pPr>
            <w:r w:rsidRPr="00B525AE">
              <w:rPr>
                <w:lang w:val="en-CA" w:eastAsia="fr-CA"/>
              </w:rPr>
              <w:t>PCP (phencyclidine)</w:t>
            </w:r>
          </w:p>
          <w:p w:rsidR="00F328D9" w:rsidRPr="00B525AE" w:rsidRDefault="00F328D9" w:rsidP="008947D9">
            <w:pPr>
              <w:pStyle w:val="Sansinterligne"/>
              <w:rPr>
                <w:lang w:val="en-CA" w:eastAsia="fr-CA"/>
              </w:rPr>
            </w:pPr>
            <w:r w:rsidRPr="00B525AE">
              <w:rPr>
                <w:lang w:val="en-CA" w:eastAsia="fr-CA"/>
              </w:rPr>
              <w:t>LSD</w:t>
            </w:r>
          </w:p>
          <w:p w:rsidR="00F328D9" w:rsidRPr="00B525AE" w:rsidRDefault="00F328D9" w:rsidP="008947D9">
            <w:pPr>
              <w:pStyle w:val="Sansinterligne"/>
              <w:rPr>
                <w:lang w:val="en-CA" w:eastAsia="fr-CA"/>
              </w:rPr>
            </w:pPr>
            <w:r w:rsidRPr="00B525AE">
              <w:rPr>
                <w:lang w:val="en-CA" w:eastAsia="fr-CA"/>
              </w:rPr>
              <w:t>Mescaline</w:t>
            </w:r>
          </w:p>
          <w:p w:rsidR="00F328D9" w:rsidRPr="00B525AE" w:rsidRDefault="00F328D9" w:rsidP="008947D9">
            <w:pPr>
              <w:pStyle w:val="Sansinterligne"/>
              <w:rPr>
                <w:lang w:val="en-CA" w:eastAsia="fr-CA"/>
              </w:rPr>
            </w:pPr>
            <w:r w:rsidRPr="00B525AE">
              <w:rPr>
                <w:lang w:val="en-CA" w:eastAsia="fr-CA"/>
              </w:rPr>
              <w:t>Ectasy (MDMA)</w:t>
            </w:r>
          </w:p>
        </w:tc>
        <w:tc>
          <w:tcPr>
            <w:tcW w:w="2552" w:type="dxa"/>
            <w:gridSpan w:val="3"/>
          </w:tcPr>
          <w:p w:rsidR="00185EA8" w:rsidRPr="0008206E" w:rsidRDefault="00185EA8" w:rsidP="00185EA8">
            <w:pPr>
              <w:pStyle w:val="Sansinterligne"/>
              <w:rPr>
                <w:b/>
                <w:lang w:eastAsia="fr-CA"/>
              </w:rPr>
            </w:pPr>
            <w:r w:rsidRPr="0008206E">
              <w:rPr>
                <w:b/>
                <w:lang w:eastAsia="fr-CA"/>
              </w:rPr>
              <w:t>Tachycardie</w:t>
            </w:r>
          </w:p>
          <w:p w:rsidR="00185EA8" w:rsidRPr="0008206E" w:rsidRDefault="00185EA8" w:rsidP="00185EA8">
            <w:pPr>
              <w:pStyle w:val="Sansinterligne"/>
              <w:rPr>
                <w:b/>
                <w:lang w:eastAsia="fr-CA"/>
              </w:rPr>
            </w:pPr>
            <w:r w:rsidRPr="0008206E">
              <w:rPr>
                <w:b/>
                <w:lang w:eastAsia="fr-CA"/>
              </w:rPr>
              <w:t>Hypertension</w:t>
            </w:r>
          </w:p>
          <w:p w:rsidR="00185EA8" w:rsidRPr="0008206E" w:rsidRDefault="00185EA8" w:rsidP="00185EA8">
            <w:pPr>
              <w:pStyle w:val="Sansinterligne"/>
              <w:rPr>
                <w:b/>
                <w:lang w:eastAsia="fr-CA"/>
              </w:rPr>
            </w:pPr>
            <w:r w:rsidRPr="0008206E">
              <w:rPr>
                <w:b/>
                <w:lang w:eastAsia="fr-CA"/>
              </w:rPr>
              <w:t>Tachypnée</w:t>
            </w:r>
          </w:p>
          <w:p w:rsidR="008F6737" w:rsidRPr="00B525AE" w:rsidRDefault="00185EA8" w:rsidP="00185EA8">
            <w:pPr>
              <w:pStyle w:val="Sansinterligne"/>
              <w:rPr>
                <w:lang w:val="en-CA" w:eastAsia="fr-CA"/>
              </w:rPr>
            </w:pPr>
            <w:r w:rsidRPr="0008206E">
              <w:rPr>
                <w:b/>
                <w:lang w:eastAsia="fr-CA"/>
              </w:rPr>
              <w:t>Hyperthermie</w:t>
            </w:r>
          </w:p>
        </w:tc>
        <w:tc>
          <w:tcPr>
            <w:tcW w:w="2193" w:type="dxa"/>
            <w:gridSpan w:val="2"/>
            <w:tcBorders>
              <w:right w:val="single" w:sz="4" w:space="0" w:color="FFFFFF" w:themeColor="background1"/>
            </w:tcBorders>
          </w:tcPr>
          <w:p w:rsidR="008F6737" w:rsidRDefault="00185EA8" w:rsidP="0091313F">
            <w:pPr>
              <w:pStyle w:val="Sansinterligne"/>
              <w:numPr>
                <w:ilvl w:val="0"/>
                <w:numId w:val="1478"/>
              </w:numPr>
              <w:rPr>
                <w:lang w:val="en-CA" w:eastAsia="fr-CA"/>
              </w:rPr>
            </w:pPr>
            <w:r>
              <w:rPr>
                <w:lang w:val="en-CA" w:eastAsia="fr-CA"/>
              </w:rPr>
              <w:t>Mydriase (</w:t>
            </w:r>
            <w:r>
              <w:rPr>
                <w:rFonts w:cs="Times New Roman"/>
                <w:lang w:val="en-CA" w:eastAsia="fr-CA"/>
              </w:rPr>
              <w:t>Ø</w:t>
            </w:r>
            <w:r>
              <w:rPr>
                <w:lang w:val="en-CA" w:eastAsia="fr-CA"/>
              </w:rPr>
              <w:t xml:space="preserve"> tjrs)</w:t>
            </w:r>
          </w:p>
          <w:p w:rsidR="00185EA8" w:rsidRPr="00185EA8" w:rsidRDefault="00185EA8" w:rsidP="0091313F">
            <w:pPr>
              <w:pStyle w:val="Sansinterligne"/>
              <w:numPr>
                <w:ilvl w:val="0"/>
                <w:numId w:val="1478"/>
              </w:numPr>
              <w:rPr>
                <w:b/>
                <w:lang w:val="en-CA" w:eastAsia="fr-CA"/>
              </w:rPr>
            </w:pPr>
            <w:r w:rsidRPr="00185EA8">
              <w:rPr>
                <w:b/>
                <w:lang w:val="en-CA" w:eastAsia="fr-CA"/>
              </w:rPr>
              <w:t>Nystagmus</w:t>
            </w:r>
          </w:p>
        </w:tc>
        <w:tc>
          <w:tcPr>
            <w:tcW w:w="2194" w:type="dxa"/>
            <w:tcBorders>
              <w:left w:val="single" w:sz="4" w:space="0" w:color="FFFFFF" w:themeColor="background1"/>
            </w:tcBorders>
          </w:tcPr>
          <w:p w:rsidR="008F6737" w:rsidRPr="00B525AE" w:rsidRDefault="008F6737" w:rsidP="00DC2D14">
            <w:pPr>
              <w:pStyle w:val="Sansinterligne"/>
              <w:ind w:left="360"/>
              <w:rPr>
                <w:lang w:val="en-CA" w:eastAsia="fr-CA"/>
              </w:rPr>
            </w:pPr>
          </w:p>
        </w:tc>
      </w:tr>
      <w:tr w:rsidR="009F40A3" w:rsidTr="00F65B30">
        <w:tc>
          <w:tcPr>
            <w:tcW w:w="1951" w:type="dxa"/>
            <w:shd w:val="clear" w:color="auto" w:fill="C4BC96" w:themeFill="background2" w:themeFillShade="BF"/>
            <w:vAlign w:val="center"/>
          </w:tcPr>
          <w:p w:rsidR="009F40A3" w:rsidRDefault="009F40A3" w:rsidP="00CA410A">
            <w:pPr>
              <w:pStyle w:val="Sansinterligne"/>
              <w:jc w:val="center"/>
              <w:rPr>
                <w:lang w:eastAsia="fr-CA"/>
              </w:rPr>
            </w:pPr>
            <w:r>
              <w:rPr>
                <w:lang w:eastAsia="fr-CA"/>
              </w:rPr>
              <w:t>Sérotoninergique</w:t>
            </w:r>
          </w:p>
        </w:tc>
        <w:tc>
          <w:tcPr>
            <w:tcW w:w="9065" w:type="dxa"/>
            <w:gridSpan w:val="7"/>
          </w:tcPr>
          <w:p w:rsidR="009F40A3" w:rsidRDefault="009F40A3" w:rsidP="001D07DA">
            <w:pPr>
              <w:pStyle w:val="Sansinterligne"/>
              <w:rPr>
                <w:lang w:eastAsia="fr-CA"/>
              </w:rPr>
            </w:pPr>
            <w:r>
              <w:rPr>
                <w:lang w:eastAsia="fr-CA"/>
              </w:rPr>
              <w:t xml:space="preserve">Voir </w:t>
            </w:r>
            <w:r w:rsidR="001D07DA">
              <w:rPr>
                <w:lang w:eastAsia="fr-CA"/>
              </w:rPr>
              <w:t>S</w:t>
            </w:r>
            <w:r>
              <w:rPr>
                <w:lang w:eastAsia="fr-CA"/>
              </w:rPr>
              <w:t xml:space="preserve">yndrome sérotoninergique – </w:t>
            </w:r>
            <w:r w:rsidRPr="001D07DA">
              <w:rPr>
                <w:i/>
                <w:lang w:eastAsia="fr-CA"/>
              </w:rPr>
              <w:t>Humeur dépressive CMC</w:t>
            </w:r>
            <w:r w:rsidR="001D07DA" w:rsidRPr="001D07DA">
              <w:rPr>
                <w:i/>
                <w:lang w:eastAsia="fr-CA"/>
              </w:rPr>
              <w:t xml:space="preserve"> 59-1</w:t>
            </w:r>
          </w:p>
        </w:tc>
      </w:tr>
      <w:tr w:rsidR="00DC1055" w:rsidTr="00F65B30">
        <w:tc>
          <w:tcPr>
            <w:tcW w:w="1951" w:type="dxa"/>
            <w:shd w:val="clear" w:color="auto" w:fill="C4BC96" w:themeFill="background2" w:themeFillShade="BF"/>
            <w:vAlign w:val="center"/>
          </w:tcPr>
          <w:p w:rsidR="00DC1055" w:rsidRDefault="00DC1055" w:rsidP="00CA410A">
            <w:pPr>
              <w:pStyle w:val="Sansinterligne"/>
              <w:jc w:val="center"/>
              <w:rPr>
                <w:lang w:eastAsia="fr-CA"/>
              </w:rPr>
            </w:pPr>
            <w:r>
              <w:rPr>
                <w:lang w:eastAsia="fr-CA"/>
              </w:rPr>
              <w:t>Plomb</w:t>
            </w:r>
          </w:p>
        </w:tc>
        <w:tc>
          <w:tcPr>
            <w:tcW w:w="9065" w:type="dxa"/>
            <w:gridSpan w:val="7"/>
          </w:tcPr>
          <w:p w:rsidR="00DC1055" w:rsidRDefault="00DC1055" w:rsidP="00DC1055">
            <w:pPr>
              <w:pStyle w:val="Sansinterligne"/>
              <w:rPr>
                <w:lang w:eastAsia="fr-CA"/>
              </w:rPr>
            </w:pPr>
            <w:r>
              <w:rPr>
                <w:lang w:eastAsia="fr-CA"/>
              </w:rPr>
              <w:t xml:space="preserve">Voir </w:t>
            </w:r>
            <w:r w:rsidRPr="00DC1055">
              <w:rPr>
                <w:i/>
                <w:lang w:eastAsia="fr-CA"/>
              </w:rPr>
              <w:t>Dysfonction olfactive/gustative CMC 100-1</w:t>
            </w:r>
          </w:p>
        </w:tc>
      </w:tr>
      <w:tr w:rsidR="00D03BB0" w:rsidTr="00F65B30">
        <w:tc>
          <w:tcPr>
            <w:tcW w:w="1951" w:type="dxa"/>
            <w:shd w:val="clear" w:color="auto" w:fill="C4BC96" w:themeFill="background2" w:themeFillShade="BF"/>
            <w:vAlign w:val="center"/>
          </w:tcPr>
          <w:p w:rsidR="00D03BB0" w:rsidRDefault="00D03BB0" w:rsidP="00CA410A">
            <w:pPr>
              <w:pStyle w:val="Sansinterligne"/>
              <w:jc w:val="center"/>
              <w:rPr>
                <w:lang w:eastAsia="fr-CA"/>
              </w:rPr>
            </w:pPr>
            <w:r>
              <w:rPr>
                <w:lang w:eastAsia="fr-CA"/>
              </w:rPr>
              <w:t>Monoxyde de carbone</w:t>
            </w:r>
          </w:p>
        </w:tc>
        <w:tc>
          <w:tcPr>
            <w:tcW w:w="2266" w:type="dxa"/>
            <w:gridSpan w:val="2"/>
          </w:tcPr>
          <w:p w:rsidR="00D03BB0" w:rsidRDefault="00D03BB0" w:rsidP="001D07DA">
            <w:pPr>
              <w:pStyle w:val="Sansinterligne"/>
              <w:rPr>
                <w:lang w:eastAsia="fr-CA"/>
              </w:rPr>
            </w:pPr>
            <w:r>
              <w:rPr>
                <w:lang w:eastAsia="fr-CA"/>
              </w:rPr>
              <w:t>CO</w:t>
            </w:r>
          </w:p>
          <w:p w:rsidR="00D03BB0" w:rsidRDefault="00D03BB0" w:rsidP="00D03BB0">
            <w:pPr>
              <w:pStyle w:val="Sansinterligne"/>
              <w:rPr>
                <w:lang w:eastAsia="fr-CA"/>
              </w:rPr>
            </w:pPr>
            <w:r>
              <w:rPr>
                <w:lang w:eastAsia="fr-CA"/>
              </w:rPr>
              <w:t>(voitures, combustion)</w:t>
            </w:r>
          </w:p>
        </w:tc>
        <w:tc>
          <w:tcPr>
            <w:tcW w:w="2266" w:type="dxa"/>
          </w:tcPr>
          <w:p w:rsidR="00185EA8" w:rsidRDefault="00185EA8" w:rsidP="001D07DA">
            <w:pPr>
              <w:pStyle w:val="Sansinterligne"/>
              <w:rPr>
                <w:lang w:eastAsia="fr-CA"/>
              </w:rPr>
            </w:pPr>
            <w:r>
              <w:rPr>
                <w:lang w:eastAsia="fr-CA"/>
              </w:rPr>
              <w:t>Variable</w:t>
            </w:r>
          </w:p>
        </w:tc>
        <w:tc>
          <w:tcPr>
            <w:tcW w:w="2266" w:type="dxa"/>
            <w:gridSpan w:val="2"/>
          </w:tcPr>
          <w:p w:rsidR="00D03BB0" w:rsidRPr="00185EA8" w:rsidRDefault="00D03BB0" w:rsidP="001D07DA">
            <w:pPr>
              <w:pStyle w:val="Sansinterligne"/>
              <w:rPr>
                <w:b/>
                <w:lang w:eastAsia="fr-CA"/>
              </w:rPr>
            </w:pPr>
            <w:r w:rsidRPr="00185EA8">
              <w:rPr>
                <w:b/>
                <w:lang w:eastAsia="fr-CA"/>
              </w:rPr>
              <w:t>Céphalées</w:t>
            </w:r>
          </w:p>
          <w:p w:rsidR="00D03BB0" w:rsidRDefault="00D03BB0" w:rsidP="001D07DA">
            <w:pPr>
              <w:pStyle w:val="Sansinterligne"/>
              <w:rPr>
                <w:lang w:eastAsia="fr-CA"/>
              </w:rPr>
            </w:pPr>
            <w:r>
              <w:rPr>
                <w:lang w:eastAsia="fr-CA"/>
              </w:rPr>
              <w:t>Confusion</w:t>
            </w:r>
            <w:r>
              <w:rPr>
                <w:rFonts w:ascii="Century Gothic" w:hAnsi="Century Gothic"/>
                <w:lang w:eastAsia="fr-CA"/>
              </w:rPr>
              <w:t>→</w:t>
            </w:r>
            <w:r>
              <w:rPr>
                <w:lang w:eastAsia="fr-CA"/>
              </w:rPr>
              <w:t>coma</w:t>
            </w:r>
          </w:p>
        </w:tc>
        <w:tc>
          <w:tcPr>
            <w:tcW w:w="2267" w:type="dxa"/>
            <w:gridSpan w:val="2"/>
          </w:tcPr>
          <w:p w:rsidR="00D03BB0" w:rsidRDefault="00D03BB0" w:rsidP="001D07DA">
            <w:pPr>
              <w:pStyle w:val="Sansinterligne"/>
              <w:rPr>
                <w:lang w:eastAsia="fr-CA"/>
              </w:rPr>
            </w:pPr>
            <w:r>
              <w:rPr>
                <w:lang w:eastAsia="fr-CA"/>
              </w:rPr>
              <w:t>No, malaise</w:t>
            </w:r>
          </w:p>
          <w:p w:rsidR="00D03BB0" w:rsidRDefault="00D03BB0" w:rsidP="001D07DA">
            <w:pPr>
              <w:pStyle w:val="Sansinterligne"/>
              <w:rPr>
                <w:lang w:eastAsia="fr-CA"/>
              </w:rPr>
            </w:pPr>
            <w:r>
              <w:rPr>
                <w:lang w:eastAsia="fr-CA"/>
              </w:rPr>
              <w:t>Peau rouge</w:t>
            </w:r>
          </w:p>
        </w:tc>
      </w:tr>
    </w:tbl>
    <w:p w:rsidR="00944D8E" w:rsidRPr="008947D9" w:rsidRDefault="007E5B6B" w:rsidP="008947D9">
      <w:pPr>
        <w:pStyle w:val="Sansinterligne"/>
        <w:rPr>
          <w:lang w:eastAsia="fr-CA"/>
        </w:rPr>
      </w:pPr>
      <w:r>
        <w:rPr>
          <w:noProof/>
          <w:lang w:eastAsia="fr-CA"/>
        </w:rPr>
        <w:drawing>
          <wp:anchor distT="0" distB="0" distL="114300" distR="114300" simplePos="0" relativeHeight="252197888" behindDoc="0" locked="0" layoutInCell="1" allowOverlap="1" wp14:anchorId="5D11B0B0" wp14:editId="0AB439D1">
            <wp:simplePos x="0" y="0"/>
            <wp:positionH relativeFrom="column">
              <wp:posOffset>4279900</wp:posOffset>
            </wp:positionH>
            <wp:positionV relativeFrom="paragraph">
              <wp:posOffset>59055</wp:posOffset>
            </wp:positionV>
            <wp:extent cx="2565400" cy="1984375"/>
            <wp:effectExtent l="0" t="0" r="6350" b="0"/>
            <wp:wrapNone/>
            <wp:docPr id="665" name="Image 665" descr="Résultats de recherche d'images pour « mydriase mdm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ésultats de recherche d'images pour « mydriase mdma »"/>
                    <pic:cNvPicPr>
                      <a:picLocks noChangeAspect="1" noChangeArrowheads="1"/>
                    </pic:cNvPicPr>
                  </pic:nvPicPr>
                  <pic:blipFill rotWithShape="1">
                    <a:blip r:embed="rId250">
                      <a:extLst>
                        <a:ext uri="{28A0092B-C50C-407E-A947-70E740481C1C}">
                          <a14:useLocalDpi xmlns:a14="http://schemas.microsoft.com/office/drawing/2010/main" val="0"/>
                        </a:ext>
                      </a:extLst>
                    </a:blip>
                    <a:srcRect r="8341"/>
                    <a:stretch/>
                  </pic:blipFill>
                  <pic:spPr bwMode="auto">
                    <a:xfrm flipH="1">
                      <a:off x="0" y="0"/>
                      <a:ext cx="2565400" cy="19843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944D8E" w:rsidRPr="008947D9" w:rsidRDefault="008947D9" w:rsidP="008947D9">
      <w:pPr>
        <w:pStyle w:val="Sansinterligne"/>
        <w:rPr>
          <w:b/>
          <w:sz w:val="28"/>
          <w:szCs w:val="28"/>
        </w:rPr>
      </w:pPr>
      <w:r w:rsidRPr="008947D9">
        <w:rPr>
          <w:b/>
          <w:sz w:val="28"/>
          <w:szCs w:val="28"/>
        </w:rPr>
        <w:t>Investigations</w:t>
      </w:r>
    </w:p>
    <w:p w:rsidR="007E5B6B" w:rsidRDefault="007E5B6B" w:rsidP="007E5B6B">
      <w:pPr>
        <w:pStyle w:val="Sansinterligne"/>
        <w:ind w:left="720"/>
      </w:pPr>
    </w:p>
    <w:p w:rsidR="00944D8E" w:rsidRPr="00DB4E25" w:rsidRDefault="008947D9" w:rsidP="007E5B6B">
      <w:pPr>
        <w:pStyle w:val="Sansinterligne"/>
        <w:numPr>
          <w:ilvl w:val="0"/>
          <w:numId w:val="1479"/>
        </w:numPr>
        <w:rPr>
          <w:highlight w:val="yellow"/>
        </w:rPr>
      </w:pPr>
      <w:r w:rsidRPr="00DB4E25">
        <w:rPr>
          <w:highlight w:val="yellow"/>
        </w:rPr>
        <w:t xml:space="preserve">Dosage </w:t>
      </w:r>
      <w:r w:rsidR="000A4E2A" w:rsidRPr="00DB4E25">
        <w:rPr>
          <w:highlight w:val="yellow"/>
        </w:rPr>
        <w:t>salicylates</w:t>
      </w:r>
      <w:r w:rsidRPr="00DB4E25">
        <w:rPr>
          <w:highlight w:val="yellow"/>
        </w:rPr>
        <w:t xml:space="preserve">, </w:t>
      </w:r>
      <w:r w:rsidR="000A4E2A" w:rsidRPr="00DB4E25">
        <w:rPr>
          <w:highlight w:val="yellow"/>
        </w:rPr>
        <w:t xml:space="preserve">acétaminophène, </w:t>
      </w:r>
      <w:r w:rsidRPr="00DB4E25">
        <w:rPr>
          <w:highlight w:val="yellow"/>
        </w:rPr>
        <w:t>éthanolémie, digoxinémie, etc.</w:t>
      </w:r>
    </w:p>
    <w:p w:rsidR="007E5B6B" w:rsidRDefault="007E5B6B" w:rsidP="007E5B6B">
      <w:pPr>
        <w:pStyle w:val="Sansinterligne"/>
        <w:numPr>
          <w:ilvl w:val="0"/>
          <w:numId w:val="1479"/>
        </w:numPr>
      </w:pPr>
      <w:r w:rsidRPr="00DB4E25">
        <w:rPr>
          <w:highlight w:val="yellow"/>
        </w:rPr>
        <w:t>Dépistage de drogues urinaire</w:t>
      </w:r>
    </w:p>
    <w:p w:rsidR="008947D9" w:rsidRDefault="008947D9" w:rsidP="007E5B6B">
      <w:pPr>
        <w:pStyle w:val="Sansinterligne"/>
        <w:numPr>
          <w:ilvl w:val="0"/>
          <w:numId w:val="1479"/>
        </w:numPr>
      </w:pPr>
      <w:r>
        <w:t>Gaz artériel</w:t>
      </w:r>
    </w:p>
    <w:p w:rsidR="008947D9" w:rsidRDefault="008947D9" w:rsidP="007E5B6B">
      <w:pPr>
        <w:pStyle w:val="Sansinterligne"/>
        <w:numPr>
          <w:ilvl w:val="0"/>
          <w:numId w:val="1479"/>
        </w:numPr>
      </w:pPr>
      <w:r>
        <w:t>Ions</w:t>
      </w:r>
      <w:r w:rsidR="009D74D6">
        <w:t>, créatinine</w:t>
      </w:r>
    </w:p>
    <w:p w:rsidR="008947D9" w:rsidRDefault="009D74D6" w:rsidP="007E5B6B">
      <w:pPr>
        <w:pStyle w:val="Sansinterligne"/>
        <w:numPr>
          <w:ilvl w:val="0"/>
          <w:numId w:val="1479"/>
        </w:numPr>
      </w:pPr>
      <w:r>
        <w:t>Sonde urinaire (surtout si rétention – anticholinergiques)</w:t>
      </w:r>
    </w:p>
    <w:p w:rsidR="00FB3C0B" w:rsidRPr="00DB4E25" w:rsidRDefault="008947D9" w:rsidP="007E5B6B">
      <w:pPr>
        <w:pStyle w:val="Sansinterligne"/>
        <w:numPr>
          <w:ilvl w:val="0"/>
          <w:numId w:val="1479"/>
        </w:numPr>
        <w:rPr>
          <w:highlight w:val="yellow"/>
        </w:rPr>
      </w:pPr>
      <w:r w:rsidRPr="00DB4E25">
        <w:rPr>
          <w:highlight w:val="yellow"/>
        </w:rPr>
        <w:t xml:space="preserve">Trou anionique </w:t>
      </w:r>
      <w:r w:rsidR="00FB3C0B" w:rsidRPr="00DB4E25">
        <w:rPr>
          <w:highlight w:val="yellow"/>
        </w:rPr>
        <w:t xml:space="preserve"> (</w:t>
      </w:r>
      <w:r w:rsidR="00FB3C0B" w:rsidRPr="00DB4E25">
        <w:rPr>
          <w:rFonts w:ascii="Century Gothic" w:hAnsi="Century Gothic"/>
          <w:highlight w:val="yellow"/>
        </w:rPr>
        <w:t>↑</w:t>
      </w:r>
      <w:r w:rsidR="00FB3C0B" w:rsidRPr="00DB4E25">
        <w:rPr>
          <w:highlight w:val="yellow"/>
        </w:rPr>
        <w:t xml:space="preserve"> suspecter salicylates, méthanol, éthylène glycol, etc.)</w:t>
      </w:r>
    </w:p>
    <w:p w:rsidR="008947D9" w:rsidRPr="00DB4E25" w:rsidRDefault="007E5B6B" w:rsidP="007E5B6B">
      <w:pPr>
        <w:pStyle w:val="Sansinterligne"/>
        <w:numPr>
          <w:ilvl w:val="0"/>
          <w:numId w:val="1479"/>
        </w:numPr>
        <w:rPr>
          <w:highlight w:val="yellow"/>
        </w:rPr>
      </w:pPr>
      <w:r w:rsidRPr="00DB4E25">
        <w:rPr>
          <w:highlight w:val="yellow"/>
        </w:rPr>
        <w:t xml:space="preserve">Trou </w:t>
      </w:r>
      <w:r w:rsidR="008947D9" w:rsidRPr="00DB4E25">
        <w:rPr>
          <w:highlight w:val="yellow"/>
        </w:rPr>
        <w:t>osmolaire</w:t>
      </w:r>
      <w:r w:rsidRPr="00DB4E25">
        <w:rPr>
          <w:highlight w:val="yellow"/>
        </w:rPr>
        <w:t xml:space="preserve"> (</w:t>
      </w:r>
      <w:r w:rsidRPr="00DB4E25">
        <w:rPr>
          <w:rFonts w:ascii="Century Gothic" w:hAnsi="Century Gothic"/>
          <w:highlight w:val="yellow"/>
        </w:rPr>
        <w:t xml:space="preserve">↑ </w:t>
      </w:r>
      <w:r w:rsidRPr="00DB4E25">
        <w:rPr>
          <w:highlight w:val="yellow"/>
        </w:rPr>
        <w:t>suspecter salicylates, méthanol, éthylène glycol, etc.)</w:t>
      </w:r>
    </w:p>
    <w:p w:rsidR="008947D9" w:rsidRPr="00DB4E25" w:rsidRDefault="00CE6626" w:rsidP="007E5B6B">
      <w:pPr>
        <w:pStyle w:val="Sansinterligne"/>
        <w:numPr>
          <w:ilvl w:val="0"/>
          <w:numId w:val="1479"/>
        </w:numPr>
        <w:rPr>
          <w:highlight w:val="yellow"/>
        </w:rPr>
      </w:pPr>
      <w:r w:rsidRPr="00DB4E25">
        <w:rPr>
          <w:highlight w:val="yellow"/>
        </w:rPr>
        <w:t>AST/ALT/INR</w:t>
      </w:r>
      <w:r w:rsidR="00FB3C0B" w:rsidRPr="00DB4E25">
        <w:rPr>
          <w:highlight w:val="yellow"/>
        </w:rPr>
        <w:t xml:space="preserve"> (acétaminophène)</w:t>
      </w:r>
    </w:p>
    <w:p w:rsidR="00CE6626" w:rsidRDefault="007E5B6B" w:rsidP="007E5B6B">
      <w:pPr>
        <w:pStyle w:val="Sansinterligne"/>
        <w:numPr>
          <w:ilvl w:val="0"/>
          <w:numId w:val="1479"/>
        </w:numPr>
      </w:pPr>
      <w:r>
        <w:t>Carboxyhémoglobine, co-oxymétrie (intox au CO)</w:t>
      </w:r>
    </w:p>
    <w:p w:rsidR="007E5B6B" w:rsidRDefault="008B6EBB" w:rsidP="008947D9">
      <w:pPr>
        <w:pStyle w:val="Sansinterligne"/>
      </w:pPr>
      <w:r>
        <w:rPr>
          <w:noProof/>
          <w:lang w:eastAsia="fr-CA"/>
        </w:rPr>
        <mc:AlternateContent>
          <mc:Choice Requires="wps">
            <w:drawing>
              <wp:anchor distT="0" distB="0" distL="114300" distR="114300" simplePos="0" relativeHeight="252199936" behindDoc="0" locked="0" layoutInCell="1" allowOverlap="1" wp14:anchorId="3F1AAD4A" wp14:editId="7D76C9B8">
                <wp:simplePos x="0" y="0"/>
                <wp:positionH relativeFrom="column">
                  <wp:posOffset>4278630</wp:posOffset>
                </wp:positionH>
                <wp:positionV relativeFrom="paragraph">
                  <wp:posOffset>55245</wp:posOffset>
                </wp:positionV>
                <wp:extent cx="2801620" cy="1403985"/>
                <wp:effectExtent l="0" t="0" r="17780" b="23495"/>
                <wp:wrapNone/>
                <wp:docPr id="670"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01620" cy="1403985"/>
                        </a:xfrm>
                        <a:prstGeom prst="rect">
                          <a:avLst/>
                        </a:prstGeom>
                        <a:solidFill>
                          <a:schemeClr val="bg2">
                            <a:lumMod val="75000"/>
                          </a:schemeClr>
                        </a:solidFill>
                        <a:ln w="9525">
                          <a:solidFill>
                            <a:srgbClr val="000000"/>
                          </a:solidFill>
                          <a:miter lim="800000"/>
                          <a:headEnd/>
                          <a:tailEnd/>
                        </a:ln>
                      </wps:spPr>
                      <wps:txbx>
                        <w:txbxContent>
                          <w:p w:rsidR="008276DC" w:rsidRPr="00C60501" w:rsidRDefault="008276DC" w:rsidP="00C60501">
                            <w:pPr>
                              <w:spacing w:after="0"/>
                              <w:jc w:val="center"/>
                              <w:rPr>
                                <w:b/>
                                <w:sz w:val="24"/>
                                <w:szCs w:val="24"/>
                              </w:rPr>
                            </w:pPr>
                            <w:r w:rsidRPr="00C60501">
                              <w:rPr>
                                <w:b/>
                                <w:sz w:val="24"/>
                                <w:szCs w:val="24"/>
                              </w:rPr>
                              <w:t>Charbon activé</w:t>
                            </w:r>
                          </w:p>
                          <w:p w:rsidR="008276DC" w:rsidRPr="00C60501" w:rsidRDefault="008276DC" w:rsidP="00C60501">
                            <w:pPr>
                              <w:spacing w:after="0"/>
                              <w:rPr>
                                <w:u w:val="single"/>
                              </w:rPr>
                            </w:pPr>
                            <w:r w:rsidRPr="00C60501">
                              <w:rPr>
                                <w:u w:val="single"/>
                              </w:rPr>
                              <w:t>Action</w:t>
                            </w:r>
                          </w:p>
                          <w:p w:rsidR="008276DC" w:rsidRPr="009773E5" w:rsidRDefault="008276DC" w:rsidP="00C60501">
                            <w:pPr>
                              <w:spacing w:after="0"/>
                              <w:ind w:left="708"/>
                            </w:pPr>
                            <w:r>
                              <w:t>Réduit l’absorption intestinale</w:t>
                            </w:r>
                          </w:p>
                          <w:p w:rsidR="008276DC" w:rsidRPr="009773E5" w:rsidRDefault="008276DC" w:rsidP="00C60501">
                            <w:pPr>
                              <w:spacing w:after="0"/>
                              <w:rPr>
                                <w:u w:val="single"/>
                                <w:lang w:val="en-CA"/>
                              </w:rPr>
                            </w:pPr>
                            <w:r w:rsidRPr="009773E5">
                              <w:rPr>
                                <w:u w:val="single"/>
                                <w:lang w:val="en-CA"/>
                              </w:rPr>
                              <w:t>Dose</w:t>
                            </w:r>
                          </w:p>
                          <w:p w:rsidR="008276DC" w:rsidRPr="00C60501" w:rsidRDefault="008276DC" w:rsidP="00C60501">
                            <w:pPr>
                              <w:spacing w:after="0"/>
                              <w:ind w:left="708"/>
                              <w:rPr>
                                <w:lang w:val="en-CA"/>
                              </w:rPr>
                            </w:pPr>
                            <w:r w:rsidRPr="00C60501">
                              <w:rPr>
                                <w:lang w:val="en-CA"/>
                              </w:rPr>
                              <w:t xml:space="preserve">1mg/kg (max 50 g) PO </w:t>
                            </w:r>
                            <w:r>
                              <w:rPr>
                                <w:lang w:val="en-CA"/>
                              </w:rPr>
                              <w:t xml:space="preserve">ou </w:t>
                            </w:r>
                            <w:r w:rsidRPr="00C60501">
                              <w:rPr>
                                <w:lang w:val="en-CA"/>
                              </w:rPr>
                              <w:t>TNG/TOG</w:t>
                            </w:r>
                          </w:p>
                          <w:p w:rsidR="008276DC" w:rsidRPr="00C60501" w:rsidRDefault="008276DC" w:rsidP="00C60501">
                            <w:pPr>
                              <w:spacing w:after="0"/>
                              <w:rPr>
                                <w:lang w:val="en-CA"/>
                              </w:rPr>
                            </w:pPr>
                          </w:p>
                          <w:p w:rsidR="008276DC" w:rsidRPr="00C60501" w:rsidRDefault="008276DC" w:rsidP="00C60501">
                            <w:pPr>
                              <w:spacing w:after="0"/>
                              <w:rPr>
                                <w:u w:val="single"/>
                              </w:rPr>
                            </w:pPr>
                            <w:r w:rsidRPr="00C60501">
                              <w:rPr>
                                <w:u w:val="single"/>
                              </w:rPr>
                              <w:t>Substances /indications</w:t>
                            </w:r>
                          </w:p>
                          <w:p w:rsidR="008276DC" w:rsidRDefault="008276DC" w:rsidP="00C60501">
                            <w:pPr>
                              <w:pStyle w:val="Paragraphedeliste"/>
                              <w:numPr>
                                <w:ilvl w:val="0"/>
                                <w:numId w:val="1477"/>
                              </w:numPr>
                              <w:spacing w:after="0"/>
                            </w:pPr>
                            <w:r>
                              <w:t xml:space="preserve">Prise récente et aigue ( </w:t>
                            </w:r>
                            <w:r>
                              <w:rPr>
                                <w:rFonts w:ascii="Century Gothic" w:hAnsi="Century Gothic"/>
                              </w:rPr>
                              <w:t>&lt;</w:t>
                            </w:r>
                            <w:r>
                              <w:t xml:space="preserve"> 1h) de :</w:t>
                            </w:r>
                          </w:p>
                          <w:p w:rsidR="008276DC" w:rsidRPr="00D03BB0" w:rsidRDefault="008276DC" w:rsidP="00C60501">
                            <w:pPr>
                              <w:pStyle w:val="Paragraphedeliste"/>
                              <w:numPr>
                                <w:ilvl w:val="0"/>
                                <w:numId w:val="1476"/>
                              </w:numPr>
                              <w:spacing w:after="0"/>
                              <w:rPr>
                                <w:b/>
                              </w:rPr>
                            </w:pPr>
                            <w:r w:rsidRPr="00D03BB0">
                              <w:rPr>
                                <w:b/>
                              </w:rPr>
                              <w:t>Acétaminophène</w:t>
                            </w:r>
                          </w:p>
                          <w:p w:rsidR="008276DC" w:rsidRPr="00D03BB0" w:rsidRDefault="008276DC" w:rsidP="00C60501">
                            <w:pPr>
                              <w:pStyle w:val="Paragraphedeliste"/>
                              <w:numPr>
                                <w:ilvl w:val="0"/>
                                <w:numId w:val="1476"/>
                              </w:numPr>
                              <w:spacing w:after="0"/>
                              <w:rPr>
                                <w:b/>
                              </w:rPr>
                            </w:pPr>
                            <w:r w:rsidRPr="00D03BB0">
                              <w:rPr>
                                <w:b/>
                              </w:rPr>
                              <w:t>ASA</w:t>
                            </w:r>
                          </w:p>
                          <w:p w:rsidR="008276DC" w:rsidRDefault="008276DC" w:rsidP="00C60501">
                            <w:pPr>
                              <w:pStyle w:val="Paragraphedeliste"/>
                              <w:numPr>
                                <w:ilvl w:val="0"/>
                                <w:numId w:val="1476"/>
                              </w:numPr>
                              <w:spacing w:after="0"/>
                            </w:pPr>
                            <w:r>
                              <w:t>Digitale</w:t>
                            </w:r>
                          </w:p>
                          <w:p w:rsidR="008276DC" w:rsidRPr="00D03BB0" w:rsidRDefault="008276DC" w:rsidP="00C60501">
                            <w:pPr>
                              <w:pStyle w:val="Paragraphedeliste"/>
                              <w:numPr>
                                <w:ilvl w:val="0"/>
                                <w:numId w:val="1476"/>
                              </w:numPr>
                              <w:spacing w:after="0"/>
                              <w:rPr>
                                <w:b/>
                              </w:rPr>
                            </w:pPr>
                            <w:r w:rsidRPr="00D03BB0">
                              <w:rPr>
                                <w:b/>
                              </w:rPr>
                              <w:t>Benzodiazépines</w:t>
                            </w:r>
                          </w:p>
                          <w:p w:rsidR="008276DC" w:rsidRPr="00D03BB0" w:rsidRDefault="008276DC" w:rsidP="00C60501">
                            <w:pPr>
                              <w:pStyle w:val="Paragraphedeliste"/>
                              <w:numPr>
                                <w:ilvl w:val="0"/>
                                <w:numId w:val="1476"/>
                              </w:numPr>
                              <w:spacing w:after="0"/>
                              <w:rPr>
                                <w:b/>
                              </w:rPr>
                            </w:pPr>
                            <w:r w:rsidRPr="00D03BB0">
                              <w:rPr>
                                <w:b/>
                              </w:rPr>
                              <w:t>Cocaïne orale</w:t>
                            </w:r>
                          </w:p>
                          <w:p w:rsidR="008276DC" w:rsidRPr="00D03BB0" w:rsidRDefault="008276DC" w:rsidP="00C60501">
                            <w:pPr>
                              <w:pStyle w:val="Paragraphedeliste"/>
                              <w:numPr>
                                <w:ilvl w:val="0"/>
                                <w:numId w:val="1476"/>
                              </w:numPr>
                              <w:spacing w:after="0"/>
                              <w:rPr>
                                <w:b/>
                              </w:rPr>
                            </w:pPr>
                            <w:r w:rsidRPr="00D03BB0">
                              <w:rPr>
                                <w:b/>
                              </w:rPr>
                              <w:t>Ecstasy (MDMA)</w:t>
                            </w:r>
                          </w:p>
                          <w:p w:rsidR="008276DC" w:rsidRDefault="008276DC" w:rsidP="00C60501">
                            <w:pPr>
                              <w:pStyle w:val="Paragraphedeliste"/>
                              <w:numPr>
                                <w:ilvl w:val="0"/>
                                <w:numId w:val="1476"/>
                              </w:numPr>
                              <w:spacing w:after="0"/>
                            </w:pPr>
                            <w:r>
                              <w:t>Anticholinergiques</w:t>
                            </w:r>
                          </w:p>
                          <w:p w:rsidR="008276DC" w:rsidRDefault="008276DC" w:rsidP="00C60501">
                            <w:pPr>
                              <w:pStyle w:val="Paragraphedeliste"/>
                              <w:numPr>
                                <w:ilvl w:val="0"/>
                                <w:numId w:val="1476"/>
                              </w:numPr>
                              <w:spacing w:after="0"/>
                              <w:rPr>
                                <w:b/>
                              </w:rPr>
                            </w:pPr>
                            <w:r w:rsidRPr="00D03BB0">
                              <w:rPr>
                                <w:b/>
                              </w:rPr>
                              <w:t>B</w:t>
                            </w:r>
                            <w:r>
                              <w:rPr>
                                <w:b/>
                              </w:rPr>
                              <w:t>êta-bloqueurs</w:t>
                            </w:r>
                          </w:p>
                          <w:p w:rsidR="008276DC" w:rsidRPr="00D03BB0" w:rsidRDefault="008276DC" w:rsidP="00C60501">
                            <w:pPr>
                              <w:pStyle w:val="Paragraphedeliste"/>
                              <w:numPr>
                                <w:ilvl w:val="0"/>
                                <w:numId w:val="1476"/>
                              </w:numPr>
                              <w:spacing w:after="0"/>
                              <w:rPr>
                                <w:b/>
                              </w:rPr>
                            </w:pPr>
                            <w:r>
                              <w:rPr>
                                <w:b/>
                              </w:rPr>
                              <w:t>B</w:t>
                            </w:r>
                            <w:r w:rsidRPr="00D03BB0">
                              <w:rPr>
                                <w:b/>
                              </w:rPr>
                              <w:t>loquants calciques</w:t>
                            </w:r>
                          </w:p>
                          <w:p w:rsidR="008276DC" w:rsidRDefault="008276DC" w:rsidP="00C60501">
                            <w:pPr>
                              <w:pStyle w:val="Paragraphedeliste"/>
                              <w:numPr>
                                <w:ilvl w:val="0"/>
                                <w:numId w:val="1476"/>
                              </w:numPr>
                              <w:spacing w:after="0"/>
                            </w:pPr>
                            <w:r>
                              <w:t>Barbituriques</w:t>
                            </w:r>
                          </w:p>
                          <w:p w:rsidR="008276DC" w:rsidRDefault="008276DC" w:rsidP="00C60501">
                            <w:pPr>
                              <w:pStyle w:val="Paragraphedeliste"/>
                              <w:numPr>
                                <w:ilvl w:val="0"/>
                                <w:numId w:val="1476"/>
                              </w:numPr>
                              <w:spacing w:after="0"/>
                            </w:pPr>
                            <w:r>
                              <w:t>Dapsone</w:t>
                            </w:r>
                          </w:p>
                          <w:p w:rsidR="008276DC" w:rsidRDefault="008276DC" w:rsidP="00C60501">
                            <w:pPr>
                              <w:pStyle w:val="Paragraphedeliste"/>
                              <w:numPr>
                                <w:ilvl w:val="0"/>
                                <w:numId w:val="1476"/>
                              </w:numPr>
                              <w:spacing w:after="0"/>
                            </w:pPr>
                            <w:r>
                              <w:t>Carbamazépine</w:t>
                            </w:r>
                          </w:p>
                          <w:p w:rsidR="008276DC" w:rsidRDefault="008276DC"/>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91" type="#_x0000_t202" style="position:absolute;margin-left:336.9pt;margin-top:4.35pt;width:220.6pt;height:110.55pt;z-index:25219993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" fillcolor="#c4bc96 [2414]">
                <v:textbox style="mso-fit-shape-to-text:t">
                  <w:txbxContent>
                    <w:p w:rsidR="008276DC" w:rsidRPr="00C60501" w:rsidRDefault="008276DC" w:rsidP="00C60501">
                      <w:pPr>
                        <w:spacing w:after="0"/>
                        <w:jc w:val="center"/>
                        <w:rPr>
                          <w:b/>
                          <w:sz w:val="24"/>
                          <w:szCs w:val="24"/>
                        </w:rPr>
                      </w:pPr>
                      <w:r w:rsidRPr="00C60501">
                        <w:rPr>
                          <w:b/>
                          <w:sz w:val="24"/>
                          <w:szCs w:val="24"/>
                        </w:rPr>
                        <w:t>Charbon activé</w:t>
                      </w:r>
                    </w:p>
                    <w:p w:rsidR="008276DC" w:rsidRPr="00C60501" w:rsidRDefault="008276DC" w:rsidP="00C60501">
                      <w:pPr>
                        <w:spacing w:after="0"/>
                        <w:rPr>
                          <w:u w:val="single"/>
                        </w:rPr>
                      </w:pPr>
                      <w:r w:rsidRPr="00C60501">
                        <w:rPr>
                          <w:u w:val="single"/>
                        </w:rPr>
                        <w:t>Action</w:t>
                      </w:r>
                    </w:p>
                    <w:p w:rsidR="008276DC" w:rsidRPr="009773E5" w:rsidRDefault="008276DC" w:rsidP="00C60501">
                      <w:pPr>
                        <w:spacing w:after="0"/>
                        <w:ind w:left="708"/>
                      </w:pPr>
                      <w:r>
                        <w:t>Réduit l’absorption intestinale</w:t>
                      </w:r>
                    </w:p>
                    <w:p w:rsidR="008276DC" w:rsidRPr="009773E5" w:rsidRDefault="008276DC" w:rsidP="00C60501">
                      <w:pPr>
                        <w:spacing w:after="0"/>
                        <w:rPr>
                          <w:u w:val="single"/>
                          <w:lang w:val="en-CA"/>
                        </w:rPr>
                      </w:pPr>
                      <w:r w:rsidRPr="009773E5">
                        <w:rPr>
                          <w:u w:val="single"/>
                          <w:lang w:val="en-CA"/>
                        </w:rPr>
                        <w:t>Dose</w:t>
                      </w:r>
                    </w:p>
                    <w:p w:rsidR="008276DC" w:rsidRPr="00C60501" w:rsidRDefault="008276DC" w:rsidP="00C60501">
                      <w:pPr>
                        <w:spacing w:after="0"/>
                        <w:ind w:left="708"/>
                        <w:rPr>
                          <w:lang w:val="en-CA"/>
                        </w:rPr>
                      </w:pPr>
                      <w:r w:rsidRPr="00C60501">
                        <w:rPr>
                          <w:lang w:val="en-CA"/>
                        </w:rPr>
                        <w:t xml:space="preserve">1mg/kg (max 50 g) PO </w:t>
                      </w:r>
                      <w:r>
                        <w:rPr>
                          <w:lang w:val="en-CA"/>
                        </w:rPr>
                        <w:t xml:space="preserve">ou </w:t>
                      </w:r>
                      <w:r w:rsidRPr="00C60501">
                        <w:rPr>
                          <w:lang w:val="en-CA"/>
                        </w:rPr>
                        <w:t>TNG/TOG</w:t>
                      </w:r>
                    </w:p>
                    <w:p w:rsidR="008276DC" w:rsidRPr="00C60501" w:rsidRDefault="008276DC" w:rsidP="00C60501">
                      <w:pPr>
                        <w:spacing w:after="0"/>
                        <w:rPr>
                          <w:lang w:val="en-CA"/>
                        </w:rPr>
                      </w:pPr>
                    </w:p>
                    <w:p w:rsidR="008276DC" w:rsidRPr="00C60501" w:rsidRDefault="008276DC" w:rsidP="00C60501">
                      <w:pPr>
                        <w:spacing w:after="0"/>
                        <w:rPr>
                          <w:u w:val="single"/>
                        </w:rPr>
                      </w:pPr>
                      <w:r w:rsidRPr="00C60501">
                        <w:rPr>
                          <w:u w:val="single"/>
                        </w:rPr>
                        <w:t>Substances /indications</w:t>
                      </w:r>
                    </w:p>
                    <w:p w:rsidR="008276DC" w:rsidRDefault="008276DC" w:rsidP="00C60501">
                      <w:pPr>
                        <w:pStyle w:val="Paragraphedeliste"/>
                        <w:numPr>
                          <w:ilvl w:val="0"/>
                          <w:numId w:val="1477"/>
                        </w:numPr>
                        <w:spacing w:after="0"/>
                      </w:pPr>
                      <w:r>
                        <w:t xml:space="preserve">Prise récente et aigue </w:t>
                      </w:r>
                      <w:proofErr w:type="gramStart"/>
                      <w:r>
                        <w:t xml:space="preserve">( </w:t>
                      </w:r>
                      <w:r>
                        <w:rPr>
                          <w:rFonts w:ascii="Century Gothic" w:hAnsi="Century Gothic"/>
                        </w:rPr>
                        <w:t>&lt;</w:t>
                      </w:r>
                      <w:proofErr w:type="gramEnd"/>
                      <w:r>
                        <w:t xml:space="preserve"> 1h) de :</w:t>
                      </w:r>
                    </w:p>
                    <w:p w:rsidR="008276DC" w:rsidRPr="00D03BB0" w:rsidRDefault="008276DC" w:rsidP="00C60501">
                      <w:pPr>
                        <w:pStyle w:val="Paragraphedeliste"/>
                        <w:numPr>
                          <w:ilvl w:val="0"/>
                          <w:numId w:val="1476"/>
                        </w:numPr>
                        <w:spacing w:after="0"/>
                        <w:rPr>
                          <w:b/>
                        </w:rPr>
                      </w:pPr>
                      <w:r w:rsidRPr="00D03BB0">
                        <w:rPr>
                          <w:b/>
                        </w:rPr>
                        <w:t>Acétaminophène</w:t>
                      </w:r>
                    </w:p>
                    <w:p w:rsidR="008276DC" w:rsidRPr="00D03BB0" w:rsidRDefault="008276DC" w:rsidP="00C60501">
                      <w:pPr>
                        <w:pStyle w:val="Paragraphedeliste"/>
                        <w:numPr>
                          <w:ilvl w:val="0"/>
                          <w:numId w:val="1476"/>
                        </w:numPr>
                        <w:spacing w:after="0"/>
                        <w:rPr>
                          <w:b/>
                        </w:rPr>
                      </w:pPr>
                      <w:r w:rsidRPr="00D03BB0">
                        <w:rPr>
                          <w:b/>
                        </w:rPr>
                        <w:t>ASA</w:t>
                      </w:r>
                    </w:p>
                    <w:p w:rsidR="008276DC" w:rsidRDefault="008276DC" w:rsidP="00C60501">
                      <w:pPr>
                        <w:pStyle w:val="Paragraphedeliste"/>
                        <w:numPr>
                          <w:ilvl w:val="0"/>
                          <w:numId w:val="1476"/>
                        </w:numPr>
                        <w:spacing w:after="0"/>
                      </w:pPr>
                      <w:r>
                        <w:t>Digitale</w:t>
                      </w:r>
                    </w:p>
                    <w:p w:rsidR="008276DC" w:rsidRPr="00D03BB0" w:rsidRDefault="008276DC" w:rsidP="00C60501">
                      <w:pPr>
                        <w:pStyle w:val="Paragraphedeliste"/>
                        <w:numPr>
                          <w:ilvl w:val="0"/>
                          <w:numId w:val="1476"/>
                        </w:numPr>
                        <w:spacing w:after="0"/>
                        <w:rPr>
                          <w:b/>
                        </w:rPr>
                      </w:pPr>
                      <w:r w:rsidRPr="00D03BB0">
                        <w:rPr>
                          <w:b/>
                        </w:rPr>
                        <w:t>Benzodiazépines</w:t>
                      </w:r>
                    </w:p>
                    <w:p w:rsidR="008276DC" w:rsidRPr="00D03BB0" w:rsidRDefault="008276DC" w:rsidP="00C60501">
                      <w:pPr>
                        <w:pStyle w:val="Paragraphedeliste"/>
                        <w:numPr>
                          <w:ilvl w:val="0"/>
                          <w:numId w:val="1476"/>
                        </w:numPr>
                        <w:spacing w:after="0"/>
                        <w:rPr>
                          <w:b/>
                        </w:rPr>
                      </w:pPr>
                      <w:r w:rsidRPr="00D03BB0">
                        <w:rPr>
                          <w:b/>
                        </w:rPr>
                        <w:t>Cocaïne orale</w:t>
                      </w:r>
                    </w:p>
                    <w:p w:rsidR="008276DC" w:rsidRPr="00D03BB0" w:rsidRDefault="008276DC" w:rsidP="00C60501">
                      <w:pPr>
                        <w:pStyle w:val="Paragraphedeliste"/>
                        <w:numPr>
                          <w:ilvl w:val="0"/>
                          <w:numId w:val="1476"/>
                        </w:numPr>
                        <w:spacing w:after="0"/>
                        <w:rPr>
                          <w:b/>
                        </w:rPr>
                      </w:pPr>
                      <w:r w:rsidRPr="00D03BB0">
                        <w:rPr>
                          <w:b/>
                        </w:rPr>
                        <w:t>Ecstasy (MDMA)</w:t>
                      </w:r>
                    </w:p>
                    <w:p w:rsidR="008276DC" w:rsidRDefault="008276DC" w:rsidP="00C60501">
                      <w:pPr>
                        <w:pStyle w:val="Paragraphedeliste"/>
                        <w:numPr>
                          <w:ilvl w:val="0"/>
                          <w:numId w:val="1476"/>
                        </w:numPr>
                        <w:spacing w:after="0"/>
                      </w:pPr>
                      <w:r>
                        <w:t>Anticholinergiques</w:t>
                      </w:r>
                    </w:p>
                    <w:p w:rsidR="008276DC" w:rsidRDefault="008276DC" w:rsidP="00C60501">
                      <w:pPr>
                        <w:pStyle w:val="Paragraphedeliste"/>
                        <w:numPr>
                          <w:ilvl w:val="0"/>
                          <w:numId w:val="1476"/>
                        </w:numPr>
                        <w:spacing w:after="0"/>
                        <w:rPr>
                          <w:b/>
                        </w:rPr>
                      </w:pPr>
                      <w:r w:rsidRPr="00D03BB0">
                        <w:rPr>
                          <w:b/>
                        </w:rPr>
                        <w:t>B</w:t>
                      </w:r>
                      <w:r>
                        <w:rPr>
                          <w:b/>
                        </w:rPr>
                        <w:t>êta-bloqueurs</w:t>
                      </w:r>
                    </w:p>
                    <w:p w:rsidR="008276DC" w:rsidRPr="00D03BB0" w:rsidRDefault="008276DC" w:rsidP="00C60501">
                      <w:pPr>
                        <w:pStyle w:val="Paragraphedeliste"/>
                        <w:numPr>
                          <w:ilvl w:val="0"/>
                          <w:numId w:val="1476"/>
                        </w:numPr>
                        <w:spacing w:after="0"/>
                        <w:rPr>
                          <w:b/>
                        </w:rPr>
                      </w:pPr>
                      <w:r>
                        <w:rPr>
                          <w:b/>
                        </w:rPr>
                        <w:t>B</w:t>
                      </w:r>
                      <w:r w:rsidRPr="00D03BB0">
                        <w:rPr>
                          <w:b/>
                        </w:rPr>
                        <w:t>loquants calciques</w:t>
                      </w:r>
                    </w:p>
                    <w:p w:rsidR="008276DC" w:rsidRDefault="008276DC" w:rsidP="00C60501">
                      <w:pPr>
                        <w:pStyle w:val="Paragraphedeliste"/>
                        <w:numPr>
                          <w:ilvl w:val="0"/>
                          <w:numId w:val="1476"/>
                        </w:numPr>
                        <w:spacing w:after="0"/>
                      </w:pPr>
                      <w:r>
                        <w:t>Barbituriques</w:t>
                      </w:r>
                    </w:p>
                    <w:p w:rsidR="008276DC" w:rsidRDefault="008276DC" w:rsidP="00C60501">
                      <w:pPr>
                        <w:pStyle w:val="Paragraphedeliste"/>
                        <w:numPr>
                          <w:ilvl w:val="0"/>
                          <w:numId w:val="1476"/>
                        </w:numPr>
                        <w:spacing w:after="0"/>
                      </w:pPr>
                      <w:r>
                        <w:t>Dapsone</w:t>
                      </w:r>
                    </w:p>
                    <w:p w:rsidR="008276DC" w:rsidRDefault="008276DC" w:rsidP="00C60501">
                      <w:pPr>
                        <w:pStyle w:val="Paragraphedeliste"/>
                        <w:numPr>
                          <w:ilvl w:val="0"/>
                          <w:numId w:val="1476"/>
                        </w:numPr>
                        <w:spacing w:after="0"/>
                      </w:pPr>
                      <w:r>
                        <w:t>Carbamazépine</w:t>
                      </w:r>
                    </w:p>
                    <w:p w:rsidR="008276DC" w:rsidRDefault="008276DC"/>
                  </w:txbxContent>
                </v:textbox>
              </v:shape>
            </w:pict>
          </mc:Fallback>
        </mc:AlternateContent>
      </w:r>
    </w:p>
    <w:p w:rsidR="008947D9" w:rsidRPr="008947D9" w:rsidRDefault="008947D9" w:rsidP="008947D9">
      <w:pPr>
        <w:pStyle w:val="Sansinterligne"/>
        <w:rPr>
          <w:b/>
          <w:sz w:val="28"/>
          <w:szCs w:val="28"/>
        </w:rPr>
      </w:pPr>
      <w:r w:rsidRPr="008947D9">
        <w:rPr>
          <w:b/>
          <w:sz w:val="28"/>
          <w:szCs w:val="28"/>
        </w:rPr>
        <w:t>Prise en charge</w:t>
      </w:r>
    </w:p>
    <w:p w:rsidR="00E64703" w:rsidRDefault="00E64703" w:rsidP="008947D9">
      <w:pPr>
        <w:pStyle w:val="Sansinterligne"/>
      </w:pPr>
    </w:p>
    <w:p w:rsidR="008947D9" w:rsidRPr="00DB4E25" w:rsidRDefault="008947D9" w:rsidP="008B6EBB">
      <w:pPr>
        <w:pStyle w:val="Sansinterligne"/>
        <w:numPr>
          <w:ilvl w:val="0"/>
          <w:numId w:val="1480"/>
        </w:numPr>
        <w:ind w:right="4137"/>
        <w:rPr>
          <w:highlight w:val="yellow"/>
        </w:rPr>
      </w:pPr>
      <w:r w:rsidRPr="00DB4E25">
        <w:rPr>
          <w:highlight w:val="yellow"/>
        </w:rPr>
        <w:t>ABC et ACLS</w:t>
      </w:r>
      <w:r w:rsidR="007F04B4" w:rsidRPr="00DB4E25">
        <w:rPr>
          <w:highlight w:val="yellow"/>
        </w:rPr>
        <w:t xml:space="preserve"> dans tous les cas</w:t>
      </w:r>
      <w:r w:rsidR="008B6EBB" w:rsidRPr="00DB4E25">
        <w:rPr>
          <w:highlight w:val="yellow"/>
        </w:rPr>
        <w:t xml:space="preserve"> !</w:t>
      </w:r>
    </w:p>
    <w:p w:rsidR="008B6EBB" w:rsidRPr="00DB4E25" w:rsidRDefault="008B6EBB" w:rsidP="008B6EBB">
      <w:pPr>
        <w:pStyle w:val="Sansinterligne"/>
        <w:numPr>
          <w:ilvl w:val="1"/>
          <w:numId w:val="1480"/>
        </w:numPr>
        <w:ind w:right="4137"/>
        <w:rPr>
          <w:highlight w:val="yellow"/>
        </w:rPr>
      </w:pPr>
      <w:r w:rsidRPr="00DB4E25">
        <w:rPr>
          <w:highlight w:val="yellow"/>
        </w:rPr>
        <w:t>La première intention est de s’assurer de la stabilité du patient.</w:t>
      </w:r>
    </w:p>
    <w:p w:rsidR="0051276D" w:rsidRPr="00DB4E25" w:rsidRDefault="008B6EBB" w:rsidP="0051276D">
      <w:pPr>
        <w:pStyle w:val="Sansinterligne"/>
        <w:numPr>
          <w:ilvl w:val="1"/>
          <w:numId w:val="1480"/>
        </w:numPr>
        <w:ind w:right="4137"/>
        <w:rPr>
          <w:highlight w:val="yellow"/>
        </w:rPr>
      </w:pPr>
      <w:r w:rsidRPr="00DB4E25">
        <w:rPr>
          <w:highlight w:val="yellow"/>
        </w:rPr>
        <w:t>L’intubation est parfois nécessaire, mais il ne faut pas nécessairement intuber.</w:t>
      </w:r>
    </w:p>
    <w:p w:rsidR="0051276D" w:rsidRDefault="0051276D" w:rsidP="0051276D">
      <w:pPr>
        <w:pStyle w:val="Sansinterligne"/>
        <w:numPr>
          <w:ilvl w:val="1"/>
          <w:numId w:val="1480"/>
        </w:numPr>
        <w:ind w:right="4137"/>
      </w:pPr>
      <w:r>
        <w:t>Examen complet du patient (incluant colonne cervicale</w:t>
      </w:r>
      <w:r w:rsidR="009D74D6">
        <w:t>)</w:t>
      </w:r>
    </w:p>
    <w:p w:rsidR="009D74D6" w:rsidRDefault="009D74D6" w:rsidP="00DC2D14">
      <w:pPr>
        <w:pStyle w:val="Sansinterligne"/>
        <w:ind w:left="1080" w:right="4137"/>
      </w:pPr>
    </w:p>
    <w:p w:rsidR="008B6EBB" w:rsidRPr="00DB4E25" w:rsidRDefault="008B6EBB" w:rsidP="008B6EBB">
      <w:pPr>
        <w:pStyle w:val="Sansinterligne"/>
        <w:numPr>
          <w:ilvl w:val="0"/>
          <w:numId w:val="1480"/>
        </w:numPr>
        <w:ind w:right="4137"/>
        <w:rPr>
          <w:highlight w:val="yellow"/>
        </w:rPr>
      </w:pPr>
      <w:r w:rsidRPr="00DB4E25">
        <w:rPr>
          <w:highlight w:val="yellow"/>
        </w:rPr>
        <w:t>Le charbon activé est utile dans plusieurs cas si donné rapidement.</w:t>
      </w:r>
      <w:r w:rsidR="009D74D6" w:rsidRPr="00DB4E25">
        <w:rPr>
          <w:highlight w:val="yellow"/>
        </w:rPr>
        <w:t xml:space="preserve"> </w:t>
      </w:r>
    </w:p>
    <w:p w:rsidR="008B6EBB" w:rsidRDefault="008B6EBB" w:rsidP="008B6EBB">
      <w:pPr>
        <w:pStyle w:val="Sansinterligne"/>
        <w:numPr>
          <w:ilvl w:val="0"/>
          <w:numId w:val="1480"/>
        </w:numPr>
        <w:ind w:right="4137"/>
      </w:pPr>
      <w:r w:rsidRPr="00DB4E25">
        <w:rPr>
          <w:highlight w:val="yellow"/>
        </w:rPr>
        <w:t>Le centre antipoison est disponible et devrait faire l’objet d’un appel</w:t>
      </w:r>
      <w:r>
        <w:t> :</w:t>
      </w:r>
    </w:p>
    <w:p w:rsidR="008B6EBB" w:rsidRDefault="008B6EBB" w:rsidP="008B6EBB">
      <w:pPr>
        <w:pStyle w:val="Sansinterligne"/>
        <w:numPr>
          <w:ilvl w:val="1"/>
          <w:numId w:val="1480"/>
        </w:numPr>
        <w:ind w:right="4137"/>
      </w:pPr>
      <w:r>
        <w:t xml:space="preserve">Dès que la substance est peu courante ou le clinicien </w:t>
      </w:r>
      <w:r w:rsidR="009D74D6">
        <w:rPr>
          <w:rFonts w:cs="Times New Roman"/>
        </w:rPr>
        <w:t>Ø</w:t>
      </w:r>
      <w:r w:rsidR="009D74D6">
        <w:t xml:space="preserve"> </w:t>
      </w:r>
      <w:r>
        <w:t>à l’aise.</w:t>
      </w:r>
    </w:p>
    <w:p w:rsidR="008B6EBB" w:rsidRDefault="008B6EBB" w:rsidP="008B6EBB">
      <w:pPr>
        <w:pStyle w:val="Sansinterligne"/>
        <w:numPr>
          <w:ilvl w:val="1"/>
          <w:numId w:val="1480"/>
        </w:numPr>
        <w:ind w:right="4137"/>
      </w:pPr>
      <w:r>
        <w:t>Un toxicologue de garde est toujours disponible.</w:t>
      </w:r>
    </w:p>
    <w:p w:rsidR="008947D9" w:rsidRPr="008947D9" w:rsidRDefault="008947D9" w:rsidP="008B6EBB">
      <w:pPr>
        <w:pStyle w:val="Sansinterligne"/>
        <w:numPr>
          <w:ilvl w:val="0"/>
          <w:numId w:val="1480"/>
        </w:numPr>
        <w:ind w:right="4137"/>
      </w:pPr>
      <w:r>
        <w:t>Référence en psychiatrie si lien avec psychotropes</w:t>
      </w:r>
      <w:r w:rsidR="008B6EBB">
        <w:t xml:space="preserve"> (ISRS, etc.)</w:t>
      </w:r>
    </w:p>
    <w:p w:rsidR="00944D8E" w:rsidRPr="008947D9" w:rsidRDefault="00944D8E" w:rsidP="008947D9">
      <w:pPr>
        <w:pStyle w:val="Sansinterligne"/>
      </w:pPr>
    </w:p>
    <w:p w:rsidR="00944D8E" w:rsidRPr="007F04B4" w:rsidRDefault="008F6737" w:rsidP="008947D9">
      <w:pPr>
        <w:pStyle w:val="Sansinterligne"/>
        <w:rPr>
          <w:b/>
        </w:rPr>
      </w:pPr>
      <w:r w:rsidRPr="007F04B4">
        <w:rPr>
          <w:b/>
        </w:rPr>
        <w:t>Salicylates</w:t>
      </w:r>
    </w:p>
    <w:p w:rsidR="007F04B4" w:rsidRPr="00DB4E25" w:rsidRDefault="007F04B4" w:rsidP="00C60501">
      <w:pPr>
        <w:pStyle w:val="Sansinterligne"/>
        <w:numPr>
          <w:ilvl w:val="0"/>
          <w:numId w:val="1473"/>
        </w:numPr>
        <w:ind w:right="4421"/>
        <w:rPr>
          <w:highlight w:val="yellow"/>
        </w:rPr>
      </w:pPr>
      <w:r w:rsidRPr="00DB4E25">
        <w:rPr>
          <w:highlight w:val="yellow"/>
        </w:rPr>
        <w:t>Bolus de Dextrose 50% ou jus</w:t>
      </w:r>
    </w:p>
    <w:p w:rsidR="007F04B4" w:rsidRPr="00DB4E25" w:rsidRDefault="007F04B4" w:rsidP="00DB4E25">
      <w:pPr>
        <w:pStyle w:val="Sansinterligne"/>
        <w:numPr>
          <w:ilvl w:val="1"/>
          <w:numId w:val="1473"/>
        </w:numPr>
        <w:ind w:right="4421"/>
        <w:rPr>
          <w:highlight w:val="yellow"/>
        </w:rPr>
      </w:pPr>
      <w:r w:rsidRPr="00DB4E25">
        <w:rPr>
          <w:highlight w:val="yellow"/>
        </w:rPr>
        <w:t xml:space="preserve">Maintenir la glycémie dans la limite haute (pour </w:t>
      </w:r>
      <w:r w:rsidRPr="00DB4E25">
        <w:rPr>
          <w:rFonts w:ascii="Century Gothic" w:hAnsi="Century Gothic"/>
          <w:highlight w:val="yellow"/>
        </w:rPr>
        <w:t>↑</w:t>
      </w:r>
      <w:r w:rsidRPr="00DB4E25">
        <w:rPr>
          <w:highlight w:val="yellow"/>
        </w:rPr>
        <w:t xml:space="preserve"> la glycémie au CNS)</w:t>
      </w:r>
    </w:p>
    <w:p w:rsidR="007F04B4" w:rsidRPr="00DB4E25" w:rsidRDefault="007F04B4" w:rsidP="00C60501">
      <w:pPr>
        <w:pStyle w:val="Sansinterligne"/>
        <w:numPr>
          <w:ilvl w:val="0"/>
          <w:numId w:val="1473"/>
        </w:numPr>
        <w:ind w:right="4421"/>
        <w:rPr>
          <w:highlight w:val="yellow"/>
        </w:rPr>
      </w:pPr>
      <w:r w:rsidRPr="00DB4E25">
        <w:rPr>
          <w:highlight w:val="yellow"/>
        </w:rPr>
        <w:t>Correction de l’hypokaliémie si présente</w:t>
      </w:r>
    </w:p>
    <w:p w:rsidR="007F04B4" w:rsidRPr="00DB4E25" w:rsidRDefault="007F04B4" w:rsidP="00C60501">
      <w:pPr>
        <w:pStyle w:val="Sansinterligne"/>
        <w:numPr>
          <w:ilvl w:val="0"/>
          <w:numId w:val="1473"/>
        </w:numPr>
        <w:ind w:right="4421"/>
        <w:rPr>
          <w:highlight w:val="yellow"/>
        </w:rPr>
      </w:pPr>
      <w:r w:rsidRPr="00DB4E25">
        <w:rPr>
          <w:highlight w:val="yellow"/>
        </w:rPr>
        <w:t>Alcalinisation des urines</w:t>
      </w:r>
      <w:r w:rsidR="00535FB7" w:rsidRPr="00DB4E25">
        <w:rPr>
          <w:highlight w:val="yellow"/>
        </w:rPr>
        <w:t xml:space="preserve"> </w:t>
      </w:r>
      <w:r w:rsidR="000A4E2A" w:rsidRPr="00DB4E25">
        <w:rPr>
          <w:rFonts w:ascii="Century Gothic" w:hAnsi="Century Gothic"/>
          <w:highlight w:val="yellow"/>
        </w:rPr>
        <w:t>&gt;</w:t>
      </w:r>
      <w:r w:rsidR="000A4E2A" w:rsidRPr="00DB4E25">
        <w:rPr>
          <w:highlight w:val="yellow"/>
        </w:rPr>
        <w:t xml:space="preserve"> 7,5 </w:t>
      </w:r>
      <w:r w:rsidR="00535FB7" w:rsidRPr="00DB4E25">
        <w:rPr>
          <w:highlight w:val="yellow"/>
        </w:rPr>
        <w:t>(</w:t>
      </w:r>
      <w:r w:rsidR="00535FB7" w:rsidRPr="00DB4E25">
        <w:rPr>
          <w:rFonts w:ascii="Century Gothic" w:hAnsi="Century Gothic"/>
          <w:highlight w:val="yellow"/>
        </w:rPr>
        <w:t>↑</w:t>
      </w:r>
      <w:r w:rsidR="00535FB7" w:rsidRPr="00DB4E25">
        <w:rPr>
          <w:highlight w:val="yellow"/>
        </w:rPr>
        <w:t xml:space="preserve"> excrétion)</w:t>
      </w:r>
    </w:p>
    <w:p w:rsidR="00535FB7" w:rsidRDefault="007F04B4" w:rsidP="00C60501">
      <w:pPr>
        <w:pStyle w:val="Sansinterligne"/>
        <w:numPr>
          <w:ilvl w:val="1"/>
          <w:numId w:val="1473"/>
        </w:numPr>
        <w:ind w:right="4421"/>
      </w:pPr>
      <w:r>
        <w:t xml:space="preserve">Bicarbonate </w:t>
      </w:r>
      <w:r w:rsidR="00C60501">
        <w:t>sodique</w:t>
      </w:r>
      <w:r>
        <w:t xml:space="preserve"> (NaHCO</w:t>
      </w:r>
      <w:r w:rsidRPr="007F04B4">
        <w:rPr>
          <w:vertAlign w:val="subscript"/>
        </w:rPr>
        <w:t>3</w:t>
      </w:r>
      <w:r>
        <w:t xml:space="preserve">) </w:t>
      </w:r>
      <w:r w:rsidR="00C60501">
        <w:t xml:space="preserve">- </w:t>
      </w:r>
      <w:r>
        <w:t>bolus de 1-2 mmol/kg</w:t>
      </w:r>
      <w:r w:rsidR="00535FB7">
        <w:t xml:space="preserve"> x 1</w:t>
      </w:r>
      <w:r>
        <w:t xml:space="preserve"> </w:t>
      </w:r>
    </w:p>
    <w:p w:rsidR="007F04B4" w:rsidRDefault="00535FB7" w:rsidP="00C60501">
      <w:pPr>
        <w:pStyle w:val="Sansinterligne"/>
        <w:numPr>
          <w:ilvl w:val="1"/>
          <w:numId w:val="1473"/>
        </w:numPr>
        <w:ind w:right="4421"/>
      </w:pPr>
      <w:r>
        <w:t>P</w:t>
      </w:r>
      <w:r w:rsidR="007F04B4">
        <w:t>uis perfusion 150 mmol/L dans D5%.</w:t>
      </w:r>
    </w:p>
    <w:p w:rsidR="00535FB7" w:rsidRDefault="00535FB7" w:rsidP="00C60501">
      <w:pPr>
        <w:pStyle w:val="Sansinterligne"/>
        <w:numPr>
          <w:ilvl w:val="0"/>
          <w:numId w:val="1473"/>
        </w:numPr>
        <w:ind w:right="4421"/>
      </w:pPr>
      <w:r>
        <w:t>Contrôle 1 1-2h du taux de salicylates sanguin (observation de la réponse)</w:t>
      </w:r>
    </w:p>
    <w:p w:rsidR="007F04B4" w:rsidRDefault="00DB4E25" w:rsidP="00C60501">
      <w:pPr>
        <w:pStyle w:val="Sansinterligne"/>
        <w:numPr>
          <w:ilvl w:val="0"/>
          <w:numId w:val="1473"/>
        </w:numPr>
        <w:ind w:right="4421"/>
      </w:pPr>
      <w:r>
        <w:rPr>
          <w:noProof/>
          <w:lang w:eastAsia="fr-CA"/>
        </w:rPr>
        <w:drawing>
          <wp:anchor distT="0" distB="0" distL="114300" distR="114300" simplePos="0" relativeHeight="252200960" behindDoc="1" locked="0" layoutInCell="1" allowOverlap="1" wp14:anchorId="51258FE1" wp14:editId="290D8448">
            <wp:simplePos x="0" y="0"/>
            <wp:positionH relativeFrom="column">
              <wp:posOffset>3967480</wp:posOffset>
            </wp:positionH>
            <wp:positionV relativeFrom="paragraph">
              <wp:posOffset>-236220</wp:posOffset>
            </wp:positionV>
            <wp:extent cx="2670810" cy="1770380"/>
            <wp:effectExtent l="0" t="0" r="0" b="1270"/>
            <wp:wrapNone/>
            <wp:docPr id="671" name="Image 671" descr="Résultats de recherche d'images pour « Aspirin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ésultats de recherche d'images pour « Aspirine »"/>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2670810" cy="1770380"/>
                    </a:xfrm>
                    <a:prstGeom prst="rect">
                      <a:avLst/>
                    </a:prstGeom>
                    <a:noFill/>
                    <a:ln>
                      <a:noFill/>
                    </a:ln>
                  </pic:spPr>
                </pic:pic>
              </a:graphicData>
            </a:graphic>
            <wp14:sizeRelH relativeFrom="page">
              <wp14:pctWidth>0</wp14:pctWidth>
            </wp14:sizeRelH>
            <wp14:sizeRelV relativeFrom="page">
              <wp14:pctHeight>0</wp14:pctHeight>
            </wp14:sizeRelV>
          </wp:anchor>
        </w:drawing>
      </w:r>
      <w:r w:rsidR="007F04B4" w:rsidRPr="00DB4E25">
        <w:rPr>
          <w:highlight w:val="yellow"/>
        </w:rPr>
        <w:t>Hémodialyse</w:t>
      </w:r>
      <w:r w:rsidR="007F04B4">
        <w:t xml:space="preserve"> si non-réponse ou si œdème cérébral/pulmonaire ou IR compromettant l’excrétion</w:t>
      </w:r>
    </w:p>
    <w:p w:rsidR="007F04B4" w:rsidRDefault="007F04B4" w:rsidP="008947D9">
      <w:pPr>
        <w:pStyle w:val="Sansinterligne"/>
      </w:pPr>
    </w:p>
    <w:p w:rsidR="000A4E2A" w:rsidRPr="000A4E2A" w:rsidRDefault="000A4E2A" w:rsidP="008947D9">
      <w:pPr>
        <w:pStyle w:val="Sansinterligne"/>
        <w:rPr>
          <w:b/>
        </w:rPr>
      </w:pPr>
      <w:r w:rsidRPr="000A4E2A">
        <w:rPr>
          <w:b/>
        </w:rPr>
        <w:t>Acétaminophène</w:t>
      </w:r>
    </w:p>
    <w:p w:rsidR="000A4E2A" w:rsidRDefault="000A4E2A" w:rsidP="00ED1F48">
      <w:pPr>
        <w:pStyle w:val="Sansinterligne"/>
        <w:numPr>
          <w:ilvl w:val="0"/>
          <w:numId w:val="1474"/>
        </w:numPr>
      </w:pPr>
      <w:r w:rsidRPr="00DB4E25">
        <w:rPr>
          <w:highlight w:val="yellow"/>
        </w:rPr>
        <w:t>N-acétylcystéine</w:t>
      </w:r>
      <w:r>
        <w:t xml:space="preserve"> </w:t>
      </w:r>
      <w:r>
        <w:rPr>
          <w:rFonts w:ascii="Century Gothic" w:hAnsi="Century Gothic"/>
        </w:rPr>
        <w:t>&lt;</w:t>
      </w:r>
      <w:r>
        <w:t xml:space="preserve"> 8h depuis l’intoxication</w:t>
      </w:r>
    </w:p>
    <w:p w:rsidR="000A4E2A" w:rsidRDefault="000A4E2A" w:rsidP="00ED1F48">
      <w:pPr>
        <w:pStyle w:val="Sansinterligne"/>
        <w:numPr>
          <w:ilvl w:val="1"/>
          <w:numId w:val="1474"/>
        </w:numPr>
      </w:pPr>
      <w:r>
        <w:t>140 mg/kg PO x 1</w:t>
      </w:r>
    </w:p>
    <w:p w:rsidR="000A4E2A" w:rsidRDefault="000A4E2A" w:rsidP="00ED1F48">
      <w:pPr>
        <w:pStyle w:val="Sansinterligne"/>
        <w:numPr>
          <w:ilvl w:val="1"/>
          <w:numId w:val="1474"/>
        </w:numPr>
      </w:pPr>
      <w:r>
        <w:t>Puis 70 mg/kg PO q 4h x 17</w:t>
      </w:r>
    </w:p>
    <w:p w:rsidR="000A4E2A" w:rsidRDefault="000A4E2A" w:rsidP="00ED1F48">
      <w:pPr>
        <w:pStyle w:val="Sansinterligne"/>
        <w:numPr>
          <w:ilvl w:val="1"/>
          <w:numId w:val="1474"/>
        </w:numPr>
      </w:pPr>
      <w:r>
        <w:t>IV OK (voir doses) si PO impossible</w:t>
      </w:r>
    </w:p>
    <w:p w:rsidR="000A4E2A" w:rsidRDefault="00DB4E25" w:rsidP="00ED1F48">
      <w:pPr>
        <w:pStyle w:val="Sansinterligne"/>
        <w:numPr>
          <w:ilvl w:val="0"/>
          <w:numId w:val="1474"/>
        </w:numPr>
      </w:pPr>
      <w:r>
        <w:rPr>
          <w:noProof/>
          <w:lang w:eastAsia="fr-CA"/>
        </w:rPr>
        <w:drawing>
          <wp:anchor distT="0" distB="0" distL="114300" distR="114300" simplePos="0" relativeHeight="252201984" behindDoc="1" locked="0" layoutInCell="1" allowOverlap="1" wp14:anchorId="069873F5" wp14:editId="21A54184">
            <wp:simplePos x="0" y="0"/>
            <wp:positionH relativeFrom="column">
              <wp:posOffset>3336290</wp:posOffset>
            </wp:positionH>
            <wp:positionV relativeFrom="paragraph">
              <wp:posOffset>111125</wp:posOffset>
            </wp:positionV>
            <wp:extent cx="2917825" cy="1642110"/>
            <wp:effectExtent l="0" t="0" r="0" b="0"/>
            <wp:wrapNone/>
            <wp:docPr id="672" name="Image 672" descr="Résultats de recherche d'images pour « opiacé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ésultats de recherche d'images pour « opiacés »"/>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2917825" cy="1642110"/>
                    </a:xfrm>
                    <a:prstGeom prst="rect">
                      <a:avLst/>
                    </a:prstGeom>
                    <a:noFill/>
                    <a:ln>
                      <a:noFill/>
                    </a:ln>
                  </pic:spPr>
                </pic:pic>
              </a:graphicData>
            </a:graphic>
            <wp14:sizeRelH relativeFrom="page">
              <wp14:pctWidth>0</wp14:pctWidth>
            </wp14:sizeRelH>
            <wp14:sizeRelV relativeFrom="page">
              <wp14:pctHeight>0</wp14:pctHeight>
            </wp14:sizeRelV>
          </wp:anchor>
        </w:drawing>
      </w:r>
      <w:r w:rsidR="000A4E2A">
        <w:t>Contrôle dosage, AST et ALT après 4h</w:t>
      </w:r>
    </w:p>
    <w:p w:rsidR="004D3E52" w:rsidRDefault="004D3E52" w:rsidP="004D3E52">
      <w:pPr>
        <w:pStyle w:val="Sansinterligne"/>
      </w:pPr>
    </w:p>
    <w:p w:rsidR="004D3E52" w:rsidRPr="004D3E52" w:rsidRDefault="004D3E52" w:rsidP="004D3E52">
      <w:pPr>
        <w:pStyle w:val="Sansinterligne"/>
        <w:rPr>
          <w:b/>
        </w:rPr>
      </w:pPr>
      <w:r w:rsidRPr="004D3E52">
        <w:rPr>
          <w:b/>
        </w:rPr>
        <w:t>Digitale</w:t>
      </w:r>
    </w:p>
    <w:p w:rsidR="004D3E52" w:rsidRDefault="004D3E52" w:rsidP="00ED1F48">
      <w:pPr>
        <w:pStyle w:val="Sansinterligne"/>
        <w:numPr>
          <w:ilvl w:val="0"/>
          <w:numId w:val="1475"/>
        </w:numPr>
      </w:pPr>
      <w:r>
        <w:t xml:space="preserve">Anticorps spécifique anti-digitale </w:t>
      </w:r>
    </w:p>
    <w:p w:rsidR="004D3E52" w:rsidRDefault="004D3E52" w:rsidP="00DB4E25">
      <w:pPr>
        <w:pStyle w:val="Sansinterligne"/>
        <w:numPr>
          <w:ilvl w:val="1"/>
          <w:numId w:val="1475"/>
        </w:numPr>
      </w:pPr>
      <w:r>
        <w:t>1 fiole neutralise 0,5 mg de digitale</w:t>
      </w:r>
    </w:p>
    <w:p w:rsidR="004D3E52" w:rsidRDefault="004D3E52" w:rsidP="00DB4E25">
      <w:pPr>
        <w:pStyle w:val="Sansinterligne"/>
        <w:numPr>
          <w:ilvl w:val="1"/>
          <w:numId w:val="1475"/>
        </w:numPr>
      </w:pPr>
      <w:r>
        <w:t>Empiriquement : 10 fioles (5 pour enfant)</w:t>
      </w:r>
    </w:p>
    <w:p w:rsidR="004D3E52" w:rsidRDefault="004D3E52" w:rsidP="00DB4E25">
      <w:pPr>
        <w:pStyle w:val="Sansinterligne"/>
        <w:numPr>
          <w:ilvl w:val="1"/>
          <w:numId w:val="1475"/>
        </w:numPr>
      </w:pPr>
      <w:r>
        <w:t>Ajuster selon digoxinémie et histoire</w:t>
      </w:r>
    </w:p>
    <w:p w:rsidR="004D3E52" w:rsidRPr="008947D9" w:rsidRDefault="004D3E52" w:rsidP="00ED1F48">
      <w:pPr>
        <w:pStyle w:val="Sansinterligne"/>
        <w:numPr>
          <w:ilvl w:val="0"/>
          <w:numId w:val="1475"/>
        </w:numPr>
      </w:pPr>
      <w:r>
        <w:t>Traitement de support</w:t>
      </w:r>
    </w:p>
    <w:p w:rsidR="00944D8E" w:rsidRPr="008947D9" w:rsidRDefault="00944D8E" w:rsidP="008947D9">
      <w:pPr>
        <w:pStyle w:val="Sansinterligne"/>
      </w:pPr>
    </w:p>
    <w:p w:rsidR="00944D8E" w:rsidRPr="008B6EBB" w:rsidRDefault="00370DBA" w:rsidP="008947D9">
      <w:pPr>
        <w:pStyle w:val="Sansinterligne"/>
        <w:rPr>
          <w:b/>
        </w:rPr>
      </w:pPr>
      <w:r w:rsidRPr="008B6EBB">
        <w:rPr>
          <w:b/>
        </w:rPr>
        <w:t>Opiacés</w:t>
      </w:r>
    </w:p>
    <w:p w:rsidR="00370DBA" w:rsidRDefault="00370DBA" w:rsidP="008B6EBB">
      <w:pPr>
        <w:pStyle w:val="Sansinterligne"/>
        <w:numPr>
          <w:ilvl w:val="0"/>
          <w:numId w:val="1481"/>
        </w:numPr>
      </w:pPr>
      <w:r>
        <w:t>Oxygène</w:t>
      </w:r>
    </w:p>
    <w:p w:rsidR="00370DBA" w:rsidRPr="00DB4E25" w:rsidRDefault="00370DBA" w:rsidP="008B6EBB">
      <w:pPr>
        <w:pStyle w:val="Sansinterligne"/>
        <w:numPr>
          <w:ilvl w:val="0"/>
          <w:numId w:val="1481"/>
        </w:numPr>
        <w:rPr>
          <w:highlight w:val="yellow"/>
        </w:rPr>
      </w:pPr>
      <w:r w:rsidRPr="00DB4E25">
        <w:rPr>
          <w:highlight w:val="yellow"/>
        </w:rPr>
        <w:t>Naloxone  2 mg IV en bolus</w:t>
      </w:r>
    </w:p>
    <w:p w:rsidR="00370DBA" w:rsidRDefault="00370DBA" w:rsidP="00DB4E25">
      <w:pPr>
        <w:pStyle w:val="Sansinterligne"/>
        <w:numPr>
          <w:ilvl w:val="1"/>
          <w:numId w:val="1481"/>
        </w:numPr>
      </w:pPr>
      <w:r>
        <w:t>(0,4 mg puis 0,6 mg puis 1 mg selon réponse)</w:t>
      </w:r>
    </w:p>
    <w:p w:rsidR="00370DBA" w:rsidRDefault="00370DBA" w:rsidP="00DB4E25">
      <w:pPr>
        <w:pStyle w:val="Sansinterligne"/>
        <w:numPr>
          <w:ilvl w:val="1"/>
          <w:numId w:val="1481"/>
        </w:numPr>
      </w:pPr>
      <w:r>
        <w:t>Dose de maintien en infusion PRN (2/3 dose initiale / heure)</w:t>
      </w:r>
    </w:p>
    <w:p w:rsidR="00370DBA" w:rsidRDefault="00370DBA" w:rsidP="00DB4E25">
      <w:pPr>
        <w:pStyle w:val="Sansinterligne"/>
        <w:numPr>
          <w:ilvl w:val="1"/>
          <w:numId w:val="1481"/>
        </w:numPr>
      </w:pPr>
      <w:r>
        <w:t>Demi-vie 30-80 minutes</w:t>
      </w:r>
    </w:p>
    <w:p w:rsidR="00370DBA" w:rsidRDefault="00370DBA" w:rsidP="008947D9">
      <w:pPr>
        <w:pStyle w:val="Sansinterligne"/>
      </w:pPr>
    </w:p>
    <w:p w:rsidR="00680B55" w:rsidRPr="009D74D6" w:rsidRDefault="00370DBA" w:rsidP="008947D9">
      <w:pPr>
        <w:pStyle w:val="Sansinterligne"/>
        <w:rPr>
          <w:b/>
        </w:rPr>
      </w:pPr>
      <w:r w:rsidRPr="008B6EBB">
        <w:rPr>
          <w:b/>
        </w:rPr>
        <w:t xml:space="preserve">Sédatifs </w:t>
      </w:r>
    </w:p>
    <w:p w:rsidR="00680B55" w:rsidRPr="008B6EBB" w:rsidRDefault="00680B55" w:rsidP="008947D9">
      <w:pPr>
        <w:pStyle w:val="Sansinterligne"/>
        <w:rPr>
          <w:u w:val="single"/>
        </w:rPr>
      </w:pPr>
      <w:r w:rsidRPr="008B6EBB">
        <w:rPr>
          <w:u w:val="single"/>
        </w:rPr>
        <w:t>Benzodiazépines</w:t>
      </w:r>
    </w:p>
    <w:p w:rsidR="00680B55" w:rsidRPr="00DB4E25" w:rsidRDefault="00680B55" w:rsidP="008B6EBB">
      <w:pPr>
        <w:pStyle w:val="Sansinterligne"/>
        <w:numPr>
          <w:ilvl w:val="0"/>
          <w:numId w:val="1487"/>
        </w:numPr>
        <w:rPr>
          <w:highlight w:val="yellow"/>
        </w:rPr>
      </w:pPr>
      <w:r w:rsidRPr="00DB4E25">
        <w:rPr>
          <w:highlight w:val="yellow"/>
        </w:rPr>
        <w:t>Flumazénil si prise de benzodiazépines</w:t>
      </w:r>
    </w:p>
    <w:p w:rsidR="00680B55" w:rsidRDefault="00680B55" w:rsidP="00DB4E25">
      <w:pPr>
        <w:pStyle w:val="Sansinterligne"/>
        <w:numPr>
          <w:ilvl w:val="1"/>
          <w:numId w:val="1487"/>
        </w:numPr>
      </w:pPr>
      <w:r>
        <w:t>0,2 mg sur 30 secondes puis 0,3 mg sur 30 secondes (si réponse insuffisante)</w:t>
      </w:r>
    </w:p>
    <w:p w:rsidR="00680B55" w:rsidRDefault="00680B55" w:rsidP="00DB4E25">
      <w:pPr>
        <w:pStyle w:val="Sansinterligne"/>
        <w:numPr>
          <w:ilvl w:val="1"/>
          <w:numId w:val="1487"/>
        </w:numPr>
      </w:pPr>
      <w:r>
        <w:t>Rappel 0,5 mg q 1 min PRN (max 3 mg total)</w:t>
      </w:r>
    </w:p>
    <w:p w:rsidR="00680B55" w:rsidRDefault="00680B55" w:rsidP="008B6EBB">
      <w:pPr>
        <w:pStyle w:val="Sansinterligne"/>
        <w:numPr>
          <w:ilvl w:val="0"/>
          <w:numId w:val="1487"/>
        </w:numPr>
      </w:pPr>
      <w:r>
        <w:t>Traitement de support</w:t>
      </w:r>
    </w:p>
    <w:p w:rsidR="00DC1055" w:rsidRDefault="00DC1055" w:rsidP="008947D9">
      <w:pPr>
        <w:pStyle w:val="Sansinterligne"/>
      </w:pPr>
    </w:p>
    <w:p w:rsidR="00DC1055" w:rsidRPr="008B6EBB" w:rsidRDefault="00DB4E25" w:rsidP="008947D9">
      <w:pPr>
        <w:pStyle w:val="Sansinterligne"/>
        <w:rPr>
          <w:u w:val="single"/>
        </w:rPr>
      </w:pPr>
      <w:r>
        <w:rPr>
          <w:noProof/>
          <w:lang w:eastAsia="fr-CA"/>
        </w:rPr>
        <w:drawing>
          <wp:anchor distT="0" distB="0" distL="114300" distR="114300" simplePos="0" relativeHeight="252203008" behindDoc="0" locked="0" layoutInCell="1" allowOverlap="1" wp14:anchorId="5BCF31AE" wp14:editId="36B1BA0D">
            <wp:simplePos x="0" y="0"/>
            <wp:positionH relativeFrom="column">
              <wp:posOffset>3267710</wp:posOffset>
            </wp:positionH>
            <wp:positionV relativeFrom="paragraph">
              <wp:posOffset>26035</wp:posOffset>
            </wp:positionV>
            <wp:extent cx="3102610" cy="1537335"/>
            <wp:effectExtent l="0" t="0" r="2540" b="5715"/>
            <wp:wrapNone/>
            <wp:docPr id="674" name="Image 674" descr="Résultats de recherche d'images pour « cocain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ésultats de recherche d'images pour « cocaine »"/>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3102610" cy="153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DC1055" w:rsidRPr="008B6EBB">
        <w:rPr>
          <w:u w:val="single"/>
        </w:rPr>
        <w:t>Éthanol</w:t>
      </w:r>
      <w:r w:rsidRPr="00DB4E25">
        <w:t xml:space="preserve"> </w:t>
      </w:r>
    </w:p>
    <w:p w:rsidR="00DC1055" w:rsidRPr="00DB4E25" w:rsidRDefault="00DC1055" w:rsidP="008B6EBB">
      <w:pPr>
        <w:pStyle w:val="Sansinterligne"/>
        <w:numPr>
          <w:ilvl w:val="0"/>
          <w:numId w:val="1488"/>
        </w:numPr>
        <w:rPr>
          <w:highlight w:val="yellow"/>
        </w:rPr>
      </w:pPr>
      <w:r w:rsidRPr="00DB4E25">
        <w:rPr>
          <w:highlight w:val="yellow"/>
        </w:rPr>
        <w:t>Traitement de support</w:t>
      </w:r>
    </w:p>
    <w:p w:rsidR="00D03BB0" w:rsidRPr="00DB4E25" w:rsidRDefault="00DC1055" w:rsidP="008B6EBB">
      <w:pPr>
        <w:pStyle w:val="Sansinterligne"/>
        <w:numPr>
          <w:ilvl w:val="0"/>
          <w:numId w:val="1488"/>
        </w:numPr>
        <w:rPr>
          <w:highlight w:val="yellow"/>
        </w:rPr>
      </w:pPr>
      <w:r w:rsidRPr="00DB4E25">
        <w:rPr>
          <w:highlight w:val="yellow"/>
        </w:rPr>
        <w:t>Thiamine 100 mg IM/IV</w:t>
      </w:r>
    </w:p>
    <w:p w:rsidR="00D03BB0" w:rsidRDefault="00D03BB0" w:rsidP="008947D9">
      <w:pPr>
        <w:pStyle w:val="Sansinterligne"/>
      </w:pPr>
    </w:p>
    <w:p w:rsidR="00D03BB0" w:rsidRPr="008B6EBB" w:rsidRDefault="00F65B30" w:rsidP="008947D9">
      <w:pPr>
        <w:pStyle w:val="Sansinterligne"/>
        <w:rPr>
          <w:b/>
        </w:rPr>
      </w:pPr>
      <w:r w:rsidRPr="008B6EBB">
        <w:rPr>
          <w:b/>
        </w:rPr>
        <w:t>Cholinergiques</w:t>
      </w:r>
    </w:p>
    <w:p w:rsidR="00F65B30" w:rsidRPr="00DB4E25" w:rsidRDefault="00F65B30" w:rsidP="008B6EBB">
      <w:pPr>
        <w:pStyle w:val="Sansinterligne"/>
        <w:numPr>
          <w:ilvl w:val="0"/>
          <w:numId w:val="1482"/>
        </w:numPr>
        <w:rPr>
          <w:highlight w:val="yellow"/>
        </w:rPr>
      </w:pPr>
      <w:r w:rsidRPr="00DB4E25">
        <w:rPr>
          <w:highlight w:val="yellow"/>
        </w:rPr>
        <w:t>Atropine 2-5 mg IV, doublé q 5 min ad résolution</w:t>
      </w:r>
    </w:p>
    <w:p w:rsidR="00F65B30" w:rsidRDefault="00F65B30" w:rsidP="008B6EBB">
      <w:pPr>
        <w:pStyle w:val="Sansinterligne"/>
        <w:numPr>
          <w:ilvl w:val="0"/>
          <w:numId w:val="1482"/>
        </w:numPr>
      </w:pPr>
      <w:r w:rsidRPr="00DB4E25">
        <w:rPr>
          <w:highlight w:val="yellow"/>
        </w:rPr>
        <w:t>Pralidoxime</w:t>
      </w:r>
      <w:r>
        <w:t xml:space="preserve"> 30mg/kg IV sur 30 min</w:t>
      </w:r>
    </w:p>
    <w:p w:rsidR="00F65B30" w:rsidRDefault="00F65B30" w:rsidP="008B6EBB">
      <w:pPr>
        <w:pStyle w:val="Sansinterligne"/>
        <w:numPr>
          <w:ilvl w:val="0"/>
          <w:numId w:val="1482"/>
        </w:numPr>
      </w:pPr>
      <w:r>
        <w:t>Traitement de support</w:t>
      </w:r>
    </w:p>
    <w:p w:rsidR="0008206E" w:rsidRDefault="0008206E" w:rsidP="008947D9">
      <w:pPr>
        <w:pStyle w:val="Sansinterligne"/>
      </w:pPr>
    </w:p>
    <w:p w:rsidR="00D03BB0" w:rsidRPr="008B6EBB" w:rsidRDefault="0008206E" w:rsidP="008947D9">
      <w:pPr>
        <w:pStyle w:val="Sansinterligne"/>
        <w:rPr>
          <w:b/>
        </w:rPr>
      </w:pPr>
      <w:r w:rsidRPr="008B6EBB">
        <w:rPr>
          <w:b/>
        </w:rPr>
        <w:t>Anticholinergiques</w:t>
      </w:r>
    </w:p>
    <w:p w:rsidR="0008206E" w:rsidRDefault="0008206E" w:rsidP="008B6EBB">
      <w:pPr>
        <w:pStyle w:val="Sansinterligne"/>
        <w:numPr>
          <w:ilvl w:val="0"/>
          <w:numId w:val="1483"/>
        </w:numPr>
      </w:pPr>
      <w:r>
        <w:t>Traitement de support</w:t>
      </w:r>
    </w:p>
    <w:p w:rsidR="0008206E" w:rsidRDefault="0008206E" w:rsidP="008B6EBB">
      <w:pPr>
        <w:pStyle w:val="Sansinterligne"/>
        <w:numPr>
          <w:ilvl w:val="0"/>
          <w:numId w:val="1483"/>
        </w:numPr>
      </w:pPr>
      <w:r>
        <w:t>Benzodiazépines pour contrôle de l’agitation et convulsions</w:t>
      </w:r>
    </w:p>
    <w:p w:rsidR="0008206E" w:rsidRDefault="0008206E" w:rsidP="008B6EBB">
      <w:pPr>
        <w:pStyle w:val="Sansinterligne"/>
        <w:numPr>
          <w:ilvl w:val="0"/>
          <w:numId w:val="1483"/>
        </w:numPr>
      </w:pPr>
      <w:r>
        <w:t>Bicarbonate sodique (NaHCO</w:t>
      </w:r>
      <w:r w:rsidRPr="007F04B4">
        <w:rPr>
          <w:vertAlign w:val="subscript"/>
        </w:rPr>
        <w:t>3</w:t>
      </w:r>
      <w:r>
        <w:t>) si intox aux TCA avec arythmie</w:t>
      </w:r>
    </w:p>
    <w:p w:rsidR="0008206E" w:rsidRDefault="0008206E" w:rsidP="008947D9">
      <w:pPr>
        <w:pStyle w:val="Sansinterligne"/>
      </w:pPr>
    </w:p>
    <w:p w:rsidR="008B6EBB" w:rsidRDefault="008B6EBB" w:rsidP="008947D9">
      <w:pPr>
        <w:pStyle w:val="Sansinterligne"/>
        <w:rPr>
          <w:b/>
        </w:rPr>
        <w:sectPr w:rsidR="008B6EBB" w:rsidSect="00217865">
          <w:type w:val="continuous"/>
          <w:pgSz w:w="12240" w:h="15840"/>
          <w:pgMar w:top="720" w:right="720" w:bottom="720" w:left="720" w:header="708" w:footer="708" w:gutter="0"/>
          <w:cols w:space="708"/>
          <w:docGrid w:linePitch="360"/>
        </w:sectPr>
      </w:pPr>
    </w:p>
    <w:p w:rsidR="00185EA8" w:rsidRPr="008B6EBB" w:rsidRDefault="00185EA8" w:rsidP="008947D9">
      <w:pPr>
        <w:pStyle w:val="Sansinterligne"/>
        <w:rPr>
          <w:b/>
        </w:rPr>
      </w:pPr>
      <w:r w:rsidRPr="008B6EBB">
        <w:rPr>
          <w:b/>
        </w:rPr>
        <w:t>Sympaticomimétiques</w:t>
      </w:r>
    </w:p>
    <w:p w:rsidR="00185EA8" w:rsidRPr="00DB4E25" w:rsidRDefault="00185EA8" w:rsidP="008B6EBB">
      <w:pPr>
        <w:pStyle w:val="Sansinterligne"/>
        <w:numPr>
          <w:ilvl w:val="0"/>
          <w:numId w:val="1484"/>
        </w:numPr>
        <w:rPr>
          <w:highlight w:val="yellow"/>
        </w:rPr>
      </w:pPr>
      <w:r w:rsidRPr="00DB4E25">
        <w:rPr>
          <w:highlight w:val="yellow"/>
        </w:rPr>
        <w:t>Traitement de support</w:t>
      </w:r>
    </w:p>
    <w:p w:rsidR="00185EA8" w:rsidRDefault="00185EA8" w:rsidP="008B6EBB">
      <w:pPr>
        <w:pStyle w:val="Sansinterligne"/>
        <w:numPr>
          <w:ilvl w:val="0"/>
          <w:numId w:val="1484"/>
        </w:numPr>
      </w:pPr>
      <w:r w:rsidRPr="00DB4E25">
        <w:rPr>
          <w:highlight w:val="yellow"/>
        </w:rPr>
        <w:t>Réhydratation agressive</w:t>
      </w:r>
    </w:p>
    <w:p w:rsidR="00185EA8" w:rsidRDefault="00185EA8" w:rsidP="008B6EBB">
      <w:pPr>
        <w:pStyle w:val="Sansinterligne"/>
        <w:numPr>
          <w:ilvl w:val="0"/>
          <w:numId w:val="1484"/>
        </w:numPr>
      </w:pPr>
      <w:r>
        <w:t>Diazépam pour contrôle de l’agitation / HTA</w:t>
      </w:r>
    </w:p>
    <w:p w:rsidR="00185EA8" w:rsidRDefault="00185EA8" w:rsidP="008B6EBB">
      <w:pPr>
        <w:pStyle w:val="Sansinterligne"/>
        <w:numPr>
          <w:ilvl w:val="0"/>
          <w:numId w:val="1484"/>
        </w:numPr>
      </w:pPr>
      <w:r>
        <w:t>ECG si DRS associée</w:t>
      </w:r>
    </w:p>
    <w:p w:rsidR="00185EA8" w:rsidRDefault="00185EA8" w:rsidP="008947D9">
      <w:pPr>
        <w:pStyle w:val="Sansinterligne"/>
      </w:pPr>
    </w:p>
    <w:p w:rsidR="00185B6A" w:rsidRPr="008B6EBB" w:rsidRDefault="00185B6A" w:rsidP="008947D9">
      <w:pPr>
        <w:pStyle w:val="Sansinterligne"/>
        <w:rPr>
          <w:b/>
        </w:rPr>
      </w:pPr>
      <w:r w:rsidRPr="008B6EBB">
        <w:rPr>
          <w:b/>
        </w:rPr>
        <w:t>Hallucinogènes</w:t>
      </w:r>
    </w:p>
    <w:p w:rsidR="00185B6A" w:rsidRDefault="00185B6A" w:rsidP="008B6EBB">
      <w:pPr>
        <w:pStyle w:val="Sansinterligne"/>
        <w:numPr>
          <w:ilvl w:val="0"/>
          <w:numId w:val="1485"/>
        </w:numPr>
      </w:pPr>
      <w:r>
        <w:t>Traitement de support</w:t>
      </w:r>
    </w:p>
    <w:p w:rsidR="00185B6A" w:rsidRDefault="00185B6A" w:rsidP="008B6EBB">
      <w:pPr>
        <w:pStyle w:val="Sansinterligne"/>
        <w:numPr>
          <w:ilvl w:val="0"/>
          <w:numId w:val="1485"/>
        </w:numPr>
      </w:pPr>
      <w:r>
        <w:t>Diazépam pour contrôle de l’agitation / HTA</w:t>
      </w:r>
    </w:p>
    <w:p w:rsidR="00185B6A" w:rsidRDefault="00185B6A" w:rsidP="008947D9">
      <w:pPr>
        <w:pStyle w:val="Sansinterligne"/>
      </w:pPr>
    </w:p>
    <w:p w:rsidR="008B6EBB" w:rsidRDefault="008B6EBB" w:rsidP="008947D9">
      <w:pPr>
        <w:pStyle w:val="Sansinterligne"/>
      </w:pPr>
    </w:p>
    <w:p w:rsidR="00D03BB0" w:rsidRPr="008B6EBB" w:rsidRDefault="00D03BB0" w:rsidP="008947D9">
      <w:pPr>
        <w:pStyle w:val="Sansinterligne"/>
        <w:rPr>
          <w:b/>
        </w:rPr>
      </w:pPr>
      <w:r w:rsidRPr="008B6EBB">
        <w:rPr>
          <w:b/>
        </w:rPr>
        <w:t>Monoxyde de carbone</w:t>
      </w:r>
    </w:p>
    <w:p w:rsidR="00D03BB0" w:rsidRPr="00DB4E25" w:rsidRDefault="00D03BB0" w:rsidP="008B6EBB">
      <w:pPr>
        <w:pStyle w:val="Sansinterligne"/>
        <w:numPr>
          <w:ilvl w:val="0"/>
          <w:numId w:val="1486"/>
        </w:numPr>
        <w:rPr>
          <w:highlight w:val="yellow"/>
        </w:rPr>
      </w:pPr>
      <w:r w:rsidRPr="00DB4E25">
        <w:rPr>
          <w:highlight w:val="yellow"/>
        </w:rPr>
        <w:t>O</w:t>
      </w:r>
      <w:r w:rsidRPr="00DB4E25">
        <w:rPr>
          <w:highlight w:val="yellow"/>
          <w:vertAlign w:val="subscript"/>
        </w:rPr>
        <w:t>2</w:t>
      </w:r>
      <w:r w:rsidRPr="00DB4E25">
        <w:rPr>
          <w:highlight w:val="yellow"/>
        </w:rPr>
        <w:t> 100% avec masque</w:t>
      </w:r>
    </w:p>
    <w:p w:rsidR="00D03BB0" w:rsidRDefault="00D03BB0" w:rsidP="008B6EBB">
      <w:pPr>
        <w:pStyle w:val="Sansinterligne"/>
        <w:numPr>
          <w:ilvl w:val="0"/>
          <w:numId w:val="1486"/>
        </w:numPr>
      </w:pPr>
      <w:r>
        <w:t>Observation</w:t>
      </w:r>
    </w:p>
    <w:p w:rsidR="00D03BB0" w:rsidRDefault="00D03BB0" w:rsidP="008B6EBB">
      <w:pPr>
        <w:pStyle w:val="Sansinterligne"/>
        <w:numPr>
          <w:ilvl w:val="0"/>
          <w:numId w:val="1486"/>
        </w:numPr>
      </w:pPr>
      <w:r>
        <w:t>Si ischémie, atteinte organique ou perte de conscience</w:t>
      </w:r>
    </w:p>
    <w:p w:rsidR="008B6EBB" w:rsidRDefault="00D03BB0" w:rsidP="00DB4E25">
      <w:pPr>
        <w:pStyle w:val="Sansinterligne"/>
        <w:numPr>
          <w:ilvl w:val="1"/>
          <w:numId w:val="1486"/>
        </w:numPr>
        <w:sectPr w:rsidR="008B6EBB" w:rsidSect="008B6EBB">
          <w:type w:val="continuous"/>
          <w:pgSz w:w="12240" w:h="15840"/>
          <w:pgMar w:top="720" w:right="720" w:bottom="720" w:left="720" w:header="708" w:footer="708" w:gutter="0"/>
          <w:cols w:num="2" w:space="708"/>
          <w:docGrid w:linePitch="360"/>
        </w:sectPr>
      </w:pPr>
      <w:r>
        <w:t>In</w:t>
      </w:r>
      <w:r w:rsidR="009D74D6">
        <w:t xml:space="preserve">dication de </w:t>
      </w:r>
      <w:r w:rsidR="009D74D6" w:rsidRPr="00DB4E25">
        <w:rPr>
          <w:highlight w:val="yellow"/>
        </w:rPr>
        <w:t>traitement hyperbare</w:t>
      </w:r>
    </w:p>
    <w:p w:rsidR="009246D0" w:rsidRPr="009D74D6" w:rsidRDefault="00944D8E" w:rsidP="009D74D6">
      <w:pPr>
        <w:pStyle w:val="Sansinterligne"/>
      </w:pPr>
      <w:r w:rsidRPr="008947D9">
        <w:br w:type="page"/>
      </w:r>
      <w:r w:rsidR="009246D0">
        <w:rPr>
          <w:rFonts w:cs="Times New Roman"/>
          <w:b/>
          <w:color w:val="548DD4" w:themeColor="text2" w:themeTint="99"/>
        </w:rPr>
        <w:t>CMC 78-1</w:t>
      </w:r>
    </w:p>
    <w:p w:rsidR="009246D0" w:rsidRPr="00531D89" w:rsidRDefault="009246D0" w:rsidP="00531D89">
      <w:pPr>
        <w:pStyle w:val="Titre3"/>
        <w:spacing w:before="0"/>
        <w:rPr>
          <w:rFonts w:ascii="Times New Roman" w:hAnsi="Times New Roman" w:cs="Times New Roman"/>
        </w:rPr>
      </w:pPr>
      <w:bookmarkStart w:id="228" w:name="_Toc480797310"/>
      <w:r w:rsidRPr="00531D89">
        <w:rPr>
          <w:rFonts w:ascii="Times New Roman" w:hAnsi="Times New Roman" w:cs="Times New Roman"/>
        </w:rPr>
        <w:t>Concepts de la santé et ses facteurs déterminants</w:t>
      </w:r>
      <w:bookmarkEnd w:id="228"/>
    </w:p>
    <w:tbl>
      <w:tblPr>
        <w:tblW w:w="3858" w:type="pct"/>
        <w:tblCellSpacing w:w="0" w:type="dxa"/>
        <w:tblCellMar>
          <w:left w:w="0" w:type="dxa"/>
          <w:right w:w="0" w:type="dxa"/>
        </w:tblCellMar>
        <w:tblLook w:val="04A0" w:firstRow="1" w:lastRow="0" w:firstColumn="1" w:lastColumn="0" w:noHBand="0" w:noVBand="1"/>
      </w:tblPr>
      <w:tblGrid>
        <w:gridCol w:w="8333"/>
      </w:tblGrid>
      <w:tr w:rsidR="00531D89" w:rsidRPr="00040B7C" w:rsidTr="00531D89">
        <w:trPr>
          <w:tblCellSpacing w:w="0" w:type="dxa"/>
        </w:trPr>
        <w:tc>
          <w:tcPr>
            <w:tcW w:w="0" w:type="auto"/>
            <w:vAlign w:val="bottom"/>
            <w:hideMark/>
          </w:tcPr>
          <w:p w:rsidR="00531D89" w:rsidRPr="00040B7C" w:rsidRDefault="00040B7C" w:rsidP="00531D89">
            <w:pPr>
              <w:pStyle w:val="Sansinterligne"/>
              <w:spacing w:before="240"/>
              <w:rPr>
                <w:rFonts w:cs="Times New Roman"/>
                <w:b/>
                <w:sz w:val="18"/>
                <w:szCs w:val="18"/>
              </w:rPr>
            </w:pPr>
            <w:r>
              <w:rPr>
                <w:rFonts w:cs="Times New Roman"/>
                <w:b/>
                <w:noProof/>
                <w:sz w:val="18"/>
                <w:szCs w:val="18"/>
                <w:lang w:eastAsia="fr-CA"/>
              </w:rPr>
              <mc:AlternateContent>
                <mc:Choice Requires="wps">
                  <w:drawing>
                    <wp:anchor distT="0" distB="0" distL="114300" distR="114300" simplePos="0" relativeHeight="252123136" behindDoc="0" locked="0" layoutInCell="1" allowOverlap="1" wp14:anchorId="5B3B5665" wp14:editId="0E6E3A16">
                      <wp:simplePos x="0" y="0"/>
                      <wp:positionH relativeFrom="column">
                        <wp:posOffset>-77821</wp:posOffset>
                      </wp:positionH>
                      <wp:positionV relativeFrom="paragraph">
                        <wp:posOffset>75497</wp:posOffset>
                      </wp:positionV>
                      <wp:extent cx="7003915" cy="4445541"/>
                      <wp:effectExtent l="0" t="0" r="26035" b="12700"/>
                      <wp:wrapNone/>
                      <wp:docPr id="604" name="Rectangle 604"/>
                      <wp:cNvGraphicFramePr/>
                      <a:graphic xmlns:a="http://schemas.openxmlformats.org/drawingml/2006/main">
                        <a:graphicData uri="http://schemas.microsoft.com/office/word/2010/wordprocessingShape">
                          <wps:wsp>
                            <wps:cNvSpPr/>
                            <wps:spPr>
                              <a:xfrm>
                                <a:off x="0" y="0"/>
                                <a:ext cx="7003915" cy="4445541"/>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604" o:spid="_x0000_s1026" style="position:absolute;margin-left:-6.15pt;margin-top:5.95pt;width:551.5pt;height:350.05pt;z-index:2521231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" filled="f" strokecolor="black [1600]" strokeweight="2pt"/>
                  </w:pict>
                </mc:Fallback>
              </mc:AlternateContent>
            </w:r>
            <w:r w:rsidR="00531D89" w:rsidRPr="00040B7C">
              <w:rPr>
                <w:rFonts w:cs="Times New Roman"/>
                <w:b/>
                <w:sz w:val="18"/>
                <w:szCs w:val="18"/>
              </w:rPr>
              <w:t>Objectifs principaux</w:t>
            </w:r>
          </w:p>
        </w:tc>
      </w:tr>
    </w:tbl>
    <w:p w:rsidR="009246D0" w:rsidRPr="00040B7C" w:rsidRDefault="009246D0" w:rsidP="009246D0">
      <w:pPr>
        <w:pStyle w:val="NormalWeb"/>
        <w:ind w:left="360"/>
        <w:rPr>
          <w:color w:val="000000"/>
          <w:sz w:val="18"/>
          <w:szCs w:val="18"/>
          <w:shd w:val="clear" w:color="auto" w:fill="FFFFFF"/>
        </w:rPr>
      </w:pPr>
      <w:r w:rsidRPr="00040B7C">
        <w:rPr>
          <w:color w:val="000000"/>
          <w:sz w:val="18"/>
          <w:szCs w:val="18"/>
          <w:shd w:val="clear" w:color="auto" w:fill="FFFFFF"/>
        </w:rPr>
        <w:t xml:space="preserve">Définir et décrire les concepts de la santé, du </w:t>
      </w:r>
      <w:r w:rsidR="00932324" w:rsidRPr="00040B7C">
        <w:rPr>
          <w:color w:val="000000"/>
          <w:sz w:val="18"/>
          <w:szCs w:val="18"/>
          <w:shd w:val="clear" w:color="auto" w:fill="FFFFFF"/>
        </w:rPr>
        <w:t>bien</w:t>
      </w:r>
      <w:r w:rsidR="00932324">
        <w:rPr>
          <w:color w:val="000000"/>
          <w:sz w:val="18"/>
          <w:szCs w:val="18"/>
          <w:shd w:val="clear" w:color="auto" w:fill="FFFFFF"/>
        </w:rPr>
        <w:t>-</w:t>
      </w:r>
      <w:r w:rsidR="00932324" w:rsidRPr="00040B7C">
        <w:rPr>
          <w:color w:val="000000"/>
          <w:sz w:val="18"/>
          <w:szCs w:val="18"/>
          <w:shd w:val="clear" w:color="auto" w:fill="FFFFFF"/>
        </w:rPr>
        <w:t>être</w:t>
      </w:r>
      <w:r w:rsidRPr="00040B7C">
        <w:rPr>
          <w:color w:val="000000"/>
          <w:sz w:val="18"/>
          <w:szCs w:val="18"/>
          <w:shd w:val="clear" w:color="auto" w:fill="FFFFFF"/>
        </w:rPr>
        <w:t xml:space="preserve"> et de la maladie.</w:t>
      </w:r>
    </w:p>
    <w:p w:rsidR="009246D0" w:rsidRPr="00040B7C" w:rsidRDefault="009246D0" w:rsidP="009246D0">
      <w:pPr>
        <w:pStyle w:val="NormalWeb"/>
        <w:ind w:left="360"/>
        <w:rPr>
          <w:color w:val="000000"/>
          <w:sz w:val="18"/>
          <w:szCs w:val="18"/>
          <w:shd w:val="clear" w:color="auto" w:fill="FFFFFF"/>
        </w:rPr>
      </w:pPr>
      <w:r w:rsidRPr="00040B7C">
        <w:rPr>
          <w:color w:val="000000"/>
          <w:sz w:val="18"/>
          <w:szCs w:val="18"/>
          <w:shd w:val="clear" w:color="auto" w:fill="FFFFFF"/>
        </w:rPr>
        <w:t>Décrire les facteurs déterminants de la santé et leurs répercussions sur la santé d'une population et des personnes qui la composent.</w:t>
      </w:r>
    </w:p>
    <w:tbl>
      <w:tblPr>
        <w:tblW w:w="3721" w:type="pct"/>
        <w:tblCellSpacing w:w="0" w:type="dxa"/>
        <w:tblCellMar>
          <w:left w:w="0" w:type="dxa"/>
          <w:right w:w="0" w:type="dxa"/>
        </w:tblCellMar>
        <w:tblLook w:val="04A0" w:firstRow="1" w:lastRow="0" w:firstColumn="1" w:lastColumn="0" w:noHBand="0" w:noVBand="1"/>
      </w:tblPr>
      <w:tblGrid>
        <w:gridCol w:w="8037"/>
      </w:tblGrid>
      <w:tr w:rsidR="00531D89" w:rsidRPr="00040B7C" w:rsidTr="00531D89">
        <w:trPr>
          <w:tblCellSpacing w:w="0" w:type="dxa"/>
        </w:trPr>
        <w:tc>
          <w:tcPr>
            <w:tcW w:w="0" w:type="auto"/>
            <w:vAlign w:val="bottom"/>
            <w:hideMark/>
          </w:tcPr>
          <w:p w:rsidR="00531D89" w:rsidRPr="00040B7C" w:rsidRDefault="00531D89" w:rsidP="00531D89">
            <w:pPr>
              <w:pStyle w:val="Sansinterligne"/>
              <w:rPr>
                <w:rFonts w:cs="Times New Roman"/>
                <w:b/>
                <w:sz w:val="16"/>
                <w:szCs w:val="16"/>
              </w:rPr>
            </w:pPr>
            <w:bookmarkStart w:id="229" w:name="Objectifsdebase"/>
            <w:r w:rsidRPr="00040B7C">
              <w:rPr>
                <w:rFonts w:cs="Times New Roman"/>
                <w:b/>
                <w:sz w:val="16"/>
                <w:szCs w:val="16"/>
              </w:rPr>
              <w:t>Objectifs de base</w:t>
            </w:r>
          </w:p>
        </w:tc>
      </w:tr>
    </w:tbl>
    <w:p w:rsidR="009246D0" w:rsidRPr="00040B7C" w:rsidRDefault="009246D0" w:rsidP="009246D0">
      <w:pPr>
        <w:numPr>
          <w:ilvl w:val="0"/>
          <w:numId w:val="1337"/>
        </w:numPr>
        <w:shd w:val="clear" w:color="auto" w:fill="FFFFFF"/>
        <w:spacing w:before="100" w:beforeAutospacing="1" w:after="100" w:afterAutospacing="1" w:line="240" w:lineRule="auto"/>
        <w:rPr>
          <w:rFonts w:cs="Times New Roman"/>
          <w:color w:val="000000"/>
          <w:sz w:val="16"/>
          <w:szCs w:val="16"/>
          <w:shd w:val="clear" w:color="auto" w:fill="FFFFFF"/>
        </w:rPr>
      </w:pPr>
      <w:bookmarkStart w:id="230" w:name="Objectifsdebase1"/>
      <w:bookmarkEnd w:id="229"/>
      <w:r w:rsidRPr="00040B7C">
        <w:rPr>
          <w:rFonts w:cs="Times New Roman"/>
          <w:color w:val="000000"/>
          <w:sz w:val="16"/>
          <w:szCs w:val="16"/>
          <w:shd w:val="clear" w:color="auto" w:fill="FFFFFF"/>
        </w:rPr>
        <w:t>Selon Santé Canada et l'Organisation mondiale de la santé, il faut :</w:t>
      </w:r>
    </w:p>
    <w:p w:rsidR="009246D0" w:rsidRPr="00040B7C" w:rsidRDefault="009246D0" w:rsidP="009246D0">
      <w:pPr>
        <w:numPr>
          <w:ilvl w:val="1"/>
          <w:numId w:val="1337"/>
        </w:numPr>
        <w:shd w:val="clear" w:color="auto" w:fill="FFFFFF"/>
        <w:spacing w:before="100" w:beforeAutospacing="1" w:after="100" w:afterAutospacing="1" w:line="240" w:lineRule="auto"/>
        <w:rPr>
          <w:rFonts w:cs="Times New Roman"/>
          <w:color w:val="000000"/>
          <w:sz w:val="16"/>
          <w:szCs w:val="16"/>
          <w:shd w:val="clear" w:color="auto" w:fill="FFFFFF"/>
        </w:rPr>
      </w:pPr>
      <w:r w:rsidRPr="00040B7C">
        <w:rPr>
          <w:rFonts w:cs="Times New Roman"/>
          <w:color w:val="000000"/>
          <w:sz w:val="16"/>
          <w:szCs w:val="16"/>
          <w:shd w:val="clear" w:color="auto" w:fill="FFFFFF"/>
        </w:rPr>
        <w:t>discuter à propos d'autres définitions de la santé;</w:t>
      </w:r>
    </w:p>
    <w:p w:rsidR="009246D0" w:rsidRPr="00040B7C" w:rsidRDefault="009246D0" w:rsidP="009246D0">
      <w:pPr>
        <w:numPr>
          <w:ilvl w:val="1"/>
          <w:numId w:val="1337"/>
        </w:numPr>
        <w:shd w:val="clear" w:color="auto" w:fill="FFFFFF"/>
        <w:spacing w:before="100" w:beforeAutospacing="1" w:after="100" w:afterAutospacing="1" w:line="240" w:lineRule="auto"/>
        <w:rPr>
          <w:rFonts w:cs="Times New Roman"/>
          <w:color w:val="000000"/>
          <w:sz w:val="16"/>
          <w:szCs w:val="16"/>
          <w:shd w:val="clear" w:color="auto" w:fill="FFFFFF"/>
        </w:rPr>
      </w:pPr>
      <w:r w:rsidRPr="00040B7C">
        <w:rPr>
          <w:rFonts w:cs="Times New Roman"/>
          <w:color w:val="000000"/>
          <w:sz w:val="16"/>
          <w:szCs w:val="16"/>
          <w:shd w:val="clear" w:color="auto" w:fill="FFFFFF"/>
        </w:rPr>
        <w:t>décrire les facteurs déterminants de la santé, notamment :</w:t>
      </w:r>
    </w:p>
    <w:bookmarkStart w:id="231" w:name="Objectifsdebase1.2.1"/>
    <w:bookmarkEnd w:id="231"/>
    <w:p w:rsidR="009246D0" w:rsidRPr="00040B7C" w:rsidRDefault="009246D0" w:rsidP="009246D0">
      <w:pPr>
        <w:numPr>
          <w:ilvl w:val="2"/>
          <w:numId w:val="1337"/>
        </w:numPr>
        <w:shd w:val="clear" w:color="auto" w:fill="FFFFFF"/>
        <w:spacing w:before="100" w:beforeAutospacing="1" w:after="100" w:afterAutospacing="1" w:line="240" w:lineRule="auto"/>
        <w:rPr>
          <w:rFonts w:cs="Times New Roman"/>
          <w:color w:val="000000"/>
          <w:sz w:val="16"/>
          <w:szCs w:val="16"/>
          <w:shd w:val="clear" w:color="auto" w:fill="FFFFFF"/>
        </w:rPr>
      </w:pPr>
      <w:r w:rsidRPr="00040B7C">
        <w:rPr>
          <w:rFonts w:cs="Times New Roman"/>
          <w:color w:val="000000"/>
          <w:sz w:val="16"/>
          <w:szCs w:val="16"/>
          <w:shd w:val="clear" w:color="auto" w:fill="FFFFFF"/>
        </w:rPr>
        <w:fldChar w:fldCharType="begin"/>
      </w:r>
      <w:r w:rsidRPr="00040B7C">
        <w:rPr>
          <w:rFonts w:cs="Times New Roman"/>
          <w:color w:val="000000"/>
          <w:sz w:val="16"/>
          <w:szCs w:val="16"/>
          <w:shd w:val="clear" w:color="auto" w:fill="FFFFFF"/>
        </w:rPr>
        <w:instrText xml:space="preserve"> HYPERLINK "http://www.phac-aspc.gc.ca/ph-sp/determinants/determinants-fra.php" \l "income" \o "Charger http://www.phac-aspc.gc.ca/ph-sp/determinants/determinants-fra.php#income dans une nouvelle fenêtre" \t "_blank" </w:instrText>
      </w:r>
      <w:r w:rsidRPr="00040B7C">
        <w:rPr>
          <w:rFonts w:cs="Times New Roman"/>
          <w:color w:val="000000"/>
          <w:sz w:val="16"/>
          <w:szCs w:val="16"/>
          <w:shd w:val="clear" w:color="auto" w:fill="FFFFFF"/>
        </w:rPr>
        <w:fldChar w:fldCharType="separate"/>
      </w:r>
      <w:r w:rsidRPr="00040B7C">
        <w:rPr>
          <w:rStyle w:val="Lienhypertexte"/>
          <w:rFonts w:cs="Times New Roman"/>
          <w:color w:val="2C6481"/>
          <w:sz w:val="16"/>
          <w:szCs w:val="16"/>
          <w:shd w:val="clear" w:color="auto" w:fill="FFFFFF"/>
        </w:rPr>
        <w:t>Le niveau de revenu et le statut social</w:t>
      </w:r>
      <w:r w:rsidRPr="00040B7C">
        <w:rPr>
          <w:rFonts w:cs="Times New Roman"/>
          <w:color w:val="000000"/>
          <w:sz w:val="16"/>
          <w:szCs w:val="16"/>
          <w:shd w:val="clear" w:color="auto" w:fill="FFFFFF"/>
        </w:rPr>
        <w:fldChar w:fldCharType="end"/>
      </w:r>
    </w:p>
    <w:bookmarkStart w:id="232" w:name="Objectifsdebase1.2.2"/>
    <w:bookmarkEnd w:id="232"/>
    <w:p w:rsidR="009246D0" w:rsidRPr="00040B7C" w:rsidRDefault="009246D0" w:rsidP="009246D0">
      <w:pPr>
        <w:numPr>
          <w:ilvl w:val="2"/>
          <w:numId w:val="1337"/>
        </w:numPr>
        <w:shd w:val="clear" w:color="auto" w:fill="FFFFFF"/>
        <w:spacing w:before="100" w:beforeAutospacing="1" w:after="100" w:afterAutospacing="1" w:line="240" w:lineRule="auto"/>
        <w:rPr>
          <w:rFonts w:cs="Times New Roman"/>
          <w:color w:val="000000"/>
          <w:sz w:val="16"/>
          <w:szCs w:val="16"/>
          <w:shd w:val="clear" w:color="auto" w:fill="FFFFFF"/>
        </w:rPr>
      </w:pPr>
      <w:r w:rsidRPr="00040B7C">
        <w:rPr>
          <w:rFonts w:cs="Times New Roman"/>
          <w:color w:val="000000"/>
          <w:sz w:val="16"/>
          <w:szCs w:val="16"/>
          <w:shd w:val="clear" w:color="auto" w:fill="FFFFFF"/>
        </w:rPr>
        <w:fldChar w:fldCharType="begin"/>
      </w:r>
      <w:r w:rsidRPr="00040B7C">
        <w:rPr>
          <w:rFonts w:cs="Times New Roman"/>
          <w:color w:val="000000"/>
          <w:sz w:val="16"/>
          <w:szCs w:val="16"/>
          <w:shd w:val="clear" w:color="auto" w:fill="FFFFFF"/>
        </w:rPr>
        <w:instrText xml:space="preserve"> HYPERLINK "http://www.phac-aspc.gc.ca/ph-sp/determinants/determinants-fra.php" \l "social" \o "Charger http://www.phac-aspc.gc.ca/ph-sp/determinants/determinants-fra.php#social dans une nouvelle fenêtre" \t "_blank" </w:instrText>
      </w:r>
      <w:r w:rsidRPr="00040B7C">
        <w:rPr>
          <w:rFonts w:cs="Times New Roman"/>
          <w:color w:val="000000"/>
          <w:sz w:val="16"/>
          <w:szCs w:val="16"/>
          <w:shd w:val="clear" w:color="auto" w:fill="FFFFFF"/>
        </w:rPr>
        <w:fldChar w:fldCharType="separate"/>
      </w:r>
      <w:r w:rsidRPr="00040B7C">
        <w:rPr>
          <w:rStyle w:val="Lienhypertexte"/>
          <w:rFonts w:cs="Times New Roman"/>
          <w:color w:val="2C6481"/>
          <w:sz w:val="16"/>
          <w:szCs w:val="16"/>
          <w:shd w:val="clear" w:color="auto" w:fill="FFFFFF"/>
        </w:rPr>
        <w:t>Les réseaux de soutien social</w:t>
      </w:r>
      <w:r w:rsidRPr="00040B7C">
        <w:rPr>
          <w:rFonts w:cs="Times New Roman"/>
          <w:color w:val="000000"/>
          <w:sz w:val="16"/>
          <w:szCs w:val="16"/>
          <w:shd w:val="clear" w:color="auto" w:fill="FFFFFF"/>
        </w:rPr>
        <w:fldChar w:fldCharType="end"/>
      </w:r>
    </w:p>
    <w:bookmarkStart w:id="233" w:name="Objectifsdebase1.2.3"/>
    <w:bookmarkEnd w:id="233"/>
    <w:p w:rsidR="009246D0" w:rsidRPr="00040B7C" w:rsidRDefault="009246D0" w:rsidP="009246D0">
      <w:pPr>
        <w:numPr>
          <w:ilvl w:val="2"/>
          <w:numId w:val="1337"/>
        </w:numPr>
        <w:shd w:val="clear" w:color="auto" w:fill="FFFFFF"/>
        <w:spacing w:before="100" w:beforeAutospacing="1" w:after="100" w:afterAutospacing="1" w:line="240" w:lineRule="auto"/>
        <w:rPr>
          <w:rFonts w:cs="Times New Roman"/>
          <w:color w:val="000000"/>
          <w:sz w:val="16"/>
          <w:szCs w:val="16"/>
          <w:shd w:val="clear" w:color="auto" w:fill="FFFFFF"/>
        </w:rPr>
      </w:pPr>
      <w:r w:rsidRPr="00040B7C">
        <w:rPr>
          <w:rFonts w:cs="Times New Roman"/>
          <w:color w:val="000000"/>
          <w:sz w:val="16"/>
          <w:szCs w:val="16"/>
          <w:shd w:val="clear" w:color="auto" w:fill="FFFFFF"/>
        </w:rPr>
        <w:fldChar w:fldCharType="begin"/>
      </w:r>
      <w:r w:rsidRPr="00040B7C">
        <w:rPr>
          <w:rFonts w:cs="Times New Roman"/>
          <w:color w:val="000000"/>
          <w:sz w:val="16"/>
          <w:szCs w:val="16"/>
          <w:shd w:val="clear" w:color="auto" w:fill="FFFFFF"/>
        </w:rPr>
        <w:instrText xml:space="preserve"> HYPERLINK "http://www.phac-aspc.gc.ca/ph-sp/determinants/determinants-fra.php" \l "education" \o "Charger http://www.phac-aspc.gc.ca/ph-sp/determinants/determinants-fra.php#education dans une nouvelle fenêtre" \t "_blank" </w:instrText>
      </w:r>
      <w:r w:rsidRPr="00040B7C">
        <w:rPr>
          <w:rFonts w:cs="Times New Roman"/>
          <w:color w:val="000000"/>
          <w:sz w:val="16"/>
          <w:szCs w:val="16"/>
          <w:shd w:val="clear" w:color="auto" w:fill="FFFFFF"/>
        </w:rPr>
        <w:fldChar w:fldCharType="separate"/>
      </w:r>
      <w:r w:rsidRPr="00040B7C">
        <w:rPr>
          <w:rStyle w:val="Lienhypertexte"/>
          <w:rFonts w:cs="Times New Roman"/>
          <w:color w:val="2C6481"/>
          <w:sz w:val="16"/>
          <w:szCs w:val="16"/>
          <w:shd w:val="clear" w:color="auto" w:fill="FFFFFF"/>
        </w:rPr>
        <w:t>L'éducation et l'alphabétisme</w:t>
      </w:r>
      <w:r w:rsidRPr="00040B7C">
        <w:rPr>
          <w:rFonts w:cs="Times New Roman"/>
          <w:color w:val="000000"/>
          <w:sz w:val="16"/>
          <w:szCs w:val="16"/>
          <w:shd w:val="clear" w:color="auto" w:fill="FFFFFF"/>
        </w:rPr>
        <w:fldChar w:fldCharType="end"/>
      </w:r>
    </w:p>
    <w:bookmarkStart w:id="234" w:name="Objectifsdebase1.2.4"/>
    <w:bookmarkEnd w:id="234"/>
    <w:p w:rsidR="009246D0" w:rsidRPr="00040B7C" w:rsidRDefault="009246D0" w:rsidP="009246D0">
      <w:pPr>
        <w:numPr>
          <w:ilvl w:val="2"/>
          <w:numId w:val="1337"/>
        </w:numPr>
        <w:shd w:val="clear" w:color="auto" w:fill="FFFFFF"/>
        <w:spacing w:before="100" w:beforeAutospacing="1" w:after="100" w:afterAutospacing="1" w:line="240" w:lineRule="auto"/>
        <w:rPr>
          <w:rFonts w:cs="Times New Roman"/>
          <w:color w:val="000000"/>
          <w:sz w:val="16"/>
          <w:szCs w:val="16"/>
          <w:shd w:val="clear" w:color="auto" w:fill="FFFFFF"/>
        </w:rPr>
      </w:pPr>
      <w:r w:rsidRPr="00040B7C">
        <w:rPr>
          <w:rFonts w:cs="Times New Roman"/>
          <w:color w:val="000000"/>
          <w:sz w:val="16"/>
          <w:szCs w:val="16"/>
          <w:shd w:val="clear" w:color="auto" w:fill="FFFFFF"/>
        </w:rPr>
        <w:fldChar w:fldCharType="begin"/>
      </w:r>
      <w:r w:rsidRPr="00040B7C">
        <w:rPr>
          <w:rFonts w:cs="Times New Roman"/>
          <w:color w:val="000000"/>
          <w:sz w:val="16"/>
          <w:szCs w:val="16"/>
          <w:shd w:val="clear" w:color="auto" w:fill="FFFFFF"/>
        </w:rPr>
        <w:instrText xml:space="preserve"> HYPERLINK "http://www.phac-aspc.gc.ca/ph-sp/determinants/determinants-fra.php" \l "employment" \o "Charger http://www.phac-aspc.gc.ca/ph-sp/determinants/determinants-fra.php#employment dans une nouvelle fenêtre" \t "_blank" </w:instrText>
      </w:r>
      <w:r w:rsidRPr="00040B7C">
        <w:rPr>
          <w:rFonts w:cs="Times New Roman"/>
          <w:color w:val="000000"/>
          <w:sz w:val="16"/>
          <w:szCs w:val="16"/>
          <w:shd w:val="clear" w:color="auto" w:fill="FFFFFF"/>
        </w:rPr>
        <w:fldChar w:fldCharType="separate"/>
      </w:r>
      <w:r w:rsidRPr="00040B7C">
        <w:rPr>
          <w:rStyle w:val="Lienhypertexte"/>
          <w:rFonts w:cs="Times New Roman"/>
          <w:color w:val="2C6481"/>
          <w:sz w:val="16"/>
          <w:szCs w:val="16"/>
          <w:shd w:val="clear" w:color="auto" w:fill="FFFFFF"/>
        </w:rPr>
        <w:t>L'emploi et les discussions de travail</w:t>
      </w:r>
      <w:r w:rsidRPr="00040B7C">
        <w:rPr>
          <w:rFonts w:cs="Times New Roman"/>
          <w:color w:val="000000"/>
          <w:sz w:val="16"/>
          <w:szCs w:val="16"/>
          <w:shd w:val="clear" w:color="auto" w:fill="FFFFFF"/>
        </w:rPr>
        <w:fldChar w:fldCharType="end"/>
      </w:r>
    </w:p>
    <w:bookmarkStart w:id="235" w:name="Objectifsdebase1.2.5"/>
    <w:bookmarkEnd w:id="235"/>
    <w:p w:rsidR="009246D0" w:rsidRPr="00040B7C" w:rsidRDefault="009246D0" w:rsidP="009246D0">
      <w:pPr>
        <w:numPr>
          <w:ilvl w:val="2"/>
          <w:numId w:val="1337"/>
        </w:numPr>
        <w:shd w:val="clear" w:color="auto" w:fill="FFFFFF"/>
        <w:spacing w:before="100" w:beforeAutospacing="1" w:after="100" w:afterAutospacing="1" w:line="240" w:lineRule="auto"/>
        <w:rPr>
          <w:rFonts w:cs="Times New Roman"/>
          <w:color w:val="000000"/>
          <w:sz w:val="16"/>
          <w:szCs w:val="16"/>
          <w:shd w:val="clear" w:color="auto" w:fill="FFFFFF"/>
        </w:rPr>
      </w:pPr>
      <w:r w:rsidRPr="00040B7C">
        <w:rPr>
          <w:rFonts w:cs="Times New Roman"/>
          <w:color w:val="000000"/>
          <w:sz w:val="16"/>
          <w:szCs w:val="16"/>
          <w:shd w:val="clear" w:color="auto" w:fill="FFFFFF"/>
        </w:rPr>
        <w:fldChar w:fldCharType="begin"/>
      </w:r>
      <w:r w:rsidRPr="00040B7C">
        <w:rPr>
          <w:rFonts w:cs="Times New Roman"/>
          <w:color w:val="000000"/>
          <w:sz w:val="16"/>
          <w:szCs w:val="16"/>
          <w:shd w:val="clear" w:color="auto" w:fill="FFFFFF"/>
        </w:rPr>
        <w:instrText xml:space="preserve"> HYPERLINK "http://www.phac-aspc.gc.ca/ph-sp/determinants/determinants-fra.php" \l "socenviron" \o "Charger http://www.phac-aspc.gc.ca/ph-sp/determinants/determinants-fra.php#socenviron dans une nouvelle fenêtre" \t "_blank" </w:instrText>
      </w:r>
      <w:r w:rsidRPr="00040B7C">
        <w:rPr>
          <w:rFonts w:cs="Times New Roman"/>
          <w:color w:val="000000"/>
          <w:sz w:val="16"/>
          <w:szCs w:val="16"/>
          <w:shd w:val="clear" w:color="auto" w:fill="FFFFFF"/>
        </w:rPr>
        <w:fldChar w:fldCharType="separate"/>
      </w:r>
      <w:r w:rsidR="00F25FDC">
        <w:rPr>
          <w:rStyle w:val="Lienhypertexte"/>
          <w:rFonts w:cs="Times New Roman"/>
          <w:color w:val="2C6481"/>
          <w:sz w:val="16"/>
          <w:szCs w:val="16"/>
          <w:shd w:val="clear" w:color="auto" w:fill="FFFFFF"/>
        </w:rPr>
        <w:t>Les mil</w:t>
      </w:r>
      <w:r w:rsidRPr="00040B7C">
        <w:rPr>
          <w:rStyle w:val="Lienhypertexte"/>
          <w:rFonts w:cs="Times New Roman"/>
          <w:color w:val="2C6481"/>
          <w:sz w:val="16"/>
          <w:szCs w:val="16"/>
          <w:shd w:val="clear" w:color="auto" w:fill="FFFFFF"/>
        </w:rPr>
        <w:t>ieux social et professionnel</w:t>
      </w:r>
      <w:r w:rsidRPr="00040B7C">
        <w:rPr>
          <w:rFonts w:cs="Times New Roman"/>
          <w:color w:val="000000"/>
          <w:sz w:val="16"/>
          <w:szCs w:val="16"/>
          <w:shd w:val="clear" w:color="auto" w:fill="FFFFFF"/>
        </w:rPr>
        <w:fldChar w:fldCharType="end"/>
      </w:r>
    </w:p>
    <w:bookmarkStart w:id="236" w:name="Objectifsdebase1.2.6"/>
    <w:bookmarkEnd w:id="236"/>
    <w:p w:rsidR="009246D0" w:rsidRPr="00040B7C" w:rsidRDefault="009246D0" w:rsidP="009246D0">
      <w:pPr>
        <w:numPr>
          <w:ilvl w:val="2"/>
          <w:numId w:val="1337"/>
        </w:numPr>
        <w:shd w:val="clear" w:color="auto" w:fill="FFFFFF"/>
        <w:spacing w:before="100" w:beforeAutospacing="1" w:after="100" w:afterAutospacing="1" w:line="240" w:lineRule="auto"/>
        <w:rPr>
          <w:rFonts w:cs="Times New Roman"/>
          <w:color w:val="000000"/>
          <w:sz w:val="16"/>
          <w:szCs w:val="16"/>
          <w:shd w:val="clear" w:color="auto" w:fill="FFFFFF"/>
        </w:rPr>
      </w:pPr>
      <w:r w:rsidRPr="00040B7C">
        <w:rPr>
          <w:rFonts w:cs="Times New Roman"/>
          <w:color w:val="000000"/>
          <w:sz w:val="16"/>
          <w:szCs w:val="16"/>
          <w:shd w:val="clear" w:color="auto" w:fill="FFFFFF"/>
        </w:rPr>
        <w:fldChar w:fldCharType="begin"/>
      </w:r>
      <w:r w:rsidRPr="00040B7C">
        <w:rPr>
          <w:rFonts w:cs="Times New Roman"/>
          <w:color w:val="000000"/>
          <w:sz w:val="16"/>
          <w:szCs w:val="16"/>
          <w:shd w:val="clear" w:color="auto" w:fill="FFFFFF"/>
        </w:rPr>
        <w:instrText xml:space="preserve"> HYPERLINK "http://www.phac-aspc.gc.ca/ph-sp/determinants/determinants-fra.php" \l "physenviron" \o "Charger http://www.phac-aspc.gc.ca/ph-sp/determinants/determinants-fra.php#physenviron dans une nouvelle fenêtre" \t "_blank" </w:instrText>
      </w:r>
      <w:r w:rsidRPr="00040B7C">
        <w:rPr>
          <w:rFonts w:cs="Times New Roman"/>
          <w:color w:val="000000"/>
          <w:sz w:val="16"/>
          <w:szCs w:val="16"/>
          <w:shd w:val="clear" w:color="auto" w:fill="FFFFFF"/>
        </w:rPr>
        <w:fldChar w:fldCharType="separate"/>
      </w:r>
      <w:r w:rsidRPr="00040B7C">
        <w:rPr>
          <w:rStyle w:val="Lienhypertexte"/>
          <w:rFonts w:cs="Times New Roman"/>
          <w:color w:val="2C6481"/>
          <w:sz w:val="16"/>
          <w:szCs w:val="16"/>
          <w:shd w:val="clear" w:color="auto" w:fill="FFFFFF"/>
        </w:rPr>
        <w:t>Les environnements physiques</w:t>
      </w:r>
      <w:r w:rsidRPr="00040B7C">
        <w:rPr>
          <w:rFonts w:cs="Times New Roman"/>
          <w:color w:val="000000"/>
          <w:sz w:val="16"/>
          <w:szCs w:val="16"/>
          <w:shd w:val="clear" w:color="auto" w:fill="FFFFFF"/>
        </w:rPr>
        <w:fldChar w:fldCharType="end"/>
      </w:r>
    </w:p>
    <w:bookmarkStart w:id="237" w:name="Objectifsdebase1.2.7"/>
    <w:bookmarkEnd w:id="237"/>
    <w:p w:rsidR="009246D0" w:rsidRPr="00040B7C" w:rsidRDefault="009246D0" w:rsidP="009246D0">
      <w:pPr>
        <w:numPr>
          <w:ilvl w:val="2"/>
          <w:numId w:val="1337"/>
        </w:numPr>
        <w:shd w:val="clear" w:color="auto" w:fill="FFFFFF"/>
        <w:spacing w:before="100" w:beforeAutospacing="1" w:after="100" w:afterAutospacing="1" w:line="240" w:lineRule="auto"/>
        <w:rPr>
          <w:rFonts w:cs="Times New Roman"/>
          <w:color w:val="000000"/>
          <w:sz w:val="16"/>
          <w:szCs w:val="16"/>
          <w:shd w:val="clear" w:color="auto" w:fill="FFFFFF"/>
        </w:rPr>
      </w:pPr>
      <w:r w:rsidRPr="00040B7C">
        <w:rPr>
          <w:rFonts w:cs="Times New Roman"/>
          <w:color w:val="000000"/>
          <w:sz w:val="16"/>
          <w:szCs w:val="16"/>
          <w:shd w:val="clear" w:color="auto" w:fill="FFFFFF"/>
        </w:rPr>
        <w:fldChar w:fldCharType="begin"/>
      </w:r>
      <w:r w:rsidRPr="00040B7C">
        <w:rPr>
          <w:rFonts w:cs="Times New Roman"/>
          <w:color w:val="000000"/>
          <w:sz w:val="16"/>
          <w:szCs w:val="16"/>
          <w:shd w:val="clear" w:color="auto" w:fill="FFFFFF"/>
        </w:rPr>
        <w:instrText xml:space="preserve"> HYPERLINK "http://www.phac-aspc.gc.ca/ph-sp/determinants/determinants-fra.php" \l "personalhealth" \o "Charger http://www.phac-aspc.gc.ca/ph-sp/determinants/determinants-fra.php#personalhealth dans une nouvelle fenêtre" \t "_blank" </w:instrText>
      </w:r>
      <w:r w:rsidRPr="00040B7C">
        <w:rPr>
          <w:rFonts w:cs="Times New Roman"/>
          <w:color w:val="000000"/>
          <w:sz w:val="16"/>
          <w:szCs w:val="16"/>
          <w:shd w:val="clear" w:color="auto" w:fill="FFFFFF"/>
        </w:rPr>
        <w:fldChar w:fldCharType="separate"/>
      </w:r>
      <w:r w:rsidRPr="00040B7C">
        <w:rPr>
          <w:rStyle w:val="Lienhypertexte"/>
          <w:rFonts w:cs="Times New Roman"/>
          <w:color w:val="2C6481"/>
          <w:sz w:val="16"/>
          <w:szCs w:val="16"/>
          <w:shd w:val="clear" w:color="auto" w:fill="FFFFFF"/>
        </w:rPr>
        <w:t>Les habitudes de santé et la capacité d'adaptation personnelles</w:t>
      </w:r>
      <w:r w:rsidRPr="00040B7C">
        <w:rPr>
          <w:rFonts w:cs="Times New Roman"/>
          <w:color w:val="000000"/>
          <w:sz w:val="16"/>
          <w:szCs w:val="16"/>
          <w:shd w:val="clear" w:color="auto" w:fill="FFFFFF"/>
        </w:rPr>
        <w:fldChar w:fldCharType="end"/>
      </w:r>
    </w:p>
    <w:bookmarkStart w:id="238" w:name="Objectifsdebase1.2.8"/>
    <w:bookmarkEnd w:id="238"/>
    <w:p w:rsidR="009246D0" w:rsidRPr="00040B7C" w:rsidRDefault="009246D0" w:rsidP="009246D0">
      <w:pPr>
        <w:numPr>
          <w:ilvl w:val="2"/>
          <w:numId w:val="1337"/>
        </w:numPr>
        <w:shd w:val="clear" w:color="auto" w:fill="FFFFFF"/>
        <w:spacing w:before="100" w:beforeAutospacing="1" w:after="100" w:afterAutospacing="1" w:line="240" w:lineRule="auto"/>
        <w:rPr>
          <w:rFonts w:cs="Times New Roman"/>
          <w:color w:val="000000"/>
          <w:sz w:val="16"/>
          <w:szCs w:val="16"/>
          <w:shd w:val="clear" w:color="auto" w:fill="FFFFFF"/>
        </w:rPr>
      </w:pPr>
      <w:r w:rsidRPr="00040B7C">
        <w:rPr>
          <w:rFonts w:cs="Times New Roman"/>
          <w:color w:val="000000"/>
          <w:sz w:val="16"/>
          <w:szCs w:val="16"/>
          <w:shd w:val="clear" w:color="auto" w:fill="FFFFFF"/>
        </w:rPr>
        <w:fldChar w:fldCharType="begin"/>
      </w:r>
      <w:r w:rsidRPr="00040B7C">
        <w:rPr>
          <w:rFonts w:cs="Times New Roman"/>
          <w:color w:val="000000"/>
          <w:sz w:val="16"/>
          <w:szCs w:val="16"/>
          <w:shd w:val="clear" w:color="auto" w:fill="FFFFFF"/>
        </w:rPr>
        <w:instrText xml:space="preserve"> HYPERLINK "http://www.phac-aspc.gc.ca/ph-sp/determinants/determinants-fra.php" \l "healthychild" \o "Charger http://www.phac-aspc.gc.ca/ph-sp/determinants/determinants-fra.php#healthychild dans une nouvelle fenêtre" \t "_blank" </w:instrText>
      </w:r>
      <w:r w:rsidRPr="00040B7C">
        <w:rPr>
          <w:rFonts w:cs="Times New Roman"/>
          <w:color w:val="000000"/>
          <w:sz w:val="16"/>
          <w:szCs w:val="16"/>
          <w:shd w:val="clear" w:color="auto" w:fill="FFFFFF"/>
        </w:rPr>
        <w:fldChar w:fldCharType="separate"/>
      </w:r>
      <w:r w:rsidRPr="00040B7C">
        <w:rPr>
          <w:rStyle w:val="Lienhypertexte"/>
          <w:rFonts w:cs="Times New Roman"/>
          <w:color w:val="2C6481"/>
          <w:sz w:val="16"/>
          <w:szCs w:val="16"/>
          <w:shd w:val="clear" w:color="auto" w:fill="FFFFFF"/>
        </w:rPr>
        <w:t>Le développement de la petite enfance</w:t>
      </w:r>
      <w:r w:rsidRPr="00040B7C">
        <w:rPr>
          <w:rFonts w:cs="Times New Roman"/>
          <w:color w:val="000000"/>
          <w:sz w:val="16"/>
          <w:szCs w:val="16"/>
          <w:shd w:val="clear" w:color="auto" w:fill="FFFFFF"/>
        </w:rPr>
        <w:fldChar w:fldCharType="end"/>
      </w:r>
    </w:p>
    <w:bookmarkStart w:id="239" w:name="Objectifsdebase1.2.9"/>
    <w:bookmarkEnd w:id="239"/>
    <w:p w:rsidR="009246D0" w:rsidRPr="00040B7C" w:rsidRDefault="009246D0" w:rsidP="009246D0">
      <w:pPr>
        <w:numPr>
          <w:ilvl w:val="2"/>
          <w:numId w:val="1337"/>
        </w:numPr>
        <w:shd w:val="clear" w:color="auto" w:fill="FFFFFF"/>
        <w:spacing w:before="100" w:beforeAutospacing="1" w:after="100" w:afterAutospacing="1" w:line="240" w:lineRule="auto"/>
        <w:rPr>
          <w:rFonts w:cs="Times New Roman"/>
          <w:color w:val="000000"/>
          <w:sz w:val="16"/>
          <w:szCs w:val="16"/>
          <w:shd w:val="clear" w:color="auto" w:fill="FFFFFF"/>
        </w:rPr>
      </w:pPr>
      <w:r w:rsidRPr="00040B7C">
        <w:rPr>
          <w:rFonts w:cs="Times New Roman"/>
          <w:color w:val="000000"/>
          <w:sz w:val="16"/>
          <w:szCs w:val="16"/>
          <w:shd w:val="clear" w:color="auto" w:fill="FFFFFF"/>
        </w:rPr>
        <w:fldChar w:fldCharType="begin"/>
      </w:r>
      <w:r w:rsidRPr="00040B7C">
        <w:rPr>
          <w:rFonts w:cs="Times New Roman"/>
          <w:color w:val="000000"/>
          <w:sz w:val="16"/>
          <w:szCs w:val="16"/>
          <w:shd w:val="clear" w:color="auto" w:fill="FFFFFF"/>
        </w:rPr>
        <w:instrText xml:space="preserve"> HYPERLINK "http://www.phac-aspc.gc.ca/ph-sp/determinants/determinants-fra.php" \l "genetic" \o "Charger http://www.phac-aspc.gc.ca/ph-sp/determinants/determinants-fra.php#genetic dans une nouvelle fenêtre" \t "_blank" </w:instrText>
      </w:r>
      <w:r w:rsidRPr="00040B7C">
        <w:rPr>
          <w:rFonts w:cs="Times New Roman"/>
          <w:color w:val="000000"/>
          <w:sz w:val="16"/>
          <w:szCs w:val="16"/>
          <w:shd w:val="clear" w:color="auto" w:fill="FFFFFF"/>
        </w:rPr>
        <w:fldChar w:fldCharType="separate"/>
      </w:r>
      <w:r w:rsidRPr="00040B7C">
        <w:rPr>
          <w:rStyle w:val="Lienhypertexte"/>
          <w:rFonts w:cs="Times New Roman"/>
          <w:color w:val="2C6481"/>
          <w:sz w:val="16"/>
          <w:szCs w:val="16"/>
          <w:shd w:val="clear" w:color="auto" w:fill="FFFFFF"/>
        </w:rPr>
        <w:t>Le patrimoine biologique, génétique et épigénétique</w:t>
      </w:r>
      <w:r w:rsidRPr="00040B7C">
        <w:rPr>
          <w:rFonts w:cs="Times New Roman"/>
          <w:color w:val="000000"/>
          <w:sz w:val="16"/>
          <w:szCs w:val="16"/>
          <w:shd w:val="clear" w:color="auto" w:fill="FFFFFF"/>
        </w:rPr>
        <w:fldChar w:fldCharType="end"/>
      </w:r>
    </w:p>
    <w:bookmarkStart w:id="240" w:name="Objectifsdebase1.2.10"/>
    <w:bookmarkEnd w:id="240"/>
    <w:p w:rsidR="009246D0" w:rsidRPr="00040B7C" w:rsidRDefault="009246D0" w:rsidP="009246D0">
      <w:pPr>
        <w:numPr>
          <w:ilvl w:val="2"/>
          <w:numId w:val="1337"/>
        </w:numPr>
        <w:shd w:val="clear" w:color="auto" w:fill="FFFFFF"/>
        <w:spacing w:before="100" w:beforeAutospacing="1" w:after="100" w:afterAutospacing="1" w:line="240" w:lineRule="auto"/>
        <w:rPr>
          <w:rFonts w:cs="Times New Roman"/>
          <w:color w:val="000000"/>
          <w:sz w:val="16"/>
          <w:szCs w:val="16"/>
          <w:shd w:val="clear" w:color="auto" w:fill="FFFFFF"/>
        </w:rPr>
      </w:pPr>
      <w:r w:rsidRPr="00040B7C">
        <w:rPr>
          <w:rFonts w:cs="Times New Roman"/>
          <w:color w:val="000000"/>
          <w:sz w:val="16"/>
          <w:szCs w:val="16"/>
          <w:shd w:val="clear" w:color="auto" w:fill="FFFFFF"/>
        </w:rPr>
        <w:fldChar w:fldCharType="begin"/>
      </w:r>
      <w:r w:rsidRPr="00040B7C">
        <w:rPr>
          <w:rFonts w:cs="Times New Roman"/>
          <w:color w:val="000000"/>
          <w:sz w:val="16"/>
          <w:szCs w:val="16"/>
          <w:shd w:val="clear" w:color="auto" w:fill="FFFFFF"/>
        </w:rPr>
        <w:instrText xml:space="preserve"> HYPERLINK "http://www.phac-aspc.gc.ca/ph-sp/determinants/determinants-fra.php" \l "healthservices" \o "Charger http://www.phac-aspc.gc.ca/ph-sp/determinants/determinants-fra.php#healthservices dans une nouvelle fenêtre" \t "_blank" </w:instrText>
      </w:r>
      <w:r w:rsidRPr="00040B7C">
        <w:rPr>
          <w:rFonts w:cs="Times New Roman"/>
          <w:color w:val="000000"/>
          <w:sz w:val="16"/>
          <w:szCs w:val="16"/>
          <w:shd w:val="clear" w:color="auto" w:fill="FFFFFF"/>
        </w:rPr>
        <w:fldChar w:fldCharType="separate"/>
      </w:r>
      <w:r w:rsidRPr="00040B7C">
        <w:rPr>
          <w:rStyle w:val="Lienhypertexte"/>
          <w:rFonts w:cs="Times New Roman"/>
          <w:color w:val="2C6481"/>
          <w:sz w:val="16"/>
          <w:szCs w:val="16"/>
          <w:shd w:val="clear" w:color="auto" w:fill="FFFFFF"/>
        </w:rPr>
        <w:t>Les services de santé</w:t>
      </w:r>
      <w:r w:rsidRPr="00040B7C">
        <w:rPr>
          <w:rFonts w:cs="Times New Roman"/>
          <w:color w:val="000000"/>
          <w:sz w:val="16"/>
          <w:szCs w:val="16"/>
          <w:shd w:val="clear" w:color="auto" w:fill="FFFFFF"/>
        </w:rPr>
        <w:fldChar w:fldCharType="end"/>
      </w:r>
    </w:p>
    <w:bookmarkStart w:id="241" w:name="Objectifsdebase1.2.11"/>
    <w:bookmarkEnd w:id="241"/>
    <w:p w:rsidR="009246D0" w:rsidRPr="00040B7C" w:rsidRDefault="009246D0" w:rsidP="009246D0">
      <w:pPr>
        <w:numPr>
          <w:ilvl w:val="2"/>
          <w:numId w:val="1337"/>
        </w:numPr>
        <w:shd w:val="clear" w:color="auto" w:fill="FFFFFF"/>
        <w:spacing w:before="100" w:beforeAutospacing="1" w:after="100" w:afterAutospacing="1" w:line="240" w:lineRule="auto"/>
        <w:rPr>
          <w:rFonts w:cs="Times New Roman"/>
          <w:color w:val="000000"/>
          <w:sz w:val="16"/>
          <w:szCs w:val="16"/>
          <w:shd w:val="clear" w:color="auto" w:fill="FFFFFF"/>
        </w:rPr>
      </w:pPr>
      <w:r w:rsidRPr="00040B7C">
        <w:rPr>
          <w:rFonts w:cs="Times New Roman"/>
          <w:color w:val="000000"/>
          <w:sz w:val="16"/>
          <w:szCs w:val="16"/>
          <w:shd w:val="clear" w:color="auto" w:fill="FFFFFF"/>
        </w:rPr>
        <w:fldChar w:fldCharType="begin"/>
      </w:r>
      <w:r w:rsidRPr="00040B7C">
        <w:rPr>
          <w:rFonts w:cs="Times New Roman"/>
          <w:color w:val="000000"/>
          <w:sz w:val="16"/>
          <w:szCs w:val="16"/>
          <w:shd w:val="clear" w:color="auto" w:fill="FFFFFF"/>
        </w:rPr>
        <w:instrText xml:space="preserve"> HYPERLINK "http://www.phac-aspc.gc.ca/ph-sp/determinants/determinants-fra.php" \l "gender" \o "Charger http://www.phac-aspc.gc.ca/ph-sp/determinants/determinants-fra.php#gender dans une nouvelle fenêtre" \t "_blank" </w:instrText>
      </w:r>
      <w:r w:rsidRPr="00040B7C">
        <w:rPr>
          <w:rFonts w:cs="Times New Roman"/>
          <w:color w:val="000000"/>
          <w:sz w:val="16"/>
          <w:szCs w:val="16"/>
          <w:shd w:val="clear" w:color="auto" w:fill="FFFFFF"/>
        </w:rPr>
        <w:fldChar w:fldCharType="separate"/>
      </w:r>
      <w:r w:rsidRPr="00040B7C">
        <w:rPr>
          <w:rStyle w:val="Lienhypertexte"/>
          <w:rFonts w:cs="Times New Roman"/>
          <w:color w:val="2C6481"/>
          <w:sz w:val="16"/>
          <w:szCs w:val="16"/>
          <w:shd w:val="clear" w:color="auto" w:fill="FFFFFF"/>
        </w:rPr>
        <w:t>Le sexe</w:t>
      </w:r>
      <w:r w:rsidRPr="00040B7C">
        <w:rPr>
          <w:rFonts w:cs="Times New Roman"/>
          <w:color w:val="000000"/>
          <w:sz w:val="16"/>
          <w:szCs w:val="16"/>
          <w:shd w:val="clear" w:color="auto" w:fill="FFFFFF"/>
        </w:rPr>
        <w:fldChar w:fldCharType="end"/>
      </w:r>
    </w:p>
    <w:bookmarkStart w:id="242" w:name="Objectifsdebase1.2.12"/>
    <w:bookmarkEnd w:id="242"/>
    <w:p w:rsidR="009246D0" w:rsidRPr="00040B7C" w:rsidRDefault="009246D0" w:rsidP="009246D0">
      <w:pPr>
        <w:numPr>
          <w:ilvl w:val="2"/>
          <w:numId w:val="1337"/>
        </w:numPr>
        <w:shd w:val="clear" w:color="auto" w:fill="FFFFFF"/>
        <w:spacing w:before="100" w:beforeAutospacing="1" w:after="100" w:afterAutospacing="1" w:line="240" w:lineRule="auto"/>
        <w:rPr>
          <w:rFonts w:cs="Times New Roman"/>
          <w:color w:val="000000"/>
          <w:sz w:val="16"/>
          <w:szCs w:val="16"/>
          <w:shd w:val="clear" w:color="auto" w:fill="FFFFFF"/>
        </w:rPr>
      </w:pPr>
      <w:r w:rsidRPr="00040B7C">
        <w:rPr>
          <w:rFonts w:cs="Times New Roman"/>
          <w:color w:val="000000"/>
          <w:sz w:val="16"/>
          <w:szCs w:val="16"/>
          <w:shd w:val="clear" w:color="auto" w:fill="FFFFFF"/>
        </w:rPr>
        <w:fldChar w:fldCharType="begin"/>
      </w:r>
      <w:r w:rsidRPr="00040B7C">
        <w:rPr>
          <w:rFonts w:cs="Times New Roman"/>
          <w:color w:val="000000"/>
          <w:sz w:val="16"/>
          <w:szCs w:val="16"/>
          <w:shd w:val="clear" w:color="auto" w:fill="FFFFFF"/>
        </w:rPr>
        <w:instrText xml:space="preserve"> HYPERLINK "http://www.phac-aspc.gc.ca/ph-sp/determinants/determinants-fra.php" \l "culture" \o "Charger http://www.phac-aspc.gc.ca/ph-sp/determinants/determinants-fra.php#culture dans une nouvelle fenêtre" \t "_blank" </w:instrText>
      </w:r>
      <w:r w:rsidRPr="00040B7C">
        <w:rPr>
          <w:rFonts w:cs="Times New Roman"/>
          <w:color w:val="000000"/>
          <w:sz w:val="16"/>
          <w:szCs w:val="16"/>
          <w:shd w:val="clear" w:color="auto" w:fill="FFFFFF"/>
        </w:rPr>
        <w:fldChar w:fldCharType="separate"/>
      </w:r>
      <w:r w:rsidRPr="00040B7C">
        <w:rPr>
          <w:rStyle w:val="Lienhypertexte"/>
          <w:rFonts w:cs="Times New Roman"/>
          <w:color w:val="2C6481"/>
          <w:sz w:val="16"/>
          <w:szCs w:val="16"/>
          <w:shd w:val="clear" w:color="auto" w:fill="FFFFFF"/>
        </w:rPr>
        <w:t>La culture</w:t>
      </w:r>
      <w:r w:rsidRPr="00040B7C">
        <w:rPr>
          <w:rFonts w:cs="Times New Roman"/>
          <w:color w:val="000000"/>
          <w:sz w:val="16"/>
          <w:szCs w:val="16"/>
          <w:shd w:val="clear" w:color="auto" w:fill="FFFFFF"/>
        </w:rPr>
        <w:fldChar w:fldCharType="end"/>
      </w:r>
    </w:p>
    <w:p w:rsidR="009246D0" w:rsidRPr="00040B7C" w:rsidRDefault="009246D0" w:rsidP="009246D0">
      <w:pPr>
        <w:numPr>
          <w:ilvl w:val="1"/>
          <w:numId w:val="1337"/>
        </w:numPr>
        <w:shd w:val="clear" w:color="auto" w:fill="FFFFFF"/>
        <w:spacing w:before="100" w:beforeAutospacing="1" w:after="100" w:afterAutospacing="1" w:line="240" w:lineRule="auto"/>
        <w:rPr>
          <w:rFonts w:cs="Times New Roman"/>
          <w:color w:val="000000"/>
          <w:sz w:val="16"/>
          <w:szCs w:val="16"/>
          <w:shd w:val="clear" w:color="auto" w:fill="FFFFFF"/>
        </w:rPr>
      </w:pPr>
      <w:bookmarkStart w:id="243" w:name="Objectifsdebase1.1"/>
      <w:r w:rsidRPr="00040B7C">
        <w:rPr>
          <w:rFonts w:cs="Times New Roman"/>
          <w:color w:val="000000"/>
          <w:sz w:val="16"/>
          <w:szCs w:val="16"/>
          <w:shd w:val="clear" w:color="auto" w:fill="FFFFFF"/>
        </w:rPr>
        <w:t>expliquer de quelle façon la répartition différentielle des facteurs déterminants de la santé a des répercussions sur l'état de santé;</w:t>
      </w:r>
    </w:p>
    <w:p w:rsidR="009246D0" w:rsidRPr="00040B7C" w:rsidRDefault="009246D0" w:rsidP="009246D0">
      <w:pPr>
        <w:numPr>
          <w:ilvl w:val="1"/>
          <w:numId w:val="1337"/>
        </w:numPr>
        <w:shd w:val="clear" w:color="auto" w:fill="FFFFFF"/>
        <w:spacing w:before="100" w:beforeAutospacing="1" w:after="100" w:afterAutospacing="1" w:line="240" w:lineRule="auto"/>
        <w:rPr>
          <w:rFonts w:cs="Times New Roman"/>
          <w:color w:val="000000"/>
          <w:sz w:val="16"/>
          <w:szCs w:val="16"/>
          <w:shd w:val="clear" w:color="auto" w:fill="FFFFFF"/>
        </w:rPr>
      </w:pPr>
      <w:bookmarkStart w:id="244" w:name="Objectifsdebase1.2"/>
      <w:bookmarkEnd w:id="243"/>
      <w:r w:rsidRPr="00040B7C">
        <w:rPr>
          <w:rFonts w:cs="Times New Roman"/>
          <w:color w:val="000000"/>
          <w:sz w:val="16"/>
          <w:szCs w:val="16"/>
          <w:shd w:val="clear" w:color="auto" w:fill="FFFFFF"/>
        </w:rPr>
        <w:t>expliquer les mécanismes possibles au moyen desquels les facteurs déterminants influent sur l'état de santé.</w:t>
      </w:r>
    </w:p>
    <w:bookmarkEnd w:id="244"/>
    <w:p w:rsidR="009246D0" w:rsidRPr="00040B7C" w:rsidRDefault="009246D0" w:rsidP="009246D0">
      <w:pPr>
        <w:numPr>
          <w:ilvl w:val="0"/>
          <w:numId w:val="1338"/>
        </w:numPr>
        <w:shd w:val="clear" w:color="auto" w:fill="FFFFFF"/>
        <w:spacing w:before="100" w:beforeAutospacing="1" w:after="100" w:afterAutospacing="1" w:line="240" w:lineRule="auto"/>
        <w:rPr>
          <w:rFonts w:cs="Times New Roman"/>
          <w:color w:val="000000"/>
          <w:sz w:val="16"/>
          <w:szCs w:val="16"/>
          <w:shd w:val="clear" w:color="auto" w:fill="FFFFFF"/>
        </w:rPr>
      </w:pPr>
      <w:r w:rsidRPr="00040B7C">
        <w:rPr>
          <w:rFonts w:cs="Times New Roman"/>
          <w:color w:val="000000"/>
          <w:sz w:val="16"/>
          <w:szCs w:val="16"/>
          <w:shd w:val="clear" w:color="auto" w:fill="FFFFFF"/>
        </w:rPr>
        <w:t>Aborder le concept du cours de la vie, de l'histoire naturelle des maladies, particulièrement en ce qui concerne les interventions possibles en santé publique et sur le plan clinique.</w:t>
      </w:r>
    </w:p>
    <w:p w:rsidR="009246D0" w:rsidRPr="00040B7C" w:rsidRDefault="009246D0" w:rsidP="009246D0">
      <w:pPr>
        <w:numPr>
          <w:ilvl w:val="0"/>
          <w:numId w:val="1338"/>
        </w:numPr>
        <w:shd w:val="clear" w:color="auto" w:fill="FFFFFF"/>
        <w:spacing w:before="100" w:beforeAutospacing="1" w:after="100" w:afterAutospacing="1" w:line="240" w:lineRule="auto"/>
        <w:rPr>
          <w:rFonts w:cs="Times New Roman"/>
          <w:color w:val="000000"/>
          <w:sz w:val="16"/>
          <w:szCs w:val="16"/>
          <w:shd w:val="clear" w:color="auto" w:fill="FFFFFF"/>
        </w:rPr>
      </w:pPr>
      <w:bookmarkStart w:id="245" w:name="Objectifsdebase2"/>
      <w:bookmarkEnd w:id="230"/>
      <w:r w:rsidRPr="00040B7C">
        <w:rPr>
          <w:rFonts w:cs="Times New Roman"/>
          <w:color w:val="000000"/>
          <w:sz w:val="16"/>
          <w:szCs w:val="16"/>
          <w:shd w:val="clear" w:color="auto" w:fill="FFFFFF"/>
        </w:rPr>
        <w:t>Décrire le concept de comportement de maladie et ses répercussions sur l'accès aux soins de santé et le respect des recommandations thérapeutiques.</w:t>
      </w:r>
    </w:p>
    <w:p w:rsidR="00932324" w:rsidRPr="00932324" w:rsidRDefault="009246D0" w:rsidP="00932324">
      <w:pPr>
        <w:numPr>
          <w:ilvl w:val="0"/>
          <w:numId w:val="1338"/>
        </w:numPr>
        <w:shd w:val="clear" w:color="auto" w:fill="FFFFFF"/>
        <w:spacing w:before="100" w:beforeAutospacing="1" w:after="100" w:afterAutospacing="1" w:line="240" w:lineRule="auto"/>
        <w:rPr>
          <w:rFonts w:cs="Times New Roman"/>
          <w:color w:val="000000"/>
          <w:sz w:val="16"/>
          <w:szCs w:val="16"/>
          <w:shd w:val="clear" w:color="auto" w:fill="FFFFFF"/>
        </w:rPr>
      </w:pPr>
      <w:bookmarkStart w:id="246" w:name="Objectifsdebase3"/>
      <w:bookmarkEnd w:id="245"/>
      <w:r w:rsidRPr="00040B7C">
        <w:rPr>
          <w:rFonts w:cs="Times New Roman"/>
          <w:color w:val="000000"/>
          <w:sz w:val="16"/>
          <w:szCs w:val="16"/>
          <w:shd w:val="clear" w:color="auto" w:fill="FFFFFF"/>
        </w:rPr>
        <w:t>Aborder les effets de la culture et de la spiritualité sur la santé et les pratiques médicales et leurs liens avec d'autres facteurs déterminants de la santé.</w:t>
      </w:r>
      <w:bookmarkEnd w:id="246"/>
    </w:p>
    <w:p w:rsidR="00932324" w:rsidRPr="00932324" w:rsidRDefault="00932324" w:rsidP="00932324">
      <w:pPr>
        <w:pStyle w:val="Sansinterligne"/>
        <w:rPr>
          <w:b/>
          <w:sz w:val="28"/>
          <w:szCs w:val="28"/>
        </w:rPr>
      </w:pPr>
      <w:r w:rsidRPr="00932324">
        <w:rPr>
          <w:b/>
          <w:sz w:val="28"/>
          <w:szCs w:val="28"/>
        </w:rPr>
        <w:t>Concepts</w:t>
      </w:r>
    </w:p>
    <w:p w:rsidR="00932324" w:rsidRDefault="004816E2" w:rsidP="00932324">
      <w:pPr>
        <w:pStyle w:val="Sansinterligne"/>
      </w:pPr>
      <w:r>
        <w:rPr>
          <w:noProof/>
          <w:lang w:eastAsia="fr-CA"/>
        </w:rPr>
        <w:drawing>
          <wp:anchor distT="0" distB="0" distL="114300" distR="114300" simplePos="0" relativeHeight="252124160" behindDoc="1" locked="0" layoutInCell="1" allowOverlap="1" wp14:anchorId="35B705DB" wp14:editId="49686E50">
            <wp:simplePos x="0" y="0"/>
            <wp:positionH relativeFrom="column">
              <wp:posOffset>3275965</wp:posOffset>
            </wp:positionH>
            <wp:positionV relativeFrom="paragraph">
              <wp:posOffset>6985</wp:posOffset>
            </wp:positionV>
            <wp:extent cx="3742690" cy="2013585"/>
            <wp:effectExtent l="0" t="0" r="0" b="5715"/>
            <wp:wrapNone/>
            <wp:docPr id="605" name="Image 605" descr="Image associé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associée"/>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3742690" cy="20135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32324" w:rsidRDefault="00C62BC6" w:rsidP="00C62BC6">
      <w:pPr>
        <w:pStyle w:val="Sansinterligne"/>
        <w:ind w:right="5555"/>
      </w:pPr>
      <w:r w:rsidRPr="00C62BC6">
        <w:rPr>
          <w:b/>
        </w:rPr>
        <w:t>Bien-être</w:t>
      </w:r>
      <w:r>
        <w:t xml:space="preserve"> : </w:t>
      </w:r>
      <w:r w:rsidRPr="001B0B3B">
        <w:rPr>
          <w:i/>
          <w:highlight w:val="yellow"/>
        </w:rPr>
        <w:t>État dynamique, à la fois physique, mental, social et spirituel qui permet à une personne d’atteinte son plein potentiel et de mener une vie heureuse</w:t>
      </w:r>
      <w:r w:rsidRPr="001B0B3B">
        <w:rPr>
          <w:highlight w:val="yellow"/>
        </w:rPr>
        <w:t>.</w:t>
      </w:r>
    </w:p>
    <w:p w:rsidR="00C62BC6" w:rsidRDefault="00C62BC6" w:rsidP="00C62BC6">
      <w:pPr>
        <w:pStyle w:val="Sansinterligne"/>
        <w:ind w:right="5555"/>
        <w:rPr>
          <w:b/>
        </w:rPr>
      </w:pPr>
    </w:p>
    <w:p w:rsidR="00C62BC6" w:rsidRDefault="00C62BC6" w:rsidP="00C62BC6">
      <w:pPr>
        <w:pStyle w:val="Sansinterligne"/>
        <w:ind w:right="5555"/>
      </w:pPr>
      <w:r w:rsidRPr="00C62BC6">
        <w:rPr>
          <w:b/>
        </w:rPr>
        <w:t>Santé</w:t>
      </w:r>
      <w:r>
        <w:t> : diverses définitions. Les plus connues = OMS</w:t>
      </w:r>
    </w:p>
    <w:p w:rsidR="00C62BC6" w:rsidRPr="001B0B3B" w:rsidRDefault="00C62BC6" w:rsidP="00C62BC6">
      <w:pPr>
        <w:pStyle w:val="Sansinterligne"/>
        <w:numPr>
          <w:ilvl w:val="0"/>
          <w:numId w:val="1345"/>
        </w:numPr>
        <w:ind w:right="5555"/>
        <w:rPr>
          <w:i/>
          <w:highlight w:val="yellow"/>
        </w:rPr>
      </w:pPr>
      <w:r w:rsidRPr="001B0B3B">
        <w:rPr>
          <w:i/>
          <w:highlight w:val="yellow"/>
        </w:rPr>
        <w:t xml:space="preserve">État de bien-être physique, mental et social complet et non seulement l’absence de maladie ou d’handicap. </w:t>
      </w:r>
      <w:r w:rsidRPr="001B0B3B">
        <w:rPr>
          <w:highlight w:val="yellow"/>
        </w:rPr>
        <w:t>(OMS, 1948)</w:t>
      </w:r>
    </w:p>
    <w:p w:rsidR="00C62BC6" w:rsidRDefault="00C62BC6" w:rsidP="00C62BC6">
      <w:pPr>
        <w:pStyle w:val="Sansinterligne"/>
        <w:numPr>
          <w:ilvl w:val="0"/>
          <w:numId w:val="1345"/>
        </w:numPr>
        <w:ind w:right="5555"/>
      </w:pPr>
      <w:r>
        <w:t>Capacité d’identifier et réaliser ses aspirations, de satisfaire ses besoins et de s’adapter à son environnement. (OMS, 1986)</w:t>
      </w:r>
    </w:p>
    <w:p w:rsidR="00C62BC6" w:rsidRDefault="00C62BC6" w:rsidP="00C62BC6">
      <w:pPr>
        <w:pStyle w:val="Sansinterligne"/>
        <w:ind w:right="5555"/>
        <w:rPr>
          <w:b/>
        </w:rPr>
      </w:pPr>
    </w:p>
    <w:p w:rsidR="00932324" w:rsidRDefault="00932324" w:rsidP="00C62BC6">
      <w:pPr>
        <w:pStyle w:val="Sansinterligne"/>
        <w:ind w:right="5555"/>
      </w:pPr>
      <w:r w:rsidRPr="00C62BC6">
        <w:rPr>
          <w:b/>
        </w:rPr>
        <w:t>Maladie</w:t>
      </w:r>
      <w:r w:rsidR="00C62BC6">
        <w:t xml:space="preserve"> : </w:t>
      </w:r>
      <w:r w:rsidR="00C62BC6" w:rsidRPr="001B0B3B">
        <w:rPr>
          <w:i/>
          <w:highlight w:val="yellow"/>
        </w:rPr>
        <w:t>Expérience ou perception subjective par un individu de manque de bien-être physique ou mental et l’incapacité de remplir normalement son rôle social qui en découle.</w:t>
      </w:r>
    </w:p>
    <w:p w:rsidR="00932324" w:rsidRDefault="00932324" w:rsidP="00C62BC6">
      <w:pPr>
        <w:pStyle w:val="Sansinterligne"/>
        <w:ind w:right="5555"/>
      </w:pPr>
    </w:p>
    <w:p w:rsidR="00932324" w:rsidRDefault="00932324" w:rsidP="00505E6D">
      <w:pPr>
        <w:pStyle w:val="Sansinterligne"/>
        <w:ind w:right="27"/>
      </w:pPr>
      <w:r w:rsidRPr="00505E6D">
        <w:rPr>
          <w:b/>
        </w:rPr>
        <w:t>Handicap</w:t>
      </w:r>
      <w:r w:rsidR="00C62BC6">
        <w:t> : Désavantage d’un individu résultant d’une incapacité</w:t>
      </w:r>
      <w:r w:rsidR="00505E6D">
        <w:t xml:space="preserve"> et l’empêchant de remplir normalement son rôle ou qui affecte ses relations avec les autres ou son environnement.</w:t>
      </w:r>
    </w:p>
    <w:p w:rsidR="00505E6D" w:rsidRDefault="00505E6D" w:rsidP="00505E6D">
      <w:pPr>
        <w:pStyle w:val="Sansinterligne"/>
        <w:ind w:right="27"/>
      </w:pPr>
    </w:p>
    <w:p w:rsidR="00932324" w:rsidRDefault="00932324" w:rsidP="00505E6D">
      <w:pPr>
        <w:pStyle w:val="Sansinterligne"/>
        <w:ind w:right="27"/>
      </w:pPr>
      <w:r w:rsidRPr="00505E6D">
        <w:rPr>
          <w:b/>
        </w:rPr>
        <w:t>Incapacité</w:t>
      </w:r>
      <w:r w:rsidR="00505E6D">
        <w:t> : Restriction ou manque de capacité d’un humain d’accomplir une activité selon les normes prévues.</w:t>
      </w:r>
    </w:p>
    <w:p w:rsidR="00932324" w:rsidRDefault="00932324" w:rsidP="00932324">
      <w:pPr>
        <w:pStyle w:val="Sansinterligne"/>
        <w:rPr>
          <w:b/>
          <w:sz w:val="28"/>
          <w:szCs w:val="28"/>
        </w:rPr>
      </w:pPr>
      <w:r w:rsidRPr="00932324">
        <w:rPr>
          <w:b/>
          <w:sz w:val="28"/>
          <w:szCs w:val="28"/>
        </w:rPr>
        <w:t>Facteurs déterminants de la santé</w:t>
      </w:r>
    </w:p>
    <w:p w:rsidR="00932324" w:rsidRDefault="00932324" w:rsidP="00932324">
      <w:pPr>
        <w:pStyle w:val="Sansinterligne"/>
      </w:pPr>
    </w:p>
    <w:tbl>
      <w:tblPr>
        <w:tblStyle w:val="Grilledutableau"/>
        <w:tblW w:w="0" w:type="auto"/>
        <w:tblLook w:val="04A0" w:firstRow="1" w:lastRow="0" w:firstColumn="1" w:lastColumn="0" w:noHBand="0" w:noVBand="1"/>
      </w:tblPr>
      <w:tblGrid>
        <w:gridCol w:w="2943"/>
        <w:gridCol w:w="8073"/>
      </w:tblGrid>
      <w:tr w:rsidR="00C239C5" w:rsidRPr="00C239C5" w:rsidTr="00524FE8">
        <w:tc>
          <w:tcPr>
            <w:tcW w:w="2943" w:type="dxa"/>
            <w:shd w:val="clear" w:color="auto" w:fill="C4BC96" w:themeFill="background2" w:themeFillShade="BF"/>
            <w:vAlign w:val="center"/>
          </w:tcPr>
          <w:p w:rsidR="00C239C5" w:rsidRPr="00F43BAA" w:rsidRDefault="00C239C5" w:rsidP="00F43BAA">
            <w:pPr>
              <w:pStyle w:val="Sansinterligne"/>
              <w:jc w:val="center"/>
              <w:rPr>
                <w:b/>
              </w:rPr>
            </w:pPr>
            <w:r w:rsidRPr="00F43BAA">
              <w:rPr>
                <w:b/>
              </w:rPr>
              <w:t>Revenu et statut social (socioéconomique)</w:t>
            </w:r>
          </w:p>
        </w:tc>
        <w:tc>
          <w:tcPr>
            <w:tcW w:w="8073" w:type="dxa"/>
            <w:shd w:val="clear" w:color="auto" w:fill="FFFF00"/>
          </w:tcPr>
          <w:p w:rsidR="00C239C5" w:rsidRDefault="00B84E00" w:rsidP="00C62BC6">
            <w:pPr>
              <w:pStyle w:val="Sansinterligne"/>
            </w:pPr>
            <w:r>
              <w:t>Plus une personne a un revenu élevé, meilleur est son état de santé.</w:t>
            </w:r>
          </w:p>
          <w:p w:rsidR="00B84E00" w:rsidRDefault="00B84E00" w:rsidP="00C62BC6">
            <w:pPr>
              <w:pStyle w:val="Sansinterligne"/>
            </w:pPr>
            <w:r>
              <w:t>Plus l’individu occupe une position social</w:t>
            </w:r>
            <w:r w:rsidR="00342BB3">
              <w:t>e</w:t>
            </w:r>
            <w:r>
              <w:t xml:space="preserve"> élevée, meilleur est son pronostic de santé.</w:t>
            </w:r>
          </w:p>
          <w:p w:rsidR="00B84E00" w:rsidRDefault="00B84E00" w:rsidP="00B84E00">
            <w:pPr>
              <w:pStyle w:val="Sansinterligne"/>
            </w:pPr>
            <w:r>
              <w:t>Cela s’explique en grande partie par le lien avec le sent</w:t>
            </w:r>
            <w:r w:rsidR="00342BB3">
              <w:t>iment de contrôle sur sa vie</w:t>
            </w:r>
            <w:r>
              <w:t xml:space="preserve"> et le niveau de stress plus bas.</w:t>
            </w:r>
          </w:p>
          <w:p w:rsidR="007B5AAE" w:rsidRPr="00C239C5" w:rsidRDefault="007B5AAE" w:rsidP="00B84E00">
            <w:pPr>
              <w:pStyle w:val="Sansinterligne"/>
            </w:pPr>
            <w:r>
              <w:t>La richesse est inégalement distribuée et contribue à accroître les écarts de santé.</w:t>
            </w:r>
          </w:p>
        </w:tc>
      </w:tr>
      <w:tr w:rsidR="00C239C5" w:rsidRPr="00C239C5" w:rsidTr="00685081">
        <w:tc>
          <w:tcPr>
            <w:tcW w:w="2943" w:type="dxa"/>
            <w:shd w:val="clear" w:color="auto" w:fill="C4BC96" w:themeFill="background2" w:themeFillShade="BF"/>
            <w:vAlign w:val="center"/>
          </w:tcPr>
          <w:p w:rsidR="00C239C5" w:rsidRPr="00F43BAA" w:rsidRDefault="00C239C5" w:rsidP="00F43BAA">
            <w:pPr>
              <w:pStyle w:val="Sansinterligne"/>
              <w:jc w:val="center"/>
              <w:rPr>
                <w:b/>
              </w:rPr>
            </w:pPr>
            <w:r w:rsidRPr="00F43BAA">
              <w:rPr>
                <w:b/>
              </w:rPr>
              <w:t>Réseau de support social</w:t>
            </w:r>
          </w:p>
        </w:tc>
        <w:tc>
          <w:tcPr>
            <w:tcW w:w="8073" w:type="dxa"/>
          </w:tcPr>
          <w:p w:rsidR="00C239C5" w:rsidRPr="00C239C5" w:rsidRDefault="00B84E00" w:rsidP="00B84E00">
            <w:pPr>
              <w:pStyle w:val="Sansinterligne"/>
            </w:pPr>
            <w:r>
              <w:t>L’accès a un réseau de support et d’entraide (familial, amical, autre) réduit le risque de mortalité précoce.</w:t>
            </w:r>
            <w:r w:rsidR="007B5AAE">
              <w:t xml:space="preserve"> Les individus isolés, sans travail par exemple</w:t>
            </w:r>
            <w:r w:rsidR="00342BB3">
              <w:t>,</w:t>
            </w:r>
            <w:r w:rsidR="007B5AAE">
              <w:t xml:space="preserve"> sont à risque.</w:t>
            </w:r>
          </w:p>
        </w:tc>
      </w:tr>
      <w:tr w:rsidR="00C239C5" w:rsidRPr="00C239C5" w:rsidTr="00524FE8">
        <w:tc>
          <w:tcPr>
            <w:tcW w:w="2943" w:type="dxa"/>
            <w:shd w:val="clear" w:color="auto" w:fill="C4BC96" w:themeFill="background2" w:themeFillShade="BF"/>
            <w:vAlign w:val="center"/>
          </w:tcPr>
          <w:p w:rsidR="00C239C5" w:rsidRPr="00F43BAA" w:rsidRDefault="00C239C5" w:rsidP="00F43BAA">
            <w:pPr>
              <w:pStyle w:val="Sansinterligne"/>
              <w:jc w:val="center"/>
              <w:rPr>
                <w:b/>
              </w:rPr>
            </w:pPr>
            <w:r w:rsidRPr="00F43BAA">
              <w:rPr>
                <w:b/>
              </w:rPr>
              <w:t>Éducation et alphabétisation</w:t>
            </w:r>
          </w:p>
        </w:tc>
        <w:tc>
          <w:tcPr>
            <w:tcW w:w="8073" w:type="dxa"/>
            <w:shd w:val="clear" w:color="auto" w:fill="FFFF00"/>
          </w:tcPr>
          <w:p w:rsidR="00C239C5" w:rsidRDefault="004816E2" w:rsidP="00C62BC6">
            <w:pPr>
              <w:pStyle w:val="Sansinterligne"/>
            </w:pPr>
            <w:r>
              <w:t xml:space="preserve">Les individus éduqués ont un meilleur sentiment de contrôle sur leur vie, ont accès </w:t>
            </w:r>
          </w:p>
          <w:p w:rsidR="004816E2" w:rsidRDefault="004816E2" w:rsidP="00C62BC6">
            <w:pPr>
              <w:pStyle w:val="Sansinterligne"/>
            </w:pPr>
            <w:r>
              <w:t>a de meilleurs revenus, à un environnement plus sain et ont tendance à adopter de meilleures habitudes de vie.</w:t>
            </w:r>
          </w:p>
          <w:p w:rsidR="007B5AAE" w:rsidRPr="00C239C5" w:rsidRDefault="007B5AAE" w:rsidP="00C62BC6">
            <w:pPr>
              <w:pStyle w:val="Sansinterligne"/>
            </w:pPr>
            <w:r>
              <w:t>Le système d’éducation public contribue a réduire les inégalités en éducation, mais  des inégalités demeures (universitaires versus diplôme professionnel)</w:t>
            </w:r>
          </w:p>
        </w:tc>
      </w:tr>
      <w:tr w:rsidR="00C239C5" w:rsidRPr="00C239C5" w:rsidTr="00524FE8">
        <w:tc>
          <w:tcPr>
            <w:tcW w:w="2943" w:type="dxa"/>
            <w:shd w:val="clear" w:color="auto" w:fill="C4BC96" w:themeFill="background2" w:themeFillShade="BF"/>
            <w:vAlign w:val="center"/>
          </w:tcPr>
          <w:p w:rsidR="00C239C5" w:rsidRPr="00F43BAA" w:rsidRDefault="00C239C5" w:rsidP="00F43BAA">
            <w:pPr>
              <w:pStyle w:val="Sansinterligne"/>
              <w:jc w:val="center"/>
              <w:rPr>
                <w:b/>
              </w:rPr>
            </w:pPr>
            <w:r w:rsidRPr="00F43BAA">
              <w:rPr>
                <w:b/>
              </w:rPr>
              <w:t>Emploi et condition de travail</w:t>
            </w:r>
          </w:p>
        </w:tc>
        <w:tc>
          <w:tcPr>
            <w:tcW w:w="8073" w:type="dxa"/>
            <w:shd w:val="clear" w:color="auto" w:fill="FFFF00"/>
          </w:tcPr>
          <w:p w:rsidR="004816E2" w:rsidRDefault="004816E2" w:rsidP="004816E2">
            <w:pPr>
              <w:pStyle w:val="Sansinterligne"/>
            </w:pPr>
            <w:r>
              <w:t>Le chômage accroit la précarité financière, diminue le réseau social et augmente le niveau de stress des individus.</w:t>
            </w:r>
          </w:p>
          <w:p w:rsidR="004816E2" w:rsidRDefault="004816E2" w:rsidP="004816E2">
            <w:pPr>
              <w:pStyle w:val="Sansinterligne"/>
            </w:pPr>
            <w:r>
              <w:t xml:space="preserve">Les conditions de travail peuvent avoir un impact majeur sur la santé                     </w:t>
            </w:r>
            <w:r w:rsidR="00685081">
              <w:t xml:space="preserve">            </w:t>
            </w:r>
            <w:r>
              <w:t>(ex : effort physique, exigences très élevées</w:t>
            </w:r>
            <w:r w:rsidR="005D0ACF">
              <w:t>, exposition à des toxines</w:t>
            </w:r>
            <w:r>
              <w:t>)</w:t>
            </w:r>
          </w:p>
          <w:p w:rsidR="007B5AAE" w:rsidRPr="00C239C5" w:rsidRDefault="007B5AAE" w:rsidP="007B5AAE">
            <w:pPr>
              <w:pStyle w:val="Sansinterligne"/>
            </w:pPr>
            <w:r>
              <w:t>Des populations immigrantes, autochtones, rurales ou sans abris ont des taux de chômage plus élevé qui affecte leur niveau de santé.</w:t>
            </w:r>
          </w:p>
        </w:tc>
      </w:tr>
      <w:tr w:rsidR="00C239C5" w:rsidRPr="00C239C5" w:rsidTr="00685081">
        <w:tc>
          <w:tcPr>
            <w:tcW w:w="2943" w:type="dxa"/>
            <w:shd w:val="clear" w:color="auto" w:fill="C4BC96" w:themeFill="background2" w:themeFillShade="BF"/>
            <w:vAlign w:val="center"/>
          </w:tcPr>
          <w:p w:rsidR="00C239C5" w:rsidRPr="00F43BAA" w:rsidRDefault="00C239C5" w:rsidP="00F43BAA">
            <w:pPr>
              <w:pStyle w:val="Sansinterligne"/>
              <w:jc w:val="center"/>
              <w:rPr>
                <w:b/>
              </w:rPr>
            </w:pPr>
            <w:r w:rsidRPr="00F43BAA">
              <w:rPr>
                <w:b/>
              </w:rPr>
              <w:t>Environnement social</w:t>
            </w:r>
          </w:p>
        </w:tc>
        <w:tc>
          <w:tcPr>
            <w:tcW w:w="8073" w:type="dxa"/>
          </w:tcPr>
          <w:p w:rsidR="00C239C5" w:rsidRDefault="00F43BAA" w:rsidP="00C62BC6">
            <w:pPr>
              <w:pStyle w:val="Sansinterligne"/>
            </w:pPr>
            <w:r>
              <w:t>Le soutien de la communauté, les conditions sociales (solidarité vs violence, racisme) sont des facteurs qui permettent de réduire certains dangers menaçant la santé.</w:t>
            </w:r>
          </w:p>
          <w:p w:rsidR="007B5AAE" w:rsidRPr="00C239C5" w:rsidRDefault="007B5AAE" w:rsidP="00C62BC6">
            <w:pPr>
              <w:pStyle w:val="Sansinterligne"/>
            </w:pPr>
            <w:r>
              <w:t>Les politiques gouvernementales contribuent à l’environnement social.</w:t>
            </w:r>
          </w:p>
        </w:tc>
      </w:tr>
      <w:tr w:rsidR="00C239C5" w:rsidRPr="00C239C5" w:rsidTr="00524FE8">
        <w:tc>
          <w:tcPr>
            <w:tcW w:w="2943" w:type="dxa"/>
            <w:shd w:val="clear" w:color="auto" w:fill="C4BC96" w:themeFill="background2" w:themeFillShade="BF"/>
            <w:vAlign w:val="center"/>
          </w:tcPr>
          <w:p w:rsidR="00C239C5" w:rsidRPr="00F43BAA" w:rsidRDefault="00C239C5" w:rsidP="00F43BAA">
            <w:pPr>
              <w:pStyle w:val="Sansinterligne"/>
              <w:jc w:val="center"/>
              <w:rPr>
                <w:b/>
              </w:rPr>
            </w:pPr>
            <w:r w:rsidRPr="00F43BAA">
              <w:rPr>
                <w:b/>
              </w:rPr>
              <w:t>Environnement physique et bâti</w:t>
            </w:r>
          </w:p>
        </w:tc>
        <w:tc>
          <w:tcPr>
            <w:tcW w:w="8073" w:type="dxa"/>
            <w:shd w:val="clear" w:color="auto" w:fill="FFFF00"/>
          </w:tcPr>
          <w:p w:rsidR="00C239C5" w:rsidRDefault="00F43BAA" w:rsidP="00F43BAA">
            <w:pPr>
              <w:pStyle w:val="Sansinterligne"/>
            </w:pPr>
            <w:r>
              <w:t>L’air, l’eau, le sol et les aliments peuvent être les vecteurs de maladie comme la MPOC, la dysenterie, les cancers (radon), etc.</w:t>
            </w:r>
          </w:p>
          <w:p w:rsidR="00F43BAA" w:rsidRDefault="00F43BAA" w:rsidP="00F43BAA">
            <w:pPr>
              <w:pStyle w:val="Sansinterligne"/>
            </w:pPr>
            <w:r>
              <w:t>L’accès à des infrastructures sportives peut inciter à de  meilleures habitudes de vie.</w:t>
            </w:r>
          </w:p>
          <w:p w:rsidR="00F43BAA" w:rsidRPr="00C239C5" w:rsidRDefault="00F43BAA" w:rsidP="00F43BAA">
            <w:pPr>
              <w:pStyle w:val="Sansinterligne"/>
            </w:pPr>
            <w:r>
              <w:t>Un environnement physique de meilleure qualité accroit le niveau de santé.</w:t>
            </w:r>
          </w:p>
        </w:tc>
      </w:tr>
      <w:tr w:rsidR="00C239C5" w:rsidRPr="00C239C5" w:rsidTr="00524FE8">
        <w:tc>
          <w:tcPr>
            <w:tcW w:w="2943" w:type="dxa"/>
            <w:shd w:val="clear" w:color="auto" w:fill="C4BC96" w:themeFill="background2" w:themeFillShade="BF"/>
            <w:vAlign w:val="center"/>
          </w:tcPr>
          <w:p w:rsidR="00C239C5" w:rsidRPr="00F43BAA" w:rsidRDefault="00C239C5" w:rsidP="00F43BAA">
            <w:pPr>
              <w:pStyle w:val="Sansinterligne"/>
              <w:jc w:val="center"/>
              <w:rPr>
                <w:b/>
              </w:rPr>
            </w:pPr>
            <w:r w:rsidRPr="00F43BAA">
              <w:rPr>
                <w:b/>
              </w:rPr>
              <w:t>Capacité d’adaptation</w:t>
            </w:r>
            <w:r w:rsidR="001B0B3B" w:rsidRPr="00F43BAA">
              <w:rPr>
                <w:b/>
              </w:rPr>
              <w:t xml:space="preserve"> et habitudes de vie</w:t>
            </w:r>
          </w:p>
        </w:tc>
        <w:tc>
          <w:tcPr>
            <w:tcW w:w="8073" w:type="dxa"/>
            <w:shd w:val="clear" w:color="auto" w:fill="FFFF00"/>
          </w:tcPr>
          <w:p w:rsidR="00C239C5" w:rsidRDefault="00581FDC" w:rsidP="00C62BC6">
            <w:pPr>
              <w:pStyle w:val="Sansinterligne"/>
            </w:pPr>
            <w:r>
              <w:t>Une bonne capacité d’adaptation permet de surmonter les défis et de faire des choix relatifs à sa santé en évitant les comportements à risque (ex : alcool, drogues)</w:t>
            </w:r>
          </w:p>
          <w:p w:rsidR="00581FDC" w:rsidRPr="00C239C5" w:rsidRDefault="00581FDC" w:rsidP="00C62BC6">
            <w:pPr>
              <w:pStyle w:val="Sansinterligne"/>
            </w:pPr>
            <w:r>
              <w:t>Le tabac, la malnutrition et la sédentarité sont des habitudes de vie néfastes dont les risques pour la santé humaine ont été abondamment démontrés.</w:t>
            </w:r>
          </w:p>
        </w:tc>
      </w:tr>
      <w:tr w:rsidR="00C239C5" w:rsidRPr="00C239C5" w:rsidTr="00524FE8">
        <w:tc>
          <w:tcPr>
            <w:tcW w:w="2943" w:type="dxa"/>
            <w:shd w:val="clear" w:color="auto" w:fill="C4BC96" w:themeFill="background2" w:themeFillShade="BF"/>
            <w:vAlign w:val="center"/>
          </w:tcPr>
          <w:p w:rsidR="00C239C5" w:rsidRPr="00F43BAA" w:rsidRDefault="00C239C5" w:rsidP="00F43BAA">
            <w:pPr>
              <w:pStyle w:val="Sansinterligne"/>
              <w:jc w:val="center"/>
              <w:rPr>
                <w:b/>
              </w:rPr>
            </w:pPr>
            <w:r w:rsidRPr="00F43BAA">
              <w:rPr>
                <w:b/>
              </w:rPr>
              <w:t>Développement pédiatrique sain</w:t>
            </w:r>
          </w:p>
        </w:tc>
        <w:tc>
          <w:tcPr>
            <w:tcW w:w="8073" w:type="dxa"/>
            <w:shd w:val="clear" w:color="auto" w:fill="FFFF00"/>
          </w:tcPr>
          <w:p w:rsidR="00C239C5" w:rsidRPr="00C239C5" w:rsidRDefault="004D209F" w:rsidP="00581FDC">
            <w:pPr>
              <w:pStyle w:val="Sansinterligne"/>
            </w:pPr>
            <w:r>
              <w:t>La</w:t>
            </w:r>
            <w:r w:rsidR="00581FDC">
              <w:t xml:space="preserve"> stimulation et les expériences de l’enfant </w:t>
            </w:r>
            <w:r>
              <w:t xml:space="preserve">jusqu’à l’âge de 6 ans </w:t>
            </w:r>
            <w:r w:rsidR="00581FDC">
              <w:t>sont celles qui contribuent le plus à son développement cognitif. La négligence ou de mauvaises expériences peuvent réduire sa capacité d’apprentissage, son estime de soi, ses habiletés relationnelles et sa capacité de faire des choix positifs pour sa santé.</w:t>
            </w:r>
          </w:p>
        </w:tc>
      </w:tr>
      <w:tr w:rsidR="00C239C5" w:rsidRPr="00C239C5" w:rsidTr="00685081">
        <w:tc>
          <w:tcPr>
            <w:tcW w:w="2943" w:type="dxa"/>
            <w:shd w:val="clear" w:color="auto" w:fill="C4BC96" w:themeFill="background2" w:themeFillShade="BF"/>
            <w:vAlign w:val="center"/>
          </w:tcPr>
          <w:p w:rsidR="00C239C5" w:rsidRPr="00F43BAA" w:rsidRDefault="00C239C5" w:rsidP="00F43BAA">
            <w:pPr>
              <w:pStyle w:val="Sansinterligne"/>
              <w:jc w:val="center"/>
              <w:rPr>
                <w:b/>
              </w:rPr>
            </w:pPr>
            <w:r w:rsidRPr="00F43BAA">
              <w:rPr>
                <w:b/>
              </w:rPr>
              <w:t>Hérédité</w:t>
            </w:r>
          </w:p>
        </w:tc>
        <w:tc>
          <w:tcPr>
            <w:tcW w:w="8073" w:type="dxa"/>
          </w:tcPr>
          <w:p w:rsidR="00C239C5" w:rsidRPr="00C239C5" w:rsidRDefault="00685081" w:rsidP="00C62BC6">
            <w:pPr>
              <w:pStyle w:val="Sansinterligne"/>
            </w:pPr>
            <w:r>
              <w:t>Le patrimoine génétique influe grandement sur la santé des individus (maladies héréditaires, prédispositions, épigénétique, etc.)</w:t>
            </w:r>
          </w:p>
        </w:tc>
      </w:tr>
      <w:tr w:rsidR="00C239C5" w:rsidRPr="00C239C5" w:rsidTr="00685081">
        <w:tc>
          <w:tcPr>
            <w:tcW w:w="2943" w:type="dxa"/>
            <w:shd w:val="clear" w:color="auto" w:fill="C4BC96" w:themeFill="background2" w:themeFillShade="BF"/>
            <w:vAlign w:val="center"/>
          </w:tcPr>
          <w:p w:rsidR="00C239C5" w:rsidRPr="00F43BAA" w:rsidRDefault="00C239C5" w:rsidP="00F43BAA">
            <w:pPr>
              <w:pStyle w:val="Sansinterligne"/>
              <w:jc w:val="center"/>
              <w:rPr>
                <w:b/>
              </w:rPr>
            </w:pPr>
            <w:r w:rsidRPr="00F43BAA">
              <w:rPr>
                <w:b/>
              </w:rPr>
              <w:t>Services de santé / système de santé</w:t>
            </w:r>
          </w:p>
        </w:tc>
        <w:tc>
          <w:tcPr>
            <w:tcW w:w="8073" w:type="dxa"/>
          </w:tcPr>
          <w:p w:rsidR="00C239C5" w:rsidRPr="00C239C5" w:rsidRDefault="00685081" w:rsidP="00685081">
            <w:pPr>
              <w:pStyle w:val="Sansinterligne"/>
            </w:pPr>
            <w:r>
              <w:t>L’accessibilité a des services de santé permet d’améliorer la santé d’une population (ex : vaccination, dépistage, traitement, prévention, etc.)</w:t>
            </w:r>
          </w:p>
        </w:tc>
      </w:tr>
      <w:tr w:rsidR="00C239C5" w:rsidRPr="00C239C5" w:rsidTr="00685081">
        <w:tc>
          <w:tcPr>
            <w:tcW w:w="2943" w:type="dxa"/>
            <w:shd w:val="clear" w:color="auto" w:fill="C4BC96" w:themeFill="background2" w:themeFillShade="BF"/>
            <w:vAlign w:val="center"/>
          </w:tcPr>
          <w:p w:rsidR="00C239C5" w:rsidRPr="00F43BAA" w:rsidRDefault="00C239C5" w:rsidP="00F43BAA">
            <w:pPr>
              <w:pStyle w:val="Sansinterligne"/>
              <w:jc w:val="center"/>
              <w:rPr>
                <w:b/>
              </w:rPr>
            </w:pPr>
            <w:r w:rsidRPr="00F43BAA">
              <w:rPr>
                <w:b/>
              </w:rPr>
              <w:t>Genre</w:t>
            </w:r>
          </w:p>
        </w:tc>
        <w:tc>
          <w:tcPr>
            <w:tcW w:w="8073" w:type="dxa"/>
          </w:tcPr>
          <w:p w:rsidR="00C239C5" w:rsidRDefault="00685081" w:rsidP="00C62BC6">
            <w:pPr>
              <w:pStyle w:val="Sansinterligne"/>
            </w:pPr>
            <w:r>
              <w:t>Les hommes ont une espérance de vie inférieure aux femmes.</w:t>
            </w:r>
          </w:p>
          <w:p w:rsidR="00685081" w:rsidRPr="00C239C5" w:rsidRDefault="00685081" w:rsidP="00C62BC6">
            <w:pPr>
              <w:pStyle w:val="Sansinterligne"/>
            </w:pPr>
            <w:r>
              <w:t>Les femmes sont plus à risque de dépression et de certaines maladies chroniques.</w:t>
            </w:r>
          </w:p>
        </w:tc>
      </w:tr>
      <w:tr w:rsidR="00C239C5" w:rsidRPr="00C239C5" w:rsidTr="00685081">
        <w:tc>
          <w:tcPr>
            <w:tcW w:w="2943" w:type="dxa"/>
            <w:shd w:val="clear" w:color="auto" w:fill="C4BC96" w:themeFill="background2" w:themeFillShade="BF"/>
            <w:vAlign w:val="center"/>
          </w:tcPr>
          <w:p w:rsidR="00C239C5" w:rsidRPr="00F43BAA" w:rsidRDefault="00C239C5" w:rsidP="00F43BAA">
            <w:pPr>
              <w:pStyle w:val="Sansinterligne"/>
              <w:jc w:val="center"/>
              <w:rPr>
                <w:b/>
              </w:rPr>
            </w:pPr>
            <w:r w:rsidRPr="00F43BAA">
              <w:rPr>
                <w:b/>
              </w:rPr>
              <w:t>Culture</w:t>
            </w:r>
          </w:p>
        </w:tc>
        <w:tc>
          <w:tcPr>
            <w:tcW w:w="8073" w:type="dxa"/>
          </w:tcPr>
          <w:p w:rsidR="00685081" w:rsidRDefault="00685081" w:rsidP="00C62BC6">
            <w:pPr>
              <w:pStyle w:val="Sansinterligne"/>
            </w:pPr>
            <w:r>
              <w:t>Les Autochtones sont généralement plus à risque de maladies chroniques.</w:t>
            </w:r>
          </w:p>
          <w:p w:rsidR="00685081" w:rsidRDefault="00685081" w:rsidP="00C62BC6">
            <w:pPr>
              <w:pStyle w:val="Sansinterligne"/>
            </w:pPr>
            <w:r>
              <w:t>Les Inuits ont un taux de suicide très élevée en comparaison de la moyenne canadienne.</w:t>
            </w:r>
          </w:p>
          <w:p w:rsidR="00685081" w:rsidRDefault="00685081" w:rsidP="00C62BC6">
            <w:pPr>
              <w:pStyle w:val="Sansinterligne"/>
            </w:pPr>
            <w:r>
              <w:t>Les immigrants et réfugiés ont tendance à avoir de meilleurs résultats académiques que les non-immigrants.</w:t>
            </w:r>
          </w:p>
          <w:p w:rsidR="00685081" w:rsidRDefault="00685081" w:rsidP="00C62BC6">
            <w:pPr>
              <w:pStyle w:val="Sansinterligne"/>
            </w:pPr>
            <w:r>
              <w:t>Les choix personnels, alimentaires, sociaux et autre sont affectés par la culture et les croyances.</w:t>
            </w:r>
          </w:p>
          <w:p w:rsidR="00685081" w:rsidRPr="00C239C5" w:rsidRDefault="00685081" w:rsidP="00C62BC6">
            <w:pPr>
              <w:pStyle w:val="Sansinterligne"/>
            </w:pPr>
            <w:r>
              <w:t>Certaines communautés peuvent vivre de la stigmatisation, de la marginalisation vis-à-vis la culture dominante et réduire, par exemple, l’accessibilité des soins.</w:t>
            </w:r>
          </w:p>
        </w:tc>
      </w:tr>
    </w:tbl>
    <w:p w:rsidR="00C239C5" w:rsidRDefault="00C239C5" w:rsidP="00932324">
      <w:pPr>
        <w:pStyle w:val="Sansinterligne"/>
      </w:pPr>
    </w:p>
    <w:p w:rsidR="00C239C5" w:rsidRDefault="00C239C5" w:rsidP="00932324">
      <w:pPr>
        <w:pStyle w:val="Sansinterligne"/>
      </w:pPr>
    </w:p>
    <w:p w:rsidR="007B5AAE" w:rsidRDefault="007B5AAE" w:rsidP="00932324">
      <w:pPr>
        <w:pStyle w:val="Sansinterligne"/>
      </w:pPr>
    </w:p>
    <w:p w:rsidR="007B5AAE" w:rsidRDefault="007B5AAE" w:rsidP="00932324">
      <w:pPr>
        <w:pStyle w:val="Sansinterligne"/>
      </w:pPr>
    </w:p>
    <w:p w:rsidR="00C239C5" w:rsidRPr="00C239C5" w:rsidRDefault="00C239C5" w:rsidP="00932324">
      <w:pPr>
        <w:pStyle w:val="Sansinterligne"/>
        <w:rPr>
          <w:b/>
          <w:sz w:val="28"/>
          <w:szCs w:val="28"/>
        </w:rPr>
      </w:pPr>
      <w:r w:rsidRPr="00C239C5">
        <w:rPr>
          <w:b/>
          <w:sz w:val="28"/>
          <w:szCs w:val="28"/>
        </w:rPr>
        <w:t>Évolution de la maladie et soins</w:t>
      </w:r>
    </w:p>
    <w:p w:rsidR="00C239C5" w:rsidRPr="00C72CAA" w:rsidRDefault="00C239C5" w:rsidP="00932324">
      <w:pPr>
        <w:pStyle w:val="Sansinterligne"/>
        <w:rPr>
          <w:sz w:val="16"/>
          <w:szCs w:val="16"/>
        </w:rPr>
      </w:pPr>
    </w:p>
    <w:p w:rsidR="007B5AAE" w:rsidRDefault="00383900" w:rsidP="00C72CAA">
      <w:pPr>
        <w:pStyle w:val="Sansinterligne"/>
        <w:jc w:val="center"/>
      </w:pPr>
      <w:r>
        <w:t>Les actions de santé publique et de santé clinique tiennent compte de l’évolution des maladies que l’on souhaite traiter.</w:t>
      </w:r>
      <w:r w:rsidR="007B5AAE">
        <w:rPr>
          <w:noProof/>
          <w:lang w:eastAsia="fr-CA"/>
        </w:rPr>
        <w:drawing>
          <wp:inline distT="0" distB="0" distL="0" distR="0" wp14:anchorId="4251240F" wp14:editId="3DE1354E">
            <wp:extent cx="5953328" cy="2945894"/>
            <wp:effectExtent l="0" t="0" r="0" b="6985"/>
            <wp:docPr id="607" name="Image 607" descr="Résultats de recherche d'images pour « maladie phase clinique, précliniqu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ésultats de recherche d'images pour « maladie phase clinique, préclinique »"/>
                    <pic:cNvPicPr>
                      <a:picLocks noChangeAspect="1" noChangeArrowheads="1"/>
                    </pic:cNvPicPr>
                  </pic:nvPicPr>
                  <pic:blipFill rotWithShape="1">
                    <a:blip r:embed="rId255" cstate="print">
                      <a:extLst>
                        <a:ext uri="{28A0092B-C50C-407E-A947-70E740481C1C}">
                          <a14:useLocalDpi xmlns:a14="http://schemas.microsoft.com/office/drawing/2010/main" val="0"/>
                        </a:ext>
                      </a:extLst>
                    </a:blip>
                    <a:srcRect t="25927"/>
                    <a:stretch/>
                  </pic:blipFill>
                  <pic:spPr bwMode="auto">
                    <a:xfrm>
                      <a:off x="0" y="0"/>
                      <a:ext cx="5953328" cy="2945894"/>
                    </a:xfrm>
                    <a:prstGeom prst="rect">
                      <a:avLst/>
                    </a:prstGeom>
                    <a:noFill/>
                    <a:ln>
                      <a:noFill/>
                    </a:ln>
                    <a:extLst>
                      <a:ext uri="{53640926-AAD7-44D8-BBD7-CCE9431645EC}">
                        <a14:shadowObscured xmlns:a14="http://schemas.microsoft.com/office/drawing/2010/main"/>
                      </a:ext>
                    </a:extLst>
                  </pic:spPr>
                </pic:pic>
              </a:graphicData>
            </a:graphic>
          </wp:inline>
        </w:drawing>
      </w:r>
    </w:p>
    <w:p w:rsidR="007B5AAE" w:rsidRDefault="007B5AAE" w:rsidP="00932324">
      <w:pPr>
        <w:pStyle w:val="Sansinterligne"/>
      </w:pPr>
      <w:r>
        <w:t>Ainsi, la santé publique cherchera à modifier les déterminants sociaux sous-jacents aux problématiques avant qu’elles n’apparaissent</w:t>
      </w:r>
      <w:r w:rsidR="00383900">
        <w:t xml:space="preserve"> (</w:t>
      </w:r>
      <w:r w:rsidR="00383900" w:rsidRPr="00383900">
        <w:rPr>
          <w:highlight w:val="yellow"/>
          <w:u w:val="single"/>
        </w:rPr>
        <w:t>prévention primaire</w:t>
      </w:r>
      <w:r w:rsidR="00383900">
        <w:t>)</w:t>
      </w:r>
      <w:r>
        <w:t xml:space="preserve">. Il s’agit d’un travail de longue haleine qui exige beaucoup de </w:t>
      </w:r>
      <w:r w:rsidR="00383900">
        <w:t xml:space="preserve">données, de consultations, etc. </w:t>
      </w:r>
      <w:r>
        <w:t xml:space="preserve">Ces déterminants amènent des </w:t>
      </w:r>
      <w:r w:rsidRPr="00383900">
        <w:rPr>
          <w:highlight w:val="yellow"/>
          <w:u w:val="single"/>
        </w:rPr>
        <w:t>facteurs de risque</w:t>
      </w:r>
      <w:r>
        <w:t xml:space="preserve"> qui contribuent à la genèse de la maladie.</w:t>
      </w:r>
      <w:r w:rsidR="00383900">
        <w:t xml:space="preserve"> Le clinicien peut également agir à ce niveau, par exemple en incitant un patient à risque à modifier ses habitudes de vie avant l’apparition de la maladie.</w:t>
      </w:r>
    </w:p>
    <w:p w:rsidR="007B5AAE" w:rsidRDefault="007B5AAE" w:rsidP="00932324">
      <w:pPr>
        <w:pStyle w:val="Sansinterligne"/>
      </w:pPr>
    </w:p>
    <w:p w:rsidR="007B5AAE" w:rsidRDefault="007B5AAE" w:rsidP="00932324">
      <w:pPr>
        <w:pStyle w:val="Sansinterligne"/>
      </w:pPr>
      <w:r>
        <w:t xml:space="preserve">Lors de la </w:t>
      </w:r>
      <w:r w:rsidRPr="00383900">
        <w:rPr>
          <w:highlight w:val="yellow"/>
          <w:u w:val="single"/>
        </w:rPr>
        <w:t>phase préclinique</w:t>
      </w:r>
      <w:r>
        <w:t xml:space="preserve"> d’une maladie, celle-ci n’a pas de symptômes, et les patients ne consultent pas. C’est le stade où visent à agir les </w:t>
      </w:r>
      <w:r w:rsidRPr="00383900">
        <w:rPr>
          <w:highlight w:val="yellow"/>
          <w:u w:val="single"/>
        </w:rPr>
        <w:t>programmes de dépistage</w:t>
      </w:r>
      <w:r>
        <w:t xml:space="preserve">. (ex : PQDCS). En effet, on élabore des tests qui permettent de détecter la présence d’une maladie avant qu’elle ne se manifeste afin de la traiter. Évidemment, l’objectif est de modifier le cours de la maladie et le pronostic. Si l’intervention n’a aucun effet sur le cours des choses, il est inutile de dépister. </w:t>
      </w:r>
    </w:p>
    <w:p w:rsidR="007B5AAE" w:rsidRDefault="007B5AAE" w:rsidP="00932324">
      <w:pPr>
        <w:pStyle w:val="Sansinterligne"/>
      </w:pPr>
    </w:p>
    <w:p w:rsidR="007B5AAE" w:rsidRDefault="007B5AAE" w:rsidP="00932324">
      <w:pPr>
        <w:pStyle w:val="Sansinterligne"/>
      </w:pPr>
      <w:r>
        <w:t xml:space="preserve">La </w:t>
      </w:r>
      <w:r w:rsidRPr="00383900">
        <w:rPr>
          <w:highlight w:val="yellow"/>
          <w:u w:val="single"/>
        </w:rPr>
        <w:t>phase clinique</w:t>
      </w:r>
      <w:r>
        <w:t xml:space="preserve"> est le stade où la maladie est </w:t>
      </w:r>
      <w:r w:rsidRPr="00383900">
        <w:rPr>
          <w:highlight w:val="yellow"/>
          <w:u w:val="single"/>
        </w:rPr>
        <w:t>diagnostiquée et traitée</w:t>
      </w:r>
      <w:r>
        <w:t xml:space="preserve"> avec l’arsenal thérapeutique disponible. Cela in</w:t>
      </w:r>
      <w:r w:rsidR="0043083C">
        <w:t>clue les soins du système de santé public ou</w:t>
      </w:r>
      <w:r>
        <w:t xml:space="preserve"> le contrôle et le traitement des épidémies infectieuses par exemple.</w:t>
      </w:r>
    </w:p>
    <w:p w:rsidR="007B5AAE" w:rsidRDefault="007B5AAE" w:rsidP="00932324">
      <w:pPr>
        <w:pStyle w:val="Sansinterligne"/>
      </w:pPr>
    </w:p>
    <w:p w:rsidR="007B5AAE" w:rsidRDefault="007B5AAE" w:rsidP="00932324">
      <w:pPr>
        <w:pStyle w:val="Sansinterligne"/>
      </w:pPr>
      <w:r>
        <w:t xml:space="preserve">La phase postclinique est le moment pour la </w:t>
      </w:r>
      <w:r w:rsidRPr="00383900">
        <w:rPr>
          <w:highlight w:val="yellow"/>
          <w:u w:val="single"/>
        </w:rPr>
        <w:t>prévention tertiaire</w:t>
      </w:r>
      <w:r>
        <w:t>, faite par les cliniciens. C’est-à-dire prendre des actions qui vont prévenir les rechutes et/ou l’aggravation de la maladie (ex : récidive d’AVC)</w:t>
      </w:r>
    </w:p>
    <w:p w:rsidR="007B5AAE" w:rsidRDefault="007B5AAE" w:rsidP="00932324">
      <w:pPr>
        <w:pStyle w:val="Sansinterligne"/>
      </w:pPr>
    </w:p>
    <w:p w:rsidR="00C62BC6" w:rsidRDefault="000765F2" w:rsidP="00932324">
      <w:pPr>
        <w:pStyle w:val="Sansinterligne"/>
        <w:rPr>
          <w:b/>
          <w:sz w:val="28"/>
          <w:szCs w:val="28"/>
        </w:rPr>
      </w:pPr>
      <w:r>
        <w:rPr>
          <w:b/>
          <w:noProof/>
          <w:sz w:val="28"/>
          <w:szCs w:val="28"/>
          <w:lang w:eastAsia="fr-CA"/>
        </w:rPr>
        <mc:AlternateContent>
          <mc:Choice Requires="wpg">
            <w:drawing>
              <wp:anchor distT="0" distB="0" distL="114300" distR="114300" simplePos="0" relativeHeight="252127232" behindDoc="0" locked="0" layoutInCell="1" allowOverlap="1" wp14:anchorId="03C6D3B9" wp14:editId="7DB50046">
                <wp:simplePos x="0" y="0"/>
                <wp:positionH relativeFrom="column">
                  <wp:posOffset>3822970</wp:posOffset>
                </wp:positionH>
                <wp:positionV relativeFrom="paragraph">
                  <wp:posOffset>96358</wp:posOffset>
                </wp:positionV>
                <wp:extent cx="3054485" cy="2315183"/>
                <wp:effectExtent l="0" t="0" r="0" b="9525"/>
                <wp:wrapNone/>
                <wp:docPr id="609" name="Groupe 609"/>
                <wp:cNvGraphicFramePr/>
                <a:graphic xmlns:a="http://schemas.openxmlformats.org/drawingml/2006/main">
                  <a:graphicData uri="http://schemas.microsoft.com/office/word/2010/wordprocessingGroup">
                    <wpg:wgp>
                      <wpg:cNvGrpSpPr/>
                      <wpg:grpSpPr>
                        <a:xfrm>
                          <a:off x="0" y="0"/>
                          <a:ext cx="3054485" cy="2315183"/>
                          <a:chOff x="0" y="0"/>
                          <a:chExt cx="3054485" cy="2315183"/>
                        </a:xfrm>
                      </wpg:grpSpPr>
                      <pic:pic xmlns:pic="http://schemas.openxmlformats.org/drawingml/2006/picture">
                        <pic:nvPicPr>
                          <pic:cNvPr id="606" name="Image 606" descr="Résultats de recherche d'images pour « culture et santé autochtones »"/>
                          <pic:cNvPicPr>
                            <a:picLocks noChangeAspect="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282102"/>
                            <a:ext cx="3054485" cy="2033081"/>
                          </a:xfrm>
                          <a:prstGeom prst="rect">
                            <a:avLst/>
                          </a:prstGeom>
                          <a:noFill/>
                          <a:ln>
                            <a:noFill/>
                          </a:ln>
                        </pic:spPr>
                      </pic:pic>
                      <wps:wsp>
                        <wps:cNvPr id="608" name="Zone de texte 2"/>
                        <wps:cNvSpPr txBox="1">
                          <a:spLocks noChangeArrowheads="1"/>
                        </wps:cNvSpPr>
                        <wps:spPr bwMode="auto">
                          <a:xfrm>
                            <a:off x="0" y="0"/>
                            <a:ext cx="3053715" cy="262255"/>
                          </a:xfrm>
                          <a:prstGeom prst="rect">
                            <a:avLst/>
                          </a:prstGeom>
                          <a:noFill/>
                          <a:ln w="9525">
                            <a:noFill/>
                            <a:miter lim="800000"/>
                            <a:headEnd/>
                            <a:tailEnd/>
                          </a:ln>
                        </wps:spPr>
                        <wps:txbx>
                          <w:txbxContent>
                            <w:p w:rsidR="008276DC" w:rsidRPr="000765F2" w:rsidRDefault="008276DC">
                              <w:pPr>
                                <w:rPr>
                                  <w:b/>
                                </w:rPr>
                              </w:pPr>
                              <w:r w:rsidRPr="000765F2">
                                <w:rPr>
                                  <w:b/>
                                </w:rPr>
                                <w:t xml:space="preserve">Modèle </w:t>
                              </w:r>
                              <w:r>
                                <w:rPr>
                                  <w:b/>
                                </w:rPr>
                                <w:t>de santé holistique - Premières Nations</w:t>
                              </w:r>
                            </w:p>
                          </w:txbxContent>
                        </wps:txbx>
                        <wps:bodyPr rot="0" vert="horz" wrap="square" lIns="91440" tIns="45720" rIns="91440" bIns="45720" anchor="t" anchorCtr="0">
                          <a:noAutofit/>
                        </wps:bodyPr>
                      </wps:wsp>
                    </wpg:wgp>
                  </a:graphicData>
                </a:graphic>
              </wp:anchor>
            </w:drawing>
          </mc:Choice>
          <mc:Fallback>
            <w:pict>
              <v:group id="Groupe 609" o:spid="_x0000_s1092" style="position:absolute;margin-left:301pt;margin-top:7.6pt;width:240.5pt;height:182.3pt;z-index:252127232" coordsize="30544,2315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">
                <v:shape id="Image 606" o:spid="_x0000_s1093" type="#_x0000_t75" alt="Résultats de recherche d'images pour « culture et santé autochtones »" style="position:absolute;top:2821;width:30544;height:203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OwdLCAAAA3AAAAA8AAABkcnMvZG93bnJldi54bWxEj0GLwjAUhO/C/ofwFvZm0/VQpBpFBMXL&#10;smir50fzbIvNSzfJav33RhA8DjPzDTNfDqYTV3K+tazgO0lBEFdWt1wrKIvNeArCB2SNnWVScCcP&#10;y8XHaI65tjfe0/UQahEh7HNU0ITQ51L6qiGDPrE9cfTO1hkMUbpaaoe3CDednKRpJg22HBca7Gnd&#10;UHU5/BsFfo+r8uyLdcl/uhh+frfudJwo9fU5rGYgAg3hHX61d1pBlmbwPBOPgFw8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PzsHSwgAAANwAAAAPAAAAAAAAAAAAAAAAAJ8C&#10;AABkcnMvZG93bnJldi54bWxQSwUGAAAAAAQABAD3AAAAjgMAAAAA&#10;">
                  <v:imagedata r:id="rId257" o:title="Résultats de recherche d'images pour « culture et santé autochtones »"/>
                  <v:path arrowok="t"/>
                </v:shape>
                <v:shape id="_x0000_s1094" type="#_x0000_t202" style="position:absolute;width:30537;height:26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ozeg8AA&#10;AADcAAAADwAAAGRycy9kb3ducmV2LnhtbERPTYvCMBC9C/sfwix402RFZbcaZVEET4p1V/A2NGNb&#10;bCalibb+e3MQPD7e93zZ2UrcqfGlYw1fQwWCOHOm5FzD33Ez+AbhA7LByjFpeJCH5eKjN8fEuJYP&#10;dE9DLmII+wQ1FCHUiZQ+K8iiH7qaOHIX11gMETa5NA22MdxWcqTUVFosOTYUWNOqoOya3qyG/93l&#10;fBqrfb62k7p1nZJsf6TW/c/udwYiUBfe4pd7azRMVVwbz8QjIB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ozeg8AAAADcAAAADwAAAAAAAAAAAAAAAACYAgAAZHJzL2Rvd25y&#10;ZXYueG1sUEsFBgAAAAAEAAQA9QAAAIUDAAAAAA==&#10;" filled="f" stroked="f">
                  <v:textbox>
                    <w:txbxContent>
                      <w:p w:rsidR="008276DC" w:rsidRPr="000765F2" w:rsidRDefault="008276DC">
                        <w:pPr>
                          <w:rPr>
                            <w:b/>
                          </w:rPr>
                        </w:pPr>
                        <w:r w:rsidRPr="000765F2">
                          <w:rPr>
                            <w:b/>
                          </w:rPr>
                          <w:t xml:space="preserve">Modèle </w:t>
                        </w:r>
                        <w:r>
                          <w:rPr>
                            <w:b/>
                          </w:rPr>
                          <w:t>de santé holistique - Premières Nations</w:t>
                        </w:r>
                      </w:p>
                    </w:txbxContent>
                  </v:textbox>
                </v:shape>
              </v:group>
            </w:pict>
          </mc:Fallback>
        </mc:AlternateContent>
      </w:r>
      <w:r w:rsidR="00C239C5" w:rsidRPr="00C239C5">
        <w:rPr>
          <w:b/>
          <w:sz w:val="28"/>
          <w:szCs w:val="28"/>
        </w:rPr>
        <w:t>Culture, spiritualité et santé</w:t>
      </w:r>
    </w:p>
    <w:p w:rsidR="00C62BC6" w:rsidRDefault="00C62BC6" w:rsidP="00932324">
      <w:pPr>
        <w:pStyle w:val="Sansinterligne"/>
        <w:rPr>
          <w:b/>
          <w:sz w:val="28"/>
          <w:szCs w:val="28"/>
        </w:rPr>
      </w:pPr>
    </w:p>
    <w:p w:rsidR="00C72CAA" w:rsidRDefault="00C72CAA" w:rsidP="00C72CAA">
      <w:pPr>
        <w:pStyle w:val="Sansinterligne"/>
        <w:ind w:right="4988"/>
        <w:jc w:val="both"/>
      </w:pPr>
      <w:r>
        <w:t xml:space="preserve">Le clinicien doit tenir compte de la culture et les croyances du patient dans sa prise en charge et la façon d’aborder une problématique. Par exemple, </w:t>
      </w:r>
      <w:r w:rsidRPr="000765F2">
        <w:rPr>
          <w:highlight w:val="yellow"/>
          <w:u w:val="single"/>
        </w:rPr>
        <w:t>dans certaines cultures, la maladie correspond à l’incapacité de remplir son rôle social</w:t>
      </w:r>
      <w:r>
        <w:t xml:space="preserve">. Dans ce cas, il sera très difficile d’expliquer et convaincre un patient de traiter une </w:t>
      </w:r>
      <w:r w:rsidRPr="000765F2">
        <w:rPr>
          <w:highlight w:val="yellow"/>
          <w:u w:val="single"/>
        </w:rPr>
        <w:t>maladie qui ne le limite pas</w:t>
      </w:r>
      <w:r>
        <w:t xml:space="preserve"> (HTA, DB).</w:t>
      </w:r>
    </w:p>
    <w:p w:rsidR="00C72CAA" w:rsidRDefault="00C72CAA" w:rsidP="00C72CAA">
      <w:pPr>
        <w:pStyle w:val="Sansinterligne"/>
        <w:ind w:right="4988"/>
        <w:jc w:val="both"/>
      </w:pPr>
      <w:r>
        <w:t xml:space="preserve">Un patient très religieux et croyant à la vie après la mort ou ayant des rites particuliers n’envisagera pas le </w:t>
      </w:r>
      <w:r w:rsidRPr="000765F2">
        <w:rPr>
          <w:highlight w:val="yellow"/>
          <w:u w:val="single"/>
        </w:rPr>
        <w:t>traitement</w:t>
      </w:r>
      <w:r>
        <w:t xml:space="preserve"> de la même manière </w:t>
      </w:r>
      <w:r w:rsidRPr="000765F2">
        <w:rPr>
          <w:highlight w:val="yellow"/>
          <w:u w:val="single"/>
        </w:rPr>
        <w:t>(transfusions sanguines</w:t>
      </w:r>
      <w:r>
        <w:t xml:space="preserve"> (témoins de Jéhovah),soins palliatifs vs multiples essais thérapeutiques, etc.)</w:t>
      </w:r>
    </w:p>
    <w:p w:rsidR="00C72CAA" w:rsidRPr="00C72CAA" w:rsidRDefault="00C72CAA" w:rsidP="00C72CAA">
      <w:pPr>
        <w:pStyle w:val="Sansinterligne"/>
        <w:ind w:right="4988"/>
        <w:jc w:val="both"/>
      </w:pPr>
      <w:r>
        <w:t xml:space="preserve">De même, </w:t>
      </w:r>
      <w:r w:rsidRPr="000765F2">
        <w:rPr>
          <w:highlight w:val="yellow"/>
          <w:u w:val="single"/>
        </w:rPr>
        <w:t>en santé mentale</w:t>
      </w:r>
      <w:r>
        <w:t xml:space="preserve">, il faudra tenir compte des </w:t>
      </w:r>
      <w:r w:rsidRPr="000765F2">
        <w:rPr>
          <w:highlight w:val="yellow"/>
          <w:u w:val="single"/>
        </w:rPr>
        <w:t>normes culturelles différentes</w:t>
      </w:r>
      <w:r>
        <w:t xml:space="preserve"> au moment de poser un diagnostic en lien avec un comportement qui peut sembler inapproprié au clinicien, mais normal dans sa communauté.</w:t>
      </w:r>
    </w:p>
    <w:p w:rsidR="009246D0" w:rsidRDefault="009246D0" w:rsidP="009246D0">
      <w:pPr>
        <w:spacing w:after="0"/>
        <w:rPr>
          <w:rFonts w:cs="Times New Roman"/>
          <w:b/>
          <w:color w:val="548DD4" w:themeColor="text2" w:themeTint="99"/>
        </w:rPr>
      </w:pPr>
      <w:r>
        <w:rPr>
          <w:rFonts w:cs="Times New Roman"/>
          <w:b/>
          <w:color w:val="548DD4" w:themeColor="text2" w:themeTint="99"/>
        </w:rPr>
        <w:t>CMC 78-2</w:t>
      </w:r>
    </w:p>
    <w:bookmarkStart w:id="247" w:name="_Toc480797311"/>
    <w:p w:rsidR="009246D0" w:rsidRPr="00531D89" w:rsidRDefault="00531D89" w:rsidP="00531D89">
      <w:pPr>
        <w:pStyle w:val="Titre3"/>
        <w:spacing w:before="0" w:after="240"/>
        <w:rPr>
          <w:rFonts w:ascii="Times New Roman" w:hAnsi="Times New Roman" w:cs="Times New Roman"/>
        </w:rPr>
      </w:pPr>
      <w:r>
        <w:rPr>
          <w:rFonts w:ascii="Times New Roman" w:hAnsi="Times New Roman" w:cs="Times New Roman"/>
          <w:noProof/>
          <w:lang w:eastAsia="fr-CA"/>
        </w:rPr>
        <mc:AlternateContent>
          <mc:Choice Requires="wps">
            <w:drawing>
              <wp:anchor distT="0" distB="0" distL="114300" distR="114300" simplePos="0" relativeHeight="252122112" behindDoc="0" locked="0" layoutInCell="1" allowOverlap="1" wp14:anchorId="23D873BE" wp14:editId="41DD12AB">
                <wp:simplePos x="0" y="0"/>
                <wp:positionH relativeFrom="column">
                  <wp:posOffset>-48638</wp:posOffset>
                </wp:positionH>
                <wp:positionV relativeFrom="paragraph">
                  <wp:posOffset>279738</wp:posOffset>
                </wp:positionV>
                <wp:extent cx="6955276" cy="4542817"/>
                <wp:effectExtent l="0" t="0" r="17145" b="10160"/>
                <wp:wrapNone/>
                <wp:docPr id="603" name="Rectangle 603"/>
                <wp:cNvGraphicFramePr/>
                <a:graphic xmlns:a="http://schemas.openxmlformats.org/drawingml/2006/main">
                  <a:graphicData uri="http://schemas.microsoft.com/office/word/2010/wordprocessingShape">
                    <wps:wsp>
                      <wps:cNvSpPr/>
                      <wps:spPr>
                        <a:xfrm>
                          <a:off x="0" y="0"/>
                          <a:ext cx="6955276" cy="4542817"/>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603" o:spid="_x0000_s1026" style="position:absolute;margin-left:-3.85pt;margin-top:22.05pt;width:547.65pt;height:357.7pt;z-index:2521221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" filled="f" strokecolor="black [1600]" strokeweight="2pt"/>
            </w:pict>
          </mc:Fallback>
        </mc:AlternateContent>
      </w:r>
      <w:r w:rsidR="009246D0" w:rsidRPr="00531D89">
        <w:rPr>
          <w:rFonts w:ascii="Times New Roman" w:hAnsi="Times New Roman" w:cs="Times New Roman"/>
        </w:rPr>
        <w:t>Évaluation et mesure de l’état de santé à l’échelle d’une population</w:t>
      </w:r>
      <w:bookmarkEnd w:id="247"/>
    </w:p>
    <w:tbl>
      <w:tblPr>
        <w:tblW w:w="3858" w:type="pct"/>
        <w:tblCellSpacing w:w="0" w:type="dxa"/>
        <w:tblCellMar>
          <w:left w:w="0" w:type="dxa"/>
          <w:right w:w="0" w:type="dxa"/>
        </w:tblCellMar>
        <w:tblLook w:val="04A0" w:firstRow="1" w:lastRow="0" w:firstColumn="1" w:lastColumn="0" w:noHBand="0" w:noVBand="1"/>
      </w:tblPr>
      <w:tblGrid>
        <w:gridCol w:w="8333"/>
      </w:tblGrid>
      <w:tr w:rsidR="00531D89" w:rsidRPr="00531D89" w:rsidTr="00531D89">
        <w:trPr>
          <w:tblCellSpacing w:w="0" w:type="dxa"/>
        </w:trPr>
        <w:tc>
          <w:tcPr>
            <w:tcW w:w="0" w:type="auto"/>
            <w:vAlign w:val="bottom"/>
            <w:hideMark/>
          </w:tcPr>
          <w:p w:rsidR="00531D89" w:rsidRPr="00531D89" w:rsidRDefault="00531D89" w:rsidP="00531D89">
            <w:pPr>
              <w:pStyle w:val="Sansinterligne"/>
              <w:rPr>
                <w:rFonts w:cs="Times New Roman"/>
                <w:b/>
                <w:sz w:val="18"/>
                <w:szCs w:val="18"/>
              </w:rPr>
            </w:pPr>
            <w:r w:rsidRPr="00531D89">
              <w:rPr>
                <w:rFonts w:cs="Times New Roman"/>
                <w:b/>
                <w:sz w:val="18"/>
                <w:szCs w:val="18"/>
              </w:rPr>
              <w:t>Objectifs principaux</w:t>
            </w:r>
          </w:p>
        </w:tc>
      </w:tr>
    </w:tbl>
    <w:p w:rsidR="009246D0" w:rsidRPr="00531D89" w:rsidRDefault="009246D0" w:rsidP="009246D0">
      <w:pPr>
        <w:numPr>
          <w:ilvl w:val="0"/>
          <w:numId w:val="1339"/>
        </w:numPr>
        <w:shd w:val="clear" w:color="auto" w:fill="FFFFFF"/>
        <w:spacing w:before="100" w:beforeAutospacing="1" w:after="100" w:afterAutospacing="1" w:line="240" w:lineRule="auto"/>
        <w:rPr>
          <w:rFonts w:cs="Times New Roman"/>
          <w:color w:val="000000"/>
          <w:sz w:val="18"/>
          <w:szCs w:val="18"/>
          <w:shd w:val="clear" w:color="auto" w:fill="FFFFFF"/>
        </w:rPr>
      </w:pPr>
      <w:bookmarkStart w:id="248" w:name="Objectifsprincipaux1"/>
      <w:r w:rsidRPr="00531D89">
        <w:rPr>
          <w:rFonts w:cs="Times New Roman"/>
          <w:color w:val="000000"/>
          <w:sz w:val="18"/>
          <w:szCs w:val="18"/>
          <w:shd w:val="clear" w:color="auto" w:fill="FFFFFF"/>
        </w:rPr>
        <w:t>Décrire l'état de santé d'une population définie.</w:t>
      </w:r>
    </w:p>
    <w:p w:rsidR="009246D0" w:rsidRPr="00531D89" w:rsidRDefault="009246D0" w:rsidP="009246D0">
      <w:pPr>
        <w:numPr>
          <w:ilvl w:val="0"/>
          <w:numId w:val="1339"/>
        </w:numPr>
        <w:shd w:val="clear" w:color="auto" w:fill="FFFFFF"/>
        <w:spacing w:before="100" w:beforeAutospacing="1" w:after="100" w:afterAutospacing="1" w:line="240" w:lineRule="auto"/>
        <w:rPr>
          <w:rFonts w:cs="Times New Roman"/>
          <w:color w:val="000000"/>
          <w:sz w:val="18"/>
          <w:szCs w:val="18"/>
          <w:shd w:val="clear" w:color="auto" w:fill="FFFFFF"/>
        </w:rPr>
      </w:pPr>
      <w:bookmarkStart w:id="249" w:name="Objectifsprincipaux2"/>
      <w:bookmarkEnd w:id="248"/>
      <w:r w:rsidRPr="00531D89">
        <w:rPr>
          <w:rFonts w:cs="Times New Roman"/>
          <w:color w:val="000000"/>
          <w:sz w:val="18"/>
          <w:szCs w:val="18"/>
          <w:shd w:val="clear" w:color="auto" w:fill="FFFFFF"/>
        </w:rPr>
        <w:t>Mesurer et consigner les facteurs qui ont une incidence sur l'état de santé d'une population selon les principes de la causalité.</w:t>
      </w:r>
    </w:p>
    <w:tbl>
      <w:tblPr>
        <w:tblW w:w="3721" w:type="pct"/>
        <w:tblCellSpacing w:w="0" w:type="dxa"/>
        <w:tblCellMar>
          <w:left w:w="0" w:type="dxa"/>
          <w:right w:w="0" w:type="dxa"/>
        </w:tblCellMar>
        <w:tblLook w:val="04A0" w:firstRow="1" w:lastRow="0" w:firstColumn="1" w:lastColumn="0" w:noHBand="0" w:noVBand="1"/>
      </w:tblPr>
      <w:tblGrid>
        <w:gridCol w:w="8037"/>
      </w:tblGrid>
      <w:tr w:rsidR="00531D89" w:rsidRPr="00531D89" w:rsidTr="00531D89">
        <w:trPr>
          <w:tblCellSpacing w:w="0" w:type="dxa"/>
        </w:trPr>
        <w:tc>
          <w:tcPr>
            <w:tcW w:w="0" w:type="auto"/>
            <w:vAlign w:val="bottom"/>
            <w:hideMark/>
          </w:tcPr>
          <w:bookmarkEnd w:id="249"/>
          <w:p w:rsidR="00531D89" w:rsidRPr="00531D89" w:rsidRDefault="00531D89" w:rsidP="00531D89">
            <w:pPr>
              <w:pStyle w:val="Sansinterligne"/>
              <w:rPr>
                <w:rFonts w:cs="Times New Roman"/>
                <w:b/>
                <w:sz w:val="16"/>
                <w:szCs w:val="16"/>
              </w:rPr>
            </w:pPr>
            <w:r w:rsidRPr="00531D89">
              <w:rPr>
                <w:rFonts w:cs="Times New Roman"/>
                <w:b/>
                <w:sz w:val="16"/>
                <w:szCs w:val="16"/>
              </w:rPr>
              <w:t>Objectifs de base</w:t>
            </w:r>
          </w:p>
        </w:tc>
      </w:tr>
    </w:tbl>
    <w:p w:rsidR="009246D0" w:rsidRPr="00531D89" w:rsidRDefault="009246D0" w:rsidP="009246D0">
      <w:pPr>
        <w:numPr>
          <w:ilvl w:val="0"/>
          <w:numId w:val="1340"/>
        </w:numPr>
        <w:shd w:val="clear" w:color="auto" w:fill="FFFFFF"/>
        <w:spacing w:before="100" w:beforeAutospacing="1" w:after="100" w:afterAutospacing="1" w:line="240" w:lineRule="auto"/>
        <w:rPr>
          <w:rFonts w:cs="Times New Roman"/>
          <w:color w:val="000000"/>
          <w:sz w:val="16"/>
          <w:szCs w:val="16"/>
          <w:shd w:val="clear" w:color="auto" w:fill="FFFFFF"/>
        </w:rPr>
      </w:pPr>
      <w:r w:rsidRPr="00531D89">
        <w:rPr>
          <w:rFonts w:cs="Times New Roman"/>
          <w:color w:val="000000"/>
          <w:sz w:val="16"/>
          <w:szCs w:val="16"/>
          <w:shd w:val="clear" w:color="auto" w:fill="FFFFFF"/>
        </w:rPr>
        <w:t>Savoir comment obtenir et recueillir de l'information en matière de santé pour décrire la santé d'une population :</w:t>
      </w:r>
    </w:p>
    <w:p w:rsidR="009246D0" w:rsidRPr="00531D89" w:rsidRDefault="009246D0" w:rsidP="009246D0">
      <w:pPr>
        <w:numPr>
          <w:ilvl w:val="1"/>
          <w:numId w:val="1340"/>
        </w:numPr>
        <w:shd w:val="clear" w:color="auto" w:fill="FFFFFF"/>
        <w:spacing w:before="100" w:beforeAutospacing="1" w:after="100" w:afterAutospacing="1" w:line="240" w:lineRule="auto"/>
        <w:rPr>
          <w:rFonts w:cs="Times New Roman"/>
          <w:color w:val="000000"/>
          <w:sz w:val="16"/>
          <w:szCs w:val="16"/>
          <w:shd w:val="clear" w:color="auto" w:fill="FFFFFF"/>
        </w:rPr>
      </w:pPr>
      <w:r w:rsidRPr="00531D89">
        <w:rPr>
          <w:rFonts w:cs="Times New Roman"/>
          <w:color w:val="000000"/>
          <w:sz w:val="16"/>
          <w:szCs w:val="16"/>
          <w:shd w:val="clear" w:color="auto" w:fill="FFFFFF"/>
        </w:rPr>
        <w:t>Décrire les types de données et les composantes communes (tant qualitatives que quantitatives) utilisées pour évaluer les besoins d'une collectivité en matière de santé.</w:t>
      </w:r>
    </w:p>
    <w:p w:rsidR="009246D0" w:rsidRPr="00531D89" w:rsidRDefault="009246D0" w:rsidP="009246D0">
      <w:pPr>
        <w:numPr>
          <w:ilvl w:val="1"/>
          <w:numId w:val="1340"/>
        </w:numPr>
        <w:shd w:val="clear" w:color="auto" w:fill="FFFFFF"/>
        <w:spacing w:before="100" w:beforeAutospacing="1" w:after="100" w:afterAutospacing="1" w:line="240" w:lineRule="auto"/>
        <w:rPr>
          <w:rFonts w:cs="Times New Roman"/>
          <w:color w:val="000000"/>
          <w:sz w:val="16"/>
          <w:szCs w:val="16"/>
          <w:shd w:val="clear" w:color="auto" w:fill="FFFFFF"/>
        </w:rPr>
      </w:pPr>
      <w:r w:rsidRPr="00531D89">
        <w:rPr>
          <w:rFonts w:cs="Times New Roman"/>
          <w:color w:val="000000"/>
          <w:sz w:val="16"/>
          <w:szCs w:val="16"/>
          <w:shd w:val="clear" w:color="auto" w:fill="FFFFFF"/>
        </w:rPr>
        <w:t>Connaître les sources importantes de données de nature clinique sur la santé, à l'échelle de la population, et reconnaître les avantages et les inconvénients de chacune d'entre elles.</w:t>
      </w:r>
    </w:p>
    <w:p w:rsidR="009246D0" w:rsidRPr="00531D89" w:rsidRDefault="009246D0" w:rsidP="009246D0">
      <w:pPr>
        <w:numPr>
          <w:ilvl w:val="1"/>
          <w:numId w:val="1340"/>
        </w:numPr>
        <w:shd w:val="clear" w:color="auto" w:fill="FFFFFF"/>
        <w:spacing w:before="100" w:beforeAutospacing="1" w:after="100" w:afterAutospacing="1" w:line="240" w:lineRule="auto"/>
        <w:rPr>
          <w:rFonts w:cs="Times New Roman"/>
          <w:color w:val="000000"/>
          <w:sz w:val="16"/>
          <w:szCs w:val="16"/>
          <w:shd w:val="clear" w:color="auto" w:fill="FFFFFF"/>
        </w:rPr>
      </w:pPr>
      <w:bookmarkStart w:id="250" w:name="Objectifsdebase1.3"/>
      <w:r w:rsidRPr="00531D89">
        <w:rPr>
          <w:rFonts w:cs="Times New Roman"/>
          <w:color w:val="000000"/>
          <w:sz w:val="16"/>
          <w:szCs w:val="16"/>
          <w:shd w:val="clear" w:color="auto" w:fill="FFFFFF"/>
        </w:rPr>
        <w:t>Évaluer de façon critique les sources possibles de données pour décrire la santé d'une population, y compris l'importance de la codification et de la consignation exactes de l'information en matière de santé.</w:t>
      </w:r>
    </w:p>
    <w:p w:rsidR="009246D0" w:rsidRPr="00531D89" w:rsidRDefault="009246D0" w:rsidP="009246D0">
      <w:pPr>
        <w:numPr>
          <w:ilvl w:val="1"/>
          <w:numId w:val="1340"/>
        </w:numPr>
        <w:shd w:val="clear" w:color="auto" w:fill="FFFFFF"/>
        <w:spacing w:before="100" w:beforeAutospacing="1" w:after="100" w:afterAutospacing="1" w:line="240" w:lineRule="auto"/>
        <w:rPr>
          <w:rFonts w:cs="Times New Roman"/>
          <w:color w:val="000000"/>
          <w:sz w:val="16"/>
          <w:szCs w:val="16"/>
          <w:shd w:val="clear" w:color="auto" w:fill="FFFFFF"/>
        </w:rPr>
      </w:pPr>
      <w:bookmarkStart w:id="251" w:name="Objectifsdebase1.4"/>
      <w:bookmarkEnd w:id="250"/>
      <w:r w:rsidRPr="00531D89">
        <w:rPr>
          <w:rFonts w:cs="Times New Roman"/>
          <w:color w:val="000000"/>
          <w:sz w:val="16"/>
          <w:szCs w:val="16"/>
          <w:shd w:val="clear" w:color="auto" w:fill="FFFFFF"/>
        </w:rPr>
        <w:t>Décrire l'incertitude liée à la saisie de données sur le nombre d'incidents et les populations à risque.</w:t>
      </w:r>
    </w:p>
    <w:p w:rsidR="009246D0" w:rsidRPr="00531D89" w:rsidRDefault="009246D0" w:rsidP="009246D0">
      <w:pPr>
        <w:numPr>
          <w:ilvl w:val="1"/>
          <w:numId w:val="1340"/>
        </w:numPr>
        <w:shd w:val="clear" w:color="auto" w:fill="FFFFFF"/>
        <w:spacing w:before="100" w:beforeAutospacing="1" w:after="100" w:afterAutospacing="1" w:line="240" w:lineRule="auto"/>
        <w:rPr>
          <w:rFonts w:cs="Times New Roman"/>
          <w:color w:val="000000"/>
          <w:sz w:val="16"/>
          <w:szCs w:val="16"/>
          <w:shd w:val="clear" w:color="auto" w:fill="FFFFFF"/>
        </w:rPr>
      </w:pPr>
      <w:bookmarkStart w:id="252" w:name="Objectifsdebase1.5"/>
      <w:bookmarkEnd w:id="251"/>
      <w:r w:rsidRPr="00531D89">
        <w:rPr>
          <w:rFonts w:cs="Times New Roman"/>
          <w:color w:val="000000"/>
          <w:sz w:val="16"/>
          <w:szCs w:val="16"/>
          <w:shd w:val="clear" w:color="auto" w:fill="FFFFFF"/>
        </w:rPr>
        <w:t>Comprendre les systèmes de surveillance et le rôle des médecins et de la santé publique dans la déclaration et le traitement des maladies.</w:t>
      </w:r>
    </w:p>
    <w:bookmarkEnd w:id="252"/>
    <w:p w:rsidR="009246D0" w:rsidRPr="00531D89" w:rsidRDefault="009246D0" w:rsidP="009246D0">
      <w:pPr>
        <w:numPr>
          <w:ilvl w:val="0"/>
          <w:numId w:val="1340"/>
        </w:numPr>
        <w:shd w:val="clear" w:color="auto" w:fill="FFFFFF"/>
        <w:spacing w:before="100" w:beforeAutospacing="1" w:after="100" w:afterAutospacing="1" w:line="240" w:lineRule="auto"/>
        <w:rPr>
          <w:rFonts w:cs="Times New Roman"/>
          <w:color w:val="000000"/>
          <w:sz w:val="16"/>
          <w:szCs w:val="16"/>
          <w:shd w:val="clear" w:color="auto" w:fill="FFFFFF"/>
        </w:rPr>
      </w:pPr>
      <w:r w:rsidRPr="00531D89">
        <w:rPr>
          <w:rFonts w:cs="Times New Roman"/>
          <w:color w:val="000000"/>
          <w:sz w:val="16"/>
          <w:szCs w:val="16"/>
          <w:shd w:val="clear" w:color="auto" w:fill="FFFFFF"/>
        </w:rPr>
        <w:t>Analyser les données sur la santé des populations à l'aide de mesures pertinentes :</w:t>
      </w:r>
    </w:p>
    <w:p w:rsidR="009246D0" w:rsidRPr="00531D89" w:rsidRDefault="009246D0" w:rsidP="009246D0">
      <w:pPr>
        <w:numPr>
          <w:ilvl w:val="1"/>
          <w:numId w:val="1340"/>
        </w:numPr>
        <w:shd w:val="clear" w:color="auto" w:fill="FFFFFF"/>
        <w:spacing w:before="100" w:beforeAutospacing="1" w:after="100" w:afterAutospacing="1" w:line="240" w:lineRule="auto"/>
        <w:rPr>
          <w:rFonts w:cs="Times New Roman"/>
          <w:color w:val="000000"/>
          <w:sz w:val="16"/>
          <w:szCs w:val="16"/>
          <w:shd w:val="clear" w:color="auto" w:fill="FFFFFF"/>
        </w:rPr>
      </w:pPr>
      <w:bookmarkStart w:id="253" w:name="Objectifsdebase2.1"/>
      <w:r w:rsidRPr="00531D89">
        <w:rPr>
          <w:rFonts w:cs="Times New Roman"/>
          <w:color w:val="000000"/>
          <w:sz w:val="16"/>
          <w:szCs w:val="16"/>
          <w:shd w:val="clear" w:color="auto" w:fill="FFFFFF"/>
        </w:rPr>
        <w:t>Appliquer les principes de l'épidémiologie dans l'analyse de situations sanitaires courantes observées en cabinet et dans la collectivité.</w:t>
      </w:r>
    </w:p>
    <w:p w:rsidR="009246D0" w:rsidRPr="00531D89" w:rsidRDefault="009246D0" w:rsidP="009246D0">
      <w:pPr>
        <w:numPr>
          <w:ilvl w:val="1"/>
          <w:numId w:val="1340"/>
        </w:numPr>
        <w:shd w:val="clear" w:color="auto" w:fill="FFFFFF"/>
        <w:spacing w:before="100" w:beforeAutospacing="1" w:after="100" w:afterAutospacing="1" w:line="240" w:lineRule="auto"/>
        <w:rPr>
          <w:rFonts w:cs="Times New Roman"/>
          <w:color w:val="000000"/>
          <w:sz w:val="16"/>
          <w:szCs w:val="16"/>
          <w:shd w:val="clear" w:color="auto" w:fill="FFFFFF"/>
        </w:rPr>
      </w:pPr>
      <w:bookmarkStart w:id="254" w:name="Objectifsdebase2.2"/>
      <w:bookmarkEnd w:id="253"/>
      <w:r w:rsidRPr="00531D89">
        <w:rPr>
          <w:rFonts w:cs="Times New Roman"/>
          <w:color w:val="000000"/>
          <w:sz w:val="16"/>
          <w:szCs w:val="16"/>
          <w:shd w:val="clear" w:color="auto" w:fill="FFFFFF"/>
        </w:rPr>
        <w:t>Décrire les concepts de l'incidence, de la prévalence, du taux d'atteinte et du taux de létalité ainsi qu'être en mesure de les calculer et comprendre les principes de la normalisation.</w:t>
      </w:r>
    </w:p>
    <w:p w:rsidR="009246D0" w:rsidRPr="00531D89" w:rsidRDefault="009246D0" w:rsidP="009246D0">
      <w:pPr>
        <w:numPr>
          <w:ilvl w:val="1"/>
          <w:numId w:val="1340"/>
        </w:numPr>
        <w:shd w:val="clear" w:color="auto" w:fill="FFFFFF"/>
        <w:spacing w:before="100" w:beforeAutospacing="1" w:after="100" w:afterAutospacing="1" w:line="240" w:lineRule="auto"/>
        <w:rPr>
          <w:rFonts w:cs="Times New Roman"/>
          <w:color w:val="000000"/>
          <w:sz w:val="16"/>
          <w:szCs w:val="16"/>
          <w:shd w:val="clear" w:color="auto" w:fill="FFFFFF"/>
        </w:rPr>
      </w:pPr>
      <w:bookmarkStart w:id="255" w:name="Objectifsdebase2.3"/>
      <w:bookmarkEnd w:id="254"/>
      <w:r w:rsidRPr="00531D89">
        <w:rPr>
          <w:rFonts w:cs="Times New Roman"/>
          <w:color w:val="000000"/>
          <w:sz w:val="16"/>
          <w:szCs w:val="16"/>
          <w:shd w:val="clear" w:color="auto" w:fill="FFFFFF"/>
        </w:rPr>
        <w:t>Aborder les différentes mesures d'association, notamment le risque relatif, le rapport de cotes (odds-ratio), le risque attribuable et les corrélations.</w:t>
      </w:r>
    </w:p>
    <w:bookmarkEnd w:id="255"/>
    <w:p w:rsidR="009246D0" w:rsidRPr="00531D89" w:rsidRDefault="009246D0" w:rsidP="009246D0">
      <w:pPr>
        <w:numPr>
          <w:ilvl w:val="0"/>
          <w:numId w:val="1340"/>
        </w:numPr>
        <w:shd w:val="clear" w:color="auto" w:fill="FFFFFF"/>
        <w:spacing w:before="100" w:beforeAutospacing="1" w:after="100" w:afterAutospacing="1" w:line="240" w:lineRule="auto"/>
        <w:rPr>
          <w:rFonts w:cs="Times New Roman"/>
          <w:color w:val="000000"/>
          <w:sz w:val="16"/>
          <w:szCs w:val="16"/>
          <w:shd w:val="clear" w:color="auto" w:fill="FFFFFF"/>
        </w:rPr>
      </w:pPr>
      <w:r w:rsidRPr="00531D89">
        <w:rPr>
          <w:rFonts w:cs="Times New Roman"/>
          <w:color w:val="000000"/>
          <w:sz w:val="16"/>
          <w:szCs w:val="16"/>
          <w:shd w:val="clear" w:color="auto" w:fill="FFFFFF"/>
        </w:rPr>
        <w:t>Interpréter et présenter l'analyse des indicateurs de l'état de santé :</w:t>
      </w:r>
    </w:p>
    <w:p w:rsidR="009246D0" w:rsidRPr="00531D89" w:rsidRDefault="009246D0" w:rsidP="009246D0">
      <w:pPr>
        <w:numPr>
          <w:ilvl w:val="1"/>
          <w:numId w:val="1340"/>
        </w:numPr>
        <w:shd w:val="clear" w:color="auto" w:fill="FFFFFF"/>
        <w:spacing w:before="100" w:beforeAutospacing="1" w:after="100" w:afterAutospacing="1" w:line="240" w:lineRule="auto"/>
        <w:rPr>
          <w:rFonts w:cs="Times New Roman"/>
          <w:color w:val="000000"/>
          <w:sz w:val="16"/>
          <w:szCs w:val="16"/>
          <w:shd w:val="clear" w:color="auto" w:fill="FFFFFF"/>
        </w:rPr>
      </w:pPr>
      <w:bookmarkStart w:id="256" w:name="Objectifsdebase3.1"/>
      <w:r w:rsidRPr="00531D89">
        <w:rPr>
          <w:rFonts w:cs="Times New Roman"/>
          <w:color w:val="000000"/>
          <w:sz w:val="16"/>
          <w:szCs w:val="16"/>
          <w:shd w:val="clear" w:color="auto" w:fill="FFFFFF"/>
        </w:rPr>
        <w:t>Être en mesure d'utiliser les systèmes d'information sur la santé recueillie en milieu clinique pour surveiller la santé des patients et déterminer les besoins en matière de santé non comblés.</w:t>
      </w:r>
    </w:p>
    <w:p w:rsidR="009246D0" w:rsidRPr="00531D89" w:rsidRDefault="009246D0" w:rsidP="009246D0">
      <w:pPr>
        <w:numPr>
          <w:ilvl w:val="1"/>
          <w:numId w:val="1340"/>
        </w:numPr>
        <w:shd w:val="clear" w:color="auto" w:fill="FFFFFF"/>
        <w:spacing w:before="100" w:beforeAutospacing="1" w:after="100" w:afterAutospacing="1" w:line="240" w:lineRule="auto"/>
        <w:rPr>
          <w:rFonts w:cs="Times New Roman"/>
          <w:color w:val="000000"/>
          <w:sz w:val="16"/>
          <w:szCs w:val="16"/>
          <w:shd w:val="clear" w:color="auto" w:fill="FFFFFF"/>
        </w:rPr>
      </w:pPr>
      <w:bookmarkStart w:id="257" w:name="Objectifsdebase3.2"/>
      <w:bookmarkEnd w:id="256"/>
      <w:r w:rsidRPr="00531D89">
        <w:rPr>
          <w:rFonts w:cs="Times New Roman"/>
          <w:color w:val="000000"/>
          <w:sz w:val="16"/>
          <w:szCs w:val="16"/>
          <w:shd w:val="clear" w:color="auto" w:fill="FFFFFF"/>
        </w:rPr>
        <w:t>Comprendre l'utilisation appropriée des différents graphiques de données.</w:t>
      </w:r>
    </w:p>
    <w:p w:rsidR="009246D0" w:rsidRPr="00531D89" w:rsidRDefault="009246D0" w:rsidP="009246D0">
      <w:pPr>
        <w:numPr>
          <w:ilvl w:val="1"/>
          <w:numId w:val="1340"/>
        </w:numPr>
        <w:shd w:val="clear" w:color="auto" w:fill="FFFFFF"/>
        <w:spacing w:before="100" w:beforeAutospacing="1" w:after="100" w:afterAutospacing="1" w:line="240" w:lineRule="auto"/>
        <w:rPr>
          <w:rFonts w:cs="Times New Roman"/>
          <w:color w:val="000000"/>
          <w:sz w:val="16"/>
          <w:szCs w:val="16"/>
          <w:shd w:val="clear" w:color="auto" w:fill="FFFFFF"/>
        </w:rPr>
      </w:pPr>
      <w:bookmarkStart w:id="258" w:name="Objectifsdebase3.3"/>
      <w:bookmarkEnd w:id="257"/>
      <w:r w:rsidRPr="00531D89">
        <w:rPr>
          <w:rFonts w:cs="Times New Roman"/>
          <w:color w:val="000000"/>
          <w:sz w:val="16"/>
          <w:szCs w:val="16"/>
          <w:shd w:val="clear" w:color="auto" w:fill="FFFFFF"/>
        </w:rPr>
        <w:t>Décrire les critères d'évaluation de la causalité.</w:t>
      </w:r>
    </w:p>
    <w:p w:rsidR="009246D0" w:rsidRPr="00531D89" w:rsidRDefault="009246D0" w:rsidP="009246D0">
      <w:pPr>
        <w:numPr>
          <w:ilvl w:val="1"/>
          <w:numId w:val="1340"/>
        </w:numPr>
        <w:shd w:val="clear" w:color="auto" w:fill="FFFFFF"/>
        <w:spacing w:before="100" w:beforeAutospacing="1" w:after="100" w:afterAutospacing="1" w:line="240" w:lineRule="auto"/>
        <w:rPr>
          <w:rFonts w:cs="Times New Roman"/>
          <w:color w:val="000000"/>
          <w:sz w:val="16"/>
          <w:szCs w:val="16"/>
          <w:shd w:val="clear" w:color="auto" w:fill="FFFFFF"/>
        </w:rPr>
      </w:pPr>
      <w:bookmarkStart w:id="259" w:name="Objectifsdebase3.4"/>
      <w:bookmarkEnd w:id="258"/>
      <w:r w:rsidRPr="00531D89">
        <w:rPr>
          <w:rFonts w:cs="Times New Roman"/>
          <w:color w:val="000000"/>
          <w:sz w:val="16"/>
          <w:szCs w:val="16"/>
          <w:shd w:val="clear" w:color="auto" w:fill="FFFFFF"/>
        </w:rPr>
        <w:t>Être en mesure d'évaluer de façon critique et d'intégrer des données de recherche en mettant particulièrement l'accent sur les éléments suivants :</w:t>
      </w:r>
    </w:p>
    <w:p w:rsidR="009246D0" w:rsidRPr="00531D89" w:rsidRDefault="009246D0" w:rsidP="009246D0">
      <w:pPr>
        <w:numPr>
          <w:ilvl w:val="2"/>
          <w:numId w:val="1340"/>
        </w:numPr>
        <w:shd w:val="clear" w:color="auto" w:fill="FFFFFF"/>
        <w:spacing w:before="100" w:beforeAutospacing="1" w:after="100" w:afterAutospacing="1" w:line="240" w:lineRule="auto"/>
        <w:rPr>
          <w:rFonts w:cs="Times New Roman"/>
          <w:color w:val="000000"/>
          <w:sz w:val="16"/>
          <w:szCs w:val="16"/>
          <w:shd w:val="clear" w:color="auto" w:fill="FFFFFF"/>
        </w:rPr>
      </w:pPr>
      <w:bookmarkStart w:id="260" w:name="Objectifsdebase3.4.1"/>
      <w:bookmarkEnd w:id="259"/>
      <w:r w:rsidRPr="00531D89">
        <w:rPr>
          <w:rFonts w:cs="Times New Roman"/>
          <w:color w:val="000000"/>
          <w:sz w:val="16"/>
          <w:szCs w:val="16"/>
          <w:shd w:val="clear" w:color="auto" w:fill="FFFFFF"/>
        </w:rPr>
        <w:t>caractéristiques des plans d'études (essai clinique aléatoire, étude des cohortes, étude cas témoin, étude transversale);</w:t>
      </w:r>
    </w:p>
    <w:p w:rsidR="009246D0" w:rsidRPr="00531D89" w:rsidRDefault="009246D0" w:rsidP="009246D0">
      <w:pPr>
        <w:numPr>
          <w:ilvl w:val="2"/>
          <w:numId w:val="1340"/>
        </w:numPr>
        <w:shd w:val="clear" w:color="auto" w:fill="FFFFFF"/>
        <w:spacing w:before="100" w:beforeAutospacing="1" w:after="100" w:afterAutospacing="1" w:line="240" w:lineRule="auto"/>
        <w:rPr>
          <w:rFonts w:cs="Times New Roman"/>
          <w:color w:val="000000"/>
          <w:sz w:val="16"/>
          <w:szCs w:val="16"/>
          <w:shd w:val="clear" w:color="auto" w:fill="FFFFFF"/>
        </w:rPr>
      </w:pPr>
      <w:bookmarkStart w:id="261" w:name="Objectifsdebase3.4.2"/>
      <w:bookmarkEnd w:id="260"/>
      <w:r w:rsidRPr="00531D89">
        <w:rPr>
          <w:rFonts w:cs="Times New Roman"/>
          <w:color w:val="000000"/>
          <w:sz w:val="16"/>
          <w:szCs w:val="16"/>
          <w:shd w:val="clear" w:color="auto" w:fill="FFFFFF"/>
        </w:rPr>
        <w:t>mesures (validité, vulnérabilité, spécificité, valeur prédictive positive, valeur prédictive négative, biais, variable confusionnelle, erreur, fiabilité);</w:t>
      </w:r>
    </w:p>
    <w:p w:rsidR="009246D0" w:rsidRPr="00531D89" w:rsidRDefault="009246D0" w:rsidP="009246D0">
      <w:pPr>
        <w:numPr>
          <w:ilvl w:val="2"/>
          <w:numId w:val="1340"/>
        </w:numPr>
        <w:shd w:val="clear" w:color="auto" w:fill="FFFFFF"/>
        <w:spacing w:before="100" w:beforeAutospacing="1" w:after="100" w:afterAutospacing="1" w:line="240" w:lineRule="auto"/>
        <w:rPr>
          <w:rFonts w:cs="Times New Roman"/>
          <w:color w:val="000000"/>
          <w:sz w:val="16"/>
          <w:szCs w:val="16"/>
          <w:shd w:val="clear" w:color="auto" w:fill="FFFFFF"/>
        </w:rPr>
      </w:pPr>
      <w:bookmarkStart w:id="262" w:name="Objectifsdebase3.4.3"/>
      <w:bookmarkEnd w:id="261"/>
      <w:r w:rsidRPr="00531D89">
        <w:rPr>
          <w:rFonts w:cs="Times New Roman"/>
          <w:color w:val="000000"/>
          <w:sz w:val="16"/>
          <w:szCs w:val="16"/>
          <w:shd w:val="clear" w:color="auto" w:fill="FFFFFF"/>
        </w:rPr>
        <w:t>mesures de la santé et des maladies (taux d'incidence et de prévalence, répartitions, mesures de la tendance centrale) et échantillonnage.</w:t>
      </w:r>
    </w:p>
    <w:p w:rsidR="009246D0" w:rsidRPr="00531D89" w:rsidRDefault="009246D0" w:rsidP="009246D0">
      <w:pPr>
        <w:numPr>
          <w:ilvl w:val="1"/>
          <w:numId w:val="1340"/>
        </w:numPr>
        <w:shd w:val="clear" w:color="auto" w:fill="FFFFFF"/>
        <w:spacing w:before="100" w:beforeAutospacing="1" w:after="100" w:afterAutospacing="1" w:line="240" w:lineRule="auto"/>
        <w:rPr>
          <w:rFonts w:cs="Times New Roman"/>
          <w:color w:val="000000"/>
          <w:sz w:val="16"/>
          <w:szCs w:val="16"/>
          <w:shd w:val="clear" w:color="auto" w:fill="FFFFFF"/>
        </w:rPr>
      </w:pPr>
      <w:bookmarkStart w:id="263" w:name="Objectifsdebase3.5"/>
      <w:bookmarkEnd w:id="262"/>
      <w:r w:rsidRPr="00531D89">
        <w:rPr>
          <w:rFonts w:cs="Times New Roman"/>
          <w:color w:val="000000"/>
          <w:sz w:val="16"/>
          <w:szCs w:val="16"/>
          <w:shd w:val="clear" w:color="auto" w:fill="FFFFFF"/>
        </w:rPr>
        <w:t>Appliquer les principes de l'épidémiologie en analysant de façon exacte les répercussions des mesures.</w:t>
      </w:r>
    </w:p>
    <w:bookmarkEnd w:id="263"/>
    <w:p w:rsidR="006803D8" w:rsidRPr="00986830" w:rsidRDefault="006803D8" w:rsidP="00AF379E">
      <w:pPr>
        <w:pStyle w:val="Sansinterligne"/>
        <w:rPr>
          <w:b/>
          <w:sz w:val="28"/>
          <w:szCs w:val="28"/>
        </w:rPr>
      </w:pPr>
      <w:r w:rsidRPr="00986830">
        <w:rPr>
          <w:b/>
          <w:sz w:val="28"/>
          <w:szCs w:val="28"/>
        </w:rPr>
        <w:t>Obtention de données</w:t>
      </w:r>
      <w:r w:rsidR="00986830" w:rsidRPr="00986830">
        <w:rPr>
          <w:b/>
          <w:sz w:val="28"/>
          <w:szCs w:val="28"/>
        </w:rPr>
        <w:t xml:space="preserve"> sur la santé populationnelle</w:t>
      </w:r>
    </w:p>
    <w:p w:rsidR="007B11D8" w:rsidRDefault="007B11D8" w:rsidP="00AF379E">
      <w:pPr>
        <w:pStyle w:val="Sansinterligne"/>
      </w:pPr>
    </w:p>
    <w:p w:rsidR="007B11D8" w:rsidRDefault="007B11D8" w:rsidP="007B11D8">
      <w:pPr>
        <w:pStyle w:val="Sansinterligne"/>
        <w:jc w:val="both"/>
      </w:pPr>
      <w:r>
        <w:t>Les données sur l’état de santé des populations proviennent d’enquête auprès des habitants, mais aussi de données collectées (ex : registre des MADO), registre du coroner, d’études de prévalence et d’incidence.</w:t>
      </w:r>
    </w:p>
    <w:p w:rsidR="007B11D8" w:rsidRDefault="007B11D8" w:rsidP="007B11D8">
      <w:pPr>
        <w:pStyle w:val="Sansinterligne"/>
        <w:jc w:val="both"/>
      </w:pPr>
    </w:p>
    <w:p w:rsidR="007B11D8" w:rsidRDefault="007B11D8" w:rsidP="007B11D8">
      <w:pPr>
        <w:pStyle w:val="Sansinterligne"/>
        <w:jc w:val="both"/>
      </w:pPr>
      <w:r>
        <w:t>Évidemment ces données résultent d’un échantillon, et comportent donc une part d’incertitude liée à l’erreur et à la distribution, mais elles permettent de dresser un portrait pour fin de comparaison et de suivi. Il est donc important, comme clinicien, de contribuer à ces données, lorsqu’un signalement est requis par exemple.</w:t>
      </w:r>
    </w:p>
    <w:p w:rsidR="004B0DB4" w:rsidRDefault="004B0DB4" w:rsidP="00AF379E">
      <w:pPr>
        <w:pStyle w:val="Sansinterligne"/>
      </w:pPr>
    </w:p>
    <w:p w:rsidR="007B11D8" w:rsidRPr="007B11D8" w:rsidRDefault="007B11D8" w:rsidP="00AF379E">
      <w:pPr>
        <w:pStyle w:val="Sansinterligne"/>
        <w:rPr>
          <w:b/>
        </w:rPr>
      </w:pPr>
      <w:r w:rsidRPr="007B11D8">
        <w:rPr>
          <w:b/>
        </w:rPr>
        <w:t>Quelques indicateurs de santé d’une population</w:t>
      </w:r>
    </w:p>
    <w:p w:rsidR="007B11D8" w:rsidRDefault="007B11D8" w:rsidP="00AF379E">
      <w:pPr>
        <w:pStyle w:val="Sansinterligne"/>
      </w:pPr>
    </w:p>
    <w:p w:rsidR="004B0DB4" w:rsidRDefault="004B0DB4" w:rsidP="00AF379E">
      <w:pPr>
        <w:pStyle w:val="Sansinterligne"/>
      </w:pPr>
      <w:r w:rsidRPr="007B11D8">
        <w:rPr>
          <w:u w:val="single"/>
        </w:rPr>
        <w:t>Espérance de vie</w:t>
      </w:r>
      <w:r>
        <w:t> : Nombre d’années qu’un individu né dans un pays donné peut espérer vivre en fonction du taux de mortalité standardisé</w:t>
      </w:r>
    </w:p>
    <w:p w:rsidR="004B0DB4" w:rsidRDefault="004B0DB4" w:rsidP="00AF379E">
      <w:pPr>
        <w:pStyle w:val="Sansinterligne"/>
      </w:pPr>
      <w:r w:rsidRPr="00F214C9">
        <w:rPr>
          <w:highlight w:val="yellow"/>
          <w:u w:val="single"/>
        </w:rPr>
        <w:t>Taux de mortalité</w:t>
      </w:r>
      <w:r>
        <w:t> : Définit comme le taux de décès (toute cause confondue) / 1000 habitants</w:t>
      </w:r>
    </w:p>
    <w:p w:rsidR="004B0DB4" w:rsidRDefault="004B0DB4" w:rsidP="00AF379E">
      <w:pPr>
        <w:pStyle w:val="Sansinterligne"/>
      </w:pPr>
      <w:r w:rsidRPr="00F214C9">
        <w:rPr>
          <w:highlight w:val="yellow"/>
          <w:u w:val="single"/>
        </w:rPr>
        <w:t>Taux de mortalité selon l’âge</w:t>
      </w:r>
      <w:r>
        <w:t> : Taux de décès ajusté par strate d’âge (permet la comparaison entre taux avec une structure d’âge différente – ex : Congo vs Japon ou Québec 1960 vs Québec 2015)</w:t>
      </w:r>
    </w:p>
    <w:p w:rsidR="004B0DB4" w:rsidRDefault="004B0DB4" w:rsidP="00AF379E">
      <w:pPr>
        <w:pStyle w:val="Sansinterligne"/>
      </w:pPr>
      <w:r w:rsidRPr="00F214C9">
        <w:rPr>
          <w:highlight w:val="yellow"/>
          <w:u w:val="single"/>
        </w:rPr>
        <w:t>Taux de mortalité standardisé</w:t>
      </w:r>
      <w:r>
        <w:t> : Nombre de décès / nombre de décès attendu pour un groupe</w:t>
      </w:r>
    </w:p>
    <w:p w:rsidR="004B0DB4" w:rsidRDefault="004B0DB4" w:rsidP="00AF379E">
      <w:pPr>
        <w:pStyle w:val="Sansinterligne"/>
      </w:pPr>
      <w:r w:rsidRPr="00F214C9">
        <w:rPr>
          <w:highlight w:val="yellow"/>
          <w:u w:val="single"/>
        </w:rPr>
        <w:t>Taux de mortalité infantile</w:t>
      </w:r>
      <w:r>
        <w:t xml:space="preserve"> : Nombre de décès d’enfant </w:t>
      </w:r>
      <w:r>
        <w:rPr>
          <w:rFonts w:ascii="Century Gothic" w:hAnsi="Century Gothic"/>
        </w:rPr>
        <w:t>&lt;</w:t>
      </w:r>
      <w:r>
        <w:t xml:space="preserve"> 1 an / 1000 enfants vivants </w:t>
      </w:r>
      <w:r>
        <w:rPr>
          <w:rFonts w:ascii="Century Gothic" w:hAnsi="Century Gothic"/>
        </w:rPr>
        <w:t>&lt;</w:t>
      </w:r>
      <w:r>
        <w:t xml:space="preserve"> 1an pour une année </w:t>
      </w:r>
    </w:p>
    <w:p w:rsidR="006803D8" w:rsidRDefault="004B0DB4" w:rsidP="00AF379E">
      <w:pPr>
        <w:pStyle w:val="Sansinterligne"/>
      </w:pPr>
      <w:r w:rsidRPr="00F214C9">
        <w:rPr>
          <w:highlight w:val="yellow"/>
          <w:u w:val="single"/>
        </w:rPr>
        <w:t>Taux de mortalité maternelle</w:t>
      </w:r>
      <w:r>
        <w:t xml:space="preserve"> :  Nombre de mère enceinte décédée pergravida ou péripartum / 100 000 enfants vivants </w:t>
      </w:r>
      <w:r>
        <w:rPr>
          <w:rFonts w:ascii="Century Gothic" w:hAnsi="Century Gothic"/>
        </w:rPr>
        <w:t>&lt;</w:t>
      </w:r>
      <w:r>
        <w:t xml:space="preserve"> 1 an pour une année</w:t>
      </w:r>
    </w:p>
    <w:p w:rsidR="004B0DB4" w:rsidRDefault="004B0DB4" w:rsidP="00AF379E">
      <w:pPr>
        <w:pStyle w:val="Sansinterligne"/>
      </w:pPr>
      <w:r w:rsidRPr="007B11D8">
        <w:rPr>
          <w:u w:val="single"/>
        </w:rPr>
        <w:t>Ratio de mortalité proportionnelle</w:t>
      </w:r>
      <w:r>
        <w:t> : Nombre de décès dû à une cause / nombre total de décès pour une période donnée</w:t>
      </w:r>
    </w:p>
    <w:p w:rsidR="004B0DB4" w:rsidRDefault="004B0DB4" w:rsidP="00AF379E">
      <w:pPr>
        <w:pStyle w:val="Sansinterligne"/>
      </w:pPr>
      <w:r w:rsidRPr="00F214C9">
        <w:rPr>
          <w:u w:val="single"/>
        </w:rPr>
        <w:t>Années de vie potentielles perdues</w:t>
      </w:r>
      <w:r>
        <w:t xml:space="preserve"> (PYLL) : Différence entre l’âge du décès et l’âge de décès attendue, pour une population</w:t>
      </w:r>
    </w:p>
    <w:p w:rsidR="00EF56CB" w:rsidRDefault="00EF56CB" w:rsidP="00AF379E">
      <w:pPr>
        <w:pStyle w:val="Sansinterligne"/>
      </w:pPr>
      <w:r w:rsidRPr="00F214C9">
        <w:rPr>
          <w:u w:val="single"/>
        </w:rPr>
        <w:t>Années de vies ajustées pour l’incapacité</w:t>
      </w:r>
      <w:r>
        <w:t xml:space="preserve"> (DALY): Années de vie sans incapacité </w:t>
      </w:r>
    </w:p>
    <w:p w:rsidR="00EF56CB" w:rsidRDefault="00EF56CB" w:rsidP="00AF379E">
      <w:pPr>
        <w:pStyle w:val="Sansinterligne"/>
      </w:pPr>
      <w:r w:rsidRPr="00F214C9">
        <w:rPr>
          <w:highlight w:val="yellow"/>
          <w:u w:val="single"/>
        </w:rPr>
        <w:t>Années de vie ajustée pour la qualité</w:t>
      </w:r>
      <w:r w:rsidRPr="00F214C9">
        <w:rPr>
          <w:highlight w:val="yellow"/>
        </w:rPr>
        <w:t xml:space="preserve"> (QALY</w:t>
      </w:r>
      <w:r>
        <w:t>) : Années de vie ajustée selon un multiplicateur (de 0 à 1) indiquant le niveau de qualité de vie.</w:t>
      </w:r>
    </w:p>
    <w:p w:rsidR="00F214C9" w:rsidRDefault="00F214C9" w:rsidP="00AF379E">
      <w:pPr>
        <w:pStyle w:val="Sansinterligne"/>
      </w:pPr>
    </w:p>
    <w:p w:rsidR="00F214C9" w:rsidRDefault="00F214C9" w:rsidP="00AF379E">
      <w:pPr>
        <w:pStyle w:val="Sansinterligne"/>
      </w:pPr>
      <w:r>
        <w:rPr>
          <w:noProof/>
          <w:lang w:eastAsia="fr-CA"/>
        </w:rPr>
        <w:drawing>
          <wp:inline distT="0" distB="0" distL="0" distR="0" wp14:anchorId="5922115F" wp14:editId="0B014EE5">
            <wp:extent cx="6614809" cy="3768889"/>
            <wp:effectExtent l="0" t="0" r="0" b="3175"/>
            <wp:docPr id="610" name="Image 610" descr="Résultats de recherche d'images pour « espérance de vie dans le mond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ésultats de recherche d'images pour « espérance de vie dans le monde »"/>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6614809" cy="3768889"/>
                    </a:xfrm>
                    <a:prstGeom prst="rect">
                      <a:avLst/>
                    </a:prstGeom>
                    <a:noFill/>
                    <a:ln>
                      <a:noFill/>
                    </a:ln>
                  </pic:spPr>
                </pic:pic>
              </a:graphicData>
            </a:graphic>
          </wp:inline>
        </w:drawing>
      </w:r>
    </w:p>
    <w:p w:rsidR="00E716C3" w:rsidRDefault="00E716C3" w:rsidP="00E716C3">
      <w:pPr>
        <w:pStyle w:val="Sansinterligne"/>
      </w:pPr>
      <w:r w:rsidRPr="00E716C3">
        <w:rPr>
          <w:b/>
        </w:rPr>
        <w:t>Devis d’études</w:t>
      </w:r>
      <w:r>
        <w:t xml:space="preserve"> </w:t>
      </w:r>
    </w:p>
    <w:tbl>
      <w:tblPr>
        <w:tblStyle w:val="Grilledutableau"/>
        <w:tblW w:w="0" w:type="auto"/>
        <w:tblLook w:val="04A0" w:firstRow="1" w:lastRow="0" w:firstColumn="1" w:lastColumn="0" w:noHBand="0" w:noVBand="1"/>
      </w:tblPr>
      <w:tblGrid>
        <w:gridCol w:w="3369"/>
        <w:gridCol w:w="7571"/>
      </w:tblGrid>
      <w:tr w:rsidR="00E716C3" w:rsidTr="00BD4B16">
        <w:tc>
          <w:tcPr>
            <w:tcW w:w="3369" w:type="dxa"/>
            <w:shd w:val="clear" w:color="auto" w:fill="C4BC96" w:themeFill="background2" w:themeFillShade="BF"/>
          </w:tcPr>
          <w:p w:rsidR="00E716C3" w:rsidRPr="007B7DBA" w:rsidRDefault="007B7DBA" w:rsidP="007B7DBA">
            <w:pPr>
              <w:pStyle w:val="Sansinterligne"/>
              <w:jc w:val="center"/>
              <w:rPr>
                <w:b/>
              </w:rPr>
            </w:pPr>
            <w:r w:rsidRPr="007B7DBA">
              <w:rPr>
                <w:b/>
              </w:rPr>
              <w:t>Type d’étude</w:t>
            </w:r>
          </w:p>
        </w:tc>
        <w:tc>
          <w:tcPr>
            <w:tcW w:w="7571" w:type="dxa"/>
            <w:shd w:val="clear" w:color="auto" w:fill="C4BC96" w:themeFill="background2" w:themeFillShade="BF"/>
          </w:tcPr>
          <w:p w:rsidR="00E716C3" w:rsidRPr="007B7DBA" w:rsidRDefault="007B7DBA" w:rsidP="007B7DBA">
            <w:pPr>
              <w:pStyle w:val="Sansinterligne"/>
              <w:jc w:val="center"/>
              <w:rPr>
                <w:b/>
              </w:rPr>
            </w:pPr>
            <w:r w:rsidRPr="007B7DBA">
              <w:rPr>
                <w:b/>
              </w:rPr>
              <w:t>Caractéristiques</w:t>
            </w:r>
          </w:p>
        </w:tc>
      </w:tr>
      <w:tr w:rsidR="00E716C3" w:rsidTr="00BD4B16">
        <w:tc>
          <w:tcPr>
            <w:tcW w:w="3369" w:type="dxa"/>
            <w:shd w:val="clear" w:color="auto" w:fill="C4BC96" w:themeFill="background2" w:themeFillShade="BF"/>
            <w:vAlign w:val="center"/>
          </w:tcPr>
          <w:p w:rsidR="00E716C3" w:rsidRDefault="007B7DBA" w:rsidP="00BD4B16">
            <w:pPr>
              <w:pStyle w:val="Sansinterligne"/>
              <w:jc w:val="center"/>
            </w:pPr>
            <w:r>
              <w:t>Quantitative</w:t>
            </w:r>
          </w:p>
        </w:tc>
        <w:tc>
          <w:tcPr>
            <w:tcW w:w="7571" w:type="dxa"/>
            <w:shd w:val="clear" w:color="auto" w:fill="auto"/>
          </w:tcPr>
          <w:p w:rsidR="00E716C3" w:rsidRDefault="00CE159E" w:rsidP="00CE159E">
            <w:pPr>
              <w:pStyle w:val="Sansinterligne"/>
            </w:pPr>
            <w:r>
              <w:t>Nombreux participants, permet de valider des hypothèses sur une base statistique.</w:t>
            </w:r>
          </w:p>
        </w:tc>
      </w:tr>
      <w:tr w:rsidR="00E716C3" w:rsidTr="00BD4B16">
        <w:tc>
          <w:tcPr>
            <w:tcW w:w="3369" w:type="dxa"/>
            <w:shd w:val="clear" w:color="auto" w:fill="C4BC96" w:themeFill="background2" w:themeFillShade="BF"/>
            <w:vAlign w:val="center"/>
          </w:tcPr>
          <w:p w:rsidR="00E716C3" w:rsidRDefault="007B7DBA" w:rsidP="00BD4B16">
            <w:pPr>
              <w:pStyle w:val="Sansinterligne"/>
              <w:jc w:val="center"/>
            </w:pPr>
            <w:r>
              <w:t>Qualitative</w:t>
            </w:r>
          </w:p>
        </w:tc>
        <w:tc>
          <w:tcPr>
            <w:tcW w:w="7571" w:type="dxa"/>
            <w:shd w:val="clear" w:color="auto" w:fill="auto"/>
          </w:tcPr>
          <w:p w:rsidR="00E716C3" w:rsidRDefault="00CE159E" w:rsidP="00E716C3">
            <w:pPr>
              <w:pStyle w:val="Sansinterligne"/>
            </w:pPr>
            <w:r>
              <w:t>Permet de générer des idées, d’élaborer des théories à partir d’informations abondantes sur quelques sujets.</w:t>
            </w:r>
          </w:p>
        </w:tc>
      </w:tr>
      <w:tr w:rsidR="00D818BE" w:rsidTr="00BD4B16">
        <w:tc>
          <w:tcPr>
            <w:tcW w:w="3369" w:type="dxa"/>
            <w:shd w:val="clear" w:color="auto" w:fill="C4BC96" w:themeFill="background2" w:themeFillShade="BF"/>
            <w:vAlign w:val="center"/>
          </w:tcPr>
          <w:p w:rsidR="00D818BE" w:rsidRDefault="00D818BE" w:rsidP="00BD4B16">
            <w:pPr>
              <w:pStyle w:val="Sansinterligne"/>
              <w:jc w:val="center"/>
            </w:pPr>
            <w:r>
              <w:t>Prospective</w:t>
            </w:r>
          </w:p>
        </w:tc>
        <w:tc>
          <w:tcPr>
            <w:tcW w:w="7571" w:type="dxa"/>
            <w:shd w:val="clear" w:color="auto" w:fill="auto"/>
          </w:tcPr>
          <w:p w:rsidR="00D818BE" w:rsidRDefault="00BD4B16" w:rsidP="00E716C3">
            <w:pPr>
              <w:pStyle w:val="Sansinterligne"/>
            </w:pPr>
            <w:r>
              <w:t>Évalue l’effet d’une exposition à partir d’un temps 0.</w:t>
            </w:r>
          </w:p>
        </w:tc>
      </w:tr>
      <w:tr w:rsidR="00D818BE" w:rsidTr="00BD4B16">
        <w:tc>
          <w:tcPr>
            <w:tcW w:w="3369" w:type="dxa"/>
            <w:tcBorders>
              <w:bottom w:val="single" w:sz="12" w:space="0" w:color="auto"/>
            </w:tcBorders>
            <w:shd w:val="clear" w:color="auto" w:fill="C4BC96" w:themeFill="background2" w:themeFillShade="BF"/>
            <w:vAlign w:val="center"/>
          </w:tcPr>
          <w:p w:rsidR="00D818BE" w:rsidRDefault="00D818BE" w:rsidP="00BD4B16">
            <w:pPr>
              <w:pStyle w:val="Sansinterligne"/>
              <w:jc w:val="center"/>
            </w:pPr>
            <w:r>
              <w:t>Rétrospective</w:t>
            </w:r>
          </w:p>
        </w:tc>
        <w:tc>
          <w:tcPr>
            <w:tcW w:w="7571" w:type="dxa"/>
            <w:tcBorders>
              <w:bottom w:val="single" w:sz="12" w:space="0" w:color="auto"/>
            </w:tcBorders>
            <w:shd w:val="clear" w:color="auto" w:fill="auto"/>
          </w:tcPr>
          <w:p w:rsidR="00D818BE" w:rsidRDefault="00CE159E" w:rsidP="00E716C3">
            <w:pPr>
              <w:pStyle w:val="Sansinterligne"/>
            </w:pPr>
            <w:r>
              <w:t>Regarde en arrière pour identifier des facteurs de risque</w:t>
            </w:r>
            <w:r w:rsidR="00BD4B16">
              <w:t>, une exposition.</w:t>
            </w:r>
          </w:p>
        </w:tc>
      </w:tr>
      <w:tr w:rsidR="00E716C3" w:rsidTr="00BD4B16">
        <w:tc>
          <w:tcPr>
            <w:tcW w:w="3369" w:type="dxa"/>
            <w:tcBorders>
              <w:top w:val="single" w:sz="12" w:space="0" w:color="auto"/>
            </w:tcBorders>
            <w:shd w:val="clear" w:color="auto" w:fill="C4BC96" w:themeFill="background2" w:themeFillShade="BF"/>
            <w:vAlign w:val="center"/>
          </w:tcPr>
          <w:p w:rsidR="00E716C3" w:rsidRPr="00BD4B16" w:rsidRDefault="00895F13" w:rsidP="00BD4B16">
            <w:pPr>
              <w:pStyle w:val="Sansinterligne"/>
              <w:jc w:val="center"/>
              <w:rPr>
                <w:b/>
              </w:rPr>
            </w:pPr>
            <w:r w:rsidRPr="00BD4B16">
              <w:rPr>
                <w:b/>
              </w:rPr>
              <w:t xml:space="preserve">Essai clinique aléatoire </w:t>
            </w:r>
            <w:r w:rsidR="00BD4B16">
              <w:rPr>
                <w:b/>
              </w:rPr>
              <w:t xml:space="preserve">             </w:t>
            </w:r>
            <w:r w:rsidRPr="00BD4B16">
              <w:t>(</w:t>
            </w:r>
            <w:r w:rsidR="00BD4B16" w:rsidRPr="00BD4B16">
              <w:t>ex :</w:t>
            </w:r>
            <w:r w:rsidR="00BD4B16">
              <w:t xml:space="preserve"> effet du valsartan en HTA</w:t>
            </w:r>
            <w:r w:rsidRPr="00BD4B16">
              <w:t>)</w:t>
            </w:r>
          </w:p>
        </w:tc>
        <w:tc>
          <w:tcPr>
            <w:tcW w:w="7571" w:type="dxa"/>
            <w:tcBorders>
              <w:top w:val="single" w:sz="12" w:space="0" w:color="auto"/>
            </w:tcBorders>
            <w:shd w:val="clear" w:color="auto" w:fill="FFFF00"/>
          </w:tcPr>
          <w:p w:rsidR="00BD4B16" w:rsidRPr="00BD4B16" w:rsidRDefault="00E26FDF" w:rsidP="00E26FDF">
            <w:pPr>
              <w:pStyle w:val="Sansinterligne"/>
              <w:rPr>
                <w:u w:val="single"/>
              </w:rPr>
            </w:pPr>
            <w:r>
              <w:t>Répartition des sujets en groupes de façon aléatoire, en tenant compte des facteurs confondants (groupes similaires) et assignation d’une exposition à un ou des groupes.</w:t>
            </w:r>
            <w:r w:rsidR="00BD4B16">
              <w:t xml:space="preserve"> </w:t>
            </w:r>
            <w:r w:rsidRPr="00BD4B16">
              <w:rPr>
                <w:u w:val="single"/>
              </w:rPr>
              <w:t>Type d’étude ‘étalon’’ pour établir une causalité et évaluer l’</w:t>
            </w:r>
            <w:r w:rsidR="00BD4B16" w:rsidRPr="00BD4B16">
              <w:rPr>
                <w:u w:val="single"/>
              </w:rPr>
              <w:t>effica</w:t>
            </w:r>
            <w:r w:rsidRPr="00BD4B16">
              <w:rPr>
                <w:u w:val="single"/>
              </w:rPr>
              <w:t>cité d’un traitement</w:t>
            </w:r>
            <w:r w:rsidR="00BD4B16" w:rsidRPr="00BD4B16">
              <w:rPr>
                <w:u w:val="single"/>
              </w:rPr>
              <w:t xml:space="preserve">. </w:t>
            </w:r>
          </w:p>
          <w:p w:rsidR="00E26FDF" w:rsidRDefault="00E26FDF" w:rsidP="00E26FDF">
            <w:pPr>
              <w:pStyle w:val="Sansinterligne"/>
            </w:pPr>
            <w:r>
              <w:t xml:space="preserve">Plus la prévalence est faible, plus l’étude doit être grande. </w:t>
            </w:r>
            <w:r w:rsidRPr="00BD4B16">
              <w:rPr>
                <w:u w:val="single"/>
              </w:rPr>
              <w:t>Très coûteux</w:t>
            </w:r>
            <w:r>
              <w:t>.</w:t>
            </w:r>
          </w:p>
        </w:tc>
      </w:tr>
      <w:tr w:rsidR="00BD366C" w:rsidTr="00BD4B16">
        <w:tc>
          <w:tcPr>
            <w:tcW w:w="3369" w:type="dxa"/>
            <w:shd w:val="clear" w:color="auto" w:fill="C4BC96" w:themeFill="background2" w:themeFillShade="BF"/>
            <w:vAlign w:val="center"/>
          </w:tcPr>
          <w:p w:rsidR="00BD366C" w:rsidRDefault="00BD366C" w:rsidP="00342BB3">
            <w:pPr>
              <w:pStyle w:val="Sansinterligne"/>
              <w:jc w:val="center"/>
            </w:pPr>
            <w:r>
              <w:t>Essai clinique non-</w:t>
            </w:r>
            <w:r w:rsidR="00342BB3">
              <w:t>aléatoire</w:t>
            </w:r>
          </w:p>
        </w:tc>
        <w:tc>
          <w:tcPr>
            <w:tcW w:w="7571" w:type="dxa"/>
            <w:shd w:val="clear" w:color="auto" w:fill="auto"/>
          </w:tcPr>
          <w:p w:rsidR="00BD366C" w:rsidRDefault="00E26FDF" w:rsidP="00E716C3">
            <w:pPr>
              <w:pStyle w:val="Sansinterligne"/>
            </w:pPr>
            <w:r>
              <w:t xml:space="preserve">Exposition contrôlée à un facteur, mais randomisation des </w:t>
            </w:r>
            <w:r w:rsidR="00342BB3">
              <w:t>caractéristiques</w:t>
            </w:r>
            <w:r>
              <w:t xml:space="preserve"> des groupes impossible (ex : niveau de revenus) </w:t>
            </w:r>
          </w:p>
        </w:tc>
      </w:tr>
      <w:tr w:rsidR="00E716C3" w:rsidTr="00BD4B16">
        <w:tc>
          <w:tcPr>
            <w:tcW w:w="3369" w:type="dxa"/>
            <w:shd w:val="clear" w:color="auto" w:fill="C4BC96" w:themeFill="background2" w:themeFillShade="BF"/>
            <w:vAlign w:val="center"/>
          </w:tcPr>
          <w:p w:rsidR="00E716C3" w:rsidRPr="00BD4B16" w:rsidRDefault="00895F13" w:rsidP="00BD4B16">
            <w:pPr>
              <w:pStyle w:val="Sansinterligne"/>
              <w:jc w:val="center"/>
              <w:rPr>
                <w:b/>
              </w:rPr>
            </w:pPr>
            <w:r w:rsidRPr="00BD4B16">
              <w:rPr>
                <w:b/>
              </w:rPr>
              <w:t>Étude de cohorte</w:t>
            </w:r>
          </w:p>
          <w:p w:rsidR="00B97E54" w:rsidRDefault="00B97E54" w:rsidP="00BD4B16">
            <w:pPr>
              <w:pStyle w:val="Sansinterligne"/>
              <w:jc w:val="center"/>
            </w:pPr>
            <w:r w:rsidRPr="00BD4B16">
              <w:rPr>
                <w:b/>
              </w:rPr>
              <w:t>(ex : fumeur vs non-fumeur)</w:t>
            </w:r>
          </w:p>
        </w:tc>
        <w:tc>
          <w:tcPr>
            <w:tcW w:w="7571" w:type="dxa"/>
            <w:shd w:val="clear" w:color="auto" w:fill="FFFF00"/>
          </w:tcPr>
          <w:p w:rsidR="00E716C3" w:rsidRDefault="00B97E54" w:rsidP="00E716C3">
            <w:pPr>
              <w:pStyle w:val="Sansinterligne"/>
            </w:pPr>
            <w:r>
              <w:t>Sélections de sujets semblables, mais échantillons divisés selon exposition ou non.</w:t>
            </w:r>
          </w:p>
          <w:p w:rsidR="00B97E54" w:rsidRDefault="00B97E54" w:rsidP="00E716C3">
            <w:pPr>
              <w:pStyle w:val="Sansinterligne"/>
            </w:pPr>
            <w:r w:rsidRPr="00BD4B16">
              <w:rPr>
                <w:u w:val="single"/>
              </w:rPr>
              <w:t>Très utile pour démontrer des associations</w:t>
            </w:r>
            <w:r>
              <w:t xml:space="preserve">. </w:t>
            </w:r>
            <w:r w:rsidRPr="00BD4B16">
              <w:rPr>
                <w:u w:val="single"/>
              </w:rPr>
              <w:t>Ne prouvent pas la causalité</w:t>
            </w:r>
            <w:r>
              <w:t>.</w:t>
            </w:r>
          </w:p>
          <w:p w:rsidR="00B97E54" w:rsidRDefault="00B97E54" w:rsidP="00E716C3">
            <w:pPr>
              <w:pStyle w:val="Sansinterligne"/>
            </w:pPr>
            <w:r w:rsidRPr="00BD4B16">
              <w:rPr>
                <w:u w:val="single"/>
              </w:rPr>
              <w:t>Facteurs confondants</w:t>
            </w:r>
            <w:r>
              <w:t>. Suivi au long cours nécessaire.</w:t>
            </w:r>
          </w:p>
        </w:tc>
      </w:tr>
      <w:tr w:rsidR="007B7DBA" w:rsidTr="00BD4B16">
        <w:tc>
          <w:tcPr>
            <w:tcW w:w="3369" w:type="dxa"/>
            <w:shd w:val="clear" w:color="auto" w:fill="C4BC96" w:themeFill="background2" w:themeFillShade="BF"/>
            <w:vAlign w:val="center"/>
          </w:tcPr>
          <w:p w:rsidR="007B7DBA" w:rsidRPr="00BD4B16" w:rsidRDefault="00895F13" w:rsidP="00BD4B16">
            <w:pPr>
              <w:pStyle w:val="Sansinterligne"/>
              <w:jc w:val="center"/>
              <w:rPr>
                <w:b/>
              </w:rPr>
            </w:pPr>
            <w:r w:rsidRPr="00BD4B16">
              <w:rPr>
                <w:b/>
              </w:rPr>
              <w:t>Étude cas-témoin</w:t>
            </w:r>
          </w:p>
          <w:p w:rsidR="00B97E54" w:rsidRDefault="00B97E54" w:rsidP="00BD4B16">
            <w:pPr>
              <w:pStyle w:val="Sansinterligne"/>
              <w:jc w:val="center"/>
            </w:pPr>
            <w:r w:rsidRPr="00BD4B16">
              <w:rPr>
                <w:b/>
              </w:rPr>
              <w:t>(ex : autistes vs non-autistes)</w:t>
            </w:r>
          </w:p>
        </w:tc>
        <w:tc>
          <w:tcPr>
            <w:tcW w:w="7571" w:type="dxa"/>
            <w:shd w:val="clear" w:color="auto" w:fill="FFFF00"/>
          </w:tcPr>
          <w:p w:rsidR="007B7DBA" w:rsidRDefault="00B97E54" w:rsidP="00E716C3">
            <w:pPr>
              <w:pStyle w:val="Sansinterligne"/>
            </w:pPr>
            <w:r w:rsidRPr="00BD4B16">
              <w:rPr>
                <w:u w:val="single"/>
              </w:rPr>
              <w:t>Comparer des cas sélectionnés à des témoins sélectionnés</w:t>
            </w:r>
            <w:r>
              <w:t xml:space="preserve"> pour étudier les </w:t>
            </w:r>
            <w:r w:rsidRPr="00BD4B16">
              <w:rPr>
                <w:u w:val="single"/>
              </w:rPr>
              <w:t>FR</w:t>
            </w:r>
          </w:p>
          <w:p w:rsidR="00B97E54" w:rsidRDefault="00B97E54" w:rsidP="00E716C3">
            <w:pPr>
              <w:pStyle w:val="Sansinterligne"/>
            </w:pPr>
            <w:r w:rsidRPr="00BD4B16">
              <w:rPr>
                <w:u w:val="single"/>
              </w:rPr>
              <w:t>Utile pour les maladies rares</w:t>
            </w:r>
            <w:r>
              <w:t>. Moins coûteux et moins long.</w:t>
            </w:r>
          </w:p>
          <w:p w:rsidR="00B97E54" w:rsidRDefault="00B97E54" w:rsidP="00E716C3">
            <w:pPr>
              <w:pStyle w:val="Sansinterligne"/>
            </w:pPr>
            <w:r>
              <w:t>Biais de rappel, biais de sélection des témoins</w:t>
            </w:r>
          </w:p>
        </w:tc>
      </w:tr>
      <w:tr w:rsidR="007B7DBA" w:rsidTr="00BD4B16">
        <w:tc>
          <w:tcPr>
            <w:tcW w:w="3369" w:type="dxa"/>
            <w:shd w:val="clear" w:color="auto" w:fill="C4BC96" w:themeFill="background2" w:themeFillShade="BF"/>
            <w:vAlign w:val="center"/>
          </w:tcPr>
          <w:p w:rsidR="007B7DBA" w:rsidRDefault="00895F13" w:rsidP="00BD4B16">
            <w:pPr>
              <w:pStyle w:val="Sansinterligne"/>
              <w:jc w:val="center"/>
            </w:pPr>
            <w:r>
              <w:t>Étude descriptive, épidémiologique</w:t>
            </w:r>
          </w:p>
          <w:p w:rsidR="00B97E54" w:rsidRDefault="00B97E54" w:rsidP="00BD4B16">
            <w:pPr>
              <w:pStyle w:val="Sansinterligne"/>
              <w:jc w:val="center"/>
            </w:pPr>
            <w:r>
              <w:t>(ex : prévalence du DB)</w:t>
            </w:r>
          </w:p>
        </w:tc>
        <w:tc>
          <w:tcPr>
            <w:tcW w:w="7571" w:type="dxa"/>
            <w:shd w:val="clear" w:color="auto" w:fill="auto"/>
          </w:tcPr>
          <w:p w:rsidR="007B7DBA" w:rsidRDefault="00B97E54" w:rsidP="00E716C3">
            <w:pPr>
              <w:pStyle w:val="Sansinterligne"/>
            </w:pPr>
            <w:r>
              <w:t>Études d’individus, sans échantillonnage ni exposition contrôlée</w:t>
            </w:r>
          </w:p>
          <w:p w:rsidR="00B97E54" w:rsidRDefault="00B97E54" w:rsidP="00E716C3">
            <w:pPr>
              <w:pStyle w:val="Sansinterligne"/>
            </w:pPr>
            <w:r>
              <w:t>Permet de générer des hypothèses. Utilise pour estimer la prévalence, l’incidence.</w:t>
            </w:r>
          </w:p>
        </w:tc>
      </w:tr>
      <w:tr w:rsidR="007B7DBA" w:rsidTr="00BD4B16">
        <w:tc>
          <w:tcPr>
            <w:tcW w:w="3369" w:type="dxa"/>
            <w:shd w:val="clear" w:color="auto" w:fill="C4BC96" w:themeFill="background2" w:themeFillShade="BF"/>
            <w:vAlign w:val="center"/>
          </w:tcPr>
          <w:p w:rsidR="007B7DBA" w:rsidRDefault="00D818BE" w:rsidP="00BD4B16">
            <w:pPr>
              <w:pStyle w:val="Sansinterligne"/>
              <w:jc w:val="center"/>
            </w:pPr>
            <w:r>
              <w:t>Étude écologique</w:t>
            </w:r>
          </w:p>
          <w:p w:rsidR="00B97E54" w:rsidRDefault="00B97E54" w:rsidP="00BD4B16">
            <w:pPr>
              <w:pStyle w:val="Sansinterligne"/>
              <w:jc w:val="center"/>
            </w:pPr>
            <w:r>
              <w:t>(ex : France vs États-Unis)</w:t>
            </w:r>
          </w:p>
        </w:tc>
        <w:tc>
          <w:tcPr>
            <w:tcW w:w="7571" w:type="dxa"/>
            <w:shd w:val="clear" w:color="auto" w:fill="auto"/>
          </w:tcPr>
          <w:p w:rsidR="007B7DBA" w:rsidRDefault="00D818BE" w:rsidP="00E716C3">
            <w:pPr>
              <w:pStyle w:val="Sansinterligne"/>
            </w:pPr>
            <w:r>
              <w:t>Études de populations plutôt que d’individus</w:t>
            </w:r>
          </w:p>
          <w:p w:rsidR="00B97E54" w:rsidRDefault="00D818BE" w:rsidP="00E716C3">
            <w:pPr>
              <w:pStyle w:val="Sansinterligne"/>
            </w:pPr>
            <w:r>
              <w:t>Utile pour générer des hypothèses</w:t>
            </w:r>
            <w:r w:rsidR="00BD4B16">
              <w:t xml:space="preserve">. </w:t>
            </w:r>
            <w:r w:rsidR="00B97E54">
              <w:t>Résultats non-applicables à des individus.</w:t>
            </w:r>
          </w:p>
        </w:tc>
      </w:tr>
    </w:tbl>
    <w:p w:rsidR="006803D8" w:rsidRDefault="006803D8" w:rsidP="00AF379E">
      <w:pPr>
        <w:pStyle w:val="Sansinterligne"/>
        <w:rPr>
          <w:b/>
          <w:sz w:val="28"/>
          <w:szCs w:val="28"/>
        </w:rPr>
      </w:pPr>
      <w:r w:rsidRPr="00986830">
        <w:rPr>
          <w:b/>
          <w:sz w:val="28"/>
          <w:szCs w:val="28"/>
        </w:rPr>
        <w:t>Analyse des données</w:t>
      </w:r>
    </w:p>
    <w:p w:rsidR="00E716C3" w:rsidRPr="007D478C" w:rsidRDefault="00E716C3" w:rsidP="00AF379E">
      <w:pPr>
        <w:pStyle w:val="Sansinterligne"/>
        <w:rPr>
          <w:b/>
          <w:sz w:val="16"/>
          <w:szCs w:val="16"/>
        </w:rPr>
      </w:pPr>
    </w:p>
    <w:p w:rsidR="00D22DD7" w:rsidRDefault="00D22DD7" w:rsidP="00AF379E">
      <w:pPr>
        <w:pStyle w:val="Sansinterligne"/>
      </w:pPr>
      <w:r>
        <w:rPr>
          <w:noProof/>
          <w:lang w:eastAsia="fr-CA"/>
        </w:rPr>
        <mc:AlternateContent>
          <mc:Choice Requires="wps">
            <w:drawing>
              <wp:anchor distT="0" distB="0" distL="114300" distR="114300" simplePos="0" relativeHeight="252131328" behindDoc="0" locked="0" layoutInCell="1" allowOverlap="1" wp14:anchorId="7E5A1442" wp14:editId="60C83092">
                <wp:simplePos x="0" y="0"/>
                <wp:positionH relativeFrom="column">
                  <wp:posOffset>2834005</wp:posOffset>
                </wp:positionH>
                <wp:positionV relativeFrom="paragraph">
                  <wp:posOffset>15240</wp:posOffset>
                </wp:positionV>
                <wp:extent cx="2374265" cy="1403985"/>
                <wp:effectExtent l="0" t="0" r="19050" b="10795"/>
                <wp:wrapNone/>
                <wp:docPr id="612"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chemeClr val="bg2">
                            <a:lumMod val="75000"/>
                          </a:schemeClr>
                        </a:solidFill>
                        <a:ln w="9525">
                          <a:solidFill>
                            <a:srgbClr val="000000"/>
                          </a:solidFill>
                          <a:miter lim="800000"/>
                          <a:headEnd/>
                          <a:tailEnd/>
                        </a:ln>
                      </wps:spPr>
                      <wps:txbx>
                        <w:txbxContent>
                          <w:p w:rsidR="008276DC" w:rsidRPr="00D22DD7" w:rsidRDefault="008276DC">
                            <w:pPr>
                              <w:rPr>
                                <w:b/>
                              </w:rPr>
                            </w:pPr>
                            <w:r w:rsidRPr="00D22DD7">
                              <w:rPr>
                                <w:b/>
                              </w:rPr>
                              <w:t>Taux de mortalité</w:t>
                            </w:r>
                            <w:r>
                              <w:rPr>
                                <w:b/>
                              </w:rPr>
                              <w:t xml:space="preserve"> =</w:t>
                            </w:r>
                          </w:p>
                          <w:p w:rsidR="008276DC" w:rsidRDefault="00AE5F7A">
                            <m:oMathPara>
                              <m:oMath>
                                <m:f>
                                  <m:fPr>
                                    <m:ctrlPr>
                                      <w:rPr>
                                        <w:rFonts w:ascii="Cambria Math" w:hAnsi="Cambria Math"/>
                                        <w:i/>
                                      </w:rPr>
                                    </m:ctrlPr>
                                  </m:fPr>
                                  <m:num>
                                    <m:r>
                                      <w:rPr>
                                        <w:rFonts w:ascii="Cambria Math" w:hAnsi="Cambria Math"/>
                                      </w:rPr>
                                      <m:t>#décès sur une période de temps</m:t>
                                    </m:r>
                                  </m:num>
                                  <m:den>
                                    <m:r>
                                      <w:rPr>
                                        <w:rFonts w:ascii="Cambria Math" w:hAnsi="Cambria Math"/>
                                      </w:rPr>
                                      <m:t>Personnes-temps sur la période</m:t>
                                    </m:r>
                                  </m:den>
                                </m:f>
                              </m:oMath>
                            </m:oMathPara>
                          </w:p>
                          <w:p w:rsidR="008276DC" w:rsidRPr="00D22DD7" w:rsidRDefault="008276DC">
                            <w:pPr>
                              <w:rPr>
                                <w:b/>
                              </w:rPr>
                            </w:pPr>
                            <w:r w:rsidRPr="00D22DD7">
                              <w:rPr>
                                <w:b/>
                              </w:rPr>
                              <w:t>Taux d’attaque</w:t>
                            </w:r>
                            <w:r>
                              <w:rPr>
                                <w:b/>
                              </w:rPr>
                              <w:t xml:space="preserve"> =</w:t>
                            </w:r>
                          </w:p>
                          <w:p w:rsidR="008276DC" w:rsidRDefault="00AE5F7A">
                            <m:oMathPara>
                              <m:oMath>
                                <m:f>
                                  <m:fPr>
                                    <m:ctrlPr>
                                      <w:rPr>
                                        <w:rFonts w:ascii="Cambria Math" w:hAnsi="Cambria Math"/>
                                        <w:i/>
                                      </w:rPr>
                                    </m:ctrlPr>
                                  </m:fPr>
                                  <m:num>
                                    <m:r>
                                      <w:rPr>
                                        <w:rFonts w:ascii="Cambria Math" w:hAnsi="Cambria Math"/>
                                      </w:rPr>
                                      <m:t># nombre de cas sur une période donnée</m:t>
                                    </m:r>
                                  </m:num>
                                  <m:den>
                                    <m:r>
                                      <w:rPr>
                                        <w:rFonts w:ascii="Cambria Math" w:hAnsi="Cambria Math"/>
                                      </w:rPr>
                                      <m:t>Population à risque sur la période</m:t>
                                    </m:r>
                                  </m:den>
                                </m:f>
                              </m:oMath>
                            </m:oMathPara>
                          </w:p>
                          <w:p w:rsidR="008276DC" w:rsidRDefault="008276DC" w:rsidP="00D22DD7">
                            <w:pPr>
                              <w:pStyle w:val="Paragraphedeliste"/>
                              <w:ind w:left="708"/>
                            </w:pPr>
                            <w:r>
                              <w:t>* Utile pour une épidémie             (ex : 0,32 cas de GE sur 6 semaines)</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id="_x0000_s1095" type="#_x0000_t202" style="position:absolute;margin-left:223.15pt;margin-top:1.2pt;width:186.95pt;height:110.55pt;z-index:252131328;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" fillcolor="#c4bc96 [2414]">
                <v:textbox style="mso-fit-shape-to-text:t">
                  <w:txbxContent>
                    <w:p w:rsidR="008276DC" w:rsidRPr="00D22DD7" w:rsidRDefault="008276DC">
                      <w:pPr>
                        <w:rPr>
                          <w:b/>
                        </w:rPr>
                      </w:pPr>
                      <w:r w:rsidRPr="00D22DD7">
                        <w:rPr>
                          <w:b/>
                        </w:rPr>
                        <w:t>Taux de mortalité</w:t>
                      </w:r>
                      <w:r>
                        <w:rPr>
                          <w:b/>
                        </w:rPr>
                        <w:t xml:space="preserve"> =</w:t>
                      </w:r>
                    </w:p>
                    <w:p w:rsidR="008276DC" w:rsidRDefault="008276DC">
                      <m:oMathPara>
                        <m:oMath>
                          <m:f>
                            <m:fPr>
                              <m:ctrlPr>
                                <w:rPr>
                                  <w:rFonts w:ascii="Cambria Math" w:hAnsi="Cambria Math"/>
                                  <w:i/>
                                </w:rPr>
                              </m:ctrlPr>
                            </m:fPr>
                            <m:num>
                              <m:r>
                                <w:rPr>
                                  <w:rFonts w:ascii="Cambria Math" w:hAnsi="Cambria Math"/>
                                </w:rPr>
                                <m:t>#décès sur une période de temps</m:t>
                              </m:r>
                            </m:num>
                            <m:den>
                              <m:r>
                                <w:rPr>
                                  <w:rFonts w:ascii="Cambria Math" w:hAnsi="Cambria Math"/>
                                </w:rPr>
                                <m:t>Personnes-temps sur la période</m:t>
                              </m:r>
                            </m:den>
                          </m:f>
                        </m:oMath>
                      </m:oMathPara>
                    </w:p>
                    <w:p w:rsidR="008276DC" w:rsidRPr="00D22DD7" w:rsidRDefault="008276DC">
                      <w:pPr>
                        <w:rPr>
                          <w:b/>
                        </w:rPr>
                      </w:pPr>
                      <w:r w:rsidRPr="00D22DD7">
                        <w:rPr>
                          <w:b/>
                        </w:rPr>
                        <w:t>Taux d’attaque</w:t>
                      </w:r>
                      <w:r>
                        <w:rPr>
                          <w:b/>
                        </w:rPr>
                        <w:t xml:space="preserve"> =</w:t>
                      </w:r>
                    </w:p>
                    <w:p w:rsidR="008276DC" w:rsidRDefault="008276DC">
                      <m:oMathPara>
                        <m:oMath>
                          <m:f>
                            <m:fPr>
                              <m:ctrlPr>
                                <w:rPr>
                                  <w:rFonts w:ascii="Cambria Math" w:hAnsi="Cambria Math"/>
                                  <w:i/>
                                </w:rPr>
                              </m:ctrlPr>
                            </m:fPr>
                            <m:num>
                              <m:r>
                                <w:rPr>
                                  <w:rFonts w:ascii="Cambria Math" w:hAnsi="Cambria Math"/>
                                </w:rPr>
                                <m:t># nombre de cas sur une période donnée</m:t>
                              </m:r>
                            </m:num>
                            <m:den>
                              <m:r>
                                <w:rPr>
                                  <w:rFonts w:ascii="Cambria Math" w:hAnsi="Cambria Math"/>
                                </w:rPr>
                                <m:t>Population à risque sur la périod</m:t>
                              </m:r>
                              <m:r>
                                <w:rPr>
                                  <w:rFonts w:ascii="Cambria Math" w:hAnsi="Cambria Math"/>
                                </w:rPr>
                                <m:t>e</m:t>
                              </m:r>
                            </m:den>
                          </m:f>
                        </m:oMath>
                      </m:oMathPara>
                    </w:p>
                    <w:p w:rsidR="008276DC" w:rsidRDefault="008276DC" w:rsidP="00D22DD7">
                      <w:pPr>
                        <w:pStyle w:val="Paragraphedeliste"/>
                        <w:ind w:left="708"/>
                      </w:pPr>
                      <w:r>
                        <w:t>* Utile pour une épidémie             (ex : 0,32 cas de GE sur 6 semaines)</w:t>
                      </w:r>
                    </w:p>
                  </w:txbxContent>
                </v:textbox>
              </v:shape>
            </w:pict>
          </mc:Fallback>
        </mc:AlternateContent>
      </w:r>
      <w:r>
        <w:rPr>
          <w:noProof/>
          <w:lang w:eastAsia="fr-CA"/>
        </w:rPr>
        <mc:AlternateContent>
          <mc:Choice Requires="wps">
            <w:drawing>
              <wp:anchor distT="0" distB="0" distL="114300" distR="114300" simplePos="0" relativeHeight="252129280" behindDoc="0" locked="0" layoutInCell="1" allowOverlap="1" wp14:anchorId="7AFC2FF8" wp14:editId="37C9429E">
                <wp:simplePos x="0" y="0"/>
                <wp:positionH relativeFrom="column">
                  <wp:posOffset>-635</wp:posOffset>
                </wp:positionH>
                <wp:positionV relativeFrom="paragraph">
                  <wp:posOffset>15240</wp:posOffset>
                </wp:positionV>
                <wp:extent cx="2830195" cy="1403985"/>
                <wp:effectExtent l="0" t="0" r="27305" b="11430"/>
                <wp:wrapNone/>
                <wp:docPr id="61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30195" cy="1403985"/>
                        </a:xfrm>
                        <a:prstGeom prst="rect">
                          <a:avLst/>
                        </a:prstGeom>
                        <a:solidFill>
                          <a:schemeClr val="bg2">
                            <a:lumMod val="75000"/>
                          </a:schemeClr>
                        </a:solidFill>
                        <a:ln w="9525">
                          <a:solidFill>
                            <a:srgbClr val="000000"/>
                          </a:solidFill>
                          <a:miter lim="800000"/>
                          <a:headEnd/>
                          <a:tailEnd/>
                        </a:ln>
                      </wps:spPr>
                      <wps:txbx>
                        <w:txbxContent>
                          <w:p w:rsidR="008276DC" w:rsidRPr="00B83FCB" w:rsidRDefault="008276DC" w:rsidP="00B83FCB">
                            <w:pPr>
                              <w:jc w:val="center"/>
                              <w:rPr>
                                <w:b/>
                              </w:rPr>
                            </w:pPr>
                            <w:r w:rsidRPr="00B83FCB">
                              <w:rPr>
                                <w:b/>
                              </w:rPr>
                              <w:t>Incidence</w:t>
                            </w:r>
                            <w:r>
                              <w:rPr>
                                <w:b/>
                              </w:rPr>
                              <w:t xml:space="preserve"> (taux) =</w:t>
                            </w:r>
                          </w:p>
                          <w:p w:rsidR="008276DC" w:rsidRDefault="00AE5F7A">
                            <w:pPr>
                              <w:rPr>
                                <w:rFonts w:eastAsiaTheme="minorEastAsia"/>
                              </w:rPr>
                            </w:pPr>
                            <m:oMathPara>
                              <m:oMath>
                                <m:f>
                                  <m:fPr>
                                    <m:ctrlPr>
                                      <w:rPr>
                                        <w:rFonts w:ascii="Cambria Math" w:hAnsi="Cambria Math"/>
                                        <w:i/>
                                      </w:rPr>
                                    </m:ctrlPr>
                                  </m:fPr>
                                  <m:num>
                                    <m:r>
                                      <w:rPr>
                                        <w:rFonts w:ascii="Cambria Math" w:hAnsi="Cambria Math"/>
                                      </w:rPr>
                                      <m:t>#nouveaux cas sur une période de temps</m:t>
                                    </m:r>
                                  </m:num>
                                  <m:den>
                                    <m:r>
                                      <w:rPr>
                                        <w:rFonts w:ascii="Cambria Math" w:hAnsi="Cambria Math"/>
                                      </w:rPr>
                                      <m:t>Personnes-temps à risque sur la période</m:t>
                                    </m:r>
                                  </m:den>
                                </m:f>
                              </m:oMath>
                            </m:oMathPara>
                          </w:p>
                          <w:p w:rsidR="008276DC" w:rsidRPr="007043AA" w:rsidRDefault="008276DC" w:rsidP="007043AA">
                            <w:pPr>
                              <w:rPr>
                                <w:rFonts w:eastAsiaTheme="minorEastAsia"/>
                              </w:rPr>
                            </w:pPr>
                            <w:r w:rsidRPr="007043AA">
                              <w:rPr>
                                <w:rFonts w:eastAsiaTheme="minorEastAsia"/>
                              </w:rPr>
                              <w:t>Ex</w:t>
                            </w:r>
                            <w:r>
                              <w:rPr>
                                <w:rFonts w:eastAsiaTheme="minorEastAsia"/>
                              </w:rPr>
                              <w:t> : 69 IVRS/102 personnes-années</w:t>
                            </w:r>
                          </w:p>
                          <w:p w:rsidR="008276DC" w:rsidRDefault="008276DC" w:rsidP="00B83FCB">
                            <w:pPr>
                              <w:jc w:val="center"/>
                              <w:rPr>
                                <w:rFonts w:eastAsiaTheme="minorEastAsia"/>
                                <w:b/>
                              </w:rPr>
                            </w:pPr>
                            <w:r>
                              <w:rPr>
                                <w:rFonts w:eastAsiaTheme="minorEastAsia"/>
                                <w:b/>
                              </w:rPr>
                              <w:t>Incidence (cumulée) =</w:t>
                            </w:r>
                          </w:p>
                          <w:p w:rsidR="008276DC" w:rsidRPr="007043AA" w:rsidRDefault="008276DC" w:rsidP="00B83FCB">
                            <w:pPr>
                              <w:jc w:val="center"/>
                              <w:rPr>
                                <w:rFonts w:eastAsiaTheme="minorEastAsia"/>
                              </w:rPr>
                            </w:pPr>
                            <m:oMathPara>
                              <m:oMath>
                                <m:r>
                                  <w:rPr>
                                    <w:rFonts w:ascii="Cambria Math" w:eastAsiaTheme="minorEastAsia" w:hAnsi="Cambria Math"/>
                                  </w:rPr>
                                  <m:t>#nouveaux cas sur une période donnée</m:t>
                                </m:r>
                              </m:oMath>
                            </m:oMathPara>
                          </w:p>
                          <w:p w:rsidR="008276DC" w:rsidRPr="007043AA" w:rsidRDefault="008276DC" w:rsidP="007043AA">
                            <w:pPr>
                              <w:rPr>
                                <w:rFonts w:eastAsiaTheme="minorEastAsia"/>
                              </w:rPr>
                            </w:pPr>
                            <w:r w:rsidRPr="007043AA">
                              <w:rPr>
                                <w:rFonts w:eastAsiaTheme="minorEastAsia"/>
                              </w:rPr>
                              <w:t>Ex :</w:t>
                            </w:r>
                            <w:r>
                              <w:rPr>
                                <w:rFonts w:eastAsiaTheme="minorEastAsia"/>
                              </w:rPr>
                              <w:t xml:space="preserve"> 104 Maladie de Still sur 5 ans</w:t>
                            </w:r>
                          </w:p>
                          <w:p w:rsidR="008276DC" w:rsidRPr="00B83FCB" w:rsidRDefault="008276DC" w:rsidP="00B83FCB">
                            <w:pPr>
                              <w:jc w:val="center"/>
                              <w:rPr>
                                <w:rFonts w:eastAsiaTheme="minorEastAsia"/>
                                <w:b/>
                              </w:rPr>
                            </w:pPr>
                            <w:r w:rsidRPr="00B83FCB">
                              <w:rPr>
                                <w:rFonts w:eastAsiaTheme="minorEastAsia"/>
                                <w:b/>
                              </w:rPr>
                              <w:t>Prévalence</w:t>
                            </w:r>
                            <w:r>
                              <w:rPr>
                                <w:rFonts w:eastAsiaTheme="minorEastAsia"/>
                                <w:b/>
                              </w:rPr>
                              <w:t xml:space="preserve"> =</w:t>
                            </w:r>
                          </w:p>
                          <w:p w:rsidR="008276DC" w:rsidRPr="007043AA" w:rsidRDefault="00AE5F7A">
                            <w:pPr>
                              <w:rPr>
                                <w:rFonts w:eastAsiaTheme="minorEastAsia"/>
                              </w:rPr>
                            </w:pPr>
                            <m:oMathPara>
                              <m:oMath>
                                <m:f>
                                  <m:fPr>
                                    <m:ctrlPr>
                                      <w:rPr>
                                        <w:rFonts w:ascii="Cambria Math" w:hAnsi="Cambria Math"/>
                                        <w:i/>
                                      </w:rPr>
                                    </m:ctrlPr>
                                  </m:fPr>
                                  <m:num>
                                    <m:r>
                                      <w:rPr>
                                        <w:rFonts w:ascii="Cambria Math" w:hAnsi="Cambria Math"/>
                                      </w:rPr>
                                      <m:t># cas existants sur une période de temps</m:t>
                                    </m:r>
                                  </m:num>
                                  <m:den>
                                    <m:r>
                                      <w:rPr>
                                        <w:rFonts w:ascii="Cambria Math" w:hAnsi="Cambria Math"/>
                                      </w:rPr>
                                      <m:t>Population à risque sur la période</m:t>
                                    </m:r>
                                  </m:den>
                                </m:f>
                              </m:oMath>
                            </m:oMathPara>
                          </w:p>
                          <w:p w:rsidR="008276DC" w:rsidRDefault="008276DC">
                            <w:r>
                              <w:rPr>
                                <w:rFonts w:eastAsiaTheme="minorEastAsia"/>
                              </w:rPr>
                              <w:t>Ex :  32% de prévalence du diabète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96" type="#_x0000_t202" style="position:absolute;margin-left:-.05pt;margin-top:1.2pt;width:222.85pt;height:110.55pt;z-index:25212928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" fillcolor="#c4bc96 [2414]">
                <v:textbox style="mso-fit-shape-to-text:t">
                  <w:txbxContent>
                    <w:p w:rsidR="008276DC" w:rsidRPr="00B83FCB" w:rsidRDefault="008276DC" w:rsidP="00B83FCB">
                      <w:pPr>
                        <w:jc w:val="center"/>
                        <w:rPr>
                          <w:b/>
                        </w:rPr>
                      </w:pPr>
                      <w:r w:rsidRPr="00B83FCB">
                        <w:rPr>
                          <w:b/>
                        </w:rPr>
                        <w:t>Incidence</w:t>
                      </w:r>
                      <w:r>
                        <w:rPr>
                          <w:b/>
                        </w:rPr>
                        <w:t xml:space="preserve"> (taux) =</w:t>
                      </w:r>
                    </w:p>
                    <w:p w:rsidR="008276DC" w:rsidRDefault="008276DC">
                      <w:pPr>
                        <w:rPr>
                          <w:rFonts w:eastAsiaTheme="minorEastAsia"/>
                        </w:rPr>
                      </w:pPr>
                      <m:oMathPara>
                        <m:oMath>
                          <m:f>
                            <m:fPr>
                              <m:ctrlPr>
                                <w:rPr>
                                  <w:rFonts w:ascii="Cambria Math" w:hAnsi="Cambria Math"/>
                                  <w:i/>
                                </w:rPr>
                              </m:ctrlPr>
                            </m:fPr>
                            <m:num>
                              <m:r>
                                <w:rPr>
                                  <w:rFonts w:ascii="Cambria Math" w:hAnsi="Cambria Math"/>
                                </w:rPr>
                                <m:t>#nouveaux cas sur une période de temps</m:t>
                              </m:r>
                            </m:num>
                            <m:den>
                              <m:r>
                                <w:rPr>
                                  <w:rFonts w:ascii="Cambria Math" w:hAnsi="Cambria Math"/>
                                </w:rPr>
                                <m:t>Personnes-temps à risque sur la période</m:t>
                              </m:r>
                            </m:den>
                          </m:f>
                        </m:oMath>
                      </m:oMathPara>
                    </w:p>
                    <w:p w:rsidR="008276DC" w:rsidRPr="007043AA" w:rsidRDefault="008276DC" w:rsidP="007043AA">
                      <w:pPr>
                        <w:rPr>
                          <w:rFonts w:eastAsiaTheme="minorEastAsia"/>
                        </w:rPr>
                      </w:pPr>
                      <w:r w:rsidRPr="007043AA">
                        <w:rPr>
                          <w:rFonts w:eastAsiaTheme="minorEastAsia"/>
                        </w:rPr>
                        <w:t>Ex</w:t>
                      </w:r>
                      <w:r>
                        <w:rPr>
                          <w:rFonts w:eastAsiaTheme="minorEastAsia"/>
                        </w:rPr>
                        <w:t> : 69 IVRS/102 personnes-années</w:t>
                      </w:r>
                    </w:p>
                    <w:p w:rsidR="008276DC" w:rsidRDefault="008276DC" w:rsidP="00B83FCB">
                      <w:pPr>
                        <w:jc w:val="center"/>
                        <w:rPr>
                          <w:rFonts w:eastAsiaTheme="minorEastAsia"/>
                          <w:b/>
                        </w:rPr>
                      </w:pPr>
                      <w:r>
                        <w:rPr>
                          <w:rFonts w:eastAsiaTheme="minorEastAsia"/>
                          <w:b/>
                        </w:rPr>
                        <w:t>Incidence (cumulée) =</w:t>
                      </w:r>
                    </w:p>
                    <w:p w:rsidR="008276DC" w:rsidRPr="007043AA" w:rsidRDefault="008276DC" w:rsidP="00B83FCB">
                      <w:pPr>
                        <w:jc w:val="center"/>
                        <w:rPr>
                          <w:rFonts w:eastAsiaTheme="minorEastAsia"/>
                        </w:rPr>
                      </w:pPr>
                      <m:oMathPara>
                        <m:oMath>
                          <m:r>
                            <w:rPr>
                              <w:rFonts w:ascii="Cambria Math" w:eastAsiaTheme="minorEastAsia" w:hAnsi="Cambria Math"/>
                            </w:rPr>
                            <m:t>#nouveaux cas sur une période donnée</m:t>
                          </m:r>
                        </m:oMath>
                      </m:oMathPara>
                    </w:p>
                    <w:p w:rsidR="008276DC" w:rsidRPr="007043AA" w:rsidRDefault="008276DC" w:rsidP="007043AA">
                      <w:pPr>
                        <w:rPr>
                          <w:rFonts w:eastAsiaTheme="minorEastAsia"/>
                        </w:rPr>
                      </w:pPr>
                      <w:r w:rsidRPr="007043AA">
                        <w:rPr>
                          <w:rFonts w:eastAsiaTheme="minorEastAsia"/>
                        </w:rPr>
                        <w:t>Ex :</w:t>
                      </w:r>
                      <w:r>
                        <w:rPr>
                          <w:rFonts w:eastAsiaTheme="minorEastAsia"/>
                        </w:rPr>
                        <w:t xml:space="preserve"> 104 Maladie de Still sur 5 ans</w:t>
                      </w:r>
                    </w:p>
                    <w:p w:rsidR="008276DC" w:rsidRPr="00B83FCB" w:rsidRDefault="008276DC" w:rsidP="00B83FCB">
                      <w:pPr>
                        <w:jc w:val="center"/>
                        <w:rPr>
                          <w:rFonts w:eastAsiaTheme="minorEastAsia"/>
                          <w:b/>
                        </w:rPr>
                      </w:pPr>
                      <w:r w:rsidRPr="00B83FCB">
                        <w:rPr>
                          <w:rFonts w:eastAsiaTheme="minorEastAsia"/>
                          <w:b/>
                        </w:rPr>
                        <w:t>Prévalence</w:t>
                      </w:r>
                      <w:r>
                        <w:rPr>
                          <w:rFonts w:eastAsiaTheme="minorEastAsia"/>
                          <w:b/>
                        </w:rPr>
                        <w:t xml:space="preserve"> =</w:t>
                      </w:r>
                    </w:p>
                    <w:p w:rsidR="008276DC" w:rsidRPr="007043AA" w:rsidRDefault="008276DC">
                      <w:pPr>
                        <w:rPr>
                          <w:rFonts w:eastAsiaTheme="minorEastAsia"/>
                        </w:rPr>
                      </w:pPr>
                      <m:oMathPara>
                        <m:oMath>
                          <m:f>
                            <m:fPr>
                              <m:ctrlPr>
                                <w:rPr>
                                  <w:rFonts w:ascii="Cambria Math" w:hAnsi="Cambria Math"/>
                                  <w:i/>
                                </w:rPr>
                              </m:ctrlPr>
                            </m:fPr>
                            <m:num>
                              <m:r>
                                <w:rPr>
                                  <w:rFonts w:ascii="Cambria Math" w:hAnsi="Cambria Math"/>
                                </w:rPr>
                                <m:t># cas existants sur une période de temps</m:t>
                              </m:r>
                            </m:num>
                            <m:den>
                              <m:r>
                                <w:rPr>
                                  <w:rFonts w:ascii="Cambria Math" w:hAnsi="Cambria Math"/>
                                </w:rPr>
                                <m:t>Population à risque sur la période</m:t>
                              </m:r>
                            </m:den>
                          </m:f>
                        </m:oMath>
                      </m:oMathPara>
                    </w:p>
                    <w:p w:rsidR="008276DC" w:rsidRDefault="008276DC">
                      <w:r>
                        <w:rPr>
                          <w:rFonts w:eastAsiaTheme="minorEastAsia"/>
                        </w:rPr>
                        <w:t>Ex </w:t>
                      </w:r>
                      <w:proofErr w:type="gramStart"/>
                      <w:r>
                        <w:rPr>
                          <w:rFonts w:eastAsiaTheme="minorEastAsia"/>
                        </w:rPr>
                        <w:t>:  32</w:t>
                      </w:r>
                      <w:proofErr w:type="gramEnd"/>
                      <w:r>
                        <w:rPr>
                          <w:rFonts w:eastAsiaTheme="minorEastAsia"/>
                        </w:rPr>
                        <w:t>% de prévalence du diabète</w:t>
                      </w:r>
                    </w:p>
                  </w:txbxContent>
                </v:textbox>
              </v:shape>
            </w:pict>
          </mc:Fallback>
        </mc:AlternateContent>
      </w:r>
    </w:p>
    <w:p w:rsidR="00D22DD7" w:rsidRDefault="00D22DD7" w:rsidP="00AF379E">
      <w:pPr>
        <w:pStyle w:val="Sansinterligne"/>
      </w:pPr>
    </w:p>
    <w:p w:rsidR="00D22DD7" w:rsidRDefault="00D22DD7" w:rsidP="00AF379E">
      <w:pPr>
        <w:pStyle w:val="Sansinterligne"/>
      </w:pPr>
    </w:p>
    <w:p w:rsidR="00D22DD7" w:rsidRDefault="00D22DD7" w:rsidP="00AF379E">
      <w:pPr>
        <w:pStyle w:val="Sansinterligne"/>
      </w:pPr>
    </w:p>
    <w:p w:rsidR="00D22DD7" w:rsidRDefault="00D22DD7" w:rsidP="00AF379E">
      <w:pPr>
        <w:pStyle w:val="Sansinterligne"/>
      </w:pPr>
    </w:p>
    <w:p w:rsidR="00D22DD7" w:rsidRDefault="00D22DD7" w:rsidP="00AF379E">
      <w:pPr>
        <w:pStyle w:val="Sansinterligne"/>
      </w:pPr>
    </w:p>
    <w:p w:rsidR="00D22DD7" w:rsidRDefault="00D22DD7" w:rsidP="00AF379E">
      <w:pPr>
        <w:pStyle w:val="Sansinterligne"/>
      </w:pPr>
    </w:p>
    <w:p w:rsidR="00D22DD7" w:rsidRDefault="00D22DD7" w:rsidP="00AF379E">
      <w:pPr>
        <w:pStyle w:val="Sansinterligne"/>
      </w:pPr>
    </w:p>
    <w:p w:rsidR="00D22DD7" w:rsidRDefault="00D22DD7" w:rsidP="00AF379E">
      <w:pPr>
        <w:pStyle w:val="Sansinterligne"/>
      </w:pPr>
    </w:p>
    <w:p w:rsidR="00D22DD7" w:rsidRDefault="00D22DD7" w:rsidP="00AF379E">
      <w:pPr>
        <w:pStyle w:val="Sansinterligne"/>
      </w:pPr>
    </w:p>
    <w:p w:rsidR="00D22DD7" w:rsidRDefault="00D22DD7" w:rsidP="00AF379E">
      <w:pPr>
        <w:pStyle w:val="Sansinterligne"/>
      </w:pPr>
    </w:p>
    <w:p w:rsidR="00D22DD7" w:rsidRDefault="00D22DD7" w:rsidP="00AF379E">
      <w:pPr>
        <w:pStyle w:val="Sansinterligne"/>
      </w:pPr>
    </w:p>
    <w:p w:rsidR="00D22DD7" w:rsidRDefault="00D22DD7" w:rsidP="00AF379E">
      <w:pPr>
        <w:pStyle w:val="Sansinterligne"/>
      </w:pPr>
    </w:p>
    <w:p w:rsidR="00D22DD7" w:rsidRDefault="00D22DD7" w:rsidP="00AF379E">
      <w:pPr>
        <w:pStyle w:val="Sansinterligne"/>
      </w:pPr>
    </w:p>
    <w:p w:rsidR="00D22DD7" w:rsidRDefault="00D22DD7" w:rsidP="00AF379E">
      <w:pPr>
        <w:pStyle w:val="Sansinterligne"/>
      </w:pPr>
    </w:p>
    <w:p w:rsidR="00F214C9" w:rsidRDefault="00F214C9" w:rsidP="00AF379E">
      <w:pPr>
        <w:pStyle w:val="Sansinterligne"/>
      </w:pPr>
    </w:p>
    <w:p w:rsidR="00D22DD7" w:rsidRDefault="00D22DD7" w:rsidP="00AF379E">
      <w:pPr>
        <w:pStyle w:val="Sansinterligne"/>
      </w:pPr>
    </w:p>
    <w:p w:rsidR="00D22DD7" w:rsidRDefault="00D22DD7" w:rsidP="00AF379E">
      <w:pPr>
        <w:pStyle w:val="Sansinterligne"/>
      </w:pPr>
    </w:p>
    <w:p w:rsidR="00D22DD7" w:rsidRDefault="00D22DD7" w:rsidP="00AF379E">
      <w:pPr>
        <w:pStyle w:val="Sansinterligne"/>
      </w:pPr>
    </w:p>
    <w:p w:rsidR="00D22DD7" w:rsidRDefault="00D22DD7" w:rsidP="00AF379E">
      <w:pPr>
        <w:pStyle w:val="Sansinterligne"/>
      </w:pPr>
    </w:p>
    <w:p w:rsidR="00D22DD7" w:rsidRDefault="00D22DD7" w:rsidP="00AF379E">
      <w:pPr>
        <w:pStyle w:val="Sansinterligne"/>
      </w:pPr>
    </w:p>
    <w:p w:rsidR="006803D8" w:rsidRPr="00D22DD7" w:rsidRDefault="007D478C" w:rsidP="00AF379E">
      <w:pPr>
        <w:pStyle w:val="Sansinterligne"/>
        <w:rPr>
          <w:b/>
        </w:rPr>
      </w:pPr>
      <w:r>
        <w:rPr>
          <w:noProof/>
          <w:lang w:eastAsia="fr-CA"/>
        </w:rPr>
        <w:drawing>
          <wp:anchor distT="0" distB="0" distL="114300" distR="114300" simplePos="0" relativeHeight="252132352" behindDoc="0" locked="0" layoutInCell="1" allowOverlap="1" wp14:anchorId="3F0D7540" wp14:editId="0257E787">
            <wp:simplePos x="0" y="0"/>
            <wp:positionH relativeFrom="column">
              <wp:posOffset>4065905</wp:posOffset>
            </wp:positionH>
            <wp:positionV relativeFrom="paragraph">
              <wp:posOffset>128270</wp:posOffset>
            </wp:positionV>
            <wp:extent cx="2334260" cy="2197100"/>
            <wp:effectExtent l="0" t="0" r="8890" b="0"/>
            <wp:wrapNone/>
            <wp:docPr id="613" name="Image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259" cstate="print">
                      <a:extLst>
                        <a:ext uri="{28A0092B-C50C-407E-A947-70E740481C1C}">
                          <a14:useLocalDpi xmlns:a14="http://schemas.microsoft.com/office/drawing/2010/main" val="0"/>
                        </a:ext>
                      </a:extLst>
                    </a:blip>
                    <a:stretch>
                      <a:fillRect/>
                    </a:stretch>
                  </pic:blipFill>
                  <pic:spPr>
                    <a:xfrm>
                      <a:off x="0" y="0"/>
                      <a:ext cx="2334260" cy="2197100"/>
                    </a:xfrm>
                    <a:prstGeom prst="rect">
                      <a:avLst/>
                    </a:prstGeom>
                  </pic:spPr>
                </pic:pic>
              </a:graphicData>
            </a:graphic>
            <wp14:sizeRelH relativeFrom="page">
              <wp14:pctWidth>0</wp14:pctWidth>
            </wp14:sizeRelH>
            <wp14:sizeRelV relativeFrom="page">
              <wp14:pctHeight>0</wp14:pctHeight>
            </wp14:sizeRelV>
          </wp:anchor>
        </w:drawing>
      </w:r>
      <w:r w:rsidR="00D22DD7" w:rsidRPr="00D22DD7">
        <w:rPr>
          <w:b/>
        </w:rPr>
        <w:t>Normalisation</w:t>
      </w:r>
    </w:p>
    <w:p w:rsidR="00D22DD7" w:rsidRDefault="00D22DD7" w:rsidP="00AF379E">
      <w:pPr>
        <w:pStyle w:val="Sansinterligne"/>
      </w:pPr>
    </w:p>
    <w:p w:rsidR="00D22DD7" w:rsidRDefault="00D070DF" w:rsidP="00D070DF">
      <w:pPr>
        <w:pStyle w:val="Sansinterligne"/>
        <w:ind w:right="4563"/>
      </w:pPr>
      <w:r w:rsidRPr="00D070DF">
        <w:rPr>
          <w:noProof/>
          <w:u w:val="single"/>
          <w:lang w:eastAsia="fr-CA"/>
        </w:rPr>
        <mc:AlternateContent>
          <mc:Choice Requires="wps">
            <w:drawing>
              <wp:anchor distT="0" distB="0" distL="114300" distR="114300" simplePos="0" relativeHeight="252133376" behindDoc="0" locked="0" layoutInCell="1" allowOverlap="1" wp14:anchorId="0159E044" wp14:editId="6FFD4959">
                <wp:simplePos x="0" y="0"/>
                <wp:positionH relativeFrom="column">
                  <wp:posOffset>3667328</wp:posOffset>
                </wp:positionH>
                <wp:positionV relativeFrom="paragraph">
                  <wp:posOffset>420302</wp:posOffset>
                </wp:positionV>
                <wp:extent cx="291829" cy="204281"/>
                <wp:effectExtent l="0" t="0" r="70485" b="62865"/>
                <wp:wrapNone/>
                <wp:docPr id="614" name="Connecteur droit avec flèche 614"/>
                <wp:cNvGraphicFramePr/>
                <a:graphic xmlns:a="http://schemas.openxmlformats.org/drawingml/2006/main">
                  <a:graphicData uri="http://schemas.microsoft.com/office/word/2010/wordprocessingShape">
                    <wps:wsp>
                      <wps:cNvCnPr/>
                      <wps:spPr>
                        <a:xfrm>
                          <a:off x="0" y="0"/>
                          <a:ext cx="291829" cy="204281"/>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Connecteur droit avec flèche 614" o:spid="_x0000_s1026" type="#_x0000_t32" style="position:absolute;margin-left:288.75pt;margin-top:33.1pt;width:23pt;height:16.1pt;z-index:2521333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" strokecolor="#4579b8 [3044]">
                <v:stroke endarrow="open"/>
              </v:shape>
            </w:pict>
          </mc:Fallback>
        </mc:AlternateContent>
      </w:r>
      <w:r w:rsidR="00D22DD7" w:rsidRPr="00D070DF">
        <w:rPr>
          <w:highlight w:val="yellow"/>
          <w:u w:val="single"/>
        </w:rPr>
        <w:t>Normalisation directe (selon l’âge)</w:t>
      </w:r>
      <w:r w:rsidR="00D22DD7">
        <w:t> : on applique les données par tranche d’âge des populations à l’étude à une structure d’âge fictive</w:t>
      </w:r>
      <w:r w:rsidR="00603963">
        <w:t>.</w:t>
      </w:r>
      <w:r>
        <w:t xml:space="preserve"> </w:t>
      </w:r>
      <w:r w:rsidR="00603963">
        <w:t>*Utile pour comparer des populations entre elles</w:t>
      </w:r>
      <w:r>
        <w:t>.</w:t>
      </w:r>
    </w:p>
    <w:p w:rsidR="00FF4D8D" w:rsidRDefault="00FF4D8D" w:rsidP="00D070DF">
      <w:pPr>
        <w:pStyle w:val="Sansinterligne"/>
        <w:ind w:right="4563"/>
      </w:pPr>
    </w:p>
    <w:p w:rsidR="00D22DD7" w:rsidRDefault="00D22DD7" w:rsidP="00D070DF">
      <w:pPr>
        <w:pStyle w:val="Sansinterligne"/>
        <w:ind w:right="4563"/>
      </w:pPr>
      <w:r w:rsidRPr="00D070DF">
        <w:rPr>
          <w:highlight w:val="yellow"/>
          <w:u w:val="single"/>
        </w:rPr>
        <w:t xml:space="preserve">Normalisation </w:t>
      </w:r>
      <w:r w:rsidR="00FF4D8D" w:rsidRPr="00D070DF">
        <w:rPr>
          <w:highlight w:val="yellow"/>
          <w:u w:val="single"/>
        </w:rPr>
        <w:t>in</w:t>
      </w:r>
      <w:r w:rsidRPr="00D070DF">
        <w:rPr>
          <w:highlight w:val="yellow"/>
          <w:u w:val="single"/>
        </w:rPr>
        <w:t>directe (selon l’âge)</w:t>
      </w:r>
      <w:r>
        <w:t> </w:t>
      </w:r>
      <w:r w:rsidRPr="00D070DF">
        <w:rPr>
          <w:highlight w:val="yellow"/>
        </w:rPr>
        <w:t xml:space="preserve">: </w:t>
      </w:r>
      <w:r w:rsidR="00FF4D8D" w:rsidRPr="00D070DF">
        <w:rPr>
          <w:highlight w:val="yellow"/>
        </w:rPr>
        <w:t>nombre de cas survenus / nombre de cas attendus</w:t>
      </w:r>
      <w:r w:rsidR="00D070DF">
        <w:t xml:space="preserve"> </w:t>
      </w:r>
      <w:r w:rsidR="00603963">
        <w:t xml:space="preserve">                                                                                    *Utile</w:t>
      </w:r>
      <w:r w:rsidR="00D070DF">
        <w:t xml:space="preserve"> lorsque faib</w:t>
      </w:r>
      <w:r w:rsidR="00603963">
        <w:t>les incidence ou petites populations</w:t>
      </w:r>
    </w:p>
    <w:p w:rsidR="00FF4D8D" w:rsidRDefault="00FF4D8D" w:rsidP="00D070DF">
      <w:pPr>
        <w:pStyle w:val="Sansinterligne"/>
        <w:ind w:right="4563"/>
      </w:pPr>
    </w:p>
    <w:p w:rsidR="00FF4D8D" w:rsidRDefault="00FF4D8D" w:rsidP="00D070DF">
      <w:pPr>
        <w:pStyle w:val="Sansinterligne"/>
        <w:ind w:right="4563"/>
      </w:pPr>
      <w:r>
        <w:t xml:space="preserve">Ex : 22 cancers (village </w:t>
      </w:r>
      <w:r w:rsidR="00D070DF">
        <w:t>Y</w:t>
      </w:r>
      <w:r>
        <w:t xml:space="preserve"> de 120 personnes</w:t>
      </w:r>
      <w:r w:rsidR="00D070DF">
        <w:t>)</w:t>
      </w:r>
      <w:r>
        <w:t xml:space="preserve"> /  0,075 cancers/personnes (</w:t>
      </w:r>
      <w:r w:rsidR="00D070DF">
        <w:t xml:space="preserve">incidence de la </w:t>
      </w:r>
      <w:r>
        <w:t xml:space="preserve">population générale) x 120 personnes = </w:t>
      </w:r>
      <w:r w:rsidR="00D070DF">
        <w:t xml:space="preserve">22/9 = </w:t>
      </w:r>
      <w:r>
        <w:t xml:space="preserve">ratio standardisé de cancers de 2,44 </w:t>
      </w:r>
      <w:r w:rsidR="00D070DF">
        <w:t xml:space="preserve">pour ce village </w:t>
      </w:r>
      <w:r>
        <w:t>(soit près 2,5 fois le nombre de cancers attendus pour cette population)</w:t>
      </w:r>
    </w:p>
    <w:p w:rsidR="00D22DD7" w:rsidRDefault="00D22DD7" w:rsidP="00AF379E">
      <w:pPr>
        <w:pStyle w:val="Sansinterligne"/>
      </w:pPr>
    </w:p>
    <w:p w:rsidR="006803D8" w:rsidRPr="00E859EC" w:rsidRDefault="007D478C" w:rsidP="00AF379E">
      <w:pPr>
        <w:pStyle w:val="Sansinterligne"/>
        <w:rPr>
          <w:b/>
        </w:rPr>
      </w:pPr>
      <w:r>
        <w:rPr>
          <w:noProof/>
          <w:lang w:eastAsia="fr-CA"/>
        </w:rPr>
        <mc:AlternateContent>
          <mc:Choice Requires="wps">
            <w:drawing>
              <wp:anchor distT="0" distB="0" distL="114300" distR="114300" simplePos="0" relativeHeight="252135424" behindDoc="0" locked="0" layoutInCell="1" allowOverlap="1" wp14:anchorId="62F3D874" wp14:editId="3FC3D459">
                <wp:simplePos x="0" y="0"/>
                <wp:positionH relativeFrom="column">
                  <wp:posOffset>3178175</wp:posOffset>
                </wp:positionH>
                <wp:positionV relativeFrom="paragraph">
                  <wp:posOffset>89535</wp:posOffset>
                </wp:positionV>
                <wp:extent cx="3472180" cy="1403985"/>
                <wp:effectExtent l="0" t="0" r="13970" b="11430"/>
                <wp:wrapNone/>
                <wp:docPr id="61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72180" cy="1403985"/>
                        </a:xfrm>
                        <a:prstGeom prst="rect">
                          <a:avLst/>
                        </a:prstGeom>
                        <a:solidFill>
                          <a:schemeClr val="bg2">
                            <a:lumMod val="75000"/>
                          </a:schemeClr>
                        </a:solidFill>
                        <a:ln w="9525">
                          <a:solidFill>
                            <a:srgbClr val="000000"/>
                          </a:solidFill>
                          <a:miter lim="800000"/>
                          <a:headEnd/>
                          <a:tailEnd/>
                        </a:ln>
                      </wps:spPr>
                      <wps:txbx>
                        <w:txbxContent>
                          <w:p w:rsidR="008276DC" w:rsidRPr="00FF62FD" w:rsidRDefault="008276DC">
                            <w:pPr>
                              <w:rPr>
                                <w:sz w:val="20"/>
                                <w:szCs w:val="20"/>
                              </w:rPr>
                            </w:pPr>
                            <w:r w:rsidRPr="00FF62FD">
                              <w:rPr>
                                <w:b/>
                                <w:sz w:val="20"/>
                                <w:szCs w:val="20"/>
                              </w:rPr>
                              <w:t>Rapport de cote (OR)</w:t>
                            </w:r>
                            <w:r w:rsidRPr="00FF62FD">
                              <w:rPr>
                                <w:sz w:val="20"/>
                                <w:szCs w:val="20"/>
                              </w:rPr>
                              <w:t> =</w:t>
                            </w:r>
                          </w:p>
                          <w:p w:rsidR="008276DC" w:rsidRPr="00FF62FD" w:rsidRDefault="00AE5F7A">
                            <w:pPr>
                              <w:rPr>
                                <w:sz w:val="20"/>
                                <w:szCs w:val="20"/>
                              </w:rPr>
                            </w:pPr>
                            <m:oMathPara>
                              <m:oMath>
                                <m:f>
                                  <m:fPr>
                                    <m:ctrlPr>
                                      <w:rPr>
                                        <w:rFonts w:ascii="Cambria Math" w:hAnsi="Cambria Math"/>
                                        <w:i/>
                                        <w:sz w:val="20"/>
                                        <w:szCs w:val="20"/>
                                      </w:rPr>
                                    </m:ctrlPr>
                                  </m:fPr>
                                  <m:num>
                                    <m:f>
                                      <m:fPr>
                                        <m:type m:val="lin"/>
                                        <m:ctrlPr>
                                          <w:rPr>
                                            <w:rFonts w:ascii="Cambria Math" w:hAnsi="Cambria Math"/>
                                            <w:i/>
                                            <w:sz w:val="20"/>
                                            <w:szCs w:val="20"/>
                                          </w:rPr>
                                        </m:ctrlPr>
                                      </m:fPr>
                                      <m:num>
                                        <m:r>
                                          <w:rPr>
                                            <w:rFonts w:ascii="Cambria Math" w:hAnsi="Cambria Math"/>
                                            <w:sz w:val="20"/>
                                            <w:szCs w:val="20"/>
                                          </w:rPr>
                                          <m:t>Résultat (exposés)</m:t>
                                        </m:r>
                                      </m:num>
                                      <m:den>
                                        <m:r>
                                          <w:rPr>
                                            <w:rFonts w:ascii="Cambria Math" w:hAnsi="Cambria Math"/>
                                            <w:sz w:val="20"/>
                                            <w:szCs w:val="20"/>
                                          </w:rPr>
                                          <m:t>Résultat (non-exposés)</m:t>
                                        </m:r>
                                      </m:den>
                                    </m:f>
                                  </m:num>
                                  <m:den>
                                    <m:f>
                                      <m:fPr>
                                        <m:type m:val="lin"/>
                                        <m:ctrlPr>
                                          <w:rPr>
                                            <w:rFonts w:ascii="Cambria Math" w:hAnsi="Cambria Math"/>
                                            <w:i/>
                                            <w:sz w:val="20"/>
                                            <w:szCs w:val="20"/>
                                          </w:rPr>
                                        </m:ctrlPr>
                                      </m:fPr>
                                      <m:num>
                                        <m:r>
                                          <w:rPr>
                                            <w:rFonts w:ascii="Cambria Math" w:hAnsi="Cambria Math"/>
                                            <w:sz w:val="20"/>
                                            <w:szCs w:val="20"/>
                                          </w:rPr>
                                          <m:t>Témoins exposés</m:t>
                                        </m:r>
                                      </m:num>
                                      <m:den>
                                        <m:r>
                                          <w:rPr>
                                            <w:rFonts w:ascii="Cambria Math" w:hAnsi="Cambria Math"/>
                                            <w:sz w:val="20"/>
                                            <w:szCs w:val="20"/>
                                          </w:rPr>
                                          <m:t>Témoins non-exposés</m:t>
                                        </m:r>
                                      </m:den>
                                    </m:f>
                                  </m:den>
                                </m:f>
                              </m:oMath>
                            </m:oMathPara>
                          </w:p>
                          <w:p w:rsidR="008276DC" w:rsidRPr="00FF62FD" w:rsidRDefault="008276DC">
                            <w:pPr>
                              <w:rPr>
                                <w:sz w:val="20"/>
                                <w:szCs w:val="20"/>
                              </w:rPr>
                            </w:pPr>
                            <w:r w:rsidRPr="00FF62FD">
                              <w:rPr>
                                <w:b/>
                                <w:sz w:val="20"/>
                                <w:szCs w:val="20"/>
                              </w:rPr>
                              <w:t>Risque relatif (RR)</w:t>
                            </w:r>
                            <w:r w:rsidRPr="00FF62FD">
                              <w:rPr>
                                <w:sz w:val="20"/>
                                <w:szCs w:val="20"/>
                              </w:rPr>
                              <w:t xml:space="preserve"> =</w:t>
                            </w:r>
                          </w:p>
                          <w:p w:rsidR="008276DC" w:rsidRPr="00FF62FD" w:rsidRDefault="00AE5F7A">
                            <w:pPr>
                              <w:rPr>
                                <w:sz w:val="20"/>
                                <w:szCs w:val="20"/>
                              </w:rPr>
                            </w:pPr>
                            <m:oMathPara>
                              <m:oMath>
                                <m:f>
                                  <m:fPr>
                                    <m:ctrlPr>
                                      <w:rPr>
                                        <w:rFonts w:ascii="Cambria Math" w:hAnsi="Cambria Math"/>
                                        <w:i/>
                                        <w:sz w:val="20"/>
                                        <w:szCs w:val="20"/>
                                      </w:rPr>
                                    </m:ctrlPr>
                                  </m:fPr>
                                  <m:num>
                                    <m:f>
                                      <m:fPr>
                                        <m:type m:val="lin"/>
                                        <m:ctrlPr>
                                          <w:rPr>
                                            <w:rFonts w:ascii="Cambria Math" w:hAnsi="Cambria Math"/>
                                            <w:i/>
                                            <w:sz w:val="20"/>
                                            <w:szCs w:val="20"/>
                                          </w:rPr>
                                        </m:ctrlPr>
                                      </m:fPr>
                                      <m:num>
                                        <m:r>
                                          <w:rPr>
                                            <w:rFonts w:ascii="Cambria Math" w:hAnsi="Cambria Math"/>
                                            <w:sz w:val="20"/>
                                            <w:szCs w:val="20"/>
                                          </w:rPr>
                                          <m:t>Résultat ( Exposés )</m:t>
                                        </m:r>
                                      </m:num>
                                      <m:den>
                                        <m:r>
                                          <w:rPr>
                                            <w:rFonts w:ascii="Cambria Math" w:hAnsi="Cambria Math"/>
                                            <w:sz w:val="20"/>
                                            <w:szCs w:val="20"/>
                                          </w:rPr>
                                          <m:t>Population exposée</m:t>
                                        </m:r>
                                      </m:den>
                                    </m:f>
                                  </m:num>
                                  <m:den>
                                    <m:f>
                                      <m:fPr>
                                        <m:type m:val="lin"/>
                                        <m:ctrlPr>
                                          <w:rPr>
                                            <w:rFonts w:ascii="Cambria Math" w:hAnsi="Cambria Math"/>
                                            <w:i/>
                                            <w:sz w:val="20"/>
                                            <w:szCs w:val="20"/>
                                          </w:rPr>
                                        </m:ctrlPr>
                                      </m:fPr>
                                      <m:num>
                                        <m:r>
                                          <w:rPr>
                                            <w:rFonts w:ascii="Cambria Math" w:hAnsi="Cambria Math"/>
                                            <w:sz w:val="20"/>
                                            <w:szCs w:val="20"/>
                                          </w:rPr>
                                          <m:t>Résultat (Non-exposés)</m:t>
                                        </m:r>
                                      </m:num>
                                      <m:den>
                                        <m:r>
                                          <w:rPr>
                                            <w:rFonts w:ascii="Cambria Math" w:hAnsi="Cambria Math"/>
                                            <w:sz w:val="20"/>
                                            <w:szCs w:val="20"/>
                                          </w:rPr>
                                          <m:t>Population non-exposée</m:t>
                                        </m:r>
                                      </m:den>
                                    </m:f>
                                  </m:den>
                                </m:f>
                              </m:oMath>
                            </m:oMathPara>
                          </w:p>
                          <w:p w:rsidR="008276DC" w:rsidRPr="00FF62FD" w:rsidRDefault="008276DC">
                            <w:pPr>
                              <w:rPr>
                                <w:sz w:val="20"/>
                                <w:szCs w:val="20"/>
                              </w:rPr>
                            </w:pPr>
                            <w:r w:rsidRPr="00FF62FD">
                              <w:rPr>
                                <w:b/>
                                <w:sz w:val="20"/>
                                <w:szCs w:val="20"/>
                              </w:rPr>
                              <w:t>Risque attribuable (RA)</w:t>
                            </w:r>
                            <w:r w:rsidRPr="00FF62FD">
                              <w:rPr>
                                <w:sz w:val="20"/>
                                <w:szCs w:val="20"/>
                              </w:rPr>
                              <w:t xml:space="preserve"> =</w:t>
                            </w:r>
                          </w:p>
                          <w:p w:rsidR="008276DC" w:rsidRPr="00FF62FD" w:rsidRDefault="008276DC">
                            <w:pPr>
                              <w:rPr>
                                <w:rFonts w:eastAsiaTheme="minorEastAsia"/>
                                <w:sz w:val="20"/>
                                <w:szCs w:val="20"/>
                              </w:rPr>
                            </w:pPr>
                            <m:oMathPara>
                              <m:oMath>
                                <m:r>
                                  <w:rPr>
                                    <w:rFonts w:ascii="Cambria Math" w:hAnsi="Cambria Math"/>
                                    <w:sz w:val="20"/>
                                    <w:szCs w:val="20"/>
                                  </w:rPr>
                                  <m:t xml:space="preserve">Incidence </m:t>
                                </m:r>
                                <m:d>
                                  <m:dPr>
                                    <m:ctrlPr>
                                      <w:rPr>
                                        <w:rFonts w:ascii="Cambria Math" w:hAnsi="Cambria Math"/>
                                        <w:i/>
                                        <w:sz w:val="20"/>
                                        <w:szCs w:val="20"/>
                                      </w:rPr>
                                    </m:ctrlPr>
                                  </m:dPr>
                                  <m:e>
                                    <m:r>
                                      <w:rPr>
                                        <w:rFonts w:ascii="Cambria Math" w:hAnsi="Cambria Math"/>
                                        <w:sz w:val="20"/>
                                        <w:szCs w:val="20"/>
                                      </w:rPr>
                                      <m:t>exposés</m:t>
                                    </m:r>
                                  </m:e>
                                </m:d>
                                <m:r>
                                  <m:rPr>
                                    <m:sty m:val="p"/>
                                  </m:rPr>
                                  <w:rPr>
                                    <w:rFonts w:ascii="Cambria Math" w:eastAsiaTheme="minorEastAsia" w:hAnsi="Cambria Math"/>
                                    <w:sz w:val="20"/>
                                    <w:szCs w:val="20"/>
                                  </w:rPr>
                                  <m:t xml:space="preserve">– incidence </m:t>
                                </m:r>
                                <m:d>
                                  <m:dPr>
                                    <m:ctrlPr>
                                      <w:rPr>
                                        <w:rFonts w:ascii="Cambria Math" w:eastAsiaTheme="minorEastAsia" w:hAnsi="Cambria Math"/>
                                        <w:sz w:val="20"/>
                                        <w:szCs w:val="20"/>
                                      </w:rPr>
                                    </m:ctrlPr>
                                  </m:dPr>
                                  <m:e>
                                    <m:r>
                                      <m:rPr>
                                        <m:sty m:val="p"/>
                                      </m:rPr>
                                      <w:rPr>
                                        <w:rFonts w:ascii="Cambria Math" w:eastAsiaTheme="minorEastAsia" w:hAnsi="Cambria Math"/>
                                        <w:sz w:val="20"/>
                                        <w:szCs w:val="20"/>
                                      </w:rPr>
                                      <m:t>non-exposés</m:t>
                                    </m:r>
                                  </m:e>
                                </m:d>
                              </m:oMath>
                            </m:oMathPara>
                          </w:p>
                          <w:p w:rsidR="008276DC" w:rsidRPr="00FF62FD" w:rsidRDefault="008276DC" w:rsidP="00FF62FD">
                            <w:pPr>
                              <w:ind w:left="708"/>
                              <w:rPr>
                                <w:sz w:val="20"/>
                                <w:szCs w:val="20"/>
                              </w:rPr>
                            </w:pPr>
                            <m:oMath>
                              <m:r>
                                <w:rPr>
                                  <w:rFonts w:ascii="Cambria Math" w:eastAsiaTheme="minorEastAsia" w:hAnsi="Cambria Math"/>
                                  <w:sz w:val="20"/>
                                  <w:szCs w:val="20"/>
                                </w:rPr>
                                <m:t>Risque si exposé-risque si non exposé</m:t>
                              </m:r>
                            </m:oMath>
                            <w:r w:rsidRPr="00FF62FD">
                              <w:rPr>
                                <w:rFonts w:eastAsiaTheme="minorEastAsia"/>
                                <w:sz w:val="20"/>
                                <w:szCs w:val="20"/>
                              </w:rPr>
                              <w:t xml:space="preserve">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97" type="#_x0000_t202" style="position:absolute;margin-left:250.25pt;margin-top:7.05pt;width:273.4pt;height:110.55pt;z-index:25213542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" fillcolor="#c4bc96 [2414]">
                <v:textbox style="mso-fit-shape-to-text:t">
                  <w:txbxContent>
                    <w:p w:rsidR="008276DC" w:rsidRPr="00FF62FD" w:rsidRDefault="008276DC">
                      <w:pPr>
                        <w:rPr>
                          <w:sz w:val="20"/>
                          <w:szCs w:val="20"/>
                        </w:rPr>
                      </w:pPr>
                      <w:r w:rsidRPr="00FF62FD">
                        <w:rPr>
                          <w:b/>
                          <w:sz w:val="20"/>
                          <w:szCs w:val="20"/>
                        </w:rPr>
                        <w:t>Rapport de cote (OR)</w:t>
                      </w:r>
                      <w:r w:rsidRPr="00FF62FD">
                        <w:rPr>
                          <w:sz w:val="20"/>
                          <w:szCs w:val="20"/>
                        </w:rPr>
                        <w:t> =</w:t>
                      </w:r>
                    </w:p>
                    <w:p w:rsidR="008276DC" w:rsidRPr="00FF62FD" w:rsidRDefault="008276DC">
                      <w:pPr>
                        <w:rPr>
                          <w:sz w:val="20"/>
                          <w:szCs w:val="20"/>
                        </w:rPr>
                      </w:pPr>
                      <m:oMathPara>
                        <m:oMath>
                          <m:f>
                            <m:fPr>
                              <m:ctrlPr>
                                <w:rPr>
                                  <w:rFonts w:ascii="Cambria Math" w:hAnsi="Cambria Math"/>
                                  <w:i/>
                                  <w:sz w:val="20"/>
                                  <w:szCs w:val="20"/>
                                </w:rPr>
                              </m:ctrlPr>
                            </m:fPr>
                            <m:num>
                              <m:f>
                                <m:fPr>
                                  <m:type m:val="lin"/>
                                  <m:ctrlPr>
                                    <w:rPr>
                                      <w:rFonts w:ascii="Cambria Math" w:hAnsi="Cambria Math"/>
                                      <w:i/>
                                      <w:sz w:val="20"/>
                                      <w:szCs w:val="20"/>
                                    </w:rPr>
                                  </m:ctrlPr>
                                </m:fPr>
                                <m:num>
                                  <m:r>
                                    <w:rPr>
                                      <w:rFonts w:ascii="Cambria Math" w:hAnsi="Cambria Math"/>
                                      <w:sz w:val="20"/>
                                      <w:szCs w:val="20"/>
                                    </w:rPr>
                                    <m:t>Résultat (exposés)</m:t>
                                  </m:r>
                                </m:num>
                                <m:den>
                                  <m:r>
                                    <w:rPr>
                                      <w:rFonts w:ascii="Cambria Math" w:hAnsi="Cambria Math"/>
                                      <w:sz w:val="20"/>
                                      <w:szCs w:val="20"/>
                                    </w:rPr>
                                    <m:t>Résultat (non-exposés)</m:t>
                                  </m:r>
                                </m:den>
                              </m:f>
                            </m:num>
                            <m:den>
                              <m:f>
                                <m:fPr>
                                  <m:type m:val="lin"/>
                                  <m:ctrlPr>
                                    <w:rPr>
                                      <w:rFonts w:ascii="Cambria Math" w:hAnsi="Cambria Math"/>
                                      <w:i/>
                                      <w:sz w:val="20"/>
                                      <w:szCs w:val="20"/>
                                    </w:rPr>
                                  </m:ctrlPr>
                                </m:fPr>
                                <m:num>
                                  <m:r>
                                    <w:rPr>
                                      <w:rFonts w:ascii="Cambria Math" w:hAnsi="Cambria Math"/>
                                      <w:sz w:val="20"/>
                                      <w:szCs w:val="20"/>
                                    </w:rPr>
                                    <m:t>Témoins exposés</m:t>
                                  </m:r>
                                </m:num>
                                <m:den>
                                  <m:r>
                                    <w:rPr>
                                      <w:rFonts w:ascii="Cambria Math" w:hAnsi="Cambria Math"/>
                                      <w:sz w:val="20"/>
                                      <w:szCs w:val="20"/>
                                    </w:rPr>
                                    <m:t>Témoins non-exposés</m:t>
                                  </m:r>
                                </m:den>
                              </m:f>
                            </m:den>
                          </m:f>
                        </m:oMath>
                      </m:oMathPara>
                    </w:p>
                    <w:p w:rsidR="008276DC" w:rsidRPr="00FF62FD" w:rsidRDefault="008276DC">
                      <w:pPr>
                        <w:rPr>
                          <w:sz w:val="20"/>
                          <w:szCs w:val="20"/>
                        </w:rPr>
                      </w:pPr>
                      <w:r w:rsidRPr="00FF62FD">
                        <w:rPr>
                          <w:b/>
                          <w:sz w:val="20"/>
                          <w:szCs w:val="20"/>
                        </w:rPr>
                        <w:t>Risque relatif (RR)</w:t>
                      </w:r>
                      <w:r w:rsidRPr="00FF62FD">
                        <w:rPr>
                          <w:sz w:val="20"/>
                          <w:szCs w:val="20"/>
                        </w:rPr>
                        <w:t xml:space="preserve"> =</w:t>
                      </w:r>
                    </w:p>
                    <w:p w:rsidR="008276DC" w:rsidRPr="00FF62FD" w:rsidRDefault="008276DC">
                      <w:pPr>
                        <w:rPr>
                          <w:sz w:val="20"/>
                          <w:szCs w:val="20"/>
                        </w:rPr>
                      </w:pPr>
                      <m:oMathPara>
                        <m:oMath>
                          <m:f>
                            <m:fPr>
                              <m:ctrlPr>
                                <w:rPr>
                                  <w:rFonts w:ascii="Cambria Math" w:hAnsi="Cambria Math"/>
                                  <w:i/>
                                  <w:sz w:val="20"/>
                                  <w:szCs w:val="20"/>
                                </w:rPr>
                              </m:ctrlPr>
                            </m:fPr>
                            <m:num>
                              <m:f>
                                <m:fPr>
                                  <m:type m:val="lin"/>
                                  <m:ctrlPr>
                                    <w:rPr>
                                      <w:rFonts w:ascii="Cambria Math" w:hAnsi="Cambria Math"/>
                                      <w:i/>
                                      <w:sz w:val="20"/>
                                      <w:szCs w:val="20"/>
                                    </w:rPr>
                                  </m:ctrlPr>
                                </m:fPr>
                                <m:num>
                                  <m:r>
                                    <w:rPr>
                                      <w:rFonts w:ascii="Cambria Math" w:hAnsi="Cambria Math"/>
                                      <w:sz w:val="20"/>
                                      <w:szCs w:val="20"/>
                                    </w:rPr>
                                    <m:t>Résultat ( Exposés )</m:t>
                                  </m:r>
                                </m:num>
                                <m:den>
                                  <m:r>
                                    <w:rPr>
                                      <w:rFonts w:ascii="Cambria Math" w:hAnsi="Cambria Math"/>
                                      <w:sz w:val="20"/>
                                      <w:szCs w:val="20"/>
                                    </w:rPr>
                                    <m:t>Population exposée</m:t>
                                  </m:r>
                                </m:den>
                              </m:f>
                            </m:num>
                            <m:den>
                              <m:f>
                                <m:fPr>
                                  <m:type m:val="lin"/>
                                  <m:ctrlPr>
                                    <w:rPr>
                                      <w:rFonts w:ascii="Cambria Math" w:hAnsi="Cambria Math"/>
                                      <w:i/>
                                      <w:sz w:val="20"/>
                                      <w:szCs w:val="20"/>
                                    </w:rPr>
                                  </m:ctrlPr>
                                </m:fPr>
                                <m:num>
                                  <m:r>
                                    <w:rPr>
                                      <w:rFonts w:ascii="Cambria Math" w:hAnsi="Cambria Math"/>
                                      <w:sz w:val="20"/>
                                      <w:szCs w:val="20"/>
                                    </w:rPr>
                                    <m:t>Résultat (Non-exposés)</m:t>
                                  </m:r>
                                </m:num>
                                <m:den>
                                  <m:r>
                                    <w:rPr>
                                      <w:rFonts w:ascii="Cambria Math" w:hAnsi="Cambria Math"/>
                                      <w:sz w:val="20"/>
                                      <w:szCs w:val="20"/>
                                    </w:rPr>
                                    <m:t>Population non-exposée</m:t>
                                  </m:r>
                                </m:den>
                              </m:f>
                            </m:den>
                          </m:f>
                        </m:oMath>
                      </m:oMathPara>
                    </w:p>
                    <w:p w:rsidR="008276DC" w:rsidRPr="00FF62FD" w:rsidRDefault="008276DC">
                      <w:pPr>
                        <w:rPr>
                          <w:sz w:val="20"/>
                          <w:szCs w:val="20"/>
                        </w:rPr>
                      </w:pPr>
                      <w:r w:rsidRPr="00FF62FD">
                        <w:rPr>
                          <w:b/>
                          <w:sz w:val="20"/>
                          <w:szCs w:val="20"/>
                        </w:rPr>
                        <w:t>Risque attribuable (RA)</w:t>
                      </w:r>
                      <w:r w:rsidRPr="00FF62FD">
                        <w:rPr>
                          <w:sz w:val="20"/>
                          <w:szCs w:val="20"/>
                        </w:rPr>
                        <w:t xml:space="preserve"> =</w:t>
                      </w:r>
                    </w:p>
                    <w:p w:rsidR="008276DC" w:rsidRPr="00FF62FD" w:rsidRDefault="008276DC">
                      <w:pPr>
                        <w:rPr>
                          <w:rFonts w:eastAsiaTheme="minorEastAsia"/>
                          <w:sz w:val="20"/>
                          <w:szCs w:val="20"/>
                        </w:rPr>
                      </w:pPr>
                      <m:oMathPara>
                        <m:oMath>
                          <m:r>
                            <w:rPr>
                              <w:rFonts w:ascii="Cambria Math" w:hAnsi="Cambria Math"/>
                              <w:sz w:val="20"/>
                              <w:szCs w:val="20"/>
                            </w:rPr>
                            <m:t xml:space="preserve">Incidence </m:t>
                          </m:r>
                          <m:d>
                            <m:dPr>
                              <m:ctrlPr>
                                <w:rPr>
                                  <w:rFonts w:ascii="Cambria Math" w:hAnsi="Cambria Math"/>
                                  <w:i/>
                                  <w:sz w:val="20"/>
                                  <w:szCs w:val="20"/>
                                </w:rPr>
                              </m:ctrlPr>
                            </m:dPr>
                            <m:e>
                              <m:r>
                                <w:rPr>
                                  <w:rFonts w:ascii="Cambria Math" w:hAnsi="Cambria Math"/>
                                  <w:sz w:val="20"/>
                                  <w:szCs w:val="20"/>
                                </w:rPr>
                                <m:t>exposés</m:t>
                              </m:r>
                            </m:e>
                          </m:d>
                          <m:r>
                            <m:rPr>
                              <m:sty m:val="p"/>
                            </m:rPr>
                            <w:rPr>
                              <w:rFonts w:ascii="Cambria Math" w:eastAsiaTheme="minorEastAsia" w:hAnsi="Cambria Math"/>
                              <w:sz w:val="20"/>
                              <w:szCs w:val="20"/>
                            </w:rPr>
                            <m:t xml:space="preserve">– incidence </m:t>
                          </m:r>
                          <m:d>
                            <m:dPr>
                              <m:ctrlPr>
                                <w:rPr>
                                  <w:rFonts w:ascii="Cambria Math" w:eastAsiaTheme="minorEastAsia" w:hAnsi="Cambria Math"/>
                                  <w:sz w:val="20"/>
                                  <w:szCs w:val="20"/>
                                </w:rPr>
                              </m:ctrlPr>
                            </m:dPr>
                            <m:e>
                              <m:r>
                                <m:rPr>
                                  <m:sty m:val="p"/>
                                </m:rPr>
                                <w:rPr>
                                  <w:rFonts w:ascii="Cambria Math" w:eastAsiaTheme="minorEastAsia" w:hAnsi="Cambria Math"/>
                                  <w:sz w:val="20"/>
                                  <w:szCs w:val="20"/>
                                </w:rPr>
                                <m:t>non-exposés</m:t>
                              </m:r>
                            </m:e>
                          </m:d>
                        </m:oMath>
                      </m:oMathPara>
                    </w:p>
                    <w:p w:rsidR="008276DC" w:rsidRPr="00FF62FD" w:rsidRDefault="008276DC" w:rsidP="00FF62FD">
                      <w:pPr>
                        <w:ind w:left="708"/>
                        <w:rPr>
                          <w:sz w:val="20"/>
                          <w:szCs w:val="20"/>
                        </w:rPr>
                      </w:pPr>
                      <m:oMath>
                        <m:r>
                          <w:rPr>
                            <w:rFonts w:ascii="Cambria Math" w:eastAsiaTheme="minorEastAsia" w:hAnsi="Cambria Math"/>
                            <w:sz w:val="20"/>
                            <w:szCs w:val="20"/>
                          </w:rPr>
                          <m:t>Risque si exposé-risque si non exposé</m:t>
                        </m:r>
                      </m:oMath>
                      <w:r w:rsidRPr="00FF62FD">
                        <w:rPr>
                          <w:rFonts w:eastAsiaTheme="minorEastAsia"/>
                          <w:sz w:val="20"/>
                          <w:szCs w:val="20"/>
                        </w:rPr>
                        <w:t xml:space="preserve"> </w:t>
                      </w:r>
                    </w:p>
                  </w:txbxContent>
                </v:textbox>
              </v:shape>
            </w:pict>
          </mc:Fallback>
        </mc:AlternateContent>
      </w:r>
      <w:r w:rsidR="006803D8" w:rsidRPr="00E859EC">
        <w:rPr>
          <w:b/>
        </w:rPr>
        <w:t>Mesures d’associations</w:t>
      </w:r>
    </w:p>
    <w:p w:rsidR="00E859EC" w:rsidRDefault="00E859EC" w:rsidP="00AF379E">
      <w:pPr>
        <w:pStyle w:val="Sansinterligne"/>
      </w:pPr>
    </w:p>
    <w:p w:rsidR="007E3673" w:rsidRDefault="007E3673" w:rsidP="00F33989">
      <w:pPr>
        <w:pStyle w:val="Sansinterligne"/>
        <w:ind w:right="5838"/>
      </w:pPr>
      <w:r>
        <w:t xml:space="preserve">Le rapport de cote et le risque relatif sont significatifs s’ils ne valent pas 1. </w:t>
      </w:r>
    </w:p>
    <w:p w:rsidR="00F33989" w:rsidRDefault="00F33989" w:rsidP="00AF379E">
      <w:pPr>
        <w:pStyle w:val="Sansinterligne"/>
      </w:pPr>
    </w:p>
    <w:p w:rsidR="007E3673" w:rsidRPr="00F33989" w:rsidRDefault="007E3673" w:rsidP="00AF379E">
      <w:pPr>
        <w:pStyle w:val="Sansinterligne"/>
        <w:rPr>
          <w:highlight w:val="yellow"/>
        </w:rPr>
      </w:pPr>
      <w:r w:rsidRPr="00F33989">
        <w:rPr>
          <w:highlight w:val="yellow"/>
        </w:rPr>
        <w:t>Si RR ou OR =1, pas d’effet.</w:t>
      </w:r>
    </w:p>
    <w:p w:rsidR="007E3673" w:rsidRPr="00F33989" w:rsidRDefault="007E3673" w:rsidP="00AF379E">
      <w:pPr>
        <w:pStyle w:val="Sansinterligne"/>
        <w:rPr>
          <w:highlight w:val="yellow"/>
        </w:rPr>
      </w:pPr>
      <w:r w:rsidRPr="00F33989">
        <w:rPr>
          <w:highlight w:val="yellow"/>
        </w:rPr>
        <w:t xml:space="preserve">Si RR ou OR </w:t>
      </w:r>
      <w:r w:rsidRPr="00F33989">
        <w:rPr>
          <w:rFonts w:ascii="Century Gothic" w:hAnsi="Century Gothic"/>
          <w:highlight w:val="yellow"/>
        </w:rPr>
        <w:t>&gt;</w:t>
      </w:r>
      <w:r w:rsidRPr="00F33989">
        <w:rPr>
          <w:highlight w:val="yellow"/>
        </w:rPr>
        <w:t xml:space="preserve"> 1, il y a un risque accru</w:t>
      </w:r>
    </w:p>
    <w:p w:rsidR="007E3673" w:rsidRDefault="007E3673" w:rsidP="00AF379E">
      <w:pPr>
        <w:pStyle w:val="Sansinterligne"/>
      </w:pPr>
      <w:r w:rsidRPr="00F33989">
        <w:rPr>
          <w:highlight w:val="yellow"/>
        </w:rPr>
        <w:t>Si RR ou O</w:t>
      </w:r>
      <w:r w:rsidR="00295334">
        <w:rPr>
          <w:highlight w:val="yellow"/>
        </w:rPr>
        <w:t>R</w:t>
      </w:r>
      <w:r w:rsidRPr="00F33989">
        <w:rPr>
          <w:highlight w:val="yellow"/>
        </w:rPr>
        <w:t xml:space="preserve"> </w:t>
      </w:r>
      <w:r w:rsidRPr="00F33989">
        <w:rPr>
          <w:rFonts w:ascii="Century Gothic" w:hAnsi="Century Gothic"/>
          <w:highlight w:val="yellow"/>
        </w:rPr>
        <w:t>&lt;</w:t>
      </w:r>
      <w:r w:rsidRPr="00F33989">
        <w:rPr>
          <w:highlight w:val="yellow"/>
        </w:rPr>
        <w:t xml:space="preserve"> 1, il y a un effet préventif.</w:t>
      </w:r>
    </w:p>
    <w:p w:rsidR="007E3673" w:rsidRDefault="007E3673" w:rsidP="00F33989">
      <w:pPr>
        <w:pStyle w:val="Sansinterligne"/>
        <w:ind w:right="6831"/>
      </w:pPr>
    </w:p>
    <w:p w:rsidR="007E3673" w:rsidRDefault="007E3673" w:rsidP="00F33989">
      <w:pPr>
        <w:pStyle w:val="Sansinterligne"/>
        <w:ind w:right="6831"/>
      </w:pPr>
      <w:r>
        <w:t>RA = 0, il n’y a pas de différence de risque</w:t>
      </w:r>
    </w:p>
    <w:p w:rsidR="007E3673" w:rsidRDefault="007E3673" w:rsidP="00F33989">
      <w:pPr>
        <w:pStyle w:val="Sansinterligne"/>
        <w:ind w:right="6831"/>
      </w:pPr>
      <w:r>
        <w:t xml:space="preserve">RA </w:t>
      </w:r>
      <w:r>
        <w:rPr>
          <w:rFonts w:ascii="Century Gothic" w:hAnsi="Century Gothic"/>
        </w:rPr>
        <w:t>&gt;</w:t>
      </w:r>
      <w:r>
        <w:t xml:space="preserve"> 0, le facteur étudié est responsable de cas </w:t>
      </w:r>
      <w:r w:rsidR="00F33989">
        <w:t>non-attribuables au risque général</w:t>
      </w:r>
    </w:p>
    <w:p w:rsidR="007E3673" w:rsidRDefault="007E3673" w:rsidP="00F33989">
      <w:pPr>
        <w:pStyle w:val="Sansinterligne"/>
        <w:ind w:right="6831"/>
      </w:pPr>
      <w:r>
        <w:t xml:space="preserve">RA </w:t>
      </w:r>
      <w:r>
        <w:rPr>
          <w:rFonts w:ascii="Century Gothic" w:hAnsi="Century Gothic"/>
        </w:rPr>
        <w:t>&lt;</w:t>
      </w:r>
      <w:r w:rsidR="00EA58A1">
        <w:t xml:space="preserve"> 0, le facteur étudié</w:t>
      </w:r>
      <w:r>
        <w:t xml:space="preserve"> prévient des cas</w:t>
      </w:r>
    </w:p>
    <w:p w:rsidR="007E3673" w:rsidRDefault="007E3673" w:rsidP="00AF379E">
      <w:pPr>
        <w:pStyle w:val="Sansinterligne"/>
      </w:pPr>
    </w:p>
    <w:p w:rsidR="00986830" w:rsidRDefault="00986830" w:rsidP="00AF379E">
      <w:pPr>
        <w:pStyle w:val="Sansinterligne"/>
      </w:pPr>
    </w:p>
    <w:p w:rsidR="007D478C" w:rsidRDefault="007D478C" w:rsidP="00AF379E">
      <w:pPr>
        <w:pStyle w:val="Sansinterligne"/>
      </w:pPr>
    </w:p>
    <w:p w:rsidR="006803D8" w:rsidRPr="00986830" w:rsidRDefault="00922B70" w:rsidP="00AF379E">
      <w:pPr>
        <w:pStyle w:val="Sansinterligne"/>
        <w:rPr>
          <w:b/>
          <w:sz w:val="28"/>
          <w:szCs w:val="28"/>
        </w:rPr>
      </w:pPr>
      <w:r>
        <w:rPr>
          <w:noProof/>
          <w:lang w:eastAsia="fr-CA"/>
        </w:rPr>
        <w:drawing>
          <wp:anchor distT="0" distB="0" distL="114300" distR="114300" simplePos="0" relativeHeight="252138496" behindDoc="1" locked="0" layoutInCell="1" allowOverlap="1" wp14:anchorId="56B63DFC" wp14:editId="2874DCB7">
            <wp:simplePos x="0" y="0"/>
            <wp:positionH relativeFrom="column">
              <wp:posOffset>4260215</wp:posOffset>
            </wp:positionH>
            <wp:positionV relativeFrom="paragraph">
              <wp:posOffset>-517012</wp:posOffset>
            </wp:positionV>
            <wp:extent cx="2619771" cy="1556426"/>
            <wp:effectExtent l="0" t="0" r="9525" b="5715"/>
            <wp:wrapNone/>
            <wp:docPr id="617" name="Image 617" descr="Image associé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associée"/>
                    <pic:cNvPicPr>
                      <a:picLocks noChangeAspect="1" noChangeArrowheads="1"/>
                    </pic:cNvPicPr>
                  </pic:nvPicPr>
                  <pic:blipFill rotWithShape="1">
                    <a:blip r:embed="rId260">
                      <a:extLst>
                        <a:ext uri="{28A0092B-C50C-407E-A947-70E740481C1C}">
                          <a14:useLocalDpi xmlns:a14="http://schemas.microsoft.com/office/drawing/2010/main" val="0"/>
                        </a:ext>
                      </a:extLst>
                    </a:blip>
                    <a:srcRect l="4139" r="4788"/>
                    <a:stretch/>
                  </pic:blipFill>
                  <pic:spPr bwMode="auto">
                    <a:xfrm>
                      <a:off x="0" y="0"/>
                      <a:ext cx="2619771" cy="1556426"/>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803D8" w:rsidRPr="00986830">
        <w:rPr>
          <w:b/>
          <w:sz w:val="28"/>
          <w:szCs w:val="28"/>
        </w:rPr>
        <w:t xml:space="preserve">Interprétation </w:t>
      </w:r>
      <w:r w:rsidR="00986830">
        <w:rPr>
          <w:b/>
          <w:sz w:val="28"/>
          <w:szCs w:val="28"/>
        </w:rPr>
        <w:t xml:space="preserve">des données et </w:t>
      </w:r>
      <w:r w:rsidR="006803D8" w:rsidRPr="00986830">
        <w:rPr>
          <w:b/>
          <w:sz w:val="28"/>
          <w:szCs w:val="28"/>
        </w:rPr>
        <w:t>indicateurs de l’état de santé</w:t>
      </w:r>
    </w:p>
    <w:p w:rsidR="00262004" w:rsidRPr="000715A5" w:rsidRDefault="00262004" w:rsidP="00262004">
      <w:pPr>
        <w:pStyle w:val="Sansinterligne"/>
        <w:rPr>
          <w:sz w:val="16"/>
          <w:szCs w:val="16"/>
        </w:rPr>
      </w:pPr>
    </w:p>
    <w:p w:rsidR="009E30BA" w:rsidRDefault="009E30BA" w:rsidP="00AF379E">
      <w:pPr>
        <w:pStyle w:val="Sansinterligne"/>
        <w:rPr>
          <w:b/>
        </w:rPr>
      </w:pPr>
      <w:r>
        <w:rPr>
          <w:b/>
        </w:rPr>
        <w:t>Validité</w:t>
      </w:r>
    </w:p>
    <w:p w:rsidR="009E30BA" w:rsidRDefault="009E30BA" w:rsidP="009E30BA">
      <w:pPr>
        <w:pStyle w:val="Sansinterligne"/>
        <w:numPr>
          <w:ilvl w:val="0"/>
          <w:numId w:val="1348"/>
        </w:numPr>
      </w:pPr>
      <w:r>
        <w:t xml:space="preserve">Dépend de la précision du résultat et de la reproductibilité </w:t>
      </w:r>
    </w:p>
    <w:p w:rsidR="009E30BA" w:rsidRDefault="009E30BA" w:rsidP="00AF379E">
      <w:pPr>
        <w:pStyle w:val="Sansinterligne"/>
      </w:pPr>
      <w:r w:rsidRPr="009E30BA">
        <w:rPr>
          <w:u w:val="single"/>
        </w:rPr>
        <w:t>Interne</w:t>
      </w:r>
      <w:r>
        <w:t xml:space="preserve"> : à quel point le résultat représente la réalité des personnes étudiées </w:t>
      </w:r>
    </w:p>
    <w:p w:rsidR="009E30BA" w:rsidRDefault="000715A5" w:rsidP="00AF379E">
      <w:pPr>
        <w:pStyle w:val="Sansinterligne"/>
      </w:pPr>
      <w:r w:rsidRPr="007B4E79">
        <w:rPr>
          <w:b/>
          <w:noProof/>
          <w:lang w:eastAsia="fr-CA"/>
        </w:rPr>
        <mc:AlternateContent>
          <mc:Choice Requires="wps">
            <w:drawing>
              <wp:anchor distT="0" distB="0" distL="114300" distR="114300" simplePos="0" relativeHeight="252137472" behindDoc="0" locked="0" layoutInCell="1" allowOverlap="1" wp14:anchorId="26442F19" wp14:editId="20CFAB06">
                <wp:simplePos x="0" y="0"/>
                <wp:positionH relativeFrom="column">
                  <wp:posOffset>3832698</wp:posOffset>
                </wp:positionH>
                <wp:positionV relativeFrom="paragraph">
                  <wp:posOffset>127744</wp:posOffset>
                </wp:positionV>
                <wp:extent cx="3258185" cy="1994170"/>
                <wp:effectExtent l="0" t="0" r="18415" b="25400"/>
                <wp:wrapNone/>
                <wp:docPr id="61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58185" cy="1994170"/>
                        </a:xfrm>
                        <a:prstGeom prst="rect">
                          <a:avLst/>
                        </a:prstGeom>
                        <a:solidFill>
                          <a:schemeClr val="bg2">
                            <a:lumMod val="75000"/>
                          </a:schemeClr>
                        </a:solidFill>
                        <a:ln w="9525">
                          <a:solidFill>
                            <a:srgbClr val="000000"/>
                          </a:solidFill>
                          <a:miter lim="800000"/>
                          <a:headEnd/>
                          <a:tailEnd/>
                        </a:ln>
                      </wps:spPr>
                      <wps:txbx>
                        <w:txbxContent>
                          <w:p w:rsidR="008276DC" w:rsidRDefault="008276DC" w:rsidP="007B4E79">
                            <w:pPr>
                              <w:pStyle w:val="Sansinterligne"/>
                              <w:rPr>
                                <w:b/>
                              </w:rPr>
                            </w:pPr>
                            <w:r w:rsidRPr="00E716C3">
                              <w:rPr>
                                <w:b/>
                              </w:rPr>
                              <w:t>Critères de causalité (Bradford-Hill)</w:t>
                            </w:r>
                          </w:p>
                          <w:p w:rsidR="008276DC" w:rsidRPr="000715A5" w:rsidRDefault="008276DC" w:rsidP="007B4E79">
                            <w:pPr>
                              <w:pStyle w:val="Sansinterligne"/>
                              <w:numPr>
                                <w:ilvl w:val="0"/>
                                <w:numId w:val="1347"/>
                              </w:numPr>
                              <w:rPr>
                                <w:sz w:val="16"/>
                                <w:szCs w:val="16"/>
                              </w:rPr>
                            </w:pPr>
                            <w:r w:rsidRPr="000715A5">
                              <w:rPr>
                                <w:sz w:val="16"/>
                                <w:szCs w:val="16"/>
                              </w:rPr>
                              <w:t xml:space="preserve">Corrélation ou association </w:t>
                            </w:r>
                            <w:r w:rsidRPr="000715A5">
                              <w:rPr>
                                <w:rFonts w:ascii="Century Gothic" w:hAnsi="Century Gothic"/>
                                <w:sz w:val="16"/>
                                <w:szCs w:val="16"/>
                              </w:rPr>
                              <w:t>≠</w:t>
                            </w:r>
                            <w:r w:rsidRPr="000715A5">
                              <w:rPr>
                                <w:sz w:val="16"/>
                                <w:szCs w:val="16"/>
                              </w:rPr>
                              <w:t xml:space="preserve"> forcément causalité</w:t>
                            </w:r>
                          </w:p>
                          <w:p w:rsidR="008276DC" w:rsidRDefault="008276DC" w:rsidP="007B4E79">
                            <w:pPr>
                              <w:pStyle w:val="Sansinterligne"/>
                              <w:rPr>
                                <w:b/>
                              </w:rPr>
                            </w:pPr>
                          </w:p>
                          <w:p w:rsidR="008276DC" w:rsidRPr="000715A5" w:rsidRDefault="008276DC" w:rsidP="007B4E79">
                            <w:pPr>
                              <w:pStyle w:val="Sansinterligne"/>
                              <w:numPr>
                                <w:ilvl w:val="0"/>
                                <w:numId w:val="1346"/>
                              </w:numPr>
                              <w:rPr>
                                <w:sz w:val="20"/>
                                <w:szCs w:val="20"/>
                              </w:rPr>
                            </w:pPr>
                            <w:r w:rsidRPr="000715A5">
                              <w:rPr>
                                <w:sz w:val="20"/>
                                <w:szCs w:val="20"/>
                              </w:rPr>
                              <w:t>Force de l’association</w:t>
                            </w:r>
                          </w:p>
                          <w:p w:rsidR="008276DC" w:rsidRPr="000715A5" w:rsidRDefault="008276DC" w:rsidP="007B4E79">
                            <w:pPr>
                              <w:pStyle w:val="Sansinterligne"/>
                              <w:numPr>
                                <w:ilvl w:val="0"/>
                                <w:numId w:val="1346"/>
                              </w:numPr>
                              <w:rPr>
                                <w:sz w:val="20"/>
                                <w:szCs w:val="20"/>
                              </w:rPr>
                            </w:pPr>
                            <w:r w:rsidRPr="000715A5">
                              <w:rPr>
                                <w:sz w:val="20"/>
                                <w:szCs w:val="20"/>
                              </w:rPr>
                              <w:t>Effet spécifique (une cause, un/des effet(s))</w:t>
                            </w:r>
                          </w:p>
                          <w:p w:rsidR="008276DC" w:rsidRPr="000715A5" w:rsidRDefault="008276DC" w:rsidP="007B4E79">
                            <w:pPr>
                              <w:pStyle w:val="Sansinterligne"/>
                              <w:numPr>
                                <w:ilvl w:val="0"/>
                                <w:numId w:val="1346"/>
                              </w:numPr>
                              <w:rPr>
                                <w:sz w:val="20"/>
                                <w:szCs w:val="20"/>
                              </w:rPr>
                            </w:pPr>
                            <w:r w:rsidRPr="000715A5">
                              <w:rPr>
                                <w:sz w:val="20"/>
                                <w:szCs w:val="20"/>
                              </w:rPr>
                              <w:t xml:space="preserve">Plausible sur le plan biologique </w:t>
                            </w:r>
                          </w:p>
                          <w:p w:rsidR="008276DC" w:rsidRPr="000715A5" w:rsidRDefault="008276DC" w:rsidP="007B4E79">
                            <w:pPr>
                              <w:pStyle w:val="Sansinterligne"/>
                              <w:numPr>
                                <w:ilvl w:val="0"/>
                                <w:numId w:val="1346"/>
                              </w:numPr>
                              <w:rPr>
                                <w:sz w:val="20"/>
                                <w:szCs w:val="20"/>
                              </w:rPr>
                            </w:pPr>
                            <w:r w:rsidRPr="000715A5">
                              <w:rPr>
                                <w:sz w:val="20"/>
                                <w:szCs w:val="20"/>
                              </w:rPr>
                              <w:t>Cohérence avec les connaissances actuelles</w:t>
                            </w:r>
                          </w:p>
                          <w:p w:rsidR="008276DC" w:rsidRPr="000715A5" w:rsidRDefault="008276DC" w:rsidP="007B4E79">
                            <w:pPr>
                              <w:pStyle w:val="Sansinterligne"/>
                              <w:numPr>
                                <w:ilvl w:val="0"/>
                                <w:numId w:val="1346"/>
                              </w:numPr>
                              <w:rPr>
                                <w:sz w:val="20"/>
                                <w:szCs w:val="20"/>
                              </w:rPr>
                            </w:pPr>
                            <w:r w:rsidRPr="000715A5">
                              <w:rPr>
                                <w:sz w:val="20"/>
                                <w:szCs w:val="20"/>
                              </w:rPr>
                              <w:t>Analogie possible                                                       (ex : avec certains phénomènes animaux)</w:t>
                            </w:r>
                          </w:p>
                          <w:p w:rsidR="008276DC" w:rsidRPr="000715A5" w:rsidRDefault="008276DC" w:rsidP="007B4E79">
                            <w:pPr>
                              <w:pStyle w:val="Sansinterligne"/>
                              <w:numPr>
                                <w:ilvl w:val="0"/>
                                <w:numId w:val="1346"/>
                              </w:numPr>
                              <w:rPr>
                                <w:sz w:val="20"/>
                                <w:szCs w:val="20"/>
                              </w:rPr>
                            </w:pPr>
                            <w:r w:rsidRPr="000715A5">
                              <w:rPr>
                                <w:sz w:val="20"/>
                                <w:szCs w:val="20"/>
                              </w:rPr>
                              <w:t>Preuve expérimentale (étude, expérience)</w:t>
                            </w:r>
                          </w:p>
                          <w:p w:rsidR="008276DC" w:rsidRPr="000715A5" w:rsidRDefault="008276DC" w:rsidP="007B4E79">
                            <w:pPr>
                              <w:pStyle w:val="Sansinterligne"/>
                              <w:numPr>
                                <w:ilvl w:val="0"/>
                                <w:numId w:val="1346"/>
                              </w:numPr>
                              <w:rPr>
                                <w:sz w:val="20"/>
                                <w:szCs w:val="20"/>
                              </w:rPr>
                            </w:pPr>
                            <w:r w:rsidRPr="000715A5">
                              <w:rPr>
                                <w:sz w:val="20"/>
                                <w:szCs w:val="20"/>
                              </w:rPr>
                              <w:t>Relation temporelle (cause survient avant l’effet)</w:t>
                            </w:r>
                          </w:p>
                          <w:p w:rsidR="008276DC" w:rsidRPr="000715A5" w:rsidRDefault="008276DC" w:rsidP="007B4E79">
                            <w:pPr>
                              <w:pStyle w:val="Sansinterligne"/>
                              <w:numPr>
                                <w:ilvl w:val="0"/>
                                <w:numId w:val="1346"/>
                              </w:numPr>
                              <w:rPr>
                                <w:sz w:val="20"/>
                                <w:szCs w:val="20"/>
                              </w:rPr>
                            </w:pPr>
                            <w:r w:rsidRPr="000715A5">
                              <w:rPr>
                                <w:sz w:val="20"/>
                                <w:szCs w:val="20"/>
                              </w:rPr>
                              <w:t>Relation dose-réponse (effet proportionnel)</w:t>
                            </w:r>
                          </w:p>
                          <w:p w:rsidR="008276DC" w:rsidRPr="000715A5" w:rsidRDefault="008276DC" w:rsidP="007B4E79">
                            <w:pPr>
                              <w:pStyle w:val="Sansinterligne"/>
                              <w:numPr>
                                <w:ilvl w:val="0"/>
                                <w:numId w:val="1346"/>
                              </w:numPr>
                              <w:rPr>
                                <w:sz w:val="20"/>
                                <w:szCs w:val="20"/>
                              </w:rPr>
                            </w:pPr>
                            <w:r w:rsidRPr="000715A5">
                              <w:rPr>
                                <w:sz w:val="20"/>
                                <w:szCs w:val="20"/>
                              </w:rPr>
                              <w:t>Consistance et validité (qualité de l’étude)</w:t>
                            </w:r>
                          </w:p>
                          <w:p w:rsidR="008276DC" w:rsidRDefault="008276DC"/>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98" type="#_x0000_t202" style="position:absolute;margin-left:301.8pt;margin-top:10.05pt;width:256.55pt;height:157pt;z-index:252137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" fillcolor="#c4bc96 [2414]">
                <v:textbox>
                  <w:txbxContent>
                    <w:p w:rsidR="008276DC" w:rsidRDefault="008276DC" w:rsidP="007B4E79">
                      <w:pPr>
                        <w:pStyle w:val="Sansinterligne"/>
                        <w:rPr>
                          <w:b/>
                        </w:rPr>
                      </w:pPr>
                      <w:r w:rsidRPr="00E716C3">
                        <w:rPr>
                          <w:b/>
                        </w:rPr>
                        <w:t>Critères de causalité (Bradford-Hill)</w:t>
                      </w:r>
                    </w:p>
                    <w:p w:rsidR="008276DC" w:rsidRPr="000715A5" w:rsidRDefault="008276DC" w:rsidP="007B4E79">
                      <w:pPr>
                        <w:pStyle w:val="Sansinterligne"/>
                        <w:numPr>
                          <w:ilvl w:val="0"/>
                          <w:numId w:val="1347"/>
                        </w:numPr>
                        <w:rPr>
                          <w:sz w:val="16"/>
                          <w:szCs w:val="16"/>
                        </w:rPr>
                      </w:pPr>
                      <w:r w:rsidRPr="000715A5">
                        <w:rPr>
                          <w:sz w:val="16"/>
                          <w:szCs w:val="16"/>
                        </w:rPr>
                        <w:t xml:space="preserve">Corrélation ou association </w:t>
                      </w:r>
                      <w:r w:rsidRPr="000715A5">
                        <w:rPr>
                          <w:rFonts w:ascii="Century Gothic" w:hAnsi="Century Gothic"/>
                          <w:sz w:val="16"/>
                          <w:szCs w:val="16"/>
                        </w:rPr>
                        <w:t>≠</w:t>
                      </w:r>
                      <w:r w:rsidRPr="000715A5">
                        <w:rPr>
                          <w:sz w:val="16"/>
                          <w:szCs w:val="16"/>
                        </w:rPr>
                        <w:t xml:space="preserve"> forcément causalité</w:t>
                      </w:r>
                    </w:p>
                    <w:p w:rsidR="008276DC" w:rsidRDefault="008276DC" w:rsidP="007B4E79">
                      <w:pPr>
                        <w:pStyle w:val="Sansinterligne"/>
                        <w:rPr>
                          <w:b/>
                        </w:rPr>
                      </w:pPr>
                    </w:p>
                    <w:p w:rsidR="008276DC" w:rsidRPr="000715A5" w:rsidRDefault="008276DC" w:rsidP="007B4E79">
                      <w:pPr>
                        <w:pStyle w:val="Sansinterligne"/>
                        <w:numPr>
                          <w:ilvl w:val="0"/>
                          <w:numId w:val="1346"/>
                        </w:numPr>
                        <w:rPr>
                          <w:sz w:val="20"/>
                          <w:szCs w:val="20"/>
                        </w:rPr>
                      </w:pPr>
                      <w:r w:rsidRPr="000715A5">
                        <w:rPr>
                          <w:sz w:val="20"/>
                          <w:szCs w:val="20"/>
                        </w:rPr>
                        <w:t>Force de l’association</w:t>
                      </w:r>
                    </w:p>
                    <w:p w:rsidR="008276DC" w:rsidRPr="000715A5" w:rsidRDefault="008276DC" w:rsidP="007B4E79">
                      <w:pPr>
                        <w:pStyle w:val="Sansinterligne"/>
                        <w:numPr>
                          <w:ilvl w:val="0"/>
                          <w:numId w:val="1346"/>
                        </w:numPr>
                        <w:rPr>
                          <w:sz w:val="20"/>
                          <w:szCs w:val="20"/>
                        </w:rPr>
                      </w:pPr>
                      <w:r w:rsidRPr="000715A5">
                        <w:rPr>
                          <w:sz w:val="20"/>
                          <w:szCs w:val="20"/>
                        </w:rPr>
                        <w:t>Effet spécifique (une cause, un/des effet(s))</w:t>
                      </w:r>
                    </w:p>
                    <w:p w:rsidR="008276DC" w:rsidRPr="000715A5" w:rsidRDefault="008276DC" w:rsidP="007B4E79">
                      <w:pPr>
                        <w:pStyle w:val="Sansinterligne"/>
                        <w:numPr>
                          <w:ilvl w:val="0"/>
                          <w:numId w:val="1346"/>
                        </w:numPr>
                        <w:rPr>
                          <w:sz w:val="20"/>
                          <w:szCs w:val="20"/>
                        </w:rPr>
                      </w:pPr>
                      <w:r w:rsidRPr="000715A5">
                        <w:rPr>
                          <w:sz w:val="20"/>
                          <w:szCs w:val="20"/>
                        </w:rPr>
                        <w:t xml:space="preserve">Plausible sur le plan biologique </w:t>
                      </w:r>
                    </w:p>
                    <w:p w:rsidR="008276DC" w:rsidRPr="000715A5" w:rsidRDefault="008276DC" w:rsidP="007B4E79">
                      <w:pPr>
                        <w:pStyle w:val="Sansinterligne"/>
                        <w:numPr>
                          <w:ilvl w:val="0"/>
                          <w:numId w:val="1346"/>
                        </w:numPr>
                        <w:rPr>
                          <w:sz w:val="20"/>
                          <w:szCs w:val="20"/>
                        </w:rPr>
                      </w:pPr>
                      <w:r w:rsidRPr="000715A5">
                        <w:rPr>
                          <w:sz w:val="20"/>
                          <w:szCs w:val="20"/>
                        </w:rPr>
                        <w:t>Cohérence avec les connaissances actuelles</w:t>
                      </w:r>
                    </w:p>
                    <w:p w:rsidR="008276DC" w:rsidRPr="000715A5" w:rsidRDefault="008276DC" w:rsidP="007B4E79">
                      <w:pPr>
                        <w:pStyle w:val="Sansinterligne"/>
                        <w:numPr>
                          <w:ilvl w:val="0"/>
                          <w:numId w:val="1346"/>
                        </w:numPr>
                        <w:rPr>
                          <w:sz w:val="20"/>
                          <w:szCs w:val="20"/>
                        </w:rPr>
                      </w:pPr>
                      <w:r w:rsidRPr="000715A5">
                        <w:rPr>
                          <w:sz w:val="20"/>
                          <w:szCs w:val="20"/>
                        </w:rPr>
                        <w:t>Analogie possible                                                       (ex : avec certains phénomènes animaux)</w:t>
                      </w:r>
                    </w:p>
                    <w:p w:rsidR="008276DC" w:rsidRPr="000715A5" w:rsidRDefault="008276DC" w:rsidP="007B4E79">
                      <w:pPr>
                        <w:pStyle w:val="Sansinterligne"/>
                        <w:numPr>
                          <w:ilvl w:val="0"/>
                          <w:numId w:val="1346"/>
                        </w:numPr>
                        <w:rPr>
                          <w:sz w:val="20"/>
                          <w:szCs w:val="20"/>
                        </w:rPr>
                      </w:pPr>
                      <w:r w:rsidRPr="000715A5">
                        <w:rPr>
                          <w:sz w:val="20"/>
                          <w:szCs w:val="20"/>
                        </w:rPr>
                        <w:t>Preuve expérimentale (étude, expérience)</w:t>
                      </w:r>
                    </w:p>
                    <w:p w:rsidR="008276DC" w:rsidRPr="000715A5" w:rsidRDefault="008276DC" w:rsidP="007B4E79">
                      <w:pPr>
                        <w:pStyle w:val="Sansinterligne"/>
                        <w:numPr>
                          <w:ilvl w:val="0"/>
                          <w:numId w:val="1346"/>
                        </w:numPr>
                        <w:rPr>
                          <w:sz w:val="20"/>
                          <w:szCs w:val="20"/>
                        </w:rPr>
                      </w:pPr>
                      <w:r w:rsidRPr="000715A5">
                        <w:rPr>
                          <w:sz w:val="20"/>
                          <w:szCs w:val="20"/>
                        </w:rPr>
                        <w:t>Relation temporelle (cause survient avant l’effet)</w:t>
                      </w:r>
                    </w:p>
                    <w:p w:rsidR="008276DC" w:rsidRPr="000715A5" w:rsidRDefault="008276DC" w:rsidP="007B4E79">
                      <w:pPr>
                        <w:pStyle w:val="Sansinterligne"/>
                        <w:numPr>
                          <w:ilvl w:val="0"/>
                          <w:numId w:val="1346"/>
                        </w:numPr>
                        <w:rPr>
                          <w:sz w:val="20"/>
                          <w:szCs w:val="20"/>
                        </w:rPr>
                      </w:pPr>
                      <w:r w:rsidRPr="000715A5">
                        <w:rPr>
                          <w:sz w:val="20"/>
                          <w:szCs w:val="20"/>
                        </w:rPr>
                        <w:t>Relation dose-réponse (effet proportionnel)</w:t>
                      </w:r>
                    </w:p>
                    <w:p w:rsidR="008276DC" w:rsidRPr="000715A5" w:rsidRDefault="008276DC" w:rsidP="007B4E79">
                      <w:pPr>
                        <w:pStyle w:val="Sansinterligne"/>
                        <w:numPr>
                          <w:ilvl w:val="0"/>
                          <w:numId w:val="1346"/>
                        </w:numPr>
                        <w:rPr>
                          <w:sz w:val="20"/>
                          <w:szCs w:val="20"/>
                        </w:rPr>
                      </w:pPr>
                      <w:r w:rsidRPr="000715A5">
                        <w:rPr>
                          <w:sz w:val="20"/>
                          <w:szCs w:val="20"/>
                        </w:rPr>
                        <w:t>Consistance et validité (qualité de l’étude)</w:t>
                      </w:r>
                    </w:p>
                    <w:p w:rsidR="008276DC" w:rsidRDefault="008276DC"/>
                  </w:txbxContent>
                </v:textbox>
              </v:shape>
            </w:pict>
          </mc:Fallback>
        </mc:AlternateContent>
      </w:r>
      <w:r w:rsidR="009E30BA" w:rsidRPr="009E30BA">
        <w:rPr>
          <w:u w:val="single"/>
        </w:rPr>
        <w:t>Externe </w:t>
      </w:r>
      <w:r w:rsidR="009E30BA">
        <w:t>: à quel point il est possible de généraliser à une population</w:t>
      </w:r>
    </w:p>
    <w:p w:rsidR="009E30BA" w:rsidRPr="009E30BA" w:rsidRDefault="009E30BA" w:rsidP="00AF379E">
      <w:pPr>
        <w:pStyle w:val="Sansinterligne"/>
      </w:pPr>
    </w:p>
    <w:p w:rsidR="00BA3CAB" w:rsidRPr="009E30BA" w:rsidRDefault="00BA3CAB" w:rsidP="00AF379E">
      <w:pPr>
        <w:pStyle w:val="Sansinterligne"/>
        <w:rPr>
          <w:b/>
        </w:rPr>
      </w:pPr>
      <w:r w:rsidRPr="009E30BA">
        <w:rPr>
          <w:b/>
        </w:rPr>
        <w:t>Sensibilité</w:t>
      </w:r>
      <w:r w:rsidR="009E30BA">
        <w:rPr>
          <w:b/>
        </w:rPr>
        <w:t xml:space="preserve"> d’un examen</w:t>
      </w:r>
    </w:p>
    <w:p w:rsidR="00BA3CAB" w:rsidRDefault="00BA3CAB" w:rsidP="00AF379E">
      <w:pPr>
        <w:pStyle w:val="Sansinterligne"/>
      </w:pPr>
      <w:r w:rsidRPr="009E30BA">
        <w:rPr>
          <w:highlight w:val="yellow"/>
        </w:rPr>
        <w:t>Proportion des personnes maladies qui auront un test positif</w:t>
      </w:r>
    </w:p>
    <w:p w:rsidR="009E30BA" w:rsidRPr="000715A5" w:rsidRDefault="009E30BA" w:rsidP="00AF379E">
      <w:pPr>
        <w:pStyle w:val="Sansinterligne"/>
        <w:rPr>
          <w:sz w:val="16"/>
          <w:szCs w:val="16"/>
        </w:rPr>
      </w:pPr>
    </w:p>
    <w:p w:rsidR="00BA3CAB" w:rsidRPr="009E30BA" w:rsidRDefault="00BA3CAB" w:rsidP="00AF379E">
      <w:pPr>
        <w:pStyle w:val="Sansinterligne"/>
        <w:rPr>
          <w:b/>
        </w:rPr>
      </w:pPr>
      <w:r w:rsidRPr="009E30BA">
        <w:rPr>
          <w:b/>
        </w:rPr>
        <w:t>Spécificité</w:t>
      </w:r>
      <w:r w:rsidR="009E30BA">
        <w:rPr>
          <w:b/>
        </w:rPr>
        <w:t xml:space="preserve"> d’un examen</w:t>
      </w:r>
    </w:p>
    <w:p w:rsidR="00BA3CAB" w:rsidRDefault="00BA3CAB" w:rsidP="00AF379E">
      <w:pPr>
        <w:pStyle w:val="Sansinterligne"/>
      </w:pPr>
      <w:r w:rsidRPr="009E30BA">
        <w:rPr>
          <w:highlight w:val="yellow"/>
        </w:rPr>
        <w:t>Pro</w:t>
      </w:r>
      <w:r w:rsidR="009E30BA" w:rsidRPr="009E30BA">
        <w:rPr>
          <w:highlight w:val="yellow"/>
        </w:rPr>
        <w:t>portion des personnes non-malad</w:t>
      </w:r>
      <w:r w:rsidRPr="009E30BA">
        <w:rPr>
          <w:highlight w:val="yellow"/>
        </w:rPr>
        <w:t>es qui auront un test négatif</w:t>
      </w:r>
      <w:r w:rsidR="009E30BA" w:rsidRPr="009E30BA">
        <w:t xml:space="preserve"> </w:t>
      </w:r>
    </w:p>
    <w:p w:rsidR="00BA3CAB" w:rsidRPr="000715A5" w:rsidRDefault="00BA3CAB" w:rsidP="00AF379E">
      <w:pPr>
        <w:pStyle w:val="Sansinterligne"/>
        <w:rPr>
          <w:sz w:val="16"/>
          <w:szCs w:val="16"/>
        </w:rPr>
      </w:pPr>
    </w:p>
    <w:p w:rsidR="009E30BA" w:rsidRPr="009E30BA" w:rsidRDefault="009E30BA" w:rsidP="00AF379E">
      <w:pPr>
        <w:pStyle w:val="Sansinterligne"/>
        <w:rPr>
          <w:b/>
        </w:rPr>
      </w:pPr>
      <w:r w:rsidRPr="009E30BA">
        <w:rPr>
          <w:b/>
        </w:rPr>
        <w:t>Valeur prédictive positive </w:t>
      </w:r>
    </w:p>
    <w:p w:rsidR="009E30BA" w:rsidRDefault="009E30BA" w:rsidP="00AF379E">
      <w:pPr>
        <w:pStyle w:val="Sansinterligne"/>
      </w:pPr>
      <w:r>
        <w:t>Probabilité de réellement être atteint lorsque le test est positif.</w:t>
      </w:r>
    </w:p>
    <w:p w:rsidR="009E30BA" w:rsidRPr="000715A5" w:rsidRDefault="009E30BA" w:rsidP="00AF379E">
      <w:pPr>
        <w:pStyle w:val="Sansinterligne"/>
        <w:rPr>
          <w:sz w:val="16"/>
          <w:szCs w:val="16"/>
        </w:rPr>
      </w:pPr>
    </w:p>
    <w:p w:rsidR="009E30BA" w:rsidRPr="009E30BA" w:rsidRDefault="009E30BA" w:rsidP="00AF379E">
      <w:pPr>
        <w:pStyle w:val="Sansinterligne"/>
        <w:rPr>
          <w:b/>
        </w:rPr>
      </w:pPr>
      <w:r w:rsidRPr="009E30BA">
        <w:rPr>
          <w:b/>
        </w:rPr>
        <w:t>Valeur prédictive négative</w:t>
      </w:r>
    </w:p>
    <w:p w:rsidR="009E30BA" w:rsidRDefault="009E30BA" w:rsidP="00AF379E">
      <w:pPr>
        <w:pStyle w:val="Sansinterligne"/>
      </w:pPr>
      <w:r>
        <w:t>Probabilité de ne pas avoir la maladie si le test est négatif</w:t>
      </w:r>
    </w:p>
    <w:p w:rsidR="006803D8" w:rsidRDefault="006803D8" w:rsidP="00AF379E">
      <w:pPr>
        <w:pStyle w:val="Sansinterligne"/>
      </w:pPr>
    </w:p>
    <w:p w:rsidR="00E716C3" w:rsidRPr="000715A5" w:rsidRDefault="00E716C3" w:rsidP="00AF379E">
      <w:pPr>
        <w:pStyle w:val="Sansinterligne"/>
        <w:rPr>
          <w:b/>
          <w:sz w:val="16"/>
          <w:szCs w:val="16"/>
        </w:rPr>
      </w:pPr>
    </w:p>
    <w:p w:rsidR="00262004" w:rsidRPr="00922B70" w:rsidRDefault="006803D8" w:rsidP="00AF379E">
      <w:pPr>
        <w:pStyle w:val="Sansinterligne"/>
      </w:pPr>
      <w:r w:rsidRPr="00E716C3">
        <w:rPr>
          <w:b/>
        </w:rPr>
        <w:t>Biais</w:t>
      </w:r>
      <w:r w:rsidR="008E27C5">
        <w:rPr>
          <w:b/>
        </w:rPr>
        <w:t xml:space="preserve"> = erreur systématique </w:t>
      </w:r>
      <w:r w:rsidR="008E27C5" w:rsidRPr="008E27C5">
        <w:t>(et pas aléatoire</w:t>
      </w:r>
      <w:r w:rsidR="008E27C5">
        <w:t xml:space="preserve"> comme</w:t>
      </w:r>
      <w:r w:rsidR="008E27C5" w:rsidRPr="008E27C5">
        <w:t xml:space="preserve"> </w:t>
      </w:r>
      <w:r w:rsidR="00EA58A1">
        <w:t xml:space="preserve">un </w:t>
      </w:r>
      <w:r w:rsidR="008E27C5" w:rsidRPr="008E27C5">
        <w:t>instrument de mesure imprécis)</w:t>
      </w:r>
    </w:p>
    <w:tbl>
      <w:tblPr>
        <w:tblStyle w:val="Grilledutableau"/>
        <w:tblW w:w="0" w:type="auto"/>
        <w:tblLayout w:type="fixed"/>
        <w:tblLook w:val="04A0" w:firstRow="1" w:lastRow="0" w:firstColumn="1" w:lastColumn="0" w:noHBand="0" w:noVBand="1"/>
      </w:tblPr>
      <w:tblGrid>
        <w:gridCol w:w="675"/>
        <w:gridCol w:w="2268"/>
        <w:gridCol w:w="4972"/>
        <w:gridCol w:w="3101"/>
      </w:tblGrid>
      <w:tr w:rsidR="008E27C5" w:rsidTr="00922B70">
        <w:tc>
          <w:tcPr>
            <w:tcW w:w="675" w:type="dxa"/>
            <w:shd w:val="clear" w:color="auto" w:fill="D6E3BC" w:themeFill="accent3" w:themeFillTint="66"/>
          </w:tcPr>
          <w:p w:rsidR="008E27C5" w:rsidRDefault="008E27C5" w:rsidP="00AF379E">
            <w:pPr>
              <w:pStyle w:val="Sansinterligne"/>
            </w:pPr>
          </w:p>
        </w:tc>
        <w:tc>
          <w:tcPr>
            <w:tcW w:w="2268" w:type="dxa"/>
            <w:shd w:val="clear" w:color="auto" w:fill="C4BC96" w:themeFill="background2" w:themeFillShade="BF"/>
          </w:tcPr>
          <w:p w:rsidR="008E27C5" w:rsidRDefault="008E27C5" w:rsidP="0026592E">
            <w:pPr>
              <w:pStyle w:val="Sansinterligne"/>
              <w:jc w:val="center"/>
            </w:pPr>
            <w:r>
              <w:t>Biais</w:t>
            </w:r>
          </w:p>
        </w:tc>
        <w:tc>
          <w:tcPr>
            <w:tcW w:w="4972" w:type="dxa"/>
            <w:shd w:val="clear" w:color="auto" w:fill="C4BC96" w:themeFill="background2" w:themeFillShade="BF"/>
          </w:tcPr>
          <w:p w:rsidR="008E27C5" w:rsidRDefault="008E27C5" w:rsidP="0026592E">
            <w:pPr>
              <w:pStyle w:val="Sansinterligne"/>
              <w:jc w:val="center"/>
            </w:pPr>
            <w:r>
              <w:t>Explication</w:t>
            </w:r>
          </w:p>
        </w:tc>
        <w:tc>
          <w:tcPr>
            <w:tcW w:w="3101" w:type="dxa"/>
            <w:shd w:val="clear" w:color="auto" w:fill="C4BC96" w:themeFill="background2" w:themeFillShade="BF"/>
          </w:tcPr>
          <w:p w:rsidR="008E27C5" w:rsidRDefault="008E27C5" w:rsidP="0026592E">
            <w:pPr>
              <w:pStyle w:val="Sansinterligne"/>
              <w:jc w:val="center"/>
            </w:pPr>
            <w:r>
              <w:t>Correctifs</w:t>
            </w:r>
          </w:p>
        </w:tc>
      </w:tr>
      <w:tr w:rsidR="008E27C5" w:rsidTr="00922B70">
        <w:tc>
          <w:tcPr>
            <w:tcW w:w="675" w:type="dxa"/>
            <w:vMerge w:val="restart"/>
            <w:shd w:val="clear" w:color="auto" w:fill="D6E3BC" w:themeFill="accent3" w:themeFillTint="66"/>
            <w:textDirection w:val="btLr"/>
            <w:vAlign w:val="center"/>
          </w:tcPr>
          <w:p w:rsidR="008E27C5" w:rsidRDefault="008E27C5" w:rsidP="008E27C5">
            <w:pPr>
              <w:pStyle w:val="Sansinterligne"/>
              <w:ind w:left="113" w:right="113"/>
              <w:jc w:val="center"/>
            </w:pPr>
            <w:r>
              <w:t>Biais de sélection</w:t>
            </w:r>
          </w:p>
        </w:tc>
        <w:tc>
          <w:tcPr>
            <w:tcW w:w="2268" w:type="dxa"/>
            <w:shd w:val="clear" w:color="auto" w:fill="C4BC96" w:themeFill="background2" w:themeFillShade="BF"/>
          </w:tcPr>
          <w:p w:rsidR="008E27C5" w:rsidRDefault="008E27C5" w:rsidP="00AF379E">
            <w:pPr>
              <w:pStyle w:val="Sansinterligne"/>
            </w:pPr>
            <w:r>
              <w:t>Biais d’admission (Berkson)</w:t>
            </w:r>
          </w:p>
        </w:tc>
        <w:tc>
          <w:tcPr>
            <w:tcW w:w="4972" w:type="dxa"/>
            <w:shd w:val="clear" w:color="auto" w:fill="FFFF00"/>
          </w:tcPr>
          <w:p w:rsidR="008E27C5" w:rsidRDefault="008E27C5" w:rsidP="00AF379E">
            <w:pPr>
              <w:pStyle w:val="Sansinterligne"/>
            </w:pPr>
            <w:r>
              <w:t>Témoins pris parmi les hospitalisés (plus malades)</w:t>
            </w:r>
          </w:p>
        </w:tc>
        <w:tc>
          <w:tcPr>
            <w:tcW w:w="3101" w:type="dxa"/>
            <w:vMerge w:val="restart"/>
          </w:tcPr>
          <w:p w:rsidR="00262004" w:rsidRDefault="00262004" w:rsidP="00922B70">
            <w:pPr>
              <w:pStyle w:val="Sansinterligne"/>
              <w:numPr>
                <w:ilvl w:val="0"/>
                <w:numId w:val="1349"/>
              </w:numPr>
            </w:pPr>
            <w:r>
              <w:t xml:space="preserve">Mieux préciser la population visée </w:t>
            </w:r>
          </w:p>
          <w:p w:rsidR="008E27C5" w:rsidRDefault="008E27C5" w:rsidP="00922B70">
            <w:pPr>
              <w:pStyle w:val="Sansinterligne"/>
              <w:numPr>
                <w:ilvl w:val="0"/>
                <w:numId w:val="1349"/>
              </w:numPr>
            </w:pPr>
            <w:r>
              <w:t>Mieux définir les critères</w:t>
            </w:r>
          </w:p>
          <w:p w:rsidR="008E27C5" w:rsidRDefault="008E27C5" w:rsidP="00922B70">
            <w:pPr>
              <w:pStyle w:val="Sansinterligne"/>
              <w:numPr>
                <w:ilvl w:val="0"/>
                <w:numId w:val="1349"/>
              </w:numPr>
            </w:pPr>
            <w:r>
              <w:t>Relancer les perdus de vus</w:t>
            </w:r>
          </w:p>
          <w:p w:rsidR="008E27C5" w:rsidRDefault="008E27C5" w:rsidP="00922B70">
            <w:pPr>
              <w:pStyle w:val="Sansinterligne"/>
              <w:numPr>
                <w:ilvl w:val="0"/>
                <w:numId w:val="1349"/>
              </w:numPr>
            </w:pPr>
            <w:r>
              <w:t>Recrutement par tirage au sort</w:t>
            </w:r>
          </w:p>
          <w:p w:rsidR="00262004" w:rsidRDefault="008E27C5" w:rsidP="00922B70">
            <w:pPr>
              <w:pStyle w:val="Sansinterligne"/>
              <w:numPr>
                <w:ilvl w:val="0"/>
                <w:numId w:val="1349"/>
              </w:numPr>
            </w:pPr>
            <w:r>
              <w:t>Randomisation</w:t>
            </w:r>
          </w:p>
        </w:tc>
      </w:tr>
      <w:tr w:rsidR="008E27C5" w:rsidTr="00922B70">
        <w:tc>
          <w:tcPr>
            <w:tcW w:w="675" w:type="dxa"/>
            <w:vMerge/>
            <w:shd w:val="clear" w:color="auto" w:fill="D6E3BC" w:themeFill="accent3" w:themeFillTint="66"/>
          </w:tcPr>
          <w:p w:rsidR="008E27C5" w:rsidRDefault="008E27C5" w:rsidP="00AF379E">
            <w:pPr>
              <w:pStyle w:val="Sansinterligne"/>
            </w:pPr>
          </w:p>
        </w:tc>
        <w:tc>
          <w:tcPr>
            <w:tcW w:w="2268" w:type="dxa"/>
            <w:shd w:val="clear" w:color="auto" w:fill="C4BC96" w:themeFill="background2" w:themeFillShade="BF"/>
          </w:tcPr>
          <w:p w:rsidR="008E27C5" w:rsidRDefault="008E27C5" w:rsidP="00AF379E">
            <w:pPr>
              <w:pStyle w:val="Sansinterligne"/>
            </w:pPr>
            <w:r>
              <w:t>Biais de volontariat</w:t>
            </w:r>
          </w:p>
        </w:tc>
        <w:tc>
          <w:tcPr>
            <w:tcW w:w="4972" w:type="dxa"/>
          </w:tcPr>
          <w:p w:rsidR="008E27C5" w:rsidRDefault="008E27C5" w:rsidP="00AF379E">
            <w:pPr>
              <w:pStyle w:val="Sansinterligne"/>
            </w:pPr>
            <w:r>
              <w:t>Volontaires différents des moins volontaires ou non-répondants</w:t>
            </w:r>
          </w:p>
        </w:tc>
        <w:tc>
          <w:tcPr>
            <w:tcW w:w="3101" w:type="dxa"/>
            <w:vMerge/>
          </w:tcPr>
          <w:p w:rsidR="008E27C5" w:rsidRDefault="008E27C5" w:rsidP="00922B70">
            <w:pPr>
              <w:pStyle w:val="Sansinterligne"/>
              <w:numPr>
                <w:ilvl w:val="0"/>
                <w:numId w:val="1349"/>
              </w:numPr>
            </w:pPr>
          </w:p>
        </w:tc>
      </w:tr>
      <w:tr w:rsidR="008E27C5" w:rsidTr="00922B70">
        <w:tc>
          <w:tcPr>
            <w:tcW w:w="675" w:type="dxa"/>
            <w:vMerge/>
            <w:shd w:val="clear" w:color="auto" w:fill="D6E3BC" w:themeFill="accent3" w:themeFillTint="66"/>
          </w:tcPr>
          <w:p w:rsidR="008E27C5" w:rsidRDefault="008E27C5" w:rsidP="00AF379E">
            <w:pPr>
              <w:pStyle w:val="Sansinterligne"/>
            </w:pPr>
          </w:p>
        </w:tc>
        <w:tc>
          <w:tcPr>
            <w:tcW w:w="2268" w:type="dxa"/>
            <w:shd w:val="clear" w:color="auto" w:fill="C4BC96" w:themeFill="background2" w:themeFillShade="BF"/>
          </w:tcPr>
          <w:p w:rsidR="008E27C5" w:rsidRDefault="008E27C5" w:rsidP="00AF379E">
            <w:pPr>
              <w:pStyle w:val="Sansinterligne"/>
            </w:pPr>
            <w:r>
              <w:t>Perdus de vue</w:t>
            </w:r>
          </w:p>
        </w:tc>
        <w:tc>
          <w:tcPr>
            <w:tcW w:w="4972" w:type="dxa"/>
          </w:tcPr>
          <w:p w:rsidR="008E27C5" w:rsidRDefault="00262004" w:rsidP="00AF379E">
            <w:pPr>
              <w:pStyle w:val="Sansinterligne"/>
            </w:pPr>
            <w:r>
              <w:t>Ne répondent plus</w:t>
            </w:r>
          </w:p>
        </w:tc>
        <w:tc>
          <w:tcPr>
            <w:tcW w:w="3101" w:type="dxa"/>
            <w:vMerge/>
          </w:tcPr>
          <w:p w:rsidR="008E27C5" w:rsidRDefault="008E27C5" w:rsidP="00922B70">
            <w:pPr>
              <w:pStyle w:val="Sansinterligne"/>
              <w:numPr>
                <w:ilvl w:val="0"/>
                <w:numId w:val="1349"/>
              </w:numPr>
            </w:pPr>
          </w:p>
        </w:tc>
      </w:tr>
      <w:tr w:rsidR="008E27C5" w:rsidTr="00922B70">
        <w:tc>
          <w:tcPr>
            <w:tcW w:w="675" w:type="dxa"/>
            <w:vMerge/>
            <w:shd w:val="clear" w:color="auto" w:fill="D6E3BC" w:themeFill="accent3" w:themeFillTint="66"/>
          </w:tcPr>
          <w:p w:rsidR="008E27C5" w:rsidRDefault="008E27C5" w:rsidP="00AF379E">
            <w:pPr>
              <w:pStyle w:val="Sansinterligne"/>
            </w:pPr>
          </w:p>
        </w:tc>
        <w:tc>
          <w:tcPr>
            <w:tcW w:w="2268" w:type="dxa"/>
            <w:shd w:val="clear" w:color="auto" w:fill="C4BC96" w:themeFill="background2" w:themeFillShade="BF"/>
          </w:tcPr>
          <w:p w:rsidR="008E27C5" w:rsidRDefault="008E27C5" w:rsidP="00AF379E">
            <w:pPr>
              <w:pStyle w:val="Sansinterligne"/>
            </w:pPr>
            <w:r>
              <w:t>Travailleurs de la santé</w:t>
            </w:r>
          </w:p>
        </w:tc>
        <w:tc>
          <w:tcPr>
            <w:tcW w:w="4972" w:type="dxa"/>
          </w:tcPr>
          <w:p w:rsidR="008E27C5" w:rsidRDefault="008E27C5" w:rsidP="00AF379E">
            <w:pPr>
              <w:pStyle w:val="Sansinterligne"/>
            </w:pPr>
            <w:r>
              <w:t>Meilleure santé que la population générale</w:t>
            </w:r>
          </w:p>
        </w:tc>
        <w:tc>
          <w:tcPr>
            <w:tcW w:w="3101" w:type="dxa"/>
            <w:vMerge/>
          </w:tcPr>
          <w:p w:rsidR="008E27C5" w:rsidRDefault="008E27C5" w:rsidP="00922B70">
            <w:pPr>
              <w:pStyle w:val="Sansinterligne"/>
              <w:numPr>
                <w:ilvl w:val="0"/>
                <w:numId w:val="1349"/>
              </w:numPr>
            </w:pPr>
          </w:p>
        </w:tc>
      </w:tr>
      <w:tr w:rsidR="00262004" w:rsidTr="00922B70">
        <w:tc>
          <w:tcPr>
            <w:tcW w:w="675" w:type="dxa"/>
            <w:vMerge w:val="restart"/>
            <w:shd w:val="clear" w:color="auto" w:fill="D6E3BC" w:themeFill="accent3" w:themeFillTint="66"/>
            <w:textDirection w:val="btLr"/>
            <w:vAlign w:val="center"/>
          </w:tcPr>
          <w:p w:rsidR="00262004" w:rsidRDefault="00EA58A1" w:rsidP="008E27C5">
            <w:pPr>
              <w:pStyle w:val="Sansinterligne"/>
              <w:ind w:left="113" w:right="113"/>
              <w:jc w:val="center"/>
            </w:pPr>
            <w:r>
              <w:t>Biais d’information</w:t>
            </w:r>
          </w:p>
        </w:tc>
        <w:tc>
          <w:tcPr>
            <w:tcW w:w="2268" w:type="dxa"/>
            <w:shd w:val="clear" w:color="auto" w:fill="C4BC96" w:themeFill="background2" w:themeFillShade="BF"/>
          </w:tcPr>
          <w:p w:rsidR="00262004" w:rsidRDefault="00262004" w:rsidP="00AF379E">
            <w:pPr>
              <w:pStyle w:val="Sansinterligne"/>
            </w:pPr>
            <w:r>
              <w:t>Rappel</w:t>
            </w:r>
          </w:p>
        </w:tc>
        <w:tc>
          <w:tcPr>
            <w:tcW w:w="4972" w:type="dxa"/>
            <w:shd w:val="clear" w:color="auto" w:fill="FFFF00"/>
          </w:tcPr>
          <w:p w:rsidR="00262004" w:rsidRDefault="00262004" w:rsidP="00262004">
            <w:pPr>
              <w:pStyle w:val="Sansinterligne"/>
            </w:pPr>
            <w:r>
              <w:t>Les cas (malades) se rappellent davan</w:t>
            </w:r>
            <w:r w:rsidR="004A0D2F">
              <w:t>tage</w:t>
            </w:r>
            <w:r>
              <w:t xml:space="preserve"> de le</w:t>
            </w:r>
            <w:r w:rsidR="00EA58A1">
              <w:t>ur exposition que les non-malad</w:t>
            </w:r>
            <w:r>
              <w:t>es (différentiel)</w:t>
            </w:r>
          </w:p>
        </w:tc>
        <w:tc>
          <w:tcPr>
            <w:tcW w:w="3101" w:type="dxa"/>
            <w:vMerge w:val="restart"/>
          </w:tcPr>
          <w:p w:rsidR="00262004" w:rsidRDefault="00262004" w:rsidP="00922B70">
            <w:pPr>
              <w:pStyle w:val="Sansinterligne"/>
              <w:numPr>
                <w:ilvl w:val="0"/>
                <w:numId w:val="1349"/>
              </w:numPr>
            </w:pPr>
            <w:r>
              <w:t>Calibrer les outils de mesure</w:t>
            </w:r>
          </w:p>
          <w:p w:rsidR="00262004" w:rsidRDefault="00262004" w:rsidP="00922B70">
            <w:pPr>
              <w:pStyle w:val="Sansinterligne"/>
              <w:numPr>
                <w:ilvl w:val="0"/>
                <w:numId w:val="1349"/>
              </w:numPr>
            </w:pPr>
            <w:r>
              <w:t>Standardiser les procédures</w:t>
            </w:r>
          </w:p>
          <w:p w:rsidR="00262004" w:rsidRDefault="00262004" w:rsidP="00922B70">
            <w:pPr>
              <w:pStyle w:val="Sansinterligne"/>
              <w:numPr>
                <w:ilvl w:val="0"/>
                <w:numId w:val="1349"/>
              </w:numPr>
            </w:pPr>
            <w:r>
              <w:t>Formation</w:t>
            </w:r>
          </w:p>
          <w:p w:rsidR="00262004" w:rsidRDefault="00262004" w:rsidP="00922B70">
            <w:pPr>
              <w:pStyle w:val="Sansinterligne"/>
              <w:numPr>
                <w:ilvl w:val="0"/>
                <w:numId w:val="1349"/>
              </w:numPr>
            </w:pPr>
            <w:r>
              <w:t>Évaluation à l’aveugle</w:t>
            </w:r>
          </w:p>
          <w:p w:rsidR="00262004" w:rsidRDefault="00262004" w:rsidP="00922B70">
            <w:pPr>
              <w:pStyle w:val="Sansinterligne"/>
              <w:numPr>
                <w:ilvl w:val="0"/>
                <w:numId w:val="1349"/>
              </w:numPr>
            </w:pPr>
            <w:r>
              <w:t>Ressources + importantes</w:t>
            </w:r>
          </w:p>
          <w:p w:rsidR="00262004" w:rsidRDefault="00262004" w:rsidP="00922B70">
            <w:pPr>
              <w:pStyle w:val="Sansinterligne"/>
              <w:numPr>
                <w:ilvl w:val="0"/>
                <w:numId w:val="1349"/>
              </w:numPr>
            </w:pPr>
            <w:r>
              <w:t>Observateur unique</w:t>
            </w:r>
          </w:p>
          <w:p w:rsidR="00262004" w:rsidRDefault="00262004" w:rsidP="00922B70">
            <w:pPr>
              <w:pStyle w:val="Sansinterligne"/>
              <w:numPr>
                <w:ilvl w:val="0"/>
                <w:numId w:val="1349"/>
              </w:numPr>
            </w:pPr>
            <w:r>
              <w:t>Réponses anonymes</w:t>
            </w:r>
          </w:p>
        </w:tc>
      </w:tr>
      <w:tr w:rsidR="00262004" w:rsidTr="00922B70">
        <w:tc>
          <w:tcPr>
            <w:tcW w:w="675" w:type="dxa"/>
            <w:vMerge/>
            <w:shd w:val="clear" w:color="auto" w:fill="D6E3BC" w:themeFill="accent3" w:themeFillTint="66"/>
          </w:tcPr>
          <w:p w:rsidR="00262004" w:rsidRDefault="00262004" w:rsidP="00AF379E">
            <w:pPr>
              <w:pStyle w:val="Sansinterligne"/>
            </w:pPr>
          </w:p>
        </w:tc>
        <w:tc>
          <w:tcPr>
            <w:tcW w:w="2268" w:type="dxa"/>
            <w:shd w:val="clear" w:color="auto" w:fill="C4BC96" w:themeFill="background2" w:themeFillShade="BF"/>
          </w:tcPr>
          <w:p w:rsidR="00262004" w:rsidRDefault="00262004" w:rsidP="0027793B">
            <w:pPr>
              <w:pStyle w:val="Sansinterligne"/>
            </w:pPr>
            <w:r>
              <w:t>Mémoire</w:t>
            </w:r>
          </w:p>
        </w:tc>
        <w:tc>
          <w:tcPr>
            <w:tcW w:w="4972" w:type="dxa"/>
            <w:shd w:val="clear" w:color="auto" w:fill="FFFF00"/>
          </w:tcPr>
          <w:p w:rsidR="00262004" w:rsidRDefault="00262004" w:rsidP="0027793B">
            <w:pPr>
              <w:pStyle w:val="Sansinterligne"/>
            </w:pPr>
            <w:r>
              <w:t>Oublis des participants (non-différentiel)</w:t>
            </w:r>
          </w:p>
        </w:tc>
        <w:tc>
          <w:tcPr>
            <w:tcW w:w="3101" w:type="dxa"/>
            <w:vMerge/>
          </w:tcPr>
          <w:p w:rsidR="00262004" w:rsidRDefault="00262004" w:rsidP="00922B70">
            <w:pPr>
              <w:pStyle w:val="Sansinterligne"/>
              <w:numPr>
                <w:ilvl w:val="0"/>
                <w:numId w:val="1349"/>
              </w:numPr>
            </w:pPr>
          </w:p>
        </w:tc>
      </w:tr>
      <w:tr w:rsidR="00262004" w:rsidTr="00922B70">
        <w:tc>
          <w:tcPr>
            <w:tcW w:w="675" w:type="dxa"/>
            <w:vMerge/>
            <w:shd w:val="clear" w:color="auto" w:fill="D6E3BC" w:themeFill="accent3" w:themeFillTint="66"/>
          </w:tcPr>
          <w:p w:rsidR="00262004" w:rsidRDefault="00262004" w:rsidP="00AF379E">
            <w:pPr>
              <w:pStyle w:val="Sansinterligne"/>
            </w:pPr>
          </w:p>
        </w:tc>
        <w:tc>
          <w:tcPr>
            <w:tcW w:w="2268" w:type="dxa"/>
            <w:shd w:val="clear" w:color="auto" w:fill="C4BC96" w:themeFill="background2" w:themeFillShade="BF"/>
          </w:tcPr>
          <w:p w:rsidR="00262004" w:rsidRDefault="00262004" w:rsidP="00262004">
            <w:pPr>
              <w:pStyle w:val="Sansinterligne"/>
            </w:pPr>
            <w:r>
              <w:t>Instrument de mesure</w:t>
            </w:r>
          </w:p>
        </w:tc>
        <w:tc>
          <w:tcPr>
            <w:tcW w:w="4972" w:type="dxa"/>
          </w:tcPr>
          <w:p w:rsidR="00262004" w:rsidRDefault="00262004" w:rsidP="00AF379E">
            <w:pPr>
              <w:pStyle w:val="Sansinterligne"/>
            </w:pPr>
            <w:r>
              <w:t>Mesures variables</w:t>
            </w:r>
          </w:p>
        </w:tc>
        <w:tc>
          <w:tcPr>
            <w:tcW w:w="3101" w:type="dxa"/>
            <w:vMerge/>
          </w:tcPr>
          <w:p w:rsidR="00262004" w:rsidRDefault="00262004" w:rsidP="00922B70">
            <w:pPr>
              <w:pStyle w:val="Sansinterligne"/>
              <w:numPr>
                <w:ilvl w:val="0"/>
                <w:numId w:val="1349"/>
              </w:numPr>
            </w:pPr>
          </w:p>
        </w:tc>
      </w:tr>
      <w:tr w:rsidR="00262004" w:rsidTr="00922B70">
        <w:tc>
          <w:tcPr>
            <w:tcW w:w="675" w:type="dxa"/>
            <w:vMerge/>
            <w:shd w:val="clear" w:color="auto" w:fill="D6E3BC" w:themeFill="accent3" w:themeFillTint="66"/>
          </w:tcPr>
          <w:p w:rsidR="00262004" w:rsidRDefault="00262004" w:rsidP="00AF379E">
            <w:pPr>
              <w:pStyle w:val="Sansinterligne"/>
            </w:pPr>
          </w:p>
        </w:tc>
        <w:tc>
          <w:tcPr>
            <w:tcW w:w="2268" w:type="dxa"/>
            <w:shd w:val="clear" w:color="auto" w:fill="C4BC96" w:themeFill="background2" w:themeFillShade="BF"/>
          </w:tcPr>
          <w:p w:rsidR="00262004" w:rsidRDefault="00262004" w:rsidP="00AF379E">
            <w:pPr>
              <w:pStyle w:val="Sansinterligne"/>
            </w:pPr>
            <w:r>
              <w:t>Désirabilité sociale</w:t>
            </w:r>
          </w:p>
        </w:tc>
        <w:tc>
          <w:tcPr>
            <w:tcW w:w="4972" w:type="dxa"/>
          </w:tcPr>
          <w:p w:rsidR="00262004" w:rsidRDefault="00262004" w:rsidP="00AF379E">
            <w:pPr>
              <w:pStyle w:val="Sansinterligne"/>
            </w:pPr>
            <w:r>
              <w:t>Le participant dit ce qu’il croit devoir dire.</w:t>
            </w:r>
          </w:p>
        </w:tc>
        <w:tc>
          <w:tcPr>
            <w:tcW w:w="3101" w:type="dxa"/>
            <w:vMerge/>
          </w:tcPr>
          <w:p w:rsidR="00262004" w:rsidRDefault="00262004" w:rsidP="00922B70">
            <w:pPr>
              <w:pStyle w:val="Sansinterligne"/>
              <w:numPr>
                <w:ilvl w:val="0"/>
                <w:numId w:val="1349"/>
              </w:numPr>
            </w:pPr>
          </w:p>
        </w:tc>
      </w:tr>
      <w:tr w:rsidR="00262004" w:rsidTr="00922B70">
        <w:tc>
          <w:tcPr>
            <w:tcW w:w="675" w:type="dxa"/>
            <w:vMerge/>
            <w:shd w:val="clear" w:color="auto" w:fill="D6E3BC" w:themeFill="accent3" w:themeFillTint="66"/>
          </w:tcPr>
          <w:p w:rsidR="00262004" w:rsidRDefault="00262004" w:rsidP="00AF379E">
            <w:pPr>
              <w:pStyle w:val="Sansinterligne"/>
            </w:pPr>
          </w:p>
        </w:tc>
        <w:tc>
          <w:tcPr>
            <w:tcW w:w="2268" w:type="dxa"/>
            <w:shd w:val="clear" w:color="auto" w:fill="C4BC96" w:themeFill="background2" w:themeFillShade="BF"/>
          </w:tcPr>
          <w:p w:rsidR="00262004" w:rsidRDefault="00262004" w:rsidP="00AF379E">
            <w:pPr>
              <w:pStyle w:val="Sansinterligne"/>
            </w:pPr>
            <w:r>
              <w:t>Inter/Intra-interviewer</w:t>
            </w:r>
          </w:p>
        </w:tc>
        <w:tc>
          <w:tcPr>
            <w:tcW w:w="4972" w:type="dxa"/>
          </w:tcPr>
          <w:p w:rsidR="00262004" w:rsidRDefault="00262004" w:rsidP="00AF379E">
            <w:pPr>
              <w:pStyle w:val="Sansinterligne"/>
            </w:pPr>
            <w:r>
              <w:t>Façon de faire différente entre les interviewer ou avec différentes personnes (même interviewer)</w:t>
            </w:r>
          </w:p>
        </w:tc>
        <w:tc>
          <w:tcPr>
            <w:tcW w:w="3101" w:type="dxa"/>
            <w:vMerge/>
          </w:tcPr>
          <w:p w:rsidR="00262004" w:rsidRDefault="00262004" w:rsidP="00922B70">
            <w:pPr>
              <w:pStyle w:val="Sansinterligne"/>
              <w:numPr>
                <w:ilvl w:val="0"/>
                <w:numId w:val="1349"/>
              </w:numPr>
            </w:pPr>
          </w:p>
        </w:tc>
      </w:tr>
      <w:tr w:rsidR="00262004" w:rsidTr="00922B70">
        <w:trPr>
          <w:cantSplit/>
          <w:trHeight w:val="1134"/>
        </w:trPr>
        <w:tc>
          <w:tcPr>
            <w:tcW w:w="675" w:type="dxa"/>
            <w:shd w:val="clear" w:color="auto" w:fill="D6E3BC" w:themeFill="accent3" w:themeFillTint="66"/>
            <w:textDirection w:val="btLr"/>
            <w:vAlign w:val="center"/>
          </w:tcPr>
          <w:p w:rsidR="00262004" w:rsidRDefault="00262004" w:rsidP="00262004">
            <w:pPr>
              <w:pStyle w:val="Sansinterligne"/>
              <w:ind w:left="113" w:right="113"/>
              <w:jc w:val="center"/>
            </w:pPr>
            <w:r>
              <w:t>Biais de confusion</w:t>
            </w:r>
          </w:p>
        </w:tc>
        <w:tc>
          <w:tcPr>
            <w:tcW w:w="2268" w:type="dxa"/>
            <w:shd w:val="clear" w:color="auto" w:fill="C4BC96" w:themeFill="background2" w:themeFillShade="BF"/>
          </w:tcPr>
          <w:p w:rsidR="00262004" w:rsidRDefault="00262004" w:rsidP="00AF379E">
            <w:pPr>
              <w:pStyle w:val="Sansinterligne"/>
            </w:pPr>
            <w:r>
              <w:t>Facteur de confusion</w:t>
            </w:r>
          </w:p>
        </w:tc>
        <w:tc>
          <w:tcPr>
            <w:tcW w:w="4972" w:type="dxa"/>
            <w:shd w:val="clear" w:color="auto" w:fill="FFFF00"/>
          </w:tcPr>
          <w:p w:rsidR="00262004" w:rsidRDefault="00262004" w:rsidP="00AF379E">
            <w:pPr>
              <w:pStyle w:val="Sansinterligne"/>
            </w:pPr>
            <w:r>
              <w:t>Facteur présent, lié à l’exposition et à la maladie</w:t>
            </w:r>
          </w:p>
          <w:p w:rsidR="00262004" w:rsidRDefault="00262004" w:rsidP="00AF379E">
            <w:pPr>
              <w:pStyle w:val="Sansinterligne"/>
            </w:pPr>
            <w:r>
              <w:t>Sans lien causal</w:t>
            </w:r>
          </w:p>
          <w:p w:rsidR="00262004" w:rsidRDefault="00262004" w:rsidP="00AF379E">
            <w:pPr>
              <w:pStyle w:val="Sansinterligne"/>
            </w:pPr>
            <w:r>
              <w:t>Fausse la mesure</w:t>
            </w:r>
          </w:p>
          <w:p w:rsidR="00262004" w:rsidRDefault="000715A5" w:rsidP="00AF379E">
            <w:pPr>
              <w:pStyle w:val="Sansinterligne"/>
            </w:pPr>
            <w:r>
              <w:rPr>
                <w:noProof/>
                <w:lang w:eastAsia="fr-CA"/>
              </w:rPr>
              <w:drawing>
                <wp:anchor distT="0" distB="0" distL="114300" distR="114300" simplePos="0" relativeHeight="252139520" behindDoc="1" locked="0" layoutInCell="1" allowOverlap="1" wp14:anchorId="1E28F94A" wp14:editId="24F04B59">
                  <wp:simplePos x="0" y="0"/>
                  <wp:positionH relativeFrom="column">
                    <wp:posOffset>1879154</wp:posOffset>
                  </wp:positionH>
                  <wp:positionV relativeFrom="paragraph">
                    <wp:posOffset>214927</wp:posOffset>
                  </wp:positionV>
                  <wp:extent cx="3343910" cy="2100580"/>
                  <wp:effectExtent l="0" t="0" r="8890" b="0"/>
                  <wp:wrapNone/>
                  <wp:docPr id="621" name="Image 621" descr="Résultats de recherche d'images pour « pyramid of evidenc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Résultats de recherche d'images pour « pyramid of evidence »"/>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3343910" cy="2100580"/>
                          </a:xfrm>
                          <a:prstGeom prst="rect">
                            <a:avLst/>
                          </a:prstGeom>
                          <a:noFill/>
                          <a:ln>
                            <a:noFill/>
                          </a:ln>
                        </pic:spPr>
                      </pic:pic>
                    </a:graphicData>
                  </a:graphic>
                  <wp14:sizeRelH relativeFrom="page">
                    <wp14:pctWidth>0</wp14:pctWidth>
                  </wp14:sizeRelH>
                  <wp14:sizeRelV relativeFrom="page">
                    <wp14:pctHeight>0</wp14:pctHeight>
                  </wp14:sizeRelV>
                </wp:anchor>
              </w:drawing>
            </w:r>
            <w:r w:rsidR="00262004">
              <w:t>Parfois non-mesuré ou mal-réparti</w:t>
            </w:r>
          </w:p>
        </w:tc>
        <w:tc>
          <w:tcPr>
            <w:tcW w:w="3101" w:type="dxa"/>
          </w:tcPr>
          <w:p w:rsidR="00262004" w:rsidRDefault="00922B70" w:rsidP="00922B70">
            <w:pPr>
              <w:pStyle w:val="Sansinterligne"/>
              <w:numPr>
                <w:ilvl w:val="0"/>
                <w:numId w:val="1349"/>
              </w:numPr>
            </w:pPr>
            <w:r>
              <w:t>Restrictio</w:t>
            </w:r>
            <w:r w:rsidR="00EA58A1">
              <w:t>n, appariement ou randomisation</w:t>
            </w:r>
          </w:p>
          <w:p w:rsidR="00922B70" w:rsidRDefault="00922B70" w:rsidP="00922B70">
            <w:pPr>
              <w:pStyle w:val="Sansinterligne"/>
              <w:numPr>
                <w:ilvl w:val="0"/>
                <w:numId w:val="1349"/>
              </w:numPr>
            </w:pPr>
            <w:r>
              <w:t>Analyse stratifiée des données ou multivariée</w:t>
            </w:r>
          </w:p>
        </w:tc>
      </w:tr>
    </w:tbl>
    <w:p w:rsidR="00BD2F7A" w:rsidRPr="000715A5" w:rsidRDefault="00BD2F7A" w:rsidP="00AF379E">
      <w:pPr>
        <w:pStyle w:val="Sansinterligne"/>
        <w:rPr>
          <w:sz w:val="16"/>
          <w:szCs w:val="16"/>
        </w:rPr>
      </w:pPr>
    </w:p>
    <w:p w:rsidR="00922B70" w:rsidRDefault="00BD2F7A" w:rsidP="00922B70">
      <w:pPr>
        <w:pStyle w:val="Sansinterligne"/>
        <w:ind w:right="4704"/>
        <w:rPr>
          <w:rFonts w:cs="Times New Roman"/>
        </w:rPr>
      </w:pPr>
      <w:r w:rsidRPr="00922B70">
        <w:rPr>
          <w:b/>
        </w:rPr>
        <w:t xml:space="preserve">Erreur </w:t>
      </w:r>
      <w:r w:rsidRPr="00922B70">
        <w:rPr>
          <w:rFonts w:ascii="Century Gothic" w:hAnsi="Century Gothic"/>
          <w:b/>
        </w:rPr>
        <w:t> </w:t>
      </w:r>
      <w:r w:rsidRPr="00922B70">
        <w:rPr>
          <w:rFonts w:cs="Times New Roman"/>
          <w:b/>
        </w:rPr>
        <w:t>(type I</w:t>
      </w:r>
      <w:r w:rsidRPr="00922B70">
        <w:rPr>
          <w:rFonts w:ascii="Century Gothic" w:hAnsi="Century Gothic"/>
          <w:b/>
        </w:rPr>
        <w:t>)</w:t>
      </w:r>
      <w:r>
        <w:rPr>
          <w:rFonts w:ascii="Century Gothic" w:hAnsi="Century Gothic"/>
        </w:rPr>
        <w:t xml:space="preserve">: </w:t>
      </w:r>
      <w:r w:rsidRPr="00BD2F7A">
        <w:rPr>
          <w:rFonts w:cs="Times New Roman"/>
        </w:rPr>
        <w:t xml:space="preserve">Rejet de l’hypothèse nulle </w:t>
      </w:r>
      <w:r>
        <w:rPr>
          <w:rFonts w:cs="Times New Roman"/>
        </w:rPr>
        <w:t xml:space="preserve">(aucun effet), alors </w:t>
      </w:r>
      <w:r w:rsidR="00922B70">
        <w:rPr>
          <w:rFonts w:cs="Times New Roman"/>
        </w:rPr>
        <w:t xml:space="preserve">             </w:t>
      </w:r>
    </w:p>
    <w:p w:rsidR="00BD2F7A" w:rsidRPr="00BD2F7A" w:rsidRDefault="00922B70" w:rsidP="00922B70">
      <w:pPr>
        <w:pStyle w:val="Sansinterligne"/>
        <w:ind w:right="4704"/>
        <w:rPr>
          <w:rFonts w:cs="Times New Roman"/>
        </w:rPr>
      </w:pPr>
      <w:r>
        <w:rPr>
          <w:rFonts w:cs="Times New Roman"/>
        </w:rPr>
        <w:t xml:space="preserve">                                </w:t>
      </w:r>
      <w:r w:rsidR="00BD2F7A">
        <w:rPr>
          <w:rFonts w:cs="Times New Roman"/>
        </w:rPr>
        <w:t>qu’elle est vraie.</w:t>
      </w:r>
    </w:p>
    <w:p w:rsidR="00922B70" w:rsidRDefault="00BD2F7A" w:rsidP="00922B70">
      <w:pPr>
        <w:pStyle w:val="Sansinterligne"/>
        <w:ind w:right="4704"/>
      </w:pPr>
      <w:r w:rsidRPr="00922B70">
        <w:rPr>
          <w:b/>
        </w:rPr>
        <w:t xml:space="preserve">Erreur </w:t>
      </w:r>
      <w:r w:rsidRPr="00922B70">
        <w:rPr>
          <w:rFonts w:cs="Times New Roman"/>
          <w:b/>
        </w:rPr>
        <w:t>β (type II)</w:t>
      </w:r>
      <w:r>
        <w:rPr>
          <w:rFonts w:cs="Times New Roman"/>
        </w:rPr>
        <w:t> </w:t>
      </w:r>
      <w:r>
        <w:t xml:space="preserve">: Rejet de l’hypothèse alternative (effet existant) </w:t>
      </w:r>
    </w:p>
    <w:p w:rsidR="00BD2F7A" w:rsidRDefault="00922B70" w:rsidP="00922B70">
      <w:pPr>
        <w:pStyle w:val="Sansinterligne"/>
        <w:ind w:right="4704"/>
      </w:pPr>
      <w:r>
        <w:t xml:space="preserve">                                 </w:t>
      </w:r>
      <w:r w:rsidR="00BD2F7A">
        <w:t>alors qu’elle est vraie.</w:t>
      </w:r>
    </w:p>
    <w:p w:rsidR="00922B70" w:rsidRDefault="00BD2F7A" w:rsidP="00922B70">
      <w:pPr>
        <w:pStyle w:val="Sansinterligne"/>
        <w:ind w:right="4704"/>
      </w:pPr>
      <w:r w:rsidRPr="00922B70">
        <w:rPr>
          <w:b/>
        </w:rPr>
        <w:t>Puissanc</w:t>
      </w:r>
      <w:r>
        <w:t>e : Capacité de rejeter l’hypothèse nulle si elle est fausse.</w:t>
      </w:r>
      <w:r w:rsidR="008E27C5">
        <w:t xml:space="preserve"> </w:t>
      </w:r>
    </w:p>
    <w:p w:rsidR="00AF379E" w:rsidRDefault="00922B70" w:rsidP="00922B70">
      <w:pPr>
        <w:pStyle w:val="Sansinterligne"/>
        <w:ind w:right="4704"/>
      </w:pPr>
      <w:r>
        <w:t xml:space="preserve">                    </w:t>
      </w:r>
      <w:r w:rsidR="008E27C5">
        <w:t>Augmente avec la taille de l’échantillon. = 1-</w:t>
      </w:r>
      <w:r w:rsidR="008E27C5">
        <w:rPr>
          <w:rFonts w:cs="Times New Roman"/>
        </w:rPr>
        <w:t>β</w:t>
      </w:r>
    </w:p>
    <w:p w:rsidR="00922B70" w:rsidRDefault="00BD2F7A" w:rsidP="00922B70">
      <w:pPr>
        <w:pStyle w:val="Sansinterligne"/>
        <w:ind w:right="4704"/>
      </w:pPr>
      <w:r w:rsidRPr="00922B70">
        <w:rPr>
          <w:b/>
        </w:rPr>
        <w:t>Signification statistique</w:t>
      </w:r>
      <w:r w:rsidR="008E27C5">
        <w:t xml:space="preserve"> : probabilité que le résultat soit dû au </w:t>
      </w:r>
    </w:p>
    <w:p w:rsidR="00BD2F7A" w:rsidRDefault="00922B70" w:rsidP="00922B70">
      <w:pPr>
        <w:pStyle w:val="Sansinterligne"/>
        <w:ind w:right="4704"/>
      </w:pPr>
      <w:r>
        <w:t xml:space="preserve">                                           </w:t>
      </w:r>
      <w:r w:rsidR="008E27C5">
        <w:t xml:space="preserve">hasard (p) </w:t>
      </w:r>
      <w:r w:rsidR="008E27C5">
        <w:rPr>
          <w:rFonts w:ascii="Century Gothic" w:hAnsi="Century Gothic"/>
        </w:rPr>
        <w:t>&lt;</w:t>
      </w:r>
      <w:r w:rsidR="008E27C5">
        <w:t xml:space="preserve"> 0,05</w:t>
      </w:r>
    </w:p>
    <w:p w:rsidR="00922B70" w:rsidRDefault="00BD2F7A" w:rsidP="00922B70">
      <w:pPr>
        <w:pStyle w:val="Sansinterligne"/>
        <w:ind w:right="4704"/>
      </w:pPr>
      <w:r w:rsidRPr="00922B70">
        <w:rPr>
          <w:b/>
        </w:rPr>
        <w:t>Signification clinique</w:t>
      </w:r>
      <w:r w:rsidR="008E27C5">
        <w:t xml:space="preserve"> : Applicabilité du résultat à la clinique. Coût, </w:t>
      </w:r>
    </w:p>
    <w:p w:rsidR="00BD2F7A" w:rsidRDefault="00922B70" w:rsidP="00922B70">
      <w:pPr>
        <w:pStyle w:val="Sansinterligne"/>
        <w:ind w:right="4704"/>
      </w:pPr>
      <w:r>
        <w:t xml:space="preserve">                       </w:t>
      </w:r>
      <w:r w:rsidR="008E27C5">
        <w:t>disponibilité, adapté au patient, effets secondaires, etc.</w:t>
      </w:r>
    </w:p>
    <w:p w:rsidR="00AF379E" w:rsidRDefault="00AF379E" w:rsidP="00922B70">
      <w:pPr>
        <w:pStyle w:val="Sansinterligne"/>
        <w:ind w:right="4704"/>
      </w:pPr>
    </w:p>
    <w:p w:rsidR="000715A5" w:rsidRDefault="000715A5" w:rsidP="00922B70">
      <w:pPr>
        <w:pStyle w:val="Sansinterligne"/>
        <w:ind w:right="4704"/>
      </w:pPr>
    </w:p>
    <w:p w:rsidR="00922B70" w:rsidRDefault="000715A5" w:rsidP="000715A5">
      <w:pPr>
        <w:pStyle w:val="Sansinterligne"/>
      </w:pPr>
      <w:r w:rsidRPr="000715A5">
        <w:rPr>
          <w:highlight w:val="yellow"/>
        </w:rPr>
        <w:t>Bref, les résultats sont-ils valides, quels sont-ils et vont-ils changer ma pratique ?</w:t>
      </w:r>
    </w:p>
    <w:p w:rsidR="009246D0" w:rsidRDefault="009246D0" w:rsidP="00D859AA">
      <w:pPr>
        <w:spacing w:after="0"/>
        <w:rPr>
          <w:rFonts w:cs="Times New Roman"/>
          <w:b/>
          <w:color w:val="548DD4" w:themeColor="text2" w:themeTint="99"/>
        </w:rPr>
      </w:pPr>
      <w:r>
        <w:rPr>
          <w:rFonts w:cs="Times New Roman"/>
          <w:b/>
          <w:color w:val="548DD4" w:themeColor="text2" w:themeTint="99"/>
        </w:rPr>
        <w:t>CMC 78-3</w:t>
      </w:r>
    </w:p>
    <w:bookmarkStart w:id="264" w:name="_Toc480797312"/>
    <w:p w:rsidR="009246D0" w:rsidRPr="00482B93" w:rsidRDefault="00531D89" w:rsidP="00482B93">
      <w:pPr>
        <w:pStyle w:val="Titre3"/>
        <w:spacing w:before="0" w:after="240"/>
        <w:rPr>
          <w:rFonts w:ascii="Times New Roman" w:hAnsi="Times New Roman" w:cs="Times New Roman"/>
        </w:rPr>
      </w:pPr>
      <w:r>
        <w:rPr>
          <w:rFonts w:ascii="Times New Roman" w:hAnsi="Times New Roman" w:cs="Times New Roman"/>
          <w:noProof/>
          <w:lang w:eastAsia="fr-CA"/>
        </w:rPr>
        <mc:AlternateContent>
          <mc:Choice Requires="wps">
            <w:drawing>
              <wp:anchor distT="0" distB="0" distL="114300" distR="114300" simplePos="0" relativeHeight="252121088" behindDoc="0" locked="0" layoutInCell="1" allowOverlap="1" wp14:anchorId="41237DCF" wp14:editId="099E5827">
                <wp:simplePos x="0" y="0"/>
                <wp:positionH relativeFrom="column">
                  <wp:posOffset>-48638</wp:posOffset>
                </wp:positionH>
                <wp:positionV relativeFrom="paragraph">
                  <wp:posOffset>299193</wp:posOffset>
                </wp:positionV>
                <wp:extent cx="6965004" cy="4815192"/>
                <wp:effectExtent l="0" t="0" r="26670" b="24130"/>
                <wp:wrapNone/>
                <wp:docPr id="602" name="Rectangle 602"/>
                <wp:cNvGraphicFramePr/>
                <a:graphic xmlns:a="http://schemas.openxmlformats.org/drawingml/2006/main">
                  <a:graphicData uri="http://schemas.microsoft.com/office/word/2010/wordprocessingShape">
                    <wps:wsp>
                      <wps:cNvSpPr/>
                      <wps:spPr>
                        <a:xfrm>
                          <a:off x="0" y="0"/>
                          <a:ext cx="6965004" cy="4815192"/>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602" o:spid="_x0000_s1026" style="position:absolute;margin-left:-3.85pt;margin-top:23.55pt;width:548.45pt;height:379.15pt;z-index:2521210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" filled="f" strokecolor="black [1600]" strokeweight="2pt"/>
            </w:pict>
          </mc:Fallback>
        </mc:AlternateContent>
      </w:r>
      <w:r w:rsidR="009246D0" w:rsidRPr="00482B93">
        <w:rPr>
          <w:rFonts w:ascii="Times New Roman" w:hAnsi="Times New Roman" w:cs="Times New Roman"/>
        </w:rPr>
        <w:t>Interventions à l’échelle des populations</w:t>
      </w:r>
      <w:bookmarkEnd w:id="264"/>
    </w:p>
    <w:tbl>
      <w:tblPr>
        <w:tblW w:w="3737" w:type="pct"/>
        <w:tblCellSpacing w:w="0" w:type="dxa"/>
        <w:tblCellMar>
          <w:left w:w="0" w:type="dxa"/>
          <w:right w:w="0" w:type="dxa"/>
        </w:tblCellMar>
        <w:tblLook w:val="04A0" w:firstRow="1" w:lastRow="0" w:firstColumn="1" w:lastColumn="0" w:noHBand="0" w:noVBand="1"/>
      </w:tblPr>
      <w:tblGrid>
        <w:gridCol w:w="8072"/>
      </w:tblGrid>
      <w:tr w:rsidR="00482B93" w:rsidRPr="00482B93" w:rsidTr="00482B93">
        <w:trPr>
          <w:tblCellSpacing w:w="0" w:type="dxa"/>
        </w:trPr>
        <w:tc>
          <w:tcPr>
            <w:tcW w:w="0" w:type="auto"/>
            <w:vAlign w:val="bottom"/>
            <w:hideMark/>
          </w:tcPr>
          <w:p w:rsidR="00482B93" w:rsidRPr="00482B93" w:rsidRDefault="00482B93" w:rsidP="00482B93">
            <w:pPr>
              <w:pStyle w:val="Sansinterligne"/>
              <w:rPr>
                <w:rFonts w:cs="Times New Roman"/>
                <w:b/>
                <w:sz w:val="18"/>
                <w:szCs w:val="18"/>
              </w:rPr>
            </w:pPr>
            <w:r w:rsidRPr="00482B93">
              <w:rPr>
                <w:rFonts w:cs="Times New Roman"/>
                <w:b/>
                <w:sz w:val="18"/>
                <w:szCs w:val="18"/>
              </w:rPr>
              <w:t>Objectifs principaux</w:t>
            </w:r>
          </w:p>
        </w:tc>
      </w:tr>
    </w:tbl>
    <w:p w:rsidR="009246D0" w:rsidRPr="00482B93" w:rsidRDefault="009246D0" w:rsidP="009246D0">
      <w:pPr>
        <w:numPr>
          <w:ilvl w:val="0"/>
          <w:numId w:val="1341"/>
        </w:numPr>
        <w:shd w:val="clear" w:color="auto" w:fill="FFFFFF"/>
        <w:spacing w:before="100" w:beforeAutospacing="1" w:after="100" w:afterAutospacing="1" w:line="240" w:lineRule="auto"/>
        <w:rPr>
          <w:rFonts w:cs="Times New Roman"/>
          <w:color w:val="000000"/>
          <w:sz w:val="18"/>
          <w:szCs w:val="18"/>
          <w:shd w:val="clear" w:color="auto" w:fill="FFFFFF"/>
        </w:rPr>
      </w:pPr>
      <w:r w:rsidRPr="00482B93">
        <w:rPr>
          <w:rFonts w:cs="Times New Roman"/>
          <w:color w:val="000000"/>
          <w:sz w:val="18"/>
          <w:szCs w:val="18"/>
          <w:shd w:val="clear" w:color="auto" w:fill="FFFFFF"/>
        </w:rPr>
        <w:t>Comprendre les trois niveaux de la prévention (primaire, secondaire et tertiaire).</w:t>
      </w:r>
    </w:p>
    <w:p w:rsidR="009246D0" w:rsidRPr="00482B93" w:rsidRDefault="009246D0" w:rsidP="009246D0">
      <w:pPr>
        <w:numPr>
          <w:ilvl w:val="0"/>
          <w:numId w:val="1341"/>
        </w:numPr>
        <w:shd w:val="clear" w:color="auto" w:fill="FFFFFF"/>
        <w:spacing w:before="100" w:beforeAutospacing="1" w:after="100" w:afterAutospacing="1" w:line="240" w:lineRule="auto"/>
        <w:rPr>
          <w:rFonts w:cs="Times New Roman"/>
          <w:color w:val="000000"/>
          <w:sz w:val="18"/>
          <w:szCs w:val="18"/>
          <w:shd w:val="clear" w:color="auto" w:fill="FFFFFF"/>
        </w:rPr>
      </w:pPr>
      <w:r w:rsidRPr="00482B93">
        <w:rPr>
          <w:rFonts w:cs="Times New Roman"/>
          <w:color w:val="000000"/>
          <w:sz w:val="18"/>
          <w:szCs w:val="18"/>
          <w:shd w:val="clear" w:color="auto" w:fill="FFFFFF"/>
        </w:rPr>
        <w:t>Définir des stratégies d'évaluation des besoins communautaires, l'éducation sanitaire, la mobilisation communautaire et la promotion de la santé.</w:t>
      </w:r>
    </w:p>
    <w:p w:rsidR="009246D0" w:rsidRPr="00482B93" w:rsidRDefault="009246D0" w:rsidP="009246D0">
      <w:pPr>
        <w:numPr>
          <w:ilvl w:val="0"/>
          <w:numId w:val="1341"/>
        </w:numPr>
        <w:shd w:val="clear" w:color="auto" w:fill="FFFFFF"/>
        <w:spacing w:before="100" w:beforeAutospacing="1" w:after="100" w:afterAutospacing="1" w:line="240" w:lineRule="auto"/>
        <w:rPr>
          <w:rFonts w:cs="Times New Roman"/>
          <w:color w:val="000000"/>
          <w:sz w:val="18"/>
          <w:szCs w:val="18"/>
          <w:shd w:val="clear" w:color="auto" w:fill="FFFFFF"/>
        </w:rPr>
      </w:pPr>
      <w:bookmarkStart w:id="265" w:name="Objectifsprincipaux3"/>
      <w:r w:rsidRPr="00482B93">
        <w:rPr>
          <w:rFonts w:cs="Times New Roman"/>
          <w:color w:val="000000"/>
          <w:sz w:val="18"/>
          <w:szCs w:val="18"/>
          <w:shd w:val="clear" w:color="auto" w:fill="FFFFFF"/>
        </w:rPr>
        <w:t>Comprendre le rôle que le médecin peut jouer dans la promotion de la santé et la prévention des maladies aux niveaux individuel et communautaire (p. ex. prévention du poids insuffisant des bébés à la naissance, immunisation, prévention de l'obésité, renoncement au tabac, dépistage du cancer, etc.).</w:t>
      </w:r>
    </w:p>
    <w:p w:rsidR="009246D0" w:rsidRPr="00482B93" w:rsidRDefault="009246D0" w:rsidP="009246D0">
      <w:pPr>
        <w:numPr>
          <w:ilvl w:val="0"/>
          <w:numId w:val="1341"/>
        </w:numPr>
        <w:shd w:val="clear" w:color="auto" w:fill="FFFFFF"/>
        <w:spacing w:before="100" w:beforeAutospacing="1" w:after="100" w:afterAutospacing="1" w:line="240" w:lineRule="auto"/>
        <w:rPr>
          <w:rFonts w:cs="Times New Roman"/>
          <w:color w:val="000000"/>
          <w:sz w:val="18"/>
          <w:szCs w:val="18"/>
          <w:shd w:val="clear" w:color="auto" w:fill="FFFFFF"/>
        </w:rPr>
      </w:pPr>
      <w:bookmarkStart w:id="266" w:name="Objectifsprincipaux4"/>
      <w:bookmarkEnd w:id="265"/>
      <w:r w:rsidRPr="00482B93">
        <w:rPr>
          <w:rFonts w:cs="Times New Roman"/>
          <w:color w:val="000000"/>
          <w:sz w:val="18"/>
          <w:szCs w:val="18"/>
          <w:shd w:val="clear" w:color="auto" w:fill="FFFFFF"/>
        </w:rPr>
        <w:t>Comprendre la façon dont les politiques publiques peuvent avoir une incidence sur le comportement et la santé d'une population.</w:t>
      </w:r>
    </w:p>
    <w:tbl>
      <w:tblPr>
        <w:tblW w:w="3721" w:type="pct"/>
        <w:tblCellSpacing w:w="0" w:type="dxa"/>
        <w:tblCellMar>
          <w:left w:w="0" w:type="dxa"/>
          <w:right w:w="0" w:type="dxa"/>
        </w:tblCellMar>
        <w:tblLook w:val="04A0" w:firstRow="1" w:lastRow="0" w:firstColumn="1" w:lastColumn="0" w:noHBand="0" w:noVBand="1"/>
      </w:tblPr>
      <w:tblGrid>
        <w:gridCol w:w="8037"/>
      </w:tblGrid>
      <w:tr w:rsidR="00482B93" w:rsidRPr="00482B93" w:rsidTr="00482B93">
        <w:trPr>
          <w:tblCellSpacing w:w="0" w:type="dxa"/>
        </w:trPr>
        <w:tc>
          <w:tcPr>
            <w:tcW w:w="0" w:type="auto"/>
            <w:vAlign w:val="bottom"/>
            <w:hideMark/>
          </w:tcPr>
          <w:bookmarkEnd w:id="266"/>
          <w:p w:rsidR="00482B93" w:rsidRPr="00482B93" w:rsidRDefault="00482B93" w:rsidP="00482B93">
            <w:pPr>
              <w:pStyle w:val="Sansinterligne"/>
              <w:rPr>
                <w:rFonts w:cs="Times New Roman"/>
                <w:b/>
                <w:sz w:val="16"/>
                <w:szCs w:val="16"/>
              </w:rPr>
            </w:pPr>
            <w:r w:rsidRPr="00482B93">
              <w:rPr>
                <w:rFonts w:cs="Times New Roman"/>
                <w:b/>
                <w:sz w:val="16"/>
                <w:szCs w:val="16"/>
              </w:rPr>
              <w:t>Objectifs de base</w:t>
            </w:r>
          </w:p>
        </w:tc>
      </w:tr>
    </w:tbl>
    <w:p w:rsidR="009246D0" w:rsidRPr="00482B93" w:rsidRDefault="009246D0" w:rsidP="009246D0">
      <w:pPr>
        <w:numPr>
          <w:ilvl w:val="0"/>
          <w:numId w:val="1342"/>
        </w:numPr>
        <w:shd w:val="clear" w:color="auto" w:fill="FFFFFF"/>
        <w:spacing w:before="100" w:beforeAutospacing="1" w:after="100" w:afterAutospacing="1" w:line="240" w:lineRule="auto"/>
        <w:rPr>
          <w:rFonts w:cs="Times New Roman"/>
          <w:color w:val="000000"/>
          <w:sz w:val="16"/>
          <w:szCs w:val="16"/>
          <w:shd w:val="clear" w:color="auto" w:fill="FFFFFF"/>
        </w:rPr>
      </w:pPr>
      <w:r w:rsidRPr="00482B93">
        <w:rPr>
          <w:rFonts w:cs="Times New Roman"/>
          <w:color w:val="000000"/>
          <w:sz w:val="16"/>
          <w:szCs w:val="16"/>
          <w:shd w:val="clear" w:color="auto" w:fill="FFFFFF"/>
        </w:rPr>
        <w:t>Être en mesure de définir le concept des niveaux de prévention au niveau de la personne (clinique) et de la population et formuler des mesures de prévention dans les stratégies de prise en charge clinique.</w:t>
      </w:r>
    </w:p>
    <w:p w:rsidR="009246D0" w:rsidRPr="00482B93" w:rsidRDefault="009246D0" w:rsidP="009246D0">
      <w:pPr>
        <w:numPr>
          <w:ilvl w:val="0"/>
          <w:numId w:val="1342"/>
        </w:numPr>
        <w:shd w:val="clear" w:color="auto" w:fill="FFFFFF"/>
        <w:spacing w:before="100" w:beforeAutospacing="1" w:after="100" w:afterAutospacing="1" w:line="240" w:lineRule="auto"/>
        <w:rPr>
          <w:rFonts w:cs="Times New Roman"/>
          <w:color w:val="000000"/>
          <w:sz w:val="16"/>
          <w:szCs w:val="16"/>
          <w:shd w:val="clear" w:color="auto" w:fill="FFFFFF"/>
        </w:rPr>
      </w:pPr>
      <w:r w:rsidRPr="00482B93">
        <w:rPr>
          <w:rFonts w:cs="Times New Roman"/>
          <w:color w:val="000000"/>
          <w:sz w:val="16"/>
          <w:szCs w:val="16"/>
          <w:shd w:val="clear" w:color="auto" w:fill="FFFFFF"/>
        </w:rPr>
        <w:t>Nommer et décrire les méthodes courantes de protection de la santé (comme la triade hôte agent environnement dans le cas des maladies transmissibles et la triade source voie récepteur dans le cas de la santé au travail et environnementale).</w:t>
      </w:r>
    </w:p>
    <w:p w:rsidR="009246D0" w:rsidRPr="00482B93" w:rsidRDefault="009246D0" w:rsidP="009246D0">
      <w:pPr>
        <w:numPr>
          <w:ilvl w:val="0"/>
          <w:numId w:val="1342"/>
        </w:numPr>
        <w:shd w:val="clear" w:color="auto" w:fill="FFFFFF"/>
        <w:spacing w:before="100" w:beforeAutospacing="1" w:after="100" w:afterAutospacing="1" w:line="240" w:lineRule="auto"/>
        <w:rPr>
          <w:rFonts w:cs="Times New Roman"/>
          <w:color w:val="000000"/>
          <w:sz w:val="16"/>
          <w:szCs w:val="16"/>
          <w:shd w:val="clear" w:color="auto" w:fill="FFFFFF"/>
        </w:rPr>
      </w:pPr>
      <w:r w:rsidRPr="00482B93">
        <w:rPr>
          <w:rFonts w:cs="Times New Roman"/>
          <w:color w:val="000000"/>
          <w:sz w:val="16"/>
          <w:szCs w:val="16"/>
          <w:shd w:val="clear" w:color="auto" w:fill="FFFFFF"/>
        </w:rPr>
        <w:t>Décrire l'importance et l'incidence d'une bonne communication, adaptée à la culture, avec le patient, la famille du patient et, au besoin, la collectivité dans son ensemble en ce qui concerne les facteurs de risque et leur modification.</w:t>
      </w:r>
    </w:p>
    <w:p w:rsidR="009246D0" w:rsidRPr="00482B93" w:rsidRDefault="009246D0" w:rsidP="009246D0">
      <w:pPr>
        <w:numPr>
          <w:ilvl w:val="0"/>
          <w:numId w:val="1342"/>
        </w:numPr>
        <w:shd w:val="clear" w:color="auto" w:fill="FFFFFF"/>
        <w:spacing w:before="100" w:beforeAutospacing="1" w:after="100" w:afterAutospacing="1" w:line="240" w:lineRule="auto"/>
        <w:rPr>
          <w:rFonts w:cs="Times New Roman"/>
          <w:color w:val="000000"/>
          <w:sz w:val="16"/>
          <w:szCs w:val="16"/>
          <w:shd w:val="clear" w:color="auto" w:fill="FFFFFF"/>
        </w:rPr>
      </w:pPr>
      <w:bookmarkStart w:id="267" w:name="Objectifsdebase4"/>
      <w:r w:rsidRPr="00482B93">
        <w:rPr>
          <w:rFonts w:cs="Times New Roman"/>
          <w:color w:val="000000"/>
          <w:sz w:val="16"/>
          <w:szCs w:val="16"/>
          <w:shd w:val="clear" w:color="auto" w:fill="FFFFFF"/>
        </w:rPr>
        <w:t>Appliquer les principes du dépistage et être en mesure d'évaluer l'utilité d'une intervention de dépistage donnée, y compris être en mesure de discuter du biais relatif au délai d'apparition d'une maladie et le biais durée-prévalence.</w:t>
      </w:r>
    </w:p>
    <w:p w:rsidR="009246D0" w:rsidRPr="00482B93" w:rsidRDefault="009246D0" w:rsidP="009246D0">
      <w:pPr>
        <w:numPr>
          <w:ilvl w:val="0"/>
          <w:numId w:val="1342"/>
        </w:numPr>
        <w:shd w:val="clear" w:color="auto" w:fill="FFFFFF"/>
        <w:spacing w:before="100" w:beforeAutospacing="1" w:after="100" w:afterAutospacing="1" w:line="240" w:lineRule="auto"/>
        <w:rPr>
          <w:rFonts w:cs="Times New Roman"/>
          <w:color w:val="000000"/>
          <w:sz w:val="16"/>
          <w:szCs w:val="16"/>
          <w:shd w:val="clear" w:color="auto" w:fill="FFFFFF"/>
        </w:rPr>
      </w:pPr>
      <w:bookmarkStart w:id="268" w:name="Objectifsdebase5"/>
      <w:bookmarkEnd w:id="267"/>
      <w:r w:rsidRPr="00482B93">
        <w:rPr>
          <w:rFonts w:cs="Times New Roman"/>
          <w:color w:val="000000"/>
          <w:sz w:val="16"/>
          <w:szCs w:val="16"/>
          <w:shd w:val="clear" w:color="auto" w:fill="FFFFFF"/>
        </w:rPr>
        <w:t>Comprendre l'importance de la surveillance des maladies pour préserver la santé des populations et connaître les méthodes de surveillance.</w:t>
      </w:r>
    </w:p>
    <w:p w:rsidR="009246D0" w:rsidRPr="00482B93" w:rsidRDefault="009246D0" w:rsidP="00D82AD3">
      <w:pPr>
        <w:numPr>
          <w:ilvl w:val="0"/>
          <w:numId w:val="1342"/>
        </w:numPr>
        <w:shd w:val="clear" w:color="auto" w:fill="FFFFFF"/>
        <w:spacing w:before="100" w:beforeAutospacing="1" w:after="100" w:afterAutospacing="1" w:line="240" w:lineRule="auto"/>
        <w:rPr>
          <w:rFonts w:cs="Times New Roman"/>
          <w:color w:val="000000"/>
          <w:sz w:val="16"/>
          <w:szCs w:val="16"/>
          <w:shd w:val="clear" w:color="auto" w:fill="FFFFFF"/>
        </w:rPr>
      </w:pPr>
      <w:bookmarkStart w:id="269" w:name="Objectifsdebase6"/>
      <w:bookmarkEnd w:id="268"/>
      <w:r w:rsidRPr="00482B93">
        <w:rPr>
          <w:rFonts w:cs="Times New Roman"/>
          <w:color w:val="000000"/>
          <w:sz w:val="16"/>
          <w:szCs w:val="16"/>
          <w:shd w:val="clear" w:color="auto" w:fill="FFFFFF"/>
        </w:rPr>
        <w:t xml:space="preserve">Déterminer les problèmes éthiques qui restreignent la liberté et les droits individuels au profit de la population dans son ensemble (p. ex. problèmes liés à la désignation des zones </w:t>
      </w:r>
      <w:r w:rsidR="00D82AD3" w:rsidRPr="00482B93">
        <w:rPr>
          <w:rFonts w:cs="Times New Roman"/>
          <w:color w:val="000000"/>
          <w:sz w:val="16"/>
          <w:szCs w:val="16"/>
          <w:shd w:val="clear" w:color="auto" w:fill="FFFFFF"/>
        </w:rPr>
        <w:t>non-fumeurs</w:t>
      </w:r>
      <w:r w:rsidRPr="00482B93">
        <w:rPr>
          <w:rFonts w:cs="Times New Roman"/>
          <w:color w:val="000000"/>
          <w:sz w:val="16"/>
          <w:szCs w:val="16"/>
          <w:shd w:val="clear" w:color="auto" w:fill="FFFFFF"/>
        </w:rPr>
        <w:t xml:space="preserve"> ou restriction des déplacements des personnes atteintes d'une forme active de la tuberculose).</w:t>
      </w:r>
    </w:p>
    <w:p w:rsidR="009246D0" w:rsidRPr="00482B93" w:rsidRDefault="009246D0" w:rsidP="009246D0">
      <w:pPr>
        <w:numPr>
          <w:ilvl w:val="0"/>
          <w:numId w:val="1342"/>
        </w:numPr>
        <w:shd w:val="clear" w:color="auto" w:fill="FFFFFF"/>
        <w:spacing w:before="100" w:beforeAutospacing="1" w:after="100" w:afterAutospacing="1" w:line="240" w:lineRule="auto"/>
        <w:rPr>
          <w:rFonts w:cs="Times New Roman"/>
          <w:color w:val="000000"/>
          <w:sz w:val="16"/>
          <w:szCs w:val="16"/>
          <w:shd w:val="clear" w:color="auto" w:fill="FFFFFF"/>
        </w:rPr>
      </w:pPr>
      <w:bookmarkStart w:id="270" w:name="Objectifsdebase7"/>
      <w:bookmarkEnd w:id="269"/>
      <w:r w:rsidRPr="00482B93">
        <w:rPr>
          <w:rFonts w:cs="Times New Roman"/>
          <w:color w:val="000000"/>
          <w:sz w:val="16"/>
          <w:szCs w:val="16"/>
          <w:shd w:val="clear" w:color="auto" w:fill="FFFFFF"/>
        </w:rPr>
        <w:t>Décrire les avantages et les inconvénients de repérer et de traiter les personnes malades et d'adopter des méthodes de prévention à l'échelle de la population.</w:t>
      </w:r>
    </w:p>
    <w:p w:rsidR="009246D0" w:rsidRPr="00482B93" w:rsidRDefault="009246D0" w:rsidP="009246D0">
      <w:pPr>
        <w:numPr>
          <w:ilvl w:val="0"/>
          <w:numId w:val="1342"/>
        </w:numPr>
        <w:shd w:val="clear" w:color="auto" w:fill="FFFFFF"/>
        <w:spacing w:before="100" w:beforeAutospacing="1" w:after="100" w:afterAutospacing="1" w:line="240" w:lineRule="auto"/>
        <w:rPr>
          <w:rFonts w:cs="Times New Roman"/>
          <w:color w:val="000000"/>
          <w:sz w:val="16"/>
          <w:szCs w:val="16"/>
          <w:shd w:val="clear" w:color="auto" w:fill="FFFFFF"/>
        </w:rPr>
      </w:pPr>
      <w:bookmarkStart w:id="271" w:name="Objectifsdebase8"/>
      <w:bookmarkEnd w:id="270"/>
      <w:r w:rsidRPr="00482B93">
        <w:rPr>
          <w:rFonts w:cs="Times New Roman"/>
          <w:color w:val="000000"/>
          <w:sz w:val="16"/>
          <w:szCs w:val="16"/>
          <w:shd w:val="clear" w:color="auto" w:fill="FFFFFF"/>
        </w:rPr>
        <w:t>Décrire les cinq stratégies de promotion de la santé décrites dans la Charte d'Ottawa et les appliquer aux situations pertinentes.</w:t>
      </w:r>
    </w:p>
    <w:p w:rsidR="009246D0" w:rsidRPr="00482B93" w:rsidRDefault="009246D0" w:rsidP="009246D0">
      <w:pPr>
        <w:numPr>
          <w:ilvl w:val="0"/>
          <w:numId w:val="1342"/>
        </w:numPr>
        <w:shd w:val="clear" w:color="auto" w:fill="FFFFFF"/>
        <w:spacing w:before="100" w:beforeAutospacing="1" w:after="100" w:afterAutospacing="1" w:line="240" w:lineRule="auto"/>
        <w:rPr>
          <w:rFonts w:cs="Times New Roman"/>
          <w:color w:val="000000"/>
          <w:sz w:val="16"/>
          <w:szCs w:val="16"/>
          <w:shd w:val="clear" w:color="auto" w:fill="FFFFFF"/>
        </w:rPr>
      </w:pPr>
      <w:bookmarkStart w:id="272" w:name="Objectifsdebase9"/>
      <w:bookmarkEnd w:id="271"/>
      <w:r w:rsidRPr="00482B93">
        <w:rPr>
          <w:rFonts w:cs="Times New Roman"/>
          <w:color w:val="000000"/>
          <w:sz w:val="16"/>
          <w:szCs w:val="16"/>
          <w:shd w:val="clear" w:color="auto" w:fill="FFFFFF"/>
        </w:rPr>
        <w:t>Décrire un ou plusieurs modèles de changement de comportement, notamment les facteurs prédisposants, habilitants et renforçants.</w:t>
      </w:r>
    </w:p>
    <w:p w:rsidR="009246D0" w:rsidRPr="00482B93" w:rsidRDefault="009246D0" w:rsidP="009246D0">
      <w:pPr>
        <w:numPr>
          <w:ilvl w:val="0"/>
          <w:numId w:val="1342"/>
        </w:numPr>
        <w:shd w:val="clear" w:color="auto" w:fill="FFFFFF"/>
        <w:spacing w:before="100" w:beforeAutospacing="1" w:after="100" w:afterAutospacing="1" w:line="240" w:lineRule="auto"/>
        <w:rPr>
          <w:rFonts w:cs="Times New Roman"/>
          <w:color w:val="000000"/>
          <w:sz w:val="16"/>
          <w:szCs w:val="16"/>
          <w:shd w:val="clear" w:color="auto" w:fill="FFFFFF"/>
        </w:rPr>
      </w:pPr>
      <w:bookmarkStart w:id="273" w:name="Objectifsdebase10"/>
      <w:bookmarkEnd w:id="272"/>
      <w:r w:rsidRPr="00482B93">
        <w:rPr>
          <w:rFonts w:cs="Times New Roman"/>
          <w:color w:val="000000"/>
          <w:sz w:val="16"/>
          <w:szCs w:val="16"/>
          <w:shd w:val="clear" w:color="auto" w:fill="FFFFFF"/>
        </w:rPr>
        <w:t>Déterminer les facteurs communautaires, sociaux, physiques et environnementaux, de même que les facteurs liés aux pratiques de travail, susceptibles de favoriser des comportements sains, ainsi que les moyens d'aider les collectivités à faire face à ces facteur</w:t>
      </w:r>
      <w:r w:rsidR="00BE1693">
        <w:rPr>
          <w:rFonts w:cs="Times New Roman"/>
          <w:color w:val="000000"/>
          <w:sz w:val="16"/>
          <w:szCs w:val="16"/>
          <w:shd w:val="clear" w:color="auto" w:fill="FFFFFF"/>
        </w:rPr>
        <w:t>s</w:t>
      </w:r>
      <w:r w:rsidRPr="00482B93">
        <w:rPr>
          <w:rFonts w:cs="Times New Roman"/>
          <w:color w:val="000000"/>
          <w:sz w:val="16"/>
          <w:szCs w:val="16"/>
          <w:shd w:val="clear" w:color="auto" w:fill="FFFFFF"/>
        </w:rPr>
        <w:t>.</w:t>
      </w:r>
    </w:p>
    <w:p w:rsidR="009246D0" w:rsidRPr="00482B93" w:rsidRDefault="009246D0" w:rsidP="009246D0">
      <w:pPr>
        <w:numPr>
          <w:ilvl w:val="0"/>
          <w:numId w:val="1342"/>
        </w:numPr>
        <w:shd w:val="clear" w:color="auto" w:fill="FFFFFF"/>
        <w:spacing w:before="100" w:beforeAutospacing="1" w:after="100" w:afterAutospacing="1" w:line="240" w:lineRule="auto"/>
        <w:rPr>
          <w:rFonts w:cs="Times New Roman"/>
          <w:color w:val="000000"/>
          <w:sz w:val="16"/>
          <w:szCs w:val="16"/>
          <w:shd w:val="clear" w:color="auto" w:fill="FFFFFF"/>
        </w:rPr>
      </w:pPr>
      <w:bookmarkStart w:id="274" w:name="Objectifsdebase11"/>
      <w:bookmarkEnd w:id="273"/>
      <w:r w:rsidRPr="00482B93">
        <w:rPr>
          <w:rFonts w:cs="Times New Roman"/>
          <w:color w:val="000000"/>
          <w:sz w:val="16"/>
          <w:szCs w:val="16"/>
          <w:shd w:val="clear" w:color="auto" w:fill="FFFFFF"/>
        </w:rPr>
        <w:t>Connaître le rôle des organismes communautaires et de services sociaux et travailler en collaboration avec eux (p. ex. écoles, ergothérapeutes municipalités et organismes non gouvernementaux ou autres).</w:t>
      </w:r>
    </w:p>
    <w:p w:rsidR="009246D0" w:rsidRPr="00482B93" w:rsidRDefault="009246D0" w:rsidP="009246D0">
      <w:pPr>
        <w:numPr>
          <w:ilvl w:val="0"/>
          <w:numId w:val="1342"/>
        </w:numPr>
        <w:shd w:val="clear" w:color="auto" w:fill="FFFFFF"/>
        <w:spacing w:before="100" w:beforeAutospacing="1" w:after="100" w:afterAutospacing="1" w:line="240" w:lineRule="auto"/>
        <w:rPr>
          <w:rFonts w:cs="Times New Roman"/>
          <w:color w:val="000000"/>
          <w:sz w:val="16"/>
          <w:szCs w:val="16"/>
          <w:shd w:val="clear" w:color="auto" w:fill="FFFFFF"/>
        </w:rPr>
      </w:pPr>
      <w:bookmarkStart w:id="275" w:name="Objectifsdebase12"/>
      <w:bookmarkEnd w:id="274"/>
      <w:r w:rsidRPr="00482B93">
        <w:rPr>
          <w:rFonts w:cs="Times New Roman"/>
          <w:color w:val="000000"/>
          <w:sz w:val="16"/>
          <w:szCs w:val="16"/>
          <w:shd w:val="clear" w:color="auto" w:fill="FFFFFF"/>
        </w:rPr>
        <w:t>Reconnaître la contribution des professionnels alliés comme les travailleurs sociaux pour répondre aux besoins de la population en matière de santé.</w:t>
      </w:r>
    </w:p>
    <w:p w:rsidR="009246D0" w:rsidRPr="00482B93" w:rsidRDefault="009246D0" w:rsidP="009246D0">
      <w:pPr>
        <w:numPr>
          <w:ilvl w:val="0"/>
          <w:numId w:val="1342"/>
        </w:numPr>
        <w:shd w:val="clear" w:color="auto" w:fill="FFFFFF"/>
        <w:spacing w:before="100" w:beforeAutospacing="1" w:after="100" w:afterAutospacing="1" w:line="240" w:lineRule="auto"/>
        <w:rPr>
          <w:rFonts w:cs="Times New Roman"/>
          <w:color w:val="000000"/>
          <w:sz w:val="16"/>
          <w:szCs w:val="16"/>
          <w:shd w:val="clear" w:color="auto" w:fill="FFFFFF"/>
        </w:rPr>
      </w:pPr>
      <w:bookmarkStart w:id="276" w:name="Objectifsdebase13"/>
      <w:bookmarkEnd w:id="275"/>
      <w:r w:rsidRPr="00482B93">
        <w:rPr>
          <w:rFonts w:cs="Times New Roman"/>
          <w:color w:val="000000"/>
          <w:sz w:val="16"/>
          <w:szCs w:val="16"/>
          <w:shd w:val="clear" w:color="auto" w:fill="FFFFFF"/>
        </w:rPr>
        <w:t>Être en mesure de décrire l'incidence sur la santé d'interventions communautaires visant à promouvoir la santé et à prévenir les maladies.</w:t>
      </w:r>
    </w:p>
    <w:p w:rsidR="009246D0" w:rsidRPr="005614D3" w:rsidRDefault="009246D0" w:rsidP="003500B6">
      <w:pPr>
        <w:numPr>
          <w:ilvl w:val="0"/>
          <w:numId w:val="1342"/>
        </w:numPr>
        <w:shd w:val="clear" w:color="auto" w:fill="FFFFFF"/>
        <w:spacing w:before="100" w:beforeAutospacing="1" w:after="100" w:afterAutospacing="1" w:line="240" w:lineRule="auto"/>
        <w:rPr>
          <w:rFonts w:cs="Times New Roman"/>
          <w:color w:val="000000"/>
          <w:sz w:val="16"/>
          <w:szCs w:val="16"/>
          <w:shd w:val="clear" w:color="auto" w:fill="FFFFFF"/>
        </w:rPr>
      </w:pPr>
      <w:bookmarkStart w:id="277" w:name="Objectifsdebase14"/>
      <w:bookmarkEnd w:id="276"/>
      <w:r w:rsidRPr="00482B93">
        <w:rPr>
          <w:rFonts w:cs="Times New Roman"/>
          <w:color w:val="000000"/>
          <w:sz w:val="16"/>
          <w:szCs w:val="16"/>
          <w:shd w:val="clear" w:color="auto" w:fill="FFFFFF"/>
        </w:rPr>
        <w:t>Décrire des exemples de politiques publiques qui ont une incidence sur la santé de la population.</w:t>
      </w:r>
      <w:bookmarkEnd w:id="277"/>
    </w:p>
    <w:p w:rsidR="005614D3" w:rsidRPr="005614D3" w:rsidRDefault="00BE1693" w:rsidP="003500B6">
      <w:pPr>
        <w:pStyle w:val="Sansinterligne"/>
        <w:rPr>
          <w:b/>
          <w:sz w:val="28"/>
          <w:szCs w:val="28"/>
        </w:rPr>
      </w:pPr>
      <w:r w:rsidRPr="005614D3">
        <w:rPr>
          <w:b/>
          <w:sz w:val="28"/>
          <w:szCs w:val="28"/>
        </w:rPr>
        <w:t xml:space="preserve">Prévention primaire, secondaire, tertiaire </w:t>
      </w:r>
    </w:p>
    <w:p w:rsidR="005614D3" w:rsidRDefault="005614D3" w:rsidP="003500B6">
      <w:pPr>
        <w:pStyle w:val="Sansinterligne"/>
      </w:pPr>
    </w:p>
    <w:p w:rsidR="005614D3" w:rsidRDefault="005614D3" w:rsidP="003500B6">
      <w:pPr>
        <w:pStyle w:val="Sansinterligne"/>
      </w:pPr>
      <w:r>
        <w:t xml:space="preserve">Voir </w:t>
      </w:r>
      <w:r w:rsidRPr="005614D3">
        <w:rPr>
          <w:i/>
        </w:rPr>
        <w:t>Concepts de la santé et ses facteurs déterminants CMC 78-1</w:t>
      </w:r>
    </w:p>
    <w:p w:rsidR="005614D3" w:rsidRDefault="005614D3" w:rsidP="003500B6">
      <w:pPr>
        <w:pStyle w:val="Sansinterligne"/>
      </w:pPr>
    </w:p>
    <w:p w:rsidR="005614D3" w:rsidRPr="005614D3" w:rsidRDefault="00D82AD3" w:rsidP="005614D3">
      <w:pPr>
        <w:pStyle w:val="Sansinterligne"/>
        <w:rPr>
          <w:b/>
        </w:rPr>
      </w:pPr>
      <w:r>
        <w:rPr>
          <w:noProof/>
          <w:lang w:eastAsia="fr-CA"/>
        </w:rPr>
        <w:drawing>
          <wp:anchor distT="0" distB="0" distL="114300" distR="114300" simplePos="0" relativeHeight="252140544" behindDoc="1" locked="0" layoutInCell="1" allowOverlap="1" wp14:anchorId="1AA87D81" wp14:editId="4CE36D38">
            <wp:simplePos x="0" y="0"/>
            <wp:positionH relativeFrom="column">
              <wp:posOffset>2830438</wp:posOffset>
            </wp:positionH>
            <wp:positionV relativeFrom="paragraph">
              <wp:posOffset>21590</wp:posOffset>
            </wp:positionV>
            <wp:extent cx="3725693" cy="2687248"/>
            <wp:effectExtent l="0" t="0" r="8255" b="0"/>
            <wp:wrapNone/>
            <wp:docPr id="623" name="Image 623" descr="http://phprimer.afmc.ca/sites/default/files/primer_versions/57750/primer_images/image3.jpg?1365022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phprimer.afmc.ca/sites/default/files/primer_versions/57750/primer_images/image3.jpg?1365022002"/>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3725693" cy="2687248"/>
                    </a:xfrm>
                    <a:prstGeom prst="rect">
                      <a:avLst/>
                    </a:prstGeom>
                    <a:noFill/>
                    <a:ln>
                      <a:noFill/>
                    </a:ln>
                  </pic:spPr>
                </pic:pic>
              </a:graphicData>
            </a:graphic>
            <wp14:sizeRelH relativeFrom="page">
              <wp14:pctWidth>0</wp14:pctWidth>
            </wp14:sizeRelH>
            <wp14:sizeRelV relativeFrom="page">
              <wp14:pctHeight>0</wp14:pctHeight>
            </wp14:sizeRelV>
          </wp:anchor>
        </w:drawing>
      </w:r>
      <w:r w:rsidR="005614D3" w:rsidRPr="005614D3">
        <w:rPr>
          <w:b/>
        </w:rPr>
        <w:t>Maladies infectieuses</w:t>
      </w:r>
      <w:r>
        <w:rPr>
          <w:b/>
        </w:rPr>
        <w:t xml:space="preserve"> </w:t>
      </w:r>
      <w:r>
        <w:rPr>
          <w:rFonts w:ascii="Century Gothic" w:hAnsi="Century Gothic"/>
        </w:rPr>
        <w:t>→</w:t>
      </w:r>
      <w:r>
        <w:t xml:space="preserve"> briser la triade</w:t>
      </w:r>
      <w:r w:rsidR="005614D3" w:rsidRPr="005614D3">
        <w:rPr>
          <w:b/>
        </w:rPr>
        <w:t xml:space="preserve"> </w:t>
      </w:r>
    </w:p>
    <w:p w:rsidR="005614D3" w:rsidRDefault="005614D3" w:rsidP="003500B6">
      <w:pPr>
        <w:pStyle w:val="Sansinterligne"/>
      </w:pPr>
    </w:p>
    <w:p w:rsidR="005614D3" w:rsidRPr="005614D3" w:rsidRDefault="005614D3" w:rsidP="003500B6">
      <w:pPr>
        <w:pStyle w:val="Sansinterligne"/>
        <w:rPr>
          <w:u w:val="single"/>
        </w:rPr>
      </w:pPr>
      <w:r w:rsidRPr="005614D3">
        <w:rPr>
          <w:u w:val="single"/>
        </w:rPr>
        <w:t>Hôte</w:t>
      </w:r>
    </w:p>
    <w:p w:rsidR="005614D3" w:rsidRDefault="005614D3" w:rsidP="00D82AD3">
      <w:pPr>
        <w:pStyle w:val="Sansinterligne"/>
        <w:numPr>
          <w:ilvl w:val="0"/>
          <w:numId w:val="1351"/>
        </w:numPr>
      </w:pPr>
      <w:r>
        <w:t>Immuniser (vaccination)</w:t>
      </w:r>
    </w:p>
    <w:p w:rsidR="005614D3" w:rsidRDefault="005614D3" w:rsidP="00D82AD3">
      <w:pPr>
        <w:pStyle w:val="Sansinterligne"/>
        <w:numPr>
          <w:ilvl w:val="0"/>
          <w:numId w:val="1351"/>
        </w:numPr>
      </w:pPr>
      <w:r>
        <w:t>Améliorer son état de santé (nutrition, etc.)</w:t>
      </w:r>
    </w:p>
    <w:p w:rsidR="005614D3" w:rsidRDefault="005614D3" w:rsidP="00D82AD3">
      <w:pPr>
        <w:pStyle w:val="Sansinterligne"/>
        <w:numPr>
          <w:ilvl w:val="0"/>
          <w:numId w:val="1351"/>
        </w:numPr>
      </w:pPr>
      <w:r>
        <w:t>Traiter la maladie</w:t>
      </w:r>
    </w:p>
    <w:p w:rsidR="005614D3" w:rsidRDefault="005614D3" w:rsidP="003500B6">
      <w:pPr>
        <w:pStyle w:val="Sansinterligne"/>
      </w:pPr>
    </w:p>
    <w:p w:rsidR="005614D3" w:rsidRPr="005614D3" w:rsidRDefault="005614D3" w:rsidP="003500B6">
      <w:pPr>
        <w:pStyle w:val="Sansinterligne"/>
        <w:rPr>
          <w:u w:val="single"/>
        </w:rPr>
      </w:pPr>
      <w:r w:rsidRPr="005614D3">
        <w:rPr>
          <w:u w:val="single"/>
        </w:rPr>
        <w:t>Environnement</w:t>
      </w:r>
    </w:p>
    <w:p w:rsidR="005614D3" w:rsidRDefault="005614D3" w:rsidP="00D82AD3">
      <w:pPr>
        <w:pStyle w:val="Sansinterligne"/>
        <w:numPr>
          <w:ilvl w:val="0"/>
          <w:numId w:val="1350"/>
        </w:numPr>
      </w:pPr>
      <w:r>
        <w:rPr>
          <w:rFonts w:ascii="Century Gothic" w:hAnsi="Century Gothic"/>
        </w:rPr>
        <w:t>↑</w:t>
      </w:r>
      <w:r>
        <w:t xml:space="preserve"> qualité de l’eau</w:t>
      </w:r>
    </w:p>
    <w:p w:rsidR="005614D3" w:rsidRDefault="005614D3" w:rsidP="00D82AD3">
      <w:pPr>
        <w:pStyle w:val="Sansinterligne"/>
        <w:numPr>
          <w:ilvl w:val="0"/>
          <w:numId w:val="1350"/>
        </w:numPr>
      </w:pPr>
      <w:r>
        <w:t>Logements adéquats</w:t>
      </w:r>
    </w:p>
    <w:p w:rsidR="005614D3" w:rsidRDefault="005614D3" w:rsidP="00D82AD3">
      <w:pPr>
        <w:pStyle w:val="Sansinterligne"/>
        <w:numPr>
          <w:ilvl w:val="0"/>
          <w:numId w:val="1350"/>
        </w:numPr>
      </w:pPr>
      <w:r>
        <w:t>Quarantaine</w:t>
      </w:r>
    </w:p>
    <w:p w:rsidR="005614D3" w:rsidRDefault="005614D3" w:rsidP="00D82AD3">
      <w:pPr>
        <w:pStyle w:val="Sansinterligne"/>
        <w:numPr>
          <w:ilvl w:val="0"/>
          <w:numId w:val="1350"/>
        </w:numPr>
      </w:pPr>
      <w:r>
        <w:t>Éducation (ex : lavage des mains)</w:t>
      </w:r>
    </w:p>
    <w:p w:rsidR="005614D3" w:rsidRDefault="005614D3" w:rsidP="003500B6">
      <w:pPr>
        <w:pStyle w:val="Sansinterligne"/>
      </w:pPr>
    </w:p>
    <w:p w:rsidR="005614D3" w:rsidRPr="005614D3" w:rsidRDefault="005614D3" w:rsidP="003500B6">
      <w:pPr>
        <w:pStyle w:val="Sansinterligne"/>
        <w:rPr>
          <w:u w:val="single"/>
        </w:rPr>
      </w:pPr>
      <w:r w:rsidRPr="005614D3">
        <w:rPr>
          <w:u w:val="single"/>
        </w:rPr>
        <w:t>Agent infectieux</w:t>
      </w:r>
    </w:p>
    <w:p w:rsidR="005614D3" w:rsidRDefault="005614D3" w:rsidP="00D82AD3">
      <w:pPr>
        <w:pStyle w:val="Sansinterligne"/>
        <w:numPr>
          <w:ilvl w:val="0"/>
          <w:numId w:val="1352"/>
        </w:numPr>
      </w:pPr>
      <w:r>
        <w:t>Éradiquer (vaccination de masse)</w:t>
      </w:r>
    </w:p>
    <w:p w:rsidR="005614D3" w:rsidRDefault="005614D3" w:rsidP="00D82AD3">
      <w:pPr>
        <w:pStyle w:val="Sansinterligne"/>
        <w:numPr>
          <w:ilvl w:val="0"/>
          <w:numId w:val="1352"/>
        </w:numPr>
      </w:pPr>
      <w:r>
        <w:t>Éliminer les réservoirs (ex : rats)</w:t>
      </w:r>
    </w:p>
    <w:p w:rsidR="005614D3" w:rsidRDefault="005614D3" w:rsidP="003500B6">
      <w:pPr>
        <w:pStyle w:val="Sansinterligne"/>
      </w:pPr>
    </w:p>
    <w:p w:rsidR="00BE1693" w:rsidRPr="00D82AD3" w:rsidRDefault="00D82AD3" w:rsidP="003500B6">
      <w:pPr>
        <w:pStyle w:val="Sansinterligne"/>
        <w:rPr>
          <w:b/>
        </w:rPr>
      </w:pPr>
      <w:r w:rsidRPr="00D82AD3">
        <w:rPr>
          <w:b/>
        </w:rPr>
        <w:t>Maladies professionnelles</w:t>
      </w:r>
      <w:r w:rsidR="00051CCE">
        <w:rPr>
          <w:b/>
        </w:rPr>
        <w:t xml:space="preserve"> (bruit, poussière, chaleur, froid)</w:t>
      </w:r>
    </w:p>
    <w:p w:rsidR="00D82AD3" w:rsidRDefault="00D82AD3" w:rsidP="003500B6">
      <w:pPr>
        <w:pStyle w:val="Sansinterligne"/>
      </w:pPr>
    </w:p>
    <w:p w:rsidR="00D82AD3" w:rsidRDefault="00D82AD3" w:rsidP="00D82AD3">
      <w:pPr>
        <w:pStyle w:val="Sansinterligne"/>
        <w:ind w:right="27"/>
        <w:rPr>
          <w:u w:val="single"/>
        </w:rPr>
        <w:sectPr w:rsidR="00D82AD3" w:rsidSect="00217865">
          <w:type w:val="continuous"/>
          <w:pgSz w:w="12240" w:h="15840"/>
          <w:pgMar w:top="720" w:right="720" w:bottom="720" w:left="720" w:header="708" w:footer="708" w:gutter="0"/>
          <w:cols w:space="708"/>
          <w:docGrid w:linePitch="360"/>
        </w:sectPr>
      </w:pPr>
    </w:p>
    <w:p w:rsidR="00D82AD3" w:rsidRPr="00D82AD3" w:rsidRDefault="00D82AD3" w:rsidP="00D82AD3">
      <w:pPr>
        <w:pStyle w:val="Sansinterligne"/>
        <w:ind w:right="27"/>
        <w:rPr>
          <w:u w:val="single"/>
        </w:rPr>
      </w:pPr>
      <w:r w:rsidRPr="00D82AD3">
        <w:rPr>
          <w:u w:val="single"/>
        </w:rPr>
        <w:t>Source</w:t>
      </w:r>
    </w:p>
    <w:p w:rsidR="00D82AD3" w:rsidRDefault="00D82AD3" w:rsidP="00721F25">
      <w:pPr>
        <w:pStyle w:val="Sansinterligne"/>
        <w:numPr>
          <w:ilvl w:val="0"/>
          <w:numId w:val="1355"/>
        </w:numPr>
        <w:ind w:right="27"/>
      </w:pPr>
      <w:r>
        <w:t>Isoler la source</w:t>
      </w:r>
    </w:p>
    <w:p w:rsidR="00D82AD3" w:rsidRDefault="00D82AD3" w:rsidP="00721F25">
      <w:pPr>
        <w:pStyle w:val="Sansinterligne"/>
        <w:numPr>
          <w:ilvl w:val="0"/>
          <w:numId w:val="1355"/>
        </w:numPr>
        <w:ind w:right="27"/>
      </w:pPr>
      <w:r>
        <w:t>Repenser le fonctionnement</w:t>
      </w:r>
    </w:p>
    <w:p w:rsidR="00D82AD3" w:rsidRDefault="00D82AD3" w:rsidP="00721F25">
      <w:pPr>
        <w:pStyle w:val="Sansinterligne"/>
        <w:numPr>
          <w:ilvl w:val="0"/>
          <w:numId w:val="1355"/>
        </w:numPr>
        <w:ind w:right="27"/>
      </w:pPr>
      <w:r>
        <w:t>Modifier ou remplacer</w:t>
      </w:r>
    </w:p>
    <w:p w:rsidR="00D82AD3" w:rsidRDefault="00D82AD3" w:rsidP="00D82AD3">
      <w:pPr>
        <w:pStyle w:val="Sansinterligne"/>
        <w:ind w:right="27"/>
      </w:pPr>
    </w:p>
    <w:p w:rsidR="00D82AD3" w:rsidRPr="00D82AD3" w:rsidRDefault="00D82AD3" w:rsidP="007B02BD">
      <w:pPr>
        <w:pStyle w:val="Sansinterligne"/>
        <w:ind w:right="27"/>
        <w:rPr>
          <w:u w:val="single"/>
        </w:rPr>
      </w:pPr>
      <w:r w:rsidRPr="00D82AD3">
        <w:rPr>
          <w:u w:val="single"/>
        </w:rPr>
        <w:t>Voie</w:t>
      </w:r>
    </w:p>
    <w:p w:rsidR="00D82AD3" w:rsidRDefault="00D82AD3" w:rsidP="00721F25">
      <w:pPr>
        <w:pStyle w:val="Sansinterligne"/>
        <w:numPr>
          <w:ilvl w:val="0"/>
          <w:numId w:val="1355"/>
        </w:numPr>
        <w:ind w:right="27"/>
      </w:pPr>
      <w:r>
        <w:t>Obstruer (toiles)</w:t>
      </w:r>
    </w:p>
    <w:p w:rsidR="00D82AD3" w:rsidRDefault="00D82AD3" w:rsidP="00721F25">
      <w:pPr>
        <w:pStyle w:val="Sansinterligne"/>
        <w:numPr>
          <w:ilvl w:val="0"/>
          <w:numId w:val="1355"/>
        </w:numPr>
        <w:ind w:right="27"/>
      </w:pPr>
      <w:r>
        <w:t>Aérer (ventilation)</w:t>
      </w:r>
    </w:p>
    <w:p w:rsidR="00D82AD3" w:rsidRDefault="00D82AD3" w:rsidP="00721F25">
      <w:pPr>
        <w:pStyle w:val="Sansinterligne"/>
        <w:numPr>
          <w:ilvl w:val="0"/>
          <w:numId w:val="1355"/>
        </w:numPr>
        <w:ind w:right="27"/>
      </w:pPr>
      <w:r>
        <w:t>Absorber (filtres, etc.)</w:t>
      </w:r>
    </w:p>
    <w:p w:rsidR="00D82AD3" w:rsidRDefault="00D82AD3" w:rsidP="00D82AD3">
      <w:pPr>
        <w:pStyle w:val="Sansinterligne"/>
        <w:ind w:right="27"/>
      </w:pPr>
    </w:p>
    <w:p w:rsidR="00D82AD3" w:rsidRPr="00D82AD3" w:rsidRDefault="00D82AD3" w:rsidP="007B02BD">
      <w:pPr>
        <w:pStyle w:val="Sansinterligne"/>
        <w:ind w:right="27"/>
        <w:rPr>
          <w:u w:val="single"/>
        </w:rPr>
      </w:pPr>
      <w:r w:rsidRPr="00D82AD3">
        <w:rPr>
          <w:u w:val="single"/>
        </w:rPr>
        <w:t>Récepteur</w:t>
      </w:r>
    </w:p>
    <w:p w:rsidR="00D82AD3" w:rsidRDefault="00D82AD3" w:rsidP="00721F25">
      <w:pPr>
        <w:pStyle w:val="Sansinterligne"/>
        <w:numPr>
          <w:ilvl w:val="0"/>
          <w:numId w:val="1355"/>
        </w:numPr>
        <w:ind w:right="27"/>
      </w:pPr>
      <w:r>
        <w:t>Isoler (cabine)</w:t>
      </w:r>
    </w:p>
    <w:p w:rsidR="00D82AD3" w:rsidRDefault="00D82AD3" w:rsidP="00721F25">
      <w:pPr>
        <w:pStyle w:val="Sansinterligne"/>
        <w:numPr>
          <w:ilvl w:val="0"/>
          <w:numId w:val="1355"/>
        </w:numPr>
        <w:ind w:right="27"/>
      </w:pPr>
      <w:r>
        <w:t>Relocaliser (changer d’endroit)</w:t>
      </w:r>
    </w:p>
    <w:p w:rsidR="00D82AD3" w:rsidRDefault="00D82AD3" w:rsidP="00721F25">
      <w:pPr>
        <w:pStyle w:val="Sansinterligne"/>
        <w:numPr>
          <w:ilvl w:val="0"/>
          <w:numId w:val="1355"/>
        </w:numPr>
        <w:ind w:right="27"/>
      </w:pPr>
      <w:r>
        <w:t>Protéger (casques, lunettes)</w:t>
      </w:r>
    </w:p>
    <w:p w:rsidR="00D82AD3" w:rsidRDefault="00D82AD3" w:rsidP="003500B6">
      <w:pPr>
        <w:pStyle w:val="Sansinterligne"/>
      </w:pPr>
    </w:p>
    <w:p w:rsidR="00D82AD3" w:rsidRDefault="00D61C37" w:rsidP="003500B6">
      <w:pPr>
        <w:pStyle w:val="Sansinterligne"/>
      </w:pPr>
      <w:r>
        <w:rPr>
          <w:noProof/>
          <w:lang w:eastAsia="fr-CA"/>
        </w:rPr>
        <w:drawing>
          <wp:anchor distT="0" distB="0" distL="114300" distR="114300" simplePos="0" relativeHeight="252141568" behindDoc="0" locked="0" layoutInCell="1" allowOverlap="1" wp14:anchorId="4BE1CF64" wp14:editId="30DE0532">
            <wp:simplePos x="0" y="0"/>
            <wp:positionH relativeFrom="column">
              <wp:posOffset>-163830</wp:posOffset>
            </wp:positionH>
            <wp:positionV relativeFrom="paragraph">
              <wp:posOffset>-3810</wp:posOffset>
            </wp:positionV>
            <wp:extent cx="3054350" cy="787400"/>
            <wp:effectExtent l="0" t="0" r="0" b="0"/>
            <wp:wrapNone/>
            <wp:docPr id="624" name="Imag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VR.png"/>
                    <pic:cNvPicPr/>
                  </pic:nvPicPr>
                  <pic:blipFill rotWithShape="1">
                    <a:blip r:embed="rId263">
                      <a:extLst>
                        <a:ext uri="{28A0092B-C50C-407E-A947-70E740481C1C}">
                          <a14:useLocalDpi xmlns:a14="http://schemas.microsoft.com/office/drawing/2010/main" val="0"/>
                        </a:ext>
                      </a:extLst>
                    </a:blip>
                    <a:srcRect t="10953" b="15113"/>
                    <a:stretch/>
                  </pic:blipFill>
                  <pic:spPr bwMode="auto">
                    <a:xfrm>
                      <a:off x="0" y="0"/>
                      <a:ext cx="3054350" cy="7874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D82AD3" w:rsidRDefault="00D82AD3" w:rsidP="003500B6">
      <w:pPr>
        <w:pStyle w:val="Sansinterligne"/>
      </w:pPr>
    </w:p>
    <w:p w:rsidR="00D82AD3" w:rsidRDefault="00D82AD3" w:rsidP="003500B6">
      <w:pPr>
        <w:pStyle w:val="Sansinterligne"/>
      </w:pPr>
    </w:p>
    <w:p w:rsidR="00D82AD3" w:rsidRDefault="00D82AD3" w:rsidP="003500B6">
      <w:pPr>
        <w:pStyle w:val="Sansinterligne"/>
      </w:pPr>
    </w:p>
    <w:p w:rsidR="00D82AD3" w:rsidRDefault="00D82AD3" w:rsidP="003500B6">
      <w:pPr>
        <w:pStyle w:val="Sansinterligne"/>
        <w:sectPr w:rsidR="00D82AD3" w:rsidSect="00D82AD3">
          <w:type w:val="continuous"/>
          <w:pgSz w:w="12240" w:h="15840"/>
          <w:pgMar w:top="720" w:right="4727" w:bottom="720" w:left="720" w:header="708" w:footer="708" w:gutter="0"/>
          <w:cols w:num="2" w:space="708"/>
          <w:docGrid w:linePitch="360"/>
        </w:sectPr>
      </w:pPr>
    </w:p>
    <w:p w:rsidR="00D82AD3" w:rsidRDefault="00D82AD3" w:rsidP="003500B6">
      <w:pPr>
        <w:pStyle w:val="Sansinterligne"/>
      </w:pPr>
    </w:p>
    <w:p w:rsidR="00051CCE" w:rsidRPr="00051CCE" w:rsidRDefault="00BE1693" w:rsidP="003500B6">
      <w:pPr>
        <w:pStyle w:val="Sansinterligne"/>
        <w:rPr>
          <w:b/>
          <w:sz w:val="28"/>
          <w:szCs w:val="28"/>
        </w:rPr>
      </w:pPr>
      <w:r w:rsidRPr="00051CCE">
        <w:rPr>
          <w:b/>
          <w:sz w:val="28"/>
          <w:szCs w:val="28"/>
        </w:rPr>
        <w:t xml:space="preserve">Communication </w:t>
      </w:r>
      <w:r w:rsidR="00051CCE" w:rsidRPr="00051CCE">
        <w:rPr>
          <w:b/>
          <w:sz w:val="28"/>
          <w:szCs w:val="28"/>
        </w:rPr>
        <w:t>du message de prévention</w:t>
      </w:r>
    </w:p>
    <w:p w:rsidR="00051CCE" w:rsidRDefault="00051CCE" w:rsidP="003500B6">
      <w:pPr>
        <w:pStyle w:val="Sansinterligne"/>
      </w:pPr>
    </w:p>
    <w:p w:rsidR="0027793B" w:rsidRPr="0027793B" w:rsidRDefault="0027793B" w:rsidP="003500B6">
      <w:pPr>
        <w:pStyle w:val="Sansinterligne"/>
        <w:rPr>
          <w:u w:val="single"/>
        </w:rPr>
      </w:pPr>
      <w:r w:rsidRPr="0027793B">
        <w:rPr>
          <w:u w:val="single"/>
        </w:rPr>
        <w:t>Au niveau communautaire</w:t>
      </w:r>
    </w:p>
    <w:p w:rsidR="0027793B" w:rsidRDefault="0027793B" w:rsidP="008955E5">
      <w:pPr>
        <w:pStyle w:val="Sansinterligne"/>
        <w:numPr>
          <w:ilvl w:val="0"/>
          <w:numId w:val="1353"/>
        </w:numPr>
      </w:pPr>
      <w:r>
        <w:t>Tenir compte du contexte culturel</w:t>
      </w:r>
    </w:p>
    <w:p w:rsidR="0027793B" w:rsidRDefault="0027793B" w:rsidP="008955E5">
      <w:pPr>
        <w:pStyle w:val="Sansinterligne"/>
        <w:numPr>
          <w:ilvl w:val="0"/>
          <w:numId w:val="1353"/>
        </w:numPr>
      </w:pPr>
      <w:r>
        <w:t>Consulter les intervenants déjà en place, les élus</w:t>
      </w:r>
    </w:p>
    <w:p w:rsidR="0027793B" w:rsidRDefault="0027793B" w:rsidP="008955E5">
      <w:pPr>
        <w:pStyle w:val="Sansinterligne"/>
        <w:numPr>
          <w:ilvl w:val="0"/>
          <w:numId w:val="1353"/>
        </w:numPr>
      </w:pPr>
      <w:r>
        <w:t>Évaluer les besoins et la faisabilité des interventions</w:t>
      </w:r>
    </w:p>
    <w:p w:rsidR="008955E5" w:rsidRDefault="008955E5" w:rsidP="008955E5">
      <w:pPr>
        <w:pStyle w:val="Sansinterligne"/>
        <w:numPr>
          <w:ilvl w:val="0"/>
          <w:numId w:val="1353"/>
        </w:numPr>
      </w:pPr>
      <w:r>
        <w:t>Promotion de la santé concerne l’environnement global et les déterminants de la santé (ex : offre de sports)</w:t>
      </w:r>
    </w:p>
    <w:p w:rsidR="008955E5" w:rsidRDefault="008955E5" w:rsidP="008955E5">
      <w:pPr>
        <w:pStyle w:val="Sansinterligne"/>
        <w:numPr>
          <w:ilvl w:val="0"/>
          <w:numId w:val="1353"/>
        </w:numPr>
      </w:pPr>
      <w:r>
        <w:t>Prévention vise des actions concrètes et ciblées sur certain groupes (ex : vitesse au volant)</w:t>
      </w:r>
    </w:p>
    <w:p w:rsidR="008955E5" w:rsidRDefault="008955E5" w:rsidP="008955E5">
      <w:pPr>
        <w:pStyle w:val="Sansinterligne"/>
        <w:numPr>
          <w:ilvl w:val="0"/>
          <w:numId w:val="1353"/>
        </w:numPr>
      </w:pPr>
      <w:r>
        <w:t>Balancer le poids entre réduction du risque et réduction des méfaits</w:t>
      </w:r>
    </w:p>
    <w:p w:rsidR="00C8061B" w:rsidRDefault="00C8061B" w:rsidP="003500B6">
      <w:pPr>
        <w:pStyle w:val="Sansinterligne"/>
      </w:pPr>
    </w:p>
    <w:p w:rsidR="00C8061B" w:rsidRPr="0027793B" w:rsidRDefault="0027793B" w:rsidP="003500B6">
      <w:pPr>
        <w:pStyle w:val="Sansinterligne"/>
        <w:rPr>
          <w:u w:val="single"/>
        </w:rPr>
      </w:pPr>
      <w:r w:rsidRPr="0027793B">
        <w:rPr>
          <w:u w:val="single"/>
        </w:rPr>
        <w:t>Au niveau des individus</w:t>
      </w:r>
    </w:p>
    <w:p w:rsidR="0027793B" w:rsidRDefault="008955E5" w:rsidP="008955E5">
      <w:pPr>
        <w:pStyle w:val="Sansinterligne"/>
        <w:numPr>
          <w:ilvl w:val="0"/>
          <w:numId w:val="1354"/>
        </w:numPr>
      </w:pPr>
      <w:r w:rsidRPr="008955E5">
        <w:rPr>
          <w:i/>
          <w:noProof/>
          <w:lang w:eastAsia="fr-CA"/>
        </w:rPr>
        <w:drawing>
          <wp:anchor distT="0" distB="0" distL="114300" distR="114300" simplePos="0" relativeHeight="252142592" behindDoc="0" locked="0" layoutInCell="1" allowOverlap="1" wp14:anchorId="507A2F26" wp14:editId="7A6F926D">
            <wp:simplePos x="0" y="0"/>
            <wp:positionH relativeFrom="column">
              <wp:posOffset>4501460</wp:posOffset>
            </wp:positionH>
            <wp:positionV relativeFrom="paragraph">
              <wp:posOffset>92710</wp:posOffset>
            </wp:positionV>
            <wp:extent cx="2586990" cy="2586990"/>
            <wp:effectExtent l="0" t="0" r="0" b="0"/>
            <wp:wrapNone/>
            <wp:docPr id="625" name="Image 625" descr="Résultats de recherche d'images pour « prochaska et diclemente 199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Résultats de recherche d'images pour « prochaska et diclemente 1992 »"/>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2586990" cy="2586990"/>
                    </a:xfrm>
                    <a:prstGeom prst="rect">
                      <a:avLst/>
                    </a:prstGeom>
                    <a:noFill/>
                    <a:ln>
                      <a:noFill/>
                    </a:ln>
                  </pic:spPr>
                </pic:pic>
              </a:graphicData>
            </a:graphic>
            <wp14:sizeRelH relativeFrom="page">
              <wp14:pctWidth>0</wp14:pctWidth>
            </wp14:sizeRelH>
            <wp14:sizeRelV relativeFrom="page">
              <wp14:pctHeight>0</wp14:pctHeight>
            </wp14:sizeRelV>
          </wp:anchor>
        </w:drawing>
      </w:r>
      <w:r w:rsidR="0027793B">
        <w:t>Dans nos messages de prévention et promotion de la santé, il faut tenir compte :</w:t>
      </w:r>
    </w:p>
    <w:p w:rsidR="0027793B" w:rsidRDefault="0027793B" w:rsidP="008955E5">
      <w:pPr>
        <w:pStyle w:val="Sansinterligne"/>
        <w:numPr>
          <w:ilvl w:val="0"/>
          <w:numId w:val="1354"/>
        </w:numPr>
      </w:pPr>
      <w:r>
        <w:t>Du contexte culturel</w:t>
      </w:r>
      <w:r w:rsidR="008955E5">
        <w:t xml:space="preserve"> (ex : manger du porc chez une famille juive)</w:t>
      </w:r>
    </w:p>
    <w:p w:rsidR="0027793B" w:rsidRDefault="0027793B" w:rsidP="008955E5">
      <w:pPr>
        <w:pStyle w:val="Sansinterligne"/>
        <w:numPr>
          <w:ilvl w:val="0"/>
          <w:numId w:val="1354"/>
        </w:numPr>
      </w:pPr>
      <w:r>
        <w:t>Du contexte familial</w:t>
      </w:r>
      <w:r w:rsidR="008955E5">
        <w:t xml:space="preserve"> (ex : revenus disponibles, faisabilité, etc.)</w:t>
      </w:r>
    </w:p>
    <w:p w:rsidR="008955E5" w:rsidRDefault="008955E5" w:rsidP="008955E5">
      <w:pPr>
        <w:pStyle w:val="Sansinterligne"/>
        <w:numPr>
          <w:ilvl w:val="0"/>
          <w:numId w:val="1354"/>
        </w:numPr>
      </w:pPr>
      <w:r>
        <w:t>Du stade de changement du patient (bon conseil, au bon moment)</w:t>
      </w:r>
    </w:p>
    <w:p w:rsidR="0027793B" w:rsidRDefault="0027793B" w:rsidP="003500B6">
      <w:pPr>
        <w:pStyle w:val="Sansinterligne"/>
      </w:pPr>
    </w:p>
    <w:p w:rsidR="003500B6" w:rsidRPr="008955E5" w:rsidRDefault="0027793B" w:rsidP="003500B6">
      <w:pPr>
        <w:pStyle w:val="Sansinterligne"/>
        <w:rPr>
          <w:highlight w:val="yellow"/>
          <w:u w:val="single"/>
        </w:rPr>
      </w:pPr>
      <w:r w:rsidRPr="008955E5">
        <w:rPr>
          <w:highlight w:val="yellow"/>
          <w:u w:val="single"/>
        </w:rPr>
        <w:t>Étapes</w:t>
      </w:r>
      <w:r w:rsidR="00BE1693" w:rsidRPr="008955E5">
        <w:rPr>
          <w:highlight w:val="yellow"/>
          <w:u w:val="single"/>
        </w:rPr>
        <w:t xml:space="preserve"> du changement </w:t>
      </w:r>
      <w:r w:rsidRPr="008955E5">
        <w:rPr>
          <w:highlight w:val="yellow"/>
          <w:u w:val="single"/>
        </w:rPr>
        <w:t xml:space="preserve">(modèle de </w:t>
      </w:r>
      <w:r w:rsidR="00BE1693" w:rsidRPr="008955E5">
        <w:rPr>
          <w:highlight w:val="yellow"/>
          <w:u w:val="single"/>
        </w:rPr>
        <w:t>Prochaska</w:t>
      </w:r>
      <w:r w:rsidR="00585E5F">
        <w:rPr>
          <w:highlight w:val="yellow"/>
          <w:u w:val="single"/>
        </w:rPr>
        <w:t xml:space="preserve"> et DiClemente</w:t>
      </w:r>
      <w:r w:rsidRPr="008955E5">
        <w:rPr>
          <w:highlight w:val="yellow"/>
          <w:u w:val="single"/>
        </w:rPr>
        <w:t>)</w:t>
      </w:r>
    </w:p>
    <w:p w:rsidR="00C8061B" w:rsidRPr="008955E5" w:rsidRDefault="0027793B" w:rsidP="00721F25">
      <w:pPr>
        <w:pStyle w:val="Sansinterligne"/>
        <w:numPr>
          <w:ilvl w:val="0"/>
          <w:numId w:val="1360"/>
        </w:numPr>
        <w:rPr>
          <w:highlight w:val="yellow"/>
        </w:rPr>
      </w:pPr>
      <w:r w:rsidRPr="008955E5">
        <w:rPr>
          <w:i/>
          <w:highlight w:val="yellow"/>
        </w:rPr>
        <w:t>Pré contemplation</w:t>
      </w:r>
      <w:r w:rsidR="008955E5" w:rsidRPr="008955E5">
        <w:rPr>
          <w:i/>
          <w:highlight w:val="yellow"/>
        </w:rPr>
        <w:t> </w:t>
      </w:r>
      <w:r w:rsidR="008955E5" w:rsidRPr="008955E5">
        <w:rPr>
          <w:highlight w:val="yellow"/>
        </w:rPr>
        <w:t>: Pas en considération de changement</w:t>
      </w:r>
    </w:p>
    <w:p w:rsidR="0027793B" w:rsidRPr="008955E5" w:rsidRDefault="0027793B" w:rsidP="00721F25">
      <w:pPr>
        <w:pStyle w:val="Sansinterligne"/>
        <w:numPr>
          <w:ilvl w:val="0"/>
          <w:numId w:val="1360"/>
        </w:numPr>
        <w:rPr>
          <w:highlight w:val="yellow"/>
        </w:rPr>
      </w:pPr>
      <w:r w:rsidRPr="008955E5">
        <w:rPr>
          <w:i/>
          <w:highlight w:val="yellow"/>
        </w:rPr>
        <w:t>Contemplation</w:t>
      </w:r>
      <w:r w:rsidR="008955E5" w:rsidRPr="008955E5">
        <w:rPr>
          <w:highlight w:val="yellow"/>
        </w:rPr>
        <w:t> : Considère de changer son comportement éventuellement</w:t>
      </w:r>
    </w:p>
    <w:p w:rsidR="0027793B" w:rsidRPr="008955E5" w:rsidRDefault="0027793B" w:rsidP="00721F25">
      <w:pPr>
        <w:pStyle w:val="Sansinterligne"/>
        <w:numPr>
          <w:ilvl w:val="0"/>
          <w:numId w:val="1360"/>
        </w:numPr>
        <w:rPr>
          <w:highlight w:val="yellow"/>
        </w:rPr>
      </w:pPr>
      <w:r w:rsidRPr="008955E5">
        <w:rPr>
          <w:i/>
          <w:highlight w:val="yellow"/>
        </w:rPr>
        <w:t>Détermination</w:t>
      </w:r>
      <w:r w:rsidR="00EA58A1">
        <w:rPr>
          <w:highlight w:val="yellow"/>
        </w:rPr>
        <w:t> : Petits changements, résolu</w:t>
      </w:r>
      <w:r w:rsidR="008955E5" w:rsidRPr="008955E5">
        <w:rPr>
          <w:highlight w:val="yellow"/>
        </w:rPr>
        <w:t xml:space="preserve"> à agir bientôt</w:t>
      </w:r>
    </w:p>
    <w:p w:rsidR="0027793B" w:rsidRPr="008955E5" w:rsidRDefault="0027793B" w:rsidP="00721F25">
      <w:pPr>
        <w:pStyle w:val="Sansinterligne"/>
        <w:numPr>
          <w:ilvl w:val="0"/>
          <w:numId w:val="1360"/>
        </w:numPr>
        <w:rPr>
          <w:highlight w:val="yellow"/>
        </w:rPr>
      </w:pPr>
      <w:r w:rsidRPr="008955E5">
        <w:rPr>
          <w:i/>
          <w:highlight w:val="yellow"/>
        </w:rPr>
        <w:t>Action</w:t>
      </w:r>
      <w:r w:rsidR="008955E5" w:rsidRPr="008955E5">
        <w:rPr>
          <w:highlight w:val="yellow"/>
        </w:rPr>
        <w:t> : Changements actifs dans sa vie</w:t>
      </w:r>
    </w:p>
    <w:p w:rsidR="0027793B" w:rsidRPr="008955E5" w:rsidRDefault="0027793B" w:rsidP="00721F25">
      <w:pPr>
        <w:pStyle w:val="Sansinterligne"/>
        <w:numPr>
          <w:ilvl w:val="0"/>
          <w:numId w:val="1360"/>
        </w:numPr>
        <w:rPr>
          <w:highlight w:val="yellow"/>
        </w:rPr>
      </w:pPr>
      <w:r w:rsidRPr="008955E5">
        <w:rPr>
          <w:i/>
          <w:highlight w:val="yellow"/>
        </w:rPr>
        <w:t>Maintenance</w:t>
      </w:r>
      <w:r w:rsidR="008955E5" w:rsidRPr="008955E5">
        <w:rPr>
          <w:highlight w:val="yellow"/>
        </w:rPr>
        <w:t> : Apprend à persévérer, doit lutter contre l’abandon, la tentation</w:t>
      </w:r>
    </w:p>
    <w:p w:rsidR="0027793B" w:rsidRDefault="0027793B" w:rsidP="00721F25">
      <w:pPr>
        <w:pStyle w:val="Sansinterligne"/>
        <w:numPr>
          <w:ilvl w:val="0"/>
          <w:numId w:val="1360"/>
        </w:numPr>
      </w:pPr>
      <w:r w:rsidRPr="008955E5">
        <w:rPr>
          <w:i/>
          <w:highlight w:val="yellow"/>
        </w:rPr>
        <w:t>Rechute</w:t>
      </w:r>
      <w:r w:rsidR="008955E5" w:rsidRPr="008955E5">
        <w:rPr>
          <w:highlight w:val="yellow"/>
        </w:rPr>
        <w:t> : Fait partie  du cycle, peut survenir n’importe quand</w:t>
      </w:r>
    </w:p>
    <w:p w:rsidR="008955E5" w:rsidRDefault="008955E5" w:rsidP="0027793B">
      <w:pPr>
        <w:pStyle w:val="Sansinterligne"/>
      </w:pPr>
    </w:p>
    <w:p w:rsidR="0027793B" w:rsidRPr="003D7F74" w:rsidRDefault="003D7F74" w:rsidP="0027793B">
      <w:pPr>
        <w:pStyle w:val="Sansinterligne"/>
        <w:rPr>
          <w:b/>
          <w:sz w:val="28"/>
          <w:szCs w:val="28"/>
        </w:rPr>
      </w:pPr>
      <w:r w:rsidRPr="003D7F74">
        <w:rPr>
          <w:b/>
          <w:sz w:val="28"/>
          <w:szCs w:val="28"/>
        </w:rPr>
        <w:t>Surveillance</w:t>
      </w:r>
      <w:r w:rsidR="0027793B" w:rsidRPr="003D7F74">
        <w:rPr>
          <w:b/>
          <w:sz w:val="28"/>
          <w:szCs w:val="28"/>
        </w:rPr>
        <w:t xml:space="preserve"> des maladies</w:t>
      </w:r>
    </w:p>
    <w:p w:rsidR="003D7F74" w:rsidRDefault="003D7F74" w:rsidP="00721F25">
      <w:pPr>
        <w:pStyle w:val="Sansinterligne"/>
        <w:numPr>
          <w:ilvl w:val="0"/>
          <w:numId w:val="1356"/>
        </w:numPr>
        <w:ind w:right="3996"/>
      </w:pPr>
      <w:r>
        <w:t>Essentielle afin d’orienter les politiques de santé, la distribution de ressources et les priorités de santé</w:t>
      </w:r>
    </w:p>
    <w:p w:rsidR="003D7F74" w:rsidRDefault="003D7F74" w:rsidP="00721F25">
      <w:pPr>
        <w:pStyle w:val="Sansinterligne"/>
        <w:numPr>
          <w:ilvl w:val="0"/>
          <w:numId w:val="1356"/>
        </w:numPr>
        <w:ind w:right="3996"/>
      </w:pPr>
      <w:r>
        <w:t>Essentiellement basés sur les déclarations médicales et de laboratoires (MADO,</w:t>
      </w:r>
      <w:r w:rsidR="003E3326">
        <w:t xml:space="preserve"> signalements,</w:t>
      </w:r>
      <w:r>
        <w:t xml:space="preserve"> profils de sensibilités bactériennes, enquêtes du coroners, etc.)</w:t>
      </w:r>
    </w:p>
    <w:p w:rsidR="003D7F74" w:rsidRDefault="003D7F74" w:rsidP="00721F25">
      <w:pPr>
        <w:pStyle w:val="Sansinterligne"/>
        <w:numPr>
          <w:ilvl w:val="0"/>
          <w:numId w:val="1356"/>
        </w:numPr>
        <w:ind w:right="3996"/>
      </w:pPr>
      <w:r>
        <w:t>Enquêtes de prévalence et incidence</w:t>
      </w:r>
    </w:p>
    <w:p w:rsidR="003D7F74" w:rsidRDefault="003D7F74" w:rsidP="0027793B">
      <w:pPr>
        <w:pStyle w:val="Sansinterligne"/>
      </w:pPr>
    </w:p>
    <w:p w:rsidR="0027793B" w:rsidRPr="003D7F74" w:rsidRDefault="0027793B" w:rsidP="0027793B">
      <w:pPr>
        <w:pStyle w:val="Sansinterligne"/>
        <w:rPr>
          <w:b/>
          <w:sz w:val="28"/>
          <w:szCs w:val="28"/>
        </w:rPr>
      </w:pPr>
      <w:r w:rsidRPr="003D7F74">
        <w:rPr>
          <w:b/>
          <w:sz w:val="28"/>
          <w:szCs w:val="28"/>
        </w:rPr>
        <w:t>Éthique</w:t>
      </w:r>
      <w:r w:rsidR="003D7F74">
        <w:rPr>
          <w:b/>
          <w:sz w:val="28"/>
          <w:szCs w:val="28"/>
        </w:rPr>
        <w:t xml:space="preserve"> et</w:t>
      </w:r>
      <w:r w:rsidRPr="003D7F74">
        <w:rPr>
          <w:b/>
          <w:sz w:val="28"/>
          <w:szCs w:val="28"/>
        </w:rPr>
        <w:t xml:space="preserve"> mesures</w:t>
      </w:r>
      <w:r w:rsidR="003D7F74">
        <w:rPr>
          <w:b/>
          <w:sz w:val="28"/>
          <w:szCs w:val="28"/>
        </w:rPr>
        <w:t xml:space="preserve"> de santé publique</w:t>
      </w:r>
    </w:p>
    <w:p w:rsidR="003D7F74" w:rsidRDefault="003D7F74" w:rsidP="0027793B">
      <w:pPr>
        <w:pStyle w:val="Sansinterligne"/>
      </w:pPr>
    </w:p>
    <w:p w:rsidR="003D7F74" w:rsidRPr="003D7F74" w:rsidRDefault="003D7F74" w:rsidP="0027793B">
      <w:pPr>
        <w:pStyle w:val="Sansinterligne"/>
        <w:rPr>
          <w:u w:val="single"/>
        </w:rPr>
      </w:pPr>
      <w:r w:rsidRPr="003D7F74">
        <w:rPr>
          <w:u w:val="single"/>
        </w:rPr>
        <w:t xml:space="preserve">Dilemme du législateur / gouvernement </w:t>
      </w:r>
    </w:p>
    <w:p w:rsidR="003D7F74" w:rsidRDefault="003D7F74" w:rsidP="00721F25">
      <w:pPr>
        <w:pStyle w:val="Sansinterligne"/>
        <w:numPr>
          <w:ilvl w:val="0"/>
          <w:numId w:val="1357"/>
        </w:numPr>
      </w:pPr>
      <w:r>
        <w:t>En effet, des mesures agressives doivent parfois être prises pour prévenir la propagation de maladie ou réduire la mortalité. Toutefois, certaines actions restreignent les droits et liberté des citoyens</w:t>
      </w:r>
    </w:p>
    <w:p w:rsidR="003D7F74" w:rsidRDefault="003D7F74" w:rsidP="00721F25">
      <w:pPr>
        <w:pStyle w:val="Sansinterligne"/>
        <w:numPr>
          <w:ilvl w:val="0"/>
          <w:numId w:val="1357"/>
        </w:numPr>
      </w:pPr>
      <w:r>
        <w:t>Il faut peser le pour et le contre (nombre de personnes touchées, nombre de vies ou de maladies évitées, etc.)</w:t>
      </w:r>
    </w:p>
    <w:p w:rsidR="003D7F74" w:rsidRDefault="003D7F74" w:rsidP="00721F25">
      <w:pPr>
        <w:pStyle w:val="Sansinterligne"/>
        <w:numPr>
          <w:ilvl w:val="0"/>
          <w:numId w:val="1357"/>
        </w:numPr>
      </w:pPr>
      <w:r>
        <w:t>Pensons par exemple :</w:t>
      </w:r>
    </w:p>
    <w:p w:rsidR="003D7F74" w:rsidRDefault="003D7F74" w:rsidP="00721F25">
      <w:pPr>
        <w:pStyle w:val="Sansinterligne"/>
        <w:numPr>
          <w:ilvl w:val="0"/>
          <w:numId w:val="1358"/>
        </w:numPr>
      </w:pPr>
      <w:r>
        <w:t>À la restriction du tabagisme dans les endroits publics (droit à la liberté)</w:t>
      </w:r>
    </w:p>
    <w:p w:rsidR="003D7F74" w:rsidRDefault="003D7F74" w:rsidP="00721F25">
      <w:pPr>
        <w:pStyle w:val="Sansinterligne"/>
        <w:numPr>
          <w:ilvl w:val="0"/>
          <w:numId w:val="1358"/>
        </w:numPr>
      </w:pPr>
      <w:r>
        <w:t>Aux maladies à traitement obligatoire (Tuberculose) (droit de refuser un traitement)</w:t>
      </w:r>
    </w:p>
    <w:p w:rsidR="00C8061B" w:rsidRDefault="00A42DF4" w:rsidP="003500B6">
      <w:pPr>
        <w:pStyle w:val="Sansinterligne"/>
      </w:pPr>
      <w:r>
        <w:rPr>
          <w:noProof/>
          <w:lang w:eastAsia="fr-CA"/>
        </w:rPr>
        <w:drawing>
          <wp:anchor distT="0" distB="0" distL="114300" distR="114300" simplePos="0" relativeHeight="252144640" behindDoc="0" locked="0" layoutInCell="1" allowOverlap="1" wp14:anchorId="255166B2" wp14:editId="3EDD8152">
            <wp:simplePos x="0" y="0"/>
            <wp:positionH relativeFrom="column">
              <wp:posOffset>4064635</wp:posOffset>
            </wp:positionH>
            <wp:positionV relativeFrom="paragraph">
              <wp:posOffset>142240</wp:posOffset>
            </wp:positionV>
            <wp:extent cx="2618105" cy="2217420"/>
            <wp:effectExtent l="0" t="0" r="0" b="0"/>
            <wp:wrapNone/>
            <wp:docPr id="627" name="Image 627" descr="Résultats de recherche d'images pour « promotion de la santé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Résultats de recherche d'images pour « promotion de la santé »"/>
                    <pic:cNvPicPr>
                      <a:picLocks noChangeAspect="1" noChangeArrowheads="1"/>
                    </pic:cNvPicPr>
                  </pic:nvPicPr>
                  <pic:blipFill>
                    <a:blip r:embed="rId265" cstate="print">
                      <a:extLst>
                        <a:ext uri="{28A0092B-C50C-407E-A947-70E740481C1C}">
                          <a14:useLocalDpi xmlns:a14="http://schemas.microsoft.com/office/drawing/2010/main" val="0"/>
                        </a:ext>
                      </a:extLst>
                    </a:blip>
                    <a:srcRect/>
                    <a:stretch>
                      <a:fillRect/>
                    </a:stretch>
                  </pic:blipFill>
                  <pic:spPr bwMode="auto">
                    <a:xfrm>
                      <a:off x="0" y="0"/>
                      <a:ext cx="2618105" cy="22174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D7F74" w:rsidRPr="007C54A1" w:rsidRDefault="003D7F74" w:rsidP="0027793B">
      <w:pPr>
        <w:pStyle w:val="Sansinterligne"/>
        <w:rPr>
          <w:u w:val="single"/>
        </w:rPr>
      </w:pPr>
      <w:r w:rsidRPr="007C54A1">
        <w:rPr>
          <w:u w:val="single"/>
        </w:rPr>
        <w:t>Charte d’Ottawa sur la promotion de la santé (1986)</w:t>
      </w:r>
    </w:p>
    <w:p w:rsidR="0027793B" w:rsidRPr="00A42DF4" w:rsidRDefault="003D7F74" w:rsidP="0027793B">
      <w:pPr>
        <w:pStyle w:val="Sansinterligne"/>
        <w:rPr>
          <w:highlight w:val="yellow"/>
        </w:rPr>
      </w:pPr>
      <w:r w:rsidRPr="00A42DF4">
        <w:rPr>
          <w:highlight w:val="yellow"/>
        </w:rPr>
        <w:t>Stratégies :</w:t>
      </w:r>
      <w:r w:rsidR="00A42DF4" w:rsidRPr="00A42DF4">
        <w:t xml:space="preserve"> </w:t>
      </w:r>
    </w:p>
    <w:p w:rsidR="00A42DF4" w:rsidRDefault="0027793B" w:rsidP="00721F25">
      <w:pPr>
        <w:pStyle w:val="Sansinterligne"/>
        <w:numPr>
          <w:ilvl w:val="0"/>
          <w:numId w:val="1359"/>
        </w:numPr>
        <w:ind w:right="4563"/>
        <w:rPr>
          <w:highlight w:val="yellow"/>
        </w:rPr>
      </w:pPr>
      <w:r w:rsidRPr="00A42DF4">
        <w:rPr>
          <w:highlight w:val="yellow"/>
        </w:rPr>
        <w:t>Politiques de santé publique</w:t>
      </w:r>
      <w:r w:rsidR="00585E5F" w:rsidRPr="00A42DF4">
        <w:rPr>
          <w:highlight w:val="yellow"/>
        </w:rPr>
        <w:t xml:space="preserve"> </w:t>
      </w:r>
    </w:p>
    <w:p w:rsidR="0027793B" w:rsidRPr="00A42DF4" w:rsidRDefault="00B53B99" w:rsidP="00A42DF4">
      <w:pPr>
        <w:pStyle w:val="Sansinterligne"/>
        <w:ind w:left="720" w:right="4563"/>
        <w:rPr>
          <w:highlight w:val="yellow"/>
        </w:rPr>
      </w:pPr>
      <w:r w:rsidRPr="00A42DF4">
        <w:rPr>
          <w:highlight w:val="yellow"/>
        </w:rPr>
        <w:t>(loi sur les salons de bronzage, loi sur le tabac)</w:t>
      </w:r>
    </w:p>
    <w:p w:rsidR="00A42DF4" w:rsidRDefault="0027793B" w:rsidP="00721F25">
      <w:pPr>
        <w:pStyle w:val="Sansinterligne"/>
        <w:numPr>
          <w:ilvl w:val="0"/>
          <w:numId w:val="1359"/>
        </w:numPr>
        <w:ind w:right="4563"/>
        <w:rPr>
          <w:highlight w:val="yellow"/>
        </w:rPr>
      </w:pPr>
      <w:r w:rsidRPr="00A42DF4">
        <w:rPr>
          <w:highlight w:val="yellow"/>
        </w:rPr>
        <w:t>Environnement</w:t>
      </w:r>
      <w:r w:rsidR="00585E5F" w:rsidRPr="00A42DF4">
        <w:rPr>
          <w:highlight w:val="yellow"/>
        </w:rPr>
        <w:t xml:space="preserve"> et milieux favorables </w:t>
      </w:r>
    </w:p>
    <w:p w:rsidR="0027793B" w:rsidRPr="00A42DF4" w:rsidRDefault="007C54A1" w:rsidP="00A42DF4">
      <w:pPr>
        <w:pStyle w:val="Sansinterligne"/>
        <w:ind w:left="720" w:right="4563"/>
        <w:rPr>
          <w:highlight w:val="yellow"/>
        </w:rPr>
      </w:pPr>
      <w:r w:rsidRPr="00A42DF4">
        <w:rPr>
          <w:highlight w:val="yellow"/>
        </w:rPr>
        <w:t>(accès handicapés, logements à prix modique, etc.)</w:t>
      </w:r>
    </w:p>
    <w:p w:rsidR="00A42DF4" w:rsidRDefault="0027793B" w:rsidP="00721F25">
      <w:pPr>
        <w:pStyle w:val="Sansinterligne"/>
        <w:numPr>
          <w:ilvl w:val="0"/>
          <w:numId w:val="1359"/>
        </w:numPr>
        <w:ind w:right="4563"/>
        <w:rPr>
          <w:highlight w:val="yellow"/>
        </w:rPr>
      </w:pPr>
      <w:r w:rsidRPr="00A42DF4">
        <w:rPr>
          <w:highlight w:val="yellow"/>
        </w:rPr>
        <w:t>Renforcement de l’action communautaire</w:t>
      </w:r>
      <w:r w:rsidR="007C54A1" w:rsidRPr="00A42DF4">
        <w:rPr>
          <w:highlight w:val="yellow"/>
        </w:rPr>
        <w:t xml:space="preserve"> </w:t>
      </w:r>
    </w:p>
    <w:p w:rsidR="0027793B" w:rsidRPr="00A42DF4" w:rsidRDefault="007C54A1" w:rsidP="00A42DF4">
      <w:pPr>
        <w:pStyle w:val="Sansinterligne"/>
        <w:ind w:left="720" w:right="4563"/>
        <w:rPr>
          <w:highlight w:val="yellow"/>
        </w:rPr>
      </w:pPr>
      <w:r w:rsidRPr="00A42DF4">
        <w:rPr>
          <w:highlight w:val="yellow"/>
        </w:rPr>
        <w:t>(supporter les ONG en santé communautaire)</w:t>
      </w:r>
    </w:p>
    <w:p w:rsidR="0027793B" w:rsidRPr="00A42DF4" w:rsidRDefault="0027793B" w:rsidP="00721F25">
      <w:pPr>
        <w:pStyle w:val="Sansinterligne"/>
        <w:numPr>
          <w:ilvl w:val="0"/>
          <w:numId w:val="1359"/>
        </w:numPr>
        <w:ind w:right="4563"/>
        <w:rPr>
          <w:highlight w:val="yellow"/>
        </w:rPr>
      </w:pPr>
      <w:r w:rsidRPr="00A42DF4">
        <w:rPr>
          <w:highlight w:val="yellow"/>
        </w:rPr>
        <w:t>Développement des compétences personnelles (autonomisation</w:t>
      </w:r>
      <w:r w:rsidR="007C54A1" w:rsidRPr="00A42DF4">
        <w:rPr>
          <w:highlight w:val="yellow"/>
        </w:rPr>
        <w:t>, éducation</w:t>
      </w:r>
      <w:r w:rsidR="00585E5F" w:rsidRPr="00A42DF4">
        <w:rPr>
          <w:highlight w:val="yellow"/>
        </w:rPr>
        <w:t>, défis 5-30</w:t>
      </w:r>
      <w:r w:rsidRPr="00A42DF4">
        <w:rPr>
          <w:highlight w:val="yellow"/>
        </w:rPr>
        <w:t>)</w:t>
      </w:r>
    </w:p>
    <w:p w:rsidR="00A42DF4" w:rsidRDefault="0027793B" w:rsidP="00721F25">
      <w:pPr>
        <w:pStyle w:val="Sansinterligne"/>
        <w:numPr>
          <w:ilvl w:val="0"/>
          <w:numId w:val="1359"/>
        </w:numPr>
        <w:ind w:right="4563"/>
        <w:rPr>
          <w:highlight w:val="yellow"/>
        </w:rPr>
      </w:pPr>
      <w:r w:rsidRPr="00A42DF4">
        <w:rPr>
          <w:highlight w:val="yellow"/>
        </w:rPr>
        <w:t>Réorientation des services de santé</w:t>
      </w:r>
      <w:r w:rsidR="007C54A1" w:rsidRPr="00A42DF4">
        <w:rPr>
          <w:highlight w:val="yellow"/>
        </w:rPr>
        <w:t xml:space="preserve"> </w:t>
      </w:r>
    </w:p>
    <w:p w:rsidR="0027793B" w:rsidRPr="00A42DF4" w:rsidRDefault="007C54A1" w:rsidP="00A42DF4">
      <w:pPr>
        <w:pStyle w:val="Sansinterligne"/>
        <w:ind w:left="720" w:right="4563"/>
        <w:rPr>
          <w:highlight w:val="yellow"/>
        </w:rPr>
      </w:pPr>
      <w:r w:rsidRPr="00A42DF4">
        <w:rPr>
          <w:highlight w:val="yellow"/>
        </w:rPr>
        <w:t>(soins adaptés, axe de prévention plutôt que traitement)</w:t>
      </w:r>
    </w:p>
    <w:p w:rsidR="007C54A1" w:rsidRDefault="007C54A1" w:rsidP="0027793B">
      <w:pPr>
        <w:pStyle w:val="Sansinterligne"/>
      </w:pPr>
    </w:p>
    <w:p w:rsidR="00C8061B" w:rsidRPr="00A03E62" w:rsidRDefault="003500B6" w:rsidP="003500B6">
      <w:pPr>
        <w:pStyle w:val="Sansinterligne"/>
        <w:rPr>
          <w:b/>
          <w:sz w:val="28"/>
          <w:szCs w:val="28"/>
        </w:rPr>
      </w:pPr>
      <w:r w:rsidRPr="00A03E62">
        <w:rPr>
          <w:b/>
          <w:sz w:val="28"/>
          <w:szCs w:val="28"/>
        </w:rPr>
        <w:t>Facteurs de promotion de la santé</w:t>
      </w:r>
    </w:p>
    <w:p w:rsidR="00A03E62" w:rsidRDefault="00A03E62" w:rsidP="00721F25">
      <w:pPr>
        <w:pStyle w:val="Sansinterligne"/>
        <w:numPr>
          <w:ilvl w:val="0"/>
          <w:numId w:val="1362"/>
        </w:numPr>
      </w:pPr>
      <w:r>
        <w:t>Entreprises favorisant l’activité physique</w:t>
      </w:r>
    </w:p>
    <w:p w:rsidR="00A03E62" w:rsidRDefault="00A03E62" w:rsidP="00721F25">
      <w:pPr>
        <w:pStyle w:val="Sansinterligne"/>
        <w:numPr>
          <w:ilvl w:val="0"/>
          <w:numId w:val="1362"/>
        </w:numPr>
      </w:pPr>
      <w:r>
        <w:t>Promotion de la santé mentale et du bien-être</w:t>
      </w:r>
    </w:p>
    <w:p w:rsidR="00A03E62" w:rsidRDefault="00A03E62" w:rsidP="00721F25">
      <w:pPr>
        <w:pStyle w:val="Sansinterligne"/>
        <w:numPr>
          <w:ilvl w:val="0"/>
          <w:numId w:val="1362"/>
        </w:numPr>
      </w:pPr>
      <w:r>
        <w:t>Parcs et milieux extérieures agréable</w:t>
      </w:r>
    </w:p>
    <w:p w:rsidR="002B0127" w:rsidRDefault="002B0127" w:rsidP="00721F25">
      <w:pPr>
        <w:pStyle w:val="Sansinterligne"/>
        <w:numPr>
          <w:ilvl w:val="0"/>
          <w:numId w:val="1362"/>
        </w:numPr>
      </w:pPr>
      <w:r>
        <w:t>Coussins gonflables de protection dans les véhicules</w:t>
      </w:r>
    </w:p>
    <w:p w:rsidR="00A03E62" w:rsidRDefault="00A03E62" w:rsidP="00721F25">
      <w:pPr>
        <w:pStyle w:val="Sansinterligne"/>
        <w:numPr>
          <w:ilvl w:val="0"/>
          <w:numId w:val="1362"/>
        </w:numPr>
      </w:pPr>
      <w:r>
        <w:t>Normes environnementales exigeantes, etc.</w:t>
      </w:r>
    </w:p>
    <w:p w:rsidR="00A03E62" w:rsidRDefault="00A42DF4" w:rsidP="00721F25">
      <w:pPr>
        <w:pStyle w:val="Sansinterligne"/>
        <w:numPr>
          <w:ilvl w:val="0"/>
          <w:numId w:val="1362"/>
        </w:numPr>
      </w:pPr>
      <w:r>
        <w:rPr>
          <w:noProof/>
          <w:lang w:eastAsia="fr-CA"/>
        </w:rPr>
        <w:drawing>
          <wp:anchor distT="0" distB="0" distL="114300" distR="114300" simplePos="0" relativeHeight="252143616" behindDoc="1" locked="0" layoutInCell="1" allowOverlap="1" wp14:anchorId="52B70BA4" wp14:editId="53467F26">
            <wp:simplePos x="0" y="0"/>
            <wp:positionH relativeFrom="column">
              <wp:posOffset>3783965</wp:posOffset>
            </wp:positionH>
            <wp:positionV relativeFrom="paragraph">
              <wp:posOffset>144780</wp:posOffset>
            </wp:positionV>
            <wp:extent cx="3049270" cy="1529080"/>
            <wp:effectExtent l="0" t="0" r="0" b="0"/>
            <wp:wrapNone/>
            <wp:docPr id="626" name="Image 626" descr="Résultats de recherche d'images pour « promotion de la santé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Résultats de recherche d'images pour « promotion de la santé »"/>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3049270" cy="1529080"/>
                    </a:xfrm>
                    <a:prstGeom prst="rect">
                      <a:avLst/>
                    </a:prstGeom>
                    <a:noFill/>
                    <a:ln>
                      <a:noFill/>
                    </a:ln>
                  </pic:spPr>
                </pic:pic>
              </a:graphicData>
            </a:graphic>
            <wp14:sizeRelH relativeFrom="page">
              <wp14:pctWidth>0</wp14:pctWidth>
            </wp14:sizeRelH>
            <wp14:sizeRelV relativeFrom="page">
              <wp14:pctHeight>0</wp14:pctHeight>
            </wp14:sizeRelV>
          </wp:anchor>
        </w:drawing>
      </w:r>
      <w:r w:rsidR="00A03E62">
        <w:t>Initiatives citoyennes, gouvernementales ou de groupes sociaux dans la communauté</w:t>
      </w:r>
    </w:p>
    <w:p w:rsidR="00A03E62" w:rsidRDefault="00A03E62" w:rsidP="00721F25">
      <w:pPr>
        <w:pStyle w:val="Sansinterligne"/>
        <w:numPr>
          <w:ilvl w:val="0"/>
          <w:numId w:val="1362"/>
        </w:numPr>
      </w:pPr>
      <w:r w:rsidRPr="00A42DF4">
        <w:rPr>
          <w:highlight w:val="yellow"/>
        </w:rPr>
        <w:t>Va au-delà de la prévention par un changement du mode de vie</w:t>
      </w:r>
      <w:r>
        <w:t> :</w:t>
      </w:r>
    </w:p>
    <w:p w:rsidR="00A03E62" w:rsidRDefault="00A03E62" w:rsidP="00721F25">
      <w:pPr>
        <w:pStyle w:val="Sansinterligne"/>
        <w:numPr>
          <w:ilvl w:val="0"/>
          <w:numId w:val="1363"/>
        </w:numPr>
      </w:pPr>
      <w:r>
        <w:t>Arrêt tabagique</w:t>
      </w:r>
    </w:p>
    <w:p w:rsidR="00A03E62" w:rsidRDefault="00A03E62" w:rsidP="00721F25">
      <w:pPr>
        <w:pStyle w:val="Sansinterligne"/>
        <w:numPr>
          <w:ilvl w:val="0"/>
          <w:numId w:val="1363"/>
        </w:numPr>
      </w:pPr>
      <w:r>
        <w:t>Activité physique régulière</w:t>
      </w:r>
    </w:p>
    <w:p w:rsidR="00A03E62" w:rsidRDefault="00A03E62" w:rsidP="00721F25">
      <w:pPr>
        <w:pStyle w:val="Sansinterligne"/>
        <w:numPr>
          <w:ilvl w:val="0"/>
          <w:numId w:val="1363"/>
        </w:numPr>
      </w:pPr>
      <w:r>
        <w:t>Alimentation diversifiée, riche en fruits et légumes</w:t>
      </w:r>
    </w:p>
    <w:p w:rsidR="00A03E62" w:rsidRDefault="00A03E62" w:rsidP="00721F25">
      <w:pPr>
        <w:pStyle w:val="Sansinterligne"/>
        <w:numPr>
          <w:ilvl w:val="0"/>
          <w:numId w:val="1363"/>
        </w:numPr>
      </w:pPr>
      <w:r>
        <w:t>Éviter la consommation d’alcool et de drogues</w:t>
      </w:r>
    </w:p>
    <w:p w:rsidR="00A03E62" w:rsidRDefault="00A03E62" w:rsidP="00721F25">
      <w:pPr>
        <w:pStyle w:val="Sansinterligne"/>
        <w:numPr>
          <w:ilvl w:val="0"/>
          <w:numId w:val="1363"/>
        </w:numPr>
      </w:pPr>
      <w:r>
        <w:t>Équilibre travail/famille</w:t>
      </w:r>
    </w:p>
    <w:p w:rsidR="00A03E62" w:rsidRDefault="00A03E62" w:rsidP="00721F25">
      <w:pPr>
        <w:pStyle w:val="Sansinterligne"/>
        <w:numPr>
          <w:ilvl w:val="0"/>
          <w:numId w:val="1363"/>
        </w:numPr>
      </w:pPr>
      <w:r>
        <w:t>Allaitement</w:t>
      </w:r>
    </w:p>
    <w:p w:rsidR="00A03E62" w:rsidRDefault="00A03E62" w:rsidP="003500B6">
      <w:pPr>
        <w:pStyle w:val="Sansinterligne"/>
      </w:pPr>
    </w:p>
    <w:p w:rsidR="003500B6" w:rsidRPr="00B53B99" w:rsidRDefault="003500B6" w:rsidP="003500B6">
      <w:pPr>
        <w:pStyle w:val="Sansinterligne"/>
        <w:rPr>
          <w:b/>
          <w:sz w:val="28"/>
          <w:szCs w:val="28"/>
        </w:rPr>
      </w:pPr>
      <w:r w:rsidRPr="00B53B99">
        <w:rPr>
          <w:b/>
          <w:sz w:val="28"/>
          <w:szCs w:val="28"/>
        </w:rPr>
        <w:t xml:space="preserve">Rôle des organismes et </w:t>
      </w:r>
      <w:r w:rsidR="00B53B99">
        <w:rPr>
          <w:b/>
          <w:sz w:val="28"/>
          <w:szCs w:val="28"/>
        </w:rPr>
        <w:t>des travailleurs sociaux</w:t>
      </w:r>
    </w:p>
    <w:p w:rsidR="00B53B99" w:rsidRDefault="00B53B99" w:rsidP="003500B6">
      <w:pPr>
        <w:pStyle w:val="Sansinterligne"/>
      </w:pPr>
    </w:p>
    <w:p w:rsidR="00B53B99" w:rsidRDefault="00B53B99" w:rsidP="00721F25">
      <w:pPr>
        <w:pStyle w:val="Sansinterligne"/>
        <w:numPr>
          <w:ilvl w:val="0"/>
          <w:numId w:val="1361"/>
        </w:numPr>
      </w:pPr>
      <w:r>
        <w:t>Ces organismes ont des missions spécifiques et dispensent des soins et offrent des ressources, souvent abordables aux patients qui ne peuvent attendre (liste d’attente) ou n’ont pas les moyens.</w:t>
      </w:r>
    </w:p>
    <w:p w:rsidR="00B53B99" w:rsidRDefault="00B53B99" w:rsidP="00721F25">
      <w:pPr>
        <w:pStyle w:val="Sansinterligne"/>
        <w:numPr>
          <w:ilvl w:val="0"/>
          <w:numId w:val="1361"/>
        </w:numPr>
      </w:pPr>
      <w:r>
        <w:t>Ils ont également de l’expertise avec certaines clientèles (ex : AA, PIPQ, sites d’injections, travailleurs de rue, etc.)</w:t>
      </w:r>
    </w:p>
    <w:p w:rsidR="00B53B99" w:rsidRDefault="00B53B99" w:rsidP="00721F25">
      <w:pPr>
        <w:pStyle w:val="Sansinterligne"/>
        <w:numPr>
          <w:ilvl w:val="0"/>
          <w:numId w:val="1361"/>
        </w:numPr>
      </w:pPr>
      <w:r>
        <w:t xml:space="preserve">Les travailleurs sociaux peuvent également accompagner les patients dans leur démarche et agir comme facilitateur au niveau social afin d’avoir accès à des ressources et des moyens d’améliorer leur santé. Il ne faut donc pas se </w:t>
      </w:r>
      <w:r w:rsidR="00A42DF4">
        <w:t>priver</w:t>
      </w:r>
      <w:r>
        <w:t xml:space="preserve"> de leurs services !</w:t>
      </w:r>
    </w:p>
    <w:p w:rsidR="00B53B99" w:rsidRDefault="00B53B99" w:rsidP="003500B6">
      <w:pPr>
        <w:pStyle w:val="Sansinterligne"/>
      </w:pPr>
    </w:p>
    <w:p w:rsidR="00CF1B8C" w:rsidRPr="00E53A44" w:rsidRDefault="003500B6" w:rsidP="003500B6">
      <w:pPr>
        <w:pStyle w:val="Sansinterligne"/>
        <w:rPr>
          <w:b/>
          <w:sz w:val="28"/>
          <w:szCs w:val="28"/>
        </w:rPr>
      </w:pPr>
      <w:r w:rsidRPr="00B53B99">
        <w:rPr>
          <w:b/>
          <w:sz w:val="28"/>
          <w:szCs w:val="28"/>
        </w:rPr>
        <w:t>I</w:t>
      </w:r>
      <w:r w:rsidR="00B53B99" w:rsidRPr="00B53B99">
        <w:rPr>
          <w:b/>
          <w:sz w:val="28"/>
          <w:szCs w:val="28"/>
        </w:rPr>
        <w:t>mpacts des interventions communautaires</w:t>
      </w:r>
    </w:p>
    <w:p w:rsidR="00CF1B8C" w:rsidRDefault="00CF1B8C" w:rsidP="003500B6">
      <w:pPr>
        <w:pStyle w:val="Sansinterligne"/>
      </w:pPr>
    </w:p>
    <w:p w:rsidR="00E53A44" w:rsidRPr="00E53A44" w:rsidRDefault="00E53A44" w:rsidP="003500B6">
      <w:pPr>
        <w:pStyle w:val="Sansinterligne"/>
        <w:rPr>
          <w:u w:val="single"/>
        </w:rPr>
      </w:pPr>
      <w:r w:rsidRPr="00E53A44">
        <w:rPr>
          <w:u w:val="single"/>
        </w:rPr>
        <w:t>Exemples</w:t>
      </w:r>
    </w:p>
    <w:p w:rsidR="00CF1B8C" w:rsidRDefault="00CF1B8C" w:rsidP="00721F25">
      <w:pPr>
        <w:pStyle w:val="Sansinterligne"/>
        <w:numPr>
          <w:ilvl w:val="0"/>
          <w:numId w:val="1364"/>
        </w:numPr>
      </w:pPr>
      <w:r>
        <w:t>La loi sur le tabac a permis d’accélérer la tendance à la baisse du tabagisme.</w:t>
      </w:r>
    </w:p>
    <w:p w:rsidR="003500B6" w:rsidRDefault="00CF1B8C" w:rsidP="00721F25">
      <w:pPr>
        <w:pStyle w:val="Sansinterligne"/>
        <w:numPr>
          <w:ilvl w:val="0"/>
          <w:numId w:val="1364"/>
        </w:numPr>
      </w:pPr>
      <w:r>
        <w:t>Elle améliore également la santé des non-fumeurs en réduisant leur exposition à la fumée secondaire</w:t>
      </w:r>
    </w:p>
    <w:p w:rsidR="003500B6" w:rsidRDefault="00CF1B8C" w:rsidP="00721F25">
      <w:pPr>
        <w:pStyle w:val="Sansinterligne"/>
        <w:numPr>
          <w:ilvl w:val="0"/>
          <w:numId w:val="1364"/>
        </w:numPr>
      </w:pPr>
      <w:r>
        <w:t xml:space="preserve">Le système de maladie à traitement obligatoire, conjointement à l’amélioration de l’hygiène et de la qualité des logements </w:t>
      </w:r>
      <w:r w:rsidR="00A42DF4">
        <w:t>a</w:t>
      </w:r>
      <w:r>
        <w:t xml:space="preserve"> permis la presque éradication de la turberculose au Canada (excepté dans les communautés autochtones, où ces conditions sont encore déficientes) </w:t>
      </w:r>
    </w:p>
    <w:p w:rsidR="00E53A44" w:rsidRDefault="00E53A44" w:rsidP="00721F25">
      <w:pPr>
        <w:pStyle w:val="Sansinterligne"/>
        <w:numPr>
          <w:ilvl w:val="0"/>
          <w:numId w:val="1364"/>
        </w:numPr>
      </w:pPr>
      <w:r>
        <w:t>Les lois sur le contrôle de la nourriture, l’emballe, l’étiquetage et les normes de réfrigération et manutention limitent le nombre d’intoxications alimentaires et permettent de retracer rapidement la source d’une contamination.</w:t>
      </w:r>
    </w:p>
    <w:p w:rsidR="00E53A44" w:rsidRDefault="00E53A44" w:rsidP="00721F25">
      <w:pPr>
        <w:pStyle w:val="Sansinterligne"/>
        <w:numPr>
          <w:ilvl w:val="0"/>
          <w:numId w:val="1364"/>
        </w:numPr>
      </w:pPr>
      <w:r>
        <w:t>Les lois et normes de pollution (ex : nombre de ppm d’une substance X acceptée dans l’air), permet de réduire l’exposition, notamment des travailleurs, à des substances cancérigènes ou toxiques.</w:t>
      </w:r>
    </w:p>
    <w:p w:rsidR="009246D0" w:rsidRPr="003500B6" w:rsidRDefault="00E53A44" w:rsidP="00721F25">
      <w:pPr>
        <w:pStyle w:val="Sansinterligne"/>
        <w:numPr>
          <w:ilvl w:val="0"/>
          <w:numId w:val="1364"/>
        </w:numPr>
      </w:pPr>
      <w:r>
        <w:t>L’interdiction du plomb dans les jouets pour enfant a permis d’éviter de nombreuses intoxications.</w:t>
      </w:r>
      <w:r w:rsidR="00A42DF4" w:rsidRPr="00A42DF4">
        <w:t xml:space="preserve"> </w:t>
      </w:r>
      <w:r w:rsidR="009246D0" w:rsidRPr="003500B6">
        <w:br w:type="page"/>
      </w:r>
    </w:p>
    <w:p w:rsidR="009246D0" w:rsidRDefault="009246D0" w:rsidP="00D859AA">
      <w:pPr>
        <w:spacing w:after="0"/>
        <w:rPr>
          <w:rFonts w:cs="Times New Roman"/>
          <w:b/>
          <w:color w:val="548DD4" w:themeColor="text2" w:themeTint="99"/>
        </w:rPr>
      </w:pPr>
      <w:r>
        <w:rPr>
          <w:rFonts w:cs="Times New Roman"/>
          <w:b/>
          <w:color w:val="548DD4" w:themeColor="text2" w:themeTint="99"/>
        </w:rPr>
        <w:t>CMC 78-4</w:t>
      </w:r>
    </w:p>
    <w:p w:rsidR="007456FF" w:rsidRPr="00482B93" w:rsidRDefault="007456FF" w:rsidP="00482B93">
      <w:pPr>
        <w:pStyle w:val="Titre3"/>
        <w:spacing w:before="0"/>
        <w:rPr>
          <w:rFonts w:ascii="Times New Roman" w:hAnsi="Times New Roman" w:cs="Times New Roman"/>
        </w:rPr>
      </w:pPr>
      <w:bookmarkStart w:id="278" w:name="_Toc480797313"/>
      <w:r w:rsidRPr="00482B93">
        <w:rPr>
          <w:rFonts w:ascii="Times New Roman" w:hAnsi="Times New Roman" w:cs="Times New Roman"/>
        </w:rPr>
        <w:t>Administration de programmes de santé efficaces à l’échelle de la population</w:t>
      </w:r>
      <w:bookmarkEnd w:id="278"/>
    </w:p>
    <w:tbl>
      <w:tblPr>
        <w:tblW w:w="3737" w:type="pct"/>
        <w:tblCellSpacing w:w="0" w:type="dxa"/>
        <w:tblCellMar>
          <w:left w:w="0" w:type="dxa"/>
          <w:right w:w="0" w:type="dxa"/>
        </w:tblCellMar>
        <w:tblLook w:val="04A0" w:firstRow="1" w:lastRow="0" w:firstColumn="1" w:lastColumn="0" w:noHBand="0" w:noVBand="1"/>
      </w:tblPr>
      <w:tblGrid>
        <w:gridCol w:w="8072"/>
      </w:tblGrid>
      <w:tr w:rsidR="00482B93" w:rsidRPr="00482B93" w:rsidTr="00482B93">
        <w:trPr>
          <w:tblCellSpacing w:w="0" w:type="dxa"/>
        </w:trPr>
        <w:tc>
          <w:tcPr>
            <w:tcW w:w="0" w:type="auto"/>
            <w:vAlign w:val="bottom"/>
            <w:hideMark/>
          </w:tcPr>
          <w:p w:rsidR="00482B93" w:rsidRPr="00482B93" w:rsidRDefault="00482B93" w:rsidP="00482B93">
            <w:pPr>
              <w:pStyle w:val="Sansinterligne"/>
              <w:spacing w:before="240"/>
              <w:rPr>
                <w:rFonts w:cs="Times New Roman"/>
                <w:b/>
                <w:sz w:val="18"/>
                <w:szCs w:val="18"/>
              </w:rPr>
            </w:pPr>
            <w:r>
              <w:rPr>
                <w:rFonts w:cs="Times New Roman"/>
                <w:b/>
                <w:noProof/>
                <w:sz w:val="18"/>
                <w:szCs w:val="18"/>
                <w:lang w:eastAsia="fr-CA"/>
              </w:rPr>
              <mc:AlternateContent>
                <mc:Choice Requires="wps">
                  <w:drawing>
                    <wp:anchor distT="0" distB="0" distL="114300" distR="114300" simplePos="0" relativeHeight="252120064" behindDoc="0" locked="0" layoutInCell="1" allowOverlap="1" wp14:anchorId="5288B636" wp14:editId="61C3148D">
                      <wp:simplePos x="0" y="0"/>
                      <wp:positionH relativeFrom="column">
                        <wp:posOffset>-87549</wp:posOffset>
                      </wp:positionH>
                      <wp:positionV relativeFrom="paragraph">
                        <wp:posOffset>94953</wp:posOffset>
                      </wp:positionV>
                      <wp:extent cx="6974732" cy="4212076"/>
                      <wp:effectExtent l="0" t="0" r="17145" b="17145"/>
                      <wp:wrapNone/>
                      <wp:docPr id="601" name="Rectangle 601"/>
                      <wp:cNvGraphicFramePr/>
                      <a:graphic xmlns:a="http://schemas.openxmlformats.org/drawingml/2006/main">
                        <a:graphicData uri="http://schemas.microsoft.com/office/word/2010/wordprocessingShape">
                          <wps:wsp>
                            <wps:cNvSpPr/>
                            <wps:spPr>
                              <a:xfrm>
                                <a:off x="0" y="0"/>
                                <a:ext cx="6974732" cy="4212076"/>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601" o:spid="_x0000_s1026" style="position:absolute;margin-left:-6.9pt;margin-top:7.5pt;width:549.2pt;height:331.65pt;z-index:2521200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" filled="f" strokecolor="black [1600]" strokeweight="2pt"/>
                  </w:pict>
                </mc:Fallback>
              </mc:AlternateContent>
            </w:r>
            <w:r w:rsidRPr="00482B93">
              <w:rPr>
                <w:rFonts w:cs="Times New Roman"/>
                <w:b/>
                <w:sz w:val="18"/>
                <w:szCs w:val="18"/>
              </w:rPr>
              <w:t>Objectifs principaux</w:t>
            </w:r>
          </w:p>
        </w:tc>
      </w:tr>
    </w:tbl>
    <w:p w:rsidR="009246D0" w:rsidRPr="00482B93" w:rsidRDefault="009246D0" w:rsidP="009246D0">
      <w:pPr>
        <w:numPr>
          <w:ilvl w:val="0"/>
          <w:numId w:val="1343"/>
        </w:numPr>
        <w:shd w:val="clear" w:color="auto" w:fill="FFFFFF"/>
        <w:spacing w:before="100" w:beforeAutospacing="1" w:after="100" w:afterAutospacing="1" w:line="240" w:lineRule="auto"/>
        <w:rPr>
          <w:rFonts w:cs="Times New Roman"/>
          <w:color w:val="000000"/>
          <w:sz w:val="18"/>
          <w:szCs w:val="18"/>
          <w:shd w:val="clear" w:color="auto" w:fill="FFFFFF"/>
        </w:rPr>
      </w:pPr>
      <w:r w:rsidRPr="00482B93">
        <w:rPr>
          <w:rFonts w:cs="Times New Roman"/>
          <w:color w:val="000000"/>
          <w:sz w:val="18"/>
          <w:szCs w:val="18"/>
          <w:shd w:val="clear" w:color="auto" w:fill="FFFFFF"/>
        </w:rPr>
        <w:t>Connaître et comprendre l'histoire, la structure et le fonctionnement du réseau de santé canadien.</w:t>
      </w:r>
    </w:p>
    <w:p w:rsidR="009246D0" w:rsidRPr="00482B93" w:rsidRDefault="009246D0" w:rsidP="009246D0">
      <w:pPr>
        <w:numPr>
          <w:ilvl w:val="0"/>
          <w:numId w:val="1343"/>
        </w:numPr>
        <w:shd w:val="clear" w:color="auto" w:fill="FFFFFF"/>
        <w:spacing w:before="100" w:beforeAutospacing="1" w:after="100" w:afterAutospacing="1" w:line="240" w:lineRule="auto"/>
        <w:rPr>
          <w:rFonts w:cs="Times New Roman"/>
          <w:color w:val="000000"/>
          <w:sz w:val="18"/>
          <w:szCs w:val="18"/>
          <w:shd w:val="clear" w:color="auto" w:fill="FFFFFF"/>
        </w:rPr>
      </w:pPr>
      <w:r w:rsidRPr="00482B93">
        <w:rPr>
          <w:rFonts w:cs="Times New Roman"/>
          <w:color w:val="000000"/>
          <w:sz w:val="18"/>
          <w:szCs w:val="18"/>
          <w:shd w:val="clear" w:color="auto" w:fill="FFFFFF"/>
        </w:rPr>
        <w:t>Posséder une certaine connaissance des évaluations économiques comme les analyses de rentabilité ainsi que des problèmes liés à la répartition des ressources.</w:t>
      </w:r>
    </w:p>
    <w:p w:rsidR="009246D0" w:rsidRPr="00482B93" w:rsidRDefault="009246D0" w:rsidP="009246D0">
      <w:pPr>
        <w:numPr>
          <w:ilvl w:val="0"/>
          <w:numId w:val="1343"/>
        </w:numPr>
        <w:shd w:val="clear" w:color="auto" w:fill="FFFFFF"/>
        <w:spacing w:before="100" w:beforeAutospacing="1" w:after="100" w:afterAutospacing="1" w:line="240" w:lineRule="auto"/>
        <w:rPr>
          <w:rFonts w:cs="Times New Roman"/>
          <w:color w:val="000000"/>
          <w:sz w:val="18"/>
          <w:szCs w:val="18"/>
          <w:shd w:val="clear" w:color="auto" w:fill="FFFFFF"/>
        </w:rPr>
      </w:pPr>
      <w:r w:rsidRPr="00482B93">
        <w:rPr>
          <w:rFonts w:cs="Times New Roman"/>
          <w:color w:val="000000"/>
          <w:sz w:val="18"/>
          <w:szCs w:val="18"/>
          <w:shd w:val="clear" w:color="auto" w:fill="FFFFFF"/>
        </w:rPr>
        <w:t>Décrire les méthodes d'évaluation de la qualité des soins et les méthodes d'amélioration de la qualité.</w:t>
      </w:r>
    </w:p>
    <w:tbl>
      <w:tblPr>
        <w:tblW w:w="3548" w:type="pct"/>
        <w:tblCellSpacing w:w="0" w:type="dxa"/>
        <w:tblCellMar>
          <w:left w:w="0" w:type="dxa"/>
          <w:right w:w="0" w:type="dxa"/>
        </w:tblCellMar>
        <w:tblLook w:val="04A0" w:firstRow="1" w:lastRow="0" w:firstColumn="1" w:lastColumn="0" w:noHBand="0" w:noVBand="1"/>
      </w:tblPr>
      <w:tblGrid>
        <w:gridCol w:w="7664"/>
      </w:tblGrid>
      <w:tr w:rsidR="00482B93" w:rsidRPr="00482B93" w:rsidTr="00482B93">
        <w:trPr>
          <w:tblCellSpacing w:w="0" w:type="dxa"/>
        </w:trPr>
        <w:tc>
          <w:tcPr>
            <w:tcW w:w="0" w:type="auto"/>
            <w:vAlign w:val="bottom"/>
            <w:hideMark/>
          </w:tcPr>
          <w:p w:rsidR="00482B93" w:rsidRPr="00482B93" w:rsidRDefault="00482B93" w:rsidP="00482B93">
            <w:pPr>
              <w:pStyle w:val="Sansinterligne"/>
              <w:rPr>
                <w:rFonts w:cs="Times New Roman"/>
                <w:b/>
                <w:sz w:val="16"/>
                <w:szCs w:val="16"/>
              </w:rPr>
            </w:pPr>
            <w:r w:rsidRPr="00482B93">
              <w:rPr>
                <w:rFonts w:cs="Times New Roman"/>
                <w:b/>
                <w:sz w:val="16"/>
                <w:szCs w:val="16"/>
              </w:rPr>
              <w:t>Objectifs de base</w:t>
            </w:r>
          </w:p>
        </w:tc>
      </w:tr>
    </w:tbl>
    <w:p w:rsidR="009246D0" w:rsidRPr="00482B93" w:rsidRDefault="009246D0" w:rsidP="009246D0">
      <w:pPr>
        <w:numPr>
          <w:ilvl w:val="0"/>
          <w:numId w:val="1344"/>
        </w:numPr>
        <w:shd w:val="clear" w:color="auto" w:fill="FFFFFF"/>
        <w:spacing w:before="100" w:beforeAutospacing="1" w:after="100" w:afterAutospacing="1" w:line="240" w:lineRule="auto"/>
        <w:rPr>
          <w:rFonts w:cs="Times New Roman"/>
          <w:color w:val="000000"/>
          <w:sz w:val="16"/>
          <w:szCs w:val="16"/>
          <w:shd w:val="clear" w:color="auto" w:fill="FFFFFF"/>
        </w:rPr>
      </w:pPr>
      <w:r w:rsidRPr="00482B93">
        <w:rPr>
          <w:rFonts w:cs="Times New Roman"/>
          <w:color w:val="000000"/>
          <w:sz w:val="16"/>
          <w:szCs w:val="16"/>
          <w:shd w:val="clear" w:color="auto" w:fill="FFFFFF"/>
        </w:rPr>
        <w:t>Décrire de façon générale :</w:t>
      </w:r>
    </w:p>
    <w:p w:rsidR="009246D0" w:rsidRPr="00482B93" w:rsidRDefault="009246D0" w:rsidP="009246D0">
      <w:pPr>
        <w:numPr>
          <w:ilvl w:val="1"/>
          <w:numId w:val="1344"/>
        </w:numPr>
        <w:shd w:val="clear" w:color="auto" w:fill="FFFFFF"/>
        <w:spacing w:before="100" w:beforeAutospacing="1" w:after="100" w:afterAutospacing="1" w:line="240" w:lineRule="auto"/>
        <w:rPr>
          <w:rFonts w:cs="Times New Roman"/>
          <w:color w:val="000000"/>
          <w:sz w:val="16"/>
          <w:szCs w:val="16"/>
          <w:shd w:val="clear" w:color="auto" w:fill="FFFFFF"/>
        </w:rPr>
      </w:pPr>
      <w:r w:rsidRPr="00482B93">
        <w:rPr>
          <w:rFonts w:cs="Times New Roman"/>
          <w:color w:val="000000"/>
          <w:sz w:val="16"/>
          <w:szCs w:val="16"/>
          <w:shd w:val="clear" w:color="auto" w:fill="FFFFFF"/>
        </w:rPr>
        <w:t>les méthodes de réglementation des professions de la santé et des établissements de santé;</w:t>
      </w:r>
    </w:p>
    <w:p w:rsidR="009246D0" w:rsidRPr="00482B93" w:rsidRDefault="009246D0" w:rsidP="009246D0">
      <w:pPr>
        <w:numPr>
          <w:ilvl w:val="1"/>
          <w:numId w:val="1344"/>
        </w:numPr>
        <w:shd w:val="clear" w:color="auto" w:fill="FFFFFF"/>
        <w:spacing w:before="100" w:beforeAutospacing="1" w:after="100" w:afterAutospacing="1" w:line="240" w:lineRule="auto"/>
        <w:rPr>
          <w:rFonts w:cs="Times New Roman"/>
          <w:color w:val="000000"/>
          <w:sz w:val="16"/>
          <w:szCs w:val="16"/>
          <w:shd w:val="clear" w:color="auto" w:fill="FFFFFF"/>
        </w:rPr>
      </w:pPr>
      <w:r w:rsidRPr="00482B93">
        <w:rPr>
          <w:rFonts w:cs="Times New Roman"/>
          <w:color w:val="000000"/>
          <w:sz w:val="16"/>
          <w:szCs w:val="16"/>
          <w:shd w:val="clear" w:color="auto" w:fill="FFFFFF"/>
        </w:rPr>
        <w:t>la disponibilité et la distribution des ressources humaines en santé de même que les prévisions à cet égard;</w:t>
      </w:r>
    </w:p>
    <w:p w:rsidR="009246D0" w:rsidRPr="00482B93" w:rsidRDefault="009246D0" w:rsidP="009246D0">
      <w:pPr>
        <w:numPr>
          <w:ilvl w:val="1"/>
          <w:numId w:val="1344"/>
        </w:numPr>
        <w:shd w:val="clear" w:color="auto" w:fill="FFFFFF"/>
        <w:spacing w:before="100" w:beforeAutospacing="1" w:after="100" w:afterAutospacing="1" w:line="240" w:lineRule="auto"/>
        <w:rPr>
          <w:rFonts w:cs="Times New Roman"/>
          <w:color w:val="000000"/>
          <w:sz w:val="16"/>
          <w:szCs w:val="16"/>
          <w:shd w:val="clear" w:color="auto" w:fill="FFFFFF"/>
        </w:rPr>
      </w:pPr>
      <w:r w:rsidRPr="00482B93">
        <w:rPr>
          <w:rFonts w:cs="Times New Roman"/>
          <w:color w:val="000000"/>
          <w:sz w:val="16"/>
          <w:szCs w:val="16"/>
          <w:shd w:val="clear" w:color="auto" w:fill="FFFFFF"/>
        </w:rPr>
        <w:t>la répartition des ressources en santé;</w:t>
      </w:r>
    </w:p>
    <w:p w:rsidR="009246D0" w:rsidRPr="00482B93" w:rsidRDefault="009246D0" w:rsidP="009246D0">
      <w:pPr>
        <w:numPr>
          <w:ilvl w:val="1"/>
          <w:numId w:val="1344"/>
        </w:numPr>
        <w:shd w:val="clear" w:color="auto" w:fill="FFFFFF"/>
        <w:spacing w:before="100" w:beforeAutospacing="1" w:after="100" w:afterAutospacing="1" w:line="240" w:lineRule="auto"/>
        <w:rPr>
          <w:rFonts w:cs="Times New Roman"/>
          <w:color w:val="000000"/>
          <w:sz w:val="16"/>
          <w:szCs w:val="16"/>
          <w:shd w:val="clear" w:color="auto" w:fill="FFFFFF"/>
        </w:rPr>
      </w:pPr>
      <w:r w:rsidRPr="00482B93">
        <w:rPr>
          <w:rFonts w:cs="Times New Roman"/>
          <w:color w:val="000000"/>
          <w:sz w:val="16"/>
          <w:szCs w:val="16"/>
          <w:shd w:val="clear" w:color="auto" w:fill="FFFFFF"/>
        </w:rPr>
        <w:t>l'organisation du réseau de santé publique;</w:t>
      </w:r>
    </w:p>
    <w:p w:rsidR="009246D0" w:rsidRPr="00482B93" w:rsidRDefault="009246D0" w:rsidP="009246D0">
      <w:pPr>
        <w:numPr>
          <w:ilvl w:val="1"/>
          <w:numId w:val="1344"/>
        </w:numPr>
        <w:shd w:val="clear" w:color="auto" w:fill="FFFFFF"/>
        <w:spacing w:before="100" w:beforeAutospacing="1" w:after="100" w:afterAutospacing="1" w:line="240" w:lineRule="auto"/>
        <w:rPr>
          <w:rFonts w:cs="Times New Roman"/>
          <w:color w:val="000000"/>
          <w:sz w:val="16"/>
          <w:szCs w:val="16"/>
          <w:shd w:val="clear" w:color="auto" w:fill="FFFFFF"/>
        </w:rPr>
      </w:pPr>
      <w:r w:rsidRPr="00482B93">
        <w:rPr>
          <w:rFonts w:cs="Times New Roman"/>
          <w:color w:val="000000"/>
          <w:sz w:val="16"/>
          <w:szCs w:val="16"/>
          <w:shd w:val="clear" w:color="auto" w:fill="FFFFFF"/>
        </w:rPr>
        <w:t>le rôle des systèmes de prestation de services complémentaires comme les organismes bénévoles et les centres de santé communautaires.</w:t>
      </w:r>
    </w:p>
    <w:p w:rsidR="009246D0" w:rsidRPr="00482B93" w:rsidRDefault="009246D0" w:rsidP="009246D0">
      <w:pPr>
        <w:numPr>
          <w:ilvl w:val="0"/>
          <w:numId w:val="1344"/>
        </w:numPr>
        <w:shd w:val="clear" w:color="auto" w:fill="FFFFFF"/>
        <w:spacing w:before="100" w:beforeAutospacing="1" w:after="100" w:afterAutospacing="1" w:line="240" w:lineRule="auto"/>
        <w:rPr>
          <w:rFonts w:cs="Times New Roman"/>
          <w:color w:val="000000"/>
          <w:sz w:val="16"/>
          <w:szCs w:val="16"/>
          <w:shd w:val="clear" w:color="auto" w:fill="FFFFFF"/>
        </w:rPr>
      </w:pPr>
      <w:r w:rsidRPr="00482B93">
        <w:rPr>
          <w:rFonts w:cs="Times New Roman"/>
          <w:color w:val="000000"/>
          <w:sz w:val="16"/>
          <w:szCs w:val="16"/>
          <w:shd w:val="clear" w:color="auto" w:fill="FFFFFF"/>
        </w:rPr>
        <w:t>Décrire le rôle des fournisseurs de soins de santé réglementés et non réglementés et trouver des façons de collaborer efficacement avec eux.</w:t>
      </w:r>
    </w:p>
    <w:p w:rsidR="009246D0" w:rsidRPr="00482B93" w:rsidRDefault="009246D0" w:rsidP="009246D0">
      <w:pPr>
        <w:numPr>
          <w:ilvl w:val="0"/>
          <w:numId w:val="1344"/>
        </w:numPr>
        <w:shd w:val="clear" w:color="auto" w:fill="FFFFFF"/>
        <w:spacing w:before="100" w:beforeAutospacing="1" w:after="100" w:afterAutospacing="1" w:line="240" w:lineRule="auto"/>
        <w:rPr>
          <w:rFonts w:cs="Times New Roman"/>
          <w:color w:val="000000"/>
          <w:sz w:val="16"/>
          <w:szCs w:val="16"/>
          <w:shd w:val="clear" w:color="auto" w:fill="FFFFFF"/>
        </w:rPr>
      </w:pPr>
      <w:r w:rsidRPr="00482B93">
        <w:rPr>
          <w:rFonts w:cs="Times New Roman"/>
          <w:color w:val="000000"/>
          <w:sz w:val="16"/>
          <w:szCs w:val="16"/>
          <w:shd w:val="clear" w:color="auto" w:fill="FFFFFF"/>
        </w:rPr>
        <w:t>Décrire les principes et les méthodes de limitation des coûts et de l'évaluation économique.</w:t>
      </w:r>
    </w:p>
    <w:p w:rsidR="009246D0" w:rsidRPr="00482B93" w:rsidRDefault="009246D0" w:rsidP="009246D0">
      <w:pPr>
        <w:numPr>
          <w:ilvl w:val="0"/>
          <w:numId w:val="1344"/>
        </w:numPr>
        <w:shd w:val="clear" w:color="auto" w:fill="FFFFFF"/>
        <w:spacing w:before="100" w:beforeAutospacing="1" w:after="100" w:afterAutospacing="1" w:line="240" w:lineRule="auto"/>
        <w:rPr>
          <w:rFonts w:cs="Times New Roman"/>
          <w:color w:val="000000"/>
          <w:sz w:val="16"/>
          <w:szCs w:val="16"/>
          <w:shd w:val="clear" w:color="auto" w:fill="FFFFFF"/>
        </w:rPr>
      </w:pPr>
      <w:r w:rsidRPr="00482B93">
        <w:rPr>
          <w:rFonts w:cs="Times New Roman"/>
          <w:color w:val="000000"/>
          <w:sz w:val="16"/>
          <w:szCs w:val="16"/>
          <w:shd w:val="clear" w:color="auto" w:fill="FFFFFF"/>
        </w:rPr>
        <w:t>Décrire les principales fonctions de la santé publique par rapport à l'évaluation de la santé des populations, à la surveillance de la santé, à la prévention des maladies et des blessures, à la promotion de la santé et à la protection de la santé.</w:t>
      </w:r>
    </w:p>
    <w:p w:rsidR="009246D0" w:rsidRPr="00482B93" w:rsidRDefault="009246D0" w:rsidP="009246D0">
      <w:pPr>
        <w:numPr>
          <w:ilvl w:val="0"/>
          <w:numId w:val="1344"/>
        </w:numPr>
        <w:shd w:val="clear" w:color="auto" w:fill="FFFFFF"/>
        <w:spacing w:before="100" w:beforeAutospacing="1" w:after="100" w:afterAutospacing="1" w:line="240" w:lineRule="auto"/>
        <w:rPr>
          <w:rFonts w:cs="Times New Roman"/>
          <w:color w:val="000000"/>
          <w:sz w:val="16"/>
          <w:szCs w:val="16"/>
          <w:shd w:val="clear" w:color="auto" w:fill="FFFFFF"/>
        </w:rPr>
      </w:pPr>
      <w:r w:rsidRPr="00482B93">
        <w:rPr>
          <w:rFonts w:cs="Times New Roman"/>
          <w:color w:val="000000"/>
          <w:sz w:val="16"/>
          <w:szCs w:val="16"/>
          <w:shd w:val="clear" w:color="auto" w:fill="FFFFFF"/>
        </w:rPr>
        <w:t>Comprendre les problèmes d'ordre éthique liés à la répartition des ressources.</w:t>
      </w:r>
    </w:p>
    <w:p w:rsidR="009246D0" w:rsidRPr="00482B93" w:rsidRDefault="009246D0" w:rsidP="009246D0">
      <w:pPr>
        <w:numPr>
          <w:ilvl w:val="0"/>
          <w:numId w:val="1344"/>
        </w:numPr>
        <w:shd w:val="clear" w:color="auto" w:fill="FFFFFF"/>
        <w:spacing w:before="100" w:beforeAutospacing="1" w:after="100" w:afterAutospacing="1" w:line="240" w:lineRule="auto"/>
        <w:rPr>
          <w:rFonts w:cs="Times New Roman"/>
          <w:color w:val="000000"/>
          <w:sz w:val="16"/>
          <w:szCs w:val="16"/>
          <w:shd w:val="clear" w:color="auto" w:fill="FFFFFF"/>
        </w:rPr>
      </w:pPr>
      <w:r w:rsidRPr="00482B93">
        <w:rPr>
          <w:rFonts w:cs="Times New Roman"/>
          <w:color w:val="000000"/>
          <w:sz w:val="16"/>
          <w:szCs w:val="16"/>
          <w:shd w:val="clear" w:color="auto" w:fill="FFFFFF"/>
        </w:rPr>
        <w:t>Définir les concepts d'efficacité, d'efficience, de protection et de conformité et examiner leur lien avec l'efficacité globale d'un programme de santé des populations.</w:t>
      </w:r>
    </w:p>
    <w:p w:rsidR="009246D0" w:rsidRPr="00482B93" w:rsidRDefault="009246D0" w:rsidP="009246D0">
      <w:pPr>
        <w:numPr>
          <w:ilvl w:val="0"/>
          <w:numId w:val="1344"/>
        </w:numPr>
        <w:shd w:val="clear" w:color="auto" w:fill="FFFFFF"/>
        <w:spacing w:before="100" w:beforeAutospacing="1" w:after="100" w:afterAutospacing="1" w:line="240" w:lineRule="auto"/>
        <w:rPr>
          <w:rFonts w:cs="Times New Roman"/>
          <w:color w:val="000000"/>
          <w:sz w:val="16"/>
          <w:szCs w:val="16"/>
          <w:shd w:val="clear" w:color="auto" w:fill="FFFFFF"/>
        </w:rPr>
      </w:pPr>
      <w:r w:rsidRPr="00482B93">
        <w:rPr>
          <w:rFonts w:cs="Times New Roman"/>
          <w:color w:val="000000"/>
          <w:sz w:val="16"/>
          <w:szCs w:val="16"/>
          <w:shd w:val="clear" w:color="auto" w:fill="FFFFFF"/>
        </w:rPr>
        <w:t>Pouvoir reconnaître la nécessité de rajuster des programmes pour répondre aux besoins de populations particulières comme les nouveaux immigrants ou les personnes présentant un risque accru.</w:t>
      </w:r>
    </w:p>
    <w:p w:rsidR="009246D0" w:rsidRPr="00482B93" w:rsidRDefault="009246D0" w:rsidP="009246D0">
      <w:pPr>
        <w:numPr>
          <w:ilvl w:val="0"/>
          <w:numId w:val="1344"/>
        </w:numPr>
        <w:shd w:val="clear" w:color="auto" w:fill="FFFFFF"/>
        <w:spacing w:before="100" w:beforeAutospacing="1" w:after="100" w:afterAutospacing="1" w:line="240" w:lineRule="auto"/>
        <w:rPr>
          <w:rFonts w:cs="Times New Roman"/>
          <w:color w:val="000000"/>
          <w:sz w:val="16"/>
          <w:szCs w:val="16"/>
          <w:shd w:val="clear" w:color="auto" w:fill="FFFFFF"/>
        </w:rPr>
      </w:pPr>
      <w:r w:rsidRPr="00482B93">
        <w:rPr>
          <w:rFonts w:cs="Times New Roman"/>
          <w:color w:val="000000"/>
          <w:sz w:val="16"/>
          <w:szCs w:val="16"/>
          <w:shd w:val="clear" w:color="auto" w:fill="FFFFFF"/>
        </w:rPr>
        <w:t>Prendre part de manière efficace aux activités d'organismes du domaine de la santé, qu'il s'agisse de pratiques de certaines cliniques ou d'organismes provinciaux, en exerçant une influence positive sur la pratique clinique et l'établissement de politiques.</w:t>
      </w:r>
    </w:p>
    <w:p w:rsidR="009246D0" w:rsidRPr="00482B93" w:rsidRDefault="009246D0" w:rsidP="009246D0">
      <w:pPr>
        <w:numPr>
          <w:ilvl w:val="0"/>
          <w:numId w:val="1344"/>
        </w:numPr>
        <w:shd w:val="clear" w:color="auto" w:fill="FFFFFF"/>
        <w:spacing w:before="100" w:beforeAutospacing="1" w:after="100" w:afterAutospacing="1" w:line="240" w:lineRule="auto"/>
        <w:rPr>
          <w:rFonts w:cs="Times New Roman"/>
          <w:color w:val="000000"/>
          <w:sz w:val="16"/>
          <w:szCs w:val="16"/>
          <w:shd w:val="clear" w:color="auto" w:fill="FFFFFF"/>
        </w:rPr>
      </w:pPr>
      <w:r w:rsidRPr="00482B93">
        <w:rPr>
          <w:rFonts w:cs="Times New Roman"/>
          <w:color w:val="000000"/>
          <w:sz w:val="16"/>
          <w:szCs w:val="16"/>
          <w:shd w:val="clear" w:color="auto" w:fill="FFFFFF"/>
        </w:rPr>
        <w:t>Définir l'amélioration de la qualité et les termes connexes : assurance de la qualité, contrôle de la qualité, amélioration continue de la qualité, gestion de la qualité, gestion de la qualité totale et vérification.</w:t>
      </w:r>
    </w:p>
    <w:p w:rsidR="009246D0" w:rsidRPr="0016463B" w:rsidRDefault="009246D0" w:rsidP="0016463B">
      <w:pPr>
        <w:numPr>
          <w:ilvl w:val="0"/>
          <w:numId w:val="1344"/>
        </w:numPr>
        <w:shd w:val="clear" w:color="auto" w:fill="FFFFFF"/>
        <w:spacing w:before="100" w:beforeAutospacing="1" w:after="100" w:afterAutospacing="1" w:line="240" w:lineRule="auto"/>
        <w:rPr>
          <w:rFonts w:cs="Times New Roman"/>
          <w:color w:val="000000"/>
          <w:sz w:val="16"/>
          <w:szCs w:val="16"/>
          <w:shd w:val="clear" w:color="auto" w:fill="FFFFFF"/>
        </w:rPr>
      </w:pPr>
      <w:r w:rsidRPr="00482B93">
        <w:rPr>
          <w:rFonts w:cs="Times New Roman"/>
          <w:color w:val="000000"/>
          <w:sz w:val="16"/>
          <w:szCs w:val="16"/>
          <w:shd w:val="clear" w:color="auto" w:fill="FFFFFF"/>
        </w:rPr>
        <w:t>Décrire et comprendre les multiples dimensions de la qualité dans les soins de santé, c.-à-d. ce qui peut et devrait être amélioré.</w:t>
      </w:r>
    </w:p>
    <w:p w:rsidR="00620600" w:rsidRPr="0016463B" w:rsidRDefault="00620600" w:rsidP="0016463B">
      <w:pPr>
        <w:pStyle w:val="Sansinterligne"/>
        <w:rPr>
          <w:b/>
          <w:sz w:val="28"/>
          <w:szCs w:val="28"/>
        </w:rPr>
      </w:pPr>
      <w:r w:rsidRPr="0016463B">
        <w:rPr>
          <w:b/>
          <w:sz w:val="28"/>
          <w:szCs w:val="28"/>
        </w:rPr>
        <w:t xml:space="preserve">Santé publique et système de santé </w:t>
      </w:r>
    </w:p>
    <w:p w:rsidR="0016463B" w:rsidRDefault="0016463B" w:rsidP="0016463B">
      <w:pPr>
        <w:pStyle w:val="Sansinterligne"/>
      </w:pPr>
    </w:p>
    <w:p w:rsidR="0016463B" w:rsidRPr="00A705BF" w:rsidRDefault="0016463B" w:rsidP="0016463B">
      <w:pPr>
        <w:pStyle w:val="Sansinterligne"/>
        <w:rPr>
          <w:b/>
        </w:rPr>
      </w:pPr>
      <w:r w:rsidRPr="0016463B">
        <w:rPr>
          <w:b/>
        </w:rPr>
        <w:t>Fédéral</w:t>
      </w:r>
    </w:p>
    <w:p w:rsidR="0016463B" w:rsidRPr="0016463B" w:rsidRDefault="0016463B" w:rsidP="0016463B">
      <w:pPr>
        <w:pStyle w:val="Sansinterligne"/>
        <w:rPr>
          <w:u w:val="single"/>
        </w:rPr>
      </w:pPr>
      <w:r w:rsidRPr="0016463B">
        <w:rPr>
          <w:u w:val="single"/>
        </w:rPr>
        <w:t>Santé Canada </w:t>
      </w:r>
    </w:p>
    <w:p w:rsidR="0016463B" w:rsidRDefault="0016463B" w:rsidP="00721F25">
      <w:pPr>
        <w:pStyle w:val="Sansinterligne"/>
        <w:numPr>
          <w:ilvl w:val="0"/>
          <w:numId w:val="1366"/>
        </w:numPr>
      </w:pPr>
      <w:r>
        <w:t>Approbation des médicaments et appareils, soins aux Autochtones, aux Forces armées et aux vétérans</w:t>
      </w:r>
    </w:p>
    <w:p w:rsidR="0016463B" w:rsidRPr="0016463B" w:rsidRDefault="0016463B" w:rsidP="0016463B">
      <w:pPr>
        <w:pStyle w:val="Sansinterligne"/>
        <w:rPr>
          <w:u w:val="single"/>
        </w:rPr>
      </w:pPr>
      <w:r w:rsidRPr="0016463B">
        <w:rPr>
          <w:u w:val="single"/>
        </w:rPr>
        <w:t xml:space="preserve">Agence de Santé publique du Canada  </w:t>
      </w:r>
    </w:p>
    <w:p w:rsidR="0016463B" w:rsidRDefault="0016463B" w:rsidP="00721F25">
      <w:pPr>
        <w:pStyle w:val="Sansinterligne"/>
        <w:numPr>
          <w:ilvl w:val="0"/>
          <w:numId w:val="1365"/>
        </w:numPr>
      </w:pPr>
      <w:r>
        <w:t>Gestion des crises et épidémies à l’échelle canadienne, examen des immigrants et réfugiés, collaboration avec l’OMS</w:t>
      </w:r>
    </w:p>
    <w:p w:rsidR="0016463B" w:rsidRPr="0016463B" w:rsidRDefault="00A705BF" w:rsidP="0016463B">
      <w:pPr>
        <w:pStyle w:val="Sansinterligne"/>
        <w:rPr>
          <w:u w:val="single"/>
        </w:rPr>
      </w:pPr>
      <w:r>
        <w:rPr>
          <w:noProof/>
          <w:lang w:eastAsia="fr-CA"/>
        </w:rPr>
        <w:drawing>
          <wp:anchor distT="0" distB="0" distL="114300" distR="114300" simplePos="0" relativeHeight="252145664" behindDoc="1" locked="0" layoutInCell="1" allowOverlap="1" wp14:anchorId="13F84462" wp14:editId="3664314E">
            <wp:simplePos x="0" y="0"/>
            <wp:positionH relativeFrom="column">
              <wp:posOffset>3811905</wp:posOffset>
            </wp:positionH>
            <wp:positionV relativeFrom="paragraph">
              <wp:posOffset>119380</wp:posOffset>
            </wp:positionV>
            <wp:extent cx="2801620" cy="1128395"/>
            <wp:effectExtent l="0" t="0" r="0" b="0"/>
            <wp:wrapNone/>
            <wp:docPr id="628" name="Image 628" descr="Résultats de recherche d'images pour « santé publique québec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Résultats de recherche d'images pour « santé publique québec »"/>
                    <pic:cNvPicPr>
                      <a:picLocks noChangeAspect="1" noChangeArrowheads="1"/>
                    </pic:cNvPicPr>
                  </pic:nvPicPr>
                  <pic:blipFill>
                    <a:blip r:embed="rId267" cstate="print">
                      <a:extLst>
                        <a:ext uri="{28A0092B-C50C-407E-A947-70E740481C1C}">
                          <a14:useLocalDpi xmlns:a14="http://schemas.microsoft.com/office/drawing/2010/main" val="0"/>
                        </a:ext>
                      </a:extLst>
                    </a:blip>
                    <a:srcRect/>
                    <a:stretch>
                      <a:fillRect/>
                    </a:stretch>
                  </pic:blipFill>
                  <pic:spPr bwMode="auto">
                    <a:xfrm>
                      <a:off x="0" y="0"/>
                      <a:ext cx="2801620" cy="1128395"/>
                    </a:xfrm>
                    <a:prstGeom prst="rect">
                      <a:avLst/>
                    </a:prstGeom>
                    <a:noFill/>
                    <a:ln>
                      <a:noFill/>
                    </a:ln>
                  </pic:spPr>
                </pic:pic>
              </a:graphicData>
            </a:graphic>
            <wp14:sizeRelH relativeFrom="page">
              <wp14:pctWidth>0</wp14:pctWidth>
            </wp14:sizeRelH>
            <wp14:sizeRelV relativeFrom="page">
              <wp14:pctHeight>0</wp14:pctHeight>
            </wp14:sizeRelV>
          </wp:anchor>
        </w:drawing>
      </w:r>
      <w:r w:rsidR="0016463B" w:rsidRPr="0016463B">
        <w:rPr>
          <w:u w:val="single"/>
        </w:rPr>
        <w:t>Agence canadienne d’inspection des aliments </w:t>
      </w:r>
    </w:p>
    <w:p w:rsidR="0016463B" w:rsidRDefault="0016463B" w:rsidP="00721F25">
      <w:pPr>
        <w:pStyle w:val="Sansinterligne"/>
        <w:numPr>
          <w:ilvl w:val="0"/>
          <w:numId w:val="1365"/>
        </w:numPr>
      </w:pPr>
      <w:r>
        <w:t>Contrôle de l’étiquetage, gestion des infections animales</w:t>
      </w:r>
    </w:p>
    <w:p w:rsidR="00FA33FD" w:rsidRDefault="00FA33FD" w:rsidP="00FA33FD">
      <w:pPr>
        <w:pStyle w:val="Sansinterligne"/>
        <w:ind w:left="360"/>
      </w:pPr>
    </w:p>
    <w:p w:rsidR="0016463B" w:rsidRPr="0016463B" w:rsidRDefault="0016463B" w:rsidP="0016463B">
      <w:pPr>
        <w:pStyle w:val="Sansinterligne"/>
        <w:rPr>
          <w:b/>
        </w:rPr>
      </w:pPr>
      <w:r w:rsidRPr="0016463B">
        <w:rPr>
          <w:b/>
        </w:rPr>
        <w:t>Provincial</w:t>
      </w:r>
    </w:p>
    <w:p w:rsidR="0016463B" w:rsidRDefault="0016463B" w:rsidP="0016463B">
      <w:pPr>
        <w:pStyle w:val="Sansinterligne"/>
      </w:pPr>
      <w:r w:rsidRPr="0016463B">
        <w:rPr>
          <w:u w:val="single"/>
        </w:rPr>
        <w:t>Législation</w:t>
      </w:r>
      <w:r>
        <w:t xml:space="preserve"> </w:t>
      </w:r>
    </w:p>
    <w:p w:rsidR="00FA33FD" w:rsidRDefault="0016463B" w:rsidP="00721F25">
      <w:pPr>
        <w:pStyle w:val="Sansinterligne"/>
        <w:numPr>
          <w:ilvl w:val="0"/>
          <w:numId w:val="1367"/>
        </w:numPr>
      </w:pPr>
      <w:r>
        <w:t>Santé = compétence provinciale exclusive</w:t>
      </w:r>
      <w:r w:rsidR="00FA33FD" w:rsidRPr="00FA33FD">
        <w:t xml:space="preserve"> </w:t>
      </w:r>
    </w:p>
    <w:p w:rsidR="0016463B" w:rsidRDefault="00FA33FD" w:rsidP="00721F25">
      <w:pPr>
        <w:pStyle w:val="Sansinterligne"/>
        <w:numPr>
          <w:ilvl w:val="0"/>
          <w:numId w:val="1367"/>
        </w:numPr>
      </w:pPr>
      <w:r>
        <w:rPr>
          <w:noProof/>
          <w:lang w:eastAsia="fr-CA"/>
        </w:rPr>
        <w:drawing>
          <wp:anchor distT="0" distB="0" distL="114300" distR="114300" simplePos="0" relativeHeight="252146688" behindDoc="1" locked="0" layoutInCell="1" allowOverlap="1" wp14:anchorId="3CC43EAD" wp14:editId="4FA5354F">
            <wp:simplePos x="0" y="0"/>
            <wp:positionH relativeFrom="column">
              <wp:posOffset>3813054</wp:posOffset>
            </wp:positionH>
            <wp:positionV relativeFrom="paragraph">
              <wp:posOffset>147955</wp:posOffset>
            </wp:positionV>
            <wp:extent cx="2821021" cy="766950"/>
            <wp:effectExtent l="0" t="0" r="0" b="0"/>
            <wp:wrapNone/>
            <wp:docPr id="629" name="Image 629" descr="Résultats de recherche d'images pour « santé canad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Résultats de recherche d'images pour « santé canada »"/>
                    <pic:cNvPicPr>
                      <a:picLocks noChangeAspect="1" noChangeArrowheads="1"/>
                    </pic:cNvPicPr>
                  </pic:nvPicPr>
                  <pic:blipFill rotWithShape="1">
                    <a:blip r:embed="rId268">
                      <a:extLst>
                        <a:ext uri="{28A0092B-C50C-407E-A947-70E740481C1C}">
                          <a14:useLocalDpi xmlns:a14="http://schemas.microsoft.com/office/drawing/2010/main" val="0"/>
                        </a:ext>
                      </a:extLst>
                    </a:blip>
                    <a:srcRect l="12245" t="26853" r="15509" b="28577"/>
                    <a:stretch/>
                  </pic:blipFill>
                  <pic:spPr bwMode="auto">
                    <a:xfrm>
                      <a:off x="0" y="0"/>
                      <a:ext cx="2821021" cy="7669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t>Définition des MADO et MATO (directive du ministre)</w:t>
      </w:r>
    </w:p>
    <w:p w:rsidR="00FA33FD" w:rsidRDefault="00FA33FD" w:rsidP="00FA33FD">
      <w:pPr>
        <w:pStyle w:val="Sansinterligne"/>
        <w:ind w:left="360"/>
      </w:pPr>
    </w:p>
    <w:p w:rsidR="0016463B" w:rsidRPr="0016463B" w:rsidRDefault="0016463B" w:rsidP="0016463B">
      <w:pPr>
        <w:pStyle w:val="Sansinterligne"/>
        <w:rPr>
          <w:u w:val="single"/>
        </w:rPr>
      </w:pPr>
      <w:r w:rsidRPr="0016463B">
        <w:rPr>
          <w:u w:val="single"/>
        </w:rPr>
        <w:t>Direction de la Santé Publique</w:t>
      </w:r>
      <w:r w:rsidR="00FA33FD" w:rsidRPr="00FA33FD">
        <w:t xml:space="preserve"> </w:t>
      </w:r>
    </w:p>
    <w:p w:rsidR="0016463B" w:rsidRDefault="0016463B" w:rsidP="00721F25">
      <w:pPr>
        <w:pStyle w:val="Sansinterligne"/>
        <w:numPr>
          <w:ilvl w:val="0"/>
          <w:numId w:val="1367"/>
        </w:numPr>
      </w:pPr>
      <w:r>
        <w:t>Zones de services et de surveillance</w:t>
      </w:r>
      <w:r w:rsidR="00A705BF" w:rsidRPr="00A705BF">
        <w:t xml:space="preserve"> </w:t>
      </w:r>
    </w:p>
    <w:p w:rsidR="0016463B" w:rsidRDefault="0016463B" w:rsidP="00721F25">
      <w:pPr>
        <w:pStyle w:val="Sansinterligne"/>
        <w:numPr>
          <w:ilvl w:val="0"/>
          <w:numId w:val="1367"/>
        </w:numPr>
      </w:pPr>
      <w:r>
        <w:t>Pouvoirs d’action et d’enquête</w:t>
      </w:r>
    </w:p>
    <w:p w:rsidR="0007626A" w:rsidRDefault="0007626A" w:rsidP="00FA33FD">
      <w:pPr>
        <w:pStyle w:val="Sansinterligne"/>
        <w:rPr>
          <w:u w:val="single"/>
        </w:rPr>
      </w:pPr>
    </w:p>
    <w:p w:rsidR="00FA33FD" w:rsidRPr="00FA33FD" w:rsidRDefault="00FA33FD" w:rsidP="00FA33FD">
      <w:pPr>
        <w:pStyle w:val="Sansinterligne"/>
        <w:rPr>
          <w:u w:val="single"/>
        </w:rPr>
      </w:pPr>
      <w:r w:rsidRPr="00FA33FD">
        <w:rPr>
          <w:u w:val="single"/>
        </w:rPr>
        <w:t>INSPQ</w:t>
      </w:r>
    </w:p>
    <w:p w:rsidR="0016463B" w:rsidRDefault="0016463B" w:rsidP="00721F25">
      <w:pPr>
        <w:pStyle w:val="Sansinterligne"/>
        <w:numPr>
          <w:ilvl w:val="0"/>
          <w:numId w:val="1368"/>
        </w:numPr>
      </w:pPr>
      <w:r>
        <w:t>Élabore des programmes et formule des recommandations</w:t>
      </w:r>
    </w:p>
    <w:p w:rsidR="00FA33FD" w:rsidRDefault="00FA33FD" w:rsidP="0016463B">
      <w:pPr>
        <w:pStyle w:val="Sansinterligne"/>
      </w:pPr>
    </w:p>
    <w:p w:rsidR="00FA33FD" w:rsidRDefault="00FD5BA8" w:rsidP="0016463B">
      <w:pPr>
        <w:pStyle w:val="Sansinterligne"/>
      </w:pPr>
      <w:r w:rsidRPr="00FD5BA8">
        <w:rPr>
          <w:highlight w:val="yellow"/>
        </w:rPr>
        <w:t>6 activités essentielles de santé publique : protection de la santé, surveillance épidémiologique, prévention (vaccination, signalements, etc.), évaluation des besoins, promotion de la santé et réponse en cas de catastrophes ou d’épidémies.</w:t>
      </w:r>
    </w:p>
    <w:p w:rsidR="00620600" w:rsidRPr="0016463B" w:rsidRDefault="00620600" w:rsidP="0016463B">
      <w:pPr>
        <w:pStyle w:val="Sansinterligne"/>
        <w:rPr>
          <w:b/>
          <w:sz w:val="28"/>
          <w:szCs w:val="28"/>
        </w:rPr>
      </w:pPr>
      <w:r w:rsidRPr="0016463B">
        <w:rPr>
          <w:b/>
          <w:sz w:val="28"/>
          <w:szCs w:val="28"/>
        </w:rPr>
        <w:t>Gestion des ressources</w:t>
      </w:r>
    </w:p>
    <w:p w:rsidR="00620600" w:rsidRDefault="00620600" w:rsidP="0016463B">
      <w:pPr>
        <w:pStyle w:val="Sansinterligne"/>
      </w:pPr>
    </w:p>
    <w:p w:rsidR="00FA33FD" w:rsidRDefault="00FA33FD" w:rsidP="0016463B">
      <w:pPr>
        <w:pStyle w:val="Sansinterligne"/>
      </w:pPr>
      <w:r>
        <w:t xml:space="preserve">Les besoins en </w:t>
      </w:r>
      <w:r w:rsidR="00FD5BA8">
        <w:t>termes</w:t>
      </w:r>
      <w:r>
        <w:t xml:space="preserve"> de santé sont énormes. Actuellement, une grande partie des investissements en santé sont encore fait dans le système de soins et de traitement, et une faible part est investie en terme de santé publique en prévention et promotion de la santé. En effet, les ressources financières étant limitées, il faut alors faire des choix en fonction des priorités définies par le gouvernement. Les agences de santé publique, les organismes (par exemple l’INSPQ), peuvent formuler des recommandations en ce sens.</w:t>
      </w:r>
    </w:p>
    <w:p w:rsidR="00FA33FD" w:rsidRDefault="00FA33FD" w:rsidP="0016463B">
      <w:pPr>
        <w:pStyle w:val="Sansinterligne"/>
      </w:pPr>
    </w:p>
    <w:p w:rsidR="00620600" w:rsidRPr="00683E16" w:rsidRDefault="00620600" w:rsidP="0016463B">
      <w:pPr>
        <w:pStyle w:val="Sansinterligne"/>
        <w:rPr>
          <w:highlight w:val="yellow"/>
        </w:rPr>
      </w:pPr>
      <w:r w:rsidRPr="00683E16">
        <w:rPr>
          <w:b/>
          <w:highlight w:val="yellow"/>
        </w:rPr>
        <w:t>Efficacité</w:t>
      </w:r>
      <w:r w:rsidR="0008729C" w:rsidRPr="00683E16">
        <w:rPr>
          <w:highlight w:val="yellow"/>
        </w:rPr>
        <w:t> : capacité à produire un bénéfice dans des circonstances contrôlées</w:t>
      </w:r>
    </w:p>
    <w:p w:rsidR="0008729C" w:rsidRPr="00683E16" w:rsidRDefault="0008729C" w:rsidP="0008729C">
      <w:pPr>
        <w:pStyle w:val="Sansinterligne"/>
        <w:rPr>
          <w:highlight w:val="yellow"/>
        </w:rPr>
      </w:pPr>
      <w:r w:rsidRPr="00683E16">
        <w:rPr>
          <w:b/>
          <w:highlight w:val="yellow"/>
        </w:rPr>
        <w:t>Effectivité</w:t>
      </w:r>
      <w:r w:rsidRPr="00683E16">
        <w:rPr>
          <w:highlight w:val="yellow"/>
        </w:rPr>
        <w:t> : capacité à produire un bénéfice dans des conditions cliniques ou usuelles (appliqué à la réalité)</w:t>
      </w:r>
    </w:p>
    <w:p w:rsidR="00620600" w:rsidRDefault="00620600" w:rsidP="0016463B">
      <w:pPr>
        <w:pStyle w:val="Sansinterligne"/>
      </w:pPr>
      <w:r w:rsidRPr="00683E16">
        <w:rPr>
          <w:b/>
          <w:highlight w:val="yellow"/>
        </w:rPr>
        <w:t>Efficience</w:t>
      </w:r>
      <w:r w:rsidR="0008729C" w:rsidRPr="00683E16">
        <w:rPr>
          <w:highlight w:val="yellow"/>
        </w:rPr>
        <w:t> : Rapport coût/bénéfice d’une intervention dans un objectif d’optimisation</w:t>
      </w:r>
    </w:p>
    <w:p w:rsidR="00620600" w:rsidRDefault="00620600" w:rsidP="0016463B">
      <w:pPr>
        <w:pStyle w:val="Sansinterligne"/>
      </w:pPr>
    </w:p>
    <w:p w:rsidR="00620600" w:rsidRPr="00683E16" w:rsidRDefault="00620600" w:rsidP="0016463B">
      <w:pPr>
        <w:pStyle w:val="Sansinterligne"/>
        <w:rPr>
          <w:b/>
          <w:sz w:val="28"/>
          <w:szCs w:val="28"/>
        </w:rPr>
      </w:pPr>
      <w:r w:rsidRPr="00683E16">
        <w:rPr>
          <w:b/>
          <w:sz w:val="28"/>
          <w:szCs w:val="28"/>
        </w:rPr>
        <w:t>Amélioration de la qualité</w:t>
      </w:r>
    </w:p>
    <w:p w:rsidR="00683E16" w:rsidRDefault="00683E16" w:rsidP="00C92B32">
      <w:pPr>
        <w:pStyle w:val="Sansinterligne"/>
      </w:pPr>
    </w:p>
    <w:p w:rsidR="00C92B32" w:rsidRPr="00C92B32" w:rsidRDefault="00C92B32" w:rsidP="00C92B32">
      <w:pPr>
        <w:pStyle w:val="Sansinterligne"/>
        <w:rPr>
          <w:highlight w:val="yellow"/>
        </w:rPr>
      </w:pPr>
      <w:r w:rsidRPr="00C92B32">
        <w:rPr>
          <w:highlight w:val="yellow"/>
          <w:u w:val="single"/>
        </w:rPr>
        <w:t>Afin d’optimiser les soins, les ressources de santé et les interventions il faut</w:t>
      </w:r>
      <w:r w:rsidRPr="00C92B32">
        <w:rPr>
          <w:highlight w:val="yellow"/>
        </w:rPr>
        <w:t> :</w:t>
      </w:r>
    </w:p>
    <w:p w:rsidR="00C92B32" w:rsidRPr="00C92B32" w:rsidRDefault="00C92B32" w:rsidP="00C92B32">
      <w:pPr>
        <w:pStyle w:val="Sansinterligne"/>
        <w:rPr>
          <w:highlight w:val="yellow"/>
        </w:rPr>
      </w:pPr>
    </w:p>
    <w:p w:rsidR="00C92B32" w:rsidRPr="00C92B32" w:rsidRDefault="00C92B32" w:rsidP="00721F25">
      <w:pPr>
        <w:pStyle w:val="Sansinterligne"/>
        <w:numPr>
          <w:ilvl w:val="0"/>
          <w:numId w:val="1369"/>
        </w:numPr>
        <w:rPr>
          <w:highlight w:val="yellow"/>
        </w:rPr>
      </w:pPr>
      <w:r w:rsidRPr="00C92B32">
        <w:rPr>
          <w:highlight w:val="yellow"/>
        </w:rPr>
        <w:t>Établir des objectifs</w:t>
      </w:r>
    </w:p>
    <w:p w:rsidR="00C92B32" w:rsidRPr="00C92B32" w:rsidRDefault="00C92B32" w:rsidP="00721F25">
      <w:pPr>
        <w:pStyle w:val="Sansinterligne"/>
        <w:numPr>
          <w:ilvl w:val="0"/>
          <w:numId w:val="1369"/>
        </w:numPr>
        <w:rPr>
          <w:highlight w:val="yellow"/>
        </w:rPr>
      </w:pPr>
      <w:r w:rsidRPr="00C92B32">
        <w:rPr>
          <w:highlight w:val="yellow"/>
        </w:rPr>
        <w:t>Mettre en place des actions et politiques</w:t>
      </w:r>
    </w:p>
    <w:p w:rsidR="00C92B32" w:rsidRPr="00C92B32" w:rsidRDefault="00C92B32" w:rsidP="00721F25">
      <w:pPr>
        <w:pStyle w:val="Sansinterligne"/>
        <w:numPr>
          <w:ilvl w:val="0"/>
          <w:numId w:val="1369"/>
        </w:numPr>
        <w:rPr>
          <w:highlight w:val="yellow"/>
        </w:rPr>
      </w:pPr>
      <w:r w:rsidRPr="00C92B32">
        <w:rPr>
          <w:highlight w:val="yellow"/>
        </w:rPr>
        <w:t>Évaluer sur une base régulière l’atteinte des objectifs</w:t>
      </w:r>
    </w:p>
    <w:p w:rsidR="00C92B32" w:rsidRPr="00C92B32" w:rsidRDefault="00C92B32" w:rsidP="00721F25">
      <w:pPr>
        <w:pStyle w:val="Sansinterligne"/>
        <w:numPr>
          <w:ilvl w:val="0"/>
          <w:numId w:val="1369"/>
        </w:numPr>
        <w:rPr>
          <w:highlight w:val="yellow"/>
        </w:rPr>
      </w:pPr>
      <w:r w:rsidRPr="00C92B32">
        <w:rPr>
          <w:highlight w:val="yellow"/>
        </w:rPr>
        <w:t>Proposer de nouvelles mesures pour atteindre les objectifs au besoin</w:t>
      </w:r>
    </w:p>
    <w:p w:rsidR="00C92B32" w:rsidRPr="00C92B32" w:rsidRDefault="00C92B32" w:rsidP="00721F25">
      <w:pPr>
        <w:pStyle w:val="Sansinterligne"/>
        <w:numPr>
          <w:ilvl w:val="0"/>
          <w:numId w:val="1369"/>
        </w:numPr>
        <w:rPr>
          <w:highlight w:val="yellow"/>
        </w:rPr>
      </w:pPr>
      <w:r w:rsidRPr="00C92B32">
        <w:rPr>
          <w:highlight w:val="yellow"/>
        </w:rPr>
        <w:t>Document</w:t>
      </w:r>
      <w:r w:rsidR="00606438">
        <w:rPr>
          <w:highlight w:val="yellow"/>
        </w:rPr>
        <w:t>er</w:t>
      </w:r>
      <w:r w:rsidRPr="00C92B32">
        <w:rPr>
          <w:highlight w:val="yellow"/>
        </w:rPr>
        <w:t xml:space="preserve"> le processus pour fin d’analyse</w:t>
      </w:r>
    </w:p>
    <w:p w:rsidR="00C92B32" w:rsidRPr="00C92B32" w:rsidRDefault="00C92B32" w:rsidP="00C92B32">
      <w:pPr>
        <w:pStyle w:val="Sansinterligne"/>
        <w:rPr>
          <w:highlight w:val="yellow"/>
        </w:rPr>
      </w:pPr>
    </w:p>
    <w:p w:rsidR="00C92B32" w:rsidRDefault="00C92B32" w:rsidP="00C92B32">
      <w:pPr>
        <w:pStyle w:val="Sansinterligne"/>
      </w:pPr>
      <w:r w:rsidRPr="00C92B32">
        <w:rPr>
          <w:highlight w:val="yellow"/>
        </w:rPr>
        <w:t>Ce processus doit être fait régulièrement et sur le long terme afin de toujours répondre aux besoins actuels et de correspondre aux meilleurs standards de soins.</w:t>
      </w:r>
    </w:p>
    <w:p w:rsidR="00C92B32" w:rsidRDefault="00C92B32" w:rsidP="00C92B32">
      <w:pPr>
        <w:pStyle w:val="Sansinterligne"/>
      </w:pPr>
    </w:p>
    <w:p w:rsidR="00C92B32" w:rsidRDefault="00C92B32" w:rsidP="00721F25">
      <w:pPr>
        <w:pStyle w:val="Sansinterligne"/>
        <w:numPr>
          <w:ilvl w:val="0"/>
          <w:numId w:val="1370"/>
        </w:numPr>
      </w:pPr>
      <w:r>
        <w:t>Il est impératif de rechercher les biais et problématiques systémiques (et non individuels).</w:t>
      </w:r>
    </w:p>
    <w:p w:rsidR="00C92B32" w:rsidRDefault="00C92B32" w:rsidP="00C92B32">
      <w:pPr>
        <w:pStyle w:val="Sansinterligne"/>
      </w:pPr>
    </w:p>
    <w:p w:rsidR="00C92B32" w:rsidRDefault="00C92B32" w:rsidP="00C92B32">
      <w:pPr>
        <w:pStyle w:val="Sansinterligne"/>
      </w:pPr>
      <w:r>
        <w:t>On peut s’assurer de faire les bons choix en menant des analyses coûts-bénéfices ou (plus particulièrement pour un système de soins public) coût-effectivité. On utilise un ratio de gain de santé populationnel / coût (ex;: espérance de vie gagnée / naissances prématurées évitées / années de vue fonctionnelle, etc. sur le coût de la mesure à l’échelle de la population.</w:t>
      </w:r>
    </w:p>
    <w:p w:rsidR="00C92B32" w:rsidRDefault="00C92B32" w:rsidP="00C92B32">
      <w:pPr>
        <w:pStyle w:val="Sansinterligne"/>
      </w:pPr>
    </w:p>
    <w:p w:rsidR="00C92B32" w:rsidRDefault="00C92B32" w:rsidP="00C92B32">
      <w:pPr>
        <w:pStyle w:val="Sansinterligne"/>
      </w:pPr>
      <w:r>
        <w:t>Le résultat de ce type d’analyse est généralement un nombre d’années de vie ajustées pour la qualité (QALY)</w:t>
      </w:r>
    </w:p>
    <w:p w:rsidR="009246D0" w:rsidRDefault="00110202" w:rsidP="00577C7C">
      <w:pPr>
        <w:jc w:val="center"/>
        <w:rPr>
          <w:rFonts w:cs="Times New Roman"/>
          <w:b/>
          <w:color w:val="548DD4" w:themeColor="text2" w:themeTint="99"/>
        </w:rPr>
      </w:pPr>
      <w:r w:rsidRPr="00110202">
        <w:rPr>
          <w:rFonts w:cs="Times New Roman"/>
          <w:b/>
          <w:noProof/>
          <w:color w:val="548DD4" w:themeColor="text2" w:themeTint="99"/>
          <w:lang w:eastAsia="fr-CA"/>
        </w:rPr>
        <w:drawing>
          <wp:inline distT="0" distB="0" distL="0" distR="0" wp14:anchorId="0FFAF5F6" wp14:editId="29BAA52D">
            <wp:extent cx="4212077" cy="1606366"/>
            <wp:effectExtent l="0" t="0" r="0" b="0"/>
            <wp:docPr id="631" name="Espace réservé du contenu 3" descr="Capture d’écran 2017-01-08 à 15.40.09.pn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Espace réservé du contenu 3" descr="Capture d’écran 2017-01-08 à 15.40.09.png"/>
                    <pic:cNvPicPr>
                      <a:picLocks noGrp="1" noChangeAspect="1"/>
                    </pic:cNvPicPr>
                  </pic:nvPicPr>
                  <pic:blipFill rotWithShape="1">
                    <a:blip r:embed="rId269" cstate="print">
                      <a:extLst>
                        <a:ext uri="{28A0092B-C50C-407E-A947-70E740481C1C}">
                          <a14:useLocalDpi xmlns:a14="http://schemas.microsoft.com/office/drawing/2010/main" val="0"/>
                        </a:ext>
                      </a:extLst>
                    </a:blip>
                    <a:srcRect t="-2884" b="-482"/>
                    <a:stretch/>
                  </pic:blipFill>
                  <pic:spPr bwMode="auto">
                    <a:xfrm>
                      <a:off x="0" y="0"/>
                      <a:ext cx="4213908" cy="1607064"/>
                    </a:xfrm>
                    <a:prstGeom prst="rect">
                      <a:avLst/>
                    </a:prstGeom>
                    <a:ln>
                      <a:noFill/>
                    </a:ln>
                    <a:extLst>
                      <a:ext uri="{53640926-AAD7-44D8-BBD7-CCE9431645EC}">
                        <a14:shadowObscured xmlns:a14="http://schemas.microsoft.com/office/drawing/2010/main"/>
                      </a:ext>
                    </a:extLst>
                  </pic:spPr>
                </pic:pic>
              </a:graphicData>
            </a:graphic>
          </wp:inline>
        </w:drawing>
      </w:r>
      <w:r w:rsidR="00C92B32" w:rsidRPr="00C92B32">
        <w:rPr>
          <w:rFonts w:cs="Times New Roman"/>
          <w:b/>
          <w:noProof/>
          <w:color w:val="548DD4" w:themeColor="text2" w:themeTint="99"/>
          <w:lang w:eastAsia="fr-CA"/>
        </w:rPr>
        <w:drawing>
          <wp:inline distT="0" distB="0" distL="0" distR="0" wp14:anchorId="785F7BC5" wp14:editId="021C3F43">
            <wp:extent cx="4474723" cy="1714793"/>
            <wp:effectExtent l="0" t="0" r="2540" b="0"/>
            <wp:docPr id="630" name="Espace réservé du contenu 2" descr="IMG_3206.PN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3" name="Espace réservé du contenu 2" descr="IMG_3206.PNG"/>
                    <pic:cNvPicPr>
                      <a:picLocks noGrp="1" noChangeAspect="1"/>
                    </pic:cNvPicPr>
                  </pic:nvPicPr>
                  <pic:blipFill rotWithShape="1">
                    <a:blip r:embed="rId270" cstate="print">
                      <a:extLst>
                        <a:ext uri="{28A0092B-C50C-407E-A947-70E740481C1C}">
                          <a14:useLocalDpi xmlns:a14="http://schemas.microsoft.com/office/drawing/2010/main" val="0"/>
                        </a:ext>
                      </a:extLst>
                    </a:blip>
                    <a:srcRect l="5407" t="20758" r="11516" b="22608"/>
                    <a:stretch/>
                  </pic:blipFill>
                  <pic:spPr>
                    <a:xfrm>
                      <a:off x="0" y="0"/>
                      <a:ext cx="4477515" cy="1715863"/>
                    </a:xfrm>
                    <a:prstGeom prst="rect">
                      <a:avLst/>
                    </a:prstGeom>
                  </pic:spPr>
                </pic:pic>
              </a:graphicData>
            </a:graphic>
          </wp:inline>
        </w:drawing>
      </w:r>
      <w:r w:rsidR="009246D0">
        <w:rPr>
          <w:rFonts w:cs="Times New Roman"/>
          <w:b/>
          <w:color w:val="548DD4" w:themeColor="text2" w:themeTint="99"/>
        </w:rPr>
        <w:br w:type="page"/>
      </w:r>
    </w:p>
    <w:p w:rsidR="0077141B" w:rsidRDefault="0077141B" w:rsidP="00D859AA">
      <w:pPr>
        <w:spacing w:after="0"/>
        <w:rPr>
          <w:rFonts w:cs="Times New Roman"/>
          <w:b/>
          <w:color w:val="548DD4" w:themeColor="text2" w:themeTint="99"/>
        </w:rPr>
      </w:pPr>
    </w:p>
    <w:p w:rsidR="0077141B" w:rsidRDefault="0077141B" w:rsidP="0077141B">
      <w:pPr>
        <w:spacing w:after="0"/>
        <w:rPr>
          <w:rFonts w:cs="Times New Roman"/>
          <w:b/>
          <w:color w:val="548DD4" w:themeColor="text2" w:themeTint="99"/>
        </w:rPr>
      </w:pPr>
      <w:r>
        <w:rPr>
          <w:rFonts w:cs="Times New Roman"/>
          <w:b/>
          <w:color w:val="548DD4" w:themeColor="text2" w:themeTint="99"/>
        </w:rPr>
        <w:t>CMC 78-5</w:t>
      </w:r>
    </w:p>
    <w:bookmarkStart w:id="279" w:name="_Toc480797314"/>
    <w:p w:rsidR="0077141B" w:rsidRPr="0077141B" w:rsidRDefault="0077141B" w:rsidP="0077141B">
      <w:pPr>
        <w:pStyle w:val="Titre3"/>
        <w:spacing w:before="0" w:after="240"/>
        <w:rPr>
          <w:rFonts w:ascii="Times New Roman" w:hAnsi="Times New Roman" w:cs="Times New Roman"/>
        </w:rPr>
      </w:pPr>
      <w:r>
        <w:rPr>
          <w:rFonts w:ascii="Times New Roman" w:hAnsi="Times New Roman" w:cs="Times New Roman"/>
          <w:noProof/>
          <w:lang w:eastAsia="fr-CA"/>
        </w:rPr>
        <mc:AlternateContent>
          <mc:Choice Requires="wps">
            <w:drawing>
              <wp:anchor distT="0" distB="0" distL="114300" distR="114300" simplePos="0" relativeHeight="252147712" behindDoc="0" locked="0" layoutInCell="1" allowOverlap="1" wp14:anchorId="10B3A936" wp14:editId="576F351D">
                <wp:simplePos x="0" y="0"/>
                <wp:positionH relativeFrom="column">
                  <wp:posOffset>-68094</wp:posOffset>
                </wp:positionH>
                <wp:positionV relativeFrom="paragraph">
                  <wp:posOffset>250595</wp:posOffset>
                </wp:positionV>
                <wp:extent cx="6974732" cy="2412460"/>
                <wp:effectExtent l="0" t="0" r="17145" b="26035"/>
                <wp:wrapNone/>
                <wp:docPr id="618" name="Rectangle 618"/>
                <wp:cNvGraphicFramePr/>
                <a:graphic xmlns:a="http://schemas.openxmlformats.org/drawingml/2006/main">
                  <a:graphicData uri="http://schemas.microsoft.com/office/word/2010/wordprocessingShape">
                    <wps:wsp>
                      <wps:cNvSpPr/>
                      <wps:spPr>
                        <a:xfrm>
                          <a:off x="0" y="0"/>
                          <a:ext cx="6974732" cy="2412460"/>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618" o:spid="_x0000_s1026" style="position:absolute;margin-left:-5.35pt;margin-top:19.75pt;width:549.2pt;height:189.95pt;z-index:2521477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" filled="f" strokecolor="black [1600]" strokeweight="2pt"/>
            </w:pict>
          </mc:Fallback>
        </mc:AlternateContent>
      </w:r>
      <w:r w:rsidRPr="0077141B">
        <w:rPr>
          <w:rFonts w:ascii="Times New Roman" w:hAnsi="Times New Roman" w:cs="Times New Roman"/>
        </w:rPr>
        <w:t>Prise en charge d’une épidémie</w:t>
      </w:r>
      <w:bookmarkEnd w:id="279"/>
    </w:p>
    <w:tbl>
      <w:tblPr>
        <w:tblW w:w="3858" w:type="pct"/>
        <w:tblCellSpacing w:w="0" w:type="dxa"/>
        <w:tblCellMar>
          <w:left w:w="0" w:type="dxa"/>
          <w:right w:w="0" w:type="dxa"/>
        </w:tblCellMar>
        <w:tblLook w:val="04A0" w:firstRow="1" w:lastRow="0" w:firstColumn="1" w:lastColumn="0" w:noHBand="0" w:noVBand="1"/>
      </w:tblPr>
      <w:tblGrid>
        <w:gridCol w:w="8333"/>
      </w:tblGrid>
      <w:tr w:rsidR="0077141B" w:rsidRPr="0077141B" w:rsidTr="0077141B">
        <w:trPr>
          <w:tblCellSpacing w:w="0" w:type="dxa"/>
        </w:trPr>
        <w:tc>
          <w:tcPr>
            <w:tcW w:w="0" w:type="auto"/>
            <w:vAlign w:val="bottom"/>
            <w:hideMark/>
          </w:tcPr>
          <w:p w:rsidR="0077141B" w:rsidRPr="0077141B" w:rsidRDefault="0077141B" w:rsidP="0077141B">
            <w:pPr>
              <w:pStyle w:val="Sansinterligne"/>
              <w:rPr>
                <w:rFonts w:cs="Times New Roman"/>
                <w:b/>
                <w:sz w:val="18"/>
                <w:szCs w:val="18"/>
              </w:rPr>
            </w:pPr>
            <w:r w:rsidRPr="0077141B">
              <w:rPr>
                <w:rFonts w:cs="Times New Roman"/>
                <w:b/>
                <w:sz w:val="18"/>
                <w:szCs w:val="18"/>
              </w:rPr>
              <w:t>Objectifs principaux</w:t>
            </w:r>
          </w:p>
        </w:tc>
      </w:tr>
    </w:tbl>
    <w:p w:rsidR="0077141B" w:rsidRPr="0077141B" w:rsidRDefault="0077141B" w:rsidP="0077141B">
      <w:pPr>
        <w:numPr>
          <w:ilvl w:val="0"/>
          <w:numId w:val="1371"/>
        </w:numPr>
        <w:shd w:val="clear" w:color="auto" w:fill="FFFFFF"/>
        <w:spacing w:before="100" w:beforeAutospacing="1" w:after="100" w:afterAutospacing="1" w:line="240" w:lineRule="auto"/>
        <w:rPr>
          <w:rFonts w:cs="Times New Roman"/>
          <w:color w:val="000000"/>
          <w:sz w:val="18"/>
          <w:szCs w:val="18"/>
          <w:shd w:val="clear" w:color="auto" w:fill="FFFFFF"/>
        </w:rPr>
      </w:pPr>
      <w:r w:rsidRPr="0077141B">
        <w:rPr>
          <w:rFonts w:cs="Times New Roman"/>
          <w:color w:val="000000"/>
          <w:sz w:val="18"/>
          <w:szCs w:val="18"/>
          <w:shd w:val="clear" w:color="auto" w:fill="FFFFFF"/>
        </w:rPr>
        <w:t>Connaître les caractéristiques déterminantes d'une épidémie et la façon d'en reconnaître une.</w:t>
      </w:r>
    </w:p>
    <w:p w:rsidR="0077141B" w:rsidRPr="0077141B" w:rsidRDefault="0077141B" w:rsidP="0077141B">
      <w:pPr>
        <w:numPr>
          <w:ilvl w:val="0"/>
          <w:numId w:val="1371"/>
        </w:numPr>
        <w:shd w:val="clear" w:color="auto" w:fill="FFFFFF"/>
        <w:spacing w:before="100" w:beforeAutospacing="1" w:after="100" w:afterAutospacing="1" w:line="240" w:lineRule="auto"/>
        <w:rPr>
          <w:rFonts w:cs="Times New Roman"/>
          <w:color w:val="000000"/>
          <w:sz w:val="18"/>
          <w:szCs w:val="18"/>
          <w:shd w:val="clear" w:color="auto" w:fill="FFFFFF"/>
        </w:rPr>
      </w:pPr>
      <w:r w:rsidRPr="0077141B">
        <w:rPr>
          <w:rFonts w:cs="Times New Roman"/>
          <w:color w:val="000000"/>
          <w:sz w:val="18"/>
          <w:szCs w:val="18"/>
          <w:shd w:val="clear" w:color="auto" w:fill="FFFFFF"/>
        </w:rPr>
        <w:t>Posséder des compétences essentielles afin d'atténuer les épidémies et leurs répercussions sur le public, en collaboration avec les autorités en matière de santé publique, le cas échéant.</w:t>
      </w:r>
    </w:p>
    <w:tbl>
      <w:tblPr>
        <w:tblW w:w="3721" w:type="pct"/>
        <w:tblCellSpacing w:w="0" w:type="dxa"/>
        <w:tblCellMar>
          <w:left w:w="0" w:type="dxa"/>
          <w:right w:w="0" w:type="dxa"/>
        </w:tblCellMar>
        <w:tblLook w:val="04A0" w:firstRow="1" w:lastRow="0" w:firstColumn="1" w:lastColumn="0" w:noHBand="0" w:noVBand="1"/>
      </w:tblPr>
      <w:tblGrid>
        <w:gridCol w:w="8037"/>
      </w:tblGrid>
      <w:tr w:rsidR="0077141B" w:rsidRPr="0077141B" w:rsidTr="0077141B">
        <w:trPr>
          <w:tblCellSpacing w:w="0" w:type="dxa"/>
        </w:trPr>
        <w:tc>
          <w:tcPr>
            <w:tcW w:w="0" w:type="auto"/>
            <w:vAlign w:val="bottom"/>
            <w:hideMark/>
          </w:tcPr>
          <w:p w:rsidR="0077141B" w:rsidRPr="0077141B" w:rsidRDefault="0077141B" w:rsidP="0077141B">
            <w:pPr>
              <w:pStyle w:val="Sansinterligne"/>
              <w:rPr>
                <w:rFonts w:cs="Times New Roman"/>
                <w:b/>
                <w:sz w:val="16"/>
                <w:szCs w:val="16"/>
              </w:rPr>
            </w:pPr>
            <w:r w:rsidRPr="0077141B">
              <w:rPr>
                <w:rFonts w:cs="Times New Roman"/>
                <w:b/>
                <w:sz w:val="16"/>
                <w:szCs w:val="16"/>
              </w:rPr>
              <w:t>Objectifs de base</w:t>
            </w:r>
          </w:p>
        </w:tc>
      </w:tr>
    </w:tbl>
    <w:p w:rsidR="0077141B" w:rsidRPr="0077141B" w:rsidRDefault="0077141B" w:rsidP="0077141B">
      <w:pPr>
        <w:numPr>
          <w:ilvl w:val="0"/>
          <w:numId w:val="1372"/>
        </w:numPr>
        <w:shd w:val="clear" w:color="auto" w:fill="FFFFFF"/>
        <w:spacing w:before="100" w:beforeAutospacing="1" w:after="100" w:afterAutospacing="1" w:line="240" w:lineRule="auto"/>
        <w:rPr>
          <w:rFonts w:cs="Times New Roman"/>
          <w:color w:val="000000"/>
          <w:sz w:val="16"/>
          <w:szCs w:val="16"/>
          <w:shd w:val="clear" w:color="auto" w:fill="FFFFFF"/>
        </w:rPr>
      </w:pPr>
      <w:r w:rsidRPr="0077141B">
        <w:rPr>
          <w:rFonts w:cs="Times New Roman"/>
          <w:color w:val="000000"/>
          <w:sz w:val="16"/>
          <w:szCs w:val="16"/>
          <w:shd w:val="clear" w:color="auto" w:fill="FFFFFF"/>
        </w:rPr>
        <w:t>Adopter une définition d'une épidémie comme étant un certain nombre de cas dépassant les prévisions habituelles.</w:t>
      </w:r>
    </w:p>
    <w:p w:rsidR="0077141B" w:rsidRPr="0077141B" w:rsidRDefault="0077141B" w:rsidP="0077141B">
      <w:pPr>
        <w:numPr>
          <w:ilvl w:val="0"/>
          <w:numId w:val="1372"/>
        </w:numPr>
        <w:shd w:val="clear" w:color="auto" w:fill="FFFFFF"/>
        <w:spacing w:before="100" w:beforeAutospacing="1" w:after="100" w:afterAutospacing="1" w:line="240" w:lineRule="auto"/>
        <w:rPr>
          <w:rFonts w:cs="Times New Roman"/>
          <w:color w:val="000000"/>
          <w:sz w:val="16"/>
          <w:szCs w:val="16"/>
          <w:shd w:val="clear" w:color="auto" w:fill="FFFFFF"/>
        </w:rPr>
      </w:pPr>
      <w:r w:rsidRPr="0077141B">
        <w:rPr>
          <w:rFonts w:cs="Times New Roman"/>
          <w:color w:val="000000"/>
          <w:sz w:val="16"/>
          <w:szCs w:val="16"/>
          <w:shd w:val="clear" w:color="auto" w:fill="FFFFFF"/>
        </w:rPr>
        <w:t>Décrire et comprendre les principales étapes de la prise en charge et de la prévention des épidémies.</w:t>
      </w:r>
    </w:p>
    <w:p w:rsidR="0077141B" w:rsidRPr="0077141B" w:rsidRDefault="0077141B" w:rsidP="0077141B">
      <w:pPr>
        <w:numPr>
          <w:ilvl w:val="0"/>
          <w:numId w:val="1372"/>
        </w:numPr>
        <w:shd w:val="clear" w:color="auto" w:fill="FFFFFF"/>
        <w:spacing w:before="100" w:beforeAutospacing="1" w:after="100" w:afterAutospacing="1" w:line="240" w:lineRule="auto"/>
        <w:rPr>
          <w:rFonts w:cs="Times New Roman"/>
          <w:color w:val="000000"/>
          <w:sz w:val="16"/>
          <w:szCs w:val="16"/>
          <w:shd w:val="clear" w:color="auto" w:fill="FFFFFF"/>
        </w:rPr>
      </w:pPr>
      <w:r w:rsidRPr="0077141B">
        <w:rPr>
          <w:rFonts w:cs="Times New Roman"/>
          <w:color w:val="000000"/>
          <w:sz w:val="16"/>
          <w:szCs w:val="16"/>
          <w:shd w:val="clear" w:color="auto" w:fill="FFFFFF"/>
        </w:rPr>
        <w:t>Posséder les compétences nécessaires pour prendre en charge de façon efficace une épidémie, y compris la prévention des infections lorsqu'une épidémie est attribuable à un agent infectieux.</w:t>
      </w:r>
    </w:p>
    <w:p w:rsidR="0077141B" w:rsidRPr="0077141B" w:rsidRDefault="0077141B" w:rsidP="0077141B">
      <w:pPr>
        <w:numPr>
          <w:ilvl w:val="0"/>
          <w:numId w:val="1372"/>
        </w:numPr>
        <w:shd w:val="clear" w:color="auto" w:fill="FFFFFF"/>
        <w:spacing w:before="100" w:beforeAutospacing="1" w:after="100" w:afterAutospacing="1" w:line="240" w:lineRule="auto"/>
        <w:rPr>
          <w:rFonts w:cs="Times New Roman"/>
          <w:color w:val="000000"/>
          <w:sz w:val="16"/>
          <w:szCs w:val="16"/>
          <w:shd w:val="clear" w:color="auto" w:fill="FFFFFF"/>
        </w:rPr>
      </w:pPr>
      <w:r w:rsidRPr="0077141B">
        <w:rPr>
          <w:rFonts w:cs="Times New Roman"/>
          <w:color w:val="000000"/>
          <w:sz w:val="16"/>
          <w:szCs w:val="16"/>
          <w:shd w:val="clear" w:color="auto" w:fill="FFFFFF"/>
        </w:rPr>
        <w:t>Décrire les différentes méthodes de prévention des infections et établir laquelle il convient d'adopter selon le type d'épidémie.</w:t>
      </w:r>
    </w:p>
    <w:p w:rsidR="0077141B" w:rsidRPr="0077141B" w:rsidRDefault="0077141B" w:rsidP="0077141B">
      <w:pPr>
        <w:numPr>
          <w:ilvl w:val="0"/>
          <w:numId w:val="1372"/>
        </w:numPr>
        <w:shd w:val="clear" w:color="auto" w:fill="FFFFFF"/>
        <w:spacing w:before="100" w:beforeAutospacing="1" w:after="100" w:afterAutospacing="1" w:line="240" w:lineRule="auto"/>
        <w:rPr>
          <w:rFonts w:cs="Times New Roman"/>
          <w:color w:val="000000"/>
          <w:sz w:val="16"/>
          <w:szCs w:val="16"/>
          <w:shd w:val="clear" w:color="auto" w:fill="FFFFFF"/>
        </w:rPr>
      </w:pPr>
      <w:r w:rsidRPr="0077141B">
        <w:rPr>
          <w:rFonts w:cs="Times New Roman"/>
          <w:color w:val="000000"/>
          <w:sz w:val="16"/>
          <w:szCs w:val="16"/>
          <w:shd w:val="clear" w:color="auto" w:fill="FFFFFF"/>
        </w:rPr>
        <w:t>Être en mesure de communiquer efficacement avec les patients et la collectivité dans son ensemble.</w:t>
      </w:r>
    </w:p>
    <w:p w:rsidR="0077141B" w:rsidRPr="0077141B" w:rsidRDefault="0077141B" w:rsidP="0077141B">
      <w:pPr>
        <w:numPr>
          <w:ilvl w:val="0"/>
          <w:numId w:val="1372"/>
        </w:numPr>
        <w:shd w:val="clear" w:color="auto" w:fill="FFFFFF"/>
        <w:spacing w:before="100" w:beforeAutospacing="1" w:after="100" w:afterAutospacing="1" w:line="240" w:lineRule="auto"/>
        <w:rPr>
          <w:rFonts w:cs="Times New Roman"/>
          <w:color w:val="000000"/>
          <w:sz w:val="16"/>
          <w:szCs w:val="16"/>
          <w:shd w:val="clear" w:color="auto" w:fill="FFFFFF"/>
        </w:rPr>
      </w:pPr>
      <w:r w:rsidRPr="0077141B">
        <w:rPr>
          <w:rFonts w:cs="Times New Roman"/>
          <w:color w:val="000000"/>
          <w:sz w:val="16"/>
          <w:szCs w:val="16"/>
          <w:shd w:val="clear" w:color="auto" w:fill="FFFFFF"/>
        </w:rPr>
        <w:t>Décrire les méthodes appropriées de prévention ou de réduction des risques de réapparition de l'épidémie.</w:t>
      </w:r>
    </w:p>
    <w:p w:rsidR="0077141B" w:rsidRPr="001F0625" w:rsidRDefault="001F0625" w:rsidP="001F0625">
      <w:pPr>
        <w:pStyle w:val="Sansinterligne"/>
        <w:rPr>
          <w:b/>
          <w:sz w:val="28"/>
          <w:szCs w:val="28"/>
        </w:rPr>
      </w:pPr>
      <w:r w:rsidRPr="001F0625">
        <w:rPr>
          <w:b/>
          <w:sz w:val="28"/>
          <w:szCs w:val="28"/>
        </w:rPr>
        <w:t>Définitions</w:t>
      </w:r>
    </w:p>
    <w:p w:rsidR="001F0625" w:rsidRPr="00064CC4" w:rsidRDefault="00D93064" w:rsidP="001F0625">
      <w:pPr>
        <w:pStyle w:val="Sansinterligne"/>
        <w:rPr>
          <w:sz w:val="16"/>
          <w:szCs w:val="16"/>
        </w:rPr>
      </w:pPr>
      <w:r>
        <w:rPr>
          <w:noProof/>
          <w:lang w:eastAsia="fr-CA"/>
        </w:rPr>
        <w:drawing>
          <wp:anchor distT="0" distB="0" distL="114300" distR="114300" simplePos="0" relativeHeight="252158976" behindDoc="0" locked="0" layoutInCell="1" allowOverlap="1" wp14:anchorId="605588BA" wp14:editId="4C6B36B0">
            <wp:simplePos x="0" y="0"/>
            <wp:positionH relativeFrom="column">
              <wp:posOffset>3968533</wp:posOffset>
            </wp:positionH>
            <wp:positionV relativeFrom="paragraph">
              <wp:posOffset>80917</wp:posOffset>
            </wp:positionV>
            <wp:extent cx="2937510" cy="2245995"/>
            <wp:effectExtent l="0" t="0" r="0" b="1905"/>
            <wp:wrapNone/>
            <wp:docPr id="639" name="Image 639" descr="Résultats de recherche d'images pour « mise en quarantain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Résultats de recherche d'images pour « mise en quarantaine »"/>
                    <pic:cNvPicPr>
                      <a:picLocks noChangeAspect="1" noChangeArrowheads="1"/>
                    </pic:cNvPicPr>
                  </pic:nvPicPr>
                  <pic:blipFill rotWithShape="1">
                    <a:blip r:embed="rId271">
                      <a:extLst>
                        <a:ext uri="{28A0092B-C50C-407E-A947-70E740481C1C}">
                          <a14:useLocalDpi xmlns:a14="http://schemas.microsoft.com/office/drawing/2010/main" val="0"/>
                        </a:ext>
                      </a:extLst>
                    </a:blip>
                    <a:srcRect l="16718" r="9597"/>
                    <a:stretch/>
                  </pic:blipFill>
                  <pic:spPr bwMode="auto">
                    <a:xfrm>
                      <a:off x="0" y="0"/>
                      <a:ext cx="2937510" cy="224599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1F0625" w:rsidRPr="001F0625" w:rsidRDefault="001F0625" w:rsidP="001F0625">
      <w:pPr>
        <w:pStyle w:val="Sansinterligne"/>
        <w:ind w:right="4704"/>
        <w:rPr>
          <w:b/>
        </w:rPr>
      </w:pPr>
      <w:r w:rsidRPr="001F0625">
        <w:rPr>
          <w:b/>
        </w:rPr>
        <w:t>Épidémie</w:t>
      </w:r>
    </w:p>
    <w:p w:rsidR="001F0625" w:rsidRPr="001F0625" w:rsidRDefault="001F0625" w:rsidP="001F0625">
      <w:pPr>
        <w:pStyle w:val="Sansinterligne"/>
        <w:numPr>
          <w:ilvl w:val="0"/>
          <w:numId w:val="1382"/>
        </w:numPr>
        <w:ind w:right="4704"/>
        <w:jc w:val="both"/>
        <w:rPr>
          <w:highlight w:val="yellow"/>
        </w:rPr>
      </w:pPr>
      <w:r w:rsidRPr="001F0625">
        <w:rPr>
          <w:highlight w:val="yellow"/>
        </w:rPr>
        <w:t xml:space="preserve">Survenue de nouveaux cas d’une maladie qui sont beaucoup plus nombreux (excès) que le niveau habituel pour une population ou une communauté donnée et sur une période de temps définie. </w:t>
      </w:r>
    </w:p>
    <w:p w:rsidR="001F0625" w:rsidRPr="001F0625" w:rsidRDefault="001F0625" w:rsidP="001F0625">
      <w:pPr>
        <w:pStyle w:val="Sansinterligne"/>
        <w:numPr>
          <w:ilvl w:val="0"/>
          <w:numId w:val="1382"/>
        </w:numPr>
        <w:ind w:right="4704"/>
        <w:jc w:val="both"/>
        <w:rPr>
          <w:highlight w:val="yellow"/>
        </w:rPr>
      </w:pPr>
      <w:r w:rsidRPr="001F0625">
        <w:rPr>
          <w:highlight w:val="yellow"/>
        </w:rPr>
        <w:t>Il peut s’agir d’une maladie infectieuse comme d’une maladie autre.</w:t>
      </w:r>
    </w:p>
    <w:p w:rsidR="001F0625" w:rsidRDefault="001F0625" w:rsidP="001F0625">
      <w:pPr>
        <w:pStyle w:val="Sansinterligne"/>
        <w:ind w:right="4704"/>
        <w:jc w:val="both"/>
      </w:pPr>
    </w:p>
    <w:p w:rsidR="001F0625" w:rsidRPr="001F0625" w:rsidRDefault="001F0625" w:rsidP="001F0625">
      <w:pPr>
        <w:pStyle w:val="Sansinterligne"/>
        <w:ind w:right="4704"/>
        <w:jc w:val="both"/>
        <w:rPr>
          <w:b/>
        </w:rPr>
      </w:pPr>
      <w:r w:rsidRPr="001F0625">
        <w:rPr>
          <w:b/>
        </w:rPr>
        <w:t>Pandémie</w:t>
      </w:r>
    </w:p>
    <w:p w:rsidR="001F0625" w:rsidRDefault="001F0625" w:rsidP="001F0625">
      <w:pPr>
        <w:pStyle w:val="Sansinterligne"/>
        <w:numPr>
          <w:ilvl w:val="0"/>
          <w:numId w:val="1383"/>
        </w:numPr>
        <w:ind w:right="4704"/>
        <w:jc w:val="both"/>
      </w:pPr>
      <w:r>
        <w:t>Épidémie répandue à grande échelle, affectant plusieurs pays et un grand nombre de personnes.</w:t>
      </w:r>
    </w:p>
    <w:p w:rsidR="001F0625" w:rsidRDefault="001F0625" w:rsidP="001F0625">
      <w:pPr>
        <w:pStyle w:val="Sansinterligne"/>
        <w:ind w:right="4704"/>
        <w:jc w:val="both"/>
      </w:pPr>
    </w:p>
    <w:p w:rsidR="001F0625" w:rsidRPr="001F0625" w:rsidRDefault="001F0625" w:rsidP="001F0625">
      <w:pPr>
        <w:pStyle w:val="Sansinterligne"/>
        <w:ind w:right="4704"/>
        <w:jc w:val="both"/>
        <w:rPr>
          <w:b/>
        </w:rPr>
      </w:pPr>
      <w:r w:rsidRPr="001F0625">
        <w:rPr>
          <w:b/>
        </w:rPr>
        <w:t>Endémie</w:t>
      </w:r>
    </w:p>
    <w:p w:rsidR="001F0625" w:rsidRDefault="001F0625" w:rsidP="001F0625">
      <w:pPr>
        <w:pStyle w:val="Sansinterligne"/>
        <w:numPr>
          <w:ilvl w:val="0"/>
          <w:numId w:val="1383"/>
        </w:numPr>
        <w:ind w:right="4704"/>
        <w:jc w:val="both"/>
      </w:pPr>
      <w:r>
        <w:t>Présence constante d’un agent infectieux dans une zone donnée, une population ou un groupe.</w:t>
      </w:r>
    </w:p>
    <w:p w:rsidR="001F0625" w:rsidRDefault="001F0625" w:rsidP="001F0625">
      <w:pPr>
        <w:pStyle w:val="Sansinterligne"/>
      </w:pPr>
    </w:p>
    <w:p w:rsidR="001F0625" w:rsidRPr="001F0625" w:rsidRDefault="00064CC4" w:rsidP="001F0625">
      <w:pPr>
        <w:pStyle w:val="Sansinterligne"/>
        <w:rPr>
          <w:b/>
          <w:sz w:val="28"/>
          <w:szCs w:val="28"/>
        </w:rPr>
      </w:pPr>
      <w:r>
        <w:rPr>
          <w:noProof/>
          <w:lang w:eastAsia="fr-CA"/>
        </w:rPr>
        <mc:AlternateContent>
          <mc:Choice Requires="wps">
            <w:drawing>
              <wp:anchor distT="0" distB="0" distL="114300" distR="114300" simplePos="0" relativeHeight="252153856" behindDoc="0" locked="0" layoutInCell="1" allowOverlap="1" wp14:anchorId="481DE616" wp14:editId="3E10C644">
                <wp:simplePos x="0" y="0"/>
                <wp:positionH relativeFrom="column">
                  <wp:posOffset>4287520</wp:posOffset>
                </wp:positionH>
                <wp:positionV relativeFrom="paragraph">
                  <wp:posOffset>67945</wp:posOffset>
                </wp:positionV>
                <wp:extent cx="2374265" cy="2723515"/>
                <wp:effectExtent l="0" t="0" r="19050" b="19685"/>
                <wp:wrapNone/>
                <wp:docPr id="633"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2723515"/>
                        </a:xfrm>
                        <a:prstGeom prst="rect">
                          <a:avLst/>
                        </a:prstGeom>
                        <a:solidFill>
                          <a:schemeClr val="bg2">
                            <a:lumMod val="75000"/>
                          </a:schemeClr>
                        </a:solidFill>
                        <a:ln w="9525">
                          <a:solidFill>
                            <a:srgbClr val="000000"/>
                          </a:solidFill>
                          <a:miter lim="800000"/>
                          <a:headEnd/>
                          <a:tailEnd/>
                        </a:ln>
                      </wps:spPr>
                      <wps:txbx>
                        <w:txbxContent>
                          <w:p w:rsidR="008276DC" w:rsidRPr="001F0625" w:rsidRDefault="008276DC" w:rsidP="001F0625">
                            <w:pPr>
                              <w:spacing w:after="0"/>
                              <w:jc w:val="center"/>
                              <w:rPr>
                                <w:u w:val="single"/>
                              </w:rPr>
                            </w:pPr>
                            <w:r w:rsidRPr="001F0625">
                              <w:rPr>
                                <w:u w:val="single"/>
                              </w:rPr>
                              <w:t>Mesures de prévention des infections</w:t>
                            </w:r>
                          </w:p>
                          <w:p w:rsidR="008276DC" w:rsidRPr="001F0625" w:rsidRDefault="008276DC" w:rsidP="001F0625">
                            <w:pPr>
                              <w:spacing w:after="0"/>
                              <w:jc w:val="center"/>
                              <w:rPr>
                                <w:b/>
                              </w:rPr>
                            </w:pPr>
                            <w:r w:rsidRPr="001F0625">
                              <w:rPr>
                                <w:b/>
                              </w:rPr>
                              <w:t>Contact</w:t>
                            </w:r>
                          </w:p>
                          <w:p w:rsidR="008276DC" w:rsidRDefault="008276DC" w:rsidP="001F0625">
                            <w:pPr>
                              <w:pStyle w:val="Paragraphedeliste"/>
                              <w:numPr>
                                <w:ilvl w:val="0"/>
                                <w:numId w:val="1386"/>
                              </w:numPr>
                              <w:spacing w:after="0"/>
                            </w:pPr>
                            <w:r>
                              <w:t>Lavage des mains</w:t>
                            </w:r>
                          </w:p>
                          <w:p w:rsidR="008276DC" w:rsidRDefault="008276DC" w:rsidP="001F0625">
                            <w:pPr>
                              <w:pStyle w:val="Paragraphedeliste"/>
                              <w:numPr>
                                <w:ilvl w:val="0"/>
                                <w:numId w:val="1386"/>
                              </w:numPr>
                              <w:spacing w:after="0"/>
                            </w:pPr>
                            <w:r>
                              <w:t>Gants</w:t>
                            </w:r>
                          </w:p>
                          <w:p w:rsidR="008276DC" w:rsidRDefault="008276DC" w:rsidP="001F0625">
                            <w:pPr>
                              <w:pStyle w:val="Paragraphedeliste"/>
                              <w:numPr>
                                <w:ilvl w:val="0"/>
                                <w:numId w:val="1386"/>
                              </w:numPr>
                              <w:spacing w:after="0"/>
                            </w:pPr>
                            <w:r>
                              <w:t>Jaquette</w:t>
                            </w:r>
                          </w:p>
                          <w:p w:rsidR="008276DC" w:rsidRDefault="008276DC" w:rsidP="001F0625">
                            <w:pPr>
                              <w:pStyle w:val="Paragraphedeliste"/>
                              <w:numPr>
                                <w:ilvl w:val="0"/>
                                <w:numId w:val="1386"/>
                              </w:numPr>
                              <w:spacing w:after="0"/>
                            </w:pPr>
                            <w:r>
                              <w:t>Nettoyage des instruments utilisés</w:t>
                            </w:r>
                          </w:p>
                          <w:p w:rsidR="008276DC" w:rsidRPr="001F0625" w:rsidRDefault="008276DC" w:rsidP="001F0625">
                            <w:pPr>
                              <w:spacing w:after="0"/>
                              <w:jc w:val="center"/>
                              <w:rPr>
                                <w:b/>
                              </w:rPr>
                            </w:pPr>
                            <w:r>
                              <w:rPr>
                                <w:b/>
                              </w:rPr>
                              <w:t>Gouttelette</w:t>
                            </w:r>
                          </w:p>
                          <w:p w:rsidR="008276DC" w:rsidRDefault="008276DC" w:rsidP="001F0625">
                            <w:pPr>
                              <w:pStyle w:val="Paragraphedeliste"/>
                              <w:numPr>
                                <w:ilvl w:val="0"/>
                                <w:numId w:val="1385"/>
                              </w:numPr>
                              <w:spacing w:after="0"/>
                            </w:pPr>
                            <w:r>
                              <w:t>Précautions Contact PLUS</w:t>
                            </w:r>
                          </w:p>
                          <w:p w:rsidR="008276DC" w:rsidRDefault="008276DC" w:rsidP="001F0625">
                            <w:pPr>
                              <w:pStyle w:val="Paragraphedeliste"/>
                              <w:numPr>
                                <w:ilvl w:val="0"/>
                                <w:numId w:val="1385"/>
                              </w:numPr>
                              <w:spacing w:after="0"/>
                            </w:pPr>
                            <w:r>
                              <w:t>Lunettes</w:t>
                            </w:r>
                          </w:p>
                          <w:p w:rsidR="008276DC" w:rsidRDefault="008276DC" w:rsidP="001F0625">
                            <w:pPr>
                              <w:pStyle w:val="Paragraphedeliste"/>
                              <w:numPr>
                                <w:ilvl w:val="0"/>
                                <w:numId w:val="1385"/>
                              </w:numPr>
                              <w:spacing w:after="0"/>
                            </w:pPr>
                            <w:r>
                              <w:t>Masque chirurgical</w:t>
                            </w:r>
                          </w:p>
                          <w:p w:rsidR="008276DC" w:rsidRPr="001F0625" w:rsidRDefault="008276DC" w:rsidP="001F0625">
                            <w:pPr>
                              <w:spacing w:after="0"/>
                              <w:jc w:val="center"/>
                              <w:rPr>
                                <w:b/>
                              </w:rPr>
                            </w:pPr>
                            <w:r w:rsidRPr="001F0625">
                              <w:rPr>
                                <w:b/>
                              </w:rPr>
                              <w:t>Aérienne</w:t>
                            </w:r>
                          </w:p>
                          <w:p w:rsidR="008276DC" w:rsidRDefault="008276DC" w:rsidP="001F0625">
                            <w:pPr>
                              <w:pStyle w:val="Paragraphedeliste"/>
                              <w:numPr>
                                <w:ilvl w:val="0"/>
                                <w:numId w:val="1384"/>
                              </w:numPr>
                              <w:spacing w:after="0"/>
                            </w:pPr>
                            <w:r>
                              <w:t>Précautions Contact PLUS</w:t>
                            </w:r>
                          </w:p>
                          <w:p w:rsidR="008276DC" w:rsidRDefault="008276DC" w:rsidP="001F0625">
                            <w:pPr>
                              <w:pStyle w:val="Paragraphedeliste"/>
                              <w:numPr>
                                <w:ilvl w:val="0"/>
                                <w:numId w:val="1384"/>
                              </w:numPr>
                              <w:spacing w:after="0"/>
                            </w:pPr>
                            <w:r>
                              <w:t>Masque N95</w:t>
                            </w:r>
                          </w:p>
                          <w:p w:rsidR="008276DC" w:rsidRDefault="008276DC" w:rsidP="001F0625">
                            <w:pPr>
                              <w:pStyle w:val="Paragraphedeliste"/>
                              <w:numPr>
                                <w:ilvl w:val="0"/>
                                <w:numId w:val="1384"/>
                              </w:numPr>
                              <w:spacing w:after="0"/>
                            </w:pPr>
                            <w:r>
                              <w:t>Chambre à pression négative</w:t>
                            </w:r>
                          </w:p>
                          <w:p w:rsidR="008276DC" w:rsidRDefault="008276DC"/>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 id="_x0000_s1099" type="#_x0000_t202" style="position:absolute;margin-left:337.6pt;margin-top:5.35pt;width:186.95pt;height:214.45pt;z-index:252153856;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" fillcolor="#c4bc96 [2414]">
                <v:textbox>
                  <w:txbxContent>
                    <w:p w:rsidR="008276DC" w:rsidRPr="001F0625" w:rsidRDefault="008276DC" w:rsidP="001F0625">
                      <w:pPr>
                        <w:spacing w:after="0"/>
                        <w:jc w:val="center"/>
                        <w:rPr>
                          <w:u w:val="single"/>
                        </w:rPr>
                      </w:pPr>
                      <w:r w:rsidRPr="001F0625">
                        <w:rPr>
                          <w:u w:val="single"/>
                        </w:rPr>
                        <w:t>Mesures de prévention des infections</w:t>
                      </w:r>
                    </w:p>
                    <w:p w:rsidR="008276DC" w:rsidRPr="001F0625" w:rsidRDefault="008276DC" w:rsidP="001F0625">
                      <w:pPr>
                        <w:spacing w:after="0"/>
                        <w:jc w:val="center"/>
                        <w:rPr>
                          <w:b/>
                        </w:rPr>
                      </w:pPr>
                      <w:r w:rsidRPr="001F0625">
                        <w:rPr>
                          <w:b/>
                        </w:rPr>
                        <w:t>Contact</w:t>
                      </w:r>
                    </w:p>
                    <w:p w:rsidR="008276DC" w:rsidRDefault="008276DC" w:rsidP="001F0625">
                      <w:pPr>
                        <w:pStyle w:val="Paragraphedeliste"/>
                        <w:numPr>
                          <w:ilvl w:val="0"/>
                          <w:numId w:val="1386"/>
                        </w:numPr>
                        <w:spacing w:after="0"/>
                      </w:pPr>
                      <w:r>
                        <w:t>Lavage des mains</w:t>
                      </w:r>
                    </w:p>
                    <w:p w:rsidR="008276DC" w:rsidRDefault="008276DC" w:rsidP="001F0625">
                      <w:pPr>
                        <w:pStyle w:val="Paragraphedeliste"/>
                        <w:numPr>
                          <w:ilvl w:val="0"/>
                          <w:numId w:val="1386"/>
                        </w:numPr>
                        <w:spacing w:after="0"/>
                      </w:pPr>
                      <w:r>
                        <w:t>Gants</w:t>
                      </w:r>
                    </w:p>
                    <w:p w:rsidR="008276DC" w:rsidRDefault="008276DC" w:rsidP="001F0625">
                      <w:pPr>
                        <w:pStyle w:val="Paragraphedeliste"/>
                        <w:numPr>
                          <w:ilvl w:val="0"/>
                          <w:numId w:val="1386"/>
                        </w:numPr>
                        <w:spacing w:after="0"/>
                      </w:pPr>
                      <w:r>
                        <w:t>Jaquette</w:t>
                      </w:r>
                    </w:p>
                    <w:p w:rsidR="008276DC" w:rsidRDefault="008276DC" w:rsidP="001F0625">
                      <w:pPr>
                        <w:pStyle w:val="Paragraphedeliste"/>
                        <w:numPr>
                          <w:ilvl w:val="0"/>
                          <w:numId w:val="1386"/>
                        </w:numPr>
                        <w:spacing w:after="0"/>
                      </w:pPr>
                      <w:r>
                        <w:t>Nettoyage des instruments utilisés</w:t>
                      </w:r>
                    </w:p>
                    <w:p w:rsidR="008276DC" w:rsidRPr="001F0625" w:rsidRDefault="008276DC" w:rsidP="001F0625">
                      <w:pPr>
                        <w:spacing w:after="0"/>
                        <w:jc w:val="center"/>
                        <w:rPr>
                          <w:b/>
                        </w:rPr>
                      </w:pPr>
                      <w:r>
                        <w:rPr>
                          <w:b/>
                        </w:rPr>
                        <w:t>Gouttelette</w:t>
                      </w:r>
                    </w:p>
                    <w:p w:rsidR="008276DC" w:rsidRDefault="008276DC" w:rsidP="001F0625">
                      <w:pPr>
                        <w:pStyle w:val="Paragraphedeliste"/>
                        <w:numPr>
                          <w:ilvl w:val="0"/>
                          <w:numId w:val="1385"/>
                        </w:numPr>
                        <w:spacing w:after="0"/>
                      </w:pPr>
                      <w:r>
                        <w:t>Précautions Contact PLUS</w:t>
                      </w:r>
                    </w:p>
                    <w:p w:rsidR="008276DC" w:rsidRDefault="008276DC" w:rsidP="001F0625">
                      <w:pPr>
                        <w:pStyle w:val="Paragraphedeliste"/>
                        <w:numPr>
                          <w:ilvl w:val="0"/>
                          <w:numId w:val="1385"/>
                        </w:numPr>
                        <w:spacing w:after="0"/>
                      </w:pPr>
                      <w:r>
                        <w:t>Lunettes</w:t>
                      </w:r>
                    </w:p>
                    <w:p w:rsidR="008276DC" w:rsidRDefault="008276DC" w:rsidP="001F0625">
                      <w:pPr>
                        <w:pStyle w:val="Paragraphedeliste"/>
                        <w:numPr>
                          <w:ilvl w:val="0"/>
                          <w:numId w:val="1385"/>
                        </w:numPr>
                        <w:spacing w:after="0"/>
                      </w:pPr>
                      <w:r>
                        <w:t>Masque chirurgical</w:t>
                      </w:r>
                    </w:p>
                    <w:p w:rsidR="008276DC" w:rsidRPr="001F0625" w:rsidRDefault="008276DC" w:rsidP="001F0625">
                      <w:pPr>
                        <w:spacing w:after="0"/>
                        <w:jc w:val="center"/>
                        <w:rPr>
                          <w:b/>
                        </w:rPr>
                      </w:pPr>
                      <w:r w:rsidRPr="001F0625">
                        <w:rPr>
                          <w:b/>
                        </w:rPr>
                        <w:t>Aérienne</w:t>
                      </w:r>
                    </w:p>
                    <w:p w:rsidR="008276DC" w:rsidRDefault="008276DC" w:rsidP="001F0625">
                      <w:pPr>
                        <w:pStyle w:val="Paragraphedeliste"/>
                        <w:numPr>
                          <w:ilvl w:val="0"/>
                          <w:numId w:val="1384"/>
                        </w:numPr>
                        <w:spacing w:after="0"/>
                      </w:pPr>
                      <w:r>
                        <w:t>Précautions Contact PLUS</w:t>
                      </w:r>
                    </w:p>
                    <w:p w:rsidR="008276DC" w:rsidRDefault="008276DC" w:rsidP="001F0625">
                      <w:pPr>
                        <w:pStyle w:val="Paragraphedeliste"/>
                        <w:numPr>
                          <w:ilvl w:val="0"/>
                          <w:numId w:val="1384"/>
                        </w:numPr>
                        <w:spacing w:after="0"/>
                      </w:pPr>
                      <w:r>
                        <w:t>Masque N95</w:t>
                      </w:r>
                    </w:p>
                    <w:p w:rsidR="008276DC" w:rsidRDefault="008276DC" w:rsidP="001F0625">
                      <w:pPr>
                        <w:pStyle w:val="Paragraphedeliste"/>
                        <w:numPr>
                          <w:ilvl w:val="0"/>
                          <w:numId w:val="1384"/>
                        </w:numPr>
                        <w:spacing w:after="0"/>
                      </w:pPr>
                      <w:r>
                        <w:t>Chambre à pression négative</w:t>
                      </w:r>
                    </w:p>
                    <w:p w:rsidR="008276DC" w:rsidRDefault="008276DC"/>
                  </w:txbxContent>
                </v:textbox>
              </v:shape>
            </w:pict>
          </mc:Fallback>
        </mc:AlternateContent>
      </w:r>
      <w:r w:rsidR="001F0625" w:rsidRPr="001F0625">
        <w:rPr>
          <w:b/>
          <w:sz w:val="28"/>
          <w:szCs w:val="28"/>
        </w:rPr>
        <w:t>Prise en charge d’une épidémie</w:t>
      </w:r>
    </w:p>
    <w:p w:rsidR="001F0625" w:rsidRDefault="001F0625" w:rsidP="001F0625">
      <w:pPr>
        <w:pStyle w:val="Sansinterligne"/>
      </w:pPr>
    </w:p>
    <w:p w:rsidR="001F0625" w:rsidRPr="00064CC4" w:rsidRDefault="00366B64" w:rsidP="00064CC4">
      <w:pPr>
        <w:pStyle w:val="Sansinterligne"/>
        <w:ind w:right="4563"/>
        <w:rPr>
          <w:highlight w:val="yellow"/>
          <w:u w:val="single"/>
        </w:rPr>
      </w:pPr>
      <w:r w:rsidRPr="00064CC4">
        <w:rPr>
          <w:highlight w:val="yellow"/>
          <w:u w:val="single"/>
        </w:rPr>
        <w:t>Déterminer</w:t>
      </w:r>
      <w:r w:rsidR="008C6F84" w:rsidRPr="00064CC4">
        <w:rPr>
          <w:highlight w:val="yellow"/>
          <w:u w:val="single"/>
        </w:rPr>
        <w:t xml:space="preserve"> la présence de l’épidémie </w:t>
      </w:r>
      <w:r w:rsidRPr="00064CC4">
        <w:rPr>
          <w:highlight w:val="yellow"/>
          <w:u w:val="single"/>
        </w:rPr>
        <w:t>et son ampleur</w:t>
      </w:r>
    </w:p>
    <w:p w:rsidR="008C6F84" w:rsidRPr="00064CC4" w:rsidRDefault="008C6F84" w:rsidP="00064CC4">
      <w:pPr>
        <w:pStyle w:val="Sansinterligne"/>
        <w:numPr>
          <w:ilvl w:val="0"/>
          <w:numId w:val="1387"/>
        </w:numPr>
        <w:ind w:right="4563"/>
        <w:rPr>
          <w:highlight w:val="yellow"/>
        </w:rPr>
      </w:pPr>
      <w:r w:rsidRPr="00064CC4">
        <w:rPr>
          <w:highlight w:val="yellow"/>
        </w:rPr>
        <w:t>Définir  un cas (selon ses signes et symptômes</w:t>
      </w:r>
      <w:r w:rsidR="00366B64" w:rsidRPr="00064CC4">
        <w:rPr>
          <w:highlight w:val="yellow"/>
        </w:rPr>
        <w:t>)</w:t>
      </w:r>
    </w:p>
    <w:p w:rsidR="00366B64" w:rsidRPr="00064CC4" w:rsidRDefault="00366B64" w:rsidP="00064CC4">
      <w:pPr>
        <w:pStyle w:val="Sansinterligne"/>
        <w:numPr>
          <w:ilvl w:val="0"/>
          <w:numId w:val="1387"/>
        </w:numPr>
        <w:ind w:right="4563"/>
        <w:rPr>
          <w:highlight w:val="yellow"/>
        </w:rPr>
      </w:pPr>
      <w:r w:rsidRPr="00064CC4">
        <w:rPr>
          <w:highlight w:val="yellow"/>
        </w:rPr>
        <w:t>Identifier ceux qui répondent à la définition ou pourraient avoir été en contact avec l’agent infectieux</w:t>
      </w:r>
    </w:p>
    <w:p w:rsidR="00366B64" w:rsidRDefault="00366B64" w:rsidP="00064CC4">
      <w:pPr>
        <w:pStyle w:val="Sansinterligne"/>
        <w:numPr>
          <w:ilvl w:val="0"/>
          <w:numId w:val="1388"/>
        </w:numPr>
        <w:ind w:right="4563"/>
      </w:pPr>
      <w:r>
        <w:t>Rapports d’établissements</w:t>
      </w:r>
    </w:p>
    <w:p w:rsidR="00366B64" w:rsidRDefault="00366B64" w:rsidP="00064CC4">
      <w:pPr>
        <w:pStyle w:val="Sansinterligne"/>
        <w:numPr>
          <w:ilvl w:val="0"/>
          <w:numId w:val="1388"/>
        </w:numPr>
        <w:ind w:right="4563"/>
      </w:pPr>
      <w:r>
        <w:t>Appels aux urgences, aux cliniques, etc.</w:t>
      </w:r>
    </w:p>
    <w:p w:rsidR="008C6F84" w:rsidRDefault="008C6F84" w:rsidP="00064CC4">
      <w:pPr>
        <w:pStyle w:val="Sansinterligne"/>
        <w:ind w:right="4563"/>
      </w:pPr>
    </w:p>
    <w:p w:rsidR="00366B64" w:rsidRPr="00064CC4" w:rsidRDefault="00366B64" w:rsidP="00064CC4">
      <w:pPr>
        <w:pStyle w:val="Sansinterligne"/>
        <w:ind w:right="4563"/>
        <w:rPr>
          <w:highlight w:val="yellow"/>
          <w:u w:val="single"/>
        </w:rPr>
      </w:pPr>
      <w:r w:rsidRPr="00064CC4">
        <w:rPr>
          <w:highlight w:val="yellow"/>
          <w:u w:val="single"/>
        </w:rPr>
        <w:t>Planification et actions initiales</w:t>
      </w:r>
    </w:p>
    <w:p w:rsidR="00366B64" w:rsidRPr="00064CC4" w:rsidRDefault="00366B64" w:rsidP="00064CC4">
      <w:pPr>
        <w:pStyle w:val="Sansinterligne"/>
        <w:numPr>
          <w:ilvl w:val="0"/>
          <w:numId w:val="1389"/>
        </w:numPr>
        <w:ind w:right="4563"/>
        <w:rPr>
          <w:highlight w:val="yellow"/>
        </w:rPr>
      </w:pPr>
      <w:r w:rsidRPr="00064CC4">
        <w:rPr>
          <w:highlight w:val="yellow"/>
        </w:rPr>
        <w:t>Émettre des hypothèses sur la source et scénarios de propagation (population à risque)</w:t>
      </w:r>
    </w:p>
    <w:p w:rsidR="00366B64" w:rsidRPr="00064CC4" w:rsidRDefault="00366B64" w:rsidP="00064CC4">
      <w:pPr>
        <w:pStyle w:val="Sansinterligne"/>
        <w:numPr>
          <w:ilvl w:val="0"/>
          <w:numId w:val="1389"/>
        </w:numPr>
        <w:ind w:right="4563"/>
        <w:rPr>
          <w:highlight w:val="yellow"/>
        </w:rPr>
      </w:pPr>
      <w:r w:rsidRPr="00064CC4">
        <w:rPr>
          <w:highlight w:val="yellow"/>
        </w:rPr>
        <w:t>Traiter les personnes atteintes si possible</w:t>
      </w:r>
    </w:p>
    <w:p w:rsidR="00366B64" w:rsidRPr="00064CC4" w:rsidRDefault="00366B64" w:rsidP="00064CC4">
      <w:pPr>
        <w:pStyle w:val="Sansinterligne"/>
        <w:numPr>
          <w:ilvl w:val="0"/>
          <w:numId w:val="1389"/>
        </w:numPr>
        <w:ind w:right="4563"/>
        <w:rPr>
          <w:highlight w:val="yellow"/>
        </w:rPr>
      </w:pPr>
      <w:r w:rsidRPr="00064CC4">
        <w:rPr>
          <w:highlight w:val="yellow"/>
        </w:rPr>
        <w:t>Mesures populationnelles de prévention</w:t>
      </w:r>
    </w:p>
    <w:p w:rsidR="00366B64" w:rsidRDefault="00366B64" w:rsidP="00064CC4">
      <w:pPr>
        <w:pStyle w:val="Sansinterligne"/>
        <w:numPr>
          <w:ilvl w:val="1"/>
          <w:numId w:val="1389"/>
        </w:numPr>
        <w:ind w:right="4563"/>
      </w:pPr>
      <w:r w:rsidRPr="00064CC4">
        <w:rPr>
          <w:b/>
        </w:rPr>
        <w:t>Prophylaxie post-exposition</w:t>
      </w:r>
      <w:r>
        <w:t xml:space="preserve"> (ex : méningite</w:t>
      </w:r>
      <w:r w:rsidR="00064CC4">
        <w:t>, tétanos</w:t>
      </w:r>
      <w:r>
        <w:t>)</w:t>
      </w:r>
    </w:p>
    <w:p w:rsidR="00366B64" w:rsidRDefault="00366B64" w:rsidP="00064CC4">
      <w:pPr>
        <w:pStyle w:val="Sansinterligne"/>
        <w:numPr>
          <w:ilvl w:val="1"/>
          <w:numId w:val="1389"/>
        </w:numPr>
        <w:ind w:right="4563"/>
      </w:pPr>
      <w:r w:rsidRPr="00064CC4">
        <w:rPr>
          <w:b/>
        </w:rPr>
        <w:t>Quarantaine</w:t>
      </w:r>
      <w:r w:rsidR="00064CC4" w:rsidRPr="00064CC4">
        <w:rPr>
          <w:b/>
        </w:rPr>
        <w:t>, isolement</w:t>
      </w:r>
      <w:r>
        <w:t xml:space="preserve"> (prévenir la dissémination)</w:t>
      </w:r>
    </w:p>
    <w:p w:rsidR="00366B64" w:rsidRDefault="00366B64" w:rsidP="00064CC4">
      <w:pPr>
        <w:pStyle w:val="Sansinterligne"/>
        <w:numPr>
          <w:ilvl w:val="1"/>
          <w:numId w:val="1389"/>
        </w:numPr>
        <w:ind w:right="4563"/>
      </w:pPr>
      <w:r>
        <w:t>Équipes de contrôle, surveillance et informations dans les hôpitaux</w:t>
      </w:r>
    </w:p>
    <w:p w:rsidR="003C1EFE" w:rsidRDefault="003C1EFE" w:rsidP="00064CC4">
      <w:pPr>
        <w:pStyle w:val="Sansinterligne"/>
        <w:numPr>
          <w:ilvl w:val="1"/>
          <w:numId w:val="1389"/>
        </w:numPr>
        <w:ind w:right="4563"/>
      </w:pPr>
      <w:r>
        <w:rPr>
          <w:noProof/>
          <w:lang w:eastAsia="fr-CA"/>
        </w:rPr>
        <w:drawing>
          <wp:anchor distT="0" distB="0" distL="114300" distR="114300" simplePos="0" relativeHeight="252151808" behindDoc="0" locked="0" layoutInCell="1" allowOverlap="1" wp14:anchorId="2492E43D" wp14:editId="324AC137">
            <wp:simplePos x="0" y="0"/>
            <wp:positionH relativeFrom="column">
              <wp:posOffset>4594225</wp:posOffset>
            </wp:positionH>
            <wp:positionV relativeFrom="paragraph">
              <wp:posOffset>-177165</wp:posOffset>
            </wp:positionV>
            <wp:extent cx="2091690" cy="2091690"/>
            <wp:effectExtent l="0" t="0" r="3810" b="0"/>
            <wp:wrapNone/>
            <wp:docPr id="632" name="Image 632" descr="Résultats de recherche d'images pour « épidémie symbo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ésultats de recherche d'images pour « épidémie symbole »"/>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2091690" cy="2091690"/>
                    </a:xfrm>
                    <a:prstGeom prst="rect">
                      <a:avLst/>
                    </a:prstGeom>
                    <a:noFill/>
                    <a:ln>
                      <a:noFill/>
                    </a:ln>
                  </pic:spPr>
                </pic:pic>
              </a:graphicData>
            </a:graphic>
            <wp14:sizeRelH relativeFrom="page">
              <wp14:pctWidth>0</wp14:pctWidth>
            </wp14:sizeRelH>
            <wp14:sizeRelV relativeFrom="page">
              <wp14:pctHeight>0</wp14:pctHeight>
            </wp14:sizeRelV>
          </wp:anchor>
        </w:drawing>
      </w:r>
      <w:r>
        <w:t>Programmes, éducation et règlementation (ex : épidémie d’obésité – taxe sur les boissons gazeuses)</w:t>
      </w:r>
    </w:p>
    <w:p w:rsidR="003C1EFE" w:rsidRDefault="003C1EFE" w:rsidP="003C1EFE">
      <w:pPr>
        <w:pStyle w:val="Sansinterligne"/>
        <w:ind w:left="1080" w:right="4563"/>
      </w:pPr>
    </w:p>
    <w:p w:rsidR="00366B64" w:rsidRPr="00064CC4" w:rsidRDefault="00366B64" w:rsidP="001F0625">
      <w:pPr>
        <w:pStyle w:val="Sansinterligne"/>
        <w:rPr>
          <w:u w:val="single"/>
        </w:rPr>
      </w:pPr>
      <w:r w:rsidRPr="00064CC4">
        <w:rPr>
          <w:highlight w:val="yellow"/>
          <w:u w:val="single"/>
        </w:rPr>
        <w:t>Validation des hypothèses</w:t>
      </w:r>
    </w:p>
    <w:p w:rsidR="00366B64" w:rsidRDefault="00366B64" w:rsidP="00064CC4">
      <w:pPr>
        <w:pStyle w:val="Sansinterligne"/>
        <w:numPr>
          <w:ilvl w:val="0"/>
          <w:numId w:val="1390"/>
        </w:numPr>
      </w:pPr>
      <w:r>
        <w:t>Réévaluer les données et l’évolution de l’épidémie</w:t>
      </w:r>
    </w:p>
    <w:p w:rsidR="00366B64" w:rsidRDefault="00366B64" w:rsidP="00064CC4">
      <w:pPr>
        <w:pStyle w:val="Sansinterligne"/>
        <w:numPr>
          <w:ilvl w:val="1"/>
          <w:numId w:val="1390"/>
        </w:numPr>
      </w:pPr>
      <w:r>
        <w:t>Études de cas/témoins pour générer des hypothèses, les valider, etc.</w:t>
      </w:r>
    </w:p>
    <w:p w:rsidR="00064CC4" w:rsidRDefault="00064CC4" w:rsidP="00064CC4">
      <w:pPr>
        <w:pStyle w:val="Sansinterligne"/>
        <w:numPr>
          <w:ilvl w:val="1"/>
          <w:numId w:val="1390"/>
        </w:numPr>
      </w:pPr>
      <w:r w:rsidRPr="00064CC4">
        <w:rPr>
          <w:b/>
        </w:rPr>
        <w:t>Type de source et graphique</w:t>
      </w:r>
      <w:r>
        <w:t xml:space="preserve"> des cas rapportés (histogramme)</w:t>
      </w:r>
    </w:p>
    <w:p w:rsidR="00366B64" w:rsidRDefault="00366B64" w:rsidP="00064CC4">
      <w:pPr>
        <w:pStyle w:val="Sansinterligne"/>
        <w:numPr>
          <w:ilvl w:val="2"/>
          <w:numId w:val="1390"/>
        </w:numPr>
      </w:pPr>
      <w:r w:rsidRPr="00064CC4">
        <w:rPr>
          <w:highlight w:val="yellow"/>
        </w:rPr>
        <w:t>Source unique  aigue</w:t>
      </w:r>
      <w:r w:rsidR="00064CC4">
        <w:t xml:space="preserve"> (ex : 1 lot de fromage contaminé</w:t>
      </w:r>
      <w:r>
        <w:t>)</w:t>
      </w:r>
    </w:p>
    <w:p w:rsidR="00366B64" w:rsidRDefault="00366B64" w:rsidP="00064CC4">
      <w:pPr>
        <w:pStyle w:val="Sansinterligne"/>
        <w:numPr>
          <w:ilvl w:val="2"/>
          <w:numId w:val="1390"/>
        </w:numPr>
      </w:pPr>
      <w:r w:rsidRPr="00064CC4">
        <w:rPr>
          <w:highlight w:val="yellow"/>
        </w:rPr>
        <w:t>Source continue</w:t>
      </w:r>
      <w:r>
        <w:t xml:space="preserve"> (ex : eau d’aqueduc contaminée)</w:t>
      </w:r>
    </w:p>
    <w:p w:rsidR="00366B64" w:rsidRDefault="00366B64" w:rsidP="00064CC4">
      <w:pPr>
        <w:pStyle w:val="Sansinterligne"/>
        <w:numPr>
          <w:ilvl w:val="2"/>
          <w:numId w:val="1390"/>
        </w:numPr>
      </w:pPr>
      <w:r w:rsidRPr="00064CC4">
        <w:rPr>
          <w:highlight w:val="yellow"/>
        </w:rPr>
        <w:t>Propagation</w:t>
      </w:r>
      <w:r>
        <w:t xml:space="preserve"> (ex : l’exposition est perpétuée </w:t>
      </w:r>
      <w:r w:rsidR="00064CC4">
        <w:t>par transmission</w:t>
      </w:r>
      <w:r>
        <w:t>)</w:t>
      </w:r>
    </w:p>
    <w:p w:rsidR="009A1140" w:rsidRDefault="009A1140" w:rsidP="00064CC4">
      <w:pPr>
        <w:pStyle w:val="Sansinterligne"/>
        <w:numPr>
          <w:ilvl w:val="2"/>
          <w:numId w:val="1390"/>
        </w:numPr>
      </w:pPr>
      <w:r>
        <w:t>Intermittente (ex : liée à la météo, à un évènement cyclique)</w:t>
      </w:r>
    </w:p>
    <w:p w:rsidR="00366B64" w:rsidRDefault="00366B64" w:rsidP="00064CC4">
      <w:pPr>
        <w:pStyle w:val="Sansinterligne"/>
        <w:numPr>
          <w:ilvl w:val="0"/>
          <w:numId w:val="1390"/>
        </w:numPr>
      </w:pPr>
      <w:r>
        <w:t xml:space="preserve">Prendre de nouvelles mesures </w:t>
      </w:r>
      <w:r w:rsidR="00064CC4">
        <w:t xml:space="preserve">de contrôle de l’épidémie </w:t>
      </w:r>
      <w:r>
        <w:t>au vu des nouvelles données.</w:t>
      </w:r>
    </w:p>
    <w:p w:rsidR="00366B64" w:rsidRDefault="00366B64" w:rsidP="001F0625">
      <w:pPr>
        <w:pStyle w:val="Sansinterligne"/>
      </w:pPr>
    </w:p>
    <w:p w:rsidR="00366B64" w:rsidRPr="00064CC4" w:rsidRDefault="00366B64" w:rsidP="001F0625">
      <w:pPr>
        <w:pStyle w:val="Sansinterligne"/>
        <w:rPr>
          <w:u w:val="single"/>
        </w:rPr>
      </w:pPr>
      <w:r w:rsidRPr="00064CC4">
        <w:rPr>
          <w:u w:val="single"/>
        </w:rPr>
        <w:t>Amélioration continue et long-terme</w:t>
      </w:r>
    </w:p>
    <w:p w:rsidR="00366B64" w:rsidRDefault="00366B64" w:rsidP="00064CC4">
      <w:pPr>
        <w:pStyle w:val="Sansinterligne"/>
        <w:numPr>
          <w:ilvl w:val="0"/>
          <w:numId w:val="1391"/>
        </w:numPr>
      </w:pPr>
      <w:r w:rsidRPr="00D93064">
        <w:rPr>
          <w:highlight w:val="yellow"/>
        </w:rPr>
        <w:t>Déterminer avec certitude la cause</w:t>
      </w:r>
      <w:r>
        <w:t xml:space="preserve"> de l’épidémie avec des investigations complémentaires.</w:t>
      </w:r>
    </w:p>
    <w:p w:rsidR="00366B64" w:rsidRDefault="00366B64" w:rsidP="00064CC4">
      <w:pPr>
        <w:pStyle w:val="Sansinterligne"/>
        <w:numPr>
          <w:ilvl w:val="0"/>
          <w:numId w:val="1391"/>
        </w:numPr>
      </w:pPr>
      <w:r w:rsidRPr="00D93064">
        <w:rPr>
          <w:highlight w:val="yellow"/>
        </w:rPr>
        <w:t>Réviser la mise en place des mesures</w:t>
      </w:r>
      <w:r>
        <w:t xml:space="preserve"> (adéquates ? rapides ? ce qui pourrait être amélioré ?)</w:t>
      </w:r>
    </w:p>
    <w:p w:rsidR="00366B64" w:rsidRDefault="00366B64" w:rsidP="00064CC4">
      <w:pPr>
        <w:pStyle w:val="Sansinterligne"/>
        <w:numPr>
          <w:ilvl w:val="0"/>
          <w:numId w:val="1391"/>
        </w:numPr>
      </w:pPr>
      <w:r w:rsidRPr="00D93064">
        <w:rPr>
          <w:highlight w:val="yellow"/>
        </w:rPr>
        <w:t>Établir de nouvelles mesures de prévention et des protocoles</w:t>
      </w:r>
      <w:r>
        <w:t xml:space="preserve"> d’</w:t>
      </w:r>
      <w:r w:rsidR="00064CC4">
        <w:t>a</w:t>
      </w:r>
      <w:r>
        <w:t>ction en cas de récidive</w:t>
      </w:r>
      <w:r w:rsidR="00064CC4">
        <w:t xml:space="preserve"> (ex : campagnes de vaccination inspection alimentaire, etc.)</w:t>
      </w:r>
    </w:p>
    <w:p w:rsidR="00064CC4" w:rsidRDefault="00064CC4" w:rsidP="00064CC4">
      <w:pPr>
        <w:pStyle w:val="Sansinterligne"/>
        <w:numPr>
          <w:ilvl w:val="0"/>
          <w:numId w:val="1391"/>
        </w:numPr>
      </w:pPr>
      <w:r>
        <w:t>Informer la population des mesures prises.</w:t>
      </w:r>
    </w:p>
    <w:p w:rsidR="00366B64" w:rsidRDefault="00366B64" w:rsidP="001F0625">
      <w:pPr>
        <w:pStyle w:val="Sansinterligne"/>
      </w:pPr>
    </w:p>
    <w:p w:rsidR="0077141B" w:rsidRDefault="0077141B" w:rsidP="001F0625">
      <w:pPr>
        <w:pStyle w:val="Sansinterligne"/>
      </w:pPr>
    </w:p>
    <w:p w:rsidR="0077141B" w:rsidRDefault="00064CC4" w:rsidP="001F0625">
      <w:pPr>
        <w:pStyle w:val="Sansinterligne"/>
      </w:pPr>
      <w:r>
        <w:rPr>
          <w:noProof/>
          <w:lang w:eastAsia="fr-CA"/>
        </w:rPr>
        <mc:AlternateContent>
          <mc:Choice Requires="wpg">
            <w:drawing>
              <wp:anchor distT="0" distB="0" distL="114300" distR="114300" simplePos="0" relativeHeight="252157952" behindDoc="1" locked="0" layoutInCell="1" allowOverlap="1" wp14:anchorId="78E338A3" wp14:editId="4000C75E">
                <wp:simplePos x="0" y="0"/>
                <wp:positionH relativeFrom="column">
                  <wp:posOffset>-116840</wp:posOffset>
                </wp:positionH>
                <wp:positionV relativeFrom="paragraph">
                  <wp:posOffset>48260</wp:posOffset>
                </wp:positionV>
                <wp:extent cx="6799580" cy="4872990"/>
                <wp:effectExtent l="0" t="0" r="1270" b="3810"/>
                <wp:wrapNone/>
                <wp:docPr id="638" name="Groupe 638"/>
                <wp:cNvGraphicFramePr/>
                <a:graphic xmlns:a="http://schemas.openxmlformats.org/drawingml/2006/main">
                  <a:graphicData uri="http://schemas.microsoft.com/office/word/2010/wordprocessingGroup">
                    <wpg:wgp>
                      <wpg:cNvGrpSpPr/>
                      <wpg:grpSpPr>
                        <a:xfrm>
                          <a:off x="0" y="0"/>
                          <a:ext cx="6799580" cy="4872990"/>
                          <a:chOff x="0" y="0"/>
                          <a:chExt cx="6799634" cy="4873558"/>
                        </a:xfrm>
                      </wpg:grpSpPr>
                      <pic:pic xmlns:pic="http://schemas.openxmlformats.org/drawingml/2006/picture">
                        <pic:nvPicPr>
                          <pic:cNvPr id="634" name="Image 634" descr="Résultats de recherche d'images pour « epidemic curves »"/>
                          <pic:cNvPicPr>
                            <a:picLocks noChangeAspect="1"/>
                          </pic:cNvPicPr>
                        </pic:nvPicPr>
                        <pic:blipFill rotWithShape="1">
                          <a:blip r:embed="rId273" cstate="print">
                            <a:extLst>
                              <a:ext uri="{28A0092B-C50C-407E-A947-70E740481C1C}">
                                <a14:useLocalDpi xmlns:a14="http://schemas.microsoft.com/office/drawing/2010/main" val="0"/>
                              </a:ext>
                            </a:extLst>
                          </a:blip>
                          <a:srcRect l="5107" t="6809" r="6809" b="5248"/>
                          <a:stretch/>
                        </pic:blipFill>
                        <pic:spPr bwMode="auto">
                          <a:xfrm>
                            <a:off x="0" y="0"/>
                            <a:ext cx="3453320" cy="2587558"/>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635" name="Image 635" descr="Résultats de recherche d'images pour « epidemic curves »"/>
                          <pic:cNvPicPr>
                            <a:picLocks noChangeAspect="1"/>
                          </pic:cNvPicPr>
                        </pic:nvPicPr>
                        <pic:blipFill rotWithShape="1">
                          <a:blip r:embed="rId274" cstate="print">
                            <a:extLst>
                              <a:ext uri="{28A0092B-C50C-407E-A947-70E740481C1C}">
                                <a14:useLocalDpi xmlns:a14="http://schemas.microsoft.com/office/drawing/2010/main" val="0"/>
                              </a:ext>
                            </a:extLst>
                          </a:blip>
                          <a:srcRect t="5204" r="2155" b="4461"/>
                          <a:stretch/>
                        </pic:blipFill>
                        <pic:spPr bwMode="auto">
                          <a:xfrm>
                            <a:off x="3365771" y="204281"/>
                            <a:ext cx="3433863" cy="2188723"/>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636" name="Image 636" descr="Résultats de recherche d'images pour « epidemic curves »"/>
                          <pic:cNvPicPr>
                            <a:picLocks noChangeAspect="1"/>
                          </pic:cNvPicPr>
                        </pic:nvPicPr>
                        <pic:blipFill rotWithShape="1">
                          <a:blip r:embed="rId275" cstate="print">
                            <a:extLst>
                              <a:ext uri="{28A0092B-C50C-407E-A947-70E740481C1C}">
                                <a14:useLocalDpi xmlns:a14="http://schemas.microsoft.com/office/drawing/2010/main" val="0"/>
                              </a:ext>
                            </a:extLst>
                          </a:blip>
                          <a:srcRect l="3562" t="7423" r="5344"/>
                          <a:stretch/>
                        </pic:blipFill>
                        <pic:spPr bwMode="auto">
                          <a:xfrm>
                            <a:off x="58366" y="2451370"/>
                            <a:ext cx="3307405" cy="2422188"/>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637" name="Image 637" descr="Résultats de recherche d'images pour « epidemic curves »"/>
                          <pic:cNvPicPr>
                            <a:picLocks noChangeAspect="1"/>
                          </pic:cNvPicPr>
                        </pic:nvPicPr>
                        <pic:blipFill rotWithShape="1">
                          <a:blip r:embed="rId276" cstate="print">
                            <a:extLst>
                              <a:ext uri="{28A0092B-C50C-407E-A947-70E740481C1C}">
                                <a14:useLocalDpi xmlns:a14="http://schemas.microsoft.com/office/drawing/2010/main" val="0"/>
                              </a:ext>
                            </a:extLst>
                          </a:blip>
                          <a:srcRect l="3590" t="11020" r="2820" b="4210"/>
                          <a:stretch/>
                        </pic:blipFill>
                        <pic:spPr bwMode="auto">
                          <a:xfrm>
                            <a:off x="3453320" y="2587558"/>
                            <a:ext cx="3346314" cy="1828800"/>
                          </a:xfrm>
                          <a:prstGeom prst="rect">
                            <a:avLst/>
                          </a:prstGeom>
                          <a:noFill/>
                          <a:ln>
                            <a:noFill/>
                          </a:ln>
                          <a:extLst>
                            <a:ext uri="{53640926-AAD7-44D8-BBD7-CCE9431645EC}">
                              <a14:shadowObscured xmlns:a14="http://schemas.microsoft.com/office/drawing/2010/main"/>
                            </a:ext>
                          </a:extLst>
                        </pic:spPr>
                      </pic:pic>
                    </wpg:wgp>
                  </a:graphicData>
                </a:graphic>
              </wp:anchor>
            </w:drawing>
          </mc:Choice>
          <mc:Fallback>
            <w:pict>
              <v:group id="Groupe 638" o:spid="_x0000_s1026" style="position:absolute;margin-left:-9.2pt;margin-top:3.8pt;width:535.4pt;height:383.7pt;z-index:-251158528" coordsize="67996,4873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3+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Q3N1DZ201zcSJFBCheSSRtqooGSST0AHeud074i+EdX&#10;1b+y7DXbWa73BVQEgOSMgIxGHP8Auk0AdRRXPa1458NeHdQisdW1i2tbmXG2NycgHOC2BhQcHBOK&#10;30dZEV0YMrDIIOQRQA6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f6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c3rHhSHU9Sj1S31C/03UUj8lrixdQZY852MHVgQCSRxkUy78H2lxYWEC32&#10;oR3VhM09vqHnB7hHfO4ksCCCCQQRjHTGBXT0UAc5pXhS20rWZtXF7fXV/PbrbzSXLqfMCsWBwAAD&#10;zjAwMAcdc118FwtcWpu9Z1a+tLWRZobO5nVkDrypJCh3wRkbmPPNdXRQBzV74Sim1S41LT9T1HSb&#10;u6A+0tZsm2fAwCyOrDOOMgA8VradYtp9nHbm5uLplyWmuZNzuSc5JAA/AAAdhV+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9m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Oc&#10;uviF4Rsr5bKfX7MTMSuFYsqkdQzAFV/EitmTU7CLTf7SkvIFstgk+0GQeXtPQ7umK85174T+EdF8&#10;EalcrayPeWllJIl1JO4YyKpIO0HbyccYrzrUtSvbf4OaLpszsI7zUJ5YNh4MUeAQ3/bRyQOnA9KA&#10;PftE8VaF4jMg0jU4btovvopIYc4zg4OPfpWvXiV5pum+AfjV4fttJhkgtrqCNJI1kZt7SM8fO49M&#10;hTj2yBXtt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TJolnheF87JFKttYq&#10;cHjgjkfUUAfNXxV8U/8ACTeL5lgk3WVhm3gweGIPzN+J/QCuLr6F8TfC3wXp/hXVr210by7i2sZp&#10;Yn+1THayoSDgvg8jvXhvhmzg1DxVpNldR+Zb3N9DFKmSNys4BGRyOD2oA9U+BXinK3Phi5k5XNxa&#10;ZPb+NR/6F/31Xstctpnw08IaPqMGo6fpJgurdt0cgupjtPToXwfoa6m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sL&#10;QPCOn+HdV1fUbOa5eXWJ/PnWVlKq252wuAMDLnrntW7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f6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BCK4zVPhP4L1rU59R1&#10;LRzcXdw26WQ3c4LcY6B8DoK7SjvQB8NeLLWDTfGWuWVpH5dva388MKZLbUV2VRk56ADrX0d4U+EH&#10;gXVPB+h6hd6GJLm50+CaZ/tU67maNSTgOAOSa+d/HX/JQfEv/YVuv/RrV9geBf8Aknvhr/sFWv8A&#10;6KWgDbt4FtreOBCxSNQq7mLHA6ZJ5NS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">
                <v:shape id="Image 634" o:spid="_x0000_s1027" type="#_x0000_t75" alt="Résultats de recherche d'images pour « epidemic curves »" style="position:absolute;width:34533;height:258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CgtWzFAAAA3AAAAA8AAABkcnMvZG93bnJldi54bWxEj91qAjEUhO8LfYdwCt7VrD+IrEaRFsHW&#10;gvjzAMfNMVncnKybdN2+vSkUejnMzDfMfNm5SrTUhNKzgkE/A0FceF2yUXA6rl+nIEJE1lh5JgU/&#10;FGC5eH6aY679nffUHqIRCcIhRwU2xjqXMhSWHIa+r4mTd/GNw5hkY6Ru8J7grpLDLJtIhyWnBYs1&#10;vVkqrodvp+Cr7cxgLD9vIXxMMzN8P992dqtU76VbzUBE6uJ/+K+90QomozH8nklHQC4e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QoLVsxQAAANwAAAAPAAAAAAAAAAAAAAAA&#10;AJ8CAABkcnMvZG93bnJldi54bWxQSwUGAAAAAAQABAD3AAAAkQMAAAAA&#10;">
                  <v:imagedata r:id="rId277" o:title="Résultats de recherche d'images pour « epidemic curves »" croptop="4462f" cropbottom="3439f" cropleft="3347f" cropright="4462f"/>
                  <v:path arrowok="t"/>
                </v:shape>
                <v:shape id="Image 635" o:spid="_x0000_s1028" type="#_x0000_t75" alt="Résultats de recherche d'images pour « epidemic curves »" style="position:absolute;left:33657;top:2042;width:34339;height:218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mDGiPFAAAA3AAAAA8AAABkcnMvZG93bnJldi54bWxEj0GLwjAUhO+C/yE8YW+aqqxKNYoISmHZ&#10;w6qHHp/Nsy02L7WJWvfXbxYEj8PMfMMsVq2pxJ0aV1pWMBxEIIgzq0vOFRwP2/4MhPPIGivLpOBJ&#10;DlbLbmeBsbYP/qH73uciQNjFqKDwvo6ldFlBBt3A1sTBO9vGoA+yyaVu8BHgppKjKJpIgyWHhQJr&#10;2hSUXfY3o2B6/f7dJV88fabulM3SY3JIZKrUR69dz0F4av07/GonWsFk/An/Z8IRkMs/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5gxojxQAAANwAAAAPAAAAAAAAAAAAAAAA&#10;AJ8CAABkcnMvZG93bnJldi54bWxQSwUGAAAAAAQABAD3AAAAkQMAAAAA&#10;">
                  <v:imagedata r:id="rId278" o:title="Résultats de recherche d'images pour « epidemic curves »" croptop="3410f" cropbottom="2924f" cropright="1412f"/>
                  <v:path arrowok="t"/>
                </v:shape>
                <v:shape id="Image 636" o:spid="_x0000_s1029" type="#_x0000_t75" alt="Résultats de recherche d'images pour « epidemic curves »" style="position:absolute;left:583;top:24513;width:33074;height:242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geVbrFAAAA3AAAAA8AAABkcnMvZG93bnJldi54bWxEj09rwkAUxO8Fv8PyhN7qRluCpK4i/oEe&#10;itAo0uMj+5qkZt+G3dUk374rFDwOM/MbZrHqTSNu5HxtWcF0koAgLqyuuVRwOu5f5iB8QNbYWCYF&#10;A3lYLUdPC8y07fiLbnkoRYSwz1BBFUKbSemLigz6iW2Jo/djncEQpSuldthFuGnkLElSabDmuFBh&#10;S5uKikt+NQq+h0/6HVo5zc+HwRVhu+v8W6LU87hfv4MI1IdH+L/9oRWkryncz8QjIJd/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oHlW6xQAAANwAAAAPAAAAAAAAAAAAAAAA&#10;AJ8CAABkcnMvZG93bnJldi54bWxQSwUGAAAAAAQABAD3AAAAkQMAAAAA&#10;">
                  <v:imagedata r:id="rId279" o:title="Résultats de recherche d'images pour « epidemic curves »" croptop="4865f" cropleft="2334f" cropright="3502f"/>
                  <v:path arrowok="t"/>
                </v:shape>
                <v:shape id="Image 637" o:spid="_x0000_s1030" type="#_x0000_t75" alt="Résultats de recherche d'images pour « epidemic curves »" style="position:absolute;left:34533;top:25875;width:33463;height:182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LrvX7FAAAA3AAAAA8AAABkcnMvZG93bnJldi54bWxEj9FqwkAURN8L/sNyhb4U3VjBSpqNiKAU&#10;sQ8m/YBr9pqEZu+G3a1Gv94tFPo4zMwZJlsNphMXcr61rGA2TUAQV1a3XCv4KreTJQgfkDV2lknB&#10;jTys8tFThqm2Vz7SpQi1iBD2KSpoQuhTKX3VkEE/tT1x9M7WGQxRulpqh9cIN518TZKFNNhyXGiw&#10;p01D1XfxYxS44Neb3al0n/tzuXsp9MEs75VSz+Nh/Q4i0BD+w3/tD61gMX+D3zPxCMj8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C671+xQAAANwAAAAPAAAAAAAAAAAAAAAA&#10;AJ8CAABkcnMvZG93bnJldi54bWxQSwUGAAAAAAQABAD3AAAAkQMAAAAA&#10;">
                  <v:imagedata r:id="rId280" o:title="Résultats de recherche d'images pour « epidemic curves »" croptop="7222f" cropbottom="2759f" cropleft="2353f" cropright="1848f"/>
                  <v:path arrowok="t"/>
                </v:shape>
              </v:group>
            </w:pict>
          </mc:Fallback>
        </mc:AlternateContent>
      </w:r>
    </w:p>
    <w:p w:rsidR="0077141B" w:rsidRDefault="0077141B">
      <w:pPr>
        <w:rPr>
          <w:rFonts w:cs="Times New Roman"/>
          <w:b/>
          <w:color w:val="548DD4" w:themeColor="text2" w:themeTint="99"/>
        </w:rPr>
      </w:pPr>
      <w:r>
        <w:rPr>
          <w:rFonts w:cs="Times New Roman"/>
          <w:b/>
          <w:color w:val="548DD4" w:themeColor="text2" w:themeTint="99"/>
        </w:rPr>
        <w:br w:type="page"/>
      </w:r>
    </w:p>
    <w:p w:rsidR="0077141B" w:rsidRDefault="0077141B" w:rsidP="00D859AA">
      <w:pPr>
        <w:spacing w:after="0"/>
        <w:rPr>
          <w:rFonts w:cs="Times New Roman"/>
          <w:b/>
          <w:color w:val="548DD4" w:themeColor="text2" w:themeTint="99"/>
        </w:rPr>
      </w:pPr>
      <w:r>
        <w:rPr>
          <w:rFonts w:cs="Times New Roman"/>
          <w:b/>
          <w:color w:val="548DD4" w:themeColor="text2" w:themeTint="99"/>
        </w:rPr>
        <w:t>CMC 78-6</w:t>
      </w:r>
    </w:p>
    <w:p w:rsidR="0077141B" w:rsidRPr="0077141B" w:rsidRDefault="0077141B" w:rsidP="0077141B">
      <w:pPr>
        <w:pStyle w:val="Titre3"/>
        <w:spacing w:before="0"/>
        <w:rPr>
          <w:rFonts w:ascii="Times New Roman" w:hAnsi="Times New Roman" w:cs="Times New Roman"/>
        </w:rPr>
      </w:pPr>
      <w:bookmarkStart w:id="280" w:name="_Toc480797315"/>
      <w:r w:rsidRPr="0077141B">
        <w:rPr>
          <w:rFonts w:ascii="Times New Roman" w:hAnsi="Times New Roman" w:cs="Times New Roman"/>
        </w:rPr>
        <w:t>Environnement</w:t>
      </w:r>
      <w:bookmarkEnd w:id="280"/>
    </w:p>
    <w:tbl>
      <w:tblPr>
        <w:tblW w:w="3858" w:type="pct"/>
        <w:tblCellSpacing w:w="0" w:type="dxa"/>
        <w:tblCellMar>
          <w:left w:w="0" w:type="dxa"/>
          <w:right w:w="0" w:type="dxa"/>
        </w:tblCellMar>
        <w:tblLook w:val="04A0" w:firstRow="1" w:lastRow="0" w:firstColumn="1" w:lastColumn="0" w:noHBand="0" w:noVBand="1"/>
      </w:tblPr>
      <w:tblGrid>
        <w:gridCol w:w="8333"/>
      </w:tblGrid>
      <w:tr w:rsidR="0077141B" w:rsidRPr="0077141B" w:rsidTr="0077141B">
        <w:trPr>
          <w:tblCellSpacing w:w="0" w:type="dxa"/>
        </w:trPr>
        <w:tc>
          <w:tcPr>
            <w:tcW w:w="0" w:type="auto"/>
            <w:vAlign w:val="bottom"/>
            <w:hideMark/>
          </w:tcPr>
          <w:p w:rsidR="0077141B" w:rsidRPr="0077141B" w:rsidRDefault="0077141B" w:rsidP="0077141B">
            <w:pPr>
              <w:pStyle w:val="Sansinterligne"/>
              <w:spacing w:before="240"/>
              <w:rPr>
                <w:rFonts w:cs="Times New Roman"/>
                <w:b/>
                <w:sz w:val="18"/>
                <w:szCs w:val="18"/>
              </w:rPr>
            </w:pPr>
            <w:r>
              <w:rPr>
                <w:rFonts w:cs="Times New Roman"/>
                <w:b/>
                <w:noProof/>
                <w:sz w:val="18"/>
                <w:szCs w:val="18"/>
                <w:lang w:eastAsia="fr-CA"/>
              </w:rPr>
              <mc:AlternateContent>
                <mc:Choice Requires="wps">
                  <w:drawing>
                    <wp:anchor distT="0" distB="0" distL="114300" distR="114300" simplePos="0" relativeHeight="252148736" behindDoc="0" locked="0" layoutInCell="1" allowOverlap="1" wp14:anchorId="78ED2841" wp14:editId="3D2E2DEA">
                      <wp:simplePos x="0" y="0"/>
                      <wp:positionH relativeFrom="column">
                        <wp:posOffset>-48638</wp:posOffset>
                      </wp:positionH>
                      <wp:positionV relativeFrom="paragraph">
                        <wp:posOffset>85225</wp:posOffset>
                      </wp:positionV>
                      <wp:extent cx="6916366" cy="3054485"/>
                      <wp:effectExtent l="0" t="0" r="18415" b="12700"/>
                      <wp:wrapNone/>
                      <wp:docPr id="619" name="Rectangle 619"/>
                      <wp:cNvGraphicFramePr/>
                      <a:graphic xmlns:a="http://schemas.openxmlformats.org/drawingml/2006/main">
                        <a:graphicData uri="http://schemas.microsoft.com/office/word/2010/wordprocessingShape">
                          <wps:wsp>
                            <wps:cNvSpPr/>
                            <wps:spPr>
                              <a:xfrm>
                                <a:off x="0" y="0"/>
                                <a:ext cx="6916366" cy="3054485"/>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619" o:spid="_x0000_s1026" style="position:absolute;margin-left:-3.85pt;margin-top:6.7pt;width:544.6pt;height:240.5pt;z-index:2521487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" filled="f" strokecolor="black [1600]" strokeweight="2pt"/>
                  </w:pict>
                </mc:Fallback>
              </mc:AlternateContent>
            </w:r>
            <w:r w:rsidRPr="0077141B">
              <w:rPr>
                <w:rFonts w:cs="Times New Roman"/>
                <w:b/>
                <w:sz w:val="18"/>
                <w:szCs w:val="18"/>
              </w:rPr>
              <w:t>Objectifs principaux</w:t>
            </w:r>
          </w:p>
        </w:tc>
      </w:tr>
    </w:tbl>
    <w:p w:rsidR="0077141B" w:rsidRPr="0077141B" w:rsidRDefault="0077141B" w:rsidP="0077141B">
      <w:pPr>
        <w:numPr>
          <w:ilvl w:val="0"/>
          <w:numId w:val="1373"/>
        </w:numPr>
        <w:shd w:val="clear" w:color="auto" w:fill="FFFFFF"/>
        <w:spacing w:before="100" w:beforeAutospacing="1" w:after="100" w:afterAutospacing="1" w:line="240" w:lineRule="auto"/>
        <w:rPr>
          <w:rFonts w:cs="Times New Roman"/>
          <w:color w:val="000000"/>
          <w:sz w:val="18"/>
          <w:szCs w:val="18"/>
          <w:shd w:val="clear" w:color="auto" w:fill="FFFFFF"/>
        </w:rPr>
      </w:pPr>
      <w:r w:rsidRPr="0077141B">
        <w:rPr>
          <w:rFonts w:cs="Times New Roman"/>
          <w:color w:val="000000"/>
          <w:sz w:val="18"/>
          <w:szCs w:val="18"/>
          <w:shd w:val="clear" w:color="auto" w:fill="FFFFFF"/>
        </w:rPr>
        <w:t>Reconnaître les répercussions des dangers environnementaux tant sur le plan individuel qu'à l'échelle de la population.</w:t>
      </w:r>
    </w:p>
    <w:p w:rsidR="0077141B" w:rsidRPr="0077141B" w:rsidRDefault="0077141B" w:rsidP="0077141B">
      <w:pPr>
        <w:numPr>
          <w:ilvl w:val="0"/>
          <w:numId w:val="1373"/>
        </w:numPr>
        <w:shd w:val="clear" w:color="auto" w:fill="FFFFFF"/>
        <w:spacing w:before="100" w:beforeAutospacing="1" w:after="100" w:afterAutospacing="1" w:line="240" w:lineRule="auto"/>
        <w:rPr>
          <w:rFonts w:cs="Times New Roman"/>
          <w:color w:val="000000"/>
          <w:sz w:val="18"/>
          <w:szCs w:val="18"/>
          <w:shd w:val="clear" w:color="auto" w:fill="FFFFFF"/>
        </w:rPr>
      </w:pPr>
      <w:r w:rsidRPr="0077141B">
        <w:rPr>
          <w:rFonts w:cs="Times New Roman"/>
          <w:color w:val="000000"/>
          <w:sz w:val="18"/>
          <w:szCs w:val="18"/>
          <w:shd w:val="clear" w:color="auto" w:fill="FFFFFF"/>
        </w:rPr>
        <w:t>Réagir aux préoccupations des patients par une collecte de renseignements et des traitements adaptés à la situation.</w:t>
      </w:r>
    </w:p>
    <w:p w:rsidR="0077141B" w:rsidRPr="0077141B" w:rsidRDefault="0077141B" w:rsidP="0077141B">
      <w:pPr>
        <w:numPr>
          <w:ilvl w:val="0"/>
          <w:numId w:val="1373"/>
        </w:numPr>
        <w:shd w:val="clear" w:color="auto" w:fill="FFFFFF"/>
        <w:spacing w:before="100" w:beforeAutospacing="1" w:after="100" w:afterAutospacing="1" w:line="240" w:lineRule="auto"/>
        <w:rPr>
          <w:rFonts w:cs="Times New Roman"/>
          <w:color w:val="000000"/>
          <w:sz w:val="18"/>
          <w:szCs w:val="18"/>
          <w:shd w:val="clear" w:color="auto" w:fill="FFFFFF"/>
        </w:rPr>
      </w:pPr>
      <w:r w:rsidRPr="0077141B">
        <w:rPr>
          <w:rFonts w:cs="Times New Roman"/>
          <w:color w:val="000000"/>
          <w:sz w:val="18"/>
          <w:szCs w:val="18"/>
          <w:shd w:val="clear" w:color="auto" w:fill="FFFFFF"/>
        </w:rPr>
        <w:t>Travailler en collaboration avec des organismes locaux, provinciaux et nationaux et les gouvernements pour répondre aux préoccupations de la population.</w:t>
      </w:r>
    </w:p>
    <w:p w:rsidR="0077141B" w:rsidRPr="0077141B" w:rsidRDefault="0077141B" w:rsidP="0077141B">
      <w:pPr>
        <w:numPr>
          <w:ilvl w:val="0"/>
          <w:numId w:val="1373"/>
        </w:numPr>
        <w:shd w:val="clear" w:color="auto" w:fill="FFFFFF"/>
        <w:spacing w:before="100" w:beforeAutospacing="1" w:after="0" w:line="240" w:lineRule="auto"/>
        <w:rPr>
          <w:rFonts w:cs="Times New Roman"/>
          <w:color w:val="000000"/>
          <w:sz w:val="18"/>
          <w:szCs w:val="18"/>
          <w:shd w:val="clear" w:color="auto" w:fill="FFFFFF"/>
        </w:rPr>
      </w:pPr>
      <w:r w:rsidRPr="0077141B">
        <w:rPr>
          <w:rFonts w:cs="Times New Roman"/>
          <w:color w:val="000000"/>
          <w:sz w:val="18"/>
          <w:szCs w:val="18"/>
          <w:shd w:val="clear" w:color="auto" w:fill="FFFFFF"/>
        </w:rPr>
        <w:t>Communiquer avec les patients, les collectivités et les employeurs, selon le cas, concernant l'évaluation des risques environnementaux.</w:t>
      </w:r>
    </w:p>
    <w:tbl>
      <w:tblPr>
        <w:tblW w:w="3721" w:type="pct"/>
        <w:tblCellSpacing w:w="0" w:type="dxa"/>
        <w:tblCellMar>
          <w:left w:w="0" w:type="dxa"/>
          <w:right w:w="0" w:type="dxa"/>
        </w:tblCellMar>
        <w:tblLook w:val="04A0" w:firstRow="1" w:lastRow="0" w:firstColumn="1" w:lastColumn="0" w:noHBand="0" w:noVBand="1"/>
      </w:tblPr>
      <w:tblGrid>
        <w:gridCol w:w="8037"/>
      </w:tblGrid>
      <w:tr w:rsidR="0077141B" w:rsidRPr="0077141B" w:rsidTr="0077141B">
        <w:trPr>
          <w:trHeight w:val="426"/>
          <w:tblCellSpacing w:w="0" w:type="dxa"/>
        </w:trPr>
        <w:tc>
          <w:tcPr>
            <w:tcW w:w="0" w:type="auto"/>
            <w:vAlign w:val="bottom"/>
            <w:hideMark/>
          </w:tcPr>
          <w:p w:rsidR="0077141B" w:rsidRPr="0077141B" w:rsidRDefault="0077141B" w:rsidP="0077141B">
            <w:pPr>
              <w:pStyle w:val="Sansinterligne"/>
              <w:rPr>
                <w:rFonts w:cs="Times New Roman"/>
                <w:b/>
                <w:sz w:val="16"/>
                <w:szCs w:val="16"/>
              </w:rPr>
            </w:pPr>
            <w:r w:rsidRPr="0077141B">
              <w:rPr>
                <w:rFonts w:cs="Times New Roman"/>
                <w:b/>
                <w:sz w:val="16"/>
                <w:szCs w:val="16"/>
              </w:rPr>
              <w:t>Objectifs de base</w:t>
            </w:r>
          </w:p>
        </w:tc>
      </w:tr>
    </w:tbl>
    <w:p w:rsidR="0077141B" w:rsidRPr="0077141B" w:rsidRDefault="0077141B" w:rsidP="0077141B">
      <w:pPr>
        <w:numPr>
          <w:ilvl w:val="0"/>
          <w:numId w:val="1374"/>
        </w:numPr>
        <w:shd w:val="clear" w:color="auto" w:fill="FFFFFF"/>
        <w:spacing w:before="100" w:beforeAutospacing="1" w:after="100" w:afterAutospacing="1" w:line="240" w:lineRule="auto"/>
        <w:rPr>
          <w:rFonts w:cs="Times New Roman"/>
          <w:color w:val="000000"/>
          <w:sz w:val="16"/>
          <w:szCs w:val="16"/>
          <w:shd w:val="clear" w:color="auto" w:fill="FFFFFF"/>
        </w:rPr>
      </w:pPr>
      <w:r w:rsidRPr="0077141B">
        <w:rPr>
          <w:rFonts w:cs="Times New Roman"/>
          <w:color w:val="000000"/>
          <w:sz w:val="16"/>
          <w:szCs w:val="16"/>
          <w:shd w:val="clear" w:color="auto" w:fill="FFFFFF"/>
        </w:rPr>
        <w:t>Déterminer les dangers environnementaux courants et pouvoir les classer dans la bonne catégorie : danger chimique, biologique ou physique ou danger d'irradiation.</w:t>
      </w:r>
    </w:p>
    <w:p w:rsidR="0077141B" w:rsidRPr="0077141B" w:rsidRDefault="0077141B" w:rsidP="0077141B">
      <w:pPr>
        <w:numPr>
          <w:ilvl w:val="0"/>
          <w:numId w:val="1374"/>
        </w:numPr>
        <w:shd w:val="clear" w:color="auto" w:fill="FFFFFF"/>
        <w:spacing w:before="100" w:beforeAutospacing="1" w:after="100" w:afterAutospacing="1" w:line="240" w:lineRule="auto"/>
        <w:rPr>
          <w:rFonts w:cs="Times New Roman"/>
          <w:color w:val="000000"/>
          <w:sz w:val="16"/>
          <w:szCs w:val="16"/>
          <w:shd w:val="clear" w:color="auto" w:fill="FFFFFF"/>
        </w:rPr>
      </w:pPr>
      <w:r w:rsidRPr="0077141B">
        <w:rPr>
          <w:rFonts w:cs="Times New Roman"/>
          <w:color w:val="000000"/>
          <w:sz w:val="16"/>
          <w:szCs w:val="16"/>
          <w:shd w:val="clear" w:color="auto" w:fill="FFFFFF"/>
        </w:rPr>
        <w:t>Déterminer les dangers les plus courants que l'on trouve dans l'air, l'eau, le sol et les aliments.</w:t>
      </w:r>
    </w:p>
    <w:p w:rsidR="0077141B" w:rsidRPr="0077141B" w:rsidRDefault="0077141B" w:rsidP="0077141B">
      <w:pPr>
        <w:numPr>
          <w:ilvl w:val="0"/>
          <w:numId w:val="1374"/>
        </w:numPr>
        <w:shd w:val="clear" w:color="auto" w:fill="FFFFFF"/>
        <w:spacing w:before="100" w:beforeAutospacing="1" w:after="100" w:afterAutospacing="1" w:line="240" w:lineRule="auto"/>
        <w:rPr>
          <w:rFonts w:cs="Times New Roman"/>
          <w:color w:val="000000"/>
          <w:sz w:val="16"/>
          <w:szCs w:val="16"/>
          <w:shd w:val="clear" w:color="auto" w:fill="FFFFFF"/>
        </w:rPr>
      </w:pPr>
      <w:r w:rsidRPr="0077141B">
        <w:rPr>
          <w:rFonts w:cs="Times New Roman"/>
          <w:color w:val="000000"/>
          <w:sz w:val="16"/>
          <w:szCs w:val="16"/>
          <w:shd w:val="clear" w:color="auto" w:fill="FFFFFF"/>
        </w:rPr>
        <w:t>Décrire les étapes de l'évaluation des risques environnementaux et pouvoir examiner de façon critique une évaluation simple des risques pour une collectivité.</w:t>
      </w:r>
    </w:p>
    <w:p w:rsidR="0077141B" w:rsidRPr="0077141B" w:rsidRDefault="0077141B" w:rsidP="0077141B">
      <w:pPr>
        <w:numPr>
          <w:ilvl w:val="0"/>
          <w:numId w:val="1374"/>
        </w:numPr>
        <w:shd w:val="clear" w:color="auto" w:fill="FFFFFF"/>
        <w:spacing w:before="100" w:beforeAutospacing="1" w:after="100" w:afterAutospacing="1" w:line="240" w:lineRule="auto"/>
        <w:rPr>
          <w:rFonts w:cs="Times New Roman"/>
          <w:color w:val="000000"/>
          <w:sz w:val="16"/>
          <w:szCs w:val="16"/>
          <w:shd w:val="clear" w:color="auto" w:fill="FFFFFF"/>
        </w:rPr>
      </w:pPr>
      <w:r w:rsidRPr="0077141B">
        <w:rPr>
          <w:rFonts w:cs="Times New Roman"/>
          <w:color w:val="000000"/>
          <w:sz w:val="16"/>
          <w:szCs w:val="16"/>
          <w:shd w:val="clear" w:color="auto" w:fill="FFFFFF"/>
        </w:rPr>
        <w:t>Effectuer une évaluation clinique ciblée des personnes exposées pour déterminer le lien de causalité entre l'exposition et l'affection clinique.</w:t>
      </w:r>
    </w:p>
    <w:p w:rsidR="0077141B" w:rsidRPr="0077141B" w:rsidRDefault="0077141B" w:rsidP="0077141B">
      <w:pPr>
        <w:numPr>
          <w:ilvl w:val="0"/>
          <w:numId w:val="1374"/>
        </w:numPr>
        <w:shd w:val="clear" w:color="auto" w:fill="FFFFFF"/>
        <w:spacing w:before="100" w:beforeAutospacing="1" w:after="100" w:afterAutospacing="1" w:line="240" w:lineRule="auto"/>
        <w:rPr>
          <w:rFonts w:cs="Times New Roman"/>
          <w:color w:val="000000"/>
          <w:sz w:val="16"/>
          <w:szCs w:val="16"/>
          <w:shd w:val="clear" w:color="auto" w:fill="FFFFFF"/>
        </w:rPr>
      </w:pPr>
      <w:r w:rsidRPr="0077141B">
        <w:rPr>
          <w:rFonts w:cs="Times New Roman"/>
          <w:color w:val="000000"/>
          <w:sz w:val="16"/>
          <w:szCs w:val="16"/>
          <w:shd w:val="clear" w:color="auto" w:fill="FFFFFF"/>
        </w:rPr>
        <w:t>Connaître les organismes locaux, régionaux, provinciaux et nationaux qui peuvent participer à l'enquête sur des problèmes environnementaux.</w:t>
      </w:r>
    </w:p>
    <w:p w:rsidR="0077141B" w:rsidRPr="0077141B" w:rsidRDefault="0077141B" w:rsidP="0077141B">
      <w:pPr>
        <w:numPr>
          <w:ilvl w:val="0"/>
          <w:numId w:val="1374"/>
        </w:numPr>
        <w:shd w:val="clear" w:color="auto" w:fill="FFFFFF"/>
        <w:spacing w:before="100" w:beforeAutospacing="1" w:after="100" w:afterAutospacing="1" w:line="240" w:lineRule="auto"/>
        <w:rPr>
          <w:rFonts w:cs="Times New Roman"/>
          <w:color w:val="000000"/>
          <w:sz w:val="16"/>
          <w:szCs w:val="16"/>
          <w:shd w:val="clear" w:color="auto" w:fill="FFFFFF"/>
        </w:rPr>
      </w:pPr>
      <w:r w:rsidRPr="0077141B">
        <w:rPr>
          <w:rFonts w:cs="Times New Roman"/>
          <w:color w:val="000000"/>
          <w:sz w:val="16"/>
          <w:szCs w:val="16"/>
          <w:shd w:val="clear" w:color="auto" w:fill="FFFFFF"/>
        </w:rPr>
        <w:t>Décrire de simples interventions qui seront efficaces pour réduire les expositions environnementales et les risques de maladie (p. ex. écran solaire pour prévenir les coups de soleil, chasse-moustique pour prévenir une infection au virus du Nil occidental).</w:t>
      </w:r>
    </w:p>
    <w:p w:rsidR="0077141B" w:rsidRPr="0077141B" w:rsidRDefault="0077141B" w:rsidP="0077141B">
      <w:pPr>
        <w:numPr>
          <w:ilvl w:val="0"/>
          <w:numId w:val="1374"/>
        </w:numPr>
        <w:shd w:val="clear" w:color="auto" w:fill="FFFFFF"/>
        <w:spacing w:before="100" w:beforeAutospacing="1" w:after="100" w:afterAutospacing="1" w:line="240" w:lineRule="auto"/>
        <w:rPr>
          <w:rFonts w:cs="Times New Roman"/>
          <w:color w:val="000000"/>
          <w:sz w:val="16"/>
          <w:szCs w:val="16"/>
          <w:shd w:val="clear" w:color="auto" w:fill="FFFFFF"/>
        </w:rPr>
      </w:pPr>
      <w:r w:rsidRPr="0077141B">
        <w:rPr>
          <w:rFonts w:cs="Times New Roman"/>
          <w:color w:val="000000"/>
          <w:sz w:val="16"/>
          <w:szCs w:val="16"/>
          <w:shd w:val="clear" w:color="auto" w:fill="FFFFFF"/>
        </w:rPr>
        <w:t>Communiquer des renseignements simples sur l'évaluation des risques environnementaux aux patients et à la collectivité.</w:t>
      </w:r>
    </w:p>
    <w:p w:rsidR="0077141B" w:rsidRPr="00941FC3" w:rsidRDefault="003C0DF2" w:rsidP="0077141B">
      <w:pPr>
        <w:pStyle w:val="Sansinterligne"/>
        <w:rPr>
          <w:b/>
          <w:sz w:val="28"/>
          <w:szCs w:val="28"/>
        </w:rPr>
      </w:pPr>
      <w:r w:rsidRPr="00941FC3">
        <w:rPr>
          <w:b/>
          <w:sz w:val="28"/>
          <w:szCs w:val="28"/>
        </w:rPr>
        <w:t>Définitions</w:t>
      </w:r>
    </w:p>
    <w:p w:rsidR="003C0DF2" w:rsidRDefault="003C0DF2" w:rsidP="003C0DF2">
      <w:pPr>
        <w:pStyle w:val="Sansinterligne"/>
      </w:pPr>
      <w:r>
        <w:t>Santé environnementale : s’occupe des conditions de vie humaine qui influencent la santé et le bien-être. Englobe l’environnement bâti (ex : routes, bâtiments) et naturel (milieu).</w:t>
      </w:r>
    </w:p>
    <w:p w:rsidR="003C0DF2" w:rsidRDefault="003C0DF2" w:rsidP="0077141B">
      <w:pPr>
        <w:pStyle w:val="Sansinterligne"/>
      </w:pPr>
    </w:p>
    <w:p w:rsidR="003C0DF2" w:rsidRPr="00941FC3" w:rsidRDefault="003C0DF2" w:rsidP="0077141B">
      <w:pPr>
        <w:pStyle w:val="Sansinterligne"/>
        <w:rPr>
          <w:b/>
          <w:sz w:val="28"/>
          <w:szCs w:val="28"/>
        </w:rPr>
      </w:pPr>
      <w:r w:rsidRPr="00941FC3">
        <w:rPr>
          <w:b/>
          <w:sz w:val="28"/>
          <w:szCs w:val="28"/>
        </w:rPr>
        <w:t>Évaluation l’exposition à des risques environnementaux</w:t>
      </w:r>
    </w:p>
    <w:p w:rsidR="003C0DF2" w:rsidRPr="00C0708D" w:rsidRDefault="003C0DF2" w:rsidP="0077141B">
      <w:pPr>
        <w:pStyle w:val="Sansinterligne"/>
        <w:rPr>
          <w:highlight w:val="yellow"/>
        </w:rPr>
      </w:pPr>
      <w:r w:rsidRPr="00C0708D">
        <w:rPr>
          <w:highlight w:val="yellow"/>
        </w:rPr>
        <w:t>Histoire exhaustive avec le patient, ou un</w:t>
      </w:r>
      <w:r w:rsidR="00941FC3" w:rsidRPr="00C0708D">
        <w:rPr>
          <w:highlight w:val="yellow"/>
        </w:rPr>
        <w:t xml:space="preserve"> groupe :</w:t>
      </w:r>
    </w:p>
    <w:p w:rsidR="003C0DF2" w:rsidRPr="00C0708D" w:rsidRDefault="00C0708D" w:rsidP="00941FC3">
      <w:pPr>
        <w:pStyle w:val="Sansinterligne"/>
        <w:numPr>
          <w:ilvl w:val="0"/>
          <w:numId w:val="1394"/>
        </w:numPr>
        <w:rPr>
          <w:highlight w:val="yellow"/>
        </w:rPr>
      </w:pPr>
      <w:r w:rsidRPr="00C0708D">
        <w:rPr>
          <w:noProof/>
          <w:highlight w:val="yellow"/>
          <w:lang w:eastAsia="fr-CA"/>
        </w:rPr>
        <mc:AlternateContent>
          <mc:Choice Requires="wps">
            <w:drawing>
              <wp:anchor distT="0" distB="0" distL="114300" distR="114300" simplePos="0" relativeHeight="252161024" behindDoc="0" locked="0" layoutInCell="1" allowOverlap="1" wp14:anchorId="2FA43DDB" wp14:editId="4AE5B7D9">
                <wp:simplePos x="0" y="0"/>
                <wp:positionH relativeFrom="column">
                  <wp:posOffset>5589905</wp:posOffset>
                </wp:positionH>
                <wp:positionV relativeFrom="paragraph">
                  <wp:posOffset>5080</wp:posOffset>
                </wp:positionV>
                <wp:extent cx="1205865" cy="1403985"/>
                <wp:effectExtent l="0" t="0" r="13335" b="21590"/>
                <wp:wrapNone/>
                <wp:docPr id="42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5865" cy="1403985"/>
                        </a:xfrm>
                        <a:prstGeom prst="rect">
                          <a:avLst/>
                        </a:prstGeom>
                        <a:solidFill>
                          <a:schemeClr val="bg2">
                            <a:lumMod val="75000"/>
                          </a:schemeClr>
                        </a:solidFill>
                        <a:ln w="9525">
                          <a:solidFill>
                            <a:srgbClr val="000000"/>
                          </a:solidFill>
                          <a:miter lim="800000"/>
                          <a:headEnd/>
                          <a:tailEnd/>
                        </a:ln>
                      </wps:spPr>
                      <wps:txbx>
                        <w:txbxContent>
                          <w:p w:rsidR="008276DC" w:rsidRPr="003C0DF2" w:rsidRDefault="008276DC" w:rsidP="003C0DF2">
                            <w:pPr>
                              <w:spacing w:after="0"/>
                              <w:jc w:val="center"/>
                              <w:rPr>
                                <w:b/>
                              </w:rPr>
                            </w:pPr>
                            <w:r w:rsidRPr="003C0DF2">
                              <w:rPr>
                                <w:b/>
                              </w:rPr>
                              <w:t>4 réservoirs</w:t>
                            </w:r>
                          </w:p>
                          <w:p w:rsidR="008276DC" w:rsidRDefault="008276DC" w:rsidP="003C0DF2">
                            <w:pPr>
                              <w:pStyle w:val="Paragraphedeliste"/>
                              <w:numPr>
                                <w:ilvl w:val="0"/>
                                <w:numId w:val="1392"/>
                              </w:numPr>
                              <w:spacing w:after="0"/>
                            </w:pPr>
                            <w:r>
                              <w:t>Air</w:t>
                            </w:r>
                          </w:p>
                          <w:p w:rsidR="008276DC" w:rsidRDefault="008276DC" w:rsidP="003C0DF2">
                            <w:pPr>
                              <w:pStyle w:val="Paragraphedeliste"/>
                              <w:numPr>
                                <w:ilvl w:val="0"/>
                                <w:numId w:val="1392"/>
                              </w:numPr>
                              <w:spacing w:after="0"/>
                            </w:pPr>
                            <w:r>
                              <w:t>Eau</w:t>
                            </w:r>
                          </w:p>
                          <w:p w:rsidR="008276DC" w:rsidRDefault="008276DC" w:rsidP="003C0DF2">
                            <w:pPr>
                              <w:pStyle w:val="Paragraphedeliste"/>
                              <w:numPr>
                                <w:ilvl w:val="0"/>
                                <w:numId w:val="1392"/>
                              </w:numPr>
                              <w:spacing w:after="0"/>
                            </w:pPr>
                            <w:r>
                              <w:t>Sol</w:t>
                            </w:r>
                          </w:p>
                          <w:p w:rsidR="008276DC" w:rsidRDefault="008276DC" w:rsidP="003C0DF2">
                            <w:pPr>
                              <w:pStyle w:val="Paragraphedeliste"/>
                              <w:numPr>
                                <w:ilvl w:val="0"/>
                                <w:numId w:val="1392"/>
                              </w:numPr>
                              <w:spacing w:after="0"/>
                            </w:pPr>
                            <w:r>
                              <w:t>Aliments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100" type="#_x0000_t202" style="position:absolute;left:0;text-align:left;margin-left:440.15pt;margin-top:.4pt;width:94.95pt;height:110.55pt;z-index:25216102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" fillcolor="#c4bc96 [2414]">
                <v:textbox style="mso-fit-shape-to-text:t">
                  <w:txbxContent>
                    <w:p w:rsidR="008276DC" w:rsidRPr="003C0DF2" w:rsidRDefault="008276DC" w:rsidP="003C0DF2">
                      <w:pPr>
                        <w:spacing w:after="0"/>
                        <w:jc w:val="center"/>
                        <w:rPr>
                          <w:b/>
                        </w:rPr>
                      </w:pPr>
                      <w:r w:rsidRPr="003C0DF2">
                        <w:rPr>
                          <w:b/>
                        </w:rPr>
                        <w:t>4 réservoirs</w:t>
                      </w:r>
                    </w:p>
                    <w:p w:rsidR="008276DC" w:rsidRDefault="008276DC" w:rsidP="003C0DF2">
                      <w:pPr>
                        <w:pStyle w:val="Paragraphedeliste"/>
                        <w:numPr>
                          <w:ilvl w:val="0"/>
                          <w:numId w:val="1392"/>
                        </w:numPr>
                        <w:spacing w:after="0"/>
                      </w:pPr>
                      <w:r>
                        <w:t>Air</w:t>
                      </w:r>
                    </w:p>
                    <w:p w:rsidR="008276DC" w:rsidRDefault="008276DC" w:rsidP="003C0DF2">
                      <w:pPr>
                        <w:pStyle w:val="Paragraphedeliste"/>
                        <w:numPr>
                          <w:ilvl w:val="0"/>
                          <w:numId w:val="1392"/>
                        </w:numPr>
                        <w:spacing w:after="0"/>
                      </w:pPr>
                      <w:r>
                        <w:t>Eau</w:t>
                      </w:r>
                    </w:p>
                    <w:p w:rsidR="008276DC" w:rsidRDefault="008276DC" w:rsidP="003C0DF2">
                      <w:pPr>
                        <w:pStyle w:val="Paragraphedeliste"/>
                        <w:numPr>
                          <w:ilvl w:val="0"/>
                          <w:numId w:val="1392"/>
                        </w:numPr>
                        <w:spacing w:after="0"/>
                      </w:pPr>
                      <w:r>
                        <w:t>Sol</w:t>
                      </w:r>
                    </w:p>
                    <w:p w:rsidR="008276DC" w:rsidRDefault="008276DC" w:rsidP="003C0DF2">
                      <w:pPr>
                        <w:pStyle w:val="Paragraphedeliste"/>
                        <w:numPr>
                          <w:ilvl w:val="0"/>
                          <w:numId w:val="1392"/>
                        </w:numPr>
                        <w:spacing w:after="0"/>
                      </w:pPr>
                      <w:r>
                        <w:t>Aliments</w:t>
                      </w:r>
                    </w:p>
                  </w:txbxContent>
                </v:textbox>
              </v:shape>
            </w:pict>
          </mc:Fallback>
        </mc:AlternateContent>
      </w:r>
      <w:r w:rsidRPr="00941FC3">
        <w:rPr>
          <w:b/>
          <w:noProof/>
          <w:sz w:val="28"/>
          <w:szCs w:val="28"/>
          <w:lang w:eastAsia="fr-CA"/>
        </w:rPr>
        <mc:AlternateContent>
          <mc:Choice Requires="wps">
            <w:drawing>
              <wp:anchor distT="0" distB="0" distL="114300" distR="114300" simplePos="0" relativeHeight="252163072" behindDoc="0" locked="0" layoutInCell="1" allowOverlap="1" wp14:anchorId="69CAEFFF" wp14:editId="2966069E">
                <wp:simplePos x="0" y="0"/>
                <wp:positionH relativeFrom="column">
                  <wp:posOffset>3743325</wp:posOffset>
                </wp:positionH>
                <wp:positionV relativeFrom="paragraph">
                  <wp:posOffset>102870</wp:posOffset>
                </wp:positionV>
                <wp:extent cx="1711960" cy="1403985"/>
                <wp:effectExtent l="0" t="0" r="21590" b="26035"/>
                <wp:wrapNone/>
                <wp:docPr id="640"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1960" cy="1403985"/>
                        </a:xfrm>
                        <a:prstGeom prst="rect">
                          <a:avLst/>
                        </a:prstGeom>
                        <a:solidFill>
                          <a:schemeClr val="bg2">
                            <a:lumMod val="75000"/>
                          </a:schemeClr>
                        </a:solidFill>
                        <a:ln w="9525">
                          <a:solidFill>
                            <a:srgbClr val="000000"/>
                          </a:solidFill>
                          <a:miter lim="800000"/>
                          <a:headEnd/>
                          <a:tailEnd/>
                        </a:ln>
                      </wps:spPr>
                      <wps:txbx>
                        <w:txbxContent>
                          <w:p w:rsidR="008276DC" w:rsidRPr="003C0DF2" w:rsidRDefault="008276DC" w:rsidP="003C0DF2">
                            <w:pPr>
                              <w:spacing w:after="0"/>
                              <w:rPr>
                                <w:b/>
                              </w:rPr>
                            </w:pPr>
                            <w:r w:rsidRPr="003C0DF2">
                              <w:rPr>
                                <w:b/>
                              </w:rPr>
                              <w:t>3 voies de contamination</w:t>
                            </w:r>
                          </w:p>
                          <w:p w:rsidR="008276DC" w:rsidRDefault="008276DC" w:rsidP="003C0DF2">
                            <w:pPr>
                              <w:pStyle w:val="Paragraphedeliste"/>
                              <w:numPr>
                                <w:ilvl w:val="0"/>
                                <w:numId w:val="1393"/>
                              </w:numPr>
                              <w:spacing w:after="0"/>
                            </w:pPr>
                            <w:r>
                              <w:t>Inhalation</w:t>
                            </w:r>
                          </w:p>
                          <w:p w:rsidR="008276DC" w:rsidRDefault="008276DC" w:rsidP="003C0DF2">
                            <w:pPr>
                              <w:pStyle w:val="Paragraphedeliste"/>
                              <w:numPr>
                                <w:ilvl w:val="0"/>
                                <w:numId w:val="1393"/>
                              </w:numPr>
                              <w:spacing w:after="0"/>
                            </w:pPr>
                            <w:r>
                              <w:t>Ingestion</w:t>
                            </w:r>
                          </w:p>
                          <w:p w:rsidR="008276DC" w:rsidRDefault="008276DC" w:rsidP="003C0DF2">
                            <w:pPr>
                              <w:pStyle w:val="Paragraphedeliste"/>
                              <w:numPr>
                                <w:ilvl w:val="0"/>
                                <w:numId w:val="1393"/>
                              </w:numPr>
                              <w:spacing w:after="0"/>
                            </w:pPr>
                            <w:r>
                              <w:t xml:space="preserve">Absorption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101" type="#_x0000_t202" style="position:absolute;left:0;text-align:left;margin-left:294.75pt;margin-top:8.1pt;width:134.8pt;height:110.55pt;z-index:25216307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" fillcolor="#c4bc96 [2414]">
                <v:textbox style="mso-fit-shape-to-text:t">
                  <w:txbxContent>
                    <w:p w:rsidR="008276DC" w:rsidRPr="003C0DF2" w:rsidRDefault="008276DC" w:rsidP="003C0DF2">
                      <w:pPr>
                        <w:spacing w:after="0"/>
                        <w:rPr>
                          <w:b/>
                        </w:rPr>
                      </w:pPr>
                      <w:r w:rsidRPr="003C0DF2">
                        <w:rPr>
                          <w:b/>
                        </w:rPr>
                        <w:t>3 voies de contamination</w:t>
                      </w:r>
                    </w:p>
                    <w:p w:rsidR="008276DC" w:rsidRDefault="008276DC" w:rsidP="003C0DF2">
                      <w:pPr>
                        <w:pStyle w:val="Paragraphedeliste"/>
                        <w:numPr>
                          <w:ilvl w:val="0"/>
                          <w:numId w:val="1393"/>
                        </w:numPr>
                        <w:spacing w:after="0"/>
                      </w:pPr>
                      <w:r>
                        <w:t>Inhalation</w:t>
                      </w:r>
                    </w:p>
                    <w:p w:rsidR="008276DC" w:rsidRDefault="008276DC" w:rsidP="003C0DF2">
                      <w:pPr>
                        <w:pStyle w:val="Paragraphedeliste"/>
                        <w:numPr>
                          <w:ilvl w:val="0"/>
                          <w:numId w:val="1393"/>
                        </w:numPr>
                        <w:spacing w:after="0"/>
                      </w:pPr>
                      <w:r>
                        <w:t>Ingestion</w:t>
                      </w:r>
                    </w:p>
                    <w:p w:rsidR="008276DC" w:rsidRDefault="008276DC" w:rsidP="003C0DF2">
                      <w:pPr>
                        <w:pStyle w:val="Paragraphedeliste"/>
                        <w:numPr>
                          <w:ilvl w:val="0"/>
                          <w:numId w:val="1393"/>
                        </w:numPr>
                        <w:spacing w:after="0"/>
                      </w:pPr>
                      <w:r>
                        <w:t xml:space="preserve">Absorption </w:t>
                      </w:r>
                    </w:p>
                  </w:txbxContent>
                </v:textbox>
              </v:shape>
            </w:pict>
          </mc:Fallback>
        </mc:AlternateContent>
      </w:r>
      <w:r w:rsidR="003C0DF2" w:rsidRPr="00C0708D">
        <w:rPr>
          <w:highlight w:val="yellow"/>
        </w:rPr>
        <w:t>Communauté (milieu)</w:t>
      </w:r>
    </w:p>
    <w:p w:rsidR="003C0DF2" w:rsidRPr="00C0708D" w:rsidRDefault="003C0DF2" w:rsidP="00941FC3">
      <w:pPr>
        <w:pStyle w:val="Sansinterligne"/>
        <w:numPr>
          <w:ilvl w:val="0"/>
          <w:numId w:val="1394"/>
        </w:numPr>
        <w:rPr>
          <w:highlight w:val="yellow"/>
        </w:rPr>
      </w:pPr>
      <w:r w:rsidRPr="00C0708D">
        <w:rPr>
          <w:highlight w:val="yellow"/>
        </w:rPr>
        <w:t>Domicile (état de la maison, moisissures, radon, etc.)</w:t>
      </w:r>
    </w:p>
    <w:p w:rsidR="003C0DF2" w:rsidRPr="00C0708D" w:rsidRDefault="003C0DF2" w:rsidP="00941FC3">
      <w:pPr>
        <w:pStyle w:val="Sansinterligne"/>
        <w:numPr>
          <w:ilvl w:val="0"/>
          <w:numId w:val="1394"/>
        </w:numPr>
        <w:rPr>
          <w:highlight w:val="yellow"/>
        </w:rPr>
      </w:pPr>
      <w:r w:rsidRPr="00C0708D">
        <w:rPr>
          <w:highlight w:val="yellow"/>
        </w:rPr>
        <w:t>Loisirs (pêche – mercure, etc.)</w:t>
      </w:r>
    </w:p>
    <w:p w:rsidR="003C0DF2" w:rsidRPr="00C0708D" w:rsidRDefault="003C0DF2" w:rsidP="00941FC3">
      <w:pPr>
        <w:pStyle w:val="Sansinterligne"/>
        <w:numPr>
          <w:ilvl w:val="0"/>
          <w:numId w:val="1394"/>
        </w:numPr>
        <w:rPr>
          <w:highlight w:val="yellow"/>
        </w:rPr>
      </w:pPr>
      <w:r w:rsidRPr="00C0708D">
        <w:rPr>
          <w:highlight w:val="yellow"/>
        </w:rPr>
        <w:t>Travail (exposition professionnelle)</w:t>
      </w:r>
    </w:p>
    <w:p w:rsidR="003C0DF2" w:rsidRPr="00C0708D" w:rsidRDefault="003C0DF2" w:rsidP="00941FC3">
      <w:pPr>
        <w:pStyle w:val="Sansinterligne"/>
        <w:numPr>
          <w:ilvl w:val="0"/>
          <w:numId w:val="1394"/>
        </w:numPr>
        <w:rPr>
          <w:highlight w:val="yellow"/>
        </w:rPr>
      </w:pPr>
      <w:r w:rsidRPr="00C0708D">
        <w:rPr>
          <w:highlight w:val="yellow"/>
        </w:rPr>
        <w:t>Habitudes (hygiène, consommation, etc.)</w:t>
      </w:r>
    </w:p>
    <w:p w:rsidR="003C0DF2" w:rsidRPr="00C0708D" w:rsidRDefault="003C0DF2" w:rsidP="00941FC3">
      <w:pPr>
        <w:pStyle w:val="Sansinterligne"/>
        <w:numPr>
          <w:ilvl w:val="0"/>
          <w:numId w:val="1394"/>
        </w:numPr>
        <w:rPr>
          <w:highlight w:val="yellow"/>
        </w:rPr>
      </w:pPr>
      <w:r w:rsidRPr="00C0708D">
        <w:rPr>
          <w:highlight w:val="yellow"/>
        </w:rPr>
        <w:t>Diète (aliments périmés, contaminés, réguliers)¸</w:t>
      </w:r>
    </w:p>
    <w:p w:rsidR="003C0DF2" w:rsidRPr="00C0708D" w:rsidRDefault="003C0DF2" w:rsidP="00941FC3">
      <w:pPr>
        <w:pStyle w:val="Sansinterligne"/>
        <w:numPr>
          <w:ilvl w:val="0"/>
          <w:numId w:val="1394"/>
        </w:numPr>
        <w:rPr>
          <w:highlight w:val="yellow"/>
        </w:rPr>
      </w:pPr>
      <w:r w:rsidRPr="00C0708D">
        <w:rPr>
          <w:highlight w:val="yellow"/>
        </w:rPr>
        <w:t>Médication et drogues illicites</w:t>
      </w:r>
    </w:p>
    <w:p w:rsidR="003C0DF2" w:rsidRDefault="003C0DF2" w:rsidP="0077141B">
      <w:pPr>
        <w:pStyle w:val="Sansinterligne"/>
      </w:pPr>
    </w:p>
    <w:p w:rsidR="00CC36A1" w:rsidRDefault="00CC36A1" w:rsidP="0077141B">
      <w:pPr>
        <w:pStyle w:val="Sansinterligne"/>
      </w:pPr>
      <w:r>
        <w:t>Il faut mettre en évidence une relation temporelle entre l’exposition (aigue ou chronique) et l’apparition des symptômes (critères de causalité). On cherche par exemple une cyclicité, des périodes de rémission (lorsque l’exposition est absen</w:t>
      </w:r>
      <w:r w:rsidR="00606438">
        <w:t>t</w:t>
      </w:r>
      <w:r>
        <w:t>e, vacances, etc.).</w:t>
      </w:r>
    </w:p>
    <w:p w:rsidR="00CC36A1" w:rsidRDefault="00CC36A1" w:rsidP="0077141B">
      <w:pPr>
        <w:pStyle w:val="Sansinterligne"/>
      </w:pPr>
    </w:p>
    <w:tbl>
      <w:tblPr>
        <w:tblStyle w:val="Grilledutableau"/>
        <w:tblW w:w="0" w:type="auto"/>
        <w:tblLayout w:type="fixed"/>
        <w:tblLook w:val="04A0" w:firstRow="1" w:lastRow="0" w:firstColumn="1" w:lastColumn="0" w:noHBand="0" w:noVBand="1"/>
      </w:tblPr>
      <w:tblGrid>
        <w:gridCol w:w="250"/>
        <w:gridCol w:w="4820"/>
        <w:gridCol w:w="5811"/>
      </w:tblGrid>
      <w:tr w:rsidR="00941FC3" w:rsidTr="00941FC3">
        <w:tc>
          <w:tcPr>
            <w:tcW w:w="250" w:type="dxa"/>
            <w:shd w:val="clear" w:color="auto" w:fill="C4BC96" w:themeFill="background2" w:themeFillShade="BF"/>
          </w:tcPr>
          <w:p w:rsidR="00941FC3" w:rsidRDefault="00941FC3" w:rsidP="00941FC3">
            <w:pPr>
              <w:pStyle w:val="Sansinterligne"/>
              <w:jc w:val="center"/>
            </w:pPr>
          </w:p>
        </w:tc>
        <w:tc>
          <w:tcPr>
            <w:tcW w:w="10631" w:type="dxa"/>
            <w:gridSpan w:val="2"/>
            <w:shd w:val="clear" w:color="auto" w:fill="C4BC96" w:themeFill="background2" w:themeFillShade="BF"/>
          </w:tcPr>
          <w:p w:rsidR="00941FC3" w:rsidRPr="00941FC3" w:rsidRDefault="00941FC3" w:rsidP="00941FC3">
            <w:pPr>
              <w:pStyle w:val="Sansinterligne"/>
              <w:jc w:val="center"/>
              <w:rPr>
                <w:i/>
              </w:rPr>
            </w:pPr>
            <w:r w:rsidRPr="00941FC3">
              <w:rPr>
                <w:i/>
              </w:rPr>
              <w:t>Types de contaminants</w:t>
            </w:r>
            <w:r>
              <w:rPr>
                <w:i/>
              </w:rPr>
              <w:t xml:space="preserve"> et effets</w:t>
            </w:r>
          </w:p>
        </w:tc>
      </w:tr>
      <w:tr w:rsidR="00AB651C" w:rsidTr="00AB651C">
        <w:trPr>
          <w:cantSplit/>
          <w:trHeight w:val="291"/>
        </w:trPr>
        <w:tc>
          <w:tcPr>
            <w:tcW w:w="250" w:type="dxa"/>
            <w:vMerge w:val="restart"/>
            <w:shd w:val="clear" w:color="auto" w:fill="C4BC96" w:themeFill="background2" w:themeFillShade="BF"/>
            <w:textDirection w:val="btLr"/>
            <w:vAlign w:val="center"/>
          </w:tcPr>
          <w:p w:rsidR="00AB651C" w:rsidRDefault="00AB651C" w:rsidP="003C0DF2">
            <w:pPr>
              <w:pStyle w:val="Sansinterligne"/>
              <w:ind w:left="113" w:right="113"/>
              <w:jc w:val="center"/>
            </w:pPr>
            <w:r>
              <w:t>Air</w:t>
            </w:r>
          </w:p>
        </w:tc>
        <w:tc>
          <w:tcPr>
            <w:tcW w:w="4820" w:type="dxa"/>
          </w:tcPr>
          <w:p w:rsidR="00AB651C" w:rsidRPr="00941FC3" w:rsidRDefault="00CC36A1" w:rsidP="003C0DF2">
            <w:pPr>
              <w:pStyle w:val="Sansinterligne"/>
              <w:rPr>
                <w:b/>
              </w:rPr>
            </w:pPr>
            <w:r>
              <w:rPr>
                <w:b/>
              </w:rPr>
              <w:t>Radiations</w:t>
            </w:r>
          </w:p>
          <w:p w:rsidR="00AB651C" w:rsidRPr="00AB651C" w:rsidRDefault="00AB651C" w:rsidP="00AB651C">
            <w:pPr>
              <w:pStyle w:val="Sansinterligne"/>
              <w:rPr>
                <w:highlight w:val="yellow"/>
              </w:rPr>
            </w:pPr>
            <w:r w:rsidRPr="00AB651C">
              <w:rPr>
                <w:highlight w:val="yellow"/>
              </w:rPr>
              <w:t xml:space="preserve">Bruit </w:t>
            </w:r>
            <w:r w:rsidRPr="00AB651C">
              <w:rPr>
                <w:rFonts w:ascii="Century Gothic" w:hAnsi="Century Gothic"/>
                <w:highlight w:val="yellow"/>
              </w:rPr>
              <w:t>→</w:t>
            </w:r>
            <w:r w:rsidRPr="00AB651C">
              <w:rPr>
                <w:highlight w:val="yellow"/>
              </w:rPr>
              <w:t xml:space="preserve"> surdité</w:t>
            </w:r>
          </w:p>
          <w:p w:rsidR="00AB651C" w:rsidRPr="00AB651C" w:rsidRDefault="00AB651C" w:rsidP="00AB651C">
            <w:pPr>
              <w:pStyle w:val="Sansinterligne"/>
              <w:rPr>
                <w:highlight w:val="yellow"/>
              </w:rPr>
            </w:pPr>
            <w:r w:rsidRPr="00AB651C">
              <w:rPr>
                <w:highlight w:val="yellow"/>
              </w:rPr>
              <w:t xml:space="preserve">Ultraviolets </w:t>
            </w:r>
            <w:r w:rsidRPr="00AB651C">
              <w:rPr>
                <w:rFonts w:ascii="Century Gothic" w:hAnsi="Century Gothic"/>
                <w:highlight w:val="yellow"/>
              </w:rPr>
              <w:t>→</w:t>
            </w:r>
            <w:r w:rsidRPr="00AB651C">
              <w:rPr>
                <w:highlight w:val="yellow"/>
              </w:rPr>
              <w:t xml:space="preserve"> cancer de la peau</w:t>
            </w:r>
            <w:r w:rsidR="00CC36A1">
              <w:rPr>
                <w:highlight w:val="yellow"/>
              </w:rPr>
              <w:t xml:space="preserve"> </w:t>
            </w:r>
          </w:p>
          <w:p w:rsidR="00AB651C" w:rsidRDefault="00AB651C" w:rsidP="00CC36A1">
            <w:pPr>
              <w:pStyle w:val="Sansinterligne"/>
            </w:pPr>
            <w:r w:rsidRPr="00AB651C">
              <w:rPr>
                <w:highlight w:val="yellow"/>
              </w:rPr>
              <w:t xml:space="preserve">Radon </w:t>
            </w:r>
            <w:r w:rsidRPr="00AB651C">
              <w:rPr>
                <w:rFonts w:ascii="Century Gothic" w:hAnsi="Century Gothic"/>
                <w:highlight w:val="yellow"/>
              </w:rPr>
              <w:t>→</w:t>
            </w:r>
            <w:r w:rsidRPr="00AB651C">
              <w:rPr>
                <w:highlight w:val="yellow"/>
              </w:rPr>
              <w:t xml:space="preserve"> cancer du poumon</w:t>
            </w:r>
            <w:r w:rsidR="00CC36A1">
              <w:t xml:space="preserve"> </w:t>
            </w:r>
          </w:p>
        </w:tc>
        <w:tc>
          <w:tcPr>
            <w:tcW w:w="5811" w:type="dxa"/>
          </w:tcPr>
          <w:p w:rsidR="00AB651C" w:rsidRPr="00941FC3" w:rsidRDefault="00AB651C" w:rsidP="00AB651C">
            <w:pPr>
              <w:pStyle w:val="Sansinterligne"/>
              <w:rPr>
                <w:b/>
              </w:rPr>
            </w:pPr>
            <w:r w:rsidRPr="00941FC3">
              <w:rPr>
                <w:b/>
              </w:rPr>
              <w:t>Contaminants chimiques</w:t>
            </w:r>
          </w:p>
          <w:p w:rsidR="00AB651C" w:rsidRPr="00AB651C" w:rsidRDefault="00AB651C" w:rsidP="00F11F25">
            <w:pPr>
              <w:pStyle w:val="Sansinterligne"/>
              <w:numPr>
                <w:ilvl w:val="0"/>
                <w:numId w:val="1395"/>
              </w:numPr>
              <w:rPr>
                <w:highlight w:val="yellow"/>
              </w:rPr>
            </w:pPr>
            <w:r w:rsidRPr="00AB651C">
              <w:rPr>
                <w:highlight w:val="yellow"/>
              </w:rPr>
              <w:t xml:space="preserve">Smog (ozone) </w:t>
            </w:r>
            <w:r w:rsidRPr="00AB651C">
              <w:rPr>
                <w:rFonts w:ascii="Century Gothic" w:hAnsi="Century Gothic"/>
                <w:highlight w:val="yellow"/>
              </w:rPr>
              <w:t>→</w:t>
            </w:r>
            <w:r w:rsidRPr="00AB651C">
              <w:rPr>
                <w:highlight w:val="yellow"/>
              </w:rPr>
              <w:t xml:space="preserve"> asthme, MPOC</w:t>
            </w:r>
          </w:p>
          <w:p w:rsidR="00AB651C" w:rsidRPr="00AB651C" w:rsidRDefault="00AB651C" w:rsidP="00F11F25">
            <w:pPr>
              <w:pStyle w:val="Sansinterligne"/>
              <w:numPr>
                <w:ilvl w:val="0"/>
                <w:numId w:val="1395"/>
              </w:numPr>
              <w:rPr>
                <w:highlight w:val="yellow"/>
              </w:rPr>
            </w:pPr>
            <w:r w:rsidRPr="00AB651C">
              <w:rPr>
                <w:highlight w:val="yellow"/>
              </w:rPr>
              <w:t xml:space="preserve">CO </w:t>
            </w:r>
            <w:r w:rsidRPr="00AB651C">
              <w:rPr>
                <w:rFonts w:ascii="Century Gothic" w:hAnsi="Century Gothic"/>
                <w:highlight w:val="yellow"/>
              </w:rPr>
              <w:t>→</w:t>
            </w:r>
            <w:r w:rsidRPr="00AB651C">
              <w:rPr>
                <w:highlight w:val="yellow"/>
              </w:rPr>
              <w:t xml:space="preserve"> </w:t>
            </w:r>
            <w:r w:rsidRPr="00AB651C">
              <w:rPr>
                <w:rFonts w:ascii="Century Gothic" w:hAnsi="Century Gothic"/>
                <w:highlight w:val="yellow"/>
              </w:rPr>
              <w:t>↑</w:t>
            </w:r>
            <w:r w:rsidRPr="00AB651C">
              <w:rPr>
                <w:highlight w:val="yellow"/>
              </w:rPr>
              <w:t>demande cardiaque, intoxication, décès</w:t>
            </w:r>
          </w:p>
          <w:p w:rsidR="00AB651C" w:rsidRDefault="00AB651C" w:rsidP="00F11F25">
            <w:pPr>
              <w:pStyle w:val="Sansinterligne"/>
              <w:numPr>
                <w:ilvl w:val="0"/>
                <w:numId w:val="1395"/>
              </w:numPr>
            </w:pPr>
            <w:r>
              <w:t xml:space="preserve">NO2 </w:t>
            </w:r>
            <w:r>
              <w:rPr>
                <w:rFonts w:ascii="Century Gothic" w:hAnsi="Century Gothic"/>
              </w:rPr>
              <w:t>→</w:t>
            </w:r>
            <w:r>
              <w:t xml:space="preserve"> pluies acides, dyspnée</w:t>
            </w:r>
          </w:p>
          <w:p w:rsidR="00AB651C" w:rsidRDefault="00AB651C" w:rsidP="00F11F25">
            <w:pPr>
              <w:pStyle w:val="Sansinterligne"/>
              <w:numPr>
                <w:ilvl w:val="0"/>
                <w:numId w:val="1395"/>
              </w:numPr>
            </w:pPr>
            <w:r>
              <w:t xml:space="preserve">Composés organiques (benzènes, etc.) </w:t>
            </w:r>
            <w:r>
              <w:rPr>
                <w:rFonts w:ascii="Century Gothic" w:hAnsi="Century Gothic"/>
              </w:rPr>
              <w:t>→</w:t>
            </w:r>
            <w:r>
              <w:t xml:space="preserve"> intoxication</w:t>
            </w:r>
          </w:p>
          <w:p w:rsidR="00AB651C" w:rsidRDefault="00AB651C" w:rsidP="00F11F25">
            <w:pPr>
              <w:pStyle w:val="Sansinterligne"/>
              <w:numPr>
                <w:ilvl w:val="0"/>
                <w:numId w:val="1395"/>
              </w:numPr>
            </w:pPr>
            <w:r>
              <w:t xml:space="preserve">Métaux lourds gazeux </w:t>
            </w:r>
            <w:r>
              <w:rPr>
                <w:rFonts w:ascii="Century Gothic" w:hAnsi="Century Gothic"/>
              </w:rPr>
              <w:t xml:space="preserve">→ </w:t>
            </w:r>
            <w:r>
              <w:rPr>
                <w:rFonts w:cs="Times New Roman"/>
              </w:rPr>
              <w:t>↓ fonction pulmonaire</w:t>
            </w:r>
          </w:p>
          <w:p w:rsidR="00AB651C" w:rsidRDefault="00AB651C" w:rsidP="00F11F25">
            <w:pPr>
              <w:pStyle w:val="Sansinterligne"/>
              <w:numPr>
                <w:ilvl w:val="0"/>
                <w:numId w:val="1395"/>
              </w:numPr>
            </w:pPr>
            <w:r w:rsidRPr="00AB651C">
              <w:rPr>
                <w:highlight w:val="yellow"/>
              </w:rPr>
              <w:t xml:space="preserve">Fumée secondaire (tabagisme) </w:t>
            </w:r>
            <w:r w:rsidRPr="00AB651C">
              <w:rPr>
                <w:rFonts w:ascii="Century Gothic" w:hAnsi="Century Gothic"/>
                <w:highlight w:val="yellow"/>
              </w:rPr>
              <w:t>→↑</w:t>
            </w:r>
            <w:r w:rsidRPr="00AB651C">
              <w:rPr>
                <w:highlight w:val="yellow"/>
              </w:rPr>
              <w:t xml:space="preserve"> risque cancer du poumon (25%)</w:t>
            </w:r>
          </w:p>
        </w:tc>
      </w:tr>
      <w:tr w:rsidR="00AB651C" w:rsidTr="00AB651C">
        <w:trPr>
          <w:cantSplit/>
          <w:trHeight w:val="268"/>
        </w:trPr>
        <w:tc>
          <w:tcPr>
            <w:tcW w:w="250" w:type="dxa"/>
            <w:vMerge/>
            <w:shd w:val="clear" w:color="auto" w:fill="C4BC96" w:themeFill="background2" w:themeFillShade="BF"/>
            <w:textDirection w:val="btLr"/>
            <w:vAlign w:val="center"/>
          </w:tcPr>
          <w:p w:rsidR="00AB651C" w:rsidRDefault="00AB651C" w:rsidP="003C0DF2">
            <w:pPr>
              <w:pStyle w:val="Sansinterligne"/>
              <w:ind w:left="113" w:right="113"/>
              <w:jc w:val="center"/>
            </w:pPr>
          </w:p>
        </w:tc>
        <w:tc>
          <w:tcPr>
            <w:tcW w:w="4820" w:type="dxa"/>
          </w:tcPr>
          <w:p w:rsidR="00AB651C" w:rsidRPr="00941FC3" w:rsidRDefault="00AB651C" w:rsidP="003C0DF2">
            <w:pPr>
              <w:pStyle w:val="Sansinterligne"/>
              <w:rPr>
                <w:b/>
              </w:rPr>
            </w:pPr>
            <w:r w:rsidRPr="00941FC3">
              <w:rPr>
                <w:b/>
              </w:rPr>
              <w:t>Contaminants biologiques</w:t>
            </w:r>
          </w:p>
          <w:p w:rsidR="00AB651C" w:rsidRPr="00AB651C" w:rsidRDefault="00AB651C" w:rsidP="00F11F25">
            <w:pPr>
              <w:pStyle w:val="Sansinterligne"/>
              <w:numPr>
                <w:ilvl w:val="0"/>
                <w:numId w:val="1396"/>
              </w:numPr>
              <w:rPr>
                <w:highlight w:val="yellow"/>
              </w:rPr>
            </w:pPr>
            <w:r w:rsidRPr="00AB651C">
              <w:rPr>
                <w:highlight w:val="yellow"/>
              </w:rPr>
              <w:t xml:space="preserve">Moisissures </w:t>
            </w:r>
            <w:r w:rsidRPr="00AB651C">
              <w:rPr>
                <w:rFonts w:ascii="Century Gothic" w:hAnsi="Century Gothic"/>
                <w:highlight w:val="yellow"/>
              </w:rPr>
              <w:t>→</w:t>
            </w:r>
            <w:r w:rsidRPr="00AB651C">
              <w:rPr>
                <w:highlight w:val="yellow"/>
              </w:rPr>
              <w:t xml:space="preserve"> allergies</w:t>
            </w:r>
          </w:p>
          <w:p w:rsidR="00AB651C" w:rsidRDefault="00AB651C" w:rsidP="00F11F25">
            <w:pPr>
              <w:pStyle w:val="Sansinterligne"/>
              <w:numPr>
                <w:ilvl w:val="0"/>
                <w:numId w:val="1396"/>
              </w:numPr>
            </w:pPr>
            <w:r>
              <w:t>Bactéries aérosolisées (Legionella)</w:t>
            </w:r>
          </w:p>
          <w:p w:rsidR="00AB651C" w:rsidRDefault="00AB651C" w:rsidP="00F11F25">
            <w:pPr>
              <w:pStyle w:val="Sansinterligne"/>
              <w:numPr>
                <w:ilvl w:val="0"/>
                <w:numId w:val="1396"/>
              </w:numPr>
            </w:pPr>
            <w:r>
              <w:t xml:space="preserve">Pollen </w:t>
            </w:r>
            <w:r>
              <w:rPr>
                <w:rFonts w:ascii="Century Gothic" w:hAnsi="Century Gothic"/>
              </w:rPr>
              <w:t>→</w:t>
            </w:r>
            <w:r>
              <w:t xml:space="preserve"> asthme, rhinite</w:t>
            </w:r>
          </w:p>
        </w:tc>
        <w:tc>
          <w:tcPr>
            <w:tcW w:w="5811" w:type="dxa"/>
          </w:tcPr>
          <w:p w:rsidR="00AB651C" w:rsidRPr="00AB651C" w:rsidRDefault="00AB651C" w:rsidP="00AB651C">
            <w:pPr>
              <w:pStyle w:val="Sansinterligne"/>
              <w:rPr>
                <w:b/>
              </w:rPr>
            </w:pPr>
            <w:r w:rsidRPr="00AB651C">
              <w:rPr>
                <w:b/>
              </w:rPr>
              <w:t>Changements climatiques</w:t>
            </w:r>
          </w:p>
          <w:p w:rsidR="00AB651C" w:rsidRDefault="00AB651C" w:rsidP="00F11F25">
            <w:pPr>
              <w:pStyle w:val="Sansinterligne"/>
              <w:numPr>
                <w:ilvl w:val="0"/>
                <w:numId w:val="1397"/>
              </w:numPr>
            </w:pPr>
            <w:r>
              <w:t>Méthane, CO</w:t>
            </w:r>
            <w:r w:rsidRPr="00AB651C">
              <w:rPr>
                <w:vertAlign w:val="subscript"/>
              </w:rPr>
              <w:t>2</w:t>
            </w:r>
            <w:r>
              <w:t xml:space="preserve"> relâché </w:t>
            </w:r>
          </w:p>
          <w:p w:rsidR="00AB651C" w:rsidRDefault="00AB651C" w:rsidP="00F11F25">
            <w:pPr>
              <w:pStyle w:val="Sansinterligne"/>
              <w:numPr>
                <w:ilvl w:val="0"/>
                <w:numId w:val="1397"/>
              </w:numPr>
            </w:pPr>
            <w:r>
              <w:t>Cataclysmes (inondations, ouragans, canicules, etc.)</w:t>
            </w:r>
          </w:p>
          <w:p w:rsidR="00AB651C" w:rsidRDefault="00AB651C" w:rsidP="00F11F25">
            <w:pPr>
              <w:pStyle w:val="Sansinterligne"/>
              <w:numPr>
                <w:ilvl w:val="0"/>
                <w:numId w:val="1397"/>
              </w:numPr>
            </w:pPr>
            <w:r w:rsidRPr="00AB651C">
              <w:rPr>
                <w:highlight w:val="yellow"/>
              </w:rPr>
              <w:t>Migrations d’espèces vectrices (maringouins, tiques …)</w:t>
            </w:r>
          </w:p>
        </w:tc>
      </w:tr>
      <w:tr w:rsidR="00AB651C" w:rsidTr="00416106">
        <w:trPr>
          <w:cantSplit/>
          <w:trHeight w:val="1134"/>
        </w:trPr>
        <w:tc>
          <w:tcPr>
            <w:tcW w:w="250" w:type="dxa"/>
            <w:shd w:val="clear" w:color="auto" w:fill="C4BC96" w:themeFill="background2" w:themeFillShade="BF"/>
            <w:textDirection w:val="btLr"/>
            <w:vAlign w:val="center"/>
          </w:tcPr>
          <w:p w:rsidR="00AB651C" w:rsidRDefault="00AB651C" w:rsidP="003C0DF2">
            <w:pPr>
              <w:pStyle w:val="Sansinterligne"/>
              <w:ind w:left="113" w:right="113"/>
              <w:jc w:val="center"/>
            </w:pPr>
            <w:r>
              <w:t>Eau</w:t>
            </w:r>
          </w:p>
        </w:tc>
        <w:tc>
          <w:tcPr>
            <w:tcW w:w="4820" w:type="dxa"/>
          </w:tcPr>
          <w:p w:rsidR="00AB651C" w:rsidRPr="00AB651C" w:rsidRDefault="00AB651C" w:rsidP="00AB651C">
            <w:pPr>
              <w:pStyle w:val="Sansinterligne"/>
              <w:rPr>
                <w:b/>
              </w:rPr>
            </w:pPr>
            <w:r w:rsidRPr="00AB651C">
              <w:rPr>
                <w:b/>
              </w:rPr>
              <w:t>Contaminants biologiques</w:t>
            </w:r>
          </w:p>
          <w:p w:rsidR="00AB651C" w:rsidRDefault="00AB651C" w:rsidP="00F11F25">
            <w:pPr>
              <w:pStyle w:val="Sansinterligne"/>
              <w:numPr>
                <w:ilvl w:val="0"/>
                <w:numId w:val="1398"/>
              </w:numPr>
            </w:pPr>
            <w:r>
              <w:t>Déchets (régions rurales et Autochtones + à risque)</w:t>
            </w:r>
          </w:p>
          <w:p w:rsidR="00AB651C" w:rsidRDefault="00AB651C" w:rsidP="00F11F25">
            <w:pPr>
              <w:pStyle w:val="Sansinterligne"/>
              <w:numPr>
                <w:ilvl w:val="0"/>
                <w:numId w:val="1398"/>
              </w:numPr>
            </w:pPr>
            <w:r w:rsidRPr="00AB651C">
              <w:rPr>
                <w:highlight w:val="yellow"/>
              </w:rPr>
              <w:t xml:space="preserve">Germes : </w:t>
            </w:r>
            <w:r w:rsidRPr="00416106">
              <w:rPr>
                <w:i/>
                <w:highlight w:val="yellow"/>
              </w:rPr>
              <w:t>E. Coli; Salmonelle; Shigella; Giardia</w:t>
            </w:r>
            <w:r w:rsidRPr="00AB651C">
              <w:rPr>
                <w:highlight w:val="yellow"/>
              </w:rPr>
              <w:t xml:space="preserve">, etc. </w:t>
            </w:r>
            <w:r w:rsidR="0085385D">
              <w:rPr>
                <w:rFonts w:ascii="Century Gothic" w:hAnsi="Century Gothic"/>
                <w:highlight w:val="yellow"/>
              </w:rPr>
              <w:t>→</w:t>
            </w:r>
            <w:r w:rsidR="0085385D">
              <w:rPr>
                <w:highlight w:val="yellow"/>
              </w:rPr>
              <w:t xml:space="preserve"> </w:t>
            </w:r>
            <w:r w:rsidRPr="00AB651C">
              <w:rPr>
                <w:highlight w:val="yellow"/>
              </w:rPr>
              <w:t>(entérites essentiellement)</w:t>
            </w:r>
          </w:p>
        </w:tc>
        <w:tc>
          <w:tcPr>
            <w:tcW w:w="5811" w:type="dxa"/>
          </w:tcPr>
          <w:p w:rsidR="00AB651C" w:rsidRPr="00AB651C" w:rsidRDefault="00AB651C" w:rsidP="00AB651C">
            <w:pPr>
              <w:pStyle w:val="Sansinterligne"/>
              <w:rPr>
                <w:b/>
              </w:rPr>
            </w:pPr>
            <w:r w:rsidRPr="00AB651C">
              <w:rPr>
                <w:b/>
              </w:rPr>
              <w:t>Contaminants chimiques</w:t>
            </w:r>
          </w:p>
          <w:p w:rsidR="00AB651C" w:rsidRDefault="00AB651C" w:rsidP="00F11F25">
            <w:pPr>
              <w:pStyle w:val="Sansinterligne"/>
              <w:numPr>
                <w:ilvl w:val="0"/>
                <w:numId w:val="1399"/>
              </w:numPr>
            </w:pPr>
            <w:r>
              <w:t xml:space="preserve">Sous-produits du chlore </w:t>
            </w:r>
            <w:r>
              <w:rPr>
                <w:rFonts w:ascii="Century Gothic" w:hAnsi="Century Gothic"/>
              </w:rPr>
              <w:t>→</w:t>
            </w:r>
            <w:r>
              <w:t xml:space="preserve"> </w:t>
            </w:r>
            <w:r>
              <w:rPr>
                <w:rFonts w:ascii="Century Gothic" w:hAnsi="Century Gothic"/>
              </w:rPr>
              <w:t xml:space="preserve">↑ </w:t>
            </w:r>
            <w:r>
              <w:t xml:space="preserve">RR </w:t>
            </w:r>
            <w:r w:rsidR="00416106">
              <w:t>cancer à haute dose</w:t>
            </w:r>
          </w:p>
          <w:p w:rsidR="00AB651C" w:rsidRDefault="00AB651C" w:rsidP="00F11F25">
            <w:pPr>
              <w:pStyle w:val="Sansinterligne"/>
              <w:numPr>
                <w:ilvl w:val="0"/>
                <w:numId w:val="1399"/>
              </w:numPr>
            </w:pPr>
            <w:r>
              <w:t>Déchets chimiques, pesticides</w:t>
            </w:r>
          </w:p>
          <w:p w:rsidR="00AB651C" w:rsidRDefault="00AB651C" w:rsidP="00F11F25">
            <w:pPr>
              <w:pStyle w:val="Sansinterligne"/>
              <w:numPr>
                <w:ilvl w:val="0"/>
                <w:numId w:val="1399"/>
              </w:numPr>
            </w:pPr>
            <w:r>
              <w:t xml:space="preserve">Fluore (en excès) </w:t>
            </w:r>
            <w:r>
              <w:rPr>
                <w:rFonts w:ascii="Century Gothic" w:hAnsi="Century Gothic"/>
              </w:rPr>
              <w:t>→</w:t>
            </w:r>
            <w:r>
              <w:t xml:space="preserve"> fluorose (rare)</w:t>
            </w:r>
          </w:p>
        </w:tc>
      </w:tr>
      <w:tr w:rsidR="00F92CD2" w:rsidTr="00416106">
        <w:trPr>
          <w:cantSplit/>
          <w:trHeight w:val="1134"/>
        </w:trPr>
        <w:tc>
          <w:tcPr>
            <w:tcW w:w="250" w:type="dxa"/>
            <w:shd w:val="clear" w:color="auto" w:fill="C4BC96" w:themeFill="background2" w:themeFillShade="BF"/>
            <w:textDirection w:val="btLr"/>
            <w:vAlign w:val="center"/>
          </w:tcPr>
          <w:p w:rsidR="00F92CD2" w:rsidRDefault="00F92CD2" w:rsidP="003C0DF2">
            <w:pPr>
              <w:pStyle w:val="Sansinterligne"/>
              <w:ind w:left="113" w:right="113"/>
              <w:jc w:val="center"/>
            </w:pPr>
            <w:r>
              <w:t>Sol</w:t>
            </w:r>
          </w:p>
        </w:tc>
        <w:tc>
          <w:tcPr>
            <w:tcW w:w="4820" w:type="dxa"/>
            <w:tcBorders>
              <w:right w:val="single" w:sz="4" w:space="0" w:color="FFFFFF" w:themeColor="background1"/>
            </w:tcBorders>
          </w:tcPr>
          <w:p w:rsidR="00F92CD2" w:rsidRPr="00F92CD2" w:rsidRDefault="00F92CD2" w:rsidP="00F11F25">
            <w:pPr>
              <w:pStyle w:val="Sansinterligne"/>
              <w:numPr>
                <w:ilvl w:val="0"/>
                <w:numId w:val="1400"/>
              </w:numPr>
              <w:rPr>
                <w:highlight w:val="yellow"/>
              </w:rPr>
            </w:pPr>
            <w:r w:rsidRPr="00F92CD2">
              <w:rPr>
                <w:noProof/>
                <w:highlight w:val="yellow"/>
                <w:lang w:eastAsia="fr-CA"/>
              </w:rPr>
              <mc:AlternateContent>
                <mc:Choice Requires="wps">
                  <w:drawing>
                    <wp:anchor distT="0" distB="0" distL="114300" distR="114300" simplePos="0" relativeHeight="252166144" behindDoc="0" locked="0" layoutInCell="1" allowOverlap="1" wp14:anchorId="425826BD" wp14:editId="4AD2FE3F">
                      <wp:simplePos x="0" y="0"/>
                      <wp:positionH relativeFrom="column">
                        <wp:posOffset>2700871</wp:posOffset>
                      </wp:positionH>
                      <wp:positionV relativeFrom="paragraph">
                        <wp:posOffset>91440</wp:posOffset>
                      </wp:positionV>
                      <wp:extent cx="262647" cy="554477"/>
                      <wp:effectExtent l="0" t="0" r="23495" b="17145"/>
                      <wp:wrapNone/>
                      <wp:docPr id="641" name="Accolade fermante 641"/>
                      <wp:cNvGraphicFramePr/>
                      <a:graphic xmlns:a="http://schemas.openxmlformats.org/drawingml/2006/main">
                        <a:graphicData uri="http://schemas.microsoft.com/office/word/2010/wordprocessingShape">
                          <wps:wsp>
                            <wps:cNvSpPr/>
                            <wps:spPr>
                              <a:xfrm>
                                <a:off x="0" y="0"/>
                                <a:ext cx="262647" cy="554477"/>
                              </a:xfrm>
                              <a:prstGeom prst="rightBrace">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ccolade fermante 641" o:spid="_x0000_s1026" type="#_x0000_t88" style="position:absolute;margin-left:212.65pt;margin-top:7.2pt;width:20.7pt;height:43.65pt;z-index:2521661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" adj="853" strokecolor="black [3040]"/>
                  </w:pict>
                </mc:Fallback>
              </mc:AlternateContent>
            </w:r>
            <w:r w:rsidRPr="00F92CD2">
              <w:rPr>
                <w:highlight w:val="yellow"/>
              </w:rPr>
              <w:t>Déversements pétroliers</w:t>
            </w:r>
          </w:p>
          <w:p w:rsidR="00F92CD2" w:rsidRPr="00F92CD2" w:rsidRDefault="00F92CD2" w:rsidP="00F11F25">
            <w:pPr>
              <w:pStyle w:val="Sansinterligne"/>
              <w:numPr>
                <w:ilvl w:val="0"/>
                <w:numId w:val="1400"/>
              </w:numPr>
              <w:rPr>
                <w:highlight w:val="yellow"/>
              </w:rPr>
            </w:pPr>
            <w:r w:rsidRPr="00F92CD2">
              <w:rPr>
                <w:highlight w:val="yellow"/>
              </w:rPr>
              <w:t>Pesticides</w:t>
            </w:r>
          </w:p>
          <w:p w:rsidR="00F92CD2" w:rsidRDefault="00F92CD2" w:rsidP="00F11F25">
            <w:pPr>
              <w:pStyle w:val="Sansinterligne"/>
              <w:numPr>
                <w:ilvl w:val="0"/>
                <w:numId w:val="1400"/>
              </w:numPr>
            </w:pPr>
            <w:r>
              <w:t>Ruptures de réservoirs sous-terrain</w:t>
            </w:r>
          </w:p>
          <w:p w:rsidR="00F92CD2" w:rsidRDefault="00F92CD2" w:rsidP="00F11F25">
            <w:pPr>
              <w:pStyle w:val="Sansinterligne"/>
              <w:numPr>
                <w:ilvl w:val="0"/>
                <w:numId w:val="1400"/>
              </w:numPr>
            </w:pPr>
            <w:r>
              <w:t>Eaux usés, dépotoirs</w:t>
            </w:r>
          </w:p>
        </w:tc>
        <w:tc>
          <w:tcPr>
            <w:tcW w:w="5811" w:type="dxa"/>
            <w:tcBorders>
              <w:left w:val="single" w:sz="4" w:space="0" w:color="FFFFFF" w:themeColor="background1"/>
            </w:tcBorders>
          </w:tcPr>
          <w:p w:rsidR="00F92CD2" w:rsidRPr="00F92CD2" w:rsidRDefault="00F92CD2" w:rsidP="0077141B">
            <w:pPr>
              <w:pStyle w:val="Sansinterligne"/>
              <w:rPr>
                <w:u w:val="single"/>
              </w:rPr>
            </w:pPr>
            <w:r w:rsidRPr="00F92CD2">
              <w:rPr>
                <w:u w:val="single"/>
              </w:rPr>
              <w:t>Dépendamment du contaminant</w:t>
            </w:r>
          </w:p>
          <w:p w:rsidR="00F92CD2" w:rsidRDefault="00F92CD2" w:rsidP="0077141B">
            <w:pPr>
              <w:pStyle w:val="Sansinterligne"/>
            </w:pPr>
            <w:r>
              <w:t>Leucémie, IRA, atteinte hépatique, dommage au SNC, dermatite, prurit oculaire, NO/VO, céphalées etc.</w:t>
            </w:r>
          </w:p>
          <w:p w:rsidR="00F92CD2" w:rsidRDefault="00F92CD2" w:rsidP="0077141B">
            <w:pPr>
              <w:pStyle w:val="Sansinterligne"/>
            </w:pPr>
            <w:r>
              <w:t>Jeunes enfants plus à risque (comportements oraux)</w:t>
            </w:r>
          </w:p>
        </w:tc>
      </w:tr>
      <w:tr w:rsidR="000515EF" w:rsidTr="00B73086">
        <w:trPr>
          <w:cantSplit/>
          <w:trHeight w:val="1134"/>
        </w:trPr>
        <w:tc>
          <w:tcPr>
            <w:tcW w:w="250" w:type="dxa"/>
            <w:vMerge w:val="restart"/>
            <w:shd w:val="clear" w:color="auto" w:fill="C4BC96" w:themeFill="background2" w:themeFillShade="BF"/>
            <w:textDirection w:val="btLr"/>
            <w:vAlign w:val="center"/>
          </w:tcPr>
          <w:p w:rsidR="000515EF" w:rsidRDefault="000515EF" w:rsidP="003C0DF2">
            <w:pPr>
              <w:pStyle w:val="Sansinterligne"/>
              <w:ind w:left="113" w:right="113"/>
              <w:jc w:val="center"/>
            </w:pPr>
            <w:r>
              <w:t>Aliments</w:t>
            </w:r>
          </w:p>
        </w:tc>
        <w:tc>
          <w:tcPr>
            <w:tcW w:w="10631" w:type="dxa"/>
            <w:gridSpan w:val="2"/>
            <w:shd w:val="clear" w:color="auto" w:fill="FFFF00"/>
          </w:tcPr>
          <w:p w:rsidR="000515EF" w:rsidRPr="000515EF" w:rsidRDefault="000515EF" w:rsidP="0077141B">
            <w:pPr>
              <w:pStyle w:val="Sansinterligne"/>
              <w:rPr>
                <w:b/>
              </w:rPr>
            </w:pPr>
            <w:r w:rsidRPr="000515EF">
              <w:rPr>
                <w:b/>
              </w:rPr>
              <w:t>Contaminants biologiques</w:t>
            </w:r>
          </w:p>
          <w:p w:rsidR="000515EF" w:rsidRDefault="000515EF" w:rsidP="00F11F25">
            <w:pPr>
              <w:pStyle w:val="Sansinterligne"/>
              <w:numPr>
                <w:ilvl w:val="0"/>
                <w:numId w:val="1402"/>
              </w:numPr>
            </w:pPr>
            <w:r w:rsidRPr="00B73086">
              <w:rPr>
                <w:i/>
              </w:rPr>
              <w:t>Salmonella</w:t>
            </w:r>
            <w:r>
              <w:t xml:space="preserve"> (œufs crus, poulet, viande)</w:t>
            </w:r>
            <w:r w:rsidR="00B73086">
              <w:t xml:space="preserve"> </w:t>
            </w:r>
            <w:r w:rsidR="00B73086">
              <w:rPr>
                <w:rFonts w:ascii="Century Gothic" w:hAnsi="Century Gothic"/>
              </w:rPr>
              <w:t>→</w:t>
            </w:r>
            <w:r w:rsidR="00B73086">
              <w:t xml:space="preserve"> Sx GI</w:t>
            </w:r>
          </w:p>
          <w:p w:rsidR="000515EF" w:rsidRDefault="000515EF" w:rsidP="00F11F25">
            <w:pPr>
              <w:pStyle w:val="Sansinterligne"/>
              <w:numPr>
                <w:ilvl w:val="0"/>
                <w:numId w:val="1402"/>
              </w:numPr>
            </w:pPr>
            <w:r w:rsidRPr="00B73086">
              <w:rPr>
                <w:i/>
              </w:rPr>
              <w:t>Campylobacter</w:t>
            </w:r>
            <w:r>
              <w:t xml:space="preserve"> (poulet cru, lait cru)</w:t>
            </w:r>
            <w:r w:rsidR="00B73086">
              <w:t xml:space="preserve"> </w:t>
            </w:r>
            <w:r w:rsidR="00B73086">
              <w:rPr>
                <w:rFonts w:ascii="Century Gothic" w:hAnsi="Century Gothic"/>
              </w:rPr>
              <w:t>→</w:t>
            </w:r>
            <w:r w:rsidR="00B73086">
              <w:t xml:space="preserve"> Arthralgies, Sx GI</w:t>
            </w:r>
          </w:p>
          <w:p w:rsidR="000515EF" w:rsidRDefault="000515EF" w:rsidP="00F11F25">
            <w:pPr>
              <w:pStyle w:val="Sansinterligne"/>
              <w:numPr>
                <w:ilvl w:val="0"/>
                <w:numId w:val="1402"/>
              </w:numPr>
            </w:pPr>
            <w:r w:rsidRPr="00B73086">
              <w:rPr>
                <w:i/>
              </w:rPr>
              <w:t>Escherichia Coli</w:t>
            </w:r>
            <w:r>
              <w:t xml:space="preserve"> (viande, steak haché ma</w:t>
            </w:r>
            <w:r w:rsidR="00606438">
              <w:t>l</w:t>
            </w:r>
            <w:r>
              <w:t xml:space="preserve"> cuit)</w:t>
            </w:r>
            <w:r w:rsidR="00B73086">
              <w:t xml:space="preserve"> </w:t>
            </w:r>
            <w:r w:rsidR="00B73086">
              <w:rPr>
                <w:rFonts w:ascii="Century Gothic" w:hAnsi="Century Gothic"/>
              </w:rPr>
              <w:t>→</w:t>
            </w:r>
            <w:r w:rsidR="00B73086">
              <w:t xml:space="preserve"> diarrhée aqueuse ou sanglante, SHU</w:t>
            </w:r>
          </w:p>
          <w:p w:rsidR="000515EF" w:rsidRDefault="000515EF" w:rsidP="00F11F25">
            <w:pPr>
              <w:pStyle w:val="Sansinterligne"/>
              <w:numPr>
                <w:ilvl w:val="0"/>
                <w:numId w:val="1402"/>
              </w:numPr>
            </w:pPr>
            <w:r w:rsidRPr="00B73086">
              <w:rPr>
                <w:i/>
              </w:rPr>
              <w:t>Listeria monocytogenes</w:t>
            </w:r>
            <w:r>
              <w:t xml:space="preserve"> (Fromage non-pasteurisé, salades, charcuteries)</w:t>
            </w:r>
            <w:r w:rsidR="00B73086">
              <w:t xml:space="preserve"> </w:t>
            </w:r>
            <w:r w:rsidR="00B73086">
              <w:rPr>
                <w:rFonts w:ascii="Century Gothic" w:hAnsi="Century Gothic"/>
              </w:rPr>
              <w:t>→</w:t>
            </w:r>
            <w:r w:rsidR="00B73086">
              <w:t xml:space="preserve"> Listériose : No/Vo, céphalées, fièvre</w:t>
            </w:r>
          </w:p>
          <w:p w:rsidR="000515EF" w:rsidRDefault="00606438" w:rsidP="00F11F25">
            <w:pPr>
              <w:pStyle w:val="Sansinterligne"/>
              <w:numPr>
                <w:ilvl w:val="0"/>
                <w:numId w:val="1402"/>
              </w:numPr>
            </w:pPr>
            <w:r>
              <w:rPr>
                <w:i/>
              </w:rPr>
              <w:t xml:space="preserve">C. </w:t>
            </w:r>
            <w:r w:rsidR="000515EF" w:rsidRPr="00B73086">
              <w:rPr>
                <w:i/>
              </w:rPr>
              <w:t>botulinum</w:t>
            </w:r>
            <w:r w:rsidR="000515EF">
              <w:t xml:space="preserve"> (miel, cannage)</w:t>
            </w:r>
            <w:r w:rsidR="00B73086">
              <w:t xml:space="preserve"> </w:t>
            </w:r>
            <w:r w:rsidR="00B73086">
              <w:rPr>
                <w:rFonts w:ascii="Century Gothic" w:hAnsi="Century Gothic"/>
              </w:rPr>
              <w:t>→</w:t>
            </w:r>
            <w:r w:rsidR="00B73086">
              <w:t xml:space="preserve"> faiblesse, étourdissements, dyspnée, soif, nausée, constipation / botulisme </w:t>
            </w:r>
          </w:p>
          <w:p w:rsidR="000515EF" w:rsidRDefault="000515EF" w:rsidP="00F11F25">
            <w:pPr>
              <w:pStyle w:val="Sansinterligne"/>
              <w:numPr>
                <w:ilvl w:val="0"/>
                <w:numId w:val="1402"/>
              </w:numPr>
            </w:pPr>
            <w:r w:rsidRPr="00B73086">
              <w:rPr>
                <w:i/>
              </w:rPr>
              <w:t xml:space="preserve">Prion </w:t>
            </w:r>
            <w:r>
              <w:t>(bœuf)</w:t>
            </w:r>
            <w:r w:rsidR="00B73086">
              <w:t xml:space="preserve"> </w:t>
            </w:r>
            <w:r w:rsidR="00B73086">
              <w:rPr>
                <w:rFonts w:ascii="Century Gothic" w:hAnsi="Century Gothic"/>
              </w:rPr>
              <w:t>→</w:t>
            </w:r>
            <w:r w:rsidR="00B73086">
              <w:t xml:space="preserve"> Maladie de Creutzfeldt-Jakob</w:t>
            </w:r>
          </w:p>
        </w:tc>
      </w:tr>
      <w:tr w:rsidR="00C0708D" w:rsidTr="009901E7">
        <w:trPr>
          <w:cantSplit/>
          <w:trHeight w:val="1134"/>
        </w:trPr>
        <w:tc>
          <w:tcPr>
            <w:tcW w:w="250" w:type="dxa"/>
            <w:vMerge/>
            <w:shd w:val="clear" w:color="auto" w:fill="C4BC96" w:themeFill="background2" w:themeFillShade="BF"/>
            <w:textDirection w:val="btLr"/>
            <w:vAlign w:val="center"/>
          </w:tcPr>
          <w:p w:rsidR="00C0708D" w:rsidRDefault="00C0708D" w:rsidP="003C0DF2">
            <w:pPr>
              <w:pStyle w:val="Sansinterligne"/>
              <w:ind w:left="113" w:right="113"/>
              <w:jc w:val="center"/>
            </w:pPr>
          </w:p>
        </w:tc>
        <w:tc>
          <w:tcPr>
            <w:tcW w:w="10631" w:type="dxa"/>
            <w:gridSpan w:val="2"/>
          </w:tcPr>
          <w:p w:rsidR="00C0708D" w:rsidRDefault="00C0708D" w:rsidP="0077141B">
            <w:pPr>
              <w:pStyle w:val="Sansinterligne"/>
              <w:rPr>
                <w:b/>
              </w:rPr>
            </w:pPr>
            <w:r w:rsidRPr="00B73086">
              <w:rPr>
                <w:b/>
              </w:rPr>
              <w:t>Contaminants chimiques</w:t>
            </w:r>
          </w:p>
          <w:p w:rsidR="00C0708D" w:rsidRPr="00C0708D" w:rsidRDefault="00C0708D" w:rsidP="00F11F25">
            <w:pPr>
              <w:pStyle w:val="Sansinterligne"/>
              <w:numPr>
                <w:ilvl w:val="0"/>
                <w:numId w:val="1401"/>
              </w:numPr>
            </w:pPr>
            <w:r w:rsidRPr="00C0708D">
              <w:t>Médicaments (antibiotiques, hormones)</w:t>
            </w:r>
          </w:p>
          <w:p w:rsidR="00C0708D" w:rsidRPr="00C0708D" w:rsidRDefault="00C0708D" w:rsidP="00F11F25">
            <w:pPr>
              <w:pStyle w:val="Sansinterligne"/>
              <w:numPr>
                <w:ilvl w:val="0"/>
                <w:numId w:val="1401"/>
              </w:numPr>
            </w:pPr>
            <w:r w:rsidRPr="00C0708D">
              <w:t>Nitrites, sul</w:t>
            </w:r>
            <w:r>
              <w:t>f</w:t>
            </w:r>
            <w:r w:rsidRPr="00C0708D">
              <w:t>ites</w:t>
            </w:r>
            <w:r>
              <w:t xml:space="preserve"> </w:t>
            </w:r>
            <w:r>
              <w:rPr>
                <w:rFonts w:ascii="Century Gothic" w:hAnsi="Century Gothic"/>
              </w:rPr>
              <w:t xml:space="preserve">→ </w:t>
            </w:r>
            <w:r w:rsidRPr="00C0708D">
              <w:rPr>
                <w:rFonts w:cs="Times New Roman"/>
              </w:rPr>
              <w:t>carcinogènes,  allergie</w:t>
            </w:r>
            <w:r>
              <w:rPr>
                <w:rFonts w:cs="Times New Roman"/>
              </w:rPr>
              <w:t xml:space="preserve"> aux sulfites</w:t>
            </w:r>
            <w:r w:rsidRPr="00C0708D">
              <w:rPr>
                <w:rFonts w:cs="Times New Roman"/>
              </w:rPr>
              <w:t xml:space="preserve"> (urticaire, nausée, choc)</w:t>
            </w:r>
          </w:p>
          <w:p w:rsidR="00C0708D" w:rsidRDefault="00C0708D" w:rsidP="00F11F25">
            <w:pPr>
              <w:pStyle w:val="Sansinterligne"/>
              <w:numPr>
                <w:ilvl w:val="0"/>
                <w:numId w:val="1401"/>
              </w:numPr>
            </w:pPr>
            <w:r>
              <w:t xml:space="preserve">Pesticide </w:t>
            </w:r>
          </w:p>
          <w:p w:rsidR="00D722DE" w:rsidRDefault="00B2480A" w:rsidP="00F11F25">
            <w:pPr>
              <w:pStyle w:val="Sansinterligne"/>
              <w:numPr>
                <w:ilvl w:val="0"/>
                <w:numId w:val="1401"/>
              </w:numPr>
            </w:pPr>
            <w:r>
              <w:rPr>
                <w:noProof/>
                <w:lang w:eastAsia="fr-CA"/>
              </w:rPr>
              <w:drawing>
                <wp:anchor distT="0" distB="0" distL="114300" distR="114300" simplePos="0" relativeHeight="252167168" behindDoc="1" locked="0" layoutInCell="1" allowOverlap="1" wp14:anchorId="1F561D55" wp14:editId="45AFFCA7">
                  <wp:simplePos x="0" y="0"/>
                  <wp:positionH relativeFrom="column">
                    <wp:posOffset>3827929</wp:posOffset>
                  </wp:positionH>
                  <wp:positionV relativeFrom="paragraph">
                    <wp:posOffset>77956</wp:posOffset>
                  </wp:positionV>
                  <wp:extent cx="3161665" cy="2665095"/>
                  <wp:effectExtent l="0" t="0" r="635" b="1905"/>
                  <wp:wrapNone/>
                  <wp:docPr id="642" name="Image 642" descr="Résultats de recherche d'images pour « santé environnementa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Résultats de recherche d'images pour « santé environnementale »"/>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3161665" cy="2665095"/>
                          </a:xfrm>
                          <a:prstGeom prst="rect">
                            <a:avLst/>
                          </a:prstGeom>
                          <a:noFill/>
                          <a:ln>
                            <a:noFill/>
                          </a:ln>
                        </pic:spPr>
                      </pic:pic>
                    </a:graphicData>
                  </a:graphic>
                  <wp14:sizeRelH relativeFrom="page">
                    <wp14:pctWidth>0</wp14:pctWidth>
                  </wp14:sizeRelH>
                  <wp14:sizeRelV relativeFrom="page">
                    <wp14:pctHeight>0</wp14:pctHeight>
                  </wp14:sizeRelV>
                </wp:anchor>
              </w:drawing>
            </w:r>
            <w:r w:rsidR="00D722DE">
              <w:t xml:space="preserve">Mercure (chaîne alimentaire </w:t>
            </w:r>
            <w:r w:rsidR="00D722DE">
              <w:rPr>
                <w:rFonts w:ascii="Century Gothic" w:hAnsi="Century Gothic"/>
              </w:rPr>
              <w:t>→</w:t>
            </w:r>
            <w:r w:rsidR="00D722DE">
              <w:t xml:space="preserve"> poissons prédateurs)</w:t>
            </w:r>
          </w:p>
        </w:tc>
      </w:tr>
    </w:tbl>
    <w:p w:rsidR="00CC36A1" w:rsidRDefault="00CC36A1" w:rsidP="0077141B">
      <w:pPr>
        <w:pStyle w:val="Sansinterligne"/>
      </w:pPr>
    </w:p>
    <w:p w:rsidR="00CC36A1" w:rsidRPr="00306B3D" w:rsidRDefault="00CC36A1" w:rsidP="0077141B">
      <w:pPr>
        <w:pStyle w:val="Sansinterligne"/>
        <w:rPr>
          <w:b/>
          <w:sz w:val="28"/>
          <w:szCs w:val="28"/>
        </w:rPr>
      </w:pPr>
      <w:r w:rsidRPr="00306B3D">
        <w:rPr>
          <w:b/>
          <w:sz w:val="28"/>
          <w:szCs w:val="28"/>
        </w:rPr>
        <w:t>Prévention de l’exposition</w:t>
      </w:r>
    </w:p>
    <w:p w:rsidR="00CC36A1" w:rsidRDefault="00CC36A1" w:rsidP="0077141B">
      <w:pPr>
        <w:pStyle w:val="Sansinterligne"/>
      </w:pPr>
    </w:p>
    <w:p w:rsidR="00CC36A1" w:rsidRPr="00306B3D" w:rsidRDefault="00CC36A1" w:rsidP="0077141B">
      <w:pPr>
        <w:pStyle w:val="Sansinterligne"/>
        <w:rPr>
          <w:highlight w:val="yellow"/>
          <w:u w:val="single"/>
        </w:rPr>
      </w:pPr>
      <w:r w:rsidRPr="00306B3D">
        <w:rPr>
          <w:highlight w:val="yellow"/>
          <w:u w:val="single"/>
        </w:rPr>
        <w:t>Radiations</w:t>
      </w:r>
    </w:p>
    <w:p w:rsidR="00CC36A1" w:rsidRPr="00306B3D" w:rsidRDefault="00CC36A1" w:rsidP="00F11F25">
      <w:pPr>
        <w:pStyle w:val="Sansinterligne"/>
        <w:numPr>
          <w:ilvl w:val="0"/>
          <w:numId w:val="1403"/>
        </w:numPr>
        <w:rPr>
          <w:highlight w:val="yellow"/>
        </w:rPr>
      </w:pPr>
      <w:r w:rsidRPr="00306B3D">
        <w:rPr>
          <w:highlight w:val="yellow"/>
        </w:rPr>
        <w:t>Crème solaire (prévient l’exposition aux UV)</w:t>
      </w:r>
      <w:r w:rsidR="00B2480A" w:rsidRPr="00B2480A">
        <w:t xml:space="preserve"> </w:t>
      </w:r>
    </w:p>
    <w:p w:rsidR="00D722DE" w:rsidRPr="00306B3D" w:rsidRDefault="00D722DE" w:rsidP="00F11F25">
      <w:pPr>
        <w:pStyle w:val="Sansinterligne"/>
        <w:numPr>
          <w:ilvl w:val="0"/>
          <w:numId w:val="1403"/>
        </w:numPr>
        <w:rPr>
          <w:highlight w:val="yellow"/>
        </w:rPr>
      </w:pPr>
      <w:r w:rsidRPr="00306B3D">
        <w:rPr>
          <w:highlight w:val="yellow"/>
        </w:rPr>
        <w:t>Chasse-moustique (prévient l’exposition aux vecteurs de maladie)</w:t>
      </w:r>
    </w:p>
    <w:p w:rsidR="00D722DE" w:rsidRPr="00306B3D" w:rsidRDefault="00D722DE" w:rsidP="00F11F25">
      <w:pPr>
        <w:pStyle w:val="Sansinterligne"/>
        <w:numPr>
          <w:ilvl w:val="0"/>
          <w:numId w:val="1403"/>
        </w:numPr>
        <w:rPr>
          <w:highlight w:val="yellow"/>
        </w:rPr>
      </w:pPr>
      <w:r w:rsidRPr="00306B3D">
        <w:rPr>
          <w:highlight w:val="yellow"/>
        </w:rPr>
        <w:t>Cache-oreille ou isolation de la source (prévention de la surdité)</w:t>
      </w:r>
    </w:p>
    <w:p w:rsidR="00306B3D" w:rsidRPr="00306B3D" w:rsidRDefault="00306B3D" w:rsidP="00306B3D">
      <w:pPr>
        <w:pStyle w:val="Sansinterligne"/>
        <w:rPr>
          <w:highlight w:val="yellow"/>
          <w:u w:val="single"/>
        </w:rPr>
      </w:pPr>
      <w:r w:rsidRPr="00306B3D">
        <w:rPr>
          <w:highlight w:val="yellow"/>
          <w:u w:val="single"/>
        </w:rPr>
        <w:t>Contaminants chimiques</w:t>
      </w:r>
    </w:p>
    <w:p w:rsidR="00D722DE" w:rsidRPr="00306B3D" w:rsidRDefault="00D722DE" w:rsidP="00F11F25">
      <w:pPr>
        <w:pStyle w:val="Sansinterligne"/>
        <w:numPr>
          <w:ilvl w:val="0"/>
          <w:numId w:val="1403"/>
        </w:numPr>
        <w:rPr>
          <w:highlight w:val="yellow"/>
        </w:rPr>
      </w:pPr>
      <w:r w:rsidRPr="00306B3D">
        <w:rPr>
          <w:highlight w:val="yellow"/>
        </w:rPr>
        <w:t>Chauffage électrique (contribue à réduire la production de smog)</w:t>
      </w:r>
    </w:p>
    <w:p w:rsidR="00D722DE" w:rsidRPr="00306B3D" w:rsidRDefault="00D722DE" w:rsidP="00F11F25">
      <w:pPr>
        <w:pStyle w:val="Sansinterligne"/>
        <w:numPr>
          <w:ilvl w:val="0"/>
          <w:numId w:val="1403"/>
        </w:numPr>
        <w:rPr>
          <w:highlight w:val="yellow"/>
        </w:rPr>
      </w:pPr>
      <w:r w:rsidRPr="00306B3D">
        <w:rPr>
          <w:highlight w:val="yellow"/>
        </w:rPr>
        <w:t>Arrêt tabagique (protège les proches contre la fumée secondaire)</w:t>
      </w:r>
    </w:p>
    <w:p w:rsidR="00306B3D" w:rsidRPr="00306B3D" w:rsidRDefault="00306B3D" w:rsidP="00306B3D">
      <w:pPr>
        <w:pStyle w:val="Sansinterligne"/>
        <w:rPr>
          <w:highlight w:val="yellow"/>
          <w:u w:val="single"/>
        </w:rPr>
      </w:pPr>
      <w:r w:rsidRPr="00306B3D">
        <w:rPr>
          <w:highlight w:val="yellow"/>
          <w:u w:val="single"/>
        </w:rPr>
        <w:t>Contaminants biologiques</w:t>
      </w:r>
    </w:p>
    <w:p w:rsidR="00D722DE" w:rsidRPr="00306B3D" w:rsidRDefault="00D722DE" w:rsidP="00F11F25">
      <w:pPr>
        <w:pStyle w:val="Sansinterligne"/>
        <w:numPr>
          <w:ilvl w:val="0"/>
          <w:numId w:val="1403"/>
        </w:numPr>
        <w:rPr>
          <w:highlight w:val="yellow"/>
        </w:rPr>
      </w:pPr>
      <w:r w:rsidRPr="00306B3D">
        <w:rPr>
          <w:highlight w:val="yellow"/>
        </w:rPr>
        <w:t>Ventilation adéquate (réduit les milieux favorables aux moisissures)</w:t>
      </w:r>
    </w:p>
    <w:p w:rsidR="00306B3D" w:rsidRPr="00306B3D" w:rsidRDefault="00306B3D" w:rsidP="00F11F25">
      <w:pPr>
        <w:pStyle w:val="Sansinterligne"/>
        <w:numPr>
          <w:ilvl w:val="0"/>
          <w:numId w:val="1403"/>
        </w:numPr>
        <w:rPr>
          <w:highlight w:val="yellow"/>
        </w:rPr>
      </w:pPr>
      <w:r w:rsidRPr="00306B3D">
        <w:rPr>
          <w:highlight w:val="yellow"/>
        </w:rPr>
        <w:t>Bien cuire les aliments</w:t>
      </w:r>
    </w:p>
    <w:p w:rsidR="00306B3D" w:rsidRPr="00306B3D" w:rsidRDefault="00306B3D" w:rsidP="00F11F25">
      <w:pPr>
        <w:pStyle w:val="Sansinterligne"/>
        <w:numPr>
          <w:ilvl w:val="0"/>
          <w:numId w:val="1403"/>
        </w:numPr>
        <w:rPr>
          <w:highlight w:val="yellow"/>
        </w:rPr>
      </w:pPr>
      <w:r w:rsidRPr="00306B3D">
        <w:rPr>
          <w:highlight w:val="yellow"/>
        </w:rPr>
        <w:t>Éviter les produits non-pasteurisés et les charcuteries chez la femme enceinte et le jeune enfant</w:t>
      </w:r>
    </w:p>
    <w:p w:rsidR="0077141B" w:rsidRDefault="0077141B" w:rsidP="0077141B">
      <w:pPr>
        <w:pStyle w:val="Sansinterligne"/>
      </w:pPr>
    </w:p>
    <w:p w:rsidR="00306B3D" w:rsidRDefault="00306B3D" w:rsidP="0077141B">
      <w:pPr>
        <w:pStyle w:val="Sansinterligne"/>
      </w:pPr>
      <w:r w:rsidRPr="00306B3D">
        <w:rPr>
          <w:highlight w:val="yellow"/>
        </w:rPr>
        <w:t>Il faut être en mesure de répondre aux questions des patients et de leur expliquer en des termes simples les risques d’exposition et formuler d</w:t>
      </w:r>
      <w:r w:rsidR="00606438">
        <w:rPr>
          <w:highlight w:val="yellow"/>
        </w:rPr>
        <w:t xml:space="preserve">es recommandations comme celles </w:t>
      </w:r>
      <w:r w:rsidRPr="00306B3D">
        <w:rPr>
          <w:highlight w:val="yellow"/>
        </w:rPr>
        <w:t>ci</w:t>
      </w:r>
      <w:r w:rsidR="00606438">
        <w:rPr>
          <w:highlight w:val="yellow"/>
        </w:rPr>
        <w:t>-</w:t>
      </w:r>
      <w:r w:rsidRPr="00306B3D">
        <w:rPr>
          <w:highlight w:val="yellow"/>
        </w:rPr>
        <w:t>haut afin de prévenir le développement de maladies environnementales ou d’en réduire les symptômes.</w:t>
      </w:r>
    </w:p>
    <w:p w:rsidR="00306B3D" w:rsidRDefault="00306B3D" w:rsidP="0077141B">
      <w:pPr>
        <w:pStyle w:val="Sansinterligne"/>
      </w:pPr>
    </w:p>
    <w:p w:rsidR="00306B3D" w:rsidRDefault="00306B3D" w:rsidP="0077141B">
      <w:pPr>
        <w:pStyle w:val="Sansinterligne"/>
      </w:pPr>
      <w:r>
        <w:t>Sur le plan légal, la règlementation et le maintien d’un environnement sain dépend de la santé publique, des municipalités (gestion des déchets, des eaux usés, de l’aqueduc), des gouvernements québécois et fédéral (normes environnementales, règlementation alimentaire (Santé Canada)</w:t>
      </w:r>
      <w:r w:rsidR="00606438">
        <w:t>)</w:t>
      </w:r>
      <w:r>
        <w:t xml:space="preserve"> et au niveau climatique, des grandes ententes et protocoles internationaux.</w:t>
      </w:r>
    </w:p>
    <w:p w:rsidR="00306B3D" w:rsidRDefault="00B2480A" w:rsidP="0077141B">
      <w:pPr>
        <w:pStyle w:val="Sansinterligne"/>
      </w:pPr>
      <w:r>
        <w:rPr>
          <w:noProof/>
          <w:lang w:eastAsia="fr-CA"/>
        </w:rPr>
        <w:drawing>
          <wp:anchor distT="0" distB="0" distL="114300" distR="114300" simplePos="0" relativeHeight="252168192" behindDoc="0" locked="0" layoutInCell="1" allowOverlap="1" wp14:anchorId="74C1AD34" wp14:editId="451EA538">
            <wp:simplePos x="0" y="0"/>
            <wp:positionH relativeFrom="column">
              <wp:posOffset>436880</wp:posOffset>
            </wp:positionH>
            <wp:positionV relativeFrom="paragraph">
              <wp:posOffset>56515</wp:posOffset>
            </wp:positionV>
            <wp:extent cx="6003925" cy="1553845"/>
            <wp:effectExtent l="0" t="0" r="0" b="8255"/>
            <wp:wrapNone/>
            <wp:docPr id="643" name="Image 643" descr="Résultats de recherche d'images pour « santé environnementa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Résultats de recherche d'images pour « santé environnementale »"/>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6003925" cy="15538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06B3D" w:rsidRDefault="00306B3D" w:rsidP="0077141B">
      <w:pPr>
        <w:pStyle w:val="Sansinterligne"/>
      </w:pPr>
    </w:p>
    <w:p w:rsidR="00306B3D" w:rsidRDefault="00306B3D" w:rsidP="0077141B">
      <w:pPr>
        <w:pStyle w:val="Sansinterligne"/>
      </w:pPr>
    </w:p>
    <w:p w:rsidR="00306B3D" w:rsidRDefault="00306B3D">
      <w:pPr>
        <w:rPr>
          <w:rFonts w:cs="Times New Roman"/>
          <w:b/>
          <w:color w:val="548DD4" w:themeColor="text2" w:themeTint="99"/>
        </w:rPr>
      </w:pPr>
      <w:r>
        <w:rPr>
          <w:rFonts w:cs="Times New Roman"/>
          <w:b/>
          <w:color w:val="548DD4" w:themeColor="text2" w:themeTint="99"/>
        </w:rPr>
        <w:br w:type="page"/>
      </w:r>
    </w:p>
    <w:p w:rsidR="0077141B" w:rsidRDefault="0077141B" w:rsidP="00D859AA">
      <w:pPr>
        <w:spacing w:after="0"/>
        <w:rPr>
          <w:rFonts w:cs="Times New Roman"/>
          <w:b/>
          <w:color w:val="548DD4" w:themeColor="text2" w:themeTint="99"/>
        </w:rPr>
      </w:pPr>
      <w:r>
        <w:rPr>
          <w:rFonts w:cs="Times New Roman"/>
          <w:b/>
          <w:color w:val="548DD4" w:themeColor="text2" w:themeTint="99"/>
        </w:rPr>
        <w:t>CMC 78-7</w:t>
      </w:r>
    </w:p>
    <w:p w:rsidR="0077141B" w:rsidRPr="0077141B" w:rsidRDefault="0077141B" w:rsidP="0077141B">
      <w:pPr>
        <w:pStyle w:val="Titre3"/>
        <w:spacing w:before="0"/>
        <w:rPr>
          <w:rFonts w:ascii="Times New Roman" w:hAnsi="Times New Roman" w:cs="Times New Roman"/>
        </w:rPr>
      </w:pPr>
      <w:bookmarkStart w:id="281" w:name="_Toc480797316"/>
      <w:r w:rsidRPr="0077141B">
        <w:rPr>
          <w:rFonts w:ascii="Times New Roman" w:hAnsi="Times New Roman" w:cs="Times New Roman"/>
        </w:rPr>
        <w:t>Santé de populations particulières</w:t>
      </w:r>
      <w:bookmarkEnd w:id="281"/>
    </w:p>
    <w:tbl>
      <w:tblPr>
        <w:tblW w:w="3858" w:type="pct"/>
        <w:tblCellSpacing w:w="0" w:type="dxa"/>
        <w:tblCellMar>
          <w:left w:w="0" w:type="dxa"/>
          <w:right w:w="0" w:type="dxa"/>
        </w:tblCellMar>
        <w:tblLook w:val="04A0" w:firstRow="1" w:lastRow="0" w:firstColumn="1" w:lastColumn="0" w:noHBand="0" w:noVBand="1"/>
      </w:tblPr>
      <w:tblGrid>
        <w:gridCol w:w="8333"/>
      </w:tblGrid>
      <w:tr w:rsidR="0077141B" w:rsidRPr="0077141B" w:rsidTr="0077141B">
        <w:trPr>
          <w:tblCellSpacing w:w="0" w:type="dxa"/>
        </w:trPr>
        <w:tc>
          <w:tcPr>
            <w:tcW w:w="0" w:type="auto"/>
            <w:vAlign w:val="bottom"/>
            <w:hideMark/>
          </w:tcPr>
          <w:p w:rsidR="0077141B" w:rsidRPr="0077141B" w:rsidRDefault="0077141B" w:rsidP="0077141B">
            <w:pPr>
              <w:pStyle w:val="Sansinterligne"/>
              <w:spacing w:before="240"/>
              <w:rPr>
                <w:rFonts w:cs="Times New Roman"/>
                <w:b/>
                <w:sz w:val="18"/>
                <w:szCs w:val="18"/>
              </w:rPr>
            </w:pPr>
            <w:r>
              <w:rPr>
                <w:rFonts w:cs="Times New Roman"/>
                <w:b/>
                <w:noProof/>
                <w:sz w:val="18"/>
                <w:szCs w:val="18"/>
                <w:lang w:eastAsia="fr-CA"/>
              </w:rPr>
              <mc:AlternateContent>
                <mc:Choice Requires="wps">
                  <w:drawing>
                    <wp:anchor distT="0" distB="0" distL="114300" distR="114300" simplePos="0" relativeHeight="252149760" behindDoc="0" locked="0" layoutInCell="1" allowOverlap="1" wp14:anchorId="43B51C9A" wp14:editId="16170FD2">
                      <wp:simplePos x="0" y="0"/>
                      <wp:positionH relativeFrom="column">
                        <wp:posOffset>-58366</wp:posOffset>
                      </wp:positionH>
                      <wp:positionV relativeFrom="paragraph">
                        <wp:posOffset>94953</wp:posOffset>
                      </wp:positionV>
                      <wp:extent cx="6906638" cy="8424153"/>
                      <wp:effectExtent l="0" t="0" r="27940" b="15240"/>
                      <wp:wrapNone/>
                      <wp:docPr id="620" name="Rectangle 620"/>
                      <wp:cNvGraphicFramePr/>
                      <a:graphic xmlns:a="http://schemas.openxmlformats.org/drawingml/2006/main">
                        <a:graphicData uri="http://schemas.microsoft.com/office/word/2010/wordprocessingShape">
                          <wps:wsp>
                            <wps:cNvSpPr/>
                            <wps:spPr>
                              <a:xfrm>
                                <a:off x="0" y="0"/>
                                <a:ext cx="6906638" cy="8424153"/>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620" o:spid="_x0000_s1026" style="position:absolute;margin-left:-4.6pt;margin-top:7.5pt;width:543.85pt;height:663.3pt;z-index:2521497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" filled="f" strokecolor="black [1600]" strokeweight="2pt"/>
                  </w:pict>
                </mc:Fallback>
              </mc:AlternateContent>
            </w:r>
            <w:r w:rsidRPr="0077141B">
              <w:rPr>
                <w:rFonts w:cs="Times New Roman"/>
                <w:b/>
                <w:sz w:val="18"/>
                <w:szCs w:val="18"/>
              </w:rPr>
              <w:t>Objectifs principaux</w:t>
            </w:r>
          </w:p>
        </w:tc>
      </w:tr>
    </w:tbl>
    <w:p w:rsidR="0077141B" w:rsidRPr="0077141B" w:rsidRDefault="0077141B" w:rsidP="0077141B">
      <w:pPr>
        <w:numPr>
          <w:ilvl w:val="0"/>
          <w:numId w:val="1375"/>
        </w:numPr>
        <w:shd w:val="clear" w:color="auto" w:fill="FFFFFF"/>
        <w:spacing w:after="100" w:afterAutospacing="1" w:line="240" w:lineRule="auto"/>
        <w:rPr>
          <w:rFonts w:cs="Times New Roman"/>
          <w:color w:val="000000"/>
          <w:sz w:val="18"/>
          <w:szCs w:val="18"/>
          <w:shd w:val="clear" w:color="auto" w:fill="FFFFFF"/>
        </w:rPr>
      </w:pPr>
      <w:r w:rsidRPr="0077141B">
        <w:rPr>
          <w:rFonts w:cs="Times New Roman"/>
          <w:color w:val="000000"/>
          <w:sz w:val="18"/>
          <w:szCs w:val="18"/>
          <w:shd w:val="clear" w:color="auto" w:fill="FFFFFF"/>
        </w:rPr>
        <w:t>Comprendre la façon dont les divers facteurs déterminants de la santé dans des populations différentes favorisent ou nuisent à leur état de santé.</w:t>
      </w:r>
    </w:p>
    <w:p w:rsidR="0077141B" w:rsidRPr="0077141B" w:rsidRDefault="0077141B" w:rsidP="0077141B">
      <w:pPr>
        <w:numPr>
          <w:ilvl w:val="0"/>
          <w:numId w:val="1375"/>
        </w:numPr>
        <w:shd w:val="clear" w:color="auto" w:fill="FFFFFF"/>
        <w:spacing w:before="100" w:beforeAutospacing="1" w:after="100" w:afterAutospacing="1" w:line="240" w:lineRule="auto"/>
        <w:rPr>
          <w:rFonts w:cs="Times New Roman"/>
          <w:color w:val="000000"/>
          <w:sz w:val="18"/>
          <w:szCs w:val="18"/>
          <w:shd w:val="clear" w:color="auto" w:fill="FFFFFF"/>
        </w:rPr>
      </w:pPr>
      <w:r w:rsidRPr="0077141B">
        <w:rPr>
          <w:rFonts w:cs="Times New Roman"/>
          <w:color w:val="000000"/>
          <w:sz w:val="18"/>
          <w:szCs w:val="18"/>
          <w:shd w:val="clear" w:color="auto" w:fill="FFFFFF"/>
        </w:rPr>
        <w:t>Étudier la façon dont les populations peuvent avoir de la difficulté à accéder à des services de santé et la façon dont les membres de la population peuvent se fier à des sources de services de santé traditionnelles ou parallèles qui ne sont pas habituellement utilisés par l'ensemble de la société.</w:t>
      </w:r>
    </w:p>
    <w:p w:rsidR="0077141B" w:rsidRPr="0077141B" w:rsidRDefault="0077141B" w:rsidP="0077141B">
      <w:pPr>
        <w:numPr>
          <w:ilvl w:val="0"/>
          <w:numId w:val="1375"/>
        </w:numPr>
        <w:shd w:val="clear" w:color="auto" w:fill="FFFFFF"/>
        <w:spacing w:before="100" w:beforeAutospacing="1" w:after="100" w:afterAutospacing="1" w:line="240" w:lineRule="auto"/>
        <w:rPr>
          <w:rFonts w:cs="Times New Roman"/>
          <w:color w:val="000000"/>
          <w:sz w:val="18"/>
          <w:szCs w:val="18"/>
          <w:shd w:val="clear" w:color="auto" w:fill="FFFFFF"/>
        </w:rPr>
      </w:pPr>
      <w:r w:rsidRPr="0077141B">
        <w:rPr>
          <w:rFonts w:cs="Times New Roman"/>
          <w:color w:val="000000"/>
          <w:sz w:val="18"/>
          <w:szCs w:val="18"/>
          <w:shd w:val="clear" w:color="auto" w:fill="FFFFFF"/>
        </w:rPr>
        <w:t>Examiner les répercussions des perspectives culturelles différentes et leur incidence sur la planification, la prestation et l'évaluation des services (tant préventifs que curatifs).</w:t>
      </w:r>
    </w:p>
    <w:p w:rsidR="0077141B" w:rsidRPr="0077141B" w:rsidRDefault="0077141B" w:rsidP="0077141B">
      <w:pPr>
        <w:numPr>
          <w:ilvl w:val="0"/>
          <w:numId w:val="1375"/>
        </w:numPr>
        <w:shd w:val="clear" w:color="auto" w:fill="FFFFFF"/>
        <w:spacing w:before="100" w:beforeAutospacing="1" w:after="100" w:afterAutospacing="1" w:line="240" w:lineRule="auto"/>
        <w:rPr>
          <w:rFonts w:cs="Times New Roman"/>
          <w:color w:val="000000"/>
          <w:sz w:val="18"/>
          <w:szCs w:val="18"/>
          <w:shd w:val="clear" w:color="auto" w:fill="FFFFFF"/>
        </w:rPr>
      </w:pPr>
      <w:r w:rsidRPr="0077141B">
        <w:rPr>
          <w:rFonts w:cs="Times New Roman"/>
          <w:color w:val="000000"/>
          <w:sz w:val="18"/>
          <w:szCs w:val="18"/>
          <w:shd w:val="clear" w:color="auto" w:fill="FFFFFF"/>
        </w:rPr>
        <w:t>Analyser la façon de prodiguer des soins adaptés à la culture des diverses populations.</w:t>
      </w:r>
    </w:p>
    <w:p w:rsidR="0077141B" w:rsidRPr="0077141B" w:rsidRDefault="0077141B" w:rsidP="0077141B">
      <w:pPr>
        <w:numPr>
          <w:ilvl w:val="0"/>
          <w:numId w:val="1375"/>
        </w:numPr>
        <w:shd w:val="clear" w:color="auto" w:fill="FFFFFF"/>
        <w:spacing w:before="100" w:beforeAutospacing="1" w:after="100" w:afterAutospacing="1" w:line="240" w:lineRule="auto"/>
        <w:rPr>
          <w:rFonts w:cs="Times New Roman"/>
          <w:color w:val="000000"/>
          <w:sz w:val="18"/>
          <w:szCs w:val="18"/>
          <w:shd w:val="clear" w:color="auto" w:fill="FFFFFF"/>
        </w:rPr>
      </w:pPr>
      <w:bookmarkStart w:id="282" w:name="Objectifsprincipaux5"/>
      <w:r w:rsidRPr="0077141B">
        <w:rPr>
          <w:rFonts w:cs="Times New Roman"/>
          <w:color w:val="000000"/>
          <w:sz w:val="18"/>
          <w:szCs w:val="18"/>
          <w:shd w:val="clear" w:color="auto" w:fill="FFFFFF"/>
        </w:rPr>
        <w:t>Examiner les rôles uniques que jouent le gouvernement, les organismes sociaux ou les groupes spéciaux (comme les centres de santé autochtones, les guérisseurs traditionnels) dans l'offre de services à la population.</w:t>
      </w:r>
    </w:p>
    <w:tbl>
      <w:tblPr>
        <w:tblW w:w="3758" w:type="pct"/>
        <w:tblCellSpacing w:w="0" w:type="dxa"/>
        <w:tblCellMar>
          <w:left w:w="0" w:type="dxa"/>
          <w:right w:w="0" w:type="dxa"/>
        </w:tblCellMar>
        <w:tblLook w:val="04A0" w:firstRow="1" w:lastRow="0" w:firstColumn="1" w:lastColumn="0" w:noHBand="0" w:noVBand="1"/>
      </w:tblPr>
      <w:tblGrid>
        <w:gridCol w:w="8117"/>
      </w:tblGrid>
      <w:tr w:rsidR="0077141B" w:rsidRPr="0077141B" w:rsidTr="0077141B">
        <w:trPr>
          <w:tblCellSpacing w:w="0" w:type="dxa"/>
        </w:trPr>
        <w:tc>
          <w:tcPr>
            <w:tcW w:w="0" w:type="auto"/>
            <w:vAlign w:val="bottom"/>
            <w:hideMark/>
          </w:tcPr>
          <w:bookmarkEnd w:id="282"/>
          <w:p w:rsidR="0077141B" w:rsidRPr="0077141B" w:rsidRDefault="0077141B" w:rsidP="0077141B">
            <w:pPr>
              <w:pStyle w:val="Sansinterligne"/>
              <w:rPr>
                <w:rFonts w:cs="Times New Roman"/>
                <w:b/>
                <w:sz w:val="15"/>
                <w:szCs w:val="15"/>
              </w:rPr>
            </w:pPr>
            <w:r w:rsidRPr="0077141B">
              <w:rPr>
                <w:rFonts w:cs="Times New Roman"/>
                <w:b/>
                <w:sz w:val="15"/>
                <w:szCs w:val="15"/>
              </w:rPr>
              <w:t>Objectifs de base</w:t>
            </w:r>
          </w:p>
        </w:tc>
      </w:tr>
    </w:tbl>
    <w:p w:rsidR="0077141B" w:rsidRPr="0077141B" w:rsidRDefault="0077141B" w:rsidP="0077141B">
      <w:pPr>
        <w:shd w:val="clear" w:color="auto" w:fill="FFFFFF"/>
        <w:rPr>
          <w:rFonts w:cs="Times New Roman"/>
          <w:vanish/>
          <w:color w:val="2C6481"/>
          <w:sz w:val="15"/>
          <w:szCs w:val="15"/>
          <w:shd w:val="clear" w:color="auto" w:fill="FFFFFF"/>
        </w:rPr>
      </w:pPr>
    </w:p>
    <w:tbl>
      <w:tblPr>
        <w:tblW w:w="5000" w:type="pct"/>
        <w:tblCellSpacing w:w="0" w:type="dxa"/>
        <w:tblCellMar>
          <w:left w:w="0" w:type="dxa"/>
          <w:right w:w="0" w:type="dxa"/>
        </w:tblCellMar>
        <w:tblLook w:val="04A0" w:firstRow="1" w:lastRow="0" w:firstColumn="1" w:lastColumn="0" w:noHBand="0" w:noVBand="1"/>
      </w:tblPr>
      <w:tblGrid>
        <w:gridCol w:w="10605"/>
        <w:gridCol w:w="195"/>
      </w:tblGrid>
      <w:tr w:rsidR="0077141B" w:rsidRPr="0077141B" w:rsidTr="0077141B">
        <w:trPr>
          <w:tblCellSpacing w:w="0" w:type="dxa"/>
        </w:trPr>
        <w:tc>
          <w:tcPr>
            <w:tcW w:w="0" w:type="auto"/>
            <w:vAlign w:val="bottom"/>
            <w:hideMark/>
          </w:tcPr>
          <w:p w:rsidR="0077141B" w:rsidRPr="0077141B" w:rsidRDefault="0077141B" w:rsidP="0077141B">
            <w:pPr>
              <w:pStyle w:val="Sansinterligne"/>
              <w:rPr>
                <w:rFonts w:cs="Times New Roman"/>
                <w:b/>
                <w:sz w:val="15"/>
                <w:szCs w:val="15"/>
              </w:rPr>
            </w:pPr>
            <w:r w:rsidRPr="0077141B">
              <w:rPr>
                <w:rFonts w:cs="Times New Roman"/>
                <w:b/>
                <w:sz w:val="15"/>
                <w:szCs w:val="15"/>
              </w:rPr>
              <w:t>Premières Nations, Inuits, Métis</w:t>
            </w:r>
          </w:p>
        </w:tc>
        <w:tc>
          <w:tcPr>
            <w:tcW w:w="0" w:type="auto"/>
            <w:vAlign w:val="bottom"/>
            <w:hideMark/>
          </w:tcPr>
          <w:p w:rsidR="0077141B" w:rsidRPr="0077141B" w:rsidRDefault="0077141B">
            <w:pPr>
              <w:jc w:val="right"/>
              <w:rPr>
                <w:rFonts w:cs="Times New Roman"/>
                <w:color w:val="000000"/>
                <w:sz w:val="15"/>
                <w:szCs w:val="15"/>
              </w:rPr>
            </w:pPr>
            <w:r w:rsidRPr="0077141B">
              <w:rPr>
                <w:rFonts w:cs="Times New Roman"/>
                <w:color w:val="000000"/>
                <w:sz w:val="15"/>
                <w:szCs w:val="15"/>
              </w:rPr>
              <w:t> </w:t>
            </w:r>
          </w:p>
        </w:tc>
      </w:tr>
    </w:tbl>
    <w:p w:rsidR="0077141B" w:rsidRPr="0077141B" w:rsidRDefault="0077141B" w:rsidP="0077141B">
      <w:pPr>
        <w:pStyle w:val="NormalWeb"/>
        <w:shd w:val="clear" w:color="auto" w:fill="FFFFFF"/>
        <w:spacing w:before="0" w:beforeAutospacing="0"/>
        <w:rPr>
          <w:color w:val="000000"/>
          <w:sz w:val="15"/>
          <w:szCs w:val="15"/>
          <w:shd w:val="clear" w:color="auto" w:fill="FFFFFF"/>
        </w:rPr>
      </w:pPr>
      <w:r w:rsidRPr="0077141B">
        <w:rPr>
          <w:color w:val="000000"/>
          <w:sz w:val="15"/>
          <w:szCs w:val="15"/>
          <w:shd w:val="clear" w:color="auto" w:fill="FFFFFF"/>
        </w:rPr>
        <w:t>Les Premières Nations, les Inuits et les Métis sont les premiers habitants du Canada. Ils ont tous une relation spéciale avec le gouvernement fédéral en raison de leur statut établi par traité, et de nombreux événements historiques ont eu de grandes répercussions sur leurs attentes en matière de santé.</w:t>
      </w:r>
    </w:p>
    <w:p w:rsidR="0077141B" w:rsidRPr="0077141B" w:rsidRDefault="0077141B" w:rsidP="0077141B">
      <w:pPr>
        <w:numPr>
          <w:ilvl w:val="0"/>
          <w:numId w:val="1376"/>
        </w:numPr>
        <w:shd w:val="clear" w:color="auto" w:fill="FFFFFF"/>
        <w:spacing w:before="100" w:beforeAutospacing="1" w:after="100" w:afterAutospacing="1" w:line="240" w:lineRule="auto"/>
        <w:rPr>
          <w:rFonts w:cs="Times New Roman"/>
          <w:color w:val="000000"/>
          <w:sz w:val="15"/>
          <w:szCs w:val="15"/>
          <w:shd w:val="clear" w:color="auto" w:fill="FFFFFF"/>
        </w:rPr>
      </w:pPr>
      <w:bookmarkStart w:id="283" w:name="Premi%C3%A8resNations,Inuits,M%C3%A9tis"/>
      <w:bookmarkEnd w:id="283"/>
      <w:r w:rsidRPr="0077141B">
        <w:rPr>
          <w:rFonts w:cs="Times New Roman"/>
          <w:color w:val="000000"/>
          <w:sz w:val="15"/>
          <w:szCs w:val="15"/>
          <w:shd w:val="clear" w:color="auto" w:fill="FFFFFF"/>
        </w:rPr>
        <w:t>Décrire la diversité au sein des communautés des Premières Nations, des Inuits et des Métis dans votre région selon les points de vue, aptitudes, croyances et comportements de chacune. Décrire au moins trois exemples de cette diversité culturelle.</w:t>
      </w:r>
    </w:p>
    <w:p w:rsidR="0077141B" w:rsidRPr="0077141B" w:rsidRDefault="0077141B" w:rsidP="0077141B">
      <w:pPr>
        <w:numPr>
          <w:ilvl w:val="0"/>
          <w:numId w:val="1376"/>
        </w:numPr>
        <w:shd w:val="clear" w:color="auto" w:fill="FFFFFF"/>
        <w:spacing w:before="100" w:beforeAutospacing="1" w:after="100" w:afterAutospacing="1" w:line="240" w:lineRule="auto"/>
        <w:rPr>
          <w:rFonts w:cs="Times New Roman"/>
          <w:color w:val="000000"/>
          <w:sz w:val="15"/>
          <w:szCs w:val="15"/>
          <w:shd w:val="clear" w:color="auto" w:fill="FFFFFF"/>
        </w:rPr>
      </w:pPr>
      <w:r w:rsidRPr="0077141B">
        <w:rPr>
          <w:rFonts w:cs="Times New Roman"/>
          <w:color w:val="000000"/>
          <w:sz w:val="15"/>
          <w:szCs w:val="15"/>
          <w:shd w:val="clear" w:color="auto" w:fill="FFFFFF"/>
        </w:rPr>
        <w:t>Décrire les liens entre les pratiques gouvernementales historiques et actuelles envers les Premières Nations, les Inuits, les Métis (y compris la colonisation, les pensionnats, les traités et les revendications territoriales) et les répercussions intergénérationnelles sur la santé qui en ont découlé.</w:t>
      </w:r>
    </w:p>
    <w:p w:rsidR="0077141B" w:rsidRPr="0077141B" w:rsidRDefault="0077141B" w:rsidP="0077141B">
      <w:pPr>
        <w:numPr>
          <w:ilvl w:val="0"/>
          <w:numId w:val="1376"/>
        </w:numPr>
        <w:shd w:val="clear" w:color="auto" w:fill="FFFFFF"/>
        <w:spacing w:before="100" w:beforeAutospacing="1" w:after="100" w:afterAutospacing="1" w:line="240" w:lineRule="auto"/>
        <w:rPr>
          <w:rFonts w:cs="Times New Roman"/>
          <w:color w:val="000000"/>
          <w:sz w:val="15"/>
          <w:szCs w:val="15"/>
          <w:shd w:val="clear" w:color="auto" w:fill="FFFFFF"/>
        </w:rPr>
      </w:pPr>
      <w:r w:rsidRPr="0077141B">
        <w:rPr>
          <w:rFonts w:cs="Times New Roman"/>
          <w:color w:val="000000"/>
          <w:sz w:val="15"/>
          <w:szCs w:val="15"/>
          <w:shd w:val="clear" w:color="auto" w:fill="FFFFFF"/>
        </w:rPr>
        <w:t>Décrire la façon dont les facteurs déterminants d'ordre médical, social et spirituel de la santé et du bien-être des Premières Nations, des Inuits, des Métis ont une incidence sur leur santé</w:t>
      </w:r>
    </w:p>
    <w:p w:rsidR="0077141B" w:rsidRPr="0077141B" w:rsidRDefault="0077141B" w:rsidP="0077141B">
      <w:pPr>
        <w:numPr>
          <w:ilvl w:val="0"/>
          <w:numId w:val="1376"/>
        </w:numPr>
        <w:shd w:val="clear" w:color="auto" w:fill="FFFFFF"/>
        <w:spacing w:before="100" w:beforeAutospacing="1" w:after="0" w:line="240" w:lineRule="auto"/>
        <w:rPr>
          <w:rFonts w:cs="Times New Roman"/>
          <w:color w:val="000000"/>
          <w:sz w:val="15"/>
          <w:szCs w:val="15"/>
          <w:shd w:val="clear" w:color="auto" w:fill="FFFFFF"/>
        </w:rPr>
      </w:pPr>
      <w:r w:rsidRPr="0077141B">
        <w:rPr>
          <w:rFonts w:cs="Times New Roman"/>
          <w:color w:val="000000"/>
          <w:sz w:val="15"/>
          <w:szCs w:val="15"/>
          <w:shd w:val="clear" w:color="auto" w:fill="FFFFFF"/>
        </w:rPr>
        <w:t>Décrire les divers services de santé offerts aux Premières Nations, aux Inuits et aux Métis ainsi que le fondement historique des systèmes établis dans ces communautés.</w:t>
      </w:r>
    </w:p>
    <w:tbl>
      <w:tblPr>
        <w:tblW w:w="5000" w:type="pct"/>
        <w:tblCellSpacing w:w="0" w:type="dxa"/>
        <w:tblCellMar>
          <w:left w:w="0" w:type="dxa"/>
          <w:right w:w="0" w:type="dxa"/>
        </w:tblCellMar>
        <w:tblLook w:val="04A0" w:firstRow="1" w:lastRow="0" w:firstColumn="1" w:lastColumn="0" w:noHBand="0" w:noVBand="1"/>
      </w:tblPr>
      <w:tblGrid>
        <w:gridCol w:w="10582"/>
        <w:gridCol w:w="218"/>
      </w:tblGrid>
      <w:tr w:rsidR="0077141B" w:rsidRPr="0077141B" w:rsidTr="0077141B">
        <w:trPr>
          <w:tblCellSpacing w:w="0" w:type="dxa"/>
        </w:trPr>
        <w:tc>
          <w:tcPr>
            <w:tcW w:w="0" w:type="auto"/>
            <w:vAlign w:val="bottom"/>
            <w:hideMark/>
          </w:tcPr>
          <w:p w:rsidR="0077141B" w:rsidRPr="0077141B" w:rsidRDefault="0077141B" w:rsidP="0077141B">
            <w:pPr>
              <w:pStyle w:val="Sansinterligne"/>
              <w:rPr>
                <w:rFonts w:cs="Times New Roman"/>
                <w:b/>
                <w:sz w:val="15"/>
                <w:szCs w:val="15"/>
              </w:rPr>
            </w:pPr>
            <w:r w:rsidRPr="0077141B">
              <w:rPr>
                <w:rFonts w:cs="Times New Roman"/>
                <w:b/>
                <w:sz w:val="15"/>
                <w:szCs w:val="15"/>
              </w:rPr>
              <w:t>Santé globale et immigration</w:t>
            </w:r>
          </w:p>
        </w:tc>
        <w:tc>
          <w:tcPr>
            <w:tcW w:w="0" w:type="auto"/>
            <w:vAlign w:val="bottom"/>
            <w:hideMark/>
          </w:tcPr>
          <w:p w:rsidR="0077141B" w:rsidRPr="0077141B" w:rsidRDefault="0077141B">
            <w:pPr>
              <w:jc w:val="right"/>
              <w:rPr>
                <w:rFonts w:cs="Times New Roman"/>
                <w:color w:val="000000"/>
                <w:sz w:val="15"/>
                <w:szCs w:val="15"/>
              </w:rPr>
            </w:pPr>
            <w:r w:rsidRPr="0077141B">
              <w:rPr>
                <w:rFonts w:cs="Times New Roman"/>
                <w:color w:val="000000"/>
                <w:sz w:val="15"/>
                <w:szCs w:val="15"/>
              </w:rPr>
              <w:t> </w:t>
            </w:r>
          </w:p>
        </w:tc>
      </w:tr>
    </w:tbl>
    <w:p w:rsidR="0077141B" w:rsidRPr="0077141B" w:rsidRDefault="0077141B" w:rsidP="0077141B">
      <w:pPr>
        <w:pStyle w:val="NormalWeb"/>
        <w:shd w:val="clear" w:color="auto" w:fill="FFFFFF"/>
        <w:spacing w:before="0" w:beforeAutospacing="0"/>
        <w:rPr>
          <w:color w:val="000000"/>
          <w:sz w:val="15"/>
          <w:szCs w:val="15"/>
          <w:shd w:val="clear" w:color="auto" w:fill="FFFFFF"/>
        </w:rPr>
      </w:pPr>
      <w:r w:rsidRPr="0077141B">
        <w:rPr>
          <w:color w:val="000000"/>
          <w:sz w:val="15"/>
          <w:szCs w:val="15"/>
          <w:shd w:val="clear" w:color="auto" w:fill="FFFFFF"/>
        </w:rPr>
        <w:t>La circulation accrue des personnes, des aliments et des biens de consommation abolit les barrières géographiques. Des maladies comme le SRAS peuvent se propager rapidement dans le monde, et des événements qui surviennent dans d'autres parties du monde peuvent avoir des incidences sur la pratique médicale au Canada. De plus, le Canada dépend des nouveaux immigrants pour sa croissance, et bien des régions affichent une grande proportion de nouveaux immigrants et de réfugiés.</w:t>
      </w:r>
    </w:p>
    <w:p w:rsidR="0077141B" w:rsidRPr="0077141B" w:rsidRDefault="0077141B" w:rsidP="0077141B">
      <w:pPr>
        <w:numPr>
          <w:ilvl w:val="0"/>
          <w:numId w:val="1377"/>
        </w:numPr>
        <w:shd w:val="clear" w:color="auto" w:fill="FFFFFF"/>
        <w:spacing w:before="100" w:beforeAutospacing="1" w:after="100" w:afterAutospacing="1" w:line="240" w:lineRule="auto"/>
        <w:rPr>
          <w:rFonts w:cs="Times New Roman"/>
          <w:color w:val="000000"/>
          <w:sz w:val="15"/>
          <w:szCs w:val="15"/>
          <w:shd w:val="clear" w:color="auto" w:fill="FFFFFF"/>
        </w:rPr>
      </w:pPr>
      <w:bookmarkStart w:id="284" w:name="Sant%C3%A9globaleetimmigration"/>
      <w:bookmarkEnd w:id="284"/>
      <w:r w:rsidRPr="0077141B">
        <w:rPr>
          <w:rFonts w:cs="Times New Roman"/>
          <w:color w:val="000000"/>
          <w:sz w:val="15"/>
          <w:szCs w:val="15"/>
          <w:shd w:val="clear" w:color="auto" w:fill="FFFFFF"/>
        </w:rPr>
        <w:t>Connaître l'histoire des migrations et des expositions dans différentes parties du monde comme facteurs de risque de maladie.</w:t>
      </w:r>
    </w:p>
    <w:p w:rsidR="0077141B" w:rsidRPr="0077141B" w:rsidRDefault="0077141B" w:rsidP="0077141B">
      <w:pPr>
        <w:numPr>
          <w:ilvl w:val="0"/>
          <w:numId w:val="1377"/>
        </w:numPr>
        <w:shd w:val="clear" w:color="auto" w:fill="FFFFFF"/>
        <w:spacing w:before="100" w:beforeAutospacing="1" w:after="100" w:afterAutospacing="1" w:line="240" w:lineRule="auto"/>
        <w:rPr>
          <w:rFonts w:cs="Times New Roman"/>
          <w:color w:val="000000"/>
          <w:sz w:val="15"/>
          <w:szCs w:val="15"/>
          <w:shd w:val="clear" w:color="auto" w:fill="FFFFFF"/>
        </w:rPr>
      </w:pPr>
      <w:r w:rsidRPr="0077141B">
        <w:rPr>
          <w:rFonts w:cs="Times New Roman"/>
          <w:color w:val="000000"/>
          <w:sz w:val="15"/>
          <w:szCs w:val="15"/>
          <w:shd w:val="clear" w:color="auto" w:fill="FFFFFF"/>
        </w:rPr>
        <w:t>Comprendre les difficultés auxquels font face les nouveaux immigrants pour obtenir des services médicaux et sociaux au Canada.</w:t>
      </w:r>
    </w:p>
    <w:p w:rsidR="0077141B" w:rsidRPr="0077141B" w:rsidRDefault="0077141B" w:rsidP="0077141B">
      <w:pPr>
        <w:numPr>
          <w:ilvl w:val="0"/>
          <w:numId w:val="1377"/>
        </w:numPr>
        <w:shd w:val="clear" w:color="auto" w:fill="FFFFFF"/>
        <w:spacing w:before="100" w:beforeAutospacing="1" w:after="100" w:afterAutospacing="1" w:line="240" w:lineRule="auto"/>
        <w:rPr>
          <w:rFonts w:cs="Times New Roman"/>
          <w:color w:val="000000"/>
          <w:sz w:val="15"/>
          <w:szCs w:val="15"/>
          <w:shd w:val="clear" w:color="auto" w:fill="FFFFFF"/>
        </w:rPr>
      </w:pPr>
      <w:r w:rsidRPr="0077141B">
        <w:rPr>
          <w:rFonts w:cs="Times New Roman"/>
          <w:color w:val="000000"/>
          <w:sz w:val="15"/>
          <w:szCs w:val="15"/>
          <w:shd w:val="clear" w:color="auto" w:fill="FFFFFF"/>
        </w:rPr>
        <w:t>Comprendre la perspective culturelle unique des immigrants en ce qui concerne la santé et leur recours fréquent aux médecines douces.</w:t>
      </w:r>
    </w:p>
    <w:p w:rsidR="0077141B" w:rsidRPr="0077141B" w:rsidRDefault="0077141B" w:rsidP="0077141B">
      <w:pPr>
        <w:numPr>
          <w:ilvl w:val="0"/>
          <w:numId w:val="1377"/>
        </w:numPr>
        <w:shd w:val="clear" w:color="auto" w:fill="FFFFFF"/>
        <w:spacing w:before="100" w:beforeAutospacing="1" w:after="0" w:line="240" w:lineRule="auto"/>
        <w:rPr>
          <w:rFonts w:cs="Times New Roman"/>
          <w:color w:val="000000"/>
          <w:sz w:val="15"/>
          <w:szCs w:val="15"/>
          <w:shd w:val="clear" w:color="auto" w:fill="FFFFFF"/>
        </w:rPr>
      </w:pPr>
      <w:r w:rsidRPr="0077141B">
        <w:rPr>
          <w:rFonts w:cs="Times New Roman"/>
          <w:color w:val="000000"/>
          <w:sz w:val="15"/>
          <w:szCs w:val="15"/>
          <w:shd w:val="clear" w:color="auto" w:fill="FFFFFF"/>
        </w:rPr>
        <w:t>Examiner l'incidence de la mondialisation sur la santé et la façon dont des changements dans une partie du monde (p. ex. augmentation du taux de tuberculose résistant aux médicaments dans un pays) peuvent avoir une incidence sur la prestation des services de santé au Canada.</w:t>
      </w:r>
    </w:p>
    <w:tbl>
      <w:tblPr>
        <w:tblW w:w="5000" w:type="pct"/>
        <w:tblCellSpacing w:w="0" w:type="dxa"/>
        <w:tblCellMar>
          <w:left w:w="0" w:type="dxa"/>
          <w:right w:w="0" w:type="dxa"/>
        </w:tblCellMar>
        <w:tblLook w:val="04A0" w:firstRow="1" w:lastRow="0" w:firstColumn="1" w:lastColumn="0" w:noHBand="0" w:noVBand="1"/>
      </w:tblPr>
      <w:tblGrid>
        <w:gridCol w:w="10528"/>
        <w:gridCol w:w="272"/>
      </w:tblGrid>
      <w:tr w:rsidR="0077141B" w:rsidRPr="0077141B" w:rsidTr="0077141B">
        <w:trPr>
          <w:tblCellSpacing w:w="0" w:type="dxa"/>
        </w:trPr>
        <w:tc>
          <w:tcPr>
            <w:tcW w:w="0" w:type="auto"/>
            <w:vAlign w:val="bottom"/>
            <w:hideMark/>
          </w:tcPr>
          <w:p w:rsidR="0077141B" w:rsidRPr="0077141B" w:rsidRDefault="0077141B" w:rsidP="0077141B">
            <w:pPr>
              <w:pStyle w:val="Sansinterligne"/>
              <w:rPr>
                <w:rFonts w:cs="Times New Roman"/>
                <w:b/>
                <w:sz w:val="15"/>
                <w:szCs w:val="15"/>
              </w:rPr>
            </w:pPr>
            <w:r w:rsidRPr="0077141B">
              <w:rPr>
                <w:rFonts w:cs="Times New Roman"/>
                <w:b/>
                <w:sz w:val="15"/>
                <w:szCs w:val="15"/>
              </w:rPr>
              <w:t>Personnes handicapées</w:t>
            </w:r>
          </w:p>
        </w:tc>
        <w:tc>
          <w:tcPr>
            <w:tcW w:w="0" w:type="auto"/>
            <w:vAlign w:val="bottom"/>
            <w:hideMark/>
          </w:tcPr>
          <w:p w:rsidR="0077141B" w:rsidRPr="0077141B" w:rsidRDefault="0077141B">
            <w:pPr>
              <w:jc w:val="right"/>
              <w:rPr>
                <w:rFonts w:cs="Times New Roman"/>
                <w:color w:val="000000"/>
                <w:sz w:val="15"/>
                <w:szCs w:val="15"/>
              </w:rPr>
            </w:pPr>
            <w:r w:rsidRPr="0077141B">
              <w:rPr>
                <w:rFonts w:cs="Times New Roman"/>
                <w:color w:val="000000"/>
                <w:sz w:val="15"/>
                <w:szCs w:val="15"/>
              </w:rPr>
              <w:t> </w:t>
            </w:r>
          </w:p>
        </w:tc>
      </w:tr>
    </w:tbl>
    <w:p w:rsidR="0077141B" w:rsidRPr="0077141B" w:rsidRDefault="0077141B" w:rsidP="0077141B">
      <w:pPr>
        <w:pStyle w:val="NormalWeb"/>
        <w:shd w:val="clear" w:color="auto" w:fill="FFFFFF"/>
        <w:spacing w:before="0" w:beforeAutospacing="0"/>
        <w:rPr>
          <w:color w:val="000000"/>
          <w:sz w:val="15"/>
          <w:szCs w:val="15"/>
          <w:shd w:val="clear" w:color="auto" w:fill="FFFFFF"/>
        </w:rPr>
      </w:pPr>
      <w:r w:rsidRPr="0077141B">
        <w:rPr>
          <w:color w:val="000000"/>
          <w:sz w:val="15"/>
          <w:szCs w:val="15"/>
          <w:shd w:val="clear" w:color="auto" w:fill="FFFFFF"/>
        </w:rPr>
        <w:t>Les personnes ayant une déficience physique, mentale ou sensorielle ont des besoins uniques et peuvent avoir besoin de services médicaux et sociaux offerts de façon différente.</w:t>
      </w:r>
    </w:p>
    <w:p w:rsidR="0077141B" w:rsidRPr="0077141B" w:rsidRDefault="0077141B" w:rsidP="0077141B">
      <w:pPr>
        <w:numPr>
          <w:ilvl w:val="0"/>
          <w:numId w:val="1378"/>
        </w:numPr>
        <w:shd w:val="clear" w:color="auto" w:fill="FFFFFF"/>
        <w:spacing w:before="100" w:beforeAutospacing="1" w:after="100" w:afterAutospacing="1" w:line="240" w:lineRule="auto"/>
        <w:rPr>
          <w:rFonts w:cs="Times New Roman"/>
          <w:color w:val="000000"/>
          <w:sz w:val="15"/>
          <w:szCs w:val="15"/>
          <w:shd w:val="clear" w:color="auto" w:fill="FFFFFF"/>
        </w:rPr>
      </w:pPr>
      <w:bookmarkStart w:id="285" w:name="Personneshandicap%C3%A9es"/>
      <w:bookmarkEnd w:id="285"/>
      <w:r w:rsidRPr="0077141B">
        <w:rPr>
          <w:rFonts w:cs="Times New Roman"/>
          <w:color w:val="000000"/>
          <w:sz w:val="15"/>
          <w:szCs w:val="15"/>
          <w:shd w:val="clear" w:color="auto" w:fill="FFFFFF"/>
        </w:rPr>
        <w:t>Déterminer les problèmes auxquels font face les personnes handicapées pour accéder aux services médicaux et sociaux au Canada.</w:t>
      </w:r>
    </w:p>
    <w:p w:rsidR="0077141B" w:rsidRPr="0077141B" w:rsidRDefault="0077141B" w:rsidP="0077141B">
      <w:pPr>
        <w:numPr>
          <w:ilvl w:val="0"/>
          <w:numId w:val="1378"/>
        </w:numPr>
        <w:shd w:val="clear" w:color="auto" w:fill="FFFFFF"/>
        <w:spacing w:before="100" w:beforeAutospacing="1" w:after="100" w:afterAutospacing="1" w:line="240" w:lineRule="auto"/>
        <w:rPr>
          <w:rFonts w:cs="Times New Roman"/>
          <w:color w:val="000000"/>
          <w:sz w:val="15"/>
          <w:szCs w:val="15"/>
          <w:shd w:val="clear" w:color="auto" w:fill="FFFFFF"/>
        </w:rPr>
      </w:pPr>
      <w:r w:rsidRPr="0077141B">
        <w:rPr>
          <w:rFonts w:cs="Times New Roman"/>
          <w:color w:val="000000"/>
          <w:sz w:val="15"/>
          <w:szCs w:val="15"/>
          <w:shd w:val="clear" w:color="auto" w:fill="FFFFFF"/>
        </w:rPr>
        <w:t>Examiner les problèmes de la stigmatisation et les obstacles de nature sociale que doivent surmonter les personnes handicapées pour fonctionner au sein de la société (lien avec la santé mentale).</w:t>
      </w:r>
    </w:p>
    <w:p w:rsidR="0077141B" w:rsidRPr="0077141B" w:rsidRDefault="0077141B" w:rsidP="0077141B">
      <w:pPr>
        <w:numPr>
          <w:ilvl w:val="0"/>
          <w:numId w:val="1378"/>
        </w:numPr>
        <w:shd w:val="clear" w:color="auto" w:fill="FFFFFF"/>
        <w:spacing w:before="100" w:beforeAutospacing="1" w:after="0" w:line="240" w:lineRule="auto"/>
        <w:rPr>
          <w:rFonts w:cs="Times New Roman"/>
          <w:color w:val="000000"/>
          <w:sz w:val="15"/>
          <w:szCs w:val="15"/>
          <w:shd w:val="clear" w:color="auto" w:fill="FFFFFF"/>
        </w:rPr>
      </w:pPr>
      <w:r w:rsidRPr="0077141B">
        <w:rPr>
          <w:rFonts w:cs="Times New Roman"/>
          <w:color w:val="000000"/>
          <w:sz w:val="15"/>
          <w:szCs w:val="15"/>
          <w:shd w:val="clear" w:color="auto" w:fill="FFFFFF"/>
        </w:rPr>
        <w:t>Examiner les services médicaux et sociaux uniques offerts à certaines personnes handicapées (comme les personnes atteintes du syndrome de Down) et la façon dont ces services peuvent être intégrés aux pratiques des médecins traitants.</w:t>
      </w:r>
    </w:p>
    <w:tbl>
      <w:tblPr>
        <w:tblW w:w="5000" w:type="pct"/>
        <w:tblCellSpacing w:w="0" w:type="dxa"/>
        <w:tblCellMar>
          <w:left w:w="0" w:type="dxa"/>
          <w:right w:w="0" w:type="dxa"/>
        </w:tblCellMar>
        <w:tblLook w:val="04A0" w:firstRow="1" w:lastRow="0" w:firstColumn="1" w:lastColumn="0" w:noHBand="0" w:noVBand="1"/>
      </w:tblPr>
      <w:tblGrid>
        <w:gridCol w:w="10173"/>
        <w:gridCol w:w="627"/>
      </w:tblGrid>
      <w:tr w:rsidR="0077141B" w:rsidRPr="0077141B" w:rsidTr="0077141B">
        <w:trPr>
          <w:tblCellSpacing w:w="0" w:type="dxa"/>
        </w:trPr>
        <w:tc>
          <w:tcPr>
            <w:tcW w:w="0" w:type="auto"/>
            <w:vAlign w:val="bottom"/>
            <w:hideMark/>
          </w:tcPr>
          <w:p w:rsidR="0077141B" w:rsidRPr="0077141B" w:rsidRDefault="0077141B" w:rsidP="0077141B">
            <w:pPr>
              <w:pStyle w:val="Sansinterligne"/>
              <w:rPr>
                <w:rFonts w:cs="Times New Roman"/>
                <w:b/>
                <w:sz w:val="15"/>
                <w:szCs w:val="15"/>
              </w:rPr>
            </w:pPr>
            <w:r w:rsidRPr="0077141B">
              <w:rPr>
                <w:rFonts w:cs="Times New Roman"/>
                <w:b/>
                <w:sz w:val="15"/>
                <w:szCs w:val="15"/>
              </w:rPr>
              <w:t>Sans-abri</w:t>
            </w:r>
          </w:p>
        </w:tc>
        <w:tc>
          <w:tcPr>
            <w:tcW w:w="0" w:type="auto"/>
            <w:vAlign w:val="bottom"/>
            <w:hideMark/>
          </w:tcPr>
          <w:p w:rsidR="0077141B" w:rsidRPr="0077141B" w:rsidRDefault="0077141B">
            <w:pPr>
              <w:jc w:val="right"/>
              <w:rPr>
                <w:rFonts w:cs="Times New Roman"/>
                <w:color w:val="000000"/>
                <w:sz w:val="15"/>
                <w:szCs w:val="15"/>
              </w:rPr>
            </w:pPr>
            <w:r w:rsidRPr="0077141B">
              <w:rPr>
                <w:rFonts w:cs="Times New Roman"/>
                <w:color w:val="000000"/>
                <w:sz w:val="15"/>
                <w:szCs w:val="15"/>
              </w:rPr>
              <w:t> </w:t>
            </w:r>
          </w:p>
        </w:tc>
      </w:tr>
    </w:tbl>
    <w:p w:rsidR="0077141B" w:rsidRPr="0077141B" w:rsidRDefault="0077141B" w:rsidP="0077141B">
      <w:pPr>
        <w:pStyle w:val="NormalWeb"/>
        <w:shd w:val="clear" w:color="auto" w:fill="FFFFFF"/>
        <w:spacing w:before="0" w:beforeAutospacing="0"/>
        <w:rPr>
          <w:color w:val="000000"/>
          <w:sz w:val="15"/>
          <w:szCs w:val="15"/>
          <w:shd w:val="clear" w:color="auto" w:fill="FFFFFF"/>
        </w:rPr>
      </w:pPr>
      <w:r w:rsidRPr="0077141B">
        <w:rPr>
          <w:color w:val="000000"/>
          <w:sz w:val="15"/>
          <w:szCs w:val="15"/>
          <w:shd w:val="clear" w:color="auto" w:fill="FFFFFF"/>
        </w:rPr>
        <w:t>Les sans-abri ont des besoins uniques parce qu'ils n'ont pas d'endroit où se loger et ne peuvent ni se laver ni préparer des aliments en toute sécurité. De plus, l'itinérance est associée à de nombreux autres problèmes comme la maladie mentale. Il peut être nécessaire d'offrir des services médicaux et sociaux de façon très différente.</w:t>
      </w:r>
    </w:p>
    <w:p w:rsidR="0077141B" w:rsidRPr="0077141B" w:rsidRDefault="0077141B" w:rsidP="0077141B">
      <w:pPr>
        <w:numPr>
          <w:ilvl w:val="0"/>
          <w:numId w:val="1379"/>
        </w:numPr>
        <w:shd w:val="clear" w:color="auto" w:fill="FFFFFF"/>
        <w:spacing w:before="100" w:beforeAutospacing="1" w:after="100" w:afterAutospacing="1" w:line="240" w:lineRule="auto"/>
        <w:rPr>
          <w:rFonts w:cs="Times New Roman"/>
          <w:color w:val="000000"/>
          <w:sz w:val="15"/>
          <w:szCs w:val="15"/>
          <w:shd w:val="clear" w:color="auto" w:fill="FFFFFF"/>
        </w:rPr>
      </w:pPr>
      <w:bookmarkStart w:id="286" w:name="Sans-abri"/>
      <w:bookmarkEnd w:id="286"/>
      <w:r w:rsidRPr="0077141B">
        <w:rPr>
          <w:rFonts w:cs="Times New Roman"/>
          <w:color w:val="000000"/>
          <w:sz w:val="15"/>
          <w:szCs w:val="15"/>
          <w:shd w:val="clear" w:color="auto" w:fill="FFFFFF"/>
        </w:rPr>
        <w:t>Déterminer les problèmes liés à la prestation de services préventifs et curatifs aux sans-abri.</w:t>
      </w:r>
    </w:p>
    <w:p w:rsidR="0077141B" w:rsidRPr="0077141B" w:rsidRDefault="0077141B" w:rsidP="0077141B">
      <w:pPr>
        <w:numPr>
          <w:ilvl w:val="0"/>
          <w:numId w:val="1379"/>
        </w:numPr>
        <w:shd w:val="clear" w:color="auto" w:fill="FFFFFF"/>
        <w:spacing w:before="100" w:beforeAutospacing="1" w:after="0" w:line="240" w:lineRule="auto"/>
        <w:rPr>
          <w:rFonts w:cs="Times New Roman"/>
          <w:color w:val="000000"/>
          <w:sz w:val="15"/>
          <w:szCs w:val="15"/>
          <w:shd w:val="clear" w:color="auto" w:fill="FFFFFF"/>
        </w:rPr>
      </w:pPr>
      <w:r w:rsidRPr="0077141B">
        <w:rPr>
          <w:rFonts w:cs="Times New Roman"/>
          <w:color w:val="000000"/>
          <w:sz w:val="15"/>
          <w:szCs w:val="15"/>
          <w:shd w:val="clear" w:color="auto" w:fill="FFFFFF"/>
        </w:rPr>
        <w:t>Examiner les principaux facteurs de risque pour la santé liés à l'itinérance et les problèmes connexes comme la maladie mentale.</w:t>
      </w:r>
    </w:p>
    <w:tbl>
      <w:tblPr>
        <w:tblW w:w="5000" w:type="pct"/>
        <w:tblCellSpacing w:w="0" w:type="dxa"/>
        <w:tblCellMar>
          <w:left w:w="0" w:type="dxa"/>
          <w:right w:w="0" w:type="dxa"/>
        </w:tblCellMar>
        <w:tblLook w:val="04A0" w:firstRow="1" w:lastRow="0" w:firstColumn="1" w:lastColumn="0" w:noHBand="0" w:noVBand="1"/>
      </w:tblPr>
      <w:tblGrid>
        <w:gridCol w:w="10702"/>
        <w:gridCol w:w="98"/>
      </w:tblGrid>
      <w:tr w:rsidR="0077141B" w:rsidRPr="0077141B" w:rsidTr="0077141B">
        <w:trPr>
          <w:tblCellSpacing w:w="0" w:type="dxa"/>
        </w:trPr>
        <w:tc>
          <w:tcPr>
            <w:tcW w:w="0" w:type="auto"/>
            <w:vAlign w:val="bottom"/>
            <w:hideMark/>
          </w:tcPr>
          <w:p w:rsidR="0077141B" w:rsidRPr="0077141B" w:rsidRDefault="0077141B" w:rsidP="0077141B">
            <w:pPr>
              <w:pStyle w:val="Sansinterligne"/>
              <w:rPr>
                <w:rFonts w:cs="Times New Roman"/>
                <w:b/>
                <w:sz w:val="15"/>
                <w:szCs w:val="15"/>
              </w:rPr>
            </w:pPr>
            <w:r w:rsidRPr="0077141B">
              <w:rPr>
                <w:rFonts w:cs="Times New Roman"/>
                <w:b/>
                <w:sz w:val="15"/>
                <w:szCs w:val="15"/>
              </w:rPr>
              <w:t>Obstacles à surmonter à chaque extrémité du continuum de l'âge</w:t>
            </w:r>
          </w:p>
        </w:tc>
        <w:tc>
          <w:tcPr>
            <w:tcW w:w="0" w:type="auto"/>
            <w:vAlign w:val="bottom"/>
            <w:hideMark/>
          </w:tcPr>
          <w:p w:rsidR="0077141B" w:rsidRPr="0077141B" w:rsidRDefault="0077141B">
            <w:pPr>
              <w:jc w:val="right"/>
              <w:rPr>
                <w:rFonts w:cs="Times New Roman"/>
                <w:color w:val="000000"/>
                <w:sz w:val="15"/>
                <w:szCs w:val="15"/>
              </w:rPr>
            </w:pPr>
            <w:r w:rsidRPr="0077141B">
              <w:rPr>
                <w:rFonts w:cs="Times New Roman"/>
                <w:color w:val="000000"/>
                <w:sz w:val="15"/>
                <w:szCs w:val="15"/>
              </w:rPr>
              <w:t> </w:t>
            </w:r>
          </w:p>
        </w:tc>
      </w:tr>
    </w:tbl>
    <w:p w:rsidR="0077141B" w:rsidRPr="0077141B" w:rsidRDefault="0077141B" w:rsidP="0077141B">
      <w:pPr>
        <w:pStyle w:val="NormalWeb"/>
        <w:shd w:val="clear" w:color="auto" w:fill="FFFFFF"/>
        <w:rPr>
          <w:color w:val="000000"/>
          <w:sz w:val="15"/>
          <w:szCs w:val="15"/>
          <w:shd w:val="clear" w:color="auto" w:fill="FFFFFF"/>
        </w:rPr>
      </w:pPr>
      <w:r w:rsidRPr="0077141B">
        <w:rPr>
          <w:color w:val="000000"/>
          <w:sz w:val="15"/>
          <w:szCs w:val="15"/>
          <w:shd w:val="clear" w:color="auto" w:fill="FFFFFF"/>
        </w:rPr>
        <w:t>Les aînés et les très jeunes enfants courent des risques plus élevés de présenter certaines affections (p. ex. syndrome hémolytique et urémique) et sont très vulnérables aux changements dans les facteurs déterminants de la santé. Par exemple, les enfants qui vivent dans la pauvreté ou les aînés pauvres qui vivent dans l'isolement courent des risques élevés de problèmes de santé.</w:t>
      </w:r>
    </w:p>
    <w:p w:rsidR="0077141B" w:rsidRPr="0077141B" w:rsidRDefault="0077141B" w:rsidP="0077141B">
      <w:pPr>
        <w:numPr>
          <w:ilvl w:val="0"/>
          <w:numId w:val="1380"/>
        </w:numPr>
        <w:shd w:val="clear" w:color="auto" w:fill="FFFFFF"/>
        <w:spacing w:before="100" w:beforeAutospacing="1" w:after="100" w:afterAutospacing="1" w:line="240" w:lineRule="auto"/>
        <w:rPr>
          <w:rFonts w:cs="Times New Roman"/>
          <w:color w:val="000000"/>
          <w:sz w:val="15"/>
          <w:szCs w:val="15"/>
          <w:shd w:val="clear" w:color="auto" w:fill="FFFFFF"/>
        </w:rPr>
      </w:pPr>
      <w:bookmarkStart w:id="287" w:name="Obstacles%C3%A0surmonter%C3%A0chaqueextr"/>
      <w:bookmarkEnd w:id="287"/>
      <w:r w:rsidRPr="0077141B">
        <w:rPr>
          <w:rFonts w:cs="Times New Roman"/>
          <w:color w:val="000000"/>
          <w:sz w:val="15"/>
          <w:szCs w:val="15"/>
          <w:shd w:val="clear" w:color="auto" w:fill="FFFFFF"/>
        </w:rPr>
        <w:t>Déterminer les obstacles à surmonter pour offrir des services préventifs et curatifs aux aînés seuls et aux enfants vivant dans la pauvreté.</w:t>
      </w:r>
    </w:p>
    <w:p w:rsidR="0077141B" w:rsidRPr="0077141B" w:rsidRDefault="0077141B" w:rsidP="0077141B">
      <w:pPr>
        <w:numPr>
          <w:ilvl w:val="0"/>
          <w:numId w:val="1380"/>
        </w:numPr>
        <w:shd w:val="clear" w:color="auto" w:fill="FFFFFF"/>
        <w:spacing w:before="100" w:beforeAutospacing="1" w:after="100" w:afterAutospacing="1" w:line="240" w:lineRule="auto"/>
        <w:rPr>
          <w:rFonts w:cs="Times New Roman"/>
          <w:color w:val="000000"/>
          <w:sz w:val="15"/>
          <w:szCs w:val="15"/>
          <w:shd w:val="clear" w:color="auto" w:fill="FFFFFF"/>
        </w:rPr>
      </w:pPr>
      <w:r w:rsidRPr="0077141B">
        <w:rPr>
          <w:rFonts w:cs="Times New Roman"/>
          <w:color w:val="000000"/>
          <w:sz w:val="15"/>
          <w:szCs w:val="15"/>
          <w:shd w:val="clear" w:color="auto" w:fill="FFFFFF"/>
        </w:rPr>
        <w:t>Examiner les principaux facteurs de risque pour la santé qui menacent les aînés isolés et les enfants vivant dans la pauvreté.</w:t>
      </w:r>
    </w:p>
    <w:p w:rsidR="00E64123" w:rsidRPr="00E64123" w:rsidRDefault="0077141B" w:rsidP="00E64123">
      <w:pPr>
        <w:numPr>
          <w:ilvl w:val="0"/>
          <w:numId w:val="1380"/>
        </w:numPr>
        <w:shd w:val="clear" w:color="auto" w:fill="FFFFFF"/>
        <w:spacing w:before="100" w:beforeAutospacing="1" w:after="100" w:afterAutospacing="1" w:line="240" w:lineRule="auto"/>
        <w:rPr>
          <w:rFonts w:cs="Times New Roman"/>
          <w:color w:val="000000"/>
          <w:sz w:val="15"/>
          <w:szCs w:val="15"/>
          <w:shd w:val="clear" w:color="auto" w:fill="FFFFFF"/>
        </w:rPr>
      </w:pPr>
      <w:r w:rsidRPr="0077141B">
        <w:rPr>
          <w:rFonts w:cs="Times New Roman"/>
          <w:color w:val="000000"/>
          <w:sz w:val="15"/>
          <w:szCs w:val="15"/>
          <w:shd w:val="clear" w:color="auto" w:fill="FFFFFF"/>
        </w:rPr>
        <w:t>Examiner les solutions possibles à ces préoccupations.</w:t>
      </w:r>
    </w:p>
    <w:p w:rsidR="00E64123" w:rsidRPr="002F0FA6" w:rsidRDefault="0067652D" w:rsidP="00E64123">
      <w:pPr>
        <w:pStyle w:val="Sansinterligne"/>
        <w:rPr>
          <w:b/>
          <w:sz w:val="28"/>
          <w:szCs w:val="28"/>
        </w:rPr>
      </w:pPr>
      <w:r>
        <w:rPr>
          <w:noProof/>
          <w:lang w:eastAsia="fr-CA"/>
        </w:rPr>
        <w:drawing>
          <wp:anchor distT="0" distB="0" distL="114300" distR="114300" simplePos="0" relativeHeight="252174336" behindDoc="1" locked="0" layoutInCell="1" allowOverlap="1" wp14:anchorId="0DC6B6E5" wp14:editId="1B632D3C">
            <wp:simplePos x="0" y="0"/>
            <wp:positionH relativeFrom="column">
              <wp:posOffset>3705225</wp:posOffset>
            </wp:positionH>
            <wp:positionV relativeFrom="paragraph">
              <wp:posOffset>-382905</wp:posOffset>
            </wp:positionV>
            <wp:extent cx="2898140" cy="3723005"/>
            <wp:effectExtent l="0" t="0" r="0" b="0"/>
            <wp:wrapNone/>
            <wp:docPr id="649" name="Image 649" descr="Résultats de recherche d'images pour « nations autochtones canad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ésultats de recherche d'images pour « nations autochtones canada »"/>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2898140" cy="3723005"/>
                    </a:xfrm>
                    <a:prstGeom prst="rect">
                      <a:avLst/>
                    </a:prstGeom>
                    <a:noFill/>
                    <a:ln>
                      <a:noFill/>
                    </a:ln>
                  </pic:spPr>
                </pic:pic>
              </a:graphicData>
            </a:graphic>
            <wp14:sizeRelH relativeFrom="page">
              <wp14:pctWidth>0</wp14:pctWidth>
            </wp14:sizeRelH>
            <wp14:sizeRelV relativeFrom="page">
              <wp14:pctHeight>0</wp14:pctHeight>
            </wp14:sizeRelV>
          </wp:anchor>
        </w:drawing>
      </w:r>
      <w:r w:rsidR="00E64123" w:rsidRPr="002F0FA6">
        <w:rPr>
          <w:b/>
          <w:sz w:val="28"/>
          <w:szCs w:val="28"/>
        </w:rPr>
        <w:t>Premières Nations, Inuits et Métis</w:t>
      </w:r>
    </w:p>
    <w:p w:rsidR="00E64123" w:rsidRDefault="00E64123" w:rsidP="00E64123">
      <w:pPr>
        <w:pStyle w:val="Sansinterligne"/>
      </w:pPr>
    </w:p>
    <w:p w:rsidR="006A0816" w:rsidRDefault="003F6ADA" w:rsidP="00083D91">
      <w:pPr>
        <w:pStyle w:val="Sansinterligne"/>
        <w:ind w:right="4988"/>
        <w:jc w:val="both"/>
        <w:rPr>
          <w:rFonts w:cs="Times New Roman"/>
        </w:rPr>
      </w:pPr>
      <w:r>
        <w:t xml:space="preserve">Les Premières Nations, les Inuits et les Métis </w:t>
      </w:r>
      <w:r w:rsidR="006A0816">
        <w:t xml:space="preserve">ont longtemps eu des relations difficiles avec les gouvernements </w:t>
      </w:r>
      <w:r w:rsidR="006A0816">
        <w:rPr>
          <w:rFonts w:ascii="Century Gothic" w:hAnsi="Century Gothic"/>
        </w:rPr>
        <w:t>«</w:t>
      </w:r>
      <w:r w:rsidR="006A0816">
        <w:t xml:space="preserve"> blancs</w:t>
      </w:r>
      <w:r w:rsidR="00606438">
        <w:t xml:space="preserve"> </w:t>
      </w:r>
      <w:r w:rsidR="006A0816">
        <w:rPr>
          <w:rFonts w:cs="Times New Roman"/>
        </w:rPr>
        <w:t>» en raison de la faible considération pour leurs cultures et leurs besoins et ce jusqu’à récemment dans leur histoire. Ces nations ont également certains droits, garantis par des traités et des revendications territoriales. Des politiques visant à assimiler ces populations et nier leur identité culturelle ont même été institutionnalisés. Citons :</w:t>
      </w:r>
    </w:p>
    <w:p w:rsidR="006A0816" w:rsidRPr="0008397B" w:rsidRDefault="006A0816" w:rsidP="00083D91">
      <w:pPr>
        <w:pStyle w:val="Sansinterligne"/>
        <w:numPr>
          <w:ilvl w:val="0"/>
          <w:numId w:val="1420"/>
        </w:numPr>
        <w:ind w:right="4988"/>
        <w:jc w:val="both"/>
        <w:rPr>
          <w:rFonts w:cs="Times New Roman"/>
          <w:highlight w:val="yellow"/>
        </w:rPr>
      </w:pPr>
      <w:r w:rsidRPr="0008397B">
        <w:rPr>
          <w:rFonts w:cs="Times New Roman"/>
          <w:highlight w:val="yellow"/>
        </w:rPr>
        <w:t>Les pensionnats (enfants retirés de force des communautés pour être éduqués dans une langue autre et désapprendre leurs coutumes)</w:t>
      </w:r>
    </w:p>
    <w:p w:rsidR="006A0816" w:rsidRPr="0008397B" w:rsidRDefault="006A0816" w:rsidP="00083D91">
      <w:pPr>
        <w:pStyle w:val="Sansinterligne"/>
        <w:numPr>
          <w:ilvl w:val="0"/>
          <w:numId w:val="1420"/>
        </w:numPr>
        <w:ind w:right="4988"/>
        <w:jc w:val="both"/>
        <w:rPr>
          <w:rFonts w:cs="Times New Roman"/>
          <w:highlight w:val="yellow"/>
        </w:rPr>
      </w:pPr>
      <w:r w:rsidRPr="0008397B">
        <w:rPr>
          <w:rFonts w:cs="Times New Roman"/>
          <w:highlight w:val="yellow"/>
        </w:rPr>
        <w:t>La colonisation (perte de leurs territoires et déplacement de communautés entières dans des territoires réservés)</w:t>
      </w:r>
    </w:p>
    <w:p w:rsidR="006A0816" w:rsidRPr="0008397B" w:rsidRDefault="006A0816" w:rsidP="00083D91">
      <w:pPr>
        <w:pStyle w:val="Sansinterligne"/>
        <w:ind w:right="4988"/>
        <w:jc w:val="both"/>
        <w:rPr>
          <w:rFonts w:cs="Times New Roman"/>
          <w:highlight w:val="yellow"/>
        </w:rPr>
      </w:pPr>
    </w:p>
    <w:p w:rsidR="006A0816" w:rsidRDefault="006A0816" w:rsidP="00083D91">
      <w:pPr>
        <w:pStyle w:val="Sansinterligne"/>
        <w:ind w:right="4988"/>
        <w:jc w:val="both"/>
      </w:pPr>
      <w:r w:rsidRPr="0008397B">
        <w:rPr>
          <w:highlight w:val="yellow"/>
        </w:rPr>
        <w:t>Ces injustices ont contribué à la destruction du tissu social de ces communautés, à l’émergence de problématiques de santé mentale, de dépendance et à la perte d’identité. Ces effets se font encore aujourd’hui sentir, puisqu’ils ont des impacts sur les générations suivantes.</w:t>
      </w:r>
    </w:p>
    <w:p w:rsidR="006A0816" w:rsidRDefault="009C7D4B" w:rsidP="00083D91">
      <w:pPr>
        <w:pStyle w:val="Sansinterligne"/>
        <w:ind w:right="4988"/>
        <w:jc w:val="both"/>
      </w:pPr>
      <w:r>
        <w:rPr>
          <w:b/>
          <w:noProof/>
          <w:sz w:val="28"/>
          <w:szCs w:val="28"/>
          <w:lang w:eastAsia="fr-CA"/>
        </w:rPr>
        <mc:AlternateContent>
          <mc:Choice Requires="wpg">
            <w:drawing>
              <wp:anchor distT="0" distB="0" distL="114300" distR="114300" simplePos="0" relativeHeight="252176384" behindDoc="0" locked="0" layoutInCell="1" allowOverlap="1" wp14:anchorId="46CB198F" wp14:editId="78A056B7">
                <wp:simplePos x="0" y="0"/>
                <wp:positionH relativeFrom="column">
                  <wp:posOffset>3768171</wp:posOffset>
                </wp:positionH>
                <wp:positionV relativeFrom="paragraph">
                  <wp:posOffset>72390</wp:posOffset>
                </wp:positionV>
                <wp:extent cx="3054350" cy="2314575"/>
                <wp:effectExtent l="0" t="0" r="0" b="9525"/>
                <wp:wrapNone/>
                <wp:docPr id="650" name="Groupe 650"/>
                <wp:cNvGraphicFramePr/>
                <a:graphic xmlns:a="http://schemas.openxmlformats.org/drawingml/2006/main">
                  <a:graphicData uri="http://schemas.microsoft.com/office/word/2010/wordprocessingGroup">
                    <wpg:wgp>
                      <wpg:cNvGrpSpPr/>
                      <wpg:grpSpPr>
                        <a:xfrm>
                          <a:off x="0" y="0"/>
                          <a:ext cx="3054350" cy="2314575"/>
                          <a:chOff x="0" y="0"/>
                          <a:chExt cx="3054485" cy="2315183"/>
                        </a:xfrm>
                      </wpg:grpSpPr>
                      <pic:pic xmlns:pic="http://schemas.openxmlformats.org/drawingml/2006/picture">
                        <pic:nvPicPr>
                          <pic:cNvPr id="651" name="Image 651" descr="Résultats de recherche d'images pour « culture et santé autochtones »"/>
                          <pic:cNvPicPr>
                            <a:picLocks noChangeAspect="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282102"/>
                            <a:ext cx="3054485" cy="2033081"/>
                          </a:xfrm>
                          <a:prstGeom prst="rect">
                            <a:avLst/>
                          </a:prstGeom>
                          <a:noFill/>
                          <a:ln>
                            <a:noFill/>
                          </a:ln>
                        </pic:spPr>
                      </pic:pic>
                      <wps:wsp>
                        <wps:cNvPr id="652" name="Zone de texte 2"/>
                        <wps:cNvSpPr txBox="1">
                          <a:spLocks noChangeArrowheads="1"/>
                        </wps:cNvSpPr>
                        <wps:spPr bwMode="auto">
                          <a:xfrm>
                            <a:off x="0" y="0"/>
                            <a:ext cx="3053715" cy="262255"/>
                          </a:xfrm>
                          <a:prstGeom prst="rect">
                            <a:avLst/>
                          </a:prstGeom>
                          <a:noFill/>
                          <a:ln w="9525">
                            <a:noFill/>
                            <a:miter lim="800000"/>
                            <a:headEnd/>
                            <a:tailEnd/>
                          </a:ln>
                        </wps:spPr>
                        <wps:txbx>
                          <w:txbxContent>
                            <w:p w:rsidR="008276DC" w:rsidRPr="000765F2" w:rsidRDefault="008276DC" w:rsidP="0008397B">
                              <w:pPr>
                                <w:rPr>
                                  <w:b/>
                                </w:rPr>
                              </w:pPr>
                              <w:r w:rsidRPr="000765F2">
                                <w:rPr>
                                  <w:b/>
                                </w:rPr>
                                <w:t xml:space="preserve">Modèle </w:t>
                              </w:r>
                              <w:r>
                                <w:rPr>
                                  <w:b/>
                                </w:rPr>
                                <w:t>de santé holistique - Premières Nations</w:t>
                              </w:r>
                            </w:p>
                          </w:txbxContent>
                        </wps:txbx>
                        <wps:bodyPr rot="0" vert="horz" wrap="square" lIns="91440" tIns="45720" rIns="91440" bIns="45720" anchor="t" anchorCtr="0">
                          <a:noAutofit/>
                        </wps:bodyPr>
                      </wps:wsp>
                    </wpg:wgp>
                  </a:graphicData>
                </a:graphic>
              </wp:anchor>
            </w:drawing>
          </mc:Choice>
          <mc:Fallback>
            <w:pict>
              <v:group id="Groupe 650" o:spid="_x0000_s1102" style="position:absolute;left:0;text-align:left;margin-left:296.7pt;margin-top:5.7pt;width:240.5pt;height:182.25pt;z-index:252176384" coordsize="30544,2315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">
                <v:shape id="Image 651" o:spid="_x0000_s1103" type="#_x0000_t75" alt="Résultats de recherche d'images pour « culture et santé autochtones »" style="position:absolute;top:2821;width:30544;height:203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OUdrvCAAAA3AAAAA8AAABkcnMvZG93bnJldi54bWxEj0GLwjAUhO8L/ofwFrytqYIi1SgiKF5E&#10;tNXzo3m2ZZuXmkSt/94sLHgcZuYbZr7sTCMe5HxtWcFwkIAgLqyuuVSQZ5ufKQgfkDU2lknBizws&#10;F72vOabaPvlIj1MoRYSwT1FBFUKbSumLigz6gW2Jo3e1zmCI0pVSO3xGuGnkKEkm0mDNcaHCltYV&#10;Fb+nu1Hgj7jKrz5b53zTWbc/bN3lPFKq/92tZiACdeET/m/vtILJeAh/Z+IRkIs3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TlHa7wgAAANwAAAAPAAAAAAAAAAAAAAAAAJ8C&#10;AABkcnMvZG93bnJldi54bWxQSwUGAAAAAAQABAD3AAAAjgMAAAAA&#10;">
                  <v:imagedata r:id="rId257" o:title="Résultats de recherche d'images pour « culture et santé autochtones »"/>
                  <v:path arrowok="t"/>
                </v:shape>
                <v:shape id="_x0000_s1104" type="#_x0000_t202" style="position:absolute;width:30537;height:26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fGdMQA&#10;AADcAAAADwAAAGRycy9kb3ducmV2LnhtbESPQWvCQBSE70L/w/IK3nS3YkKbukpRCp4qpq3g7ZF9&#10;JqHZtyG7TeK/7wpCj8PMfMOsNqNtRE+drx1reJorEMSFMzWXGr4+32fPIHxANtg4Jg1X8rBZP0xW&#10;mBk38JH6PJQiQthnqKEKoc2k9EVFFv3ctcTRu7jOYoiyK6XpcIhw28iFUqm0WHNcqLClbUXFT/5r&#10;NXx/XM6npTqUO5u0gxuVZPsitZ4+jm+vIAKN4T98b++NhjRZwO1MPAJ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DXxnTEAAAA3AAAAA8AAAAAAAAAAAAAAAAAmAIAAGRycy9k&#10;b3ducmV2LnhtbFBLBQYAAAAABAAEAPUAAACJAwAAAAA=&#10;" filled="f" stroked="f">
                  <v:textbox>
                    <w:txbxContent>
                      <w:p w:rsidR="008276DC" w:rsidRPr="000765F2" w:rsidRDefault="008276DC" w:rsidP="0008397B">
                        <w:pPr>
                          <w:rPr>
                            <w:b/>
                          </w:rPr>
                        </w:pPr>
                        <w:r w:rsidRPr="000765F2">
                          <w:rPr>
                            <w:b/>
                          </w:rPr>
                          <w:t xml:space="preserve">Modèle </w:t>
                        </w:r>
                        <w:r>
                          <w:rPr>
                            <w:b/>
                          </w:rPr>
                          <w:t>de santé holistique - Premières Nations</w:t>
                        </w:r>
                      </w:p>
                    </w:txbxContent>
                  </v:textbox>
                </v:shape>
              </v:group>
            </w:pict>
          </mc:Fallback>
        </mc:AlternateContent>
      </w:r>
    </w:p>
    <w:p w:rsidR="003F6ADA" w:rsidRDefault="003F6ADA" w:rsidP="00083D91">
      <w:pPr>
        <w:pStyle w:val="Sansinterligne"/>
        <w:ind w:right="4988"/>
        <w:jc w:val="both"/>
      </w:pPr>
      <w:r>
        <w:t xml:space="preserve">Ces populations vivent également pour la plupart dans des communautés </w:t>
      </w:r>
      <w:r w:rsidR="0008397B">
        <w:t>éloignées</w:t>
      </w:r>
      <w:r>
        <w:t xml:space="preserve"> et font face aux défis liés à l’</w:t>
      </w:r>
      <w:r w:rsidR="009C7D4B">
        <w:t>isolement et la pauvreté</w:t>
      </w:r>
      <w:r w:rsidR="00E406C7">
        <w:t xml:space="preserve">. </w:t>
      </w:r>
      <w:r>
        <w:t>Par contre, une part non-négligeable des Autochtones au Canada vivent maintenant en milieu urbain. Ceux-ci vivent également beaucoup de stigmatisation.</w:t>
      </w:r>
    </w:p>
    <w:p w:rsidR="003F6ADA" w:rsidRDefault="003F6ADA" w:rsidP="00083D91">
      <w:pPr>
        <w:pStyle w:val="Sansinterligne"/>
        <w:ind w:right="4988"/>
        <w:jc w:val="both"/>
      </w:pPr>
    </w:p>
    <w:p w:rsidR="003F6ADA" w:rsidRDefault="003F6ADA" w:rsidP="00083D91">
      <w:pPr>
        <w:pStyle w:val="Sansinterligne"/>
        <w:ind w:right="4988"/>
        <w:jc w:val="both"/>
      </w:pPr>
      <w:r w:rsidRPr="0008397B">
        <w:rPr>
          <w:highlight w:val="yellow"/>
        </w:rPr>
        <w:t xml:space="preserve">Les Autochtones du Canada sont essentiellement desservis par Santé Canada dans des dispensaires locaux. Santé Canada rembourse également les soins non-assurés lorsque  ceux-ci ne sont </w:t>
      </w:r>
      <w:r w:rsidR="0008397B" w:rsidRPr="0008397B">
        <w:rPr>
          <w:highlight w:val="yellow"/>
        </w:rPr>
        <w:t>pas</w:t>
      </w:r>
      <w:r w:rsidRPr="0008397B">
        <w:rPr>
          <w:highlight w:val="yellow"/>
        </w:rPr>
        <w:t xml:space="preserve"> disponible sur place (santé dentaire et oculaire, médecine</w:t>
      </w:r>
      <w:r w:rsidR="002B6B21">
        <w:rPr>
          <w:highlight w:val="yellow"/>
        </w:rPr>
        <w:t xml:space="preserve"> spécialisée</w:t>
      </w:r>
      <w:r w:rsidRPr="0008397B">
        <w:rPr>
          <w:highlight w:val="yellow"/>
        </w:rPr>
        <w:t>, matériel médical, etc.). Ils doivent cependant faire des démarches pour être remboursés. Les Nations conventionné</w:t>
      </w:r>
      <w:r w:rsidR="002B6B21">
        <w:rPr>
          <w:highlight w:val="yellow"/>
        </w:rPr>
        <w:t>e</w:t>
      </w:r>
      <w:r w:rsidRPr="0008397B">
        <w:rPr>
          <w:highlight w:val="yellow"/>
        </w:rPr>
        <w:t>s (au Québec) (Cris et Naskapis), son</w:t>
      </w:r>
      <w:r w:rsidR="002B6B21">
        <w:rPr>
          <w:highlight w:val="yellow"/>
        </w:rPr>
        <w:t>t</w:t>
      </w:r>
      <w:r w:rsidRPr="0008397B">
        <w:rPr>
          <w:highlight w:val="yellow"/>
        </w:rPr>
        <w:t xml:space="preserve"> toutefois desservis comme toute autre population par le régime de santé québécois.</w:t>
      </w:r>
    </w:p>
    <w:p w:rsidR="002F0FA6" w:rsidRDefault="00E406C7" w:rsidP="003F6ADA">
      <w:pPr>
        <w:pStyle w:val="Sansinterligne"/>
        <w:ind w:right="4988"/>
      </w:pPr>
      <w:r>
        <w:rPr>
          <w:noProof/>
          <w:lang w:eastAsia="fr-CA"/>
        </w:rPr>
        <mc:AlternateContent>
          <mc:Choice Requires="wps">
            <w:drawing>
              <wp:anchor distT="0" distB="0" distL="114300" distR="114300" simplePos="0" relativeHeight="252178432" behindDoc="0" locked="0" layoutInCell="1" allowOverlap="1" wp14:anchorId="3A2BAD88" wp14:editId="38AD0868">
                <wp:simplePos x="0" y="0"/>
                <wp:positionH relativeFrom="column">
                  <wp:posOffset>3764469</wp:posOffset>
                </wp:positionH>
                <wp:positionV relativeFrom="paragraph">
                  <wp:posOffset>64135</wp:posOffset>
                </wp:positionV>
                <wp:extent cx="2374265" cy="1507490"/>
                <wp:effectExtent l="0" t="0" r="19050" b="16510"/>
                <wp:wrapNone/>
                <wp:docPr id="653"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507490"/>
                        </a:xfrm>
                        <a:prstGeom prst="rect">
                          <a:avLst/>
                        </a:prstGeom>
                        <a:solidFill>
                          <a:schemeClr val="bg2">
                            <a:lumMod val="75000"/>
                          </a:schemeClr>
                        </a:solidFill>
                        <a:ln w="9525">
                          <a:solidFill>
                            <a:srgbClr val="000000"/>
                          </a:solidFill>
                          <a:miter lim="800000"/>
                          <a:headEnd/>
                          <a:tailEnd/>
                        </a:ln>
                      </wps:spPr>
                      <wps:txbx>
                        <w:txbxContent>
                          <w:p w:rsidR="008276DC" w:rsidRPr="009C7D4B" w:rsidRDefault="008276DC" w:rsidP="009C7D4B">
                            <w:pPr>
                              <w:jc w:val="center"/>
                              <w:rPr>
                                <w:b/>
                              </w:rPr>
                            </w:pPr>
                            <w:r w:rsidRPr="009C7D4B">
                              <w:rPr>
                                <w:b/>
                              </w:rPr>
                              <w:t>Quelques défis de santé spécifiques</w:t>
                            </w:r>
                          </w:p>
                          <w:p w:rsidR="008276DC" w:rsidRDefault="008276DC" w:rsidP="009C7D4B">
                            <w:pPr>
                              <w:pStyle w:val="Paragraphedeliste"/>
                              <w:numPr>
                                <w:ilvl w:val="0"/>
                                <w:numId w:val="1422"/>
                              </w:numPr>
                            </w:pPr>
                            <w:r>
                              <w:t>Diabète, tabagisme, sédentarité</w:t>
                            </w:r>
                          </w:p>
                          <w:p w:rsidR="008276DC" w:rsidRDefault="008276DC" w:rsidP="009C7D4B">
                            <w:pPr>
                              <w:pStyle w:val="Paragraphedeliste"/>
                              <w:numPr>
                                <w:ilvl w:val="0"/>
                                <w:numId w:val="1422"/>
                              </w:numPr>
                            </w:pPr>
                            <w:r>
                              <w:t>Malnutrition (pauvreté)</w:t>
                            </w:r>
                          </w:p>
                          <w:p w:rsidR="008276DC" w:rsidRDefault="008276DC" w:rsidP="009C7D4B">
                            <w:pPr>
                              <w:pStyle w:val="Paragraphedeliste"/>
                              <w:numPr>
                                <w:ilvl w:val="0"/>
                                <w:numId w:val="1422"/>
                              </w:numPr>
                            </w:pPr>
                            <w:r>
                              <w:t>Tuberculose (promiscuité)</w:t>
                            </w:r>
                          </w:p>
                          <w:p w:rsidR="008276DC" w:rsidRDefault="008276DC" w:rsidP="009C7D4B">
                            <w:pPr>
                              <w:pStyle w:val="Paragraphedeliste"/>
                              <w:numPr>
                                <w:ilvl w:val="0"/>
                                <w:numId w:val="1422"/>
                              </w:numPr>
                            </w:pPr>
                            <w:r>
                              <w:t>Santé mentale</w:t>
                            </w:r>
                          </w:p>
                          <w:p w:rsidR="008276DC" w:rsidRDefault="008276DC" w:rsidP="009C7D4B">
                            <w:pPr>
                              <w:pStyle w:val="Paragraphedeliste"/>
                              <w:numPr>
                                <w:ilvl w:val="0"/>
                                <w:numId w:val="1422"/>
                              </w:numPr>
                            </w:pPr>
                            <w:r>
                              <w:t>Suicide</w:t>
                            </w:r>
                          </w:p>
                          <w:p w:rsidR="008276DC" w:rsidRDefault="008276DC" w:rsidP="009C7D4B">
                            <w:pPr>
                              <w:pStyle w:val="Paragraphedeliste"/>
                              <w:numPr>
                                <w:ilvl w:val="0"/>
                                <w:numId w:val="1422"/>
                              </w:numPr>
                            </w:pPr>
                            <w:r>
                              <w:t>Dépendance (alcool, drogues)</w:t>
                            </w:r>
                          </w:p>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 id="_x0000_s1105" type="#_x0000_t202" style="position:absolute;margin-left:296.4pt;margin-top:5.05pt;width:186.95pt;height:118.7pt;z-index:252178432;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" fillcolor="#c4bc96 [2414]">
                <v:textbox>
                  <w:txbxContent>
                    <w:p w:rsidR="008276DC" w:rsidRPr="009C7D4B" w:rsidRDefault="008276DC" w:rsidP="009C7D4B">
                      <w:pPr>
                        <w:jc w:val="center"/>
                        <w:rPr>
                          <w:b/>
                        </w:rPr>
                      </w:pPr>
                      <w:r w:rsidRPr="009C7D4B">
                        <w:rPr>
                          <w:b/>
                        </w:rPr>
                        <w:t>Quelques défis de santé spécifiques</w:t>
                      </w:r>
                    </w:p>
                    <w:p w:rsidR="008276DC" w:rsidRDefault="008276DC" w:rsidP="009C7D4B">
                      <w:pPr>
                        <w:pStyle w:val="Paragraphedeliste"/>
                        <w:numPr>
                          <w:ilvl w:val="0"/>
                          <w:numId w:val="1422"/>
                        </w:numPr>
                      </w:pPr>
                      <w:r>
                        <w:t>Diabète, tabagisme, sédentarité</w:t>
                      </w:r>
                    </w:p>
                    <w:p w:rsidR="008276DC" w:rsidRDefault="008276DC" w:rsidP="009C7D4B">
                      <w:pPr>
                        <w:pStyle w:val="Paragraphedeliste"/>
                        <w:numPr>
                          <w:ilvl w:val="0"/>
                          <w:numId w:val="1422"/>
                        </w:numPr>
                      </w:pPr>
                      <w:r>
                        <w:t>Malnutrition (pauvreté)</w:t>
                      </w:r>
                    </w:p>
                    <w:p w:rsidR="008276DC" w:rsidRDefault="008276DC" w:rsidP="009C7D4B">
                      <w:pPr>
                        <w:pStyle w:val="Paragraphedeliste"/>
                        <w:numPr>
                          <w:ilvl w:val="0"/>
                          <w:numId w:val="1422"/>
                        </w:numPr>
                      </w:pPr>
                      <w:r>
                        <w:t>Tuberculose (promiscuité)</w:t>
                      </w:r>
                    </w:p>
                    <w:p w:rsidR="008276DC" w:rsidRDefault="008276DC" w:rsidP="009C7D4B">
                      <w:pPr>
                        <w:pStyle w:val="Paragraphedeliste"/>
                        <w:numPr>
                          <w:ilvl w:val="0"/>
                          <w:numId w:val="1422"/>
                        </w:numPr>
                      </w:pPr>
                      <w:r>
                        <w:t>Santé mentale</w:t>
                      </w:r>
                    </w:p>
                    <w:p w:rsidR="008276DC" w:rsidRDefault="008276DC" w:rsidP="009C7D4B">
                      <w:pPr>
                        <w:pStyle w:val="Paragraphedeliste"/>
                        <w:numPr>
                          <w:ilvl w:val="0"/>
                          <w:numId w:val="1422"/>
                        </w:numPr>
                      </w:pPr>
                      <w:r>
                        <w:t>Suicide</w:t>
                      </w:r>
                    </w:p>
                    <w:p w:rsidR="008276DC" w:rsidRDefault="008276DC" w:rsidP="009C7D4B">
                      <w:pPr>
                        <w:pStyle w:val="Paragraphedeliste"/>
                        <w:numPr>
                          <w:ilvl w:val="0"/>
                          <w:numId w:val="1422"/>
                        </w:numPr>
                      </w:pPr>
                      <w:r>
                        <w:t>Dépendance (alcool, drogues)</w:t>
                      </w:r>
                    </w:p>
                  </w:txbxContent>
                </v:textbox>
              </v:shape>
            </w:pict>
          </mc:Fallback>
        </mc:AlternateContent>
      </w:r>
    </w:p>
    <w:p w:rsidR="002F0FA6" w:rsidRPr="0008397B" w:rsidRDefault="002F0FA6" w:rsidP="003F6ADA">
      <w:pPr>
        <w:pStyle w:val="Sansinterligne"/>
        <w:ind w:right="4988"/>
        <w:rPr>
          <w:u w:val="single"/>
        </w:rPr>
      </w:pPr>
      <w:r w:rsidRPr="0008397B">
        <w:rPr>
          <w:u w:val="single"/>
        </w:rPr>
        <w:t xml:space="preserve">Croyances et </w:t>
      </w:r>
      <w:r w:rsidR="009C7D4B">
        <w:rPr>
          <w:u w:val="single"/>
        </w:rPr>
        <w:t xml:space="preserve">déterminants </w:t>
      </w:r>
      <w:r w:rsidRPr="0008397B">
        <w:rPr>
          <w:u w:val="single"/>
        </w:rPr>
        <w:t>de la santé</w:t>
      </w:r>
    </w:p>
    <w:p w:rsidR="003F6ADA" w:rsidRDefault="003F6ADA" w:rsidP="003F6ADA">
      <w:pPr>
        <w:pStyle w:val="Sansinterligne"/>
        <w:ind w:right="4988"/>
      </w:pPr>
      <w:r>
        <w:t xml:space="preserve">Les Autochtones, Métis et Inuits ont des croyances et une vision de la santé différente des populations majoritaires. De grandes variations existent, toutefois </w:t>
      </w:r>
      <w:r w:rsidRPr="0008397B">
        <w:rPr>
          <w:highlight w:val="yellow"/>
        </w:rPr>
        <w:t xml:space="preserve">un bon clinicien doit être capable d’en tenir compte et d’admettre qu’il ne connait pas le contexte culturel du patient </w:t>
      </w:r>
      <w:r w:rsidR="0008397B">
        <w:rPr>
          <w:highlight w:val="yellow"/>
        </w:rPr>
        <w:t>(humilité culturelle</w:t>
      </w:r>
      <w:r w:rsidR="00CD3213">
        <w:rPr>
          <w:highlight w:val="yellow"/>
        </w:rPr>
        <w:t>)</w:t>
      </w:r>
      <w:r w:rsidR="0008397B">
        <w:rPr>
          <w:highlight w:val="yellow"/>
        </w:rPr>
        <w:t xml:space="preserve"> </w:t>
      </w:r>
      <w:r w:rsidRPr="0008397B">
        <w:rPr>
          <w:highlight w:val="yellow"/>
        </w:rPr>
        <w:t>et lui demander de l’éclairer</w:t>
      </w:r>
      <w:r w:rsidR="009C7D4B">
        <w:t>.</w:t>
      </w:r>
    </w:p>
    <w:p w:rsidR="003F6ADA" w:rsidRDefault="003F6ADA" w:rsidP="003F6ADA">
      <w:pPr>
        <w:pStyle w:val="Sansinterligne"/>
        <w:ind w:right="4988"/>
      </w:pPr>
    </w:p>
    <w:p w:rsidR="003F6ADA" w:rsidRPr="0008397B" w:rsidRDefault="003F6ADA" w:rsidP="003F6ADA">
      <w:pPr>
        <w:pStyle w:val="Sansinterligne"/>
        <w:ind w:right="4988"/>
        <w:rPr>
          <w:u w:val="single"/>
        </w:rPr>
      </w:pPr>
      <w:r w:rsidRPr="0008397B">
        <w:rPr>
          <w:u w:val="single"/>
        </w:rPr>
        <w:t xml:space="preserve">Quelques exemples </w:t>
      </w:r>
    </w:p>
    <w:p w:rsidR="003F6ADA" w:rsidRDefault="003F6ADA" w:rsidP="0008397B">
      <w:pPr>
        <w:pStyle w:val="Sansinterligne"/>
        <w:numPr>
          <w:ilvl w:val="0"/>
          <w:numId w:val="1421"/>
        </w:numPr>
        <w:ind w:right="27"/>
      </w:pPr>
      <w:r>
        <w:t xml:space="preserve">Les Innus ne se considèrent pas malades tant que leur rôle social n’est pas affecté, il est donc </w:t>
      </w:r>
      <w:r w:rsidR="0008397B">
        <w:t>difficile</w:t>
      </w:r>
      <w:r>
        <w:t xml:space="preserve"> d’</w:t>
      </w:r>
      <w:r w:rsidR="0008397B">
        <w:t>e</w:t>
      </w:r>
      <w:r>
        <w:t>xpliquer et prévenir des maladies asymptomatiques ou à évolution lente (diabète).</w:t>
      </w:r>
    </w:p>
    <w:p w:rsidR="003F6ADA" w:rsidRDefault="003F6ADA" w:rsidP="0008397B">
      <w:pPr>
        <w:pStyle w:val="Sansinterligne"/>
        <w:numPr>
          <w:ilvl w:val="0"/>
          <w:numId w:val="1421"/>
        </w:numPr>
        <w:ind w:right="27"/>
      </w:pPr>
      <w:r>
        <w:t>Le concept de vie privée et de secret est différent. Il n’est pas rare que la famille élargie d’un patient vienne le voir à l’hôpital et interagisse avec le personnel.</w:t>
      </w:r>
    </w:p>
    <w:p w:rsidR="003F6ADA" w:rsidRDefault="003F6ADA" w:rsidP="0008397B">
      <w:pPr>
        <w:pStyle w:val="Sansinterligne"/>
        <w:numPr>
          <w:ilvl w:val="0"/>
          <w:numId w:val="1421"/>
        </w:numPr>
        <w:ind w:right="27"/>
      </w:pPr>
      <w:r>
        <w:t>Certaines pratiques médicales ancestrales (plantes naturelles, tentes de sudation) existent toujours, le médecin doit donc en tenir compte.</w:t>
      </w:r>
    </w:p>
    <w:p w:rsidR="003F6ADA" w:rsidRDefault="003F6ADA" w:rsidP="00E64123">
      <w:pPr>
        <w:pStyle w:val="Sansinterligne"/>
      </w:pPr>
    </w:p>
    <w:p w:rsidR="00E406C7" w:rsidRDefault="00E406C7" w:rsidP="00E64123">
      <w:pPr>
        <w:pStyle w:val="Sansinterligne"/>
      </w:pPr>
    </w:p>
    <w:p w:rsidR="00E64123" w:rsidRPr="002F0FA6" w:rsidRDefault="00D11E27" w:rsidP="00E64123">
      <w:pPr>
        <w:pStyle w:val="Sansinterligne"/>
        <w:rPr>
          <w:b/>
          <w:sz w:val="28"/>
          <w:szCs w:val="28"/>
        </w:rPr>
      </w:pPr>
      <w:r>
        <w:rPr>
          <w:noProof/>
          <w:lang w:eastAsia="fr-CA"/>
        </w:rPr>
        <w:drawing>
          <wp:anchor distT="0" distB="0" distL="114300" distR="114300" simplePos="0" relativeHeight="252181504" behindDoc="0" locked="0" layoutInCell="1" allowOverlap="1" wp14:anchorId="61285AFE" wp14:editId="64379A9D">
            <wp:simplePos x="0" y="0"/>
            <wp:positionH relativeFrom="column">
              <wp:posOffset>4474845</wp:posOffset>
            </wp:positionH>
            <wp:positionV relativeFrom="paragraph">
              <wp:posOffset>-286385</wp:posOffset>
            </wp:positionV>
            <wp:extent cx="2146935" cy="1536700"/>
            <wp:effectExtent l="0" t="0" r="5715" b="6350"/>
            <wp:wrapNone/>
            <wp:docPr id="655" name="Image 655" descr="Résultats de recherche d'images pour « migrants et santé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ésultats de recherche d'images pour « migrants et santé »"/>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2146935" cy="1536700"/>
                    </a:xfrm>
                    <a:prstGeom prst="rect">
                      <a:avLst/>
                    </a:prstGeom>
                    <a:noFill/>
                    <a:ln>
                      <a:noFill/>
                    </a:ln>
                  </pic:spPr>
                </pic:pic>
              </a:graphicData>
            </a:graphic>
            <wp14:sizeRelH relativeFrom="page">
              <wp14:pctWidth>0</wp14:pctWidth>
            </wp14:sizeRelH>
            <wp14:sizeRelV relativeFrom="page">
              <wp14:pctHeight>0</wp14:pctHeight>
            </wp14:sizeRelV>
          </wp:anchor>
        </w:drawing>
      </w:r>
      <w:r w:rsidR="00E64123" w:rsidRPr="002F0FA6">
        <w:rPr>
          <w:b/>
          <w:sz w:val="28"/>
          <w:szCs w:val="28"/>
        </w:rPr>
        <w:t>Immigrants et réfugiés</w:t>
      </w:r>
    </w:p>
    <w:p w:rsidR="00E64123" w:rsidRDefault="00E64123" w:rsidP="00E64123">
      <w:pPr>
        <w:pStyle w:val="Sansinterligne"/>
      </w:pPr>
    </w:p>
    <w:p w:rsidR="00E406C7" w:rsidRDefault="00E406C7" w:rsidP="00E64123">
      <w:pPr>
        <w:pStyle w:val="Sansinterligne"/>
      </w:pPr>
      <w:r>
        <w:t>Les pays occident</w:t>
      </w:r>
      <w:r w:rsidR="00D11E27">
        <w:t>aux</w:t>
      </w:r>
      <w:r>
        <w:t xml:space="preserve"> vivent des vagues d’immigration régulière</w:t>
      </w:r>
      <w:r w:rsidR="00CD3213">
        <w:t>s</w:t>
      </w:r>
      <w:r>
        <w:t>,</w:t>
      </w:r>
      <w:r w:rsidR="00D11E27">
        <w:t xml:space="preserve"> en raison de</w:t>
      </w:r>
      <w:r>
        <w:t>:</w:t>
      </w:r>
    </w:p>
    <w:p w:rsidR="00E406C7" w:rsidRPr="00C13CEA" w:rsidRDefault="00E406C7" w:rsidP="00E406C7">
      <w:pPr>
        <w:pStyle w:val="Sansinterligne"/>
        <w:numPr>
          <w:ilvl w:val="0"/>
          <w:numId w:val="1423"/>
        </w:numPr>
        <w:rPr>
          <w:highlight w:val="yellow"/>
        </w:rPr>
      </w:pPr>
      <w:r w:rsidRPr="00C13CEA">
        <w:rPr>
          <w:highlight w:val="yellow"/>
        </w:rPr>
        <w:t>Besoins économiques (immigration économique)</w:t>
      </w:r>
      <w:r w:rsidR="00D11E27" w:rsidRPr="00D11E27">
        <w:t xml:space="preserve"> </w:t>
      </w:r>
    </w:p>
    <w:p w:rsidR="0060632B" w:rsidRPr="00C13CEA" w:rsidRDefault="0060632B" w:rsidP="00E406C7">
      <w:pPr>
        <w:pStyle w:val="Sansinterligne"/>
        <w:numPr>
          <w:ilvl w:val="0"/>
          <w:numId w:val="1423"/>
        </w:numPr>
        <w:rPr>
          <w:highlight w:val="yellow"/>
        </w:rPr>
      </w:pPr>
      <w:r w:rsidRPr="00C13CEA">
        <w:rPr>
          <w:highlight w:val="yellow"/>
        </w:rPr>
        <w:t>Opportunités (pauvreté et chômage)</w:t>
      </w:r>
    </w:p>
    <w:p w:rsidR="00E406C7" w:rsidRPr="00C13CEA" w:rsidRDefault="00E406C7" w:rsidP="00E406C7">
      <w:pPr>
        <w:pStyle w:val="Sansinterligne"/>
        <w:numPr>
          <w:ilvl w:val="0"/>
          <w:numId w:val="1423"/>
        </w:numPr>
        <w:rPr>
          <w:highlight w:val="yellow"/>
        </w:rPr>
      </w:pPr>
      <w:r w:rsidRPr="00C13CEA">
        <w:rPr>
          <w:highlight w:val="yellow"/>
        </w:rPr>
        <w:t>Guerres et déplacements (réfugiés)</w:t>
      </w:r>
    </w:p>
    <w:p w:rsidR="00E406C7" w:rsidRDefault="00E406C7" w:rsidP="00E406C7">
      <w:pPr>
        <w:pStyle w:val="Sansinterligne"/>
        <w:numPr>
          <w:ilvl w:val="0"/>
          <w:numId w:val="1423"/>
        </w:numPr>
        <w:rPr>
          <w:highlight w:val="yellow"/>
        </w:rPr>
      </w:pPr>
      <w:r w:rsidRPr="00C13CEA">
        <w:rPr>
          <w:highlight w:val="yellow"/>
        </w:rPr>
        <w:t>Réunification familiale</w:t>
      </w:r>
    </w:p>
    <w:p w:rsidR="006236B7" w:rsidRDefault="006236B7" w:rsidP="006236B7">
      <w:pPr>
        <w:pStyle w:val="Sansinterligne"/>
        <w:rPr>
          <w:highlight w:val="yellow"/>
        </w:rPr>
      </w:pPr>
    </w:p>
    <w:p w:rsidR="006236B7" w:rsidRPr="00C13CEA" w:rsidRDefault="006236B7" w:rsidP="006236B7">
      <w:pPr>
        <w:pStyle w:val="Sansinterligne"/>
        <w:rPr>
          <w:highlight w:val="yellow"/>
        </w:rPr>
      </w:pPr>
      <w:r>
        <w:rPr>
          <w:highlight w:val="yellow"/>
        </w:rPr>
        <w:t>Ces raisons peuvent constituer des facteurs de risque de santé mentale, infectieuse, de traumatisme, de pauvreté ou d’isolement (pour ne citer que ceux-là),</w:t>
      </w:r>
    </w:p>
    <w:p w:rsidR="002F0FA6" w:rsidRDefault="002F0FA6" w:rsidP="00E64123">
      <w:pPr>
        <w:pStyle w:val="Sansinterligne"/>
      </w:pPr>
    </w:p>
    <w:p w:rsidR="0060632B" w:rsidRDefault="0060632B" w:rsidP="00E64123">
      <w:pPr>
        <w:pStyle w:val="Sansinterligne"/>
      </w:pPr>
      <w:r>
        <w:t xml:space="preserve">Les nouveaux arrivants, lorsqu’ils obtiennent la citoyenneté canadienne ou le statut de résident permanent ont droit aux services de santé (sous réserve de couverture par les régimes provinciaux). Avant cela, ils doivent posséder une assurance privée. Les réfugiés </w:t>
      </w:r>
      <w:r w:rsidR="00670929">
        <w:t xml:space="preserve">et demandeurs d’asile </w:t>
      </w:r>
      <w:r>
        <w:t>quant à eux sont pris en charge par le gouvernement fédéral</w:t>
      </w:r>
      <w:r w:rsidR="00670929">
        <w:t xml:space="preserve"> par le PFSI (programme fédéral de santé intérimaire) qui couvre essentiellement les mêmes soins que les régimes provinciaux, ainsi que les soins dentaires et oculaires très urgents.</w:t>
      </w:r>
    </w:p>
    <w:p w:rsidR="0060632B" w:rsidRDefault="00AB59B5" w:rsidP="00E64123">
      <w:pPr>
        <w:pStyle w:val="Sansinterligne"/>
      </w:pPr>
      <w:r>
        <w:rPr>
          <w:noProof/>
          <w:lang w:eastAsia="fr-CA"/>
        </w:rPr>
        <mc:AlternateContent>
          <mc:Choice Requires="wps">
            <w:drawing>
              <wp:anchor distT="0" distB="0" distL="114300" distR="114300" simplePos="0" relativeHeight="252180480" behindDoc="0" locked="0" layoutInCell="1" allowOverlap="1" wp14:anchorId="443358CB" wp14:editId="00E242D6">
                <wp:simplePos x="0" y="0"/>
                <wp:positionH relativeFrom="column">
                  <wp:posOffset>4269105</wp:posOffset>
                </wp:positionH>
                <wp:positionV relativeFrom="paragraph">
                  <wp:posOffset>144956</wp:posOffset>
                </wp:positionV>
                <wp:extent cx="2374265" cy="1361440"/>
                <wp:effectExtent l="0" t="0" r="19050" b="10160"/>
                <wp:wrapNone/>
                <wp:docPr id="65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361440"/>
                        </a:xfrm>
                        <a:prstGeom prst="rect">
                          <a:avLst/>
                        </a:prstGeom>
                        <a:solidFill>
                          <a:schemeClr val="bg2">
                            <a:lumMod val="75000"/>
                          </a:schemeClr>
                        </a:solidFill>
                        <a:ln w="9525">
                          <a:solidFill>
                            <a:srgbClr val="000000"/>
                          </a:solidFill>
                          <a:miter lim="800000"/>
                          <a:headEnd/>
                          <a:tailEnd/>
                        </a:ln>
                      </wps:spPr>
                      <wps:txbx>
                        <w:txbxContent>
                          <w:p w:rsidR="008276DC" w:rsidRPr="009C7D4B" w:rsidRDefault="008276DC" w:rsidP="00D11E27">
                            <w:pPr>
                              <w:jc w:val="center"/>
                              <w:rPr>
                                <w:b/>
                              </w:rPr>
                            </w:pPr>
                            <w:r w:rsidRPr="009C7D4B">
                              <w:rPr>
                                <w:b/>
                              </w:rPr>
                              <w:t>Quelques défis de santé spécifiques</w:t>
                            </w:r>
                          </w:p>
                          <w:p w:rsidR="008276DC" w:rsidRDefault="008276DC" w:rsidP="00D11E27">
                            <w:pPr>
                              <w:pStyle w:val="Paragraphedeliste"/>
                              <w:numPr>
                                <w:ilvl w:val="0"/>
                                <w:numId w:val="1422"/>
                              </w:numPr>
                            </w:pPr>
                            <w:r>
                              <w:t>Culture et croyances</w:t>
                            </w:r>
                          </w:p>
                          <w:p w:rsidR="008276DC" w:rsidRDefault="008276DC" w:rsidP="00D11E27">
                            <w:pPr>
                              <w:pStyle w:val="Paragraphedeliste"/>
                              <w:numPr>
                                <w:ilvl w:val="0"/>
                                <w:numId w:val="1422"/>
                              </w:numPr>
                            </w:pPr>
                            <w:r>
                              <w:t>Chômage, pauvreté</w:t>
                            </w:r>
                          </w:p>
                          <w:p w:rsidR="008276DC" w:rsidRDefault="008276DC" w:rsidP="00D11E27">
                            <w:pPr>
                              <w:pStyle w:val="Paragraphedeliste"/>
                              <w:numPr>
                                <w:ilvl w:val="0"/>
                                <w:numId w:val="1422"/>
                              </w:numPr>
                            </w:pPr>
                            <w:r>
                              <w:t>Maladies chroniques non traitées</w:t>
                            </w:r>
                          </w:p>
                          <w:p w:rsidR="008276DC" w:rsidRDefault="008276DC" w:rsidP="00D11E27">
                            <w:pPr>
                              <w:pStyle w:val="Paragraphedeliste"/>
                              <w:numPr>
                                <w:ilvl w:val="0"/>
                                <w:numId w:val="1422"/>
                              </w:numPr>
                            </w:pPr>
                            <w:r>
                              <w:t>Délai de consultation</w:t>
                            </w:r>
                          </w:p>
                          <w:p w:rsidR="008276DC" w:rsidRDefault="008276DC" w:rsidP="00D11E27">
                            <w:pPr>
                              <w:pStyle w:val="Paragraphedeliste"/>
                              <w:numPr>
                                <w:ilvl w:val="0"/>
                                <w:numId w:val="1422"/>
                              </w:numPr>
                            </w:pPr>
                            <w:r>
                              <w:t>Expositions antérieures</w:t>
                            </w:r>
                          </w:p>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 id="_x0000_s1106" type="#_x0000_t202" style="position:absolute;margin-left:336.15pt;margin-top:11.4pt;width:186.95pt;height:107.2pt;z-index:252180480;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" fillcolor="#c4bc96 [2414]">
                <v:textbox>
                  <w:txbxContent>
                    <w:p w:rsidR="008276DC" w:rsidRPr="009C7D4B" w:rsidRDefault="008276DC" w:rsidP="00D11E27">
                      <w:pPr>
                        <w:jc w:val="center"/>
                        <w:rPr>
                          <w:b/>
                        </w:rPr>
                      </w:pPr>
                      <w:r w:rsidRPr="009C7D4B">
                        <w:rPr>
                          <w:b/>
                        </w:rPr>
                        <w:t>Quelques défis de santé spécifiques</w:t>
                      </w:r>
                    </w:p>
                    <w:p w:rsidR="008276DC" w:rsidRDefault="008276DC" w:rsidP="00D11E27">
                      <w:pPr>
                        <w:pStyle w:val="Paragraphedeliste"/>
                        <w:numPr>
                          <w:ilvl w:val="0"/>
                          <w:numId w:val="1422"/>
                        </w:numPr>
                      </w:pPr>
                      <w:r>
                        <w:t>Culture et croyances</w:t>
                      </w:r>
                    </w:p>
                    <w:p w:rsidR="008276DC" w:rsidRDefault="008276DC" w:rsidP="00D11E27">
                      <w:pPr>
                        <w:pStyle w:val="Paragraphedeliste"/>
                        <w:numPr>
                          <w:ilvl w:val="0"/>
                          <w:numId w:val="1422"/>
                        </w:numPr>
                      </w:pPr>
                      <w:r>
                        <w:t>Chômage, pauvreté</w:t>
                      </w:r>
                    </w:p>
                    <w:p w:rsidR="008276DC" w:rsidRDefault="008276DC" w:rsidP="00D11E27">
                      <w:pPr>
                        <w:pStyle w:val="Paragraphedeliste"/>
                        <w:numPr>
                          <w:ilvl w:val="0"/>
                          <w:numId w:val="1422"/>
                        </w:numPr>
                      </w:pPr>
                      <w:r>
                        <w:t>Maladies chroniques non traitées</w:t>
                      </w:r>
                    </w:p>
                    <w:p w:rsidR="008276DC" w:rsidRDefault="008276DC" w:rsidP="00D11E27">
                      <w:pPr>
                        <w:pStyle w:val="Paragraphedeliste"/>
                        <w:numPr>
                          <w:ilvl w:val="0"/>
                          <w:numId w:val="1422"/>
                        </w:numPr>
                      </w:pPr>
                      <w:r>
                        <w:t>Délai de consultation</w:t>
                      </w:r>
                    </w:p>
                    <w:p w:rsidR="008276DC" w:rsidRDefault="008276DC" w:rsidP="00D11E27">
                      <w:pPr>
                        <w:pStyle w:val="Paragraphedeliste"/>
                        <w:numPr>
                          <w:ilvl w:val="0"/>
                          <w:numId w:val="1422"/>
                        </w:numPr>
                      </w:pPr>
                      <w:r>
                        <w:t>Expositions antérieures</w:t>
                      </w:r>
                    </w:p>
                  </w:txbxContent>
                </v:textbox>
              </v:shape>
            </w:pict>
          </mc:Fallback>
        </mc:AlternateContent>
      </w:r>
    </w:p>
    <w:p w:rsidR="00670929" w:rsidRDefault="00670929" w:rsidP="00E64123">
      <w:pPr>
        <w:pStyle w:val="Sansinterligne"/>
      </w:pPr>
      <w:r>
        <w:t>Les immigrants</w:t>
      </w:r>
      <w:r w:rsidR="00AB59B5">
        <w:t>/</w:t>
      </w:r>
      <w:r>
        <w:t xml:space="preserve">réfugiés font face à plusieurs difficultés </w:t>
      </w:r>
      <w:r w:rsidR="00AB59B5">
        <w:t>d’accès aux soins :</w:t>
      </w:r>
    </w:p>
    <w:p w:rsidR="00670929" w:rsidRPr="00C13CEA" w:rsidRDefault="00670929" w:rsidP="00C13CEA">
      <w:pPr>
        <w:pStyle w:val="Sansinterligne"/>
        <w:numPr>
          <w:ilvl w:val="0"/>
          <w:numId w:val="1424"/>
        </w:numPr>
        <w:rPr>
          <w:highlight w:val="yellow"/>
        </w:rPr>
      </w:pPr>
      <w:r w:rsidRPr="00C13CEA">
        <w:rPr>
          <w:highlight w:val="yellow"/>
        </w:rPr>
        <w:t>Barrière linguistique</w:t>
      </w:r>
    </w:p>
    <w:p w:rsidR="00C13CEA" w:rsidRPr="00C13CEA" w:rsidRDefault="00C13CEA" w:rsidP="00C13CEA">
      <w:pPr>
        <w:pStyle w:val="Sansinterligne"/>
        <w:numPr>
          <w:ilvl w:val="0"/>
          <w:numId w:val="1424"/>
        </w:numPr>
        <w:rPr>
          <w:highlight w:val="yellow"/>
        </w:rPr>
      </w:pPr>
      <w:r w:rsidRPr="00C13CEA">
        <w:rPr>
          <w:highlight w:val="yellow"/>
        </w:rPr>
        <w:t>Barrière culturelle (genre du soignant, plaintes gynécologiques etc.)</w:t>
      </w:r>
    </w:p>
    <w:p w:rsidR="00670929" w:rsidRPr="00C13CEA" w:rsidRDefault="00670929" w:rsidP="00C13CEA">
      <w:pPr>
        <w:pStyle w:val="Sansinterligne"/>
        <w:numPr>
          <w:ilvl w:val="0"/>
          <w:numId w:val="1424"/>
        </w:numPr>
        <w:rPr>
          <w:highlight w:val="yellow"/>
        </w:rPr>
      </w:pPr>
      <w:r w:rsidRPr="00C13CEA">
        <w:rPr>
          <w:highlight w:val="yellow"/>
        </w:rPr>
        <w:t>Système médical différent du pays d’origine</w:t>
      </w:r>
    </w:p>
    <w:p w:rsidR="00670929" w:rsidRPr="00C13CEA" w:rsidRDefault="00670929" w:rsidP="00C13CEA">
      <w:pPr>
        <w:pStyle w:val="Sansinterligne"/>
        <w:numPr>
          <w:ilvl w:val="0"/>
          <w:numId w:val="1424"/>
        </w:numPr>
        <w:rPr>
          <w:highlight w:val="yellow"/>
        </w:rPr>
      </w:pPr>
      <w:r w:rsidRPr="00C13CEA">
        <w:rPr>
          <w:highlight w:val="yellow"/>
        </w:rPr>
        <w:t>Nombreuses formalités</w:t>
      </w:r>
      <w:r w:rsidR="00C13CEA" w:rsidRPr="00C13CEA">
        <w:rPr>
          <w:highlight w:val="yellow"/>
        </w:rPr>
        <w:t>, démarches administratives</w:t>
      </w:r>
    </w:p>
    <w:p w:rsidR="00C13CEA" w:rsidRPr="00C13CEA" w:rsidRDefault="00C13CEA" w:rsidP="00C13CEA">
      <w:pPr>
        <w:pStyle w:val="Sansinterligne"/>
        <w:numPr>
          <w:ilvl w:val="0"/>
          <w:numId w:val="1424"/>
        </w:numPr>
        <w:rPr>
          <w:highlight w:val="yellow"/>
        </w:rPr>
      </w:pPr>
      <w:r w:rsidRPr="00C13CEA">
        <w:rPr>
          <w:highlight w:val="yellow"/>
        </w:rPr>
        <w:t>Ne connaissent pas nécessairement leurs droits</w:t>
      </w:r>
    </w:p>
    <w:p w:rsidR="00C13CEA" w:rsidRDefault="00C13CEA" w:rsidP="00E64123">
      <w:pPr>
        <w:pStyle w:val="Sansinterligne"/>
      </w:pPr>
    </w:p>
    <w:p w:rsidR="002F0FA6" w:rsidRPr="006236B7" w:rsidRDefault="002F0FA6" w:rsidP="00E64123">
      <w:pPr>
        <w:pStyle w:val="Sansinterligne"/>
        <w:rPr>
          <w:u w:val="single"/>
        </w:rPr>
      </w:pPr>
      <w:r w:rsidRPr="006236B7">
        <w:rPr>
          <w:u w:val="single"/>
        </w:rPr>
        <w:t>Exposition dans le monde</w:t>
      </w:r>
    </w:p>
    <w:p w:rsidR="002F0FA6" w:rsidRDefault="002F0FA6" w:rsidP="00E64123">
      <w:pPr>
        <w:pStyle w:val="Sansinterligne"/>
      </w:pPr>
    </w:p>
    <w:p w:rsidR="006236B7" w:rsidRDefault="006236B7" w:rsidP="00E64123">
      <w:pPr>
        <w:pStyle w:val="Sansinterligne"/>
      </w:pPr>
      <w:r>
        <w:t xml:space="preserve">Selon la région du monde d’où viennent les migrants, ceux-ci peuvent avoir été exposés à différents facteurs de risque ou maladies qu’ils peuvent emmener avec eux au Canada (tuberculose, malaria, toxines, maladie </w:t>
      </w:r>
      <w:r w:rsidR="008635DC">
        <w:t xml:space="preserve">jamais traitées, etc.). </w:t>
      </w:r>
      <w:r>
        <w:t xml:space="preserve">Santé Canada est chargé de l’examen médical de base des migrants </w:t>
      </w:r>
      <w:r w:rsidR="008635DC">
        <w:t>(RXP, SMU-DCA, créatinine, dépistage Syphilis/VIH)</w:t>
      </w:r>
    </w:p>
    <w:p w:rsidR="002F0FA6" w:rsidRDefault="002F0FA6" w:rsidP="00E64123">
      <w:pPr>
        <w:pStyle w:val="Sansinterligne"/>
      </w:pPr>
    </w:p>
    <w:p w:rsidR="006236B7" w:rsidRDefault="006236B7" w:rsidP="00E64123">
      <w:pPr>
        <w:pStyle w:val="Sansinterligne"/>
      </w:pPr>
      <w:r w:rsidRPr="00D11E27">
        <w:rPr>
          <w:highlight w:val="yellow"/>
        </w:rPr>
        <w:t>Des bouleversements d’ordre médical (ex : émergence de bactéries multirésistantes, début d’épidémie) peuvent maintenant traverser les frontières en suivant les vagues d’immigration et affecter la santé des populations d’accueil. Le médecin clinicien, comme les services de santé publique doivent donc demeurer à l’affut et être au courant des tendances.</w:t>
      </w:r>
    </w:p>
    <w:p w:rsidR="006236B7" w:rsidRDefault="006236B7" w:rsidP="00E64123">
      <w:pPr>
        <w:pStyle w:val="Sansinterligne"/>
      </w:pPr>
    </w:p>
    <w:p w:rsidR="002F0FA6" w:rsidRPr="006236B7" w:rsidRDefault="002F0FA6" w:rsidP="00E64123">
      <w:pPr>
        <w:pStyle w:val="Sansinterligne"/>
        <w:rPr>
          <w:u w:val="single"/>
        </w:rPr>
      </w:pPr>
      <w:r w:rsidRPr="006236B7">
        <w:rPr>
          <w:u w:val="single"/>
        </w:rPr>
        <w:t>Culture</w:t>
      </w:r>
      <w:r w:rsidR="006236B7" w:rsidRPr="006236B7">
        <w:rPr>
          <w:u w:val="single"/>
        </w:rPr>
        <w:t xml:space="preserve"> et </w:t>
      </w:r>
      <w:r w:rsidRPr="006236B7">
        <w:rPr>
          <w:u w:val="single"/>
        </w:rPr>
        <w:t>médecin</w:t>
      </w:r>
      <w:r w:rsidR="006236B7" w:rsidRPr="006236B7">
        <w:rPr>
          <w:u w:val="single"/>
        </w:rPr>
        <w:t>e</w:t>
      </w:r>
      <w:r w:rsidRPr="006236B7">
        <w:rPr>
          <w:u w:val="single"/>
        </w:rPr>
        <w:t>s alternatives</w:t>
      </w:r>
    </w:p>
    <w:p w:rsidR="002F0FA6" w:rsidRDefault="006236B7" w:rsidP="006236B7">
      <w:pPr>
        <w:pStyle w:val="Sansinterligne"/>
      </w:pPr>
      <w:r>
        <w:t>Comme médecin il est important de reconnaître :</w:t>
      </w:r>
    </w:p>
    <w:p w:rsidR="006236B7" w:rsidRDefault="006236B7" w:rsidP="006236B7">
      <w:pPr>
        <w:pStyle w:val="Sansinterligne"/>
        <w:numPr>
          <w:ilvl w:val="0"/>
          <w:numId w:val="1425"/>
        </w:numPr>
      </w:pPr>
      <w:r>
        <w:t xml:space="preserve">Que les immigrants peuvent avoir des </w:t>
      </w:r>
      <w:r w:rsidRPr="00D11E27">
        <w:rPr>
          <w:highlight w:val="yellow"/>
        </w:rPr>
        <w:t>réticences d’ordre culturel</w:t>
      </w:r>
      <w:r>
        <w:t xml:space="preserve"> (ex : médecin femme, techniques invasives, soins palliatifs, etc.)</w:t>
      </w:r>
    </w:p>
    <w:p w:rsidR="006236B7" w:rsidRDefault="008635DC" w:rsidP="006236B7">
      <w:pPr>
        <w:pStyle w:val="Sansinterligne"/>
        <w:numPr>
          <w:ilvl w:val="0"/>
          <w:numId w:val="1425"/>
        </w:numPr>
      </w:pPr>
      <w:r>
        <w:rPr>
          <w:noProof/>
          <w:lang w:eastAsia="fr-CA"/>
        </w:rPr>
        <w:drawing>
          <wp:anchor distT="0" distB="0" distL="114300" distR="114300" simplePos="0" relativeHeight="252182528" behindDoc="0" locked="0" layoutInCell="1" allowOverlap="1" wp14:anchorId="032AAC1E" wp14:editId="171999FF">
            <wp:simplePos x="0" y="0"/>
            <wp:positionH relativeFrom="column">
              <wp:posOffset>3043501</wp:posOffset>
            </wp:positionH>
            <wp:positionV relativeFrom="paragraph">
              <wp:posOffset>377643</wp:posOffset>
            </wp:positionV>
            <wp:extent cx="1498060" cy="1700617"/>
            <wp:effectExtent l="0" t="0" r="6985" b="0"/>
            <wp:wrapNone/>
            <wp:docPr id="656" name="Image 656" descr="Résultats de recherche d'images pour « handicap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ésultats de recherche d'images pour « handicap »"/>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1498060" cy="1700617"/>
                    </a:xfrm>
                    <a:prstGeom prst="rect">
                      <a:avLst/>
                    </a:prstGeom>
                    <a:noFill/>
                    <a:ln>
                      <a:noFill/>
                    </a:ln>
                  </pic:spPr>
                </pic:pic>
              </a:graphicData>
            </a:graphic>
            <wp14:sizeRelH relativeFrom="page">
              <wp14:pctWidth>0</wp14:pctWidth>
            </wp14:sizeRelH>
            <wp14:sizeRelV relativeFrom="page">
              <wp14:pctHeight>0</wp14:pctHeight>
            </wp14:sizeRelV>
          </wp:anchor>
        </w:drawing>
      </w:r>
      <w:r w:rsidR="006236B7">
        <w:t xml:space="preserve">Que certaines populations sont de grandes utilisatrices de </w:t>
      </w:r>
      <w:r w:rsidR="006236B7" w:rsidRPr="00D11E27">
        <w:rPr>
          <w:highlight w:val="yellow"/>
        </w:rPr>
        <w:t>médecines alternatives</w:t>
      </w:r>
      <w:r w:rsidR="006236B7">
        <w:t xml:space="preserve"> (acupuncture, herboristerie, chamanisme, etc.). Il faut demeurer ouvert à ces pratiques dans la mesure où elles complètent la médecine occidentale et n’entrent pas en conflit avec la santé du patient.</w:t>
      </w:r>
    </w:p>
    <w:p w:rsidR="00E64123" w:rsidRDefault="008635DC" w:rsidP="00E64123">
      <w:pPr>
        <w:pStyle w:val="Sansinterligne"/>
      </w:pPr>
      <w:r>
        <w:rPr>
          <w:noProof/>
          <w:lang w:eastAsia="fr-CA"/>
        </w:rPr>
        <mc:AlternateContent>
          <mc:Choice Requires="wps">
            <w:drawing>
              <wp:anchor distT="0" distB="0" distL="114300" distR="114300" simplePos="0" relativeHeight="252184576" behindDoc="0" locked="0" layoutInCell="1" allowOverlap="1" wp14:anchorId="4C359939" wp14:editId="3F43F922">
                <wp:simplePos x="0" y="0"/>
                <wp:positionH relativeFrom="column">
                  <wp:posOffset>4269740</wp:posOffset>
                </wp:positionH>
                <wp:positionV relativeFrom="paragraph">
                  <wp:posOffset>79375</wp:posOffset>
                </wp:positionV>
                <wp:extent cx="2374265" cy="991870"/>
                <wp:effectExtent l="0" t="0" r="19050" b="17780"/>
                <wp:wrapNone/>
                <wp:docPr id="65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991870"/>
                        </a:xfrm>
                        <a:prstGeom prst="rect">
                          <a:avLst/>
                        </a:prstGeom>
                        <a:solidFill>
                          <a:schemeClr val="bg2">
                            <a:lumMod val="75000"/>
                          </a:schemeClr>
                        </a:solidFill>
                        <a:ln w="9525">
                          <a:solidFill>
                            <a:srgbClr val="000000"/>
                          </a:solidFill>
                          <a:miter lim="800000"/>
                          <a:headEnd/>
                          <a:tailEnd/>
                        </a:ln>
                      </wps:spPr>
                      <wps:txbx>
                        <w:txbxContent>
                          <w:p w:rsidR="008276DC" w:rsidRPr="009C7D4B" w:rsidRDefault="008276DC" w:rsidP="008635DC">
                            <w:pPr>
                              <w:jc w:val="center"/>
                              <w:rPr>
                                <w:b/>
                              </w:rPr>
                            </w:pPr>
                            <w:r w:rsidRPr="009C7D4B">
                              <w:rPr>
                                <w:b/>
                              </w:rPr>
                              <w:t>Quelques défis de santé spécifiques</w:t>
                            </w:r>
                          </w:p>
                          <w:p w:rsidR="008276DC" w:rsidRDefault="008276DC" w:rsidP="008635DC">
                            <w:pPr>
                              <w:pStyle w:val="Paragraphedeliste"/>
                              <w:numPr>
                                <w:ilvl w:val="0"/>
                                <w:numId w:val="1422"/>
                              </w:numPr>
                            </w:pPr>
                            <w:r>
                              <w:t>Perte d’autonomie AVQ, AVD</w:t>
                            </w:r>
                          </w:p>
                          <w:p w:rsidR="008276DC" w:rsidRDefault="008276DC" w:rsidP="008635DC">
                            <w:pPr>
                              <w:pStyle w:val="Paragraphedeliste"/>
                              <w:numPr>
                                <w:ilvl w:val="0"/>
                                <w:numId w:val="1422"/>
                              </w:numPr>
                            </w:pPr>
                            <w:r>
                              <w:t>Inactivité et dévalorisation</w:t>
                            </w:r>
                          </w:p>
                          <w:p w:rsidR="008276DC" w:rsidRDefault="008276DC" w:rsidP="008635DC">
                            <w:pPr>
                              <w:pStyle w:val="Paragraphedeliste"/>
                              <w:numPr>
                                <w:ilvl w:val="0"/>
                                <w:numId w:val="1422"/>
                              </w:numPr>
                            </w:pPr>
                            <w:r>
                              <w:t>Abus de substance</w:t>
                            </w:r>
                          </w:p>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 id="_x0000_s1107" type="#_x0000_t202" style="position:absolute;margin-left:336.2pt;margin-top:6.25pt;width:186.95pt;height:78.1pt;z-index:252184576;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" fillcolor="#c4bc96 [2414]">
                <v:textbox>
                  <w:txbxContent>
                    <w:p w:rsidR="008276DC" w:rsidRPr="009C7D4B" w:rsidRDefault="008276DC" w:rsidP="008635DC">
                      <w:pPr>
                        <w:jc w:val="center"/>
                        <w:rPr>
                          <w:b/>
                        </w:rPr>
                      </w:pPr>
                      <w:r w:rsidRPr="009C7D4B">
                        <w:rPr>
                          <w:b/>
                        </w:rPr>
                        <w:t>Quelques défis de santé spécifiques</w:t>
                      </w:r>
                    </w:p>
                    <w:p w:rsidR="008276DC" w:rsidRDefault="008276DC" w:rsidP="008635DC">
                      <w:pPr>
                        <w:pStyle w:val="Paragraphedeliste"/>
                        <w:numPr>
                          <w:ilvl w:val="0"/>
                          <w:numId w:val="1422"/>
                        </w:numPr>
                      </w:pPr>
                      <w:r>
                        <w:t>Perte d’autonomie AVQ, AVD</w:t>
                      </w:r>
                    </w:p>
                    <w:p w:rsidR="008276DC" w:rsidRDefault="008276DC" w:rsidP="008635DC">
                      <w:pPr>
                        <w:pStyle w:val="Paragraphedeliste"/>
                        <w:numPr>
                          <w:ilvl w:val="0"/>
                          <w:numId w:val="1422"/>
                        </w:numPr>
                      </w:pPr>
                      <w:r>
                        <w:t>Inactivité et dévalorisation</w:t>
                      </w:r>
                    </w:p>
                    <w:p w:rsidR="008276DC" w:rsidRDefault="008276DC" w:rsidP="008635DC">
                      <w:pPr>
                        <w:pStyle w:val="Paragraphedeliste"/>
                        <w:numPr>
                          <w:ilvl w:val="0"/>
                          <w:numId w:val="1422"/>
                        </w:numPr>
                      </w:pPr>
                      <w:r>
                        <w:t>Abus de substance</w:t>
                      </w:r>
                    </w:p>
                  </w:txbxContent>
                </v:textbox>
              </v:shape>
            </w:pict>
          </mc:Fallback>
        </mc:AlternateContent>
      </w:r>
    </w:p>
    <w:p w:rsidR="00E64123" w:rsidRPr="002F0FA6" w:rsidRDefault="00E64123" w:rsidP="00E64123">
      <w:pPr>
        <w:pStyle w:val="Sansinterligne"/>
        <w:rPr>
          <w:b/>
          <w:sz w:val="28"/>
          <w:szCs w:val="28"/>
        </w:rPr>
      </w:pPr>
      <w:r w:rsidRPr="002F0FA6">
        <w:rPr>
          <w:b/>
          <w:sz w:val="28"/>
          <w:szCs w:val="28"/>
        </w:rPr>
        <w:t>Personnes handicapées</w:t>
      </w:r>
    </w:p>
    <w:p w:rsidR="00E64123" w:rsidRDefault="00E64123" w:rsidP="00E64123">
      <w:pPr>
        <w:pStyle w:val="Sansinterligne"/>
      </w:pPr>
    </w:p>
    <w:p w:rsidR="002F0FA6" w:rsidRDefault="002F0FA6" w:rsidP="00E64123">
      <w:pPr>
        <w:pStyle w:val="Sansinterligne"/>
      </w:pPr>
      <w:r w:rsidRPr="008635DC">
        <w:rPr>
          <w:u w:val="single"/>
        </w:rPr>
        <w:t>Difficultés d’accès</w:t>
      </w:r>
      <w:r w:rsidR="008635DC" w:rsidRPr="008635DC">
        <w:rPr>
          <w:u w:val="single"/>
        </w:rPr>
        <w:t> aux soins et défis sociaux</w:t>
      </w:r>
      <w:r w:rsidR="008635DC">
        <w:t>:</w:t>
      </w:r>
    </w:p>
    <w:p w:rsidR="008635DC" w:rsidRDefault="008635DC" w:rsidP="008635DC">
      <w:pPr>
        <w:pStyle w:val="Sansinterligne"/>
        <w:numPr>
          <w:ilvl w:val="0"/>
          <w:numId w:val="1426"/>
        </w:numPr>
      </w:pPr>
      <w:r>
        <w:t>Faible revenu / emploi</w:t>
      </w:r>
    </w:p>
    <w:p w:rsidR="008635DC" w:rsidRDefault="008635DC" w:rsidP="008635DC">
      <w:pPr>
        <w:pStyle w:val="Sansinterligne"/>
        <w:numPr>
          <w:ilvl w:val="0"/>
          <w:numId w:val="1426"/>
        </w:numPr>
      </w:pPr>
      <w:r>
        <w:t>Faible niveau d’éducation (handicaps mentaux)</w:t>
      </w:r>
      <w:r w:rsidRPr="008635DC">
        <w:rPr>
          <w:noProof/>
        </w:rPr>
        <w:t xml:space="preserve"> </w:t>
      </w:r>
    </w:p>
    <w:p w:rsidR="008635DC" w:rsidRDefault="008635DC" w:rsidP="008635DC">
      <w:pPr>
        <w:pStyle w:val="Sansinterligne"/>
        <w:numPr>
          <w:ilvl w:val="0"/>
          <w:numId w:val="1426"/>
        </w:numPr>
      </w:pPr>
      <w:r>
        <w:t>Discrimination</w:t>
      </w:r>
    </w:p>
    <w:p w:rsidR="008635DC" w:rsidRDefault="008635DC" w:rsidP="008635DC">
      <w:pPr>
        <w:pStyle w:val="Sansinterligne"/>
        <w:numPr>
          <w:ilvl w:val="0"/>
          <w:numId w:val="1426"/>
        </w:numPr>
      </w:pPr>
      <w:r>
        <w:t>Déplacements difficiles</w:t>
      </w:r>
    </w:p>
    <w:p w:rsidR="002F0FA6" w:rsidRDefault="002F0FA6" w:rsidP="00E64123">
      <w:pPr>
        <w:pStyle w:val="Sansinterligne"/>
      </w:pPr>
    </w:p>
    <w:p w:rsidR="002F0FA6" w:rsidRPr="008635DC" w:rsidRDefault="002F0FA6" w:rsidP="00E64123">
      <w:pPr>
        <w:pStyle w:val="Sansinterligne"/>
        <w:rPr>
          <w:u w:val="single"/>
        </w:rPr>
      </w:pPr>
      <w:r w:rsidRPr="008635DC">
        <w:rPr>
          <w:u w:val="single"/>
        </w:rPr>
        <w:t>Services sociaux et médicaux particuliers (référence)</w:t>
      </w:r>
    </w:p>
    <w:p w:rsidR="00E64123" w:rsidRDefault="008635DC" w:rsidP="00E64123">
      <w:pPr>
        <w:pStyle w:val="Sansinterligne"/>
      </w:pPr>
      <w:r>
        <w:t>Il faut être au courant des diagnostics sous-jacent aux handicaps, et aux programmes d’aide auxquels ces personnes ont droit (aidant naturel, vignettes, programme d’accès à l’emploi, etc.) et référer au besoin à un intervenant social.</w:t>
      </w:r>
    </w:p>
    <w:p w:rsidR="00E64123" w:rsidRDefault="00E64123" w:rsidP="00E64123">
      <w:pPr>
        <w:pStyle w:val="Sansinterligne"/>
      </w:pPr>
    </w:p>
    <w:p w:rsidR="00E64123" w:rsidRPr="002F0FA6" w:rsidRDefault="00BF2F90" w:rsidP="00E64123">
      <w:pPr>
        <w:pStyle w:val="Sansinterligne"/>
        <w:rPr>
          <w:b/>
          <w:sz w:val="28"/>
          <w:szCs w:val="28"/>
        </w:rPr>
      </w:pPr>
      <w:r>
        <w:rPr>
          <w:noProof/>
          <w:lang w:eastAsia="fr-CA"/>
        </w:rPr>
        <mc:AlternateContent>
          <mc:Choice Requires="wps">
            <w:drawing>
              <wp:anchor distT="0" distB="0" distL="114300" distR="114300" simplePos="0" relativeHeight="252186624" behindDoc="0" locked="0" layoutInCell="1" allowOverlap="1" wp14:anchorId="2DB97235" wp14:editId="3E5F2176">
                <wp:simplePos x="0" y="0"/>
                <wp:positionH relativeFrom="column">
                  <wp:posOffset>3700780</wp:posOffset>
                </wp:positionH>
                <wp:positionV relativeFrom="paragraph">
                  <wp:posOffset>-123190</wp:posOffset>
                </wp:positionV>
                <wp:extent cx="2374265" cy="991870"/>
                <wp:effectExtent l="0" t="0" r="19050" b="17780"/>
                <wp:wrapNone/>
                <wp:docPr id="658"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991870"/>
                        </a:xfrm>
                        <a:prstGeom prst="rect">
                          <a:avLst/>
                        </a:prstGeom>
                        <a:solidFill>
                          <a:schemeClr val="bg2">
                            <a:lumMod val="75000"/>
                          </a:schemeClr>
                        </a:solidFill>
                        <a:ln w="9525">
                          <a:solidFill>
                            <a:srgbClr val="000000"/>
                          </a:solidFill>
                          <a:miter lim="800000"/>
                          <a:headEnd/>
                          <a:tailEnd/>
                        </a:ln>
                      </wps:spPr>
                      <wps:txbx>
                        <w:txbxContent>
                          <w:p w:rsidR="008276DC" w:rsidRPr="009C7D4B" w:rsidRDefault="008276DC" w:rsidP="00BF2F90">
                            <w:pPr>
                              <w:jc w:val="center"/>
                              <w:rPr>
                                <w:b/>
                              </w:rPr>
                            </w:pPr>
                            <w:r w:rsidRPr="009C7D4B">
                              <w:rPr>
                                <w:b/>
                              </w:rPr>
                              <w:t>Quelques défis de santé spécifiques</w:t>
                            </w:r>
                          </w:p>
                          <w:p w:rsidR="008276DC" w:rsidRDefault="008276DC" w:rsidP="00BF2F90">
                            <w:pPr>
                              <w:pStyle w:val="Paragraphedeliste"/>
                              <w:numPr>
                                <w:ilvl w:val="0"/>
                                <w:numId w:val="1422"/>
                              </w:numPr>
                            </w:pPr>
                            <w:r>
                              <w:t>Troubles de santé mentale</w:t>
                            </w:r>
                          </w:p>
                          <w:p w:rsidR="008276DC" w:rsidRDefault="008276DC" w:rsidP="00BF2F90">
                            <w:pPr>
                              <w:pStyle w:val="Paragraphedeliste"/>
                              <w:numPr>
                                <w:ilvl w:val="0"/>
                                <w:numId w:val="1422"/>
                              </w:numPr>
                            </w:pPr>
                            <w:r>
                              <w:t>Violence</w:t>
                            </w:r>
                          </w:p>
                          <w:p w:rsidR="008276DC" w:rsidRDefault="008276DC" w:rsidP="00BF2F90">
                            <w:pPr>
                              <w:pStyle w:val="Paragraphedeliste"/>
                              <w:numPr>
                                <w:ilvl w:val="0"/>
                                <w:numId w:val="1422"/>
                              </w:numPr>
                            </w:pPr>
                            <w:r>
                              <w:t>Abus de substance</w:t>
                            </w:r>
                          </w:p>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 id="_x0000_s1108" type="#_x0000_t202" style="position:absolute;margin-left:291.4pt;margin-top:-9.7pt;width:186.95pt;height:78.1pt;z-index:252186624;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" fillcolor="#c4bc96 [2414]">
                <v:textbox>
                  <w:txbxContent>
                    <w:p w:rsidR="008276DC" w:rsidRPr="009C7D4B" w:rsidRDefault="008276DC" w:rsidP="00BF2F90">
                      <w:pPr>
                        <w:jc w:val="center"/>
                        <w:rPr>
                          <w:b/>
                        </w:rPr>
                      </w:pPr>
                      <w:r w:rsidRPr="009C7D4B">
                        <w:rPr>
                          <w:b/>
                        </w:rPr>
                        <w:t>Quelques défis de santé spécifiques</w:t>
                      </w:r>
                    </w:p>
                    <w:p w:rsidR="008276DC" w:rsidRDefault="008276DC" w:rsidP="00BF2F90">
                      <w:pPr>
                        <w:pStyle w:val="Paragraphedeliste"/>
                        <w:numPr>
                          <w:ilvl w:val="0"/>
                          <w:numId w:val="1422"/>
                        </w:numPr>
                      </w:pPr>
                      <w:r>
                        <w:t>Troubles de santé mentale</w:t>
                      </w:r>
                    </w:p>
                    <w:p w:rsidR="008276DC" w:rsidRDefault="008276DC" w:rsidP="00BF2F90">
                      <w:pPr>
                        <w:pStyle w:val="Paragraphedeliste"/>
                        <w:numPr>
                          <w:ilvl w:val="0"/>
                          <w:numId w:val="1422"/>
                        </w:numPr>
                      </w:pPr>
                      <w:r>
                        <w:t>Violence</w:t>
                      </w:r>
                    </w:p>
                    <w:p w:rsidR="008276DC" w:rsidRDefault="008276DC" w:rsidP="00BF2F90">
                      <w:pPr>
                        <w:pStyle w:val="Paragraphedeliste"/>
                        <w:numPr>
                          <w:ilvl w:val="0"/>
                          <w:numId w:val="1422"/>
                        </w:numPr>
                      </w:pPr>
                      <w:r>
                        <w:t>Abus de substance</w:t>
                      </w:r>
                    </w:p>
                  </w:txbxContent>
                </v:textbox>
              </v:shape>
            </w:pict>
          </mc:Fallback>
        </mc:AlternateContent>
      </w:r>
      <w:r w:rsidR="00E64123" w:rsidRPr="002F0FA6">
        <w:rPr>
          <w:b/>
          <w:sz w:val="28"/>
          <w:szCs w:val="28"/>
        </w:rPr>
        <w:t>Sans-abris et itinérance</w:t>
      </w:r>
    </w:p>
    <w:p w:rsidR="00E64123" w:rsidRPr="00F40135" w:rsidRDefault="00E64123" w:rsidP="00E64123">
      <w:pPr>
        <w:pStyle w:val="Sansinterligne"/>
        <w:rPr>
          <w:sz w:val="16"/>
          <w:szCs w:val="16"/>
        </w:rPr>
      </w:pPr>
    </w:p>
    <w:p w:rsidR="008635DC" w:rsidRDefault="00BF2F90" w:rsidP="00083D91">
      <w:pPr>
        <w:pStyle w:val="Sansinterligne"/>
        <w:ind w:right="5130"/>
        <w:jc w:val="both"/>
      </w:pPr>
      <w:r>
        <w:rPr>
          <w:noProof/>
          <w:lang w:eastAsia="fr-CA"/>
        </w:rPr>
        <w:drawing>
          <wp:anchor distT="0" distB="0" distL="114300" distR="114300" simplePos="0" relativeHeight="252187648" behindDoc="0" locked="0" layoutInCell="1" allowOverlap="1" wp14:anchorId="62938D46" wp14:editId="519F955D">
            <wp:simplePos x="0" y="0"/>
            <wp:positionH relativeFrom="column">
              <wp:posOffset>3694430</wp:posOffset>
            </wp:positionH>
            <wp:positionV relativeFrom="paragraph">
              <wp:posOffset>573405</wp:posOffset>
            </wp:positionV>
            <wp:extent cx="2373630" cy="2129790"/>
            <wp:effectExtent l="0" t="0" r="7620" b="3810"/>
            <wp:wrapNone/>
            <wp:docPr id="659" name="Image 659" descr="Résultats de recherche d'images pour « itinéranc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ésultats de recherche d'images pour « itinérance »"/>
                    <pic:cNvPicPr>
                      <a:picLocks noChangeAspect="1" noChangeArrowheads="1"/>
                    </pic:cNvPicPr>
                  </pic:nvPicPr>
                  <pic:blipFill rotWithShape="1">
                    <a:blip r:embed="rId286">
                      <a:extLst>
                        <a:ext uri="{28A0092B-C50C-407E-A947-70E740481C1C}">
                          <a14:useLocalDpi xmlns:a14="http://schemas.microsoft.com/office/drawing/2010/main" val="0"/>
                        </a:ext>
                      </a:extLst>
                    </a:blip>
                    <a:srcRect t="6468" r="7392" b="15255"/>
                    <a:stretch/>
                  </pic:blipFill>
                  <pic:spPr bwMode="auto">
                    <a:xfrm>
                      <a:off x="0" y="0"/>
                      <a:ext cx="2373630" cy="21297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635DC">
        <w:t xml:space="preserve">En raison de leur absence de domicile et leur fonctionnement généralement en marge des services publics (économie souterraine, </w:t>
      </w:r>
      <w:r w:rsidR="00083D91">
        <w:t xml:space="preserve">pauvreté, </w:t>
      </w:r>
      <w:r w:rsidR="00CD3213">
        <w:t>absence de cartes d’assurance-</w:t>
      </w:r>
      <w:r w:rsidR="008635DC">
        <w:t>maladie, etc.), les sans-abris constituent une population particulièrement difficile à rejoindre, à</w:t>
      </w:r>
      <w:r>
        <w:t xml:space="preserve"> suivre et à traiter. </w:t>
      </w:r>
      <w:r w:rsidRPr="00BF2F90">
        <w:rPr>
          <w:highlight w:val="yellow"/>
        </w:rPr>
        <w:t>Cela crée</w:t>
      </w:r>
      <w:r w:rsidR="008635DC" w:rsidRPr="00BF2F90">
        <w:rPr>
          <w:highlight w:val="yellow"/>
        </w:rPr>
        <w:t xml:space="preserve"> une in</w:t>
      </w:r>
      <w:r w:rsidRPr="00BF2F90">
        <w:rPr>
          <w:highlight w:val="yellow"/>
        </w:rPr>
        <w:t>i</w:t>
      </w:r>
      <w:r w:rsidR="008635DC" w:rsidRPr="00BF2F90">
        <w:rPr>
          <w:highlight w:val="yellow"/>
        </w:rPr>
        <w:t>quité en santé, puisque ces personnes ne bénéficient pas des mêmes soins et services que les personnes domiciliées.</w:t>
      </w:r>
    </w:p>
    <w:p w:rsidR="00BF2F90" w:rsidRDefault="00BF2F90" w:rsidP="00083D91">
      <w:pPr>
        <w:pStyle w:val="Sansinterligne"/>
        <w:ind w:right="5130"/>
        <w:jc w:val="both"/>
      </w:pPr>
    </w:p>
    <w:p w:rsidR="008635DC" w:rsidRDefault="008635DC" w:rsidP="00083D91">
      <w:pPr>
        <w:pStyle w:val="Sansinterligne"/>
        <w:ind w:right="5130"/>
        <w:jc w:val="both"/>
      </w:pPr>
      <w:r w:rsidRPr="00BF2F90">
        <w:rPr>
          <w:highlight w:val="yellow"/>
        </w:rPr>
        <w:t xml:space="preserve">De par leur mode vie, ils ont des facteurs de risque importants de santé mentale, de malnutrition et </w:t>
      </w:r>
      <w:r w:rsidR="00083D91" w:rsidRPr="00BF2F90">
        <w:rPr>
          <w:highlight w:val="yellow"/>
        </w:rPr>
        <w:t>de lésions environnementales (gelures, coups de chaleur, etc.). Ils sont également plus exposés à la consommation de drogues et de substances à risque d’abus</w:t>
      </w:r>
      <w:r w:rsidR="00BF2F90">
        <w:t>.</w:t>
      </w:r>
    </w:p>
    <w:p w:rsidR="002F0FA6" w:rsidRDefault="002F0FA6" w:rsidP="00E64123">
      <w:pPr>
        <w:pStyle w:val="Sansinterligne"/>
      </w:pPr>
    </w:p>
    <w:p w:rsidR="00BF2F90" w:rsidRDefault="00BF2F90" w:rsidP="00BF2F90">
      <w:pPr>
        <w:pStyle w:val="Sansinterligne"/>
        <w:ind w:right="5130"/>
        <w:jc w:val="both"/>
      </w:pPr>
      <w:r>
        <w:t>Il ne faut pas hésiter à référer à des organismes communautaires qui peuvent suivre ces personnes et leur offrir des services adaptés à leur condition et qui répondent mieux à leur besoin. Ils pourront eux aussi contribuer au suivi.</w:t>
      </w:r>
    </w:p>
    <w:p w:rsidR="00E64123" w:rsidRPr="00F40135" w:rsidRDefault="00E64123" w:rsidP="00E64123">
      <w:pPr>
        <w:pStyle w:val="Sansinterligne"/>
        <w:rPr>
          <w:sz w:val="16"/>
          <w:szCs w:val="16"/>
        </w:rPr>
      </w:pPr>
    </w:p>
    <w:p w:rsidR="00E64123" w:rsidRPr="002F0FA6" w:rsidRDefault="002F0FA6" w:rsidP="00E64123">
      <w:pPr>
        <w:pStyle w:val="Sansinterligne"/>
        <w:rPr>
          <w:b/>
          <w:sz w:val="28"/>
          <w:szCs w:val="28"/>
        </w:rPr>
      </w:pPr>
      <w:r>
        <w:rPr>
          <w:b/>
          <w:sz w:val="28"/>
          <w:szCs w:val="28"/>
        </w:rPr>
        <w:t>Enfance et pauvreté</w:t>
      </w:r>
    </w:p>
    <w:p w:rsidR="00E64123" w:rsidRPr="00F40135" w:rsidRDefault="00E64123" w:rsidP="00E64123">
      <w:pPr>
        <w:pStyle w:val="Sansinterligne"/>
        <w:rPr>
          <w:sz w:val="16"/>
          <w:szCs w:val="16"/>
        </w:rPr>
      </w:pPr>
    </w:p>
    <w:p w:rsidR="002F0FA6" w:rsidRPr="00F40135" w:rsidRDefault="0038164B" w:rsidP="00E64123">
      <w:pPr>
        <w:pStyle w:val="Sansinterligne"/>
        <w:rPr>
          <w:u w:val="single"/>
        </w:rPr>
      </w:pPr>
      <w:r>
        <w:rPr>
          <w:noProof/>
          <w:lang w:eastAsia="fr-CA"/>
        </w:rPr>
        <w:drawing>
          <wp:anchor distT="0" distB="0" distL="114300" distR="114300" simplePos="0" relativeHeight="252188672" behindDoc="0" locked="0" layoutInCell="1" allowOverlap="1" wp14:anchorId="7231EFF1" wp14:editId="00CEE49E">
            <wp:simplePos x="0" y="0"/>
            <wp:positionH relativeFrom="column">
              <wp:posOffset>4036452</wp:posOffset>
            </wp:positionH>
            <wp:positionV relativeFrom="paragraph">
              <wp:posOffset>43180</wp:posOffset>
            </wp:positionV>
            <wp:extent cx="2655651" cy="1729528"/>
            <wp:effectExtent l="0" t="0" r="0" b="4445"/>
            <wp:wrapNone/>
            <wp:docPr id="660" name="Image 660" descr="Résultats de recherche d'images pour « pauvreté infanti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Résultats de recherche d'images pour « pauvreté infantile »"/>
                    <pic:cNvPicPr>
                      <a:picLocks noChangeAspect="1" noChangeArrowheads="1"/>
                    </pic:cNvPicPr>
                  </pic:nvPicPr>
                  <pic:blipFill rotWithShape="1">
                    <a:blip r:embed="rId287">
                      <a:extLst>
                        <a:ext uri="{28A0092B-C50C-407E-A947-70E740481C1C}">
                          <a14:useLocalDpi xmlns:a14="http://schemas.microsoft.com/office/drawing/2010/main" val="0"/>
                        </a:ext>
                      </a:extLst>
                    </a:blip>
                    <a:srcRect l="7279" r="6329"/>
                    <a:stretch/>
                  </pic:blipFill>
                  <pic:spPr bwMode="auto">
                    <a:xfrm>
                      <a:off x="0" y="0"/>
                      <a:ext cx="2655651" cy="172952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F0FA6" w:rsidRPr="00F40135">
        <w:rPr>
          <w:u w:val="single"/>
        </w:rPr>
        <w:t>Obstacles</w:t>
      </w:r>
      <w:r w:rsidR="00F40135" w:rsidRPr="00F40135">
        <w:rPr>
          <w:u w:val="single"/>
        </w:rPr>
        <w:t xml:space="preserve"> aux soins</w:t>
      </w:r>
    </w:p>
    <w:p w:rsidR="00F40135" w:rsidRDefault="00F40135" w:rsidP="00F40135">
      <w:pPr>
        <w:pStyle w:val="Sansinterligne"/>
        <w:numPr>
          <w:ilvl w:val="0"/>
          <w:numId w:val="1427"/>
        </w:numPr>
      </w:pPr>
      <w:r>
        <w:t>Faible revenu familial (médicaments, soins oculaires par exemple)</w:t>
      </w:r>
    </w:p>
    <w:p w:rsidR="00F40135" w:rsidRDefault="00F40135" w:rsidP="00F40135">
      <w:pPr>
        <w:pStyle w:val="Sansinterligne"/>
        <w:numPr>
          <w:ilvl w:val="1"/>
          <w:numId w:val="1427"/>
        </w:numPr>
      </w:pPr>
      <w:r>
        <w:t>Parents parfois peu enclins à engager des intervenants</w:t>
      </w:r>
    </w:p>
    <w:p w:rsidR="00F40135" w:rsidRDefault="00F40135" w:rsidP="00E64123">
      <w:pPr>
        <w:pStyle w:val="Sansinterligne"/>
      </w:pPr>
    </w:p>
    <w:p w:rsidR="002F0FA6" w:rsidRPr="00F40135" w:rsidRDefault="002F0FA6" w:rsidP="00E64123">
      <w:pPr>
        <w:pStyle w:val="Sansinterligne"/>
        <w:rPr>
          <w:u w:val="single"/>
        </w:rPr>
      </w:pPr>
      <w:r w:rsidRPr="00F40135">
        <w:rPr>
          <w:u w:val="single"/>
        </w:rPr>
        <w:t>Facteurs de risque</w:t>
      </w:r>
      <w:r w:rsidR="00F40135">
        <w:rPr>
          <w:u w:val="single"/>
        </w:rPr>
        <w:t xml:space="preserve"> pour la santé</w:t>
      </w:r>
    </w:p>
    <w:p w:rsidR="002F0FA6" w:rsidRPr="0038164B" w:rsidRDefault="00F40135" w:rsidP="00F40135">
      <w:pPr>
        <w:pStyle w:val="Sansinterligne"/>
        <w:numPr>
          <w:ilvl w:val="0"/>
          <w:numId w:val="1428"/>
        </w:numPr>
        <w:rPr>
          <w:highlight w:val="yellow"/>
        </w:rPr>
      </w:pPr>
      <w:r w:rsidRPr="0038164B">
        <w:rPr>
          <w:highlight w:val="yellow"/>
        </w:rPr>
        <w:t>Insécurité alimentaire</w:t>
      </w:r>
    </w:p>
    <w:p w:rsidR="00F40135" w:rsidRPr="0038164B" w:rsidRDefault="00F40135" w:rsidP="00F40135">
      <w:pPr>
        <w:pStyle w:val="Sansinterligne"/>
        <w:numPr>
          <w:ilvl w:val="0"/>
          <w:numId w:val="1428"/>
        </w:numPr>
        <w:rPr>
          <w:highlight w:val="yellow"/>
        </w:rPr>
      </w:pPr>
      <w:r w:rsidRPr="0038164B">
        <w:rPr>
          <w:highlight w:val="yellow"/>
        </w:rPr>
        <w:t>Négligence et/ou manque de supervision parentale</w:t>
      </w:r>
    </w:p>
    <w:p w:rsidR="00F40135" w:rsidRDefault="00F40135" w:rsidP="00F40135">
      <w:pPr>
        <w:pStyle w:val="Sansinterligne"/>
        <w:numPr>
          <w:ilvl w:val="0"/>
          <w:numId w:val="1428"/>
        </w:numPr>
      </w:pPr>
      <w:r>
        <w:t>Comportements à risque (traumas, consommation, etc.)</w:t>
      </w:r>
    </w:p>
    <w:p w:rsidR="00F40135" w:rsidRDefault="00F40135" w:rsidP="00F40135">
      <w:pPr>
        <w:pStyle w:val="Sansinterligne"/>
        <w:numPr>
          <w:ilvl w:val="0"/>
          <w:numId w:val="1428"/>
        </w:numPr>
      </w:pPr>
      <w:r>
        <w:t xml:space="preserve">Discrimination par les autres enfants (estime de soi, </w:t>
      </w:r>
      <w:r w:rsidR="0038164B">
        <w:t>santé mentale)</w:t>
      </w:r>
    </w:p>
    <w:p w:rsidR="00F40135" w:rsidRDefault="00F40135" w:rsidP="00E64123">
      <w:pPr>
        <w:pStyle w:val="Sansinterligne"/>
      </w:pPr>
    </w:p>
    <w:p w:rsidR="002F0FA6" w:rsidRPr="00F40135" w:rsidRDefault="002F0FA6" w:rsidP="00E64123">
      <w:pPr>
        <w:pStyle w:val="Sansinterligne"/>
        <w:rPr>
          <w:u w:val="single"/>
        </w:rPr>
      </w:pPr>
      <w:r w:rsidRPr="00F40135">
        <w:rPr>
          <w:u w:val="single"/>
        </w:rPr>
        <w:t>Solutions</w:t>
      </w:r>
    </w:p>
    <w:p w:rsidR="002F0FA6" w:rsidRPr="0038164B" w:rsidRDefault="00F40135" w:rsidP="00F40135">
      <w:pPr>
        <w:pStyle w:val="Sansinterligne"/>
        <w:numPr>
          <w:ilvl w:val="0"/>
          <w:numId w:val="1429"/>
        </w:numPr>
        <w:rPr>
          <w:highlight w:val="yellow"/>
        </w:rPr>
      </w:pPr>
      <w:r w:rsidRPr="0038164B">
        <w:rPr>
          <w:highlight w:val="yellow"/>
        </w:rPr>
        <w:t xml:space="preserve">Augmenter </w:t>
      </w:r>
      <w:r w:rsidR="0038164B" w:rsidRPr="0038164B">
        <w:rPr>
          <w:highlight w:val="yellow"/>
        </w:rPr>
        <w:t>le revenu</w:t>
      </w:r>
      <w:r w:rsidRPr="0038164B">
        <w:rPr>
          <w:highlight w:val="yellow"/>
        </w:rPr>
        <w:t xml:space="preserve"> familial (mesures sociales)</w:t>
      </w:r>
    </w:p>
    <w:p w:rsidR="00F40135" w:rsidRPr="0038164B" w:rsidRDefault="00F40135" w:rsidP="00F40135">
      <w:pPr>
        <w:pStyle w:val="Sansinterligne"/>
        <w:numPr>
          <w:ilvl w:val="0"/>
          <w:numId w:val="1429"/>
        </w:numPr>
        <w:rPr>
          <w:highlight w:val="yellow"/>
        </w:rPr>
      </w:pPr>
      <w:r w:rsidRPr="0038164B">
        <w:rPr>
          <w:highlight w:val="yellow"/>
        </w:rPr>
        <w:t>CPE</w:t>
      </w:r>
      <w:r w:rsidR="0038164B" w:rsidRPr="0038164B">
        <w:rPr>
          <w:highlight w:val="yellow"/>
        </w:rPr>
        <w:t>, garderies en milieu familial</w:t>
      </w:r>
      <w:r w:rsidRPr="0038164B">
        <w:rPr>
          <w:highlight w:val="yellow"/>
        </w:rPr>
        <w:t xml:space="preserve"> et éducation</w:t>
      </w:r>
      <w:r w:rsidR="0038164B" w:rsidRPr="0038164B">
        <w:rPr>
          <w:highlight w:val="yellow"/>
        </w:rPr>
        <w:t xml:space="preserve"> (débuter éducation tôt et soutenue)</w:t>
      </w:r>
    </w:p>
    <w:p w:rsidR="00F40135" w:rsidRPr="00F40135" w:rsidRDefault="00F40135" w:rsidP="00E64123">
      <w:pPr>
        <w:pStyle w:val="Sansinterligne"/>
        <w:rPr>
          <w:sz w:val="16"/>
          <w:szCs w:val="16"/>
        </w:rPr>
      </w:pPr>
    </w:p>
    <w:p w:rsidR="002F0FA6" w:rsidRPr="002F0FA6" w:rsidRDefault="00E64123" w:rsidP="00E64123">
      <w:pPr>
        <w:pStyle w:val="Sansinterligne"/>
        <w:rPr>
          <w:b/>
          <w:sz w:val="28"/>
          <w:szCs w:val="28"/>
        </w:rPr>
      </w:pPr>
      <w:r w:rsidRPr="002F0FA6">
        <w:rPr>
          <w:b/>
          <w:sz w:val="28"/>
          <w:szCs w:val="28"/>
        </w:rPr>
        <w:t>Personnes âgées</w:t>
      </w:r>
      <w:r w:rsidR="006A0816">
        <w:rPr>
          <w:b/>
          <w:sz w:val="28"/>
          <w:szCs w:val="28"/>
        </w:rPr>
        <w:t xml:space="preserve"> et isolement</w:t>
      </w:r>
    </w:p>
    <w:p w:rsidR="002F0FA6" w:rsidRDefault="002F0FA6" w:rsidP="00E64123">
      <w:pPr>
        <w:pStyle w:val="Sansinterligne"/>
      </w:pPr>
    </w:p>
    <w:p w:rsidR="002F0FA6" w:rsidRPr="00F40135" w:rsidRDefault="002F0FA6" w:rsidP="00E64123">
      <w:pPr>
        <w:pStyle w:val="Sansinterligne"/>
        <w:rPr>
          <w:u w:val="single"/>
        </w:rPr>
      </w:pPr>
      <w:r w:rsidRPr="00F40135">
        <w:rPr>
          <w:u w:val="single"/>
        </w:rPr>
        <w:t>Obstacles</w:t>
      </w:r>
    </w:p>
    <w:p w:rsidR="002F0FA6" w:rsidRDefault="00595052" w:rsidP="00595052">
      <w:pPr>
        <w:pStyle w:val="Sansinterligne"/>
        <w:numPr>
          <w:ilvl w:val="0"/>
          <w:numId w:val="1432"/>
        </w:numPr>
      </w:pPr>
      <w:r w:rsidRPr="0038164B">
        <w:rPr>
          <w:highlight w:val="yellow"/>
        </w:rPr>
        <w:t>Multiples conditions médicales (hospitalisations, absence d’aide)</w:t>
      </w:r>
    </w:p>
    <w:p w:rsidR="00595052" w:rsidRPr="0038164B" w:rsidRDefault="00595052" w:rsidP="00595052">
      <w:pPr>
        <w:pStyle w:val="Sansinterligne"/>
        <w:numPr>
          <w:ilvl w:val="0"/>
          <w:numId w:val="1430"/>
        </w:numPr>
        <w:rPr>
          <w:highlight w:val="yellow"/>
        </w:rPr>
      </w:pPr>
      <w:r w:rsidRPr="0038164B">
        <w:rPr>
          <w:highlight w:val="yellow"/>
        </w:rPr>
        <w:t>Absence d’aide et support émotionnel</w:t>
      </w:r>
    </w:p>
    <w:p w:rsidR="00595052" w:rsidRPr="00595052" w:rsidRDefault="00595052" w:rsidP="00E64123">
      <w:pPr>
        <w:pStyle w:val="Sansinterligne"/>
        <w:numPr>
          <w:ilvl w:val="0"/>
          <w:numId w:val="1430"/>
        </w:numPr>
        <w:rPr>
          <w:u w:val="single"/>
        </w:rPr>
      </w:pPr>
      <w:r w:rsidRPr="00595052">
        <w:rPr>
          <w:highlight w:val="yellow"/>
        </w:rPr>
        <w:t>Milieu de vie mal adapté</w:t>
      </w:r>
    </w:p>
    <w:p w:rsidR="00595052" w:rsidRPr="00595052" w:rsidRDefault="00595052" w:rsidP="00595052">
      <w:pPr>
        <w:pStyle w:val="Sansinterligne"/>
        <w:rPr>
          <w:u w:val="single"/>
        </w:rPr>
      </w:pPr>
    </w:p>
    <w:p w:rsidR="002F0FA6" w:rsidRPr="00595052" w:rsidRDefault="002F0FA6" w:rsidP="00595052">
      <w:pPr>
        <w:pStyle w:val="Sansinterligne"/>
        <w:rPr>
          <w:u w:val="single"/>
        </w:rPr>
      </w:pPr>
      <w:r w:rsidRPr="00595052">
        <w:rPr>
          <w:u w:val="single"/>
        </w:rPr>
        <w:t>Facteurs de risque</w:t>
      </w:r>
    </w:p>
    <w:p w:rsidR="00595052" w:rsidRDefault="00595052" w:rsidP="00595052">
      <w:pPr>
        <w:pStyle w:val="Sansinterligne"/>
        <w:numPr>
          <w:ilvl w:val="0"/>
          <w:numId w:val="1430"/>
        </w:numPr>
        <w:ind w:left="284" w:hanging="284"/>
        <w:rPr>
          <w:highlight w:val="yellow"/>
        </w:rPr>
      </w:pPr>
      <w:r w:rsidRPr="0038164B">
        <w:rPr>
          <w:noProof/>
          <w:highlight w:val="yellow"/>
          <w:lang w:eastAsia="fr-CA"/>
        </w:rPr>
        <w:drawing>
          <wp:anchor distT="0" distB="0" distL="114300" distR="114300" simplePos="0" relativeHeight="252189696" behindDoc="0" locked="0" layoutInCell="1" allowOverlap="1" wp14:anchorId="1C2542D0" wp14:editId="5C80EEFE">
            <wp:simplePos x="0" y="0"/>
            <wp:positionH relativeFrom="column">
              <wp:posOffset>4580890</wp:posOffset>
            </wp:positionH>
            <wp:positionV relativeFrom="paragraph">
              <wp:posOffset>34290</wp:posOffset>
            </wp:positionV>
            <wp:extent cx="2305050" cy="1711325"/>
            <wp:effectExtent l="0" t="0" r="0" b="3175"/>
            <wp:wrapNone/>
            <wp:docPr id="661" name="Image 661" descr="Résultats de recherche d'images pour « isolement personnes âgé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Résultats de recherche d'images pour « isolement personnes âgées »"/>
                    <pic:cNvPicPr>
                      <a:picLocks noChangeAspect="1" noChangeArrowheads="1"/>
                    </pic:cNvPicPr>
                  </pic:nvPicPr>
                  <pic:blipFill rotWithShape="1">
                    <a:blip r:embed="rId288">
                      <a:extLst>
                        <a:ext uri="{28A0092B-C50C-407E-A947-70E740481C1C}">
                          <a14:useLocalDpi xmlns:a14="http://schemas.microsoft.com/office/drawing/2010/main" val="0"/>
                        </a:ext>
                      </a:extLst>
                    </a:blip>
                    <a:srcRect l="35598"/>
                    <a:stretch/>
                  </pic:blipFill>
                  <pic:spPr bwMode="auto">
                    <a:xfrm>
                      <a:off x="0" y="0"/>
                      <a:ext cx="2305050" cy="17113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40135" w:rsidRPr="0038164B">
        <w:rPr>
          <w:highlight w:val="yellow"/>
        </w:rPr>
        <w:t xml:space="preserve">Abus / violence envers les ainés </w:t>
      </w:r>
    </w:p>
    <w:p w:rsidR="00595052" w:rsidRDefault="00F40135" w:rsidP="00595052">
      <w:pPr>
        <w:pStyle w:val="Sansinterligne"/>
        <w:numPr>
          <w:ilvl w:val="1"/>
          <w:numId w:val="1430"/>
        </w:numPr>
        <w:rPr>
          <w:highlight w:val="yellow"/>
        </w:rPr>
      </w:pPr>
      <w:r w:rsidRPr="00595052">
        <w:rPr>
          <w:highlight w:val="yellow"/>
        </w:rPr>
        <w:t xml:space="preserve">Voir </w:t>
      </w:r>
      <w:r w:rsidRPr="00595052">
        <w:rPr>
          <w:i/>
          <w:highlight w:val="yellow"/>
        </w:rPr>
        <w:t>Mauvais traitements envers une personne âgée CMC 114-2</w:t>
      </w:r>
      <w:r w:rsidRPr="00595052">
        <w:rPr>
          <w:highlight w:val="yellow"/>
        </w:rPr>
        <w:t>)</w:t>
      </w:r>
    </w:p>
    <w:p w:rsidR="00F40135" w:rsidRPr="00595052" w:rsidRDefault="00F40135" w:rsidP="00595052">
      <w:pPr>
        <w:pStyle w:val="Sansinterligne"/>
        <w:numPr>
          <w:ilvl w:val="0"/>
          <w:numId w:val="1430"/>
        </w:numPr>
        <w:ind w:left="284" w:hanging="284"/>
        <w:rPr>
          <w:highlight w:val="yellow"/>
        </w:rPr>
      </w:pPr>
      <w:r w:rsidRPr="00595052">
        <w:rPr>
          <w:highlight w:val="yellow"/>
        </w:rPr>
        <w:t>Polypharmacie (mauvais usage, effets secondaires)</w:t>
      </w:r>
    </w:p>
    <w:p w:rsidR="00F40135" w:rsidRDefault="00595052" w:rsidP="00595052">
      <w:pPr>
        <w:pStyle w:val="Sansinterligne"/>
        <w:tabs>
          <w:tab w:val="left" w:pos="2252"/>
        </w:tabs>
      </w:pPr>
      <w:r>
        <w:tab/>
      </w:r>
    </w:p>
    <w:p w:rsidR="00F40135" w:rsidRPr="00F40135" w:rsidRDefault="002F0FA6" w:rsidP="00E64123">
      <w:pPr>
        <w:pStyle w:val="Sansinterligne"/>
        <w:rPr>
          <w:u w:val="single"/>
        </w:rPr>
      </w:pPr>
      <w:r w:rsidRPr="00F40135">
        <w:rPr>
          <w:u w:val="single"/>
        </w:rPr>
        <w:t>Solutions</w:t>
      </w:r>
    </w:p>
    <w:p w:rsidR="00F40135" w:rsidRDefault="00F40135" w:rsidP="00F40135">
      <w:pPr>
        <w:pStyle w:val="Sansinterligne"/>
        <w:numPr>
          <w:ilvl w:val="0"/>
          <w:numId w:val="1431"/>
        </w:numPr>
      </w:pPr>
      <w:r>
        <w:t>Offrir un milieu de vie adapté (relocalisation)</w:t>
      </w:r>
    </w:p>
    <w:p w:rsidR="00F40135" w:rsidRDefault="00F40135" w:rsidP="00F40135">
      <w:pPr>
        <w:pStyle w:val="Sansinterligne"/>
        <w:numPr>
          <w:ilvl w:val="0"/>
          <w:numId w:val="1431"/>
        </w:numPr>
      </w:pPr>
      <w:r>
        <w:t>Tenir compte des besoins et volontés (milieu, soins, etc.)</w:t>
      </w:r>
    </w:p>
    <w:p w:rsidR="00F40135" w:rsidRPr="0038164B" w:rsidRDefault="00F40135" w:rsidP="00F40135">
      <w:pPr>
        <w:pStyle w:val="Sansinterligne"/>
        <w:numPr>
          <w:ilvl w:val="0"/>
          <w:numId w:val="1431"/>
        </w:numPr>
        <w:rPr>
          <w:highlight w:val="yellow"/>
        </w:rPr>
      </w:pPr>
      <w:r w:rsidRPr="0038164B">
        <w:rPr>
          <w:highlight w:val="yellow"/>
        </w:rPr>
        <w:t>Signalement des abus (tous)</w:t>
      </w:r>
    </w:p>
    <w:p w:rsidR="00F40135" w:rsidRPr="0038164B" w:rsidRDefault="00F40135" w:rsidP="00F40135">
      <w:pPr>
        <w:pStyle w:val="Sansinterligne"/>
        <w:numPr>
          <w:ilvl w:val="0"/>
          <w:numId w:val="1431"/>
        </w:numPr>
        <w:rPr>
          <w:highlight w:val="yellow"/>
        </w:rPr>
      </w:pPr>
      <w:r w:rsidRPr="0038164B">
        <w:rPr>
          <w:highlight w:val="yellow"/>
        </w:rPr>
        <w:t>Être proactif en dépistage de dépression chez les aînés (questionner)</w:t>
      </w:r>
    </w:p>
    <w:p w:rsidR="00E64123" w:rsidRPr="0038164B" w:rsidRDefault="00F40135" w:rsidP="00E64123">
      <w:pPr>
        <w:pStyle w:val="Sansinterligne"/>
        <w:numPr>
          <w:ilvl w:val="0"/>
          <w:numId w:val="1431"/>
        </w:numPr>
        <w:rPr>
          <w:highlight w:val="yellow"/>
        </w:rPr>
      </w:pPr>
      <w:r w:rsidRPr="0038164B">
        <w:rPr>
          <w:highlight w:val="yellow"/>
        </w:rPr>
        <w:t>Prévention des chutes</w:t>
      </w:r>
      <w:r w:rsidR="00E64123" w:rsidRPr="0038164B">
        <w:rPr>
          <w:highlight w:val="yellow"/>
        </w:rPr>
        <w:br w:type="page"/>
      </w:r>
    </w:p>
    <w:p w:rsidR="0014275B" w:rsidRDefault="0014275B" w:rsidP="00D859AA">
      <w:pPr>
        <w:spacing w:after="0"/>
        <w:rPr>
          <w:rFonts w:cs="Times New Roman"/>
          <w:b/>
          <w:color w:val="548DD4" w:themeColor="text2" w:themeTint="99"/>
        </w:rPr>
      </w:pPr>
      <w:r>
        <w:rPr>
          <w:rFonts w:cs="Times New Roman"/>
          <w:b/>
          <w:color w:val="548DD4" w:themeColor="text2" w:themeTint="99"/>
        </w:rPr>
        <w:t>CMC 78-8</w:t>
      </w:r>
    </w:p>
    <w:p w:rsidR="0014275B" w:rsidRPr="0014275B" w:rsidRDefault="0014275B" w:rsidP="0014275B">
      <w:pPr>
        <w:pStyle w:val="Titre3"/>
        <w:spacing w:before="0"/>
        <w:rPr>
          <w:rFonts w:ascii="Times New Roman" w:hAnsi="Times New Roman" w:cs="Times New Roman"/>
        </w:rPr>
      </w:pPr>
      <w:bookmarkStart w:id="288" w:name="_Toc480797317"/>
      <w:r w:rsidRPr="0014275B">
        <w:rPr>
          <w:rFonts w:ascii="Times New Roman" w:hAnsi="Times New Roman" w:cs="Times New Roman"/>
        </w:rPr>
        <w:t>Problèmes de santé liés au travail</w:t>
      </w:r>
      <w:bookmarkEnd w:id="288"/>
    </w:p>
    <w:p w:rsidR="0014275B" w:rsidRDefault="0014275B" w:rsidP="00D859AA">
      <w:pPr>
        <w:spacing w:after="0"/>
        <w:rPr>
          <w:rFonts w:cs="Times New Roman"/>
          <w:b/>
          <w:color w:val="548DD4" w:themeColor="text2" w:themeTint="99"/>
        </w:rPr>
      </w:pPr>
      <w:r>
        <w:rPr>
          <w:rFonts w:cs="Times New Roman"/>
          <w:b/>
          <w:noProof/>
          <w:color w:val="548DD4" w:themeColor="text2" w:themeTint="99"/>
          <w:lang w:eastAsia="fr-CA"/>
        </w:rPr>
        <mc:AlternateContent>
          <mc:Choice Requires="wps">
            <w:drawing>
              <wp:anchor distT="0" distB="0" distL="114300" distR="114300" simplePos="0" relativeHeight="252150784" behindDoc="0" locked="0" layoutInCell="1" allowOverlap="1" wp14:anchorId="595D6BEA" wp14:editId="7001C5DF">
                <wp:simplePos x="0" y="0"/>
                <wp:positionH relativeFrom="column">
                  <wp:posOffset>-58366</wp:posOffset>
                </wp:positionH>
                <wp:positionV relativeFrom="paragraph">
                  <wp:posOffset>143591</wp:posOffset>
                </wp:positionV>
                <wp:extent cx="6984460" cy="3715966"/>
                <wp:effectExtent l="0" t="0" r="26035" b="18415"/>
                <wp:wrapNone/>
                <wp:docPr id="622" name="Rectangle 622"/>
                <wp:cNvGraphicFramePr/>
                <a:graphic xmlns:a="http://schemas.openxmlformats.org/drawingml/2006/main">
                  <a:graphicData uri="http://schemas.microsoft.com/office/word/2010/wordprocessingShape">
                    <wps:wsp>
                      <wps:cNvSpPr/>
                      <wps:spPr>
                        <a:xfrm>
                          <a:off x="0" y="0"/>
                          <a:ext cx="6984460" cy="3715966"/>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622" o:spid="_x0000_s1026" style="position:absolute;margin-left:-4.6pt;margin-top:11.3pt;width:549.95pt;height:292.6pt;z-index:2521507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" filled="f" strokecolor="black [1600]" strokeweight="2pt"/>
            </w:pict>
          </mc:Fallback>
        </mc:AlternateContent>
      </w:r>
    </w:p>
    <w:tbl>
      <w:tblPr>
        <w:tblW w:w="3858" w:type="pct"/>
        <w:tblCellSpacing w:w="0" w:type="dxa"/>
        <w:tblCellMar>
          <w:left w:w="0" w:type="dxa"/>
          <w:right w:w="0" w:type="dxa"/>
        </w:tblCellMar>
        <w:tblLook w:val="04A0" w:firstRow="1" w:lastRow="0" w:firstColumn="1" w:lastColumn="0" w:noHBand="0" w:noVBand="1"/>
      </w:tblPr>
      <w:tblGrid>
        <w:gridCol w:w="8333"/>
      </w:tblGrid>
      <w:tr w:rsidR="0014275B" w:rsidRPr="0014275B" w:rsidTr="0014275B">
        <w:trPr>
          <w:tblCellSpacing w:w="0" w:type="dxa"/>
        </w:trPr>
        <w:tc>
          <w:tcPr>
            <w:tcW w:w="0" w:type="auto"/>
            <w:vAlign w:val="bottom"/>
            <w:hideMark/>
          </w:tcPr>
          <w:p w:rsidR="0014275B" w:rsidRPr="0014275B" w:rsidRDefault="0014275B" w:rsidP="0014275B">
            <w:pPr>
              <w:pStyle w:val="Sansinterligne"/>
              <w:rPr>
                <w:rFonts w:cs="Times New Roman"/>
                <w:b/>
                <w:sz w:val="18"/>
                <w:szCs w:val="18"/>
              </w:rPr>
            </w:pPr>
            <w:r w:rsidRPr="0014275B">
              <w:rPr>
                <w:rFonts w:cs="Times New Roman"/>
                <w:b/>
                <w:sz w:val="18"/>
                <w:szCs w:val="18"/>
              </w:rPr>
              <w:t>Objectifs principaux</w:t>
            </w:r>
          </w:p>
        </w:tc>
      </w:tr>
    </w:tbl>
    <w:p w:rsidR="0014275B" w:rsidRPr="0014275B" w:rsidRDefault="0014275B" w:rsidP="0014275B">
      <w:pPr>
        <w:pStyle w:val="NormalWeb"/>
        <w:ind w:left="360"/>
        <w:rPr>
          <w:color w:val="000000"/>
          <w:sz w:val="18"/>
          <w:szCs w:val="18"/>
          <w:shd w:val="clear" w:color="auto" w:fill="FFFFFF"/>
        </w:rPr>
      </w:pPr>
      <w:r w:rsidRPr="0014275B">
        <w:rPr>
          <w:color w:val="000000"/>
          <w:sz w:val="18"/>
          <w:szCs w:val="18"/>
          <w:shd w:val="clear" w:color="auto" w:fill="FFFFFF"/>
        </w:rPr>
        <w:t>Dans le cas d'un patient ayant un problème de santé lié au travail, le candidat devra évaluer les facteurs étiologiques liés au milieu de travail, la contribution des expositions professionnelles aux affections les plus courantes, de même que les répercussions d'un problème médical donné sur la capacité de travailler. Il devra en outre mettre en place un plan de prise en charge approprié et accorder une attention particulière à l'identification des risques professionnels pour la santé du patient et de ses collègues de travail.</w:t>
      </w:r>
    </w:p>
    <w:tbl>
      <w:tblPr>
        <w:tblW w:w="3897" w:type="pct"/>
        <w:tblCellSpacing w:w="0" w:type="dxa"/>
        <w:tblCellMar>
          <w:left w:w="0" w:type="dxa"/>
          <w:right w:w="0" w:type="dxa"/>
        </w:tblCellMar>
        <w:tblLook w:val="04A0" w:firstRow="1" w:lastRow="0" w:firstColumn="1" w:lastColumn="0" w:noHBand="0" w:noVBand="1"/>
      </w:tblPr>
      <w:tblGrid>
        <w:gridCol w:w="8418"/>
      </w:tblGrid>
      <w:tr w:rsidR="0014275B" w:rsidRPr="0014275B" w:rsidTr="0014275B">
        <w:trPr>
          <w:tblCellSpacing w:w="0" w:type="dxa"/>
        </w:trPr>
        <w:tc>
          <w:tcPr>
            <w:tcW w:w="0" w:type="auto"/>
            <w:vAlign w:val="bottom"/>
            <w:hideMark/>
          </w:tcPr>
          <w:p w:rsidR="0014275B" w:rsidRPr="0014275B" w:rsidRDefault="0014275B" w:rsidP="0014275B">
            <w:pPr>
              <w:pStyle w:val="Sansinterligne"/>
              <w:rPr>
                <w:rFonts w:cs="Times New Roman"/>
                <w:b/>
                <w:sz w:val="16"/>
                <w:szCs w:val="16"/>
              </w:rPr>
            </w:pPr>
            <w:r w:rsidRPr="0014275B">
              <w:rPr>
                <w:rFonts w:cs="Times New Roman"/>
                <w:b/>
                <w:sz w:val="16"/>
                <w:szCs w:val="16"/>
              </w:rPr>
              <w:t>Objectifs spécifiques</w:t>
            </w:r>
          </w:p>
        </w:tc>
      </w:tr>
    </w:tbl>
    <w:p w:rsidR="0014275B" w:rsidRPr="0014275B" w:rsidRDefault="0014275B" w:rsidP="0014275B">
      <w:pPr>
        <w:pStyle w:val="NormalWeb"/>
        <w:shd w:val="clear" w:color="auto" w:fill="FFFFFF"/>
        <w:ind w:left="360"/>
        <w:rPr>
          <w:color w:val="000000"/>
          <w:sz w:val="16"/>
          <w:szCs w:val="16"/>
          <w:shd w:val="clear" w:color="auto" w:fill="FFFFFF"/>
        </w:rPr>
      </w:pPr>
      <w:r w:rsidRPr="0014275B">
        <w:rPr>
          <w:color w:val="000000"/>
          <w:sz w:val="16"/>
          <w:szCs w:val="16"/>
          <w:shd w:val="clear" w:color="auto" w:fill="FFFFFF"/>
        </w:rPr>
        <w:t>Dans le cas d'un patient ayant un problème de santé lié au travail, le candidat devra</w:t>
      </w:r>
    </w:p>
    <w:p w:rsidR="0014275B" w:rsidRPr="0014275B" w:rsidRDefault="0014275B" w:rsidP="0014275B">
      <w:pPr>
        <w:numPr>
          <w:ilvl w:val="0"/>
          <w:numId w:val="1381"/>
        </w:numPr>
        <w:shd w:val="clear" w:color="auto" w:fill="FFFFFF"/>
        <w:spacing w:before="100" w:beforeAutospacing="1" w:after="100" w:afterAutospacing="1" w:line="240" w:lineRule="auto"/>
        <w:rPr>
          <w:rFonts w:cs="Times New Roman"/>
          <w:color w:val="000000"/>
          <w:sz w:val="16"/>
          <w:szCs w:val="16"/>
          <w:shd w:val="clear" w:color="auto" w:fill="FFFFFF"/>
        </w:rPr>
      </w:pPr>
      <w:r w:rsidRPr="0014275B">
        <w:rPr>
          <w:rFonts w:cs="Times New Roman"/>
          <w:color w:val="000000"/>
          <w:sz w:val="16"/>
          <w:szCs w:val="16"/>
          <w:shd w:val="clear" w:color="auto" w:fill="FFFFFF"/>
        </w:rPr>
        <w:t>énumérer et interpréter les constatations cliniques cruciales, notamment celles découlant:</w:t>
      </w:r>
    </w:p>
    <w:p w:rsidR="0014275B" w:rsidRPr="0014275B" w:rsidRDefault="0014275B" w:rsidP="0014275B">
      <w:pPr>
        <w:numPr>
          <w:ilvl w:val="1"/>
          <w:numId w:val="1381"/>
        </w:numPr>
        <w:shd w:val="clear" w:color="auto" w:fill="FFFFFF"/>
        <w:spacing w:before="100" w:beforeAutospacing="1" w:after="100" w:afterAutospacing="1" w:line="240" w:lineRule="auto"/>
        <w:rPr>
          <w:rFonts w:cs="Times New Roman"/>
          <w:color w:val="000000"/>
          <w:sz w:val="16"/>
          <w:szCs w:val="16"/>
          <w:shd w:val="clear" w:color="auto" w:fill="FFFFFF"/>
        </w:rPr>
      </w:pPr>
      <w:r w:rsidRPr="0014275B">
        <w:rPr>
          <w:rFonts w:cs="Times New Roman"/>
          <w:color w:val="000000"/>
          <w:sz w:val="16"/>
          <w:szCs w:val="16"/>
          <w:shd w:val="clear" w:color="auto" w:fill="FFFFFF"/>
        </w:rPr>
        <w:t>d'une anamnèse et d'un examen physique ciblé réalisés dans le but de poser un diagnostic et d'établir des liens possibles entre les symptômes et le milieu de travail;</w:t>
      </w:r>
    </w:p>
    <w:p w:rsidR="0014275B" w:rsidRPr="0014275B" w:rsidRDefault="0014275B" w:rsidP="0014275B">
      <w:pPr>
        <w:numPr>
          <w:ilvl w:val="1"/>
          <w:numId w:val="1381"/>
        </w:numPr>
        <w:shd w:val="clear" w:color="auto" w:fill="FFFFFF"/>
        <w:spacing w:before="100" w:beforeAutospacing="1" w:after="100" w:afterAutospacing="1" w:line="240" w:lineRule="auto"/>
        <w:rPr>
          <w:rFonts w:cs="Times New Roman"/>
          <w:color w:val="000000"/>
          <w:sz w:val="16"/>
          <w:szCs w:val="16"/>
          <w:shd w:val="clear" w:color="auto" w:fill="FFFFFF"/>
        </w:rPr>
      </w:pPr>
      <w:r w:rsidRPr="0014275B">
        <w:rPr>
          <w:rFonts w:cs="Times New Roman"/>
          <w:color w:val="000000"/>
          <w:sz w:val="16"/>
          <w:szCs w:val="16"/>
          <w:shd w:val="clear" w:color="auto" w:fill="FFFFFF"/>
        </w:rPr>
        <w:t>de l'identification des risques en milieu de travail susceptibles d'avoir eu une incidence sur le problème de santé en question;</w:t>
      </w:r>
    </w:p>
    <w:p w:rsidR="0014275B" w:rsidRPr="0014275B" w:rsidRDefault="0014275B" w:rsidP="0014275B">
      <w:pPr>
        <w:numPr>
          <w:ilvl w:val="1"/>
          <w:numId w:val="1381"/>
        </w:numPr>
        <w:shd w:val="clear" w:color="auto" w:fill="FFFFFF"/>
        <w:spacing w:before="100" w:beforeAutospacing="1" w:after="100" w:afterAutospacing="1" w:line="240" w:lineRule="auto"/>
        <w:rPr>
          <w:rFonts w:cs="Times New Roman"/>
          <w:color w:val="000000"/>
          <w:sz w:val="16"/>
          <w:szCs w:val="16"/>
          <w:shd w:val="clear" w:color="auto" w:fill="FFFFFF"/>
        </w:rPr>
      </w:pPr>
      <w:r w:rsidRPr="0014275B">
        <w:rPr>
          <w:rFonts w:cs="Times New Roman"/>
          <w:color w:val="000000"/>
          <w:sz w:val="16"/>
          <w:szCs w:val="16"/>
          <w:shd w:val="clear" w:color="auto" w:fill="FFFFFF"/>
        </w:rPr>
        <w:t>du recensement du matériel de protection utilisé et des contrôles environnementaux en place;</w:t>
      </w:r>
    </w:p>
    <w:p w:rsidR="0014275B" w:rsidRPr="0014275B" w:rsidRDefault="0014275B" w:rsidP="0014275B">
      <w:pPr>
        <w:numPr>
          <w:ilvl w:val="1"/>
          <w:numId w:val="1381"/>
        </w:numPr>
        <w:shd w:val="clear" w:color="auto" w:fill="FFFFFF"/>
        <w:spacing w:before="100" w:beforeAutospacing="1" w:after="100" w:afterAutospacing="1" w:line="240" w:lineRule="auto"/>
        <w:rPr>
          <w:rFonts w:cs="Times New Roman"/>
          <w:color w:val="000000"/>
          <w:sz w:val="16"/>
          <w:szCs w:val="16"/>
          <w:shd w:val="clear" w:color="auto" w:fill="FFFFFF"/>
        </w:rPr>
      </w:pPr>
      <w:r w:rsidRPr="0014275B">
        <w:rPr>
          <w:rFonts w:cs="Times New Roman"/>
          <w:color w:val="000000"/>
          <w:sz w:val="16"/>
          <w:szCs w:val="16"/>
          <w:shd w:val="clear" w:color="auto" w:fill="FFFFFF"/>
        </w:rPr>
        <w:t>de l'identification de facteurs non professionnels susceptibles d'avoir une incidence sur le problème présenté.</w:t>
      </w:r>
    </w:p>
    <w:p w:rsidR="0014275B" w:rsidRPr="0014275B" w:rsidRDefault="0014275B" w:rsidP="0014275B">
      <w:pPr>
        <w:numPr>
          <w:ilvl w:val="0"/>
          <w:numId w:val="1381"/>
        </w:numPr>
        <w:shd w:val="clear" w:color="auto" w:fill="FFFFFF"/>
        <w:spacing w:before="100" w:beforeAutospacing="1" w:after="100" w:afterAutospacing="1" w:line="240" w:lineRule="auto"/>
        <w:rPr>
          <w:rFonts w:cs="Times New Roman"/>
          <w:color w:val="000000"/>
          <w:sz w:val="16"/>
          <w:szCs w:val="16"/>
          <w:shd w:val="clear" w:color="auto" w:fill="FFFFFF"/>
        </w:rPr>
      </w:pPr>
      <w:r w:rsidRPr="0014275B">
        <w:rPr>
          <w:rFonts w:cs="Times New Roman"/>
          <w:color w:val="000000"/>
          <w:sz w:val="16"/>
          <w:szCs w:val="16"/>
          <w:shd w:val="clear" w:color="auto" w:fill="FFFFFF"/>
        </w:rPr>
        <w:t>énumérer et interpréter les examens essentiels, notamment:</w:t>
      </w:r>
    </w:p>
    <w:p w:rsidR="0014275B" w:rsidRPr="0014275B" w:rsidRDefault="0014275B" w:rsidP="0014275B">
      <w:pPr>
        <w:numPr>
          <w:ilvl w:val="1"/>
          <w:numId w:val="1381"/>
        </w:numPr>
        <w:shd w:val="clear" w:color="auto" w:fill="FFFFFF"/>
        <w:spacing w:before="100" w:beforeAutospacing="1" w:after="100" w:afterAutospacing="1" w:line="240" w:lineRule="auto"/>
        <w:rPr>
          <w:rFonts w:cs="Times New Roman"/>
          <w:color w:val="000000"/>
          <w:sz w:val="16"/>
          <w:szCs w:val="16"/>
          <w:shd w:val="clear" w:color="auto" w:fill="FFFFFF"/>
        </w:rPr>
      </w:pPr>
      <w:r w:rsidRPr="0014275B">
        <w:rPr>
          <w:rFonts w:cs="Times New Roman"/>
          <w:color w:val="000000"/>
          <w:sz w:val="16"/>
          <w:szCs w:val="16"/>
          <w:shd w:val="clear" w:color="auto" w:fill="FFFFFF"/>
        </w:rPr>
        <w:t>les analyses de laboratoire et les examens radiologiques appropriés selon la nature du problème présenté (p. ex. radiographie pulmonaire, échographie);</w:t>
      </w:r>
    </w:p>
    <w:p w:rsidR="0014275B" w:rsidRPr="0014275B" w:rsidRDefault="0014275B" w:rsidP="0014275B">
      <w:pPr>
        <w:numPr>
          <w:ilvl w:val="1"/>
          <w:numId w:val="1381"/>
        </w:numPr>
        <w:shd w:val="clear" w:color="auto" w:fill="FFFFFF"/>
        <w:spacing w:before="100" w:beforeAutospacing="1" w:after="100" w:afterAutospacing="1" w:line="240" w:lineRule="auto"/>
        <w:rPr>
          <w:rFonts w:cs="Times New Roman"/>
          <w:color w:val="000000"/>
          <w:sz w:val="16"/>
          <w:szCs w:val="16"/>
          <w:shd w:val="clear" w:color="auto" w:fill="FFFFFF"/>
        </w:rPr>
      </w:pPr>
      <w:r w:rsidRPr="0014275B">
        <w:rPr>
          <w:rFonts w:cs="Times New Roman"/>
          <w:color w:val="000000"/>
          <w:sz w:val="16"/>
          <w:szCs w:val="16"/>
          <w:shd w:val="clear" w:color="auto" w:fill="FFFFFF"/>
        </w:rPr>
        <w:t>les examens physiologiques et/ou les évaluations fonctionnelles (p. ex. tests de fonction pulmonaire, audiogrammes, évaluation en ergothérapie).</w:t>
      </w:r>
    </w:p>
    <w:p w:rsidR="0014275B" w:rsidRPr="0014275B" w:rsidRDefault="0014275B" w:rsidP="0014275B">
      <w:pPr>
        <w:numPr>
          <w:ilvl w:val="0"/>
          <w:numId w:val="1381"/>
        </w:numPr>
        <w:shd w:val="clear" w:color="auto" w:fill="FFFFFF"/>
        <w:spacing w:before="100" w:beforeAutospacing="1" w:after="100" w:afterAutospacing="1" w:line="240" w:lineRule="auto"/>
        <w:rPr>
          <w:rFonts w:cs="Times New Roman"/>
          <w:color w:val="000000"/>
          <w:sz w:val="16"/>
          <w:szCs w:val="16"/>
          <w:shd w:val="clear" w:color="auto" w:fill="FFFFFF"/>
        </w:rPr>
      </w:pPr>
      <w:r w:rsidRPr="0014275B">
        <w:rPr>
          <w:rFonts w:cs="Times New Roman"/>
          <w:color w:val="000000"/>
          <w:sz w:val="16"/>
          <w:szCs w:val="16"/>
          <w:shd w:val="clear" w:color="auto" w:fill="FFFFFF"/>
        </w:rPr>
        <w:t>établir un plan efficace de prise en charge initiale, notamment:</w:t>
      </w:r>
    </w:p>
    <w:p w:rsidR="0014275B" w:rsidRPr="0014275B" w:rsidRDefault="0014275B" w:rsidP="0014275B">
      <w:pPr>
        <w:numPr>
          <w:ilvl w:val="1"/>
          <w:numId w:val="1381"/>
        </w:numPr>
        <w:shd w:val="clear" w:color="auto" w:fill="FFFFFF"/>
        <w:spacing w:before="100" w:beforeAutospacing="1" w:after="100" w:afterAutospacing="1" w:line="240" w:lineRule="auto"/>
        <w:rPr>
          <w:rFonts w:cs="Times New Roman"/>
          <w:color w:val="000000"/>
          <w:sz w:val="16"/>
          <w:szCs w:val="16"/>
          <w:shd w:val="clear" w:color="auto" w:fill="FFFFFF"/>
        </w:rPr>
      </w:pPr>
      <w:r w:rsidRPr="0014275B">
        <w:rPr>
          <w:rFonts w:cs="Times New Roman"/>
          <w:color w:val="000000"/>
          <w:sz w:val="16"/>
          <w:szCs w:val="16"/>
          <w:shd w:val="clear" w:color="auto" w:fill="FFFFFF"/>
        </w:rPr>
        <w:t>mettre en place le traitement indiqué selon la nature du problème présenté;</w:t>
      </w:r>
    </w:p>
    <w:p w:rsidR="0014275B" w:rsidRPr="0014275B" w:rsidRDefault="0014275B" w:rsidP="0014275B">
      <w:pPr>
        <w:numPr>
          <w:ilvl w:val="1"/>
          <w:numId w:val="1381"/>
        </w:numPr>
        <w:shd w:val="clear" w:color="auto" w:fill="FFFFFF"/>
        <w:spacing w:before="100" w:beforeAutospacing="1" w:after="100" w:afterAutospacing="1" w:line="240" w:lineRule="auto"/>
        <w:rPr>
          <w:rFonts w:cs="Times New Roman"/>
          <w:color w:val="000000"/>
          <w:sz w:val="16"/>
          <w:szCs w:val="16"/>
          <w:shd w:val="clear" w:color="auto" w:fill="FFFFFF"/>
        </w:rPr>
      </w:pPr>
      <w:r w:rsidRPr="0014275B">
        <w:rPr>
          <w:rFonts w:cs="Times New Roman"/>
          <w:color w:val="000000"/>
          <w:sz w:val="16"/>
          <w:szCs w:val="16"/>
          <w:shd w:val="clear" w:color="auto" w:fill="FFFFFF"/>
        </w:rPr>
        <w:t>déterminer si une réaffectation professionnelle ou un arrêt de travail est requis dans ce cas et conseiller le patient à ce sujet;</w:t>
      </w:r>
    </w:p>
    <w:p w:rsidR="0014275B" w:rsidRPr="0014275B" w:rsidRDefault="0014275B" w:rsidP="0014275B">
      <w:pPr>
        <w:numPr>
          <w:ilvl w:val="1"/>
          <w:numId w:val="1381"/>
        </w:numPr>
        <w:shd w:val="clear" w:color="auto" w:fill="FFFFFF"/>
        <w:spacing w:before="100" w:beforeAutospacing="1" w:after="100" w:afterAutospacing="1" w:line="240" w:lineRule="auto"/>
        <w:rPr>
          <w:rFonts w:cs="Times New Roman"/>
          <w:color w:val="000000"/>
          <w:sz w:val="16"/>
          <w:szCs w:val="16"/>
          <w:shd w:val="clear" w:color="auto" w:fill="FFFFFF"/>
        </w:rPr>
      </w:pPr>
      <w:r w:rsidRPr="0014275B">
        <w:rPr>
          <w:rFonts w:cs="Times New Roman"/>
          <w:color w:val="000000"/>
          <w:sz w:val="16"/>
          <w:szCs w:val="16"/>
          <w:shd w:val="clear" w:color="auto" w:fill="FFFFFF"/>
        </w:rPr>
        <w:t>déterminer le suivi approprié ainsi que la pertinence de consultations auprès d'autres spécialistes, d'un suivi en counseling et/ou d'une approche thérapeutique multidisciplinaire;</w:t>
      </w:r>
    </w:p>
    <w:p w:rsidR="0014275B" w:rsidRPr="0014275B" w:rsidRDefault="0014275B" w:rsidP="0014275B">
      <w:pPr>
        <w:numPr>
          <w:ilvl w:val="1"/>
          <w:numId w:val="1381"/>
        </w:numPr>
        <w:shd w:val="clear" w:color="auto" w:fill="FFFFFF"/>
        <w:spacing w:before="100" w:beforeAutospacing="1" w:after="100" w:afterAutospacing="1" w:line="240" w:lineRule="auto"/>
        <w:rPr>
          <w:rFonts w:cs="Times New Roman"/>
          <w:color w:val="000000"/>
          <w:sz w:val="16"/>
          <w:szCs w:val="16"/>
          <w:shd w:val="clear" w:color="auto" w:fill="FFFFFF"/>
        </w:rPr>
      </w:pPr>
      <w:r w:rsidRPr="0014275B">
        <w:rPr>
          <w:rFonts w:cs="Times New Roman"/>
          <w:color w:val="000000"/>
          <w:sz w:val="16"/>
          <w:szCs w:val="16"/>
          <w:shd w:val="clear" w:color="auto" w:fill="FFFFFF"/>
        </w:rPr>
        <w:t>conseiller le patient en matière d'indemnisation des accidents du travail;</w:t>
      </w:r>
    </w:p>
    <w:p w:rsidR="0014275B" w:rsidRPr="0014275B" w:rsidRDefault="009901E7" w:rsidP="0014275B">
      <w:pPr>
        <w:numPr>
          <w:ilvl w:val="1"/>
          <w:numId w:val="1381"/>
        </w:numPr>
        <w:shd w:val="clear" w:color="auto" w:fill="FFFFFF"/>
        <w:spacing w:before="100" w:beforeAutospacing="1" w:after="100" w:afterAutospacing="1" w:line="240" w:lineRule="auto"/>
        <w:rPr>
          <w:rFonts w:cs="Times New Roman"/>
          <w:color w:val="000000"/>
          <w:sz w:val="16"/>
          <w:szCs w:val="16"/>
          <w:shd w:val="clear" w:color="auto" w:fill="FFFFFF"/>
        </w:rPr>
      </w:pPr>
      <w:r>
        <w:rPr>
          <w:noProof/>
          <w:lang w:eastAsia="fr-CA"/>
        </w:rPr>
        <w:drawing>
          <wp:anchor distT="0" distB="0" distL="114300" distR="114300" simplePos="0" relativeHeight="252169216" behindDoc="1" locked="0" layoutInCell="1" allowOverlap="1" wp14:anchorId="0F11025D" wp14:editId="1A945120">
            <wp:simplePos x="0" y="0"/>
            <wp:positionH relativeFrom="column">
              <wp:posOffset>3851275</wp:posOffset>
            </wp:positionH>
            <wp:positionV relativeFrom="paragraph">
              <wp:posOffset>271145</wp:posOffset>
            </wp:positionV>
            <wp:extent cx="2733040" cy="2497455"/>
            <wp:effectExtent l="0" t="0" r="0" b="0"/>
            <wp:wrapNone/>
            <wp:docPr id="644" name="Image 644" descr="Résultats de recherche d'images pour « maladie professionnel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ésultats de recherche d'images pour « maladie professionnelle »"/>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2733040" cy="2497455"/>
                    </a:xfrm>
                    <a:prstGeom prst="rect">
                      <a:avLst/>
                    </a:prstGeom>
                    <a:noFill/>
                    <a:ln>
                      <a:noFill/>
                    </a:ln>
                  </pic:spPr>
                </pic:pic>
              </a:graphicData>
            </a:graphic>
            <wp14:sizeRelH relativeFrom="page">
              <wp14:pctWidth>0</wp14:pctWidth>
            </wp14:sizeRelH>
            <wp14:sizeRelV relativeFrom="page">
              <wp14:pctHeight>0</wp14:pctHeight>
            </wp14:sizeRelV>
          </wp:anchor>
        </w:drawing>
      </w:r>
      <w:r w:rsidR="0014275B" w:rsidRPr="0014275B">
        <w:rPr>
          <w:rFonts w:cs="Times New Roman"/>
          <w:color w:val="000000"/>
          <w:sz w:val="16"/>
          <w:szCs w:val="16"/>
          <w:shd w:val="clear" w:color="auto" w:fill="FFFFFF"/>
        </w:rPr>
        <w:t>aviser les autorités responsables, s'il y a lieu (maladie à déclaration obligatoire, signalement d'une situation dangereuse).</w:t>
      </w:r>
    </w:p>
    <w:p w:rsidR="0014275B" w:rsidRPr="009901E7" w:rsidRDefault="009901E7" w:rsidP="009901E7">
      <w:pPr>
        <w:pStyle w:val="Sansinterligne"/>
        <w:rPr>
          <w:b/>
          <w:sz w:val="28"/>
          <w:szCs w:val="28"/>
        </w:rPr>
      </w:pPr>
      <w:r w:rsidRPr="009901E7">
        <w:rPr>
          <w:b/>
          <w:sz w:val="28"/>
          <w:szCs w:val="28"/>
        </w:rPr>
        <w:t>Anamnèse d’un problème de santé lié au travail</w:t>
      </w:r>
    </w:p>
    <w:p w:rsidR="0014275B" w:rsidRPr="009901E7" w:rsidRDefault="0014275B" w:rsidP="009901E7">
      <w:pPr>
        <w:pStyle w:val="Sansinterligne"/>
      </w:pPr>
    </w:p>
    <w:p w:rsidR="009901E7" w:rsidRDefault="009901E7" w:rsidP="009901E7">
      <w:pPr>
        <w:pStyle w:val="Sansinterligne"/>
        <w:numPr>
          <w:ilvl w:val="0"/>
          <w:numId w:val="1404"/>
        </w:numPr>
        <w:ind w:right="4988"/>
      </w:pPr>
      <w:r>
        <w:t>Faire l’histoire professionnelle (emplois actuels et passé)</w:t>
      </w:r>
    </w:p>
    <w:p w:rsidR="009901E7" w:rsidRDefault="009901E7" w:rsidP="009901E7">
      <w:pPr>
        <w:pStyle w:val="Sansinterligne"/>
        <w:numPr>
          <w:ilvl w:val="0"/>
          <w:numId w:val="1404"/>
        </w:numPr>
        <w:ind w:right="4988"/>
      </w:pPr>
      <w:r>
        <w:t>Description du type de tâches effectuées</w:t>
      </w:r>
    </w:p>
    <w:p w:rsidR="009901E7" w:rsidRDefault="009901E7" w:rsidP="009901E7">
      <w:pPr>
        <w:pStyle w:val="Sansinterligne"/>
        <w:numPr>
          <w:ilvl w:val="0"/>
          <w:numId w:val="1404"/>
        </w:numPr>
        <w:ind w:right="4988"/>
      </w:pPr>
      <w:r>
        <w:t>Identification d’expositions particulières et protections                        (poussières, métaux lourds, froid, chaleur, stress, etc.)</w:t>
      </w:r>
    </w:p>
    <w:p w:rsidR="009901E7" w:rsidRDefault="009901E7" w:rsidP="009901E7">
      <w:pPr>
        <w:pStyle w:val="Sansinterligne"/>
        <w:numPr>
          <w:ilvl w:val="0"/>
          <w:numId w:val="1404"/>
        </w:numPr>
        <w:ind w:right="4988"/>
      </w:pPr>
      <w:r>
        <w:t>Documenter la présence de problématiques similaires au travail (collègues)</w:t>
      </w:r>
    </w:p>
    <w:p w:rsidR="009901E7" w:rsidRDefault="009901E7" w:rsidP="009901E7">
      <w:pPr>
        <w:pStyle w:val="Sansinterligne"/>
        <w:numPr>
          <w:ilvl w:val="0"/>
          <w:numId w:val="1404"/>
        </w:numPr>
        <w:ind w:right="4988"/>
      </w:pPr>
      <w:r>
        <w:t>Expositions environnementales autres (maison, loisir, etc.) et tenter d’y terminer la part du travail</w:t>
      </w:r>
    </w:p>
    <w:p w:rsidR="009901E7" w:rsidRDefault="009901E7" w:rsidP="009901E7">
      <w:pPr>
        <w:pStyle w:val="Sansinterligne"/>
        <w:numPr>
          <w:ilvl w:val="0"/>
          <w:numId w:val="1404"/>
        </w:numPr>
        <w:ind w:right="4988"/>
      </w:pPr>
      <w:r>
        <w:t>Histoire de la maladie actuelle et ATCD du patient</w:t>
      </w:r>
    </w:p>
    <w:p w:rsidR="009901E7" w:rsidRDefault="009901E7" w:rsidP="009901E7">
      <w:pPr>
        <w:pStyle w:val="Sansinterligne"/>
        <w:numPr>
          <w:ilvl w:val="0"/>
          <w:numId w:val="1404"/>
        </w:numPr>
        <w:ind w:right="4988"/>
      </w:pPr>
      <w:r>
        <w:t xml:space="preserve">Établir une relation temps-réponse (exposition avant les symptômes, durée de l’exposition, </w:t>
      </w:r>
      <w:r>
        <w:rPr>
          <w:rFonts w:cs="Times New Roman"/>
        </w:rPr>
        <w:t>↓</w:t>
      </w:r>
      <w:r>
        <w:t xml:space="preserve"> en vacances, etc.)</w:t>
      </w:r>
    </w:p>
    <w:p w:rsidR="009901E7" w:rsidRDefault="009901E7" w:rsidP="009901E7">
      <w:pPr>
        <w:pStyle w:val="Sansinterligne"/>
      </w:pPr>
    </w:p>
    <w:p w:rsidR="009901E7" w:rsidRDefault="009901E7" w:rsidP="009901E7">
      <w:pPr>
        <w:pStyle w:val="Sansinterligne"/>
        <w:rPr>
          <w:b/>
          <w:sz w:val="28"/>
          <w:szCs w:val="28"/>
        </w:rPr>
      </w:pPr>
      <w:r w:rsidRPr="009901E7">
        <w:rPr>
          <w:b/>
          <w:sz w:val="28"/>
          <w:szCs w:val="28"/>
        </w:rPr>
        <w:t>Diagnostics</w:t>
      </w:r>
      <w:r w:rsidR="00DE126E">
        <w:rPr>
          <w:b/>
          <w:sz w:val="28"/>
          <w:szCs w:val="28"/>
        </w:rPr>
        <w:t xml:space="preserve"> / expositions (liste non-exhaustive)</w:t>
      </w:r>
    </w:p>
    <w:p w:rsidR="003C347B" w:rsidRPr="003C347B" w:rsidRDefault="003C347B" w:rsidP="009901E7">
      <w:pPr>
        <w:pStyle w:val="Sansinterligne"/>
        <w:rPr>
          <w:sz w:val="16"/>
          <w:szCs w:val="16"/>
        </w:rPr>
      </w:pPr>
    </w:p>
    <w:tbl>
      <w:tblPr>
        <w:tblStyle w:val="Grilledutableau"/>
        <w:tblW w:w="0" w:type="auto"/>
        <w:tblLook w:val="04A0" w:firstRow="1" w:lastRow="0" w:firstColumn="1" w:lastColumn="0" w:noHBand="0" w:noVBand="1"/>
      </w:tblPr>
      <w:tblGrid>
        <w:gridCol w:w="3794"/>
        <w:gridCol w:w="7146"/>
      </w:tblGrid>
      <w:tr w:rsidR="00DE126E" w:rsidTr="00F959CD">
        <w:tc>
          <w:tcPr>
            <w:tcW w:w="3794" w:type="dxa"/>
            <w:shd w:val="clear" w:color="auto" w:fill="C4BC96" w:themeFill="background2" w:themeFillShade="BF"/>
          </w:tcPr>
          <w:p w:rsidR="00DE126E" w:rsidRPr="003C347B" w:rsidRDefault="00DE126E" w:rsidP="00DE126E">
            <w:pPr>
              <w:pStyle w:val="Sansinterligne"/>
              <w:jc w:val="center"/>
              <w:rPr>
                <w:i/>
              </w:rPr>
            </w:pPr>
            <w:r w:rsidRPr="003C347B">
              <w:rPr>
                <w:i/>
              </w:rPr>
              <w:t>Diagnostic / classe de lésions</w:t>
            </w:r>
          </w:p>
        </w:tc>
        <w:tc>
          <w:tcPr>
            <w:tcW w:w="7146" w:type="dxa"/>
            <w:shd w:val="clear" w:color="auto" w:fill="C4BC96" w:themeFill="background2" w:themeFillShade="BF"/>
          </w:tcPr>
          <w:p w:rsidR="00DE126E" w:rsidRPr="003C347B" w:rsidRDefault="00CD3213" w:rsidP="00DE126E">
            <w:pPr>
              <w:pStyle w:val="Sansinterligne"/>
              <w:jc w:val="center"/>
              <w:rPr>
                <w:i/>
              </w:rPr>
            </w:pPr>
            <w:r>
              <w:rPr>
                <w:i/>
              </w:rPr>
              <w:t xml:space="preserve">Exposition </w:t>
            </w:r>
          </w:p>
        </w:tc>
      </w:tr>
      <w:tr w:rsidR="00DE126E" w:rsidTr="00F959CD">
        <w:tc>
          <w:tcPr>
            <w:tcW w:w="3794" w:type="dxa"/>
            <w:shd w:val="clear" w:color="auto" w:fill="C4BC96" w:themeFill="background2" w:themeFillShade="BF"/>
            <w:vAlign w:val="center"/>
          </w:tcPr>
          <w:p w:rsidR="00DE126E" w:rsidRDefault="00DE126E" w:rsidP="006E593A">
            <w:pPr>
              <w:pStyle w:val="Sansinterligne"/>
              <w:jc w:val="center"/>
            </w:pPr>
            <w:r>
              <w:t>Traumatisme</w:t>
            </w:r>
          </w:p>
        </w:tc>
        <w:tc>
          <w:tcPr>
            <w:tcW w:w="7146" w:type="dxa"/>
          </w:tcPr>
          <w:p w:rsidR="00DE126E" w:rsidRDefault="006E593A" w:rsidP="003C347B">
            <w:pPr>
              <w:pStyle w:val="Sansinterligne"/>
              <w:numPr>
                <w:ilvl w:val="0"/>
                <w:numId w:val="1405"/>
              </w:numPr>
            </w:pPr>
            <w:r>
              <w:t>Travailleurs de la route (livreurs, camionneurs)</w:t>
            </w:r>
          </w:p>
          <w:p w:rsidR="006E593A" w:rsidRDefault="006E593A" w:rsidP="003C347B">
            <w:pPr>
              <w:pStyle w:val="Sansinterligne"/>
              <w:numPr>
                <w:ilvl w:val="0"/>
                <w:numId w:val="1405"/>
              </w:numPr>
            </w:pPr>
            <w:r>
              <w:t>Travailleur de la construction (chutes, accidents, chute de matériel)</w:t>
            </w:r>
          </w:p>
        </w:tc>
      </w:tr>
      <w:tr w:rsidR="00DE126E" w:rsidTr="00F959CD">
        <w:tc>
          <w:tcPr>
            <w:tcW w:w="3794" w:type="dxa"/>
            <w:shd w:val="clear" w:color="auto" w:fill="C4BC96" w:themeFill="background2" w:themeFillShade="BF"/>
            <w:vAlign w:val="center"/>
          </w:tcPr>
          <w:p w:rsidR="00DE126E" w:rsidRPr="003C347B" w:rsidRDefault="00DE126E" w:rsidP="006E593A">
            <w:pPr>
              <w:pStyle w:val="Sansinterligne"/>
              <w:jc w:val="center"/>
              <w:rPr>
                <w:b/>
              </w:rPr>
            </w:pPr>
            <w:r w:rsidRPr="003C347B">
              <w:rPr>
                <w:b/>
              </w:rPr>
              <w:t>Perte d’audition / surdité professionnelle</w:t>
            </w:r>
          </w:p>
        </w:tc>
        <w:tc>
          <w:tcPr>
            <w:tcW w:w="7146" w:type="dxa"/>
            <w:shd w:val="clear" w:color="auto" w:fill="FFFF00"/>
          </w:tcPr>
          <w:p w:rsidR="00DE126E" w:rsidRDefault="006E593A" w:rsidP="003C347B">
            <w:pPr>
              <w:pStyle w:val="Sansinterligne"/>
              <w:numPr>
                <w:ilvl w:val="0"/>
                <w:numId w:val="1405"/>
              </w:numPr>
            </w:pPr>
            <w:r>
              <w:t xml:space="preserve">Sources de bruit </w:t>
            </w:r>
            <w:r w:rsidR="008F7029">
              <w:t>constant</w:t>
            </w:r>
            <w:r>
              <w:t xml:space="preserve">, </w:t>
            </w:r>
            <w:r w:rsidR="00BE6F6E">
              <w:t>répétitif</w:t>
            </w:r>
            <w:r>
              <w:t xml:space="preserve"> ou très intense (machinerie, systèmes de sons, etc.)</w:t>
            </w:r>
          </w:p>
        </w:tc>
      </w:tr>
      <w:tr w:rsidR="00DE126E" w:rsidTr="00F959CD">
        <w:tc>
          <w:tcPr>
            <w:tcW w:w="3794" w:type="dxa"/>
            <w:shd w:val="clear" w:color="auto" w:fill="C4BC96" w:themeFill="background2" w:themeFillShade="BF"/>
            <w:vAlign w:val="center"/>
          </w:tcPr>
          <w:p w:rsidR="00DE126E" w:rsidRPr="003C347B" w:rsidRDefault="00DE126E" w:rsidP="006E593A">
            <w:pPr>
              <w:pStyle w:val="Sansinterligne"/>
              <w:jc w:val="center"/>
              <w:rPr>
                <w:b/>
              </w:rPr>
            </w:pPr>
            <w:r w:rsidRPr="003C347B">
              <w:rPr>
                <w:b/>
              </w:rPr>
              <w:t>Lésions musculosquelettiques professionnelles</w:t>
            </w:r>
          </w:p>
          <w:p w:rsidR="006E593A" w:rsidRDefault="006E593A" w:rsidP="006E593A">
            <w:pPr>
              <w:pStyle w:val="Sansinterligne"/>
              <w:jc w:val="center"/>
            </w:pPr>
            <w:r>
              <w:t>(tendinites, arthrose, bursites, etc.)</w:t>
            </w:r>
          </w:p>
        </w:tc>
        <w:tc>
          <w:tcPr>
            <w:tcW w:w="7146" w:type="dxa"/>
            <w:shd w:val="clear" w:color="auto" w:fill="FFFF00"/>
          </w:tcPr>
          <w:p w:rsidR="00DE126E" w:rsidRDefault="006E593A" w:rsidP="003C347B">
            <w:pPr>
              <w:pStyle w:val="Sansinterligne"/>
              <w:numPr>
                <w:ilvl w:val="0"/>
                <w:numId w:val="1405"/>
              </w:numPr>
            </w:pPr>
            <w:r>
              <w:t>Mouvements répétitifs</w:t>
            </w:r>
          </w:p>
          <w:p w:rsidR="006E593A" w:rsidRDefault="006E593A" w:rsidP="003C347B">
            <w:pPr>
              <w:pStyle w:val="Sansinterligne"/>
              <w:numPr>
                <w:ilvl w:val="0"/>
                <w:numId w:val="1405"/>
              </w:numPr>
            </w:pPr>
            <w:r>
              <w:t>Mauvaises postures</w:t>
            </w:r>
          </w:p>
          <w:p w:rsidR="006E593A" w:rsidRDefault="006E593A" w:rsidP="003C347B">
            <w:pPr>
              <w:pStyle w:val="Sansinterligne"/>
              <w:numPr>
                <w:ilvl w:val="0"/>
                <w:numId w:val="1405"/>
              </w:numPr>
            </w:pPr>
            <w:r>
              <w:t>Milieu de travail mal adapté / conçu</w:t>
            </w:r>
          </w:p>
        </w:tc>
      </w:tr>
      <w:tr w:rsidR="00DE126E" w:rsidTr="00F959CD">
        <w:tc>
          <w:tcPr>
            <w:tcW w:w="3794" w:type="dxa"/>
            <w:shd w:val="clear" w:color="auto" w:fill="C4BC96" w:themeFill="background2" w:themeFillShade="BF"/>
            <w:vAlign w:val="center"/>
          </w:tcPr>
          <w:p w:rsidR="00DE126E" w:rsidRDefault="00DE126E" w:rsidP="006E593A">
            <w:pPr>
              <w:pStyle w:val="Sansinterligne"/>
              <w:jc w:val="center"/>
            </w:pPr>
            <w:r>
              <w:t>Électrisation</w:t>
            </w:r>
          </w:p>
        </w:tc>
        <w:tc>
          <w:tcPr>
            <w:tcW w:w="7146" w:type="dxa"/>
          </w:tcPr>
          <w:p w:rsidR="00DE126E" w:rsidRDefault="006E593A" w:rsidP="003C347B">
            <w:pPr>
              <w:pStyle w:val="Sansinterligne"/>
              <w:numPr>
                <w:ilvl w:val="0"/>
                <w:numId w:val="1405"/>
              </w:numPr>
            </w:pPr>
            <w:r>
              <w:t>Exposition à des sources électriques</w:t>
            </w:r>
          </w:p>
        </w:tc>
      </w:tr>
      <w:tr w:rsidR="00DE126E" w:rsidTr="00F959CD">
        <w:tc>
          <w:tcPr>
            <w:tcW w:w="3794" w:type="dxa"/>
            <w:shd w:val="clear" w:color="auto" w:fill="C4BC96" w:themeFill="background2" w:themeFillShade="BF"/>
            <w:vAlign w:val="center"/>
          </w:tcPr>
          <w:p w:rsidR="00DE126E" w:rsidRDefault="00DE126E" w:rsidP="006E593A">
            <w:pPr>
              <w:pStyle w:val="Sansinterligne"/>
              <w:jc w:val="center"/>
            </w:pPr>
            <w:r>
              <w:t>Silicose</w:t>
            </w:r>
          </w:p>
        </w:tc>
        <w:tc>
          <w:tcPr>
            <w:tcW w:w="7146" w:type="dxa"/>
          </w:tcPr>
          <w:p w:rsidR="00DE126E" w:rsidRDefault="006E593A" w:rsidP="003C347B">
            <w:pPr>
              <w:pStyle w:val="Sansinterligne"/>
              <w:numPr>
                <w:ilvl w:val="0"/>
                <w:numId w:val="1405"/>
              </w:numPr>
            </w:pPr>
            <w:r>
              <w:t>Mineurs</w:t>
            </w:r>
            <w:r w:rsidR="008F7029">
              <w:t>, métallurgie</w:t>
            </w:r>
          </w:p>
        </w:tc>
      </w:tr>
      <w:tr w:rsidR="00DE126E" w:rsidTr="00F959CD">
        <w:tc>
          <w:tcPr>
            <w:tcW w:w="3794" w:type="dxa"/>
            <w:shd w:val="clear" w:color="auto" w:fill="C4BC96" w:themeFill="background2" w:themeFillShade="BF"/>
            <w:vAlign w:val="center"/>
          </w:tcPr>
          <w:p w:rsidR="00DE126E" w:rsidRDefault="00DE126E" w:rsidP="006E593A">
            <w:pPr>
              <w:pStyle w:val="Sansinterligne"/>
              <w:jc w:val="center"/>
            </w:pPr>
            <w:r>
              <w:t>Mésothéliome, fibrose</w:t>
            </w:r>
          </w:p>
        </w:tc>
        <w:tc>
          <w:tcPr>
            <w:tcW w:w="7146" w:type="dxa"/>
          </w:tcPr>
          <w:p w:rsidR="00DE126E" w:rsidRDefault="008F7029" w:rsidP="003C347B">
            <w:pPr>
              <w:pStyle w:val="Sansinterligne"/>
              <w:numPr>
                <w:ilvl w:val="0"/>
                <w:numId w:val="1405"/>
              </w:numPr>
            </w:pPr>
            <w:r>
              <w:t>Mines d’amiante</w:t>
            </w:r>
          </w:p>
          <w:p w:rsidR="008F7029" w:rsidRDefault="008F7029" w:rsidP="003C347B">
            <w:pPr>
              <w:pStyle w:val="Sansinterligne"/>
              <w:numPr>
                <w:ilvl w:val="0"/>
                <w:numId w:val="1405"/>
              </w:numPr>
            </w:pPr>
            <w:r>
              <w:t>Travailleurs de la construction (vieux bâtiments)</w:t>
            </w:r>
          </w:p>
        </w:tc>
      </w:tr>
      <w:tr w:rsidR="00DE126E" w:rsidTr="00F959CD">
        <w:tc>
          <w:tcPr>
            <w:tcW w:w="3794" w:type="dxa"/>
            <w:shd w:val="clear" w:color="auto" w:fill="C4BC96" w:themeFill="background2" w:themeFillShade="BF"/>
            <w:vAlign w:val="center"/>
          </w:tcPr>
          <w:p w:rsidR="00DE126E" w:rsidRDefault="00DE126E" w:rsidP="006E593A">
            <w:pPr>
              <w:pStyle w:val="Sansinterligne"/>
              <w:jc w:val="center"/>
            </w:pPr>
            <w:r>
              <w:t>Intoxication au plomb</w:t>
            </w:r>
          </w:p>
        </w:tc>
        <w:tc>
          <w:tcPr>
            <w:tcW w:w="7146" w:type="dxa"/>
          </w:tcPr>
          <w:p w:rsidR="00DE126E" w:rsidRDefault="008F7029" w:rsidP="003C347B">
            <w:pPr>
              <w:pStyle w:val="Sansinterligne"/>
              <w:numPr>
                <w:ilvl w:val="0"/>
                <w:numId w:val="1405"/>
              </w:numPr>
            </w:pPr>
            <w:r>
              <w:t>Exposition au plomb (jouets, munitions, batteries, etc.)</w:t>
            </w:r>
          </w:p>
          <w:p w:rsidR="008D61DB" w:rsidRDefault="008D61DB" w:rsidP="003C347B">
            <w:pPr>
              <w:pStyle w:val="Sansinterligne"/>
              <w:numPr>
                <w:ilvl w:val="0"/>
                <w:numId w:val="1405"/>
              </w:numPr>
            </w:pPr>
            <w:r>
              <w:t xml:space="preserve">(Voir </w:t>
            </w:r>
            <w:r w:rsidRPr="008D61DB">
              <w:rPr>
                <w:i/>
              </w:rPr>
              <w:t>Dysfonction olfactive/gustative CMC 100-1</w:t>
            </w:r>
            <w:r>
              <w:t>)</w:t>
            </w:r>
          </w:p>
        </w:tc>
      </w:tr>
      <w:tr w:rsidR="00DE126E" w:rsidTr="00F959CD">
        <w:tc>
          <w:tcPr>
            <w:tcW w:w="3794" w:type="dxa"/>
            <w:shd w:val="clear" w:color="auto" w:fill="C4BC96" w:themeFill="background2" w:themeFillShade="BF"/>
            <w:vAlign w:val="center"/>
          </w:tcPr>
          <w:p w:rsidR="00DE126E" w:rsidRPr="003C347B" w:rsidRDefault="00DE126E" w:rsidP="006E593A">
            <w:pPr>
              <w:pStyle w:val="Sansinterligne"/>
              <w:jc w:val="center"/>
              <w:rPr>
                <w:b/>
              </w:rPr>
            </w:pPr>
            <w:r w:rsidRPr="003C347B">
              <w:rPr>
                <w:b/>
              </w:rPr>
              <w:t>Dermatite de contact</w:t>
            </w:r>
          </w:p>
        </w:tc>
        <w:tc>
          <w:tcPr>
            <w:tcW w:w="7146" w:type="dxa"/>
            <w:shd w:val="clear" w:color="auto" w:fill="FFFF00"/>
          </w:tcPr>
          <w:p w:rsidR="00DE126E" w:rsidRDefault="008F7029" w:rsidP="003C347B">
            <w:pPr>
              <w:pStyle w:val="Sansinterligne"/>
              <w:numPr>
                <w:ilvl w:val="0"/>
                <w:numId w:val="1405"/>
              </w:numPr>
            </w:pPr>
            <w:r>
              <w:t>Exposition à des produits chimiques et solvants (peinture, nettoyants, etc.)</w:t>
            </w:r>
          </w:p>
          <w:p w:rsidR="008F7029" w:rsidRDefault="008F7029" w:rsidP="003C347B">
            <w:pPr>
              <w:pStyle w:val="Sansinterligne"/>
              <w:numPr>
                <w:ilvl w:val="0"/>
                <w:numId w:val="1405"/>
              </w:numPr>
            </w:pPr>
            <w:r>
              <w:t>Exposition prolongée à l’humidité (plongeurs de restaurants)</w:t>
            </w:r>
          </w:p>
          <w:p w:rsidR="008F7029" w:rsidRDefault="008F7029" w:rsidP="003C347B">
            <w:pPr>
              <w:pStyle w:val="Sansinterligne"/>
              <w:numPr>
                <w:ilvl w:val="0"/>
                <w:numId w:val="1405"/>
              </w:numPr>
            </w:pPr>
            <w:r>
              <w:t>Exposition abondante à l’alcool et désinfectants (professionnels de la santé)</w:t>
            </w:r>
          </w:p>
        </w:tc>
      </w:tr>
      <w:tr w:rsidR="00DE126E" w:rsidTr="00F959CD">
        <w:tc>
          <w:tcPr>
            <w:tcW w:w="3794" w:type="dxa"/>
            <w:shd w:val="clear" w:color="auto" w:fill="C4BC96" w:themeFill="background2" w:themeFillShade="BF"/>
            <w:vAlign w:val="center"/>
          </w:tcPr>
          <w:p w:rsidR="00DE126E" w:rsidRPr="00F959CD" w:rsidRDefault="00DE126E" w:rsidP="00F959CD">
            <w:pPr>
              <w:pStyle w:val="Sansinterligne"/>
              <w:jc w:val="center"/>
              <w:rPr>
                <w:b/>
              </w:rPr>
            </w:pPr>
            <w:r w:rsidRPr="003C347B">
              <w:rPr>
                <w:b/>
              </w:rPr>
              <w:t>Syndrome d’immunodéficience acquise (SIDA)</w:t>
            </w:r>
            <w:r w:rsidR="00F959CD">
              <w:rPr>
                <w:b/>
              </w:rPr>
              <w:t>, HBV, HCV</w:t>
            </w:r>
          </w:p>
        </w:tc>
        <w:tc>
          <w:tcPr>
            <w:tcW w:w="7146" w:type="dxa"/>
            <w:shd w:val="clear" w:color="auto" w:fill="FFFF00"/>
          </w:tcPr>
          <w:p w:rsidR="008F7029" w:rsidRDefault="008F7029" w:rsidP="003C347B">
            <w:pPr>
              <w:pStyle w:val="Sansinterligne"/>
              <w:numPr>
                <w:ilvl w:val="0"/>
                <w:numId w:val="1405"/>
              </w:numPr>
            </w:pPr>
            <w:r>
              <w:t xml:space="preserve">Exposition aux liquides biologiques et au sang </w:t>
            </w:r>
          </w:p>
          <w:p w:rsidR="00DE126E" w:rsidRDefault="008F7029" w:rsidP="003C347B">
            <w:pPr>
              <w:pStyle w:val="Sansinterligne"/>
              <w:numPr>
                <w:ilvl w:val="0"/>
                <w:numId w:val="1405"/>
              </w:numPr>
            </w:pPr>
            <w:r>
              <w:t>(UDIV, professionnels de la santé)</w:t>
            </w:r>
          </w:p>
        </w:tc>
      </w:tr>
      <w:tr w:rsidR="00DE126E" w:rsidTr="00F959CD">
        <w:tc>
          <w:tcPr>
            <w:tcW w:w="3794" w:type="dxa"/>
            <w:shd w:val="clear" w:color="auto" w:fill="C4BC96" w:themeFill="background2" w:themeFillShade="BF"/>
            <w:vAlign w:val="center"/>
          </w:tcPr>
          <w:p w:rsidR="00DE126E" w:rsidRDefault="00DE126E" w:rsidP="006E593A">
            <w:pPr>
              <w:pStyle w:val="Sansinterligne"/>
              <w:jc w:val="center"/>
            </w:pPr>
            <w:r>
              <w:t>Maladies endémiques (malaria, etc.)</w:t>
            </w:r>
          </w:p>
        </w:tc>
        <w:tc>
          <w:tcPr>
            <w:tcW w:w="7146" w:type="dxa"/>
          </w:tcPr>
          <w:p w:rsidR="00DE126E" w:rsidRDefault="008F7029" w:rsidP="003C347B">
            <w:pPr>
              <w:pStyle w:val="Sansinterligne"/>
              <w:numPr>
                <w:ilvl w:val="0"/>
                <w:numId w:val="1405"/>
              </w:numPr>
            </w:pPr>
            <w:r>
              <w:t>Voyages en zone endémique (agents de voyage, caméramans, etc.)</w:t>
            </w:r>
          </w:p>
        </w:tc>
      </w:tr>
      <w:tr w:rsidR="00DE126E" w:rsidTr="00F959CD">
        <w:trPr>
          <w:trHeight w:val="292"/>
        </w:trPr>
        <w:tc>
          <w:tcPr>
            <w:tcW w:w="3794" w:type="dxa"/>
            <w:shd w:val="clear" w:color="auto" w:fill="C4BC96" w:themeFill="background2" w:themeFillShade="BF"/>
            <w:vAlign w:val="center"/>
          </w:tcPr>
          <w:p w:rsidR="00DE126E" w:rsidRDefault="00DE126E" w:rsidP="008F7029">
            <w:pPr>
              <w:pStyle w:val="Sansinterligne"/>
              <w:jc w:val="center"/>
            </w:pPr>
            <w:r w:rsidRPr="003C347B">
              <w:rPr>
                <w:b/>
              </w:rPr>
              <w:t>Troubles de santé mentale d’origine professionnelle</w:t>
            </w:r>
            <w:r>
              <w:t xml:space="preserve"> </w:t>
            </w:r>
            <w:r w:rsidR="003C347B">
              <w:t xml:space="preserve">                              </w:t>
            </w:r>
            <w:r>
              <w:t xml:space="preserve">(syndrome d’épuisement </w:t>
            </w:r>
            <w:r>
              <w:rPr>
                <w:rFonts w:ascii="Century Gothic" w:hAnsi="Century Gothic"/>
              </w:rPr>
              <w:t>≠</w:t>
            </w:r>
            <w:r>
              <w:t xml:space="preserve"> diagnostic)</w:t>
            </w:r>
          </w:p>
        </w:tc>
        <w:tc>
          <w:tcPr>
            <w:tcW w:w="7146" w:type="dxa"/>
            <w:shd w:val="clear" w:color="auto" w:fill="FFFF00"/>
          </w:tcPr>
          <w:p w:rsidR="00DE126E" w:rsidRDefault="008F7029" w:rsidP="003C347B">
            <w:pPr>
              <w:pStyle w:val="Sansinterligne"/>
              <w:numPr>
                <w:ilvl w:val="0"/>
                <w:numId w:val="1405"/>
              </w:numPr>
            </w:pPr>
            <w:r>
              <w:t>Charge de travail importante</w:t>
            </w:r>
          </w:p>
          <w:p w:rsidR="008F7029" w:rsidRDefault="008F7029" w:rsidP="003C347B">
            <w:pPr>
              <w:pStyle w:val="Sansinterligne"/>
              <w:numPr>
                <w:ilvl w:val="0"/>
                <w:numId w:val="1405"/>
              </w:numPr>
            </w:pPr>
            <w:r>
              <w:t>Faible latitude/autonomie</w:t>
            </w:r>
          </w:p>
          <w:p w:rsidR="008F7029" w:rsidRDefault="008F7029" w:rsidP="003C347B">
            <w:pPr>
              <w:pStyle w:val="Sansinterligne"/>
              <w:numPr>
                <w:ilvl w:val="0"/>
                <w:numId w:val="1405"/>
              </w:numPr>
            </w:pPr>
            <w:r>
              <w:t>Harcèlement psychologique et/ou sexuel</w:t>
            </w:r>
          </w:p>
        </w:tc>
      </w:tr>
    </w:tbl>
    <w:p w:rsidR="009901E7" w:rsidRPr="005A4E3C" w:rsidRDefault="009901E7" w:rsidP="009901E7">
      <w:pPr>
        <w:pStyle w:val="Sansinterligne"/>
        <w:rPr>
          <w:sz w:val="16"/>
          <w:szCs w:val="16"/>
        </w:rPr>
      </w:pPr>
    </w:p>
    <w:p w:rsidR="009901E7" w:rsidRPr="009901E7" w:rsidRDefault="005A4E3C" w:rsidP="009901E7">
      <w:pPr>
        <w:pStyle w:val="Sansinterligne"/>
        <w:rPr>
          <w:b/>
          <w:sz w:val="28"/>
          <w:szCs w:val="28"/>
        </w:rPr>
      </w:pPr>
      <w:r>
        <w:rPr>
          <w:noProof/>
          <w:lang w:eastAsia="fr-CA"/>
        </w:rPr>
        <w:drawing>
          <wp:anchor distT="0" distB="0" distL="114300" distR="114300" simplePos="0" relativeHeight="252170240" behindDoc="1" locked="0" layoutInCell="1" allowOverlap="1" wp14:anchorId="3AF1DB10" wp14:editId="6B6DC5CF">
            <wp:simplePos x="0" y="0"/>
            <wp:positionH relativeFrom="column">
              <wp:posOffset>3154045</wp:posOffset>
            </wp:positionH>
            <wp:positionV relativeFrom="paragraph">
              <wp:posOffset>107315</wp:posOffset>
            </wp:positionV>
            <wp:extent cx="3638550" cy="1137920"/>
            <wp:effectExtent l="0" t="0" r="0" b="5080"/>
            <wp:wrapNone/>
            <wp:docPr id="645" name="Image 645" descr="Résultats de recherche d'images pour « santé professionnel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ésultats de recherche d'images pour « santé professionnelle »"/>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3638550" cy="1137920"/>
                    </a:xfrm>
                    <a:prstGeom prst="rect">
                      <a:avLst/>
                    </a:prstGeom>
                    <a:noFill/>
                    <a:ln>
                      <a:noFill/>
                    </a:ln>
                  </pic:spPr>
                </pic:pic>
              </a:graphicData>
            </a:graphic>
            <wp14:sizeRelH relativeFrom="page">
              <wp14:pctWidth>0</wp14:pctWidth>
            </wp14:sizeRelH>
            <wp14:sizeRelV relativeFrom="page">
              <wp14:pctHeight>0</wp14:pctHeight>
            </wp14:sizeRelV>
          </wp:anchor>
        </w:drawing>
      </w:r>
      <w:r w:rsidR="009901E7" w:rsidRPr="009901E7">
        <w:rPr>
          <w:b/>
          <w:sz w:val="28"/>
          <w:szCs w:val="28"/>
        </w:rPr>
        <w:t>Investigations</w:t>
      </w:r>
    </w:p>
    <w:p w:rsidR="009901E7" w:rsidRPr="005A4E3C" w:rsidRDefault="009901E7" w:rsidP="009901E7">
      <w:pPr>
        <w:pStyle w:val="Sansinterligne"/>
        <w:rPr>
          <w:sz w:val="16"/>
          <w:szCs w:val="16"/>
        </w:rPr>
      </w:pPr>
    </w:p>
    <w:p w:rsidR="00BE6F6E" w:rsidRDefault="00BE6F6E" w:rsidP="009901E7">
      <w:pPr>
        <w:pStyle w:val="Sansinterligne"/>
      </w:pPr>
      <w:r>
        <w:t>Selon la condition recherchée :</w:t>
      </w:r>
    </w:p>
    <w:p w:rsidR="00BE6F6E" w:rsidRDefault="00BE6F6E" w:rsidP="00BE6F6E">
      <w:pPr>
        <w:pStyle w:val="Sansinterligne"/>
        <w:numPr>
          <w:ilvl w:val="0"/>
          <w:numId w:val="1406"/>
        </w:numPr>
      </w:pPr>
      <w:r>
        <w:t>Radiographie pulmonaire</w:t>
      </w:r>
      <w:r w:rsidR="005A4E3C" w:rsidRPr="005A4E3C">
        <w:t xml:space="preserve"> </w:t>
      </w:r>
    </w:p>
    <w:p w:rsidR="00BE6F6E" w:rsidRDefault="00BE6F6E" w:rsidP="00BE6F6E">
      <w:pPr>
        <w:pStyle w:val="Sansinterligne"/>
        <w:numPr>
          <w:ilvl w:val="0"/>
          <w:numId w:val="1406"/>
        </w:numPr>
      </w:pPr>
      <w:r>
        <w:t>Plombémie</w:t>
      </w:r>
    </w:p>
    <w:p w:rsidR="00BE6F6E" w:rsidRDefault="00BE6F6E" w:rsidP="00BE6F6E">
      <w:pPr>
        <w:pStyle w:val="Sansinterligne"/>
        <w:numPr>
          <w:ilvl w:val="0"/>
          <w:numId w:val="1406"/>
        </w:numPr>
      </w:pPr>
      <w:r>
        <w:t xml:space="preserve">Anti-VIH 1 et 2, </w:t>
      </w:r>
      <w:r w:rsidR="00CD3213">
        <w:t>HBsAg,</w:t>
      </w:r>
      <w:r>
        <w:t xml:space="preserve"> Anti-HBc</w:t>
      </w:r>
      <w:r w:rsidR="00CA10F1">
        <w:t>, Anti-HBe</w:t>
      </w:r>
      <w:r>
        <w:t xml:space="preserve"> …</w:t>
      </w:r>
    </w:p>
    <w:p w:rsidR="009870FF" w:rsidRDefault="009870FF" w:rsidP="00BE6F6E">
      <w:pPr>
        <w:pStyle w:val="Sansinterligne"/>
        <w:numPr>
          <w:ilvl w:val="0"/>
          <w:numId w:val="1406"/>
        </w:numPr>
      </w:pPr>
      <w:r>
        <w:t>Évaluation audiologique</w:t>
      </w:r>
    </w:p>
    <w:p w:rsidR="009901E7" w:rsidRPr="005A4E3C" w:rsidRDefault="009901E7" w:rsidP="009901E7">
      <w:pPr>
        <w:pStyle w:val="Sansinterligne"/>
        <w:rPr>
          <w:sz w:val="16"/>
          <w:szCs w:val="16"/>
        </w:rPr>
      </w:pPr>
    </w:p>
    <w:p w:rsidR="00BE6F6E" w:rsidRDefault="009901E7" w:rsidP="009901E7">
      <w:pPr>
        <w:pStyle w:val="Sansinterligne"/>
        <w:rPr>
          <w:b/>
          <w:sz w:val="28"/>
          <w:szCs w:val="28"/>
        </w:rPr>
      </w:pPr>
      <w:r w:rsidRPr="009901E7">
        <w:rPr>
          <w:b/>
          <w:sz w:val="28"/>
          <w:szCs w:val="28"/>
        </w:rPr>
        <w:t>Prise en charge</w:t>
      </w:r>
    </w:p>
    <w:p w:rsidR="003D29FF" w:rsidRPr="003D29FF" w:rsidRDefault="003D29FF" w:rsidP="009901E7">
      <w:pPr>
        <w:pStyle w:val="Sansinterligne"/>
      </w:pPr>
    </w:p>
    <w:p w:rsidR="005A4E3C" w:rsidRPr="005A4E3C" w:rsidRDefault="005A4E3C" w:rsidP="009901E7">
      <w:pPr>
        <w:pStyle w:val="Sansinterligne"/>
        <w:rPr>
          <w:b/>
          <w:sz w:val="16"/>
          <w:szCs w:val="16"/>
        </w:rPr>
        <w:sectPr w:rsidR="005A4E3C" w:rsidRPr="005A4E3C" w:rsidSect="00217865">
          <w:type w:val="continuous"/>
          <w:pgSz w:w="12240" w:h="15840"/>
          <w:pgMar w:top="720" w:right="720" w:bottom="720" w:left="720" w:header="708" w:footer="708" w:gutter="0"/>
          <w:cols w:space="708"/>
          <w:docGrid w:linePitch="360"/>
        </w:sectPr>
      </w:pPr>
    </w:p>
    <w:p w:rsidR="003D29FF" w:rsidRPr="009870FF" w:rsidRDefault="003D29FF" w:rsidP="009901E7">
      <w:pPr>
        <w:pStyle w:val="Sansinterligne"/>
        <w:rPr>
          <w:b/>
        </w:rPr>
      </w:pPr>
      <w:r w:rsidRPr="009870FF">
        <w:rPr>
          <w:b/>
        </w:rPr>
        <w:t>Traumatisme</w:t>
      </w:r>
    </w:p>
    <w:p w:rsidR="009870FF" w:rsidRDefault="009870FF" w:rsidP="009870FF">
      <w:pPr>
        <w:pStyle w:val="Sansinterligne"/>
        <w:numPr>
          <w:ilvl w:val="0"/>
          <w:numId w:val="1411"/>
        </w:numPr>
      </w:pPr>
      <w:r>
        <w:t>Traiter selon la gravité</w:t>
      </w:r>
    </w:p>
    <w:p w:rsidR="009870FF" w:rsidRDefault="009870FF" w:rsidP="009870FF">
      <w:pPr>
        <w:pStyle w:val="Sansinterligne"/>
        <w:numPr>
          <w:ilvl w:val="0"/>
          <w:numId w:val="1411"/>
        </w:numPr>
      </w:pPr>
      <w:r>
        <w:t>Arrêt de travail</w:t>
      </w:r>
    </w:p>
    <w:p w:rsidR="009870FF" w:rsidRDefault="009870FF" w:rsidP="009870FF">
      <w:pPr>
        <w:pStyle w:val="Sansinterligne"/>
        <w:numPr>
          <w:ilvl w:val="0"/>
          <w:numId w:val="1411"/>
        </w:numPr>
      </w:pPr>
      <w:r>
        <w:t>Aménagements et recommandations</w:t>
      </w:r>
    </w:p>
    <w:p w:rsidR="003D29FF" w:rsidRDefault="003D29FF" w:rsidP="009901E7">
      <w:pPr>
        <w:pStyle w:val="Sansinterligne"/>
      </w:pPr>
    </w:p>
    <w:p w:rsidR="003D29FF" w:rsidRPr="005A4E3C" w:rsidRDefault="003D29FF" w:rsidP="009901E7">
      <w:pPr>
        <w:pStyle w:val="Sansinterligne"/>
        <w:rPr>
          <w:b/>
          <w:highlight w:val="yellow"/>
        </w:rPr>
      </w:pPr>
      <w:r w:rsidRPr="005A4E3C">
        <w:rPr>
          <w:b/>
          <w:highlight w:val="yellow"/>
        </w:rPr>
        <w:t>Perte d’audition</w:t>
      </w:r>
    </w:p>
    <w:p w:rsidR="009870FF" w:rsidRPr="005A4E3C" w:rsidRDefault="009870FF" w:rsidP="009870FF">
      <w:pPr>
        <w:pStyle w:val="Sansinterligne"/>
        <w:numPr>
          <w:ilvl w:val="0"/>
          <w:numId w:val="1412"/>
        </w:numPr>
        <w:rPr>
          <w:highlight w:val="yellow"/>
        </w:rPr>
      </w:pPr>
      <w:r w:rsidRPr="005A4E3C">
        <w:rPr>
          <w:highlight w:val="yellow"/>
        </w:rPr>
        <w:t>Évaluation en audiologie</w:t>
      </w:r>
    </w:p>
    <w:p w:rsidR="009870FF" w:rsidRPr="005A4E3C" w:rsidRDefault="009870FF" w:rsidP="009870FF">
      <w:pPr>
        <w:pStyle w:val="Sansinterligne"/>
        <w:numPr>
          <w:ilvl w:val="0"/>
          <w:numId w:val="1412"/>
        </w:numPr>
        <w:rPr>
          <w:highlight w:val="yellow"/>
        </w:rPr>
      </w:pPr>
      <w:r w:rsidRPr="005A4E3C">
        <w:rPr>
          <w:highlight w:val="yellow"/>
        </w:rPr>
        <w:t>Évaluation fonctionnelle</w:t>
      </w:r>
    </w:p>
    <w:p w:rsidR="009870FF" w:rsidRPr="005A4E3C" w:rsidRDefault="009870FF" w:rsidP="009870FF">
      <w:pPr>
        <w:pStyle w:val="Sansinterligne"/>
        <w:numPr>
          <w:ilvl w:val="0"/>
          <w:numId w:val="1412"/>
        </w:numPr>
        <w:rPr>
          <w:highlight w:val="yellow"/>
        </w:rPr>
      </w:pPr>
      <w:r w:rsidRPr="005A4E3C">
        <w:rPr>
          <w:highlight w:val="yellow"/>
        </w:rPr>
        <w:t>Démarches pour obtenir des équipe</w:t>
      </w:r>
      <w:r w:rsidR="00CD3213">
        <w:rPr>
          <w:highlight w:val="yellow"/>
        </w:rPr>
        <w:t>ment</w:t>
      </w:r>
      <w:r w:rsidRPr="005A4E3C">
        <w:rPr>
          <w:highlight w:val="yellow"/>
        </w:rPr>
        <w:t>s d’appoints (appareils, voyants, etc.)</w:t>
      </w:r>
    </w:p>
    <w:p w:rsidR="003D29FF" w:rsidRDefault="003D29FF" w:rsidP="009901E7">
      <w:pPr>
        <w:pStyle w:val="Sansinterligne"/>
      </w:pPr>
    </w:p>
    <w:p w:rsidR="003D29FF" w:rsidRPr="00C96474" w:rsidRDefault="003D29FF" w:rsidP="009901E7">
      <w:pPr>
        <w:pStyle w:val="Sansinterligne"/>
        <w:rPr>
          <w:b/>
          <w:highlight w:val="yellow"/>
        </w:rPr>
      </w:pPr>
      <w:r w:rsidRPr="00C96474">
        <w:rPr>
          <w:b/>
          <w:highlight w:val="yellow"/>
        </w:rPr>
        <w:t>Lésions musculosquelettique</w:t>
      </w:r>
    </w:p>
    <w:p w:rsidR="003D29FF" w:rsidRPr="00C96474" w:rsidRDefault="005A4E3C" w:rsidP="005A4E3C">
      <w:pPr>
        <w:pStyle w:val="Sansinterligne"/>
        <w:numPr>
          <w:ilvl w:val="0"/>
          <w:numId w:val="1416"/>
        </w:numPr>
        <w:rPr>
          <w:highlight w:val="yellow"/>
        </w:rPr>
      </w:pPr>
      <w:r w:rsidRPr="00C96474">
        <w:rPr>
          <w:highlight w:val="yellow"/>
        </w:rPr>
        <w:t>Arrêt de travail</w:t>
      </w:r>
    </w:p>
    <w:p w:rsidR="005A4E3C" w:rsidRPr="00C96474" w:rsidRDefault="005A4E3C" w:rsidP="005A4E3C">
      <w:pPr>
        <w:pStyle w:val="Sansinterligne"/>
        <w:numPr>
          <w:ilvl w:val="0"/>
          <w:numId w:val="1416"/>
        </w:numPr>
        <w:rPr>
          <w:highlight w:val="yellow"/>
        </w:rPr>
      </w:pPr>
      <w:r w:rsidRPr="00C96474">
        <w:rPr>
          <w:highlight w:val="yellow"/>
        </w:rPr>
        <w:t>Physiothérapie</w:t>
      </w:r>
    </w:p>
    <w:p w:rsidR="005A4E3C" w:rsidRPr="00C96474" w:rsidRDefault="005A4E3C" w:rsidP="005A4E3C">
      <w:pPr>
        <w:pStyle w:val="Sansinterligne"/>
        <w:numPr>
          <w:ilvl w:val="0"/>
          <w:numId w:val="1416"/>
        </w:numPr>
        <w:rPr>
          <w:highlight w:val="yellow"/>
        </w:rPr>
      </w:pPr>
      <w:r w:rsidRPr="00C96474">
        <w:rPr>
          <w:highlight w:val="yellow"/>
        </w:rPr>
        <w:t>Analgésie</w:t>
      </w:r>
    </w:p>
    <w:p w:rsidR="005A4E3C" w:rsidRDefault="005A4E3C" w:rsidP="009901E7">
      <w:pPr>
        <w:pStyle w:val="Sansinterligne"/>
      </w:pPr>
    </w:p>
    <w:p w:rsidR="003D29FF" w:rsidRPr="009870FF" w:rsidRDefault="003D29FF" w:rsidP="009901E7">
      <w:pPr>
        <w:pStyle w:val="Sansinterligne"/>
        <w:rPr>
          <w:b/>
        </w:rPr>
      </w:pPr>
      <w:r w:rsidRPr="009870FF">
        <w:rPr>
          <w:b/>
        </w:rPr>
        <w:t>Électrisation</w:t>
      </w:r>
    </w:p>
    <w:p w:rsidR="003D29FF" w:rsidRDefault="009870FF" w:rsidP="009870FF">
      <w:pPr>
        <w:pStyle w:val="Sansinterligne"/>
        <w:numPr>
          <w:ilvl w:val="0"/>
          <w:numId w:val="1413"/>
        </w:numPr>
      </w:pPr>
      <w:r>
        <w:t xml:space="preserve">Voir </w:t>
      </w:r>
      <w:r w:rsidRPr="009870FF">
        <w:rPr>
          <w:i/>
        </w:rPr>
        <w:t>Brûlures CMC 11</w:t>
      </w:r>
    </w:p>
    <w:p w:rsidR="005A4E3C" w:rsidRDefault="005A4E3C" w:rsidP="009901E7">
      <w:pPr>
        <w:pStyle w:val="Sansinterligne"/>
      </w:pPr>
    </w:p>
    <w:p w:rsidR="003D29FF" w:rsidRPr="005A4E3C" w:rsidRDefault="003D29FF" w:rsidP="009901E7">
      <w:pPr>
        <w:pStyle w:val="Sansinterligne"/>
        <w:rPr>
          <w:b/>
        </w:rPr>
      </w:pPr>
      <w:r w:rsidRPr="005A4E3C">
        <w:rPr>
          <w:b/>
        </w:rPr>
        <w:t>Silicose</w:t>
      </w:r>
    </w:p>
    <w:p w:rsidR="003D29FF" w:rsidRDefault="005A4E3C" w:rsidP="005A4E3C">
      <w:pPr>
        <w:pStyle w:val="Sansinterligne"/>
        <w:numPr>
          <w:ilvl w:val="0"/>
          <w:numId w:val="1414"/>
        </w:numPr>
      </w:pPr>
      <w:r>
        <w:t>Retrait de l’exposition</w:t>
      </w:r>
    </w:p>
    <w:p w:rsidR="005A4E3C" w:rsidRDefault="005A4E3C" w:rsidP="005A4E3C">
      <w:pPr>
        <w:pStyle w:val="Sansinterligne"/>
        <w:numPr>
          <w:ilvl w:val="0"/>
          <w:numId w:val="1414"/>
        </w:numPr>
      </w:pPr>
      <w:r>
        <w:t>Arrêt de travail</w:t>
      </w:r>
    </w:p>
    <w:p w:rsidR="005A4E3C" w:rsidRDefault="005A4E3C" w:rsidP="005A4E3C">
      <w:pPr>
        <w:pStyle w:val="Sansinterligne"/>
        <w:numPr>
          <w:ilvl w:val="0"/>
          <w:numId w:val="1414"/>
        </w:numPr>
      </w:pPr>
      <w:r>
        <w:t>Référence en pneumologie</w:t>
      </w:r>
    </w:p>
    <w:p w:rsidR="005A4E3C" w:rsidRDefault="005A4E3C" w:rsidP="009901E7">
      <w:pPr>
        <w:pStyle w:val="Sansinterligne"/>
      </w:pPr>
    </w:p>
    <w:p w:rsidR="003D29FF" w:rsidRPr="005A4E3C" w:rsidRDefault="003D29FF" w:rsidP="009901E7">
      <w:pPr>
        <w:pStyle w:val="Sansinterligne"/>
        <w:rPr>
          <w:b/>
        </w:rPr>
      </w:pPr>
      <w:r w:rsidRPr="005A4E3C">
        <w:rPr>
          <w:b/>
        </w:rPr>
        <w:t>Mésothéliome</w:t>
      </w:r>
    </w:p>
    <w:p w:rsidR="005A4E3C" w:rsidRDefault="005A4E3C" w:rsidP="005A4E3C">
      <w:pPr>
        <w:pStyle w:val="Sansinterligne"/>
        <w:numPr>
          <w:ilvl w:val="0"/>
          <w:numId w:val="1414"/>
        </w:numPr>
      </w:pPr>
      <w:r>
        <w:t>Retrait de l’exposition</w:t>
      </w:r>
    </w:p>
    <w:p w:rsidR="005A4E3C" w:rsidRDefault="005A4E3C" w:rsidP="005A4E3C">
      <w:pPr>
        <w:pStyle w:val="Sansinterligne"/>
        <w:numPr>
          <w:ilvl w:val="0"/>
          <w:numId w:val="1414"/>
        </w:numPr>
      </w:pPr>
      <w:r>
        <w:t>Arrêt de travail</w:t>
      </w:r>
    </w:p>
    <w:p w:rsidR="005A4E3C" w:rsidRDefault="005A4E3C" w:rsidP="005A4E3C">
      <w:pPr>
        <w:pStyle w:val="Sansinterligne"/>
        <w:numPr>
          <w:ilvl w:val="0"/>
          <w:numId w:val="1414"/>
        </w:numPr>
      </w:pPr>
      <w:r>
        <w:t>Référence en pneumologie</w:t>
      </w:r>
    </w:p>
    <w:p w:rsidR="003D29FF" w:rsidRDefault="003D29FF" w:rsidP="009901E7">
      <w:pPr>
        <w:pStyle w:val="Sansinterligne"/>
      </w:pPr>
    </w:p>
    <w:p w:rsidR="003D29FF" w:rsidRPr="00C96474" w:rsidRDefault="003D29FF" w:rsidP="009901E7">
      <w:pPr>
        <w:pStyle w:val="Sansinterligne"/>
        <w:rPr>
          <w:b/>
          <w:highlight w:val="yellow"/>
        </w:rPr>
      </w:pPr>
      <w:r w:rsidRPr="00C96474">
        <w:rPr>
          <w:b/>
          <w:highlight w:val="yellow"/>
        </w:rPr>
        <w:t>Intoxication au plomb</w:t>
      </w:r>
    </w:p>
    <w:p w:rsidR="008D61DB" w:rsidRPr="00C96474" w:rsidRDefault="008D61DB" w:rsidP="005A4E3C">
      <w:pPr>
        <w:pStyle w:val="Sansinterligne"/>
        <w:numPr>
          <w:ilvl w:val="0"/>
          <w:numId w:val="1415"/>
        </w:numPr>
        <w:rPr>
          <w:highlight w:val="yellow"/>
        </w:rPr>
      </w:pPr>
      <w:r w:rsidRPr="00C96474">
        <w:rPr>
          <w:highlight w:val="yellow"/>
        </w:rPr>
        <w:t>Retrait de l’exposition</w:t>
      </w:r>
    </w:p>
    <w:p w:rsidR="008D61DB" w:rsidRPr="00C96474" w:rsidRDefault="008D61DB" w:rsidP="005A4E3C">
      <w:pPr>
        <w:pStyle w:val="Sansinterligne"/>
        <w:numPr>
          <w:ilvl w:val="0"/>
          <w:numId w:val="1415"/>
        </w:numPr>
        <w:rPr>
          <w:highlight w:val="yellow"/>
        </w:rPr>
      </w:pPr>
      <w:r w:rsidRPr="00C96474">
        <w:rPr>
          <w:highlight w:val="yellow"/>
        </w:rPr>
        <w:t>Arrêt de travail PRN</w:t>
      </w:r>
    </w:p>
    <w:p w:rsidR="008D61DB" w:rsidRPr="00C96474" w:rsidRDefault="008D61DB" w:rsidP="005A4E3C">
      <w:pPr>
        <w:pStyle w:val="Sansinterligne"/>
        <w:numPr>
          <w:ilvl w:val="0"/>
          <w:numId w:val="1415"/>
        </w:numPr>
        <w:rPr>
          <w:highlight w:val="yellow"/>
        </w:rPr>
      </w:pPr>
      <w:r w:rsidRPr="00C96474">
        <w:rPr>
          <w:highlight w:val="yellow"/>
        </w:rPr>
        <w:t>Référence en toxicologie</w:t>
      </w:r>
    </w:p>
    <w:p w:rsidR="008D61DB" w:rsidRPr="00C96474" w:rsidRDefault="008D61DB" w:rsidP="005A4E3C">
      <w:pPr>
        <w:pStyle w:val="Sansinterligne"/>
        <w:numPr>
          <w:ilvl w:val="0"/>
          <w:numId w:val="1415"/>
        </w:numPr>
        <w:rPr>
          <w:highlight w:val="yellow"/>
        </w:rPr>
      </w:pPr>
      <w:r w:rsidRPr="00C96474">
        <w:rPr>
          <w:highlight w:val="yellow"/>
        </w:rPr>
        <w:t>Chélation (avec DMSA ou Disodium calcique EDTA)</w:t>
      </w:r>
    </w:p>
    <w:p w:rsidR="003D29FF" w:rsidRDefault="003D29FF" w:rsidP="009901E7">
      <w:pPr>
        <w:pStyle w:val="Sansinterligne"/>
      </w:pPr>
    </w:p>
    <w:p w:rsidR="003D29FF" w:rsidRPr="00C96474" w:rsidRDefault="003D29FF" w:rsidP="009901E7">
      <w:pPr>
        <w:pStyle w:val="Sansinterligne"/>
        <w:rPr>
          <w:b/>
          <w:highlight w:val="yellow"/>
        </w:rPr>
      </w:pPr>
      <w:r w:rsidRPr="00C96474">
        <w:rPr>
          <w:b/>
          <w:highlight w:val="yellow"/>
        </w:rPr>
        <w:t>Syndrome d’immunodéficience acquise</w:t>
      </w:r>
    </w:p>
    <w:p w:rsidR="00C712F3" w:rsidRPr="00C96474" w:rsidRDefault="00C712F3" w:rsidP="00561D78">
      <w:pPr>
        <w:pStyle w:val="Sansinterligne"/>
        <w:numPr>
          <w:ilvl w:val="0"/>
          <w:numId w:val="1408"/>
        </w:numPr>
        <w:rPr>
          <w:highlight w:val="yellow"/>
        </w:rPr>
      </w:pPr>
      <w:r w:rsidRPr="00C96474">
        <w:rPr>
          <w:highlight w:val="yellow"/>
        </w:rPr>
        <w:t>Arrêt de travail, retirer de milieux d’exposition infectieuse</w:t>
      </w:r>
    </w:p>
    <w:p w:rsidR="003D29FF" w:rsidRPr="00C96474" w:rsidRDefault="008D61DB" w:rsidP="00561D78">
      <w:pPr>
        <w:pStyle w:val="Sansinterligne"/>
        <w:numPr>
          <w:ilvl w:val="0"/>
          <w:numId w:val="1408"/>
        </w:numPr>
        <w:rPr>
          <w:highlight w:val="yellow"/>
        </w:rPr>
      </w:pPr>
      <w:r w:rsidRPr="00C96474">
        <w:rPr>
          <w:highlight w:val="yellow"/>
        </w:rPr>
        <w:t>Référence en infectiologie</w:t>
      </w:r>
    </w:p>
    <w:p w:rsidR="008D61DB" w:rsidRPr="00C96474" w:rsidRDefault="008D61DB" w:rsidP="00561D78">
      <w:pPr>
        <w:pStyle w:val="Sansinterligne"/>
        <w:numPr>
          <w:ilvl w:val="0"/>
          <w:numId w:val="1408"/>
        </w:numPr>
        <w:rPr>
          <w:highlight w:val="yellow"/>
        </w:rPr>
      </w:pPr>
      <w:r w:rsidRPr="00C96474">
        <w:rPr>
          <w:highlight w:val="yellow"/>
        </w:rPr>
        <w:t>Début des antirétroviraux (trithérapie)</w:t>
      </w:r>
    </w:p>
    <w:p w:rsidR="00C712F3" w:rsidRPr="00C96474" w:rsidRDefault="00C712F3" w:rsidP="00561D78">
      <w:pPr>
        <w:pStyle w:val="Sansinterligne"/>
        <w:numPr>
          <w:ilvl w:val="0"/>
          <w:numId w:val="1408"/>
        </w:numPr>
        <w:rPr>
          <w:highlight w:val="yellow"/>
        </w:rPr>
      </w:pPr>
      <w:r w:rsidRPr="00C96474">
        <w:rPr>
          <w:highlight w:val="yellow"/>
        </w:rPr>
        <w:t>Prophylaxie PRN</w:t>
      </w:r>
    </w:p>
    <w:p w:rsidR="008D61DB" w:rsidRDefault="008D61DB" w:rsidP="009901E7">
      <w:pPr>
        <w:pStyle w:val="Sansinterligne"/>
      </w:pPr>
    </w:p>
    <w:p w:rsidR="003D29FF" w:rsidRPr="00561D78" w:rsidRDefault="003D29FF" w:rsidP="009901E7">
      <w:pPr>
        <w:pStyle w:val="Sansinterligne"/>
        <w:rPr>
          <w:b/>
        </w:rPr>
      </w:pPr>
      <w:r w:rsidRPr="00561D78">
        <w:rPr>
          <w:b/>
        </w:rPr>
        <w:t>HBV, HBC</w:t>
      </w:r>
    </w:p>
    <w:p w:rsidR="00C712F3" w:rsidRDefault="00C712F3" w:rsidP="00561D78">
      <w:pPr>
        <w:pStyle w:val="Sansinterligne"/>
        <w:numPr>
          <w:ilvl w:val="0"/>
          <w:numId w:val="1407"/>
        </w:numPr>
      </w:pPr>
      <w:r>
        <w:t>Arrêt de travail</w:t>
      </w:r>
    </w:p>
    <w:p w:rsidR="008D61DB" w:rsidRDefault="008D61DB" w:rsidP="00561D78">
      <w:pPr>
        <w:pStyle w:val="Sansinterligne"/>
        <w:numPr>
          <w:ilvl w:val="0"/>
          <w:numId w:val="1407"/>
        </w:numPr>
      </w:pPr>
      <w:r>
        <w:t>Référence en infectiologie</w:t>
      </w:r>
    </w:p>
    <w:p w:rsidR="008D61DB" w:rsidRDefault="00561D78" w:rsidP="00561D78">
      <w:pPr>
        <w:pStyle w:val="Sansinterligne"/>
        <w:numPr>
          <w:ilvl w:val="0"/>
          <w:numId w:val="1407"/>
        </w:numPr>
      </w:pPr>
      <w:r>
        <w:t>Traitement avec antiviraux si aigu ou si chronique avec bénéfices escomptés</w:t>
      </w:r>
    </w:p>
    <w:p w:rsidR="00561D78" w:rsidRDefault="00561D78" w:rsidP="00561D78">
      <w:pPr>
        <w:pStyle w:val="Sansinterligne"/>
        <w:numPr>
          <w:ilvl w:val="0"/>
          <w:numId w:val="1407"/>
        </w:numPr>
      </w:pPr>
      <w:r>
        <w:t>Évaluation de la santé hépatique</w:t>
      </w:r>
    </w:p>
    <w:p w:rsidR="003D29FF" w:rsidRDefault="003D29FF" w:rsidP="009901E7">
      <w:pPr>
        <w:pStyle w:val="Sansinterligne"/>
      </w:pPr>
    </w:p>
    <w:p w:rsidR="003D29FF" w:rsidRPr="00561D78" w:rsidRDefault="003D29FF" w:rsidP="009901E7">
      <w:pPr>
        <w:pStyle w:val="Sansinterligne"/>
        <w:rPr>
          <w:b/>
        </w:rPr>
      </w:pPr>
      <w:r w:rsidRPr="00561D78">
        <w:rPr>
          <w:b/>
        </w:rPr>
        <w:t>Malaria</w:t>
      </w:r>
    </w:p>
    <w:p w:rsidR="003D29FF" w:rsidRDefault="00561D78" w:rsidP="00561D78">
      <w:pPr>
        <w:pStyle w:val="Sansinterligne"/>
        <w:numPr>
          <w:ilvl w:val="0"/>
          <w:numId w:val="1409"/>
        </w:numPr>
      </w:pPr>
      <w:r>
        <w:t>Référence en infectiologie</w:t>
      </w:r>
    </w:p>
    <w:p w:rsidR="00561D78" w:rsidRDefault="00561D78" w:rsidP="00561D78">
      <w:pPr>
        <w:pStyle w:val="Sansinterligne"/>
        <w:numPr>
          <w:ilvl w:val="0"/>
          <w:numId w:val="1409"/>
        </w:numPr>
      </w:pPr>
      <w:r>
        <w:t>Si souche chloroquine-sensible (A</w:t>
      </w:r>
      <w:r w:rsidR="00C96474">
        <w:t>.</w:t>
      </w:r>
      <w:r>
        <w:t xml:space="preserve"> latine et centrale)</w:t>
      </w:r>
    </w:p>
    <w:p w:rsidR="00561D78" w:rsidRDefault="00561D78" w:rsidP="00561D78">
      <w:pPr>
        <w:pStyle w:val="Sansinterligne"/>
        <w:numPr>
          <w:ilvl w:val="1"/>
          <w:numId w:val="1409"/>
        </w:numPr>
      </w:pPr>
      <w:r>
        <w:t>Chloroquine</w:t>
      </w:r>
      <w:r w:rsidR="00C96474">
        <w:t xml:space="preserve"> 1g PO x 1 </w:t>
      </w:r>
      <w:r w:rsidR="00C96474">
        <w:rPr>
          <w:rFonts w:ascii="Century Gothic" w:hAnsi="Century Gothic"/>
        </w:rPr>
        <w:t>→</w:t>
      </w:r>
      <w:r w:rsidR="00C96474">
        <w:t xml:space="preserve"> 500 mg à 6, 24 et 48h</w:t>
      </w:r>
    </w:p>
    <w:p w:rsidR="00561D78" w:rsidRDefault="00561D78" w:rsidP="00561D78">
      <w:pPr>
        <w:pStyle w:val="Sansinterligne"/>
        <w:numPr>
          <w:ilvl w:val="0"/>
          <w:numId w:val="1409"/>
        </w:numPr>
      </w:pPr>
      <w:r>
        <w:t>Si souche chloroquine-résistante</w:t>
      </w:r>
    </w:p>
    <w:p w:rsidR="00561D78" w:rsidRDefault="00561D78" w:rsidP="00561D78">
      <w:pPr>
        <w:pStyle w:val="Sansinterligne"/>
        <w:numPr>
          <w:ilvl w:val="1"/>
          <w:numId w:val="1409"/>
        </w:numPr>
      </w:pPr>
      <w:r>
        <w:t>Artesunate-mefloquine</w:t>
      </w:r>
      <w:r w:rsidR="005A4E3C">
        <w:t xml:space="preserve"> ou autre combinaison</w:t>
      </w:r>
    </w:p>
    <w:p w:rsidR="00C712F3" w:rsidRPr="00C96474" w:rsidRDefault="003D29FF" w:rsidP="009901E7">
      <w:pPr>
        <w:pStyle w:val="Sansinterligne"/>
        <w:rPr>
          <w:b/>
          <w:highlight w:val="yellow"/>
        </w:rPr>
      </w:pPr>
      <w:r w:rsidRPr="00C96474">
        <w:rPr>
          <w:b/>
          <w:highlight w:val="yellow"/>
        </w:rPr>
        <w:t>Troubles de santé mentale d’origine professionnelle</w:t>
      </w:r>
    </w:p>
    <w:p w:rsidR="009870FF" w:rsidRPr="00C96474" w:rsidRDefault="00C712F3" w:rsidP="009870FF">
      <w:pPr>
        <w:pStyle w:val="Sansinterligne"/>
        <w:numPr>
          <w:ilvl w:val="0"/>
          <w:numId w:val="1410"/>
        </w:numPr>
        <w:rPr>
          <w:highlight w:val="yellow"/>
        </w:rPr>
      </w:pPr>
      <w:r w:rsidRPr="00C96474">
        <w:rPr>
          <w:highlight w:val="yellow"/>
        </w:rPr>
        <w:t>Poser le bon diagnostic (peut nécessiter plusieurs visites)</w:t>
      </w:r>
    </w:p>
    <w:p w:rsidR="009870FF" w:rsidRPr="00C96474" w:rsidRDefault="009870FF" w:rsidP="009870FF">
      <w:pPr>
        <w:pStyle w:val="Sansinterligne"/>
        <w:numPr>
          <w:ilvl w:val="0"/>
          <w:numId w:val="1410"/>
        </w:numPr>
        <w:rPr>
          <w:highlight w:val="yellow"/>
        </w:rPr>
      </w:pPr>
      <w:r w:rsidRPr="00C96474">
        <w:rPr>
          <w:highlight w:val="yellow"/>
        </w:rPr>
        <w:t>Traitement (antidépresseurs, anxiolytiques, psychothérapie)</w:t>
      </w:r>
    </w:p>
    <w:p w:rsidR="009870FF" w:rsidRPr="00C96474" w:rsidRDefault="009870FF" w:rsidP="009870FF">
      <w:pPr>
        <w:pStyle w:val="Sansinterligne"/>
        <w:numPr>
          <w:ilvl w:val="0"/>
          <w:numId w:val="1410"/>
        </w:numPr>
        <w:rPr>
          <w:highlight w:val="yellow"/>
        </w:rPr>
      </w:pPr>
      <w:r w:rsidRPr="00C96474">
        <w:rPr>
          <w:highlight w:val="yellow"/>
        </w:rPr>
        <w:t>Arrêt de travail et repos (3 mois, parfois plus)</w:t>
      </w:r>
    </w:p>
    <w:p w:rsidR="009870FF" w:rsidRPr="00C96474" w:rsidRDefault="009870FF" w:rsidP="009870FF">
      <w:pPr>
        <w:pStyle w:val="Sansinterligne"/>
        <w:numPr>
          <w:ilvl w:val="0"/>
          <w:numId w:val="1410"/>
        </w:numPr>
        <w:rPr>
          <w:highlight w:val="yellow"/>
        </w:rPr>
      </w:pPr>
      <w:r w:rsidRPr="00C96474">
        <w:rPr>
          <w:highlight w:val="yellow"/>
        </w:rPr>
        <w:t>Amorcer une réflexion sur le travail</w:t>
      </w:r>
    </w:p>
    <w:p w:rsidR="009870FF" w:rsidRPr="00C96474" w:rsidRDefault="009870FF" w:rsidP="009870FF">
      <w:pPr>
        <w:pStyle w:val="Sansinterligne"/>
        <w:numPr>
          <w:ilvl w:val="0"/>
          <w:numId w:val="1410"/>
        </w:numPr>
        <w:rPr>
          <w:highlight w:val="yellow"/>
        </w:rPr>
      </w:pPr>
      <w:r w:rsidRPr="00C96474">
        <w:rPr>
          <w:highlight w:val="yellow"/>
        </w:rPr>
        <w:t>Envisager réinsertion et aménagement de postes</w:t>
      </w:r>
    </w:p>
    <w:p w:rsidR="005A4E3C" w:rsidRPr="00C96474" w:rsidRDefault="009870FF" w:rsidP="009870FF">
      <w:pPr>
        <w:pStyle w:val="Sansinterligne"/>
        <w:numPr>
          <w:ilvl w:val="0"/>
          <w:numId w:val="1410"/>
        </w:numPr>
        <w:rPr>
          <w:rFonts w:cs="Times New Roman"/>
          <w:b/>
          <w:color w:val="548DD4" w:themeColor="text2" w:themeTint="99"/>
          <w:sz w:val="28"/>
          <w:szCs w:val="28"/>
          <w:highlight w:val="yellow"/>
        </w:rPr>
      </w:pPr>
      <w:r w:rsidRPr="00C96474">
        <w:rPr>
          <w:highlight w:val="yellow"/>
        </w:rPr>
        <w:t>Accompagner la personne dans ses démarches</w:t>
      </w:r>
    </w:p>
    <w:p w:rsidR="005A4E3C" w:rsidRDefault="005A4E3C" w:rsidP="005A4E3C">
      <w:pPr>
        <w:pStyle w:val="Sansinterligne"/>
        <w:sectPr w:rsidR="005A4E3C" w:rsidSect="005A4E3C">
          <w:type w:val="continuous"/>
          <w:pgSz w:w="12240" w:h="15840"/>
          <w:pgMar w:top="720" w:right="720" w:bottom="720" w:left="720" w:header="708" w:footer="708" w:gutter="0"/>
          <w:cols w:num="2" w:space="708"/>
          <w:docGrid w:linePitch="360"/>
        </w:sectPr>
      </w:pPr>
    </w:p>
    <w:p w:rsidR="005A4E3C" w:rsidRDefault="005A4E3C" w:rsidP="005A4E3C">
      <w:pPr>
        <w:pStyle w:val="Sansinterligne"/>
      </w:pPr>
    </w:p>
    <w:p w:rsidR="005A4E3C" w:rsidRPr="005A4E3C" w:rsidRDefault="005A4E3C" w:rsidP="005A4E3C">
      <w:pPr>
        <w:pStyle w:val="Sansinterligne"/>
        <w:rPr>
          <w:b/>
          <w:sz w:val="28"/>
          <w:szCs w:val="28"/>
        </w:rPr>
      </w:pPr>
      <w:r w:rsidRPr="005A4E3C">
        <w:rPr>
          <w:b/>
          <w:sz w:val="28"/>
          <w:szCs w:val="28"/>
        </w:rPr>
        <w:t>Arrêt de travail</w:t>
      </w:r>
    </w:p>
    <w:p w:rsidR="005A4E3C" w:rsidRDefault="005A4E3C" w:rsidP="005A4E3C">
      <w:pPr>
        <w:pStyle w:val="Sansinterligne"/>
      </w:pPr>
    </w:p>
    <w:p w:rsidR="00DB3233" w:rsidRDefault="00DB3233" w:rsidP="00DB3233">
      <w:pPr>
        <w:pStyle w:val="Sansinterligne"/>
        <w:numPr>
          <w:ilvl w:val="0"/>
          <w:numId w:val="1417"/>
        </w:numPr>
      </w:pPr>
      <w:r>
        <w:t>Permet de récupérer, notamment dans les cas de lésions musculosquelettique ou psychologique</w:t>
      </w:r>
    </w:p>
    <w:p w:rsidR="005A4E3C" w:rsidRDefault="00C96474" w:rsidP="00DB3233">
      <w:pPr>
        <w:pStyle w:val="Sansinterligne"/>
        <w:numPr>
          <w:ilvl w:val="0"/>
          <w:numId w:val="1417"/>
        </w:numPr>
      </w:pPr>
      <w:r>
        <w:t>Adapter selon le type, la durée d’exposition et les symptômes</w:t>
      </w:r>
    </w:p>
    <w:p w:rsidR="00C96474" w:rsidRDefault="00C96474" w:rsidP="00DB3233">
      <w:pPr>
        <w:pStyle w:val="Sansinterligne"/>
        <w:numPr>
          <w:ilvl w:val="0"/>
          <w:numId w:val="1417"/>
        </w:numPr>
      </w:pPr>
      <w:r>
        <w:t>Toujours présumer de la bonne foi du patient jusqu’à preuve du contraire</w:t>
      </w:r>
    </w:p>
    <w:p w:rsidR="00C96474" w:rsidRDefault="00C96474" w:rsidP="005A4E3C">
      <w:pPr>
        <w:pStyle w:val="Sansinterligne"/>
      </w:pPr>
    </w:p>
    <w:p w:rsidR="00C96474" w:rsidRDefault="00C96474" w:rsidP="005A4E3C">
      <w:pPr>
        <w:pStyle w:val="Sansinterligne"/>
      </w:pPr>
      <w:r>
        <w:t>Parfois, envisager une réaffectation professionnelle (ex : alvéolite allergique chez un agriculteur, un boulanger, épuisement professionnel chez un dirigeant d’entreprise, etc.)</w:t>
      </w:r>
    </w:p>
    <w:p w:rsidR="005A4E3C" w:rsidRDefault="005A4E3C" w:rsidP="005A4E3C">
      <w:pPr>
        <w:pStyle w:val="Sansinterligne"/>
      </w:pPr>
    </w:p>
    <w:p w:rsidR="005A4E3C" w:rsidRPr="005A4E3C" w:rsidRDefault="005A4E3C" w:rsidP="005A4E3C">
      <w:pPr>
        <w:pStyle w:val="Sansinterligne"/>
        <w:rPr>
          <w:b/>
          <w:sz w:val="28"/>
          <w:szCs w:val="28"/>
        </w:rPr>
      </w:pPr>
      <w:r w:rsidRPr="005A4E3C">
        <w:rPr>
          <w:b/>
          <w:sz w:val="28"/>
          <w:szCs w:val="28"/>
        </w:rPr>
        <w:t>Indemnisation</w:t>
      </w:r>
    </w:p>
    <w:p w:rsidR="005A4E3C" w:rsidRDefault="005A4E3C" w:rsidP="005A4E3C">
      <w:pPr>
        <w:pStyle w:val="Sansinterligne"/>
      </w:pPr>
    </w:p>
    <w:p w:rsidR="00C96474" w:rsidRDefault="00C96474" w:rsidP="005A4E3C">
      <w:pPr>
        <w:pStyle w:val="Sansinterligne"/>
      </w:pPr>
      <w:r>
        <w:t>Au Québec, toute lésion physique d’origine professionnelle peut être indemnisée par la Commission des normes de l’équité, de la santé et la sécurité au travail (CNESST)</w:t>
      </w:r>
      <w:r w:rsidR="00DB3233">
        <w:t>. Il faut informer le patient de son droit de faire une réclamation et l’appuyer dans sa démarche.</w:t>
      </w:r>
    </w:p>
    <w:p w:rsidR="00DB3233" w:rsidRDefault="00DB3233" w:rsidP="005A4E3C">
      <w:pPr>
        <w:pStyle w:val="Sansinterligne"/>
      </w:pPr>
    </w:p>
    <w:p w:rsidR="00DB3233" w:rsidRDefault="00DB3233" w:rsidP="005A4E3C">
      <w:pPr>
        <w:pStyle w:val="Sansinterligne"/>
      </w:pPr>
      <w:r>
        <w:t>Un patient a également le droit de refuser de faire un travail qu’il juge dangereux pour sa sécurité, sauf si cela fait partie de la définition  de son travail (infirmière – être exposé à des malades, pompier – aller dans un incendie, etc.)</w:t>
      </w:r>
    </w:p>
    <w:p w:rsidR="00DB3233" w:rsidRDefault="00DB3233" w:rsidP="005A4E3C">
      <w:pPr>
        <w:pStyle w:val="Sansinterligne"/>
      </w:pPr>
    </w:p>
    <w:p w:rsidR="005A4E3C" w:rsidRPr="005A4E3C" w:rsidRDefault="005A4E3C" w:rsidP="005A4E3C">
      <w:pPr>
        <w:pStyle w:val="Sansinterligne"/>
        <w:rPr>
          <w:b/>
          <w:sz w:val="28"/>
          <w:szCs w:val="28"/>
        </w:rPr>
      </w:pPr>
      <w:r w:rsidRPr="005A4E3C">
        <w:rPr>
          <w:b/>
          <w:sz w:val="28"/>
          <w:szCs w:val="28"/>
        </w:rPr>
        <w:t>Réinsertion au travail</w:t>
      </w:r>
    </w:p>
    <w:p w:rsidR="005A4E3C" w:rsidRDefault="005A4E3C" w:rsidP="005A4E3C">
      <w:pPr>
        <w:pStyle w:val="Sansinterligne"/>
      </w:pPr>
    </w:p>
    <w:p w:rsidR="005A4E3C" w:rsidRDefault="004D49A9" w:rsidP="005A4E3C">
      <w:pPr>
        <w:pStyle w:val="Sansinterligne"/>
      </w:pPr>
      <w:r>
        <w:t>Lorsqu’un patient a un arrêt de travail. Il est bon d’envisager la réinsertion professionnelle et les aménagements possibles pour valoriser la participation du patient, et lui permettre de réintégrer un emploi et avoir des revenus. Il faut l’accompagner dans cette démarche et déterminer les tâches jugées acceptable pour l’état du patient.</w:t>
      </w:r>
    </w:p>
    <w:p w:rsidR="004D49A9" w:rsidRDefault="004D49A9" w:rsidP="005A4E3C">
      <w:pPr>
        <w:pStyle w:val="Sansinterligne"/>
      </w:pPr>
    </w:p>
    <w:p w:rsidR="004D49A9" w:rsidRDefault="005A4E3C" w:rsidP="005A4E3C">
      <w:pPr>
        <w:pStyle w:val="Sansinterligne"/>
        <w:rPr>
          <w:b/>
          <w:sz w:val="28"/>
          <w:szCs w:val="28"/>
        </w:rPr>
      </w:pPr>
      <w:r w:rsidRPr="005A4E3C">
        <w:rPr>
          <w:b/>
          <w:sz w:val="28"/>
          <w:szCs w:val="28"/>
        </w:rPr>
        <w:t>Signalements</w:t>
      </w:r>
    </w:p>
    <w:p w:rsidR="004D49A9" w:rsidRPr="004D49A9" w:rsidRDefault="004D49A9" w:rsidP="005A4E3C">
      <w:pPr>
        <w:pStyle w:val="Sansinterligne"/>
        <w:rPr>
          <w:b/>
        </w:rPr>
      </w:pPr>
    </w:p>
    <w:p w:rsidR="004D49A9" w:rsidRDefault="004D49A9" w:rsidP="005A4E3C">
      <w:pPr>
        <w:pStyle w:val="Sansinterligne"/>
      </w:pPr>
      <w:r w:rsidRPr="004D49A9">
        <w:t>Un médecin à le devoir de signaler</w:t>
      </w:r>
      <w:r>
        <w:t xml:space="preserve"> à la santé publique s’il a des doutes quant à la sécurité et la santé de la population en lien avec une industrie ou un milieu par exemple. Exemple (plusieurs cas d’intoxication au CO dans une installation, plusieurs cas d’infections sur une même source d’eau potable). Il faut alors aviser la santé publique, sans déclaration nominale. Celle-ci se charge de mener enquête.</w:t>
      </w:r>
    </w:p>
    <w:p w:rsidR="00B3418E" w:rsidRPr="004D49A9" w:rsidRDefault="004D49A9" w:rsidP="005A4E3C">
      <w:pPr>
        <w:pStyle w:val="Sansinterligne"/>
        <w:rPr>
          <w:rFonts w:cs="Times New Roman"/>
          <w:color w:val="548DD4" w:themeColor="text2" w:themeTint="99"/>
          <w:sz w:val="28"/>
          <w:szCs w:val="28"/>
        </w:rPr>
      </w:pPr>
      <w:r>
        <w:rPr>
          <w:noProof/>
          <w:lang w:eastAsia="fr-CA"/>
        </w:rPr>
        <w:drawing>
          <wp:anchor distT="0" distB="0" distL="114300" distR="114300" simplePos="0" relativeHeight="252171264" behindDoc="0" locked="0" layoutInCell="1" allowOverlap="1" wp14:anchorId="6D4A7D99" wp14:editId="5DC149E5">
            <wp:simplePos x="0" y="0"/>
            <wp:positionH relativeFrom="column">
              <wp:posOffset>1254125</wp:posOffset>
            </wp:positionH>
            <wp:positionV relativeFrom="paragraph">
              <wp:posOffset>137160</wp:posOffset>
            </wp:positionV>
            <wp:extent cx="4542790" cy="1752600"/>
            <wp:effectExtent l="0" t="0" r="0" b="0"/>
            <wp:wrapNone/>
            <wp:docPr id="647" name="Image 647" descr="Résultats de recherche d'images pour « cness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ésultats de recherche d'images pour « cnesst »"/>
                    <pic:cNvPicPr>
                      <a:picLocks noChangeAspect="1" noChangeArrowheads="1"/>
                    </pic:cNvPicPr>
                  </pic:nvPicPr>
                  <pic:blipFill rotWithShape="1">
                    <a:blip r:embed="rId291" cstate="print">
                      <a:extLst>
                        <a:ext uri="{28A0092B-C50C-407E-A947-70E740481C1C}">
                          <a14:useLocalDpi xmlns:a14="http://schemas.microsoft.com/office/drawing/2010/main" val="0"/>
                        </a:ext>
                      </a:extLst>
                    </a:blip>
                    <a:srcRect t="30638" b="30780"/>
                    <a:stretch/>
                  </pic:blipFill>
                  <pic:spPr bwMode="auto">
                    <a:xfrm>
                      <a:off x="0" y="0"/>
                      <a:ext cx="4542790" cy="17526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3418E" w:rsidRPr="004D49A9">
        <w:rPr>
          <w:rFonts w:cs="Times New Roman"/>
          <w:color w:val="548DD4" w:themeColor="text2" w:themeTint="99"/>
          <w:sz w:val="28"/>
          <w:szCs w:val="28"/>
        </w:rPr>
        <w:br w:type="page"/>
      </w:r>
    </w:p>
    <w:p w:rsidR="00BA7B40" w:rsidRDefault="00BA7B40" w:rsidP="00D859AA">
      <w:pPr>
        <w:spacing w:after="0"/>
        <w:rPr>
          <w:rFonts w:cs="Times New Roman"/>
          <w:b/>
          <w:color w:val="548DD4" w:themeColor="text2" w:themeTint="99"/>
        </w:rPr>
      </w:pPr>
      <w:r>
        <w:rPr>
          <w:rFonts w:cs="Times New Roman"/>
          <w:b/>
          <w:color w:val="548DD4" w:themeColor="text2" w:themeTint="99"/>
        </w:rPr>
        <w:t>CMC 80-1</w:t>
      </w:r>
    </w:p>
    <w:p w:rsidR="00BA7B40" w:rsidRDefault="00BA7B40" w:rsidP="00BA7B40">
      <w:pPr>
        <w:pStyle w:val="Titre3"/>
        <w:spacing w:before="0"/>
      </w:pPr>
      <w:bookmarkStart w:id="289" w:name="_Toc480797318"/>
      <w:r>
        <w:t>Soins prénataux</w:t>
      </w:r>
      <w:bookmarkEnd w:id="289"/>
    </w:p>
    <w:p w:rsidR="00BA7B40" w:rsidRDefault="00864774" w:rsidP="00D859AA">
      <w:pPr>
        <w:spacing w:after="0"/>
        <w:rPr>
          <w:rFonts w:cs="Times New Roman"/>
          <w:b/>
          <w:color w:val="548DD4" w:themeColor="text2" w:themeTint="99"/>
        </w:rPr>
      </w:pPr>
      <w:r>
        <w:rPr>
          <w:rFonts w:cs="Times New Roman"/>
          <w:b/>
          <w:noProof/>
          <w:color w:val="548DD4" w:themeColor="text2" w:themeTint="99"/>
          <w:lang w:eastAsia="fr-CA"/>
        </w:rPr>
        <mc:AlternateContent>
          <mc:Choice Requires="wps">
            <w:drawing>
              <wp:anchor distT="0" distB="0" distL="114300" distR="114300" simplePos="0" relativeHeight="251792384" behindDoc="0" locked="0" layoutInCell="1" allowOverlap="1" wp14:anchorId="5B3CC502" wp14:editId="455ED05E">
                <wp:simplePos x="0" y="0"/>
                <wp:positionH relativeFrom="column">
                  <wp:posOffset>-77821</wp:posOffset>
                </wp:positionH>
                <wp:positionV relativeFrom="paragraph">
                  <wp:posOffset>91778</wp:posOffset>
                </wp:positionV>
                <wp:extent cx="6935821" cy="7918315"/>
                <wp:effectExtent l="0" t="0" r="17780" b="26035"/>
                <wp:wrapNone/>
                <wp:docPr id="308" name="Rectangle 308"/>
                <wp:cNvGraphicFramePr/>
                <a:graphic xmlns:a="http://schemas.openxmlformats.org/drawingml/2006/main">
                  <a:graphicData uri="http://schemas.microsoft.com/office/word/2010/wordprocessingShape">
                    <wps:wsp>
                      <wps:cNvSpPr/>
                      <wps:spPr>
                        <a:xfrm>
                          <a:off x="0" y="0"/>
                          <a:ext cx="6935821" cy="7918315"/>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308" o:spid="_x0000_s1026" style="position:absolute;margin-left:-6.15pt;margin-top:7.25pt;width:546.15pt;height:623.5pt;z-index:251792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" filled="f" strokecolor="black [1600]" strokeweight="2pt"/>
            </w:pict>
          </mc:Fallback>
        </mc:AlternateContent>
      </w:r>
    </w:p>
    <w:tbl>
      <w:tblPr>
        <w:tblW w:w="3858" w:type="pct"/>
        <w:tblCellSpacing w:w="0" w:type="dxa"/>
        <w:tblCellMar>
          <w:left w:w="0" w:type="dxa"/>
          <w:right w:w="0" w:type="dxa"/>
        </w:tblCellMar>
        <w:tblLook w:val="04A0" w:firstRow="1" w:lastRow="0" w:firstColumn="1" w:lastColumn="0" w:noHBand="0" w:noVBand="1"/>
      </w:tblPr>
      <w:tblGrid>
        <w:gridCol w:w="8333"/>
      </w:tblGrid>
      <w:tr w:rsidR="00BA7B40" w:rsidRPr="00BA7B40" w:rsidTr="00BA7B40">
        <w:trPr>
          <w:tblCellSpacing w:w="0" w:type="dxa"/>
        </w:trPr>
        <w:tc>
          <w:tcPr>
            <w:tcW w:w="0" w:type="auto"/>
            <w:vAlign w:val="bottom"/>
            <w:hideMark/>
          </w:tcPr>
          <w:p w:rsidR="00BA7B40" w:rsidRPr="00520ED3" w:rsidRDefault="00BA7B40" w:rsidP="00520ED3">
            <w:pPr>
              <w:pStyle w:val="Sansinterligne"/>
              <w:rPr>
                <w:b/>
                <w:sz w:val="18"/>
                <w:szCs w:val="18"/>
              </w:rPr>
            </w:pPr>
            <w:bookmarkStart w:id="290" w:name="_Toc475563864"/>
            <w:r w:rsidRPr="00520ED3">
              <w:rPr>
                <w:b/>
                <w:sz w:val="18"/>
                <w:szCs w:val="18"/>
              </w:rPr>
              <w:t>Objectifs principaux</w:t>
            </w:r>
            <w:bookmarkEnd w:id="290"/>
          </w:p>
        </w:tc>
      </w:tr>
    </w:tbl>
    <w:p w:rsidR="00BA7B40" w:rsidRPr="00BA7B40" w:rsidRDefault="00BA7B40" w:rsidP="00BA7B40">
      <w:pPr>
        <w:pStyle w:val="NormalWeb"/>
        <w:ind w:left="360"/>
        <w:rPr>
          <w:color w:val="000000"/>
          <w:sz w:val="18"/>
          <w:szCs w:val="18"/>
          <w:shd w:val="clear" w:color="auto" w:fill="FFFFFF"/>
        </w:rPr>
      </w:pPr>
      <w:r w:rsidRPr="00BA7B40">
        <w:rPr>
          <w:color w:val="000000"/>
          <w:sz w:val="18"/>
          <w:szCs w:val="18"/>
          <w:shd w:val="clear" w:color="auto" w:fill="FFFFFF"/>
        </w:rPr>
        <w:t>Le candidat devra pouvoir fournir des soins prénataux qui intègrent les meilleures données probantes disponibles dans un modèle de responsabilité partagée permettant aux femmes de prendre des décisions éclairées fondées sur leurs besoins avant la conception et pendant la grossesse, ainsi que sur l'état de santé du fœtus.</w:t>
      </w:r>
    </w:p>
    <w:tbl>
      <w:tblPr>
        <w:tblW w:w="3897" w:type="pct"/>
        <w:tblCellSpacing w:w="0" w:type="dxa"/>
        <w:tblCellMar>
          <w:left w:w="0" w:type="dxa"/>
          <w:right w:w="0" w:type="dxa"/>
        </w:tblCellMar>
        <w:tblLook w:val="04A0" w:firstRow="1" w:lastRow="0" w:firstColumn="1" w:lastColumn="0" w:noHBand="0" w:noVBand="1"/>
      </w:tblPr>
      <w:tblGrid>
        <w:gridCol w:w="8418"/>
      </w:tblGrid>
      <w:tr w:rsidR="00BA7B40" w:rsidRPr="00BA7B40" w:rsidTr="00BA7B40">
        <w:trPr>
          <w:tblCellSpacing w:w="0" w:type="dxa"/>
        </w:trPr>
        <w:tc>
          <w:tcPr>
            <w:tcW w:w="0" w:type="auto"/>
            <w:vAlign w:val="bottom"/>
            <w:hideMark/>
          </w:tcPr>
          <w:p w:rsidR="00BA7B40" w:rsidRPr="00520ED3" w:rsidRDefault="00BA7B40" w:rsidP="00520ED3">
            <w:pPr>
              <w:pStyle w:val="Sansinterligne"/>
              <w:rPr>
                <w:b/>
                <w:sz w:val="16"/>
                <w:szCs w:val="16"/>
              </w:rPr>
            </w:pPr>
            <w:bookmarkStart w:id="291" w:name="_Toc475563865"/>
            <w:r w:rsidRPr="00520ED3">
              <w:rPr>
                <w:b/>
                <w:sz w:val="16"/>
                <w:szCs w:val="16"/>
              </w:rPr>
              <w:t>Objectifs spécifiques</w:t>
            </w:r>
            <w:bookmarkEnd w:id="291"/>
          </w:p>
        </w:tc>
      </w:tr>
    </w:tbl>
    <w:p w:rsidR="00BA7B40" w:rsidRPr="00BA7B40" w:rsidRDefault="00BA7B40" w:rsidP="00BA7B40">
      <w:pPr>
        <w:pStyle w:val="NormalWeb"/>
        <w:shd w:val="clear" w:color="auto" w:fill="FFFFFF"/>
        <w:ind w:left="360"/>
        <w:rPr>
          <w:color w:val="000000"/>
          <w:sz w:val="16"/>
          <w:szCs w:val="16"/>
          <w:shd w:val="clear" w:color="auto" w:fill="FFFFFF"/>
        </w:rPr>
      </w:pPr>
      <w:r w:rsidRPr="00BA7B40">
        <w:rPr>
          <w:color w:val="000000"/>
          <w:sz w:val="16"/>
          <w:szCs w:val="16"/>
          <w:shd w:val="clear" w:color="auto" w:fill="FFFFFF"/>
        </w:rPr>
        <w:t>Dans le cas d'une patiente ayant besoin de soins prénataux, le candidat devra :</w:t>
      </w:r>
    </w:p>
    <w:p w:rsidR="00BA7B40" w:rsidRPr="00BA7B40" w:rsidRDefault="00BA7B40" w:rsidP="0078039E">
      <w:pPr>
        <w:numPr>
          <w:ilvl w:val="0"/>
          <w:numId w:val="503"/>
        </w:numPr>
        <w:shd w:val="clear" w:color="auto" w:fill="FFFFFF"/>
        <w:spacing w:before="100" w:beforeAutospacing="1" w:after="100" w:afterAutospacing="1" w:line="240" w:lineRule="auto"/>
        <w:rPr>
          <w:rFonts w:cs="Times New Roman"/>
          <w:color w:val="000000"/>
          <w:sz w:val="16"/>
          <w:szCs w:val="16"/>
          <w:shd w:val="clear" w:color="auto" w:fill="FFFFFF"/>
        </w:rPr>
      </w:pPr>
      <w:r w:rsidRPr="00BA7B40">
        <w:rPr>
          <w:rFonts w:cs="Times New Roman"/>
          <w:color w:val="000000"/>
          <w:sz w:val="16"/>
          <w:szCs w:val="16"/>
          <w:shd w:val="clear" w:color="auto" w:fill="FFFFFF"/>
        </w:rPr>
        <w:t>comprendre et appliquer les principes de la prise de décisions éclairées et des soins centrés sur la patiente, y compris les questions sensibles sur le plan culturel;</w:t>
      </w:r>
    </w:p>
    <w:p w:rsidR="00BA7B40" w:rsidRPr="00BA7B40" w:rsidRDefault="00BA7B40" w:rsidP="0078039E">
      <w:pPr>
        <w:numPr>
          <w:ilvl w:val="0"/>
          <w:numId w:val="503"/>
        </w:numPr>
        <w:shd w:val="clear" w:color="auto" w:fill="FFFFFF"/>
        <w:spacing w:before="100" w:beforeAutospacing="1" w:after="100" w:afterAutospacing="1" w:line="240" w:lineRule="auto"/>
        <w:rPr>
          <w:rFonts w:cs="Times New Roman"/>
          <w:color w:val="000000"/>
          <w:sz w:val="16"/>
          <w:szCs w:val="16"/>
          <w:shd w:val="clear" w:color="auto" w:fill="FFFFFF"/>
        </w:rPr>
      </w:pPr>
      <w:r w:rsidRPr="00BA7B40">
        <w:rPr>
          <w:rFonts w:cs="Times New Roman"/>
          <w:color w:val="000000"/>
          <w:sz w:val="16"/>
          <w:szCs w:val="16"/>
          <w:shd w:val="clear" w:color="auto" w:fill="FFFFFF"/>
        </w:rPr>
        <w:t>fournir des soins et conseils préconceptionnels (p. ex. supplément d'acide folique, gestion du poids, abandon du tabagisme);</w:t>
      </w:r>
    </w:p>
    <w:p w:rsidR="00BA7B40" w:rsidRPr="00BA7B40" w:rsidRDefault="00BA7B40" w:rsidP="0078039E">
      <w:pPr>
        <w:numPr>
          <w:ilvl w:val="0"/>
          <w:numId w:val="503"/>
        </w:numPr>
        <w:shd w:val="clear" w:color="auto" w:fill="FFFFFF"/>
        <w:spacing w:before="100" w:beforeAutospacing="1" w:after="100" w:afterAutospacing="1" w:line="240" w:lineRule="auto"/>
        <w:rPr>
          <w:rFonts w:cs="Times New Roman"/>
          <w:color w:val="000000"/>
          <w:sz w:val="16"/>
          <w:szCs w:val="16"/>
          <w:shd w:val="clear" w:color="auto" w:fill="FFFFFF"/>
        </w:rPr>
      </w:pPr>
      <w:r w:rsidRPr="00BA7B40">
        <w:rPr>
          <w:rFonts w:cs="Times New Roman"/>
          <w:color w:val="000000"/>
          <w:sz w:val="16"/>
          <w:szCs w:val="16"/>
          <w:shd w:val="clear" w:color="auto" w:fill="FFFFFF"/>
        </w:rPr>
        <w:t>déterminer à quel point une grossesse présumée ou confirmée est désirée, et mettre en place un plan de prise en charge initiale approprié;</w:t>
      </w:r>
    </w:p>
    <w:p w:rsidR="00BA7B40" w:rsidRPr="00BA7B40" w:rsidRDefault="00BA7B40" w:rsidP="0078039E">
      <w:pPr>
        <w:numPr>
          <w:ilvl w:val="0"/>
          <w:numId w:val="503"/>
        </w:numPr>
        <w:shd w:val="clear" w:color="auto" w:fill="FFFFFF"/>
        <w:spacing w:before="100" w:beforeAutospacing="1" w:after="100" w:afterAutospacing="1" w:line="240" w:lineRule="auto"/>
        <w:rPr>
          <w:rFonts w:cs="Times New Roman"/>
          <w:color w:val="000000"/>
          <w:sz w:val="16"/>
          <w:szCs w:val="16"/>
          <w:shd w:val="clear" w:color="auto" w:fill="FFFFFF"/>
        </w:rPr>
      </w:pPr>
      <w:bookmarkStart w:id="292" w:name="Objectifssp%C3%A9cifiques4"/>
      <w:r w:rsidRPr="00BA7B40">
        <w:rPr>
          <w:rFonts w:cs="Times New Roman"/>
          <w:color w:val="000000"/>
          <w:sz w:val="16"/>
          <w:szCs w:val="16"/>
          <w:shd w:val="clear" w:color="auto" w:fill="FFFFFF"/>
        </w:rPr>
        <w:t>au cours de la première visite prénatale, ainsi que des visites subséquentes, faire une anamnèse et un examen physique appropriés, demander les analyses de laboratoire pertinentes et donner les conseils voulus;</w:t>
      </w:r>
    </w:p>
    <w:p w:rsidR="00BA7B40" w:rsidRPr="00BA7B40" w:rsidRDefault="00BA7B40" w:rsidP="0078039E">
      <w:pPr>
        <w:numPr>
          <w:ilvl w:val="0"/>
          <w:numId w:val="503"/>
        </w:numPr>
        <w:shd w:val="clear" w:color="auto" w:fill="FFFFFF"/>
        <w:spacing w:before="100" w:beforeAutospacing="1" w:after="100" w:afterAutospacing="1" w:line="240" w:lineRule="auto"/>
        <w:rPr>
          <w:rFonts w:cs="Times New Roman"/>
          <w:color w:val="000000"/>
          <w:sz w:val="16"/>
          <w:szCs w:val="16"/>
          <w:shd w:val="clear" w:color="auto" w:fill="FFFFFF"/>
        </w:rPr>
      </w:pPr>
      <w:bookmarkStart w:id="293" w:name="Objectifssp%C3%A9cifiques5"/>
      <w:bookmarkEnd w:id="292"/>
      <w:r w:rsidRPr="00BA7B40">
        <w:rPr>
          <w:rFonts w:cs="Times New Roman"/>
          <w:color w:val="000000"/>
          <w:sz w:val="16"/>
          <w:szCs w:val="16"/>
          <w:shd w:val="clear" w:color="auto" w:fill="FFFFFF"/>
        </w:rPr>
        <w:t>connaître les facteurs de risque et les complications prénatales courantes (p. ex. hypertension artérielle, âge de la mère, retard de croissance intra-utérin) et mettre en place un plan de dépistage et de prise en charge initiale en fonction de tels facteurs.</w:t>
      </w:r>
    </w:p>
    <w:bookmarkEnd w:id="293"/>
    <w:p w:rsidR="00BA7B40" w:rsidRPr="00BA7B40" w:rsidRDefault="00BA7B40" w:rsidP="00BA7B40">
      <w:pPr>
        <w:pStyle w:val="NormalWeb"/>
        <w:shd w:val="clear" w:color="auto" w:fill="FFFFFF"/>
        <w:ind w:left="360"/>
        <w:rPr>
          <w:color w:val="000000"/>
          <w:sz w:val="16"/>
          <w:szCs w:val="16"/>
          <w:shd w:val="clear" w:color="auto" w:fill="FFFFFF"/>
        </w:rPr>
      </w:pPr>
      <w:r w:rsidRPr="00BA7B40">
        <w:rPr>
          <w:color w:val="000000"/>
          <w:sz w:val="16"/>
          <w:szCs w:val="16"/>
          <w:shd w:val="clear" w:color="auto" w:fill="FFFFFF"/>
        </w:rPr>
        <w:t>Le candidat devra en outre :</w:t>
      </w:r>
    </w:p>
    <w:p w:rsidR="00BA7B40" w:rsidRPr="00BA7B40" w:rsidRDefault="00BA7B40" w:rsidP="0078039E">
      <w:pPr>
        <w:numPr>
          <w:ilvl w:val="0"/>
          <w:numId w:val="504"/>
        </w:numPr>
        <w:shd w:val="clear" w:color="auto" w:fill="FFFFFF"/>
        <w:spacing w:before="100" w:beforeAutospacing="1" w:after="100" w:afterAutospacing="1" w:line="240" w:lineRule="auto"/>
        <w:rPr>
          <w:rFonts w:cs="Times New Roman"/>
          <w:color w:val="000000"/>
          <w:sz w:val="16"/>
          <w:szCs w:val="16"/>
          <w:shd w:val="clear" w:color="auto" w:fill="FFFFFF"/>
        </w:rPr>
      </w:pPr>
      <w:r w:rsidRPr="00BA7B40">
        <w:rPr>
          <w:rFonts w:cs="Times New Roman"/>
          <w:color w:val="000000"/>
          <w:sz w:val="16"/>
          <w:szCs w:val="16"/>
          <w:shd w:val="clear" w:color="auto" w:fill="FFFFFF"/>
        </w:rPr>
        <w:t>énumérer et interpréter les constatations cliniques pertinentes, notamment :</w:t>
      </w:r>
    </w:p>
    <w:p w:rsidR="00BA7B40" w:rsidRPr="00BA7B40" w:rsidRDefault="00BA7B40" w:rsidP="0078039E">
      <w:pPr>
        <w:numPr>
          <w:ilvl w:val="1"/>
          <w:numId w:val="504"/>
        </w:numPr>
        <w:shd w:val="clear" w:color="auto" w:fill="FFFFFF"/>
        <w:spacing w:before="100" w:beforeAutospacing="1" w:after="100" w:afterAutospacing="1" w:line="240" w:lineRule="auto"/>
        <w:rPr>
          <w:rFonts w:cs="Times New Roman"/>
          <w:color w:val="000000"/>
          <w:sz w:val="16"/>
          <w:szCs w:val="16"/>
          <w:shd w:val="clear" w:color="auto" w:fill="FFFFFF"/>
        </w:rPr>
      </w:pPr>
      <w:r w:rsidRPr="00BA7B40">
        <w:rPr>
          <w:rFonts w:cs="Times New Roman"/>
          <w:color w:val="000000"/>
          <w:sz w:val="16"/>
          <w:szCs w:val="16"/>
          <w:shd w:val="clear" w:color="auto" w:fill="FFFFFF"/>
        </w:rPr>
        <w:t>les facteurs liés à l'estimation de la date de l'accouchement (p. ex. date de la dernière menstruation, date du test de grossesse positif);</w:t>
      </w:r>
    </w:p>
    <w:p w:rsidR="00BA7B40" w:rsidRPr="00BA7B40" w:rsidRDefault="00BA7B40" w:rsidP="0078039E">
      <w:pPr>
        <w:numPr>
          <w:ilvl w:val="1"/>
          <w:numId w:val="504"/>
        </w:numPr>
        <w:shd w:val="clear" w:color="auto" w:fill="FFFFFF"/>
        <w:spacing w:before="100" w:beforeAutospacing="1" w:after="100" w:afterAutospacing="1" w:line="240" w:lineRule="auto"/>
        <w:rPr>
          <w:rFonts w:cs="Times New Roman"/>
          <w:color w:val="000000"/>
          <w:sz w:val="16"/>
          <w:szCs w:val="16"/>
          <w:shd w:val="clear" w:color="auto" w:fill="FFFFFF"/>
        </w:rPr>
      </w:pPr>
      <w:r w:rsidRPr="00BA7B40">
        <w:rPr>
          <w:rFonts w:cs="Times New Roman"/>
          <w:color w:val="000000"/>
          <w:sz w:val="16"/>
          <w:szCs w:val="16"/>
          <w:shd w:val="clear" w:color="auto" w:fill="FFFFFF"/>
        </w:rPr>
        <w:t>les résultats d'une anamnèse complète de la santé de la mère, notamment sur le plan obstétrical;</w:t>
      </w:r>
    </w:p>
    <w:p w:rsidR="00BA7B40" w:rsidRPr="00BA7B40" w:rsidRDefault="00BA7B40" w:rsidP="0078039E">
      <w:pPr>
        <w:numPr>
          <w:ilvl w:val="1"/>
          <w:numId w:val="504"/>
        </w:numPr>
        <w:shd w:val="clear" w:color="auto" w:fill="FFFFFF"/>
        <w:spacing w:before="100" w:beforeAutospacing="1" w:after="100" w:afterAutospacing="1" w:line="240" w:lineRule="auto"/>
        <w:rPr>
          <w:rFonts w:cs="Times New Roman"/>
          <w:color w:val="000000"/>
          <w:sz w:val="16"/>
          <w:szCs w:val="16"/>
          <w:shd w:val="clear" w:color="auto" w:fill="FFFFFF"/>
        </w:rPr>
      </w:pPr>
      <w:r w:rsidRPr="00BA7B40">
        <w:rPr>
          <w:rFonts w:cs="Times New Roman"/>
          <w:color w:val="000000"/>
          <w:sz w:val="16"/>
          <w:szCs w:val="16"/>
          <w:shd w:val="clear" w:color="auto" w:fill="FFFFFF"/>
        </w:rPr>
        <w:t>la consommation ou l'exposition au tabac, à l'alcool ou à d'autres substances;</w:t>
      </w:r>
    </w:p>
    <w:p w:rsidR="00BA7B40" w:rsidRPr="00BA7B40" w:rsidRDefault="00BA7B40" w:rsidP="0078039E">
      <w:pPr>
        <w:numPr>
          <w:ilvl w:val="1"/>
          <w:numId w:val="504"/>
        </w:numPr>
        <w:shd w:val="clear" w:color="auto" w:fill="FFFFFF"/>
        <w:spacing w:before="100" w:beforeAutospacing="1" w:after="100" w:afterAutospacing="1" w:line="240" w:lineRule="auto"/>
        <w:rPr>
          <w:rFonts w:cs="Times New Roman"/>
          <w:color w:val="000000"/>
          <w:sz w:val="16"/>
          <w:szCs w:val="16"/>
          <w:shd w:val="clear" w:color="auto" w:fill="FFFFFF"/>
        </w:rPr>
      </w:pPr>
      <w:r w:rsidRPr="00BA7B40">
        <w:rPr>
          <w:rFonts w:cs="Times New Roman"/>
          <w:color w:val="000000"/>
          <w:sz w:val="16"/>
          <w:szCs w:val="16"/>
          <w:shd w:val="clear" w:color="auto" w:fill="FFFFFF"/>
        </w:rPr>
        <w:t>la nécessité d'une orientation vers un avortement thérapeutique et d'un counseling en la matière;</w:t>
      </w:r>
    </w:p>
    <w:p w:rsidR="00BA7B40" w:rsidRPr="00BA7B40" w:rsidRDefault="00BA7B40" w:rsidP="0078039E">
      <w:pPr>
        <w:numPr>
          <w:ilvl w:val="1"/>
          <w:numId w:val="504"/>
        </w:numPr>
        <w:shd w:val="clear" w:color="auto" w:fill="FFFFFF"/>
        <w:spacing w:before="100" w:beforeAutospacing="1" w:after="100" w:afterAutospacing="1" w:line="240" w:lineRule="auto"/>
        <w:rPr>
          <w:rFonts w:cs="Times New Roman"/>
          <w:color w:val="000000"/>
          <w:sz w:val="16"/>
          <w:szCs w:val="16"/>
          <w:shd w:val="clear" w:color="auto" w:fill="FFFFFF"/>
        </w:rPr>
      </w:pPr>
      <w:r w:rsidRPr="00BA7B40">
        <w:rPr>
          <w:rFonts w:cs="Times New Roman"/>
          <w:color w:val="000000"/>
          <w:sz w:val="16"/>
          <w:szCs w:val="16"/>
          <w:shd w:val="clear" w:color="auto" w:fill="FFFFFF"/>
        </w:rPr>
        <w:t>l'utilisation de médicaments et de suppléments, et donner les conseils appropriés en la matière;</w:t>
      </w:r>
    </w:p>
    <w:p w:rsidR="00BA7B40" w:rsidRPr="00BA7B40" w:rsidRDefault="00BA7B40" w:rsidP="0078039E">
      <w:pPr>
        <w:numPr>
          <w:ilvl w:val="1"/>
          <w:numId w:val="504"/>
        </w:numPr>
        <w:shd w:val="clear" w:color="auto" w:fill="FFFFFF"/>
        <w:spacing w:before="100" w:beforeAutospacing="1" w:after="100" w:afterAutospacing="1" w:line="240" w:lineRule="auto"/>
        <w:rPr>
          <w:rFonts w:cs="Times New Roman"/>
          <w:color w:val="000000"/>
          <w:sz w:val="16"/>
          <w:szCs w:val="16"/>
          <w:shd w:val="clear" w:color="auto" w:fill="FFFFFF"/>
        </w:rPr>
      </w:pPr>
      <w:r w:rsidRPr="00BA7B40">
        <w:rPr>
          <w:rFonts w:cs="Times New Roman"/>
          <w:color w:val="000000"/>
          <w:sz w:val="16"/>
          <w:szCs w:val="16"/>
          <w:shd w:val="clear" w:color="auto" w:fill="FFFFFF"/>
        </w:rPr>
        <w:t>la nécessité d'un counseling opportun en ce qui concerne le dépistage génétique prénatal, notamment les options, les risques, les avantages et les résultats possibles;</w:t>
      </w:r>
    </w:p>
    <w:p w:rsidR="00BA7B40" w:rsidRPr="00BA7B40" w:rsidRDefault="00BA7B40" w:rsidP="0078039E">
      <w:pPr>
        <w:numPr>
          <w:ilvl w:val="1"/>
          <w:numId w:val="504"/>
        </w:numPr>
        <w:shd w:val="clear" w:color="auto" w:fill="FFFFFF"/>
        <w:spacing w:before="100" w:beforeAutospacing="1" w:after="100" w:afterAutospacing="1" w:line="240" w:lineRule="auto"/>
        <w:rPr>
          <w:rFonts w:cs="Times New Roman"/>
          <w:color w:val="000000"/>
          <w:sz w:val="16"/>
          <w:szCs w:val="16"/>
          <w:shd w:val="clear" w:color="auto" w:fill="FFFFFF"/>
        </w:rPr>
      </w:pPr>
      <w:r w:rsidRPr="00BA7B40">
        <w:rPr>
          <w:rFonts w:cs="Times New Roman"/>
          <w:color w:val="000000"/>
          <w:sz w:val="16"/>
          <w:szCs w:val="16"/>
          <w:shd w:val="clear" w:color="auto" w:fill="FFFFFF"/>
        </w:rPr>
        <w:t>les facteurs de risque et les signes de dépression prénatale et postpartum;</w:t>
      </w:r>
    </w:p>
    <w:p w:rsidR="00BA7B40" w:rsidRPr="00BA7B40" w:rsidRDefault="00BA7B40" w:rsidP="0078039E">
      <w:pPr>
        <w:numPr>
          <w:ilvl w:val="1"/>
          <w:numId w:val="504"/>
        </w:numPr>
        <w:shd w:val="clear" w:color="auto" w:fill="FFFFFF"/>
        <w:spacing w:before="100" w:beforeAutospacing="1" w:after="100" w:afterAutospacing="1" w:line="240" w:lineRule="auto"/>
        <w:rPr>
          <w:rFonts w:cs="Times New Roman"/>
          <w:color w:val="000000"/>
          <w:sz w:val="16"/>
          <w:szCs w:val="16"/>
          <w:shd w:val="clear" w:color="auto" w:fill="FFFFFF"/>
        </w:rPr>
      </w:pPr>
      <w:r w:rsidRPr="00BA7B40">
        <w:rPr>
          <w:rFonts w:cs="Times New Roman"/>
          <w:color w:val="000000"/>
          <w:sz w:val="16"/>
          <w:szCs w:val="16"/>
          <w:shd w:val="clear" w:color="auto" w:fill="FFFFFF"/>
        </w:rPr>
        <w:t>les signes de violence conjugale;</w:t>
      </w:r>
    </w:p>
    <w:p w:rsidR="00BA7B40" w:rsidRPr="00BA7B40" w:rsidRDefault="00BA7B40" w:rsidP="0078039E">
      <w:pPr>
        <w:numPr>
          <w:ilvl w:val="1"/>
          <w:numId w:val="504"/>
        </w:numPr>
        <w:shd w:val="clear" w:color="auto" w:fill="FFFFFF"/>
        <w:spacing w:before="100" w:beforeAutospacing="1" w:after="100" w:afterAutospacing="1" w:line="240" w:lineRule="auto"/>
        <w:rPr>
          <w:rFonts w:cs="Times New Roman"/>
          <w:color w:val="000000"/>
          <w:sz w:val="16"/>
          <w:szCs w:val="16"/>
          <w:shd w:val="clear" w:color="auto" w:fill="FFFFFF"/>
        </w:rPr>
      </w:pPr>
      <w:bookmarkStart w:id="294" w:name="Objectifssp%C3%A9cifiques1.9"/>
      <w:r w:rsidRPr="00BA7B40">
        <w:rPr>
          <w:rFonts w:cs="Times New Roman"/>
          <w:color w:val="000000"/>
          <w:sz w:val="16"/>
          <w:szCs w:val="16"/>
          <w:shd w:val="clear" w:color="auto" w:fill="FFFFFF"/>
        </w:rPr>
        <w:t>les changements physiologiques caractéristiques de la grossesse et la détermination à savoir si celle-ci progresse de manière satisfaisante (p. ex. symptômes normaux) ou s'il y a des complications (p. ex. hypernemesis gravidarum, douleur, saignements);</w:t>
      </w:r>
    </w:p>
    <w:p w:rsidR="00BA7B40" w:rsidRPr="00BA7B40" w:rsidRDefault="00BA7B40" w:rsidP="0078039E">
      <w:pPr>
        <w:numPr>
          <w:ilvl w:val="1"/>
          <w:numId w:val="504"/>
        </w:numPr>
        <w:shd w:val="clear" w:color="auto" w:fill="FFFFFF"/>
        <w:spacing w:before="100" w:beforeAutospacing="1" w:after="100" w:afterAutospacing="1" w:line="240" w:lineRule="auto"/>
        <w:rPr>
          <w:rFonts w:cs="Times New Roman"/>
          <w:color w:val="000000"/>
          <w:sz w:val="16"/>
          <w:szCs w:val="16"/>
          <w:shd w:val="clear" w:color="auto" w:fill="FFFFFF"/>
        </w:rPr>
      </w:pPr>
      <w:bookmarkStart w:id="295" w:name="Objectifssp%C3%A9cifiques1.10"/>
      <w:bookmarkEnd w:id="294"/>
      <w:r w:rsidRPr="00BA7B40">
        <w:rPr>
          <w:rFonts w:cs="Times New Roman"/>
          <w:color w:val="000000"/>
          <w:sz w:val="16"/>
          <w:szCs w:val="16"/>
          <w:shd w:val="clear" w:color="auto" w:fill="FFFFFF"/>
        </w:rPr>
        <w:t>au cours des 2</w:t>
      </w:r>
      <w:r w:rsidRPr="00BA7B40">
        <w:rPr>
          <w:rFonts w:cs="Times New Roman"/>
          <w:color w:val="000000"/>
          <w:sz w:val="16"/>
          <w:szCs w:val="16"/>
          <w:shd w:val="clear" w:color="auto" w:fill="FFFFFF"/>
          <w:vertAlign w:val="superscript"/>
        </w:rPr>
        <w:t>e</w:t>
      </w:r>
      <w:r w:rsidRPr="00BA7B40">
        <w:rPr>
          <w:rStyle w:val="apple-converted-space"/>
          <w:rFonts w:cs="Times New Roman"/>
          <w:color w:val="000000"/>
          <w:sz w:val="16"/>
          <w:szCs w:val="16"/>
          <w:shd w:val="clear" w:color="auto" w:fill="FFFFFF"/>
        </w:rPr>
        <w:t> </w:t>
      </w:r>
      <w:r w:rsidRPr="00BA7B40">
        <w:rPr>
          <w:rFonts w:cs="Times New Roman"/>
          <w:color w:val="000000"/>
          <w:sz w:val="16"/>
          <w:szCs w:val="16"/>
          <w:shd w:val="clear" w:color="auto" w:fill="FFFFFF"/>
        </w:rPr>
        <w:t>et 3</w:t>
      </w:r>
      <w:r w:rsidRPr="00BA7B40">
        <w:rPr>
          <w:rFonts w:cs="Times New Roman"/>
          <w:color w:val="000000"/>
          <w:sz w:val="16"/>
          <w:szCs w:val="16"/>
          <w:shd w:val="clear" w:color="auto" w:fill="FFFFFF"/>
          <w:vertAlign w:val="superscript"/>
        </w:rPr>
        <w:t>e</w:t>
      </w:r>
      <w:r w:rsidRPr="00BA7B40">
        <w:rPr>
          <w:rStyle w:val="apple-converted-space"/>
          <w:rFonts w:cs="Times New Roman"/>
          <w:color w:val="000000"/>
          <w:sz w:val="16"/>
          <w:szCs w:val="16"/>
          <w:shd w:val="clear" w:color="auto" w:fill="FFFFFF"/>
        </w:rPr>
        <w:t> </w:t>
      </w:r>
      <w:r w:rsidRPr="00BA7B40">
        <w:rPr>
          <w:rFonts w:cs="Times New Roman"/>
          <w:color w:val="000000"/>
          <w:sz w:val="16"/>
          <w:szCs w:val="16"/>
          <w:shd w:val="clear" w:color="auto" w:fill="FFFFFF"/>
        </w:rPr>
        <w:t>trimestres :</w:t>
      </w:r>
    </w:p>
    <w:p w:rsidR="00BA7B40" w:rsidRPr="00BA7B40" w:rsidRDefault="00BA7B40" w:rsidP="0078039E">
      <w:pPr>
        <w:numPr>
          <w:ilvl w:val="2"/>
          <w:numId w:val="504"/>
        </w:numPr>
        <w:shd w:val="clear" w:color="auto" w:fill="FFFFFF"/>
        <w:spacing w:before="100" w:beforeAutospacing="1" w:after="100" w:afterAutospacing="1" w:line="240" w:lineRule="auto"/>
        <w:rPr>
          <w:rFonts w:cs="Times New Roman"/>
          <w:color w:val="000000"/>
          <w:sz w:val="16"/>
          <w:szCs w:val="16"/>
          <w:shd w:val="clear" w:color="auto" w:fill="FFFFFF"/>
        </w:rPr>
      </w:pPr>
      <w:bookmarkStart w:id="296" w:name="Objectifssp%C3%A9cifiques1.10.1"/>
      <w:bookmarkEnd w:id="295"/>
      <w:r w:rsidRPr="00BA7B40">
        <w:rPr>
          <w:rFonts w:cs="Times New Roman"/>
          <w:color w:val="000000"/>
          <w:sz w:val="16"/>
          <w:szCs w:val="16"/>
          <w:shd w:val="clear" w:color="auto" w:fill="FFFFFF"/>
        </w:rPr>
        <w:t>le suivi du fœtus et de la mère (p. ex. gain de poids, pression artérielle, fréquence cardiaque et mouvements du fœtus);</w:t>
      </w:r>
    </w:p>
    <w:p w:rsidR="00BA7B40" w:rsidRPr="00BA7B40" w:rsidRDefault="00BA7B40" w:rsidP="0078039E">
      <w:pPr>
        <w:numPr>
          <w:ilvl w:val="2"/>
          <w:numId w:val="504"/>
        </w:numPr>
        <w:shd w:val="clear" w:color="auto" w:fill="FFFFFF"/>
        <w:spacing w:before="100" w:beforeAutospacing="1" w:after="100" w:afterAutospacing="1" w:line="240" w:lineRule="auto"/>
        <w:rPr>
          <w:rFonts w:cs="Times New Roman"/>
          <w:color w:val="000000"/>
          <w:sz w:val="16"/>
          <w:szCs w:val="16"/>
          <w:shd w:val="clear" w:color="auto" w:fill="FFFFFF"/>
        </w:rPr>
      </w:pPr>
      <w:bookmarkStart w:id="297" w:name="Objectifssp%C3%A9cifiques1.10.2"/>
      <w:bookmarkEnd w:id="296"/>
      <w:r w:rsidRPr="00BA7B40">
        <w:rPr>
          <w:rFonts w:cs="Times New Roman"/>
          <w:color w:val="000000"/>
          <w:sz w:val="16"/>
          <w:szCs w:val="16"/>
          <w:shd w:val="clear" w:color="auto" w:fill="FFFFFF"/>
        </w:rPr>
        <w:t>les signes et symptômes de travail prématuré;</w:t>
      </w:r>
    </w:p>
    <w:p w:rsidR="00BA7B40" w:rsidRPr="00BA7B40" w:rsidRDefault="00BA7B40" w:rsidP="0078039E">
      <w:pPr>
        <w:numPr>
          <w:ilvl w:val="1"/>
          <w:numId w:val="504"/>
        </w:numPr>
        <w:shd w:val="clear" w:color="auto" w:fill="FFFFFF"/>
        <w:spacing w:before="100" w:beforeAutospacing="1" w:after="100" w:afterAutospacing="1" w:line="240" w:lineRule="auto"/>
        <w:rPr>
          <w:rFonts w:cs="Times New Roman"/>
          <w:color w:val="000000"/>
          <w:sz w:val="16"/>
          <w:szCs w:val="16"/>
          <w:shd w:val="clear" w:color="auto" w:fill="FFFFFF"/>
        </w:rPr>
      </w:pPr>
      <w:bookmarkStart w:id="298" w:name="Objectifssp%C3%A9cifiques1.11"/>
      <w:bookmarkEnd w:id="297"/>
      <w:r w:rsidRPr="00BA7B40">
        <w:rPr>
          <w:rFonts w:cs="Times New Roman"/>
          <w:color w:val="000000"/>
          <w:sz w:val="16"/>
          <w:szCs w:val="16"/>
          <w:shd w:val="clear" w:color="auto" w:fill="FFFFFF"/>
        </w:rPr>
        <w:t>détermination de l'orientation et de la présentation du fœtus au 3</w:t>
      </w:r>
      <w:r w:rsidRPr="00BA7B40">
        <w:rPr>
          <w:rFonts w:cs="Times New Roman"/>
          <w:color w:val="000000"/>
          <w:sz w:val="16"/>
          <w:szCs w:val="16"/>
          <w:shd w:val="clear" w:color="auto" w:fill="FFFFFF"/>
          <w:vertAlign w:val="superscript"/>
        </w:rPr>
        <w:t>e</w:t>
      </w:r>
      <w:r w:rsidRPr="00BA7B40">
        <w:rPr>
          <w:rStyle w:val="apple-converted-space"/>
          <w:rFonts w:cs="Times New Roman"/>
          <w:color w:val="000000"/>
          <w:sz w:val="16"/>
          <w:szCs w:val="16"/>
          <w:shd w:val="clear" w:color="auto" w:fill="FFFFFF"/>
        </w:rPr>
        <w:t> </w:t>
      </w:r>
      <w:r w:rsidRPr="00BA7B40">
        <w:rPr>
          <w:rFonts w:cs="Times New Roman"/>
          <w:color w:val="000000"/>
          <w:sz w:val="16"/>
          <w:szCs w:val="16"/>
          <w:shd w:val="clear" w:color="auto" w:fill="FFFFFF"/>
        </w:rPr>
        <w:t>trimestre;</w:t>
      </w:r>
    </w:p>
    <w:p w:rsidR="00BA7B40" w:rsidRPr="00BA7B40" w:rsidRDefault="00BA7B40" w:rsidP="0078039E">
      <w:pPr>
        <w:numPr>
          <w:ilvl w:val="1"/>
          <w:numId w:val="504"/>
        </w:numPr>
        <w:shd w:val="clear" w:color="auto" w:fill="FFFFFF"/>
        <w:spacing w:before="100" w:beforeAutospacing="1" w:after="100" w:afterAutospacing="1" w:line="240" w:lineRule="auto"/>
        <w:rPr>
          <w:rFonts w:cs="Times New Roman"/>
          <w:color w:val="000000"/>
          <w:sz w:val="16"/>
          <w:szCs w:val="16"/>
          <w:shd w:val="clear" w:color="auto" w:fill="FFFFFF"/>
        </w:rPr>
      </w:pPr>
      <w:bookmarkStart w:id="299" w:name="Objectifssp%C3%A9cifiques1.12"/>
      <w:bookmarkEnd w:id="298"/>
      <w:r w:rsidRPr="00BA7B40">
        <w:rPr>
          <w:rFonts w:cs="Times New Roman"/>
          <w:color w:val="000000"/>
          <w:sz w:val="16"/>
          <w:szCs w:val="16"/>
          <w:shd w:val="clear" w:color="auto" w:fill="FFFFFF"/>
        </w:rPr>
        <w:t>les signes et symptômes en début de travail;</w:t>
      </w:r>
    </w:p>
    <w:bookmarkEnd w:id="299"/>
    <w:p w:rsidR="00BA7B40" w:rsidRPr="00BA7B40" w:rsidRDefault="00BA7B40" w:rsidP="0078039E">
      <w:pPr>
        <w:numPr>
          <w:ilvl w:val="0"/>
          <w:numId w:val="504"/>
        </w:numPr>
        <w:shd w:val="clear" w:color="auto" w:fill="FFFFFF"/>
        <w:spacing w:before="100" w:beforeAutospacing="1" w:after="100" w:afterAutospacing="1" w:line="240" w:lineRule="auto"/>
        <w:rPr>
          <w:rFonts w:cs="Times New Roman"/>
          <w:color w:val="000000"/>
          <w:sz w:val="16"/>
          <w:szCs w:val="16"/>
          <w:shd w:val="clear" w:color="auto" w:fill="FFFFFF"/>
        </w:rPr>
      </w:pPr>
      <w:r w:rsidRPr="00BA7B40">
        <w:rPr>
          <w:rFonts w:cs="Times New Roman"/>
          <w:color w:val="000000"/>
          <w:sz w:val="16"/>
          <w:szCs w:val="16"/>
          <w:shd w:val="clear" w:color="auto" w:fill="FFFFFF"/>
        </w:rPr>
        <w:t>énumérer et interpréter les examens pertinents, notamment :</w:t>
      </w:r>
    </w:p>
    <w:p w:rsidR="00BA7B40" w:rsidRPr="00BA7B40" w:rsidRDefault="00BA7B40" w:rsidP="0078039E">
      <w:pPr>
        <w:numPr>
          <w:ilvl w:val="1"/>
          <w:numId w:val="504"/>
        </w:numPr>
        <w:shd w:val="clear" w:color="auto" w:fill="FFFFFF"/>
        <w:spacing w:before="100" w:beforeAutospacing="1" w:after="100" w:afterAutospacing="1" w:line="240" w:lineRule="auto"/>
        <w:rPr>
          <w:rFonts w:cs="Times New Roman"/>
          <w:color w:val="000000"/>
          <w:sz w:val="16"/>
          <w:szCs w:val="16"/>
          <w:shd w:val="clear" w:color="auto" w:fill="FFFFFF"/>
        </w:rPr>
      </w:pPr>
      <w:r w:rsidRPr="00BA7B40">
        <w:rPr>
          <w:rFonts w:cs="Times New Roman"/>
          <w:color w:val="000000"/>
          <w:sz w:val="16"/>
          <w:szCs w:val="16"/>
          <w:shd w:val="clear" w:color="auto" w:fill="FFFFFF"/>
        </w:rPr>
        <w:t>les tests de dépistage et de diagnostic initiaux appropriés (p. ex. formule sanguine, type sanguin, état d'immunisation contre la rubéole);</w:t>
      </w:r>
    </w:p>
    <w:p w:rsidR="00BA7B40" w:rsidRPr="00BA7B40" w:rsidRDefault="00BA7B40" w:rsidP="0078039E">
      <w:pPr>
        <w:numPr>
          <w:ilvl w:val="1"/>
          <w:numId w:val="504"/>
        </w:numPr>
        <w:shd w:val="clear" w:color="auto" w:fill="FFFFFF"/>
        <w:spacing w:before="100" w:beforeAutospacing="1" w:after="100" w:afterAutospacing="1" w:line="240" w:lineRule="auto"/>
        <w:rPr>
          <w:rFonts w:cs="Times New Roman"/>
          <w:color w:val="000000"/>
          <w:sz w:val="16"/>
          <w:szCs w:val="16"/>
          <w:shd w:val="clear" w:color="auto" w:fill="FFFFFF"/>
        </w:rPr>
      </w:pPr>
      <w:r w:rsidRPr="00BA7B40">
        <w:rPr>
          <w:rFonts w:cs="Times New Roman"/>
          <w:color w:val="000000"/>
          <w:sz w:val="16"/>
          <w:szCs w:val="16"/>
          <w:shd w:val="clear" w:color="auto" w:fill="FFFFFF"/>
        </w:rPr>
        <w:t>les options de dépistage génétique prénatal (p. ex. dépistage prénatal intégré sérique, clarté nucale);</w:t>
      </w:r>
    </w:p>
    <w:p w:rsidR="00BA7B40" w:rsidRPr="00BA7B40" w:rsidRDefault="00BA7B40" w:rsidP="0078039E">
      <w:pPr>
        <w:numPr>
          <w:ilvl w:val="1"/>
          <w:numId w:val="504"/>
        </w:numPr>
        <w:shd w:val="clear" w:color="auto" w:fill="FFFFFF"/>
        <w:spacing w:before="100" w:beforeAutospacing="1" w:after="100" w:afterAutospacing="1" w:line="240" w:lineRule="auto"/>
        <w:rPr>
          <w:rFonts w:cs="Times New Roman"/>
          <w:color w:val="000000"/>
          <w:sz w:val="16"/>
          <w:szCs w:val="16"/>
          <w:shd w:val="clear" w:color="auto" w:fill="FFFFFF"/>
        </w:rPr>
      </w:pPr>
      <w:r w:rsidRPr="00BA7B40">
        <w:rPr>
          <w:rFonts w:cs="Times New Roman"/>
          <w:color w:val="000000"/>
          <w:sz w:val="16"/>
          <w:szCs w:val="16"/>
          <w:shd w:val="clear" w:color="auto" w:fill="FFFFFF"/>
        </w:rPr>
        <w:t>les recommandations actuelles concernant l'échographie dans le cas d'une grossesse normale;</w:t>
      </w:r>
    </w:p>
    <w:p w:rsidR="00BA7B40" w:rsidRPr="00BA7B40" w:rsidRDefault="00BA7B40" w:rsidP="0078039E">
      <w:pPr>
        <w:numPr>
          <w:ilvl w:val="1"/>
          <w:numId w:val="504"/>
        </w:numPr>
        <w:shd w:val="clear" w:color="auto" w:fill="FFFFFF"/>
        <w:spacing w:before="100" w:beforeAutospacing="1" w:after="100" w:afterAutospacing="1" w:line="240" w:lineRule="auto"/>
        <w:rPr>
          <w:rFonts w:cs="Times New Roman"/>
          <w:color w:val="000000"/>
          <w:sz w:val="16"/>
          <w:szCs w:val="16"/>
          <w:shd w:val="clear" w:color="auto" w:fill="FFFFFF"/>
        </w:rPr>
      </w:pPr>
      <w:bookmarkStart w:id="300" w:name="Objectifssp%C3%A9cifiques2.4"/>
      <w:r w:rsidRPr="00BA7B40">
        <w:rPr>
          <w:rFonts w:cs="Times New Roman"/>
          <w:color w:val="000000"/>
          <w:sz w:val="16"/>
          <w:szCs w:val="16"/>
          <w:shd w:val="clear" w:color="auto" w:fill="FFFFFF"/>
        </w:rPr>
        <w:t>les indications et les options de surveillance fœtale supplémentaire (p. ex. décompte des mouvements, examen de réactivité fœtale, profil biophysique);</w:t>
      </w:r>
    </w:p>
    <w:p w:rsidR="00BA7B40" w:rsidRPr="00BA7B40" w:rsidRDefault="00BA7B40" w:rsidP="0078039E">
      <w:pPr>
        <w:numPr>
          <w:ilvl w:val="1"/>
          <w:numId w:val="504"/>
        </w:numPr>
        <w:shd w:val="clear" w:color="auto" w:fill="FFFFFF"/>
        <w:spacing w:before="100" w:beforeAutospacing="1" w:after="100" w:afterAutospacing="1" w:line="240" w:lineRule="auto"/>
        <w:rPr>
          <w:rFonts w:cs="Times New Roman"/>
          <w:color w:val="000000"/>
          <w:sz w:val="16"/>
          <w:szCs w:val="16"/>
          <w:shd w:val="clear" w:color="auto" w:fill="FFFFFF"/>
        </w:rPr>
      </w:pPr>
      <w:bookmarkStart w:id="301" w:name="Objectifssp%C3%A9cifiques2.5"/>
      <w:bookmarkEnd w:id="300"/>
      <w:r w:rsidRPr="00BA7B40">
        <w:rPr>
          <w:rFonts w:cs="Times New Roman"/>
          <w:color w:val="000000"/>
          <w:sz w:val="16"/>
          <w:szCs w:val="16"/>
          <w:shd w:val="clear" w:color="auto" w:fill="FFFFFF"/>
        </w:rPr>
        <w:t>les recommandations actuelles concernant le dépistage de complications et de facteurs de risque, y compris (liste non exhaustive) :</w:t>
      </w:r>
    </w:p>
    <w:p w:rsidR="00BA7B40" w:rsidRPr="00BA7B40" w:rsidRDefault="00BA7B40" w:rsidP="0078039E">
      <w:pPr>
        <w:numPr>
          <w:ilvl w:val="2"/>
          <w:numId w:val="504"/>
        </w:numPr>
        <w:shd w:val="clear" w:color="auto" w:fill="FFFFFF"/>
        <w:spacing w:before="100" w:beforeAutospacing="1" w:after="100" w:afterAutospacing="1" w:line="240" w:lineRule="auto"/>
        <w:rPr>
          <w:rFonts w:cs="Times New Roman"/>
          <w:color w:val="000000"/>
          <w:sz w:val="16"/>
          <w:szCs w:val="16"/>
          <w:shd w:val="clear" w:color="auto" w:fill="FFFFFF"/>
        </w:rPr>
      </w:pPr>
      <w:bookmarkStart w:id="302" w:name="Objectifssp%C3%A9cifiques2.5.1"/>
      <w:bookmarkEnd w:id="301"/>
      <w:r w:rsidRPr="00BA7B40">
        <w:rPr>
          <w:rFonts w:cs="Times New Roman"/>
          <w:color w:val="000000"/>
          <w:sz w:val="16"/>
          <w:szCs w:val="16"/>
          <w:shd w:val="clear" w:color="auto" w:fill="FFFFFF"/>
        </w:rPr>
        <w:t>la maladie hémolytique du nouveau-né (p. ex. par iso-immunisation rhésus);</w:t>
      </w:r>
    </w:p>
    <w:p w:rsidR="00BA7B40" w:rsidRPr="00BA7B40" w:rsidRDefault="00BA7B40" w:rsidP="0078039E">
      <w:pPr>
        <w:numPr>
          <w:ilvl w:val="2"/>
          <w:numId w:val="504"/>
        </w:numPr>
        <w:shd w:val="clear" w:color="auto" w:fill="FFFFFF"/>
        <w:spacing w:before="100" w:beforeAutospacing="1" w:after="100" w:afterAutospacing="1" w:line="240" w:lineRule="auto"/>
        <w:rPr>
          <w:rFonts w:cs="Times New Roman"/>
          <w:color w:val="000000"/>
          <w:sz w:val="16"/>
          <w:szCs w:val="16"/>
          <w:shd w:val="clear" w:color="auto" w:fill="FFFFFF"/>
        </w:rPr>
      </w:pPr>
      <w:bookmarkStart w:id="303" w:name="Objectifssp%C3%A9cifiques2.5.2"/>
      <w:bookmarkEnd w:id="302"/>
      <w:r w:rsidRPr="00BA7B40">
        <w:rPr>
          <w:rFonts w:cs="Times New Roman"/>
          <w:color w:val="000000"/>
          <w:sz w:val="16"/>
          <w:szCs w:val="16"/>
          <w:shd w:val="clear" w:color="auto" w:fill="FFFFFF"/>
        </w:rPr>
        <w:t>le diabète gestationnel;</w:t>
      </w:r>
    </w:p>
    <w:p w:rsidR="00BA7B40" w:rsidRPr="00BA7B40" w:rsidRDefault="00BA7B40" w:rsidP="0078039E">
      <w:pPr>
        <w:numPr>
          <w:ilvl w:val="2"/>
          <w:numId w:val="504"/>
        </w:numPr>
        <w:shd w:val="clear" w:color="auto" w:fill="FFFFFF"/>
        <w:spacing w:before="100" w:beforeAutospacing="1" w:after="100" w:afterAutospacing="1" w:line="240" w:lineRule="auto"/>
        <w:rPr>
          <w:rFonts w:cs="Times New Roman"/>
          <w:color w:val="000000"/>
          <w:sz w:val="16"/>
          <w:szCs w:val="16"/>
          <w:shd w:val="clear" w:color="auto" w:fill="FFFFFF"/>
        </w:rPr>
      </w:pPr>
      <w:bookmarkStart w:id="304" w:name="Objectifssp%C3%A9cifiques2.5.3"/>
      <w:bookmarkEnd w:id="303"/>
      <w:r w:rsidRPr="00BA7B40">
        <w:rPr>
          <w:rFonts w:cs="Times New Roman"/>
          <w:color w:val="000000"/>
          <w:sz w:val="16"/>
          <w:szCs w:val="16"/>
          <w:shd w:val="clear" w:color="auto" w:fill="FFFFFF"/>
        </w:rPr>
        <w:t>les infections transmises sexuellement;</w:t>
      </w:r>
    </w:p>
    <w:p w:rsidR="00BA7B40" w:rsidRPr="00BA7B40" w:rsidRDefault="00BA7B40" w:rsidP="0078039E">
      <w:pPr>
        <w:numPr>
          <w:ilvl w:val="2"/>
          <w:numId w:val="504"/>
        </w:numPr>
        <w:shd w:val="clear" w:color="auto" w:fill="FFFFFF"/>
        <w:spacing w:before="100" w:beforeAutospacing="1" w:after="100" w:afterAutospacing="1" w:line="240" w:lineRule="auto"/>
        <w:rPr>
          <w:rFonts w:cs="Times New Roman"/>
          <w:color w:val="000000"/>
          <w:sz w:val="16"/>
          <w:szCs w:val="16"/>
          <w:shd w:val="clear" w:color="auto" w:fill="FFFFFF"/>
        </w:rPr>
      </w:pPr>
      <w:bookmarkStart w:id="305" w:name="Objectifssp%C3%A9cifiques2.5.4"/>
      <w:bookmarkEnd w:id="304"/>
      <w:r w:rsidRPr="00BA7B40">
        <w:rPr>
          <w:rFonts w:cs="Times New Roman"/>
          <w:color w:val="000000"/>
          <w:sz w:val="16"/>
          <w:szCs w:val="16"/>
          <w:shd w:val="clear" w:color="auto" w:fill="FFFFFF"/>
        </w:rPr>
        <w:t>le streptocoque du groupe B;</w:t>
      </w:r>
    </w:p>
    <w:bookmarkEnd w:id="305"/>
    <w:p w:rsidR="00BA7B40" w:rsidRPr="00BA7B40" w:rsidRDefault="00BA7B40" w:rsidP="0078039E">
      <w:pPr>
        <w:numPr>
          <w:ilvl w:val="0"/>
          <w:numId w:val="504"/>
        </w:numPr>
        <w:shd w:val="clear" w:color="auto" w:fill="FFFFFF"/>
        <w:spacing w:before="100" w:beforeAutospacing="1" w:after="100" w:afterAutospacing="1" w:line="240" w:lineRule="auto"/>
        <w:rPr>
          <w:rFonts w:cs="Times New Roman"/>
          <w:color w:val="000000"/>
          <w:sz w:val="16"/>
          <w:szCs w:val="16"/>
          <w:shd w:val="clear" w:color="auto" w:fill="FFFFFF"/>
        </w:rPr>
      </w:pPr>
      <w:r w:rsidRPr="00BA7B40">
        <w:rPr>
          <w:rFonts w:cs="Times New Roman"/>
          <w:color w:val="000000"/>
          <w:sz w:val="16"/>
          <w:szCs w:val="16"/>
          <w:shd w:val="clear" w:color="auto" w:fill="FFFFFF"/>
        </w:rPr>
        <w:t>établir un plan efficace de prise en charge initiale, notamment :</w:t>
      </w:r>
    </w:p>
    <w:p w:rsidR="00BA7B40" w:rsidRPr="00BA7B40" w:rsidRDefault="00BA7B40" w:rsidP="0078039E">
      <w:pPr>
        <w:numPr>
          <w:ilvl w:val="1"/>
          <w:numId w:val="504"/>
        </w:numPr>
        <w:shd w:val="clear" w:color="auto" w:fill="FFFFFF"/>
        <w:spacing w:before="100" w:beforeAutospacing="1" w:after="100" w:afterAutospacing="1" w:line="240" w:lineRule="auto"/>
        <w:rPr>
          <w:rFonts w:cs="Times New Roman"/>
          <w:color w:val="000000"/>
          <w:sz w:val="16"/>
          <w:szCs w:val="16"/>
          <w:shd w:val="clear" w:color="auto" w:fill="FFFFFF"/>
        </w:rPr>
      </w:pPr>
      <w:r w:rsidRPr="00BA7B40">
        <w:rPr>
          <w:rFonts w:cs="Times New Roman"/>
          <w:color w:val="000000"/>
          <w:sz w:val="16"/>
          <w:szCs w:val="16"/>
          <w:shd w:val="clear" w:color="auto" w:fill="FFFFFF"/>
        </w:rPr>
        <w:t>discuter de l'adaptation de la patiente à la grossesse (p. ex. humeur, travail, stress, famille);</w:t>
      </w:r>
    </w:p>
    <w:p w:rsidR="00BA7B40" w:rsidRPr="00BA7B40" w:rsidRDefault="00BA7B40" w:rsidP="0078039E">
      <w:pPr>
        <w:numPr>
          <w:ilvl w:val="1"/>
          <w:numId w:val="504"/>
        </w:numPr>
        <w:shd w:val="clear" w:color="auto" w:fill="FFFFFF"/>
        <w:spacing w:before="100" w:beforeAutospacing="1" w:after="100" w:afterAutospacing="1" w:line="240" w:lineRule="auto"/>
        <w:rPr>
          <w:rFonts w:cs="Times New Roman"/>
          <w:color w:val="000000"/>
          <w:sz w:val="16"/>
          <w:szCs w:val="16"/>
          <w:shd w:val="clear" w:color="auto" w:fill="FFFFFF"/>
        </w:rPr>
      </w:pPr>
      <w:r w:rsidRPr="00BA7B40">
        <w:rPr>
          <w:rFonts w:cs="Times New Roman"/>
          <w:color w:val="000000"/>
          <w:sz w:val="16"/>
          <w:szCs w:val="16"/>
          <w:shd w:val="clear" w:color="auto" w:fill="FFFFFF"/>
        </w:rPr>
        <w:t>conseiller la patiente et l'adresser s'il y a lieu à des services communautaires :</w:t>
      </w:r>
    </w:p>
    <w:p w:rsidR="00BA7B40" w:rsidRPr="00BA7B40" w:rsidRDefault="00BA7B40" w:rsidP="0078039E">
      <w:pPr>
        <w:numPr>
          <w:ilvl w:val="2"/>
          <w:numId w:val="504"/>
        </w:numPr>
        <w:shd w:val="clear" w:color="auto" w:fill="FFFFFF"/>
        <w:spacing w:before="100" w:beforeAutospacing="1" w:after="100" w:afterAutospacing="1" w:line="240" w:lineRule="auto"/>
        <w:rPr>
          <w:rFonts w:cs="Times New Roman"/>
          <w:color w:val="000000"/>
          <w:sz w:val="16"/>
          <w:szCs w:val="16"/>
          <w:shd w:val="clear" w:color="auto" w:fill="FFFFFF"/>
        </w:rPr>
      </w:pPr>
      <w:bookmarkStart w:id="306" w:name="Objectifssp%C3%A9cifiques3.2.1"/>
      <w:r w:rsidRPr="00BA7B40">
        <w:rPr>
          <w:rFonts w:cs="Times New Roman"/>
          <w:color w:val="000000"/>
          <w:sz w:val="16"/>
          <w:szCs w:val="16"/>
          <w:shd w:val="clear" w:color="auto" w:fill="FFFFFF"/>
        </w:rPr>
        <w:t>cours prénataux;</w:t>
      </w:r>
    </w:p>
    <w:p w:rsidR="00BA7B40" w:rsidRPr="00BA7B40" w:rsidRDefault="00BA7B40" w:rsidP="0078039E">
      <w:pPr>
        <w:numPr>
          <w:ilvl w:val="2"/>
          <w:numId w:val="504"/>
        </w:numPr>
        <w:shd w:val="clear" w:color="auto" w:fill="FFFFFF"/>
        <w:spacing w:before="100" w:beforeAutospacing="1" w:after="100" w:afterAutospacing="1" w:line="240" w:lineRule="auto"/>
        <w:rPr>
          <w:rFonts w:cs="Times New Roman"/>
          <w:color w:val="000000"/>
          <w:sz w:val="16"/>
          <w:szCs w:val="16"/>
          <w:shd w:val="clear" w:color="auto" w:fill="FFFFFF"/>
        </w:rPr>
      </w:pPr>
      <w:bookmarkStart w:id="307" w:name="Objectifssp%C3%A9cifiques3.2.2"/>
      <w:bookmarkEnd w:id="306"/>
      <w:r w:rsidRPr="00BA7B40">
        <w:rPr>
          <w:rFonts w:cs="Times New Roman"/>
          <w:color w:val="000000"/>
          <w:sz w:val="16"/>
          <w:szCs w:val="16"/>
          <w:shd w:val="clear" w:color="auto" w:fill="FFFFFF"/>
        </w:rPr>
        <w:t>nutrition;</w:t>
      </w:r>
    </w:p>
    <w:p w:rsidR="00BA7B40" w:rsidRPr="00BA7B40" w:rsidRDefault="00BA7B40" w:rsidP="0078039E">
      <w:pPr>
        <w:numPr>
          <w:ilvl w:val="2"/>
          <w:numId w:val="504"/>
        </w:numPr>
        <w:shd w:val="clear" w:color="auto" w:fill="FFFFFF"/>
        <w:spacing w:before="100" w:beforeAutospacing="1" w:after="100" w:afterAutospacing="1" w:line="240" w:lineRule="auto"/>
        <w:rPr>
          <w:rFonts w:cs="Times New Roman"/>
          <w:color w:val="000000"/>
          <w:sz w:val="16"/>
          <w:szCs w:val="16"/>
          <w:shd w:val="clear" w:color="auto" w:fill="FFFFFF"/>
        </w:rPr>
      </w:pPr>
      <w:bookmarkStart w:id="308" w:name="Objectifssp%C3%A9cifiques3.2.3"/>
      <w:bookmarkEnd w:id="307"/>
      <w:r w:rsidRPr="00BA7B40">
        <w:rPr>
          <w:rFonts w:cs="Times New Roman"/>
          <w:color w:val="000000"/>
          <w:sz w:val="16"/>
          <w:szCs w:val="16"/>
          <w:shd w:val="clear" w:color="auto" w:fill="FFFFFF"/>
        </w:rPr>
        <w:t>consommation ou abus de substances;</w:t>
      </w:r>
    </w:p>
    <w:p w:rsidR="00BA7B40" w:rsidRPr="00BA7B40" w:rsidRDefault="00BA7B40" w:rsidP="0078039E">
      <w:pPr>
        <w:numPr>
          <w:ilvl w:val="2"/>
          <w:numId w:val="504"/>
        </w:numPr>
        <w:shd w:val="clear" w:color="auto" w:fill="FFFFFF"/>
        <w:spacing w:before="100" w:beforeAutospacing="1" w:after="100" w:afterAutospacing="1" w:line="240" w:lineRule="auto"/>
        <w:rPr>
          <w:rFonts w:cs="Times New Roman"/>
          <w:color w:val="000000"/>
          <w:sz w:val="16"/>
          <w:szCs w:val="16"/>
          <w:shd w:val="clear" w:color="auto" w:fill="FFFFFF"/>
        </w:rPr>
      </w:pPr>
      <w:bookmarkStart w:id="309" w:name="Objectifssp%C3%A9cifiques3.2.4"/>
      <w:bookmarkEnd w:id="308"/>
      <w:r w:rsidRPr="00BA7B40">
        <w:rPr>
          <w:rFonts w:cs="Times New Roman"/>
          <w:color w:val="000000"/>
          <w:sz w:val="16"/>
          <w:szCs w:val="16"/>
          <w:shd w:val="clear" w:color="auto" w:fill="FFFFFF"/>
        </w:rPr>
        <w:t>médicaments;</w:t>
      </w:r>
    </w:p>
    <w:p w:rsidR="00BA7B40" w:rsidRPr="00BA7B40" w:rsidRDefault="00BA7B40" w:rsidP="0078039E">
      <w:pPr>
        <w:numPr>
          <w:ilvl w:val="2"/>
          <w:numId w:val="504"/>
        </w:numPr>
        <w:shd w:val="clear" w:color="auto" w:fill="FFFFFF"/>
        <w:spacing w:before="100" w:beforeAutospacing="1" w:after="100" w:afterAutospacing="1" w:line="240" w:lineRule="auto"/>
        <w:rPr>
          <w:rFonts w:cs="Times New Roman"/>
          <w:color w:val="000000"/>
          <w:sz w:val="16"/>
          <w:szCs w:val="16"/>
          <w:shd w:val="clear" w:color="auto" w:fill="FFFFFF"/>
        </w:rPr>
      </w:pPr>
      <w:bookmarkStart w:id="310" w:name="Objectifssp%C3%A9cifiques3.2.5"/>
      <w:bookmarkEnd w:id="309"/>
      <w:r w:rsidRPr="00BA7B40">
        <w:rPr>
          <w:rFonts w:cs="Times New Roman"/>
          <w:color w:val="000000"/>
          <w:sz w:val="16"/>
          <w:szCs w:val="16"/>
          <w:shd w:val="clear" w:color="auto" w:fill="FFFFFF"/>
        </w:rPr>
        <w:t>mode de vie (p. ex. exercice physique, activité sexuelle, voyages);</w:t>
      </w:r>
    </w:p>
    <w:p w:rsidR="00BA7B40" w:rsidRPr="00BA7B40" w:rsidRDefault="00BA7B40" w:rsidP="0078039E">
      <w:pPr>
        <w:numPr>
          <w:ilvl w:val="2"/>
          <w:numId w:val="504"/>
        </w:numPr>
        <w:shd w:val="clear" w:color="auto" w:fill="FFFFFF"/>
        <w:spacing w:before="100" w:beforeAutospacing="1" w:after="100" w:afterAutospacing="1" w:line="240" w:lineRule="auto"/>
        <w:rPr>
          <w:rFonts w:cs="Times New Roman"/>
          <w:color w:val="000000"/>
          <w:sz w:val="16"/>
          <w:szCs w:val="16"/>
          <w:shd w:val="clear" w:color="auto" w:fill="FFFFFF"/>
        </w:rPr>
      </w:pPr>
      <w:bookmarkStart w:id="311" w:name="Objectifssp%C3%A9cifiques3.2.6"/>
      <w:bookmarkEnd w:id="310"/>
      <w:r w:rsidRPr="00BA7B40">
        <w:rPr>
          <w:rFonts w:cs="Times New Roman"/>
          <w:color w:val="000000"/>
          <w:sz w:val="16"/>
          <w:szCs w:val="16"/>
          <w:shd w:val="clear" w:color="auto" w:fill="FFFFFF"/>
        </w:rPr>
        <w:t>allaitement;</w:t>
      </w:r>
    </w:p>
    <w:bookmarkEnd w:id="311"/>
    <w:p w:rsidR="00BA7B40" w:rsidRPr="00BA7B40" w:rsidRDefault="00BA7B40" w:rsidP="0078039E">
      <w:pPr>
        <w:numPr>
          <w:ilvl w:val="1"/>
          <w:numId w:val="504"/>
        </w:numPr>
        <w:shd w:val="clear" w:color="auto" w:fill="FFFFFF"/>
        <w:spacing w:before="100" w:beforeAutospacing="1" w:after="100" w:afterAutospacing="1" w:line="240" w:lineRule="auto"/>
        <w:rPr>
          <w:rFonts w:cs="Times New Roman"/>
          <w:color w:val="000000"/>
          <w:sz w:val="16"/>
          <w:szCs w:val="16"/>
          <w:shd w:val="clear" w:color="auto" w:fill="FFFFFF"/>
        </w:rPr>
      </w:pPr>
      <w:r w:rsidRPr="00BA7B40">
        <w:rPr>
          <w:rFonts w:cs="Times New Roman"/>
          <w:color w:val="000000"/>
          <w:sz w:val="16"/>
          <w:szCs w:val="16"/>
          <w:shd w:val="clear" w:color="auto" w:fill="FFFFFF"/>
        </w:rPr>
        <w:t>discuter des présentations et complications prénatales courantes (p. ex. nausées et vomissements, saignements, retard de croissance intra-utérin);</w:t>
      </w:r>
    </w:p>
    <w:p w:rsidR="00BA7B40" w:rsidRPr="00BA7B40" w:rsidRDefault="00BA7B40" w:rsidP="0078039E">
      <w:pPr>
        <w:numPr>
          <w:ilvl w:val="1"/>
          <w:numId w:val="504"/>
        </w:numPr>
        <w:shd w:val="clear" w:color="auto" w:fill="FFFFFF"/>
        <w:spacing w:before="100" w:beforeAutospacing="1" w:after="100" w:afterAutospacing="1" w:line="240" w:lineRule="auto"/>
        <w:rPr>
          <w:rFonts w:cs="Times New Roman"/>
          <w:color w:val="000000"/>
          <w:sz w:val="16"/>
          <w:szCs w:val="16"/>
          <w:shd w:val="clear" w:color="auto" w:fill="FFFFFF"/>
        </w:rPr>
      </w:pPr>
      <w:r w:rsidRPr="00BA7B40">
        <w:rPr>
          <w:rFonts w:cs="Times New Roman"/>
          <w:color w:val="000000"/>
          <w:sz w:val="16"/>
          <w:szCs w:val="16"/>
          <w:shd w:val="clear" w:color="auto" w:fill="FFFFFF"/>
        </w:rPr>
        <w:t>discuter d'un plan de suivi approprié en cas de dépistage génétique positif (p. ex. amniocentèse, consultation d'un spécialiste);</w:t>
      </w:r>
    </w:p>
    <w:p w:rsidR="00BA7B40" w:rsidRPr="00BA7B40" w:rsidRDefault="00BA7B40" w:rsidP="0078039E">
      <w:pPr>
        <w:numPr>
          <w:ilvl w:val="1"/>
          <w:numId w:val="504"/>
        </w:numPr>
        <w:shd w:val="clear" w:color="auto" w:fill="FFFFFF"/>
        <w:spacing w:before="100" w:beforeAutospacing="1" w:after="100" w:afterAutospacing="1" w:line="240" w:lineRule="auto"/>
        <w:rPr>
          <w:rFonts w:cs="Times New Roman"/>
          <w:color w:val="000000"/>
          <w:sz w:val="16"/>
          <w:szCs w:val="16"/>
          <w:shd w:val="clear" w:color="auto" w:fill="FFFFFF"/>
        </w:rPr>
      </w:pPr>
      <w:r w:rsidRPr="00BA7B40">
        <w:rPr>
          <w:rFonts w:cs="Times New Roman"/>
          <w:color w:val="000000"/>
          <w:sz w:val="16"/>
          <w:szCs w:val="16"/>
          <w:shd w:val="clear" w:color="auto" w:fill="FFFFFF"/>
        </w:rPr>
        <w:t>assurer la prise en charge en cas de grossesse prolongée;</w:t>
      </w:r>
    </w:p>
    <w:p w:rsidR="00BA7B40" w:rsidRPr="00BA7B40" w:rsidRDefault="00BA7B40" w:rsidP="0078039E">
      <w:pPr>
        <w:numPr>
          <w:ilvl w:val="1"/>
          <w:numId w:val="504"/>
        </w:numPr>
        <w:shd w:val="clear" w:color="auto" w:fill="FFFFFF"/>
        <w:spacing w:before="100" w:beforeAutospacing="1" w:after="100" w:afterAutospacing="1" w:line="240" w:lineRule="auto"/>
        <w:rPr>
          <w:rFonts w:cs="Times New Roman"/>
          <w:color w:val="000000"/>
          <w:sz w:val="16"/>
          <w:szCs w:val="16"/>
          <w:shd w:val="clear" w:color="auto" w:fill="FFFFFF"/>
        </w:rPr>
      </w:pPr>
      <w:r w:rsidRPr="00BA7B40">
        <w:rPr>
          <w:rFonts w:cs="Times New Roman"/>
          <w:color w:val="000000"/>
          <w:sz w:val="16"/>
          <w:szCs w:val="16"/>
          <w:shd w:val="clear" w:color="auto" w:fill="FFFFFF"/>
        </w:rPr>
        <w:t>adresser la patiente pour des soins supplémentaires ou spécialisés (p. ex. prééclampsie, troubles psychiatriques, toxicomanie), s'il y a lieu.</w:t>
      </w:r>
    </w:p>
    <w:p w:rsidR="00BA7B40" w:rsidRDefault="00BA7B40" w:rsidP="00D859AA">
      <w:pPr>
        <w:spacing w:after="0"/>
        <w:rPr>
          <w:rFonts w:cs="Times New Roman"/>
          <w:b/>
          <w:color w:val="548DD4" w:themeColor="text2" w:themeTint="99"/>
        </w:rPr>
      </w:pPr>
    </w:p>
    <w:p w:rsidR="00C10608" w:rsidRDefault="00C10608" w:rsidP="004D5CFC">
      <w:pPr>
        <w:pStyle w:val="Sansinterligne"/>
        <w:rPr>
          <w:b/>
          <w:sz w:val="28"/>
          <w:szCs w:val="28"/>
        </w:rPr>
      </w:pPr>
    </w:p>
    <w:p w:rsidR="00E55BC9" w:rsidRDefault="00C062F7" w:rsidP="004D5CFC">
      <w:pPr>
        <w:pStyle w:val="Sansinterligne"/>
        <w:rPr>
          <w:b/>
          <w:sz w:val="28"/>
          <w:szCs w:val="28"/>
        </w:rPr>
      </w:pPr>
      <w:r>
        <w:rPr>
          <w:noProof/>
          <w:lang w:eastAsia="fr-CA"/>
        </w:rPr>
        <w:drawing>
          <wp:anchor distT="0" distB="0" distL="114300" distR="114300" simplePos="0" relativeHeight="251794432" behindDoc="0" locked="0" layoutInCell="1" allowOverlap="1" wp14:anchorId="616C7C8A" wp14:editId="19F2A489">
            <wp:simplePos x="0" y="0"/>
            <wp:positionH relativeFrom="column">
              <wp:posOffset>5894070</wp:posOffset>
            </wp:positionH>
            <wp:positionV relativeFrom="paragraph">
              <wp:posOffset>-32385</wp:posOffset>
            </wp:positionV>
            <wp:extent cx="654050" cy="1147445"/>
            <wp:effectExtent l="0" t="0" r="0" b="0"/>
            <wp:wrapNone/>
            <wp:docPr id="310" name="Image 310" descr="Résultats de recherche d'images pour « acide foliqu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ésultats de recherche d'images pour « acide folique »"/>
                    <pic:cNvPicPr>
                      <a:picLocks noChangeAspect="1" noChangeArrowheads="1"/>
                    </pic:cNvPicPr>
                  </pic:nvPicPr>
                  <pic:blipFill rotWithShape="1">
                    <a:blip r:embed="rId292" cstate="print">
                      <a:extLst>
                        <a:ext uri="{28A0092B-C50C-407E-A947-70E740481C1C}">
                          <a14:useLocalDpi xmlns:a14="http://schemas.microsoft.com/office/drawing/2010/main" val="0"/>
                        </a:ext>
                      </a:extLst>
                    </a:blip>
                    <a:srcRect l="24666" r="22889" b="8000"/>
                    <a:stretch/>
                  </pic:blipFill>
                  <pic:spPr bwMode="auto">
                    <a:xfrm>
                      <a:off x="0" y="0"/>
                      <a:ext cx="654050" cy="114744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55BC9">
        <w:rPr>
          <w:b/>
          <w:sz w:val="28"/>
          <w:szCs w:val="28"/>
        </w:rPr>
        <w:t>Conseils préconceptionnels</w:t>
      </w:r>
    </w:p>
    <w:p w:rsidR="000F16A6" w:rsidRDefault="000F16A6" w:rsidP="004D5CFC">
      <w:pPr>
        <w:pStyle w:val="Sansinterligne"/>
        <w:rPr>
          <w:b/>
          <w:sz w:val="28"/>
          <w:szCs w:val="28"/>
        </w:rPr>
      </w:pPr>
    </w:p>
    <w:p w:rsidR="00E55BC9" w:rsidRDefault="00E55BC9" w:rsidP="0078039E">
      <w:pPr>
        <w:pStyle w:val="Sansinterligne"/>
        <w:numPr>
          <w:ilvl w:val="0"/>
          <w:numId w:val="507"/>
        </w:numPr>
      </w:pPr>
      <w:r>
        <w:t>Traiter les conditions médicales sous-jacentes</w:t>
      </w:r>
    </w:p>
    <w:p w:rsidR="004476D9" w:rsidRDefault="004476D9" w:rsidP="0078039E">
      <w:pPr>
        <w:pStyle w:val="Sansinterligne"/>
        <w:numPr>
          <w:ilvl w:val="0"/>
          <w:numId w:val="507"/>
        </w:numPr>
      </w:pPr>
      <w:r>
        <w:t>Limiter la prise de médication ou effectuer des changements si tératogènes/dangereux</w:t>
      </w:r>
    </w:p>
    <w:p w:rsidR="008F2C73" w:rsidRPr="008F2C73" w:rsidRDefault="008F2C73" w:rsidP="0078039E">
      <w:pPr>
        <w:pStyle w:val="Sansinterligne"/>
        <w:numPr>
          <w:ilvl w:val="0"/>
          <w:numId w:val="507"/>
        </w:numPr>
        <w:rPr>
          <w:highlight w:val="yellow"/>
        </w:rPr>
      </w:pPr>
      <w:r w:rsidRPr="008F2C73">
        <w:rPr>
          <w:highlight w:val="yellow"/>
        </w:rPr>
        <w:t xml:space="preserve">Dépistage génétique parental si à risque (Voir </w:t>
      </w:r>
      <w:r w:rsidRPr="008F2C73">
        <w:rPr>
          <w:i/>
          <w:highlight w:val="yellow"/>
        </w:rPr>
        <w:t>Inquiétudes d’ordre génétique CMC 36</w:t>
      </w:r>
      <w:r w:rsidRPr="008F2C73">
        <w:rPr>
          <w:highlight w:val="yellow"/>
        </w:rPr>
        <w:t>)</w:t>
      </w:r>
    </w:p>
    <w:p w:rsidR="004476D9" w:rsidRPr="00B464A4" w:rsidRDefault="00E55BC9" w:rsidP="0078039E">
      <w:pPr>
        <w:pStyle w:val="Sansinterligne"/>
        <w:numPr>
          <w:ilvl w:val="0"/>
          <w:numId w:val="507"/>
        </w:numPr>
        <w:rPr>
          <w:b/>
          <w:highlight w:val="yellow"/>
        </w:rPr>
      </w:pPr>
      <w:r w:rsidRPr="00B464A4">
        <w:rPr>
          <w:b/>
          <w:highlight w:val="yellow"/>
        </w:rPr>
        <w:t xml:space="preserve">Débuter la supplémentation en acide folique (vitamine B9) </w:t>
      </w:r>
      <w:r w:rsidRPr="00B464A4">
        <w:rPr>
          <w:rFonts w:cs="Times New Roman"/>
          <w:b/>
          <w:highlight w:val="yellow"/>
        </w:rPr>
        <w:t>±</w:t>
      </w:r>
      <w:r w:rsidRPr="00B464A4">
        <w:rPr>
          <w:b/>
          <w:highlight w:val="yellow"/>
        </w:rPr>
        <w:t xml:space="preserve"> vitamines et fer (Centrum)</w:t>
      </w:r>
    </w:p>
    <w:p w:rsidR="004476D9" w:rsidRPr="008F2C73" w:rsidRDefault="004476D9" w:rsidP="0078039E">
      <w:pPr>
        <w:pStyle w:val="Sansinterligne"/>
        <w:numPr>
          <w:ilvl w:val="0"/>
          <w:numId w:val="507"/>
        </w:numPr>
        <w:rPr>
          <w:highlight w:val="yellow"/>
        </w:rPr>
      </w:pPr>
      <w:r w:rsidRPr="008F2C73">
        <w:rPr>
          <w:highlight w:val="yellow"/>
        </w:rPr>
        <w:t>Optimiser l’apport nutritionnel selon le guide alimentaire canadien et exercice physique adéquat</w:t>
      </w:r>
    </w:p>
    <w:p w:rsidR="004476D9" w:rsidRPr="008F2C73" w:rsidRDefault="004476D9" w:rsidP="0078039E">
      <w:pPr>
        <w:pStyle w:val="Sansinterligne"/>
        <w:numPr>
          <w:ilvl w:val="0"/>
          <w:numId w:val="507"/>
        </w:numPr>
        <w:rPr>
          <w:highlight w:val="yellow"/>
        </w:rPr>
      </w:pPr>
      <w:r w:rsidRPr="008F2C73">
        <w:rPr>
          <w:highlight w:val="yellow"/>
        </w:rPr>
        <w:t>Cesser l’alcool et le tabagisme, et prise de drogues évidemment !</w:t>
      </w:r>
    </w:p>
    <w:p w:rsidR="00953A8F" w:rsidRDefault="00953A8F" w:rsidP="0078039E">
      <w:pPr>
        <w:pStyle w:val="Sansinterligne"/>
        <w:numPr>
          <w:ilvl w:val="0"/>
          <w:numId w:val="507"/>
        </w:numPr>
      </w:pPr>
      <w:r>
        <w:t>Dépistage d’infection : rubéole, hépatite B, syphilis, VIH, lésion cervicale (Pa</w:t>
      </w:r>
      <w:r w:rsidR="00D457F8">
        <w:t>p</w:t>
      </w:r>
      <w:r>
        <w:t xml:space="preserve"> test), gonorrhée/chlamydia</w:t>
      </w:r>
    </w:p>
    <w:p w:rsidR="004476D9" w:rsidRDefault="004476D9" w:rsidP="0078039E">
      <w:pPr>
        <w:pStyle w:val="Sansinterligne"/>
        <w:numPr>
          <w:ilvl w:val="0"/>
          <w:numId w:val="507"/>
        </w:numPr>
      </w:pPr>
      <w:r>
        <w:t>Évaluer la présence de violence conjugale</w:t>
      </w:r>
    </w:p>
    <w:p w:rsidR="00953A8F" w:rsidRDefault="00953A8F" w:rsidP="0078039E">
      <w:pPr>
        <w:pStyle w:val="Sansinterligne"/>
        <w:numPr>
          <w:ilvl w:val="1"/>
          <w:numId w:val="507"/>
        </w:numPr>
      </w:pPr>
      <w:r>
        <w:t>Comment va le couple ?</w:t>
      </w:r>
    </w:p>
    <w:p w:rsidR="00953A8F" w:rsidRDefault="00953A8F" w:rsidP="0078039E">
      <w:pPr>
        <w:pStyle w:val="Sansinterligne"/>
        <w:numPr>
          <w:ilvl w:val="1"/>
          <w:numId w:val="507"/>
        </w:numPr>
      </w:pPr>
      <w:r>
        <w:t>Avez-vous des difficultés relationnelles ou des conflits ?</w:t>
      </w:r>
    </w:p>
    <w:p w:rsidR="00953A8F" w:rsidRDefault="00953A8F" w:rsidP="0078039E">
      <w:pPr>
        <w:pStyle w:val="Sansinterligne"/>
        <w:numPr>
          <w:ilvl w:val="1"/>
          <w:numId w:val="507"/>
        </w:numPr>
      </w:pPr>
      <w:r>
        <w:t>Avez-vous déjà été touchée d’une manière non-désirée ?</w:t>
      </w:r>
    </w:p>
    <w:p w:rsidR="00953A8F" w:rsidRDefault="00953A8F" w:rsidP="0078039E">
      <w:pPr>
        <w:pStyle w:val="Sansinterligne"/>
        <w:numPr>
          <w:ilvl w:val="1"/>
          <w:numId w:val="507"/>
        </w:numPr>
      </w:pPr>
      <w:r>
        <w:t>Vivez-vous de la violence verbale ?</w:t>
      </w:r>
    </w:p>
    <w:p w:rsidR="004476D9" w:rsidRDefault="004476D9" w:rsidP="004D5CFC">
      <w:pPr>
        <w:pStyle w:val="Sansinterligne"/>
      </w:pPr>
    </w:p>
    <w:p w:rsidR="007613DE" w:rsidRDefault="007613DE" w:rsidP="004D5CFC">
      <w:pPr>
        <w:pStyle w:val="Sansinterligne"/>
        <w:rPr>
          <w:b/>
          <w:sz w:val="28"/>
          <w:szCs w:val="28"/>
        </w:rPr>
      </w:pPr>
      <w:r w:rsidRPr="00DB73F7">
        <w:rPr>
          <w:b/>
          <w:sz w:val="28"/>
          <w:szCs w:val="28"/>
        </w:rPr>
        <w:t>Diagnostic de grossesse</w:t>
      </w:r>
    </w:p>
    <w:p w:rsidR="000F16A6" w:rsidRPr="00DB73F7" w:rsidRDefault="000F16A6" w:rsidP="004D5CFC">
      <w:pPr>
        <w:pStyle w:val="Sansinterligne"/>
        <w:rPr>
          <w:b/>
          <w:sz w:val="28"/>
          <w:szCs w:val="28"/>
        </w:rPr>
      </w:pPr>
    </w:p>
    <w:tbl>
      <w:tblPr>
        <w:tblStyle w:val="Grilledutableau"/>
        <w:tblW w:w="0" w:type="auto"/>
        <w:tblLook w:val="04A0" w:firstRow="1" w:lastRow="0" w:firstColumn="1" w:lastColumn="0" w:noHBand="0" w:noVBand="1"/>
      </w:tblPr>
      <w:tblGrid>
        <w:gridCol w:w="3646"/>
        <w:gridCol w:w="3647"/>
        <w:gridCol w:w="3647"/>
      </w:tblGrid>
      <w:tr w:rsidR="00DB73F7" w:rsidTr="00DB73F7">
        <w:tc>
          <w:tcPr>
            <w:tcW w:w="3646" w:type="dxa"/>
            <w:shd w:val="clear" w:color="auto" w:fill="C0504D" w:themeFill="accent2"/>
          </w:tcPr>
          <w:p w:rsidR="00DB73F7" w:rsidRPr="00DB73F7" w:rsidRDefault="00DB73F7" w:rsidP="00DB73F7">
            <w:pPr>
              <w:pStyle w:val="Sansinterligne"/>
              <w:jc w:val="center"/>
              <w:rPr>
                <w:b/>
              </w:rPr>
            </w:pPr>
            <w:r w:rsidRPr="00DB73F7">
              <w:rPr>
                <w:b/>
              </w:rPr>
              <w:t>Symptômes</w:t>
            </w:r>
          </w:p>
        </w:tc>
        <w:tc>
          <w:tcPr>
            <w:tcW w:w="3647" w:type="dxa"/>
            <w:shd w:val="clear" w:color="auto" w:fill="C0504D" w:themeFill="accent2"/>
          </w:tcPr>
          <w:p w:rsidR="00DB73F7" w:rsidRPr="00DB73F7" w:rsidRDefault="00DB73F7" w:rsidP="00DB73F7">
            <w:pPr>
              <w:pStyle w:val="Sansinterligne"/>
              <w:jc w:val="center"/>
              <w:rPr>
                <w:b/>
              </w:rPr>
            </w:pPr>
            <w:r w:rsidRPr="00DB73F7">
              <w:rPr>
                <w:b/>
              </w:rPr>
              <w:t>Signes physiques</w:t>
            </w:r>
          </w:p>
        </w:tc>
        <w:tc>
          <w:tcPr>
            <w:tcW w:w="3647" w:type="dxa"/>
            <w:shd w:val="clear" w:color="auto" w:fill="C0504D" w:themeFill="accent2"/>
          </w:tcPr>
          <w:p w:rsidR="00DB73F7" w:rsidRPr="00DB73F7" w:rsidRDefault="00DB73F7" w:rsidP="00DB73F7">
            <w:pPr>
              <w:pStyle w:val="Sansinterligne"/>
              <w:jc w:val="center"/>
              <w:rPr>
                <w:b/>
              </w:rPr>
            </w:pPr>
            <w:r w:rsidRPr="00DB73F7">
              <w:rPr>
                <w:b/>
              </w:rPr>
              <w:t>Investigation</w:t>
            </w:r>
          </w:p>
        </w:tc>
      </w:tr>
      <w:tr w:rsidR="00DB73F7" w:rsidTr="00A74CF8">
        <w:tc>
          <w:tcPr>
            <w:tcW w:w="3646" w:type="dxa"/>
            <w:shd w:val="clear" w:color="auto" w:fill="FFFF00"/>
          </w:tcPr>
          <w:p w:rsidR="00DB73F7" w:rsidRDefault="00DB73F7" w:rsidP="0078039E">
            <w:pPr>
              <w:pStyle w:val="Sansinterligne"/>
              <w:numPr>
                <w:ilvl w:val="0"/>
                <w:numId w:val="506"/>
              </w:numPr>
            </w:pPr>
            <w:r>
              <w:t>Aménorrhée</w:t>
            </w:r>
          </w:p>
          <w:p w:rsidR="00DB73F7" w:rsidRDefault="00DB73F7" w:rsidP="0078039E">
            <w:pPr>
              <w:pStyle w:val="Sansinterligne"/>
              <w:numPr>
                <w:ilvl w:val="0"/>
                <w:numId w:val="506"/>
              </w:numPr>
            </w:pPr>
            <w:r>
              <w:t>No/Vo</w:t>
            </w:r>
          </w:p>
          <w:p w:rsidR="00DB73F7" w:rsidRDefault="00DB73F7" w:rsidP="0078039E">
            <w:pPr>
              <w:pStyle w:val="Sansinterligne"/>
              <w:numPr>
                <w:ilvl w:val="0"/>
                <w:numId w:val="506"/>
              </w:numPr>
            </w:pPr>
            <w:r>
              <w:t>Sensibilité mammaire</w:t>
            </w:r>
          </w:p>
          <w:p w:rsidR="00DB73F7" w:rsidRDefault="00DB73F7" w:rsidP="0078039E">
            <w:pPr>
              <w:pStyle w:val="Sansinterligne"/>
              <w:numPr>
                <w:ilvl w:val="0"/>
                <w:numId w:val="506"/>
              </w:numPr>
            </w:pPr>
            <w:r>
              <w:t>Pollakiurie</w:t>
            </w:r>
          </w:p>
          <w:p w:rsidR="00DB73F7" w:rsidRDefault="00DB73F7" w:rsidP="0078039E">
            <w:pPr>
              <w:pStyle w:val="Sansinterligne"/>
              <w:numPr>
                <w:ilvl w:val="0"/>
                <w:numId w:val="506"/>
              </w:numPr>
            </w:pPr>
            <w:r>
              <w:t>Fatigue</w:t>
            </w:r>
          </w:p>
        </w:tc>
        <w:tc>
          <w:tcPr>
            <w:tcW w:w="3647" w:type="dxa"/>
            <w:shd w:val="clear" w:color="auto" w:fill="FFFF00"/>
          </w:tcPr>
          <w:p w:rsidR="00DB73F7" w:rsidRDefault="00DB73F7" w:rsidP="0078039E">
            <w:pPr>
              <w:pStyle w:val="Sansinterligne"/>
              <w:numPr>
                <w:ilvl w:val="0"/>
                <w:numId w:val="505"/>
              </w:numPr>
            </w:pPr>
            <w:r>
              <w:t>Ramollissement du col (Goodell)</w:t>
            </w:r>
          </w:p>
          <w:p w:rsidR="00DB73F7" w:rsidRDefault="00DB73F7" w:rsidP="0078039E">
            <w:pPr>
              <w:pStyle w:val="Sansinterligne"/>
              <w:numPr>
                <w:ilvl w:val="0"/>
                <w:numId w:val="505"/>
              </w:numPr>
            </w:pPr>
            <w:r>
              <w:t>Coloration violacée/bleue du vagin et du col (Chadwick)</w:t>
            </w:r>
          </w:p>
          <w:p w:rsidR="00DB73F7" w:rsidRDefault="00DB73F7" w:rsidP="0078039E">
            <w:pPr>
              <w:pStyle w:val="Sansinterligne"/>
              <w:numPr>
                <w:ilvl w:val="0"/>
                <w:numId w:val="505"/>
              </w:numPr>
            </w:pPr>
            <w:r>
              <w:t>Utérus augmenté de taille</w:t>
            </w:r>
          </w:p>
          <w:p w:rsidR="00DB73F7" w:rsidRDefault="00DB73F7" w:rsidP="0078039E">
            <w:pPr>
              <w:pStyle w:val="Sansinterligne"/>
              <w:numPr>
                <w:ilvl w:val="0"/>
                <w:numId w:val="505"/>
              </w:numPr>
            </w:pPr>
            <w:r>
              <w:t>Augmentation de la taille des seins</w:t>
            </w:r>
          </w:p>
        </w:tc>
        <w:tc>
          <w:tcPr>
            <w:tcW w:w="3647" w:type="dxa"/>
            <w:shd w:val="clear" w:color="auto" w:fill="FFFF00"/>
          </w:tcPr>
          <w:p w:rsidR="00DB73F7" w:rsidRPr="00DB73F7" w:rsidRDefault="00DB73F7" w:rsidP="00DB73F7">
            <w:pPr>
              <w:pStyle w:val="Sansinterligne"/>
              <w:rPr>
                <w:u w:val="single"/>
              </w:rPr>
            </w:pPr>
            <w:r w:rsidRPr="00DB73F7">
              <w:rPr>
                <w:rFonts w:cs="Times New Roman"/>
                <w:u w:val="single"/>
              </w:rPr>
              <w:t>Β</w:t>
            </w:r>
            <w:r w:rsidRPr="00DB73F7">
              <w:rPr>
                <w:u w:val="single"/>
              </w:rPr>
              <w:t>-HCG +</w:t>
            </w:r>
          </w:p>
          <w:p w:rsidR="00DB73F7" w:rsidRDefault="00DB73F7" w:rsidP="00DB73F7">
            <w:pPr>
              <w:pStyle w:val="Sansinterligne"/>
            </w:pPr>
            <w:r>
              <w:t xml:space="preserve">Double q 2 jrs </w:t>
            </w:r>
            <w:r>
              <w:rPr>
                <w:rFonts w:ascii="Century Gothic" w:hAnsi="Century Gothic"/>
              </w:rPr>
              <w:t>→</w:t>
            </w:r>
            <w:r>
              <w:t xml:space="preserve"> pic 9 sem </w:t>
            </w:r>
            <w:r>
              <w:rPr>
                <w:rFonts w:ascii="Century Gothic" w:hAnsi="Century Gothic"/>
              </w:rPr>
              <w:t>→</w:t>
            </w:r>
            <w:r>
              <w:t xml:space="preserve"> plateau</w:t>
            </w:r>
          </w:p>
          <w:p w:rsidR="00DB73F7" w:rsidRPr="00DB73F7" w:rsidRDefault="00DB73F7" w:rsidP="00DB73F7">
            <w:pPr>
              <w:pStyle w:val="Sansinterligne"/>
              <w:rPr>
                <w:u w:val="single"/>
              </w:rPr>
            </w:pPr>
            <w:r w:rsidRPr="00DB73F7">
              <w:rPr>
                <w:u w:val="single"/>
              </w:rPr>
              <w:t>Échographie</w:t>
            </w:r>
          </w:p>
          <w:p w:rsidR="00DB73F7" w:rsidRDefault="00DB73F7" w:rsidP="00DB73F7">
            <w:pPr>
              <w:pStyle w:val="Sansinterligne"/>
            </w:pPr>
            <w:r>
              <w:t>Sac vitellin (5 sem)</w:t>
            </w:r>
          </w:p>
          <w:p w:rsidR="00DB73F7" w:rsidRDefault="00DB73F7" w:rsidP="00DB73F7">
            <w:pPr>
              <w:pStyle w:val="Sansinterligne"/>
            </w:pPr>
            <w:r>
              <w:t>Cœur fœtal (7-8 sem)</w:t>
            </w:r>
          </w:p>
        </w:tc>
      </w:tr>
    </w:tbl>
    <w:p w:rsidR="00DB73F7" w:rsidRDefault="00DB73F7" w:rsidP="004D5CFC">
      <w:pPr>
        <w:pStyle w:val="Sansinterligne"/>
      </w:pPr>
    </w:p>
    <w:p w:rsidR="00DB73F7" w:rsidRDefault="00DB73F7" w:rsidP="004D5CFC">
      <w:pPr>
        <w:pStyle w:val="Sansinterligne"/>
      </w:pPr>
      <w:r>
        <w:t>En attendant une échographie, on peut estimer l’âge gestationnel avec la date des dernières menstruations (DDM)</w:t>
      </w:r>
    </w:p>
    <w:p w:rsidR="00DB73F7" w:rsidRDefault="00DB73F7" w:rsidP="004D5CFC">
      <w:pPr>
        <w:pStyle w:val="Sansinterligne"/>
      </w:pPr>
      <w:r w:rsidRPr="005E6A00">
        <w:rPr>
          <w:highlight w:val="yellow"/>
        </w:rPr>
        <w:t>1</w:t>
      </w:r>
      <w:r w:rsidRPr="005E6A00">
        <w:rPr>
          <w:highlight w:val="yellow"/>
          <w:vertAlign w:val="superscript"/>
        </w:rPr>
        <w:t>ère</w:t>
      </w:r>
      <w:r w:rsidRPr="005E6A00">
        <w:rPr>
          <w:highlight w:val="yellow"/>
        </w:rPr>
        <w:t xml:space="preserve"> jour des DDM + 7 jours – 3 mois</w:t>
      </w:r>
    </w:p>
    <w:p w:rsidR="00DB73F7" w:rsidRDefault="00DB73F7" w:rsidP="004D5CFC">
      <w:pPr>
        <w:pStyle w:val="Sansinterligne"/>
      </w:pPr>
    </w:p>
    <w:p w:rsidR="00E55BC9" w:rsidRDefault="00E55BC9" w:rsidP="004D5CFC">
      <w:pPr>
        <w:pStyle w:val="Sansinterligne"/>
      </w:pPr>
      <w:r>
        <w:t>Peser la patiente, obtenir une TA de base et faire un examen pelvien à la recherche d’anomalies (lésions, etc.)</w:t>
      </w:r>
    </w:p>
    <w:p w:rsidR="00DB73F7" w:rsidRDefault="00DB73F7" w:rsidP="004D5CFC">
      <w:pPr>
        <w:pStyle w:val="Sansinterligne"/>
      </w:pPr>
    </w:p>
    <w:p w:rsidR="00AB78D0" w:rsidRDefault="004D5CFC" w:rsidP="0078039E">
      <w:pPr>
        <w:pStyle w:val="Sansinterligne"/>
        <w:numPr>
          <w:ilvl w:val="0"/>
          <w:numId w:val="508"/>
        </w:numPr>
      </w:pPr>
      <w:r>
        <w:t xml:space="preserve">Histoire obstétricale </w:t>
      </w:r>
      <w:r w:rsidR="00AB78D0">
        <w:t>et gynécologique complète</w:t>
      </w:r>
    </w:p>
    <w:p w:rsidR="00AB78D0" w:rsidRDefault="00C062F7" w:rsidP="0078039E">
      <w:pPr>
        <w:pStyle w:val="Sansinterligne"/>
        <w:numPr>
          <w:ilvl w:val="0"/>
          <w:numId w:val="508"/>
        </w:numPr>
      </w:pPr>
      <w:r>
        <w:rPr>
          <w:noProof/>
          <w:lang w:eastAsia="fr-CA"/>
        </w:rPr>
        <w:drawing>
          <wp:anchor distT="0" distB="0" distL="114300" distR="114300" simplePos="0" relativeHeight="251793408" behindDoc="0" locked="0" layoutInCell="1" allowOverlap="1" wp14:anchorId="5B227972" wp14:editId="5499FA6E">
            <wp:simplePos x="0" y="0"/>
            <wp:positionH relativeFrom="column">
              <wp:posOffset>4542642</wp:posOffset>
            </wp:positionH>
            <wp:positionV relativeFrom="paragraph">
              <wp:posOffset>6985</wp:posOffset>
            </wp:positionV>
            <wp:extent cx="2372995" cy="1779905"/>
            <wp:effectExtent l="0" t="0" r="8255" b="0"/>
            <wp:wrapNone/>
            <wp:docPr id="309" name="Image 309" descr="Résultats de recherche d'images pour « grossess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ésultats de recherche d'images pour « grossesse »"/>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2372995" cy="1779905"/>
                    </a:xfrm>
                    <a:prstGeom prst="rect">
                      <a:avLst/>
                    </a:prstGeom>
                    <a:noFill/>
                    <a:ln>
                      <a:noFill/>
                    </a:ln>
                  </pic:spPr>
                </pic:pic>
              </a:graphicData>
            </a:graphic>
            <wp14:sizeRelH relativeFrom="page">
              <wp14:pctWidth>0</wp14:pctWidth>
            </wp14:sizeRelH>
            <wp14:sizeRelV relativeFrom="page">
              <wp14:pctHeight>0</wp14:pctHeight>
            </wp14:sizeRelV>
          </wp:anchor>
        </w:drawing>
      </w:r>
      <w:r w:rsidR="00AB78D0">
        <w:t>Vérifier la liste des médicaments pris par la patiente, prescrits ou non</w:t>
      </w:r>
    </w:p>
    <w:p w:rsidR="00AB78D0" w:rsidRDefault="00AB78D0" w:rsidP="0078039E">
      <w:pPr>
        <w:pStyle w:val="Sansinterligne"/>
        <w:numPr>
          <w:ilvl w:val="0"/>
          <w:numId w:val="508"/>
        </w:numPr>
      </w:pPr>
      <w:r>
        <w:t>Évaluer les habitus</w:t>
      </w:r>
      <w:r w:rsidR="00832B7A">
        <w:t xml:space="preserve"> incluant la prise de drogues</w:t>
      </w:r>
      <w:r w:rsidR="00C062F7" w:rsidRPr="00C062F7">
        <w:t xml:space="preserve"> </w:t>
      </w:r>
    </w:p>
    <w:p w:rsidR="00AB78D0" w:rsidRDefault="00832B7A" w:rsidP="004D5CFC">
      <w:pPr>
        <w:pStyle w:val="Sansinterligne"/>
        <w:numPr>
          <w:ilvl w:val="1"/>
          <w:numId w:val="508"/>
        </w:numPr>
      </w:pPr>
      <w:r>
        <w:t>Dépistage de la toxicomanie</w:t>
      </w:r>
    </w:p>
    <w:p w:rsidR="00A0736E" w:rsidRPr="00832B7A" w:rsidRDefault="00832B7A" w:rsidP="0078039E">
      <w:pPr>
        <w:pStyle w:val="Sansinterligne"/>
        <w:numPr>
          <w:ilvl w:val="0"/>
          <w:numId w:val="509"/>
        </w:numPr>
        <w:rPr>
          <w:highlight w:val="yellow"/>
        </w:rPr>
      </w:pPr>
      <w:r w:rsidRPr="00832B7A">
        <w:rPr>
          <w:highlight w:val="yellow"/>
        </w:rPr>
        <w:t>Vérifier si la grossesse était planifiée.</w:t>
      </w:r>
    </w:p>
    <w:p w:rsidR="00832B7A" w:rsidRPr="00832B7A" w:rsidRDefault="00832B7A" w:rsidP="0078039E">
      <w:pPr>
        <w:pStyle w:val="Sansinterligne"/>
        <w:numPr>
          <w:ilvl w:val="0"/>
          <w:numId w:val="509"/>
        </w:numPr>
        <w:rPr>
          <w:highlight w:val="yellow"/>
        </w:rPr>
      </w:pPr>
      <w:r w:rsidRPr="00832B7A">
        <w:rPr>
          <w:highlight w:val="yellow"/>
        </w:rPr>
        <w:t>Demander si elle est souhaitée ou non.</w:t>
      </w:r>
    </w:p>
    <w:p w:rsidR="00832B7A" w:rsidRDefault="00832B7A" w:rsidP="0078039E">
      <w:pPr>
        <w:pStyle w:val="Sansinterligne"/>
        <w:numPr>
          <w:ilvl w:val="0"/>
          <w:numId w:val="509"/>
        </w:numPr>
      </w:pPr>
      <w:r>
        <w:t>Offrir la possibilité de l’avortement thérapeutique si non-désirée.</w:t>
      </w:r>
    </w:p>
    <w:p w:rsidR="00832B7A" w:rsidRDefault="00832B7A" w:rsidP="0078039E">
      <w:pPr>
        <w:pStyle w:val="Sansinterligne"/>
        <w:numPr>
          <w:ilvl w:val="0"/>
          <w:numId w:val="509"/>
        </w:numPr>
      </w:pPr>
      <w:r>
        <w:t>Offrir son soutien moral et un accompagnement peu importe la décision.</w:t>
      </w:r>
    </w:p>
    <w:p w:rsidR="003C7652" w:rsidRDefault="003C7652" w:rsidP="004D5CFC">
      <w:pPr>
        <w:pStyle w:val="Sansinterligne"/>
      </w:pPr>
    </w:p>
    <w:p w:rsidR="008473EF" w:rsidRPr="004C42A6" w:rsidRDefault="004C42A6" w:rsidP="004D5CFC">
      <w:pPr>
        <w:pStyle w:val="Sansinterligne"/>
        <w:rPr>
          <w:b/>
        </w:rPr>
      </w:pPr>
      <w:r>
        <w:rPr>
          <w:b/>
        </w:rPr>
        <w:t>R</w:t>
      </w:r>
      <w:r w:rsidR="00AD0913" w:rsidRPr="004C42A6">
        <w:rPr>
          <w:b/>
        </w:rPr>
        <w:t xml:space="preserve">outine 1 </w:t>
      </w:r>
      <w:r>
        <w:rPr>
          <w:b/>
        </w:rPr>
        <w:t xml:space="preserve">(examens) </w:t>
      </w:r>
      <w:r w:rsidR="00AD0913" w:rsidRPr="004C42A6">
        <w:rPr>
          <w:b/>
        </w:rPr>
        <w:t>(</w:t>
      </w:r>
      <w:r w:rsidR="00AD0913" w:rsidRPr="004C42A6">
        <w:rPr>
          <w:rFonts w:ascii="Century Gothic" w:hAnsi="Century Gothic"/>
          <w:b/>
        </w:rPr>
        <w:t>&lt;</w:t>
      </w:r>
      <w:r w:rsidR="00AD0913" w:rsidRPr="004C42A6">
        <w:rPr>
          <w:b/>
        </w:rPr>
        <w:t>12 semaines)</w:t>
      </w:r>
    </w:p>
    <w:p w:rsidR="00AD0913" w:rsidRDefault="00B15217" w:rsidP="004C42A6">
      <w:pPr>
        <w:pStyle w:val="Sansinterligne"/>
        <w:numPr>
          <w:ilvl w:val="0"/>
          <w:numId w:val="513"/>
        </w:numPr>
      </w:pPr>
      <w:r>
        <w:t>FSC, Groupe sanguin, statut Rh (test de Coombs indirect)</w:t>
      </w:r>
    </w:p>
    <w:p w:rsidR="00B15217" w:rsidRDefault="00B15217" w:rsidP="004C42A6">
      <w:pPr>
        <w:pStyle w:val="Sansinterligne"/>
        <w:numPr>
          <w:ilvl w:val="0"/>
          <w:numId w:val="513"/>
        </w:numPr>
      </w:pPr>
      <w:r>
        <w:t>Glycémie au hasard</w:t>
      </w:r>
    </w:p>
    <w:p w:rsidR="00AD0913" w:rsidRDefault="00AD0913" w:rsidP="004C42A6">
      <w:pPr>
        <w:pStyle w:val="Sansinterligne"/>
        <w:numPr>
          <w:ilvl w:val="0"/>
          <w:numId w:val="513"/>
        </w:numPr>
      </w:pPr>
      <w:r>
        <w:t>SMU-DCA</w:t>
      </w:r>
    </w:p>
    <w:p w:rsidR="00AD0913" w:rsidRDefault="00AD0913" w:rsidP="004C42A6">
      <w:pPr>
        <w:pStyle w:val="Sansinterligne"/>
        <w:numPr>
          <w:ilvl w:val="0"/>
          <w:numId w:val="513"/>
        </w:numPr>
      </w:pPr>
      <w:r>
        <w:t xml:space="preserve">Culture cervicale (gonorrhée/chlamydia) </w:t>
      </w:r>
      <w:r>
        <w:rPr>
          <w:rFonts w:cs="Times New Roman"/>
        </w:rPr>
        <w:t>±</w:t>
      </w:r>
      <w:r>
        <w:t xml:space="preserve"> Pap test si indiqué</w:t>
      </w:r>
    </w:p>
    <w:p w:rsidR="00AD0913" w:rsidRDefault="00AD0913" w:rsidP="004C42A6">
      <w:pPr>
        <w:pStyle w:val="Sansinterligne"/>
        <w:numPr>
          <w:ilvl w:val="0"/>
          <w:numId w:val="513"/>
        </w:numPr>
      </w:pPr>
      <w:r>
        <w:t>Cuture vaginale (vaginose bactérienne)</w:t>
      </w:r>
    </w:p>
    <w:p w:rsidR="008473EF" w:rsidRDefault="00AD0913" w:rsidP="004C42A6">
      <w:pPr>
        <w:pStyle w:val="Sansinterligne"/>
        <w:numPr>
          <w:ilvl w:val="0"/>
          <w:numId w:val="513"/>
        </w:numPr>
      </w:pPr>
      <w:r>
        <w:t xml:space="preserve">Ac Rubéole, HBsAg, VDRL, Ac VIH, </w:t>
      </w:r>
      <w:r>
        <w:rPr>
          <w:rFonts w:cs="Times New Roman"/>
        </w:rPr>
        <w:t>±</w:t>
      </w:r>
      <w:r>
        <w:t xml:space="preserve"> Ac Parvovirus B19 (si exposition aux enfants</w:t>
      </w:r>
      <w:r w:rsidR="00340266">
        <w:t>, ex : CPE</w:t>
      </w:r>
      <w:r>
        <w:t>)</w:t>
      </w:r>
    </w:p>
    <w:p w:rsidR="00AD0913" w:rsidRDefault="00AD0913" w:rsidP="004D5CFC">
      <w:pPr>
        <w:pStyle w:val="Sansinterligne"/>
      </w:pPr>
    </w:p>
    <w:p w:rsidR="00B631AD" w:rsidRPr="00832B7A" w:rsidRDefault="00B631AD" w:rsidP="00B631AD">
      <w:pPr>
        <w:pStyle w:val="Sansinterligne"/>
        <w:rPr>
          <w:b/>
        </w:rPr>
      </w:pPr>
      <w:r w:rsidRPr="00832B7A">
        <w:rPr>
          <w:b/>
        </w:rPr>
        <w:t>Avortement thérapeutique</w:t>
      </w:r>
    </w:p>
    <w:p w:rsidR="00832B7A" w:rsidRDefault="00832B7A" w:rsidP="0078039E">
      <w:pPr>
        <w:pStyle w:val="Sansinterligne"/>
        <w:numPr>
          <w:ilvl w:val="0"/>
          <w:numId w:val="510"/>
        </w:numPr>
      </w:pPr>
      <w:r>
        <w:t>Indiqué si incapacité de mener la grossesse à terme</w:t>
      </w:r>
    </w:p>
    <w:p w:rsidR="00832B7A" w:rsidRDefault="00832B7A" w:rsidP="0078039E">
      <w:pPr>
        <w:pStyle w:val="Sansinterligne"/>
        <w:numPr>
          <w:ilvl w:val="1"/>
          <w:numId w:val="510"/>
        </w:numPr>
      </w:pPr>
      <w:r>
        <w:t>Raisons médicales</w:t>
      </w:r>
    </w:p>
    <w:p w:rsidR="00832B7A" w:rsidRDefault="00832B7A" w:rsidP="0078039E">
      <w:pPr>
        <w:pStyle w:val="Sansinterligne"/>
        <w:numPr>
          <w:ilvl w:val="1"/>
          <w:numId w:val="510"/>
        </w:numPr>
      </w:pPr>
      <w:r>
        <w:t>Raisons sociales / préférence de la patiente</w:t>
      </w:r>
    </w:p>
    <w:p w:rsidR="00832B7A" w:rsidRDefault="00832B7A" w:rsidP="0078039E">
      <w:pPr>
        <w:pStyle w:val="Sansinterligne"/>
        <w:numPr>
          <w:ilvl w:val="0"/>
          <w:numId w:val="510"/>
        </w:numPr>
      </w:pPr>
      <w:r>
        <w:t xml:space="preserve">Pas de limite d’âge gestationnel légal au Canada, mais généralement </w:t>
      </w:r>
      <w:r>
        <w:rPr>
          <w:rFonts w:ascii="Century Gothic" w:hAnsi="Century Gothic"/>
        </w:rPr>
        <w:t>&lt;</w:t>
      </w:r>
      <w:r>
        <w:t xml:space="preserve"> 20 semaines</w:t>
      </w:r>
    </w:p>
    <w:p w:rsidR="00C12156" w:rsidRPr="009C451C" w:rsidRDefault="00C12156" w:rsidP="0078039E">
      <w:pPr>
        <w:pStyle w:val="Sansinterligne"/>
        <w:numPr>
          <w:ilvl w:val="0"/>
          <w:numId w:val="510"/>
        </w:numPr>
        <w:rPr>
          <w:highlight w:val="yellow"/>
        </w:rPr>
      </w:pPr>
      <w:r w:rsidRPr="009C451C">
        <w:rPr>
          <w:highlight w:val="yellow"/>
          <w:u w:val="single"/>
        </w:rPr>
        <w:t>Médical</w:t>
      </w:r>
      <w:r w:rsidRPr="009C451C">
        <w:rPr>
          <w:highlight w:val="yellow"/>
        </w:rPr>
        <w:t xml:space="preserve"> (méthotrexate + misoprostol) ou </w:t>
      </w:r>
      <w:r w:rsidRPr="009C451C">
        <w:rPr>
          <w:highlight w:val="yellow"/>
          <w:u w:val="single"/>
        </w:rPr>
        <w:t>chirurgical</w:t>
      </w:r>
      <w:r w:rsidRPr="009C451C">
        <w:rPr>
          <w:highlight w:val="yellow"/>
        </w:rPr>
        <w:t xml:space="preserve"> (dilatation et curetage/ dilatation + induction du travail)</w:t>
      </w:r>
    </w:p>
    <w:p w:rsidR="00832B7A" w:rsidRDefault="00832B7A" w:rsidP="00832B7A">
      <w:pPr>
        <w:pStyle w:val="Sansinterligne"/>
        <w:ind w:left="720"/>
      </w:pPr>
    </w:p>
    <w:p w:rsidR="000F16A6" w:rsidRDefault="000F16A6" w:rsidP="00832B7A">
      <w:pPr>
        <w:pStyle w:val="Sansinterligne"/>
        <w:ind w:left="720"/>
      </w:pPr>
    </w:p>
    <w:p w:rsidR="000F16A6" w:rsidRDefault="000F16A6" w:rsidP="00832B7A">
      <w:pPr>
        <w:pStyle w:val="Sansinterligne"/>
        <w:ind w:left="720"/>
      </w:pPr>
    </w:p>
    <w:p w:rsidR="008473EF" w:rsidRDefault="008473EF" w:rsidP="00832B7A">
      <w:pPr>
        <w:pStyle w:val="Sansinterligne"/>
        <w:ind w:left="720"/>
      </w:pPr>
    </w:p>
    <w:p w:rsidR="00832B7A" w:rsidRDefault="00832B7A" w:rsidP="00832B7A">
      <w:pPr>
        <w:pStyle w:val="Sansinterligne"/>
      </w:pPr>
    </w:p>
    <w:tbl>
      <w:tblPr>
        <w:tblStyle w:val="Grilledutableau"/>
        <w:tblW w:w="0" w:type="auto"/>
        <w:tblLook w:val="04A0" w:firstRow="1" w:lastRow="0" w:firstColumn="1" w:lastColumn="0" w:noHBand="0" w:noVBand="1"/>
      </w:tblPr>
      <w:tblGrid>
        <w:gridCol w:w="5470"/>
        <w:gridCol w:w="5470"/>
      </w:tblGrid>
      <w:tr w:rsidR="009D6A88" w:rsidRPr="009D6A88" w:rsidTr="009D6A88">
        <w:trPr>
          <w:trHeight w:val="230"/>
        </w:trPr>
        <w:tc>
          <w:tcPr>
            <w:tcW w:w="10940" w:type="dxa"/>
            <w:gridSpan w:val="2"/>
            <w:shd w:val="clear" w:color="auto" w:fill="C0504D" w:themeFill="accent2"/>
          </w:tcPr>
          <w:p w:rsidR="009D6A88" w:rsidRPr="009D6A88" w:rsidRDefault="009D6A88" w:rsidP="00C77ED7">
            <w:pPr>
              <w:pStyle w:val="Sansinterligne"/>
              <w:jc w:val="center"/>
            </w:pPr>
            <w:r w:rsidRPr="00F14E96">
              <w:rPr>
                <w:b/>
              </w:rPr>
              <w:t xml:space="preserve">Indications de référence pour suivi </w:t>
            </w:r>
            <w:r>
              <w:rPr>
                <w:b/>
              </w:rPr>
              <w:t>en gynécologie-obstétri</w:t>
            </w:r>
            <w:r w:rsidR="00C77ED7">
              <w:rPr>
                <w:b/>
              </w:rPr>
              <w:t>que</w:t>
            </w:r>
          </w:p>
        </w:tc>
      </w:tr>
      <w:tr w:rsidR="009D6A88" w:rsidRPr="009D6A88" w:rsidTr="009D6A88">
        <w:trPr>
          <w:trHeight w:val="1621"/>
        </w:trPr>
        <w:tc>
          <w:tcPr>
            <w:tcW w:w="5470" w:type="dxa"/>
            <w:tcBorders>
              <w:right w:val="single" w:sz="4" w:space="0" w:color="FFFFFF" w:themeColor="background1"/>
            </w:tcBorders>
          </w:tcPr>
          <w:p w:rsidR="009D6A88" w:rsidRPr="009D6A88" w:rsidRDefault="009D6A88" w:rsidP="009D6A88">
            <w:pPr>
              <w:pStyle w:val="Sansinterligne"/>
              <w:numPr>
                <w:ilvl w:val="0"/>
                <w:numId w:val="511"/>
              </w:numPr>
              <w:rPr>
                <w:highlight w:val="yellow"/>
              </w:rPr>
            </w:pPr>
            <w:r w:rsidRPr="009D6A88">
              <w:rPr>
                <w:highlight w:val="yellow"/>
              </w:rPr>
              <w:t>Tentative d’AVAC (acc. vaginal après césarienne)</w:t>
            </w:r>
          </w:p>
          <w:p w:rsidR="009D6A88" w:rsidRPr="009D6A88" w:rsidRDefault="009D6A88" w:rsidP="009D6A88">
            <w:pPr>
              <w:pStyle w:val="Sansinterligne"/>
              <w:numPr>
                <w:ilvl w:val="0"/>
                <w:numId w:val="511"/>
              </w:numPr>
              <w:rPr>
                <w:highlight w:val="yellow"/>
              </w:rPr>
            </w:pPr>
            <w:r w:rsidRPr="009D6A88">
              <w:rPr>
                <w:highlight w:val="yellow"/>
              </w:rPr>
              <w:t>ATCD de prééclampsie/éclampsie</w:t>
            </w:r>
          </w:p>
          <w:p w:rsidR="009D6A88" w:rsidRPr="009D6A88" w:rsidRDefault="009D6A88" w:rsidP="009D6A88">
            <w:pPr>
              <w:pStyle w:val="Sansinterligne"/>
              <w:numPr>
                <w:ilvl w:val="0"/>
                <w:numId w:val="511"/>
              </w:numPr>
              <w:rPr>
                <w:highlight w:val="yellow"/>
              </w:rPr>
            </w:pPr>
            <w:r w:rsidRPr="009D6A88">
              <w:rPr>
                <w:highlight w:val="yellow"/>
              </w:rPr>
              <w:t>Grossesse multiple</w:t>
            </w:r>
          </w:p>
          <w:p w:rsidR="009D6A88" w:rsidRPr="009D6A88" w:rsidRDefault="009D6A88" w:rsidP="009D6A88">
            <w:pPr>
              <w:pStyle w:val="Sansinterligne"/>
              <w:numPr>
                <w:ilvl w:val="0"/>
                <w:numId w:val="511"/>
              </w:numPr>
              <w:rPr>
                <w:highlight w:val="yellow"/>
              </w:rPr>
            </w:pPr>
            <w:r w:rsidRPr="009D6A88">
              <w:rPr>
                <w:highlight w:val="yellow"/>
              </w:rPr>
              <w:t>Mauvaise présentation</w:t>
            </w:r>
          </w:p>
          <w:p w:rsidR="009D6A88" w:rsidRPr="009D6A88" w:rsidRDefault="009D6A88" w:rsidP="009D6A88">
            <w:pPr>
              <w:pStyle w:val="Sansinterligne"/>
              <w:numPr>
                <w:ilvl w:val="0"/>
                <w:numId w:val="511"/>
              </w:numPr>
            </w:pPr>
            <w:r w:rsidRPr="009D6A88">
              <w:rPr>
                <w:highlight w:val="yellow"/>
              </w:rPr>
              <w:t>Saignements de grossesse non-physiologique</w:t>
            </w:r>
          </w:p>
        </w:tc>
        <w:tc>
          <w:tcPr>
            <w:tcW w:w="5470" w:type="dxa"/>
            <w:tcBorders>
              <w:left w:val="single" w:sz="4" w:space="0" w:color="FFFFFF" w:themeColor="background1"/>
            </w:tcBorders>
          </w:tcPr>
          <w:p w:rsidR="009D6A88" w:rsidRPr="009D6A88" w:rsidRDefault="009D6A88" w:rsidP="009D6A88">
            <w:pPr>
              <w:pStyle w:val="Sansinterligne"/>
              <w:numPr>
                <w:ilvl w:val="0"/>
                <w:numId w:val="511"/>
              </w:numPr>
            </w:pPr>
            <w:r w:rsidRPr="009D6A88">
              <w:t xml:space="preserve">Rupture prématurée préterme des membranes ou travail prématuré </w:t>
            </w:r>
          </w:p>
          <w:p w:rsidR="009D6A88" w:rsidRPr="009D6A88" w:rsidRDefault="009D6A88" w:rsidP="009D6A88">
            <w:pPr>
              <w:pStyle w:val="Sansinterligne"/>
              <w:numPr>
                <w:ilvl w:val="0"/>
                <w:numId w:val="511"/>
              </w:numPr>
            </w:pPr>
            <w:r w:rsidRPr="009D6A88">
              <w:t>Dystocie du travail / des épaules</w:t>
            </w:r>
          </w:p>
          <w:p w:rsidR="009D6A88" w:rsidRPr="009D6A88" w:rsidRDefault="009D6A88" w:rsidP="009D6A88">
            <w:pPr>
              <w:pStyle w:val="Sansinterligne"/>
              <w:numPr>
                <w:ilvl w:val="0"/>
                <w:numId w:val="511"/>
              </w:numPr>
            </w:pPr>
            <w:r w:rsidRPr="009D6A88">
              <w:t xml:space="preserve">Induction / </w:t>
            </w:r>
            <w:r>
              <w:rPr>
                <w:rFonts w:ascii="Century Gothic" w:hAnsi="Century Gothic"/>
              </w:rPr>
              <w:t>↑</w:t>
            </w:r>
            <w:r w:rsidRPr="009D6A88">
              <w:t xml:space="preserve"> iat</w:t>
            </w:r>
            <w:r>
              <w:t>r</w:t>
            </w:r>
            <w:r w:rsidRPr="009D6A88">
              <w:t xml:space="preserve">ogénique du travail </w:t>
            </w:r>
            <w:r>
              <w:t xml:space="preserve">- </w:t>
            </w:r>
            <w:r w:rsidRPr="009D6A88">
              <w:t>si à risque</w:t>
            </w:r>
          </w:p>
          <w:p w:rsidR="009D6A88" w:rsidRPr="009D6A88" w:rsidRDefault="009D6A88" w:rsidP="009D6A88">
            <w:pPr>
              <w:pStyle w:val="Sansinterligne"/>
              <w:numPr>
                <w:ilvl w:val="0"/>
                <w:numId w:val="511"/>
              </w:numPr>
            </w:pPr>
            <w:r w:rsidRPr="009D6A88">
              <w:t>Déchirure périnéale de 3</w:t>
            </w:r>
            <w:r w:rsidRPr="009D6A88">
              <w:rPr>
                <w:vertAlign w:val="superscript"/>
              </w:rPr>
              <w:t>e</w:t>
            </w:r>
            <w:r w:rsidRPr="009D6A88">
              <w:t xml:space="preserve"> et 4</w:t>
            </w:r>
            <w:r w:rsidRPr="009D6A88">
              <w:rPr>
                <w:vertAlign w:val="superscript"/>
              </w:rPr>
              <w:t>e</w:t>
            </w:r>
            <w:r w:rsidRPr="009D6A88">
              <w:t xml:space="preserve"> degré</w:t>
            </w:r>
          </w:p>
          <w:p w:rsidR="009D6A88" w:rsidRPr="009D6A88" w:rsidRDefault="009D6A88" w:rsidP="009D6A88">
            <w:pPr>
              <w:pStyle w:val="Sansinterligne"/>
              <w:numPr>
                <w:ilvl w:val="0"/>
                <w:numId w:val="511"/>
              </w:numPr>
            </w:pPr>
            <w:r w:rsidRPr="009D6A88">
              <w:t>Rétention placentaire</w:t>
            </w:r>
          </w:p>
        </w:tc>
      </w:tr>
    </w:tbl>
    <w:p w:rsidR="0083769C" w:rsidRDefault="0083769C" w:rsidP="004D5CFC">
      <w:pPr>
        <w:pStyle w:val="Sansinterligne"/>
        <w:rPr>
          <w:b/>
          <w:sz w:val="28"/>
          <w:szCs w:val="28"/>
        </w:rPr>
      </w:pPr>
    </w:p>
    <w:p w:rsidR="003C7652" w:rsidRDefault="003C7652" w:rsidP="004D5CFC">
      <w:pPr>
        <w:pStyle w:val="Sansinterligne"/>
        <w:rPr>
          <w:b/>
          <w:sz w:val="28"/>
          <w:szCs w:val="28"/>
        </w:rPr>
      </w:pPr>
      <w:r w:rsidRPr="00817177">
        <w:rPr>
          <w:b/>
          <w:sz w:val="28"/>
          <w:szCs w:val="28"/>
        </w:rPr>
        <w:t>Conseils</w:t>
      </w:r>
    </w:p>
    <w:p w:rsidR="000F16A6" w:rsidRPr="00817177" w:rsidRDefault="000F16A6" w:rsidP="004D5CFC">
      <w:pPr>
        <w:pStyle w:val="Sansinterligne"/>
        <w:rPr>
          <w:b/>
          <w:sz w:val="28"/>
          <w:szCs w:val="28"/>
        </w:rPr>
      </w:pPr>
    </w:p>
    <w:p w:rsidR="003C7652" w:rsidRDefault="003C7652" w:rsidP="001070BF">
      <w:pPr>
        <w:pStyle w:val="Sansinterligne"/>
        <w:numPr>
          <w:ilvl w:val="0"/>
          <w:numId w:val="512"/>
        </w:numPr>
      </w:pPr>
      <w:r>
        <w:t xml:space="preserve">Évaluer et recommander les éléments de la section Conseils préconceptionnels si </w:t>
      </w:r>
      <w:r>
        <w:rPr>
          <w:rFonts w:cs="Times New Roman"/>
        </w:rPr>
        <w:t>Ø</w:t>
      </w:r>
      <w:r>
        <w:t xml:space="preserve"> déjà fait</w:t>
      </w:r>
    </w:p>
    <w:p w:rsidR="00FD0AAD" w:rsidRDefault="00FD0AAD" w:rsidP="00FD0AAD">
      <w:pPr>
        <w:pStyle w:val="Sansinterligne"/>
        <w:ind w:left="360"/>
      </w:pPr>
    </w:p>
    <w:p w:rsidR="000C7920" w:rsidRPr="001070BF" w:rsidRDefault="000C7920" w:rsidP="001070BF">
      <w:pPr>
        <w:pStyle w:val="Sansinterligne"/>
        <w:numPr>
          <w:ilvl w:val="0"/>
          <w:numId w:val="512"/>
        </w:numPr>
        <w:rPr>
          <w:u w:val="single"/>
        </w:rPr>
      </w:pPr>
      <w:r w:rsidRPr="001070BF">
        <w:rPr>
          <w:u w:val="single"/>
        </w:rPr>
        <w:t>Vérifier si l’allaitement est souhaité</w:t>
      </w:r>
    </w:p>
    <w:p w:rsidR="000C7920" w:rsidRDefault="000C7920" w:rsidP="001070BF">
      <w:pPr>
        <w:pStyle w:val="Sansinterligne"/>
        <w:numPr>
          <w:ilvl w:val="1"/>
          <w:numId w:val="512"/>
        </w:numPr>
      </w:pPr>
      <w:r>
        <w:t xml:space="preserve">En expliquer les bénéfices pour la mère et l’enfant (relationnels, immunitaires, développementaux) </w:t>
      </w:r>
    </w:p>
    <w:p w:rsidR="00016609" w:rsidRPr="00CD76D1" w:rsidRDefault="00016609" w:rsidP="001070BF">
      <w:pPr>
        <w:pStyle w:val="Sansinterligne"/>
        <w:numPr>
          <w:ilvl w:val="0"/>
          <w:numId w:val="512"/>
        </w:numPr>
        <w:rPr>
          <w:highlight w:val="yellow"/>
          <w:u w:val="single"/>
        </w:rPr>
      </w:pPr>
      <w:r w:rsidRPr="00CD76D1">
        <w:rPr>
          <w:highlight w:val="yellow"/>
          <w:u w:val="single"/>
        </w:rPr>
        <w:t>Nutrition</w:t>
      </w:r>
    </w:p>
    <w:p w:rsidR="006C7FB6" w:rsidRDefault="006C7FB6" w:rsidP="001070BF">
      <w:pPr>
        <w:pStyle w:val="Sansinterligne"/>
        <w:numPr>
          <w:ilvl w:val="1"/>
          <w:numId w:val="512"/>
        </w:numPr>
        <w:rPr>
          <w:highlight w:val="yellow"/>
        </w:rPr>
      </w:pPr>
      <w:r>
        <w:rPr>
          <w:highlight w:val="yellow"/>
        </w:rPr>
        <w:t>Augmenter l’apport en vitamine D, calcium (produits laitiers) et fer – Guide alimentaire canadien</w:t>
      </w:r>
    </w:p>
    <w:p w:rsidR="00016609" w:rsidRPr="00CD76D1" w:rsidRDefault="00016609" w:rsidP="001070BF">
      <w:pPr>
        <w:pStyle w:val="Sansinterligne"/>
        <w:numPr>
          <w:ilvl w:val="1"/>
          <w:numId w:val="512"/>
        </w:numPr>
        <w:rPr>
          <w:highlight w:val="yellow"/>
        </w:rPr>
      </w:pPr>
      <w:r w:rsidRPr="00CD76D1">
        <w:rPr>
          <w:highlight w:val="yellow"/>
        </w:rPr>
        <w:t>Éviter la viande/poisson/poulet cru</w:t>
      </w:r>
      <w:r w:rsidR="00D457F8">
        <w:rPr>
          <w:highlight w:val="yellow"/>
        </w:rPr>
        <w:t>s</w:t>
      </w:r>
      <w:r w:rsidRPr="00CD76D1">
        <w:rPr>
          <w:highlight w:val="yellow"/>
        </w:rPr>
        <w:t>, les œufs crus, les produits laitiers non pasteurisés, le saumon fumé et les  pâtes fraîches (</w:t>
      </w:r>
      <w:r w:rsidRPr="00CD76D1">
        <w:rPr>
          <w:i/>
          <w:highlight w:val="yellow"/>
        </w:rPr>
        <w:t>Listera monocytogenes</w:t>
      </w:r>
      <w:r w:rsidRPr="00CD76D1">
        <w:rPr>
          <w:highlight w:val="yellow"/>
        </w:rPr>
        <w:t>)</w:t>
      </w:r>
    </w:p>
    <w:p w:rsidR="00016609" w:rsidRDefault="00016609" w:rsidP="001070BF">
      <w:pPr>
        <w:pStyle w:val="Sansinterligne"/>
        <w:numPr>
          <w:ilvl w:val="1"/>
          <w:numId w:val="512"/>
        </w:numPr>
        <w:rPr>
          <w:highlight w:val="yellow"/>
        </w:rPr>
      </w:pPr>
      <w:r w:rsidRPr="00CD76D1">
        <w:rPr>
          <w:highlight w:val="yellow"/>
        </w:rPr>
        <w:t>Éviter la consommation de poissons prédateurs – thon, espadon, requin (</w:t>
      </w:r>
      <w:r w:rsidRPr="00CD76D1">
        <w:rPr>
          <w:i/>
          <w:highlight w:val="yellow"/>
        </w:rPr>
        <w:t>mercure</w:t>
      </w:r>
      <w:r w:rsidRPr="00CD76D1">
        <w:rPr>
          <w:highlight w:val="yellow"/>
        </w:rPr>
        <w:t>)</w:t>
      </w:r>
    </w:p>
    <w:p w:rsidR="00FD0AAD" w:rsidRPr="00CD76D1" w:rsidRDefault="00FD0AAD" w:rsidP="00FD0AAD">
      <w:pPr>
        <w:pStyle w:val="Sansinterligne"/>
        <w:ind w:left="1080"/>
        <w:rPr>
          <w:highlight w:val="yellow"/>
        </w:rPr>
      </w:pPr>
    </w:p>
    <w:p w:rsidR="000C7920" w:rsidRPr="00FD0AAD" w:rsidRDefault="00FD0AAD" w:rsidP="001070BF">
      <w:pPr>
        <w:pStyle w:val="Sansinterligne"/>
        <w:numPr>
          <w:ilvl w:val="0"/>
          <w:numId w:val="512"/>
        </w:numPr>
      </w:pPr>
      <w:r>
        <w:rPr>
          <w:noProof/>
          <w:lang w:eastAsia="fr-CA"/>
        </w:rPr>
        <w:drawing>
          <wp:anchor distT="0" distB="0" distL="114300" distR="114300" simplePos="0" relativeHeight="251797504" behindDoc="0" locked="0" layoutInCell="1" allowOverlap="1" wp14:anchorId="56B43984" wp14:editId="5B0F5897">
            <wp:simplePos x="0" y="0"/>
            <wp:positionH relativeFrom="column">
              <wp:posOffset>4588510</wp:posOffset>
            </wp:positionH>
            <wp:positionV relativeFrom="paragraph">
              <wp:posOffset>78105</wp:posOffset>
            </wp:positionV>
            <wp:extent cx="2059940" cy="1604645"/>
            <wp:effectExtent l="0" t="0" r="0" b="0"/>
            <wp:wrapNone/>
            <wp:docPr id="314" name="Image 314" descr="Résultats de recherche d'images pour « lai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Résultats de recherche d'images pour « lait »"/>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2059940" cy="1604645"/>
                    </a:xfrm>
                    <a:prstGeom prst="rect">
                      <a:avLst/>
                    </a:prstGeom>
                    <a:noFill/>
                    <a:ln>
                      <a:noFill/>
                    </a:ln>
                  </pic:spPr>
                </pic:pic>
              </a:graphicData>
            </a:graphic>
            <wp14:sizeRelH relativeFrom="page">
              <wp14:pctWidth>0</wp14:pctWidth>
            </wp14:sizeRelH>
            <wp14:sizeRelV relativeFrom="page">
              <wp14:pctHeight>0</wp14:pctHeight>
            </wp14:sizeRelV>
          </wp:anchor>
        </w:drawing>
      </w:r>
      <w:r w:rsidR="000C7920">
        <w:t xml:space="preserve">Aucune </w:t>
      </w:r>
      <w:r w:rsidR="000C7920" w:rsidRPr="005D5862">
        <w:rPr>
          <w:u w:val="single"/>
        </w:rPr>
        <w:t>consommation d’alcool</w:t>
      </w:r>
    </w:p>
    <w:p w:rsidR="00FD0AAD" w:rsidRDefault="00FD0AAD" w:rsidP="00FD0AAD">
      <w:pPr>
        <w:pStyle w:val="Sansinterligne"/>
        <w:ind w:left="360"/>
      </w:pPr>
    </w:p>
    <w:p w:rsidR="000C7920" w:rsidRDefault="000C7920" w:rsidP="001070BF">
      <w:pPr>
        <w:pStyle w:val="Sansinterligne"/>
        <w:numPr>
          <w:ilvl w:val="0"/>
          <w:numId w:val="512"/>
        </w:numPr>
      </w:pPr>
      <w:r>
        <w:t xml:space="preserve">Aucune </w:t>
      </w:r>
      <w:r w:rsidRPr="005D5862">
        <w:rPr>
          <w:u w:val="single"/>
        </w:rPr>
        <w:t>consommation de drogue</w:t>
      </w:r>
      <w:r>
        <w:t>, particulièrement cocaïne</w:t>
      </w:r>
      <w:r w:rsidR="00C2112E" w:rsidRPr="00C2112E">
        <w:t xml:space="preserve"> </w:t>
      </w:r>
    </w:p>
    <w:p w:rsidR="00FD0AAD" w:rsidRDefault="00FD0AAD" w:rsidP="00FD0AAD">
      <w:pPr>
        <w:pStyle w:val="Sansinterligne"/>
        <w:ind w:left="360"/>
      </w:pPr>
    </w:p>
    <w:p w:rsidR="003C7652" w:rsidRDefault="004D5CFC" w:rsidP="001070BF">
      <w:pPr>
        <w:pStyle w:val="Sansinterligne"/>
        <w:numPr>
          <w:ilvl w:val="0"/>
          <w:numId w:val="512"/>
        </w:numPr>
      </w:pPr>
      <w:r w:rsidRPr="004A0656">
        <w:rPr>
          <w:u w:val="single"/>
        </w:rPr>
        <w:t>Cours prénataux</w:t>
      </w:r>
      <w:r w:rsidR="00C66FD3">
        <w:t xml:space="preserve"> pour parents</w:t>
      </w:r>
    </w:p>
    <w:p w:rsidR="00FD0AAD" w:rsidRDefault="00FD0AAD" w:rsidP="00FD0AAD">
      <w:pPr>
        <w:pStyle w:val="Sansinterligne"/>
        <w:ind w:left="360"/>
      </w:pPr>
    </w:p>
    <w:p w:rsidR="00C2112E" w:rsidRPr="001070BF" w:rsidRDefault="00C2112E" w:rsidP="00C2112E">
      <w:pPr>
        <w:pStyle w:val="Sansinterligne"/>
        <w:numPr>
          <w:ilvl w:val="0"/>
          <w:numId w:val="512"/>
        </w:numPr>
        <w:rPr>
          <w:u w:val="single"/>
        </w:rPr>
      </w:pPr>
      <w:r w:rsidRPr="001070BF">
        <w:rPr>
          <w:u w:val="single"/>
        </w:rPr>
        <w:t xml:space="preserve">Limiter les voyages </w:t>
      </w:r>
    </w:p>
    <w:p w:rsidR="00C2112E" w:rsidRDefault="00C2112E" w:rsidP="00C2112E">
      <w:pPr>
        <w:pStyle w:val="Sansinterligne"/>
        <w:numPr>
          <w:ilvl w:val="1"/>
          <w:numId w:val="512"/>
        </w:numPr>
      </w:pPr>
      <w:r>
        <w:t>Pas d’avions après 36 semaines (risque d’accouchement)</w:t>
      </w:r>
    </w:p>
    <w:p w:rsidR="00C2112E" w:rsidRDefault="00C2112E" w:rsidP="00C2112E">
      <w:pPr>
        <w:pStyle w:val="Sansinterligne"/>
        <w:numPr>
          <w:ilvl w:val="1"/>
          <w:numId w:val="512"/>
        </w:numPr>
      </w:pPr>
      <w:r>
        <w:t>Expliquer les risques de TEV en grossesse</w:t>
      </w:r>
    </w:p>
    <w:p w:rsidR="00FD0AAD" w:rsidRDefault="00FD0AAD" w:rsidP="00FD0AAD">
      <w:pPr>
        <w:pStyle w:val="Sansinterligne"/>
        <w:ind w:left="1080"/>
      </w:pPr>
    </w:p>
    <w:p w:rsidR="00C2112E" w:rsidRDefault="00C2112E" w:rsidP="00C2112E">
      <w:pPr>
        <w:pStyle w:val="Sansinterligne"/>
        <w:numPr>
          <w:ilvl w:val="0"/>
          <w:numId w:val="512"/>
        </w:numPr>
      </w:pPr>
      <w:r w:rsidRPr="005D5862">
        <w:rPr>
          <w:u w:val="single"/>
        </w:rPr>
        <w:t>Relations sexuelles</w:t>
      </w:r>
      <w:r>
        <w:t xml:space="preserve"> </w:t>
      </w:r>
    </w:p>
    <w:p w:rsidR="00C2112E" w:rsidRDefault="00C2112E" w:rsidP="00C2112E">
      <w:pPr>
        <w:pStyle w:val="Sansinterligne"/>
        <w:numPr>
          <w:ilvl w:val="1"/>
          <w:numId w:val="512"/>
        </w:numPr>
      </w:pPr>
      <w:r>
        <w:t>Selon tolérance</w:t>
      </w:r>
    </w:p>
    <w:p w:rsidR="00C2112E" w:rsidRDefault="00C2112E" w:rsidP="00C2112E">
      <w:pPr>
        <w:pStyle w:val="Sansinterligne"/>
        <w:numPr>
          <w:ilvl w:val="1"/>
          <w:numId w:val="512"/>
        </w:numPr>
      </w:pPr>
      <w:r>
        <w:t>Contre-indication : placenta prævia, haut risque de travail prématuré ou d’avortement</w:t>
      </w:r>
    </w:p>
    <w:p w:rsidR="00FD0AAD" w:rsidRDefault="00FD0AAD" w:rsidP="00FD0AAD">
      <w:pPr>
        <w:pStyle w:val="Sansinterligne"/>
        <w:ind w:left="1080"/>
      </w:pPr>
    </w:p>
    <w:p w:rsidR="005D5862" w:rsidRDefault="004D5CFC" w:rsidP="001070BF">
      <w:pPr>
        <w:pStyle w:val="Sansinterligne"/>
        <w:numPr>
          <w:ilvl w:val="0"/>
          <w:numId w:val="512"/>
        </w:numPr>
        <w:rPr>
          <w:highlight w:val="yellow"/>
        </w:rPr>
      </w:pPr>
      <w:r w:rsidRPr="001070BF">
        <w:rPr>
          <w:highlight w:val="yellow"/>
          <w:u w:val="single"/>
        </w:rPr>
        <w:t>Exerci</w:t>
      </w:r>
      <w:r w:rsidR="003C7652" w:rsidRPr="001070BF">
        <w:rPr>
          <w:highlight w:val="yellow"/>
          <w:u w:val="single"/>
        </w:rPr>
        <w:t>c</w:t>
      </w:r>
      <w:r w:rsidRPr="001070BF">
        <w:rPr>
          <w:highlight w:val="yellow"/>
          <w:u w:val="single"/>
        </w:rPr>
        <w:t xml:space="preserve">e </w:t>
      </w:r>
      <w:r w:rsidR="003C7652" w:rsidRPr="001070BF">
        <w:rPr>
          <w:highlight w:val="yellow"/>
          <w:u w:val="single"/>
        </w:rPr>
        <w:t>physique</w:t>
      </w:r>
      <w:r w:rsidR="003C7652" w:rsidRPr="001070BF">
        <w:rPr>
          <w:highlight w:val="yellow"/>
        </w:rPr>
        <w:t xml:space="preserve"> </w:t>
      </w:r>
    </w:p>
    <w:p w:rsidR="003C7652" w:rsidRPr="001070BF" w:rsidRDefault="005D5862" w:rsidP="005D5862">
      <w:pPr>
        <w:pStyle w:val="Sansinterligne"/>
        <w:numPr>
          <w:ilvl w:val="1"/>
          <w:numId w:val="512"/>
        </w:numPr>
        <w:rPr>
          <w:highlight w:val="yellow"/>
        </w:rPr>
      </w:pPr>
      <w:r>
        <w:rPr>
          <w:highlight w:val="yellow"/>
        </w:rPr>
        <w:t>S</w:t>
      </w:r>
      <w:r w:rsidR="003C7652" w:rsidRPr="001070BF">
        <w:rPr>
          <w:highlight w:val="yellow"/>
        </w:rPr>
        <w:t>elon tolérance</w:t>
      </w:r>
    </w:p>
    <w:p w:rsidR="000C7920" w:rsidRDefault="003C7652" w:rsidP="001070BF">
      <w:pPr>
        <w:pStyle w:val="Sansinterligne"/>
        <w:numPr>
          <w:ilvl w:val="1"/>
          <w:numId w:val="512"/>
        </w:numPr>
      </w:pPr>
      <w:r>
        <w:t>Éviter les sports de contact</w:t>
      </w:r>
    </w:p>
    <w:p w:rsidR="003C7652" w:rsidRDefault="000C7920" w:rsidP="001070BF">
      <w:pPr>
        <w:pStyle w:val="Sansinterligne"/>
        <w:numPr>
          <w:ilvl w:val="1"/>
          <w:numId w:val="512"/>
        </w:numPr>
        <w:rPr>
          <w:highlight w:val="yellow"/>
        </w:rPr>
      </w:pPr>
      <w:r w:rsidRPr="001070BF">
        <w:rPr>
          <w:highlight w:val="yellow"/>
        </w:rPr>
        <w:t>Contre-indications</w:t>
      </w:r>
      <w:r w:rsidR="001070BF" w:rsidRPr="001070BF">
        <w:rPr>
          <w:highlight w:val="yellow"/>
        </w:rPr>
        <w:t> :</w:t>
      </w:r>
      <w:r w:rsidRPr="001070BF">
        <w:rPr>
          <w:highlight w:val="yellow"/>
        </w:rPr>
        <w:t xml:space="preserve"> insuffisance cervicale, </w:t>
      </w:r>
      <w:r w:rsidR="001070BF" w:rsidRPr="001070BF">
        <w:rPr>
          <w:highlight w:val="yellow"/>
        </w:rPr>
        <w:t>RPM</w:t>
      </w:r>
      <w:r w:rsidRPr="001070BF">
        <w:rPr>
          <w:highlight w:val="yellow"/>
        </w:rPr>
        <w:t xml:space="preserve">, troubles hypertensifs, placenta </w:t>
      </w:r>
      <w:r w:rsidR="001070BF" w:rsidRPr="001070BF">
        <w:rPr>
          <w:highlight w:val="yellow"/>
        </w:rPr>
        <w:t>prævia</w:t>
      </w:r>
      <w:r w:rsidRPr="001070BF">
        <w:rPr>
          <w:highlight w:val="yellow"/>
        </w:rPr>
        <w:t xml:space="preserve"> </w:t>
      </w:r>
      <w:r w:rsidRPr="001070BF">
        <w:rPr>
          <w:rFonts w:ascii="Century Gothic" w:hAnsi="Century Gothic"/>
          <w:highlight w:val="yellow"/>
        </w:rPr>
        <w:t>&gt;</w:t>
      </w:r>
      <w:r w:rsidRPr="001070BF">
        <w:rPr>
          <w:highlight w:val="yellow"/>
        </w:rPr>
        <w:t xml:space="preserve"> 28 semaines, DM type I non-contrôlé, maladie thyroïdienne non-</w:t>
      </w:r>
      <w:r w:rsidR="001070BF" w:rsidRPr="001070BF">
        <w:rPr>
          <w:highlight w:val="yellow"/>
        </w:rPr>
        <w:t>contrôlée</w:t>
      </w:r>
      <w:r w:rsidR="003C7652" w:rsidRPr="001070BF">
        <w:rPr>
          <w:highlight w:val="yellow"/>
        </w:rPr>
        <w:t xml:space="preserve"> </w:t>
      </w:r>
    </w:p>
    <w:p w:rsidR="00FD0AAD" w:rsidRPr="001070BF" w:rsidRDefault="00FD0AAD" w:rsidP="00FD0AAD">
      <w:pPr>
        <w:pStyle w:val="Sansinterligne"/>
        <w:ind w:left="1080"/>
        <w:rPr>
          <w:highlight w:val="yellow"/>
        </w:rPr>
      </w:pPr>
    </w:p>
    <w:p w:rsidR="006D0B95" w:rsidRDefault="006D0B95" w:rsidP="006D0B95">
      <w:pPr>
        <w:pStyle w:val="Sansinterligne"/>
        <w:numPr>
          <w:ilvl w:val="0"/>
          <w:numId w:val="512"/>
        </w:numPr>
      </w:pPr>
      <w:r w:rsidRPr="006D0B95">
        <w:rPr>
          <w:u w:val="single"/>
        </w:rPr>
        <w:t>Éviter le travail</w:t>
      </w:r>
      <w:r>
        <w:t xml:space="preserve"> très exigeant ou de longues heures de travail ou expositions particulières</w:t>
      </w:r>
    </w:p>
    <w:p w:rsidR="006D0B95" w:rsidRDefault="006D0B95" w:rsidP="006D0B95">
      <w:pPr>
        <w:pStyle w:val="Sansinterligne"/>
        <w:numPr>
          <w:ilvl w:val="1"/>
          <w:numId w:val="512"/>
        </w:numPr>
      </w:pPr>
      <w:r>
        <w:t xml:space="preserve">Envisager </w:t>
      </w:r>
      <w:r w:rsidR="00B15217">
        <w:t>retrait préventif</w:t>
      </w:r>
      <w:r>
        <w:t xml:space="preserve"> selon le métier</w:t>
      </w:r>
    </w:p>
    <w:p w:rsidR="00FD0AAD" w:rsidRDefault="00FD0AAD" w:rsidP="00FD0AAD">
      <w:pPr>
        <w:pStyle w:val="Sansinterligne"/>
        <w:ind w:left="1080"/>
      </w:pPr>
    </w:p>
    <w:p w:rsidR="001070BF" w:rsidRPr="001070BF" w:rsidRDefault="001070BF" w:rsidP="001070BF">
      <w:pPr>
        <w:pStyle w:val="Sansinterligne"/>
        <w:numPr>
          <w:ilvl w:val="0"/>
          <w:numId w:val="512"/>
        </w:numPr>
        <w:rPr>
          <w:u w:val="single"/>
        </w:rPr>
      </w:pPr>
      <w:r w:rsidRPr="001070BF">
        <w:rPr>
          <w:u w:val="single"/>
        </w:rPr>
        <w:t>Vaccination</w:t>
      </w:r>
    </w:p>
    <w:p w:rsidR="0060693A" w:rsidRDefault="0060693A" w:rsidP="001070BF">
      <w:pPr>
        <w:pStyle w:val="Sansinterligne"/>
        <w:numPr>
          <w:ilvl w:val="1"/>
          <w:numId w:val="512"/>
        </w:numPr>
      </w:pPr>
      <w:r>
        <w:t>Éviter va</w:t>
      </w:r>
      <w:r w:rsidR="001070BF">
        <w:t>ccination avec vaccins vivant</w:t>
      </w:r>
      <w:r w:rsidR="00D457F8">
        <w:t>s pergravida</w:t>
      </w:r>
      <w:r>
        <w:t xml:space="preserve"> </w:t>
      </w:r>
    </w:p>
    <w:p w:rsidR="0060693A" w:rsidRDefault="0060693A" w:rsidP="001070BF">
      <w:pPr>
        <w:pStyle w:val="Sansinterligne"/>
        <w:numPr>
          <w:ilvl w:val="1"/>
          <w:numId w:val="512"/>
        </w:numPr>
      </w:pPr>
      <w:r>
        <w:t xml:space="preserve">Vaccin pour la rubéole et vaccin oral pour typhoïde </w:t>
      </w:r>
      <w:r>
        <w:rPr>
          <w:rFonts w:ascii="Century Gothic" w:hAnsi="Century Gothic"/>
        </w:rPr>
        <w:t>→</w:t>
      </w:r>
      <w:r>
        <w:t xml:space="preserve"> contre-indiqué en grossesse</w:t>
      </w:r>
    </w:p>
    <w:p w:rsidR="00FD0AAD" w:rsidRDefault="00FD0AAD" w:rsidP="00FD0AAD">
      <w:pPr>
        <w:pStyle w:val="Sansinterligne"/>
        <w:ind w:left="1080"/>
      </w:pPr>
    </w:p>
    <w:p w:rsidR="009461FA" w:rsidRDefault="009461FA" w:rsidP="009461FA">
      <w:pPr>
        <w:pStyle w:val="Sansinterligne"/>
        <w:numPr>
          <w:ilvl w:val="0"/>
          <w:numId w:val="512"/>
        </w:numPr>
      </w:pPr>
      <w:r>
        <w:t>Éviter contact avec des excréments de chats/litière (toxoplasmose)</w:t>
      </w:r>
    </w:p>
    <w:p w:rsidR="004D5CFC" w:rsidRDefault="004D5CFC" w:rsidP="004D5CFC">
      <w:pPr>
        <w:pStyle w:val="Sansinterligne"/>
        <w:rPr>
          <w:b/>
          <w:sz w:val="28"/>
          <w:szCs w:val="28"/>
        </w:rPr>
      </w:pPr>
      <w:r w:rsidRPr="00817177">
        <w:rPr>
          <w:b/>
          <w:sz w:val="28"/>
          <w:szCs w:val="28"/>
        </w:rPr>
        <w:t xml:space="preserve">Suivi </w:t>
      </w:r>
    </w:p>
    <w:p w:rsidR="001B35F9" w:rsidRDefault="001B35F9" w:rsidP="004D5CFC">
      <w:pPr>
        <w:pStyle w:val="Sansinterligne"/>
      </w:pPr>
    </w:p>
    <w:p w:rsidR="00C51C89" w:rsidRDefault="001B35F9" w:rsidP="00C51C89">
      <w:pPr>
        <w:pStyle w:val="Sansinterligne"/>
        <w:rPr>
          <w:highlight w:val="yellow"/>
        </w:rPr>
      </w:pPr>
      <w:r w:rsidRPr="0064284C">
        <w:rPr>
          <w:highlight w:val="yellow"/>
          <w:u w:val="single"/>
        </w:rPr>
        <w:t xml:space="preserve">Suivi </w:t>
      </w:r>
      <w:r w:rsidR="007B7891" w:rsidRPr="0064284C">
        <w:rPr>
          <w:highlight w:val="yellow"/>
          <w:u w:val="single"/>
        </w:rPr>
        <w:t>en bureau</w:t>
      </w:r>
      <w:r w:rsidR="007B7891">
        <w:rPr>
          <w:highlight w:val="yellow"/>
        </w:rPr>
        <w:t xml:space="preserve"> </w:t>
      </w:r>
    </w:p>
    <w:p w:rsidR="001B35F9" w:rsidRDefault="001B35F9" w:rsidP="00C51C89">
      <w:pPr>
        <w:pStyle w:val="Sansinterligne"/>
        <w:rPr>
          <w:highlight w:val="yellow"/>
        </w:rPr>
      </w:pPr>
      <w:r>
        <w:rPr>
          <w:highlight w:val="yellow"/>
        </w:rPr>
        <w:t xml:space="preserve">q </w:t>
      </w:r>
      <w:r w:rsidRPr="001B35F9">
        <w:rPr>
          <w:highlight w:val="yellow"/>
        </w:rPr>
        <w:t>4-6 semaines ad 28 semaines</w:t>
      </w:r>
      <w:r>
        <w:rPr>
          <w:rFonts w:ascii="Century Gothic" w:hAnsi="Century Gothic"/>
          <w:highlight w:val="yellow"/>
        </w:rPr>
        <w:t xml:space="preserve"> →</w:t>
      </w:r>
      <w:r>
        <w:rPr>
          <w:highlight w:val="yellow"/>
        </w:rPr>
        <w:t xml:space="preserve"> q 2-3 semaines </w:t>
      </w:r>
      <w:r w:rsidRPr="001B35F9">
        <w:rPr>
          <w:highlight w:val="yellow"/>
        </w:rPr>
        <w:t xml:space="preserve">de 28-36 semaines </w:t>
      </w:r>
      <w:r>
        <w:rPr>
          <w:rFonts w:ascii="Century Gothic" w:hAnsi="Century Gothic"/>
          <w:highlight w:val="yellow"/>
        </w:rPr>
        <w:t>→</w:t>
      </w:r>
      <w:r w:rsidRPr="001B35F9">
        <w:rPr>
          <w:highlight w:val="yellow"/>
        </w:rPr>
        <w:t xml:space="preserve"> q 1 semaine ad accouchement</w:t>
      </w:r>
    </w:p>
    <w:p w:rsidR="000A0E03" w:rsidRDefault="000A0E03" w:rsidP="004D5CFC">
      <w:pPr>
        <w:pStyle w:val="Sansinterligne"/>
      </w:pPr>
    </w:p>
    <w:p w:rsidR="007A767E" w:rsidRDefault="007A767E" w:rsidP="004D5CFC">
      <w:pPr>
        <w:pStyle w:val="Sansinterligne"/>
      </w:pPr>
    </w:p>
    <w:p w:rsidR="000A0E03" w:rsidRPr="000A0E03" w:rsidRDefault="000A0E03" w:rsidP="004D5CFC">
      <w:pPr>
        <w:pStyle w:val="Sansinterligne"/>
        <w:rPr>
          <w:b/>
        </w:rPr>
      </w:pPr>
      <w:r w:rsidRPr="000A0E03">
        <w:rPr>
          <w:b/>
        </w:rPr>
        <w:t>Documenter </w:t>
      </w:r>
    </w:p>
    <w:p w:rsidR="000A0E03" w:rsidRDefault="000A0E03" w:rsidP="006D0001">
      <w:pPr>
        <w:pStyle w:val="Sansinterligne"/>
        <w:numPr>
          <w:ilvl w:val="0"/>
          <w:numId w:val="528"/>
        </w:numPr>
      </w:pPr>
      <w:r>
        <w:t>Âge de la grossesse, mouvements fœtaux, saignements utérins, écoulement ou crampes</w:t>
      </w:r>
    </w:p>
    <w:p w:rsidR="000A0E03" w:rsidRDefault="000A0E03" w:rsidP="006D0001">
      <w:pPr>
        <w:pStyle w:val="Sansinterligne"/>
        <w:numPr>
          <w:ilvl w:val="0"/>
          <w:numId w:val="528"/>
        </w:numPr>
      </w:pPr>
      <w:r w:rsidRPr="000A0E03">
        <w:t>Suivi d</w:t>
      </w:r>
      <w:r>
        <w:t>e la prise de poids (idéal = 11,3 kg / 25 lbs - T1</w:t>
      </w:r>
      <w:r>
        <w:rPr>
          <w:rFonts w:cs="Times New Roman"/>
        </w:rPr>
        <w:t xml:space="preserve">~ 1-3,5 kg/sem </w:t>
      </w:r>
      <w:r>
        <w:rPr>
          <w:rFonts w:ascii="Century Gothic" w:hAnsi="Century Gothic" w:cs="Times New Roman"/>
        </w:rPr>
        <w:t>→</w:t>
      </w:r>
      <w:r>
        <w:rPr>
          <w:rFonts w:cs="Times New Roman"/>
        </w:rPr>
        <w:t xml:space="preserve"> 0,45 kg/sem ad accouchement</w:t>
      </w:r>
      <w:r>
        <w:t>)</w:t>
      </w:r>
    </w:p>
    <w:p w:rsidR="00CB1CD4" w:rsidRDefault="00CB1CD4" w:rsidP="006D0001">
      <w:pPr>
        <w:pStyle w:val="Sansinterligne"/>
        <w:numPr>
          <w:ilvl w:val="0"/>
          <w:numId w:val="528"/>
        </w:numPr>
      </w:pPr>
      <w:r>
        <w:t xml:space="preserve">Recherche de conditions </w:t>
      </w:r>
      <w:r w:rsidR="00F8279D">
        <w:t>fréquentes</w:t>
      </w:r>
      <w:r>
        <w:t xml:space="preserve"> en grossesse (voir plus bas)</w:t>
      </w:r>
    </w:p>
    <w:p w:rsidR="00F8279D" w:rsidRDefault="00F8279D" w:rsidP="006D0001">
      <w:pPr>
        <w:pStyle w:val="Sansinterligne"/>
        <w:numPr>
          <w:ilvl w:val="0"/>
          <w:numId w:val="528"/>
        </w:numPr>
        <w:rPr>
          <w:rFonts w:ascii="Century Gothic" w:hAnsi="Century Gothic"/>
        </w:rPr>
      </w:pPr>
      <w:r>
        <w:t xml:space="preserve">Recherche de complications </w:t>
      </w:r>
    </w:p>
    <w:p w:rsidR="00F8279D" w:rsidRPr="00F8279D" w:rsidRDefault="00F8279D" w:rsidP="006D0001">
      <w:pPr>
        <w:pStyle w:val="Sansinterligne"/>
        <w:numPr>
          <w:ilvl w:val="0"/>
          <w:numId w:val="527"/>
        </w:numPr>
        <w:rPr>
          <w:rFonts w:cs="Times New Roman"/>
        </w:rPr>
      </w:pPr>
      <w:r w:rsidRPr="00F8279D">
        <w:rPr>
          <w:rFonts w:cs="Times New Roman"/>
        </w:rPr>
        <w:t>Saignements vaginaux</w:t>
      </w:r>
      <w:r>
        <w:rPr>
          <w:rFonts w:cs="Times New Roman"/>
        </w:rPr>
        <w:t xml:space="preserve"> </w:t>
      </w:r>
      <w:r>
        <w:rPr>
          <w:rFonts w:ascii="Century Gothic" w:hAnsi="Century Gothic" w:cs="Times New Roman"/>
        </w:rPr>
        <w:t>→</w:t>
      </w:r>
      <w:r>
        <w:rPr>
          <w:rFonts w:cs="Times New Roman"/>
        </w:rPr>
        <w:t xml:space="preserve"> Voir </w:t>
      </w:r>
      <w:r w:rsidRPr="00F8279D">
        <w:rPr>
          <w:rFonts w:cs="Times New Roman"/>
          <w:i/>
        </w:rPr>
        <w:t>Saignements vaginaux excessifs, irréguliers, anormaux CMC 112</w:t>
      </w:r>
    </w:p>
    <w:p w:rsidR="00F8279D" w:rsidRPr="00F8279D" w:rsidRDefault="00F8279D" w:rsidP="006D0001">
      <w:pPr>
        <w:pStyle w:val="Sansinterligne"/>
        <w:numPr>
          <w:ilvl w:val="0"/>
          <w:numId w:val="527"/>
        </w:numPr>
        <w:rPr>
          <w:rFonts w:cs="Times New Roman"/>
        </w:rPr>
      </w:pPr>
      <w:r w:rsidRPr="00F8279D">
        <w:rPr>
          <w:rFonts w:cs="Times New Roman"/>
        </w:rPr>
        <w:t>Troubles hypertensifs (symptômes de PES)</w:t>
      </w:r>
      <w:r>
        <w:rPr>
          <w:rFonts w:cs="Times New Roman"/>
        </w:rPr>
        <w:t xml:space="preserve"> </w:t>
      </w:r>
      <w:r>
        <w:rPr>
          <w:rFonts w:ascii="Century Gothic" w:hAnsi="Century Gothic" w:cs="Times New Roman"/>
        </w:rPr>
        <w:t>→</w:t>
      </w:r>
      <w:r>
        <w:rPr>
          <w:rFonts w:cs="Times New Roman"/>
        </w:rPr>
        <w:t xml:space="preserve"> Voir </w:t>
      </w:r>
      <w:r w:rsidRPr="00F8279D">
        <w:rPr>
          <w:rFonts w:cs="Times New Roman"/>
          <w:i/>
        </w:rPr>
        <w:t>Troubles hypertensifs de la grossesse CMC 9-1-4</w:t>
      </w:r>
    </w:p>
    <w:p w:rsidR="00F8279D" w:rsidRPr="00F8279D" w:rsidRDefault="00F8279D" w:rsidP="006D0001">
      <w:pPr>
        <w:pStyle w:val="Sansinterligne"/>
        <w:numPr>
          <w:ilvl w:val="0"/>
          <w:numId w:val="527"/>
        </w:numPr>
        <w:rPr>
          <w:rFonts w:cs="Times New Roman"/>
        </w:rPr>
      </w:pPr>
      <w:r w:rsidRPr="00F8279D">
        <w:rPr>
          <w:rFonts w:cs="Times New Roman"/>
        </w:rPr>
        <w:t>Avortement spontané</w:t>
      </w:r>
      <w:r>
        <w:rPr>
          <w:rFonts w:cs="Times New Roman"/>
        </w:rPr>
        <w:t xml:space="preserve"> </w:t>
      </w:r>
      <w:r>
        <w:rPr>
          <w:rFonts w:ascii="Century Gothic" w:hAnsi="Century Gothic" w:cs="Times New Roman"/>
        </w:rPr>
        <w:t>→</w:t>
      </w:r>
      <w:r>
        <w:rPr>
          <w:rFonts w:cs="Times New Roman"/>
        </w:rPr>
        <w:t xml:space="preserve"> Voir </w:t>
      </w:r>
      <w:r w:rsidRPr="00F8279D">
        <w:rPr>
          <w:rFonts w:cs="Times New Roman"/>
          <w:i/>
        </w:rPr>
        <w:t>Avortement spontané CMC 81</w:t>
      </w:r>
    </w:p>
    <w:p w:rsidR="00F8279D" w:rsidRPr="00F8279D" w:rsidRDefault="00F8279D" w:rsidP="006D0001">
      <w:pPr>
        <w:pStyle w:val="Sansinterligne"/>
        <w:numPr>
          <w:ilvl w:val="0"/>
          <w:numId w:val="527"/>
        </w:numPr>
        <w:rPr>
          <w:rFonts w:cs="Times New Roman"/>
          <w:i/>
        </w:rPr>
      </w:pPr>
      <w:r w:rsidRPr="00F8279D">
        <w:rPr>
          <w:rFonts w:cs="Times New Roman"/>
        </w:rPr>
        <w:t>Travail prématuré</w:t>
      </w:r>
      <w:r>
        <w:rPr>
          <w:rFonts w:cs="Times New Roman"/>
        </w:rPr>
        <w:t xml:space="preserve"> </w:t>
      </w:r>
      <w:r>
        <w:rPr>
          <w:rFonts w:ascii="Century Gothic" w:hAnsi="Century Gothic" w:cs="Times New Roman"/>
        </w:rPr>
        <w:t>→</w:t>
      </w:r>
      <w:r>
        <w:rPr>
          <w:rFonts w:cs="Times New Roman"/>
        </w:rPr>
        <w:t xml:space="preserve"> Voir </w:t>
      </w:r>
      <w:r w:rsidRPr="00F8279D">
        <w:rPr>
          <w:rFonts w:cs="Times New Roman"/>
          <w:i/>
        </w:rPr>
        <w:t>Travail prématuré CMC 82</w:t>
      </w:r>
    </w:p>
    <w:p w:rsidR="00FC3181" w:rsidRDefault="00FC3181" w:rsidP="006D0001">
      <w:pPr>
        <w:pStyle w:val="Sansinterligne"/>
        <w:numPr>
          <w:ilvl w:val="0"/>
          <w:numId w:val="529"/>
        </w:numPr>
      </w:pPr>
      <w:r>
        <w:t>Évaluer l’adaptation de la patiente à son état :</w:t>
      </w:r>
      <w:r w:rsidR="00FD0AAD" w:rsidRPr="00FD0AAD">
        <w:t xml:space="preserve"> </w:t>
      </w:r>
    </w:p>
    <w:p w:rsidR="00FC3181" w:rsidRDefault="00DC24F4" w:rsidP="006D0001">
      <w:pPr>
        <w:pStyle w:val="Sansinterligne"/>
        <w:numPr>
          <w:ilvl w:val="0"/>
          <w:numId w:val="520"/>
        </w:numPr>
      </w:pPr>
      <w:r>
        <w:rPr>
          <w:noProof/>
          <w:lang w:eastAsia="fr-CA"/>
        </w:rPr>
        <w:drawing>
          <wp:anchor distT="0" distB="0" distL="114300" distR="114300" simplePos="0" relativeHeight="251805696" behindDoc="0" locked="0" layoutInCell="1" allowOverlap="1" wp14:anchorId="76C67850" wp14:editId="37027EA3">
            <wp:simplePos x="0" y="0"/>
            <wp:positionH relativeFrom="column">
              <wp:posOffset>4892202</wp:posOffset>
            </wp:positionH>
            <wp:positionV relativeFrom="paragraph">
              <wp:posOffset>140335</wp:posOffset>
            </wp:positionV>
            <wp:extent cx="1487805" cy="1961515"/>
            <wp:effectExtent l="0" t="0" r="0" b="635"/>
            <wp:wrapNone/>
            <wp:docPr id="324" name="Image 324" descr="Résultats de recherche d'images pour « hauteur utérin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Résultats de recherche d'images pour « hauteur utérine »"/>
                    <pic:cNvPicPr>
                      <a:picLocks noChangeAspect="1" noChangeArrowheads="1"/>
                    </pic:cNvPicPr>
                  </pic:nvPicPr>
                  <pic:blipFill rotWithShape="1">
                    <a:blip r:embed="rId295">
                      <a:extLst>
                        <a:ext uri="{28A0092B-C50C-407E-A947-70E740481C1C}">
                          <a14:useLocalDpi xmlns:a14="http://schemas.microsoft.com/office/drawing/2010/main" val="0"/>
                        </a:ext>
                      </a:extLst>
                    </a:blip>
                    <a:srcRect l="8803" t="6390" r="7042" b="6108"/>
                    <a:stretch/>
                  </pic:blipFill>
                  <pic:spPr bwMode="auto">
                    <a:xfrm>
                      <a:off x="0" y="0"/>
                      <a:ext cx="1487805" cy="196151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C3181">
        <w:t>Symptômes dépressifs</w:t>
      </w:r>
    </w:p>
    <w:p w:rsidR="00FC3181" w:rsidRDefault="00FC3181" w:rsidP="006D0001">
      <w:pPr>
        <w:pStyle w:val="Sansinterligne"/>
        <w:numPr>
          <w:ilvl w:val="0"/>
          <w:numId w:val="520"/>
        </w:numPr>
      </w:pPr>
      <w:r>
        <w:t>Relation avec conjoint / entourage</w:t>
      </w:r>
    </w:p>
    <w:p w:rsidR="00FC3181" w:rsidRDefault="00FC3181" w:rsidP="006D0001">
      <w:pPr>
        <w:pStyle w:val="Sansinterligne"/>
        <w:numPr>
          <w:ilvl w:val="0"/>
          <w:numId w:val="520"/>
        </w:numPr>
      </w:pPr>
      <w:r>
        <w:t>Sommeil</w:t>
      </w:r>
    </w:p>
    <w:p w:rsidR="00294191" w:rsidRDefault="00294191" w:rsidP="004D5CFC">
      <w:pPr>
        <w:pStyle w:val="Sansinterligne"/>
        <w:rPr>
          <w:b/>
        </w:rPr>
      </w:pPr>
    </w:p>
    <w:p w:rsidR="007A767E" w:rsidRDefault="007A767E" w:rsidP="004D5CFC">
      <w:pPr>
        <w:pStyle w:val="Sansinterligne"/>
        <w:rPr>
          <w:b/>
        </w:rPr>
        <w:sectPr w:rsidR="007A767E" w:rsidSect="00217865">
          <w:type w:val="continuous"/>
          <w:pgSz w:w="12240" w:h="15840"/>
          <w:pgMar w:top="720" w:right="720" w:bottom="720" w:left="720" w:header="708" w:footer="708" w:gutter="0"/>
          <w:cols w:space="708"/>
          <w:docGrid w:linePitch="360"/>
        </w:sectPr>
      </w:pPr>
    </w:p>
    <w:p w:rsidR="000A0E03" w:rsidRPr="000A0E03" w:rsidRDefault="000A0E03" w:rsidP="004D5CFC">
      <w:pPr>
        <w:pStyle w:val="Sansinterligne"/>
        <w:rPr>
          <w:b/>
        </w:rPr>
      </w:pPr>
      <w:r w:rsidRPr="000A0E03">
        <w:rPr>
          <w:b/>
        </w:rPr>
        <w:t>Examiner</w:t>
      </w:r>
    </w:p>
    <w:p w:rsidR="000A0E03" w:rsidRDefault="000A0E03" w:rsidP="000A0E03">
      <w:pPr>
        <w:pStyle w:val="Sansinterligne"/>
        <w:ind w:left="708"/>
      </w:pPr>
      <w:r>
        <w:t>Tension artérielle</w:t>
      </w:r>
    </w:p>
    <w:p w:rsidR="000A0E03" w:rsidRDefault="000A0E03" w:rsidP="000A0E03">
      <w:pPr>
        <w:pStyle w:val="Sansinterligne"/>
        <w:ind w:left="708"/>
      </w:pPr>
      <w:r>
        <w:t>Examen thyroïdien</w:t>
      </w:r>
    </w:p>
    <w:p w:rsidR="000A0E03" w:rsidRDefault="000A0E03" w:rsidP="000A0E03">
      <w:pPr>
        <w:pStyle w:val="Sansinterligne"/>
        <w:ind w:left="708"/>
      </w:pPr>
      <w:r>
        <w:t>Hauteur utérine</w:t>
      </w:r>
    </w:p>
    <w:p w:rsidR="007A767E" w:rsidRDefault="000A0E03" w:rsidP="004F1789">
      <w:pPr>
        <w:pStyle w:val="Sansinterligne"/>
        <w:ind w:left="708"/>
      </w:pPr>
      <w:r>
        <w:t>Manœuvre de Léopold (3</w:t>
      </w:r>
      <w:r w:rsidRPr="000A0E03">
        <w:rPr>
          <w:vertAlign w:val="superscript"/>
        </w:rPr>
        <w:t>e</w:t>
      </w:r>
      <w:r w:rsidR="007A767E">
        <w:t xml:space="preserve"> trimestre)</w:t>
      </w:r>
    </w:p>
    <w:p w:rsidR="00294191" w:rsidRDefault="00294191" w:rsidP="004526B3">
      <w:pPr>
        <w:pStyle w:val="Sansinterligne"/>
      </w:pPr>
    </w:p>
    <w:p w:rsidR="004526B3" w:rsidRPr="00C51C89" w:rsidRDefault="00C51C89" w:rsidP="004526B3">
      <w:pPr>
        <w:pStyle w:val="Sansinterligne"/>
        <w:rPr>
          <w:u w:val="single"/>
        </w:rPr>
      </w:pPr>
      <w:r w:rsidRPr="00C51C89">
        <w:rPr>
          <w:highlight w:val="yellow"/>
          <w:u w:val="single"/>
        </w:rPr>
        <w:t>Suivi échographique</w:t>
      </w:r>
    </w:p>
    <w:p w:rsidR="00C51C89" w:rsidRDefault="00C51C89" w:rsidP="004526B3">
      <w:pPr>
        <w:pStyle w:val="Sansinterligne"/>
      </w:pPr>
    </w:p>
    <w:p w:rsidR="004526B3" w:rsidRDefault="004526B3" w:rsidP="006D0001">
      <w:pPr>
        <w:pStyle w:val="Sansinterligne"/>
        <w:numPr>
          <w:ilvl w:val="0"/>
          <w:numId w:val="519"/>
        </w:numPr>
      </w:pPr>
      <w:r>
        <w:t xml:space="preserve">Écho de datation </w:t>
      </w:r>
      <w:r>
        <w:rPr>
          <w:rFonts w:cs="Times New Roman"/>
        </w:rPr>
        <w:t>~</w:t>
      </w:r>
      <w:r>
        <w:t xml:space="preserve"> 10</w:t>
      </w:r>
      <w:r w:rsidRPr="004526B3">
        <w:rPr>
          <w:vertAlign w:val="superscript"/>
        </w:rPr>
        <w:t>e</w:t>
      </w:r>
      <w:r>
        <w:t>-12</w:t>
      </w:r>
      <w:r w:rsidRPr="004526B3">
        <w:rPr>
          <w:vertAlign w:val="superscript"/>
        </w:rPr>
        <w:t>e</w:t>
      </w:r>
      <w:r>
        <w:t xml:space="preserve"> semaine</w:t>
      </w:r>
    </w:p>
    <w:p w:rsidR="004526B3" w:rsidRDefault="004526B3" w:rsidP="006D0001">
      <w:pPr>
        <w:pStyle w:val="Sansinterligne"/>
        <w:numPr>
          <w:ilvl w:val="0"/>
          <w:numId w:val="519"/>
        </w:numPr>
      </w:pPr>
      <w:r>
        <w:t xml:space="preserve">Écho de </w:t>
      </w:r>
      <w:r w:rsidR="00C51C89">
        <w:t>dépistage</w:t>
      </w:r>
      <w:r>
        <w:t xml:space="preserve"> 20</w:t>
      </w:r>
      <w:r w:rsidRPr="004526B3">
        <w:rPr>
          <w:vertAlign w:val="superscript"/>
        </w:rPr>
        <w:t>e</w:t>
      </w:r>
      <w:r>
        <w:t xml:space="preserve"> semaine</w:t>
      </w:r>
    </w:p>
    <w:p w:rsidR="00C51C89" w:rsidRDefault="00C51C89" w:rsidP="006D0001">
      <w:pPr>
        <w:pStyle w:val="Sansinterligne"/>
        <w:numPr>
          <w:ilvl w:val="1"/>
          <w:numId w:val="519"/>
        </w:numPr>
      </w:pPr>
      <w:r>
        <w:t>Recherches d’anomalies</w:t>
      </w:r>
    </w:p>
    <w:p w:rsidR="00C51C89" w:rsidRDefault="00C51C89" w:rsidP="006D0001">
      <w:pPr>
        <w:pStyle w:val="Sansinterligne"/>
        <w:numPr>
          <w:ilvl w:val="1"/>
          <w:numId w:val="519"/>
        </w:numPr>
      </w:pPr>
      <w:r>
        <w:t>Évaluation de la croissance</w:t>
      </w:r>
    </w:p>
    <w:p w:rsidR="00C51C89" w:rsidRDefault="00FD0AAD" w:rsidP="006D0001">
      <w:pPr>
        <w:pStyle w:val="Sansinterligne"/>
        <w:numPr>
          <w:ilvl w:val="1"/>
          <w:numId w:val="519"/>
        </w:numPr>
      </w:pPr>
      <w:r>
        <w:rPr>
          <w:noProof/>
          <w:lang w:eastAsia="fr-CA"/>
        </w:rPr>
        <w:drawing>
          <wp:anchor distT="0" distB="0" distL="114300" distR="114300" simplePos="0" relativeHeight="251804672" behindDoc="0" locked="0" layoutInCell="1" allowOverlap="1" wp14:anchorId="75C10A81" wp14:editId="09BCE829">
            <wp:simplePos x="0" y="0"/>
            <wp:positionH relativeFrom="column">
              <wp:posOffset>4365625</wp:posOffset>
            </wp:positionH>
            <wp:positionV relativeFrom="paragraph">
              <wp:posOffset>145415</wp:posOffset>
            </wp:positionV>
            <wp:extent cx="2325370" cy="1906270"/>
            <wp:effectExtent l="0" t="0" r="0" b="0"/>
            <wp:wrapNone/>
            <wp:docPr id="323" name="Image 323" descr="Résultats de recherche d'images pour « échographie foeta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Résultats de recherche d'images pour « échographie foetale »"/>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2325370" cy="1906270"/>
                    </a:xfrm>
                    <a:prstGeom prst="rect">
                      <a:avLst/>
                    </a:prstGeom>
                    <a:noFill/>
                    <a:ln>
                      <a:noFill/>
                    </a:ln>
                  </pic:spPr>
                </pic:pic>
              </a:graphicData>
            </a:graphic>
            <wp14:sizeRelH relativeFrom="page">
              <wp14:pctWidth>0</wp14:pctWidth>
            </wp14:sizeRelH>
            <wp14:sizeRelV relativeFrom="page">
              <wp14:pctHeight>0</wp14:pctHeight>
            </wp14:sizeRelV>
          </wp:anchor>
        </w:drawing>
      </w:r>
      <w:r w:rsidR="00C51C89">
        <w:t>Insertion placentaire</w:t>
      </w:r>
    </w:p>
    <w:p w:rsidR="00C51C89" w:rsidRDefault="00C51C89" w:rsidP="006D0001">
      <w:pPr>
        <w:pStyle w:val="Sansinterligne"/>
        <w:numPr>
          <w:ilvl w:val="1"/>
          <w:numId w:val="519"/>
        </w:numPr>
      </w:pPr>
      <w:r>
        <w:t>Âge de grossesse</w:t>
      </w:r>
    </w:p>
    <w:p w:rsidR="00294191" w:rsidRDefault="00C51C89" w:rsidP="006D0001">
      <w:pPr>
        <w:pStyle w:val="Sansinterligne"/>
        <w:numPr>
          <w:ilvl w:val="0"/>
          <w:numId w:val="519"/>
        </w:numPr>
        <w:sectPr w:rsidR="00294191" w:rsidSect="00FD0AAD">
          <w:type w:val="continuous"/>
          <w:pgSz w:w="12240" w:h="15840"/>
          <w:pgMar w:top="720" w:right="720" w:bottom="720" w:left="720" w:header="708" w:footer="708" w:gutter="0"/>
          <w:cols w:space="708"/>
          <w:docGrid w:linePitch="360"/>
        </w:sectPr>
      </w:pPr>
      <w:r>
        <w:t>Échographie de croissance 28</w:t>
      </w:r>
      <w:r w:rsidRPr="00C51C89">
        <w:rPr>
          <w:vertAlign w:val="superscript"/>
        </w:rPr>
        <w:t>e</w:t>
      </w:r>
      <w:r>
        <w:t>-32</w:t>
      </w:r>
      <w:r w:rsidRPr="00C51C89">
        <w:rPr>
          <w:vertAlign w:val="superscript"/>
        </w:rPr>
        <w:t>e</w:t>
      </w:r>
      <w:r>
        <w:t xml:space="preserve"> semaine</w:t>
      </w:r>
    </w:p>
    <w:p w:rsidR="00294191" w:rsidRDefault="00294191" w:rsidP="00FD0AAD">
      <w:pPr>
        <w:pStyle w:val="Sansinterligne"/>
      </w:pPr>
    </w:p>
    <w:p w:rsidR="00FD0AAD" w:rsidRPr="000A0E03" w:rsidRDefault="00FD0AAD" w:rsidP="00FD0AAD">
      <w:pPr>
        <w:pStyle w:val="Sansinterligne"/>
      </w:pPr>
    </w:p>
    <w:p w:rsidR="00500C08" w:rsidRPr="00A14825" w:rsidRDefault="00500C08" w:rsidP="00500C08">
      <w:pPr>
        <w:pStyle w:val="Sansinterligne"/>
        <w:rPr>
          <w:b/>
          <w:highlight w:val="yellow"/>
        </w:rPr>
      </w:pPr>
      <w:r w:rsidRPr="00A14825">
        <w:rPr>
          <w:b/>
          <w:highlight w:val="yellow"/>
        </w:rPr>
        <w:t>Routine 2 (28 semaines)</w:t>
      </w:r>
    </w:p>
    <w:p w:rsidR="00500C08" w:rsidRPr="00A14825" w:rsidRDefault="00500C08" w:rsidP="006D0001">
      <w:pPr>
        <w:pStyle w:val="Sansinterligne"/>
        <w:numPr>
          <w:ilvl w:val="0"/>
          <w:numId w:val="514"/>
        </w:numPr>
        <w:rPr>
          <w:highlight w:val="yellow"/>
        </w:rPr>
      </w:pPr>
      <w:r w:rsidRPr="00A14825">
        <w:rPr>
          <w:highlight w:val="yellow"/>
        </w:rPr>
        <w:t>FSC</w:t>
      </w:r>
    </w:p>
    <w:p w:rsidR="00500C08" w:rsidRPr="00A14825" w:rsidRDefault="00500C08" w:rsidP="006D0001">
      <w:pPr>
        <w:pStyle w:val="Sansinterligne"/>
        <w:numPr>
          <w:ilvl w:val="0"/>
          <w:numId w:val="514"/>
        </w:numPr>
        <w:rPr>
          <w:highlight w:val="yellow"/>
        </w:rPr>
      </w:pPr>
      <w:r w:rsidRPr="00A14825">
        <w:rPr>
          <w:highlight w:val="yellow"/>
        </w:rPr>
        <w:t>SMU-DCA</w:t>
      </w:r>
      <w:r w:rsidR="007D4923">
        <w:rPr>
          <w:highlight w:val="yellow"/>
        </w:rPr>
        <w:t xml:space="preserve"> (Analyse et culture d’urine)</w:t>
      </w:r>
    </w:p>
    <w:p w:rsidR="00500C08" w:rsidRPr="00A14825" w:rsidRDefault="00500C08" w:rsidP="006D0001">
      <w:pPr>
        <w:pStyle w:val="Sansinterligne"/>
        <w:numPr>
          <w:ilvl w:val="0"/>
          <w:numId w:val="514"/>
        </w:numPr>
        <w:rPr>
          <w:highlight w:val="yellow"/>
        </w:rPr>
      </w:pPr>
      <w:r w:rsidRPr="00A14825">
        <w:rPr>
          <w:highlight w:val="yellow"/>
        </w:rPr>
        <w:t>Glycémie 1h post 50g de glucose (dépistage du diabète gestationnel)</w:t>
      </w:r>
    </w:p>
    <w:p w:rsidR="00500C08" w:rsidRPr="00A14825" w:rsidRDefault="00500C08" w:rsidP="006D0001">
      <w:pPr>
        <w:pStyle w:val="Sansinterligne"/>
        <w:numPr>
          <w:ilvl w:val="0"/>
          <w:numId w:val="514"/>
        </w:numPr>
        <w:rPr>
          <w:highlight w:val="yellow"/>
        </w:rPr>
      </w:pPr>
      <w:r w:rsidRPr="00A14825">
        <w:rPr>
          <w:highlight w:val="yellow"/>
        </w:rPr>
        <w:t>HBsAg</w:t>
      </w:r>
    </w:p>
    <w:p w:rsidR="00500C08" w:rsidRPr="00A14825" w:rsidRDefault="00500C08" w:rsidP="006D0001">
      <w:pPr>
        <w:pStyle w:val="Sansinterligne"/>
        <w:numPr>
          <w:ilvl w:val="0"/>
          <w:numId w:val="514"/>
        </w:numPr>
        <w:rPr>
          <w:highlight w:val="yellow"/>
        </w:rPr>
      </w:pPr>
      <w:r w:rsidRPr="00A14825">
        <w:rPr>
          <w:highlight w:val="yellow"/>
        </w:rPr>
        <w:t>Test de Coombs (éliminer alloimmunisation maternelle)</w:t>
      </w:r>
    </w:p>
    <w:p w:rsidR="00500C08" w:rsidRDefault="00500C08" w:rsidP="00500C08">
      <w:pPr>
        <w:pStyle w:val="Sansinterligne"/>
        <w:ind w:left="720"/>
      </w:pPr>
    </w:p>
    <w:p w:rsidR="00FD0AAD" w:rsidRDefault="00FD0AAD" w:rsidP="00F8279D">
      <w:pPr>
        <w:pStyle w:val="Sansinterligne"/>
      </w:pPr>
    </w:p>
    <w:p w:rsidR="007A767E" w:rsidRPr="007A767E" w:rsidRDefault="00FD0AAD" w:rsidP="00FD0AAD">
      <w:pPr>
        <w:pStyle w:val="Sansinterligne"/>
        <w:rPr>
          <w:highlight w:val="yellow"/>
          <w:u w:val="single"/>
        </w:rPr>
      </w:pPr>
      <w:r w:rsidRPr="007A767E">
        <w:rPr>
          <w:highlight w:val="yellow"/>
          <w:u w:val="single"/>
        </w:rPr>
        <w:t xml:space="preserve">Recherche de </w:t>
      </w:r>
      <w:r w:rsidRPr="007A767E">
        <w:rPr>
          <w:i/>
          <w:highlight w:val="yellow"/>
          <w:u w:val="single"/>
        </w:rPr>
        <w:t>Streptococcus agalactiae</w:t>
      </w:r>
      <w:r w:rsidRPr="007A767E">
        <w:rPr>
          <w:highlight w:val="yellow"/>
          <w:u w:val="single"/>
        </w:rPr>
        <w:t xml:space="preserve"> (SGB) </w:t>
      </w:r>
    </w:p>
    <w:p w:rsidR="007A767E" w:rsidRPr="007A767E" w:rsidRDefault="007A767E" w:rsidP="006D0001">
      <w:pPr>
        <w:pStyle w:val="Sansinterligne"/>
        <w:numPr>
          <w:ilvl w:val="0"/>
          <w:numId w:val="526"/>
        </w:numPr>
      </w:pPr>
      <w:r w:rsidRPr="007A767E">
        <w:t xml:space="preserve">Prélèvement </w:t>
      </w:r>
      <w:r w:rsidR="00FD0AAD" w:rsidRPr="007A767E">
        <w:t xml:space="preserve">ano-rectal et vaginal </w:t>
      </w:r>
    </w:p>
    <w:p w:rsidR="00FD0AAD" w:rsidRPr="007A767E" w:rsidRDefault="007A767E" w:rsidP="006D0001">
      <w:pPr>
        <w:pStyle w:val="Sansinterligne"/>
        <w:numPr>
          <w:ilvl w:val="0"/>
          <w:numId w:val="526"/>
        </w:numPr>
      </w:pPr>
      <w:r w:rsidRPr="007A767E">
        <w:t>À</w:t>
      </w:r>
      <w:r w:rsidR="00F72850">
        <w:t xml:space="preserve"> 35-57 semaines</w:t>
      </w:r>
    </w:p>
    <w:p w:rsidR="00FD0AAD" w:rsidRDefault="00FD0AAD" w:rsidP="006D0001">
      <w:pPr>
        <w:pStyle w:val="Sansinterligne"/>
        <w:numPr>
          <w:ilvl w:val="0"/>
          <w:numId w:val="516"/>
        </w:numPr>
      </w:pPr>
      <w:r>
        <w:t xml:space="preserve">Si positif ou si SMU-DCA+ pour SGB </w:t>
      </w:r>
      <w:r>
        <w:rPr>
          <w:rFonts w:ascii="Century Gothic" w:hAnsi="Century Gothic"/>
        </w:rPr>
        <w:t>→</w:t>
      </w:r>
      <w:r>
        <w:t xml:space="preserve"> couverture ATB intrapartum</w:t>
      </w:r>
    </w:p>
    <w:p w:rsidR="00FD0AAD" w:rsidRDefault="00FD0AAD" w:rsidP="00500C08">
      <w:pPr>
        <w:pStyle w:val="Sansinterligne"/>
        <w:ind w:left="720"/>
      </w:pPr>
    </w:p>
    <w:p w:rsidR="00FD0AAD" w:rsidRDefault="00FD0AAD" w:rsidP="00500C08">
      <w:pPr>
        <w:pStyle w:val="Sansinterligne"/>
        <w:ind w:left="720"/>
      </w:pPr>
    </w:p>
    <w:p w:rsidR="00FD0AAD" w:rsidRDefault="00E06FFD" w:rsidP="00E06FFD">
      <w:pPr>
        <w:pStyle w:val="Sansinterligne"/>
      </w:pPr>
      <w:r>
        <w:t>Si grossesse dépasse 41 semaines, référer en gynécologie-obstétrique pour prise en charge de grossesse post-terme vu accouchement plus risqu</w:t>
      </w:r>
      <w:r w:rsidR="00D457F8">
        <w:t>é</w:t>
      </w:r>
      <w:r>
        <w:t>s (macrosomes).</w:t>
      </w:r>
    </w:p>
    <w:p w:rsidR="004A7083" w:rsidRDefault="00040481" w:rsidP="00040481">
      <w:pPr>
        <w:pStyle w:val="Sansinterligne"/>
        <w:rPr>
          <w:b/>
          <w:sz w:val="28"/>
          <w:szCs w:val="28"/>
        </w:rPr>
      </w:pPr>
      <w:r w:rsidRPr="00500C08">
        <w:rPr>
          <w:b/>
          <w:sz w:val="28"/>
          <w:szCs w:val="28"/>
        </w:rPr>
        <w:t xml:space="preserve">Conditions prénatales </w:t>
      </w:r>
      <w:r w:rsidR="00500C08">
        <w:rPr>
          <w:b/>
          <w:sz w:val="28"/>
          <w:szCs w:val="28"/>
        </w:rPr>
        <w:t xml:space="preserve">et complications </w:t>
      </w:r>
      <w:r w:rsidRPr="00500C08">
        <w:rPr>
          <w:b/>
          <w:sz w:val="28"/>
          <w:szCs w:val="28"/>
        </w:rPr>
        <w:t>courantes</w:t>
      </w:r>
    </w:p>
    <w:p w:rsidR="00500C08" w:rsidRPr="00500C08" w:rsidRDefault="00500C08" w:rsidP="00040481">
      <w:pPr>
        <w:pStyle w:val="Sansinterligne"/>
      </w:pPr>
    </w:p>
    <w:tbl>
      <w:tblPr>
        <w:tblStyle w:val="Grilledutableau"/>
        <w:tblW w:w="0" w:type="auto"/>
        <w:tblLook w:val="04A0" w:firstRow="1" w:lastRow="0" w:firstColumn="1" w:lastColumn="0" w:noHBand="0" w:noVBand="1"/>
      </w:tblPr>
      <w:tblGrid>
        <w:gridCol w:w="2660"/>
        <w:gridCol w:w="3402"/>
        <w:gridCol w:w="4878"/>
      </w:tblGrid>
      <w:tr w:rsidR="00500C08" w:rsidRPr="00500C08" w:rsidTr="00CF5CA2">
        <w:tc>
          <w:tcPr>
            <w:tcW w:w="2660" w:type="dxa"/>
            <w:shd w:val="clear" w:color="auto" w:fill="C0504D" w:themeFill="accent2"/>
          </w:tcPr>
          <w:p w:rsidR="00500C08" w:rsidRPr="00500C08" w:rsidRDefault="00500C08" w:rsidP="00500C08">
            <w:pPr>
              <w:pStyle w:val="Sansinterligne"/>
              <w:jc w:val="center"/>
              <w:rPr>
                <w:b/>
              </w:rPr>
            </w:pPr>
            <w:r w:rsidRPr="00500C08">
              <w:rPr>
                <w:b/>
              </w:rPr>
              <w:t>Diagnostic</w:t>
            </w:r>
          </w:p>
        </w:tc>
        <w:tc>
          <w:tcPr>
            <w:tcW w:w="3402" w:type="dxa"/>
            <w:shd w:val="clear" w:color="auto" w:fill="C0504D" w:themeFill="accent2"/>
          </w:tcPr>
          <w:p w:rsidR="00500C08" w:rsidRPr="00500C08" w:rsidRDefault="00500C08" w:rsidP="00500C08">
            <w:pPr>
              <w:pStyle w:val="Sansinterligne"/>
              <w:jc w:val="center"/>
              <w:rPr>
                <w:b/>
              </w:rPr>
            </w:pPr>
            <w:r w:rsidRPr="00500C08">
              <w:rPr>
                <w:b/>
              </w:rPr>
              <w:t>Manifestations cliniques</w:t>
            </w:r>
          </w:p>
        </w:tc>
        <w:tc>
          <w:tcPr>
            <w:tcW w:w="4878" w:type="dxa"/>
            <w:shd w:val="clear" w:color="auto" w:fill="C0504D" w:themeFill="accent2"/>
          </w:tcPr>
          <w:p w:rsidR="00500C08" w:rsidRPr="00500C08" w:rsidRDefault="00500C08" w:rsidP="00500C08">
            <w:pPr>
              <w:pStyle w:val="Sansinterligne"/>
              <w:jc w:val="center"/>
              <w:rPr>
                <w:b/>
              </w:rPr>
            </w:pPr>
            <w:r w:rsidRPr="00500C08">
              <w:rPr>
                <w:b/>
              </w:rPr>
              <w:t>Prise en charge</w:t>
            </w:r>
          </w:p>
        </w:tc>
      </w:tr>
      <w:tr w:rsidR="00500C08" w:rsidRPr="00500C08" w:rsidTr="00CA25D3">
        <w:tc>
          <w:tcPr>
            <w:tcW w:w="2660" w:type="dxa"/>
            <w:shd w:val="clear" w:color="auto" w:fill="FFFF00"/>
          </w:tcPr>
          <w:p w:rsidR="00500C08" w:rsidRDefault="00500C08" w:rsidP="00500C08">
            <w:pPr>
              <w:pStyle w:val="Sansinterligne"/>
              <w:jc w:val="center"/>
            </w:pPr>
            <w:r>
              <w:t>Nausées/vomissements</w:t>
            </w:r>
          </w:p>
          <w:p w:rsidR="00964D61" w:rsidRDefault="00964D61" w:rsidP="00500C08">
            <w:pPr>
              <w:pStyle w:val="Sansinterligne"/>
              <w:jc w:val="center"/>
              <w:rPr>
                <w:rFonts w:cs="Times New Roman"/>
              </w:rPr>
            </w:pPr>
          </w:p>
          <w:p w:rsidR="00964D61" w:rsidRDefault="00964D61" w:rsidP="00500C08">
            <w:pPr>
              <w:pStyle w:val="Sansinterligne"/>
              <w:jc w:val="center"/>
              <w:rPr>
                <w:rFonts w:cs="Times New Roman"/>
              </w:rPr>
            </w:pPr>
          </w:p>
          <w:p w:rsidR="00500C08" w:rsidRDefault="00500C08" w:rsidP="00500C08">
            <w:pPr>
              <w:pStyle w:val="Sansinterligne"/>
              <w:jc w:val="center"/>
              <w:rPr>
                <w:rFonts w:cs="Times New Roman"/>
              </w:rPr>
            </w:pPr>
            <w:r>
              <w:rPr>
                <w:rFonts w:cs="Times New Roman"/>
              </w:rPr>
              <w:t>↓</w:t>
            </w:r>
          </w:p>
          <w:p w:rsidR="00964D61" w:rsidRDefault="00964D61" w:rsidP="00500C08">
            <w:pPr>
              <w:pStyle w:val="Sansinterligne"/>
              <w:jc w:val="center"/>
              <w:rPr>
                <w:rFonts w:cs="Times New Roman"/>
              </w:rPr>
            </w:pPr>
          </w:p>
          <w:p w:rsidR="00964D61" w:rsidRDefault="00964D61" w:rsidP="00500C08">
            <w:pPr>
              <w:pStyle w:val="Sansinterligne"/>
              <w:jc w:val="center"/>
            </w:pPr>
          </w:p>
          <w:p w:rsidR="00500C08" w:rsidRPr="00500C08" w:rsidRDefault="00500C08" w:rsidP="00500C08">
            <w:pPr>
              <w:pStyle w:val="Sansinterligne"/>
              <w:jc w:val="center"/>
            </w:pPr>
            <w:r>
              <w:t>Hyperemesis gravidarum</w:t>
            </w:r>
          </w:p>
        </w:tc>
        <w:tc>
          <w:tcPr>
            <w:tcW w:w="3402" w:type="dxa"/>
            <w:shd w:val="clear" w:color="auto" w:fill="FFFF00"/>
          </w:tcPr>
          <w:p w:rsidR="00500C08" w:rsidRDefault="00314C4C" w:rsidP="00964D61">
            <w:pPr>
              <w:pStyle w:val="Sansinterligne"/>
              <w:jc w:val="center"/>
            </w:pPr>
            <w:r>
              <w:t>Surtout au 1</w:t>
            </w:r>
            <w:r w:rsidRPr="00314C4C">
              <w:rPr>
                <w:vertAlign w:val="superscript"/>
              </w:rPr>
              <w:t>er</w:t>
            </w:r>
            <w:r>
              <w:t xml:space="preserve"> trimestre</w:t>
            </w:r>
          </w:p>
          <w:p w:rsidR="00314C4C" w:rsidRDefault="00314C4C" w:rsidP="00964D61">
            <w:pPr>
              <w:pStyle w:val="Sansinterligne"/>
              <w:jc w:val="center"/>
            </w:pPr>
          </w:p>
          <w:p w:rsidR="00964D61" w:rsidRDefault="00964D61" w:rsidP="00964D61">
            <w:pPr>
              <w:pStyle w:val="Sansinterligne"/>
              <w:jc w:val="center"/>
            </w:pPr>
          </w:p>
          <w:p w:rsidR="00964D61" w:rsidRDefault="00964D61" w:rsidP="00964D61">
            <w:pPr>
              <w:pStyle w:val="Sansinterligne"/>
              <w:jc w:val="center"/>
            </w:pPr>
          </w:p>
          <w:p w:rsidR="00964D61" w:rsidRDefault="00964D61" w:rsidP="00964D61">
            <w:pPr>
              <w:pStyle w:val="Sansinterligne"/>
              <w:jc w:val="center"/>
            </w:pPr>
          </w:p>
          <w:p w:rsidR="00964D61" w:rsidRDefault="00964D61" w:rsidP="00964D61">
            <w:pPr>
              <w:pStyle w:val="Sansinterligne"/>
              <w:jc w:val="center"/>
            </w:pPr>
          </w:p>
          <w:p w:rsidR="00314C4C" w:rsidRPr="00500C08" w:rsidRDefault="00964D61" w:rsidP="00964D61">
            <w:pPr>
              <w:pStyle w:val="Sansinterligne"/>
              <w:jc w:val="center"/>
            </w:pPr>
            <w:r>
              <w:t>No/Vo réfractaires/intraitable</w:t>
            </w:r>
          </w:p>
        </w:tc>
        <w:tc>
          <w:tcPr>
            <w:tcW w:w="4878" w:type="dxa"/>
            <w:shd w:val="clear" w:color="auto" w:fill="FFFF00"/>
          </w:tcPr>
          <w:p w:rsidR="00964D61" w:rsidRDefault="00964D61" w:rsidP="006D0001">
            <w:pPr>
              <w:pStyle w:val="Sansinterligne"/>
              <w:numPr>
                <w:ilvl w:val="0"/>
                <w:numId w:val="521"/>
              </w:numPr>
            </w:pPr>
            <w:r>
              <w:t>Cesser suppléments vitaminiques sauf B9</w:t>
            </w:r>
          </w:p>
          <w:p w:rsidR="00964D61" w:rsidRDefault="00964D61" w:rsidP="006D0001">
            <w:pPr>
              <w:pStyle w:val="Sansinterligne"/>
              <w:numPr>
                <w:ilvl w:val="0"/>
                <w:numId w:val="521"/>
              </w:numPr>
            </w:pPr>
            <w:r>
              <w:t xml:space="preserve">Diète BART </w:t>
            </w:r>
          </w:p>
          <w:p w:rsidR="00964D61" w:rsidRDefault="008276DC" w:rsidP="008276DC">
            <w:pPr>
              <w:pStyle w:val="Sansinterligne"/>
              <w:numPr>
                <w:ilvl w:val="1"/>
                <w:numId w:val="521"/>
              </w:numPr>
            </w:pPr>
            <w:r>
              <w:t>B</w:t>
            </w:r>
            <w:r w:rsidR="00964D61">
              <w:t>ananes, applesauce, riz, toast</w:t>
            </w:r>
          </w:p>
          <w:p w:rsidR="00964D61" w:rsidRDefault="00964D61" w:rsidP="006D0001">
            <w:pPr>
              <w:pStyle w:val="Sansinterligne"/>
              <w:numPr>
                <w:ilvl w:val="0"/>
                <w:numId w:val="521"/>
              </w:numPr>
            </w:pPr>
            <w:r>
              <w:t>Petits repas fréquents</w:t>
            </w:r>
          </w:p>
          <w:p w:rsidR="00964D61" w:rsidRDefault="00964D61" w:rsidP="006D0001">
            <w:pPr>
              <w:pStyle w:val="Sansinterligne"/>
              <w:numPr>
                <w:ilvl w:val="0"/>
                <w:numId w:val="521"/>
              </w:numPr>
            </w:pPr>
            <w:r>
              <w:t>Doxylamine 10 mg (Diclectin) PO  max 4-8/jour</w:t>
            </w:r>
          </w:p>
          <w:p w:rsidR="00964D61" w:rsidRDefault="00964D61" w:rsidP="006D0001">
            <w:pPr>
              <w:pStyle w:val="Sansinterligne"/>
              <w:numPr>
                <w:ilvl w:val="0"/>
                <w:numId w:val="521"/>
              </w:numPr>
            </w:pPr>
            <w:r>
              <w:t>Dimenhydrinate (Gravol) 2</w:t>
            </w:r>
            <w:r w:rsidRPr="00964D61">
              <w:rPr>
                <w:vertAlign w:val="superscript"/>
              </w:rPr>
              <w:t>e</w:t>
            </w:r>
            <w:r>
              <w:t xml:space="preserve"> ligne</w:t>
            </w:r>
          </w:p>
          <w:p w:rsidR="00964D61" w:rsidRPr="00500C08" w:rsidRDefault="00964D61" w:rsidP="006D0001">
            <w:pPr>
              <w:pStyle w:val="Sansinterligne"/>
              <w:numPr>
                <w:ilvl w:val="0"/>
                <w:numId w:val="521"/>
              </w:numPr>
            </w:pPr>
            <w:r>
              <w:t>Admission si sévère</w:t>
            </w:r>
            <w:r w:rsidR="00F90986">
              <w:t>, troubles électrolytiques</w:t>
            </w:r>
          </w:p>
        </w:tc>
      </w:tr>
      <w:tr w:rsidR="00500C08" w:rsidRPr="00500C08" w:rsidTr="00CA25D3">
        <w:tc>
          <w:tcPr>
            <w:tcW w:w="2660" w:type="dxa"/>
            <w:shd w:val="clear" w:color="auto" w:fill="FFFF00"/>
          </w:tcPr>
          <w:p w:rsidR="00500C08" w:rsidRPr="00500C08" w:rsidRDefault="00500C08" w:rsidP="00500C08">
            <w:pPr>
              <w:pStyle w:val="Sansinterligne"/>
              <w:jc w:val="center"/>
            </w:pPr>
            <w:r>
              <w:t>Retard de croissance intra-utérin (RCIU)</w:t>
            </w:r>
          </w:p>
        </w:tc>
        <w:tc>
          <w:tcPr>
            <w:tcW w:w="3402" w:type="dxa"/>
            <w:shd w:val="clear" w:color="auto" w:fill="FFFF00"/>
          </w:tcPr>
          <w:p w:rsidR="00500C08" w:rsidRDefault="00CA25D3" w:rsidP="00040481">
            <w:pPr>
              <w:pStyle w:val="Sansinterligne"/>
            </w:pPr>
            <w:r>
              <w:rPr>
                <w:rFonts w:ascii="Century Gothic" w:hAnsi="Century Gothic"/>
              </w:rPr>
              <w:t>&lt;</w:t>
            </w:r>
            <w:r>
              <w:t>10</w:t>
            </w:r>
            <w:r w:rsidRPr="00CA25D3">
              <w:rPr>
                <w:vertAlign w:val="superscript"/>
              </w:rPr>
              <w:t>e</w:t>
            </w:r>
            <w:r>
              <w:t xml:space="preserve"> percentile ou </w:t>
            </w:r>
            <w:r>
              <w:rPr>
                <w:rFonts w:ascii="Century Gothic" w:hAnsi="Century Gothic"/>
              </w:rPr>
              <w:t>&lt;</w:t>
            </w:r>
            <w:r>
              <w:t xml:space="preserve"> 2500g</w:t>
            </w:r>
          </w:p>
          <w:p w:rsidR="00CA25D3" w:rsidRPr="00500C08" w:rsidRDefault="00CA25D3" w:rsidP="00040481">
            <w:pPr>
              <w:pStyle w:val="Sansinterligne"/>
            </w:pPr>
            <w:r>
              <w:t>Symétrique vs asymétrique</w:t>
            </w:r>
          </w:p>
        </w:tc>
        <w:tc>
          <w:tcPr>
            <w:tcW w:w="4878" w:type="dxa"/>
            <w:shd w:val="clear" w:color="auto" w:fill="FFFF00"/>
          </w:tcPr>
          <w:p w:rsidR="00CA25D3" w:rsidRDefault="00CA25D3" w:rsidP="006D0001">
            <w:pPr>
              <w:pStyle w:val="Sansinterligne"/>
              <w:numPr>
                <w:ilvl w:val="0"/>
                <w:numId w:val="521"/>
              </w:numPr>
            </w:pPr>
            <w:r>
              <w:t>Recherche infection TORCH, anomalies congénitales, HTA, insuffisance placentaire, malnutrition, DB type 1, ROH/drogue/tabac</w:t>
            </w:r>
          </w:p>
          <w:p w:rsidR="00CA25D3" w:rsidRDefault="00CA25D3" w:rsidP="006D0001">
            <w:pPr>
              <w:pStyle w:val="Sansinterligne"/>
              <w:numPr>
                <w:ilvl w:val="0"/>
                <w:numId w:val="521"/>
              </w:numPr>
            </w:pPr>
            <w:r>
              <w:t>Modifier les facteurs modifiables</w:t>
            </w:r>
          </w:p>
          <w:p w:rsidR="00CA25D3" w:rsidRDefault="00CA25D3" w:rsidP="006D0001">
            <w:pPr>
              <w:pStyle w:val="Sansinterligne"/>
              <w:numPr>
                <w:ilvl w:val="0"/>
                <w:numId w:val="521"/>
              </w:numPr>
            </w:pPr>
            <w:r>
              <w:t>Échographie régulière (q 2 sem)</w:t>
            </w:r>
          </w:p>
          <w:p w:rsidR="00CA25D3" w:rsidRPr="00500C08" w:rsidRDefault="00CA25D3" w:rsidP="006D0001">
            <w:pPr>
              <w:pStyle w:val="Sansinterligne"/>
              <w:numPr>
                <w:ilvl w:val="0"/>
                <w:numId w:val="521"/>
              </w:numPr>
            </w:pPr>
            <w:r>
              <w:t>Accouchement dès que risques</w:t>
            </w:r>
            <w:r>
              <w:rPr>
                <w:rFonts w:ascii="Century Gothic" w:hAnsi="Century Gothic"/>
              </w:rPr>
              <w:t>&lt;</w:t>
            </w:r>
            <w:r>
              <w:t>bénéfices</w:t>
            </w:r>
          </w:p>
        </w:tc>
      </w:tr>
      <w:tr w:rsidR="00500C08" w:rsidRPr="00500C08" w:rsidTr="00CA25D3">
        <w:tc>
          <w:tcPr>
            <w:tcW w:w="2660" w:type="dxa"/>
          </w:tcPr>
          <w:p w:rsidR="00500C08" w:rsidRPr="00500C08" w:rsidRDefault="00500C08" w:rsidP="00500C08">
            <w:pPr>
              <w:pStyle w:val="Sansinterligne"/>
              <w:jc w:val="center"/>
            </w:pPr>
            <w:r>
              <w:t>Infection urinaire</w:t>
            </w:r>
          </w:p>
        </w:tc>
        <w:tc>
          <w:tcPr>
            <w:tcW w:w="3402" w:type="dxa"/>
          </w:tcPr>
          <w:p w:rsidR="00500C08" w:rsidRDefault="00F64385" w:rsidP="00040481">
            <w:pPr>
              <w:pStyle w:val="Sansinterligne"/>
            </w:pPr>
            <w:r>
              <w:t>Dysurie</w:t>
            </w:r>
          </w:p>
          <w:p w:rsidR="00F64385" w:rsidRDefault="00F64385" w:rsidP="00040481">
            <w:pPr>
              <w:pStyle w:val="Sansinterligne"/>
            </w:pPr>
            <w:r>
              <w:t>Urgenturie</w:t>
            </w:r>
          </w:p>
          <w:p w:rsidR="00F64385" w:rsidRDefault="00F64385" w:rsidP="00040481">
            <w:pPr>
              <w:pStyle w:val="Sansinterligne"/>
            </w:pPr>
            <w:r>
              <w:t>Pollakiurie</w:t>
            </w:r>
          </w:p>
          <w:p w:rsidR="00F64385" w:rsidRDefault="00F64385" w:rsidP="00040481">
            <w:pPr>
              <w:pStyle w:val="Sansinterligne"/>
            </w:pPr>
            <w:r>
              <w:t>Fièvre</w:t>
            </w:r>
          </w:p>
          <w:p w:rsidR="00F64385" w:rsidRPr="00500C08" w:rsidRDefault="00F64385" w:rsidP="00040481">
            <w:pPr>
              <w:pStyle w:val="Sansinterligne"/>
            </w:pPr>
            <w:r>
              <w:t xml:space="preserve">Douleur au flanc </w:t>
            </w:r>
            <w:r>
              <w:rPr>
                <w:rFonts w:cs="Times New Roman"/>
              </w:rPr>
              <w:t>±</w:t>
            </w:r>
            <w:r>
              <w:t xml:space="preserve"> punch rénal +</w:t>
            </w:r>
          </w:p>
        </w:tc>
        <w:tc>
          <w:tcPr>
            <w:tcW w:w="4878" w:type="dxa"/>
          </w:tcPr>
          <w:p w:rsidR="00500C08" w:rsidRDefault="00F64385" w:rsidP="006D0001">
            <w:pPr>
              <w:pStyle w:val="Sansinterligne"/>
              <w:numPr>
                <w:ilvl w:val="0"/>
                <w:numId w:val="522"/>
              </w:numPr>
            </w:pPr>
            <w:r>
              <w:t>SMU-DCA</w:t>
            </w:r>
          </w:p>
          <w:p w:rsidR="00F64385" w:rsidRDefault="00F64385" w:rsidP="006D0001">
            <w:pPr>
              <w:pStyle w:val="Sansinterligne"/>
              <w:numPr>
                <w:ilvl w:val="0"/>
                <w:numId w:val="522"/>
              </w:numPr>
            </w:pPr>
            <w:r>
              <w:t>Amoxicilline 250 mg PO TID x 7 jours</w:t>
            </w:r>
          </w:p>
          <w:p w:rsidR="00F64385" w:rsidRDefault="008276DC" w:rsidP="006D0001">
            <w:pPr>
              <w:pStyle w:val="Sansinterligne"/>
              <w:numPr>
                <w:ilvl w:val="0"/>
                <w:numId w:val="522"/>
              </w:numPr>
            </w:pPr>
            <w:r>
              <w:t>Nitrofur</w:t>
            </w:r>
            <w:r w:rsidR="00F64385">
              <w:t>an</w:t>
            </w:r>
            <w:r>
              <w:t>t</w:t>
            </w:r>
            <w:r w:rsidR="00F64385">
              <w:t>oine 100 mg PO BID x 7 jours</w:t>
            </w:r>
          </w:p>
          <w:p w:rsidR="00F64385" w:rsidRDefault="00F64385" w:rsidP="00040481">
            <w:pPr>
              <w:pStyle w:val="Sansinterligne"/>
            </w:pPr>
          </w:p>
          <w:p w:rsidR="00F64385" w:rsidRPr="00500C08" w:rsidRDefault="00F64385" w:rsidP="006D0001">
            <w:pPr>
              <w:pStyle w:val="Sansinterligne"/>
              <w:numPr>
                <w:ilvl w:val="0"/>
                <w:numId w:val="522"/>
              </w:numPr>
            </w:pPr>
            <w:r>
              <w:t xml:space="preserve">Si PNA </w:t>
            </w:r>
            <w:r>
              <w:rPr>
                <w:rFonts w:ascii="Century Gothic" w:hAnsi="Century Gothic"/>
              </w:rPr>
              <w:t>→</w:t>
            </w:r>
            <w:r>
              <w:t xml:space="preserve"> admission + ATB IV</w:t>
            </w:r>
          </w:p>
        </w:tc>
      </w:tr>
      <w:tr w:rsidR="00500C08" w:rsidRPr="007C68FD" w:rsidTr="00CA25D3">
        <w:tc>
          <w:tcPr>
            <w:tcW w:w="2660" w:type="dxa"/>
          </w:tcPr>
          <w:p w:rsidR="00500C08" w:rsidRPr="00500C08" w:rsidRDefault="00500C08" w:rsidP="00500C08">
            <w:pPr>
              <w:pStyle w:val="Sansinterligne"/>
              <w:jc w:val="center"/>
            </w:pPr>
            <w:r>
              <w:t>Thromboembolie veineuse</w:t>
            </w:r>
          </w:p>
        </w:tc>
        <w:tc>
          <w:tcPr>
            <w:tcW w:w="3402" w:type="dxa"/>
          </w:tcPr>
          <w:p w:rsidR="00500C08" w:rsidRDefault="007C68FD" w:rsidP="00040481">
            <w:pPr>
              <w:pStyle w:val="Sansinterligne"/>
            </w:pPr>
            <w:r>
              <w:t>Signes de thrombophlébite au MI</w:t>
            </w:r>
          </w:p>
          <w:p w:rsidR="007C68FD" w:rsidRDefault="007C68FD" w:rsidP="00040481">
            <w:pPr>
              <w:pStyle w:val="Sansinterligne"/>
            </w:pPr>
            <w:r>
              <w:t>Signes d’embolie pulmonaire</w:t>
            </w:r>
          </w:p>
          <w:p w:rsidR="007C68FD" w:rsidRPr="00500C08" w:rsidRDefault="007C68FD" w:rsidP="00040481">
            <w:pPr>
              <w:pStyle w:val="Sansinterligne"/>
            </w:pPr>
            <w:r>
              <w:t>Perte fœtale spontanée</w:t>
            </w:r>
          </w:p>
        </w:tc>
        <w:tc>
          <w:tcPr>
            <w:tcW w:w="4878" w:type="dxa"/>
          </w:tcPr>
          <w:p w:rsidR="00500C08" w:rsidRPr="007C68FD" w:rsidRDefault="007C68FD" w:rsidP="006D0001">
            <w:pPr>
              <w:pStyle w:val="Sansinterligne"/>
              <w:numPr>
                <w:ilvl w:val="0"/>
                <w:numId w:val="522"/>
              </w:numPr>
              <w:rPr>
                <w:lang w:val="de-DE"/>
              </w:rPr>
            </w:pPr>
            <w:r w:rsidRPr="007C68FD">
              <w:rPr>
                <w:lang w:val="de-DE"/>
              </w:rPr>
              <w:t>Écho-Doppler des MI</w:t>
            </w:r>
          </w:p>
          <w:p w:rsidR="007C68FD" w:rsidRDefault="007C68FD" w:rsidP="006D0001">
            <w:pPr>
              <w:pStyle w:val="Sansinterligne"/>
              <w:numPr>
                <w:ilvl w:val="0"/>
                <w:numId w:val="522"/>
              </w:numPr>
            </w:pPr>
            <w:r w:rsidRPr="007C68FD">
              <w:t xml:space="preserve">RXP </w:t>
            </w:r>
            <w:r w:rsidRPr="007C68FD">
              <w:rPr>
                <w:rFonts w:cs="Times New Roman"/>
              </w:rPr>
              <w:t>±</w:t>
            </w:r>
            <w:r w:rsidRPr="007C68FD">
              <w:t xml:space="preserve"> scintigraphie pulmonaire (Scan V/Q)</w:t>
            </w:r>
          </w:p>
          <w:p w:rsidR="007C68FD" w:rsidRDefault="007C68FD" w:rsidP="006D0001">
            <w:pPr>
              <w:pStyle w:val="Sansinterligne"/>
              <w:numPr>
                <w:ilvl w:val="0"/>
                <w:numId w:val="522"/>
              </w:numPr>
            </w:pPr>
            <w:r>
              <w:t>Héparine</w:t>
            </w:r>
          </w:p>
          <w:p w:rsidR="007C68FD" w:rsidRPr="007C68FD" w:rsidRDefault="007C68FD" w:rsidP="006D0001">
            <w:pPr>
              <w:pStyle w:val="Sansinterligne"/>
              <w:numPr>
                <w:ilvl w:val="0"/>
                <w:numId w:val="522"/>
              </w:numPr>
            </w:pPr>
            <w:r>
              <w:t>Bas compressifs</w:t>
            </w:r>
          </w:p>
        </w:tc>
      </w:tr>
      <w:tr w:rsidR="00500C08" w:rsidRPr="00500C08" w:rsidTr="00245BFC">
        <w:tc>
          <w:tcPr>
            <w:tcW w:w="2660" w:type="dxa"/>
            <w:shd w:val="clear" w:color="auto" w:fill="FFFF00"/>
          </w:tcPr>
          <w:p w:rsidR="00500C08" w:rsidRPr="00500C08" w:rsidRDefault="00500C08" w:rsidP="00500C08">
            <w:pPr>
              <w:pStyle w:val="Sansinterligne"/>
              <w:jc w:val="center"/>
            </w:pPr>
            <w:r>
              <w:t xml:space="preserve">Diabète </w:t>
            </w:r>
            <w:r w:rsidRPr="00FC3181">
              <w:rPr>
                <w:u w:val="single"/>
              </w:rPr>
              <w:t>gestationnel</w:t>
            </w:r>
          </w:p>
        </w:tc>
        <w:tc>
          <w:tcPr>
            <w:tcW w:w="3402" w:type="dxa"/>
            <w:shd w:val="clear" w:color="auto" w:fill="FFFF00"/>
          </w:tcPr>
          <w:p w:rsidR="00500C08" w:rsidRPr="00500C08" w:rsidRDefault="007A0800" w:rsidP="00040481">
            <w:pPr>
              <w:pStyle w:val="Sansinterligne"/>
            </w:pPr>
            <w:r>
              <w:t>Souvent débute vers 24-28 semaines</w:t>
            </w:r>
          </w:p>
        </w:tc>
        <w:tc>
          <w:tcPr>
            <w:tcW w:w="4878" w:type="dxa"/>
            <w:shd w:val="clear" w:color="auto" w:fill="FFFF00"/>
          </w:tcPr>
          <w:p w:rsidR="00500C08" w:rsidRDefault="00FC3181" w:rsidP="006D0001">
            <w:pPr>
              <w:pStyle w:val="Sansinterligne"/>
              <w:numPr>
                <w:ilvl w:val="0"/>
                <w:numId w:val="522"/>
              </w:numPr>
            </w:pPr>
            <w:r>
              <w:t>Amélioration de la diète</w:t>
            </w:r>
          </w:p>
          <w:p w:rsidR="00FC3181" w:rsidRDefault="00FC3181" w:rsidP="006D0001">
            <w:pPr>
              <w:pStyle w:val="Sansinterligne"/>
              <w:numPr>
                <w:ilvl w:val="0"/>
                <w:numId w:val="522"/>
              </w:numPr>
            </w:pPr>
            <w:r>
              <w:rPr>
                <w:rFonts w:ascii="Century Gothic" w:hAnsi="Century Gothic"/>
              </w:rPr>
              <w:t>↑</w:t>
            </w:r>
            <w:r>
              <w:t xml:space="preserve"> activité physique</w:t>
            </w:r>
          </w:p>
          <w:p w:rsidR="00FC3181" w:rsidRDefault="00FC3181" w:rsidP="006D0001">
            <w:pPr>
              <w:pStyle w:val="Sansinterligne"/>
              <w:numPr>
                <w:ilvl w:val="0"/>
                <w:numId w:val="522"/>
              </w:numPr>
            </w:pPr>
            <w:r>
              <w:t xml:space="preserve">Insulinothérapie si glycémie </w:t>
            </w:r>
            <w:r>
              <w:rPr>
                <w:rFonts w:cs="Times New Roman"/>
              </w:rPr>
              <w:t>Ø</w:t>
            </w:r>
            <w:r>
              <w:t xml:space="preserve"> normal</w:t>
            </w:r>
            <w:r w:rsidR="008276DC">
              <w:t>e</w:t>
            </w:r>
            <w:r>
              <w:t xml:space="preserve"> après 2 semaines</w:t>
            </w:r>
          </w:p>
          <w:p w:rsidR="00FC3181" w:rsidRDefault="00FC3181" w:rsidP="006D0001">
            <w:pPr>
              <w:pStyle w:val="Sansinterligne"/>
              <w:numPr>
                <w:ilvl w:val="0"/>
                <w:numId w:val="522"/>
              </w:numPr>
            </w:pPr>
            <w:r>
              <w:t xml:space="preserve">Cibles : Glycémie aléatoire </w:t>
            </w:r>
            <w:r>
              <w:rPr>
                <w:rFonts w:ascii="Century Gothic" w:hAnsi="Century Gothic"/>
              </w:rPr>
              <w:t>&lt;</w:t>
            </w:r>
            <w:r>
              <w:t xml:space="preserve"> 5,3</w:t>
            </w:r>
          </w:p>
          <w:p w:rsidR="00FC3181" w:rsidRPr="00500C08" w:rsidRDefault="00FC3181" w:rsidP="006D0001">
            <w:pPr>
              <w:pStyle w:val="Sansinterligne"/>
              <w:numPr>
                <w:ilvl w:val="0"/>
                <w:numId w:val="522"/>
              </w:numPr>
            </w:pPr>
            <w:r>
              <w:t>Suivi/dépistage post-partum</w:t>
            </w:r>
          </w:p>
        </w:tc>
      </w:tr>
    </w:tbl>
    <w:p w:rsidR="00500C08" w:rsidRPr="00500C08" w:rsidRDefault="00500C08" w:rsidP="00040481">
      <w:pPr>
        <w:pStyle w:val="Sansinterligne"/>
      </w:pPr>
    </w:p>
    <w:p w:rsidR="00500C08" w:rsidRPr="00500C08" w:rsidRDefault="00500C08" w:rsidP="00500C08">
      <w:pPr>
        <w:pStyle w:val="Sansinterligne"/>
        <w:rPr>
          <w:u w:val="single"/>
        </w:rPr>
      </w:pPr>
      <w:r w:rsidRPr="00500C08">
        <w:rPr>
          <w:u w:val="single"/>
        </w:rPr>
        <w:t>Référer la patiente en spécialité si présente une toxicomanie concomitante, des troubles hypertensifs de grossesse ou des troubles psychiatriques.</w:t>
      </w:r>
    </w:p>
    <w:p w:rsidR="00500C08" w:rsidRDefault="00500C08" w:rsidP="00500C08">
      <w:pPr>
        <w:pStyle w:val="Sansinterligne"/>
        <w:ind w:left="720"/>
      </w:pPr>
    </w:p>
    <w:p w:rsidR="00B631AD" w:rsidRDefault="00B631AD" w:rsidP="00B631AD">
      <w:pPr>
        <w:pStyle w:val="Sansinterligne"/>
        <w:rPr>
          <w:b/>
          <w:sz w:val="28"/>
          <w:szCs w:val="28"/>
        </w:rPr>
      </w:pPr>
      <w:r w:rsidRPr="009F604E">
        <w:rPr>
          <w:b/>
          <w:sz w:val="28"/>
          <w:szCs w:val="28"/>
        </w:rPr>
        <w:t xml:space="preserve">Dépistage génétique </w:t>
      </w:r>
    </w:p>
    <w:p w:rsidR="009F604E" w:rsidRPr="009F604E" w:rsidRDefault="009F604E" w:rsidP="00B631AD">
      <w:pPr>
        <w:pStyle w:val="Sansinterligne"/>
      </w:pPr>
    </w:p>
    <w:p w:rsidR="000A0E03" w:rsidRPr="009F604E" w:rsidRDefault="006E7781" w:rsidP="00B631AD">
      <w:pPr>
        <w:pStyle w:val="Sansinterligne"/>
        <w:rPr>
          <w:b/>
        </w:rPr>
      </w:pPr>
      <w:r w:rsidRPr="004526B3">
        <w:rPr>
          <w:b/>
          <w:highlight w:val="yellow"/>
        </w:rPr>
        <w:t>Trisomie 21</w:t>
      </w:r>
      <w:r w:rsidR="000A17F2" w:rsidRPr="004526B3">
        <w:rPr>
          <w:b/>
          <w:highlight w:val="yellow"/>
        </w:rPr>
        <w:t xml:space="preserve"> (10</w:t>
      </w:r>
      <w:r w:rsidR="000A17F2" w:rsidRPr="004526B3">
        <w:rPr>
          <w:b/>
          <w:highlight w:val="yellow"/>
          <w:vertAlign w:val="superscript"/>
        </w:rPr>
        <w:t>e</w:t>
      </w:r>
      <w:r w:rsidR="000A17F2" w:rsidRPr="004526B3">
        <w:rPr>
          <w:b/>
          <w:highlight w:val="yellow"/>
        </w:rPr>
        <w:t>-17</w:t>
      </w:r>
      <w:r w:rsidR="000A17F2" w:rsidRPr="004526B3">
        <w:rPr>
          <w:b/>
          <w:highlight w:val="yellow"/>
          <w:vertAlign w:val="superscript"/>
        </w:rPr>
        <w:t>e</w:t>
      </w:r>
      <w:r w:rsidR="000A17F2" w:rsidRPr="004526B3">
        <w:rPr>
          <w:b/>
          <w:highlight w:val="yellow"/>
        </w:rPr>
        <w:t xml:space="preserve"> semaine)</w:t>
      </w:r>
    </w:p>
    <w:p w:rsidR="006E7781" w:rsidRDefault="006E7781" w:rsidP="006D0001">
      <w:pPr>
        <w:pStyle w:val="Sansinterligne"/>
        <w:numPr>
          <w:ilvl w:val="0"/>
          <w:numId w:val="515"/>
        </w:numPr>
      </w:pPr>
      <w:r>
        <w:t>Demander l’avis de la patiente (</w:t>
      </w:r>
      <w:r>
        <w:rPr>
          <w:rFonts w:cs="Times New Roman"/>
        </w:rPr>
        <w:t>Ø</w:t>
      </w:r>
      <w:r>
        <w:t xml:space="preserve"> obligatoire)</w:t>
      </w:r>
    </w:p>
    <w:p w:rsidR="006E7781" w:rsidRDefault="006E7781" w:rsidP="006D0001">
      <w:pPr>
        <w:pStyle w:val="Sansinterligne"/>
        <w:numPr>
          <w:ilvl w:val="0"/>
          <w:numId w:val="515"/>
        </w:numPr>
      </w:pPr>
      <w:r>
        <w:t xml:space="preserve">L’aviser qu’il s’agit de dépistage, </w:t>
      </w:r>
      <w:r>
        <w:rPr>
          <w:rFonts w:cs="Times New Roman"/>
        </w:rPr>
        <w:t>Ø</w:t>
      </w:r>
      <w:r>
        <w:t xml:space="preserve"> diagnostic</w:t>
      </w:r>
    </w:p>
    <w:p w:rsidR="006E7781" w:rsidRDefault="006E7781" w:rsidP="006D0001">
      <w:pPr>
        <w:pStyle w:val="Sansinterligne"/>
        <w:numPr>
          <w:ilvl w:val="1"/>
          <w:numId w:val="515"/>
        </w:numPr>
        <w:rPr>
          <w:lang w:val="de-DE"/>
        </w:rPr>
      </w:pPr>
      <w:r w:rsidRPr="006E7781">
        <w:rPr>
          <w:lang w:val="de-DE"/>
        </w:rPr>
        <w:t>Dosage PAPP-A (10</w:t>
      </w:r>
      <w:r w:rsidRPr="006E7781">
        <w:rPr>
          <w:vertAlign w:val="superscript"/>
          <w:lang w:val="de-DE"/>
        </w:rPr>
        <w:t>e</w:t>
      </w:r>
      <w:r w:rsidRPr="006E7781">
        <w:rPr>
          <w:lang w:val="de-DE"/>
        </w:rPr>
        <w:t>-14</w:t>
      </w:r>
      <w:r w:rsidRPr="006E7781">
        <w:rPr>
          <w:vertAlign w:val="superscript"/>
          <w:lang w:val="de-DE"/>
        </w:rPr>
        <w:t>e</w:t>
      </w:r>
      <w:r w:rsidRPr="006E7781">
        <w:rPr>
          <w:lang w:val="de-DE"/>
        </w:rPr>
        <w:t xml:space="preserve"> sem)</w:t>
      </w:r>
      <w:r>
        <w:rPr>
          <w:lang w:val="de-DE"/>
        </w:rPr>
        <w:t xml:space="preserve"> + Dosage AFP-hCG-uE3-inhibine A (14-17e sem)</w:t>
      </w:r>
    </w:p>
    <w:p w:rsidR="006E7781" w:rsidRDefault="006E7781" w:rsidP="006E7781">
      <w:pPr>
        <w:pStyle w:val="Sansinterligne"/>
        <w:ind w:left="1440"/>
        <w:rPr>
          <w:lang w:val="de-DE"/>
        </w:rPr>
      </w:pPr>
      <w:r>
        <w:rPr>
          <w:rFonts w:cs="Times New Roman"/>
          <w:lang w:val="de-DE"/>
        </w:rPr>
        <w:t>±</w:t>
      </w:r>
      <w:r>
        <w:rPr>
          <w:lang w:val="de-DE"/>
        </w:rPr>
        <w:t xml:space="preserve"> clarté nucale</w:t>
      </w:r>
    </w:p>
    <w:p w:rsidR="006E7781" w:rsidRPr="004526B3" w:rsidRDefault="006F5137" w:rsidP="006D0001">
      <w:pPr>
        <w:pStyle w:val="Sansinterligne"/>
        <w:numPr>
          <w:ilvl w:val="1"/>
          <w:numId w:val="515"/>
        </w:numPr>
      </w:pPr>
      <w:r>
        <w:rPr>
          <w:noProof/>
          <w:lang w:eastAsia="fr-CA"/>
        </w:rPr>
        <w:drawing>
          <wp:anchor distT="0" distB="0" distL="114300" distR="114300" simplePos="0" relativeHeight="251806720" behindDoc="0" locked="0" layoutInCell="1" allowOverlap="1" wp14:anchorId="3721B00E" wp14:editId="226BDD4F">
            <wp:simplePos x="0" y="0"/>
            <wp:positionH relativeFrom="column">
              <wp:posOffset>4483735</wp:posOffset>
            </wp:positionH>
            <wp:positionV relativeFrom="paragraph">
              <wp:posOffset>113030</wp:posOffset>
            </wp:positionV>
            <wp:extent cx="2499360" cy="1783715"/>
            <wp:effectExtent l="0" t="0" r="0" b="6985"/>
            <wp:wrapNone/>
            <wp:docPr id="325" name="Image 325" descr="Résultats de recherche d'images pour « clarté nuca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Résultats de recherche d'images pour « clarté nucale »"/>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2499360" cy="1783715"/>
                    </a:xfrm>
                    <a:prstGeom prst="rect">
                      <a:avLst/>
                    </a:prstGeom>
                    <a:noFill/>
                    <a:ln>
                      <a:noFill/>
                    </a:ln>
                  </pic:spPr>
                </pic:pic>
              </a:graphicData>
            </a:graphic>
            <wp14:sizeRelH relativeFrom="page">
              <wp14:pctWidth>0</wp14:pctWidth>
            </wp14:sizeRelH>
            <wp14:sizeRelV relativeFrom="page">
              <wp14:pctHeight>0</wp14:pctHeight>
            </wp14:sizeRelV>
          </wp:anchor>
        </w:drawing>
      </w:r>
      <w:r w:rsidR="006E7781" w:rsidRPr="004526B3">
        <w:t xml:space="preserve">Amniocentèse </w:t>
      </w:r>
      <w:r w:rsidR="008276DC">
        <w:t xml:space="preserve">DX </w:t>
      </w:r>
      <w:r w:rsidR="006E7781" w:rsidRPr="004526B3">
        <w:t xml:space="preserve">si </w:t>
      </w:r>
      <w:r w:rsidR="006E7781" w:rsidRPr="004526B3">
        <w:rPr>
          <w:rFonts w:ascii="Century Gothic" w:hAnsi="Century Gothic"/>
        </w:rPr>
        <w:t xml:space="preserve">≥ </w:t>
      </w:r>
      <w:r w:rsidR="006E7781" w:rsidRPr="004526B3">
        <w:t>1 : 300</w:t>
      </w:r>
      <w:r w:rsidR="004526B3" w:rsidRPr="004526B3">
        <w:t xml:space="preserve"> </w:t>
      </w:r>
      <w:r w:rsidR="004526B3" w:rsidRPr="004526B3">
        <w:rPr>
          <w:rFonts w:ascii="Century Gothic" w:hAnsi="Century Gothic"/>
        </w:rPr>
        <w:t>→</w:t>
      </w:r>
      <w:r w:rsidR="004526B3" w:rsidRPr="004526B3">
        <w:t xml:space="preserve"> </w:t>
      </w:r>
      <w:r w:rsidR="004526B3" w:rsidRPr="004526B3">
        <w:rPr>
          <w:rFonts w:cs="Times New Roman"/>
          <w:highlight w:val="yellow"/>
        </w:rPr>
        <w:t>±</w:t>
      </w:r>
      <w:r w:rsidR="008276DC">
        <w:rPr>
          <w:rFonts w:cs="Times New Roman"/>
          <w:highlight w:val="yellow"/>
        </w:rPr>
        <w:t xml:space="preserve"> </w:t>
      </w:r>
      <w:r w:rsidR="004526B3" w:rsidRPr="004526B3">
        <w:rPr>
          <w:highlight w:val="yellow"/>
        </w:rPr>
        <w:t>référence en génétique</w:t>
      </w:r>
    </w:p>
    <w:p w:rsidR="006E7781" w:rsidRPr="006E7781" w:rsidRDefault="006E7781" w:rsidP="006D0001">
      <w:pPr>
        <w:pStyle w:val="Sansinterligne"/>
        <w:numPr>
          <w:ilvl w:val="1"/>
          <w:numId w:val="515"/>
        </w:numPr>
      </w:pPr>
      <w:r w:rsidRPr="006E7781">
        <w:t xml:space="preserve">Si </w:t>
      </w:r>
      <w:r w:rsidRPr="006E7781">
        <w:rPr>
          <w:rFonts w:ascii="Century Gothic" w:hAnsi="Century Gothic"/>
        </w:rPr>
        <w:t>&gt;</w:t>
      </w:r>
      <w:r w:rsidRPr="006E7781">
        <w:t xml:space="preserve"> 35 ans, amniocentèse/biopsie choriale </w:t>
      </w:r>
      <w:r w:rsidRPr="006E7781">
        <w:rPr>
          <w:u w:val="single"/>
        </w:rPr>
        <w:t>possible</w:t>
      </w:r>
      <w:r w:rsidR="008276DC">
        <w:t xml:space="preserve"> d’</w:t>
      </w:r>
      <w:r w:rsidRPr="006E7781">
        <w:t>emblée</w:t>
      </w:r>
    </w:p>
    <w:p w:rsidR="006E7781" w:rsidRPr="004526B3" w:rsidRDefault="004526B3" w:rsidP="00B631AD">
      <w:pPr>
        <w:pStyle w:val="Sansinterligne"/>
        <w:rPr>
          <w:b/>
          <w:highlight w:val="yellow"/>
        </w:rPr>
      </w:pPr>
      <w:r w:rsidRPr="004526B3">
        <w:rPr>
          <w:b/>
          <w:highlight w:val="yellow"/>
        </w:rPr>
        <w:t>Thalassémie</w:t>
      </w:r>
    </w:p>
    <w:p w:rsidR="004526B3" w:rsidRPr="004526B3" w:rsidRDefault="004526B3" w:rsidP="006D0001">
      <w:pPr>
        <w:pStyle w:val="Sansinterligne"/>
        <w:numPr>
          <w:ilvl w:val="0"/>
          <w:numId w:val="517"/>
        </w:numPr>
        <w:rPr>
          <w:highlight w:val="yellow"/>
        </w:rPr>
      </w:pPr>
      <w:r w:rsidRPr="004526B3">
        <w:rPr>
          <w:highlight w:val="yellow"/>
        </w:rPr>
        <w:t>Y penser chez Méditerranéen, Sud-Est-Asiatique, Pacifique occidental</w:t>
      </w:r>
    </w:p>
    <w:p w:rsidR="004526B3" w:rsidRDefault="004526B3" w:rsidP="006D0001">
      <w:pPr>
        <w:pStyle w:val="Sansinterligne"/>
        <w:numPr>
          <w:ilvl w:val="0"/>
          <w:numId w:val="517"/>
        </w:numPr>
      </w:pPr>
      <w:r>
        <w:t xml:space="preserve">FSC + Électrophorèse de l’hémoglobine </w:t>
      </w:r>
    </w:p>
    <w:p w:rsidR="004526B3" w:rsidRPr="004526B3" w:rsidRDefault="004526B3" w:rsidP="004526B3">
      <w:pPr>
        <w:pStyle w:val="Sansinterligne"/>
        <w:rPr>
          <w:b/>
          <w:highlight w:val="yellow"/>
        </w:rPr>
      </w:pPr>
      <w:r w:rsidRPr="004526B3">
        <w:rPr>
          <w:b/>
          <w:highlight w:val="yellow"/>
        </w:rPr>
        <w:t>Anémie falciforme</w:t>
      </w:r>
    </w:p>
    <w:p w:rsidR="004526B3" w:rsidRPr="004526B3" w:rsidRDefault="004526B3" w:rsidP="006D0001">
      <w:pPr>
        <w:pStyle w:val="Sansinterligne"/>
        <w:numPr>
          <w:ilvl w:val="0"/>
          <w:numId w:val="518"/>
        </w:numPr>
        <w:rPr>
          <w:highlight w:val="yellow"/>
        </w:rPr>
      </w:pPr>
      <w:r w:rsidRPr="004526B3">
        <w:rPr>
          <w:highlight w:val="yellow"/>
        </w:rPr>
        <w:t xml:space="preserve">Y penser chez Africains, Antillais </w:t>
      </w:r>
    </w:p>
    <w:p w:rsidR="004526B3" w:rsidRDefault="004526B3" w:rsidP="006D0001">
      <w:pPr>
        <w:pStyle w:val="Sansinterligne"/>
        <w:numPr>
          <w:ilvl w:val="0"/>
          <w:numId w:val="518"/>
        </w:numPr>
      </w:pPr>
      <w:r>
        <w:t xml:space="preserve">FSC + Électrophorèse de l’hémoglobine </w:t>
      </w:r>
    </w:p>
    <w:p w:rsidR="004526B3" w:rsidRDefault="004526B3" w:rsidP="004526B3">
      <w:pPr>
        <w:pStyle w:val="Sansinterligne"/>
      </w:pPr>
    </w:p>
    <w:p w:rsidR="004526B3" w:rsidRPr="006E7781" w:rsidRDefault="004526B3" w:rsidP="00B631AD">
      <w:pPr>
        <w:pStyle w:val="Sansinterligne"/>
      </w:pPr>
    </w:p>
    <w:p w:rsidR="004D5CFC" w:rsidRPr="00852A4B" w:rsidRDefault="004D5CFC" w:rsidP="004D5CFC">
      <w:pPr>
        <w:pStyle w:val="Sansinterligne"/>
        <w:rPr>
          <w:b/>
          <w:sz w:val="28"/>
          <w:szCs w:val="28"/>
        </w:rPr>
      </w:pPr>
      <w:r w:rsidRPr="00852A4B">
        <w:rPr>
          <w:b/>
          <w:sz w:val="28"/>
          <w:szCs w:val="28"/>
        </w:rPr>
        <w:t>Surveillance fœtale (TRF, Profil biophysique, etc.)</w:t>
      </w:r>
    </w:p>
    <w:p w:rsidR="00CB1CD4" w:rsidRDefault="00CB1CD4" w:rsidP="004D5CFC">
      <w:pPr>
        <w:pStyle w:val="Sansinterligne"/>
      </w:pPr>
    </w:p>
    <w:p w:rsidR="00FD0AAD" w:rsidRPr="00FD0AAD" w:rsidRDefault="00FD0AAD" w:rsidP="004D5CFC">
      <w:pPr>
        <w:pStyle w:val="Sansinterligne"/>
        <w:rPr>
          <w:u w:val="single"/>
        </w:rPr>
      </w:pPr>
      <w:r w:rsidRPr="002E2204">
        <w:rPr>
          <w:highlight w:val="yellow"/>
          <w:u w:val="single"/>
        </w:rPr>
        <w:t>Non-stress test (tracé de réactivité fœtal – TRF)</w:t>
      </w:r>
    </w:p>
    <w:p w:rsidR="00FD0AAD" w:rsidRDefault="00FD0AAD" w:rsidP="006D0001">
      <w:pPr>
        <w:pStyle w:val="Sansinterligne"/>
        <w:numPr>
          <w:ilvl w:val="0"/>
          <w:numId w:val="524"/>
        </w:numPr>
      </w:pPr>
      <w:r>
        <w:t xml:space="preserve">Tracé fœtal </w:t>
      </w:r>
      <w:r w:rsidR="008276DC" w:rsidRPr="008276DC">
        <w:rPr>
          <w:rFonts w:cs="Times New Roman"/>
        </w:rPr>
        <w:t>sur</w:t>
      </w:r>
      <w:r>
        <w:t xml:space="preserve"> 20 </w:t>
      </w:r>
      <w:r w:rsidR="008276DC">
        <w:t>minutes</w:t>
      </w:r>
      <w:r>
        <w:t xml:space="preserve"> avec Doppler externe</w:t>
      </w:r>
    </w:p>
    <w:p w:rsidR="00FD0AAD" w:rsidRDefault="00FD0AAD" w:rsidP="006D0001">
      <w:pPr>
        <w:pStyle w:val="Sansinterligne"/>
        <w:numPr>
          <w:ilvl w:val="0"/>
          <w:numId w:val="524"/>
        </w:numPr>
      </w:pPr>
      <w:r>
        <w:t>Indiqué si doute quant au bien-être fœtal ou suspicion d’insuffisance utéroplacentaire</w:t>
      </w:r>
    </w:p>
    <w:p w:rsidR="00FD0AAD" w:rsidRDefault="00FD0AAD" w:rsidP="006D0001">
      <w:pPr>
        <w:pStyle w:val="Sansinterligne"/>
        <w:numPr>
          <w:ilvl w:val="0"/>
          <w:numId w:val="524"/>
        </w:numPr>
        <w:rPr>
          <w:i/>
        </w:rPr>
      </w:pPr>
      <w:r>
        <w:t xml:space="preserve">Interprétation similaire au cardiotocographe (mais pas de CU) – voir </w:t>
      </w:r>
      <w:r w:rsidRPr="00FD0AAD">
        <w:rPr>
          <w:i/>
        </w:rPr>
        <w:t>Soins intrapartum et postpartum CMC 80-2</w:t>
      </w:r>
    </w:p>
    <w:p w:rsidR="00FD0AAD" w:rsidRDefault="00FD0AAD" w:rsidP="004D5CFC">
      <w:pPr>
        <w:pStyle w:val="Sansinterligne"/>
      </w:pPr>
    </w:p>
    <w:p w:rsidR="00FD0AAD" w:rsidRPr="00FD0AAD" w:rsidRDefault="00FD0AAD" w:rsidP="004D5CFC">
      <w:pPr>
        <w:pStyle w:val="Sansinterligne"/>
        <w:rPr>
          <w:u w:val="single"/>
        </w:rPr>
      </w:pPr>
      <w:r w:rsidRPr="002E2204">
        <w:rPr>
          <w:highlight w:val="yellow"/>
          <w:u w:val="single"/>
        </w:rPr>
        <w:t>Profil biophysique</w:t>
      </w:r>
    </w:p>
    <w:p w:rsidR="00240879" w:rsidRDefault="00FD0AAD" w:rsidP="006D0001">
      <w:pPr>
        <w:pStyle w:val="Sansinterligne"/>
        <w:numPr>
          <w:ilvl w:val="0"/>
          <w:numId w:val="523"/>
        </w:numPr>
      </w:pPr>
      <w:r>
        <w:t>Échographie</w:t>
      </w:r>
    </w:p>
    <w:p w:rsidR="00FD0AAD" w:rsidRDefault="00FD0AAD" w:rsidP="006D0001">
      <w:pPr>
        <w:pStyle w:val="Sansinterligne"/>
        <w:numPr>
          <w:ilvl w:val="0"/>
          <w:numId w:val="523"/>
        </w:numPr>
      </w:pPr>
      <w:r>
        <w:t xml:space="preserve">Indiqué si TRF anormal, grossesse post-terme, </w:t>
      </w:r>
      <w:r>
        <w:rPr>
          <w:rFonts w:cs="Times New Roman"/>
        </w:rPr>
        <w:t>↓</w:t>
      </w:r>
      <w:r>
        <w:t xml:space="preserve"> mouvements fœtaux ou doute quant au bien-être fœtal</w:t>
      </w:r>
    </w:p>
    <w:p w:rsidR="00FD0AAD" w:rsidRDefault="00FD0AAD" w:rsidP="006D0001">
      <w:pPr>
        <w:pStyle w:val="Sansinterligne"/>
        <w:numPr>
          <w:ilvl w:val="0"/>
          <w:numId w:val="523"/>
        </w:numPr>
      </w:pPr>
      <w:r>
        <w:t>Évalue la quantité de liquide amniotique, la respiration, les mouvements et le tonus</w:t>
      </w:r>
    </w:p>
    <w:p w:rsidR="00FD0AAD" w:rsidRPr="00240879" w:rsidRDefault="00FD0AAD" w:rsidP="00FD0AAD">
      <w:pPr>
        <w:pStyle w:val="Sansinterligne"/>
        <w:ind w:left="720"/>
      </w:pPr>
    </w:p>
    <w:p w:rsidR="004D5CFC" w:rsidRPr="00240879" w:rsidRDefault="004D5CFC" w:rsidP="004D5CFC">
      <w:pPr>
        <w:pStyle w:val="Sansinterligne"/>
        <w:rPr>
          <w:b/>
          <w:sz w:val="28"/>
          <w:szCs w:val="28"/>
        </w:rPr>
      </w:pPr>
      <w:r w:rsidRPr="00240879">
        <w:rPr>
          <w:b/>
          <w:sz w:val="28"/>
          <w:szCs w:val="28"/>
        </w:rPr>
        <w:t>Présentation en fin de grossesse</w:t>
      </w:r>
    </w:p>
    <w:p w:rsidR="004D5CFC" w:rsidRDefault="004D5CFC">
      <w:pPr>
        <w:rPr>
          <w:rFonts w:cs="Times New Roman"/>
          <w:b/>
          <w:color w:val="548DD4" w:themeColor="text2" w:themeTint="99"/>
        </w:rPr>
      </w:pPr>
    </w:p>
    <w:p w:rsidR="00FD0AAD" w:rsidRDefault="00FD0AAD" w:rsidP="006D0001">
      <w:pPr>
        <w:pStyle w:val="Sansinterligne"/>
        <w:numPr>
          <w:ilvl w:val="0"/>
          <w:numId w:val="525"/>
        </w:numPr>
      </w:pPr>
      <w:r>
        <w:t>Évaluer la présentation fœtale</w:t>
      </w:r>
    </w:p>
    <w:p w:rsidR="00FD0AAD" w:rsidRDefault="00FD0AAD" w:rsidP="006D0001">
      <w:pPr>
        <w:pStyle w:val="Sansinterligne"/>
        <w:numPr>
          <w:ilvl w:val="0"/>
          <w:numId w:val="525"/>
        </w:numPr>
      </w:pPr>
      <w:r>
        <w:t>Si siège, référence en gynécologie-obstétrique pour tenter une version ou envisager césarienne</w:t>
      </w:r>
    </w:p>
    <w:p w:rsidR="00DF5115" w:rsidRDefault="00DF5115" w:rsidP="006D0001">
      <w:pPr>
        <w:pStyle w:val="Sansinterligne"/>
        <w:numPr>
          <w:ilvl w:val="0"/>
          <w:numId w:val="525"/>
        </w:numPr>
      </w:pPr>
      <w:r>
        <w:t>Si transverse, envisager césarienne</w:t>
      </w:r>
    </w:p>
    <w:p w:rsidR="004D5CFC" w:rsidRDefault="00E455A8">
      <w:pPr>
        <w:rPr>
          <w:rFonts w:cs="Times New Roman"/>
          <w:b/>
          <w:color w:val="548DD4" w:themeColor="text2" w:themeTint="99"/>
        </w:rPr>
      </w:pPr>
      <w:r>
        <w:rPr>
          <w:rFonts w:cs="Times New Roman"/>
          <w:b/>
          <w:noProof/>
          <w:color w:val="548DD4" w:themeColor="text2" w:themeTint="99"/>
          <w:lang w:eastAsia="fr-CA"/>
        </w:rPr>
        <mc:AlternateContent>
          <mc:Choice Requires="wpg">
            <w:drawing>
              <wp:anchor distT="0" distB="0" distL="114300" distR="114300" simplePos="0" relativeHeight="251803648" behindDoc="0" locked="0" layoutInCell="1" allowOverlap="1" wp14:anchorId="1F15D979" wp14:editId="2444AC28">
                <wp:simplePos x="0" y="0"/>
                <wp:positionH relativeFrom="column">
                  <wp:posOffset>514985</wp:posOffset>
                </wp:positionH>
                <wp:positionV relativeFrom="paragraph">
                  <wp:posOffset>83185</wp:posOffset>
                </wp:positionV>
                <wp:extent cx="5885180" cy="4026535"/>
                <wp:effectExtent l="0" t="0" r="1270" b="0"/>
                <wp:wrapNone/>
                <wp:docPr id="322" name="Groupe 322"/>
                <wp:cNvGraphicFramePr/>
                <a:graphic xmlns:a="http://schemas.openxmlformats.org/drawingml/2006/main">
                  <a:graphicData uri="http://schemas.microsoft.com/office/word/2010/wordprocessingGroup">
                    <wpg:wgp>
                      <wpg:cNvGrpSpPr/>
                      <wpg:grpSpPr>
                        <a:xfrm>
                          <a:off x="0" y="0"/>
                          <a:ext cx="5885180" cy="4026535"/>
                          <a:chOff x="0" y="0"/>
                          <a:chExt cx="5885221" cy="4026535"/>
                        </a:xfrm>
                      </wpg:grpSpPr>
                      <wpg:grpSp>
                        <wpg:cNvPr id="321" name="Groupe 321"/>
                        <wpg:cNvGrpSpPr/>
                        <wpg:grpSpPr>
                          <a:xfrm>
                            <a:off x="3385226" y="0"/>
                            <a:ext cx="2499995" cy="4026535"/>
                            <a:chOff x="0" y="58366"/>
                            <a:chExt cx="2499995" cy="4026589"/>
                          </a:xfrm>
                        </wpg:grpSpPr>
                        <wps:wsp>
                          <wps:cNvPr id="319" name="Zone de texte 2"/>
                          <wps:cNvSpPr txBox="1">
                            <a:spLocks noChangeArrowheads="1"/>
                          </wps:cNvSpPr>
                          <wps:spPr bwMode="auto">
                            <a:xfrm>
                              <a:off x="632298" y="58366"/>
                              <a:ext cx="1108953" cy="321013"/>
                            </a:xfrm>
                            <a:prstGeom prst="rect">
                              <a:avLst/>
                            </a:prstGeom>
                            <a:solidFill>
                              <a:srgbClr val="FFFFFF"/>
                            </a:solidFill>
                            <a:ln w="9525">
                              <a:noFill/>
                              <a:miter lim="800000"/>
                              <a:headEnd/>
                              <a:tailEnd/>
                            </a:ln>
                          </wps:spPr>
                          <wps:txbx>
                            <w:txbxContent>
                              <w:p w:rsidR="008276DC" w:rsidRPr="004A7083" w:rsidRDefault="008276DC">
                                <w:pPr>
                                  <w:rPr>
                                    <w:b/>
                                    <w:u w:val="single"/>
                                  </w:rPr>
                                </w:pPr>
                                <w:r w:rsidRPr="004A7083">
                                  <w:rPr>
                                    <w:b/>
                                    <w:u w:val="single"/>
                                  </w:rPr>
                                  <w:t>Position foetale</w:t>
                                </w:r>
                              </w:p>
                            </w:txbxContent>
                          </wps:txbx>
                          <wps:bodyPr rot="0" vert="horz" wrap="square" lIns="91440" tIns="45720" rIns="91440" bIns="45720" anchor="t" anchorCtr="0">
                            <a:noAutofit/>
                          </wps:bodyPr>
                        </wps:wsp>
                        <pic:pic xmlns:pic="http://schemas.openxmlformats.org/drawingml/2006/picture">
                          <pic:nvPicPr>
                            <pic:cNvPr id="316" name="Image 316" descr="Résultats de recherche d'images pour « présentation foetale »"/>
                            <pic:cNvPicPr>
                              <a:picLocks noChangeAspect="1"/>
                            </pic:cNvPicPr>
                          </pic:nvPicPr>
                          <pic:blipFill rotWithShape="1">
                            <a:blip r:embed="rId298">
                              <a:extLst>
                                <a:ext uri="{28A0092B-C50C-407E-A947-70E740481C1C}">
                                  <a14:useLocalDpi xmlns:a14="http://schemas.microsoft.com/office/drawing/2010/main" val="0"/>
                                </a:ext>
                              </a:extLst>
                            </a:blip>
                            <a:srcRect t="1523" b="1794"/>
                            <a:stretch/>
                          </pic:blipFill>
                          <pic:spPr bwMode="auto">
                            <a:xfrm>
                              <a:off x="0" y="379379"/>
                              <a:ext cx="2499995" cy="3705576"/>
                            </a:xfrm>
                            <a:prstGeom prst="rect">
                              <a:avLst/>
                            </a:prstGeom>
                            <a:noFill/>
                            <a:ln>
                              <a:noFill/>
                            </a:ln>
                          </pic:spPr>
                        </pic:pic>
                      </wpg:grpSp>
                      <wpg:grpSp>
                        <wpg:cNvPr id="320" name="Groupe 320"/>
                        <wpg:cNvGrpSpPr/>
                        <wpg:grpSpPr>
                          <a:xfrm>
                            <a:off x="0" y="0"/>
                            <a:ext cx="3073940" cy="3900792"/>
                            <a:chOff x="0" y="0"/>
                            <a:chExt cx="3073940" cy="3900792"/>
                          </a:xfrm>
                        </wpg:grpSpPr>
                        <wps:wsp>
                          <wps:cNvPr id="318" name="Zone de texte 2"/>
                          <wps:cNvSpPr txBox="1">
                            <a:spLocks noChangeArrowheads="1"/>
                          </wps:cNvSpPr>
                          <wps:spPr bwMode="auto">
                            <a:xfrm>
                              <a:off x="856034" y="0"/>
                              <a:ext cx="1507490" cy="291465"/>
                            </a:xfrm>
                            <a:prstGeom prst="rect">
                              <a:avLst/>
                            </a:prstGeom>
                            <a:solidFill>
                              <a:srgbClr val="FFFFFF"/>
                            </a:solidFill>
                            <a:ln w="9525">
                              <a:noFill/>
                              <a:miter lim="800000"/>
                              <a:headEnd/>
                              <a:tailEnd/>
                            </a:ln>
                          </wps:spPr>
                          <wps:txbx>
                            <w:txbxContent>
                              <w:p w:rsidR="008276DC" w:rsidRPr="004A7083" w:rsidRDefault="008276DC">
                                <w:pPr>
                                  <w:rPr>
                                    <w:b/>
                                    <w:u w:val="single"/>
                                  </w:rPr>
                                </w:pPr>
                                <w:r w:rsidRPr="004A7083">
                                  <w:rPr>
                                    <w:b/>
                                    <w:u w:val="single"/>
                                  </w:rPr>
                                  <w:t>Présentation foetale</w:t>
                                </w:r>
                              </w:p>
                            </w:txbxContent>
                          </wps:txbx>
                          <wps:bodyPr rot="0" vert="horz" wrap="square" lIns="91440" tIns="45720" rIns="91440" bIns="45720" anchor="t" anchorCtr="0">
                            <a:noAutofit/>
                          </wps:bodyPr>
                        </wps:wsp>
                        <pic:pic xmlns:pic="http://schemas.openxmlformats.org/drawingml/2006/picture">
                          <pic:nvPicPr>
                            <pic:cNvPr id="317" name="Image 317" descr="Résultats de recherche d'images pour « présentation foetale »"/>
                            <pic:cNvPicPr>
                              <a:picLocks noChangeAspect="1"/>
                            </pic:cNvPicPr>
                          </pic:nvPicPr>
                          <pic:blipFill rotWithShape="1">
                            <a:blip r:embed="rId299" cstate="print">
                              <a:extLst>
                                <a:ext uri="{28A0092B-C50C-407E-A947-70E740481C1C}">
                                  <a14:useLocalDpi xmlns:a14="http://schemas.microsoft.com/office/drawing/2010/main" val="0"/>
                                </a:ext>
                              </a:extLst>
                            </a:blip>
                            <a:srcRect l="4822" t="7297" r="2837" b="7047"/>
                            <a:stretch/>
                          </pic:blipFill>
                          <pic:spPr bwMode="auto">
                            <a:xfrm>
                              <a:off x="0" y="291830"/>
                              <a:ext cx="3073940" cy="3608962"/>
                            </a:xfrm>
                            <a:prstGeom prst="rect">
                              <a:avLst/>
                            </a:prstGeom>
                            <a:noFill/>
                            <a:ln>
                              <a:noFill/>
                            </a:ln>
                            <a:extLst>
                              <a:ext uri="{53640926-AAD7-44D8-BBD7-CCE9431645EC}">
                                <a14:shadowObscured xmlns:a14="http://schemas.microsoft.com/office/drawing/2010/main"/>
                              </a:ext>
                            </a:extLst>
                          </pic:spPr>
                        </pic:pic>
                      </wpg:grpSp>
                    </wpg:wgp>
                  </a:graphicData>
                </a:graphic>
              </wp:anchor>
            </w:drawing>
          </mc:Choice>
          <mc:Fallback>
            <w:pict>
              <v:group id="Groupe 322" o:spid="_x0000_s1109" style="position:absolute;margin-left:40.55pt;margin-top:6.55pt;width:463.4pt;height:317.05pt;z-index:251803648" coordsize="58852,4026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">
                <v:group id="Groupe 321" o:spid="_x0000_s1110" style="position:absolute;left:33852;width:25000;height:40265" coordorigin=",583" coordsize="24999,402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vkNRsQAAADcAAAA&#10;DwAAAAAAAAAAAAAAAACqAgAAZHJzL2Rvd25yZXYueG1sUEsFBgAAAAAEAAQA+gAAAJsDAAAAAA==&#10;">
                  <v:shape id="_x0000_s1111" type="#_x0000_t202" style="position:absolute;left:6322;top:583;width:11090;height:32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sesMQA&#10;AADcAAAADwAAAGRycy9kb3ducmV2LnhtbESP0WrCQBRE3wv+w3ILvhTdqG2sqauo0JJXNR9wzV6T&#10;0OzdkF1N8vddQejjMDNnmPW2N7W4U+sqywpm0wgEcW51xYWC7Pw9+QThPLLG2jIpGMjBdjN6WWOi&#10;bcdHup98IQKEXYIKSu+bREqXl2TQTW1DHLyrbQ36INtC6ha7ADe1nEdRLA1WHBZKbOhQUv57uhkF&#10;17R7+1h1lx+fLY/v8R6r5cUOSo1f+90XCE+9/w8/26lWsJit4HEmHAG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a7HrDEAAAA3AAAAA8AAAAAAAAAAAAAAAAAmAIAAGRycy9k&#10;b3ducmV2LnhtbFBLBQYAAAAABAAEAPUAAACJAwAAAAA=&#10;" stroked="f">
                    <v:textbox>
                      <w:txbxContent>
                        <w:p w:rsidR="008276DC" w:rsidRPr="004A7083" w:rsidRDefault="008276DC">
                          <w:pPr>
                            <w:rPr>
                              <w:b/>
                              <w:u w:val="single"/>
                            </w:rPr>
                          </w:pPr>
                          <w:r w:rsidRPr="004A7083">
                            <w:rPr>
                              <w:b/>
                              <w:u w:val="single"/>
                            </w:rPr>
                            <w:t>Position foetale</w:t>
                          </w:r>
                        </w:p>
                      </w:txbxContent>
                    </v:textbox>
                  </v:shape>
                  <v:shape id="Image 316" o:spid="_x0000_s1112" type="#_x0000_t75" alt="Résultats de recherche d'images pour « présentation foetale »" style="position:absolute;top:3793;width:24999;height:370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KQP8jFAAAA3AAAAA8AAABkcnMvZG93bnJldi54bWxEj0FrwkAUhO9C/8PyCt50E5VYoqu0giJC&#10;D9EKHh/ZZ5I2+zZkV43/3hUKHoeZ+YaZLztTiyu1rrKsIB5GIIhzqysuFPwc1oMPEM4ja6wtk4I7&#10;OVgu3npzTLW9cUbXvS9EgLBLUUHpfZNK6fKSDLqhbYiDd7atQR9kW0jd4i3ATS1HUZRIgxWHhRIb&#10;WpWU/+0vRoEZfd+zX7f6mibHS3aaTDZxtTNK9d+7zxkIT51/hf/bW61gHCfwPBOOgFw8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ikD/IxQAAANwAAAAPAAAAAAAAAAAAAAAA&#10;AJ8CAABkcnMvZG93bnJldi54bWxQSwUGAAAAAAQABAD3AAAAkQMAAAAA&#10;">
                    <v:imagedata r:id="rId300" o:title="Résultats de recherche d'images pour « présentation foetale »" croptop="998f" cropbottom="1176f"/>
                    <v:path arrowok="t"/>
                  </v:shape>
                </v:group>
                <v:group id="Groupe 320" o:spid="_x0000_s1113" style="position:absolute;width:30739;height:39007" coordsize="30739,390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ttajdwwAAANwAAAAP&#10;AAAAAAAAAAAAAAAAAKoCAABkcnMvZG93bnJldi54bWxQSwUGAAAAAAQABAD6AAAAmgMAAAAA&#10;">
                  <v:shape id="_x0000_s1114" type="#_x0000_t202" style="position:absolute;left:8560;width:15075;height:29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e7K8EA&#10;AADcAAAADwAAAGRycy9kb3ducmV2LnhtbERPyW7CMBC9I/EP1lTqBREHSlkCBtFKIK5J+YAhnixq&#10;PI5iQ8Lf40OlHp/evjsMphEP6lxtWcEsikEQ51bXXCq4/pymaxDOI2tsLJOCJzk47MejHSba9pzS&#10;I/OlCCHsElRQed8mUrq8IoMusi1x4ArbGfQBdqXUHfYh3DRyHsdLabDm0FBhS98V5b/Z3SgoLv3k&#10;c9Pfzv66ShfLL6xXN/tU6v1tOG5BeBr8v/jPfdEKPmZhbTgTjoDc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n3uyvBAAAA3AAAAA8AAAAAAAAAAAAAAAAAmAIAAGRycy9kb3du&#10;cmV2LnhtbFBLBQYAAAAABAAEAPUAAACGAwAAAAA=&#10;" stroked="f">
                    <v:textbox>
                      <w:txbxContent>
                        <w:p w:rsidR="008276DC" w:rsidRPr="004A7083" w:rsidRDefault="008276DC">
                          <w:pPr>
                            <w:rPr>
                              <w:b/>
                              <w:u w:val="single"/>
                            </w:rPr>
                          </w:pPr>
                          <w:r w:rsidRPr="004A7083">
                            <w:rPr>
                              <w:b/>
                              <w:u w:val="single"/>
                            </w:rPr>
                            <w:t>Présentation foetale</w:t>
                          </w:r>
                        </w:p>
                      </w:txbxContent>
                    </v:textbox>
                  </v:shape>
                  <v:shape id="Image 317" o:spid="_x0000_s1115" type="#_x0000_t75" alt="Résultats de recherche d'images pour « présentation foetale »" style="position:absolute;top:2918;width:30739;height:360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CWGJTDAAAA3AAAAA8AAABkcnMvZG93bnJldi54bWxEj0+LwjAUxO8LfofwhL2tqQq7Uo2iorB4&#10;8w+Kt0fzbIvNS02ird9+Iyx4HGbmN8xk1ppKPMj50rKCfi8BQZxZXXKu4LBff41A+ICssbJMCp7k&#10;YTbtfEww1bbhLT12IRcRwj5FBUUIdSqlzwoy6Hu2Jo7exTqDIUqXS+2wiXBTyUGSfEuDJceFAmta&#10;FpRdd3ej4MLN2TmJ88XzuJKr02az3PubUp/ddj4GEagN7/B/+1crGPZ/4HUmHgE5/Q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wJYYlMMAAADcAAAADwAAAAAAAAAAAAAAAACf&#10;AgAAZHJzL2Rvd25yZXYueG1sUEsFBgAAAAAEAAQA9wAAAI8DAAAAAA==&#10;">
                    <v:imagedata r:id="rId301" o:title="Résultats de recherche d'images pour « présentation foetale »" croptop="4782f" cropbottom="4618f" cropleft="3160f" cropright="1859f"/>
                    <v:path arrowok="t"/>
                  </v:shape>
                </v:group>
              </v:group>
            </w:pict>
          </mc:Fallback>
        </mc:AlternateContent>
      </w:r>
      <w:r w:rsidR="004A7083" w:rsidRPr="004A7083">
        <w:t xml:space="preserve">  </w:t>
      </w:r>
    </w:p>
    <w:p w:rsidR="00071B76" w:rsidRDefault="00071B76">
      <w:pPr>
        <w:rPr>
          <w:rFonts w:cs="Times New Roman"/>
          <w:b/>
          <w:color w:val="548DD4" w:themeColor="text2" w:themeTint="99"/>
        </w:rPr>
      </w:pPr>
      <w:r>
        <w:rPr>
          <w:rFonts w:cs="Times New Roman"/>
          <w:b/>
          <w:color w:val="548DD4" w:themeColor="text2" w:themeTint="99"/>
        </w:rPr>
        <w:br w:type="page"/>
      </w:r>
    </w:p>
    <w:p w:rsidR="00D74985" w:rsidRDefault="00D74985" w:rsidP="00D859AA">
      <w:pPr>
        <w:spacing w:after="0"/>
        <w:rPr>
          <w:rFonts w:cs="Times New Roman"/>
          <w:b/>
          <w:color w:val="548DD4" w:themeColor="text2" w:themeTint="99"/>
        </w:rPr>
      </w:pPr>
      <w:r>
        <w:rPr>
          <w:rFonts w:cs="Times New Roman"/>
          <w:b/>
          <w:color w:val="548DD4" w:themeColor="text2" w:themeTint="99"/>
        </w:rPr>
        <w:t>CMC 80-2</w:t>
      </w:r>
    </w:p>
    <w:p w:rsidR="00D74985" w:rsidRPr="00D74985" w:rsidRDefault="00D74985" w:rsidP="00D74985">
      <w:pPr>
        <w:pStyle w:val="Titre3"/>
        <w:spacing w:before="0"/>
        <w:rPr>
          <w:rFonts w:ascii="Times New Roman" w:hAnsi="Times New Roman" w:cs="Times New Roman"/>
        </w:rPr>
      </w:pPr>
      <w:bookmarkStart w:id="312" w:name="_Toc480797319"/>
      <w:r w:rsidRPr="00D74985">
        <w:rPr>
          <w:rFonts w:ascii="Times New Roman" w:hAnsi="Times New Roman" w:cs="Times New Roman"/>
        </w:rPr>
        <w:t>Soins intrapartum et postpartum</w:t>
      </w:r>
      <w:bookmarkEnd w:id="312"/>
      <w:r w:rsidRPr="00D74985">
        <w:rPr>
          <w:rFonts w:ascii="Times New Roman" w:hAnsi="Times New Roman" w:cs="Times New Roman"/>
        </w:rPr>
        <w:t xml:space="preserve"> </w:t>
      </w:r>
    </w:p>
    <w:p w:rsidR="00D74985" w:rsidRDefault="00D74985" w:rsidP="00D859AA">
      <w:pPr>
        <w:spacing w:after="0"/>
        <w:rPr>
          <w:rFonts w:cs="Times New Roman"/>
          <w:b/>
          <w:color w:val="548DD4" w:themeColor="text2" w:themeTint="99"/>
        </w:rPr>
      </w:pPr>
      <w:r>
        <w:rPr>
          <w:rFonts w:cs="Times New Roman"/>
          <w:b/>
          <w:noProof/>
          <w:color w:val="548DD4" w:themeColor="text2" w:themeTint="99"/>
          <w:lang w:eastAsia="fr-CA"/>
        </w:rPr>
        <mc:AlternateContent>
          <mc:Choice Requires="wps">
            <w:drawing>
              <wp:anchor distT="0" distB="0" distL="114300" distR="114300" simplePos="0" relativeHeight="251774976" behindDoc="0" locked="0" layoutInCell="1" allowOverlap="1" wp14:anchorId="798D5305" wp14:editId="3DB6D483">
                <wp:simplePos x="0" y="0"/>
                <wp:positionH relativeFrom="column">
                  <wp:posOffset>-48638</wp:posOffset>
                </wp:positionH>
                <wp:positionV relativeFrom="paragraph">
                  <wp:posOffset>143591</wp:posOffset>
                </wp:positionV>
                <wp:extent cx="6955276" cy="5447489"/>
                <wp:effectExtent l="0" t="0" r="17145" b="20320"/>
                <wp:wrapNone/>
                <wp:docPr id="291" name="Rectangle 291"/>
                <wp:cNvGraphicFramePr/>
                <a:graphic xmlns:a="http://schemas.openxmlformats.org/drawingml/2006/main">
                  <a:graphicData uri="http://schemas.microsoft.com/office/word/2010/wordprocessingShape">
                    <wps:wsp>
                      <wps:cNvSpPr/>
                      <wps:spPr>
                        <a:xfrm>
                          <a:off x="0" y="0"/>
                          <a:ext cx="6955276" cy="5447489"/>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291" o:spid="_x0000_s1026" style="position:absolute;margin-left:-3.85pt;margin-top:11.3pt;width:547.65pt;height:428.95pt;z-index:2517749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" filled="f" strokecolor="black [1600]" strokeweight="2pt"/>
            </w:pict>
          </mc:Fallback>
        </mc:AlternateContent>
      </w:r>
    </w:p>
    <w:tbl>
      <w:tblPr>
        <w:tblW w:w="3858" w:type="pct"/>
        <w:tblCellSpacing w:w="0" w:type="dxa"/>
        <w:tblCellMar>
          <w:left w:w="0" w:type="dxa"/>
          <w:right w:w="0" w:type="dxa"/>
        </w:tblCellMar>
        <w:tblLook w:val="04A0" w:firstRow="1" w:lastRow="0" w:firstColumn="1" w:lastColumn="0" w:noHBand="0" w:noVBand="1"/>
      </w:tblPr>
      <w:tblGrid>
        <w:gridCol w:w="8333"/>
      </w:tblGrid>
      <w:tr w:rsidR="00D74985" w:rsidRPr="00D74985" w:rsidTr="00D74985">
        <w:trPr>
          <w:tblCellSpacing w:w="0" w:type="dxa"/>
        </w:trPr>
        <w:tc>
          <w:tcPr>
            <w:tcW w:w="0" w:type="auto"/>
            <w:vAlign w:val="bottom"/>
            <w:hideMark/>
          </w:tcPr>
          <w:p w:rsidR="00D74985" w:rsidRPr="00520ED3" w:rsidRDefault="00D74985" w:rsidP="00520ED3">
            <w:pPr>
              <w:pStyle w:val="Sansinterligne"/>
              <w:rPr>
                <w:b/>
                <w:sz w:val="18"/>
                <w:szCs w:val="18"/>
              </w:rPr>
            </w:pPr>
            <w:bookmarkStart w:id="313" w:name="_Toc475563867"/>
            <w:r w:rsidRPr="00520ED3">
              <w:rPr>
                <w:b/>
                <w:sz w:val="18"/>
                <w:szCs w:val="18"/>
              </w:rPr>
              <w:t>Objectifs principaux</w:t>
            </w:r>
            <w:bookmarkEnd w:id="313"/>
          </w:p>
        </w:tc>
      </w:tr>
    </w:tbl>
    <w:p w:rsidR="00D74985" w:rsidRPr="00D74985" w:rsidRDefault="00D74985" w:rsidP="00D74985">
      <w:pPr>
        <w:pStyle w:val="NormalWeb"/>
        <w:ind w:left="360"/>
        <w:rPr>
          <w:color w:val="000000"/>
          <w:sz w:val="18"/>
          <w:szCs w:val="18"/>
          <w:shd w:val="clear" w:color="auto" w:fill="FFFFFF"/>
        </w:rPr>
      </w:pPr>
      <w:r w:rsidRPr="00D74985">
        <w:rPr>
          <w:color w:val="000000"/>
          <w:sz w:val="18"/>
          <w:szCs w:val="18"/>
          <w:shd w:val="clear" w:color="auto" w:fill="FFFFFF"/>
        </w:rPr>
        <w:t>Le candidat devra pouvoir dispenser des soins intrapartum et post-partum qui intègrent les meilleures données probantes disponibles dans un modèle de responsabilité partagée permettant aux femmes de prendre des décisions éclairées fondées sur leurs propres besoins.</w:t>
      </w:r>
    </w:p>
    <w:tbl>
      <w:tblPr>
        <w:tblW w:w="3897" w:type="pct"/>
        <w:tblCellSpacing w:w="0" w:type="dxa"/>
        <w:tblCellMar>
          <w:left w:w="0" w:type="dxa"/>
          <w:right w:w="0" w:type="dxa"/>
        </w:tblCellMar>
        <w:tblLook w:val="04A0" w:firstRow="1" w:lastRow="0" w:firstColumn="1" w:lastColumn="0" w:noHBand="0" w:noVBand="1"/>
      </w:tblPr>
      <w:tblGrid>
        <w:gridCol w:w="8418"/>
      </w:tblGrid>
      <w:tr w:rsidR="00D74985" w:rsidRPr="00D74985" w:rsidTr="00D74985">
        <w:trPr>
          <w:tblCellSpacing w:w="0" w:type="dxa"/>
        </w:trPr>
        <w:tc>
          <w:tcPr>
            <w:tcW w:w="0" w:type="auto"/>
            <w:vAlign w:val="bottom"/>
            <w:hideMark/>
          </w:tcPr>
          <w:p w:rsidR="00D74985" w:rsidRPr="00520ED3" w:rsidRDefault="00D74985" w:rsidP="00520ED3">
            <w:pPr>
              <w:pStyle w:val="Sansinterligne"/>
              <w:rPr>
                <w:b/>
                <w:sz w:val="16"/>
                <w:szCs w:val="16"/>
              </w:rPr>
            </w:pPr>
            <w:bookmarkStart w:id="314" w:name="_Toc475563868"/>
            <w:r w:rsidRPr="00520ED3">
              <w:rPr>
                <w:b/>
                <w:sz w:val="16"/>
                <w:szCs w:val="16"/>
              </w:rPr>
              <w:t>Objectifs spécifiques</w:t>
            </w:r>
            <w:bookmarkEnd w:id="314"/>
          </w:p>
        </w:tc>
      </w:tr>
    </w:tbl>
    <w:p w:rsidR="00D74985" w:rsidRPr="00D74985" w:rsidRDefault="00D74985" w:rsidP="00D74985">
      <w:pPr>
        <w:pStyle w:val="NormalWeb"/>
        <w:shd w:val="clear" w:color="auto" w:fill="FFFFFF"/>
        <w:ind w:left="360"/>
        <w:rPr>
          <w:color w:val="000000"/>
          <w:sz w:val="16"/>
          <w:szCs w:val="16"/>
          <w:shd w:val="clear" w:color="auto" w:fill="FFFFFF"/>
        </w:rPr>
      </w:pPr>
      <w:r w:rsidRPr="00D74985">
        <w:rPr>
          <w:color w:val="000000"/>
          <w:sz w:val="16"/>
          <w:szCs w:val="16"/>
          <w:shd w:val="clear" w:color="auto" w:fill="FFFFFF"/>
        </w:rPr>
        <w:t>Dans le cas d'une patiente ayant besoin de soins intrapartum et post-partum, le candidat devra</w:t>
      </w:r>
    </w:p>
    <w:p w:rsidR="00D74985" w:rsidRPr="00D74985" w:rsidRDefault="00D74985" w:rsidP="000665D6">
      <w:pPr>
        <w:numPr>
          <w:ilvl w:val="0"/>
          <w:numId w:val="420"/>
        </w:numPr>
        <w:shd w:val="clear" w:color="auto" w:fill="FFFFFF"/>
        <w:spacing w:before="100" w:beforeAutospacing="1" w:after="100" w:afterAutospacing="1" w:line="240" w:lineRule="auto"/>
        <w:rPr>
          <w:rFonts w:cs="Times New Roman"/>
          <w:color w:val="000000"/>
          <w:sz w:val="16"/>
          <w:szCs w:val="16"/>
          <w:shd w:val="clear" w:color="auto" w:fill="FFFFFF"/>
        </w:rPr>
      </w:pPr>
      <w:r w:rsidRPr="00D74985">
        <w:rPr>
          <w:rFonts w:cs="Times New Roman"/>
          <w:color w:val="000000"/>
          <w:sz w:val="16"/>
          <w:szCs w:val="16"/>
          <w:shd w:val="clear" w:color="auto" w:fill="FFFFFF"/>
        </w:rPr>
        <w:t>énumérer et interpréter les constatations cliniques pertinentes, notamment :</w:t>
      </w:r>
    </w:p>
    <w:p w:rsidR="00D74985" w:rsidRPr="00D74985" w:rsidRDefault="00D74985" w:rsidP="000665D6">
      <w:pPr>
        <w:numPr>
          <w:ilvl w:val="1"/>
          <w:numId w:val="420"/>
        </w:numPr>
        <w:shd w:val="clear" w:color="auto" w:fill="FFFFFF"/>
        <w:spacing w:before="100" w:beforeAutospacing="1" w:after="100" w:afterAutospacing="1" w:line="240" w:lineRule="auto"/>
        <w:rPr>
          <w:rFonts w:cs="Times New Roman"/>
          <w:color w:val="000000"/>
          <w:sz w:val="16"/>
          <w:szCs w:val="16"/>
          <w:shd w:val="clear" w:color="auto" w:fill="FFFFFF"/>
        </w:rPr>
      </w:pPr>
      <w:r w:rsidRPr="00D74985">
        <w:rPr>
          <w:rFonts w:cs="Times New Roman"/>
          <w:color w:val="000000"/>
          <w:sz w:val="16"/>
          <w:szCs w:val="16"/>
          <w:shd w:val="clear" w:color="auto" w:fill="FFFFFF"/>
        </w:rPr>
        <w:t>celles découlant d'une anamnèse et d'un examen physique appropriés;</w:t>
      </w:r>
    </w:p>
    <w:p w:rsidR="00D74985" w:rsidRPr="00D74985" w:rsidRDefault="00D74985" w:rsidP="000665D6">
      <w:pPr>
        <w:numPr>
          <w:ilvl w:val="1"/>
          <w:numId w:val="420"/>
        </w:numPr>
        <w:shd w:val="clear" w:color="auto" w:fill="FFFFFF"/>
        <w:spacing w:before="100" w:beforeAutospacing="1" w:after="100" w:afterAutospacing="1" w:line="240" w:lineRule="auto"/>
        <w:rPr>
          <w:rFonts w:cs="Times New Roman"/>
          <w:color w:val="000000"/>
          <w:sz w:val="16"/>
          <w:szCs w:val="16"/>
          <w:shd w:val="clear" w:color="auto" w:fill="FFFFFF"/>
        </w:rPr>
      </w:pPr>
      <w:r w:rsidRPr="00D74985">
        <w:rPr>
          <w:rFonts w:cs="Times New Roman"/>
          <w:color w:val="000000"/>
          <w:sz w:val="16"/>
          <w:szCs w:val="16"/>
          <w:shd w:val="clear" w:color="auto" w:fill="FFFFFF"/>
        </w:rPr>
        <w:t>les besoins émotionnels et physiques d'une femme en travail;</w:t>
      </w:r>
    </w:p>
    <w:p w:rsidR="00D74985" w:rsidRPr="00D74985" w:rsidRDefault="00D74985" w:rsidP="000665D6">
      <w:pPr>
        <w:numPr>
          <w:ilvl w:val="1"/>
          <w:numId w:val="420"/>
        </w:numPr>
        <w:shd w:val="clear" w:color="auto" w:fill="FFFFFF"/>
        <w:spacing w:before="100" w:beforeAutospacing="1" w:after="100" w:afterAutospacing="1" w:line="240" w:lineRule="auto"/>
        <w:rPr>
          <w:rFonts w:cs="Times New Roman"/>
          <w:color w:val="000000"/>
          <w:sz w:val="16"/>
          <w:szCs w:val="16"/>
          <w:shd w:val="clear" w:color="auto" w:fill="FFFFFF"/>
        </w:rPr>
      </w:pPr>
      <w:r w:rsidRPr="00D74985">
        <w:rPr>
          <w:rFonts w:cs="Times New Roman"/>
          <w:color w:val="000000"/>
          <w:sz w:val="16"/>
          <w:szCs w:val="16"/>
          <w:shd w:val="clear" w:color="auto" w:fill="FFFFFF"/>
        </w:rPr>
        <w:t>la rupture des membranes avant le travail;</w:t>
      </w:r>
    </w:p>
    <w:p w:rsidR="00D74985" w:rsidRPr="00D74985" w:rsidRDefault="00D74985" w:rsidP="000665D6">
      <w:pPr>
        <w:numPr>
          <w:ilvl w:val="1"/>
          <w:numId w:val="420"/>
        </w:numPr>
        <w:shd w:val="clear" w:color="auto" w:fill="FFFFFF"/>
        <w:spacing w:before="100" w:beforeAutospacing="1" w:after="100" w:afterAutospacing="1" w:line="240" w:lineRule="auto"/>
        <w:rPr>
          <w:rFonts w:cs="Times New Roman"/>
          <w:color w:val="000000"/>
          <w:sz w:val="16"/>
          <w:szCs w:val="16"/>
          <w:shd w:val="clear" w:color="auto" w:fill="FFFFFF"/>
        </w:rPr>
      </w:pPr>
      <w:bookmarkStart w:id="315" w:name="Objectifssp%C3%A9cifiques1.4"/>
      <w:r w:rsidRPr="00D74985">
        <w:rPr>
          <w:rFonts w:cs="Times New Roman"/>
          <w:color w:val="000000"/>
          <w:sz w:val="16"/>
          <w:szCs w:val="16"/>
          <w:shd w:val="clear" w:color="auto" w:fill="FFFFFF"/>
        </w:rPr>
        <w:t>le début, les phases et la progression du travail;</w:t>
      </w:r>
    </w:p>
    <w:p w:rsidR="00D74985" w:rsidRPr="00D74985" w:rsidRDefault="00D74985" w:rsidP="000665D6">
      <w:pPr>
        <w:numPr>
          <w:ilvl w:val="1"/>
          <w:numId w:val="420"/>
        </w:numPr>
        <w:shd w:val="clear" w:color="auto" w:fill="FFFFFF"/>
        <w:spacing w:before="100" w:beforeAutospacing="1" w:after="100" w:afterAutospacing="1" w:line="240" w:lineRule="auto"/>
        <w:rPr>
          <w:rFonts w:cs="Times New Roman"/>
          <w:color w:val="000000"/>
          <w:sz w:val="16"/>
          <w:szCs w:val="16"/>
          <w:shd w:val="clear" w:color="auto" w:fill="FFFFFF"/>
        </w:rPr>
      </w:pPr>
      <w:bookmarkStart w:id="316" w:name="Objectifssp%C3%A9cifiques1.5"/>
      <w:bookmarkEnd w:id="315"/>
      <w:r w:rsidRPr="00D74985">
        <w:rPr>
          <w:rFonts w:cs="Times New Roman"/>
          <w:color w:val="000000"/>
          <w:sz w:val="16"/>
          <w:szCs w:val="16"/>
          <w:shd w:val="clear" w:color="auto" w:fill="FFFFFF"/>
        </w:rPr>
        <w:t>les indications et contre-indications du déclenchement du travail;</w:t>
      </w:r>
    </w:p>
    <w:p w:rsidR="00D74985" w:rsidRPr="00D74985" w:rsidRDefault="00D74985" w:rsidP="000665D6">
      <w:pPr>
        <w:numPr>
          <w:ilvl w:val="1"/>
          <w:numId w:val="420"/>
        </w:numPr>
        <w:shd w:val="clear" w:color="auto" w:fill="FFFFFF"/>
        <w:spacing w:before="100" w:beforeAutospacing="1" w:after="100" w:afterAutospacing="1" w:line="240" w:lineRule="auto"/>
        <w:rPr>
          <w:rFonts w:cs="Times New Roman"/>
          <w:color w:val="000000"/>
          <w:sz w:val="16"/>
          <w:szCs w:val="16"/>
          <w:shd w:val="clear" w:color="auto" w:fill="FFFFFF"/>
        </w:rPr>
      </w:pPr>
      <w:bookmarkStart w:id="317" w:name="Objectifssp%C3%A9cifiques1.6"/>
      <w:bookmarkEnd w:id="316"/>
      <w:r w:rsidRPr="00D74985">
        <w:rPr>
          <w:rFonts w:cs="Times New Roman"/>
          <w:color w:val="000000"/>
          <w:sz w:val="16"/>
          <w:szCs w:val="16"/>
          <w:shd w:val="clear" w:color="auto" w:fill="FFFFFF"/>
        </w:rPr>
        <w:t>les signes de complication du travail (p. ex. prolongement d'une phase du travail, fièvre, liquide teinté de méconium);</w:t>
      </w:r>
    </w:p>
    <w:p w:rsidR="00D74985" w:rsidRPr="00D74985" w:rsidRDefault="00D74985" w:rsidP="000665D6">
      <w:pPr>
        <w:numPr>
          <w:ilvl w:val="1"/>
          <w:numId w:val="420"/>
        </w:numPr>
        <w:shd w:val="clear" w:color="auto" w:fill="FFFFFF"/>
        <w:spacing w:before="100" w:beforeAutospacing="1" w:after="100" w:afterAutospacing="1" w:line="240" w:lineRule="auto"/>
        <w:rPr>
          <w:rFonts w:cs="Times New Roman"/>
          <w:color w:val="000000"/>
          <w:sz w:val="16"/>
          <w:szCs w:val="16"/>
          <w:shd w:val="clear" w:color="auto" w:fill="FFFFFF"/>
        </w:rPr>
      </w:pPr>
      <w:bookmarkStart w:id="318" w:name="Objectifssp%C3%A9cifiques1.7"/>
      <w:bookmarkEnd w:id="317"/>
      <w:r w:rsidRPr="00D74985">
        <w:rPr>
          <w:rFonts w:cs="Times New Roman"/>
          <w:color w:val="000000"/>
          <w:sz w:val="16"/>
          <w:szCs w:val="16"/>
          <w:shd w:val="clear" w:color="auto" w:fill="FFFFFF"/>
        </w:rPr>
        <w:t>les causes possibles de complications du travail (p. ex. contractions insuffisantes, disproportion céphalo-pelvienne, infection);</w:t>
      </w:r>
    </w:p>
    <w:p w:rsidR="00D74985" w:rsidRPr="00D74985" w:rsidRDefault="00D74985" w:rsidP="000665D6">
      <w:pPr>
        <w:numPr>
          <w:ilvl w:val="1"/>
          <w:numId w:val="420"/>
        </w:numPr>
        <w:shd w:val="clear" w:color="auto" w:fill="FFFFFF"/>
        <w:spacing w:before="100" w:beforeAutospacing="1" w:after="100" w:afterAutospacing="1" w:line="240" w:lineRule="auto"/>
        <w:rPr>
          <w:rFonts w:cs="Times New Roman"/>
          <w:color w:val="000000"/>
          <w:sz w:val="16"/>
          <w:szCs w:val="16"/>
          <w:shd w:val="clear" w:color="auto" w:fill="FFFFFF"/>
        </w:rPr>
      </w:pPr>
      <w:bookmarkStart w:id="319" w:name="Objectifssp%C3%A9cifiques1.8"/>
      <w:bookmarkEnd w:id="318"/>
      <w:r w:rsidRPr="00D74985">
        <w:rPr>
          <w:rFonts w:cs="Times New Roman"/>
          <w:color w:val="000000"/>
          <w:sz w:val="16"/>
          <w:szCs w:val="16"/>
          <w:shd w:val="clear" w:color="auto" w:fill="FFFFFF"/>
        </w:rPr>
        <w:t>les facteurs de risque et les caractéristiques d'une fièvre, d'une hémorragie et d'une douleur post-partum;</w:t>
      </w:r>
    </w:p>
    <w:bookmarkEnd w:id="319"/>
    <w:p w:rsidR="00D74985" w:rsidRPr="00D74985" w:rsidRDefault="00D74985" w:rsidP="000665D6">
      <w:pPr>
        <w:numPr>
          <w:ilvl w:val="0"/>
          <w:numId w:val="420"/>
        </w:numPr>
        <w:shd w:val="clear" w:color="auto" w:fill="FFFFFF"/>
        <w:spacing w:before="100" w:beforeAutospacing="1" w:after="100" w:afterAutospacing="1" w:line="240" w:lineRule="auto"/>
        <w:rPr>
          <w:rFonts w:cs="Times New Roman"/>
          <w:color w:val="000000"/>
          <w:sz w:val="16"/>
          <w:szCs w:val="16"/>
          <w:shd w:val="clear" w:color="auto" w:fill="FFFFFF"/>
        </w:rPr>
      </w:pPr>
      <w:r w:rsidRPr="00D74985">
        <w:rPr>
          <w:rFonts w:cs="Times New Roman"/>
          <w:color w:val="000000"/>
          <w:sz w:val="16"/>
          <w:szCs w:val="16"/>
          <w:shd w:val="clear" w:color="auto" w:fill="FFFFFF"/>
        </w:rPr>
        <w:t>énumérer et interpréter les examens pertinents, notamment :</w:t>
      </w:r>
    </w:p>
    <w:p w:rsidR="00D74985" w:rsidRPr="00D74985" w:rsidRDefault="00D74985" w:rsidP="000665D6">
      <w:pPr>
        <w:numPr>
          <w:ilvl w:val="1"/>
          <w:numId w:val="420"/>
        </w:numPr>
        <w:shd w:val="clear" w:color="auto" w:fill="FFFFFF"/>
        <w:spacing w:before="100" w:beforeAutospacing="1" w:after="100" w:afterAutospacing="1" w:line="240" w:lineRule="auto"/>
        <w:rPr>
          <w:rFonts w:cs="Times New Roman"/>
          <w:color w:val="000000"/>
          <w:sz w:val="16"/>
          <w:szCs w:val="16"/>
          <w:shd w:val="clear" w:color="auto" w:fill="FFFFFF"/>
        </w:rPr>
      </w:pPr>
      <w:r w:rsidRPr="00D74985">
        <w:rPr>
          <w:rFonts w:cs="Times New Roman"/>
          <w:color w:val="000000"/>
          <w:sz w:val="16"/>
          <w:szCs w:val="16"/>
          <w:shd w:val="clear" w:color="auto" w:fill="FFFFFF"/>
        </w:rPr>
        <w:t>les examens initiaux appropriés d'une femme en travail;</w:t>
      </w:r>
    </w:p>
    <w:p w:rsidR="00D74985" w:rsidRPr="00D74985" w:rsidRDefault="00D74985" w:rsidP="000665D6">
      <w:pPr>
        <w:numPr>
          <w:ilvl w:val="1"/>
          <w:numId w:val="420"/>
        </w:numPr>
        <w:shd w:val="clear" w:color="auto" w:fill="FFFFFF"/>
        <w:spacing w:before="100" w:beforeAutospacing="1" w:after="100" w:afterAutospacing="1" w:line="240" w:lineRule="auto"/>
        <w:rPr>
          <w:rFonts w:cs="Times New Roman"/>
          <w:color w:val="000000"/>
          <w:sz w:val="16"/>
          <w:szCs w:val="16"/>
          <w:shd w:val="clear" w:color="auto" w:fill="FFFFFF"/>
        </w:rPr>
      </w:pPr>
      <w:r w:rsidRPr="00D74985">
        <w:rPr>
          <w:rFonts w:cs="Times New Roman"/>
          <w:color w:val="000000"/>
          <w:sz w:val="16"/>
          <w:szCs w:val="16"/>
          <w:shd w:val="clear" w:color="auto" w:fill="FFFFFF"/>
        </w:rPr>
        <w:t>les indications et les options de surveillance fœtale et maternelle pendant le travail (p. ex. surveillance fœtale électronique, prélèvement de sang fœtal);</w:t>
      </w:r>
    </w:p>
    <w:p w:rsidR="00D74985" w:rsidRPr="00D74985" w:rsidRDefault="00D74985" w:rsidP="000665D6">
      <w:pPr>
        <w:numPr>
          <w:ilvl w:val="1"/>
          <w:numId w:val="420"/>
        </w:numPr>
        <w:shd w:val="clear" w:color="auto" w:fill="FFFFFF"/>
        <w:spacing w:before="100" w:beforeAutospacing="1" w:after="100" w:afterAutospacing="1" w:line="240" w:lineRule="auto"/>
        <w:rPr>
          <w:rFonts w:cs="Times New Roman"/>
          <w:color w:val="000000"/>
          <w:sz w:val="16"/>
          <w:szCs w:val="16"/>
          <w:shd w:val="clear" w:color="auto" w:fill="FFFFFF"/>
        </w:rPr>
      </w:pPr>
      <w:r w:rsidRPr="00D74985">
        <w:rPr>
          <w:rFonts w:cs="Times New Roman"/>
          <w:color w:val="000000"/>
          <w:sz w:val="16"/>
          <w:szCs w:val="16"/>
          <w:shd w:val="clear" w:color="auto" w:fill="FFFFFF"/>
        </w:rPr>
        <w:t>les examens maternels et fœtaux appropriés pour déterminer le besoin d'immunoglobuline Rhésus;</w:t>
      </w:r>
    </w:p>
    <w:p w:rsidR="00D74985" w:rsidRPr="00D74985" w:rsidRDefault="00D74985" w:rsidP="000665D6">
      <w:pPr>
        <w:numPr>
          <w:ilvl w:val="0"/>
          <w:numId w:val="420"/>
        </w:numPr>
        <w:shd w:val="clear" w:color="auto" w:fill="FFFFFF"/>
        <w:spacing w:before="100" w:beforeAutospacing="1" w:after="100" w:afterAutospacing="1" w:line="240" w:lineRule="auto"/>
        <w:rPr>
          <w:rFonts w:cs="Times New Roman"/>
          <w:color w:val="000000"/>
          <w:sz w:val="16"/>
          <w:szCs w:val="16"/>
          <w:shd w:val="clear" w:color="auto" w:fill="FFFFFF"/>
        </w:rPr>
      </w:pPr>
      <w:r w:rsidRPr="00D74985">
        <w:rPr>
          <w:rFonts w:cs="Times New Roman"/>
          <w:color w:val="000000"/>
          <w:sz w:val="16"/>
          <w:szCs w:val="16"/>
          <w:shd w:val="clear" w:color="auto" w:fill="FFFFFF"/>
        </w:rPr>
        <w:t>élaborer un plan efficace de prise en charge initiale, notamment :</w:t>
      </w:r>
    </w:p>
    <w:p w:rsidR="00D74985" w:rsidRPr="00D74985" w:rsidRDefault="00D74985" w:rsidP="000665D6">
      <w:pPr>
        <w:numPr>
          <w:ilvl w:val="1"/>
          <w:numId w:val="420"/>
        </w:numPr>
        <w:shd w:val="clear" w:color="auto" w:fill="FFFFFF"/>
        <w:spacing w:before="100" w:beforeAutospacing="1" w:after="100" w:afterAutospacing="1" w:line="240" w:lineRule="auto"/>
        <w:rPr>
          <w:rFonts w:cs="Times New Roman"/>
          <w:color w:val="000000"/>
          <w:sz w:val="16"/>
          <w:szCs w:val="16"/>
          <w:shd w:val="clear" w:color="auto" w:fill="FFFFFF"/>
        </w:rPr>
      </w:pPr>
      <w:r w:rsidRPr="00D74985">
        <w:rPr>
          <w:rFonts w:cs="Times New Roman"/>
          <w:color w:val="000000"/>
          <w:sz w:val="16"/>
          <w:szCs w:val="16"/>
          <w:shd w:val="clear" w:color="auto" w:fill="FFFFFF"/>
        </w:rPr>
        <w:t>revoir les souhaits de la patiente en ce qui concerne l'accouchement, dans un contexte de décision conjointe, en tenant compte des sensibilités culturelles;</w:t>
      </w:r>
    </w:p>
    <w:p w:rsidR="00D74985" w:rsidRPr="00D74985" w:rsidRDefault="00D74985" w:rsidP="000665D6">
      <w:pPr>
        <w:numPr>
          <w:ilvl w:val="1"/>
          <w:numId w:val="420"/>
        </w:numPr>
        <w:shd w:val="clear" w:color="auto" w:fill="FFFFFF"/>
        <w:spacing w:before="100" w:beforeAutospacing="1" w:after="100" w:afterAutospacing="1" w:line="240" w:lineRule="auto"/>
        <w:rPr>
          <w:rFonts w:cs="Times New Roman"/>
          <w:color w:val="000000"/>
          <w:sz w:val="16"/>
          <w:szCs w:val="16"/>
          <w:shd w:val="clear" w:color="auto" w:fill="FFFFFF"/>
        </w:rPr>
      </w:pPr>
      <w:r w:rsidRPr="00D74985">
        <w:rPr>
          <w:rFonts w:cs="Times New Roman"/>
          <w:color w:val="000000"/>
          <w:sz w:val="16"/>
          <w:szCs w:val="16"/>
          <w:shd w:val="clear" w:color="auto" w:fill="FFFFFF"/>
        </w:rPr>
        <w:t>encourager la participation d'un ou plusieurs partenaires d'accouchement, selon ce qui est approprié;</w:t>
      </w:r>
    </w:p>
    <w:p w:rsidR="00D74985" w:rsidRPr="00D74985" w:rsidRDefault="00D74985" w:rsidP="000665D6">
      <w:pPr>
        <w:numPr>
          <w:ilvl w:val="1"/>
          <w:numId w:val="420"/>
        </w:numPr>
        <w:shd w:val="clear" w:color="auto" w:fill="FFFFFF"/>
        <w:spacing w:before="100" w:beforeAutospacing="1" w:after="100" w:afterAutospacing="1" w:line="240" w:lineRule="auto"/>
        <w:rPr>
          <w:rFonts w:cs="Times New Roman"/>
          <w:color w:val="000000"/>
          <w:sz w:val="16"/>
          <w:szCs w:val="16"/>
          <w:shd w:val="clear" w:color="auto" w:fill="FFFFFF"/>
        </w:rPr>
      </w:pPr>
      <w:r w:rsidRPr="00D74985">
        <w:rPr>
          <w:rFonts w:cs="Times New Roman"/>
          <w:color w:val="000000"/>
          <w:sz w:val="16"/>
          <w:szCs w:val="16"/>
          <w:shd w:val="clear" w:color="auto" w:fill="FFFFFF"/>
        </w:rPr>
        <w:t>expliquer à la patiente la nécessité de l'examiner et de surveiller la santé du fœtus tout en veillant au consentement, à la confidentialité, à la dignité et au confort de la patiente;</w:t>
      </w:r>
    </w:p>
    <w:p w:rsidR="00D74985" w:rsidRPr="00D74985" w:rsidRDefault="00D74985" w:rsidP="000665D6">
      <w:pPr>
        <w:numPr>
          <w:ilvl w:val="1"/>
          <w:numId w:val="420"/>
        </w:numPr>
        <w:shd w:val="clear" w:color="auto" w:fill="FFFFFF"/>
        <w:spacing w:before="100" w:beforeAutospacing="1" w:after="100" w:afterAutospacing="1" w:line="240" w:lineRule="auto"/>
        <w:rPr>
          <w:rFonts w:cs="Times New Roman"/>
          <w:color w:val="000000"/>
          <w:sz w:val="16"/>
          <w:szCs w:val="16"/>
          <w:shd w:val="clear" w:color="auto" w:fill="FFFFFF"/>
        </w:rPr>
      </w:pPr>
      <w:r w:rsidRPr="00D74985">
        <w:rPr>
          <w:rFonts w:cs="Times New Roman"/>
          <w:color w:val="000000"/>
          <w:sz w:val="16"/>
          <w:szCs w:val="16"/>
          <w:shd w:val="clear" w:color="auto" w:fill="FFFFFF"/>
        </w:rPr>
        <w:t>évaluer les connaissances de la patiente en ce qui concerne les moyens de soulager la douleur et discuter des options de gestion de la douleur;</w:t>
      </w:r>
    </w:p>
    <w:p w:rsidR="00D74985" w:rsidRPr="00D74985" w:rsidRDefault="00D74985" w:rsidP="000665D6">
      <w:pPr>
        <w:numPr>
          <w:ilvl w:val="1"/>
          <w:numId w:val="420"/>
        </w:numPr>
        <w:shd w:val="clear" w:color="auto" w:fill="FFFFFF"/>
        <w:spacing w:before="100" w:beforeAutospacing="1" w:after="100" w:afterAutospacing="1" w:line="240" w:lineRule="auto"/>
        <w:rPr>
          <w:rFonts w:cs="Times New Roman"/>
          <w:color w:val="000000"/>
          <w:sz w:val="16"/>
          <w:szCs w:val="16"/>
          <w:shd w:val="clear" w:color="auto" w:fill="FFFFFF"/>
        </w:rPr>
      </w:pPr>
      <w:r w:rsidRPr="00D74985">
        <w:rPr>
          <w:rFonts w:cs="Times New Roman"/>
          <w:color w:val="000000"/>
          <w:sz w:val="16"/>
          <w:szCs w:val="16"/>
          <w:shd w:val="clear" w:color="auto" w:fill="FFFFFF"/>
        </w:rPr>
        <w:t>prendre en charge de manière appropriée chacune des phases du travail, notamment (liste non exhaustive) :</w:t>
      </w:r>
    </w:p>
    <w:p w:rsidR="00D74985" w:rsidRPr="00D74985" w:rsidRDefault="00D74985" w:rsidP="000665D6">
      <w:pPr>
        <w:numPr>
          <w:ilvl w:val="2"/>
          <w:numId w:val="420"/>
        </w:numPr>
        <w:shd w:val="clear" w:color="auto" w:fill="FFFFFF"/>
        <w:spacing w:before="100" w:beforeAutospacing="1" w:after="100" w:afterAutospacing="1" w:line="240" w:lineRule="auto"/>
        <w:rPr>
          <w:rFonts w:cs="Times New Roman"/>
          <w:color w:val="000000"/>
          <w:sz w:val="16"/>
          <w:szCs w:val="16"/>
          <w:shd w:val="clear" w:color="auto" w:fill="FFFFFF"/>
        </w:rPr>
      </w:pPr>
      <w:bookmarkStart w:id="320" w:name="Objectifssp%C3%A9cifiques3.5.1"/>
      <w:r w:rsidRPr="00D74985">
        <w:rPr>
          <w:rFonts w:cs="Times New Roman"/>
          <w:color w:val="000000"/>
          <w:sz w:val="16"/>
          <w:szCs w:val="16"/>
          <w:shd w:val="clear" w:color="auto" w:fill="FFFFFF"/>
        </w:rPr>
        <w:t>savoir reconnaître les circonstances où une intervention clinique est inutile ou déconseillée (p. ex. travail normal);</w:t>
      </w:r>
    </w:p>
    <w:p w:rsidR="00D74985" w:rsidRPr="00D74985" w:rsidRDefault="00D74985" w:rsidP="000665D6">
      <w:pPr>
        <w:numPr>
          <w:ilvl w:val="2"/>
          <w:numId w:val="420"/>
        </w:numPr>
        <w:shd w:val="clear" w:color="auto" w:fill="FFFFFF"/>
        <w:spacing w:before="100" w:beforeAutospacing="1" w:after="100" w:afterAutospacing="1" w:line="240" w:lineRule="auto"/>
        <w:rPr>
          <w:rFonts w:cs="Times New Roman"/>
          <w:color w:val="000000"/>
          <w:sz w:val="16"/>
          <w:szCs w:val="16"/>
          <w:shd w:val="clear" w:color="auto" w:fill="FFFFFF"/>
        </w:rPr>
      </w:pPr>
      <w:bookmarkStart w:id="321" w:name="Objectifssp%C3%A9cifiques3.5.2"/>
      <w:bookmarkEnd w:id="320"/>
      <w:r w:rsidRPr="00D74985">
        <w:rPr>
          <w:rFonts w:cs="Times New Roman"/>
          <w:color w:val="000000"/>
          <w:sz w:val="16"/>
          <w:szCs w:val="16"/>
          <w:shd w:val="clear" w:color="auto" w:fill="FFFFFF"/>
        </w:rPr>
        <w:t>connaître les indications et les options d'accélération et de gestion active du travail;</w:t>
      </w:r>
    </w:p>
    <w:p w:rsidR="00D74985" w:rsidRPr="00D74985" w:rsidRDefault="00D74985" w:rsidP="000665D6">
      <w:pPr>
        <w:numPr>
          <w:ilvl w:val="2"/>
          <w:numId w:val="420"/>
        </w:numPr>
        <w:shd w:val="clear" w:color="auto" w:fill="FFFFFF"/>
        <w:spacing w:before="100" w:beforeAutospacing="1" w:after="100" w:afterAutospacing="1" w:line="240" w:lineRule="auto"/>
        <w:rPr>
          <w:rFonts w:cs="Times New Roman"/>
          <w:color w:val="000000"/>
          <w:sz w:val="16"/>
          <w:szCs w:val="16"/>
          <w:shd w:val="clear" w:color="auto" w:fill="FFFFFF"/>
        </w:rPr>
      </w:pPr>
      <w:bookmarkStart w:id="322" w:name="Objectifssp%C3%A9cifiques3.5.3"/>
      <w:bookmarkEnd w:id="321"/>
      <w:r w:rsidRPr="00D74985">
        <w:rPr>
          <w:rFonts w:cs="Times New Roman"/>
          <w:color w:val="000000"/>
          <w:sz w:val="16"/>
          <w:szCs w:val="16"/>
          <w:shd w:val="clear" w:color="auto" w:fill="FFFFFF"/>
        </w:rPr>
        <w:t>administrer des antibiotiques à titre prophylactique afin de réduire le risque d'infection du nouveau-né par un streptocoque du groupe B;</w:t>
      </w:r>
    </w:p>
    <w:p w:rsidR="00D74985" w:rsidRPr="00D74985" w:rsidRDefault="00D74985" w:rsidP="000665D6">
      <w:pPr>
        <w:numPr>
          <w:ilvl w:val="2"/>
          <w:numId w:val="420"/>
        </w:numPr>
        <w:shd w:val="clear" w:color="auto" w:fill="FFFFFF"/>
        <w:spacing w:before="100" w:beforeAutospacing="1" w:after="100" w:afterAutospacing="1" w:line="240" w:lineRule="auto"/>
        <w:rPr>
          <w:rFonts w:cs="Times New Roman"/>
          <w:color w:val="000000"/>
          <w:sz w:val="16"/>
          <w:szCs w:val="16"/>
          <w:shd w:val="clear" w:color="auto" w:fill="FFFFFF"/>
        </w:rPr>
      </w:pPr>
      <w:bookmarkStart w:id="323" w:name="Objectifssp%C3%A9cifiques3.5.4"/>
      <w:bookmarkEnd w:id="322"/>
      <w:r w:rsidRPr="00D74985">
        <w:rPr>
          <w:rFonts w:cs="Times New Roman"/>
          <w:color w:val="000000"/>
          <w:sz w:val="16"/>
          <w:szCs w:val="16"/>
          <w:shd w:val="clear" w:color="auto" w:fill="FFFFFF"/>
        </w:rPr>
        <w:t>fournir les conseils et le soutien appropriés lorsque des complications sont prévues ou surviennent (p. ex. prolongement d'une phase du travail, état préoccupant du fœtus);</w:t>
      </w:r>
    </w:p>
    <w:p w:rsidR="00D74985" w:rsidRPr="00D74985" w:rsidRDefault="00D74985" w:rsidP="000665D6">
      <w:pPr>
        <w:numPr>
          <w:ilvl w:val="2"/>
          <w:numId w:val="420"/>
        </w:numPr>
        <w:shd w:val="clear" w:color="auto" w:fill="FFFFFF"/>
        <w:spacing w:before="100" w:beforeAutospacing="1" w:after="100" w:afterAutospacing="1" w:line="240" w:lineRule="auto"/>
        <w:rPr>
          <w:rFonts w:cs="Times New Roman"/>
          <w:color w:val="000000"/>
          <w:sz w:val="16"/>
          <w:szCs w:val="16"/>
          <w:shd w:val="clear" w:color="auto" w:fill="FFFFFF"/>
        </w:rPr>
      </w:pPr>
      <w:bookmarkStart w:id="324" w:name="Objectifssp%C3%A9cifiques3.5.5"/>
      <w:bookmarkEnd w:id="323"/>
      <w:r w:rsidRPr="00D74985">
        <w:rPr>
          <w:rFonts w:cs="Times New Roman"/>
          <w:color w:val="000000"/>
          <w:sz w:val="16"/>
          <w:szCs w:val="16"/>
          <w:shd w:val="clear" w:color="auto" w:fill="FFFFFF"/>
        </w:rPr>
        <w:t>commencer une prise en charge immédiate en cas de signes de détresse fœtale;</w:t>
      </w:r>
    </w:p>
    <w:p w:rsidR="00D74985" w:rsidRPr="00D74985" w:rsidRDefault="00D74985" w:rsidP="000665D6">
      <w:pPr>
        <w:numPr>
          <w:ilvl w:val="2"/>
          <w:numId w:val="420"/>
        </w:numPr>
        <w:shd w:val="clear" w:color="auto" w:fill="FFFFFF"/>
        <w:spacing w:before="100" w:beforeAutospacing="1" w:after="100" w:afterAutospacing="1" w:line="240" w:lineRule="auto"/>
        <w:rPr>
          <w:rFonts w:cs="Times New Roman"/>
          <w:color w:val="000000"/>
          <w:sz w:val="16"/>
          <w:szCs w:val="16"/>
          <w:shd w:val="clear" w:color="auto" w:fill="FFFFFF"/>
        </w:rPr>
      </w:pPr>
      <w:bookmarkStart w:id="325" w:name="Objectifssp%C3%A9cifiques3.5.6"/>
      <w:bookmarkEnd w:id="324"/>
      <w:r w:rsidRPr="00D74985">
        <w:rPr>
          <w:rFonts w:cs="Times New Roman"/>
          <w:color w:val="000000"/>
          <w:sz w:val="16"/>
          <w:szCs w:val="16"/>
          <w:shd w:val="clear" w:color="auto" w:fill="FFFFFF"/>
        </w:rPr>
        <w:t>connaître les indications d'une intervention chirurgicale (p. ex. césarienne, épisiotomie) ou de l'utilisation d'instruments (p. ex. forceps);</w:t>
      </w:r>
    </w:p>
    <w:p w:rsidR="00D74985" w:rsidRPr="00D74985" w:rsidRDefault="00D74985" w:rsidP="000665D6">
      <w:pPr>
        <w:numPr>
          <w:ilvl w:val="2"/>
          <w:numId w:val="420"/>
        </w:numPr>
        <w:shd w:val="clear" w:color="auto" w:fill="FFFFFF"/>
        <w:spacing w:before="100" w:beforeAutospacing="1" w:after="100" w:afterAutospacing="1" w:line="240" w:lineRule="auto"/>
        <w:rPr>
          <w:rFonts w:cs="Times New Roman"/>
          <w:color w:val="000000"/>
          <w:sz w:val="16"/>
          <w:szCs w:val="16"/>
          <w:shd w:val="clear" w:color="auto" w:fill="FFFFFF"/>
        </w:rPr>
      </w:pPr>
      <w:bookmarkStart w:id="326" w:name="Objectifssp%C3%A9cifiques3.5.7"/>
      <w:bookmarkEnd w:id="325"/>
      <w:r w:rsidRPr="00D74985">
        <w:rPr>
          <w:rFonts w:cs="Times New Roman"/>
          <w:color w:val="000000"/>
          <w:sz w:val="16"/>
          <w:szCs w:val="16"/>
          <w:shd w:val="clear" w:color="auto" w:fill="FFFFFF"/>
        </w:rPr>
        <w:t>commencer le traitement de complications post-partum (p. ex. hémorragie, fièvre, dépression);</w:t>
      </w:r>
    </w:p>
    <w:p w:rsidR="00D74985" w:rsidRPr="00D74985" w:rsidRDefault="00D74985" w:rsidP="000665D6">
      <w:pPr>
        <w:numPr>
          <w:ilvl w:val="1"/>
          <w:numId w:val="420"/>
        </w:numPr>
        <w:shd w:val="clear" w:color="auto" w:fill="FFFFFF"/>
        <w:spacing w:before="100" w:beforeAutospacing="1" w:after="100" w:afterAutospacing="1" w:line="240" w:lineRule="auto"/>
        <w:rPr>
          <w:rFonts w:cs="Times New Roman"/>
          <w:color w:val="000000"/>
          <w:sz w:val="16"/>
          <w:szCs w:val="16"/>
          <w:shd w:val="clear" w:color="auto" w:fill="FFFFFF"/>
        </w:rPr>
      </w:pPr>
      <w:bookmarkStart w:id="327" w:name="Objectifssp%C3%A9cifiques3.6"/>
      <w:bookmarkEnd w:id="326"/>
      <w:r w:rsidRPr="00D74985">
        <w:rPr>
          <w:rFonts w:cs="Times New Roman"/>
          <w:color w:val="000000"/>
          <w:sz w:val="16"/>
          <w:szCs w:val="16"/>
          <w:shd w:val="clear" w:color="auto" w:fill="FFFFFF"/>
        </w:rPr>
        <w:t>prendre en charge un travail prématuré et une rupture des membranes avant le début du travail;</w:t>
      </w:r>
    </w:p>
    <w:p w:rsidR="00883ABD" w:rsidRPr="00620FA4" w:rsidRDefault="00D74985" w:rsidP="00883ABD">
      <w:pPr>
        <w:numPr>
          <w:ilvl w:val="1"/>
          <w:numId w:val="420"/>
        </w:numPr>
        <w:shd w:val="clear" w:color="auto" w:fill="FFFFFF"/>
        <w:spacing w:before="100" w:beforeAutospacing="1" w:after="100" w:afterAutospacing="1" w:line="240" w:lineRule="auto"/>
        <w:rPr>
          <w:rFonts w:cs="Times New Roman"/>
          <w:color w:val="000000"/>
          <w:sz w:val="16"/>
          <w:szCs w:val="16"/>
          <w:shd w:val="clear" w:color="auto" w:fill="FFFFFF"/>
        </w:rPr>
      </w:pPr>
      <w:bookmarkStart w:id="328" w:name="Objectifssp%C3%A9cifiques3.7"/>
      <w:bookmarkEnd w:id="327"/>
      <w:r w:rsidRPr="00D74985">
        <w:rPr>
          <w:rFonts w:cs="Times New Roman"/>
          <w:color w:val="000000"/>
          <w:sz w:val="16"/>
          <w:szCs w:val="16"/>
          <w:shd w:val="clear" w:color="auto" w:fill="FFFFFF"/>
        </w:rPr>
        <w:t>déterminer si la patiente a besoin de soins spécialisés.</w:t>
      </w:r>
      <w:bookmarkEnd w:id="328"/>
    </w:p>
    <w:p w:rsidR="00883ABD" w:rsidRPr="00883ABD" w:rsidRDefault="00883ABD" w:rsidP="00883ABD">
      <w:pPr>
        <w:pStyle w:val="Sansinterligne"/>
        <w:rPr>
          <w:b/>
          <w:sz w:val="28"/>
          <w:szCs w:val="28"/>
        </w:rPr>
      </w:pPr>
      <w:r w:rsidRPr="00883ABD">
        <w:rPr>
          <w:b/>
          <w:sz w:val="28"/>
          <w:szCs w:val="28"/>
        </w:rPr>
        <w:t>Travail obstétrical</w:t>
      </w:r>
    </w:p>
    <w:p w:rsidR="00883ABD" w:rsidRDefault="00883ABD" w:rsidP="00883ABD">
      <w:pPr>
        <w:pStyle w:val="Sansinterligne"/>
      </w:pPr>
    </w:p>
    <w:p w:rsidR="00883ABD" w:rsidRDefault="00883ABD" w:rsidP="00883ABD">
      <w:pPr>
        <w:pStyle w:val="Sansinterligne"/>
        <w:jc w:val="both"/>
      </w:pPr>
      <w:r>
        <w:t xml:space="preserve">Lorsque la parturiente se présente pour accoucher, il faut être attentif à l’anamnèse du travail afin de déterminer s’il s’agit d’un travail prématuré, d’un vrai travail ou d’un faux travail. C’est également le moment de refaire l’histoire de la grossesse afin de déterminer le stade de développement du fœtus, la présence de facteurs de risques de complication à l’accouchement. L’histoire obstétricale pourra en ce sens être utile et également donner une idée du temps estimé de l’accouchement et de l’urgence de la prise en charge. Il faut également questionner la patiente si elle croit avoir rupturé ses membranes (perte de liquide, </w:t>
      </w:r>
      <w:r>
        <w:rPr>
          <w:rFonts w:ascii="Century Gothic" w:hAnsi="Century Gothic"/>
        </w:rPr>
        <w:t>«</w:t>
      </w:r>
      <w:r w:rsidR="00743A29">
        <w:t>perte des eaux</w:t>
      </w:r>
      <w:r w:rsidR="00743A29">
        <w:rPr>
          <w:rFonts w:cs="Times New Roman"/>
        </w:rPr>
        <w:t>»</w:t>
      </w:r>
      <w:r w:rsidR="00743A29">
        <w:t>).</w:t>
      </w:r>
    </w:p>
    <w:p w:rsidR="00883ABD" w:rsidRDefault="00883ABD" w:rsidP="00883ABD">
      <w:pPr>
        <w:pStyle w:val="Sansinterligne"/>
        <w:ind w:left="360"/>
      </w:pPr>
    </w:p>
    <w:p w:rsidR="00883ABD" w:rsidRDefault="00883ABD" w:rsidP="00883ABD">
      <w:pPr>
        <w:pStyle w:val="Sansinterligne"/>
      </w:pPr>
      <w:r w:rsidRPr="00883ABD">
        <w:rPr>
          <w:b/>
          <w:highlight w:val="yellow"/>
        </w:rPr>
        <w:t>Travail </w:t>
      </w:r>
      <w:r w:rsidRPr="00883ABD">
        <w:rPr>
          <w:highlight w:val="yellow"/>
        </w:rPr>
        <w:t xml:space="preserve">: contractions utérines douloureuses, involontaires et indépendantes qui sont régulières (arbitrairement : </w:t>
      </w:r>
      <w:r w:rsidRPr="00883ABD">
        <w:rPr>
          <w:rFonts w:ascii="Century Gothic" w:hAnsi="Century Gothic"/>
          <w:highlight w:val="yellow"/>
        </w:rPr>
        <w:t>≥</w:t>
      </w:r>
      <w:r w:rsidRPr="00883ABD">
        <w:rPr>
          <w:highlight w:val="yellow"/>
        </w:rPr>
        <w:t xml:space="preserve"> 4 CU/h x </w:t>
      </w:r>
      <w:r w:rsidRPr="00883ABD">
        <w:rPr>
          <w:rFonts w:ascii="Century Gothic" w:hAnsi="Century Gothic"/>
          <w:highlight w:val="yellow"/>
        </w:rPr>
        <w:t>≥</w:t>
      </w:r>
      <w:r w:rsidRPr="00883ABD">
        <w:rPr>
          <w:highlight w:val="yellow"/>
        </w:rPr>
        <w:t xml:space="preserve"> 2h) et accompagnées de modifications du col utérin (</w:t>
      </w:r>
      <w:r>
        <w:rPr>
          <w:highlight w:val="yellow"/>
        </w:rPr>
        <w:t xml:space="preserve">arbitrairement : </w:t>
      </w:r>
      <w:r w:rsidRPr="00883ABD">
        <w:rPr>
          <w:highlight w:val="yellow"/>
        </w:rPr>
        <w:t xml:space="preserve">dilation </w:t>
      </w:r>
      <w:r w:rsidRPr="00883ABD">
        <w:rPr>
          <w:rFonts w:ascii="Century Gothic" w:hAnsi="Century Gothic"/>
          <w:highlight w:val="yellow"/>
        </w:rPr>
        <w:t>&gt;</w:t>
      </w:r>
      <w:r w:rsidRPr="00883ABD">
        <w:rPr>
          <w:highlight w:val="yellow"/>
        </w:rPr>
        <w:t>2 cm, effacement 80%).</w:t>
      </w:r>
      <w:r>
        <w:t xml:space="preserve"> </w:t>
      </w:r>
    </w:p>
    <w:p w:rsidR="00620FA4" w:rsidRDefault="00620FA4" w:rsidP="00883ABD">
      <w:pPr>
        <w:pStyle w:val="Sansinterligne"/>
      </w:pPr>
    </w:p>
    <w:p w:rsidR="00883ABD" w:rsidRDefault="00620FA4" w:rsidP="00883ABD">
      <w:pPr>
        <w:pStyle w:val="Sansinterligne"/>
      </w:pPr>
      <w:r w:rsidRPr="00620FA4">
        <w:rPr>
          <w:b/>
        </w:rPr>
        <w:t>Faux travail</w:t>
      </w:r>
      <w:r>
        <w:t xml:space="preserve"> : Contractions irrégulières, d’intensité stable, à long intervalle </w:t>
      </w:r>
      <w:r>
        <w:rPr>
          <w:rFonts w:cs="Times New Roman"/>
        </w:rPr>
        <w:t>±</w:t>
      </w:r>
      <w:r>
        <w:t xml:space="preserve"> douloureuse. Absence de modifications au col. Ceci correspond aux contractions de Braxton-Hicks qui surviennent durant toute la grossesse, mais qui deviennent plus perceptibles en fin de grossesse.</w:t>
      </w:r>
    </w:p>
    <w:p w:rsidR="00620FA4" w:rsidRDefault="00620FA4" w:rsidP="00883ABD">
      <w:pPr>
        <w:pStyle w:val="Sansinterligne"/>
      </w:pPr>
    </w:p>
    <w:p w:rsidR="00743A29" w:rsidRDefault="00606B6A" w:rsidP="00883ABD">
      <w:pPr>
        <w:pStyle w:val="Sansinterligne"/>
      </w:pPr>
      <w:r w:rsidRPr="00403A58">
        <w:rPr>
          <w:noProof/>
          <w:highlight w:val="yellow"/>
          <w:lang w:eastAsia="fr-CA"/>
        </w:rPr>
        <w:drawing>
          <wp:anchor distT="0" distB="0" distL="114300" distR="114300" simplePos="0" relativeHeight="251780096" behindDoc="0" locked="0" layoutInCell="1" allowOverlap="1" wp14:anchorId="2A037C6F" wp14:editId="62C975CE">
            <wp:simplePos x="0" y="0"/>
            <wp:positionH relativeFrom="column">
              <wp:posOffset>3530114</wp:posOffset>
            </wp:positionH>
            <wp:positionV relativeFrom="paragraph">
              <wp:posOffset>65405</wp:posOffset>
            </wp:positionV>
            <wp:extent cx="3277627" cy="1553908"/>
            <wp:effectExtent l="0" t="0" r="0" b="8255"/>
            <wp:wrapNone/>
            <wp:docPr id="297" name="Image 297" descr="Résultats de recherche d'images pour « col effacé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Résultats de recherche d'images pour « col effacé »"/>
                    <pic:cNvPicPr>
                      <a:picLocks noChangeAspect="1" noChangeArrowheads="1"/>
                    </pic:cNvPicPr>
                  </pic:nvPicPr>
                  <pic:blipFill rotWithShape="1">
                    <a:blip r:embed="rId302">
                      <a:extLst>
                        <a:ext uri="{28A0092B-C50C-407E-A947-70E740481C1C}">
                          <a14:useLocalDpi xmlns:a14="http://schemas.microsoft.com/office/drawing/2010/main" val="0"/>
                        </a:ext>
                      </a:extLst>
                    </a:blip>
                    <a:srcRect r="4006"/>
                    <a:stretch/>
                  </pic:blipFill>
                  <pic:spPr bwMode="auto">
                    <a:xfrm>
                      <a:off x="0" y="0"/>
                      <a:ext cx="3277627" cy="155390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43A29" w:rsidRPr="00743A29">
        <w:rPr>
          <w:b/>
        </w:rPr>
        <w:t>Anamnèse </w:t>
      </w:r>
      <w:r w:rsidR="00743A29">
        <w:t xml:space="preserve">: </w:t>
      </w:r>
    </w:p>
    <w:p w:rsidR="007A6C19" w:rsidRPr="007A6C19" w:rsidRDefault="007A6C19" w:rsidP="007A6C19">
      <w:pPr>
        <w:pStyle w:val="Sansinterligne"/>
        <w:ind w:left="348"/>
        <w:rPr>
          <w:highlight w:val="yellow"/>
          <w:u w:val="single"/>
        </w:rPr>
      </w:pPr>
      <w:r w:rsidRPr="007A6C19">
        <w:rPr>
          <w:highlight w:val="yellow"/>
          <w:u w:val="single"/>
        </w:rPr>
        <w:t>ATCD et statut obstétrical</w:t>
      </w:r>
    </w:p>
    <w:p w:rsidR="00856036" w:rsidRPr="00856036" w:rsidRDefault="00856036" w:rsidP="005E5A2E">
      <w:pPr>
        <w:pStyle w:val="Sansinterligne"/>
        <w:numPr>
          <w:ilvl w:val="0"/>
          <w:numId w:val="448"/>
        </w:numPr>
        <w:ind w:left="1068"/>
        <w:rPr>
          <w:highlight w:val="yellow"/>
        </w:rPr>
      </w:pPr>
      <w:r>
        <w:rPr>
          <w:highlight w:val="yellow"/>
        </w:rPr>
        <w:t xml:space="preserve">Âge, </w:t>
      </w:r>
      <w:r w:rsidR="007A6C19">
        <w:rPr>
          <w:highlight w:val="yellow"/>
        </w:rPr>
        <w:t>st</w:t>
      </w:r>
      <w:r>
        <w:rPr>
          <w:highlight w:val="yellow"/>
        </w:rPr>
        <w:t xml:space="preserve">atut GPA, </w:t>
      </w:r>
      <w:r w:rsidR="007A6C19">
        <w:rPr>
          <w:highlight w:val="yellow"/>
        </w:rPr>
        <w:t>H</w:t>
      </w:r>
      <w:r w:rsidR="00290D57">
        <w:rPr>
          <w:highlight w:val="yellow"/>
        </w:rPr>
        <w:t xml:space="preserve">x </w:t>
      </w:r>
      <w:r w:rsidR="007A6C19">
        <w:rPr>
          <w:highlight w:val="yellow"/>
        </w:rPr>
        <w:t xml:space="preserve">GA, </w:t>
      </w:r>
      <w:r>
        <w:rPr>
          <w:highlight w:val="yellow"/>
        </w:rPr>
        <w:t xml:space="preserve">SGB </w:t>
      </w:r>
      <w:r w:rsidR="007A6C19">
        <w:rPr>
          <w:highlight w:val="yellow"/>
        </w:rPr>
        <w:t xml:space="preserve">? </w:t>
      </w:r>
      <w:r>
        <w:rPr>
          <w:highlight w:val="yellow"/>
        </w:rPr>
        <w:t>Rh ?</w:t>
      </w:r>
    </w:p>
    <w:p w:rsidR="00856036" w:rsidRPr="00856036" w:rsidRDefault="00856036" w:rsidP="007A6C19">
      <w:pPr>
        <w:pStyle w:val="Sansinterligne"/>
        <w:ind w:left="348"/>
        <w:rPr>
          <w:highlight w:val="yellow"/>
          <w:u w:val="single"/>
        </w:rPr>
      </w:pPr>
      <w:r w:rsidRPr="00856036">
        <w:rPr>
          <w:highlight w:val="yellow"/>
          <w:u w:val="single"/>
        </w:rPr>
        <w:t>Contractions</w:t>
      </w:r>
    </w:p>
    <w:p w:rsidR="00743A29" w:rsidRPr="00403A58" w:rsidRDefault="00743A29" w:rsidP="005E5A2E">
      <w:pPr>
        <w:pStyle w:val="Sansinterligne"/>
        <w:numPr>
          <w:ilvl w:val="0"/>
          <w:numId w:val="448"/>
        </w:numPr>
        <w:ind w:left="1068"/>
        <w:rPr>
          <w:highlight w:val="yellow"/>
        </w:rPr>
      </w:pPr>
      <w:r w:rsidRPr="00403A58">
        <w:rPr>
          <w:highlight w:val="yellow"/>
        </w:rPr>
        <w:t>Heure de début des contractions</w:t>
      </w:r>
    </w:p>
    <w:p w:rsidR="00743A29" w:rsidRPr="00403A58" w:rsidRDefault="00743A29" w:rsidP="005E5A2E">
      <w:pPr>
        <w:pStyle w:val="Sansinterligne"/>
        <w:numPr>
          <w:ilvl w:val="0"/>
          <w:numId w:val="448"/>
        </w:numPr>
        <w:ind w:left="1068"/>
        <w:rPr>
          <w:highlight w:val="yellow"/>
        </w:rPr>
      </w:pPr>
      <w:r w:rsidRPr="00403A58">
        <w:rPr>
          <w:highlight w:val="yellow"/>
        </w:rPr>
        <w:t>Régulière ou irrégulière ?</w:t>
      </w:r>
    </w:p>
    <w:p w:rsidR="00743A29" w:rsidRPr="00403A58" w:rsidRDefault="00743A29" w:rsidP="005E5A2E">
      <w:pPr>
        <w:pStyle w:val="Sansinterligne"/>
        <w:numPr>
          <w:ilvl w:val="0"/>
          <w:numId w:val="448"/>
        </w:numPr>
        <w:ind w:left="1068"/>
        <w:rPr>
          <w:highlight w:val="yellow"/>
        </w:rPr>
      </w:pPr>
      <w:r w:rsidRPr="00403A58">
        <w:rPr>
          <w:highlight w:val="yellow"/>
        </w:rPr>
        <w:t>Intervalle entre chaque contraction</w:t>
      </w:r>
    </w:p>
    <w:p w:rsidR="00743A29" w:rsidRPr="00403A58" w:rsidRDefault="00743A29" w:rsidP="005E5A2E">
      <w:pPr>
        <w:pStyle w:val="Sansinterligne"/>
        <w:numPr>
          <w:ilvl w:val="0"/>
          <w:numId w:val="448"/>
        </w:numPr>
        <w:ind w:left="1068"/>
        <w:rPr>
          <w:highlight w:val="yellow"/>
        </w:rPr>
      </w:pPr>
      <w:r w:rsidRPr="00403A58">
        <w:rPr>
          <w:highlight w:val="yellow"/>
        </w:rPr>
        <w:t>Douloureuses ou non ?</w:t>
      </w:r>
    </w:p>
    <w:p w:rsidR="00743A29" w:rsidRDefault="00743A29" w:rsidP="005E5A2E">
      <w:pPr>
        <w:pStyle w:val="Sansinterligne"/>
        <w:numPr>
          <w:ilvl w:val="0"/>
          <w:numId w:val="448"/>
        </w:numPr>
        <w:ind w:left="1068"/>
        <w:rPr>
          <w:highlight w:val="yellow"/>
        </w:rPr>
      </w:pPr>
      <w:r w:rsidRPr="00403A58">
        <w:rPr>
          <w:highlight w:val="yellow"/>
        </w:rPr>
        <w:t>En augmentation ?</w:t>
      </w:r>
    </w:p>
    <w:p w:rsidR="00856036" w:rsidRPr="00856036" w:rsidRDefault="00856036" w:rsidP="007A6C19">
      <w:pPr>
        <w:pStyle w:val="Sansinterligne"/>
        <w:ind w:left="348"/>
        <w:rPr>
          <w:highlight w:val="yellow"/>
          <w:u w:val="single"/>
        </w:rPr>
      </w:pPr>
      <w:r w:rsidRPr="00856036">
        <w:rPr>
          <w:highlight w:val="yellow"/>
          <w:u w:val="single"/>
        </w:rPr>
        <w:t>Rupture des membranes</w:t>
      </w:r>
    </w:p>
    <w:p w:rsidR="00743A29" w:rsidRPr="00856036" w:rsidRDefault="00743A29" w:rsidP="005E5A2E">
      <w:pPr>
        <w:pStyle w:val="Sansinterligne"/>
        <w:numPr>
          <w:ilvl w:val="0"/>
          <w:numId w:val="448"/>
        </w:numPr>
        <w:ind w:left="1068"/>
      </w:pPr>
      <w:r w:rsidRPr="00856036">
        <w:t>Perte de liquide ?</w:t>
      </w:r>
    </w:p>
    <w:p w:rsidR="00856036" w:rsidRPr="00856036" w:rsidRDefault="00652B0C" w:rsidP="005E5A2E">
      <w:pPr>
        <w:pStyle w:val="Sansinterligne"/>
        <w:numPr>
          <w:ilvl w:val="0"/>
          <w:numId w:val="448"/>
        </w:numPr>
        <w:ind w:left="1068"/>
      </w:pPr>
      <w:r>
        <w:rPr>
          <w:noProof/>
          <w:lang w:eastAsia="fr-CA"/>
        </w:rPr>
        <mc:AlternateContent>
          <mc:Choice Requires="wpg">
            <w:drawing>
              <wp:anchor distT="0" distB="0" distL="114300" distR="114300" simplePos="0" relativeHeight="251783168" behindDoc="0" locked="0" layoutInCell="1" allowOverlap="1" wp14:anchorId="65B9449D" wp14:editId="0F8A20A4">
                <wp:simplePos x="0" y="0"/>
                <wp:positionH relativeFrom="column">
                  <wp:posOffset>4637405</wp:posOffset>
                </wp:positionH>
                <wp:positionV relativeFrom="paragraph">
                  <wp:posOffset>102870</wp:posOffset>
                </wp:positionV>
                <wp:extent cx="2100580" cy="2460625"/>
                <wp:effectExtent l="0" t="0" r="0" b="0"/>
                <wp:wrapNone/>
                <wp:docPr id="300" name="Groupe 300"/>
                <wp:cNvGraphicFramePr/>
                <a:graphic xmlns:a="http://schemas.openxmlformats.org/drawingml/2006/main">
                  <a:graphicData uri="http://schemas.microsoft.com/office/word/2010/wordprocessingGroup">
                    <wpg:wgp>
                      <wpg:cNvGrpSpPr/>
                      <wpg:grpSpPr>
                        <a:xfrm>
                          <a:off x="0" y="0"/>
                          <a:ext cx="2100580" cy="2460625"/>
                          <a:chOff x="0" y="0"/>
                          <a:chExt cx="2101174" cy="2461097"/>
                        </a:xfrm>
                      </wpg:grpSpPr>
                      <pic:pic xmlns:pic="http://schemas.openxmlformats.org/drawingml/2006/picture">
                        <pic:nvPicPr>
                          <pic:cNvPr id="298" name="Image 298" descr="Résultats de recherche d'images pour « manoeuvres de léopold »"/>
                          <pic:cNvPicPr>
                            <a:picLocks noChangeAspect="1"/>
                          </pic:cNvPicPr>
                        </pic:nvPicPr>
                        <pic:blipFill>
                          <a:blip r:embed="rId303">
                            <a:extLst>
                              <a:ext uri="{28A0092B-C50C-407E-A947-70E740481C1C}">
                                <a14:useLocalDpi xmlns:a14="http://schemas.microsoft.com/office/drawing/2010/main" val="0"/>
                              </a:ext>
                            </a:extLst>
                          </a:blip>
                          <a:srcRect/>
                          <a:stretch>
                            <a:fillRect/>
                          </a:stretch>
                        </pic:blipFill>
                        <pic:spPr bwMode="auto">
                          <a:xfrm>
                            <a:off x="0" y="252919"/>
                            <a:ext cx="2101174" cy="2208178"/>
                          </a:xfrm>
                          <a:prstGeom prst="rect">
                            <a:avLst/>
                          </a:prstGeom>
                          <a:noFill/>
                          <a:ln>
                            <a:noFill/>
                          </a:ln>
                        </pic:spPr>
                      </pic:pic>
                      <wps:wsp>
                        <wps:cNvPr id="299" name="Zone de texte 2"/>
                        <wps:cNvSpPr txBox="1">
                          <a:spLocks noChangeArrowheads="1"/>
                        </wps:cNvSpPr>
                        <wps:spPr bwMode="auto">
                          <a:xfrm>
                            <a:off x="175098" y="0"/>
                            <a:ext cx="1779905" cy="252730"/>
                          </a:xfrm>
                          <a:prstGeom prst="rect">
                            <a:avLst/>
                          </a:prstGeom>
                          <a:solidFill>
                            <a:srgbClr val="FFFFFF"/>
                          </a:solidFill>
                          <a:ln w="9525">
                            <a:noFill/>
                            <a:miter lim="800000"/>
                            <a:headEnd/>
                            <a:tailEnd/>
                          </a:ln>
                        </wps:spPr>
                        <wps:txbx>
                          <w:txbxContent>
                            <w:p w:rsidR="008276DC" w:rsidRPr="0027224D" w:rsidRDefault="008276DC">
                              <w:pPr>
                                <w:rPr>
                                  <w:b/>
                                </w:rPr>
                              </w:pPr>
                              <w:r w:rsidRPr="0027224D">
                                <w:rPr>
                                  <w:b/>
                                </w:rPr>
                                <w:t>Manœuvres de Leopold</w:t>
                              </w:r>
                            </w:p>
                          </w:txbxContent>
                        </wps:txbx>
                        <wps:bodyPr rot="0" vert="horz" wrap="square" lIns="91440" tIns="45720" rIns="91440" bIns="45720" anchor="t" anchorCtr="0">
                          <a:noAutofit/>
                        </wps:bodyPr>
                      </wps:wsp>
                    </wpg:wgp>
                  </a:graphicData>
                </a:graphic>
              </wp:anchor>
            </w:drawing>
          </mc:Choice>
          <mc:Fallback>
            <w:pict>
              <v:group id="Groupe 300" o:spid="_x0000_s1116" style="position:absolute;left:0;text-align:left;margin-left:365.15pt;margin-top:8.1pt;width:165.4pt;height:193.75pt;z-index:251783168" coordsize="21011,24610" o:gfxdata="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">
                <v:shape id="Image 298" o:spid="_x0000_s1117" type="#_x0000_t75" alt="Résultats de recherche d'images pour « manoeuvres de léopold »" style="position:absolute;top:2529;width:21011;height:220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CTVEzCAAAA3AAAAA8AAABkcnMvZG93bnJldi54bWxET91qwjAUvh/4DuEIu5GZWrbpqrFIYWN4&#10;teoe4NictcXmpCSx7d5+uRh4+fH97/LJdGIg51vLClbLBARxZXXLtYLv8/vTBoQPyBo7y6Tglzzk&#10;+9nDDjNtRy5pOIVaxBD2GSpoQugzKX3VkEG/tD1x5H6sMxgidLXUDscYbjqZJsmrNNhybGiwp6Kh&#10;6nq6GQWLCxbHl6/z+tmuPwpdjMNtUUqlHufTYQsi0BTu4n/3p1aQvsW18Uw8AnL/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wk1RMwgAAANwAAAAPAAAAAAAAAAAAAAAAAJ8C&#10;AABkcnMvZG93bnJldi54bWxQSwUGAAAAAAQABAD3AAAAjgMAAAAA&#10;">
                  <v:imagedata r:id="rId304" o:title="Résultats de recherche d'images pour « manoeuvres de léopold »"/>
                  <v:path arrowok="t"/>
                </v:shape>
                <v:shape id="_x0000_s1118" type="#_x0000_t202" style="position:absolute;left:1750;width:17800;height:25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kSd8UA&#10;AADcAAAADwAAAGRycy9kb3ducmV2LnhtbESPzWrDMBCE74W+g9hCL6WWa9KkdqKYptCSq508wMZa&#10;/xBrZSwldt6+ChR6HGbmG2aTz6YXVxpdZ1nBWxSDIK6s7rhRcDx8v36AcB5ZY2+ZFNzIQb59fNhg&#10;pu3EBV1L34gAYZehgtb7IZPSVS0ZdJEdiINX29GgD3JspB5xCnDTyySOl9Jgx2GhxYG+WqrO5cUo&#10;qPfTy3s6nX78cVUsljvsVid7U+r5af5cg/A0+//wX3uvFSRpCvcz4QjI7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iRJ3xQAAANwAAAAPAAAAAAAAAAAAAAAAAJgCAABkcnMv&#10;ZG93bnJldi54bWxQSwUGAAAAAAQABAD1AAAAigMAAAAA&#10;" stroked="f">
                  <v:textbox>
                    <w:txbxContent>
                      <w:p w:rsidR="008276DC" w:rsidRPr="0027224D" w:rsidRDefault="008276DC">
                        <w:pPr>
                          <w:rPr>
                            <w:b/>
                          </w:rPr>
                        </w:pPr>
                        <w:r w:rsidRPr="0027224D">
                          <w:rPr>
                            <w:b/>
                          </w:rPr>
                          <w:t>Manœuvres de Leopold</w:t>
                        </w:r>
                      </w:p>
                    </w:txbxContent>
                  </v:textbox>
                </v:shape>
              </v:group>
            </w:pict>
          </mc:Fallback>
        </mc:AlternateContent>
      </w:r>
      <w:r w:rsidR="00856036" w:rsidRPr="00856036">
        <w:t>Quantité ? (goutte vs flot)</w:t>
      </w:r>
    </w:p>
    <w:p w:rsidR="00856036" w:rsidRPr="00856036" w:rsidRDefault="00856036" w:rsidP="005E5A2E">
      <w:pPr>
        <w:pStyle w:val="Sansinterligne"/>
        <w:numPr>
          <w:ilvl w:val="0"/>
          <w:numId w:val="448"/>
        </w:numPr>
        <w:ind w:left="1068"/>
      </w:pPr>
      <w:r w:rsidRPr="00856036">
        <w:t>Couleur (clair vs vert, sanguin)</w:t>
      </w:r>
    </w:p>
    <w:p w:rsidR="00883ABD" w:rsidRPr="00856036" w:rsidRDefault="00856036" w:rsidP="007A6C19">
      <w:pPr>
        <w:pStyle w:val="Sansinterligne"/>
        <w:ind w:left="348"/>
        <w:rPr>
          <w:u w:val="single"/>
        </w:rPr>
      </w:pPr>
      <w:r w:rsidRPr="00856036">
        <w:rPr>
          <w:highlight w:val="yellow"/>
          <w:u w:val="single"/>
        </w:rPr>
        <w:t>Sang</w:t>
      </w:r>
    </w:p>
    <w:p w:rsidR="00856036" w:rsidRDefault="00856036" w:rsidP="005E5A2E">
      <w:pPr>
        <w:pStyle w:val="Sansinterligne"/>
        <w:numPr>
          <w:ilvl w:val="0"/>
          <w:numId w:val="451"/>
        </w:numPr>
        <w:ind w:left="1068"/>
      </w:pPr>
      <w:r>
        <w:t>Depuis quand ?</w:t>
      </w:r>
    </w:p>
    <w:p w:rsidR="00856036" w:rsidRDefault="008276DC" w:rsidP="005E5A2E">
      <w:pPr>
        <w:pStyle w:val="Sansinterligne"/>
        <w:numPr>
          <w:ilvl w:val="0"/>
          <w:numId w:val="451"/>
        </w:numPr>
        <w:ind w:left="1068"/>
      </w:pPr>
      <w:r>
        <w:t>Quantité ?</w:t>
      </w:r>
    </w:p>
    <w:p w:rsidR="00856036" w:rsidRDefault="00856036" w:rsidP="005E5A2E">
      <w:pPr>
        <w:pStyle w:val="Sansinterligne"/>
        <w:numPr>
          <w:ilvl w:val="0"/>
          <w:numId w:val="451"/>
        </w:numPr>
        <w:ind w:left="1068"/>
      </w:pPr>
      <w:r>
        <w:t>Couleur (rouge clair – actif vs brun vs caillots)</w:t>
      </w:r>
    </w:p>
    <w:p w:rsidR="00856036" w:rsidRDefault="00856036" w:rsidP="005E5A2E">
      <w:pPr>
        <w:pStyle w:val="Sansinterligne"/>
        <w:numPr>
          <w:ilvl w:val="0"/>
          <w:numId w:val="451"/>
        </w:numPr>
        <w:ind w:left="1068"/>
      </w:pPr>
      <w:r>
        <w:t>Trauma ? Coït ?</w:t>
      </w:r>
    </w:p>
    <w:p w:rsidR="00856036" w:rsidRPr="00856036" w:rsidRDefault="00856036" w:rsidP="007A6C19">
      <w:pPr>
        <w:pStyle w:val="Sansinterligne"/>
        <w:ind w:left="348"/>
        <w:rPr>
          <w:u w:val="single"/>
        </w:rPr>
      </w:pPr>
      <w:r w:rsidRPr="00856036">
        <w:rPr>
          <w:highlight w:val="yellow"/>
          <w:u w:val="single"/>
        </w:rPr>
        <w:t>Mouvements fœtaux</w:t>
      </w:r>
    </w:p>
    <w:p w:rsidR="00856036" w:rsidRDefault="00856036" w:rsidP="005E5A2E">
      <w:pPr>
        <w:pStyle w:val="Sansinterligne"/>
        <w:numPr>
          <w:ilvl w:val="0"/>
          <w:numId w:val="452"/>
        </w:numPr>
        <w:ind w:left="1068"/>
      </w:pPr>
      <w:r>
        <w:t>Quand a eu lieu le dernier ?</w:t>
      </w:r>
    </w:p>
    <w:p w:rsidR="00856036" w:rsidRDefault="00856036" w:rsidP="005E5A2E">
      <w:pPr>
        <w:pStyle w:val="Sansinterligne"/>
        <w:numPr>
          <w:ilvl w:val="0"/>
          <w:numId w:val="452"/>
        </w:numPr>
        <w:ind w:left="1068"/>
      </w:pPr>
      <w:r>
        <w:t xml:space="preserve">Diminution des mouvements ? (N </w:t>
      </w:r>
      <w:r>
        <w:rPr>
          <w:rFonts w:ascii="Century Gothic" w:hAnsi="Century Gothic"/>
        </w:rPr>
        <w:t>≥</w:t>
      </w:r>
      <w:r>
        <w:t>6 en 2h)</w:t>
      </w:r>
    </w:p>
    <w:p w:rsidR="00652B0C" w:rsidRDefault="00652B0C" w:rsidP="00652B0C">
      <w:pPr>
        <w:pStyle w:val="Sansinterligne"/>
        <w:ind w:left="720"/>
      </w:pPr>
    </w:p>
    <w:p w:rsidR="00743A29" w:rsidRDefault="00883ABD" w:rsidP="00883ABD">
      <w:pPr>
        <w:pStyle w:val="Sansinterligne"/>
      </w:pPr>
      <w:r w:rsidRPr="00743A29">
        <w:rPr>
          <w:b/>
        </w:rPr>
        <w:t>Examen physique</w:t>
      </w:r>
      <w:r>
        <w:t xml:space="preserve"> : </w:t>
      </w:r>
    </w:p>
    <w:p w:rsidR="00743A29" w:rsidRPr="00403A58" w:rsidRDefault="00743A29" w:rsidP="005E5A2E">
      <w:pPr>
        <w:pStyle w:val="Sansinterligne"/>
        <w:numPr>
          <w:ilvl w:val="0"/>
          <w:numId w:val="447"/>
        </w:numPr>
        <w:rPr>
          <w:highlight w:val="yellow"/>
        </w:rPr>
      </w:pPr>
      <w:r w:rsidRPr="00403A58">
        <w:rPr>
          <w:highlight w:val="yellow"/>
        </w:rPr>
        <w:t>Prise de la TA (exclure éclampsie/prééclampsie)</w:t>
      </w:r>
    </w:p>
    <w:p w:rsidR="00743A29" w:rsidRPr="00403A58" w:rsidRDefault="00743A29" w:rsidP="005E5A2E">
      <w:pPr>
        <w:pStyle w:val="Sansinterligne"/>
        <w:numPr>
          <w:ilvl w:val="0"/>
          <w:numId w:val="447"/>
        </w:numPr>
        <w:rPr>
          <w:highlight w:val="yellow"/>
        </w:rPr>
      </w:pPr>
      <w:r w:rsidRPr="00403A58">
        <w:rPr>
          <w:highlight w:val="yellow"/>
          <w:u w:val="single"/>
        </w:rPr>
        <w:t>Hauteur utérine</w:t>
      </w:r>
      <w:r w:rsidRPr="00403A58">
        <w:rPr>
          <w:highlight w:val="yellow"/>
        </w:rPr>
        <w:t xml:space="preserve"> (corrélation avec l’âge fœtal)</w:t>
      </w:r>
    </w:p>
    <w:p w:rsidR="00743A29" w:rsidRPr="00403A58" w:rsidRDefault="00883ABD" w:rsidP="005E5A2E">
      <w:pPr>
        <w:pStyle w:val="Sansinterligne"/>
        <w:numPr>
          <w:ilvl w:val="0"/>
          <w:numId w:val="447"/>
        </w:numPr>
        <w:rPr>
          <w:highlight w:val="yellow"/>
        </w:rPr>
      </w:pPr>
      <w:r w:rsidRPr="00403A58">
        <w:rPr>
          <w:highlight w:val="yellow"/>
          <w:u w:val="single"/>
        </w:rPr>
        <w:t>Examen du col</w:t>
      </w:r>
      <w:r w:rsidR="00743A29" w:rsidRPr="00403A58">
        <w:rPr>
          <w:highlight w:val="yellow"/>
        </w:rPr>
        <w:t> :</w:t>
      </w:r>
    </w:p>
    <w:p w:rsidR="00E94137" w:rsidRPr="00E94137" w:rsidRDefault="00743A29" w:rsidP="005E5A2E">
      <w:pPr>
        <w:pStyle w:val="Sansinterligne"/>
        <w:numPr>
          <w:ilvl w:val="0"/>
          <w:numId w:val="446"/>
        </w:numPr>
        <w:rPr>
          <w:rFonts w:cs="Times New Roman"/>
          <w:highlight w:val="yellow"/>
        </w:rPr>
      </w:pPr>
      <w:r w:rsidRPr="00403A58">
        <w:rPr>
          <w:rFonts w:cs="Times New Roman"/>
          <w:highlight w:val="yellow"/>
        </w:rPr>
        <w:t xml:space="preserve">Caractériser sa longueur et son effacement. </w:t>
      </w:r>
    </w:p>
    <w:p w:rsidR="00E94137" w:rsidRDefault="00E94137" w:rsidP="005E5A2E">
      <w:pPr>
        <w:pStyle w:val="Sansinterligne"/>
        <w:numPr>
          <w:ilvl w:val="0"/>
          <w:numId w:val="446"/>
        </w:numPr>
        <w:rPr>
          <w:rFonts w:cs="Times New Roman"/>
          <w:highlight w:val="yellow"/>
        </w:rPr>
      </w:pPr>
      <w:r>
        <w:rPr>
          <w:rFonts w:cs="Times New Roman"/>
          <w:highlight w:val="yellow"/>
        </w:rPr>
        <w:t>Rupture des membranes</w:t>
      </w:r>
    </w:p>
    <w:p w:rsidR="00883ABD" w:rsidRPr="00403A58" w:rsidRDefault="00743A29" w:rsidP="005E5A2E">
      <w:pPr>
        <w:pStyle w:val="Sansinterligne"/>
        <w:numPr>
          <w:ilvl w:val="1"/>
          <w:numId w:val="446"/>
        </w:numPr>
        <w:rPr>
          <w:rFonts w:cs="Times New Roman"/>
          <w:highlight w:val="yellow"/>
        </w:rPr>
      </w:pPr>
      <w:r w:rsidRPr="00403A58">
        <w:rPr>
          <w:rFonts w:cs="Times New Roman"/>
          <w:highlight w:val="yellow"/>
        </w:rPr>
        <w:t xml:space="preserve">Recherche de «pooling» au cul-de-sac postérieur du vagin </w:t>
      </w:r>
    </w:p>
    <w:p w:rsidR="00743A29" w:rsidRDefault="00743A29" w:rsidP="005E5A2E">
      <w:pPr>
        <w:pStyle w:val="Sansinterligne"/>
        <w:numPr>
          <w:ilvl w:val="1"/>
          <w:numId w:val="446"/>
        </w:numPr>
        <w:rPr>
          <w:rFonts w:cs="Times New Roman"/>
          <w:highlight w:val="yellow"/>
        </w:rPr>
      </w:pPr>
      <w:r w:rsidRPr="00403A58">
        <w:rPr>
          <w:rFonts w:cs="Times New Roman"/>
          <w:highlight w:val="yellow"/>
        </w:rPr>
        <w:t xml:space="preserve">Observation d’un écoulement liquidien de l’os du col </w:t>
      </w:r>
    </w:p>
    <w:p w:rsidR="00403A58" w:rsidRPr="00403A58" w:rsidRDefault="00705F46" w:rsidP="005E5A2E">
      <w:pPr>
        <w:pStyle w:val="Sansinterligne"/>
        <w:numPr>
          <w:ilvl w:val="0"/>
          <w:numId w:val="449"/>
        </w:numPr>
        <w:rPr>
          <w:rFonts w:cs="Times New Roman"/>
          <w:highlight w:val="yellow"/>
          <w:u w:val="single"/>
        </w:rPr>
      </w:pPr>
      <w:r w:rsidRPr="006271A9">
        <w:rPr>
          <w:i/>
          <w:noProof/>
          <w:lang w:eastAsia="fr-CA"/>
        </w:rPr>
        <mc:AlternateContent>
          <mc:Choice Requires="wpg">
            <w:drawing>
              <wp:anchor distT="0" distB="0" distL="114300" distR="114300" simplePos="0" relativeHeight="251785216" behindDoc="0" locked="0" layoutInCell="1" allowOverlap="1" wp14:anchorId="4112F2BE" wp14:editId="0EF74196">
                <wp:simplePos x="0" y="0"/>
                <wp:positionH relativeFrom="column">
                  <wp:posOffset>4190365</wp:posOffset>
                </wp:positionH>
                <wp:positionV relativeFrom="paragraph">
                  <wp:posOffset>98425</wp:posOffset>
                </wp:positionV>
                <wp:extent cx="2966720" cy="2275840"/>
                <wp:effectExtent l="0" t="0" r="5080" b="0"/>
                <wp:wrapNone/>
                <wp:docPr id="302" name="Groupe 302"/>
                <wp:cNvGraphicFramePr/>
                <a:graphic xmlns:a="http://schemas.openxmlformats.org/drawingml/2006/main">
                  <a:graphicData uri="http://schemas.microsoft.com/office/word/2010/wordprocessingGroup">
                    <wpg:wgp>
                      <wpg:cNvGrpSpPr/>
                      <wpg:grpSpPr>
                        <a:xfrm>
                          <a:off x="0" y="0"/>
                          <a:ext cx="2966720" cy="2275840"/>
                          <a:chOff x="0" y="-68094"/>
                          <a:chExt cx="3249038" cy="2655651"/>
                        </a:xfrm>
                      </wpg:grpSpPr>
                      <pic:pic xmlns:pic="http://schemas.openxmlformats.org/drawingml/2006/picture">
                        <pic:nvPicPr>
                          <pic:cNvPr id="296" name="Image 296" descr="Résultats de recherche d'images pour « friedman curve »"/>
                          <pic:cNvPicPr>
                            <a:picLocks noChangeAspect="1"/>
                          </pic:cNvPicPr>
                        </pic:nvPicPr>
                        <pic:blipFill>
                          <a:blip r:embed="rId305">
                            <a:extLst>
                              <a:ext uri="{28A0092B-C50C-407E-A947-70E740481C1C}">
                                <a14:useLocalDpi xmlns:a14="http://schemas.microsoft.com/office/drawing/2010/main" val="0"/>
                              </a:ext>
                            </a:extLst>
                          </a:blip>
                          <a:srcRect/>
                          <a:stretch>
                            <a:fillRect/>
                          </a:stretch>
                        </pic:blipFill>
                        <pic:spPr bwMode="auto">
                          <a:xfrm>
                            <a:off x="0" y="126459"/>
                            <a:ext cx="3249038" cy="2461098"/>
                          </a:xfrm>
                          <a:prstGeom prst="rect">
                            <a:avLst/>
                          </a:prstGeom>
                          <a:noFill/>
                          <a:ln>
                            <a:noFill/>
                          </a:ln>
                        </pic:spPr>
                      </pic:pic>
                      <wps:wsp>
                        <wps:cNvPr id="301" name="Zone de texte 2"/>
                        <wps:cNvSpPr txBox="1">
                          <a:spLocks noChangeArrowheads="1"/>
                        </wps:cNvSpPr>
                        <wps:spPr bwMode="auto">
                          <a:xfrm>
                            <a:off x="894816" y="-68094"/>
                            <a:ext cx="1651088" cy="329119"/>
                          </a:xfrm>
                          <a:prstGeom prst="rect">
                            <a:avLst/>
                          </a:prstGeom>
                          <a:solidFill>
                            <a:srgbClr val="FFFFFF"/>
                          </a:solidFill>
                          <a:ln w="9525">
                            <a:noFill/>
                            <a:miter lim="800000"/>
                            <a:headEnd/>
                            <a:tailEnd/>
                          </a:ln>
                        </wps:spPr>
                        <wps:txbx>
                          <w:txbxContent>
                            <w:p w:rsidR="008276DC" w:rsidRPr="00E84406" w:rsidRDefault="008276DC">
                              <w:pPr>
                                <w:rPr>
                                  <w:b/>
                                </w:rPr>
                              </w:pPr>
                              <w:r w:rsidRPr="00E84406">
                                <w:rPr>
                                  <w:b/>
                                </w:rPr>
                                <w:t xml:space="preserve">Courbe de Friedman </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Groupe 302" o:spid="_x0000_s1119" style="position:absolute;left:0;text-align:left;margin-left:329.95pt;margin-top:7.75pt;width:233.6pt;height:179.2pt;z-index:251785216;mso-width-relative:margin;mso-height-relative:margin" coordorigin=",-680" coordsize="32490,26556" o:gfxdata="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">
                <v:shape id="Image 296" o:spid="_x0000_s1120" type="#_x0000_t75" alt="Résultats de recherche d'images pour « friedman curve »" style="position:absolute;top:1264;width:32490;height:246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RtpXrDAAAA3AAAAA8AAABkcnMvZG93bnJldi54bWxEj0GLwjAUhO/C/ofwFrxpqoJo1yiyrOBF&#10;0Kr3R/NsujYvpYm2+uuNsLDHYWa+YRarzlbiTo0vHSsYDRMQxLnTJRcKTsfNYAbCB2SNlWNS8CAP&#10;q+VHb4Gpdi0f6J6FQkQI+xQVmBDqVEqfG7Loh64mjt7FNRZDlE0hdYNthNtKjpNkKi2WHBcM1vRt&#10;KL9mN6vgOdn/3nLtfmqzq9rzZaJn2XquVP+zW3+BCNSF//Bfe6sVjOdTeJ+JR0AuX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lG2lesMAAADcAAAADwAAAAAAAAAAAAAAAACf&#10;AgAAZHJzL2Rvd25yZXYueG1sUEsFBgAAAAAEAAQA9wAAAI8DAAAAAA==&#10;">
                  <v:imagedata r:id="rId306" o:title="Résultats de recherche d'images pour « friedman curve »"/>
                  <v:path arrowok="t"/>
                </v:shape>
                <v:shape id="_x0000_s1121" type="#_x0000_t202" style="position:absolute;left:8948;top:-680;width:16511;height:32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SEa8QA&#10;AADcAAAADwAAAGRycy9kb3ducmV2LnhtbESP3YrCMBSE7wXfIRzBG1lT15/udo2yCive+vMAp82x&#10;LTYnpYm2vv1GELwcZuYbZrnuTCXu1LjSsoLJOAJBnFldcq7gfPr7+ALhPLLGyjIpeJCD9arfW2Ki&#10;bcsHuh99LgKEXYIKCu/rREqXFWTQjW1NHLyLbQz6IJtc6gbbADeV/IyihTRYclgosKZtQdn1eDMK&#10;Lvt2NP9u050/x4fZYoNlnNqHUsNB9/sDwlPn3+FXe68VTKMJPM+EIy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0UhGvEAAAA3AAAAA8AAAAAAAAAAAAAAAAAmAIAAGRycy9k&#10;b3ducmV2LnhtbFBLBQYAAAAABAAEAPUAAACJAwAAAAA=&#10;" stroked="f">
                  <v:textbox>
                    <w:txbxContent>
                      <w:p w:rsidR="008276DC" w:rsidRPr="00E84406" w:rsidRDefault="008276DC">
                        <w:pPr>
                          <w:rPr>
                            <w:b/>
                          </w:rPr>
                        </w:pPr>
                        <w:r w:rsidRPr="00E84406">
                          <w:rPr>
                            <w:b/>
                          </w:rPr>
                          <w:t xml:space="preserve">Courbe de Friedman </w:t>
                        </w:r>
                      </w:p>
                    </w:txbxContent>
                  </v:textbox>
                </v:shape>
              </v:group>
            </w:pict>
          </mc:Fallback>
        </mc:AlternateContent>
      </w:r>
      <w:r w:rsidR="00403A58" w:rsidRPr="00403A58">
        <w:rPr>
          <w:rFonts w:cs="Times New Roman"/>
          <w:highlight w:val="yellow"/>
          <w:u w:val="single"/>
        </w:rPr>
        <w:t>Cardiotocographie</w:t>
      </w:r>
      <w:r w:rsidR="00403A58">
        <w:rPr>
          <w:rFonts w:cs="Times New Roman"/>
          <w:highlight w:val="yellow"/>
          <w:u w:val="single"/>
        </w:rPr>
        <w:t> </w:t>
      </w:r>
      <w:r w:rsidR="00403A58" w:rsidRPr="00403A58">
        <w:rPr>
          <w:rFonts w:cs="Times New Roman"/>
          <w:highlight w:val="yellow"/>
        </w:rPr>
        <w:t xml:space="preserve">: permet d’évaluer les contractions et le </w:t>
      </w:r>
      <w:r w:rsidR="00606B6A" w:rsidRPr="00403A58">
        <w:rPr>
          <w:rFonts w:cs="Times New Roman"/>
          <w:highlight w:val="yellow"/>
        </w:rPr>
        <w:t>cœur</w:t>
      </w:r>
      <w:r w:rsidR="00403A58" w:rsidRPr="00403A58">
        <w:rPr>
          <w:rFonts w:cs="Times New Roman"/>
          <w:highlight w:val="yellow"/>
        </w:rPr>
        <w:t xml:space="preserve"> fœtal</w:t>
      </w:r>
    </w:p>
    <w:p w:rsidR="00883ABD" w:rsidRDefault="00705F46" w:rsidP="005E5A2E">
      <w:pPr>
        <w:pStyle w:val="Sansinterligne"/>
        <w:numPr>
          <w:ilvl w:val="0"/>
          <w:numId w:val="453"/>
        </w:numPr>
      </w:pPr>
      <w:r>
        <w:rPr>
          <w:rFonts w:cs="Times New Roman"/>
        </w:rPr>
        <w:t xml:space="preserve">± </w:t>
      </w:r>
      <w:r w:rsidR="0027224D">
        <w:t>Manœuvre de Léopold pour confirmer la présentation</w:t>
      </w:r>
    </w:p>
    <w:p w:rsidR="0027224D" w:rsidRDefault="0027224D" w:rsidP="00883ABD">
      <w:pPr>
        <w:pStyle w:val="Sansinterligne"/>
      </w:pPr>
    </w:p>
    <w:p w:rsidR="0027224D" w:rsidRPr="00FF495D" w:rsidRDefault="00FF495D" w:rsidP="00883ABD">
      <w:pPr>
        <w:pStyle w:val="Sansinterligne"/>
        <w:rPr>
          <w:b/>
          <w:sz w:val="28"/>
          <w:szCs w:val="28"/>
        </w:rPr>
      </w:pPr>
      <w:r w:rsidRPr="00FF495D">
        <w:rPr>
          <w:b/>
          <w:sz w:val="28"/>
          <w:szCs w:val="28"/>
        </w:rPr>
        <w:t>Stade</w:t>
      </w:r>
      <w:r>
        <w:rPr>
          <w:b/>
          <w:sz w:val="28"/>
          <w:szCs w:val="28"/>
        </w:rPr>
        <w:t>s</w:t>
      </w:r>
      <w:r w:rsidRPr="00FF495D">
        <w:rPr>
          <w:b/>
          <w:sz w:val="28"/>
          <w:szCs w:val="28"/>
        </w:rPr>
        <w:t xml:space="preserve"> du travail</w:t>
      </w:r>
    </w:p>
    <w:p w:rsidR="00FF495D" w:rsidRPr="00AB0496" w:rsidRDefault="00FF495D" w:rsidP="00883ABD">
      <w:pPr>
        <w:pStyle w:val="Sansinterligne"/>
      </w:pPr>
    </w:p>
    <w:p w:rsidR="00E84406" w:rsidRDefault="00403A58" w:rsidP="00883ABD">
      <w:pPr>
        <w:pStyle w:val="Sansinterligne"/>
      </w:pPr>
      <w:r>
        <w:t xml:space="preserve">Une fois </w:t>
      </w:r>
      <w:r w:rsidR="00E84406">
        <w:t xml:space="preserve">le travail établi, il faut </w:t>
      </w:r>
      <w:r w:rsidR="00BE25D5">
        <w:t>déterminer</w:t>
      </w:r>
      <w:r w:rsidR="00E84406">
        <w:t xml:space="preserve"> le stade</w:t>
      </w:r>
      <w:r w:rsidR="00BE25D5">
        <w:t>.</w:t>
      </w:r>
    </w:p>
    <w:p w:rsidR="00E84406" w:rsidRDefault="00E84406" w:rsidP="00883ABD">
      <w:pPr>
        <w:pStyle w:val="Sansinterligne"/>
      </w:pPr>
    </w:p>
    <w:p w:rsidR="00E84406" w:rsidRDefault="00E84406" w:rsidP="00883ABD">
      <w:pPr>
        <w:pStyle w:val="Sansinterligne"/>
      </w:pPr>
      <w:r w:rsidRPr="006271A9">
        <w:rPr>
          <w:i/>
        </w:rPr>
        <w:t>1</w:t>
      </w:r>
      <w:r w:rsidRPr="006271A9">
        <w:rPr>
          <w:i/>
          <w:vertAlign w:val="superscript"/>
        </w:rPr>
        <w:t>er </w:t>
      </w:r>
      <w:r w:rsidRPr="006271A9">
        <w:rPr>
          <w:i/>
        </w:rPr>
        <w:t xml:space="preserve"> stade</w:t>
      </w:r>
      <w:r>
        <w:t> : Début du travail ad dilatation complète</w:t>
      </w:r>
    </w:p>
    <w:p w:rsidR="00E84406" w:rsidRDefault="00E84406" w:rsidP="005E5A2E">
      <w:pPr>
        <w:pStyle w:val="Sansinterligne"/>
        <w:numPr>
          <w:ilvl w:val="0"/>
          <w:numId w:val="450"/>
        </w:numPr>
      </w:pPr>
      <w:r>
        <w:t>Phase latente (</w:t>
      </w:r>
      <w:r>
        <w:rPr>
          <w:rFonts w:ascii="Century Gothic" w:hAnsi="Century Gothic"/>
        </w:rPr>
        <w:t>&lt;</w:t>
      </w:r>
      <w:r>
        <w:t xml:space="preserve"> 3-4 cm)</w:t>
      </w:r>
    </w:p>
    <w:p w:rsidR="00E84406" w:rsidRDefault="00E84406" w:rsidP="005E5A2E">
      <w:pPr>
        <w:pStyle w:val="Sansinterligne"/>
        <w:numPr>
          <w:ilvl w:val="0"/>
          <w:numId w:val="450"/>
        </w:numPr>
      </w:pPr>
      <w:r>
        <w:t xml:space="preserve">Phase </w:t>
      </w:r>
      <w:r w:rsidR="003A3D3B">
        <w:t>active</w:t>
      </w:r>
      <w:r>
        <w:t xml:space="preserve"> (CU douloureuses q 2-3 min x </w:t>
      </w:r>
      <w:r>
        <w:rPr>
          <w:rFonts w:cs="Times New Roman"/>
        </w:rPr>
        <w:t>~</w:t>
      </w:r>
      <w:r>
        <w:t xml:space="preserve"> 1 min)</w:t>
      </w:r>
    </w:p>
    <w:p w:rsidR="00E84406" w:rsidRDefault="00E84406" w:rsidP="00E84406">
      <w:pPr>
        <w:pStyle w:val="Sansinterligne"/>
      </w:pPr>
      <w:r w:rsidRPr="006271A9">
        <w:rPr>
          <w:i/>
        </w:rPr>
        <w:t>2</w:t>
      </w:r>
      <w:r w:rsidRPr="006271A9">
        <w:rPr>
          <w:i/>
          <w:vertAlign w:val="superscript"/>
        </w:rPr>
        <w:t>e</w:t>
      </w:r>
      <w:r w:rsidRPr="006271A9">
        <w:rPr>
          <w:i/>
        </w:rPr>
        <w:t xml:space="preserve"> stade</w:t>
      </w:r>
      <w:r>
        <w:t> : Dilatation complète ad accouchement</w:t>
      </w:r>
    </w:p>
    <w:p w:rsidR="00E84406" w:rsidRDefault="00E84406" w:rsidP="00E84406">
      <w:pPr>
        <w:pStyle w:val="Sansinterligne"/>
      </w:pPr>
      <w:r w:rsidRPr="006271A9">
        <w:rPr>
          <w:i/>
        </w:rPr>
        <w:t>3</w:t>
      </w:r>
      <w:r w:rsidRPr="006271A9">
        <w:rPr>
          <w:i/>
          <w:vertAlign w:val="superscript"/>
        </w:rPr>
        <w:t>e</w:t>
      </w:r>
      <w:r w:rsidRPr="006271A9">
        <w:rPr>
          <w:i/>
        </w:rPr>
        <w:t xml:space="preserve"> stade</w:t>
      </w:r>
      <w:r>
        <w:t> : Accouchement ad expulsion placentaire</w:t>
      </w:r>
    </w:p>
    <w:p w:rsidR="00E84406" w:rsidRDefault="00E84406" w:rsidP="00E84406">
      <w:pPr>
        <w:pStyle w:val="Sansinterligne"/>
      </w:pPr>
      <w:r w:rsidRPr="006271A9">
        <w:rPr>
          <w:i/>
        </w:rPr>
        <w:t>4</w:t>
      </w:r>
      <w:r w:rsidRPr="006271A9">
        <w:rPr>
          <w:i/>
          <w:vertAlign w:val="superscript"/>
        </w:rPr>
        <w:t>e</w:t>
      </w:r>
      <w:r w:rsidRPr="006271A9">
        <w:rPr>
          <w:i/>
        </w:rPr>
        <w:t xml:space="preserve"> stade</w:t>
      </w:r>
      <w:r>
        <w:t> : 1 heure post-partum</w:t>
      </w:r>
    </w:p>
    <w:p w:rsidR="00FF495D" w:rsidRDefault="00FF495D" w:rsidP="00E84406">
      <w:pPr>
        <w:pStyle w:val="Sansinterligne"/>
      </w:pPr>
    </w:p>
    <w:p w:rsidR="004D12B2" w:rsidRPr="00C2701A" w:rsidRDefault="00C2701A" w:rsidP="00883ABD">
      <w:pPr>
        <w:pStyle w:val="Sansinterligne"/>
        <w:rPr>
          <w:b/>
          <w:sz w:val="28"/>
          <w:szCs w:val="28"/>
        </w:rPr>
      </w:pPr>
      <w:r w:rsidRPr="00C2701A">
        <w:rPr>
          <w:b/>
          <w:sz w:val="28"/>
          <w:szCs w:val="28"/>
        </w:rPr>
        <w:t>Besoins et particularités de la femme en travail</w:t>
      </w:r>
    </w:p>
    <w:p w:rsidR="00C2701A" w:rsidRDefault="00C2701A" w:rsidP="00883ABD">
      <w:pPr>
        <w:pStyle w:val="Sansinterligne"/>
      </w:pPr>
    </w:p>
    <w:p w:rsidR="00705F46" w:rsidRDefault="00705F46" w:rsidP="005E5A2E">
      <w:pPr>
        <w:pStyle w:val="Sansinterligne"/>
        <w:numPr>
          <w:ilvl w:val="0"/>
          <w:numId w:val="455"/>
        </w:numPr>
      </w:pPr>
      <w:r w:rsidRPr="00DA27EE">
        <w:rPr>
          <w:highlight w:val="yellow"/>
        </w:rPr>
        <w:t>Besoins hydriques accrus (pertes insensibles +++), importance de la réhydratation PO ou IV</w:t>
      </w:r>
    </w:p>
    <w:p w:rsidR="00705F46" w:rsidRPr="00C67866" w:rsidRDefault="00705F46" w:rsidP="00705F46">
      <w:pPr>
        <w:pStyle w:val="Sansinterligne"/>
        <w:ind w:left="360"/>
      </w:pPr>
    </w:p>
    <w:p w:rsidR="00C67866" w:rsidRDefault="00C67866" w:rsidP="005E5A2E">
      <w:pPr>
        <w:pStyle w:val="Sansinterligne"/>
        <w:numPr>
          <w:ilvl w:val="0"/>
          <w:numId w:val="455"/>
        </w:numPr>
      </w:pPr>
      <w:r w:rsidRPr="00DA27EE">
        <w:rPr>
          <w:highlight w:val="yellow"/>
        </w:rPr>
        <w:t>Le support psychologique et l’accompagnement </w:t>
      </w:r>
      <w:r>
        <w:t>:</w:t>
      </w:r>
    </w:p>
    <w:p w:rsidR="00C67866" w:rsidRDefault="00C67866" w:rsidP="005E5A2E">
      <w:pPr>
        <w:pStyle w:val="Sansinterligne"/>
        <w:numPr>
          <w:ilvl w:val="0"/>
          <w:numId w:val="454"/>
        </w:numPr>
        <w:sectPr w:rsidR="00C67866" w:rsidSect="00217865">
          <w:type w:val="continuous"/>
          <w:pgSz w:w="12240" w:h="15840"/>
          <w:pgMar w:top="720" w:right="720" w:bottom="720" w:left="720" w:header="708" w:footer="708" w:gutter="0"/>
          <w:cols w:space="708"/>
          <w:docGrid w:linePitch="360"/>
        </w:sectPr>
      </w:pPr>
    </w:p>
    <w:p w:rsidR="00C67866" w:rsidRDefault="00C67866" w:rsidP="005E5A2E">
      <w:pPr>
        <w:pStyle w:val="Sansinterligne"/>
        <w:numPr>
          <w:ilvl w:val="0"/>
          <w:numId w:val="454"/>
        </w:numPr>
      </w:pPr>
      <w:r>
        <w:rPr>
          <w:rFonts w:ascii="Century Gothic" w:hAnsi="Century Gothic"/>
        </w:rPr>
        <w:t>↑</w:t>
      </w:r>
      <w:r>
        <w:t xml:space="preserve"> probabilité d’un accouchement plus court</w:t>
      </w:r>
    </w:p>
    <w:p w:rsidR="00C67866" w:rsidRDefault="00C67866" w:rsidP="005E5A2E">
      <w:pPr>
        <w:pStyle w:val="Sansinterligne"/>
        <w:numPr>
          <w:ilvl w:val="0"/>
          <w:numId w:val="454"/>
        </w:numPr>
      </w:pPr>
      <w:r>
        <w:t>Améliore l’expérience de la naissance</w:t>
      </w:r>
    </w:p>
    <w:p w:rsidR="00C67866" w:rsidRDefault="00C67866" w:rsidP="005E5A2E">
      <w:pPr>
        <w:pStyle w:val="Sansinterligne"/>
        <w:numPr>
          <w:ilvl w:val="0"/>
          <w:numId w:val="454"/>
        </w:numPr>
      </w:pPr>
      <w:r>
        <w:rPr>
          <w:rFonts w:cs="Times New Roman"/>
        </w:rPr>
        <w:t>↓</w:t>
      </w:r>
      <w:r>
        <w:t xml:space="preserve"> le besoin d’analgésie</w:t>
      </w:r>
    </w:p>
    <w:p w:rsidR="00C2701A" w:rsidRDefault="00C67866" w:rsidP="005E5A2E">
      <w:pPr>
        <w:pStyle w:val="Sansinterligne"/>
        <w:numPr>
          <w:ilvl w:val="0"/>
          <w:numId w:val="454"/>
        </w:numPr>
      </w:pPr>
      <w:r>
        <w:rPr>
          <w:rFonts w:cs="Times New Roman"/>
        </w:rPr>
        <w:t>↓</w:t>
      </w:r>
      <w:r>
        <w:t xml:space="preserve"> risque de césarienne ou instrumentalisation</w:t>
      </w:r>
    </w:p>
    <w:p w:rsidR="00C67866" w:rsidRDefault="00C67866" w:rsidP="005E5A2E">
      <w:pPr>
        <w:pStyle w:val="Sansinterligne"/>
        <w:numPr>
          <w:ilvl w:val="0"/>
          <w:numId w:val="454"/>
        </w:numPr>
      </w:pPr>
      <w:r>
        <w:rPr>
          <w:rFonts w:cs="Times New Roman"/>
        </w:rPr>
        <w:t>↓</w:t>
      </w:r>
      <w:r>
        <w:t xml:space="preserve"> l’usage de la péridurale</w:t>
      </w:r>
    </w:p>
    <w:p w:rsidR="00C67866" w:rsidRDefault="00C67866" w:rsidP="005E5A2E">
      <w:pPr>
        <w:pStyle w:val="Sansinterligne"/>
        <w:numPr>
          <w:ilvl w:val="0"/>
          <w:numId w:val="454"/>
        </w:numPr>
      </w:pPr>
      <w:r>
        <w:rPr>
          <w:rFonts w:cs="Times New Roman"/>
        </w:rPr>
        <w:t>↓</w:t>
      </w:r>
      <w:r>
        <w:t xml:space="preserve"> risque d’un APGAR faible à 5 min</w:t>
      </w:r>
    </w:p>
    <w:p w:rsidR="00C67866" w:rsidRDefault="00C67866" w:rsidP="00883ABD">
      <w:pPr>
        <w:pStyle w:val="Sansinterligne"/>
        <w:sectPr w:rsidR="00C67866" w:rsidSect="00C67866">
          <w:type w:val="continuous"/>
          <w:pgSz w:w="12240" w:h="15840"/>
          <w:pgMar w:top="720" w:right="720" w:bottom="720" w:left="720" w:header="708" w:footer="708" w:gutter="0"/>
          <w:cols w:num="2" w:space="708"/>
          <w:docGrid w:linePitch="360"/>
        </w:sectPr>
      </w:pPr>
    </w:p>
    <w:p w:rsidR="00C2701A" w:rsidRDefault="00C67866" w:rsidP="005E5A2E">
      <w:pPr>
        <w:pStyle w:val="Sansinterligne"/>
        <w:numPr>
          <w:ilvl w:val="0"/>
          <w:numId w:val="456"/>
        </w:numPr>
      </w:pPr>
      <w:r>
        <w:t>Encore plus efficace si ce n’est pas fait par un professionnel de la santé (conjoint, famille, amis)</w:t>
      </w:r>
    </w:p>
    <w:p w:rsidR="004D12B2" w:rsidRPr="00C2701A" w:rsidRDefault="00E66612" w:rsidP="00883ABD">
      <w:pPr>
        <w:pStyle w:val="Sansinterligne"/>
        <w:rPr>
          <w:b/>
          <w:sz w:val="28"/>
          <w:szCs w:val="28"/>
        </w:rPr>
      </w:pPr>
      <w:r>
        <w:rPr>
          <w:b/>
          <w:sz w:val="28"/>
          <w:szCs w:val="28"/>
        </w:rPr>
        <w:t>Indications et contre-indications</w:t>
      </w:r>
      <w:r w:rsidR="004D12B2" w:rsidRPr="00C2701A">
        <w:rPr>
          <w:b/>
          <w:sz w:val="28"/>
          <w:szCs w:val="28"/>
        </w:rPr>
        <w:t xml:space="preserve"> du déclenchement</w:t>
      </w:r>
      <w:r>
        <w:rPr>
          <w:b/>
          <w:sz w:val="28"/>
          <w:szCs w:val="28"/>
        </w:rPr>
        <w:t xml:space="preserve"> médical</w:t>
      </w:r>
    </w:p>
    <w:p w:rsidR="00C2701A" w:rsidRDefault="00C2701A" w:rsidP="00883ABD">
      <w:pPr>
        <w:pStyle w:val="Sansinterligne"/>
      </w:pPr>
    </w:p>
    <w:p w:rsidR="00E66612" w:rsidRPr="00E66612" w:rsidRDefault="00E66612" w:rsidP="005E5A2E">
      <w:pPr>
        <w:pStyle w:val="Sansinterligne"/>
        <w:numPr>
          <w:ilvl w:val="0"/>
          <w:numId w:val="456"/>
        </w:numPr>
        <w:rPr>
          <w:highlight w:val="yellow"/>
        </w:rPr>
      </w:pPr>
      <w:r w:rsidRPr="00E66612">
        <w:rPr>
          <w:highlight w:val="yellow"/>
        </w:rPr>
        <w:t xml:space="preserve">Envisager lorsque Score de Bishop </w:t>
      </w:r>
      <w:r w:rsidRPr="00E66612">
        <w:rPr>
          <w:rFonts w:ascii="Century Gothic" w:hAnsi="Century Gothic"/>
          <w:highlight w:val="yellow"/>
        </w:rPr>
        <w:t>&lt;</w:t>
      </w:r>
      <w:r w:rsidRPr="00E66612">
        <w:rPr>
          <w:highlight w:val="yellow"/>
        </w:rPr>
        <w:t xml:space="preserve"> 6</w:t>
      </w:r>
    </w:p>
    <w:p w:rsidR="00E66612" w:rsidRDefault="00E66612" w:rsidP="00883ABD">
      <w:pPr>
        <w:pStyle w:val="Sansinterligne"/>
      </w:pPr>
      <w:r>
        <w:rPr>
          <w:noProof/>
          <w:lang w:eastAsia="fr-CA"/>
        </w:rPr>
        <w:drawing>
          <wp:inline distT="0" distB="0" distL="0" distR="0" wp14:anchorId="3E9BD3CF" wp14:editId="7B198E80">
            <wp:extent cx="6254885" cy="1099226"/>
            <wp:effectExtent l="0" t="0" r="0" b="5715"/>
            <wp:docPr id="303" name="Image 303" descr="Résultats de recherche d'images pour « score de bishop tableau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Résultats de recherche d'images pour « score de bishop tableau »"/>
                    <pic:cNvPicPr>
                      <a:picLocks noChangeAspect="1" noChangeArrowheads="1"/>
                    </pic:cNvPicPr>
                  </pic:nvPicPr>
                  <pic:blipFill rotWithShape="1">
                    <a:blip r:embed="rId307">
                      <a:extLst>
                        <a:ext uri="{28A0092B-C50C-407E-A947-70E740481C1C}">
                          <a14:useLocalDpi xmlns:a14="http://schemas.microsoft.com/office/drawing/2010/main" val="0"/>
                        </a:ext>
                      </a:extLst>
                    </a:blip>
                    <a:srcRect t="14085" r="8664" b="6315"/>
                    <a:stretch/>
                  </pic:blipFill>
                  <pic:spPr bwMode="auto">
                    <a:xfrm>
                      <a:off x="0" y="0"/>
                      <a:ext cx="6263770" cy="1100787"/>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Grilledutableau"/>
        <w:tblW w:w="0" w:type="auto"/>
        <w:tblLook w:val="04A0" w:firstRow="1" w:lastRow="0" w:firstColumn="1" w:lastColumn="0" w:noHBand="0" w:noVBand="1"/>
      </w:tblPr>
      <w:tblGrid>
        <w:gridCol w:w="5470"/>
        <w:gridCol w:w="5470"/>
      </w:tblGrid>
      <w:tr w:rsidR="00E913F5" w:rsidTr="002479F6">
        <w:tc>
          <w:tcPr>
            <w:tcW w:w="5470" w:type="dxa"/>
            <w:shd w:val="clear" w:color="auto" w:fill="D99594" w:themeFill="accent2" w:themeFillTint="99"/>
          </w:tcPr>
          <w:p w:rsidR="00E913F5" w:rsidRPr="00E66612" w:rsidRDefault="00E913F5" w:rsidP="00E66612">
            <w:pPr>
              <w:pStyle w:val="Sansinterligne"/>
              <w:jc w:val="center"/>
              <w:rPr>
                <w:b/>
              </w:rPr>
            </w:pPr>
            <w:r w:rsidRPr="00E66612">
              <w:rPr>
                <w:b/>
              </w:rPr>
              <w:t>Indications</w:t>
            </w:r>
          </w:p>
        </w:tc>
        <w:tc>
          <w:tcPr>
            <w:tcW w:w="5470" w:type="dxa"/>
            <w:shd w:val="clear" w:color="auto" w:fill="D99594" w:themeFill="accent2" w:themeFillTint="99"/>
          </w:tcPr>
          <w:p w:rsidR="00E913F5" w:rsidRPr="00E66612" w:rsidRDefault="00E913F5" w:rsidP="00E66612">
            <w:pPr>
              <w:pStyle w:val="Sansinterligne"/>
              <w:jc w:val="center"/>
              <w:rPr>
                <w:b/>
              </w:rPr>
            </w:pPr>
            <w:r w:rsidRPr="00E66612">
              <w:rPr>
                <w:b/>
              </w:rPr>
              <w:t>Contre-indications</w:t>
            </w:r>
          </w:p>
        </w:tc>
      </w:tr>
      <w:tr w:rsidR="00E913F5" w:rsidTr="00E913F5">
        <w:tc>
          <w:tcPr>
            <w:tcW w:w="5470" w:type="dxa"/>
          </w:tcPr>
          <w:p w:rsidR="00E913F5" w:rsidRPr="00EB41A2" w:rsidRDefault="00E913F5" w:rsidP="00883ABD">
            <w:pPr>
              <w:pStyle w:val="Sansinterligne"/>
              <w:rPr>
                <w:highlight w:val="yellow"/>
              </w:rPr>
            </w:pPr>
            <w:r w:rsidRPr="00EB41A2">
              <w:rPr>
                <w:highlight w:val="yellow"/>
              </w:rPr>
              <w:t>Grossesse post-terme</w:t>
            </w:r>
          </w:p>
          <w:p w:rsidR="00E913F5" w:rsidRPr="00EB41A2" w:rsidRDefault="00E913F5" w:rsidP="00883ABD">
            <w:pPr>
              <w:pStyle w:val="Sansinterligne"/>
              <w:rPr>
                <w:highlight w:val="yellow"/>
              </w:rPr>
            </w:pPr>
            <w:r w:rsidRPr="00EB41A2">
              <w:rPr>
                <w:highlight w:val="yellow"/>
              </w:rPr>
              <w:t>Diabète gestationnel</w:t>
            </w:r>
          </w:p>
          <w:p w:rsidR="00E913F5" w:rsidRPr="00EB41A2" w:rsidRDefault="00E913F5" w:rsidP="00883ABD">
            <w:pPr>
              <w:pStyle w:val="Sansinterligne"/>
              <w:rPr>
                <w:highlight w:val="yellow"/>
              </w:rPr>
            </w:pPr>
            <w:r w:rsidRPr="00EB41A2">
              <w:rPr>
                <w:highlight w:val="yellow"/>
              </w:rPr>
              <w:t>Hypertension gestationnelle (prééclampsie/éclampsie)</w:t>
            </w:r>
          </w:p>
          <w:p w:rsidR="00E913F5" w:rsidRPr="00EB41A2" w:rsidRDefault="00E913F5" w:rsidP="00883ABD">
            <w:pPr>
              <w:pStyle w:val="Sansinterligne"/>
              <w:rPr>
                <w:highlight w:val="yellow"/>
              </w:rPr>
            </w:pPr>
            <w:r w:rsidRPr="00EB41A2">
              <w:rPr>
                <w:highlight w:val="yellow"/>
              </w:rPr>
              <w:t>Rupture prématurée préterme des membranes</w:t>
            </w:r>
          </w:p>
          <w:p w:rsidR="00E913F5" w:rsidRPr="00EB41A2" w:rsidRDefault="00E913F5" w:rsidP="00883ABD">
            <w:pPr>
              <w:pStyle w:val="Sansinterligne"/>
              <w:rPr>
                <w:highlight w:val="yellow"/>
              </w:rPr>
            </w:pPr>
            <w:r w:rsidRPr="00EB41A2">
              <w:rPr>
                <w:highlight w:val="yellow"/>
              </w:rPr>
              <w:t>Chorioamnionite</w:t>
            </w:r>
          </w:p>
          <w:p w:rsidR="00E913F5" w:rsidRPr="00EB41A2" w:rsidRDefault="00E913F5" w:rsidP="00883ABD">
            <w:pPr>
              <w:pStyle w:val="Sansinterligne"/>
              <w:rPr>
                <w:highlight w:val="yellow"/>
              </w:rPr>
            </w:pPr>
            <w:r w:rsidRPr="00EB41A2">
              <w:rPr>
                <w:highlight w:val="yellow"/>
              </w:rPr>
              <w:t>Complication maternelles</w:t>
            </w:r>
          </w:p>
          <w:p w:rsidR="00E913F5" w:rsidRPr="00EB41A2" w:rsidRDefault="00E913F5" w:rsidP="00883ABD">
            <w:pPr>
              <w:pStyle w:val="Sansinterligne"/>
              <w:rPr>
                <w:highlight w:val="yellow"/>
              </w:rPr>
            </w:pPr>
            <w:r w:rsidRPr="00EB41A2">
              <w:rPr>
                <w:highlight w:val="yellow"/>
              </w:rPr>
              <w:t>RCIU</w:t>
            </w:r>
          </w:p>
          <w:p w:rsidR="00E913F5" w:rsidRDefault="00E913F5" w:rsidP="00883ABD">
            <w:pPr>
              <w:pStyle w:val="Sansinterligne"/>
              <w:rPr>
                <w:i/>
              </w:rPr>
            </w:pPr>
            <w:r w:rsidRPr="00EB41A2">
              <w:rPr>
                <w:highlight w:val="yellow"/>
              </w:rPr>
              <w:t xml:space="preserve">Mort fœtale </w:t>
            </w:r>
            <w:r w:rsidRPr="00EB41A2">
              <w:rPr>
                <w:i/>
                <w:highlight w:val="yellow"/>
              </w:rPr>
              <w:t>in utero</w:t>
            </w:r>
          </w:p>
          <w:p w:rsidR="00A76F0B" w:rsidRPr="00C74CDB" w:rsidRDefault="00C74CDB" w:rsidP="00883ABD">
            <w:pPr>
              <w:pStyle w:val="Sansinterligne"/>
              <w:rPr>
                <w:i/>
                <w:u w:val="single"/>
              </w:rPr>
            </w:pPr>
            <w:r w:rsidRPr="00C74CDB">
              <w:rPr>
                <w:u w:val="single"/>
              </w:rPr>
              <w:t>(Référence en gynécologie-obstétrique)</w:t>
            </w:r>
          </w:p>
          <w:p w:rsidR="00A76F0B" w:rsidRPr="00A76F0B" w:rsidRDefault="00A76F0B" w:rsidP="00A76F0B">
            <w:pPr>
              <w:pStyle w:val="Sansinterligne"/>
            </w:pPr>
            <w:r>
              <w:rPr>
                <w:i/>
              </w:rPr>
              <w:t>(</w:t>
            </w:r>
            <w:r>
              <w:t xml:space="preserve">Pour spécifications, voir </w:t>
            </w:r>
            <w:r w:rsidRPr="00A76F0B">
              <w:rPr>
                <w:i/>
              </w:rPr>
              <w:t>Travail prématuré CMC 82</w:t>
            </w:r>
            <w:r>
              <w:t>)</w:t>
            </w:r>
          </w:p>
        </w:tc>
        <w:tc>
          <w:tcPr>
            <w:tcW w:w="5470" w:type="dxa"/>
          </w:tcPr>
          <w:p w:rsidR="00EB41A2" w:rsidRPr="00DF6378" w:rsidRDefault="00EB41A2" w:rsidP="00883ABD">
            <w:pPr>
              <w:pStyle w:val="Sansinterligne"/>
              <w:rPr>
                <w:highlight w:val="yellow"/>
              </w:rPr>
            </w:pPr>
            <w:r w:rsidRPr="00EB41A2">
              <w:rPr>
                <w:highlight w:val="yellow"/>
              </w:rPr>
              <w:t>ATCD de césarienne classique ou en T</w:t>
            </w:r>
            <w:r w:rsidR="00DF6378">
              <w:rPr>
                <w:highlight w:val="yellow"/>
              </w:rPr>
              <w:t xml:space="preserve"> / chirurgie utérine</w:t>
            </w:r>
          </w:p>
          <w:p w:rsidR="00EB41A2" w:rsidRDefault="00EB41A2" w:rsidP="00883ABD">
            <w:pPr>
              <w:pStyle w:val="Sansinterligne"/>
            </w:pPr>
            <w:r>
              <w:t>Instabilité maternelle</w:t>
            </w:r>
          </w:p>
          <w:p w:rsidR="00EB41A2" w:rsidRDefault="00EB41A2" w:rsidP="00883ABD">
            <w:pPr>
              <w:pStyle w:val="Sansinterligne"/>
            </w:pPr>
            <w:r>
              <w:t>Herpès génital actif</w:t>
            </w:r>
          </w:p>
          <w:p w:rsidR="00EB41A2" w:rsidRDefault="00EB41A2" w:rsidP="00883ABD">
            <w:pPr>
              <w:pStyle w:val="Sansinterligne"/>
            </w:pPr>
            <w:r>
              <w:t>Néoplasie du col invasif</w:t>
            </w:r>
          </w:p>
          <w:p w:rsidR="00EB41A2" w:rsidRDefault="00EB41A2" w:rsidP="00883ABD">
            <w:pPr>
              <w:pStyle w:val="Sansinterligne"/>
            </w:pPr>
            <w:r>
              <w:t>Déformation des structures pelviennes</w:t>
            </w:r>
          </w:p>
          <w:p w:rsidR="00EB41A2" w:rsidRPr="00EB41A2" w:rsidRDefault="00EB41A2" w:rsidP="00883ABD">
            <w:pPr>
              <w:pStyle w:val="Sansinterligne"/>
              <w:rPr>
                <w:highlight w:val="yellow"/>
              </w:rPr>
            </w:pPr>
            <w:r w:rsidRPr="00EB41A2">
              <w:rPr>
                <w:highlight w:val="yellow"/>
              </w:rPr>
              <w:t>Vasa praevia</w:t>
            </w:r>
          </w:p>
          <w:p w:rsidR="00EB41A2" w:rsidRPr="00EB41A2" w:rsidRDefault="00EB41A2" w:rsidP="00883ABD">
            <w:pPr>
              <w:pStyle w:val="Sansinterligne"/>
              <w:rPr>
                <w:highlight w:val="yellow"/>
              </w:rPr>
            </w:pPr>
            <w:r w:rsidRPr="00EB41A2">
              <w:rPr>
                <w:highlight w:val="yellow"/>
              </w:rPr>
              <w:t>Prolapsus du cordon</w:t>
            </w:r>
          </w:p>
          <w:p w:rsidR="00EB41A2" w:rsidRDefault="00EB41A2" w:rsidP="00883ABD">
            <w:pPr>
              <w:pStyle w:val="Sansinterligne"/>
            </w:pPr>
            <w:r>
              <w:t>Détresse fœtale</w:t>
            </w:r>
          </w:p>
          <w:p w:rsidR="00EB41A2" w:rsidRDefault="00EB41A2" w:rsidP="00883ABD">
            <w:pPr>
              <w:pStyle w:val="Sansinterligne"/>
            </w:pPr>
            <w:r w:rsidRPr="00EB41A2">
              <w:rPr>
                <w:highlight w:val="yellow"/>
              </w:rPr>
              <w:t>Malprésentation</w:t>
            </w:r>
          </w:p>
          <w:p w:rsidR="00EB41A2" w:rsidRDefault="00EB41A2" w:rsidP="00883ABD">
            <w:pPr>
              <w:pStyle w:val="Sansinterligne"/>
            </w:pPr>
            <w:r>
              <w:t>Fœtus préterme sans immaturité pulmonaire</w:t>
            </w:r>
          </w:p>
        </w:tc>
      </w:tr>
    </w:tbl>
    <w:p w:rsidR="00C2701A" w:rsidRDefault="00C2701A" w:rsidP="00883ABD">
      <w:pPr>
        <w:pStyle w:val="Sansinterligne"/>
      </w:pPr>
    </w:p>
    <w:p w:rsidR="00E66612" w:rsidRDefault="00E66612" w:rsidP="00883ABD">
      <w:pPr>
        <w:pStyle w:val="Sansinterligne"/>
        <w:rPr>
          <w:b/>
        </w:rPr>
      </w:pPr>
      <w:r>
        <w:rPr>
          <w:b/>
        </w:rPr>
        <w:t>Méthode de préparation du col</w:t>
      </w:r>
    </w:p>
    <w:p w:rsidR="00A96579" w:rsidRPr="00A96579" w:rsidRDefault="00B16F28" w:rsidP="005E5A2E">
      <w:pPr>
        <w:pStyle w:val="Sansinterligne"/>
        <w:numPr>
          <w:ilvl w:val="0"/>
          <w:numId w:val="460"/>
        </w:numPr>
      </w:pPr>
      <w:r>
        <w:rPr>
          <w:noProof/>
          <w:lang w:eastAsia="fr-CA"/>
        </w:rPr>
        <w:drawing>
          <wp:anchor distT="0" distB="0" distL="114300" distR="114300" simplePos="0" relativeHeight="251786240" behindDoc="0" locked="0" layoutInCell="1" allowOverlap="1" wp14:anchorId="285AF6A7" wp14:editId="44B52E19">
            <wp:simplePos x="0" y="0"/>
            <wp:positionH relativeFrom="column">
              <wp:posOffset>4279265</wp:posOffset>
            </wp:positionH>
            <wp:positionV relativeFrom="paragraph">
              <wp:posOffset>52070</wp:posOffset>
            </wp:positionV>
            <wp:extent cx="2647315" cy="1030605"/>
            <wp:effectExtent l="0" t="0" r="635" b="0"/>
            <wp:wrapNone/>
            <wp:docPr id="304" name="Image 304" descr="Résultats de recherche d'images pour « cervidi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Résultats de recherche d'images pour « cervidil »"/>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bwMode="auto">
                    <a:xfrm>
                      <a:off x="0" y="0"/>
                      <a:ext cx="2647315" cy="1030605"/>
                    </a:xfrm>
                    <a:prstGeom prst="rect">
                      <a:avLst/>
                    </a:prstGeom>
                    <a:noFill/>
                    <a:ln>
                      <a:noFill/>
                    </a:ln>
                  </pic:spPr>
                </pic:pic>
              </a:graphicData>
            </a:graphic>
            <wp14:sizeRelH relativeFrom="page">
              <wp14:pctWidth>0</wp14:pctWidth>
            </wp14:sizeRelH>
            <wp14:sizeRelV relativeFrom="page">
              <wp14:pctHeight>0</wp14:pctHeight>
            </wp14:sizeRelV>
          </wp:anchor>
        </w:drawing>
      </w:r>
      <w:r w:rsidR="00A96579" w:rsidRPr="00A96579">
        <w:t>Dilatation du col à l’aide du sonde urinaire</w:t>
      </w:r>
    </w:p>
    <w:p w:rsidR="00E66612" w:rsidRPr="00A96579" w:rsidRDefault="00A96579" w:rsidP="005E5A2E">
      <w:pPr>
        <w:pStyle w:val="Sansinterligne"/>
        <w:numPr>
          <w:ilvl w:val="0"/>
          <w:numId w:val="460"/>
        </w:numPr>
      </w:pPr>
      <w:r w:rsidRPr="00A96579">
        <w:t>Prostaglandines PGE2 Intra-vaginales</w:t>
      </w:r>
    </w:p>
    <w:p w:rsidR="00591967" w:rsidRDefault="007F56A9" w:rsidP="005E5A2E">
      <w:pPr>
        <w:pStyle w:val="Sansinterligne"/>
        <w:numPr>
          <w:ilvl w:val="1"/>
          <w:numId w:val="460"/>
        </w:numPr>
      </w:pPr>
      <w:r>
        <w:t>Dinoprostone (</w:t>
      </w:r>
      <w:r w:rsidR="00A96579" w:rsidRPr="00A96579">
        <w:t>Cervidil</w:t>
      </w:r>
      <w:r>
        <w:t>)</w:t>
      </w:r>
    </w:p>
    <w:p w:rsidR="00A96579" w:rsidRDefault="00591967" w:rsidP="005E5A2E">
      <w:pPr>
        <w:pStyle w:val="Sansinterligne"/>
        <w:numPr>
          <w:ilvl w:val="1"/>
          <w:numId w:val="460"/>
        </w:numPr>
      </w:pPr>
      <w:r>
        <w:t>Celles sous forme de gel à éviter ! (Difficile à retirer si besoin)</w:t>
      </w:r>
      <w:r w:rsidR="00A96579" w:rsidRPr="00A96579">
        <w:t xml:space="preserve"> </w:t>
      </w:r>
    </w:p>
    <w:p w:rsidR="00A96579" w:rsidRPr="00A96579" w:rsidRDefault="00A96579" w:rsidP="00A96579">
      <w:pPr>
        <w:pStyle w:val="Sansinterligne"/>
        <w:ind w:left="360"/>
      </w:pPr>
    </w:p>
    <w:p w:rsidR="00E66612" w:rsidRDefault="00E66612" w:rsidP="00883ABD">
      <w:pPr>
        <w:pStyle w:val="Sansinterligne"/>
      </w:pPr>
      <w:r w:rsidRPr="00E66612">
        <w:rPr>
          <w:b/>
        </w:rPr>
        <w:t>Méthodes</w:t>
      </w:r>
      <w:r>
        <w:rPr>
          <w:b/>
        </w:rPr>
        <w:t xml:space="preserve"> d’induction</w:t>
      </w:r>
      <w:r>
        <w:t> </w:t>
      </w:r>
      <w:r w:rsidRPr="00E66612">
        <w:rPr>
          <w:b/>
        </w:rPr>
        <w:t>du travail:</w:t>
      </w:r>
    </w:p>
    <w:p w:rsidR="00E66612" w:rsidRPr="00AC0EFF" w:rsidRDefault="00E66612" w:rsidP="005E5A2E">
      <w:pPr>
        <w:pStyle w:val="Sansinterligne"/>
        <w:numPr>
          <w:ilvl w:val="0"/>
          <w:numId w:val="459"/>
        </w:numPr>
        <w:rPr>
          <w:highlight w:val="yellow"/>
        </w:rPr>
      </w:pPr>
      <w:r w:rsidRPr="00AC0EFF">
        <w:rPr>
          <w:highlight w:val="yellow"/>
        </w:rPr>
        <w:t>Amniotomie (RAM) </w:t>
      </w:r>
    </w:p>
    <w:p w:rsidR="00E66612" w:rsidRPr="00AC0EFF" w:rsidRDefault="00E66612" w:rsidP="005E5A2E">
      <w:pPr>
        <w:pStyle w:val="Sansinterligne"/>
        <w:numPr>
          <w:ilvl w:val="0"/>
          <w:numId w:val="459"/>
        </w:numPr>
        <w:rPr>
          <w:highlight w:val="yellow"/>
        </w:rPr>
      </w:pPr>
      <w:r w:rsidRPr="00AC0EFF">
        <w:rPr>
          <w:highlight w:val="yellow"/>
        </w:rPr>
        <w:t>Ocytocine </w:t>
      </w:r>
    </w:p>
    <w:p w:rsidR="00E66612" w:rsidRPr="00AC0EFF" w:rsidRDefault="00E66612" w:rsidP="005E5A2E">
      <w:pPr>
        <w:pStyle w:val="Sansinterligne"/>
        <w:numPr>
          <w:ilvl w:val="1"/>
          <w:numId w:val="459"/>
        </w:numPr>
        <w:rPr>
          <w:highlight w:val="yellow"/>
        </w:rPr>
      </w:pPr>
      <w:r w:rsidRPr="00AC0EFF">
        <w:rPr>
          <w:highlight w:val="yellow"/>
        </w:rPr>
        <w:t xml:space="preserve">Concentration : 10 U / 1 L NS </w:t>
      </w:r>
      <w:r w:rsidR="00C078E8" w:rsidRPr="00AC0EFF">
        <w:rPr>
          <w:highlight w:val="yellow"/>
        </w:rPr>
        <w:t>(t</w:t>
      </w:r>
      <w:r w:rsidR="00C078E8" w:rsidRPr="00AC0EFF">
        <w:rPr>
          <w:highlight w:val="yellow"/>
          <w:vertAlign w:val="subscript"/>
        </w:rPr>
        <w:t>1/2</w:t>
      </w:r>
      <w:r w:rsidR="00C078E8" w:rsidRPr="00AC0EFF">
        <w:rPr>
          <w:highlight w:val="yellow"/>
        </w:rPr>
        <w:t xml:space="preserve"> = 3-5 min)</w:t>
      </w:r>
    </w:p>
    <w:p w:rsidR="00E66612" w:rsidRPr="00AC0EFF" w:rsidRDefault="00E66612" w:rsidP="005E5A2E">
      <w:pPr>
        <w:pStyle w:val="Sansinterligne"/>
        <w:numPr>
          <w:ilvl w:val="1"/>
          <w:numId w:val="459"/>
        </w:numPr>
        <w:rPr>
          <w:highlight w:val="yellow"/>
        </w:rPr>
      </w:pPr>
      <w:r w:rsidRPr="00AC0EFF">
        <w:rPr>
          <w:highlight w:val="yellow"/>
        </w:rPr>
        <w:t xml:space="preserve">Débit : 0,5-2 mU/min IV avec </w:t>
      </w:r>
      <w:r w:rsidRPr="00AC0EFF">
        <w:rPr>
          <w:rFonts w:ascii="Century Gothic" w:hAnsi="Century Gothic"/>
          <w:highlight w:val="yellow"/>
        </w:rPr>
        <w:t>↑</w:t>
      </w:r>
      <w:r w:rsidRPr="00AC0EFF">
        <w:rPr>
          <w:highlight w:val="yellow"/>
        </w:rPr>
        <w:t xml:space="preserve"> graduelle 1-2 mU/min q 20-60 min selon tolérance fœtale</w:t>
      </w:r>
    </w:p>
    <w:p w:rsidR="00E66612" w:rsidRPr="00AC0EFF" w:rsidRDefault="00E66612" w:rsidP="005E5A2E">
      <w:pPr>
        <w:pStyle w:val="Sansinterligne"/>
        <w:numPr>
          <w:ilvl w:val="1"/>
          <w:numId w:val="459"/>
        </w:numPr>
        <w:rPr>
          <w:highlight w:val="yellow"/>
        </w:rPr>
      </w:pPr>
      <w:r w:rsidRPr="00AC0EFF">
        <w:rPr>
          <w:highlight w:val="yellow"/>
        </w:rPr>
        <w:t>Réévaluer dès 20 mU/min, (maximum 36-48 mU/min)</w:t>
      </w:r>
    </w:p>
    <w:p w:rsidR="00C078E8" w:rsidRPr="00AC0EFF" w:rsidRDefault="00C078E8" w:rsidP="005E5A2E">
      <w:pPr>
        <w:pStyle w:val="Sansinterligne"/>
        <w:numPr>
          <w:ilvl w:val="1"/>
          <w:numId w:val="459"/>
        </w:numPr>
        <w:rPr>
          <w:highlight w:val="yellow"/>
        </w:rPr>
      </w:pPr>
      <w:r w:rsidRPr="00AC0EFF">
        <w:rPr>
          <w:highlight w:val="yellow"/>
        </w:rPr>
        <w:t>Peut aussi être utilisé pour stimuler un travail déjà amorcé (mêmes doses)</w:t>
      </w:r>
    </w:p>
    <w:p w:rsidR="00C56086" w:rsidRPr="00E66612" w:rsidRDefault="00C56086" w:rsidP="00883ABD">
      <w:pPr>
        <w:pStyle w:val="Sansinterligne"/>
      </w:pPr>
    </w:p>
    <w:p w:rsidR="00AB3F9F" w:rsidRPr="00E06F97" w:rsidRDefault="00AB3F9F" w:rsidP="00AB3F9F">
      <w:pPr>
        <w:pStyle w:val="Sansinterligne"/>
        <w:rPr>
          <w:b/>
          <w:sz w:val="28"/>
          <w:szCs w:val="28"/>
        </w:rPr>
      </w:pPr>
      <w:r w:rsidRPr="00E06F97">
        <w:rPr>
          <w:b/>
          <w:sz w:val="28"/>
          <w:szCs w:val="28"/>
        </w:rPr>
        <w:t>Investigation spécifiques</w:t>
      </w:r>
    </w:p>
    <w:p w:rsidR="00391660" w:rsidRDefault="00391660" w:rsidP="00AB3F9F">
      <w:pPr>
        <w:pStyle w:val="Sansinterligne"/>
      </w:pPr>
    </w:p>
    <w:p w:rsidR="00AB3F9F" w:rsidRPr="003D1B95" w:rsidRDefault="00AB3F9F" w:rsidP="00AB3F9F">
      <w:pPr>
        <w:pStyle w:val="Sansinterligne"/>
        <w:rPr>
          <w:b/>
        </w:rPr>
      </w:pPr>
      <w:r w:rsidRPr="003D1B95">
        <w:rPr>
          <w:b/>
        </w:rPr>
        <w:t>Surveillance fœtale</w:t>
      </w:r>
      <w:r w:rsidR="006C2647" w:rsidRPr="003D1B95">
        <w:rPr>
          <w:b/>
        </w:rPr>
        <w:t xml:space="preserve"> </w:t>
      </w:r>
      <w:r w:rsidR="00DC378F" w:rsidRPr="003D1B95">
        <w:rPr>
          <w:b/>
        </w:rPr>
        <w:t>intra</w:t>
      </w:r>
      <w:r w:rsidR="006C2647" w:rsidRPr="003D1B95">
        <w:rPr>
          <w:b/>
        </w:rPr>
        <w:t>patum</w:t>
      </w:r>
    </w:p>
    <w:p w:rsidR="003D1B95" w:rsidRPr="00AB3F9F" w:rsidRDefault="003D1B95" w:rsidP="00AB3F9F">
      <w:pPr>
        <w:pStyle w:val="Sansinterligne"/>
        <w:rPr>
          <w:highlight w:val="red"/>
        </w:rPr>
      </w:pPr>
    </w:p>
    <w:p w:rsidR="00993150" w:rsidRPr="00993150" w:rsidRDefault="00993150" w:rsidP="005E5A2E">
      <w:pPr>
        <w:pStyle w:val="Sansinterligne"/>
        <w:numPr>
          <w:ilvl w:val="0"/>
          <w:numId w:val="477"/>
        </w:numPr>
        <w:rPr>
          <w:u w:val="single"/>
          <w:lang w:val="de-DE"/>
        </w:rPr>
      </w:pPr>
      <w:r w:rsidRPr="00993150">
        <w:rPr>
          <w:u w:val="single"/>
          <w:lang w:val="de-DE"/>
        </w:rPr>
        <w:t>Examen vaginal</w:t>
      </w:r>
    </w:p>
    <w:p w:rsidR="00993150" w:rsidRDefault="00993150" w:rsidP="005E5A2E">
      <w:pPr>
        <w:pStyle w:val="Sansinterligne"/>
        <w:numPr>
          <w:ilvl w:val="1"/>
          <w:numId w:val="477"/>
        </w:numPr>
      </w:pPr>
      <w:r>
        <w:t>Présentation, s</w:t>
      </w:r>
      <w:r w:rsidRPr="00993150">
        <w:t>tation fœtale, dilatation du col,</w:t>
      </w:r>
      <w:r>
        <w:t xml:space="preserve"> structures pelviennes</w:t>
      </w:r>
    </w:p>
    <w:p w:rsidR="00107583" w:rsidRPr="00993150" w:rsidRDefault="00107583" w:rsidP="00107583">
      <w:pPr>
        <w:pStyle w:val="Sansinterligne"/>
        <w:ind w:left="1440"/>
      </w:pPr>
    </w:p>
    <w:p w:rsidR="00107583" w:rsidRDefault="00107583" w:rsidP="00107583">
      <w:pPr>
        <w:pStyle w:val="Sansinterligne"/>
        <w:numPr>
          <w:ilvl w:val="0"/>
          <w:numId w:val="477"/>
        </w:numPr>
      </w:pPr>
      <w:r w:rsidRPr="00993150">
        <w:rPr>
          <w:u w:val="single"/>
        </w:rPr>
        <w:t>Prélèvement sanguin fœtal</w:t>
      </w:r>
      <w:r>
        <w:t xml:space="preserve"> (cuir chevelu) </w:t>
      </w:r>
    </w:p>
    <w:p w:rsidR="00107583" w:rsidRDefault="00107583" w:rsidP="00107583">
      <w:pPr>
        <w:pStyle w:val="Sansinterligne"/>
        <w:numPr>
          <w:ilvl w:val="1"/>
          <w:numId w:val="477"/>
        </w:numPr>
      </w:pPr>
      <w:r>
        <w:t>Indication : cœur fœtal anormal, arythmie fœtale ou méconium +++</w:t>
      </w:r>
    </w:p>
    <w:p w:rsidR="00107583" w:rsidRPr="00107583" w:rsidRDefault="00107583" w:rsidP="00107583">
      <w:pPr>
        <w:pStyle w:val="Sansinterligne"/>
        <w:numPr>
          <w:ilvl w:val="1"/>
          <w:numId w:val="477"/>
        </w:numPr>
        <w:rPr>
          <w:rFonts w:cs="Times New Roman"/>
        </w:rPr>
      </w:pPr>
      <w:r>
        <w:t xml:space="preserve">pH </w:t>
      </w:r>
      <w:r>
        <w:rPr>
          <w:rFonts w:ascii="Century Gothic" w:hAnsi="Century Gothic"/>
        </w:rPr>
        <w:t>&lt;</w:t>
      </w:r>
      <w:r>
        <w:t xml:space="preserve"> 7,20 = </w:t>
      </w:r>
      <w:r w:rsidRPr="00DC378F">
        <w:rPr>
          <w:rFonts w:cs="Times New Roman"/>
        </w:rPr>
        <w:t>acidose fœtale → accouchement au plus vite</w:t>
      </w:r>
    </w:p>
    <w:p w:rsidR="00107583" w:rsidRDefault="00107583" w:rsidP="00107583">
      <w:pPr>
        <w:pStyle w:val="Sansinterligne"/>
        <w:numPr>
          <w:ilvl w:val="1"/>
          <w:numId w:val="477"/>
        </w:numPr>
      </w:pPr>
      <w:r>
        <w:t>Contre-indiqué si dyscrasie sanguine suspectée ou infection maternelle connue (VIH, HSV)</w:t>
      </w:r>
    </w:p>
    <w:p w:rsidR="00107583" w:rsidRPr="00A67CE9" w:rsidRDefault="00107583" w:rsidP="00107583">
      <w:pPr>
        <w:pStyle w:val="Sansinterligne"/>
        <w:ind w:left="1440"/>
      </w:pPr>
    </w:p>
    <w:p w:rsidR="00CD208C" w:rsidRDefault="00A67CE9" w:rsidP="005E5A2E">
      <w:pPr>
        <w:pStyle w:val="Sansinterligne"/>
        <w:numPr>
          <w:ilvl w:val="0"/>
          <w:numId w:val="477"/>
        </w:numPr>
        <w:rPr>
          <w:lang w:val="de-DE"/>
        </w:rPr>
      </w:pPr>
      <w:r w:rsidRPr="00993150">
        <w:rPr>
          <w:u w:val="single"/>
          <w:lang w:val="de-DE"/>
        </w:rPr>
        <w:t xml:space="preserve">Doppler </w:t>
      </w:r>
      <w:r w:rsidR="00DC378F" w:rsidRPr="00993150">
        <w:rPr>
          <w:u w:val="single"/>
          <w:lang w:val="de-DE"/>
        </w:rPr>
        <w:t>fœtal</w:t>
      </w:r>
      <w:r w:rsidR="00DC378F" w:rsidRPr="00DC378F">
        <w:rPr>
          <w:lang w:val="de-DE"/>
        </w:rPr>
        <w:t xml:space="preserve"> </w:t>
      </w:r>
      <w:r w:rsidR="00CD208C">
        <w:rPr>
          <w:lang w:val="de-DE"/>
        </w:rPr>
        <w:t>(auscultation intermittente)</w:t>
      </w:r>
    </w:p>
    <w:p w:rsidR="00CD208C" w:rsidRDefault="00DC378F" w:rsidP="005E5A2E">
      <w:pPr>
        <w:pStyle w:val="Sansinterligne"/>
        <w:numPr>
          <w:ilvl w:val="1"/>
          <w:numId w:val="477"/>
        </w:numPr>
        <w:rPr>
          <w:lang w:val="de-DE"/>
        </w:rPr>
      </w:pPr>
      <w:r w:rsidRPr="00DC378F">
        <w:rPr>
          <w:lang w:val="de-DE"/>
        </w:rPr>
        <w:t>q15-30 min au 1</w:t>
      </w:r>
      <w:r w:rsidRPr="00DC378F">
        <w:rPr>
          <w:vertAlign w:val="superscript"/>
          <w:lang w:val="de-DE"/>
        </w:rPr>
        <w:t>er</w:t>
      </w:r>
      <w:r w:rsidRPr="00DC378F">
        <w:rPr>
          <w:lang w:val="de-DE"/>
        </w:rPr>
        <w:t xml:space="preserve"> </w:t>
      </w:r>
      <w:r w:rsidR="00CD208C">
        <w:rPr>
          <w:lang w:val="de-DE"/>
        </w:rPr>
        <w:t>stade</w:t>
      </w:r>
    </w:p>
    <w:p w:rsidR="00A67CE9" w:rsidRDefault="00DC378F" w:rsidP="005E5A2E">
      <w:pPr>
        <w:pStyle w:val="Sansinterligne"/>
        <w:numPr>
          <w:ilvl w:val="1"/>
          <w:numId w:val="477"/>
        </w:numPr>
        <w:rPr>
          <w:lang w:val="de-DE"/>
        </w:rPr>
      </w:pPr>
      <w:r w:rsidRPr="00DC378F">
        <w:rPr>
          <w:lang w:val="de-DE"/>
        </w:rPr>
        <w:t>q 5 min au 2</w:t>
      </w:r>
      <w:r w:rsidRPr="00DC378F">
        <w:rPr>
          <w:vertAlign w:val="superscript"/>
          <w:lang w:val="de-DE"/>
        </w:rPr>
        <w:t>e</w:t>
      </w:r>
      <w:r w:rsidRPr="00DC378F">
        <w:rPr>
          <w:lang w:val="de-DE"/>
        </w:rPr>
        <w:t xml:space="preserve"> stad</w:t>
      </w:r>
      <w:r w:rsidR="00CD208C">
        <w:rPr>
          <w:lang w:val="de-DE"/>
        </w:rPr>
        <w:t>e</w:t>
      </w:r>
    </w:p>
    <w:p w:rsidR="00107583" w:rsidRDefault="00107583" w:rsidP="00107583">
      <w:pPr>
        <w:pStyle w:val="Sansinterligne"/>
        <w:rPr>
          <w:lang w:val="de-DE"/>
        </w:rPr>
      </w:pPr>
    </w:p>
    <w:p w:rsidR="00107583" w:rsidRPr="00DC378F" w:rsidRDefault="00107583" w:rsidP="00107583">
      <w:pPr>
        <w:pStyle w:val="Sansinterligne"/>
        <w:rPr>
          <w:lang w:val="de-DE"/>
        </w:rPr>
      </w:pPr>
    </w:p>
    <w:p w:rsidR="00CD208C" w:rsidRPr="00993150" w:rsidRDefault="00A67CE9" w:rsidP="005E5A2E">
      <w:pPr>
        <w:pStyle w:val="Sansinterligne"/>
        <w:numPr>
          <w:ilvl w:val="0"/>
          <w:numId w:val="477"/>
        </w:numPr>
        <w:rPr>
          <w:u w:val="single"/>
        </w:rPr>
      </w:pPr>
      <w:r w:rsidRPr="00993150">
        <w:rPr>
          <w:u w:val="single"/>
        </w:rPr>
        <w:t xml:space="preserve">Cardiotocographe </w:t>
      </w:r>
    </w:p>
    <w:p w:rsidR="00A67CE9" w:rsidRDefault="00CD208C" w:rsidP="005E5A2E">
      <w:pPr>
        <w:pStyle w:val="Sansinterligne"/>
        <w:numPr>
          <w:ilvl w:val="1"/>
          <w:numId w:val="477"/>
        </w:numPr>
      </w:pPr>
      <w:r>
        <w:t>Si</w:t>
      </w:r>
      <w:r w:rsidR="00A67CE9" w:rsidRPr="00A67CE9">
        <w:t xml:space="preserve"> </w:t>
      </w:r>
      <w:r w:rsidR="00DC378F">
        <w:t>complication fœtal</w:t>
      </w:r>
      <w:r>
        <w:t>e</w:t>
      </w:r>
      <w:r w:rsidR="00DC378F">
        <w:t xml:space="preserve">, grossesse gémellaire, anomalie </w:t>
      </w:r>
      <w:r>
        <w:t>auscultatoire ou travail induit</w:t>
      </w:r>
    </w:p>
    <w:tbl>
      <w:tblPr>
        <w:tblStyle w:val="Grilledutableau"/>
        <w:tblW w:w="0" w:type="auto"/>
        <w:tblInd w:w="1440" w:type="dxa"/>
        <w:tblLook w:val="04A0" w:firstRow="1" w:lastRow="0" w:firstColumn="1" w:lastColumn="0" w:noHBand="0" w:noVBand="1"/>
      </w:tblPr>
      <w:tblGrid>
        <w:gridCol w:w="3063"/>
        <w:gridCol w:w="3444"/>
        <w:gridCol w:w="3069"/>
      </w:tblGrid>
      <w:tr w:rsidR="00391660" w:rsidTr="00391660">
        <w:tc>
          <w:tcPr>
            <w:tcW w:w="3063" w:type="dxa"/>
            <w:shd w:val="clear" w:color="auto" w:fill="D99594" w:themeFill="accent2" w:themeFillTint="99"/>
          </w:tcPr>
          <w:p w:rsidR="00391660" w:rsidRPr="00391660" w:rsidRDefault="00391660" w:rsidP="00391660">
            <w:pPr>
              <w:pStyle w:val="Sansinterligne"/>
              <w:jc w:val="center"/>
              <w:rPr>
                <w:b/>
              </w:rPr>
            </w:pPr>
            <w:r w:rsidRPr="00391660">
              <w:rPr>
                <w:b/>
              </w:rPr>
              <w:t>Tracé normal</w:t>
            </w:r>
          </w:p>
        </w:tc>
        <w:tc>
          <w:tcPr>
            <w:tcW w:w="3444" w:type="dxa"/>
            <w:shd w:val="clear" w:color="auto" w:fill="D99594" w:themeFill="accent2" w:themeFillTint="99"/>
          </w:tcPr>
          <w:p w:rsidR="00391660" w:rsidRPr="00391660" w:rsidRDefault="00391660" w:rsidP="00391660">
            <w:pPr>
              <w:pStyle w:val="Sansinterligne"/>
              <w:jc w:val="center"/>
              <w:rPr>
                <w:b/>
              </w:rPr>
            </w:pPr>
            <w:r w:rsidRPr="00391660">
              <w:rPr>
                <w:b/>
              </w:rPr>
              <w:t>Tracé atypique</w:t>
            </w:r>
          </w:p>
        </w:tc>
        <w:tc>
          <w:tcPr>
            <w:tcW w:w="3069" w:type="dxa"/>
            <w:shd w:val="clear" w:color="auto" w:fill="D99594" w:themeFill="accent2" w:themeFillTint="99"/>
          </w:tcPr>
          <w:p w:rsidR="00391660" w:rsidRPr="00391660" w:rsidRDefault="00391660" w:rsidP="00391660">
            <w:pPr>
              <w:pStyle w:val="Sansinterligne"/>
              <w:jc w:val="center"/>
              <w:rPr>
                <w:b/>
              </w:rPr>
            </w:pPr>
            <w:r w:rsidRPr="00391660">
              <w:rPr>
                <w:b/>
              </w:rPr>
              <w:t>Tracé anormal</w:t>
            </w:r>
          </w:p>
        </w:tc>
      </w:tr>
      <w:tr w:rsidR="00391660" w:rsidRPr="00391660" w:rsidTr="00391660">
        <w:tc>
          <w:tcPr>
            <w:tcW w:w="3063" w:type="dxa"/>
          </w:tcPr>
          <w:p w:rsidR="00391660" w:rsidRDefault="00391660" w:rsidP="005E5A2E">
            <w:pPr>
              <w:pStyle w:val="Sansinterligne"/>
              <w:numPr>
                <w:ilvl w:val="0"/>
                <w:numId w:val="480"/>
              </w:numPr>
            </w:pPr>
            <w:r>
              <w:t>FC : 110-160 bpm</w:t>
            </w:r>
          </w:p>
          <w:p w:rsidR="00391660" w:rsidRDefault="00391660" w:rsidP="005E5A2E">
            <w:pPr>
              <w:pStyle w:val="Sansinterligne"/>
              <w:numPr>
                <w:ilvl w:val="0"/>
                <w:numId w:val="480"/>
              </w:numPr>
            </w:pPr>
            <w:r>
              <w:t>Variable (</w:t>
            </w:r>
            <w:r>
              <w:rPr>
                <w:rFonts w:cs="Times New Roman"/>
              </w:rPr>
              <w:t xml:space="preserve">± </w:t>
            </w:r>
            <w:r>
              <w:t>6-25 bpm)</w:t>
            </w:r>
          </w:p>
          <w:p w:rsidR="00391660" w:rsidRDefault="00391660" w:rsidP="005E5A2E">
            <w:pPr>
              <w:pStyle w:val="Sansinterligne"/>
              <w:numPr>
                <w:ilvl w:val="0"/>
                <w:numId w:val="480"/>
              </w:numPr>
            </w:pPr>
            <w:r>
              <w:t>Décélérations</w:t>
            </w:r>
          </w:p>
          <w:p w:rsidR="00391660" w:rsidRDefault="00391660" w:rsidP="005E5A2E">
            <w:pPr>
              <w:pStyle w:val="Sansinterligne"/>
              <w:numPr>
                <w:ilvl w:val="0"/>
                <w:numId w:val="479"/>
              </w:numPr>
            </w:pPr>
            <w:r>
              <w:t>Absente</w:t>
            </w:r>
          </w:p>
          <w:p w:rsidR="00391660" w:rsidRDefault="00391660" w:rsidP="005E5A2E">
            <w:pPr>
              <w:pStyle w:val="Sansinterligne"/>
              <w:numPr>
                <w:ilvl w:val="0"/>
                <w:numId w:val="479"/>
              </w:numPr>
            </w:pPr>
            <w:r>
              <w:t>Précoces (avant la CU)</w:t>
            </w:r>
          </w:p>
          <w:p w:rsidR="00391660" w:rsidRDefault="00391660" w:rsidP="005E5A2E">
            <w:pPr>
              <w:pStyle w:val="Sansinterligne"/>
              <w:numPr>
                <w:ilvl w:val="0"/>
                <w:numId w:val="481"/>
              </w:numPr>
            </w:pPr>
            <w:r>
              <w:t xml:space="preserve">Accélérations </w:t>
            </w:r>
          </w:p>
          <w:p w:rsidR="00391660" w:rsidRDefault="00391660" w:rsidP="005E5A2E">
            <w:pPr>
              <w:pStyle w:val="Sansinterligne"/>
              <w:numPr>
                <w:ilvl w:val="1"/>
                <w:numId w:val="481"/>
              </w:numPr>
            </w:pPr>
            <w:r>
              <w:t>Au toucher de la tête</w:t>
            </w:r>
          </w:p>
        </w:tc>
        <w:tc>
          <w:tcPr>
            <w:tcW w:w="3444" w:type="dxa"/>
          </w:tcPr>
          <w:p w:rsidR="00391660" w:rsidRPr="00391660" w:rsidRDefault="00452F79" w:rsidP="005E5A2E">
            <w:pPr>
              <w:pStyle w:val="Sansinterligne"/>
              <w:numPr>
                <w:ilvl w:val="0"/>
                <w:numId w:val="482"/>
              </w:numPr>
              <w:rPr>
                <w:lang w:val="de-DE"/>
              </w:rPr>
            </w:pPr>
            <w:r>
              <w:rPr>
                <w:lang w:val="de-DE"/>
              </w:rPr>
              <w:t>FC</w:t>
            </w:r>
            <w:r w:rsidR="00391660" w:rsidRPr="00391660">
              <w:rPr>
                <w:lang w:val="de-DE"/>
              </w:rPr>
              <w:t xml:space="preserve"> 100-110 bpm</w:t>
            </w:r>
          </w:p>
          <w:p w:rsidR="00391660" w:rsidRPr="00391660" w:rsidRDefault="00452F79" w:rsidP="005E5A2E">
            <w:pPr>
              <w:pStyle w:val="Sansinterligne"/>
              <w:numPr>
                <w:ilvl w:val="0"/>
                <w:numId w:val="482"/>
              </w:numPr>
            </w:pPr>
            <w:r>
              <w:t>FC</w:t>
            </w:r>
            <w:r w:rsidR="00391660" w:rsidRPr="00391660">
              <w:t xml:space="preserve"> </w:t>
            </w:r>
            <w:r w:rsidR="00391660" w:rsidRPr="00391660">
              <w:rPr>
                <w:rFonts w:ascii="Century Gothic" w:hAnsi="Century Gothic"/>
              </w:rPr>
              <w:t>&gt;</w:t>
            </w:r>
            <w:r w:rsidR="00391660" w:rsidRPr="00391660">
              <w:t xml:space="preserve">160 bpm </w:t>
            </w:r>
            <w:r>
              <w:rPr>
                <w:rFonts w:ascii="Century Gothic" w:hAnsi="Century Gothic"/>
              </w:rPr>
              <w:t>&gt;</w:t>
            </w:r>
            <w:r w:rsidR="00391660" w:rsidRPr="00391660">
              <w:t xml:space="preserve"> 30 min</w:t>
            </w:r>
          </w:p>
          <w:p w:rsidR="00391660" w:rsidRPr="00391660" w:rsidRDefault="00391660" w:rsidP="005E5A2E">
            <w:pPr>
              <w:pStyle w:val="Sansinterligne"/>
              <w:numPr>
                <w:ilvl w:val="0"/>
                <w:numId w:val="482"/>
              </w:numPr>
            </w:pPr>
            <w:r w:rsidRPr="00391660">
              <w:t>Variabilité faible x 40-80 min</w:t>
            </w:r>
          </w:p>
          <w:p w:rsidR="00391660" w:rsidRDefault="00391660" w:rsidP="005E5A2E">
            <w:pPr>
              <w:pStyle w:val="Sansinterligne"/>
              <w:numPr>
                <w:ilvl w:val="0"/>
                <w:numId w:val="482"/>
              </w:numPr>
            </w:pPr>
            <w:r>
              <w:t xml:space="preserve">Décélérations </w:t>
            </w:r>
          </w:p>
          <w:p w:rsidR="00391660" w:rsidRDefault="00391660" w:rsidP="005E5A2E">
            <w:pPr>
              <w:pStyle w:val="Sansinterligne"/>
              <w:numPr>
                <w:ilvl w:val="1"/>
                <w:numId w:val="482"/>
              </w:numPr>
            </w:pPr>
            <w:r>
              <w:t>Répétitives (</w:t>
            </w:r>
            <w:r>
              <w:rPr>
                <w:rFonts w:ascii="Century Gothic" w:hAnsi="Century Gothic"/>
              </w:rPr>
              <w:t>&gt;</w:t>
            </w:r>
            <w:r>
              <w:t>3 non-compliquée)</w:t>
            </w:r>
          </w:p>
          <w:p w:rsidR="00391660" w:rsidRDefault="00391660" w:rsidP="005E5A2E">
            <w:pPr>
              <w:pStyle w:val="Sansinterligne"/>
              <w:numPr>
                <w:ilvl w:val="1"/>
                <w:numId w:val="482"/>
              </w:numPr>
            </w:pPr>
            <w:r>
              <w:t>Tardives occasionnelles</w:t>
            </w:r>
          </w:p>
          <w:p w:rsidR="00391660" w:rsidRPr="00391660" w:rsidRDefault="00391660" w:rsidP="005E5A2E">
            <w:pPr>
              <w:pStyle w:val="Sansinterligne"/>
              <w:numPr>
                <w:ilvl w:val="1"/>
                <w:numId w:val="482"/>
              </w:numPr>
            </w:pPr>
            <w:r>
              <w:rPr>
                <w:rFonts w:ascii="Century Gothic" w:hAnsi="Century Gothic"/>
              </w:rPr>
              <w:t>&gt;</w:t>
            </w:r>
            <w:r>
              <w:t xml:space="preserve"> 2-3 min</w:t>
            </w:r>
          </w:p>
        </w:tc>
        <w:tc>
          <w:tcPr>
            <w:tcW w:w="3069" w:type="dxa"/>
          </w:tcPr>
          <w:p w:rsidR="00391660" w:rsidRPr="00391660" w:rsidRDefault="00452F79" w:rsidP="005E5A2E">
            <w:pPr>
              <w:pStyle w:val="Sansinterligne"/>
              <w:numPr>
                <w:ilvl w:val="0"/>
                <w:numId w:val="482"/>
              </w:numPr>
              <w:rPr>
                <w:lang w:val="de-DE"/>
              </w:rPr>
            </w:pPr>
            <w:r>
              <w:rPr>
                <w:lang w:val="de-DE"/>
              </w:rPr>
              <w:t>FC</w:t>
            </w:r>
            <w:r w:rsidR="00391660">
              <w:rPr>
                <w:lang w:val="de-DE"/>
              </w:rPr>
              <w:t xml:space="preserve"> </w:t>
            </w:r>
            <w:r w:rsidR="00391660">
              <w:rPr>
                <w:rFonts w:ascii="Century Gothic" w:hAnsi="Century Gothic"/>
                <w:lang w:val="de-DE"/>
              </w:rPr>
              <w:t>&lt;</w:t>
            </w:r>
            <w:r w:rsidR="00391660" w:rsidRPr="00391660">
              <w:rPr>
                <w:lang w:val="de-DE"/>
              </w:rPr>
              <w:t xml:space="preserve"> 100</w:t>
            </w:r>
            <w:r w:rsidR="00391660">
              <w:rPr>
                <w:lang w:val="de-DE"/>
              </w:rPr>
              <w:t xml:space="preserve"> </w:t>
            </w:r>
            <w:r w:rsidR="00391660" w:rsidRPr="00391660">
              <w:rPr>
                <w:lang w:val="de-DE"/>
              </w:rPr>
              <w:t>bpm</w:t>
            </w:r>
          </w:p>
          <w:p w:rsidR="00391660" w:rsidRDefault="00452F79" w:rsidP="005E5A2E">
            <w:pPr>
              <w:pStyle w:val="Sansinterligne"/>
              <w:numPr>
                <w:ilvl w:val="0"/>
                <w:numId w:val="482"/>
              </w:numPr>
            </w:pPr>
            <w:r>
              <w:t>FC</w:t>
            </w:r>
            <w:r w:rsidR="00391660" w:rsidRPr="00391660">
              <w:t xml:space="preserve"> </w:t>
            </w:r>
            <w:r w:rsidR="00391660" w:rsidRPr="00391660">
              <w:rPr>
                <w:rFonts w:ascii="Century Gothic" w:hAnsi="Century Gothic"/>
              </w:rPr>
              <w:t>&gt;</w:t>
            </w:r>
            <w:r w:rsidR="00391660" w:rsidRPr="00391660">
              <w:t xml:space="preserve">160 bpm </w:t>
            </w:r>
            <w:r w:rsidR="00391660">
              <w:rPr>
                <w:rFonts w:ascii="Century Gothic" w:hAnsi="Century Gothic"/>
              </w:rPr>
              <w:t>&gt;</w:t>
            </w:r>
            <w:r w:rsidR="00391660">
              <w:t xml:space="preserve"> 80 min</w:t>
            </w:r>
          </w:p>
          <w:p w:rsidR="00BD236B" w:rsidRDefault="00BD236B" w:rsidP="005E5A2E">
            <w:pPr>
              <w:pStyle w:val="Sansinterligne"/>
              <w:numPr>
                <w:ilvl w:val="0"/>
                <w:numId w:val="482"/>
              </w:numPr>
            </w:pPr>
            <w:r>
              <w:t>Variabilité</w:t>
            </w:r>
          </w:p>
          <w:p w:rsidR="00391660" w:rsidRDefault="00391660" w:rsidP="005E5A2E">
            <w:pPr>
              <w:pStyle w:val="Sansinterligne"/>
              <w:numPr>
                <w:ilvl w:val="1"/>
                <w:numId w:val="482"/>
              </w:numPr>
            </w:pPr>
            <w:r>
              <w:t xml:space="preserve">Faible  </w:t>
            </w:r>
            <w:r>
              <w:rPr>
                <w:rFonts w:ascii="Century Gothic" w:hAnsi="Century Gothic"/>
              </w:rPr>
              <w:t>&gt;</w:t>
            </w:r>
            <w:r>
              <w:t xml:space="preserve"> 80 min</w:t>
            </w:r>
          </w:p>
          <w:p w:rsidR="00391660" w:rsidRDefault="00391660" w:rsidP="005E5A2E">
            <w:pPr>
              <w:pStyle w:val="Sansinterligne"/>
              <w:numPr>
                <w:ilvl w:val="1"/>
                <w:numId w:val="482"/>
              </w:numPr>
            </w:pPr>
            <w:r>
              <w:t xml:space="preserve">Grande </w:t>
            </w:r>
            <w:r>
              <w:rPr>
                <w:rFonts w:ascii="Century Gothic" w:hAnsi="Century Gothic"/>
              </w:rPr>
              <w:t>&gt;</w:t>
            </w:r>
            <w:r>
              <w:t xml:space="preserve"> 10 min</w:t>
            </w:r>
          </w:p>
          <w:p w:rsidR="00391660" w:rsidRDefault="00391660" w:rsidP="005E5A2E">
            <w:pPr>
              <w:pStyle w:val="Sansinterligne"/>
              <w:numPr>
                <w:ilvl w:val="0"/>
                <w:numId w:val="482"/>
              </w:numPr>
            </w:pPr>
            <w:r>
              <w:t xml:space="preserve">Décélérations </w:t>
            </w:r>
          </w:p>
          <w:p w:rsidR="00391660" w:rsidRDefault="00391660" w:rsidP="005E5A2E">
            <w:pPr>
              <w:pStyle w:val="Sansinterligne"/>
              <w:numPr>
                <w:ilvl w:val="1"/>
                <w:numId w:val="482"/>
              </w:numPr>
            </w:pPr>
            <w:r>
              <w:rPr>
                <w:rFonts w:ascii="Century Gothic" w:hAnsi="Century Gothic"/>
              </w:rPr>
              <w:t>&gt;</w:t>
            </w:r>
            <w:r>
              <w:t xml:space="preserve"> 3 compliquées</w:t>
            </w:r>
          </w:p>
          <w:p w:rsidR="00391660" w:rsidRDefault="00391660" w:rsidP="005E5A2E">
            <w:pPr>
              <w:pStyle w:val="Sansinterligne"/>
              <w:numPr>
                <w:ilvl w:val="1"/>
                <w:numId w:val="482"/>
              </w:numPr>
            </w:pPr>
            <w:r>
              <w:t>Tardives répétées</w:t>
            </w:r>
          </w:p>
          <w:p w:rsidR="00391660" w:rsidRPr="00391660" w:rsidRDefault="00391660" w:rsidP="005E5A2E">
            <w:pPr>
              <w:pStyle w:val="Sansinterligne"/>
              <w:numPr>
                <w:ilvl w:val="1"/>
                <w:numId w:val="482"/>
              </w:numPr>
            </w:pPr>
            <w:r>
              <w:rPr>
                <w:rFonts w:ascii="Century Gothic" w:hAnsi="Century Gothic"/>
              </w:rPr>
              <w:t>&gt;</w:t>
            </w:r>
            <w:r>
              <w:t xml:space="preserve"> 3 min</w:t>
            </w:r>
          </w:p>
        </w:tc>
      </w:tr>
    </w:tbl>
    <w:p w:rsidR="00DC378F" w:rsidRDefault="00B93A38" w:rsidP="00AB3F9F">
      <w:pPr>
        <w:pStyle w:val="Sansinterligne"/>
      </w:pPr>
      <w:r>
        <w:rPr>
          <w:noProof/>
          <w:lang w:eastAsia="fr-CA"/>
        </w:rPr>
        <w:drawing>
          <wp:anchor distT="0" distB="0" distL="114300" distR="114300" simplePos="0" relativeHeight="251789312" behindDoc="0" locked="0" layoutInCell="1" allowOverlap="1" wp14:anchorId="3FFF24FD" wp14:editId="3A3ACB16">
            <wp:simplePos x="0" y="0"/>
            <wp:positionH relativeFrom="column">
              <wp:posOffset>4629785</wp:posOffset>
            </wp:positionH>
            <wp:positionV relativeFrom="paragraph">
              <wp:posOffset>154305</wp:posOffset>
            </wp:positionV>
            <wp:extent cx="1809115" cy="2094230"/>
            <wp:effectExtent l="0" t="0" r="635" b="1270"/>
            <wp:wrapNone/>
            <wp:docPr id="295" name="Image 295" descr="Résultats de recherche d'images pour « ballon grossess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ésultats de recherche d'images pour « ballon grossesse »"/>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1809115" cy="20942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B3F9F" w:rsidRPr="003D1B95" w:rsidRDefault="00AB3F9F" w:rsidP="00AB3F9F">
      <w:pPr>
        <w:pStyle w:val="Sansinterligne"/>
        <w:rPr>
          <w:b/>
        </w:rPr>
      </w:pPr>
      <w:r w:rsidRPr="003D1B95">
        <w:rPr>
          <w:b/>
        </w:rPr>
        <w:t xml:space="preserve">Groupe sanguin fœtal </w:t>
      </w:r>
      <w:r w:rsidR="00DC378F" w:rsidRPr="003D1B95">
        <w:rPr>
          <w:b/>
        </w:rPr>
        <w:t>à la naissance</w:t>
      </w:r>
    </w:p>
    <w:p w:rsidR="00A67CE9" w:rsidRPr="00A67CE9" w:rsidRDefault="00A67CE9" w:rsidP="005E5A2E">
      <w:pPr>
        <w:pStyle w:val="Sansinterligne"/>
        <w:numPr>
          <w:ilvl w:val="0"/>
          <w:numId w:val="478"/>
        </w:numPr>
      </w:pPr>
      <w:r w:rsidRPr="00A67CE9">
        <w:t>À prélever sur le sang de cordon à l’accouchement</w:t>
      </w:r>
      <w:r w:rsidR="003D1B95">
        <w:t xml:space="preserve"> (statut rhésus)</w:t>
      </w:r>
    </w:p>
    <w:p w:rsidR="00A67CE9" w:rsidRDefault="00A67CE9" w:rsidP="005E5A2E">
      <w:pPr>
        <w:pStyle w:val="Sansinterligne"/>
        <w:numPr>
          <w:ilvl w:val="0"/>
          <w:numId w:val="478"/>
        </w:numPr>
      </w:pPr>
      <w:r w:rsidRPr="00A67CE9">
        <w:t xml:space="preserve">Avec le pH du sang </w:t>
      </w:r>
      <w:r w:rsidR="00DC378F">
        <w:t>fœtal</w:t>
      </w:r>
    </w:p>
    <w:p w:rsidR="00AB3F9F" w:rsidRPr="00AB3F9F" w:rsidRDefault="00AB3F9F" w:rsidP="00AB3F9F">
      <w:pPr>
        <w:pStyle w:val="Sansinterligne"/>
        <w:rPr>
          <w:highlight w:val="red"/>
        </w:rPr>
      </w:pPr>
    </w:p>
    <w:p w:rsidR="00AB3F9F" w:rsidRPr="00AC0EFF" w:rsidRDefault="00AB3F9F" w:rsidP="00AB3F9F">
      <w:pPr>
        <w:pStyle w:val="Sansinterligne"/>
        <w:rPr>
          <w:b/>
          <w:sz w:val="28"/>
          <w:szCs w:val="28"/>
        </w:rPr>
      </w:pPr>
      <w:r w:rsidRPr="00AC0EFF">
        <w:rPr>
          <w:b/>
          <w:sz w:val="28"/>
          <w:szCs w:val="28"/>
        </w:rPr>
        <w:t>Prise en charge</w:t>
      </w:r>
    </w:p>
    <w:p w:rsidR="00AB3F9F" w:rsidRPr="00AC0EFF" w:rsidRDefault="00AB3F9F" w:rsidP="00AB3F9F">
      <w:pPr>
        <w:pStyle w:val="Sansinterligne"/>
      </w:pPr>
    </w:p>
    <w:p w:rsidR="00D1333D" w:rsidRPr="00107583" w:rsidRDefault="00D1333D" w:rsidP="00AB3F9F">
      <w:pPr>
        <w:pStyle w:val="Sansinterligne"/>
        <w:rPr>
          <w:u w:val="single"/>
        </w:rPr>
      </w:pPr>
      <w:r w:rsidRPr="00107583">
        <w:rPr>
          <w:u w:val="single"/>
        </w:rPr>
        <w:t>Vérifier les souhaits de la patiente concernant :</w:t>
      </w:r>
    </w:p>
    <w:p w:rsidR="00512FF2" w:rsidRDefault="00512FF2" w:rsidP="00107583">
      <w:pPr>
        <w:pStyle w:val="Sansinterligne"/>
        <w:numPr>
          <w:ilvl w:val="0"/>
          <w:numId w:val="485"/>
        </w:numPr>
      </w:pPr>
      <w:r>
        <w:t>Chambre/intimité/personnes présentes</w:t>
      </w:r>
    </w:p>
    <w:p w:rsidR="00512FF2" w:rsidRDefault="00512FF2" w:rsidP="00107583">
      <w:pPr>
        <w:pStyle w:val="Sansinterligne"/>
        <w:numPr>
          <w:ilvl w:val="0"/>
          <w:numId w:val="485"/>
        </w:numPr>
      </w:pPr>
      <w:r>
        <w:t>Notamment la présence d’hommes/femmes (culturel), d’étudiants</w:t>
      </w:r>
      <w:r w:rsidR="00B93A38" w:rsidRPr="00B93A38">
        <w:t xml:space="preserve"> </w:t>
      </w:r>
    </w:p>
    <w:p w:rsidR="00512FF2" w:rsidRDefault="00512FF2" w:rsidP="00107583">
      <w:pPr>
        <w:pStyle w:val="Sansinterligne"/>
        <w:numPr>
          <w:ilvl w:val="0"/>
          <w:numId w:val="485"/>
        </w:numPr>
      </w:pPr>
      <w:r>
        <w:t>Techniques de relaxation (ballon, bain tourbillon, etc.)</w:t>
      </w:r>
    </w:p>
    <w:p w:rsidR="00512FF2" w:rsidRDefault="00512FF2" w:rsidP="00107583">
      <w:pPr>
        <w:pStyle w:val="Sansinterligne"/>
        <w:numPr>
          <w:ilvl w:val="0"/>
          <w:numId w:val="485"/>
        </w:numPr>
      </w:pPr>
      <w:r>
        <w:t>Souhait d’utiliser une analgésie (peut être réévalué plus tard)</w:t>
      </w:r>
    </w:p>
    <w:p w:rsidR="00512FF2" w:rsidRDefault="00512FF2" w:rsidP="00AB3F9F">
      <w:pPr>
        <w:pStyle w:val="Sansinterligne"/>
      </w:pPr>
    </w:p>
    <w:p w:rsidR="00107583" w:rsidRDefault="00107583" w:rsidP="00107583">
      <w:pPr>
        <w:pStyle w:val="Sansinterligne"/>
      </w:pPr>
      <w:r w:rsidRPr="00AB3F9F">
        <w:rPr>
          <w:b/>
          <w:sz w:val="28"/>
          <w:szCs w:val="28"/>
        </w:rPr>
        <w:t>Options d’analgésie</w:t>
      </w:r>
    </w:p>
    <w:p w:rsidR="00107583" w:rsidRPr="000C3078" w:rsidRDefault="00107583" w:rsidP="00107583">
      <w:pPr>
        <w:pStyle w:val="Sansinterligne"/>
      </w:pPr>
    </w:p>
    <w:tbl>
      <w:tblPr>
        <w:tblStyle w:val="Grilledutableau"/>
        <w:tblW w:w="0" w:type="auto"/>
        <w:tblLook w:val="04A0" w:firstRow="1" w:lastRow="0" w:firstColumn="1" w:lastColumn="0" w:noHBand="0" w:noVBand="1"/>
      </w:tblPr>
      <w:tblGrid>
        <w:gridCol w:w="3794"/>
        <w:gridCol w:w="3573"/>
        <w:gridCol w:w="3573"/>
      </w:tblGrid>
      <w:tr w:rsidR="00107583" w:rsidTr="003C7652">
        <w:tc>
          <w:tcPr>
            <w:tcW w:w="3794" w:type="dxa"/>
          </w:tcPr>
          <w:p w:rsidR="00107583" w:rsidRPr="000C3078" w:rsidRDefault="00107583" w:rsidP="003C7652">
            <w:pPr>
              <w:pStyle w:val="Sansinterligne"/>
            </w:pPr>
            <w:r w:rsidRPr="0045270B">
              <w:rPr>
                <w:highlight w:val="yellow"/>
              </w:rPr>
              <w:t>Non-pharmacologiques</w:t>
            </w:r>
          </w:p>
        </w:tc>
        <w:tc>
          <w:tcPr>
            <w:tcW w:w="3573" w:type="dxa"/>
            <w:tcBorders>
              <w:right w:val="single" w:sz="4" w:space="0" w:color="FFFFFF" w:themeColor="background1"/>
            </w:tcBorders>
          </w:tcPr>
          <w:p w:rsidR="00107583" w:rsidRDefault="00107583" w:rsidP="003C7652">
            <w:pPr>
              <w:pStyle w:val="Sansinterligne"/>
              <w:numPr>
                <w:ilvl w:val="0"/>
                <w:numId w:val="483"/>
              </w:numPr>
            </w:pPr>
            <w:r w:rsidRPr="00942BD1">
              <w:rPr>
                <w:highlight w:val="yellow"/>
              </w:rPr>
              <w:t>Changements de position</w:t>
            </w:r>
          </w:p>
          <w:p w:rsidR="00107583" w:rsidRDefault="00107583" w:rsidP="003C7652">
            <w:pPr>
              <w:pStyle w:val="Sansinterligne"/>
              <w:numPr>
                <w:ilvl w:val="0"/>
                <w:numId w:val="483"/>
              </w:numPr>
            </w:pPr>
            <w:r>
              <w:t>Compresses chaudes/froides</w:t>
            </w:r>
          </w:p>
          <w:p w:rsidR="00107583" w:rsidRDefault="00107583" w:rsidP="003C7652">
            <w:pPr>
              <w:pStyle w:val="Sansinterligne"/>
              <w:numPr>
                <w:ilvl w:val="0"/>
                <w:numId w:val="483"/>
              </w:numPr>
            </w:pPr>
            <w:r>
              <w:t>Accouchement sous l’eau</w:t>
            </w:r>
          </w:p>
        </w:tc>
        <w:tc>
          <w:tcPr>
            <w:tcW w:w="3573" w:type="dxa"/>
            <w:tcBorders>
              <w:left w:val="single" w:sz="4" w:space="0" w:color="FFFFFF" w:themeColor="background1"/>
              <w:bottom w:val="nil"/>
            </w:tcBorders>
          </w:tcPr>
          <w:p w:rsidR="00107583" w:rsidRPr="00942BD1" w:rsidRDefault="00107583" w:rsidP="003C7652">
            <w:pPr>
              <w:pStyle w:val="Sansinterligne"/>
              <w:numPr>
                <w:ilvl w:val="0"/>
                <w:numId w:val="483"/>
              </w:numPr>
              <w:rPr>
                <w:highlight w:val="yellow"/>
              </w:rPr>
            </w:pPr>
            <w:r w:rsidRPr="00942BD1">
              <w:rPr>
                <w:highlight w:val="yellow"/>
              </w:rPr>
              <w:t>Massage/toucher du conjoint</w:t>
            </w:r>
          </w:p>
          <w:p w:rsidR="00107583" w:rsidRDefault="00107583" w:rsidP="003C7652">
            <w:pPr>
              <w:pStyle w:val="Sansinterligne"/>
              <w:numPr>
                <w:ilvl w:val="0"/>
                <w:numId w:val="483"/>
              </w:numPr>
            </w:pPr>
            <w:r w:rsidRPr="00942BD1">
              <w:rPr>
                <w:highlight w:val="yellow"/>
              </w:rPr>
              <w:t>Papules d’eau intradermique</w:t>
            </w:r>
          </w:p>
          <w:p w:rsidR="00107583" w:rsidRPr="000C3078" w:rsidRDefault="00107583" w:rsidP="003C7652">
            <w:pPr>
              <w:pStyle w:val="Sansinterligne"/>
              <w:numPr>
                <w:ilvl w:val="0"/>
                <w:numId w:val="483"/>
              </w:numPr>
            </w:pPr>
            <w:r w:rsidRPr="00BA4632">
              <w:rPr>
                <w:highlight w:val="yellow"/>
              </w:rPr>
              <w:t>Respiration</w:t>
            </w:r>
          </w:p>
        </w:tc>
      </w:tr>
      <w:tr w:rsidR="00107583" w:rsidTr="003C7652">
        <w:tc>
          <w:tcPr>
            <w:tcW w:w="3794" w:type="dxa"/>
          </w:tcPr>
          <w:p w:rsidR="00107583" w:rsidRPr="000C3078" w:rsidRDefault="00107583" w:rsidP="003C7652">
            <w:pPr>
              <w:pStyle w:val="Sansinterligne"/>
            </w:pPr>
            <w:r>
              <w:t>Oxyde nitreux 50%</w:t>
            </w:r>
          </w:p>
        </w:tc>
        <w:tc>
          <w:tcPr>
            <w:tcW w:w="7146" w:type="dxa"/>
            <w:gridSpan w:val="2"/>
          </w:tcPr>
          <w:p w:rsidR="00107583" w:rsidRPr="000C3078" w:rsidRDefault="00107583" w:rsidP="003C7652">
            <w:pPr>
              <w:pStyle w:val="Sansinterligne"/>
            </w:pPr>
            <w:r>
              <w:t xml:space="preserve">En inhalation, rend les CU plus tolérable, </w:t>
            </w:r>
            <w:r>
              <w:rPr>
                <w:rFonts w:cs="Times New Roman"/>
              </w:rPr>
              <w:t>Ø</w:t>
            </w:r>
            <w:r>
              <w:t xml:space="preserve"> analgésie complète</w:t>
            </w:r>
          </w:p>
        </w:tc>
      </w:tr>
      <w:tr w:rsidR="00107583" w:rsidTr="003C7652">
        <w:tc>
          <w:tcPr>
            <w:tcW w:w="3794" w:type="dxa"/>
          </w:tcPr>
          <w:p w:rsidR="00107583" w:rsidRPr="000C3078" w:rsidRDefault="00107583" w:rsidP="003C7652">
            <w:pPr>
              <w:pStyle w:val="Sansinterligne"/>
            </w:pPr>
            <w:r>
              <w:t>Opiacés</w:t>
            </w:r>
          </w:p>
        </w:tc>
        <w:tc>
          <w:tcPr>
            <w:tcW w:w="7146" w:type="dxa"/>
            <w:gridSpan w:val="2"/>
          </w:tcPr>
          <w:p w:rsidR="00107583" w:rsidRDefault="00107583" w:rsidP="003C7652">
            <w:pPr>
              <w:pStyle w:val="Sansinterligne"/>
            </w:pPr>
            <w:r>
              <w:t xml:space="preserve">Si délai </w:t>
            </w:r>
            <w:r>
              <w:rPr>
                <w:rFonts w:ascii="Century Gothic" w:hAnsi="Century Gothic"/>
              </w:rPr>
              <w:t>&gt;</w:t>
            </w:r>
            <w:r>
              <w:t xml:space="preserve"> 4h</w:t>
            </w:r>
          </w:p>
          <w:p w:rsidR="00107583" w:rsidRPr="000C3078" w:rsidRDefault="00107583" w:rsidP="003C7652">
            <w:pPr>
              <w:pStyle w:val="Sansinterligne"/>
            </w:pPr>
            <w:r>
              <w:rPr>
                <w:rFonts w:ascii="Century Gothic" w:hAnsi="Century Gothic"/>
              </w:rPr>
              <w:t xml:space="preserve">↑ </w:t>
            </w:r>
            <w:r>
              <w:t>risque de dépression respiratoire maternelle et néonatale</w:t>
            </w:r>
          </w:p>
        </w:tc>
      </w:tr>
      <w:tr w:rsidR="00107583" w:rsidTr="003C7652">
        <w:tc>
          <w:tcPr>
            <w:tcW w:w="3794" w:type="dxa"/>
          </w:tcPr>
          <w:p w:rsidR="00107583" w:rsidRPr="000C3078" w:rsidRDefault="00107583" w:rsidP="003C7652">
            <w:pPr>
              <w:pStyle w:val="Sansinterligne"/>
            </w:pPr>
            <w:r>
              <w:t>Bloc honteux</w:t>
            </w:r>
          </w:p>
        </w:tc>
        <w:tc>
          <w:tcPr>
            <w:tcW w:w="7146" w:type="dxa"/>
            <w:gridSpan w:val="2"/>
            <w:shd w:val="clear" w:color="auto" w:fill="000000" w:themeFill="text1"/>
          </w:tcPr>
          <w:p w:rsidR="00107583" w:rsidRPr="000C3078" w:rsidRDefault="00107583" w:rsidP="003C7652">
            <w:pPr>
              <w:pStyle w:val="Sansinterligne"/>
            </w:pPr>
          </w:p>
        </w:tc>
      </w:tr>
      <w:tr w:rsidR="00107583" w:rsidTr="003C7652">
        <w:tc>
          <w:tcPr>
            <w:tcW w:w="3794" w:type="dxa"/>
            <w:tcBorders>
              <w:bottom w:val="single" w:sz="4" w:space="0" w:color="auto"/>
            </w:tcBorders>
          </w:tcPr>
          <w:p w:rsidR="00107583" w:rsidRPr="000C3078" w:rsidRDefault="00107583" w:rsidP="003C7652">
            <w:pPr>
              <w:pStyle w:val="Sansinterligne"/>
            </w:pPr>
            <w:r>
              <w:t>Infiltration périnéale (marcaïne)</w:t>
            </w:r>
          </w:p>
        </w:tc>
        <w:tc>
          <w:tcPr>
            <w:tcW w:w="7146" w:type="dxa"/>
            <w:gridSpan w:val="2"/>
            <w:tcBorders>
              <w:bottom w:val="single" w:sz="4" w:space="0" w:color="auto"/>
            </w:tcBorders>
            <w:shd w:val="clear" w:color="auto" w:fill="000000" w:themeFill="text1"/>
          </w:tcPr>
          <w:p w:rsidR="00107583" w:rsidRPr="000C3078" w:rsidRDefault="00107583" w:rsidP="003C7652">
            <w:pPr>
              <w:pStyle w:val="Sansinterligne"/>
            </w:pPr>
          </w:p>
        </w:tc>
      </w:tr>
      <w:tr w:rsidR="00107583" w:rsidTr="003C7652">
        <w:tc>
          <w:tcPr>
            <w:tcW w:w="3794" w:type="dxa"/>
            <w:tcBorders>
              <w:bottom w:val="single" w:sz="4" w:space="0" w:color="000000" w:themeColor="text1"/>
            </w:tcBorders>
            <w:shd w:val="clear" w:color="auto" w:fill="FFFF00"/>
          </w:tcPr>
          <w:p w:rsidR="00107583" w:rsidRPr="000C3078" w:rsidRDefault="00107583" w:rsidP="003C7652">
            <w:pPr>
              <w:pStyle w:val="Sansinterligne"/>
            </w:pPr>
            <w:r>
              <w:t>Anesthésie régionale (épidurale)</w:t>
            </w:r>
          </w:p>
        </w:tc>
        <w:tc>
          <w:tcPr>
            <w:tcW w:w="7146" w:type="dxa"/>
            <w:gridSpan w:val="2"/>
            <w:tcBorders>
              <w:bottom w:val="single" w:sz="4" w:space="0" w:color="000000" w:themeColor="text1"/>
            </w:tcBorders>
            <w:shd w:val="clear" w:color="auto" w:fill="FFFF00"/>
          </w:tcPr>
          <w:p w:rsidR="00107583" w:rsidRDefault="00107583" w:rsidP="003C7652">
            <w:pPr>
              <w:pStyle w:val="Sansinterligne"/>
              <w:numPr>
                <w:ilvl w:val="0"/>
                <w:numId w:val="484"/>
              </w:numPr>
            </w:pPr>
            <w:r>
              <w:t>Très efficace</w:t>
            </w:r>
          </w:p>
          <w:p w:rsidR="00107583" w:rsidRDefault="00107583" w:rsidP="003C7652">
            <w:pPr>
              <w:pStyle w:val="Sansinterligne"/>
              <w:numPr>
                <w:ilvl w:val="0"/>
                <w:numId w:val="484"/>
              </w:numPr>
            </w:pPr>
            <w:r>
              <w:t>Hypotension, hyperthermie (complications)</w:t>
            </w:r>
          </w:p>
          <w:p w:rsidR="00107583" w:rsidRDefault="00107583" w:rsidP="003C7652">
            <w:pPr>
              <w:pStyle w:val="Sansinterligne"/>
              <w:numPr>
                <w:ilvl w:val="0"/>
                <w:numId w:val="484"/>
              </w:numPr>
            </w:pPr>
            <w:r>
              <w:t>N’augmente pas la durée du 1</w:t>
            </w:r>
            <w:r w:rsidRPr="00BA4632">
              <w:rPr>
                <w:vertAlign w:val="superscript"/>
              </w:rPr>
              <w:t>er</w:t>
            </w:r>
            <w:r>
              <w:t xml:space="preserve"> stade ou les complications</w:t>
            </w:r>
          </w:p>
          <w:p w:rsidR="00107583" w:rsidRPr="000C3078" w:rsidRDefault="00107583" w:rsidP="003C7652">
            <w:pPr>
              <w:pStyle w:val="Sansinterligne"/>
              <w:numPr>
                <w:ilvl w:val="0"/>
                <w:numId w:val="484"/>
              </w:numPr>
            </w:pPr>
            <w:r>
              <w:t>Augmente toutefois la durée du 2</w:t>
            </w:r>
            <w:r w:rsidRPr="00BA4632">
              <w:rPr>
                <w:vertAlign w:val="superscript"/>
              </w:rPr>
              <w:t>e</w:t>
            </w:r>
            <w:r>
              <w:t xml:space="preserve"> stade (</w:t>
            </w:r>
            <w:r>
              <w:rPr>
                <w:rFonts w:cs="Times New Roman"/>
              </w:rPr>
              <w:t>~</w:t>
            </w:r>
            <w:r>
              <w:t xml:space="preserve"> 15 min)</w:t>
            </w:r>
          </w:p>
        </w:tc>
      </w:tr>
    </w:tbl>
    <w:p w:rsidR="00107583" w:rsidRDefault="00107583" w:rsidP="00107583">
      <w:pPr>
        <w:pStyle w:val="Sansinterligne"/>
        <w:rPr>
          <w:b/>
          <w:sz w:val="28"/>
          <w:szCs w:val="28"/>
        </w:rPr>
      </w:pPr>
      <w:r>
        <w:rPr>
          <w:noProof/>
          <w:lang w:eastAsia="fr-CA"/>
        </w:rPr>
        <w:drawing>
          <wp:anchor distT="0" distB="0" distL="114300" distR="114300" simplePos="0" relativeHeight="251788288" behindDoc="0" locked="0" layoutInCell="1" allowOverlap="1" wp14:anchorId="11661775" wp14:editId="149E8CDE">
            <wp:simplePos x="0" y="0"/>
            <wp:positionH relativeFrom="column">
              <wp:posOffset>504825</wp:posOffset>
            </wp:positionH>
            <wp:positionV relativeFrom="paragraph">
              <wp:posOffset>3810</wp:posOffset>
            </wp:positionV>
            <wp:extent cx="5700395" cy="1770380"/>
            <wp:effectExtent l="0" t="0" r="0" b="1270"/>
            <wp:wrapNone/>
            <wp:docPr id="293" name="Image 293" descr="Résultats de recherche d'images pour « péridurale pour accouchemen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ésultats de recherche d'images pour « péridurale pour accouchement »"/>
                    <pic:cNvPicPr>
                      <a:picLocks noChangeAspect="1" noChangeArrowheads="1"/>
                    </pic:cNvPicPr>
                  </pic:nvPicPr>
                  <pic:blipFill rotWithShape="1">
                    <a:blip r:embed="rId310">
                      <a:extLst>
                        <a:ext uri="{28A0092B-C50C-407E-A947-70E740481C1C}">
                          <a14:useLocalDpi xmlns:a14="http://schemas.microsoft.com/office/drawing/2010/main" val="0"/>
                        </a:ext>
                      </a:extLst>
                    </a:blip>
                    <a:srcRect b="22424"/>
                    <a:stretch/>
                  </pic:blipFill>
                  <pic:spPr bwMode="auto">
                    <a:xfrm>
                      <a:off x="0" y="0"/>
                      <a:ext cx="5700395" cy="177038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107583" w:rsidRDefault="00107583" w:rsidP="00AB3F9F">
      <w:pPr>
        <w:pStyle w:val="Sansinterligne"/>
      </w:pPr>
    </w:p>
    <w:p w:rsidR="00107583" w:rsidRDefault="00107583" w:rsidP="00AB3F9F">
      <w:pPr>
        <w:pStyle w:val="Sansinterligne"/>
      </w:pPr>
    </w:p>
    <w:p w:rsidR="00107583" w:rsidRDefault="00107583" w:rsidP="00AB3F9F">
      <w:pPr>
        <w:pStyle w:val="Sansinterligne"/>
      </w:pPr>
    </w:p>
    <w:p w:rsidR="00107583" w:rsidRDefault="00107583" w:rsidP="00AB3F9F">
      <w:pPr>
        <w:pStyle w:val="Sansinterligne"/>
      </w:pPr>
    </w:p>
    <w:p w:rsidR="00107583" w:rsidRDefault="00107583" w:rsidP="00AB3F9F">
      <w:pPr>
        <w:pStyle w:val="Sansinterligne"/>
      </w:pPr>
    </w:p>
    <w:p w:rsidR="00107583" w:rsidRDefault="00107583" w:rsidP="00AB3F9F">
      <w:pPr>
        <w:pStyle w:val="Sansinterligne"/>
      </w:pPr>
    </w:p>
    <w:p w:rsidR="00107583" w:rsidRDefault="00107583" w:rsidP="00AB3F9F">
      <w:pPr>
        <w:pStyle w:val="Sansinterligne"/>
      </w:pPr>
    </w:p>
    <w:p w:rsidR="00107583" w:rsidRDefault="00107583" w:rsidP="00AB3F9F">
      <w:pPr>
        <w:pStyle w:val="Sansinterligne"/>
      </w:pPr>
    </w:p>
    <w:p w:rsidR="00107583" w:rsidRDefault="00107583" w:rsidP="00AB3F9F">
      <w:pPr>
        <w:pStyle w:val="Sansinterligne"/>
      </w:pPr>
    </w:p>
    <w:p w:rsidR="00107583" w:rsidRDefault="00107583" w:rsidP="00AB3F9F">
      <w:pPr>
        <w:pStyle w:val="Sansinterligne"/>
      </w:pPr>
    </w:p>
    <w:p w:rsidR="00107583" w:rsidRDefault="00512FF2" w:rsidP="000739F4">
      <w:pPr>
        <w:pStyle w:val="Sansinterligne"/>
        <w:numPr>
          <w:ilvl w:val="0"/>
          <w:numId w:val="490"/>
        </w:numPr>
      </w:pPr>
      <w:r>
        <w:t xml:space="preserve">Expliquer à la patiente comment va se dérouler l’accouchement </w:t>
      </w:r>
    </w:p>
    <w:p w:rsidR="00512FF2" w:rsidRDefault="00107583" w:rsidP="000739F4">
      <w:pPr>
        <w:pStyle w:val="Sansinterligne"/>
        <w:numPr>
          <w:ilvl w:val="1"/>
          <w:numId w:val="490"/>
        </w:numPr>
      </w:pPr>
      <w:r>
        <w:t>D</w:t>
      </w:r>
      <w:r w:rsidR="00512FF2">
        <w:t>urée approximative, suivi par auscultation, infirmières, suivi médical, usage d’</w:t>
      </w:r>
      <w:r>
        <w:t>ocytocine PRN</w:t>
      </w:r>
    </w:p>
    <w:p w:rsidR="00D06FE1" w:rsidRDefault="00B93A38" w:rsidP="00D06FE1">
      <w:pPr>
        <w:pStyle w:val="Sansinterligne"/>
        <w:ind w:left="1080"/>
      </w:pPr>
      <w:r>
        <w:rPr>
          <w:noProof/>
          <w:lang w:eastAsia="fr-CA"/>
        </w:rPr>
        <w:drawing>
          <wp:anchor distT="0" distB="0" distL="114300" distR="114300" simplePos="0" relativeHeight="251790336" behindDoc="0" locked="0" layoutInCell="1" allowOverlap="1" wp14:anchorId="218EDE51" wp14:editId="00F38FB6">
            <wp:simplePos x="0" y="0"/>
            <wp:positionH relativeFrom="column">
              <wp:posOffset>4434327</wp:posOffset>
            </wp:positionH>
            <wp:positionV relativeFrom="paragraph">
              <wp:posOffset>-198972</wp:posOffset>
            </wp:positionV>
            <wp:extent cx="1746250" cy="2674620"/>
            <wp:effectExtent l="0" t="0" r="6350" b="0"/>
            <wp:wrapNone/>
            <wp:docPr id="305" name="Image 305" descr="Résultats de recherche d'images pour « présentation foeta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ésultats de recherche d'images pour « présentation foetale »"/>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1746250" cy="26746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12FF2" w:rsidRDefault="00512FF2" w:rsidP="000739F4">
      <w:pPr>
        <w:pStyle w:val="Sansinterligne"/>
        <w:numPr>
          <w:ilvl w:val="0"/>
          <w:numId w:val="490"/>
        </w:numPr>
      </w:pPr>
      <w:r>
        <w:t>Rassurer et répondre aux questions.</w:t>
      </w:r>
    </w:p>
    <w:p w:rsidR="00512FF2" w:rsidRDefault="00512FF2" w:rsidP="00AB3F9F">
      <w:pPr>
        <w:pStyle w:val="Sansinterligne"/>
      </w:pPr>
    </w:p>
    <w:p w:rsidR="00107583" w:rsidRDefault="00107583" w:rsidP="000739F4">
      <w:pPr>
        <w:pStyle w:val="Sansinterligne"/>
        <w:numPr>
          <w:ilvl w:val="0"/>
          <w:numId w:val="490"/>
        </w:numPr>
      </w:pPr>
      <w:r w:rsidRPr="00107583">
        <w:t>Suivre régulièrement (</w:t>
      </w:r>
      <w:r>
        <w:rPr>
          <w:rFonts w:cs="Times New Roman"/>
        </w:rPr>
        <w:t>~</w:t>
      </w:r>
      <w:r>
        <w:t xml:space="preserve"> </w:t>
      </w:r>
      <w:r w:rsidRPr="00107583">
        <w:t>q 1h ad 2</w:t>
      </w:r>
      <w:r w:rsidRPr="00107583">
        <w:rPr>
          <w:vertAlign w:val="superscript"/>
        </w:rPr>
        <w:t>e</w:t>
      </w:r>
      <w:r w:rsidRPr="00107583">
        <w:t xml:space="preserve"> stade</w:t>
      </w:r>
      <w:r>
        <w:t>, puis plus rapproché)</w:t>
      </w:r>
    </w:p>
    <w:p w:rsidR="00107583" w:rsidRDefault="00107583" w:rsidP="000739F4">
      <w:pPr>
        <w:pStyle w:val="Sansinterligne"/>
        <w:numPr>
          <w:ilvl w:val="1"/>
          <w:numId w:val="490"/>
        </w:numPr>
      </w:pPr>
      <w:r>
        <w:t>Rechercher la présence de complications pour agir rapidement</w:t>
      </w:r>
      <w:r w:rsidR="00B93A38" w:rsidRPr="00B93A38">
        <w:t xml:space="preserve"> </w:t>
      </w:r>
    </w:p>
    <w:p w:rsidR="00C72278" w:rsidRDefault="00C72278" w:rsidP="00C72278">
      <w:pPr>
        <w:pStyle w:val="Sansinterligne"/>
        <w:ind w:left="1080"/>
      </w:pPr>
    </w:p>
    <w:p w:rsidR="009B6227" w:rsidRDefault="00C72278" w:rsidP="00C72278">
      <w:pPr>
        <w:pStyle w:val="Sansinterligne"/>
        <w:ind w:left="708"/>
      </w:pPr>
      <w:r w:rsidRPr="00107583">
        <w:rPr>
          <w:u w:val="single"/>
        </w:rPr>
        <w:t>Si rupture prématurée des membranes (RPM)</w:t>
      </w:r>
      <w:r w:rsidR="009B6227">
        <w:t xml:space="preserve"> </w:t>
      </w:r>
    </w:p>
    <w:p w:rsidR="00C72278" w:rsidRDefault="00C72278" w:rsidP="009B6227">
      <w:pPr>
        <w:pStyle w:val="Sansinterligne"/>
        <w:numPr>
          <w:ilvl w:val="0"/>
          <w:numId w:val="489"/>
        </w:numPr>
      </w:pPr>
      <w:r>
        <w:rPr>
          <w:rFonts w:ascii="Century Gothic" w:hAnsi="Century Gothic"/>
        </w:rPr>
        <w:t>≥</w:t>
      </w:r>
      <w:r>
        <w:t xml:space="preserve"> 37 semaines</w:t>
      </w:r>
      <w:r w:rsidR="009B6227">
        <w:t> :</w:t>
      </w:r>
      <w:r>
        <w:t xml:space="preserve"> pas d’indication de retarder. </w:t>
      </w:r>
    </w:p>
    <w:p w:rsidR="00C72278" w:rsidRDefault="00C72278" w:rsidP="00C72278">
      <w:pPr>
        <w:pStyle w:val="Sansinterligne"/>
        <w:numPr>
          <w:ilvl w:val="1"/>
          <w:numId w:val="486"/>
        </w:numPr>
        <w:ind w:left="1788"/>
      </w:pPr>
      <w:r>
        <w:t>Déclencher le travail / induire</w:t>
      </w:r>
    </w:p>
    <w:p w:rsidR="009B6227" w:rsidRDefault="00C72278" w:rsidP="009B6227">
      <w:pPr>
        <w:pStyle w:val="Sansinterligne"/>
        <w:numPr>
          <w:ilvl w:val="1"/>
          <w:numId w:val="486"/>
        </w:numPr>
        <w:ind w:left="1788"/>
      </w:pPr>
      <w:r>
        <w:t>Éviter examens manuels non-gantés de façon stérile.</w:t>
      </w:r>
    </w:p>
    <w:p w:rsidR="00C72278" w:rsidRDefault="00C72278" w:rsidP="009B6227">
      <w:pPr>
        <w:pStyle w:val="Sansinterligne"/>
        <w:numPr>
          <w:ilvl w:val="1"/>
          <w:numId w:val="486"/>
        </w:numPr>
      </w:pPr>
      <w:r>
        <w:t>Si RPPM (</w:t>
      </w:r>
      <w:r w:rsidRPr="009B6227">
        <w:rPr>
          <w:rFonts w:ascii="Century Gothic" w:hAnsi="Century Gothic"/>
        </w:rPr>
        <w:t>&lt;</w:t>
      </w:r>
      <w:r>
        <w:t xml:space="preserve"> 37 semaines), voir </w:t>
      </w:r>
      <w:r w:rsidRPr="009B6227">
        <w:rPr>
          <w:i/>
        </w:rPr>
        <w:t>Travail prématuré CMC 82</w:t>
      </w:r>
    </w:p>
    <w:p w:rsidR="00C72278" w:rsidRDefault="00C72278" w:rsidP="00C72278">
      <w:pPr>
        <w:pStyle w:val="Sansinterligne"/>
      </w:pPr>
    </w:p>
    <w:p w:rsidR="00C72278" w:rsidRDefault="00C72278" w:rsidP="00400991">
      <w:pPr>
        <w:pStyle w:val="Sansinterligne"/>
        <w:ind w:left="708"/>
      </w:pPr>
      <w:r w:rsidRPr="00FC6ECB">
        <w:rPr>
          <w:highlight w:val="yellow"/>
          <w:u w:val="single"/>
        </w:rPr>
        <w:t>Si patiente connue porteu</w:t>
      </w:r>
      <w:r w:rsidR="00365834">
        <w:rPr>
          <w:highlight w:val="yellow"/>
          <w:u w:val="single"/>
        </w:rPr>
        <w:t xml:space="preserve">se du </w:t>
      </w:r>
      <w:r w:rsidRPr="00FC6ECB">
        <w:rPr>
          <w:highlight w:val="yellow"/>
          <w:u w:val="single"/>
        </w:rPr>
        <w:t>Streptocoque du groupe B</w:t>
      </w:r>
      <w:r>
        <w:t xml:space="preserve"> </w:t>
      </w:r>
    </w:p>
    <w:p w:rsidR="00C72278" w:rsidRPr="00FC6ECB" w:rsidRDefault="00C72278" w:rsidP="00400991">
      <w:pPr>
        <w:pStyle w:val="Sansinterligne"/>
        <w:numPr>
          <w:ilvl w:val="0"/>
          <w:numId w:val="488"/>
        </w:numPr>
        <w:ind w:left="1068"/>
        <w:rPr>
          <w:highlight w:val="yellow"/>
        </w:rPr>
      </w:pPr>
      <w:r w:rsidRPr="00FC6ECB">
        <w:rPr>
          <w:i/>
          <w:highlight w:val="yellow"/>
        </w:rPr>
        <w:t>Streptoccoccus agalactiae</w:t>
      </w:r>
    </w:p>
    <w:p w:rsidR="00D06FE1" w:rsidRPr="00FC6ECB" w:rsidRDefault="00C72278" w:rsidP="00D06FE1">
      <w:pPr>
        <w:pStyle w:val="Sansinterligne"/>
        <w:numPr>
          <w:ilvl w:val="0"/>
          <w:numId w:val="487"/>
        </w:numPr>
        <w:ind w:left="1068"/>
        <w:rPr>
          <w:highlight w:val="yellow"/>
        </w:rPr>
      </w:pPr>
      <w:r w:rsidRPr="00FC6ECB">
        <w:rPr>
          <w:highlight w:val="yellow"/>
        </w:rPr>
        <w:t>Pénicilline G 5 millions d’unités IV puis 2,5 millions d’unités q 4h</w:t>
      </w:r>
    </w:p>
    <w:p w:rsidR="00C72278" w:rsidRPr="00107583" w:rsidRDefault="00C72278" w:rsidP="00C72278">
      <w:pPr>
        <w:pStyle w:val="Sansinterligne"/>
        <w:ind w:left="360"/>
      </w:pPr>
    </w:p>
    <w:p w:rsidR="00107583" w:rsidRDefault="00107583" w:rsidP="00400991">
      <w:pPr>
        <w:pStyle w:val="Sansinterligne"/>
        <w:numPr>
          <w:ilvl w:val="0"/>
          <w:numId w:val="491"/>
        </w:numPr>
      </w:pPr>
      <w:r>
        <w:t>Accouchement comme tel</w:t>
      </w:r>
    </w:p>
    <w:p w:rsidR="00F7224E" w:rsidRPr="00D06FE1" w:rsidRDefault="00C72278" w:rsidP="00883ABD">
      <w:pPr>
        <w:pStyle w:val="Sansinterligne"/>
        <w:numPr>
          <w:ilvl w:val="0"/>
          <w:numId w:val="491"/>
        </w:numPr>
      </w:pPr>
      <w:r>
        <w:t>Dé</w:t>
      </w:r>
      <w:r w:rsidR="00D06FE1">
        <w:t>livrance du placenta (ad 30 min)</w:t>
      </w:r>
    </w:p>
    <w:p w:rsidR="00F7224E" w:rsidRDefault="00F7224E" w:rsidP="00883ABD">
      <w:pPr>
        <w:pStyle w:val="Sansinterligne"/>
        <w:rPr>
          <w:b/>
          <w:sz w:val="28"/>
          <w:szCs w:val="28"/>
        </w:rPr>
      </w:pPr>
    </w:p>
    <w:p w:rsidR="00D74985" w:rsidRPr="00C2701A" w:rsidRDefault="004D12B2" w:rsidP="00883ABD">
      <w:pPr>
        <w:pStyle w:val="Sansinterligne"/>
        <w:rPr>
          <w:b/>
          <w:sz w:val="28"/>
          <w:szCs w:val="28"/>
        </w:rPr>
      </w:pPr>
      <w:r w:rsidRPr="00C2701A">
        <w:rPr>
          <w:b/>
          <w:sz w:val="28"/>
          <w:szCs w:val="28"/>
        </w:rPr>
        <w:t>Complications du travail</w:t>
      </w:r>
      <w:r w:rsidR="00C74CDB">
        <w:rPr>
          <w:b/>
          <w:sz w:val="28"/>
          <w:szCs w:val="28"/>
        </w:rPr>
        <w:t xml:space="preserve"> </w:t>
      </w:r>
      <w:r w:rsidR="00C74CDB" w:rsidRPr="00C74CDB">
        <w:rPr>
          <w:b/>
          <w:sz w:val="28"/>
          <w:szCs w:val="28"/>
        </w:rPr>
        <w:t>(référence en gyn</w:t>
      </w:r>
      <w:r w:rsidR="00C74CDB">
        <w:rPr>
          <w:b/>
          <w:sz w:val="28"/>
          <w:szCs w:val="28"/>
        </w:rPr>
        <w:t>écologie</w:t>
      </w:r>
      <w:r w:rsidR="00C74CDB" w:rsidRPr="00C74CDB">
        <w:rPr>
          <w:b/>
          <w:sz w:val="28"/>
          <w:szCs w:val="28"/>
        </w:rPr>
        <w:t>-obs</w:t>
      </w:r>
      <w:r w:rsidR="00C74CDB">
        <w:rPr>
          <w:b/>
          <w:sz w:val="28"/>
          <w:szCs w:val="28"/>
        </w:rPr>
        <w:t>tétrique</w:t>
      </w:r>
      <w:r w:rsidR="00C74CDB" w:rsidRPr="00C74CDB">
        <w:rPr>
          <w:b/>
          <w:sz w:val="28"/>
          <w:szCs w:val="28"/>
        </w:rPr>
        <w:t>)</w:t>
      </w:r>
    </w:p>
    <w:p w:rsidR="00C2701A" w:rsidRDefault="00C2701A" w:rsidP="00883ABD">
      <w:pPr>
        <w:pStyle w:val="Sansinterligne"/>
      </w:pPr>
    </w:p>
    <w:tbl>
      <w:tblPr>
        <w:tblStyle w:val="Grilledutableau"/>
        <w:tblW w:w="0" w:type="auto"/>
        <w:tblLook w:val="04A0" w:firstRow="1" w:lastRow="0" w:firstColumn="1" w:lastColumn="0" w:noHBand="0" w:noVBand="1"/>
      </w:tblPr>
      <w:tblGrid>
        <w:gridCol w:w="2943"/>
        <w:gridCol w:w="4536"/>
        <w:gridCol w:w="3537"/>
      </w:tblGrid>
      <w:tr w:rsidR="00114E3E" w:rsidTr="002479F6">
        <w:tc>
          <w:tcPr>
            <w:tcW w:w="2943" w:type="dxa"/>
            <w:shd w:val="clear" w:color="auto" w:fill="D99594" w:themeFill="accent2" w:themeFillTint="99"/>
          </w:tcPr>
          <w:p w:rsidR="00114E3E" w:rsidRPr="00F14F1D" w:rsidRDefault="00114E3E" w:rsidP="00F14F1D">
            <w:pPr>
              <w:pStyle w:val="Sansinterligne"/>
              <w:jc w:val="center"/>
              <w:rPr>
                <w:b/>
              </w:rPr>
            </w:pPr>
            <w:r w:rsidRPr="00F14F1D">
              <w:rPr>
                <w:b/>
              </w:rPr>
              <w:t>Complication (diagnostic)</w:t>
            </w:r>
          </w:p>
        </w:tc>
        <w:tc>
          <w:tcPr>
            <w:tcW w:w="4536" w:type="dxa"/>
            <w:shd w:val="clear" w:color="auto" w:fill="D99594" w:themeFill="accent2" w:themeFillTint="99"/>
          </w:tcPr>
          <w:p w:rsidR="00114E3E" w:rsidRPr="00F14F1D" w:rsidRDefault="00114E3E" w:rsidP="009363CD">
            <w:pPr>
              <w:pStyle w:val="Sansinterligne"/>
              <w:jc w:val="center"/>
              <w:rPr>
                <w:b/>
              </w:rPr>
            </w:pPr>
            <w:r w:rsidRPr="00F14F1D">
              <w:rPr>
                <w:b/>
              </w:rPr>
              <w:t xml:space="preserve">Manifestations cliniques </w:t>
            </w:r>
          </w:p>
        </w:tc>
        <w:tc>
          <w:tcPr>
            <w:tcW w:w="3537" w:type="dxa"/>
            <w:shd w:val="clear" w:color="auto" w:fill="D99594" w:themeFill="accent2" w:themeFillTint="99"/>
          </w:tcPr>
          <w:p w:rsidR="00114E3E" w:rsidRPr="00F14F1D" w:rsidRDefault="00114E3E" w:rsidP="00F14F1D">
            <w:pPr>
              <w:pStyle w:val="Sansinterligne"/>
              <w:jc w:val="center"/>
              <w:rPr>
                <w:b/>
              </w:rPr>
            </w:pPr>
            <w:r w:rsidRPr="00F14F1D">
              <w:rPr>
                <w:b/>
              </w:rPr>
              <w:t>Traitement</w:t>
            </w:r>
          </w:p>
        </w:tc>
      </w:tr>
      <w:tr w:rsidR="00114E3E" w:rsidTr="00CC3632">
        <w:tc>
          <w:tcPr>
            <w:tcW w:w="2943" w:type="dxa"/>
          </w:tcPr>
          <w:p w:rsidR="00114E3E" w:rsidRDefault="00114E3E" w:rsidP="00883ABD">
            <w:pPr>
              <w:pStyle w:val="Sansinterligne"/>
            </w:pPr>
            <w:r>
              <w:t>Liquide amniotique méconial</w:t>
            </w:r>
          </w:p>
        </w:tc>
        <w:tc>
          <w:tcPr>
            <w:tcW w:w="4536" w:type="dxa"/>
          </w:tcPr>
          <w:p w:rsidR="00812A86" w:rsidRDefault="00B9064E" w:rsidP="005E5A2E">
            <w:pPr>
              <w:pStyle w:val="Sansinterligne"/>
              <w:numPr>
                <w:ilvl w:val="0"/>
                <w:numId w:val="468"/>
              </w:numPr>
            </w:pPr>
            <w:r>
              <w:t>Liquide amniotique jaune, vert ou foncé</w:t>
            </w:r>
          </w:p>
        </w:tc>
        <w:tc>
          <w:tcPr>
            <w:tcW w:w="3537" w:type="dxa"/>
          </w:tcPr>
          <w:p w:rsidR="00114E3E" w:rsidRPr="00127411" w:rsidRDefault="00B9064E" w:rsidP="005E5A2E">
            <w:pPr>
              <w:pStyle w:val="Sansinterligne"/>
              <w:numPr>
                <w:ilvl w:val="0"/>
                <w:numId w:val="467"/>
              </w:numPr>
              <w:rPr>
                <w:highlight w:val="yellow"/>
              </w:rPr>
            </w:pPr>
            <w:r w:rsidRPr="00127411">
              <w:rPr>
                <w:highlight w:val="yellow"/>
              </w:rPr>
              <w:t>Appeler inhalothérapeute, néonatalogiste/pédiatre en salle d’accouchement</w:t>
            </w:r>
          </w:p>
          <w:p w:rsidR="00B9064E" w:rsidRDefault="00B9064E" w:rsidP="005E5A2E">
            <w:pPr>
              <w:pStyle w:val="Sansinterligne"/>
              <w:numPr>
                <w:ilvl w:val="0"/>
                <w:numId w:val="467"/>
              </w:numPr>
            </w:pPr>
            <w:r>
              <w:t>Succion buccale du bébé</w:t>
            </w:r>
          </w:p>
          <w:p w:rsidR="00B9064E" w:rsidRDefault="00B9064E" w:rsidP="005E5A2E">
            <w:pPr>
              <w:pStyle w:val="Sansinterligne"/>
              <w:numPr>
                <w:ilvl w:val="0"/>
                <w:numId w:val="467"/>
              </w:numPr>
            </w:pPr>
            <w:r>
              <w:t>Surveillance fœtale active</w:t>
            </w:r>
          </w:p>
          <w:p w:rsidR="00B9064E" w:rsidRDefault="00B9064E" w:rsidP="005E5A2E">
            <w:pPr>
              <w:pStyle w:val="Sansinterligne"/>
              <w:numPr>
                <w:ilvl w:val="0"/>
                <w:numId w:val="467"/>
              </w:numPr>
            </w:pPr>
            <w:r>
              <w:t>Amnioinfusion à considérer</w:t>
            </w:r>
          </w:p>
        </w:tc>
      </w:tr>
      <w:tr w:rsidR="00114E3E" w:rsidTr="00C15C1D">
        <w:tc>
          <w:tcPr>
            <w:tcW w:w="2943" w:type="dxa"/>
            <w:shd w:val="clear" w:color="auto" w:fill="FFFF00"/>
          </w:tcPr>
          <w:p w:rsidR="00114E3E" w:rsidRPr="00E309A0" w:rsidRDefault="00114E3E" w:rsidP="00883ABD">
            <w:pPr>
              <w:pStyle w:val="Sansinterligne"/>
              <w:rPr>
                <w:highlight w:val="yellow"/>
              </w:rPr>
            </w:pPr>
            <w:r w:rsidRPr="00E309A0">
              <w:rPr>
                <w:highlight w:val="yellow"/>
              </w:rPr>
              <w:t>Dystocie du travail</w:t>
            </w:r>
          </w:p>
        </w:tc>
        <w:tc>
          <w:tcPr>
            <w:tcW w:w="4536" w:type="dxa"/>
            <w:shd w:val="clear" w:color="auto" w:fill="FFFF00"/>
          </w:tcPr>
          <w:p w:rsidR="00206119" w:rsidRPr="00E309A0" w:rsidRDefault="00206119" w:rsidP="005E5A2E">
            <w:pPr>
              <w:pStyle w:val="Sansinterligne"/>
              <w:numPr>
                <w:ilvl w:val="0"/>
                <w:numId w:val="462"/>
              </w:numPr>
              <w:rPr>
                <w:rFonts w:cs="Times New Roman"/>
                <w:highlight w:val="yellow"/>
              </w:rPr>
            </w:pPr>
            <w:r w:rsidRPr="00E309A0">
              <w:rPr>
                <w:highlight w:val="yellow"/>
              </w:rPr>
              <w:t xml:space="preserve">Contractions adéquates sans descente/dilatation depuis </w:t>
            </w:r>
            <w:r w:rsidRPr="00E309A0">
              <w:rPr>
                <w:rFonts w:ascii="Century Gothic" w:hAnsi="Century Gothic"/>
                <w:highlight w:val="yellow"/>
              </w:rPr>
              <w:t>≥</w:t>
            </w:r>
            <w:r w:rsidRPr="00E309A0">
              <w:rPr>
                <w:highlight w:val="yellow"/>
              </w:rPr>
              <w:t xml:space="preserve"> 2h (mesure pression par cathéter IU)</w:t>
            </w:r>
          </w:p>
          <w:p w:rsidR="00812A86" w:rsidRPr="00E309A0" w:rsidRDefault="00812A86" w:rsidP="00206119">
            <w:pPr>
              <w:pStyle w:val="Sansinterligne"/>
              <w:rPr>
                <w:rFonts w:cs="Times New Roman"/>
                <w:highlight w:val="yellow"/>
              </w:rPr>
            </w:pPr>
            <w:r w:rsidRPr="00E309A0">
              <w:rPr>
                <w:rFonts w:cs="Times New Roman"/>
                <w:highlight w:val="yellow"/>
                <w:u w:val="single"/>
              </w:rPr>
              <w:t>Phase active (1</w:t>
            </w:r>
            <w:r w:rsidRPr="00E309A0">
              <w:rPr>
                <w:rFonts w:cs="Times New Roman"/>
                <w:highlight w:val="yellow"/>
                <w:u w:val="single"/>
                <w:vertAlign w:val="superscript"/>
              </w:rPr>
              <w:t>er</w:t>
            </w:r>
            <w:r w:rsidRPr="00E309A0">
              <w:rPr>
                <w:rFonts w:cs="Times New Roman"/>
                <w:highlight w:val="yellow"/>
                <w:u w:val="single"/>
              </w:rPr>
              <w:t xml:space="preserve"> stade)</w:t>
            </w:r>
            <w:r w:rsidRPr="00E309A0">
              <w:rPr>
                <w:rFonts w:cs="Times New Roman"/>
                <w:highlight w:val="yellow"/>
              </w:rPr>
              <w:t> :</w:t>
            </w:r>
          </w:p>
          <w:p w:rsidR="00812A86" w:rsidRPr="00E309A0" w:rsidRDefault="00605B07" w:rsidP="005E5A2E">
            <w:pPr>
              <w:pStyle w:val="Sansinterligne"/>
              <w:numPr>
                <w:ilvl w:val="0"/>
                <w:numId w:val="459"/>
              </w:numPr>
              <w:rPr>
                <w:rFonts w:cs="Times New Roman"/>
                <w:highlight w:val="yellow"/>
              </w:rPr>
            </w:pPr>
            <w:r w:rsidRPr="00E309A0">
              <w:rPr>
                <w:rFonts w:ascii="Century Gothic" w:hAnsi="Century Gothic" w:cs="Times New Roman"/>
                <w:highlight w:val="yellow"/>
              </w:rPr>
              <w:t>&gt;</w:t>
            </w:r>
            <w:r w:rsidR="00812A86" w:rsidRPr="00E309A0">
              <w:rPr>
                <w:rFonts w:cs="Times New Roman"/>
                <w:highlight w:val="yellow"/>
              </w:rPr>
              <w:t>4h et dilatation &lt; 0,5 cm/h</w:t>
            </w:r>
          </w:p>
          <w:p w:rsidR="00812A86" w:rsidRPr="00E309A0" w:rsidRDefault="00812A86" w:rsidP="00883ABD">
            <w:pPr>
              <w:pStyle w:val="Sansinterligne"/>
              <w:rPr>
                <w:rFonts w:cs="Times New Roman"/>
                <w:highlight w:val="yellow"/>
              </w:rPr>
            </w:pPr>
            <w:r w:rsidRPr="00E309A0">
              <w:rPr>
                <w:rFonts w:cs="Times New Roman"/>
                <w:highlight w:val="yellow"/>
                <w:u w:val="single"/>
              </w:rPr>
              <w:t>2</w:t>
            </w:r>
            <w:r w:rsidRPr="00E309A0">
              <w:rPr>
                <w:rFonts w:cs="Times New Roman"/>
                <w:highlight w:val="yellow"/>
                <w:u w:val="single"/>
                <w:vertAlign w:val="superscript"/>
              </w:rPr>
              <w:t>e</w:t>
            </w:r>
            <w:r w:rsidRPr="00E309A0">
              <w:rPr>
                <w:rFonts w:cs="Times New Roman"/>
                <w:highlight w:val="yellow"/>
                <w:u w:val="single"/>
              </w:rPr>
              <w:t xml:space="preserve"> stade</w:t>
            </w:r>
            <w:r w:rsidRPr="00E309A0">
              <w:rPr>
                <w:rFonts w:cs="Times New Roman"/>
                <w:highlight w:val="yellow"/>
              </w:rPr>
              <w:t> :</w:t>
            </w:r>
          </w:p>
          <w:p w:rsidR="00812A86" w:rsidRPr="00E309A0" w:rsidRDefault="00605B07" w:rsidP="005E5A2E">
            <w:pPr>
              <w:pStyle w:val="Sansinterligne"/>
              <w:numPr>
                <w:ilvl w:val="0"/>
                <w:numId w:val="459"/>
              </w:numPr>
              <w:rPr>
                <w:rFonts w:cs="Times New Roman"/>
                <w:highlight w:val="yellow"/>
              </w:rPr>
            </w:pPr>
            <w:r w:rsidRPr="00E309A0">
              <w:rPr>
                <w:rFonts w:ascii="Century Gothic" w:hAnsi="Century Gothic" w:cs="Times New Roman"/>
                <w:highlight w:val="yellow"/>
              </w:rPr>
              <w:t>&gt;</w:t>
            </w:r>
            <w:r w:rsidR="00812A86" w:rsidRPr="00E309A0">
              <w:rPr>
                <w:rFonts w:cs="Times New Roman"/>
                <w:highlight w:val="yellow"/>
              </w:rPr>
              <w:t>1h sans descente avec poussées actives</w:t>
            </w:r>
          </w:p>
        </w:tc>
        <w:tc>
          <w:tcPr>
            <w:tcW w:w="3537" w:type="dxa"/>
            <w:shd w:val="clear" w:color="auto" w:fill="FFFF00"/>
          </w:tcPr>
          <w:p w:rsidR="00114E3E" w:rsidRPr="00E309A0" w:rsidRDefault="00206119" w:rsidP="005E5A2E">
            <w:pPr>
              <w:pStyle w:val="Sansinterligne"/>
              <w:numPr>
                <w:ilvl w:val="0"/>
                <w:numId w:val="464"/>
              </w:numPr>
              <w:ind w:left="360"/>
              <w:rPr>
                <w:highlight w:val="yellow"/>
              </w:rPr>
            </w:pPr>
            <w:r w:rsidRPr="00E309A0">
              <w:rPr>
                <w:highlight w:val="yellow"/>
              </w:rPr>
              <w:t>Éliminer faux travail</w:t>
            </w:r>
          </w:p>
          <w:p w:rsidR="00206119" w:rsidRPr="00E309A0" w:rsidRDefault="00206119" w:rsidP="005E5A2E">
            <w:pPr>
              <w:pStyle w:val="Sansinterligne"/>
              <w:numPr>
                <w:ilvl w:val="0"/>
                <w:numId w:val="464"/>
              </w:numPr>
              <w:ind w:left="360"/>
              <w:rPr>
                <w:highlight w:val="yellow"/>
              </w:rPr>
            </w:pPr>
            <w:r w:rsidRPr="00E309A0">
              <w:rPr>
                <w:highlight w:val="yellow"/>
              </w:rPr>
              <w:t>Vérifier proportions pelviennes</w:t>
            </w:r>
          </w:p>
          <w:p w:rsidR="00206119" w:rsidRPr="00E309A0" w:rsidRDefault="00206119" w:rsidP="00206119">
            <w:pPr>
              <w:pStyle w:val="Sansinterligne"/>
              <w:rPr>
                <w:highlight w:val="yellow"/>
              </w:rPr>
            </w:pPr>
          </w:p>
          <w:p w:rsidR="00206119" w:rsidRPr="00E309A0" w:rsidRDefault="00206119" w:rsidP="005E5A2E">
            <w:pPr>
              <w:pStyle w:val="Sansinterligne"/>
              <w:numPr>
                <w:ilvl w:val="0"/>
                <w:numId w:val="464"/>
              </w:numPr>
              <w:ind w:left="360"/>
              <w:rPr>
                <w:highlight w:val="yellow"/>
              </w:rPr>
            </w:pPr>
            <w:r w:rsidRPr="00E309A0">
              <w:rPr>
                <w:highlight w:val="yellow"/>
              </w:rPr>
              <w:t xml:space="preserve">Si </w:t>
            </w:r>
            <w:r w:rsidRPr="00E309A0">
              <w:rPr>
                <w:rFonts w:cs="Times New Roman"/>
                <w:highlight w:val="yellow"/>
              </w:rPr>
              <w:t>Ø</w:t>
            </w:r>
            <w:r w:rsidRPr="00E309A0">
              <w:rPr>
                <w:highlight w:val="yellow"/>
              </w:rPr>
              <w:t xml:space="preserve"> anomalie pelvienne </w:t>
            </w:r>
            <w:r w:rsidRPr="00E309A0">
              <w:rPr>
                <w:rFonts w:ascii="Century Gothic" w:hAnsi="Century Gothic"/>
                <w:highlight w:val="yellow"/>
              </w:rPr>
              <w:t>→</w:t>
            </w:r>
          </w:p>
          <w:p w:rsidR="00206119" w:rsidRPr="00E309A0" w:rsidRDefault="00206119" w:rsidP="005E5A2E">
            <w:pPr>
              <w:pStyle w:val="Sansinterligne"/>
              <w:numPr>
                <w:ilvl w:val="0"/>
                <w:numId w:val="463"/>
              </w:numPr>
              <w:rPr>
                <w:highlight w:val="yellow"/>
              </w:rPr>
            </w:pPr>
            <w:r w:rsidRPr="00E309A0">
              <w:rPr>
                <w:rFonts w:ascii="Century Gothic" w:hAnsi="Century Gothic"/>
                <w:highlight w:val="yellow"/>
              </w:rPr>
              <w:t>↑</w:t>
            </w:r>
            <w:r w:rsidRPr="00E309A0">
              <w:rPr>
                <w:highlight w:val="yellow"/>
              </w:rPr>
              <w:t xml:space="preserve"> ocytocine </w:t>
            </w:r>
            <w:r w:rsidRPr="00E309A0">
              <w:rPr>
                <w:rFonts w:cs="Times New Roman"/>
                <w:highlight w:val="yellow"/>
              </w:rPr>
              <w:t>±</w:t>
            </w:r>
            <w:r w:rsidRPr="00E309A0">
              <w:rPr>
                <w:highlight w:val="yellow"/>
              </w:rPr>
              <w:t xml:space="preserve"> amniotomie</w:t>
            </w:r>
          </w:p>
        </w:tc>
      </w:tr>
      <w:tr w:rsidR="00114E3E" w:rsidTr="00C15C1D">
        <w:tc>
          <w:tcPr>
            <w:tcW w:w="2943" w:type="dxa"/>
            <w:shd w:val="clear" w:color="auto" w:fill="FFFF00"/>
          </w:tcPr>
          <w:p w:rsidR="00114E3E" w:rsidRDefault="00114E3E" w:rsidP="00883ABD">
            <w:pPr>
              <w:pStyle w:val="Sansinterligne"/>
            </w:pPr>
            <w:r>
              <w:t>Dystocie des épaules</w:t>
            </w:r>
          </w:p>
        </w:tc>
        <w:tc>
          <w:tcPr>
            <w:tcW w:w="4536" w:type="dxa"/>
            <w:shd w:val="clear" w:color="auto" w:fill="FFFF00"/>
          </w:tcPr>
          <w:p w:rsidR="00114E3E" w:rsidRDefault="00C15C1D" w:rsidP="005E5A2E">
            <w:pPr>
              <w:pStyle w:val="Sansinterligne"/>
              <w:numPr>
                <w:ilvl w:val="0"/>
                <w:numId w:val="465"/>
              </w:numPr>
            </w:pPr>
            <w:r>
              <w:t>Signe de la tortue : tête sortie mais se rétracte</w:t>
            </w:r>
          </w:p>
        </w:tc>
        <w:tc>
          <w:tcPr>
            <w:tcW w:w="3537" w:type="dxa"/>
            <w:shd w:val="clear" w:color="auto" w:fill="FFFF00"/>
          </w:tcPr>
          <w:p w:rsidR="00114E3E" w:rsidRDefault="00C15C1D" w:rsidP="005E5A2E">
            <w:pPr>
              <w:pStyle w:val="Sansinterligne"/>
              <w:numPr>
                <w:ilvl w:val="0"/>
                <w:numId w:val="466"/>
              </w:numPr>
            </w:pPr>
            <w:r>
              <w:t>Dégager l’épaule antérieure de la symphyse pubienne</w:t>
            </w:r>
          </w:p>
        </w:tc>
      </w:tr>
      <w:tr w:rsidR="00114E3E" w:rsidTr="00BF13EA">
        <w:tc>
          <w:tcPr>
            <w:tcW w:w="2943" w:type="dxa"/>
            <w:shd w:val="clear" w:color="auto" w:fill="FFFF00"/>
          </w:tcPr>
          <w:p w:rsidR="00114E3E" w:rsidRDefault="00114E3E" w:rsidP="00883ABD">
            <w:pPr>
              <w:pStyle w:val="Sansinterligne"/>
            </w:pPr>
            <w:r>
              <w:t>Prolapsus du cordon ombilical</w:t>
            </w:r>
          </w:p>
        </w:tc>
        <w:tc>
          <w:tcPr>
            <w:tcW w:w="4536" w:type="dxa"/>
            <w:shd w:val="clear" w:color="auto" w:fill="FFFF00"/>
          </w:tcPr>
          <w:p w:rsidR="00114E3E" w:rsidRDefault="007B653B" w:rsidP="005E5A2E">
            <w:pPr>
              <w:pStyle w:val="Sansinterligne"/>
              <w:numPr>
                <w:ilvl w:val="0"/>
                <w:numId w:val="470"/>
              </w:numPr>
            </w:pPr>
            <w:r>
              <w:t>Cordon visible ou palpable sous la tête fœtale</w:t>
            </w:r>
          </w:p>
          <w:p w:rsidR="007B653B" w:rsidRDefault="007B653B" w:rsidP="005E5A2E">
            <w:pPr>
              <w:pStyle w:val="Sansinterligne"/>
              <w:numPr>
                <w:ilvl w:val="0"/>
                <w:numId w:val="470"/>
              </w:numPr>
            </w:pPr>
            <w:r>
              <w:t>Bradycardie fœtale</w:t>
            </w:r>
          </w:p>
          <w:p w:rsidR="007B653B" w:rsidRDefault="007B653B" w:rsidP="005E5A2E">
            <w:pPr>
              <w:pStyle w:val="Sansinterligne"/>
              <w:numPr>
                <w:ilvl w:val="0"/>
                <w:numId w:val="470"/>
              </w:numPr>
            </w:pPr>
            <w:r>
              <w:t>Décélérations cardiaques variables</w:t>
            </w:r>
          </w:p>
        </w:tc>
        <w:tc>
          <w:tcPr>
            <w:tcW w:w="3537" w:type="dxa"/>
            <w:shd w:val="clear" w:color="auto" w:fill="FFFF00"/>
          </w:tcPr>
          <w:p w:rsidR="007B653B" w:rsidRDefault="007B653B" w:rsidP="005E5A2E">
            <w:pPr>
              <w:pStyle w:val="Sansinterligne"/>
              <w:numPr>
                <w:ilvl w:val="0"/>
                <w:numId w:val="469"/>
              </w:numPr>
            </w:pPr>
            <w:r>
              <w:t xml:space="preserve">Placer doigts intra-vaginaux pour prévenir descente </w:t>
            </w:r>
          </w:p>
          <w:p w:rsidR="00114E3E" w:rsidRDefault="007B653B" w:rsidP="005E5A2E">
            <w:pPr>
              <w:pStyle w:val="Sansinterligne"/>
              <w:numPr>
                <w:ilvl w:val="0"/>
                <w:numId w:val="469"/>
              </w:numPr>
            </w:pPr>
            <w:r>
              <w:t>Césarienne d’urgence</w:t>
            </w:r>
          </w:p>
          <w:p w:rsidR="007B653B" w:rsidRDefault="007B653B" w:rsidP="005E5A2E">
            <w:pPr>
              <w:pStyle w:val="Sansinterligne"/>
              <w:numPr>
                <w:ilvl w:val="0"/>
                <w:numId w:val="469"/>
              </w:numPr>
            </w:pPr>
            <w:r>
              <w:t>O</w:t>
            </w:r>
            <w:r w:rsidRPr="00365834">
              <w:rPr>
                <w:vertAlign w:val="subscript"/>
              </w:rPr>
              <w:t>2</w:t>
            </w:r>
            <w:r>
              <w:t xml:space="preserve"> à la mère </w:t>
            </w:r>
          </w:p>
          <w:p w:rsidR="007B653B" w:rsidRDefault="007B653B" w:rsidP="005E5A2E">
            <w:pPr>
              <w:pStyle w:val="Sansinterligne"/>
              <w:numPr>
                <w:ilvl w:val="0"/>
                <w:numId w:val="469"/>
              </w:numPr>
            </w:pPr>
            <w:r>
              <w:t>Surveillance du cœur fœtal</w:t>
            </w:r>
          </w:p>
        </w:tc>
      </w:tr>
      <w:tr w:rsidR="00114E3E" w:rsidTr="00CC3632">
        <w:tc>
          <w:tcPr>
            <w:tcW w:w="2943" w:type="dxa"/>
          </w:tcPr>
          <w:p w:rsidR="00114E3E" w:rsidRDefault="00114E3E" w:rsidP="00883ABD">
            <w:pPr>
              <w:pStyle w:val="Sansinterligne"/>
            </w:pPr>
            <w:r>
              <w:t>Rupture utérine</w:t>
            </w:r>
          </w:p>
        </w:tc>
        <w:tc>
          <w:tcPr>
            <w:tcW w:w="4536" w:type="dxa"/>
          </w:tcPr>
          <w:p w:rsidR="00114E3E" w:rsidRDefault="00BF13EA" w:rsidP="005E5A2E">
            <w:pPr>
              <w:pStyle w:val="Sansinterligne"/>
              <w:numPr>
                <w:ilvl w:val="0"/>
                <w:numId w:val="472"/>
              </w:numPr>
            </w:pPr>
            <w:r>
              <w:t>Bradycardie fœtale prolongée</w:t>
            </w:r>
          </w:p>
          <w:p w:rsidR="00BF13EA" w:rsidRDefault="00BF13EA" w:rsidP="005E5A2E">
            <w:pPr>
              <w:pStyle w:val="Sansinterligne"/>
              <w:numPr>
                <w:ilvl w:val="0"/>
                <w:numId w:val="472"/>
              </w:numPr>
            </w:pPr>
            <w:r>
              <w:t>Douleur abdominale aigue</w:t>
            </w:r>
          </w:p>
          <w:p w:rsidR="00BF13EA" w:rsidRDefault="00BF13EA" w:rsidP="005E5A2E">
            <w:pPr>
              <w:pStyle w:val="Sansinterligne"/>
              <w:numPr>
                <w:ilvl w:val="0"/>
                <w:numId w:val="472"/>
              </w:numPr>
            </w:pPr>
            <w:r>
              <w:t>Contractions utérines hypo/hypertonique</w:t>
            </w:r>
          </w:p>
          <w:p w:rsidR="00BF13EA" w:rsidRDefault="00BF13EA" w:rsidP="005E5A2E">
            <w:pPr>
              <w:pStyle w:val="Sansinterligne"/>
              <w:numPr>
                <w:ilvl w:val="0"/>
                <w:numId w:val="472"/>
              </w:numPr>
            </w:pPr>
            <w:r>
              <w:t>Saignement vaginal</w:t>
            </w:r>
          </w:p>
        </w:tc>
        <w:tc>
          <w:tcPr>
            <w:tcW w:w="3537" w:type="dxa"/>
          </w:tcPr>
          <w:p w:rsidR="00114E3E" w:rsidRDefault="00BF13EA" w:rsidP="005E5A2E">
            <w:pPr>
              <w:pStyle w:val="Sansinterligne"/>
              <w:numPr>
                <w:ilvl w:val="0"/>
                <w:numId w:val="471"/>
              </w:numPr>
            </w:pPr>
            <w:r>
              <w:t>Éliminer décollement placentaire</w:t>
            </w:r>
          </w:p>
          <w:p w:rsidR="00BF13EA" w:rsidRDefault="00BF13EA" w:rsidP="005E5A2E">
            <w:pPr>
              <w:pStyle w:val="Sansinterligne"/>
              <w:numPr>
                <w:ilvl w:val="0"/>
                <w:numId w:val="471"/>
              </w:numPr>
            </w:pPr>
            <w:r>
              <w:t>Accouchement immédiat</w:t>
            </w:r>
          </w:p>
          <w:p w:rsidR="00BF13EA" w:rsidRDefault="00BF13EA" w:rsidP="005E5A2E">
            <w:pPr>
              <w:pStyle w:val="Sansinterligne"/>
              <w:numPr>
                <w:ilvl w:val="0"/>
                <w:numId w:val="471"/>
              </w:numPr>
            </w:pPr>
            <w:r>
              <w:t xml:space="preserve">Stabilisation maternelle </w:t>
            </w:r>
            <w:r>
              <w:rPr>
                <w:rFonts w:cs="Times New Roman"/>
              </w:rPr>
              <w:t>±</w:t>
            </w:r>
            <w:r>
              <w:t xml:space="preserve"> hystérectomie</w:t>
            </w:r>
          </w:p>
        </w:tc>
      </w:tr>
      <w:tr w:rsidR="00114E3E" w:rsidTr="00CC3632">
        <w:tc>
          <w:tcPr>
            <w:tcW w:w="2943" w:type="dxa"/>
          </w:tcPr>
          <w:p w:rsidR="00114E3E" w:rsidRDefault="00114E3E" w:rsidP="00883ABD">
            <w:pPr>
              <w:pStyle w:val="Sansinterligne"/>
            </w:pPr>
            <w:r>
              <w:t>Embolie de liquide amniotique</w:t>
            </w:r>
          </w:p>
        </w:tc>
        <w:tc>
          <w:tcPr>
            <w:tcW w:w="4536" w:type="dxa"/>
          </w:tcPr>
          <w:p w:rsidR="00114E3E" w:rsidRDefault="001E1A5D" w:rsidP="005E5A2E">
            <w:pPr>
              <w:pStyle w:val="Sansinterligne"/>
              <w:numPr>
                <w:ilvl w:val="0"/>
                <w:numId w:val="473"/>
              </w:numPr>
            </w:pPr>
            <w:r>
              <w:t>Rare !!</w:t>
            </w:r>
            <w:r w:rsidR="006C69DE">
              <w:t>!</w:t>
            </w:r>
          </w:p>
          <w:p w:rsidR="001E1A5D" w:rsidRDefault="001E1A5D" w:rsidP="005E5A2E">
            <w:pPr>
              <w:pStyle w:val="Sansinterligne"/>
              <w:numPr>
                <w:ilvl w:val="0"/>
                <w:numId w:val="473"/>
              </w:numPr>
            </w:pPr>
            <w:r>
              <w:t>Détresse respiratoire subite</w:t>
            </w:r>
          </w:p>
          <w:p w:rsidR="001E1A5D" w:rsidRDefault="001E1A5D" w:rsidP="005E5A2E">
            <w:pPr>
              <w:pStyle w:val="Sansinterligne"/>
              <w:numPr>
                <w:ilvl w:val="0"/>
                <w:numId w:val="473"/>
              </w:numPr>
            </w:pPr>
            <w:r>
              <w:t>Hypotension artérielle</w:t>
            </w:r>
          </w:p>
          <w:p w:rsidR="001E1A5D" w:rsidRDefault="001E1A5D" w:rsidP="005E5A2E">
            <w:pPr>
              <w:pStyle w:val="Sansinterligne"/>
              <w:numPr>
                <w:ilvl w:val="0"/>
                <w:numId w:val="473"/>
              </w:numPr>
            </w:pPr>
            <w:r>
              <w:t>Convulsions (10%)</w:t>
            </w:r>
          </w:p>
        </w:tc>
        <w:tc>
          <w:tcPr>
            <w:tcW w:w="3537" w:type="dxa"/>
          </w:tcPr>
          <w:p w:rsidR="001E1A5D" w:rsidRDefault="001E1A5D" w:rsidP="005E5A2E">
            <w:pPr>
              <w:pStyle w:val="Sansinterligne"/>
              <w:numPr>
                <w:ilvl w:val="0"/>
                <w:numId w:val="474"/>
              </w:numPr>
            </w:pPr>
            <w:r>
              <w:t>Support ventilatoire + O</w:t>
            </w:r>
            <w:r w:rsidRPr="001E1A5D">
              <w:rPr>
                <w:vertAlign w:val="subscript"/>
              </w:rPr>
              <w:t>2</w:t>
            </w:r>
          </w:p>
          <w:p w:rsidR="001E1A5D" w:rsidRDefault="001E1A5D" w:rsidP="005E5A2E">
            <w:pPr>
              <w:pStyle w:val="Sansinterligne"/>
              <w:numPr>
                <w:ilvl w:val="0"/>
                <w:numId w:val="474"/>
              </w:numPr>
            </w:pPr>
            <w:r>
              <w:t xml:space="preserve">Réanimation volémique </w:t>
            </w:r>
            <w:r>
              <w:rPr>
                <w:rFonts w:cs="Times New Roman"/>
              </w:rPr>
              <w:t>±</w:t>
            </w:r>
            <w:r>
              <w:t xml:space="preserve"> amines vasoactives</w:t>
            </w:r>
          </w:p>
          <w:p w:rsidR="001E1A5D" w:rsidRDefault="001E1A5D" w:rsidP="005E5A2E">
            <w:pPr>
              <w:pStyle w:val="Sansinterligne"/>
              <w:numPr>
                <w:ilvl w:val="0"/>
                <w:numId w:val="474"/>
              </w:numPr>
            </w:pPr>
            <w:r>
              <w:t>Soins intensifs</w:t>
            </w:r>
          </w:p>
        </w:tc>
      </w:tr>
      <w:tr w:rsidR="00114E3E" w:rsidTr="006135C4">
        <w:tc>
          <w:tcPr>
            <w:tcW w:w="2943" w:type="dxa"/>
            <w:shd w:val="clear" w:color="auto" w:fill="FFFF00"/>
          </w:tcPr>
          <w:p w:rsidR="00114E3E" w:rsidRPr="00114E3E" w:rsidRDefault="00114E3E" w:rsidP="00883ABD">
            <w:pPr>
              <w:pStyle w:val="Sansinterligne"/>
              <w:rPr>
                <w:highlight w:val="yellow"/>
              </w:rPr>
            </w:pPr>
            <w:r w:rsidRPr="00114E3E">
              <w:rPr>
                <w:highlight w:val="yellow"/>
              </w:rPr>
              <w:t>Chorioamnionite</w:t>
            </w:r>
          </w:p>
        </w:tc>
        <w:tc>
          <w:tcPr>
            <w:tcW w:w="4536" w:type="dxa"/>
            <w:shd w:val="clear" w:color="auto" w:fill="FFFF00"/>
          </w:tcPr>
          <w:p w:rsidR="00114E3E" w:rsidRPr="00114E3E" w:rsidRDefault="00114E3E" w:rsidP="005E5A2E">
            <w:pPr>
              <w:pStyle w:val="Sansinterligne"/>
              <w:numPr>
                <w:ilvl w:val="0"/>
                <w:numId w:val="473"/>
              </w:numPr>
              <w:rPr>
                <w:highlight w:val="yellow"/>
              </w:rPr>
            </w:pPr>
            <w:r w:rsidRPr="00114E3E">
              <w:rPr>
                <w:highlight w:val="yellow"/>
              </w:rPr>
              <w:t xml:space="preserve">Fièvre maternelle </w:t>
            </w:r>
            <w:r w:rsidRPr="00114E3E">
              <w:rPr>
                <w:rFonts w:ascii="Century Gothic" w:hAnsi="Century Gothic"/>
                <w:highlight w:val="yellow"/>
              </w:rPr>
              <w:t>≥</w:t>
            </w:r>
            <w:r w:rsidRPr="00114E3E">
              <w:rPr>
                <w:highlight w:val="yellow"/>
              </w:rPr>
              <w:t xml:space="preserve"> 38</w:t>
            </w:r>
            <w:r w:rsidRPr="00114E3E">
              <w:rPr>
                <w:rFonts w:cs="Times New Roman"/>
                <w:highlight w:val="yellow"/>
              </w:rPr>
              <w:t>°</w:t>
            </w:r>
            <w:r w:rsidRPr="00114E3E">
              <w:rPr>
                <w:highlight w:val="yellow"/>
              </w:rPr>
              <w:t>C</w:t>
            </w:r>
          </w:p>
          <w:p w:rsidR="00114E3E" w:rsidRPr="00114E3E" w:rsidRDefault="00114E3E" w:rsidP="005E5A2E">
            <w:pPr>
              <w:pStyle w:val="Sansinterligne"/>
              <w:numPr>
                <w:ilvl w:val="0"/>
                <w:numId w:val="473"/>
              </w:numPr>
              <w:rPr>
                <w:highlight w:val="yellow"/>
              </w:rPr>
            </w:pPr>
            <w:r w:rsidRPr="00114E3E">
              <w:rPr>
                <w:highlight w:val="yellow"/>
              </w:rPr>
              <w:t>Tachycardie fœtale OU maternelle</w:t>
            </w:r>
          </w:p>
          <w:p w:rsidR="00114E3E" w:rsidRPr="00114E3E" w:rsidRDefault="00114E3E" w:rsidP="005E5A2E">
            <w:pPr>
              <w:pStyle w:val="Sansinterligne"/>
              <w:numPr>
                <w:ilvl w:val="0"/>
                <w:numId w:val="473"/>
              </w:numPr>
              <w:rPr>
                <w:highlight w:val="yellow"/>
              </w:rPr>
            </w:pPr>
            <w:r w:rsidRPr="00114E3E">
              <w:rPr>
                <w:highlight w:val="yellow"/>
              </w:rPr>
              <w:t>Sensibilité utérine</w:t>
            </w:r>
          </w:p>
          <w:p w:rsidR="00114E3E" w:rsidRPr="00114E3E" w:rsidRDefault="00114E3E" w:rsidP="005E5A2E">
            <w:pPr>
              <w:pStyle w:val="Sansinterligne"/>
              <w:numPr>
                <w:ilvl w:val="0"/>
                <w:numId w:val="473"/>
              </w:numPr>
              <w:rPr>
                <w:highlight w:val="yellow"/>
              </w:rPr>
            </w:pPr>
            <w:r w:rsidRPr="00114E3E">
              <w:rPr>
                <w:highlight w:val="yellow"/>
              </w:rPr>
              <w:t>Écoulement cervical purulent ou nauséabond</w:t>
            </w:r>
          </w:p>
        </w:tc>
        <w:tc>
          <w:tcPr>
            <w:tcW w:w="3537" w:type="dxa"/>
            <w:shd w:val="clear" w:color="auto" w:fill="FFFF00"/>
          </w:tcPr>
          <w:p w:rsidR="00114E3E" w:rsidRPr="00114E3E" w:rsidRDefault="00114E3E" w:rsidP="005E5A2E">
            <w:pPr>
              <w:pStyle w:val="Sansinterligne"/>
              <w:numPr>
                <w:ilvl w:val="0"/>
                <w:numId w:val="475"/>
              </w:numPr>
              <w:rPr>
                <w:highlight w:val="yellow"/>
              </w:rPr>
            </w:pPr>
            <w:r w:rsidRPr="00114E3E">
              <w:rPr>
                <w:highlight w:val="yellow"/>
              </w:rPr>
              <w:t>Antibiothérapie IV</w:t>
            </w:r>
          </w:p>
          <w:p w:rsidR="00114E3E" w:rsidRDefault="00114E3E" w:rsidP="005E5A2E">
            <w:pPr>
              <w:pStyle w:val="Sansinterligne"/>
              <w:numPr>
                <w:ilvl w:val="0"/>
                <w:numId w:val="461"/>
              </w:numPr>
            </w:pPr>
            <w:r>
              <w:t xml:space="preserve">Ampicilline 2g IV q 6h + </w:t>
            </w:r>
            <w:r w:rsidR="00533A81">
              <w:t>gentamycine</w:t>
            </w:r>
            <w:r>
              <w:t xml:space="preserve"> 1.5 mg/kg q 8h</w:t>
            </w:r>
          </w:p>
          <w:p w:rsidR="00114E3E" w:rsidRDefault="00114E3E" w:rsidP="005E5A2E">
            <w:pPr>
              <w:pStyle w:val="Sansinterligne"/>
              <w:numPr>
                <w:ilvl w:val="0"/>
                <w:numId w:val="461"/>
              </w:numPr>
            </w:pPr>
            <w:r>
              <w:t xml:space="preserve">Couverture </w:t>
            </w:r>
            <w:r w:rsidR="00533A81">
              <w:t>anaérobie</w:t>
            </w:r>
          </w:p>
          <w:p w:rsidR="00114E3E" w:rsidRDefault="00114E3E" w:rsidP="005E5A2E">
            <w:pPr>
              <w:pStyle w:val="Sansinterligne"/>
              <w:numPr>
                <w:ilvl w:val="0"/>
                <w:numId w:val="476"/>
              </w:numPr>
            </w:pPr>
            <w:r w:rsidRPr="00114E3E">
              <w:rPr>
                <w:highlight w:val="yellow"/>
              </w:rPr>
              <w:t>Accouchement au plus vite</w:t>
            </w:r>
          </w:p>
        </w:tc>
      </w:tr>
    </w:tbl>
    <w:p w:rsidR="00C2701A" w:rsidRDefault="00C2701A" w:rsidP="00883ABD">
      <w:pPr>
        <w:pStyle w:val="Sansinterligne"/>
      </w:pPr>
    </w:p>
    <w:tbl>
      <w:tblPr>
        <w:tblStyle w:val="Grilledutableau"/>
        <w:tblW w:w="0" w:type="auto"/>
        <w:tblLook w:val="04A0" w:firstRow="1" w:lastRow="0" w:firstColumn="1" w:lastColumn="0" w:noHBand="0" w:noVBand="1"/>
      </w:tblPr>
      <w:tblGrid>
        <w:gridCol w:w="2235"/>
        <w:gridCol w:w="4961"/>
        <w:gridCol w:w="3820"/>
      </w:tblGrid>
      <w:tr w:rsidR="00AB3F9F" w:rsidTr="002479F6">
        <w:tc>
          <w:tcPr>
            <w:tcW w:w="11016" w:type="dxa"/>
            <w:gridSpan w:val="3"/>
            <w:shd w:val="clear" w:color="auto" w:fill="D99594" w:themeFill="accent2" w:themeFillTint="99"/>
          </w:tcPr>
          <w:p w:rsidR="00AB3F9F" w:rsidRPr="002F3260" w:rsidRDefault="00AB3F9F" w:rsidP="00391660">
            <w:pPr>
              <w:pStyle w:val="Sansinterligne"/>
              <w:jc w:val="center"/>
              <w:rPr>
                <w:b/>
              </w:rPr>
            </w:pPr>
            <w:r w:rsidRPr="002F3260">
              <w:rPr>
                <w:b/>
              </w:rPr>
              <w:t>Indications d’instrumentalisation et de chirurgie</w:t>
            </w:r>
          </w:p>
        </w:tc>
      </w:tr>
      <w:tr w:rsidR="00AB3F9F" w:rsidTr="00363AE8">
        <w:tc>
          <w:tcPr>
            <w:tcW w:w="2235" w:type="dxa"/>
          </w:tcPr>
          <w:p w:rsidR="00AB3F9F" w:rsidRPr="00363AE8" w:rsidRDefault="00AB3F9F" w:rsidP="00391660">
            <w:pPr>
              <w:pStyle w:val="Sansinterligne"/>
              <w:jc w:val="center"/>
              <w:rPr>
                <w:i/>
              </w:rPr>
            </w:pPr>
            <w:r w:rsidRPr="00363AE8">
              <w:rPr>
                <w:i/>
              </w:rPr>
              <w:t>Techniques</w:t>
            </w:r>
          </w:p>
        </w:tc>
        <w:tc>
          <w:tcPr>
            <w:tcW w:w="4961" w:type="dxa"/>
          </w:tcPr>
          <w:p w:rsidR="00AB3F9F" w:rsidRPr="00363AE8" w:rsidRDefault="00AB3F9F" w:rsidP="00391660">
            <w:pPr>
              <w:pStyle w:val="Sansinterligne"/>
              <w:jc w:val="center"/>
              <w:rPr>
                <w:i/>
              </w:rPr>
            </w:pPr>
            <w:r w:rsidRPr="00363AE8">
              <w:rPr>
                <w:i/>
              </w:rPr>
              <w:t>Indications</w:t>
            </w:r>
          </w:p>
        </w:tc>
        <w:tc>
          <w:tcPr>
            <w:tcW w:w="3820" w:type="dxa"/>
          </w:tcPr>
          <w:p w:rsidR="00AB3F9F" w:rsidRPr="00363AE8" w:rsidRDefault="00AB3F9F" w:rsidP="00391660">
            <w:pPr>
              <w:pStyle w:val="Sansinterligne"/>
              <w:jc w:val="center"/>
              <w:rPr>
                <w:i/>
              </w:rPr>
            </w:pPr>
            <w:r w:rsidRPr="00363AE8">
              <w:rPr>
                <w:i/>
              </w:rPr>
              <w:t>Notes / Précisions</w:t>
            </w:r>
          </w:p>
        </w:tc>
      </w:tr>
      <w:tr w:rsidR="00AB3F9F" w:rsidTr="009D6C79">
        <w:tc>
          <w:tcPr>
            <w:tcW w:w="2235" w:type="dxa"/>
            <w:vAlign w:val="center"/>
          </w:tcPr>
          <w:p w:rsidR="00AB3F9F" w:rsidRPr="009D6C79" w:rsidRDefault="00AB3F9F" w:rsidP="009D6C79">
            <w:pPr>
              <w:pStyle w:val="Sansinterligne"/>
              <w:jc w:val="center"/>
              <w:rPr>
                <w:b/>
              </w:rPr>
            </w:pPr>
            <w:r w:rsidRPr="00F94E1E">
              <w:rPr>
                <w:b/>
                <w:highlight w:val="yellow"/>
              </w:rPr>
              <w:t>Césarienne</w:t>
            </w:r>
          </w:p>
        </w:tc>
        <w:tc>
          <w:tcPr>
            <w:tcW w:w="4961" w:type="dxa"/>
          </w:tcPr>
          <w:p w:rsidR="00363AE8" w:rsidRDefault="008539AB" w:rsidP="00500489">
            <w:pPr>
              <w:pStyle w:val="Sansinterligne"/>
              <w:numPr>
                <w:ilvl w:val="0"/>
                <w:numId w:val="476"/>
              </w:numPr>
            </w:pPr>
            <w:r>
              <w:t>Lésions herpétiques vulvaires</w:t>
            </w:r>
          </w:p>
          <w:p w:rsidR="008539AB" w:rsidRDefault="008539AB" w:rsidP="00500489">
            <w:pPr>
              <w:pStyle w:val="Sansinterligne"/>
              <w:numPr>
                <w:ilvl w:val="0"/>
                <w:numId w:val="476"/>
              </w:numPr>
            </w:pPr>
            <w:r>
              <w:t>Néoplasie du col invasive</w:t>
            </w:r>
          </w:p>
          <w:p w:rsidR="008539AB" w:rsidRPr="007E166E" w:rsidRDefault="008539AB" w:rsidP="00500489">
            <w:pPr>
              <w:pStyle w:val="Sansinterligne"/>
              <w:numPr>
                <w:ilvl w:val="0"/>
                <w:numId w:val="476"/>
              </w:numPr>
              <w:rPr>
                <w:highlight w:val="yellow"/>
              </w:rPr>
            </w:pPr>
            <w:r w:rsidRPr="007E166E">
              <w:rPr>
                <w:highlight w:val="yellow"/>
              </w:rPr>
              <w:t>Chirurgie utérine antérieure</w:t>
            </w:r>
          </w:p>
          <w:p w:rsidR="008539AB" w:rsidRPr="007E166E" w:rsidRDefault="008539AB" w:rsidP="00500489">
            <w:pPr>
              <w:pStyle w:val="Sansinterligne"/>
              <w:numPr>
                <w:ilvl w:val="0"/>
                <w:numId w:val="476"/>
              </w:numPr>
              <w:rPr>
                <w:highlight w:val="yellow"/>
              </w:rPr>
            </w:pPr>
            <w:r w:rsidRPr="007E166E">
              <w:rPr>
                <w:highlight w:val="yellow"/>
              </w:rPr>
              <w:t>Éclampsie</w:t>
            </w:r>
          </w:p>
          <w:p w:rsidR="008539AB" w:rsidRDefault="008539AB" w:rsidP="00500489">
            <w:pPr>
              <w:pStyle w:val="Sansinterligne"/>
              <w:numPr>
                <w:ilvl w:val="0"/>
                <w:numId w:val="476"/>
              </w:numPr>
            </w:pPr>
            <w:r>
              <w:t>Syndrome HELLP</w:t>
            </w:r>
          </w:p>
          <w:p w:rsidR="008539AB" w:rsidRDefault="008539AB" w:rsidP="00500489">
            <w:pPr>
              <w:pStyle w:val="Sansinterligne"/>
              <w:numPr>
                <w:ilvl w:val="0"/>
                <w:numId w:val="476"/>
              </w:numPr>
            </w:pPr>
            <w:r>
              <w:t>Maladie cardiaque</w:t>
            </w:r>
          </w:p>
          <w:p w:rsidR="008539AB" w:rsidRPr="007E166E" w:rsidRDefault="008539AB" w:rsidP="00500489">
            <w:pPr>
              <w:pStyle w:val="Sansinterligne"/>
              <w:numPr>
                <w:ilvl w:val="0"/>
                <w:numId w:val="476"/>
              </w:numPr>
              <w:rPr>
                <w:highlight w:val="yellow"/>
              </w:rPr>
            </w:pPr>
            <w:r w:rsidRPr="007E166E">
              <w:rPr>
                <w:highlight w:val="yellow"/>
              </w:rPr>
              <w:t>Dystocie du travail</w:t>
            </w:r>
          </w:p>
          <w:p w:rsidR="008539AB" w:rsidRPr="007E166E" w:rsidRDefault="008539AB" w:rsidP="00500489">
            <w:pPr>
              <w:pStyle w:val="Sansinterligne"/>
              <w:numPr>
                <w:ilvl w:val="0"/>
                <w:numId w:val="476"/>
              </w:numPr>
              <w:rPr>
                <w:highlight w:val="yellow"/>
              </w:rPr>
            </w:pPr>
            <w:r w:rsidRPr="007E166E">
              <w:rPr>
                <w:highlight w:val="yellow"/>
              </w:rPr>
              <w:t>DPPNI</w:t>
            </w:r>
          </w:p>
          <w:p w:rsidR="008539AB" w:rsidRPr="007E166E" w:rsidRDefault="008539AB" w:rsidP="00500489">
            <w:pPr>
              <w:pStyle w:val="Sansinterligne"/>
              <w:numPr>
                <w:ilvl w:val="0"/>
                <w:numId w:val="476"/>
              </w:numPr>
              <w:rPr>
                <w:highlight w:val="yellow"/>
              </w:rPr>
            </w:pPr>
            <w:r w:rsidRPr="007E166E">
              <w:rPr>
                <w:highlight w:val="yellow"/>
              </w:rPr>
              <w:t>Vasa praevia</w:t>
            </w:r>
          </w:p>
          <w:p w:rsidR="008539AB" w:rsidRDefault="008539AB" w:rsidP="00500489">
            <w:pPr>
              <w:pStyle w:val="Sansinterligne"/>
              <w:numPr>
                <w:ilvl w:val="0"/>
                <w:numId w:val="476"/>
              </w:numPr>
            </w:pPr>
            <w:r>
              <w:t>Cœur fœtal anormal</w:t>
            </w:r>
          </w:p>
          <w:p w:rsidR="008539AB" w:rsidRPr="007E166E" w:rsidRDefault="008539AB" w:rsidP="00500489">
            <w:pPr>
              <w:pStyle w:val="Sansinterligne"/>
              <w:numPr>
                <w:ilvl w:val="0"/>
                <w:numId w:val="476"/>
              </w:numPr>
              <w:rPr>
                <w:highlight w:val="yellow"/>
              </w:rPr>
            </w:pPr>
            <w:r w:rsidRPr="007E166E">
              <w:rPr>
                <w:highlight w:val="yellow"/>
              </w:rPr>
              <w:t>Mauvaise présentation</w:t>
            </w:r>
          </w:p>
          <w:p w:rsidR="008539AB" w:rsidRPr="007E166E" w:rsidRDefault="008539AB" w:rsidP="00500489">
            <w:pPr>
              <w:pStyle w:val="Sansinterligne"/>
              <w:numPr>
                <w:ilvl w:val="0"/>
                <w:numId w:val="476"/>
              </w:numPr>
              <w:rPr>
                <w:highlight w:val="yellow"/>
              </w:rPr>
            </w:pPr>
            <w:r w:rsidRPr="007E166E">
              <w:rPr>
                <w:highlight w:val="yellow"/>
              </w:rPr>
              <w:t>Prolapsus du cordon</w:t>
            </w:r>
          </w:p>
          <w:p w:rsidR="008539AB" w:rsidRDefault="008539AB" w:rsidP="00500489">
            <w:pPr>
              <w:pStyle w:val="Sansinterligne"/>
              <w:numPr>
                <w:ilvl w:val="0"/>
                <w:numId w:val="476"/>
              </w:numPr>
            </w:pPr>
            <w:r>
              <w:t>Anomalies congénitales</w:t>
            </w:r>
          </w:p>
        </w:tc>
        <w:tc>
          <w:tcPr>
            <w:tcW w:w="3820" w:type="dxa"/>
          </w:tcPr>
          <w:p w:rsidR="008539AB" w:rsidRPr="008539AB" w:rsidRDefault="008539AB" w:rsidP="00391660">
            <w:pPr>
              <w:pStyle w:val="Sansinterligne"/>
              <w:rPr>
                <w:u w:val="single"/>
              </w:rPr>
            </w:pPr>
            <w:r>
              <w:rPr>
                <w:u w:val="single"/>
              </w:rPr>
              <w:t>Transversale basse</w:t>
            </w:r>
            <w:r w:rsidRPr="008539AB">
              <w:rPr>
                <w:u w:val="single"/>
              </w:rPr>
              <w:t xml:space="preserve"> </w:t>
            </w:r>
          </w:p>
          <w:p w:rsidR="00AB3F9F" w:rsidRDefault="008539AB" w:rsidP="00391660">
            <w:pPr>
              <w:pStyle w:val="Sansinterligne"/>
            </w:pPr>
            <w:r>
              <w:rPr>
                <w:rFonts w:cs="Times New Roman"/>
              </w:rPr>
              <w:t>↓</w:t>
            </w:r>
            <w:r w:rsidR="00365834">
              <w:t xml:space="preserve"> risque de rupture subséquent</w:t>
            </w:r>
          </w:p>
          <w:p w:rsidR="008539AB" w:rsidRDefault="008539AB" w:rsidP="00391660">
            <w:pPr>
              <w:pStyle w:val="Sansinterligne"/>
            </w:pPr>
          </w:p>
          <w:p w:rsidR="008539AB" w:rsidRPr="008539AB" w:rsidRDefault="008539AB" w:rsidP="00391660">
            <w:pPr>
              <w:pStyle w:val="Sansinterligne"/>
              <w:rPr>
                <w:u w:val="single"/>
              </w:rPr>
            </w:pPr>
            <w:r w:rsidRPr="008539AB">
              <w:rPr>
                <w:u w:val="single"/>
              </w:rPr>
              <w:t>Verticale</w:t>
            </w:r>
          </w:p>
          <w:p w:rsidR="008539AB" w:rsidRDefault="008539AB" w:rsidP="00391660">
            <w:pPr>
              <w:pStyle w:val="Sansinterligne"/>
            </w:pPr>
            <w:r>
              <w:t>Chez grossesse très prématurée</w:t>
            </w:r>
          </w:p>
          <w:p w:rsidR="008539AB" w:rsidRDefault="008539AB" w:rsidP="00391660">
            <w:pPr>
              <w:pStyle w:val="Sansinterligne"/>
            </w:pPr>
          </w:p>
          <w:p w:rsidR="008539AB" w:rsidRPr="008539AB" w:rsidRDefault="008539AB" w:rsidP="00391660">
            <w:pPr>
              <w:pStyle w:val="Sansinterligne"/>
              <w:rPr>
                <w:u w:val="single"/>
              </w:rPr>
            </w:pPr>
            <w:r w:rsidRPr="008539AB">
              <w:rPr>
                <w:u w:val="single"/>
              </w:rPr>
              <w:t>Classique</w:t>
            </w:r>
          </w:p>
          <w:p w:rsidR="008539AB" w:rsidRDefault="008539AB" w:rsidP="00391660">
            <w:pPr>
              <w:pStyle w:val="Sansinterligne"/>
            </w:pPr>
            <w:r>
              <w:t>Présentation transverse</w:t>
            </w:r>
          </w:p>
          <w:p w:rsidR="008539AB" w:rsidRDefault="008539AB" w:rsidP="00391660">
            <w:pPr>
              <w:pStyle w:val="Sansinterligne"/>
            </w:pPr>
            <w:r>
              <w:t>Grossesse multiple</w:t>
            </w:r>
          </w:p>
          <w:p w:rsidR="008539AB" w:rsidRDefault="008539AB" w:rsidP="00391660">
            <w:pPr>
              <w:pStyle w:val="Sansinterligne"/>
            </w:pPr>
            <w:r>
              <w:t xml:space="preserve">Léiomyome obstructif </w:t>
            </w:r>
          </w:p>
          <w:p w:rsidR="008539AB" w:rsidRDefault="008539AB" w:rsidP="00391660">
            <w:pPr>
              <w:pStyle w:val="Sansinterligne"/>
            </w:pPr>
            <w:r>
              <w:t>Obésité morbide</w:t>
            </w:r>
          </w:p>
          <w:p w:rsidR="008539AB" w:rsidRDefault="008539AB" w:rsidP="00391660">
            <w:pPr>
              <w:pStyle w:val="Sansinterligne"/>
            </w:pPr>
          </w:p>
        </w:tc>
      </w:tr>
      <w:tr w:rsidR="00AB3F9F" w:rsidTr="009D6C79">
        <w:tc>
          <w:tcPr>
            <w:tcW w:w="2235" w:type="dxa"/>
            <w:vAlign w:val="center"/>
          </w:tcPr>
          <w:p w:rsidR="00AB3F9F" w:rsidRPr="009D6C79" w:rsidRDefault="00AB3F9F" w:rsidP="009D6C79">
            <w:pPr>
              <w:pStyle w:val="Sansinterligne"/>
              <w:jc w:val="center"/>
              <w:rPr>
                <w:b/>
              </w:rPr>
            </w:pPr>
            <w:r w:rsidRPr="009D6C79">
              <w:rPr>
                <w:b/>
              </w:rPr>
              <w:t>Épisiotomie</w:t>
            </w:r>
          </w:p>
        </w:tc>
        <w:tc>
          <w:tcPr>
            <w:tcW w:w="4961" w:type="dxa"/>
          </w:tcPr>
          <w:p w:rsidR="00AB3F9F" w:rsidRDefault="002F5F9C" w:rsidP="00CC3D57">
            <w:pPr>
              <w:pStyle w:val="Sansinterligne"/>
              <w:numPr>
                <w:ilvl w:val="0"/>
                <w:numId w:val="476"/>
              </w:numPr>
            </w:pPr>
            <w:r>
              <w:t>Contrôler une déchirure imminente ou présente</w:t>
            </w:r>
          </w:p>
          <w:p w:rsidR="002F5F9C" w:rsidRDefault="00CC3D57" w:rsidP="00CC3D57">
            <w:pPr>
              <w:pStyle w:val="Sansinterligne"/>
              <w:numPr>
                <w:ilvl w:val="0"/>
                <w:numId w:val="476"/>
              </w:numPr>
            </w:pPr>
            <w:r>
              <w:t>Pour faciliter usage de forceps ou ventouse</w:t>
            </w:r>
          </w:p>
        </w:tc>
        <w:tc>
          <w:tcPr>
            <w:tcW w:w="3820" w:type="dxa"/>
          </w:tcPr>
          <w:p w:rsidR="00AB3F9F" w:rsidRDefault="00AB3F9F" w:rsidP="00391660">
            <w:pPr>
              <w:pStyle w:val="Sansinterligne"/>
            </w:pPr>
          </w:p>
        </w:tc>
      </w:tr>
      <w:tr w:rsidR="00AB3F9F" w:rsidTr="009D6C79">
        <w:tc>
          <w:tcPr>
            <w:tcW w:w="2235" w:type="dxa"/>
            <w:vAlign w:val="center"/>
          </w:tcPr>
          <w:p w:rsidR="00AB3F9F" w:rsidRPr="009D6C79" w:rsidRDefault="00AB3F9F" w:rsidP="009D6C79">
            <w:pPr>
              <w:pStyle w:val="Sansinterligne"/>
              <w:jc w:val="center"/>
              <w:rPr>
                <w:b/>
                <w:highlight w:val="yellow"/>
              </w:rPr>
            </w:pPr>
            <w:r w:rsidRPr="009D6C79">
              <w:rPr>
                <w:b/>
                <w:highlight w:val="yellow"/>
              </w:rPr>
              <w:t>Usage de ventouse</w:t>
            </w:r>
          </w:p>
        </w:tc>
        <w:tc>
          <w:tcPr>
            <w:tcW w:w="4961" w:type="dxa"/>
          </w:tcPr>
          <w:p w:rsidR="00363AE8" w:rsidRPr="000F0008" w:rsidRDefault="00363AE8" w:rsidP="00363AE8">
            <w:pPr>
              <w:pStyle w:val="Sansinterligne"/>
              <w:numPr>
                <w:ilvl w:val="0"/>
                <w:numId w:val="493"/>
              </w:numPr>
              <w:rPr>
                <w:highlight w:val="yellow"/>
              </w:rPr>
            </w:pPr>
            <w:r w:rsidRPr="000F0008">
              <w:rPr>
                <w:highlight w:val="yellow"/>
              </w:rPr>
              <w:t>Tracé du cœur fœtal atypique ou anormal</w:t>
            </w:r>
          </w:p>
          <w:p w:rsidR="00363AE8" w:rsidRPr="000F0008" w:rsidRDefault="00363AE8" w:rsidP="00363AE8">
            <w:pPr>
              <w:pStyle w:val="Sansinterligne"/>
              <w:numPr>
                <w:ilvl w:val="0"/>
                <w:numId w:val="493"/>
              </w:numPr>
              <w:rPr>
                <w:highlight w:val="yellow"/>
              </w:rPr>
            </w:pPr>
            <w:r w:rsidRPr="000F0008">
              <w:rPr>
                <w:highlight w:val="yellow"/>
              </w:rPr>
              <w:t>Contractions inefficaces</w:t>
            </w:r>
          </w:p>
          <w:p w:rsidR="00363AE8" w:rsidRPr="000F0008" w:rsidRDefault="00363AE8" w:rsidP="00363AE8">
            <w:pPr>
              <w:pStyle w:val="Sansinterligne"/>
              <w:numPr>
                <w:ilvl w:val="0"/>
                <w:numId w:val="493"/>
              </w:numPr>
              <w:rPr>
                <w:highlight w:val="yellow"/>
              </w:rPr>
            </w:pPr>
            <w:r w:rsidRPr="000F0008">
              <w:rPr>
                <w:highlight w:val="yellow"/>
              </w:rPr>
              <w:t xml:space="preserve">Nécessité d’éviter les efforts volontaires </w:t>
            </w:r>
          </w:p>
          <w:p w:rsidR="00363AE8" w:rsidRPr="000F0008" w:rsidRDefault="00363AE8" w:rsidP="00365834">
            <w:pPr>
              <w:pStyle w:val="Sansinterligne"/>
              <w:numPr>
                <w:ilvl w:val="1"/>
                <w:numId w:val="493"/>
              </w:numPr>
              <w:rPr>
                <w:highlight w:val="yellow"/>
              </w:rPr>
            </w:pPr>
            <w:r w:rsidRPr="000F0008">
              <w:rPr>
                <w:highlight w:val="yellow"/>
              </w:rPr>
              <w:t>Condit</w:t>
            </w:r>
            <w:r w:rsidR="00365834">
              <w:rPr>
                <w:highlight w:val="yellow"/>
              </w:rPr>
              <w:t>ion cardiaque, neurologique</w:t>
            </w:r>
          </w:p>
          <w:p w:rsidR="00363AE8" w:rsidRPr="000F0008" w:rsidRDefault="00363AE8" w:rsidP="00363AE8">
            <w:pPr>
              <w:pStyle w:val="Sansinterligne"/>
              <w:numPr>
                <w:ilvl w:val="0"/>
                <w:numId w:val="493"/>
              </w:numPr>
              <w:rPr>
                <w:highlight w:val="yellow"/>
              </w:rPr>
            </w:pPr>
            <w:r w:rsidRPr="000F0008">
              <w:rPr>
                <w:highlight w:val="yellow"/>
              </w:rPr>
              <w:t>Épuisement maternel</w:t>
            </w:r>
          </w:p>
          <w:p w:rsidR="00AB3F9F" w:rsidRPr="000F0008" w:rsidRDefault="00363AE8" w:rsidP="00363AE8">
            <w:pPr>
              <w:pStyle w:val="Sansinterligne"/>
              <w:numPr>
                <w:ilvl w:val="0"/>
                <w:numId w:val="493"/>
              </w:numPr>
              <w:rPr>
                <w:highlight w:val="yellow"/>
              </w:rPr>
            </w:pPr>
            <w:r w:rsidRPr="000F0008">
              <w:rPr>
                <w:highlight w:val="yellow"/>
              </w:rPr>
              <w:t>Manque de coopération ou analgésie trop efficace</w:t>
            </w:r>
          </w:p>
        </w:tc>
        <w:tc>
          <w:tcPr>
            <w:tcW w:w="3820" w:type="dxa"/>
          </w:tcPr>
          <w:p w:rsidR="000F0008" w:rsidRPr="000F0008" w:rsidRDefault="000F0008" w:rsidP="000F0008">
            <w:pPr>
              <w:pStyle w:val="Sansinterligne"/>
              <w:numPr>
                <w:ilvl w:val="0"/>
                <w:numId w:val="494"/>
              </w:numPr>
            </w:pPr>
            <w:r w:rsidRPr="000F0008">
              <w:t>Plus de céphalhématomes, hémorragies chez le nouveau-né</w:t>
            </w:r>
          </w:p>
          <w:p w:rsidR="000F0008" w:rsidRDefault="000F0008" w:rsidP="00391660">
            <w:pPr>
              <w:pStyle w:val="Sansinterligne"/>
              <w:rPr>
                <w:u w:val="single"/>
              </w:rPr>
            </w:pPr>
          </w:p>
          <w:p w:rsidR="00363AE8" w:rsidRPr="000F0008" w:rsidRDefault="00363AE8" w:rsidP="00391660">
            <w:pPr>
              <w:pStyle w:val="Sansinterligne"/>
              <w:rPr>
                <w:highlight w:val="yellow"/>
                <w:u w:val="single"/>
              </w:rPr>
            </w:pPr>
            <w:r w:rsidRPr="000F0008">
              <w:rPr>
                <w:highlight w:val="yellow"/>
                <w:u w:val="single"/>
              </w:rPr>
              <w:t>Cesser si :</w:t>
            </w:r>
          </w:p>
          <w:p w:rsidR="00363AE8" w:rsidRPr="000F0008" w:rsidRDefault="00363AE8" w:rsidP="00363AE8">
            <w:pPr>
              <w:pStyle w:val="Sansinterligne"/>
              <w:numPr>
                <w:ilvl w:val="0"/>
                <w:numId w:val="492"/>
              </w:numPr>
              <w:rPr>
                <w:highlight w:val="yellow"/>
              </w:rPr>
            </w:pPr>
            <w:r w:rsidRPr="000F0008">
              <w:rPr>
                <w:highlight w:val="yellow"/>
              </w:rPr>
              <w:t>3 tractions sur 3 CU sans progression</w:t>
            </w:r>
          </w:p>
          <w:p w:rsidR="00AB3F9F" w:rsidRPr="000F0008" w:rsidRDefault="00363AE8" w:rsidP="00363AE8">
            <w:pPr>
              <w:pStyle w:val="Sansinterligne"/>
              <w:numPr>
                <w:ilvl w:val="0"/>
                <w:numId w:val="492"/>
              </w:numPr>
              <w:rPr>
                <w:highlight w:val="yellow"/>
              </w:rPr>
            </w:pPr>
            <w:r w:rsidRPr="000F0008">
              <w:rPr>
                <w:highlight w:val="yellow"/>
              </w:rPr>
              <w:t>3 pop-off</w:t>
            </w:r>
          </w:p>
          <w:p w:rsidR="00363AE8" w:rsidRDefault="00363AE8" w:rsidP="00363AE8">
            <w:pPr>
              <w:pStyle w:val="Sansinterligne"/>
              <w:numPr>
                <w:ilvl w:val="0"/>
                <w:numId w:val="492"/>
              </w:numPr>
            </w:pPr>
            <w:r w:rsidRPr="000F0008">
              <w:rPr>
                <w:rFonts w:ascii="Century Gothic" w:hAnsi="Century Gothic"/>
                <w:highlight w:val="yellow"/>
              </w:rPr>
              <w:t xml:space="preserve">&gt; </w:t>
            </w:r>
            <w:r w:rsidRPr="000F0008">
              <w:rPr>
                <w:highlight w:val="yellow"/>
              </w:rPr>
              <w:t>20 min</w:t>
            </w:r>
          </w:p>
        </w:tc>
      </w:tr>
      <w:tr w:rsidR="00AB3F9F" w:rsidTr="009D6C79">
        <w:tc>
          <w:tcPr>
            <w:tcW w:w="2235" w:type="dxa"/>
            <w:vAlign w:val="center"/>
          </w:tcPr>
          <w:p w:rsidR="00AB3F9F" w:rsidRPr="009D6C79" w:rsidRDefault="00AB3F9F" w:rsidP="009D6C79">
            <w:pPr>
              <w:pStyle w:val="Sansinterligne"/>
              <w:jc w:val="center"/>
              <w:rPr>
                <w:b/>
              </w:rPr>
            </w:pPr>
            <w:r w:rsidRPr="009D6C79">
              <w:rPr>
                <w:b/>
                <w:highlight w:val="yellow"/>
              </w:rPr>
              <w:t>Usage de forceps</w:t>
            </w:r>
          </w:p>
        </w:tc>
        <w:tc>
          <w:tcPr>
            <w:tcW w:w="4961" w:type="dxa"/>
          </w:tcPr>
          <w:p w:rsidR="00AB3F9F" w:rsidRPr="004D6B41" w:rsidRDefault="00363AE8" w:rsidP="00391660">
            <w:pPr>
              <w:pStyle w:val="Sansinterligne"/>
              <w:rPr>
                <w:highlight w:val="yellow"/>
              </w:rPr>
            </w:pPr>
            <w:r w:rsidRPr="004D6B41">
              <w:rPr>
                <w:highlight w:val="yellow"/>
              </w:rPr>
              <w:t>Idem que ventouse</w:t>
            </w:r>
          </w:p>
        </w:tc>
        <w:tc>
          <w:tcPr>
            <w:tcW w:w="3820" w:type="dxa"/>
          </w:tcPr>
          <w:p w:rsidR="00AB3F9F" w:rsidRPr="004D6B41" w:rsidRDefault="00363AE8" w:rsidP="00391660">
            <w:pPr>
              <w:pStyle w:val="Sansinterligne"/>
              <w:rPr>
                <w:highlight w:val="yellow"/>
              </w:rPr>
            </w:pPr>
            <w:r w:rsidRPr="004D6B41">
              <w:rPr>
                <w:rFonts w:cs="Times New Roman"/>
                <w:highlight w:val="yellow"/>
              </w:rPr>
              <w:t>Ø</w:t>
            </w:r>
            <w:r w:rsidRPr="004D6B41">
              <w:rPr>
                <w:highlight w:val="yellow"/>
              </w:rPr>
              <w:t xml:space="preserve"> limite</w:t>
            </w:r>
          </w:p>
          <w:p w:rsidR="00363AE8" w:rsidRPr="004D6B41" w:rsidRDefault="00363AE8" w:rsidP="00391660">
            <w:pPr>
              <w:pStyle w:val="Sansinterligne"/>
              <w:rPr>
                <w:highlight w:val="yellow"/>
              </w:rPr>
            </w:pPr>
            <w:r w:rsidRPr="004D6B41">
              <w:rPr>
                <w:highlight w:val="yellow"/>
              </w:rPr>
              <w:t>Augmentent les lésions chez la mère (lacérations, etc.)</w:t>
            </w:r>
          </w:p>
        </w:tc>
      </w:tr>
    </w:tbl>
    <w:p w:rsidR="00AB3F9F" w:rsidRDefault="00AB3F9F" w:rsidP="00883ABD">
      <w:pPr>
        <w:pStyle w:val="Sansinterligne"/>
        <w:rPr>
          <w:b/>
          <w:sz w:val="28"/>
          <w:szCs w:val="28"/>
        </w:rPr>
      </w:pPr>
    </w:p>
    <w:p w:rsidR="00E85989" w:rsidRDefault="00E85989" w:rsidP="00883ABD">
      <w:pPr>
        <w:pStyle w:val="Sansinterligne"/>
      </w:pPr>
      <w:r w:rsidRPr="00C5241E">
        <w:rPr>
          <w:highlight w:val="yellow"/>
        </w:rPr>
        <w:t>Une fois l’accouchement terminé, reste</w:t>
      </w:r>
      <w:r w:rsidR="002F5F9C" w:rsidRPr="00C5241E">
        <w:rPr>
          <w:highlight w:val="yellow"/>
        </w:rPr>
        <w:t>z</w:t>
      </w:r>
      <w:r w:rsidRPr="00C5241E">
        <w:rPr>
          <w:highlight w:val="yellow"/>
        </w:rPr>
        <w:t xml:space="preserve"> à l’affût de complications post-partum immédiat.</w:t>
      </w:r>
    </w:p>
    <w:p w:rsidR="00804000" w:rsidRDefault="00F838CF" w:rsidP="0078039E">
      <w:pPr>
        <w:pStyle w:val="Sansinterligne"/>
        <w:numPr>
          <w:ilvl w:val="0"/>
          <w:numId w:val="501"/>
        </w:numPr>
      </w:pPr>
      <w:r>
        <w:rPr>
          <w:noProof/>
          <w:lang w:eastAsia="fr-CA"/>
        </w:rPr>
        <w:drawing>
          <wp:anchor distT="0" distB="0" distL="114300" distR="114300" simplePos="0" relativeHeight="251795456" behindDoc="0" locked="0" layoutInCell="1" allowOverlap="1" wp14:anchorId="5C6CCAE7" wp14:editId="54B0E42C">
            <wp:simplePos x="0" y="0"/>
            <wp:positionH relativeFrom="column">
              <wp:posOffset>4337685</wp:posOffset>
            </wp:positionH>
            <wp:positionV relativeFrom="paragraph">
              <wp:posOffset>30480</wp:posOffset>
            </wp:positionV>
            <wp:extent cx="2548255" cy="1545590"/>
            <wp:effectExtent l="0" t="0" r="4445" b="0"/>
            <wp:wrapNone/>
            <wp:docPr id="311" name="Image 31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
                    <pic:cNvPicPr>
                      <a:picLocks noChangeAspect="1" noChangeArrowheads="1"/>
                    </pic:cNvPicPr>
                  </pic:nvPicPr>
                  <pic:blipFill rotWithShape="1">
                    <a:blip r:embed="rId312">
                      <a:extLst>
                        <a:ext uri="{28A0092B-C50C-407E-A947-70E740481C1C}">
                          <a14:useLocalDpi xmlns:a14="http://schemas.microsoft.com/office/drawing/2010/main" val="0"/>
                        </a:ext>
                      </a:extLst>
                    </a:blip>
                    <a:srcRect t="2564" r="2740" b="8262"/>
                    <a:stretch/>
                  </pic:blipFill>
                  <pic:spPr bwMode="auto">
                    <a:xfrm>
                      <a:off x="0" y="0"/>
                      <a:ext cx="2548255" cy="15455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04000">
        <w:t xml:space="preserve">FSC, glycémie, suivi de tension artérielle </w:t>
      </w:r>
    </w:p>
    <w:p w:rsidR="00804000" w:rsidRDefault="00804000" w:rsidP="0078039E">
      <w:pPr>
        <w:pStyle w:val="Sansinterligne"/>
        <w:numPr>
          <w:ilvl w:val="0"/>
          <w:numId w:val="501"/>
        </w:numPr>
      </w:pPr>
      <w:r>
        <w:t>Vérifier fonction vésicale</w:t>
      </w:r>
      <w:r w:rsidR="00104FDA">
        <w:t xml:space="preserve"> et intestinale</w:t>
      </w:r>
    </w:p>
    <w:p w:rsidR="00804000" w:rsidRDefault="00804000" w:rsidP="0078039E">
      <w:pPr>
        <w:pStyle w:val="Sansinterligne"/>
        <w:numPr>
          <w:ilvl w:val="0"/>
          <w:numId w:val="501"/>
        </w:numPr>
      </w:pPr>
      <w:r>
        <w:t xml:space="preserve">Winrho 300 mcg IM </w:t>
      </w:r>
      <w:r w:rsidR="00071B76">
        <w:t xml:space="preserve">à la mère </w:t>
      </w:r>
      <w:r>
        <w:t>si fœtus Rh+ et mère Rh-</w:t>
      </w:r>
    </w:p>
    <w:p w:rsidR="00071B76" w:rsidRDefault="00071B76" w:rsidP="0078039E">
      <w:pPr>
        <w:pStyle w:val="Sansinterligne"/>
        <w:numPr>
          <w:ilvl w:val="0"/>
          <w:numId w:val="501"/>
        </w:numPr>
      </w:pPr>
      <w:r>
        <w:t>Vaccination pour la rubéole si non-immune</w:t>
      </w:r>
    </w:p>
    <w:p w:rsidR="00804000" w:rsidRDefault="00804000" w:rsidP="0078039E">
      <w:pPr>
        <w:pStyle w:val="Sansinterligne"/>
        <w:numPr>
          <w:ilvl w:val="0"/>
          <w:numId w:val="501"/>
        </w:numPr>
      </w:pPr>
      <w:r>
        <w:t xml:space="preserve">Questionner la présence de lochies (N en </w:t>
      </w:r>
      <w:r>
        <w:rPr>
          <w:rFonts w:cs="Times New Roman"/>
        </w:rPr>
        <w:t>↓</w:t>
      </w:r>
      <w:r>
        <w:t>)</w:t>
      </w:r>
    </w:p>
    <w:p w:rsidR="00804000" w:rsidRDefault="00804000" w:rsidP="0078039E">
      <w:pPr>
        <w:pStyle w:val="Sansinterligne"/>
        <w:numPr>
          <w:ilvl w:val="0"/>
          <w:numId w:val="501"/>
        </w:numPr>
      </w:pPr>
      <w:r>
        <w:t>Vérifier la diminution de taille de l’utérus</w:t>
      </w:r>
    </w:p>
    <w:p w:rsidR="00104FDA" w:rsidRDefault="00104FDA" w:rsidP="0078039E">
      <w:pPr>
        <w:pStyle w:val="Sansinterligne"/>
        <w:numPr>
          <w:ilvl w:val="0"/>
          <w:numId w:val="501"/>
        </w:numPr>
      </w:pPr>
      <w:r>
        <w:t>Surveiller l’émergence de signes de thromboembolie veineuse</w:t>
      </w:r>
      <w:r w:rsidR="00F838CF" w:rsidRPr="00F838CF">
        <w:t xml:space="preserve"> </w:t>
      </w:r>
    </w:p>
    <w:p w:rsidR="00804000" w:rsidRDefault="00804000" w:rsidP="00883ABD">
      <w:pPr>
        <w:pStyle w:val="Sansinterligne"/>
      </w:pPr>
    </w:p>
    <w:p w:rsidR="00804000" w:rsidRPr="00804000" w:rsidRDefault="00804000" w:rsidP="00883ABD">
      <w:pPr>
        <w:pStyle w:val="Sansinterligne"/>
        <w:rPr>
          <w:u w:val="single"/>
        </w:rPr>
      </w:pPr>
      <w:r w:rsidRPr="00804000">
        <w:rPr>
          <w:u w:val="single"/>
        </w:rPr>
        <w:t>Conseils d’usage :</w:t>
      </w:r>
    </w:p>
    <w:p w:rsidR="00804000" w:rsidRDefault="00804000" w:rsidP="0078039E">
      <w:pPr>
        <w:pStyle w:val="Sansinterligne"/>
        <w:numPr>
          <w:ilvl w:val="0"/>
          <w:numId w:val="502"/>
        </w:numPr>
        <w:rPr>
          <w:rFonts w:cs="Times New Roman"/>
        </w:rPr>
      </w:pPr>
      <w:r>
        <w:rPr>
          <w:rFonts w:cs="Times New Roman"/>
        </w:rPr>
        <w:t>Mobilisation et exercices dès que toléré</w:t>
      </w:r>
    </w:p>
    <w:p w:rsidR="00804000" w:rsidRDefault="00804000" w:rsidP="0078039E">
      <w:pPr>
        <w:pStyle w:val="Sansinterligne"/>
        <w:numPr>
          <w:ilvl w:val="0"/>
          <w:numId w:val="502"/>
        </w:numPr>
        <w:rPr>
          <w:rFonts w:cs="Times New Roman"/>
        </w:rPr>
      </w:pPr>
      <w:r>
        <w:rPr>
          <w:rFonts w:cs="Times New Roman"/>
        </w:rPr>
        <w:t>Usage de préservatifs / prescription de COC 2 mois PP/ progestine si allaitement souhaité</w:t>
      </w:r>
    </w:p>
    <w:p w:rsidR="00C5241E" w:rsidRDefault="00C5241E" w:rsidP="0078039E">
      <w:pPr>
        <w:pStyle w:val="Sansinterligne"/>
        <w:numPr>
          <w:ilvl w:val="0"/>
          <w:numId w:val="502"/>
        </w:numPr>
        <w:rPr>
          <w:rFonts w:cs="Times New Roman"/>
        </w:rPr>
      </w:pPr>
      <w:r>
        <w:rPr>
          <w:rFonts w:cs="Times New Roman"/>
        </w:rPr>
        <w:t>Analgésie (Acétaminophène ± naproxen) PRN x quelques jours PRN</w:t>
      </w:r>
    </w:p>
    <w:p w:rsidR="00C5241E" w:rsidRDefault="00C5241E" w:rsidP="0078039E">
      <w:pPr>
        <w:pStyle w:val="Sansinterligne"/>
        <w:numPr>
          <w:ilvl w:val="0"/>
          <w:numId w:val="502"/>
        </w:numPr>
        <w:rPr>
          <w:rFonts w:cs="Times New Roman"/>
        </w:rPr>
      </w:pPr>
      <w:r>
        <w:rPr>
          <w:rFonts w:cs="Times New Roman"/>
        </w:rPr>
        <w:t>S’abstenir de frotter (savonner plaie si césarienne)</w:t>
      </w:r>
    </w:p>
    <w:p w:rsidR="00C5241E" w:rsidRDefault="00C5241E" w:rsidP="0078039E">
      <w:pPr>
        <w:pStyle w:val="Sansinterligne"/>
        <w:numPr>
          <w:ilvl w:val="0"/>
          <w:numId w:val="502"/>
        </w:numPr>
        <w:rPr>
          <w:rFonts w:cs="Times New Roman"/>
        </w:rPr>
      </w:pPr>
      <w:r>
        <w:rPr>
          <w:rFonts w:cs="Times New Roman"/>
        </w:rPr>
        <w:t>Surveiller la médication prise si allaitement</w:t>
      </w:r>
    </w:p>
    <w:p w:rsidR="007126AA" w:rsidRDefault="007126AA" w:rsidP="0078039E">
      <w:pPr>
        <w:pStyle w:val="Sansinterligne"/>
        <w:numPr>
          <w:ilvl w:val="0"/>
          <w:numId w:val="502"/>
        </w:numPr>
        <w:rPr>
          <w:rFonts w:cs="Times New Roman"/>
        </w:rPr>
      </w:pPr>
      <w:r>
        <w:rPr>
          <w:rFonts w:cs="Times New Roman"/>
        </w:rPr>
        <w:t>Soutien à l’allaitement PRN (conseillères en allaitement)</w:t>
      </w:r>
    </w:p>
    <w:p w:rsidR="00804000" w:rsidRPr="00E85989" w:rsidRDefault="00804000" w:rsidP="00883ABD">
      <w:pPr>
        <w:pStyle w:val="Sansinterligne"/>
      </w:pPr>
    </w:p>
    <w:p w:rsidR="00E85989" w:rsidRPr="00E85989" w:rsidRDefault="00E85989" w:rsidP="00883ABD">
      <w:pPr>
        <w:pStyle w:val="Sansinterligne"/>
      </w:pPr>
      <w:r w:rsidRPr="005B0509">
        <w:rPr>
          <w:highlight w:val="yellow"/>
        </w:rPr>
        <w:t xml:space="preserve">Il faut également revoir la patiente </w:t>
      </w:r>
      <w:r w:rsidRPr="005B0509">
        <w:rPr>
          <w:rFonts w:cs="Times New Roman"/>
          <w:highlight w:val="yellow"/>
        </w:rPr>
        <w:t>~</w:t>
      </w:r>
      <w:r w:rsidRPr="005B0509">
        <w:rPr>
          <w:highlight w:val="yellow"/>
        </w:rPr>
        <w:t xml:space="preserve"> </w:t>
      </w:r>
      <w:r w:rsidR="002F1AF5">
        <w:rPr>
          <w:highlight w:val="yellow"/>
        </w:rPr>
        <w:t>6 semaines</w:t>
      </w:r>
      <w:r w:rsidRPr="005B0509">
        <w:rPr>
          <w:highlight w:val="yellow"/>
        </w:rPr>
        <w:t xml:space="preserve"> plus tard pour évaluer la présence de complication tardive</w:t>
      </w:r>
      <w:r w:rsidRPr="00E85989">
        <w:t>.</w:t>
      </w:r>
    </w:p>
    <w:p w:rsidR="00E85989" w:rsidRDefault="00E85989" w:rsidP="00883ABD">
      <w:pPr>
        <w:pStyle w:val="Sansinterligne"/>
        <w:rPr>
          <w:b/>
          <w:sz w:val="28"/>
          <w:szCs w:val="28"/>
        </w:rPr>
      </w:pPr>
    </w:p>
    <w:p w:rsidR="00C5241E" w:rsidRDefault="00C5241E" w:rsidP="00883ABD">
      <w:pPr>
        <w:pStyle w:val="Sansinterligne"/>
        <w:rPr>
          <w:b/>
          <w:sz w:val="28"/>
          <w:szCs w:val="28"/>
        </w:rPr>
      </w:pPr>
    </w:p>
    <w:p w:rsidR="00855EE1" w:rsidRPr="00B93A38" w:rsidRDefault="004D12B2" w:rsidP="00883ABD">
      <w:pPr>
        <w:pStyle w:val="Sansinterligne"/>
        <w:rPr>
          <w:b/>
          <w:sz w:val="28"/>
          <w:szCs w:val="28"/>
        </w:rPr>
      </w:pPr>
      <w:r w:rsidRPr="00C2701A">
        <w:rPr>
          <w:b/>
          <w:sz w:val="28"/>
          <w:szCs w:val="28"/>
        </w:rPr>
        <w:t>Complications post-partum</w:t>
      </w:r>
      <w:r w:rsidR="00883ABD" w:rsidRPr="00C2701A">
        <w:rPr>
          <w:b/>
          <w:sz w:val="28"/>
          <w:szCs w:val="28"/>
        </w:rPr>
        <w:t xml:space="preserve"> </w:t>
      </w:r>
    </w:p>
    <w:p w:rsidR="00855EE1" w:rsidRDefault="00855EE1" w:rsidP="00883ABD">
      <w:pPr>
        <w:pStyle w:val="Sansinterligne"/>
      </w:pPr>
    </w:p>
    <w:tbl>
      <w:tblPr>
        <w:tblStyle w:val="Grilledutableau"/>
        <w:tblW w:w="0" w:type="auto"/>
        <w:tblLook w:val="04A0" w:firstRow="1" w:lastRow="0" w:firstColumn="1" w:lastColumn="0" w:noHBand="0" w:noVBand="1"/>
      </w:tblPr>
      <w:tblGrid>
        <w:gridCol w:w="2235"/>
        <w:gridCol w:w="4394"/>
        <w:gridCol w:w="4387"/>
      </w:tblGrid>
      <w:tr w:rsidR="002479F6" w:rsidTr="001A29AA">
        <w:tc>
          <w:tcPr>
            <w:tcW w:w="11016" w:type="dxa"/>
            <w:gridSpan w:val="3"/>
            <w:shd w:val="clear" w:color="auto" w:fill="D99594" w:themeFill="accent2" w:themeFillTint="99"/>
          </w:tcPr>
          <w:p w:rsidR="002479F6" w:rsidRPr="00096937" w:rsidRDefault="002479F6" w:rsidP="00096937">
            <w:pPr>
              <w:pStyle w:val="Sansinterligne"/>
              <w:jc w:val="center"/>
              <w:rPr>
                <w:b/>
              </w:rPr>
            </w:pPr>
            <w:r w:rsidRPr="00096937">
              <w:rPr>
                <w:b/>
              </w:rPr>
              <w:t>Traitement des complications post-partum</w:t>
            </w:r>
          </w:p>
        </w:tc>
      </w:tr>
      <w:tr w:rsidR="00FF2C7A" w:rsidTr="00FF2C7A">
        <w:tc>
          <w:tcPr>
            <w:tcW w:w="2235" w:type="dxa"/>
          </w:tcPr>
          <w:p w:rsidR="00AB3F9F" w:rsidRPr="00096937" w:rsidRDefault="00AB3F9F" w:rsidP="00096937">
            <w:pPr>
              <w:pStyle w:val="Sansinterligne"/>
              <w:jc w:val="center"/>
              <w:rPr>
                <w:i/>
              </w:rPr>
            </w:pPr>
            <w:r w:rsidRPr="00096937">
              <w:rPr>
                <w:i/>
              </w:rPr>
              <w:t>Complications</w:t>
            </w:r>
          </w:p>
        </w:tc>
        <w:tc>
          <w:tcPr>
            <w:tcW w:w="4394" w:type="dxa"/>
          </w:tcPr>
          <w:p w:rsidR="00AB3F9F" w:rsidRPr="00096937" w:rsidRDefault="00AB3F9F" w:rsidP="00096937">
            <w:pPr>
              <w:pStyle w:val="Sansinterligne"/>
              <w:jc w:val="center"/>
              <w:rPr>
                <w:i/>
              </w:rPr>
            </w:pPr>
            <w:r>
              <w:rPr>
                <w:i/>
              </w:rPr>
              <w:t>Manifestation clinique</w:t>
            </w:r>
            <w:r w:rsidR="006A63A4">
              <w:rPr>
                <w:i/>
              </w:rPr>
              <w:t xml:space="preserve"> / écho</w:t>
            </w:r>
          </w:p>
        </w:tc>
        <w:tc>
          <w:tcPr>
            <w:tcW w:w="4387" w:type="dxa"/>
          </w:tcPr>
          <w:p w:rsidR="00AB3F9F" w:rsidRPr="00096937" w:rsidRDefault="00AB3F9F" w:rsidP="00096937">
            <w:pPr>
              <w:pStyle w:val="Sansinterligne"/>
              <w:jc w:val="center"/>
              <w:rPr>
                <w:i/>
              </w:rPr>
            </w:pPr>
            <w:r w:rsidRPr="00096937">
              <w:rPr>
                <w:i/>
              </w:rPr>
              <w:t>Prise en charge</w:t>
            </w:r>
          </w:p>
        </w:tc>
      </w:tr>
      <w:tr w:rsidR="00FF2C7A" w:rsidRPr="00FF2C7A" w:rsidTr="00FF2C7A">
        <w:tc>
          <w:tcPr>
            <w:tcW w:w="2235" w:type="dxa"/>
          </w:tcPr>
          <w:p w:rsidR="00AB3F9F" w:rsidRDefault="00AB3F9F" w:rsidP="00883ABD">
            <w:pPr>
              <w:pStyle w:val="Sansinterligne"/>
            </w:pPr>
            <w:r>
              <w:t>Hémorragie du post-partum</w:t>
            </w:r>
          </w:p>
        </w:tc>
        <w:tc>
          <w:tcPr>
            <w:tcW w:w="4394" w:type="dxa"/>
          </w:tcPr>
          <w:p w:rsidR="006A63A4" w:rsidRDefault="006A63A4" w:rsidP="00FF2C7A">
            <w:pPr>
              <w:pStyle w:val="Sansinterligne"/>
            </w:pPr>
            <w:r>
              <w:rPr>
                <w:rFonts w:ascii="Century Gothic" w:hAnsi="Century Gothic"/>
              </w:rPr>
              <w:t>≥</w:t>
            </w:r>
            <w:r>
              <w:t xml:space="preserve"> 500 ml de sang (vaginal) </w:t>
            </w:r>
            <w:r w:rsidR="00FF2C7A">
              <w:t>/</w:t>
            </w:r>
            <w:r>
              <w:t xml:space="preserve"> </w:t>
            </w:r>
            <w:r>
              <w:rPr>
                <w:rFonts w:ascii="Century Gothic" w:hAnsi="Century Gothic"/>
              </w:rPr>
              <w:t>≥</w:t>
            </w:r>
            <w:r>
              <w:t xml:space="preserve"> 1 </w:t>
            </w:r>
            <w:r w:rsidR="009E0ED8">
              <w:t>L</w:t>
            </w:r>
            <w:r>
              <w:t xml:space="preserve"> </w:t>
            </w:r>
            <w:r w:rsidR="009E0ED8">
              <w:t>(</w:t>
            </w:r>
            <w:r>
              <w:t>césarienne</w:t>
            </w:r>
            <w:r w:rsidR="009E0ED8">
              <w:t>)</w:t>
            </w:r>
          </w:p>
          <w:p w:rsidR="00FF2C7A" w:rsidRDefault="00FF2C7A" w:rsidP="00FF2C7A">
            <w:pPr>
              <w:pStyle w:val="Sansinterligne"/>
            </w:pPr>
          </w:p>
          <w:p w:rsidR="006A63A4" w:rsidRPr="006A63A4" w:rsidRDefault="006A63A4" w:rsidP="00883ABD">
            <w:pPr>
              <w:pStyle w:val="Sansinterligne"/>
              <w:rPr>
                <w:b/>
              </w:rPr>
            </w:pPr>
            <w:r w:rsidRPr="006A63A4">
              <w:rPr>
                <w:b/>
              </w:rPr>
              <w:t>4T</w:t>
            </w:r>
            <w:r>
              <w:rPr>
                <w:b/>
              </w:rPr>
              <w:t xml:space="preserve"> (tonus, tissu, trauma, thrombine)</w:t>
            </w:r>
          </w:p>
          <w:p w:rsidR="006A63A4" w:rsidRDefault="006A63A4" w:rsidP="0078039E">
            <w:pPr>
              <w:pStyle w:val="Sansinterligne"/>
              <w:numPr>
                <w:ilvl w:val="0"/>
                <w:numId w:val="495"/>
              </w:numPr>
            </w:pPr>
            <w:r>
              <w:t>Atonie utérine (+ fréquent)</w:t>
            </w:r>
          </w:p>
          <w:p w:rsidR="006A63A4" w:rsidRDefault="006A63A4" w:rsidP="0078039E">
            <w:pPr>
              <w:pStyle w:val="Sansinterligne"/>
              <w:numPr>
                <w:ilvl w:val="0"/>
                <w:numId w:val="495"/>
              </w:numPr>
            </w:pPr>
            <w:r>
              <w:t>Rétention placentaire / néo placentaire</w:t>
            </w:r>
          </w:p>
          <w:p w:rsidR="006A63A4" w:rsidRDefault="006A63A4" w:rsidP="0078039E">
            <w:pPr>
              <w:pStyle w:val="Sansinterligne"/>
              <w:numPr>
                <w:ilvl w:val="0"/>
                <w:numId w:val="495"/>
              </w:numPr>
            </w:pPr>
            <w:r>
              <w:t xml:space="preserve">Lacérations / Rupture utérine / Inversion </w:t>
            </w:r>
          </w:p>
          <w:p w:rsidR="006A63A4" w:rsidRDefault="006A63A4" w:rsidP="0078039E">
            <w:pPr>
              <w:pStyle w:val="Sansinterligne"/>
              <w:numPr>
                <w:ilvl w:val="0"/>
                <w:numId w:val="495"/>
              </w:numPr>
            </w:pPr>
            <w:r>
              <w:t>Coagulopathie</w:t>
            </w:r>
          </w:p>
        </w:tc>
        <w:tc>
          <w:tcPr>
            <w:tcW w:w="4387" w:type="dxa"/>
          </w:tcPr>
          <w:p w:rsidR="00FF2C7A" w:rsidRDefault="00FF2C7A" w:rsidP="0078039E">
            <w:pPr>
              <w:pStyle w:val="Sansinterligne"/>
              <w:numPr>
                <w:ilvl w:val="0"/>
                <w:numId w:val="496"/>
              </w:numPr>
            </w:pPr>
            <w:r>
              <w:t>Ocytocine 10 U IM après délivrance</w:t>
            </w:r>
          </w:p>
          <w:p w:rsidR="00FF2C7A" w:rsidRDefault="00FF2C7A" w:rsidP="0078039E">
            <w:pPr>
              <w:pStyle w:val="Sansinterligne"/>
              <w:numPr>
                <w:ilvl w:val="0"/>
                <w:numId w:val="496"/>
              </w:numPr>
            </w:pPr>
            <w:r>
              <w:t>Massage utérin</w:t>
            </w:r>
          </w:p>
          <w:p w:rsidR="00AB3F9F" w:rsidRDefault="00FF2C7A" w:rsidP="0078039E">
            <w:pPr>
              <w:pStyle w:val="Sansinterligne"/>
              <w:numPr>
                <w:ilvl w:val="0"/>
                <w:numId w:val="496"/>
              </w:numPr>
            </w:pPr>
            <w:r>
              <w:t>Réanimation volémique</w:t>
            </w:r>
          </w:p>
          <w:p w:rsidR="00FF2C7A" w:rsidRDefault="00FF2C7A" w:rsidP="0078039E">
            <w:pPr>
              <w:pStyle w:val="Sansinterligne"/>
              <w:numPr>
                <w:ilvl w:val="0"/>
                <w:numId w:val="496"/>
              </w:numPr>
            </w:pPr>
            <w:r>
              <w:t>FSC, bilan coagulo, groupé/croisé 4 culots</w:t>
            </w:r>
          </w:p>
          <w:p w:rsidR="00FF2C7A" w:rsidRDefault="00FF2C7A" w:rsidP="0078039E">
            <w:pPr>
              <w:pStyle w:val="Sansinterligne"/>
              <w:numPr>
                <w:ilvl w:val="0"/>
                <w:numId w:val="496"/>
              </w:numPr>
              <w:rPr>
                <w:lang w:val="de-DE"/>
              </w:rPr>
            </w:pPr>
            <w:r w:rsidRPr="00FF2C7A">
              <w:rPr>
                <w:lang w:val="de-DE"/>
              </w:rPr>
              <w:t>Carboprost (Hemabate) 0,25mg IM q 5 min</w:t>
            </w:r>
            <w:r>
              <w:rPr>
                <w:lang w:val="de-DE"/>
              </w:rPr>
              <w:t xml:space="preserve"> (max 2 mg)</w:t>
            </w:r>
          </w:p>
          <w:p w:rsidR="00FF2C7A" w:rsidRPr="00FF2C7A" w:rsidRDefault="00FF2C7A" w:rsidP="0078039E">
            <w:pPr>
              <w:pStyle w:val="Sansinterligne"/>
              <w:numPr>
                <w:ilvl w:val="0"/>
                <w:numId w:val="496"/>
              </w:numPr>
            </w:pPr>
            <w:r w:rsidRPr="00FF2C7A">
              <w:t>Misoprostol 600 mcg – 1g</w:t>
            </w:r>
            <w:r>
              <w:t xml:space="preserve"> x 1</w:t>
            </w:r>
          </w:p>
          <w:p w:rsidR="00FF2C7A" w:rsidRPr="00FF2C7A" w:rsidRDefault="00FF2C7A" w:rsidP="0078039E">
            <w:pPr>
              <w:pStyle w:val="Sansinterligne"/>
              <w:numPr>
                <w:ilvl w:val="0"/>
                <w:numId w:val="496"/>
              </w:numPr>
            </w:pPr>
            <w:r>
              <w:t>A. t</w:t>
            </w:r>
            <w:r w:rsidRPr="00FF2C7A">
              <w:t>ranexamique (Cyklokrapron) 1g IV</w:t>
            </w:r>
          </w:p>
        </w:tc>
      </w:tr>
      <w:tr w:rsidR="00FF2C7A" w:rsidTr="00FF2C7A">
        <w:tc>
          <w:tcPr>
            <w:tcW w:w="2235" w:type="dxa"/>
          </w:tcPr>
          <w:p w:rsidR="00AB3F9F" w:rsidRDefault="00AB3F9F" w:rsidP="00883ABD">
            <w:pPr>
              <w:pStyle w:val="Sansinterligne"/>
            </w:pPr>
            <w:r>
              <w:t>Rétention placentaire</w:t>
            </w:r>
          </w:p>
        </w:tc>
        <w:tc>
          <w:tcPr>
            <w:tcW w:w="4394" w:type="dxa"/>
          </w:tcPr>
          <w:p w:rsidR="00AB3F9F" w:rsidRDefault="00FF2C7A" w:rsidP="00883ABD">
            <w:pPr>
              <w:pStyle w:val="Sansinterligne"/>
            </w:pPr>
            <w:r>
              <w:rPr>
                <w:rFonts w:cs="Times New Roman"/>
              </w:rPr>
              <w:t>Ø</w:t>
            </w:r>
            <w:r>
              <w:t xml:space="preserve"> délivrance 30 min post-accouchement</w:t>
            </w:r>
          </w:p>
          <w:p w:rsidR="008F028E" w:rsidRDefault="008F028E" w:rsidP="00883ABD">
            <w:pPr>
              <w:pStyle w:val="Sansinterligne"/>
            </w:pPr>
            <w:r>
              <w:t>Placenta partiel (incomplet)</w:t>
            </w:r>
          </w:p>
        </w:tc>
        <w:tc>
          <w:tcPr>
            <w:tcW w:w="4387" w:type="dxa"/>
          </w:tcPr>
          <w:p w:rsidR="00AB3F9F" w:rsidRDefault="008F028E" w:rsidP="0078039E">
            <w:pPr>
              <w:pStyle w:val="Sansinterligne"/>
              <w:numPr>
                <w:ilvl w:val="0"/>
                <w:numId w:val="497"/>
              </w:numPr>
            </w:pPr>
            <w:r>
              <w:t>Exploration/curetage utérin (manuel)</w:t>
            </w:r>
          </w:p>
          <w:p w:rsidR="008F028E" w:rsidRDefault="008F028E" w:rsidP="0078039E">
            <w:pPr>
              <w:pStyle w:val="Sansinterligne"/>
              <w:numPr>
                <w:ilvl w:val="0"/>
                <w:numId w:val="497"/>
              </w:numPr>
            </w:pPr>
            <w:r>
              <w:t>Traction cordon  + pression supra-pubienne</w:t>
            </w:r>
          </w:p>
          <w:p w:rsidR="000A1EF0" w:rsidRDefault="00365834" w:rsidP="0078039E">
            <w:pPr>
              <w:pStyle w:val="Sansinterligne"/>
              <w:numPr>
                <w:ilvl w:val="0"/>
                <w:numId w:val="497"/>
              </w:numPr>
            </w:pPr>
            <w:r>
              <w:t>Ocytocine</w:t>
            </w:r>
            <w:r w:rsidR="000A1EF0">
              <w:t xml:space="preserve"> 10 U/ 20 ml NS IV (ombilicale)</w:t>
            </w:r>
          </w:p>
          <w:p w:rsidR="008F028E" w:rsidRDefault="008F028E" w:rsidP="0078039E">
            <w:pPr>
              <w:pStyle w:val="Sansinterligne"/>
              <w:numPr>
                <w:ilvl w:val="0"/>
                <w:numId w:val="497"/>
              </w:numPr>
            </w:pPr>
            <w:r>
              <w:t>Curetage chirurgical PRN</w:t>
            </w:r>
          </w:p>
        </w:tc>
      </w:tr>
      <w:tr w:rsidR="00FF2C7A" w:rsidTr="00FF2C7A">
        <w:tc>
          <w:tcPr>
            <w:tcW w:w="2235" w:type="dxa"/>
          </w:tcPr>
          <w:p w:rsidR="00AB3F9F" w:rsidRDefault="00AB3F9F" w:rsidP="00883ABD">
            <w:pPr>
              <w:pStyle w:val="Sansinterligne"/>
            </w:pPr>
            <w:r>
              <w:t>Inversion utérine</w:t>
            </w:r>
          </w:p>
        </w:tc>
        <w:tc>
          <w:tcPr>
            <w:tcW w:w="4394" w:type="dxa"/>
          </w:tcPr>
          <w:p w:rsidR="00AB3F9F" w:rsidRDefault="000A1EF0" w:rsidP="00883ABD">
            <w:pPr>
              <w:pStyle w:val="Sansinterligne"/>
            </w:pPr>
            <w:r>
              <w:t>Souvent iatrogénique (traction du cordon)</w:t>
            </w:r>
          </w:p>
          <w:p w:rsidR="000A1EF0" w:rsidRDefault="000A1EF0" w:rsidP="00883ABD">
            <w:pPr>
              <w:pStyle w:val="Sansinterligne"/>
            </w:pPr>
            <w:r>
              <w:t>Choc (vasovagal et vasodilatatoire)</w:t>
            </w:r>
          </w:p>
        </w:tc>
        <w:tc>
          <w:tcPr>
            <w:tcW w:w="4387" w:type="dxa"/>
          </w:tcPr>
          <w:p w:rsidR="00AB3F9F" w:rsidRDefault="000A1EF0" w:rsidP="00883ABD">
            <w:pPr>
              <w:pStyle w:val="Sansinterligne"/>
            </w:pPr>
            <w:r>
              <w:t>Appel en anesthésie d’urgence</w:t>
            </w:r>
          </w:p>
          <w:p w:rsidR="000A1EF0" w:rsidRDefault="000A1EF0" w:rsidP="00883ABD">
            <w:pPr>
              <w:pStyle w:val="Sansinterligne"/>
            </w:pPr>
            <w:r>
              <w:t>Réanimation volémique</w:t>
            </w:r>
          </w:p>
          <w:p w:rsidR="000A1EF0" w:rsidRDefault="000A1EF0" w:rsidP="00883ABD">
            <w:pPr>
              <w:pStyle w:val="Sansinterligne"/>
            </w:pPr>
            <w:r>
              <w:t>Nitroglycérine IV</w:t>
            </w:r>
          </w:p>
          <w:p w:rsidR="000A1EF0" w:rsidRDefault="000A1EF0" w:rsidP="00883ABD">
            <w:pPr>
              <w:pStyle w:val="Sansinterligne"/>
            </w:pPr>
            <w:r>
              <w:t>Replacer l’utérus manuellement</w:t>
            </w:r>
          </w:p>
          <w:p w:rsidR="000A1EF0" w:rsidRDefault="00365834" w:rsidP="00883ABD">
            <w:pPr>
              <w:pStyle w:val="Sansinterligne"/>
            </w:pPr>
            <w:r>
              <w:t>Ocytocine</w:t>
            </w:r>
            <w:r w:rsidR="000A1EF0">
              <w:t xml:space="preserve"> IV</w:t>
            </w:r>
          </w:p>
          <w:p w:rsidR="000A1EF0" w:rsidRDefault="000A1EF0" w:rsidP="00883ABD">
            <w:pPr>
              <w:pStyle w:val="Sansinterligne"/>
            </w:pPr>
            <w:r>
              <w:t>Réexplorer</w:t>
            </w:r>
          </w:p>
        </w:tc>
      </w:tr>
      <w:tr w:rsidR="00FF2C7A" w:rsidTr="00FF2C7A">
        <w:tc>
          <w:tcPr>
            <w:tcW w:w="2235" w:type="dxa"/>
          </w:tcPr>
          <w:p w:rsidR="00AB3F9F" w:rsidRPr="005B0509" w:rsidRDefault="00AB3F9F" w:rsidP="00883ABD">
            <w:pPr>
              <w:pStyle w:val="Sansinterligne"/>
              <w:rPr>
                <w:highlight w:val="yellow"/>
              </w:rPr>
            </w:pPr>
            <w:r w:rsidRPr="005B0509">
              <w:rPr>
                <w:highlight w:val="yellow"/>
              </w:rPr>
              <w:t>Hyperthermie</w:t>
            </w:r>
          </w:p>
        </w:tc>
        <w:tc>
          <w:tcPr>
            <w:tcW w:w="4394" w:type="dxa"/>
          </w:tcPr>
          <w:p w:rsidR="00AB3F9F" w:rsidRPr="005B0509" w:rsidRDefault="000A1EF0" w:rsidP="000A1EF0">
            <w:pPr>
              <w:pStyle w:val="Sansinterligne"/>
              <w:rPr>
                <w:highlight w:val="yellow"/>
              </w:rPr>
            </w:pPr>
            <w:r w:rsidRPr="005B0509">
              <w:rPr>
                <w:highlight w:val="yellow"/>
              </w:rPr>
              <w:t xml:space="preserve">T </w:t>
            </w:r>
            <w:r w:rsidRPr="005B0509">
              <w:rPr>
                <w:rFonts w:ascii="Century Gothic" w:hAnsi="Century Gothic"/>
                <w:highlight w:val="yellow"/>
              </w:rPr>
              <w:t>&gt;</w:t>
            </w:r>
            <w:r w:rsidRPr="005B0509">
              <w:rPr>
                <w:highlight w:val="yellow"/>
              </w:rPr>
              <w:t xml:space="preserve"> 38</w:t>
            </w:r>
            <w:r w:rsidRPr="005B0509">
              <w:rPr>
                <w:rFonts w:cs="Times New Roman"/>
                <w:highlight w:val="yellow"/>
              </w:rPr>
              <w:t>°</w:t>
            </w:r>
            <w:r w:rsidRPr="005B0509">
              <w:rPr>
                <w:highlight w:val="yellow"/>
              </w:rPr>
              <w:t>C dans 10 jours post-partum sauf 1</w:t>
            </w:r>
            <w:r w:rsidRPr="005B0509">
              <w:rPr>
                <w:highlight w:val="yellow"/>
                <w:vertAlign w:val="superscript"/>
              </w:rPr>
              <w:t>er</w:t>
            </w:r>
          </w:p>
          <w:p w:rsidR="000A1EF0" w:rsidRPr="005B0509" w:rsidRDefault="000A1EF0" w:rsidP="0078039E">
            <w:pPr>
              <w:pStyle w:val="Sansinterligne"/>
              <w:numPr>
                <w:ilvl w:val="0"/>
                <w:numId w:val="500"/>
              </w:numPr>
              <w:rPr>
                <w:highlight w:val="yellow"/>
              </w:rPr>
            </w:pPr>
            <w:r w:rsidRPr="005B0509">
              <w:rPr>
                <w:highlight w:val="yellow"/>
              </w:rPr>
              <w:t>Frissons</w:t>
            </w:r>
          </w:p>
          <w:p w:rsidR="000A1EF0" w:rsidRPr="005B0509" w:rsidRDefault="000A1EF0" w:rsidP="0078039E">
            <w:pPr>
              <w:pStyle w:val="Sansinterligne"/>
              <w:numPr>
                <w:ilvl w:val="0"/>
                <w:numId w:val="500"/>
              </w:numPr>
              <w:rPr>
                <w:highlight w:val="yellow"/>
              </w:rPr>
            </w:pPr>
            <w:r w:rsidRPr="005B0509">
              <w:rPr>
                <w:highlight w:val="yellow"/>
              </w:rPr>
              <w:t>Douleur abdominale/ utérus sensible</w:t>
            </w:r>
          </w:p>
          <w:p w:rsidR="000A1EF0" w:rsidRPr="005B0509" w:rsidRDefault="000A1EF0" w:rsidP="0078039E">
            <w:pPr>
              <w:pStyle w:val="Sansinterligne"/>
              <w:numPr>
                <w:ilvl w:val="0"/>
                <w:numId w:val="500"/>
              </w:numPr>
              <w:rPr>
                <w:highlight w:val="yellow"/>
              </w:rPr>
            </w:pPr>
            <w:r w:rsidRPr="005B0509">
              <w:rPr>
                <w:highlight w:val="yellow"/>
              </w:rPr>
              <w:t>Écoulement /lochies nauséabondes</w:t>
            </w:r>
          </w:p>
        </w:tc>
        <w:tc>
          <w:tcPr>
            <w:tcW w:w="4387" w:type="dxa"/>
          </w:tcPr>
          <w:p w:rsidR="00AB3F9F" w:rsidRPr="005B0509" w:rsidRDefault="000A1EF0" w:rsidP="00883ABD">
            <w:pPr>
              <w:pStyle w:val="Sansinterligne"/>
              <w:rPr>
                <w:highlight w:val="yellow"/>
              </w:rPr>
            </w:pPr>
            <w:r w:rsidRPr="005B0509">
              <w:rPr>
                <w:highlight w:val="yellow"/>
              </w:rPr>
              <w:t>Antibiothérapie</w:t>
            </w:r>
          </w:p>
        </w:tc>
      </w:tr>
      <w:tr w:rsidR="00F27787" w:rsidTr="003C7652">
        <w:tc>
          <w:tcPr>
            <w:tcW w:w="2235" w:type="dxa"/>
          </w:tcPr>
          <w:p w:rsidR="00F27787" w:rsidRDefault="00F27787" w:rsidP="00883ABD">
            <w:pPr>
              <w:pStyle w:val="Sansinterligne"/>
            </w:pPr>
            <w:r>
              <w:t>Mastite</w:t>
            </w:r>
          </w:p>
        </w:tc>
        <w:tc>
          <w:tcPr>
            <w:tcW w:w="8781" w:type="dxa"/>
            <w:gridSpan w:val="2"/>
          </w:tcPr>
          <w:p w:rsidR="00F27787" w:rsidRDefault="00F27787" w:rsidP="00883ABD">
            <w:pPr>
              <w:pStyle w:val="Sansinterligne"/>
            </w:pPr>
            <w:r>
              <w:t xml:space="preserve">Voir </w:t>
            </w:r>
            <w:r w:rsidRPr="00F27787">
              <w:rPr>
                <w:i/>
              </w:rPr>
              <w:t>Écoulement mammaire CMC 10-2</w:t>
            </w:r>
          </w:p>
        </w:tc>
      </w:tr>
      <w:tr w:rsidR="00FF2C7A" w:rsidTr="00FF2C7A">
        <w:tc>
          <w:tcPr>
            <w:tcW w:w="2235" w:type="dxa"/>
          </w:tcPr>
          <w:p w:rsidR="00AB3F9F" w:rsidRPr="005B0509" w:rsidRDefault="00F27787" w:rsidP="00FF2C7A">
            <w:pPr>
              <w:pStyle w:val="Sansinterligne"/>
              <w:rPr>
                <w:highlight w:val="yellow"/>
              </w:rPr>
            </w:pPr>
            <w:r w:rsidRPr="005B0509">
              <w:rPr>
                <w:highlight w:val="yellow"/>
              </w:rPr>
              <w:t xml:space="preserve">Changements humoraux </w:t>
            </w:r>
          </w:p>
        </w:tc>
        <w:tc>
          <w:tcPr>
            <w:tcW w:w="4394" w:type="dxa"/>
          </w:tcPr>
          <w:p w:rsidR="00F27787" w:rsidRPr="005B0509" w:rsidRDefault="00F27787" w:rsidP="00883ABD">
            <w:pPr>
              <w:pStyle w:val="Sansinterligne"/>
              <w:rPr>
                <w:highlight w:val="yellow"/>
                <w:u w:val="single"/>
              </w:rPr>
            </w:pPr>
            <w:r w:rsidRPr="005B0509">
              <w:rPr>
                <w:highlight w:val="yellow"/>
                <w:u w:val="single"/>
              </w:rPr>
              <w:t>Blues du postpartum (autorésolutif)</w:t>
            </w:r>
          </w:p>
          <w:p w:rsidR="00006255" w:rsidRPr="005B0509" w:rsidRDefault="00006255" w:rsidP="0078039E">
            <w:pPr>
              <w:pStyle w:val="Sansinterligne"/>
              <w:numPr>
                <w:ilvl w:val="0"/>
                <w:numId w:val="499"/>
              </w:numPr>
              <w:rPr>
                <w:highlight w:val="yellow"/>
              </w:rPr>
            </w:pPr>
            <w:r w:rsidRPr="005B0509">
              <w:rPr>
                <w:highlight w:val="yellow"/>
              </w:rPr>
              <w:t>Début souvent jour 3-10</w:t>
            </w:r>
          </w:p>
          <w:p w:rsidR="00006255" w:rsidRPr="005B0509" w:rsidRDefault="00006255" w:rsidP="0078039E">
            <w:pPr>
              <w:pStyle w:val="Sansinterligne"/>
              <w:numPr>
                <w:ilvl w:val="0"/>
                <w:numId w:val="498"/>
              </w:numPr>
              <w:rPr>
                <w:highlight w:val="yellow"/>
              </w:rPr>
            </w:pPr>
            <w:r w:rsidRPr="005B0509">
              <w:rPr>
                <w:highlight w:val="yellow"/>
              </w:rPr>
              <w:t>Irritabilité</w:t>
            </w:r>
          </w:p>
          <w:p w:rsidR="00006255" w:rsidRPr="005B0509" w:rsidRDefault="00006255" w:rsidP="0078039E">
            <w:pPr>
              <w:pStyle w:val="Sansinterligne"/>
              <w:numPr>
                <w:ilvl w:val="0"/>
                <w:numId w:val="498"/>
              </w:numPr>
              <w:rPr>
                <w:highlight w:val="yellow"/>
              </w:rPr>
            </w:pPr>
            <w:r w:rsidRPr="005B0509">
              <w:rPr>
                <w:highlight w:val="yellow"/>
              </w:rPr>
              <w:t>Labilité émotionnelle, affect déprimé</w:t>
            </w:r>
          </w:p>
          <w:p w:rsidR="00F27787" w:rsidRPr="005B0509" w:rsidRDefault="00F27787" w:rsidP="00883ABD">
            <w:pPr>
              <w:pStyle w:val="Sansinterligne"/>
              <w:rPr>
                <w:highlight w:val="yellow"/>
                <w:u w:val="single"/>
              </w:rPr>
            </w:pPr>
            <w:r w:rsidRPr="005B0509">
              <w:rPr>
                <w:highlight w:val="yellow"/>
                <w:u w:val="single"/>
              </w:rPr>
              <w:t xml:space="preserve">Dépression </w:t>
            </w:r>
          </w:p>
          <w:p w:rsidR="00F27787" w:rsidRPr="005B0509" w:rsidRDefault="00F27787" w:rsidP="0078039E">
            <w:pPr>
              <w:pStyle w:val="Sansinterligne"/>
              <w:numPr>
                <w:ilvl w:val="0"/>
                <w:numId w:val="498"/>
              </w:numPr>
              <w:rPr>
                <w:rFonts w:cs="Times New Roman"/>
                <w:highlight w:val="yellow"/>
              </w:rPr>
            </w:pPr>
            <w:r w:rsidRPr="005B0509">
              <w:rPr>
                <w:rFonts w:cs="Times New Roman"/>
                <w:highlight w:val="yellow"/>
              </w:rPr>
              <w:t>Sx &gt; 2 semaines ou sévères</w:t>
            </w:r>
          </w:p>
          <w:p w:rsidR="00F27787" w:rsidRPr="005B0509" w:rsidRDefault="00F27787" w:rsidP="00883ABD">
            <w:pPr>
              <w:pStyle w:val="Sansinterligne"/>
              <w:rPr>
                <w:rFonts w:cs="Times New Roman"/>
                <w:highlight w:val="yellow"/>
                <w:u w:val="single"/>
              </w:rPr>
            </w:pPr>
            <w:r w:rsidRPr="005B0509">
              <w:rPr>
                <w:rFonts w:cs="Times New Roman"/>
                <w:highlight w:val="yellow"/>
                <w:u w:val="single"/>
              </w:rPr>
              <w:t>Psychose</w:t>
            </w:r>
          </w:p>
          <w:p w:rsidR="00F27787" w:rsidRPr="005B0509" w:rsidRDefault="00F27787" w:rsidP="00883ABD">
            <w:pPr>
              <w:pStyle w:val="Sansinterligne"/>
              <w:rPr>
                <w:highlight w:val="yellow"/>
              </w:rPr>
            </w:pPr>
            <w:r w:rsidRPr="005B0509">
              <w:rPr>
                <w:rFonts w:cs="Times New Roman"/>
                <w:highlight w:val="yellow"/>
              </w:rPr>
              <w:t>Survient en 24-72h dans le 1</w:t>
            </w:r>
            <w:r w:rsidRPr="005B0509">
              <w:rPr>
                <w:rFonts w:cs="Times New Roman"/>
                <w:highlight w:val="yellow"/>
                <w:vertAlign w:val="superscript"/>
              </w:rPr>
              <w:t>er</w:t>
            </w:r>
            <w:r w:rsidRPr="005B0509">
              <w:rPr>
                <w:rFonts w:cs="Times New Roman"/>
                <w:highlight w:val="yellow"/>
              </w:rPr>
              <w:t xml:space="preserve"> mois</w:t>
            </w:r>
          </w:p>
        </w:tc>
        <w:tc>
          <w:tcPr>
            <w:tcW w:w="4387" w:type="dxa"/>
          </w:tcPr>
          <w:p w:rsidR="00006255" w:rsidRPr="005B0509" w:rsidRDefault="00006255" w:rsidP="00006255">
            <w:pPr>
              <w:pStyle w:val="Sansinterligne"/>
              <w:rPr>
                <w:highlight w:val="yellow"/>
              </w:rPr>
            </w:pPr>
            <w:r w:rsidRPr="005B0509">
              <w:rPr>
                <w:highlight w:val="yellow"/>
              </w:rPr>
              <w:t>Blues du postpartum (autorésolutif)</w:t>
            </w:r>
          </w:p>
          <w:p w:rsidR="00006255" w:rsidRPr="005B0509" w:rsidRDefault="00006255" w:rsidP="00883ABD">
            <w:pPr>
              <w:pStyle w:val="Sansinterligne"/>
              <w:rPr>
                <w:highlight w:val="yellow"/>
              </w:rPr>
            </w:pPr>
          </w:p>
          <w:p w:rsidR="00AB3F9F" w:rsidRPr="005B0509" w:rsidRDefault="00F27787" w:rsidP="00883ABD">
            <w:pPr>
              <w:pStyle w:val="Sansinterligne"/>
              <w:rPr>
                <w:highlight w:val="yellow"/>
              </w:rPr>
            </w:pPr>
            <w:r w:rsidRPr="005B0509">
              <w:rPr>
                <w:highlight w:val="yellow"/>
              </w:rPr>
              <w:t>Traiter comme dépression / psychose si non-résolutif</w:t>
            </w:r>
          </w:p>
        </w:tc>
      </w:tr>
      <w:tr w:rsidR="00FF2C7A" w:rsidTr="00FF2C7A">
        <w:tc>
          <w:tcPr>
            <w:tcW w:w="2235" w:type="dxa"/>
          </w:tcPr>
          <w:p w:rsidR="008539AB" w:rsidRDefault="008539AB" w:rsidP="00883ABD">
            <w:pPr>
              <w:pStyle w:val="Sansinterligne"/>
            </w:pPr>
            <w:r w:rsidRPr="002F1AF5">
              <w:rPr>
                <w:highlight w:val="yellow"/>
              </w:rPr>
              <w:t>Lacérations / déchirure périnéale</w:t>
            </w:r>
          </w:p>
        </w:tc>
        <w:tc>
          <w:tcPr>
            <w:tcW w:w="4394" w:type="dxa"/>
          </w:tcPr>
          <w:p w:rsidR="008539AB" w:rsidRDefault="002F1AF5" w:rsidP="00883ABD">
            <w:pPr>
              <w:pStyle w:val="Sansinterligne"/>
            </w:pPr>
            <w:r>
              <w:t>1</w:t>
            </w:r>
            <w:r w:rsidRPr="002F1AF5">
              <w:rPr>
                <w:vertAlign w:val="superscript"/>
              </w:rPr>
              <w:t>er</w:t>
            </w:r>
            <w:r>
              <w:t xml:space="preserve"> degré : peau et muqueuse vaginale</w:t>
            </w:r>
          </w:p>
          <w:p w:rsidR="002F1AF5" w:rsidRDefault="002F1AF5" w:rsidP="00883ABD">
            <w:pPr>
              <w:pStyle w:val="Sansinterligne"/>
            </w:pPr>
            <w:r>
              <w:t>2</w:t>
            </w:r>
            <w:r w:rsidRPr="002F1AF5">
              <w:rPr>
                <w:vertAlign w:val="superscript"/>
              </w:rPr>
              <w:t>e</w:t>
            </w:r>
            <w:r>
              <w:t xml:space="preserve"> degré : atteinte des muscles/fascia</w:t>
            </w:r>
          </w:p>
          <w:p w:rsidR="002F1AF5" w:rsidRDefault="002F1AF5" w:rsidP="00883ABD">
            <w:pPr>
              <w:pStyle w:val="Sansinterligne"/>
            </w:pPr>
            <w:r>
              <w:t>3</w:t>
            </w:r>
            <w:r w:rsidRPr="002F1AF5">
              <w:rPr>
                <w:vertAlign w:val="superscript"/>
              </w:rPr>
              <w:t>e</w:t>
            </w:r>
            <w:r>
              <w:t xml:space="preserve"> degré : atteinte du sphincter anal</w:t>
            </w:r>
          </w:p>
          <w:p w:rsidR="002F1AF5" w:rsidRDefault="002F1AF5" w:rsidP="00883ABD">
            <w:pPr>
              <w:pStyle w:val="Sansinterligne"/>
            </w:pPr>
            <w:r>
              <w:t>4</w:t>
            </w:r>
            <w:r w:rsidRPr="002F1AF5">
              <w:rPr>
                <w:vertAlign w:val="superscript"/>
              </w:rPr>
              <w:t>e</w:t>
            </w:r>
            <w:r>
              <w:t xml:space="preserve"> degré : atteint la muqueuse rectale</w:t>
            </w:r>
          </w:p>
        </w:tc>
        <w:tc>
          <w:tcPr>
            <w:tcW w:w="4387" w:type="dxa"/>
          </w:tcPr>
          <w:p w:rsidR="008539AB" w:rsidRDefault="00F27787" w:rsidP="00883ABD">
            <w:pPr>
              <w:pStyle w:val="Sansinterligne"/>
            </w:pPr>
            <w:r>
              <w:t>Réparation chirurgicale (sutures)</w:t>
            </w:r>
          </w:p>
        </w:tc>
      </w:tr>
    </w:tbl>
    <w:p w:rsidR="002A79B6" w:rsidRDefault="007126AA" w:rsidP="00883ABD">
      <w:pPr>
        <w:pStyle w:val="Sansinterligne"/>
      </w:pPr>
      <w:r>
        <w:rPr>
          <w:noProof/>
          <w:lang w:eastAsia="fr-CA"/>
        </w:rPr>
        <w:drawing>
          <wp:anchor distT="0" distB="0" distL="114300" distR="114300" simplePos="0" relativeHeight="251791360" behindDoc="0" locked="0" layoutInCell="1" allowOverlap="1" wp14:anchorId="58865552" wp14:editId="34841F87">
            <wp:simplePos x="0" y="0"/>
            <wp:positionH relativeFrom="column">
              <wp:posOffset>1176020</wp:posOffset>
            </wp:positionH>
            <wp:positionV relativeFrom="paragraph">
              <wp:posOffset>108909</wp:posOffset>
            </wp:positionV>
            <wp:extent cx="4532630" cy="1981200"/>
            <wp:effectExtent l="0" t="0" r="1270" b="0"/>
            <wp:wrapNone/>
            <wp:docPr id="306" name="Image 306" descr="Résultats de recherche d'images pour « allaitemen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ésultats de recherche d'images pour « allaitement »"/>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4532630" cy="19812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A79B6" w:rsidRDefault="002A79B6">
      <w:pPr>
        <w:rPr>
          <w:rFonts w:cs="Times New Roman"/>
          <w:b/>
          <w:color w:val="548DD4" w:themeColor="text2" w:themeTint="99"/>
        </w:rPr>
      </w:pPr>
    </w:p>
    <w:p w:rsidR="00883ABD" w:rsidRDefault="00883ABD">
      <w:pPr>
        <w:rPr>
          <w:rFonts w:cs="Times New Roman"/>
          <w:b/>
          <w:color w:val="548DD4" w:themeColor="text2" w:themeTint="99"/>
        </w:rPr>
      </w:pPr>
      <w:r>
        <w:rPr>
          <w:rFonts w:cs="Times New Roman"/>
          <w:b/>
          <w:color w:val="548DD4" w:themeColor="text2" w:themeTint="99"/>
        </w:rPr>
        <w:br w:type="page"/>
      </w:r>
    </w:p>
    <w:p w:rsidR="00D859AA" w:rsidRDefault="00D859AA" w:rsidP="00D859AA">
      <w:pPr>
        <w:spacing w:after="0"/>
        <w:rPr>
          <w:rFonts w:cs="Times New Roman"/>
          <w:b/>
          <w:color w:val="548DD4" w:themeColor="text2" w:themeTint="99"/>
        </w:rPr>
      </w:pPr>
      <w:r>
        <w:rPr>
          <w:rFonts w:cs="Times New Roman"/>
          <w:b/>
          <w:color w:val="548DD4" w:themeColor="text2" w:themeTint="99"/>
        </w:rPr>
        <w:t>CMC 81</w:t>
      </w:r>
    </w:p>
    <w:p w:rsidR="00D859AA" w:rsidRPr="0048121F" w:rsidRDefault="00D859AA" w:rsidP="00D859AA">
      <w:pPr>
        <w:pStyle w:val="Titre3"/>
        <w:spacing w:before="0"/>
        <w:rPr>
          <w:rFonts w:ascii="Times New Roman" w:hAnsi="Times New Roman" w:cs="Times New Roman"/>
        </w:rPr>
      </w:pPr>
      <w:bookmarkStart w:id="329" w:name="_Toc480797320"/>
      <w:r w:rsidRPr="0048121F">
        <w:rPr>
          <w:rFonts w:ascii="Times New Roman" w:hAnsi="Times New Roman" w:cs="Times New Roman"/>
        </w:rPr>
        <w:t>Avortement spontané ou fausse couche</w:t>
      </w:r>
      <w:bookmarkEnd w:id="329"/>
    </w:p>
    <w:tbl>
      <w:tblPr>
        <w:tblW w:w="3702" w:type="pct"/>
        <w:tblCellSpacing w:w="0" w:type="dxa"/>
        <w:tblCellMar>
          <w:left w:w="0" w:type="dxa"/>
          <w:right w:w="0" w:type="dxa"/>
        </w:tblCellMar>
        <w:tblLook w:val="04A0" w:firstRow="1" w:lastRow="0" w:firstColumn="1" w:lastColumn="0" w:noHBand="0" w:noVBand="1"/>
      </w:tblPr>
      <w:tblGrid>
        <w:gridCol w:w="7996"/>
      </w:tblGrid>
      <w:tr w:rsidR="00D859AA" w:rsidRPr="00D859AA" w:rsidTr="00D859AA">
        <w:trPr>
          <w:tblCellSpacing w:w="0" w:type="dxa"/>
        </w:trPr>
        <w:tc>
          <w:tcPr>
            <w:tcW w:w="0" w:type="auto"/>
            <w:vAlign w:val="bottom"/>
            <w:hideMark/>
          </w:tcPr>
          <w:bookmarkStart w:id="330" w:name="_Toc475198240"/>
          <w:bookmarkStart w:id="331" w:name="_Toc475563870"/>
          <w:p w:rsidR="00D859AA" w:rsidRPr="00520ED3" w:rsidRDefault="00D859AA" w:rsidP="00520ED3">
            <w:pPr>
              <w:pStyle w:val="Sansinterligne"/>
              <w:spacing w:before="240"/>
              <w:rPr>
                <w:b/>
                <w:sz w:val="18"/>
                <w:szCs w:val="18"/>
              </w:rPr>
            </w:pPr>
            <w:r w:rsidRPr="00520ED3">
              <w:rPr>
                <w:b/>
                <w:noProof/>
                <w:sz w:val="18"/>
                <w:szCs w:val="18"/>
                <w:lang w:eastAsia="fr-CA"/>
              </w:rPr>
              <mc:AlternateContent>
                <mc:Choice Requires="wps">
                  <w:drawing>
                    <wp:anchor distT="0" distB="0" distL="114300" distR="114300" simplePos="0" relativeHeight="251764736" behindDoc="0" locked="0" layoutInCell="1" allowOverlap="1" wp14:anchorId="4BBA57BB" wp14:editId="46C48B08">
                      <wp:simplePos x="0" y="0"/>
                      <wp:positionH relativeFrom="column">
                        <wp:posOffset>-48638</wp:posOffset>
                      </wp:positionH>
                      <wp:positionV relativeFrom="paragraph">
                        <wp:posOffset>101505</wp:posOffset>
                      </wp:positionV>
                      <wp:extent cx="6887183" cy="3336588"/>
                      <wp:effectExtent l="0" t="0" r="28575" b="16510"/>
                      <wp:wrapNone/>
                      <wp:docPr id="281" name="Rectangle 281"/>
                      <wp:cNvGraphicFramePr/>
                      <a:graphic xmlns:a="http://schemas.openxmlformats.org/drawingml/2006/main">
                        <a:graphicData uri="http://schemas.microsoft.com/office/word/2010/wordprocessingShape">
                          <wps:wsp>
                            <wps:cNvSpPr/>
                            <wps:spPr>
                              <a:xfrm>
                                <a:off x="0" y="0"/>
                                <a:ext cx="6887183" cy="3336588"/>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281" o:spid="_x0000_s1026" style="position:absolute;margin-left:-3.85pt;margin-top:8pt;width:542.3pt;height:262.7pt;z-index:2517647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" filled="f" strokecolor="black [1600]" strokeweight="2pt"/>
                  </w:pict>
                </mc:Fallback>
              </mc:AlternateContent>
            </w:r>
            <w:r w:rsidRPr="00520ED3">
              <w:rPr>
                <w:b/>
                <w:sz w:val="18"/>
                <w:szCs w:val="18"/>
              </w:rPr>
              <w:t>Objectifs principaux</w:t>
            </w:r>
            <w:bookmarkEnd w:id="330"/>
            <w:bookmarkEnd w:id="331"/>
          </w:p>
        </w:tc>
      </w:tr>
    </w:tbl>
    <w:p w:rsidR="00D859AA" w:rsidRPr="00D859AA" w:rsidRDefault="00D859AA" w:rsidP="00D859AA">
      <w:pPr>
        <w:pStyle w:val="NormalWeb"/>
        <w:spacing w:after="0" w:afterAutospacing="0"/>
        <w:ind w:left="360"/>
        <w:rPr>
          <w:color w:val="000000"/>
          <w:sz w:val="18"/>
          <w:szCs w:val="18"/>
          <w:shd w:val="clear" w:color="auto" w:fill="FFFFFF"/>
        </w:rPr>
      </w:pPr>
      <w:r w:rsidRPr="00D859AA">
        <w:rPr>
          <w:color w:val="000000"/>
          <w:sz w:val="18"/>
          <w:szCs w:val="18"/>
          <w:shd w:val="clear" w:color="auto" w:fill="FFFFFF"/>
        </w:rPr>
        <w:t>En cas de menace d'avortement, le candidat devra vérifier l'état de la grossesse, surveiller d'éventuelles complications et mettre en place un plan de prise en charge approprié. Il devra accorder une attention particulière aux conseils et au soutien à offrir aux parents, ainsi qu'aux examens appropriés à effectuer en cas d'avortements à répétition.</w:t>
      </w:r>
    </w:p>
    <w:tbl>
      <w:tblPr>
        <w:tblW w:w="3738" w:type="pct"/>
        <w:tblCellSpacing w:w="0" w:type="dxa"/>
        <w:tblCellMar>
          <w:left w:w="0" w:type="dxa"/>
          <w:right w:w="0" w:type="dxa"/>
        </w:tblCellMar>
        <w:tblLook w:val="04A0" w:firstRow="1" w:lastRow="0" w:firstColumn="1" w:lastColumn="0" w:noHBand="0" w:noVBand="1"/>
      </w:tblPr>
      <w:tblGrid>
        <w:gridCol w:w="8074"/>
      </w:tblGrid>
      <w:tr w:rsidR="00D859AA" w:rsidRPr="00D859AA" w:rsidTr="00D859AA">
        <w:trPr>
          <w:tblCellSpacing w:w="0" w:type="dxa"/>
        </w:trPr>
        <w:tc>
          <w:tcPr>
            <w:tcW w:w="0" w:type="auto"/>
            <w:vAlign w:val="bottom"/>
            <w:hideMark/>
          </w:tcPr>
          <w:p w:rsidR="00D859AA" w:rsidRPr="00520ED3" w:rsidRDefault="00D859AA" w:rsidP="00520ED3">
            <w:pPr>
              <w:pStyle w:val="Sansinterligne"/>
              <w:spacing w:before="240"/>
              <w:rPr>
                <w:b/>
                <w:sz w:val="16"/>
                <w:szCs w:val="16"/>
              </w:rPr>
            </w:pPr>
            <w:bookmarkStart w:id="332" w:name="_Toc475198241"/>
            <w:bookmarkStart w:id="333" w:name="_Toc475563871"/>
            <w:r w:rsidRPr="00520ED3">
              <w:rPr>
                <w:b/>
                <w:sz w:val="16"/>
                <w:szCs w:val="16"/>
              </w:rPr>
              <w:t>Objectifs spécifiques</w:t>
            </w:r>
            <w:bookmarkEnd w:id="332"/>
            <w:bookmarkEnd w:id="333"/>
          </w:p>
        </w:tc>
      </w:tr>
    </w:tbl>
    <w:p w:rsidR="00D859AA" w:rsidRPr="00D859AA" w:rsidRDefault="00D859AA" w:rsidP="00D859AA">
      <w:pPr>
        <w:pStyle w:val="NormalWeb"/>
        <w:shd w:val="clear" w:color="auto" w:fill="FFFFFF"/>
        <w:ind w:left="360"/>
        <w:rPr>
          <w:color w:val="000000"/>
          <w:sz w:val="16"/>
          <w:szCs w:val="16"/>
          <w:shd w:val="clear" w:color="auto" w:fill="FFFFFF"/>
        </w:rPr>
      </w:pPr>
      <w:r w:rsidRPr="00D859AA">
        <w:rPr>
          <w:color w:val="000000"/>
          <w:sz w:val="16"/>
          <w:szCs w:val="16"/>
          <w:shd w:val="clear" w:color="auto" w:fill="FFFFFF"/>
        </w:rPr>
        <w:t>En cas de menace d'avortement, le candidat devra</w:t>
      </w:r>
    </w:p>
    <w:p w:rsidR="00D859AA" w:rsidRPr="00D859AA" w:rsidRDefault="00D859AA" w:rsidP="00004A1E">
      <w:pPr>
        <w:numPr>
          <w:ilvl w:val="0"/>
          <w:numId w:val="393"/>
        </w:numPr>
        <w:shd w:val="clear" w:color="auto" w:fill="FFFFFF"/>
        <w:spacing w:before="100" w:beforeAutospacing="1" w:after="100" w:afterAutospacing="1" w:line="240" w:lineRule="auto"/>
        <w:rPr>
          <w:rFonts w:cs="Times New Roman"/>
          <w:color w:val="000000"/>
          <w:sz w:val="16"/>
          <w:szCs w:val="16"/>
          <w:shd w:val="clear" w:color="auto" w:fill="FFFFFF"/>
        </w:rPr>
      </w:pPr>
      <w:r w:rsidRPr="00D859AA">
        <w:rPr>
          <w:rFonts w:cs="Times New Roman"/>
          <w:color w:val="000000"/>
          <w:sz w:val="16"/>
          <w:szCs w:val="16"/>
          <w:shd w:val="clear" w:color="auto" w:fill="FFFFFF"/>
        </w:rPr>
        <w:t>énumérer et interpréter les constatations cliniques cruciales, notamment :</w:t>
      </w:r>
    </w:p>
    <w:p w:rsidR="00D859AA" w:rsidRPr="00D859AA" w:rsidRDefault="00D859AA" w:rsidP="00004A1E">
      <w:pPr>
        <w:numPr>
          <w:ilvl w:val="1"/>
          <w:numId w:val="393"/>
        </w:numPr>
        <w:shd w:val="clear" w:color="auto" w:fill="FFFFFF"/>
        <w:spacing w:before="100" w:beforeAutospacing="1" w:after="100" w:afterAutospacing="1" w:line="240" w:lineRule="auto"/>
        <w:rPr>
          <w:rFonts w:cs="Times New Roman"/>
          <w:color w:val="000000"/>
          <w:sz w:val="16"/>
          <w:szCs w:val="16"/>
          <w:shd w:val="clear" w:color="auto" w:fill="FFFFFF"/>
        </w:rPr>
      </w:pPr>
      <w:r w:rsidRPr="00D859AA">
        <w:rPr>
          <w:rFonts w:cs="Times New Roman"/>
          <w:color w:val="000000"/>
          <w:sz w:val="16"/>
          <w:szCs w:val="16"/>
          <w:shd w:val="clear" w:color="auto" w:fill="FFFFFF"/>
        </w:rPr>
        <w:t>les résultats d'une anamnèse obstétricale approfondie;</w:t>
      </w:r>
    </w:p>
    <w:p w:rsidR="00D859AA" w:rsidRPr="00D859AA" w:rsidRDefault="00D859AA" w:rsidP="00004A1E">
      <w:pPr>
        <w:numPr>
          <w:ilvl w:val="1"/>
          <w:numId w:val="393"/>
        </w:numPr>
        <w:shd w:val="clear" w:color="auto" w:fill="FFFFFF"/>
        <w:spacing w:before="100" w:beforeAutospacing="1" w:after="100" w:afterAutospacing="1" w:line="240" w:lineRule="auto"/>
        <w:rPr>
          <w:rFonts w:cs="Times New Roman"/>
          <w:color w:val="000000"/>
          <w:sz w:val="16"/>
          <w:szCs w:val="16"/>
          <w:shd w:val="clear" w:color="auto" w:fill="FFFFFF"/>
        </w:rPr>
      </w:pPr>
      <w:r w:rsidRPr="00D859AA">
        <w:rPr>
          <w:rFonts w:cs="Times New Roman"/>
          <w:color w:val="000000"/>
          <w:sz w:val="16"/>
          <w:szCs w:val="16"/>
          <w:shd w:val="clear" w:color="auto" w:fill="FFFFFF"/>
        </w:rPr>
        <w:t>les résultats d'un examen physique mettant l'accent sur l'état de la grossesse (p. ex. examen au spéculum, signes de grossesse ectopique);</w:t>
      </w:r>
    </w:p>
    <w:p w:rsidR="00D859AA" w:rsidRPr="00D859AA" w:rsidRDefault="00D859AA" w:rsidP="00004A1E">
      <w:pPr>
        <w:numPr>
          <w:ilvl w:val="1"/>
          <w:numId w:val="393"/>
        </w:numPr>
        <w:shd w:val="clear" w:color="auto" w:fill="FFFFFF"/>
        <w:spacing w:before="100" w:beforeAutospacing="1" w:after="100" w:afterAutospacing="1" w:line="240" w:lineRule="auto"/>
        <w:rPr>
          <w:rFonts w:cs="Times New Roman"/>
          <w:color w:val="000000"/>
          <w:sz w:val="16"/>
          <w:szCs w:val="16"/>
          <w:shd w:val="clear" w:color="auto" w:fill="FFFFFF"/>
        </w:rPr>
      </w:pPr>
      <w:r w:rsidRPr="00D859AA">
        <w:rPr>
          <w:rFonts w:cs="Times New Roman"/>
          <w:color w:val="000000"/>
          <w:sz w:val="16"/>
          <w:szCs w:val="16"/>
          <w:shd w:val="clear" w:color="auto" w:fill="FFFFFF"/>
        </w:rPr>
        <w:t>les complications qui constituent une urgence (p. ex. évaluation de la stabilité hémodynamique);</w:t>
      </w:r>
    </w:p>
    <w:p w:rsidR="00D859AA" w:rsidRPr="00D859AA" w:rsidRDefault="00D859AA" w:rsidP="00004A1E">
      <w:pPr>
        <w:numPr>
          <w:ilvl w:val="0"/>
          <w:numId w:val="393"/>
        </w:numPr>
        <w:shd w:val="clear" w:color="auto" w:fill="FFFFFF"/>
        <w:spacing w:before="100" w:beforeAutospacing="1" w:after="100" w:afterAutospacing="1" w:line="240" w:lineRule="auto"/>
        <w:rPr>
          <w:rFonts w:cs="Times New Roman"/>
          <w:color w:val="000000"/>
          <w:sz w:val="16"/>
          <w:szCs w:val="16"/>
          <w:shd w:val="clear" w:color="auto" w:fill="FFFFFF"/>
        </w:rPr>
      </w:pPr>
      <w:r w:rsidRPr="00D859AA">
        <w:rPr>
          <w:rFonts w:cs="Times New Roman"/>
          <w:color w:val="000000"/>
          <w:sz w:val="16"/>
          <w:szCs w:val="16"/>
          <w:shd w:val="clear" w:color="auto" w:fill="FFFFFF"/>
        </w:rPr>
        <w:t>énumérer et interpréter les examens essentiels, notamment :</w:t>
      </w:r>
    </w:p>
    <w:p w:rsidR="00D859AA" w:rsidRPr="00D859AA" w:rsidRDefault="00D859AA" w:rsidP="00004A1E">
      <w:pPr>
        <w:numPr>
          <w:ilvl w:val="1"/>
          <w:numId w:val="393"/>
        </w:numPr>
        <w:shd w:val="clear" w:color="auto" w:fill="FFFFFF"/>
        <w:spacing w:before="100" w:beforeAutospacing="1" w:after="100" w:afterAutospacing="1" w:line="240" w:lineRule="auto"/>
        <w:rPr>
          <w:rFonts w:cs="Times New Roman"/>
          <w:color w:val="000000"/>
          <w:sz w:val="16"/>
          <w:szCs w:val="16"/>
          <w:shd w:val="clear" w:color="auto" w:fill="FFFFFF"/>
        </w:rPr>
      </w:pPr>
      <w:r w:rsidRPr="00D859AA">
        <w:rPr>
          <w:rFonts w:cs="Times New Roman"/>
          <w:color w:val="000000"/>
          <w:sz w:val="16"/>
          <w:szCs w:val="16"/>
          <w:shd w:val="clear" w:color="auto" w:fill="FFFFFF"/>
        </w:rPr>
        <w:t>l'échographie endovaginale;</w:t>
      </w:r>
    </w:p>
    <w:p w:rsidR="00D859AA" w:rsidRPr="00D859AA" w:rsidRDefault="00D859AA" w:rsidP="00004A1E">
      <w:pPr>
        <w:numPr>
          <w:ilvl w:val="1"/>
          <w:numId w:val="393"/>
        </w:numPr>
        <w:shd w:val="clear" w:color="auto" w:fill="FFFFFF"/>
        <w:spacing w:before="100" w:beforeAutospacing="1" w:after="100" w:afterAutospacing="1" w:line="240" w:lineRule="auto"/>
        <w:rPr>
          <w:rFonts w:cs="Times New Roman"/>
          <w:color w:val="000000"/>
          <w:sz w:val="16"/>
          <w:szCs w:val="16"/>
          <w:shd w:val="clear" w:color="auto" w:fill="FFFFFF"/>
        </w:rPr>
      </w:pPr>
      <w:r w:rsidRPr="00D859AA">
        <w:rPr>
          <w:rFonts w:cs="Times New Roman"/>
          <w:color w:val="000000"/>
          <w:sz w:val="16"/>
          <w:szCs w:val="16"/>
          <w:shd w:val="clear" w:color="auto" w:fill="FFFFFF"/>
        </w:rPr>
        <w:t>les analyses de laboratoire appropriées (p. ex. dépistage d'anticorps maternels, formule sanguine, dosage des gonadotrophines chorioniques humaines bêta [ßhCG]);</w:t>
      </w:r>
    </w:p>
    <w:p w:rsidR="00D859AA" w:rsidRPr="00D859AA" w:rsidRDefault="00D859AA" w:rsidP="00004A1E">
      <w:pPr>
        <w:numPr>
          <w:ilvl w:val="1"/>
          <w:numId w:val="393"/>
        </w:numPr>
        <w:shd w:val="clear" w:color="auto" w:fill="FFFFFF"/>
        <w:spacing w:before="100" w:beforeAutospacing="1" w:after="100" w:afterAutospacing="1" w:line="240" w:lineRule="auto"/>
        <w:rPr>
          <w:rFonts w:cs="Times New Roman"/>
          <w:color w:val="000000"/>
          <w:sz w:val="16"/>
          <w:szCs w:val="16"/>
          <w:shd w:val="clear" w:color="auto" w:fill="FFFFFF"/>
        </w:rPr>
      </w:pPr>
      <w:r w:rsidRPr="00D859AA">
        <w:rPr>
          <w:rFonts w:cs="Times New Roman"/>
          <w:color w:val="000000"/>
          <w:sz w:val="16"/>
          <w:szCs w:val="16"/>
          <w:shd w:val="clear" w:color="auto" w:fill="FFFFFF"/>
        </w:rPr>
        <w:t xml:space="preserve">les examens appropriés en cas d'avortements spontanés à répétition (p. ex. dépistage des anticorps antiphospholipides, </w:t>
      </w:r>
      <w:r w:rsidR="00F74BEE" w:rsidRPr="00D859AA">
        <w:rPr>
          <w:rFonts w:cs="Times New Roman"/>
          <w:color w:val="000000"/>
          <w:sz w:val="16"/>
          <w:szCs w:val="16"/>
          <w:shd w:val="clear" w:color="auto" w:fill="FFFFFF"/>
        </w:rPr>
        <w:t>caryotype</w:t>
      </w:r>
      <w:r w:rsidRPr="00D859AA">
        <w:rPr>
          <w:rFonts w:cs="Times New Roman"/>
          <w:color w:val="000000"/>
          <w:sz w:val="16"/>
          <w:szCs w:val="16"/>
          <w:shd w:val="clear" w:color="auto" w:fill="FFFFFF"/>
        </w:rPr>
        <w:t xml:space="preserve">, </w:t>
      </w:r>
      <w:r w:rsidR="00F74BEE" w:rsidRPr="00D859AA">
        <w:rPr>
          <w:rFonts w:cs="Times New Roman"/>
          <w:color w:val="000000"/>
          <w:sz w:val="16"/>
          <w:szCs w:val="16"/>
          <w:shd w:val="clear" w:color="auto" w:fill="FFFFFF"/>
        </w:rPr>
        <w:t>hystérosalpingographie</w:t>
      </w:r>
      <w:r w:rsidRPr="00D859AA">
        <w:rPr>
          <w:rFonts w:cs="Times New Roman"/>
          <w:color w:val="000000"/>
          <w:sz w:val="16"/>
          <w:szCs w:val="16"/>
          <w:shd w:val="clear" w:color="auto" w:fill="FFFFFF"/>
        </w:rPr>
        <w:t>);</w:t>
      </w:r>
    </w:p>
    <w:p w:rsidR="00D859AA" w:rsidRPr="00D859AA" w:rsidRDefault="00D859AA" w:rsidP="00004A1E">
      <w:pPr>
        <w:numPr>
          <w:ilvl w:val="0"/>
          <w:numId w:val="393"/>
        </w:numPr>
        <w:shd w:val="clear" w:color="auto" w:fill="FFFFFF"/>
        <w:spacing w:before="100" w:beforeAutospacing="1" w:after="100" w:afterAutospacing="1" w:line="240" w:lineRule="auto"/>
        <w:rPr>
          <w:rFonts w:cs="Times New Roman"/>
          <w:color w:val="000000"/>
          <w:sz w:val="16"/>
          <w:szCs w:val="16"/>
          <w:shd w:val="clear" w:color="auto" w:fill="FFFFFF"/>
        </w:rPr>
      </w:pPr>
      <w:r w:rsidRPr="00D859AA">
        <w:rPr>
          <w:rFonts w:cs="Times New Roman"/>
          <w:color w:val="000000"/>
          <w:sz w:val="16"/>
          <w:szCs w:val="16"/>
          <w:shd w:val="clear" w:color="auto" w:fill="FFFFFF"/>
        </w:rPr>
        <w:t>élaborer un plan efficace de prise en charge initiale, notamment :</w:t>
      </w:r>
    </w:p>
    <w:p w:rsidR="00D859AA" w:rsidRPr="00D859AA" w:rsidRDefault="00D859AA" w:rsidP="00004A1E">
      <w:pPr>
        <w:numPr>
          <w:ilvl w:val="1"/>
          <w:numId w:val="393"/>
        </w:numPr>
        <w:shd w:val="clear" w:color="auto" w:fill="FFFFFF"/>
        <w:spacing w:before="100" w:beforeAutospacing="1" w:after="100" w:afterAutospacing="1" w:line="240" w:lineRule="auto"/>
        <w:rPr>
          <w:rFonts w:cs="Times New Roman"/>
          <w:color w:val="000000"/>
          <w:sz w:val="16"/>
          <w:szCs w:val="16"/>
          <w:shd w:val="clear" w:color="auto" w:fill="FFFFFF"/>
        </w:rPr>
      </w:pPr>
      <w:r w:rsidRPr="00D859AA">
        <w:rPr>
          <w:rFonts w:cs="Times New Roman"/>
          <w:color w:val="000000"/>
          <w:sz w:val="16"/>
          <w:szCs w:val="16"/>
          <w:shd w:val="clear" w:color="auto" w:fill="FFFFFF"/>
        </w:rPr>
        <w:t>prendre en charge de manière urgente une instabilité hémodynamique (p. ex. rupture de grossesse ectopique);</w:t>
      </w:r>
    </w:p>
    <w:p w:rsidR="00D859AA" w:rsidRPr="00D859AA" w:rsidRDefault="00D859AA" w:rsidP="00004A1E">
      <w:pPr>
        <w:numPr>
          <w:ilvl w:val="1"/>
          <w:numId w:val="393"/>
        </w:numPr>
        <w:shd w:val="clear" w:color="auto" w:fill="FFFFFF"/>
        <w:spacing w:before="100" w:beforeAutospacing="1" w:after="100" w:afterAutospacing="1" w:line="240" w:lineRule="auto"/>
        <w:rPr>
          <w:rFonts w:cs="Times New Roman"/>
          <w:color w:val="000000"/>
          <w:sz w:val="16"/>
          <w:szCs w:val="16"/>
          <w:shd w:val="clear" w:color="auto" w:fill="FFFFFF"/>
        </w:rPr>
      </w:pPr>
      <w:r w:rsidRPr="00D859AA">
        <w:rPr>
          <w:rFonts w:cs="Times New Roman"/>
          <w:color w:val="000000"/>
          <w:sz w:val="16"/>
          <w:szCs w:val="16"/>
          <w:shd w:val="clear" w:color="auto" w:fill="FFFFFF"/>
        </w:rPr>
        <w:t>adresser la patiente pour une évacuation chirurgicale ou une prise en charge médicale (p. ex. avortement incomplet ou manqué), s'il y a lieu;</w:t>
      </w:r>
    </w:p>
    <w:p w:rsidR="00D859AA" w:rsidRPr="00D859AA" w:rsidRDefault="00D859AA" w:rsidP="00004A1E">
      <w:pPr>
        <w:numPr>
          <w:ilvl w:val="1"/>
          <w:numId w:val="393"/>
        </w:numPr>
        <w:shd w:val="clear" w:color="auto" w:fill="FFFFFF"/>
        <w:spacing w:before="100" w:beforeAutospacing="1" w:after="100" w:afterAutospacing="1" w:line="240" w:lineRule="auto"/>
        <w:rPr>
          <w:rFonts w:cs="Times New Roman"/>
          <w:color w:val="000000"/>
          <w:sz w:val="16"/>
          <w:szCs w:val="16"/>
          <w:shd w:val="clear" w:color="auto" w:fill="FFFFFF"/>
        </w:rPr>
      </w:pPr>
      <w:r w:rsidRPr="00D859AA">
        <w:rPr>
          <w:rFonts w:cs="Times New Roman"/>
          <w:color w:val="000000"/>
          <w:sz w:val="16"/>
          <w:szCs w:val="16"/>
          <w:shd w:val="clear" w:color="auto" w:fill="FFFFFF"/>
        </w:rPr>
        <w:t>donner les conseils appropriés (p. ex. deuil, conséquences sur la fertilité, contraception);</w:t>
      </w:r>
    </w:p>
    <w:p w:rsidR="00D859AA" w:rsidRPr="00D859AA" w:rsidRDefault="00D859AA" w:rsidP="00004A1E">
      <w:pPr>
        <w:numPr>
          <w:ilvl w:val="1"/>
          <w:numId w:val="393"/>
        </w:numPr>
        <w:shd w:val="clear" w:color="auto" w:fill="FFFFFF"/>
        <w:spacing w:before="100" w:beforeAutospacing="1" w:after="100" w:afterAutospacing="1" w:line="240" w:lineRule="auto"/>
        <w:rPr>
          <w:rFonts w:cs="Times New Roman"/>
          <w:color w:val="000000"/>
          <w:sz w:val="16"/>
          <w:szCs w:val="16"/>
          <w:shd w:val="clear" w:color="auto" w:fill="FFFFFF"/>
        </w:rPr>
      </w:pPr>
      <w:r w:rsidRPr="00D859AA">
        <w:rPr>
          <w:rFonts w:cs="Times New Roman"/>
          <w:color w:val="000000"/>
          <w:sz w:val="16"/>
          <w:szCs w:val="16"/>
          <w:shd w:val="clear" w:color="auto" w:fill="FFFFFF"/>
        </w:rPr>
        <w:t>diriger la patiente vers des soins spécialisés, s'il y a lieu (p. ex. hémorragie grave, avortements à répétition).</w:t>
      </w:r>
    </w:p>
    <w:p w:rsidR="00F74BEE" w:rsidRPr="00C03EBC" w:rsidRDefault="00C03EBC" w:rsidP="00C03EBC">
      <w:pPr>
        <w:shd w:val="clear" w:color="auto" w:fill="FFFFFF"/>
        <w:spacing w:before="100" w:beforeAutospacing="1" w:after="100" w:afterAutospacing="1" w:line="240" w:lineRule="auto"/>
        <w:rPr>
          <w:rFonts w:cs="Times New Roman"/>
          <w:b/>
          <w:color w:val="000000"/>
          <w:sz w:val="28"/>
          <w:szCs w:val="28"/>
        </w:rPr>
      </w:pPr>
      <w:r w:rsidRPr="00C03EBC">
        <w:rPr>
          <w:rFonts w:cs="Times New Roman"/>
          <w:b/>
          <w:color w:val="000000"/>
          <w:sz w:val="28"/>
          <w:szCs w:val="28"/>
        </w:rPr>
        <w:t>Approche de l’avortement spontané</w:t>
      </w:r>
    </w:p>
    <w:p w:rsidR="00EF0402" w:rsidRDefault="00EF0402" w:rsidP="00C03EBC">
      <w:pPr>
        <w:shd w:val="clear" w:color="auto" w:fill="FFFFFF"/>
        <w:spacing w:before="100" w:beforeAutospacing="1" w:after="100" w:afterAutospacing="1" w:line="240" w:lineRule="auto"/>
        <w:rPr>
          <w:rFonts w:cs="Times New Roman"/>
          <w:color w:val="000000"/>
          <w:u w:val="single"/>
        </w:rPr>
        <w:sectPr w:rsidR="00EF0402" w:rsidSect="00217865">
          <w:type w:val="continuous"/>
          <w:pgSz w:w="12240" w:h="15840"/>
          <w:pgMar w:top="720" w:right="720" w:bottom="720" w:left="720" w:header="708" w:footer="708" w:gutter="0"/>
          <w:cols w:space="708"/>
          <w:docGrid w:linePitch="360"/>
        </w:sectPr>
      </w:pPr>
    </w:p>
    <w:p w:rsidR="00F74BEE" w:rsidRPr="00FA3260" w:rsidRDefault="00F74BEE" w:rsidP="00C03EBC">
      <w:pPr>
        <w:shd w:val="clear" w:color="auto" w:fill="FFFFFF"/>
        <w:spacing w:before="100" w:beforeAutospacing="1" w:after="100" w:afterAutospacing="1" w:line="240" w:lineRule="auto"/>
        <w:rPr>
          <w:rFonts w:cs="Times New Roman"/>
          <w:color w:val="000000"/>
          <w:u w:val="single"/>
        </w:rPr>
      </w:pPr>
      <w:r w:rsidRPr="00FA3260">
        <w:rPr>
          <w:rFonts w:cs="Times New Roman"/>
          <w:color w:val="000000"/>
          <w:u w:val="single"/>
        </w:rPr>
        <w:t>Histoire obstétricale</w:t>
      </w:r>
      <w:r w:rsidR="00EF0402">
        <w:rPr>
          <w:rFonts w:cs="Times New Roman"/>
          <w:color w:val="000000"/>
          <w:u w:val="single"/>
        </w:rPr>
        <w:t xml:space="preserve"> / HMA</w:t>
      </w:r>
    </w:p>
    <w:p w:rsidR="00F74BEE" w:rsidRPr="009B290F" w:rsidRDefault="00F74BEE" w:rsidP="000665D6">
      <w:pPr>
        <w:pStyle w:val="Paragraphedeliste"/>
        <w:numPr>
          <w:ilvl w:val="0"/>
          <w:numId w:val="412"/>
        </w:numPr>
        <w:shd w:val="clear" w:color="auto" w:fill="FFFFFF"/>
        <w:spacing w:after="0" w:line="240" w:lineRule="auto"/>
        <w:rPr>
          <w:rFonts w:cs="Times New Roman"/>
          <w:color w:val="000000"/>
          <w:highlight w:val="yellow"/>
        </w:rPr>
      </w:pPr>
      <w:r w:rsidRPr="009B290F">
        <w:rPr>
          <w:rFonts w:cs="Times New Roman"/>
          <w:color w:val="000000"/>
          <w:highlight w:val="yellow"/>
        </w:rPr>
        <w:t>ATCD obstétricaux</w:t>
      </w:r>
      <w:r w:rsidR="00BA3ECF" w:rsidRPr="009B290F">
        <w:rPr>
          <w:rFonts w:cs="Times New Roman"/>
          <w:color w:val="000000"/>
          <w:highlight w:val="yellow"/>
        </w:rPr>
        <w:t> : Grossesse, partum, avortements (GPA)</w:t>
      </w:r>
    </w:p>
    <w:p w:rsidR="00BA3ECF" w:rsidRPr="00FA3260" w:rsidRDefault="00BA3ECF" w:rsidP="000665D6">
      <w:pPr>
        <w:pStyle w:val="Paragraphedeliste"/>
        <w:numPr>
          <w:ilvl w:val="0"/>
          <w:numId w:val="412"/>
        </w:numPr>
        <w:shd w:val="clear" w:color="auto" w:fill="FFFFFF"/>
        <w:spacing w:after="0" w:line="240" w:lineRule="auto"/>
        <w:rPr>
          <w:rFonts w:cs="Times New Roman"/>
          <w:color w:val="000000"/>
        </w:rPr>
      </w:pPr>
      <w:r w:rsidRPr="00FA3260">
        <w:rPr>
          <w:rFonts w:cs="Times New Roman"/>
          <w:color w:val="000000"/>
        </w:rPr>
        <w:t>ATCD gynécologiques (ITSS)</w:t>
      </w:r>
    </w:p>
    <w:p w:rsidR="00BA3ECF" w:rsidRPr="00FA3260" w:rsidRDefault="00F74BEE" w:rsidP="000665D6">
      <w:pPr>
        <w:pStyle w:val="Paragraphedeliste"/>
        <w:numPr>
          <w:ilvl w:val="0"/>
          <w:numId w:val="412"/>
        </w:numPr>
        <w:shd w:val="clear" w:color="auto" w:fill="FFFFFF"/>
        <w:spacing w:after="0" w:line="240" w:lineRule="auto"/>
        <w:rPr>
          <w:rFonts w:cs="Times New Roman"/>
          <w:color w:val="000000"/>
        </w:rPr>
      </w:pPr>
      <w:r w:rsidRPr="00FA3260">
        <w:rPr>
          <w:rFonts w:cs="Times New Roman"/>
          <w:color w:val="000000"/>
        </w:rPr>
        <w:t>Différents pères ?</w:t>
      </w:r>
      <w:r w:rsidR="00BA3ECF" w:rsidRPr="00FA3260">
        <w:rPr>
          <w:rFonts w:cs="Times New Roman"/>
          <w:color w:val="000000"/>
        </w:rPr>
        <w:t xml:space="preserve"> Avortements consécutif ?</w:t>
      </w:r>
    </w:p>
    <w:p w:rsidR="00F74BEE" w:rsidRPr="009B290F" w:rsidRDefault="00F74BEE" w:rsidP="000665D6">
      <w:pPr>
        <w:pStyle w:val="Paragraphedeliste"/>
        <w:numPr>
          <w:ilvl w:val="0"/>
          <w:numId w:val="412"/>
        </w:numPr>
        <w:shd w:val="clear" w:color="auto" w:fill="FFFFFF"/>
        <w:spacing w:after="0" w:line="240" w:lineRule="auto"/>
        <w:rPr>
          <w:rFonts w:cs="Times New Roman"/>
          <w:color w:val="000000"/>
          <w:highlight w:val="yellow"/>
        </w:rPr>
      </w:pPr>
      <w:r w:rsidRPr="009B290F">
        <w:rPr>
          <w:rFonts w:cs="Times New Roman"/>
          <w:color w:val="000000"/>
          <w:highlight w:val="yellow"/>
        </w:rPr>
        <w:t>Stade de la grossesse actuelle</w:t>
      </w:r>
      <w:r w:rsidR="00BA3ECF" w:rsidRPr="009B290F">
        <w:rPr>
          <w:rFonts w:cs="Times New Roman"/>
          <w:color w:val="000000"/>
          <w:highlight w:val="yellow"/>
        </w:rPr>
        <w:t> :</w:t>
      </w:r>
      <w:r w:rsidRPr="009B290F">
        <w:rPr>
          <w:rFonts w:cs="Times New Roman"/>
          <w:color w:val="000000"/>
          <w:highlight w:val="yellow"/>
        </w:rPr>
        <w:t xml:space="preserve"> DDM</w:t>
      </w:r>
      <w:r w:rsidR="00BA3ECF" w:rsidRPr="009B290F">
        <w:rPr>
          <w:rFonts w:cs="Times New Roman"/>
          <w:color w:val="000000"/>
          <w:highlight w:val="yellow"/>
        </w:rPr>
        <w:t xml:space="preserve"> </w:t>
      </w:r>
      <w:r w:rsidRPr="009B290F">
        <w:rPr>
          <w:rFonts w:cs="Times New Roman"/>
          <w:color w:val="000000"/>
          <w:highlight w:val="yellow"/>
        </w:rPr>
        <w:t>/</w:t>
      </w:r>
      <w:r w:rsidR="00BA3ECF" w:rsidRPr="009B290F">
        <w:rPr>
          <w:rFonts w:cs="Times New Roman"/>
          <w:color w:val="000000"/>
          <w:highlight w:val="yellow"/>
        </w:rPr>
        <w:t xml:space="preserve"> </w:t>
      </w:r>
      <w:r w:rsidRPr="009B290F">
        <w:rPr>
          <w:rFonts w:cs="Times New Roman"/>
          <w:color w:val="000000"/>
          <w:highlight w:val="yellow"/>
        </w:rPr>
        <w:t>écho</w:t>
      </w:r>
      <w:r w:rsidR="00BA3ECF" w:rsidRPr="009B290F">
        <w:rPr>
          <w:rFonts w:cs="Times New Roman"/>
          <w:color w:val="000000"/>
          <w:highlight w:val="yellow"/>
        </w:rPr>
        <w:t xml:space="preserve"> obstétricale ?</w:t>
      </w:r>
    </w:p>
    <w:p w:rsidR="00BA3ECF" w:rsidRPr="009B290F" w:rsidRDefault="00BA3ECF" w:rsidP="000665D6">
      <w:pPr>
        <w:pStyle w:val="Paragraphedeliste"/>
        <w:numPr>
          <w:ilvl w:val="0"/>
          <w:numId w:val="412"/>
        </w:numPr>
        <w:shd w:val="clear" w:color="auto" w:fill="FFFFFF"/>
        <w:spacing w:after="0" w:line="240" w:lineRule="auto"/>
        <w:rPr>
          <w:rFonts w:cs="Times New Roman"/>
          <w:color w:val="000000"/>
          <w:highlight w:val="yellow"/>
        </w:rPr>
      </w:pPr>
      <w:r w:rsidRPr="009B290F">
        <w:rPr>
          <w:rFonts w:cs="Times New Roman"/>
          <w:color w:val="000000"/>
          <w:highlight w:val="yellow"/>
        </w:rPr>
        <w:t>Grossesse désirée ?</w:t>
      </w:r>
    </w:p>
    <w:p w:rsidR="008E5A35" w:rsidRPr="00EF0402" w:rsidRDefault="00F74BEE" w:rsidP="000665D6">
      <w:pPr>
        <w:pStyle w:val="Paragraphedeliste"/>
        <w:numPr>
          <w:ilvl w:val="0"/>
          <w:numId w:val="412"/>
        </w:numPr>
        <w:shd w:val="clear" w:color="auto" w:fill="FFFFFF"/>
        <w:spacing w:after="0" w:line="240" w:lineRule="auto"/>
        <w:rPr>
          <w:rFonts w:cs="Times New Roman"/>
          <w:color w:val="000000"/>
        </w:rPr>
      </w:pPr>
      <w:r w:rsidRPr="00FA3260">
        <w:rPr>
          <w:rFonts w:cs="Times New Roman"/>
          <w:color w:val="000000"/>
        </w:rPr>
        <w:t>Suivi</w:t>
      </w:r>
      <w:r w:rsidR="00BA3ECF" w:rsidRPr="00FA3260">
        <w:rPr>
          <w:rFonts w:cs="Times New Roman"/>
          <w:color w:val="000000"/>
        </w:rPr>
        <w:t xml:space="preserve"> effectué</w:t>
      </w:r>
      <w:r w:rsidR="008E5A35" w:rsidRPr="00EF0402">
        <w:rPr>
          <w:rFonts w:cs="Times New Roman"/>
          <w:color w:val="000000"/>
          <w:u w:val="single"/>
        </w:rPr>
        <w:t xml:space="preserve"> </w:t>
      </w:r>
    </w:p>
    <w:p w:rsidR="00EF0402" w:rsidRPr="00EF0402" w:rsidRDefault="00EF0402" w:rsidP="00EF0402">
      <w:pPr>
        <w:pStyle w:val="Paragraphedeliste"/>
        <w:shd w:val="clear" w:color="auto" w:fill="FFFFFF"/>
        <w:spacing w:after="0" w:line="240" w:lineRule="auto"/>
        <w:ind w:left="1080"/>
        <w:rPr>
          <w:rFonts w:cs="Times New Roman"/>
          <w:color w:val="000000"/>
        </w:rPr>
      </w:pPr>
    </w:p>
    <w:p w:rsidR="008E5A35" w:rsidRPr="008E5A35" w:rsidRDefault="008E5A35" w:rsidP="000665D6">
      <w:pPr>
        <w:pStyle w:val="Paragraphedeliste"/>
        <w:numPr>
          <w:ilvl w:val="0"/>
          <w:numId w:val="414"/>
        </w:numPr>
        <w:shd w:val="clear" w:color="auto" w:fill="FFFFFF"/>
        <w:spacing w:before="100" w:beforeAutospacing="1" w:after="100" w:afterAutospacing="1" w:line="240" w:lineRule="auto"/>
        <w:rPr>
          <w:rFonts w:cs="Times New Roman"/>
          <w:color w:val="000000"/>
        </w:rPr>
      </w:pPr>
      <w:r w:rsidRPr="008E5A35">
        <w:rPr>
          <w:rFonts w:cs="Times New Roman"/>
          <w:color w:val="000000"/>
        </w:rPr>
        <w:t>Date/heure</w:t>
      </w:r>
      <w:r w:rsidR="00EF0402">
        <w:rPr>
          <w:rFonts w:cs="Times New Roman"/>
          <w:color w:val="000000"/>
        </w:rPr>
        <w:t xml:space="preserve"> de l’évènement</w:t>
      </w:r>
      <w:r w:rsidRPr="008E5A35">
        <w:rPr>
          <w:rFonts w:cs="Times New Roman"/>
          <w:color w:val="000000"/>
        </w:rPr>
        <w:t xml:space="preserve"> ?</w:t>
      </w:r>
    </w:p>
    <w:p w:rsidR="008E5A35" w:rsidRPr="009B290F" w:rsidRDefault="008E5A35" w:rsidP="000665D6">
      <w:pPr>
        <w:pStyle w:val="Paragraphedeliste"/>
        <w:numPr>
          <w:ilvl w:val="0"/>
          <w:numId w:val="414"/>
        </w:numPr>
        <w:shd w:val="clear" w:color="auto" w:fill="FFFFFF"/>
        <w:spacing w:before="100" w:beforeAutospacing="1" w:after="100" w:afterAutospacing="1" w:line="240" w:lineRule="auto"/>
        <w:rPr>
          <w:rFonts w:cs="Times New Roman"/>
          <w:color w:val="000000"/>
          <w:highlight w:val="yellow"/>
        </w:rPr>
      </w:pPr>
      <w:r w:rsidRPr="009B290F">
        <w:rPr>
          <w:rFonts w:cs="Times New Roman"/>
          <w:color w:val="000000"/>
          <w:highlight w:val="yellow"/>
        </w:rPr>
        <w:t>Douleur</w:t>
      </w:r>
      <w:r w:rsidR="00EF0402" w:rsidRPr="009B290F">
        <w:rPr>
          <w:rFonts w:cs="Times New Roman"/>
          <w:color w:val="000000"/>
          <w:highlight w:val="yellow"/>
        </w:rPr>
        <w:t xml:space="preserve"> ?</w:t>
      </w:r>
    </w:p>
    <w:p w:rsidR="008E5A35" w:rsidRPr="009B290F" w:rsidRDefault="008E5A35" w:rsidP="000665D6">
      <w:pPr>
        <w:pStyle w:val="Paragraphedeliste"/>
        <w:numPr>
          <w:ilvl w:val="0"/>
          <w:numId w:val="414"/>
        </w:numPr>
        <w:shd w:val="clear" w:color="auto" w:fill="FFFFFF"/>
        <w:spacing w:before="100" w:beforeAutospacing="1" w:after="100" w:afterAutospacing="1" w:line="240" w:lineRule="auto"/>
        <w:rPr>
          <w:rFonts w:cs="Times New Roman"/>
          <w:color w:val="000000"/>
          <w:highlight w:val="yellow"/>
        </w:rPr>
      </w:pPr>
      <w:r w:rsidRPr="009B290F">
        <w:rPr>
          <w:rFonts w:cs="Times New Roman"/>
          <w:color w:val="000000"/>
          <w:highlight w:val="yellow"/>
        </w:rPr>
        <w:t>Saignement ? Contenu muqueux / solide ?</w:t>
      </w:r>
    </w:p>
    <w:p w:rsidR="00EF0402" w:rsidRDefault="00EF0402" w:rsidP="000665D6">
      <w:pPr>
        <w:pStyle w:val="Paragraphedeliste"/>
        <w:numPr>
          <w:ilvl w:val="0"/>
          <w:numId w:val="414"/>
        </w:numPr>
        <w:shd w:val="clear" w:color="auto" w:fill="FFFFFF"/>
        <w:spacing w:before="100" w:beforeAutospacing="1" w:after="100" w:afterAutospacing="1" w:line="240" w:lineRule="auto"/>
        <w:rPr>
          <w:rFonts w:cs="Times New Roman"/>
          <w:color w:val="000000"/>
        </w:rPr>
      </w:pPr>
      <w:r>
        <w:rPr>
          <w:rFonts w:cs="Times New Roman"/>
          <w:color w:val="000000"/>
        </w:rPr>
        <w:t>Émotions associées</w:t>
      </w:r>
    </w:p>
    <w:p w:rsidR="00EF0402" w:rsidRDefault="001D48FD" w:rsidP="00EF0402">
      <w:pPr>
        <w:pStyle w:val="Paragraphedeliste"/>
        <w:shd w:val="clear" w:color="auto" w:fill="FFFFFF"/>
        <w:spacing w:before="100" w:beforeAutospacing="1" w:after="100" w:afterAutospacing="1" w:line="240" w:lineRule="auto"/>
        <w:ind w:left="1068"/>
        <w:rPr>
          <w:rFonts w:cs="Times New Roman"/>
          <w:color w:val="000000"/>
        </w:rPr>
      </w:pPr>
      <w:r>
        <w:rPr>
          <w:noProof/>
          <w:lang w:eastAsia="fr-CA"/>
        </w:rPr>
        <w:drawing>
          <wp:anchor distT="0" distB="0" distL="114300" distR="114300" simplePos="0" relativeHeight="251772928" behindDoc="0" locked="0" layoutInCell="1" allowOverlap="1" wp14:anchorId="7D169389" wp14:editId="6626E29B">
            <wp:simplePos x="0" y="0"/>
            <wp:positionH relativeFrom="column">
              <wp:posOffset>476210</wp:posOffset>
            </wp:positionH>
            <wp:positionV relativeFrom="paragraph">
              <wp:posOffset>130527</wp:posOffset>
            </wp:positionV>
            <wp:extent cx="2859932" cy="2023353"/>
            <wp:effectExtent l="76200" t="76200" r="131445" b="129540"/>
            <wp:wrapNone/>
            <wp:docPr id="289" name="Image 289" descr="Résultats de recherche d'images pour « écho dati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Résultats de recherche d'images pour « écho dating »"/>
                    <pic:cNvPicPr>
                      <a:picLocks noChangeAspect="1" noChangeArrowheads="1"/>
                    </pic:cNvPicPr>
                  </pic:nvPicPr>
                  <pic:blipFill rotWithShape="1">
                    <a:blip r:embed="rId313">
                      <a:extLst>
                        <a:ext uri="{28A0092B-C50C-407E-A947-70E740481C1C}">
                          <a14:useLocalDpi xmlns:a14="http://schemas.microsoft.com/office/drawing/2010/main" val="0"/>
                        </a:ext>
                      </a:extLst>
                    </a:blip>
                    <a:srcRect l="6383" r="4256" b="13941"/>
                    <a:stretch/>
                  </pic:blipFill>
                  <pic:spPr bwMode="auto">
                    <a:xfrm>
                      <a:off x="0" y="0"/>
                      <a:ext cx="2859932" cy="2023353"/>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EF0402" w:rsidRDefault="00EF0402" w:rsidP="00EF0402">
      <w:pPr>
        <w:pStyle w:val="Paragraphedeliste"/>
        <w:shd w:val="clear" w:color="auto" w:fill="FFFFFF"/>
        <w:spacing w:before="100" w:beforeAutospacing="1" w:after="100" w:afterAutospacing="1" w:line="240" w:lineRule="auto"/>
        <w:ind w:left="1068"/>
        <w:rPr>
          <w:rFonts w:cs="Times New Roman"/>
          <w:color w:val="000000"/>
        </w:rPr>
      </w:pPr>
    </w:p>
    <w:p w:rsidR="00EF0402" w:rsidRDefault="00EF0402" w:rsidP="00EF0402">
      <w:pPr>
        <w:pStyle w:val="Paragraphedeliste"/>
        <w:shd w:val="clear" w:color="auto" w:fill="FFFFFF"/>
        <w:spacing w:before="100" w:beforeAutospacing="1" w:after="100" w:afterAutospacing="1" w:line="240" w:lineRule="auto"/>
        <w:ind w:left="1068"/>
        <w:rPr>
          <w:rFonts w:cs="Times New Roman"/>
          <w:color w:val="000000"/>
        </w:rPr>
      </w:pPr>
    </w:p>
    <w:p w:rsidR="00EF0402" w:rsidRDefault="00EF0402" w:rsidP="00EF0402">
      <w:pPr>
        <w:pStyle w:val="Paragraphedeliste"/>
        <w:shd w:val="clear" w:color="auto" w:fill="FFFFFF"/>
        <w:spacing w:before="100" w:beforeAutospacing="1" w:after="100" w:afterAutospacing="1" w:line="240" w:lineRule="auto"/>
        <w:ind w:left="1068"/>
        <w:rPr>
          <w:rFonts w:cs="Times New Roman"/>
          <w:color w:val="000000"/>
        </w:rPr>
      </w:pPr>
    </w:p>
    <w:p w:rsidR="00121E99" w:rsidRDefault="00121E99" w:rsidP="00EF0402">
      <w:pPr>
        <w:pStyle w:val="Paragraphedeliste"/>
        <w:shd w:val="clear" w:color="auto" w:fill="FFFFFF"/>
        <w:spacing w:before="100" w:beforeAutospacing="1" w:after="100" w:afterAutospacing="1" w:line="240" w:lineRule="auto"/>
        <w:ind w:left="1068"/>
        <w:rPr>
          <w:rFonts w:cs="Times New Roman"/>
          <w:color w:val="000000"/>
        </w:rPr>
      </w:pPr>
    </w:p>
    <w:p w:rsidR="00121E99" w:rsidRDefault="00121E99" w:rsidP="00EF0402">
      <w:pPr>
        <w:pStyle w:val="Paragraphedeliste"/>
        <w:shd w:val="clear" w:color="auto" w:fill="FFFFFF"/>
        <w:spacing w:before="100" w:beforeAutospacing="1" w:after="100" w:afterAutospacing="1" w:line="240" w:lineRule="auto"/>
        <w:ind w:left="1068"/>
        <w:rPr>
          <w:rFonts w:cs="Times New Roman"/>
          <w:color w:val="000000"/>
        </w:rPr>
      </w:pPr>
    </w:p>
    <w:p w:rsidR="00121E99" w:rsidRDefault="00121E99" w:rsidP="00EF0402">
      <w:pPr>
        <w:pStyle w:val="Paragraphedeliste"/>
        <w:shd w:val="clear" w:color="auto" w:fill="FFFFFF"/>
        <w:spacing w:before="100" w:beforeAutospacing="1" w:after="100" w:afterAutospacing="1" w:line="240" w:lineRule="auto"/>
        <w:ind w:left="1068"/>
        <w:rPr>
          <w:rFonts w:cs="Times New Roman"/>
          <w:color w:val="000000"/>
        </w:rPr>
      </w:pPr>
    </w:p>
    <w:p w:rsidR="00121E99" w:rsidRDefault="00121E99" w:rsidP="00EF0402">
      <w:pPr>
        <w:pStyle w:val="Paragraphedeliste"/>
        <w:shd w:val="clear" w:color="auto" w:fill="FFFFFF"/>
        <w:spacing w:before="100" w:beforeAutospacing="1" w:after="100" w:afterAutospacing="1" w:line="240" w:lineRule="auto"/>
        <w:ind w:left="1068"/>
        <w:rPr>
          <w:rFonts w:cs="Times New Roman"/>
          <w:color w:val="000000"/>
        </w:rPr>
      </w:pPr>
    </w:p>
    <w:p w:rsidR="00121E99" w:rsidRDefault="00121E99" w:rsidP="00EF0402">
      <w:pPr>
        <w:pStyle w:val="Paragraphedeliste"/>
        <w:shd w:val="clear" w:color="auto" w:fill="FFFFFF"/>
        <w:spacing w:before="100" w:beforeAutospacing="1" w:after="100" w:afterAutospacing="1" w:line="240" w:lineRule="auto"/>
        <w:ind w:left="1068"/>
        <w:rPr>
          <w:rFonts w:cs="Times New Roman"/>
          <w:color w:val="000000"/>
        </w:rPr>
      </w:pPr>
    </w:p>
    <w:p w:rsidR="00121E99" w:rsidRDefault="00121E99" w:rsidP="00EF0402">
      <w:pPr>
        <w:pStyle w:val="Paragraphedeliste"/>
        <w:shd w:val="clear" w:color="auto" w:fill="FFFFFF"/>
        <w:spacing w:before="100" w:beforeAutospacing="1" w:after="100" w:afterAutospacing="1" w:line="240" w:lineRule="auto"/>
        <w:ind w:left="1068"/>
        <w:rPr>
          <w:rFonts w:cs="Times New Roman"/>
          <w:color w:val="000000"/>
        </w:rPr>
      </w:pPr>
    </w:p>
    <w:p w:rsidR="00121E99" w:rsidRPr="008E5A35" w:rsidRDefault="00121E99" w:rsidP="00EF0402">
      <w:pPr>
        <w:pStyle w:val="Paragraphedeliste"/>
        <w:shd w:val="clear" w:color="auto" w:fill="FFFFFF"/>
        <w:spacing w:before="100" w:beforeAutospacing="1" w:after="100" w:afterAutospacing="1" w:line="240" w:lineRule="auto"/>
        <w:ind w:left="1068"/>
        <w:rPr>
          <w:rFonts w:cs="Times New Roman"/>
          <w:color w:val="000000"/>
        </w:rPr>
      </w:pPr>
    </w:p>
    <w:p w:rsidR="00A11CF0" w:rsidRDefault="00A11CF0" w:rsidP="00C03EBC">
      <w:pPr>
        <w:shd w:val="clear" w:color="auto" w:fill="FFFFFF"/>
        <w:spacing w:before="100" w:beforeAutospacing="1" w:after="100" w:afterAutospacing="1" w:line="240" w:lineRule="auto"/>
        <w:rPr>
          <w:rFonts w:cs="Times New Roman"/>
          <w:color w:val="000000"/>
          <w:u w:val="single"/>
        </w:rPr>
      </w:pPr>
    </w:p>
    <w:p w:rsidR="00BA3ECF" w:rsidRPr="00FA3260" w:rsidRDefault="00BA3ECF" w:rsidP="00C03EBC">
      <w:pPr>
        <w:shd w:val="clear" w:color="auto" w:fill="FFFFFF"/>
        <w:spacing w:before="100" w:beforeAutospacing="1" w:after="100" w:afterAutospacing="1" w:line="240" w:lineRule="auto"/>
        <w:rPr>
          <w:rFonts w:cs="Times New Roman"/>
          <w:color w:val="000000"/>
          <w:u w:val="single"/>
        </w:rPr>
      </w:pPr>
      <w:r w:rsidRPr="00FA3260">
        <w:rPr>
          <w:rFonts w:cs="Times New Roman"/>
          <w:color w:val="000000"/>
          <w:u w:val="single"/>
        </w:rPr>
        <w:t>Examen physique</w:t>
      </w:r>
    </w:p>
    <w:p w:rsidR="00BA3ECF" w:rsidRPr="009B290F" w:rsidRDefault="00BA3ECF" w:rsidP="000665D6">
      <w:pPr>
        <w:pStyle w:val="Paragraphedeliste"/>
        <w:numPr>
          <w:ilvl w:val="0"/>
          <w:numId w:val="411"/>
        </w:numPr>
        <w:shd w:val="clear" w:color="auto" w:fill="FFFFFF"/>
        <w:spacing w:after="0" w:line="240" w:lineRule="auto"/>
        <w:rPr>
          <w:rFonts w:cs="Times New Roman"/>
          <w:color w:val="000000"/>
          <w:highlight w:val="yellow"/>
        </w:rPr>
      </w:pPr>
      <w:r w:rsidRPr="009B290F">
        <w:rPr>
          <w:rFonts w:cs="Times New Roman"/>
          <w:color w:val="000000"/>
          <w:highlight w:val="yellow"/>
        </w:rPr>
        <w:t>Tension artérielle ? Signes d’hypovolémie ?</w:t>
      </w:r>
    </w:p>
    <w:p w:rsidR="00BA3ECF" w:rsidRPr="009B290F" w:rsidRDefault="00BA3ECF" w:rsidP="000665D6">
      <w:pPr>
        <w:pStyle w:val="Paragraphedeliste"/>
        <w:numPr>
          <w:ilvl w:val="0"/>
          <w:numId w:val="411"/>
        </w:numPr>
        <w:shd w:val="clear" w:color="auto" w:fill="FFFFFF"/>
        <w:spacing w:after="0" w:line="240" w:lineRule="auto"/>
        <w:rPr>
          <w:rFonts w:cs="Times New Roman"/>
          <w:color w:val="000000"/>
          <w:highlight w:val="yellow"/>
        </w:rPr>
      </w:pPr>
      <w:r w:rsidRPr="009B290F">
        <w:rPr>
          <w:rFonts w:cs="Times New Roman"/>
          <w:color w:val="000000"/>
          <w:highlight w:val="yellow"/>
        </w:rPr>
        <w:t>C</w:t>
      </w:r>
      <w:r w:rsidR="00F74BEE" w:rsidRPr="009B290F">
        <w:rPr>
          <w:rFonts w:cs="Times New Roman"/>
          <w:color w:val="000000"/>
          <w:highlight w:val="yellow"/>
        </w:rPr>
        <w:t xml:space="preserve">ol ouvert/fermé ? </w:t>
      </w:r>
    </w:p>
    <w:p w:rsidR="00BA3ECF" w:rsidRPr="00FA3260" w:rsidRDefault="00BA3ECF" w:rsidP="000665D6">
      <w:pPr>
        <w:pStyle w:val="Paragraphedeliste"/>
        <w:numPr>
          <w:ilvl w:val="0"/>
          <w:numId w:val="411"/>
        </w:numPr>
        <w:shd w:val="clear" w:color="auto" w:fill="FFFFFF"/>
        <w:spacing w:after="0" w:line="240" w:lineRule="auto"/>
        <w:rPr>
          <w:rFonts w:cs="Times New Roman"/>
          <w:color w:val="000000"/>
        </w:rPr>
      </w:pPr>
      <w:r w:rsidRPr="00FA3260">
        <w:rPr>
          <w:rFonts w:cs="Times New Roman"/>
          <w:color w:val="000000"/>
        </w:rPr>
        <w:t>Saignement</w:t>
      </w:r>
      <w:r w:rsidR="00F74BEE" w:rsidRPr="00FA3260">
        <w:rPr>
          <w:rFonts w:cs="Times New Roman"/>
          <w:color w:val="000000"/>
        </w:rPr>
        <w:t xml:space="preserve"> ? </w:t>
      </w:r>
    </w:p>
    <w:p w:rsidR="00F74BEE" w:rsidRPr="00FA3260" w:rsidRDefault="00BA3ECF" w:rsidP="000665D6">
      <w:pPr>
        <w:pStyle w:val="Paragraphedeliste"/>
        <w:numPr>
          <w:ilvl w:val="0"/>
          <w:numId w:val="411"/>
        </w:numPr>
        <w:shd w:val="clear" w:color="auto" w:fill="FFFFFF"/>
        <w:spacing w:after="0" w:line="240" w:lineRule="auto"/>
        <w:rPr>
          <w:rFonts w:cs="Times New Roman"/>
          <w:color w:val="000000"/>
        </w:rPr>
      </w:pPr>
      <w:r w:rsidRPr="00FA3260">
        <w:rPr>
          <w:rFonts w:cs="Times New Roman"/>
          <w:color w:val="000000"/>
        </w:rPr>
        <w:t>Douleur</w:t>
      </w:r>
      <w:r w:rsidR="00F74BEE" w:rsidRPr="00FA3260">
        <w:rPr>
          <w:rFonts w:cs="Times New Roman"/>
          <w:color w:val="000000"/>
        </w:rPr>
        <w:t xml:space="preserve"> </w:t>
      </w:r>
      <w:r w:rsidRPr="00FA3260">
        <w:rPr>
          <w:rFonts w:cs="Times New Roman"/>
          <w:color w:val="000000"/>
        </w:rPr>
        <w:t>abdominale</w:t>
      </w:r>
      <w:r w:rsidR="00F74BEE" w:rsidRPr="00FA3260">
        <w:rPr>
          <w:rFonts w:cs="Times New Roman"/>
          <w:color w:val="000000"/>
        </w:rPr>
        <w:t>/utérine ?</w:t>
      </w:r>
    </w:p>
    <w:p w:rsidR="00C03EBC" w:rsidRPr="00C03EBC" w:rsidRDefault="00C03EBC" w:rsidP="00C03EBC">
      <w:pPr>
        <w:shd w:val="clear" w:color="auto" w:fill="FFFFFF"/>
        <w:spacing w:before="100" w:beforeAutospacing="1" w:after="100" w:afterAutospacing="1" w:line="240" w:lineRule="auto"/>
        <w:rPr>
          <w:rFonts w:cs="Times New Roman"/>
          <w:color w:val="000000"/>
        </w:rPr>
      </w:pPr>
      <w:r w:rsidRPr="00C03EBC">
        <w:rPr>
          <w:rFonts w:cs="Times New Roman"/>
          <w:color w:val="000000"/>
          <w:u w:val="single"/>
        </w:rPr>
        <w:t>Laboratoires de bases</w:t>
      </w:r>
    </w:p>
    <w:p w:rsidR="00C03EBC" w:rsidRPr="00C03EBC" w:rsidRDefault="00C03EBC" w:rsidP="000665D6">
      <w:pPr>
        <w:pStyle w:val="Paragraphedeliste"/>
        <w:numPr>
          <w:ilvl w:val="0"/>
          <w:numId w:val="411"/>
        </w:numPr>
        <w:shd w:val="clear" w:color="auto" w:fill="FFFFFF"/>
        <w:spacing w:before="100" w:beforeAutospacing="1" w:after="100" w:afterAutospacing="1" w:line="240" w:lineRule="auto"/>
        <w:rPr>
          <w:rFonts w:cs="Times New Roman"/>
          <w:color w:val="000000"/>
        </w:rPr>
      </w:pPr>
      <w:r w:rsidRPr="00C03EBC">
        <w:rPr>
          <w:rFonts w:cs="Times New Roman"/>
          <w:color w:val="000000"/>
        </w:rPr>
        <w:t>B-HCG, FSC, statut RH (groupe sanguin)</w:t>
      </w:r>
    </w:p>
    <w:p w:rsidR="00C03EBC" w:rsidRDefault="00F74BEE" w:rsidP="00C03EBC">
      <w:pPr>
        <w:shd w:val="clear" w:color="auto" w:fill="FFFFFF"/>
        <w:spacing w:before="100" w:beforeAutospacing="1" w:after="100" w:afterAutospacing="1" w:line="240" w:lineRule="auto"/>
        <w:rPr>
          <w:rFonts w:cs="Times New Roman"/>
          <w:color w:val="000000"/>
        </w:rPr>
      </w:pPr>
      <w:r w:rsidRPr="00C03EBC">
        <w:rPr>
          <w:rFonts w:cs="Times New Roman"/>
          <w:color w:val="000000"/>
          <w:u w:val="single"/>
        </w:rPr>
        <w:t>Écho</w:t>
      </w:r>
      <w:r w:rsidR="00BA3ECF" w:rsidRPr="00C03EBC">
        <w:rPr>
          <w:rFonts w:cs="Times New Roman"/>
          <w:color w:val="000000"/>
          <w:u w:val="single"/>
        </w:rPr>
        <w:t>graphie</w:t>
      </w:r>
      <w:r w:rsidRPr="00C03EBC">
        <w:rPr>
          <w:rFonts w:cs="Times New Roman"/>
          <w:color w:val="000000"/>
          <w:u w:val="single"/>
        </w:rPr>
        <w:t xml:space="preserve"> endovaginale</w:t>
      </w:r>
      <w:r w:rsidR="00C03EBC">
        <w:rPr>
          <w:rFonts w:cs="Times New Roman"/>
          <w:color w:val="000000"/>
          <w:u w:val="single"/>
        </w:rPr>
        <w:t>/abdominale</w:t>
      </w:r>
      <w:r w:rsidR="00BA3ECF" w:rsidRPr="00FA3260">
        <w:rPr>
          <w:rFonts w:cs="Times New Roman"/>
          <w:color w:val="000000"/>
        </w:rPr>
        <w:t xml:space="preserve"> : </w:t>
      </w:r>
    </w:p>
    <w:p w:rsidR="00F74BEE" w:rsidRPr="00C03EBC" w:rsidRDefault="00C03EBC" w:rsidP="000665D6">
      <w:pPr>
        <w:pStyle w:val="Paragraphedeliste"/>
        <w:numPr>
          <w:ilvl w:val="0"/>
          <w:numId w:val="413"/>
        </w:numPr>
        <w:shd w:val="clear" w:color="auto" w:fill="FFFFFF"/>
        <w:spacing w:before="100" w:beforeAutospacing="1" w:after="100" w:afterAutospacing="1" w:line="240" w:lineRule="auto"/>
        <w:rPr>
          <w:rFonts w:cs="Times New Roman"/>
          <w:color w:val="000000"/>
        </w:rPr>
      </w:pPr>
      <w:r w:rsidRPr="00C03EBC">
        <w:rPr>
          <w:rFonts w:cs="Times New Roman"/>
          <w:color w:val="000000"/>
        </w:rPr>
        <w:t>M</w:t>
      </w:r>
      <w:r w:rsidR="00BA3ECF" w:rsidRPr="00C03EBC">
        <w:rPr>
          <w:rFonts w:cs="Times New Roman"/>
          <w:color w:val="000000"/>
        </w:rPr>
        <w:t>eilleure visualisation</w:t>
      </w:r>
      <w:r w:rsidRPr="00C03EBC">
        <w:rPr>
          <w:rFonts w:cs="Times New Roman"/>
          <w:color w:val="000000"/>
        </w:rPr>
        <w:t xml:space="preserve"> endovaginale</w:t>
      </w:r>
      <w:r w:rsidR="00BA3ECF" w:rsidRPr="00C03EBC">
        <w:rPr>
          <w:rFonts w:cs="Times New Roman"/>
          <w:color w:val="000000"/>
        </w:rPr>
        <w:t xml:space="preserve"> du contenu utérin en début de grossesse</w:t>
      </w:r>
    </w:p>
    <w:p w:rsidR="00C03EBC" w:rsidRDefault="00C03EBC" w:rsidP="000665D6">
      <w:pPr>
        <w:pStyle w:val="Paragraphedeliste"/>
        <w:numPr>
          <w:ilvl w:val="0"/>
          <w:numId w:val="413"/>
        </w:numPr>
        <w:shd w:val="clear" w:color="auto" w:fill="FFFFFF"/>
        <w:spacing w:before="100" w:beforeAutospacing="1" w:after="100" w:afterAutospacing="1" w:line="240" w:lineRule="auto"/>
        <w:rPr>
          <w:rFonts w:cs="Times New Roman"/>
          <w:color w:val="000000"/>
        </w:rPr>
      </w:pPr>
      <w:r w:rsidRPr="00C03EBC">
        <w:rPr>
          <w:rFonts w:cs="Times New Roman"/>
          <w:color w:val="000000"/>
        </w:rPr>
        <w:t>Recherche d’un cœur fœtal</w:t>
      </w:r>
      <w:r w:rsidR="0031509E">
        <w:rPr>
          <w:rFonts w:cs="Times New Roman"/>
          <w:color w:val="000000"/>
        </w:rPr>
        <w:t xml:space="preserve"> (CF)</w:t>
      </w:r>
    </w:p>
    <w:p w:rsidR="0031509E" w:rsidRPr="00C03EBC" w:rsidRDefault="0031509E" w:rsidP="000665D6">
      <w:pPr>
        <w:pStyle w:val="Paragraphedeliste"/>
        <w:numPr>
          <w:ilvl w:val="0"/>
          <w:numId w:val="413"/>
        </w:numPr>
        <w:shd w:val="clear" w:color="auto" w:fill="FFFFFF"/>
        <w:spacing w:before="100" w:beforeAutospacing="1" w:after="100" w:afterAutospacing="1" w:line="240" w:lineRule="auto"/>
        <w:rPr>
          <w:rFonts w:cs="Times New Roman"/>
          <w:color w:val="000000"/>
        </w:rPr>
      </w:pPr>
      <w:r>
        <w:rPr>
          <w:rFonts w:cs="Times New Roman"/>
          <w:color w:val="000000"/>
        </w:rPr>
        <w:t>CF visible dès 5-6 semaines</w:t>
      </w:r>
    </w:p>
    <w:p w:rsidR="00C03EBC" w:rsidRPr="00C03EBC" w:rsidRDefault="00C03EBC" w:rsidP="000665D6">
      <w:pPr>
        <w:pStyle w:val="Paragraphedeliste"/>
        <w:numPr>
          <w:ilvl w:val="0"/>
          <w:numId w:val="413"/>
        </w:numPr>
        <w:shd w:val="clear" w:color="auto" w:fill="FFFFFF"/>
        <w:spacing w:before="100" w:beforeAutospacing="1" w:after="100" w:afterAutospacing="1" w:line="240" w:lineRule="auto"/>
        <w:rPr>
          <w:rFonts w:cs="Times New Roman"/>
          <w:color w:val="000000"/>
        </w:rPr>
      </w:pPr>
      <w:r w:rsidRPr="00C03EBC">
        <w:rPr>
          <w:rFonts w:cs="Times New Roman"/>
          <w:color w:val="000000"/>
        </w:rPr>
        <w:t xml:space="preserve">EXCLURE GROSSESSE ECTOPIQUE </w:t>
      </w:r>
      <w:r w:rsidR="00195D72">
        <w:rPr>
          <w:rFonts w:cs="Times New Roman"/>
          <w:color w:val="000000"/>
        </w:rPr>
        <w:t xml:space="preserve">présente </w:t>
      </w:r>
      <w:r w:rsidRPr="00C03EBC">
        <w:rPr>
          <w:rFonts w:cs="Times New Roman"/>
          <w:color w:val="000000"/>
        </w:rPr>
        <w:t>(</w:t>
      </w:r>
      <w:r w:rsidR="00195D72">
        <w:rPr>
          <w:rFonts w:cs="Times New Roman"/>
          <w:color w:val="000000"/>
        </w:rPr>
        <w:t xml:space="preserve">jamais eu </w:t>
      </w:r>
      <w:r w:rsidR="0031509E">
        <w:rPr>
          <w:rFonts w:cs="Times New Roman"/>
          <w:color w:val="000000"/>
        </w:rPr>
        <w:t xml:space="preserve">cœur fœtal </w:t>
      </w:r>
      <w:r w:rsidR="00195D72">
        <w:rPr>
          <w:rFonts w:cs="Times New Roman"/>
          <w:color w:val="000000"/>
        </w:rPr>
        <w:t>+</w:t>
      </w:r>
      <w:r w:rsidR="00AA7D5B">
        <w:rPr>
          <w:rFonts w:cs="Times New Roman"/>
          <w:color w:val="000000"/>
        </w:rPr>
        <w:t>)</w:t>
      </w:r>
      <w:r w:rsidR="00195D72">
        <w:rPr>
          <w:rFonts w:cs="Times New Roman"/>
          <w:color w:val="000000"/>
        </w:rPr>
        <w:t xml:space="preserve"> ou concomitante</w:t>
      </w:r>
    </w:p>
    <w:p w:rsidR="00EF0402" w:rsidRDefault="00EF0402" w:rsidP="00AA7D5B">
      <w:pPr>
        <w:shd w:val="clear" w:color="auto" w:fill="FFFFFF"/>
        <w:spacing w:before="100" w:beforeAutospacing="1" w:after="100" w:afterAutospacing="1" w:line="240" w:lineRule="auto"/>
        <w:rPr>
          <w:rFonts w:cs="Times New Roman"/>
          <w:color w:val="000000"/>
        </w:rPr>
      </w:pPr>
    </w:p>
    <w:p w:rsidR="00121E99" w:rsidRDefault="00121E99" w:rsidP="00AA7D5B">
      <w:pPr>
        <w:shd w:val="clear" w:color="auto" w:fill="FFFFFF"/>
        <w:spacing w:before="100" w:beforeAutospacing="1" w:after="100" w:afterAutospacing="1" w:line="240" w:lineRule="auto"/>
        <w:rPr>
          <w:rFonts w:cs="Times New Roman"/>
          <w:color w:val="000000"/>
        </w:rPr>
      </w:pPr>
    </w:p>
    <w:p w:rsidR="00121E99" w:rsidRPr="008C0347" w:rsidRDefault="00121E99" w:rsidP="00AA7D5B">
      <w:pPr>
        <w:shd w:val="clear" w:color="auto" w:fill="FFFFFF"/>
        <w:spacing w:before="100" w:beforeAutospacing="1" w:after="100" w:afterAutospacing="1" w:line="240" w:lineRule="auto"/>
        <w:rPr>
          <w:rFonts w:cs="Times New Roman"/>
          <w:color w:val="000000"/>
          <w:sz w:val="16"/>
          <w:szCs w:val="16"/>
        </w:rPr>
      </w:pPr>
    </w:p>
    <w:tbl>
      <w:tblPr>
        <w:tblStyle w:val="Grilledutableau"/>
        <w:tblpPr w:leftFromText="141" w:rightFromText="141" w:vertAnchor="text" w:horzAnchor="margin" w:tblpY="-201"/>
        <w:tblW w:w="10740" w:type="dxa"/>
        <w:tblLook w:val="04A0" w:firstRow="1" w:lastRow="0" w:firstColumn="1" w:lastColumn="0" w:noHBand="0" w:noVBand="1"/>
      </w:tblPr>
      <w:tblGrid>
        <w:gridCol w:w="3085"/>
        <w:gridCol w:w="7655"/>
      </w:tblGrid>
      <w:tr w:rsidR="00121E99" w:rsidTr="008C0347">
        <w:tc>
          <w:tcPr>
            <w:tcW w:w="3085" w:type="dxa"/>
            <w:shd w:val="clear" w:color="auto" w:fill="auto"/>
          </w:tcPr>
          <w:p w:rsidR="00121E99" w:rsidRPr="00AA7D5B" w:rsidRDefault="00121E99" w:rsidP="00121E99">
            <w:pPr>
              <w:pStyle w:val="Sansinterligne"/>
              <w:jc w:val="center"/>
              <w:rPr>
                <w:rFonts w:cs="Times New Roman"/>
                <w:i/>
              </w:rPr>
            </w:pPr>
            <w:r w:rsidRPr="00AA7D5B">
              <w:rPr>
                <w:rFonts w:cs="Times New Roman"/>
                <w:i/>
              </w:rPr>
              <w:t>Type</w:t>
            </w:r>
          </w:p>
        </w:tc>
        <w:tc>
          <w:tcPr>
            <w:tcW w:w="7655" w:type="dxa"/>
            <w:shd w:val="clear" w:color="auto" w:fill="auto"/>
          </w:tcPr>
          <w:p w:rsidR="00121E99" w:rsidRPr="00AA7D5B" w:rsidRDefault="00121E99" w:rsidP="00121E99">
            <w:pPr>
              <w:pStyle w:val="Sansinterligne"/>
              <w:jc w:val="center"/>
              <w:rPr>
                <w:rFonts w:cs="Times New Roman"/>
                <w:i/>
              </w:rPr>
            </w:pPr>
            <w:r w:rsidRPr="00AA7D5B">
              <w:rPr>
                <w:rFonts w:cs="Times New Roman"/>
                <w:i/>
              </w:rPr>
              <w:t>Caractéristiques</w:t>
            </w:r>
          </w:p>
        </w:tc>
      </w:tr>
      <w:tr w:rsidR="00121E99" w:rsidTr="002479F6">
        <w:tc>
          <w:tcPr>
            <w:tcW w:w="3085" w:type="dxa"/>
            <w:shd w:val="clear" w:color="auto" w:fill="D99594" w:themeFill="accent2" w:themeFillTint="99"/>
            <w:vAlign w:val="center"/>
          </w:tcPr>
          <w:p w:rsidR="00121E99" w:rsidRPr="00F47827" w:rsidRDefault="00121E99" w:rsidP="00121E99">
            <w:pPr>
              <w:pStyle w:val="Sansinterligne"/>
              <w:jc w:val="center"/>
              <w:rPr>
                <w:rFonts w:cs="Times New Roman"/>
                <w:b/>
              </w:rPr>
            </w:pPr>
            <w:r w:rsidRPr="00F47827">
              <w:rPr>
                <w:rFonts w:cs="Times New Roman"/>
                <w:b/>
              </w:rPr>
              <w:t>Menace d’avortement</w:t>
            </w:r>
          </w:p>
        </w:tc>
        <w:tc>
          <w:tcPr>
            <w:tcW w:w="7655" w:type="dxa"/>
            <w:shd w:val="clear" w:color="auto" w:fill="D99594" w:themeFill="accent2" w:themeFillTint="99"/>
          </w:tcPr>
          <w:p w:rsidR="00121E99" w:rsidRDefault="00121E99" w:rsidP="00121E99">
            <w:pPr>
              <w:pStyle w:val="Sansinterligne"/>
              <w:rPr>
                <w:rFonts w:cs="Times New Roman"/>
              </w:rPr>
            </w:pPr>
            <w:r>
              <w:rPr>
                <w:rFonts w:cs="Times New Roman"/>
              </w:rPr>
              <w:t>Saignement vaginal ± crampes, col mou et fermé, CF+ (écho)</w:t>
            </w:r>
          </w:p>
        </w:tc>
      </w:tr>
      <w:tr w:rsidR="00121E99" w:rsidTr="008C0347">
        <w:tc>
          <w:tcPr>
            <w:tcW w:w="3085" w:type="dxa"/>
            <w:shd w:val="clear" w:color="auto" w:fill="auto"/>
            <w:vAlign w:val="center"/>
          </w:tcPr>
          <w:p w:rsidR="00121E99" w:rsidRPr="00F47827" w:rsidRDefault="00121E99" w:rsidP="00121E99">
            <w:pPr>
              <w:pStyle w:val="Sansinterligne"/>
              <w:jc w:val="center"/>
              <w:rPr>
                <w:rFonts w:cs="Times New Roman"/>
                <w:b/>
              </w:rPr>
            </w:pPr>
            <w:r w:rsidRPr="00F47827">
              <w:rPr>
                <w:rFonts w:cs="Times New Roman"/>
                <w:b/>
              </w:rPr>
              <w:t>Avortement inévitable</w:t>
            </w:r>
          </w:p>
        </w:tc>
        <w:tc>
          <w:tcPr>
            <w:tcW w:w="7655" w:type="dxa"/>
          </w:tcPr>
          <w:p w:rsidR="00121E99" w:rsidRDefault="00121E99" w:rsidP="00121E99">
            <w:pPr>
              <w:pStyle w:val="Sansinterligne"/>
              <w:rPr>
                <w:rFonts w:cs="Times New Roman"/>
              </w:rPr>
            </w:pPr>
            <w:r>
              <w:rPr>
                <w:rFonts w:cs="Times New Roman"/>
              </w:rPr>
              <w:t xml:space="preserve">Saignement vaginal, crampes en </w:t>
            </w:r>
            <w:r>
              <w:rPr>
                <w:rFonts w:ascii="Century Gothic" w:hAnsi="Century Gothic" w:cs="Times New Roman"/>
              </w:rPr>
              <w:t>↑,</w:t>
            </w:r>
            <w:r>
              <w:rPr>
                <w:rFonts w:cs="Times New Roman"/>
              </w:rPr>
              <w:t xml:space="preserve"> col fermé, CF- (écho)</w:t>
            </w:r>
          </w:p>
        </w:tc>
      </w:tr>
      <w:tr w:rsidR="00121E99" w:rsidTr="002479F6">
        <w:tc>
          <w:tcPr>
            <w:tcW w:w="3085" w:type="dxa"/>
            <w:shd w:val="clear" w:color="auto" w:fill="D99594" w:themeFill="accent2" w:themeFillTint="99"/>
            <w:vAlign w:val="center"/>
          </w:tcPr>
          <w:p w:rsidR="00121E99" w:rsidRPr="00F47827" w:rsidRDefault="00121E99" w:rsidP="00121E99">
            <w:pPr>
              <w:pStyle w:val="Sansinterligne"/>
              <w:jc w:val="center"/>
              <w:rPr>
                <w:rFonts w:cs="Times New Roman"/>
                <w:b/>
              </w:rPr>
            </w:pPr>
            <w:r w:rsidRPr="00F47827">
              <w:rPr>
                <w:rFonts w:cs="Times New Roman"/>
                <w:b/>
              </w:rPr>
              <w:t>Avortement incomplet</w:t>
            </w:r>
          </w:p>
        </w:tc>
        <w:tc>
          <w:tcPr>
            <w:tcW w:w="7655" w:type="dxa"/>
            <w:shd w:val="clear" w:color="auto" w:fill="D99594" w:themeFill="accent2" w:themeFillTint="99"/>
          </w:tcPr>
          <w:p w:rsidR="00121E99" w:rsidRDefault="00121E99" w:rsidP="00121E99">
            <w:pPr>
              <w:pStyle w:val="Sansinterligne"/>
              <w:rPr>
                <w:rFonts w:cs="Times New Roman"/>
              </w:rPr>
            </w:pPr>
            <w:r>
              <w:rPr>
                <w:rFonts w:cs="Times New Roman"/>
              </w:rPr>
              <w:t xml:space="preserve">Saignement vaginal abondant, crampes, col ouvert, produit de conception partiellement expulsé (écho et clinique) </w:t>
            </w:r>
          </w:p>
        </w:tc>
      </w:tr>
      <w:tr w:rsidR="00121E99" w:rsidTr="008C0347">
        <w:tc>
          <w:tcPr>
            <w:tcW w:w="3085" w:type="dxa"/>
            <w:vAlign w:val="center"/>
          </w:tcPr>
          <w:p w:rsidR="00121E99" w:rsidRPr="00F47827" w:rsidRDefault="00121E99" w:rsidP="00121E99">
            <w:pPr>
              <w:pStyle w:val="Sansinterligne"/>
              <w:jc w:val="center"/>
              <w:rPr>
                <w:rFonts w:cs="Times New Roman"/>
                <w:b/>
              </w:rPr>
            </w:pPr>
            <w:r w:rsidRPr="00F47827">
              <w:rPr>
                <w:rFonts w:cs="Times New Roman"/>
                <w:b/>
              </w:rPr>
              <w:t>Avortement complet</w:t>
            </w:r>
          </w:p>
        </w:tc>
        <w:tc>
          <w:tcPr>
            <w:tcW w:w="7655" w:type="dxa"/>
          </w:tcPr>
          <w:p w:rsidR="00121E99" w:rsidRDefault="00121E99" w:rsidP="00121E99">
            <w:pPr>
              <w:pStyle w:val="Sansinterligne"/>
              <w:rPr>
                <w:rFonts w:cs="Times New Roman"/>
              </w:rPr>
            </w:pPr>
            <w:r>
              <w:rPr>
                <w:rFonts w:cs="Times New Roman"/>
              </w:rPr>
              <w:t>Saignement vaginal abondant, crampes, col ouvert, produit de conception + placenta expulsé complètement (écho)</w:t>
            </w:r>
          </w:p>
        </w:tc>
      </w:tr>
      <w:tr w:rsidR="00121E99" w:rsidTr="002479F6">
        <w:tc>
          <w:tcPr>
            <w:tcW w:w="3085" w:type="dxa"/>
            <w:shd w:val="clear" w:color="auto" w:fill="D99594" w:themeFill="accent2" w:themeFillTint="99"/>
            <w:vAlign w:val="center"/>
          </w:tcPr>
          <w:p w:rsidR="00121E99" w:rsidRPr="00F47827" w:rsidRDefault="00121E99" w:rsidP="00121E99">
            <w:pPr>
              <w:pStyle w:val="Sansinterligne"/>
              <w:jc w:val="center"/>
              <w:rPr>
                <w:rFonts w:cs="Times New Roman"/>
                <w:b/>
              </w:rPr>
            </w:pPr>
            <w:r>
              <w:rPr>
                <w:rFonts w:cs="Times New Roman"/>
                <w:b/>
              </w:rPr>
              <w:t>Avortement manqué</w:t>
            </w:r>
          </w:p>
        </w:tc>
        <w:tc>
          <w:tcPr>
            <w:tcW w:w="7655" w:type="dxa"/>
            <w:shd w:val="clear" w:color="auto" w:fill="D99594" w:themeFill="accent2" w:themeFillTint="99"/>
          </w:tcPr>
          <w:p w:rsidR="00121E99" w:rsidRDefault="00121E99" w:rsidP="00121E99">
            <w:pPr>
              <w:pStyle w:val="Sansinterligne"/>
              <w:rPr>
                <w:rFonts w:cs="Times New Roman"/>
              </w:rPr>
            </w:pPr>
            <w:r>
              <w:rPr>
                <w:rFonts w:cs="Times New Roman"/>
              </w:rPr>
              <w:t>Absence de douleur ou de saignement, col fermé. CF- (écho)</w:t>
            </w:r>
          </w:p>
        </w:tc>
      </w:tr>
    </w:tbl>
    <w:p w:rsidR="00121E99" w:rsidRPr="00AA7D5B" w:rsidRDefault="00121E99" w:rsidP="00AA7D5B">
      <w:pPr>
        <w:shd w:val="clear" w:color="auto" w:fill="FFFFFF"/>
        <w:spacing w:before="100" w:beforeAutospacing="1" w:after="100" w:afterAutospacing="1" w:line="240" w:lineRule="auto"/>
        <w:rPr>
          <w:rFonts w:cs="Times New Roman"/>
          <w:color w:val="000000"/>
        </w:rPr>
        <w:sectPr w:rsidR="00121E99" w:rsidRPr="00AA7D5B" w:rsidSect="00EF0402">
          <w:type w:val="continuous"/>
          <w:pgSz w:w="12240" w:h="15840"/>
          <w:pgMar w:top="720" w:right="720" w:bottom="720" w:left="720" w:header="708" w:footer="708" w:gutter="0"/>
          <w:cols w:num="2" w:space="708"/>
          <w:docGrid w:linePitch="360"/>
        </w:sectPr>
      </w:pPr>
    </w:p>
    <w:p w:rsidR="008C0347" w:rsidRDefault="008C0347" w:rsidP="00EE4CFD">
      <w:pPr>
        <w:pStyle w:val="Sansinterligne"/>
        <w:rPr>
          <w:rFonts w:cs="Times New Roman"/>
          <w:b/>
          <w:sz w:val="28"/>
          <w:szCs w:val="28"/>
        </w:rPr>
      </w:pPr>
    </w:p>
    <w:p w:rsidR="00F74BEE" w:rsidRPr="00F710A2" w:rsidRDefault="00F74BEE" w:rsidP="00EE4CFD">
      <w:pPr>
        <w:pStyle w:val="Sansinterligne"/>
        <w:rPr>
          <w:rFonts w:cs="Times New Roman"/>
          <w:b/>
          <w:sz w:val="28"/>
          <w:szCs w:val="28"/>
        </w:rPr>
      </w:pPr>
      <w:r w:rsidRPr="00F710A2">
        <w:rPr>
          <w:rFonts w:cs="Times New Roman"/>
          <w:b/>
          <w:sz w:val="28"/>
          <w:szCs w:val="28"/>
        </w:rPr>
        <w:t>Prise en charge</w:t>
      </w:r>
    </w:p>
    <w:p w:rsidR="00F710A2" w:rsidRDefault="00F710A2" w:rsidP="00EE4CFD">
      <w:pPr>
        <w:pStyle w:val="Sansinterligne"/>
        <w:rPr>
          <w:rFonts w:cs="Times New Roman"/>
        </w:rPr>
      </w:pPr>
    </w:p>
    <w:p w:rsidR="00F710A2" w:rsidRDefault="00F710A2" w:rsidP="000665D6">
      <w:pPr>
        <w:pStyle w:val="Sansinterligne"/>
        <w:numPr>
          <w:ilvl w:val="0"/>
          <w:numId w:val="415"/>
        </w:numPr>
        <w:rPr>
          <w:rFonts w:cs="Times New Roman"/>
        </w:rPr>
      </w:pPr>
      <w:r>
        <w:rPr>
          <w:rFonts w:cs="Times New Roman"/>
        </w:rPr>
        <w:t xml:space="preserve">D’abord, stabiliser la patiente </w:t>
      </w:r>
      <w:r w:rsidR="00464FD4">
        <w:rPr>
          <w:rFonts w:cs="Times New Roman"/>
        </w:rPr>
        <w:t xml:space="preserve">et la réanimer </w:t>
      </w:r>
      <w:r>
        <w:rPr>
          <w:rFonts w:cs="Times New Roman"/>
        </w:rPr>
        <w:t>si son état est instable. En cas de perte de sang très importante, pourrait devoir être admise aux soins intensifs.</w:t>
      </w:r>
      <w:r w:rsidR="00464FD4">
        <w:rPr>
          <w:rFonts w:cs="Times New Roman"/>
        </w:rPr>
        <w:t xml:space="preserve"> Transfuser PRN.</w:t>
      </w:r>
    </w:p>
    <w:p w:rsidR="00F710A2" w:rsidRDefault="00F710A2" w:rsidP="00EE4CFD">
      <w:pPr>
        <w:pStyle w:val="Sansinterligne"/>
        <w:rPr>
          <w:rFonts w:cs="Times New Roman"/>
        </w:rPr>
      </w:pPr>
    </w:p>
    <w:p w:rsidR="00F710A2" w:rsidRPr="00121E99" w:rsidRDefault="00F710A2" w:rsidP="000665D6">
      <w:pPr>
        <w:pStyle w:val="Sansinterligne"/>
        <w:numPr>
          <w:ilvl w:val="0"/>
          <w:numId w:val="415"/>
        </w:numPr>
        <w:rPr>
          <w:rFonts w:cs="Times New Roman"/>
          <w:highlight w:val="yellow"/>
        </w:rPr>
      </w:pPr>
      <w:r w:rsidRPr="00121E99">
        <w:rPr>
          <w:rFonts w:cs="Times New Roman"/>
          <w:highlight w:val="yellow"/>
        </w:rPr>
        <w:t>Si une grossesse ectopique rupturée est trouvée, il faut rapidement transférer la patiente au bloc opératoire.</w:t>
      </w:r>
    </w:p>
    <w:p w:rsidR="00F02B17" w:rsidRDefault="00F710A2" w:rsidP="000665D6">
      <w:pPr>
        <w:pStyle w:val="Sansinterligne"/>
        <w:numPr>
          <w:ilvl w:val="0"/>
          <w:numId w:val="415"/>
        </w:numPr>
        <w:rPr>
          <w:rFonts w:cs="Times New Roman"/>
        </w:rPr>
      </w:pPr>
      <w:r>
        <w:rPr>
          <w:rFonts w:cs="Times New Roman"/>
        </w:rPr>
        <w:t xml:space="preserve">Si elle n’est pas rupturée, voir </w:t>
      </w:r>
      <w:r w:rsidRPr="00F710A2">
        <w:rPr>
          <w:rFonts w:cs="Times New Roman"/>
          <w:i/>
        </w:rPr>
        <w:t>Douleur pelvienne CMC 73</w:t>
      </w:r>
      <w:r w:rsidR="00F02B17" w:rsidRPr="00F02B17">
        <w:rPr>
          <w:rFonts w:cs="Times New Roman"/>
        </w:rPr>
        <w:t xml:space="preserve"> </w:t>
      </w:r>
    </w:p>
    <w:p w:rsidR="00F02B17" w:rsidRPr="00F02B17" w:rsidRDefault="00F02B17" w:rsidP="000665D6">
      <w:pPr>
        <w:pStyle w:val="Sansinterligne"/>
        <w:numPr>
          <w:ilvl w:val="0"/>
          <w:numId w:val="415"/>
        </w:numPr>
        <w:rPr>
          <w:rFonts w:cs="Times New Roman"/>
        </w:rPr>
      </w:pPr>
      <w:r w:rsidRPr="00121E99">
        <w:rPr>
          <w:rFonts w:cs="Times New Roman"/>
          <w:highlight w:val="yellow"/>
        </w:rPr>
        <w:t xml:space="preserve">Si </w:t>
      </w:r>
      <w:r w:rsidR="00121E99">
        <w:rPr>
          <w:rFonts w:cs="Times New Roman"/>
          <w:highlight w:val="yellow"/>
        </w:rPr>
        <w:t>l’avortement est inévitable, incomplet ou manqué</w:t>
      </w:r>
      <w:r w:rsidRPr="00121E99">
        <w:rPr>
          <w:rFonts w:cs="Times New Roman"/>
          <w:highlight w:val="yellow"/>
        </w:rPr>
        <w:t>, aviser un gynécologue rapidement</w:t>
      </w:r>
      <w:r w:rsidR="00121E99" w:rsidRPr="00121E99">
        <w:rPr>
          <w:rFonts w:cs="Times New Roman"/>
          <w:highlight w:val="yellow"/>
        </w:rPr>
        <w:t xml:space="preserve"> pour le suivi ± curetage</w:t>
      </w:r>
      <w:r w:rsidRPr="00121E99">
        <w:rPr>
          <w:rFonts w:cs="Times New Roman"/>
          <w:highlight w:val="yellow"/>
        </w:rPr>
        <w:t xml:space="preserve"> !</w:t>
      </w:r>
    </w:p>
    <w:p w:rsidR="00CA3EDA" w:rsidRDefault="00CA3EDA" w:rsidP="000665D6">
      <w:pPr>
        <w:pStyle w:val="Sansinterligne"/>
        <w:numPr>
          <w:ilvl w:val="0"/>
          <w:numId w:val="415"/>
        </w:numPr>
        <w:rPr>
          <w:rFonts w:cs="Times New Roman"/>
        </w:rPr>
      </w:pPr>
      <w:r>
        <w:rPr>
          <w:rFonts w:cs="Times New Roman"/>
        </w:rPr>
        <w:t xml:space="preserve">L’expectative demeure souvent une bonne option. </w:t>
      </w:r>
    </w:p>
    <w:p w:rsidR="00F710A2" w:rsidRDefault="00CA3EDA" w:rsidP="000665D6">
      <w:pPr>
        <w:pStyle w:val="Sansinterligne"/>
        <w:numPr>
          <w:ilvl w:val="0"/>
          <w:numId w:val="415"/>
        </w:numPr>
        <w:rPr>
          <w:rFonts w:cs="Times New Roman"/>
        </w:rPr>
      </w:pPr>
      <w:r>
        <w:rPr>
          <w:rFonts w:cs="Times New Roman"/>
        </w:rPr>
        <w:t xml:space="preserve">Il faut expliquer à la patiente le processus d’expulsion naturelle, les risques du curetage (endométrite, béance cervico-isthmique </w:t>
      </w:r>
      <w:r>
        <w:rPr>
          <w:rFonts w:ascii="Century Gothic" w:hAnsi="Century Gothic" w:cs="Times New Roman"/>
        </w:rPr>
        <w:t>→</w:t>
      </w:r>
      <w:r>
        <w:rPr>
          <w:rFonts w:cs="Times New Roman"/>
        </w:rPr>
        <w:t xml:space="preserve"> prématurité des grossesses subséquentes …)</w:t>
      </w:r>
    </w:p>
    <w:tbl>
      <w:tblPr>
        <w:tblStyle w:val="Grilledutableau"/>
        <w:tblW w:w="0" w:type="auto"/>
        <w:tblInd w:w="2053" w:type="dxa"/>
        <w:tblLook w:val="04A0" w:firstRow="1" w:lastRow="0" w:firstColumn="1" w:lastColumn="0" w:noHBand="0" w:noVBand="1"/>
      </w:tblPr>
      <w:tblGrid>
        <w:gridCol w:w="3085"/>
        <w:gridCol w:w="4536"/>
      </w:tblGrid>
      <w:tr w:rsidR="00F710A2" w:rsidRPr="00AA7D5B" w:rsidTr="00F02B17">
        <w:tc>
          <w:tcPr>
            <w:tcW w:w="3085" w:type="dxa"/>
            <w:shd w:val="clear" w:color="auto" w:fill="auto"/>
          </w:tcPr>
          <w:p w:rsidR="00F710A2" w:rsidRPr="00AA7D5B" w:rsidRDefault="00F710A2" w:rsidP="008876A7">
            <w:pPr>
              <w:pStyle w:val="Sansinterligne"/>
              <w:jc w:val="center"/>
              <w:rPr>
                <w:rFonts w:cs="Times New Roman"/>
                <w:i/>
              </w:rPr>
            </w:pPr>
            <w:r w:rsidRPr="00AA7D5B">
              <w:rPr>
                <w:rFonts w:cs="Times New Roman"/>
                <w:i/>
              </w:rPr>
              <w:t>Type</w:t>
            </w:r>
          </w:p>
        </w:tc>
        <w:tc>
          <w:tcPr>
            <w:tcW w:w="4536" w:type="dxa"/>
            <w:shd w:val="clear" w:color="auto" w:fill="auto"/>
          </w:tcPr>
          <w:p w:rsidR="00F710A2" w:rsidRPr="00AA7D5B" w:rsidRDefault="00F710A2" w:rsidP="008876A7">
            <w:pPr>
              <w:pStyle w:val="Sansinterligne"/>
              <w:jc w:val="center"/>
              <w:rPr>
                <w:rFonts w:cs="Times New Roman"/>
                <w:i/>
              </w:rPr>
            </w:pPr>
            <w:r>
              <w:rPr>
                <w:rFonts w:cs="Times New Roman"/>
                <w:i/>
              </w:rPr>
              <w:t>Conduite</w:t>
            </w:r>
          </w:p>
        </w:tc>
      </w:tr>
      <w:tr w:rsidR="00F710A2" w:rsidRPr="00C6143D" w:rsidTr="002479F6">
        <w:tc>
          <w:tcPr>
            <w:tcW w:w="3085" w:type="dxa"/>
            <w:shd w:val="clear" w:color="auto" w:fill="D99594" w:themeFill="accent2" w:themeFillTint="99"/>
            <w:vAlign w:val="center"/>
          </w:tcPr>
          <w:p w:rsidR="00F710A2" w:rsidRPr="00F47827" w:rsidRDefault="00F710A2" w:rsidP="008876A7">
            <w:pPr>
              <w:pStyle w:val="Sansinterligne"/>
              <w:jc w:val="center"/>
              <w:rPr>
                <w:rFonts w:cs="Times New Roman"/>
                <w:b/>
              </w:rPr>
            </w:pPr>
            <w:r w:rsidRPr="00F47827">
              <w:rPr>
                <w:rFonts w:cs="Times New Roman"/>
                <w:b/>
              </w:rPr>
              <w:t>Menace d’avortement</w:t>
            </w:r>
          </w:p>
        </w:tc>
        <w:tc>
          <w:tcPr>
            <w:tcW w:w="4536" w:type="dxa"/>
            <w:shd w:val="clear" w:color="auto" w:fill="D99594" w:themeFill="accent2" w:themeFillTint="99"/>
          </w:tcPr>
          <w:p w:rsidR="00F710A2" w:rsidRPr="00603079" w:rsidRDefault="00F710A2" w:rsidP="00F710A2">
            <w:pPr>
              <w:pStyle w:val="Sansinterligne"/>
              <w:rPr>
                <w:rFonts w:cs="Times New Roman"/>
                <w:lang w:val="de-DE"/>
              </w:rPr>
            </w:pPr>
            <w:r w:rsidRPr="00603079">
              <w:rPr>
                <w:rFonts w:cs="Times New Roman"/>
                <w:lang w:val="de-DE"/>
              </w:rPr>
              <w:t xml:space="preserve">Winrho </w:t>
            </w:r>
            <w:r w:rsidR="00F02B17" w:rsidRPr="00603079">
              <w:rPr>
                <w:rFonts w:cs="Times New Roman"/>
                <w:lang w:val="de-DE"/>
              </w:rPr>
              <w:t>3</w:t>
            </w:r>
            <w:r w:rsidRPr="00603079">
              <w:rPr>
                <w:rFonts w:cs="Times New Roman"/>
                <w:lang w:val="de-DE"/>
              </w:rPr>
              <w:t xml:space="preserve">00 mcg IM x 1 </w:t>
            </w:r>
          </w:p>
          <w:p w:rsidR="00F710A2" w:rsidRPr="00603079" w:rsidRDefault="00F710A2" w:rsidP="00F710A2">
            <w:pPr>
              <w:pStyle w:val="Sansinterligne"/>
              <w:rPr>
                <w:rFonts w:cs="Times New Roman"/>
                <w:lang w:val="de-DE"/>
              </w:rPr>
            </w:pPr>
            <w:r w:rsidRPr="00603079">
              <w:rPr>
                <w:rFonts w:cs="Times New Roman"/>
                <w:lang w:val="de-DE"/>
              </w:rPr>
              <w:t xml:space="preserve">Expectative  </w:t>
            </w:r>
          </w:p>
        </w:tc>
      </w:tr>
      <w:tr w:rsidR="00F710A2" w:rsidTr="00F02B17">
        <w:tc>
          <w:tcPr>
            <w:tcW w:w="3085" w:type="dxa"/>
            <w:shd w:val="clear" w:color="auto" w:fill="auto"/>
            <w:vAlign w:val="center"/>
          </w:tcPr>
          <w:p w:rsidR="00F710A2" w:rsidRPr="00F47827" w:rsidRDefault="00F710A2" w:rsidP="008876A7">
            <w:pPr>
              <w:pStyle w:val="Sansinterligne"/>
              <w:jc w:val="center"/>
              <w:rPr>
                <w:rFonts w:cs="Times New Roman"/>
                <w:b/>
              </w:rPr>
            </w:pPr>
            <w:r w:rsidRPr="00F47827">
              <w:rPr>
                <w:rFonts w:cs="Times New Roman"/>
                <w:b/>
              </w:rPr>
              <w:t>Avortement inévitable</w:t>
            </w:r>
          </w:p>
        </w:tc>
        <w:tc>
          <w:tcPr>
            <w:tcW w:w="4536" w:type="dxa"/>
          </w:tcPr>
          <w:p w:rsidR="00F710A2" w:rsidRPr="00603079" w:rsidRDefault="00F710A2" w:rsidP="00F710A2">
            <w:pPr>
              <w:pStyle w:val="Sansinterligne"/>
              <w:rPr>
                <w:rFonts w:cs="Times New Roman"/>
                <w:highlight w:val="yellow"/>
                <w:lang w:val="en-CA"/>
              </w:rPr>
            </w:pPr>
            <w:r w:rsidRPr="00603079">
              <w:rPr>
                <w:rFonts w:cs="Times New Roman"/>
                <w:highlight w:val="yellow"/>
                <w:lang w:val="en-CA"/>
              </w:rPr>
              <w:t xml:space="preserve">Winrho </w:t>
            </w:r>
            <w:r w:rsidR="00F02B17" w:rsidRPr="00603079">
              <w:rPr>
                <w:rFonts w:cs="Times New Roman"/>
                <w:highlight w:val="yellow"/>
                <w:lang w:val="en-CA"/>
              </w:rPr>
              <w:t>3</w:t>
            </w:r>
            <w:r w:rsidRPr="00603079">
              <w:rPr>
                <w:rFonts w:cs="Times New Roman"/>
                <w:highlight w:val="yellow"/>
                <w:lang w:val="en-CA"/>
              </w:rPr>
              <w:t xml:space="preserve">00 mcg IM x 1 </w:t>
            </w:r>
          </w:p>
          <w:p w:rsidR="00F710A2" w:rsidRPr="00603079" w:rsidRDefault="00F710A2" w:rsidP="00F710A2">
            <w:pPr>
              <w:pStyle w:val="Sansinterligne"/>
              <w:rPr>
                <w:rFonts w:cs="Times New Roman"/>
                <w:highlight w:val="yellow"/>
                <w:lang w:val="en-CA"/>
              </w:rPr>
            </w:pPr>
            <w:r w:rsidRPr="00603079">
              <w:rPr>
                <w:rFonts w:cs="Times New Roman"/>
                <w:highlight w:val="yellow"/>
                <w:lang w:val="en-CA"/>
              </w:rPr>
              <w:t>Expectative</w:t>
            </w:r>
          </w:p>
          <w:p w:rsidR="00F710A2" w:rsidRPr="00603079" w:rsidRDefault="00F710A2" w:rsidP="00F710A2">
            <w:pPr>
              <w:pStyle w:val="Sansinterligne"/>
              <w:rPr>
                <w:rFonts w:cs="Times New Roman"/>
                <w:highlight w:val="yellow"/>
                <w:lang w:val="en-CA"/>
              </w:rPr>
            </w:pPr>
            <w:r w:rsidRPr="00603079">
              <w:rPr>
                <w:rFonts w:cs="Times New Roman"/>
                <w:highlight w:val="yellow"/>
                <w:lang w:val="en-CA"/>
              </w:rPr>
              <w:t>Misoprostol 400-800 mcg PO/PV</w:t>
            </w:r>
          </w:p>
          <w:p w:rsidR="00F710A2" w:rsidRPr="00F710A2" w:rsidRDefault="00F710A2" w:rsidP="00F710A2">
            <w:pPr>
              <w:pStyle w:val="Sansinterligne"/>
              <w:rPr>
                <w:rFonts w:cs="Times New Roman"/>
                <w:highlight w:val="yellow"/>
              </w:rPr>
            </w:pPr>
            <w:r w:rsidRPr="00F710A2">
              <w:rPr>
                <w:rFonts w:cs="Times New Roman"/>
                <w:highlight w:val="yellow"/>
              </w:rPr>
              <w:t>Dilation et curetage ± oxytocine</w:t>
            </w:r>
          </w:p>
        </w:tc>
      </w:tr>
      <w:tr w:rsidR="00F710A2" w:rsidTr="002479F6">
        <w:tc>
          <w:tcPr>
            <w:tcW w:w="3085" w:type="dxa"/>
            <w:shd w:val="clear" w:color="auto" w:fill="D99594" w:themeFill="accent2" w:themeFillTint="99"/>
            <w:vAlign w:val="center"/>
          </w:tcPr>
          <w:p w:rsidR="00F710A2" w:rsidRPr="00F47827" w:rsidRDefault="00F710A2" w:rsidP="008876A7">
            <w:pPr>
              <w:pStyle w:val="Sansinterligne"/>
              <w:jc w:val="center"/>
              <w:rPr>
                <w:rFonts w:cs="Times New Roman"/>
                <w:b/>
              </w:rPr>
            </w:pPr>
            <w:r w:rsidRPr="00F47827">
              <w:rPr>
                <w:rFonts w:cs="Times New Roman"/>
                <w:b/>
              </w:rPr>
              <w:t>Avortement incomplet</w:t>
            </w:r>
          </w:p>
        </w:tc>
        <w:tc>
          <w:tcPr>
            <w:tcW w:w="4536" w:type="dxa"/>
            <w:shd w:val="clear" w:color="auto" w:fill="D99594" w:themeFill="accent2" w:themeFillTint="99"/>
          </w:tcPr>
          <w:p w:rsidR="00F710A2" w:rsidRPr="00603079" w:rsidRDefault="00F710A2" w:rsidP="00F710A2">
            <w:pPr>
              <w:pStyle w:val="Sansinterligne"/>
              <w:rPr>
                <w:rFonts w:cs="Times New Roman"/>
                <w:highlight w:val="yellow"/>
                <w:lang w:val="en-CA"/>
              </w:rPr>
            </w:pPr>
            <w:r w:rsidRPr="00603079">
              <w:rPr>
                <w:rFonts w:cs="Times New Roman"/>
                <w:highlight w:val="yellow"/>
                <w:lang w:val="en-CA"/>
              </w:rPr>
              <w:t xml:space="preserve">Winrho </w:t>
            </w:r>
            <w:r w:rsidR="00F02B17" w:rsidRPr="00603079">
              <w:rPr>
                <w:rFonts w:cs="Times New Roman"/>
                <w:highlight w:val="yellow"/>
                <w:lang w:val="en-CA"/>
              </w:rPr>
              <w:t>3</w:t>
            </w:r>
            <w:r w:rsidRPr="00603079">
              <w:rPr>
                <w:rFonts w:cs="Times New Roman"/>
                <w:highlight w:val="yellow"/>
                <w:lang w:val="en-CA"/>
              </w:rPr>
              <w:t xml:space="preserve">00 mcg IM x 1 </w:t>
            </w:r>
          </w:p>
          <w:p w:rsidR="00F710A2" w:rsidRPr="00603079" w:rsidRDefault="00F710A2" w:rsidP="00F710A2">
            <w:pPr>
              <w:pStyle w:val="Sansinterligne"/>
              <w:rPr>
                <w:rFonts w:cs="Times New Roman"/>
                <w:highlight w:val="yellow"/>
                <w:lang w:val="en-CA"/>
              </w:rPr>
            </w:pPr>
            <w:r w:rsidRPr="00603079">
              <w:rPr>
                <w:rFonts w:cs="Times New Roman"/>
                <w:highlight w:val="yellow"/>
                <w:lang w:val="en-CA"/>
              </w:rPr>
              <w:t>Expectative</w:t>
            </w:r>
          </w:p>
          <w:p w:rsidR="00F710A2" w:rsidRPr="00603079" w:rsidRDefault="00F710A2" w:rsidP="00F710A2">
            <w:pPr>
              <w:pStyle w:val="Sansinterligne"/>
              <w:rPr>
                <w:rFonts w:cs="Times New Roman"/>
                <w:highlight w:val="yellow"/>
                <w:lang w:val="en-CA"/>
              </w:rPr>
            </w:pPr>
            <w:r w:rsidRPr="00603079">
              <w:rPr>
                <w:rFonts w:cs="Times New Roman"/>
                <w:highlight w:val="yellow"/>
                <w:lang w:val="en-CA"/>
              </w:rPr>
              <w:t>Misoprostol 400-800 mcg PO/PV</w:t>
            </w:r>
          </w:p>
          <w:p w:rsidR="00F710A2" w:rsidRPr="00F710A2" w:rsidRDefault="00F710A2" w:rsidP="00F710A2">
            <w:pPr>
              <w:pStyle w:val="Sansinterligne"/>
              <w:rPr>
                <w:rFonts w:cs="Times New Roman"/>
                <w:highlight w:val="yellow"/>
              </w:rPr>
            </w:pPr>
            <w:r w:rsidRPr="00F710A2">
              <w:rPr>
                <w:rFonts w:cs="Times New Roman"/>
                <w:highlight w:val="yellow"/>
              </w:rPr>
              <w:t>Dilation et curetage ± oxytocine</w:t>
            </w:r>
          </w:p>
        </w:tc>
      </w:tr>
      <w:tr w:rsidR="00F710A2" w:rsidTr="00F02B17">
        <w:tc>
          <w:tcPr>
            <w:tcW w:w="3085" w:type="dxa"/>
            <w:vAlign w:val="center"/>
          </w:tcPr>
          <w:p w:rsidR="00F710A2" w:rsidRPr="00F47827" w:rsidRDefault="00F710A2" w:rsidP="008876A7">
            <w:pPr>
              <w:pStyle w:val="Sansinterligne"/>
              <w:jc w:val="center"/>
              <w:rPr>
                <w:rFonts w:cs="Times New Roman"/>
                <w:b/>
              </w:rPr>
            </w:pPr>
            <w:r w:rsidRPr="00F47827">
              <w:rPr>
                <w:rFonts w:cs="Times New Roman"/>
                <w:b/>
              </w:rPr>
              <w:t>Avortement complet</w:t>
            </w:r>
          </w:p>
        </w:tc>
        <w:tc>
          <w:tcPr>
            <w:tcW w:w="4536" w:type="dxa"/>
          </w:tcPr>
          <w:p w:rsidR="00F710A2" w:rsidRDefault="00F710A2" w:rsidP="00F02B17">
            <w:pPr>
              <w:pStyle w:val="Sansinterligne"/>
              <w:rPr>
                <w:rFonts w:cs="Times New Roman"/>
              </w:rPr>
            </w:pPr>
            <w:r w:rsidRPr="00F710A2">
              <w:rPr>
                <w:rFonts w:cs="Times New Roman"/>
              </w:rPr>
              <w:t xml:space="preserve">Winrho </w:t>
            </w:r>
            <w:r w:rsidR="00F02B17">
              <w:rPr>
                <w:rFonts w:cs="Times New Roman"/>
              </w:rPr>
              <w:t>3</w:t>
            </w:r>
            <w:r w:rsidRPr="00F710A2">
              <w:rPr>
                <w:rFonts w:cs="Times New Roman"/>
              </w:rPr>
              <w:t xml:space="preserve">00 mcg IM x 1 </w:t>
            </w:r>
          </w:p>
        </w:tc>
      </w:tr>
    </w:tbl>
    <w:p w:rsidR="00F74BEE" w:rsidRDefault="00CA3EDA" w:rsidP="000665D6">
      <w:pPr>
        <w:pStyle w:val="Sansinterligne"/>
        <w:numPr>
          <w:ilvl w:val="0"/>
          <w:numId w:val="416"/>
        </w:numPr>
        <w:rPr>
          <w:rFonts w:cs="Times New Roman"/>
        </w:rPr>
      </w:pPr>
      <w:r>
        <w:rPr>
          <w:rFonts w:cs="Times New Roman"/>
        </w:rPr>
        <w:t>Importance de prendre le temps de faire son deuil.</w:t>
      </w:r>
    </w:p>
    <w:p w:rsidR="00CA3EDA" w:rsidRDefault="00CA3EDA" w:rsidP="000665D6">
      <w:pPr>
        <w:pStyle w:val="Sansinterligne"/>
        <w:numPr>
          <w:ilvl w:val="0"/>
          <w:numId w:val="416"/>
        </w:numPr>
        <w:rPr>
          <w:rFonts w:cs="Times New Roman"/>
        </w:rPr>
      </w:pPr>
      <w:r>
        <w:rPr>
          <w:rFonts w:cs="Times New Roman"/>
        </w:rPr>
        <w:t>Support psychologique PRN.</w:t>
      </w:r>
    </w:p>
    <w:p w:rsidR="00CA3EDA" w:rsidRDefault="00CA3EDA" w:rsidP="00EE4CFD">
      <w:pPr>
        <w:pStyle w:val="Sansinterligne"/>
        <w:rPr>
          <w:rFonts w:cs="Times New Roman"/>
        </w:rPr>
      </w:pPr>
    </w:p>
    <w:p w:rsidR="0031509E" w:rsidRPr="00CA3EDA" w:rsidRDefault="0031509E" w:rsidP="00EE4CFD">
      <w:pPr>
        <w:pStyle w:val="Sansinterligne"/>
        <w:rPr>
          <w:rFonts w:cs="Times New Roman"/>
          <w:b/>
          <w:sz w:val="28"/>
          <w:szCs w:val="28"/>
        </w:rPr>
      </w:pPr>
      <w:r w:rsidRPr="00CA3EDA">
        <w:rPr>
          <w:rFonts w:cs="Times New Roman"/>
          <w:b/>
          <w:sz w:val="28"/>
          <w:szCs w:val="28"/>
        </w:rPr>
        <w:t>Avortements à répétitions</w:t>
      </w:r>
    </w:p>
    <w:p w:rsidR="0031509E" w:rsidRDefault="0031509E" w:rsidP="00EE4CFD">
      <w:pPr>
        <w:pStyle w:val="Sansinterligne"/>
        <w:rPr>
          <w:rFonts w:cs="Times New Roman"/>
        </w:rPr>
      </w:pPr>
    </w:p>
    <w:p w:rsidR="0031509E" w:rsidRDefault="0031509E" w:rsidP="00EE4CFD">
      <w:pPr>
        <w:pStyle w:val="Sansinterligne"/>
        <w:rPr>
          <w:rFonts w:cs="Times New Roman"/>
        </w:rPr>
      </w:pPr>
      <w:r>
        <w:rPr>
          <w:rFonts w:cs="Times New Roman"/>
        </w:rPr>
        <w:t>Généralement, la cause d’un avortement est non connue. Toutefois, lorsque 3 avortements spontanés ou plus surviennent consécutivement, il faut envisager une cause pathologique. Il y a alors indication de référer en clinique de fertilité ou autre pour en investiguer la cause.</w:t>
      </w:r>
      <w:r w:rsidR="008E5D41">
        <w:rPr>
          <w:rFonts w:cs="Times New Roman"/>
        </w:rPr>
        <w:t xml:space="preserve"> Celles-ci sont multiples.</w:t>
      </w:r>
    </w:p>
    <w:p w:rsidR="008E5D41" w:rsidRDefault="008E5D41" w:rsidP="00EE4CFD">
      <w:pPr>
        <w:pStyle w:val="Sansinterligne"/>
        <w:rPr>
          <w:rFonts w:cs="Times New Roman"/>
        </w:rPr>
      </w:pPr>
    </w:p>
    <w:p w:rsidR="008E5D41" w:rsidRPr="002715A4" w:rsidRDefault="008E5D41" w:rsidP="000665D6">
      <w:pPr>
        <w:pStyle w:val="Sansinterligne"/>
        <w:numPr>
          <w:ilvl w:val="0"/>
          <w:numId w:val="417"/>
        </w:numPr>
        <w:rPr>
          <w:rFonts w:cs="Times New Roman"/>
          <w:highlight w:val="yellow"/>
        </w:rPr>
      </w:pPr>
      <w:r w:rsidRPr="002715A4">
        <w:rPr>
          <w:rFonts w:cs="Times New Roman"/>
          <w:highlight w:val="yellow"/>
        </w:rPr>
        <w:t>Mécaniques (ex : utérus septé, léiomyomes)</w:t>
      </w:r>
    </w:p>
    <w:p w:rsidR="008E5D41" w:rsidRPr="002715A4" w:rsidRDefault="008E5D41" w:rsidP="000665D6">
      <w:pPr>
        <w:pStyle w:val="Sansinterligne"/>
        <w:numPr>
          <w:ilvl w:val="0"/>
          <w:numId w:val="417"/>
        </w:numPr>
        <w:rPr>
          <w:rFonts w:cs="Times New Roman"/>
          <w:highlight w:val="yellow"/>
        </w:rPr>
      </w:pPr>
      <w:r w:rsidRPr="002715A4">
        <w:rPr>
          <w:rFonts w:cs="Times New Roman"/>
          <w:highlight w:val="yellow"/>
        </w:rPr>
        <w:t>Auto-immunes (ex : syndrome antiphospholipides)</w:t>
      </w:r>
    </w:p>
    <w:p w:rsidR="008E5D41" w:rsidRPr="002715A4" w:rsidRDefault="008E5D41" w:rsidP="000665D6">
      <w:pPr>
        <w:pStyle w:val="Sansinterligne"/>
        <w:numPr>
          <w:ilvl w:val="0"/>
          <w:numId w:val="417"/>
        </w:numPr>
        <w:rPr>
          <w:rFonts w:cs="Times New Roman"/>
          <w:highlight w:val="yellow"/>
        </w:rPr>
      </w:pPr>
      <w:r w:rsidRPr="002715A4">
        <w:rPr>
          <w:rFonts w:cs="Times New Roman"/>
          <w:highlight w:val="yellow"/>
        </w:rPr>
        <w:t>Génétique  (ex : aneuploïdie)</w:t>
      </w:r>
    </w:p>
    <w:p w:rsidR="008E5D41" w:rsidRPr="002715A4" w:rsidRDefault="008E5D41" w:rsidP="000665D6">
      <w:pPr>
        <w:pStyle w:val="Sansinterligne"/>
        <w:numPr>
          <w:ilvl w:val="0"/>
          <w:numId w:val="417"/>
        </w:numPr>
        <w:rPr>
          <w:rFonts w:cs="Times New Roman"/>
          <w:highlight w:val="yellow"/>
        </w:rPr>
      </w:pPr>
      <w:r w:rsidRPr="002715A4">
        <w:rPr>
          <w:rFonts w:cs="Times New Roman"/>
          <w:highlight w:val="yellow"/>
        </w:rPr>
        <w:t>Endocrinienne (ex : trouble thryoïdien, SOPK)</w:t>
      </w:r>
    </w:p>
    <w:p w:rsidR="008E5D41" w:rsidRPr="002715A4" w:rsidRDefault="008E5D41" w:rsidP="000665D6">
      <w:pPr>
        <w:pStyle w:val="Sansinterligne"/>
        <w:numPr>
          <w:ilvl w:val="0"/>
          <w:numId w:val="417"/>
        </w:numPr>
        <w:rPr>
          <w:rFonts w:cs="Times New Roman"/>
          <w:highlight w:val="yellow"/>
        </w:rPr>
      </w:pPr>
      <w:r w:rsidRPr="002715A4">
        <w:rPr>
          <w:rFonts w:cs="Times New Roman"/>
          <w:highlight w:val="yellow"/>
        </w:rPr>
        <w:t>Infectieuses (ex : toxoplasmose, Listeria)</w:t>
      </w:r>
    </w:p>
    <w:p w:rsidR="008E5D41" w:rsidRPr="002715A4" w:rsidRDefault="008E5D41" w:rsidP="000665D6">
      <w:pPr>
        <w:pStyle w:val="Sansinterligne"/>
        <w:numPr>
          <w:ilvl w:val="0"/>
          <w:numId w:val="417"/>
        </w:numPr>
        <w:rPr>
          <w:rFonts w:cs="Times New Roman"/>
          <w:highlight w:val="yellow"/>
        </w:rPr>
      </w:pPr>
      <w:r w:rsidRPr="002715A4">
        <w:rPr>
          <w:rFonts w:cs="Times New Roman"/>
          <w:highlight w:val="yellow"/>
        </w:rPr>
        <w:t>Environnementales (ex : traumatique, ROH, tabagisme)</w:t>
      </w:r>
    </w:p>
    <w:p w:rsidR="0031509E" w:rsidRDefault="008E5D41" w:rsidP="000665D6">
      <w:pPr>
        <w:pStyle w:val="Sansinterligne"/>
        <w:numPr>
          <w:ilvl w:val="0"/>
          <w:numId w:val="417"/>
        </w:numPr>
        <w:rPr>
          <w:rFonts w:cs="Times New Roman"/>
        </w:rPr>
      </w:pPr>
      <w:r>
        <w:rPr>
          <w:rFonts w:cs="Times New Roman"/>
        </w:rPr>
        <w:t>Autres …</w:t>
      </w:r>
    </w:p>
    <w:p w:rsidR="008E5D41" w:rsidRPr="00FA3260" w:rsidRDefault="008E5D41" w:rsidP="00EE4CFD">
      <w:pPr>
        <w:pStyle w:val="Sansinterligne"/>
        <w:rPr>
          <w:rFonts w:cs="Times New Roman"/>
        </w:rPr>
      </w:pPr>
    </w:p>
    <w:p w:rsidR="008C0347" w:rsidRDefault="008C0347" w:rsidP="00EE4CFD">
      <w:pPr>
        <w:pStyle w:val="Sansinterligne"/>
        <w:rPr>
          <w:rFonts w:cs="Times New Roman"/>
        </w:rPr>
      </w:pPr>
      <w:r>
        <w:rPr>
          <w:rFonts w:cs="Times New Roman"/>
        </w:rPr>
        <w:t>Une investigation de base peut être demandée par le médecin qui la suivra pour ses avortements répétés.</w:t>
      </w:r>
    </w:p>
    <w:p w:rsidR="00DF7534" w:rsidRDefault="00DF7534" w:rsidP="00EE4CFD">
      <w:pPr>
        <w:pStyle w:val="Sansinterligne"/>
        <w:rPr>
          <w:rFonts w:cs="Times New Roman"/>
        </w:rPr>
        <w:sectPr w:rsidR="00DF7534" w:rsidSect="00217865">
          <w:type w:val="continuous"/>
          <w:pgSz w:w="12240" w:h="15840"/>
          <w:pgMar w:top="720" w:right="720" w:bottom="720" w:left="720" w:header="708" w:footer="708" w:gutter="0"/>
          <w:cols w:space="708"/>
          <w:docGrid w:linePitch="360"/>
        </w:sectPr>
      </w:pPr>
    </w:p>
    <w:p w:rsidR="008C0347" w:rsidRPr="002715A4" w:rsidRDefault="008C0347" w:rsidP="000665D6">
      <w:pPr>
        <w:pStyle w:val="Sansinterligne"/>
        <w:numPr>
          <w:ilvl w:val="0"/>
          <w:numId w:val="418"/>
        </w:numPr>
        <w:rPr>
          <w:rFonts w:cs="Times New Roman"/>
          <w:highlight w:val="yellow"/>
        </w:rPr>
      </w:pPr>
      <w:r w:rsidRPr="002715A4">
        <w:rPr>
          <w:rFonts w:cs="Times New Roman"/>
          <w:highlight w:val="yellow"/>
        </w:rPr>
        <w:t>TSH</w:t>
      </w:r>
    </w:p>
    <w:p w:rsidR="00F74BEE" w:rsidRPr="002715A4" w:rsidRDefault="00F74BEE" w:rsidP="000665D6">
      <w:pPr>
        <w:pStyle w:val="Sansinterligne"/>
        <w:numPr>
          <w:ilvl w:val="0"/>
          <w:numId w:val="418"/>
        </w:numPr>
        <w:rPr>
          <w:rFonts w:cs="Times New Roman"/>
          <w:highlight w:val="yellow"/>
        </w:rPr>
      </w:pPr>
      <w:r w:rsidRPr="002715A4">
        <w:rPr>
          <w:rFonts w:cs="Times New Roman"/>
          <w:highlight w:val="yellow"/>
        </w:rPr>
        <w:t>Caryotype</w:t>
      </w:r>
      <w:r w:rsidR="008C0347" w:rsidRPr="002715A4">
        <w:rPr>
          <w:rFonts w:cs="Times New Roman"/>
          <w:highlight w:val="yellow"/>
        </w:rPr>
        <w:t xml:space="preserve"> des parents</w:t>
      </w:r>
    </w:p>
    <w:p w:rsidR="00F74BEE" w:rsidRPr="002715A4" w:rsidRDefault="00F74BEE" w:rsidP="000665D6">
      <w:pPr>
        <w:pStyle w:val="Sansinterligne"/>
        <w:numPr>
          <w:ilvl w:val="0"/>
          <w:numId w:val="418"/>
        </w:numPr>
        <w:rPr>
          <w:rFonts w:cs="Times New Roman"/>
          <w:highlight w:val="yellow"/>
        </w:rPr>
      </w:pPr>
      <w:r w:rsidRPr="002715A4">
        <w:rPr>
          <w:rFonts w:cs="Times New Roman"/>
          <w:highlight w:val="yellow"/>
        </w:rPr>
        <w:t xml:space="preserve">Anticorps </w:t>
      </w:r>
      <w:r w:rsidR="008C0347" w:rsidRPr="002715A4">
        <w:rPr>
          <w:rFonts w:cs="Times New Roman"/>
          <w:highlight w:val="yellow"/>
        </w:rPr>
        <w:t>anti-cardiolipine, Anti-β2-glycoprotéine I, anticoagulant lupique</w:t>
      </w:r>
    </w:p>
    <w:p w:rsidR="00F74BEE" w:rsidRPr="002715A4" w:rsidRDefault="00F74BEE" w:rsidP="000665D6">
      <w:pPr>
        <w:pStyle w:val="Sansinterligne"/>
        <w:numPr>
          <w:ilvl w:val="0"/>
          <w:numId w:val="418"/>
        </w:numPr>
        <w:rPr>
          <w:rFonts w:cs="Times New Roman"/>
          <w:highlight w:val="yellow"/>
        </w:rPr>
      </w:pPr>
      <w:r w:rsidRPr="002715A4">
        <w:rPr>
          <w:rFonts w:cs="Times New Roman"/>
          <w:highlight w:val="yellow"/>
        </w:rPr>
        <w:t>Hystérosalpingographie</w:t>
      </w:r>
      <w:r w:rsidR="008C0347" w:rsidRPr="002715A4">
        <w:rPr>
          <w:rFonts w:cs="Times New Roman"/>
          <w:highlight w:val="yellow"/>
        </w:rPr>
        <w:t xml:space="preserve"> (éliminer anomalies structurelles)</w:t>
      </w:r>
    </w:p>
    <w:p w:rsidR="00DF7534" w:rsidRPr="002715A4" w:rsidRDefault="00F74BEE" w:rsidP="000665D6">
      <w:pPr>
        <w:pStyle w:val="Sansinterligne"/>
        <w:numPr>
          <w:ilvl w:val="0"/>
          <w:numId w:val="418"/>
        </w:numPr>
        <w:rPr>
          <w:rFonts w:cs="Times New Roman"/>
          <w:highlight w:val="yellow"/>
        </w:rPr>
        <w:sectPr w:rsidR="00DF7534" w:rsidRPr="002715A4" w:rsidSect="00DF7534">
          <w:type w:val="continuous"/>
          <w:pgSz w:w="12240" w:h="15840"/>
          <w:pgMar w:top="720" w:right="720" w:bottom="720" w:left="720" w:header="708" w:footer="708" w:gutter="0"/>
          <w:cols w:num="2" w:space="0"/>
          <w:docGrid w:linePitch="360"/>
        </w:sectPr>
      </w:pPr>
      <w:r w:rsidRPr="002715A4">
        <w:rPr>
          <w:rFonts w:cs="Times New Roman"/>
          <w:highlight w:val="yellow"/>
        </w:rPr>
        <w:t>Écho pelvienne</w:t>
      </w:r>
      <w:r w:rsidR="002704F6" w:rsidRPr="002715A4">
        <w:rPr>
          <w:rFonts w:cs="Times New Roman"/>
          <w:highlight w:val="yellow"/>
        </w:rPr>
        <w:t xml:space="preserve"> (</w:t>
      </w:r>
      <w:r w:rsidR="008C0347" w:rsidRPr="002715A4">
        <w:rPr>
          <w:rFonts w:cs="Times New Roman"/>
          <w:highlight w:val="yellow"/>
        </w:rPr>
        <w:t>insuffisance</w:t>
      </w:r>
      <w:r w:rsidR="002704F6" w:rsidRPr="002715A4">
        <w:rPr>
          <w:rFonts w:cs="Times New Roman"/>
          <w:highlight w:val="yellow"/>
        </w:rPr>
        <w:t xml:space="preserve"> cervico-isthmique</w:t>
      </w:r>
      <w:r w:rsidR="008C0347" w:rsidRPr="002715A4">
        <w:rPr>
          <w:rFonts w:cs="Times New Roman"/>
          <w:highlight w:val="yellow"/>
        </w:rPr>
        <w:t>, SOPK</w:t>
      </w:r>
      <w:r w:rsidR="00DF7534" w:rsidRPr="002715A4">
        <w:rPr>
          <w:rFonts w:cs="Times New Roman"/>
          <w:highlight w:val="yellow"/>
        </w:rPr>
        <w:t>)</w:t>
      </w:r>
    </w:p>
    <w:p w:rsidR="00D74985" w:rsidRDefault="00D74985" w:rsidP="00D74985">
      <w:pPr>
        <w:spacing w:after="0"/>
        <w:rPr>
          <w:rFonts w:cs="Times New Roman"/>
          <w:b/>
          <w:color w:val="548DD4" w:themeColor="text2" w:themeTint="99"/>
        </w:rPr>
      </w:pPr>
      <w:r>
        <w:rPr>
          <w:rFonts w:cs="Times New Roman"/>
          <w:b/>
          <w:color w:val="548DD4" w:themeColor="text2" w:themeTint="99"/>
        </w:rPr>
        <w:t>CMC 82</w:t>
      </w:r>
    </w:p>
    <w:p w:rsidR="00D74985" w:rsidRPr="00D74985" w:rsidRDefault="00D74985" w:rsidP="00D74985">
      <w:pPr>
        <w:pStyle w:val="Titre3"/>
        <w:spacing w:before="0"/>
        <w:rPr>
          <w:rFonts w:ascii="Times New Roman" w:hAnsi="Times New Roman" w:cs="Times New Roman"/>
        </w:rPr>
      </w:pPr>
      <w:bookmarkStart w:id="334" w:name="_Toc480797321"/>
      <w:r w:rsidRPr="00D74985">
        <w:rPr>
          <w:rFonts w:ascii="Times New Roman" w:hAnsi="Times New Roman" w:cs="Times New Roman"/>
        </w:rPr>
        <w:t>Travail prématuré</w:t>
      </w:r>
      <w:bookmarkEnd w:id="334"/>
    </w:p>
    <w:tbl>
      <w:tblPr>
        <w:tblW w:w="5000" w:type="pct"/>
        <w:tblCellSpacing w:w="0" w:type="dxa"/>
        <w:tblCellMar>
          <w:left w:w="0" w:type="dxa"/>
          <w:right w:w="0" w:type="dxa"/>
        </w:tblCellMar>
        <w:tblLook w:val="04A0" w:firstRow="1" w:lastRow="0" w:firstColumn="1" w:lastColumn="0" w:noHBand="0" w:noVBand="1"/>
      </w:tblPr>
      <w:tblGrid>
        <w:gridCol w:w="10759"/>
        <w:gridCol w:w="41"/>
      </w:tblGrid>
      <w:tr w:rsidR="00D74985" w:rsidRPr="00D74985" w:rsidTr="00D74985">
        <w:trPr>
          <w:tblCellSpacing w:w="0" w:type="dxa"/>
        </w:trPr>
        <w:tc>
          <w:tcPr>
            <w:tcW w:w="0" w:type="auto"/>
            <w:vAlign w:val="bottom"/>
            <w:hideMark/>
          </w:tcPr>
          <w:bookmarkStart w:id="335" w:name="_Toc475563873"/>
          <w:p w:rsidR="00D74985" w:rsidRPr="00520ED3" w:rsidRDefault="00D74985" w:rsidP="00520ED3">
            <w:pPr>
              <w:pStyle w:val="Sansinterligne"/>
              <w:spacing w:before="240"/>
              <w:rPr>
                <w:b/>
                <w:sz w:val="18"/>
                <w:szCs w:val="18"/>
              </w:rPr>
            </w:pPr>
            <w:r w:rsidRPr="00520ED3">
              <w:rPr>
                <w:b/>
                <w:noProof/>
                <w:sz w:val="18"/>
                <w:szCs w:val="18"/>
                <w:lang w:eastAsia="fr-CA"/>
              </w:rPr>
              <mc:AlternateContent>
                <mc:Choice Requires="wps">
                  <w:drawing>
                    <wp:anchor distT="0" distB="0" distL="114300" distR="114300" simplePos="0" relativeHeight="251773952" behindDoc="0" locked="0" layoutInCell="1" allowOverlap="1" wp14:anchorId="0F07C05D" wp14:editId="376B59F8">
                      <wp:simplePos x="0" y="0"/>
                      <wp:positionH relativeFrom="column">
                        <wp:posOffset>-87549</wp:posOffset>
                      </wp:positionH>
                      <wp:positionV relativeFrom="paragraph">
                        <wp:posOffset>124136</wp:posOffset>
                      </wp:positionV>
                      <wp:extent cx="6974732" cy="3093395"/>
                      <wp:effectExtent l="0" t="0" r="17145" b="12065"/>
                      <wp:wrapNone/>
                      <wp:docPr id="290" name="Rectangle 290"/>
                      <wp:cNvGraphicFramePr/>
                      <a:graphic xmlns:a="http://schemas.openxmlformats.org/drawingml/2006/main">
                        <a:graphicData uri="http://schemas.microsoft.com/office/word/2010/wordprocessingShape">
                          <wps:wsp>
                            <wps:cNvSpPr/>
                            <wps:spPr>
                              <a:xfrm>
                                <a:off x="0" y="0"/>
                                <a:ext cx="6974732" cy="3093395"/>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290" o:spid="_x0000_s1026" style="position:absolute;margin-left:-6.9pt;margin-top:9.75pt;width:549.2pt;height:243.55pt;z-index:2517739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" filled="f" strokecolor="black [1600]" strokeweight="2pt"/>
                  </w:pict>
                </mc:Fallback>
              </mc:AlternateContent>
            </w:r>
            <w:r w:rsidRPr="00520ED3">
              <w:rPr>
                <w:b/>
                <w:sz w:val="18"/>
                <w:szCs w:val="18"/>
              </w:rPr>
              <w:t>Objectifs principaux</w:t>
            </w:r>
            <w:bookmarkEnd w:id="335"/>
          </w:p>
        </w:tc>
        <w:tc>
          <w:tcPr>
            <w:tcW w:w="0" w:type="auto"/>
            <w:vAlign w:val="bottom"/>
            <w:hideMark/>
          </w:tcPr>
          <w:p w:rsidR="00D74985" w:rsidRPr="00D74985" w:rsidRDefault="00D74985" w:rsidP="00520ED3">
            <w:pPr>
              <w:spacing w:before="240"/>
              <w:jc w:val="right"/>
              <w:rPr>
                <w:rFonts w:cs="Times New Roman"/>
                <w:color w:val="000000"/>
                <w:sz w:val="18"/>
                <w:szCs w:val="18"/>
              </w:rPr>
            </w:pPr>
          </w:p>
        </w:tc>
      </w:tr>
    </w:tbl>
    <w:p w:rsidR="00D74985" w:rsidRPr="00D74985" w:rsidRDefault="00D74985" w:rsidP="00D74985">
      <w:pPr>
        <w:pStyle w:val="NormalWeb"/>
        <w:ind w:left="360"/>
        <w:rPr>
          <w:color w:val="000000"/>
          <w:sz w:val="18"/>
          <w:szCs w:val="18"/>
          <w:shd w:val="clear" w:color="auto" w:fill="FFFFFF"/>
        </w:rPr>
      </w:pPr>
      <w:r w:rsidRPr="00D74985">
        <w:rPr>
          <w:color w:val="000000"/>
          <w:sz w:val="18"/>
          <w:szCs w:val="18"/>
          <w:shd w:val="clear" w:color="auto" w:fill="FFFFFF"/>
        </w:rPr>
        <w:t>Dans le cas d'une patiente en travail prématuré, le candidat devra en diagnostiquer la cause, déterminer le degré de risque pour la mère et le fœtus, et mettre en place un plan de prise en charge approprié. Il devra en particulier identifier les patientes exigeant un transfert immédiat à un centre doté d'installations de soins intensifs néonatals appropriés.</w:t>
      </w:r>
    </w:p>
    <w:tbl>
      <w:tblPr>
        <w:tblW w:w="3702" w:type="pct"/>
        <w:tblCellSpacing w:w="0" w:type="dxa"/>
        <w:tblCellMar>
          <w:left w:w="0" w:type="dxa"/>
          <w:right w:w="0" w:type="dxa"/>
        </w:tblCellMar>
        <w:tblLook w:val="04A0" w:firstRow="1" w:lastRow="0" w:firstColumn="1" w:lastColumn="0" w:noHBand="0" w:noVBand="1"/>
      </w:tblPr>
      <w:tblGrid>
        <w:gridCol w:w="7996"/>
      </w:tblGrid>
      <w:tr w:rsidR="00D74985" w:rsidRPr="00D74985" w:rsidTr="00D74985">
        <w:trPr>
          <w:tblCellSpacing w:w="0" w:type="dxa"/>
        </w:trPr>
        <w:tc>
          <w:tcPr>
            <w:tcW w:w="0" w:type="auto"/>
            <w:vAlign w:val="bottom"/>
            <w:hideMark/>
          </w:tcPr>
          <w:p w:rsidR="00D74985" w:rsidRPr="00520ED3" w:rsidRDefault="00D74985" w:rsidP="00520ED3">
            <w:pPr>
              <w:pStyle w:val="Sansinterligne"/>
              <w:rPr>
                <w:b/>
                <w:sz w:val="16"/>
                <w:szCs w:val="16"/>
              </w:rPr>
            </w:pPr>
            <w:bookmarkStart w:id="336" w:name="_Toc475563874"/>
            <w:r w:rsidRPr="00520ED3">
              <w:rPr>
                <w:b/>
                <w:sz w:val="16"/>
                <w:szCs w:val="16"/>
              </w:rPr>
              <w:t>Objectifs spécifiques</w:t>
            </w:r>
            <w:bookmarkEnd w:id="336"/>
          </w:p>
        </w:tc>
      </w:tr>
    </w:tbl>
    <w:p w:rsidR="00D74985" w:rsidRPr="00D74985" w:rsidRDefault="00D74985" w:rsidP="00D74985">
      <w:pPr>
        <w:pStyle w:val="NormalWeb"/>
        <w:shd w:val="clear" w:color="auto" w:fill="FFFFFF"/>
        <w:ind w:left="360"/>
        <w:rPr>
          <w:color w:val="000000"/>
          <w:sz w:val="16"/>
          <w:szCs w:val="16"/>
          <w:shd w:val="clear" w:color="auto" w:fill="FFFFFF"/>
        </w:rPr>
      </w:pPr>
      <w:r w:rsidRPr="00D74985">
        <w:rPr>
          <w:color w:val="000000"/>
          <w:sz w:val="16"/>
          <w:szCs w:val="16"/>
          <w:shd w:val="clear" w:color="auto" w:fill="FFFFFF"/>
        </w:rPr>
        <w:t>Dans le cas d'une patiente en travail prématuré, le candidat devra</w:t>
      </w:r>
    </w:p>
    <w:p w:rsidR="00D74985" w:rsidRPr="00D74985" w:rsidRDefault="00D74985" w:rsidP="000665D6">
      <w:pPr>
        <w:numPr>
          <w:ilvl w:val="0"/>
          <w:numId w:val="419"/>
        </w:numPr>
        <w:shd w:val="clear" w:color="auto" w:fill="FFFFFF"/>
        <w:spacing w:before="100" w:beforeAutospacing="1" w:after="100" w:afterAutospacing="1" w:line="240" w:lineRule="auto"/>
        <w:rPr>
          <w:rFonts w:cs="Times New Roman"/>
          <w:color w:val="000000"/>
          <w:sz w:val="16"/>
          <w:szCs w:val="16"/>
          <w:shd w:val="clear" w:color="auto" w:fill="FFFFFF"/>
        </w:rPr>
      </w:pPr>
      <w:r w:rsidRPr="00D74985">
        <w:rPr>
          <w:rFonts w:cs="Times New Roman"/>
          <w:color w:val="000000"/>
          <w:sz w:val="16"/>
          <w:szCs w:val="16"/>
          <w:shd w:val="clear" w:color="auto" w:fill="FFFFFF"/>
        </w:rPr>
        <w:t>énumérer et interpréter les constatations cliniques cruciales, notamment :</w:t>
      </w:r>
    </w:p>
    <w:p w:rsidR="00D74985" w:rsidRPr="00D74985" w:rsidRDefault="00D74985" w:rsidP="000665D6">
      <w:pPr>
        <w:numPr>
          <w:ilvl w:val="1"/>
          <w:numId w:val="419"/>
        </w:numPr>
        <w:shd w:val="clear" w:color="auto" w:fill="FFFFFF"/>
        <w:spacing w:before="100" w:beforeAutospacing="1" w:after="100" w:afterAutospacing="1" w:line="240" w:lineRule="auto"/>
        <w:rPr>
          <w:rFonts w:cs="Times New Roman"/>
          <w:color w:val="000000"/>
          <w:sz w:val="16"/>
          <w:szCs w:val="16"/>
          <w:shd w:val="clear" w:color="auto" w:fill="FFFFFF"/>
        </w:rPr>
      </w:pPr>
      <w:r w:rsidRPr="00D74985">
        <w:rPr>
          <w:rFonts w:cs="Times New Roman"/>
          <w:color w:val="000000"/>
          <w:sz w:val="16"/>
          <w:szCs w:val="16"/>
          <w:shd w:val="clear" w:color="auto" w:fill="FFFFFF"/>
        </w:rPr>
        <w:t>la détermination des facteurs de risque (p. ex. âge maternel, tabagisme, accouchements prématurés antérieurs);</w:t>
      </w:r>
    </w:p>
    <w:p w:rsidR="00D74985" w:rsidRPr="00D74985" w:rsidRDefault="00D74985" w:rsidP="000665D6">
      <w:pPr>
        <w:numPr>
          <w:ilvl w:val="1"/>
          <w:numId w:val="419"/>
        </w:numPr>
        <w:shd w:val="clear" w:color="auto" w:fill="FFFFFF"/>
        <w:spacing w:before="100" w:beforeAutospacing="1" w:after="100" w:afterAutospacing="1" w:line="240" w:lineRule="auto"/>
        <w:rPr>
          <w:rFonts w:cs="Times New Roman"/>
          <w:color w:val="000000"/>
          <w:sz w:val="16"/>
          <w:szCs w:val="16"/>
          <w:shd w:val="clear" w:color="auto" w:fill="FFFFFF"/>
        </w:rPr>
      </w:pPr>
      <w:r w:rsidRPr="00D74985">
        <w:rPr>
          <w:rFonts w:cs="Times New Roman"/>
          <w:color w:val="000000"/>
          <w:sz w:val="16"/>
          <w:szCs w:val="16"/>
          <w:shd w:val="clear" w:color="auto" w:fill="FFFFFF"/>
        </w:rPr>
        <w:t>l'évaluation de l'état de la grossesse actuelle (p. ex. âge gestationnel, contractions, rupture spontanée des membranes);</w:t>
      </w:r>
    </w:p>
    <w:p w:rsidR="00D74985" w:rsidRPr="00D74985" w:rsidRDefault="00D74985" w:rsidP="000665D6">
      <w:pPr>
        <w:numPr>
          <w:ilvl w:val="1"/>
          <w:numId w:val="419"/>
        </w:numPr>
        <w:shd w:val="clear" w:color="auto" w:fill="FFFFFF"/>
        <w:spacing w:before="100" w:beforeAutospacing="1" w:after="100" w:afterAutospacing="1" w:line="240" w:lineRule="auto"/>
        <w:rPr>
          <w:rFonts w:cs="Times New Roman"/>
          <w:color w:val="000000"/>
          <w:sz w:val="16"/>
          <w:szCs w:val="16"/>
          <w:shd w:val="clear" w:color="auto" w:fill="FFFFFF"/>
        </w:rPr>
      </w:pPr>
      <w:r w:rsidRPr="00D74985">
        <w:rPr>
          <w:rFonts w:cs="Times New Roman"/>
          <w:color w:val="000000"/>
          <w:sz w:val="16"/>
          <w:szCs w:val="16"/>
          <w:shd w:val="clear" w:color="auto" w:fill="FFFFFF"/>
        </w:rPr>
        <w:t xml:space="preserve">les </w:t>
      </w:r>
      <w:r w:rsidR="007065A1" w:rsidRPr="00D74985">
        <w:rPr>
          <w:rFonts w:cs="Times New Roman"/>
          <w:color w:val="000000"/>
          <w:sz w:val="16"/>
          <w:szCs w:val="16"/>
          <w:shd w:val="clear" w:color="auto" w:fill="FFFFFF"/>
        </w:rPr>
        <w:t>résultats</w:t>
      </w:r>
      <w:r w:rsidRPr="00D74985">
        <w:rPr>
          <w:rFonts w:cs="Times New Roman"/>
          <w:color w:val="000000"/>
          <w:sz w:val="16"/>
          <w:szCs w:val="16"/>
          <w:shd w:val="clear" w:color="auto" w:fill="FFFFFF"/>
        </w:rPr>
        <w:t xml:space="preserve"> d'un examen physique approprié (p. ex. pression artérielle de la mère, examen au spéculum, écouvillonnages pour une culture et un antibiogramme ainsi que pour la détection de la fibronectine fœtale);</w:t>
      </w:r>
    </w:p>
    <w:p w:rsidR="00D74985" w:rsidRPr="00D74985" w:rsidRDefault="00D74985" w:rsidP="000665D6">
      <w:pPr>
        <w:numPr>
          <w:ilvl w:val="0"/>
          <w:numId w:val="419"/>
        </w:numPr>
        <w:shd w:val="clear" w:color="auto" w:fill="FFFFFF"/>
        <w:spacing w:before="100" w:beforeAutospacing="1" w:after="100" w:afterAutospacing="1" w:line="240" w:lineRule="auto"/>
        <w:rPr>
          <w:rFonts w:cs="Times New Roman"/>
          <w:color w:val="000000"/>
          <w:sz w:val="16"/>
          <w:szCs w:val="16"/>
          <w:shd w:val="clear" w:color="auto" w:fill="FFFFFF"/>
        </w:rPr>
      </w:pPr>
      <w:r w:rsidRPr="00D74985">
        <w:rPr>
          <w:rFonts w:cs="Times New Roman"/>
          <w:color w:val="000000"/>
          <w:sz w:val="16"/>
          <w:szCs w:val="16"/>
          <w:shd w:val="clear" w:color="auto" w:fill="FFFFFF"/>
        </w:rPr>
        <w:t>énumérer et interpréter les examens essentiels, notamment :</w:t>
      </w:r>
    </w:p>
    <w:p w:rsidR="00D74985" w:rsidRPr="00D74985" w:rsidRDefault="00D74985" w:rsidP="000665D6">
      <w:pPr>
        <w:numPr>
          <w:ilvl w:val="1"/>
          <w:numId w:val="419"/>
        </w:numPr>
        <w:shd w:val="clear" w:color="auto" w:fill="FFFFFF"/>
        <w:spacing w:before="100" w:beforeAutospacing="1" w:after="100" w:afterAutospacing="1" w:line="240" w:lineRule="auto"/>
        <w:rPr>
          <w:rFonts w:cs="Times New Roman"/>
          <w:color w:val="000000"/>
          <w:sz w:val="16"/>
          <w:szCs w:val="16"/>
          <w:shd w:val="clear" w:color="auto" w:fill="FFFFFF"/>
        </w:rPr>
      </w:pPr>
      <w:r w:rsidRPr="00D74985">
        <w:rPr>
          <w:rFonts w:cs="Times New Roman"/>
          <w:color w:val="000000"/>
          <w:sz w:val="16"/>
          <w:szCs w:val="16"/>
          <w:shd w:val="clear" w:color="auto" w:fill="FFFFFF"/>
        </w:rPr>
        <w:t>l'évaluation du bien-être du fœtus (p. ex. échographie, moniteur fœtal);</w:t>
      </w:r>
    </w:p>
    <w:p w:rsidR="00D74985" w:rsidRPr="00D74985" w:rsidRDefault="00D74985" w:rsidP="000665D6">
      <w:pPr>
        <w:numPr>
          <w:ilvl w:val="1"/>
          <w:numId w:val="419"/>
        </w:numPr>
        <w:shd w:val="clear" w:color="auto" w:fill="FFFFFF"/>
        <w:spacing w:before="100" w:beforeAutospacing="1" w:after="100" w:afterAutospacing="1" w:line="240" w:lineRule="auto"/>
        <w:rPr>
          <w:rFonts w:cs="Times New Roman"/>
          <w:color w:val="000000"/>
          <w:sz w:val="16"/>
          <w:szCs w:val="16"/>
          <w:shd w:val="clear" w:color="auto" w:fill="FFFFFF"/>
        </w:rPr>
      </w:pPr>
      <w:r w:rsidRPr="00D74985">
        <w:rPr>
          <w:rFonts w:cs="Times New Roman"/>
          <w:color w:val="000000"/>
          <w:sz w:val="16"/>
          <w:szCs w:val="16"/>
          <w:shd w:val="clear" w:color="auto" w:fill="FFFFFF"/>
        </w:rPr>
        <w:t>la détermination des facteurs de prématurité exigeant un traitement (p. ex. culture et antibiogramme des urines, présence de streptocoques du groupe B);</w:t>
      </w:r>
    </w:p>
    <w:p w:rsidR="00D74985" w:rsidRPr="00D74985" w:rsidRDefault="00D74985" w:rsidP="000665D6">
      <w:pPr>
        <w:numPr>
          <w:ilvl w:val="0"/>
          <w:numId w:val="419"/>
        </w:numPr>
        <w:shd w:val="clear" w:color="auto" w:fill="FFFFFF"/>
        <w:spacing w:before="100" w:beforeAutospacing="1" w:after="100" w:afterAutospacing="1" w:line="240" w:lineRule="auto"/>
        <w:rPr>
          <w:rFonts w:cs="Times New Roman"/>
          <w:color w:val="000000"/>
          <w:sz w:val="16"/>
          <w:szCs w:val="16"/>
          <w:shd w:val="clear" w:color="auto" w:fill="FFFFFF"/>
        </w:rPr>
      </w:pPr>
      <w:r w:rsidRPr="00D74985">
        <w:rPr>
          <w:rFonts w:cs="Times New Roman"/>
          <w:color w:val="000000"/>
          <w:sz w:val="16"/>
          <w:szCs w:val="16"/>
          <w:shd w:val="clear" w:color="auto" w:fill="FFFFFF"/>
        </w:rPr>
        <w:t>élaborer un plan efficace de prise en charge initiale, notamment :</w:t>
      </w:r>
    </w:p>
    <w:p w:rsidR="00D74985" w:rsidRPr="00D74985" w:rsidRDefault="00D74985" w:rsidP="000665D6">
      <w:pPr>
        <w:numPr>
          <w:ilvl w:val="1"/>
          <w:numId w:val="419"/>
        </w:numPr>
        <w:shd w:val="clear" w:color="auto" w:fill="FFFFFF"/>
        <w:spacing w:before="100" w:beforeAutospacing="1" w:after="100" w:afterAutospacing="1" w:line="240" w:lineRule="auto"/>
        <w:rPr>
          <w:rFonts w:cs="Times New Roman"/>
          <w:color w:val="000000"/>
          <w:sz w:val="16"/>
          <w:szCs w:val="16"/>
          <w:shd w:val="clear" w:color="auto" w:fill="FFFFFF"/>
        </w:rPr>
      </w:pPr>
      <w:r w:rsidRPr="00D74985">
        <w:rPr>
          <w:rFonts w:cs="Times New Roman"/>
          <w:color w:val="000000"/>
          <w:sz w:val="16"/>
          <w:szCs w:val="16"/>
          <w:shd w:val="clear" w:color="auto" w:fill="FFFFFF"/>
        </w:rPr>
        <w:t>prescrire un traitement médical approprié (p. ex. administration de stéroïdes, prophylaxie contre les streptocoques du groupe B, tocolyse);</w:t>
      </w:r>
    </w:p>
    <w:p w:rsidR="00D74985" w:rsidRPr="00D74985" w:rsidRDefault="00D74985" w:rsidP="000665D6">
      <w:pPr>
        <w:numPr>
          <w:ilvl w:val="1"/>
          <w:numId w:val="419"/>
        </w:numPr>
        <w:shd w:val="clear" w:color="auto" w:fill="FFFFFF"/>
        <w:spacing w:before="100" w:beforeAutospacing="1" w:after="100" w:afterAutospacing="1" w:line="240" w:lineRule="auto"/>
        <w:rPr>
          <w:rFonts w:cs="Times New Roman"/>
          <w:color w:val="000000"/>
          <w:sz w:val="16"/>
          <w:szCs w:val="16"/>
          <w:shd w:val="clear" w:color="auto" w:fill="FFFFFF"/>
        </w:rPr>
      </w:pPr>
      <w:r w:rsidRPr="00D74985">
        <w:rPr>
          <w:rFonts w:cs="Times New Roman"/>
          <w:color w:val="000000"/>
          <w:sz w:val="16"/>
          <w:szCs w:val="16"/>
          <w:shd w:val="clear" w:color="auto" w:fill="FFFFFF"/>
        </w:rPr>
        <w:t>déterminer si la patiente doit être dirigée vers des soins spécialisés ou transférée à un autre service ou établissement;</w:t>
      </w:r>
    </w:p>
    <w:p w:rsidR="00D675AB" w:rsidRPr="00D675AB" w:rsidRDefault="00D74985" w:rsidP="00D675AB">
      <w:pPr>
        <w:numPr>
          <w:ilvl w:val="1"/>
          <w:numId w:val="419"/>
        </w:numPr>
        <w:shd w:val="clear" w:color="auto" w:fill="FFFFFF"/>
        <w:spacing w:before="100" w:beforeAutospacing="1" w:after="100" w:afterAutospacing="1" w:line="240" w:lineRule="auto"/>
        <w:rPr>
          <w:rFonts w:cs="Times New Roman"/>
          <w:color w:val="000000"/>
          <w:sz w:val="16"/>
          <w:szCs w:val="16"/>
          <w:shd w:val="clear" w:color="auto" w:fill="FFFFFF"/>
        </w:rPr>
      </w:pPr>
      <w:r w:rsidRPr="00D675AB">
        <w:rPr>
          <w:rFonts w:cs="Times New Roman"/>
          <w:color w:val="000000"/>
          <w:sz w:val="16"/>
          <w:szCs w:val="16"/>
          <w:shd w:val="clear" w:color="auto" w:fill="FFFFFF"/>
        </w:rPr>
        <w:t>conseiller les parents sur les problèmes de santé immédiats et à long terme pertinents des nourrissons nés prématurément.</w:t>
      </w:r>
      <w:bookmarkStart w:id="337" w:name="%C3%89tiologie1"/>
    </w:p>
    <w:p w:rsidR="008876A7" w:rsidRPr="002D3750" w:rsidRDefault="008876A7" w:rsidP="002D3750">
      <w:pPr>
        <w:pStyle w:val="Sansinterligne"/>
        <w:rPr>
          <w:b/>
          <w:sz w:val="28"/>
          <w:szCs w:val="28"/>
        </w:rPr>
      </w:pPr>
      <w:r w:rsidRPr="002D3750">
        <w:rPr>
          <w:b/>
          <w:sz w:val="28"/>
          <w:szCs w:val="28"/>
        </w:rPr>
        <w:t>Définition</w:t>
      </w:r>
    </w:p>
    <w:p w:rsidR="002D3750" w:rsidRDefault="002D3750" w:rsidP="002D3750">
      <w:pPr>
        <w:pStyle w:val="Sansinterligne"/>
      </w:pPr>
    </w:p>
    <w:p w:rsidR="002D3750" w:rsidRDefault="008876A7" w:rsidP="005E5A2E">
      <w:pPr>
        <w:pStyle w:val="Sansinterligne"/>
        <w:numPr>
          <w:ilvl w:val="0"/>
          <w:numId w:val="423"/>
        </w:numPr>
        <w:rPr>
          <w:highlight w:val="yellow"/>
        </w:rPr>
      </w:pPr>
      <w:r w:rsidRPr="002230BA">
        <w:rPr>
          <w:highlight w:val="yellow"/>
        </w:rPr>
        <w:t>Le travail prématuré correspond à tout travail survenant avant 37 semaines de grossesse révolues.</w:t>
      </w:r>
    </w:p>
    <w:p w:rsidR="0010226E" w:rsidRPr="00AB0496" w:rsidRDefault="0010226E" w:rsidP="005E5A2E">
      <w:pPr>
        <w:pStyle w:val="Sansinterligne"/>
        <w:numPr>
          <w:ilvl w:val="0"/>
          <w:numId w:val="423"/>
        </w:numPr>
      </w:pPr>
      <w:r w:rsidRPr="00AB0496">
        <w:t>Travail : contractions utérines douloureuses, involontaires et indépendantes</w:t>
      </w:r>
      <w:r w:rsidR="00AB0496" w:rsidRPr="00AB0496">
        <w:t xml:space="preserve"> qui sont régulières </w:t>
      </w:r>
      <w:r w:rsidR="007E3F99">
        <w:t xml:space="preserve">(arbitrairement : </w:t>
      </w:r>
      <w:r w:rsidR="007E3F99">
        <w:rPr>
          <w:rFonts w:ascii="Century Gothic" w:hAnsi="Century Gothic"/>
        </w:rPr>
        <w:t>≥</w:t>
      </w:r>
      <w:r w:rsidR="007E3F99">
        <w:t xml:space="preserve"> 4 CU/h x </w:t>
      </w:r>
      <w:r w:rsidR="007E3F99">
        <w:rPr>
          <w:rFonts w:ascii="Century Gothic" w:hAnsi="Century Gothic"/>
        </w:rPr>
        <w:t>≥</w:t>
      </w:r>
      <w:r w:rsidR="007E3F99">
        <w:t xml:space="preserve"> 2h) </w:t>
      </w:r>
      <w:r w:rsidR="00AB0496" w:rsidRPr="00AB0496">
        <w:t>et accompagnées de modifications du col utérin</w:t>
      </w:r>
      <w:r w:rsidR="007E3F99">
        <w:t xml:space="preserve"> (dilation </w:t>
      </w:r>
      <w:r w:rsidR="007E3F99">
        <w:rPr>
          <w:rFonts w:ascii="Century Gothic" w:hAnsi="Century Gothic"/>
        </w:rPr>
        <w:t>&gt;</w:t>
      </w:r>
      <w:r w:rsidR="007E3F99">
        <w:t>2 cm, effacement 80%)</w:t>
      </w:r>
      <w:r w:rsidR="00FE04F8">
        <w:t>.</w:t>
      </w:r>
      <w:r w:rsidR="00410F8B">
        <w:t xml:space="preserve"> </w:t>
      </w:r>
    </w:p>
    <w:p w:rsidR="008876A7" w:rsidRDefault="008876A7" w:rsidP="002D3750">
      <w:pPr>
        <w:pStyle w:val="Sansinterligne"/>
      </w:pPr>
      <w:r>
        <w:t xml:space="preserve"> </w:t>
      </w:r>
    </w:p>
    <w:p w:rsidR="008876A7" w:rsidRPr="002D3750" w:rsidRDefault="008876A7" w:rsidP="002D3750">
      <w:pPr>
        <w:pStyle w:val="Sansinterligne"/>
        <w:rPr>
          <w:b/>
          <w:sz w:val="28"/>
          <w:szCs w:val="28"/>
        </w:rPr>
      </w:pPr>
      <w:r w:rsidRPr="002D3750">
        <w:rPr>
          <w:b/>
          <w:sz w:val="28"/>
          <w:szCs w:val="28"/>
        </w:rPr>
        <w:t>Étiologies</w:t>
      </w:r>
    </w:p>
    <w:p w:rsidR="002D3750" w:rsidRPr="002D3750" w:rsidRDefault="00273BCD" w:rsidP="002D3750">
      <w:pPr>
        <w:pStyle w:val="Sansinterligne"/>
      </w:pPr>
      <w:r>
        <w:rPr>
          <w:noProof/>
          <w:lang w:eastAsia="fr-CA"/>
        </w:rPr>
        <w:drawing>
          <wp:anchor distT="0" distB="0" distL="114300" distR="114300" simplePos="0" relativeHeight="251776000" behindDoc="0" locked="0" layoutInCell="1" allowOverlap="1" wp14:anchorId="2C67630D" wp14:editId="154FA90A">
            <wp:simplePos x="0" y="0"/>
            <wp:positionH relativeFrom="column">
              <wp:posOffset>4788535</wp:posOffset>
            </wp:positionH>
            <wp:positionV relativeFrom="paragraph">
              <wp:posOffset>57785</wp:posOffset>
            </wp:positionV>
            <wp:extent cx="2100580" cy="1402080"/>
            <wp:effectExtent l="0" t="0" r="0" b="7620"/>
            <wp:wrapNone/>
            <wp:docPr id="292" name="Image 292" descr="Résultats de recherche d'images pour « 36 semain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ésultats de recherche d'images pour « 36 semaines »"/>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2100580" cy="14020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D3750" w:rsidRPr="002D3750" w:rsidRDefault="002D3750" w:rsidP="002D3750">
      <w:pPr>
        <w:pStyle w:val="Sansinterligne"/>
        <w:rPr>
          <w:rFonts w:eastAsia="Times New Roman"/>
          <w:color w:val="000000"/>
          <w:lang w:eastAsia="fr-CA"/>
        </w:rPr>
      </w:pPr>
      <w:r w:rsidRPr="002D3750">
        <w:rPr>
          <w:rFonts w:eastAsia="Times New Roman"/>
          <w:color w:val="000000"/>
          <w:lang w:eastAsia="fr-CA"/>
        </w:rPr>
        <w:t>On peut les diviser en catégories :</w:t>
      </w:r>
    </w:p>
    <w:p w:rsidR="002D3750" w:rsidRPr="002D3750" w:rsidRDefault="002D3750" w:rsidP="002D3750">
      <w:pPr>
        <w:pStyle w:val="Sansinterligne"/>
        <w:rPr>
          <w:rFonts w:eastAsia="Times New Roman"/>
          <w:color w:val="000000"/>
          <w:lang w:eastAsia="fr-CA"/>
        </w:rPr>
      </w:pPr>
    </w:p>
    <w:p w:rsidR="00D675AB" w:rsidRPr="002D3750" w:rsidRDefault="00D675AB" w:rsidP="005E5A2E">
      <w:pPr>
        <w:pStyle w:val="Sansinterligne"/>
        <w:numPr>
          <w:ilvl w:val="0"/>
          <w:numId w:val="422"/>
        </w:numPr>
        <w:rPr>
          <w:rFonts w:eastAsia="Times New Roman"/>
          <w:color w:val="000000"/>
          <w:lang w:eastAsia="fr-CA"/>
        </w:rPr>
      </w:pPr>
      <w:r w:rsidRPr="002D3750">
        <w:rPr>
          <w:rFonts w:eastAsia="Times New Roman"/>
          <w:color w:val="000000"/>
          <w:lang w:eastAsia="fr-CA"/>
        </w:rPr>
        <w:t>Causes fœtales (p. ex. grossesse multiple, anomalies congénitales)</w:t>
      </w:r>
    </w:p>
    <w:bookmarkEnd w:id="337"/>
    <w:p w:rsidR="00D675AB" w:rsidRPr="002D3750" w:rsidRDefault="00D675AB" w:rsidP="005E5A2E">
      <w:pPr>
        <w:pStyle w:val="Sansinterligne"/>
        <w:numPr>
          <w:ilvl w:val="0"/>
          <w:numId w:val="422"/>
        </w:numPr>
        <w:rPr>
          <w:rFonts w:eastAsia="Times New Roman"/>
          <w:color w:val="000000"/>
          <w:lang w:eastAsia="fr-CA"/>
        </w:rPr>
      </w:pPr>
      <w:r w:rsidRPr="002D3750">
        <w:rPr>
          <w:rFonts w:eastAsia="Times New Roman"/>
          <w:color w:val="000000"/>
          <w:lang w:eastAsia="fr-CA"/>
        </w:rPr>
        <w:t>Causes placentaires (p. ex. décollement placentaire, insuffisance placentaire)</w:t>
      </w:r>
      <w:r w:rsidR="00C749E0" w:rsidRPr="00C749E0">
        <w:t xml:space="preserve"> </w:t>
      </w:r>
    </w:p>
    <w:p w:rsidR="00D675AB" w:rsidRPr="002D3750" w:rsidRDefault="00D675AB" w:rsidP="005E5A2E">
      <w:pPr>
        <w:pStyle w:val="Sansinterligne"/>
        <w:numPr>
          <w:ilvl w:val="0"/>
          <w:numId w:val="422"/>
        </w:numPr>
        <w:rPr>
          <w:rFonts w:eastAsia="Times New Roman"/>
          <w:color w:val="000000"/>
          <w:lang w:eastAsia="fr-CA"/>
        </w:rPr>
      </w:pPr>
      <w:r w:rsidRPr="002D3750">
        <w:rPr>
          <w:rFonts w:eastAsia="Times New Roman"/>
          <w:color w:val="000000"/>
          <w:lang w:eastAsia="fr-CA"/>
        </w:rPr>
        <w:t>Causes utérines (p. ex. anomalies du col de l'utérus)</w:t>
      </w:r>
    </w:p>
    <w:p w:rsidR="00D675AB" w:rsidRPr="002D3750" w:rsidRDefault="00D675AB" w:rsidP="005E5A2E">
      <w:pPr>
        <w:pStyle w:val="Sansinterligne"/>
        <w:numPr>
          <w:ilvl w:val="0"/>
          <w:numId w:val="422"/>
        </w:numPr>
        <w:rPr>
          <w:rFonts w:eastAsia="Times New Roman"/>
          <w:color w:val="000000"/>
          <w:lang w:eastAsia="fr-CA"/>
        </w:rPr>
      </w:pPr>
      <w:bookmarkStart w:id="338" w:name="%C3%89tiologie4"/>
      <w:r w:rsidRPr="002D3750">
        <w:rPr>
          <w:rFonts w:eastAsia="Times New Roman"/>
          <w:color w:val="000000"/>
          <w:lang w:eastAsia="fr-CA"/>
        </w:rPr>
        <w:t>Causes maternelles (p. ex. toxicomanie, maladie chronique, infection)</w:t>
      </w:r>
    </w:p>
    <w:bookmarkEnd w:id="338"/>
    <w:p w:rsidR="002D3750" w:rsidRDefault="00D675AB" w:rsidP="005E5A2E">
      <w:pPr>
        <w:pStyle w:val="Sansinterligne"/>
        <w:numPr>
          <w:ilvl w:val="0"/>
          <w:numId w:val="422"/>
        </w:numPr>
        <w:rPr>
          <w:rFonts w:eastAsia="Times New Roman"/>
          <w:color w:val="000000"/>
          <w:lang w:eastAsia="fr-CA"/>
        </w:rPr>
      </w:pPr>
      <w:r w:rsidRPr="002D3750">
        <w:rPr>
          <w:rFonts w:eastAsia="Times New Roman"/>
          <w:color w:val="000000"/>
          <w:lang w:eastAsia="fr-CA"/>
        </w:rPr>
        <w:t>Causes iatrogènes (d</w:t>
      </w:r>
      <w:r w:rsidR="002D3750">
        <w:rPr>
          <w:rFonts w:eastAsia="Times New Roman"/>
          <w:color w:val="000000"/>
          <w:lang w:eastAsia="fr-CA"/>
        </w:rPr>
        <w:t>éclenchement indiqué du travail)</w:t>
      </w:r>
    </w:p>
    <w:p w:rsidR="00BD4CC4" w:rsidRDefault="00BD4CC4" w:rsidP="005E5A2E">
      <w:pPr>
        <w:pStyle w:val="Sansinterligne"/>
        <w:numPr>
          <w:ilvl w:val="0"/>
          <w:numId w:val="422"/>
        </w:numPr>
        <w:rPr>
          <w:rFonts w:eastAsia="Times New Roman"/>
          <w:color w:val="000000"/>
          <w:lang w:eastAsia="fr-CA"/>
        </w:rPr>
      </w:pPr>
      <w:r>
        <w:rPr>
          <w:rFonts w:eastAsia="Times New Roman"/>
          <w:color w:val="000000"/>
          <w:lang w:eastAsia="fr-CA"/>
        </w:rPr>
        <w:t>Idiopathique</w:t>
      </w:r>
    </w:p>
    <w:p w:rsidR="002D3750" w:rsidRDefault="002D3750" w:rsidP="002D3750">
      <w:pPr>
        <w:pStyle w:val="Sansinterligne"/>
        <w:ind w:left="720"/>
        <w:rPr>
          <w:rFonts w:eastAsia="Times New Roman"/>
          <w:color w:val="000000"/>
          <w:lang w:eastAsia="fr-CA"/>
        </w:rPr>
      </w:pPr>
    </w:p>
    <w:p w:rsidR="002D3750" w:rsidRDefault="002D3750" w:rsidP="002D3750">
      <w:pPr>
        <w:pStyle w:val="Sansinterligne"/>
        <w:rPr>
          <w:b/>
          <w:sz w:val="28"/>
          <w:szCs w:val="28"/>
        </w:rPr>
      </w:pPr>
      <w:r w:rsidRPr="002D3750">
        <w:rPr>
          <w:b/>
          <w:sz w:val="28"/>
          <w:szCs w:val="28"/>
        </w:rPr>
        <w:t>Diagnostics</w:t>
      </w:r>
      <w:r w:rsidR="00500C9A">
        <w:rPr>
          <w:b/>
          <w:sz w:val="28"/>
          <w:szCs w:val="28"/>
        </w:rPr>
        <w:t xml:space="preserve"> (liste non-exhaustive)</w:t>
      </w:r>
    </w:p>
    <w:p w:rsidR="002D3750" w:rsidRPr="002D3750" w:rsidRDefault="002D3750" w:rsidP="002D3750">
      <w:pPr>
        <w:pStyle w:val="Sansinterligne"/>
      </w:pPr>
    </w:p>
    <w:tbl>
      <w:tblPr>
        <w:tblStyle w:val="Grilledutableau"/>
        <w:tblW w:w="0" w:type="auto"/>
        <w:tblLook w:val="04A0" w:firstRow="1" w:lastRow="0" w:firstColumn="1" w:lastColumn="0" w:noHBand="0" w:noVBand="1"/>
      </w:tblPr>
      <w:tblGrid>
        <w:gridCol w:w="1951"/>
        <w:gridCol w:w="5342"/>
        <w:gridCol w:w="186"/>
        <w:gridCol w:w="3461"/>
      </w:tblGrid>
      <w:tr w:rsidR="002D3750" w:rsidTr="002479F6">
        <w:tc>
          <w:tcPr>
            <w:tcW w:w="1951" w:type="dxa"/>
            <w:shd w:val="clear" w:color="auto" w:fill="D99594" w:themeFill="accent2" w:themeFillTint="99"/>
          </w:tcPr>
          <w:p w:rsidR="002D3750" w:rsidRPr="00E43893" w:rsidRDefault="002D3750" w:rsidP="00E4470C">
            <w:pPr>
              <w:pStyle w:val="Sansinterligne"/>
              <w:jc w:val="center"/>
              <w:rPr>
                <w:b/>
              </w:rPr>
            </w:pPr>
            <w:r w:rsidRPr="00E43893">
              <w:rPr>
                <w:b/>
              </w:rPr>
              <w:t xml:space="preserve">Diagnostic </w:t>
            </w:r>
          </w:p>
        </w:tc>
        <w:tc>
          <w:tcPr>
            <w:tcW w:w="5342" w:type="dxa"/>
            <w:shd w:val="clear" w:color="auto" w:fill="D99594" w:themeFill="accent2" w:themeFillTint="99"/>
          </w:tcPr>
          <w:p w:rsidR="002D3750" w:rsidRPr="00E43893" w:rsidRDefault="002D3750" w:rsidP="002D3750">
            <w:pPr>
              <w:pStyle w:val="Sansinterligne"/>
              <w:jc w:val="center"/>
              <w:rPr>
                <w:b/>
              </w:rPr>
            </w:pPr>
            <w:r w:rsidRPr="00E43893">
              <w:rPr>
                <w:b/>
              </w:rPr>
              <w:t>Manifestations cliniques</w:t>
            </w:r>
          </w:p>
        </w:tc>
        <w:tc>
          <w:tcPr>
            <w:tcW w:w="3647" w:type="dxa"/>
            <w:gridSpan w:val="2"/>
            <w:shd w:val="clear" w:color="auto" w:fill="D99594" w:themeFill="accent2" w:themeFillTint="99"/>
          </w:tcPr>
          <w:p w:rsidR="002D3750" w:rsidRPr="00E43893" w:rsidRDefault="002D3750" w:rsidP="002D3750">
            <w:pPr>
              <w:pStyle w:val="Sansinterligne"/>
              <w:jc w:val="center"/>
              <w:rPr>
                <w:b/>
              </w:rPr>
            </w:pPr>
            <w:r w:rsidRPr="00E43893">
              <w:rPr>
                <w:b/>
              </w:rPr>
              <w:t>À l’échographie</w:t>
            </w:r>
          </w:p>
        </w:tc>
      </w:tr>
      <w:tr w:rsidR="00E43893" w:rsidTr="002479F6">
        <w:tc>
          <w:tcPr>
            <w:tcW w:w="10940" w:type="dxa"/>
            <w:gridSpan w:val="4"/>
            <w:shd w:val="clear" w:color="auto" w:fill="E5B8B7" w:themeFill="accent2" w:themeFillTint="66"/>
          </w:tcPr>
          <w:p w:rsidR="00E43893" w:rsidRPr="00E43893" w:rsidRDefault="00E43893" w:rsidP="00E43893">
            <w:pPr>
              <w:pStyle w:val="Sansinterligne"/>
              <w:jc w:val="center"/>
              <w:rPr>
                <w:i/>
              </w:rPr>
            </w:pPr>
            <w:r w:rsidRPr="00E43893">
              <w:rPr>
                <w:i/>
              </w:rPr>
              <w:t>Causes fœtales</w:t>
            </w:r>
          </w:p>
        </w:tc>
      </w:tr>
      <w:tr w:rsidR="002D3750" w:rsidTr="00384BF0">
        <w:tc>
          <w:tcPr>
            <w:tcW w:w="1951" w:type="dxa"/>
          </w:tcPr>
          <w:p w:rsidR="002D3750" w:rsidRDefault="008939A0" w:rsidP="002D3750">
            <w:pPr>
              <w:pStyle w:val="Sansinterligne"/>
            </w:pPr>
            <w:r w:rsidRPr="00564E8C">
              <w:rPr>
                <w:highlight w:val="yellow"/>
              </w:rPr>
              <w:t>Grossesse multiple</w:t>
            </w:r>
          </w:p>
        </w:tc>
        <w:tc>
          <w:tcPr>
            <w:tcW w:w="5528" w:type="dxa"/>
            <w:gridSpan w:val="2"/>
          </w:tcPr>
          <w:p w:rsidR="002D3750" w:rsidRDefault="00D406C3" w:rsidP="005E5A2E">
            <w:pPr>
              <w:pStyle w:val="Sansinterligne"/>
              <w:numPr>
                <w:ilvl w:val="0"/>
                <w:numId w:val="427"/>
              </w:numPr>
            </w:pPr>
            <w:r>
              <w:t>Utérus volumineux</w:t>
            </w:r>
          </w:p>
          <w:p w:rsidR="00D406C3" w:rsidRDefault="00D406C3" w:rsidP="002D3750">
            <w:pPr>
              <w:pStyle w:val="Sansinterligne"/>
            </w:pPr>
            <w:r w:rsidRPr="00D406C3">
              <w:rPr>
                <w:u w:val="single"/>
              </w:rPr>
              <w:t>Complications</w:t>
            </w:r>
            <w:r>
              <w:t> (quelques-unes)</w:t>
            </w:r>
          </w:p>
          <w:p w:rsidR="00D406C3" w:rsidRPr="00BB0A0C" w:rsidRDefault="00D406C3" w:rsidP="005E5A2E">
            <w:pPr>
              <w:pStyle w:val="Sansinterligne"/>
              <w:numPr>
                <w:ilvl w:val="0"/>
                <w:numId w:val="426"/>
              </w:numPr>
              <w:rPr>
                <w:highlight w:val="yellow"/>
              </w:rPr>
            </w:pPr>
            <w:r w:rsidRPr="00BB0A0C">
              <w:rPr>
                <w:highlight w:val="yellow"/>
              </w:rPr>
              <w:t>Hyperemesis gravidarum</w:t>
            </w:r>
          </w:p>
          <w:p w:rsidR="00D406C3" w:rsidRPr="00BB0A0C" w:rsidRDefault="00D406C3" w:rsidP="005E5A2E">
            <w:pPr>
              <w:pStyle w:val="Sansinterligne"/>
              <w:numPr>
                <w:ilvl w:val="0"/>
                <w:numId w:val="426"/>
              </w:numPr>
              <w:rPr>
                <w:highlight w:val="yellow"/>
              </w:rPr>
            </w:pPr>
            <w:r w:rsidRPr="00BB0A0C">
              <w:rPr>
                <w:highlight w:val="yellow"/>
              </w:rPr>
              <w:t>Anémie maternelle</w:t>
            </w:r>
          </w:p>
          <w:p w:rsidR="00D406C3" w:rsidRPr="00BB0A0C" w:rsidRDefault="00D406C3" w:rsidP="005E5A2E">
            <w:pPr>
              <w:pStyle w:val="Sansinterligne"/>
              <w:numPr>
                <w:ilvl w:val="0"/>
                <w:numId w:val="426"/>
              </w:numPr>
              <w:rPr>
                <w:highlight w:val="yellow"/>
              </w:rPr>
            </w:pPr>
            <w:r w:rsidRPr="00BB0A0C">
              <w:rPr>
                <w:highlight w:val="yellow"/>
              </w:rPr>
              <w:t>Symptômes compressifs</w:t>
            </w:r>
          </w:p>
          <w:p w:rsidR="00D406C3" w:rsidRPr="00BB0A0C" w:rsidRDefault="00D406C3" w:rsidP="005E5A2E">
            <w:pPr>
              <w:pStyle w:val="Sansinterligne"/>
              <w:numPr>
                <w:ilvl w:val="0"/>
                <w:numId w:val="426"/>
              </w:numPr>
              <w:rPr>
                <w:highlight w:val="yellow"/>
              </w:rPr>
            </w:pPr>
            <w:r w:rsidRPr="00BB0A0C">
              <w:rPr>
                <w:highlight w:val="yellow"/>
              </w:rPr>
              <w:t>Polyhydramnios</w:t>
            </w:r>
          </w:p>
          <w:p w:rsidR="00D406C3" w:rsidRDefault="00D406C3" w:rsidP="005E5A2E">
            <w:pPr>
              <w:pStyle w:val="Sansinterligne"/>
              <w:numPr>
                <w:ilvl w:val="0"/>
                <w:numId w:val="426"/>
              </w:numPr>
            </w:pPr>
            <w:r>
              <w:t>Syndrome du transfuseur-transfusé (voir écho)</w:t>
            </w:r>
          </w:p>
        </w:tc>
        <w:tc>
          <w:tcPr>
            <w:tcW w:w="3461" w:type="dxa"/>
          </w:tcPr>
          <w:p w:rsidR="00D406C3" w:rsidRDefault="00D406C3" w:rsidP="005E5A2E">
            <w:pPr>
              <w:pStyle w:val="Sansinterligne"/>
              <w:numPr>
                <w:ilvl w:val="0"/>
                <w:numId w:val="425"/>
              </w:numPr>
            </w:pPr>
            <w:r>
              <w:t>2 fœtus à l’échographie</w:t>
            </w:r>
          </w:p>
          <w:p w:rsidR="00D406C3" w:rsidRPr="00D406C3" w:rsidRDefault="00D406C3" w:rsidP="002D3750">
            <w:pPr>
              <w:pStyle w:val="Sansinterligne"/>
              <w:rPr>
                <w:u w:val="single"/>
              </w:rPr>
            </w:pPr>
            <w:r w:rsidRPr="00D406C3">
              <w:rPr>
                <w:u w:val="single"/>
              </w:rPr>
              <w:t>Complications </w:t>
            </w:r>
          </w:p>
          <w:p w:rsidR="00D406C3" w:rsidRPr="00BB0A0C" w:rsidRDefault="00D406C3" w:rsidP="005E5A2E">
            <w:pPr>
              <w:pStyle w:val="Sansinterligne"/>
              <w:numPr>
                <w:ilvl w:val="0"/>
                <w:numId w:val="424"/>
              </w:numPr>
              <w:rPr>
                <w:highlight w:val="yellow"/>
              </w:rPr>
            </w:pPr>
            <w:r w:rsidRPr="00BB0A0C">
              <w:rPr>
                <w:highlight w:val="yellow"/>
              </w:rPr>
              <w:t>Polyhydramnios</w:t>
            </w:r>
          </w:p>
          <w:p w:rsidR="00D406C3" w:rsidRPr="00BB0A0C" w:rsidRDefault="00D406C3" w:rsidP="005E5A2E">
            <w:pPr>
              <w:pStyle w:val="Sansinterligne"/>
              <w:numPr>
                <w:ilvl w:val="0"/>
                <w:numId w:val="424"/>
              </w:numPr>
              <w:rPr>
                <w:highlight w:val="yellow"/>
              </w:rPr>
            </w:pPr>
            <w:r w:rsidRPr="00BB0A0C">
              <w:rPr>
                <w:highlight w:val="yellow"/>
              </w:rPr>
              <w:t>Placenta praevia</w:t>
            </w:r>
          </w:p>
          <w:p w:rsidR="00D406C3" w:rsidRPr="00BB0A0C" w:rsidRDefault="00D406C3" w:rsidP="005E5A2E">
            <w:pPr>
              <w:pStyle w:val="Sansinterligne"/>
              <w:numPr>
                <w:ilvl w:val="0"/>
                <w:numId w:val="424"/>
              </w:numPr>
              <w:rPr>
                <w:highlight w:val="yellow"/>
              </w:rPr>
            </w:pPr>
            <w:r w:rsidRPr="00BB0A0C">
              <w:rPr>
                <w:highlight w:val="yellow"/>
              </w:rPr>
              <w:t>Prolapsus du cordon</w:t>
            </w:r>
          </w:p>
          <w:p w:rsidR="00D406C3" w:rsidRPr="00BB0A0C" w:rsidRDefault="00D406C3" w:rsidP="005E5A2E">
            <w:pPr>
              <w:pStyle w:val="Sansinterligne"/>
              <w:numPr>
                <w:ilvl w:val="0"/>
                <w:numId w:val="424"/>
              </w:numPr>
              <w:rPr>
                <w:highlight w:val="yellow"/>
              </w:rPr>
            </w:pPr>
            <w:r w:rsidRPr="00BB0A0C">
              <w:rPr>
                <w:highlight w:val="yellow"/>
              </w:rPr>
              <w:t>RCIU</w:t>
            </w:r>
          </w:p>
          <w:p w:rsidR="00D406C3" w:rsidRDefault="00D406C3" w:rsidP="005E5A2E">
            <w:pPr>
              <w:pStyle w:val="Sansinterligne"/>
              <w:numPr>
                <w:ilvl w:val="0"/>
                <w:numId w:val="424"/>
              </w:numPr>
            </w:pPr>
            <w:r>
              <w:t>STT (1 fœtus avec RCIU et autre fœtus hypervolémique + anomalie au Doppler)</w:t>
            </w:r>
          </w:p>
        </w:tc>
      </w:tr>
      <w:tr w:rsidR="002D3750" w:rsidRPr="00500C9A" w:rsidTr="00384BF0">
        <w:tc>
          <w:tcPr>
            <w:tcW w:w="1951" w:type="dxa"/>
          </w:tcPr>
          <w:p w:rsidR="002D3750" w:rsidRDefault="008939A0" w:rsidP="002D3750">
            <w:pPr>
              <w:pStyle w:val="Sansinterligne"/>
            </w:pPr>
            <w:r>
              <w:t xml:space="preserve">Anomalie </w:t>
            </w:r>
            <w:r w:rsidR="00D85D45">
              <w:t xml:space="preserve">fœtale </w:t>
            </w:r>
            <w:r>
              <w:t>congénitale</w:t>
            </w:r>
          </w:p>
        </w:tc>
        <w:tc>
          <w:tcPr>
            <w:tcW w:w="5528" w:type="dxa"/>
            <w:gridSpan w:val="2"/>
          </w:tcPr>
          <w:p w:rsidR="002D3750" w:rsidRDefault="00500C9A" w:rsidP="005E5A2E">
            <w:pPr>
              <w:pStyle w:val="Sansinterligne"/>
              <w:numPr>
                <w:ilvl w:val="0"/>
                <w:numId w:val="429"/>
              </w:numPr>
              <w:rPr>
                <w:rFonts w:cs="Times New Roman"/>
              </w:rPr>
            </w:pPr>
            <w:r>
              <w:rPr>
                <w:rFonts w:cs="Times New Roman"/>
              </w:rPr>
              <w:t>Parfois compromis respiratoire maternel si polyhydramnios et compression</w:t>
            </w:r>
          </w:p>
          <w:p w:rsidR="00500C9A" w:rsidRPr="00410F8B" w:rsidRDefault="00500C9A" w:rsidP="005E5A2E">
            <w:pPr>
              <w:pStyle w:val="Sansinterligne"/>
              <w:numPr>
                <w:ilvl w:val="0"/>
                <w:numId w:val="429"/>
              </w:numPr>
              <w:rPr>
                <w:rFonts w:cs="Times New Roman"/>
              </w:rPr>
            </w:pPr>
            <w:r>
              <w:rPr>
                <w:rFonts w:cs="Times New Roman"/>
              </w:rPr>
              <w:t>Malposition foetale</w:t>
            </w:r>
          </w:p>
        </w:tc>
        <w:tc>
          <w:tcPr>
            <w:tcW w:w="3461" w:type="dxa"/>
          </w:tcPr>
          <w:p w:rsidR="00410F8B" w:rsidRPr="00410F8B" w:rsidRDefault="00410F8B" w:rsidP="00410F8B">
            <w:pPr>
              <w:pStyle w:val="bulletindent1"/>
              <w:shd w:val="clear" w:color="auto" w:fill="FFFFFF"/>
              <w:spacing w:before="30" w:beforeAutospacing="0" w:after="30" w:afterAutospacing="0" w:line="302" w:lineRule="atLeast"/>
              <w:rPr>
                <w:color w:val="000000"/>
                <w:sz w:val="22"/>
                <w:szCs w:val="22"/>
                <w:u w:val="single"/>
              </w:rPr>
            </w:pPr>
            <w:r w:rsidRPr="00410F8B">
              <w:rPr>
                <w:color w:val="000000"/>
                <w:sz w:val="22"/>
                <w:szCs w:val="22"/>
                <w:u w:val="single"/>
              </w:rPr>
              <w:t>Polyhydramnios</w:t>
            </w:r>
          </w:p>
          <w:p w:rsidR="00410F8B" w:rsidRPr="00410F8B" w:rsidRDefault="00410F8B" w:rsidP="005E5A2E">
            <w:pPr>
              <w:pStyle w:val="bulletindent1"/>
              <w:numPr>
                <w:ilvl w:val="0"/>
                <w:numId w:val="428"/>
              </w:numPr>
              <w:shd w:val="clear" w:color="auto" w:fill="FFFFFF"/>
              <w:spacing w:before="30" w:beforeAutospacing="0" w:after="30" w:afterAutospacing="0" w:line="302" w:lineRule="atLeast"/>
              <w:rPr>
                <w:color w:val="000000"/>
                <w:sz w:val="22"/>
                <w:szCs w:val="22"/>
              </w:rPr>
            </w:pPr>
            <w:r w:rsidRPr="00410F8B">
              <w:rPr>
                <w:color w:val="000000"/>
                <w:sz w:val="22"/>
                <w:szCs w:val="22"/>
              </w:rPr>
              <w:t>Plus grande poche  ≥8 cm</w:t>
            </w:r>
          </w:p>
          <w:p w:rsidR="002D3750" w:rsidRPr="00500C9A" w:rsidRDefault="00410F8B" w:rsidP="005E5A2E">
            <w:pPr>
              <w:pStyle w:val="bulletindent1"/>
              <w:numPr>
                <w:ilvl w:val="0"/>
                <w:numId w:val="428"/>
              </w:numPr>
              <w:shd w:val="clear" w:color="auto" w:fill="FFFFFF"/>
              <w:spacing w:before="30" w:beforeAutospacing="0" w:after="30" w:afterAutospacing="0" w:line="302" w:lineRule="atLeast"/>
              <w:rPr>
                <w:color w:val="000000"/>
                <w:sz w:val="22"/>
                <w:szCs w:val="22"/>
              </w:rPr>
            </w:pPr>
            <w:r w:rsidRPr="00410F8B">
              <w:rPr>
                <w:color w:val="000000"/>
                <w:sz w:val="22"/>
                <w:szCs w:val="22"/>
              </w:rPr>
              <w:t>Index du fluide amniotique ≥24 cm</w:t>
            </w:r>
          </w:p>
        </w:tc>
      </w:tr>
      <w:tr w:rsidR="00683769" w:rsidRPr="00500C9A" w:rsidTr="00384BF0">
        <w:tc>
          <w:tcPr>
            <w:tcW w:w="1951" w:type="dxa"/>
          </w:tcPr>
          <w:p w:rsidR="00683769" w:rsidRPr="00564E8C" w:rsidRDefault="00683769" w:rsidP="00384BF0">
            <w:pPr>
              <w:pStyle w:val="Sansinterligne"/>
              <w:rPr>
                <w:highlight w:val="yellow"/>
              </w:rPr>
            </w:pPr>
            <w:r w:rsidRPr="00564E8C">
              <w:rPr>
                <w:highlight w:val="yellow"/>
              </w:rPr>
              <w:t xml:space="preserve">Rupture </w:t>
            </w:r>
            <w:r w:rsidR="00384BF0">
              <w:rPr>
                <w:highlight w:val="yellow"/>
              </w:rPr>
              <w:t xml:space="preserve">(RPPM) </w:t>
            </w:r>
            <w:r w:rsidRPr="00564E8C">
              <w:rPr>
                <w:highlight w:val="yellow"/>
              </w:rPr>
              <w:t xml:space="preserve">prématurée préterme des membranes </w:t>
            </w:r>
          </w:p>
        </w:tc>
        <w:tc>
          <w:tcPr>
            <w:tcW w:w="5528" w:type="dxa"/>
            <w:gridSpan w:val="2"/>
          </w:tcPr>
          <w:p w:rsidR="00683769" w:rsidRPr="00564E8C" w:rsidRDefault="00683769" w:rsidP="005E5A2E">
            <w:pPr>
              <w:pStyle w:val="Sansinterligne"/>
              <w:numPr>
                <w:ilvl w:val="0"/>
                <w:numId w:val="425"/>
              </w:numPr>
              <w:rPr>
                <w:highlight w:val="yellow"/>
              </w:rPr>
            </w:pPr>
            <w:r w:rsidRPr="00564E8C">
              <w:rPr>
                <w:highlight w:val="yellow"/>
              </w:rPr>
              <w:t xml:space="preserve">Plainte de perte de liquide clair </w:t>
            </w:r>
            <w:r w:rsidRPr="00564E8C">
              <w:rPr>
                <w:rFonts w:cs="Times New Roman"/>
                <w:highlight w:val="yellow"/>
              </w:rPr>
              <w:t>±</w:t>
            </w:r>
            <w:r w:rsidRPr="00564E8C">
              <w:rPr>
                <w:highlight w:val="yellow"/>
              </w:rPr>
              <w:t xml:space="preserve"> abondant </w:t>
            </w:r>
          </w:p>
          <w:p w:rsidR="00683769" w:rsidRPr="00564E8C" w:rsidRDefault="00683769" w:rsidP="005E5A2E">
            <w:pPr>
              <w:pStyle w:val="Sansinterligne"/>
              <w:numPr>
                <w:ilvl w:val="0"/>
                <w:numId w:val="425"/>
              </w:numPr>
              <w:rPr>
                <w:highlight w:val="yellow"/>
              </w:rPr>
            </w:pPr>
            <w:r w:rsidRPr="00564E8C">
              <w:rPr>
                <w:highlight w:val="yellow"/>
              </w:rPr>
              <w:t>Écoulement visualisable au col</w:t>
            </w:r>
          </w:p>
          <w:p w:rsidR="00683769" w:rsidRPr="00564E8C" w:rsidRDefault="00683769" w:rsidP="005E5A2E">
            <w:pPr>
              <w:pStyle w:val="Sansinterligne"/>
              <w:numPr>
                <w:ilvl w:val="0"/>
                <w:numId w:val="425"/>
              </w:numPr>
              <w:rPr>
                <w:highlight w:val="yellow"/>
              </w:rPr>
            </w:pPr>
            <w:r w:rsidRPr="00564E8C">
              <w:rPr>
                <w:rFonts w:ascii="Century Gothic" w:hAnsi="Century Gothic"/>
                <w:highlight w:val="yellow"/>
              </w:rPr>
              <w:t>«</w:t>
            </w:r>
            <w:r w:rsidRPr="00564E8C">
              <w:rPr>
                <w:highlight w:val="yellow"/>
              </w:rPr>
              <w:t>Pooling</w:t>
            </w:r>
            <w:r w:rsidRPr="00564E8C">
              <w:rPr>
                <w:rFonts w:cs="Times New Roman"/>
                <w:highlight w:val="yellow"/>
              </w:rPr>
              <w:t>» dans le cul-de-sac postérieur du vagin</w:t>
            </w:r>
          </w:p>
        </w:tc>
        <w:tc>
          <w:tcPr>
            <w:tcW w:w="3461" w:type="dxa"/>
          </w:tcPr>
          <w:p w:rsidR="00683769" w:rsidRPr="00564E8C" w:rsidRDefault="00683769" w:rsidP="0027224D">
            <w:pPr>
              <w:pStyle w:val="Sansinterligne"/>
              <w:rPr>
                <w:highlight w:val="yellow"/>
              </w:rPr>
            </w:pPr>
            <w:r w:rsidRPr="00564E8C">
              <w:rPr>
                <w:rFonts w:cs="Times New Roman"/>
                <w:highlight w:val="yellow"/>
              </w:rPr>
              <w:t>±</w:t>
            </w:r>
            <w:r w:rsidRPr="00564E8C">
              <w:rPr>
                <w:highlight w:val="yellow"/>
              </w:rPr>
              <w:t xml:space="preserve"> oligohydramnios à l’écho</w:t>
            </w:r>
          </w:p>
        </w:tc>
      </w:tr>
      <w:tr w:rsidR="00683769" w:rsidTr="002479F6">
        <w:tc>
          <w:tcPr>
            <w:tcW w:w="10940" w:type="dxa"/>
            <w:gridSpan w:val="4"/>
            <w:shd w:val="clear" w:color="auto" w:fill="D99594" w:themeFill="accent2" w:themeFillTint="99"/>
          </w:tcPr>
          <w:p w:rsidR="00683769" w:rsidRPr="00E43893" w:rsidRDefault="00683769" w:rsidP="00E43893">
            <w:pPr>
              <w:pStyle w:val="Sansinterligne"/>
              <w:jc w:val="center"/>
              <w:rPr>
                <w:i/>
              </w:rPr>
            </w:pPr>
            <w:r w:rsidRPr="00E43893">
              <w:rPr>
                <w:i/>
              </w:rPr>
              <w:t>Causes placentaires</w:t>
            </w:r>
          </w:p>
        </w:tc>
      </w:tr>
      <w:tr w:rsidR="00683769" w:rsidTr="00384BF0">
        <w:tc>
          <w:tcPr>
            <w:tcW w:w="1951" w:type="dxa"/>
          </w:tcPr>
          <w:p w:rsidR="00683769" w:rsidRPr="00273C0D" w:rsidRDefault="00683769" w:rsidP="002D3750">
            <w:pPr>
              <w:pStyle w:val="Sansinterligne"/>
              <w:rPr>
                <w:highlight w:val="yellow"/>
              </w:rPr>
            </w:pPr>
            <w:r w:rsidRPr="00273C0D">
              <w:rPr>
                <w:highlight w:val="yellow"/>
              </w:rPr>
              <w:t>DPPNI</w:t>
            </w:r>
          </w:p>
        </w:tc>
        <w:tc>
          <w:tcPr>
            <w:tcW w:w="5528" w:type="dxa"/>
            <w:gridSpan w:val="2"/>
          </w:tcPr>
          <w:p w:rsidR="00CC225E" w:rsidRPr="00273C0D" w:rsidRDefault="00CC225E" w:rsidP="005E5A2E">
            <w:pPr>
              <w:pStyle w:val="Sansinterligne"/>
              <w:numPr>
                <w:ilvl w:val="0"/>
                <w:numId w:val="436"/>
              </w:numPr>
              <w:rPr>
                <w:highlight w:val="yellow"/>
              </w:rPr>
            </w:pPr>
            <w:r w:rsidRPr="00273C0D">
              <w:rPr>
                <w:highlight w:val="yellow"/>
              </w:rPr>
              <w:t>Hémorragie vaginale 2</w:t>
            </w:r>
            <w:r w:rsidRPr="00273C0D">
              <w:rPr>
                <w:highlight w:val="yellow"/>
                <w:vertAlign w:val="superscript"/>
              </w:rPr>
              <w:t>e</w:t>
            </w:r>
            <w:r w:rsidRPr="00273C0D">
              <w:rPr>
                <w:highlight w:val="yellow"/>
              </w:rPr>
              <w:t>-3</w:t>
            </w:r>
            <w:r w:rsidRPr="00273C0D">
              <w:rPr>
                <w:highlight w:val="yellow"/>
                <w:vertAlign w:val="superscript"/>
              </w:rPr>
              <w:t>e</w:t>
            </w:r>
            <w:r w:rsidRPr="00273C0D">
              <w:rPr>
                <w:highlight w:val="yellow"/>
              </w:rPr>
              <w:t xml:space="preserve"> trimestre</w:t>
            </w:r>
          </w:p>
          <w:p w:rsidR="00CC225E" w:rsidRPr="00273C0D" w:rsidRDefault="00E4470C" w:rsidP="005E5A2E">
            <w:pPr>
              <w:pStyle w:val="Sansinterligne"/>
              <w:numPr>
                <w:ilvl w:val="0"/>
                <w:numId w:val="436"/>
              </w:numPr>
              <w:rPr>
                <w:highlight w:val="yellow"/>
              </w:rPr>
            </w:pPr>
            <w:r>
              <w:rPr>
                <w:highlight w:val="yellow"/>
              </w:rPr>
              <w:t>Douleur lombaire</w:t>
            </w:r>
          </w:p>
          <w:p w:rsidR="00CC225E" w:rsidRPr="00273C0D" w:rsidRDefault="00CC225E" w:rsidP="005E5A2E">
            <w:pPr>
              <w:pStyle w:val="Sansinterligne"/>
              <w:numPr>
                <w:ilvl w:val="0"/>
                <w:numId w:val="436"/>
              </w:numPr>
              <w:rPr>
                <w:highlight w:val="yellow"/>
              </w:rPr>
            </w:pPr>
            <w:r w:rsidRPr="00273C0D">
              <w:rPr>
                <w:highlight w:val="yellow"/>
              </w:rPr>
              <w:t>Utérus sensible</w:t>
            </w:r>
          </w:p>
          <w:p w:rsidR="00CC225E" w:rsidRPr="00273C0D" w:rsidRDefault="00CC225E" w:rsidP="005E5A2E">
            <w:pPr>
              <w:pStyle w:val="Sansinterligne"/>
              <w:numPr>
                <w:ilvl w:val="0"/>
                <w:numId w:val="436"/>
              </w:numPr>
              <w:rPr>
                <w:highlight w:val="yellow"/>
              </w:rPr>
            </w:pPr>
            <w:r w:rsidRPr="00273C0D">
              <w:rPr>
                <w:highlight w:val="yellow"/>
              </w:rPr>
              <w:t>Contractions utérines</w:t>
            </w:r>
          </w:p>
        </w:tc>
        <w:tc>
          <w:tcPr>
            <w:tcW w:w="3461" w:type="dxa"/>
          </w:tcPr>
          <w:p w:rsidR="00683769" w:rsidRPr="00273C0D" w:rsidRDefault="00CC225E" w:rsidP="005E5A2E">
            <w:pPr>
              <w:pStyle w:val="Sansinterligne"/>
              <w:numPr>
                <w:ilvl w:val="0"/>
                <w:numId w:val="435"/>
              </w:numPr>
              <w:rPr>
                <w:highlight w:val="yellow"/>
              </w:rPr>
            </w:pPr>
            <w:r w:rsidRPr="00273C0D">
              <w:rPr>
                <w:highlight w:val="yellow"/>
              </w:rPr>
              <w:t>CF+</w:t>
            </w:r>
          </w:p>
          <w:p w:rsidR="00CC225E" w:rsidRPr="00273C0D" w:rsidRDefault="00CC225E" w:rsidP="005E5A2E">
            <w:pPr>
              <w:pStyle w:val="Sansinterligne"/>
              <w:numPr>
                <w:ilvl w:val="0"/>
                <w:numId w:val="435"/>
              </w:numPr>
              <w:rPr>
                <w:highlight w:val="yellow"/>
              </w:rPr>
            </w:pPr>
            <w:r w:rsidRPr="00273C0D">
              <w:rPr>
                <w:highlight w:val="yellow"/>
              </w:rPr>
              <w:t>Hématome rétroplacentaire rarement visible</w:t>
            </w:r>
          </w:p>
        </w:tc>
      </w:tr>
      <w:tr w:rsidR="00683769" w:rsidTr="00384BF0">
        <w:tc>
          <w:tcPr>
            <w:tcW w:w="1951" w:type="dxa"/>
          </w:tcPr>
          <w:p w:rsidR="00683769" w:rsidRDefault="00683769" w:rsidP="002D3750">
            <w:pPr>
              <w:pStyle w:val="Sansinterligne"/>
            </w:pPr>
            <w:r>
              <w:t>Insuffisance placentaire</w:t>
            </w:r>
          </w:p>
        </w:tc>
        <w:tc>
          <w:tcPr>
            <w:tcW w:w="5528" w:type="dxa"/>
            <w:gridSpan w:val="2"/>
          </w:tcPr>
          <w:p w:rsidR="00384BF0" w:rsidRDefault="00384BF0" w:rsidP="005E5A2E">
            <w:pPr>
              <w:pStyle w:val="Sansinterligne"/>
              <w:numPr>
                <w:ilvl w:val="0"/>
                <w:numId w:val="436"/>
              </w:numPr>
            </w:pPr>
            <w:r>
              <w:t>Retard de croissance intra utérin associé</w:t>
            </w:r>
          </w:p>
          <w:p w:rsidR="00FE008D" w:rsidRDefault="00FE008D" w:rsidP="005E5A2E">
            <w:pPr>
              <w:pStyle w:val="Sansinterligne"/>
              <w:numPr>
                <w:ilvl w:val="0"/>
                <w:numId w:val="436"/>
              </w:numPr>
            </w:pPr>
            <w:r>
              <w:t>Thrombophilies</w:t>
            </w:r>
            <w:r w:rsidR="007703CD">
              <w:t xml:space="preserve"> maternelles</w:t>
            </w:r>
          </w:p>
        </w:tc>
        <w:tc>
          <w:tcPr>
            <w:tcW w:w="3461" w:type="dxa"/>
            <w:shd w:val="clear" w:color="auto" w:fill="000000" w:themeFill="text1"/>
          </w:tcPr>
          <w:p w:rsidR="00683769" w:rsidRDefault="00683769" w:rsidP="002D3750">
            <w:pPr>
              <w:pStyle w:val="Sansinterligne"/>
            </w:pPr>
          </w:p>
        </w:tc>
      </w:tr>
      <w:tr w:rsidR="00683769" w:rsidTr="002479F6">
        <w:tc>
          <w:tcPr>
            <w:tcW w:w="10940" w:type="dxa"/>
            <w:gridSpan w:val="4"/>
            <w:shd w:val="clear" w:color="auto" w:fill="D99594" w:themeFill="accent2" w:themeFillTint="99"/>
          </w:tcPr>
          <w:p w:rsidR="00683769" w:rsidRPr="00E43893" w:rsidRDefault="00683769" w:rsidP="00E43893">
            <w:pPr>
              <w:pStyle w:val="Sansinterligne"/>
              <w:jc w:val="center"/>
              <w:rPr>
                <w:i/>
              </w:rPr>
            </w:pPr>
            <w:r w:rsidRPr="00E43893">
              <w:rPr>
                <w:i/>
              </w:rPr>
              <w:t>Causes utérines</w:t>
            </w:r>
          </w:p>
        </w:tc>
      </w:tr>
      <w:tr w:rsidR="00683769" w:rsidTr="00384BF0">
        <w:tc>
          <w:tcPr>
            <w:tcW w:w="1951" w:type="dxa"/>
          </w:tcPr>
          <w:p w:rsidR="00683769" w:rsidRPr="00273C0D" w:rsidRDefault="00683769" w:rsidP="002D3750">
            <w:pPr>
              <w:pStyle w:val="Sansinterligne"/>
              <w:rPr>
                <w:highlight w:val="yellow"/>
              </w:rPr>
            </w:pPr>
            <w:r w:rsidRPr="00273C0D">
              <w:rPr>
                <w:highlight w:val="yellow"/>
              </w:rPr>
              <w:t>Insuffisance cervico-isthmique</w:t>
            </w:r>
          </w:p>
        </w:tc>
        <w:tc>
          <w:tcPr>
            <w:tcW w:w="5528" w:type="dxa"/>
            <w:gridSpan w:val="2"/>
          </w:tcPr>
          <w:p w:rsidR="00683769" w:rsidRPr="00273C0D" w:rsidRDefault="00683769" w:rsidP="005E5A2E">
            <w:pPr>
              <w:pStyle w:val="Sansinterligne"/>
              <w:numPr>
                <w:ilvl w:val="0"/>
                <w:numId w:val="430"/>
              </w:numPr>
              <w:rPr>
                <w:highlight w:val="yellow"/>
              </w:rPr>
            </w:pPr>
            <w:r w:rsidRPr="00273C0D">
              <w:rPr>
                <w:highlight w:val="yellow"/>
              </w:rPr>
              <w:t>Multipare</w:t>
            </w:r>
          </w:p>
          <w:p w:rsidR="00683769" w:rsidRPr="00273C0D" w:rsidRDefault="00683769" w:rsidP="005E5A2E">
            <w:pPr>
              <w:pStyle w:val="Sansinterligne"/>
              <w:numPr>
                <w:ilvl w:val="0"/>
                <w:numId w:val="430"/>
              </w:numPr>
              <w:rPr>
                <w:highlight w:val="yellow"/>
              </w:rPr>
            </w:pPr>
            <w:r w:rsidRPr="00273C0D">
              <w:rPr>
                <w:highlight w:val="yellow"/>
              </w:rPr>
              <w:t>ATCD de chirurgie, excisions au niveau du col</w:t>
            </w:r>
          </w:p>
          <w:p w:rsidR="00EE0A28" w:rsidRPr="00273C0D" w:rsidRDefault="00EE0A28" w:rsidP="005E5A2E">
            <w:pPr>
              <w:pStyle w:val="Sansinterligne"/>
              <w:numPr>
                <w:ilvl w:val="0"/>
                <w:numId w:val="430"/>
              </w:numPr>
              <w:rPr>
                <w:highlight w:val="yellow"/>
              </w:rPr>
            </w:pPr>
          </w:p>
        </w:tc>
        <w:tc>
          <w:tcPr>
            <w:tcW w:w="3461" w:type="dxa"/>
            <w:shd w:val="clear" w:color="auto" w:fill="000000" w:themeFill="text1"/>
          </w:tcPr>
          <w:p w:rsidR="00683769" w:rsidRDefault="00683769" w:rsidP="002D3750">
            <w:pPr>
              <w:pStyle w:val="Sansinterligne"/>
            </w:pPr>
          </w:p>
        </w:tc>
      </w:tr>
      <w:tr w:rsidR="00683769" w:rsidTr="00384BF0">
        <w:tc>
          <w:tcPr>
            <w:tcW w:w="1951" w:type="dxa"/>
          </w:tcPr>
          <w:p w:rsidR="00683769" w:rsidRDefault="00683769" w:rsidP="002D3750">
            <w:pPr>
              <w:pStyle w:val="Sansinterligne"/>
            </w:pPr>
            <w:r>
              <w:t>Anomalie utérine</w:t>
            </w:r>
          </w:p>
        </w:tc>
        <w:tc>
          <w:tcPr>
            <w:tcW w:w="5528" w:type="dxa"/>
            <w:gridSpan w:val="2"/>
          </w:tcPr>
          <w:p w:rsidR="00683769" w:rsidRDefault="00683769" w:rsidP="005E5A2E">
            <w:pPr>
              <w:pStyle w:val="Sansinterligne"/>
              <w:numPr>
                <w:ilvl w:val="0"/>
                <w:numId w:val="430"/>
              </w:numPr>
            </w:pPr>
            <w:r>
              <w:t xml:space="preserve">Utérus bifide / double / en </w:t>
            </w:r>
            <w:r w:rsidR="003950DE">
              <w:t>cœur</w:t>
            </w:r>
          </w:p>
          <w:p w:rsidR="003950DE" w:rsidRDefault="003950DE" w:rsidP="005E5A2E">
            <w:pPr>
              <w:pStyle w:val="Sansinterligne"/>
              <w:numPr>
                <w:ilvl w:val="0"/>
                <w:numId w:val="430"/>
              </w:numPr>
            </w:pPr>
            <w:r>
              <w:t>Léiomyomes</w:t>
            </w:r>
            <w:r w:rsidR="00C43A1D">
              <w:t xml:space="preserve"> massifs</w:t>
            </w:r>
          </w:p>
        </w:tc>
        <w:tc>
          <w:tcPr>
            <w:tcW w:w="3461" w:type="dxa"/>
            <w:shd w:val="clear" w:color="auto" w:fill="auto"/>
          </w:tcPr>
          <w:p w:rsidR="00683769" w:rsidRDefault="00687A04" w:rsidP="005E5A2E">
            <w:pPr>
              <w:pStyle w:val="Sansinterligne"/>
              <w:numPr>
                <w:ilvl w:val="0"/>
                <w:numId w:val="431"/>
              </w:numPr>
            </w:pPr>
            <w:r>
              <w:t>Échographie correspondant à la malformation</w:t>
            </w:r>
          </w:p>
        </w:tc>
      </w:tr>
      <w:tr w:rsidR="00683769" w:rsidTr="002479F6">
        <w:tc>
          <w:tcPr>
            <w:tcW w:w="10940" w:type="dxa"/>
            <w:gridSpan w:val="4"/>
            <w:shd w:val="clear" w:color="auto" w:fill="D99594" w:themeFill="accent2" w:themeFillTint="99"/>
          </w:tcPr>
          <w:p w:rsidR="00683769" w:rsidRPr="00E43893" w:rsidRDefault="00683769" w:rsidP="00E43893">
            <w:pPr>
              <w:pStyle w:val="Sansinterligne"/>
              <w:jc w:val="center"/>
              <w:rPr>
                <w:i/>
              </w:rPr>
            </w:pPr>
            <w:r w:rsidRPr="00E43893">
              <w:rPr>
                <w:i/>
              </w:rPr>
              <w:t>Causes maternelles</w:t>
            </w:r>
          </w:p>
        </w:tc>
      </w:tr>
      <w:tr w:rsidR="00683769" w:rsidTr="00384BF0">
        <w:tc>
          <w:tcPr>
            <w:tcW w:w="1951" w:type="dxa"/>
          </w:tcPr>
          <w:p w:rsidR="00683769" w:rsidRDefault="00683769" w:rsidP="002D3750">
            <w:pPr>
              <w:pStyle w:val="Sansinterligne"/>
            </w:pPr>
            <w:r>
              <w:t>Maladie chronique</w:t>
            </w:r>
          </w:p>
        </w:tc>
        <w:tc>
          <w:tcPr>
            <w:tcW w:w="5528" w:type="dxa"/>
            <w:gridSpan w:val="2"/>
          </w:tcPr>
          <w:p w:rsidR="00564E8C" w:rsidRDefault="00564E8C" w:rsidP="005E5A2E">
            <w:pPr>
              <w:pStyle w:val="Sansinterligne"/>
              <w:numPr>
                <w:ilvl w:val="0"/>
                <w:numId w:val="432"/>
              </w:numPr>
            </w:pPr>
            <w:r>
              <w:t>Pancréatite</w:t>
            </w:r>
          </w:p>
          <w:p w:rsidR="00564E8C" w:rsidRDefault="00564E8C" w:rsidP="005E5A2E">
            <w:pPr>
              <w:pStyle w:val="Sansinterligne"/>
              <w:numPr>
                <w:ilvl w:val="0"/>
                <w:numId w:val="432"/>
              </w:numPr>
            </w:pPr>
            <w:r>
              <w:t>Maladie de Crohn</w:t>
            </w:r>
          </w:p>
          <w:p w:rsidR="00564E8C" w:rsidRDefault="00564E8C" w:rsidP="005E5A2E">
            <w:pPr>
              <w:pStyle w:val="Sansinterligne"/>
              <w:numPr>
                <w:ilvl w:val="0"/>
                <w:numId w:val="432"/>
              </w:numPr>
            </w:pPr>
            <w:r>
              <w:t>Toxicomanie</w:t>
            </w:r>
          </w:p>
          <w:p w:rsidR="004E734A" w:rsidRPr="004E734A" w:rsidRDefault="004E734A" w:rsidP="005E5A2E">
            <w:pPr>
              <w:pStyle w:val="Sansinterligne"/>
              <w:numPr>
                <w:ilvl w:val="0"/>
                <w:numId w:val="432"/>
              </w:numPr>
              <w:rPr>
                <w:i/>
              </w:rPr>
            </w:pPr>
            <w:r w:rsidRPr="004E734A">
              <w:rPr>
                <w:i/>
              </w:rPr>
              <w:t xml:space="preserve">Et cætera </w:t>
            </w:r>
          </w:p>
        </w:tc>
        <w:tc>
          <w:tcPr>
            <w:tcW w:w="3461" w:type="dxa"/>
            <w:shd w:val="clear" w:color="auto" w:fill="000000" w:themeFill="text1"/>
          </w:tcPr>
          <w:p w:rsidR="00683769" w:rsidRDefault="00683769" w:rsidP="002D3750">
            <w:pPr>
              <w:pStyle w:val="Sansinterligne"/>
            </w:pPr>
          </w:p>
        </w:tc>
      </w:tr>
      <w:tr w:rsidR="00683769" w:rsidTr="00DE67DE">
        <w:tc>
          <w:tcPr>
            <w:tcW w:w="1951" w:type="dxa"/>
          </w:tcPr>
          <w:p w:rsidR="00683769" w:rsidRDefault="00564E8C" w:rsidP="002D3750">
            <w:pPr>
              <w:pStyle w:val="Sansinterligne"/>
            </w:pPr>
            <w:r>
              <w:t>Infection</w:t>
            </w:r>
          </w:p>
        </w:tc>
        <w:tc>
          <w:tcPr>
            <w:tcW w:w="5528" w:type="dxa"/>
            <w:gridSpan w:val="2"/>
          </w:tcPr>
          <w:p w:rsidR="00683769" w:rsidRDefault="00564E8C" w:rsidP="005E5A2E">
            <w:pPr>
              <w:pStyle w:val="Sansinterligne"/>
              <w:numPr>
                <w:ilvl w:val="0"/>
                <w:numId w:val="432"/>
              </w:numPr>
            </w:pPr>
            <w:r>
              <w:t>Chorioamnionite</w:t>
            </w:r>
          </w:p>
          <w:p w:rsidR="00564E8C" w:rsidRDefault="00564E8C" w:rsidP="005E5A2E">
            <w:pPr>
              <w:pStyle w:val="Sansinterligne"/>
              <w:numPr>
                <w:ilvl w:val="0"/>
                <w:numId w:val="432"/>
              </w:numPr>
            </w:pPr>
            <w:r>
              <w:t>Vaginose bactérienne</w:t>
            </w:r>
          </w:p>
          <w:p w:rsidR="00564E8C" w:rsidRDefault="00564E8C" w:rsidP="005E5A2E">
            <w:pPr>
              <w:pStyle w:val="Sansinterligne"/>
              <w:numPr>
                <w:ilvl w:val="0"/>
                <w:numId w:val="432"/>
              </w:numPr>
            </w:pPr>
            <w:r>
              <w:t xml:space="preserve">Bactériémie / PNA </w:t>
            </w:r>
          </w:p>
          <w:p w:rsidR="003854A0" w:rsidRDefault="003854A0" w:rsidP="005E5A2E">
            <w:pPr>
              <w:pStyle w:val="Sansinterligne"/>
              <w:numPr>
                <w:ilvl w:val="0"/>
                <w:numId w:val="432"/>
              </w:numPr>
            </w:pPr>
            <w:r>
              <w:t>TORCH</w:t>
            </w:r>
            <w:r w:rsidR="000E6781">
              <w:t xml:space="preserve"> (toxoplasmose, syphilis, rubéole, CMV, HSV)</w:t>
            </w:r>
          </w:p>
        </w:tc>
        <w:tc>
          <w:tcPr>
            <w:tcW w:w="3461" w:type="dxa"/>
            <w:shd w:val="clear" w:color="auto" w:fill="000000" w:themeFill="text1"/>
          </w:tcPr>
          <w:p w:rsidR="00683769" w:rsidRDefault="00683769" w:rsidP="002D3750">
            <w:pPr>
              <w:pStyle w:val="Sansinterligne"/>
            </w:pPr>
          </w:p>
        </w:tc>
      </w:tr>
      <w:tr w:rsidR="00683769" w:rsidTr="002479F6">
        <w:tc>
          <w:tcPr>
            <w:tcW w:w="10940" w:type="dxa"/>
            <w:gridSpan w:val="4"/>
            <w:shd w:val="clear" w:color="auto" w:fill="D99594" w:themeFill="accent2" w:themeFillTint="99"/>
          </w:tcPr>
          <w:p w:rsidR="00683769" w:rsidRPr="00BD4CC4" w:rsidRDefault="00683769" w:rsidP="00BD4CC4">
            <w:pPr>
              <w:pStyle w:val="Sansinterligne"/>
              <w:jc w:val="center"/>
              <w:rPr>
                <w:i/>
              </w:rPr>
            </w:pPr>
            <w:r w:rsidRPr="00BD4CC4">
              <w:rPr>
                <w:i/>
              </w:rPr>
              <w:t>Idiopathique</w:t>
            </w:r>
          </w:p>
        </w:tc>
      </w:tr>
      <w:tr w:rsidR="00683769" w:rsidTr="00384BF0">
        <w:tc>
          <w:tcPr>
            <w:tcW w:w="1951" w:type="dxa"/>
          </w:tcPr>
          <w:p w:rsidR="00683769" w:rsidRDefault="00683769" w:rsidP="002D3750">
            <w:pPr>
              <w:pStyle w:val="Sansinterligne"/>
            </w:pPr>
            <w:r>
              <w:t>Idiopathique</w:t>
            </w:r>
          </w:p>
        </w:tc>
        <w:tc>
          <w:tcPr>
            <w:tcW w:w="5528" w:type="dxa"/>
            <w:gridSpan w:val="2"/>
          </w:tcPr>
          <w:p w:rsidR="00564E8C" w:rsidRDefault="00564E8C" w:rsidP="005E5A2E">
            <w:pPr>
              <w:pStyle w:val="Sansinterligne"/>
              <w:numPr>
                <w:ilvl w:val="0"/>
                <w:numId w:val="437"/>
              </w:numPr>
            </w:pPr>
            <w:r>
              <w:t>ATCD d’accouchement prématuré / avortements tardifs</w:t>
            </w:r>
          </w:p>
          <w:p w:rsidR="00564E8C" w:rsidRDefault="00564E8C" w:rsidP="005E5A2E">
            <w:pPr>
              <w:pStyle w:val="Sansinterligne"/>
              <w:numPr>
                <w:ilvl w:val="0"/>
                <w:numId w:val="437"/>
              </w:numPr>
            </w:pPr>
            <w:r>
              <w:t>Aucune cause identifiable</w:t>
            </w:r>
          </w:p>
        </w:tc>
        <w:tc>
          <w:tcPr>
            <w:tcW w:w="3461" w:type="dxa"/>
            <w:shd w:val="clear" w:color="auto" w:fill="000000" w:themeFill="text1"/>
          </w:tcPr>
          <w:p w:rsidR="00683769" w:rsidRDefault="00683769" w:rsidP="002D3750">
            <w:pPr>
              <w:pStyle w:val="Sansinterligne"/>
            </w:pPr>
          </w:p>
        </w:tc>
      </w:tr>
    </w:tbl>
    <w:p w:rsidR="002D3750" w:rsidRPr="002D3750" w:rsidRDefault="002D3750" w:rsidP="002D3750">
      <w:pPr>
        <w:pStyle w:val="Sansinterligne"/>
      </w:pPr>
    </w:p>
    <w:p w:rsidR="002D3750" w:rsidRPr="002D3750" w:rsidRDefault="002D3750" w:rsidP="002D3750">
      <w:pPr>
        <w:pStyle w:val="Sansinterligne"/>
      </w:pPr>
    </w:p>
    <w:p w:rsidR="002D3750" w:rsidRDefault="002D3750" w:rsidP="002D3750">
      <w:pPr>
        <w:pStyle w:val="Sansinterligne"/>
        <w:rPr>
          <w:b/>
          <w:sz w:val="28"/>
          <w:szCs w:val="28"/>
        </w:rPr>
      </w:pPr>
      <w:r>
        <w:rPr>
          <w:b/>
          <w:sz w:val="28"/>
          <w:szCs w:val="28"/>
        </w:rPr>
        <w:t>Indications du déclenchement iatrogène du travail</w:t>
      </w:r>
    </w:p>
    <w:p w:rsidR="002D3750" w:rsidRPr="0013240F" w:rsidRDefault="002D3750" w:rsidP="002D3750">
      <w:pPr>
        <w:pStyle w:val="Sansinterligne"/>
      </w:pPr>
    </w:p>
    <w:tbl>
      <w:tblPr>
        <w:tblStyle w:val="Grilledutableau"/>
        <w:tblW w:w="0" w:type="auto"/>
        <w:tblLook w:val="04A0" w:firstRow="1" w:lastRow="0" w:firstColumn="1" w:lastColumn="0" w:noHBand="0" w:noVBand="1"/>
      </w:tblPr>
      <w:tblGrid>
        <w:gridCol w:w="4219"/>
        <w:gridCol w:w="6721"/>
      </w:tblGrid>
      <w:tr w:rsidR="002D3750" w:rsidRPr="0013240F" w:rsidTr="002479F6">
        <w:tc>
          <w:tcPr>
            <w:tcW w:w="4219" w:type="dxa"/>
            <w:shd w:val="clear" w:color="auto" w:fill="D99594" w:themeFill="accent2" w:themeFillTint="99"/>
          </w:tcPr>
          <w:p w:rsidR="002D3750" w:rsidRPr="0013240F" w:rsidRDefault="002D3750" w:rsidP="00956840">
            <w:pPr>
              <w:pStyle w:val="Sansinterligne"/>
              <w:jc w:val="center"/>
              <w:rPr>
                <w:b/>
              </w:rPr>
            </w:pPr>
            <w:r w:rsidRPr="0013240F">
              <w:rPr>
                <w:b/>
              </w:rPr>
              <w:t>Indication</w:t>
            </w:r>
          </w:p>
        </w:tc>
        <w:tc>
          <w:tcPr>
            <w:tcW w:w="6721" w:type="dxa"/>
            <w:shd w:val="clear" w:color="auto" w:fill="D99594" w:themeFill="accent2" w:themeFillTint="99"/>
          </w:tcPr>
          <w:p w:rsidR="002D3750" w:rsidRPr="0013240F" w:rsidRDefault="002D3750" w:rsidP="00956840">
            <w:pPr>
              <w:pStyle w:val="Sansinterligne"/>
              <w:jc w:val="center"/>
              <w:rPr>
                <w:b/>
              </w:rPr>
            </w:pPr>
            <w:r w:rsidRPr="0013240F">
              <w:rPr>
                <w:b/>
              </w:rPr>
              <w:t>Normes / commentaires</w:t>
            </w:r>
          </w:p>
        </w:tc>
      </w:tr>
      <w:tr w:rsidR="002D3750" w:rsidRPr="0013240F" w:rsidTr="00E913F5">
        <w:tc>
          <w:tcPr>
            <w:tcW w:w="4219" w:type="dxa"/>
          </w:tcPr>
          <w:p w:rsidR="002D3750" w:rsidRPr="0013240F" w:rsidRDefault="00850DFB" w:rsidP="00B60568">
            <w:pPr>
              <w:pStyle w:val="Sansinterligne"/>
            </w:pPr>
            <w:r w:rsidRPr="00273C0D">
              <w:rPr>
                <w:highlight w:val="yellow"/>
              </w:rPr>
              <w:t xml:space="preserve">Éclampsie </w:t>
            </w:r>
            <w:r w:rsidR="00B60568" w:rsidRPr="00273C0D">
              <w:rPr>
                <w:highlight w:val="yellow"/>
              </w:rPr>
              <w:t>/ Prééclampsie sévère</w:t>
            </w:r>
          </w:p>
        </w:tc>
        <w:tc>
          <w:tcPr>
            <w:tcW w:w="6721" w:type="dxa"/>
          </w:tcPr>
          <w:p w:rsidR="002D3750" w:rsidRDefault="00B60568" w:rsidP="005E5A2E">
            <w:pPr>
              <w:pStyle w:val="Sansinterligne"/>
              <w:numPr>
                <w:ilvl w:val="0"/>
                <w:numId w:val="438"/>
              </w:numPr>
            </w:pPr>
            <w:r>
              <w:t>Déclenchement peu importe l’âge fœtal</w:t>
            </w:r>
          </w:p>
          <w:p w:rsidR="00B60568" w:rsidRPr="0013240F" w:rsidRDefault="00B60568" w:rsidP="005E5A2E">
            <w:pPr>
              <w:pStyle w:val="Sansinterligne"/>
              <w:numPr>
                <w:ilvl w:val="0"/>
                <w:numId w:val="438"/>
              </w:numPr>
            </w:pPr>
            <w:r>
              <w:t>Si prééclampsie sans signes de sévérité : peser risques fœtaux / risques maternels</w:t>
            </w:r>
          </w:p>
        </w:tc>
      </w:tr>
      <w:tr w:rsidR="001F669D" w:rsidRPr="0013240F" w:rsidTr="00E913F5">
        <w:tc>
          <w:tcPr>
            <w:tcW w:w="4219" w:type="dxa"/>
          </w:tcPr>
          <w:p w:rsidR="001F669D" w:rsidRPr="0013240F" w:rsidRDefault="001F669D" w:rsidP="002D3750">
            <w:pPr>
              <w:pStyle w:val="Sansinterligne"/>
            </w:pPr>
            <w:r>
              <w:t>Diabète gestationnel</w:t>
            </w:r>
            <w:r w:rsidR="00B60568">
              <w:t xml:space="preserve"> / diabète connu</w:t>
            </w:r>
          </w:p>
        </w:tc>
        <w:tc>
          <w:tcPr>
            <w:tcW w:w="6721" w:type="dxa"/>
          </w:tcPr>
          <w:p w:rsidR="001F669D" w:rsidRDefault="00B60568" w:rsidP="005E5A2E">
            <w:pPr>
              <w:pStyle w:val="Sansinterligne"/>
              <w:numPr>
                <w:ilvl w:val="0"/>
                <w:numId w:val="438"/>
              </w:numPr>
            </w:pPr>
            <w:r>
              <w:t>Envisager déclenchement à 39-40 semaines</w:t>
            </w:r>
          </w:p>
          <w:p w:rsidR="00B60568" w:rsidRPr="0013240F" w:rsidRDefault="00B60568" w:rsidP="005E5A2E">
            <w:pPr>
              <w:pStyle w:val="Sansinterligne"/>
              <w:numPr>
                <w:ilvl w:val="0"/>
                <w:numId w:val="438"/>
              </w:numPr>
            </w:pPr>
            <w:r>
              <w:t>Insuline + dextrose durant le travail, suivi glycémie q 1h</w:t>
            </w:r>
          </w:p>
        </w:tc>
      </w:tr>
      <w:tr w:rsidR="002D3750" w:rsidRPr="0013240F" w:rsidTr="00E913F5">
        <w:tc>
          <w:tcPr>
            <w:tcW w:w="4219" w:type="dxa"/>
          </w:tcPr>
          <w:p w:rsidR="002D3750" w:rsidRPr="0013240F" w:rsidRDefault="009D0B20" w:rsidP="002D3750">
            <w:pPr>
              <w:pStyle w:val="Sansinterligne"/>
            </w:pPr>
            <w:r w:rsidRPr="0013240F">
              <w:t>Retard de croissance intra-utérin</w:t>
            </w:r>
          </w:p>
        </w:tc>
        <w:tc>
          <w:tcPr>
            <w:tcW w:w="6721" w:type="dxa"/>
          </w:tcPr>
          <w:p w:rsidR="002D3750" w:rsidRPr="0013240F" w:rsidRDefault="00FF5777" w:rsidP="005E5A2E">
            <w:pPr>
              <w:pStyle w:val="Sansinterligne"/>
              <w:numPr>
                <w:ilvl w:val="0"/>
                <w:numId w:val="439"/>
              </w:numPr>
            </w:pPr>
            <w:r>
              <w:t xml:space="preserve">Si vie extrautérine </w:t>
            </w:r>
            <w:r w:rsidR="00340698">
              <w:t xml:space="preserve">moins risquée que poursuite de grossesse, </w:t>
            </w:r>
            <w:r w:rsidR="00340698">
              <w:rPr>
                <w:rFonts w:cs="Times New Roman"/>
              </w:rPr>
              <w:t xml:space="preserve">Ø </w:t>
            </w:r>
            <w:r>
              <w:t>de croissance, oligohydramnios sévère, etc.</w:t>
            </w:r>
          </w:p>
        </w:tc>
      </w:tr>
      <w:tr w:rsidR="001F669D" w:rsidRPr="0013240F" w:rsidTr="00E913F5">
        <w:tc>
          <w:tcPr>
            <w:tcW w:w="4219" w:type="dxa"/>
          </w:tcPr>
          <w:p w:rsidR="001F669D" w:rsidRPr="0013240F" w:rsidRDefault="001F669D" w:rsidP="002D3750">
            <w:pPr>
              <w:pStyle w:val="Sansinterligne"/>
            </w:pPr>
            <w:r>
              <w:t>Chorioamnionite</w:t>
            </w:r>
          </w:p>
        </w:tc>
        <w:tc>
          <w:tcPr>
            <w:tcW w:w="6721" w:type="dxa"/>
            <w:shd w:val="clear" w:color="auto" w:fill="000000" w:themeFill="text1"/>
          </w:tcPr>
          <w:p w:rsidR="001F669D" w:rsidRPr="0013240F" w:rsidRDefault="001F669D" w:rsidP="002D3750">
            <w:pPr>
              <w:pStyle w:val="Sansinterligne"/>
            </w:pPr>
          </w:p>
        </w:tc>
      </w:tr>
      <w:tr w:rsidR="00167A5F" w:rsidRPr="0013240F" w:rsidTr="00E913F5">
        <w:tc>
          <w:tcPr>
            <w:tcW w:w="4219" w:type="dxa"/>
          </w:tcPr>
          <w:p w:rsidR="00167A5F" w:rsidRPr="00273C0D" w:rsidRDefault="00167A5F" w:rsidP="002D3750">
            <w:pPr>
              <w:pStyle w:val="Sansinterligne"/>
              <w:rPr>
                <w:highlight w:val="yellow"/>
              </w:rPr>
            </w:pPr>
            <w:r w:rsidRPr="00273C0D">
              <w:rPr>
                <w:highlight w:val="yellow"/>
              </w:rPr>
              <w:t>DPPNI / Placenta praevia</w:t>
            </w:r>
          </w:p>
        </w:tc>
        <w:tc>
          <w:tcPr>
            <w:tcW w:w="6721" w:type="dxa"/>
          </w:tcPr>
          <w:p w:rsidR="00167A5F" w:rsidRPr="00273C0D" w:rsidRDefault="00167A5F" w:rsidP="005E5A2E">
            <w:pPr>
              <w:pStyle w:val="Sansinterligne"/>
              <w:numPr>
                <w:ilvl w:val="0"/>
                <w:numId w:val="439"/>
              </w:numPr>
              <w:rPr>
                <w:highlight w:val="yellow"/>
              </w:rPr>
            </w:pPr>
            <w:r w:rsidRPr="00273C0D">
              <w:rPr>
                <w:highlight w:val="yellow"/>
              </w:rPr>
              <w:t xml:space="preserve">Si la </w:t>
            </w:r>
            <w:r w:rsidRPr="00273C0D">
              <w:rPr>
                <w:rFonts w:cs="Times New Roman"/>
                <w:bCs/>
                <w:color w:val="252525"/>
                <w:highlight w:val="yellow"/>
                <w:shd w:val="clear" w:color="auto" w:fill="FFFFFF"/>
              </w:rPr>
              <w:t>♀ saigne abondamment (récidive)</w:t>
            </w:r>
            <w:r w:rsidR="00751E6C" w:rsidRPr="00273C0D">
              <w:rPr>
                <w:rFonts w:cs="Times New Roman"/>
                <w:bCs/>
                <w:color w:val="252525"/>
                <w:highlight w:val="yellow"/>
                <w:shd w:val="clear" w:color="auto" w:fill="FFFFFF"/>
              </w:rPr>
              <w:t xml:space="preserve"> ou fœtus </w:t>
            </w:r>
            <w:r w:rsidR="00751E6C" w:rsidRPr="00273C0D">
              <w:rPr>
                <w:rFonts w:ascii="Century Gothic" w:hAnsi="Century Gothic" w:cs="Times New Roman"/>
                <w:bCs/>
                <w:color w:val="252525"/>
                <w:highlight w:val="yellow"/>
                <w:shd w:val="clear" w:color="auto" w:fill="FFFFFF"/>
              </w:rPr>
              <w:t>&gt;</w:t>
            </w:r>
            <w:r w:rsidR="00751E6C" w:rsidRPr="00273C0D">
              <w:rPr>
                <w:rFonts w:cs="Times New Roman"/>
                <w:bCs/>
                <w:color w:val="252525"/>
                <w:highlight w:val="yellow"/>
                <w:shd w:val="clear" w:color="auto" w:fill="FFFFFF"/>
              </w:rPr>
              <w:t xml:space="preserve"> 37 semaines</w:t>
            </w:r>
          </w:p>
        </w:tc>
      </w:tr>
      <w:tr w:rsidR="002D3750" w:rsidRPr="0013240F" w:rsidTr="00E913F5">
        <w:tc>
          <w:tcPr>
            <w:tcW w:w="4219" w:type="dxa"/>
          </w:tcPr>
          <w:p w:rsidR="002D3750" w:rsidRPr="0013240F" w:rsidRDefault="009D0B20" w:rsidP="002D3750">
            <w:pPr>
              <w:pStyle w:val="Sansinterligne"/>
            </w:pPr>
            <w:r w:rsidRPr="0013240F">
              <w:t>Rupture prématurée des membranes (préterme ou non)</w:t>
            </w:r>
          </w:p>
        </w:tc>
        <w:tc>
          <w:tcPr>
            <w:tcW w:w="6721" w:type="dxa"/>
          </w:tcPr>
          <w:p w:rsidR="002D3750" w:rsidRPr="0013240F" w:rsidRDefault="00407A84" w:rsidP="005E5A2E">
            <w:pPr>
              <w:pStyle w:val="Sansinterligne"/>
              <w:numPr>
                <w:ilvl w:val="0"/>
                <w:numId w:val="458"/>
              </w:numPr>
            </w:pPr>
            <w:r>
              <w:t>Discutable. Peser les risques de prématurité fœtal vs les risques d’infection fœto-maternels</w:t>
            </w:r>
          </w:p>
        </w:tc>
      </w:tr>
      <w:tr w:rsidR="002D3750" w:rsidRPr="0013240F" w:rsidTr="00E913F5">
        <w:tc>
          <w:tcPr>
            <w:tcW w:w="4219" w:type="dxa"/>
          </w:tcPr>
          <w:p w:rsidR="002D3750" w:rsidRPr="0013240F" w:rsidRDefault="001F669D" w:rsidP="002D3750">
            <w:pPr>
              <w:pStyle w:val="Sansinterligne"/>
            </w:pPr>
            <w:r w:rsidRPr="00273C0D">
              <w:rPr>
                <w:highlight w:val="yellow"/>
              </w:rPr>
              <w:t>Grossesse post-terme</w:t>
            </w:r>
          </w:p>
        </w:tc>
        <w:tc>
          <w:tcPr>
            <w:tcW w:w="6721" w:type="dxa"/>
          </w:tcPr>
          <w:p w:rsidR="002D3750" w:rsidRPr="0013240F" w:rsidRDefault="00A44568" w:rsidP="005E5A2E">
            <w:pPr>
              <w:pStyle w:val="Sansinterligne"/>
              <w:numPr>
                <w:ilvl w:val="0"/>
                <w:numId w:val="457"/>
              </w:numPr>
            </w:pPr>
            <w:r>
              <w:rPr>
                <w:rFonts w:ascii="Century Gothic" w:hAnsi="Century Gothic"/>
              </w:rPr>
              <w:t>≥</w:t>
            </w:r>
            <w:r>
              <w:t xml:space="preserve"> 41 semaine</w:t>
            </w:r>
          </w:p>
        </w:tc>
      </w:tr>
      <w:tr w:rsidR="001F669D" w:rsidRPr="0013240F" w:rsidTr="00E913F5">
        <w:tc>
          <w:tcPr>
            <w:tcW w:w="4219" w:type="dxa"/>
          </w:tcPr>
          <w:p w:rsidR="001F669D" w:rsidRDefault="001F669D" w:rsidP="002D3750">
            <w:pPr>
              <w:pStyle w:val="Sansinterligne"/>
            </w:pPr>
            <w:r>
              <w:t xml:space="preserve">Mort fœtale </w:t>
            </w:r>
            <w:r w:rsidRPr="001F669D">
              <w:rPr>
                <w:i/>
              </w:rPr>
              <w:t>in utero</w:t>
            </w:r>
          </w:p>
        </w:tc>
        <w:tc>
          <w:tcPr>
            <w:tcW w:w="6721" w:type="dxa"/>
          </w:tcPr>
          <w:p w:rsidR="001F669D" w:rsidRPr="0013240F" w:rsidRDefault="00A44568" w:rsidP="005E5A2E">
            <w:pPr>
              <w:pStyle w:val="Sansinterligne"/>
              <w:numPr>
                <w:ilvl w:val="0"/>
                <w:numId w:val="457"/>
              </w:numPr>
            </w:pPr>
            <w:r>
              <w:t>Pour expulsion du fœtus</w:t>
            </w:r>
          </w:p>
        </w:tc>
      </w:tr>
    </w:tbl>
    <w:p w:rsidR="0013240F" w:rsidRPr="0013240F" w:rsidRDefault="0013240F" w:rsidP="002D3750">
      <w:pPr>
        <w:pStyle w:val="Sansinterligne"/>
      </w:pPr>
    </w:p>
    <w:p w:rsidR="00B66FD6" w:rsidRDefault="00B66FD6" w:rsidP="002D3750">
      <w:pPr>
        <w:pStyle w:val="Sansinterligne"/>
        <w:rPr>
          <w:b/>
          <w:sz w:val="28"/>
          <w:szCs w:val="28"/>
        </w:rPr>
      </w:pPr>
    </w:p>
    <w:p w:rsidR="0013240F" w:rsidRDefault="0013240F" w:rsidP="002D3750">
      <w:pPr>
        <w:pStyle w:val="Sansinterligne"/>
      </w:pPr>
      <w:r>
        <w:rPr>
          <w:b/>
          <w:sz w:val="28"/>
          <w:szCs w:val="28"/>
        </w:rPr>
        <w:t>Investigation</w:t>
      </w:r>
    </w:p>
    <w:p w:rsidR="0013240F" w:rsidRDefault="0013240F" w:rsidP="002D3750">
      <w:pPr>
        <w:pStyle w:val="Sansinterligne"/>
      </w:pPr>
    </w:p>
    <w:p w:rsidR="0013240F" w:rsidRPr="00445671" w:rsidRDefault="0013240F" w:rsidP="005E5A2E">
      <w:pPr>
        <w:pStyle w:val="Sansinterligne"/>
        <w:numPr>
          <w:ilvl w:val="0"/>
          <w:numId w:val="444"/>
        </w:numPr>
        <w:ind w:left="360"/>
        <w:rPr>
          <w:highlight w:val="yellow"/>
        </w:rPr>
      </w:pPr>
      <w:r w:rsidRPr="00445671">
        <w:rPr>
          <w:b/>
          <w:highlight w:val="yellow"/>
        </w:rPr>
        <w:t>Écho</w:t>
      </w:r>
      <w:r w:rsidR="00597543" w:rsidRPr="00445671">
        <w:rPr>
          <w:b/>
          <w:highlight w:val="yellow"/>
        </w:rPr>
        <w:t>graphie de grossesse</w:t>
      </w:r>
      <w:r w:rsidR="00597543" w:rsidRPr="00445671">
        <w:rPr>
          <w:highlight w:val="yellow"/>
        </w:rPr>
        <w:t xml:space="preserve"> </w:t>
      </w:r>
      <w:r w:rsidR="00597543" w:rsidRPr="00445671">
        <w:rPr>
          <w:rFonts w:ascii="Century Gothic" w:hAnsi="Century Gothic"/>
          <w:highlight w:val="yellow"/>
        </w:rPr>
        <w:t>→</w:t>
      </w:r>
      <w:r w:rsidR="00597543" w:rsidRPr="00445671">
        <w:rPr>
          <w:highlight w:val="yellow"/>
        </w:rPr>
        <w:t xml:space="preserve"> profil biophysique, croissance fœtale, localisation placentaire, évaluation du liquide amniotique (olig/polyhydramnios)</w:t>
      </w:r>
    </w:p>
    <w:p w:rsidR="00597543" w:rsidRPr="00445671" w:rsidRDefault="00597543" w:rsidP="00445671">
      <w:pPr>
        <w:pStyle w:val="Sansinterligne"/>
        <w:rPr>
          <w:highlight w:val="yellow"/>
        </w:rPr>
      </w:pPr>
    </w:p>
    <w:p w:rsidR="00597543" w:rsidRPr="00445671" w:rsidRDefault="00597543" w:rsidP="005E5A2E">
      <w:pPr>
        <w:pStyle w:val="Sansinterligne"/>
        <w:numPr>
          <w:ilvl w:val="0"/>
          <w:numId w:val="444"/>
        </w:numPr>
        <w:ind w:left="360"/>
        <w:rPr>
          <w:highlight w:val="yellow"/>
        </w:rPr>
      </w:pPr>
      <w:r w:rsidRPr="00445671">
        <w:rPr>
          <w:b/>
          <w:highlight w:val="yellow"/>
        </w:rPr>
        <w:t>Monitoring fœtal</w:t>
      </w:r>
      <w:r w:rsidR="00445671" w:rsidRPr="00445671">
        <w:rPr>
          <w:b/>
          <w:highlight w:val="yellow"/>
        </w:rPr>
        <w:t xml:space="preserve"> </w:t>
      </w:r>
      <w:r w:rsidR="00445671" w:rsidRPr="00445671">
        <w:rPr>
          <w:highlight w:val="yellow"/>
        </w:rPr>
        <w:t>(cardiotocographe)</w:t>
      </w:r>
    </w:p>
    <w:p w:rsidR="00445671" w:rsidRDefault="00445671" w:rsidP="00445671">
      <w:pPr>
        <w:pStyle w:val="Sansinterligne"/>
      </w:pPr>
    </w:p>
    <w:p w:rsidR="00445671" w:rsidRDefault="00445671" w:rsidP="005E5A2E">
      <w:pPr>
        <w:pStyle w:val="Sansinterligne"/>
        <w:numPr>
          <w:ilvl w:val="0"/>
          <w:numId w:val="444"/>
        </w:numPr>
        <w:ind w:left="360"/>
      </w:pPr>
      <w:r>
        <w:t>Prélèvement au niveau du col (éliminer infection)</w:t>
      </w:r>
    </w:p>
    <w:p w:rsidR="00445671" w:rsidRDefault="00445671" w:rsidP="00445671">
      <w:pPr>
        <w:pStyle w:val="Sansinterligne"/>
      </w:pPr>
    </w:p>
    <w:p w:rsidR="00445671" w:rsidRDefault="00445671" w:rsidP="005E5A2E">
      <w:pPr>
        <w:pStyle w:val="Sansinterligne"/>
        <w:numPr>
          <w:ilvl w:val="0"/>
          <w:numId w:val="444"/>
        </w:numPr>
        <w:ind w:left="360"/>
      </w:pPr>
      <w:r>
        <w:t>Prélèvement du liquide amniotique pour évaluer maturité pulmonaire fœtale</w:t>
      </w:r>
    </w:p>
    <w:p w:rsidR="00445671" w:rsidRPr="00597543" w:rsidRDefault="00445671" w:rsidP="005E5A2E">
      <w:pPr>
        <w:pStyle w:val="Sansinterligne"/>
        <w:numPr>
          <w:ilvl w:val="0"/>
          <w:numId w:val="443"/>
        </w:numPr>
        <w:ind w:left="720"/>
        <w:rPr>
          <w:b/>
        </w:rPr>
      </w:pPr>
      <w:r>
        <w:t xml:space="preserve">Lécithine/sphingomyéline </w:t>
      </w:r>
      <w:r w:rsidRPr="00445671">
        <w:rPr>
          <w:rFonts w:ascii="Century Gothic" w:hAnsi="Century Gothic"/>
        </w:rPr>
        <w:t>&lt;</w:t>
      </w:r>
      <w:r>
        <w:rPr>
          <w:rFonts w:ascii="Century Gothic" w:hAnsi="Century Gothic"/>
        </w:rPr>
        <w:t xml:space="preserve"> </w:t>
      </w:r>
      <w:r>
        <w:t>2 = immature</w:t>
      </w:r>
    </w:p>
    <w:p w:rsidR="0013240F" w:rsidRDefault="0013240F" w:rsidP="002D3750">
      <w:pPr>
        <w:pStyle w:val="Sansinterligne"/>
      </w:pPr>
    </w:p>
    <w:p w:rsidR="0013240F" w:rsidRDefault="0013240F" w:rsidP="002D3750">
      <w:pPr>
        <w:pStyle w:val="Sansinterligne"/>
      </w:pPr>
      <w:r>
        <w:rPr>
          <w:b/>
          <w:sz w:val="28"/>
          <w:szCs w:val="28"/>
        </w:rPr>
        <w:t>Prise en charge</w:t>
      </w:r>
    </w:p>
    <w:p w:rsidR="0013240F" w:rsidRDefault="0013240F" w:rsidP="002D3750">
      <w:pPr>
        <w:pStyle w:val="Sansinterligne"/>
      </w:pPr>
    </w:p>
    <w:p w:rsidR="000B63A6" w:rsidRDefault="000B63A6" w:rsidP="000B63A6">
      <w:pPr>
        <w:pStyle w:val="Sansinterligne"/>
      </w:pPr>
      <w:r w:rsidRPr="009E1815">
        <w:rPr>
          <w:u w:val="single"/>
        </w:rPr>
        <w:t>Si insuffisance cervico-isthmique (précoce)</w:t>
      </w:r>
      <w:r>
        <w:t> :</w:t>
      </w:r>
    </w:p>
    <w:p w:rsidR="000B63A6" w:rsidRDefault="000B63A6" w:rsidP="005E5A2E">
      <w:pPr>
        <w:pStyle w:val="Sansinterligne"/>
        <w:numPr>
          <w:ilvl w:val="0"/>
          <w:numId w:val="440"/>
        </w:numPr>
      </w:pPr>
      <w:r>
        <w:t>Cerclage cervical (installation de sutures à l’ouverture du col du 1</w:t>
      </w:r>
      <w:r w:rsidRPr="009E1815">
        <w:rPr>
          <w:vertAlign w:val="superscript"/>
        </w:rPr>
        <w:t>er</w:t>
      </w:r>
      <w:r>
        <w:t xml:space="preserve"> au 3</w:t>
      </w:r>
      <w:r w:rsidRPr="009E1815">
        <w:rPr>
          <w:vertAlign w:val="superscript"/>
        </w:rPr>
        <w:t>e</w:t>
      </w:r>
      <w:r>
        <w:t xml:space="preserve"> trimestre)</w:t>
      </w:r>
    </w:p>
    <w:p w:rsidR="000B63A6" w:rsidRDefault="000B63A6" w:rsidP="000B63A6">
      <w:pPr>
        <w:pStyle w:val="Sansinterligne"/>
        <w:ind w:left="360"/>
      </w:pPr>
    </w:p>
    <w:p w:rsidR="000B63A6" w:rsidRPr="000B63A6" w:rsidRDefault="000B63A6" w:rsidP="000B63A6">
      <w:pPr>
        <w:pStyle w:val="Sansinterligne"/>
        <w:rPr>
          <w:u w:val="single"/>
        </w:rPr>
      </w:pPr>
      <w:r w:rsidRPr="000B63A6">
        <w:rPr>
          <w:u w:val="single"/>
        </w:rPr>
        <w:t xml:space="preserve">Conduite générale (fœtus viable </w:t>
      </w:r>
      <w:r w:rsidRPr="000B63A6">
        <w:rPr>
          <w:rFonts w:ascii="Century Gothic" w:hAnsi="Century Gothic"/>
          <w:u w:val="single"/>
        </w:rPr>
        <w:t>&gt;</w:t>
      </w:r>
      <w:r w:rsidRPr="000B63A6">
        <w:rPr>
          <w:u w:val="single"/>
        </w:rPr>
        <w:t xml:space="preserve"> 21 semaines)</w:t>
      </w:r>
    </w:p>
    <w:p w:rsidR="009E1815" w:rsidRPr="007E3F99" w:rsidRDefault="009E1815" w:rsidP="005E5A2E">
      <w:pPr>
        <w:pStyle w:val="Sansinterligne"/>
        <w:numPr>
          <w:ilvl w:val="0"/>
          <w:numId w:val="440"/>
        </w:numPr>
        <w:rPr>
          <w:highlight w:val="yellow"/>
        </w:rPr>
      </w:pPr>
      <w:r w:rsidRPr="007E3F99">
        <w:rPr>
          <w:highlight w:val="yellow"/>
        </w:rPr>
        <w:t>Hospitalisation</w:t>
      </w:r>
    </w:p>
    <w:p w:rsidR="009E1815" w:rsidRPr="007E3F99" w:rsidRDefault="009E1815" w:rsidP="005E5A2E">
      <w:pPr>
        <w:pStyle w:val="Sansinterligne"/>
        <w:numPr>
          <w:ilvl w:val="0"/>
          <w:numId w:val="440"/>
        </w:numPr>
        <w:rPr>
          <w:highlight w:val="yellow"/>
        </w:rPr>
      </w:pPr>
      <w:r w:rsidRPr="007E3F99">
        <w:rPr>
          <w:highlight w:val="yellow"/>
        </w:rPr>
        <w:t>Repos au lit et hydratation maternelle (soluté)</w:t>
      </w:r>
    </w:p>
    <w:p w:rsidR="009E1815" w:rsidRDefault="009E1815" w:rsidP="005E5A2E">
      <w:pPr>
        <w:pStyle w:val="Sansinterligne"/>
        <w:numPr>
          <w:ilvl w:val="0"/>
          <w:numId w:val="440"/>
        </w:numPr>
      </w:pPr>
      <w:r>
        <w:t>Revoir le dossier (âge fœtal)</w:t>
      </w:r>
      <w:r w:rsidR="000B63A6">
        <w:t xml:space="preserve"> </w:t>
      </w:r>
      <w:r w:rsidR="000B63A6">
        <w:rPr>
          <w:rFonts w:ascii="Century Gothic" w:hAnsi="Century Gothic"/>
        </w:rPr>
        <w:t>→</w:t>
      </w:r>
      <w:r w:rsidR="000B63A6">
        <w:t xml:space="preserve"> prévoir transfert en centre tertiaire si nécessaire ou se préparer à accoucher sur place. Aviser pédiatre / </w:t>
      </w:r>
      <w:r w:rsidR="000A3A79">
        <w:t>néonatalogie</w:t>
      </w:r>
      <w:r w:rsidR="000B63A6">
        <w:t>.</w:t>
      </w:r>
    </w:p>
    <w:p w:rsidR="009E1815" w:rsidRPr="007E3F99" w:rsidRDefault="009E1815" w:rsidP="005E5A2E">
      <w:pPr>
        <w:pStyle w:val="Sansinterligne"/>
        <w:numPr>
          <w:ilvl w:val="0"/>
          <w:numId w:val="440"/>
        </w:numPr>
        <w:rPr>
          <w:b/>
          <w:highlight w:val="yellow"/>
        </w:rPr>
      </w:pPr>
      <w:r w:rsidRPr="007E3F99">
        <w:rPr>
          <w:b/>
          <w:highlight w:val="yellow"/>
        </w:rPr>
        <w:t>Échographie de grossesse (voir ci-haut)</w:t>
      </w:r>
    </w:p>
    <w:p w:rsidR="009E1815" w:rsidRDefault="009E1815" w:rsidP="005E5A2E">
      <w:pPr>
        <w:pStyle w:val="Sansinterligne"/>
        <w:numPr>
          <w:ilvl w:val="0"/>
          <w:numId w:val="440"/>
        </w:numPr>
      </w:pPr>
      <w:r>
        <w:t>Tocolyse si :</w:t>
      </w:r>
    </w:p>
    <w:p w:rsidR="007E3F99" w:rsidRDefault="007E3F99" w:rsidP="005E5A2E">
      <w:pPr>
        <w:pStyle w:val="Sansinterligne"/>
        <w:numPr>
          <w:ilvl w:val="1"/>
          <w:numId w:val="440"/>
        </w:numPr>
      </w:pPr>
      <w:r>
        <w:t xml:space="preserve">Travail </w:t>
      </w:r>
      <w:r w:rsidR="00B501B7">
        <w:t>prématuré</w:t>
      </w:r>
      <w:r>
        <w:t xml:space="preserve"> + fœtus immature + absence de contre-indications (ci-bas)</w:t>
      </w:r>
    </w:p>
    <w:p w:rsidR="007E3F99" w:rsidRDefault="007E3F99" w:rsidP="005E5A2E">
      <w:pPr>
        <w:pStyle w:val="Sansinterligne"/>
        <w:numPr>
          <w:ilvl w:val="1"/>
          <w:numId w:val="440"/>
        </w:numPr>
      </w:pPr>
      <w:r>
        <w:t>(saignements, HTA, DM gestationnel, trouble cardiaque, prééclampsie/éclampsie, chorioamnionite, érythroblastose fœtale, anomalies congénitales sévères, RCIU, mort fœtale détresse fœtale)</w:t>
      </w:r>
    </w:p>
    <w:p w:rsidR="00E8668C" w:rsidRDefault="00E8668C" w:rsidP="005E5A2E">
      <w:pPr>
        <w:pStyle w:val="Sansinterligne"/>
        <w:numPr>
          <w:ilvl w:val="1"/>
          <w:numId w:val="441"/>
        </w:numPr>
      </w:pPr>
      <w:r>
        <w:t>Nifédipine : 20 mg PO x 1 puis 20 mg PO à 90 min, puis q 3-8h PRN (max 180 mg)</w:t>
      </w:r>
    </w:p>
    <w:p w:rsidR="00E8668C" w:rsidRDefault="00B501B7" w:rsidP="005E5A2E">
      <w:pPr>
        <w:pStyle w:val="Sansinterligne"/>
        <w:numPr>
          <w:ilvl w:val="1"/>
          <w:numId w:val="441"/>
        </w:numPr>
      </w:pPr>
      <w:r>
        <w:t>Indométacine</w:t>
      </w:r>
      <w:r w:rsidR="00E8668C">
        <w:t xml:space="preserve"> 50-100 mg PO x 1 puis 25 mg PO q 4-6h</w:t>
      </w:r>
    </w:p>
    <w:p w:rsidR="009E1815" w:rsidRDefault="009E1815" w:rsidP="005E5A2E">
      <w:pPr>
        <w:pStyle w:val="Sansinterligne"/>
        <w:numPr>
          <w:ilvl w:val="0"/>
          <w:numId w:val="440"/>
        </w:numPr>
      </w:pPr>
      <w:r w:rsidRPr="007E3F99">
        <w:rPr>
          <w:b/>
          <w:highlight w:val="yellow"/>
        </w:rPr>
        <w:t>Maturation pulmonaire fœtale</w:t>
      </w:r>
      <w:r>
        <w:t> :</w:t>
      </w:r>
    </w:p>
    <w:p w:rsidR="009E1815" w:rsidRDefault="009E1815" w:rsidP="005E5A2E">
      <w:pPr>
        <w:pStyle w:val="Sansinterligne"/>
        <w:numPr>
          <w:ilvl w:val="1"/>
          <w:numId w:val="442"/>
        </w:numPr>
      </w:pPr>
      <w:r w:rsidRPr="007E3F99">
        <w:rPr>
          <w:highlight w:val="yellow"/>
        </w:rPr>
        <w:t xml:space="preserve">Valérate de béthamétasone (Celestone) 12 mg IM q </w:t>
      </w:r>
      <w:r w:rsidRPr="00445671">
        <w:rPr>
          <w:highlight w:val="yellow"/>
        </w:rPr>
        <w:t>24h x 2</w:t>
      </w:r>
    </w:p>
    <w:p w:rsidR="009E1815" w:rsidRDefault="00445671" w:rsidP="005E5A2E">
      <w:pPr>
        <w:pStyle w:val="Sansinterligne"/>
        <w:numPr>
          <w:ilvl w:val="1"/>
          <w:numId w:val="442"/>
        </w:numPr>
      </w:pPr>
      <w:r>
        <w:rPr>
          <w:rFonts w:ascii="Century Gothic" w:hAnsi="Century Gothic"/>
          <w:highlight w:val="yellow"/>
        </w:rPr>
        <w:t>&lt;</w:t>
      </w:r>
      <w:r>
        <w:t xml:space="preserve"> 34 semaines ou </w:t>
      </w:r>
      <w:r w:rsidRPr="00445671">
        <w:t xml:space="preserve">Lécithine/sphingomyéline </w:t>
      </w:r>
      <w:r w:rsidRPr="00445671">
        <w:rPr>
          <w:rFonts w:ascii="Century Gothic" w:hAnsi="Century Gothic"/>
        </w:rPr>
        <w:t xml:space="preserve">&lt; </w:t>
      </w:r>
      <w:r w:rsidRPr="00445671">
        <w:t>2</w:t>
      </w:r>
    </w:p>
    <w:p w:rsidR="006C5B42" w:rsidRPr="006C5B42" w:rsidRDefault="006C5B42" w:rsidP="005E5A2E">
      <w:pPr>
        <w:pStyle w:val="Sansinterligne"/>
        <w:numPr>
          <w:ilvl w:val="0"/>
          <w:numId w:val="440"/>
        </w:numPr>
        <w:rPr>
          <w:b/>
          <w:highlight w:val="yellow"/>
        </w:rPr>
      </w:pPr>
      <w:r w:rsidRPr="006C5B42">
        <w:rPr>
          <w:b/>
          <w:highlight w:val="yellow"/>
        </w:rPr>
        <w:t>Antibiothérapie si RPPM</w:t>
      </w:r>
    </w:p>
    <w:p w:rsidR="007065A1" w:rsidRDefault="000B63A6" w:rsidP="005E5A2E">
      <w:pPr>
        <w:pStyle w:val="Sansinterligne"/>
        <w:numPr>
          <w:ilvl w:val="0"/>
          <w:numId w:val="445"/>
        </w:numPr>
      </w:pPr>
      <w:r>
        <w:t>Si échec de tocolyse : accoucher, sinon :</w:t>
      </w:r>
    </w:p>
    <w:p w:rsidR="000B63A6" w:rsidRDefault="007065A1" w:rsidP="005E5A2E">
      <w:pPr>
        <w:pStyle w:val="Sansinterligne"/>
        <w:numPr>
          <w:ilvl w:val="0"/>
          <w:numId w:val="445"/>
        </w:numPr>
      </w:pPr>
      <w:r>
        <w:t xml:space="preserve">Réévaluer régulièrement les risques et l’état de la mère et du </w:t>
      </w:r>
      <w:r w:rsidR="00970DB5">
        <w:t>fœtus</w:t>
      </w:r>
      <w:r w:rsidR="000B63A6">
        <w:t>.</w:t>
      </w:r>
    </w:p>
    <w:p w:rsidR="00D74985" w:rsidRPr="009E1815" w:rsidRDefault="004F3E65" w:rsidP="005E5A2E">
      <w:pPr>
        <w:pStyle w:val="Sansinterligne"/>
        <w:numPr>
          <w:ilvl w:val="0"/>
          <w:numId w:val="445"/>
        </w:numPr>
      </w:pPr>
      <w:r>
        <w:rPr>
          <w:noProof/>
          <w:lang w:eastAsia="fr-CA"/>
        </w:rPr>
        <w:drawing>
          <wp:anchor distT="0" distB="0" distL="114300" distR="114300" simplePos="0" relativeHeight="251777024" behindDoc="0" locked="0" layoutInCell="1" allowOverlap="1" wp14:anchorId="6C400DE7" wp14:editId="70624BA7">
            <wp:simplePos x="0" y="0"/>
            <wp:positionH relativeFrom="column">
              <wp:posOffset>1866900</wp:posOffset>
            </wp:positionH>
            <wp:positionV relativeFrom="paragraph">
              <wp:posOffset>584835</wp:posOffset>
            </wp:positionV>
            <wp:extent cx="3219450" cy="1857375"/>
            <wp:effectExtent l="0" t="0" r="0" b="9525"/>
            <wp:wrapNone/>
            <wp:docPr id="294" name="Image 294" descr="Image associé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age associée"/>
                    <pic:cNvPicPr>
                      <a:picLocks noChangeAspect="1" noChangeArrowheads="1"/>
                    </pic:cNvPicPr>
                  </pic:nvPicPr>
                  <pic:blipFill>
                    <a:blip r:embed="rId315">
                      <a:extLst>
                        <a:ext uri="{28A0092B-C50C-407E-A947-70E740481C1C}">
                          <a14:useLocalDpi xmlns:a14="http://schemas.microsoft.com/office/drawing/2010/main" val="0"/>
                        </a:ext>
                      </a:extLst>
                    </a:blip>
                    <a:srcRect/>
                    <a:stretch>
                      <a:fillRect/>
                    </a:stretch>
                  </pic:blipFill>
                  <pic:spPr bwMode="auto">
                    <a:xfrm>
                      <a:off x="0" y="0"/>
                      <a:ext cx="3219450" cy="1857375"/>
                    </a:xfrm>
                    <a:prstGeom prst="rect">
                      <a:avLst/>
                    </a:prstGeom>
                    <a:noFill/>
                    <a:ln>
                      <a:noFill/>
                    </a:ln>
                  </pic:spPr>
                </pic:pic>
              </a:graphicData>
            </a:graphic>
            <wp14:sizeRelH relativeFrom="page">
              <wp14:pctWidth>0</wp14:pctWidth>
            </wp14:sizeRelH>
            <wp14:sizeRelV relativeFrom="page">
              <wp14:pctHeight>0</wp14:pctHeight>
            </wp14:sizeRelV>
          </wp:anchor>
        </w:drawing>
      </w:r>
      <w:r w:rsidR="000B63A6">
        <w:t>Déclencher le travail si signes de chorioamnionite ou de compromis fœto-maternel.</w:t>
      </w:r>
      <w:r w:rsidRPr="004F3E65">
        <w:t xml:space="preserve"> </w:t>
      </w:r>
      <w:r w:rsidR="00D74985" w:rsidRPr="002D3750">
        <w:rPr>
          <w:b/>
          <w:sz w:val="28"/>
          <w:szCs w:val="28"/>
        </w:rPr>
        <w:br w:type="page"/>
      </w:r>
    </w:p>
    <w:p w:rsidR="005602B5" w:rsidRDefault="005602B5" w:rsidP="005602B5">
      <w:pPr>
        <w:spacing w:after="0"/>
        <w:rPr>
          <w:rFonts w:cs="Times New Roman"/>
          <w:b/>
          <w:color w:val="548DD4" w:themeColor="text2" w:themeTint="99"/>
        </w:rPr>
      </w:pPr>
      <w:r>
        <w:rPr>
          <w:rFonts w:cs="Times New Roman"/>
          <w:b/>
          <w:color w:val="548DD4" w:themeColor="text2" w:themeTint="99"/>
        </w:rPr>
        <w:t>CMC 83</w:t>
      </w:r>
    </w:p>
    <w:p w:rsidR="005602B5" w:rsidRPr="005602B5" w:rsidRDefault="005602B5" w:rsidP="005602B5">
      <w:pPr>
        <w:pStyle w:val="Titre3"/>
        <w:spacing w:before="0"/>
        <w:rPr>
          <w:rFonts w:ascii="Times New Roman" w:hAnsi="Times New Roman" w:cs="Times New Roman"/>
          <w:color w:val="548DD4" w:themeColor="text2" w:themeTint="99"/>
        </w:rPr>
      </w:pPr>
      <w:bookmarkStart w:id="339" w:name="_Toc480797322"/>
      <w:r w:rsidRPr="005602B5">
        <w:rPr>
          <w:rFonts w:ascii="Times New Roman" w:hAnsi="Times New Roman" w:cs="Times New Roman"/>
        </w:rPr>
        <w:t>Prolapsus utérin, relâchement pelvien</w:t>
      </w:r>
      <w:bookmarkEnd w:id="339"/>
      <w:r w:rsidRPr="005602B5">
        <w:rPr>
          <w:rFonts w:ascii="Times New Roman" w:hAnsi="Times New Roman" w:cs="Times New Roman"/>
          <w:color w:val="548DD4" w:themeColor="text2" w:themeTint="99"/>
        </w:rPr>
        <w:t xml:space="preserve"> </w:t>
      </w:r>
    </w:p>
    <w:tbl>
      <w:tblPr>
        <w:tblW w:w="3858" w:type="pct"/>
        <w:tblCellSpacing w:w="0" w:type="dxa"/>
        <w:tblCellMar>
          <w:left w:w="0" w:type="dxa"/>
          <w:right w:w="0" w:type="dxa"/>
        </w:tblCellMar>
        <w:tblLook w:val="04A0" w:firstRow="1" w:lastRow="0" w:firstColumn="1" w:lastColumn="0" w:noHBand="0" w:noVBand="1"/>
      </w:tblPr>
      <w:tblGrid>
        <w:gridCol w:w="8333"/>
      </w:tblGrid>
      <w:tr w:rsidR="005602B5" w:rsidRPr="005602B5" w:rsidTr="005602B5">
        <w:trPr>
          <w:tblCellSpacing w:w="0" w:type="dxa"/>
        </w:trPr>
        <w:tc>
          <w:tcPr>
            <w:tcW w:w="0" w:type="auto"/>
            <w:vAlign w:val="bottom"/>
            <w:hideMark/>
          </w:tcPr>
          <w:bookmarkStart w:id="340" w:name="_Toc475198243"/>
          <w:bookmarkStart w:id="341" w:name="_Toc475563876"/>
          <w:p w:rsidR="005602B5" w:rsidRPr="00520ED3" w:rsidRDefault="005602B5" w:rsidP="00520ED3">
            <w:pPr>
              <w:pStyle w:val="Sansinterligne"/>
              <w:spacing w:before="240"/>
              <w:rPr>
                <w:b/>
                <w:sz w:val="18"/>
                <w:szCs w:val="18"/>
              </w:rPr>
            </w:pPr>
            <w:r w:rsidRPr="00520ED3">
              <w:rPr>
                <w:b/>
                <w:noProof/>
                <w:sz w:val="18"/>
                <w:szCs w:val="18"/>
                <w:lang w:eastAsia="fr-CA"/>
              </w:rPr>
              <mc:AlternateContent>
                <mc:Choice Requires="wps">
                  <w:drawing>
                    <wp:anchor distT="0" distB="0" distL="114300" distR="114300" simplePos="0" relativeHeight="251758592" behindDoc="0" locked="0" layoutInCell="1" allowOverlap="1" wp14:anchorId="05FD45E0" wp14:editId="606E4DC2">
                      <wp:simplePos x="0" y="0"/>
                      <wp:positionH relativeFrom="column">
                        <wp:posOffset>-58420</wp:posOffset>
                      </wp:positionH>
                      <wp:positionV relativeFrom="paragraph">
                        <wp:posOffset>118745</wp:posOffset>
                      </wp:positionV>
                      <wp:extent cx="6915785" cy="2372995"/>
                      <wp:effectExtent l="0" t="0" r="18415" b="27305"/>
                      <wp:wrapNone/>
                      <wp:docPr id="275" name="Rectangle 275"/>
                      <wp:cNvGraphicFramePr/>
                      <a:graphic xmlns:a="http://schemas.openxmlformats.org/drawingml/2006/main">
                        <a:graphicData uri="http://schemas.microsoft.com/office/word/2010/wordprocessingShape">
                          <wps:wsp>
                            <wps:cNvSpPr/>
                            <wps:spPr>
                              <a:xfrm>
                                <a:off x="0" y="0"/>
                                <a:ext cx="6915785" cy="2372995"/>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75" o:spid="_x0000_s1026" style="position:absolute;margin-left:-4.6pt;margin-top:9.35pt;width:544.55pt;height:186.85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" filled="f" strokecolor="black [1600]" strokeweight="2pt"/>
                  </w:pict>
                </mc:Fallback>
              </mc:AlternateContent>
            </w:r>
            <w:r w:rsidRPr="00520ED3">
              <w:rPr>
                <w:b/>
                <w:sz w:val="18"/>
                <w:szCs w:val="18"/>
              </w:rPr>
              <w:t>Objectifs principaux</w:t>
            </w:r>
            <w:bookmarkEnd w:id="340"/>
            <w:bookmarkEnd w:id="341"/>
          </w:p>
        </w:tc>
      </w:tr>
    </w:tbl>
    <w:p w:rsidR="005602B5" w:rsidRPr="003E55D0" w:rsidRDefault="005602B5" w:rsidP="005602B5">
      <w:pPr>
        <w:pStyle w:val="NormalWeb"/>
        <w:ind w:left="360"/>
        <w:rPr>
          <w:color w:val="000000"/>
          <w:sz w:val="18"/>
          <w:szCs w:val="18"/>
          <w:shd w:val="clear" w:color="auto" w:fill="FFFFFF"/>
        </w:rPr>
      </w:pPr>
      <w:r w:rsidRPr="003E55D0">
        <w:rPr>
          <w:color w:val="000000"/>
          <w:sz w:val="18"/>
          <w:szCs w:val="18"/>
          <w:shd w:val="clear" w:color="auto" w:fill="FFFFFF"/>
        </w:rPr>
        <w:t>Dans le cas d'une patiente ayant un prolapsus utérin ou un relâchement pelvien, le candidat devra en diagnostiquer la cause, la gravité et les complications, et mettre en place un plan de prise en charge approprié.</w:t>
      </w:r>
    </w:p>
    <w:tbl>
      <w:tblPr>
        <w:tblW w:w="3897" w:type="pct"/>
        <w:tblCellSpacing w:w="0" w:type="dxa"/>
        <w:tblCellMar>
          <w:left w:w="0" w:type="dxa"/>
          <w:right w:w="0" w:type="dxa"/>
        </w:tblCellMar>
        <w:tblLook w:val="04A0" w:firstRow="1" w:lastRow="0" w:firstColumn="1" w:lastColumn="0" w:noHBand="0" w:noVBand="1"/>
      </w:tblPr>
      <w:tblGrid>
        <w:gridCol w:w="8418"/>
      </w:tblGrid>
      <w:tr w:rsidR="005602B5" w:rsidRPr="003E55D0" w:rsidTr="005602B5">
        <w:trPr>
          <w:tblCellSpacing w:w="0" w:type="dxa"/>
        </w:trPr>
        <w:tc>
          <w:tcPr>
            <w:tcW w:w="0" w:type="auto"/>
            <w:vAlign w:val="bottom"/>
            <w:hideMark/>
          </w:tcPr>
          <w:p w:rsidR="005602B5" w:rsidRPr="00520ED3" w:rsidRDefault="005602B5" w:rsidP="00520ED3">
            <w:pPr>
              <w:pStyle w:val="Sansinterligne"/>
              <w:rPr>
                <w:b/>
                <w:sz w:val="16"/>
                <w:szCs w:val="16"/>
              </w:rPr>
            </w:pPr>
            <w:bookmarkStart w:id="342" w:name="_Toc475198244"/>
            <w:bookmarkStart w:id="343" w:name="_Toc475563877"/>
            <w:r w:rsidRPr="00520ED3">
              <w:rPr>
                <w:b/>
                <w:sz w:val="16"/>
                <w:szCs w:val="16"/>
              </w:rPr>
              <w:t>Objectifs spécifiques</w:t>
            </w:r>
            <w:bookmarkEnd w:id="342"/>
            <w:bookmarkEnd w:id="343"/>
          </w:p>
        </w:tc>
      </w:tr>
    </w:tbl>
    <w:p w:rsidR="005602B5" w:rsidRPr="003E55D0" w:rsidRDefault="005602B5" w:rsidP="005602B5">
      <w:pPr>
        <w:pStyle w:val="NormalWeb"/>
        <w:shd w:val="clear" w:color="auto" w:fill="FFFFFF"/>
        <w:spacing w:after="0" w:afterAutospacing="0"/>
        <w:ind w:left="360"/>
        <w:rPr>
          <w:color w:val="000000"/>
          <w:sz w:val="16"/>
          <w:szCs w:val="16"/>
          <w:shd w:val="clear" w:color="auto" w:fill="FFFFFF"/>
        </w:rPr>
      </w:pPr>
      <w:r w:rsidRPr="003E55D0">
        <w:rPr>
          <w:color w:val="000000"/>
          <w:sz w:val="16"/>
          <w:szCs w:val="16"/>
          <w:shd w:val="clear" w:color="auto" w:fill="FFFFFF"/>
        </w:rPr>
        <w:t>Dans le cas d'une patiente ayant un prolapsus utérin ou un relâchement pelvien, le candidat devra</w:t>
      </w:r>
    </w:p>
    <w:p w:rsidR="005602B5" w:rsidRPr="003E55D0" w:rsidRDefault="005602B5" w:rsidP="00004A1E">
      <w:pPr>
        <w:numPr>
          <w:ilvl w:val="0"/>
          <w:numId w:val="384"/>
        </w:numPr>
        <w:shd w:val="clear" w:color="auto" w:fill="FFFFFF"/>
        <w:spacing w:after="100" w:afterAutospacing="1" w:line="240" w:lineRule="auto"/>
        <w:rPr>
          <w:rFonts w:cs="Times New Roman"/>
          <w:color w:val="000000"/>
          <w:sz w:val="16"/>
          <w:szCs w:val="16"/>
          <w:shd w:val="clear" w:color="auto" w:fill="FFFFFF"/>
        </w:rPr>
      </w:pPr>
      <w:r w:rsidRPr="003E55D0">
        <w:rPr>
          <w:rFonts w:cs="Times New Roman"/>
          <w:color w:val="000000"/>
          <w:sz w:val="16"/>
          <w:szCs w:val="16"/>
          <w:shd w:val="clear" w:color="auto" w:fill="FFFFFF"/>
        </w:rPr>
        <w:t>énumérer et interpréter les constatations cliniques cruciales, notamment :</w:t>
      </w:r>
    </w:p>
    <w:p w:rsidR="005602B5" w:rsidRPr="003E55D0" w:rsidRDefault="005602B5" w:rsidP="00004A1E">
      <w:pPr>
        <w:numPr>
          <w:ilvl w:val="1"/>
          <w:numId w:val="384"/>
        </w:numPr>
        <w:shd w:val="clear" w:color="auto" w:fill="FFFFFF"/>
        <w:spacing w:before="100" w:beforeAutospacing="1" w:after="100" w:afterAutospacing="1" w:line="240" w:lineRule="auto"/>
        <w:rPr>
          <w:rFonts w:cs="Times New Roman"/>
          <w:color w:val="000000"/>
          <w:sz w:val="16"/>
          <w:szCs w:val="16"/>
          <w:shd w:val="clear" w:color="auto" w:fill="FFFFFF"/>
        </w:rPr>
      </w:pPr>
      <w:r w:rsidRPr="003E55D0">
        <w:rPr>
          <w:rFonts w:cs="Times New Roman"/>
          <w:color w:val="000000"/>
          <w:sz w:val="16"/>
          <w:szCs w:val="16"/>
          <w:shd w:val="clear" w:color="auto" w:fill="FFFFFF"/>
        </w:rPr>
        <w:t>la gravité des symptômes, les effets sur l'activité de la patiente ainsi que les facteurs prédisposants;</w:t>
      </w:r>
    </w:p>
    <w:p w:rsidR="005602B5" w:rsidRPr="003E55D0" w:rsidRDefault="005602B5" w:rsidP="00004A1E">
      <w:pPr>
        <w:numPr>
          <w:ilvl w:val="1"/>
          <w:numId w:val="384"/>
        </w:numPr>
        <w:shd w:val="clear" w:color="auto" w:fill="FFFFFF"/>
        <w:spacing w:before="100" w:beforeAutospacing="1" w:after="100" w:afterAutospacing="1" w:line="240" w:lineRule="auto"/>
        <w:rPr>
          <w:rFonts w:cs="Times New Roman"/>
          <w:color w:val="000000"/>
          <w:sz w:val="16"/>
          <w:szCs w:val="16"/>
          <w:shd w:val="clear" w:color="auto" w:fill="FFFFFF"/>
        </w:rPr>
      </w:pPr>
      <w:r w:rsidRPr="003E55D0">
        <w:rPr>
          <w:rFonts w:cs="Times New Roman"/>
          <w:color w:val="000000"/>
          <w:sz w:val="16"/>
          <w:szCs w:val="16"/>
          <w:shd w:val="clear" w:color="auto" w:fill="FFFFFF"/>
        </w:rPr>
        <w:t>les résulta</w:t>
      </w:r>
      <w:r w:rsidR="008B7A3D" w:rsidRPr="003E55D0">
        <w:rPr>
          <w:rFonts w:cs="Times New Roman"/>
          <w:color w:val="000000"/>
          <w:sz w:val="16"/>
          <w:szCs w:val="16"/>
          <w:shd w:val="clear" w:color="auto" w:fill="FFFFFF"/>
        </w:rPr>
        <w:t>t</w:t>
      </w:r>
      <w:r w:rsidRPr="003E55D0">
        <w:rPr>
          <w:rFonts w:cs="Times New Roman"/>
          <w:color w:val="000000"/>
          <w:sz w:val="16"/>
          <w:szCs w:val="16"/>
          <w:shd w:val="clear" w:color="auto" w:fill="FFFFFF"/>
        </w:rPr>
        <w:t>s d'un examen physique visant à déterminer l'anomalie anatomique;</w:t>
      </w:r>
    </w:p>
    <w:p w:rsidR="005602B5" w:rsidRPr="003E55D0" w:rsidRDefault="005602B5" w:rsidP="00004A1E">
      <w:pPr>
        <w:numPr>
          <w:ilvl w:val="0"/>
          <w:numId w:val="384"/>
        </w:numPr>
        <w:shd w:val="clear" w:color="auto" w:fill="FFFFFF"/>
        <w:spacing w:before="100" w:beforeAutospacing="1" w:after="100" w:afterAutospacing="1" w:line="240" w:lineRule="auto"/>
        <w:rPr>
          <w:rFonts w:cs="Times New Roman"/>
          <w:color w:val="000000"/>
          <w:sz w:val="16"/>
          <w:szCs w:val="16"/>
          <w:shd w:val="clear" w:color="auto" w:fill="FFFFFF"/>
        </w:rPr>
      </w:pPr>
      <w:r w:rsidRPr="003E55D0">
        <w:rPr>
          <w:rFonts w:cs="Times New Roman"/>
          <w:color w:val="000000"/>
          <w:sz w:val="16"/>
          <w:szCs w:val="16"/>
          <w:shd w:val="clear" w:color="auto" w:fill="FFFFFF"/>
        </w:rPr>
        <w:t>énumérer et interpréter les examens essentiels, notamment :</w:t>
      </w:r>
    </w:p>
    <w:p w:rsidR="005602B5" w:rsidRPr="003E55D0" w:rsidRDefault="005602B5" w:rsidP="00004A1E">
      <w:pPr>
        <w:numPr>
          <w:ilvl w:val="1"/>
          <w:numId w:val="384"/>
        </w:numPr>
        <w:shd w:val="clear" w:color="auto" w:fill="FFFFFF"/>
        <w:spacing w:before="100" w:beforeAutospacing="1" w:after="100" w:afterAutospacing="1" w:line="240" w:lineRule="auto"/>
        <w:rPr>
          <w:rFonts w:cs="Times New Roman"/>
          <w:color w:val="000000"/>
          <w:sz w:val="16"/>
          <w:szCs w:val="16"/>
          <w:shd w:val="clear" w:color="auto" w:fill="FFFFFF"/>
        </w:rPr>
      </w:pPr>
      <w:r w:rsidRPr="003E55D0">
        <w:rPr>
          <w:rFonts w:cs="Times New Roman"/>
          <w:color w:val="000000"/>
          <w:sz w:val="16"/>
          <w:szCs w:val="16"/>
          <w:shd w:val="clear" w:color="auto" w:fill="FFFFFF"/>
        </w:rPr>
        <w:t>les examens de dépistage d'une infection urinaire;</w:t>
      </w:r>
    </w:p>
    <w:p w:rsidR="005602B5" w:rsidRPr="003E55D0" w:rsidRDefault="005602B5" w:rsidP="00004A1E">
      <w:pPr>
        <w:numPr>
          <w:ilvl w:val="0"/>
          <w:numId w:val="384"/>
        </w:numPr>
        <w:shd w:val="clear" w:color="auto" w:fill="FFFFFF"/>
        <w:spacing w:before="100" w:beforeAutospacing="1" w:after="100" w:afterAutospacing="1" w:line="240" w:lineRule="auto"/>
        <w:rPr>
          <w:rFonts w:cs="Times New Roman"/>
          <w:color w:val="000000"/>
          <w:sz w:val="16"/>
          <w:szCs w:val="16"/>
          <w:shd w:val="clear" w:color="auto" w:fill="FFFFFF"/>
        </w:rPr>
      </w:pPr>
      <w:r w:rsidRPr="003E55D0">
        <w:rPr>
          <w:rFonts w:cs="Times New Roman"/>
          <w:color w:val="000000"/>
          <w:sz w:val="16"/>
          <w:szCs w:val="16"/>
          <w:shd w:val="clear" w:color="auto" w:fill="FFFFFF"/>
        </w:rPr>
        <w:t>élaborer un plan efficace de prise en charge initiale, notamment :</w:t>
      </w:r>
    </w:p>
    <w:p w:rsidR="005602B5" w:rsidRPr="003E55D0" w:rsidRDefault="005602B5" w:rsidP="00004A1E">
      <w:pPr>
        <w:numPr>
          <w:ilvl w:val="1"/>
          <w:numId w:val="384"/>
        </w:numPr>
        <w:shd w:val="clear" w:color="auto" w:fill="FFFFFF"/>
        <w:spacing w:before="100" w:beforeAutospacing="1" w:after="100" w:afterAutospacing="1" w:line="240" w:lineRule="auto"/>
        <w:rPr>
          <w:rFonts w:cs="Times New Roman"/>
          <w:color w:val="000000"/>
          <w:sz w:val="16"/>
          <w:szCs w:val="16"/>
          <w:shd w:val="clear" w:color="auto" w:fill="FFFFFF"/>
        </w:rPr>
      </w:pPr>
      <w:r w:rsidRPr="003E55D0">
        <w:rPr>
          <w:rFonts w:cs="Times New Roman"/>
          <w:color w:val="000000"/>
          <w:sz w:val="16"/>
          <w:szCs w:val="16"/>
          <w:shd w:val="clear" w:color="auto" w:fill="FFFFFF"/>
        </w:rPr>
        <w:t>discuter des avantages et des limites des options de traitement (p. ex. exercices pour le plancher pelvien, mise en place d'un pessaire, intervention chirurgicale) et des stratégies visant à ralentir la progression de l'affection;</w:t>
      </w:r>
    </w:p>
    <w:p w:rsidR="003E55D0" w:rsidRPr="000C044F" w:rsidRDefault="003E55D0" w:rsidP="00004A1E">
      <w:pPr>
        <w:numPr>
          <w:ilvl w:val="1"/>
          <w:numId w:val="384"/>
        </w:numPr>
        <w:shd w:val="clear" w:color="auto" w:fill="FFFFFF"/>
        <w:spacing w:before="100" w:beforeAutospacing="1" w:after="100" w:afterAutospacing="1" w:line="240" w:lineRule="auto"/>
        <w:rPr>
          <w:rFonts w:cs="Times New Roman"/>
          <w:color w:val="000000"/>
          <w:sz w:val="16"/>
          <w:szCs w:val="16"/>
          <w:shd w:val="clear" w:color="auto" w:fill="FFFFFF"/>
        </w:rPr>
      </w:pPr>
      <w:r>
        <w:rPr>
          <w:noProof/>
          <w:lang w:eastAsia="fr-CA"/>
        </w:rPr>
        <w:drawing>
          <wp:anchor distT="0" distB="0" distL="114300" distR="114300" simplePos="0" relativeHeight="251761664" behindDoc="1" locked="0" layoutInCell="1" allowOverlap="1" wp14:anchorId="02A9EBD7" wp14:editId="4BC93AD9">
            <wp:simplePos x="0" y="0"/>
            <wp:positionH relativeFrom="column">
              <wp:posOffset>3375498</wp:posOffset>
            </wp:positionH>
            <wp:positionV relativeFrom="paragraph">
              <wp:posOffset>279143</wp:posOffset>
            </wp:positionV>
            <wp:extent cx="3482340" cy="1843405"/>
            <wp:effectExtent l="0" t="0" r="3810" b="4445"/>
            <wp:wrapNone/>
            <wp:docPr id="278" name="Image 278" descr="Résultats de recherche d'images pour « prolapsus utéri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Résultats de recherche d'images pour « prolapsus utérin »"/>
                    <pic:cNvPicPr>
                      <a:picLocks noChangeAspect="1" noChangeArrowheads="1"/>
                    </pic:cNvPicPr>
                  </pic:nvPicPr>
                  <pic:blipFill rotWithShape="1">
                    <a:blip r:embed="rId316">
                      <a:extLst>
                        <a:ext uri="{28A0092B-C50C-407E-A947-70E740481C1C}">
                          <a14:useLocalDpi xmlns:a14="http://schemas.microsoft.com/office/drawing/2010/main" val="0"/>
                        </a:ext>
                      </a:extLst>
                    </a:blip>
                    <a:srcRect l="2296" t="18431" r="2296" b="3922"/>
                    <a:stretch/>
                  </pic:blipFill>
                  <pic:spPr bwMode="auto">
                    <a:xfrm>
                      <a:off x="0" y="0"/>
                      <a:ext cx="3482340" cy="184340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602B5" w:rsidRPr="003E55D0">
        <w:rPr>
          <w:rFonts w:cs="Times New Roman"/>
          <w:color w:val="000000"/>
          <w:sz w:val="16"/>
          <w:szCs w:val="16"/>
          <w:shd w:val="clear" w:color="auto" w:fill="FFFFFF"/>
        </w:rPr>
        <w:t>déterminer si la patiente doit être dirigée vers des soins spécialisés.</w:t>
      </w:r>
    </w:p>
    <w:p w:rsidR="000C044F" w:rsidRDefault="000C044F" w:rsidP="000C044F">
      <w:pPr>
        <w:pStyle w:val="Sansinterligne"/>
        <w:rPr>
          <w:b/>
          <w:sz w:val="28"/>
          <w:szCs w:val="28"/>
        </w:rPr>
      </w:pPr>
      <w:r w:rsidRPr="000C044F">
        <w:rPr>
          <w:b/>
          <w:sz w:val="28"/>
          <w:szCs w:val="28"/>
        </w:rPr>
        <w:t>Étiologie </w:t>
      </w:r>
    </w:p>
    <w:p w:rsidR="000C044F" w:rsidRDefault="000C044F" w:rsidP="000C044F">
      <w:pPr>
        <w:pStyle w:val="Sansinterligne"/>
      </w:pPr>
    </w:p>
    <w:p w:rsidR="000C044F" w:rsidRDefault="000C044F" w:rsidP="000C044F">
      <w:pPr>
        <w:pStyle w:val="Sansinterligne"/>
      </w:pPr>
      <w:r>
        <w:t xml:space="preserve">Faiblesse du plancher pelvien et/ou anomalie </w:t>
      </w:r>
    </w:p>
    <w:p w:rsidR="003E55D0" w:rsidRDefault="000C044F" w:rsidP="000C044F">
      <w:pPr>
        <w:pStyle w:val="Sansinterligne"/>
      </w:pPr>
      <w:r>
        <w:t>des ligaments cardinaux et utérosacrés</w:t>
      </w:r>
    </w:p>
    <w:p w:rsidR="000C044F" w:rsidRDefault="000C044F" w:rsidP="000C044F">
      <w:pPr>
        <w:pStyle w:val="Sansinterligne"/>
      </w:pPr>
    </w:p>
    <w:p w:rsidR="000C044F" w:rsidRDefault="000C044F" w:rsidP="000C044F">
      <w:pPr>
        <w:pStyle w:val="Sansinterligne"/>
        <w:rPr>
          <w:b/>
          <w:sz w:val="28"/>
        </w:rPr>
      </w:pPr>
      <w:r w:rsidRPr="000C044F">
        <w:rPr>
          <w:b/>
          <w:sz w:val="28"/>
        </w:rPr>
        <w:t>Définitions </w:t>
      </w:r>
    </w:p>
    <w:p w:rsidR="000C044F" w:rsidRPr="000C044F" w:rsidRDefault="000C044F" w:rsidP="000C044F">
      <w:pPr>
        <w:pStyle w:val="Sansinterligne"/>
        <w:rPr>
          <w:b/>
          <w:sz w:val="16"/>
          <w:szCs w:val="16"/>
        </w:rPr>
      </w:pPr>
    </w:p>
    <w:p w:rsidR="000C044F" w:rsidRPr="001C1C67" w:rsidRDefault="000C044F" w:rsidP="000C044F">
      <w:pPr>
        <w:pStyle w:val="Sansinterligne"/>
        <w:rPr>
          <w:u w:val="single"/>
        </w:rPr>
      </w:pPr>
      <w:r w:rsidRPr="001C1C67">
        <w:rPr>
          <w:u w:val="single"/>
        </w:rPr>
        <w:t xml:space="preserve">Cystocèle </w:t>
      </w:r>
    </w:p>
    <w:p w:rsidR="003E55D0" w:rsidRPr="000C044F" w:rsidRDefault="000C044F" w:rsidP="000C044F">
      <w:pPr>
        <w:pStyle w:val="Sansinterligne"/>
      </w:pPr>
      <w:r w:rsidRPr="000C044F">
        <w:t>Protrusion de la vessie dans la paroi vaginale antérieure</w:t>
      </w:r>
    </w:p>
    <w:p w:rsidR="000C044F" w:rsidRDefault="000C044F" w:rsidP="000C044F">
      <w:pPr>
        <w:pStyle w:val="Sansinterligne"/>
        <w:rPr>
          <w:b/>
        </w:rPr>
      </w:pPr>
    </w:p>
    <w:p w:rsidR="000C044F" w:rsidRPr="001C1C67" w:rsidRDefault="000C044F" w:rsidP="000C044F">
      <w:pPr>
        <w:pStyle w:val="Sansinterligne"/>
        <w:rPr>
          <w:u w:val="single"/>
        </w:rPr>
      </w:pPr>
      <w:r w:rsidRPr="001C1C67">
        <w:rPr>
          <w:u w:val="single"/>
        </w:rPr>
        <w:t>Rectocèle</w:t>
      </w:r>
    </w:p>
    <w:p w:rsidR="000C044F" w:rsidRPr="000C044F" w:rsidRDefault="000C044F" w:rsidP="000C044F">
      <w:pPr>
        <w:pStyle w:val="Sansinterligne"/>
      </w:pPr>
      <w:r w:rsidRPr="000C044F">
        <w:t>Protrusion du rectum dans la paroi vaginale postérieure</w:t>
      </w:r>
    </w:p>
    <w:p w:rsidR="000C044F" w:rsidRDefault="000C044F" w:rsidP="000C044F">
      <w:pPr>
        <w:pStyle w:val="Sansinterligne"/>
        <w:rPr>
          <w:b/>
        </w:rPr>
      </w:pPr>
      <w:r w:rsidRPr="000C044F">
        <w:rPr>
          <w:b/>
          <w:noProof/>
          <w:lang w:eastAsia="fr-CA"/>
        </w:rPr>
        <w:drawing>
          <wp:anchor distT="0" distB="0" distL="114300" distR="114300" simplePos="0" relativeHeight="251658239" behindDoc="0" locked="0" layoutInCell="1" allowOverlap="1" wp14:anchorId="01E362F7" wp14:editId="0B5856D4">
            <wp:simplePos x="0" y="0"/>
            <wp:positionH relativeFrom="column">
              <wp:posOffset>3345815</wp:posOffset>
            </wp:positionH>
            <wp:positionV relativeFrom="paragraph">
              <wp:posOffset>26035</wp:posOffset>
            </wp:positionV>
            <wp:extent cx="3510915" cy="1761490"/>
            <wp:effectExtent l="0" t="0" r="0" b="0"/>
            <wp:wrapNone/>
            <wp:docPr id="276" name="Image 276" descr="Résultats de recherche d'images pour « prolapsus génita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ésultats de recherche d'images pour « prolapsus génital »"/>
                    <pic:cNvPicPr>
                      <a:picLocks noChangeAspect="1" noChangeArrowheads="1"/>
                    </pic:cNvPicPr>
                  </pic:nvPicPr>
                  <pic:blipFill rotWithShape="1">
                    <a:blip r:embed="rId317">
                      <a:extLst>
                        <a:ext uri="{28A0092B-C50C-407E-A947-70E740481C1C}">
                          <a14:useLocalDpi xmlns:a14="http://schemas.microsoft.com/office/drawing/2010/main" val="0"/>
                        </a:ext>
                      </a:extLst>
                    </a:blip>
                    <a:srcRect l="2122" r="2595"/>
                    <a:stretch/>
                  </pic:blipFill>
                  <pic:spPr bwMode="auto">
                    <a:xfrm>
                      <a:off x="0" y="0"/>
                      <a:ext cx="3510915" cy="17614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0C044F" w:rsidRPr="001C1C67" w:rsidRDefault="000C044F" w:rsidP="000C044F">
      <w:pPr>
        <w:pStyle w:val="Sansinterligne"/>
        <w:rPr>
          <w:u w:val="single"/>
        </w:rPr>
      </w:pPr>
      <w:r w:rsidRPr="001C1C67">
        <w:rPr>
          <w:u w:val="single"/>
        </w:rPr>
        <w:t>Entérocèle</w:t>
      </w:r>
      <w:r w:rsidR="00E010E7">
        <w:rPr>
          <w:u w:val="single"/>
        </w:rPr>
        <w:t xml:space="preserve"> (</w:t>
      </w:r>
      <w:r w:rsidR="00E010E7" w:rsidRPr="00E010E7">
        <w:t>herniation</w:t>
      </w:r>
      <w:r w:rsidR="00E010E7">
        <w:rPr>
          <w:u w:val="single"/>
        </w:rPr>
        <w:t>)</w:t>
      </w:r>
    </w:p>
    <w:p w:rsidR="000C044F" w:rsidRPr="000C044F" w:rsidRDefault="000C044F" w:rsidP="000C044F">
      <w:pPr>
        <w:pStyle w:val="Sansinterligne"/>
      </w:pPr>
      <w:r w:rsidRPr="000C044F">
        <w:t>Protrusion du grêle dans la paroi vaginale supérieure</w:t>
      </w:r>
    </w:p>
    <w:p w:rsidR="000C044F" w:rsidRDefault="000C044F" w:rsidP="000C044F">
      <w:pPr>
        <w:pStyle w:val="Sansinterligne"/>
        <w:rPr>
          <w:b/>
        </w:rPr>
      </w:pPr>
    </w:p>
    <w:p w:rsidR="000C044F" w:rsidRPr="001C1C67" w:rsidRDefault="000C044F" w:rsidP="000C044F">
      <w:pPr>
        <w:pStyle w:val="Sansinterligne"/>
        <w:rPr>
          <w:u w:val="single"/>
        </w:rPr>
      </w:pPr>
      <w:r w:rsidRPr="001C1C67">
        <w:rPr>
          <w:u w:val="single"/>
        </w:rPr>
        <w:t>Prolapsus utérin</w:t>
      </w:r>
    </w:p>
    <w:p w:rsidR="000C044F" w:rsidRPr="000C044F" w:rsidRDefault="000C044F" w:rsidP="000C044F">
      <w:pPr>
        <w:pStyle w:val="Sansinterligne"/>
      </w:pPr>
      <w:r w:rsidRPr="000C044F">
        <w:t>Protrusion du col et de l’utérus dans le vagin</w:t>
      </w:r>
    </w:p>
    <w:p w:rsidR="000C044F" w:rsidRDefault="000C044F" w:rsidP="000C044F">
      <w:pPr>
        <w:pStyle w:val="Sansinterligne"/>
        <w:rPr>
          <w:b/>
        </w:rPr>
      </w:pPr>
    </w:p>
    <w:p w:rsidR="000C044F" w:rsidRPr="001C1C67" w:rsidRDefault="000C044F" w:rsidP="000C044F">
      <w:pPr>
        <w:pStyle w:val="Sansinterligne"/>
        <w:rPr>
          <w:u w:val="single"/>
        </w:rPr>
      </w:pPr>
      <w:r w:rsidRPr="001C1C67">
        <w:rPr>
          <w:u w:val="single"/>
        </w:rPr>
        <w:t>Prola</w:t>
      </w:r>
      <w:r w:rsidR="00487600" w:rsidRPr="001C1C67">
        <w:rPr>
          <w:u w:val="single"/>
        </w:rPr>
        <w:t>p</w:t>
      </w:r>
      <w:r w:rsidRPr="001C1C67">
        <w:rPr>
          <w:u w:val="single"/>
        </w:rPr>
        <w:t xml:space="preserve">sus </w:t>
      </w:r>
      <w:r w:rsidR="00487600" w:rsidRPr="001C1C67">
        <w:rPr>
          <w:u w:val="single"/>
        </w:rPr>
        <w:t xml:space="preserve">de la voûte </w:t>
      </w:r>
      <w:r w:rsidRPr="001C1C67">
        <w:rPr>
          <w:u w:val="single"/>
        </w:rPr>
        <w:t>vaginal</w:t>
      </w:r>
      <w:r w:rsidR="00487600" w:rsidRPr="001C1C67">
        <w:rPr>
          <w:u w:val="single"/>
        </w:rPr>
        <w:t>e</w:t>
      </w:r>
    </w:p>
    <w:p w:rsidR="000C044F" w:rsidRPr="000C044F" w:rsidRDefault="000C044F" w:rsidP="000C044F">
      <w:pPr>
        <w:pStyle w:val="Sansinterligne"/>
      </w:pPr>
      <w:r w:rsidRPr="000C044F">
        <w:t>Protrusion de l’apex de la voûte vaginale dans le vagin</w:t>
      </w:r>
    </w:p>
    <w:p w:rsidR="003E55D0" w:rsidRPr="006C0419" w:rsidRDefault="006C0419" w:rsidP="005602B5">
      <w:pPr>
        <w:rPr>
          <w:rFonts w:cs="Times New Roman"/>
        </w:rPr>
      </w:pPr>
      <w:r w:rsidRPr="006C0419">
        <w:rPr>
          <w:rFonts w:cs="Times New Roman"/>
        </w:rPr>
        <w:t>post-</w:t>
      </w:r>
      <w:r>
        <w:rPr>
          <w:rFonts w:cs="Times New Roman"/>
        </w:rPr>
        <w:t>hystérectomie</w:t>
      </w:r>
    </w:p>
    <w:p w:rsidR="003E55D0" w:rsidRDefault="003E55D0" w:rsidP="006C0419">
      <w:pPr>
        <w:pStyle w:val="Sansinterligne"/>
        <w:rPr>
          <w:b/>
          <w:sz w:val="28"/>
          <w:szCs w:val="28"/>
        </w:rPr>
      </w:pPr>
      <w:r w:rsidRPr="006C0419">
        <w:rPr>
          <w:b/>
          <w:sz w:val="28"/>
          <w:szCs w:val="28"/>
        </w:rPr>
        <w:t>Diagnostic</w:t>
      </w:r>
      <w:r w:rsidR="006C0419">
        <w:rPr>
          <w:b/>
          <w:sz w:val="28"/>
          <w:szCs w:val="28"/>
        </w:rPr>
        <w:t>s</w:t>
      </w:r>
    </w:p>
    <w:p w:rsidR="006C0419" w:rsidRPr="006C0419" w:rsidRDefault="006C0419" w:rsidP="006C0419">
      <w:pPr>
        <w:pStyle w:val="Sansinterligne"/>
        <w:rPr>
          <w:b/>
          <w:sz w:val="28"/>
          <w:szCs w:val="28"/>
        </w:rPr>
      </w:pPr>
    </w:p>
    <w:tbl>
      <w:tblPr>
        <w:tblStyle w:val="Grilledutableau"/>
        <w:tblW w:w="0" w:type="auto"/>
        <w:tblLook w:val="04A0" w:firstRow="1" w:lastRow="0" w:firstColumn="1" w:lastColumn="0" w:noHBand="0" w:noVBand="1"/>
      </w:tblPr>
      <w:tblGrid>
        <w:gridCol w:w="2235"/>
        <w:gridCol w:w="3118"/>
        <w:gridCol w:w="2410"/>
        <w:gridCol w:w="3177"/>
      </w:tblGrid>
      <w:tr w:rsidR="00FF419E" w:rsidTr="002479F6">
        <w:tc>
          <w:tcPr>
            <w:tcW w:w="2235" w:type="dxa"/>
            <w:shd w:val="clear" w:color="auto" w:fill="B2A1C7" w:themeFill="accent4" w:themeFillTint="99"/>
          </w:tcPr>
          <w:p w:rsidR="00FF419E" w:rsidRPr="005C7B87" w:rsidRDefault="00FF419E" w:rsidP="005C7B87">
            <w:pPr>
              <w:pStyle w:val="Sansinterligne"/>
              <w:jc w:val="center"/>
              <w:rPr>
                <w:i/>
              </w:rPr>
            </w:pPr>
            <w:r w:rsidRPr="005C7B87">
              <w:rPr>
                <w:i/>
              </w:rPr>
              <w:t>Diagnostic</w:t>
            </w:r>
          </w:p>
        </w:tc>
        <w:tc>
          <w:tcPr>
            <w:tcW w:w="8705" w:type="dxa"/>
            <w:gridSpan w:val="3"/>
            <w:shd w:val="clear" w:color="auto" w:fill="B2A1C7" w:themeFill="accent4" w:themeFillTint="99"/>
          </w:tcPr>
          <w:p w:rsidR="00FF419E" w:rsidRPr="005C7B87" w:rsidRDefault="00FF419E" w:rsidP="005C7B87">
            <w:pPr>
              <w:pStyle w:val="Sansinterligne"/>
              <w:jc w:val="center"/>
              <w:rPr>
                <w:i/>
              </w:rPr>
            </w:pPr>
            <w:r w:rsidRPr="005C7B87">
              <w:rPr>
                <w:i/>
              </w:rPr>
              <w:t>Manifestations cliniques et impact</w:t>
            </w:r>
          </w:p>
        </w:tc>
      </w:tr>
      <w:tr w:rsidR="00656E61" w:rsidTr="00037BA5">
        <w:tc>
          <w:tcPr>
            <w:tcW w:w="2235" w:type="dxa"/>
            <w:vAlign w:val="center"/>
          </w:tcPr>
          <w:p w:rsidR="00656E61" w:rsidRPr="00522173" w:rsidRDefault="00656E61" w:rsidP="00656E61">
            <w:pPr>
              <w:pStyle w:val="Sansinterligne"/>
              <w:jc w:val="center"/>
              <w:rPr>
                <w:highlight w:val="yellow"/>
              </w:rPr>
            </w:pPr>
            <w:r w:rsidRPr="00522173">
              <w:rPr>
                <w:highlight w:val="yellow"/>
              </w:rPr>
              <w:t>Cystocèle</w:t>
            </w:r>
          </w:p>
        </w:tc>
        <w:tc>
          <w:tcPr>
            <w:tcW w:w="3118" w:type="dxa"/>
            <w:tcBorders>
              <w:right w:val="single" w:sz="4" w:space="0" w:color="FFFFFF" w:themeColor="background1"/>
            </w:tcBorders>
          </w:tcPr>
          <w:p w:rsidR="00656E61" w:rsidRDefault="00656E61" w:rsidP="00004A1E">
            <w:pPr>
              <w:pStyle w:val="Sansinterligne"/>
              <w:numPr>
                <w:ilvl w:val="0"/>
                <w:numId w:val="385"/>
              </w:numPr>
            </w:pPr>
            <w:r>
              <w:t>Incontinence d’effort</w:t>
            </w:r>
          </w:p>
          <w:p w:rsidR="00656E61" w:rsidRDefault="00656E61" w:rsidP="00004A1E">
            <w:pPr>
              <w:pStyle w:val="Sansinterligne"/>
              <w:numPr>
                <w:ilvl w:val="0"/>
                <w:numId w:val="385"/>
              </w:numPr>
            </w:pPr>
            <w:r>
              <w:t>Vidange vésicale incomplète</w:t>
            </w:r>
          </w:p>
        </w:tc>
        <w:tc>
          <w:tcPr>
            <w:tcW w:w="2410" w:type="dxa"/>
            <w:tcBorders>
              <w:left w:val="single" w:sz="4" w:space="0" w:color="FFFFFF" w:themeColor="background1"/>
              <w:right w:val="single" w:sz="4" w:space="0" w:color="FFFFFF" w:themeColor="background1"/>
            </w:tcBorders>
          </w:tcPr>
          <w:p w:rsidR="00656E61" w:rsidRDefault="00656E61" w:rsidP="00004A1E">
            <w:pPr>
              <w:pStyle w:val="Sansinterligne"/>
              <w:numPr>
                <w:ilvl w:val="0"/>
                <w:numId w:val="385"/>
              </w:numPr>
            </w:pPr>
            <w:r>
              <w:t>Pollakiurie</w:t>
            </w:r>
          </w:p>
          <w:p w:rsidR="00656E61" w:rsidRDefault="00656E61" w:rsidP="00004A1E">
            <w:pPr>
              <w:pStyle w:val="Sansinterligne"/>
              <w:numPr>
                <w:ilvl w:val="0"/>
                <w:numId w:val="385"/>
              </w:numPr>
            </w:pPr>
            <w:r>
              <w:t>Urgenturie</w:t>
            </w:r>
          </w:p>
        </w:tc>
        <w:tc>
          <w:tcPr>
            <w:tcW w:w="3177" w:type="dxa"/>
            <w:tcBorders>
              <w:left w:val="single" w:sz="4" w:space="0" w:color="FFFFFF" w:themeColor="background1"/>
            </w:tcBorders>
          </w:tcPr>
          <w:p w:rsidR="00656E61" w:rsidRDefault="00656E61" w:rsidP="00004A1E">
            <w:pPr>
              <w:pStyle w:val="Sansinterligne"/>
              <w:numPr>
                <w:ilvl w:val="0"/>
                <w:numId w:val="385"/>
              </w:numPr>
            </w:pPr>
            <w:r>
              <w:t>Nycturie</w:t>
            </w:r>
          </w:p>
          <w:p w:rsidR="00656E61" w:rsidRDefault="00656E61" w:rsidP="00004A1E">
            <w:pPr>
              <w:pStyle w:val="Sansinterligne"/>
              <w:numPr>
                <w:ilvl w:val="0"/>
                <w:numId w:val="385"/>
              </w:numPr>
            </w:pPr>
            <w:r>
              <w:rPr>
                <w:rFonts w:ascii="Century Gothic" w:hAnsi="Century Gothic"/>
              </w:rPr>
              <w:t>↑</w:t>
            </w:r>
            <w:r>
              <w:t xml:space="preserve"> risque d’infection urinaire</w:t>
            </w:r>
          </w:p>
        </w:tc>
      </w:tr>
      <w:tr w:rsidR="00656E61" w:rsidTr="00037BA5">
        <w:tc>
          <w:tcPr>
            <w:tcW w:w="2235" w:type="dxa"/>
            <w:vAlign w:val="center"/>
          </w:tcPr>
          <w:p w:rsidR="00656E61" w:rsidRPr="00522173" w:rsidRDefault="00656E61" w:rsidP="00656E61">
            <w:pPr>
              <w:pStyle w:val="Sansinterligne"/>
              <w:jc w:val="center"/>
              <w:rPr>
                <w:highlight w:val="yellow"/>
              </w:rPr>
            </w:pPr>
            <w:r w:rsidRPr="00522173">
              <w:rPr>
                <w:highlight w:val="yellow"/>
              </w:rPr>
              <w:t>Rectocèle</w:t>
            </w:r>
          </w:p>
        </w:tc>
        <w:tc>
          <w:tcPr>
            <w:tcW w:w="3118" w:type="dxa"/>
            <w:tcBorders>
              <w:right w:val="single" w:sz="4" w:space="0" w:color="FFFFFF" w:themeColor="background1"/>
            </w:tcBorders>
          </w:tcPr>
          <w:p w:rsidR="00656E61" w:rsidRDefault="00656E61" w:rsidP="00004A1E">
            <w:pPr>
              <w:pStyle w:val="Sansinterligne"/>
              <w:numPr>
                <w:ilvl w:val="0"/>
                <w:numId w:val="385"/>
              </w:numPr>
            </w:pPr>
            <w:r>
              <w:t>Constipation</w:t>
            </w:r>
          </w:p>
        </w:tc>
        <w:tc>
          <w:tcPr>
            <w:tcW w:w="2410" w:type="dxa"/>
            <w:tcBorders>
              <w:left w:val="single" w:sz="4" w:space="0" w:color="FFFFFF" w:themeColor="background1"/>
              <w:right w:val="single" w:sz="4" w:space="0" w:color="FFFFFF" w:themeColor="background1"/>
            </w:tcBorders>
          </w:tcPr>
          <w:p w:rsidR="00656E61" w:rsidRDefault="00656E61" w:rsidP="00004A1E">
            <w:pPr>
              <w:pStyle w:val="Sansinterligne"/>
              <w:numPr>
                <w:ilvl w:val="0"/>
                <w:numId w:val="385"/>
              </w:numPr>
            </w:pPr>
            <w:r>
              <w:t>Effort pour déféquer</w:t>
            </w:r>
          </w:p>
        </w:tc>
        <w:tc>
          <w:tcPr>
            <w:tcW w:w="3177" w:type="dxa"/>
            <w:tcBorders>
              <w:left w:val="single" w:sz="4" w:space="0" w:color="FFFFFF" w:themeColor="background1"/>
            </w:tcBorders>
          </w:tcPr>
          <w:p w:rsidR="00656E61" w:rsidRDefault="00656E61" w:rsidP="006C0419">
            <w:pPr>
              <w:pStyle w:val="Sansinterligne"/>
            </w:pPr>
          </w:p>
        </w:tc>
      </w:tr>
      <w:tr w:rsidR="00656E61" w:rsidTr="00037BA5">
        <w:tc>
          <w:tcPr>
            <w:tcW w:w="2235" w:type="dxa"/>
            <w:vAlign w:val="center"/>
          </w:tcPr>
          <w:p w:rsidR="00656E61" w:rsidRPr="00522173" w:rsidRDefault="00656E61" w:rsidP="00656E61">
            <w:pPr>
              <w:pStyle w:val="Sansinterligne"/>
              <w:jc w:val="center"/>
              <w:rPr>
                <w:highlight w:val="yellow"/>
              </w:rPr>
            </w:pPr>
            <w:r w:rsidRPr="00522173">
              <w:rPr>
                <w:highlight w:val="yellow"/>
              </w:rPr>
              <w:t>Prolapsus utérin</w:t>
            </w:r>
          </w:p>
        </w:tc>
        <w:tc>
          <w:tcPr>
            <w:tcW w:w="3118" w:type="dxa"/>
            <w:tcBorders>
              <w:right w:val="single" w:sz="4" w:space="0" w:color="FFFFFF" w:themeColor="background1"/>
            </w:tcBorders>
          </w:tcPr>
          <w:p w:rsidR="00656E61" w:rsidRDefault="00656E61" w:rsidP="00004A1E">
            <w:pPr>
              <w:pStyle w:val="Sansinterligne"/>
              <w:numPr>
                <w:ilvl w:val="0"/>
                <w:numId w:val="386"/>
              </w:numPr>
            </w:pPr>
            <w:r>
              <w:t>Douleur inguinale</w:t>
            </w:r>
          </w:p>
          <w:p w:rsidR="00656E61" w:rsidRDefault="00656E61" w:rsidP="00004A1E">
            <w:pPr>
              <w:pStyle w:val="Sansinterligne"/>
              <w:numPr>
                <w:ilvl w:val="0"/>
                <w:numId w:val="386"/>
              </w:numPr>
            </w:pPr>
            <w:r>
              <w:t>Douleur dorsale</w:t>
            </w:r>
          </w:p>
          <w:p w:rsidR="00037BA5" w:rsidRDefault="00E9587B" w:rsidP="00004A1E">
            <w:pPr>
              <w:pStyle w:val="Sansinterligne"/>
              <w:numPr>
                <w:ilvl w:val="0"/>
                <w:numId w:val="386"/>
              </w:numPr>
            </w:pPr>
            <w:r>
              <w:t>Ulcération de la muqueuse</w:t>
            </w:r>
          </w:p>
        </w:tc>
        <w:tc>
          <w:tcPr>
            <w:tcW w:w="2410" w:type="dxa"/>
            <w:tcBorders>
              <w:left w:val="single" w:sz="4" w:space="0" w:color="FFFFFF" w:themeColor="background1"/>
              <w:right w:val="single" w:sz="4" w:space="0" w:color="FFFFFF" w:themeColor="background1"/>
            </w:tcBorders>
          </w:tcPr>
          <w:p w:rsidR="00656E61" w:rsidRDefault="00037BA5" w:rsidP="00004A1E">
            <w:pPr>
              <w:pStyle w:val="Sansinterligne"/>
              <w:numPr>
                <w:ilvl w:val="0"/>
                <w:numId w:val="386"/>
              </w:numPr>
            </w:pPr>
            <w:r>
              <w:t>Saignements</w:t>
            </w:r>
          </w:p>
        </w:tc>
        <w:tc>
          <w:tcPr>
            <w:tcW w:w="3177" w:type="dxa"/>
            <w:tcBorders>
              <w:left w:val="single" w:sz="4" w:space="0" w:color="FFFFFF" w:themeColor="background1"/>
            </w:tcBorders>
          </w:tcPr>
          <w:p w:rsidR="00037BA5" w:rsidRDefault="00037BA5" w:rsidP="00004A1E">
            <w:pPr>
              <w:pStyle w:val="Sansinterligne"/>
              <w:numPr>
                <w:ilvl w:val="0"/>
                <w:numId w:val="386"/>
              </w:numPr>
            </w:pPr>
            <w:r>
              <w:t>Sensation de lourdeur pelvienne</w:t>
            </w:r>
          </w:p>
          <w:p w:rsidR="00656E61" w:rsidRDefault="00037BA5" w:rsidP="00004A1E">
            <w:pPr>
              <w:pStyle w:val="Sansinterligne"/>
              <w:numPr>
                <w:ilvl w:val="0"/>
                <w:numId w:val="386"/>
              </w:numPr>
            </w:pPr>
            <w:r>
              <w:t>Pire debout et à l’effort</w:t>
            </w:r>
          </w:p>
        </w:tc>
      </w:tr>
      <w:tr w:rsidR="00656E61" w:rsidTr="00E9587B">
        <w:tc>
          <w:tcPr>
            <w:tcW w:w="2235" w:type="dxa"/>
            <w:vAlign w:val="center"/>
          </w:tcPr>
          <w:p w:rsidR="00656E61" w:rsidRDefault="00037BA5" w:rsidP="00656E61">
            <w:pPr>
              <w:pStyle w:val="Sansinterligne"/>
              <w:jc w:val="center"/>
            </w:pPr>
            <w:r>
              <w:t>Entérocèle</w:t>
            </w:r>
          </w:p>
        </w:tc>
        <w:tc>
          <w:tcPr>
            <w:tcW w:w="3118" w:type="dxa"/>
            <w:tcBorders>
              <w:right w:val="single" w:sz="4" w:space="0" w:color="auto"/>
            </w:tcBorders>
            <w:shd w:val="clear" w:color="auto" w:fill="000000" w:themeFill="text1"/>
          </w:tcPr>
          <w:p w:rsidR="00656E61" w:rsidRDefault="00656E61" w:rsidP="00037BA5">
            <w:pPr>
              <w:pStyle w:val="Sansinterligne"/>
            </w:pPr>
          </w:p>
        </w:tc>
        <w:tc>
          <w:tcPr>
            <w:tcW w:w="2410" w:type="dxa"/>
            <w:tcBorders>
              <w:left w:val="single" w:sz="4" w:space="0" w:color="auto"/>
              <w:right w:val="single" w:sz="4" w:space="0" w:color="auto"/>
            </w:tcBorders>
            <w:shd w:val="clear" w:color="auto" w:fill="000000" w:themeFill="text1"/>
          </w:tcPr>
          <w:p w:rsidR="00656E61" w:rsidRDefault="00656E61" w:rsidP="00037BA5">
            <w:pPr>
              <w:pStyle w:val="Sansinterligne"/>
            </w:pPr>
          </w:p>
        </w:tc>
        <w:tc>
          <w:tcPr>
            <w:tcW w:w="3177" w:type="dxa"/>
            <w:tcBorders>
              <w:left w:val="single" w:sz="4" w:space="0" w:color="auto"/>
            </w:tcBorders>
            <w:shd w:val="clear" w:color="auto" w:fill="000000" w:themeFill="text1"/>
          </w:tcPr>
          <w:p w:rsidR="00656E61" w:rsidRDefault="00656E61" w:rsidP="00037BA5">
            <w:pPr>
              <w:pStyle w:val="Sansinterligne"/>
            </w:pPr>
          </w:p>
        </w:tc>
      </w:tr>
      <w:tr w:rsidR="00656E61" w:rsidTr="00E9587B">
        <w:tc>
          <w:tcPr>
            <w:tcW w:w="2235" w:type="dxa"/>
            <w:vAlign w:val="center"/>
          </w:tcPr>
          <w:p w:rsidR="00656E61" w:rsidRDefault="00656E61" w:rsidP="00FF7E1A">
            <w:pPr>
              <w:pStyle w:val="Sansinterligne"/>
              <w:jc w:val="center"/>
            </w:pPr>
            <w:r>
              <w:t xml:space="preserve">Prolapsus de la voûte </w:t>
            </w:r>
          </w:p>
        </w:tc>
        <w:tc>
          <w:tcPr>
            <w:tcW w:w="3118" w:type="dxa"/>
            <w:tcBorders>
              <w:right w:val="single" w:sz="4" w:space="0" w:color="auto"/>
            </w:tcBorders>
            <w:shd w:val="clear" w:color="auto" w:fill="000000" w:themeFill="text1"/>
          </w:tcPr>
          <w:p w:rsidR="00656E61" w:rsidRDefault="00656E61" w:rsidP="006C0419">
            <w:pPr>
              <w:pStyle w:val="Sansinterligne"/>
            </w:pPr>
          </w:p>
        </w:tc>
        <w:tc>
          <w:tcPr>
            <w:tcW w:w="2410" w:type="dxa"/>
            <w:tcBorders>
              <w:left w:val="single" w:sz="4" w:space="0" w:color="auto"/>
              <w:right w:val="single" w:sz="4" w:space="0" w:color="auto"/>
            </w:tcBorders>
            <w:shd w:val="clear" w:color="auto" w:fill="000000" w:themeFill="text1"/>
          </w:tcPr>
          <w:p w:rsidR="00656E61" w:rsidRDefault="00656E61" w:rsidP="006C0419">
            <w:pPr>
              <w:pStyle w:val="Sansinterligne"/>
            </w:pPr>
          </w:p>
        </w:tc>
        <w:tc>
          <w:tcPr>
            <w:tcW w:w="3177" w:type="dxa"/>
            <w:tcBorders>
              <w:left w:val="single" w:sz="4" w:space="0" w:color="auto"/>
            </w:tcBorders>
            <w:shd w:val="clear" w:color="auto" w:fill="000000" w:themeFill="text1"/>
          </w:tcPr>
          <w:p w:rsidR="00656E61" w:rsidRDefault="00656E61" w:rsidP="006C0419">
            <w:pPr>
              <w:pStyle w:val="Sansinterligne"/>
            </w:pPr>
          </w:p>
        </w:tc>
      </w:tr>
    </w:tbl>
    <w:p w:rsidR="003E55D0" w:rsidRDefault="00FF7E1A" w:rsidP="006C0419">
      <w:pPr>
        <w:pStyle w:val="Sansinterligne"/>
      </w:pPr>
      <w:r>
        <w:t xml:space="preserve">                  </w:t>
      </w:r>
      <w:r w:rsidRPr="00E1635B">
        <w:rPr>
          <w:highlight w:val="yellow"/>
        </w:rPr>
        <w:t xml:space="preserve">*Dans la majorité des cas sévères, les patients se plaignent d’avoir </w:t>
      </w:r>
      <w:r w:rsidRPr="00E1635B">
        <w:rPr>
          <w:rFonts w:ascii="Century Gothic" w:hAnsi="Century Gothic"/>
          <w:highlight w:val="yellow"/>
        </w:rPr>
        <w:t xml:space="preserve">« </w:t>
      </w:r>
      <w:r w:rsidRPr="00E1635B">
        <w:rPr>
          <w:i/>
          <w:highlight w:val="yellow"/>
        </w:rPr>
        <w:t>une boule entre les jambes</w:t>
      </w:r>
      <w:r w:rsidRPr="00E1635B">
        <w:rPr>
          <w:highlight w:val="yellow"/>
        </w:rPr>
        <w:t xml:space="preserve"> </w:t>
      </w:r>
      <w:r w:rsidRPr="00E1635B">
        <w:rPr>
          <w:rFonts w:cs="Times New Roman"/>
          <w:highlight w:val="yellow"/>
        </w:rPr>
        <w:t>»</w:t>
      </w:r>
    </w:p>
    <w:p w:rsidR="001C1C67" w:rsidRDefault="001C1C67" w:rsidP="006C0419">
      <w:pPr>
        <w:pStyle w:val="Sansinterligne"/>
        <w:rPr>
          <w:b/>
          <w:sz w:val="28"/>
          <w:szCs w:val="28"/>
        </w:rPr>
      </w:pPr>
      <w:r w:rsidRPr="00BC3AB1">
        <w:rPr>
          <w:b/>
          <w:sz w:val="28"/>
          <w:szCs w:val="28"/>
        </w:rPr>
        <w:t>Investigation</w:t>
      </w:r>
      <w:r w:rsidR="00D735A4">
        <w:rPr>
          <w:b/>
          <w:sz w:val="28"/>
          <w:szCs w:val="28"/>
        </w:rPr>
        <w:t xml:space="preserve"> / Évaluation</w:t>
      </w:r>
    </w:p>
    <w:p w:rsidR="00BC3AB1" w:rsidRPr="00BC3AB1" w:rsidRDefault="00BC3AB1" w:rsidP="006C0419">
      <w:pPr>
        <w:pStyle w:val="Sansinterligne"/>
        <w:rPr>
          <w:b/>
          <w:sz w:val="28"/>
          <w:szCs w:val="28"/>
        </w:rPr>
      </w:pPr>
    </w:p>
    <w:p w:rsidR="001C1C67" w:rsidRDefault="00025F20" w:rsidP="00004A1E">
      <w:pPr>
        <w:pStyle w:val="Sansinterligne"/>
        <w:numPr>
          <w:ilvl w:val="0"/>
          <w:numId w:val="387"/>
        </w:numPr>
      </w:pPr>
      <w:r>
        <w:t>Simple.</w:t>
      </w:r>
    </w:p>
    <w:p w:rsidR="001C1C67" w:rsidRDefault="001C1C67" w:rsidP="00004A1E">
      <w:pPr>
        <w:pStyle w:val="Sansinterligne"/>
        <w:numPr>
          <w:ilvl w:val="0"/>
          <w:numId w:val="387"/>
        </w:numPr>
      </w:pPr>
      <w:r>
        <w:t xml:space="preserve">Il faut toutefois accorder beaucoup d’attention aux symptômes de la patiente et l’incapacité ou la gêne causée par la problématique, afin de lui offrir le traitement le plus adapté. Peut aller de non-dérangeant </w:t>
      </w:r>
      <w:r>
        <w:rPr>
          <w:rFonts w:ascii="Century Gothic" w:hAnsi="Century Gothic"/>
        </w:rPr>
        <w:t>→</w:t>
      </w:r>
      <w:r>
        <w:t xml:space="preserve"> retrait à tout prix.</w:t>
      </w:r>
    </w:p>
    <w:p w:rsidR="001C1C67" w:rsidRDefault="001C1C67" w:rsidP="006C0419">
      <w:pPr>
        <w:pStyle w:val="Sansinterligne"/>
      </w:pPr>
    </w:p>
    <w:p w:rsidR="001C1C67" w:rsidRPr="00D2072E" w:rsidRDefault="001C1C67" w:rsidP="00004A1E">
      <w:pPr>
        <w:pStyle w:val="Sansinterligne"/>
        <w:numPr>
          <w:ilvl w:val="0"/>
          <w:numId w:val="387"/>
        </w:numPr>
        <w:rPr>
          <w:highlight w:val="yellow"/>
        </w:rPr>
      </w:pPr>
      <w:r w:rsidRPr="00D2072E">
        <w:rPr>
          <w:highlight w:val="yellow"/>
          <w:u w:val="single"/>
        </w:rPr>
        <w:t>L’examen physique</w:t>
      </w:r>
      <w:r w:rsidRPr="00D2072E">
        <w:rPr>
          <w:highlight w:val="yellow"/>
        </w:rPr>
        <w:t xml:space="preserve"> doit inclure un examen pelvien complet</w:t>
      </w:r>
      <w:r w:rsidR="00BC3AB1" w:rsidRPr="00D2072E">
        <w:rPr>
          <w:highlight w:val="yellow"/>
        </w:rPr>
        <w:t>, spéculum</w:t>
      </w:r>
      <w:r w:rsidRPr="00D2072E">
        <w:rPr>
          <w:highlight w:val="yellow"/>
        </w:rPr>
        <w:t xml:space="preserve"> et </w:t>
      </w:r>
      <w:r w:rsidR="00BC3AB1" w:rsidRPr="00D2072E">
        <w:rPr>
          <w:highlight w:val="yellow"/>
        </w:rPr>
        <w:t>manœuvre de Valsalva</w:t>
      </w:r>
      <w:r w:rsidRPr="00D2072E">
        <w:rPr>
          <w:highlight w:val="yellow"/>
        </w:rPr>
        <w:t xml:space="preserve">. </w:t>
      </w:r>
    </w:p>
    <w:p w:rsidR="001C1C67" w:rsidRPr="00D2072E" w:rsidRDefault="001C1C67" w:rsidP="00004A1E">
      <w:pPr>
        <w:pStyle w:val="Sansinterligne"/>
        <w:numPr>
          <w:ilvl w:val="0"/>
          <w:numId w:val="391"/>
        </w:numPr>
        <w:rPr>
          <w:highlight w:val="yellow"/>
        </w:rPr>
      </w:pPr>
      <w:r w:rsidRPr="00D2072E">
        <w:rPr>
          <w:highlight w:val="yellow"/>
        </w:rPr>
        <w:t>Permet de voir si le prolapsus est autoréductible ou non.</w:t>
      </w:r>
    </w:p>
    <w:p w:rsidR="00BC3AB1" w:rsidRPr="00D2072E" w:rsidRDefault="00BC3AB1" w:rsidP="00004A1E">
      <w:pPr>
        <w:pStyle w:val="Sansinterligne"/>
        <w:numPr>
          <w:ilvl w:val="0"/>
          <w:numId w:val="391"/>
        </w:numPr>
        <w:rPr>
          <w:highlight w:val="yellow"/>
        </w:rPr>
      </w:pPr>
      <w:r w:rsidRPr="00D2072E">
        <w:rPr>
          <w:highlight w:val="yellow"/>
        </w:rPr>
        <w:t>Permet de mettre en évidence la paroi atteinte (et donc l’organe qui fait prolapsus)</w:t>
      </w:r>
    </w:p>
    <w:p w:rsidR="00D735A4" w:rsidRDefault="00D735A4" w:rsidP="00D735A4">
      <w:pPr>
        <w:pStyle w:val="Sansinterligne"/>
        <w:ind w:left="1068"/>
      </w:pPr>
    </w:p>
    <w:p w:rsidR="00D735A4" w:rsidRDefault="00D735A4" w:rsidP="00004A1E">
      <w:pPr>
        <w:pStyle w:val="Sansinterligne"/>
        <w:numPr>
          <w:ilvl w:val="0"/>
          <w:numId w:val="392"/>
        </w:numPr>
        <w:rPr>
          <w:rFonts w:cs="Times New Roman"/>
        </w:rPr>
      </w:pPr>
      <w:r w:rsidRPr="00BC3AB1">
        <w:rPr>
          <w:rFonts w:cs="Times New Roman"/>
        </w:rPr>
        <w:t>Analyse/culture d’urine → permet d’exclure infection urinaire en présence de ce type de symptômes</w:t>
      </w:r>
    </w:p>
    <w:p w:rsidR="00BC3AB1" w:rsidRDefault="00BC3AB1" w:rsidP="006C0419">
      <w:pPr>
        <w:pStyle w:val="Sansinterligne"/>
      </w:pPr>
    </w:p>
    <w:p w:rsidR="00BC3AB1" w:rsidRDefault="004F08B8" w:rsidP="006C0419">
      <w:pPr>
        <w:pStyle w:val="Sansinterligne"/>
      </w:pPr>
      <w:r>
        <w:rPr>
          <w:noProof/>
          <w:lang w:eastAsia="fr-CA"/>
        </w:rPr>
        <w:drawing>
          <wp:anchor distT="0" distB="0" distL="114300" distR="114300" simplePos="0" relativeHeight="251763712" behindDoc="0" locked="0" layoutInCell="1" allowOverlap="1" wp14:anchorId="76D39B23" wp14:editId="2EF37797">
            <wp:simplePos x="0" y="0"/>
            <wp:positionH relativeFrom="column">
              <wp:posOffset>4629785</wp:posOffset>
            </wp:positionH>
            <wp:positionV relativeFrom="paragraph">
              <wp:posOffset>52070</wp:posOffset>
            </wp:positionV>
            <wp:extent cx="2188845" cy="2004060"/>
            <wp:effectExtent l="0" t="0" r="1905" b="0"/>
            <wp:wrapNone/>
            <wp:docPr id="280" name="Image 280" descr="Résultats de recherche d'images pour « pessair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Résultats de recherche d'images pour « pessaire »"/>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2188845" cy="2004060"/>
                    </a:xfrm>
                    <a:prstGeom prst="rect">
                      <a:avLst/>
                    </a:prstGeom>
                    <a:noFill/>
                    <a:ln>
                      <a:noFill/>
                    </a:ln>
                  </pic:spPr>
                </pic:pic>
              </a:graphicData>
            </a:graphic>
            <wp14:sizeRelH relativeFrom="page">
              <wp14:pctWidth>0</wp14:pctWidth>
            </wp14:sizeRelH>
            <wp14:sizeRelV relativeFrom="page">
              <wp14:pctHeight>0</wp14:pctHeight>
            </wp14:sizeRelV>
          </wp:anchor>
        </w:drawing>
      </w:r>
      <w:r w:rsidR="00BC3AB1" w:rsidRPr="00BC3AB1">
        <w:rPr>
          <w:u w:val="single"/>
        </w:rPr>
        <w:t>Staging simple (en Valsalva</w:t>
      </w:r>
      <w:r w:rsidR="00BC3AB1">
        <w:t>) :</w:t>
      </w:r>
    </w:p>
    <w:p w:rsidR="00BC3AB1" w:rsidRDefault="00BC3AB1" w:rsidP="006C0419">
      <w:pPr>
        <w:pStyle w:val="Sansinterligne"/>
      </w:pPr>
    </w:p>
    <w:p w:rsidR="00BC3AB1" w:rsidRDefault="00BC3AB1" w:rsidP="006C0419">
      <w:pPr>
        <w:pStyle w:val="Sansinterligne"/>
      </w:pPr>
      <w:r w:rsidRPr="00BC3AB1">
        <w:rPr>
          <w:b/>
        </w:rPr>
        <w:t>Grade 1</w:t>
      </w:r>
      <w:r>
        <w:t> : Prolapsus maximal à 1 cm au-dessus de l’hymen</w:t>
      </w:r>
    </w:p>
    <w:p w:rsidR="00BC3AB1" w:rsidRDefault="00BC3AB1" w:rsidP="006C0419">
      <w:pPr>
        <w:pStyle w:val="Sansinterligne"/>
      </w:pPr>
      <w:r w:rsidRPr="00BC3AB1">
        <w:rPr>
          <w:b/>
        </w:rPr>
        <w:t>Grade 2</w:t>
      </w:r>
      <w:r>
        <w:t> : Prolapsus maximal entre 1 cm au-dessus de l’hymen et 1 cm au-dessous</w:t>
      </w:r>
    </w:p>
    <w:p w:rsidR="00BC3AB1" w:rsidRDefault="00BC3AB1" w:rsidP="006C0419">
      <w:pPr>
        <w:pStyle w:val="Sansinterligne"/>
      </w:pPr>
      <w:r w:rsidRPr="00BC3AB1">
        <w:rPr>
          <w:b/>
        </w:rPr>
        <w:t>Grade 3</w:t>
      </w:r>
      <w:r>
        <w:t> :</w:t>
      </w:r>
      <w:r w:rsidR="00BF5182">
        <w:t xml:space="preserve"> Prolapsus maximal </w:t>
      </w:r>
      <w:r w:rsidR="00BF5182">
        <w:rPr>
          <w:rFonts w:ascii="Century Gothic" w:hAnsi="Century Gothic"/>
        </w:rPr>
        <w:t>≥</w:t>
      </w:r>
      <w:r w:rsidR="00BF5182">
        <w:t xml:space="preserve"> 1</w:t>
      </w:r>
      <w:r>
        <w:t>cm au-dessous de l’hymen</w:t>
      </w:r>
    </w:p>
    <w:p w:rsidR="00BC3AB1" w:rsidRDefault="00BC3AB1" w:rsidP="006C0419">
      <w:pPr>
        <w:pStyle w:val="Sansinterligne"/>
      </w:pPr>
      <w:r w:rsidRPr="00BC3AB1">
        <w:rPr>
          <w:b/>
        </w:rPr>
        <w:t>Grade 4</w:t>
      </w:r>
      <w:r>
        <w:t> : Éversion complète</w:t>
      </w:r>
    </w:p>
    <w:p w:rsidR="001C1C67" w:rsidRDefault="001C1C67" w:rsidP="006C0419">
      <w:pPr>
        <w:pStyle w:val="Sansinterligne"/>
      </w:pPr>
    </w:p>
    <w:p w:rsidR="00BC3AB1" w:rsidRPr="00BC3AB1" w:rsidRDefault="00BC3AB1" w:rsidP="006C0419">
      <w:pPr>
        <w:pStyle w:val="Sansinterligne"/>
        <w:rPr>
          <w:rFonts w:cs="Times New Roman"/>
        </w:rPr>
      </w:pPr>
    </w:p>
    <w:p w:rsidR="00BF5182" w:rsidRPr="00025F20" w:rsidRDefault="00BF5182" w:rsidP="006C0419">
      <w:pPr>
        <w:pStyle w:val="Sansinterligne"/>
        <w:rPr>
          <w:b/>
          <w:sz w:val="28"/>
          <w:szCs w:val="28"/>
        </w:rPr>
      </w:pPr>
      <w:r w:rsidRPr="00025F20">
        <w:rPr>
          <w:b/>
          <w:sz w:val="28"/>
          <w:szCs w:val="28"/>
        </w:rPr>
        <w:t>Prise en charge et traitement</w:t>
      </w:r>
    </w:p>
    <w:p w:rsidR="00BF5182" w:rsidRDefault="00BF5182" w:rsidP="006C0419">
      <w:pPr>
        <w:pStyle w:val="Sansinterligne"/>
      </w:pPr>
    </w:p>
    <w:p w:rsidR="00BF5182" w:rsidRDefault="00BF5182" w:rsidP="006C0419">
      <w:pPr>
        <w:pStyle w:val="Sansinterligne"/>
      </w:pPr>
      <w:r>
        <w:t>Il faut bien expliquer à la patiente les options et définir ses attentes.</w:t>
      </w:r>
    </w:p>
    <w:p w:rsidR="00BF5182" w:rsidRDefault="00BF5182" w:rsidP="006C0419">
      <w:pPr>
        <w:pStyle w:val="Sansinterligne"/>
      </w:pPr>
    </w:p>
    <w:p w:rsidR="00BF5182" w:rsidRPr="00D2072E" w:rsidRDefault="00E010E7" w:rsidP="00004A1E">
      <w:pPr>
        <w:pStyle w:val="Sansinterligne"/>
        <w:numPr>
          <w:ilvl w:val="0"/>
          <w:numId w:val="388"/>
        </w:numPr>
        <w:rPr>
          <w:highlight w:val="yellow"/>
        </w:rPr>
      </w:pPr>
      <w:r w:rsidRPr="00D2072E">
        <w:rPr>
          <w:b/>
          <w:highlight w:val="yellow"/>
        </w:rPr>
        <w:t>Physiothérapie</w:t>
      </w:r>
      <w:r w:rsidRPr="00D2072E">
        <w:rPr>
          <w:highlight w:val="yellow"/>
        </w:rPr>
        <w:t xml:space="preserve"> </w:t>
      </w:r>
      <w:r w:rsidRPr="00D2072E">
        <w:rPr>
          <w:rFonts w:ascii="Century Gothic" w:hAnsi="Century Gothic"/>
          <w:highlight w:val="yellow"/>
        </w:rPr>
        <w:t>→</w:t>
      </w:r>
      <w:r w:rsidRPr="00D2072E">
        <w:rPr>
          <w:highlight w:val="yellow"/>
        </w:rPr>
        <w:t xml:space="preserve"> exercices de Kegel, renforcement du plancher pelvien</w:t>
      </w:r>
      <w:r w:rsidR="004F08B8" w:rsidRPr="00D2072E">
        <w:rPr>
          <w:highlight w:val="yellow"/>
        </w:rPr>
        <w:t xml:space="preserve"> </w:t>
      </w:r>
    </w:p>
    <w:p w:rsidR="00E010E7" w:rsidRPr="00D2072E" w:rsidRDefault="00E010E7" w:rsidP="00004A1E">
      <w:pPr>
        <w:pStyle w:val="Sansinterligne"/>
        <w:numPr>
          <w:ilvl w:val="0"/>
          <w:numId w:val="388"/>
        </w:numPr>
        <w:rPr>
          <w:highlight w:val="yellow"/>
        </w:rPr>
      </w:pPr>
      <w:r w:rsidRPr="00D2072E">
        <w:rPr>
          <w:b/>
          <w:highlight w:val="yellow"/>
        </w:rPr>
        <w:t>Oestrogénothérapie locale</w:t>
      </w:r>
      <w:r w:rsidRPr="00D2072E">
        <w:rPr>
          <w:highlight w:val="yellow"/>
        </w:rPr>
        <w:t xml:space="preserve"> </w:t>
      </w:r>
      <w:r w:rsidRPr="00D2072E">
        <w:rPr>
          <w:rFonts w:ascii="Century Gothic" w:hAnsi="Century Gothic"/>
          <w:highlight w:val="yellow"/>
        </w:rPr>
        <w:t>→</w:t>
      </w:r>
      <w:r w:rsidRPr="00D2072E">
        <w:rPr>
          <w:highlight w:val="yellow"/>
        </w:rPr>
        <w:t xml:space="preserve"> si atrophie, ulcération seulement</w:t>
      </w:r>
    </w:p>
    <w:p w:rsidR="00D735A4" w:rsidRDefault="00E010E7" w:rsidP="00004A1E">
      <w:pPr>
        <w:pStyle w:val="Sansinterligne"/>
        <w:numPr>
          <w:ilvl w:val="0"/>
          <w:numId w:val="388"/>
        </w:numPr>
      </w:pPr>
      <w:r w:rsidRPr="00D2072E">
        <w:rPr>
          <w:b/>
          <w:highlight w:val="yellow"/>
        </w:rPr>
        <w:t>Pessaire</w:t>
      </w:r>
      <w:r w:rsidRPr="00D735A4">
        <w:rPr>
          <w:b/>
        </w:rPr>
        <w:t xml:space="preserve"> </w:t>
      </w:r>
      <w:r>
        <w:rPr>
          <w:rFonts w:ascii="Century Gothic" w:hAnsi="Century Gothic"/>
        </w:rPr>
        <w:t>→</w:t>
      </w:r>
      <w:r>
        <w:t xml:space="preserve"> expliquer la fonction, l’hygiène et </w:t>
      </w:r>
      <w:r w:rsidR="00D735A4">
        <w:t>que solution parfois définitive, parfois temporaire</w:t>
      </w:r>
    </w:p>
    <w:p w:rsidR="00E010E7" w:rsidRDefault="00D735A4" w:rsidP="00004A1E">
      <w:pPr>
        <w:pStyle w:val="Sansinterligne"/>
        <w:numPr>
          <w:ilvl w:val="0"/>
          <w:numId w:val="390"/>
        </w:numPr>
      </w:pPr>
      <w:r>
        <w:t>F</w:t>
      </w:r>
      <w:r w:rsidR="00E010E7">
        <w:t xml:space="preserve">aire le choix </w:t>
      </w:r>
      <w:r>
        <w:t xml:space="preserve">et l’essai </w:t>
      </w:r>
      <w:r w:rsidR="00E010E7">
        <w:t xml:space="preserve">du pessaire </w:t>
      </w:r>
      <w:r>
        <w:t xml:space="preserve">avec </w:t>
      </w:r>
      <w:r w:rsidR="00E010E7">
        <w:t>la patiente</w:t>
      </w:r>
    </w:p>
    <w:p w:rsidR="00E010E7" w:rsidRDefault="00E010E7" w:rsidP="00004A1E">
      <w:pPr>
        <w:pStyle w:val="Sansinterligne"/>
        <w:numPr>
          <w:ilvl w:val="0"/>
          <w:numId w:val="390"/>
        </w:numPr>
      </w:pPr>
      <w:r>
        <w:t>Attention ! Les pessaires trop petits vont tomber et les trop grands v</w:t>
      </w:r>
      <w:r w:rsidR="00D735A4">
        <w:t>ont éroder la muqueuse vaginale.</w:t>
      </w:r>
    </w:p>
    <w:p w:rsidR="00D735A4" w:rsidRDefault="00D735A4" w:rsidP="00D735A4">
      <w:pPr>
        <w:pStyle w:val="Sansinterligne"/>
        <w:ind w:left="360"/>
      </w:pPr>
    </w:p>
    <w:p w:rsidR="00D735A4" w:rsidRDefault="00D735A4" w:rsidP="006C0419">
      <w:pPr>
        <w:pStyle w:val="Sansinterligne"/>
      </w:pPr>
      <w:r w:rsidRPr="00D2072E">
        <w:rPr>
          <w:highlight w:val="yellow"/>
        </w:rPr>
        <w:t>Si échec au traitement conservateur ou désir de chirurgie, il faut expliquer à la patiente</w:t>
      </w:r>
      <w:r>
        <w:t> :</w:t>
      </w:r>
    </w:p>
    <w:p w:rsidR="00D735A4" w:rsidRDefault="00D801D8" w:rsidP="006C0419">
      <w:pPr>
        <w:pStyle w:val="Sansinterligne"/>
      </w:pPr>
      <w:r>
        <w:rPr>
          <w:noProof/>
          <w:lang w:eastAsia="fr-CA"/>
        </w:rPr>
        <w:drawing>
          <wp:anchor distT="0" distB="0" distL="114300" distR="114300" simplePos="0" relativeHeight="251760640" behindDoc="0" locked="0" layoutInCell="1" allowOverlap="1" wp14:anchorId="4D3FA8A8" wp14:editId="1E3615D7">
            <wp:simplePos x="0" y="0"/>
            <wp:positionH relativeFrom="column">
              <wp:posOffset>4843928</wp:posOffset>
            </wp:positionH>
            <wp:positionV relativeFrom="paragraph">
              <wp:posOffset>45720</wp:posOffset>
            </wp:positionV>
            <wp:extent cx="1741251" cy="1760707"/>
            <wp:effectExtent l="0" t="0" r="0" b="0"/>
            <wp:wrapNone/>
            <wp:docPr id="277" name="Image 277" descr="Résultats de recherche d'images pour « colpocè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ésultats de recherche d'images pour « colpocèle »"/>
                    <pic:cNvPicPr>
                      <a:picLocks noChangeAspect="1" noChangeArrowheads="1"/>
                    </pic:cNvPicPr>
                  </pic:nvPicPr>
                  <pic:blipFill>
                    <a:blip r:embed="rId319">
                      <a:extLst>
                        <a:ext uri="{28A0092B-C50C-407E-A947-70E740481C1C}">
                          <a14:useLocalDpi xmlns:a14="http://schemas.microsoft.com/office/drawing/2010/main" val="0"/>
                        </a:ext>
                      </a:extLst>
                    </a:blip>
                    <a:srcRect/>
                    <a:stretch>
                      <a:fillRect/>
                    </a:stretch>
                  </pic:blipFill>
                  <pic:spPr bwMode="auto">
                    <a:xfrm>
                      <a:off x="0" y="0"/>
                      <a:ext cx="1741251" cy="1760707"/>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735A4" w:rsidRDefault="00D735A4" w:rsidP="00004A1E">
      <w:pPr>
        <w:pStyle w:val="Sansinterligne"/>
        <w:numPr>
          <w:ilvl w:val="0"/>
          <w:numId w:val="389"/>
        </w:numPr>
      </w:pPr>
      <w:r>
        <w:t>Bons résultats obtenus chirurgicalement, définitif</w:t>
      </w:r>
    </w:p>
    <w:p w:rsidR="00D735A4" w:rsidRDefault="00D735A4" w:rsidP="00004A1E">
      <w:pPr>
        <w:pStyle w:val="Sansinterligne"/>
        <w:numPr>
          <w:ilvl w:val="0"/>
          <w:numId w:val="389"/>
        </w:numPr>
      </w:pPr>
      <w:r>
        <w:t>Il existe des risques chirurgicaux</w:t>
      </w:r>
    </w:p>
    <w:p w:rsidR="00D801D8" w:rsidRDefault="00D801D8" w:rsidP="006C0419">
      <w:pPr>
        <w:pStyle w:val="Sansinterligne"/>
      </w:pPr>
    </w:p>
    <w:p w:rsidR="00D735A4" w:rsidRDefault="00D735A4" w:rsidP="006C0419">
      <w:pPr>
        <w:pStyle w:val="Sansinterligne"/>
      </w:pPr>
      <w:r>
        <w:t>Alors on peut la référer en gynécologie/urogynécologie.</w:t>
      </w:r>
    </w:p>
    <w:p w:rsidR="00D735A4" w:rsidRDefault="00D735A4" w:rsidP="006C0419">
      <w:pPr>
        <w:pStyle w:val="Sansinterligne"/>
      </w:pPr>
    </w:p>
    <w:tbl>
      <w:tblPr>
        <w:tblStyle w:val="Grilledutableau"/>
        <w:tblpPr w:leftFromText="141" w:rightFromText="141" w:vertAnchor="text" w:horzAnchor="margin" w:tblpY="34"/>
        <w:tblW w:w="0" w:type="auto"/>
        <w:tblLook w:val="04A0" w:firstRow="1" w:lastRow="0" w:firstColumn="1" w:lastColumn="0" w:noHBand="0" w:noVBand="1"/>
      </w:tblPr>
      <w:tblGrid>
        <w:gridCol w:w="2093"/>
        <w:gridCol w:w="5528"/>
      </w:tblGrid>
      <w:tr w:rsidR="00D801D8" w:rsidTr="00D801D8">
        <w:tc>
          <w:tcPr>
            <w:tcW w:w="2093" w:type="dxa"/>
          </w:tcPr>
          <w:p w:rsidR="00D801D8" w:rsidRDefault="00D801D8" w:rsidP="00D801D8">
            <w:pPr>
              <w:pStyle w:val="Sansinterligne"/>
            </w:pPr>
            <w:r>
              <w:t>Cystocèle</w:t>
            </w:r>
          </w:p>
        </w:tc>
        <w:tc>
          <w:tcPr>
            <w:tcW w:w="5528" w:type="dxa"/>
          </w:tcPr>
          <w:p w:rsidR="00D801D8" w:rsidRDefault="00D801D8" w:rsidP="00D801D8">
            <w:pPr>
              <w:pStyle w:val="Sansinterligne"/>
            </w:pPr>
            <w:r>
              <w:t xml:space="preserve">Colporraphie antérieure </w:t>
            </w:r>
            <w:r>
              <w:rPr>
                <w:rFonts w:cs="Times New Roman"/>
              </w:rPr>
              <w:t>±</w:t>
            </w:r>
            <w:r>
              <w:t xml:space="preserve"> urétropexie si incontinence </w:t>
            </w:r>
          </w:p>
        </w:tc>
      </w:tr>
      <w:tr w:rsidR="00D801D8" w:rsidTr="00D801D8">
        <w:tc>
          <w:tcPr>
            <w:tcW w:w="2093" w:type="dxa"/>
          </w:tcPr>
          <w:p w:rsidR="00D801D8" w:rsidRDefault="00D801D8" w:rsidP="00D801D8">
            <w:pPr>
              <w:pStyle w:val="Sansinterligne"/>
            </w:pPr>
            <w:r>
              <w:t>Rectocèle</w:t>
            </w:r>
          </w:p>
        </w:tc>
        <w:tc>
          <w:tcPr>
            <w:tcW w:w="5528" w:type="dxa"/>
          </w:tcPr>
          <w:p w:rsidR="00D801D8" w:rsidRDefault="00D801D8" w:rsidP="00D801D8">
            <w:pPr>
              <w:pStyle w:val="Sansinterligne"/>
            </w:pPr>
            <w:r>
              <w:t>Colporraphie postérieure</w:t>
            </w:r>
          </w:p>
        </w:tc>
      </w:tr>
      <w:tr w:rsidR="00D801D8" w:rsidTr="00D801D8">
        <w:tc>
          <w:tcPr>
            <w:tcW w:w="2093" w:type="dxa"/>
          </w:tcPr>
          <w:p w:rsidR="00D801D8" w:rsidRDefault="00D801D8" w:rsidP="00D801D8">
            <w:pPr>
              <w:pStyle w:val="Sansinterligne"/>
            </w:pPr>
            <w:r>
              <w:t>Entérocèle</w:t>
            </w:r>
          </w:p>
        </w:tc>
        <w:tc>
          <w:tcPr>
            <w:tcW w:w="5528" w:type="dxa"/>
          </w:tcPr>
          <w:p w:rsidR="00D801D8" w:rsidRDefault="00D801D8" w:rsidP="00D801D8">
            <w:pPr>
              <w:pStyle w:val="Sansinterligne"/>
            </w:pPr>
            <w:r>
              <w:t>Réduction du contenu et réparation de la hernie</w:t>
            </w:r>
          </w:p>
        </w:tc>
      </w:tr>
      <w:tr w:rsidR="00D801D8" w:rsidTr="00D801D8">
        <w:tc>
          <w:tcPr>
            <w:tcW w:w="2093" w:type="dxa"/>
          </w:tcPr>
          <w:p w:rsidR="00D801D8" w:rsidRDefault="00D801D8" w:rsidP="00D801D8">
            <w:pPr>
              <w:pStyle w:val="Sansinterligne"/>
            </w:pPr>
            <w:r>
              <w:t>Prolapsus utérin</w:t>
            </w:r>
          </w:p>
        </w:tc>
        <w:tc>
          <w:tcPr>
            <w:tcW w:w="5528" w:type="dxa"/>
          </w:tcPr>
          <w:p w:rsidR="00D801D8" w:rsidRDefault="00D801D8" w:rsidP="00D801D8">
            <w:pPr>
              <w:pStyle w:val="Sansinterligne"/>
            </w:pPr>
            <w:r>
              <w:t xml:space="preserve">Hystérectomie vaginale </w:t>
            </w:r>
            <w:r>
              <w:rPr>
                <w:rFonts w:cs="Times New Roman"/>
              </w:rPr>
              <w:t>±</w:t>
            </w:r>
            <w:r>
              <w:t xml:space="preserve"> prévention prolapsus de la voûte</w:t>
            </w:r>
          </w:p>
        </w:tc>
      </w:tr>
      <w:tr w:rsidR="00D801D8" w:rsidTr="00D801D8">
        <w:tc>
          <w:tcPr>
            <w:tcW w:w="2093" w:type="dxa"/>
          </w:tcPr>
          <w:p w:rsidR="00D801D8" w:rsidRDefault="00D801D8" w:rsidP="00D801D8">
            <w:pPr>
              <w:pStyle w:val="Sansinterligne"/>
            </w:pPr>
            <w:r>
              <w:t xml:space="preserve">Prolapsus de la voûte </w:t>
            </w:r>
          </w:p>
        </w:tc>
        <w:tc>
          <w:tcPr>
            <w:tcW w:w="5528" w:type="dxa"/>
          </w:tcPr>
          <w:p w:rsidR="00D801D8" w:rsidRDefault="00D801D8" w:rsidP="00E4470C">
            <w:pPr>
              <w:pStyle w:val="Sansinterligne"/>
            </w:pPr>
            <w:r>
              <w:t>Sacralcolpopexie (fixation de la</w:t>
            </w:r>
            <w:r w:rsidR="00E4470C">
              <w:t xml:space="preserve"> v</w:t>
            </w:r>
            <w:r>
              <w:t>oûte)</w:t>
            </w:r>
          </w:p>
        </w:tc>
      </w:tr>
    </w:tbl>
    <w:p w:rsidR="008B7A3D" w:rsidRDefault="008B7A3D" w:rsidP="006C0419">
      <w:pPr>
        <w:pStyle w:val="Sansinterligne"/>
      </w:pPr>
    </w:p>
    <w:p w:rsidR="008B7A3D" w:rsidRDefault="00D801D8" w:rsidP="006C0419">
      <w:pPr>
        <w:pStyle w:val="Sansinterligne"/>
      </w:pPr>
      <w:r>
        <w:rPr>
          <w:noProof/>
          <w:lang w:eastAsia="fr-CA"/>
        </w:rPr>
        <w:t xml:space="preserve"> </w:t>
      </w:r>
      <w:r w:rsidR="008B7A3D">
        <w:br w:type="page"/>
      </w:r>
    </w:p>
    <w:p w:rsidR="00041F4E" w:rsidRDefault="00041F4E" w:rsidP="00041F4E">
      <w:pPr>
        <w:spacing w:after="0"/>
        <w:rPr>
          <w:rFonts w:cs="Times New Roman"/>
          <w:b/>
          <w:color w:val="548DD4" w:themeColor="text2" w:themeTint="99"/>
        </w:rPr>
      </w:pPr>
      <w:r>
        <w:rPr>
          <w:rFonts w:cs="Times New Roman"/>
          <w:b/>
          <w:color w:val="548DD4" w:themeColor="text2" w:themeTint="99"/>
        </w:rPr>
        <w:t>CMC 86</w:t>
      </w:r>
    </w:p>
    <w:p w:rsidR="00041F4E" w:rsidRPr="002D636E" w:rsidRDefault="00041F4E" w:rsidP="00041F4E">
      <w:pPr>
        <w:pStyle w:val="Titre3"/>
        <w:spacing w:before="0"/>
        <w:rPr>
          <w:rFonts w:ascii="Times New Roman" w:hAnsi="Times New Roman" w:cs="Times New Roman"/>
        </w:rPr>
      </w:pPr>
      <w:bookmarkStart w:id="344" w:name="_Toc480797323"/>
      <w:r w:rsidRPr="002D636E">
        <w:rPr>
          <w:rFonts w:ascii="Times New Roman" w:hAnsi="Times New Roman" w:cs="Times New Roman"/>
        </w:rPr>
        <w:t>Psychose</w:t>
      </w:r>
      <w:bookmarkEnd w:id="344"/>
    </w:p>
    <w:tbl>
      <w:tblPr>
        <w:tblW w:w="3858" w:type="pct"/>
        <w:tblCellSpacing w:w="0" w:type="dxa"/>
        <w:tblCellMar>
          <w:left w:w="0" w:type="dxa"/>
          <w:right w:w="0" w:type="dxa"/>
        </w:tblCellMar>
        <w:tblLook w:val="04A0" w:firstRow="1" w:lastRow="0" w:firstColumn="1" w:lastColumn="0" w:noHBand="0" w:noVBand="1"/>
      </w:tblPr>
      <w:tblGrid>
        <w:gridCol w:w="8333"/>
      </w:tblGrid>
      <w:tr w:rsidR="00041F4E" w:rsidRPr="00041F4E" w:rsidTr="00041F4E">
        <w:trPr>
          <w:tblCellSpacing w:w="0" w:type="dxa"/>
        </w:trPr>
        <w:tc>
          <w:tcPr>
            <w:tcW w:w="0" w:type="auto"/>
            <w:vAlign w:val="bottom"/>
            <w:hideMark/>
          </w:tcPr>
          <w:p w:rsidR="00041F4E" w:rsidRPr="00041F4E" w:rsidRDefault="00041F4E" w:rsidP="00041F4E">
            <w:pPr>
              <w:pStyle w:val="Sansinterligne"/>
              <w:spacing w:before="240"/>
              <w:rPr>
                <w:rFonts w:cs="Times New Roman"/>
                <w:b/>
                <w:sz w:val="18"/>
                <w:szCs w:val="18"/>
              </w:rPr>
            </w:pPr>
            <w:r>
              <w:rPr>
                <w:rFonts w:cs="Times New Roman"/>
                <w:b/>
                <w:noProof/>
                <w:sz w:val="18"/>
                <w:szCs w:val="18"/>
                <w:lang w:eastAsia="fr-CA"/>
              </w:rPr>
              <mc:AlternateContent>
                <mc:Choice Requires="wps">
                  <w:drawing>
                    <wp:anchor distT="0" distB="0" distL="114300" distR="114300" simplePos="0" relativeHeight="251866112" behindDoc="0" locked="0" layoutInCell="1" allowOverlap="1" wp14:anchorId="1ED6C39C" wp14:editId="301B0BBE">
                      <wp:simplePos x="0" y="0"/>
                      <wp:positionH relativeFrom="column">
                        <wp:posOffset>-29210</wp:posOffset>
                      </wp:positionH>
                      <wp:positionV relativeFrom="paragraph">
                        <wp:posOffset>31750</wp:posOffset>
                      </wp:positionV>
                      <wp:extent cx="6925945" cy="3550285"/>
                      <wp:effectExtent l="0" t="0" r="27305" b="12065"/>
                      <wp:wrapNone/>
                      <wp:docPr id="377" name="Rectangle 377"/>
                      <wp:cNvGraphicFramePr/>
                      <a:graphic xmlns:a="http://schemas.openxmlformats.org/drawingml/2006/main">
                        <a:graphicData uri="http://schemas.microsoft.com/office/word/2010/wordprocessingShape">
                          <wps:wsp>
                            <wps:cNvSpPr/>
                            <wps:spPr>
                              <a:xfrm>
                                <a:off x="0" y="0"/>
                                <a:ext cx="6925945" cy="3550285"/>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77" o:spid="_x0000_s1026" style="position:absolute;margin-left:-2.3pt;margin-top:2.5pt;width:545.35pt;height:279.55pt;z-index:25186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" filled="f" strokecolor="black [1600]" strokeweight="2pt"/>
                  </w:pict>
                </mc:Fallback>
              </mc:AlternateContent>
            </w:r>
            <w:r w:rsidRPr="00041F4E">
              <w:rPr>
                <w:rFonts w:cs="Times New Roman"/>
                <w:b/>
                <w:sz w:val="18"/>
                <w:szCs w:val="18"/>
              </w:rPr>
              <w:t>Objectifs principaux</w:t>
            </w:r>
          </w:p>
        </w:tc>
      </w:tr>
    </w:tbl>
    <w:p w:rsidR="00041F4E" w:rsidRPr="002D636E" w:rsidRDefault="00041F4E" w:rsidP="00041F4E">
      <w:pPr>
        <w:pStyle w:val="NormalWeb"/>
        <w:ind w:left="360"/>
        <w:rPr>
          <w:color w:val="000000"/>
          <w:sz w:val="18"/>
          <w:szCs w:val="18"/>
          <w:shd w:val="clear" w:color="auto" w:fill="FFFFFF"/>
        </w:rPr>
      </w:pPr>
      <w:r w:rsidRPr="002D636E">
        <w:rPr>
          <w:color w:val="000000"/>
          <w:sz w:val="18"/>
          <w:szCs w:val="18"/>
          <w:shd w:val="clear" w:color="auto" w:fill="FFFFFF"/>
        </w:rPr>
        <w:t>Dans le cas d'un patient psychotique, le candidat devra en diagnostiquer la cause, la gravité et les complications, et mettre en place un plan de prise en charge approprié. En cas de psychose aiguë, le candidat devra en particulier veiller à distinguer un trouble psychotique primitif d'une psychose secondaire à un problème médical ou à une psychose induite par une substance.</w:t>
      </w:r>
    </w:p>
    <w:tbl>
      <w:tblPr>
        <w:tblW w:w="3897" w:type="pct"/>
        <w:tblCellSpacing w:w="0" w:type="dxa"/>
        <w:tblCellMar>
          <w:left w:w="0" w:type="dxa"/>
          <w:right w:w="0" w:type="dxa"/>
        </w:tblCellMar>
        <w:tblLook w:val="04A0" w:firstRow="1" w:lastRow="0" w:firstColumn="1" w:lastColumn="0" w:noHBand="0" w:noVBand="1"/>
      </w:tblPr>
      <w:tblGrid>
        <w:gridCol w:w="8418"/>
      </w:tblGrid>
      <w:tr w:rsidR="00041F4E" w:rsidRPr="002D636E" w:rsidTr="00041F4E">
        <w:trPr>
          <w:tblCellSpacing w:w="0" w:type="dxa"/>
        </w:trPr>
        <w:tc>
          <w:tcPr>
            <w:tcW w:w="0" w:type="auto"/>
            <w:vAlign w:val="bottom"/>
            <w:hideMark/>
          </w:tcPr>
          <w:p w:rsidR="00041F4E" w:rsidRPr="002D636E" w:rsidRDefault="00041F4E" w:rsidP="00041F4E">
            <w:pPr>
              <w:pStyle w:val="Sansinterligne"/>
              <w:rPr>
                <w:rFonts w:cs="Times New Roman"/>
                <w:b/>
                <w:sz w:val="16"/>
                <w:szCs w:val="16"/>
              </w:rPr>
            </w:pPr>
            <w:r w:rsidRPr="002D636E">
              <w:rPr>
                <w:rFonts w:cs="Times New Roman"/>
                <w:b/>
                <w:sz w:val="16"/>
                <w:szCs w:val="16"/>
              </w:rPr>
              <w:t>Objectifs spécifiques</w:t>
            </w:r>
          </w:p>
        </w:tc>
      </w:tr>
    </w:tbl>
    <w:p w:rsidR="00041F4E" w:rsidRPr="002D636E" w:rsidRDefault="00041F4E" w:rsidP="00041F4E">
      <w:pPr>
        <w:pStyle w:val="NormalWeb"/>
        <w:shd w:val="clear" w:color="auto" w:fill="FFFFFF"/>
        <w:ind w:left="360"/>
        <w:rPr>
          <w:color w:val="000000"/>
          <w:sz w:val="16"/>
          <w:szCs w:val="16"/>
          <w:shd w:val="clear" w:color="auto" w:fill="FFFFFF"/>
        </w:rPr>
      </w:pPr>
      <w:r w:rsidRPr="002D636E">
        <w:rPr>
          <w:color w:val="000000"/>
          <w:sz w:val="16"/>
          <w:szCs w:val="16"/>
          <w:shd w:val="clear" w:color="auto" w:fill="FFFFFF"/>
        </w:rPr>
        <w:t>Dans le cas d'un patient psychotique, le candidat devra</w:t>
      </w:r>
    </w:p>
    <w:p w:rsidR="00041F4E" w:rsidRPr="002D636E" w:rsidRDefault="00041F4E" w:rsidP="0012303F">
      <w:pPr>
        <w:numPr>
          <w:ilvl w:val="0"/>
          <w:numId w:val="743"/>
        </w:numPr>
        <w:shd w:val="clear" w:color="auto" w:fill="FFFFFF"/>
        <w:spacing w:before="100" w:beforeAutospacing="1" w:after="100" w:afterAutospacing="1" w:line="240" w:lineRule="auto"/>
        <w:rPr>
          <w:rFonts w:cs="Times New Roman"/>
          <w:color w:val="000000"/>
          <w:sz w:val="16"/>
          <w:szCs w:val="16"/>
          <w:shd w:val="clear" w:color="auto" w:fill="FFFFFF"/>
        </w:rPr>
      </w:pPr>
      <w:r w:rsidRPr="002D636E">
        <w:rPr>
          <w:rFonts w:cs="Times New Roman"/>
          <w:color w:val="000000"/>
          <w:sz w:val="16"/>
          <w:szCs w:val="16"/>
          <w:shd w:val="clear" w:color="auto" w:fill="FFFFFF"/>
        </w:rPr>
        <w:t>énumérer et interpréter les constatations cliniques cruciales, notamment :</w:t>
      </w:r>
    </w:p>
    <w:p w:rsidR="00041F4E" w:rsidRPr="002D636E" w:rsidRDefault="00041F4E" w:rsidP="0012303F">
      <w:pPr>
        <w:numPr>
          <w:ilvl w:val="1"/>
          <w:numId w:val="743"/>
        </w:numPr>
        <w:shd w:val="clear" w:color="auto" w:fill="FFFFFF"/>
        <w:spacing w:before="100" w:beforeAutospacing="1" w:after="100" w:afterAutospacing="1" w:line="240" w:lineRule="auto"/>
        <w:rPr>
          <w:rFonts w:cs="Times New Roman"/>
          <w:color w:val="000000"/>
          <w:sz w:val="16"/>
          <w:szCs w:val="16"/>
          <w:shd w:val="clear" w:color="auto" w:fill="FFFFFF"/>
        </w:rPr>
      </w:pPr>
      <w:r w:rsidRPr="002D636E">
        <w:rPr>
          <w:rFonts w:cs="Times New Roman"/>
          <w:color w:val="000000"/>
          <w:sz w:val="16"/>
          <w:szCs w:val="16"/>
          <w:shd w:val="clear" w:color="auto" w:fill="FFFFFF"/>
        </w:rPr>
        <w:t>l'examen de l'état mental, avec une attention particulière à l'évaluation de la capacité du patient de même qu'aux facteurs de risque associés au tort qu'il peut causer à lui-même ou à autrui;</w:t>
      </w:r>
    </w:p>
    <w:p w:rsidR="00041F4E" w:rsidRPr="002D636E" w:rsidRDefault="00041F4E" w:rsidP="0012303F">
      <w:pPr>
        <w:numPr>
          <w:ilvl w:val="1"/>
          <w:numId w:val="743"/>
        </w:numPr>
        <w:shd w:val="clear" w:color="auto" w:fill="FFFFFF"/>
        <w:spacing w:before="100" w:beforeAutospacing="1" w:after="100" w:afterAutospacing="1" w:line="240" w:lineRule="auto"/>
        <w:rPr>
          <w:rFonts w:cs="Times New Roman"/>
          <w:color w:val="000000"/>
          <w:sz w:val="16"/>
          <w:szCs w:val="16"/>
          <w:shd w:val="clear" w:color="auto" w:fill="FFFFFF"/>
        </w:rPr>
      </w:pPr>
      <w:r w:rsidRPr="002D636E">
        <w:rPr>
          <w:rFonts w:cs="Times New Roman"/>
          <w:color w:val="000000"/>
          <w:sz w:val="16"/>
          <w:szCs w:val="16"/>
          <w:shd w:val="clear" w:color="auto" w:fill="FFFFFF"/>
        </w:rPr>
        <w:t>les antécédents fournis par les proches (le cas échéant);</w:t>
      </w:r>
    </w:p>
    <w:p w:rsidR="00041F4E" w:rsidRPr="002D636E" w:rsidRDefault="00041F4E" w:rsidP="0012303F">
      <w:pPr>
        <w:numPr>
          <w:ilvl w:val="1"/>
          <w:numId w:val="743"/>
        </w:numPr>
        <w:shd w:val="clear" w:color="auto" w:fill="FFFFFF"/>
        <w:spacing w:before="100" w:beforeAutospacing="1" w:after="100" w:afterAutospacing="1" w:line="240" w:lineRule="auto"/>
        <w:rPr>
          <w:rFonts w:cs="Times New Roman"/>
          <w:color w:val="000000"/>
          <w:sz w:val="16"/>
          <w:szCs w:val="16"/>
          <w:shd w:val="clear" w:color="auto" w:fill="FFFFFF"/>
        </w:rPr>
      </w:pPr>
      <w:r w:rsidRPr="002D636E">
        <w:rPr>
          <w:rFonts w:cs="Times New Roman"/>
          <w:color w:val="000000"/>
          <w:sz w:val="16"/>
          <w:szCs w:val="16"/>
          <w:shd w:val="clear" w:color="auto" w:fill="FFFFFF"/>
        </w:rPr>
        <w:t>l'examen physique (s'il est sécuritaire de le faire), avec une attention particulière aux constatations évoquant une affection médicale sous-jacente ou concomitante ou encore une toxicomanie;</w:t>
      </w:r>
    </w:p>
    <w:p w:rsidR="00041F4E" w:rsidRPr="002D636E" w:rsidRDefault="00041F4E" w:rsidP="0012303F">
      <w:pPr>
        <w:numPr>
          <w:ilvl w:val="0"/>
          <w:numId w:val="743"/>
        </w:numPr>
        <w:shd w:val="clear" w:color="auto" w:fill="FFFFFF"/>
        <w:spacing w:before="100" w:beforeAutospacing="1" w:after="100" w:afterAutospacing="1" w:line="240" w:lineRule="auto"/>
        <w:rPr>
          <w:rFonts w:cs="Times New Roman"/>
          <w:color w:val="000000"/>
          <w:sz w:val="16"/>
          <w:szCs w:val="16"/>
          <w:shd w:val="clear" w:color="auto" w:fill="FFFFFF"/>
        </w:rPr>
      </w:pPr>
      <w:r w:rsidRPr="002D636E">
        <w:rPr>
          <w:rFonts w:cs="Times New Roman"/>
          <w:color w:val="000000"/>
          <w:sz w:val="16"/>
          <w:szCs w:val="16"/>
          <w:shd w:val="clear" w:color="auto" w:fill="FFFFFF"/>
        </w:rPr>
        <w:t>énumérer et interpréter les examens essentiels, notamment :</w:t>
      </w:r>
    </w:p>
    <w:p w:rsidR="00041F4E" w:rsidRPr="002D636E" w:rsidRDefault="00041F4E" w:rsidP="0012303F">
      <w:pPr>
        <w:numPr>
          <w:ilvl w:val="1"/>
          <w:numId w:val="743"/>
        </w:numPr>
        <w:shd w:val="clear" w:color="auto" w:fill="FFFFFF"/>
        <w:spacing w:before="100" w:beforeAutospacing="1" w:after="100" w:afterAutospacing="1" w:line="240" w:lineRule="auto"/>
        <w:rPr>
          <w:rFonts w:cs="Times New Roman"/>
          <w:color w:val="000000"/>
          <w:sz w:val="16"/>
          <w:szCs w:val="16"/>
          <w:shd w:val="clear" w:color="auto" w:fill="FFFFFF"/>
        </w:rPr>
      </w:pPr>
      <w:r w:rsidRPr="002D636E">
        <w:rPr>
          <w:rFonts w:cs="Times New Roman"/>
          <w:color w:val="000000"/>
          <w:sz w:val="16"/>
          <w:szCs w:val="16"/>
          <w:shd w:val="clear" w:color="auto" w:fill="FFFFFF"/>
        </w:rPr>
        <w:t>les examens de laboratoire et autres tests pertinents (p. ex. neuro-imagerie);</w:t>
      </w:r>
    </w:p>
    <w:p w:rsidR="00041F4E" w:rsidRPr="002D636E" w:rsidRDefault="00041F4E" w:rsidP="0012303F">
      <w:pPr>
        <w:numPr>
          <w:ilvl w:val="0"/>
          <w:numId w:val="743"/>
        </w:numPr>
        <w:shd w:val="clear" w:color="auto" w:fill="FFFFFF"/>
        <w:spacing w:before="100" w:beforeAutospacing="1" w:after="100" w:afterAutospacing="1" w:line="240" w:lineRule="auto"/>
        <w:rPr>
          <w:rFonts w:cs="Times New Roman"/>
          <w:color w:val="000000"/>
          <w:sz w:val="16"/>
          <w:szCs w:val="16"/>
          <w:shd w:val="clear" w:color="auto" w:fill="FFFFFF"/>
        </w:rPr>
      </w:pPr>
      <w:r w:rsidRPr="002D636E">
        <w:rPr>
          <w:rFonts w:cs="Times New Roman"/>
          <w:color w:val="000000"/>
          <w:sz w:val="16"/>
          <w:szCs w:val="16"/>
          <w:shd w:val="clear" w:color="auto" w:fill="FFFFFF"/>
        </w:rPr>
        <w:t>établir un plan efficace de prise en charge initiale efficace, notamment :</w:t>
      </w:r>
    </w:p>
    <w:p w:rsidR="00041F4E" w:rsidRPr="002D636E" w:rsidRDefault="00041F4E" w:rsidP="0012303F">
      <w:pPr>
        <w:numPr>
          <w:ilvl w:val="1"/>
          <w:numId w:val="743"/>
        </w:numPr>
        <w:shd w:val="clear" w:color="auto" w:fill="FFFFFF"/>
        <w:spacing w:before="100" w:beforeAutospacing="1" w:after="100" w:afterAutospacing="1" w:line="240" w:lineRule="auto"/>
        <w:rPr>
          <w:rFonts w:cs="Times New Roman"/>
          <w:color w:val="000000"/>
          <w:sz w:val="16"/>
          <w:szCs w:val="16"/>
          <w:shd w:val="clear" w:color="auto" w:fill="FFFFFF"/>
        </w:rPr>
      </w:pPr>
      <w:r w:rsidRPr="002D636E">
        <w:rPr>
          <w:rFonts w:cs="Times New Roman"/>
          <w:color w:val="000000"/>
          <w:sz w:val="16"/>
          <w:szCs w:val="16"/>
          <w:shd w:val="clear" w:color="auto" w:fill="FFFFFF"/>
        </w:rPr>
        <w:t>assurer la sécurité du patient et d'autrui (p. ex. certification);</w:t>
      </w:r>
    </w:p>
    <w:p w:rsidR="00041F4E" w:rsidRPr="002D636E" w:rsidRDefault="00041F4E" w:rsidP="0012303F">
      <w:pPr>
        <w:numPr>
          <w:ilvl w:val="1"/>
          <w:numId w:val="743"/>
        </w:numPr>
        <w:shd w:val="clear" w:color="auto" w:fill="FFFFFF"/>
        <w:spacing w:before="100" w:beforeAutospacing="1" w:after="100" w:afterAutospacing="1" w:line="240" w:lineRule="auto"/>
        <w:rPr>
          <w:rFonts w:cs="Times New Roman"/>
          <w:color w:val="000000"/>
          <w:sz w:val="16"/>
          <w:szCs w:val="16"/>
          <w:shd w:val="clear" w:color="auto" w:fill="FFFFFF"/>
        </w:rPr>
      </w:pPr>
      <w:r w:rsidRPr="002D636E">
        <w:rPr>
          <w:rFonts w:cs="Times New Roman"/>
          <w:color w:val="000000"/>
          <w:sz w:val="16"/>
          <w:szCs w:val="16"/>
          <w:shd w:val="clear" w:color="auto" w:fill="FFFFFF"/>
        </w:rPr>
        <w:t>assurer une évaluation continue de la capacité du patient et déterminer la nécessité de désigner un décideur remplaçant;</w:t>
      </w:r>
    </w:p>
    <w:p w:rsidR="00041F4E" w:rsidRPr="002D636E" w:rsidRDefault="00041F4E" w:rsidP="0012303F">
      <w:pPr>
        <w:numPr>
          <w:ilvl w:val="1"/>
          <w:numId w:val="743"/>
        </w:numPr>
        <w:shd w:val="clear" w:color="auto" w:fill="FFFFFF"/>
        <w:spacing w:before="100" w:beforeAutospacing="1" w:after="100" w:afterAutospacing="1" w:line="240" w:lineRule="auto"/>
        <w:rPr>
          <w:rFonts w:cs="Times New Roman"/>
          <w:color w:val="000000"/>
          <w:sz w:val="16"/>
          <w:szCs w:val="16"/>
          <w:shd w:val="clear" w:color="auto" w:fill="FFFFFF"/>
        </w:rPr>
      </w:pPr>
      <w:r w:rsidRPr="002D636E">
        <w:rPr>
          <w:rFonts w:cs="Times New Roman"/>
          <w:color w:val="000000"/>
          <w:sz w:val="16"/>
          <w:szCs w:val="16"/>
          <w:shd w:val="clear" w:color="auto" w:fill="FFFFFF"/>
        </w:rPr>
        <w:t>voir aux besoins psychosociaux du patient (p. ex. ressources communautaires et familiales, hébergement);</w:t>
      </w:r>
    </w:p>
    <w:p w:rsidR="00041F4E" w:rsidRPr="002D636E" w:rsidRDefault="00041F4E" w:rsidP="0012303F">
      <w:pPr>
        <w:numPr>
          <w:ilvl w:val="1"/>
          <w:numId w:val="743"/>
        </w:numPr>
        <w:shd w:val="clear" w:color="auto" w:fill="FFFFFF"/>
        <w:spacing w:before="100" w:beforeAutospacing="1" w:after="100" w:afterAutospacing="1" w:line="240" w:lineRule="auto"/>
        <w:rPr>
          <w:rFonts w:cs="Times New Roman"/>
          <w:color w:val="000000"/>
          <w:sz w:val="16"/>
          <w:szCs w:val="16"/>
          <w:shd w:val="clear" w:color="auto" w:fill="FFFFFF"/>
        </w:rPr>
      </w:pPr>
      <w:r w:rsidRPr="002D636E">
        <w:rPr>
          <w:rFonts w:cs="Times New Roman"/>
          <w:color w:val="000000"/>
          <w:sz w:val="16"/>
          <w:szCs w:val="16"/>
          <w:shd w:val="clear" w:color="auto" w:fill="FFFFFF"/>
        </w:rPr>
        <w:t>établir le traitement médicamenteux (tant d'urgence que d'entretien);</w:t>
      </w:r>
    </w:p>
    <w:p w:rsidR="00041F4E" w:rsidRPr="002D636E" w:rsidRDefault="00041F4E" w:rsidP="0012303F">
      <w:pPr>
        <w:numPr>
          <w:ilvl w:val="1"/>
          <w:numId w:val="743"/>
        </w:numPr>
        <w:shd w:val="clear" w:color="auto" w:fill="FFFFFF"/>
        <w:spacing w:before="100" w:beforeAutospacing="1" w:after="100" w:afterAutospacing="1" w:line="240" w:lineRule="auto"/>
        <w:rPr>
          <w:rFonts w:cs="Times New Roman"/>
          <w:color w:val="000000"/>
          <w:sz w:val="16"/>
          <w:szCs w:val="16"/>
          <w:shd w:val="clear" w:color="auto" w:fill="FFFFFF"/>
        </w:rPr>
      </w:pPr>
      <w:r w:rsidRPr="002D636E">
        <w:rPr>
          <w:rFonts w:cs="Times New Roman"/>
          <w:color w:val="000000"/>
          <w:sz w:val="16"/>
          <w:szCs w:val="16"/>
          <w:shd w:val="clear" w:color="auto" w:fill="FFFFFF"/>
        </w:rPr>
        <w:t>traiter toute affection ou tout état de comorbidité sous-jacents;</w:t>
      </w:r>
    </w:p>
    <w:p w:rsidR="00041F4E" w:rsidRPr="002D636E" w:rsidRDefault="00041F4E" w:rsidP="0012303F">
      <w:pPr>
        <w:numPr>
          <w:ilvl w:val="1"/>
          <w:numId w:val="743"/>
        </w:numPr>
        <w:shd w:val="clear" w:color="auto" w:fill="FFFFFF"/>
        <w:spacing w:before="100" w:beforeAutospacing="1" w:after="100" w:afterAutospacing="1" w:line="240" w:lineRule="auto"/>
        <w:rPr>
          <w:rFonts w:cs="Times New Roman"/>
          <w:color w:val="000000"/>
          <w:sz w:val="16"/>
          <w:szCs w:val="16"/>
          <w:shd w:val="clear" w:color="auto" w:fill="FFFFFF"/>
        </w:rPr>
      </w:pPr>
      <w:r w:rsidRPr="002D636E">
        <w:rPr>
          <w:rFonts w:cs="Times New Roman"/>
          <w:color w:val="000000"/>
          <w:sz w:val="16"/>
          <w:szCs w:val="16"/>
          <w:shd w:val="clear" w:color="auto" w:fill="FFFFFF"/>
        </w:rPr>
        <w:t>donner des conseils au sujet des troubles psychotiques et fournir un soutien au patient, aux prestataires de soins et à la famille;</w:t>
      </w:r>
    </w:p>
    <w:p w:rsidR="00041F4E" w:rsidRPr="002D636E" w:rsidRDefault="00041F4E" w:rsidP="0012303F">
      <w:pPr>
        <w:numPr>
          <w:ilvl w:val="1"/>
          <w:numId w:val="743"/>
        </w:numPr>
        <w:shd w:val="clear" w:color="auto" w:fill="FFFFFF"/>
        <w:spacing w:before="100" w:beforeAutospacing="1" w:after="100" w:afterAutospacing="1" w:line="240" w:lineRule="auto"/>
        <w:rPr>
          <w:rFonts w:cs="Times New Roman"/>
          <w:color w:val="000000"/>
          <w:sz w:val="16"/>
          <w:szCs w:val="16"/>
          <w:shd w:val="clear" w:color="auto" w:fill="FFFFFF"/>
        </w:rPr>
      </w:pPr>
      <w:r w:rsidRPr="002D636E">
        <w:rPr>
          <w:rFonts w:cs="Times New Roman"/>
          <w:color w:val="000000"/>
          <w:sz w:val="16"/>
          <w:szCs w:val="16"/>
          <w:shd w:val="clear" w:color="auto" w:fill="FFFFFF"/>
        </w:rPr>
        <w:t>diriger le patient vers des soins spécialisés, s'il y a lieu.</w:t>
      </w:r>
    </w:p>
    <w:p w:rsidR="004F60F4" w:rsidRPr="004F60F4" w:rsidRDefault="004F60F4" w:rsidP="004F60F4">
      <w:pPr>
        <w:pStyle w:val="Sansinterligne"/>
        <w:rPr>
          <w:b/>
          <w:sz w:val="28"/>
          <w:szCs w:val="28"/>
        </w:rPr>
      </w:pPr>
      <w:r w:rsidRPr="004F60F4">
        <w:rPr>
          <w:b/>
          <w:sz w:val="28"/>
          <w:szCs w:val="28"/>
        </w:rPr>
        <w:t xml:space="preserve">Définitions </w:t>
      </w:r>
      <w:r w:rsidR="00335089">
        <w:rPr>
          <w:b/>
          <w:sz w:val="28"/>
          <w:szCs w:val="28"/>
        </w:rPr>
        <w:t>et approche</w:t>
      </w:r>
    </w:p>
    <w:p w:rsidR="004F60F4" w:rsidRDefault="004F60F4" w:rsidP="004F60F4">
      <w:pPr>
        <w:pStyle w:val="Sansinterligne"/>
        <w:rPr>
          <w:b/>
        </w:rPr>
      </w:pPr>
    </w:p>
    <w:p w:rsidR="00041F4E" w:rsidRPr="00D35F82" w:rsidRDefault="004F60F4" w:rsidP="004F60F4">
      <w:pPr>
        <w:pStyle w:val="Sansinterligne"/>
        <w:rPr>
          <w:highlight w:val="yellow"/>
        </w:rPr>
      </w:pPr>
      <w:r w:rsidRPr="00D35F82">
        <w:rPr>
          <w:b/>
          <w:highlight w:val="yellow"/>
        </w:rPr>
        <w:t>Psychose </w:t>
      </w:r>
      <w:r w:rsidRPr="00D35F82">
        <w:rPr>
          <w:highlight w:val="yellow"/>
        </w:rPr>
        <w:t xml:space="preserve">: Perturbation significative de la perception de la réalité (délire, hallucinations, désorganisation) </w:t>
      </w:r>
    </w:p>
    <w:p w:rsidR="004F60F4" w:rsidRPr="00D35F82" w:rsidRDefault="004F60F4" w:rsidP="004F60F4">
      <w:pPr>
        <w:pStyle w:val="Sansinterligne"/>
        <w:rPr>
          <w:highlight w:val="yellow"/>
        </w:rPr>
      </w:pPr>
      <w:r w:rsidRPr="00D35F82">
        <w:rPr>
          <w:b/>
          <w:highlight w:val="yellow"/>
        </w:rPr>
        <w:t>Délire</w:t>
      </w:r>
      <w:r w:rsidRPr="00D35F82">
        <w:rPr>
          <w:highlight w:val="yellow"/>
        </w:rPr>
        <w:t> : Croyance fausse et immuable</w:t>
      </w:r>
    </w:p>
    <w:p w:rsidR="004F60F4" w:rsidRDefault="004F60F4" w:rsidP="004F60F4">
      <w:pPr>
        <w:pStyle w:val="Sansinterligne"/>
      </w:pPr>
      <w:r w:rsidRPr="00D35F82">
        <w:rPr>
          <w:b/>
          <w:highlight w:val="yellow"/>
        </w:rPr>
        <w:t>Hallucination</w:t>
      </w:r>
      <w:r w:rsidRPr="00D35F82">
        <w:rPr>
          <w:highlight w:val="yellow"/>
        </w:rPr>
        <w:t> : Expérience perceptuelle sans réel stimuli externe</w:t>
      </w:r>
    </w:p>
    <w:p w:rsidR="004F60F4" w:rsidRDefault="004F60F4" w:rsidP="004F60F4">
      <w:pPr>
        <w:pStyle w:val="Sansinterligne"/>
      </w:pPr>
    </w:p>
    <w:p w:rsidR="00335089" w:rsidRDefault="00335089" w:rsidP="00335089">
      <w:pPr>
        <w:pStyle w:val="Sansinterligne"/>
        <w:jc w:val="both"/>
      </w:pPr>
      <w:r>
        <w:t>L’évaluation d’un trouble psychotique peut s’avérer en raison de l’état mental du patient qui peut être agité, agressif, franchement désorganisé ou simplement non collaborateur. Il est donc essentiel d’adopter une approche de non-jugement, de tenter de comprendre la problématique qui affecte le patient. Les proches peuvent s’avérer d’une grande aide dans la collecte d’informations menant au diagnostic.</w:t>
      </w:r>
    </w:p>
    <w:p w:rsidR="00335089" w:rsidRDefault="00335089" w:rsidP="004F60F4">
      <w:pPr>
        <w:pStyle w:val="Sansinterligne"/>
      </w:pPr>
    </w:p>
    <w:p w:rsidR="00D35F82" w:rsidRDefault="00D35F82" w:rsidP="004F60F4">
      <w:pPr>
        <w:pStyle w:val="Sansinterligne"/>
      </w:pPr>
    </w:p>
    <w:p w:rsidR="00D35F82" w:rsidRDefault="00D35F82" w:rsidP="004F60F4">
      <w:pPr>
        <w:pStyle w:val="Sansinterligne"/>
      </w:pPr>
      <w:r>
        <w:rPr>
          <w:noProof/>
          <w:lang w:eastAsia="fr-CA"/>
        </w:rPr>
        <w:drawing>
          <wp:anchor distT="0" distB="0" distL="114300" distR="114300" simplePos="0" relativeHeight="251868160" behindDoc="0" locked="0" layoutInCell="1" allowOverlap="1" wp14:anchorId="189E4A39" wp14:editId="0B922A27">
            <wp:simplePos x="0" y="0"/>
            <wp:positionH relativeFrom="column">
              <wp:posOffset>3111500</wp:posOffset>
            </wp:positionH>
            <wp:positionV relativeFrom="paragraph">
              <wp:posOffset>124460</wp:posOffset>
            </wp:positionV>
            <wp:extent cx="3783965" cy="2275840"/>
            <wp:effectExtent l="0" t="0" r="6985" b="0"/>
            <wp:wrapNone/>
            <wp:docPr id="379" name="Image 379" descr="Résultats de recherche d'images pour « psychose maladi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ésultats de recherche d'images pour « psychose maladie »"/>
                    <pic:cNvPicPr>
                      <a:picLocks noChangeAspect="1" noChangeArrowheads="1"/>
                    </pic:cNvPicPr>
                  </pic:nvPicPr>
                  <pic:blipFill rotWithShape="1">
                    <a:blip r:embed="rId320">
                      <a:extLst>
                        <a:ext uri="{28A0092B-C50C-407E-A947-70E740481C1C}">
                          <a14:useLocalDpi xmlns:a14="http://schemas.microsoft.com/office/drawing/2010/main" val="0"/>
                        </a:ext>
                      </a:extLst>
                    </a:blip>
                    <a:srcRect r="17049"/>
                    <a:stretch/>
                  </pic:blipFill>
                  <pic:spPr bwMode="auto">
                    <a:xfrm>
                      <a:off x="0" y="0"/>
                      <a:ext cx="3783965" cy="22758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335089" w:rsidRDefault="00335089" w:rsidP="004F60F4">
      <w:pPr>
        <w:pStyle w:val="Sansinterligne"/>
      </w:pPr>
      <w:r w:rsidRPr="00335089">
        <w:rPr>
          <w:u w:val="single"/>
        </w:rPr>
        <w:t>Il faut porter attention</w:t>
      </w:r>
      <w:r>
        <w:t> :</w:t>
      </w:r>
    </w:p>
    <w:p w:rsidR="00335089" w:rsidRDefault="00335089" w:rsidP="00335089">
      <w:pPr>
        <w:pStyle w:val="Sansinterligne"/>
        <w:numPr>
          <w:ilvl w:val="0"/>
          <w:numId w:val="745"/>
        </w:numPr>
      </w:pPr>
      <w:r>
        <w:t>Aux ATCD médicaux et psychiatriques</w:t>
      </w:r>
    </w:p>
    <w:p w:rsidR="00335089" w:rsidRDefault="00335089" w:rsidP="00335089">
      <w:pPr>
        <w:pStyle w:val="Sansinterligne"/>
        <w:numPr>
          <w:ilvl w:val="0"/>
          <w:numId w:val="745"/>
        </w:numPr>
      </w:pPr>
      <w:r>
        <w:t>Aux ATCD familiaux de santé mentale</w:t>
      </w:r>
    </w:p>
    <w:p w:rsidR="00335089" w:rsidRDefault="00335089" w:rsidP="00335089">
      <w:pPr>
        <w:pStyle w:val="Sansinterligne"/>
        <w:numPr>
          <w:ilvl w:val="0"/>
          <w:numId w:val="745"/>
        </w:numPr>
      </w:pPr>
      <w:r>
        <w:t>À une histoire de consommation de drogues</w:t>
      </w:r>
    </w:p>
    <w:p w:rsidR="00335089" w:rsidRDefault="00335089" w:rsidP="00335089">
      <w:pPr>
        <w:pStyle w:val="Sansinterligne"/>
        <w:numPr>
          <w:ilvl w:val="0"/>
          <w:numId w:val="745"/>
        </w:numPr>
      </w:pPr>
      <w:r>
        <w:t>La prise de médication</w:t>
      </w:r>
    </w:p>
    <w:p w:rsidR="00335089" w:rsidRDefault="00335089" w:rsidP="00335089">
      <w:pPr>
        <w:pStyle w:val="Sansinterligne"/>
        <w:numPr>
          <w:ilvl w:val="0"/>
          <w:numId w:val="745"/>
        </w:numPr>
      </w:pPr>
      <w:r>
        <w:t>La présence de symptômes physiques associés</w:t>
      </w:r>
    </w:p>
    <w:p w:rsidR="00335089" w:rsidRDefault="00335089" w:rsidP="00335089">
      <w:pPr>
        <w:pStyle w:val="Sansinterligne"/>
        <w:numPr>
          <w:ilvl w:val="0"/>
          <w:numId w:val="745"/>
        </w:numPr>
      </w:pPr>
      <w:r>
        <w:t>À l’hygiène du patient</w:t>
      </w:r>
    </w:p>
    <w:p w:rsidR="00335089" w:rsidRDefault="00335089" w:rsidP="00335089">
      <w:pPr>
        <w:pStyle w:val="Sansinterligne"/>
        <w:numPr>
          <w:ilvl w:val="0"/>
          <w:numId w:val="745"/>
        </w:numPr>
      </w:pPr>
      <w:r>
        <w:t>Sa capacité de subvenir à ses besoins</w:t>
      </w:r>
    </w:p>
    <w:p w:rsidR="00335089" w:rsidRDefault="00335089" w:rsidP="004F60F4">
      <w:pPr>
        <w:pStyle w:val="Sansinterligne"/>
      </w:pPr>
    </w:p>
    <w:p w:rsidR="00335089" w:rsidRDefault="00335089" w:rsidP="004F60F4">
      <w:pPr>
        <w:pStyle w:val="Sansinterligne"/>
      </w:pPr>
    </w:p>
    <w:p w:rsidR="00D35F82" w:rsidRDefault="00D35F82" w:rsidP="004F60F4">
      <w:pPr>
        <w:pStyle w:val="Sansinterligne"/>
        <w:rPr>
          <w:b/>
          <w:sz w:val="28"/>
          <w:szCs w:val="28"/>
        </w:rPr>
      </w:pPr>
    </w:p>
    <w:p w:rsidR="00D35F82" w:rsidRDefault="00D35F82" w:rsidP="004F60F4">
      <w:pPr>
        <w:pStyle w:val="Sansinterligne"/>
        <w:rPr>
          <w:b/>
          <w:sz w:val="28"/>
          <w:szCs w:val="28"/>
        </w:rPr>
      </w:pPr>
    </w:p>
    <w:p w:rsidR="00D35F82" w:rsidRDefault="00D35F82" w:rsidP="004F60F4">
      <w:pPr>
        <w:pStyle w:val="Sansinterligne"/>
        <w:rPr>
          <w:b/>
          <w:sz w:val="28"/>
          <w:szCs w:val="28"/>
        </w:rPr>
      </w:pPr>
    </w:p>
    <w:p w:rsidR="00D35F82" w:rsidRDefault="00D35F82" w:rsidP="004F60F4">
      <w:pPr>
        <w:pStyle w:val="Sansinterligne"/>
        <w:rPr>
          <w:b/>
          <w:sz w:val="28"/>
          <w:szCs w:val="28"/>
        </w:rPr>
      </w:pPr>
    </w:p>
    <w:p w:rsidR="004F60F4" w:rsidRDefault="00F8245C" w:rsidP="004F60F4">
      <w:pPr>
        <w:pStyle w:val="Sansinterligne"/>
        <w:rPr>
          <w:b/>
          <w:sz w:val="28"/>
          <w:szCs w:val="28"/>
        </w:rPr>
      </w:pPr>
      <w:r w:rsidRPr="00F8245C">
        <w:rPr>
          <w:b/>
          <w:sz w:val="28"/>
          <w:szCs w:val="28"/>
        </w:rPr>
        <w:t>Diagnostic(s)</w:t>
      </w:r>
      <w:r>
        <w:rPr>
          <w:b/>
          <w:sz w:val="28"/>
          <w:szCs w:val="28"/>
        </w:rPr>
        <w:t xml:space="preserve"> </w:t>
      </w:r>
      <w:r w:rsidRPr="00F8245C">
        <w:rPr>
          <w:b/>
          <w:sz w:val="28"/>
          <w:szCs w:val="28"/>
        </w:rPr>
        <w:t>- Critères du DSM-V / Manifestations cliniques</w:t>
      </w:r>
    </w:p>
    <w:p w:rsidR="00335089" w:rsidRDefault="00335089" w:rsidP="004F60F4">
      <w:pPr>
        <w:pStyle w:val="Sansinterligne"/>
        <w:rPr>
          <w:b/>
          <w:sz w:val="28"/>
          <w:szCs w:val="28"/>
        </w:rPr>
      </w:pPr>
    </w:p>
    <w:tbl>
      <w:tblPr>
        <w:tblStyle w:val="Grilledutableau"/>
        <w:tblW w:w="0" w:type="auto"/>
        <w:tblLook w:val="04A0" w:firstRow="1" w:lastRow="0" w:firstColumn="1" w:lastColumn="0" w:noHBand="0" w:noVBand="1"/>
      </w:tblPr>
      <w:tblGrid>
        <w:gridCol w:w="5470"/>
        <w:gridCol w:w="5470"/>
      </w:tblGrid>
      <w:tr w:rsidR="00D35F82" w:rsidTr="002479F6">
        <w:tc>
          <w:tcPr>
            <w:tcW w:w="10940" w:type="dxa"/>
            <w:gridSpan w:val="2"/>
            <w:shd w:val="clear" w:color="auto" w:fill="9BBB59" w:themeFill="accent3"/>
          </w:tcPr>
          <w:p w:rsidR="00D35F82" w:rsidRPr="00D35F82" w:rsidRDefault="00D35F82" w:rsidP="00D35F82">
            <w:pPr>
              <w:pStyle w:val="Sansinterligne"/>
              <w:jc w:val="center"/>
              <w:rPr>
                <w:b/>
                <w:i/>
              </w:rPr>
            </w:pPr>
            <w:r w:rsidRPr="00D35F82">
              <w:rPr>
                <w:i/>
              </w:rPr>
              <w:t>Examen mental d’un patient psychotique (grande variabilité – ci-joint, quelques trouvailles possibles)</w:t>
            </w:r>
          </w:p>
        </w:tc>
      </w:tr>
      <w:tr w:rsidR="00D35F82" w:rsidTr="00D35F82">
        <w:trPr>
          <w:trHeight w:val="4836"/>
        </w:trPr>
        <w:tc>
          <w:tcPr>
            <w:tcW w:w="5470" w:type="dxa"/>
            <w:shd w:val="clear" w:color="auto" w:fill="FFFF00"/>
          </w:tcPr>
          <w:p w:rsidR="00D35F82" w:rsidRPr="00AA1FDC" w:rsidRDefault="00D35F82" w:rsidP="004F60F4">
            <w:pPr>
              <w:pStyle w:val="Sansinterligne"/>
              <w:rPr>
                <w:b/>
              </w:rPr>
            </w:pPr>
            <w:r w:rsidRPr="00AA1FDC">
              <w:rPr>
                <w:b/>
              </w:rPr>
              <w:t>Apparence générale</w:t>
            </w:r>
          </w:p>
          <w:p w:rsidR="00D35F82" w:rsidRDefault="00D35F82" w:rsidP="004F60F4">
            <w:pPr>
              <w:pStyle w:val="Sansinterligne"/>
            </w:pPr>
            <w:r w:rsidRPr="00D35F82">
              <w:rPr>
                <w:u w:val="single"/>
              </w:rPr>
              <w:t>Hygiène limitée</w:t>
            </w:r>
            <w:r>
              <w:t>, vêtements non congruents avec la température</w:t>
            </w:r>
          </w:p>
          <w:p w:rsidR="00D35F82" w:rsidRPr="00D35F82" w:rsidRDefault="00D35F82" w:rsidP="004F60F4">
            <w:pPr>
              <w:pStyle w:val="Sansinterligne"/>
              <w:rPr>
                <w:u w:val="single"/>
              </w:rPr>
            </w:pPr>
            <w:r w:rsidRPr="00D35F82">
              <w:rPr>
                <w:u w:val="single"/>
              </w:rPr>
              <w:t xml:space="preserve">Agité, échevelé </w:t>
            </w:r>
            <w:r w:rsidRPr="00D35F82">
              <w:rPr>
                <w:rFonts w:ascii="Century Gothic" w:hAnsi="Century Gothic"/>
                <w:u w:val="single"/>
              </w:rPr>
              <w:t>→</w:t>
            </w:r>
            <w:r w:rsidRPr="00D35F82">
              <w:rPr>
                <w:u w:val="single"/>
              </w:rPr>
              <w:t xml:space="preserve"> silencieux, immobile</w:t>
            </w:r>
          </w:p>
          <w:p w:rsidR="00D35F82" w:rsidRPr="00D35F82" w:rsidRDefault="00D35F82" w:rsidP="004F60F4">
            <w:pPr>
              <w:pStyle w:val="Sansinterligne"/>
              <w:rPr>
                <w:u w:val="single"/>
              </w:rPr>
            </w:pPr>
            <w:r w:rsidRPr="00D35F82">
              <w:rPr>
                <w:u w:val="single"/>
              </w:rPr>
              <w:t>Maniérisme</w:t>
            </w:r>
          </w:p>
          <w:p w:rsidR="00D35F82" w:rsidRDefault="00D35F82" w:rsidP="004F60F4">
            <w:pPr>
              <w:pStyle w:val="Sansinterligne"/>
            </w:pPr>
            <w:r>
              <w:t>Postures bizzares</w:t>
            </w:r>
          </w:p>
          <w:p w:rsidR="00D35F82" w:rsidRDefault="00D35F82" w:rsidP="004F60F4">
            <w:pPr>
              <w:pStyle w:val="Sansinterligne"/>
            </w:pPr>
            <w:r>
              <w:t>Flexibilité cireuse</w:t>
            </w:r>
          </w:p>
          <w:p w:rsidR="00D35F82" w:rsidRDefault="00D35F82" w:rsidP="004F60F4">
            <w:pPr>
              <w:pStyle w:val="Sansinterligne"/>
            </w:pPr>
            <w:r>
              <w:t>Échopraxie</w:t>
            </w:r>
          </w:p>
          <w:p w:rsidR="00D35F82" w:rsidRDefault="00D35F82" w:rsidP="004F60F4">
            <w:pPr>
              <w:pStyle w:val="Sansinterligne"/>
              <w:rPr>
                <w:b/>
              </w:rPr>
            </w:pPr>
          </w:p>
          <w:p w:rsidR="00D35F82" w:rsidRPr="00AA1FDC" w:rsidRDefault="00D35F82" w:rsidP="004F60F4">
            <w:pPr>
              <w:pStyle w:val="Sansinterligne"/>
              <w:rPr>
                <w:b/>
              </w:rPr>
            </w:pPr>
            <w:r w:rsidRPr="00AA1FDC">
              <w:rPr>
                <w:b/>
              </w:rPr>
              <w:t>Humeur et affect</w:t>
            </w:r>
          </w:p>
          <w:p w:rsidR="00D35F82" w:rsidRDefault="00D35F82" w:rsidP="004F60F4">
            <w:pPr>
              <w:pStyle w:val="Sansinterligne"/>
            </w:pPr>
            <w:r>
              <w:t>Humeur neutre /anhédonie</w:t>
            </w:r>
          </w:p>
          <w:p w:rsidR="00D35F82" w:rsidRPr="00D35F82" w:rsidRDefault="00D35F82" w:rsidP="004F60F4">
            <w:pPr>
              <w:pStyle w:val="Sansinterligne"/>
              <w:rPr>
                <w:u w:val="single"/>
              </w:rPr>
            </w:pPr>
            <w:r w:rsidRPr="00D35F82">
              <w:rPr>
                <w:u w:val="single"/>
              </w:rPr>
              <w:t>Affect restreint, difficilement mobilisable</w:t>
            </w:r>
          </w:p>
          <w:p w:rsidR="00D35F82" w:rsidRDefault="00D35F82" w:rsidP="004F60F4">
            <w:pPr>
              <w:pStyle w:val="Sansinterligne"/>
            </w:pPr>
          </w:p>
          <w:p w:rsidR="00D35F82" w:rsidRPr="00AA1FDC" w:rsidRDefault="00D35F82" w:rsidP="00D35F82">
            <w:pPr>
              <w:pStyle w:val="Sansinterligne"/>
              <w:rPr>
                <w:b/>
              </w:rPr>
            </w:pPr>
            <w:r>
              <w:rPr>
                <w:b/>
              </w:rPr>
              <w:t>Contenu du d</w:t>
            </w:r>
            <w:r w:rsidRPr="00AA1FDC">
              <w:rPr>
                <w:b/>
              </w:rPr>
              <w:t>iscours et pensée</w:t>
            </w:r>
          </w:p>
          <w:p w:rsidR="00D35F82" w:rsidRPr="00D35F82" w:rsidRDefault="00D35F82" w:rsidP="00D35F82">
            <w:pPr>
              <w:pStyle w:val="Sansinterligne"/>
              <w:rPr>
                <w:u w:val="single"/>
              </w:rPr>
            </w:pPr>
            <w:r w:rsidRPr="00D35F82">
              <w:rPr>
                <w:u w:val="single"/>
              </w:rPr>
              <w:t>Délire religieux, somatique, persécution ou grandiose</w:t>
            </w:r>
          </w:p>
          <w:p w:rsidR="00D35F82" w:rsidRDefault="00D35F82" w:rsidP="00D35F82">
            <w:pPr>
              <w:pStyle w:val="Sansinterligne"/>
            </w:pPr>
            <w:r w:rsidRPr="00D35F82">
              <w:rPr>
                <w:u w:val="single"/>
              </w:rPr>
              <w:t>Idées de référence, symbolisme, interprétation</w:t>
            </w:r>
          </w:p>
          <w:p w:rsidR="00D35F82" w:rsidRDefault="00D35F82" w:rsidP="00D35F82">
            <w:pPr>
              <w:pStyle w:val="Sansinterligne"/>
            </w:pPr>
            <w:r>
              <w:t>Identique cosmique, perte des frontières du soi</w:t>
            </w:r>
          </w:p>
          <w:p w:rsidR="00D35F82" w:rsidRPr="00D35F82" w:rsidRDefault="00D35F82" w:rsidP="00D35F82">
            <w:pPr>
              <w:pStyle w:val="Sansinterligne"/>
              <w:rPr>
                <w:u w:val="single"/>
              </w:rPr>
            </w:pPr>
            <w:r w:rsidRPr="00D35F82">
              <w:rPr>
                <w:u w:val="single"/>
              </w:rPr>
              <w:t>Vol de la pensée</w:t>
            </w:r>
          </w:p>
          <w:p w:rsidR="00D35F82" w:rsidRDefault="00D35F82" w:rsidP="00D35F82">
            <w:pPr>
              <w:pStyle w:val="Sansinterligne"/>
            </w:pPr>
            <w:r>
              <w:t>Pouvoirs magiques</w:t>
            </w:r>
          </w:p>
        </w:tc>
        <w:tc>
          <w:tcPr>
            <w:tcW w:w="5470" w:type="dxa"/>
            <w:shd w:val="clear" w:color="auto" w:fill="FFFF00"/>
          </w:tcPr>
          <w:p w:rsidR="00D35F82" w:rsidRPr="00AA1FDC" w:rsidRDefault="00D35F82" w:rsidP="004F60F4">
            <w:pPr>
              <w:pStyle w:val="Sansinterligne"/>
              <w:rPr>
                <w:b/>
              </w:rPr>
            </w:pPr>
            <w:r w:rsidRPr="00AA1FDC">
              <w:rPr>
                <w:b/>
              </w:rPr>
              <w:t xml:space="preserve">Forme </w:t>
            </w:r>
            <w:r>
              <w:rPr>
                <w:b/>
              </w:rPr>
              <w:t xml:space="preserve">et processus </w:t>
            </w:r>
            <w:r w:rsidRPr="00AA1FDC">
              <w:rPr>
                <w:b/>
              </w:rPr>
              <w:t xml:space="preserve">du discours </w:t>
            </w:r>
          </w:p>
          <w:p w:rsidR="00D35F82" w:rsidRPr="00D35F82" w:rsidRDefault="00D35F82" w:rsidP="004F60F4">
            <w:pPr>
              <w:pStyle w:val="Sansinterligne"/>
              <w:rPr>
                <w:u w:val="single"/>
              </w:rPr>
            </w:pPr>
            <w:r w:rsidRPr="00D35F82">
              <w:rPr>
                <w:u w:val="single"/>
              </w:rPr>
              <w:t>Relâchement associatif</w:t>
            </w:r>
          </w:p>
          <w:p w:rsidR="00D35F82" w:rsidRDefault="00D35F82" w:rsidP="004F60F4">
            <w:pPr>
              <w:pStyle w:val="Sansinterligne"/>
            </w:pPr>
            <w:r>
              <w:t>Salade de mots, néologismes</w:t>
            </w:r>
          </w:p>
          <w:p w:rsidR="00D35F82" w:rsidRDefault="00D35F82" w:rsidP="004F60F4">
            <w:pPr>
              <w:pStyle w:val="Sansinterligne"/>
            </w:pPr>
            <w:r>
              <w:t>Écholalie</w:t>
            </w:r>
          </w:p>
          <w:p w:rsidR="00D35F82" w:rsidRPr="00D35F82" w:rsidRDefault="00D35F82" w:rsidP="004F60F4">
            <w:pPr>
              <w:pStyle w:val="Sansinterligne"/>
              <w:rPr>
                <w:u w:val="single"/>
              </w:rPr>
            </w:pPr>
            <w:r w:rsidRPr="00D35F82">
              <w:rPr>
                <w:u w:val="single"/>
              </w:rPr>
              <w:t>Mutisme</w:t>
            </w:r>
          </w:p>
          <w:p w:rsidR="00D35F82" w:rsidRDefault="00D35F82" w:rsidP="004F60F4">
            <w:pPr>
              <w:pStyle w:val="Sansinterligne"/>
            </w:pPr>
            <w:r>
              <w:t>Fuite des idées, blocage,  persévérance, etc.</w:t>
            </w:r>
          </w:p>
          <w:p w:rsidR="00D35F82" w:rsidRDefault="00D35F82" w:rsidP="004F60F4">
            <w:pPr>
              <w:pStyle w:val="Sansinterligne"/>
            </w:pPr>
          </w:p>
          <w:p w:rsidR="00D35F82" w:rsidRPr="00AA1FDC" w:rsidRDefault="00D35F82" w:rsidP="00D35F82">
            <w:pPr>
              <w:pStyle w:val="Sansinterligne"/>
              <w:rPr>
                <w:b/>
              </w:rPr>
            </w:pPr>
            <w:r w:rsidRPr="00AA1FDC">
              <w:rPr>
                <w:b/>
              </w:rPr>
              <w:t>Perceptions</w:t>
            </w:r>
          </w:p>
          <w:p w:rsidR="00D35F82" w:rsidRDefault="00D35F82" w:rsidP="00D35F82">
            <w:pPr>
              <w:pStyle w:val="Sansinterligne"/>
            </w:pPr>
            <w:r w:rsidRPr="00D35F82">
              <w:rPr>
                <w:u w:val="single"/>
              </w:rPr>
              <w:t>Hallucinations auditives et visuelles</w:t>
            </w:r>
            <w:r>
              <w:t xml:space="preserve"> surtout</w:t>
            </w:r>
          </w:p>
          <w:p w:rsidR="00D35F82" w:rsidRDefault="00D35F82" w:rsidP="00D35F82">
            <w:pPr>
              <w:pStyle w:val="Sansinterligne"/>
            </w:pPr>
            <w:r>
              <w:t>Illusions</w:t>
            </w:r>
          </w:p>
          <w:p w:rsidR="00D35F82" w:rsidRDefault="00D35F82" w:rsidP="004F60F4">
            <w:pPr>
              <w:pStyle w:val="Sansinterligne"/>
            </w:pPr>
          </w:p>
          <w:p w:rsidR="00D35F82" w:rsidRPr="00D35F82" w:rsidRDefault="00D35F82" w:rsidP="004F60F4">
            <w:pPr>
              <w:pStyle w:val="Sansinterligne"/>
              <w:rPr>
                <w:b/>
              </w:rPr>
            </w:pPr>
            <w:r w:rsidRPr="00D35F82">
              <w:rPr>
                <w:b/>
              </w:rPr>
              <w:t>Fonctions cognitives</w:t>
            </w:r>
          </w:p>
          <w:p w:rsidR="00D35F82" w:rsidRPr="00D35F82" w:rsidRDefault="00D35F82" w:rsidP="004F60F4">
            <w:pPr>
              <w:pStyle w:val="Sansinterligne"/>
              <w:rPr>
                <w:u w:val="single"/>
              </w:rPr>
            </w:pPr>
            <w:r w:rsidRPr="00D35F82">
              <w:rPr>
                <w:u w:val="single"/>
              </w:rPr>
              <w:t>Orientés x 3</w:t>
            </w:r>
          </w:p>
          <w:p w:rsidR="00D35F82" w:rsidRDefault="00D35F82" w:rsidP="004F60F4">
            <w:pPr>
              <w:pStyle w:val="Sansinterligne"/>
            </w:pPr>
            <w:r>
              <w:t>Déficits subtils au niveau exécutif, mémoire épisodique etc.</w:t>
            </w:r>
          </w:p>
          <w:p w:rsidR="00D35F82" w:rsidRDefault="00D35F82" w:rsidP="004F60F4">
            <w:pPr>
              <w:pStyle w:val="Sansinterligne"/>
            </w:pPr>
          </w:p>
          <w:p w:rsidR="00D35F82" w:rsidRPr="00D35F82" w:rsidRDefault="00D35F82" w:rsidP="004F60F4">
            <w:pPr>
              <w:pStyle w:val="Sansinterligne"/>
              <w:rPr>
                <w:b/>
              </w:rPr>
            </w:pPr>
            <w:r w:rsidRPr="00D35F82">
              <w:rPr>
                <w:b/>
              </w:rPr>
              <w:t>Jugement et introspection faible</w:t>
            </w:r>
          </w:p>
          <w:p w:rsidR="00D35F82" w:rsidRPr="00335089" w:rsidRDefault="00D35F82" w:rsidP="004F60F4">
            <w:pPr>
              <w:pStyle w:val="Sansinterligne"/>
            </w:pPr>
          </w:p>
        </w:tc>
      </w:tr>
    </w:tbl>
    <w:p w:rsidR="00335089" w:rsidRDefault="00335089" w:rsidP="004F60F4">
      <w:pPr>
        <w:pStyle w:val="Sansinterligne"/>
        <w:rPr>
          <w:b/>
          <w:sz w:val="28"/>
          <w:szCs w:val="28"/>
        </w:rPr>
      </w:pPr>
    </w:p>
    <w:tbl>
      <w:tblPr>
        <w:tblStyle w:val="Grilledutableau"/>
        <w:tblpPr w:leftFromText="141" w:rightFromText="141" w:vertAnchor="text" w:horzAnchor="margin" w:tblpY="-81"/>
        <w:tblOverlap w:val="never"/>
        <w:tblW w:w="109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46"/>
        <w:gridCol w:w="3647"/>
        <w:gridCol w:w="3647"/>
      </w:tblGrid>
      <w:tr w:rsidR="001D6549" w:rsidTr="001D6549">
        <w:trPr>
          <w:trHeight w:val="77"/>
        </w:trPr>
        <w:tc>
          <w:tcPr>
            <w:tcW w:w="3646" w:type="dxa"/>
            <w:tcBorders>
              <w:bottom w:val="single" w:sz="4" w:space="0" w:color="auto"/>
            </w:tcBorders>
          </w:tcPr>
          <w:p w:rsidR="001D6549" w:rsidRPr="001D6549" w:rsidRDefault="001D6549" w:rsidP="001D6549">
            <w:pPr>
              <w:pStyle w:val="Sansinterligne"/>
              <w:jc w:val="center"/>
              <w:rPr>
                <w:b/>
              </w:rPr>
            </w:pPr>
            <w:r>
              <w:rPr>
                <w:b/>
              </w:rPr>
              <w:t>Trouble psychotique bref</w:t>
            </w:r>
          </w:p>
        </w:tc>
        <w:tc>
          <w:tcPr>
            <w:tcW w:w="3647" w:type="dxa"/>
            <w:tcBorders>
              <w:bottom w:val="single" w:sz="4" w:space="0" w:color="auto"/>
            </w:tcBorders>
          </w:tcPr>
          <w:p w:rsidR="001D6549" w:rsidRPr="001D6549" w:rsidRDefault="001D6549" w:rsidP="001D6549">
            <w:pPr>
              <w:pStyle w:val="Sansinterligne"/>
              <w:jc w:val="center"/>
              <w:rPr>
                <w:b/>
              </w:rPr>
            </w:pPr>
            <w:r>
              <w:rPr>
                <w:b/>
              </w:rPr>
              <w:t>Trouble schizophréniforme</w:t>
            </w:r>
          </w:p>
        </w:tc>
        <w:tc>
          <w:tcPr>
            <w:tcW w:w="3647" w:type="dxa"/>
            <w:tcBorders>
              <w:bottom w:val="single" w:sz="4" w:space="0" w:color="auto"/>
            </w:tcBorders>
          </w:tcPr>
          <w:p w:rsidR="001D6549" w:rsidRPr="001D6549" w:rsidRDefault="001D6549" w:rsidP="001D6549">
            <w:pPr>
              <w:pStyle w:val="Sansinterligne"/>
              <w:jc w:val="center"/>
              <w:rPr>
                <w:b/>
              </w:rPr>
            </w:pPr>
            <w:r>
              <w:rPr>
                <w:b/>
              </w:rPr>
              <w:t>Schizophrénie</w:t>
            </w:r>
          </w:p>
        </w:tc>
      </w:tr>
      <w:tr w:rsidR="001D6549" w:rsidTr="001D6549">
        <w:tc>
          <w:tcPr>
            <w:tcW w:w="3646" w:type="dxa"/>
            <w:tcBorders>
              <w:top w:val="single" w:sz="4" w:space="0" w:color="auto"/>
            </w:tcBorders>
          </w:tcPr>
          <w:p w:rsidR="001D6549" w:rsidRPr="001D6549" w:rsidRDefault="001D6549" w:rsidP="001D6549">
            <w:pPr>
              <w:pStyle w:val="Sansinterligne"/>
              <w:jc w:val="center"/>
              <w:rPr>
                <w:b/>
              </w:rPr>
            </w:pPr>
            <w:r>
              <w:rPr>
                <w:rFonts w:ascii="Century Gothic" w:hAnsi="Century Gothic"/>
                <w:b/>
                <w:noProof/>
                <w:lang w:eastAsia="fr-CA"/>
              </w:rPr>
              <mc:AlternateContent>
                <mc:Choice Requires="wps">
                  <w:drawing>
                    <wp:anchor distT="0" distB="0" distL="114300" distR="114300" simplePos="0" relativeHeight="251869184" behindDoc="0" locked="0" layoutInCell="1" allowOverlap="1" wp14:anchorId="63C4B88C" wp14:editId="0CE8D144">
                      <wp:simplePos x="0" y="0"/>
                      <wp:positionH relativeFrom="column">
                        <wp:posOffset>-77822</wp:posOffset>
                      </wp:positionH>
                      <wp:positionV relativeFrom="paragraph">
                        <wp:posOffset>-3337</wp:posOffset>
                      </wp:positionV>
                      <wp:extent cx="6994187" cy="0"/>
                      <wp:effectExtent l="0" t="76200" r="16510" b="114300"/>
                      <wp:wrapNone/>
                      <wp:docPr id="380" name="Connecteur droit avec flèche 380"/>
                      <wp:cNvGraphicFramePr/>
                      <a:graphic xmlns:a="http://schemas.openxmlformats.org/drawingml/2006/main">
                        <a:graphicData uri="http://schemas.microsoft.com/office/word/2010/wordprocessingShape">
                          <wps:wsp>
                            <wps:cNvCnPr/>
                            <wps:spPr>
                              <a:xfrm>
                                <a:off x="0" y="0"/>
                                <a:ext cx="6994187"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id="_x0000_t32" coordsize="21600,21600" o:spt="32" o:oned="t" path="m,l21600,21600e" filled="f">
                      <v:path arrowok="t" fillok="f" o:connecttype="none"/>
                      <o:lock v:ext="edit" shapetype="t"/>
                    </v:shapetype>
                    <v:shape id="Connecteur droit avec flèche 380" o:spid="_x0000_s1026" type="#_x0000_t32" style="position:absolute;margin-left:-6.15pt;margin-top:-.25pt;width:550.7pt;height:0;z-index:2518691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" strokecolor="#4579b8 [3044]">
                      <v:stroke endarrow="open"/>
                    </v:shape>
                  </w:pict>
                </mc:Fallback>
              </mc:AlternateContent>
            </w:r>
            <w:r>
              <w:rPr>
                <w:rFonts w:ascii="Century Gothic" w:hAnsi="Century Gothic"/>
                <w:b/>
              </w:rPr>
              <w:t>&lt;</w:t>
            </w:r>
            <w:r>
              <w:rPr>
                <w:b/>
              </w:rPr>
              <w:t xml:space="preserve"> 1 mois</w:t>
            </w:r>
          </w:p>
        </w:tc>
        <w:tc>
          <w:tcPr>
            <w:tcW w:w="3647" w:type="dxa"/>
            <w:tcBorders>
              <w:top w:val="single" w:sz="4" w:space="0" w:color="auto"/>
            </w:tcBorders>
          </w:tcPr>
          <w:p w:rsidR="001D6549" w:rsidRPr="001D6549" w:rsidRDefault="001D6549" w:rsidP="001D6549">
            <w:pPr>
              <w:pStyle w:val="Sansinterligne"/>
              <w:jc w:val="center"/>
              <w:rPr>
                <w:b/>
              </w:rPr>
            </w:pPr>
            <w:r>
              <w:rPr>
                <w:b/>
              </w:rPr>
              <w:t>1-6 mois</w:t>
            </w:r>
          </w:p>
        </w:tc>
        <w:tc>
          <w:tcPr>
            <w:tcW w:w="3647" w:type="dxa"/>
            <w:tcBorders>
              <w:top w:val="single" w:sz="4" w:space="0" w:color="auto"/>
            </w:tcBorders>
          </w:tcPr>
          <w:p w:rsidR="001D6549" w:rsidRPr="001D6549" w:rsidRDefault="001D6549" w:rsidP="001D6549">
            <w:pPr>
              <w:pStyle w:val="Sansinterligne"/>
              <w:jc w:val="center"/>
              <w:rPr>
                <w:b/>
              </w:rPr>
            </w:pPr>
            <w:r>
              <w:rPr>
                <w:rFonts w:ascii="Century Gothic" w:hAnsi="Century Gothic"/>
                <w:b/>
              </w:rPr>
              <w:t>&gt;</w:t>
            </w:r>
            <w:r>
              <w:rPr>
                <w:b/>
              </w:rPr>
              <w:t xml:space="preserve"> 6 mois</w:t>
            </w:r>
          </w:p>
        </w:tc>
      </w:tr>
    </w:tbl>
    <w:tbl>
      <w:tblPr>
        <w:tblStyle w:val="Grilledutableau"/>
        <w:tblW w:w="0" w:type="auto"/>
        <w:tblLook w:val="04A0" w:firstRow="1" w:lastRow="0" w:firstColumn="1" w:lastColumn="0" w:noHBand="0" w:noVBand="1"/>
      </w:tblPr>
      <w:tblGrid>
        <w:gridCol w:w="10940"/>
      </w:tblGrid>
      <w:tr w:rsidR="00F8245C" w:rsidTr="002479F6">
        <w:tc>
          <w:tcPr>
            <w:tcW w:w="10940" w:type="dxa"/>
            <w:shd w:val="clear" w:color="auto" w:fill="9BBB59" w:themeFill="accent3"/>
          </w:tcPr>
          <w:p w:rsidR="00F8245C" w:rsidRDefault="00F8245C" w:rsidP="00F8245C">
            <w:pPr>
              <w:pStyle w:val="Sansinterligne"/>
              <w:jc w:val="center"/>
            </w:pPr>
            <w:r>
              <w:t>Schizophrénie</w:t>
            </w:r>
          </w:p>
        </w:tc>
      </w:tr>
      <w:tr w:rsidR="00F8245C" w:rsidTr="00F8245C">
        <w:tc>
          <w:tcPr>
            <w:tcW w:w="10940" w:type="dxa"/>
          </w:tcPr>
          <w:p w:rsidR="00F8245C" w:rsidRPr="00881576" w:rsidRDefault="004A6F0C" w:rsidP="00807C47">
            <w:pPr>
              <w:pStyle w:val="Sansinterligne"/>
              <w:numPr>
                <w:ilvl w:val="0"/>
                <w:numId w:val="746"/>
              </w:numPr>
              <w:rPr>
                <w:highlight w:val="yellow"/>
              </w:rPr>
            </w:pPr>
            <w:r w:rsidRPr="00881576">
              <w:rPr>
                <w:highlight w:val="yellow"/>
              </w:rPr>
              <w:t>Deux ou plus des symptômes suivant :</w:t>
            </w:r>
          </w:p>
          <w:p w:rsidR="004A6F0C" w:rsidRPr="00881576" w:rsidRDefault="004A6F0C" w:rsidP="00282C27">
            <w:pPr>
              <w:pStyle w:val="Sansinterligne"/>
              <w:numPr>
                <w:ilvl w:val="1"/>
                <w:numId w:val="749"/>
              </w:numPr>
              <w:rPr>
                <w:highlight w:val="yellow"/>
              </w:rPr>
            </w:pPr>
            <w:r w:rsidRPr="00881576">
              <w:rPr>
                <w:highlight w:val="yellow"/>
              </w:rPr>
              <w:t>Idées délirantes</w:t>
            </w:r>
          </w:p>
          <w:p w:rsidR="004A6F0C" w:rsidRPr="00881576" w:rsidRDefault="004A6F0C" w:rsidP="00282C27">
            <w:pPr>
              <w:pStyle w:val="Sansinterligne"/>
              <w:numPr>
                <w:ilvl w:val="1"/>
                <w:numId w:val="749"/>
              </w:numPr>
              <w:rPr>
                <w:highlight w:val="yellow"/>
              </w:rPr>
            </w:pPr>
            <w:r w:rsidRPr="00881576">
              <w:rPr>
                <w:highlight w:val="yellow"/>
              </w:rPr>
              <w:t>Hallucinations</w:t>
            </w:r>
          </w:p>
          <w:p w:rsidR="004A6F0C" w:rsidRPr="00881576" w:rsidRDefault="004A6F0C" w:rsidP="00282C27">
            <w:pPr>
              <w:pStyle w:val="Sansinterligne"/>
              <w:numPr>
                <w:ilvl w:val="1"/>
                <w:numId w:val="749"/>
              </w:numPr>
              <w:rPr>
                <w:highlight w:val="yellow"/>
              </w:rPr>
            </w:pPr>
            <w:r w:rsidRPr="00881576">
              <w:rPr>
                <w:highlight w:val="yellow"/>
              </w:rPr>
              <w:t>Discours désorganisé</w:t>
            </w:r>
          </w:p>
          <w:p w:rsidR="004A6F0C" w:rsidRPr="00881576" w:rsidRDefault="004A6F0C" w:rsidP="00282C27">
            <w:pPr>
              <w:pStyle w:val="Sansinterligne"/>
              <w:numPr>
                <w:ilvl w:val="1"/>
                <w:numId w:val="749"/>
              </w:numPr>
              <w:rPr>
                <w:highlight w:val="yellow"/>
              </w:rPr>
            </w:pPr>
            <w:r w:rsidRPr="00881576">
              <w:rPr>
                <w:highlight w:val="yellow"/>
              </w:rPr>
              <w:t>Comportement grossièrement désorganisé ou catatonique</w:t>
            </w:r>
          </w:p>
          <w:p w:rsidR="004A6F0C" w:rsidRDefault="004A6F0C" w:rsidP="00282C27">
            <w:pPr>
              <w:pStyle w:val="Sansinterligne"/>
              <w:numPr>
                <w:ilvl w:val="1"/>
                <w:numId w:val="749"/>
              </w:numPr>
            </w:pPr>
            <w:r w:rsidRPr="00881576">
              <w:rPr>
                <w:highlight w:val="yellow"/>
              </w:rPr>
              <w:t>Symptômes négatifs</w:t>
            </w:r>
            <w:r w:rsidR="00807C47" w:rsidRPr="00881576">
              <w:rPr>
                <w:highlight w:val="yellow"/>
              </w:rPr>
              <w:t xml:space="preserve"> (aboulie, </w:t>
            </w:r>
            <w:r w:rsidR="00807C47" w:rsidRPr="00881576">
              <w:rPr>
                <w:rFonts w:cs="Times New Roman"/>
                <w:highlight w:val="yellow"/>
              </w:rPr>
              <w:t>↓</w:t>
            </w:r>
            <w:r w:rsidR="00807C47" w:rsidRPr="00881576">
              <w:rPr>
                <w:highlight w:val="yellow"/>
              </w:rPr>
              <w:t xml:space="preserve"> expression émotionnelle)</w:t>
            </w:r>
          </w:p>
          <w:p w:rsidR="004A6F0C" w:rsidRDefault="00807C47" w:rsidP="00807C47">
            <w:pPr>
              <w:pStyle w:val="Sansinterligne"/>
              <w:numPr>
                <w:ilvl w:val="0"/>
                <w:numId w:val="746"/>
              </w:numPr>
            </w:pPr>
            <w:r>
              <w:t>D</w:t>
            </w:r>
            <w:r w:rsidR="004A6F0C">
              <w:t>urant u</w:t>
            </w:r>
            <w:r>
              <w:t xml:space="preserve">ne période de temps importante depuis le début du trouble, </w:t>
            </w:r>
            <w:r w:rsidR="004A6F0C" w:rsidRPr="00881576">
              <w:rPr>
                <w:highlight w:val="yellow"/>
              </w:rPr>
              <w:t xml:space="preserve">le niveau de fonctionnement </w:t>
            </w:r>
            <w:r w:rsidRPr="00881576">
              <w:rPr>
                <w:highlight w:val="yellow"/>
              </w:rPr>
              <w:t xml:space="preserve">dans un domaine majeur </w:t>
            </w:r>
            <w:r w:rsidR="004A6F0C" w:rsidRPr="00881576">
              <w:rPr>
                <w:highlight w:val="yellow"/>
              </w:rPr>
              <w:t>est tombé sous le niveau atteint avant le début du trouble</w:t>
            </w:r>
            <w:r w:rsidR="004A6F0C">
              <w:t xml:space="preserve"> </w:t>
            </w:r>
            <w:r>
              <w:t>(</w:t>
            </w:r>
            <w:r w:rsidR="004A6F0C">
              <w:t>hygiène personnelle</w:t>
            </w:r>
            <w:r>
              <w:t>, travail, relations interpersonnelles).</w:t>
            </w:r>
          </w:p>
          <w:p w:rsidR="00807C47" w:rsidRDefault="00807C47" w:rsidP="00807C47">
            <w:pPr>
              <w:pStyle w:val="Sansinterligne"/>
              <w:numPr>
                <w:ilvl w:val="0"/>
                <w:numId w:val="746"/>
              </w:numPr>
            </w:pPr>
            <w:r>
              <w:t xml:space="preserve">Signes continus du trouble </w:t>
            </w:r>
            <w:r w:rsidRPr="00881576">
              <w:rPr>
                <w:highlight w:val="yellow"/>
              </w:rPr>
              <w:t>pendant au moins 6 mois</w:t>
            </w:r>
            <w:r>
              <w:t xml:space="preserve"> avec présence des symptômes de critères A pendant au moins 1 mois sur ceux-ci. Pendant le même laps de temps, il peut y avoir des épisodes prodromiques ou résiduels, se manifestant par exemple uniquement par des symptômes négatifs ou des symptômes atténués du critère A (</w:t>
            </w:r>
            <w:r>
              <w:rPr>
                <w:rFonts w:ascii="Century Gothic" w:hAnsi="Century Gothic"/>
              </w:rPr>
              <w:t>≥</w:t>
            </w:r>
            <w:r>
              <w:t>2).</w:t>
            </w:r>
          </w:p>
          <w:p w:rsidR="00807C47" w:rsidRDefault="00807C47" w:rsidP="00807C47">
            <w:pPr>
              <w:pStyle w:val="Sansinterligne"/>
              <w:numPr>
                <w:ilvl w:val="0"/>
                <w:numId w:val="746"/>
              </w:numPr>
            </w:pPr>
            <w:r>
              <w:t>+E Un trouble schizoaffectif, des troubles de l’humeur avec manifestations psychotiques ou un trouble psychotique induit par une substance ont été exclus.</w:t>
            </w:r>
          </w:p>
          <w:p w:rsidR="00807C47" w:rsidRDefault="00807C47" w:rsidP="00807C47">
            <w:pPr>
              <w:pStyle w:val="Sansinterligne"/>
              <w:numPr>
                <w:ilvl w:val="0"/>
                <w:numId w:val="747"/>
              </w:numPr>
            </w:pPr>
            <w:r>
              <w:t>Si un trouble du spectre de l’autisme était présent avant, il doit y avoir des délires ou hallucinations importantes.</w:t>
            </w:r>
          </w:p>
        </w:tc>
      </w:tr>
      <w:tr w:rsidR="00F8245C" w:rsidTr="002479F6">
        <w:tc>
          <w:tcPr>
            <w:tcW w:w="10940" w:type="dxa"/>
            <w:shd w:val="clear" w:color="auto" w:fill="9BBB59" w:themeFill="accent3"/>
          </w:tcPr>
          <w:p w:rsidR="00F8245C" w:rsidRDefault="00F8245C" w:rsidP="00F8245C">
            <w:pPr>
              <w:pStyle w:val="Sansinterligne"/>
              <w:jc w:val="center"/>
            </w:pPr>
            <w:r>
              <w:t>Trouble schizophréniforme</w:t>
            </w:r>
          </w:p>
        </w:tc>
      </w:tr>
      <w:tr w:rsidR="00F8245C" w:rsidTr="00F8245C">
        <w:tc>
          <w:tcPr>
            <w:tcW w:w="10940" w:type="dxa"/>
          </w:tcPr>
          <w:p w:rsidR="00F8245C" w:rsidRPr="00482075" w:rsidRDefault="00482075" w:rsidP="00482075">
            <w:pPr>
              <w:pStyle w:val="Sansinterligne"/>
              <w:numPr>
                <w:ilvl w:val="0"/>
                <w:numId w:val="748"/>
              </w:numPr>
              <w:rPr>
                <w:highlight w:val="yellow"/>
              </w:rPr>
            </w:pPr>
            <w:r w:rsidRPr="00482075">
              <w:rPr>
                <w:highlight w:val="yellow"/>
              </w:rPr>
              <w:t>Critères A, D et E de la schizophrénie sont remplis</w:t>
            </w:r>
          </w:p>
          <w:p w:rsidR="00482075" w:rsidRDefault="00482075" w:rsidP="00482075">
            <w:pPr>
              <w:pStyle w:val="Sansinterligne"/>
              <w:numPr>
                <w:ilvl w:val="0"/>
                <w:numId w:val="748"/>
              </w:numPr>
            </w:pPr>
            <w:r w:rsidRPr="00482075">
              <w:rPr>
                <w:highlight w:val="yellow"/>
              </w:rPr>
              <w:t>L’épisode du trouble dure au moins 1 mois, mais moins de 6 mois.</w:t>
            </w:r>
          </w:p>
        </w:tc>
      </w:tr>
      <w:tr w:rsidR="00F8245C" w:rsidTr="002479F6">
        <w:tc>
          <w:tcPr>
            <w:tcW w:w="10940" w:type="dxa"/>
            <w:shd w:val="clear" w:color="auto" w:fill="9BBB59" w:themeFill="accent3"/>
          </w:tcPr>
          <w:p w:rsidR="00F8245C" w:rsidRDefault="00F8245C" w:rsidP="00F8245C">
            <w:pPr>
              <w:pStyle w:val="Sansinterligne"/>
              <w:jc w:val="center"/>
            </w:pPr>
            <w:r>
              <w:t>Trouble psychotique bref</w:t>
            </w:r>
          </w:p>
        </w:tc>
      </w:tr>
      <w:tr w:rsidR="00F8245C" w:rsidTr="00F8245C">
        <w:tc>
          <w:tcPr>
            <w:tcW w:w="10940" w:type="dxa"/>
          </w:tcPr>
          <w:p w:rsidR="00282C27" w:rsidRPr="00881576" w:rsidRDefault="00282C27" w:rsidP="00282C27">
            <w:pPr>
              <w:pStyle w:val="Sansinterligne"/>
              <w:numPr>
                <w:ilvl w:val="0"/>
                <w:numId w:val="750"/>
              </w:numPr>
              <w:rPr>
                <w:highlight w:val="yellow"/>
              </w:rPr>
            </w:pPr>
            <w:r>
              <w:rPr>
                <w:highlight w:val="yellow"/>
              </w:rPr>
              <w:t xml:space="preserve">Présence </w:t>
            </w:r>
            <w:r w:rsidRPr="001D5FEA">
              <w:rPr>
                <w:highlight w:val="yellow"/>
                <w:u w:val="single"/>
              </w:rPr>
              <w:t>d’un ou plus</w:t>
            </w:r>
            <w:r>
              <w:rPr>
                <w:highlight w:val="yellow"/>
              </w:rPr>
              <w:t xml:space="preserve"> des symptômes parmi les suivants (dont au moins 1,2 ou 3)</w:t>
            </w:r>
          </w:p>
          <w:p w:rsidR="00282C27" w:rsidRPr="00881576" w:rsidRDefault="00282C27" w:rsidP="00282C27">
            <w:pPr>
              <w:pStyle w:val="Sansinterligne"/>
              <w:numPr>
                <w:ilvl w:val="1"/>
                <w:numId w:val="752"/>
              </w:numPr>
              <w:rPr>
                <w:highlight w:val="yellow"/>
              </w:rPr>
            </w:pPr>
            <w:r w:rsidRPr="00881576">
              <w:rPr>
                <w:highlight w:val="yellow"/>
              </w:rPr>
              <w:t>Idées délirantes</w:t>
            </w:r>
          </w:p>
          <w:p w:rsidR="00282C27" w:rsidRPr="00881576" w:rsidRDefault="00282C27" w:rsidP="00282C27">
            <w:pPr>
              <w:pStyle w:val="Sansinterligne"/>
              <w:numPr>
                <w:ilvl w:val="1"/>
                <w:numId w:val="752"/>
              </w:numPr>
              <w:rPr>
                <w:highlight w:val="yellow"/>
              </w:rPr>
            </w:pPr>
            <w:r w:rsidRPr="00881576">
              <w:rPr>
                <w:highlight w:val="yellow"/>
              </w:rPr>
              <w:t>Hallucinations</w:t>
            </w:r>
          </w:p>
          <w:p w:rsidR="00282C27" w:rsidRPr="00881576" w:rsidRDefault="00282C27" w:rsidP="00282C27">
            <w:pPr>
              <w:pStyle w:val="Sansinterligne"/>
              <w:numPr>
                <w:ilvl w:val="1"/>
                <w:numId w:val="752"/>
              </w:numPr>
              <w:rPr>
                <w:highlight w:val="yellow"/>
              </w:rPr>
            </w:pPr>
            <w:r w:rsidRPr="00881576">
              <w:rPr>
                <w:highlight w:val="yellow"/>
              </w:rPr>
              <w:t>Discours désorganisé</w:t>
            </w:r>
          </w:p>
          <w:p w:rsidR="00282C27" w:rsidRDefault="00282C27" w:rsidP="00282C27">
            <w:pPr>
              <w:pStyle w:val="Sansinterligne"/>
              <w:numPr>
                <w:ilvl w:val="1"/>
                <w:numId w:val="752"/>
              </w:numPr>
              <w:rPr>
                <w:highlight w:val="yellow"/>
              </w:rPr>
            </w:pPr>
            <w:r w:rsidRPr="00881576">
              <w:rPr>
                <w:highlight w:val="yellow"/>
              </w:rPr>
              <w:t>Comportement grossièrement désorganisé ou catatonique</w:t>
            </w:r>
          </w:p>
          <w:p w:rsidR="00282C27" w:rsidRDefault="00282C27" w:rsidP="00282C27">
            <w:pPr>
              <w:pStyle w:val="Sansinterligne"/>
              <w:numPr>
                <w:ilvl w:val="0"/>
                <w:numId w:val="751"/>
              </w:numPr>
              <w:rPr>
                <w:highlight w:val="yellow"/>
              </w:rPr>
            </w:pPr>
            <w:r>
              <w:rPr>
                <w:highlight w:val="yellow"/>
              </w:rPr>
              <w:t>La perturbation persiste au moins 1 jour, mais moins d’un mois,</w:t>
            </w:r>
          </w:p>
          <w:p w:rsidR="00F8245C" w:rsidRPr="001D5FEA" w:rsidRDefault="00282C27" w:rsidP="004F60F4">
            <w:pPr>
              <w:pStyle w:val="Sansinterligne"/>
              <w:numPr>
                <w:ilvl w:val="0"/>
                <w:numId w:val="751"/>
              </w:numPr>
              <w:rPr>
                <w:highlight w:val="yellow"/>
              </w:rPr>
            </w:pPr>
            <w:r>
              <w:rPr>
                <w:highlight w:val="yellow"/>
              </w:rPr>
              <w:t>Un trouble de l’humeur avec caractéristiques psychotiques ou un autre trouble psychotique ont été exclus.</w:t>
            </w:r>
          </w:p>
        </w:tc>
      </w:tr>
      <w:tr w:rsidR="00F8245C" w:rsidTr="002479F6">
        <w:tc>
          <w:tcPr>
            <w:tcW w:w="10940" w:type="dxa"/>
            <w:shd w:val="clear" w:color="auto" w:fill="9BBB59" w:themeFill="accent3"/>
          </w:tcPr>
          <w:p w:rsidR="00F8245C" w:rsidRDefault="00F8245C" w:rsidP="00F8245C">
            <w:pPr>
              <w:pStyle w:val="Sansinterligne"/>
              <w:jc w:val="center"/>
            </w:pPr>
            <w:r>
              <w:t>Trouble schizoaffectif</w:t>
            </w:r>
          </w:p>
        </w:tc>
      </w:tr>
      <w:tr w:rsidR="00F8245C" w:rsidTr="00F8245C">
        <w:tc>
          <w:tcPr>
            <w:tcW w:w="10940" w:type="dxa"/>
          </w:tcPr>
          <w:p w:rsidR="00F8245C" w:rsidRPr="001D5FEA" w:rsidRDefault="001D5FEA" w:rsidP="001D5FEA">
            <w:pPr>
              <w:pStyle w:val="Sansinterligne"/>
              <w:numPr>
                <w:ilvl w:val="0"/>
                <w:numId w:val="753"/>
              </w:numPr>
              <w:rPr>
                <w:highlight w:val="yellow"/>
              </w:rPr>
            </w:pPr>
            <w:r w:rsidRPr="001D5FEA">
              <w:rPr>
                <w:highlight w:val="yellow"/>
              </w:rPr>
              <w:t>Période ininterrompue durant lequel sont présent à la fois un épisode thymique (dépressif ou maniaque) et le critère A de la schizophrénie.</w:t>
            </w:r>
          </w:p>
          <w:p w:rsidR="001D5FEA" w:rsidRPr="001D5FEA" w:rsidRDefault="001D5FEA" w:rsidP="001D5FEA">
            <w:pPr>
              <w:pStyle w:val="Sansinterligne"/>
              <w:numPr>
                <w:ilvl w:val="0"/>
                <w:numId w:val="753"/>
              </w:numPr>
              <w:rPr>
                <w:highlight w:val="yellow"/>
              </w:rPr>
            </w:pPr>
            <w:r w:rsidRPr="001D5FEA">
              <w:rPr>
                <w:highlight w:val="yellow"/>
              </w:rPr>
              <w:t>Idées délirantes ou hallucinations pendant au moins 2 semaines sur la durée de la maladie, en dehors d’un épisode thymique.</w:t>
            </w:r>
          </w:p>
          <w:p w:rsidR="001D5FEA" w:rsidRPr="001D5FEA" w:rsidRDefault="001D5FEA" w:rsidP="001D5FEA">
            <w:pPr>
              <w:pStyle w:val="Sansinterligne"/>
              <w:numPr>
                <w:ilvl w:val="0"/>
                <w:numId w:val="753"/>
              </w:numPr>
              <w:rPr>
                <w:highlight w:val="yellow"/>
              </w:rPr>
            </w:pPr>
            <w:r w:rsidRPr="001D5FEA">
              <w:rPr>
                <w:highlight w:val="yellow"/>
              </w:rPr>
              <w:t>Les symptômes répondant aux critères de l’épisode thymique sont présents pendant la majeure partie de la durée total</w:t>
            </w:r>
            <w:r w:rsidR="00BD4CA4">
              <w:rPr>
                <w:highlight w:val="yellow"/>
              </w:rPr>
              <w:t>e</w:t>
            </w:r>
            <w:r w:rsidRPr="001D5FEA">
              <w:rPr>
                <w:highlight w:val="yellow"/>
              </w:rPr>
              <w:t xml:space="preserve"> des phases résiduelles et actives de la maladie</w:t>
            </w:r>
          </w:p>
          <w:p w:rsidR="001D5FEA" w:rsidRDefault="001D5FEA" w:rsidP="001D5FEA">
            <w:pPr>
              <w:pStyle w:val="Sansinterligne"/>
              <w:numPr>
                <w:ilvl w:val="0"/>
                <w:numId w:val="753"/>
              </w:numPr>
            </w:pPr>
            <w:r>
              <w:t>Une autre condition médicale ou une substance n’ont pas induit la maladie.</w:t>
            </w:r>
          </w:p>
        </w:tc>
      </w:tr>
      <w:tr w:rsidR="00F8245C" w:rsidTr="002479F6">
        <w:tc>
          <w:tcPr>
            <w:tcW w:w="10940" w:type="dxa"/>
            <w:shd w:val="clear" w:color="auto" w:fill="9BBB59" w:themeFill="accent3"/>
          </w:tcPr>
          <w:p w:rsidR="00F8245C" w:rsidRDefault="00F8245C" w:rsidP="00F8245C">
            <w:pPr>
              <w:pStyle w:val="Sansinterligne"/>
              <w:jc w:val="center"/>
            </w:pPr>
            <w:r>
              <w:t>Trouble délirant</w:t>
            </w:r>
          </w:p>
        </w:tc>
      </w:tr>
      <w:tr w:rsidR="00F8245C" w:rsidTr="00F8245C">
        <w:tc>
          <w:tcPr>
            <w:tcW w:w="10940" w:type="dxa"/>
          </w:tcPr>
          <w:p w:rsidR="00F8245C" w:rsidRPr="00C91B1E" w:rsidRDefault="00C91B1E" w:rsidP="00C91B1E">
            <w:pPr>
              <w:pStyle w:val="Sansinterligne"/>
              <w:numPr>
                <w:ilvl w:val="0"/>
                <w:numId w:val="754"/>
              </w:numPr>
              <w:rPr>
                <w:highlight w:val="yellow"/>
              </w:rPr>
            </w:pPr>
            <w:r w:rsidRPr="00C91B1E">
              <w:rPr>
                <w:highlight w:val="yellow"/>
              </w:rPr>
              <w:t>Présence d’une ou plusieurs idées délirantes pendant 1 mois ou plus.</w:t>
            </w:r>
          </w:p>
          <w:p w:rsidR="00C91B1E" w:rsidRPr="00C91B1E" w:rsidRDefault="00C91B1E" w:rsidP="00C91B1E">
            <w:pPr>
              <w:pStyle w:val="Sansinterligne"/>
              <w:numPr>
                <w:ilvl w:val="0"/>
                <w:numId w:val="754"/>
              </w:numPr>
              <w:rPr>
                <w:highlight w:val="yellow"/>
              </w:rPr>
            </w:pPr>
            <w:r w:rsidRPr="00C91B1E">
              <w:rPr>
                <w:highlight w:val="yellow"/>
              </w:rPr>
              <w:t>Le critère A de la schizophrénie n’a jamais été rempli.</w:t>
            </w:r>
          </w:p>
          <w:p w:rsidR="00C91B1E" w:rsidRPr="00C91B1E" w:rsidRDefault="00C91B1E" w:rsidP="00C91B1E">
            <w:pPr>
              <w:pStyle w:val="Sansinterligne"/>
              <w:numPr>
                <w:ilvl w:val="0"/>
                <w:numId w:val="754"/>
              </w:numPr>
              <w:rPr>
                <w:highlight w:val="yellow"/>
              </w:rPr>
            </w:pPr>
            <w:r w:rsidRPr="00C91B1E">
              <w:rPr>
                <w:highlight w:val="yellow"/>
              </w:rPr>
              <w:t>En dehors des idées délirantes, de leurs ramifications ou de leur impact sur la vie du patient, il n’y a pas d’altération marquée du fonctionnement, de singularité ou de bizarreries manifestes du comportement.</w:t>
            </w:r>
          </w:p>
          <w:p w:rsidR="00C91B1E" w:rsidRDefault="00C91B1E" w:rsidP="00C91B1E">
            <w:pPr>
              <w:pStyle w:val="Sansinterligne"/>
              <w:numPr>
                <w:ilvl w:val="0"/>
                <w:numId w:val="754"/>
              </w:numPr>
            </w:pPr>
            <w:r>
              <w:t>Si des épisodes maniaques ou dépressifs sont survenus de façon concomitante, ils ont eu une durée brève sur la durée totale du délire.</w:t>
            </w:r>
          </w:p>
          <w:p w:rsidR="00C91B1E" w:rsidRDefault="00C91B1E" w:rsidP="00BD4CA4">
            <w:pPr>
              <w:pStyle w:val="Sansinterligne"/>
              <w:numPr>
                <w:ilvl w:val="0"/>
                <w:numId w:val="754"/>
              </w:numPr>
            </w:pPr>
            <w:r>
              <w:t xml:space="preserve">La problématique n’est pas mieux </w:t>
            </w:r>
            <w:r w:rsidR="009203E2">
              <w:t>expliquée</w:t>
            </w:r>
            <w:r>
              <w:t xml:space="preserve"> par un autre trouble mental, l’usage d</w:t>
            </w:r>
            <w:r w:rsidR="00BD4CA4">
              <w:t>e</w:t>
            </w:r>
            <w:r>
              <w:t xml:space="preserve"> substance ou une autre condition médicale.</w:t>
            </w:r>
          </w:p>
        </w:tc>
      </w:tr>
    </w:tbl>
    <w:p w:rsidR="004F60F4" w:rsidRDefault="009203E2" w:rsidP="00F8245C">
      <w:pPr>
        <w:pStyle w:val="Sansinterligne"/>
      </w:pPr>
      <w:r>
        <w:rPr>
          <w:noProof/>
          <w:lang w:eastAsia="fr-CA"/>
        </w:rPr>
        <w:drawing>
          <wp:anchor distT="0" distB="0" distL="114300" distR="114300" simplePos="0" relativeHeight="251870208" behindDoc="0" locked="0" layoutInCell="1" allowOverlap="1" wp14:anchorId="27057D85" wp14:editId="18AD0E64">
            <wp:simplePos x="0" y="0"/>
            <wp:positionH relativeFrom="column">
              <wp:posOffset>1439694</wp:posOffset>
            </wp:positionH>
            <wp:positionV relativeFrom="paragraph">
              <wp:posOffset>75188</wp:posOffset>
            </wp:positionV>
            <wp:extent cx="3608961" cy="2103560"/>
            <wp:effectExtent l="0" t="0" r="0" b="0"/>
            <wp:wrapNone/>
            <wp:docPr id="381" name="Image 381" descr="Résultats de recherche d'images pour « antipsychotiqu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ésultats de recherche d'images pour « antipsychotique »"/>
                    <pic:cNvPicPr>
                      <a:picLocks noChangeAspect="1" noChangeArrowheads="1"/>
                    </pic:cNvPicPr>
                  </pic:nvPicPr>
                  <pic:blipFill rotWithShape="1">
                    <a:blip r:embed="rId321">
                      <a:extLst>
                        <a:ext uri="{28A0092B-C50C-407E-A947-70E740481C1C}">
                          <a14:useLocalDpi xmlns:a14="http://schemas.microsoft.com/office/drawing/2010/main" val="0"/>
                        </a:ext>
                      </a:extLst>
                    </a:blip>
                    <a:srcRect t="11164" b="11069"/>
                    <a:stretch/>
                  </pic:blipFill>
                  <pic:spPr bwMode="auto">
                    <a:xfrm>
                      <a:off x="0" y="0"/>
                      <a:ext cx="3608962" cy="2103561"/>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DD1519" w:rsidRDefault="00DD1519" w:rsidP="00F8245C">
      <w:pPr>
        <w:pStyle w:val="Sansinterligne"/>
      </w:pPr>
    </w:p>
    <w:p w:rsidR="009203E2" w:rsidRDefault="009203E2" w:rsidP="00F8245C">
      <w:pPr>
        <w:pStyle w:val="Sansinterligne"/>
      </w:pPr>
    </w:p>
    <w:p w:rsidR="009203E2" w:rsidRDefault="009203E2" w:rsidP="00F8245C">
      <w:pPr>
        <w:pStyle w:val="Sansinterligne"/>
      </w:pPr>
    </w:p>
    <w:p w:rsidR="009203E2" w:rsidRDefault="009203E2" w:rsidP="00F8245C">
      <w:pPr>
        <w:pStyle w:val="Sansinterligne"/>
      </w:pPr>
    </w:p>
    <w:p w:rsidR="009203E2" w:rsidRDefault="009203E2" w:rsidP="00F8245C">
      <w:pPr>
        <w:pStyle w:val="Sansinterligne"/>
      </w:pPr>
    </w:p>
    <w:p w:rsidR="009203E2" w:rsidRDefault="009203E2" w:rsidP="00F8245C">
      <w:pPr>
        <w:pStyle w:val="Sansinterligne"/>
      </w:pPr>
    </w:p>
    <w:p w:rsidR="009203E2" w:rsidRDefault="009203E2" w:rsidP="00F8245C">
      <w:pPr>
        <w:pStyle w:val="Sansinterligne"/>
      </w:pPr>
    </w:p>
    <w:p w:rsidR="009203E2" w:rsidRDefault="009203E2" w:rsidP="00F8245C">
      <w:pPr>
        <w:pStyle w:val="Sansinterligne"/>
      </w:pPr>
    </w:p>
    <w:p w:rsidR="009203E2" w:rsidRDefault="009203E2" w:rsidP="00F8245C">
      <w:pPr>
        <w:pStyle w:val="Sansinterligne"/>
      </w:pPr>
    </w:p>
    <w:p w:rsidR="009203E2" w:rsidRDefault="009203E2" w:rsidP="00F8245C">
      <w:pPr>
        <w:pStyle w:val="Sansinterligne"/>
      </w:pPr>
    </w:p>
    <w:p w:rsidR="009203E2" w:rsidRDefault="009203E2" w:rsidP="00F8245C">
      <w:pPr>
        <w:pStyle w:val="Sansinterligne"/>
      </w:pPr>
    </w:p>
    <w:p w:rsidR="009203E2" w:rsidRDefault="009203E2" w:rsidP="00F8245C">
      <w:pPr>
        <w:pStyle w:val="Sansinterligne"/>
      </w:pPr>
    </w:p>
    <w:p w:rsidR="00DD1519" w:rsidRPr="00F8245C" w:rsidRDefault="00DD1519" w:rsidP="00F8245C">
      <w:pPr>
        <w:pStyle w:val="Sansinterligne"/>
      </w:pPr>
    </w:p>
    <w:tbl>
      <w:tblPr>
        <w:tblStyle w:val="Grilledutableau"/>
        <w:tblW w:w="0" w:type="auto"/>
        <w:tblLook w:val="04A0" w:firstRow="1" w:lastRow="0" w:firstColumn="1" w:lastColumn="0" w:noHBand="0" w:noVBand="1"/>
      </w:tblPr>
      <w:tblGrid>
        <w:gridCol w:w="2735"/>
        <w:gridCol w:w="2735"/>
        <w:gridCol w:w="2735"/>
        <w:gridCol w:w="2735"/>
      </w:tblGrid>
      <w:tr w:rsidR="00F8245C" w:rsidTr="002479F6">
        <w:tc>
          <w:tcPr>
            <w:tcW w:w="10940" w:type="dxa"/>
            <w:gridSpan w:val="4"/>
            <w:shd w:val="clear" w:color="auto" w:fill="9BBB59" w:themeFill="accent3"/>
          </w:tcPr>
          <w:p w:rsidR="00F8245C" w:rsidRDefault="00F8245C" w:rsidP="00F8245C">
            <w:pPr>
              <w:pStyle w:val="Sansinterligne"/>
              <w:jc w:val="center"/>
            </w:pPr>
            <w:r>
              <w:t>Catatonie</w:t>
            </w:r>
            <w:r w:rsidR="009203E2">
              <w:t xml:space="preserve"> (spécificateur ou induit par une autre condition)</w:t>
            </w:r>
          </w:p>
        </w:tc>
      </w:tr>
      <w:tr w:rsidR="00F8245C" w:rsidTr="009203E2">
        <w:trPr>
          <w:trHeight w:val="344"/>
        </w:trPr>
        <w:tc>
          <w:tcPr>
            <w:tcW w:w="10940" w:type="dxa"/>
            <w:gridSpan w:val="4"/>
            <w:tcBorders>
              <w:bottom w:val="single" w:sz="4" w:space="0" w:color="FFFFFF" w:themeColor="background1"/>
            </w:tcBorders>
          </w:tcPr>
          <w:p w:rsidR="009203E2" w:rsidRDefault="009203E2" w:rsidP="009203E2">
            <w:pPr>
              <w:pStyle w:val="Sansinterligne"/>
            </w:pPr>
            <w:r>
              <w:rPr>
                <w:rFonts w:ascii="Century Gothic" w:hAnsi="Century Gothic"/>
              </w:rPr>
              <w:t>≥</w:t>
            </w:r>
            <w:r>
              <w:t xml:space="preserve"> 3 symptômes suivants :</w:t>
            </w:r>
          </w:p>
        </w:tc>
      </w:tr>
      <w:tr w:rsidR="009203E2" w:rsidTr="009203E2">
        <w:trPr>
          <w:trHeight w:val="1677"/>
        </w:trPr>
        <w:tc>
          <w:tcPr>
            <w:tcW w:w="5470" w:type="dxa"/>
            <w:gridSpan w:val="2"/>
            <w:tcBorders>
              <w:top w:val="single" w:sz="4" w:space="0" w:color="FFFFFF" w:themeColor="background1"/>
              <w:right w:val="single" w:sz="4" w:space="0" w:color="FFFFFF" w:themeColor="background1"/>
            </w:tcBorders>
          </w:tcPr>
          <w:p w:rsidR="009203E2" w:rsidRDefault="009203E2" w:rsidP="00BC3DCC">
            <w:pPr>
              <w:pStyle w:val="Sansinterligne"/>
              <w:numPr>
                <w:ilvl w:val="0"/>
                <w:numId w:val="755"/>
              </w:numPr>
            </w:pPr>
            <w:r>
              <w:t>Stupeur (absence d’activité psychomotrice)</w:t>
            </w:r>
          </w:p>
          <w:p w:rsidR="009203E2" w:rsidRDefault="009203E2" w:rsidP="00BC3DCC">
            <w:pPr>
              <w:pStyle w:val="Sansinterligne"/>
              <w:numPr>
                <w:ilvl w:val="0"/>
                <w:numId w:val="755"/>
              </w:numPr>
            </w:pPr>
            <w:r>
              <w:t>Catalepsie (posture maintenue passivement et contre la gravité)</w:t>
            </w:r>
          </w:p>
          <w:p w:rsidR="009203E2" w:rsidRDefault="009203E2" w:rsidP="00BC3DCC">
            <w:pPr>
              <w:pStyle w:val="Sansinterligne"/>
              <w:numPr>
                <w:ilvl w:val="0"/>
                <w:numId w:val="755"/>
              </w:numPr>
            </w:pPr>
            <w:r>
              <w:t>Flexibilité cireuse</w:t>
            </w:r>
          </w:p>
          <w:p w:rsidR="009203E2" w:rsidRDefault="009203E2" w:rsidP="00BC3DCC">
            <w:pPr>
              <w:pStyle w:val="Sansinterligne"/>
              <w:numPr>
                <w:ilvl w:val="0"/>
                <w:numId w:val="755"/>
              </w:numPr>
            </w:pPr>
            <w:r>
              <w:t>Mutisme</w:t>
            </w:r>
          </w:p>
          <w:p w:rsidR="009203E2" w:rsidRDefault="009203E2" w:rsidP="00BC3DCC">
            <w:pPr>
              <w:pStyle w:val="Sansinterligne"/>
              <w:numPr>
                <w:ilvl w:val="0"/>
                <w:numId w:val="755"/>
              </w:numPr>
            </w:pPr>
            <w:r>
              <w:t>Négativisme (opposition ou non réponse à des stimuli extérieurs)</w:t>
            </w:r>
          </w:p>
          <w:p w:rsidR="009203E2" w:rsidRDefault="009203E2" w:rsidP="009203E2">
            <w:pPr>
              <w:pStyle w:val="Sansinterligne"/>
            </w:pPr>
          </w:p>
        </w:tc>
        <w:tc>
          <w:tcPr>
            <w:tcW w:w="5470" w:type="dxa"/>
            <w:gridSpan w:val="2"/>
            <w:tcBorders>
              <w:top w:val="single" w:sz="4" w:space="0" w:color="FFFFFF" w:themeColor="background1"/>
              <w:left w:val="single" w:sz="4" w:space="0" w:color="FFFFFF" w:themeColor="background1"/>
            </w:tcBorders>
          </w:tcPr>
          <w:p w:rsidR="009203E2" w:rsidRDefault="009203E2" w:rsidP="00BC3DCC">
            <w:pPr>
              <w:pStyle w:val="Sansinterligne"/>
              <w:numPr>
                <w:ilvl w:val="0"/>
                <w:numId w:val="755"/>
              </w:numPr>
            </w:pPr>
            <w:r>
              <w:t>Prise de posture (maintien actif d’une posture contre la gravité)</w:t>
            </w:r>
          </w:p>
          <w:p w:rsidR="009203E2" w:rsidRDefault="009203E2" w:rsidP="00BC3DCC">
            <w:pPr>
              <w:pStyle w:val="Sansinterligne"/>
              <w:numPr>
                <w:ilvl w:val="0"/>
                <w:numId w:val="755"/>
              </w:numPr>
            </w:pPr>
            <w:r>
              <w:t>Maniérisme</w:t>
            </w:r>
          </w:p>
          <w:p w:rsidR="009203E2" w:rsidRDefault="009203E2" w:rsidP="00BC3DCC">
            <w:pPr>
              <w:pStyle w:val="Sansinterligne"/>
              <w:numPr>
                <w:ilvl w:val="0"/>
                <w:numId w:val="755"/>
              </w:numPr>
            </w:pPr>
            <w:r>
              <w:t>Stéréotypie</w:t>
            </w:r>
          </w:p>
          <w:p w:rsidR="009203E2" w:rsidRDefault="009203E2" w:rsidP="00BC3DCC">
            <w:pPr>
              <w:pStyle w:val="Sansinterligne"/>
              <w:numPr>
                <w:ilvl w:val="0"/>
                <w:numId w:val="755"/>
              </w:numPr>
            </w:pPr>
            <w:r>
              <w:t>Agitation, non influencée par des stimuli externes</w:t>
            </w:r>
          </w:p>
          <w:p w:rsidR="009203E2" w:rsidRDefault="009203E2" w:rsidP="00BC3DCC">
            <w:pPr>
              <w:pStyle w:val="Sansinterligne"/>
              <w:numPr>
                <w:ilvl w:val="0"/>
                <w:numId w:val="755"/>
              </w:numPr>
            </w:pPr>
            <w:r>
              <w:t>Expression faciale grimaçante</w:t>
            </w:r>
          </w:p>
          <w:p w:rsidR="009203E2" w:rsidRDefault="009203E2" w:rsidP="00BC3DCC">
            <w:pPr>
              <w:pStyle w:val="Sansinterligne"/>
              <w:numPr>
                <w:ilvl w:val="0"/>
                <w:numId w:val="755"/>
              </w:numPr>
            </w:pPr>
            <w:r>
              <w:t>Écholalie</w:t>
            </w:r>
          </w:p>
          <w:p w:rsidR="009203E2" w:rsidRDefault="009203E2" w:rsidP="00BC3DCC">
            <w:pPr>
              <w:pStyle w:val="Sansinterligne"/>
              <w:numPr>
                <w:ilvl w:val="0"/>
                <w:numId w:val="755"/>
              </w:numPr>
            </w:pPr>
            <w:r>
              <w:t>Échopraxie</w:t>
            </w:r>
          </w:p>
        </w:tc>
      </w:tr>
      <w:tr w:rsidR="00F8245C" w:rsidTr="002479F6">
        <w:tc>
          <w:tcPr>
            <w:tcW w:w="10940" w:type="dxa"/>
            <w:gridSpan w:val="4"/>
            <w:shd w:val="clear" w:color="auto" w:fill="9BBB59" w:themeFill="accent3"/>
          </w:tcPr>
          <w:p w:rsidR="00F8245C" w:rsidRDefault="00F8245C" w:rsidP="00BC3DCC">
            <w:pPr>
              <w:pStyle w:val="Sansinterligne"/>
              <w:numPr>
                <w:ilvl w:val="0"/>
                <w:numId w:val="756"/>
              </w:numPr>
              <w:jc w:val="center"/>
            </w:pPr>
            <w:r>
              <w:t>Trouble psychotique induit par une substance</w:t>
            </w:r>
          </w:p>
        </w:tc>
      </w:tr>
      <w:tr w:rsidR="00F8245C" w:rsidTr="007254C3">
        <w:trPr>
          <w:trHeight w:val="851"/>
        </w:trPr>
        <w:tc>
          <w:tcPr>
            <w:tcW w:w="10940" w:type="dxa"/>
            <w:gridSpan w:val="4"/>
            <w:tcBorders>
              <w:bottom w:val="single" w:sz="4" w:space="0" w:color="FFFFFF" w:themeColor="background1"/>
            </w:tcBorders>
          </w:tcPr>
          <w:p w:rsidR="001871D6" w:rsidRDefault="001871D6" w:rsidP="00BC3DCC">
            <w:pPr>
              <w:pStyle w:val="Sansinterligne"/>
              <w:numPr>
                <w:ilvl w:val="0"/>
                <w:numId w:val="756"/>
              </w:numPr>
            </w:pPr>
            <w:r>
              <w:t>Idées délirantes ou hallucinations prédominantes.</w:t>
            </w:r>
          </w:p>
          <w:p w:rsidR="001871D6" w:rsidRDefault="001871D6" w:rsidP="00BC3DCC">
            <w:pPr>
              <w:pStyle w:val="Sansinterligne"/>
              <w:numPr>
                <w:ilvl w:val="0"/>
                <w:numId w:val="756"/>
              </w:numPr>
            </w:pPr>
            <w:r>
              <w:t>Celles-ci surviennent suite à la consommation, l’intoxication ou le sevrage à une substance.</w:t>
            </w:r>
          </w:p>
          <w:p w:rsidR="001871D6" w:rsidRDefault="001871D6" w:rsidP="00BC3DCC">
            <w:pPr>
              <w:pStyle w:val="Sansinterligne"/>
              <w:numPr>
                <w:ilvl w:val="0"/>
                <w:numId w:val="756"/>
              </w:numPr>
            </w:pPr>
            <w:r>
              <w:t>Exemples de substance (non-exhaustifs)</w:t>
            </w:r>
          </w:p>
        </w:tc>
      </w:tr>
      <w:tr w:rsidR="001871D6" w:rsidTr="007254C3">
        <w:tc>
          <w:tcPr>
            <w:tcW w:w="2735" w:type="dxa"/>
            <w:tcBorders>
              <w:top w:val="single" w:sz="4" w:space="0" w:color="FFFFFF" w:themeColor="background1"/>
              <w:right w:val="single" w:sz="4" w:space="0" w:color="FFFFFF" w:themeColor="background1"/>
            </w:tcBorders>
          </w:tcPr>
          <w:p w:rsidR="001871D6" w:rsidRDefault="001871D6" w:rsidP="00BC3DCC">
            <w:pPr>
              <w:pStyle w:val="Sansinterligne"/>
              <w:numPr>
                <w:ilvl w:val="0"/>
                <w:numId w:val="757"/>
              </w:numPr>
            </w:pPr>
            <w:r>
              <w:t>Alcool</w:t>
            </w:r>
          </w:p>
          <w:p w:rsidR="001871D6" w:rsidRDefault="001871D6" w:rsidP="00BC3DCC">
            <w:pPr>
              <w:pStyle w:val="Sansinterligne"/>
              <w:numPr>
                <w:ilvl w:val="0"/>
                <w:numId w:val="757"/>
              </w:numPr>
            </w:pPr>
            <w:r>
              <w:t>Cannabis</w:t>
            </w:r>
          </w:p>
          <w:p w:rsidR="001871D6" w:rsidRDefault="001871D6" w:rsidP="00BC3DCC">
            <w:pPr>
              <w:pStyle w:val="Sansinterligne"/>
              <w:numPr>
                <w:ilvl w:val="0"/>
                <w:numId w:val="757"/>
              </w:numPr>
            </w:pPr>
            <w:r>
              <w:t>Phencyclidine et autres hallucinogènes</w:t>
            </w:r>
          </w:p>
        </w:tc>
        <w:tc>
          <w:tcPr>
            <w:tcW w:w="2735" w:type="dxa"/>
            <w:tcBorders>
              <w:top w:val="single" w:sz="4" w:space="0" w:color="FFFFFF" w:themeColor="background1"/>
              <w:left w:val="single" w:sz="4" w:space="0" w:color="FFFFFF" w:themeColor="background1"/>
              <w:right w:val="single" w:sz="4" w:space="0" w:color="FFFFFF" w:themeColor="background1"/>
            </w:tcBorders>
          </w:tcPr>
          <w:p w:rsidR="001871D6" w:rsidRDefault="001871D6" w:rsidP="00BC3DCC">
            <w:pPr>
              <w:pStyle w:val="Sansinterligne"/>
              <w:numPr>
                <w:ilvl w:val="0"/>
                <w:numId w:val="757"/>
              </w:numPr>
            </w:pPr>
            <w:r>
              <w:t>Cocaïne</w:t>
            </w:r>
          </w:p>
          <w:p w:rsidR="001871D6" w:rsidRDefault="001871D6" w:rsidP="00BC3DCC">
            <w:pPr>
              <w:pStyle w:val="Sansinterligne"/>
              <w:numPr>
                <w:ilvl w:val="0"/>
                <w:numId w:val="757"/>
              </w:numPr>
            </w:pPr>
            <w:r>
              <w:t>Amphétamines</w:t>
            </w:r>
          </w:p>
          <w:p w:rsidR="001871D6" w:rsidRDefault="001871D6" w:rsidP="00BC3DCC">
            <w:pPr>
              <w:pStyle w:val="Sansinterligne"/>
              <w:numPr>
                <w:ilvl w:val="0"/>
                <w:numId w:val="757"/>
              </w:numPr>
            </w:pPr>
            <w:r>
              <w:t>Substance inhalée</w:t>
            </w:r>
          </w:p>
          <w:p w:rsidR="001871D6" w:rsidRDefault="001871D6" w:rsidP="00BC3DCC">
            <w:pPr>
              <w:pStyle w:val="Sansinterligne"/>
              <w:numPr>
                <w:ilvl w:val="0"/>
                <w:numId w:val="757"/>
              </w:numPr>
            </w:pPr>
            <w:r>
              <w:t xml:space="preserve">Dextrométorphan </w:t>
            </w:r>
          </w:p>
        </w:tc>
        <w:tc>
          <w:tcPr>
            <w:tcW w:w="2735" w:type="dxa"/>
            <w:tcBorders>
              <w:top w:val="single" w:sz="4" w:space="0" w:color="FFFFFF" w:themeColor="background1"/>
              <w:left w:val="single" w:sz="4" w:space="0" w:color="FFFFFF" w:themeColor="background1"/>
              <w:right w:val="single" w:sz="4" w:space="0" w:color="FFFFFF" w:themeColor="background1"/>
            </w:tcBorders>
          </w:tcPr>
          <w:p w:rsidR="001871D6" w:rsidRDefault="001871D6" w:rsidP="00BC3DCC">
            <w:pPr>
              <w:pStyle w:val="Sansinterligne"/>
              <w:numPr>
                <w:ilvl w:val="0"/>
                <w:numId w:val="757"/>
              </w:numPr>
            </w:pPr>
            <w:r>
              <w:t>Sédatifs / anxiolytiques</w:t>
            </w:r>
          </w:p>
          <w:p w:rsidR="001871D6" w:rsidRDefault="001871D6" w:rsidP="00BC3DCC">
            <w:pPr>
              <w:pStyle w:val="Sansinterligne"/>
              <w:numPr>
                <w:ilvl w:val="0"/>
                <w:numId w:val="757"/>
              </w:numPr>
            </w:pPr>
            <w:r>
              <w:t>Corticostéroïdes</w:t>
            </w:r>
          </w:p>
          <w:p w:rsidR="001871D6" w:rsidRDefault="001871D6" w:rsidP="00BC3DCC">
            <w:pPr>
              <w:pStyle w:val="Sansinterligne"/>
              <w:numPr>
                <w:ilvl w:val="0"/>
                <w:numId w:val="757"/>
              </w:numPr>
            </w:pPr>
            <w:r>
              <w:t>Levodopa</w:t>
            </w:r>
          </w:p>
          <w:p w:rsidR="001871D6" w:rsidRDefault="001871D6" w:rsidP="00BC3DCC">
            <w:pPr>
              <w:pStyle w:val="Sansinterligne"/>
              <w:numPr>
                <w:ilvl w:val="0"/>
                <w:numId w:val="757"/>
              </w:numPr>
            </w:pPr>
            <w:r>
              <w:t>Digitale</w:t>
            </w:r>
          </w:p>
        </w:tc>
        <w:tc>
          <w:tcPr>
            <w:tcW w:w="2735" w:type="dxa"/>
            <w:tcBorders>
              <w:top w:val="single" w:sz="4" w:space="0" w:color="FFFFFF" w:themeColor="background1"/>
              <w:left w:val="single" w:sz="4" w:space="0" w:color="FFFFFF" w:themeColor="background1"/>
            </w:tcBorders>
          </w:tcPr>
          <w:p w:rsidR="001871D6" w:rsidRDefault="00BD4CA4" w:rsidP="00BC3DCC">
            <w:pPr>
              <w:pStyle w:val="Sansinterligne"/>
              <w:numPr>
                <w:ilvl w:val="0"/>
                <w:numId w:val="757"/>
              </w:numPr>
            </w:pPr>
            <w:r>
              <w:t>Mé</w:t>
            </w:r>
            <w:r w:rsidR="001871D6">
              <w:t>taux lourds</w:t>
            </w:r>
          </w:p>
          <w:p w:rsidR="001871D6" w:rsidRDefault="001871D6" w:rsidP="00BC3DCC">
            <w:pPr>
              <w:pStyle w:val="Sansinterligne"/>
              <w:numPr>
                <w:ilvl w:val="0"/>
                <w:numId w:val="757"/>
              </w:numPr>
            </w:pPr>
            <w:r>
              <w:t>Organophosp</w:t>
            </w:r>
            <w:r w:rsidR="00BD4CA4">
              <w:t>h</w:t>
            </w:r>
            <w:r>
              <w:t>ates</w:t>
            </w:r>
          </w:p>
          <w:p w:rsidR="001871D6" w:rsidRDefault="001871D6" w:rsidP="00BC3DCC">
            <w:pPr>
              <w:pStyle w:val="Sansinterligne"/>
              <w:numPr>
                <w:ilvl w:val="0"/>
                <w:numId w:val="757"/>
              </w:numPr>
            </w:pPr>
            <w:r>
              <w:t>Monoxyde de carbone</w:t>
            </w:r>
          </w:p>
        </w:tc>
      </w:tr>
      <w:tr w:rsidR="00F8245C" w:rsidTr="002479F6">
        <w:tc>
          <w:tcPr>
            <w:tcW w:w="10940" w:type="dxa"/>
            <w:gridSpan w:val="4"/>
            <w:shd w:val="clear" w:color="auto" w:fill="9BBB59" w:themeFill="accent3"/>
          </w:tcPr>
          <w:p w:rsidR="00F8245C" w:rsidRDefault="00F8245C" w:rsidP="00F8245C">
            <w:pPr>
              <w:pStyle w:val="Sansinterligne"/>
              <w:jc w:val="center"/>
            </w:pPr>
            <w:r>
              <w:t>Trouble psychotique causé par une condition médicale</w:t>
            </w:r>
          </w:p>
        </w:tc>
      </w:tr>
      <w:tr w:rsidR="00F8245C" w:rsidTr="00F8245C">
        <w:tc>
          <w:tcPr>
            <w:tcW w:w="10940" w:type="dxa"/>
            <w:gridSpan w:val="4"/>
          </w:tcPr>
          <w:p w:rsidR="006A298F" w:rsidRDefault="006A298F" w:rsidP="00BC3DCC">
            <w:pPr>
              <w:pStyle w:val="Sansinterligne"/>
              <w:numPr>
                <w:ilvl w:val="0"/>
                <w:numId w:val="756"/>
              </w:numPr>
            </w:pPr>
            <w:r>
              <w:t>Idées délirantes ou hallucinations prédominantes.</w:t>
            </w:r>
          </w:p>
          <w:p w:rsidR="00F8245C" w:rsidRDefault="006A298F" w:rsidP="00BC3DCC">
            <w:pPr>
              <w:pStyle w:val="Sansinterligne"/>
              <w:numPr>
                <w:ilvl w:val="0"/>
                <w:numId w:val="756"/>
              </w:numPr>
            </w:pPr>
            <w:r>
              <w:t>L’anamnèse, l’examen, les investigations démontrent que le délire ou les hallucinations sont causés par la condition.</w:t>
            </w:r>
          </w:p>
          <w:p w:rsidR="006A298F" w:rsidRDefault="006A298F" w:rsidP="00BC3DCC">
            <w:pPr>
              <w:pStyle w:val="Sansinterligne"/>
              <w:numPr>
                <w:ilvl w:val="0"/>
                <w:numId w:val="756"/>
              </w:numPr>
            </w:pPr>
            <w:r>
              <w:t>Ex : délirium, encéphalopathie urémique, thyrotoxicose, Maladie de Cushing, neurosyphilis, démence, etc.</w:t>
            </w:r>
          </w:p>
        </w:tc>
      </w:tr>
    </w:tbl>
    <w:tbl>
      <w:tblPr>
        <w:tblStyle w:val="Grilledutableau"/>
        <w:tblpPr w:leftFromText="141" w:rightFromText="141" w:vertAnchor="text" w:horzAnchor="margin" w:tblpXSpec="right" w:tblpY="91"/>
        <w:tblW w:w="0" w:type="auto"/>
        <w:tblLook w:val="04A0" w:firstRow="1" w:lastRow="0" w:firstColumn="1" w:lastColumn="0" w:noHBand="0" w:noVBand="1"/>
      </w:tblPr>
      <w:tblGrid>
        <w:gridCol w:w="2802"/>
      </w:tblGrid>
      <w:tr w:rsidR="00304387" w:rsidTr="00304387">
        <w:trPr>
          <w:trHeight w:val="273"/>
        </w:trPr>
        <w:tc>
          <w:tcPr>
            <w:tcW w:w="2802" w:type="dxa"/>
            <w:shd w:val="clear" w:color="auto" w:fill="92D050"/>
          </w:tcPr>
          <w:p w:rsidR="00304387" w:rsidRPr="00510F3C" w:rsidRDefault="00304387" w:rsidP="00304387">
            <w:pPr>
              <w:pStyle w:val="Sansinterligne"/>
              <w:jc w:val="center"/>
              <w:rPr>
                <w:b/>
              </w:rPr>
            </w:pPr>
            <w:r w:rsidRPr="00510F3C">
              <w:rPr>
                <w:b/>
              </w:rPr>
              <w:t>Types de trouble délirant</w:t>
            </w:r>
          </w:p>
        </w:tc>
      </w:tr>
      <w:tr w:rsidR="00304387" w:rsidTr="00304387">
        <w:trPr>
          <w:trHeight w:val="1034"/>
        </w:trPr>
        <w:tc>
          <w:tcPr>
            <w:tcW w:w="2802" w:type="dxa"/>
          </w:tcPr>
          <w:p w:rsidR="00304387" w:rsidRDefault="00304387" w:rsidP="00304387">
            <w:pPr>
              <w:pStyle w:val="Sansinterligne"/>
            </w:pPr>
            <w:r>
              <w:t>Érotomaniaque</w:t>
            </w:r>
          </w:p>
          <w:p w:rsidR="00304387" w:rsidRDefault="00304387" w:rsidP="00304387">
            <w:pPr>
              <w:pStyle w:val="Sansinterligne"/>
            </w:pPr>
            <w:r>
              <w:t>Grandiose</w:t>
            </w:r>
          </w:p>
          <w:p w:rsidR="00304387" w:rsidRDefault="00304387" w:rsidP="00304387">
            <w:pPr>
              <w:pStyle w:val="Sansinterligne"/>
            </w:pPr>
            <w:r>
              <w:t>Jalousie</w:t>
            </w:r>
          </w:p>
          <w:p w:rsidR="00304387" w:rsidRDefault="00304387" w:rsidP="00304387">
            <w:pPr>
              <w:pStyle w:val="Sansinterligne"/>
            </w:pPr>
            <w:r>
              <w:t>Persécution</w:t>
            </w:r>
          </w:p>
          <w:p w:rsidR="00304387" w:rsidRDefault="00304387" w:rsidP="00304387">
            <w:pPr>
              <w:pStyle w:val="Sansinterligne"/>
            </w:pPr>
            <w:r>
              <w:t>Somatique</w:t>
            </w:r>
          </w:p>
          <w:p w:rsidR="00304387" w:rsidRDefault="00304387" w:rsidP="00304387">
            <w:pPr>
              <w:pStyle w:val="Sansinterligne"/>
            </w:pPr>
            <w:r>
              <w:t>Mixe</w:t>
            </w:r>
          </w:p>
          <w:p w:rsidR="00304387" w:rsidRDefault="00304387" w:rsidP="00304387">
            <w:pPr>
              <w:pStyle w:val="Sansinterligne"/>
            </w:pPr>
            <w:r>
              <w:t>Non-spécifique</w:t>
            </w:r>
          </w:p>
        </w:tc>
      </w:tr>
    </w:tbl>
    <w:p w:rsidR="002D636E" w:rsidRDefault="002568EC" w:rsidP="00F8245C">
      <w:pPr>
        <w:pStyle w:val="Sansinterligne"/>
        <w:rPr>
          <w:u w:val="single"/>
        </w:rPr>
      </w:pPr>
      <w:r w:rsidRPr="006A298F">
        <w:rPr>
          <w:u w:val="single"/>
        </w:rPr>
        <w:t xml:space="preserve"> </w:t>
      </w:r>
      <w:r w:rsidR="00F8245C" w:rsidRPr="006A298F">
        <w:rPr>
          <w:u w:val="single"/>
        </w:rPr>
        <w:t>Considérer également</w:t>
      </w:r>
    </w:p>
    <w:p w:rsidR="006A298F" w:rsidRPr="006A298F" w:rsidRDefault="006A298F" w:rsidP="00F8245C">
      <w:pPr>
        <w:pStyle w:val="Sansinterligne"/>
        <w:rPr>
          <w:u w:val="single"/>
        </w:rPr>
      </w:pPr>
    </w:p>
    <w:p w:rsidR="00F8245C" w:rsidRDefault="00F8245C" w:rsidP="00BC3DCC">
      <w:pPr>
        <w:pStyle w:val="Sansinterligne"/>
        <w:numPr>
          <w:ilvl w:val="0"/>
          <w:numId w:val="758"/>
        </w:numPr>
      </w:pPr>
      <w:r w:rsidRPr="00F8245C">
        <w:t>Troubles de l’humeur avec caractéristiques psychotiques</w:t>
      </w:r>
    </w:p>
    <w:p w:rsidR="00F8245C" w:rsidRPr="00F8245C" w:rsidRDefault="00F8245C" w:rsidP="00BC3DCC">
      <w:pPr>
        <w:pStyle w:val="Sansinterligne"/>
        <w:numPr>
          <w:ilvl w:val="1"/>
          <w:numId w:val="758"/>
        </w:numPr>
      </w:pPr>
      <w:r w:rsidRPr="00F8245C">
        <w:t xml:space="preserve">Voir </w:t>
      </w:r>
      <w:r w:rsidRPr="00F8245C">
        <w:rPr>
          <w:i/>
        </w:rPr>
        <w:t xml:space="preserve">Humeur dépressive CMC 59-1 </w:t>
      </w:r>
      <w:r w:rsidRPr="00F8245C">
        <w:t xml:space="preserve">et </w:t>
      </w:r>
      <w:r w:rsidRPr="00F8245C">
        <w:rPr>
          <w:i/>
        </w:rPr>
        <w:t>Manie/Hypomanie CMC 59-2</w:t>
      </w:r>
    </w:p>
    <w:p w:rsidR="00F8245C" w:rsidRDefault="00F8245C" w:rsidP="00BC3DCC">
      <w:pPr>
        <w:pStyle w:val="Sansinterligne"/>
        <w:numPr>
          <w:ilvl w:val="0"/>
          <w:numId w:val="758"/>
        </w:numPr>
      </w:pPr>
      <w:r>
        <w:t>Trouble de la personnalité du cluster A</w:t>
      </w:r>
    </w:p>
    <w:p w:rsidR="00F8245C" w:rsidRDefault="00F8245C" w:rsidP="00BC3DCC">
      <w:pPr>
        <w:pStyle w:val="Sansinterligne"/>
        <w:numPr>
          <w:ilvl w:val="1"/>
          <w:numId w:val="758"/>
        </w:numPr>
        <w:rPr>
          <w:i/>
        </w:rPr>
      </w:pPr>
      <w:r w:rsidRPr="00F8245C">
        <w:t xml:space="preserve">Voir </w:t>
      </w:r>
      <w:r w:rsidRPr="00F8245C">
        <w:rPr>
          <w:i/>
        </w:rPr>
        <w:t>Trouble de la personnalité CMC 75</w:t>
      </w:r>
    </w:p>
    <w:p w:rsidR="00F8245C" w:rsidRPr="00F8245C" w:rsidRDefault="00F8245C" w:rsidP="00F8245C">
      <w:pPr>
        <w:pStyle w:val="Sansinterligne"/>
      </w:pPr>
    </w:p>
    <w:p w:rsidR="002D636E" w:rsidRDefault="002C67D2" w:rsidP="002C67D2">
      <w:pPr>
        <w:pStyle w:val="Sansinterligne"/>
        <w:rPr>
          <w:b/>
          <w:sz w:val="28"/>
          <w:szCs w:val="28"/>
        </w:rPr>
      </w:pPr>
      <w:r w:rsidRPr="004F60F4">
        <w:rPr>
          <w:b/>
          <w:sz w:val="28"/>
          <w:szCs w:val="28"/>
        </w:rPr>
        <w:t>Investigations</w:t>
      </w:r>
    </w:p>
    <w:p w:rsidR="008E7CD9" w:rsidRPr="008E7CD9" w:rsidRDefault="008E7CD9" w:rsidP="002C67D2">
      <w:pPr>
        <w:pStyle w:val="Sansinterligne"/>
        <w:rPr>
          <w:b/>
          <w:sz w:val="16"/>
          <w:szCs w:val="16"/>
        </w:rPr>
      </w:pPr>
    </w:p>
    <w:p w:rsidR="002C67D2" w:rsidRDefault="008E7CD9" w:rsidP="00BC3DCC">
      <w:pPr>
        <w:pStyle w:val="Sansinterligne"/>
        <w:numPr>
          <w:ilvl w:val="0"/>
          <w:numId w:val="759"/>
        </w:numPr>
      </w:pPr>
      <w:r>
        <w:t>Bilans nécessaires pour explorer une pathologie médicale ou l’usage de substance si suspecté</w:t>
      </w:r>
    </w:p>
    <w:p w:rsidR="008E7CD9" w:rsidRDefault="008E7CD9" w:rsidP="00BC3DCC">
      <w:pPr>
        <w:pStyle w:val="Sansinterligne"/>
        <w:numPr>
          <w:ilvl w:val="0"/>
          <w:numId w:val="759"/>
        </w:numPr>
      </w:pPr>
      <w:r>
        <w:t>TSH, dosage du cortisol urinaire, dépistages de drogues de rue, retrait/changement de médication, etc.</w:t>
      </w:r>
    </w:p>
    <w:p w:rsidR="008E7CD9" w:rsidRDefault="008E7CD9" w:rsidP="002C67D2">
      <w:pPr>
        <w:pStyle w:val="Sansinterligne"/>
      </w:pPr>
    </w:p>
    <w:p w:rsidR="002C67D2" w:rsidRPr="004F60F4" w:rsidRDefault="002C67D2" w:rsidP="002C67D2">
      <w:pPr>
        <w:pStyle w:val="Sansinterligne"/>
        <w:rPr>
          <w:b/>
          <w:sz w:val="28"/>
          <w:szCs w:val="28"/>
        </w:rPr>
      </w:pPr>
      <w:r w:rsidRPr="004F60F4">
        <w:rPr>
          <w:b/>
          <w:sz w:val="28"/>
          <w:szCs w:val="28"/>
        </w:rPr>
        <w:t>Prise en charge</w:t>
      </w:r>
    </w:p>
    <w:p w:rsidR="002C67D2" w:rsidRDefault="002C67D2" w:rsidP="002C67D2">
      <w:pPr>
        <w:pStyle w:val="Sansinterligne"/>
      </w:pPr>
    </w:p>
    <w:p w:rsidR="004F60F4" w:rsidRDefault="00304387" w:rsidP="00BC3DCC">
      <w:pPr>
        <w:pStyle w:val="Sansinterligne"/>
        <w:numPr>
          <w:ilvl w:val="0"/>
          <w:numId w:val="764"/>
        </w:numPr>
      </w:pPr>
      <w:r>
        <w:rPr>
          <w:noProof/>
          <w:lang w:eastAsia="fr-CA"/>
        </w:rPr>
        <w:drawing>
          <wp:anchor distT="0" distB="0" distL="114300" distR="114300" simplePos="0" relativeHeight="251871232" behindDoc="0" locked="0" layoutInCell="1" allowOverlap="1" wp14:anchorId="03671A1E" wp14:editId="2561B084">
            <wp:simplePos x="0" y="0"/>
            <wp:positionH relativeFrom="column">
              <wp:posOffset>4520565</wp:posOffset>
            </wp:positionH>
            <wp:positionV relativeFrom="paragraph">
              <wp:posOffset>264281</wp:posOffset>
            </wp:positionV>
            <wp:extent cx="2421890" cy="2421890"/>
            <wp:effectExtent l="0" t="0" r="0" b="0"/>
            <wp:wrapNone/>
            <wp:docPr id="382" name="Image 382" descr="Résultats de recherche d'images pour « halopérido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ésultats de recherche d'images pour « halopéridol »"/>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2421890" cy="2421890"/>
                    </a:xfrm>
                    <a:prstGeom prst="rect">
                      <a:avLst/>
                    </a:prstGeom>
                    <a:noFill/>
                    <a:ln>
                      <a:noFill/>
                    </a:ln>
                  </pic:spPr>
                </pic:pic>
              </a:graphicData>
            </a:graphic>
            <wp14:sizeRelH relativeFrom="page">
              <wp14:pctWidth>0</wp14:pctWidth>
            </wp14:sizeRelH>
            <wp14:sizeRelV relativeFrom="page">
              <wp14:pctHeight>0</wp14:pctHeight>
            </wp14:sizeRelV>
          </wp:anchor>
        </w:drawing>
      </w:r>
      <w:r w:rsidR="003A376C">
        <w:t xml:space="preserve">Bien évaluer </w:t>
      </w:r>
      <w:r w:rsidR="003A376C" w:rsidRPr="002568EC">
        <w:rPr>
          <w:u w:val="single"/>
        </w:rPr>
        <w:t>le risque de suicidaire</w:t>
      </w:r>
      <w:r w:rsidR="003A376C">
        <w:t>, puisque le contrôle pulsionnel est limité dans plusieurs troubles psychotiques et qu’ils sont davantage à risque de suicide.</w:t>
      </w:r>
    </w:p>
    <w:p w:rsidR="003A376C" w:rsidRPr="002568EC" w:rsidRDefault="003A376C" w:rsidP="00BC3DCC">
      <w:pPr>
        <w:pStyle w:val="Sansinterligne"/>
        <w:numPr>
          <w:ilvl w:val="0"/>
          <w:numId w:val="764"/>
        </w:numPr>
        <w:rPr>
          <w:u w:val="single"/>
        </w:rPr>
      </w:pPr>
      <w:r w:rsidRPr="002568EC">
        <w:rPr>
          <w:u w:val="single"/>
        </w:rPr>
        <w:t>Suivi de la condition physique</w:t>
      </w:r>
    </w:p>
    <w:p w:rsidR="002568EC" w:rsidRDefault="003A376C" w:rsidP="00BC3DCC">
      <w:pPr>
        <w:pStyle w:val="Sansinterligne"/>
        <w:numPr>
          <w:ilvl w:val="1"/>
          <w:numId w:val="764"/>
        </w:numPr>
      </w:pPr>
      <w:r>
        <w:t>Plus à risque de</w:t>
      </w:r>
      <w:r w:rsidR="002568EC">
        <w:t> :</w:t>
      </w:r>
    </w:p>
    <w:p w:rsidR="002568EC" w:rsidRDefault="002568EC" w:rsidP="00BC3DCC">
      <w:pPr>
        <w:pStyle w:val="Sansinterligne"/>
        <w:numPr>
          <w:ilvl w:val="2"/>
          <w:numId w:val="764"/>
        </w:numPr>
      </w:pPr>
      <w:r>
        <w:t>Gain de poids</w:t>
      </w:r>
    </w:p>
    <w:p w:rsidR="002568EC" w:rsidRDefault="002568EC" w:rsidP="00BC3DCC">
      <w:pPr>
        <w:pStyle w:val="Sansinterligne"/>
        <w:numPr>
          <w:ilvl w:val="2"/>
          <w:numId w:val="764"/>
        </w:numPr>
      </w:pPr>
      <w:r>
        <w:t>D</w:t>
      </w:r>
      <w:r w:rsidR="003A376C">
        <w:t>iab</w:t>
      </w:r>
      <w:r>
        <w:t>ète</w:t>
      </w:r>
    </w:p>
    <w:p w:rsidR="002568EC" w:rsidRDefault="002568EC" w:rsidP="00BC3DCC">
      <w:pPr>
        <w:pStyle w:val="Sansinterligne"/>
        <w:numPr>
          <w:ilvl w:val="2"/>
          <w:numId w:val="764"/>
        </w:numPr>
      </w:pPr>
      <w:r>
        <w:t>S</w:t>
      </w:r>
      <w:r w:rsidR="003A376C">
        <w:t>yndrome méta</w:t>
      </w:r>
      <w:r>
        <w:t>bolique</w:t>
      </w:r>
    </w:p>
    <w:p w:rsidR="003A376C" w:rsidRDefault="002568EC" w:rsidP="00BC3DCC">
      <w:pPr>
        <w:pStyle w:val="Sansinterligne"/>
        <w:numPr>
          <w:ilvl w:val="2"/>
          <w:numId w:val="764"/>
        </w:numPr>
      </w:pPr>
      <w:r>
        <w:t>C</w:t>
      </w:r>
      <w:r w:rsidR="003A376C">
        <w:t>omplications cardiopulmonaires</w:t>
      </w:r>
    </w:p>
    <w:p w:rsidR="003A376C" w:rsidRDefault="003A376C" w:rsidP="002C67D2">
      <w:pPr>
        <w:pStyle w:val="Sansinterligne"/>
      </w:pPr>
    </w:p>
    <w:p w:rsidR="003A376C" w:rsidRPr="00304387" w:rsidRDefault="003A376C" w:rsidP="002C67D2">
      <w:pPr>
        <w:pStyle w:val="Sansinterligne"/>
        <w:rPr>
          <w:b/>
          <w:highlight w:val="yellow"/>
        </w:rPr>
      </w:pPr>
      <w:r w:rsidRPr="002568EC">
        <w:rPr>
          <w:b/>
          <w:highlight w:val="yellow"/>
        </w:rPr>
        <w:t>Schizophrénie</w:t>
      </w:r>
    </w:p>
    <w:p w:rsidR="00110D13" w:rsidRPr="002142A5" w:rsidRDefault="00110D13" w:rsidP="002C67D2">
      <w:pPr>
        <w:pStyle w:val="Sansinterligne"/>
        <w:rPr>
          <w:highlight w:val="yellow"/>
          <w:lang w:val="de-DE"/>
        </w:rPr>
      </w:pPr>
    </w:p>
    <w:p w:rsidR="003A376C" w:rsidRPr="002568EC" w:rsidRDefault="003A376C" w:rsidP="00BC3DCC">
      <w:pPr>
        <w:pStyle w:val="Sansinterligne"/>
        <w:numPr>
          <w:ilvl w:val="0"/>
          <w:numId w:val="760"/>
        </w:numPr>
        <w:rPr>
          <w:highlight w:val="yellow"/>
        </w:rPr>
      </w:pPr>
      <w:r w:rsidRPr="002568EC">
        <w:rPr>
          <w:highlight w:val="yellow"/>
        </w:rPr>
        <w:t xml:space="preserve">Traitement aigu avec antipsychotiques </w:t>
      </w:r>
      <w:r w:rsidRPr="002568EC">
        <w:rPr>
          <w:rFonts w:cs="Times New Roman"/>
          <w:highlight w:val="yellow"/>
        </w:rPr>
        <w:t>±</w:t>
      </w:r>
      <w:r w:rsidRPr="002568EC">
        <w:rPr>
          <w:highlight w:val="yellow"/>
        </w:rPr>
        <w:t xml:space="preserve"> anxiolytiques. (voir pharmacothérapie)</w:t>
      </w:r>
    </w:p>
    <w:p w:rsidR="003A376C" w:rsidRPr="002568EC" w:rsidRDefault="00110D13" w:rsidP="00BC3DCC">
      <w:pPr>
        <w:pStyle w:val="Sansinterligne"/>
        <w:numPr>
          <w:ilvl w:val="0"/>
          <w:numId w:val="760"/>
        </w:numPr>
        <w:rPr>
          <w:highlight w:val="yellow"/>
        </w:rPr>
      </w:pPr>
      <w:r w:rsidRPr="002568EC">
        <w:rPr>
          <w:highlight w:val="yellow"/>
        </w:rPr>
        <w:t>Maintenance et suivi régulier par psychiatre et médecin de famille</w:t>
      </w:r>
    </w:p>
    <w:p w:rsidR="003A376C" w:rsidRPr="002568EC" w:rsidRDefault="003A376C" w:rsidP="00BC3DCC">
      <w:pPr>
        <w:pStyle w:val="Sansinterligne"/>
        <w:numPr>
          <w:ilvl w:val="0"/>
          <w:numId w:val="760"/>
        </w:numPr>
        <w:rPr>
          <w:highlight w:val="yellow"/>
        </w:rPr>
      </w:pPr>
      <w:r w:rsidRPr="002568EC">
        <w:rPr>
          <w:highlight w:val="yellow"/>
        </w:rPr>
        <w:t>Psychothérapie</w:t>
      </w:r>
      <w:r w:rsidR="00110D13" w:rsidRPr="002568EC">
        <w:rPr>
          <w:highlight w:val="yellow"/>
        </w:rPr>
        <w:t xml:space="preserve"> TCC</w:t>
      </w:r>
    </w:p>
    <w:p w:rsidR="003A376C" w:rsidRPr="002568EC" w:rsidRDefault="003A376C" w:rsidP="00BC3DCC">
      <w:pPr>
        <w:pStyle w:val="Sansinterligne"/>
        <w:numPr>
          <w:ilvl w:val="0"/>
          <w:numId w:val="760"/>
        </w:numPr>
        <w:rPr>
          <w:highlight w:val="yellow"/>
        </w:rPr>
      </w:pPr>
      <w:r w:rsidRPr="002568EC">
        <w:rPr>
          <w:highlight w:val="yellow"/>
        </w:rPr>
        <w:t>Renforcement des capacités sociales, réinsertion en emploi</w:t>
      </w:r>
    </w:p>
    <w:p w:rsidR="003A376C" w:rsidRPr="002568EC" w:rsidRDefault="003A376C" w:rsidP="00BC3DCC">
      <w:pPr>
        <w:pStyle w:val="Sansinterligne"/>
        <w:numPr>
          <w:ilvl w:val="0"/>
          <w:numId w:val="760"/>
        </w:numPr>
        <w:rPr>
          <w:highlight w:val="yellow"/>
        </w:rPr>
      </w:pPr>
      <w:r w:rsidRPr="002568EC">
        <w:rPr>
          <w:highlight w:val="yellow"/>
        </w:rPr>
        <w:t>Ressources d’hébergement adapté PRN (ex : SHERPA)</w:t>
      </w:r>
    </w:p>
    <w:p w:rsidR="00110D13" w:rsidRPr="002568EC" w:rsidRDefault="00110D13" w:rsidP="00BC3DCC">
      <w:pPr>
        <w:pStyle w:val="Sansinterligne"/>
        <w:numPr>
          <w:ilvl w:val="0"/>
          <w:numId w:val="760"/>
        </w:numPr>
        <w:rPr>
          <w:highlight w:val="yellow"/>
        </w:rPr>
      </w:pPr>
      <w:r w:rsidRPr="002568EC">
        <w:rPr>
          <w:highlight w:val="yellow"/>
        </w:rPr>
        <w:t>Pronostic :</w:t>
      </w:r>
    </w:p>
    <w:p w:rsidR="00110D13" w:rsidRPr="002568EC" w:rsidRDefault="00110D13" w:rsidP="00BC3DCC">
      <w:pPr>
        <w:pStyle w:val="Sansinterligne"/>
        <w:numPr>
          <w:ilvl w:val="1"/>
          <w:numId w:val="760"/>
        </w:numPr>
        <w:rPr>
          <w:highlight w:val="yellow"/>
        </w:rPr>
      </w:pPr>
      <w:r w:rsidRPr="002568EC">
        <w:rPr>
          <w:highlight w:val="yellow"/>
        </w:rPr>
        <w:t>Plus la durée de psychose sans traitement est courte, meilleur est le pronostic et la réponse aux antipsychotiques.</w:t>
      </w:r>
    </w:p>
    <w:p w:rsidR="00110D13" w:rsidRPr="002568EC" w:rsidRDefault="00110D13" w:rsidP="00BC3DCC">
      <w:pPr>
        <w:pStyle w:val="Sansinterligne"/>
        <w:numPr>
          <w:ilvl w:val="1"/>
          <w:numId w:val="760"/>
        </w:numPr>
        <w:rPr>
          <w:highlight w:val="yellow"/>
        </w:rPr>
      </w:pPr>
      <w:r w:rsidRPr="002568EC">
        <w:rPr>
          <w:highlight w:val="yellow"/>
        </w:rPr>
        <w:t>1/3 s’améliorent, 1/3 ne s’améliorent pas, 1/3 se détériorent. Pattern rémission/rechute.</w:t>
      </w:r>
    </w:p>
    <w:p w:rsidR="00110D13" w:rsidRPr="002568EC" w:rsidRDefault="00110D13" w:rsidP="00BC3DCC">
      <w:pPr>
        <w:pStyle w:val="Sansinterligne"/>
        <w:numPr>
          <w:ilvl w:val="1"/>
          <w:numId w:val="760"/>
        </w:numPr>
        <w:rPr>
          <w:highlight w:val="yellow"/>
        </w:rPr>
      </w:pPr>
      <w:r w:rsidRPr="002568EC">
        <w:rPr>
          <w:highlight w:val="yellow"/>
        </w:rPr>
        <w:t>Les symptômes positifs sont mieux traités, les symptômes négatifs persistent souvent.</w:t>
      </w:r>
    </w:p>
    <w:p w:rsidR="003A376C" w:rsidRDefault="003A376C" w:rsidP="002C67D2">
      <w:pPr>
        <w:pStyle w:val="Sansinterligne"/>
      </w:pPr>
    </w:p>
    <w:tbl>
      <w:tblPr>
        <w:tblStyle w:val="Grilledutableau"/>
        <w:tblpPr w:leftFromText="141" w:rightFromText="141" w:vertAnchor="text" w:horzAnchor="margin" w:tblpXSpec="right" w:tblpY="127"/>
        <w:tblW w:w="0" w:type="auto"/>
        <w:tblLook w:val="04A0" w:firstRow="1" w:lastRow="0" w:firstColumn="1" w:lastColumn="0" w:noHBand="0" w:noVBand="1"/>
      </w:tblPr>
      <w:tblGrid>
        <w:gridCol w:w="4077"/>
      </w:tblGrid>
      <w:tr w:rsidR="00304387" w:rsidTr="00304387">
        <w:tc>
          <w:tcPr>
            <w:tcW w:w="4077" w:type="dxa"/>
            <w:shd w:val="clear" w:color="auto" w:fill="92D050"/>
          </w:tcPr>
          <w:p w:rsidR="00304387" w:rsidRDefault="00304387" w:rsidP="00304387">
            <w:pPr>
              <w:pStyle w:val="Sansinterligne"/>
              <w:jc w:val="center"/>
              <w:rPr>
                <w:b/>
                <w:highlight w:val="yellow"/>
              </w:rPr>
            </w:pPr>
            <w:r w:rsidRPr="00C45BDF">
              <w:rPr>
                <w:b/>
              </w:rPr>
              <w:t xml:space="preserve">Molécules à utiliser en </w:t>
            </w:r>
            <w:r>
              <w:rPr>
                <w:b/>
              </w:rPr>
              <w:t xml:space="preserve">psychose </w:t>
            </w:r>
            <w:r w:rsidRPr="00C45BDF">
              <w:rPr>
                <w:b/>
              </w:rPr>
              <w:t>aigu</w:t>
            </w:r>
          </w:p>
        </w:tc>
      </w:tr>
      <w:tr w:rsidR="00304387" w:rsidRPr="00C6143D" w:rsidTr="00304387">
        <w:tc>
          <w:tcPr>
            <w:tcW w:w="4077" w:type="dxa"/>
          </w:tcPr>
          <w:p w:rsidR="00304387" w:rsidRPr="00C45BDF" w:rsidRDefault="00304387" w:rsidP="00304387">
            <w:pPr>
              <w:pStyle w:val="Sansinterligne"/>
              <w:rPr>
                <w:lang w:val="de-DE"/>
              </w:rPr>
            </w:pPr>
            <w:r w:rsidRPr="00C45BDF">
              <w:rPr>
                <w:lang w:val="de-DE"/>
              </w:rPr>
              <w:t xml:space="preserve">Halopéridol 5 mg IM </w:t>
            </w:r>
            <w:r w:rsidRPr="00C45BDF">
              <w:rPr>
                <w:rFonts w:cs="Times New Roman"/>
                <w:lang w:val="de-DE"/>
              </w:rPr>
              <w:t>±</w:t>
            </w:r>
            <w:r w:rsidRPr="00C45BDF">
              <w:rPr>
                <w:lang w:val="de-DE"/>
              </w:rPr>
              <w:t xml:space="preserve"> lorazépam 2 mg IM</w:t>
            </w:r>
          </w:p>
          <w:p w:rsidR="00304387" w:rsidRPr="00C45BDF" w:rsidRDefault="00304387" w:rsidP="00304387">
            <w:pPr>
              <w:pStyle w:val="Sansinterligne"/>
              <w:rPr>
                <w:lang w:val="de-DE"/>
              </w:rPr>
            </w:pPr>
            <w:r>
              <w:rPr>
                <w:lang w:val="de-DE"/>
              </w:rPr>
              <w:t>Rispéridone 2 mg</w:t>
            </w:r>
          </w:p>
          <w:p w:rsidR="00304387" w:rsidRPr="002142A5" w:rsidRDefault="00304387" w:rsidP="00304387">
            <w:pPr>
              <w:pStyle w:val="Sansinterligne"/>
              <w:rPr>
                <w:lang w:val="de-DE"/>
              </w:rPr>
            </w:pPr>
            <w:r>
              <w:rPr>
                <w:lang w:val="de-DE"/>
              </w:rPr>
              <w:t>Olanzapine 2,5-10 mg PO/IM</w:t>
            </w:r>
          </w:p>
        </w:tc>
      </w:tr>
    </w:tbl>
    <w:p w:rsidR="00110D13" w:rsidRPr="00110D13" w:rsidRDefault="00304387" w:rsidP="002C67D2">
      <w:pPr>
        <w:pStyle w:val="Sansinterligne"/>
        <w:rPr>
          <w:b/>
        </w:rPr>
      </w:pPr>
      <w:r w:rsidRPr="00D81CCE">
        <w:rPr>
          <w:b/>
          <w:lang w:val="de-DE"/>
        </w:rPr>
        <w:t xml:space="preserve"> </w:t>
      </w:r>
      <w:r w:rsidR="00110D13" w:rsidRPr="00110D13">
        <w:rPr>
          <w:b/>
        </w:rPr>
        <w:t>Trouble schizophréniforme et psychotique bref</w:t>
      </w:r>
    </w:p>
    <w:p w:rsidR="00110D13" w:rsidRDefault="00110D13" w:rsidP="002C67D2">
      <w:pPr>
        <w:pStyle w:val="Sansinterligne"/>
      </w:pPr>
    </w:p>
    <w:p w:rsidR="00304387" w:rsidRDefault="00110D13" w:rsidP="00BC3DCC">
      <w:pPr>
        <w:pStyle w:val="Sansinterligne"/>
        <w:numPr>
          <w:ilvl w:val="0"/>
          <w:numId w:val="761"/>
        </w:numPr>
      </w:pPr>
      <w:r>
        <w:t xml:space="preserve">Traitement aigu idem </w:t>
      </w:r>
    </w:p>
    <w:p w:rsidR="00110D13" w:rsidRDefault="00110D13" w:rsidP="00304387">
      <w:pPr>
        <w:pStyle w:val="Sansinterligne"/>
        <w:ind w:left="360"/>
      </w:pPr>
      <w:r>
        <w:t>(antipsychotiques, benzodiazépines, environnement sécurisé)</w:t>
      </w:r>
    </w:p>
    <w:tbl>
      <w:tblPr>
        <w:tblStyle w:val="Grilledutableau"/>
        <w:tblpPr w:leftFromText="141" w:rightFromText="141" w:vertAnchor="text" w:horzAnchor="margin" w:tblpXSpec="right" w:tblpY="310"/>
        <w:tblW w:w="0" w:type="auto"/>
        <w:tblLook w:val="04A0" w:firstRow="1" w:lastRow="0" w:firstColumn="1" w:lastColumn="0" w:noHBand="0" w:noVBand="1"/>
      </w:tblPr>
      <w:tblGrid>
        <w:gridCol w:w="1384"/>
        <w:gridCol w:w="3827"/>
      </w:tblGrid>
      <w:tr w:rsidR="00304387" w:rsidTr="00304387">
        <w:tc>
          <w:tcPr>
            <w:tcW w:w="1384" w:type="dxa"/>
            <w:shd w:val="clear" w:color="auto" w:fill="FFFF00"/>
          </w:tcPr>
          <w:p w:rsidR="00304387" w:rsidRDefault="00304387" w:rsidP="00304387">
            <w:pPr>
              <w:pStyle w:val="Sansinterligne"/>
            </w:pPr>
            <w:r>
              <w:t>Quétiapine</w:t>
            </w:r>
          </w:p>
          <w:p w:rsidR="00304387" w:rsidRDefault="00304387" w:rsidP="00304387">
            <w:pPr>
              <w:pStyle w:val="Sansinterligne"/>
            </w:pPr>
            <w:r>
              <w:t>Rispéridone</w:t>
            </w:r>
          </w:p>
        </w:tc>
        <w:tc>
          <w:tcPr>
            <w:tcW w:w="3827" w:type="dxa"/>
          </w:tcPr>
          <w:p w:rsidR="00304387" w:rsidRDefault="00304387" w:rsidP="00304387">
            <w:pPr>
              <w:pStyle w:val="Sansinterligne"/>
            </w:pPr>
            <w:r>
              <w:t>Incisifs avec un bon effet sédatif, moins de prise de poids (pour 2</w:t>
            </w:r>
            <w:r w:rsidRPr="00446FBE">
              <w:rPr>
                <w:vertAlign w:val="superscript"/>
              </w:rPr>
              <w:t>e</w:t>
            </w:r>
            <w:r>
              <w:t xml:space="preserve"> génération)</w:t>
            </w:r>
          </w:p>
        </w:tc>
      </w:tr>
      <w:tr w:rsidR="00304387" w:rsidTr="00304387">
        <w:tc>
          <w:tcPr>
            <w:tcW w:w="1384" w:type="dxa"/>
            <w:shd w:val="clear" w:color="auto" w:fill="FFFF00"/>
          </w:tcPr>
          <w:p w:rsidR="00304387" w:rsidRDefault="00304387" w:rsidP="00304387">
            <w:pPr>
              <w:pStyle w:val="Sansinterligne"/>
            </w:pPr>
            <w:r>
              <w:t>Olanzapine</w:t>
            </w:r>
          </w:p>
        </w:tc>
        <w:tc>
          <w:tcPr>
            <w:tcW w:w="3827" w:type="dxa"/>
          </w:tcPr>
          <w:p w:rsidR="00304387" w:rsidRDefault="00304387" w:rsidP="00304387">
            <w:pPr>
              <w:pStyle w:val="Sansinterligne"/>
            </w:pPr>
            <w:r>
              <w:t>Très bien toléré, plus grande prise de poids</w:t>
            </w:r>
          </w:p>
        </w:tc>
      </w:tr>
      <w:tr w:rsidR="00304387" w:rsidTr="00304387">
        <w:tc>
          <w:tcPr>
            <w:tcW w:w="1384" w:type="dxa"/>
            <w:shd w:val="clear" w:color="auto" w:fill="FFFF00"/>
          </w:tcPr>
          <w:p w:rsidR="00304387" w:rsidRDefault="00304387" w:rsidP="00304387">
            <w:pPr>
              <w:pStyle w:val="Sansinterligne"/>
            </w:pPr>
            <w:r>
              <w:t>Aripiprazole</w:t>
            </w:r>
          </w:p>
        </w:tc>
        <w:tc>
          <w:tcPr>
            <w:tcW w:w="3827" w:type="dxa"/>
          </w:tcPr>
          <w:p w:rsidR="00304387" w:rsidRDefault="00304387" w:rsidP="00304387">
            <w:pPr>
              <w:pStyle w:val="Sansinterligne"/>
            </w:pPr>
            <w:r>
              <w:t>Effet métabolique moindre, efficace, peu sédatif (excellent choix)</w:t>
            </w:r>
          </w:p>
        </w:tc>
      </w:tr>
      <w:tr w:rsidR="00304387" w:rsidTr="00304387">
        <w:tc>
          <w:tcPr>
            <w:tcW w:w="1384" w:type="dxa"/>
            <w:shd w:val="clear" w:color="auto" w:fill="FFFF00"/>
          </w:tcPr>
          <w:p w:rsidR="00304387" w:rsidRDefault="00304387" w:rsidP="00304387">
            <w:pPr>
              <w:pStyle w:val="Sansinterligne"/>
            </w:pPr>
            <w:r>
              <w:t>Clozapine</w:t>
            </w:r>
          </w:p>
        </w:tc>
        <w:tc>
          <w:tcPr>
            <w:tcW w:w="3827" w:type="dxa"/>
          </w:tcPr>
          <w:p w:rsidR="00304387" w:rsidRDefault="00304387" w:rsidP="00304387">
            <w:pPr>
              <w:pStyle w:val="Sansinterligne"/>
            </w:pPr>
            <w:r>
              <w:t>Dernier recours vu les risques d’usage, utilisé en schizophrénie réfractaire. Très puissant.</w:t>
            </w:r>
          </w:p>
        </w:tc>
      </w:tr>
    </w:tbl>
    <w:p w:rsidR="00110D13" w:rsidRDefault="00110D13" w:rsidP="00BC3DCC">
      <w:pPr>
        <w:pStyle w:val="Sansinterligne"/>
        <w:numPr>
          <w:ilvl w:val="0"/>
          <w:numId w:val="761"/>
        </w:numPr>
      </w:pPr>
      <w:r>
        <w:t>Pronostic meilleur et relativement bon, les patients demeurent fonctionnels</w:t>
      </w:r>
    </w:p>
    <w:p w:rsidR="00110D13" w:rsidRDefault="00110D13" w:rsidP="002C67D2">
      <w:pPr>
        <w:pStyle w:val="Sansinterligne"/>
      </w:pPr>
    </w:p>
    <w:p w:rsidR="00110D13" w:rsidRPr="00110D13" w:rsidRDefault="00110D13" w:rsidP="002C67D2">
      <w:pPr>
        <w:pStyle w:val="Sansinterligne"/>
        <w:rPr>
          <w:b/>
        </w:rPr>
      </w:pPr>
      <w:r w:rsidRPr="00110D13">
        <w:rPr>
          <w:b/>
        </w:rPr>
        <w:t>Trouble délirant</w:t>
      </w:r>
    </w:p>
    <w:p w:rsidR="00110D13" w:rsidRDefault="00110D13" w:rsidP="002C67D2">
      <w:pPr>
        <w:pStyle w:val="Sansinterligne"/>
      </w:pPr>
    </w:p>
    <w:p w:rsidR="00110D13" w:rsidRDefault="00110D13" w:rsidP="00BC3DCC">
      <w:pPr>
        <w:pStyle w:val="Sansinterligne"/>
        <w:numPr>
          <w:ilvl w:val="0"/>
          <w:numId w:val="762"/>
        </w:numPr>
      </w:pPr>
      <w:r w:rsidRPr="00241788">
        <w:t>Pharmacothérapie</w:t>
      </w:r>
      <w:r>
        <w:t> : antipsychotiques et antidépresseurs</w:t>
      </w:r>
    </w:p>
    <w:p w:rsidR="00110D13" w:rsidRPr="00241788" w:rsidRDefault="00110D13" w:rsidP="00BC3DCC">
      <w:pPr>
        <w:pStyle w:val="Sansinterligne"/>
        <w:numPr>
          <w:ilvl w:val="0"/>
          <w:numId w:val="762"/>
        </w:numPr>
      </w:pPr>
      <w:r w:rsidRPr="00241788">
        <w:t>Psychothérapie</w:t>
      </w:r>
    </w:p>
    <w:p w:rsidR="00110D13" w:rsidRDefault="00110D13" w:rsidP="00BC3DCC">
      <w:pPr>
        <w:pStyle w:val="Sansinterligne"/>
        <w:numPr>
          <w:ilvl w:val="0"/>
          <w:numId w:val="762"/>
        </w:numPr>
      </w:pPr>
      <w:r w:rsidRPr="00241788">
        <w:t>Pronostic</w:t>
      </w:r>
      <w:r>
        <w:t xml:space="preserve"> : maladie chronique, demeurent fonctionnels. </w:t>
      </w:r>
    </w:p>
    <w:p w:rsidR="00110D13" w:rsidRDefault="00110D13" w:rsidP="002C67D2">
      <w:pPr>
        <w:pStyle w:val="Sansinterligne"/>
      </w:pPr>
      <w:r>
        <w:t xml:space="preserve">                 Certains progressent vers la schizophrénie.</w:t>
      </w:r>
    </w:p>
    <w:p w:rsidR="00110D13" w:rsidRDefault="00110D13" w:rsidP="002C67D2">
      <w:pPr>
        <w:pStyle w:val="Sansinterligne"/>
      </w:pPr>
    </w:p>
    <w:p w:rsidR="00241788" w:rsidRDefault="00241788" w:rsidP="002C67D2">
      <w:pPr>
        <w:pStyle w:val="Sansinterligne"/>
      </w:pPr>
      <w:r w:rsidRPr="00241788">
        <w:rPr>
          <w:b/>
        </w:rPr>
        <w:t>Trouble psychotique induit</w:t>
      </w:r>
      <w:r w:rsidR="00510F3C" w:rsidRPr="00510F3C">
        <w:t xml:space="preserve"> </w:t>
      </w:r>
    </w:p>
    <w:p w:rsidR="00073E9D" w:rsidRPr="00241788" w:rsidRDefault="00073E9D" w:rsidP="002C67D2">
      <w:pPr>
        <w:pStyle w:val="Sansinterligne"/>
        <w:rPr>
          <w:b/>
        </w:rPr>
      </w:pPr>
    </w:p>
    <w:p w:rsidR="00241788" w:rsidRDefault="00241788" w:rsidP="00BC3DCC">
      <w:pPr>
        <w:pStyle w:val="Sansinterligne"/>
        <w:numPr>
          <w:ilvl w:val="0"/>
          <w:numId w:val="763"/>
        </w:numPr>
      </w:pPr>
      <w:r>
        <w:t>Traiter la cause sous-jacente</w:t>
      </w:r>
    </w:p>
    <w:p w:rsidR="00241788" w:rsidRDefault="00241788" w:rsidP="00BC3DCC">
      <w:pPr>
        <w:pStyle w:val="Sansinterligne"/>
        <w:numPr>
          <w:ilvl w:val="0"/>
          <w:numId w:val="763"/>
        </w:numPr>
      </w:pPr>
      <w:r>
        <w:t>Antipsychotiques PRN</w:t>
      </w:r>
    </w:p>
    <w:p w:rsidR="00241788" w:rsidRDefault="00241788" w:rsidP="00241788">
      <w:pPr>
        <w:pStyle w:val="Sansinterligne"/>
      </w:pPr>
    </w:p>
    <w:p w:rsidR="002C67D2" w:rsidRPr="004F60F4" w:rsidRDefault="002C67D2" w:rsidP="002C67D2">
      <w:pPr>
        <w:pStyle w:val="Sansinterligne"/>
        <w:rPr>
          <w:b/>
          <w:sz w:val="28"/>
          <w:szCs w:val="28"/>
        </w:rPr>
      </w:pPr>
      <w:r w:rsidRPr="004F60F4">
        <w:rPr>
          <w:b/>
          <w:sz w:val="28"/>
          <w:szCs w:val="28"/>
        </w:rPr>
        <w:t>Pharmacothérapie – Antipsychotiques</w:t>
      </w:r>
    </w:p>
    <w:p w:rsidR="00940EBB" w:rsidRDefault="00940EBB" w:rsidP="002C67D2">
      <w:pPr>
        <w:pStyle w:val="Sansinterligne"/>
      </w:pPr>
    </w:p>
    <w:p w:rsidR="00940EBB" w:rsidRDefault="00C45BDF" w:rsidP="002C67D2">
      <w:pPr>
        <w:pStyle w:val="Sansinterligne"/>
      </w:pPr>
      <w:r w:rsidRPr="00415323">
        <w:rPr>
          <w:b/>
        </w:rPr>
        <w:t>Indications</w:t>
      </w:r>
      <w:r w:rsidR="00D674DF">
        <w:t xml:space="preserve"> : </w:t>
      </w:r>
      <w:r w:rsidR="00D674DF" w:rsidRPr="0008416E">
        <w:rPr>
          <w:highlight w:val="yellow"/>
        </w:rPr>
        <w:t>Schizophrénie et troubles psychotiques</w:t>
      </w:r>
      <w:r w:rsidR="00D674DF">
        <w:t xml:space="preserve">, troubles de l’humeur, comportement violent, autisme, </w:t>
      </w:r>
      <w:r w:rsidR="00D674DF" w:rsidRPr="0008416E">
        <w:rPr>
          <w:highlight w:val="yellow"/>
        </w:rPr>
        <w:t>Syndrome de Gilles de la Tourette, troubles somatoformes</w:t>
      </w:r>
      <w:r w:rsidR="00D674DF">
        <w:t>, démences, trouble obsessif-compulsif</w:t>
      </w:r>
      <w:r w:rsidR="00415323">
        <w:t>, hoquet, nausées</w:t>
      </w:r>
    </w:p>
    <w:p w:rsidR="00C45BDF" w:rsidRDefault="00C45BDF" w:rsidP="002C67D2">
      <w:pPr>
        <w:pStyle w:val="Sansinterligne"/>
      </w:pPr>
      <w:r w:rsidRPr="00415323">
        <w:rPr>
          <w:b/>
        </w:rPr>
        <w:t>Contre-indications</w:t>
      </w:r>
      <w:r w:rsidR="00415323">
        <w:t> :</w:t>
      </w:r>
      <w:r w:rsidR="0053577E">
        <w:t xml:space="preserve"> syndrome de QT long, selon la molécule</w:t>
      </w:r>
    </w:p>
    <w:p w:rsidR="00940EBB" w:rsidRDefault="00C45BDF" w:rsidP="002C67D2">
      <w:pPr>
        <w:pStyle w:val="Sansinterligne"/>
      </w:pPr>
      <w:r>
        <w:t>Il faut idéalement toujours tester la tolérance de la molécule PO avant d’</w:t>
      </w:r>
      <w:r w:rsidR="00AA239D">
        <w:t>utiliser une forme parentérale.</w:t>
      </w:r>
    </w:p>
    <w:tbl>
      <w:tblPr>
        <w:tblStyle w:val="Grilledutableau"/>
        <w:tblW w:w="0" w:type="auto"/>
        <w:tblLayout w:type="fixed"/>
        <w:tblLook w:val="04A0" w:firstRow="1" w:lastRow="0" w:firstColumn="1" w:lastColumn="0" w:noHBand="0" w:noVBand="1"/>
      </w:tblPr>
      <w:tblGrid>
        <w:gridCol w:w="392"/>
        <w:gridCol w:w="2126"/>
        <w:gridCol w:w="2126"/>
        <w:gridCol w:w="3686"/>
        <w:gridCol w:w="2686"/>
      </w:tblGrid>
      <w:tr w:rsidR="00DE739E" w:rsidTr="00176A0E">
        <w:tc>
          <w:tcPr>
            <w:tcW w:w="392" w:type="dxa"/>
            <w:shd w:val="clear" w:color="auto" w:fill="000000" w:themeFill="text1"/>
          </w:tcPr>
          <w:p w:rsidR="00DE739E" w:rsidRDefault="00DE739E" w:rsidP="002C67D2">
            <w:pPr>
              <w:pStyle w:val="Sansinterligne"/>
            </w:pPr>
          </w:p>
        </w:tc>
        <w:tc>
          <w:tcPr>
            <w:tcW w:w="2126" w:type="dxa"/>
            <w:shd w:val="clear" w:color="auto" w:fill="92D050"/>
          </w:tcPr>
          <w:p w:rsidR="00DE739E" w:rsidRDefault="00DE739E" w:rsidP="00DE739E">
            <w:pPr>
              <w:pStyle w:val="Sansinterligne"/>
              <w:jc w:val="center"/>
            </w:pPr>
            <w:r>
              <w:t>Molécule</w:t>
            </w:r>
          </w:p>
        </w:tc>
        <w:tc>
          <w:tcPr>
            <w:tcW w:w="2126" w:type="dxa"/>
            <w:shd w:val="clear" w:color="auto" w:fill="92D050"/>
          </w:tcPr>
          <w:p w:rsidR="00DE739E" w:rsidRDefault="00205B6A" w:rsidP="00DE739E">
            <w:pPr>
              <w:pStyle w:val="Sansinterligne"/>
              <w:jc w:val="center"/>
            </w:pPr>
            <w:r>
              <w:t>Dose maximale</w:t>
            </w:r>
            <w:r w:rsidR="00DE739E">
              <w:t xml:space="preserve"> (mg)</w:t>
            </w:r>
          </w:p>
        </w:tc>
        <w:tc>
          <w:tcPr>
            <w:tcW w:w="3686" w:type="dxa"/>
            <w:shd w:val="clear" w:color="auto" w:fill="92D050"/>
          </w:tcPr>
          <w:p w:rsidR="00DE739E" w:rsidRDefault="00DE739E" w:rsidP="00DE739E">
            <w:pPr>
              <w:pStyle w:val="Sansinterligne"/>
              <w:jc w:val="center"/>
            </w:pPr>
            <w:r>
              <w:t>Effets secondaires</w:t>
            </w:r>
          </w:p>
        </w:tc>
        <w:tc>
          <w:tcPr>
            <w:tcW w:w="2686" w:type="dxa"/>
            <w:shd w:val="clear" w:color="auto" w:fill="92D050"/>
          </w:tcPr>
          <w:p w:rsidR="00DE739E" w:rsidRDefault="00DE739E" w:rsidP="00DE739E">
            <w:pPr>
              <w:pStyle w:val="Sansinterligne"/>
              <w:jc w:val="center"/>
            </w:pPr>
            <w:r>
              <w:t>Commentaires</w:t>
            </w:r>
          </w:p>
        </w:tc>
      </w:tr>
      <w:tr w:rsidR="00F91C06" w:rsidTr="00F91C06">
        <w:trPr>
          <w:cantSplit/>
          <w:trHeight w:val="1134"/>
        </w:trPr>
        <w:tc>
          <w:tcPr>
            <w:tcW w:w="392" w:type="dxa"/>
            <w:shd w:val="clear" w:color="auto" w:fill="FABF8F" w:themeFill="accent6" w:themeFillTint="99"/>
            <w:textDirection w:val="btLr"/>
            <w:vAlign w:val="center"/>
          </w:tcPr>
          <w:p w:rsidR="00F91C06" w:rsidRDefault="00F91C06" w:rsidP="00DE739E">
            <w:pPr>
              <w:pStyle w:val="Sansinterligne"/>
              <w:ind w:left="113" w:right="113"/>
              <w:jc w:val="center"/>
            </w:pPr>
            <w:r>
              <w:t>Typique (1</w:t>
            </w:r>
            <w:r w:rsidRPr="00415323">
              <w:rPr>
                <w:vertAlign w:val="superscript"/>
              </w:rPr>
              <w:t>ère</w:t>
            </w:r>
            <w:r>
              <w:t xml:space="preserve"> génération)</w:t>
            </w:r>
          </w:p>
        </w:tc>
        <w:tc>
          <w:tcPr>
            <w:tcW w:w="2126" w:type="dxa"/>
            <w:shd w:val="clear" w:color="auto" w:fill="D6E3BC" w:themeFill="accent3" w:themeFillTint="66"/>
            <w:vAlign w:val="center"/>
          </w:tcPr>
          <w:p w:rsidR="00F91C06" w:rsidRPr="000F11B9" w:rsidRDefault="00F91C06" w:rsidP="00DE739E">
            <w:pPr>
              <w:pStyle w:val="Sansinterligne"/>
              <w:jc w:val="center"/>
              <w:rPr>
                <w:b/>
              </w:rPr>
            </w:pPr>
            <w:r w:rsidRPr="000F11B9">
              <w:rPr>
                <w:b/>
              </w:rPr>
              <w:t>Halopéridol</w:t>
            </w:r>
          </w:p>
          <w:p w:rsidR="00F91C06" w:rsidRDefault="00F91C06" w:rsidP="00DE739E">
            <w:pPr>
              <w:pStyle w:val="Sansinterligne"/>
              <w:jc w:val="center"/>
            </w:pPr>
            <w:r>
              <w:t>Fluphénazine</w:t>
            </w:r>
          </w:p>
          <w:p w:rsidR="00F91C06" w:rsidRDefault="00F91C06" w:rsidP="00DE739E">
            <w:pPr>
              <w:pStyle w:val="Sansinterligne"/>
              <w:jc w:val="center"/>
            </w:pPr>
            <w:r>
              <w:t>Zuclopenthixol</w:t>
            </w:r>
          </w:p>
          <w:p w:rsidR="00F91C06" w:rsidRDefault="00F91C06" w:rsidP="00DE739E">
            <w:pPr>
              <w:pStyle w:val="Sansinterligne"/>
              <w:jc w:val="center"/>
            </w:pPr>
            <w:r>
              <w:t>Chlorpromazine</w:t>
            </w:r>
          </w:p>
          <w:p w:rsidR="00F91C06" w:rsidRDefault="00F91C06" w:rsidP="00625706">
            <w:pPr>
              <w:pStyle w:val="Sansinterligne"/>
              <w:jc w:val="center"/>
            </w:pPr>
            <w:r>
              <w:t>Loxapine</w:t>
            </w:r>
          </w:p>
        </w:tc>
        <w:tc>
          <w:tcPr>
            <w:tcW w:w="2126" w:type="dxa"/>
            <w:vAlign w:val="center"/>
          </w:tcPr>
          <w:p w:rsidR="00F91C06" w:rsidRPr="00205B6A" w:rsidRDefault="00F91C06" w:rsidP="00625706">
            <w:pPr>
              <w:pStyle w:val="Sansinterligne"/>
              <w:jc w:val="center"/>
            </w:pPr>
            <w:r w:rsidRPr="00205B6A">
              <w:t>20 mg / jour</w:t>
            </w:r>
          </w:p>
          <w:p w:rsidR="00F91C06" w:rsidRPr="00205B6A" w:rsidRDefault="00F91C06" w:rsidP="00625706">
            <w:pPr>
              <w:pStyle w:val="Sansinterligne"/>
              <w:jc w:val="center"/>
            </w:pPr>
            <w:r w:rsidRPr="00205B6A">
              <w:t>20 mg /jour</w:t>
            </w:r>
          </w:p>
          <w:p w:rsidR="00F91C06" w:rsidRPr="00205B6A" w:rsidRDefault="00F91C06" w:rsidP="00625706">
            <w:pPr>
              <w:pStyle w:val="Sansinterligne"/>
              <w:jc w:val="center"/>
            </w:pPr>
            <w:r w:rsidRPr="00205B6A">
              <w:t>100 mg PO/ j</w:t>
            </w:r>
            <w:r>
              <w:t xml:space="preserve">our </w:t>
            </w:r>
          </w:p>
          <w:p w:rsidR="00F91C06" w:rsidRDefault="00F91C06" w:rsidP="00625706">
            <w:pPr>
              <w:pStyle w:val="Sansinterligne"/>
              <w:jc w:val="center"/>
            </w:pPr>
            <w:r>
              <w:t>1000</w:t>
            </w:r>
            <w:r w:rsidRPr="00205B6A">
              <w:t xml:space="preserve"> mg / jour</w:t>
            </w:r>
          </w:p>
          <w:p w:rsidR="00F91C06" w:rsidRPr="00205B6A" w:rsidRDefault="00F91C06" w:rsidP="00625706">
            <w:pPr>
              <w:pStyle w:val="Sansinterligne"/>
              <w:jc w:val="center"/>
              <w:rPr>
                <w:highlight w:val="yellow"/>
              </w:rPr>
            </w:pPr>
            <w:r>
              <w:t>250 mg / jour</w:t>
            </w:r>
          </w:p>
        </w:tc>
        <w:tc>
          <w:tcPr>
            <w:tcW w:w="3686" w:type="dxa"/>
            <w:vAlign w:val="center"/>
          </w:tcPr>
          <w:p w:rsidR="00F91C06" w:rsidRPr="00DE739E" w:rsidRDefault="00F91C06" w:rsidP="00BC3DCC">
            <w:pPr>
              <w:pStyle w:val="Sansinterligne"/>
              <w:numPr>
                <w:ilvl w:val="0"/>
                <w:numId w:val="765"/>
              </w:numPr>
              <w:rPr>
                <w:highlight w:val="yellow"/>
              </w:rPr>
            </w:pPr>
            <w:r w:rsidRPr="00DE739E">
              <w:rPr>
                <w:highlight w:val="yellow"/>
              </w:rPr>
              <w:t>Symptômes extrapyramidaux +++</w:t>
            </w:r>
          </w:p>
          <w:p w:rsidR="00F91C06" w:rsidRPr="00DE739E" w:rsidRDefault="00F91C06" w:rsidP="00BC3DCC">
            <w:pPr>
              <w:pStyle w:val="Sansinterligne"/>
              <w:numPr>
                <w:ilvl w:val="0"/>
                <w:numId w:val="765"/>
              </w:numPr>
              <w:rPr>
                <w:highlight w:val="yellow"/>
              </w:rPr>
            </w:pPr>
            <w:r w:rsidRPr="00DE739E">
              <w:rPr>
                <w:highlight w:val="yellow"/>
              </w:rPr>
              <w:t>Dyskinésie tardive</w:t>
            </w:r>
          </w:p>
          <w:p w:rsidR="00F91C06" w:rsidRPr="00DE739E" w:rsidRDefault="00F91C06" w:rsidP="00BC3DCC">
            <w:pPr>
              <w:pStyle w:val="Sansinterligne"/>
              <w:numPr>
                <w:ilvl w:val="0"/>
                <w:numId w:val="765"/>
              </w:numPr>
              <w:rPr>
                <w:highlight w:val="yellow"/>
              </w:rPr>
            </w:pPr>
            <w:r w:rsidRPr="00DE739E">
              <w:rPr>
                <w:highlight w:val="yellow"/>
              </w:rPr>
              <w:t>Sédation ++</w:t>
            </w:r>
          </w:p>
          <w:p w:rsidR="00F91C06" w:rsidRPr="00DE739E" w:rsidRDefault="00F91C06" w:rsidP="00BC3DCC">
            <w:pPr>
              <w:pStyle w:val="Sansinterligne"/>
              <w:numPr>
                <w:ilvl w:val="0"/>
                <w:numId w:val="765"/>
              </w:numPr>
              <w:rPr>
                <w:highlight w:val="yellow"/>
              </w:rPr>
            </w:pPr>
            <w:r w:rsidRPr="00DE739E">
              <w:rPr>
                <w:highlight w:val="yellow"/>
              </w:rPr>
              <w:t xml:space="preserve">Galactorrhée / </w:t>
            </w:r>
            <w:r w:rsidRPr="00DE739E">
              <w:rPr>
                <w:rFonts w:ascii="Century Gothic" w:hAnsi="Century Gothic"/>
                <w:highlight w:val="yellow"/>
              </w:rPr>
              <w:t>↑</w:t>
            </w:r>
            <w:r w:rsidRPr="00DE739E">
              <w:rPr>
                <w:highlight w:val="yellow"/>
              </w:rPr>
              <w:t xml:space="preserve"> prolactine</w:t>
            </w:r>
          </w:p>
          <w:p w:rsidR="00F91C06" w:rsidRPr="00DE739E" w:rsidRDefault="00F91C06" w:rsidP="00BC3DCC">
            <w:pPr>
              <w:pStyle w:val="Sansinterligne"/>
              <w:numPr>
                <w:ilvl w:val="0"/>
                <w:numId w:val="765"/>
              </w:numPr>
              <w:rPr>
                <w:highlight w:val="yellow"/>
              </w:rPr>
            </w:pPr>
            <w:r w:rsidRPr="00DE739E">
              <w:rPr>
                <w:highlight w:val="yellow"/>
              </w:rPr>
              <w:t>Impuissance / Aménorrhée</w:t>
            </w:r>
          </w:p>
          <w:p w:rsidR="00F91C06" w:rsidRDefault="00F91C06" w:rsidP="00BC3DCC">
            <w:pPr>
              <w:pStyle w:val="Sansinterligne"/>
              <w:numPr>
                <w:ilvl w:val="0"/>
                <w:numId w:val="765"/>
              </w:numPr>
            </w:pPr>
            <w:r>
              <w:t>Allongement du QT</w:t>
            </w:r>
          </w:p>
          <w:p w:rsidR="00F91C06" w:rsidRDefault="00F91C06" w:rsidP="00BC3DCC">
            <w:pPr>
              <w:pStyle w:val="Sansinterligne"/>
              <w:numPr>
                <w:ilvl w:val="0"/>
                <w:numId w:val="765"/>
              </w:numPr>
            </w:pPr>
            <w:r>
              <w:t>Effet anticholinergique</w:t>
            </w:r>
          </w:p>
          <w:p w:rsidR="00F91C06" w:rsidRDefault="00F91C06" w:rsidP="00BC3DCC">
            <w:pPr>
              <w:pStyle w:val="Sansinterligne"/>
              <w:numPr>
                <w:ilvl w:val="1"/>
                <w:numId w:val="765"/>
              </w:numPr>
            </w:pPr>
            <w:r>
              <w:t>Xérostomie</w:t>
            </w:r>
          </w:p>
          <w:p w:rsidR="00F91C06" w:rsidRDefault="00F91C06" w:rsidP="00BC3DCC">
            <w:pPr>
              <w:pStyle w:val="Sansinterligne"/>
              <w:numPr>
                <w:ilvl w:val="1"/>
                <w:numId w:val="765"/>
              </w:numPr>
            </w:pPr>
            <w:r>
              <w:t>Rétention urinaire</w:t>
            </w:r>
          </w:p>
          <w:p w:rsidR="00F91C06" w:rsidRDefault="00F91C06" w:rsidP="00BC3DCC">
            <w:pPr>
              <w:pStyle w:val="Sansinterligne"/>
              <w:numPr>
                <w:ilvl w:val="1"/>
                <w:numId w:val="765"/>
              </w:numPr>
            </w:pPr>
            <w:r>
              <w:t>Constipation</w:t>
            </w:r>
          </w:p>
          <w:p w:rsidR="00F91C06" w:rsidRDefault="00F91C06" w:rsidP="00BC3DCC">
            <w:pPr>
              <w:pStyle w:val="Sansinterligne"/>
              <w:numPr>
                <w:ilvl w:val="1"/>
                <w:numId w:val="765"/>
              </w:numPr>
            </w:pPr>
            <w:r>
              <w:t>Vision floue</w:t>
            </w:r>
          </w:p>
          <w:p w:rsidR="00F91C06" w:rsidRDefault="00F91C06" w:rsidP="00BC3DCC">
            <w:pPr>
              <w:pStyle w:val="Sansinterligne"/>
              <w:numPr>
                <w:ilvl w:val="1"/>
                <w:numId w:val="765"/>
              </w:numPr>
            </w:pPr>
            <w:r>
              <w:t>Confusion</w:t>
            </w:r>
          </w:p>
          <w:p w:rsidR="00F91C06" w:rsidRDefault="00F91C06" w:rsidP="00BC3DCC">
            <w:pPr>
              <w:pStyle w:val="Sansinterligne"/>
              <w:numPr>
                <w:ilvl w:val="0"/>
                <w:numId w:val="765"/>
              </w:numPr>
            </w:pPr>
            <w:r>
              <w:t>Hypotension orthostatique</w:t>
            </w:r>
          </w:p>
          <w:p w:rsidR="00F91C06" w:rsidRDefault="00F91C06" w:rsidP="00BC3DCC">
            <w:pPr>
              <w:pStyle w:val="Sansinterligne"/>
              <w:numPr>
                <w:ilvl w:val="0"/>
                <w:numId w:val="765"/>
              </w:numPr>
            </w:pPr>
            <w:r>
              <w:t>Diabète, gain de poids</w:t>
            </w:r>
          </w:p>
          <w:p w:rsidR="00F91C06" w:rsidRDefault="00F91C06" w:rsidP="00BC3DCC">
            <w:pPr>
              <w:pStyle w:val="Sansinterligne"/>
              <w:numPr>
                <w:ilvl w:val="0"/>
                <w:numId w:val="765"/>
              </w:numPr>
            </w:pPr>
            <w:r>
              <w:t>Hypercholestérolémie</w:t>
            </w:r>
          </w:p>
        </w:tc>
        <w:tc>
          <w:tcPr>
            <w:tcW w:w="2686" w:type="dxa"/>
          </w:tcPr>
          <w:p w:rsidR="00F91C06" w:rsidRDefault="00F91C06" w:rsidP="002C67D2">
            <w:pPr>
              <w:pStyle w:val="Sansinterligne"/>
            </w:pPr>
            <w:r w:rsidRPr="00F91C06">
              <w:rPr>
                <w:highlight w:val="yellow"/>
              </w:rPr>
              <w:t>Les typiques sont aussi disponibles en IM, ce qui est tr</w:t>
            </w:r>
            <w:r w:rsidR="00BD4CA4">
              <w:rPr>
                <w:highlight w:val="yellow"/>
              </w:rPr>
              <w:t>ès</w:t>
            </w:r>
            <w:r w:rsidRPr="00F91C06">
              <w:rPr>
                <w:highlight w:val="yellow"/>
              </w:rPr>
              <w:t xml:space="preserve"> utile pour la compliance et le traitement aigu.</w:t>
            </w:r>
          </w:p>
          <w:p w:rsidR="00F91C06" w:rsidRDefault="00F91C06" w:rsidP="002C67D2">
            <w:pPr>
              <w:pStyle w:val="Sansinterligne"/>
            </w:pPr>
          </w:p>
          <w:p w:rsidR="00F91C06" w:rsidRDefault="00F91C06" w:rsidP="002C67D2">
            <w:pPr>
              <w:pStyle w:val="Sansinterligne"/>
            </w:pPr>
            <w:r>
              <w:t>Dyskinésie tardive, symptômes extrapyramidaux</w:t>
            </w:r>
          </w:p>
          <w:p w:rsidR="00F91C06" w:rsidRDefault="00F91C06" w:rsidP="002C67D2">
            <w:pPr>
              <w:pStyle w:val="Sansinterligne"/>
            </w:pPr>
          </w:p>
          <w:p w:rsidR="00F91C06" w:rsidRPr="0008416E" w:rsidRDefault="00F91C06" w:rsidP="002C67D2">
            <w:pPr>
              <w:pStyle w:val="Sansinterligne"/>
              <w:rPr>
                <w:u w:val="single"/>
              </w:rPr>
            </w:pPr>
            <w:r w:rsidRPr="0008416E">
              <w:rPr>
                <w:u w:val="single"/>
              </w:rPr>
              <w:t>Chlorpromazine utile en traitement du hoquet et des nausées</w:t>
            </w:r>
          </w:p>
        </w:tc>
      </w:tr>
      <w:tr w:rsidR="00F91C06" w:rsidTr="00021857">
        <w:trPr>
          <w:cantSplit/>
          <w:trHeight w:val="1134"/>
        </w:trPr>
        <w:tc>
          <w:tcPr>
            <w:tcW w:w="392" w:type="dxa"/>
            <w:shd w:val="clear" w:color="auto" w:fill="FABF8F" w:themeFill="accent6" w:themeFillTint="99"/>
            <w:textDirection w:val="btLr"/>
            <w:vAlign w:val="center"/>
          </w:tcPr>
          <w:p w:rsidR="00F91C06" w:rsidRDefault="00F91C06" w:rsidP="00DE739E">
            <w:pPr>
              <w:pStyle w:val="Sansinterligne"/>
              <w:ind w:left="113" w:right="113"/>
              <w:jc w:val="center"/>
            </w:pPr>
            <w:r>
              <w:t>Atypique (2</w:t>
            </w:r>
            <w:r w:rsidRPr="00415323">
              <w:rPr>
                <w:vertAlign w:val="superscript"/>
              </w:rPr>
              <w:t>e</w:t>
            </w:r>
            <w:r>
              <w:t xml:space="preserve"> génération)</w:t>
            </w:r>
          </w:p>
        </w:tc>
        <w:tc>
          <w:tcPr>
            <w:tcW w:w="2126" w:type="dxa"/>
            <w:shd w:val="clear" w:color="auto" w:fill="D6E3BC" w:themeFill="accent3" w:themeFillTint="66"/>
            <w:vAlign w:val="center"/>
          </w:tcPr>
          <w:p w:rsidR="00F91C06" w:rsidRDefault="00F91C06" w:rsidP="00021857">
            <w:pPr>
              <w:pStyle w:val="Sansinterligne"/>
              <w:jc w:val="center"/>
            </w:pPr>
          </w:p>
          <w:p w:rsidR="00F91C06" w:rsidRPr="000F11B9" w:rsidRDefault="00F91C06" w:rsidP="00021857">
            <w:pPr>
              <w:pStyle w:val="Sansinterligne"/>
              <w:jc w:val="center"/>
              <w:rPr>
                <w:b/>
              </w:rPr>
            </w:pPr>
            <w:r w:rsidRPr="000F11B9">
              <w:rPr>
                <w:b/>
              </w:rPr>
              <w:t>Risperidone</w:t>
            </w:r>
          </w:p>
          <w:p w:rsidR="00F91C06" w:rsidRPr="000F11B9" w:rsidRDefault="00F91C06" w:rsidP="00021857">
            <w:pPr>
              <w:pStyle w:val="Sansinterligne"/>
              <w:jc w:val="center"/>
              <w:rPr>
                <w:b/>
              </w:rPr>
            </w:pPr>
            <w:r w:rsidRPr="000F11B9">
              <w:rPr>
                <w:b/>
              </w:rPr>
              <w:t>Quétiapine</w:t>
            </w:r>
          </w:p>
          <w:p w:rsidR="00F91C06" w:rsidRDefault="00F91C06" w:rsidP="00021857">
            <w:pPr>
              <w:pStyle w:val="Sansinterligne"/>
              <w:jc w:val="center"/>
            </w:pPr>
            <w:r>
              <w:t>Palipéridone</w:t>
            </w:r>
          </w:p>
          <w:p w:rsidR="00F91C06" w:rsidRPr="000F11B9" w:rsidRDefault="00F91C06" w:rsidP="00021857">
            <w:pPr>
              <w:pStyle w:val="Sansinterligne"/>
              <w:jc w:val="center"/>
              <w:rPr>
                <w:b/>
              </w:rPr>
            </w:pPr>
            <w:r w:rsidRPr="000F11B9">
              <w:rPr>
                <w:b/>
              </w:rPr>
              <w:t>Olanzapine</w:t>
            </w:r>
          </w:p>
          <w:p w:rsidR="00F91C06" w:rsidRDefault="00F91C06" w:rsidP="00021857">
            <w:pPr>
              <w:pStyle w:val="Sansinterligne"/>
              <w:jc w:val="center"/>
            </w:pPr>
            <w:r>
              <w:t>Ziprasidone</w:t>
            </w:r>
          </w:p>
          <w:p w:rsidR="00F91C06" w:rsidRPr="000F11B9" w:rsidRDefault="00F91C06" w:rsidP="00021857">
            <w:pPr>
              <w:pStyle w:val="Sansinterligne"/>
              <w:jc w:val="center"/>
              <w:rPr>
                <w:b/>
              </w:rPr>
            </w:pPr>
            <w:r w:rsidRPr="000F11B9">
              <w:rPr>
                <w:b/>
              </w:rPr>
              <w:t>Aripiprazole</w:t>
            </w:r>
          </w:p>
          <w:p w:rsidR="00F91C06" w:rsidRPr="000F11B9" w:rsidRDefault="00F91C06" w:rsidP="00021857">
            <w:pPr>
              <w:pStyle w:val="Sansinterligne"/>
              <w:jc w:val="center"/>
              <w:rPr>
                <w:b/>
              </w:rPr>
            </w:pPr>
            <w:r w:rsidRPr="000F11B9">
              <w:rPr>
                <w:b/>
              </w:rPr>
              <w:t>Clozapine</w:t>
            </w:r>
          </w:p>
          <w:p w:rsidR="00F91C06" w:rsidRDefault="00F91C06" w:rsidP="00021857">
            <w:pPr>
              <w:pStyle w:val="Sansinterligne"/>
              <w:jc w:val="center"/>
            </w:pPr>
          </w:p>
        </w:tc>
        <w:tc>
          <w:tcPr>
            <w:tcW w:w="2126" w:type="dxa"/>
            <w:vAlign w:val="center"/>
          </w:tcPr>
          <w:p w:rsidR="00F91C06" w:rsidRDefault="00F91C06" w:rsidP="00205B6A">
            <w:pPr>
              <w:pStyle w:val="Sansinterligne"/>
              <w:jc w:val="center"/>
            </w:pPr>
            <w:r>
              <w:t>8 mg / jour</w:t>
            </w:r>
          </w:p>
          <w:p w:rsidR="00F91C06" w:rsidRDefault="00F91C06" w:rsidP="00205B6A">
            <w:pPr>
              <w:pStyle w:val="Sansinterligne"/>
              <w:jc w:val="center"/>
            </w:pPr>
            <w:r>
              <w:t>800 mg /jour</w:t>
            </w:r>
          </w:p>
          <w:p w:rsidR="00F91C06" w:rsidRDefault="00F91C06" w:rsidP="00205B6A">
            <w:pPr>
              <w:pStyle w:val="Sansinterligne"/>
              <w:jc w:val="center"/>
            </w:pPr>
            <w:r>
              <w:t>12 mg /jour</w:t>
            </w:r>
          </w:p>
          <w:p w:rsidR="00F91C06" w:rsidRDefault="00F91C06" w:rsidP="00205B6A">
            <w:pPr>
              <w:pStyle w:val="Sansinterligne"/>
              <w:jc w:val="center"/>
            </w:pPr>
            <w:r>
              <w:t>30 mg /jour</w:t>
            </w:r>
          </w:p>
          <w:p w:rsidR="00F91C06" w:rsidRDefault="00F91C06" w:rsidP="00205B6A">
            <w:pPr>
              <w:pStyle w:val="Sansinterligne"/>
              <w:jc w:val="center"/>
            </w:pPr>
            <w:r>
              <w:t>160 mg / jour</w:t>
            </w:r>
          </w:p>
          <w:p w:rsidR="00F91C06" w:rsidRDefault="00F91C06" w:rsidP="00205B6A">
            <w:pPr>
              <w:pStyle w:val="Sansinterligne"/>
              <w:jc w:val="center"/>
            </w:pPr>
            <w:r>
              <w:t>30 mg / jour</w:t>
            </w:r>
          </w:p>
          <w:p w:rsidR="00F91C06" w:rsidRDefault="00F91C06" w:rsidP="00205B6A">
            <w:pPr>
              <w:pStyle w:val="Sansinterligne"/>
              <w:jc w:val="center"/>
            </w:pPr>
            <w:r>
              <w:t>600  mg / jour</w:t>
            </w:r>
          </w:p>
        </w:tc>
        <w:tc>
          <w:tcPr>
            <w:tcW w:w="3686" w:type="dxa"/>
          </w:tcPr>
          <w:p w:rsidR="00021857" w:rsidRPr="00021857" w:rsidRDefault="00021857" w:rsidP="00BC3DCC">
            <w:pPr>
              <w:pStyle w:val="Sansinterligne"/>
              <w:numPr>
                <w:ilvl w:val="0"/>
                <w:numId w:val="766"/>
              </w:numPr>
            </w:pPr>
            <w:r w:rsidRPr="00021857">
              <w:t>Symptômes extrapyramidaux</w:t>
            </w:r>
          </w:p>
          <w:p w:rsidR="00021857" w:rsidRPr="00021857" w:rsidRDefault="00021857" w:rsidP="00BC3DCC">
            <w:pPr>
              <w:pStyle w:val="Sansinterligne"/>
              <w:numPr>
                <w:ilvl w:val="0"/>
                <w:numId w:val="766"/>
              </w:numPr>
            </w:pPr>
            <w:r w:rsidRPr="00021857">
              <w:t>Dyskinésie tardive</w:t>
            </w:r>
          </w:p>
          <w:p w:rsidR="00021857" w:rsidRPr="00021857" w:rsidRDefault="00021857" w:rsidP="00BC3DCC">
            <w:pPr>
              <w:pStyle w:val="Sansinterligne"/>
              <w:numPr>
                <w:ilvl w:val="0"/>
                <w:numId w:val="766"/>
              </w:numPr>
            </w:pPr>
            <w:r>
              <w:t>Sédation</w:t>
            </w:r>
          </w:p>
          <w:p w:rsidR="00021857" w:rsidRPr="00021857" w:rsidRDefault="00021857" w:rsidP="00BC3DCC">
            <w:pPr>
              <w:pStyle w:val="Sansinterligne"/>
              <w:numPr>
                <w:ilvl w:val="0"/>
                <w:numId w:val="766"/>
              </w:numPr>
            </w:pPr>
            <w:r w:rsidRPr="00021857">
              <w:rPr>
                <w:highlight w:val="yellow"/>
              </w:rPr>
              <w:t xml:space="preserve">Galactorrhée / </w:t>
            </w:r>
            <w:r w:rsidRPr="00021857">
              <w:rPr>
                <w:rFonts w:ascii="Century Gothic" w:hAnsi="Century Gothic"/>
                <w:highlight w:val="yellow"/>
              </w:rPr>
              <w:t>↑</w:t>
            </w:r>
            <w:r w:rsidRPr="00021857">
              <w:rPr>
                <w:highlight w:val="yellow"/>
              </w:rPr>
              <w:t xml:space="preserve"> prolactine</w:t>
            </w:r>
          </w:p>
          <w:p w:rsidR="00021857" w:rsidRPr="00021857" w:rsidRDefault="00021857" w:rsidP="00BC3DCC">
            <w:pPr>
              <w:pStyle w:val="Sansinterligne"/>
              <w:numPr>
                <w:ilvl w:val="0"/>
                <w:numId w:val="766"/>
              </w:numPr>
            </w:pPr>
            <w:r w:rsidRPr="00021857">
              <w:rPr>
                <w:highlight w:val="yellow"/>
              </w:rPr>
              <w:t>Impuissance / Aménorrhée</w:t>
            </w:r>
          </w:p>
          <w:p w:rsidR="00021857" w:rsidRDefault="00021857" w:rsidP="00BC3DCC">
            <w:pPr>
              <w:pStyle w:val="Sansinterligne"/>
              <w:numPr>
                <w:ilvl w:val="0"/>
                <w:numId w:val="766"/>
              </w:numPr>
            </w:pPr>
            <w:r>
              <w:t>Allongement du QT</w:t>
            </w:r>
          </w:p>
          <w:p w:rsidR="00021857" w:rsidRDefault="00021857" w:rsidP="00BC3DCC">
            <w:pPr>
              <w:pStyle w:val="Sansinterligne"/>
              <w:numPr>
                <w:ilvl w:val="0"/>
                <w:numId w:val="766"/>
              </w:numPr>
            </w:pPr>
            <w:r w:rsidRPr="00021857">
              <w:rPr>
                <w:highlight w:val="yellow"/>
              </w:rPr>
              <w:t>Effet anticholinergique</w:t>
            </w:r>
          </w:p>
          <w:p w:rsidR="00021857" w:rsidRDefault="00021857" w:rsidP="00BC3DCC">
            <w:pPr>
              <w:pStyle w:val="Sansinterligne"/>
              <w:numPr>
                <w:ilvl w:val="1"/>
                <w:numId w:val="766"/>
              </w:numPr>
            </w:pPr>
            <w:r>
              <w:t>Xérostomie</w:t>
            </w:r>
          </w:p>
          <w:p w:rsidR="00021857" w:rsidRDefault="00021857" w:rsidP="00BC3DCC">
            <w:pPr>
              <w:pStyle w:val="Sansinterligne"/>
              <w:numPr>
                <w:ilvl w:val="1"/>
                <w:numId w:val="766"/>
              </w:numPr>
            </w:pPr>
            <w:r>
              <w:t>Rétention urinaire</w:t>
            </w:r>
          </w:p>
          <w:p w:rsidR="00021857" w:rsidRDefault="00021857" w:rsidP="00BC3DCC">
            <w:pPr>
              <w:pStyle w:val="Sansinterligne"/>
              <w:numPr>
                <w:ilvl w:val="1"/>
                <w:numId w:val="766"/>
              </w:numPr>
            </w:pPr>
            <w:r>
              <w:t>Constipation</w:t>
            </w:r>
          </w:p>
          <w:p w:rsidR="00021857" w:rsidRDefault="00021857" w:rsidP="00BC3DCC">
            <w:pPr>
              <w:pStyle w:val="Sansinterligne"/>
              <w:numPr>
                <w:ilvl w:val="1"/>
                <w:numId w:val="766"/>
              </w:numPr>
            </w:pPr>
            <w:r>
              <w:t>Vision floue</w:t>
            </w:r>
          </w:p>
          <w:p w:rsidR="00021857" w:rsidRDefault="00021857" w:rsidP="00BC3DCC">
            <w:pPr>
              <w:pStyle w:val="Sansinterligne"/>
              <w:numPr>
                <w:ilvl w:val="1"/>
                <w:numId w:val="766"/>
              </w:numPr>
            </w:pPr>
            <w:r>
              <w:t>Confusion</w:t>
            </w:r>
          </w:p>
          <w:p w:rsidR="00021857" w:rsidRDefault="00021857" w:rsidP="00BC3DCC">
            <w:pPr>
              <w:pStyle w:val="Sansinterligne"/>
              <w:numPr>
                <w:ilvl w:val="0"/>
                <w:numId w:val="766"/>
              </w:numPr>
            </w:pPr>
            <w:r>
              <w:t>Hypotension orthostatique</w:t>
            </w:r>
          </w:p>
          <w:p w:rsidR="00021857" w:rsidRPr="00021857" w:rsidRDefault="00021857" w:rsidP="00BC3DCC">
            <w:pPr>
              <w:pStyle w:val="Sansinterligne"/>
              <w:numPr>
                <w:ilvl w:val="0"/>
                <w:numId w:val="766"/>
              </w:numPr>
              <w:rPr>
                <w:highlight w:val="yellow"/>
              </w:rPr>
            </w:pPr>
            <w:r w:rsidRPr="00021857">
              <w:rPr>
                <w:highlight w:val="yellow"/>
              </w:rPr>
              <w:t>Diabète, gain de poids</w:t>
            </w:r>
          </w:p>
          <w:p w:rsidR="00F91C06" w:rsidRDefault="00021857" w:rsidP="00BC3DCC">
            <w:pPr>
              <w:pStyle w:val="Sansinterligne"/>
              <w:numPr>
                <w:ilvl w:val="0"/>
                <w:numId w:val="766"/>
              </w:numPr>
            </w:pPr>
            <w:r w:rsidRPr="00021857">
              <w:rPr>
                <w:highlight w:val="yellow"/>
              </w:rPr>
              <w:t>Hypercholestérolémie</w:t>
            </w:r>
          </w:p>
        </w:tc>
        <w:tc>
          <w:tcPr>
            <w:tcW w:w="2686" w:type="dxa"/>
          </w:tcPr>
          <w:p w:rsidR="00F91C06" w:rsidRPr="00F91C06" w:rsidRDefault="00F91C06" w:rsidP="002C67D2">
            <w:pPr>
              <w:pStyle w:val="Sansinterligne"/>
              <w:rPr>
                <w:highlight w:val="yellow"/>
              </w:rPr>
            </w:pPr>
            <w:r w:rsidRPr="00F91C06">
              <w:rPr>
                <w:highlight w:val="yellow"/>
              </w:rPr>
              <w:t xml:space="preserve">Effets extrapyramidaux et </w:t>
            </w:r>
            <w:r w:rsidR="002142A5">
              <w:rPr>
                <w:highlight w:val="yellow"/>
              </w:rPr>
              <w:t>d</w:t>
            </w:r>
            <w:r w:rsidRPr="00F91C06">
              <w:rPr>
                <w:highlight w:val="yellow"/>
              </w:rPr>
              <w:t>yskinésie tardive plus rare</w:t>
            </w:r>
          </w:p>
          <w:p w:rsidR="00F91C06" w:rsidRDefault="00F91C06" w:rsidP="002C67D2">
            <w:pPr>
              <w:pStyle w:val="Sansinterligne"/>
            </w:pPr>
            <w:r w:rsidRPr="00F91C06">
              <w:rPr>
                <w:highlight w:val="yellow"/>
              </w:rPr>
              <w:t>Effets métaboliques ++++</w:t>
            </w:r>
          </w:p>
          <w:p w:rsidR="00021857" w:rsidRDefault="00021857" w:rsidP="002C67D2">
            <w:pPr>
              <w:pStyle w:val="Sansinterligne"/>
            </w:pPr>
          </w:p>
          <w:p w:rsidR="00021857" w:rsidRPr="00891428" w:rsidRDefault="00021857" w:rsidP="002C67D2">
            <w:pPr>
              <w:pStyle w:val="Sansinterligne"/>
              <w:rPr>
                <w:highlight w:val="yellow"/>
              </w:rPr>
            </w:pPr>
            <w:r w:rsidRPr="00891428">
              <w:rPr>
                <w:highlight w:val="yellow"/>
              </w:rPr>
              <w:t>Clozapine a risque d’agranulocytose (1%)</w:t>
            </w:r>
          </w:p>
          <w:p w:rsidR="00021857" w:rsidRDefault="00021857" w:rsidP="002C67D2">
            <w:pPr>
              <w:pStyle w:val="Sansinterligne"/>
            </w:pPr>
            <w:r w:rsidRPr="00891428">
              <w:rPr>
                <w:highlight w:val="yellow"/>
              </w:rPr>
              <w:t>Nécessite un contrôle fréquent de la FSC et une augmentation graduelle de la dose</w:t>
            </w:r>
          </w:p>
          <w:p w:rsidR="00021857" w:rsidRDefault="00021857" w:rsidP="002C67D2">
            <w:pPr>
              <w:pStyle w:val="Sansinterligne"/>
            </w:pPr>
          </w:p>
          <w:p w:rsidR="008950AB" w:rsidRDefault="008950AB" w:rsidP="002C67D2">
            <w:pPr>
              <w:pStyle w:val="Sansinterligne"/>
            </w:pPr>
          </w:p>
          <w:p w:rsidR="008950AB" w:rsidRPr="000F11B9" w:rsidRDefault="008950AB" w:rsidP="002C67D2">
            <w:pPr>
              <w:pStyle w:val="Sansinterligne"/>
              <w:rPr>
                <w:highlight w:val="yellow"/>
              </w:rPr>
            </w:pPr>
            <w:r w:rsidRPr="000F11B9">
              <w:rPr>
                <w:highlight w:val="yellow"/>
                <w:u w:val="single"/>
              </w:rPr>
              <w:t>Prise de poids</w:t>
            </w:r>
            <w:r w:rsidRPr="000F11B9">
              <w:rPr>
                <w:highlight w:val="yellow"/>
              </w:rPr>
              <w:t> :</w:t>
            </w:r>
          </w:p>
          <w:p w:rsidR="008950AB" w:rsidRDefault="008950AB" w:rsidP="002C67D2">
            <w:pPr>
              <w:pStyle w:val="Sansinterligne"/>
            </w:pPr>
            <w:r w:rsidRPr="000F11B9">
              <w:rPr>
                <w:highlight w:val="yellow"/>
              </w:rPr>
              <w:t>Clozapine</w:t>
            </w:r>
            <w:r w:rsidRPr="000F11B9">
              <w:rPr>
                <w:rFonts w:ascii="Century Gothic" w:hAnsi="Century Gothic"/>
                <w:highlight w:val="yellow"/>
              </w:rPr>
              <w:t>&gt;</w:t>
            </w:r>
            <w:r w:rsidRPr="000F11B9">
              <w:rPr>
                <w:highlight w:val="yellow"/>
              </w:rPr>
              <w:t xml:space="preserve">Olanzapine </w:t>
            </w:r>
            <w:r w:rsidRPr="000F11B9">
              <w:rPr>
                <w:rFonts w:ascii="Century Gothic" w:hAnsi="Century Gothic"/>
                <w:highlight w:val="yellow"/>
              </w:rPr>
              <w:t>&gt;</w:t>
            </w:r>
            <w:r w:rsidRPr="000F11B9">
              <w:rPr>
                <w:highlight w:val="yellow"/>
              </w:rPr>
              <w:t>Quétiapine</w:t>
            </w:r>
            <w:r w:rsidRPr="000F11B9">
              <w:rPr>
                <w:rFonts w:ascii="Century Gothic" w:hAnsi="Century Gothic"/>
                <w:highlight w:val="yellow"/>
              </w:rPr>
              <w:t>&gt;</w:t>
            </w:r>
            <w:r w:rsidRPr="000F11B9">
              <w:rPr>
                <w:highlight w:val="yellow"/>
              </w:rPr>
              <w:t>risperidone</w:t>
            </w:r>
          </w:p>
        </w:tc>
      </w:tr>
    </w:tbl>
    <w:p w:rsidR="00AA239D" w:rsidRDefault="00AA239D" w:rsidP="002C67D2">
      <w:pPr>
        <w:pStyle w:val="Sansinterligne"/>
        <w:rPr>
          <w:b/>
        </w:rPr>
        <w:sectPr w:rsidR="00AA239D" w:rsidSect="00217865">
          <w:type w:val="continuous"/>
          <w:pgSz w:w="12240" w:h="15840"/>
          <w:pgMar w:top="720" w:right="720" w:bottom="720" w:left="720" w:header="708" w:footer="708" w:gutter="0"/>
          <w:cols w:space="708"/>
          <w:docGrid w:linePitch="360"/>
        </w:sectPr>
      </w:pPr>
    </w:p>
    <w:p w:rsidR="00304387" w:rsidRDefault="00304387" w:rsidP="00304387">
      <w:pPr>
        <w:pStyle w:val="Sansinterligne"/>
        <w:rPr>
          <w:b/>
        </w:rPr>
      </w:pPr>
      <w:r w:rsidRPr="00376E73">
        <w:rPr>
          <w:b/>
          <w:noProof/>
          <w:lang w:eastAsia="fr-CA"/>
        </w:rPr>
        <w:drawing>
          <wp:anchor distT="0" distB="0" distL="114300" distR="114300" simplePos="0" relativeHeight="251874304" behindDoc="0" locked="0" layoutInCell="1" allowOverlap="1" wp14:anchorId="6DDD9D45" wp14:editId="69E75F5E">
            <wp:simplePos x="0" y="0"/>
            <wp:positionH relativeFrom="column">
              <wp:posOffset>5339634</wp:posOffset>
            </wp:positionH>
            <wp:positionV relativeFrom="paragraph">
              <wp:posOffset>98291</wp:posOffset>
            </wp:positionV>
            <wp:extent cx="1734185" cy="1867535"/>
            <wp:effectExtent l="0" t="0" r="0" b="0"/>
            <wp:wrapNone/>
            <wp:docPr id="386" name="Image 386" descr="Résultats de recherche d'images pour « drapeau rou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Résultats de recherche d'images pour « drapeau rouge »"/>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1734185" cy="1867535"/>
                    </a:xfrm>
                    <a:prstGeom prst="rect">
                      <a:avLst/>
                    </a:prstGeom>
                    <a:noFill/>
                    <a:ln>
                      <a:noFill/>
                    </a:ln>
                  </pic:spPr>
                </pic:pic>
              </a:graphicData>
            </a:graphic>
            <wp14:sizeRelH relativeFrom="page">
              <wp14:pctWidth>0</wp14:pctWidth>
            </wp14:sizeRelH>
            <wp14:sizeRelV relativeFrom="page">
              <wp14:pctHeight>0</wp14:pctHeight>
            </wp14:sizeRelV>
          </wp:anchor>
        </w:drawing>
      </w:r>
    </w:p>
    <w:tbl>
      <w:tblPr>
        <w:tblStyle w:val="Grilledutableau"/>
        <w:tblpPr w:leftFromText="141" w:rightFromText="141" w:vertAnchor="text" w:horzAnchor="margin" w:tblpY="23"/>
        <w:tblW w:w="0" w:type="auto"/>
        <w:tblLook w:val="04A0" w:firstRow="1" w:lastRow="0" w:firstColumn="1" w:lastColumn="0" w:noHBand="0" w:noVBand="1"/>
      </w:tblPr>
      <w:tblGrid>
        <w:gridCol w:w="4361"/>
        <w:gridCol w:w="3969"/>
      </w:tblGrid>
      <w:tr w:rsidR="00304387" w:rsidTr="00304387">
        <w:tc>
          <w:tcPr>
            <w:tcW w:w="8330" w:type="dxa"/>
            <w:gridSpan w:val="2"/>
            <w:shd w:val="clear" w:color="auto" w:fill="9BBB59" w:themeFill="accent3"/>
          </w:tcPr>
          <w:p w:rsidR="00304387" w:rsidRDefault="00304387" w:rsidP="00304387">
            <w:pPr>
              <w:pStyle w:val="Sansinterligne"/>
              <w:jc w:val="center"/>
            </w:pPr>
            <w:r>
              <w:t>Syndrome neuroleptique malin – 5</w:t>
            </w:r>
            <w:r w:rsidR="00BD4CA4">
              <w:t>-10</w:t>
            </w:r>
            <w:r>
              <w:t>% de décès</w:t>
            </w:r>
          </w:p>
        </w:tc>
      </w:tr>
      <w:tr w:rsidR="00304387" w:rsidTr="00304387">
        <w:tc>
          <w:tcPr>
            <w:tcW w:w="4361" w:type="dxa"/>
          </w:tcPr>
          <w:p w:rsidR="00304387" w:rsidRPr="00304387" w:rsidRDefault="00304387" w:rsidP="00304387">
            <w:pPr>
              <w:pStyle w:val="Sansinterligne"/>
              <w:jc w:val="center"/>
              <w:rPr>
                <w:b/>
              </w:rPr>
            </w:pPr>
            <w:r w:rsidRPr="00304387">
              <w:rPr>
                <w:b/>
              </w:rPr>
              <w:t>Présentation</w:t>
            </w:r>
          </w:p>
        </w:tc>
        <w:tc>
          <w:tcPr>
            <w:tcW w:w="3969" w:type="dxa"/>
          </w:tcPr>
          <w:p w:rsidR="00304387" w:rsidRPr="00304387" w:rsidRDefault="00304387" w:rsidP="00304387">
            <w:pPr>
              <w:pStyle w:val="Sansinterligne"/>
              <w:jc w:val="center"/>
              <w:rPr>
                <w:b/>
              </w:rPr>
            </w:pPr>
            <w:r w:rsidRPr="00304387">
              <w:rPr>
                <w:b/>
              </w:rPr>
              <w:t xml:space="preserve">Traitement </w:t>
            </w:r>
            <w:r w:rsidRPr="00304387">
              <w:t>(urgence médicale)</w:t>
            </w:r>
            <w:r w:rsidRPr="00304387">
              <w:rPr>
                <w:b/>
              </w:rPr>
              <w:t xml:space="preserve"> </w:t>
            </w:r>
          </w:p>
        </w:tc>
      </w:tr>
      <w:tr w:rsidR="00304387" w:rsidTr="00304387">
        <w:tc>
          <w:tcPr>
            <w:tcW w:w="4361" w:type="dxa"/>
          </w:tcPr>
          <w:p w:rsidR="00304387" w:rsidRDefault="00304387" w:rsidP="00304387">
            <w:pPr>
              <w:pStyle w:val="Sansinterligne"/>
            </w:pPr>
            <w:r>
              <w:t>Altération de l’état de conscience (confusion)</w:t>
            </w:r>
          </w:p>
          <w:p w:rsidR="00304387" w:rsidRDefault="00304387" w:rsidP="00304387">
            <w:pPr>
              <w:pStyle w:val="Sansinterligne"/>
            </w:pPr>
            <w:r>
              <w:t xml:space="preserve">Diaphorèse, HTA, tachycardie, </w:t>
            </w:r>
            <w:r w:rsidR="00CB73EA">
              <w:t>hyperthermie</w:t>
            </w:r>
          </w:p>
          <w:p w:rsidR="00304387" w:rsidRDefault="00304387" w:rsidP="00304387">
            <w:pPr>
              <w:pStyle w:val="Sansinterligne"/>
            </w:pPr>
            <w:r>
              <w:t>Rigidité</w:t>
            </w:r>
          </w:p>
          <w:p w:rsidR="00304387" w:rsidRDefault="00304387" w:rsidP="00304387">
            <w:pPr>
              <w:pStyle w:val="Sansinterligne"/>
            </w:pPr>
            <w:r>
              <w:t>Absence de Sx GI (ddx Syndrome sérotoninergique)</w:t>
            </w:r>
          </w:p>
        </w:tc>
        <w:tc>
          <w:tcPr>
            <w:tcW w:w="3969" w:type="dxa"/>
          </w:tcPr>
          <w:p w:rsidR="00304387" w:rsidRDefault="00304387" w:rsidP="00304387">
            <w:pPr>
              <w:pStyle w:val="Sansinterligne"/>
            </w:pPr>
            <w:r>
              <w:t>Arrêt du médicament</w:t>
            </w:r>
          </w:p>
          <w:p w:rsidR="00304387" w:rsidRDefault="00304387" w:rsidP="00304387">
            <w:pPr>
              <w:pStyle w:val="Sansinterligne"/>
            </w:pPr>
            <w:r>
              <w:t>Réhydratation intensive</w:t>
            </w:r>
          </w:p>
          <w:p w:rsidR="00304387" w:rsidRDefault="00304387" w:rsidP="00304387">
            <w:pPr>
              <w:pStyle w:val="Sansinterligne"/>
            </w:pPr>
            <w:r>
              <w:t>Refroidissement</w:t>
            </w:r>
          </w:p>
          <w:p w:rsidR="00304387" w:rsidRDefault="00304387" w:rsidP="00304387">
            <w:pPr>
              <w:pStyle w:val="Sansinterligne"/>
            </w:pPr>
            <w:r>
              <w:t xml:space="preserve">Dantrolène </w:t>
            </w:r>
          </w:p>
          <w:p w:rsidR="00304387" w:rsidRDefault="00304387" w:rsidP="00304387">
            <w:pPr>
              <w:pStyle w:val="Sansinterligne"/>
            </w:pPr>
            <w:r>
              <w:t>Bromocriptine</w:t>
            </w:r>
          </w:p>
        </w:tc>
      </w:tr>
    </w:tbl>
    <w:p w:rsidR="00304387" w:rsidRDefault="00304387" w:rsidP="00304387">
      <w:pPr>
        <w:pStyle w:val="Sansinterligne"/>
        <w:rPr>
          <w:b/>
        </w:rPr>
      </w:pPr>
    </w:p>
    <w:p w:rsidR="00304387" w:rsidRDefault="00304387" w:rsidP="00304387">
      <w:pPr>
        <w:pStyle w:val="Sansinterligne"/>
        <w:rPr>
          <w:b/>
        </w:rPr>
      </w:pPr>
    </w:p>
    <w:p w:rsidR="00304387" w:rsidRDefault="00304387" w:rsidP="00304387">
      <w:pPr>
        <w:pStyle w:val="Sansinterligne"/>
        <w:rPr>
          <w:b/>
        </w:rPr>
      </w:pPr>
    </w:p>
    <w:p w:rsidR="00304387" w:rsidRDefault="00304387" w:rsidP="00304387">
      <w:pPr>
        <w:pStyle w:val="Sansinterligne"/>
        <w:rPr>
          <w:b/>
        </w:rPr>
      </w:pPr>
    </w:p>
    <w:p w:rsidR="00304387" w:rsidRDefault="00304387" w:rsidP="00304387">
      <w:pPr>
        <w:pStyle w:val="Sansinterligne"/>
        <w:rPr>
          <w:b/>
        </w:rPr>
      </w:pPr>
    </w:p>
    <w:p w:rsidR="00304387" w:rsidRDefault="00304387" w:rsidP="00304387">
      <w:pPr>
        <w:pStyle w:val="Sansinterligne"/>
        <w:rPr>
          <w:b/>
        </w:rPr>
      </w:pPr>
    </w:p>
    <w:p w:rsidR="00304387" w:rsidRDefault="00304387" w:rsidP="00304387">
      <w:pPr>
        <w:pStyle w:val="Sansinterligne"/>
        <w:rPr>
          <w:b/>
        </w:rPr>
      </w:pPr>
    </w:p>
    <w:p w:rsidR="00304387" w:rsidRDefault="00304387" w:rsidP="00304387">
      <w:pPr>
        <w:pStyle w:val="Sansinterligne"/>
        <w:rPr>
          <w:b/>
        </w:rPr>
      </w:pPr>
    </w:p>
    <w:p w:rsidR="002142A5" w:rsidRPr="00D64245" w:rsidRDefault="002C67D2" w:rsidP="00304387">
      <w:pPr>
        <w:pStyle w:val="Sansinterligne"/>
      </w:pPr>
      <w:r w:rsidRPr="002142A5">
        <w:rPr>
          <w:b/>
        </w:rPr>
        <w:t xml:space="preserve">Symptômes </w:t>
      </w:r>
      <w:r w:rsidR="00940EBB" w:rsidRPr="002142A5">
        <w:rPr>
          <w:b/>
        </w:rPr>
        <w:t>extrapyramidaux</w:t>
      </w:r>
      <w:r w:rsidR="00304387">
        <w:rPr>
          <w:b/>
        </w:rPr>
        <w:t xml:space="preserve"> (</w:t>
      </w:r>
      <w:r w:rsidR="00304387" w:rsidRPr="00304387">
        <w:t xml:space="preserve">aigus </w:t>
      </w:r>
      <w:r w:rsidR="00304387" w:rsidRPr="00304387">
        <w:rPr>
          <w:rFonts w:ascii="Century Gothic" w:hAnsi="Century Gothic"/>
        </w:rPr>
        <w:t>&lt;</w:t>
      </w:r>
      <w:r w:rsidR="00304387" w:rsidRPr="00304387">
        <w:t xml:space="preserve"> 10 jours, sauf la dystonie, réduire la dose / changer</w:t>
      </w:r>
      <w:r w:rsidR="00304387">
        <w:rPr>
          <w:b/>
        </w:rPr>
        <w:t>)</w:t>
      </w:r>
    </w:p>
    <w:p w:rsidR="002142A5" w:rsidRDefault="002142A5" w:rsidP="00BC3DCC">
      <w:pPr>
        <w:pStyle w:val="Sansinterligne"/>
        <w:numPr>
          <w:ilvl w:val="0"/>
          <w:numId w:val="767"/>
        </w:numPr>
      </w:pPr>
      <w:r>
        <w:t xml:space="preserve">Dystonie </w:t>
      </w:r>
      <w:r>
        <w:rPr>
          <w:rFonts w:ascii="Century Gothic" w:hAnsi="Century Gothic"/>
        </w:rPr>
        <w:t>→</w:t>
      </w:r>
      <w:r>
        <w:t xml:space="preserve"> traitement avec benztropine ou diphenydramine</w:t>
      </w:r>
    </w:p>
    <w:p w:rsidR="002142A5" w:rsidRDefault="002142A5" w:rsidP="00BC3DCC">
      <w:pPr>
        <w:pStyle w:val="Sansinterligne"/>
        <w:numPr>
          <w:ilvl w:val="0"/>
          <w:numId w:val="767"/>
        </w:numPr>
      </w:pPr>
      <w:r>
        <w:t xml:space="preserve">Akathisie </w:t>
      </w:r>
      <w:r>
        <w:rPr>
          <w:rFonts w:ascii="Century Gothic" w:hAnsi="Century Gothic"/>
        </w:rPr>
        <w:t>→</w:t>
      </w:r>
      <w:r>
        <w:t xml:space="preserve"> traitement avec lorazepam, propanolol ou diphenydramine</w:t>
      </w:r>
    </w:p>
    <w:p w:rsidR="002142A5" w:rsidRDefault="002142A5" w:rsidP="00BC3DCC">
      <w:pPr>
        <w:pStyle w:val="Sansinterligne"/>
        <w:numPr>
          <w:ilvl w:val="0"/>
          <w:numId w:val="767"/>
        </w:numPr>
      </w:pPr>
      <w:r>
        <w:t xml:space="preserve">Pseudoparkinsonnisme </w:t>
      </w:r>
      <w:r>
        <w:rPr>
          <w:rFonts w:ascii="Century Gothic" w:hAnsi="Century Gothic"/>
        </w:rPr>
        <w:t>→</w:t>
      </w:r>
      <w:r>
        <w:t xml:space="preserve"> traitement avec benztropine</w:t>
      </w:r>
    </w:p>
    <w:p w:rsidR="002142A5" w:rsidRDefault="002142A5" w:rsidP="00BC3DCC">
      <w:pPr>
        <w:pStyle w:val="Sansinterligne"/>
        <w:numPr>
          <w:ilvl w:val="0"/>
          <w:numId w:val="767"/>
        </w:numPr>
      </w:pPr>
      <w:r>
        <w:t xml:space="preserve">Dyskinésie tardive </w:t>
      </w:r>
      <w:r>
        <w:rPr>
          <w:rFonts w:ascii="Century Gothic" w:hAnsi="Century Gothic"/>
        </w:rPr>
        <w:t>→</w:t>
      </w:r>
      <w:r>
        <w:t xml:space="preserve"> pas de traitement efficace</w:t>
      </w:r>
    </w:p>
    <w:p w:rsidR="00AA239D" w:rsidRDefault="00AA239D" w:rsidP="007E2242">
      <w:pPr>
        <w:pStyle w:val="Sansinterligne"/>
        <w:sectPr w:rsidR="00AA239D" w:rsidSect="00304387">
          <w:type w:val="continuous"/>
          <w:pgSz w:w="12240" w:h="15840"/>
          <w:pgMar w:top="720" w:right="720" w:bottom="720" w:left="720" w:header="708" w:footer="708" w:gutter="0"/>
          <w:cols w:space="851"/>
          <w:docGrid w:linePitch="360"/>
        </w:sectPr>
      </w:pPr>
    </w:p>
    <w:p w:rsidR="00304387" w:rsidRDefault="00304387" w:rsidP="007E2242">
      <w:pPr>
        <w:pStyle w:val="Sansinterligne"/>
        <w:sectPr w:rsidR="00304387" w:rsidSect="00217865">
          <w:type w:val="continuous"/>
          <w:pgSz w:w="12240" w:h="15840"/>
          <w:pgMar w:top="720" w:right="720" w:bottom="720" w:left="720" w:header="708" w:footer="708" w:gutter="0"/>
          <w:cols w:space="708"/>
          <w:docGrid w:linePitch="360"/>
        </w:sectPr>
      </w:pPr>
    </w:p>
    <w:p w:rsidR="00CB642D" w:rsidRDefault="00CB642D" w:rsidP="002D636E">
      <w:pPr>
        <w:spacing w:after="0"/>
        <w:rPr>
          <w:rFonts w:cs="Times New Roman"/>
          <w:b/>
          <w:color w:val="548DD4" w:themeColor="text2" w:themeTint="99"/>
        </w:rPr>
      </w:pPr>
      <w:r>
        <w:rPr>
          <w:rFonts w:cs="Times New Roman"/>
          <w:b/>
          <w:color w:val="548DD4" w:themeColor="text2" w:themeTint="99"/>
        </w:rPr>
        <w:t>CMC 90</w:t>
      </w:r>
    </w:p>
    <w:p w:rsidR="00CB642D" w:rsidRPr="00CB642D" w:rsidRDefault="00CB642D" w:rsidP="00CB642D">
      <w:pPr>
        <w:pStyle w:val="Titre3"/>
        <w:spacing w:before="0"/>
        <w:rPr>
          <w:rFonts w:ascii="Times New Roman" w:hAnsi="Times New Roman" w:cs="Times New Roman"/>
        </w:rPr>
      </w:pPr>
      <w:bookmarkStart w:id="345" w:name="_Toc480797324"/>
      <w:r w:rsidRPr="00CB642D">
        <w:rPr>
          <w:rFonts w:ascii="Times New Roman" w:hAnsi="Times New Roman" w:cs="Times New Roman"/>
        </w:rPr>
        <w:t>Masse scrotale</w:t>
      </w:r>
      <w:bookmarkEnd w:id="345"/>
    </w:p>
    <w:tbl>
      <w:tblPr>
        <w:tblW w:w="3858" w:type="pct"/>
        <w:tblCellSpacing w:w="0" w:type="dxa"/>
        <w:tblCellMar>
          <w:left w:w="0" w:type="dxa"/>
          <w:right w:w="0" w:type="dxa"/>
        </w:tblCellMar>
        <w:tblLook w:val="04A0" w:firstRow="1" w:lastRow="0" w:firstColumn="1" w:lastColumn="0" w:noHBand="0" w:noVBand="1"/>
      </w:tblPr>
      <w:tblGrid>
        <w:gridCol w:w="8333"/>
      </w:tblGrid>
      <w:tr w:rsidR="00CB642D" w:rsidRPr="00CB642D" w:rsidTr="00CB642D">
        <w:trPr>
          <w:tblCellSpacing w:w="0" w:type="dxa"/>
        </w:trPr>
        <w:tc>
          <w:tcPr>
            <w:tcW w:w="0" w:type="auto"/>
            <w:vAlign w:val="bottom"/>
            <w:hideMark/>
          </w:tcPr>
          <w:p w:rsidR="00CB642D" w:rsidRPr="00CB642D" w:rsidRDefault="00ED7586" w:rsidP="00CB642D">
            <w:pPr>
              <w:pStyle w:val="Sansinterligne"/>
              <w:spacing w:before="240"/>
              <w:rPr>
                <w:rFonts w:cs="Times New Roman"/>
                <w:b/>
                <w:sz w:val="18"/>
                <w:szCs w:val="18"/>
              </w:rPr>
            </w:pPr>
            <w:r>
              <w:rPr>
                <w:rFonts w:cs="Times New Roman"/>
                <w:b/>
                <w:noProof/>
                <w:sz w:val="18"/>
                <w:szCs w:val="18"/>
                <w:lang w:eastAsia="fr-CA"/>
              </w:rPr>
              <mc:AlternateContent>
                <mc:Choice Requires="wps">
                  <w:drawing>
                    <wp:anchor distT="0" distB="0" distL="114300" distR="114300" simplePos="0" relativeHeight="252028928" behindDoc="0" locked="0" layoutInCell="1" allowOverlap="1" wp14:anchorId="5AC92B22" wp14:editId="72889682">
                      <wp:simplePos x="0" y="0"/>
                      <wp:positionH relativeFrom="column">
                        <wp:posOffset>-58366</wp:posOffset>
                      </wp:positionH>
                      <wp:positionV relativeFrom="paragraph">
                        <wp:posOffset>104680</wp:posOffset>
                      </wp:positionV>
                      <wp:extent cx="6858000" cy="2791839"/>
                      <wp:effectExtent l="0" t="0" r="19050" b="27940"/>
                      <wp:wrapNone/>
                      <wp:docPr id="538" name="Rectangle 538"/>
                      <wp:cNvGraphicFramePr/>
                      <a:graphic xmlns:a="http://schemas.openxmlformats.org/drawingml/2006/main">
                        <a:graphicData uri="http://schemas.microsoft.com/office/word/2010/wordprocessingShape">
                          <wps:wsp>
                            <wps:cNvSpPr/>
                            <wps:spPr>
                              <a:xfrm>
                                <a:off x="0" y="0"/>
                                <a:ext cx="6858000" cy="2791839"/>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538" o:spid="_x0000_s1026" style="position:absolute;margin-left:-4.6pt;margin-top:8.25pt;width:540pt;height:219.85pt;z-index:2520289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" filled="f" strokecolor="black [1600]" strokeweight="2pt"/>
                  </w:pict>
                </mc:Fallback>
              </mc:AlternateContent>
            </w:r>
            <w:r w:rsidR="00CB642D" w:rsidRPr="00CB642D">
              <w:rPr>
                <w:rFonts w:cs="Times New Roman"/>
                <w:b/>
                <w:sz w:val="18"/>
                <w:szCs w:val="18"/>
              </w:rPr>
              <w:t>Objectifs principaux</w:t>
            </w:r>
          </w:p>
        </w:tc>
      </w:tr>
    </w:tbl>
    <w:p w:rsidR="00CB642D" w:rsidRPr="00CB642D" w:rsidRDefault="00CB642D" w:rsidP="00CB642D">
      <w:pPr>
        <w:pStyle w:val="NormalWeb"/>
        <w:ind w:left="360"/>
        <w:rPr>
          <w:color w:val="000000"/>
          <w:sz w:val="18"/>
          <w:szCs w:val="18"/>
          <w:shd w:val="clear" w:color="auto" w:fill="FFFFFF"/>
        </w:rPr>
      </w:pPr>
      <w:r w:rsidRPr="00CB642D">
        <w:rPr>
          <w:color w:val="000000"/>
          <w:sz w:val="18"/>
          <w:szCs w:val="18"/>
          <w:shd w:val="clear" w:color="auto" w:fill="FFFFFF"/>
        </w:rPr>
        <w:t>Dans le cas d'un patient présentant une masse scrotale, le candidat devra en diagnostiquer la cause, la gravité et les complications, et mettre en place un plan de prise en charge approprié. Il devra en particulier distinguer les tumeurs testiculaires malignes des autres types de masse scrotale.</w:t>
      </w:r>
    </w:p>
    <w:tbl>
      <w:tblPr>
        <w:tblW w:w="3897" w:type="pct"/>
        <w:tblCellSpacing w:w="0" w:type="dxa"/>
        <w:tblCellMar>
          <w:left w:w="0" w:type="dxa"/>
          <w:right w:w="0" w:type="dxa"/>
        </w:tblCellMar>
        <w:tblLook w:val="04A0" w:firstRow="1" w:lastRow="0" w:firstColumn="1" w:lastColumn="0" w:noHBand="0" w:noVBand="1"/>
      </w:tblPr>
      <w:tblGrid>
        <w:gridCol w:w="8418"/>
      </w:tblGrid>
      <w:tr w:rsidR="00CB642D" w:rsidRPr="00CB642D" w:rsidTr="00CB642D">
        <w:trPr>
          <w:tblCellSpacing w:w="0" w:type="dxa"/>
        </w:trPr>
        <w:tc>
          <w:tcPr>
            <w:tcW w:w="0" w:type="auto"/>
            <w:vAlign w:val="bottom"/>
            <w:hideMark/>
          </w:tcPr>
          <w:p w:rsidR="00CB642D" w:rsidRPr="00CB642D" w:rsidRDefault="00CB642D" w:rsidP="00CB642D">
            <w:pPr>
              <w:pStyle w:val="Sansinterligne"/>
              <w:rPr>
                <w:rFonts w:cs="Times New Roman"/>
                <w:b/>
                <w:sz w:val="16"/>
                <w:szCs w:val="16"/>
              </w:rPr>
            </w:pPr>
            <w:r w:rsidRPr="00CB642D">
              <w:rPr>
                <w:rFonts w:cs="Times New Roman"/>
                <w:b/>
                <w:sz w:val="16"/>
                <w:szCs w:val="16"/>
              </w:rPr>
              <w:t>Objectifs spécifiques</w:t>
            </w:r>
          </w:p>
        </w:tc>
      </w:tr>
    </w:tbl>
    <w:p w:rsidR="00CB642D" w:rsidRPr="00CB642D" w:rsidRDefault="00CB642D" w:rsidP="00CB642D">
      <w:pPr>
        <w:pStyle w:val="NormalWeb"/>
        <w:shd w:val="clear" w:color="auto" w:fill="FFFFFF"/>
        <w:ind w:left="360"/>
        <w:rPr>
          <w:color w:val="000000"/>
          <w:sz w:val="16"/>
          <w:szCs w:val="16"/>
          <w:shd w:val="clear" w:color="auto" w:fill="FFFFFF"/>
        </w:rPr>
      </w:pPr>
      <w:r w:rsidRPr="00CB642D">
        <w:rPr>
          <w:color w:val="000000"/>
          <w:sz w:val="16"/>
          <w:szCs w:val="16"/>
          <w:shd w:val="clear" w:color="auto" w:fill="FFFFFF"/>
        </w:rPr>
        <w:t>Dans le cas d'un patient présentant une masse scrotale, le candidat devra</w:t>
      </w:r>
    </w:p>
    <w:p w:rsidR="00CB642D" w:rsidRPr="00CB642D" w:rsidRDefault="00CB642D" w:rsidP="005D429F">
      <w:pPr>
        <w:numPr>
          <w:ilvl w:val="0"/>
          <w:numId w:val="1167"/>
        </w:numPr>
        <w:shd w:val="clear" w:color="auto" w:fill="FFFFFF"/>
        <w:spacing w:before="100" w:beforeAutospacing="1" w:after="100" w:afterAutospacing="1" w:line="240" w:lineRule="auto"/>
        <w:rPr>
          <w:rFonts w:cs="Times New Roman"/>
          <w:color w:val="000000"/>
          <w:sz w:val="16"/>
          <w:szCs w:val="16"/>
          <w:shd w:val="clear" w:color="auto" w:fill="FFFFFF"/>
        </w:rPr>
      </w:pPr>
      <w:r w:rsidRPr="00CB642D">
        <w:rPr>
          <w:rFonts w:cs="Times New Roman"/>
          <w:color w:val="000000"/>
          <w:sz w:val="16"/>
          <w:szCs w:val="16"/>
          <w:shd w:val="clear" w:color="auto" w:fill="FFFFFF"/>
        </w:rPr>
        <w:t>énumérer et interpréter les constatations cliniques cruciales, notamment :</w:t>
      </w:r>
    </w:p>
    <w:p w:rsidR="00CB642D" w:rsidRPr="00CB642D" w:rsidRDefault="00CB642D" w:rsidP="005D429F">
      <w:pPr>
        <w:numPr>
          <w:ilvl w:val="1"/>
          <w:numId w:val="1167"/>
        </w:numPr>
        <w:shd w:val="clear" w:color="auto" w:fill="FFFFFF"/>
        <w:spacing w:before="100" w:beforeAutospacing="1" w:after="100" w:afterAutospacing="1" w:line="240" w:lineRule="auto"/>
        <w:rPr>
          <w:rFonts w:cs="Times New Roman"/>
          <w:color w:val="000000"/>
          <w:sz w:val="16"/>
          <w:szCs w:val="16"/>
          <w:shd w:val="clear" w:color="auto" w:fill="FFFFFF"/>
        </w:rPr>
      </w:pPr>
      <w:r w:rsidRPr="00CB642D">
        <w:rPr>
          <w:rFonts w:cs="Times New Roman"/>
          <w:color w:val="000000"/>
          <w:sz w:val="16"/>
          <w:szCs w:val="16"/>
          <w:shd w:val="clear" w:color="auto" w:fill="FFFFFF"/>
        </w:rPr>
        <w:t>les résultats d'une anamnèse et d'un examen physique, en particulier pour diagnostiquer un cas urgent (c.-à-d. varicocèle du côté droit, tumeur testiculaire maligne, torsion testiculaire);</w:t>
      </w:r>
    </w:p>
    <w:p w:rsidR="00CB642D" w:rsidRPr="00CB642D" w:rsidRDefault="00CB642D" w:rsidP="005D429F">
      <w:pPr>
        <w:numPr>
          <w:ilvl w:val="0"/>
          <w:numId w:val="1167"/>
        </w:numPr>
        <w:shd w:val="clear" w:color="auto" w:fill="FFFFFF"/>
        <w:spacing w:before="100" w:beforeAutospacing="1" w:after="100" w:afterAutospacing="1" w:line="240" w:lineRule="auto"/>
        <w:rPr>
          <w:rFonts w:cs="Times New Roman"/>
          <w:color w:val="000000"/>
          <w:sz w:val="16"/>
          <w:szCs w:val="16"/>
          <w:shd w:val="clear" w:color="auto" w:fill="FFFFFF"/>
        </w:rPr>
      </w:pPr>
      <w:r w:rsidRPr="00CB642D">
        <w:rPr>
          <w:rFonts w:cs="Times New Roman"/>
          <w:color w:val="000000"/>
          <w:sz w:val="16"/>
          <w:szCs w:val="16"/>
          <w:shd w:val="clear" w:color="auto" w:fill="FFFFFF"/>
        </w:rPr>
        <w:t>énumérer et interpréter les examens essentiels, notamment :</w:t>
      </w:r>
    </w:p>
    <w:p w:rsidR="00CB642D" w:rsidRPr="00CB642D" w:rsidRDefault="00CB642D" w:rsidP="005D429F">
      <w:pPr>
        <w:numPr>
          <w:ilvl w:val="1"/>
          <w:numId w:val="1167"/>
        </w:numPr>
        <w:shd w:val="clear" w:color="auto" w:fill="FFFFFF"/>
        <w:spacing w:before="100" w:beforeAutospacing="1" w:after="100" w:afterAutospacing="1" w:line="240" w:lineRule="auto"/>
        <w:rPr>
          <w:rFonts w:cs="Times New Roman"/>
          <w:color w:val="000000"/>
          <w:sz w:val="16"/>
          <w:szCs w:val="16"/>
          <w:shd w:val="clear" w:color="auto" w:fill="FFFFFF"/>
        </w:rPr>
      </w:pPr>
      <w:r w:rsidRPr="00CB642D">
        <w:rPr>
          <w:rFonts w:cs="Times New Roman"/>
          <w:color w:val="000000"/>
          <w:sz w:val="16"/>
          <w:szCs w:val="16"/>
          <w:shd w:val="clear" w:color="auto" w:fill="FFFFFF"/>
        </w:rPr>
        <w:t>les analyses de laboratoire et les examens radiologiques, en particulier le dosage des marqueurs tumoraux, l'échographie Doppler ou la tomodensitométrie (TDM), selon le cas;</w:t>
      </w:r>
    </w:p>
    <w:p w:rsidR="00CB642D" w:rsidRPr="00CB642D" w:rsidRDefault="00CB642D" w:rsidP="005D429F">
      <w:pPr>
        <w:numPr>
          <w:ilvl w:val="0"/>
          <w:numId w:val="1167"/>
        </w:numPr>
        <w:shd w:val="clear" w:color="auto" w:fill="FFFFFF"/>
        <w:spacing w:before="100" w:beforeAutospacing="1" w:after="100" w:afterAutospacing="1" w:line="240" w:lineRule="auto"/>
        <w:rPr>
          <w:rFonts w:cs="Times New Roman"/>
          <w:color w:val="000000"/>
          <w:sz w:val="16"/>
          <w:szCs w:val="16"/>
          <w:shd w:val="clear" w:color="auto" w:fill="FFFFFF"/>
        </w:rPr>
      </w:pPr>
      <w:r w:rsidRPr="00CB642D">
        <w:rPr>
          <w:rFonts w:cs="Times New Roman"/>
          <w:color w:val="000000"/>
          <w:sz w:val="16"/>
          <w:szCs w:val="16"/>
          <w:shd w:val="clear" w:color="auto" w:fill="FFFFFF"/>
        </w:rPr>
        <w:t>établir un plan efficace de prise en charge initiale, notamment :</w:t>
      </w:r>
    </w:p>
    <w:p w:rsidR="00CB642D" w:rsidRPr="00CB642D" w:rsidRDefault="00CB642D" w:rsidP="005D429F">
      <w:pPr>
        <w:numPr>
          <w:ilvl w:val="1"/>
          <w:numId w:val="1167"/>
        </w:numPr>
        <w:shd w:val="clear" w:color="auto" w:fill="FFFFFF"/>
        <w:spacing w:before="100" w:beforeAutospacing="1" w:after="100" w:afterAutospacing="1" w:line="240" w:lineRule="auto"/>
        <w:rPr>
          <w:rFonts w:cs="Times New Roman"/>
          <w:color w:val="000000"/>
          <w:sz w:val="16"/>
          <w:szCs w:val="16"/>
          <w:shd w:val="clear" w:color="auto" w:fill="FFFFFF"/>
        </w:rPr>
      </w:pPr>
      <w:r w:rsidRPr="00CB642D">
        <w:rPr>
          <w:rFonts w:cs="Times New Roman"/>
          <w:color w:val="000000"/>
          <w:sz w:val="16"/>
          <w:szCs w:val="16"/>
          <w:shd w:val="clear" w:color="auto" w:fill="FFFFFF"/>
        </w:rPr>
        <w:t>dans le cas d'un jeune patient, le conseiller et le renseigner à propos de l'auto-examen régulier des testicules;</w:t>
      </w:r>
    </w:p>
    <w:p w:rsidR="00CB642D" w:rsidRPr="00CB642D" w:rsidRDefault="00CB642D" w:rsidP="005D429F">
      <w:pPr>
        <w:numPr>
          <w:ilvl w:val="1"/>
          <w:numId w:val="1167"/>
        </w:numPr>
        <w:shd w:val="clear" w:color="auto" w:fill="FFFFFF"/>
        <w:spacing w:before="100" w:beforeAutospacing="1" w:after="100" w:afterAutospacing="1" w:line="240" w:lineRule="auto"/>
        <w:rPr>
          <w:rFonts w:cs="Times New Roman"/>
          <w:color w:val="000000"/>
          <w:sz w:val="16"/>
          <w:szCs w:val="16"/>
          <w:shd w:val="clear" w:color="auto" w:fill="FFFFFF"/>
        </w:rPr>
      </w:pPr>
      <w:r w:rsidRPr="00CB642D">
        <w:rPr>
          <w:rFonts w:cs="Times New Roman"/>
          <w:color w:val="000000"/>
          <w:sz w:val="16"/>
          <w:szCs w:val="16"/>
          <w:shd w:val="clear" w:color="auto" w:fill="FFFFFF"/>
        </w:rPr>
        <w:t>déterminer si le patient doit être adressé d'urgence ou non à un spécialiste;</w:t>
      </w:r>
    </w:p>
    <w:p w:rsidR="00CB642D" w:rsidRPr="00AB2FEF" w:rsidRDefault="00CB642D" w:rsidP="005D429F">
      <w:pPr>
        <w:numPr>
          <w:ilvl w:val="1"/>
          <w:numId w:val="1167"/>
        </w:numPr>
        <w:shd w:val="clear" w:color="auto" w:fill="FFFFFF"/>
        <w:spacing w:before="100" w:beforeAutospacing="1" w:after="100" w:afterAutospacing="1" w:line="240" w:lineRule="auto"/>
        <w:rPr>
          <w:rFonts w:cs="Times New Roman"/>
          <w:color w:val="000000"/>
          <w:sz w:val="16"/>
          <w:szCs w:val="16"/>
          <w:shd w:val="clear" w:color="auto" w:fill="FFFFFF"/>
        </w:rPr>
      </w:pPr>
      <w:r w:rsidRPr="00CB642D">
        <w:rPr>
          <w:rFonts w:cs="Times New Roman"/>
          <w:color w:val="000000"/>
          <w:sz w:val="16"/>
          <w:szCs w:val="16"/>
          <w:shd w:val="clear" w:color="auto" w:fill="FFFFFF"/>
        </w:rPr>
        <w:t>conseiller, renseigner et rassurer le patient en cas de masse scrotale bénigne.</w:t>
      </w:r>
    </w:p>
    <w:p w:rsidR="00ED7586" w:rsidRPr="00AC41D3" w:rsidRDefault="002161BD" w:rsidP="002161BD">
      <w:pPr>
        <w:pStyle w:val="Sansinterligne"/>
        <w:rPr>
          <w:b/>
          <w:sz w:val="28"/>
          <w:szCs w:val="28"/>
        </w:rPr>
      </w:pPr>
      <w:r w:rsidRPr="00AC41D3">
        <w:rPr>
          <w:b/>
          <w:sz w:val="28"/>
          <w:szCs w:val="28"/>
        </w:rPr>
        <w:t>Diagnostics</w:t>
      </w:r>
    </w:p>
    <w:p w:rsidR="002161BD" w:rsidRDefault="002161BD" w:rsidP="002161BD">
      <w:pPr>
        <w:pStyle w:val="Sansinterligne"/>
      </w:pPr>
    </w:p>
    <w:tbl>
      <w:tblPr>
        <w:tblStyle w:val="Grilledutableau"/>
        <w:tblW w:w="0" w:type="auto"/>
        <w:tblLook w:val="04A0" w:firstRow="1" w:lastRow="0" w:firstColumn="1" w:lastColumn="0" w:noHBand="0" w:noVBand="1"/>
      </w:tblPr>
      <w:tblGrid>
        <w:gridCol w:w="2660"/>
        <w:gridCol w:w="4394"/>
        <w:gridCol w:w="3886"/>
      </w:tblGrid>
      <w:tr w:rsidR="002161BD" w:rsidTr="00AC41D3">
        <w:trPr>
          <w:trHeight w:val="116"/>
        </w:trPr>
        <w:tc>
          <w:tcPr>
            <w:tcW w:w="2660" w:type="dxa"/>
            <w:shd w:val="clear" w:color="auto" w:fill="FFC000"/>
          </w:tcPr>
          <w:p w:rsidR="002161BD" w:rsidRPr="00AC41D3" w:rsidRDefault="002161BD" w:rsidP="00AC41D3">
            <w:pPr>
              <w:pStyle w:val="Sansinterligne"/>
              <w:jc w:val="center"/>
              <w:rPr>
                <w:i/>
              </w:rPr>
            </w:pPr>
            <w:r w:rsidRPr="00AC41D3">
              <w:rPr>
                <w:i/>
              </w:rPr>
              <w:t>Diagnostic</w:t>
            </w:r>
          </w:p>
        </w:tc>
        <w:tc>
          <w:tcPr>
            <w:tcW w:w="8280" w:type="dxa"/>
            <w:gridSpan w:val="2"/>
            <w:shd w:val="clear" w:color="auto" w:fill="FFC000"/>
          </w:tcPr>
          <w:p w:rsidR="002161BD" w:rsidRPr="00AC41D3" w:rsidRDefault="002161BD" w:rsidP="00AC41D3">
            <w:pPr>
              <w:pStyle w:val="Sansinterligne"/>
              <w:jc w:val="center"/>
              <w:rPr>
                <w:i/>
              </w:rPr>
            </w:pPr>
            <w:r w:rsidRPr="00AC41D3">
              <w:rPr>
                <w:i/>
              </w:rPr>
              <w:t>Manifestations cliniques</w:t>
            </w:r>
          </w:p>
        </w:tc>
      </w:tr>
      <w:tr w:rsidR="0062460C" w:rsidTr="00CD47D8">
        <w:tc>
          <w:tcPr>
            <w:tcW w:w="2660" w:type="dxa"/>
            <w:shd w:val="clear" w:color="auto" w:fill="D6E3BC" w:themeFill="accent3" w:themeFillTint="66"/>
            <w:vAlign w:val="center"/>
          </w:tcPr>
          <w:p w:rsidR="0062460C" w:rsidRPr="00245838" w:rsidRDefault="0062460C" w:rsidP="00CD47D8">
            <w:pPr>
              <w:pStyle w:val="Sansinterligne"/>
              <w:jc w:val="center"/>
              <w:rPr>
                <w:b/>
              </w:rPr>
            </w:pPr>
            <w:r w:rsidRPr="00245838">
              <w:rPr>
                <w:b/>
              </w:rPr>
              <w:t>Torsion testiculaire</w:t>
            </w:r>
          </w:p>
        </w:tc>
        <w:tc>
          <w:tcPr>
            <w:tcW w:w="8280" w:type="dxa"/>
            <w:gridSpan w:val="2"/>
          </w:tcPr>
          <w:p w:rsidR="0062460C" w:rsidRDefault="0062460C" w:rsidP="00CD47D8">
            <w:pPr>
              <w:pStyle w:val="Sansinterligne"/>
            </w:pPr>
            <w:r>
              <w:t xml:space="preserve">Voir </w:t>
            </w:r>
            <w:r w:rsidRPr="00140C57">
              <w:rPr>
                <w:i/>
              </w:rPr>
              <w:t>Douleur abdominale chez l’enfant CMC 3-1</w:t>
            </w:r>
          </w:p>
        </w:tc>
      </w:tr>
      <w:tr w:rsidR="0062460C" w:rsidTr="00FD0D1D">
        <w:tc>
          <w:tcPr>
            <w:tcW w:w="2660" w:type="dxa"/>
            <w:shd w:val="clear" w:color="auto" w:fill="D6E3BC" w:themeFill="accent3" w:themeFillTint="66"/>
            <w:vAlign w:val="center"/>
          </w:tcPr>
          <w:p w:rsidR="0062460C" w:rsidRPr="00245838" w:rsidRDefault="0062460C" w:rsidP="00CD47D8">
            <w:pPr>
              <w:pStyle w:val="Sansinterligne"/>
              <w:jc w:val="center"/>
              <w:rPr>
                <w:b/>
              </w:rPr>
            </w:pPr>
            <w:r w:rsidRPr="00245838">
              <w:rPr>
                <w:b/>
              </w:rPr>
              <w:t>Torsion de l’appendice    de Morgani</w:t>
            </w:r>
          </w:p>
        </w:tc>
        <w:tc>
          <w:tcPr>
            <w:tcW w:w="4394" w:type="dxa"/>
            <w:tcBorders>
              <w:right w:val="single" w:sz="4" w:space="0" w:color="FFFF00"/>
            </w:tcBorders>
            <w:shd w:val="clear" w:color="auto" w:fill="FFFF00"/>
          </w:tcPr>
          <w:p w:rsidR="0062460C" w:rsidRPr="00525169" w:rsidRDefault="0062460C" w:rsidP="005D429F">
            <w:pPr>
              <w:pStyle w:val="Sansinterligne"/>
              <w:numPr>
                <w:ilvl w:val="0"/>
                <w:numId w:val="1173"/>
              </w:numPr>
              <w:rPr>
                <w:u w:val="single"/>
              </w:rPr>
            </w:pPr>
            <w:r w:rsidRPr="00525169">
              <w:rPr>
                <w:u w:val="single"/>
              </w:rPr>
              <w:t xml:space="preserve">Douleur aigue </w:t>
            </w:r>
          </w:p>
          <w:p w:rsidR="0062460C" w:rsidRPr="00525169" w:rsidRDefault="0062460C" w:rsidP="005D429F">
            <w:pPr>
              <w:pStyle w:val="Sansinterligne"/>
              <w:numPr>
                <w:ilvl w:val="0"/>
                <w:numId w:val="1173"/>
              </w:numPr>
              <w:rPr>
                <w:u w:val="single"/>
              </w:rPr>
            </w:pPr>
            <w:r w:rsidRPr="00525169">
              <w:rPr>
                <w:u w:val="single"/>
              </w:rPr>
              <w:t>Localisée au pôle supérieur du testicule</w:t>
            </w:r>
          </w:p>
          <w:p w:rsidR="0062460C" w:rsidRPr="00525169" w:rsidRDefault="0062460C" w:rsidP="005D429F">
            <w:pPr>
              <w:pStyle w:val="Sansinterligne"/>
              <w:numPr>
                <w:ilvl w:val="0"/>
                <w:numId w:val="1173"/>
              </w:numPr>
              <w:rPr>
                <w:u w:val="single"/>
              </w:rPr>
            </w:pPr>
            <w:r w:rsidRPr="00525169">
              <w:rPr>
                <w:u w:val="single"/>
              </w:rPr>
              <w:t>Tâche bleutée visible au pôle supérieur (pathognomonique)</w:t>
            </w:r>
          </w:p>
          <w:p w:rsidR="0062460C" w:rsidRDefault="0062460C" w:rsidP="005D429F">
            <w:pPr>
              <w:pStyle w:val="Sansinterligne"/>
              <w:numPr>
                <w:ilvl w:val="0"/>
                <w:numId w:val="1173"/>
              </w:numPr>
            </w:pPr>
            <w:r>
              <w:t>Petite tuméfaction de la taille d’un poids</w:t>
            </w:r>
          </w:p>
        </w:tc>
        <w:tc>
          <w:tcPr>
            <w:tcW w:w="3886" w:type="dxa"/>
            <w:tcBorders>
              <w:left w:val="single" w:sz="4" w:space="0" w:color="FFFF00"/>
            </w:tcBorders>
            <w:shd w:val="clear" w:color="auto" w:fill="FFFF00"/>
          </w:tcPr>
          <w:p w:rsidR="0062460C" w:rsidRDefault="0062460C" w:rsidP="005D429F">
            <w:pPr>
              <w:pStyle w:val="Sansinterligne"/>
              <w:numPr>
                <w:ilvl w:val="0"/>
                <w:numId w:val="1173"/>
              </w:numPr>
            </w:pPr>
            <w:r>
              <w:t>Pas de fièvre</w:t>
            </w:r>
          </w:p>
          <w:p w:rsidR="0062460C" w:rsidRDefault="0062460C" w:rsidP="005D429F">
            <w:pPr>
              <w:pStyle w:val="Sansinterligne"/>
              <w:numPr>
                <w:ilvl w:val="0"/>
                <w:numId w:val="1173"/>
              </w:numPr>
            </w:pPr>
            <w:r>
              <w:t>Peu d’œdème et d’érythème</w:t>
            </w:r>
          </w:p>
          <w:p w:rsidR="0062460C" w:rsidRDefault="0062460C" w:rsidP="005D429F">
            <w:pPr>
              <w:pStyle w:val="Sansinterligne"/>
              <w:numPr>
                <w:ilvl w:val="0"/>
                <w:numId w:val="1173"/>
              </w:numPr>
            </w:pPr>
            <w:r>
              <w:t>Réflexe crémastérien préservé</w:t>
            </w:r>
          </w:p>
        </w:tc>
      </w:tr>
      <w:tr w:rsidR="0062460C" w:rsidTr="00FD0D1D">
        <w:tc>
          <w:tcPr>
            <w:tcW w:w="2660" w:type="dxa"/>
            <w:shd w:val="clear" w:color="auto" w:fill="D6E3BC" w:themeFill="accent3" w:themeFillTint="66"/>
            <w:vAlign w:val="center"/>
          </w:tcPr>
          <w:p w:rsidR="0062460C" w:rsidRPr="00245838" w:rsidRDefault="0062460C" w:rsidP="00AC41D3">
            <w:pPr>
              <w:pStyle w:val="Sansinterligne"/>
              <w:jc w:val="center"/>
              <w:rPr>
                <w:b/>
              </w:rPr>
            </w:pPr>
            <w:r w:rsidRPr="00245838">
              <w:rPr>
                <w:b/>
              </w:rPr>
              <w:t>Épididymite</w:t>
            </w:r>
          </w:p>
        </w:tc>
        <w:tc>
          <w:tcPr>
            <w:tcW w:w="4394" w:type="dxa"/>
            <w:tcBorders>
              <w:right w:val="single" w:sz="4" w:space="0" w:color="FFFF00"/>
            </w:tcBorders>
            <w:shd w:val="clear" w:color="auto" w:fill="FFFF00"/>
          </w:tcPr>
          <w:p w:rsidR="0062460C" w:rsidRPr="00525169" w:rsidRDefault="0062460C" w:rsidP="005D429F">
            <w:pPr>
              <w:pStyle w:val="Sansinterligne"/>
              <w:numPr>
                <w:ilvl w:val="0"/>
                <w:numId w:val="1173"/>
              </w:numPr>
              <w:rPr>
                <w:u w:val="single"/>
              </w:rPr>
            </w:pPr>
            <w:r w:rsidRPr="00525169">
              <w:rPr>
                <w:u w:val="single"/>
              </w:rPr>
              <w:t>Douleur localisée à l’épididyme</w:t>
            </w:r>
          </w:p>
          <w:p w:rsidR="0062460C" w:rsidRDefault="0062460C" w:rsidP="005D429F">
            <w:pPr>
              <w:pStyle w:val="Sansinterligne"/>
              <w:numPr>
                <w:ilvl w:val="0"/>
                <w:numId w:val="1173"/>
              </w:numPr>
            </w:pPr>
            <w:r>
              <w:t>Œdème et érythème scrotal progressif</w:t>
            </w:r>
          </w:p>
          <w:p w:rsidR="0062460C" w:rsidRDefault="0062460C" w:rsidP="005D429F">
            <w:pPr>
              <w:pStyle w:val="Sansinterligne"/>
              <w:numPr>
                <w:ilvl w:val="0"/>
                <w:numId w:val="1173"/>
              </w:numPr>
            </w:pPr>
            <w:r>
              <w:t>Réflexe crémastérien préservé</w:t>
            </w:r>
          </w:p>
        </w:tc>
        <w:tc>
          <w:tcPr>
            <w:tcW w:w="3886" w:type="dxa"/>
            <w:tcBorders>
              <w:left w:val="single" w:sz="4" w:space="0" w:color="FFFF00"/>
            </w:tcBorders>
            <w:shd w:val="clear" w:color="auto" w:fill="FFFF00"/>
          </w:tcPr>
          <w:p w:rsidR="0062460C" w:rsidRDefault="0062460C" w:rsidP="005D429F">
            <w:pPr>
              <w:pStyle w:val="Sansinterligne"/>
              <w:numPr>
                <w:ilvl w:val="0"/>
                <w:numId w:val="1173"/>
              </w:numPr>
            </w:pPr>
            <w:r>
              <w:t>Dysurie (parfois)</w:t>
            </w:r>
          </w:p>
          <w:p w:rsidR="0062460C" w:rsidRPr="00525169" w:rsidRDefault="0062460C" w:rsidP="005D429F">
            <w:pPr>
              <w:pStyle w:val="Sansinterligne"/>
              <w:numPr>
                <w:ilvl w:val="0"/>
                <w:numId w:val="1173"/>
              </w:numPr>
              <w:rPr>
                <w:u w:val="single"/>
              </w:rPr>
            </w:pPr>
            <w:r w:rsidRPr="00525169">
              <w:rPr>
                <w:u w:val="single"/>
              </w:rPr>
              <w:t>Écoulement urétral (si ITSS)</w:t>
            </w:r>
          </w:p>
        </w:tc>
      </w:tr>
      <w:tr w:rsidR="0062460C" w:rsidTr="00FD0D1D">
        <w:tc>
          <w:tcPr>
            <w:tcW w:w="2660" w:type="dxa"/>
            <w:shd w:val="clear" w:color="auto" w:fill="D6E3BC" w:themeFill="accent3" w:themeFillTint="66"/>
            <w:vAlign w:val="center"/>
          </w:tcPr>
          <w:p w:rsidR="0062460C" w:rsidRPr="00245838" w:rsidRDefault="0062460C" w:rsidP="00AC41D3">
            <w:pPr>
              <w:pStyle w:val="Sansinterligne"/>
              <w:jc w:val="center"/>
              <w:rPr>
                <w:b/>
              </w:rPr>
            </w:pPr>
            <w:r w:rsidRPr="00245838">
              <w:rPr>
                <w:b/>
              </w:rPr>
              <w:t>Orchite</w:t>
            </w:r>
          </w:p>
        </w:tc>
        <w:tc>
          <w:tcPr>
            <w:tcW w:w="4394" w:type="dxa"/>
            <w:tcBorders>
              <w:right w:val="single" w:sz="4" w:space="0" w:color="FFFF00"/>
            </w:tcBorders>
            <w:shd w:val="clear" w:color="auto" w:fill="FFFF00"/>
          </w:tcPr>
          <w:p w:rsidR="0062460C" w:rsidRPr="00525169" w:rsidRDefault="0062460C" w:rsidP="005D429F">
            <w:pPr>
              <w:pStyle w:val="Sansinterligne"/>
              <w:numPr>
                <w:ilvl w:val="0"/>
                <w:numId w:val="1173"/>
              </w:numPr>
              <w:rPr>
                <w:u w:val="single"/>
              </w:rPr>
            </w:pPr>
            <w:r w:rsidRPr="00525169">
              <w:rPr>
                <w:u w:val="single"/>
              </w:rPr>
              <w:t>ATCD de non-vaccination pour les oreillons</w:t>
            </w:r>
          </w:p>
          <w:p w:rsidR="0062460C" w:rsidRDefault="0062460C" w:rsidP="005D429F">
            <w:pPr>
              <w:pStyle w:val="Sansinterligne"/>
              <w:numPr>
                <w:ilvl w:val="0"/>
                <w:numId w:val="1173"/>
              </w:numPr>
            </w:pPr>
            <w:r w:rsidRPr="00525169">
              <w:rPr>
                <w:u w:val="single"/>
              </w:rPr>
              <w:t>Testicule douloureux</w:t>
            </w:r>
          </w:p>
        </w:tc>
        <w:tc>
          <w:tcPr>
            <w:tcW w:w="3886" w:type="dxa"/>
            <w:tcBorders>
              <w:left w:val="single" w:sz="4" w:space="0" w:color="FFFF00"/>
            </w:tcBorders>
            <w:shd w:val="clear" w:color="auto" w:fill="FFFF00"/>
          </w:tcPr>
          <w:p w:rsidR="0062460C" w:rsidRDefault="0062460C" w:rsidP="005D429F">
            <w:pPr>
              <w:pStyle w:val="Sansinterligne"/>
              <w:numPr>
                <w:ilvl w:val="0"/>
                <w:numId w:val="1173"/>
              </w:numPr>
            </w:pPr>
            <w:r>
              <w:t>Œdème testiculaire</w:t>
            </w:r>
          </w:p>
          <w:p w:rsidR="0062460C" w:rsidRPr="00525169" w:rsidRDefault="0062460C" w:rsidP="005D429F">
            <w:pPr>
              <w:pStyle w:val="Sansinterligne"/>
              <w:numPr>
                <w:ilvl w:val="0"/>
                <w:numId w:val="1173"/>
              </w:numPr>
              <w:rPr>
                <w:u w:val="single"/>
              </w:rPr>
            </w:pPr>
            <w:r w:rsidRPr="00525169">
              <w:rPr>
                <w:u w:val="single"/>
              </w:rPr>
              <w:t>Parfois bilatéral</w:t>
            </w:r>
          </w:p>
        </w:tc>
      </w:tr>
      <w:tr w:rsidR="0062460C" w:rsidTr="00FD0D1D">
        <w:tc>
          <w:tcPr>
            <w:tcW w:w="2660" w:type="dxa"/>
            <w:shd w:val="clear" w:color="auto" w:fill="D6E3BC" w:themeFill="accent3" w:themeFillTint="66"/>
            <w:vAlign w:val="center"/>
          </w:tcPr>
          <w:p w:rsidR="0062460C" w:rsidRDefault="0062460C" w:rsidP="002B775D">
            <w:pPr>
              <w:pStyle w:val="Sansinterligne"/>
              <w:jc w:val="center"/>
            </w:pPr>
            <w:r>
              <w:t>Atteinte 2</w:t>
            </w:r>
            <w:r w:rsidRPr="002B775D">
              <w:rPr>
                <w:vertAlign w:val="superscript"/>
              </w:rPr>
              <w:t>aire</w:t>
            </w:r>
            <w:r>
              <w:t xml:space="preserve"> Purpura d’Henoch-Schönlein</w:t>
            </w:r>
          </w:p>
        </w:tc>
        <w:tc>
          <w:tcPr>
            <w:tcW w:w="4394" w:type="dxa"/>
            <w:tcBorders>
              <w:right w:val="single" w:sz="4" w:space="0" w:color="FFFFFF" w:themeColor="background1"/>
            </w:tcBorders>
          </w:tcPr>
          <w:p w:rsidR="0062460C" w:rsidRDefault="0062460C" w:rsidP="005D429F">
            <w:pPr>
              <w:pStyle w:val="Sansinterligne"/>
              <w:numPr>
                <w:ilvl w:val="0"/>
                <w:numId w:val="1173"/>
              </w:numPr>
            </w:pPr>
            <w:r>
              <w:t>Testicule douloureux</w:t>
            </w:r>
          </w:p>
          <w:p w:rsidR="0062460C" w:rsidRDefault="0062460C" w:rsidP="005D429F">
            <w:pPr>
              <w:pStyle w:val="Sansinterligne"/>
              <w:numPr>
                <w:ilvl w:val="0"/>
                <w:numId w:val="1173"/>
              </w:numPr>
            </w:pPr>
            <w:r>
              <w:t>Hydrocèle réactionnel</w:t>
            </w:r>
          </w:p>
        </w:tc>
        <w:tc>
          <w:tcPr>
            <w:tcW w:w="3886" w:type="dxa"/>
            <w:tcBorders>
              <w:left w:val="single" w:sz="4" w:space="0" w:color="FFFFFF" w:themeColor="background1"/>
            </w:tcBorders>
          </w:tcPr>
          <w:p w:rsidR="0062460C" w:rsidRDefault="0062460C" w:rsidP="005D429F">
            <w:pPr>
              <w:pStyle w:val="Sansinterligne"/>
              <w:numPr>
                <w:ilvl w:val="0"/>
                <w:numId w:val="1173"/>
              </w:numPr>
            </w:pPr>
            <w:r>
              <w:t xml:space="preserve">Atteinte purpurique évidente aux MI </w:t>
            </w:r>
          </w:p>
        </w:tc>
      </w:tr>
      <w:tr w:rsidR="00FD0D1D" w:rsidTr="00FD0D1D">
        <w:tc>
          <w:tcPr>
            <w:tcW w:w="2660" w:type="dxa"/>
            <w:shd w:val="clear" w:color="auto" w:fill="D6E3BC" w:themeFill="accent3" w:themeFillTint="66"/>
            <w:vAlign w:val="center"/>
          </w:tcPr>
          <w:p w:rsidR="00FD0D1D" w:rsidRDefault="00FD0D1D" w:rsidP="00CD47D8">
            <w:pPr>
              <w:pStyle w:val="Sansinterligne"/>
              <w:jc w:val="center"/>
            </w:pPr>
            <w:r>
              <w:t>Hernie inguinale indirecte</w:t>
            </w:r>
          </w:p>
        </w:tc>
        <w:tc>
          <w:tcPr>
            <w:tcW w:w="4394" w:type="dxa"/>
            <w:tcBorders>
              <w:right w:val="single" w:sz="4" w:space="0" w:color="FFFFFF" w:themeColor="background1"/>
            </w:tcBorders>
          </w:tcPr>
          <w:p w:rsidR="00FD0D1D" w:rsidRDefault="00FD0D1D" w:rsidP="005D429F">
            <w:pPr>
              <w:pStyle w:val="Sansinterligne"/>
              <w:numPr>
                <w:ilvl w:val="0"/>
                <w:numId w:val="1178"/>
              </w:numPr>
            </w:pPr>
            <w:r>
              <w:t xml:space="preserve">Masse a/n canal inguinal </w:t>
            </w:r>
            <w:r>
              <w:rPr>
                <w:rFonts w:ascii="Century Gothic" w:hAnsi="Century Gothic"/>
              </w:rPr>
              <w:t>→</w:t>
            </w:r>
            <w:r>
              <w:t xml:space="preserve"> scrotum</w:t>
            </w:r>
          </w:p>
          <w:p w:rsidR="00FD0D1D" w:rsidRDefault="00FD0D1D" w:rsidP="005D429F">
            <w:pPr>
              <w:pStyle w:val="Sansinterligne"/>
              <w:numPr>
                <w:ilvl w:val="0"/>
                <w:numId w:val="1178"/>
              </w:numPr>
            </w:pPr>
            <w:r>
              <w:t xml:space="preserve">Se mobilise au mouvement </w:t>
            </w:r>
          </w:p>
          <w:p w:rsidR="00FD0D1D" w:rsidRDefault="00FD0D1D" w:rsidP="005D429F">
            <w:pPr>
              <w:pStyle w:val="Sansinterligne"/>
              <w:numPr>
                <w:ilvl w:val="0"/>
                <w:numId w:val="1178"/>
              </w:numPr>
            </w:pPr>
            <w:r>
              <w:t>(toux, défécation, effort)</w:t>
            </w:r>
          </w:p>
          <w:p w:rsidR="00FD0D1D" w:rsidRDefault="00FD0D1D" w:rsidP="005D429F">
            <w:pPr>
              <w:pStyle w:val="Sansinterligne"/>
              <w:numPr>
                <w:ilvl w:val="0"/>
                <w:numId w:val="1178"/>
              </w:numPr>
            </w:pPr>
            <w:r>
              <w:t>Molle et réductible (non-incarcérée)</w:t>
            </w:r>
          </w:p>
        </w:tc>
        <w:tc>
          <w:tcPr>
            <w:tcW w:w="3886" w:type="dxa"/>
            <w:tcBorders>
              <w:left w:val="single" w:sz="4" w:space="0" w:color="FFFFFF" w:themeColor="background1"/>
            </w:tcBorders>
          </w:tcPr>
          <w:p w:rsidR="00FD0D1D" w:rsidRDefault="00FD0D1D" w:rsidP="005D429F">
            <w:pPr>
              <w:pStyle w:val="Sansinterligne"/>
              <w:numPr>
                <w:ilvl w:val="0"/>
                <w:numId w:val="1178"/>
              </w:numPr>
            </w:pPr>
            <w:r>
              <w:t>Non-réductible et douloureuse (incarcérée)</w:t>
            </w:r>
          </w:p>
          <w:p w:rsidR="00FD0D1D" w:rsidRDefault="00FD0D1D" w:rsidP="005D429F">
            <w:pPr>
              <w:pStyle w:val="Sansinterligne"/>
              <w:numPr>
                <w:ilvl w:val="0"/>
                <w:numId w:val="1178"/>
              </w:numPr>
            </w:pPr>
            <w:r>
              <w:t>Mise en évidence au Valsalva</w:t>
            </w:r>
          </w:p>
          <w:p w:rsidR="00FD0D1D" w:rsidRDefault="00FD0D1D" w:rsidP="005D429F">
            <w:pPr>
              <w:pStyle w:val="Sansinterligne"/>
              <w:numPr>
                <w:ilvl w:val="0"/>
                <w:numId w:val="1178"/>
              </w:numPr>
            </w:pPr>
            <w:r>
              <w:t>Transsillumination – (tissulaire)</w:t>
            </w:r>
          </w:p>
        </w:tc>
      </w:tr>
      <w:tr w:rsidR="00BD4393" w:rsidTr="00FD0D1D">
        <w:tc>
          <w:tcPr>
            <w:tcW w:w="2660" w:type="dxa"/>
            <w:shd w:val="clear" w:color="auto" w:fill="D6E3BC" w:themeFill="accent3" w:themeFillTint="66"/>
            <w:vAlign w:val="center"/>
          </w:tcPr>
          <w:p w:rsidR="00BD4393" w:rsidRPr="00245838" w:rsidRDefault="00BD4393" w:rsidP="00CD47D8">
            <w:pPr>
              <w:pStyle w:val="Sansinterligne"/>
              <w:jc w:val="center"/>
              <w:rPr>
                <w:b/>
              </w:rPr>
            </w:pPr>
            <w:r w:rsidRPr="00245838">
              <w:rPr>
                <w:b/>
              </w:rPr>
              <w:t>Tumeur des cellules germinales (séminome)</w:t>
            </w:r>
          </w:p>
        </w:tc>
        <w:tc>
          <w:tcPr>
            <w:tcW w:w="4394" w:type="dxa"/>
            <w:tcBorders>
              <w:right w:val="single" w:sz="4" w:space="0" w:color="FFFF00"/>
            </w:tcBorders>
            <w:shd w:val="clear" w:color="auto" w:fill="FFFF00"/>
          </w:tcPr>
          <w:p w:rsidR="00BD4393" w:rsidRPr="00525169" w:rsidRDefault="00BD4393" w:rsidP="005D429F">
            <w:pPr>
              <w:pStyle w:val="Sansinterligne"/>
              <w:numPr>
                <w:ilvl w:val="0"/>
                <w:numId w:val="1176"/>
              </w:numPr>
              <w:rPr>
                <w:u w:val="single"/>
              </w:rPr>
            </w:pPr>
            <w:r w:rsidRPr="00525169">
              <w:rPr>
                <w:rFonts w:ascii="Century Gothic" w:hAnsi="Century Gothic"/>
                <w:u w:val="single"/>
              </w:rPr>
              <w:t>↑</w:t>
            </w:r>
            <w:r w:rsidRPr="00525169">
              <w:rPr>
                <w:u w:val="single"/>
              </w:rPr>
              <w:t xml:space="preserve"> taille d’un testicule ou masse</w:t>
            </w:r>
          </w:p>
          <w:p w:rsidR="00BD4393" w:rsidRPr="00525169" w:rsidRDefault="00BD4393" w:rsidP="005D429F">
            <w:pPr>
              <w:pStyle w:val="Sansinterligne"/>
              <w:numPr>
                <w:ilvl w:val="0"/>
                <w:numId w:val="1176"/>
              </w:numPr>
              <w:rPr>
                <w:u w:val="single"/>
              </w:rPr>
            </w:pPr>
            <w:r w:rsidRPr="00525169">
              <w:rPr>
                <w:u w:val="single"/>
              </w:rPr>
              <w:t>Testicule dur/ferme, asymétrique</w:t>
            </w:r>
          </w:p>
          <w:p w:rsidR="00BD4393" w:rsidRDefault="00BD4393" w:rsidP="005D429F">
            <w:pPr>
              <w:pStyle w:val="Sansinterligne"/>
              <w:numPr>
                <w:ilvl w:val="0"/>
                <w:numId w:val="1176"/>
              </w:numPr>
            </w:pPr>
            <w:r w:rsidRPr="00525169">
              <w:rPr>
                <w:u w:val="single"/>
              </w:rPr>
              <w:t>Contours irréguliers</w:t>
            </w:r>
          </w:p>
          <w:p w:rsidR="00BD4393" w:rsidRDefault="00BD4393" w:rsidP="005D429F">
            <w:pPr>
              <w:pStyle w:val="Sansinterligne"/>
              <w:numPr>
                <w:ilvl w:val="0"/>
                <w:numId w:val="1176"/>
              </w:numPr>
            </w:pPr>
            <w:r>
              <w:t>Épididyme fixé sur le testicule</w:t>
            </w:r>
          </w:p>
        </w:tc>
        <w:tc>
          <w:tcPr>
            <w:tcW w:w="3886" w:type="dxa"/>
            <w:tcBorders>
              <w:left w:val="single" w:sz="4" w:space="0" w:color="FFFF00"/>
            </w:tcBorders>
            <w:shd w:val="clear" w:color="auto" w:fill="FFFF00"/>
          </w:tcPr>
          <w:p w:rsidR="00BD4393" w:rsidRDefault="00BD4393" w:rsidP="005D429F">
            <w:pPr>
              <w:pStyle w:val="Sansinterligne"/>
              <w:numPr>
                <w:ilvl w:val="0"/>
                <w:numId w:val="1176"/>
              </w:numPr>
            </w:pPr>
            <w:r>
              <w:t>Œdème</w:t>
            </w:r>
          </w:p>
          <w:p w:rsidR="00BD4393" w:rsidRDefault="00BD4393" w:rsidP="005D429F">
            <w:pPr>
              <w:pStyle w:val="Sansinterligne"/>
              <w:numPr>
                <w:ilvl w:val="0"/>
                <w:numId w:val="1176"/>
              </w:numPr>
            </w:pPr>
            <w:r>
              <w:t>Gynécomastie</w:t>
            </w:r>
          </w:p>
          <w:p w:rsidR="00BD4393" w:rsidRDefault="00BD4393" w:rsidP="005D429F">
            <w:pPr>
              <w:pStyle w:val="Sansinterligne"/>
              <w:numPr>
                <w:ilvl w:val="0"/>
                <w:numId w:val="1176"/>
              </w:numPr>
            </w:pPr>
            <w:r>
              <w:t>Adénopathies (métastases)</w:t>
            </w:r>
          </w:p>
          <w:p w:rsidR="00BD4393" w:rsidRDefault="00BD4393" w:rsidP="005D429F">
            <w:pPr>
              <w:pStyle w:val="Sansinterligne"/>
              <w:numPr>
                <w:ilvl w:val="0"/>
                <w:numId w:val="1176"/>
              </w:numPr>
            </w:pPr>
            <w:r>
              <w:t>NON-DOULOUREUX</w:t>
            </w:r>
          </w:p>
        </w:tc>
      </w:tr>
      <w:tr w:rsidR="0062460C" w:rsidTr="00FD0D1D">
        <w:tc>
          <w:tcPr>
            <w:tcW w:w="2660" w:type="dxa"/>
            <w:shd w:val="clear" w:color="auto" w:fill="D6E3BC" w:themeFill="accent3" w:themeFillTint="66"/>
            <w:vAlign w:val="center"/>
          </w:tcPr>
          <w:p w:rsidR="0062460C" w:rsidRDefault="0062460C" w:rsidP="00AC41D3">
            <w:pPr>
              <w:pStyle w:val="Sansinterligne"/>
              <w:jc w:val="center"/>
            </w:pPr>
            <w:r>
              <w:t>Hydrocèle</w:t>
            </w:r>
          </w:p>
        </w:tc>
        <w:tc>
          <w:tcPr>
            <w:tcW w:w="4394" w:type="dxa"/>
            <w:tcBorders>
              <w:right w:val="single" w:sz="4" w:space="0" w:color="FFFFFF" w:themeColor="background1"/>
            </w:tcBorders>
          </w:tcPr>
          <w:p w:rsidR="0062460C" w:rsidRDefault="0062460C" w:rsidP="005D429F">
            <w:pPr>
              <w:pStyle w:val="Sansinterligne"/>
              <w:numPr>
                <w:ilvl w:val="0"/>
                <w:numId w:val="1174"/>
              </w:numPr>
            </w:pPr>
            <w:r>
              <w:t>Idiopathique ou 2</w:t>
            </w:r>
            <w:r w:rsidRPr="00DB44D5">
              <w:rPr>
                <w:vertAlign w:val="superscript"/>
              </w:rPr>
              <w:t>aire</w:t>
            </w:r>
            <w:r>
              <w:t xml:space="preserve"> à une inflammation</w:t>
            </w:r>
          </w:p>
          <w:p w:rsidR="0062460C" w:rsidRDefault="0062460C" w:rsidP="005D429F">
            <w:pPr>
              <w:pStyle w:val="Sansinterligne"/>
              <w:numPr>
                <w:ilvl w:val="0"/>
                <w:numId w:val="1174"/>
              </w:numPr>
            </w:pPr>
            <w:r>
              <w:t>Non-douloureux</w:t>
            </w:r>
          </w:p>
        </w:tc>
        <w:tc>
          <w:tcPr>
            <w:tcW w:w="3886" w:type="dxa"/>
            <w:tcBorders>
              <w:left w:val="single" w:sz="4" w:space="0" w:color="FFFFFF" w:themeColor="background1"/>
            </w:tcBorders>
          </w:tcPr>
          <w:p w:rsidR="0062460C" w:rsidRDefault="0062460C" w:rsidP="005D429F">
            <w:pPr>
              <w:pStyle w:val="Sansinterligne"/>
              <w:numPr>
                <w:ilvl w:val="0"/>
                <w:numId w:val="1174"/>
              </w:numPr>
            </w:pPr>
            <w:r>
              <w:t>Transillumination + (liquidien)</w:t>
            </w:r>
          </w:p>
        </w:tc>
      </w:tr>
      <w:tr w:rsidR="0062460C" w:rsidTr="00FD0D1D">
        <w:tc>
          <w:tcPr>
            <w:tcW w:w="2660" w:type="dxa"/>
            <w:shd w:val="clear" w:color="auto" w:fill="D6E3BC" w:themeFill="accent3" w:themeFillTint="66"/>
            <w:vAlign w:val="center"/>
          </w:tcPr>
          <w:p w:rsidR="0062460C" w:rsidRPr="00245838" w:rsidRDefault="0062460C" w:rsidP="00140C57">
            <w:pPr>
              <w:pStyle w:val="Sansinterligne"/>
              <w:jc w:val="center"/>
              <w:rPr>
                <w:b/>
              </w:rPr>
            </w:pPr>
            <w:r w:rsidRPr="00245838">
              <w:rPr>
                <w:b/>
              </w:rPr>
              <w:t>Varicocèle</w:t>
            </w:r>
          </w:p>
        </w:tc>
        <w:tc>
          <w:tcPr>
            <w:tcW w:w="4394" w:type="dxa"/>
            <w:tcBorders>
              <w:right w:val="single" w:sz="4" w:space="0" w:color="FFFF00"/>
            </w:tcBorders>
            <w:shd w:val="clear" w:color="auto" w:fill="FFFF00"/>
          </w:tcPr>
          <w:p w:rsidR="0062460C" w:rsidRDefault="0062460C" w:rsidP="005D429F">
            <w:pPr>
              <w:pStyle w:val="Sansinterligne"/>
              <w:numPr>
                <w:ilvl w:val="0"/>
                <w:numId w:val="1174"/>
              </w:numPr>
            </w:pPr>
            <w:r>
              <w:t>Non-douloureux</w:t>
            </w:r>
          </w:p>
          <w:p w:rsidR="0062460C" w:rsidRDefault="00245838" w:rsidP="005D429F">
            <w:pPr>
              <w:pStyle w:val="Sansinterligne"/>
              <w:numPr>
                <w:ilvl w:val="0"/>
                <w:numId w:val="1174"/>
              </w:numPr>
            </w:pPr>
            <w:r>
              <w:rPr>
                <w:rFonts w:cs="Times New Roman"/>
              </w:rPr>
              <w:t>Affecte la fertilité</w:t>
            </w:r>
          </w:p>
        </w:tc>
        <w:tc>
          <w:tcPr>
            <w:tcW w:w="3886" w:type="dxa"/>
            <w:tcBorders>
              <w:left w:val="single" w:sz="4" w:space="0" w:color="FFFF00"/>
            </w:tcBorders>
            <w:shd w:val="clear" w:color="auto" w:fill="FFFF00"/>
          </w:tcPr>
          <w:p w:rsidR="0062460C" w:rsidRPr="00525169" w:rsidRDefault="0062460C" w:rsidP="005D429F">
            <w:pPr>
              <w:pStyle w:val="Sansinterligne"/>
              <w:numPr>
                <w:ilvl w:val="0"/>
                <w:numId w:val="1174"/>
              </w:numPr>
              <w:rPr>
                <w:rFonts w:cs="Times New Roman"/>
                <w:u w:val="single"/>
              </w:rPr>
            </w:pPr>
            <w:r w:rsidRPr="00525169">
              <w:rPr>
                <w:u w:val="single"/>
              </w:rPr>
              <w:t xml:space="preserve">Aspect en </w:t>
            </w:r>
            <w:r w:rsidRPr="00525169">
              <w:rPr>
                <w:rFonts w:ascii="Century Gothic" w:hAnsi="Century Gothic"/>
                <w:u w:val="single"/>
              </w:rPr>
              <w:t>«</w:t>
            </w:r>
            <w:r w:rsidRPr="00525169">
              <w:rPr>
                <w:u w:val="single"/>
              </w:rPr>
              <w:t>sac de vers</w:t>
            </w:r>
            <w:r w:rsidRPr="00525169">
              <w:rPr>
                <w:rFonts w:cs="Times New Roman"/>
                <w:u w:val="single"/>
              </w:rPr>
              <w:t>»</w:t>
            </w:r>
          </w:p>
          <w:p w:rsidR="0062460C" w:rsidRDefault="00245838" w:rsidP="005D429F">
            <w:pPr>
              <w:pStyle w:val="Sansinterligne"/>
              <w:numPr>
                <w:ilvl w:val="0"/>
                <w:numId w:val="1174"/>
              </w:numPr>
            </w:pPr>
            <w:r w:rsidRPr="00525169">
              <w:rPr>
                <w:u w:val="single"/>
              </w:rPr>
              <w:t>Pulsatile au Valsalva</w:t>
            </w:r>
            <w:r>
              <w:rPr>
                <w:rFonts w:cs="Times New Roman"/>
              </w:rPr>
              <w:t xml:space="preserve"> </w:t>
            </w:r>
          </w:p>
        </w:tc>
      </w:tr>
      <w:tr w:rsidR="0062460C" w:rsidTr="00FD0D1D">
        <w:tc>
          <w:tcPr>
            <w:tcW w:w="2660" w:type="dxa"/>
            <w:shd w:val="clear" w:color="auto" w:fill="D6E3BC" w:themeFill="accent3" w:themeFillTint="66"/>
            <w:vAlign w:val="center"/>
          </w:tcPr>
          <w:p w:rsidR="0062460C" w:rsidRDefault="0062460C" w:rsidP="00140C57">
            <w:pPr>
              <w:pStyle w:val="Sansinterligne"/>
              <w:jc w:val="center"/>
            </w:pPr>
            <w:r>
              <w:t>Spermocèle</w:t>
            </w:r>
          </w:p>
        </w:tc>
        <w:tc>
          <w:tcPr>
            <w:tcW w:w="4394" w:type="dxa"/>
            <w:tcBorders>
              <w:right w:val="single" w:sz="4" w:space="0" w:color="FFFFFF" w:themeColor="background1"/>
            </w:tcBorders>
          </w:tcPr>
          <w:p w:rsidR="0062460C" w:rsidRDefault="0062460C" w:rsidP="005D429F">
            <w:pPr>
              <w:pStyle w:val="Sansinterligne"/>
              <w:numPr>
                <w:ilvl w:val="0"/>
                <w:numId w:val="1174"/>
              </w:numPr>
            </w:pPr>
            <w:r>
              <w:t>Non-douloureux</w:t>
            </w:r>
          </w:p>
          <w:p w:rsidR="0062460C" w:rsidRDefault="0062460C" w:rsidP="005D429F">
            <w:pPr>
              <w:pStyle w:val="Sansinterligne"/>
              <w:numPr>
                <w:ilvl w:val="0"/>
                <w:numId w:val="1174"/>
              </w:numPr>
            </w:pPr>
            <w:r>
              <w:t>Aspect kystique</w:t>
            </w:r>
          </w:p>
        </w:tc>
        <w:tc>
          <w:tcPr>
            <w:tcW w:w="3886" w:type="dxa"/>
            <w:tcBorders>
              <w:left w:val="single" w:sz="4" w:space="0" w:color="FFFFFF" w:themeColor="background1"/>
            </w:tcBorders>
          </w:tcPr>
          <w:p w:rsidR="0062460C" w:rsidRDefault="0062460C" w:rsidP="005D429F">
            <w:pPr>
              <w:pStyle w:val="Sansinterligne"/>
              <w:numPr>
                <w:ilvl w:val="0"/>
                <w:numId w:val="1174"/>
              </w:numPr>
            </w:pPr>
            <w:r>
              <w:t>Transillumination + (liquidien)</w:t>
            </w:r>
          </w:p>
        </w:tc>
      </w:tr>
    </w:tbl>
    <w:p w:rsidR="002161BD" w:rsidRPr="00AC41D3" w:rsidRDefault="00AA6DCA" w:rsidP="002161BD">
      <w:pPr>
        <w:pStyle w:val="Sansinterligne"/>
        <w:rPr>
          <w:b/>
          <w:sz w:val="28"/>
          <w:szCs w:val="28"/>
        </w:rPr>
      </w:pPr>
      <w:r>
        <w:rPr>
          <w:noProof/>
          <w:lang w:eastAsia="fr-CA"/>
        </w:rPr>
        <w:drawing>
          <wp:anchor distT="0" distB="0" distL="114300" distR="114300" simplePos="0" relativeHeight="252029952" behindDoc="0" locked="0" layoutInCell="1" allowOverlap="1" wp14:anchorId="23ABE350" wp14:editId="143C278B">
            <wp:simplePos x="0" y="0"/>
            <wp:positionH relativeFrom="column">
              <wp:posOffset>3398006</wp:posOffset>
            </wp:positionH>
            <wp:positionV relativeFrom="paragraph">
              <wp:posOffset>75416</wp:posOffset>
            </wp:positionV>
            <wp:extent cx="3147709" cy="1955260"/>
            <wp:effectExtent l="0" t="0" r="0" b="6985"/>
            <wp:wrapNone/>
            <wp:docPr id="539" name="Image 539" descr="Résultats de recherche d'images pour « grades de varicocè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ésultats de recherche d'images pour « grades de varicocèle »"/>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3147835" cy="1955338"/>
                    </a:xfrm>
                    <a:prstGeom prst="rect">
                      <a:avLst/>
                    </a:prstGeom>
                    <a:noFill/>
                    <a:ln>
                      <a:noFill/>
                    </a:ln>
                  </pic:spPr>
                </pic:pic>
              </a:graphicData>
            </a:graphic>
            <wp14:sizeRelH relativeFrom="page">
              <wp14:pctWidth>0</wp14:pctWidth>
            </wp14:sizeRelH>
            <wp14:sizeRelV relativeFrom="page">
              <wp14:pctHeight>0</wp14:pctHeight>
            </wp14:sizeRelV>
          </wp:anchor>
        </w:drawing>
      </w:r>
      <w:r w:rsidR="002161BD" w:rsidRPr="00AC41D3">
        <w:rPr>
          <w:b/>
          <w:sz w:val="28"/>
          <w:szCs w:val="28"/>
        </w:rPr>
        <w:t>Investigations</w:t>
      </w:r>
    </w:p>
    <w:p w:rsidR="004832C1" w:rsidRPr="004D2376" w:rsidRDefault="004832C1" w:rsidP="002161BD">
      <w:pPr>
        <w:pStyle w:val="Sansinterligne"/>
        <w:rPr>
          <w:sz w:val="16"/>
          <w:szCs w:val="16"/>
        </w:rPr>
      </w:pPr>
    </w:p>
    <w:p w:rsidR="00AA6A87" w:rsidRDefault="00AA6A87" w:rsidP="005D429F">
      <w:pPr>
        <w:pStyle w:val="Sansinterligne"/>
        <w:numPr>
          <w:ilvl w:val="0"/>
          <w:numId w:val="1175"/>
        </w:numPr>
      </w:pPr>
      <w:r>
        <w:t>FSC</w:t>
      </w:r>
    </w:p>
    <w:p w:rsidR="00AA6A87" w:rsidRDefault="00AA6A87" w:rsidP="005D429F">
      <w:pPr>
        <w:pStyle w:val="Sansinterligne"/>
        <w:numPr>
          <w:ilvl w:val="0"/>
          <w:numId w:val="1175"/>
        </w:numPr>
      </w:pPr>
      <w:r>
        <w:t xml:space="preserve">Dosages marqueurs tumoraux (AFP, </w:t>
      </w:r>
      <w:r>
        <w:rPr>
          <w:rFonts w:cs="Times New Roman"/>
        </w:rPr>
        <w:t>β</w:t>
      </w:r>
      <w:r>
        <w:t>-hCG, LDH)</w:t>
      </w:r>
    </w:p>
    <w:p w:rsidR="002161BD" w:rsidRDefault="004832C1" w:rsidP="005D429F">
      <w:pPr>
        <w:pStyle w:val="Sansinterligne"/>
        <w:numPr>
          <w:ilvl w:val="0"/>
          <w:numId w:val="1175"/>
        </w:numPr>
      </w:pPr>
      <w:r>
        <w:t>SMU-DCA</w:t>
      </w:r>
    </w:p>
    <w:p w:rsidR="004832C1" w:rsidRDefault="004832C1" w:rsidP="005D429F">
      <w:pPr>
        <w:pStyle w:val="Sansinterligne"/>
        <w:numPr>
          <w:ilvl w:val="0"/>
          <w:numId w:val="1175"/>
        </w:numPr>
      </w:pPr>
      <w:r>
        <w:t>Échographie testiculaire</w:t>
      </w:r>
    </w:p>
    <w:p w:rsidR="004832C1" w:rsidRDefault="004832C1" w:rsidP="005D429F">
      <w:pPr>
        <w:pStyle w:val="Sansinterligne"/>
        <w:numPr>
          <w:ilvl w:val="0"/>
          <w:numId w:val="1175"/>
        </w:numPr>
      </w:pPr>
      <w:r>
        <w:t>Dépistage Gonorrhée/chlamydia</w:t>
      </w:r>
    </w:p>
    <w:p w:rsidR="00525169" w:rsidRDefault="00525169" w:rsidP="005D429F">
      <w:pPr>
        <w:pStyle w:val="Sansinterligne"/>
        <w:numPr>
          <w:ilvl w:val="0"/>
          <w:numId w:val="1175"/>
        </w:numPr>
      </w:pPr>
      <w:r>
        <w:t>TDM abdominale (staging de séminome)</w:t>
      </w:r>
    </w:p>
    <w:p w:rsidR="00525169" w:rsidRDefault="00525169" w:rsidP="005D429F">
      <w:pPr>
        <w:pStyle w:val="Sansinterligne"/>
        <w:numPr>
          <w:ilvl w:val="0"/>
          <w:numId w:val="1175"/>
        </w:numPr>
      </w:pPr>
      <w:r>
        <w:t>Biopsie</w:t>
      </w:r>
    </w:p>
    <w:p w:rsidR="004832C1" w:rsidRPr="00A00728" w:rsidRDefault="004832C1" w:rsidP="002161BD">
      <w:pPr>
        <w:pStyle w:val="Sansinterligne"/>
        <w:rPr>
          <w:sz w:val="16"/>
          <w:szCs w:val="16"/>
        </w:rPr>
      </w:pPr>
    </w:p>
    <w:p w:rsidR="002161BD" w:rsidRPr="00AC41D3" w:rsidRDefault="002161BD" w:rsidP="002161BD">
      <w:pPr>
        <w:pStyle w:val="Sansinterligne"/>
        <w:rPr>
          <w:b/>
          <w:sz w:val="28"/>
          <w:szCs w:val="28"/>
        </w:rPr>
      </w:pPr>
      <w:r w:rsidRPr="00AC41D3">
        <w:rPr>
          <w:b/>
          <w:sz w:val="28"/>
          <w:szCs w:val="28"/>
        </w:rPr>
        <w:t>Prise en charge</w:t>
      </w:r>
    </w:p>
    <w:p w:rsidR="00140C57" w:rsidRPr="004D2376" w:rsidRDefault="00140C57" w:rsidP="002161BD">
      <w:pPr>
        <w:pStyle w:val="Sansinterligne"/>
        <w:rPr>
          <w:sz w:val="16"/>
          <w:szCs w:val="16"/>
        </w:rPr>
      </w:pPr>
    </w:p>
    <w:p w:rsidR="00ED7586" w:rsidRPr="001E1525" w:rsidRDefault="00140C57" w:rsidP="002161BD">
      <w:pPr>
        <w:pStyle w:val="Sansinterligne"/>
        <w:rPr>
          <w:b/>
          <w:highlight w:val="yellow"/>
        </w:rPr>
      </w:pPr>
      <w:r w:rsidRPr="001E1525">
        <w:rPr>
          <w:b/>
          <w:highlight w:val="yellow"/>
        </w:rPr>
        <w:t>Torsion de l’appendice de Morgani</w:t>
      </w:r>
    </w:p>
    <w:p w:rsidR="00140C57" w:rsidRPr="001E1525" w:rsidRDefault="00140C57" w:rsidP="005D429F">
      <w:pPr>
        <w:pStyle w:val="Sansinterligne"/>
        <w:numPr>
          <w:ilvl w:val="0"/>
          <w:numId w:val="1171"/>
        </w:numPr>
        <w:rPr>
          <w:rFonts w:ascii="Century Gothic" w:hAnsi="Century Gothic"/>
          <w:highlight w:val="yellow"/>
        </w:rPr>
      </w:pPr>
      <w:r w:rsidRPr="001E1525">
        <w:rPr>
          <w:highlight w:val="yellow"/>
        </w:rPr>
        <w:t xml:space="preserve">Si doute de torsion testiculaire </w:t>
      </w:r>
    </w:p>
    <w:p w:rsidR="00140C57" w:rsidRPr="001E1525" w:rsidRDefault="00140C57" w:rsidP="005D429F">
      <w:pPr>
        <w:pStyle w:val="Sansinterligne"/>
        <w:numPr>
          <w:ilvl w:val="1"/>
          <w:numId w:val="1171"/>
        </w:numPr>
        <w:rPr>
          <w:highlight w:val="yellow"/>
        </w:rPr>
      </w:pPr>
      <w:r w:rsidRPr="001E1525">
        <w:rPr>
          <w:highlight w:val="yellow"/>
        </w:rPr>
        <w:t>Consultation en urologie pour exploration chirurgicale</w:t>
      </w:r>
    </w:p>
    <w:p w:rsidR="00140C57" w:rsidRPr="001E1525" w:rsidRDefault="00140C57" w:rsidP="005D429F">
      <w:pPr>
        <w:pStyle w:val="Sansinterligne"/>
        <w:numPr>
          <w:ilvl w:val="0"/>
          <w:numId w:val="1171"/>
        </w:numPr>
        <w:rPr>
          <w:highlight w:val="yellow"/>
        </w:rPr>
      </w:pPr>
      <w:r w:rsidRPr="001E1525">
        <w:rPr>
          <w:highlight w:val="yellow"/>
        </w:rPr>
        <w:t>Sinon, autorésolution en quelques jours</w:t>
      </w:r>
    </w:p>
    <w:p w:rsidR="00140C57" w:rsidRPr="001E1525" w:rsidRDefault="00140C57" w:rsidP="005D429F">
      <w:pPr>
        <w:pStyle w:val="Sansinterligne"/>
        <w:numPr>
          <w:ilvl w:val="1"/>
          <w:numId w:val="1171"/>
        </w:numPr>
        <w:rPr>
          <w:highlight w:val="yellow"/>
        </w:rPr>
      </w:pPr>
      <w:r w:rsidRPr="001E1525">
        <w:rPr>
          <w:highlight w:val="yellow"/>
        </w:rPr>
        <w:t>Analgésie</w:t>
      </w:r>
    </w:p>
    <w:p w:rsidR="00140C57" w:rsidRPr="004D2376" w:rsidRDefault="00140C57" w:rsidP="002161BD">
      <w:pPr>
        <w:pStyle w:val="Sansinterligne"/>
        <w:rPr>
          <w:sz w:val="16"/>
          <w:szCs w:val="16"/>
        </w:rPr>
      </w:pPr>
    </w:p>
    <w:p w:rsidR="00ED7586" w:rsidRPr="001E1525" w:rsidRDefault="004832C1" w:rsidP="002161BD">
      <w:pPr>
        <w:pStyle w:val="Sansinterligne"/>
        <w:rPr>
          <w:b/>
          <w:highlight w:val="yellow"/>
        </w:rPr>
      </w:pPr>
      <w:r w:rsidRPr="001E1525">
        <w:rPr>
          <w:b/>
          <w:highlight w:val="yellow"/>
        </w:rPr>
        <w:t>Épididymite</w:t>
      </w:r>
    </w:p>
    <w:p w:rsidR="00140C57" w:rsidRPr="001E1525" w:rsidRDefault="00140C57" w:rsidP="005D429F">
      <w:pPr>
        <w:pStyle w:val="Sansinterligne"/>
        <w:numPr>
          <w:ilvl w:val="0"/>
          <w:numId w:val="1170"/>
        </w:numPr>
        <w:rPr>
          <w:highlight w:val="yellow"/>
        </w:rPr>
      </w:pPr>
      <w:r w:rsidRPr="001E1525">
        <w:rPr>
          <w:highlight w:val="yellow"/>
        </w:rPr>
        <w:t>Élévation scrotale</w:t>
      </w:r>
    </w:p>
    <w:p w:rsidR="00140C57" w:rsidRPr="001E1525" w:rsidRDefault="00140C57" w:rsidP="005D429F">
      <w:pPr>
        <w:pStyle w:val="Sansinterligne"/>
        <w:numPr>
          <w:ilvl w:val="0"/>
          <w:numId w:val="1170"/>
        </w:numPr>
        <w:rPr>
          <w:highlight w:val="yellow"/>
        </w:rPr>
      </w:pPr>
      <w:r w:rsidRPr="001E1525">
        <w:rPr>
          <w:highlight w:val="yellow"/>
        </w:rPr>
        <w:t>Glace</w:t>
      </w:r>
    </w:p>
    <w:p w:rsidR="00140C57" w:rsidRPr="001E1525" w:rsidRDefault="004832C1" w:rsidP="005D429F">
      <w:pPr>
        <w:pStyle w:val="Sansinterligne"/>
        <w:numPr>
          <w:ilvl w:val="0"/>
          <w:numId w:val="1170"/>
        </w:numPr>
        <w:rPr>
          <w:highlight w:val="yellow"/>
        </w:rPr>
      </w:pPr>
      <w:r w:rsidRPr="001E1525">
        <w:rPr>
          <w:highlight w:val="yellow"/>
        </w:rPr>
        <w:t xml:space="preserve">Antibiothérapie </w:t>
      </w:r>
    </w:p>
    <w:p w:rsidR="004832C1" w:rsidRPr="001E1525" w:rsidRDefault="00140C57" w:rsidP="005D429F">
      <w:pPr>
        <w:pStyle w:val="Sansinterligne"/>
        <w:numPr>
          <w:ilvl w:val="1"/>
          <w:numId w:val="1170"/>
        </w:numPr>
        <w:rPr>
          <w:highlight w:val="yellow"/>
        </w:rPr>
      </w:pPr>
      <w:r w:rsidRPr="001E1525">
        <w:rPr>
          <w:highlight w:val="yellow"/>
        </w:rPr>
        <w:t>Couverture des</w:t>
      </w:r>
      <w:r w:rsidR="004832C1" w:rsidRPr="001E1525">
        <w:rPr>
          <w:highlight w:val="yellow"/>
        </w:rPr>
        <w:t xml:space="preserve"> germes d’infection urinaire (E. Coli, Klebsiella, Proteus) </w:t>
      </w:r>
    </w:p>
    <w:p w:rsidR="004832C1" w:rsidRPr="001E1525" w:rsidRDefault="004832C1" w:rsidP="005D429F">
      <w:pPr>
        <w:pStyle w:val="Sansinterligne"/>
        <w:numPr>
          <w:ilvl w:val="1"/>
          <w:numId w:val="1170"/>
        </w:numPr>
        <w:rPr>
          <w:highlight w:val="yellow"/>
        </w:rPr>
      </w:pPr>
      <w:r w:rsidRPr="001E1525">
        <w:rPr>
          <w:highlight w:val="yellow"/>
        </w:rPr>
        <w:t>Si sexuellement actif : c</w:t>
      </w:r>
      <w:r w:rsidR="00DB44D5">
        <w:rPr>
          <w:highlight w:val="yellow"/>
        </w:rPr>
        <w:t>ouverture N. Gonorrhoea et C. T</w:t>
      </w:r>
      <w:r w:rsidRPr="001E1525">
        <w:rPr>
          <w:highlight w:val="yellow"/>
        </w:rPr>
        <w:t>rachomatis</w:t>
      </w:r>
    </w:p>
    <w:p w:rsidR="004832C1" w:rsidRPr="001E1525" w:rsidRDefault="004832C1" w:rsidP="005D429F">
      <w:pPr>
        <w:pStyle w:val="Sansinterligne"/>
        <w:numPr>
          <w:ilvl w:val="0"/>
          <w:numId w:val="1170"/>
        </w:numPr>
        <w:rPr>
          <w:highlight w:val="yellow"/>
        </w:rPr>
      </w:pPr>
      <w:r w:rsidRPr="001E1525">
        <w:rPr>
          <w:highlight w:val="yellow"/>
        </w:rPr>
        <w:t>Si sévère, consultation en urologie</w:t>
      </w:r>
    </w:p>
    <w:p w:rsidR="00ED7586" w:rsidRPr="004D2376" w:rsidRDefault="00ED7586" w:rsidP="002161BD">
      <w:pPr>
        <w:pStyle w:val="Sansinterligne"/>
        <w:rPr>
          <w:sz w:val="16"/>
          <w:szCs w:val="16"/>
        </w:rPr>
      </w:pPr>
    </w:p>
    <w:p w:rsidR="00ED7586" w:rsidRPr="00AA6DCA" w:rsidRDefault="002B775D" w:rsidP="002161BD">
      <w:pPr>
        <w:pStyle w:val="Sansinterligne"/>
        <w:rPr>
          <w:b/>
        </w:rPr>
      </w:pPr>
      <w:r w:rsidRPr="00AA6DCA">
        <w:rPr>
          <w:b/>
        </w:rPr>
        <w:t>Orchite</w:t>
      </w:r>
    </w:p>
    <w:p w:rsidR="002B775D" w:rsidRDefault="002B775D" w:rsidP="005D429F">
      <w:pPr>
        <w:pStyle w:val="Sansinterligne"/>
        <w:numPr>
          <w:ilvl w:val="0"/>
          <w:numId w:val="1169"/>
        </w:numPr>
      </w:pPr>
      <w:r>
        <w:t>Traitement symptomatique</w:t>
      </w:r>
      <w:r w:rsidR="00A00728">
        <w:t>, rassurance</w:t>
      </w:r>
    </w:p>
    <w:p w:rsidR="002B775D" w:rsidRDefault="002B775D" w:rsidP="005D429F">
      <w:pPr>
        <w:pStyle w:val="Sansinterligne"/>
        <w:numPr>
          <w:ilvl w:val="1"/>
          <w:numId w:val="1169"/>
        </w:numPr>
      </w:pPr>
      <w:r>
        <w:t>Analgésie</w:t>
      </w:r>
    </w:p>
    <w:p w:rsidR="002B775D" w:rsidRDefault="002B775D" w:rsidP="005D429F">
      <w:pPr>
        <w:pStyle w:val="Sansinterligne"/>
        <w:numPr>
          <w:ilvl w:val="1"/>
          <w:numId w:val="1169"/>
        </w:numPr>
      </w:pPr>
      <w:r>
        <w:t>Glace</w:t>
      </w:r>
    </w:p>
    <w:p w:rsidR="002B775D" w:rsidRDefault="002B775D" w:rsidP="005D429F">
      <w:pPr>
        <w:pStyle w:val="Sansinterligne"/>
        <w:numPr>
          <w:ilvl w:val="0"/>
          <w:numId w:val="1169"/>
        </w:numPr>
      </w:pPr>
      <w:r>
        <w:t xml:space="preserve">Si d’origine bactérienne (rare) </w:t>
      </w:r>
      <w:r>
        <w:rPr>
          <w:rFonts w:ascii="Century Gothic" w:hAnsi="Century Gothic"/>
        </w:rPr>
        <w:t>→</w:t>
      </w:r>
      <w:r>
        <w:t xml:space="preserve"> ATB</w:t>
      </w:r>
    </w:p>
    <w:p w:rsidR="002B775D" w:rsidRDefault="001E1525" w:rsidP="002161BD">
      <w:pPr>
        <w:pStyle w:val="Sansinterligne"/>
      </w:pPr>
      <w:r w:rsidRPr="001E1525">
        <w:rPr>
          <w:noProof/>
          <w:highlight w:val="yellow"/>
          <w:lang w:eastAsia="fr-CA"/>
        </w:rPr>
        <mc:AlternateContent>
          <mc:Choice Requires="wpg">
            <w:drawing>
              <wp:anchor distT="0" distB="0" distL="114300" distR="114300" simplePos="0" relativeHeight="252033024" behindDoc="0" locked="0" layoutInCell="1" allowOverlap="1" wp14:anchorId="62C5AACE" wp14:editId="54367A39">
                <wp:simplePos x="0" y="0"/>
                <wp:positionH relativeFrom="column">
                  <wp:posOffset>4659549</wp:posOffset>
                </wp:positionH>
                <wp:positionV relativeFrom="paragraph">
                  <wp:posOffset>65594</wp:posOffset>
                </wp:positionV>
                <wp:extent cx="2343785" cy="2091055"/>
                <wp:effectExtent l="0" t="0" r="0" b="4445"/>
                <wp:wrapNone/>
                <wp:docPr id="542" name="Groupe 542"/>
                <wp:cNvGraphicFramePr/>
                <a:graphic xmlns:a="http://schemas.openxmlformats.org/drawingml/2006/main">
                  <a:graphicData uri="http://schemas.microsoft.com/office/word/2010/wordprocessingGroup">
                    <wpg:wgp>
                      <wpg:cNvGrpSpPr/>
                      <wpg:grpSpPr>
                        <a:xfrm>
                          <a:off x="0" y="0"/>
                          <a:ext cx="2343785" cy="2091055"/>
                          <a:chOff x="0" y="0"/>
                          <a:chExt cx="2344366" cy="2091446"/>
                        </a:xfrm>
                      </wpg:grpSpPr>
                      <pic:pic xmlns:pic="http://schemas.openxmlformats.org/drawingml/2006/picture">
                        <pic:nvPicPr>
                          <pic:cNvPr id="540" name="Image 540" descr="Résultats de recherche d'images pour « séminome »"/>
                          <pic:cNvPicPr>
                            <a:picLocks noChangeAspect="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321012"/>
                            <a:ext cx="2266545" cy="1770434"/>
                          </a:xfrm>
                          <a:prstGeom prst="rect">
                            <a:avLst/>
                          </a:prstGeom>
                          <a:noFill/>
                          <a:ln>
                            <a:noFill/>
                          </a:ln>
                        </pic:spPr>
                      </pic:pic>
                      <wps:wsp>
                        <wps:cNvPr id="541" name="Zone de texte 2"/>
                        <wps:cNvSpPr txBox="1">
                          <a:spLocks noChangeArrowheads="1"/>
                        </wps:cNvSpPr>
                        <wps:spPr bwMode="auto">
                          <a:xfrm>
                            <a:off x="0" y="0"/>
                            <a:ext cx="2344366" cy="321012"/>
                          </a:xfrm>
                          <a:prstGeom prst="rect">
                            <a:avLst/>
                          </a:prstGeom>
                          <a:solidFill>
                            <a:srgbClr val="FFFFFF"/>
                          </a:solidFill>
                          <a:ln w="9525">
                            <a:noFill/>
                            <a:miter lim="800000"/>
                            <a:headEnd/>
                            <a:tailEnd/>
                          </a:ln>
                        </wps:spPr>
                        <wps:txbx>
                          <w:txbxContent>
                            <w:p w:rsidR="008276DC" w:rsidRPr="00525169" w:rsidRDefault="008276DC">
                              <w:pPr>
                                <w:rPr>
                                  <w:b/>
                                </w:rPr>
                              </w:pPr>
                              <w:r w:rsidRPr="00525169">
                                <w:rPr>
                                  <w:b/>
                                </w:rPr>
                                <w:t>Coupe histologique d’un séminome</w:t>
                              </w:r>
                            </w:p>
                          </w:txbxContent>
                        </wps:txbx>
                        <wps:bodyPr rot="0" vert="horz" wrap="square" lIns="91440" tIns="45720" rIns="91440" bIns="45720" anchor="t" anchorCtr="0">
                          <a:noAutofit/>
                        </wps:bodyPr>
                      </wps:wsp>
                    </wpg:wgp>
                  </a:graphicData>
                </a:graphic>
              </wp:anchor>
            </w:drawing>
          </mc:Choice>
          <mc:Fallback>
            <w:pict>
              <v:group id="Groupe 542" o:spid="_x0000_s1122" style="position:absolute;margin-left:366.9pt;margin-top:5.15pt;width:184.55pt;height:164.65pt;z-index:252033024" coordsize="23443,2091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">
                <v:shape id="Image 540" o:spid="_x0000_s1123" type="#_x0000_t75" alt="Résultats de recherche d'images pour « séminome »" style="position:absolute;top:3210;width:22665;height:177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qkrSPCAAAA3AAAAA8AAABkcnMvZG93bnJldi54bWxET8tqwkAU3Rf8h+EW3DWTSi2SOooo1u6k&#10;MQjdXTLXJJi5EzOTR//eWQguD+e9XI+mFj21rrKs4D2KQRDnVldcKMhO+7cFCOeRNdaWScE/OViv&#10;Ji9LTLQd+Jf61BcihLBLUEHpfZNI6fKSDLrINsSBu9jWoA+wLaRucQjhppazOP6UBisODSU2tC0p&#10;v6adUZD+bXe3S3PeHbPj1VB3GL6LzaDU9HXcfIHwNPqn+OH+0QrmH2F+OBOOgFzd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qpK0jwgAAANwAAAAPAAAAAAAAAAAAAAAAAJ8C&#10;AABkcnMvZG93bnJldi54bWxQSwUGAAAAAAQABAD3AAAAjgMAAAAA&#10;">
                  <v:imagedata r:id="rId325" o:title="Résultats de recherche d'images pour « séminome »"/>
                  <v:path arrowok="t"/>
                </v:shape>
                <v:shape id="_x0000_s1124" type="#_x0000_t202" style="position:absolute;width:23443;height:32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X/U8QA&#10;AADcAAAADwAAAGRycy9kb3ducmV2LnhtbESP0WrCQBRE34X+w3ILfRHdKBo1dRNqocXXRD/gmr0m&#10;odm7Ibs18e+7BcHHYWbOMPtsNK24Ue8aywoW8wgEcWl1w5WC8+lrtgXhPLLG1jIpuJODLH2Z7DHR&#10;duCcboWvRICwS1BB7X2XSOnKmgy6ue2Ig3e1vUEfZF9J3eMQ4KaVyyiKpcGGw0KNHX3WVP4Uv0bB&#10;9ThM17vh8u3Pm3wVH7DZXOxdqbfX8eMdhKfRP8OP9lErWK8W8H8mHAGZ/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01/1PEAAAA3AAAAA8AAAAAAAAAAAAAAAAAmAIAAGRycy9k&#10;b3ducmV2LnhtbFBLBQYAAAAABAAEAPUAAACJAwAAAAA=&#10;" stroked="f">
                  <v:textbox>
                    <w:txbxContent>
                      <w:p w:rsidR="008276DC" w:rsidRPr="00525169" w:rsidRDefault="008276DC">
                        <w:pPr>
                          <w:rPr>
                            <w:b/>
                          </w:rPr>
                        </w:pPr>
                        <w:r w:rsidRPr="00525169">
                          <w:rPr>
                            <w:b/>
                          </w:rPr>
                          <w:t xml:space="preserve">Coupe histologique </w:t>
                        </w:r>
                        <w:proofErr w:type="gramStart"/>
                        <w:r w:rsidRPr="00525169">
                          <w:rPr>
                            <w:b/>
                          </w:rPr>
                          <w:t>d’un</w:t>
                        </w:r>
                        <w:proofErr w:type="gramEnd"/>
                        <w:r w:rsidRPr="00525169">
                          <w:rPr>
                            <w:b/>
                          </w:rPr>
                          <w:t xml:space="preserve"> séminome</w:t>
                        </w:r>
                      </w:p>
                    </w:txbxContent>
                  </v:textbox>
                </v:shape>
              </v:group>
            </w:pict>
          </mc:Fallback>
        </mc:AlternateContent>
      </w:r>
    </w:p>
    <w:p w:rsidR="002B775D" w:rsidRPr="00AA6DCA" w:rsidRDefault="002B775D" w:rsidP="002161BD">
      <w:pPr>
        <w:pStyle w:val="Sansinterligne"/>
        <w:rPr>
          <w:b/>
        </w:rPr>
      </w:pPr>
      <w:r w:rsidRPr="00AA6DCA">
        <w:rPr>
          <w:b/>
        </w:rPr>
        <w:t>Atteinte 2</w:t>
      </w:r>
      <w:r w:rsidRPr="00AA6DCA">
        <w:rPr>
          <w:b/>
          <w:vertAlign w:val="superscript"/>
        </w:rPr>
        <w:t>aire</w:t>
      </w:r>
      <w:r w:rsidRPr="00AA6DCA">
        <w:rPr>
          <w:b/>
        </w:rPr>
        <w:t xml:space="preserve"> au Purpura d’Hen</w:t>
      </w:r>
      <w:r w:rsidR="00AA6DCA">
        <w:rPr>
          <w:b/>
        </w:rPr>
        <w:t>och</w:t>
      </w:r>
      <w:r w:rsidRPr="00AA6DCA">
        <w:rPr>
          <w:b/>
        </w:rPr>
        <w:t>-Schönlein</w:t>
      </w:r>
    </w:p>
    <w:p w:rsidR="00140C57" w:rsidRDefault="00140C57" w:rsidP="005D429F">
      <w:pPr>
        <w:pStyle w:val="Sansinterligne"/>
        <w:numPr>
          <w:ilvl w:val="0"/>
          <w:numId w:val="1168"/>
        </w:numPr>
      </w:pPr>
      <w:r>
        <w:t xml:space="preserve">Traitement de la maladie sous-jacente (voir </w:t>
      </w:r>
      <w:r w:rsidRPr="00140C57">
        <w:rPr>
          <w:i/>
        </w:rPr>
        <w:t>Boiterie chez l’enfant CMC 20</w:t>
      </w:r>
      <w:r>
        <w:t>)</w:t>
      </w:r>
    </w:p>
    <w:p w:rsidR="00140C57" w:rsidRDefault="00140C57" w:rsidP="005D429F">
      <w:pPr>
        <w:pStyle w:val="Sansinterligne"/>
        <w:numPr>
          <w:ilvl w:val="0"/>
          <w:numId w:val="1168"/>
        </w:numPr>
      </w:pPr>
      <w:r>
        <w:t>Analgésie</w:t>
      </w:r>
    </w:p>
    <w:p w:rsidR="00140C57" w:rsidRPr="00A00728" w:rsidRDefault="00140C57" w:rsidP="00140C57">
      <w:pPr>
        <w:pStyle w:val="Sansinterligne"/>
        <w:rPr>
          <w:sz w:val="16"/>
          <w:szCs w:val="16"/>
        </w:rPr>
      </w:pPr>
    </w:p>
    <w:p w:rsidR="00AA6DCA" w:rsidRPr="00AA6DCA" w:rsidRDefault="00AA6DCA" w:rsidP="00140C57">
      <w:pPr>
        <w:pStyle w:val="Sansinterligne"/>
        <w:rPr>
          <w:b/>
        </w:rPr>
      </w:pPr>
      <w:r w:rsidRPr="00AA6DCA">
        <w:rPr>
          <w:b/>
        </w:rPr>
        <w:t>Hernie inguinale</w:t>
      </w:r>
    </w:p>
    <w:p w:rsidR="00AA6DCA" w:rsidRDefault="00AA6DCA" w:rsidP="005D429F">
      <w:pPr>
        <w:pStyle w:val="Sansinterligne"/>
        <w:numPr>
          <w:ilvl w:val="0"/>
          <w:numId w:val="1179"/>
        </w:numPr>
      </w:pPr>
      <w:r>
        <w:t xml:space="preserve">Chez le jeune enfant </w:t>
      </w:r>
      <w:r>
        <w:rPr>
          <w:rFonts w:ascii="Century Gothic" w:hAnsi="Century Gothic"/>
        </w:rPr>
        <w:t>→</w:t>
      </w:r>
      <w:r>
        <w:t xml:space="preserve"> réduction chirurgicale à planifier</w:t>
      </w:r>
    </w:p>
    <w:p w:rsidR="00AA6DCA" w:rsidRDefault="00AA6DCA" w:rsidP="005D429F">
      <w:pPr>
        <w:pStyle w:val="Sansinterligne"/>
        <w:numPr>
          <w:ilvl w:val="0"/>
          <w:numId w:val="1179"/>
        </w:numPr>
      </w:pPr>
      <w:r>
        <w:t xml:space="preserve">Si incarcérée </w:t>
      </w:r>
      <w:r>
        <w:rPr>
          <w:rFonts w:ascii="Century Gothic" w:hAnsi="Century Gothic"/>
        </w:rPr>
        <w:t>→</w:t>
      </w:r>
      <w:r>
        <w:t xml:space="preserve"> tentative de réduction manuelle</w:t>
      </w:r>
    </w:p>
    <w:p w:rsidR="00AA6DCA" w:rsidRDefault="00AA6DCA" w:rsidP="005D429F">
      <w:pPr>
        <w:pStyle w:val="Sansinterligne"/>
        <w:numPr>
          <w:ilvl w:val="1"/>
          <w:numId w:val="1179"/>
        </w:numPr>
      </w:pPr>
      <w:r>
        <w:t xml:space="preserve">Si échec </w:t>
      </w:r>
      <w:r>
        <w:rPr>
          <w:rFonts w:ascii="Century Gothic" w:hAnsi="Century Gothic"/>
        </w:rPr>
        <w:t>→</w:t>
      </w:r>
      <w:r>
        <w:t xml:space="preserve"> réduction chirurgicale urgente</w:t>
      </w:r>
    </w:p>
    <w:p w:rsidR="00AA6DCA" w:rsidRPr="00A00728" w:rsidRDefault="00AA6DCA" w:rsidP="00140C57">
      <w:pPr>
        <w:pStyle w:val="Sansinterligne"/>
        <w:rPr>
          <w:sz w:val="16"/>
          <w:szCs w:val="16"/>
        </w:rPr>
      </w:pPr>
    </w:p>
    <w:p w:rsidR="00525169" w:rsidRPr="001E1525" w:rsidRDefault="00525169" w:rsidP="00140C57">
      <w:pPr>
        <w:pStyle w:val="Sansinterligne"/>
        <w:rPr>
          <w:b/>
          <w:highlight w:val="yellow"/>
        </w:rPr>
      </w:pPr>
      <w:r w:rsidRPr="001E1525">
        <w:rPr>
          <w:b/>
          <w:highlight w:val="yellow"/>
        </w:rPr>
        <w:t>Séminome</w:t>
      </w:r>
    </w:p>
    <w:p w:rsidR="004D2376" w:rsidRDefault="004D2376" w:rsidP="005D429F">
      <w:pPr>
        <w:pStyle w:val="Sansinterligne"/>
        <w:numPr>
          <w:ilvl w:val="0"/>
          <w:numId w:val="1177"/>
        </w:numPr>
        <w:rPr>
          <w:highlight w:val="yellow"/>
        </w:rPr>
      </w:pPr>
      <w:r>
        <w:rPr>
          <w:highlight w:val="yellow"/>
        </w:rPr>
        <w:t>Staging avec écho et TDM</w:t>
      </w:r>
    </w:p>
    <w:p w:rsidR="00525169" w:rsidRPr="001E1525" w:rsidRDefault="00BD0193" w:rsidP="005D429F">
      <w:pPr>
        <w:pStyle w:val="Sansinterligne"/>
        <w:numPr>
          <w:ilvl w:val="0"/>
          <w:numId w:val="1177"/>
        </w:numPr>
        <w:rPr>
          <w:highlight w:val="yellow"/>
        </w:rPr>
      </w:pPr>
      <w:r w:rsidRPr="001E1525">
        <w:rPr>
          <w:highlight w:val="yellow"/>
        </w:rPr>
        <w:t>Référence en urologie rapide</w:t>
      </w:r>
    </w:p>
    <w:p w:rsidR="00BD0193" w:rsidRPr="001E1525" w:rsidRDefault="00BD0193" w:rsidP="005D429F">
      <w:pPr>
        <w:pStyle w:val="Sansinterligne"/>
        <w:numPr>
          <w:ilvl w:val="0"/>
          <w:numId w:val="1177"/>
        </w:numPr>
        <w:rPr>
          <w:highlight w:val="yellow"/>
        </w:rPr>
      </w:pPr>
      <w:r w:rsidRPr="001E1525">
        <w:rPr>
          <w:highlight w:val="yellow"/>
        </w:rPr>
        <w:t>Offrir cryogénisation de sperme avant l’intervention.</w:t>
      </w:r>
    </w:p>
    <w:p w:rsidR="00BD0193" w:rsidRDefault="00BD0193" w:rsidP="005D429F">
      <w:pPr>
        <w:pStyle w:val="Sansinterligne"/>
        <w:numPr>
          <w:ilvl w:val="0"/>
          <w:numId w:val="1177"/>
        </w:numPr>
        <w:rPr>
          <w:highlight w:val="yellow"/>
        </w:rPr>
      </w:pPr>
      <w:r w:rsidRPr="001E1525">
        <w:rPr>
          <w:highlight w:val="yellow"/>
        </w:rPr>
        <w:t xml:space="preserve">Orchiectomie + radiothérapie (très sensible) </w:t>
      </w:r>
      <w:r w:rsidRPr="001E1525">
        <w:rPr>
          <w:rFonts w:cs="Times New Roman"/>
          <w:highlight w:val="yellow"/>
        </w:rPr>
        <w:t>±</w:t>
      </w:r>
      <w:r w:rsidRPr="001E1525">
        <w:rPr>
          <w:highlight w:val="yellow"/>
        </w:rPr>
        <w:t xml:space="preserve"> chimiothérapie</w:t>
      </w:r>
    </w:p>
    <w:p w:rsidR="00A00728" w:rsidRPr="001E1525" w:rsidRDefault="00A00728" w:rsidP="005D429F">
      <w:pPr>
        <w:pStyle w:val="Sansinterligne"/>
        <w:numPr>
          <w:ilvl w:val="0"/>
          <w:numId w:val="1177"/>
        </w:numPr>
        <w:rPr>
          <w:highlight w:val="yellow"/>
        </w:rPr>
      </w:pPr>
      <w:r>
        <w:rPr>
          <w:highlight w:val="yellow"/>
        </w:rPr>
        <w:t>Post-intervention. Expliquer l’importan</w:t>
      </w:r>
      <w:r w:rsidR="00DB44D5">
        <w:rPr>
          <w:highlight w:val="yellow"/>
        </w:rPr>
        <w:t>ce</w:t>
      </w:r>
      <w:r>
        <w:rPr>
          <w:highlight w:val="yellow"/>
        </w:rPr>
        <w:t xml:space="preserve"> de l’auto-examen régulier des testicules</w:t>
      </w:r>
    </w:p>
    <w:p w:rsidR="00BD0193" w:rsidRDefault="00BD0193" w:rsidP="00140C57">
      <w:pPr>
        <w:pStyle w:val="Sansinterligne"/>
      </w:pPr>
    </w:p>
    <w:p w:rsidR="00731F2F" w:rsidRPr="00A00728" w:rsidRDefault="00731F2F" w:rsidP="00140C57">
      <w:pPr>
        <w:pStyle w:val="Sansinterligne"/>
        <w:rPr>
          <w:b/>
          <w:sz w:val="16"/>
          <w:szCs w:val="16"/>
        </w:rPr>
        <w:sectPr w:rsidR="00731F2F" w:rsidRPr="00A00728" w:rsidSect="00217865">
          <w:type w:val="continuous"/>
          <w:pgSz w:w="12240" w:h="15840"/>
          <w:pgMar w:top="720" w:right="720" w:bottom="720" w:left="720" w:header="708" w:footer="708" w:gutter="0"/>
          <w:cols w:space="708"/>
          <w:docGrid w:linePitch="360"/>
        </w:sectPr>
      </w:pPr>
    </w:p>
    <w:p w:rsidR="00140C57" w:rsidRPr="001E1525" w:rsidRDefault="00140C57" w:rsidP="00140C57">
      <w:pPr>
        <w:pStyle w:val="Sansinterligne"/>
        <w:rPr>
          <w:b/>
          <w:highlight w:val="yellow"/>
        </w:rPr>
      </w:pPr>
      <w:r w:rsidRPr="001E1525">
        <w:rPr>
          <w:b/>
          <w:highlight w:val="yellow"/>
        </w:rPr>
        <w:t>Varicocèle</w:t>
      </w:r>
    </w:p>
    <w:p w:rsidR="00140C57" w:rsidRPr="001E1525" w:rsidRDefault="00140C57" w:rsidP="005D429F">
      <w:pPr>
        <w:pStyle w:val="Sansinterligne"/>
        <w:numPr>
          <w:ilvl w:val="0"/>
          <w:numId w:val="1172"/>
        </w:numPr>
        <w:rPr>
          <w:highlight w:val="yellow"/>
        </w:rPr>
      </w:pPr>
      <w:r w:rsidRPr="001E1525">
        <w:rPr>
          <w:highlight w:val="yellow"/>
        </w:rPr>
        <w:t>Observation</w:t>
      </w:r>
      <w:r w:rsidR="00A00728">
        <w:rPr>
          <w:highlight w:val="yellow"/>
        </w:rPr>
        <w:t>, rassurance</w:t>
      </w:r>
    </w:p>
    <w:p w:rsidR="00140C57" w:rsidRPr="001E1525" w:rsidRDefault="00140C57" w:rsidP="005D429F">
      <w:pPr>
        <w:pStyle w:val="Sansinterligne"/>
        <w:numPr>
          <w:ilvl w:val="0"/>
          <w:numId w:val="1172"/>
        </w:numPr>
        <w:rPr>
          <w:highlight w:val="yellow"/>
        </w:rPr>
      </w:pPr>
      <w:r w:rsidRPr="001E1525">
        <w:rPr>
          <w:highlight w:val="yellow"/>
        </w:rPr>
        <w:t>Si affecte la fertilité </w:t>
      </w:r>
      <w:r w:rsidR="00BD4393" w:rsidRPr="001E1525">
        <w:rPr>
          <w:highlight w:val="yellow"/>
        </w:rPr>
        <w:t xml:space="preserve">ou douleur </w:t>
      </w:r>
      <w:r w:rsidRPr="001E1525">
        <w:rPr>
          <w:highlight w:val="yellow"/>
        </w:rPr>
        <w:t>(consultation en urologie):</w:t>
      </w:r>
    </w:p>
    <w:p w:rsidR="00140C57" w:rsidRPr="001E1525" w:rsidRDefault="00140C57" w:rsidP="005D429F">
      <w:pPr>
        <w:pStyle w:val="Sansinterligne"/>
        <w:numPr>
          <w:ilvl w:val="1"/>
          <w:numId w:val="1172"/>
        </w:numPr>
        <w:rPr>
          <w:highlight w:val="yellow"/>
        </w:rPr>
      </w:pPr>
      <w:r w:rsidRPr="001E1525">
        <w:rPr>
          <w:highlight w:val="yellow"/>
        </w:rPr>
        <w:t>Ligature chirurgicale des veines testiculaires</w:t>
      </w:r>
    </w:p>
    <w:p w:rsidR="00AB2FEF" w:rsidRPr="001E1525" w:rsidRDefault="00140C57" w:rsidP="005D429F">
      <w:pPr>
        <w:pStyle w:val="Sansinterligne"/>
        <w:numPr>
          <w:ilvl w:val="1"/>
          <w:numId w:val="1172"/>
        </w:numPr>
        <w:rPr>
          <w:highlight w:val="yellow"/>
        </w:rPr>
      </w:pPr>
      <w:r w:rsidRPr="001E1525">
        <w:rPr>
          <w:highlight w:val="yellow"/>
        </w:rPr>
        <w:t>Occlusion percutanée (agent sclérosant ou ballon)</w:t>
      </w:r>
    </w:p>
    <w:p w:rsidR="00AB2FEF" w:rsidRDefault="00AB2FEF" w:rsidP="00AB2FEF">
      <w:pPr>
        <w:pStyle w:val="Sansinterligne"/>
      </w:pPr>
    </w:p>
    <w:p w:rsidR="00AB2FEF" w:rsidRPr="00AA6DCA" w:rsidRDefault="00AB2FEF" w:rsidP="00AB2FEF">
      <w:pPr>
        <w:pStyle w:val="Sansinterligne"/>
        <w:rPr>
          <w:b/>
        </w:rPr>
      </w:pPr>
      <w:r w:rsidRPr="00AA6DCA">
        <w:rPr>
          <w:b/>
        </w:rPr>
        <w:t>Hydrocèle</w:t>
      </w:r>
    </w:p>
    <w:p w:rsidR="00AB2FEF" w:rsidRDefault="00AB2FEF" w:rsidP="005D429F">
      <w:pPr>
        <w:pStyle w:val="Sansinterligne"/>
        <w:numPr>
          <w:ilvl w:val="0"/>
          <w:numId w:val="1180"/>
        </w:numPr>
      </w:pPr>
      <w:r>
        <w:t>Observation</w:t>
      </w:r>
      <w:r w:rsidR="00A00728">
        <w:t>, rassurance</w:t>
      </w:r>
    </w:p>
    <w:p w:rsidR="00AB2FEF" w:rsidRDefault="00AB2FEF" w:rsidP="005D429F">
      <w:pPr>
        <w:pStyle w:val="Sansinterligne"/>
        <w:numPr>
          <w:ilvl w:val="0"/>
          <w:numId w:val="1180"/>
        </w:numPr>
      </w:pPr>
      <w:r>
        <w:t>Drainage à l’aiguille si symptomatique</w:t>
      </w:r>
    </w:p>
    <w:p w:rsidR="00AB2FEF" w:rsidRDefault="00AB2FEF" w:rsidP="00AB2FEF">
      <w:pPr>
        <w:pStyle w:val="Sansinterligne"/>
      </w:pPr>
    </w:p>
    <w:p w:rsidR="00AB2FEF" w:rsidRPr="00AA6DCA" w:rsidRDefault="00AB2FEF" w:rsidP="00AB2FEF">
      <w:pPr>
        <w:pStyle w:val="Sansinterligne"/>
        <w:rPr>
          <w:b/>
        </w:rPr>
      </w:pPr>
      <w:r w:rsidRPr="00AA6DCA">
        <w:rPr>
          <w:b/>
        </w:rPr>
        <w:t>Spermocèle </w:t>
      </w:r>
    </w:p>
    <w:p w:rsidR="00AB2FEF" w:rsidRDefault="00AB2FEF" w:rsidP="005D429F">
      <w:pPr>
        <w:pStyle w:val="Sansinterligne"/>
        <w:numPr>
          <w:ilvl w:val="0"/>
          <w:numId w:val="1181"/>
        </w:numPr>
      </w:pPr>
      <w:r>
        <w:t>Observation</w:t>
      </w:r>
      <w:r w:rsidR="00A00728">
        <w:t>, rassurance</w:t>
      </w:r>
    </w:p>
    <w:p w:rsidR="00AB2FEF" w:rsidRDefault="00AB2FEF" w:rsidP="005D429F">
      <w:pPr>
        <w:pStyle w:val="Sansinterligne"/>
        <w:numPr>
          <w:ilvl w:val="0"/>
          <w:numId w:val="1181"/>
        </w:numPr>
      </w:pPr>
      <w:r>
        <w:t>Éviter le drainage à l’aguille (risque d’infection)</w:t>
      </w:r>
    </w:p>
    <w:p w:rsidR="00731F2F" w:rsidRDefault="00731F2F" w:rsidP="005D429F">
      <w:pPr>
        <w:pStyle w:val="Sansinterligne"/>
        <w:numPr>
          <w:ilvl w:val="0"/>
          <w:numId w:val="1181"/>
        </w:numPr>
        <w:sectPr w:rsidR="00731F2F" w:rsidSect="00731F2F">
          <w:type w:val="continuous"/>
          <w:pgSz w:w="12240" w:h="15840"/>
          <w:pgMar w:top="720" w:right="720" w:bottom="720" w:left="720" w:header="708" w:footer="708" w:gutter="0"/>
          <w:cols w:num="2" w:space="708"/>
          <w:docGrid w:linePitch="360"/>
        </w:sectPr>
      </w:pPr>
      <w:r>
        <w:t>Excision si symptomatique</w:t>
      </w:r>
    </w:p>
    <w:p w:rsidR="000C00D7" w:rsidRDefault="000C00D7" w:rsidP="001F3F3A">
      <w:pPr>
        <w:spacing w:after="0"/>
        <w:rPr>
          <w:rFonts w:cs="Times New Roman"/>
          <w:b/>
          <w:color w:val="548DD4" w:themeColor="text2" w:themeTint="99"/>
        </w:rPr>
      </w:pPr>
      <w:r>
        <w:rPr>
          <w:rFonts w:cs="Times New Roman"/>
          <w:b/>
          <w:color w:val="548DD4" w:themeColor="text2" w:themeTint="99"/>
        </w:rPr>
        <w:t>CMC 93-1</w:t>
      </w:r>
    </w:p>
    <w:p w:rsidR="000C00D7" w:rsidRPr="001F3F3A" w:rsidRDefault="000C00D7" w:rsidP="001F3F3A">
      <w:pPr>
        <w:pStyle w:val="Titre3"/>
        <w:spacing w:before="0"/>
        <w:rPr>
          <w:rFonts w:ascii="Times New Roman" w:hAnsi="Times New Roman" w:cs="Times New Roman"/>
        </w:rPr>
      </w:pPr>
      <w:bookmarkStart w:id="346" w:name="_Toc480797325"/>
      <w:r w:rsidRPr="001F3F3A">
        <w:rPr>
          <w:rFonts w:ascii="Times New Roman" w:hAnsi="Times New Roman" w:cs="Times New Roman"/>
        </w:rPr>
        <w:t>Développement pubertaire anormal</w:t>
      </w:r>
      <w:bookmarkEnd w:id="346"/>
    </w:p>
    <w:tbl>
      <w:tblPr>
        <w:tblW w:w="3707" w:type="pct"/>
        <w:tblCellSpacing w:w="0" w:type="dxa"/>
        <w:tblCellMar>
          <w:left w:w="0" w:type="dxa"/>
          <w:right w:w="0" w:type="dxa"/>
        </w:tblCellMar>
        <w:tblLook w:val="04A0" w:firstRow="1" w:lastRow="0" w:firstColumn="1" w:lastColumn="0" w:noHBand="0" w:noVBand="1"/>
      </w:tblPr>
      <w:tblGrid>
        <w:gridCol w:w="8007"/>
      </w:tblGrid>
      <w:tr w:rsidR="000C00D7" w:rsidRPr="001F3F3A" w:rsidTr="000C00D7">
        <w:trPr>
          <w:tblCellSpacing w:w="0" w:type="dxa"/>
        </w:trPr>
        <w:tc>
          <w:tcPr>
            <w:tcW w:w="0" w:type="auto"/>
            <w:vAlign w:val="bottom"/>
            <w:hideMark/>
          </w:tcPr>
          <w:p w:rsidR="000C00D7" w:rsidRPr="001F3F3A" w:rsidRDefault="001F3F3A" w:rsidP="001F3F3A">
            <w:pPr>
              <w:pStyle w:val="Sansinterligne"/>
              <w:spacing w:before="240"/>
              <w:rPr>
                <w:rFonts w:cs="Times New Roman"/>
                <w:b/>
                <w:sz w:val="18"/>
                <w:szCs w:val="16"/>
              </w:rPr>
            </w:pPr>
            <w:r>
              <w:rPr>
                <w:rFonts w:cs="Times New Roman"/>
                <w:b/>
                <w:noProof/>
                <w:sz w:val="18"/>
                <w:szCs w:val="16"/>
                <w:lang w:eastAsia="fr-CA"/>
              </w:rPr>
              <mc:AlternateContent>
                <mc:Choice Requires="wps">
                  <w:drawing>
                    <wp:anchor distT="0" distB="0" distL="114300" distR="114300" simplePos="0" relativeHeight="252064768" behindDoc="0" locked="0" layoutInCell="1" allowOverlap="1" wp14:anchorId="48FBD14C" wp14:editId="7F991C5C">
                      <wp:simplePos x="0" y="0"/>
                      <wp:positionH relativeFrom="column">
                        <wp:posOffset>-38911</wp:posOffset>
                      </wp:positionH>
                      <wp:positionV relativeFrom="paragraph">
                        <wp:posOffset>75497</wp:posOffset>
                      </wp:positionV>
                      <wp:extent cx="6984460" cy="3356043"/>
                      <wp:effectExtent l="0" t="0" r="26035" b="15875"/>
                      <wp:wrapNone/>
                      <wp:docPr id="584" name="Rectangle 584"/>
                      <wp:cNvGraphicFramePr/>
                      <a:graphic xmlns:a="http://schemas.openxmlformats.org/drawingml/2006/main">
                        <a:graphicData uri="http://schemas.microsoft.com/office/word/2010/wordprocessingShape">
                          <wps:wsp>
                            <wps:cNvSpPr/>
                            <wps:spPr>
                              <a:xfrm>
                                <a:off x="0" y="0"/>
                                <a:ext cx="6984460" cy="3356043"/>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584" o:spid="_x0000_s1026" style="position:absolute;margin-left:-3.05pt;margin-top:5.95pt;width:549.95pt;height:264.25pt;z-index:2520647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" filled="f" strokecolor="black [1600]" strokeweight="2pt"/>
                  </w:pict>
                </mc:Fallback>
              </mc:AlternateContent>
            </w:r>
            <w:r w:rsidR="000C00D7" w:rsidRPr="001F3F3A">
              <w:rPr>
                <w:rFonts w:cs="Times New Roman"/>
                <w:b/>
                <w:sz w:val="18"/>
                <w:szCs w:val="16"/>
              </w:rPr>
              <w:t>Objectif principal</w:t>
            </w:r>
          </w:p>
        </w:tc>
      </w:tr>
    </w:tbl>
    <w:p w:rsidR="000C00D7" w:rsidRPr="001F3F3A" w:rsidRDefault="000C00D7" w:rsidP="000C00D7">
      <w:pPr>
        <w:pStyle w:val="NormalWeb"/>
        <w:ind w:left="360"/>
        <w:rPr>
          <w:color w:val="000000"/>
          <w:sz w:val="18"/>
          <w:szCs w:val="16"/>
          <w:shd w:val="clear" w:color="auto" w:fill="FFFFFF"/>
        </w:rPr>
      </w:pPr>
      <w:r w:rsidRPr="001F3F3A">
        <w:rPr>
          <w:color w:val="000000"/>
          <w:sz w:val="18"/>
          <w:szCs w:val="16"/>
          <w:shd w:val="clear" w:color="auto" w:fill="FFFFFF"/>
        </w:rPr>
        <w:t>Dans le cas d'un patient ayant des inquiétudes à propos de son développement pubertaire, le candidat devra diagnostiquer les causes, la gravité et les complications d'éventuelles anomalies, et mettre en place un plan de prise en charge approprié. Il devra en particulier faire la distinction entre les variantes normales du développement pubertaire et les symptômes d'affections sous-jacentes sérieuses, et fournir conseils et soutien en ce qui concerne les aspects psychosociaux de la puberté.</w:t>
      </w:r>
    </w:p>
    <w:tbl>
      <w:tblPr>
        <w:tblW w:w="4089" w:type="pct"/>
        <w:tblCellSpacing w:w="0" w:type="dxa"/>
        <w:tblCellMar>
          <w:left w:w="0" w:type="dxa"/>
          <w:right w:w="0" w:type="dxa"/>
        </w:tblCellMar>
        <w:tblLook w:val="04A0" w:firstRow="1" w:lastRow="0" w:firstColumn="1" w:lastColumn="0" w:noHBand="0" w:noVBand="1"/>
      </w:tblPr>
      <w:tblGrid>
        <w:gridCol w:w="8832"/>
      </w:tblGrid>
      <w:tr w:rsidR="000C00D7" w:rsidRPr="001F3F3A" w:rsidTr="000C00D7">
        <w:trPr>
          <w:tblCellSpacing w:w="0" w:type="dxa"/>
        </w:trPr>
        <w:tc>
          <w:tcPr>
            <w:tcW w:w="0" w:type="auto"/>
            <w:vAlign w:val="bottom"/>
            <w:hideMark/>
          </w:tcPr>
          <w:p w:rsidR="000C00D7" w:rsidRPr="001F3F3A" w:rsidRDefault="000C00D7" w:rsidP="001F3F3A">
            <w:pPr>
              <w:pStyle w:val="Sansinterligne"/>
              <w:rPr>
                <w:rFonts w:cs="Times New Roman"/>
                <w:b/>
                <w:sz w:val="16"/>
                <w:szCs w:val="16"/>
              </w:rPr>
            </w:pPr>
            <w:r w:rsidRPr="001F3F3A">
              <w:rPr>
                <w:rFonts w:cs="Times New Roman"/>
                <w:b/>
                <w:sz w:val="16"/>
                <w:szCs w:val="16"/>
              </w:rPr>
              <w:t>Objectifs complémentaires</w:t>
            </w:r>
          </w:p>
        </w:tc>
      </w:tr>
    </w:tbl>
    <w:p w:rsidR="000C00D7" w:rsidRPr="001F3F3A" w:rsidRDefault="000C00D7" w:rsidP="000C00D7">
      <w:pPr>
        <w:pStyle w:val="NormalWeb"/>
        <w:shd w:val="clear" w:color="auto" w:fill="FFFFFF"/>
        <w:ind w:left="360"/>
        <w:rPr>
          <w:color w:val="000000"/>
          <w:sz w:val="16"/>
          <w:szCs w:val="16"/>
          <w:shd w:val="clear" w:color="auto" w:fill="FFFFFF"/>
        </w:rPr>
      </w:pPr>
      <w:r w:rsidRPr="001F3F3A">
        <w:rPr>
          <w:color w:val="000000"/>
          <w:sz w:val="16"/>
          <w:szCs w:val="16"/>
          <w:shd w:val="clear" w:color="auto" w:fill="FFFFFF"/>
        </w:rPr>
        <w:t>Dans le cas d'un patient ayant des inquiétudes à propos de son développement pubertaire, le candidat devra</w:t>
      </w:r>
    </w:p>
    <w:p w:rsidR="000C00D7" w:rsidRPr="001F3F3A" w:rsidRDefault="000C00D7" w:rsidP="005D429F">
      <w:pPr>
        <w:numPr>
          <w:ilvl w:val="0"/>
          <w:numId w:val="1212"/>
        </w:numPr>
        <w:shd w:val="clear" w:color="auto" w:fill="FFFFFF"/>
        <w:spacing w:before="100" w:beforeAutospacing="1" w:after="100" w:afterAutospacing="1" w:line="240" w:lineRule="auto"/>
        <w:rPr>
          <w:rFonts w:cs="Times New Roman"/>
          <w:color w:val="000000"/>
          <w:sz w:val="16"/>
          <w:szCs w:val="16"/>
          <w:shd w:val="clear" w:color="auto" w:fill="FFFFFF"/>
        </w:rPr>
      </w:pPr>
      <w:bookmarkStart w:id="347" w:name="Objectifscompl%C3%A9mentaires"/>
      <w:bookmarkStart w:id="348" w:name="Objectifscompl%C3%A9mentaires1"/>
      <w:bookmarkEnd w:id="347"/>
      <w:r w:rsidRPr="001F3F3A">
        <w:rPr>
          <w:rFonts w:cs="Times New Roman"/>
          <w:color w:val="000000"/>
          <w:sz w:val="16"/>
          <w:szCs w:val="16"/>
          <w:shd w:val="clear" w:color="auto" w:fill="FFFFFF"/>
        </w:rPr>
        <w:t>énumérer et interpréter les constatations cliniques pertinentes, notamment :</w:t>
      </w:r>
    </w:p>
    <w:p w:rsidR="000C00D7" w:rsidRPr="001F3F3A" w:rsidRDefault="000C00D7" w:rsidP="005D429F">
      <w:pPr>
        <w:numPr>
          <w:ilvl w:val="1"/>
          <w:numId w:val="1212"/>
        </w:numPr>
        <w:shd w:val="clear" w:color="auto" w:fill="FFFFFF"/>
        <w:spacing w:before="100" w:beforeAutospacing="1" w:after="100" w:afterAutospacing="1" w:line="240" w:lineRule="auto"/>
        <w:rPr>
          <w:rFonts w:cs="Times New Roman"/>
          <w:color w:val="000000"/>
          <w:sz w:val="16"/>
          <w:szCs w:val="16"/>
          <w:shd w:val="clear" w:color="auto" w:fill="FFFFFF"/>
        </w:rPr>
      </w:pPr>
      <w:bookmarkStart w:id="349" w:name="Objectifscompl%C3%A9mentaires1.1"/>
      <w:bookmarkEnd w:id="348"/>
      <w:r w:rsidRPr="001F3F3A">
        <w:rPr>
          <w:rFonts w:cs="Times New Roman"/>
          <w:color w:val="000000"/>
          <w:sz w:val="16"/>
          <w:szCs w:val="16"/>
          <w:shd w:val="clear" w:color="auto" w:fill="FFFFFF"/>
        </w:rPr>
        <w:t>faire une anamnèse appropriée en accordant une attention particulière à la croissance et au développement, à la nutrition, ainsi qu'aux symptômes de maladie systémique sous-jacente;</w:t>
      </w:r>
    </w:p>
    <w:p w:rsidR="000C00D7" w:rsidRPr="001F3F3A" w:rsidRDefault="000C00D7" w:rsidP="005D429F">
      <w:pPr>
        <w:numPr>
          <w:ilvl w:val="1"/>
          <w:numId w:val="1212"/>
        </w:numPr>
        <w:shd w:val="clear" w:color="auto" w:fill="FFFFFF"/>
        <w:spacing w:before="100" w:beforeAutospacing="1" w:after="100" w:afterAutospacing="1" w:line="240" w:lineRule="auto"/>
        <w:rPr>
          <w:rFonts w:cs="Times New Roman"/>
          <w:color w:val="000000"/>
          <w:sz w:val="16"/>
          <w:szCs w:val="16"/>
          <w:shd w:val="clear" w:color="auto" w:fill="FFFFFF"/>
        </w:rPr>
      </w:pPr>
      <w:bookmarkStart w:id="350" w:name="Objectifscompl%C3%A9mentaires1.2"/>
      <w:bookmarkEnd w:id="349"/>
      <w:r w:rsidRPr="001F3F3A">
        <w:rPr>
          <w:rFonts w:cs="Times New Roman"/>
          <w:color w:val="000000"/>
          <w:sz w:val="16"/>
          <w:szCs w:val="16"/>
          <w:shd w:val="clear" w:color="auto" w:fill="FFFFFF"/>
        </w:rPr>
        <w:t>effectuer un examen physique approprié en accordant une attention particulière à la classification de Tanner du développement pubertaire, ainsi qu'aux signes de troubles sous-jacents (p. ex. tumeurs du SNC, troubles de l'alimentation);</w:t>
      </w:r>
    </w:p>
    <w:p w:rsidR="000C00D7" w:rsidRPr="001F3F3A" w:rsidRDefault="000C00D7" w:rsidP="005D429F">
      <w:pPr>
        <w:numPr>
          <w:ilvl w:val="0"/>
          <w:numId w:val="1212"/>
        </w:numPr>
        <w:shd w:val="clear" w:color="auto" w:fill="FFFFFF"/>
        <w:spacing w:before="100" w:beforeAutospacing="1" w:after="100" w:afterAutospacing="1" w:line="240" w:lineRule="auto"/>
        <w:rPr>
          <w:rFonts w:cs="Times New Roman"/>
          <w:color w:val="000000"/>
          <w:sz w:val="16"/>
          <w:szCs w:val="16"/>
          <w:shd w:val="clear" w:color="auto" w:fill="FFFFFF"/>
        </w:rPr>
      </w:pPr>
      <w:bookmarkStart w:id="351" w:name="Objectifscompl%C3%A9mentaires2"/>
      <w:bookmarkEnd w:id="350"/>
      <w:r w:rsidRPr="001F3F3A">
        <w:rPr>
          <w:rFonts w:cs="Times New Roman"/>
          <w:color w:val="000000"/>
          <w:sz w:val="16"/>
          <w:szCs w:val="16"/>
          <w:shd w:val="clear" w:color="auto" w:fill="FFFFFF"/>
        </w:rPr>
        <w:t>énumérer et interpréter les examens pertinents, notamment :</w:t>
      </w:r>
    </w:p>
    <w:p w:rsidR="000C00D7" w:rsidRPr="001F3F3A" w:rsidRDefault="000C00D7" w:rsidP="005D429F">
      <w:pPr>
        <w:numPr>
          <w:ilvl w:val="1"/>
          <w:numId w:val="1212"/>
        </w:numPr>
        <w:shd w:val="clear" w:color="auto" w:fill="FFFFFF"/>
        <w:spacing w:before="100" w:beforeAutospacing="1" w:after="100" w:afterAutospacing="1" w:line="240" w:lineRule="auto"/>
        <w:rPr>
          <w:rFonts w:cs="Times New Roman"/>
          <w:color w:val="000000"/>
          <w:sz w:val="16"/>
          <w:szCs w:val="16"/>
          <w:shd w:val="clear" w:color="auto" w:fill="FFFFFF"/>
        </w:rPr>
      </w:pPr>
      <w:bookmarkStart w:id="352" w:name="Objectifscompl%C3%A9mentaires2.1"/>
      <w:bookmarkEnd w:id="351"/>
      <w:r w:rsidRPr="001F3F3A">
        <w:rPr>
          <w:rFonts w:cs="Times New Roman"/>
          <w:color w:val="000000"/>
          <w:sz w:val="16"/>
          <w:szCs w:val="16"/>
          <w:shd w:val="clear" w:color="auto" w:fill="FFFFFF"/>
        </w:rPr>
        <w:t>différenciation entre les variantes normales et les affections sous-jacentes sérieuses ou urgentes (p. ex. imagerie du système nerveux central ou du pelvis lorsque l'on soupçonne un néoplasme);</w:t>
      </w:r>
    </w:p>
    <w:p w:rsidR="000C00D7" w:rsidRPr="001F3F3A" w:rsidRDefault="000C00D7" w:rsidP="005D429F">
      <w:pPr>
        <w:numPr>
          <w:ilvl w:val="0"/>
          <w:numId w:val="1212"/>
        </w:numPr>
        <w:shd w:val="clear" w:color="auto" w:fill="FFFFFF"/>
        <w:spacing w:before="100" w:beforeAutospacing="1" w:after="100" w:afterAutospacing="1" w:line="240" w:lineRule="auto"/>
        <w:rPr>
          <w:rFonts w:cs="Times New Roman"/>
          <w:color w:val="000000"/>
          <w:sz w:val="16"/>
          <w:szCs w:val="16"/>
          <w:shd w:val="clear" w:color="auto" w:fill="FFFFFF"/>
        </w:rPr>
      </w:pPr>
      <w:bookmarkStart w:id="353" w:name="Objectifscompl%C3%A9mentaires3"/>
      <w:bookmarkEnd w:id="352"/>
      <w:r w:rsidRPr="001F3F3A">
        <w:rPr>
          <w:rFonts w:cs="Times New Roman"/>
          <w:color w:val="000000"/>
          <w:sz w:val="16"/>
          <w:szCs w:val="16"/>
          <w:shd w:val="clear" w:color="auto" w:fill="FFFFFF"/>
        </w:rPr>
        <w:t>élaborer un plan efficace de prise en charge initiale, notamment :</w:t>
      </w:r>
    </w:p>
    <w:p w:rsidR="000C00D7" w:rsidRPr="001F3F3A" w:rsidRDefault="000C00D7" w:rsidP="005D429F">
      <w:pPr>
        <w:numPr>
          <w:ilvl w:val="1"/>
          <w:numId w:val="1212"/>
        </w:numPr>
        <w:shd w:val="clear" w:color="auto" w:fill="FFFFFF"/>
        <w:spacing w:before="100" w:beforeAutospacing="1" w:after="100" w:afterAutospacing="1" w:line="240" w:lineRule="auto"/>
        <w:rPr>
          <w:rFonts w:cs="Times New Roman"/>
          <w:color w:val="000000"/>
          <w:sz w:val="16"/>
          <w:szCs w:val="16"/>
          <w:shd w:val="clear" w:color="auto" w:fill="FFFFFF"/>
        </w:rPr>
      </w:pPr>
      <w:bookmarkStart w:id="354" w:name="Objectifscompl%C3%A9mentaires3.1"/>
      <w:bookmarkEnd w:id="353"/>
      <w:r w:rsidRPr="001F3F3A">
        <w:rPr>
          <w:rFonts w:cs="Times New Roman"/>
          <w:color w:val="000000"/>
          <w:sz w:val="16"/>
          <w:szCs w:val="16"/>
          <w:shd w:val="clear" w:color="auto" w:fill="FFFFFF"/>
        </w:rPr>
        <w:t>rassurer le patient en cas de variante normale du développement pubertaire;</w:t>
      </w:r>
    </w:p>
    <w:p w:rsidR="000C00D7" w:rsidRPr="001F3F3A" w:rsidRDefault="000C00D7" w:rsidP="005D429F">
      <w:pPr>
        <w:numPr>
          <w:ilvl w:val="1"/>
          <w:numId w:val="1212"/>
        </w:numPr>
        <w:shd w:val="clear" w:color="auto" w:fill="FFFFFF"/>
        <w:spacing w:before="100" w:beforeAutospacing="1" w:after="100" w:afterAutospacing="1" w:line="240" w:lineRule="auto"/>
        <w:rPr>
          <w:rFonts w:cs="Times New Roman"/>
          <w:color w:val="000000"/>
          <w:sz w:val="16"/>
          <w:szCs w:val="16"/>
          <w:shd w:val="clear" w:color="auto" w:fill="FFFFFF"/>
        </w:rPr>
      </w:pPr>
      <w:bookmarkStart w:id="355" w:name="Objectifscompl%C3%A9mentaires3.2"/>
      <w:bookmarkEnd w:id="354"/>
      <w:r w:rsidRPr="001F3F3A">
        <w:rPr>
          <w:rFonts w:cs="Times New Roman"/>
          <w:color w:val="000000"/>
          <w:sz w:val="16"/>
          <w:szCs w:val="16"/>
          <w:shd w:val="clear" w:color="auto" w:fill="FFFFFF"/>
        </w:rPr>
        <w:t>en cas de développement pubertaire anormal, adresser le patient pour les soins spécialisés appropriés (p. ex. pédiatrie, endocrinologie, génétique, neurologie);</w:t>
      </w:r>
    </w:p>
    <w:p w:rsidR="000C00D7" w:rsidRPr="00AC02FF" w:rsidRDefault="000C00D7" w:rsidP="00AC02FF">
      <w:pPr>
        <w:numPr>
          <w:ilvl w:val="1"/>
          <w:numId w:val="1212"/>
        </w:numPr>
        <w:shd w:val="clear" w:color="auto" w:fill="FFFFFF"/>
        <w:spacing w:before="100" w:beforeAutospacing="1" w:after="100" w:afterAutospacing="1" w:line="240" w:lineRule="auto"/>
        <w:rPr>
          <w:rFonts w:cs="Times New Roman"/>
          <w:color w:val="000000"/>
          <w:sz w:val="16"/>
          <w:szCs w:val="16"/>
          <w:shd w:val="clear" w:color="auto" w:fill="FFFFFF"/>
        </w:rPr>
      </w:pPr>
      <w:bookmarkStart w:id="356" w:name="Objectifscompl%C3%A9mentaires3.3"/>
      <w:bookmarkEnd w:id="355"/>
      <w:r w:rsidRPr="001F3F3A">
        <w:rPr>
          <w:rFonts w:cs="Times New Roman"/>
          <w:color w:val="000000"/>
          <w:sz w:val="16"/>
          <w:szCs w:val="16"/>
          <w:shd w:val="clear" w:color="auto" w:fill="FFFFFF"/>
        </w:rPr>
        <w:t>conseiller et soutenir le patient et sa famille à propos des implications psychosociales d'un développement pubertaire anormal.</w:t>
      </w:r>
      <w:bookmarkEnd w:id="356"/>
    </w:p>
    <w:p w:rsidR="00FF5308" w:rsidRPr="00AC02FF" w:rsidRDefault="00FF5308" w:rsidP="00FF5308">
      <w:pPr>
        <w:pStyle w:val="Sansinterligne"/>
        <w:rPr>
          <w:b/>
          <w:sz w:val="28"/>
          <w:szCs w:val="28"/>
        </w:rPr>
      </w:pPr>
      <w:r w:rsidRPr="00AC02FF">
        <w:rPr>
          <w:b/>
          <w:sz w:val="28"/>
          <w:szCs w:val="28"/>
        </w:rPr>
        <w:t>Définitions</w:t>
      </w:r>
    </w:p>
    <w:p w:rsidR="00FF5308" w:rsidRDefault="005032C3" w:rsidP="00FF5308">
      <w:pPr>
        <w:pStyle w:val="Sansinterligne"/>
      </w:pPr>
      <w:r>
        <w:rPr>
          <w:noProof/>
          <w:lang w:eastAsia="fr-CA"/>
        </w:rPr>
        <w:drawing>
          <wp:anchor distT="0" distB="0" distL="114300" distR="114300" simplePos="0" relativeHeight="252092416" behindDoc="0" locked="0" layoutInCell="1" allowOverlap="1" wp14:anchorId="2FE1E7C4" wp14:editId="088504E0">
            <wp:simplePos x="0" y="0"/>
            <wp:positionH relativeFrom="column">
              <wp:posOffset>3627701</wp:posOffset>
            </wp:positionH>
            <wp:positionV relativeFrom="paragraph">
              <wp:posOffset>67945</wp:posOffset>
            </wp:positionV>
            <wp:extent cx="3375025" cy="2578100"/>
            <wp:effectExtent l="0" t="0" r="0" b="0"/>
            <wp:wrapNone/>
            <wp:docPr id="569" name="Image 569" descr="Résultats de recherche d'images pour « stades de tanne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ésultats de recherche d'images pour « stades de tanner »"/>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3375025" cy="25781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F5308" w:rsidRPr="005032C3" w:rsidRDefault="00FF5308" w:rsidP="00FF5308">
      <w:pPr>
        <w:pStyle w:val="Sansinterligne"/>
        <w:rPr>
          <w:b/>
          <w:highlight w:val="yellow"/>
        </w:rPr>
      </w:pPr>
      <w:r w:rsidRPr="005032C3">
        <w:rPr>
          <w:b/>
          <w:highlight w:val="yellow"/>
        </w:rPr>
        <w:t>Retard pubertaire</w:t>
      </w:r>
    </w:p>
    <w:p w:rsidR="00B03199" w:rsidRPr="005032C3" w:rsidRDefault="00B03199" w:rsidP="00B03199">
      <w:pPr>
        <w:pStyle w:val="Sansinterligne"/>
        <w:rPr>
          <w:highlight w:val="yellow"/>
        </w:rPr>
      </w:pPr>
    </w:p>
    <w:p w:rsidR="00B03199" w:rsidRPr="005032C3" w:rsidRDefault="00B03199" w:rsidP="00AF6ADC">
      <w:pPr>
        <w:pStyle w:val="Sansinterligne"/>
        <w:numPr>
          <w:ilvl w:val="0"/>
          <w:numId w:val="1281"/>
        </w:numPr>
        <w:rPr>
          <w:highlight w:val="yellow"/>
        </w:rPr>
      </w:pPr>
      <w:r w:rsidRPr="005032C3">
        <w:rPr>
          <w:highlight w:val="yellow"/>
        </w:rPr>
        <w:t>Absence de caractères sexuels secondaires à :</w:t>
      </w:r>
    </w:p>
    <w:p w:rsidR="00B03199" w:rsidRPr="005032C3" w:rsidRDefault="00B03199" w:rsidP="00AF6ADC">
      <w:pPr>
        <w:pStyle w:val="Sansinterligne"/>
        <w:numPr>
          <w:ilvl w:val="0"/>
          <w:numId w:val="1282"/>
        </w:numPr>
        <w:rPr>
          <w:highlight w:val="yellow"/>
        </w:rPr>
      </w:pPr>
      <w:r w:rsidRPr="005032C3">
        <w:rPr>
          <w:highlight w:val="yellow"/>
        </w:rPr>
        <w:t>♂ : Absence d’↑ de taille des testicules à 14 ans</w:t>
      </w:r>
    </w:p>
    <w:p w:rsidR="00B03199" w:rsidRPr="005032C3" w:rsidRDefault="00B03199" w:rsidP="00AF6ADC">
      <w:pPr>
        <w:pStyle w:val="Sansinterligne"/>
        <w:numPr>
          <w:ilvl w:val="0"/>
          <w:numId w:val="1282"/>
        </w:numPr>
        <w:rPr>
          <w:highlight w:val="yellow"/>
        </w:rPr>
      </w:pPr>
      <w:r w:rsidRPr="005032C3">
        <w:rPr>
          <w:highlight w:val="yellow"/>
        </w:rPr>
        <w:t xml:space="preserve">♀ : Absence de développement mammaire à 13 ans </w:t>
      </w:r>
    </w:p>
    <w:p w:rsidR="00B03199" w:rsidRPr="005032C3" w:rsidRDefault="00B03199" w:rsidP="00AF6ADC">
      <w:pPr>
        <w:pStyle w:val="Sansinterligne"/>
        <w:numPr>
          <w:ilvl w:val="1"/>
          <w:numId w:val="1282"/>
        </w:numPr>
        <w:rPr>
          <w:highlight w:val="yellow"/>
        </w:rPr>
      </w:pPr>
      <w:r w:rsidRPr="005032C3">
        <w:rPr>
          <w:highlight w:val="yellow"/>
        </w:rPr>
        <w:t xml:space="preserve">OU absence de ménarche à 16 ans </w:t>
      </w:r>
    </w:p>
    <w:p w:rsidR="00FF5308" w:rsidRPr="005032C3" w:rsidRDefault="00B03199" w:rsidP="00AF6ADC">
      <w:pPr>
        <w:pStyle w:val="Sansinterligne"/>
        <w:numPr>
          <w:ilvl w:val="1"/>
          <w:numId w:val="1282"/>
        </w:numPr>
        <w:rPr>
          <w:highlight w:val="yellow"/>
        </w:rPr>
      </w:pPr>
      <w:r w:rsidRPr="005032C3">
        <w:rPr>
          <w:highlight w:val="yellow"/>
        </w:rPr>
        <w:t>OU dans les 5 ans suivant le début de la puberté</w:t>
      </w:r>
    </w:p>
    <w:p w:rsidR="00B03199" w:rsidRPr="005032C3" w:rsidRDefault="00B03199" w:rsidP="00B03199">
      <w:pPr>
        <w:pStyle w:val="Sansinterligne"/>
        <w:rPr>
          <w:highlight w:val="yellow"/>
        </w:rPr>
      </w:pPr>
    </w:p>
    <w:p w:rsidR="00FF5308" w:rsidRPr="005032C3" w:rsidRDefault="00FF5308" w:rsidP="00B03199">
      <w:pPr>
        <w:pStyle w:val="Sansinterligne"/>
        <w:rPr>
          <w:b/>
          <w:highlight w:val="yellow"/>
        </w:rPr>
      </w:pPr>
      <w:r w:rsidRPr="005032C3">
        <w:rPr>
          <w:b/>
          <w:highlight w:val="yellow"/>
        </w:rPr>
        <w:t>Puberté précoce</w:t>
      </w:r>
    </w:p>
    <w:p w:rsidR="00FF5308" w:rsidRPr="005032C3" w:rsidRDefault="00B03199" w:rsidP="00AF6ADC">
      <w:pPr>
        <w:pStyle w:val="Sansinterligne"/>
        <w:numPr>
          <w:ilvl w:val="0"/>
          <w:numId w:val="1283"/>
        </w:numPr>
        <w:rPr>
          <w:highlight w:val="yellow"/>
        </w:rPr>
      </w:pPr>
      <w:r w:rsidRPr="005032C3">
        <w:rPr>
          <w:highlight w:val="yellow"/>
        </w:rPr>
        <w:t>Développement de caractères sexuels secondaires :</w:t>
      </w:r>
    </w:p>
    <w:p w:rsidR="00B03199" w:rsidRPr="005032C3" w:rsidRDefault="00B03199" w:rsidP="00AF6ADC">
      <w:pPr>
        <w:pStyle w:val="Sansinterligne"/>
        <w:numPr>
          <w:ilvl w:val="0"/>
          <w:numId w:val="1284"/>
        </w:numPr>
        <w:rPr>
          <w:highlight w:val="yellow"/>
        </w:rPr>
      </w:pPr>
      <w:r w:rsidRPr="005032C3">
        <w:rPr>
          <w:highlight w:val="yellow"/>
        </w:rPr>
        <w:t>Avant 9 ans chez le garçon</w:t>
      </w:r>
    </w:p>
    <w:p w:rsidR="00B03199" w:rsidRPr="005032C3" w:rsidRDefault="00B03199" w:rsidP="00AF6ADC">
      <w:pPr>
        <w:pStyle w:val="Sansinterligne"/>
        <w:numPr>
          <w:ilvl w:val="0"/>
          <w:numId w:val="1284"/>
        </w:numPr>
        <w:rPr>
          <w:highlight w:val="yellow"/>
        </w:rPr>
      </w:pPr>
      <w:r w:rsidRPr="005032C3">
        <w:rPr>
          <w:highlight w:val="yellow"/>
        </w:rPr>
        <w:t>Avant 8 ans chez la fille</w:t>
      </w:r>
    </w:p>
    <w:p w:rsidR="00DE6A25" w:rsidRDefault="00DE6A25">
      <w:pPr>
        <w:rPr>
          <w:rFonts w:cs="Times New Roman"/>
          <w:b/>
          <w:color w:val="548DD4" w:themeColor="text2" w:themeTint="99"/>
        </w:rPr>
      </w:pPr>
    </w:p>
    <w:p w:rsidR="00B31F37" w:rsidRDefault="00B31F37">
      <w:pPr>
        <w:rPr>
          <w:rFonts w:cs="Times New Roman"/>
          <w:b/>
          <w:color w:val="548DD4" w:themeColor="text2" w:themeTint="99"/>
        </w:rPr>
      </w:pPr>
    </w:p>
    <w:p w:rsidR="00FF5308" w:rsidRPr="00DE6A25" w:rsidRDefault="002251B6" w:rsidP="002251B6">
      <w:pPr>
        <w:pStyle w:val="Sansinterligne"/>
        <w:rPr>
          <w:b/>
          <w:sz w:val="28"/>
          <w:szCs w:val="28"/>
        </w:rPr>
      </w:pPr>
      <w:r w:rsidRPr="00DE6A25">
        <w:rPr>
          <w:b/>
          <w:sz w:val="28"/>
          <w:szCs w:val="28"/>
        </w:rPr>
        <w:t>Diagnostics</w:t>
      </w:r>
    </w:p>
    <w:p w:rsidR="00FF5308" w:rsidRDefault="00FF5308" w:rsidP="002251B6">
      <w:pPr>
        <w:pStyle w:val="Sansinterligne"/>
      </w:pPr>
    </w:p>
    <w:tbl>
      <w:tblPr>
        <w:tblStyle w:val="Grilledutableau"/>
        <w:tblW w:w="0" w:type="auto"/>
        <w:tblLook w:val="04A0" w:firstRow="1" w:lastRow="0" w:firstColumn="1" w:lastColumn="0" w:noHBand="0" w:noVBand="1"/>
      </w:tblPr>
      <w:tblGrid>
        <w:gridCol w:w="2660"/>
        <w:gridCol w:w="8280"/>
      </w:tblGrid>
      <w:tr w:rsidR="00D30C30" w:rsidTr="00077C3E">
        <w:tc>
          <w:tcPr>
            <w:tcW w:w="10940" w:type="dxa"/>
            <w:gridSpan w:val="2"/>
            <w:shd w:val="clear" w:color="auto" w:fill="FFC000"/>
          </w:tcPr>
          <w:p w:rsidR="00D30C30" w:rsidRDefault="00D30C30" w:rsidP="00077C3E">
            <w:pPr>
              <w:pStyle w:val="Sansinterligne"/>
              <w:jc w:val="center"/>
            </w:pPr>
            <w:r>
              <w:t>Variantes de la normale</w:t>
            </w:r>
          </w:p>
        </w:tc>
      </w:tr>
      <w:tr w:rsidR="00D30C30" w:rsidTr="005032C3">
        <w:tc>
          <w:tcPr>
            <w:tcW w:w="2660" w:type="dxa"/>
            <w:shd w:val="clear" w:color="auto" w:fill="C2D69B" w:themeFill="accent3" w:themeFillTint="99"/>
            <w:vAlign w:val="center"/>
          </w:tcPr>
          <w:p w:rsidR="00D30C30" w:rsidRDefault="00D30C30" w:rsidP="005032C3">
            <w:pPr>
              <w:pStyle w:val="Sansinterligne"/>
              <w:jc w:val="center"/>
            </w:pPr>
            <w:r>
              <w:t>Thélarche précoce</w:t>
            </w:r>
          </w:p>
        </w:tc>
        <w:tc>
          <w:tcPr>
            <w:tcW w:w="8280" w:type="dxa"/>
          </w:tcPr>
          <w:p w:rsidR="00D30C30" w:rsidRDefault="00B31F37" w:rsidP="00AF6ADC">
            <w:pPr>
              <w:pStyle w:val="Sansinterligne"/>
              <w:numPr>
                <w:ilvl w:val="0"/>
                <w:numId w:val="1285"/>
              </w:numPr>
            </w:pPr>
            <w:r>
              <w:t xml:space="preserve">Développement mammaire avant 8 ans, mais ne progresse pas </w:t>
            </w:r>
            <w:r>
              <w:rPr>
                <w:rFonts w:ascii="Century Gothic" w:hAnsi="Century Gothic"/>
              </w:rPr>
              <w:t>&gt;</w:t>
            </w:r>
            <w:r>
              <w:t xml:space="preserve"> Tanner 3</w:t>
            </w:r>
          </w:p>
          <w:p w:rsidR="00B31F37" w:rsidRDefault="00B31F37" w:rsidP="00AF6ADC">
            <w:pPr>
              <w:pStyle w:val="Sansinterligne"/>
              <w:numPr>
                <w:ilvl w:val="0"/>
                <w:numId w:val="1285"/>
              </w:numPr>
            </w:pPr>
            <w:r>
              <w:t>Pas d’autres caractéristiques sexuelles qui apparaissent</w:t>
            </w:r>
          </w:p>
        </w:tc>
      </w:tr>
      <w:tr w:rsidR="00D30C30" w:rsidTr="005032C3">
        <w:tc>
          <w:tcPr>
            <w:tcW w:w="2660" w:type="dxa"/>
            <w:shd w:val="clear" w:color="auto" w:fill="C2D69B" w:themeFill="accent3" w:themeFillTint="99"/>
            <w:vAlign w:val="center"/>
          </w:tcPr>
          <w:p w:rsidR="00D30C30" w:rsidRDefault="00D30C30" w:rsidP="005032C3">
            <w:pPr>
              <w:pStyle w:val="Sansinterligne"/>
              <w:jc w:val="center"/>
            </w:pPr>
            <w:r>
              <w:t>Adrénarche précoce</w:t>
            </w:r>
          </w:p>
        </w:tc>
        <w:tc>
          <w:tcPr>
            <w:tcW w:w="8280" w:type="dxa"/>
          </w:tcPr>
          <w:p w:rsidR="00D30C30" w:rsidRDefault="00B31F37" w:rsidP="00AF6ADC">
            <w:pPr>
              <w:pStyle w:val="Sansinterligne"/>
              <w:numPr>
                <w:ilvl w:val="0"/>
                <w:numId w:val="1285"/>
              </w:numPr>
            </w:pPr>
            <w:r>
              <w:t>Apparition de pilosité sexuelle avant 8(</w:t>
            </w:r>
            <w:r>
              <w:rPr>
                <w:rFonts w:ascii="Century Gothic" w:hAnsi="Century Gothic"/>
              </w:rPr>
              <w:t>♀</w:t>
            </w:r>
            <w:r>
              <w:t xml:space="preserve"> ) et 9(</w:t>
            </w:r>
            <w:r>
              <w:rPr>
                <w:rFonts w:ascii="Century Gothic" w:hAnsi="Century Gothic"/>
              </w:rPr>
              <w:t>♂</w:t>
            </w:r>
            <w:r>
              <w:t>)</w:t>
            </w:r>
          </w:p>
          <w:p w:rsidR="00B31F37" w:rsidRDefault="00B31F37" w:rsidP="00AF6ADC">
            <w:pPr>
              <w:pStyle w:val="Sansinterligne"/>
              <w:numPr>
                <w:ilvl w:val="0"/>
                <w:numId w:val="1285"/>
              </w:numPr>
            </w:pPr>
            <w:r>
              <w:t xml:space="preserve">Pas d’autres caractéristiques sexuelles qui apparaissent </w:t>
            </w:r>
          </w:p>
          <w:p w:rsidR="00B31F37" w:rsidRDefault="00B31F37" w:rsidP="00AF6ADC">
            <w:pPr>
              <w:pStyle w:val="Sansinterligne"/>
              <w:numPr>
                <w:ilvl w:val="0"/>
                <w:numId w:val="1285"/>
              </w:numPr>
            </w:pPr>
            <w:r>
              <w:t>Plus fréquent chez la fille que le garçon</w:t>
            </w:r>
          </w:p>
        </w:tc>
      </w:tr>
      <w:tr w:rsidR="0066543D" w:rsidTr="005032C3">
        <w:tc>
          <w:tcPr>
            <w:tcW w:w="2660" w:type="dxa"/>
            <w:shd w:val="clear" w:color="auto" w:fill="C2D69B" w:themeFill="accent3" w:themeFillTint="99"/>
            <w:vAlign w:val="center"/>
          </w:tcPr>
          <w:p w:rsidR="0066543D" w:rsidRDefault="0066543D" w:rsidP="005032C3">
            <w:pPr>
              <w:pStyle w:val="Sansinterligne"/>
              <w:jc w:val="center"/>
            </w:pPr>
            <w:r>
              <w:t>Ménarche prématurée isolée</w:t>
            </w:r>
          </w:p>
        </w:tc>
        <w:tc>
          <w:tcPr>
            <w:tcW w:w="8280" w:type="dxa"/>
          </w:tcPr>
          <w:p w:rsidR="0066543D" w:rsidRDefault="0066543D" w:rsidP="00AF6ADC">
            <w:pPr>
              <w:pStyle w:val="Sansinterligne"/>
              <w:numPr>
                <w:ilvl w:val="0"/>
                <w:numId w:val="1285"/>
              </w:numPr>
            </w:pPr>
            <w:r>
              <w:t>Quelques ménorrhées puis arrêt</w:t>
            </w:r>
          </w:p>
          <w:p w:rsidR="0066543D" w:rsidRDefault="0066543D" w:rsidP="00AF6ADC">
            <w:pPr>
              <w:pStyle w:val="Sansinterligne"/>
              <w:numPr>
                <w:ilvl w:val="0"/>
                <w:numId w:val="1285"/>
              </w:numPr>
            </w:pPr>
            <w:r>
              <w:t>Pas d’autres caractéristiques sexuelles qui apparaissent</w:t>
            </w:r>
          </w:p>
          <w:p w:rsidR="0066543D" w:rsidRDefault="0066543D" w:rsidP="00AF6ADC">
            <w:pPr>
              <w:pStyle w:val="Sansinterligne"/>
              <w:numPr>
                <w:ilvl w:val="0"/>
                <w:numId w:val="1285"/>
              </w:numPr>
            </w:pPr>
            <w:r>
              <w:t>Rare</w:t>
            </w:r>
          </w:p>
        </w:tc>
      </w:tr>
    </w:tbl>
    <w:p w:rsidR="00D30C30" w:rsidRDefault="00D30C30" w:rsidP="00D30C30">
      <w:pPr>
        <w:pStyle w:val="Sansinterligne"/>
      </w:pPr>
    </w:p>
    <w:p w:rsidR="00B31F37" w:rsidRPr="00D30C30" w:rsidRDefault="00B31F37" w:rsidP="00D30C30">
      <w:pPr>
        <w:pStyle w:val="Sansinterligne"/>
      </w:pPr>
    </w:p>
    <w:tbl>
      <w:tblPr>
        <w:tblStyle w:val="Grilledutableau"/>
        <w:tblW w:w="0" w:type="auto"/>
        <w:tblLook w:val="04A0" w:firstRow="1" w:lastRow="0" w:firstColumn="1" w:lastColumn="0" w:noHBand="0" w:noVBand="1"/>
      </w:tblPr>
      <w:tblGrid>
        <w:gridCol w:w="534"/>
        <w:gridCol w:w="2126"/>
        <w:gridCol w:w="4178"/>
        <w:gridCol w:w="4178"/>
      </w:tblGrid>
      <w:tr w:rsidR="00D30C30" w:rsidRPr="00D30C30" w:rsidTr="00077C3E">
        <w:tc>
          <w:tcPr>
            <w:tcW w:w="11016" w:type="dxa"/>
            <w:gridSpan w:val="4"/>
            <w:shd w:val="clear" w:color="auto" w:fill="FFC000"/>
          </w:tcPr>
          <w:p w:rsidR="00D30C30" w:rsidRPr="00D30C30" w:rsidRDefault="00D30C30" w:rsidP="00077C3E">
            <w:pPr>
              <w:pStyle w:val="Sansinterligne"/>
              <w:jc w:val="center"/>
            </w:pPr>
            <w:r w:rsidRPr="00D30C30">
              <w:t>Retard pubertaire</w:t>
            </w:r>
          </w:p>
        </w:tc>
      </w:tr>
      <w:tr w:rsidR="00521309" w:rsidRPr="00D30C30" w:rsidTr="00FE5398">
        <w:tc>
          <w:tcPr>
            <w:tcW w:w="2660" w:type="dxa"/>
            <w:gridSpan w:val="2"/>
            <w:shd w:val="clear" w:color="auto" w:fill="C2D69B" w:themeFill="accent3" w:themeFillTint="99"/>
          </w:tcPr>
          <w:p w:rsidR="00521309" w:rsidRPr="00D30C30" w:rsidRDefault="00521309" w:rsidP="00521309">
            <w:pPr>
              <w:pStyle w:val="Sansinterligne"/>
              <w:jc w:val="center"/>
            </w:pPr>
            <w:r>
              <w:t>Causes</w:t>
            </w:r>
          </w:p>
        </w:tc>
        <w:tc>
          <w:tcPr>
            <w:tcW w:w="8356" w:type="dxa"/>
            <w:gridSpan w:val="2"/>
            <w:shd w:val="clear" w:color="auto" w:fill="C2D69B" w:themeFill="accent3" w:themeFillTint="99"/>
          </w:tcPr>
          <w:p w:rsidR="00521309" w:rsidRPr="00D30C30" w:rsidRDefault="00521309" w:rsidP="00521309">
            <w:pPr>
              <w:pStyle w:val="Sansinterligne"/>
              <w:jc w:val="center"/>
            </w:pPr>
            <w:r>
              <w:t>Manifestations cliniques</w:t>
            </w:r>
          </w:p>
        </w:tc>
      </w:tr>
      <w:tr w:rsidR="00521309" w:rsidRPr="00D30C30" w:rsidTr="00605223">
        <w:trPr>
          <w:cantSplit/>
          <w:trHeight w:val="400"/>
        </w:trPr>
        <w:tc>
          <w:tcPr>
            <w:tcW w:w="534" w:type="dxa"/>
            <w:vMerge w:val="restart"/>
            <w:shd w:val="clear" w:color="auto" w:fill="FFC000"/>
            <w:textDirection w:val="btLr"/>
            <w:vAlign w:val="center"/>
          </w:tcPr>
          <w:p w:rsidR="00521309" w:rsidRPr="00D30C30" w:rsidRDefault="00521309" w:rsidP="00D30C30">
            <w:pPr>
              <w:pStyle w:val="Sansinterligne"/>
              <w:ind w:left="113" w:right="113"/>
              <w:jc w:val="center"/>
            </w:pPr>
            <w:r w:rsidRPr="00D30C30">
              <w:t>Origine centrale</w:t>
            </w:r>
          </w:p>
        </w:tc>
        <w:tc>
          <w:tcPr>
            <w:tcW w:w="2126" w:type="dxa"/>
            <w:shd w:val="clear" w:color="auto" w:fill="C2D69B" w:themeFill="accent3" w:themeFillTint="99"/>
            <w:vAlign w:val="center"/>
          </w:tcPr>
          <w:p w:rsidR="00521309" w:rsidRPr="00D30C30" w:rsidRDefault="00521309" w:rsidP="00521309">
            <w:pPr>
              <w:pStyle w:val="Sansinterligne"/>
              <w:jc w:val="center"/>
            </w:pPr>
            <w:r>
              <w:t>Retard constitutionnel</w:t>
            </w:r>
          </w:p>
        </w:tc>
        <w:tc>
          <w:tcPr>
            <w:tcW w:w="8356" w:type="dxa"/>
            <w:gridSpan w:val="2"/>
            <w:shd w:val="clear" w:color="auto" w:fill="FFFF00"/>
          </w:tcPr>
          <w:p w:rsidR="00521309" w:rsidRPr="00D30C30" w:rsidRDefault="00053087" w:rsidP="00AF6ADC">
            <w:pPr>
              <w:pStyle w:val="Sansinterligne"/>
              <w:numPr>
                <w:ilvl w:val="0"/>
                <w:numId w:val="1278"/>
              </w:numPr>
            </w:pPr>
            <w:r>
              <w:t>Histoire familiale de retard pubertaire</w:t>
            </w:r>
          </w:p>
        </w:tc>
      </w:tr>
      <w:tr w:rsidR="00521309" w:rsidRPr="00D30C30" w:rsidTr="00605223">
        <w:trPr>
          <w:cantSplit/>
          <w:trHeight w:val="389"/>
        </w:trPr>
        <w:tc>
          <w:tcPr>
            <w:tcW w:w="534" w:type="dxa"/>
            <w:vMerge/>
            <w:shd w:val="clear" w:color="auto" w:fill="FFC000"/>
            <w:textDirection w:val="btLr"/>
            <w:vAlign w:val="center"/>
          </w:tcPr>
          <w:p w:rsidR="00521309" w:rsidRPr="00D30C30" w:rsidRDefault="00521309" w:rsidP="00D30C30">
            <w:pPr>
              <w:pStyle w:val="Sansinterligne"/>
              <w:ind w:left="113" w:right="113"/>
              <w:jc w:val="center"/>
            </w:pPr>
          </w:p>
        </w:tc>
        <w:tc>
          <w:tcPr>
            <w:tcW w:w="2126" w:type="dxa"/>
            <w:shd w:val="clear" w:color="auto" w:fill="C2D69B" w:themeFill="accent3" w:themeFillTint="99"/>
            <w:vAlign w:val="center"/>
          </w:tcPr>
          <w:p w:rsidR="00521309" w:rsidRPr="00D30C30" w:rsidRDefault="00077C3E" w:rsidP="00077C3E">
            <w:pPr>
              <w:pStyle w:val="Sansinterligne"/>
              <w:jc w:val="center"/>
            </w:pPr>
            <w:r>
              <w:t>Prolactinome</w:t>
            </w:r>
          </w:p>
        </w:tc>
        <w:tc>
          <w:tcPr>
            <w:tcW w:w="8356" w:type="dxa"/>
            <w:gridSpan w:val="2"/>
            <w:shd w:val="clear" w:color="auto" w:fill="FFFF00"/>
          </w:tcPr>
          <w:p w:rsidR="00521309" w:rsidRPr="00D30C30" w:rsidRDefault="00521309" w:rsidP="00D30C30">
            <w:pPr>
              <w:pStyle w:val="Sansinterligne"/>
            </w:pPr>
            <w:r>
              <w:t xml:space="preserve">Voir </w:t>
            </w:r>
            <w:r w:rsidRPr="00521309">
              <w:rPr>
                <w:i/>
              </w:rPr>
              <w:t>Écoulement mammaire CMC 10-2</w:t>
            </w:r>
          </w:p>
        </w:tc>
      </w:tr>
      <w:tr w:rsidR="00521309" w:rsidRPr="00D30C30" w:rsidTr="00FE5398">
        <w:trPr>
          <w:cantSplit/>
          <w:trHeight w:val="456"/>
        </w:trPr>
        <w:tc>
          <w:tcPr>
            <w:tcW w:w="534" w:type="dxa"/>
            <w:vMerge/>
            <w:shd w:val="clear" w:color="auto" w:fill="FFC000"/>
            <w:textDirection w:val="btLr"/>
            <w:vAlign w:val="center"/>
          </w:tcPr>
          <w:p w:rsidR="00521309" w:rsidRPr="00D30C30" w:rsidRDefault="00521309" w:rsidP="00D30C30">
            <w:pPr>
              <w:pStyle w:val="Sansinterligne"/>
              <w:ind w:left="113" w:right="113"/>
              <w:jc w:val="center"/>
            </w:pPr>
          </w:p>
        </w:tc>
        <w:tc>
          <w:tcPr>
            <w:tcW w:w="2126" w:type="dxa"/>
            <w:shd w:val="clear" w:color="auto" w:fill="C2D69B" w:themeFill="accent3" w:themeFillTint="99"/>
            <w:vAlign w:val="center"/>
          </w:tcPr>
          <w:p w:rsidR="00521309" w:rsidRPr="00D30C30" w:rsidRDefault="00521309" w:rsidP="00521309">
            <w:pPr>
              <w:pStyle w:val="Sansinterligne"/>
              <w:jc w:val="center"/>
            </w:pPr>
            <w:r>
              <w:t>Autres tumeurs hypothalamiques</w:t>
            </w:r>
          </w:p>
        </w:tc>
        <w:tc>
          <w:tcPr>
            <w:tcW w:w="8356" w:type="dxa"/>
            <w:gridSpan w:val="2"/>
          </w:tcPr>
          <w:p w:rsidR="00521309" w:rsidRPr="00D30C30" w:rsidRDefault="00053087" w:rsidP="00AF6ADC">
            <w:pPr>
              <w:pStyle w:val="Sansinterligne"/>
              <w:numPr>
                <w:ilvl w:val="0"/>
                <w:numId w:val="1277"/>
              </w:numPr>
            </w:pPr>
            <w:r>
              <w:t>Céphalées, troubles visuels, déficits hormonaux</w:t>
            </w:r>
          </w:p>
        </w:tc>
      </w:tr>
      <w:tr w:rsidR="00DE6A25" w:rsidRPr="00D30C30" w:rsidTr="00E10F64">
        <w:trPr>
          <w:cantSplit/>
          <w:trHeight w:val="420"/>
        </w:trPr>
        <w:tc>
          <w:tcPr>
            <w:tcW w:w="534" w:type="dxa"/>
            <w:vMerge/>
            <w:shd w:val="clear" w:color="auto" w:fill="FFC000"/>
            <w:textDirection w:val="btLr"/>
            <w:vAlign w:val="center"/>
          </w:tcPr>
          <w:p w:rsidR="00DE6A25" w:rsidRPr="00D30C30" w:rsidRDefault="00DE6A25" w:rsidP="00D30C30">
            <w:pPr>
              <w:pStyle w:val="Sansinterligne"/>
              <w:ind w:left="113" w:right="113"/>
              <w:jc w:val="center"/>
            </w:pPr>
          </w:p>
        </w:tc>
        <w:tc>
          <w:tcPr>
            <w:tcW w:w="2126" w:type="dxa"/>
            <w:shd w:val="clear" w:color="auto" w:fill="C2D69B" w:themeFill="accent3" w:themeFillTint="99"/>
            <w:vAlign w:val="center"/>
          </w:tcPr>
          <w:p w:rsidR="00DE6A25" w:rsidRDefault="00DE6A25" w:rsidP="00DE6A25">
            <w:pPr>
              <w:pStyle w:val="Sansinterligne"/>
              <w:jc w:val="center"/>
            </w:pPr>
            <w:r>
              <w:t>Anorexie mentale</w:t>
            </w:r>
          </w:p>
        </w:tc>
        <w:tc>
          <w:tcPr>
            <w:tcW w:w="4178" w:type="dxa"/>
            <w:tcBorders>
              <w:right w:val="single" w:sz="4" w:space="0" w:color="FFFF00"/>
            </w:tcBorders>
            <w:shd w:val="clear" w:color="auto" w:fill="FFFF00"/>
          </w:tcPr>
          <w:p w:rsidR="00DE6A25" w:rsidRDefault="00DE6A25" w:rsidP="00AF6ADC">
            <w:pPr>
              <w:pStyle w:val="Sansinterligne"/>
              <w:numPr>
                <w:ilvl w:val="0"/>
                <w:numId w:val="1277"/>
              </w:numPr>
            </w:pPr>
            <w:r>
              <w:t>Rigidité en lien avec la nourriture</w:t>
            </w:r>
          </w:p>
          <w:p w:rsidR="00DE6A25" w:rsidRDefault="00DE6A25" w:rsidP="00AF6ADC">
            <w:pPr>
              <w:pStyle w:val="Sansinterligne"/>
              <w:numPr>
                <w:ilvl w:val="0"/>
                <w:numId w:val="1277"/>
              </w:numPr>
            </w:pPr>
            <w:r>
              <w:t>Peur excessive de grossir</w:t>
            </w:r>
          </w:p>
          <w:p w:rsidR="00DE6A25" w:rsidRDefault="00DE6A25" w:rsidP="00AF6ADC">
            <w:pPr>
              <w:pStyle w:val="Sansinterligne"/>
              <w:numPr>
                <w:ilvl w:val="0"/>
                <w:numId w:val="1277"/>
              </w:numPr>
            </w:pPr>
            <w:r>
              <w:t>Mauvaise perception de son corps</w:t>
            </w:r>
          </w:p>
          <w:p w:rsidR="00DE6A25" w:rsidRDefault="00DE6A25" w:rsidP="00AF6ADC">
            <w:pPr>
              <w:pStyle w:val="Sansinterligne"/>
              <w:numPr>
                <w:ilvl w:val="0"/>
                <w:numId w:val="1277"/>
              </w:numPr>
            </w:pPr>
            <w:r>
              <w:t xml:space="preserve">Maigreur extrême (IMC </w:t>
            </w:r>
            <w:r>
              <w:rPr>
                <w:rFonts w:ascii="Century Gothic" w:hAnsi="Century Gothic"/>
              </w:rPr>
              <w:t>&lt;</w:t>
            </w:r>
            <w:r>
              <w:t xml:space="preserve"> 18,5)</w:t>
            </w:r>
          </w:p>
        </w:tc>
        <w:tc>
          <w:tcPr>
            <w:tcW w:w="4178" w:type="dxa"/>
            <w:tcBorders>
              <w:left w:val="single" w:sz="4" w:space="0" w:color="FFFF00"/>
            </w:tcBorders>
            <w:shd w:val="clear" w:color="auto" w:fill="FFFF00"/>
          </w:tcPr>
          <w:p w:rsidR="00DE6A25" w:rsidRDefault="00DE6A25" w:rsidP="00AF6ADC">
            <w:pPr>
              <w:pStyle w:val="Sansinterligne"/>
              <w:numPr>
                <w:ilvl w:val="0"/>
                <w:numId w:val="1277"/>
              </w:numPr>
            </w:pPr>
            <w:r>
              <w:t>Lanugo, Signe de Russel (cal sur les jointures)</w:t>
            </w:r>
          </w:p>
          <w:p w:rsidR="00DE6A25" w:rsidRDefault="00DE6A25" w:rsidP="00AF6ADC">
            <w:pPr>
              <w:pStyle w:val="Sansinterligne"/>
              <w:numPr>
                <w:ilvl w:val="0"/>
                <w:numId w:val="1277"/>
              </w:numPr>
            </w:pPr>
            <w:r>
              <w:t>Bradycardie</w:t>
            </w:r>
          </w:p>
          <w:p w:rsidR="00DE6A25" w:rsidRPr="00D30C30" w:rsidRDefault="00DE6A25" w:rsidP="00AF6ADC">
            <w:pPr>
              <w:pStyle w:val="Sansinterligne"/>
              <w:numPr>
                <w:ilvl w:val="0"/>
                <w:numId w:val="1277"/>
              </w:numPr>
            </w:pPr>
            <w:r>
              <w:t>Altération de l’état de conscience (sévère)</w:t>
            </w:r>
          </w:p>
        </w:tc>
      </w:tr>
      <w:tr w:rsidR="00DE6A25" w:rsidRPr="00D30C30" w:rsidTr="00605223">
        <w:trPr>
          <w:cantSplit/>
          <w:trHeight w:val="420"/>
        </w:trPr>
        <w:tc>
          <w:tcPr>
            <w:tcW w:w="534" w:type="dxa"/>
            <w:vMerge/>
            <w:shd w:val="clear" w:color="auto" w:fill="FFC000"/>
            <w:textDirection w:val="btLr"/>
            <w:vAlign w:val="center"/>
          </w:tcPr>
          <w:p w:rsidR="00DE6A25" w:rsidRPr="00D30C30" w:rsidRDefault="00DE6A25" w:rsidP="00D30C30">
            <w:pPr>
              <w:pStyle w:val="Sansinterligne"/>
              <w:ind w:left="113" w:right="113"/>
              <w:jc w:val="center"/>
            </w:pPr>
          </w:p>
        </w:tc>
        <w:tc>
          <w:tcPr>
            <w:tcW w:w="2126" w:type="dxa"/>
            <w:shd w:val="clear" w:color="auto" w:fill="C2D69B" w:themeFill="accent3" w:themeFillTint="99"/>
            <w:vAlign w:val="center"/>
          </w:tcPr>
          <w:p w:rsidR="00DE6A25" w:rsidRDefault="00DE6A25" w:rsidP="00130884">
            <w:pPr>
              <w:pStyle w:val="Sansinterligne"/>
              <w:jc w:val="center"/>
            </w:pPr>
            <w:r>
              <w:t>Athlètes</w:t>
            </w:r>
          </w:p>
        </w:tc>
        <w:tc>
          <w:tcPr>
            <w:tcW w:w="8356" w:type="dxa"/>
            <w:gridSpan w:val="2"/>
            <w:shd w:val="clear" w:color="auto" w:fill="FFFF00"/>
          </w:tcPr>
          <w:p w:rsidR="00DE6A25" w:rsidRDefault="00DE6A25" w:rsidP="00AF6ADC">
            <w:pPr>
              <w:pStyle w:val="Sansinterligne"/>
              <w:numPr>
                <w:ilvl w:val="0"/>
                <w:numId w:val="1277"/>
              </w:numPr>
            </w:pPr>
            <w:r>
              <w:t>Athlètes de haut niveau, entraînements quotidiens</w:t>
            </w:r>
          </w:p>
          <w:p w:rsidR="00130884" w:rsidRDefault="00130884" w:rsidP="00AF6ADC">
            <w:pPr>
              <w:pStyle w:val="Sansinterligne"/>
              <w:numPr>
                <w:ilvl w:val="0"/>
                <w:numId w:val="1277"/>
              </w:numPr>
            </w:pPr>
            <w:r>
              <w:t>Faible masse adipeuse</w:t>
            </w:r>
          </w:p>
        </w:tc>
      </w:tr>
      <w:tr w:rsidR="00521309" w:rsidRPr="00D30C30" w:rsidTr="00FE5398">
        <w:trPr>
          <w:cantSplit/>
          <w:trHeight w:val="345"/>
        </w:trPr>
        <w:tc>
          <w:tcPr>
            <w:tcW w:w="534" w:type="dxa"/>
            <w:vMerge/>
            <w:shd w:val="clear" w:color="auto" w:fill="FFC000"/>
            <w:textDirection w:val="btLr"/>
            <w:vAlign w:val="center"/>
          </w:tcPr>
          <w:p w:rsidR="00521309" w:rsidRPr="00D30C30" w:rsidRDefault="00521309" w:rsidP="00D30C30">
            <w:pPr>
              <w:pStyle w:val="Sansinterligne"/>
              <w:ind w:left="113" w:right="113"/>
              <w:jc w:val="center"/>
            </w:pPr>
          </w:p>
        </w:tc>
        <w:tc>
          <w:tcPr>
            <w:tcW w:w="2126" w:type="dxa"/>
            <w:shd w:val="clear" w:color="auto" w:fill="C2D69B" w:themeFill="accent3" w:themeFillTint="99"/>
            <w:vAlign w:val="center"/>
          </w:tcPr>
          <w:p w:rsidR="00521309" w:rsidRDefault="00521309" w:rsidP="00521309">
            <w:pPr>
              <w:pStyle w:val="Sansinterligne"/>
              <w:jc w:val="center"/>
            </w:pPr>
            <w:r>
              <w:t>Syndrome de Kallmann</w:t>
            </w:r>
          </w:p>
        </w:tc>
        <w:tc>
          <w:tcPr>
            <w:tcW w:w="8356" w:type="dxa"/>
            <w:gridSpan w:val="2"/>
          </w:tcPr>
          <w:p w:rsidR="00521309" w:rsidRPr="00D30C30" w:rsidRDefault="00521309" w:rsidP="00D30C30">
            <w:pPr>
              <w:pStyle w:val="Sansinterligne"/>
            </w:pPr>
            <w:r>
              <w:t xml:space="preserve">Voir </w:t>
            </w:r>
            <w:r w:rsidRPr="00521309">
              <w:rPr>
                <w:i/>
              </w:rPr>
              <w:t>Aménorrhée, oligoménorrhée CMC 56-1</w:t>
            </w:r>
          </w:p>
        </w:tc>
      </w:tr>
      <w:tr w:rsidR="00D30C30" w:rsidRPr="00D30C30" w:rsidTr="00FE5398">
        <w:trPr>
          <w:cantSplit/>
          <w:trHeight w:val="487"/>
        </w:trPr>
        <w:tc>
          <w:tcPr>
            <w:tcW w:w="534" w:type="dxa"/>
            <w:vMerge w:val="restart"/>
            <w:shd w:val="clear" w:color="auto" w:fill="FFC000"/>
            <w:textDirection w:val="btLr"/>
            <w:vAlign w:val="center"/>
          </w:tcPr>
          <w:p w:rsidR="00D30C30" w:rsidRPr="00D30C30" w:rsidRDefault="00D30C30" w:rsidP="00521309">
            <w:pPr>
              <w:pStyle w:val="Sansinterligne"/>
              <w:ind w:left="113" w:right="113"/>
              <w:jc w:val="center"/>
            </w:pPr>
            <w:r w:rsidRPr="00D30C30">
              <w:t>Origine périphérique</w:t>
            </w:r>
          </w:p>
        </w:tc>
        <w:tc>
          <w:tcPr>
            <w:tcW w:w="2126" w:type="dxa"/>
            <w:shd w:val="clear" w:color="auto" w:fill="C2D69B" w:themeFill="accent3" w:themeFillTint="99"/>
            <w:vAlign w:val="center"/>
          </w:tcPr>
          <w:p w:rsidR="00D30C30" w:rsidRPr="00D30C30" w:rsidRDefault="002650EB" w:rsidP="00521309">
            <w:pPr>
              <w:pStyle w:val="Sansinterligne"/>
              <w:jc w:val="center"/>
            </w:pPr>
            <w:r>
              <w:t>Insuffisance gonadique primaire</w:t>
            </w:r>
            <w:r w:rsidR="00765BAE">
              <w:t xml:space="preserve"> / dommage gonadique</w:t>
            </w:r>
          </w:p>
        </w:tc>
        <w:tc>
          <w:tcPr>
            <w:tcW w:w="8356" w:type="dxa"/>
            <w:gridSpan w:val="2"/>
          </w:tcPr>
          <w:p w:rsidR="00D30C30" w:rsidRDefault="00765BAE" w:rsidP="00AF6ADC">
            <w:pPr>
              <w:pStyle w:val="Sansinterligne"/>
              <w:numPr>
                <w:ilvl w:val="0"/>
                <w:numId w:val="1279"/>
              </w:numPr>
            </w:pPr>
            <w:r>
              <w:t>ATCD de torsion testiculaire</w:t>
            </w:r>
          </w:p>
          <w:p w:rsidR="00765BAE" w:rsidRDefault="00765BAE" w:rsidP="00AF6ADC">
            <w:pPr>
              <w:pStyle w:val="Sansinterligne"/>
              <w:numPr>
                <w:ilvl w:val="0"/>
                <w:numId w:val="1279"/>
              </w:numPr>
              <w:rPr>
                <w:i/>
              </w:rPr>
            </w:pPr>
            <w:r>
              <w:t xml:space="preserve">Syndrome de Klinefelter </w:t>
            </w:r>
            <w:r>
              <w:rPr>
                <w:rFonts w:ascii="Century Gothic" w:hAnsi="Century Gothic"/>
              </w:rPr>
              <w:t>→</w:t>
            </w:r>
            <w:r>
              <w:t xml:space="preserve"> </w:t>
            </w:r>
            <w:r w:rsidRPr="00765BAE">
              <w:rPr>
                <w:i/>
              </w:rPr>
              <w:t>Voir Dysfonction olfactive/gustative CMC 100-1</w:t>
            </w:r>
          </w:p>
          <w:p w:rsidR="00765BAE" w:rsidRPr="00765BAE" w:rsidRDefault="00765BAE" w:rsidP="00AF6ADC">
            <w:pPr>
              <w:pStyle w:val="Sansinterligne"/>
              <w:numPr>
                <w:ilvl w:val="0"/>
                <w:numId w:val="1279"/>
              </w:numPr>
            </w:pPr>
            <w:r w:rsidRPr="00765BAE">
              <w:t>ATCD de radiothérapie</w:t>
            </w:r>
            <w:r>
              <w:t xml:space="preserve"> au niveau ovarien/testiculaire, ATCD d’orchite</w:t>
            </w:r>
          </w:p>
        </w:tc>
      </w:tr>
      <w:tr w:rsidR="00DE6A25" w:rsidRPr="00D30C30" w:rsidTr="00605223">
        <w:trPr>
          <w:cantSplit/>
          <w:trHeight w:val="487"/>
        </w:trPr>
        <w:tc>
          <w:tcPr>
            <w:tcW w:w="534" w:type="dxa"/>
            <w:vMerge/>
            <w:shd w:val="clear" w:color="auto" w:fill="FFC000"/>
            <w:textDirection w:val="btLr"/>
            <w:vAlign w:val="center"/>
          </w:tcPr>
          <w:p w:rsidR="00DE6A25" w:rsidRPr="00D30C30" w:rsidRDefault="00DE6A25" w:rsidP="00521309">
            <w:pPr>
              <w:pStyle w:val="Sansinterligne"/>
              <w:ind w:left="113" w:right="113"/>
              <w:jc w:val="center"/>
            </w:pPr>
          </w:p>
        </w:tc>
        <w:tc>
          <w:tcPr>
            <w:tcW w:w="2126" w:type="dxa"/>
            <w:shd w:val="clear" w:color="auto" w:fill="C2D69B" w:themeFill="accent3" w:themeFillTint="99"/>
            <w:vAlign w:val="center"/>
          </w:tcPr>
          <w:p w:rsidR="00DE6A25" w:rsidRPr="00D30C30" w:rsidRDefault="002650EB" w:rsidP="00521309">
            <w:pPr>
              <w:pStyle w:val="Sansinterligne"/>
              <w:jc w:val="center"/>
            </w:pPr>
            <w:r>
              <w:t>Syndrome de Turner</w:t>
            </w:r>
          </w:p>
        </w:tc>
        <w:tc>
          <w:tcPr>
            <w:tcW w:w="8356" w:type="dxa"/>
            <w:gridSpan w:val="2"/>
            <w:shd w:val="clear" w:color="auto" w:fill="FFFF00"/>
          </w:tcPr>
          <w:p w:rsidR="00DE6A25" w:rsidRPr="00D30C30" w:rsidRDefault="002650EB" w:rsidP="00D30C30">
            <w:pPr>
              <w:pStyle w:val="Sansinterligne"/>
            </w:pPr>
            <w:r>
              <w:t xml:space="preserve">Voir </w:t>
            </w:r>
            <w:r w:rsidRPr="002650EB">
              <w:rPr>
                <w:i/>
              </w:rPr>
              <w:t>Anomalies congénitales, traits dysmorphiques CMC 36-2</w:t>
            </w:r>
          </w:p>
        </w:tc>
      </w:tr>
      <w:tr w:rsidR="00765BAE" w:rsidRPr="00D30C30" w:rsidTr="00E10F64">
        <w:trPr>
          <w:cantSplit/>
          <w:trHeight w:val="408"/>
        </w:trPr>
        <w:tc>
          <w:tcPr>
            <w:tcW w:w="534" w:type="dxa"/>
            <w:vMerge/>
            <w:shd w:val="clear" w:color="auto" w:fill="FFC000"/>
          </w:tcPr>
          <w:p w:rsidR="00765BAE" w:rsidRPr="00D30C30" w:rsidRDefault="00765BAE" w:rsidP="00D30C30">
            <w:pPr>
              <w:pStyle w:val="Sansinterligne"/>
            </w:pPr>
          </w:p>
        </w:tc>
        <w:tc>
          <w:tcPr>
            <w:tcW w:w="2126" w:type="dxa"/>
            <w:shd w:val="clear" w:color="auto" w:fill="C2D69B" w:themeFill="accent3" w:themeFillTint="99"/>
            <w:vAlign w:val="center"/>
          </w:tcPr>
          <w:p w:rsidR="00765BAE" w:rsidRPr="00D30C30" w:rsidRDefault="00765BAE" w:rsidP="00521309">
            <w:pPr>
              <w:pStyle w:val="Sansinterligne"/>
              <w:jc w:val="center"/>
            </w:pPr>
            <w:r>
              <w:t>Syndrome d’insensibilité aux androgènes</w:t>
            </w:r>
          </w:p>
        </w:tc>
        <w:tc>
          <w:tcPr>
            <w:tcW w:w="4178" w:type="dxa"/>
            <w:tcBorders>
              <w:right w:val="single" w:sz="4" w:space="0" w:color="FFFF00"/>
            </w:tcBorders>
            <w:shd w:val="clear" w:color="auto" w:fill="FFFF00"/>
          </w:tcPr>
          <w:p w:rsidR="00765BAE" w:rsidRPr="00765BAE" w:rsidRDefault="00765BAE" w:rsidP="00765BAE">
            <w:pPr>
              <w:pStyle w:val="Sansinterligne"/>
              <w:rPr>
                <w:u w:val="single"/>
              </w:rPr>
            </w:pPr>
            <w:r w:rsidRPr="00765BAE">
              <w:rPr>
                <w:u w:val="single"/>
              </w:rPr>
              <w:t xml:space="preserve">Si complet : </w:t>
            </w:r>
          </w:p>
          <w:p w:rsidR="00765BAE" w:rsidRDefault="00765BAE" w:rsidP="00AF6ADC">
            <w:pPr>
              <w:pStyle w:val="Sansinterligne"/>
              <w:numPr>
                <w:ilvl w:val="0"/>
                <w:numId w:val="1280"/>
              </w:numPr>
            </w:pPr>
            <w:r>
              <w:t>Belles jeunes femmes</w:t>
            </w:r>
          </w:p>
          <w:p w:rsidR="00765BAE" w:rsidRDefault="00765BAE" w:rsidP="00AF6ADC">
            <w:pPr>
              <w:pStyle w:val="Sansinterligne"/>
              <w:numPr>
                <w:ilvl w:val="0"/>
                <w:numId w:val="1280"/>
              </w:numPr>
            </w:pPr>
            <w:r>
              <w:t>Développement mammaire normal</w:t>
            </w:r>
          </w:p>
          <w:p w:rsidR="00765BAE" w:rsidRDefault="00765BAE" w:rsidP="00AF6ADC">
            <w:pPr>
              <w:pStyle w:val="Sansinterligne"/>
              <w:numPr>
                <w:ilvl w:val="0"/>
                <w:numId w:val="1280"/>
              </w:numPr>
            </w:pPr>
            <w:r>
              <w:t xml:space="preserve">Aménorrhée primaire </w:t>
            </w:r>
          </w:p>
          <w:p w:rsidR="00765BAE" w:rsidRDefault="00765BAE" w:rsidP="00AF6ADC">
            <w:pPr>
              <w:pStyle w:val="Sansinterligne"/>
              <w:numPr>
                <w:ilvl w:val="0"/>
                <w:numId w:val="1280"/>
              </w:numPr>
            </w:pPr>
            <w:r>
              <w:t>Absence d’utérus, vagin borgne</w:t>
            </w:r>
          </w:p>
          <w:p w:rsidR="00765BAE" w:rsidRDefault="00765BAE" w:rsidP="00AF6ADC">
            <w:pPr>
              <w:pStyle w:val="Sansinterligne"/>
              <w:numPr>
                <w:ilvl w:val="0"/>
                <w:numId w:val="1280"/>
              </w:numPr>
            </w:pPr>
            <w:r>
              <w:t>Testicules présents</w:t>
            </w:r>
          </w:p>
        </w:tc>
        <w:tc>
          <w:tcPr>
            <w:tcW w:w="4178" w:type="dxa"/>
            <w:tcBorders>
              <w:left w:val="single" w:sz="4" w:space="0" w:color="FFFF00"/>
            </w:tcBorders>
            <w:shd w:val="clear" w:color="auto" w:fill="FFFF00"/>
          </w:tcPr>
          <w:p w:rsidR="00765BAE" w:rsidRPr="00765BAE" w:rsidRDefault="00765BAE" w:rsidP="00765BAE">
            <w:pPr>
              <w:pStyle w:val="Sansinterligne"/>
              <w:rPr>
                <w:u w:val="single"/>
              </w:rPr>
            </w:pPr>
            <w:r w:rsidRPr="00765BAE">
              <w:rPr>
                <w:u w:val="single"/>
              </w:rPr>
              <w:t>Incomplet :</w:t>
            </w:r>
          </w:p>
          <w:p w:rsidR="00765BAE" w:rsidRDefault="00765BAE" w:rsidP="00AF6ADC">
            <w:pPr>
              <w:pStyle w:val="Sansinterligne"/>
              <w:numPr>
                <w:ilvl w:val="0"/>
                <w:numId w:val="1280"/>
              </w:numPr>
            </w:pPr>
            <w:r>
              <w:t>Légère virilisation</w:t>
            </w:r>
          </w:p>
          <w:p w:rsidR="00765BAE" w:rsidRDefault="00765BAE" w:rsidP="00AF6ADC">
            <w:pPr>
              <w:pStyle w:val="Sansinterligne"/>
              <w:numPr>
                <w:ilvl w:val="0"/>
                <w:numId w:val="1280"/>
              </w:numPr>
            </w:pPr>
            <w:r>
              <w:t>Clitoromégalie</w:t>
            </w:r>
          </w:p>
          <w:p w:rsidR="00765BAE" w:rsidRDefault="00765BAE" w:rsidP="00AF6ADC">
            <w:pPr>
              <w:pStyle w:val="Sansinterligne"/>
              <w:numPr>
                <w:ilvl w:val="0"/>
                <w:numId w:val="1280"/>
              </w:numPr>
            </w:pPr>
            <w:r>
              <w:t>Si phénotype masculin :</w:t>
            </w:r>
          </w:p>
          <w:p w:rsidR="00765BAE" w:rsidRDefault="00765BAE" w:rsidP="00AF6ADC">
            <w:pPr>
              <w:pStyle w:val="Sansinterligne"/>
              <w:numPr>
                <w:ilvl w:val="0"/>
                <w:numId w:val="1280"/>
              </w:numPr>
            </w:pPr>
            <w:r>
              <w:t>Hypospadias</w:t>
            </w:r>
          </w:p>
          <w:p w:rsidR="00765BAE" w:rsidRPr="00D30C30" w:rsidRDefault="00765BAE" w:rsidP="00AF6ADC">
            <w:pPr>
              <w:pStyle w:val="Sansinterligne"/>
              <w:numPr>
                <w:ilvl w:val="0"/>
                <w:numId w:val="1280"/>
              </w:numPr>
            </w:pPr>
            <w:r>
              <w:t>Gynécomastie</w:t>
            </w:r>
          </w:p>
        </w:tc>
      </w:tr>
      <w:tr w:rsidR="002650EB" w:rsidRPr="00D30C30" w:rsidTr="00FE5398">
        <w:trPr>
          <w:cantSplit/>
          <w:trHeight w:val="428"/>
        </w:trPr>
        <w:tc>
          <w:tcPr>
            <w:tcW w:w="2660" w:type="dxa"/>
            <w:gridSpan w:val="2"/>
            <w:shd w:val="clear" w:color="auto" w:fill="C2D69B" w:themeFill="accent3" w:themeFillTint="99"/>
          </w:tcPr>
          <w:p w:rsidR="002650EB" w:rsidRPr="00D30C30" w:rsidRDefault="002650EB" w:rsidP="00521309">
            <w:pPr>
              <w:pStyle w:val="Sansinterligne"/>
              <w:jc w:val="center"/>
            </w:pPr>
            <w:r>
              <w:t>Causes fonctionnelles</w:t>
            </w:r>
          </w:p>
        </w:tc>
        <w:tc>
          <w:tcPr>
            <w:tcW w:w="8356" w:type="dxa"/>
            <w:gridSpan w:val="2"/>
          </w:tcPr>
          <w:p w:rsidR="002650EB" w:rsidRDefault="002650EB" w:rsidP="00AF6ADC">
            <w:pPr>
              <w:pStyle w:val="Sansinterligne"/>
              <w:numPr>
                <w:ilvl w:val="0"/>
                <w:numId w:val="1280"/>
              </w:numPr>
            </w:pPr>
            <w:r>
              <w:t>Maladies chroniques</w:t>
            </w:r>
            <w:r w:rsidR="0066543D">
              <w:t xml:space="preserve"> </w:t>
            </w:r>
            <w:r w:rsidR="0066543D">
              <w:rPr>
                <w:rFonts w:ascii="Century Gothic" w:hAnsi="Century Gothic"/>
              </w:rPr>
              <w:t>→</w:t>
            </w:r>
            <w:r w:rsidR="0066543D">
              <w:t xml:space="preserve"> perte de poids, petite taille</w:t>
            </w:r>
          </w:p>
          <w:p w:rsidR="002650EB" w:rsidRPr="00D30C30" w:rsidRDefault="002650EB" w:rsidP="00AF6ADC">
            <w:pPr>
              <w:pStyle w:val="Sansinterligne"/>
              <w:numPr>
                <w:ilvl w:val="0"/>
                <w:numId w:val="1280"/>
              </w:numPr>
            </w:pPr>
            <w:r>
              <w:t>Dénutrition</w:t>
            </w:r>
          </w:p>
        </w:tc>
      </w:tr>
    </w:tbl>
    <w:p w:rsidR="00D30C30" w:rsidRDefault="00656FAB" w:rsidP="002251B6">
      <w:pPr>
        <w:pStyle w:val="Sansinterligne"/>
        <w:rPr>
          <w:rFonts w:ascii="Arial" w:eastAsia="Times New Roman" w:hAnsi="Arial" w:cs="Arial"/>
          <w:color w:val="000000"/>
          <w:sz w:val="19"/>
          <w:szCs w:val="19"/>
          <w:lang w:eastAsia="fr-CA"/>
        </w:rPr>
      </w:pPr>
      <w:r>
        <w:rPr>
          <w:noProof/>
          <w:lang w:eastAsia="fr-CA"/>
        </w:rPr>
        <w:drawing>
          <wp:anchor distT="0" distB="0" distL="114300" distR="114300" simplePos="0" relativeHeight="252093440" behindDoc="1" locked="0" layoutInCell="1" allowOverlap="1" wp14:anchorId="6782A113" wp14:editId="196A4C84">
            <wp:simplePos x="0" y="0"/>
            <wp:positionH relativeFrom="column">
              <wp:posOffset>1984375</wp:posOffset>
            </wp:positionH>
            <wp:positionV relativeFrom="paragraph">
              <wp:posOffset>14605</wp:posOffset>
            </wp:positionV>
            <wp:extent cx="2868930" cy="1560830"/>
            <wp:effectExtent l="0" t="0" r="7620" b="1270"/>
            <wp:wrapNone/>
            <wp:docPr id="570" name="Image 570" descr="Résultats de recherche d'images pour « orchidomètre de prade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ésultats de recherche d'images pour « orchidomètre de prader »"/>
                    <pic:cNvPicPr>
                      <a:picLocks noChangeAspect="1" noChangeArrowheads="1"/>
                    </pic:cNvPicPr>
                  </pic:nvPicPr>
                  <pic:blipFill>
                    <a:blip r:embed="rId327">
                      <a:extLst>
                        <a:ext uri="{28A0092B-C50C-407E-A947-70E740481C1C}">
                          <a14:useLocalDpi xmlns:a14="http://schemas.microsoft.com/office/drawing/2010/main" val="0"/>
                        </a:ext>
                      </a:extLst>
                    </a:blip>
                    <a:srcRect/>
                    <a:stretch>
                      <a:fillRect/>
                    </a:stretch>
                  </pic:blipFill>
                  <pic:spPr bwMode="auto">
                    <a:xfrm>
                      <a:off x="0" y="0"/>
                      <a:ext cx="2868930" cy="15608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50920" w:rsidRDefault="00250920" w:rsidP="002251B6">
      <w:pPr>
        <w:pStyle w:val="Sansinterligne"/>
        <w:rPr>
          <w:rFonts w:ascii="Arial" w:eastAsia="Times New Roman" w:hAnsi="Arial" w:cs="Arial"/>
          <w:color w:val="000000"/>
          <w:sz w:val="19"/>
          <w:szCs w:val="19"/>
          <w:lang w:eastAsia="fr-CA"/>
        </w:rPr>
      </w:pPr>
    </w:p>
    <w:p w:rsidR="00250920" w:rsidRDefault="00250920" w:rsidP="002251B6">
      <w:pPr>
        <w:pStyle w:val="Sansinterligne"/>
        <w:rPr>
          <w:rFonts w:ascii="Arial" w:eastAsia="Times New Roman" w:hAnsi="Arial" w:cs="Arial"/>
          <w:color w:val="000000"/>
          <w:sz w:val="19"/>
          <w:szCs w:val="19"/>
          <w:lang w:eastAsia="fr-CA"/>
        </w:rPr>
      </w:pPr>
    </w:p>
    <w:p w:rsidR="00250920" w:rsidRDefault="00250920" w:rsidP="002251B6">
      <w:pPr>
        <w:pStyle w:val="Sansinterligne"/>
        <w:rPr>
          <w:rFonts w:ascii="Arial" w:eastAsia="Times New Roman" w:hAnsi="Arial" w:cs="Arial"/>
          <w:color w:val="000000"/>
          <w:sz w:val="19"/>
          <w:szCs w:val="19"/>
          <w:lang w:eastAsia="fr-CA"/>
        </w:rPr>
      </w:pPr>
    </w:p>
    <w:p w:rsidR="00250920" w:rsidRDefault="00250920" w:rsidP="002251B6">
      <w:pPr>
        <w:pStyle w:val="Sansinterligne"/>
        <w:rPr>
          <w:rFonts w:ascii="Arial" w:eastAsia="Times New Roman" w:hAnsi="Arial" w:cs="Arial"/>
          <w:color w:val="000000"/>
          <w:sz w:val="19"/>
          <w:szCs w:val="19"/>
          <w:lang w:eastAsia="fr-CA"/>
        </w:rPr>
      </w:pPr>
    </w:p>
    <w:p w:rsidR="00250920" w:rsidRDefault="00250920" w:rsidP="002251B6">
      <w:pPr>
        <w:pStyle w:val="Sansinterligne"/>
        <w:rPr>
          <w:rFonts w:ascii="Arial" w:eastAsia="Times New Roman" w:hAnsi="Arial" w:cs="Arial"/>
          <w:color w:val="000000"/>
          <w:sz w:val="19"/>
          <w:szCs w:val="19"/>
          <w:lang w:eastAsia="fr-CA"/>
        </w:rPr>
      </w:pPr>
    </w:p>
    <w:p w:rsidR="00250920" w:rsidRDefault="00250920" w:rsidP="002251B6">
      <w:pPr>
        <w:pStyle w:val="Sansinterligne"/>
        <w:rPr>
          <w:rFonts w:ascii="Arial" w:eastAsia="Times New Roman" w:hAnsi="Arial" w:cs="Arial"/>
          <w:color w:val="000000"/>
          <w:sz w:val="19"/>
          <w:szCs w:val="19"/>
          <w:lang w:eastAsia="fr-CA"/>
        </w:rPr>
      </w:pPr>
    </w:p>
    <w:p w:rsidR="00250920" w:rsidRDefault="00250920" w:rsidP="002251B6">
      <w:pPr>
        <w:pStyle w:val="Sansinterligne"/>
        <w:rPr>
          <w:rFonts w:ascii="Arial" w:eastAsia="Times New Roman" w:hAnsi="Arial" w:cs="Arial"/>
          <w:color w:val="000000"/>
          <w:sz w:val="19"/>
          <w:szCs w:val="19"/>
          <w:lang w:eastAsia="fr-CA"/>
        </w:rPr>
      </w:pPr>
    </w:p>
    <w:p w:rsidR="00250920" w:rsidRDefault="00250920" w:rsidP="002251B6">
      <w:pPr>
        <w:pStyle w:val="Sansinterligne"/>
        <w:rPr>
          <w:rFonts w:ascii="Arial" w:eastAsia="Times New Roman" w:hAnsi="Arial" w:cs="Arial"/>
          <w:color w:val="000000"/>
          <w:sz w:val="19"/>
          <w:szCs w:val="19"/>
          <w:lang w:eastAsia="fr-CA"/>
        </w:rPr>
      </w:pPr>
    </w:p>
    <w:p w:rsidR="00250920" w:rsidRDefault="00250920" w:rsidP="002251B6">
      <w:pPr>
        <w:pStyle w:val="Sansinterligne"/>
        <w:rPr>
          <w:rFonts w:ascii="Arial" w:eastAsia="Times New Roman" w:hAnsi="Arial" w:cs="Arial"/>
          <w:color w:val="000000"/>
          <w:sz w:val="19"/>
          <w:szCs w:val="19"/>
          <w:lang w:eastAsia="fr-CA"/>
        </w:rPr>
      </w:pPr>
    </w:p>
    <w:p w:rsidR="00250920" w:rsidRDefault="00250920" w:rsidP="002251B6">
      <w:pPr>
        <w:pStyle w:val="Sansinterligne"/>
        <w:rPr>
          <w:rFonts w:ascii="Arial" w:eastAsia="Times New Roman" w:hAnsi="Arial" w:cs="Arial"/>
          <w:color w:val="000000"/>
          <w:sz w:val="19"/>
          <w:szCs w:val="19"/>
          <w:lang w:eastAsia="fr-CA"/>
        </w:rPr>
      </w:pPr>
    </w:p>
    <w:p w:rsidR="002B1273" w:rsidRDefault="002B1273" w:rsidP="002251B6">
      <w:pPr>
        <w:pStyle w:val="Sansinterligne"/>
        <w:rPr>
          <w:rFonts w:ascii="Arial" w:eastAsia="Times New Roman" w:hAnsi="Arial" w:cs="Arial"/>
          <w:color w:val="000000"/>
          <w:sz w:val="19"/>
          <w:szCs w:val="19"/>
          <w:lang w:eastAsia="fr-CA"/>
        </w:rPr>
      </w:pPr>
    </w:p>
    <w:p w:rsidR="002B1273" w:rsidRDefault="002B1273" w:rsidP="002251B6">
      <w:pPr>
        <w:pStyle w:val="Sansinterligne"/>
        <w:rPr>
          <w:rFonts w:ascii="Arial" w:eastAsia="Times New Roman" w:hAnsi="Arial" w:cs="Arial"/>
          <w:color w:val="000000"/>
          <w:sz w:val="19"/>
          <w:szCs w:val="19"/>
          <w:lang w:eastAsia="fr-CA"/>
        </w:rPr>
      </w:pPr>
    </w:p>
    <w:p w:rsidR="002B1273" w:rsidRDefault="002B1273" w:rsidP="002251B6">
      <w:pPr>
        <w:pStyle w:val="Sansinterligne"/>
        <w:rPr>
          <w:rFonts w:ascii="Arial" w:eastAsia="Times New Roman" w:hAnsi="Arial" w:cs="Arial"/>
          <w:color w:val="000000"/>
          <w:sz w:val="19"/>
          <w:szCs w:val="19"/>
          <w:lang w:eastAsia="fr-CA"/>
        </w:rPr>
      </w:pPr>
    </w:p>
    <w:p w:rsidR="002B1273" w:rsidRDefault="002B1273" w:rsidP="002251B6">
      <w:pPr>
        <w:pStyle w:val="Sansinterligne"/>
        <w:rPr>
          <w:rFonts w:ascii="Arial" w:eastAsia="Times New Roman" w:hAnsi="Arial" w:cs="Arial"/>
          <w:color w:val="000000"/>
          <w:sz w:val="19"/>
          <w:szCs w:val="19"/>
          <w:lang w:eastAsia="fr-CA"/>
        </w:rPr>
      </w:pPr>
    </w:p>
    <w:p w:rsidR="002B1273" w:rsidRDefault="002B1273" w:rsidP="002251B6">
      <w:pPr>
        <w:pStyle w:val="Sansinterligne"/>
        <w:rPr>
          <w:rFonts w:ascii="Arial" w:eastAsia="Times New Roman" w:hAnsi="Arial" w:cs="Arial"/>
          <w:color w:val="000000"/>
          <w:sz w:val="19"/>
          <w:szCs w:val="19"/>
          <w:lang w:eastAsia="fr-CA"/>
        </w:rPr>
      </w:pPr>
    </w:p>
    <w:p w:rsidR="00250920" w:rsidRDefault="00250920" w:rsidP="002251B6">
      <w:pPr>
        <w:pStyle w:val="Sansinterligne"/>
        <w:rPr>
          <w:rFonts w:ascii="Arial" w:eastAsia="Times New Roman" w:hAnsi="Arial" w:cs="Arial"/>
          <w:color w:val="000000"/>
          <w:sz w:val="19"/>
          <w:szCs w:val="19"/>
          <w:lang w:eastAsia="fr-CA"/>
        </w:rPr>
      </w:pPr>
    </w:p>
    <w:tbl>
      <w:tblPr>
        <w:tblStyle w:val="Grilledutableau"/>
        <w:tblW w:w="0" w:type="auto"/>
        <w:tblLayout w:type="fixed"/>
        <w:tblLook w:val="04A0" w:firstRow="1" w:lastRow="0" w:firstColumn="1" w:lastColumn="0" w:noHBand="0" w:noVBand="1"/>
      </w:tblPr>
      <w:tblGrid>
        <w:gridCol w:w="534"/>
        <w:gridCol w:w="2645"/>
        <w:gridCol w:w="3918"/>
        <w:gridCol w:w="3919"/>
      </w:tblGrid>
      <w:tr w:rsidR="00077C3E" w:rsidTr="0066543D">
        <w:tc>
          <w:tcPr>
            <w:tcW w:w="11016" w:type="dxa"/>
            <w:gridSpan w:val="4"/>
            <w:shd w:val="clear" w:color="auto" w:fill="FFC000"/>
          </w:tcPr>
          <w:p w:rsidR="00077C3E" w:rsidRPr="00077C3E" w:rsidRDefault="00077C3E" w:rsidP="00077C3E">
            <w:pPr>
              <w:pStyle w:val="Sansinterligne"/>
              <w:jc w:val="center"/>
            </w:pPr>
            <w:r w:rsidRPr="00077C3E">
              <w:t>Puberté précoce</w:t>
            </w:r>
          </w:p>
        </w:tc>
      </w:tr>
      <w:tr w:rsidR="00077C3E" w:rsidTr="00250920">
        <w:trPr>
          <w:trHeight w:val="71"/>
        </w:trPr>
        <w:tc>
          <w:tcPr>
            <w:tcW w:w="3179" w:type="dxa"/>
            <w:gridSpan w:val="2"/>
            <w:shd w:val="clear" w:color="auto" w:fill="C2D69B" w:themeFill="accent3" w:themeFillTint="99"/>
          </w:tcPr>
          <w:p w:rsidR="00077C3E" w:rsidRPr="00077C3E" w:rsidRDefault="00077C3E" w:rsidP="00077C3E">
            <w:pPr>
              <w:pStyle w:val="Sansinterligne"/>
              <w:jc w:val="center"/>
            </w:pPr>
            <w:r>
              <w:t>Causes</w:t>
            </w:r>
          </w:p>
        </w:tc>
        <w:tc>
          <w:tcPr>
            <w:tcW w:w="7837" w:type="dxa"/>
            <w:gridSpan w:val="2"/>
            <w:shd w:val="clear" w:color="auto" w:fill="C2D69B" w:themeFill="accent3" w:themeFillTint="99"/>
          </w:tcPr>
          <w:p w:rsidR="00077C3E" w:rsidRPr="00077C3E" w:rsidRDefault="00077C3E" w:rsidP="00077C3E">
            <w:pPr>
              <w:pStyle w:val="Sansinterligne"/>
            </w:pPr>
            <w:r>
              <w:t>Manifestations cliniques</w:t>
            </w:r>
          </w:p>
        </w:tc>
      </w:tr>
      <w:tr w:rsidR="0066543D" w:rsidTr="00510E59">
        <w:tc>
          <w:tcPr>
            <w:tcW w:w="534" w:type="dxa"/>
            <w:vMerge w:val="restart"/>
            <w:shd w:val="clear" w:color="auto" w:fill="FFC000"/>
            <w:textDirection w:val="btLr"/>
            <w:vAlign w:val="center"/>
          </w:tcPr>
          <w:p w:rsidR="0066543D" w:rsidRPr="00077C3E" w:rsidRDefault="0066543D" w:rsidP="0066543D">
            <w:pPr>
              <w:pStyle w:val="Sansinterligne"/>
              <w:ind w:left="113" w:right="113"/>
              <w:jc w:val="center"/>
            </w:pPr>
            <w:r>
              <w:t>Origine centrale</w:t>
            </w:r>
          </w:p>
        </w:tc>
        <w:tc>
          <w:tcPr>
            <w:tcW w:w="2645" w:type="dxa"/>
            <w:shd w:val="clear" w:color="auto" w:fill="C2D69B" w:themeFill="accent3" w:themeFillTint="99"/>
            <w:vAlign w:val="center"/>
          </w:tcPr>
          <w:p w:rsidR="0066543D" w:rsidRPr="00077C3E" w:rsidRDefault="0066543D" w:rsidP="00510E59">
            <w:pPr>
              <w:pStyle w:val="Sansinterligne"/>
              <w:jc w:val="center"/>
            </w:pPr>
            <w:r>
              <w:t>Hypothyroïdie sévère</w:t>
            </w:r>
          </w:p>
        </w:tc>
        <w:tc>
          <w:tcPr>
            <w:tcW w:w="7837" w:type="dxa"/>
            <w:gridSpan w:val="2"/>
          </w:tcPr>
          <w:p w:rsidR="0066543D" w:rsidRPr="00077C3E" w:rsidRDefault="00605223" w:rsidP="00077C3E">
            <w:pPr>
              <w:pStyle w:val="Sansinterligne"/>
            </w:pPr>
            <w:r>
              <w:t xml:space="preserve">Voir </w:t>
            </w:r>
            <w:r w:rsidRPr="00605223">
              <w:rPr>
                <w:i/>
              </w:rPr>
              <w:t>Écoulement mammaire CMC 10-2</w:t>
            </w:r>
          </w:p>
        </w:tc>
      </w:tr>
      <w:tr w:rsidR="00510E59" w:rsidTr="00E10F64">
        <w:tc>
          <w:tcPr>
            <w:tcW w:w="534" w:type="dxa"/>
            <w:vMerge/>
            <w:shd w:val="clear" w:color="auto" w:fill="FFC000"/>
            <w:textDirection w:val="btLr"/>
            <w:vAlign w:val="center"/>
          </w:tcPr>
          <w:p w:rsidR="00510E59" w:rsidRPr="00077C3E" w:rsidRDefault="00510E59" w:rsidP="0066543D">
            <w:pPr>
              <w:pStyle w:val="Sansinterligne"/>
              <w:ind w:left="113" w:right="113"/>
              <w:jc w:val="center"/>
            </w:pPr>
          </w:p>
        </w:tc>
        <w:tc>
          <w:tcPr>
            <w:tcW w:w="2645" w:type="dxa"/>
            <w:shd w:val="clear" w:color="auto" w:fill="C2D69B" w:themeFill="accent3" w:themeFillTint="99"/>
            <w:vAlign w:val="center"/>
          </w:tcPr>
          <w:p w:rsidR="00510E59" w:rsidRDefault="00510E59" w:rsidP="00510E59">
            <w:pPr>
              <w:pStyle w:val="Sansinterligne"/>
              <w:jc w:val="center"/>
            </w:pPr>
            <w:r>
              <w:t>Lésion du SNC</w:t>
            </w:r>
          </w:p>
          <w:p w:rsidR="00510E59" w:rsidRPr="00077C3E" w:rsidRDefault="00510E59" w:rsidP="00510E59">
            <w:pPr>
              <w:pStyle w:val="Sansinterligne"/>
              <w:jc w:val="center"/>
            </w:pPr>
            <w:r>
              <w:t>(tumeurs, post-méningite, HTIC)</w:t>
            </w:r>
          </w:p>
        </w:tc>
        <w:tc>
          <w:tcPr>
            <w:tcW w:w="3918" w:type="dxa"/>
            <w:tcBorders>
              <w:right w:val="single" w:sz="4" w:space="0" w:color="FFFFFF" w:themeColor="background1"/>
            </w:tcBorders>
          </w:tcPr>
          <w:p w:rsidR="00510E59" w:rsidRDefault="00510E59" w:rsidP="00AF6ADC">
            <w:pPr>
              <w:pStyle w:val="Sansinterligne"/>
              <w:numPr>
                <w:ilvl w:val="0"/>
                <w:numId w:val="1290"/>
              </w:numPr>
            </w:pPr>
            <w:r>
              <w:t>Sx neurologiques focaux</w:t>
            </w:r>
          </w:p>
          <w:p w:rsidR="00510E59" w:rsidRDefault="00510E59" w:rsidP="00AF6ADC">
            <w:pPr>
              <w:pStyle w:val="Sansinterligne"/>
              <w:numPr>
                <w:ilvl w:val="0"/>
                <w:numId w:val="1290"/>
              </w:numPr>
            </w:pPr>
            <w:r>
              <w:t>ATCD de méningite</w:t>
            </w:r>
          </w:p>
        </w:tc>
        <w:tc>
          <w:tcPr>
            <w:tcW w:w="3919" w:type="dxa"/>
            <w:tcBorders>
              <w:left w:val="single" w:sz="4" w:space="0" w:color="FFFFFF" w:themeColor="background1"/>
            </w:tcBorders>
          </w:tcPr>
          <w:p w:rsidR="00510E59" w:rsidRDefault="00510E59" w:rsidP="00AF6ADC">
            <w:pPr>
              <w:pStyle w:val="Sansinterligne"/>
              <w:numPr>
                <w:ilvl w:val="0"/>
                <w:numId w:val="1290"/>
              </w:numPr>
            </w:pPr>
            <w:r>
              <w:t>Chute, incontinences urinaires</w:t>
            </w:r>
          </w:p>
          <w:p w:rsidR="00510E59" w:rsidRPr="00077C3E" w:rsidRDefault="00510E59" w:rsidP="00AF6ADC">
            <w:pPr>
              <w:pStyle w:val="Sansinterligne"/>
              <w:numPr>
                <w:ilvl w:val="0"/>
                <w:numId w:val="1290"/>
              </w:numPr>
            </w:pPr>
            <w:r>
              <w:t>Anomalies de la démarche</w:t>
            </w:r>
          </w:p>
        </w:tc>
      </w:tr>
      <w:tr w:rsidR="0066543D" w:rsidTr="00656FAB">
        <w:trPr>
          <w:trHeight w:val="71"/>
        </w:trPr>
        <w:tc>
          <w:tcPr>
            <w:tcW w:w="534" w:type="dxa"/>
            <w:vMerge/>
            <w:shd w:val="clear" w:color="auto" w:fill="FFC000"/>
            <w:textDirection w:val="btLr"/>
            <w:vAlign w:val="center"/>
          </w:tcPr>
          <w:p w:rsidR="0066543D" w:rsidRPr="00077C3E" w:rsidRDefault="0066543D" w:rsidP="0066543D">
            <w:pPr>
              <w:pStyle w:val="Sansinterligne"/>
              <w:ind w:left="113" w:right="113"/>
              <w:jc w:val="center"/>
            </w:pPr>
          </w:p>
        </w:tc>
        <w:tc>
          <w:tcPr>
            <w:tcW w:w="2645" w:type="dxa"/>
            <w:shd w:val="clear" w:color="auto" w:fill="C2D69B" w:themeFill="accent3" w:themeFillTint="99"/>
            <w:vAlign w:val="center"/>
          </w:tcPr>
          <w:p w:rsidR="0066543D" w:rsidRPr="00077C3E" w:rsidRDefault="0066543D" w:rsidP="00510E59">
            <w:pPr>
              <w:pStyle w:val="Sansinterligne"/>
              <w:jc w:val="center"/>
            </w:pPr>
            <w:r>
              <w:t>Constitutionnelle</w:t>
            </w:r>
          </w:p>
        </w:tc>
        <w:tc>
          <w:tcPr>
            <w:tcW w:w="7837" w:type="dxa"/>
            <w:gridSpan w:val="2"/>
            <w:shd w:val="clear" w:color="auto" w:fill="FFFF00"/>
          </w:tcPr>
          <w:p w:rsidR="0066543D" w:rsidRPr="00077C3E" w:rsidRDefault="0066543D" w:rsidP="00AF6ADC">
            <w:pPr>
              <w:pStyle w:val="Sansinterligne"/>
              <w:numPr>
                <w:ilvl w:val="0"/>
                <w:numId w:val="1289"/>
              </w:numPr>
            </w:pPr>
            <w:r>
              <w:t>Histoire de puberté précoce familiale</w:t>
            </w:r>
          </w:p>
        </w:tc>
      </w:tr>
      <w:tr w:rsidR="00656FAB" w:rsidTr="00E10F64">
        <w:tc>
          <w:tcPr>
            <w:tcW w:w="534" w:type="dxa"/>
            <w:vMerge w:val="restart"/>
            <w:shd w:val="clear" w:color="auto" w:fill="FFC000"/>
            <w:textDirection w:val="btLr"/>
            <w:vAlign w:val="center"/>
          </w:tcPr>
          <w:p w:rsidR="00656FAB" w:rsidRPr="00077C3E" w:rsidRDefault="00656FAB" w:rsidP="0066543D">
            <w:pPr>
              <w:pStyle w:val="Sansinterligne"/>
              <w:ind w:left="113" w:right="113"/>
              <w:jc w:val="center"/>
            </w:pPr>
            <w:r>
              <w:t>Origine périphérique</w:t>
            </w:r>
          </w:p>
        </w:tc>
        <w:tc>
          <w:tcPr>
            <w:tcW w:w="2645" w:type="dxa"/>
            <w:shd w:val="clear" w:color="auto" w:fill="C2D69B" w:themeFill="accent3" w:themeFillTint="99"/>
            <w:vAlign w:val="center"/>
          </w:tcPr>
          <w:p w:rsidR="00656FAB" w:rsidRPr="00077C3E" w:rsidRDefault="00656FAB" w:rsidP="00510E59">
            <w:pPr>
              <w:pStyle w:val="Sansinterligne"/>
              <w:jc w:val="center"/>
            </w:pPr>
            <w:r>
              <w:t>Hyperplasie congénitale des surrénales</w:t>
            </w:r>
            <w:r w:rsidR="00A30EBF">
              <w:t xml:space="preserve"> (HCS)</w:t>
            </w:r>
          </w:p>
        </w:tc>
        <w:tc>
          <w:tcPr>
            <w:tcW w:w="3918" w:type="dxa"/>
            <w:tcBorders>
              <w:right w:val="single" w:sz="4" w:space="0" w:color="FFFF00"/>
            </w:tcBorders>
            <w:shd w:val="clear" w:color="auto" w:fill="FFFF00"/>
          </w:tcPr>
          <w:p w:rsidR="00656FAB" w:rsidRDefault="00656FAB" w:rsidP="00AF6ADC">
            <w:pPr>
              <w:pStyle w:val="Sansinterligne"/>
              <w:numPr>
                <w:ilvl w:val="0"/>
                <w:numId w:val="1287"/>
              </w:numPr>
            </w:pPr>
            <w:r>
              <w:t>Croissance rapide, grande taille</w:t>
            </w:r>
          </w:p>
          <w:p w:rsidR="00656FAB" w:rsidRPr="001D5865" w:rsidRDefault="00656FAB" w:rsidP="00AF6ADC">
            <w:pPr>
              <w:pStyle w:val="Sansinterligne"/>
              <w:numPr>
                <w:ilvl w:val="0"/>
                <w:numId w:val="1287"/>
              </w:numPr>
            </w:pPr>
            <w:r>
              <w:t>Acné</w:t>
            </w:r>
            <w:r>
              <w:rPr>
                <w:rFonts w:ascii="Century Gothic" w:hAnsi="Century Gothic"/>
              </w:rPr>
              <w:t xml:space="preserve"> </w:t>
            </w:r>
          </w:p>
        </w:tc>
        <w:tc>
          <w:tcPr>
            <w:tcW w:w="3919" w:type="dxa"/>
            <w:tcBorders>
              <w:left w:val="single" w:sz="4" w:space="0" w:color="FFFF00"/>
            </w:tcBorders>
            <w:shd w:val="clear" w:color="auto" w:fill="FFFF00"/>
          </w:tcPr>
          <w:p w:rsidR="00656FAB" w:rsidRDefault="00656FAB" w:rsidP="00AF6ADC">
            <w:pPr>
              <w:pStyle w:val="Sansinterligne"/>
              <w:numPr>
                <w:ilvl w:val="0"/>
                <w:numId w:val="1287"/>
              </w:numPr>
            </w:pPr>
            <w:r>
              <w:t>Puberté et pilosité MAIS</w:t>
            </w:r>
          </w:p>
          <w:p w:rsidR="00656FAB" w:rsidRPr="00077C3E" w:rsidRDefault="00656FAB" w:rsidP="00AF6ADC">
            <w:pPr>
              <w:pStyle w:val="Sansinterligne"/>
              <w:numPr>
                <w:ilvl w:val="0"/>
                <w:numId w:val="1287"/>
              </w:numPr>
            </w:pPr>
            <w:r>
              <w:rPr>
                <w:rFonts w:ascii="Century Gothic" w:hAnsi="Century Gothic"/>
              </w:rPr>
              <w:t>♂ </w:t>
            </w:r>
            <w:r>
              <w:t>: absence d’</w:t>
            </w:r>
            <w:r>
              <w:rPr>
                <w:rFonts w:ascii="Century Gothic" w:hAnsi="Century Gothic"/>
              </w:rPr>
              <w:t>↑</w:t>
            </w:r>
            <w:r>
              <w:t xml:space="preserve"> taille testiculaire</w:t>
            </w:r>
          </w:p>
        </w:tc>
      </w:tr>
      <w:tr w:rsidR="00656FAB" w:rsidTr="00E10F64">
        <w:tc>
          <w:tcPr>
            <w:tcW w:w="534" w:type="dxa"/>
            <w:vMerge/>
            <w:shd w:val="clear" w:color="auto" w:fill="FFC000"/>
          </w:tcPr>
          <w:p w:rsidR="00656FAB" w:rsidRPr="00077C3E" w:rsidRDefault="00656FAB" w:rsidP="00077C3E">
            <w:pPr>
              <w:pStyle w:val="Sansinterligne"/>
            </w:pPr>
          </w:p>
        </w:tc>
        <w:tc>
          <w:tcPr>
            <w:tcW w:w="2645" w:type="dxa"/>
            <w:shd w:val="clear" w:color="auto" w:fill="C2D69B" w:themeFill="accent3" w:themeFillTint="99"/>
            <w:vAlign w:val="center"/>
          </w:tcPr>
          <w:p w:rsidR="00656FAB" w:rsidRPr="00077C3E" w:rsidRDefault="00656FAB" w:rsidP="00510E59">
            <w:pPr>
              <w:pStyle w:val="Sansinterligne"/>
              <w:jc w:val="center"/>
            </w:pPr>
            <w:r>
              <w:t>Tumeur ovarienne/testiculaire</w:t>
            </w:r>
          </w:p>
        </w:tc>
        <w:tc>
          <w:tcPr>
            <w:tcW w:w="3918" w:type="dxa"/>
            <w:tcBorders>
              <w:right w:val="single" w:sz="4" w:space="0" w:color="FFFFFF" w:themeColor="background1"/>
            </w:tcBorders>
          </w:tcPr>
          <w:p w:rsidR="00656FAB" w:rsidRDefault="00656FAB" w:rsidP="00AF6ADC">
            <w:pPr>
              <w:pStyle w:val="Sansinterligne"/>
              <w:numPr>
                <w:ilvl w:val="0"/>
                <w:numId w:val="1288"/>
              </w:numPr>
            </w:pPr>
            <w:r>
              <w:t>Masse pelvienne asymptomatique à l’examen gynéco (</w:t>
            </w:r>
            <w:r>
              <w:rPr>
                <w:rFonts w:ascii="Century Gothic" w:hAnsi="Century Gothic"/>
              </w:rPr>
              <w:t>♀</w:t>
            </w:r>
            <w:r>
              <w:t>)</w:t>
            </w:r>
          </w:p>
          <w:p w:rsidR="00656FAB" w:rsidRDefault="00656FAB" w:rsidP="00AF6ADC">
            <w:pPr>
              <w:pStyle w:val="Sansinterligne"/>
              <w:numPr>
                <w:ilvl w:val="0"/>
                <w:numId w:val="1288"/>
              </w:numPr>
            </w:pPr>
            <w:r>
              <w:t>Ménarche précoce</w:t>
            </w:r>
          </w:p>
        </w:tc>
        <w:tc>
          <w:tcPr>
            <w:tcW w:w="3919" w:type="dxa"/>
            <w:tcBorders>
              <w:left w:val="single" w:sz="4" w:space="0" w:color="FFFFFF" w:themeColor="background1"/>
            </w:tcBorders>
          </w:tcPr>
          <w:p w:rsidR="00656FAB" w:rsidRDefault="00656FAB" w:rsidP="00AF6ADC">
            <w:pPr>
              <w:pStyle w:val="Sansinterligne"/>
              <w:numPr>
                <w:ilvl w:val="0"/>
                <w:numId w:val="1288"/>
              </w:numPr>
            </w:pPr>
            <w:r>
              <w:rPr>
                <w:rFonts w:ascii="Century Gothic" w:hAnsi="Century Gothic"/>
              </w:rPr>
              <w:t>↑</w:t>
            </w:r>
            <w:r>
              <w:t xml:space="preserve"> taille asymétrique des testicules</w:t>
            </w:r>
          </w:p>
          <w:p w:rsidR="00656FAB" w:rsidRPr="00077C3E" w:rsidRDefault="00656FAB" w:rsidP="00AF6ADC">
            <w:pPr>
              <w:pStyle w:val="Sansinterligne"/>
              <w:numPr>
                <w:ilvl w:val="0"/>
                <w:numId w:val="1288"/>
              </w:numPr>
            </w:pPr>
            <w:r>
              <w:t>Pilosité en progression (</w:t>
            </w:r>
            <w:r>
              <w:rPr>
                <w:rFonts w:ascii="Century Gothic" w:hAnsi="Century Gothic"/>
              </w:rPr>
              <w:t>♀</w:t>
            </w:r>
            <w:r>
              <w:t xml:space="preserve"> et </w:t>
            </w:r>
            <w:r>
              <w:rPr>
                <w:rFonts w:ascii="Century Gothic" w:hAnsi="Century Gothic"/>
              </w:rPr>
              <w:t>♂</w:t>
            </w:r>
            <w:r>
              <w:t>) – puberté précoce</w:t>
            </w:r>
          </w:p>
        </w:tc>
      </w:tr>
      <w:tr w:rsidR="001D5865" w:rsidTr="00E10F64">
        <w:tc>
          <w:tcPr>
            <w:tcW w:w="534" w:type="dxa"/>
            <w:vMerge/>
            <w:shd w:val="clear" w:color="auto" w:fill="FFC000"/>
          </w:tcPr>
          <w:p w:rsidR="001D5865" w:rsidRPr="00077C3E" w:rsidRDefault="001D5865" w:rsidP="00077C3E">
            <w:pPr>
              <w:pStyle w:val="Sansinterligne"/>
            </w:pPr>
          </w:p>
        </w:tc>
        <w:tc>
          <w:tcPr>
            <w:tcW w:w="2645" w:type="dxa"/>
            <w:shd w:val="clear" w:color="auto" w:fill="C2D69B" w:themeFill="accent3" w:themeFillTint="99"/>
            <w:vAlign w:val="center"/>
          </w:tcPr>
          <w:p w:rsidR="001D5865" w:rsidRDefault="001D5865" w:rsidP="00510E59">
            <w:pPr>
              <w:pStyle w:val="Sansinterligne"/>
              <w:jc w:val="center"/>
            </w:pPr>
            <w:r>
              <w:t>Kystes ovariens</w:t>
            </w:r>
          </w:p>
        </w:tc>
        <w:tc>
          <w:tcPr>
            <w:tcW w:w="7837" w:type="dxa"/>
            <w:gridSpan w:val="2"/>
            <w:shd w:val="clear" w:color="auto" w:fill="FFFF00"/>
          </w:tcPr>
          <w:p w:rsidR="001D5865" w:rsidRDefault="001D5865" w:rsidP="00AF6ADC">
            <w:pPr>
              <w:pStyle w:val="Sansinterligne"/>
              <w:numPr>
                <w:ilvl w:val="0"/>
                <w:numId w:val="1286"/>
              </w:numPr>
            </w:pPr>
            <w:r>
              <w:rPr>
                <w:rFonts w:ascii="Century Gothic" w:hAnsi="Century Gothic"/>
              </w:rPr>
              <w:t>↑</w:t>
            </w:r>
            <w:r>
              <w:t xml:space="preserve"> taille des seins</w:t>
            </w:r>
          </w:p>
          <w:p w:rsidR="001D5865" w:rsidRDefault="001D5865" w:rsidP="00AF6ADC">
            <w:pPr>
              <w:pStyle w:val="Sansinterligne"/>
              <w:numPr>
                <w:ilvl w:val="0"/>
                <w:numId w:val="1286"/>
              </w:numPr>
            </w:pPr>
            <w:r>
              <w:t>Suivi de quelques ménorrhées</w:t>
            </w:r>
          </w:p>
          <w:p w:rsidR="001D5865" w:rsidRPr="00077C3E" w:rsidRDefault="001D5865" w:rsidP="00AF6ADC">
            <w:pPr>
              <w:pStyle w:val="Sansinterligne"/>
              <w:numPr>
                <w:ilvl w:val="0"/>
                <w:numId w:val="1286"/>
              </w:numPr>
            </w:pPr>
            <w:r>
              <w:t>Puis régression</w:t>
            </w:r>
          </w:p>
        </w:tc>
      </w:tr>
      <w:tr w:rsidR="0066543D" w:rsidTr="00E10F64">
        <w:tc>
          <w:tcPr>
            <w:tcW w:w="534" w:type="dxa"/>
            <w:vMerge/>
            <w:shd w:val="clear" w:color="auto" w:fill="FFC000"/>
          </w:tcPr>
          <w:p w:rsidR="0066543D" w:rsidRPr="00077C3E" w:rsidRDefault="0066543D" w:rsidP="00077C3E">
            <w:pPr>
              <w:pStyle w:val="Sansinterligne"/>
            </w:pPr>
          </w:p>
        </w:tc>
        <w:tc>
          <w:tcPr>
            <w:tcW w:w="2645" w:type="dxa"/>
            <w:shd w:val="clear" w:color="auto" w:fill="C2D69B" w:themeFill="accent3" w:themeFillTint="99"/>
            <w:vAlign w:val="center"/>
          </w:tcPr>
          <w:p w:rsidR="0066543D" w:rsidRPr="00077C3E" w:rsidRDefault="0066543D" w:rsidP="00510E59">
            <w:pPr>
              <w:pStyle w:val="Sansinterligne"/>
              <w:jc w:val="center"/>
            </w:pPr>
            <w:r>
              <w:t>Corticostéroïdes exogènes</w:t>
            </w:r>
          </w:p>
        </w:tc>
        <w:tc>
          <w:tcPr>
            <w:tcW w:w="7837" w:type="dxa"/>
            <w:gridSpan w:val="2"/>
            <w:shd w:val="clear" w:color="auto" w:fill="FFFF00"/>
          </w:tcPr>
          <w:p w:rsidR="0066543D" w:rsidRDefault="001D5865" w:rsidP="00AF6ADC">
            <w:pPr>
              <w:pStyle w:val="Sansinterligne"/>
              <w:numPr>
                <w:ilvl w:val="0"/>
                <w:numId w:val="1286"/>
              </w:numPr>
            </w:pPr>
            <w:r>
              <w:t>Histoire de prise de corticostéroïdes</w:t>
            </w:r>
          </w:p>
          <w:p w:rsidR="001D5865" w:rsidRDefault="001D5865" w:rsidP="00AF6ADC">
            <w:pPr>
              <w:pStyle w:val="Sansinterligne"/>
              <w:numPr>
                <w:ilvl w:val="0"/>
                <w:numId w:val="1286"/>
              </w:numPr>
            </w:pPr>
            <w:r>
              <w:t>Pilosité en augmentation</w:t>
            </w:r>
          </w:p>
          <w:p w:rsidR="001D5865" w:rsidRPr="00077C3E" w:rsidRDefault="001D5865" w:rsidP="00AF6ADC">
            <w:pPr>
              <w:pStyle w:val="Sansinterligne"/>
              <w:numPr>
                <w:ilvl w:val="0"/>
                <w:numId w:val="1286"/>
              </w:numPr>
            </w:pPr>
            <w:r>
              <w:t>Parfois retard de croissance</w:t>
            </w:r>
          </w:p>
        </w:tc>
      </w:tr>
      <w:tr w:rsidR="0066543D" w:rsidTr="00E10F64">
        <w:tc>
          <w:tcPr>
            <w:tcW w:w="3179" w:type="dxa"/>
            <w:gridSpan w:val="2"/>
            <w:shd w:val="clear" w:color="auto" w:fill="C2D69B" w:themeFill="accent3" w:themeFillTint="99"/>
            <w:vAlign w:val="center"/>
          </w:tcPr>
          <w:p w:rsidR="0066543D" w:rsidRPr="00077C3E" w:rsidRDefault="0066543D" w:rsidP="00510E59">
            <w:pPr>
              <w:pStyle w:val="Sansinterligne"/>
              <w:jc w:val="center"/>
            </w:pPr>
            <w:r>
              <w:t>Idiopathique</w:t>
            </w:r>
          </w:p>
        </w:tc>
        <w:tc>
          <w:tcPr>
            <w:tcW w:w="7837" w:type="dxa"/>
            <w:gridSpan w:val="2"/>
            <w:shd w:val="clear" w:color="auto" w:fill="FFFF00"/>
          </w:tcPr>
          <w:p w:rsidR="0066543D" w:rsidRPr="00077C3E" w:rsidRDefault="001D5865" w:rsidP="00AF6ADC">
            <w:pPr>
              <w:pStyle w:val="Sansinterligne"/>
              <w:numPr>
                <w:ilvl w:val="0"/>
                <w:numId w:val="1286"/>
              </w:numPr>
            </w:pPr>
            <w:r>
              <w:t>Aucune cause identifiable</w:t>
            </w:r>
          </w:p>
        </w:tc>
      </w:tr>
    </w:tbl>
    <w:p w:rsidR="00224A50" w:rsidRPr="00632854" w:rsidRDefault="00656FAB" w:rsidP="002251B6">
      <w:pPr>
        <w:pStyle w:val="Sansinterligne"/>
        <w:rPr>
          <w:b/>
          <w:sz w:val="28"/>
          <w:szCs w:val="28"/>
        </w:rPr>
      </w:pPr>
      <w:r w:rsidRPr="00632854">
        <w:rPr>
          <w:b/>
          <w:sz w:val="28"/>
          <w:szCs w:val="28"/>
        </w:rPr>
        <w:t>Investigations</w:t>
      </w:r>
    </w:p>
    <w:p w:rsidR="00656FAB" w:rsidRDefault="00656FAB" w:rsidP="002251B6">
      <w:pPr>
        <w:pStyle w:val="Sansinterligne"/>
      </w:pPr>
    </w:p>
    <w:p w:rsidR="00632854" w:rsidRPr="00004444" w:rsidRDefault="00632854" w:rsidP="002251B6">
      <w:pPr>
        <w:pStyle w:val="Sansinterligne"/>
        <w:rPr>
          <w:b/>
          <w:sz w:val="16"/>
          <w:szCs w:val="16"/>
        </w:rPr>
        <w:sectPr w:rsidR="00632854" w:rsidRPr="00004444" w:rsidSect="00217865">
          <w:type w:val="continuous"/>
          <w:pgSz w:w="12240" w:h="15840"/>
          <w:pgMar w:top="720" w:right="720" w:bottom="720" w:left="720" w:header="708" w:footer="708" w:gutter="0"/>
          <w:cols w:space="708"/>
          <w:docGrid w:linePitch="360"/>
        </w:sectPr>
      </w:pPr>
    </w:p>
    <w:p w:rsidR="00656FAB" w:rsidRPr="00656FAB" w:rsidRDefault="00656FAB" w:rsidP="002251B6">
      <w:pPr>
        <w:pStyle w:val="Sansinterligne"/>
        <w:rPr>
          <w:b/>
        </w:rPr>
      </w:pPr>
      <w:r w:rsidRPr="00656FAB">
        <w:rPr>
          <w:b/>
        </w:rPr>
        <w:t>Retard pubertaire</w:t>
      </w:r>
    </w:p>
    <w:p w:rsidR="00656FAB" w:rsidRDefault="00656FAB" w:rsidP="00AF6ADC">
      <w:pPr>
        <w:pStyle w:val="Sansinterligne"/>
        <w:numPr>
          <w:ilvl w:val="0"/>
          <w:numId w:val="1291"/>
        </w:numPr>
      </w:pPr>
      <w:r>
        <w:t>FSC, créatinine, VS, SMU (exclure maladie chronique)</w:t>
      </w:r>
    </w:p>
    <w:p w:rsidR="00656FAB" w:rsidRPr="00656FAB" w:rsidRDefault="00656FAB" w:rsidP="00AF6ADC">
      <w:pPr>
        <w:pStyle w:val="Sansinterligne"/>
        <w:numPr>
          <w:ilvl w:val="0"/>
          <w:numId w:val="1291"/>
        </w:numPr>
        <w:rPr>
          <w:highlight w:val="yellow"/>
        </w:rPr>
      </w:pPr>
      <w:r w:rsidRPr="00656FAB">
        <w:rPr>
          <w:highlight w:val="yellow"/>
        </w:rPr>
        <w:t>Âge osseux (dans tous les cas)</w:t>
      </w:r>
    </w:p>
    <w:p w:rsidR="00656FAB" w:rsidRPr="00656FAB" w:rsidRDefault="00656FAB" w:rsidP="00AF6ADC">
      <w:pPr>
        <w:pStyle w:val="Sansinterligne"/>
        <w:numPr>
          <w:ilvl w:val="0"/>
          <w:numId w:val="1291"/>
        </w:numPr>
        <w:rPr>
          <w:highlight w:val="yellow"/>
        </w:rPr>
      </w:pPr>
      <w:r w:rsidRPr="00656FAB">
        <w:rPr>
          <w:highlight w:val="yellow"/>
        </w:rPr>
        <w:t>TSH, T</w:t>
      </w:r>
      <w:r w:rsidRPr="00632854">
        <w:rPr>
          <w:highlight w:val="yellow"/>
          <w:vertAlign w:val="subscript"/>
        </w:rPr>
        <w:t>4</w:t>
      </w:r>
      <w:r w:rsidRPr="00656FAB">
        <w:rPr>
          <w:highlight w:val="yellow"/>
        </w:rPr>
        <w:t xml:space="preserve"> (hypothyroïdie, hyperprolactinémie)</w:t>
      </w:r>
    </w:p>
    <w:p w:rsidR="00656FAB" w:rsidRPr="00656FAB" w:rsidRDefault="00656FAB" w:rsidP="00AF6ADC">
      <w:pPr>
        <w:pStyle w:val="Sansinterligne"/>
        <w:numPr>
          <w:ilvl w:val="0"/>
          <w:numId w:val="1291"/>
        </w:numPr>
        <w:rPr>
          <w:highlight w:val="yellow"/>
        </w:rPr>
      </w:pPr>
      <w:r w:rsidRPr="00656FAB">
        <w:rPr>
          <w:highlight w:val="yellow"/>
        </w:rPr>
        <w:t>LH, FSH, testostérones, estradiol</w:t>
      </w:r>
    </w:p>
    <w:p w:rsidR="00656FAB" w:rsidRPr="00656FAB" w:rsidRDefault="00656FAB" w:rsidP="00656FAB">
      <w:pPr>
        <w:pStyle w:val="Sansinterligne"/>
        <w:rPr>
          <w:highlight w:val="yellow"/>
        </w:rPr>
      </w:pPr>
      <w:r w:rsidRPr="00656FAB">
        <w:rPr>
          <w:highlight w:val="yellow"/>
          <w:u w:val="single"/>
        </w:rPr>
        <w:t>Si LH, FSH</w:t>
      </w:r>
      <w:r w:rsidRPr="00656FAB">
        <w:rPr>
          <w:highlight w:val="yellow"/>
        </w:rPr>
        <w:t xml:space="preserve"> </w:t>
      </w:r>
      <w:r w:rsidRPr="00656FAB">
        <w:rPr>
          <w:rFonts w:ascii="Century Gothic" w:hAnsi="Century Gothic"/>
          <w:highlight w:val="yellow"/>
        </w:rPr>
        <w:t>↑ </w:t>
      </w:r>
      <w:r w:rsidRPr="00656FAB">
        <w:rPr>
          <w:highlight w:val="yellow"/>
        </w:rPr>
        <w:t>:</w:t>
      </w:r>
    </w:p>
    <w:p w:rsidR="00656FAB" w:rsidRPr="00656FAB" w:rsidRDefault="00656FAB" w:rsidP="00AF6ADC">
      <w:pPr>
        <w:pStyle w:val="Sansinterligne"/>
        <w:numPr>
          <w:ilvl w:val="0"/>
          <w:numId w:val="1291"/>
        </w:numPr>
        <w:rPr>
          <w:highlight w:val="yellow"/>
        </w:rPr>
      </w:pPr>
      <w:r w:rsidRPr="00656FAB">
        <w:rPr>
          <w:highlight w:val="yellow"/>
        </w:rPr>
        <w:t>Il faut faire un caryotype (Turner, Klinefelter)</w:t>
      </w:r>
    </w:p>
    <w:p w:rsidR="00656FAB" w:rsidRPr="00656FAB" w:rsidRDefault="00656FAB" w:rsidP="00656FAB">
      <w:pPr>
        <w:pStyle w:val="Sansinterligne"/>
        <w:rPr>
          <w:highlight w:val="yellow"/>
          <w:u w:val="single"/>
        </w:rPr>
      </w:pPr>
      <w:r w:rsidRPr="00656FAB">
        <w:rPr>
          <w:highlight w:val="yellow"/>
          <w:u w:val="single"/>
        </w:rPr>
        <w:t>Si génotype masculin (XY)</w:t>
      </w:r>
    </w:p>
    <w:p w:rsidR="00656FAB" w:rsidRPr="00656FAB" w:rsidRDefault="00656FAB" w:rsidP="00AF6ADC">
      <w:pPr>
        <w:pStyle w:val="Sansinterligne"/>
        <w:numPr>
          <w:ilvl w:val="0"/>
          <w:numId w:val="1291"/>
        </w:numPr>
        <w:rPr>
          <w:highlight w:val="yellow"/>
        </w:rPr>
      </w:pPr>
      <w:r w:rsidRPr="00656FAB">
        <w:rPr>
          <w:highlight w:val="yellow"/>
        </w:rPr>
        <w:t>Échographie pelvienne (présence de testicules, cryptorchidie)</w:t>
      </w:r>
    </w:p>
    <w:p w:rsidR="00656FAB" w:rsidRDefault="00656FAB" w:rsidP="00AF6ADC">
      <w:pPr>
        <w:pStyle w:val="Sansinterligne"/>
        <w:numPr>
          <w:ilvl w:val="0"/>
          <w:numId w:val="1291"/>
        </w:numPr>
      </w:pPr>
      <w:r>
        <w:t>IRM cérébral PRN</w:t>
      </w:r>
      <w:r w:rsidR="003D7750">
        <w:t xml:space="preserve"> (prolactinome, tumeurs)</w:t>
      </w:r>
    </w:p>
    <w:p w:rsidR="00632854" w:rsidRDefault="00632854" w:rsidP="002251B6">
      <w:pPr>
        <w:pStyle w:val="Sansinterligne"/>
        <w:rPr>
          <w:sz w:val="16"/>
          <w:szCs w:val="16"/>
        </w:rPr>
      </w:pPr>
    </w:p>
    <w:p w:rsidR="00EF7ABE" w:rsidRPr="00EF7ABE" w:rsidRDefault="00EF7ABE" w:rsidP="002251B6">
      <w:pPr>
        <w:pStyle w:val="Sansinterligne"/>
        <w:rPr>
          <w:sz w:val="10"/>
          <w:szCs w:val="10"/>
        </w:rPr>
      </w:pPr>
    </w:p>
    <w:p w:rsidR="00EF7ABE" w:rsidRPr="00004444" w:rsidRDefault="00EF7ABE" w:rsidP="002251B6">
      <w:pPr>
        <w:pStyle w:val="Sansinterligne"/>
        <w:rPr>
          <w:sz w:val="16"/>
          <w:szCs w:val="16"/>
        </w:rPr>
      </w:pPr>
    </w:p>
    <w:p w:rsidR="00656FAB" w:rsidRPr="003D7750" w:rsidRDefault="00656FAB" w:rsidP="002251B6">
      <w:pPr>
        <w:pStyle w:val="Sansinterligne"/>
        <w:rPr>
          <w:b/>
        </w:rPr>
      </w:pPr>
      <w:r w:rsidRPr="003D7750">
        <w:rPr>
          <w:b/>
        </w:rPr>
        <w:t>Puberté précoce</w:t>
      </w:r>
    </w:p>
    <w:p w:rsidR="00224A50" w:rsidRPr="00632854" w:rsidRDefault="00632854" w:rsidP="00AF6ADC">
      <w:pPr>
        <w:pStyle w:val="Sansinterligne"/>
        <w:numPr>
          <w:ilvl w:val="0"/>
          <w:numId w:val="1292"/>
        </w:numPr>
        <w:rPr>
          <w:highlight w:val="yellow"/>
        </w:rPr>
      </w:pPr>
      <w:r w:rsidRPr="00632854">
        <w:rPr>
          <w:highlight w:val="yellow"/>
        </w:rPr>
        <w:t>Âge</w:t>
      </w:r>
      <w:r w:rsidR="00A30EBF" w:rsidRPr="00632854">
        <w:rPr>
          <w:highlight w:val="yellow"/>
        </w:rPr>
        <w:t xml:space="preserve"> osseux</w:t>
      </w:r>
    </w:p>
    <w:p w:rsidR="00A30EBF" w:rsidRDefault="00A30EBF" w:rsidP="00AF6ADC">
      <w:pPr>
        <w:pStyle w:val="Sansinterligne"/>
        <w:numPr>
          <w:ilvl w:val="0"/>
          <w:numId w:val="1292"/>
        </w:numPr>
      </w:pPr>
      <w:r>
        <w:t>LH, FSH, testostérone, estradiol</w:t>
      </w:r>
      <w:r w:rsidR="00632854">
        <w:t xml:space="preserve"> </w:t>
      </w:r>
    </w:p>
    <w:p w:rsidR="00EF7ABE" w:rsidRPr="00F35535" w:rsidRDefault="00EF7ABE" w:rsidP="00AF6ADC">
      <w:pPr>
        <w:pStyle w:val="Sansinterligne"/>
        <w:numPr>
          <w:ilvl w:val="0"/>
          <w:numId w:val="1292"/>
        </w:numPr>
        <w:rPr>
          <w:highlight w:val="yellow"/>
        </w:rPr>
      </w:pPr>
      <w:r w:rsidRPr="00F35535">
        <w:rPr>
          <w:highlight w:val="yellow"/>
        </w:rPr>
        <w:t xml:space="preserve">Test au </w:t>
      </w:r>
      <w:r w:rsidR="00CB570B">
        <w:rPr>
          <w:highlight w:val="yellow"/>
        </w:rPr>
        <w:t>LHRH</w:t>
      </w:r>
    </w:p>
    <w:p w:rsidR="00EF7ABE" w:rsidRPr="00F35535" w:rsidRDefault="00EF7ABE" w:rsidP="00AF6ADC">
      <w:pPr>
        <w:pStyle w:val="Sansinterligne"/>
        <w:numPr>
          <w:ilvl w:val="1"/>
          <w:numId w:val="1292"/>
        </w:numPr>
        <w:rPr>
          <w:highlight w:val="yellow"/>
        </w:rPr>
      </w:pPr>
      <w:r w:rsidRPr="00F35535">
        <w:rPr>
          <w:rFonts w:cs="Times New Roman"/>
          <w:highlight w:val="yellow"/>
        </w:rPr>
        <w:t>∆</w:t>
      </w:r>
      <w:r w:rsidRPr="00F35535">
        <w:rPr>
          <w:highlight w:val="yellow"/>
        </w:rPr>
        <w:t>LH</w:t>
      </w:r>
      <w:r w:rsidRPr="00F35535">
        <w:rPr>
          <w:rFonts w:ascii="Century Gothic" w:hAnsi="Century Gothic"/>
          <w:highlight w:val="yellow"/>
        </w:rPr>
        <w:t>&gt;</w:t>
      </w:r>
      <w:r w:rsidRPr="00F35535">
        <w:rPr>
          <w:rFonts w:cs="Times New Roman"/>
          <w:highlight w:val="yellow"/>
        </w:rPr>
        <w:t>∆</w:t>
      </w:r>
      <w:r w:rsidRPr="00F35535">
        <w:rPr>
          <w:highlight w:val="yellow"/>
        </w:rPr>
        <w:t xml:space="preserve">FSH (centrale) </w:t>
      </w:r>
    </w:p>
    <w:p w:rsidR="00EF7ABE" w:rsidRPr="00F35535" w:rsidRDefault="00EF7ABE" w:rsidP="00AF6ADC">
      <w:pPr>
        <w:pStyle w:val="Sansinterligne"/>
        <w:numPr>
          <w:ilvl w:val="1"/>
          <w:numId w:val="1292"/>
        </w:numPr>
        <w:rPr>
          <w:highlight w:val="yellow"/>
        </w:rPr>
      </w:pPr>
      <w:r w:rsidRPr="00F35535">
        <w:rPr>
          <w:rFonts w:cs="Times New Roman"/>
          <w:highlight w:val="yellow"/>
        </w:rPr>
        <w:t>Ø ∆</w:t>
      </w:r>
      <w:r w:rsidRPr="00F35535">
        <w:rPr>
          <w:highlight w:val="yellow"/>
        </w:rPr>
        <w:t>LH/FSH (périphérique)</w:t>
      </w:r>
    </w:p>
    <w:p w:rsidR="00A30EBF" w:rsidRDefault="00A30EBF" w:rsidP="00AF6ADC">
      <w:pPr>
        <w:pStyle w:val="Sansinterligne"/>
        <w:numPr>
          <w:ilvl w:val="0"/>
          <w:numId w:val="1292"/>
        </w:numPr>
      </w:pPr>
      <w:r>
        <w:t>TSH, T</w:t>
      </w:r>
      <w:r w:rsidRPr="00632854">
        <w:rPr>
          <w:vertAlign w:val="subscript"/>
        </w:rPr>
        <w:t>4</w:t>
      </w:r>
    </w:p>
    <w:p w:rsidR="00A30EBF" w:rsidRPr="00632854" w:rsidRDefault="00A30EBF" w:rsidP="00AF6ADC">
      <w:pPr>
        <w:pStyle w:val="Sansinterligne"/>
        <w:numPr>
          <w:ilvl w:val="0"/>
          <w:numId w:val="1292"/>
        </w:numPr>
        <w:rPr>
          <w:highlight w:val="yellow"/>
        </w:rPr>
      </w:pPr>
      <w:r w:rsidRPr="00632854">
        <w:rPr>
          <w:highlight w:val="yellow"/>
        </w:rPr>
        <w:t>DHEA-S. 17-OH-Progestérone PRN (si HCS suspecté)</w:t>
      </w:r>
    </w:p>
    <w:p w:rsidR="00632854" w:rsidRPr="00632854" w:rsidRDefault="00632854" w:rsidP="00AF6ADC">
      <w:pPr>
        <w:pStyle w:val="Sansinterligne"/>
        <w:numPr>
          <w:ilvl w:val="0"/>
          <w:numId w:val="1292"/>
        </w:numPr>
        <w:rPr>
          <w:highlight w:val="yellow"/>
        </w:rPr>
      </w:pPr>
      <w:r w:rsidRPr="00632854">
        <w:rPr>
          <w:highlight w:val="yellow"/>
        </w:rPr>
        <w:t>Échographie pelvienne (kystes ovariens, tumeurs)</w:t>
      </w:r>
    </w:p>
    <w:p w:rsidR="00632854" w:rsidRPr="00EF7ABE" w:rsidRDefault="00632854" w:rsidP="00AF6ADC">
      <w:pPr>
        <w:pStyle w:val="Sansinterligne"/>
        <w:numPr>
          <w:ilvl w:val="0"/>
          <w:numId w:val="1292"/>
        </w:numPr>
        <w:rPr>
          <w:highlight w:val="yellow"/>
        </w:rPr>
        <w:sectPr w:rsidR="00632854" w:rsidRPr="00EF7ABE" w:rsidSect="00632854">
          <w:type w:val="continuous"/>
          <w:pgSz w:w="12240" w:h="15840"/>
          <w:pgMar w:top="720" w:right="720" w:bottom="720" w:left="720" w:header="708" w:footer="708" w:gutter="0"/>
          <w:cols w:num="2" w:space="0"/>
          <w:docGrid w:linePitch="360"/>
        </w:sectPr>
      </w:pPr>
      <w:r w:rsidRPr="00632854">
        <w:rPr>
          <w:highlight w:val="yellow"/>
        </w:rPr>
        <w:t>IRM cérébral</w:t>
      </w:r>
    </w:p>
    <w:p w:rsidR="00A30EBF" w:rsidRPr="00632854" w:rsidRDefault="00A30EBF" w:rsidP="002251B6">
      <w:pPr>
        <w:pStyle w:val="Sansinterligne"/>
        <w:rPr>
          <w:b/>
          <w:sz w:val="28"/>
          <w:szCs w:val="28"/>
        </w:rPr>
      </w:pPr>
      <w:r w:rsidRPr="00632854">
        <w:rPr>
          <w:b/>
          <w:sz w:val="28"/>
          <w:szCs w:val="28"/>
        </w:rPr>
        <w:t>Prise en charge</w:t>
      </w:r>
    </w:p>
    <w:p w:rsidR="00A30EBF" w:rsidRPr="00004444" w:rsidRDefault="00A30EBF" w:rsidP="002251B6">
      <w:pPr>
        <w:pStyle w:val="Sansinterligne"/>
        <w:rPr>
          <w:sz w:val="16"/>
          <w:szCs w:val="16"/>
        </w:rPr>
      </w:pPr>
    </w:p>
    <w:p w:rsidR="00A30EBF" w:rsidRPr="00632854" w:rsidRDefault="008111F4" w:rsidP="002251B6">
      <w:pPr>
        <w:pStyle w:val="Sansinterligne"/>
        <w:rPr>
          <w:b/>
        </w:rPr>
      </w:pPr>
      <w:r>
        <w:rPr>
          <w:noProof/>
          <w:lang w:eastAsia="fr-CA"/>
        </w:rPr>
        <w:drawing>
          <wp:anchor distT="0" distB="0" distL="114300" distR="114300" simplePos="0" relativeHeight="252094464" behindDoc="1" locked="0" layoutInCell="1" allowOverlap="1" wp14:anchorId="4E4FE0B7" wp14:editId="696CAE42">
            <wp:simplePos x="0" y="0"/>
            <wp:positionH relativeFrom="column">
              <wp:posOffset>3626485</wp:posOffset>
            </wp:positionH>
            <wp:positionV relativeFrom="paragraph">
              <wp:posOffset>16510</wp:posOffset>
            </wp:positionV>
            <wp:extent cx="3560445" cy="2227580"/>
            <wp:effectExtent l="0" t="317" r="1587" b="1588"/>
            <wp:wrapNone/>
            <wp:docPr id="573" name="Image 573" descr="Résultats de recherche d'images pour « testostérone propionat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Résultats de recherche d'images pour « testostérone propionate »"/>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rot="16200000">
                      <a:off x="0" y="0"/>
                      <a:ext cx="3560445" cy="2227580"/>
                    </a:xfrm>
                    <a:prstGeom prst="rect">
                      <a:avLst/>
                    </a:prstGeom>
                    <a:noFill/>
                    <a:ln>
                      <a:noFill/>
                    </a:ln>
                  </pic:spPr>
                </pic:pic>
              </a:graphicData>
            </a:graphic>
            <wp14:sizeRelH relativeFrom="page">
              <wp14:pctWidth>0</wp14:pctWidth>
            </wp14:sizeRelH>
            <wp14:sizeRelV relativeFrom="page">
              <wp14:pctHeight>0</wp14:pctHeight>
            </wp14:sizeRelV>
          </wp:anchor>
        </w:drawing>
      </w:r>
      <w:r w:rsidR="00A30EBF" w:rsidRPr="00632854">
        <w:rPr>
          <w:b/>
        </w:rPr>
        <w:t>Retard pubertaire constitutionnel</w:t>
      </w:r>
    </w:p>
    <w:p w:rsidR="00A30EBF" w:rsidRDefault="00A30EBF" w:rsidP="00AF6ADC">
      <w:pPr>
        <w:pStyle w:val="Sansinterligne"/>
        <w:numPr>
          <w:ilvl w:val="0"/>
          <w:numId w:val="1293"/>
        </w:numPr>
      </w:pPr>
      <w:r>
        <w:t>Si très incapacitant ou génère de l’anxiété</w:t>
      </w:r>
    </w:p>
    <w:p w:rsidR="00A30EBF" w:rsidRDefault="00A30EBF" w:rsidP="00AF6ADC">
      <w:pPr>
        <w:pStyle w:val="Sansinterligne"/>
        <w:numPr>
          <w:ilvl w:val="0"/>
          <w:numId w:val="1293"/>
        </w:numPr>
      </w:pPr>
      <w:r>
        <w:rPr>
          <w:rFonts w:cs="Times New Roman"/>
        </w:rPr>
        <w:t>~</w:t>
      </w:r>
      <w:r>
        <w:t xml:space="preserve"> 14 ans</w:t>
      </w:r>
    </w:p>
    <w:p w:rsidR="00A30EBF" w:rsidRDefault="00A30EBF" w:rsidP="00AF6ADC">
      <w:pPr>
        <w:pStyle w:val="Sansinterligne"/>
        <w:numPr>
          <w:ilvl w:val="1"/>
          <w:numId w:val="1293"/>
        </w:numPr>
      </w:pPr>
      <w:r>
        <w:rPr>
          <w:rFonts w:ascii="Century Gothic" w:hAnsi="Century Gothic"/>
        </w:rPr>
        <w:t>♂ </w:t>
      </w:r>
      <w:r>
        <w:t xml:space="preserve">: </w:t>
      </w:r>
      <w:r w:rsidR="00CB570B">
        <w:t>Énanthate</w:t>
      </w:r>
      <w:r>
        <w:t xml:space="preserve"> de testostér</w:t>
      </w:r>
      <w:r w:rsidR="007236F3">
        <w:t>o</w:t>
      </w:r>
      <w:r>
        <w:t>ne 50 mg IM q 1 mois x 12 mois</w:t>
      </w:r>
    </w:p>
    <w:p w:rsidR="00A30EBF" w:rsidRDefault="00A30EBF" w:rsidP="00AF6ADC">
      <w:pPr>
        <w:pStyle w:val="Sansinterligne"/>
        <w:numPr>
          <w:ilvl w:val="1"/>
          <w:numId w:val="1293"/>
        </w:numPr>
      </w:pPr>
      <w:r>
        <w:rPr>
          <w:rFonts w:ascii="Century Gothic" w:hAnsi="Century Gothic"/>
        </w:rPr>
        <w:t>♀ </w:t>
      </w:r>
      <w:r>
        <w:t>: Oestradiol micronisé 0,25 mg PO DIE ou transdermique</w:t>
      </w:r>
    </w:p>
    <w:p w:rsidR="00004444" w:rsidRDefault="00A30EBF" w:rsidP="00AF6ADC">
      <w:pPr>
        <w:pStyle w:val="Sansinterligne"/>
        <w:numPr>
          <w:ilvl w:val="1"/>
          <w:numId w:val="1293"/>
        </w:numPr>
      </w:pPr>
      <w:r>
        <w:t>Si absence de répon</w:t>
      </w:r>
      <w:r w:rsidR="007236F3">
        <w:t>s</w:t>
      </w:r>
      <w:r>
        <w:t>e (déclen</w:t>
      </w:r>
      <w:r w:rsidR="007236F3">
        <w:t>chement pubertaire à 12-18 mois)</w:t>
      </w:r>
      <w:r>
        <w:t xml:space="preserve"> </w:t>
      </w:r>
    </w:p>
    <w:p w:rsidR="00A30EBF" w:rsidRDefault="00A30EBF" w:rsidP="00004444">
      <w:pPr>
        <w:pStyle w:val="Sansinterligne"/>
        <w:ind w:left="1080"/>
      </w:pPr>
      <w:r>
        <w:t>suspecter hypogonadisme hypogonadotrope</w:t>
      </w:r>
    </w:p>
    <w:p w:rsidR="00A30EBF" w:rsidRDefault="00A30EBF" w:rsidP="00AF6ADC">
      <w:pPr>
        <w:pStyle w:val="Sansinterligne"/>
        <w:numPr>
          <w:ilvl w:val="0"/>
          <w:numId w:val="1293"/>
        </w:numPr>
      </w:pPr>
      <w:r>
        <w:t>Taille finale souvent inférieure à celle prédite (avec ou sans traitement)</w:t>
      </w:r>
    </w:p>
    <w:p w:rsidR="00A30EBF" w:rsidRPr="002B1273" w:rsidRDefault="00A30EBF" w:rsidP="002251B6">
      <w:pPr>
        <w:pStyle w:val="Sansinterligne"/>
        <w:rPr>
          <w:sz w:val="16"/>
          <w:szCs w:val="16"/>
        </w:rPr>
      </w:pPr>
    </w:p>
    <w:p w:rsidR="00224A50" w:rsidRPr="00632854" w:rsidRDefault="00A30EBF" w:rsidP="002251B6">
      <w:pPr>
        <w:pStyle w:val="Sansinterligne"/>
        <w:rPr>
          <w:b/>
        </w:rPr>
      </w:pPr>
      <w:r w:rsidRPr="00632854">
        <w:rPr>
          <w:b/>
        </w:rPr>
        <w:t>Retard pubertaire pathologique</w:t>
      </w:r>
    </w:p>
    <w:p w:rsidR="00A30EBF" w:rsidRPr="00B34B31" w:rsidRDefault="00632854" w:rsidP="00AF6ADC">
      <w:pPr>
        <w:pStyle w:val="Sansinterligne"/>
        <w:numPr>
          <w:ilvl w:val="0"/>
          <w:numId w:val="1294"/>
        </w:numPr>
        <w:rPr>
          <w:highlight w:val="yellow"/>
        </w:rPr>
      </w:pPr>
      <w:r w:rsidRPr="00B34B31">
        <w:rPr>
          <w:highlight w:val="yellow"/>
        </w:rPr>
        <w:t>Référence en pédiatrie / endocrinologie pédiatrique</w:t>
      </w:r>
    </w:p>
    <w:p w:rsidR="00A30EBF" w:rsidRDefault="00A30EBF" w:rsidP="00AF6ADC">
      <w:pPr>
        <w:pStyle w:val="Sansinterligne"/>
        <w:numPr>
          <w:ilvl w:val="0"/>
          <w:numId w:val="1294"/>
        </w:numPr>
      </w:pPr>
      <w:r>
        <w:t>Identifier et traiter la cause</w:t>
      </w:r>
      <w:r w:rsidR="00B34B31">
        <w:t xml:space="preserve"> (exemples ci-bas)</w:t>
      </w:r>
    </w:p>
    <w:p w:rsidR="00632854" w:rsidRDefault="00632854" w:rsidP="00AF6ADC">
      <w:pPr>
        <w:pStyle w:val="Sansinterligne"/>
        <w:numPr>
          <w:ilvl w:val="1"/>
          <w:numId w:val="1294"/>
        </w:numPr>
      </w:pPr>
      <w:r>
        <w:t xml:space="preserve">Tumeurs hypophysaire non-prolactinome </w:t>
      </w:r>
      <w:r>
        <w:rPr>
          <w:rFonts w:ascii="Century Gothic" w:hAnsi="Century Gothic"/>
        </w:rPr>
        <w:t>&gt;</w:t>
      </w:r>
      <w:r>
        <w:t xml:space="preserve"> 1 cm </w:t>
      </w:r>
      <w:r>
        <w:rPr>
          <w:rFonts w:ascii="Century Gothic" w:hAnsi="Century Gothic"/>
        </w:rPr>
        <w:t>→</w:t>
      </w:r>
      <w:r>
        <w:t xml:space="preserve"> résection transphénoïdale</w:t>
      </w:r>
    </w:p>
    <w:p w:rsidR="00632854" w:rsidRDefault="00632854" w:rsidP="00AF6ADC">
      <w:pPr>
        <w:pStyle w:val="Sansinterligne"/>
        <w:numPr>
          <w:ilvl w:val="1"/>
          <w:numId w:val="1294"/>
        </w:numPr>
      </w:pPr>
      <w:r>
        <w:t xml:space="preserve">Anorexie mentale </w:t>
      </w:r>
      <w:r>
        <w:rPr>
          <w:rFonts w:ascii="Century Gothic" w:hAnsi="Century Gothic"/>
        </w:rPr>
        <w:t>→</w:t>
      </w:r>
      <w:r>
        <w:t xml:space="preserve"> référence en pédopsychiatrie, réalimentation</w:t>
      </w:r>
    </w:p>
    <w:p w:rsidR="00632854" w:rsidRDefault="00632854" w:rsidP="00AF6ADC">
      <w:pPr>
        <w:pStyle w:val="Sansinterligne"/>
        <w:numPr>
          <w:ilvl w:val="1"/>
          <w:numId w:val="1294"/>
        </w:numPr>
      </w:pPr>
      <w:r>
        <w:t xml:space="preserve">Athlètes </w:t>
      </w:r>
      <w:r>
        <w:rPr>
          <w:rFonts w:ascii="Century Gothic" w:hAnsi="Century Gothic"/>
        </w:rPr>
        <w:t>→</w:t>
      </w:r>
      <w:r>
        <w:t xml:space="preserve"> réduire la fréquence des entraînements, prise de poids</w:t>
      </w:r>
    </w:p>
    <w:p w:rsidR="00632854" w:rsidRDefault="00632854" w:rsidP="00AF6ADC">
      <w:pPr>
        <w:pStyle w:val="Sansinterligne"/>
        <w:numPr>
          <w:ilvl w:val="1"/>
          <w:numId w:val="1294"/>
        </w:numPr>
      </w:pPr>
      <w:r>
        <w:t xml:space="preserve">Syndromes d’insensibilités aux androgènes </w:t>
      </w:r>
      <w:r>
        <w:rPr>
          <w:rFonts w:ascii="Century Gothic" w:hAnsi="Century Gothic"/>
        </w:rPr>
        <w:t>→</w:t>
      </w:r>
      <w:r>
        <w:t xml:space="preserve"> résection des gonades après la puberté</w:t>
      </w:r>
    </w:p>
    <w:p w:rsidR="00A30EBF" w:rsidRPr="00B34B31" w:rsidRDefault="00A30EBF" w:rsidP="00AF6ADC">
      <w:pPr>
        <w:pStyle w:val="Sansinterligne"/>
        <w:numPr>
          <w:ilvl w:val="0"/>
          <w:numId w:val="1294"/>
        </w:numPr>
        <w:rPr>
          <w:highlight w:val="yellow"/>
        </w:rPr>
      </w:pPr>
      <w:r w:rsidRPr="00B34B31">
        <w:rPr>
          <w:highlight w:val="yellow"/>
        </w:rPr>
        <w:t>Remplacement hormonal :</w:t>
      </w:r>
    </w:p>
    <w:p w:rsidR="00A30EBF" w:rsidRPr="00B34B31" w:rsidRDefault="00A30EBF" w:rsidP="00AF6ADC">
      <w:pPr>
        <w:pStyle w:val="Sansinterligne"/>
        <w:numPr>
          <w:ilvl w:val="1"/>
          <w:numId w:val="1294"/>
        </w:numPr>
        <w:rPr>
          <w:highlight w:val="yellow"/>
        </w:rPr>
      </w:pPr>
      <w:r w:rsidRPr="00B34B31">
        <w:rPr>
          <w:rFonts w:ascii="Century Gothic" w:hAnsi="Century Gothic"/>
          <w:highlight w:val="yellow"/>
        </w:rPr>
        <w:t>♂ </w:t>
      </w:r>
      <w:r w:rsidRPr="00B34B31">
        <w:rPr>
          <w:highlight w:val="yellow"/>
        </w:rPr>
        <w:t xml:space="preserve">: Testostérone 50 mg IM q 1 mois, </w:t>
      </w:r>
      <w:r w:rsidRPr="00B34B31">
        <w:rPr>
          <w:rFonts w:ascii="Century Gothic" w:hAnsi="Century Gothic"/>
          <w:highlight w:val="yellow"/>
        </w:rPr>
        <w:t xml:space="preserve">↑ </w:t>
      </w:r>
      <w:r w:rsidRPr="00B34B31">
        <w:rPr>
          <w:rFonts w:cs="Times New Roman"/>
          <w:highlight w:val="yellow"/>
        </w:rPr>
        <w:t>au 6-12 mois</w:t>
      </w:r>
      <w:r w:rsidRPr="00B34B31">
        <w:rPr>
          <w:highlight w:val="yellow"/>
        </w:rPr>
        <w:t xml:space="preserve"> selon la croissance osseuse et le développement pubertaire</w:t>
      </w:r>
    </w:p>
    <w:p w:rsidR="00A30EBF" w:rsidRPr="00B34B31" w:rsidRDefault="00A30EBF" w:rsidP="00AF6ADC">
      <w:pPr>
        <w:pStyle w:val="Sansinterligne"/>
        <w:numPr>
          <w:ilvl w:val="2"/>
          <w:numId w:val="1294"/>
        </w:numPr>
        <w:rPr>
          <w:highlight w:val="yellow"/>
        </w:rPr>
      </w:pPr>
      <w:r w:rsidRPr="00B34B31">
        <w:rPr>
          <w:highlight w:val="yellow"/>
        </w:rPr>
        <w:t xml:space="preserve">Dose adulte de remplacement : 200-300 mg IM </w:t>
      </w:r>
      <w:r w:rsidR="007236F3">
        <w:rPr>
          <w:highlight w:val="yellow"/>
        </w:rPr>
        <w:t>q</w:t>
      </w:r>
      <w:r w:rsidRPr="00B34B31">
        <w:rPr>
          <w:highlight w:val="yellow"/>
        </w:rPr>
        <w:t xml:space="preserve"> 1 mois</w:t>
      </w:r>
    </w:p>
    <w:p w:rsidR="00A30EBF" w:rsidRPr="00B34B31" w:rsidRDefault="00A30EBF" w:rsidP="00AF6ADC">
      <w:pPr>
        <w:pStyle w:val="Sansinterligne"/>
        <w:numPr>
          <w:ilvl w:val="1"/>
          <w:numId w:val="1294"/>
        </w:numPr>
        <w:rPr>
          <w:rFonts w:cs="Times New Roman"/>
          <w:highlight w:val="yellow"/>
        </w:rPr>
      </w:pPr>
      <w:r w:rsidRPr="00B34B31">
        <w:rPr>
          <w:rFonts w:ascii="Century Gothic" w:hAnsi="Century Gothic"/>
          <w:highlight w:val="yellow"/>
        </w:rPr>
        <w:t>♀ </w:t>
      </w:r>
      <w:r w:rsidRPr="00B34B31">
        <w:rPr>
          <w:highlight w:val="yellow"/>
        </w:rPr>
        <w:t>: 17</w:t>
      </w:r>
      <w:r w:rsidRPr="00B34B31">
        <w:rPr>
          <w:rFonts w:cs="Times New Roman"/>
          <w:highlight w:val="yellow"/>
        </w:rPr>
        <w:t>β</w:t>
      </w:r>
      <w:r w:rsidRPr="00B34B31">
        <w:rPr>
          <w:highlight w:val="yellow"/>
        </w:rPr>
        <w:t xml:space="preserve">-oestradiol 0,25 mg PO DIE ou </w:t>
      </w:r>
      <w:r w:rsidRPr="00B34B31">
        <w:rPr>
          <w:rFonts w:cs="Times New Roman"/>
          <w:highlight w:val="yellow"/>
        </w:rPr>
        <w:t>transdermique, ↑ au 6-12 mois selon âge osseux, développement pubertaire</w:t>
      </w:r>
    </w:p>
    <w:p w:rsidR="00A30EBF" w:rsidRPr="00B34B31" w:rsidRDefault="00A30EBF" w:rsidP="00AF6ADC">
      <w:pPr>
        <w:pStyle w:val="Sansinterligne"/>
        <w:numPr>
          <w:ilvl w:val="1"/>
          <w:numId w:val="1294"/>
        </w:numPr>
        <w:rPr>
          <w:rFonts w:cs="Times New Roman"/>
          <w:highlight w:val="yellow"/>
        </w:rPr>
      </w:pPr>
      <w:r w:rsidRPr="00B34B31">
        <w:rPr>
          <w:rFonts w:cs="Times New Roman"/>
          <w:highlight w:val="yellow"/>
        </w:rPr>
        <w:t>OU</w:t>
      </w:r>
      <w:r w:rsidR="00632854" w:rsidRPr="00B34B31">
        <w:rPr>
          <w:rFonts w:cs="Times New Roman"/>
          <w:highlight w:val="yellow"/>
        </w:rPr>
        <w:t xml:space="preserve"> </w:t>
      </w:r>
      <w:r w:rsidRPr="00B34B31">
        <w:rPr>
          <w:rFonts w:cs="Times New Roman"/>
          <w:highlight w:val="yellow"/>
        </w:rPr>
        <w:t>0,1625-</w:t>
      </w:r>
      <w:r w:rsidR="00632854" w:rsidRPr="00B34B31">
        <w:rPr>
          <w:rFonts w:cs="Times New Roman"/>
          <w:highlight w:val="yellow"/>
        </w:rPr>
        <w:t>0,325</w:t>
      </w:r>
      <w:r w:rsidRPr="00B34B31">
        <w:rPr>
          <w:rFonts w:cs="Times New Roman"/>
          <w:highlight w:val="yellow"/>
        </w:rPr>
        <w:t xml:space="preserve">mg oestrogènes équins avec </w:t>
      </w:r>
      <w:r w:rsidRPr="00B34B31">
        <w:rPr>
          <w:rFonts w:ascii="Century Gothic" w:hAnsi="Century Gothic"/>
          <w:highlight w:val="yellow"/>
        </w:rPr>
        <w:t xml:space="preserve">↑ </w:t>
      </w:r>
      <w:r w:rsidRPr="00B34B31">
        <w:rPr>
          <w:rFonts w:cs="Times New Roman"/>
          <w:highlight w:val="yellow"/>
        </w:rPr>
        <w:t>au 6-12 mois selon mêmes paramètres ad 0,625-1,25 mg</w:t>
      </w:r>
    </w:p>
    <w:p w:rsidR="00632854" w:rsidRPr="00B34B31" w:rsidRDefault="00632854" w:rsidP="00AF6ADC">
      <w:pPr>
        <w:pStyle w:val="Sansinterligne"/>
        <w:numPr>
          <w:ilvl w:val="1"/>
          <w:numId w:val="1294"/>
        </w:numPr>
        <w:rPr>
          <w:rFonts w:cs="Times New Roman"/>
          <w:highlight w:val="yellow"/>
        </w:rPr>
      </w:pPr>
      <w:r w:rsidRPr="00B34B31">
        <w:rPr>
          <w:rFonts w:cs="Times New Roman"/>
          <w:highlight w:val="yellow"/>
        </w:rPr>
        <w:t>Lorsque Tanner 4 atteint (seins), on peut changer pour des contraceptifs oraux combinés</w:t>
      </w:r>
    </w:p>
    <w:p w:rsidR="00632854" w:rsidRDefault="00632854" w:rsidP="00AF6ADC">
      <w:pPr>
        <w:pStyle w:val="Sansinterligne"/>
        <w:numPr>
          <w:ilvl w:val="0"/>
          <w:numId w:val="1294"/>
        </w:numPr>
      </w:pPr>
      <w:r>
        <w:rPr>
          <w:rFonts w:cs="Times New Roman"/>
        </w:rPr>
        <w:t>Discuter du pronostic de fertilité avec les patients et patientes selon leur condition</w:t>
      </w:r>
    </w:p>
    <w:p w:rsidR="00E10F64" w:rsidRPr="002B1273" w:rsidRDefault="00E10F64" w:rsidP="002B1273">
      <w:pPr>
        <w:pStyle w:val="Sansinterligne"/>
        <w:rPr>
          <w:b/>
        </w:rPr>
      </w:pPr>
      <w:r w:rsidRPr="002B1273">
        <w:rPr>
          <w:b/>
        </w:rPr>
        <w:t>Puberté précoce</w:t>
      </w:r>
    </w:p>
    <w:p w:rsidR="002B1273" w:rsidRDefault="002B1273" w:rsidP="00AF6ADC">
      <w:pPr>
        <w:pStyle w:val="Sansinterligne"/>
        <w:numPr>
          <w:ilvl w:val="0"/>
          <w:numId w:val="1295"/>
        </w:numPr>
      </w:pPr>
      <w:r w:rsidRPr="002B1273">
        <w:rPr>
          <w:highlight w:val="yellow"/>
        </w:rPr>
        <w:t>Référence en pédiatrie / endocrinologie pédiatrique</w:t>
      </w:r>
    </w:p>
    <w:p w:rsidR="002B1273" w:rsidRDefault="002B1273" w:rsidP="00AF6ADC">
      <w:pPr>
        <w:pStyle w:val="Sansinterligne"/>
        <w:numPr>
          <w:ilvl w:val="0"/>
          <w:numId w:val="1295"/>
        </w:numPr>
      </w:pPr>
      <w:r>
        <w:t>Équipe multidisciplinaire</w:t>
      </w:r>
    </w:p>
    <w:p w:rsidR="002B1273" w:rsidRPr="002B1273" w:rsidRDefault="002B1273" w:rsidP="00AF6ADC">
      <w:pPr>
        <w:pStyle w:val="Sansinterligne"/>
        <w:numPr>
          <w:ilvl w:val="0"/>
          <w:numId w:val="1295"/>
        </w:numPr>
        <w:rPr>
          <w:highlight w:val="yellow"/>
        </w:rPr>
      </w:pPr>
      <w:r w:rsidRPr="002B1273">
        <w:rPr>
          <w:highlight w:val="yellow"/>
        </w:rPr>
        <w:t>Si progression pubertaire</w:t>
      </w:r>
      <w:r w:rsidR="00CB570B">
        <w:rPr>
          <w:highlight w:val="yellow"/>
        </w:rPr>
        <w:t xml:space="preserve"> constitutionne</w:t>
      </w:r>
      <w:r w:rsidR="007236F3">
        <w:rPr>
          <w:highlight w:val="yellow"/>
        </w:rPr>
        <w:t>l</w:t>
      </w:r>
      <w:r w:rsidR="00CB570B">
        <w:rPr>
          <w:highlight w:val="yellow"/>
        </w:rPr>
        <w:t>l</w:t>
      </w:r>
      <w:r w:rsidR="007236F3">
        <w:rPr>
          <w:highlight w:val="yellow"/>
        </w:rPr>
        <w:t>e</w:t>
      </w:r>
      <w:r w:rsidR="00CB570B">
        <w:rPr>
          <w:highlight w:val="yellow"/>
        </w:rPr>
        <w:t xml:space="preserve"> rapide</w:t>
      </w:r>
      <w:r w:rsidRPr="002B1273">
        <w:rPr>
          <w:highlight w:val="yellow"/>
        </w:rPr>
        <w:t>, jeune âge ou compromission de la taille adulte ou atteinte psychologique, il faut ralentir la puberté.</w:t>
      </w:r>
    </w:p>
    <w:p w:rsidR="002B1273" w:rsidRPr="002B1273" w:rsidRDefault="002B1273" w:rsidP="00AF6ADC">
      <w:pPr>
        <w:pStyle w:val="Sansinterligne"/>
        <w:numPr>
          <w:ilvl w:val="1"/>
          <w:numId w:val="1295"/>
        </w:numPr>
        <w:rPr>
          <w:highlight w:val="yellow"/>
        </w:rPr>
      </w:pPr>
      <w:r w:rsidRPr="002B1273">
        <w:rPr>
          <w:highlight w:val="yellow"/>
        </w:rPr>
        <w:t>Agonistes de la GnRH (ex : leuprolide)</w:t>
      </w:r>
      <w:r w:rsidR="00CB570B">
        <w:rPr>
          <w:highlight w:val="yellow"/>
        </w:rPr>
        <w:t xml:space="preserve"> 7,5 mg </w:t>
      </w:r>
    </w:p>
    <w:p w:rsidR="002B1273" w:rsidRPr="002B1273" w:rsidRDefault="002B1273" w:rsidP="00AF6ADC">
      <w:pPr>
        <w:pStyle w:val="Sansinterligne"/>
        <w:numPr>
          <w:ilvl w:val="2"/>
          <w:numId w:val="1295"/>
        </w:numPr>
        <w:rPr>
          <w:highlight w:val="yellow"/>
        </w:rPr>
      </w:pPr>
      <w:r w:rsidRPr="002B1273">
        <w:rPr>
          <w:highlight w:val="yellow"/>
        </w:rPr>
        <w:t>Prévient la perte de taille finale</w:t>
      </w:r>
    </w:p>
    <w:p w:rsidR="002B1273" w:rsidRPr="002B1273" w:rsidRDefault="002B1273" w:rsidP="00AF6ADC">
      <w:pPr>
        <w:pStyle w:val="Sansinterligne"/>
        <w:numPr>
          <w:ilvl w:val="0"/>
          <w:numId w:val="1295"/>
        </w:numPr>
        <w:rPr>
          <w:highlight w:val="yellow"/>
        </w:rPr>
      </w:pPr>
      <w:r w:rsidRPr="002B1273">
        <w:rPr>
          <w:highlight w:val="yellow"/>
        </w:rPr>
        <w:t xml:space="preserve">Chirurgie (exérèse </w:t>
      </w:r>
      <w:r>
        <w:rPr>
          <w:highlight w:val="yellow"/>
        </w:rPr>
        <w:t xml:space="preserve">rapide </w:t>
      </w:r>
      <w:r w:rsidRPr="002B1273">
        <w:rPr>
          <w:highlight w:val="yellow"/>
        </w:rPr>
        <w:t>de tumeur cérébrale ou gonadique si présente)</w:t>
      </w:r>
    </w:p>
    <w:p w:rsidR="002B1273" w:rsidRDefault="002B1273" w:rsidP="00AF6ADC">
      <w:pPr>
        <w:pStyle w:val="Sansinterligne"/>
        <w:numPr>
          <w:ilvl w:val="0"/>
          <w:numId w:val="1295"/>
        </w:numPr>
      </w:pPr>
      <w:r>
        <w:t>Si prise de corticostéroïdes exogènes </w:t>
      </w:r>
    </w:p>
    <w:p w:rsidR="002B1273" w:rsidRPr="002B1273" w:rsidRDefault="002B1273" w:rsidP="00AF6ADC">
      <w:pPr>
        <w:pStyle w:val="Sansinterligne"/>
        <w:numPr>
          <w:ilvl w:val="1"/>
          <w:numId w:val="1295"/>
        </w:numPr>
        <w:rPr>
          <w:highlight w:val="yellow"/>
        </w:rPr>
      </w:pPr>
      <w:r w:rsidRPr="002B1273">
        <w:rPr>
          <w:highlight w:val="yellow"/>
        </w:rPr>
        <w:t>Réduire ou cesser la prise</w:t>
      </w:r>
    </w:p>
    <w:p w:rsidR="002B1273" w:rsidRDefault="002B1273" w:rsidP="00AF6ADC">
      <w:pPr>
        <w:pStyle w:val="Sansinterligne"/>
        <w:numPr>
          <w:ilvl w:val="0"/>
          <w:numId w:val="1295"/>
        </w:numPr>
      </w:pPr>
      <w:r>
        <w:t>Si hyperplasie congénitale des surrénales</w:t>
      </w:r>
    </w:p>
    <w:p w:rsidR="002B1273" w:rsidRDefault="002B1273" w:rsidP="00AF6ADC">
      <w:pPr>
        <w:pStyle w:val="Sansinterligne"/>
        <w:numPr>
          <w:ilvl w:val="1"/>
          <w:numId w:val="1295"/>
        </w:numPr>
      </w:pPr>
      <w:r w:rsidRPr="002B1273">
        <w:rPr>
          <w:highlight w:val="yellow"/>
        </w:rPr>
        <w:t>Supplément en corticostéroïdes (diminue la production/shift vers les stéroïdes sexuels)</w:t>
      </w:r>
    </w:p>
    <w:p w:rsidR="002B1273" w:rsidRDefault="002B1273" w:rsidP="002D636E">
      <w:pPr>
        <w:spacing w:after="0"/>
        <w:rPr>
          <w:rFonts w:cs="Times New Roman"/>
          <w:b/>
          <w:color w:val="548DD4" w:themeColor="text2" w:themeTint="99"/>
        </w:rPr>
      </w:pPr>
    </w:p>
    <w:p w:rsidR="00004444" w:rsidRDefault="00004444" w:rsidP="002D636E">
      <w:pPr>
        <w:spacing w:after="0"/>
        <w:rPr>
          <w:rFonts w:cs="Times New Roman"/>
          <w:b/>
          <w:color w:val="548DD4" w:themeColor="text2" w:themeTint="99"/>
        </w:rPr>
      </w:pPr>
    </w:p>
    <w:p w:rsidR="00004444" w:rsidRDefault="00004444" w:rsidP="002D636E">
      <w:pPr>
        <w:spacing w:after="0"/>
        <w:rPr>
          <w:rFonts w:cs="Times New Roman"/>
          <w:b/>
          <w:color w:val="548DD4" w:themeColor="text2" w:themeTint="99"/>
        </w:rPr>
      </w:pPr>
    </w:p>
    <w:p w:rsidR="00004444" w:rsidRDefault="00D71F3F" w:rsidP="002D636E">
      <w:pPr>
        <w:spacing w:after="0"/>
        <w:rPr>
          <w:rFonts w:cs="Times New Roman"/>
          <w:b/>
          <w:color w:val="548DD4" w:themeColor="text2" w:themeTint="99"/>
        </w:rPr>
      </w:pPr>
      <w:r>
        <w:rPr>
          <w:noProof/>
          <w:lang w:eastAsia="fr-CA"/>
        </w:rPr>
        <w:drawing>
          <wp:inline distT="0" distB="0" distL="0" distR="0" wp14:anchorId="09661BC2" wp14:editId="2D4385AB">
            <wp:extent cx="6858000" cy="3192509"/>
            <wp:effectExtent l="0" t="0" r="0" b="8255"/>
            <wp:docPr id="572" name="Image 572" descr="Résultats de recherche d'images pour « puberté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Résultats de recherche d'images pour « puberté »"/>
                    <pic:cNvPicPr>
                      <a:picLocks noChangeAspect="1" noChangeArrowheads="1"/>
                    </pic:cNvPicPr>
                  </pic:nvPicPr>
                  <pic:blipFill>
                    <a:blip r:embed="rId329">
                      <a:extLst>
                        <a:ext uri="{28A0092B-C50C-407E-A947-70E740481C1C}">
                          <a14:useLocalDpi xmlns:a14="http://schemas.microsoft.com/office/drawing/2010/main" val="0"/>
                        </a:ext>
                      </a:extLst>
                    </a:blip>
                    <a:srcRect/>
                    <a:stretch>
                      <a:fillRect/>
                    </a:stretch>
                  </pic:blipFill>
                  <pic:spPr bwMode="auto">
                    <a:xfrm>
                      <a:off x="0" y="0"/>
                      <a:ext cx="6858000" cy="3192509"/>
                    </a:xfrm>
                    <a:prstGeom prst="rect">
                      <a:avLst/>
                    </a:prstGeom>
                    <a:noFill/>
                    <a:ln>
                      <a:noFill/>
                    </a:ln>
                  </pic:spPr>
                </pic:pic>
              </a:graphicData>
            </a:graphic>
          </wp:inline>
        </w:drawing>
      </w:r>
    </w:p>
    <w:p w:rsidR="00004444" w:rsidRDefault="00004444" w:rsidP="002D636E">
      <w:pPr>
        <w:spacing w:after="0"/>
        <w:rPr>
          <w:rFonts w:cs="Times New Roman"/>
          <w:b/>
          <w:color w:val="548DD4" w:themeColor="text2" w:themeTint="99"/>
        </w:rPr>
      </w:pPr>
    </w:p>
    <w:p w:rsidR="00004444" w:rsidRDefault="00004444" w:rsidP="002D636E">
      <w:pPr>
        <w:spacing w:after="0"/>
        <w:rPr>
          <w:rFonts w:cs="Times New Roman"/>
          <w:b/>
          <w:color w:val="548DD4" w:themeColor="text2" w:themeTint="99"/>
        </w:rPr>
      </w:pPr>
    </w:p>
    <w:p w:rsidR="00004444" w:rsidRDefault="00004444" w:rsidP="002D636E">
      <w:pPr>
        <w:spacing w:after="0"/>
        <w:rPr>
          <w:rFonts w:cs="Times New Roman"/>
          <w:b/>
          <w:color w:val="548DD4" w:themeColor="text2" w:themeTint="99"/>
        </w:rPr>
      </w:pPr>
    </w:p>
    <w:p w:rsidR="00004444" w:rsidRDefault="00004444">
      <w:pPr>
        <w:rPr>
          <w:rFonts w:cs="Times New Roman"/>
          <w:b/>
          <w:color w:val="548DD4" w:themeColor="text2" w:themeTint="99"/>
        </w:rPr>
      </w:pPr>
      <w:r>
        <w:rPr>
          <w:rFonts w:cs="Times New Roman"/>
          <w:b/>
          <w:color w:val="548DD4" w:themeColor="text2" w:themeTint="99"/>
        </w:rPr>
        <w:br w:type="page"/>
      </w:r>
    </w:p>
    <w:p w:rsidR="002D636E" w:rsidRDefault="002D636E" w:rsidP="002D636E">
      <w:pPr>
        <w:spacing w:after="0"/>
        <w:rPr>
          <w:rFonts w:cs="Times New Roman"/>
          <w:b/>
          <w:color w:val="548DD4" w:themeColor="text2" w:themeTint="99"/>
        </w:rPr>
      </w:pPr>
      <w:r>
        <w:rPr>
          <w:rFonts w:cs="Times New Roman"/>
          <w:b/>
          <w:color w:val="548DD4" w:themeColor="text2" w:themeTint="99"/>
        </w:rPr>
        <w:t>CMC 94</w:t>
      </w:r>
    </w:p>
    <w:p w:rsidR="002D636E" w:rsidRPr="002D636E" w:rsidRDefault="002D636E" w:rsidP="002D636E">
      <w:pPr>
        <w:pStyle w:val="Titre3"/>
        <w:spacing w:before="0"/>
        <w:rPr>
          <w:rFonts w:ascii="Times New Roman" w:hAnsi="Times New Roman" w:cs="Times New Roman"/>
        </w:rPr>
      </w:pPr>
      <w:bookmarkStart w:id="357" w:name="_Toc480797326"/>
      <w:r w:rsidRPr="002D636E">
        <w:rPr>
          <w:rFonts w:ascii="Times New Roman" w:hAnsi="Times New Roman" w:cs="Times New Roman"/>
        </w:rPr>
        <w:t>Trouble de nature sexuelle</w:t>
      </w:r>
      <w:bookmarkEnd w:id="357"/>
    </w:p>
    <w:tbl>
      <w:tblPr>
        <w:tblW w:w="3858" w:type="pct"/>
        <w:tblCellSpacing w:w="0" w:type="dxa"/>
        <w:tblCellMar>
          <w:left w:w="0" w:type="dxa"/>
          <w:right w:w="0" w:type="dxa"/>
        </w:tblCellMar>
        <w:tblLook w:val="04A0" w:firstRow="1" w:lastRow="0" w:firstColumn="1" w:lastColumn="0" w:noHBand="0" w:noVBand="1"/>
      </w:tblPr>
      <w:tblGrid>
        <w:gridCol w:w="8333"/>
      </w:tblGrid>
      <w:tr w:rsidR="002D636E" w:rsidRPr="002D636E" w:rsidTr="002D636E">
        <w:trPr>
          <w:tblCellSpacing w:w="0" w:type="dxa"/>
        </w:trPr>
        <w:tc>
          <w:tcPr>
            <w:tcW w:w="0" w:type="auto"/>
            <w:vAlign w:val="bottom"/>
            <w:hideMark/>
          </w:tcPr>
          <w:p w:rsidR="002D636E" w:rsidRPr="002D636E" w:rsidRDefault="002D636E" w:rsidP="002D636E">
            <w:pPr>
              <w:pStyle w:val="Sansinterligne"/>
              <w:spacing w:before="240"/>
              <w:rPr>
                <w:b/>
                <w:sz w:val="18"/>
                <w:szCs w:val="18"/>
              </w:rPr>
            </w:pPr>
            <w:r>
              <w:rPr>
                <w:b/>
                <w:noProof/>
                <w:sz w:val="18"/>
                <w:szCs w:val="18"/>
                <w:lang w:eastAsia="fr-CA"/>
              </w:rPr>
              <mc:AlternateContent>
                <mc:Choice Requires="wps">
                  <w:drawing>
                    <wp:anchor distT="0" distB="0" distL="114300" distR="114300" simplePos="0" relativeHeight="251867136" behindDoc="0" locked="0" layoutInCell="1" allowOverlap="1" wp14:anchorId="126BC0B3" wp14:editId="4ACC42C2">
                      <wp:simplePos x="0" y="0"/>
                      <wp:positionH relativeFrom="column">
                        <wp:posOffset>-58420</wp:posOffset>
                      </wp:positionH>
                      <wp:positionV relativeFrom="paragraph">
                        <wp:posOffset>99695</wp:posOffset>
                      </wp:positionV>
                      <wp:extent cx="6867525" cy="2849880"/>
                      <wp:effectExtent l="0" t="0" r="28575" b="26670"/>
                      <wp:wrapNone/>
                      <wp:docPr id="378" name="Rectangle 378"/>
                      <wp:cNvGraphicFramePr/>
                      <a:graphic xmlns:a="http://schemas.openxmlformats.org/drawingml/2006/main">
                        <a:graphicData uri="http://schemas.microsoft.com/office/word/2010/wordprocessingShape">
                          <wps:wsp>
                            <wps:cNvSpPr/>
                            <wps:spPr>
                              <a:xfrm>
                                <a:off x="0" y="0"/>
                                <a:ext cx="6867525" cy="2849880"/>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78" o:spid="_x0000_s1026" style="position:absolute;margin-left:-4.6pt;margin-top:7.85pt;width:540.75pt;height:224.4pt;z-index:25186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" filled="f" strokecolor="black [1600]" strokeweight="2pt"/>
                  </w:pict>
                </mc:Fallback>
              </mc:AlternateContent>
            </w:r>
            <w:r w:rsidRPr="002D636E">
              <w:rPr>
                <w:b/>
                <w:sz w:val="18"/>
                <w:szCs w:val="18"/>
              </w:rPr>
              <w:t>Objectifs principaux</w:t>
            </w:r>
          </w:p>
        </w:tc>
      </w:tr>
    </w:tbl>
    <w:p w:rsidR="002D636E" w:rsidRPr="002D636E" w:rsidRDefault="002D636E" w:rsidP="002D636E">
      <w:pPr>
        <w:pStyle w:val="NormalWeb"/>
        <w:ind w:left="360"/>
        <w:rPr>
          <w:color w:val="000000"/>
          <w:sz w:val="18"/>
          <w:szCs w:val="18"/>
          <w:shd w:val="clear" w:color="auto" w:fill="FFFFFF"/>
        </w:rPr>
      </w:pPr>
      <w:r w:rsidRPr="002D636E">
        <w:rPr>
          <w:color w:val="000000"/>
          <w:sz w:val="18"/>
          <w:szCs w:val="18"/>
          <w:shd w:val="clear" w:color="auto" w:fill="FFFFFF"/>
        </w:rPr>
        <w:t>Dans le cas d'un patient ayant des préoccupations de nature sexuelle, le candidat devra en diagnostiquer la cause et mettre en place un plan de prise en charge approprié.</w:t>
      </w:r>
    </w:p>
    <w:tbl>
      <w:tblPr>
        <w:tblW w:w="3897" w:type="pct"/>
        <w:tblCellSpacing w:w="0" w:type="dxa"/>
        <w:tblCellMar>
          <w:left w:w="0" w:type="dxa"/>
          <w:right w:w="0" w:type="dxa"/>
        </w:tblCellMar>
        <w:tblLook w:val="04A0" w:firstRow="1" w:lastRow="0" w:firstColumn="1" w:lastColumn="0" w:noHBand="0" w:noVBand="1"/>
      </w:tblPr>
      <w:tblGrid>
        <w:gridCol w:w="8418"/>
      </w:tblGrid>
      <w:tr w:rsidR="002D636E" w:rsidRPr="002D636E" w:rsidTr="002D636E">
        <w:trPr>
          <w:tblCellSpacing w:w="0" w:type="dxa"/>
        </w:trPr>
        <w:tc>
          <w:tcPr>
            <w:tcW w:w="0" w:type="auto"/>
            <w:vAlign w:val="bottom"/>
            <w:hideMark/>
          </w:tcPr>
          <w:p w:rsidR="002D636E" w:rsidRPr="002D636E" w:rsidRDefault="002D636E" w:rsidP="002D636E">
            <w:pPr>
              <w:pStyle w:val="Sansinterligne"/>
              <w:rPr>
                <w:b/>
                <w:sz w:val="16"/>
                <w:szCs w:val="16"/>
              </w:rPr>
            </w:pPr>
            <w:r w:rsidRPr="002D636E">
              <w:rPr>
                <w:b/>
                <w:sz w:val="16"/>
                <w:szCs w:val="16"/>
              </w:rPr>
              <w:t>Objectifs spécifiques</w:t>
            </w:r>
          </w:p>
        </w:tc>
      </w:tr>
    </w:tbl>
    <w:p w:rsidR="002D636E" w:rsidRPr="002D636E" w:rsidRDefault="002D636E" w:rsidP="00731F2F">
      <w:pPr>
        <w:pStyle w:val="NormalWeb"/>
        <w:shd w:val="clear" w:color="auto" w:fill="FFFFFF"/>
        <w:ind w:left="360"/>
        <w:rPr>
          <w:color w:val="000000"/>
          <w:sz w:val="16"/>
          <w:szCs w:val="16"/>
          <w:shd w:val="clear" w:color="auto" w:fill="FFFFFF"/>
        </w:rPr>
      </w:pPr>
      <w:r w:rsidRPr="002D636E">
        <w:rPr>
          <w:color w:val="000000"/>
          <w:sz w:val="16"/>
          <w:szCs w:val="16"/>
          <w:shd w:val="clear" w:color="auto" w:fill="FFFFFF"/>
        </w:rPr>
        <w:t>Dans le cas d'un patient ayant des préoccupations de nature sexuelle, le candidat devra</w:t>
      </w:r>
    </w:p>
    <w:p w:rsidR="002D636E" w:rsidRPr="002D636E" w:rsidRDefault="002D636E" w:rsidP="0012303F">
      <w:pPr>
        <w:numPr>
          <w:ilvl w:val="0"/>
          <w:numId w:val="744"/>
        </w:numPr>
        <w:shd w:val="clear" w:color="auto" w:fill="FFFFFF"/>
        <w:spacing w:before="100" w:beforeAutospacing="1" w:after="100" w:afterAutospacing="1" w:line="240" w:lineRule="auto"/>
        <w:rPr>
          <w:rFonts w:cs="Times New Roman"/>
          <w:color w:val="000000"/>
          <w:sz w:val="16"/>
          <w:szCs w:val="16"/>
          <w:shd w:val="clear" w:color="auto" w:fill="FFFFFF"/>
        </w:rPr>
      </w:pPr>
      <w:r w:rsidRPr="002D636E">
        <w:rPr>
          <w:rFonts w:cs="Times New Roman"/>
          <w:color w:val="000000"/>
          <w:sz w:val="16"/>
          <w:szCs w:val="16"/>
          <w:shd w:val="clear" w:color="auto" w:fill="FFFFFF"/>
        </w:rPr>
        <w:t>énumérer et interpréter les constatations cliniques cruciales, notamment celles découlant :</w:t>
      </w:r>
    </w:p>
    <w:p w:rsidR="002D636E" w:rsidRPr="002D636E" w:rsidRDefault="002D636E" w:rsidP="0012303F">
      <w:pPr>
        <w:numPr>
          <w:ilvl w:val="1"/>
          <w:numId w:val="744"/>
        </w:numPr>
        <w:shd w:val="clear" w:color="auto" w:fill="FFFFFF"/>
        <w:spacing w:before="100" w:beforeAutospacing="1" w:after="100" w:afterAutospacing="1" w:line="240" w:lineRule="auto"/>
        <w:rPr>
          <w:rFonts w:cs="Times New Roman"/>
          <w:color w:val="000000"/>
          <w:sz w:val="16"/>
          <w:szCs w:val="16"/>
          <w:shd w:val="clear" w:color="auto" w:fill="FFFFFF"/>
        </w:rPr>
      </w:pPr>
      <w:r w:rsidRPr="002D636E">
        <w:rPr>
          <w:rFonts w:cs="Times New Roman"/>
          <w:color w:val="000000"/>
          <w:sz w:val="16"/>
          <w:szCs w:val="16"/>
          <w:shd w:val="clear" w:color="auto" w:fill="FFFFFF"/>
        </w:rPr>
        <w:t>d'une anamnèse (in</w:t>
      </w:r>
      <w:r w:rsidR="0093501D">
        <w:rPr>
          <w:rFonts w:cs="Times New Roman"/>
          <w:color w:val="000000"/>
          <w:sz w:val="16"/>
          <w:szCs w:val="16"/>
          <w:shd w:val="clear" w:color="auto" w:fill="FFFFFF"/>
        </w:rPr>
        <w:t>cluant les facteurs de stress p</w:t>
      </w:r>
      <w:r w:rsidRPr="002D636E">
        <w:rPr>
          <w:rFonts w:cs="Times New Roman"/>
          <w:color w:val="000000"/>
          <w:sz w:val="16"/>
          <w:szCs w:val="16"/>
          <w:shd w:val="clear" w:color="auto" w:fill="FFFFFF"/>
        </w:rPr>
        <w:t>sychosociaux) et d'un examen physique appropriés visant :</w:t>
      </w:r>
    </w:p>
    <w:p w:rsidR="002D636E" w:rsidRPr="002D636E" w:rsidRDefault="002D636E" w:rsidP="0012303F">
      <w:pPr>
        <w:numPr>
          <w:ilvl w:val="2"/>
          <w:numId w:val="744"/>
        </w:numPr>
        <w:shd w:val="clear" w:color="auto" w:fill="FFFFFF"/>
        <w:spacing w:before="100" w:beforeAutospacing="1" w:after="100" w:afterAutospacing="1" w:line="240" w:lineRule="auto"/>
        <w:rPr>
          <w:rFonts w:cs="Times New Roman"/>
          <w:color w:val="000000"/>
          <w:sz w:val="16"/>
          <w:szCs w:val="16"/>
          <w:shd w:val="clear" w:color="auto" w:fill="FFFFFF"/>
        </w:rPr>
      </w:pPr>
      <w:bookmarkStart w:id="358" w:name="Objectifssp%C3%A9cifiques1.1.1"/>
      <w:r w:rsidRPr="002D636E">
        <w:rPr>
          <w:rFonts w:cs="Times New Roman"/>
          <w:color w:val="000000"/>
          <w:sz w:val="16"/>
          <w:szCs w:val="16"/>
          <w:shd w:val="clear" w:color="auto" w:fill="FFFFFF"/>
        </w:rPr>
        <w:t>à identifier les causes traitables;</w:t>
      </w:r>
    </w:p>
    <w:p w:rsidR="002D636E" w:rsidRPr="002D636E" w:rsidRDefault="002D636E" w:rsidP="0012303F">
      <w:pPr>
        <w:numPr>
          <w:ilvl w:val="2"/>
          <w:numId w:val="744"/>
        </w:numPr>
        <w:shd w:val="clear" w:color="auto" w:fill="FFFFFF"/>
        <w:spacing w:before="100" w:beforeAutospacing="1" w:after="100" w:afterAutospacing="1" w:line="240" w:lineRule="auto"/>
        <w:rPr>
          <w:rFonts w:cs="Times New Roman"/>
          <w:color w:val="000000"/>
          <w:sz w:val="16"/>
          <w:szCs w:val="16"/>
          <w:shd w:val="clear" w:color="auto" w:fill="FFFFFF"/>
        </w:rPr>
      </w:pPr>
      <w:bookmarkStart w:id="359" w:name="Objectifssp%C3%A9cifiques1.1.2"/>
      <w:bookmarkEnd w:id="358"/>
      <w:r w:rsidRPr="002D636E">
        <w:rPr>
          <w:rFonts w:cs="Times New Roman"/>
          <w:color w:val="000000"/>
          <w:sz w:val="16"/>
          <w:szCs w:val="16"/>
          <w:shd w:val="clear" w:color="auto" w:fill="FFFFFF"/>
        </w:rPr>
        <w:t>à conseiller et renseigner le patient;</w:t>
      </w:r>
    </w:p>
    <w:p w:rsidR="002D636E" w:rsidRPr="002D636E" w:rsidRDefault="002D636E" w:rsidP="0012303F">
      <w:pPr>
        <w:numPr>
          <w:ilvl w:val="2"/>
          <w:numId w:val="744"/>
        </w:numPr>
        <w:shd w:val="clear" w:color="auto" w:fill="FFFFFF"/>
        <w:spacing w:before="100" w:beforeAutospacing="1" w:after="100" w:afterAutospacing="1" w:line="240" w:lineRule="auto"/>
        <w:rPr>
          <w:rFonts w:cs="Times New Roman"/>
          <w:color w:val="000000"/>
          <w:sz w:val="16"/>
          <w:szCs w:val="16"/>
          <w:shd w:val="clear" w:color="auto" w:fill="FFFFFF"/>
        </w:rPr>
      </w:pPr>
      <w:bookmarkStart w:id="360" w:name="Objectifssp%C3%A9cifiques1.1.3"/>
      <w:bookmarkEnd w:id="359"/>
      <w:r w:rsidRPr="002D636E">
        <w:rPr>
          <w:rFonts w:cs="Times New Roman"/>
          <w:color w:val="000000"/>
          <w:sz w:val="16"/>
          <w:szCs w:val="16"/>
          <w:shd w:val="clear" w:color="auto" w:fill="FFFFFF"/>
        </w:rPr>
        <w:t>à établir la distinction entre, d'une part, sexualité mutuelle ou normale et, d'autre part, sexualité dysfonctionnelle, agressions ou abus sexuels et inceste;</w:t>
      </w:r>
    </w:p>
    <w:p w:rsidR="002D636E" w:rsidRPr="002D636E" w:rsidRDefault="002D636E" w:rsidP="0012303F">
      <w:pPr>
        <w:numPr>
          <w:ilvl w:val="2"/>
          <w:numId w:val="744"/>
        </w:numPr>
        <w:shd w:val="clear" w:color="auto" w:fill="FFFFFF"/>
        <w:spacing w:before="100" w:beforeAutospacing="1" w:after="100" w:afterAutospacing="1" w:line="240" w:lineRule="auto"/>
        <w:rPr>
          <w:rFonts w:cs="Times New Roman"/>
          <w:color w:val="000000"/>
          <w:sz w:val="16"/>
          <w:szCs w:val="16"/>
          <w:shd w:val="clear" w:color="auto" w:fill="FFFFFF"/>
        </w:rPr>
      </w:pPr>
      <w:bookmarkStart w:id="361" w:name="Objectifssp%C3%A9cifiques1.1.4"/>
      <w:bookmarkEnd w:id="360"/>
      <w:r w:rsidRPr="002D636E">
        <w:rPr>
          <w:rFonts w:cs="Times New Roman"/>
          <w:color w:val="000000"/>
          <w:sz w:val="16"/>
          <w:szCs w:val="16"/>
          <w:shd w:val="clear" w:color="auto" w:fill="FFFFFF"/>
        </w:rPr>
        <w:t>à déterminer, s'il y a lieu, le développement et le comportement sexuels du patient sur les plans social et physique, ainsi que son orientation sexuelle et l'acceptation de celle-ci;</w:t>
      </w:r>
    </w:p>
    <w:bookmarkEnd w:id="361"/>
    <w:p w:rsidR="002D636E" w:rsidRPr="002D636E" w:rsidRDefault="002D636E" w:rsidP="0012303F">
      <w:pPr>
        <w:numPr>
          <w:ilvl w:val="0"/>
          <w:numId w:val="744"/>
        </w:numPr>
        <w:shd w:val="clear" w:color="auto" w:fill="FFFFFF"/>
        <w:spacing w:before="100" w:beforeAutospacing="1" w:after="100" w:afterAutospacing="1" w:line="240" w:lineRule="auto"/>
        <w:rPr>
          <w:rFonts w:cs="Times New Roman"/>
          <w:color w:val="000000"/>
          <w:sz w:val="16"/>
          <w:szCs w:val="16"/>
          <w:shd w:val="clear" w:color="auto" w:fill="FFFFFF"/>
        </w:rPr>
      </w:pPr>
      <w:r w:rsidRPr="002D636E">
        <w:rPr>
          <w:rFonts w:cs="Times New Roman"/>
          <w:color w:val="000000"/>
          <w:sz w:val="16"/>
          <w:szCs w:val="16"/>
          <w:shd w:val="clear" w:color="auto" w:fill="FFFFFF"/>
        </w:rPr>
        <w:t>énumérer et interpréter les examens essentiels requis pour déterminer les causes sous-jacentes;</w:t>
      </w:r>
    </w:p>
    <w:p w:rsidR="002D636E" w:rsidRPr="002D636E" w:rsidRDefault="002D636E" w:rsidP="0012303F">
      <w:pPr>
        <w:numPr>
          <w:ilvl w:val="0"/>
          <w:numId w:val="744"/>
        </w:numPr>
        <w:shd w:val="clear" w:color="auto" w:fill="FFFFFF"/>
        <w:spacing w:before="100" w:beforeAutospacing="1" w:after="100" w:afterAutospacing="1" w:line="240" w:lineRule="auto"/>
        <w:rPr>
          <w:rFonts w:cs="Times New Roman"/>
          <w:color w:val="000000"/>
          <w:sz w:val="16"/>
          <w:szCs w:val="16"/>
          <w:shd w:val="clear" w:color="auto" w:fill="FFFFFF"/>
        </w:rPr>
      </w:pPr>
      <w:r w:rsidRPr="002D636E">
        <w:rPr>
          <w:rFonts w:cs="Times New Roman"/>
          <w:color w:val="000000"/>
          <w:sz w:val="16"/>
          <w:szCs w:val="16"/>
          <w:shd w:val="clear" w:color="auto" w:fill="FFFFFF"/>
        </w:rPr>
        <w:t>établir un plan efficace de prise en charge initiale en fonction de la cause sous-jacente (p. ex. sildénafil);</w:t>
      </w:r>
    </w:p>
    <w:p w:rsidR="002D636E" w:rsidRPr="002D636E" w:rsidRDefault="002D636E" w:rsidP="0012303F">
      <w:pPr>
        <w:numPr>
          <w:ilvl w:val="0"/>
          <w:numId w:val="744"/>
        </w:numPr>
        <w:shd w:val="clear" w:color="auto" w:fill="FFFFFF"/>
        <w:spacing w:before="100" w:beforeAutospacing="1" w:after="100" w:afterAutospacing="1" w:line="240" w:lineRule="auto"/>
        <w:rPr>
          <w:rFonts w:cs="Times New Roman"/>
          <w:color w:val="000000"/>
          <w:sz w:val="16"/>
          <w:szCs w:val="16"/>
          <w:shd w:val="clear" w:color="auto" w:fill="FFFFFF"/>
        </w:rPr>
      </w:pPr>
      <w:r w:rsidRPr="002D636E">
        <w:rPr>
          <w:rFonts w:cs="Times New Roman"/>
          <w:color w:val="000000"/>
          <w:sz w:val="16"/>
          <w:szCs w:val="16"/>
          <w:shd w:val="clear" w:color="auto" w:fill="FFFFFF"/>
        </w:rPr>
        <w:t>déterminer si le patient a besoin de soins spécialisés;</w:t>
      </w:r>
    </w:p>
    <w:p w:rsidR="002D636E" w:rsidRPr="002D636E" w:rsidRDefault="002D636E" w:rsidP="0012303F">
      <w:pPr>
        <w:numPr>
          <w:ilvl w:val="0"/>
          <w:numId w:val="744"/>
        </w:numPr>
        <w:shd w:val="clear" w:color="auto" w:fill="FFFFFF"/>
        <w:spacing w:before="100" w:beforeAutospacing="1" w:after="100" w:afterAutospacing="1" w:line="240" w:lineRule="auto"/>
        <w:rPr>
          <w:rFonts w:cs="Times New Roman"/>
          <w:color w:val="000000"/>
          <w:sz w:val="16"/>
          <w:szCs w:val="16"/>
          <w:shd w:val="clear" w:color="auto" w:fill="FFFFFF"/>
        </w:rPr>
      </w:pPr>
      <w:r w:rsidRPr="002D636E">
        <w:rPr>
          <w:rFonts w:cs="Times New Roman"/>
          <w:color w:val="000000"/>
          <w:sz w:val="16"/>
          <w:szCs w:val="16"/>
          <w:shd w:val="clear" w:color="auto" w:fill="FFFFFF"/>
        </w:rPr>
        <w:t>solliciter un soutien social et familial, s'il y a lieu.</w:t>
      </w:r>
    </w:p>
    <w:p w:rsidR="002D636E" w:rsidRPr="008A1649" w:rsidRDefault="00342EE7" w:rsidP="00342EE7">
      <w:pPr>
        <w:pStyle w:val="Sansinterligne"/>
        <w:rPr>
          <w:b/>
          <w:sz w:val="28"/>
          <w:szCs w:val="28"/>
        </w:rPr>
      </w:pPr>
      <w:r w:rsidRPr="008A1649">
        <w:rPr>
          <w:b/>
          <w:sz w:val="28"/>
          <w:szCs w:val="28"/>
        </w:rPr>
        <w:t>Questionnaire et examen approprié</w:t>
      </w:r>
    </w:p>
    <w:tbl>
      <w:tblPr>
        <w:tblStyle w:val="Grilledutableau"/>
        <w:tblpPr w:leftFromText="141" w:rightFromText="141" w:vertAnchor="text" w:horzAnchor="margin" w:tblpXSpec="right" w:tblpY="40"/>
        <w:tblW w:w="0" w:type="auto"/>
        <w:tblLook w:val="04A0" w:firstRow="1" w:lastRow="0" w:firstColumn="1" w:lastColumn="0" w:noHBand="0" w:noVBand="1"/>
      </w:tblPr>
      <w:tblGrid>
        <w:gridCol w:w="5070"/>
      </w:tblGrid>
      <w:tr w:rsidR="00265214" w:rsidTr="002479F6">
        <w:trPr>
          <w:trHeight w:val="284"/>
        </w:trPr>
        <w:tc>
          <w:tcPr>
            <w:tcW w:w="5070" w:type="dxa"/>
            <w:shd w:val="clear" w:color="auto" w:fill="92D050"/>
          </w:tcPr>
          <w:p w:rsidR="00265214" w:rsidRPr="00265214" w:rsidRDefault="00265214" w:rsidP="00265214">
            <w:pPr>
              <w:pStyle w:val="Sansinterligne"/>
              <w:jc w:val="center"/>
              <w:rPr>
                <w:i/>
              </w:rPr>
            </w:pPr>
            <w:r w:rsidRPr="00265214">
              <w:rPr>
                <w:i/>
              </w:rPr>
              <w:t>Causes de dysfonction érectile / impuissance</w:t>
            </w:r>
          </w:p>
        </w:tc>
      </w:tr>
      <w:tr w:rsidR="00265214" w:rsidTr="00265214">
        <w:tc>
          <w:tcPr>
            <w:tcW w:w="5070" w:type="dxa"/>
          </w:tcPr>
          <w:p w:rsidR="00265214" w:rsidRDefault="00265214" w:rsidP="00265214">
            <w:pPr>
              <w:pStyle w:val="Sansinterligne"/>
            </w:pPr>
            <w:r w:rsidRPr="00265214">
              <w:rPr>
                <w:b/>
                <w:sz w:val="24"/>
                <w:szCs w:val="24"/>
              </w:rPr>
              <w:t>I</w:t>
            </w:r>
            <w:r>
              <w:t>atrogénique</w:t>
            </w:r>
          </w:p>
          <w:p w:rsidR="00265214" w:rsidRDefault="00265214" w:rsidP="00265214">
            <w:pPr>
              <w:pStyle w:val="Sansinterligne"/>
            </w:pPr>
            <w:r w:rsidRPr="00265214">
              <w:rPr>
                <w:b/>
                <w:sz w:val="24"/>
                <w:szCs w:val="24"/>
              </w:rPr>
              <w:t>M</w:t>
            </w:r>
            <w:r>
              <w:t>écanique</w:t>
            </w:r>
          </w:p>
          <w:p w:rsidR="00265214" w:rsidRDefault="00265214" w:rsidP="00265214">
            <w:pPr>
              <w:pStyle w:val="Sansinterligne"/>
            </w:pPr>
            <w:r w:rsidRPr="00265214">
              <w:rPr>
                <w:b/>
                <w:sz w:val="24"/>
                <w:szCs w:val="24"/>
              </w:rPr>
              <w:t>P</w:t>
            </w:r>
            <w:r>
              <w:t>sychologique</w:t>
            </w:r>
          </w:p>
          <w:p w:rsidR="00265214" w:rsidRDefault="00265214" w:rsidP="00265214">
            <w:pPr>
              <w:pStyle w:val="Sansinterligne"/>
            </w:pPr>
            <w:r w:rsidRPr="00265214">
              <w:rPr>
                <w:b/>
                <w:sz w:val="24"/>
                <w:szCs w:val="24"/>
              </w:rPr>
              <w:t>O</w:t>
            </w:r>
            <w:r>
              <w:t>cclusion vasculaire</w:t>
            </w:r>
          </w:p>
          <w:p w:rsidR="00265214" w:rsidRDefault="00265214" w:rsidP="00265214">
            <w:pPr>
              <w:pStyle w:val="Sansinterligne"/>
            </w:pPr>
            <w:r w:rsidRPr="00265214">
              <w:rPr>
                <w:b/>
                <w:sz w:val="24"/>
                <w:szCs w:val="24"/>
              </w:rPr>
              <w:t>E</w:t>
            </w:r>
            <w:r>
              <w:t>xtra (IRC, cirrhose, MPOC, etc.)</w:t>
            </w:r>
          </w:p>
          <w:p w:rsidR="00265214" w:rsidRDefault="00265214" w:rsidP="00265214">
            <w:pPr>
              <w:pStyle w:val="Sansinterligne"/>
            </w:pPr>
            <w:r w:rsidRPr="00265214">
              <w:rPr>
                <w:b/>
                <w:sz w:val="24"/>
                <w:szCs w:val="24"/>
              </w:rPr>
              <w:t>T</w:t>
            </w:r>
            <w:r>
              <w:t>rauma</w:t>
            </w:r>
          </w:p>
          <w:p w:rsidR="00265214" w:rsidRDefault="00265214" w:rsidP="00265214">
            <w:pPr>
              <w:pStyle w:val="Sansinterligne"/>
            </w:pPr>
            <w:r w:rsidRPr="00265214">
              <w:rPr>
                <w:b/>
                <w:sz w:val="24"/>
                <w:szCs w:val="24"/>
              </w:rPr>
              <w:t>N</w:t>
            </w:r>
            <w:r>
              <w:t>eurogène (lésion médullaire, SEP, Parkinson, etc.)</w:t>
            </w:r>
          </w:p>
          <w:p w:rsidR="00265214" w:rsidRDefault="00265214" w:rsidP="00265214">
            <w:pPr>
              <w:pStyle w:val="Sansinterligne"/>
            </w:pPr>
            <w:r w:rsidRPr="00265214">
              <w:rPr>
                <w:b/>
                <w:sz w:val="24"/>
                <w:szCs w:val="24"/>
              </w:rPr>
              <w:t>C</w:t>
            </w:r>
            <w:r>
              <w:t xml:space="preserve">himique ( </w:t>
            </w:r>
            <w:r>
              <w:rPr>
                <w:rFonts w:cs="Times New Roman"/>
              </w:rPr>
              <w:t>β</w:t>
            </w:r>
            <w:r>
              <w:t>-bloqueurs, ISRS, antipsychotiques, etc.)</w:t>
            </w:r>
          </w:p>
          <w:p w:rsidR="00265214" w:rsidRDefault="00265214" w:rsidP="00265214">
            <w:pPr>
              <w:pStyle w:val="Sansinterligne"/>
            </w:pPr>
            <w:r w:rsidRPr="00265214">
              <w:rPr>
                <w:b/>
                <w:sz w:val="24"/>
                <w:szCs w:val="24"/>
              </w:rPr>
              <w:t>E</w:t>
            </w:r>
            <w:r>
              <w:t>ndocrinien (Diabète, hyperPRL, hypo/hyperT</w:t>
            </w:r>
            <w:r w:rsidRPr="00265214">
              <w:rPr>
                <w:vertAlign w:val="subscript"/>
              </w:rPr>
              <w:t>4</w:t>
            </w:r>
            <w:r>
              <w:rPr>
                <w:vertAlign w:val="subscript"/>
              </w:rPr>
              <w:t xml:space="preserve">, </w:t>
            </w:r>
            <w:r w:rsidRPr="00265214">
              <w:t>etc</w:t>
            </w:r>
            <w:r>
              <w:rPr>
                <w:vertAlign w:val="subscript"/>
              </w:rPr>
              <w:t>.</w:t>
            </w:r>
            <w:r>
              <w:t>)</w:t>
            </w:r>
          </w:p>
        </w:tc>
      </w:tr>
    </w:tbl>
    <w:p w:rsidR="00342EE7" w:rsidRDefault="00342EE7" w:rsidP="00342EE7">
      <w:pPr>
        <w:pStyle w:val="Sansinterligne"/>
      </w:pPr>
    </w:p>
    <w:p w:rsidR="00342EE7" w:rsidRDefault="00342EE7" w:rsidP="00BC3DCC">
      <w:pPr>
        <w:pStyle w:val="Sansinterligne"/>
        <w:numPr>
          <w:ilvl w:val="0"/>
          <w:numId w:val="776"/>
        </w:numPr>
      </w:pPr>
      <w:r>
        <w:t>Si le patient a déjà embrassé quelqu’un</w:t>
      </w:r>
      <w:r w:rsidR="008A1649">
        <w:t xml:space="preserve"> ?</w:t>
      </w:r>
    </w:p>
    <w:p w:rsidR="00342EE7" w:rsidRDefault="007236F3" w:rsidP="00BC3DCC">
      <w:pPr>
        <w:pStyle w:val="Sansinterligne"/>
        <w:numPr>
          <w:ilvl w:val="0"/>
          <w:numId w:val="776"/>
        </w:numPr>
      </w:pPr>
      <w:r>
        <w:t>Déjà eu une relation</w:t>
      </w:r>
      <w:r w:rsidR="00342EE7">
        <w:t xml:space="preserve"> sexuelle ?</w:t>
      </w:r>
    </w:p>
    <w:p w:rsidR="00342EE7" w:rsidRDefault="00342EE7" w:rsidP="00BC3DCC">
      <w:pPr>
        <w:pStyle w:val="Sansinterligne"/>
        <w:numPr>
          <w:ilvl w:val="0"/>
          <w:numId w:val="776"/>
        </w:numPr>
      </w:pPr>
      <w:r>
        <w:t>Usage de protections ou de moyens contraceptifs ?</w:t>
      </w:r>
    </w:p>
    <w:p w:rsidR="00342EE7" w:rsidRDefault="00342EE7" w:rsidP="00BC3DCC">
      <w:pPr>
        <w:pStyle w:val="Sansinterligne"/>
        <w:numPr>
          <w:ilvl w:val="0"/>
          <w:numId w:val="776"/>
        </w:numPr>
      </w:pPr>
      <w:r>
        <w:t>Orientation sexuelle ?</w:t>
      </w:r>
    </w:p>
    <w:p w:rsidR="00A6341C" w:rsidRDefault="00A6341C" w:rsidP="00BC3DCC">
      <w:pPr>
        <w:pStyle w:val="Sansinterligne"/>
        <w:numPr>
          <w:ilvl w:val="0"/>
          <w:numId w:val="776"/>
        </w:numPr>
      </w:pPr>
      <w:r>
        <w:t>Acceptation de son orientation ?</w:t>
      </w:r>
    </w:p>
    <w:p w:rsidR="00342EE7" w:rsidRDefault="00A6341C" w:rsidP="00BC3DCC">
      <w:pPr>
        <w:pStyle w:val="Sansinterligne"/>
        <w:numPr>
          <w:ilvl w:val="0"/>
          <w:numId w:val="776"/>
        </w:numPr>
      </w:pPr>
      <w:r>
        <w:t>Médication prise ?</w:t>
      </w:r>
    </w:p>
    <w:p w:rsidR="00342EE7" w:rsidRDefault="00342EE7" w:rsidP="00BC3DCC">
      <w:pPr>
        <w:pStyle w:val="Sansinterligne"/>
        <w:numPr>
          <w:ilvl w:val="0"/>
          <w:numId w:val="776"/>
        </w:numPr>
      </w:pPr>
      <w:r>
        <w:t>Si dysfonction érectile :</w:t>
      </w:r>
    </w:p>
    <w:p w:rsidR="00342EE7" w:rsidRDefault="00342EE7" w:rsidP="00BC3DCC">
      <w:pPr>
        <w:pStyle w:val="Sansinterligne"/>
        <w:numPr>
          <w:ilvl w:val="1"/>
          <w:numId w:val="776"/>
        </w:numPr>
      </w:pPr>
      <w:r>
        <w:t>Constante / épisodique ?</w:t>
      </w:r>
    </w:p>
    <w:p w:rsidR="00342EE7" w:rsidRDefault="00342EE7" w:rsidP="00BC3DCC">
      <w:pPr>
        <w:pStyle w:val="Sansinterligne"/>
        <w:numPr>
          <w:ilvl w:val="1"/>
          <w:numId w:val="776"/>
        </w:numPr>
      </w:pPr>
      <w:r>
        <w:t>Érections matinales présentes ?</w:t>
      </w:r>
    </w:p>
    <w:p w:rsidR="00342EE7" w:rsidRDefault="00342EE7" w:rsidP="00BC3DCC">
      <w:pPr>
        <w:pStyle w:val="Sansinterligne"/>
        <w:numPr>
          <w:ilvl w:val="1"/>
          <w:numId w:val="776"/>
        </w:numPr>
      </w:pPr>
      <w:r>
        <w:t>Variation avec le conjoint ou autres partenaire/fantasme</w:t>
      </w:r>
    </w:p>
    <w:p w:rsidR="00342EE7" w:rsidRDefault="00342EE7" w:rsidP="00BC3DCC">
      <w:pPr>
        <w:pStyle w:val="Sansinterligne"/>
        <w:numPr>
          <w:ilvl w:val="1"/>
          <w:numId w:val="776"/>
        </w:numPr>
      </w:pPr>
      <w:r>
        <w:t>ATCD cardiovasculaires ?</w:t>
      </w:r>
    </w:p>
    <w:p w:rsidR="002F4B1F" w:rsidRDefault="002F4B1F" w:rsidP="00BC3DCC">
      <w:pPr>
        <w:pStyle w:val="Sansinterligne"/>
        <w:numPr>
          <w:ilvl w:val="0"/>
          <w:numId w:val="776"/>
        </w:numPr>
      </w:pPr>
      <w:r>
        <w:t>Si trouble éjaculatoire, depuis quand, dans quelles circonstances ?</w:t>
      </w:r>
    </w:p>
    <w:p w:rsidR="002F4B1F" w:rsidRDefault="002F4B1F" w:rsidP="00BC3DCC">
      <w:pPr>
        <w:pStyle w:val="Sansinterligne"/>
        <w:numPr>
          <w:ilvl w:val="0"/>
          <w:numId w:val="776"/>
        </w:numPr>
      </w:pPr>
      <w:r>
        <w:t>Si paraphilie : bien questionner le passage à l’acte</w:t>
      </w:r>
    </w:p>
    <w:p w:rsidR="00342EE7" w:rsidRPr="00342EE7" w:rsidRDefault="002F4B1F" w:rsidP="00BC3DCC">
      <w:pPr>
        <w:pStyle w:val="Sansinterligne"/>
        <w:numPr>
          <w:ilvl w:val="1"/>
          <w:numId w:val="776"/>
        </w:numPr>
      </w:pPr>
      <w:r>
        <w:t>Une atteinte sur un enfant exige un signalement à la DPJ (ex</w:t>
      </w:r>
      <w:r w:rsidR="00ED67B5">
        <w:t>ception au secret professionnel)</w:t>
      </w:r>
    </w:p>
    <w:p w:rsidR="00ED67B5" w:rsidRDefault="00ED67B5" w:rsidP="002D636E">
      <w:pPr>
        <w:pStyle w:val="Sansinterligne"/>
        <w:rPr>
          <w:b/>
          <w:sz w:val="28"/>
          <w:szCs w:val="28"/>
          <w:lang w:eastAsia="fr-CA"/>
        </w:rPr>
      </w:pPr>
    </w:p>
    <w:p w:rsidR="00ED67B5" w:rsidRDefault="00ED67B5" w:rsidP="002D636E">
      <w:pPr>
        <w:pStyle w:val="Sansinterligne"/>
        <w:rPr>
          <w:b/>
          <w:sz w:val="28"/>
          <w:szCs w:val="28"/>
          <w:lang w:eastAsia="fr-CA"/>
        </w:rPr>
      </w:pPr>
    </w:p>
    <w:p w:rsidR="00A6341C" w:rsidRPr="00A6341C" w:rsidRDefault="00A6341C" w:rsidP="002D636E">
      <w:pPr>
        <w:pStyle w:val="Sansinterligne"/>
        <w:rPr>
          <w:b/>
          <w:sz w:val="28"/>
          <w:szCs w:val="28"/>
          <w:lang w:eastAsia="fr-CA"/>
        </w:rPr>
      </w:pPr>
      <w:r w:rsidRPr="00A6341C">
        <w:rPr>
          <w:b/>
          <w:sz w:val="28"/>
          <w:szCs w:val="28"/>
          <w:lang w:eastAsia="fr-CA"/>
        </w:rPr>
        <w:t>Diagnostics</w:t>
      </w:r>
    </w:p>
    <w:p w:rsidR="00A6341C" w:rsidRDefault="00A6341C" w:rsidP="002D636E">
      <w:pPr>
        <w:pStyle w:val="Sansinterligne"/>
        <w:rPr>
          <w:lang w:eastAsia="fr-CA"/>
        </w:rPr>
      </w:pPr>
    </w:p>
    <w:tbl>
      <w:tblPr>
        <w:tblStyle w:val="Grilledutableau"/>
        <w:tblW w:w="0" w:type="auto"/>
        <w:tblLook w:val="04A0" w:firstRow="1" w:lastRow="0" w:firstColumn="1" w:lastColumn="0" w:noHBand="0" w:noVBand="1"/>
      </w:tblPr>
      <w:tblGrid>
        <w:gridCol w:w="1384"/>
        <w:gridCol w:w="1701"/>
        <w:gridCol w:w="7855"/>
      </w:tblGrid>
      <w:tr w:rsidR="00012D3B" w:rsidTr="002479F6">
        <w:tc>
          <w:tcPr>
            <w:tcW w:w="1384" w:type="dxa"/>
            <w:shd w:val="clear" w:color="auto" w:fill="9BBB59" w:themeFill="accent3"/>
          </w:tcPr>
          <w:p w:rsidR="00012D3B" w:rsidRDefault="00012D3B" w:rsidP="00852D64">
            <w:pPr>
              <w:pStyle w:val="Sansinterligne"/>
              <w:jc w:val="center"/>
              <w:rPr>
                <w:lang w:eastAsia="fr-CA"/>
              </w:rPr>
            </w:pPr>
          </w:p>
        </w:tc>
        <w:tc>
          <w:tcPr>
            <w:tcW w:w="1701" w:type="dxa"/>
            <w:shd w:val="clear" w:color="auto" w:fill="9BBB59" w:themeFill="accent3"/>
          </w:tcPr>
          <w:p w:rsidR="00012D3B" w:rsidRDefault="00012D3B" w:rsidP="00F948E9">
            <w:pPr>
              <w:pStyle w:val="Sansinterligne"/>
              <w:jc w:val="center"/>
              <w:rPr>
                <w:lang w:eastAsia="fr-CA"/>
              </w:rPr>
            </w:pPr>
            <w:r>
              <w:rPr>
                <w:lang w:eastAsia="fr-CA"/>
              </w:rPr>
              <w:t xml:space="preserve">Étiologie </w:t>
            </w:r>
          </w:p>
        </w:tc>
        <w:tc>
          <w:tcPr>
            <w:tcW w:w="7855" w:type="dxa"/>
            <w:shd w:val="clear" w:color="auto" w:fill="9BBB59" w:themeFill="accent3"/>
          </w:tcPr>
          <w:p w:rsidR="00012D3B" w:rsidRDefault="00012D3B" w:rsidP="00852D64">
            <w:pPr>
              <w:pStyle w:val="Sansinterligne"/>
              <w:jc w:val="center"/>
              <w:rPr>
                <w:lang w:eastAsia="fr-CA"/>
              </w:rPr>
            </w:pPr>
            <w:r>
              <w:rPr>
                <w:lang w:eastAsia="fr-CA"/>
              </w:rPr>
              <w:t>Manifestations cliniques</w:t>
            </w:r>
          </w:p>
        </w:tc>
      </w:tr>
      <w:tr w:rsidR="00A6341C" w:rsidTr="00ED67B5">
        <w:tc>
          <w:tcPr>
            <w:tcW w:w="1384" w:type="dxa"/>
            <w:shd w:val="clear" w:color="auto" w:fill="C2D69B" w:themeFill="accent3" w:themeFillTint="99"/>
            <w:vAlign w:val="center"/>
          </w:tcPr>
          <w:p w:rsidR="00A6341C" w:rsidRDefault="00683EDD" w:rsidP="00F948E9">
            <w:pPr>
              <w:pStyle w:val="Sansinterligne"/>
              <w:jc w:val="center"/>
              <w:rPr>
                <w:lang w:eastAsia="fr-CA"/>
              </w:rPr>
            </w:pPr>
            <w:r>
              <w:rPr>
                <w:lang w:eastAsia="fr-CA"/>
              </w:rPr>
              <w:t>Éjaculation prématurée</w:t>
            </w:r>
          </w:p>
        </w:tc>
        <w:tc>
          <w:tcPr>
            <w:tcW w:w="1701" w:type="dxa"/>
            <w:vAlign w:val="center"/>
          </w:tcPr>
          <w:p w:rsidR="00A6341C" w:rsidRDefault="00012D3B" w:rsidP="00ED67B5">
            <w:pPr>
              <w:pStyle w:val="Sansinterligne"/>
              <w:jc w:val="center"/>
              <w:rPr>
                <w:lang w:eastAsia="fr-CA"/>
              </w:rPr>
            </w:pPr>
            <w:r>
              <w:rPr>
                <w:lang w:eastAsia="fr-CA"/>
              </w:rPr>
              <w:t>Psychologique</w:t>
            </w:r>
          </w:p>
        </w:tc>
        <w:tc>
          <w:tcPr>
            <w:tcW w:w="7855" w:type="dxa"/>
          </w:tcPr>
          <w:p w:rsidR="00A6341C" w:rsidRDefault="00012D3B" w:rsidP="00BC3DCC">
            <w:pPr>
              <w:pStyle w:val="Sansinterligne"/>
              <w:numPr>
                <w:ilvl w:val="0"/>
                <w:numId w:val="770"/>
              </w:numPr>
              <w:rPr>
                <w:lang w:eastAsia="fr-CA"/>
              </w:rPr>
            </w:pPr>
            <w:r>
              <w:rPr>
                <w:lang w:eastAsia="fr-CA"/>
              </w:rPr>
              <w:t>Incapacité à contrôler ou retarder une éjaculation</w:t>
            </w:r>
          </w:p>
          <w:p w:rsidR="00012D3B" w:rsidRDefault="00012D3B" w:rsidP="00BC3DCC">
            <w:pPr>
              <w:pStyle w:val="Sansinterligne"/>
              <w:numPr>
                <w:ilvl w:val="0"/>
                <w:numId w:val="770"/>
              </w:numPr>
              <w:rPr>
                <w:lang w:eastAsia="fr-CA"/>
              </w:rPr>
            </w:pPr>
            <w:r>
              <w:rPr>
                <w:lang w:eastAsia="fr-CA"/>
              </w:rPr>
              <w:t>Généralement dans la minute qui suit la pénétration</w:t>
            </w:r>
          </w:p>
          <w:p w:rsidR="00012D3B" w:rsidRDefault="00012D3B" w:rsidP="00BC3DCC">
            <w:pPr>
              <w:pStyle w:val="Sansinterligne"/>
              <w:numPr>
                <w:ilvl w:val="0"/>
                <w:numId w:val="770"/>
              </w:numPr>
              <w:rPr>
                <w:lang w:eastAsia="fr-CA"/>
              </w:rPr>
            </w:pPr>
            <w:r>
              <w:rPr>
                <w:lang w:eastAsia="fr-CA"/>
              </w:rPr>
              <w:t>Détresse psychologique</w:t>
            </w:r>
          </w:p>
          <w:p w:rsidR="00012D3B" w:rsidRDefault="00012D3B" w:rsidP="00BC3DCC">
            <w:pPr>
              <w:pStyle w:val="Sansinterligne"/>
              <w:numPr>
                <w:ilvl w:val="0"/>
                <w:numId w:val="770"/>
              </w:numPr>
              <w:rPr>
                <w:lang w:eastAsia="fr-CA"/>
              </w:rPr>
            </w:pPr>
            <w:r>
              <w:rPr>
                <w:lang w:eastAsia="fr-CA"/>
              </w:rPr>
              <w:t xml:space="preserve">Dans presque toutes les relations sexuelles depuis </w:t>
            </w:r>
            <w:r>
              <w:rPr>
                <w:rFonts w:ascii="Century Gothic" w:hAnsi="Century Gothic"/>
                <w:lang w:eastAsia="fr-CA"/>
              </w:rPr>
              <w:t>≥</w:t>
            </w:r>
            <w:r>
              <w:rPr>
                <w:lang w:eastAsia="fr-CA"/>
              </w:rPr>
              <w:t xml:space="preserve"> 6 mois</w:t>
            </w:r>
          </w:p>
        </w:tc>
      </w:tr>
      <w:tr w:rsidR="00A6341C" w:rsidTr="00ED67B5">
        <w:tc>
          <w:tcPr>
            <w:tcW w:w="1384" w:type="dxa"/>
            <w:shd w:val="clear" w:color="auto" w:fill="C2D69B" w:themeFill="accent3" w:themeFillTint="99"/>
            <w:vAlign w:val="center"/>
          </w:tcPr>
          <w:p w:rsidR="00A6341C" w:rsidRDefault="00A6341C" w:rsidP="00F948E9">
            <w:pPr>
              <w:pStyle w:val="Sansinterligne"/>
              <w:jc w:val="center"/>
              <w:rPr>
                <w:lang w:eastAsia="fr-CA"/>
              </w:rPr>
            </w:pPr>
            <w:r>
              <w:rPr>
                <w:lang w:eastAsia="fr-CA"/>
              </w:rPr>
              <w:t>Dysfonction érectile</w:t>
            </w:r>
          </w:p>
          <w:p w:rsidR="00691FD6" w:rsidRDefault="00691FD6" w:rsidP="00F948E9">
            <w:pPr>
              <w:pStyle w:val="Sansinterligne"/>
              <w:jc w:val="center"/>
              <w:rPr>
                <w:lang w:eastAsia="fr-CA"/>
              </w:rPr>
            </w:pPr>
          </w:p>
          <w:p w:rsidR="00691FD6" w:rsidRDefault="00691FD6" w:rsidP="00F948E9">
            <w:pPr>
              <w:pStyle w:val="Sansinterligne"/>
              <w:jc w:val="center"/>
              <w:rPr>
                <w:lang w:eastAsia="fr-CA"/>
              </w:rPr>
            </w:pPr>
            <w:r>
              <w:rPr>
                <w:lang w:eastAsia="fr-CA"/>
              </w:rPr>
              <w:t>(Trouble de l’érection)</w:t>
            </w:r>
          </w:p>
        </w:tc>
        <w:tc>
          <w:tcPr>
            <w:tcW w:w="1701" w:type="dxa"/>
            <w:shd w:val="clear" w:color="auto" w:fill="FFFF00"/>
            <w:vAlign w:val="center"/>
          </w:tcPr>
          <w:p w:rsidR="00CE1169" w:rsidRDefault="00012D3B" w:rsidP="00ED67B5">
            <w:pPr>
              <w:pStyle w:val="Sansinterligne"/>
              <w:jc w:val="center"/>
              <w:rPr>
                <w:lang w:eastAsia="fr-CA"/>
              </w:rPr>
            </w:pPr>
            <w:r>
              <w:rPr>
                <w:lang w:eastAsia="fr-CA"/>
              </w:rPr>
              <w:t>Psychologique</w:t>
            </w:r>
          </w:p>
          <w:p w:rsidR="00ED67B5" w:rsidRDefault="00012D3B" w:rsidP="00ED67B5">
            <w:pPr>
              <w:pStyle w:val="Sansinterligne"/>
              <w:jc w:val="center"/>
              <w:rPr>
                <w:lang w:eastAsia="fr-CA"/>
              </w:rPr>
            </w:pPr>
            <w:r>
              <w:rPr>
                <w:lang w:eastAsia="fr-CA"/>
              </w:rPr>
              <w:t xml:space="preserve">+ </w:t>
            </w:r>
          </w:p>
          <w:p w:rsidR="00A6341C" w:rsidRDefault="00012D3B" w:rsidP="00ED67B5">
            <w:pPr>
              <w:pStyle w:val="Sansinterligne"/>
              <w:jc w:val="center"/>
              <w:rPr>
                <w:lang w:eastAsia="fr-CA"/>
              </w:rPr>
            </w:pPr>
            <w:r>
              <w:rPr>
                <w:lang w:eastAsia="fr-CA"/>
              </w:rPr>
              <w:t xml:space="preserve">multiples causes organiques         </w:t>
            </w:r>
            <w:r w:rsidR="00F948E9">
              <w:rPr>
                <w:lang w:eastAsia="fr-CA"/>
              </w:rPr>
              <w:t xml:space="preserve">      </w:t>
            </w:r>
            <w:r>
              <w:rPr>
                <w:lang w:eastAsia="fr-CA"/>
              </w:rPr>
              <w:t xml:space="preserve">    (voir encadré)</w:t>
            </w:r>
          </w:p>
        </w:tc>
        <w:tc>
          <w:tcPr>
            <w:tcW w:w="7855" w:type="dxa"/>
            <w:shd w:val="clear" w:color="auto" w:fill="FFFF00"/>
          </w:tcPr>
          <w:p w:rsidR="00852D64" w:rsidRDefault="00852D64" w:rsidP="00BC3DCC">
            <w:pPr>
              <w:pStyle w:val="Sansinterligne"/>
              <w:numPr>
                <w:ilvl w:val="0"/>
                <w:numId w:val="768"/>
              </w:numPr>
              <w:rPr>
                <w:lang w:eastAsia="fr-CA"/>
              </w:rPr>
            </w:pPr>
            <w:r>
              <w:rPr>
                <w:rFonts w:ascii="Century Gothic" w:hAnsi="Century Gothic"/>
                <w:lang w:eastAsia="fr-CA"/>
              </w:rPr>
              <w:t>≥</w:t>
            </w:r>
            <w:r>
              <w:rPr>
                <w:lang w:eastAsia="fr-CA"/>
              </w:rPr>
              <w:t xml:space="preserve"> 1 de :</w:t>
            </w:r>
          </w:p>
          <w:p w:rsidR="00852D64" w:rsidRDefault="00852D64" w:rsidP="00BC3DCC">
            <w:pPr>
              <w:pStyle w:val="Sansinterligne"/>
              <w:numPr>
                <w:ilvl w:val="1"/>
                <w:numId w:val="768"/>
              </w:numPr>
              <w:rPr>
                <w:lang w:eastAsia="fr-CA"/>
              </w:rPr>
            </w:pPr>
            <w:r>
              <w:rPr>
                <w:lang w:eastAsia="fr-CA"/>
              </w:rPr>
              <w:t>Difficulté à parvenir à une érection</w:t>
            </w:r>
          </w:p>
          <w:p w:rsidR="00852D64" w:rsidRDefault="00852D64" w:rsidP="00BC3DCC">
            <w:pPr>
              <w:pStyle w:val="Sansinterligne"/>
              <w:numPr>
                <w:ilvl w:val="1"/>
                <w:numId w:val="768"/>
              </w:numPr>
              <w:rPr>
                <w:lang w:eastAsia="fr-CA"/>
              </w:rPr>
            </w:pPr>
            <w:r>
              <w:rPr>
                <w:lang w:eastAsia="fr-CA"/>
              </w:rPr>
              <w:t>Difficulté à maintenir une érection</w:t>
            </w:r>
          </w:p>
          <w:p w:rsidR="00852D64" w:rsidRDefault="00852D64" w:rsidP="00BC3DCC">
            <w:pPr>
              <w:pStyle w:val="Sansinterligne"/>
              <w:numPr>
                <w:ilvl w:val="1"/>
                <w:numId w:val="768"/>
              </w:numPr>
              <w:rPr>
                <w:lang w:eastAsia="fr-CA"/>
              </w:rPr>
            </w:pPr>
            <w:r>
              <w:rPr>
                <w:lang w:eastAsia="fr-CA"/>
              </w:rPr>
              <w:t>Diminution marquée de la rigidité érectile</w:t>
            </w:r>
          </w:p>
          <w:p w:rsidR="00852D64" w:rsidRDefault="00852D64" w:rsidP="00BC3DCC">
            <w:pPr>
              <w:pStyle w:val="Sansinterligne"/>
              <w:numPr>
                <w:ilvl w:val="0"/>
                <w:numId w:val="768"/>
              </w:numPr>
              <w:rPr>
                <w:lang w:eastAsia="fr-CA"/>
              </w:rPr>
            </w:pPr>
            <w:r>
              <w:rPr>
                <w:lang w:eastAsia="fr-CA"/>
              </w:rPr>
              <w:t xml:space="preserve">Dans presque toutes les relations sexuelles depuis </w:t>
            </w:r>
            <w:r>
              <w:rPr>
                <w:rFonts w:ascii="Century Gothic" w:hAnsi="Century Gothic"/>
                <w:lang w:eastAsia="fr-CA"/>
              </w:rPr>
              <w:t>≥</w:t>
            </w:r>
            <w:r>
              <w:rPr>
                <w:lang w:eastAsia="fr-CA"/>
              </w:rPr>
              <w:t xml:space="preserve"> 6 mois</w:t>
            </w:r>
          </w:p>
          <w:p w:rsidR="00852D64" w:rsidRDefault="00852D64" w:rsidP="002D636E">
            <w:pPr>
              <w:pStyle w:val="Sansinterligne"/>
              <w:rPr>
                <w:b/>
                <w:lang w:eastAsia="fr-CA"/>
              </w:rPr>
            </w:pPr>
          </w:p>
          <w:p w:rsidR="00A6341C" w:rsidRPr="008A1649" w:rsidRDefault="00012D3B" w:rsidP="002D636E">
            <w:pPr>
              <w:pStyle w:val="Sansinterligne"/>
              <w:rPr>
                <w:b/>
                <w:lang w:eastAsia="fr-CA"/>
              </w:rPr>
            </w:pPr>
            <w:r w:rsidRPr="008A1649">
              <w:rPr>
                <w:b/>
                <w:lang w:eastAsia="fr-CA"/>
              </w:rPr>
              <w:t>Psychologique </w:t>
            </w:r>
          </w:p>
          <w:p w:rsidR="00012D3B" w:rsidRDefault="00012D3B" w:rsidP="002D636E">
            <w:pPr>
              <w:pStyle w:val="Sansinterligne"/>
              <w:rPr>
                <w:lang w:eastAsia="fr-CA"/>
              </w:rPr>
            </w:pPr>
            <w:r>
              <w:rPr>
                <w:lang w:eastAsia="fr-CA"/>
              </w:rPr>
              <w:t>Apparition subite du trouble</w:t>
            </w:r>
          </w:p>
          <w:p w:rsidR="00012D3B" w:rsidRDefault="00012D3B" w:rsidP="002D636E">
            <w:pPr>
              <w:pStyle w:val="Sansinterligne"/>
              <w:rPr>
                <w:lang w:eastAsia="fr-CA"/>
              </w:rPr>
            </w:pPr>
            <w:r>
              <w:rPr>
                <w:lang w:eastAsia="fr-CA"/>
              </w:rPr>
              <w:t>Épisodique ou contextuel</w:t>
            </w:r>
          </w:p>
          <w:p w:rsidR="00012D3B" w:rsidRDefault="00012D3B" w:rsidP="002D636E">
            <w:pPr>
              <w:pStyle w:val="Sansinterligne"/>
              <w:rPr>
                <w:lang w:eastAsia="fr-CA"/>
              </w:rPr>
            </w:pPr>
            <w:r>
              <w:rPr>
                <w:lang w:eastAsia="fr-CA"/>
              </w:rPr>
              <w:t>Variable selon les circonstances ou le partenaire</w:t>
            </w:r>
          </w:p>
          <w:p w:rsidR="00012D3B" w:rsidRDefault="00012D3B" w:rsidP="002D636E">
            <w:pPr>
              <w:pStyle w:val="Sansinterligne"/>
              <w:rPr>
                <w:lang w:eastAsia="fr-CA"/>
              </w:rPr>
            </w:pPr>
            <w:r>
              <w:rPr>
                <w:lang w:eastAsia="fr-CA"/>
              </w:rPr>
              <w:t>Jeune âge</w:t>
            </w:r>
          </w:p>
          <w:p w:rsidR="00012D3B" w:rsidRDefault="00012D3B" w:rsidP="002D636E">
            <w:pPr>
              <w:pStyle w:val="Sansinterligne"/>
              <w:rPr>
                <w:lang w:eastAsia="fr-CA"/>
              </w:rPr>
            </w:pPr>
            <w:r>
              <w:rPr>
                <w:lang w:eastAsia="fr-CA"/>
              </w:rPr>
              <w:t>Érection matinale ou nocturne présente</w:t>
            </w:r>
          </w:p>
          <w:p w:rsidR="00012D3B" w:rsidRDefault="00012D3B" w:rsidP="002D636E">
            <w:pPr>
              <w:pStyle w:val="Sansinterligne"/>
              <w:rPr>
                <w:lang w:eastAsia="fr-CA"/>
              </w:rPr>
            </w:pPr>
          </w:p>
          <w:p w:rsidR="00012D3B" w:rsidRPr="008A1649" w:rsidRDefault="00012D3B" w:rsidP="002D636E">
            <w:pPr>
              <w:pStyle w:val="Sansinterligne"/>
              <w:rPr>
                <w:b/>
                <w:lang w:eastAsia="fr-CA"/>
              </w:rPr>
            </w:pPr>
            <w:r w:rsidRPr="008A1649">
              <w:rPr>
                <w:b/>
                <w:lang w:eastAsia="fr-CA"/>
              </w:rPr>
              <w:t>Organique</w:t>
            </w:r>
          </w:p>
          <w:p w:rsidR="00012D3B" w:rsidRDefault="00012D3B" w:rsidP="002D636E">
            <w:pPr>
              <w:pStyle w:val="Sansinterligne"/>
              <w:rPr>
                <w:lang w:eastAsia="fr-CA"/>
              </w:rPr>
            </w:pPr>
            <w:r>
              <w:rPr>
                <w:lang w:eastAsia="fr-CA"/>
              </w:rPr>
              <w:t>Apparition graduelle</w:t>
            </w:r>
          </w:p>
          <w:p w:rsidR="00012D3B" w:rsidRDefault="00012D3B" w:rsidP="002D636E">
            <w:pPr>
              <w:pStyle w:val="Sansinterligne"/>
              <w:rPr>
                <w:lang w:eastAsia="fr-CA"/>
              </w:rPr>
            </w:pPr>
            <w:r>
              <w:rPr>
                <w:lang w:eastAsia="fr-CA"/>
              </w:rPr>
              <w:t>Persistante, non variable</w:t>
            </w:r>
          </w:p>
          <w:p w:rsidR="00852D64" w:rsidRDefault="00012D3B" w:rsidP="002D636E">
            <w:pPr>
              <w:pStyle w:val="Sansinterligne"/>
              <w:rPr>
                <w:lang w:eastAsia="fr-CA"/>
              </w:rPr>
            </w:pPr>
            <w:r>
              <w:rPr>
                <w:lang w:eastAsia="fr-CA"/>
              </w:rPr>
              <w:t>Âge plus avancé</w:t>
            </w:r>
          </w:p>
          <w:p w:rsidR="00012D3B" w:rsidRDefault="00852D64" w:rsidP="002D636E">
            <w:pPr>
              <w:pStyle w:val="Sansinterligne"/>
              <w:rPr>
                <w:lang w:eastAsia="fr-CA"/>
              </w:rPr>
            </w:pPr>
            <w:r>
              <w:rPr>
                <w:lang w:eastAsia="fr-CA"/>
              </w:rPr>
              <w:t>Pas d’érection matinale ou nocturne</w:t>
            </w:r>
          </w:p>
        </w:tc>
      </w:tr>
      <w:tr w:rsidR="00012D3B" w:rsidTr="00ED67B5">
        <w:tc>
          <w:tcPr>
            <w:tcW w:w="1384" w:type="dxa"/>
            <w:shd w:val="clear" w:color="auto" w:fill="C2D69B" w:themeFill="accent3" w:themeFillTint="99"/>
            <w:vAlign w:val="center"/>
          </w:tcPr>
          <w:p w:rsidR="00012D3B" w:rsidRDefault="00012D3B" w:rsidP="00F948E9">
            <w:pPr>
              <w:pStyle w:val="Sansinterligne"/>
              <w:jc w:val="center"/>
              <w:rPr>
                <w:lang w:eastAsia="fr-CA"/>
              </w:rPr>
            </w:pPr>
            <w:r>
              <w:rPr>
                <w:lang w:eastAsia="fr-CA"/>
              </w:rPr>
              <w:t>Éjaculation retardée</w:t>
            </w:r>
          </w:p>
        </w:tc>
        <w:tc>
          <w:tcPr>
            <w:tcW w:w="1701" w:type="dxa"/>
            <w:vAlign w:val="center"/>
          </w:tcPr>
          <w:p w:rsidR="00012D3B" w:rsidRDefault="00012D3B" w:rsidP="00ED67B5">
            <w:pPr>
              <w:pStyle w:val="Sansinterligne"/>
              <w:jc w:val="center"/>
              <w:rPr>
                <w:lang w:eastAsia="fr-CA"/>
              </w:rPr>
            </w:pPr>
            <w:r>
              <w:rPr>
                <w:lang w:eastAsia="fr-CA"/>
              </w:rPr>
              <w:t>Psychologique</w:t>
            </w:r>
          </w:p>
        </w:tc>
        <w:tc>
          <w:tcPr>
            <w:tcW w:w="7855" w:type="dxa"/>
          </w:tcPr>
          <w:p w:rsidR="00012D3B" w:rsidRDefault="00012D3B" w:rsidP="00BC3DCC">
            <w:pPr>
              <w:pStyle w:val="Sansinterligne"/>
              <w:numPr>
                <w:ilvl w:val="0"/>
                <w:numId w:val="771"/>
              </w:numPr>
              <w:rPr>
                <w:lang w:eastAsia="fr-CA"/>
              </w:rPr>
            </w:pPr>
            <w:r>
              <w:rPr>
                <w:lang w:eastAsia="fr-CA"/>
              </w:rPr>
              <w:t>Retard marqué de l’éjaculation</w:t>
            </w:r>
            <w:r w:rsidR="00AE78BF">
              <w:rPr>
                <w:lang w:eastAsia="fr-CA"/>
              </w:rPr>
              <w:t xml:space="preserve"> ou absence/ </w:t>
            </w:r>
            <w:r w:rsidR="00AE78BF">
              <w:rPr>
                <w:rFonts w:cs="Times New Roman"/>
                <w:lang w:eastAsia="fr-CA"/>
              </w:rPr>
              <w:t>↓</w:t>
            </w:r>
            <w:r w:rsidR="00AE78BF">
              <w:rPr>
                <w:lang w:eastAsia="fr-CA"/>
              </w:rPr>
              <w:t xml:space="preserve"> fréquence</w:t>
            </w:r>
          </w:p>
          <w:p w:rsidR="00012D3B" w:rsidRDefault="00012D3B" w:rsidP="00BC3DCC">
            <w:pPr>
              <w:pStyle w:val="Sansinterligne"/>
              <w:numPr>
                <w:ilvl w:val="0"/>
                <w:numId w:val="771"/>
              </w:numPr>
              <w:rPr>
                <w:lang w:eastAsia="fr-CA"/>
              </w:rPr>
            </w:pPr>
            <w:r>
              <w:rPr>
                <w:lang w:eastAsia="fr-CA"/>
              </w:rPr>
              <w:t xml:space="preserve">Dans presque toutes les relations sexuelles depuis </w:t>
            </w:r>
            <w:r>
              <w:rPr>
                <w:rFonts w:ascii="Century Gothic" w:hAnsi="Century Gothic"/>
                <w:lang w:eastAsia="fr-CA"/>
              </w:rPr>
              <w:t>≥</w:t>
            </w:r>
            <w:r>
              <w:rPr>
                <w:lang w:eastAsia="fr-CA"/>
              </w:rPr>
              <w:t xml:space="preserve"> 6 mois</w:t>
            </w:r>
          </w:p>
        </w:tc>
      </w:tr>
      <w:tr w:rsidR="00455F2F" w:rsidTr="00ED67B5">
        <w:tc>
          <w:tcPr>
            <w:tcW w:w="1384" w:type="dxa"/>
            <w:shd w:val="clear" w:color="auto" w:fill="C2D69B" w:themeFill="accent3" w:themeFillTint="99"/>
            <w:vAlign w:val="center"/>
          </w:tcPr>
          <w:p w:rsidR="00455F2F" w:rsidRDefault="00455F2F" w:rsidP="00F948E9">
            <w:pPr>
              <w:pStyle w:val="Sansinterligne"/>
              <w:jc w:val="center"/>
              <w:rPr>
                <w:lang w:eastAsia="fr-CA"/>
              </w:rPr>
            </w:pPr>
            <w:r>
              <w:rPr>
                <w:lang w:eastAsia="fr-CA"/>
              </w:rPr>
              <w:t>Diminution de l’intérêt pour l’activité sexuelle</w:t>
            </w:r>
          </w:p>
        </w:tc>
        <w:tc>
          <w:tcPr>
            <w:tcW w:w="1701" w:type="dxa"/>
            <w:vAlign w:val="center"/>
          </w:tcPr>
          <w:p w:rsidR="00455F2F" w:rsidRDefault="00455F2F" w:rsidP="00ED67B5">
            <w:pPr>
              <w:pStyle w:val="Sansinterligne"/>
              <w:jc w:val="center"/>
              <w:rPr>
                <w:lang w:eastAsia="fr-CA"/>
              </w:rPr>
            </w:pPr>
            <w:r>
              <w:rPr>
                <w:lang w:eastAsia="fr-CA"/>
              </w:rPr>
              <w:t>Psychologique (homme comme femme)</w:t>
            </w:r>
          </w:p>
        </w:tc>
        <w:tc>
          <w:tcPr>
            <w:tcW w:w="7855" w:type="dxa"/>
          </w:tcPr>
          <w:p w:rsidR="00455F2F" w:rsidRDefault="00455F2F" w:rsidP="00BC3DCC">
            <w:pPr>
              <w:pStyle w:val="Sansinterligne"/>
              <w:numPr>
                <w:ilvl w:val="0"/>
                <w:numId w:val="769"/>
              </w:numPr>
              <w:rPr>
                <w:lang w:eastAsia="fr-CA"/>
              </w:rPr>
            </w:pPr>
            <w:r>
              <w:rPr>
                <w:lang w:eastAsia="fr-CA"/>
              </w:rPr>
              <w:t>Diminution de l’intérêt</w:t>
            </w:r>
          </w:p>
          <w:p w:rsidR="00455F2F" w:rsidRDefault="00455F2F" w:rsidP="00BC3DCC">
            <w:pPr>
              <w:pStyle w:val="Sansinterligne"/>
              <w:numPr>
                <w:ilvl w:val="0"/>
                <w:numId w:val="769"/>
              </w:numPr>
              <w:rPr>
                <w:lang w:eastAsia="fr-CA"/>
              </w:rPr>
            </w:pPr>
            <w:r>
              <w:rPr>
                <w:lang w:eastAsia="fr-CA"/>
              </w:rPr>
              <w:t>Absence de fantasmes ou de pensées érotiques</w:t>
            </w:r>
          </w:p>
          <w:p w:rsidR="00455F2F" w:rsidRDefault="00455F2F" w:rsidP="00BC3DCC">
            <w:pPr>
              <w:pStyle w:val="Sansinterligne"/>
              <w:numPr>
                <w:ilvl w:val="0"/>
                <w:numId w:val="769"/>
              </w:numPr>
              <w:rPr>
                <w:lang w:eastAsia="fr-CA"/>
              </w:rPr>
            </w:pPr>
            <w:r>
              <w:rPr>
                <w:lang w:eastAsia="fr-CA"/>
              </w:rPr>
              <w:t>Peu de plaisir éprouvé lors de relations</w:t>
            </w:r>
          </w:p>
          <w:p w:rsidR="00455F2F" w:rsidRDefault="00455F2F" w:rsidP="00BC3DCC">
            <w:pPr>
              <w:pStyle w:val="Sansinterligne"/>
              <w:numPr>
                <w:ilvl w:val="0"/>
                <w:numId w:val="769"/>
              </w:numPr>
              <w:rPr>
                <w:lang w:eastAsia="fr-CA"/>
              </w:rPr>
            </w:pPr>
            <w:r>
              <w:rPr>
                <w:lang w:eastAsia="fr-CA"/>
              </w:rPr>
              <w:t xml:space="preserve">Si cause autre (ex : dyspareunie </w:t>
            </w:r>
            <w:r>
              <w:rPr>
                <w:rFonts w:ascii="Century Gothic" w:hAnsi="Century Gothic"/>
                <w:lang w:eastAsia="fr-CA"/>
              </w:rPr>
              <w:t>→</w:t>
            </w:r>
            <w:r>
              <w:rPr>
                <w:lang w:eastAsia="fr-CA"/>
              </w:rPr>
              <w:t xml:space="preserve"> </w:t>
            </w:r>
            <w:r w:rsidRPr="00455F2F">
              <w:rPr>
                <w:i/>
                <w:lang w:eastAsia="fr-CA"/>
              </w:rPr>
              <w:t>Voir Douleur pelvienne CMC 73</w:t>
            </w:r>
            <w:r>
              <w:rPr>
                <w:lang w:eastAsia="fr-CA"/>
              </w:rPr>
              <w:t>)</w:t>
            </w:r>
          </w:p>
        </w:tc>
      </w:tr>
      <w:tr w:rsidR="00A6341C" w:rsidTr="00ED67B5">
        <w:tc>
          <w:tcPr>
            <w:tcW w:w="1384" w:type="dxa"/>
            <w:shd w:val="clear" w:color="auto" w:fill="C2D69B" w:themeFill="accent3" w:themeFillTint="99"/>
            <w:vAlign w:val="center"/>
          </w:tcPr>
          <w:p w:rsidR="00A6341C" w:rsidRDefault="00683EDD" w:rsidP="00F948E9">
            <w:pPr>
              <w:pStyle w:val="Sansinterligne"/>
              <w:jc w:val="center"/>
              <w:rPr>
                <w:lang w:eastAsia="fr-CA"/>
              </w:rPr>
            </w:pPr>
            <w:r>
              <w:rPr>
                <w:lang w:eastAsia="fr-CA"/>
              </w:rPr>
              <w:t>Dysphorie du genre</w:t>
            </w:r>
          </w:p>
        </w:tc>
        <w:tc>
          <w:tcPr>
            <w:tcW w:w="1701" w:type="dxa"/>
            <w:vAlign w:val="center"/>
          </w:tcPr>
          <w:p w:rsidR="00A6341C" w:rsidRDefault="00CE1169" w:rsidP="00ED67B5">
            <w:pPr>
              <w:pStyle w:val="Sansinterligne"/>
              <w:jc w:val="center"/>
              <w:rPr>
                <w:lang w:eastAsia="fr-CA"/>
              </w:rPr>
            </w:pPr>
            <w:r>
              <w:rPr>
                <w:lang w:eastAsia="fr-CA"/>
              </w:rPr>
              <w:t>Psychologique</w:t>
            </w:r>
          </w:p>
        </w:tc>
        <w:tc>
          <w:tcPr>
            <w:tcW w:w="7855" w:type="dxa"/>
          </w:tcPr>
          <w:p w:rsidR="00A6341C" w:rsidRDefault="00852D64" w:rsidP="00BC3DCC">
            <w:pPr>
              <w:pStyle w:val="Sansinterligne"/>
              <w:numPr>
                <w:ilvl w:val="0"/>
                <w:numId w:val="769"/>
              </w:numPr>
              <w:rPr>
                <w:lang w:eastAsia="fr-CA"/>
              </w:rPr>
            </w:pPr>
            <w:r>
              <w:rPr>
                <w:lang w:eastAsia="fr-CA"/>
              </w:rPr>
              <w:t>Identification forte et persistante au genre opposé</w:t>
            </w:r>
          </w:p>
          <w:p w:rsidR="00852D64" w:rsidRDefault="00852D64" w:rsidP="00BC3DCC">
            <w:pPr>
              <w:pStyle w:val="Sansinterligne"/>
              <w:numPr>
                <w:ilvl w:val="0"/>
                <w:numId w:val="769"/>
              </w:numPr>
              <w:rPr>
                <w:lang w:eastAsia="fr-CA"/>
              </w:rPr>
            </w:pPr>
            <w:r>
              <w:rPr>
                <w:lang w:eastAsia="fr-CA"/>
              </w:rPr>
              <w:t>Désir de changer de caractéristiques sexuelles pour celles du genre opposé</w:t>
            </w:r>
          </w:p>
          <w:p w:rsidR="00852D64" w:rsidRDefault="00852D64" w:rsidP="00BC3DCC">
            <w:pPr>
              <w:pStyle w:val="Sansinterligne"/>
              <w:numPr>
                <w:ilvl w:val="0"/>
                <w:numId w:val="769"/>
              </w:numPr>
              <w:rPr>
                <w:lang w:eastAsia="fr-CA"/>
              </w:rPr>
            </w:pPr>
            <w:r>
              <w:rPr>
                <w:lang w:eastAsia="fr-CA"/>
              </w:rPr>
              <w:t>Préférences pour l’habillement ou les rôles du genre opposé dans les jeux de rôles</w:t>
            </w:r>
          </w:p>
          <w:p w:rsidR="00852D64" w:rsidRDefault="00852D64" w:rsidP="00BC3DCC">
            <w:pPr>
              <w:pStyle w:val="Sansinterligne"/>
              <w:numPr>
                <w:ilvl w:val="0"/>
                <w:numId w:val="769"/>
              </w:numPr>
              <w:rPr>
                <w:lang w:eastAsia="fr-CA"/>
              </w:rPr>
            </w:pPr>
            <w:r>
              <w:rPr>
                <w:lang w:eastAsia="fr-CA"/>
              </w:rPr>
              <w:t>Désir intense de participer à des jeux et passe</w:t>
            </w:r>
            <w:r w:rsidR="007236F3">
              <w:rPr>
                <w:lang w:eastAsia="fr-CA"/>
              </w:rPr>
              <w:t>-</w:t>
            </w:r>
            <w:r>
              <w:rPr>
                <w:lang w:eastAsia="fr-CA"/>
              </w:rPr>
              <w:t>temps associés au sexe opposé</w:t>
            </w:r>
          </w:p>
          <w:p w:rsidR="00852D64" w:rsidRDefault="00852D64" w:rsidP="00BC3DCC">
            <w:pPr>
              <w:pStyle w:val="Sansinterligne"/>
              <w:numPr>
                <w:ilvl w:val="0"/>
                <w:numId w:val="769"/>
              </w:numPr>
              <w:rPr>
                <w:lang w:eastAsia="fr-CA"/>
              </w:rPr>
            </w:pPr>
            <w:r>
              <w:rPr>
                <w:lang w:eastAsia="fr-CA"/>
              </w:rPr>
              <w:t>Préférence importante pour des compagnons du sexe opposé</w:t>
            </w:r>
          </w:p>
          <w:p w:rsidR="00852D64" w:rsidRDefault="00852D64" w:rsidP="00BC3DCC">
            <w:pPr>
              <w:pStyle w:val="Sansinterligne"/>
              <w:numPr>
                <w:ilvl w:val="0"/>
                <w:numId w:val="769"/>
              </w:numPr>
              <w:rPr>
                <w:lang w:eastAsia="fr-CA"/>
              </w:rPr>
            </w:pPr>
            <w:r>
              <w:rPr>
                <w:lang w:eastAsia="fr-CA"/>
              </w:rPr>
              <w:t>Détresse ou dysfonctionnement en raison de son genre ou sexe</w:t>
            </w:r>
          </w:p>
        </w:tc>
      </w:tr>
    </w:tbl>
    <w:p w:rsidR="00A6341C" w:rsidRDefault="00A6341C" w:rsidP="002D636E">
      <w:pPr>
        <w:pStyle w:val="Sansinterligne"/>
        <w:rPr>
          <w:lang w:eastAsia="fr-CA"/>
        </w:rPr>
      </w:pPr>
    </w:p>
    <w:tbl>
      <w:tblPr>
        <w:tblStyle w:val="Grilledutableau"/>
        <w:tblW w:w="0" w:type="auto"/>
        <w:tblLook w:val="04A0" w:firstRow="1" w:lastRow="0" w:firstColumn="1" w:lastColumn="0" w:noHBand="0" w:noVBand="1"/>
      </w:tblPr>
      <w:tblGrid>
        <w:gridCol w:w="2660"/>
        <w:gridCol w:w="8280"/>
      </w:tblGrid>
      <w:tr w:rsidR="00CE1169" w:rsidTr="002479F6">
        <w:tc>
          <w:tcPr>
            <w:tcW w:w="10940" w:type="dxa"/>
            <w:gridSpan w:val="2"/>
            <w:shd w:val="clear" w:color="auto" w:fill="9BBB59" w:themeFill="accent3"/>
          </w:tcPr>
          <w:p w:rsidR="00CE1169" w:rsidRDefault="00CE1169" w:rsidP="00CE1169">
            <w:pPr>
              <w:pStyle w:val="Sansinterligne"/>
              <w:jc w:val="center"/>
              <w:rPr>
                <w:lang w:eastAsia="fr-CA"/>
              </w:rPr>
            </w:pPr>
            <w:r>
              <w:rPr>
                <w:lang w:eastAsia="fr-CA"/>
              </w:rPr>
              <w:t>Paraphilies – Critères DSM-V</w:t>
            </w:r>
          </w:p>
        </w:tc>
      </w:tr>
      <w:tr w:rsidR="00CE1169" w:rsidTr="008A2937">
        <w:tc>
          <w:tcPr>
            <w:tcW w:w="10940" w:type="dxa"/>
            <w:gridSpan w:val="2"/>
          </w:tcPr>
          <w:p w:rsidR="00CE1169" w:rsidRDefault="00CE1169" w:rsidP="00BC3DCC">
            <w:pPr>
              <w:pStyle w:val="Sansinterligne"/>
              <w:numPr>
                <w:ilvl w:val="0"/>
                <w:numId w:val="772"/>
              </w:numPr>
              <w:ind w:left="360"/>
              <w:rPr>
                <w:lang w:eastAsia="fr-CA"/>
              </w:rPr>
            </w:pPr>
            <w:r>
              <w:rPr>
                <w:lang w:eastAsia="fr-CA"/>
              </w:rPr>
              <w:t xml:space="preserve">Pendant une </w:t>
            </w:r>
            <w:r w:rsidRPr="00631853">
              <w:rPr>
                <w:highlight w:val="yellow"/>
                <w:lang w:eastAsia="fr-CA"/>
              </w:rPr>
              <w:t>période de 6 mois ou plus</w:t>
            </w:r>
            <w:r w:rsidR="004B6A7A">
              <w:rPr>
                <w:lang w:eastAsia="fr-CA"/>
              </w:rPr>
              <w:t>, l’individu a</w:t>
            </w:r>
            <w:r>
              <w:rPr>
                <w:lang w:eastAsia="fr-CA"/>
              </w:rPr>
              <w:t xml:space="preserve"> éprouv</w:t>
            </w:r>
            <w:r w:rsidR="004B6A7A">
              <w:rPr>
                <w:lang w:eastAsia="fr-CA"/>
              </w:rPr>
              <w:t>é</w:t>
            </w:r>
            <w:r>
              <w:rPr>
                <w:lang w:eastAsia="fr-CA"/>
              </w:rPr>
              <w:t xml:space="preserve"> une </w:t>
            </w:r>
            <w:r w:rsidRPr="00631853">
              <w:rPr>
                <w:highlight w:val="yellow"/>
                <w:lang w:eastAsia="fr-CA"/>
              </w:rPr>
              <w:t>excitation sexuelle intense et récurrente</w:t>
            </w:r>
            <w:r>
              <w:rPr>
                <w:lang w:eastAsia="fr-CA"/>
              </w:rPr>
              <w:t xml:space="preserve"> </w:t>
            </w:r>
            <w:r w:rsidR="00631853">
              <w:rPr>
                <w:lang w:eastAsia="fr-CA"/>
              </w:rPr>
              <w:t xml:space="preserve">provoquée par le comportement (voir ci-dessous), </w:t>
            </w:r>
            <w:r w:rsidR="00631853" w:rsidRPr="00FD1CEA">
              <w:rPr>
                <w:highlight w:val="yellow"/>
                <w:lang w:eastAsia="fr-CA"/>
              </w:rPr>
              <w:t>se manifestant sous la forme de fantasmes, pulsions ou comportements</w:t>
            </w:r>
            <w:r w:rsidR="00631853">
              <w:rPr>
                <w:lang w:eastAsia="fr-CA"/>
              </w:rPr>
              <w:t>.</w:t>
            </w:r>
          </w:p>
          <w:p w:rsidR="00CE1169" w:rsidRDefault="00CE1169" w:rsidP="00631853">
            <w:pPr>
              <w:pStyle w:val="Sansinterligne"/>
              <w:rPr>
                <w:lang w:eastAsia="fr-CA"/>
              </w:rPr>
            </w:pPr>
          </w:p>
          <w:p w:rsidR="00CE1169" w:rsidRDefault="00CE1169" w:rsidP="00BC3DCC">
            <w:pPr>
              <w:pStyle w:val="Sansinterligne"/>
              <w:numPr>
                <w:ilvl w:val="0"/>
                <w:numId w:val="772"/>
              </w:numPr>
              <w:ind w:left="360"/>
              <w:rPr>
                <w:lang w:eastAsia="fr-CA"/>
              </w:rPr>
            </w:pPr>
            <w:r>
              <w:rPr>
                <w:lang w:eastAsia="fr-CA"/>
              </w:rPr>
              <w:t xml:space="preserve">L’individu </w:t>
            </w:r>
            <w:r w:rsidRPr="00631853">
              <w:rPr>
                <w:highlight w:val="yellow"/>
                <w:lang w:eastAsia="fr-CA"/>
              </w:rPr>
              <w:t>a mis en acte ses pulsions sexuelles avec une personne non-consentante, ou les pulsions sexuelles et les fantasmes entraînent une détresse cliniquement significative ou une altération du fonctionnement</w:t>
            </w:r>
            <w:r>
              <w:rPr>
                <w:lang w:eastAsia="fr-CA"/>
              </w:rPr>
              <w:t xml:space="preserve"> social, professionnel ou dans d’autres domaines importants.</w:t>
            </w:r>
          </w:p>
          <w:p w:rsidR="00CE1169" w:rsidRDefault="00CE1169" w:rsidP="002D636E">
            <w:pPr>
              <w:pStyle w:val="Sansinterligne"/>
              <w:rPr>
                <w:lang w:eastAsia="fr-CA"/>
              </w:rPr>
            </w:pPr>
          </w:p>
        </w:tc>
      </w:tr>
      <w:tr w:rsidR="00CE1169" w:rsidTr="00ED67B5">
        <w:tc>
          <w:tcPr>
            <w:tcW w:w="2660" w:type="dxa"/>
            <w:shd w:val="clear" w:color="auto" w:fill="C2D69B" w:themeFill="accent3" w:themeFillTint="99"/>
          </w:tcPr>
          <w:p w:rsidR="00CE1169" w:rsidRDefault="00CE1169" w:rsidP="002D636E">
            <w:pPr>
              <w:pStyle w:val="Sansinterligne"/>
              <w:rPr>
                <w:lang w:eastAsia="fr-CA"/>
              </w:rPr>
            </w:pPr>
            <w:r>
              <w:rPr>
                <w:lang w:eastAsia="fr-CA"/>
              </w:rPr>
              <w:t>Trouble voyeurisme</w:t>
            </w:r>
          </w:p>
        </w:tc>
        <w:tc>
          <w:tcPr>
            <w:tcW w:w="8280" w:type="dxa"/>
          </w:tcPr>
          <w:p w:rsidR="00CE1169" w:rsidRDefault="00631853" w:rsidP="002D636E">
            <w:pPr>
              <w:pStyle w:val="Sansinterligne"/>
              <w:rPr>
                <w:lang w:eastAsia="fr-CA"/>
              </w:rPr>
            </w:pPr>
            <w:r>
              <w:rPr>
                <w:lang w:eastAsia="fr-CA"/>
              </w:rPr>
              <w:t xml:space="preserve">Regarder </w:t>
            </w:r>
            <w:r w:rsidR="00CE1169">
              <w:rPr>
                <w:lang w:eastAsia="fr-CA"/>
              </w:rPr>
              <w:t>une personne qui ne se doute de rien, nue, en train de déshabiller ou d’avoir une relation sexuelle.</w:t>
            </w:r>
          </w:p>
          <w:p w:rsidR="00CE1169" w:rsidRDefault="00CE1169" w:rsidP="002D636E">
            <w:pPr>
              <w:pStyle w:val="Sansinterligne"/>
              <w:rPr>
                <w:lang w:eastAsia="fr-CA"/>
              </w:rPr>
            </w:pPr>
            <w:r>
              <w:rPr>
                <w:rFonts w:ascii="Century Gothic" w:hAnsi="Century Gothic"/>
                <w:lang w:eastAsia="fr-CA"/>
              </w:rPr>
              <w:t>≥</w:t>
            </w:r>
            <w:r>
              <w:rPr>
                <w:lang w:eastAsia="fr-CA"/>
              </w:rPr>
              <w:t xml:space="preserve"> 18 ans</w:t>
            </w:r>
          </w:p>
        </w:tc>
      </w:tr>
      <w:tr w:rsidR="00CE1169" w:rsidTr="00ED67B5">
        <w:tc>
          <w:tcPr>
            <w:tcW w:w="2660" w:type="dxa"/>
            <w:shd w:val="clear" w:color="auto" w:fill="C2D69B" w:themeFill="accent3" w:themeFillTint="99"/>
          </w:tcPr>
          <w:p w:rsidR="00CE1169" w:rsidRDefault="00CE1169" w:rsidP="002D636E">
            <w:pPr>
              <w:pStyle w:val="Sansinterligne"/>
              <w:rPr>
                <w:lang w:eastAsia="fr-CA"/>
              </w:rPr>
            </w:pPr>
            <w:r>
              <w:rPr>
                <w:lang w:eastAsia="fr-CA"/>
              </w:rPr>
              <w:t>Trouble exhibitionnisme</w:t>
            </w:r>
          </w:p>
        </w:tc>
        <w:tc>
          <w:tcPr>
            <w:tcW w:w="8280" w:type="dxa"/>
          </w:tcPr>
          <w:p w:rsidR="00CE1169" w:rsidRDefault="00631853" w:rsidP="00631853">
            <w:pPr>
              <w:pStyle w:val="Sansinterligne"/>
              <w:rPr>
                <w:lang w:eastAsia="fr-CA"/>
              </w:rPr>
            </w:pPr>
            <w:r>
              <w:rPr>
                <w:lang w:eastAsia="fr-CA"/>
              </w:rPr>
              <w:t>E</w:t>
            </w:r>
            <w:r w:rsidR="00CE1169">
              <w:rPr>
                <w:lang w:eastAsia="fr-CA"/>
              </w:rPr>
              <w:t>xhiber ses organes génitaux devant une personne prise au dépourvue</w:t>
            </w:r>
            <w:r>
              <w:rPr>
                <w:lang w:eastAsia="fr-CA"/>
              </w:rPr>
              <w:t>.</w:t>
            </w:r>
          </w:p>
        </w:tc>
      </w:tr>
      <w:tr w:rsidR="00CE1169" w:rsidTr="00ED67B5">
        <w:tc>
          <w:tcPr>
            <w:tcW w:w="2660" w:type="dxa"/>
            <w:shd w:val="clear" w:color="auto" w:fill="C2D69B" w:themeFill="accent3" w:themeFillTint="99"/>
          </w:tcPr>
          <w:p w:rsidR="00CE1169" w:rsidRDefault="00CE1169" w:rsidP="002D636E">
            <w:pPr>
              <w:pStyle w:val="Sansinterligne"/>
              <w:rPr>
                <w:lang w:eastAsia="fr-CA"/>
              </w:rPr>
            </w:pPr>
            <w:r>
              <w:rPr>
                <w:lang w:eastAsia="fr-CA"/>
              </w:rPr>
              <w:t>Trouble frotteurisme</w:t>
            </w:r>
          </w:p>
        </w:tc>
        <w:tc>
          <w:tcPr>
            <w:tcW w:w="8280" w:type="dxa"/>
          </w:tcPr>
          <w:p w:rsidR="00CE1169" w:rsidRDefault="00631853" w:rsidP="002D636E">
            <w:pPr>
              <w:pStyle w:val="Sansinterligne"/>
              <w:rPr>
                <w:lang w:eastAsia="fr-CA"/>
              </w:rPr>
            </w:pPr>
            <w:r>
              <w:rPr>
                <w:lang w:eastAsia="fr-CA"/>
              </w:rPr>
              <w:t>Toucher ou se frotter contre une personne non-consentante.</w:t>
            </w:r>
          </w:p>
        </w:tc>
      </w:tr>
      <w:tr w:rsidR="00CE1169" w:rsidTr="00ED67B5">
        <w:tc>
          <w:tcPr>
            <w:tcW w:w="2660" w:type="dxa"/>
            <w:shd w:val="clear" w:color="auto" w:fill="C2D69B" w:themeFill="accent3" w:themeFillTint="99"/>
          </w:tcPr>
          <w:p w:rsidR="00CE1169" w:rsidRDefault="00CE1169" w:rsidP="002D636E">
            <w:pPr>
              <w:pStyle w:val="Sansinterligne"/>
              <w:rPr>
                <w:lang w:eastAsia="fr-CA"/>
              </w:rPr>
            </w:pPr>
            <w:r>
              <w:rPr>
                <w:lang w:eastAsia="fr-CA"/>
              </w:rPr>
              <w:t>Trouble masochiste sexuel</w:t>
            </w:r>
          </w:p>
        </w:tc>
        <w:tc>
          <w:tcPr>
            <w:tcW w:w="8280" w:type="dxa"/>
          </w:tcPr>
          <w:p w:rsidR="00CE1169" w:rsidRDefault="00631853" w:rsidP="002D636E">
            <w:pPr>
              <w:pStyle w:val="Sansinterligne"/>
              <w:rPr>
                <w:lang w:eastAsia="fr-CA"/>
              </w:rPr>
            </w:pPr>
            <w:r>
              <w:rPr>
                <w:lang w:eastAsia="fr-CA"/>
              </w:rPr>
              <w:t>Être humilié, battu, attaché ou par tout acte entraînant la souffrance</w:t>
            </w:r>
          </w:p>
        </w:tc>
      </w:tr>
      <w:tr w:rsidR="00CE1169" w:rsidTr="00ED67B5">
        <w:tc>
          <w:tcPr>
            <w:tcW w:w="2660" w:type="dxa"/>
            <w:shd w:val="clear" w:color="auto" w:fill="C2D69B" w:themeFill="accent3" w:themeFillTint="99"/>
          </w:tcPr>
          <w:p w:rsidR="00CE1169" w:rsidRDefault="00CE1169" w:rsidP="002D636E">
            <w:pPr>
              <w:pStyle w:val="Sansinterligne"/>
              <w:rPr>
                <w:lang w:eastAsia="fr-CA"/>
              </w:rPr>
            </w:pPr>
            <w:r>
              <w:rPr>
                <w:lang w:eastAsia="fr-CA"/>
              </w:rPr>
              <w:t>Trouble sadisme sexuel</w:t>
            </w:r>
          </w:p>
        </w:tc>
        <w:tc>
          <w:tcPr>
            <w:tcW w:w="8280" w:type="dxa"/>
          </w:tcPr>
          <w:p w:rsidR="00CE1169" w:rsidRDefault="00631853" w:rsidP="002D636E">
            <w:pPr>
              <w:pStyle w:val="Sansinterligne"/>
              <w:rPr>
                <w:lang w:eastAsia="fr-CA"/>
              </w:rPr>
            </w:pPr>
            <w:r>
              <w:rPr>
                <w:lang w:eastAsia="fr-CA"/>
              </w:rPr>
              <w:t>Souffrance physique ou psychologique d’une autre personne</w:t>
            </w:r>
          </w:p>
        </w:tc>
      </w:tr>
      <w:tr w:rsidR="00CE1169" w:rsidTr="00ED67B5">
        <w:tc>
          <w:tcPr>
            <w:tcW w:w="2660" w:type="dxa"/>
            <w:shd w:val="clear" w:color="auto" w:fill="C2D69B" w:themeFill="accent3" w:themeFillTint="99"/>
          </w:tcPr>
          <w:p w:rsidR="00CE1169" w:rsidRDefault="00CE1169" w:rsidP="002D636E">
            <w:pPr>
              <w:pStyle w:val="Sansinterligne"/>
              <w:rPr>
                <w:lang w:eastAsia="fr-CA"/>
              </w:rPr>
            </w:pPr>
            <w:r>
              <w:rPr>
                <w:lang w:eastAsia="fr-CA"/>
              </w:rPr>
              <w:t>Trouble pédophilie</w:t>
            </w:r>
          </w:p>
        </w:tc>
        <w:tc>
          <w:tcPr>
            <w:tcW w:w="8280" w:type="dxa"/>
          </w:tcPr>
          <w:p w:rsidR="00CE1169" w:rsidRDefault="00631853" w:rsidP="002D636E">
            <w:pPr>
              <w:pStyle w:val="Sansinterligne"/>
              <w:rPr>
                <w:lang w:eastAsia="fr-CA"/>
              </w:rPr>
            </w:pPr>
            <w:r>
              <w:rPr>
                <w:lang w:eastAsia="fr-CA"/>
              </w:rPr>
              <w:t xml:space="preserve">Activité sexuelle impliquant un ou des enfants pré pubères (généralement </w:t>
            </w:r>
            <w:r>
              <w:rPr>
                <w:rFonts w:ascii="Century Gothic" w:hAnsi="Century Gothic"/>
                <w:lang w:eastAsia="fr-CA"/>
              </w:rPr>
              <w:t>&lt;</w:t>
            </w:r>
            <w:r>
              <w:rPr>
                <w:lang w:eastAsia="fr-CA"/>
              </w:rPr>
              <w:t xml:space="preserve"> 13 ans)</w:t>
            </w:r>
          </w:p>
          <w:p w:rsidR="00631853" w:rsidRDefault="00ED67B5" w:rsidP="002D636E">
            <w:pPr>
              <w:pStyle w:val="Sansinterligne"/>
              <w:rPr>
                <w:lang w:eastAsia="fr-CA"/>
              </w:rPr>
            </w:pPr>
            <w:r>
              <w:rPr>
                <w:rFonts w:ascii="Century Gothic" w:hAnsi="Century Gothic"/>
                <w:lang w:eastAsia="fr-CA"/>
              </w:rPr>
              <w:t>≥</w:t>
            </w:r>
            <w:r w:rsidR="00631853">
              <w:rPr>
                <w:lang w:eastAsia="fr-CA"/>
              </w:rPr>
              <w:t>16 ans et plus de 5 ans de différence avec le ou les enfants visés.</w:t>
            </w:r>
          </w:p>
        </w:tc>
      </w:tr>
      <w:tr w:rsidR="00CE1169" w:rsidTr="00ED67B5">
        <w:tc>
          <w:tcPr>
            <w:tcW w:w="2660" w:type="dxa"/>
            <w:shd w:val="clear" w:color="auto" w:fill="C2D69B" w:themeFill="accent3" w:themeFillTint="99"/>
          </w:tcPr>
          <w:p w:rsidR="00CE1169" w:rsidRDefault="00CE1169" w:rsidP="002D636E">
            <w:pPr>
              <w:pStyle w:val="Sansinterligne"/>
              <w:rPr>
                <w:lang w:eastAsia="fr-CA"/>
              </w:rPr>
            </w:pPr>
            <w:r>
              <w:rPr>
                <w:lang w:eastAsia="fr-CA"/>
              </w:rPr>
              <w:t>Trouble fétichisme</w:t>
            </w:r>
          </w:p>
        </w:tc>
        <w:tc>
          <w:tcPr>
            <w:tcW w:w="8280" w:type="dxa"/>
          </w:tcPr>
          <w:p w:rsidR="00CE1169" w:rsidRDefault="00631853" w:rsidP="002D636E">
            <w:pPr>
              <w:pStyle w:val="Sansinterligne"/>
              <w:rPr>
                <w:lang w:eastAsia="fr-CA"/>
              </w:rPr>
            </w:pPr>
            <w:r>
              <w:rPr>
                <w:lang w:eastAsia="fr-CA"/>
              </w:rPr>
              <w:t>Utilisation d’objets ou par un intérêt hautement spécifique pour une ou plusieurs parties non-génitales du corps</w:t>
            </w:r>
          </w:p>
        </w:tc>
      </w:tr>
      <w:tr w:rsidR="00631853" w:rsidTr="00ED67B5">
        <w:tc>
          <w:tcPr>
            <w:tcW w:w="2660" w:type="dxa"/>
            <w:shd w:val="clear" w:color="auto" w:fill="C2D69B" w:themeFill="accent3" w:themeFillTint="99"/>
          </w:tcPr>
          <w:p w:rsidR="00631853" w:rsidRDefault="00631853" w:rsidP="002D636E">
            <w:pPr>
              <w:pStyle w:val="Sansinterligne"/>
              <w:rPr>
                <w:lang w:eastAsia="fr-CA"/>
              </w:rPr>
            </w:pPr>
            <w:r>
              <w:rPr>
                <w:lang w:eastAsia="fr-CA"/>
              </w:rPr>
              <w:t xml:space="preserve">Trouble transvestisme </w:t>
            </w:r>
          </w:p>
        </w:tc>
        <w:tc>
          <w:tcPr>
            <w:tcW w:w="8280" w:type="dxa"/>
          </w:tcPr>
          <w:p w:rsidR="00631853" w:rsidRDefault="00631853" w:rsidP="002D636E">
            <w:pPr>
              <w:pStyle w:val="Sansinterligne"/>
              <w:rPr>
                <w:lang w:eastAsia="fr-CA"/>
              </w:rPr>
            </w:pPr>
            <w:r>
              <w:rPr>
                <w:lang w:eastAsia="fr-CA"/>
              </w:rPr>
              <w:t>Se travestir</w:t>
            </w:r>
          </w:p>
        </w:tc>
      </w:tr>
      <w:tr w:rsidR="002F4B1F" w:rsidTr="000D318E">
        <w:tc>
          <w:tcPr>
            <w:tcW w:w="10940" w:type="dxa"/>
            <w:gridSpan w:val="2"/>
            <w:shd w:val="clear" w:color="auto" w:fill="C2D69B" w:themeFill="accent3" w:themeFillTint="99"/>
          </w:tcPr>
          <w:p w:rsidR="002F4B1F" w:rsidRDefault="002F4B1F" w:rsidP="002D636E">
            <w:pPr>
              <w:pStyle w:val="Sansinterligne"/>
              <w:rPr>
                <w:lang w:eastAsia="fr-CA"/>
              </w:rPr>
            </w:pPr>
            <w:r>
              <w:rPr>
                <w:lang w:eastAsia="fr-CA"/>
              </w:rPr>
              <w:t>Autres : nécrophilie, zoophilie, urophilie, coprophilie, etc.</w:t>
            </w:r>
          </w:p>
        </w:tc>
      </w:tr>
    </w:tbl>
    <w:p w:rsidR="00455F2F" w:rsidRPr="00183C3D" w:rsidRDefault="00455F2F" w:rsidP="00342EE7">
      <w:pPr>
        <w:pStyle w:val="Sansinterligne"/>
        <w:rPr>
          <w:sz w:val="16"/>
          <w:szCs w:val="16"/>
          <w:lang w:eastAsia="fr-CA"/>
        </w:rPr>
      </w:pPr>
    </w:p>
    <w:p w:rsidR="00061B3C" w:rsidRDefault="00061B3C" w:rsidP="00342EE7">
      <w:pPr>
        <w:pStyle w:val="Sansinterligne"/>
        <w:rPr>
          <w:b/>
          <w:sz w:val="28"/>
          <w:szCs w:val="28"/>
        </w:rPr>
      </w:pPr>
    </w:p>
    <w:p w:rsidR="00061B3C" w:rsidRDefault="00061B3C" w:rsidP="00342EE7">
      <w:pPr>
        <w:pStyle w:val="Sansinterligne"/>
        <w:rPr>
          <w:b/>
          <w:sz w:val="28"/>
          <w:szCs w:val="28"/>
        </w:rPr>
      </w:pPr>
    </w:p>
    <w:p w:rsidR="00061B3C" w:rsidRDefault="00061B3C" w:rsidP="00342EE7">
      <w:pPr>
        <w:pStyle w:val="Sansinterligne"/>
        <w:rPr>
          <w:b/>
          <w:sz w:val="28"/>
          <w:szCs w:val="28"/>
        </w:rPr>
      </w:pPr>
    </w:p>
    <w:p w:rsidR="00061B3C" w:rsidRDefault="00061B3C" w:rsidP="00342EE7">
      <w:pPr>
        <w:pStyle w:val="Sansinterligne"/>
        <w:rPr>
          <w:b/>
          <w:sz w:val="28"/>
          <w:szCs w:val="28"/>
        </w:rPr>
      </w:pPr>
    </w:p>
    <w:p w:rsidR="00342EE7" w:rsidRPr="00455F2F" w:rsidRDefault="00063643" w:rsidP="00342EE7">
      <w:pPr>
        <w:pStyle w:val="Sansinterligne"/>
        <w:rPr>
          <w:b/>
          <w:sz w:val="28"/>
          <w:szCs w:val="28"/>
        </w:rPr>
      </w:pPr>
      <w:r>
        <w:rPr>
          <w:noProof/>
          <w:lang w:eastAsia="fr-CA"/>
        </w:rPr>
        <w:drawing>
          <wp:anchor distT="0" distB="0" distL="114300" distR="114300" simplePos="0" relativeHeight="251876352" behindDoc="1" locked="0" layoutInCell="1" allowOverlap="1" wp14:anchorId="44D69D7E" wp14:editId="7864BF5D">
            <wp:simplePos x="0" y="0"/>
            <wp:positionH relativeFrom="column">
              <wp:posOffset>3558486</wp:posOffset>
            </wp:positionH>
            <wp:positionV relativeFrom="paragraph">
              <wp:posOffset>-194891</wp:posOffset>
            </wp:positionV>
            <wp:extent cx="3259455" cy="2003425"/>
            <wp:effectExtent l="0" t="0" r="0" b="0"/>
            <wp:wrapNone/>
            <wp:docPr id="388" name="Image 388" descr="Résultats de recherche d'images pour « dysfonction érectile anatomi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Résultats de recherche d'images pour « dysfonction érectile anatomie »"/>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bwMode="auto">
                    <a:xfrm>
                      <a:off x="0" y="0"/>
                      <a:ext cx="3259455" cy="2003425"/>
                    </a:xfrm>
                    <a:prstGeom prst="rect">
                      <a:avLst/>
                    </a:prstGeom>
                    <a:noFill/>
                    <a:ln>
                      <a:noFill/>
                    </a:ln>
                  </pic:spPr>
                </pic:pic>
              </a:graphicData>
            </a:graphic>
            <wp14:sizeRelH relativeFrom="page">
              <wp14:pctWidth>0</wp14:pctWidth>
            </wp14:sizeRelH>
            <wp14:sizeRelV relativeFrom="page">
              <wp14:pctHeight>0</wp14:pctHeight>
            </wp14:sizeRelV>
          </wp:anchor>
        </w:drawing>
      </w:r>
      <w:r w:rsidR="00342EE7" w:rsidRPr="00455F2F">
        <w:rPr>
          <w:b/>
          <w:sz w:val="28"/>
          <w:szCs w:val="28"/>
        </w:rPr>
        <w:t>Investigation</w:t>
      </w:r>
    </w:p>
    <w:p w:rsidR="002D636E" w:rsidRPr="008F0566" w:rsidRDefault="002D636E" w:rsidP="00342EE7">
      <w:pPr>
        <w:pStyle w:val="Sansinterligne"/>
        <w:rPr>
          <w:sz w:val="16"/>
          <w:szCs w:val="16"/>
        </w:rPr>
      </w:pPr>
    </w:p>
    <w:p w:rsidR="00455F2F" w:rsidRPr="00183C3D" w:rsidRDefault="00455F2F" w:rsidP="00342EE7">
      <w:pPr>
        <w:pStyle w:val="Sansinterligne"/>
        <w:rPr>
          <w:rFonts w:cs="Times New Roman"/>
          <w:u w:val="single"/>
        </w:rPr>
      </w:pPr>
      <w:r w:rsidRPr="00183C3D">
        <w:rPr>
          <w:rFonts w:cs="Times New Roman"/>
          <w:u w:val="single"/>
        </w:rPr>
        <w:t>Investigation de la dysfonction érectile</w:t>
      </w:r>
    </w:p>
    <w:p w:rsidR="00342EE7" w:rsidRPr="00183C3D" w:rsidRDefault="00265214" w:rsidP="00342EE7">
      <w:pPr>
        <w:pStyle w:val="Sansinterligne"/>
        <w:rPr>
          <w:rFonts w:cs="Times New Roman"/>
        </w:rPr>
      </w:pPr>
      <w:r w:rsidRPr="00183C3D">
        <w:rPr>
          <w:rFonts w:cs="Times New Roman"/>
        </w:rPr>
        <w:t>FSC, urée/créatinine</w:t>
      </w:r>
      <w:r w:rsidR="00183C3D" w:rsidRPr="00183C3D">
        <w:rPr>
          <w:rFonts w:cs="Times New Roman"/>
        </w:rPr>
        <w:t xml:space="preserve"> →</w:t>
      </w:r>
    </w:p>
    <w:p w:rsidR="00265214" w:rsidRPr="00183C3D" w:rsidRDefault="00265214" w:rsidP="00342EE7">
      <w:pPr>
        <w:pStyle w:val="Sansinterligne"/>
        <w:rPr>
          <w:rFonts w:cs="Times New Roman"/>
        </w:rPr>
      </w:pPr>
      <w:r w:rsidRPr="00183C3D">
        <w:rPr>
          <w:rFonts w:cs="Times New Roman"/>
        </w:rPr>
        <w:t>TSH, prolactine, testostérone</w:t>
      </w:r>
      <w:r w:rsidR="00183C3D" w:rsidRPr="00183C3D">
        <w:rPr>
          <w:rFonts w:cs="Times New Roman"/>
        </w:rPr>
        <w:t xml:space="preserve"> → Éliminer trouble endocrinien</w:t>
      </w:r>
    </w:p>
    <w:p w:rsidR="00342EE7" w:rsidRPr="00183C3D" w:rsidRDefault="00342EE7" w:rsidP="00342EE7">
      <w:pPr>
        <w:pStyle w:val="Sansinterligne"/>
        <w:rPr>
          <w:rFonts w:cs="Times New Roman"/>
        </w:rPr>
      </w:pPr>
      <w:r w:rsidRPr="00183C3D">
        <w:rPr>
          <w:rFonts w:cs="Times New Roman"/>
        </w:rPr>
        <w:t xml:space="preserve">IRM </w:t>
      </w:r>
      <w:r w:rsidR="00183C3D" w:rsidRPr="00183C3D">
        <w:rPr>
          <w:rFonts w:cs="Times New Roman"/>
        </w:rPr>
        <w:t>→ Si suspicion de lésion neurologique médullaire ou cérébrale</w:t>
      </w:r>
      <w:r w:rsidR="00AF47C6" w:rsidRPr="00AF47C6">
        <w:t xml:space="preserve"> </w:t>
      </w:r>
    </w:p>
    <w:p w:rsidR="00342EE7" w:rsidRDefault="00342EE7" w:rsidP="00342EE7">
      <w:pPr>
        <w:pStyle w:val="Sansinterligne"/>
        <w:rPr>
          <w:rFonts w:cs="Times New Roman"/>
        </w:rPr>
      </w:pPr>
      <w:r w:rsidRPr="00183C3D">
        <w:rPr>
          <w:rFonts w:cs="Times New Roman"/>
        </w:rPr>
        <w:t>HBA</w:t>
      </w:r>
      <w:r w:rsidRPr="00183C3D">
        <w:rPr>
          <w:rFonts w:cs="Times New Roman"/>
          <w:vertAlign w:val="subscript"/>
        </w:rPr>
        <w:t>1</w:t>
      </w:r>
      <w:r w:rsidRPr="00183C3D">
        <w:rPr>
          <w:rFonts w:cs="Times New Roman"/>
        </w:rPr>
        <w:t xml:space="preserve">C </w:t>
      </w:r>
      <w:r w:rsidR="00183C3D" w:rsidRPr="00183C3D">
        <w:rPr>
          <w:rFonts w:cs="Times New Roman"/>
        </w:rPr>
        <w:t>→ recherche de diabète (complications vasculaires)</w:t>
      </w:r>
    </w:p>
    <w:p w:rsidR="00AF47C6" w:rsidRPr="00183C3D" w:rsidRDefault="00AF47C6" w:rsidP="00342EE7">
      <w:pPr>
        <w:pStyle w:val="Sansinterligne"/>
        <w:rPr>
          <w:rFonts w:cs="Times New Roman"/>
        </w:rPr>
      </w:pPr>
    </w:p>
    <w:p w:rsidR="00342EE7" w:rsidRPr="00183C3D" w:rsidRDefault="00342EE7" w:rsidP="00342EE7">
      <w:pPr>
        <w:pStyle w:val="Sansinterligne"/>
        <w:rPr>
          <w:b/>
          <w:sz w:val="28"/>
          <w:szCs w:val="28"/>
        </w:rPr>
      </w:pPr>
      <w:r w:rsidRPr="00183C3D">
        <w:rPr>
          <w:b/>
          <w:sz w:val="28"/>
          <w:szCs w:val="28"/>
        </w:rPr>
        <w:t>Prise charge</w:t>
      </w:r>
    </w:p>
    <w:p w:rsidR="002D636E" w:rsidRDefault="002D636E" w:rsidP="00342EE7">
      <w:pPr>
        <w:pStyle w:val="Sansinterligne"/>
      </w:pPr>
    </w:p>
    <w:p w:rsidR="00455F2F" w:rsidRPr="00455F2F" w:rsidRDefault="00455F2F" w:rsidP="00455F2F">
      <w:pPr>
        <w:pStyle w:val="Sansinterligne"/>
        <w:rPr>
          <w:u w:val="single"/>
          <w:lang w:eastAsia="fr-CA"/>
        </w:rPr>
      </w:pPr>
      <w:r w:rsidRPr="00455F2F">
        <w:rPr>
          <w:u w:val="single"/>
          <w:lang w:eastAsia="fr-CA"/>
        </w:rPr>
        <w:t>H</w:t>
      </w:r>
      <w:r>
        <w:rPr>
          <w:u w:val="single"/>
          <w:lang w:eastAsia="fr-CA"/>
        </w:rPr>
        <w:t>omosexualité, bisexualité, etc.</w:t>
      </w:r>
    </w:p>
    <w:p w:rsidR="00455F2F" w:rsidRDefault="00455F2F" w:rsidP="00455F2F">
      <w:pPr>
        <w:pStyle w:val="Sansinterligne"/>
        <w:rPr>
          <w:lang w:eastAsia="fr-CA"/>
        </w:rPr>
      </w:pPr>
    </w:p>
    <w:p w:rsidR="00455F2F" w:rsidRPr="0001510A" w:rsidRDefault="00455F2F" w:rsidP="00455F2F">
      <w:pPr>
        <w:pStyle w:val="Sansinterligne"/>
        <w:rPr>
          <w:highlight w:val="yellow"/>
          <w:lang w:eastAsia="fr-CA"/>
        </w:rPr>
      </w:pPr>
      <w:r w:rsidRPr="0001510A">
        <w:rPr>
          <w:highlight w:val="yellow"/>
          <w:lang w:eastAsia="fr-CA"/>
        </w:rPr>
        <w:t>Ne sont pas des diagnostics ou des problématiques, mais des orientations sexuelles minoritaires.</w:t>
      </w:r>
    </w:p>
    <w:p w:rsidR="00455F2F" w:rsidRPr="002D636E" w:rsidRDefault="00455F2F" w:rsidP="00455F2F">
      <w:pPr>
        <w:pStyle w:val="Sansinterligne"/>
        <w:rPr>
          <w:lang w:eastAsia="fr-CA"/>
        </w:rPr>
      </w:pPr>
      <w:r w:rsidRPr="0001510A">
        <w:rPr>
          <w:highlight w:val="yellow"/>
          <w:lang w:eastAsia="fr-CA"/>
        </w:rPr>
        <w:t>Par conséquent, beaucoup de stigmatisation est associée à ces orientations. Il est particulièrement important de questionner l’adolescent au sujet de discrimination, harcèlement ou violence qu’il pourrait subir à l’école en raison de son orientation sexuelle et de prendre des mesures pour y mettre fin : conseils, psychothérapie, aviser la direction d’école pour faire changer la situation.</w:t>
      </w:r>
    </w:p>
    <w:p w:rsidR="002D636E" w:rsidRDefault="002D636E" w:rsidP="00342EE7">
      <w:pPr>
        <w:pStyle w:val="Sansinterligne"/>
      </w:pPr>
    </w:p>
    <w:p w:rsidR="00683EDD" w:rsidRDefault="00683EDD" w:rsidP="00342EE7">
      <w:pPr>
        <w:pStyle w:val="Sansinterligne"/>
      </w:pPr>
    </w:p>
    <w:p w:rsidR="00683EDD" w:rsidRPr="0001510A" w:rsidRDefault="00683EDD" w:rsidP="00342EE7">
      <w:pPr>
        <w:pStyle w:val="Sansinterligne"/>
        <w:rPr>
          <w:u w:val="single"/>
        </w:rPr>
      </w:pPr>
      <w:r w:rsidRPr="0001510A">
        <w:rPr>
          <w:u w:val="single"/>
        </w:rPr>
        <w:t>Éjaculation précoce</w:t>
      </w:r>
    </w:p>
    <w:p w:rsidR="00683EDD" w:rsidRDefault="00683EDD" w:rsidP="00BC3DCC">
      <w:pPr>
        <w:pStyle w:val="Sansinterligne"/>
        <w:numPr>
          <w:ilvl w:val="0"/>
          <w:numId w:val="773"/>
        </w:numPr>
      </w:pPr>
      <w:r>
        <w:t>Éliminer condition psychologique ou médicale</w:t>
      </w:r>
    </w:p>
    <w:p w:rsidR="00683EDD" w:rsidRDefault="00012D3B" w:rsidP="00BC3DCC">
      <w:pPr>
        <w:pStyle w:val="Sansinterligne"/>
        <w:numPr>
          <w:ilvl w:val="0"/>
          <w:numId w:val="773"/>
        </w:numPr>
      </w:pPr>
      <w:r>
        <w:t>Conseils, référence en sexologie PRN</w:t>
      </w:r>
    </w:p>
    <w:p w:rsidR="00012D3B" w:rsidRDefault="00012D3B" w:rsidP="00BC3DCC">
      <w:pPr>
        <w:pStyle w:val="Sansinterligne"/>
        <w:numPr>
          <w:ilvl w:val="0"/>
          <w:numId w:val="773"/>
        </w:numPr>
      </w:pPr>
      <w:r>
        <w:t>ISRS</w:t>
      </w:r>
    </w:p>
    <w:p w:rsidR="00012D3B" w:rsidRDefault="00012D3B" w:rsidP="00BC3DCC">
      <w:pPr>
        <w:pStyle w:val="Sansinterligne"/>
        <w:numPr>
          <w:ilvl w:val="0"/>
          <w:numId w:val="773"/>
        </w:numPr>
      </w:pPr>
      <w:r>
        <w:t>Clomipramine</w:t>
      </w:r>
      <w:r w:rsidR="00AF47C6" w:rsidRPr="00AF47C6">
        <w:t xml:space="preserve"> </w:t>
      </w:r>
    </w:p>
    <w:p w:rsidR="00012D3B" w:rsidRDefault="00012D3B" w:rsidP="00BC3DCC">
      <w:pPr>
        <w:pStyle w:val="Sansinterligne"/>
        <w:numPr>
          <w:ilvl w:val="0"/>
          <w:numId w:val="773"/>
        </w:numPr>
      </w:pPr>
      <w:r>
        <w:t>Lidocaïne topique</w:t>
      </w:r>
    </w:p>
    <w:p w:rsidR="00683EDD" w:rsidRDefault="00683EDD" w:rsidP="00342EE7">
      <w:pPr>
        <w:pStyle w:val="Sansinterligne"/>
      </w:pPr>
    </w:p>
    <w:p w:rsidR="002D636E" w:rsidRPr="0001510A" w:rsidRDefault="00342EE7" w:rsidP="00342EE7">
      <w:pPr>
        <w:pStyle w:val="Sansinterligne"/>
        <w:rPr>
          <w:u w:val="single"/>
        </w:rPr>
      </w:pPr>
      <w:r w:rsidRPr="0001510A">
        <w:rPr>
          <w:u w:val="single"/>
        </w:rPr>
        <w:t>Traitement de la dysfonction érectile</w:t>
      </w:r>
    </w:p>
    <w:p w:rsidR="0001510A" w:rsidRPr="0001510A" w:rsidRDefault="00D93C16" w:rsidP="00BC3DCC">
      <w:pPr>
        <w:pStyle w:val="Sansinterligne"/>
        <w:numPr>
          <w:ilvl w:val="0"/>
          <w:numId w:val="774"/>
        </w:numPr>
      </w:pPr>
      <w:r>
        <w:t>10% psychogénique, 90% organique</w:t>
      </w:r>
    </w:p>
    <w:p w:rsidR="0001510A" w:rsidRPr="00AF47C6" w:rsidRDefault="0001510A" w:rsidP="00BC3DCC">
      <w:pPr>
        <w:pStyle w:val="Sansinterligne"/>
        <w:numPr>
          <w:ilvl w:val="0"/>
          <w:numId w:val="774"/>
        </w:numPr>
        <w:rPr>
          <w:highlight w:val="yellow"/>
        </w:rPr>
      </w:pPr>
      <w:r w:rsidRPr="00AF47C6">
        <w:rPr>
          <w:rFonts w:cs="Times New Roman"/>
          <w:highlight w:val="yellow"/>
        </w:rPr>
        <w:t>Non-pharmacologique</w:t>
      </w:r>
    </w:p>
    <w:p w:rsidR="00342EE7" w:rsidRPr="00AF47C6" w:rsidRDefault="00342EE7" w:rsidP="00BC3DCC">
      <w:pPr>
        <w:pStyle w:val="Sansinterligne"/>
        <w:numPr>
          <w:ilvl w:val="1"/>
          <w:numId w:val="774"/>
        </w:numPr>
        <w:rPr>
          <w:highlight w:val="yellow"/>
        </w:rPr>
      </w:pPr>
      <w:r w:rsidRPr="00AF47C6">
        <w:rPr>
          <w:rFonts w:cs="Times New Roman"/>
          <w:highlight w:val="yellow"/>
        </w:rPr>
        <w:t>∆</w:t>
      </w:r>
      <w:r w:rsidRPr="00AF47C6">
        <w:rPr>
          <w:highlight w:val="yellow"/>
        </w:rPr>
        <w:t xml:space="preserve"> comportementaux (alcool, tabagisme)</w:t>
      </w:r>
    </w:p>
    <w:p w:rsidR="00342EE7" w:rsidRPr="00AF47C6" w:rsidRDefault="00342EE7" w:rsidP="00BC3DCC">
      <w:pPr>
        <w:pStyle w:val="Sansinterligne"/>
        <w:numPr>
          <w:ilvl w:val="1"/>
          <w:numId w:val="774"/>
        </w:numPr>
        <w:rPr>
          <w:highlight w:val="yellow"/>
        </w:rPr>
      </w:pPr>
      <w:r w:rsidRPr="00AF47C6">
        <w:rPr>
          <w:highlight w:val="yellow"/>
        </w:rPr>
        <w:t>Éducation/ psychothérapie sexuelle – référence en sexologie</w:t>
      </w:r>
    </w:p>
    <w:p w:rsidR="00342EE7" w:rsidRPr="00AF47C6" w:rsidRDefault="00342EE7" w:rsidP="00BC3DCC">
      <w:pPr>
        <w:pStyle w:val="Sansinterligne"/>
        <w:numPr>
          <w:ilvl w:val="1"/>
          <w:numId w:val="774"/>
        </w:numPr>
        <w:rPr>
          <w:highlight w:val="yellow"/>
        </w:rPr>
      </w:pPr>
      <w:r w:rsidRPr="00AF47C6">
        <w:rPr>
          <w:highlight w:val="yellow"/>
        </w:rPr>
        <w:t xml:space="preserve">Cesser les médicaments en cause ou </w:t>
      </w:r>
      <w:r w:rsidRPr="00AF47C6">
        <w:rPr>
          <w:rFonts w:cs="Times New Roman"/>
          <w:highlight w:val="yellow"/>
        </w:rPr>
        <w:t>Ø</w:t>
      </w:r>
      <w:r w:rsidRPr="00AF47C6">
        <w:rPr>
          <w:highlight w:val="yellow"/>
        </w:rPr>
        <w:t xml:space="preserve"> fonction érectile</w:t>
      </w:r>
    </w:p>
    <w:p w:rsidR="00342EE7" w:rsidRPr="00AF47C6" w:rsidRDefault="00D93C16" w:rsidP="00BC3DCC">
      <w:pPr>
        <w:pStyle w:val="Sansinterligne"/>
        <w:numPr>
          <w:ilvl w:val="1"/>
          <w:numId w:val="774"/>
        </w:numPr>
        <w:rPr>
          <w:highlight w:val="yellow"/>
        </w:rPr>
      </w:pPr>
      <w:r w:rsidRPr="00AF47C6">
        <w:rPr>
          <w:highlight w:val="yellow"/>
        </w:rPr>
        <w:t>Traiter les maladies vasculaires ou endocrines si présente.</w:t>
      </w:r>
    </w:p>
    <w:p w:rsidR="00D93C16" w:rsidRPr="00AF47C6" w:rsidRDefault="0001510A" w:rsidP="00BC3DCC">
      <w:pPr>
        <w:pStyle w:val="Sansinterligne"/>
        <w:numPr>
          <w:ilvl w:val="0"/>
          <w:numId w:val="774"/>
        </w:numPr>
        <w:rPr>
          <w:highlight w:val="yellow"/>
        </w:rPr>
      </w:pPr>
      <w:r w:rsidRPr="00AF47C6">
        <w:rPr>
          <w:highlight w:val="yellow"/>
        </w:rPr>
        <w:t>Pharmacologie </w:t>
      </w:r>
    </w:p>
    <w:p w:rsidR="00D93C16" w:rsidRPr="00AF47C6" w:rsidRDefault="00D93C16" w:rsidP="00BC3DCC">
      <w:pPr>
        <w:pStyle w:val="Sansinterligne"/>
        <w:numPr>
          <w:ilvl w:val="1"/>
          <w:numId w:val="774"/>
        </w:numPr>
        <w:rPr>
          <w:highlight w:val="yellow"/>
        </w:rPr>
      </w:pPr>
      <w:r w:rsidRPr="00AF47C6">
        <w:rPr>
          <w:highlight w:val="yellow"/>
        </w:rPr>
        <w:t>Sildenafil (Viagra), tadalafil (Cialis)</w:t>
      </w:r>
    </w:p>
    <w:p w:rsidR="00D93C16" w:rsidRDefault="00D93C16" w:rsidP="00BC3DCC">
      <w:pPr>
        <w:pStyle w:val="Sansinterligne"/>
        <w:numPr>
          <w:ilvl w:val="0"/>
          <w:numId w:val="774"/>
        </w:numPr>
      </w:pPr>
      <w:r>
        <w:t>Référence en urologie si échec médical, anomalie anatomique, traumatisme, cause psychologique sévère, suspicion de problème neurologique ou endocrine. Certains traitements chirurgicaux ou invasifs existent.</w:t>
      </w:r>
    </w:p>
    <w:p w:rsidR="00D93C16" w:rsidRDefault="00D93C16" w:rsidP="00342EE7">
      <w:pPr>
        <w:pStyle w:val="Sansinterligne"/>
      </w:pPr>
      <w:r>
        <w:t xml:space="preserve"> </w:t>
      </w:r>
    </w:p>
    <w:p w:rsidR="00342EE7" w:rsidRPr="00AF47C6" w:rsidRDefault="00AF47C6" w:rsidP="00342EE7">
      <w:pPr>
        <w:pStyle w:val="Sansinterligne"/>
        <w:rPr>
          <w:highlight w:val="yellow"/>
          <w:u w:val="single"/>
        </w:rPr>
      </w:pPr>
      <w:r w:rsidRPr="00AF47C6">
        <w:rPr>
          <w:noProof/>
          <w:highlight w:val="yellow"/>
          <w:lang w:eastAsia="fr-CA"/>
        </w:rPr>
        <w:drawing>
          <wp:anchor distT="0" distB="0" distL="114300" distR="114300" simplePos="0" relativeHeight="251875328" behindDoc="0" locked="0" layoutInCell="1" allowOverlap="1" wp14:anchorId="4C0E55C2" wp14:editId="5CFCE0CC">
            <wp:simplePos x="0" y="0"/>
            <wp:positionH relativeFrom="column">
              <wp:posOffset>2878793</wp:posOffset>
            </wp:positionH>
            <wp:positionV relativeFrom="paragraph">
              <wp:posOffset>138173</wp:posOffset>
            </wp:positionV>
            <wp:extent cx="4005051" cy="2577830"/>
            <wp:effectExtent l="0" t="0" r="0" b="0"/>
            <wp:wrapNone/>
            <wp:docPr id="387" name="Image 387" descr="Résultats de recherche d'images pour « dysfonction érecti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Résultats de recherche d'images pour « dysfonction érectile »"/>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4005051" cy="2577830"/>
                    </a:xfrm>
                    <a:prstGeom prst="rect">
                      <a:avLst/>
                    </a:prstGeom>
                    <a:noFill/>
                    <a:ln>
                      <a:noFill/>
                    </a:ln>
                  </pic:spPr>
                </pic:pic>
              </a:graphicData>
            </a:graphic>
            <wp14:sizeRelH relativeFrom="page">
              <wp14:pctWidth>0</wp14:pctWidth>
            </wp14:sizeRelH>
            <wp14:sizeRelV relativeFrom="page">
              <wp14:pctHeight>0</wp14:pctHeight>
            </wp14:sizeRelV>
          </wp:anchor>
        </w:drawing>
      </w:r>
      <w:r w:rsidR="00852D64" w:rsidRPr="00AF47C6">
        <w:rPr>
          <w:highlight w:val="yellow"/>
          <w:u w:val="single"/>
        </w:rPr>
        <w:t>Dysphorie du genre</w:t>
      </w:r>
    </w:p>
    <w:p w:rsidR="00852D64" w:rsidRPr="00AF47C6" w:rsidRDefault="00852D64" w:rsidP="00BC3DCC">
      <w:pPr>
        <w:pStyle w:val="Sansinterligne"/>
        <w:numPr>
          <w:ilvl w:val="0"/>
          <w:numId w:val="775"/>
        </w:numPr>
        <w:rPr>
          <w:highlight w:val="yellow"/>
        </w:rPr>
      </w:pPr>
      <w:r w:rsidRPr="00AF47C6">
        <w:rPr>
          <w:highlight w:val="yellow"/>
        </w:rPr>
        <w:t>Référence en psychiatrie</w:t>
      </w:r>
    </w:p>
    <w:p w:rsidR="00852D64" w:rsidRPr="00AF47C6" w:rsidRDefault="00852D64" w:rsidP="00BC3DCC">
      <w:pPr>
        <w:pStyle w:val="Sansinterligne"/>
        <w:numPr>
          <w:ilvl w:val="0"/>
          <w:numId w:val="775"/>
        </w:numPr>
        <w:rPr>
          <w:highlight w:val="yellow"/>
        </w:rPr>
      </w:pPr>
      <w:r w:rsidRPr="00AF47C6">
        <w:rPr>
          <w:highlight w:val="yellow"/>
        </w:rPr>
        <w:t>Transition de genre</w:t>
      </w:r>
    </w:p>
    <w:p w:rsidR="00852D64" w:rsidRPr="00AF47C6" w:rsidRDefault="00852D64" w:rsidP="00BC3DCC">
      <w:pPr>
        <w:pStyle w:val="Sansinterligne"/>
        <w:numPr>
          <w:ilvl w:val="0"/>
          <w:numId w:val="775"/>
        </w:numPr>
        <w:rPr>
          <w:highlight w:val="yellow"/>
        </w:rPr>
      </w:pPr>
      <w:r w:rsidRPr="00AF47C6">
        <w:rPr>
          <w:highlight w:val="yellow"/>
        </w:rPr>
        <w:t>Psychothérapie</w:t>
      </w:r>
    </w:p>
    <w:p w:rsidR="00852D64" w:rsidRPr="00AF47C6" w:rsidRDefault="00852D64" w:rsidP="00BC3DCC">
      <w:pPr>
        <w:pStyle w:val="Sansinterligne"/>
        <w:numPr>
          <w:ilvl w:val="0"/>
          <w:numId w:val="775"/>
        </w:numPr>
        <w:rPr>
          <w:highlight w:val="yellow"/>
        </w:rPr>
      </w:pPr>
      <w:r w:rsidRPr="00AF47C6">
        <w:rPr>
          <w:highlight w:val="yellow"/>
        </w:rPr>
        <w:t>Thérapie hormonale</w:t>
      </w:r>
    </w:p>
    <w:p w:rsidR="00852D64" w:rsidRPr="00AF47C6" w:rsidRDefault="00852D64" w:rsidP="00BC3DCC">
      <w:pPr>
        <w:pStyle w:val="Sansinterligne"/>
        <w:numPr>
          <w:ilvl w:val="0"/>
          <w:numId w:val="775"/>
        </w:numPr>
        <w:rPr>
          <w:highlight w:val="yellow"/>
        </w:rPr>
      </w:pPr>
      <w:r w:rsidRPr="00AF47C6">
        <w:rPr>
          <w:highlight w:val="yellow"/>
        </w:rPr>
        <w:t>Chirurgie de réassignation sexuelle</w:t>
      </w:r>
    </w:p>
    <w:p w:rsidR="00061B3C" w:rsidRDefault="00061B3C">
      <w:pPr>
        <w:rPr>
          <w:rFonts w:cs="Times New Roman"/>
          <w:b/>
          <w:color w:val="548DD4" w:themeColor="text2" w:themeTint="99"/>
        </w:rPr>
      </w:pPr>
    </w:p>
    <w:p w:rsidR="00061B3C" w:rsidRPr="00061B3C" w:rsidRDefault="00061B3C" w:rsidP="00061B3C">
      <w:pPr>
        <w:pStyle w:val="Sansinterligne"/>
        <w:rPr>
          <w:u w:val="single"/>
        </w:rPr>
      </w:pPr>
      <w:r w:rsidRPr="00061B3C">
        <w:rPr>
          <w:u w:val="single"/>
        </w:rPr>
        <w:t>Paraphilies</w:t>
      </w:r>
    </w:p>
    <w:p w:rsidR="00061B3C" w:rsidRDefault="00061B3C" w:rsidP="00BC3DCC">
      <w:pPr>
        <w:pStyle w:val="Sansinterligne"/>
        <w:numPr>
          <w:ilvl w:val="0"/>
          <w:numId w:val="777"/>
        </w:numPr>
      </w:pPr>
      <w:r>
        <w:t>Référence en psychiatrie</w:t>
      </w:r>
    </w:p>
    <w:p w:rsidR="00061B3C" w:rsidRDefault="00061B3C" w:rsidP="00BC3DCC">
      <w:pPr>
        <w:pStyle w:val="Sansinterligne"/>
        <w:numPr>
          <w:ilvl w:val="0"/>
          <w:numId w:val="777"/>
        </w:numPr>
      </w:pPr>
      <w:r>
        <w:t>Psychothérapie</w:t>
      </w:r>
    </w:p>
    <w:p w:rsidR="00061B3C" w:rsidRDefault="00061B3C" w:rsidP="00BC3DCC">
      <w:pPr>
        <w:pStyle w:val="Sansinterligne"/>
        <w:numPr>
          <w:ilvl w:val="0"/>
          <w:numId w:val="777"/>
        </w:numPr>
      </w:pPr>
      <w:r>
        <w:t>Changements du comportement (renforcement)</w:t>
      </w:r>
    </w:p>
    <w:p w:rsidR="00D93C16" w:rsidRDefault="00061B3C" w:rsidP="00BC3DCC">
      <w:pPr>
        <w:pStyle w:val="Sansinterligne"/>
        <w:numPr>
          <w:ilvl w:val="0"/>
          <w:numId w:val="777"/>
        </w:numPr>
      </w:pPr>
      <w:r>
        <w:t xml:space="preserve">Anti-androgènes PRN pour </w:t>
      </w:r>
      <w:r>
        <w:rPr>
          <w:rFonts w:cs="Times New Roman"/>
        </w:rPr>
        <w:t>↓</w:t>
      </w:r>
      <w:r>
        <w:t xml:space="preserve"> libido</w:t>
      </w:r>
      <w:r w:rsidR="00D93C16">
        <w:br w:type="page"/>
      </w:r>
    </w:p>
    <w:p w:rsidR="00A70FD6" w:rsidRDefault="00A70FD6" w:rsidP="00A70FD6">
      <w:pPr>
        <w:spacing w:after="0"/>
        <w:rPr>
          <w:rFonts w:cs="Times New Roman"/>
          <w:b/>
          <w:color w:val="548DD4" w:themeColor="text2" w:themeTint="99"/>
        </w:rPr>
      </w:pPr>
      <w:r>
        <w:rPr>
          <w:rFonts w:cs="Times New Roman"/>
          <w:b/>
          <w:color w:val="548DD4" w:themeColor="text2" w:themeTint="99"/>
        </w:rPr>
        <w:t>CMC 98</w:t>
      </w:r>
    </w:p>
    <w:p w:rsidR="00A70FD6" w:rsidRDefault="00A70FD6" w:rsidP="00A70FD6">
      <w:pPr>
        <w:pStyle w:val="Titre3"/>
        <w:spacing w:before="0"/>
        <w:rPr>
          <w:rFonts w:ascii="Times New Roman" w:hAnsi="Times New Roman" w:cs="Times New Roman"/>
        </w:rPr>
      </w:pPr>
      <w:bookmarkStart w:id="362" w:name="_Toc480797327"/>
      <w:r w:rsidRPr="00A70FD6">
        <w:rPr>
          <w:rFonts w:ascii="Times New Roman" w:hAnsi="Times New Roman" w:cs="Times New Roman"/>
        </w:rPr>
        <w:t>Troubles du rythme veille-sommeil</w:t>
      </w:r>
      <w:bookmarkEnd w:id="362"/>
    </w:p>
    <w:tbl>
      <w:tblPr>
        <w:tblW w:w="3858" w:type="pct"/>
        <w:tblCellSpacing w:w="0" w:type="dxa"/>
        <w:tblCellMar>
          <w:left w:w="0" w:type="dxa"/>
          <w:right w:w="0" w:type="dxa"/>
        </w:tblCellMar>
        <w:tblLook w:val="04A0" w:firstRow="1" w:lastRow="0" w:firstColumn="1" w:lastColumn="0" w:noHBand="0" w:noVBand="1"/>
      </w:tblPr>
      <w:tblGrid>
        <w:gridCol w:w="8333"/>
      </w:tblGrid>
      <w:tr w:rsidR="00A70FD6" w:rsidRPr="00A70FD6" w:rsidTr="00A70FD6">
        <w:trPr>
          <w:tblCellSpacing w:w="0" w:type="dxa"/>
        </w:trPr>
        <w:tc>
          <w:tcPr>
            <w:tcW w:w="0" w:type="auto"/>
            <w:vAlign w:val="bottom"/>
            <w:hideMark/>
          </w:tcPr>
          <w:p w:rsidR="00A70FD6" w:rsidRPr="00BD1872" w:rsidRDefault="003A700D" w:rsidP="00BD1872">
            <w:pPr>
              <w:pStyle w:val="Sansinterligne"/>
              <w:spacing w:before="240"/>
              <w:rPr>
                <w:b/>
                <w:sz w:val="18"/>
                <w:szCs w:val="18"/>
              </w:rPr>
            </w:pPr>
            <w:r w:rsidRPr="00BD1872">
              <w:rPr>
                <w:b/>
                <w:noProof/>
                <w:sz w:val="18"/>
                <w:szCs w:val="18"/>
                <w:lang w:eastAsia="fr-CA"/>
              </w:rPr>
              <mc:AlternateContent>
                <mc:Choice Requires="wps">
                  <w:drawing>
                    <wp:anchor distT="0" distB="0" distL="114300" distR="114300" simplePos="0" relativeHeight="251855872" behindDoc="0" locked="0" layoutInCell="1" allowOverlap="1" wp14:anchorId="6C48CC78" wp14:editId="3FD91A0B">
                      <wp:simplePos x="0" y="0"/>
                      <wp:positionH relativeFrom="column">
                        <wp:posOffset>-38911</wp:posOffset>
                      </wp:positionH>
                      <wp:positionV relativeFrom="paragraph">
                        <wp:posOffset>104680</wp:posOffset>
                      </wp:positionV>
                      <wp:extent cx="6731541" cy="2198451"/>
                      <wp:effectExtent l="0" t="0" r="12700" b="11430"/>
                      <wp:wrapNone/>
                      <wp:docPr id="369" name="Rectangle 369"/>
                      <wp:cNvGraphicFramePr/>
                      <a:graphic xmlns:a="http://schemas.openxmlformats.org/drawingml/2006/main">
                        <a:graphicData uri="http://schemas.microsoft.com/office/word/2010/wordprocessingShape">
                          <wps:wsp>
                            <wps:cNvSpPr/>
                            <wps:spPr>
                              <a:xfrm>
                                <a:off x="0" y="0"/>
                                <a:ext cx="6731541" cy="2198451"/>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369" o:spid="_x0000_s1026" style="position:absolute;margin-left:-3.05pt;margin-top:8.25pt;width:530.05pt;height:173.1pt;z-index:2518558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" filled="f" strokecolor="black [1600]" strokeweight="2pt"/>
                  </w:pict>
                </mc:Fallback>
              </mc:AlternateContent>
            </w:r>
            <w:r w:rsidR="00A70FD6" w:rsidRPr="00BD1872">
              <w:rPr>
                <w:b/>
                <w:sz w:val="18"/>
                <w:szCs w:val="18"/>
              </w:rPr>
              <w:t>Objectifs principaux</w:t>
            </w:r>
          </w:p>
        </w:tc>
      </w:tr>
    </w:tbl>
    <w:p w:rsidR="00A70FD6" w:rsidRPr="00A70FD6" w:rsidRDefault="00A70FD6" w:rsidP="00A70FD6">
      <w:pPr>
        <w:pStyle w:val="NormalWeb"/>
        <w:spacing w:after="0" w:afterAutospacing="0"/>
        <w:ind w:left="360"/>
        <w:rPr>
          <w:color w:val="000000"/>
          <w:sz w:val="18"/>
          <w:szCs w:val="18"/>
          <w:shd w:val="clear" w:color="auto" w:fill="FFFFFF"/>
        </w:rPr>
      </w:pPr>
      <w:r w:rsidRPr="00A70FD6">
        <w:rPr>
          <w:color w:val="000000"/>
          <w:sz w:val="18"/>
          <w:szCs w:val="18"/>
          <w:shd w:val="clear" w:color="auto" w:fill="FFFFFF"/>
        </w:rPr>
        <w:t>Dans le cas d'un patient présentant un trouble du rythme veille-sommeil, le candidat devra en diagnostiquer la cause, la gravité et les complications, et mettre en place un plan de prise en charge approprié.</w:t>
      </w:r>
    </w:p>
    <w:tbl>
      <w:tblPr>
        <w:tblW w:w="3897" w:type="pct"/>
        <w:tblCellSpacing w:w="0" w:type="dxa"/>
        <w:tblCellMar>
          <w:left w:w="0" w:type="dxa"/>
          <w:right w:w="0" w:type="dxa"/>
        </w:tblCellMar>
        <w:tblLook w:val="04A0" w:firstRow="1" w:lastRow="0" w:firstColumn="1" w:lastColumn="0" w:noHBand="0" w:noVBand="1"/>
      </w:tblPr>
      <w:tblGrid>
        <w:gridCol w:w="8418"/>
      </w:tblGrid>
      <w:tr w:rsidR="00A70FD6" w:rsidRPr="00A70FD6" w:rsidTr="00A70FD6">
        <w:trPr>
          <w:tblCellSpacing w:w="0" w:type="dxa"/>
        </w:trPr>
        <w:tc>
          <w:tcPr>
            <w:tcW w:w="0" w:type="auto"/>
            <w:vAlign w:val="bottom"/>
            <w:hideMark/>
          </w:tcPr>
          <w:p w:rsidR="00A70FD6" w:rsidRPr="00BD1872" w:rsidRDefault="00A70FD6" w:rsidP="00BD1872">
            <w:pPr>
              <w:pStyle w:val="Sansinterligne"/>
              <w:spacing w:before="240"/>
              <w:rPr>
                <w:b/>
                <w:sz w:val="16"/>
                <w:szCs w:val="16"/>
              </w:rPr>
            </w:pPr>
            <w:r w:rsidRPr="00BD1872">
              <w:rPr>
                <w:b/>
                <w:sz w:val="16"/>
                <w:szCs w:val="16"/>
              </w:rPr>
              <w:t>Objectifs spécifiques</w:t>
            </w:r>
          </w:p>
        </w:tc>
      </w:tr>
    </w:tbl>
    <w:p w:rsidR="00A70FD6" w:rsidRPr="00A70FD6" w:rsidRDefault="00A70FD6" w:rsidP="00A70FD6">
      <w:pPr>
        <w:pStyle w:val="NormalWeb"/>
        <w:shd w:val="clear" w:color="auto" w:fill="FFFFFF"/>
        <w:ind w:left="360"/>
        <w:rPr>
          <w:color w:val="000000"/>
          <w:sz w:val="16"/>
          <w:szCs w:val="16"/>
          <w:shd w:val="clear" w:color="auto" w:fill="FFFFFF"/>
        </w:rPr>
      </w:pPr>
      <w:r w:rsidRPr="00A70FD6">
        <w:rPr>
          <w:color w:val="000000"/>
          <w:sz w:val="16"/>
          <w:szCs w:val="16"/>
          <w:shd w:val="clear" w:color="auto" w:fill="FFFFFF"/>
        </w:rPr>
        <w:t>Dans le cas d'un patient présentant un trouble du rythme veille-sommeil, le candidat devra</w:t>
      </w:r>
    </w:p>
    <w:p w:rsidR="00A70FD6" w:rsidRPr="00A70FD6" w:rsidRDefault="00A70FD6" w:rsidP="00867E49">
      <w:pPr>
        <w:numPr>
          <w:ilvl w:val="0"/>
          <w:numId w:val="706"/>
        </w:numPr>
        <w:shd w:val="clear" w:color="auto" w:fill="FFFFFF"/>
        <w:spacing w:before="100" w:beforeAutospacing="1" w:after="100" w:afterAutospacing="1" w:line="240" w:lineRule="auto"/>
        <w:rPr>
          <w:rFonts w:cs="Times New Roman"/>
          <w:color w:val="000000"/>
          <w:sz w:val="16"/>
          <w:szCs w:val="16"/>
          <w:shd w:val="clear" w:color="auto" w:fill="FFFFFF"/>
        </w:rPr>
      </w:pPr>
      <w:r w:rsidRPr="00A70FD6">
        <w:rPr>
          <w:rFonts w:cs="Times New Roman"/>
          <w:color w:val="000000"/>
          <w:sz w:val="16"/>
          <w:szCs w:val="16"/>
          <w:shd w:val="clear" w:color="auto" w:fill="FFFFFF"/>
        </w:rPr>
        <w:t>réaliser un examen approfondi des antécédents relatifs au sommeil, y compris les antécédents fournis par les proches et les données consignées dans un journal des habitudes de sommeil, au besoin;</w:t>
      </w:r>
    </w:p>
    <w:p w:rsidR="00A70FD6" w:rsidRPr="00A70FD6" w:rsidRDefault="00A70FD6" w:rsidP="00867E49">
      <w:pPr>
        <w:numPr>
          <w:ilvl w:val="0"/>
          <w:numId w:val="706"/>
        </w:numPr>
        <w:shd w:val="clear" w:color="auto" w:fill="FFFFFF"/>
        <w:spacing w:before="100" w:beforeAutospacing="1" w:after="100" w:afterAutospacing="1" w:line="240" w:lineRule="auto"/>
        <w:rPr>
          <w:rFonts w:cs="Times New Roman"/>
          <w:color w:val="000000"/>
          <w:sz w:val="16"/>
          <w:szCs w:val="16"/>
          <w:shd w:val="clear" w:color="auto" w:fill="FFFFFF"/>
        </w:rPr>
      </w:pPr>
      <w:r w:rsidRPr="00A70FD6">
        <w:rPr>
          <w:rFonts w:cs="Times New Roman"/>
          <w:color w:val="000000"/>
          <w:sz w:val="16"/>
          <w:szCs w:val="16"/>
          <w:shd w:val="clear" w:color="auto" w:fill="FFFFFF"/>
        </w:rPr>
        <w:t>effectuer un examen clinique, s'il y a lieu;</w:t>
      </w:r>
    </w:p>
    <w:p w:rsidR="00A70FD6" w:rsidRPr="00A70FD6" w:rsidRDefault="00A70FD6" w:rsidP="00867E49">
      <w:pPr>
        <w:numPr>
          <w:ilvl w:val="0"/>
          <w:numId w:val="706"/>
        </w:numPr>
        <w:shd w:val="clear" w:color="auto" w:fill="FFFFFF"/>
        <w:spacing w:before="100" w:beforeAutospacing="1" w:after="100" w:afterAutospacing="1" w:line="240" w:lineRule="auto"/>
        <w:rPr>
          <w:rFonts w:cs="Times New Roman"/>
          <w:color w:val="000000"/>
          <w:sz w:val="16"/>
          <w:szCs w:val="16"/>
          <w:shd w:val="clear" w:color="auto" w:fill="FFFFFF"/>
        </w:rPr>
      </w:pPr>
      <w:r w:rsidRPr="00A70FD6">
        <w:rPr>
          <w:rFonts w:cs="Times New Roman"/>
          <w:color w:val="000000"/>
          <w:sz w:val="16"/>
          <w:szCs w:val="16"/>
          <w:shd w:val="clear" w:color="auto" w:fill="FFFFFF"/>
        </w:rPr>
        <w:t>déterminer si le patient doit subir des examens spécialisés (p. ex. polysomnographie);</w:t>
      </w:r>
    </w:p>
    <w:p w:rsidR="00A70FD6" w:rsidRPr="00A70FD6" w:rsidRDefault="00A70FD6" w:rsidP="00867E49">
      <w:pPr>
        <w:numPr>
          <w:ilvl w:val="0"/>
          <w:numId w:val="706"/>
        </w:numPr>
        <w:shd w:val="clear" w:color="auto" w:fill="FFFFFF"/>
        <w:spacing w:before="100" w:beforeAutospacing="1" w:after="100" w:afterAutospacing="1" w:line="240" w:lineRule="auto"/>
        <w:rPr>
          <w:rFonts w:cs="Times New Roman"/>
          <w:color w:val="000000"/>
          <w:sz w:val="16"/>
          <w:szCs w:val="16"/>
          <w:shd w:val="clear" w:color="auto" w:fill="FFFFFF"/>
        </w:rPr>
      </w:pPr>
      <w:r w:rsidRPr="00A70FD6">
        <w:rPr>
          <w:rFonts w:cs="Times New Roman"/>
          <w:color w:val="000000"/>
          <w:sz w:val="16"/>
          <w:szCs w:val="16"/>
          <w:shd w:val="clear" w:color="auto" w:fill="FFFFFF"/>
        </w:rPr>
        <w:t>donner des conseils en matière de prise en charge, selon la cause sous-jacente du trouble du sommeil en question;</w:t>
      </w:r>
    </w:p>
    <w:p w:rsidR="00A70FD6" w:rsidRPr="00A70FD6" w:rsidRDefault="00A70FD6" w:rsidP="00867E49">
      <w:pPr>
        <w:numPr>
          <w:ilvl w:val="0"/>
          <w:numId w:val="706"/>
        </w:numPr>
        <w:shd w:val="clear" w:color="auto" w:fill="FFFFFF"/>
        <w:spacing w:before="100" w:beforeAutospacing="1" w:after="100" w:afterAutospacing="1" w:line="240" w:lineRule="auto"/>
        <w:rPr>
          <w:rFonts w:cs="Times New Roman"/>
          <w:color w:val="000000"/>
          <w:sz w:val="16"/>
          <w:szCs w:val="16"/>
          <w:shd w:val="clear" w:color="auto" w:fill="FFFFFF"/>
        </w:rPr>
      </w:pPr>
      <w:r w:rsidRPr="00A70FD6">
        <w:rPr>
          <w:rFonts w:cs="Times New Roman"/>
          <w:color w:val="000000"/>
          <w:sz w:val="16"/>
          <w:szCs w:val="16"/>
          <w:shd w:val="clear" w:color="auto" w:fill="FFFFFF"/>
        </w:rPr>
        <w:t>évaluer les risques en matière de sécurité (p. ex. somnolence diurne excessive).</w:t>
      </w:r>
    </w:p>
    <w:p w:rsidR="00A70FD6" w:rsidRDefault="00A70FD6" w:rsidP="00A70FD6">
      <w:pPr>
        <w:pStyle w:val="Sansinterligne"/>
      </w:pPr>
    </w:p>
    <w:p w:rsidR="00DF048B" w:rsidRDefault="00DF048B" w:rsidP="00A70FD6">
      <w:pPr>
        <w:pStyle w:val="Sansinterligne"/>
      </w:pPr>
      <w:r>
        <w:rPr>
          <w:noProof/>
          <w:lang w:eastAsia="fr-CA"/>
        </w:rPr>
        <w:drawing>
          <wp:anchor distT="0" distB="0" distL="114300" distR="114300" simplePos="0" relativeHeight="251860992" behindDoc="0" locked="0" layoutInCell="1" allowOverlap="1" wp14:anchorId="06C8FAFB" wp14:editId="675120A2">
            <wp:simplePos x="0" y="0"/>
            <wp:positionH relativeFrom="column">
              <wp:posOffset>4218754</wp:posOffset>
            </wp:positionH>
            <wp:positionV relativeFrom="paragraph">
              <wp:posOffset>11430</wp:posOffset>
            </wp:positionV>
            <wp:extent cx="2473335" cy="2101174"/>
            <wp:effectExtent l="0" t="0" r="3175" b="0"/>
            <wp:wrapNone/>
            <wp:docPr id="373" name="Image 373" descr="Image associé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associée"/>
                    <pic:cNvPicPr>
                      <a:picLocks noChangeAspect="1" noChangeArrowheads="1"/>
                    </pic:cNvPicPr>
                  </pic:nvPicPr>
                  <pic:blipFill rotWithShape="1">
                    <a:blip r:embed="rId332">
                      <a:extLst>
                        <a:ext uri="{28A0092B-C50C-407E-A947-70E740481C1C}">
                          <a14:useLocalDpi xmlns:a14="http://schemas.microsoft.com/office/drawing/2010/main" val="0"/>
                        </a:ext>
                      </a:extLst>
                    </a:blip>
                    <a:srcRect l="8636" r="12586"/>
                    <a:stretch/>
                  </pic:blipFill>
                  <pic:spPr bwMode="auto">
                    <a:xfrm>
                      <a:off x="0" y="0"/>
                      <a:ext cx="2473021" cy="2100907"/>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E0979">
        <w:t xml:space="preserve">L’évaluation des troubles du sommeil est avant tout clinique. </w:t>
      </w:r>
      <w:r>
        <w:t xml:space="preserve">Il faudra, </w:t>
      </w:r>
    </w:p>
    <w:p w:rsidR="00DE0979" w:rsidRDefault="00DF048B" w:rsidP="00A70FD6">
      <w:pPr>
        <w:pStyle w:val="Sansinterligne"/>
      </w:pPr>
      <w:r>
        <w:t>entre autres, f</w:t>
      </w:r>
      <w:r w:rsidR="00DE0979">
        <w:t>aire un questionnaire et un examen comprenant :</w:t>
      </w:r>
    </w:p>
    <w:p w:rsidR="00DE0979" w:rsidRDefault="00DE0979" w:rsidP="00A70FD6"/>
    <w:p w:rsidR="00C75E6F" w:rsidRDefault="00C75E6F" w:rsidP="0012303F">
      <w:pPr>
        <w:pStyle w:val="Paragraphedeliste"/>
        <w:numPr>
          <w:ilvl w:val="0"/>
          <w:numId w:val="742"/>
        </w:numPr>
      </w:pPr>
      <w:r>
        <w:t>Questionner la consommation d’alcool, de substances</w:t>
      </w:r>
    </w:p>
    <w:p w:rsidR="00DF048B" w:rsidRDefault="00DE0979" w:rsidP="0012303F">
      <w:pPr>
        <w:pStyle w:val="Paragraphedeliste"/>
        <w:numPr>
          <w:ilvl w:val="0"/>
          <w:numId w:val="742"/>
        </w:numPr>
      </w:pPr>
      <w:r>
        <w:t xml:space="preserve">La recherche de symptômes d’apnée/hypopnée, </w:t>
      </w:r>
    </w:p>
    <w:p w:rsidR="00DE0979" w:rsidRDefault="00DE0979" w:rsidP="00DF048B">
      <w:pPr>
        <w:pStyle w:val="Paragraphedeliste"/>
        <w:ind w:left="360"/>
      </w:pPr>
      <w:r>
        <w:t>incluant l’</w:t>
      </w:r>
      <w:r w:rsidR="00C75E6F">
        <w:t>histoire du conjoint</w:t>
      </w:r>
    </w:p>
    <w:p w:rsidR="00DF048B" w:rsidRDefault="00DF048B" w:rsidP="0012303F">
      <w:pPr>
        <w:pStyle w:val="Paragraphedeliste"/>
        <w:numPr>
          <w:ilvl w:val="0"/>
          <w:numId w:val="742"/>
        </w:numPr>
      </w:pPr>
      <w:r>
        <w:t>Rechercher des hallucinations hypnagogiques ou un inconfort aux MI</w:t>
      </w:r>
    </w:p>
    <w:p w:rsidR="00C75E6F" w:rsidRDefault="00C75E6F" w:rsidP="0012303F">
      <w:pPr>
        <w:pStyle w:val="Paragraphedeliste"/>
        <w:numPr>
          <w:ilvl w:val="0"/>
          <w:numId w:val="742"/>
        </w:numPr>
      </w:pPr>
      <w:r>
        <w:t>Vérifier l’hygiène de sommeil du patient</w:t>
      </w:r>
    </w:p>
    <w:p w:rsidR="00DF048B" w:rsidRDefault="00C75E6F" w:rsidP="0012303F">
      <w:pPr>
        <w:pStyle w:val="Paragraphedeliste"/>
        <w:numPr>
          <w:ilvl w:val="0"/>
          <w:numId w:val="742"/>
        </w:numPr>
      </w:pPr>
      <w:r>
        <w:t xml:space="preserve">S’assurer de diagnostiquer et traiter d’autres affections ayant un impact </w:t>
      </w:r>
    </w:p>
    <w:p w:rsidR="00C75E6F" w:rsidRDefault="00C75E6F" w:rsidP="00DF048B">
      <w:pPr>
        <w:pStyle w:val="Paragraphedeliste"/>
        <w:ind w:left="360"/>
      </w:pPr>
      <w:r>
        <w:t>sur le sommeil (ex : dépression)</w:t>
      </w:r>
    </w:p>
    <w:p w:rsidR="00A70FD6" w:rsidRPr="00AB4502" w:rsidRDefault="00A70FD6" w:rsidP="00A70FD6">
      <w:pPr>
        <w:rPr>
          <w:b/>
          <w:sz w:val="28"/>
          <w:szCs w:val="28"/>
        </w:rPr>
      </w:pPr>
      <w:r w:rsidRPr="0027117D">
        <w:rPr>
          <w:b/>
          <w:sz w:val="28"/>
          <w:szCs w:val="28"/>
        </w:rPr>
        <w:t>Diagnostics (liste non-exhaustive)</w:t>
      </w:r>
    </w:p>
    <w:tbl>
      <w:tblPr>
        <w:tblStyle w:val="Grilledutableau"/>
        <w:tblW w:w="0" w:type="auto"/>
        <w:tblInd w:w="108" w:type="dxa"/>
        <w:tblLayout w:type="fixed"/>
        <w:tblLook w:val="04A0" w:firstRow="1" w:lastRow="0" w:firstColumn="1" w:lastColumn="0" w:noHBand="0" w:noVBand="1"/>
      </w:tblPr>
      <w:tblGrid>
        <w:gridCol w:w="1843"/>
        <w:gridCol w:w="9065"/>
      </w:tblGrid>
      <w:tr w:rsidR="00A85567" w:rsidTr="002479F6">
        <w:tc>
          <w:tcPr>
            <w:tcW w:w="1843" w:type="dxa"/>
            <w:shd w:val="clear" w:color="auto" w:fill="9BBB59" w:themeFill="accent3"/>
          </w:tcPr>
          <w:p w:rsidR="00A85567" w:rsidRPr="0068187B" w:rsidRDefault="00AB4502" w:rsidP="00AB4502">
            <w:pPr>
              <w:jc w:val="center"/>
              <w:rPr>
                <w:i/>
              </w:rPr>
            </w:pPr>
            <w:r w:rsidRPr="0068187B">
              <w:rPr>
                <w:i/>
              </w:rPr>
              <w:t>Diagnostic</w:t>
            </w:r>
          </w:p>
        </w:tc>
        <w:tc>
          <w:tcPr>
            <w:tcW w:w="9065" w:type="dxa"/>
            <w:shd w:val="clear" w:color="auto" w:fill="9BBB59" w:themeFill="accent3"/>
          </w:tcPr>
          <w:p w:rsidR="00A85567" w:rsidRPr="0068187B" w:rsidRDefault="005A4FE4" w:rsidP="005779C8">
            <w:pPr>
              <w:jc w:val="center"/>
              <w:rPr>
                <w:i/>
              </w:rPr>
            </w:pPr>
            <w:r w:rsidRPr="0068187B">
              <w:rPr>
                <w:i/>
              </w:rPr>
              <w:t xml:space="preserve">Manifestations cliniques </w:t>
            </w:r>
          </w:p>
        </w:tc>
      </w:tr>
      <w:tr w:rsidR="00A85567" w:rsidTr="005779C8">
        <w:tc>
          <w:tcPr>
            <w:tcW w:w="1843" w:type="dxa"/>
            <w:shd w:val="clear" w:color="auto" w:fill="C2D69B" w:themeFill="accent3" w:themeFillTint="99"/>
            <w:vAlign w:val="center"/>
          </w:tcPr>
          <w:p w:rsidR="00A85567" w:rsidRPr="00104DC4" w:rsidRDefault="00AB4502" w:rsidP="00161F27">
            <w:pPr>
              <w:jc w:val="center"/>
              <w:rPr>
                <w:b/>
              </w:rPr>
            </w:pPr>
            <w:r w:rsidRPr="00104DC4">
              <w:rPr>
                <w:b/>
              </w:rPr>
              <w:t>Insomnie primaire</w:t>
            </w:r>
          </w:p>
        </w:tc>
        <w:tc>
          <w:tcPr>
            <w:tcW w:w="9065" w:type="dxa"/>
            <w:shd w:val="clear" w:color="auto" w:fill="FFFF00"/>
          </w:tcPr>
          <w:p w:rsidR="00A85567" w:rsidRPr="005779C8" w:rsidRDefault="005779C8" w:rsidP="0012303F">
            <w:pPr>
              <w:pStyle w:val="Paragraphedeliste"/>
              <w:numPr>
                <w:ilvl w:val="0"/>
                <w:numId w:val="733"/>
              </w:numPr>
            </w:pPr>
            <w:r w:rsidRPr="005779C8">
              <w:t>Peut concerner une difficulté d’endormissement, de maintien du sommeil ou un réveil matinal précoce avec incapacité de se rendormir.</w:t>
            </w:r>
          </w:p>
          <w:p w:rsidR="005779C8" w:rsidRPr="005779C8" w:rsidRDefault="005779C8" w:rsidP="0012303F">
            <w:pPr>
              <w:pStyle w:val="Paragraphedeliste"/>
              <w:numPr>
                <w:ilvl w:val="0"/>
                <w:numId w:val="733"/>
              </w:numPr>
            </w:pPr>
            <w:r w:rsidRPr="005779C8">
              <w:t>La problématique survient au moins 3 nuits par semaine sur au moins 3 mois et ce, malgré de bonnes conditions de sommeil (du moins en apparence).</w:t>
            </w:r>
          </w:p>
          <w:p w:rsidR="005779C8" w:rsidRDefault="005779C8" w:rsidP="0012303F">
            <w:pPr>
              <w:pStyle w:val="Paragraphedeliste"/>
              <w:numPr>
                <w:ilvl w:val="0"/>
                <w:numId w:val="733"/>
              </w:numPr>
            </w:pPr>
            <w:r w:rsidRPr="005779C8">
              <w:t>Le patient est dysfonctionnel sur un ou plusieurs plans en raison de son insomnie.</w:t>
            </w:r>
          </w:p>
        </w:tc>
      </w:tr>
      <w:tr w:rsidR="00A85567" w:rsidTr="005A4FE4">
        <w:tc>
          <w:tcPr>
            <w:tcW w:w="1843" w:type="dxa"/>
            <w:shd w:val="clear" w:color="auto" w:fill="C2D69B" w:themeFill="accent3" w:themeFillTint="99"/>
            <w:vAlign w:val="center"/>
          </w:tcPr>
          <w:p w:rsidR="00A85567" w:rsidRDefault="00AB4502" w:rsidP="00161F27">
            <w:pPr>
              <w:jc w:val="center"/>
            </w:pPr>
            <w:r>
              <w:t>Hypersomnolence</w:t>
            </w:r>
          </w:p>
        </w:tc>
        <w:tc>
          <w:tcPr>
            <w:tcW w:w="9065" w:type="dxa"/>
          </w:tcPr>
          <w:p w:rsidR="00A85567" w:rsidRDefault="005A4FE4" w:rsidP="0012303F">
            <w:pPr>
              <w:pStyle w:val="Paragraphedeliste"/>
              <w:numPr>
                <w:ilvl w:val="0"/>
                <w:numId w:val="732"/>
              </w:numPr>
            </w:pPr>
            <w:r>
              <w:t xml:space="preserve">Somnolence excessive  malgré </w:t>
            </w:r>
            <w:r w:rsidRPr="00F901CA">
              <w:rPr>
                <w:rFonts w:ascii="Century Gothic" w:hAnsi="Century Gothic"/>
              </w:rPr>
              <w:t>&gt;</w:t>
            </w:r>
            <w:r>
              <w:t xml:space="preserve"> 7</w:t>
            </w:r>
            <w:r w:rsidR="004B6A7A">
              <w:t>h</w:t>
            </w:r>
            <w:r>
              <w:t xml:space="preserve"> de sommeil (principal)</w:t>
            </w:r>
          </w:p>
        </w:tc>
      </w:tr>
      <w:tr w:rsidR="00A85567" w:rsidTr="005779C8">
        <w:tc>
          <w:tcPr>
            <w:tcW w:w="1843" w:type="dxa"/>
            <w:shd w:val="clear" w:color="auto" w:fill="C2D69B" w:themeFill="accent3" w:themeFillTint="99"/>
            <w:vAlign w:val="center"/>
          </w:tcPr>
          <w:p w:rsidR="00A85567" w:rsidRPr="005779C8" w:rsidRDefault="00AB4502" w:rsidP="00161F27">
            <w:pPr>
              <w:jc w:val="center"/>
              <w:rPr>
                <w:b/>
              </w:rPr>
            </w:pPr>
            <w:r w:rsidRPr="005779C8">
              <w:rPr>
                <w:b/>
              </w:rPr>
              <w:t>Narcolepsie</w:t>
            </w:r>
          </w:p>
        </w:tc>
        <w:tc>
          <w:tcPr>
            <w:tcW w:w="9065" w:type="dxa"/>
            <w:shd w:val="clear" w:color="auto" w:fill="FFFF00"/>
          </w:tcPr>
          <w:p w:rsidR="00A85567" w:rsidRPr="005779C8" w:rsidRDefault="00E817DD" w:rsidP="00E817DD">
            <w:pPr>
              <w:pStyle w:val="Paragraphedeliste"/>
              <w:numPr>
                <w:ilvl w:val="0"/>
                <w:numId w:val="727"/>
              </w:numPr>
            </w:pPr>
            <w:r w:rsidRPr="005779C8">
              <w:t>Sommeil diurne excessif</w:t>
            </w:r>
          </w:p>
          <w:p w:rsidR="00E817DD" w:rsidRPr="005779C8" w:rsidRDefault="00E817DD" w:rsidP="00E817DD">
            <w:pPr>
              <w:pStyle w:val="Paragraphedeliste"/>
              <w:numPr>
                <w:ilvl w:val="0"/>
                <w:numId w:val="727"/>
              </w:numPr>
            </w:pPr>
            <w:r w:rsidRPr="005779C8">
              <w:t>Cataplexie : perte de tonus musculaire 2</w:t>
            </w:r>
            <w:r w:rsidRPr="005779C8">
              <w:rPr>
                <w:vertAlign w:val="superscript"/>
              </w:rPr>
              <w:t>aire</w:t>
            </w:r>
            <w:r w:rsidRPr="005779C8">
              <w:t xml:space="preserve"> stimuli émotionnel (pathognomonique)</w:t>
            </w:r>
          </w:p>
          <w:p w:rsidR="00E817DD" w:rsidRPr="005779C8" w:rsidRDefault="00E817DD" w:rsidP="00E817DD">
            <w:pPr>
              <w:pStyle w:val="Paragraphedeliste"/>
              <w:numPr>
                <w:ilvl w:val="0"/>
                <w:numId w:val="727"/>
              </w:numPr>
            </w:pPr>
            <w:r w:rsidRPr="005779C8">
              <w:t>Paralysie du sommeil</w:t>
            </w:r>
          </w:p>
          <w:p w:rsidR="00E817DD" w:rsidRPr="005779C8" w:rsidRDefault="00E817DD" w:rsidP="00E817DD">
            <w:pPr>
              <w:pStyle w:val="Paragraphedeliste"/>
              <w:numPr>
                <w:ilvl w:val="0"/>
                <w:numId w:val="727"/>
              </w:numPr>
            </w:pPr>
            <w:r w:rsidRPr="005779C8">
              <w:t>Hallucinations hypnagogique</w:t>
            </w:r>
          </w:p>
          <w:p w:rsidR="00E817DD" w:rsidRDefault="00E817DD" w:rsidP="00E817DD">
            <w:pPr>
              <w:pStyle w:val="Paragraphedeliste"/>
              <w:numPr>
                <w:ilvl w:val="0"/>
                <w:numId w:val="727"/>
              </w:numPr>
            </w:pPr>
            <w:r w:rsidRPr="005779C8">
              <w:t>Hallucinations (à l’éveil ou rêves éveillés)</w:t>
            </w:r>
            <w:r>
              <w:t xml:space="preserve"> </w:t>
            </w:r>
          </w:p>
        </w:tc>
      </w:tr>
      <w:tr w:rsidR="00A85567" w:rsidTr="005A4FE4">
        <w:tc>
          <w:tcPr>
            <w:tcW w:w="1843" w:type="dxa"/>
            <w:shd w:val="clear" w:color="auto" w:fill="C2D69B" w:themeFill="accent3" w:themeFillTint="99"/>
            <w:vAlign w:val="center"/>
          </w:tcPr>
          <w:p w:rsidR="00A85567" w:rsidRDefault="00AB4502" w:rsidP="00161F27">
            <w:pPr>
              <w:jc w:val="center"/>
            </w:pPr>
            <w:r>
              <w:t>Cauchemars</w:t>
            </w:r>
          </w:p>
        </w:tc>
        <w:tc>
          <w:tcPr>
            <w:tcW w:w="9065" w:type="dxa"/>
          </w:tcPr>
          <w:p w:rsidR="00A85567" w:rsidRDefault="00F901CA" w:rsidP="0012303F">
            <w:pPr>
              <w:pStyle w:val="Paragraphedeliste"/>
              <w:numPr>
                <w:ilvl w:val="0"/>
                <w:numId w:val="731"/>
              </w:numPr>
            </w:pPr>
            <w:r>
              <w:t>Rêves prolongés extrêmement dysphoriques concernant la sécurité ou des menaces à sa survie.</w:t>
            </w:r>
          </w:p>
          <w:p w:rsidR="00F901CA" w:rsidRDefault="00F901CA" w:rsidP="0012303F">
            <w:pPr>
              <w:pStyle w:val="Paragraphedeliste"/>
              <w:numPr>
                <w:ilvl w:val="0"/>
                <w:numId w:val="731"/>
              </w:numPr>
            </w:pPr>
            <w:r>
              <w:t>Orienté bien réveillé au moment de l’éveil</w:t>
            </w:r>
          </w:p>
          <w:p w:rsidR="00F901CA" w:rsidRDefault="00F901CA" w:rsidP="0012303F">
            <w:pPr>
              <w:pStyle w:val="Paragraphedeliste"/>
              <w:numPr>
                <w:ilvl w:val="0"/>
                <w:numId w:val="731"/>
              </w:numPr>
            </w:pPr>
            <w:r>
              <w:t>Entraîne un dysfonctionnement ou une détresse marquée.</w:t>
            </w:r>
          </w:p>
        </w:tc>
      </w:tr>
      <w:tr w:rsidR="00AB4502" w:rsidTr="005A4FE4">
        <w:tc>
          <w:tcPr>
            <w:tcW w:w="1843" w:type="dxa"/>
            <w:shd w:val="clear" w:color="auto" w:fill="C2D69B" w:themeFill="accent3" w:themeFillTint="99"/>
            <w:vAlign w:val="center"/>
          </w:tcPr>
          <w:p w:rsidR="00AB4502" w:rsidRDefault="00AB4502" w:rsidP="00161F27">
            <w:pPr>
              <w:jc w:val="center"/>
            </w:pPr>
            <w:r>
              <w:t>Trouble de l’alternance veille-sommeil lié au cycle circadien</w:t>
            </w:r>
          </w:p>
        </w:tc>
        <w:tc>
          <w:tcPr>
            <w:tcW w:w="9065" w:type="dxa"/>
          </w:tcPr>
          <w:p w:rsidR="00AB4502" w:rsidRDefault="00E817DD" w:rsidP="0012303F">
            <w:pPr>
              <w:pStyle w:val="Paragraphedeliste"/>
              <w:numPr>
                <w:ilvl w:val="0"/>
                <w:numId w:val="730"/>
              </w:numPr>
            </w:pPr>
            <w:r>
              <w:t>Histoire de perturbation du cycle circadien (heures de sommeils variables, décalées, etc.)</w:t>
            </w:r>
          </w:p>
          <w:p w:rsidR="00E817DD" w:rsidRDefault="00E817DD" w:rsidP="004B6A7A">
            <w:pPr>
              <w:pStyle w:val="Paragraphedeliste"/>
              <w:numPr>
                <w:ilvl w:val="1"/>
                <w:numId w:val="730"/>
              </w:numPr>
            </w:pPr>
            <w:r>
              <w:t>Ex : décalage horaire, quart de travail de nuit, etc.</w:t>
            </w:r>
          </w:p>
          <w:p w:rsidR="00F901CA" w:rsidRDefault="00F901CA" w:rsidP="0012303F">
            <w:pPr>
              <w:pStyle w:val="Paragraphedeliste"/>
              <w:numPr>
                <w:ilvl w:val="0"/>
                <w:numId w:val="730"/>
              </w:numPr>
            </w:pPr>
            <w:r>
              <w:t>Somnolence excessive / Insomnie</w:t>
            </w:r>
          </w:p>
          <w:p w:rsidR="00F901CA" w:rsidRDefault="00F901CA" w:rsidP="0012303F">
            <w:pPr>
              <w:pStyle w:val="Paragraphedeliste"/>
              <w:numPr>
                <w:ilvl w:val="0"/>
                <w:numId w:val="730"/>
              </w:numPr>
            </w:pPr>
            <w:r>
              <w:t>Sommeil fragmenté de façon récurrente</w:t>
            </w:r>
          </w:p>
          <w:p w:rsidR="00F901CA" w:rsidRDefault="00F901CA" w:rsidP="0012303F">
            <w:pPr>
              <w:pStyle w:val="Paragraphedeliste"/>
              <w:numPr>
                <w:ilvl w:val="0"/>
                <w:numId w:val="730"/>
              </w:numPr>
            </w:pPr>
            <w:r>
              <w:t>Entraîne un dysfonctionnement ou une détresse marquée.</w:t>
            </w:r>
          </w:p>
        </w:tc>
      </w:tr>
      <w:tr w:rsidR="00A85567" w:rsidTr="005A4FE4">
        <w:tc>
          <w:tcPr>
            <w:tcW w:w="1843" w:type="dxa"/>
            <w:shd w:val="clear" w:color="auto" w:fill="C2D69B" w:themeFill="accent3" w:themeFillTint="99"/>
            <w:vAlign w:val="center"/>
          </w:tcPr>
          <w:p w:rsidR="00A85567" w:rsidRPr="00104DC4" w:rsidRDefault="00AB4502" w:rsidP="00161F27">
            <w:pPr>
              <w:jc w:val="center"/>
              <w:rPr>
                <w:b/>
              </w:rPr>
            </w:pPr>
            <w:r w:rsidRPr="00104DC4">
              <w:rPr>
                <w:b/>
              </w:rPr>
              <w:t>Syndrome des jambes sans repos</w:t>
            </w:r>
          </w:p>
        </w:tc>
        <w:tc>
          <w:tcPr>
            <w:tcW w:w="9065" w:type="dxa"/>
          </w:tcPr>
          <w:p w:rsidR="00E817DD" w:rsidRDefault="00E817DD" w:rsidP="0012303F">
            <w:pPr>
              <w:pStyle w:val="Paragraphedeliste"/>
              <w:numPr>
                <w:ilvl w:val="0"/>
                <w:numId w:val="729"/>
              </w:numPr>
            </w:pPr>
            <w:r w:rsidRPr="00A0504B">
              <w:rPr>
                <w:highlight w:val="yellow"/>
              </w:rPr>
              <w:t>Besoin impératif de bouger accompagnant une sensation désagréable qui débute ou s’amplifie au repos et qui disparait partiellement ou complètement au mouvement.</w:t>
            </w:r>
            <w:r>
              <w:t xml:space="preserve"> Pire la nuit ou le soir.</w:t>
            </w:r>
          </w:p>
          <w:p w:rsidR="00161F27" w:rsidRDefault="00161F27" w:rsidP="0012303F">
            <w:pPr>
              <w:pStyle w:val="Paragraphedeliste"/>
              <w:numPr>
                <w:ilvl w:val="0"/>
                <w:numId w:val="729"/>
              </w:numPr>
            </w:pPr>
            <w:r>
              <w:t>Mouvements nocturnes (mouvements périodiques des membres durant le sommeil)</w:t>
            </w:r>
          </w:p>
        </w:tc>
      </w:tr>
      <w:tr w:rsidR="00161F27" w:rsidTr="005A4FE4">
        <w:trPr>
          <w:trHeight w:val="264"/>
        </w:trPr>
        <w:tc>
          <w:tcPr>
            <w:tcW w:w="1843" w:type="dxa"/>
            <w:shd w:val="clear" w:color="auto" w:fill="C2D69B" w:themeFill="accent3" w:themeFillTint="99"/>
            <w:vAlign w:val="center"/>
          </w:tcPr>
          <w:p w:rsidR="00161F27" w:rsidRPr="00A0504B" w:rsidRDefault="00161F27" w:rsidP="00161F27">
            <w:pPr>
              <w:jc w:val="center"/>
              <w:rPr>
                <w:b/>
              </w:rPr>
            </w:pPr>
            <w:r w:rsidRPr="00A0504B">
              <w:rPr>
                <w:b/>
              </w:rPr>
              <w:t>Syndrome d’apnée-hypopnée obstructive du sommeil (SAHS)</w:t>
            </w:r>
          </w:p>
          <w:p w:rsidR="004520E5" w:rsidRPr="00A0504B" w:rsidRDefault="004520E5" w:rsidP="00161F27">
            <w:pPr>
              <w:jc w:val="center"/>
              <w:rPr>
                <w:b/>
              </w:rPr>
            </w:pPr>
          </w:p>
          <w:p w:rsidR="00161F27" w:rsidRDefault="004520E5" w:rsidP="00161F27">
            <w:pPr>
              <w:jc w:val="center"/>
            </w:pPr>
            <w:r w:rsidRPr="00A0504B">
              <w:rPr>
                <w:b/>
              </w:rPr>
              <w:t>Apnées centrales du sommeil (ACS)</w:t>
            </w:r>
          </w:p>
        </w:tc>
        <w:tc>
          <w:tcPr>
            <w:tcW w:w="9065" w:type="dxa"/>
            <w:tcBorders>
              <w:bottom w:val="single" w:sz="4" w:space="0" w:color="FFFFFF" w:themeColor="background1"/>
            </w:tcBorders>
          </w:tcPr>
          <w:p w:rsidR="004520E5" w:rsidRPr="00A0504B" w:rsidRDefault="004520E5" w:rsidP="004520E5">
            <w:pPr>
              <w:pStyle w:val="Paragraphedeliste"/>
              <w:numPr>
                <w:ilvl w:val="0"/>
                <w:numId w:val="728"/>
              </w:numPr>
              <w:rPr>
                <w:highlight w:val="yellow"/>
              </w:rPr>
            </w:pPr>
            <w:r w:rsidRPr="00A0504B">
              <w:rPr>
                <w:highlight w:val="yellow"/>
              </w:rPr>
              <w:t>Somnolence diurne</w:t>
            </w:r>
            <w:r w:rsidR="005A4FE4" w:rsidRPr="00A0504B">
              <w:rPr>
                <w:highlight w:val="yellow"/>
              </w:rPr>
              <w:t xml:space="preserve"> / sommeil non-réparateur</w:t>
            </w:r>
          </w:p>
          <w:p w:rsidR="004520E5" w:rsidRPr="00A0504B" w:rsidRDefault="004520E5" w:rsidP="004520E5">
            <w:pPr>
              <w:pStyle w:val="Paragraphedeliste"/>
              <w:numPr>
                <w:ilvl w:val="0"/>
                <w:numId w:val="728"/>
              </w:numPr>
              <w:rPr>
                <w:highlight w:val="yellow"/>
              </w:rPr>
            </w:pPr>
            <w:r w:rsidRPr="00A0504B">
              <w:rPr>
                <w:highlight w:val="yellow"/>
              </w:rPr>
              <w:t>Ronflements (rapportés par le conjoint)</w:t>
            </w:r>
          </w:p>
          <w:p w:rsidR="004520E5" w:rsidRPr="00A0504B" w:rsidRDefault="004520E5" w:rsidP="004520E5">
            <w:pPr>
              <w:pStyle w:val="Paragraphedeliste"/>
              <w:numPr>
                <w:ilvl w:val="0"/>
                <w:numId w:val="728"/>
              </w:numPr>
              <w:rPr>
                <w:highlight w:val="yellow"/>
              </w:rPr>
            </w:pPr>
            <w:r w:rsidRPr="00A0504B">
              <w:rPr>
                <w:highlight w:val="yellow"/>
              </w:rPr>
              <w:t>Céphalées matinales</w:t>
            </w:r>
          </w:p>
          <w:p w:rsidR="004520E5" w:rsidRDefault="004520E5" w:rsidP="004520E5">
            <w:pPr>
              <w:pStyle w:val="Paragraphedeliste"/>
              <w:numPr>
                <w:ilvl w:val="0"/>
                <w:numId w:val="728"/>
              </w:numPr>
            </w:pPr>
            <w:r>
              <w:t>Angine nocturne</w:t>
            </w:r>
          </w:p>
          <w:p w:rsidR="004520E5" w:rsidRDefault="004520E5" w:rsidP="004520E5">
            <w:pPr>
              <w:pStyle w:val="Paragraphedeliste"/>
              <w:numPr>
                <w:ilvl w:val="0"/>
                <w:numId w:val="728"/>
              </w:numPr>
            </w:pPr>
            <w:r>
              <w:t>Changements de personnalité et des cognitions</w:t>
            </w:r>
          </w:p>
          <w:p w:rsidR="00CE383C" w:rsidRPr="00CE383C" w:rsidRDefault="00DE123F" w:rsidP="0012303F">
            <w:pPr>
              <w:pStyle w:val="Paragraphedeliste"/>
              <w:numPr>
                <w:ilvl w:val="0"/>
                <w:numId w:val="740"/>
              </w:numPr>
              <w:rPr>
                <w:u w:val="single"/>
              </w:rPr>
            </w:pPr>
            <w:r w:rsidRPr="00CE383C">
              <w:rPr>
                <w:u w:val="single"/>
              </w:rPr>
              <w:t>Présence de facteurs de risque (SAHS)</w:t>
            </w:r>
            <w:r w:rsidRPr="00DE123F">
              <w:t xml:space="preserve">  </w:t>
            </w:r>
            <w:r w:rsidR="00CE383C">
              <w:t>(voir tableau FR plus bas)</w:t>
            </w:r>
            <w:r w:rsidRPr="00DE123F">
              <w:t xml:space="preserve">  </w:t>
            </w:r>
          </w:p>
          <w:p w:rsidR="00161F27" w:rsidRPr="00CE383C" w:rsidRDefault="00DE123F" w:rsidP="0012303F">
            <w:pPr>
              <w:pStyle w:val="Paragraphedeliste"/>
              <w:numPr>
                <w:ilvl w:val="0"/>
                <w:numId w:val="740"/>
              </w:numPr>
              <w:rPr>
                <w:u w:val="single"/>
              </w:rPr>
            </w:pPr>
            <w:r w:rsidRPr="00DE123F">
              <w:t xml:space="preserve">Apnée </w:t>
            </w:r>
            <w:r w:rsidRPr="00CE383C">
              <w:rPr>
                <w:rFonts w:ascii="Century Gothic" w:hAnsi="Century Gothic"/>
              </w:rPr>
              <w:t>≥</w:t>
            </w:r>
            <w:r w:rsidRPr="00DE123F">
              <w:t xml:space="preserve"> 10 s sans respirer</w:t>
            </w:r>
          </w:p>
        </w:tc>
      </w:tr>
      <w:tr w:rsidR="00AB4502" w:rsidTr="005A4FE4">
        <w:tc>
          <w:tcPr>
            <w:tcW w:w="1843" w:type="dxa"/>
            <w:shd w:val="clear" w:color="auto" w:fill="C2D69B" w:themeFill="accent3" w:themeFillTint="99"/>
            <w:vAlign w:val="center"/>
          </w:tcPr>
          <w:p w:rsidR="00AB4502" w:rsidRDefault="00AB4502" w:rsidP="00161F27">
            <w:pPr>
              <w:jc w:val="center"/>
            </w:pPr>
            <w:r>
              <w:t>Trouble du sommeil induit par une substance</w:t>
            </w:r>
          </w:p>
        </w:tc>
        <w:tc>
          <w:tcPr>
            <w:tcW w:w="9065" w:type="dxa"/>
          </w:tcPr>
          <w:p w:rsidR="00AB4502" w:rsidRDefault="00F901CA" w:rsidP="00A70FD6">
            <w:r>
              <w:t>Perturbation grave du sommeil</w:t>
            </w:r>
          </w:p>
          <w:p w:rsidR="00F901CA" w:rsidRDefault="00F901CA" w:rsidP="00A70FD6">
            <w:r>
              <w:t>Survenue pendant ou après la consommation d’une substance, une intoxication ou un sevrage.</w:t>
            </w:r>
          </w:p>
          <w:p w:rsidR="00F901CA" w:rsidRDefault="00F901CA" w:rsidP="00A70FD6">
            <w:r>
              <w:t>Autre cause exclue</w:t>
            </w:r>
          </w:p>
          <w:p w:rsidR="00F901CA" w:rsidRDefault="00F901CA" w:rsidP="00A70FD6">
            <w:r>
              <w:t>Exemples de substance: cannabis, opiacés, sédatifs, cocaïne, amphétamines, alcool, caféine, tabac…</w:t>
            </w:r>
          </w:p>
        </w:tc>
      </w:tr>
    </w:tbl>
    <w:p w:rsidR="00A70FD6" w:rsidRPr="00040C67" w:rsidRDefault="00A70FD6" w:rsidP="00CE383C">
      <w:pPr>
        <w:spacing w:before="240"/>
        <w:rPr>
          <w:b/>
          <w:sz w:val="28"/>
          <w:szCs w:val="28"/>
        </w:rPr>
      </w:pPr>
      <w:r w:rsidRPr="00040C67">
        <w:rPr>
          <w:b/>
          <w:sz w:val="28"/>
          <w:szCs w:val="28"/>
        </w:rPr>
        <w:t>Investigation</w:t>
      </w:r>
    </w:p>
    <w:p w:rsidR="00EE7CD9" w:rsidRDefault="00E817DD" w:rsidP="0012303F">
      <w:pPr>
        <w:pStyle w:val="Paragraphedeliste"/>
        <w:numPr>
          <w:ilvl w:val="0"/>
          <w:numId w:val="735"/>
        </w:numPr>
        <w:spacing w:after="0"/>
      </w:pPr>
      <w:r>
        <w:t>Polysomnographie</w:t>
      </w:r>
      <w:r w:rsidR="00EE7CD9">
        <w:t xml:space="preserve"> et évaluation du sommeil REM (Rapid Eyes Movement)</w:t>
      </w:r>
    </w:p>
    <w:p w:rsidR="00A70FD6" w:rsidRDefault="00E817DD" w:rsidP="0012303F">
      <w:pPr>
        <w:pStyle w:val="Paragraphedeliste"/>
        <w:numPr>
          <w:ilvl w:val="0"/>
          <w:numId w:val="734"/>
        </w:numPr>
      </w:pPr>
      <w:r>
        <w:t xml:space="preserve">SAHS si </w:t>
      </w:r>
      <w:r w:rsidRPr="00EE7CD9">
        <w:rPr>
          <w:rFonts w:ascii="Century Gothic" w:hAnsi="Century Gothic"/>
        </w:rPr>
        <w:t>&gt;</w:t>
      </w:r>
      <w:r>
        <w:t xml:space="preserve"> 15 apnées/hypopnée / heure ou sommeil avec </w:t>
      </w:r>
      <w:r w:rsidR="00EE7CD9">
        <w:t>éveils</w:t>
      </w:r>
    </w:p>
    <w:p w:rsidR="00181BCA" w:rsidRDefault="00181BCA" w:rsidP="00181BCA">
      <w:pPr>
        <w:pStyle w:val="Paragraphedeliste"/>
      </w:pPr>
    </w:p>
    <w:p w:rsidR="00B5036E" w:rsidRDefault="0023036E" w:rsidP="0012303F">
      <w:pPr>
        <w:pStyle w:val="Paragraphedeliste"/>
        <w:numPr>
          <w:ilvl w:val="0"/>
          <w:numId w:val="735"/>
        </w:numPr>
      </w:pPr>
      <w:r>
        <w:rPr>
          <w:noProof/>
          <w:lang w:eastAsia="fr-CA"/>
        </w:rPr>
        <w:drawing>
          <wp:anchor distT="0" distB="0" distL="114300" distR="114300" simplePos="0" relativeHeight="251863040" behindDoc="0" locked="0" layoutInCell="1" allowOverlap="1" wp14:anchorId="3D7397A7" wp14:editId="168DAC13">
            <wp:simplePos x="0" y="0"/>
            <wp:positionH relativeFrom="column">
              <wp:posOffset>2498401</wp:posOffset>
            </wp:positionH>
            <wp:positionV relativeFrom="paragraph">
              <wp:posOffset>243205</wp:posOffset>
            </wp:positionV>
            <wp:extent cx="2178685" cy="1633855"/>
            <wp:effectExtent l="0" t="0" r="0" b="4445"/>
            <wp:wrapNone/>
            <wp:docPr id="375" name="Image 375" descr="Résultats de recherche d'images pour « polysomnography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ésultats de recherche d'images pour « polysomnography »"/>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2178685" cy="1633855"/>
                    </a:xfrm>
                    <a:prstGeom prst="rect">
                      <a:avLst/>
                    </a:prstGeom>
                    <a:noFill/>
                    <a:ln>
                      <a:noFill/>
                    </a:ln>
                  </pic:spPr>
                </pic:pic>
              </a:graphicData>
            </a:graphic>
            <wp14:sizeRelH relativeFrom="page">
              <wp14:pctWidth>0</wp14:pctWidth>
            </wp14:sizeRelH>
            <wp14:sizeRelV relativeFrom="page">
              <wp14:pctHeight>0</wp14:pctHeight>
            </wp14:sizeRelV>
          </wp:anchor>
        </w:drawing>
      </w:r>
      <w:r w:rsidR="00B5036E">
        <w:t xml:space="preserve">FSC </w:t>
      </w:r>
      <w:r w:rsidR="00B5036E" w:rsidRPr="00F5600E">
        <w:rPr>
          <w:rFonts w:ascii="Century Gothic" w:hAnsi="Century Gothic"/>
        </w:rPr>
        <w:t>→</w:t>
      </w:r>
      <w:r w:rsidR="00B5036E">
        <w:t xml:space="preserve"> </w:t>
      </w:r>
      <w:r w:rsidR="00F5600E">
        <w:rPr>
          <w:rFonts w:cs="Times New Roman"/>
        </w:rPr>
        <w:t>Ø</w:t>
      </w:r>
      <w:r w:rsidR="00F5600E">
        <w:t xml:space="preserve"> </w:t>
      </w:r>
      <w:r w:rsidR="00B5036E">
        <w:t>d’emblée,</w:t>
      </w:r>
      <w:r w:rsidR="00F5600E">
        <w:t xml:space="preserve"> </w:t>
      </w:r>
      <w:r w:rsidR="00B5036E">
        <w:t>peut</w:t>
      </w:r>
      <w:r w:rsidR="00F5600E">
        <w:t xml:space="preserve"> </w:t>
      </w:r>
      <w:r w:rsidR="00B5036E">
        <w:t xml:space="preserve">montrer une polycythémie si SAHS (voir </w:t>
      </w:r>
      <w:r w:rsidR="00B5036E" w:rsidRPr="00F5600E">
        <w:rPr>
          <w:i/>
        </w:rPr>
        <w:t>Taux d’hémoglobine sérique élevée CMC 42-2</w:t>
      </w:r>
      <w:r w:rsidR="00B5036E">
        <w:t>)</w:t>
      </w:r>
    </w:p>
    <w:p w:rsidR="0023036E" w:rsidRDefault="0023036E" w:rsidP="00A70FD6">
      <w:pPr>
        <w:rPr>
          <w:b/>
          <w:sz w:val="28"/>
          <w:szCs w:val="28"/>
        </w:rPr>
      </w:pPr>
    </w:p>
    <w:p w:rsidR="0023036E" w:rsidRDefault="0023036E" w:rsidP="00A70FD6">
      <w:pPr>
        <w:rPr>
          <w:b/>
          <w:sz w:val="28"/>
          <w:szCs w:val="28"/>
        </w:rPr>
      </w:pPr>
    </w:p>
    <w:p w:rsidR="0023036E" w:rsidRDefault="0023036E" w:rsidP="00A70FD6">
      <w:pPr>
        <w:rPr>
          <w:b/>
          <w:sz w:val="28"/>
          <w:szCs w:val="28"/>
        </w:rPr>
      </w:pPr>
    </w:p>
    <w:p w:rsidR="0006434F" w:rsidRPr="0006434F" w:rsidRDefault="00A70FD6" w:rsidP="00A70FD6">
      <w:pPr>
        <w:rPr>
          <w:b/>
          <w:sz w:val="28"/>
          <w:szCs w:val="28"/>
        </w:rPr>
      </w:pPr>
      <w:r w:rsidRPr="0006434F">
        <w:rPr>
          <w:b/>
          <w:sz w:val="28"/>
          <w:szCs w:val="28"/>
        </w:rPr>
        <w:t xml:space="preserve">Prise en charge </w:t>
      </w:r>
    </w:p>
    <w:p w:rsidR="00A70FD6" w:rsidRPr="00181BCA" w:rsidRDefault="00214283" w:rsidP="00A70FD6">
      <w:pPr>
        <w:rPr>
          <w:b/>
        </w:rPr>
      </w:pPr>
      <w:r w:rsidRPr="00181BCA">
        <w:rPr>
          <w:b/>
        </w:rPr>
        <w:t>Insomnie primaire</w:t>
      </w:r>
    </w:p>
    <w:p w:rsidR="00181BCA" w:rsidRDefault="00181BCA" w:rsidP="0012303F">
      <w:pPr>
        <w:pStyle w:val="Paragraphedeliste"/>
        <w:numPr>
          <w:ilvl w:val="0"/>
          <w:numId w:val="736"/>
        </w:numPr>
      </w:pPr>
      <w:r>
        <w:t>Traiter toute condition médicale ou psychiatrique sous-jacente pouvant causer le problème (anxiété, douleur, etc.)</w:t>
      </w:r>
    </w:p>
    <w:p w:rsidR="00181BCA" w:rsidRPr="00E62374" w:rsidRDefault="00181BCA" w:rsidP="0012303F">
      <w:pPr>
        <w:pStyle w:val="Paragraphedeliste"/>
        <w:numPr>
          <w:ilvl w:val="0"/>
          <w:numId w:val="736"/>
        </w:numPr>
        <w:rPr>
          <w:highlight w:val="yellow"/>
          <w:u w:val="single"/>
        </w:rPr>
      </w:pPr>
      <w:r w:rsidRPr="00E62374">
        <w:rPr>
          <w:highlight w:val="yellow"/>
          <w:u w:val="single"/>
        </w:rPr>
        <w:t>Conseils d’h</w:t>
      </w:r>
      <w:r w:rsidR="00214283" w:rsidRPr="00E62374">
        <w:rPr>
          <w:highlight w:val="yellow"/>
          <w:u w:val="single"/>
        </w:rPr>
        <w:t xml:space="preserve">ygiène du sommeil </w:t>
      </w:r>
    </w:p>
    <w:p w:rsidR="00181BCA" w:rsidRPr="00E62374" w:rsidRDefault="00181BCA" w:rsidP="0012303F">
      <w:pPr>
        <w:pStyle w:val="Paragraphedeliste"/>
        <w:numPr>
          <w:ilvl w:val="1"/>
          <w:numId w:val="736"/>
        </w:numPr>
        <w:rPr>
          <w:highlight w:val="yellow"/>
        </w:rPr>
      </w:pPr>
      <w:r w:rsidRPr="00E62374">
        <w:rPr>
          <w:highlight w:val="yellow"/>
        </w:rPr>
        <w:t>Exercice régulier</w:t>
      </w:r>
      <w:r w:rsidR="00214283" w:rsidRPr="00E62374">
        <w:rPr>
          <w:highlight w:val="yellow"/>
        </w:rPr>
        <w:t xml:space="preserve">, </w:t>
      </w:r>
      <w:r w:rsidRPr="00E62374">
        <w:rPr>
          <w:rFonts w:cs="Times New Roman"/>
          <w:highlight w:val="yellow"/>
        </w:rPr>
        <w:t>Ø</w:t>
      </w:r>
      <w:r w:rsidRPr="00E62374">
        <w:rPr>
          <w:highlight w:val="yellow"/>
        </w:rPr>
        <w:t xml:space="preserve"> activité physique intense</w:t>
      </w:r>
      <w:r w:rsidR="00214283" w:rsidRPr="00E62374">
        <w:rPr>
          <w:highlight w:val="yellow"/>
        </w:rPr>
        <w:t xml:space="preserve"> </w:t>
      </w:r>
      <w:r w:rsidRPr="00E62374">
        <w:rPr>
          <w:rFonts w:ascii="Century Gothic" w:hAnsi="Century Gothic"/>
          <w:highlight w:val="yellow"/>
        </w:rPr>
        <w:t>&lt;</w:t>
      </w:r>
      <w:r w:rsidR="00214283" w:rsidRPr="00E62374">
        <w:rPr>
          <w:highlight w:val="yellow"/>
        </w:rPr>
        <w:t xml:space="preserve">3h avant </w:t>
      </w:r>
      <w:r w:rsidRPr="00E62374">
        <w:rPr>
          <w:highlight w:val="yellow"/>
        </w:rPr>
        <w:t>le sommeil</w:t>
      </w:r>
    </w:p>
    <w:p w:rsidR="00181BCA" w:rsidRPr="00E62374" w:rsidRDefault="00181BCA" w:rsidP="0012303F">
      <w:pPr>
        <w:pStyle w:val="Paragraphedeliste"/>
        <w:numPr>
          <w:ilvl w:val="1"/>
          <w:numId w:val="736"/>
        </w:numPr>
        <w:rPr>
          <w:highlight w:val="yellow"/>
        </w:rPr>
      </w:pPr>
      <w:r w:rsidRPr="00E62374">
        <w:rPr>
          <w:highlight w:val="yellow"/>
        </w:rPr>
        <w:t>Horaire/</w:t>
      </w:r>
      <w:r w:rsidR="00214283" w:rsidRPr="00E62374">
        <w:rPr>
          <w:highlight w:val="yellow"/>
        </w:rPr>
        <w:t>heure</w:t>
      </w:r>
      <w:r w:rsidRPr="00E62374">
        <w:rPr>
          <w:highlight w:val="yellow"/>
        </w:rPr>
        <w:t xml:space="preserve"> de sommeil fixe</w:t>
      </w:r>
    </w:p>
    <w:p w:rsidR="00181BCA" w:rsidRPr="00E62374" w:rsidRDefault="00181BCA" w:rsidP="0012303F">
      <w:pPr>
        <w:pStyle w:val="Paragraphedeliste"/>
        <w:numPr>
          <w:ilvl w:val="1"/>
          <w:numId w:val="736"/>
        </w:numPr>
        <w:rPr>
          <w:highlight w:val="yellow"/>
        </w:rPr>
      </w:pPr>
      <w:r w:rsidRPr="00E62374">
        <w:rPr>
          <w:highlight w:val="yellow"/>
        </w:rPr>
        <w:t>É</w:t>
      </w:r>
      <w:r w:rsidR="00214283" w:rsidRPr="00E62374">
        <w:rPr>
          <w:highlight w:val="yellow"/>
        </w:rPr>
        <w:t>viter alcool, caféine, nicotine</w:t>
      </w:r>
      <w:r w:rsidRPr="00E62374">
        <w:rPr>
          <w:highlight w:val="yellow"/>
        </w:rPr>
        <w:t xml:space="preserve"> et autres stimulants (incluant les écrans)</w:t>
      </w:r>
      <w:r w:rsidR="00214283" w:rsidRPr="00E62374">
        <w:rPr>
          <w:highlight w:val="yellow"/>
        </w:rPr>
        <w:t xml:space="preserve"> avant </w:t>
      </w:r>
      <w:r w:rsidRPr="00E62374">
        <w:rPr>
          <w:highlight w:val="yellow"/>
        </w:rPr>
        <w:t>le sommeil</w:t>
      </w:r>
    </w:p>
    <w:p w:rsidR="00181BCA" w:rsidRPr="00E62374" w:rsidRDefault="00181BCA" w:rsidP="0012303F">
      <w:pPr>
        <w:pStyle w:val="Paragraphedeliste"/>
        <w:numPr>
          <w:ilvl w:val="1"/>
          <w:numId w:val="736"/>
        </w:numPr>
        <w:rPr>
          <w:highlight w:val="yellow"/>
        </w:rPr>
      </w:pPr>
      <w:r w:rsidRPr="00E62374">
        <w:rPr>
          <w:highlight w:val="yellow"/>
        </w:rPr>
        <w:t>Techniques de r</w:t>
      </w:r>
      <w:r w:rsidR="00214283" w:rsidRPr="00E62374">
        <w:rPr>
          <w:highlight w:val="yellow"/>
        </w:rPr>
        <w:t>elaxation : respiration profonde, méditation</w:t>
      </w:r>
      <w:r w:rsidRPr="00E62374">
        <w:rPr>
          <w:highlight w:val="yellow"/>
        </w:rPr>
        <w:t xml:space="preserve"> …</w:t>
      </w:r>
      <w:r w:rsidR="00214283" w:rsidRPr="00E62374">
        <w:rPr>
          <w:highlight w:val="yellow"/>
        </w:rPr>
        <w:t xml:space="preserve"> </w:t>
      </w:r>
    </w:p>
    <w:p w:rsidR="00181BCA" w:rsidRPr="00E62374" w:rsidRDefault="00181BCA" w:rsidP="0012303F">
      <w:pPr>
        <w:pStyle w:val="Paragraphedeliste"/>
        <w:numPr>
          <w:ilvl w:val="1"/>
          <w:numId w:val="736"/>
        </w:numPr>
        <w:rPr>
          <w:highlight w:val="yellow"/>
        </w:rPr>
      </w:pPr>
      <w:r w:rsidRPr="00E62374">
        <w:rPr>
          <w:highlight w:val="yellow"/>
        </w:rPr>
        <w:t>R</w:t>
      </w:r>
      <w:r w:rsidR="00214283" w:rsidRPr="00E62374">
        <w:rPr>
          <w:highlight w:val="yellow"/>
        </w:rPr>
        <w:t xml:space="preserve">éassocier le lit au sommeil, </w:t>
      </w:r>
      <w:r w:rsidRPr="00E62374">
        <w:rPr>
          <w:highlight w:val="yellow"/>
        </w:rPr>
        <w:t xml:space="preserve">éviter de </w:t>
      </w:r>
      <w:r w:rsidR="00214283" w:rsidRPr="00E62374">
        <w:rPr>
          <w:highlight w:val="yellow"/>
        </w:rPr>
        <w:t>faire d’autres activi</w:t>
      </w:r>
      <w:r w:rsidRPr="00E62374">
        <w:rPr>
          <w:highlight w:val="yellow"/>
        </w:rPr>
        <w:t>tés dans la chambre</w:t>
      </w:r>
    </w:p>
    <w:p w:rsidR="00214283" w:rsidRDefault="00181BCA" w:rsidP="0012303F">
      <w:pPr>
        <w:pStyle w:val="Paragraphedeliste"/>
        <w:numPr>
          <w:ilvl w:val="0"/>
          <w:numId w:val="736"/>
        </w:numPr>
      </w:pPr>
      <w:r>
        <w:t>Thérapie cognitivo-comportementale PRN</w:t>
      </w:r>
    </w:p>
    <w:p w:rsidR="00181BCA" w:rsidRPr="00E62374" w:rsidRDefault="00214283" w:rsidP="0012303F">
      <w:pPr>
        <w:pStyle w:val="Paragraphedeliste"/>
        <w:numPr>
          <w:ilvl w:val="0"/>
          <w:numId w:val="736"/>
        </w:numPr>
        <w:rPr>
          <w:highlight w:val="yellow"/>
          <w:u w:val="single"/>
        </w:rPr>
      </w:pPr>
      <w:r w:rsidRPr="00E62374">
        <w:rPr>
          <w:highlight w:val="yellow"/>
          <w:u w:val="single"/>
        </w:rPr>
        <w:t>Pharmaco</w:t>
      </w:r>
      <w:r w:rsidR="00181BCA" w:rsidRPr="00E62374">
        <w:rPr>
          <w:highlight w:val="yellow"/>
          <w:u w:val="single"/>
        </w:rPr>
        <w:t>logie</w:t>
      </w:r>
    </w:p>
    <w:p w:rsidR="00181BCA" w:rsidRPr="00E62374" w:rsidRDefault="00181BCA" w:rsidP="0012303F">
      <w:pPr>
        <w:pStyle w:val="Paragraphedeliste"/>
        <w:numPr>
          <w:ilvl w:val="1"/>
          <w:numId w:val="736"/>
        </w:numPr>
        <w:rPr>
          <w:highlight w:val="yellow"/>
        </w:rPr>
      </w:pPr>
      <w:r w:rsidRPr="00E62374">
        <w:rPr>
          <w:highlight w:val="yellow"/>
        </w:rPr>
        <w:t>Benzodiazépines à</w:t>
      </w:r>
      <w:r w:rsidR="00214283" w:rsidRPr="00E62374">
        <w:rPr>
          <w:highlight w:val="yellow"/>
        </w:rPr>
        <w:t xml:space="preserve"> courte action </w:t>
      </w:r>
    </w:p>
    <w:p w:rsidR="00181BCA" w:rsidRPr="00E62374" w:rsidRDefault="00181BCA" w:rsidP="0012303F">
      <w:pPr>
        <w:pStyle w:val="Paragraphedeliste"/>
        <w:numPr>
          <w:ilvl w:val="2"/>
          <w:numId w:val="736"/>
        </w:numPr>
        <w:rPr>
          <w:highlight w:val="yellow"/>
        </w:rPr>
      </w:pPr>
      <w:r w:rsidRPr="00E62374">
        <w:rPr>
          <w:highlight w:val="yellow"/>
        </w:rPr>
        <w:t>Lorazépam, oxazépam, témazepam (LOT)</w:t>
      </w:r>
    </w:p>
    <w:p w:rsidR="00214283" w:rsidRPr="00E62374" w:rsidRDefault="00181BCA" w:rsidP="0012303F">
      <w:pPr>
        <w:pStyle w:val="Paragraphedeliste"/>
        <w:numPr>
          <w:ilvl w:val="2"/>
          <w:numId w:val="736"/>
        </w:numPr>
        <w:rPr>
          <w:highlight w:val="yellow"/>
        </w:rPr>
      </w:pPr>
      <w:r w:rsidRPr="00E62374">
        <w:rPr>
          <w:highlight w:val="yellow"/>
        </w:rPr>
        <w:t>Utiliser l</w:t>
      </w:r>
      <w:r w:rsidR="00214283" w:rsidRPr="00E62374">
        <w:rPr>
          <w:highlight w:val="yellow"/>
        </w:rPr>
        <w:t>a plus petite dose nécessaire</w:t>
      </w:r>
    </w:p>
    <w:p w:rsidR="00181BCA" w:rsidRPr="00E62374" w:rsidRDefault="00181BCA" w:rsidP="0012303F">
      <w:pPr>
        <w:pStyle w:val="Paragraphedeliste"/>
        <w:numPr>
          <w:ilvl w:val="2"/>
          <w:numId w:val="736"/>
        </w:numPr>
        <w:rPr>
          <w:highlight w:val="yellow"/>
        </w:rPr>
      </w:pPr>
      <w:r w:rsidRPr="00E62374">
        <w:rPr>
          <w:highlight w:val="yellow"/>
        </w:rPr>
        <w:t xml:space="preserve">Utiliser en PRN, </w:t>
      </w:r>
      <w:r w:rsidRPr="00E62374">
        <w:rPr>
          <w:rFonts w:cs="Times New Roman"/>
          <w:highlight w:val="yellow"/>
        </w:rPr>
        <w:t>Ø</w:t>
      </w:r>
      <w:r w:rsidRPr="00E62374">
        <w:rPr>
          <w:highlight w:val="yellow"/>
        </w:rPr>
        <w:t xml:space="preserve"> sur une base régulière et </w:t>
      </w:r>
      <w:r w:rsidRPr="00E62374">
        <w:rPr>
          <w:rFonts w:cs="Times New Roman"/>
          <w:highlight w:val="yellow"/>
        </w:rPr>
        <w:t>Ø</w:t>
      </w:r>
      <w:r w:rsidRPr="00E62374">
        <w:rPr>
          <w:highlight w:val="yellow"/>
        </w:rPr>
        <w:t xml:space="preserve"> </w:t>
      </w:r>
      <w:r w:rsidRPr="00E62374">
        <w:rPr>
          <w:rFonts w:ascii="Century Gothic" w:hAnsi="Century Gothic"/>
          <w:highlight w:val="yellow"/>
        </w:rPr>
        <w:t>≥</w:t>
      </w:r>
      <w:r w:rsidRPr="00E62374">
        <w:rPr>
          <w:highlight w:val="yellow"/>
        </w:rPr>
        <w:t xml:space="preserve"> 7 jours consécutifs</w:t>
      </w:r>
    </w:p>
    <w:p w:rsidR="00214283" w:rsidRPr="00E62374" w:rsidRDefault="00181BCA" w:rsidP="0012303F">
      <w:pPr>
        <w:pStyle w:val="Paragraphedeliste"/>
        <w:numPr>
          <w:ilvl w:val="1"/>
          <w:numId w:val="736"/>
        </w:numPr>
        <w:rPr>
          <w:highlight w:val="yellow"/>
        </w:rPr>
      </w:pPr>
      <w:r w:rsidRPr="00E62374">
        <w:rPr>
          <w:highlight w:val="yellow"/>
        </w:rPr>
        <w:t>Zopic</w:t>
      </w:r>
      <w:r w:rsidR="00214283" w:rsidRPr="00E62374">
        <w:rPr>
          <w:highlight w:val="yellow"/>
        </w:rPr>
        <w:t>lone, zolpidem, mélatonine</w:t>
      </w:r>
      <w:r w:rsidRPr="00E62374">
        <w:rPr>
          <w:highlight w:val="yellow"/>
        </w:rPr>
        <w:t xml:space="preserve"> …</w:t>
      </w:r>
    </w:p>
    <w:p w:rsidR="00181BCA" w:rsidRPr="00E62374" w:rsidRDefault="00181BCA" w:rsidP="0012303F">
      <w:pPr>
        <w:pStyle w:val="Paragraphedeliste"/>
        <w:numPr>
          <w:ilvl w:val="0"/>
          <w:numId w:val="736"/>
        </w:numPr>
        <w:rPr>
          <w:highlight w:val="yellow"/>
        </w:rPr>
      </w:pPr>
      <w:r w:rsidRPr="00E62374">
        <w:rPr>
          <w:highlight w:val="yellow"/>
        </w:rPr>
        <w:t>Réévaluer régulièrement (q 2-4 semaines puis q 3 mois), conseils, cesser/débuter médication</w:t>
      </w:r>
    </w:p>
    <w:p w:rsidR="00181BCA" w:rsidRDefault="00181BCA" w:rsidP="0012303F">
      <w:pPr>
        <w:pStyle w:val="Paragraphedeliste"/>
        <w:numPr>
          <w:ilvl w:val="0"/>
          <w:numId w:val="736"/>
        </w:numPr>
      </w:pPr>
      <w:r>
        <w:t>Si persiste malgré tout, référer en clinique du sommeil</w:t>
      </w:r>
    </w:p>
    <w:p w:rsidR="00AF722B" w:rsidRDefault="001E4128" w:rsidP="00A70FD6">
      <w:pPr>
        <w:rPr>
          <w:b/>
        </w:rPr>
      </w:pPr>
      <w:r>
        <w:rPr>
          <w:noProof/>
          <w:lang w:eastAsia="fr-CA"/>
        </w:rPr>
        <mc:AlternateContent>
          <mc:Choice Requires="wps">
            <w:drawing>
              <wp:anchor distT="0" distB="0" distL="114300" distR="114300" simplePos="0" relativeHeight="251866623" behindDoc="0" locked="0" layoutInCell="1" allowOverlap="1" wp14:anchorId="540F168A" wp14:editId="61E08A77">
                <wp:simplePos x="0" y="0"/>
                <wp:positionH relativeFrom="column">
                  <wp:posOffset>4435475</wp:posOffset>
                </wp:positionH>
                <wp:positionV relativeFrom="paragraph">
                  <wp:posOffset>114300</wp:posOffset>
                </wp:positionV>
                <wp:extent cx="2061845" cy="3326765"/>
                <wp:effectExtent l="0" t="0" r="14605" b="26035"/>
                <wp:wrapNone/>
                <wp:docPr id="37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61845" cy="3326765"/>
                        </a:xfrm>
                        <a:prstGeom prst="rect">
                          <a:avLst/>
                        </a:prstGeom>
                        <a:solidFill>
                          <a:schemeClr val="accent3">
                            <a:lumMod val="20000"/>
                            <a:lumOff val="80000"/>
                          </a:schemeClr>
                        </a:solidFill>
                        <a:ln>
                          <a:headEnd/>
                          <a:tailEnd/>
                        </a:ln>
                      </wps:spPr>
                      <wps:style>
                        <a:lnRef idx="2">
                          <a:schemeClr val="accent1"/>
                        </a:lnRef>
                        <a:fillRef idx="1">
                          <a:schemeClr val="lt1"/>
                        </a:fillRef>
                        <a:effectRef idx="0">
                          <a:schemeClr val="accent1"/>
                        </a:effectRef>
                        <a:fontRef idx="minor">
                          <a:schemeClr val="dk1"/>
                        </a:fontRef>
                      </wps:style>
                      <wps:txbx>
                        <w:txbxContent>
                          <w:p w:rsidR="008276DC" w:rsidRDefault="008276DC" w:rsidP="00C269B2">
                            <w:pPr>
                              <w:jc w:val="center"/>
                              <w:rPr>
                                <w:u w:val="single"/>
                              </w:rPr>
                            </w:pPr>
                            <w:r w:rsidRPr="00BE27AB">
                              <w:rPr>
                                <w:u w:val="single"/>
                              </w:rPr>
                              <w:t>Facteurs de risque d’apnée obstructive du sommeil</w:t>
                            </w:r>
                          </w:p>
                          <w:p w:rsidR="008276DC" w:rsidRDefault="008276DC" w:rsidP="00C269B2">
                            <w:pPr>
                              <w:pStyle w:val="Paragraphedeliste"/>
                              <w:numPr>
                                <w:ilvl w:val="0"/>
                                <w:numId w:val="741"/>
                              </w:numPr>
                            </w:pPr>
                            <w:r>
                              <w:rPr>
                                <w:rFonts w:ascii="Century Gothic" w:hAnsi="Century Gothic"/>
                              </w:rPr>
                              <w:t>♂</w:t>
                            </w:r>
                            <w:r>
                              <w:t xml:space="preserve"> </w:t>
                            </w:r>
                            <w:r w:rsidRPr="00C269B2">
                              <w:t>30-60 ans</w:t>
                            </w:r>
                          </w:p>
                          <w:p w:rsidR="008276DC" w:rsidRDefault="008276DC" w:rsidP="00C269B2">
                            <w:pPr>
                              <w:pStyle w:val="Paragraphedeliste"/>
                              <w:numPr>
                                <w:ilvl w:val="0"/>
                                <w:numId w:val="741"/>
                              </w:numPr>
                            </w:pPr>
                            <w:r>
                              <w:t>Obésité</w:t>
                            </w:r>
                          </w:p>
                          <w:p w:rsidR="008276DC" w:rsidRDefault="008276DC" w:rsidP="00C269B2">
                            <w:pPr>
                              <w:pStyle w:val="Paragraphedeliste"/>
                              <w:numPr>
                                <w:ilvl w:val="0"/>
                                <w:numId w:val="741"/>
                              </w:numPr>
                            </w:pPr>
                            <w:r>
                              <w:t>Enfants                 (amygdales, adénoïdes ++)</w:t>
                            </w:r>
                          </w:p>
                          <w:p w:rsidR="008276DC" w:rsidRDefault="008276DC" w:rsidP="00C269B2">
                            <w:pPr>
                              <w:pStyle w:val="Paragraphedeliste"/>
                              <w:numPr>
                                <w:ilvl w:val="0"/>
                                <w:numId w:val="741"/>
                              </w:numPr>
                            </w:pPr>
                            <w:r>
                              <w:t>Vieillissement</w:t>
                            </w:r>
                          </w:p>
                          <w:p w:rsidR="008276DC" w:rsidRDefault="008276DC" w:rsidP="00C269B2">
                            <w:pPr>
                              <w:pStyle w:val="Paragraphedeliste"/>
                              <w:numPr>
                                <w:ilvl w:val="0"/>
                                <w:numId w:val="741"/>
                              </w:numPr>
                            </w:pPr>
                            <w:r>
                              <w:t>IVRS persistantes</w:t>
                            </w:r>
                          </w:p>
                          <w:p w:rsidR="008276DC" w:rsidRDefault="008276DC" w:rsidP="00C269B2">
                            <w:pPr>
                              <w:pStyle w:val="Paragraphedeliste"/>
                              <w:numPr>
                                <w:ilvl w:val="0"/>
                                <w:numId w:val="741"/>
                              </w:numPr>
                            </w:pPr>
                            <w:r>
                              <w:t>Allergies</w:t>
                            </w:r>
                          </w:p>
                          <w:p w:rsidR="008276DC" w:rsidRDefault="008276DC" w:rsidP="00C269B2">
                            <w:pPr>
                              <w:pStyle w:val="Paragraphedeliste"/>
                              <w:numPr>
                                <w:ilvl w:val="0"/>
                                <w:numId w:val="741"/>
                              </w:numPr>
                            </w:pPr>
                            <w:r>
                              <w:t>Néoplasies nasales</w:t>
                            </w:r>
                          </w:p>
                          <w:p w:rsidR="008276DC" w:rsidRDefault="008276DC" w:rsidP="00C269B2">
                            <w:pPr>
                              <w:pStyle w:val="Paragraphedeliste"/>
                              <w:numPr>
                                <w:ilvl w:val="0"/>
                                <w:numId w:val="741"/>
                              </w:numPr>
                            </w:pPr>
                            <w:r>
                              <w:t>Hypothyroïdie</w:t>
                            </w:r>
                          </w:p>
                          <w:p w:rsidR="008276DC" w:rsidRDefault="008276DC" w:rsidP="00C269B2">
                            <w:pPr>
                              <w:pStyle w:val="Paragraphedeliste"/>
                              <w:numPr>
                                <w:ilvl w:val="0"/>
                                <w:numId w:val="741"/>
                              </w:numPr>
                            </w:pPr>
                            <w:r>
                              <w:t>Maladie neuromusculaire</w:t>
                            </w:r>
                          </w:p>
                          <w:p w:rsidR="008276DC" w:rsidRPr="00C269B2" w:rsidRDefault="008276DC" w:rsidP="00C269B2">
                            <w:pPr>
                              <w:pStyle w:val="Paragraphedeliste"/>
                              <w:numPr>
                                <w:ilvl w:val="0"/>
                                <w:numId w:val="741"/>
                              </w:numPr>
                            </w:pPr>
                            <w:r>
                              <w:t>Histoire familiale</w:t>
                            </w:r>
                          </w:p>
                          <w:p w:rsidR="008276DC" w:rsidRPr="00C269B2" w:rsidRDefault="008276DC" w:rsidP="00C269B2">
                            <w:pPr>
                              <w:pStyle w:val="Paragraphedeliste"/>
                              <w:numPr>
                                <w:ilvl w:val="0"/>
                                <w:numId w:val="741"/>
                              </w:numPr>
                              <w:rPr>
                                <w:u w:val="single"/>
                              </w:rPr>
                            </w:pPr>
                            <w:r w:rsidRPr="00BE27AB">
                              <w:t>Consommation d’alcool</w:t>
                            </w:r>
                          </w:p>
                          <w:p w:rsidR="008276DC" w:rsidRPr="00BE27AB" w:rsidRDefault="008276DC" w:rsidP="00C269B2">
                            <w:pPr>
                              <w:pStyle w:val="Paragraphedeliste"/>
                              <w:numPr>
                                <w:ilvl w:val="0"/>
                                <w:numId w:val="741"/>
                              </w:numPr>
                            </w:pPr>
                            <w:r w:rsidRPr="00BE27AB">
                              <w:t>Consommation de sédatifs</w:t>
                            </w:r>
                          </w:p>
                          <w:p w:rsidR="008276DC" w:rsidRPr="00BE27AB" w:rsidRDefault="008276DC" w:rsidP="00C269B2">
                            <w:pPr>
                              <w:pStyle w:val="Paragraphedeliste"/>
                              <w:numPr>
                                <w:ilvl w:val="0"/>
                                <w:numId w:val="741"/>
                              </w:numPr>
                            </w:pPr>
                            <w:r w:rsidRPr="00BE27AB">
                              <w:t>Manque de sommeil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25" type="#_x0000_t202" style="position:absolute;margin-left:349.25pt;margin-top:9pt;width:162.35pt;height:261.95pt;z-index:25186662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" fillcolor="#eaf1dd [662]" strokecolor="#4f81bd [3204]" strokeweight="2pt">
                <v:textbox>
                  <w:txbxContent>
                    <w:p w:rsidR="008276DC" w:rsidRDefault="008276DC" w:rsidP="00C269B2">
                      <w:pPr>
                        <w:jc w:val="center"/>
                        <w:rPr>
                          <w:u w:val="single"/>
                        </w:rPr>
                      </w:pPr>
                      <w:r w:rsidRPr="00BE27AB">
                        <w:rPr>
                          <w:u w:val="single"/>
                        </w:rPr>
                        <w:t>Facteurs de risque d’apnée obstructive du sommeil</w:t>
                      </w:r>
                    </w:p>
                    <w:p w:rsidR="008276DC" w:rsidRDefault="008276DC" w:rsidP="00C269B2">
                      <w:pPr>
                        <w:pStyle w:val="Paragraphedeliste"/>
                        <w:numPr>
                          <w:ilvl w:val="0"/>
                          <w:numId w:val="741"/>
                        </w:numPr>
                      </w:pPr>
                      <w:r>
                        <w:rPr>
                          <w:rFonts w:ascii="Century Gothic" w:hAnsi="Century Gothic"/>
                        </w:rPr>
                        <w:t>♂</w:t>
                      </w:r>
                      <w:r>
                        <w:t xml:space="preserve"> </w:t>
                      </w:r>
                      <w:r w:rsidRPr="00C269B2">
                        <w:t>30-60 ans</w:t>
                      </w:r>
                    </w:p>
                    <w:p w:rsidR="008276DC" w:rsidRDefault="008276DC" w:rsidP="00C269B2">
                      <w:pPr>
                        <w:pStyle w:val="Paragraphedeliste"/>
                        <w:numPr>
                          <w:ilvl w:val="0"/>
                          <w:numId w:val="741"/>
                        </w:numPr>
                      </w:pPr>
                      <w:r>
                        <w:t>Obésité</w:t>
                      </w:r>
                    </w:p>
                    <w:p w:rsidR="008276DC" w:rsidRDefault="008276DC" w:rsidP="00C269B2">
                      <w:pPr>
                        <w:pStyle w:val="Paragraphedeliste"/>
                        <w:numPr>
                          <w:ilvl w:val="0"/>
                          <w:numId w:val="741"/>
                        </w:numPr>
                      </w:pPr>
                      <w:r>
                        <w:t>Enfants                 (amygdales, adénoïdes ++)</w:t>
                      </w:r>
                    </w:p>
                    <w:p w:rsidR="008276DC" w:rsidRDefault="008276DC" w:rsidP="00C269B2">
                      <w:pPr>
                        <w:pStyle w:val="Paragraphedeliste"/>
                        <w:numPr>
                          <w:ilvl w:val="0"/>
                          <w:numId w:val="741"/>
                        </w:numPr>
                      </w:pPr>
                      <w:r>
                        <w:t>Vieillissement</w:t>
                      </w:r>
                    </w:p>
                    <w:p w:rsidR="008276DC" w:rsidRDefault="008276DC" w:rsidP="00C269B2">
                      <w:pPr>
                        <w:pStyle w:val="Paragraphedeliste"/>
                        <w:numPr>
                          <w:ilvl w:val="0"/>
                          <w:numId w:val="741"/>
                        </w:numPr>
                      </w:pPr>
                      <w:r>
                        <w:t>IVRS persistantes</w:t>
                      </w:r>
                    </w:p>
                    <w:p w:rsidR="008276DC" w:rsidRDefault="008276DC" w:rsidP="00C269B2">
                      <w:pPr>
                        <w:pStyle w:val="Paragraphedeliste"/>
                        <w:numPr>
                          <w:ilvl w:val="0"/>
                          <w:numId w:val="741"/>
                        </w:numPr>
                      </w:pPr>
                      <w:r>
                        <w:t>Allergies</w:t>
                      </w:r>
                    </w:p>
                    <w:p w:rsidR="008276DC" w:rsidRDefault="008276DC" w:rsidP="00C269B2">
                      <w:pPr>
                        <w:pStyle w:val="Paragraphedeliste"/>
                        <w:numPr>
                          <w:ilvl w:val="0"/>
                          <w:numId w:val="741"/>
                        </w:numPr>
                      </w:pPr>
                      <w:r>
                        <w:t>Néoplasies nasales</w:t>
                      </w:r>
                    </w:p>
                    <w:p w:rsidR="008276DC" w:rsidRDefault="008276DC" w:rsidP="00C269B2">
                      <w:pPr>
                        <w:pStyle w:val="Paragraphedeliste"/>
                        <w:numPr>
                          <w:ilvl w:val="0"/>
                          <w:numId w:val="741"/>
                        </w:numPr>
                      </w:pPr>
                      <w:r>
                        <w:t>Hypothyroïdie</w:t>
                      </w:r>
                    </w:p>
                    <w:p w:rsidR="008276DC" w:rsidRDefault="008276DC" w:rsidP="00C269B2">
                      <w:pPr>
                        <w:pStyle w:val="Paragraphedeliste"/>
                        <w:numPr>
                          <w:ilvl w:val="0"/>
                          <w:numId w:val="741"/>
                        </w:numPr>
                      </w:pPr>
                      <w:r>
                        <w:t>Maladie neuromusculaire</w:t>
                      </w:r>
                    </w:p>
                    <w:p w:rsidR="008276DC" w:rsidRPr="00C269B2" w:rsidRDefault="008276DC" w:rsidP="00C269B2">
                      <w:pPr>
                        <w:pStyle w:val="Paragraphedeliste"/>
                        <w:numPr>
                          <w:ilvl w:val="0"/>
                          <w:numId w:val="741"/>
                        </w:numPr>
                      </w:pPr>
                      <w:r>
                        <w:t>Histoire familiale</w:t>
                      </w:r>
                    </w:p>
                    <w:p w:rsidR="008276DC" w:rsidRPr="00C269B2" w:rsidRDefault="008276DC" w:rsidP="00C269B2">
                      <w:pPr>
                        <w:pStyle w:val="Paragraphedeliste"/>
                        <w:numPr>
                          <w:ilvl w:val="0"/>
                          <w:numId w:val="741"/>
                        </w:numPr>
                        <w:rPr>
                          <w:u w:val="single"/>
                        </w:rPr>
                      </w:pPr>
                      <w:r w:rsidRPr="00BE27AB">
                        <w:t>Consommation d’alcool</w:t>
                      </w:r>
                    </w:p>
                    <w:p w:rsidR="008276DC" w:rsidRPr="00BE27AB" w:rsidRDefault="008276DC" w:rsidP="00C269B2">
                      <w:pPr>
                        <w:pStyle w:val="Paragraphedeliste"/>
                        <w:numPr>
                          <w:ilvl w:val="0"/>
                          <w:numId w:val="741"/>
                        </w:numPr>
                      </w:pPr>
                      <w:r w:rsidRPr="00BE27AB">
                        <w:t>Consommation de sédatifs</w:t>
                      </w:r>
                    </w:p>
                    <w:p w:rsidR="008276DC" w:rsidRPr="00BE27AB" w:rsidRDefault="008276DC" w:rsidP="00C269B2">
                      <w:pPr>
                        <w:pStyle w:val="Paragraphedeliste"/>
                        <w:numPr>
                          <w:ilvl w:val="0"/>
                          <w:numId w:val="741"/>
                        </w:numPr>
                      </w:pPr>
                      <w:r w:rsidRPr="00BE27AB">
                        <w:t>Manque de sommeil</w:t>
                      </w:r>
                    </w:p>
                  </w:txbxContent>
                </v:textbox>
              </v:shape>
            </w:pict>
          </mc:Fallback>
        </mc:AlternateContent>
      </w:r>
      <w:r w:rsidR="00AF722B">
        <w:rPr>
          <w:b/>
        </w:rPr>
        <w:t>Narcolepsie</w:t>
      </w:r>
    </w:p>
    <w:p w:rsidR="00AF722B" w:rsidRPr="00E62374" w:rsidRDefault="00AF722B" w:rsidP="0012303F">
      <w:pPr>
        <w:pStyle w:val="Paragraphedeliste"/>
        <w:numPr>
          <w:ilvl w:val="0"/>
          <w:numId w:val="737"/>
        </w:numPr>
        <w:rPr>
          <w:highlight w:val="yellow"/>
        </w:rPr>
      </w:pPr>
      <w:r w:rsidRPr="00E62374">
        <w:rPr>
          <w:highlight w:val="yellow"/>
        </w:rPr>
        <w:t>Référence en médecine du sommeil</w:t>
      </w:r>
      <w:r w:rsidR="00E62374">
        <w:rPr>
          <w:highlight w:val="yellow"/>
        </w:rPr>
        <w:t xml:space="preserve"> et suivi</w:t>
      </w:r>
    </w:p>
    <w:p w:rsidR="00AF722B" w:rsidRPr="00E62374" w:rsidRDefault="00AF722B" w:rsidP="0012303F">
      <w:pPr>
        <w:pStyle w:val="Paragraphedeliste"/>
        <w:numPr>
          <w:ilvl w:val="0"/>
          <w:numId w:val="737"/>
        </w:numPr>
        <w:rPr>
          <w:highlight w:val="yellow"/>
        </w:rPr>
      </w:pPr>
      <w:r w:rsidRPr="00E62374">
        <w:rPr>
          <w:highlight w:val="yellow"/>
        </w:rPr>
        <w:t>Hygiène du sommeil (voir plus haut) et siestes prédéterminées</w:t>
      </w:r>
    </w:p>
    <w:p w:rsidR="00AF722B" w:rsidRPr="00E62374" w:rsidRDefault="00AF722B" w:rsidP="0012303F">
      <w:pPr>
        <w:pStyle w:val="Paragraphedeliste"/>
        <w:numPr>
          <w:ilvl w:val="0"/>
          <w:numId w:val="737"/>
        </w:numPr>
        <w:rPr>
          <w:highlight w:val="yellow"/>
        </w:rPr>
      </w:pPr>
      <w:r w:rsidRPr="00E62374">
        <w:rPr>
          <w:highlight w:val="yellow"/>
        </w:rPr>
        <w:t>Signalement à la SAAQ</w:t>
      </w:r>
    </w:p>
    <w:p w:rsidR="00E62374" w:rsidRDefault="00E62374" w:rsidP="0012303F">
      <w:pPr>
        <w:pStyle w:val="Paragraphedeliste"/>
        <w:numPr>
          <w:ilvl w:val="0"/>
          <w:numId w:val="737"/>
        </w:numPr>
      </w:pPr>
      <w:r>
        <w:t>Stimulants</w:t>
      </w:r>
    </w:p>
    <w:p w:rsidR="00BE27AB" w:rsidRDefault="00AF722B" w:rsidP="0012303F">
      <w:pPr>
        <w:pStyle w:val="Paragraphedeliste"/>
        <w:numPr>
          <w:ilvl w:val="1"/>
          <w:numId w:val="737"/>
        </w:numPr>
      </w:pPr>
      <w:r>
        <w:t>Modafinil 200</w:t>
      </w:r>
      <w:r w:rsidRPr="00E62374">
        <w:rPr>
          <w:rFonts w:ascii="Century Gothic" w:hAnsi="Century Gothic"/>
        </w:rPr>
        <w:t>→</w:t>
      </w:r>
      <w:r>
        <w:t>400 mg PO DIE</w:t>
      </w:r>
      <w:r w:rsidR="00BE27AB">
        <w:t xml:space="preserve"> </w:t>
      </w:r>
    </w:p>
    <w:p w:rsidR="00AF722B" w:rsidRDefault="00BE27AB" w:rsidP="0012303F">
      <w:pPr>
        <w:pStyle w:val="Paragraphedeliste"/>
        <w:numPr>
          <w:ilvl w:val="1"/>
          <w:numId w:val="737"/>
        </w:numPr>
      </w:pPr>
      <w:r>
        <w:t>M</w:t>
      </w:r>
      <w:r w:rsidR="00E62374">
        <w:t>éthylphénidate 5 mg PO BID puis titrer</w:t>
      </w:r>
    </w:p>
    <w:p w:rsidR="00BE27AB" w:rsidRDefault="00E62374" w:rsidP="0012303F">
      <w:pPr>
        <w:pStyle w:val="Paragraphedeliste"/>
        <w:numPr>
          <w:ilvl w:val="0"/>
          <w:numId w:val="737"/>
        </w:numPr>
      </w:pPr>
      <w:r>
        <w:t>Anti-cataplexiques : Antidépresseurs tri</w:t>
      </w:r>
      <w:r w:rsidR="00BE27AB">
        <w:t>cycliques, ISRS …</w:t>
      </w:r>
    </w:p>
    <w:p w:rsidR="00E62374" w:rsidRPr="00AF722B" w:rsidRDefault="00BE27AB" w:rsidP="0012303F">
      <w:pPr>
        <w:pStyle w:val="Paragraphedeliste"/>
        <w:numPr>
          <w:ilvl w:val="1"/>
          <w:numId w:val="737"/>
        </w:numPr>
      </w:pPr>
      <w:r>
        <w:t>(hors objectif</w:t>
      </w:r>
      <w:r w:rsidR="00E62374">
        <w:t>)</w:t>
      </w:r>
    </w:p>
    <w:p w:rsidR="00E817DD" w:rsidRPr="00181BCA" w:rsidRDefault="00E817DD" w:rsidP="00A70FD6">
      <w:pPr>
        <w:rPr>
          <w:b/>
        </w:rPr>
      </w:pPr>
      <w:r w:rsidRPr="00181BCA">
        <w:rPr>
          <w:b/>
        </w:rPr>
        <w:t>Apnée du sommeil</w:t>
      </w:r>
    </w:p>
    <w:p w:rsidR="00AF722B" w:rsidRDefault="00AF722B" w:rsidP="0012303F">
      <w:pPr>
        <w:pStyle w:val="Paragraphedeliste"/>
        <w:numPr>
          <w:ilvl w:val="0"/>
          <w:numId w:val="738"/>
        </w:numPr>
      </w:pPr>
      <w:r>
        <w:t>Conseils</w:t>
      </w:r>
    </w:p>
    <w:p w:rsidR="00E62374" w:rsidRDefault="00E817DD" w:rsidP="0012303F">
      <w:pPr>
        <w:pStyle w:val="Paragraphedeliste"/>
        <w:numPr>
          <w:ilvl w:val="1"/>
          <w:numId w:val="739"/>
        </w:numPr>
      </w:pPr>
      <w:r>
        <w:t>Éviter d</w:t>
      </w:r>
      <w:r w:rsidR="00E62374">
        <w:t>e dormir sur le dos si possible</w:t>
      </w:r>
    </w:p>
    <w:p w:rsidR="00E62374" w:rsidRDefault="00E62374" w:rsidP="0012303F">
      <w:pPr>
        <w:pStyle w:val="Paragraphedeliste"/>
        <w:numPr>
          <w:ilvl w:val="1"/>
          <w:numId w:val="739"/>
        </w:numPr>
      </w:pPr>
      <w:r>
        <w:t>Perte de poids</w:t>
      </w:r>
    </w:p>
    <w:p w:rsidR="00E817DD" w:rsidRDefault="00E62374" w:rsidP="0012303F">
      <w:pPr>
        <w:pStyle w:val="Paragraphedeliste"/>
        <w:numPr>
          <w:ilvl w:val="1"/>
          <w:numId w:val="739"/>
        </w:numPr>
      </w:pPr>
      <w:r>
        <w:t>Éviter les</w:t>
      </w:r>
      <w:r w:rsidR="00E817DD">
        <w:t xml:space="preserve"> alcools/sédatifs/opiacés</w:t>
      </w:r>
      <w:r>
        <w:t xml:space="preserve"> et corticostéroïdes inhalés</w:t>
      </w:r>
    </w:p>
    <w:p w:rsidR="00E817DD" w:rsidRDefault="00E817DD" w:rsidP="0012303F">
      <w:pPr>
        <w:pStyle w:val="Paragraphedeliste"/>
        <w:numPr>
          <w:ilvl w:val="0"/>
          <w:numId w:val="738"/>
        </w:numPr>
      </w:pPr>
      <w:r>
        <w:t>Référer en pneumologie</w:t>
      </w:r>
    </w:p>
    <w:p w:rsidR="00E817DD" w:rsidRDefault="00E62374" w:rsidP="0012303F">
      <w:pPr>
        <w:pStyle w:val="Paragraphedeliste"/>
        <w:numPr>
          <w:ilvl w:val="0"/>
          <w:numId w:val="738"/>
        </w:numPr>
      </w:pPr>
      <w:r>
        <w:t xml:space="preserve">Usage de </w:t>
      </w:r>
      <w:r w:rsidR="00E817DD">
        <w:t>CPAP</w:t>
      </w:r>
      <w:r>
        <w:t xml:space="preserve"> (ventilation à pression positive continue)</w:t>
      </w:r>
    </w:p>
    <w:p w:rsidR="00A70FD6" w:rsidRDefault="00E817DD" w:rsidP="0012303F">
      <w:pPr>
        <w:pStyle w:val="Paragraphedeliste"/>
        <w:numPr>
          <w:ilvl w:val="0"/>
          <w:numId w:val="738"/>
        </w:numPr>
      </w:pPr>
      <w:r>
        <w:t>Référer en ORL si CPAP insuffisant</w:t>
      </w:r>
    </w:p>
    <w:p w:rsidR="00A70FD6" w:rsidRDefault="00A70FD6" w:rsidP="00A70FD6"/>
    <w:p w:rsidR="0023036E" w:rsidRDefault="0023036E">
      <w:pPr>
        <w:rPr>
          <w:rFonts w:cs="Times New Roman"/>
          <w:b/>
          <w:color w:val="548DD4" w:themeColor="text2" w:themeTint="99"/>
        </w:rPr>
      </w:pPr>
      <w:r>
        <w:rPr>
          <w:noProof/>
          <w:lang w:eastAsia="fr-CA"/>
        </w:rPr>
        <w:drawing>
          <wp:anchor distT="0" distB="0" distL="114300" distR="114300" simplePos="0" relativeHeight="251862016" behindDoc="0" locked="0" layoutInCell="1" allowOverlap="1" wp14:anchorId="7E2CEB5E" wp14:editId="1C4E63D2">
            <wp:simplePos x="0" y="0"/>
            <wp:positionH relativeFrom="column">
              <wp:posOffset>1050209</wp:posOffset>
            </wp:positionH>
            <wp:positionV relativeFrom="paragraph">
              <wp:posOffset>550140</wp:posOffset>
            </wp:positionV>
            <wp:extent cx="4523105" cy="3492500"/>
            <wp:effectExtent l="0" t="0" r="0" b="0"/>
            <wp:wrapNone/>
            <wp:docPr id="374" name="Image 374" descr="Résultats de recherche d'images pour « polysomnography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ésultats de recherche d'images pour « polysomnography »"/>
                    <pic:cNvPicPr>
                      <a:picLocks noChangeAspect="1" noChangeArrowheads="1"/>
                    </pic:cNvPicPr>
                  </pic:nvPicPr>
                  <pic:blipFill>
                    <a:blip r:embed="rId334">
                      <a:extLst>
                        <a:ext uri="{28A0092B-C50C-407E-A947-70E740481C1C}">
                          <a14:useLocalDpi xmlns:a14="http://schemas.microsoft.com/office/drawing/2010/main" val="0"/>
                        </a:ext>
                      </a:extLst>
                    </a:blip>
                    <a:srcRect/>
                    <a:stretch>
                      <a:fillRect/>
                    </a:stretch>
                  </pic:blipFill>
                  <pic:spPr bwMode="auto">
                    <a:xfrm>
                      <a:off x="0" y="0"/>
                      <a:ext cx="4523105" cy="34925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cs="Times New Roman"/>
          <w:b/>
          <w:color w:val="548DD4" w:themeColor="text2" w:themeTint="99"/>
        </w:rPr>
        <w:br w:type="page"/>
      </w:r>
    </w:p>
    <w:p w:rsidR="00845E56" w:rsidRDefault="00845E56" w:rsidP="00F62E2A">
      <w:pPr>
        <w:pStyle w:val="Sansinterligne"/>
        <w:rPr>
          <w:rFonts w:cs="Times New Roman"/>
          <w:b/>
          <w:color w:val="548DD4" w:themeColor="text2" w:themeTint="99"/>
        </w:rPr>
      </w:pPr>
      <w:r>
        <w:rPr>
          <w:rFonts w:cs="Times New Roman"/>
          <w:b/>
          <w:color w:val="548DD4" w:themeColor="text2" w:themeTint="99"/>
        </w:rPr>
        <w:t>CMC 100</w:t>
      </w:r>
    </w:p>
    <w:p w:rsidR="00845E56" w:rsidRPr="00845E56" w:rsidRDefault="00845E56" w:rsidP="00845E56">
      <w:pPr>
        <w:pStyle w:val="Titre3"/>
        <w:spacing w:before="0"/>
        <w:rPr>
          <w:rFonts w:ascii="Times New Roman" w:hAnsi="Times New Roman" w:cs="Times New Roman"/>
        </w:rPr>
      </w:pPr>
      <w:bookmarkStart w:id="363" w:name="_Toc480797328"/>
      <w:r w:rsidRPr="00845E56">
        <w:rPr>
          <w:rFonts w:ascii="Times New Roman" w:hAnsi="Times New Roman" w:cs="Times New Roman"/>
        </w:rPr>
        <w:t>Mal de gorge et/ou rhinorrhée</w:t>
      </w:r>
      <w:bookmarkEnd w:id="363"/>
    </w:p>
    <w:p w:rsidR="00845E56" w:rsidRDefault="00845E56" w:rsidP="00F62E2A">
      <w:pPr>
        <w:pStyle w:val="Sansinterligne"/>
        <w:rPr>
          <w:rFonts w:cs="Times New Roman"/>
          <w:b/>
          <w:color w:val="548DD4" w:themeColor="text2" w:themeTint="99"/>
        </w:rPr>
      </w:pPr>
      <w:r>
        <w:rPr>
          <w:rFonts w:cs="Times New Roman"/>
          <w:b/>
          <w:noProof/>
          <w:color w:val="548DD4" w:themeColor="text2" w:themeTint="99"/>
          <w:lang w:eastAsia="fr-CA"/>
        </w:rPr>
        <mc:AlternateContent>
          <mc:Choice Requires="wps">
            <w:drawing>
              <wp:anchor distT="0" distB="0" distL="114300" distR="114300" simplePos="0" relativeHeight="251907072" behindDoc="0" locked="0" layoutInCell="1" allowOverlap="1" wp14:anchorId="06582DB5" wp14:editId="7FDE37FD">
                <wp:simplePos x="0" y="0"/>
                <wp:positionH relativeFrom="column">
                  <wp:posOffset>-48638</wp:posOffset>
                </wp:positionH>
                <wp:positionV relativeFrom="paragraph">
                  <wp:posOffset>99627</wp:posOffset>
                </wp:positionV>
                <wp:extent cx="6877455" cy="2830749"/>
                <wp:effectExtent l="0" t="0" r="19050" b="27305"/>
                <wp:wrapNone/>
                <wp:docPr id="415" name="Rectangle 415"/>
                <wp:cNvGraphicFramePr/>
                <a:graphic xmlns:a="http://schemas.openxmlformats.org/drawingml/2006/main">
                  <a:graphicData uri="http://schemas.microsoft.com/office/word/2010/wordprocessingShape">
                    <wps:wsp>
                      <wps:cNvSpPr/>
                      <wps:spPr>
                        <a:xfrm>
                          <a:off x="0" y="0"/>
                          <a:ext cx="6877455" cy="2830749"/>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415" o:spid="_x0000_s1026" style="position:absolute;margin-left:-3.85pt;margin-top:7.85pt;width:541.55pt;height:222.9pt;z-index:2519070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" filled="f" strokecolor="black [1600]" strokeweight="2pt"/>
            </w:pict>
          </mc:Fallback>
        </mc:AlternateContent>
      </w:r>
    </w:p>
    <w:tbl>
      <w:tblPr>
        <w:tblW w:w="3858" w:type="pct"/>
        <w:tblCellSpacing w:w="0" w:type="dxa"/>
        <w:tblCellMar>
          <w:left w:w="0" w:type="dxa"/>
          <w:right w:w="0" w:type="dxa"/>
        </w:tblCellMar>
        <w:tblLook w:val="04A0" w:firstRow="1" w:lastRow="0" w:firstColumn="1" w:lastColumn="0" w:noHBand="0" w:noVBand="1"/>
      </w:tblPr>
      <w:tblGrid>
        <w:gridCol w:w="8333"/>
      </w:tblGrid>
      <w:tr w:rsidR="00845E56" w:rsidRPr="00845E56" w:rsidTr="00845E56">
        <w:trPr>
          <w:tblCellSpacing w:w="0" w:type="dxa"/>
        </w:trPr>
        <w:tc>
          <w:tcPr>
            <w:tcW w:w="0" w:type="auto"/>
            <w:vAlign w:val="bottom"/>
            <w:hideMark/>
          </w:tcPr>
          <w:p w:rsidR="00845E56" w:rsidRPr="00845E56" w:rsidRDefault="00845E56" w:rsidP="00845E56">
            <w:pPr>
              <w:pStyle w:val="Sansinterligne"/>
              <w:rPr>
                <w:b/>
                <w:sz w:val="18"/>
                <w:szCs w:val="18"/>
              </w:rPr>
            </w:pPr>
            <w:r w:rsidRPr="00845E56">
              <w:rPr>
                <w:b/>
                <w:sz w:val="18"/>
                <w:szCs w:val="18"/>
              </w:rPr>
              <w:t>Objectifs principaux</w:t>
            </w:r>
          </w:p>
        </w:tc>
      </w:tr>
    </w:tbl>
    <w:p w:rsidR="00845E56" w:rsidRPr="00845E56" w:rsidRDefault="00845E56" w:rsidP="00845E56">
      <w:pPr>
        <w:pStyle w:val="NormalWeb"/>
        <w:ind w:left="360"/>
        <w:rPr>
          <w:color w:val="000000"/>
          <w:sz w:val="18"/>
          <w:szCs w:val="18"/>
          <w:shd w:val="clear" w:color="auto" w:fill="FFFFFF"/>
        </w:rPr>
      </w:pPr>
      <w:r w:rsidRPr="00845E56">
        <w:rPr>
          <w:color w:val="000000"/>
          <w:sz w:val="18"/>
          <w:szCs w:val="18"/>
          <w:shd w:val="clear" w:color="auto" w:fill="FFFFFF"/>
        </w:rPr>
        <w:t>Dans le cas d'un patient ayant un mal de gorge et/ou une rhinorrhée, le candidat devra en diagnostiquer la cause, la gravité et les complications, et mettre en place un plan de prise en charge approprié.</w:t>
      </w:r>
    </w:p>
    <w:tbl>
      <w:tblPr>
        <w:tblW w:w="3897" w:type="pct"/>
        <w:tblCellSpacing w:w="0" w:type="dxa"/>
        <w:tblCellMar>
          <w:left w:w="0" w:type="dxa"/>
          <w:right w:w="0" w:type="dxa"/>
        </w:tblCellMar>
        <w:tblLook w:val="04A0" w:firstRow="1" w:lastRow="0" w:firstColumn="1" w:lastColumn="0" w:noHBand="0" w:noVBand="1"/>
      </w:tblPr>
      <w:tblGrid>
        <w:gridCol w:w="8418"/>
      </w:tblGrid>
      <w:tr w:rsidR="00845E56" w:rsidRPr="00845E56" w:rsidTr="00845E56">
        <w:trPr>
          <w:tblCellSpacing w:w="0" w:type="dxa"/>
        </w:trPr>
        <w:tc>
          <w:tcPr>
            <w:tcW w:w="0" w:type="auto"/>
            <w:vAlign w:val="bottom"/>
            <w:hideMark/>
          </w:tcPr>
          <w:p w:rsidR="00845E56" w:rsidRPr="00845E56" w:rsidRDefault="00845E56" w:rsidP="00845E56">
            <w:pPr>
              <w:pStyle w:val="Sansinterligne"/>
              <w:rPr>
                <w:b/>
                <w:sz w:val="16"/>
                <w:szCs w:val="16"/>
              </w:rPr>
            </w:pPr>
            <w:r w:rsidRPr="00845E56">
              <w:rPr>
                <w:b/>
                <w:sz w:val="16"/>
                <w:szCs w:val="16"/>
              </w:rPr>
              <w:t>Objectifs spécifiques</w:t>
            </w:r>
          </w:p>
        </w:tc>
      </w:tr>
    </w:tbl>
    <w:p w:rsidR="00845E56" w:rsidRPr="00845E56" w:rsidRDefault="00845E56" w:rsidP="00845E56">
      <w:pPr>
        <w:pStyle w:val="NormalWeb"/>
        <w:shd w:val="clear" w:color="auto" w:fill="FFFFFF"/>
        <w:ind w:left="360"/>
        <w:rPr>
          <w:color w:val="000000"/>
          <w:sz w:val="16"/>
          <w:szCs w:val="16"/>
          <w:shd w:val="clear" w:color="auto" w:fill="FFFFFF"/>
        </w:rPr>
      </w:pPr>
      <w:r w:rsidRPr="00845E56">
        <w:rPr>
          <w:color w:val="000000"/>
          <w:sz w:val="16"/>
          <w:szCs w:val="16"/>
          <w:shd w:val="clear" w:color="auto" w:fill="FFFFFF"/>
        </w:rPr>
        <w:t>Dans le cas d'un patient ayant un mal de gorge et/ou une rhinorrhée, le candidat devra</w:t>
      </w:r>
    </w:p>
    <w:p w:rsidR="00845E56" w:rsidRPr="00845E56" w:rsidRDefault="00845E56" w:rsidP="005D429F">
      <w:pPr>
        <w:numPr>
          <w:ilvl w:val="0"/>
          <w:numId w:val="881"/>
        </w:numPr>
        <w:shd w:val="clear" w:color="auto" w:fill="FFFFFF"/>
        <w:spacing w:before="100" w:beforeAutospacing="1" w:after="100" w:afterAutospacing="1" w:line="240" w:lineRule="auto"/>
        <w:rPr>
          <w:rFonts w:cs="Times New Roman"/>
          <w:color w:val="000000"/>
          <w:sz w:val="16"/>
          <w:szCs w:val="16"/>
          <w:shd w:val="clear" w:color="auto" w:fill="FFFFFF"/>
        </w:rPr>
      </w:pPr>
      <w:r w:rsidRPr="00845E56">
        <w:rPr>
          <w:rFonts w:cs="Times New Roman"/>
          <w:color w:val="000000"/>
          <w:sz w:val="16"/>
          <w:szCs w:val="16"/>
          <w:shd w:val="clear" w:color="auto" w:fill="FFFFFF"/>
        </w:rPr>
        <w:t>énumérer et interpréter les constatations cliniques cruciales, notamment :</w:t>
      </w:r>
    </w:p>
    <w:p w:rsidR="00845E56" w:rsidRPr="00845E56" w:rsidRDefault="00845E56" w:rsidP="005D429F">
      <w:pPr>
        <w:numPr>
          <w:ilvl w:val="1"/>
          <w:numId w:val="881"/>
        </w:numPr>
        <w:shd w:val="clear" w:color="auto" w:fill="FFFFFF"/>
        <w:spacing w:before="100" w:beforeAutospacing="1" w:after="100" w:afterAutospacing="1" w:line="240" w:lineRule="auto"/>
        <w:rPr>
          <w:rFonts w:cs="Times New Roman"/>
          <w:color w:val="000000"/>
          <w:sz w:val="16"/>
          <w:szCs w:val="16"/>
          <w:shd w:val="clear" w:color="auto" w:fill="FFFFFF"/>
        </w:rPr>
      </w:pPr>
      <w:r w:rsidRPr="00845E56">
        <w:rPr>
          <w:rFonts w:cs="Times New Roman"/>
          <w:color w:val="000000"/>
          <w:sz w:val="16"/>
          <w:szCs w:val="16"/>
          <w:shd w:val="clear" w:color="auto" w:fill="FFFFFF"/>
        </w:rPr>
        <w:t xml:space="preserve">la présence ou l'absence de fièvre, de toux, de </w:t>
      </w:r>
      <w:r w:rsidR="0068213A" w:rsidRPr="00845E56">
        <w:rPr>
          <w:rFonts w:cs="Times New Roman"/>
          <w:color w:val="000000"/>
          <w:sz w:val="16"/>
          <w:szCs w:val="16"/>
          <w:shd w:val="clear" w:color="auto" w:fill="FFFFFF"/>
        </w:rPr>
        <w:t>lymphadénopathies</w:t>
      </w:r>
      <w:r w:rsidR="0068213A">
        <w:rPr>
          <w:rFonts w:cs="Times New Roman"/>
          <w:color w:val="000000"/>
          <w:sz w:val="16"/>
          <w:szCs w:val="16"/>
          <w:shd w:val="clear" w:color="auto" w:fill="FFFFFF"/>
        </w:rPr>
        <w:t xml:space="preserve"> </w:t>
      </w:r>
      <w:r w:rsidRPr="00845E56">
        <w:rPr>
          <w:rFonts w:cs="Times New Roman"/>
          <w:color w:val="000000"/>
          <w:sz w:val="16"/>
          <w:szCs w:val="16"/>
          <w:shd w:val="clear" w:color="auto" w:fill="FFFFFF"/>
        </w:rPr>
        <w:t>cervicale</w:t>
      </w:r>
      <w:r w:rsidR="0068213A">
        <w:rPr>
          <w:rFonts w:cs="Times New Roman"/>
          <w:color w:val="000000"/>
          <w:sz w:val="16"/>
          <w:szCs w:val="16"/>
          <w:shd w:val="clear" w:color="auto" w:fill="FFFFFF"/>
        </w:rPr>
        <w:t>s</w:t>
      </w:r>
      <w:r w:rsidRPr="00845E56">
        <w:rPr>
          <w:rFonts w:cs="Times New Roman"/>
          <w:color w:val="000000"/>
          <w:sz w:val="16"/>
          <w:szCs w:val="16"/>
          <w:shd w:val="clear" w:color="auto" w:fill="FFFFFF"/>
        </w:rPr>
        <w:t xml:space="preserve"> et d'exsudats amygdaliens;</w:t>
      </w:r>
    </w:p>
    <w:p w:rsidR="00845E56" w:rsidRPr="00845E56" w:rsidRDefault="00845E56" w:rsidP="005D429F">
      <w:pPr>
        <w:numPr>
          <w:ilvl w:val="1"/>
          <w:numId w:val="881"/>
        </w:numPr>
        <w:shd w:val="clear" w:color="auto" w:fill="FFFFFF"/>
        <w:spacing w:before="100" w:beforeAutospacing="1" w:after="100" w:afterAutospacing="1" w:line="240" w:lineRule="auto"/>
        <w:rPr>
          <w:rFonts w:cs="Times New Roman"/>
          <w:color w:val="000000"/>
          <w:sz w:val="16"/>
          <w:szCs w:val="16"/>
          <w:shd w:val="clear" w:color="auto" w:fill="FFFFFF"/>
        </w:rPr>
      </w:pPr>
      <w:r w:rsidRPr="00845E56">
        <w:rPr>
          <w:rFonts w:cs="Times New Roman"/>
          <w:color w:val="000000"/>
          <w:sz w:val="16"/>
          <w:szCs w:val="16"/>
          <w:shd w:val="clear" w:color="auto" w:fill="FFFFFF"/>
        </w:rPr>
        <w:t>tout lien causal avec une exposition environnementale;</w:t>
      </w:r>
    </w:p>
    <w:p w:rsidR="00845E56" w:rsidRPr="00845E56" w:rsidRDefault="00845E56" w:rsidP="005D429F">
      <w:pPr>
        <w:numPr>
          <w:ilvl w:val="1"/>
          <w:numId w:val="881"/>
        </w:numPr>
        <w:shd w:val="clear" w:color="auto" w:fill="FFFFFF"/>
        <w:spacing w:before="100" w:beforeAutospacing="1" w:after="100" w:afterAutospacing="1" w:line="240" w:lineRule="auto"/>
        <w:rPr>
          <w:rFonts w:cs="Times New Roman"/>
          <w:color w:val="000000"/>
          <w:sz w:val="16"/>
          <w:szCs w:val="16"/>
          <w:shd w:val="clear" w:color="auto" w:fill="FFFFFF"/>
        </w:rPr>
      </w:pPr>
      <w:r w:rsidRPr="00845E56">
        <w:rPr>
          <w:rFonts w:cs="Times New Roman"/>
          <w:color w:val="000000"/>
          <w:sz w:val="16"/>
          <w:szCs w:val="16"/>
          <w:shd w:val="clear" w:color="auto" w:fill="FFFFFF"/>
        </w:rPr>
        <w:t xml:space="preserve">les </w:t>
      </w:r>
      <w:r w:rsidR="0068213A" w:rsidRPr="00845E56">
        <w:rPr>
          <w:rFonts w:cs="Times New Roman"/>
          <w:color w:val="000000"/>
          <w:sz w:val="16"/>
          <w:szCs w:val="16"/>
          <w:shd w:val="clear" w:color="auto" w:fill="FFFFFF"/>
        </w:rPr>
        <w:t>résultats</w:t>
      </w:r>
      <w:r w:rsidRPr="00845E56">
        <w:rPr>
          <w:rFonts w:cs="Times New Roman"/>
          <w:color w:val="000000"/>
          <w:sz w:val="16"/>
          <w:szCs w:val="16"/>
          <w:shd w:val="clear" w:color="auto" w:fill="FFFFFF"/>
        </w:rPr>
        <w:t xml:space="preserve"> d'une inspection visuelle du nez et de l'oropharynx;</w:t>
      </w:r>
    </w:p>
    <w:p w:rsidR="00845E56" w:rsidRPr="00845E56" w:rsidRDefault="00845E56" w:rsidP="005D429F">
      <w:pPr>
        <w:numPr>
          <w:ilvl w:val="0"/>
          <w:numId w:val="881"/>
        </w:numPr>
        <w:shd w:val="clear" w:color="auto" w:fill="FFFFFF"/>
        <w:spacing w:before="100" w:beforeAutospacing="1" w:after="100" w:afterAutospacing="1" w:line="240" w:lineRule="auto"/>
        <w:rPr>
          <w:rFonts w:cs="Times New Roman"/>
          <w:color w:val="000000"/>
          <w:sz w:val="16"/>
          <w:szCs w:val="16"/>
          <w:shd w:val="clear" w:color="auto" w:fill="FFFFFF"/>
        </w:rPr>
      </w:pPr>
      <w:r w:rsidRPr="00845E56">
        <w:rPr>
          <w:rFonts w:cs="Times New Roman"/>
          <w:color w:val="000000"/>
          <w:sz w:val="16"/>
          <w:szCs w:val="16"/>
          <w:shd w:val="clear" w:color="auto" w:fill="FFFFFF"/>
        </w:rPr>
        <w:t>énumérer et interpréter les examens essentiels, notamment :</w:t>
      </w:r>
    </w:p>
    <w:p w:rsidR="00845E56" w:rsidRPr="00845E56" w:rsidRDefault="00845E56" w:rsidP="005D429F">
      <w:pPr>
        <w:numPr>
          <w:ilvl w:val="1"/>
          <w:numId w:val="881"/>
        </w:numPr>
        <w:shd w:val="clear" w:color="auto" w:fill="FFFFFF"/>
        <w:spacing w:before="100" w:beforeAutospacing="1" w:after="100" w:afterAutospacing="1" w:line="240" w:lineRule="auto"/>
        <w:rPr>
          <w:rFonts w:cs="Times New Roman"/>
          <w:color w:val="000000"/>
          <w:sz w:val="16"/>
          <w:szCs w:val="16"/>
          <w:shd w:val="clear" w:color="auto" w:fill="FFFFFF"/>
        </w:rPr>
      </w:pPr>
      <w:r w:rsidRPr="00845E56">
        <w:rPr>
          <w:rFonts w:cs="Times New Roman"/>
          <w:color w:val="000000"/>
          <w:sz w:val="16"/>
          <w:szCs w:val="16"/>
          <w:shd w:val="clear" w:color="auto" w:fill="FFFFFF"/>
        </w:rPr>
        <w:t>détermination à savoir si un test de dépistage des streptocoques du groupe A est indiqué;</w:t>
      </w:r>
    </w:p>
    <w:p w:rsidR="00845E56" w:rsidRPr="00845E56" w:rsidRDefault="00845E56" w:rsidP="005D429F">
      <w:pPr>
        <w:numPr>
          <w:ilvl w:val="1"/>
          <w:numId w:val="881"/>
        </w:numPr>
        <w:shd w:val="clear" w:color="auto" w:fill="FFFFFF"/>
        <w:spacing w:before="100" w:beforeAutospacing="1" w:after="100" w:afterAutospacing="1" w:line="240" w:lineRule="auto"/>
        <w:rPr>
          <w:rFonts w:cs="Times New Roman"/>
          <w:color w:val="000000"/>
          <w:sz w:val="16"/>
          <w:szCs w:val="16"/>
          <w:shd w:val="clear" w:color="auto" w:fill="FFFFFF"/>
        </w:rPr>
      </w:pPr>
      <w:r w:rsidRPr="00845E56">
        <w:rPr>
          <w:rFonts w:cs="Times New Roman"/>
          <w:color w:val="000000"/>
          <w:sz w:val="16"/>
          <w:szCs w:val="16"/>
          <w:shd w:val="clear" w:color="auto" w:fill="FFFFFF"/>
        </w:rPr>
        <w:t>détermination à savoir si la cause de la rhinorrhée est une allergie ou une cause plus inhabituelle;</w:t>
      </w:r>
    </w:p>
    <w:p w:rsidR="00845E56" w:rsidRPr="00845E56" w:rsidRDefault="00845E56" w:rsidP="005D429F">
      <w:pPr>
        <w:numPr>
          <w:ilvl w:val="1"/>
          <w:numId w:val="881"/>
        </w:numPr>
        <w:shd w:val="clear" w:color="auto" w:fill="FFFFFF"/>
        <w:spacing w:before="100" w:beforeAutospacing="1" w:after="100" w:afterAutospacing="1" w:line="240" w:lineRule="auto"/>
        <w:rPr>
          <w:rFonts w:cs="Times New Roman"/>
          <w:color w:val="000000"/>
          <w:sz w:val="16"/>
          <w:szCs w:val="16"/>
          <w:shd w:val="clear" w:color="auto" w:fill="FFFFFF"/>
        </w:rPr>
      </w:pPr>
      <w:r w:rsidRPr="00845E56">
        <w:rPr>
          <w:rFonts w:cs="Times New Roman"/>
          <w:color w:val="000000"/>
          <w:sz w:val="16"/>
          <w:szCs w:val="16"/>
          <w:shd w:val="clear" w:color="auto" w:fill="FFFFFF"/>
        </w:rPr>
        <w:t>détermination de la nécessité de tests sanguins (p. ex. monospot);</w:t>
      </w:r>
    </w:p>
    <w:p w:rsidR="00845E56" w:rsidRPr="00845E56" w:rsidRDefault="00845E56" w:rsidP="005D429F">
      <w:pPr>
        <w:numPr>
          <w:ilvl w:val="0"/>
          <w:numId w:val="881"/>
        </w:numPr>
        <w:shd w:val="clear" w:color="auto" w:fill="FFFFFF"/>
        <w:spacing w:before="100" w:beforeAutospacing="1" w:after="100" w:afterAutospacing="1" w:line="240" w:lineRule="auto"/>
        <w:rPr>
          <w:rFonts w:cs="Times New Roman"/>
          <w:color w:val="000000"/>
          <w:sz w:val="16"/>
          <w:szCs w:val="16"/>
          <w:shd w:val="clear" w:color="auto" w:fill="FFFFFF"/>
        </w:rPr>
      </w:pPr>
      <w:r w:rsidRPr="00845E56">
        <w:rPr>
          <w:rFonts w:cs="Times New Roman"/>
          <w:color w:val="000000"/>
          <w:sz w:val="16"/>
          <w:szCs w:val="16"/>
          <w:shd w:val="clear" w:color="auto" w:fill="FFFFFF"/>
        </w:rPr>
        <w:t>établir un plan efficace de prise en charge initiale, notamment :</w:t>
      </w:r>
    </w:p>
    <w:p w:rsidR="00845E56" w:rsidRPr="00845E56" w:rsidRDefault="00845E56" w:rsidP="005D429F">
      <w:pPr>
        <w:numPr>
          <w:ilvl w:val="1"/>
          <w:numId w:val="881"/>
        </w:numPr>
        <w:shd w:val="clear" w:color="auto" w:fill="FFFFFF"/>
        <w:spacing w:before="100" w:beforeAutospacing="1" w:after="100" w:afterAutospacing="1" w:line="240" w:lineRule="auto"/>
        <w:rPr>
          <w:rFonts w:cs="Times New Roman"/>
          <w:color w:val="000000"/>
          <w:sz w:val="16"/>
          <w:szCs w:val="16"/>
          <w:shd w:val="clear" w:color="auto" w:fill="FFFFFF"/>
        </w:rPr>
      </w:pPr>
      <w:r w:rsidRPr="00845E56">
        <w:rPr>
          <w:rFonts w:cs="Times New Roman"/>
          <w:color w:val="000000"/>
          <w:sz w:val="16"/>
          <w:szCs w:val="16"/>
          <w:shd w:val="clear" w:color="auto" w:fill="FFFFFF"/>
        </w:rPr>
        <w:t>veiller à l'utilisation appropriée des antibiotiques prescrits;</w:t>
      </w:r>
    </w:p>
    <w:p w:rsidR="00845E56" w:rsidRPr="00845E56" w:rsidRDefault="00845E56" w:rsidP="005D429F">
      <w:pPr>
        <w:numPr>
          <w:ilvl w:val="1"/>
          <w:numId w:val="881"/>
        </w:numPr>
        <w:shd w:val="clear" w:color="auto" w:fill="FFFFFF"/>
        <w:spacing w:before="100" w:beforeAutospacing="1" w:after="100" w:afterAutospacing="1" w:line="240" w:lineRule="auto"/>
        <w:rPr>
          <w:rFonts w:cs="Times New Roman"/>
          <w:color w:val="000000"/>
          <w:sz w:val="16"/>
          <w:szCs w:val="16"/>
          <w:shd w:val="clear" w:color="auto" w:fill="FFFFFF"/>
        </w:rPr>
      </w:pPr>
      <w:r w:rsidRPr="00845E56">
        <w:rPr>
          <w:rFonts w:cs="Times New Roman"/>
          <w:color w:val="000000"/>
          <w:sz w:val="16"/>
          <w:szCs w:val="16"/>
          <w:shd w:val="clear" w:color="auto" w:fill="FFFFFF"/>
        </w:rPr>
        <w:t>connaître le rôle des antibiotiques (p. ex. prévention du rhumatisme articulaire aigu);</w:t>
      </w:r>
    </w:p>
    <w:p w:rsidR="00845E56" w:rsidRPr="00845E56" w:rsidRDefault="00845E56" w:rsidP="005D429F">
      <w:pPr>
        <w:numPr>
          <w:ilvl w:val="1"/>
          <w:numId w:val="881"/>
        </w:numPr>
        <w:shd w:val="clear" w:color="auto" w:fill="FFFFFF"/>
        <w:spacing w:before="100" w:beforeAutospacing="1" w:after="100" w:afterAutospacing="1" w:line="240" w:lineRule="auto"/>
        <w:rPr>
          <w:rFonts w:cs="Times New Roman"/>
          <w:color w:val="000000"/>
          <w:sz w:val="16"/>
          <w:szCs w:val="16"/>
          <w:shd w:val="clear" w:color="auto" w:fill="FFFFFF"/>
        </w:rPr>
      </w:pPr>
      <w:r w:rsidRPr="00845E56">
        <w:rPr>
          <w:rFonts w:cs="Times New Roman"/>
          <w:color w:val="000000"/>
          <w:sz w:val="16"/>
          <w:szCs w:val="16"/>
          <w:shd w:val="clear" w:color="auto" w:fill="FFFFFF"/>
        </w:rPr>
        <w:t>déterminer si le patient a besoin de soins spécialisés.</w:t>
      </w:r>
    </w:p>
    <w:p w:rsidR="00845E56" w:rsidRPr="00F00904" w:rsidRDefault="00F00904" w:rsidP="00F00904">
      <w:pPr>
        <w:pStyle w:val="Sansinterligne"/>
        <w:rPr>
          <w:b/>
          <w:sz w:val="28"/>
          <w:szCs w:val="28"/>
        </w:rPr>
      </w:pPr>
      <w:r w:rsidRPr="00F00904">
        <w:rPr>
          <w:b/>
          <w:sz w:val="28"/>
          <w:szCs w:val="28"/>
        </w:rPr>
        <w:t>Éléments-clefs de l’anamnèse et l’examen physique</w:t>
      </w:r>
    </w:p>
    <w:p w:rsidR="00F00904" w:rsidRDefault="000C6B94" w:rsidP="00F00904">
      <w:pPr>
        <w:pStyle w:val="Sansinterligne"/>
      </w:pPr>
      <w:r>
        <w:rPr>
          <w:noProof/>
          <w:lang w:eastAsia="fr-CA"/>
        </w:rPr>
        <w:drawing>
          <wp:anchor distT="0" distB="0" distL="114300" distR="114300" simplePos="0" relativeHeight="251920384" behindDoc="1" locked="0" layoutInCell="1" allowOverlap="1" wp14:anchorId="0B16F0CE" wp14:editId="0A20C71C">
            <wp:simplePos x="0" y="0"/>
            <wp:positionH relativeFrom="column">
              <wp:posOffset>3590925</wp:posOffset>
            </wp:positionH>
            <wp:positionV relativeFrom="paragraph">
              <wp:posOffset>142875</wp:posOffset>
            </wp:positionV>
            <wp:extent cx="3377565" cy="2943860"/>
            <wp:effectExtent l="0" t="0" r="0" b="8890"/>
            <wp:wrapNone/>
            <wp:docPr id="438" name="Imag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hinite.PNG"/>
                    <pic:cNvPicPr/>
                  </pic:nvPicPr>
                  <pic:blipFill>
                    <a:blip r:embed="rId335">
                      <a:extLst>
                        <a:ext uri="{28A0092B-C50C-407E-A947-70E740481C1C}">
                          <a14:useLocalDpi xmlns:a14="http://schemas.microsoft.com/office/drawing/2010/main" val="0"/>
                        </a:ext>
                      </a:extLst>
                    </a:blip>
                    <a:stretch>
                      <a:fillRect/>
                    </a:stretch>
                  </pic:blipFill>
                  <pic:spPr>
                    <a:xfrm>
                      <a:off x="0" y="0"/>
                      <a:ext cx="3377565" cy="2943860"/>
                    </a:xfrm>
                    <a:prstGeom prst="rect">
                      <a:avLst/>
                    </a:prstGeom>
                  </pic:spPr>
                </pic:pic>
              </a:graphicData>
            </a:graphic>
            <wp14:sizeRelH relativeFrom="page">
              <wp14:pctWidth>0</wp14:pctWidth>
            </wp14:sizeRelH>
            <wp14:sizeRelV relativeFrom="page">
              <wp14:pctHeight>0</wp14:pctHeight>
            </wp14:sizeRelV>
          </wp:anchor>
        </w:drawing>
      </w:r>
    </w:p>
    <w:p w:rsidR="00F00904" w:rsidRPr="000C6B94" w:rsidRDefault="006A53E2" w:rsidP="00F00904">
      <w:pPr>
        <w:pStyle w:val="Sansinterligne"/>
        <w:rPr>
          <w:u w:val="single"/>
        </w:rPr>
      </w:pPr>
      <w:r w:rsidRPr="000C6B94">
        <w:rPr>
          <w:u w:val="single"/>
        </w:rPr>
        <w:t>Anamnèse</w:t>
      </w:r>
    </w:p>
    <w:p w:rsidR="006A53E2" w:rsidRDefault="006A53E2" w:rsidP="005D429F">
      <w:pPr>
        <w:pStyle w:val="Sansinterligne"/>
        <w:numPr>
          <w:ilvl w:val="0"/>
          <w:numId w:val="912"/>
        </w:numPr>
      </w:pPr>
      <w:r>
        <w:t>Prése</w:t>
      </w:r>
      <w:r w:rsidR="000C6B94">
        <w:t>nce de Sx grippaux</w:t>
      </w:r>
      <w:r>
        <w:t xml:space="preserve"> (toux, rhinorrhée,</w:t>
      </w:r>
      <w:r w:rsidR="000C6B94">
        <w:t xml:space="preserve"> myalgies, frissons</w:t>
      </w:r>
      <w:r>
        <w:t xml:space="preserve">) </w:t>
      </w:r>
    </w:p>
    <w:p w:rsidR="006A53E2" w:rsidRDefault="006A53E2" w:rsidP="005D429F">
      <w:pPr>
        <w:pStyle w:val="Sansinterligne"/>
        <w:numPr>
          <w:ilvl w:val="1"/>
          <w:numId w:val="912"/>
        </w:numPr>
      </w:pPr>
      <w:r>
        <w:t>Étiologie virale plus probable</w:t>
      </w:r>
      <w:r w:rsidR="000C6B94">
        <w:t xml:space="preserve"> / mononucléose</w:t>
      </w:r>
    </w:p>
    <w:p w:rsidR="006A53E2" w:rsidRDefault="006A53E2" w:rsidP="005D429F">
      <w:pPr>
        <w:pStyle w:val="Sansinterligne"/>
        <w:numPr>
          <w:ilvl w:val="0"/>
          <w:numId w:val="912"/>
        </w:numPr>
      </w:pPr>
      <w:r>
        <w:t>Fièvre (étiologie bactérienne + probable)</w:t>
      </w:r>
    </w:p>
    <w:p w:rsidR="006A53E2" w:rsidRDefault="006A53E2" w:rsidP="005D429F">
      <w:pPr>
        <w:pStyle w:val="Sansinterligne"/>
        <w:numPr>
          <w:ilvl w:val="0"/>
          <w:numId w:val="912"/>
        </w:numPr>
      </w:pPr>
      <w:r>
        <w:t xml:space="preserve">Lymphadénopathies </w:t>
      </w:r>
    </w:p>
    <w:p w:rsidR="006A53E2" w:rsidRDefault="006A53E2" w:rsidP="005D429F">
      <w:pPr>
        <w:pStyle w:val="Sansinterligne"/>
        <w:numPr>
          <w:ilvl w:val="1"/>
          <w:numId w:val="912"/>
        </w:numPr>
      </w:pPr>
      <w:r>
        <w:t>Envisager Mononucléose et pharyngite</w:t>
      </w:r>
    </w:p>
    <w:p w:rsidR="006A53E2" w:rsidRDefault="006A53E2" w:rsidP="005D429F">
      <w:pPr>
        <w:pStyle w:val="Sansinterligne"/>
        <w:numPr>
          <w:ilvl w:val="0"/>
          <w:numId w:val="912"/>
        </w:numPr>
      </w:pPr>
      <w:r>
        <w:t>Histoire d’allergie / ATCD d’atopie</w:t>
      </w:r>
    </w:p>
    <w:p w:rsidR="006A53E2" w:rsidRDefault="006A53E2" w:rsidP="005D429F">
      <w:pPr>
        <w:pStyle w:val="Sansinterligne"/>
        <w:numPr>
          <w:ilvl w:val="0"/>
          <w:numId w:val="912"/>
        </w:numPr>
      </w:pPr>
      <w:r>
        <w:t>Exposition à un allergène (rhinite allergique)</w:t>
      </w:r>
    </w:p>
    <w:p w:rsidR="006A53E2" w:rsidRPr="000C6B94" w:rsidRDefault="006A53E2" w:rsidP="00F00904">
      <w:pPr>
        <w:pStyle w:val="Sansinterligne"/>
        <w:rPr>
          <w:sz w:val="16"/>
          <w:szCs w:val="16"/>
        </w:rPr>
      </w:pPr>
    </w:p>
    <w:p w:rsidR="006A53E2" w:rsidRPr="000C6B94" w:rsidRDefault="006A53E2" w:rsidP="00F00904">
      <w:pPr>
        <w:pStyle w:val="Sansinterligne"/>
        <w:rPr>
          <w:u w:val="single"/>
        </w:rPr>
      </w:pPr>
      <w:r w:rsidRPr="000C6B94">
        <w:rPr>
          <w:u w:val="single"/>
        </w:rPr>
        <w:t>Examen physique</w:t>
      </w:r>
    </w:p>
    <w:p w:rsidR="006A53E2" w:rsidRDefault="006A53E2" w:rsidP="005D429F">
      <w:pPr>
        <w:pStyle w:val="Sansinterligne"/>
        <w:numPr>
          <w:ilvl w:val="0"/>
          <w:numId w:val="913"/>
        </w:numPr>
      </w:pPr>
      <w:r>
        <w:t>Exsudats (pharyngo-amygdalite, mononucléose, diphtérie)</w:t>
      </w:r>
    </w:p>
    <w:p w:rsidR="006A53E2" w:rsidRDefault="006A53E2" w:rsidP="005D429F">
      <w:pPr>
        <w:pStyle w:val="Sansinterligne"/>
        <w:numPr>
          <w:ilvl w:val="0"/>
          <w:numId w:val="913"/>
        </w:numPr>
      </w:pPr>
      <w:r>
        <w:t>Dépôts blanchâtres cotonneux (muguet / candidase)</w:t>
      </w:r>
    </w:p>
    <w:p w:rsidR="000C6B94" w:rsidRDefault="000C6B94" w:rsidP="005D429F">
      <w:pPr>
        <w:pStyle w:val="Sansinterligne"/>
        <w:numPr>
          <w:ilvl w:val="0"/>
          <w:numId w:val="913"/>
        </w:numPr>
      </w:pPr>
      <w:r>
        <w:t>Recherche d’atteinte cutanée</w:t>
      </w:r>
    </w:p>
    <w:p w:rsidR="006A53E2" w:rsidRDefault="000C6B94" w:rsidP="005D429F">
      <w:pPr>
        <w:pStyle w:val="Sansinterligne"/>
        <w:numPr>
          <w:ilvl w:val="0"/>
          <w:numId w:val="913"/>
        </w:numPr>
      </w:pPr>
      <w:r>
        <w:t xml:space="preserve">Éliminer compromis respiratoire </w:t>
      </w:r>
    </w:p>
    <w:p w:rsidR="000C6B94" w:rsidRDefault="000C6B94" w:rsidP="005D429F">
      <w:pPr>
        <w:pStyle w:val="Sansinterligne"/>
        <w:numPr>
          <w:ilvl w:val="0"/>
          <w:numId w:val="913"/>
        </w:numPr>
      </w:pPr>
      <w:r>
        <w:t xml:space="preserve">NE PAS EXAMINER LE PHARYNX si suspicion </w:t>
      </w:r>
    </w:p>
    <w:p w:rsidR="00D4109D" w:rsidRDefault="000C6B94" w:rsidP="00C63AFC">
      <w:pPr>
        <w:pStyle w:val="Sansinterligne"/>
        <w:ind w:left="360"/>
      </w:pPr>
      <w:r>
        <w:t>d’épiglottite ou d’abcès</w:t>
      </w:r>
      <w:r w:rsidR="00C63AFC">
        <w:t xml:space="preserve"> rétropharyngé</w:t>
      </w:r>
    </w:p>
    <w:p w:rsidR="00F00904" w:rsidRPr="000C6B94" w:rsidRDefault="00F00904" w:rsidP="00F00904">
      <w:pPr>
        <w:pStyle w:val="Sansinterligne"/>
        <w:rPr>
          <w:sz w:val="16"/>
          <w:szCs w:val="16"/>
        </w:rPr>
      </w:pPr>
    </w:p>
    <w:p w:rsidR="00F00904" w:rsidRPr="00F00904" w:rsidRDefault="00F00904" w:rsidP="00F00904">
      <w:pPr>
        <w:pStyle w:val="Sansinterligne"/>
        <w:rPr>
          <w:b/>
          <w:sz w:val="28"/>
          <w:szCs w:val="28"/>
        </w:rPr>
      </w:pPr>
      <w:r w:rsidRPr="00F00904">
        <w:rPr>
          <w:b/>
          <w:sz w:val="28"/>
          <w:szCs w:val="28"/>
        </w:rPr>
        <w:t>Diagnostics</w:t>
      </w:r>
    </w:p>
    <w:p w:rsidR="00F00904" w:rsidRDefault="00F00904" w:rsidP="00F00904">
      <w:pPr>
        <w:pStyle w:val="Sansinterligne"/>
      </w:pPr>
    </w:p>
    <w:tbl>
      <w:tblPr>
        <w:tblStyle w:val="Grilledutableau"/>
        <w:tblW w:w="0" w:type="auto"/>
        <w:tblLook w:val="04A0" w:firstRow="1" w:lastRow="0" w:firstColumn="1" w:lastColumn="0" w:noHBand="0" w:noVBand="1"/>
      </w:tblPr>
      <w:tblGrid>
        <w:gridCol w:w="2660"/>
        <w:gridCol w:w="8356"/>
      </w:tblGrid>
      <w:tr w:rsidR="000A0FF2" w:rsidRPr="000A0FF2" w:rsidTr="000A0FF2">
        <w:tc>
          <w:tcPr>
            <w:tcW w:w="11016" w:type="dxa"/>
            <w:gridSpan w:val="2"/>
            <w:shd w:val="clear" w:color="auto" w:fill="FFC000"/>
          </w:tcPr>
          <w:p w:rsidR="000A0FF2" w:rsidRPr="000A0FF2" w:rsidRDefault="000A0FF2" w:rsidP="000A0FF2">
            <w:pPr>
              <w:pStyle w:val="Sansinterligne"/>
              <w:jc w:val="center"/>
            </w:pPr>
            <w:r>
              <w:t>Rhinorrhée</w:t>
            </w:r>
          </w:p>
        </w:tc>
      </w:tr>
      <w:tr w:rsidR="000A0FF2" w:rsidRPr="000A0FF2" w:rsidTr="000A0FF2">
        <w:tc>
          <w:tcPr>
            <w:tcW w:w="2660" w:type="dxa"/>
            <w:shd w:val="clear" w:color="auto" w:fill="9BBB59" w:themeFill="accent3"/>
          </w:tcPr>
          <w:p w:rsidR="000A0FF2" w:rsidRPr="000A0FF2" w:rsidRDefault="000A0FF2" w:rsidP="000A0FF2">
            <w:pPr>
              <w:pStyle w:val="Sansinterligne"/>
              <w:jc w:val="center"/>
              <w:rPr>
                <w:i/>
              </w:rPr>
            </w:pPr>
            <w:r w:rsidRPr="000A0FF2">
              <w:rPr>
                <w:i/>
              </w:rPr>
              <w:t>Diagnostic</w:t>
            </w:r>
          </w:p>
        </w:tc>
        <w:tc>
          <w:tcPr>
            <w:tcW w:w="8356" w:type="dxa"/>
            <w:shd w:val="clear" w:color="auto" w:fill="9BBB59" w:themeFill="accent3"/>
          </w:tcPr>
          <w:p w:rsidR="000A0FF2" w:rsidRPr="000A0FF2" w:rsidRDefault="000A0FF2" w:rsidP="000A0FF2">
            <w:pPr>
              <w:pStyle w:val="Sansinterligne"/>
              <w:jc w:val="center"/>
              <w:rPr>
                <w:i/>
              </w:rPr>
            </w:pPr>
            <w:r w:rsidRPr="000A0FF2">
              <w:rPr>
                <w:i/>
              </w:rPr>
              <w:t>Manifestations cliniques</w:t>
            </w:r>
          </w:p>
        </w:tc>
      </w:tr>
      <w:tr w:rsidR="006F5669" w:rsidRPr="000A0FF2" w:rsidTr="006F5669">
        <w:tc>
          <w:tcPr>
            <w:tcW w:w="2660" w:type="dxa"/>
            <w:shd w:val="clear" w:color="auto" w:fill="C2D69B" w:themeFill="accent3" w:themeFillTint="99"/>
          </w:tcPr>
          <w:p w:rsidR="006F5669" w:rsidRPr="000A0FF2" w:rsidRDefault="006F5669" w:rsidP="00A56E67">
            <w:pPr>
              <w:pStyle w:val="Sansinterligne"/>
            </w:pPr>
            <w:r w:rsidRPr="000A0FF2">
              <w:t>Rhinite allergique</w:t>
            </w:r>
          </w:p>
        </w:tc>
        <w:tc>
          <w:tcPr>
            <w:tcW w:w="8356" w:type="dxa"/>
            <w:vMerge w:val="restart"/>
            <w:vAlign w:val="center"/>
          </w:tcPr>
          <w:p w:rsidR="006F5669" w:rsidRPr="000A0FF2" w:rsidRDefault="006F5669" w:rsidP="006F5669">
            <w:pPr>
              <w:pStyle w:val="Sansinterligne"/>
              <w:jc w:val="center"/>
            </w:pPr>
            <w:r>
              <w:t xml:space="preserve">Voir </w:t>
            </w:r>
            <w:r w:rsidRPr="006F5669">
              <w:rPr>
                <w:i/>
              </w:rPr>
              <w:t>Dysfonction olfactive gustative CMC 100-1</w:t>
            </w:r>
          </w:p>
        </w:tc>
      </w:tr>
      <w:tr w:rsidR="006F5669" w:rsidRPr="000A0FF2" w:rsidTr="000A0FF2">
        <w:tc>
          <w:tcPr>
            <w:tcW w:w="2660" w:type="dxa"/>
            <w:shd w:val="clear" w:color="auto" w:fill="C2D69B" w:themeFill="accent3" w:themeFillTint="99"/>
          </w:tcPr>
          <w:p w:rsidR="006F5669" w:rsidRPr="000A0FF2" w:rsidRDefault="006F5669" w:rsidP="00A56E67">
            <w:pPr>
              <w:pStyle w:val="Sansinterligne"/>
            </w:pPr>
            <w:r w:rsidRPr="000A0FF2">
              <w:t>Rhinite virale</w:t>
            </w:r>
          </w:p>
        </w:tc>
        <w:tc>
          <w:tcPr>
            <w:tcW w:w="8356" w:type="dxa"/>
            <w:vMerge/>
          </w:tcPr>
          <w:p w:rsidR="006F5669" w:rsidRPr="000A0FF2" w:rsidRDefault="006F5669" w:rsidP="00A56E67">
            <w:pPr>
              <w:pStyle w:val="Sansinterligne"/>
            </w:pPr>
          </w:p>
        </w:tc>
      </w:tr>
      <w:tr w:rsidR="006F5669" w:rsidRPr="000A0FF2" w:rsidTr="000A0FF2">
        <w:tc>
          <w:tcPr>
            <w:tcW w:w="2660" w:type="dxa"/>
            <w:shd w:val="clear" w:color="auto" w:fill="C2D69B" w:themeFill="accent3" w:themeFillTint="99"/>
          </w:tcPr>
          <w:p w:rsidR="006F5669" w:rsidRPr="000A0FF2" w:rsidRDefault="006F5669" w:rsidP="00A56E67">
            <w:pPr>
              <w:pStyle w:val="Sansinterligne"/>
            </w:pPr>
            <w:r w:rsidRPr="000A0FF2">
              <w:t>Sinusite</w:t>
            </w:r>
          </w:p>
        </w:tc>
        <w:tc>
          <w:tcPr>
            <w:tcW w:w="8356" w:type="dxa"/>
            <w:vMerge/>
          </w:tcPr>
          <w:p w:rsidR="006F5669" w:rsidRPr="000A0FF2" w:rsidRDefault="006F5669" w:rsidP="00A56E67">
            <w:pPr>
              <w:pStyle w:val="Sansinterligne"/>
            </w:pPr>
          </w:p>
        </w:tc>
      </w:tr>
    </w:tbl>
    <w:p w:rsidR="000A0FF2" w:rsidRDefault="000A0FF2" w:rsidP="00F00904">
      <w:pPr>
        <w:pStyle w:val="Sansinterligne"/>
      </w:pPr>
    </w:p>
    <w:tbl>
      <w:tblPr>
        <w:tblStyle w:val="Grilledutableau"/>
        <w:tblW w:w="0" w:type="auto"/>
        <w:tblLook w:val="04A0" w:firstRow="1" w:lastRow="0" w:firstColumn="1" w:lastColumn="0" w:noHBand="0" w:noVBand="1"/>
      </w:tblPr>
      <w:tblGrid>
        <w:gridCol w:w="2660"/>
        <w:gridCol w:w="4140"/>
        <w:gridCol w:w="4140"/>
        <w:gridCol w:w="76"/>
      </w:tblGrid>
      <w:tr w:rsidR="000A0FF2" w:rsidRPr="000A0FF2" w:rsidTr="000A0FF2">
        <w:tc>
          <w:tcPr>
            <w:tcW w:w="11016" w:type="dxa"/>
            <w:gridSpan w:val="4"/>
            <w:shd w:val="clear" w:color="auto" w:fill="FFC000"/>
          </w:tcPr>
          <w:p w:rsidR="000A0FF2" w:rsidRPr="000A0FF2" w:rsidRDefault="000A0FF2" w:rsidP="00A56E67">
            <w:pPr>
              <w:pStyle w:val="Sansinterligne"/>
              <w:jc w:val="center"/>
            </w:pPr>
            <w:r>
              <w:t>Mal de gorge</w:t>
            </w:r>
          </w:p>
        </w:tc>
      </w:tr>
      <w:tr w:rsidR="000A0FF2" w:rsidRPr="000A0FF2" w:rsidTr="000A0FF2">
        <w:tc>
          <w:tcPr>
            <w:tcW w:w="2660" w:type="dxa"/>
            <w:shd w:val="clear" w:color="auto" w:fill="9BBB59" w:themeFill="accent3"/>
          </w:tcPr>
          <w:p w:rsidR="000A0FF2" w:rsidRPr="000A0FF2" w:rsidRDefault="000A0FF2" w:rsidP="000A0FF2">
            <w:pPr>
              <w:pStyle w:val="Sansinterligne"/>
              <w:jc w:val="center"/>
              <w:rPr>
                <w:i/>
              </w:rPr>
            </w:pPr>
            <w:r w:rsidRPr="000A0FF2">
              <w:rPr>
                <w:i/>
              </w:rPr>
              <w:t>Diagnostic</w:t>
            </w:r>
          </w:p>
        </w:tc>
        <w:tc>
          <w:tcPr>
            <w:tcW w:w="8356" w:type="dxa"/>
            <w:gridSpan w:val="3"/>
            <w:shd w:val="clear" w:color="auto" w:fill="9BBB59" w:themeFill="accent3"/>
          </w:tcPr>
          <w:p w:rsidR="000A0FF2" w:rsidRPr="000A0FF2" w:rsidRDefault="000A0FF2" w:rsidP="000A0FF2">
            <w:pPr>
              <w:pStyle w:val="Sansinterligne"/>
              <w:jc w:val="center"/>
              <w:rPr>
                <w:i/>
              </w:rPr>
            </w:pPr>
            <w:r w:rsidRPr="000A0FF2">
              <w:rPr>
                <w:i/>
              </w:rPr>
              <w:t>Manifestations cliniques</w:t>
            </w:r>
          </w:p>
        </w:tc>
      </w:tr>
      <w:tr w:rsidR="00CF20E6" w:rsidTr="008E104E">
        <w:trPr>
          <w:gridAfter w:val="1"/>
          <w:wAfter w:w="76" w:type="dxa"/>
        </w:trPr>
        <w:tc>
          <w:tcPr>
            <w:tcW w:w="2660" w:type="dxa"/>
            <w:shd w:val="clear" w:color="auto" w:fill="C2D69B" w:themeFill="accent3" w:themeFillTint="99"/>
            <w:vAlign w:val="center"/>
          </w:tcPr>
          <w:p w:rsidR="00CF20E6" w:rsidRPr="000A0FF2" w:rsidRDefault="00CF20E6" w:rsidP="00CF20E6">
            <w:pPr>
              <w:pStyle w:val="Sansinterligne"/>
              <w:jc w:val="center"/>
            </w:pPr>
            <w:r w:rsidRPr="000A0FF2">
              <w:t>Pharyngite virale</w:t>
            </w:r>
            <w:r>
              <w:t xml:space="preserve"> (80%)</w:t>
            </w:r>
          </w:p>
        </w:tc>
        <w:tc>
          <w:tcPr>
            <w:tcW w:w="4140" w:type="dxa"/>
            <w:tcBorders>
              <w:top w:val="single" w:sz="4" w:space="0" w:color="auto"/>
              <w:bottom w:val="single" w:sz="4" w:space="0" w:color="auto"/>
              <w:right w:val="nil"/>
            </w:tcBorders>
            <w:shd w:val="clear" w:color="auto" w:fill="FFFF00"/>
          </w:tcPr>
          <w:p w:rsidR="00CF20E6" w:rsidRDefault="008E104E" w:rsidP="005D429F">
            <w:pPr>
              <w:pStyle w:val="Sansinterligne"/>
              <w:numPr>
                <w:ilvl w:val="0"/>
                <w:numId w:val="898"/>
              </w:numPr>
            </w:pPr>
            <w:r>
              <w:t>Mal de gorge léger</w:t>
            </w:r>
          </w:p>
          <w:p w:rsidR="00CF20E6" w:rsidRDefault="00CF20E6" w:rsidP="005D429F">
            <w:pPr>
              <w:pStyle w:val="Sansinterligne"/>
              <w:numPr>
                <w:ilvl w:val="0"/>
                <w:numId w:val="898"/>
              </w:numPr>
            </w:pPr>
            <w:r>
              <w:t>Toux</w:t>
            </w:r>
          </w:p>
          <w:p w:rsidR="00CF20E6" w:rsidRDefault="00CF20E6" w:rsidP="005D429F">
            <w:pPr>
              <w:pStyle w:val="Sansinterligne"/>
              <w:numPr>
                <w:ilvl w:val="0"/>
                <w:numId w:val="898"/>
              </w:numPr>
            </w:pPr>
            <w:r>
              <w:t>Rhinorrhée</w:t>
            </w:r>
            <w:r w:rsidR="00C56802">
              <w:t xml:space="preserve"> / hyperhémie conjonctivale</w:t>
            </w:r>
          </w:p>
          <w:p w:rsidR="008E104E" w:rsidRDefault="008E104E" w:rsidP="005D429F">
            <w:pPr>
              <w:pStyle w:val="Sansinterligne"/>
              <w:numPr>
                <w:ilvl w:val="0"/>
                <w:numId w:val="898"/>
              </w:numPr>
            </w:pPr>
            <w:r>
              <w:t>Voix rauque</w:t>
            </w:r>
          </w:p>
        </w:tc>
        <w:tc>
          <w:tcPr>
            <w:tcW w:w="4140" w:type="dxa"/>
            <w:tcBorders>
              <w:top w:val="single" w:sz="4" w:space="0" w:color="auto"/>
              <w:left w:val="nil"/>
              <w:bottom w:val="single" w:sz="4" w:space="0" w:color="auto"/>
              <w:right w:val="single" w:sz="4" w:space="0" w:color="auto"/>
            </w:tcBorders>
            <w:shd w:val="clear" w:color="auto" w:fill="FFFF00"/>
          </w:tcPr>
          <w:p w:rsidR="00CF20E6" w:rsidRDefault="00CF20E6" w:rsidP="005D429F">
            <w:pPr>
              <w:pStyle w:val="Sansinterligne"/>
              <w:numPr>
                <w:ilvl w:val="0"/>
                <w:numId w:val="898"/>
              </w:numPr>
            </w:pPr>
            <w:r>
              <w:t>Parfois diarrhées et symptômes grippaux (myalgies, malaise, fièvre)</w:t>
            </w:r>
          </w:p>
          <w:p w:rsidR="008E104E" w:rsidRDefault="008E104E" w:rsidP="005D429F">
            <w:pPr>
              <w:pStyle w:val="Sansinterligne"/>
              <w:numPr>
                <w:ilvl w:val="0"/>
                <w:numId w:val="898"/>
              </w:numPr>
            </w:pPr>
            <w:r>
              <w:t>Exanthème viral</w:t>
            </w:r>
          </w:p>
          <w:p w:rsidR="008E104E" w:rsidRDefault="008E104E" w:rsidP="005D429F">
            <w:pPr>
              <w:pStyle w:val="Sansinterligne"/>
              <w:numPr>
                <w:ilvl w:val="0"/>
                <w:numId w:val="898"/>
              </w:numPr>
            </w:pPr>
            <w:r>
              <w:t>Petites adénopathies non-douloureuses</w:t>
            </w:r>
          </w:p>
        </w:tc>
      </w:tr>
      <w:tr w:rsidR="008E104E" w:rsidTr="00C42DB9">
        <w:trPr>
          <w:gridAfter w:val="1"/>
          <w:wAfter w:w="76" w:type="dxa"/>
        </w:trPr>
        <w:tc>
          <w:tcPr>
            <w:tcW w:w="2660" w:type="dxa"/>
            <w:shd w:val="clear" w:color="auto" w:fill="C2D69B" w:themeFill="accent3" w:themeFillTint="99"/>
            <w:vAlign w:val="center"/>
          </w:tcPr>
          <w:p w:rsidR="008E104E" w:rsidRDefault="008E104E" w:rsidP="00CF20E6">
            <w:pPr>
              <w:pStyle w:val="Sansinterligne"/>
              <w:jc w:val="center"/>
            </w:pPr>
            <w:r w:rsidRPr="000A0FF2">
              <w:t>Mononucléose infectieuse</w:t>
            </w:r>
          </w:p>
          <w:p w:rsidR="00C42DB9" w:rsidRPr="00C42DB9" w:rsidRDefault="00C42DB9" w:rsidP="00C42DB9">
            <w:pPr>
              <w:pStyle w:val="Sansinterligne"/>
              <w:jc w:val="center"/>
              <w:rPr>
                <w:i/>
              </w:rPr>
            </w:pPr>
            <w:r w:rsidRPr="00C42DB9">
              <w:rPr>
                <w:i/>
              </w:rPr>
              <w:t>Virus d’Epstein-Barr</w:t>
            </w:r>
          </w:p>
        </w:tc>
        <w:tc>
          <w:tcPr>
            <w:tcW w:w="4140" w:type="dxa"/>
            <w:tcBorders>
              <w:top w:val="single" w:sz="4" w:space="0" w:color="auto"/>
              <w:bottom w:val="single" w:sz="4" w:space="0" w:color="auto"/>
              <w:right w:val="nil"/>
            </w:tcBorders>
            <w:shd w:val="clear" w:color="auto" w:fill="FFFF00"/>
          </w:tcPr>
          <w:p w:rsidR="008E104E" w:rsidRDefault="008E104E" w:rsidP="005D429F">
            <w:pPr>
              <w:pStyle w:val="Sansinterligne"/>
              <w:numPr>
                <w:ilvl w:val="0"/>
                <w:numId w:val="899"/>
              </w:numPr>
            </w:pPr>
            <w:r>
              <w:t>15-19 ans (pic d’incidence)</w:t>
            </w:r>
          </w:p>
          <w:p w:rsidR="008E104E" w:rsidRDefault="008E104E" w:rsidP="005D429F">
            <w:pPr>
              <w:pStyle w:val="Sansinterligne"/>
              <w:numPr>
                <w:ilvl w:val="0"/>
                <w:numId w:val="899"/>
              </w:numPr>
            </w:pPr>
            <w:r>
              <w:t>FR : actif sexuellement, multiples partenaires</w:t>
            </w:r>
          </w:p>
          <w:p w:rsidR="008E104E" w:rsidRDefault="008E104E" w:rsidP="005D429F">
            <w:pPr>
              <w:pStyle w:val="Sansinterligne"/>
              <w:numPr>
                <w:ilvl w:val="0"/>
                <w:numId w:val="899"/>
              </w:numPr>
            </w:pPr>
            <w:r>
              <w:t>Hx de contact infectieux +</w:t>
            </w:r>
          </w:p>
          <w:p w:rsidR="008E104E" w:rsidRPr="008E104E" w:rsidRDefault="008E104E" w:rsidP="005D429F">
            <w:pPr>
              <w:pStyle w:val="Sansinterligne"/>
              <w:numPr>
                <w:ilvl w:val="0"/>
                <w:numId w:val="899"/>
              </w:numPr>
              <w:rPr>
                <w:b/>
              </w:rPr>
            </w:pPr>
            <w:r w:rsidRPr="008E104E">
              <w:rPr>
                <w:b/>
              </w:rPr>
              <w:t>2-3 jours de malaise, anorexie, fatigue</w:t>
            </w:r>
          </w:p>
          <w:p w:rsidR="008E104E" w:rsidRPr="008E104E" w:rsidRDefault="008E104E" w:rsidP="005D429F">
            <w:pPr>
              <w:pStyle w:val="Sansinterligne"/>
              <w:numPr>
                <w:ilvl w:val="0"/>
                <w:numId w:val="899"/>
              </w:numPr>
              <w:rPr>
                <w:b/>
              </w:rPr>
            </w:pPr>
            <w:r w:rsidRPr="008E104E">
              <w:rPr>
                <w:b/>
              </w:rPr>
              <w:t>Mal de gorge</w:t>
            </w:r>
          </w:p>
          <w:p w:rsidR="008E104E" w:rsidRDefault="008E104E" w:rsidP="005D429F">
            <w:pPr>
              <w:pStyle w:val="Sansinterligne"/>
              <w:numPr>
                <w:ilvl w:val="0"/>
                <w:numId w:val="899"/>
              </w:numPr>
            </w:pPr>
            <w:r>
              <w:t>Fièvre</w:t>
            </w:r>
          </w:p>
        </w:tc>
        <w:tc>
          <w:tcPr>
            <w:tcW w:w="4140" w:type="dxa"/>
            <w:tcBorders>
              <w:top w:val="single" w:sz="4" w:space="0" w:color="auto"/>
              <w:left w:val="nil"/>
              <w:bottom w:val="single" w:sz="4" w:space="0" w:color="auto"/>
              <w:right w:val="single" w:sz="4" w:space="0" w:color="auto"/>
            </w:tcBorders>
            <w:shd w:val="clear" w:color="auto" w:fill="FFFF00"/>
          </w:tcPr>
          <w:p w:rsidR="008E104E" w:rsidRDefault="008E104E" w:rsidP="005D429F">
            <w:pPr>
              <w:pStyle w:val="Sansinterligne"/>
              <w:numPr>
                <w:ilvl w:val="0"/>
                <w:numId w:val="899"/>
              </w:numPr>
            </w:pPr>
            <w:r>
              <w:t>Douleur (QSD)</w:t>
            </w:r>
            <w:r w:rsidR="006A7964">
              <w:t xml:space="preserve"> </w:t>
            </w:r>
            <w:r w:rsidR="006A7964">
              <w:rPr>
                <w:rFonts w:cs="Times New Roman"/>
              </w:rPr>
              <w:t>±</w:t>
            </w:r>
            <w:r w:rsidR="006A7964">
              <w:t xml:space="preserve"> hépatosplénomégalie</w:t>
            </w:r>
          </w:p>
          <w:p w:rsidR="008E104E" w:rsidRDefault="008E104E" w:rsidP="005D429F">
            <w:pPr>
              <w:pStyle w:val="Sansinterligne"/>
              <w:numPr>
                <w:ilvl w:val="0"/>
                <w:numId w:val="899"/>
              </w:numPr>
            </w:pPr>
            <w:r>
              <w:t>Céphalées</w:t>
            </w:r>
          </w:p>
          <w:p w:rsidR="008E104E" w:rsidRDefault="008E104E" w:rsidP="005D429F">
            <w:pPr>
              <w:pStyle w:val="Sansinterligne"/>
              <w:numPr>
                <w:ilvl w:val="0"/>
                <w:numId w:val="899"/>
              </w:numPr>
            </w:pPr>
            <w:r>
              <w:t>Myalgies</w:t>
            </w:r>
          </w:p>
          <w:p w:rsidR="008E104E" w:rsidRPr="008E104E" w:rsidRDefault="008E104E" w:rsidP="005D429F">
            <w:pPr>
              <w:pStyle w:val="Sansinterligne"/>
              <w:numPr>
                <w:ilvl w:val="0"/>
                <w:numId w:val="899"/>
              </w:numPr>
              <w:rPr>
                <w:b/>
              </w:rPr>
            </w:pPr>
            <w:r w:rsidRPr="008E104E">
              <w:rPr>
                <w:b/>
              </w:rPr>
              <w:t>ADNP généralisées non-douloureuses</w:t>
            </w:r>
          </w:p>
          <w:p w:rsidR="008E104E" w:rsidRPr="008E104E" w:rsidRDefault="008E104E" w:rsidP="005D429F">
            <w:pPr>
              <w:pStyle w:val="Sansinterligne"/>
              <w:numPr>
                <w:ilvl w:val="0"/>
                <w:numId w:val="899"/>
              </w:numPr>
              <w:rPr>
                <w:b/>
              </w:rPr>
            </w:pPr>
            <w:r w:rsidRPr="008E104E">
              <w:rPr>
                <w:b/>
              </w:rPr>
              <w:t>Rash à la pénicilline (pathognomonique)</w:t>
            </w:r>
          </w:p>
          <w:p w:rsidR="008E104E" w:rsidRDefault="008E104E" w:rsidP="005D429F">
            <w:pPr>
              <w:pStyle w:val="Sansinterligne"/>
              <w:numPr>
                <w:ilvl w:val="0"/>
                <w:numId w:val="899"/>
              </w:numPr>
            </w:pPr>
            <w:r w:rsidRPr="008E104E">
              <w:rPr>
                <w:b/>
              </w:rPr>
              <w:t>Exsudats amygdaliens / pharyngés</w:t>
            </w:r>
          </w:p>
        </w:tc>
      </w:tr>
      <w:tr w:rsidR="00C42DB9" w:rsidTr="00C42DB9">
        <w:trPr>
          <w:gridAfter w:val="1"/>
          <w:wAfter w:w="76" w:type="dxa"/>
        </w:trPr>
        <w:tc>
          <w:tcPr>
            <w:tcW w:w="2660" w:type="dxa"/>
            <w:shd w:val="clear" w:color="auto" w:fill="C2D69B" w:themeFill="accent3" w:themeFillTint="99"/>
            <w:vAlign w:val="center"/>
          </w:tcPr>
          <w:p w:rsidR="00C42DB9" w:rsidRDefault="00C42DB9" w:rsidP="00CF20E6">
            <w:pPr>
              <w:pStyle w:val="Sansinterligne"/>
              <w:jc w:val="center"/>
            </w:pPr>
            <w:r w:rsidRPr="000A0FF2">
              <w:t>Pharyngite bactérienne</w:t>
            </w:r>
          </w:p>
          <w:p w:rsidR="00C42DB9" w:rsidRPr="00C42DB9" w:rsidRDefault="00C42DB9" w:rsidP="00CF20E6">
            <w:pPr>
              <w:pStyle w:val="Sansinterligne"/>
              <w:jc w:val="center"/>
              <w:rPr>
                <w:i/>
              </w:rPr>
            </w:pPr>
            <w:r w:rsidRPr="00C42DB9">
              <w:rPr>
                <w:i/>
              </w:rPr>
              <w:t>Streptoccocus pyogenes</w:t>
            </w:r>
          </w:p>
        </w:tc>
        <w:tc>
          <w:tcPr>
            <w:tcW w:w="4140" w:type="dxa"/>
            <w:tcBorders>
              <w:top w:val="single" w:sz="4" w:space="0" w:color="auto"/>
              <w:bottom w:val="single" w:sz="4" w:space="0" w:color="auto"/>
              <w:right w:val="nil"/>
            </w:tcBorders>
            <w:shd w:val="clear" w:color="auto" w:fill="FFFF00"/>
          </w:tcPr>
          <w:p w:rsidR="00C42DB9" w:rsidRDefault="00C42DB9" w:rsidP="005D429F">
            <w:pPr>
              <w:pStyle w:val="Sansinterligne"/>
              <w:numPr>
                <w:ilvl w:val="0"/>
                <w:numId w:val="900"/>
              </w:numPr>
            </w:pPr>
            <w:r>
              <w:t>Streptocoque du groupe A (SGA) surtout 5-12 ans</w:t>
            </w:r>
          </w:p>
          <w:p w:rsidR="00C42DB9" w:rsidRDefault="00C42DB9" w:rsidP="005D429F">
            <w:pPr>
              <w:pStyle w:val="Sansinterligne"/>
              <w:numPr>
                <w:ilvl w:val="0"/>
                <w:numId w:val="900"/>
              </w:numPr>
            </w:pPr>
            <w:r>
              <w:t>Surtout hiver et printemps</w:t>
            </w:r>
          </w:p>
          <w:p w:rsidR="00C42DB9" w:rsidRDefault="00C42DB9" w:rsidP="005D429F">
            <w:pPr>
              <w:pStyle w:val="Sansinterligne"/>
              <w:numPr>
                <w:ilvl w:val="0"/>
                <w:numId w:val="900"/>
              </w:numPr>
            </w:pPr>
            <w:r>
              <w:t>Mal de gorge sévère</w:t>
            </w:r>
          </w:p>
          <w:p w:rsidR="00C42DB9" w:rsidRDefault="00C42DB9" w:rsidP="005D429F">
            <w:pPr>
              <w:pStyle w:val="Sansinterligne"/>
              <w:numPr>
                <w:ilvl w:val="0"/>
                <w:numId w:val="900"/>
              </w:numPr>
            </w:pPr>
            <w:r>
              <w:t>Fièvre</w:t>
            </w:r>
          </w:p>
          <w:p w:rsidR="00C42DB9" w:rsidRDefault="00C42DB9" w:rsidP="005D429F">
            <w:pPr>
              <w:pStyle w:val="Sansinterligne"/>
              <w:numPr>
                <w:ilvl w:val="0"/>
                <w:numId w:val="900"/>
              </w:numPr>
            </w:pPr>
            <w:r>
              <w:t>Malaise</w:t>
            </w:r>
          </w:p>
          <w:p w:rsidR="00C42DB9" w:rsidRDefault="00C42DB9" w:rsidP="005D429F">
            <w:pPr>
              <w:pStyle w:val="Sansinterligne"/>
              <w:numPr>
                <w:ilvl w:val="0"/>
                <w:numId w:val="900"/>
              </w:numPr>
            </w:pPr>
            <w:r>
              <w:t>Céphalée</w:t>
            </w:r>
          </w:p>
          <w:p w:rsidR="00C42DB9" w:rsidRDefault="00C42DB9" w:rsidP="005D429F">
            <w:pPr>
              <w:pStyle w:val="Sansinterligne"/>
              <w:numPr>
                <w:ilvl w:val="0"/>
                <w:numId w:val="900"/>
              </w:numPr>
            </w:pPr>
            <w:r>
              <w:t>Douleur abdominale</w:t>
            </w:r>
          </w:p>
        </w:tc>
        <w:tc>
          <w:tcPr>
            <w:tcW w:w="4140" w:type="dxa"/>
            <w:tcBorders>
              <w:top w:val="single" w:sz="4" w:space="0" w:color="auto"/>
              <w:left w:val="nil"/>
              <w:bottom w:val="single" w:sz="4" w:space="0" w:color="auto"/>
              <w:right w:val="single" w:sz="4" w:space="0" w:color="auto"/>
            </w:tcBorders>
            <w:shd w:val="clear" w:color="auto" w:fill="FFFF00"/>
          </w:tcPr>
          <w:p w:rsidR="00C42DB9" w:rsidRDefault="00C42DB9" w:rsidP="005D429F">
            <w:pPr>
              <w:pStyle w:val="Sansinterligne"/>
              <w:numPr>
                <w:ilvl w:val="0"/>
                <w:numId w:val="900"/>
              </w:numPr>
            </w:pPr>
            <w:r>
              <w:t>No/Vo</w:t>
            </w:r>
          </w:p>
          <w:p w:rsidR="00C42DB9" w:rsidRDefault="00C42DB9" w:rsidP="005D429F">
            <w:pPr>
              <w:pStyle w:val="Sansinterligne"/>
              <w:numPr>
                <w:ilvl w:val="0"/>
                <w:numId w:val="900"/>
              </w:numPr>
            </w:pPr>
            <w:r>
              <w:t>Absence de Sx d’IVRS (toux, rhinorrhée)</w:t>
            </w:r>
          </w:p>
          <w:p w:rsidR="00C42DB9" w:rsidRDefault="00C42DB9" w:rsidP="005D429F">
            <w:pPr>
              <w:pStyle w:val="Sansinterligne"/>
              <w:numPr>
                <w:ilvl w:val="0"/>
                <w:numId w:val="900"/>
              </w:numPr>
            </w:pPr>
            <w:r>
              <w:t>Érythème pharyngé</w:t>
            </w:r>
          </w:p>
          <w:p w:rsidR="00C42DB9" w:rsidRDefault="00C42DB9" w:rsidP="005D429F">
            <w:pPr>
              <w:pStyle w:val="Sansinterligne"/>
              <w:numPr>
                <w:ilvl w:val="0"/>
                <w:numId w:val="900"/>
              </w:numPr>
            </w:pPr>
            <w:r>
              <w:t>Exsudats</w:t>
            </w:r>
          </w:p>
          <w:p w:rsidR="00C42DB9" w:rsidRDefault="00C42DB9" w:rsidP="005D429F">
            <w:pPr>
              <w:pStyle w:val="Sansinterligne"/>
              <w:numPr>
                <w:ilvl w:val="0"/>
                <w:numId w:val="900"/>
              </w:numPr>
            </w:pPr>
            <w:r>
              <w:t>ADNP cervicales antérieures douloureuses</w:t>
            </w:r>
          </w:p>
          <w:p w:rsidR="00C42DB9" w:rsidRDefault="00C42DB9" w:rsidP="005D429F">
            <w:pPr>
              <w:pStyle w:val="Sansinterligne"/>
              <w:numPr>
                <w:ilvl w:val="0"/>
                <w:numId w:val="900"/>
              </w:numPr>
            </w:pPr>
            <w:r>
              <w:t>Pétéchies palatines</w:t>
            </w:r>
          </w:p>
        </w:tc>
      </w:tr>
      <w:tr w:rsidR="00C42DB9" w:rsidTr="00C42DB9">
        <w:trPr>
          <w:gridAfter w:val="1"/>
          <w:wAfter w:w="76" w:type="dxa"/>
        </w:trPr>
        <w:tc>
          <w:tcPr>
            <w:tcW w:w="2660" w:type="dxa"/>
            <w:shd w:val="clear" w:color="auto" w:fill="C2D69B" w:themeFill="accent3" w:themeFillTint="99"/>
            <w:vAlign w:val="center"/>
          </w:tcPr>
          <w:p w:rsidR="00C42DB9" w:rsidRDefault="00C42DB9" w:rsidP="00CF20E6">
            <w:pPr>
              <w:pStyle w:val="Sansinterligne"/>
              <w:jc w:val="center"/>
            </w:pPr>
            <w:r w:rsidRPr="000A0FF2">
              <w:t>Diphtérie</w:t>
            </w:r>
          </w:p>
          <w:p w:rsidR="00C42DB9" w:rsidRPr="00C42DB9" w:rsidRDefault="00C42DB9" w:rsidP="00CF20E6">
            <w:pPr>
              <w:pStyle w:val="Sansinterligne"/>
              <w:jc w:val="center"/>
              <w:rPr>
                <w:i/>
                <w:sz w:val="20"/>
                <w:szCs w:val="20"/>
              </w:rPr>
            </w:pPr>
            <w:r w:rsidRPr="00C42DB9">
              <w:rPr>
                <w:i/>
                <w:sz w:val="20"/>
                <w:szCs w:val="20"/>
              </w:rPr>
              <w:t>Corynebacterium diphteriae</w:t>
            </w:r>
          </w:p>
        </w:tc>
        <w:tc>
          <w:tcPr>
            <w:tcW w:w="4140" w:type="dxa"/>
            <w:tcBorders>
              <w:top w:val="single" w:sz="4" w:space="0" w:color="auto"/>
              <w:bottom w:val="single" w:sz="4" w:space="0" w:color="auto"/>
              <w:right w:val="nil"/>
            </w:tcBorders>
          </w:tcPr>
          <w:p w:rsidR="00C42DB9" w:rsidRPr="00C42DB9" w:rsidRDefault="00C42DB9" w:rsidP="005D429F">
            <w:pPr>
              <w:pStyle w:val="Sansinterligne"/>
              <w:numPr>
                <w:ilvl w:val="0"/>
                <w:numId w:val="900"/>
              </w:numPr>
              <w:rPr>
                <w:u w:val="single"/>
              </w:rPr>
            </w:pPr>
            <w:r w:rsidRPr="00C42DB9">
              <w:rPr>
                <w:u w:val="single"/>
              </w:rPr>
              <w:t>Vaccination incomplète (DCaT)</w:t>
            </w:r>
          </w:p>
          <w:p w:rsidR="00C42DB9" w:rsidRDefault="00C42DB9" w:rsidP="005D429F">
            <w:pPr>
              <w:pStyle w:val="Sansinterligne"/>
              <w:numPr>
                <w:ilvl w:val="0"/>
                <w:numId w:val="900"/>
              </w:numPr>
            </w:pPr>
            <w:r>
              <w:t>Mal de gorge</w:t>
            </w:r>
          </w:p>
          <w:p w:rsidR="00C42DB9" w:rsidRDefault="00C42DB9" w:rsidP="005D429F">
            <w:pPr>
              <w:pStyle w:val="Sansinterligne"/>
              <w:numPr>
                <w:ilvl w:val="0"/>
                <w:numId w:val="900"/>
              </w:numPr>
            </w:pPr>
            <w:r>
              <w:t>Malaise</w:t>
            </w:r>
          </w:p>
          <w:p w:rsidR="00C42DB9" w:rsidRDefault="00C42DB9" w:rsidP="005D429F">
            <w:pPr>
              <w:pStyle w:val="Sansinterligne"/>
              <w:numPr>
                <w:ilvl w:val="0"/>
                <w:numId w:val="900"/>
              </w:numPr>
            </w:pPr>
            <w:r>
              <w:t>Dyspnée</w:t>
            </w:r>
          </w:p>
          <w:p w:rsidR="00C42DB9" w:rsidRDefault="00C42DB9" w:rsidP="005D429F">
            <w:pPr>
              <w:pStyle w:val="Sansinterligne"/>
              <w:numPr>
                <w:ilvl w:val="0"/>
                <w:numId w:val="900"/>
              </w:numPr>
            </w:pPr>
            <w:r>
              <w:t>Stridor</w:t>
            </w:r>
          </w:p>
        </w:tc>
        <w:tc>
          <w:tcPr>
            <w:tcW w:w="4140" w:type="dxa"/>
            <w:tcBorders>
              <w:top w:val="single" w:sz="4" w:space="0" w:color="auto"/>
              <w:left w:val="nil"/>
              <w:bottom w:val="single" w:sz="4" w:space="0" w:color="auto"/>
              <w:right w:val="single" w:sz="4" w:space="0" w:color="auto"/>
            </w:tcBorders>
          </w:tcPr>
          <w:p w:rsidR="00C42DB9" w:rsidRDefault="00C42DB9" w:rsidP="005D429F">
            <w:pPr>
              <w:pStyle w:val="Sansinterligne"/>
              <w:numPr>
                <w:ilvl w:val="0"/>
                <w:numId w:val="900"/>
              </w:numPr>
            </w:pPr>
            <w:r>
              <w:t>Fièvre légère</w:t>
            </w:r>
          </w:p>
          <w:p w:rsidR="00C42DB9" w:rsidRDefault="00C42DB9" w:rsidP="005D429F">
            <w:pPr>
              <w:pStyle w:val="Sansinterligne"/>
              <w:numPr>
                <w:ilvl w:val="0"/>
                <w:numId w:val="900"/>
              </w:numPr>
            </w:pPr>
            <w:r>
              <w:t>Adénopathies cervicales</w:t>
            </w:r>
          </w:p>
          <w:p w:rsidR="00C42DB9" w:rsidRDefault="00C42DB9" w:rsidP="005D429F">
            <w:pPr>
              <w:pStyle w:val="Sansinterligne"/>
              <w:numPr>
                <w:ilvl w:val="0"/>
                <w:numId w:val="900"/>
              </w:numPr>
            </w:pPr>
            <w:r>
              <w:t>Pseudomembrane blanche/grise</w:t>
            </w:r>
          </w:p>
          <w:p w:rsidR="00C42DB9" w:rsidRDefault="00C42DB9" w:rsidP="005D429F">
            <w:pPr>
              <w:pStyle w:val="Sansinterligne"/>
              <w:numPr>
                <w:ilvl w:val="0"/>
                <w:numId w:val="900"/>
              </w:numPr>
            </w:pPr>
            <w:r>
              <w:t>Œdème amygdaliens</w:t>
            </w:r>
          </w:p>
          <w:p w:rsidR="00A56E67" w:rsidRDefault="00A56E67" w:rsidP="005D429F">
            <w:pPr>
              <w:pStyle w:val="Sansinterligne"/>
              <w:numPr>
                <w:ilvl w:val="0"/>
                <w:numId w:val="900"/>
              </w:numPr>
            </w:pPr>
            <w:r>
              <w:t>Parfois ulcères cutanés avec membrane</w:t>
            </w:r>
          </w:p>
        </w:tc>
      </w:tr>
      <w:tr w:rsidR="000A0FF2" w:rsidTr="00C42DB9">
        <w:trPr>
          <w:gridAfter w:val="1"/>
          <w:wAfter w:w="76" w:type="dxa"/>
        </w:trPr>
        <w:tc>
          <w:tcPr>
            <w:tcW w:w="2660" w:type="dxa"/>
            <w:shd w:val="clear" w:color="auto" w:fill="C2D69B" w:themeFill="accent3" w:themeFillTint="99"/>
            <w:vAlign w:val="center"/>
          </w:tcPr>
          <w:p w:rsidR="000A0FF2" w:rsidRPr="000A0FF2" w:rsidRDefault="000A0FF2" w:rsidP="00CF20E6">
            <w:pPr>
              <w:pStyle w:val="Sansinterligne"/>
              <w:jc w:val="center"/>
            </w:pPr>
            <w:r w:rsidRPr="000A0FF2">
              <w:t>Amygdalite</w:t>
            </w:r>
          </w:p>
        </w:tc>
        <w:tc>
          <w:tcPr>
            <w:tcW w:w="8280" w:type="dxa"/>
            <w:gridSpan w:val="2"/>
            <w:tcBorders>
              <w:top w:val="single" w:sz="4" w:space="0" w:color="auto"/>
            </w:tcBorders>
          </w:tcPr>
          <w:p w:rsidR="000A0FF2" w:rsidRDefault="00C56802" w:rsidP="005D429F">
            <w:pPr>
              <w:pStyle w:val="Sansinterligne"/>
              <w:numPr>
                <w:ilvl w:val="0"/>
                <w:numId w:val="901"/>
              </w:numPr>
            </w:pPr>
            <w:r>
              <w:t>Idem que pharyngite, souvent en continuum (pharyngo-amygdalite)</w:t>
            </w:r>
          </w:p>
          <w:p w:rsidR="00C56802" w:rsidRDefault="00C56802" w:rsidP="005D429F">
            <w:pPr>
              <w:pStyle w:val="Sansinterligne"/>
              <w:numPr>
                <w:ilvl w:val="0"/>
                <w:numId w:val="901"/>
              </w:numPr>
            </w:pPr>
            <w:r>
              <w:t>Œdème amygdalien</w:t>
            </w:r>
            <w:r w:rsidR="00231608">
              <w:t xml:space="preserve"> + exsudat</w:t>
            </w:r>
          </w:p>
        </w:tc>
      </w:tr>
      <w:tr w:rsidR="00C269B2" w:rsidTr="004F263A">
        <w:trPr>
          <w:gridAfter w:val="1"/>
          <w:wAfter w:w="76" w:type="dxa"/>
        </w:trPr>
        <w:tc>
          <w:tcPr>
            <w:tcW w:w="2660" w:type="dxa"/>
            <w:shd w:val="clear" w:color="auto" w:fill="C2D69B" w:themeFill="accent3" w:themeFillTint="99"/>
            <w:vAlign w:val="center"/>
          </w:tcPr>
          <w:p w:rsidR="00C269B2" w:rsidRPr="000A0FF2" w:rsidRDefault="00C269B2" w:rsidP="00CF20E6">
            <w:pPr>
              <w:pStyle w:val="Sansinterligne"/>
              <w:jc w:val="center"/>
            </w:pPr>
            <w:r>
              <w:t>Scarlatine</w:t>
            </w:r>
          </w:p>
        </w:tc>
        <w:tc>
          <w:tcPr>
            <w:tcW w:w="8280" w:type="dxa"/>
            <w:gridSpan w:val="2"/>
            <w:shd w:val="clear" w:color="auto" w:fill="FFFF00"/>
          </w:tcPr>
          <w:p w:rsidR="004F263A" w:rsidRDefault="004F263A" w:rsidP="005D429F">
            <w:pPr>
              <w:pStyle w:val="Sansinterligne"/>
              <w:numPr>
                <w:ilvl w:val="0"/>
                <w:numId w:val="902"/>
              </w:numPr>
            </w:pPr>
            <w:r w:rsidRPr="0066291B">
              <w:rPr>
                <w:b/>
              </w:rPr>
              <w:t>Pharyngite précède l’éruption</w:t>
            </w:r>
            <w:r>
              <w:t xml:space="preserve"> (HMA) (mal de gorge, amygdales œdématiées) </w:t>
            </w:r>
          </w:p>
          <w:p w:rsidR="00C269B2" w:rsidRDefault="004F263A" w:rsidP="005D429F">
            <w:pPr>
              <w:pStyle w:val="Sansinterligne"/>
              <w:numPr>
                <w:ilvl w:val="0"/>
                <w:numId w:val="902"/>
              </w:numPr>
            </w:pPr>
            <w:r>
              <w:t>Exanthème scalatiniforme</w:t>
            </w:r>
          </w:p>
          <w:p w:rsidR="004F263A" w:rsidRPr="0066291B" w:rsidRDefault="004F263A" w:rsidP="005D429F">
            <w:pPr>
              <w:pStyle w:val="Sansinterligne"/>
              <w:numPr>
                <w:ilvl w:val="1"/>
                <w:numId w:val="902"/>
              </w:numPr>
              <w:rPr>
                <w:b/>
              </w:rPr>
            </w:pPr>
            <w:r w:rsidRPr="0066291B">
              <w:rPr>
                <w:b/>
              </w:rPr>
              <w:t>Signe de Pastia (plis axillaires et inguinaux)</w:t>
            </w:r>
          </w:p>
          <w:p w:rsidR="004F263A" w:rsidRDefault="004F263A" w:rsidP="005D429F">
            <w:pPr>
              <w:pStyle w:val="Sansinterligne"/>
              <w:numPr>
                <w:ilvl w:val="1"/>
                <w:numId w:val="902"/>
              </w:numPr>
            </w:pPr>
            <w:r>
              <w:t>Blanchit à la vitropression</w:t>
            </w:r>
          </w:p>
          <w:p w:rsidR="004F263A" w:rsidRDefault="004F263A" w:rsidP="005D429F">
            <w:pPr>
              <w:pStyle w:val="Sansinterligne"/>
              <w:numPr>
                <w:ilvl w:val="1"/>
                <w:numId w:val="902"/>
              </w:numPr>
            </w:pPr>
            <w:r>
              <w:t>Non-douloureux/prurigineux</w:t>
            </w:r>
          </w:p>
          <w:p w:rsidR="004F263A" w:rsidRDefault="004F263A" w:rsidP="005D429F">
            <w:pPr>
              <w:pStyle w:val="Sansinterligne"/>
              <w:numPr>
                <w:ilvl w:val="1"/>
                <w:numId w:val="902"/>
              </w:numPr>
            </w:pPr>
            <w:r>
              <w:t>Texture en papier-sablé</w:t>
            </w:r>
          </w:p>
          <w:p w:rsidR="004F263A" w:rsidRPr="0066291B" w:rsidRDefault="004F263A" w:rsidP="005D429F">
            <w:pPr>
              <w:pStyle w:val="Sansinterligne"/>
              <w:numPr>
                <w:ilvl w:val="1"/>
                <w:numId w:val="902"/>
              </w:numPr>
              <w:rPr>
                <w:b/>
              </w:rPr>
            </w:pPr>
            <w:r w:rsidRPr="0066291B">
              <w:rPr>
                <w:b/>
              </w:rPr>
              <w:t>Pâleur péribuccal</w:t>
            </w:r>
            <w:r w:rsidR="0066291B" w:rsidRPr="0066291B">
              <w:rPr>
                <w:b/>
              </w:rPr>
              <w:t>e</w:t>
            </w:r>
          </w:p>
          <w:p w:rsidR="004F263A" w:rsidRDefault="004F263A" w:rsidP="005D429F">
            <w:pPr>
              <w:pStyle w:val="Sansinterligne"/>
              <w:numPr>
                <w:ilvl w:val="1"/>
                <w:numId w:val="902"/>
              </w:numPr>
            </w:pPr>
            <w:r>
              <w:t>Desquamation après 3-4 jours</w:t>
            </w:r>
          </w:p>
          <w:p w:rsidR="004F263A" w:rsidRPr="0066291B" w:rsidRDefault="004F263A" w:rsidP="005D429F">
            <w:pPr>
              <w:pStyle w:val="Sansinterligne"/>
              <w:numPr>
                <w:ilvl w:val="0"/>
                <w:numId w:val="902"/>
              </w:numPr>
              <w:rPr>
                <w:b/>
              </w:rPr>
            </w:pPr>
            <w:r w:rsidRPr="0066291B">
              <w:rPr>
                <w:b/>
              </w:rPr>
              <w:t>Langue framboisée</w:t>
            </w:r>
          </w:p>
        </w:tc>
      </w:tr>
      <w:tr w:rsidR="000A0FF2" w:rsidTr="00CF20E6">
        <w:trPr>
          <w:gridAfter w:val="1"/>
          <w:wAfter w:w="76" w:type="dxa"/>
        </w:trPr>
        <w:tc>
          <w:tcPr>
            <w:tcW w:w="2660" w:type="dxa"/>
            <w:shd w:val="clear" w:color="auto" w:fill="C2D69B" w:themeFill="accent3" w:themeFillTint="99"/>
            <w:vAlign w:val="center"/>
          </w:tcPr>
          <w:p w:rsidR="000A0FF2" w:rsidRPr="000A0FF2" w:rsidRDefault="000A0FF2" w:rsidP="00CF20E6">
            <w:pPr>
              <w:pStyle w:val="Sansinterligne"/>
              <w:jc w:val="center"/>
            </w:pPr>
            <w:r w:rsidRPr="000A0FF2">
              <w:t>Abcès rétro pharyngé</w:t>
            </w:r>
          </w:p>
        </w:tc>
        <w:tc>
          <w:tcPr>
            <w:tcW w:w="8280" w:type="dxa"/>
            <w:gridSpan w:val="2"/>
          </w:tcPr>
          <w:p w:rsidR="000A0FF2" w:rsidRPr="000A0FF2" w:rsidRDefault="009B300B" w:rsidP="00A56E67">
            <w:pPr>
              <w:pStyle w:val="Sansinterligne"/>
            </w:pPr>
            <w:r>
              <w:t xml:space="preserve">Voir </w:t>
            </w:r>
            <w:r w:rsidRPr="009B300B">
              <w:rPr>
                <w:i/>
              </w:rPr>
              <w:t>Détresse respiratoire chez l’enfant CMC 27-3</w:t>
            </w:r>
          </w:p>
        </w:tc>
      </w:tr>
      <w:tr w:rsidR="000A0FF2" w:rsidTr="00CF20E6">
        <w:trPr>
          <w:gridAfter w:val="1"/>
          <w:wAfter w:w="76" w:type="dxa"/>
        </w:trPr>
        <w:tc>
          <w:tcPr>
            <w:tcW w:w="2660" w:type="dxa"/>
            <w:shd w:val="clear" w:color="auto" w:fill="C2D69B" w:themeFill="accent3" w:themeFillTint="99"/>
            <w:vAlign w:val="center"/>
          </w:tcPr>
          <w:p w:rsidR="000A0FF2" w:rsidRPr="000A0FF2" w:rsidRDefault="000A0FF2" w:rsidP="00CF20E6">
            <w:pPr>
              <w:pStyle w:val="Sansinterligne"/>
              <w:jc w:val="center"/>
            </w:pPr>
            <w:r w:rsidRPr="000A0FF2">
              <w:t>Épiglottite</w:t>
            </w:r>
          </w:p>
        </w:tc>
        <w:tc>
          <w:tcPr>
            <w:tcW w:w="8280" w:type="dxa"/>
            <w:gridSpan w:val="2"/>
          </w:tcPr>
          <w:p w:rsidR="000A0FF2" w:rsidRPr="000A0FF2" w:rsidRDefault="009B300B" w:rsidP="00A56E67">
            <w:pPr>
              <w:pStyle w:val="Sansinterligne"/>
            </w:pPr>
            <w:r>
              <w:t xml:space="preserve">Voir </w:t>
            </w:r>
            <w:r w:rsidRPr="009B300B">
              <w:rPr>
                <w:i/>
              </w:rPr>
              <w:t>Détresse respiratoire chez l’enfant CMC 27-3</w:t>
            </w:r>
          </w:p>
        </w:tc>
      </w:tr>
      <w:tr w:rsidR="000A0FF2" w:rsidTr="00D03AE2">
        <w:trPr>
          <w:gridAfter w:val="1"/>
          <w:wAfter w:w="76" w:type="dxa"/>
        </w:trPr>
        <w:tc>
          <w:tcPr>
            <w:tcW w:w="2660" w:type="dxa"/>
            <w:shd w:val="clear" w:color="auto" w:fill="C2D69B" w:themeFill="accent3" w:themeFillTint="99"/>
            <w:vAlign w:val="center"/>
          </w:tcPr>
          <w:p w:rsidR="000A0FF2" w:rsidRPr="000A0FF2" w:rsidRDefault="000A0FF2" w:rsidP="00CF20E6">
            <w:pPr>
              <w:pStyle w:val="Sansinterligne"/>
              <w:jc w:val="center"/>
            </w:pPr>
            <w:r w:rsidRPr="000A0FF2">
              <w:t>Corps étranger</w:t>
            </w:r>
          </w:p>
        </w:tc>
        <w:tc>
          <w:tcPr>
            <w:tcW w:w="8280" w:type="dxa"/>
            <w:gridSpan w:val="2"/>
            <w:tcBorders>
              <w:bottom w:val="single" w:sz="4" w:space="0" w:color="auto"/>
            </w:tcBorders>
          </w:tcPr>
          <w:p w:rsidR="000A0FF2" w:rsidRDefault="00D03AE2" w:rsidP="00D03AE2">
            <w:pPr>
              <w:pStyle w:val="Sansinterligne"/>
            </w:pPr>
            <w:r>
              <w:t xml:space="preserve">Irritation pharyngée, Voir </w:t>
            </w:r>
            <w:r w:rsidRPr="009B300B">
              <w:rPr>
                <w:i/>
              </w:rPr>
              <w:t>Détresse respiratoire chez l’enfant CMC 27-3</w:t>
            </w:r>
          </w:p>
        </w:tc>
      </w:tr>
      <w:tr w:rsidR="00D03AE2" w:rsidTr="00231608">
        <w:trPr>
          <w:gridAfter w:val="1"/>
          <w:wAfter w:w="76" w:type="dxa"/>
        </w:trPr>
        <w:tc>
          <w:tcPr>
            <w:tcW w:w="2660" w:type="dxa"/>
            <w:shd w:val="clear" w:color="auto" w:fill="C2D69B" w:themeFill="accent3" w:themeFillTint="99"/>
            <w:vAlign w:val="center"/>
          </w:tcPr>
          <w:p w:rsidR="00D03AE2" w:rsidRPr="000A0FF2" w:rsidRDefault="00D03AE2" w:rsidP="00CF20E6">
            <w:pPr>
              <w:pStyle w:val="Sansinterligne"/>
              <w:jc w:val="center"/>
            </w:pPr>
            <w:r w:rsidRPr="000A0FF2">
              <w:t>Candidose oropharyngée</w:t>
            </w:r>
            <w:r>
              <w:t xml:space="preserve"> (muguet)</w:t>
            </w:r>
          </w:p>
        </w:tc>
        <w:tc>
          <w:tcPr>
            <w:tcW w:w="4140" w:type="dxa"/>
            <w:tcBorders>
              <w:top w:val="single" w:sz="4" w:space="0" w:color="auto"/>
              <w:bottom w:val="single" w:sz="4" w:space="0" w:color="auto"/>
              <w:right w:val="nil"/>
            </w:tcBorders>
          </w:tcPr>
          <w:p w:rsidR="00D03AE2" w:rsidRDefault="00D03AE2" w:rsidP="005D429F">
            <w:pPr>
              <w:pStyle w:val="Sansinterligne"/>
              <w:numPr>
                <w:ilvl w:val="0"/>
                <w:numId w:val="903"/>
              </w:numPr>
            </w:pPr>
            <w:r>
              <w:t>Asymptomatique</w:t>
            </w:r>
          </w:p>
          <w:p w:rsidR="00D03AE2" w:rsidRDefault="00D03AE2" w:rsidP="005D429F">
            <w:pPr>
              <w:pStyle w:val="Sansinterligne"/>
              <w:numPr>
                <w:ilvl w:val="0"/>
                <w:numId w:val="903"/>
              </w:numPr>
            </w:pPr>
            <w:r>
              <w:t>Perte de goût</w:t>
            </w:r>
          </w:p>
          <w:p w:rsidR="00D03AE2" w:rsidRDefault="00D03AE2" w:rsidP="005D429F">
            <w:pPr>
              <w:pStyle w:val="Sansinterligne"/>
              <w:numPr>
                <w:ilvl w:val="0"/>
                <w:numId w:val="903"/>
              </w:numPr>
            </w:pPr>
            <w:r>
              <w:t>Odynophagie</w:t>
            </w:r>
          </w:p>
        </w:tc>
        <w:tc>
          <w:tcPr>
            <w:tcW w:w="4140" w:type="dxa"/>
            <w:tcBorders>
              <w:top w:val="single" w:sz="4" w:space="0" w:color="auto"/>
              <w:left w:val="nil"/>
              <w:bottom w:val="single" w:sz="4" w:space="0" w:color="auto"/>
              <w:right w:val="single" w:sz="4" w:space="0" w:color="auto"/>
            </w:tcBorders>
          </w:tcPr>
          <w:p w:rsidR="00D03AE2" w:rsidRDefault="00D03AE2" w:rsidP="005D429F">
            <w:pPr>
              <w:pStyle w:val="Sansinterligne"/>
              <w:numPr>
                <w:ilvl w:val="0"/>
                <w:numId w:val="903"/>
              </w:numPr>
            </w:pPr>
            <w:r>
              <w:t>Dépôts blanchâtres sur la muqueuse buccale, le palais, la langue ou le pharynx</w:t>
            </w:r>
          </w:p>
        </w:tc>
      </w:tr>
      <w:tr w:rsidR="00231608" w:rsidTr="00231608">
        <w:trPr>
          <w:gridAfter w:val="1"/>
          <w:wAfter w:w="76" w:type="dxa"/>
          <w:trHeight w:val="1548"/>
        </w:trPr>
        <w:tc>
          <w:tcPr>
            <w:tcW w:w="2660" w:type="dxa"/>
            <w:shd w:val="clear" w:color="auto" w:fill="C2D69B" w:themeFill="accent3" w:themeFillTint="99"/>
            <w:vAlign w:val="center"/>
          </w:tcPr>
          <w:p w:rsidR="00231608" w:rsidRPr="000A0FF2" w:rsidRDefault="00231608" w:rsidP="00CF20E6">
            <w:pPr>
              <w:pStyle w:val="Sansinterligne"/>
              <w:jc w:val="center"/>
            </w:pPr>
            <w:r w:rsidRPr="000A0FF2">
              <w:t>Angine de Ludwig</w:t>
            </w:r>
          </w:p>
        </w:tc>
        <w:tc>
          <w:tcPr>
            <w:tcW w:w="4140" w:type="dxa"/>
            <w:tcBorders>
              <w:top w:val="single" w:sz="4" w:space="0" w:color="auto"/>
              <w:bottom w:val="single" w:sz="4" w:space="0" w:color="auto"/>
              <w:right w:val="nil"/>
            </w:tcBorders>
          </w:tcPr>
          <w:p w:rsidR="00231608" w:rsidRDefault="00231608" w:rsidP="005D429F">
            <w:pPr>
              <w:pStyle w:val="Sansinterligne"/>
              <w:numPr>
                <w:ilvl w:val="0"/>
                <w:numId w:val="909"/>
              </w:numPr>
            </w:pPr>
            <w:r>
              <w:t xml:space="preserve">Douleur </w:t>
            </w:r>
            <w:r w:rsidRPr="00276A3B">
              <w:rPr>
                <w:u w:val="single"/>
              </w:rPr>
              <w:t>buccale</w:t>
            </w:r>
          </w:p>
          <w:p w:rsidR="00231608" w:rsidRDefault="00231608" w:rsidP="005D429F">
            <w:pPr>
              <w:pStyle w:val="Sansinterligne"/>
              <w:numPr>
                <w:ilvl w:val="0"/>
                <w:numId w:val="909"/>
              </w:numPr>
            </w:pPr>
            <w:r>
              <w:t>Fièvre, frissons</w:t>
            </w:r>
          </w:p>
          <w:p w:rsidR="00231608" w:rsidRDefault="00231608" w:rsidP="005D429F">
            <w:pPr>
              <w:pStyle w:val="Sansinterligne"/>
              <w:numPr>
                <w:ilvl w:val="0"/>
                <w:numId w:val="909"/>
              </w:numPr>
            </w:pPr>
            <w:r>
              <w:t>Malaise</w:t>
            </w:r>
          </w:p>
          <w:p w:rsidR="00231608" w:rsidRDefault="00231608" w:rsidP="005D429F">
            <w:pPr>
              <w:pStyle w:val="Sansinterligne"/>
              <w:numPr>
                <w:ilvl w:val="0"/>
                <w:numId w:val="909"/>
              </w:numPr>
            </w:pPr>
            <w:r>
              <w:t>Raideur nucale</w:t>
            </w:r>
          </w:p>
          <w:p w:rsidR="00231608" w:rsidRDefault="00231608" w:rsidP="005D429F">
            <w:pPr>
              <w:pStyle w:val="Sansinterligne"/>
              <w:numPr>
                <w:ilvl w:val="0"/>
                <w:numId w:val="909"/>
              </w:numPr>
            </w:pPr>
            <w:r>
              <w:t>Dysphagie</w:t>
            </w:r>
          </w:p>
          <w:p w:rsidR="00231608" w:rsidRDefault="00231608" w:rsidP="005D429F">
            <w:pPr>
              <w:pStyle w:val="Sansinterligne"/>
              <w:numPr>
                <w:ilvl w:val="0"/>
                <w:numId w:val="909"/>
              </w:numPr>
            </w:pPr>
            <w:r>
              <w:t>Bave</w:t>
            </w:r>
          </w:p>
        </w:tc>
        <w:tc>
          <w:tcPr>
            <w:tcW w:w="4140" w:type="dxa"/>
            <w:tcBorders>
              <w:top w:val="single" w:sz="4" w:space="0" w:color="auto"/>
              <w:left w:val="nil"/>
              <w:bottom w:val="single" w:sz="4" w:space="0" w:color="auto"/>
              <w:right w:val="single" w:sz="4" w:space="0" w:color="auto"/>
            </w:tcBorders>
          </w:tcPr>
          <w:p w:rsidR="00231608" w:rsidRDefault="00231608" w:rsidP="005D429F">
            <w:pPr>
              <w:pStyle w:val="Sansinterligne"/>
              <w:numPr>
                <w:ilvl w:val="0"/>
                <w:numId w:val="909"/>
              </w:numPr>
            </w:pPr>
            <w:r>
              <w:t>Indurations sous-mandibulaires douloureuses, symétriques</w:t>
            </w:r>
          </w:p>
          <w:p w:rsidR="00231608" w:rsidRDefault="00231608" w:rsidP="005D429F">
            <w:pPr>
              <w:pStyle w:val="Sansinterligne"/>
              <w:numPr>
                <w:ilvl w:val="0"/>
                <w:numId w:val="909"/>
              </w:numPr>
            </w:pPr>
            <w:r>
              <w:t>Œdème lingual</w:t>
            </w:r>
            <w:r w:rsidR="008B2543">
              <w:t xml:space="preserve"> </w:t>
            </w:r>
          </w:p>
          <w:p w:rsidR="00231608" w:rsidRDefault="00231608" w:rsidP="005D429F">
            <w:pPr>
              <w:pStyle w:val="Sansinterligne"/>
              <w:numPr>
                <w:ilvl w:val="0"/>
                <w:numId w:val="909"/>
              </w:numPr>
            </w:pPr>
            <w:r>
              <w:t>Plancher buccal douloureux, érythémateux</w:t>
            </w:r>
          </w:p>
          <w:p w:rsidR="00231608" w:rsidRDefault="00231608" w:rsidP="005D429F">
            <w:pPr>
              <w:pStyle w:val="Sansinterligne"/>
              <w:numPr>
                <w:ilvl w:val="0"/>
                <w:numId w:val="909"/>
              </w:numPr>
            </w:pPr>
            <w:r>
              <w:t>Pas d’adénopathies</w:t>
            </w:r>
          </w:p>
        </w:tc>
      </w:tr>
    </w:tbl>
    <w:p w:rsidR="00845E56" w:rsidRDefault="00F474A0" w:rsidP="00F00904">
      <w:pPr>
        <w:pStyle w:val="Sansinterligne"/>
      </w:pPr>
      <w:r>
        <w:rPr>
          <w:noProof/>
          <w:lang w:eastAsia="fr-CA"/>
        </w:rPr>
        <mc:AlternateContent>
          <mc:Choice Requires="wps">
            <w:drawing>
              <wp:anchor distT="0" distB="0" distL="114300" distR="114300" simplePos="0" relativeHeight="251923456" behindDoc="0" locked="0" layoutInCell="1" allowOverlap="1" wp14:anchorId="37965CA1" wp14:editId="1E6C5D7D">
                <wp:simplePos x="0" y="0"/>
                <wp:positionH relativeFrom="column">
                  <wp:posOffset>4287520</wp:posOffset>
                </wp:positionH>
                <wp:positionV relativeFrom="paragraph">
                  <wp:posOffset>74241</wp:posOffset>
                </wp:positionV>
                <wp:extent cx="2557780" cy="1458595"/>
                <wp:effectExtent l="0" t="0" r="13970" b="27305"/>
                <wp:wrapNone/>
                <wp:docPr id="440"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7780" cy="1458595"/>
                        </a:xfrm>
                        <a:prstGeom prst="rect">
                          <a:avLst/>
                        </a:prstGeom>
                        <a:solidFill>
                          <a:schemeClr val="accent3">
                            <a:lumMod val="60000"/>
                            <a:lumOff val="40000"/>
                          </a:schemeClr>
                        </a:solidFill>
                        <a:ln w="9525">
                          <a:solidFill>
                            <a:srgbClr val="000000"/>
                          </a:solidFill>
                          <a:miter lim="800000"/>
                          <a:headEnd/>
                          <a:tailEnd/>
                        </a:ln>
                      </wps:spPr>
                      <wps:txbx>
                        <w:txbxContent>
                          <w:p w:rsidR="008276DC" w:rsidRPr="00F474A0" w:rsidRDefault="008276DC" w:rsidP="00F474A0">
                            <w:pPr>
                              <w:spacing w:after="0"/>
                              <w:jc w:val="center"/>
                              <w:rPr>
                                <w:b/>
                              </w:rPr>
                            </w:pPr>
                            <w:r w:rsidRPr="00F474A0">
                              <w:rPr>
                                <w:b/>
                              </w:rPr>
                              <w:t>Score de McIsaac</w:t>
                            </w:r>
                          </w:p>
                          <w:p w:rsidR="008276DC" w:rsidRDefault="008276DC" w:rsidP="00F474A0">
                            <w:pPr>
                              <w:jc w:val="center"/>
                            </w:pPr>
                            <w:r w:rsidRPr="00F474A0">
                              <w:rPr>
                                <w:sz w:val="20"/>
                                <w:szCs w:val="20"/>
                              </w:rPr>
                              <w:t xml:space="preserve">(5/5 </w:t>
                            </w:r>
                            <w:r w:rsidRPr="00F474A0">
                              <w:rPr>
                                <w:rFonts w:ascii="Century Gothic" w:hAnsi="Century Gothic"/>
                                <w:sz w:val="20"/>
                                <w:szCs w:val="20"/>
                              </w:rPr>
                              <w:t>≈ 53% probabilité SGA)</w:t>
                            </w:r>
                          </w:p>
                          <w:p w:rsidR="008276DC" w:rsidRDefault="008276DC" w:rsidP="005D429F">
                            <w:pPr>
                              <w:pStyle w:val="Paragraphedeliste"/>
                              <w:numPr>
                                <w:ilvl w:val="0"/>
                                <w:numId w:val="904"/>
                              </w:numPr>
                              <w:spacing w:after="0" w:line="240" w:lineRule="auto"/>
                            </w:pPr>
                            <w:r>
                              <w:t xml:space="preserve">Fièvre </w:t>
                            </w:r>
                            <w:r w:rsidRPr="00F474A0">
                              <w:rPr>
                                <w:rFonts w:ascii="Century Gothic" w:hAnsi="Century Gothic"/>
                              </w:rPr>
                              <w:t>&gt;</w:t>
                            </w:r>
                            <w:r>
                              <w:t xml:space="preserve"> 38</w:t>
                            </w:r>
                            <w:r w:rsidRPr="00F474A0">
                              <w:rPr>
                                <w:rFonts w:cs="Times New Roman"/>
                              </w:rPr>
                              <w:t>°</w:t>
                            </w:r>
                            <w:r>
                              <w:t>C</w:t>
                            </w:r>
                          </w:p>
                          <w:p w:rsidR="008276DC" w:rsidRDefault="008276DC" w:rsidP="005D429F">
                            <w:pPr>
                              <w:pStyle w:val="Paragraphedeliste"/>
                              <w:numPr>
                                <w:ilvl w:val="0"/>
                                <w:numId w:val="904"/>
                              </w:numPr>
                              <w:spacing w:after="0" w:line="240" w:lineRule="auto"/>
                            </w:pPr>
                            <w:r>
                              <w:t>Lymphadénopathies</w:t>
                            </w:r>
                          </w:p>
                          <w:p w:rsidR="008276DC" w:rsidRDefault="008276DC" w:rsidP="005D429F">
                            <w:pPr>
                              <w:pStyle w:val="Paragraphedeliste"/>
                              <w:numPr>
                                <w:ilvl w:val="0"/>
                                <w:numId w:val="904"/>
                              </w:numPr>
                              <w:spacing w:after="0" w:line="240" w:lineRule="auto"/>
                            </w:pPr>
                            <w:r>
                              <w:t>Âge 3-14 ans</w:t>
                            </w:r>
                          </w:p>
                          <w:p w:rsidR="008276DC" w:rsidRDefault="008276DC" w:rsidP="005D429F">
                            <w:pPr>
                              <w:pStyle w:val="Paragraphedeliste"/>
                              <w:numPr>
                                <w:ilvl w:val="0"/>
                                <w:numId w:val="904"/>
                              </w:numPr>
                              <w:spacing w:after="0" w:line="240" w:lineRule="auto"/>
                            </w:pPr>
                            <w:r>
                              <w:t>Absence de toux</w:t>
                            </w:r>
                          </w:p>
                          <w:p w:rsidR="008276DC" w:rsidRDefault="008276DC" w:rsidP="005D429F">
                            <w:pPr>
                              <w:pStyle w:val="Paragraphedeliste"/>
                              <w:numPr>
                                <w:ilvl w:val="0"/>
                                <w:numId w:val="904"/>
                              </w:numPr>
                              <w:spacing w:after="0" w:line="240" w:lineRule="auto"/>
                            </w:pPr>
                            <w:r>
                              <w:t>Érythème et exsudat amygdalien</w:t>
                            </w:r>
                          </w:p>
                          <w:p w:rsidR="008276DC" w:rsidRDefault="008276DC"/>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26" type="#_x0000_t202" style="position:absolute;margin-left:337.6pt;margin-top:5.85pt;width:201.4pt;height:114.85pt;z-index:25192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" fillcolor="#c2d69b [1942]">
                <v:textbox>
                  <w:txbxContent>
                    <w:p w:rsidR="008276DC" w:rsidRPr="00F474A0" w:rsidRDefault="008276DC" w:rsidP="00F474A0">
                      <w:pPr>
                        <w:spacing w:after="0"/>
                        <w:jc w:val="center"/>
                        <w:rPr>
                          <w:b/>
                        </w:rPr>
                      </w:pPr>
                      <w:r w:rsidRPr="00F474A0">
                        <w:rPr>
                          <w:b/>
                        </w:rPr>
                        <w:t>Score de McIsaac</w:t>
                      </w:r>
                    </w:p>
                    <w:p w:rsidR="008276DC" w:rsidRDefault="008276DC" w:rsidP="00F474A0">
                      <w:pPr>
                        <w:jc w:val="center"/>
                      </w:pPr>
                      <w:r w:rsidRPr="00F474A0">
                        <w:rPr>
                          <w:sz w:val="20"/>
                          <w:szCs w:val="20"/>
                        </w:rPr>
                        <w:t xml:space="preserve">(5/5 </w:t>
                      </w:r>
                      <w:r w:rsidRPr="00F474A0">
                        <w:rPr>
                          <w:rFonts w:ascii="Century Gothic" w:hAnsi="Century Gothic"/>
                          <w:sz w:val="20"/>
                          <w:szCs w:val="20"/>
                        </w:rPr>
                        <w:t>≈ 53% probabilité SGA)</w:t>
                      </w:r>
                    </w:p>
                    <w:p w:rsidR="008276DC" w:rsidRDefault="008276DC" w:rsidP="005D429F">
                      <w:pPr>
                        <w:pStyle w:val="Paragraphedeliste"/>
                        <w:numPr>
                          <w:ilvl w:val="0"/>
                          <w:numId w:val="904"/>
                        </w:numPr>
                        <w:spacing w:after="0" w:line="240" w:lineRule="auto"/>
                      </w:pPr>
                      <w:r>
                        <w:t xml:space="preserve">Fièvre </w:t>
                      </w:r>
                      <w:r w:rsidRPr="00F474A0">
                        <w:rPr>
                          <w:rFonts w:ascii="Century Gothic" w:hAnsi="Century Gothic"/>
                        </w:rPr>
                        <w:t>&gt;</w:t>
                      </w:r>
                      <w:r>
                        <w:t xml:space="preserve"> 38</w:t>
                      </w:r>
                      <w:r w:rsidRPr="00F474A0">
                        <w:rPr>
                          <w:rFonts w:cs="Times New Roman"/>
                        </w:rPr>
                        <w:t>°</w:t>
                      </w:r>
                      <w:r>
                        <w:t>C</w:t>
                      </w:r>
                    </w:p>
                    <w:p w:rsidR="008276DC" w:rsidRDefault="008276DC" w:rsidP="005D429F">
                      <w:pPr>
                        <w:pStyle w:val="Paragraphedeliste"/>
                        <w:numPr>
                          <w:ilvl w:val="0"/>
                          <w:numId w:val="904"/>
                        </w:numPr>
                        <w:spacing w:after="0" w:line="240" w:lineRule="auto"/>
                      </w:pPr>
                      <w:r>
                        <w:t>Lymphadénopathies</w:t>
                      </w:r>
                    </w:p>
                    <w:p w:rsidR="008276DC" w:rsidRDefault="008276DC" w:rsidP="005D429F">
                      <w:pPr>
                        <w:pStyle w:val="Paragraphedeliste"/>
                        <w:numPr>
                          <w:ilvl w:val="0"/>
                          <w:numId w:val="904"/>
                        </w:numPr>
                        <w:spacing w:after="0" w:line="240" w:lineRule="auto"/>
                      </w:pPr>
                      <w:r>
                        <w:t>Âge 3-14 ans</w:t>
                      </w:r>
                    </w:p>
                    <w:p w:rsidR="008276DC" w:rsidRDefault="008276DC" w:rsidP="005D429F">
                      <w:pPr>
                        <w:pStyle w:val="Paragraphedeliste"/>
                        <w:numPr>
                          <w:ilvl w:val="0"/>
                          <w:numId w:val="904"/>
                        </w:numPr>
                        <w:spacing w:after="0" w:line="240" w:lineRule="auto"/>
                      </w:pPr>
                      <w:r>
                        <w:t>Absence de toux</w:t>
                      </w:r>
                    </w:p>
                    <w:p w:rsidR="008276DC" w:rsidRDefault="008276DC" w:rsidP="005D429F">
                      <w:pPr>
                        <w:pStyle w:val="Paragraphedeliste"/>
                        <w:numPr>
                          <w:ilvl w:val="0"/>
                          <w:numId w:val="904"/>
                        </w:numPr>
                        <w:spacing w:after="0" w:line="240" w:lineRule="auto"/>
                      </w:pPr>
                      <w:r>
                        <w:t>Érythème et exsudat amygdalien</w:t>
                      </w:r>
                    </w:p>
                    <w:p w:rsidR="008276DC" w:rsidRDefault="008276DC"/>
                  </w:txbxContent>
                </v:textbox>
              </v:shape>
            </w:pict>
          </mc:Fallback>
        </mc:AlternateContent>
      </w:r>
    </w:p>
    <w:p w:rsidR="00C269B2" w:rsidRPr="009B300B" w:rsidRDefault="00C269B2" w:rsidP="00F00904">
      <w:pPr>
        <w:pStyle w:val="Sansinterligne"/>
        <w:rPr>
          <w:b/>
          <w:sz w:val="28"/>
          <w:szCs w:val="28"/>
        </w:rPr>
      </w:pPr>
      <w:r w:rsidRPr="009B300B">
        <w:rPr>
          <w:b/>
          <w:sz w:val="28"/>
          <w:szCs w:val="28"/>
        </w:rPr>
        <w:t>Investigations</w:t>
      </w:r>
    </w:p>
    <w:p w:rsidR="00C269B2" w:rsidRDefault="00C269B2" w:rsidP="00F00904">
      <w:pPr>
        <w:pStyle w:val="Sansinterligne"/>
      </w:pPr>
    </w:p>
    <w:p w:rsidR="006A7964" w:rsidRDefault="006A7964" w:rsidP="005D429F">
      <w:pPr>
        <w:pStyle w:val="Sansinterligne"/>
        <w:numPr>
          <w:ilvl w:val="0"/>
          <w:numId w:val="905"/>
        </w:numPr>
      </w:pPr>
      <w:r>
        <w:t>FSC (lymphocytose en mononucléose)</w:t>
      </w:r>
    </w:p>
    <w:p w:rsidR="00C269B2" w:rsidRDefault="00C269B2" w:rsidP="005D429F">
      <w:pPr>
        <w:pStyle w:val="Sansinterligne"/>
        <w:numPr>
          <w:ilvl w:val="0"/>
          <w:numId w:val="905"/>
        </w:numPr>
      </w:pPr>
      <w:r>
        <w:t>Score de McIsaac</w:t>
      </w:r>
    </w:p>
    <w:p w:rsidR="00C269B2" w:rsidRDefault="00C269B2" w:rsidP="005D429F">
      <w:pPr>
        <w:pStyle w:val="Sansinterligne"/>
        <w:numPr>
          <w:ilvl w:val="0"/>
          <w:numId w:val="905"/>
        </w:numPr>
      </w:pPr>
      <w:r>
        <w:t>Test rapide de l’antigène du SGA + culture de gorge si négatif</w:t>
      </w:r>
    </w:p>
    <w:p w:rsidR="00C269B2" w:rsidRDefault="00C269B2" w:rsidP="005D429F">
      <w:pPr>
        <w:pStyle w:val="Sansinterligne"/>
        <w:numPr>
          <w:ilvl w:val="0"/>
          <w:numId w:val="905"/>
        </w:numPr>
      </w:pPr>
      <w:r>
        <w:t>Monotest</w:t>
      </w:r>
    </w:p>
    <w:p w:rsidR="00231608" w:rsidRDefault="00231608" w:rsidP="005D429F">
      <w:pPr>
        <w:pStyle w:val="Sansinterligne"/>
        <w:numPr>
          <w:ilvl w:val="0"/>
          <w:numId w:val="905"/>
        </w:numPr>
      </w:pPr>
      <w:r>
        <w:t>Aspiration à l’aiguille et culture (angine de Ludwig)</w:t>
      </w:r>
    </w:p>
    <w:p w:rsidR="00C269B2" w:rsidRPr="00C269B2" w:rsidRDefault="00C269B2" w:rsidP="00C269B2">
      <w:pPr>
        <w:pStyle w:val="Sansinterligne"/>
      </w:pPr>
    </w:p>
    <w:p w:rsidR="00C269B2" w:rsidRPr="009B300B" w:rsidRDefault="00276A3B" w:rsidP="00C269B2">
      <w:pPr>
        <w:pStyle w:val="Sansinterligne"/>
        <w:rPr>
          <w:b/>
          <w:sz w:val="28"/>
          <w:szCs w:val="28"/>
        </w:rPr>
      </w:pPr>
      <w:r w:rsidRPr="00F474A0">
        <w:rPr>
          <w:noProof/>
          <w:u w:val="single"/>
          <w:lang w:eastAsia="fr-CA"/>
        </w:rPr>
        <w:drawing>
          <wp:anchor distT="0" distB="0" distL="114300" distR="114300" simplePos="0" relativeHeight="251921408" behindDoc="0" locked="0" layoutInCell="1" allowOverlap="1" wp14:anchorId="3E4B4573" wp14:editId="68B419BA">
            <wp:simplePos x="0" y="0"/>
            <wp:positionH relativeFrom="column">
              <wp:posOffset>4492625</wp:posOffset>
            </wp:positionH>
            <wp:positionV relativeFrom="paragraph">
              <wp:posOffset>-32385</wp:posOffset>
            </wp:positionV>
            <wp:extent cx="2129790" cy="3579495"/>
            <wp:effectExtent l="0" t="0" r="3810" b="1905"/>
            <wp:wrapNone/>
            <wp:docPr id="439" name="Image 439" descr="Résultats de recherche d'images pour « pharyngit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ésultats de recherche d'images pour « pharyngite »"/>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bwMode="auto">
                    <a:xfrm>
                      <a:off x="0" y="0"/>
                      <a:ext cx="2129790" cy="3579495"/>
                    </a:xfrm>
                    <a:prstGeom prst="rect">
                      <a:avLst/>
                    </a:prstGeom>
                    <a:noFill/>
                    <a:ln>
                      <a:noFill/>
                    </a:ln>
                  </pic:spPr>
                </pic:pic>
              </a:graphicData>
            </a:graphic>
            <wp14:sizeRelH relativeFrom="page">
              <wp14:pctWidth>0</wp14:pctWidth>
            </wp14:sizeRelH>
            <wp14:sizeRelV relativeFrom="page">
              <wp14:pctHeight>0</wp14:pctHeight>
            </wp14:sizeRelV>
          </wp:anchor>
        </w:drawing>
      </w:r>
      <w:r w:rsidR="00C269B2" w:rsidRPr="009B300B">
        <w:rPr>
          <w:b/>
          <w:sz w:val="28"/>
          <w:szCs w:val="28"/>
        </w:rPr>
        <w:t>Prise en charge</w:t>
      </w:r>
    </w:p>
    <w:p w:rsidR="00C269B2" w:rsidRDefault="00C269B2" w:rsidP="00C269B2">
      <w:pPr>
        <w:pStyle w:val="Sansinterligne"/>
      </w:pPr>
    </w:p>
    <w:p w:rsidR="00C42DB9" w:rsidRPr="008B2543" w:rsidRDefault="00C269B2" w:rsidP="00C269B2">
      <w:pPr>
        <w:pStyle w:val="Sansinterligne"/>
        <w:rPr>
          <w:i/>
          <w:highlight w:val="yellow"/>
        </w:rPr>
      </w:pPr>
      <w:r w:rsidRPr="008B2543">
        <w:rPr>
          <w:b/>
          <w:highlight w:val="yellow"/>
        </w:rPr>
        <w:t>Rhinites et sinusite</w:t>
      </w:r>
      <w:r w:rsidRPr="008B2543">
        <w:rPr>
          <w:highlight w:val="yellow"/>
        </w:rPr>
        <w:t xml:space="preserve"> </w:t>
      </w:r>
      <w:r w:rsidRPr="008B2543">
        <w:rPr>
          <w:rFonts w:ascii="Century Gothic" w:hAnsi="Century Gothic"/>
          <w:highlight w:val="yellow"/>
        </w:rPr>
        <w:t>→</w:t>
      </w:r>
      <w:r w:rsidRPr="008B2543">
        <w:rPr>
          <w:highlight w:val="yellow"/>
        </w:rPr>
        <w:t xml:space="preserve"> voir </w:t>
      </w:r>
      <w:r w:rsidRPr="008B2543">
        <w:rPr>
          <w:i/>
          <w:highlight w:val="yellow"/>
        </w:rPr>
        <w:t>Dysfonction olfactive gustative CMC 100-1</w:t>
      </w:r>
    </w:p>
    <w:p w:rsidR="00C42DB9" w:rsidRPr="008B2543" w:rsidRDefault="00C42DB9" w:rsidP="00C269B2">
      <w:pPr>
        <w:pStyle w:val="Sansinterligne"/>
        <w:rPr>
          <w:i/>
          <w:highlight w:val="yellow"/>
        </w:rPr>
      </w:pPr>
    </w:p>
    <w:p w:rsidR="00C42DB9" w:rsidRPr="008B2543" w:rsidRDefault="00C42DB9" w:rsidP="00C269B2">
      <w:pPr>
        <w:pStyle w:val="Sansinterligne"/>
        <w:rPr>
          <w:b/>
          <w:highlight w:val="yellow"/>
        </w:rPr>
      </w:pPr>
      <w:r w:rsidRPr="008B2543">
        <w:rPr>
          <w:b/>
          <w:highlight w:val="yellow"/>
        </w:rPr>
        <w:t>Pharyngite</w:t>
      </w:r>
    </w:p>
    <w:p w:rsidR="00C42DB9" w:rsidRPr="008B2543" w:rsidRDefault="00C42DB9" w:rsidP="00C269B2">
      <w:pPr>
        <w:pStyle w:val="Sansinterligne"/>
        <w:rPr>
          <w:rFonts w:ascii="Century Gothic" w:hAnsi="Century Gothic"/>
          <w:highlight w:val="yellow"/>
          <w:u w:val="single"/>
        </w:rPr>
      </w:pPr>
      <w:r w:rsidRPr="008B2543">
        <w:rPr>
          <w:highlight w:val="yellow"/>
          <w:u w:val="single"/>
        </w:rPr>
        <w:t xml:space="preserve">Virale </w:t>
      </w:r>
    </w:p>
    <w:p w:rsidR="00C42DB9" w:rsidRPr="008B2543" w:rsidRDefault="00C42DB9" w:rsidP="005D429F">
      <w:pPr>
        <w:pStyle w:val="Sansinterligne"/>
        <w:numPr>
          <w:ilvl w:val="0"/>
          <w:numId w:val="906"/>
        </w:numPr>
        <w:rPr>
          <w:highlight w:val="yellow"/>
        </w:rPr>
      </w:pPr>
      <w:r w:rsidRPr="008B2543">
        <w:rPr>
          <w:highlight w:val="yellow"/>
        </w:rPr>
        <w:t>Support, hydratation, acétaminophène</w:t>
      </w:r>
    </w:p>
    <w:p w:rsidR="00C42DB9" w:rsidRPr="008B2543" w:rsidRDefault="00C42DB9" w:rsidP="00C269B2">
      <w:pPr>
        <w:pStyle w:val="Sansinterligne"/>
        <w:rPr>
          <w:rFonts w:ascii="Century Gothic" w:hAnsi="Century Gothic"/>
          <w:highlight w:val="yellow"/>
          <w:u w:val="single"/>
        </w:rPr>
      </w:pPr>
      <w:r w:rsidRPr="008B2543">
        <w:rPr>
          <w:highlight w:val="yellow"/>
          <w:u w:val="single"/>
        </w:rPr>
        <w:t xml:space="preserve">Bactérienne / SGA </w:t>
      </w:r>
    </w:p>
    <w:p w:rsidR="00C42DB9" w:rsidRPr="008B2543" w:rsidRDefault="00C42DB9" w:rsidP="005D429F">
      <w:pPr>
        <w:pStyle w:val="Sansinterligne"/>
        <w:numPr>
          <w:ilvl w:val="0"/>
          <w:numId w:val="906"/>
        </w:numPr>
        <w:rPr>
          <w:highlight w:val="yellow"/>
        </w:rPr>
      </w:pPr>
      <w:r w:rsidRPr="008B2543">
        <w:rPr>
          <w:highlight w:val="yellow"/>
        </w:rPr>
        <w:t>Pénicilline V, Amoxicilline ou Érythromycine (si allergie) x 10 jours</w:t>
      </w:r>
    </w:p>
    <w:p w:rsidR="00C42DB9" w:rsidRPr="008B2543" w:rsidRDefault="00C42DB9" w:rsidP="005D429F">
      <w:pPr>
        <w:pStyle w:val="Sansinterligne"/>
        <w:numPr>
          <w:ilvl w:val="1"/>
          <w:numId w:val="906"/>
        </w:numPr>
        <w:rPr>
          <w:highlight w:val="yellow"/>
        </w:rPr>
      </w:pPr>
      <w:r w:rsidRPr="008B2543">
        <w:rPr>
          <w:highlight w:val="yellow"/>
        </w:rPr>
        <w:t>Bonne couverture</w:t>
      </w:r>
    </w:p>
    <w:p w:rsidR="00C42DB9" w:rsidRPr="008B2543" w:rsidRDefault="00C42DB9" w:rsidP="005D429F">
      <w:pPr>
        <w:pStyle w:val="Sansinterligne"/>
        <w:numPr>
          <w:ilvl w:val="1"/>
          <w:numId w:val="906"/>
        </w:numPr>
        <w:rPr>
          <w:highlight w:val="yellow"/>
        </w:rPr>
      </w:pPr>
      <w:r w:rsidRPr="008B2543">
        <w:rPr>
          <w:highlight w:val="yellow"/>
        </w:rPr>
        <w:t>Prévient le rhumatisme articulaire aigu (RAA)</w:t>
      </w:r>
    </w:p>
    <w:p w:rsidR="00C42DB9" w:rsidRPr="008B2543" w:rsidRDefault="00C42DB9" w:rsidP="005D429F">
      <w:pPr>
        <w:pStyle w:val="Sansinterligne"/>
        <w:numPr>
          <w:ilvl w:val="1"/>
          <w:numId w:val="906"/>
        </w:numPr>
        <w:rPr>
          <w:highlight w:val="yellow"/>
        </w:rPr>
      </w:pPr>
      <w:r w:rsidRPr="008B2543">
        <w:rPr>
          <w:highlight w:val="yellow"/>
        </w:rPr>
        <w:t xml:space="preserve">Réserver aux cas </w:t>
      </w:r>
      <w:r w:rsidR="00F474A0" w:rsidRPr="008B2543">
        <w:rPr>
          <w:highlight w:val="yellow"/>
        </w:rPr>
        <w:t>avec test +</w:t>
      </w:r>
    </w:p>
    <w:p w:rsidR="00C42DB9" w:rsidRPr="008B2543" w:rsidRDefault="00C42DB9" w:rsidP="005D429F">
      <w:pPr>
        <w:pStyle w:val="Sansinterligne"/>
        <w:numPr>
          <w:ilvl w:val="0"/>
          <w:numId w:val="906"/>
        </w:numPr>
        <w:rPr>
          <w:highlight w:val="yellow"/>
        </w:rPr>
      </w:pPr>
      <w:r w:rsidRPr="008B2543">
        <w:rPr>
          <w:highlight w:val="yellow"/>
        </w:rPr>
        <w:t>Support, hydratation, acétaminophène</w:t>
      </w:r>
    </w:p>
    <w:p w:rsidR="00C42DB9" w:rsidRPr="008B2543" w:rsidRDefault="00C42DB9" w:rsidP="00C269B2">
      <w:pPr>
        <w:pStyle w:val="Sansinterligne"/>
        <w:rPr>
          <w:highlight w:val="yellow"/>
        </w:rPr>
      </w:pPr>
    </w:p>
    <w:p w:rsidR="00C42DB9" w:rsidRPr="008B2543" w:rsidRDefault="00C42DB9" w:rsidP="00C269B2">
      <w:pPr>
        <w:pStyle w:val="Sansinterligne"/>
        <w:rPr>
          <w:b/>
          <w:highlight w:val="yellow"/>
        </w:rPr>
      </w:pPr>
      <w:r w:rsidRPr="008B2543">
        <w:rPr>
          <w:b/>
          <w:highlight w:val="yellow"/>
        </w:rPr>
        <w:t>Mononucléose infectieuse</w:t>
      </w:r>
    </w:p>
    <w:p w:rsidR="00F474A0" w:rsidRPr="008B2543" w:rsidRDefault="00F474A0" w:rsidP="005D429F">
      <w:pPr>
        <w:pStyle w:val="Sansinterligne"/>
        <w:numPr>
          <w:ilvl w:val="0"/>
          <w:numId w:val="907"/>
        </w:numPr>
        <w:rPr>
          <w:highlight w:val="yellow"/>
        </w:rPr>
      </w:pPr>
      <w:r w:rsidRPr="008B2543">
        <w:rPr>
          <w:highlight w:val="yellow"/>
        </w:rPr>
        <w:t>Repos</w:t>
      </w:r>
    </w:p>
    <w:p w:rsidR="00F474A0" w:rsidRPr="008B2543" w:rsidRDefault="00F474A0" w:rsidP="005D429F">
      <w:pPr>
        <w:pStyle w:val="Sansinterligne"/>
        <w:numPr>
          <w:ilvl w:val="0"/>
          <w:numId w:val="907"/>
        </w:numPr>
        <w:rPr>
          <w:highlight w:val="yellow"/>
        </w:rPr>
      </w:pPr>
      <w:r w:rsidRPr="008B2543">
        <w:rPr>
          <w:highlight w:val="yellow"/>
        </w:rPr>
        <w:t>Hydratation</w:t>
      </w:r>
    </w:p>
    <w:p w:rsidR="00F474A0" w:rsidRPr="008B2543" w:rsidRDefault="00F474A0" w:rsidP="005D429F">
      <w:pPr>
        <w:pStyle w:val="Sansinterligne"/>
        <w:numPr>
          <w:ilvl w:val="0"/>
          <w:numId w:val="907"/>
        </w:numPr>
        <w:rPr>
          <w:highlight w:val="yellow"/>
        </w:rPr>
      </w:pPr>
      <w:r w:rsidRPr="008B2543">
        <w:rPr>
          <w:highlight w:val="yellow"/>
        </w:rPr>
        <w:t>Gargariser avec eau salée</w:t>
      </w:r>
    </w:p>
    <w:p w:rsidR="00F474A0" w:rsidRPr="008B2543" w:rsidRDefault="00F474A0" w:rsidP="005D429F">
      <w:pPr>
        <w:pStyle w:val="Sansinterligne"/>
        <w:numPr>
          <w:ilvl w:val="0"/>
          <w:numId w:val="907"/>
        </w:numPr>
        <w:rPr>
          <w:highlight w:val="yellow"/>
        </w:rPr>
      </w:pPr>
      <w:r w:rsidRPr="008B2543">
        <w:rPr>
          <w:highlight w:val="yellow"/>
        </w:rPr>
        <w:t>Acéta</w:t>
      </w:r>
      <w:r w:rsidR="00C63AFC">
        <w:rPr>
          <w:highlight w:val="yellow"/>
        </w:rPr>
        <w:t>minophène</w:t>
      </w:r>
    </w:p>
    <w:p w:rsidR="00F474A0" w:rsidRPr="008B2543" w:rsidRDefault="00F474A0" w:rsidP="005D429F">
      <w:pPr>
        <w:pStyle w:val="Sansinterligne"/>
        <w:numPr>
          <w:ilvl w:val="0"/>
          <w:numId w:val="907"/>
        </w:numPr>
        <w:rPr>
          <w:highlight w:val="yellow"/>
        </w:rPr>
      </w:pPr>
      <w:r w:rsidRPr="008B2543">
        <w:rPr>
          <w:highlight w:val="yellow"/>
        </w:rPr>
        <w:t>Attention à la mobilisation de la rate</w:t>
      </w:r>
    </w:p>
    <w:p w:rsidR="00F474A0" w:rsidRPr="008B2543" w:rsidRDefault="00F474A0" w:rsidP="005D429F">
      <w:pPr>
        <w:pStyle w:val="Sansinterligne"/>
        <w:numPr>
          <w:ilvl w:val="0"/>
          <w:numId w:val="907"/>
        </w:numPr>
        <w:rPr>
          <w:highlight w:val="yellow"/>
        </w:rPr>
      </w:pPr>
      <w:r w:rsidRPr="008B2543">
        <w:rPr>
          <w:highlight w:val="yellow"/>
        </w:rPr>
        <w:t>Éviter sports de contact</w:t>
      </w:r>
    </w:p>
    <w:p w:rsidR="004F263A" w:rsidRDefault="004F263A" w:rsidP="00C269B2">
      <w:pPr>
        <w:pStyle w:val="Sansinterligne"/>
      </w:pPr>
    </w:p>
    <w:p w:rsidR="00C42DB9" w:rsidRPr="00F474A0" w:rsidRDefault="00C42DB9" w:rsidP="00C269B2">
      <w:pPr>
        <w:pStyle w:val="Sansinterligne"/>
        <w:rPr>
          <w:b/>
        </w:rPr>
      </w:pPr>
      <w:r w:rsidRPr="00F474A0">
        <w:rPr>
          <w:b/>
        </w:rPr>
        <w:t>Scarlatine</w:t>
      </w:r>
    </w:p>
    <w:p w:rsidR="00C42DB9" w:rsidRDefault="00C42DB9" w:rsidP="005D429F">
      <w:pPr>
        <w:pStyle w:val="Sansinterligne"/>
        <w:numPr>
          <w:ilvl w:val="0"/>
          <w:numId w:val="908"/>
        </w:numPr>
      </w:pPr>
      <w:r>
        <w:t>Voir pharyngite à SGA</w:t>
      </w:r>
    </w:p>
    <w:p w:rsidR="00C42DB9" w:rsidRDefault="0000254E" w:rsidP="00C269B2">
      <w:pPr>
        <w:pStyle w:val="Sansinterligne"/>
      </w:pPr>
      <w:r>
        <w:rPr>
          <w:noProof/>
          <w:lang w:eastAsia="fr-CA"/>
        </w:rPr>
        <mc:AlternateContent>
          <mc:Choice Requires="wpg">
            <w:drawing>
              <wp:anchor distT="0" distB="0" distL="114300" distR="114300" simplePos="0" relativeHeight="251926528" behindDoc="0" locked="0" layoutInCell="1" allowOverlap="1" wp14:anchorId="604BE350" wp14:editId="5A5C5FBC">
                <wp:simplePos x="0" y="0"/>
                <wp:positionH relativeFrom="column">
                  <wp:posOffset>4679004</wp:posOffset>
                </wp:positionH>
                <wp:positionV relativeFrom="paragraph">
                  <wp:posOffset>27602</wp:posOffset>
                </wp:positionV>
                <wp:extent cx="1819073" cy="4105073"/>
                <wp:effectExtent l="0" t="0" r="0" b="0"/>
                <wp:wrapNone/>
                <wp:docPr id="443" name="Groupe 443"/>
                <wp:cNvGraphicFramePr/>
                <a:graphic xmlns:a="http://schemas.openxmlformats.org/drawingml/2006/main">
                  <a:graphicData uri="http://schemas.microsoft.com/office/word/2010/wordprocessingGroup">
                    <wpg:wgp>
                      <wpg:cNvGrpSpPr/>
                      <wpg:grpSpPr>
                        <a:xfrm>
                          <a:off x="0" y="0"/>
                          <a:ext cx="1819073" cy="4105073"/>
                          <a:chOff x="0" y="0"/>
                          <a:chExt cx="1819073" cy="4105073"/>
                        </a:xfrm>
                      </wpg:grpSpPr>
                      <pic:pic xmlns:pic="http://schemas.openxmlformats.org/drawingml/2006/picture">
                        <pic:nvPicPr>
                          <pic:cNvPr id="441" name="Image 441"/>
                          <pic:cNvPicPr>
                            <a:picLocks noChangeAspect="1"/>
                          </pic:cNvPicPr>
                        </pic:nvPicPr>
                        <pic:blipFill>
                          <a:blip r:embed="rId337">
                            <a:extLst>
                              <a:ext uri="{28A0092B-C50C-407E-A947-70E740481C1C}">
                                <a14:useLocalDpi xmlns:a14="http://schemas.microsoft.com/office/drawing/2010/main" val="0"/>
                              </a:ext>
                            </a:extLst>
                          </a:blip>
                          <a:stretch>
                            <a:fillRect/>
                          </a:stretch>
                        </pic:blipFill>
                        <pic:spPr>
                          <a:xfrm>
                            <a:off x="0" y="243192"/>
                            <a:ext cx="1819073" cy="3861881"/>
                          </a:xfrm>
                          <a:prstGeom prst="rect">
                            <a:avLst/>
                          </a:prstGeom>
                        </pic:spPr>
                      </pic:pic>
                      <wps:wsp>
                        <wps:cNvPr id="442" name="Zone de texte 2"/>
                        <wps:cNvSpPr txBox="1">
                          <a:spLocks noChangeArrowheads="1"/>
                        </wps:cNvSpPr>
                        <wps:spPr bwMode="auto">
                          <a:xfrm>
                            <a:off x="359924" y="0"/>
                            <a:ext cx="1186180" cy="300990"/>
                          </a:xfrm>
                          <a:prstGeom prst="rect">
                            <a:avLst/>
                          </a:prstGeom>
                          <a:solidFill>
                            <a:srgbClr val="FFFFFF"/>
                          </a:solidFill>
                          <a:ln w="9525">
                            <a:noFill/>
                            <a:miter lim="800000"/>
                            <a:headEnd/>
                            <a:tailEnd/>
                          </a:ln>
                        </wps:spPr>
                        <wps:txbx>
                          <w:txbxContent>
                            <w:p w:rsidR="008276DC" w:rsidRPr="0000254E" w:rsidRDefault="008276DC">
                              <w:pPr>
                                <w:rPr>
                                  <w:b/>
                                  <w:sz w:val="32"/>
                                  <w:szCs w:val="32"/>
                                </w:rPr>
                              </w:pPr>
                              <w:r w:rsidRPr="0000254E">
                                <w:rPr>
                                  <w:b/>
                                  <w:sz w:val="32"/>
                                  <w:szCs w:val="32"/>
                                </w:rPr>
                                <w:t>Scarlatine</w:t>
                              </w:r>
                            </w:p>
                          </w:txbxContent>
                        </wps:txbx>
                        <wps:bodyPr rot="0" vert="horz" wrap="square" lIns="91440" tIns="45720" rIns="91440" bIns="45720" anchor="t" anchorCtr="0">
                          <a:noAutofit/>
                        </wps:bodyPr>
                      </wps:wsp>
                    </wpg:wgp>
                  </a:graphicData>
                </a:graphic>
              </wp:anchor>
            </w:drawing>
          </mc:Choice>
          <mc:Fallback>
            <w:pict>
              <v:group id="Groupe 443" o:spid="_x0000_s1127" style="position:absolute;margin-left:368.45pt;margin-top:2.15pt;width:143.25pt;height:323.25pt;z-index:251926528" coordsize="18190,41050" o:gfxdata="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">
                <v:shape id="Image 441" o:spid="_x0000_s1128" type="#_x0000_t75" style="position:absolute;top:2431;width:18190;height:386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3avh7BAAAA3AAAAA8AAABkcnMvZG93bnJldi54bWxEj0GLwjAUhO8L/ofwBG9rqhTRahQRV3qt&#10;7np+NM+22LyUJlvjv98sCB6HmfmG2eyCacVAvWssK5hNExDEpdUNVwq+L1+fSxDOI2tsLZOCJznY&#10;bUcfG8y0fXBBw9lXIkLYZaig9r7LpHRlTQbd1HbE0bvZ3qCPsq+k7vER4aaV8yRZSIMNx4UaOzrU&#10;VN7Pv0bBKc/Ty8/JXrtqlR/nZgiFK4JSk3HYr0F4Cv4dfrVzrSBNZ/B/Jh4Buf0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3avh7BAAAA3AAAAA8AAAAAAAAAAAAAAAAAnwIA&#10;AGRycy9kb3ducmV2LnhtbFBLBQYAAAAABAAEAPcAAACNAwAAAAA=&#10;">
                  <v:imagedata r:id="rId338" o:title=""/>
                  <v:path arrowok="t"/>
                </v:shape>
                <v:shape id="_x0000_s1129" type="#_x0000_t202" style="position:absolute;left:3599;width:11862;height:30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ZuucQA&#10;AADcAAAADwAAAGRycy9kb3ducmV2LnhtbESP22rDMBBE3wv9B7GFvpRabnDsxokS2kJKXnP5gI21&#10;vlBrZSzVl7+vAoU8DjNzhtnsJtOKgXrXWFbwFsUgiAurG64UXM7713cQziNrbC2Tgpkc7LaPDxvM&#10;tR35SMPJVyJA2OWooPa+y6V0RU0GXWQ74uCVtjfog+wrqXscA9y0chHHqTTYcFiosaOvmoqf069R&#10;UB7Gl+VqvH77S3ZM0k9ssqudlXp+mj7WIDxN/h7+bx+0giRZwO1MOAJy+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sGbrnEAAAA3AAAAA8AAAAAAAAAAAAAAAAAmAIAAGRycy9k&#10;b3ducmV2LnhtbFBLBQYAAAAABAAEAPUAAACJAwAAAAA=&#10;" stroked="f">
                  <v:textbox>
                    <w:txbxContent>
                      <w:p w:rsidR="008276DC" w:rsidRPr="0000254E" w:rsidRDefault="008276DC">
                        <w:pPr>
                          <w:rPr>
                            <w:b/>
                            <w:sz w:val="32"/>
                            <w:szCs w:val="32"/>
                          </w:rPr>
                        </w:pPr>
                        <w:r w:rsidRPr="0000254E">
                          <w:rPr>
                            <w:b/>
                            <w:sz w:val="32"/>
                            <w:szCs w:val="32"/>
                          </w:rPr>
                          <w:t>Scarlatine</w:t>
                        </w:r>
                      </w:p>
                    </w:txbxContent>
                  </v:textbox>
                </v:shape>
              </v:group>
            </w:pict>
          </mc:Fallback>
        </mc:AlternateContent>
      </w:r>
    </w:p>
    <w:p w:rsidR="00DB0247" w:rsidRPr="00485C48" w:rsidRDefault="00DB0247" w:rsidP="00C269B2">
      <w:pPr>
        <w:pStyle w:val="Sansinterligne"/>
        <w:rPr>
          <w:b/>
        </w:rPr>
      </w:pPr>
      <w:r w:rsidRPr="00485C48">
        <w:rPr>
          <w:b/>
        </w:rPr>
        <w:t>Candidose oropharyngée</w:t>
      </w:r>
      <w:r w:rsidR="00485C48">
        <w:rPr>
          <w:b/>
        </w:rPr>
        <w:t xml:space="preserve"> (VIH - )</w:t>
      </w:r>
    </w:p>
    <w:p w:rsidR="00DB0247" w:rsidRDefault="00DB0247" w:rsidP="005D429F">
      <w:pPr>
        <w:pStyle w:val="Sansinterligne"/>
        <w:numPr>
          <w:ilvl w:val="0"/>
          <w:numId w:val="910"/>
        </w:numPr>
      </w:pPr>
      <w:r>
        <w:t>Nystatin 500 000 unités PO QID x 7 jours</w:t>
      </w:r>
    </w:p>
    <w:p w:rsidR="00DB0247" w:rsidRDefault="00DB0247" w:rsidP="005D429F">
      <w:pPr>
        <w:pStyle w:val="Sansinterligne"/>
        <w:numPr>
          <w:ilvl w:val="0"/>
          <w:numId w:val="910"/>
        </w:numPr>
      </w:pPr>
      <w:r>
        <w:t>Si échec :</w:t>
      </w:r>
    </w:p>
    <w:p w:rsidR="008B2543" w:rsidRPr="008B2543" w:rsidRDefault="00DB0247" w:rsidP="005D429F">
      <w:pPr>
        <w:pStyle w:val="Sansinterligne"/>
        <w:numPr>
          <w:ilvl w:val="1"/>
          <w:numId w:val="910"/>
        </w:numPr>
        <w:rPr>
          <w:i/>
        </w:rPr>
      </w:pPr>
      <w:r>
        <w:t xml:space="preserve">Fluconazole 200 mg x 1 </w:t>
      </w:r>
      <w:r>
        <w:rPr>
          <w:rFonts w:ascii="Century Gothic" w:hAnsi="Century Gothic"/>
        </w:rPr>
        <w:t>→</w:t>
      </w:r>
      <w:r>
        <w:t xml:space="preserve"> 100</w:t>
      </w:r>
      <w:r w:rsidR="00485C48">
        <w:t>-200</w:t>
      </w:r>
      <w:r>
        <w:t xml:space="preserve"> mg</w:t>
      </w:r>
      <w:r w:rsidR="00485C48">
        <w:t xml:space="preserve"> DIE x 7 jours</w:t>
      </w:r>
    </w:p>
    <w:p w:rsidR="008B2543" w:rsidRDefault="008B2543" w:rsidP="008B2543">
      <w:pPr>
        <w:pStyle w:val="Sansinterligne"/>
      </w:pPr>
    </w:p>
    <w:p w:rsidR="008B2543" w:rsidRPr="008B2543" w:rsidRDefault="008B2543" w:rsidP="008B2543">
      <w:pPr>
        <w:pStyle w:val="Sansinterligne"/>
        <w:rPr>
          <w:b/>
        </w:rPr>
      </w:pPr>
      <w:r w:rsidRPr="008B2543">
        <w:rPr>
          <w:b/>
        </w:rPr>
        <w:t>Angine de Ludwig</w:t>
      </w:r>
    </w:p>
    <w:p w:rsidR="008B2543" w:rsidRDefault="008B2543" w:rsidP="005D429F">
      <w:pPr>
        <w:pStyle w:val="Sansinterligne"/>
        <w:numPr>
          <w:ilvl w:val="0"/>
          <w:numId w:val="911"/>
        </w:numPr>
      </w:pPr>
      <w:r>
        <w:t>Référence urgente en ORL / chirurgie maxillofaciale</w:t>
      </w:r>
    </w:p>
    <w:p w:rsidR="008B2543" w:rsidRDefault="008B2543" w:rsidP="005D429F">
      <w:pPr>
        <w:pStyle w:val="Sansinterligne"/>
        <w:numPr>
          <w:ilvl w:val="1"/>
          <w:numId w:val="911"/>
        </w:numPr>
      </w:pPr>
      <w:r>
        <w:t>Un compromis respiratoire peut survenir.</w:t>
      </w:r>
    </w:p>
    <w:p w:rsidR="008B2543" w:rsidRDefault="008B2543" w:rsidP="005D429F">
      <w:pPr>
        <w:pStyle w:val="Sansinterligne"/>
        <w:numPr>
          <w:ilvl w:val="1"/>
          <w:numId w:val="911"/>
        </w:numPr>
      </w:pPr>
      <w:r>
        <w:t>Drainage</w:t>
      </w:r>
    </w:p>
    <w:p w:rsidR="008B2543" w:rsidRDefault="008B2543" w:rsidP="005D429F">
      <w:pPr>
        <w:pStyle w:val="Sansinterligne"/>
        <w:numPr>
          <w:ilvl w:val="0"/>
          <w:numId w:val="911"/>
        </w:numPr>
      </w:pPr>
      <w:r>
        <w:t>ATB large spectre selon culture</w:t>
      </w:r>
    </w:p>
    <w:p w:rsidR="00C269B2" w:rsidRPr="00C42DB9" w:rsidRDefault="008B2543" w:rsidP="005D429F">
      <w:pPr>
        <w:pStyle w:val="Sansinterligne"/>
        <w:numPr>
          <w:ilvl w:val="1"/>
          <w:numId w:val="911"/>
        </w:numPr>
        <w:rPr>
          <w:i/>
        </w:rPr>
      </w:pPr>
      <w:r>
        <w:t>Clindamycine 600 mg q 8h</w:t>
      </w:r>
      <w:r w:rsidR="00C269B2">
        <w:br w:type="page"/>
      </w:r>
    </w:p>
    <w:p w:rsidR="0004357D" w:rsidRPr="00F62E2A" w:rsidRDefault="00E444F3" w:rsidP="00F62E2A">
      <w:pPr>
        <w:pStyle w:val="Sansinterligne"/>
        <w:rPr>
          <w:rFonts w:cs="Times New Roman"/>
          <w:b/>
        </w:rPr>
      </w:pPr>
      <w:r w:rsidRPr="00F62E2A">
        <w:rPr>
          <w:rFonts w:cs="Times New Roman"/>
          <w:b/>
          <w:color w:val="548DD4" w:themeColor="text2" w:themeTint="99"/>
        </w:rPr>
        <w:t>CMC 100-1</w:t>
      </w:r>
    </w:p>
    <w:p w:rsidR="00E444F3" w:rsidRPr="00F012F8" w:rsidRDefault="00E444F3" w:rsidP="00E444F3">
      <w:pPr>
        <w:pStyle w:val="Titre3"/>
        <w:spacing w:before="0"/>
        <w:rPr>
          <w:rFonts w:ascii="Times New Roman" w:hAnsi="Times New Roman" w:cs="Times New Roman"/>
        </w:rPr>
      </w:pPr>
      <w:bookmarkStart w:id="364" w:name="_Toc480797329"/>
      <w:r w:rsidRPr="00F012F8">
        <w:rPr>
          <w:rFonts w:ascii="Times New Roman" w:hAnsi="Times New Roman" w:cs="Times New Roman"/>
        </w:rPr>
        <w:t>Dysfonction olfactive/gustative</w:t>
      </w:r>
      <w:bookmarkEnd w:id="364"/>
    </w:p>
    <w:tbl>
      <w:tblPr>
        <w:tblW w:w="5000" w:type="pct"/>
        <w:tblCellSpacing w:w="0" w:type="dxa"/>
        <w:tblCellMar>
          <w:left w:w="0" w:type="dxa"/>
          <w:right w:w="0" w:type="dxa"/>
        </w:tblCellMar>
        <w:tblLook w:val="04A0" w:firstRow="1" w:lastRow="0" w:firstColumn="1" w:lastColumn="0" w:noHBand="0" w:noVBand="1"/>
      </w:tblPr>
      <w:tblGrid>
        <w:gridCol w:w="10759"/>
        <w:gridCol w:w="41"/>
      </w:tblGrid>
      <w:tr w:rsidR="00E444F3" w:rsidRPr="00F012F8" w:rsidTr="00E444F3">
        <w:trPr>
          <w:tblCellSpacing w:w="0" w:type="dxa"/>
        </w:trPr>
        <w:tc>
          <w:tcPr>
            <w:tcW w:w="0" w:type="auto"/>
            <w:vAlign w:val="bottom"/>
            <w:hideMark/>
          </w:tcPr>
          <w:bookmarkStart w:id="365" w:name="_Toc474266719"/>
          <w:bookmarkStart w:id="366" w:name="_Toc474274474"/>
          <w:bookmarkStart w:id="367" w:name="_Toc474769841"/>
          <w:bookmarkStart w:id="368" w:name="_Toc475198246"/>
          <w:bookmarkStart w:id="369" w:name="_Toc475563879"/>
          <w:p w:rsidR="00E444F3" w:rsidRPr="00520ED3" w:rsidRDefault="00E444F3" w:rsidP="00520ED3">
            <w:pPr>
              <w:pStyle w:val="Sansinterligne"/>
              <w:spacing w:before="240"/>
              <w:rPr>
                <w:b/>
                <w:sz w:val="18"/>
                <w:szCs w:val="18"/>
              </w:rPr>
            </w:pPr>
            <w:r w:rsidRPr="00520ED3">
              <w:rPr>
                <w:b/>
                <w:noProof/>
                <w:sz w:val="18"/>
                <w:szCs w:val="18"/>
                <w:lang w:eastAsia="fr-CA"/>
              </w:rPr>
              <mc:AlternateContent>
                <mc:Choice Requires="wps">
                  <w:drawing>
                    <wp:anchor distT="0" distB="0" distL="114300" distR="114300" simplePos="0" relativeHeight="251663360" behindDoc="0" locked="0" layoutInCell="1" allowOverlap="1" wp14:anchorId="24D189D0" wp14:editId="15A0B43A">
                      <wp:simplePos x="0" y="0"/>
                      <wp:positionH relativeFrom="column">
                        <wp:posOffset>-87630</wp:posOffset>
                      </wp:positionH>
                      <wp:positionV relativeFrom="paragraph">
                        <wp:posOffset>50800</wp:posOffset>
                      </wp:positionV>
                      <wp:extent cx="7033260" cy="2703830"/>
                      <wp:effectExtent l="0" t="0" r="15240" b="20320"/>
                      <wp:wrapNone/>
                      <wp:docPr id="8" name="Rectangle 8"/>
                      <wp:cNvGraphicFramePr/>
                      <a:graphic xmlns:a="http://schemas.openxmlformats.org/drawingml/2006/main">
                        <a:graphicData uri="http://schemas.microsoft.com/office/word/2010/wordprocessingShape">
                          <wps:wsp>
                            <wps:cNvSpPr/>
                            <wps:spPr>
                              <a:xfrm>
                                <a:off x="0" y="0"/>
                                <a:ext cx="7033260" cy="2703830"/>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8" o:spid="_x0000_s1026" style="position:absolute;margin-left:-6.9pt;margin-top:4pt;width:553.8pt;height:212.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" filled="f" strokecolor="black [1600]" strokeweight="2pt"/>
                  </w:pict>
                </mc:Fallback>
              </mc:AlternateContent>
            </w:r>
            <w:r w:rsidRPr="00520ED3">
              <w:rPr>
                <w:b/>
                <w:sz w:val="18"/>
                <w:szCs w:val="18"/>
              </w:rPr>
              <w:t>Objectifs principaux</w:t>
            </w:r>
            <w:bookmarkEnd w:id="365"/>
            <w:bookmarkEnd w:id="366"/>
            <w:bookmarkEnd w:id="367"/>
            <w:bookmarkEnd w:id="368"/>
            <w:bookmarkEnd w:id="369"/>
          </w:p>
        </w:tc>
        <w:tc>
          <w:tcPr>
            <w:tcW w:w="0" w:type="auto"/>
            <w:vAlign w:val="bottom"/>
            <w:hideMark/>
          </w:tcPr>
          <w:p w:rsidR="00E444F3" w:rsidRPr="00F012F8" w:rsidRDefault="00E444F3">
            <w:pPr>
              <w:jc w:val="right"/>
              <w:rPr>
                <w:rFonts w:cs="Times New Roman"/>
                <w:color w:val="000000"/>
                <w:sz w:val="18"/>
                <w:szCs w:val="18"/>
              </w:rPr>
            </w:pPr>
          </w:p>
        </w:tc>
      </w:tr>
    </w:tbl>
    <w:p w:rsidR="00E444F3" w:rsidRPr="00F012F8" w:rsidRDefault="00E444F3" w:rsidP="00E444F3">
      <w:pPr>
        <w:pStyle w:val="NormalWeb"/>
        <w:spacing w:after="0" w:afterAutospacing="0"/>
        <w:ind w:left="360"/>
        <w:rPr>
          <w:color w:val="000000"/>
          <w:sz w:val="18"/>
          <w:szCs w:val="18"/>
          <w:shd w:val="clear" w:color="auto" w:fill="FFFFFF"/>
        </w:rPr>
      </w:pPr>
      <w:r w:rsidRPr="00F012F8">
        <w:rPr>
          <w:color w:val="000000"/>
          <w:sz w:val="18"/>
          <w:szCs w:val="18"/>
          <w:shd w:val="clear" w:color="auto" w:fill="FFFFFF"/>
        </w:rPr>
        <w:t>Dans le cas d'un patient présentant une dysfonction olfactive ou gustative, le candidat devra en diagnostiquer la cause, la gravité et les complications, et mettre en place un plan de prise en charge approprié. Il faut accorder une attention particulière aux antécédents du patient et aux résultats de l'examen physique de façon à distinguer un trouble de conduction d'un trouble neurosensoriel.</w:t>
      </w:r>
    </w:p>
    <w:tbl>
      <w:tblPr>
        <w:tblW w:w="5000" w:type="pct"/>
        <w:tblCellSpacing w:w="0" w:type="dxa"/>
        <w:tblCellMar>
          <w:left w:w="0" w:type="dxa"/>
          <w:right w:w="0" w:type="dxa"/>
        </w:tblCellMar>
        <w:tblLook w:val="04A0" w:firstRow="1" w:lastRow="0" w:firstColumn="1" w:lastColumn="0" w:noHBand="0" w:noVBand="1"/>
      </w:tblPr>
      <w:tblGrid>
        <w:gridCol w:w="10754"/>
        <w:gridCol w:w="46"/>
      </w:tblGrid>
      <w:tr w:rsidR="00E444F3" w:rsidRPr="00F012F8" w:rsidTr="00E444F3">
        <w:trPr>
          <w:tblCellSpacing w:w="0" w:type="dxa"/>
        </w:trPr>
        <w:tc>
          <w:tcPr>
            <w:tcW w:w="0" w:type="auto"/>
            <w:vAlign w:val="bottom"/>
            <w:hideMark/>
          </w:tcPr>
          <w:p w:rsidR="00E444F3" w:rsidRPr="00520ED3" w:rsidRDefault="00E444F3" w:rsidP="00520ED3">
            <w:pPr>
              <w:pStyle w:val="Sansinterligne"/>
              <w:spacing w:before="240"/>
              <w:rPr>
                <w:b/>
                <w:sz w:val="16"/>
                <w:szCs w:val="16"/>
              </w:rPr>
            </w:pPr>
            <w:bookmarkStart w:id="370" w:name="_Toc474266720"/>
            <w:bookmarkStart w:id="371" w:name="_Toc474274475"/>
            <w:bookmarkStart w:id="372" w:name="_Toc474769842"/>
            <w:bookmarkStart w:id="373" w:name="_Toc475198247"/>
            <w:bookmarkStart w:id="374" w:name="_Toc475563880"/>
            <w:r w:rsidRPr="00520ED3">
              <w:rPr>
                <w:b/>
                <w:sz w:val="16"/>
                <w:szCs w:val="16"/>
              </w:rPr>
              <w:t>Objectifs spécifiques</w:t>
            </w:r>
            <w:bookmarkEnd w:id="370"/>
            <w:bookmarkEnd w:id="371"/>
            <w:bookmarkEnd w:id="372"/>
            <w:bookmarkEnd w:id="373"/>
            <w:bookmarkEnd w:id="374"/>
          </w:p>
        </w:tc>
        <w:tc>
          <w:tcPr>
            <w:tcW w:w="0" w:type="auto"/>
            <w:vAlign w:val="bottom"/>
            <w:hideMark/>
          </w:tcPr>
          <w:p w:rsidR="00E444F3" w:rsidRPr="00F012F8" w:rsidRDefault="00E444F3">
            <w:pPr>
              <w:jc w:val="right"/>
              <w:rPr>
                <w:rFonts w:cs="Times New Roman"/>
                <w:color w:val="000000"/>
                <w:sz w:val="16"/>
                <w:szCs w:val="16"/>
              </w:rPr>
            </w:pPr>
          </w:p>
        </w:tc>
      </w:tr>
    </w:tbl>
    <w:p w:rsidR="00E444F3" w:rsidRPr="00F012F8" w:rsidRDefault="00E444F3" w:rsidP="00E444F3">
      <w:pPr>
        <w:pStyle w:val="NormalWeb"/>
        <w:shd w:val="clear" w:color="auto" w:fill="FFFFFF"/>
        <w:ind w:left="360"/>
        <w:rPr>
          <w:color w:val="000000"/>
          <w:sz w:val="16"/>
          <w:szCs w:val="16"/>
          <w:shd w:val="clear" w:color="auto" w:fill="FFFFFF"/>
        </w:rPr>
      </w:pPr>
      <w:r w:rsidRPr="00F012F8">
        <w:rPr>
          <w:color w:val="000000"/>
          <w:sz w:val="16"/>
          <w:szCs w:val="16"/>
          <w:shd w:val="clear" w:color="auto" w:fill="FFFFFF"/>
        </w:rPr>
        <w:t>Dans le cas d'un patient présentant une altération de l'odorat ou du goût, le candidat devra</w:t>
      </w:r>
    </w:p>
    <w:p w:rsidR="00E444F3" w:rsidRPr="00F012F8" w:rsidRDefault="00E444F3" w:rsidP="001A1752">
      <w:pPr>
        <w:numPr>
          <w:ilvl w:val="0"/>
          <w:numId w:val="18"/>
        </w:numPr>
        <w:shd w:val="clear" w:color="auto" w:fill="FFFFFF"/>
        <w:spacing w:before="100" w:beforeAutospacing="1" w:after="100" w:afterAutospacing="1" w:line="240" w:lineRule="auto"/>
        <w:rPr>
          <w:rFonts w:cs="Times New Roman"/>
          <w:color w:val="000000"/>
          <w:sz w:val="16"/>
          <w:szCs w:val="16"/>
          <w:shd w:val="clear" w:color="auto" w:fill="FFFFFF"/>
        </w:rPr>
      </w:pPr>
      <w:r w:rsidRPr="00F012F8">
        <w:rPr>
          <w:rFonts w:cs="Times New Roman"/>
          <w:color w:val="000000"/>
          <w:sz w:val="16"/>
          <w:szCs w:val="16"/>
          <w:shd w:val="clear" w:color="auto" w:fill="FFFFFF"/>
        </w:rPr>
        <w:t>énumérer et interpréter les constatations cliniques cruciales, notamment :</w:t>
      </w:r>
    </w:p>
    <w:p w:rsidR="00E444F3" w:rsidRPr="00F012F8" w:rsidRDefault="00E444F3" w:rsidP="001A1752">
      <w:pPr>
        <w:numPr>
          <w:ilvl w:val="1"/>
          <w:numId w:val="18"/>
        </w:numPr>
        <w:shd w:val="clear" w:color="auto" w:fill="FFFFFF"/>
        <w:spacing w:before="100" w:beforeAutospacing="1" w:after="100" w:afterAutospacing="1" w:line="240" w:lineRule="auto"/>
        <w:rPr>
          <w:rFonts w:cs="Times New Roman"/>
          <w:color w:val="000000"/>
          <w:sz w:val="16"/>
          <w:szCs w:val="16"/>
          <w:shd w:val="clear" w:color="auto" w:fill="FFFFFF"/>
        </w:rPr>
      </w:pPr>
      <w:r w:rsidRPr="00F012F8">
        <w:rPr>
          <w:rFonts w:cs="Times New Roman"/>
          <w:color w:val="000000"/>
          <w:sz w:val="16"/>
          <w:szCs w:val="16"/>
          <w:shd w:val="clear" w:color="auto" w:fill="FFFFFF"/>
        </w:rPr>
        <w:t>confirmer que la perception subjective de la perte de l'odorat ou du goût correspond effectivement à une perturbation de l'odorat;</w:t>
      </w:r>
    </w:p>
    <w:p w:rsidR="00E444F3" w:rsidRPr="00F012F8" w:rsidRDefault="00E444F3" w:rsidP="001A1752">
      <w:pPr>
        <w:numPr>
          <w:ilvl w:val="1"/>
          <w:numId w:val="18"/>
        </w:numPr>
        <w:shd w:val="clear" w:color="auto" w:fill="FFFFFF"/>
        <w:spacing w:before="100" w:beforeAutospacing="1" w:after="100" w:afterAutospacing="1" w:line="240" w:lineRule="auto"/>
        <w:rPr>
          <w:rFonts w:cs="Times New Roman"/>
          <w:color w:val="000000"/>
          <w:sz w:val="16"/>
          <w:szCs w:val="16"/>
          <w:shd w:val="clear" w:color="auto" w:fill="FFFFFF"/>
        </w:rPr>
      </w:pPr>
      <w:r w:rsidRPr="00F012F8">
        <w:rPr>
          <w:rFonts w:cs="Times New Roman"/>
          <w:color w:val="000000"/>
          <w:sz w:val="16"/>
          <w:szCs w:val="16"/>
          <w:shd w:val="clear" w:color="auto" w:fill="FFFFFF"/>
        </w:rPr>
        <w:t>déterminer la présence d'une obstruction nasale ou d'une rhinite qui peuvent être le signe d'un trouble de conduction;</w:t>
      </w:r>
    </w:p>
    <w:p w:rsidR="00E444F3" w:rsidRPr="00F012F8" w:rsidRDefault="00E444F3" w:rsidP="001A1752">
      <w:pPr>
        <w:numPr>
          <w:ilvl w:val="1"/>
          <w:numId w:val="18"/>
        </w:numPr>
        <w:shd w:val="clear" w:color="auto" w:fill="FFFFFF"/>
        <w:spacing w:before="100" w:beforeAutospacing="1" w:after="100" w:afterAutospacing="1" w:line="240" w:lineRule="auto"/>
        <w:rPr>
          <w:rFonts w:cs="Times New Roman"/>
          <w:color w:val="000000"/>
          <w:sz w:val="16"/>
          <w:szCs w:val="16"/>
          <w:shd w:val="clear" w:color="auto" w:fill="FFFFFF"/>
        </w:rPr>
      </w:pPr>
      <w:r w:rsidRPr="00F012F8">
        <w:rPr>
          <w:rFonts w:cs="Times New Roman"/>
          <w:color w:val="000000"/>
          <w:sz w:val="16"/>
          <w:szCs w:val="16"/>
          <w:shd w:val="clear" w:color="auto" w:fill="FFFFFF"/>
        </w:rPr>
        <w:t>déterminer le moment où les symptômes sont apparus ainsi que les symptômes concomitants et les facteurs de risque signalant d'autres causes possibles;</w:t>
      </w:r>
    </w:p>
    <w:p w:rsidR="00E444F3" w:rsidRPr="00F012F8" w:rsidRDefault="00E444F3" w:rsidP="001A1752">
      <w:pPr>
        <w:numPr>
          <w:ilvl w:val="0"/>
          <w:numId w:val="18"/>
        </w:numPr>
        <w:shd w:val="clear" w:color="auto" w:fill="FFFFFF"/>
        <w:spacing w:before="100" w:beforeAutospacing="1" w:after="100" w:afterAutospacing="1" w:line="240" w:lineRule="auto"/>
        <w:rPr>
          <w:rFonts w:cs="Times New Roman"/>
          <w:color w:val="000000"/>
          <w:sz w:val="16"/>
          <w:szCs w:val="16"/>
          <w:shd w:val="clear" w:color="auto" w:fill="FFFFFF"/>
        </w:rPr>
      </w:pPr>
      <w:r w:rsidRPr="00F012F8">
        <w:rPr>
          <w:rFonts w:cs="Times New Roman"/>
          <w:color w:val="000000"/>
          <w:sz w:val="16"/>
          <w:szCs w:val="16"/>
          <w:shd w:val="clear" w:color="auto" w:fill="FFFFFF"/>
        </w:rPr>
        <w:t>énumérer et interpréter les examens cliniques essentiels, notamment :</w:t>
      </w:r>
    </w:p>
    <w:p w:rsidR="00E444F3" w:rsidRPr="00F012F8" w:rsidRDefault="00E444F3" w:rsidP="001A1752">
      <w:pPr>
        <w:numPr>
          <w:ilvl w:val="1"/>
          <w:numId w:val="18"/>
        </w:numPr>
        <w:shd w:val="clear" w:color="auto" w:fill="FFFFFF"/>
        <w:spacing w:before="100" w:beforeAutospacing="1" w:after="100" w:afterAutospacing="1" w:line="240" w:lineRule="auto"/>
        <w:rPr>
          <w:rFonts w:cs="Times New Roman"/>
          <w:color w:val="000000"/>
          <w:sz w:val="16"/>
          <w:szCs w:val="16"/>
          <w:shd w:val="clear" w:color="auto" w:fill="FFFFFF"/>
        </w:rPr>
      </w:pPr>
      <w:r w:rsidRPr="00F012F8">
        <w:rPr>
          <w:rFonts w:cs="Times New Roman"/>
          <w:color w:val="000000"/>
          <w:sz w:val="16"/>
          <w:szCs w:val="16"/>
          <w:shd w:val="clear" w:color="auto" w:fill="FFFFFF"/>
        </w:rPr>
        <w:t>les examens de laboratoire et d'imagerie pertinents eu égard aux constatations cliniques;</w:t>
      </w:r>
    </w:p>
    <w:p w:rsidR="00E444F3" w:rsidRPr="00F012F8" w:rsidRDefault="00E444F3" w:rsidP="001A1752">
      <w:pPr>
        <w:numPr>
          <w:ilvl w:val="0"/>
          <w:numId w:val="18"/>
        </w:numPr>
        <w:shd w:val="clear" w:color="auto" w:fill="FFFFFF"/>
        <w:spacing w:before="100" w:beforeAutospacing="1" w:after="100" w:afterAutospacing="1" w:line="240" w:lineRule="auto"/>
        <w:rPr>
          <w:rFonts w:cs="Times New Roman"/>
          <w:color w:val="000000"/>
          <w:sz w:val="16"/>
          <w:szCs w:val="16"/>
          <w:shd w:val="clear" w:color="auto" w:fill="FFFFFF"/>
        </w:rPr>
      </w:pPr>
      <w:r w:rsidRPr="00F012F8">
        <w:rPr>
          <w:rFonts w:cs="Times New Roman"/>
          <w:color w:val="000000"/>
          <w:sz w:val="16"/>
          <w:szCs w:val="16"/>
          <w:shd w:val="clear" w:color="auto" w:fill="FFFFFF"/>
        </w:rPr>
        <w:t>mettre en place un plan efficace de prise en charge initiale, notamment :</w:t>
      </w:r>
    </w:p>
    <w:p w:rsidR="00E444F3" w:rsidRPr="00F012F8" w:rsidRDefault="00E444F3" w:rsidP="001A1752">
      <w:pPr>
        <w:numPr>
          <w:ilvl w:val="1"/>
          <w:numId w:val="18"/>
        </w:numPr>
        <w:shd w:val="clear" w:color="auto" w:fill="FFFFFF"/>
        <w:spacing w:before="100" w:beforeAutospacing="1" w:after="100" w:afterAutospacing="1" w:line="240" w:lineRule="auto"/>
        <w:rPr>
          <w:rFonts w:cs="Times New Roman"/>
          <w:color w:val="000000"/>
          <w:sz w:val="16"/>
          <w:szCs w:val="16"/>
          <w:shd w:val="clear" w:color="auto" w:fill="FFFFFF"/>
        </w:rPr>
      </w:pPr>
      <w:r w:rsidRPr="00F012F8">
        <w:rPr>
          <w:rFonts w:cs="Times New Roman"/>
          <w:color w:val="000000"/>
          <w:sz w:val="16"/>
          <w:szCs w:val="16"/>
          <w:shd w:val="clear" w:color="auto" w:fill="FFFFFF"/>
        </w:rPr>
        <w:t>mettre en œuvre la prise en charge initiale d'affections qui peuvent être traitées en cabinet;</w:t>
      </w:r>
    </w:p>
    <w:p w:rsidR="00E444F3" w:rsidRPr="00F012F8" w:rsidRDefault="00FB47D6" w:rsidP="001A1752">
      <w:pPr>
        <w:numPr>
          <w:ilvl w:val="1"/>
          <w:numId w:val="18"/>
        </w:numPr>
        <w:shd w:val="clear" w:color="auto" w:fill="FFFFFF"/>
        <w:spacing w:before="100" w:beforeAutospacing="1" w:after="100" w:afterAutospacing="1" w:line="240" w:lineRule="auto"/>
        <w:rPr>
          <w:rFonts w:cs="Times New Roman"/>
          <w:color w:val="000000"/>
          <w:sz w:val="16"/>
          <w:szCs w:val="16"/>
          <w:shd w:val="clear" w:color="auto" w:fill="FFFFFF"/>
        </w:rPr>
      </w:pPr>
      <w:r>
        <w:rPr>
          <w:noProof/>
          <w:lang w:eastAsia="fr-CA"/>
        </w:rPr>
        <w:drawing>
          <wp:anchor distT="0" distB="0" distL="114300" distR="114300" simplePos="0" relativeHeight="251859968" behindDoc="0" locked="0" layoutInCell="1" allowOverlap="1" wp14:anchorId="512EC95F" wp14:editId="0AF0131D">
            <wp:simplePos x="0" y="0"/>
            <wp:positionH relativeFrom="column">
              <wp:posOffset>4431665</wp:posOffset>
            </wp:positionH>
            <wp:positionV relativeFrom="paragraph">
              <wp:posOffset>231775</wp:posOffset>
            </wp:positionV>
            <wp:extent cx="2181860" cy="1478280"/>
            <wp:effectExtent l="0" t="0" r="8890" b="7620"/>
            <wp:wrapNone/>
            <wp:docPr id="372" name="Image 372" descr="Résultats de recherche d'images pour « obstruction nasa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ésultats de recherche d'images pour « obstruction nasale »"/>
                    <pic:cNvPicPr>
                      <a:picLocks noChangeAspect="1" noChangeArrowheads="1"/>
                    </pic:cNvPicPr>
                  </pic:nvPicPr>
                  <pic:blipFill>
                    <a:blip r:embed="rId339">
                      <a:extLst>
                        <a:ext uri="{28A0092B-C50C-407E-A947-70E740481C1C}">
                          <a14:useLocalDpi xmlns:a14="http://schemas.microsoft.com/office/drawing/2010/main" val="0"/>
                        </a:ext>
                      </a:extLst>
                    </a:blip>
                    <a:srcRect/>
                    <a:stretch>
                      <a:fillRect/>
                    </a:stretch>
                  </pic:blipFill>
                  <pic:spPr bwMode="auto">
                    <a:xfrm>
                      <a:off x="0" y="0"/>
                      <a:ext cx="2181860" cy="1478280"/>
                    </a:xfrm>
                    <a:prstGeom prst="rect">
                      <a:avLst/>
                    </a:prstGeom>
                    <a:noFill/>
                    <a:ln>
                      <a:noFill/>
                    </a:ln>
                  </pic:spPr>
                </pic:pic>
              </a:graphicData>
            </a:graphic>
            <wp14:sizeRelH relativeFrom="page">
              <wp14:pctWidth>0</wp14:pctWidth>
            </wp14:sizeRelH>
            <wp14:sizeRelV relativeFrom="page">
              <wp14:pctHeight>0</wp14:pctHeight>
            </wp14:sizeRelV>
          </wp:anchor>
        </w:drawing>
      </w:r>
      <w:r w:rsidR="00E444F3" w:rsidRPr="00F012F8">
        <w:rPr>
          <w:rFonts w:cs="Times New Roman"/>
          <w:color w:val="000000"/>
          <w:sz w:val="16"/>
          <w:szCs w:val="16"/>
          <w:shd w:val="clear" w:color="auto" w:fill="FFFFFF"/>
        </w:rPr>
        <w:t>déterminer si le patient a besoin de soins spécialisés.</w:t>
      </w:r>
    </w:p>
    <w:p w:rsidR="00B0412F" w:rsidRPr="00F012F8" w:rsidRDefault="00AC4AE0" w:rsidP="00CE2C76">
      <w:pPr>
        <w:ind w:left="-12"/>
        <w:rPr>
          <w:rFonts w:cs="Times New Roman"/>
          <w:b/>
          <w:sz w:val="28"/>
          <w:szCs w:val="28"/>
        </w:rPr>
      </w:pPr>
      <w:r w:rsidRPr="00F012F8">
        <w:rPr>
          <w:rFonts w:cs="Times New Roman"/>
          <w:b/>
          <w:sz w:val="28"/>
          <w:szCs w:val="28"/>
        </w:rPr>
        <w:t>Étiologie(s)</w:t>
      </w:r>
    </w:p>
    <w:p w:rsidR="000D7DE9" w:rsidRPr="00F012F8" w:rsidRDefault="000D7DE9" w:rsidP="001A1752">
      <w:pPr>
        <w:pStyle w:val="Paragraphedeliste"/>
        <w:numPr>
          <w:ilvl w:val="0"/>
          <w:numId w:val="19"/>
        </w:numPr>
        <w:spacing w:after="0"/>
        <w:rPr>
          <w:rFonts w:cs="Times New Roman"/>
        </w:rPr>
      </w:pPr>
      <w:r w:rsidRPr="00F012F8">
        <w:rPr>
          <w:rFonts w:cs="Times New Roman"/>
        </w:rPr>
        <w:t>Troubles de conduction</w:t>
      </w:r>
      <w:r w:rsidR="00C853FB" w:rsidRPr="00F012F8">
        <w:rPr>
          <w:rFonts w:cs="Times New Roman"/>
        </w:rPr>
        <w:t xml:space="preserve"> (ex : obstruction nasale)</w:t>
      </w:r>
    </w:p>
    <w:p w:rsidR="000D7DE9" w:rsidRPr="00F012F8" w:rsidRDefault="000D7DE9" w:rsidP="001A1752">
      <w:pPr>
        <w:pStyle w:val="Paragraphedeliste"/>
        <w:numPr>
          <w:ilvl w:val="0"/>
          <w:numId w:val="19"/>
        </w:numPr>
        <w:spacing w:after="0"/>
        <w:rPr>
          <w:rFonts w:cs="Times New Roman"/>
        </w:rPr>
      </w:pPr>
      <w:r w:rsidRPr="00F012F8">
        <w:rPr>
          <w:rFonts w:cs="Times New Roman"/>
        </w:rPr>
        <w:t>Troubles neurosensoriels</w:t>
      </w:r>
      <w:r w:rsidR="00C853FB" w:rsidRPr="00F012F8">
        <w:rPr>
          <w:rFonts w:cs="Times New Roman"/>
        </w:rPr>
        <w:t xml:space="preserve"> (trouble génétique, lésion neurologique)</w:t>
      </w:r>
      <w:r w:rsidR="00FB47D6" w:rsidRPr="00FB47D6">
        <w:t xml:space="preserve"> </w:t>
      </w:r>
    </w:p>
    <w:p w:rsidR="000D7DE9" w:rsidRPr="00F012F8" w:rsidRDefault="000D7DE9" w:rsidP="000D7DE9">
      <w:pPr>
        <w:pStyle w:val="Paragraphedeliste"/>
        <w:spacing w:after="0"/>
        <w:ind w:left="708"/>
        <w:rPr>
          <w:rFonts w:cs="Times New Roman"/>
        </w:rPr>
      </w:pPr>
    </w:p>
    <w:p w:rsidR="00A92F69" w:rsidRPr="00F012F8" w:rsidRDefault="00AC4AE0" w:rsidP="00A92F69">
      <w:pPr>
        <w:pStyle w:val="bulletindent1"/>
        <w:shd w:val="clear" w:color="auto" w:fill="FFFFFF"/>
        <w:spacing w:before="30" w:beforeAutospacing="0" w:after="30" w:afterAutospacing="0" w:line="302" w:lineRule="atLeast"/>
        <w:ind w:left="480"/>
        <w:rPr>
          <w:color w:val="000000"/>
        </w:rPr>
      </w:pPr>
      <w:r w:rsidRPr="00F012F8">
        <w:rPr>
          <w:b/>
        </w:rPr>
        <w:t>Diagnostic(s)</w:t>
      </w:r>
      <w:r w:rsidR="00A92F69" w:rsidRPr="00F012F8">
        <w:rPr>
          <w:color w:val="000000"/>
        </w:rPr>
        <w:t xml:space="preserve"> </w:t>
      </w:r>
    </w:p>
    <w:p w:rsidR="00A92F69" w:rsidRPr="00F012F8" w:rsidRDefault="002E2329" w:rsidP="002E2329">
      <w:pPr>
        <w:pStyle w:val="bulletindent1"/>
        <w:shd w:val="clear" w:color="auto" w:fill="FFFFFF"/>
        <w:spacing w:before="0" w:beforeAutospacing="0" w:after="0" w:afterAutospacing="0" w:line="302" w:lineRule="atLeast"/>
        <w:ind w:left="480"/>
        <w:rPr>
          <w:color w:val="000000"/>
          <w:sz w:val="20"/>
          <w:szCs w:val="20"/>
          <w:u w:val="single"/>
        </w:rPr>
      </w:pPr>
      <w:r w:rsidRPr="00F012F8">
        <w:rPr>
          <w:color w:val="000000"/>
          <w:sz w:val="20"/>
          <w:szCs w:val="20"/>
          <w:u w:val="single"/>
        </w:rPr>
        <w:t>Définitions de termes</w:t>
      </w:r>
    </w:p>
    <w:p w:rsidR="002E2329" w:rsidRPr="00F012F8" w:rsidRDefault="002E2329" w:rsidP="002E2329">
      <w:pPr>
        <w:pStyle w:val="bulletindent1"/>
        <w:shd w:val="clear" w:color="auto" w:fill="FFFFFF"/>
        <w:spacing w:before="0" w:beforeAutospacing="0" w:after="0" w:afterAutospacing="0" w:line="302" w:lineRule="atLeast"/>
        <w:ind w:left="480"/>
        <w:rPr>
          <w:color w:val="000000"/>
          <w:sz w:val="20"/>
          <w:szCs w:val="20"/>
        </w:rPr>
      </w:pPr>
    </w:p>
    <w:p w:rsidR="002E2329" w:rsidRPr="00F012F8" w:rsidRDefault="002E2329" w:rsidP="002E2329">
      <w:pPr>
        <w:pStyle w:val="bulletindent1"/>
        <w:shd w:val="clear" w:color="auto" w:fill="FFFFFF"/>
        <w:spacing w:before="0" w:beforeAutospacing="0" w:after="0" w:afterAutospacing="0" w:line="302" w:lineRule="atLeast"/>
        <w:ind w:left="480"/>
        <w:rPr>
          <w:rStyle w:val="glyph"/>
          <w:color w:val="000000"/>
          <w:sz w:val="20"/>
          <w:szCs w:val="20"/>
        </w:rPr>
        <w:sectPr w:rsidR="002E2329" w:rsidRPr="00F012F8" w:rsidSect="00217865">
          <w:type w:val="continuous"/>
          <w:pgSz w:w="12240" w:h="15840"/>
          <w:pgMar w:top="720" w:right="720" w:bottom="720" w:left="720" w:header="708" w:footer="708" w:gutter="0"/>
          <w:cols w:space="708"/>
          <w:docGrid w:linePitch="360"/>
        </w:sectPr>
      </w:pPr>
    </w:p>
    <w:p w:rsidR="002E2329" w:rsidRPr="00F012F8" w:rsidRDefault="002E2329" w:rsidP="002E2329">
      <w:pPr>
        <w:pStyle w:val="bulletindent1"/>
        <w:shd w:val="clear" w:color="auto" w:fill="FFFFFF"/>
        <w:spacing w:before="0" w:beforeAutospacing="0" w:after="0" w:afterAutospacing="0" w:line="302" w:lineRule="atLeast"/>
        <w:ind w:left="480"/>
        <w:rPr>
          <w:color w:val="000000"/>
          <w:sz w:val="20"/>
          <w:szCs w:val="20"/>
        </w:rPr>
      </w:pPr>
      <w:r w:rsidRPr="00F012F8">
        <w:rPr>
          <w:rStyle w:val="glyph"/>
          <w:color w:val="000000"/>
          <w:sz w:val="20"/>
          <w:szCs w:val="20"/>
        </w:rPr>
        <w:t>●</w:t>
      </w:r>
      <w:r w:rsidRPr="00F012F8">
        <w:rPr>
          <w:color w:val="000000"/>
          <w:sz w:val="20"/>
          <w:szCs w:val="20"/>
        </w:rPr>
        <w:t xml:space="preserve"> Dysosmie — Altération de la perception des odeurs </w:t>
      </w:r>
    </w:p>
    <w:p w:rsidR="00A92F69" w:rsidRPr="00F012F8" w:rsidRDefault="002E2329" w:rsidP="002E2329">
      <w:pPr>
        <w:pStyle w:val="bulletindent1"/>
        <w:shd w:val="clear" w:color="auto" w:fill="FFFFFF"/>
        <w:spacing w:before="0" w:beforeAutospacing="0" w:after="0" w:afterAutospacing="0" w:line="302" w:lineRule="atLeast"/>
        <w:ind w:left="480"/>
        <w:rPr>
          <w:color w:val="000000"/>
          <w:sz w:val="20"/>
          <w:szCs w:val="20"/>
        </w:rPr>
      </w:pPr>
      <w:r w:rsidRPr="00F012F8">
        <w:rPr>
          <w:rStyle w:val="glyph"/>
          <w:color w:val="000000"/>
          <w:sz w:val="20"/>
          <w:szCs w:val="20"/>
        </w:rPr>
        <w:t xml:space="preserve">● </w:t>
      </w:r>
      <w:r w:rsidR="00A92F69" w:rsidRPr="00F012F8">
        <w:rPr>
          <w:color w:val="000000"/>
          <w:sz w:val="20"/>
          <w:szCs w:val="20"/>
        </w:rPr>
        <w:t>Hyposmi</w:t>
      </w:r>
      <w:r w:rsidRPr="00F012F8">
        <w:rPr>
          <w:color w:val="000000"/>
          <w:sz w:val="20"/>
          <w:szCs w:val="20"/>
        </w:rPr>
        <w:t>e</w:t>
      </w:r>
      <w:r w:rsidR="00A92F69" w:rsidRPr="00F012F8">
        <w:rPr>
          <w:color w:val="000000"/>
          <w:sz w:val="20"/>
          <w:szCs w:val="20"/>
        </w:rPr>
        <w:t xml:space="preserve"> — Dimi</w:t>
      </w:r>
      <w:r w:rsidRPr="00F012F8">
        <w:rPr>
          <w:color w:val="000000"/>
          <w:sz w:val="20"/>
          <w:szCs w:val="20"/>
        </w:rPr>
        <w:t>nution de</w:t>
      </w:r>
      <w:r w:rsidR="00A92F69" w:rsidRPr="00F012F8">
        <w:rPr>
          <w:color w:val="000000"/>
          <w:sz w:val="20"/>
          <w:szCs w:val="20"/>
        </w:rPr>
        <w:t xml:space="preserve"> </w:t>
      </w:r>
      <w:r w:rsidRPr="00F012F8">
        <w:rPr>
          <w:color w:val="000000"/>
          <w:sz w:val="20"/>
          <w:szCs w:val="20"/>
        </w:rPr>
        <w:t>l’olfaction</w:t>
      </w:r>
    </w:p>
    <w:p w:rsidR="00A92F69" w:rsidRPr="00F012F8" w:rsidRDefault="00A92F69" w:rsidP="002E2329">
      <w:pPr>
        <w:pStyle w:val="bulletindent1"/>
        <w:shd w:val="clear" w:color="auto" w:fill="FFFFFF"/>
        <w:spacing w:before="0" w:beforeAutospacing="0" w:after="0" w:afterAutospacing="0" w:line="302" w:lineRule="atLeast"/>
        <w:ind w:left="480"/>
        <w:rPr>
          <w:color w:val="000000"/>
          <w:sz w:val="20"/>
          <w:szCs w:val="20"/>
        </w:rPr>
      </w:pPr>
      <w:r w:rsidRPr="00F012F8">
        <w:rPr>
          <w:rStyle w:val="glyph"/>
          <w:color w:val="000000"/>
          <w:sz w:val="20"/>
          <w:szCs w:val="20"/>
        </w:rPr>
        <w:t>●</w:t>
      </w:r>
      <w:r w:rsidRPr="00F012F8">
        <w:rPr>
          <w:color w:val="000000"/>
          <w:sz w:val="20"/>
          <w:szCs w:val="20"/>
        </w:rPr>
        <w:t>Anosmi</w:t>
      </w:r>
      <w:r w:rsidR="002E2329" w:rsidRPr="00F012F8">
        <w:rPr>
          <w:color w:val="000000"/>
          <w:sz w:val="20"/>
          <w:szCs w:val="20"/>
        </w:rPr>
        <w:t>e</w:t>
      </w:r>
      <w:r w:rsidRPr="00F012F8">
        <w:rPr>
          <w:color w:val="000000"/>
          <w:sz w:val="20"/>
          <w:szCs w:val="20"/>
        </w:rPr>
        <w:t xml:space="preserve"> — Absen</w:t>
      </w:r>
      <w:r w:rsidR="002E2329" w:rsidRPr="00F012F8">
        <w:rPr>
          <w:color w:val="000000"/>
          <w:sz w:val="20"/>
          <w:szCs w:val="20"/>
        </w:rPr>
        <w:t>ce d’olfaction</w:t>
      </w:r>
    </w:p>
    <w:p w:rsidR="00A92F69" w:rsidRPr="00F012F8" w:rsidRDefault="00A92F69" w:rsidP="002E2329">
      <w:pPr>
        <w:pStyle w:val="bulletindent1"/>
        <w:shd w:val="clear" w:color="auto" w:fill="FFFFFF"/>
        <w:spacing w:before="0" w:beforeAutospacing="0" w:after="0" w:afterAutospacing="0" w:line="302" w:lineRule="atLeast"/>
        <w:ind w:left="480"/>
        <w:rPr>
          <w:color w:val="000000"/>
          <w:sz w:val="20"/>
          <w:szCs w:val="20"/>
        </w:rPr>
      </w:pPr>
      <w:r w:rsidRPr="00F012F8">
        <w:rPr>
          <w:rStyle w:val="glyph"/>
          <w:color w:val="000000"/>
          <w:sz w:val="20"/>
          <w:szCs w:val="20"/>
        </w:rPr>
        <w:t>●</w:t>
      </w:r>
      <w:r w:rsidRPr="00F012F8">
        <w:rPr>
          <w:color w:val="000000"/>
          <w:sz w:val="20"/>
          <w:szCs w:val="20"/>
        </w:rPr>
        <w:t>Parosmi</w:t>
      </w:r>
      <w:r w:rsidR="002E2329" w:rsidRPr="00F012F8">
        <w:rPr>
          <w:color w:val="000000"/>
          <w:sz w:val="20"/>
          <w:szCs w:val="20"/>
        </w:rPr>
        <w:t>e</w:t>
      </w:r>
      <w:r w:rsidRPr="00F012F8">
        <w:rPr>
          <w:color w:val="000000"/>
          <w:sz w:val="20"/>
          <w:szCs w:val="20"/>
        </w:rPr>
        <w:t xml:space="preserve"> — </w:t>
      </w:r>
      <w:r w:rsidR="002E2329" w:rsidRPr="00F012F8">
        <w:rPr>
          <w:color w:val="000000"/>
          <w:sz w:val="20"/>
          <w:szCs w:val="20"/>
        </w:rPr>
        <w:t>Perception d’une odeur désagréable sans odeur</w:t>
      </w:r>
      <w:r w:rsidRPr="00F012F8">
        <w:rPr>
          <w:color w:val="000000"/>
          <w:sz w:val="20"/>
          <w:szCs w:val="20"/>
        </w:rPr>
        <w:t xml:space="preserve"> (phantosmi</w:t>
      </w:r>
      <w:r w:rsidR="002E2329" w:rsidRPr="00F012F8">
        <w:rPr>
          <w:color w:val="000000"/>
          <w:sz w:val="20"/>
          <w:szCs w:val="20"/>
        </w:rPr>
        <w:t>e</w:t>
      </w:r>
      <w:r w:rsidRPr="00F012F8">
        <w:rPr>
          <w:color w:val="000000"/>
          <w:sz w:val="20"/>
          <w:szCs w:val="20"/>
        </w:rPr>
        <w:t xml:space="preserve">) </w:t>
      </w:r>
      <w:r w:rsidR="002E2329" w:rsidRPr="00F012F8">
        <w:rPr>
          <w:color w:val="000000"/>
          <w:sz w:val="20"/>
          <w:szCs w:val="20"/>
        </w:rPr>
        <w:t>ou avec une odeur réelle (</w:t>
      </w:r>
      <w:r w:rsidRPr="00F012F8">
        <w:rPr>
          <w:color w:val="000000"/>
          <w:sz w:val="20"/>
          <w:szCs w:val="20"/>
        </w:rPr>
        <w:t>troposmi</w:t>
      </w:r>
      <w:r w:rsidR="002E2329" w:rsidRPr="00F012F8">
        <w:rPr>
          <w:color w:val="000000"/>
          <w:sz w:val="20"/>
          <w:szCs w:val="20"/>
        </w:rPr>
        <w:t>e</w:t>
      </w:r>
      <w:r w:rsidRPr="00F012F8">
        <w:rPr>
          <w:color w:val="000000"/>
          <w:sz w:val="20"/>
          <w:szCs w:val="20"/>
        </w:rPr>
        <w:t>)</w:t>
      </w:r>
    </w:p>
    <w:p w:rsidR="00A92F69" w:rsidRPr="00F012F8" w:rsidRDefault="00A92F69" w:rsidP="002E2329">
      <w:pPr>
        <w:pStyle w:val="bulletindent1"/>
        <w:shd w:val="clear" w:color="auto" w:fill="FFFFFF"/>
        <w:spacing w:before="0" w:beforeAutospacing="0" w:after="0" w:afterAutospacing="0" w:line="302" w:lineRule="atLeast"/>
        <w:ind w:left="480"/>
        <w:rPr>
          <w:color w:val="000000"/>
          <w:sz w:val="20"/>
          <w:szCs w:val="20"/>
        </w:rPr>
      </w:pPr>
    </w:p>
    <w:p w:rsidR="002E2329" w:rsidRPr="00F012F8" w:rsidRDefault="002E2329" w:rsidP="002E2329">
      <w:pPr>
        <w:pStyle w:val="bulletindent1"/>
        <w:shd w:val="clear" w:color="auto" w:fill="FFFFFF"/>
        <w:spacing w:before="0" w:beforeAutospacing="0" w:after="0" w:afterAutospacing="0" w:line="302" w:lineRule="atLeast"/>
        <w:ind w:left="480"/>
        <w:rPr>
          <w:color w:val="000000"/>
          <w:sz w:val="20"/>
          <w:szCs w:val="20"/>
        </w:rPr>
      </w:pPr>
    </w:p>
    <w:p w:rsidR="002E2329" w:rsidRPr="00F012F8" w:rsidRDefault="002E2329" w:rsidP="002E2329">
      <w:pPr>
        <w:pStyle w:val="bulletindent1"/>
        <w:shd w:val="clear" w:color="auto" w:fill="FFFFFF"/>
        <w:spacing w:before="0" w:beforeAutospacing="0" w:after="0" w:afterAutospacing="0" w:line="302" w:lineRule="atLeast"/>
        <w:ind w:left="480"/>
        <w:rPr>
          <w:color w:val="000000"/>
          <w:sz w:val="20"/>
          <w:szCs w:val="20"/>
        </w:rPr>
      </w:pPr>
    </w:p>
    <w:p w:rsidR="00A92F69" w:rsidRPr="00F012F8" w:rsidRDefault="00A92F69" w:rsidP="002E2329">
      <w:pPr>
        <w:pStyle w:val="bulletindent1"/>
        <w:shd w:val="clear" w:color="auto" w:fill="FFFFFF"/>
        <w:spacing w:before="0" w:beforeAutospacing="0" w:after="0" w:afterAutospacing="0" w:line="302" w:lineRule="atLeast"/>
        <w:ind w:left="480"/>
        <w:rPr>
          <w:color w:val="000000"/>
          <w:sz w:val="20"/>
          <w:szCs w:val="20"/>
        </w:rPr>
      </w:pPr>
      <w:r w:rsidRPr="00F012F8">
        <w:rPr>
          <w:rStyle w:val="glyph"/>
          <w:color w:val="000000"/>
          <w:sz w:val="20"/>
          <w:szCs w:val="20"/>
        </w:rPr>
        <w:t>●</w:t>
      </w:r>
      <w:r w:rsidRPr="00F012F8">
        <w:rPr>
          <w:color w:val="000000"/>
          <w:sz w:val="20"/>
          <w:szCs w:val="20"/>
        </w:rPr>
        <w:t>Hypog</w:t>
      </w:r>
      <w:r w:rsidR="00C63AFC">
        <w:rPr>
          <w:color w:val="000000"/>
          <w:sz w:val="20"/>
          <w:szCs w:val="20"/>
        </w:rPr>
        <w:t>u</w:t>
      </w:r>
      <w:r w:rsidRPr="00F012F8">
        <w:rPr>
          <w:color w:val="000000"/>
          <w:sz w:val="20"/>
          <w:szCs w:val="20"/>
        </w:rPr>
        <w:t>eusi</w:t>
      </w:r>
      <w:r w:rsidR="00C63AFC">
        <w:rPr>
          <w:color w:val="000000"/>
          <w:sz w:val="20"/>
          <w:szCs w:val="20"/>
        </w:rPr>
        <w:t>e</w:t>
      </w:r>
      <w:r w:rsidRPr="00F012F8">
        <w:rPr>
          <w:color w:val="000000"/>
          <w:sz w:val="20"/>
          <w:szCs w:val="20"/>
        </w:rPr>
        <w:t xml:space="preserve"> — </w:t>
      </w:r>
      <w:r w:rsidR="002E2329" w:rsidRPr="00F012F8">
        <w:rPr>
          <w:color w:val="000000"/>
          <w:sz w:val="20"/>
          <w:szCs w:val="20"/>
        </w:rPr>
        <w:t>Goût diminué</w:t>
      </w:r>
    </w:p>
    <w:p w:rsidR="00A92F69" w:rsidRPr="00F012F8" w:rsidRDefault="00A92F69" w:rsidP="002E2329">
      <w:pPr>
        <w:pStyle w:val="bulletindent1"/>
        <w:shd w:val="clear" w:color="auto" w:fill="FFFFFF"/>
        <w:spacing w:before="0" w:beforeAutospacing="0" w:after="0" w:afterAutospacing="0" w:line="302" w:lineRule="atLeast"/>
        <w:ind w:left="480"/>
        <w:rPr>
          <w:color w:val="000000"/>
          <w:sz w:val="20"/>
          <w:szCs w:val="20"/>
        </w:rPr>
      </w:pPr>
      <w:r w:rsidRPr="00F012F8">
        <w:rPr>
          <w:rStyle w:val="glyph"/>
          <w:color w:val="000000"/>
          <w:sz w:val="20"/>
          <w:szCs w:val="20"/>
        </w:rPr>
        <w:t>●</w:t>
      </w:r>
      <w:r w:rsidRPr="00F012F8">
        <w:rPr>
          <w:color w:val="000000"/>
          <w:sz w:val="20"/>
          <w:szCs w:val="20"/>
        </w:rPr>
        <w:t>Ag</w:t>
      </w:r>
      <w:r w:rsidR="00C63AFC">
        <w:rPr>
          <w:color w:val="000000"/>
          <w:sz w:val="20"/>
          <w:szCs w:val="20"/>
        </w:rPr>
        <w:t>u</w:t>
      </w:r>
      <w:r w:rsidRPr="00F012F8">
        <w:rPr>
          <w:color w:val="000000"/>
          <w:sz w:val="20"/>
          <w:szCs w:val="20"/>
        </w:rPr>
        <w:t>eusi</w:t>
      </w:r>
      <w:r w:rsidR="002E2329" w:rsidRPr="00F012F8">
        <w:rPr>
          <w:color w:val="000000"/>
          <w:sz w:val="20"/>
          <w:szCs w:val="20"/>
        </w:rPr>
        <w:t>e</w:t>
      </w:r>
      <w:r w:rsidRPr="00F012F8">
        <w:rPr>
          <w:color w:val="000000"/>
          <w:sz w:val="20"/>
          <w:szCs w:val="20"/>
        </w:rPr>
        <w:t xml:space="preserve"> — Absen</w:t>
      </w:r>
      <w:r w:rsidR="002E2329" w:rsidRPr="00F012F8">
        <w:rPr>
          <w:color w:val="000000"/>
          <w:sz w:val="20"/>
          <w:szCs w:val="20"/>
        </w:rPr>
        <w:t>ce de goût</w:t>
      </w:r>
    </w:p>
    <w:p w:rsidR="00A92F69" w:rsidRPr="00F012F8" w:rsidRDefault="00A92F69" w:rsidP="002E2329">
      <w:pPr>
        <w:pStyle w:val="bulletindent1"/>
        <w:shd w:val="clear" w:color="auto" w:fill="FFFFFF"/>
        <w:spacing w:before="0" w:beforeAutospacing="0" w:after="0" w:afterAutospacing="0" w:line="302" w:lineRule="atLeast"/>
        <w:ind w:left="480"/>
        <w:rPr>
          <w:color w:val="000000"/>
          <w:sz w:val="20"/>
          <w:szCs w:val="20"/>
        </w:rPr>
      </w:pPr>
      <w:r w:rsidRPr="00F012F8">
        <w:rPr>
          <w:rStyle w:val="glyph"/>
          <w:color w:val="000000"/>
          <w:sz w:val="20"/>
          <w:szCs w:val="20"/>
        </w:rPr>
        <w:t>●</w:t>
      </w:r>
      <w:r w:rsidRPr="00F012F8">
        <w:rPr>
          <w:color w:val="000000"/>
          <w:sz w:val="20"/>
          <w:szCs w:val="20"/>
        </w:rPr>
        <w:t>Dysg</w:t>
      </w:r>
      <w:r w:rsidR="00C63AFC">
        <w:rPr>
          <w:color w:val="000000"/>
          <w:sz w:val="20"/>
          <w:szCs w:val="20"/>
        </w:rPr>
        <w:t>u</w:t>
      </w:r>
      <w:r w:rsidRPr="00F012F8">
        <w:rPr>
          <w:color w:val="000000"/>
          <w:sz w:val="20"/>
          <w:szCs w:val="20"/>
        </w:rPr>
        <w:t>eusi</w:t>
      </w:r>
      <w:r w:rsidR="002E2329" w:rsidRPr="00F012F8">
        <w:rPr>
          <w:color w:val="000000"/>
          <w:sz w:val="20"/>
          <w:szCs w:val="20"/>
        </w:rPr>
        <w:t>e</w:t>
      </w:r>
      <w:r w:rsidRPr="00F012F8">
        <w:rPr>
          <w:color w:val="000000"/>
          <w:sz w:val="20"/>
          <w:szCs w:val="20"/>
        </w:rPr>
        <w:t xml:space="preserve"> — </w:t>
      </w:r>
      <w:r w:rsidR="00C63AFC" w:rsidRPr="00F012F8">
        <w:rPr>
          <w:color w:val="000000"/>
          <w:sz w:val="20"/>
          <w:szCs w:val="20"/>
        </w:rPr>
        <w:t>Persistance</w:t>
      </w:r>
      <w:r w:rsidR="002E2329" w:rsidRPr="00F012F8">
        <w:rPr>
          <w:color w:val="000000"/>
          <w:sz w:val="20"/>
          <w:szCs w:val="20"/>
        </w:rPr>
        <w:t xml:space="preserve"> d’un goût sucré, acide, salé, amer ou métallique</w:t>
      </w:r>
    </w:p>
    <w:p w:rsidR="00A92F69" w:rsidRPr="00F012F8" w:rsidRDefault="00A92F69" w:rsidP="002E2329">
      <w:pPr>
        <w:pStyle w:val="bulletindent1"/>
        <w:shd w:val="clear" w:color="auto" w:fill="FFFFFF"/>
        <w:spacing w:before="0" w:beforeAutospacing="0" w:after="0" w:afterAutospacing="0" w:line="302" w:lineRule="atLeast"/>
        <w:ind w:left="480"/>
        <w:rPr>
          <w:color w:val="000000"/>
          <w:sz w:val="20"/>
          <w:szCs w:val="20"/>
        </w:rPr>
      </w:pPr>
      <w:r w:rsidRPr="00F012F8">
        <w:rPr>
          <w:rStyle w:val="glyph"/>
          <w:color w:val="000000"/>
          <w:sz w:val="20"/>
          <w:szCs w:val="20"/>
        </w:rPr>
        <w:t>●</w:t>
      </w:r>
      <w:r w:rsidRPr="00F012F8">
        <w:rPr>
          <w:color w:val="000000"/>
          <w:sz w:val="20"/>
          <w:szCs w:val="20"/>
        </w:rPr>
        <w:t>Aliag</w:t>
      </w:r>
      <w:r w:rsidR="00C63AFC">
        <w:rPr>
          <w:color w:val="000000"/>
          <w:sz w:val="20"/>
          <w:szCs w:val="20"/>
        </w:rPr>
        <w:t>u</w:t>
      </w:r>
      <w:r w:rsidRPr="00F012F8">
        <w:rPr>
          <w:color w:val="000000"/>
          <w:sz w:val="20"/>
          <w:szCs w:val="20"/>
        </w:rPr>
        <w:t>eusi</w:t>
      </w:r>
      <w:r w:rsidR="002E2329" w:rsidRPr="00F012F8">
        <w:rPr>
          <w:color w:val="000000"/>
          <w:sz w:val="20"/>
          <w:szCs w:val="20"/>
        </w:rPr>
        <w:t>e</w:t>
      </w:r>
      <w:r w:rsidRPr="00F012F8">
        <w:rPr>
          <w:color w:val="000000"/>
          <w:sz w:val="20"/>
          <w:szCs w:val="20"/>
        </w:rPr>
        <w:t xml:space="preserve"> — </w:t>
      </w:r>
      <w:r w:rsidR="002E2329" w:rsidRPr="00F012F8">
        <w:rPr>
          <w:color w:val="000000"/>
          <w:sz w:val="20"/>
          <w:szCs w:val="20"/>
        </w:rPr>
        <w:t>Goût désagréable d’un aliment normalement agréable</w:t>
      </w:r>
    </w:p>
    <w:p w:rsidR="002E2329" w:rsidRPr="00F012F8" w:rsidRDefault="00A92F69" w:rsidP="00A65EC4">
      <w:pPr>
        <w:pStyle w:val="bulletindent1"/>
        <w:shd w:val="clear" w:color="auto" w:fill="FFFFFF"/>
        <w:spacing w:before="0" w:beforeAutospacing="0" w:after="240" w:afterAutospacing="0" w:line="302" w:lineRule="atLeast"/>
        <w:ind w:left="480"/>
        <w:rPr>
          <w:color w:val="000000"/>
          <w:sz w:val="20"/>
          <w:szCs w:val="20"/>
        </w:rPr>
      </w:pPr>
      <w:r w:rsidRPr="00F012F8">
        <w:rPr>
          <w:rStyle w:val="glyph"/>
          <w:color w:val="000000"/>
          <w:sz w:val="20"/>
          <w:szCs w:val="20"/>
        </w:rPr>
        <w:t>●</w:t>
      </w:r>
      <w:r w:rsidRPr="00F012F8">
        <w:rPr>
          <w:color w:val="000000"/>
          <w:sz w:val="20"/>
          <w:szCs w:val="20"/>
        </w:rPr>
        <w:t>Phantog</w:t>
      </w:r>
      <w:r w:rsidR="00C63AFC">
        <w:rPr>
          <w:color w:val="000000"/>
          <w:sz w:val="20"/>
          <w:szCs w:val="20"/>
        </w:rPr>
        <w:t>u</w:t>
      </w:r>
      <w:r w:rsidRPr="00F012F8">
        <w:rPr>
          <w:color w:val="000000"/>
          <w:sz w:val="20"/>
          <w:szCs w:val="20"/>
        </w:rPr>
        <w:t>eusi</w:t>
      </w:r>
      <w:r w:rsidR="002E2329" w:rsidRPr="00F012F8">
        <w:rPr>
          <w:color w:val="000000"/>
          <w:sz w:val="20"/>
          <w:szCs w:val="20"/>
        </w:rPr>
        <w:t>e</w:t>
      </w:r>
      <w:r w:rsidRPr="00F012F8">
        <w:rPr>
          <w:color w:val="000000"/>
          <w:sz w:val="20"/>
          <w:szCs w:val="20"/>
        </w:rPr>
        <w:t xml:space="preserve"> — </w:t>
      </w:r>
      <w:r w:rsidR="002E2329" w:rsidRPr="00F012F8">
        <w:rPr>
          <w:color w:val="000000"/>
          <w:sz w:val="20"/>
          <w:szCs w:val="20"/>
        </w:rPr>
        <w:t>Goût désagréable en l’absence d’aliment (hallucination gustative)</w:t>
      </w:r>
    </w:p>
    <w:p w:rsidR="002E2329" w:rsidRPr="00F012F8" w:rsidRDefault="002E2329" w:rsidP="00A65EC4">
      <w:pPr>
        <w:rPr>
          <w:rFonts w:cs="Times New Roman"/>
          <w:b/>
        </w:rPr>
        <w:sectPr w:rsidR="002E2329" w:rsidRPr="00F012F8" w:rsidSect="002E2329">
          <w:type w:val="continuous"/>
          <w:pgSz w:w="12240" w:h="15840"/>
          <w:pgMar w:top="720" w:right="720" w:bottom="720" w:left="720" w:header="708" w:footer="708" w:gutter="0"/>
          <w:cols w:num="2" w:space="708"/>
          <w:docGrid w:linePitch="360"/>
        </w:sectPr>
      </w:pPr>
    </w:p>
    <w:p w:rsidR="003936B1" w:rsidRPr="00F012F8" w:rsidRDefault="003936B1" w:rsidP="00CE2C76">
      <w:pPr>
        <w:ind w:left="-12"/>
        <w:rPr>
          <w:rFonts w:cs="Times New Roman"/>
        </w:rPr>
      </w:pPr>
      <w:r w:rsidRPr="00F012F8">
        <w:rPr>
          <w:rFonts w:cs="Times New Roman"/>
        </w:rPr>
        <w:t>Les causes de dysosmie et de troubles gustatifs sont multiples. Le tableau ci-dessous en présente quelques-uns plus fréquents et/ou notables.</w:t>
      </w:r>
      <w:r w:rsidR="003E52FE">
        <w:rPr>
          <w:rFonts w:cs="Times New Roman"/>
        </w:rPr>
        <w:t xml:space="preserve"> Ajouter aussi </w:t>
      </w:r>
      <w:r w:rsidR="003E52FE" w:rsidRPr="006157FB">
        <w:rPr>
          <w:rFonts w:cs="Times New Roman"/>
          <w:u w:val="single"/>
        </w:rPr>
        <w:t>Syndrome de Kallmann</w:t>
      </w:r>
      <w:r w:rsidR="003E52FE">
        <w:rPr>
          <w:rFonts w:cs="Times New Roman"/>
        </w:rPr>
        <w:t xml:space="preserve"> (Voir </w:t>
      </w:r>
      <w:r w:rsidR="003E52FE" w:rsidRPr="003E52FE">
        <w:rPr>
          <w:rFonts w:cs="Times New Roman"/>
          <w:i/>
        </w:rPr>
        <w:t>Aménorrhée, oligoménorrhée CMC 56-1</w:t>
      </w:r>
      <w:r w:rsidR="003E52FE">
        <w:rPr>
          <w:rFonts w:cs="Times New Roman"/>
        </w:rPr>
        <w:t>)</w:t>
      </w:r>
    </w:p>
    <w:tbl>
      <w:tblPr>
        <w:tblStyle w:val="Grilledutableau"/>
        <w:tblW w:w="0" w:type="auto"/>
        <w:tblInd w:w="-12" w:type="dxa"/>
        <w:tblLook w:val="04A0" w:firstRow="1" w:lastRow="0" w:firstColumn="1" w:lastColumn="0" w:noHBand="0" w:noVBand="1"/>
      </w:tblPr>
      <w:tblGrid>
        <w:gridCol w:w="5470"/>
        <w:gridCol w:w="5470"/>
      </w:tblGrid>
      <w:tr w:rsidR="00172C5A" w:rsidRPr="00F012F8" w:rsidTr="002C7A7C">
        <w:tc>
          <w:tcPr>
            <w:tcW w:w="10940" w:type="dxa"/>
            <w:gridSpan w:val="2"/>
            <w:shd w:val="clear" w:color="auto" w:fill="8DB3E2" w:themeFill="text2" w:themeFillTint="66"/>
          </w:tcPr>
          <w:p w:rsidR="00172C5A" w:rsidRPr="00F012F8" w:rsidRDefault="003936B1" w:rsidP="00172C5A">
            <w:pPr>
              <w:jc w:val="center"/>
              <w:rPr>
                <w:rFonts w:cs="Times New Roman"/>
                <w:b/>
                <w:sz w:val="20"/>
                <w:szCs w:val="20"/>
              </w:rPr>
            </w:pPr>
            <w:r w:rsidRPr="00F012F8">
              <w:rPr>
                <w:rFonts w:cs="Times New Roman"/>
                <w:b/>
                <w:sz w:val="20"/>
                <w:szCs w:val="20"/>
              </w:rPr>
              <w:t>Rhinite</w:t>
            </w:r>
            <w:r w:rsidR="00FD6C2F" w:rsidRPr="00F012F8">
              <w:rPr>
                <w:rFonts w:cs="Times New Roman"/>
                <w:b/>
                <w:sz w:val="20"/>
                <w:szCs w:val="20"/>
              </w:rPr>
              <w:t>*</w:t>
            </w:r>
          </w:p>
        </w:tc>
      </w:tr>
      <w:tr w:rsidR="00172C5A" w:rsidRPr="00F012F8" w:rsidTr="00E63664">
        <w:tc>
          <w:tcPr>
            <w:tcW w:w="5470" w:type="dxa"/>
          </w:tcPr>
          <w:p w:rsidR="00172C5A" w:rsidRPr="00F012F8" w:rsidRDefault="00172C5A" w:rsidP="00CE2C76">
            <w:pPr>
              <w:rPr>
                <w:rFonts w:cs="Times New Roman"/>
                <w:sz w:val="20"/>
                <w:szCs w:val="20"/>
              </w:rPr>
            </w:pPr>
            <w:r w:rsidRPr="00F012F8">
              <w:rPr>
                <w:rFonts w:cs="Times New Roman"/>
                <w:sz w:val="20"/>
                <w:szCs w:val="20"/>
              </w:rPr>
              <w:t>Épidémiologie – Facteurs de risques</w:t>
            </w:r>
          </w:p>
        </w:tc>
        <w:tc>
          <w:tcPr>
            <w:tcW w:w="5470" w:type="dxa"/>
          </w:tcPr>
          <w:p w:rsidR="00172C5A" w:rsidRPr="00F012F8" w:rsidRDefault="00172C5A" w:rsidP="00CE2C76">
            <w:pPr>
              <w:rPr>
                <w:rFonts w:cs="Times New Roman"/>
                <w:sz w:val="20"/>
                <w:szCs w:val="20"/>
              </w:rPr>
            </w:pPr>
            <w:r w:rsidRPr="00F012F8">
              <w:rPr>
                <w:rFonts w:cs="Times New Roman"/>
                <w:sz w:val="20"/>
                <w:szCs w:val="20"/>
              </w:rPr>
              <w:t>Symptômes</w:t>
            </w:r>
          </w:p>
        </w:tc>
      </w:tr>
      <w:tr w:rsidR="00172C5A" w:rsidRPr="00F012F8" w:rsidTr="00E63664">
        <w:tc>
          <w:tcPr>
            <w:tcW w:w="5470" w:type="dxa"/>
            <w:vMerge w:val="restart"/>
          </w:tcPr>
          <w:p w:rsidR="00C853FB" w:rsidRPr="00F012F8" w:rsidRDefault="00C853FB" w:rsidP="001A1752">
            <w:pPr>
              <w:pStyle w:val="Paragraphedeliste"/>
              <w:numPr>
                <w:ilvl w:val="0"/>
                <w:numId w:val="23"/>
              </w:numPr>
              <w:rPr>
                <w:rFonts w:cs="Times New Roman"/>
                <w:sz w:val="20"/>
                <w:szCs w:val="20"/>
              </w:rPr>
            </w:pPr>
            <w:r w:rsidRPr="00F012F8">
              <w:rPr>
                <w:rFonts w:cs="Times New Roman"/>
                <w:sz w:val="20"/>
                <w:szCs w:val="20"/>
              </w:rPr>
              <w:t>Atteinte de la muqueuse du nez</w:t>
            </w:r>
          </w:p>
          <w:p w:rsidR="00172C5A" w:rsidRPr="00F012F8" w:rsidRDefault="003936B1" w:rsidP="001A1752">
            <w:pPr>
              <w:pStyle w:val="Paragraphedeliste"/>
              <w:numPr>
                <w:ilvl w:val="0"/>
                <w:numId w:val="23"/>
              </w:numPr>
              <w:rPr>
                <w:rFonts w:cs="Times New Roman"/>
                <w:sz w:val="20"/>
                <w:szCs w:val="20"/>
              </w:rPr>
            </w:pPr>
            <w:r w:rsidRPr="00F012F8">
              <w:rPr>
                <w:rFonts w:cs="Times New Roman"/>
                <w:sz w:val="20"/>
                <w:szCs w:val="20"/>
              </w:rPr>
              <w:t>~ 30% des rhinites sont anosmiques</w:t>
            </w:r>
          </w:p>
          <w:p w:rsidR="003936B1" w:rsidRPr="00F012F8" w:rsidRDefault="003936B1" w:rsidP="001A1752">
            <w:pPr>
              <w:pStyle w:val="Paragraphedeliste"/>
              <w:numPr>
                <w:ilvl w:val="0"/>
                <w:numId w:val="23"/>
              </w:numPr>
              <w:rPr>
                <w:rFonts w:cs="Times New Roman"/>
                <w:sz w:val="20"/>
                <w:szCs w:val="20"/>
              </w:rPr>
            </w:pPr>
            <w:r w:rsidRPr="00F012F8">
              <w:rPr>
                <w:rFonts w:cs="Times New Roman"/>
                <w:sz w:val="20"/>
                <w:szCs w:val="20"/>
              </w:rPr>
              <w:t>Virale ou allergique</w:t>
            </w:r>
          </w:p>
        </w:tc>
        <w:tc>
          <w:tcPr>
            <w:tcW w:w="5470" w:type="dxa"/>
          </w:tcPr>
          <w:p w:rsidR="00172C5A" w:rsidRPr="00F012F8" w:rsidRDefault="003936B1" w:rsidP="001A1752">
            <w:pPr>
              <w:pStyle w:val="Paragraphedeliste"/>
              <w:numPr>
                <w:ilvl w:val="0"/>
                <w:numId w:val="23"/>
              </w:numPr>
              <w:rPr>
                <w:rFonts w:cs="Times New Roman"/>
                <w:sz w:val="20"/>
                <w:szCs w:val="20"/>
              </w:rPr>
            </w:pPr>
            <w:r w:rsidRPr="00F012F8">
              <w:rPr>
                <w:rFonts w:cs="Times New Roman"/>
                <w:sz w:val="20"/>
                <w:szCs w:val="20"/>
              </w:rPr>
              <w:t>Anosmie (30%)</w:t>
            </w:r>
          </w:p>
          <w:p w:rsidR="003936B1" w:rsidRPr="00F012F8" w:rsidRDefault="003936B1" w:rsidP="001A1752">
            <w:pPr>
              <w:pStyle w:val="Paragraphedeliste"/>
              <w:numPr>
                <w:ilvl w:val="0"/>
                <w:numId w:val="23"/>
              </w:numPr>
              <w:rPr>
                <w:rFonts w:cs="Times New Roman"/>
                <w:sz w:val="20"/>
                <w:szCs w:val="20"/>
              </w:rPr>
            </w:pPr>
            <w:r w:rsidRPr="00F012F8">
              <w:rPr>
                <w:rFonts w:cs="Times New Roman"/>
                <w:sz w:val="20"/>
                <w:szCs w:val="20"/>
              </w:rPr>
              <w:t>Rhinorrhée / Sx IVRS/allergie selon étiologie</w:t>
            </w:r>
          </w:p>
          <w:p w:rsidR="003936B1" w:rsidRPr="00F012F8" w:rsidRDefault="00C853FB" w:rsidP="001A1752">
            <w:pPr>
              <w:pStyle w:val="Paragraphedeliste"/>
              <w:numPr>
                <w:ilvl w:val="0"/>
                <w:numId w:val="23"/>
              </w:numPr>
              <w:rPr>
                <w:rFonts w:cs="Times New Roman"/>
                <w:sz w:val="20"/>
                <w:szCs w:val="20"/>
              </w:rPr>
            </w:pPr>
            <w:r w:rsidRPr="00F012F8">
              <w:rPr>
                <w:rFonts w:cs="Times New Roman"/>
                <w:sz w:val="20"/>
                <w:szCs w:val="20"/>
              </w:rPr>
              <w:t xml:space="preserve">Apparition </w:t>
            </w:r>
            <w:r w:rsidRPr="00F012F8">
              <w:rPr>
                <w:rFonts w:cs="Times New Roman"/>
                <w:sz w:val="20"/>
                <w:szCs w:val="20"/>
                <w:highlight w:val="yellow"/>
              </w:rPr>
              <w:t>cyclique</w:t>
            </w:r>
            <w:r w:rsidRPr="00F012F8">
              <w:rPr>
                <w:rFonts w:cs="Times New Roman"/>
                <w:sz w:val="20"/>
                <w:szCs w:val="20"/>
              </w:rPr>
              <w:t xml:space="preserve"> des Sx (saisonniers)</w:t>
            </w:r>
          </w:p>
          <w:p w:rsidR="00C853FB" w:rsidRPr="00F012F8" w:rsidRDefault="00C853FB" w:rsidP="00C63AFC">
            <w:pPr>
              <w:pStyle w:val="Paragraphedeliste"/>
              <w:rPr>
                <w:rFonts w:cs="Times New Roman"/>
                <w:sz w:val="20"/>
                <w:szCs w:val="20"/>
              </w:rPr>
            </w:pPr>
          </w:p>
        </w:tc>
      </w:tr>
      <w:tr w:rsidR="00172C5A" w:rsidRPr="00F012F8" w:rsidTr="00E63664">
        <w:tc>
          <w:tcPr>
            <w:tcW w:w="5470" w:type="dxa"/>
            <w:vMerge/>
          </w:tcPr>
          <w:p w:rsidR="00172C5A" w:rsidRPr="00F012F8" w:rsidRDefault="00172C5A" w:rsidP="00CE2C76">
            <w:pPr>
              <w:rPr>
                <w:rFonts w:cs="Times New Roman"/>
                <w:sz w:val="20"/>
                <w:szCs w:val="20"/>
              </w:rPr>
            </w:pPr>
          </w:p>
        </w:tc>
        <w:tc>
          <w:tcPr>
            <w:tcW w:w="5470" w:type="dxa"/>
          </w:tcPr>
          <w:p w:rsidR="00172C5A" w:rsidRPr="00F012F8" w:rsidRDefault="00172C5A" w:rsidP="00CE2C76">
            <w:pPr>
              <w:rPr>
                <w:rFonts w:cs="Times New Roman"/>
                <w:sz w:val="20"/>
                <w:szCs w:val="20"/>
              </w:rPr>
            </w:pPr>
            <w:r w:rsidRPr="00F012F8">
              <w:rPr>
                <w:rFonts w:cs="Times New Roman"/>
                <w:sz w:val="20"/>
                <w:szCs w:val="20"/>
              </w:rPr>
              <w:t>Signes cliniques</w:t>
            </w:r>
          </w:p>
        </w:tc>
      </w:tr>
      <w:tr w:rsidR="00172C5A" w:rsidRPr="00F012F8" w:rsidTr="00E63664">
        <w:tc>
          <w:tcPr>
            <w:tcW w:w="5470" w:type="dxa"/>
            <w:vMerge/>
          </w:tcPr>
          <w:p w:rsidR="00172C5A" w:rsidRPr="00F012F8" w:rsidRDefault="00172C5A" w:rsidP="00CE2C76">
            <w:pPr>
              <w:rPr>
                <w:rFonts w:cs="Times New Roman"/>
                <w:sz w:val="20"/>
                <w:szCs w:val="20"/>
              </w:rPr>
            </w:pPr>
          </w:p>
        </w:tc>
        <w:tc>
          <w:tcPr>
            <w:tcW w:w="5470" w:type="dxa"/>
          </w:tcPr>
          <w:p w:rsidR="00172C5A" w:rsidRDefault="00C853FB" w:rsidP="001A1752">
            <w:pPr>
              <w:pStyle w:val="Paragraphedeliste"/>
              <w:numPr>
                <w:ilvl w:val="0"/>
                <w:numId w:val="23"/>
              </w:numPr>
              <w:rPr>
                <w:rFonts w:cs="Times New Roman"/>
                <w:sz w:val="20"/>
                <w:szCs w:val="20"/>
              </w:rPr>
            </w:pPr>
            <w:r w:rsidRPr="00F012F8">
              <w:rPr>
                <w:rFonts w:cs="Times New Roman"/>
                <w:sz w:val="20"/>
                <w:szCs w:val="20"/>
                <w:highlight w:val="yellow"/>
              </w:rPr>
              <w:t>Muqueuse nasale œdématiée et pâle</w:t>
            </w:r>
          </w:p>
          <w:p w:rsidR="004F33F8" w:rsidRDefault="004F33F8" w:rsidP="001A1752">
            <w:pPr>
              <w:pStyle w:val="Paragraphedeliste"/>
              <w:numPr>
                <w:ilvl w:val="0"/>
                <w:numId w:val="23"/>
              </w:numPr>
              <w:rPr>
                <w:rFonts w:cs="Times New Roman"/>
                <w:sz w:val="20"/>
                <w:szCs w:val="20"/>
              </w:rPr>
            </w:pPr>
            <w:r>
              <w:rPr>
                <w:rFonts w:cs="Times New Roman"/>
                <w:sz w:val="20"/>
                <w:szCs w:val="20"/>
              </w:rPr>
              <w:t>Prurit nasal (allergique)</w:t>
            </w:r>
          </w:p>
          <w:p w:rsidR="004F33F8" w:rsidRDefault="004F33F8" w:rsidP="001A1752">
            <w:pPr>
              <w:pStyle w:val="Paragraphedeliste"/>
              <w:numPr>
                <w:ilvl w:val="0"/>
                <w:numId w:val="23"/>
              </w:numPr>
              <w:rPr>
                <w:rFonts w:cs="Times New Roman"/>
                <w:sz w:val="20"/>
                <w:szCs w:val="20"/>
              </w:rPr>
            </w:pPr>
            <w:r>
              <w:rPr>
                <w:rFonts w:cs="Times New Roman"/>
                <w:sz w:val="20"/>
                <w:szCs w:val="20"/>
              </w:rPr>
              <w:t>Signe de Dennie-Morgan (allergique)</w:t>
            </w:r>
          </w:p>
          <w:p w:rsidR="004F33F8" w:rsidRDefault="004F33F8" w:rsidP="001A1752">
            <w:pPr>
              <w:pStyle w:val="Paragraphedeliste"/>
              <w:numPr>
                <w:ilvl w:val="0"/>
                <w:numId w:val="23"/>
              </w:numPr>
              <w:rPr>
                <w:rFonts w:cs="Times New Roman"/>
                <w:sz w:val="20"/>
                <w:szCs w:val="20"/>
              </w:rPr>
            </w:pPr>
            <w:r>
              <w:rPr>
                <w:rFonts w:cs="Times New Roman"/>
                <w:sz w:val="20"/>
                <w:szCs w:val="20"/>
              </w:rPr>
              <w:t>Œdème orbitaire (allergique)</w:t>
            </w:r>
          </w:p>
          <w:p w:rsidR="00833AE1" w:rsidRPr="00F012F8" w:rsidRDefault="00833AE1" w:rsidP="00833AE1">
            <w:pPr>
              <w:pStyle w:val="Paragraphedeliste"/>
              <w:rPr>
                <w:rFonts w:cs="Times New Roman"/>
                <w:sz w:val="20"/>
                <w:szCs w:val="20"/>
              </w:rPr>
            </w:pPr>
          </w:p>
        </w:tc>
      </w:tr>
      <w:tr w:rsidR="00172C5A" w:rsidRPr="00F012F8" w:rsidTr="002C7A7C">
        <w:tc>
          <w:tcPr>
            <w:tcW w:w="10940" w:type="dxa"/>
            <w:gridSpan w:val="2"/>
            <w:shd w:val="clear" w:color="auto" w:fill="8DB3E2" w:themeFill="text2" w:themeFillTint="66"/>
          </w:tcPr>
          <w:p w:rsidR="00172C5A" w:rsidRPr="00F012F8" w:rsidRDefault="003936B1" w:rsidP="00172C5A">
            <w:pPr>
              <w:jc w:val="center"/>
              <w:rPr>
                <w:rFonts w:cs="Times New Roman"/>
                <w:b/>
                <w:sz w:val="20"/>
                <w:szCs w:val="20"/>
              </w:rPr>
            </w:pPr>
            <w:r w:rsidRPr="00F012F8">
              <w:rPr>
                <w:rFonts w:cs="Times New Roman"/>
                <w:b/>
                <w:sz w:val="20"/>
                <w:szCs w:val="20"/>
              </w:rPr>
              <w:t>Rhinosinusite</w:t>
            </w:r>
            <w:r w:rsidR="00FD6C2F" w:rsidRPr="00F012F8">
              <w:rPr>
                <w:rFonts w:cs="Times New Roman"/>
                <w:b/>
                <w:sz w:val="20"/>
                <w:szCs w:val="20"/>
              </w:rPr>
              <w:t>*</w:t>
            </w:r>
          </w:p>
        </w:tc>
      </w:tr>
      <w:tr w:rsidR="00172C5A" w:rsidRPr="00F012F8" w:rsidTr="00E63664">
        <w:tc>
          <w:tcPr>
            <w:tcW w:w="5470" w:type="dxa"/>
          </w:tcPr>
          <w:p w:rsidR="00172C5A" w:rsidRPr="00F012F8" w:rsidRDefault="00172C5A" w:rsidP="00E63664">
            <w:pPr>
              <w:rPr>
                <w:rFonts w:cs="Times New Roman"/>
                <w:sz w:val="20"/>
                <w:szCs w:val="20"/>
              </w:rPr>
            </w:pPr>
            <w:r w:rsidRPr="00F012F8">
              <w:rPr>
                <w:rFonts w:cs="Times New Roman"/>
                <w:sz w:val="20"/>
                <w:szCs w:val="20"/>
              </w:rPr>
              <w:t>Épidémiologie – Facteurs de risques</w:t>
            </w:r>
          </w:p>
        </w:tc>
        <w:tc>
          <w:tcPr>
            <w:tcW w:w="5470" w:type="dxa"/>
          </w:tcPr>
          <w:p w:rsidR="00172C5A" w:rsidRPr="00F012F8" w:rsidRDefault="00172C5A" w:rsidP="00CE2C76">
            <w:pPr>
              <w:rPr>
                <w:rFonts w:cs="Times New Roman"/>
                <w:sz w:val="20"/>
                <w:szCs w:val="20"/>
              </w:rPr>
            </w:pPr>
            <w:r w:rsidRPr="00F012F8">
              <w:rPr>
                <w:rFonts w:cs="Times New Roman"/>
                <w:sz w:val="20"/>
                <w:szCs w:val="20"/>
              </w:rPr>
              <w:t>Symptômes</w:t>
            </w:r>
          </w:p>
        </w:tc>
      </w:tr>
      <w:tr w:rsidR="00172C5A" w:rsidRPr="00F012F8" w:rsidTr="00E63664">
        <w:tc>
          <w:tcPr>
            <w:tcW w:w="5470" w:type="dxa"/>
            <w:vMerge w:val="restart"/>
          </w:tcPr>
          <w:p w:rsidR="00172C5A" w:rsidRPr="00F012F8" w:rsidRDefault="00C853FB" w:rsidP="001A1752">
            <w:pPr>
              <w:pStyle w:val="Paragraphedeliste"/>
              <w:numPr>
                <w:ilvl w:val="0"/>
                <w:numId w:val="22"/>
              </w:numPr>
              <w:rPr>
                <w:rFonts w:cs="Times New Roman"/>
                <w:sz w:val="20"/>
                <w:szCs w:val="20"/>
              </w:rPr>
            </w:pPr>
            <w:r w:rsidRPr="00F012F8">
              <w:rPr>
                <w:rFonts w:cs="Times New Roman"/>
                <w:sz w:val="20"/>
                <w:szCs w:val="20"/>
              </w:rPr>
              <w:t xml:space="preserve">Inflammation des muqueuses bordant les sinus </w:t>
            </w:r>
          </w:p>
          <w:p w:rsidR="00A65EC4" w:rsidRPr="00F012F8" w:rsidRDefault="00C853FB" w:rsidP="001A1752">
            <w:pPr>
              <w:pStyle w:val="Paragraphedeliste"/>
              <w:numPr>
                <w:ilvl w:val="0"/>
                <w:numId w:val="22"/>
              </w:numPr>
              <w:rPr>
                <w:rFonts w:cs="Times New Roman"/>
                <w:sz w:val="20"/>
                <w:szCs w:val="20"/>
              </w:rPr>
            </w:pPr>
            <w:r w:rsidRPr="00F012F8">
              <w:rPr>
                <w:rFonts w:cs="Times New Roman"/>
                <w:sz w:val="20"/>
                <w:szCs w:val="20"/>
              </w:rPr>
              <w:t>Allergique, bactérienne, obstruction par corps étranger</w:t>
            </w:r>
          </w:p>
          <w:p w:rsidR="00C853FB" w:rsidRPr="00F012F8" w:rsidRDefault="00A65EC4" w:rsidP="001A1752">
            <w:pPr>
              <w:pStyle w:val="Paragraphedeliste"/>
              <w:numPr>
                <w:ilvl w:val="0"/>
                <w:numId w:val="22"/>
              </w:numPr>
              <w:rPr>
                <w:rFonts w:cs="Times New Roman"/>
                <w:sz w:val="20"/>
                <w:szCs w:val="20"/>
              </w:rPr>
            </w:pPr>
            <w:r w:rsidRPr="00F012F8">
              <w:rPr>
                <w:rFonts w:cs="Times New Roman"/>
                <w:sz w:val="20"/>
                <w:szCs w:val="20"/>
              </w:rPr>
              <w:t>Peut être aigue, subaigu ou chronique</w:t>
            </w:r>
          </w:p>
          <w:p w:rsidR="004416C1" w:rsidRPr="00F012F8" w:rsidRDefault="004416C1" w:rsidP="001A1752">
            <w:pPr>
              <w:pStyle w:val="Paragraphedeliste"/>
              <w:numPr>
                <w:ilvl w:val="0"/>
                <w:numId w:val="22"/>
              </w:numPr>
              <w:rPr>
                <w:rFonts w:cs="Times New Roman"/>
                <w:i/>
                <w:sz w:val="20"/>
                <w:szCs w:val="20"/>
              </w:rPr>
            </w:pPr>
            <w:r w:rsidRPr="00F012F8">
              <w:rPr>
                <w:rFonts w:cs="Times New Roman"/>
                <w:i/>
                <w:sz w:val="20"/>
                <w:szCs w:val="20"/>
              </w:rPr>
              <w:t>Klebsiella</w:t>
            </w:r>
          </w:p>
        </w:tc>
        <w:tc>
          <w:tcPr>
            <w:tcW w:w="5470" w:type="dxa"/>
          </w:tcPr>
          <w:p w:rsidR="004416C1" w:rsidRPr="00F012F8" w:rsidRDefault="004416C1" w:rsidP="001A1752">
            <w:pPr>
              <w:pStyle w:val="Paragraphedeliste"/>
              <w:numPr>
                <w:ilvl w:val="0"/>
                <w:numId w:val="22"/>
              </w:numPr>
              <w:rPr>
                <w:rFonts w:cs="Times New Roman"/>
                <w:sz w:val="20"/>
                <w:szCs w:val="20"/>
              </w:rPr>
            </w:pPr>
            <w:r w:rsidRPr="00F012F8">
              <w:rPr>
                <w:rFonts w:cs="Times New Roman"/>
                <w:sz w:val="20"/>
                <w:szCs w:val="20"/>
              </w:rPr>
              <w:t>Hyposmie/anosmie – obstruction nasale</w:t>
            </w:r>
          </w:p>
          <w:p w:rsidR="00C853FB" w:rsidRPr="00F012F8" w:rsidRDefault="00C853FB" w:rsidP="001A1752">
            <w:pPr>
              <w:pStyle w:val="Paragraphedeliste"/>
              <w:numPr>
                <w:ilvl w:val="0"/>
                <w:numId w:val="22"/>
              </w:numPr>
              <w:rPr>
                <w:rFonts w:cs="Times New Roman"/>
                <w:sz w:val="20"/>
                <w:szCs w:val="20"/>
              </w:rPr>
            </w:pPr>
            <w:r w:rsidRPr="00F012F8">
              <w:rPr>
                <w:rFonts w:cs="Times New Roman"/>
                <w:sz w:val="20"/>
                <w:szCs w:val="20"/>
              </w:rPr>
              <w:t>Pression</w:t>
            </w:r>
            <w:r w:rsidR="00A65EC4" w:rsidRPr="00F012F8">
              <w:rPr>
                <w:rFonts w:cs="Times New Roman"/>
                <w:sz w:val="20"/>
                <w:szCs w:val="20"/>
              </w:rPr>
              <w:t>/</w:t>
            </w:r>
            <w:r w:rsidRPr="00F012F8">
              <w:rPr>
                <w:rFonts w:cs="Times New Roman"/>
                <w:sz w:val="20"/>
                <w:szCs w:val="20"/>
              </w:rPr>
              <w:t>douleur faciale</w:t>
            </w:r>
          </w:p>
          <w:p w:rsidR="00C853FB" w:rsidRPr="00F012F8" w:rsidRDefault="00C853FB" w:rsidP="001A1752">
            <w:pPr>
              <w:pStyle w:val="Paragraphedeliste"/>
              <w:numPr>
                <w:ilvl w:val="0"/>
                <w:numId w:val="22"/>
              </w:numPr>
              <w:rPr>
                <w:rFonts w:cs="Times New Roman"/>
                <w:sz w:val="20"/>
                <w:szCs w:val="20"/>
              </w:rPr>
            </w:pPr>
            <w:r w:rsidRPr="00F012F8">
              <w:rPr>
                <w:rFonts w:cs="Times New Roman"/>
                <w:sz w:val="20"/>
                <w:szCs w:val="20"/>
              </w:rPr>
              <w:t>Rhinorrhée purulente</w:t>
            </w:r>
          </w:p>
          <w:p w:rsidR="00C853FB" w:rsidRPr="00F012F8" w:rsidRDefault="00C853FB" w:rsidP="001A1752">
            <w:pPr>
              <w:pStyle w:val="Paragraphedeliste"/>
              <w:numPr>
                <w:ilvl w:val="0"/>
                <w:numId w:val="22"/>
              </w:numPr>
              <w:rPr>
                <w:rFonts w:cs="Times New Roman"/>
                <w:sz w:val="20"/>
                <w:szCs w:val="20"/>
              </w:rPr>
            </w:pPr>
            <w:r w:rsidRPr="00F012F8">
              <w:rPr>
                <w:rFonts w:cs="Times New Roman"/>
                <w:sz w:val="20"/>
                <w:szCs w:val="20"/>
              </w:rPr>
              <w:t>Fatigue</w:t>
            </w:r>
          </w:p>
          <w:p w:rsidR="00C853FB" w:rsidRPr="00F012F8" w:rsidRDefault="00C853FB" w:rsidP="001A1752">
            <w:pPr>
              <w:pStyle w:val="Paragraphedeliste"/>
              <w:numPr>
                <w:ilvl w:val="0"/>
                <w:numId w:val="22"/>
              </w:numPr>
              <w:rPr>
                <w:rFonts w:cs="Times New Roman"/>
                <w:sz w:val="20"/>
                <w:szCs w:val="20"/>
              </w:rPr>
            </w:pPr>
            <w:r w:rsidRPr="00F012F8">
              <w:rPr>
                <w:rFonts w:cs="Times New Roman"/>
                <w:sz w:val="20"/>
                <w:szCs w:val="20"/>
              </w:rPr>
              <w:t>Douleur dentaire</w:t>
            </w:r>
          </w:p>
          <w:p w:rsidR="00C853FB" w:rsidRPr="00F012F8" w:rsidRDefault="00C853FB" w:rsidP="001A1752">
            <w:pPr>
              <w:pStyle w:val="Paragraphedeliste"/>
              <w:numPr>
                <w:ilvl w:val="0"/>
                <w:numId w:val="22"/>
              </w:numPr>
              <w:rPr>
                <w:rFonts w:cs="Times New Roman"/>
                <w:sz w:val="20"/>
                <w:szCs w:val="20"/>
              </w:rPr>
            </w:pPr>
            <w:r w:rsidRPr="00F012F8">
              <w:rPr>
                <w:rFonts w:cs="Times New Roman"/>
                <w:sz w:val="20"/>
                <w:szCs w:val="20"/>
              </w:rPr>
              <w:t>Toux</w:t>
            </w:r>
          </w:p>
          <w:p w:rsidR="00C853FB" w:rsidRPr="00F012F8" w:rsidRDefault="00C853FB" w:rsidP="001A1752">
            <w:pPr>
              <w:pStyle w:val="Paragraphedeliste"/>
              <w:numPr>
                <w:ilvl w:val="0"/>
                <w:numId w:val="22"/>
              </w:numPr>
              <w:rPr>
                <w:rFonts w:cs="Times New Roman"/>
                <w:sz w:val="20"/>
                <w:szCs w:val="20"/>
              </w:rPr>
            </w:pPr>
            <w:r w:rsidRPr="00F012F8">
              <w:rPr>
                <w:rFonts w:cs="Times New Roman"/>
                <w:sz w:val="20"/>
                <w:szCs w:val="20"/>
              </w:rPr>
              <w:t>Otalgie</w:t>
            </w:r>
          </w:p>
          <w:p w:rsidR="00C853FB" w:rsidRPr="00F012F8" w:rsidRDefault="00C853FB" w:rsidP="001A1752">
            <w:pPr>
              <w:pStyle w:val="Paragraphedeliste"/>
              <w:numPr>
                <w:ilvl w:val="0"/>
                <w:numId w:val="22"/>
              </w:numPr>
              <w:rPr>
                <w:rFonts w:cs="Times New Roman"/>
                <w:sz w:val="20"/>
                <w:szCs w:val="20"/>
              </w:rPr>
            </w:pPr>
            <w:r w:rsidRPr="00F012F8">
              <w:rPr>
                <w:rFonts w:cs="Times New Roman"/>
                <w:sz w:val="20"/>
                <w:szCs w:val="20"/>
              </w:rPr>
              <w:t>Halitose</w:t>
            </w:r>
          </w:p>
        </w:tc>
      </w:tr>
      <w:tr w:rsidR="00172C5A" w:rsidRPr="00F012F8" w:rsidTr="00E63664">
        <w:tc>
          <w:tcPr>
            <w:tcW w:w="5470" w:type="dxa"/>
            <w:vMerge/>
          </w:tcPr>
          <w:p w:rsidR="00172C5A" w:rsidRPr="00F012F8" w:rsidRDefault="00172C5A" w:rsidP="00E63664">
            <w:pPr>
              <w:rPr>
                <w:rFonts w:cs="Times New Roman"/>
                <w:sz w:val="20"/>
                <w:szCs w:val="20"/>
              </w:rPr>
            </w:pPr>
          </w:p>
        </w:tc>
        <w:tc>
          <w:tcPr>
            <w:tcW w:w="5470" w:type="dxa"/>
          </w:tcPr>
          <w:p w:rsidR="00172C5A" w:rsidRPr="00F012F8" w:rsidRDefault="00172C5A" w:rsidP="00CE2C76">
            <w:pPr>
              <w:rPr>
                <w:rFonts w:cs="Times New Roman"/>
                <w:sz w:val="20"/>
                <w:szCs w:val="20"/>
              </w:rPr>
            </w:pPr>
            <w:r w:rsidRPr="00F012F8">
              <w:rPr>
                <w:rFonts w:cs="Times New Roman"/>
                <w:sz w:val="20"/>
                <w:szCs w:val="20"/>
              </w:rPr>
              <w:t>Signes cliniques</w:t>
            </w:r>
          </w:p>
        </w:tc>
      </w:tr>
      <w:tr w:rsidR="00172C5A" w:rsidRPr="00F012F8" w:rsidTr="00E63664">
        <w:tc>
          <w:tcPr>
            <w:tcW w:w="5470" w:type="dxa"/>
            <w:vMerge/>
          </w:tcPr>
          <w:p w:rsidR="00172C5A" w:rsidRPr="00F012F8" w:rsidRDefault="00172C5A" w:rsidP="00E63664">
            <w:pPr>
              <w:rPr>
                <w:rFonts w:cs="Times New Roman"/>
                <w:sz w:val="20"/>
                <w:szCs w:val="20"/>
              </w:rPr>
            </w:pPr>
          </w:p>
        </w:tc>
        <w:tc>
          <w:tcPr>
            <w:tcW w:w="5470" w:type="dxa"/>
          </w:tcPr>
          <w:p w:rsidR="00172C5A" w:rsidRPr="00F012F8" w:rsidRDefault="00C853FB" w:rsidP="001A1752">
            <w:pPr>
              <w:pStyle w:val="Paragraphedeliste"/>
              <w:numPr>
                <w:ilvl w:val="0"/>
                <w:numId w:val="22"/>
              </w:numPr>
              <w:rPr>
                <w:rFonts w:cs="Times New Roman"/>
                <w:sz w:val="20"/>
                <w:szCs w:val="20"/>
                <w:highlight w:val="yellow"/>
              </w:rPr>
            </w:pPr>
            <w:r w:rsidRPr="00F012F8">
              <w:rPr>
                <w:rFonts w:cs="Times New Roman"/>
                <w:sz w:val="20"/>
                <w:szCs w:val="20"/>
                <w:highlight w:val="yellow"/>
              </w:rPr>
              <w:t>Muqueuse érythémateuse</w:t>
            </w:r>
          </w:p>
          <w:p w:rsidR="00C853FB" w:rsidRPr="00F012F8" w:rsidRDefault="00C853FB" w:rsidP="001A1752">
            <w:pPr>
              <w:pStyle w:val="Paragraphedeliste"/>
              <w:numPr>
                <w:ilvl w:val="0"/>
                <w:numId w:val="22"/>
              </w:numPr>
              <w:rPr>
                <w:rFonts w:cs="Times New Roman"/>
                <w:sz w:val="20"/>
                <w:szCs w:val="20"/>
              </w:rPr>
            </w:pPr>
            <w:r w:rsidRPr="00F012F8">
              <w:rPr>
                <w:rFonts w:cs="Times New Roman"/>
                <w:sz w:val="20"/>
                <w:szCs w:val="20"/>
              </w:rPr>
              <w:t>Rhinorrhée purulente</w:t>
            </w:r>
          </w:p>
        </w:tc>
      </w:tr>
      <w:tr w:rsidR="00172C5A" w:rsidRPr="00F012F8" w:rsidTr="002C7A7C">
        <w:tc>
          <w:tcPr>
            <w:tcW w:w="10940" w:type="dxa"/>
            <w:gridSpan w:val="2"/>
            <w:shd w:val="clear" w:color="auto" w:fill="8DB3E2" w:themeFill="text2" w:themeFillTint="66"/>
          </w:tcPr>
          <w:p w:rsidR="00172C5A" w:rsidRPr="00F012F8" w:rsidRDefault="003936B1" w:rsidP="004416C1">
            <w:pPr>
              <w:jc w:val="center"/>
              <w:rPr>
                <w:rFonts w:cs="Times New Roman"/>
                <w:b/>
                <w:sz w:val="20"/>
                <w:szCs w:val="20"/>
              </w:rPr>
            </w:pPr>
            <w:r w:rsidRPr="00F012F8">
              <w:rPr>
                <w:rFonts w:cs="Times New Roman"/>
                <w:b/>
                <w:sz w:val="20"/>
                <w:szCs w:val="20"/>
              </w:rPr>
              <w:t>Syndrome de K</w:t>
            </w:r>
            <w:r w:rsidR="004416C1" w:rsidRPr="00F012F8">
              <w:rPr>
                <w:rFonts w:cs="Times New Roman"/>
                <w:b/>
                <w:sz w:val="20"/>
                <w:szCs w:val="20"/>
              </w:rPr>
              <w:t>linefelter</w:t>
            </w:r>
          </w:p>
        </w:tc>
      </w:tr>
      <w:tr w:rsidR="00172C5A" w:rsidRPr="00F012F8" w:rsidTr="00E63664">
        <w:tc>
          <w:tcPr>
            <w:tcW w:w="5470" w:type="dxa"/>
          </w:tcPr>
          <w:p w:rsidR="00172C5A" w:rsidRPr="00F012F8" w:rsidRDefault="00172C5A" w:rsidP="00E63664">
            <w:pPr>
              <w:rPr>
                <w:rFonts w:cs="Times New Roman"/>
                <w:sz w:val="20"/>
                <w:szCs w:val="20"/>
              </w:rPr>
            </w:pPr>
            <w:r w:rsidRPr="00F012F8">
              <w:rPr>
                <w:rFonts w:cs="Times New Roman"/>
                <w:sz w:val="20"/>
                <w:szCs w:val="20"/>
              </w:rPr>
              <w:t>Épidémiologie – Facteurs de risques</w:t>
            </w:r>
          </w:p>
        </w:tc>
        <w:tc>
          <w:tcPr>
            <w:tcW w:w="5470" w:type="dxa"/>
          </w:tcPr>
          <w:p w:rsidR="00172C5A" w:rsidRPr="00F012F8" w:rsidRDefault="00172C5A" w:rsidP="00CE2C76">
            <w:pPr>
              <w:rPr>
                <w:rFonts w:cs="Times New Roman"/>
                <w:sz w:val="20"/>
                <w:szCs w:val="20"/>
              </w:rPr>
            </w:pPr>
            <w:r w:rsidRPr="00F012F8">
              <w:rPr>
                <w:rFonts w:cs="Times New Roman"/>
                <w:sz w:val="20"/>
                <w:szCs w:val="20"/>
              </w:rPr>
              <w:t>Symptômes</w:t>
            </w:r>
          </w:p>
        </w:tc>
      </w:tr>
      <w:tr w:rsidR="00172C5A" w:rsidRPr="00F012F8" w:rsidTr="00E63664">
        <w:tc>
          <w:tcPr>
            <w:tcW w:w="5470" w:type="dxa"/>
            <w:vMerge w:val="restart"/>
          </w:tcPr>
          <w:p w:rsidR="004416C1" w:rsidRPr="00F012F8" w:rsidRDefault="004416C1" w:rsidP="001A1752">
            <w:pPr>
              <w:pStyle w:val="Paragraphedeliste"/>
              <w:numPr>
                <w:ilvl w:val="0"/>
                <w:numId w:val="22"/>
              </w:numPr>
              <w:rPr>
                <w:rFonts w:cs="Times New Roman"/>
                <w:sz w:val="20"/>
                <w:szCs w:val="20"/>
              </w:rPr>
            </w:pPr>
            <w:r w:rsidRPr="00F012F8">
              <w:rPr>
                <w:rFonts w:cs="Times New Roman"/>
                <w:sz w:val="20"/>
                <w:szCs w:val="20"/>
              </w:rPr>
              <w:t xml:space="preserve">47 XXY ou 48 XXXY ou 49 XXXXY </w:t>
            </w:r>
          </w:p>
          <w:p w:rsidR="00172C5A" w:rsidRPr="00F012F8" w:rsidRDefault="004416C1" w:rsidP="001A1752">
            <w:pPr>
              <w:pStyle w:val="Paragraphedeliste"/>
              <w:numPr>
                <w:ilvl w:val="0"/>
                <w:numId w:val="22"/>
              </w:numPr>
              <w:rPr>
                <w:rFonts w:cs="Times New Roman"/>
                <w:sz w:val="20"/>
                <w:szCs w:val="20"/>
              </w:rPr>
            </w:pPr>
            <w:r w:rsidRPr="00F012F8">
              <w:rPr>
                <w:rFonts w:cs="Times New Roman"/>
                <w:sz w:val="20"/>
                <w:szCs w:val="20"/>
              </w:rPr>
              <w:t>1 :1000 garçon vivant</w:t>
            </w:r>
          </w:p>
          <w:p w:rsidR="004416C1" w:rsidRPr="00F012F8" w:rsidRDefault="004416C1" w:rsidP="001A1752">
            <w:pPr>
              <w:pStyle w:val="Paragraphedeliste"/>
              <w:numPr>
                <w:ilvl w:val="0"/>
                <w:numId w:val="22"/>
              </w:numPr>
              <w:rPr>
                <w:rFonts w:cs="Times New Roman"/>
                <w:sz w:val="20"/>
                <w:szCs w:val="20"/>
              </w:rPr>
            </w:pPr>
            <w:r w:rsidRPr="00F012F8">
              <w:rPr>
                <w:rFonts w:cs="Times New Roman"/>
                <w:sz w:val="20"/>
                <w:szCs w:val="20"/>
              </w:rPr>
              <w:t>Incidence croît avec l’âge maternel</w:t>
            </w:r>
          </w:p>
        </w:tc>
        <w:tc>
          <w:tcPr>
            <w:tcW w:w="5470" w:type="dxa"/>
          </w:tcPr>
          <w:p w:rsidR="00172C5A" w:rsidRPr="00F012F8" w:rsidRDefault="004416C1" w:rsidP="001A1752">
            <w:pPr>
              <w:pStyle w:val="Paragraphedeliste"/>
              <w:numPr>
                <w:ilvl w:val="0"/>
                <w:numId w:val="22"/>
              </w:numPr>
              <w:rPr>
                <w:rFonts w:cs="Times New Roman"/>
                <w:sz w:val="20"/>
                <w:szCs w:val="20"/>
              </w:rPr>
            </w:pPr>
            <w:r w:rsidRPr="00F012F8">
              <w:rPr>
                <w:rFonts w:cs="Times New Roman"/>
                <w:sz w:val="20"/>
                <w:szCs w:val="20"/>
              </w:rPr>
              <w:t>Hyposmie ou anosmie</w:t>
            </w:r>
          </w:p>
          <w:p w:rsidR="004416C1" w:rsidRPr="00F012F8" w:rsidRDefault="004416C1" w:rsidP="001A1752">
            <w:pPr>
              <w:pStyle w:val="Paragraphedeliste"/>
              <w:numPr>
                <w:ilvl w:val="0"/>
                <w:numId w:val="22"/>
              </w:numPr>
              <w:rPr>
                <w:rFonts w:cs="Times New Roman"/>
                <w:sz w:val="20"/>
                <w:szCs w:val="20"/>
                <w:highlight w:val="yellow"/>
              </w:rPr>
            </w:pPr>
            <w:r w:rsidRPr="00F012F8">
              <w:rPr>
                <w:rFonts w:cs="Times New Roman"/>
                <w:sz w:val="20"/>
                <w:szCs w:val="20"/>
                <w:highlight w:val="yellow"/>
              </w:rPr>
              <w:t>Légère déficience intellectuelle</w:t>
            </w:r>
          </w:p>
          <w:p w:rsidR="004416C1" w:rsidRPr="00F012F8" w:rsidRDefault="004416C1" w:rsidP="001A1752">
            <w:pPr>
              <w:pStyle w:val="Paragraphedeliste"/>
              <w:numPr>
                <w:ilvl w:val="0"/>
                <w:numId w:val="22"/>
              </w:numPr>
              <w:rPr>
                <w:rFonts w:cs="Times New Roman"/>
                <w:sz w:val="20"/>
                <w:szCs w:val="20"/>
              </w:rPr>
            </w:pPr>
            <w:r w:rsidRPr="00F012F8">
              <w:rPr>
                <w:rFonts w:cs="Times New Roman"/>
                <w:sz w:val="20"/>
                <w:szCs w:val="20"/>
              </w:rPr>
              <w:t>Infertilité/hypospermie</w:t>
            </w:r>
          </w:p>
        </w:tc>
      </w:tr>
      <w:tr w:rsidR="00172C5A" w:rsidRPr="00F012F8" w:rsidTr="00E63664">
        <w:tc>
          <w:tcPr>
            <w:tcW w:w="5470" w:type="dxa"/>
            <w:vMerge/>
          </w:tcPr>
          <w:p w:rsidR="00172C5A" w:rsidRPr="00F012F8" w:rsidRDefault="00172C5A" w:rsidP="00E63664">
            <w:pPr>
              <w:rPr>
                <w:rFonts w:cs="Times New Roman"/>
                <w:sz w:val="20"/>
                <w:szCs w:val="20"/>
              </w:rPr>
            </w:pPr>
          </w:p>
        </w:tc>
        <w:tc>
          <w:tcPr>
            <w:tcW w:w="5470" w:type="dxa"/>
          </w:tcPr>
          <w:p w:rsidR="00172C5A" w:rsidRPr="00F012F8" w:rsidRDefault="00172C5A" w:rsidP="00CE2C76">
            <w:pPr>
              <w:rPr>
                <w:rFonts w:cs="Times New Roman"/>
                <w:sz w:val="20"/>
                <w:szCs w:val="20"/>
              </w:rPr>
            </w:pPr>
            <w:r w:rsidRPr="00F012F8">
              <w:rPr>
                <w:rFonts w:cs="Times New Roman"/>
                <w:sz w:val="20"/>
                <w:szCs w:val="20"/>
              </w:rPr>
              <w:t>Signes cliniques</w:t>
            </w:r>
          </w:p>
        </w:tc>
      </w:tr>
      <w:tr w:rsidR="00172C5A" w:rsidRPr="00F012F8" w:rsidTr="00E63664">
        <w:tc>
          <w:tcPr>
            <w:tcW w:w="5470" w:type="dxa"/>
            <w:vMerge/>
          </w:tcPr>
          <w:p w:rsidR="00172C5A" w:rsidRPr="00F012F8" w:rsidRDefault="00172C5A" w:rsidP="00E63664">
            <w:pPr>
              <w:rPr>
                <w:rFonts w:cs="Times New Roman"/>
                <w:sz w:val="20"/>
                <w:szCs w:val="20"/>
              </w:rPr>
            </w:pPr>
          </w:p>
        </w:tc>
        <w:tc>
          <w:tcPr>
            <w:tcW w:w="5470" w:type="dxa"/>
          </w:tcPr>
          <w:p w:rsidR="00172C5A" w:rsidRPr="00F012F8" w:rsidRDefault="004416C1" w:rsidP="001A1752">
            <w:pPr>
              <w:pStyle w:val="Paragraphedeliste"/>
              <w:numPr>
                <w:ilvl w:val="0"/>
                <w:numId w:val="22"/>
              </w:numPr>
              <w:rPr>
                <w:rFonts w:cs="Times New Roman"/>
                <w:sz w:val="20"/>
                <w:szCs w:val="20"/>
                <w:highlight w:val="yellow"/>
              </w:rPr>
            </w:pPr>
            <w:r w:rsidRPr="00F012F8">
              <w:rPr>
                <w:rFonts w:cs="Times New Roman"/>
                <w:sz w:val="20"/>
                <w:szCs w:val="20"/>
                <w:highlight w:val="yellow"/>
              </w:rPr>
              <w:t>Grand, minces, faible poids</w:t>
            </w:r>
          </w:p>
          <w:p w:rsidR="004416C1" w:rsidRPr="00F012F8" w:rsidRDefault="004416C1" w:rsidP="001A1752">
            <w:pPr>
              <w:pStyle w:val="Paragraphedeliste"/>
              <w:numPr>
                <w:ilvl w:val="0"/>
                <w:numId w:val="22"/>
              </w:numPr>
              <w:rPr>
                <w:rFonts w:cs="Times New Roman"/>
                <w:sz w:val="20"/>
                <w:szCs w:val="20"/>
                <w:highlight w:val="yellow"/>
              </w:rPr>
            </w:pPr>
            <w:r w:rsidRPr="00F012F8">
              <w:rPr>
                <w:rFonts w:cs="Times New Roman"/>
                <w:sz w:val="20"/>
                <w:szCs w:val="20"/>
                <w:highlight w:val="yellow"/>
              </w:rPr>
              <w:t>Absence de signes prépubertaires</w:t>
            </w:r>
          </w:p>
          <w:p w:rsidR="004416C1" w:rsidRPr="00F012F8" w:rsidRDefault="004416C1" w:rsidP="001A1752">
            <w:pPr>
              <w:pStyle w:val="Paragraphedeliste"/>
              <w:numPr>
                <w:ilvl w:val="0"/>
                <w:numId w:val="22"/>
              </w:numPr>
              <w:rPr>
                <w:rFonts w:cs="Times New Roman"/>
                <w:sz w:val="20"/>
                <w:szCs w:val="20"/>
                <w:highlight w:val="yellow"/>
              </w:rPr>
            </w:pPr>
            <w:r w:rsidRPr="00F012F8">
              <w:rPr>
                <w:rFonts w:cs="Times New Roman"/>
                <w:sz w:val="20"/>
                <w:szCs w:val="20"/>
                <w:highlight w:val="yellow"/>
              </w:rPr>
              <w:t>Retard de développement masculin postpubertaire</w:t>
            </w:r>
          </w:p>
          <w:p w:rsidR="004416C1" w:rsidRPr="00F012F8" w:rsidRDefault="004416C1" w:rsidP="001A1752">
            <w:pPr>
              <w:pStyle w:val="Paragraphedeliste"/>
              <w:numPr>
                <w:ilvl w:val="0"/>
                <w:numId w:val="22"/>
              </w:numPr>
              <w:rPr>
                <w:rFonts w:cs="Times New Roman"/>
                <w:sz w:val="20"/>
                <w:szCs w:val="20"/>
              </w:rPr>
            </w:pPr>
            <w:r w:rsidRPr="00F012F8">
              <w:rPr>
                <w:rFonts w:cs="Times New Roman"/>
                <w:sz w:val="20"/>
                <w:szCs w:val="20"/>
                <w:highlight w:val="yellow"/>
              </w:rPr>
              <w:t>Gynécomastie</w:t>
            </w:r>
          </w:p>
        </w:tc>
      </w:tr>
      <w:tr w:rsidR="00172C5A" w:rsidRPr="00F012F8" w:rsidTr="002C7A7C">
        <w:tc>
          <w:tcPr>
            <w:tcW w:w="10940" w:type="dxa"/>
            <w:gridSpan w:val="2"/>
            <w:shd w:val="clear" w:color="auto" w:fill="8DB3E2" w:themeFill="text2" w:themeFillTint="66"/>
          </w:tcPr>
          <w:p w:rsidR="00172C5A" w:rsidRPr="00F012F8" w:rsidRDefault="0091237F" w:rsidP="0091237F">
            <w:pPr>
              <w:jc w:val="center"/>
              <w:rPr>
                <w:rFonts w:cs="Times New Roman"/>
                <w:b/>
                <w:sz w:val="20"/>
                <w:szCs w:val="20"/>
              </w:rPr>
            </w:pPr>
            <w:r w:rsidRPr="00F012F8">
              <w:rPr>
                <w:rFonts w:cs="Times New Roman"/>
                <w:b/>
                <w:sz w:val="20"/>
                <w:szCs w:val="20"/>
              </w:rPr>
              <w:t>Paralysie de Bell</w:t>
            </w:r>
          </w:p>
        </w:tc>
      </w:tr>
      <w:tr w:rsidR="00172C5A" w:rsidRPr="00F012F8" w:rsidTr="00E63664">
        <w:tc>
          <w:tcPr>
            <w:tcW w:w="5470" w:type="dxa"/>
          </w:tcPr>
          <w:p w:rsidR="00172C5A" w:rsidRPr="00F012F8" w:rsidRDefault="00172C5A" w:rsidP="00E63664">
            <w:pPr>
              <w:rPr>
                <w:rFonts w:cs="Times New Roman"/>
                <w:sz w:val="20"/>
                <w:szCs w:val="20"/>
              </w:rPr>
            </w:pPr>
            <w:r w:rsidRPr="00F012F8">
              <w:rPr>
                <w:rFonts w:cs="Times New Roman"/>
                <w:sz w:val="20"/>
                <w:szCs w:val="20"/>
              </w:rPr>
              <w:t>Épidémiologie – Facteurs de risques</w:t>
            </w:r>
          </w:p>
        </w:tc>
        <w:tc>
          <w:tcPr>
            <w:tcW w:w="5470" w:type="dxa"/>
          </w:tcPr>
          <w:p w:rsidR="00172C5A" w:rsidRPr="00F012F8" w:rsidRDefault="00172C5A" w:rsidP="00CE2C76">
            <w:pPr>
              <w:rPr>
                <w:rFonts w:cs="Times New Roman"/>
                <w:sz w:val="20"/>
                <w:szCs w:val="20"/>
              </w:rPr>
            </w:pPr>
            <w:r w:rsidRPr="00F012F8">
              <w:rPr>
                <w:rFonts w:cs="Times New Roman"/>
                <w:sz w:val="20"/>
                <w:szCs w:val="20"/>
              </w:rPr>
              <w:t>Symptômes</w:t>
            </w:r>
          </w:p>
        </w:tc>
      </w:tr>
      <w:tr w:rsidR="00172C5A" w:rsidRPr="00F012F8" w:rsidTr="00E63664">
        <w:tc>
          <w:tcPr>
            <w:tcW w:w="5470" w:type="dxa"/>
            <w:vMerge w:val="restart"/>
          </w:tcPr>
          <w:p w:rsidR="0091237F" w:rsidRPr="00F012F8" w:rsidRDefault="0091237F" w:rsidP="001A1752">
            <w:pPr>
              <w:pStyle w:val="Paragraphedeliste"/>
              <w:numPr>
                <w:ilvl w:val="0"/>
                <w:numId w:val="22"/>
              </w:numPr>
              <w:rPr>
                <w:rFonts w:cs="Times New Roman"/>
                <w:sz w:val="20"/>
                <w:szCs w:val="20"/>
              </w:rPr>
            </w:pPr>
            <w:r w:rsidRPr="00F012F8">
              <w:rPr>
                <w:rFonts w:cs="Times New Roman"/>
                <w:sz w:val="20"/>
                <w:szCs w:val="20"/>
              </w:rPr>
              <w:t>Incidence : 13-35 / 100 000</w:t>
            </w:r>
          </w:p>
          <w:p w:rsidR="0091237F" w:rsidRPr="00F012F8" w:rsidRDefault="0091237F" w:rsidP="001A1752">
            <w:pPr>
              <w:pStyle w:val="Paragraphedeliste"/>
              <w:numPr>
                <w:ilvl w:val="0"/>
                <w:numId w:val="22"/>
              </w:numPr>
              <w:rPr>
                <w:rFonts w:cs="Times New Roman"/>
                <w:sz w:val="20"/>
                <w:szCs w:val="20"/>
              </w:rPr>
            </w:pPr>
            <w:r w:rsidRPr="00F012F8">
              <w:rPr>
                <w:rFonts w:cs="Times New Roman"/>
                <w:sz w:val="20"/>
                <w:szCs w:val="20"/>
              </w:rPr>
              <w:t>Risque 3 fois plus grand chez femmes enceintes</w:t>
            </w:r>
          </w:p>
          <w:p w:rsidR="0091237F" w:rsidRPr="00F012F8" w:rsidRDefault="0091237F" w:rsidP="001A1752">
            <w:pPr>
              <w:pStyle w:val="Paragraphedeliste"/>
              <w:numPr>
                <w:ilvl w:val="0"/>
                <w:numId w:val="22"/>
              </w:numPr>
              <w:rPr>
                <w:rFonts w:cs="Times New Roman"/>
                <w:sz w:val="20"/>
                <w:szCs w:val="20"/>
              </w:rPr>
            </w:pPr>
            <w:r w:rsidRPr="00F012F8">
              <w:rPr>
                <w:rFonts w:cs="Times New Roman"/>
                <w:sz w:val="20"/>
                <w:szCs w:val="20"/>
              </w:rPr>
              <w:t>Pathogénèse attribuée à HSV, mais peu objectivée</w:t>
            </w:r>
          </w:p>
          <w:p w:rsidR="00172C5A" w:rsidRPr="00F012F8" w:rsidRDefault="0091237F" w:rsidP="001A1752">
            <w:pPr>
              <w:pStyle w:val="Paragraphedeliste"/>
              <w:numPr>
                <w:ilvl w:val="0"/>
                <w:numId w:val="22"/>
              </w:numPr>
              <w:rPr>
                <w:rFonts w:cs="Times New Roman"/>
                <w:sz w:val="20"/>
                <w:szCs w:val="20"/>
              </w:rPr>
            </w:pPr>
            <w:r w:rsidRPr="00F012F8">
              <w:rPr>
                <w:rFonts w:cs="Times New Roman"/>
                <w:sz w:val="20"/>
                <w:szCs w:val="20"/>
              </w:rPr>
              <w:t>Installation progressive avec retour à la normale inférieur à 6 mois</w:t>
            </w:r>
          </w:p>
        </w:tc>
        <w:tc>
          <w:tcPr>
            <w:tcW w:w="5470" w:type="dxa"/>
          </w:tcPr>
          <w:p w:rsidR="0091237F" w:rsidRPr="00F012F8" w:rsidRDefault="0091237F" w:rsidP="001A1752">
            <w:pPr>
              <w:pStyle w:val="Paragraphedeliste"/>
              <w:numPr>
                <w:ilvl w:val="0"/>
                <w:numId w:val="22"/>
              </w:numPr>
              <w:rPr>
                <w:rFonts w:cs="Times New Roman"/>
                <w:sz w:val="20"/>
                <w:szCs w:val="20"/>
              </w:rPr>
            </w:pPr>
            <w:r w:rsidRPr="00F012F8">
              <w:rPr>
                <w:rFonts w:cs="Times New Roman"/>
                <w:sz w:val="20"/>
                <w:szCs w:val="20"/>
              </w:rPr>
              <w:t>Hypogueusie des 2/3 proximaux de la langue</w:t>
            </w:r>
          </w:p>
          <w:p w:rsidR="00172C5A" w:rsidRPr="00F012F8" w:rsidRDefault="0091237F" w:rsidP="001A1752">
            <w:pPr>
              <w:pStyle w:val="Paragraphedeliste"/>
              <w:numPr>
                <w:ilvl w:val="0"/>
                <w:numId w:val="22"/>
              </w:numPr>
              <w:rPr>
                <w:rFonts w:cs="Times New Roman"/>
                <w:sz w:val="20"/>
                <w:szCs w:val="20"/>
              </w:rPr>
            </w:pPr>
            <w:r w:rsidRPr="00F012F8">
              <w:rPr>
                <w:rFonts w:cs="Times New Roman"/>
                <w:sz w:val="20"/>
                <w:szCs w:val="20"/>
              </w:rPr>
              <w:t>Diminution des pleurs</w:t>
            </w:r>
          </w:p>
          <w:p w:rsidR="0091237F" w:rsidRPr="00F012F8" w:rsidRDefault="0091237F" w:rsidP="001A1752">
            <w:pPr>
              <w:pStyle w:val="Paragraphedeliste"/>
              <w:numPr>
                <w:ilvl w:val="0"/>
                <w:numId w:val="22"/>
              </w:numPr>
              <w:rPr>
                <w:rFonts w:cs="Times New Roman"/>
                <w:sz w:val="20"/>
                <w:szCs w:val="20"/>
              </w:rPr>
            </w:pPr>
            <w:r w:rsidRPr="00F012F8">
              <w:rPr>
                <w:rFonts w:cs="Times New Roman"/>
                <w:sz w:val="20"/>
                <w:szCs w:val="20"/>
              </w:rPr>
              <w:t>Hyperacousie</w:t>
            </w:r>
          </w:p>
          <w:p w:rsidR="0091237F" w:rsidRPr="00F012F8" w:rsidRDefault="0091237F" w:rsidP="00C63AFC">
            <w:pPr>
              <w:pStyle w:val="Paragraphedeliste"/>
              <w:rPr>
                <w:rFonts w:cs="Times New Roman"/>
                <w:sz w:val="20"/>
                <w:szCs w:val="20"/>
              </w:rPr>
            </w:pPr>
          </w:p>
        </w:tc>
      </w:tr>
      <w:tr w:rsidR="00172C5A" w:rsidRPr="00F012F8" w:rsidTr="00E63664">
        <w:tc>
          <w:tcPr>
            <w:tcW w:w="5470" w:type="dxa"/>
            <w:vMerge/>
          </w:tcPr>
          <w:p w:rsidR="00172C5A" w:rsidRPr="00F012F8" w:rsidRDefault="00172C5A" w:rsidP="00E63664">
            <w:pPr>
              <w:rPr>
                <w:rFonts w:cs="Times New Roman"/>
                <w:sz w:val="20"/>
                <w:szCs w:val="20"/>
              </w:rPr>
            </w:pPr>
          </w:p>
        </w:tc>
        <w:tc>
          <w:tcPr>
            <w:tcW w:w="5470" w:type="dxa"/>
          </w:tcPr>
          <w:p w:rsidR="00172C5A" w:rsidRPr="00F012F8" w:rsidRDefault="00172C5A" w:rsidP="00CE2C76">
            <w:pPr>
              <w:rPr>
                <w:rFonts w:cs="Times New Roman"/>
                <w:sz w:val="20"/>
                <w:szCs w:val="20"/>
              </w:rPr>
            </w:pPr>
            <w:r w:rsidRPr="00F012F8">
              <w:rPr>
                <w:rFonts w:cs="Times New Roman"/>
                <w:sz w:val="20"/>
                <w:szCs w:val="20"/>
              </w:rPr>
              <w:t>Signes cliniques</w:t>
            </w:r>
          </w:p>
        </w:tc>
      </w:tr>
      <w:tr w:rsidR="00172C5A" w:rsidRPr="00F012F8" w:rsidTr="00E63664">
        <w:tc>
          <w:tcPr>
            <w:tcW w:w="5470" w:type="dxa"/>
            <w:vMerge/>
          </w:tcPr>
          <w:p w:rsidR="00172C5A" w:rsidRPr="00F012F8" w:rsidRDefault="00172C5A" w:rsidP="00E63664">
            <w:pPr>
              <w:rPr>
                <w:rFonts w:cs="Times New Roman"/>
                <w:sz w:val="20"/>
                <w:szCs w:val="20"/>
              </w:rPr>
            </w:pPr>
          </w:p>
        </w:tc>
        <w:tc>
          <w:tcPr>
            <w:tcW w:w="5470" w:type="dxa"/>
          </w:tcPr>
          <w:p w:rsidR="00172C5A" w:rsidRPr="00F012F8" w:rsidRDefault="0091237F" w:rsidP="001A1752">
            <w:pPr>
              <w:pStyle w:val="Paragraphedeliste"/>
              <w:numPr>
                <w:ilvl w:val="0"/>
                <w:numId w:val="22"/>
              </w:numPr>
              <w:rPr>
                <w:rFonts w:cs="Times New Roman"/>
                <w:sz w:val="20"/>
                <w:szCs w:val="20"/>
              </w:rPr>
            </w:pPr>
            <w:r w:rsidRPr="00F012F8">
              <w:rPr>
                <w:rFonts w:cs="Times New Roman"/>
                <w:sz w:val="20"/>
                <w:szCs w:val="20"/>
              </w:rPr>
              <w:t>Affaissement unilatéral du visage</w:t>
            </w:r>
          </w:p>
          <w:p w:rsidR="0091237F" w:rsidRPr="00F012F8" w:rsidRDefault="0091237F" w:rsidP="001A1752">
            <w:pPr>
              <w:pStyle w:val="Paragraphedeliste"/>
              <w:numPr>
                <w:ilvl w:val="0"/>
                <w:numId w:val="22"/>
              </w:numPr>
              <w:rPr>
                <w:rFonts w:cs="Times New Roman"/>
                <w:sz w:val="20"/>
                <w:szCs w:val="20"/>
              </w:rPr>
            </w:pPr>
            <w:r w:rsidRPr="00F012F8">
              <w:rPr>
                <w:rFonts w:cs="Times New Roman"/>
                <w:sz w:val="20"/>
                <w:szCs w:val="20"/>
              </w:rPr>
              <w:t>Perte du pli nasogénien</w:t>
            </w:r>
          </w:p>
          <w:p w:rsidR="0091237F" w:rsidRPr="00F012F8" w:rsidRDefault="0091237F" w:rsidP="001A1752">
            <w:pPr>
              <w:pStyle w:val="Paragraphedeliste"/>
              <w:numPr>
                <w:ilvl w:val="0"/>
                <w:numId w:val="22"/>
              </w:numPr>
              <w:rPr>
                <w:rFonts w:cs="Times New Roman"/>
                <w:sz w:val="20"/>
                <w:szCs w:val="20"/>
              </w:rPr>
            </w:pPr>
            <w:r w:rsidRPr="00F012F8">
              <w:rPr>
                <w:rFonts w:cs="Times New Roman"/>
                <w:sz w:val="20"/>
                <w:szCs w:val="20"/>
              </w:rPr>
              <w:t>Incapacité à ferme la paupière du côté atteint</w:t>
            </w:r>
          </w:p>
        </w:tc>
      </w:tr>
      <w:tr w:rsidR="00172C5A" w:rsidRPr="00F012F8" w:rsidTr="002C7A7C">
        <w:tc>
          <w:tcPr>
            <w:tcW w:w="10940" w:type="dxa"/>
            <w:gridSpan w:val="2"/>
            <w:shd w:val="clear" w:color="auto" w:fill="8DB3E2" w:themeFill="text2" w:themeFillTint="66"/>
          </w:tcPr>
          <w:p w:rsidR="00172C5A" w:rsidRPr="00F012F8" w:rsidRDefault="004416C1" w:rsidP="0091237F">
            <w:pPr>
              <w:jc w:val="center"/>
              <w:rPr>
                <w:rFonts w:cs="Times New Roman"/>
                <w:b/>
                <w:sz w:val="20"/>
                <w:szCs w:val="20"/>
              </w:rPr>
            </w:pPr>
            <w:r w:rsidRPr="00F012F8">
              <w:rPr>
                <w:rFonts w:cs="Times New Roman"/>
                <w:b/>
                <w:sz w:val="20"/>
                <w:szCs w:val="20"/>
              </w:rPr>
              <w:t>Empoisonnement au plomb</w:t>
            </w:r>
          </w:p>
        </w:tc>
      </w:tr>
      <w:tr w:rsidR="00172C5A" w:rsidRPr="00F012F8" w:rsidTr="00E63664">
        <w:tc>
          <w:tcPr>
            <w:tcW w:w="5470" w:type="dxa"/>
          </w:tcPr>
          <w:p w:rsidR="00172C5A" w:rsidRPr="00F012F8" w:rsidRDefault="00172C5A" w:rsidP="00E63664">
            <w:pPr>
              <w:rPr>
                <w:rFonts w:cs="Times New Roman"/>
                <w:sz w:val="20"/>
                <w:szCs w:val="20"/>
              </w:rPr>
            </w:pPr>
            <w:r w:rsidRPr="00F012F8">
              <w:rPr>
                <w:rFonts w:cs="Times New Roman"/>
                <w:sz w:val="20"/>
                <w:szCs w:val="20"/>
              </w:rPr>
              <w:t>Épidémiologie – Facteurs de risques</w:t>
            </w:r>
          </w:p>
        </w:tc>
        <w:tc>
          <w:tcPr>
            <w:tcW w:w="5470" w:type="dxa"/>
          </w:tcPr>
          <w:p w:rsidR="00172C5A" w:rsidRPr="00F012F8" w:rsidRDefault="00172C5A" w:rsidP="00CE2C76">
            <w:pPr>
              <w:rPr>
                <w:rFonts w:cs="Times New Roman"/>
                <w:sz w:val="20"/>
                <w:szCs w:val="20"/>
              </w:rPr>
            </w:pPr>
            <w:r w:rsidRPr="00F012F8">
              <w:rPr>
                <w:rFonts w:cs="Times New Roman"/>
                <w:sz w:val="20"/>
                <w:szCs w:val="20"/>
              </w:rPr>
              <w:t>Symptômes</w:t>
            </w:r>
          </w:p>
        </w:tc>
      </w:tr>
      <w:tr w:rsidR="00172C5A" w:rsidRPr="00F012F8" w:rsidTr="00E63664">
        <w:tc>
          <w:tcPr>
            <w:tcW w:w="5470" w:type="dxa"/>
            <w:vMerge w:val="restart"/>
          </w:tcPr>
          <w:p w:rsidR="00172C5A" w:rsidRPr="00F012F8" w:rsidRDefault="002142DE" w:rsidP="001A1752">
            <w:pPr>
              <w:pStyle w:val="Paragraphedeliste"/>
              <w:numPr>
                <w:ilvl w:val="0"/>
                <w:numId w:val="22"/>
              </w:numPr>
              <w:rPr>
                <w:rFonts w:cs="Times New Roman"/>
                <w:sz w:val="20"/>
                <w:szCs w:val="20"/>
              </w:rPr>
            </w:pPr>
            <w:r w:rsidRPr="00F012F8">
              <w:rPr>
                <w:rFonts w:cs="Times New Roman"/>
                <w:sz w:val="20"/>
                <w:szCs w:val="20"/>
              </w:rPr>
              <w:t>Exposition au plomb industriel ou au travail</w:t>
            </w:r>
            <w:r w:rsidR="00FD6C2F" w:rsidRPr="00F012F8">
              <w:rPr>
                <w:rFonts w:cs="Times New Roman"/>
                <w:sz w:val="20"/>
                <w:szCs w:val="20"/>
              </w:rPr>
              <w:t xml:space="preserve"> (</w:t>
            </w:r>
            <w:r w:rsidR="00774998" w:rsidRPr="00F012F8">
              <w:rPr>
                <w:rFonts w:cs="Times New Roman"/>
                <w:sz w:val="20"/>
                <w:szCs w:val="20"/>
              </w:rPr>
              <w:t>tuyaux</w:t>
            </w:r>
            <w:r w:rsidR="00FD6C2F" w:rsidRPr="00F012F8">
              <w:rPr>
                <w:rFonts w:cs="Times New Roman"/>
                <w:sz w:val="20"/>
                <w:szCs w:val="20"/>
              </w:rPr>
              <w:t>)</w:t>
            </w:r>
          </w:p>
          <w:p w:rsidR="002142DE" w:rsidRPr="00F012F8" w:rsidRDefault="002142DE" w:rsidP="001A1752">
            <w:pPr>
              <w:pStyle w:val="Paragraphedeliste"/>
              <w:numPr>
                <w:ilvl w:val="0"/>
                <w:numId w:val="22"/>
              </w:numPr>
              <w:rPr>
                <w:rFonts w:cs="Times New Roman"/>
                <w:sz w:val="20"/>
                <w:szCs w:val="20"/>
              </w:rPr>
            </w:pPr>
            <w:r w:rsidRPr="00F012F8">
              <w:rPr>
                <w:rFonts w:cs="Times New Roman"/>
                <w:sz w:val="20"/>
                <w:szCs w:val="20"/>
              </w:rPr>
              <w:t>Vieille peinture = FR</w:t>
            </w:r>
          </w:p>
          <w:p w:rsidR="002142DE" w:rsidRPr="00F012F8" w:rsidRDefault="002142DE" w:rsidP="002142DE">
            <w:pPr>
              <w:pStyle w:val="Paragraphedeliste"/>
              <w:rPr>
                <w:rFonts w:cs="Times New Roman"/>
                <w:sz w:val="20"/>
                <w:szCs w:val="20"/>
              </w:rPr>
            </w:pPr>
          </w:p>
        </w:tc>
        <w:tc>
          <w:tcPr>
            <w:tcW w:w="5470" w:type="dxa"/>
          </w:tcPr>
          <w:p w:rsidR="00172C5A" w:rsidRPr="00F012F8" w:rsidRDefault="002142DE" w:rsidP="001A1752">
            <w:pPr>
              <w:pStyle w:val="Paragraphedeliste"/>
              <w:numPr>
                <w:ilvl w:val="0"/>
                <w:numId w:val="22"/>
              </w:numPr>
              <w:rPr>
                <w:rFonts w:cs="Times New Roman"/>
                <w:sz w:val="20"/>
                <w:szCs w:val="20"/>
                <w:highlight w:val="yellow"/>
              </w:rPr>
            </w:pPr>
            <w:r w:rsidRPr="00F012F8">
              <w:rPr>
                <w:rFonts w:cs="Times New Roman"/>
                <w:sz w:val="20"/>
                <w:szCs w:val="20"/>
                <w:highlight w:val="yellow"/>
              </w:rPr>
              <w:t>Douleur abdominale</w:t>
            </w:r>
          </w:p>
          <w:p w:rsidR="002142DE" w:rsidRPr="00F012F8" w:rsidRDefault="002142DE" w:rsidP="001A1752">
            <w:pPr>
              <w:pStyle w:val="Paragraphedeliste"/>
              <w:numPr>
                <w:ilvl w:val="0"/>
                <w:numId w:val="22"/>
              </w:numPr>
              <w:rPr>
                <w:rFonts w:cs="Times New Roman"/>
                <w:sz w:val="20"/>
                <w:szCs w:val="20"/>
              </w:rPr>
            </w:pPr>
            <w:r w:rsidRPr="00F012F8">
              <w:rPr>
                <w:rFonts w:cs="Times New Roman"/>
                <w:sz w:val="20"/>
                <w:szCs w:val="20"/>
              </w:rPr>
              <w:t>Myalgies</w:t>
            </w:r>
          </w:p>
          <w:p w:rsidR="002142DE" w:rsidRPr="00F012F8" w:rsidRDefault="00FD6C2F" w:rsidP="001A1752">
            <w:pPr>
              <w:pStyle w:val="Paragraphedeliste"/>
              <w:numPr>
                <w:ilvl w:val="0"/>
                <w:numId w:val="22"/>
              </w:numPr>
              <w:rPr>
                <w:rFonts w:cs="Times New Roman"/>
                <w:sz w:val="20"/>
                <w:szCs w:val="20"/>
              </w:rPr>
            </w:pPr>
            <w:r w:rsidRPr="00F012F8">
              <w:rPr>
                <w:rFonts w:cs="Times New Roman"/>
                <w:sz w:val="20"/>
                <w:szCs w:val="20"/>
              </w:rPr>
              <w:t>Douleurs articulaires</w:t>
            </w:r>
          </w:p>
          <w:p w:rsidR="00FD6C2F" w:rsidRPr="00F012F8" w:rsidRDefault="00FD6C2F" w:rsidP="001A1752">
            <w:pPr>
              <w:pStyle w:val="Paragraphedeliste"/>
              <w:numPr>
                <w:ilvl w:val="0"/>
                <w:numId w:val="22"/>
              </w:numPr>
              <w:rPr>
                <w:rFonts w:cs="Times New Roman"/>
                <w:sz w:val="20"/>
                <w:szCs w:val="20"/>
                <w:highlight w:val="yellow"/>
              </w:rPr>
            </w:pPr>
            <w:r w:rsidRPr="00F012F8">
              <w:rPr>
                <w:rFonts w:cs="Times New Roman"/>
                <w:sz w:val="20"/>
                <w:szCs w:val="20"/>
                <w:highlight w:val="yellow"/>
              </w:rPr>
              <w:t>Anémie</w:t>
            </w:r>
          </w:p>
          <w:p w:rsidR="00FD6C2F" w:rsidRPr="00F012F8" w:rsidRDefault="00FD6C2F" w:rsidP="001A1752">
            <w:pPr>
              <w:pStyle w:val="Paragraphedeliste"/>
              <w:numPr>
                <w:ilvl w:val="0"/>
                <w:numId w:val="22"/>
              </w:numPr>
              <w:rPr>
                <w:rFonts w:cs="Times New Roman"/>
                <w:sz w:val="20"/>
                <w:szCs w:val="20"/>
              </w:rPr>
            </w:pPr>
            <w:r w:rsidRPr="00F012F8">
              <w:rPr>
                <w:rFonts w:cs="Times New Roman"/>
                <w:sz w:val="20"/>
                <w:szCs w:val="20"/>
              </w:rPr>
              <w:t>Anorexie</w:t>
            </w:r>
          </w:p>
          <w:p w:rsidR="00FD6C2F" w:rsidRPr="00F012F8" w:rsidRDefault="00FD6C2F" w:rsidP="001A1752">
            <w:pPr>
              <w:pStyle w:val="Paragraphedeliste"/>
              <w:numPr>
                <w:ilvl w:val="0"/>
                <w:numId w:val="22"/>
              </w:numPr>
              <w:rPr>
                <w:rFonts w:cs="Times New Roman"/>
                <w:sz w:val="20"/>
                <w:szCs w:val="20"/>
              </w:rPr>
            </w:pPr>
            <w:r w:rsidRPr="00F012F8">
              <w:rPr>
                <w:rFonts w:cs="Times New Roman"/>
                <w:sz w:val="20"/>
                <w:szCs w:val="20"/>
              </w:rPr>
              <w:t>Diminution de la libido</w:t>
            </w:r>
          </w:p>
          <w:p w:rsidR="00FD6C2F" w:rsidRPr="00F012F8" w:rsidRDefault="00FD6C2F" w:rsidP="001A1752">
            <w:pPr>
              <w:pStyle w:val="Paragraphedeliste"/>
              <w:numPr>
                <w:ilvl w:val="0"/>
                <w:numId w:val="22"/>
              </w:numPr>
              <w:rPr>
                <w:rFonts w:cs="Times New Roman"/>
                <w:sz w:val="20"/>
                <w:szCs w:val="20"/>
              </w:rPr>
            </w:pPr>
            <w:r w:rsidRPr="00F012F8">
              <w:rPr>
                <w:rFonts w:cs="Times New Roman"/>
                <w:sz w:val="20"/>
                <w:szCs w:val="20"/>
              </w:rPr>
              <w:t>Altération de l’état de conscience</w:t>
            </w:r>
          </w:p>
          <w:p w:rsidR="00FD6C2F" w:rsidRPr="00F012F8" w:rsidRDefault="00FD6C2F" w:rsidP="001A1752">
            <w:pPr>
              <w:pStyle w:val="Paragraphedeliste"/>
              <w:numPr>
                <w:ilvl w:val="0"/>
                <w:numId w:val="22"/>
              </w:numPr>
              <w:rPr>
                <w:rFonts w:cs="Times New Roman"/>
                <w:sz w:val="20"/>
                <w:szCs w:val="20"/>
              </w:rPr>
            </w:pPr>
            <w:r w:rsidRPr="00F012F8">
              <w:rPr>
                <w:rFonts w:cs="Times New Roman"/>
                <w:sz w:val="20"/>
                <w:szCs w:val="20"/>
                <w:highlight w:val="yellow"/>
              </w:rPr>
              <w:t>Goût métallique dans la bouche</w:t>
            </w:r>
          </w:p>
        </w:tc>
      </w:tr>
      <w:tr w:rsidR="00172C5A" w:rsidRPr="00F012F8" w:rsidTr="0091237F">
        <w:trPr>
          <w:trHeight w:val="122"/>
        </w:trPr>
        <w:tc>
          <w:tcPr>
            <w:tcW w:w="5470" w:type="dxa"/>
            <w:vMerge/>
          </w:tcPr>
          <w:p w:rsidR="00172C5A" w:rsidRPr="00F012F8" w:rsidRDefault="00172C5A" w:rsidP="00E63664">
            <w:pPr>
              <w:rPr>
                <w:rFonts w:cs="Times New Roman"/>
                <w:sz w:val="20"/>
                <w:szCs w:val="20"/>
              </w:rPr>
            </w:pPr>
          </w:p>
        </w:tc>
        <w:tc>
          <w:tcPr>
            <w:tcW w:w="5470" w:type="dxa"/>
          </w:tcPr>
          <w:p w:rsidR="00172C5A" w:rsidRPr="00F012F8" w:rsidRDefault="00172C5A" w:rsidP="00CE2C76">
            <w:pPr>
              <w:rPr>
                <w:rFonts w:cs="Times New Roman"/>
                <w:sz w:val="20"/>
                <w:szCs w:val="20"/>
              </w:rPr>
            </w:pPr>
            <w:r w:rsidRPr="00F012F8">
              <w:rPr>
                <w:rFonts w:cs="Times New Roman"/>
                <w:sz w:val="20"/>
                <w:szCs w:val="20"/>
              </w:rPr>
              <w:t>Signes cliniques</w:t>
            </w:r>
          </w:p>
        </w:tc>
      </w:tr>
      <w:tr w:rsidR="00172C5A" w:rsidRPr="00F012F8" w:rsidTr="00E63664">
        <w:tc>
          <w:tcPr>
            <w:tcW w:w="5470" w:type="dxa"/>
            <w:vMerge/>
          </w:tcPr>
          <w:p w:rsidR="00172C5A" w:rsidRPr="00F012F8" w:rsidRDefault="00172C5A" w:rsidP="00E63664">
            <w:pPr>
              <w:rPr>
                <w:rFonts w:cs="Times New Roman"/>
                <w:sz w:val="20"/>
                <w:szCs w:val="20"/>
              </w:rPr>
            </w:pPr>
          </w:p>
        </w:tc>
        <w:tc>
          <w:tcPr>
            <w:tcW w:w="5470" w:type="dxa"/>
          </w:tcPr>
          <w:p w:rsidR="00172C5A" w:rsidRDefault="00FD6C2F" w:rsidP="001A1752">
            <w:pPr>
              <w:pStyle w:val="Paragraphedeliste"/>
              <w:numPr>
                <w:ilvl w:val="0"/>
                <w:numId w:val="22"/>
              </w:numPr>
              <w:rPr>
                <w:rFonts w:cs="Times New Roman"/>
                <w:sz w:val="20"/>
                <w:szCs w:val="20"/>
              </w:rPr>
            </w:pPr>
            <w:r w:rsidRPr="00F012F8">
              <w:rPr>
                <w:rFonts w:cs="Times New Roman"/>
                <w:sz w:val="20"/>
                <w:szCs w:val="20"/>
              </w:rPr>
              <w:t>Signes d’anémie</w:t>
            </w:r>
          </w:p>
          <w:p w:rsidR="00833AE1" w:rsidRPr="00F012F8" w:rsidRDefault="00833AE1" w:rsidP="00833AE1">
            <w:pPr>
              <w:pStyle w:val="Paragraphedeliste"/>
              <w:rPr>
                <w:rFonts w:cs="Times New Roman"/>
                <w:sz w:val="20"/>
                <w:szCs w:val="20"/>
              </w:rPr>
            </w:pPr>
          </w:p>
        </w:tc>
      </w:tr>
      <w:tr w:rsidR="004416C1" w:rsidRPr="00F012F8" w:rsidTr="002C7A7C">
        <w:tc>
          <w:tcPr>
            <w:tcW w:w="10940" w:type="dxa"/>
            <w:gridSpan w:val="2"/>
            <w:shd w:val="clear" w:color="auto" w:fill="8DB3E2" w:themeFill="text2" w:themeFillTint="66"/>
          </w:tcPr>
          <w:p w:rsidR="004416C1" w:rsidRPr="00F012F8" w:rsidRDefault="0091237F" w:rsidP="0091237F">
            <w:pPr>
              <w:pStyle w:val="Paragraphedeliste"/>
              <w:jc w:val="center"/>
              <w:rPr>
                <w:rFonts w:cs="Times New Roman"/>
                <w:b/>
                <w:sz w:val="20"/>
                <w:szCs w:val="20"/>
              </w:rPr>
            </w:pPr>
            <w:r w:rsidRPr="00F012F8">
              <w:rPr>
                <w:rFonts w:cs="Times New Roman"/>
                <w:b/>
                <w:sz w:val="20"/>
                <w:szCs w:val="20"/>
              </w:rPr>
              <w:t>Syndrome de Sjogrën</w:t>
            </w:r>
            <w:r w:rsidR="00FD6C2F" w:rsidRPr="00F012F8">
              <w:rPr>
                <w:rFonts w:cs="Times New Roman"/>
                <w:b/>
                <w:sz w:val="20"/>
                <w:szCs w:val="20"/>
              </w:rPr>
              <w:t>*</w:t>
            </w:r>
          </w:p>
        </w:tc>
      </w:tr>
      <w:tr w:rsidR="00FD6C2F" w:rsidRPr="00F012F8" w:rsidTr="00E63664">
        <w:tc>
          <w:tcPr>
            <w:tcW w:w="5470" w:type="dxa"/>
          </w:tcPr>
          <w:p w:rsidR="00FD6C2F" w:rsidRPr="00F012F8" w:rsidRDefault="00FD6C2F" w:rsidP="00E63664">
            <w:pPr>
              <w:rPr>
                <w:rFonts w:cs="Times New Roman"/>
                <w:sz w:val="20"/>
                <w:szCs w:val="20"/>
              </w:rPr>
            </w:pPr>
            <w:r w:rsidRPr="00F012F8">
              <w:rPr>
                <w:rFonts w:cs="Times New Roman"/>
                <w:sz w:val="20"/>
                <w:szCs w:val="20"/>
              </w:rPr>
              <w:t>Épidémiologie – Facteurs de risques</w:t>
            </w:r>
          </w:p>
        </w:tc>
        <w:tc>
          <w:tcPr>
            <w:tcW w:w="5470" w:type="dxa"/>
          </w:tcPr>
          <w:p w:rsidR="00FD6C2F" w:rsidRPr="00F012F8" w:rsidRDefault="00FD6C2F" w:rsidP="00E63664">
            <w:pPr>
              <w:rPr>
                <w:rFonts w:cs="Times New Roman"/>
                <w:sz w:val="20"/>
                <w:szCs w:val="20"/>
              </w:rPr>
            </w:pPr>
            <w:r w:rsidRPr="00F012F8">
              <w:rPr>
                <w:rFonts w:cs="Times New Roman"/>
                <w:sz w:val="20"/>
                <w:szCs w:val="20"/>
              </w:rPr>
              <w:t>Symptômes</w:t>
            </w:r>
          </w:p>
        </w:tc>
      </w:tr>
      <w:tr w:rsidR="00FD6C2F" w:rsidRPr="00F012F8" w:rsidTr="00E63664">
        <w:tc>
          <w:tcPr>
            <w:tcW w:w="5470" w:type="dxa"/>
            <w:vMerge w:val="restart"/>
          </w:tcPr>
          <w:p w:rsidR="00FD6C2F" w:rsidRPr="00F012F8" w:rsidRDefault="004241CF" w:rsidP="00E63664">
            <w:pPr>
              <w:rPr>
                <w:rFonts w:cs="Times New Roman"/>
                <w:sz w:val="20"/>
                <w:szCs w:val="20"/>
              </w:rPr>
            </w:pPr>
            <w:r w:rsidRPr="00F012F8">
              <w:rPr>
                <w:rFonts w:cs="Times New Roman"/>
                <w:sz w:val="20"/>
                <w:szCs w:val="20"/>
              </w:rPr>
              <w:t>Incidence 4-40/ 100 000 selon études</w:t>
            </w:r>
          </w:p>
        </w:tc>
        <w:tc>
          <w:tcPr>
            <w:tcW w:w="5470" w:type="dxa"/>
          </w:tcPr>
          <w:p w:rsidR="00FD6C2F" w:rsidRPr="00F012F8" w:rsidRDefault="004241CF" w:rsidP="001A1752">
            <w:pPr>
              <w:pStyle w:val="Paragraphedeliste"/>
              <w:numPr>
                <w:ilvl w:val="0"/>
                <w:numId w:val="22"/>
              </w:numPr>
              <w:rPr>
                <w:rFonts w:cs="Times New Roman"/>
                <w:sz w:val="20"/>
                <w:szCs w:val="20"/>
                <w:highlight w:val="yellow"/>
              </w:rPr>
            </w:pPr>
            <w:r w:rsidRPr="00F012F8">
              <w:rPr>
                <w:rFonts w:cs="Times New Roman"/>
                <w:sz w:val="20"/>
                <w:szCs w:val="20"/>
                <w:highlight w:val="yellow"/>
              </w:rPr>
              <w:t>Xerophtalmie</w:t>
            </w:r>
          </w:p>
          <w:p w:rsidR="00A65EC4" w:rsidRDefault="00A65EC4" w:rsidP="001A1752">
            <w:pPr>
              <w:pStyle w:val="Paragraphedeliste"/>
              <w:numPr>
                <w:ilvl w:val="0"/>
                <w:numId w:val="22"/>
              </w:numPr>
              <w:rPr>
                <w:rFonts w:cs="Times New Roman"/>
                <w:sz w:val="20"/>
                <w:szCs w:val="20"/>
              </w:rPr>
            </w:pPr>
            <w:r w:rsidRPr="00F012F8">
              <w:rPr>
                <w:rFonts w:cs="Times New Roman"/>
                <w:sz w:val="20"/>
                <w:szCs w:val="20"/>
                <w:highlight w:val="yellow"/>
              </w:rPr>
              <w:t>Xerostomie</w:t>
            </w:r>
          </w:p>
          <w:p w:rsidR="00833AE1" w:rsidRPr="00F012F8" w:rsidRDefault="00833AE1" w:rsidP="00833AE1">
            <w:pPr>
              <w:pStyle w:val="Paragraphedeliste"/>
              <w:rPr>
                <w:rFonts w:cs="Times New Roman"/>
                <w:sz w:val="20"/>
                <w:szCs w:val="20"/>
              </w:rPr>
            </w:pPr>
          </w:p>
        </w:tc>
      </w:tr>
      <w:tr w:rsidR="00FD6C2F" w:rsidRPr="00F012F8" w:rsidTr="00E63664">
        <w:tc>
          <w:tcPr>
            <w:tcW w:w="5470" w:type="dxa"/>
            <w:vMerge/>
          </w:tcPr>
          <w:p w:rsidR="00FD6C2F" w:rsidRPr="00F012F8" w:rsidRDefault="00FD6C2F" w:rsidP="00E63664">
            <w:pPr>
              <w:rPr>
                <w:rFonts w:cs="Times New Roman"/>
                <w:sz w:val="20"/>
                <w:szCs w:val="20"/>
              </w:rPr>
            </w:pPr>
          </w:p>
        </w:tc>
        <w:tc>
          <w:tcPr>
            <w:tcW w:w="5470" w:type="dxa"/>
          </w:tcPr>
          <w:p w:rsidR="00FD6C2F" w:rsidRPr="00F012F8" w:rsidRDefault="00A65EC4" w:rsidP="00A65EC4">
            <w:pPr>
              <w:rPr>
                <w:rFonts w:cs="Times New Roman"/>
                <w:sz w:val="20"/>
                <w:szCs w:val="20"/>
              </w:rPr>
            </w:pPr>
            <w:r w:rsidRPr="00F012F8">
              <w:rPr>
                <w:rFonts w:cs="Times New Roman"/>
                <w:sz w:val="20"/>
                <w:szCs w:val="20"/>
              </w:rPr>
              <w:t>Signes cliniques</w:t>
            </w:r>
          </w:p>
        </w:tc>
      </w:tr>
      <w:tr w:rsidR="00FD6C2F" w:rsidRPr="00F012F8" w:rsidTr="00E63664">
        <w:tc>
          <w:tcPr>
            <w:tcW w:w="5470" w:type="dxa"/>
            <w:vMerge/>
          </w:tcPr>
          <w:p w:rsidR="00FD6C2F" w:rsidRPr="00F012F8" w:rsidRDefault="00FD6C2F" w:rsidP="00E63664">
            <w:pPr>
              <w:rPr>
                <w:rFonts w:cs="Times New Roman"/>
                <w:sz w:val="20"/>
                <w:szCs w:val="20"/>
              </w:rPr>
            </w:pPr>
          </w:p>
        </w:tc>
        <w:tc>
          <w:tcPr>
            <w:tcW w:w="5470" w:type="dxa"/>
          </w:tcPr>
          <w:p w:rsidR="00FD6C2F" w:rsidRPr="00F012F8" w:rsidRDefault="00A65EC4" w:rsidP="001A1752">
            <w:pPr>
              <w:pStyle w:val="Paragraphedeliste"/>
              <w:numPr>
                <w:ilvl w:val="0"/>
                <w:numId w:val="22"/>
              </w:numPr>
              <w:rPr>
                <w:rFonts w:cs="Times New Roman"/>
                <w:sz w:val="20"/>
                <w:szCs w:val="20"/>
              </w:rPr>
            </w:pPr>
            <w:r w:rsidRPr="00F012F8">
              <w:rPr>
                <w:rFonts w:cs="Times New Roman"/>
                <w:sz w:val="20"/>
                <w:szCs w:val="20"/>
              </w:rPr>
              <w:t>Bouche sèche</w:t>
            </w:r>
          </w:p>
          <w:p w:rsidR="00A65EC4" w:rsidRPr="00F012F8" w:rsidRDefault="00A65EC4" w:rsidP="001A1752">
            <w:pPr>
              <w:pStyle w:val="Paragraphedeliste"/>
              <w:numPr>
                <w:ilvl w:val="0"/>
                <w:numId w:val="22"/>
              </w:numPr>
              <w:rPr>
                <w:rFonts w:cs="Times New Roman"/>
                <w:sz w:val="20"/>
                <w:szCs w:val="20"/>
              </w:rPr>
            </w:pPr>
            <w:r w:rsidRPr="00F012F8">
              <w:rPr>
                <w:rFonts w:cs="Times New Roman"/>
                <w:sz w:val="20"/>
                <w:szCs w:val="20"/>
              </w:rPr>
              <w:t>Test de Schirmer positif (sécheresse oculaire)</w:t>
            </w:r>
          </w:p>
          <w:p w:rsidR="00A65EC4" w:rsidRDefault="00A65EC4" w:rsidP="001A1752">
            <w:pPr>
              <w:pStyle w:val="Paragraphedeliste"/>
              <w:numPr>
                <w:ilvl w:val="0"/>
                <w:numId w:val="22"/>
              </w:numPr>
              <w:rPr>
                <w:rFonts w:cs="Times New Roman"/>
                <w:sz w:val="20"/>
                <w:szCs w:val="20"/>
              </w:rPr>
            </w:pPr>
            <w:r w:rsidRPr="00F012F8">
              <w:rPr>
                <w:rFonts w:cs="Times New Roman"/>
                <w:sz w:val="20"/>
                <w:szCs w:val="20"/>
              </w:rPr>
              <w:t>Glandes salivaires élargies avec peu de salive</w:t>
            </w:r>
          </w:p>
          <w:p w:rsidR="00833AE1" w:rsidRPr="00F012F8" w:rsidRDefault="00833AE1" w:rsidP="00833AE1">
            <w:pPr>
              <w:pStyle w:val="Paragraphedeliste"/>
              <w:rPr>
                <w:rFonts w:cs="Times New Roman"/>
                <w:sz w:val="20"/>
                <w:szCs w:val="20"/>
              </w:rPr>
            </w:pPr>
          </w:p>
        </w:tc>
      </w:tr>
      <w:tr w:rsidR="00FD6C2F" w:rsidRPr="00F012F8" w:rsidTr="002C7A7C">
        <w:tc>
          <w:tcPr>
            <w:tcW w:w="10940" w:type="dxa"/>
            <w:gridSpan w:val="2"/>
            <w:shd w:val="clear" w:color="auto" w:fill="8DB3E2" w:themeFill="text2" w:themeFillTint="66"/>
          </w:tcPr>
          <w:p w:rsidR="00FD6C2F" w:rsidRPr="00F012F8" w:rsidRDefault="00FD6C2F" w:rsidP="0091237F">
            <w:pPr>
              <w:pStyle w:val="Paragraphedeliste"/>
              <w:jc w:val="center"/>
              <w:rPr>
                <w:rFonts w:cs="Times New Roman"/>
                <w:b/>
                <w:sz w:val="20"/>
                <w:szCs w:val="20"/>
              </w:rPr>
            </w:pPr>
            <w:r w:rsidRPr="00F012F8">
              <w:rPr>
                <w:rFonts w:cs="Times New Roman"/>
                <w:b/>
                <w:sz w:val="20"/>
                <w:szCs w:val="20"/>
              </w:rPr>
              <w:t>Dysgueusie médicamenteuse*</w:t>
            </w:r>
          </w:p>
        </w:tc>
      </w:tr>
      <w:tr w:rsidR="00FD6C2F" w:rsidRPr="00F012F8" w:rsidTr="00E63664">
        <w:tc>
          <w:tcPr>
            <w:tcW w:w="5470" w:type="dxa"/>
          </w:tcPr>
          <w:p w:rsidR="00FD6C2F" w:rsidRPr="00F012F8" w:rsidRDefault="00FD6C2F" w:rsidP="00E63664">
            <w:pPr>
              <w:rPr>
                <w:rFonts w:cs="Times New Roman"/>
                <w:sz w:val="20"/>
                <w:szCs w:val="20"/>
              </w:rPr>
            </w:pPr>
            <w:r w:rsidRPr="00F012F8">
              <w:rPr>
                <w:rFonts w:cs="Times New Roman"/>
                <w:sz w:val="20"/>
                <w:szCs w:val="20"/>
              </w:rPr>
              <w:t>Épidémiologie – Facteurs de risques</w:t>
            </w:r>
          </w:p>
        </w:tc>
        <w:tc>
          <w:tcPr>
            <w:tcW w:w="5470" w:type="dxa"/>
          </w:tcPr>
          <w:p w:rsidR="00FD6C2F" w:rsidRPr="00F012F8" w:rsidRDefault="00FD6C2F" w:rsidP="00FD6C2F">
            <w:pPr>
              <w:pStyle w:val="Paragraphedeliste"/>
              <w:ind w:left="0"/>
              <w:rPr>
                <w:rFonts w:cs="Times New Roman"/>
                <w:sz w:val="20"/>
                <w:szCs w:val="20"/>
              </w:rPr>
            </w:pPr>
            <w:r w:rsidRPr="00F012F8">
              <w:rPr>
                <w:rFonts w:cs="Times New Roman"/>
                <w:sz w:val="20"/>
                <w:szCs w:val="20"/>
              </w:rPr>
              <w:t>Hypogueusie/ Agueusie</w:t>
            </w:r>
          </w:p>
        </w:tc>
      </w:tr>
      <w:tr w:rsidR="00FD6C2F" w:rsidRPr="00F012F8" w:rsidTr="00E63664">
        <w:tc>
          <w:tcPr>
            <w:tcW w:w="5470" w:type="dxa"/>
            <w:vMerge w:val="restart"/>
          </w:tcPr>
          <w:p w:rsidR="00FD6C2F" w:rsidRPr="00F012F8" w:rsidRDefault="00FD6C2F" w:rsidP="001A1752">
            <w:pPr>
              <w:pStyle w:val="Paragraphedeliste"/>
              <w:numPr>
                <w:ilvl w:val="0"/>
                <w:numId w:val="22"/>
              </w:numPr>
              <w:rPr>
                <w:rFonts w:cs="Times New Roman"/>
                <w:sz w:val="20"/>
                <w:szCs w:val="20"/>
              </w:rPr>
            </w:pPr>
            <w:r w:rsidRPr="00F012F8">
              <w:rPr>
                <w:rFonts w:cs="Times New Roman"/>
                <w:sz w:val="20"/>
                <w:szCs w:val="20"/>
              </w:rPr>
              <w:t>Nombreux médicaments entraînent une hypogueusie ou une dysgueusie.</w:t>
            </w:r>
          </w:p>
          <w:p w:rsidR="00FD6C2F" w:rsidRPr="00F012F8" w:rsidRDefault="00FD6C2F" w:rsidP="001A1752">
            <w:pPr>
              <w:pStyle w:val="Paragraphedeliste"/>
              <w:numPr>
                <w:ilvl w:val="0"/>
                <w:numId w:val="22"/>
              </w:numPr>
              <w:rPr>
                <w:rFonts w:cs="Times New Roman"/>
                <w:sz w:val="20"/>
                <w:szCs w:val="20"/>
              </w:rPr>
            </w:pPr>
            <w:r w:rsidRPr="00F012F8">
              <w:rPr>
                <w:rFonts w:cs="Times New Roman"/>
                <w:sz w:val="20"/>
                <w:szCs w:val="20"/>
              </w:rPr>
              <w:t>Quelques-uns fréquemment utilisés</w:t>
            </w:r>
          </w:p>
        </w:tc>
        <w:tc>
          <w:tcPr>
            <w:tcW w:w="5470" w:type="dxa"/>
          </w:tcPr>
          <w:p w:rsidR="00FD6C2F" w:rsidRPr="00F012F8" w:rsidRDefault="00FD6C2F" w:rsidP="001A1752">
            <w:pPr>
              <w:pStyle w:val="Paragraphedeliste"/>
              <w:numPr>
                <w:ilvl w:val="0"/>
                <w:numId w:val="22"/>
              </w:numPr>
              <w:rPr>
                <w:rFonts w:cs="Times New Roman"/>
                <w:sz w:val="20"/>
                <w:szCs w:val="20"/>
              </w:rPr>
            </w:pPr>
            <w:r w:rsidRPr="00F012F8">
              <w:rPr>
                <w:rFonts w:cs="Times New Roman"/>
                <w:sz w:val="20"/>
                <w:szCs w:val="20"/>
              </w:rPr>
              <w:t>HCTZ</w:t>
            </w:r>
          </w:p>
          <w:p w:rsidR="00FD6C2F" w:rsidRPr="00F012F8" w:rsidRDefault="00FD6C2F" w:rsidP="001A1752">
            <w:pPr>
              <w:pStyle w:val="Paragraphedeliste"/>
              <w:numPr>
                <w:ilvl w:val="0"/>
                <w:numId w:val="22"/>
              </w:numPr>
              <w:rPr>
                <w:rFonts w:cs="Times New Roman"/>
                <w:sz w:val="20"/>
                <w:szCs w:val="20"/>
              </w:rPr>
            </w:pPr>
            <w:r w:rsidRPr="00F012F8">
              <w:rPr>
                <w:rFonts w:cs="Times New Roman"/>
                <w:sz w:val="20"/>
                <w:szCs w:val="20"/>
              </w:rPr>
              <w:t>Carmabazépine</w:t>
            </w:r>
          </w:p>
          <w:p w:rsidR="00FD6C2F" w:rsidRPr="00F012F8" w:rsidRDefault="00FD6C2F" w:rsidP="001A1752">
            <w:pPr>
              <w:pStyle w:val="Paragraphedeliste"/>
              <w:numPr>
                <w:ilvl w:val="0"/>
                <w:numId w:val="22"/>
              </w:numPr>
              <w:rPr>
                <w:rFonts w:cs="Times New Roman"/>
                <w:sz w:val="20"/>
                <w:szCs w:val="20"/>
              </w:rPr>
            </w:pPr>
            <w:r w:rsidRPr="00F012F8">
              <w:rPr>
                <w:rFonts w:cs="Times New Roman"/>
                <w:sz w:val="20"/>
                <w:szCs w:val="20"/>
              </w:rPr>
              <w:t>Levodopa</w:t>
            </w:r>
          </w:p>
        </w:tc>
      </w:tr>
      <w:tr w:rsidR="00FD6C2F" w:rsidRPr="00F012F8" w:rsidTr="00E63664">
        <w:tc>
          <w:tcPr>
            <w:tcW w:w="5470" w:type="dxa"/>
            <w:vMerge/>
          </w:tcPr>
          <w:p w:rsidR="00FD6C2F" w:rsidRPr="00F012F8" w:rsidRDefault="00FD6C2F" w:rsidP="00E63664">
            <w:pPr>
              <w:rPr>
                <w:rFonts w:cs="Times New Roman"/>
                <w:sz w:val="20"/>
                <w:szCs w:val="20"/>
              </w:rPr>
            </w:pPr>
          </w:p>
        </w:tc>
        <w:tc>
          <w:tcPr>
            <w:tcW w:w="5470" w:type="dxa"/>
          </w:tcPr>
          <w:p w:rsidR="00FD6C2F" w:rsidRPr="00F012F8" w:rsidRDefault="00FD6C2F" w:rsidP="00FD6C2F">
            <w:pPr>
              <w:pStyle w:val="Paragraphedeliste"/>
              <w:ind w:left="0"/>
              <w:rPr>
                <w:rFonts w:cs="Times New Roman"/>
                <w:sz w:val="20"/>
                <w:szCs w:val="20"/>
              </w:rPr>
            </w:pPr>
            <w:r w:rsidRPr="00F012F8">
              <w:rPr>
                <w:rFonts w:cs="Times New Roman"/>
                <w:sz w:val="20"/>
                <w:szCs w:val="20"/>
              </w:rPr>
              <w:t>Dysgueusie</w:t>
            </w:r>
          </w:p>
        </w:tc>
      </w:tr>
      <w:tr w:rsidR="00FD6C2F" w:rsidRPr="00F012F8" w:rsidTr="00E63664">
        <w:tc>
          <w:tcPr>
            <w:tcW w:w="5470" w:type="dxa"/>
            <w:vMerge/>
          </w:tcPr>
          <w:p w:rsidR="00FD6C2F" w:rsidRPr="00F012F8" w:rsidRDefault="00FD6C2F" w:rsidP="00E63664">
            <w:pPr>
              <w:rPr>
                <w:rFonts w:cs="Times New Roman"/>
                <w:sz w:val="20"/>
                <w:szCs w:val="20"/>
              </w:rPr>
            </w:pPr>
          </w:p>
        </w:tc>
        <w:tc>
          <w:tcPr>
            <w:tcW w:w="5470" w:type="dxa"/>
          </w:tcPr>
          <w:p w:rsidR="00FD6C2F" w:rsidRPr="00F012F8" w:rsidRDefault="00FD6C2F" w:rsidP="001A1752">
            <w:pPr>
              <w:pStyle w:val="Paragraphedeliste"/>
              <w:numPr>
                <w:ilvl w:val="0"/>
                <w:numId w:val="22"/>
              </w:numPr>
              <w:rPr>
                <w:rFonts w:cs="Times New Roman"/>
                <w:sz w:val="20"/>
                <w:szCs w:val="20"/>
              </w:rPr>
            </w:pPr>
            <w:r w:rsidRPr="00F012F8">
              <w:rPr>
                <w:rFonts w:cs="Times New Roman"/>
                <w:sz w:val="20"/>
                <w:szCs w:val="20"/>
              </w:rPr>
              <w:t>Allopurinol</w:t>
            </w:r>
          </w:p>
          <w:p w:rsidR="00FD6C2F" w:rsidRPr="00F012F8" w:rsidRDefault="00FD6C2F" w:rsidP="001A1752">
            <w:pPr>
              <w:pStyle w:val="Paragraphedeliste"/>
              <w:numPr>
                <w:ilvl w:val="0"/>
                <w:numId w:val="22"/>
              </w:numPr>
              <w:rPr>
                <w:rFonts w:cs="Times New Roman"/>
                <w:sz w:val="20"/>
                <w:szCs w:val="20"/>
              </w:rPr>
            </w:pPr>
            <w:r w:rsidRPr="00F012F8">
              <w:rPr>
                <w:rFonts w:cs="Times New Roman"/>
                <w:sz w:val="20"/>
                <w:szCs w:val="20"/>
              </w:rPr>
              <w:t>Amphétamines</w:t>
            </w:r>
          </w:p>
          <w:p w:rsidR="00FD6C2F" w:rsidRPr="00F012F8" w:rsidRDefault="00FD6C2F" w:rsidP="001A1752">
            <w:pPr>
              <w:pStyle w:val="Paragraphedeliste"/>
              <w:numPr>
                <w:ilvl w:val="0"/>
                <w:numId w:val="22"/>
              </w:numPr>
              <w:rPr>
                <w:rFonts w:cs="Times New Roman"/>
                <w:sz w:val="20"/>
                <w:szCs w:val="20"/>
              </w:rPr>
            </w:pPr>
            <w:r w:rsidRPr="00F012F8">
              <w:rPr>
                <w:rFonts w:cs="Times New Roman"/>
                <w:sz w:val="20"/>
                <w:szCs w:val="20"/>
              </w:rPr>
              <w:t>Diltiazem</w:t>
            </w:r>
          </w:p>
          <w:p w:rsidR="00FD6C2F" w:rsidRPr="00F012F8" w:rsidRDefault="00FD6C2F" w:rsidP="001A1752">
            <w:pPr>
              <w:pStyle w:val="Paragraphedeliste"/>
              <w:numPr>
                <w:ilvl w:val="0"/>
                <w:numId w:val="22"/>
              </w:numPr>
              <w:rPr>
                <w:rFonts w:cs="Times New Roman"/>
                <w:sz w:val="20"/>
                <w:szCs w:val="20"/>
              </w:rPr>
            </w:pPr>
            <w:r w:rsidRPr="00F012F8">
              <w:rPr>
                <w:rFonts w:cs="Times New Roman"/>
                <w:sz w:val="20"/>
                <w:szCs w:val="20"/>
              </w:rPr>
              <w:t>Enalapril</w:t>
            </w:r>
          </w:p>
        </w:tc>
      </w:tr>
    </w:tbl>
    <w:p w:rsidR="00217865" w:rsidRPr="00F012F8" w:rsidRDefault="00217865" w:rsidP="00CE2C76">
      <w:pPr>
        <w:ind w:left="-12"/>
        <w:rPr>
          <w:rFonts w:cs="Times New Roman"/>
        </w:rPr>
      </w:pPr>
    </w:p>
    <w:p w:rsidR="00210950" w:rsidRPr="00F012F8" w:rsidRDefault="0091237F" w:rsidP="00CE2C76">
      <w:pPr>
        <w:ind w:left="-12"/>
        <w:rPr>
          <w:rFonts w:cs="Times New Roman"/>
          <w:i/>
        </w:rPr>
      </w:pPr>
      <w:r w:rsidRPr="00F012F8">
        <w:rPr>
          <w:rFonts w:cs="Times New Roman"/>
          <w:i/>
        </w:rPr>
        <w:t>Même s’ils ne sont pas dans le tableau. Se rappeler que la Maladie d’Alzheimer et la Maladie de Parkinson peuvent aussi induire le développement d’une anosmie ou d’une altération du goût.</w:t>
      </w:r>
    </w:p>
    <w:p w:rsidR="00AC4AE0" w:rsidRPr="00F012F8" w:rsidRDefault="00AC4AE0" w:rsidP="00CE2C76">
      <w:pPr>
        <w:ind w:left="-12"/>
        <w:rPr>
          <w:rFonts w:cs="Times New Roman"/>
          <w:sz w:val="28"/>
          <w:szCs w:val="28"/>
        </w:rPr>
      </w:pPr>
      <w:r w:rsidRPr="00F012F8">
        <w:rPr>
          <w:rFonts w:cs="Times New Roman"/>
          <w:b/>
          <w:sz w:val="28"/>
          <w:szCs w:val="28"/>
        </w:rPr>
        <w:t>Investigations</w:t>
      </w:r>
      <w:r w:rsidR="00D6500D" w:rsidRPr="00F012F8">
        <w:rPr>
          <w:rFonts w:cs="Times New Roman"/>
          <w:b/>
          <w:sz w:val="28"/>
          <w:szCs w:val="28"/>
        </w:rPr>
        <w:t xml:space="preserve"> </w:t>
      </w:r>
    </w:p>
    <w:p w:rsidR="00F95145" w:rsidRPr="00F012F8" w:rsidRDefault="00F95145" w:rsidP="001A1752">
      <w:pPr>
        <w:pStyle w:val="Paragraphedeliste"/>
        <w:numPr>
          <w:ilvl w:val="0"/>
          <w:numId w:val="24"/>
        </w:numPr>
        <w:rPr>
          <w:rFonts w:cs="Times New Roman"/>
        </w:rPr>
      </w:pPr>
      <w:r w:rsidRPr="00F012F8">
        <w:rPr>
          <w:rFonts w:cs="Times New Roman"/>
        </w:rPr>
        <w:t>Bien documenter l’atteinte avec une évaluation olfactive ou gustative complète.</w:t>
      </w:r>
    </w:p>
    <w:p w:rsidR="00F95145" w:rsidRPr="00F012F8" w:rsidRDefault="00F95145" w:rsidP="001A1752">
      <w:pPr>
        <w:pStyle w:val="Paragraphedeliste"/>
        <w:numPr>
          <w:ilvl w:val="0"/>
          <w:numId w:val="24"/>
        </w:numPr>
        <w:rPr>
          <w:rFonts w:cs="Times New Roman"/>
        </w:rPr>
      </w:pPr>
      <w:r w:rsidRPr="00F012F8">
        <w:rPr>
          <w:rFonts w:cs="Times New Roman"/>
        </w:rPr>
        <w:t>Beaucoup de diagnostics cliniques, peu d’examens nécessaires.</w:t>
      </w:r>
    </w:p>
    <w:p w:rsidR="00F95145" w:rsidRPr="00F012F8" w:rsidRDefault="00F95145" w:rsidP="001A1752">
      <w:pPr>
        <w:pStyle w:val="Paragraphedeliste"/>
        <w:numPr>
          <w:ilvl w:val="0"/>
          <w:numId w:val="24"/>
        </w:numPr>
        <w:rPr>
          <w:rFonts w:cs="Times New Roman"/>
        </w:rPr>
      </w:pPr>
      <w:r w:rsidRPr="00F012F8">
        <w:rPr>
          <w:rFonts w:cs="Times New Roman"/>
        </w:rPr>
        <w:t>Parfois TDM pour imager les sinus ou s’il y a concomitance de signes neurologiques focaux ou une histoire de trauma.</w:t>
      </w:r>
    </w:p>
    <w:p w:rsidR="00D6500D" w:rsidRPr="00F012F8" w:rsidRDefault="00E63664" w:rsidP="001A1752">
      <w:pPr>
        <w:pStyle w:val="Paragraphedeliste"/>
        <w:numPr>
          <w:ilvl w:val="0"/>
          <w:numId w:val="24"/>
        </w:numPr>
        <w:rPr>
          <w:rFonts w:cs="Times New Roman"/>
        </w:rPr>
      </w:pPr>
      <w:r w:rsidRPr="00F012F8">
        <w:rPr>
          <w:rFonts w:cs="Times New Roman"/>
        </w:rPr>
        <w:t>Rarement : caryotype, examens neurologiques plus poussés. Souvent référer à un spécialiste.</w:t>
      </w:r>
    </w:p>
    <w:p w:rsidR="00AC4AE0" w:rsidRPr="00F012F8" w:rsidRDefault="00AC4AE0" w:rsidP="00CE2C76">
      <w:pPr>
        <w:ind w:left="-12"/>
        <w:rPr>
          <w:rFonts w:cs="Times New Roman"/>
          <w:sz w:val="28"/>
          <w:szCs w:val="28"/>
        </w:rPr>
      </w:pPr>
      <w:r w:rsidRPr="00F012F8">
        <w:rPr>
          <w:rFonts w:cs="Times New Roman"/>
          <w:b/>
          <w:sz w:val="28"/>
          <w:szCs w:val="28"/>
        </w:rPr>
        <w:t>Prise en charge</w:t>
      </w:r>
      <w:r w:rsidR="00D6500D" w:rsidRPr="00F012F8">
        <w:rPr>
          <w:rFonts w:cs="Times New Roman"/>
          <w:sz w:val="28"/>
          <w:szCs w:val="28"/>
        </w:rPr>
        <w:t xml:space="preserve"> </w:t>
      </w:r>
    </w:p>
    <w:p w:rsidR="00E06967" w:rsidRPr="00F012F8" w:rsidRDefault="00E06967" w:rsidP="00CE2C76">
      <w:pPr>
        <w:ind w:left="-12"/>
        <w:rPr>
          <w:rFonts w:cs="Times New Roman"/>
          <w:u w:val="single"/>
        </w:rPr>
      </w:pPr>
      <w:r w:rsidRPr="00F012F8">
        <w:rPr>
          <w:rFonts w:cs="Times New Roman"/>
          <w:u w:val="single"/>
        </w:rPr>
        <w:t>Troubles olfactifs</w:t>
      </w:r>
    </w:p>
    <w:p w:rsidR="00E63664" w:rsidRPr="00F012F8" w:rsidRDefault="00E63664" w:rsidP="001A1752">
      <w:pPr>
        <w:pStyle w:val="Paragraphedeliste"/>
        <w:numPr>
          <w:ilvl w:val="0"/>
          <w:numId w:val="26"/>
        </w:numPr>
        <w:rPr>
          <w:rFonts w:cs="Times New Roman"/>
        </w:rPr>
      </w:pPr>
      <w:r w:rsidRPr="00F012F8">
        <w:rPr>
          <w:rFonts w:cs="Times New Roman"/>
        </w:rPr>
        <w:t>Pour les rhinites et rhinosinusite : corriger la source (infection, exposition aux allergènes)</w:t>
      </w:r>
    </w:p>
    <w:p w:rsidR="00E63664" w:rsidRPr="00F012F8" w:rsidRDefault="00E63664" w:rsidP="001A1752">
      <w:pPr>
        <w:pStyle w:val="Paragraphedeliste"/>
        <w:numPr>
          <w:ilvl w:val="1"/>
          <w:numId w:val="26"/>
        </w:numPr>
        <w:rPr>
          <w:rFonts w:cs="Times New Roman"/>
        </w:rPr>
      </w:pPr>
      <w:r w:rsidRPr="00F012F8">
        <w:rPr>
          <w:rFonts w:cs="Times New Roman"/>
        </w:rPr>
        <w:t>Au besoin utiliser un ATB</w:t>
      </w:r>
    </w:p>
    <w:p w:rsidR="00E63664" w:rsidRPr="00F012F8" w:rsidRDefault="00E63664" w:rsidP="001A1752">
      <w:pPr>
        <w:pStyle w:val="Paragraphedeliste"/>
        <w:numPr>
          <w:ilvl w:val="1"/>
          <w:numId w:val="26"/>
        </w:numPr>
        <w:rPr>
          <w:rFonts w:cs="Times New Roman"/>
        </w:rPr>
      </w:pPr>
      <w:r w:rsidRPr="00F012F8">
        <w:rPr>
          <w:rFonts w:cs="Times New Roman"/>
        </w:rPr>
        <w:t>Antihistaminiques dans un contexte de rhinite allergique</w:t>
      </w:r>
    </w:p>
    <w:p w:rsidR="00E63664" w:rsidRPr="00F012F8" w:rsidRDefault="00E63664" w:rsidP="001A1752">
      <w:pPr>
        <w:pStyle w:val="Paragraphedeliste"/>
        <w:numPr>
          <w:ilvl w:val="0"/>
          <w:numId w:val="26"/>
        </w:numPr>
        <w:rPr>
          <w:rFonts w:cs="Times New Roman"/>
        </w:rPr>
      </w:pPr>
      <w:r w:rsidRPr="00F012F8">
        <w:rPr>
          <w:rFonts w:cs="Times New Roman"/>
        </w:rPr>
        <w:t>Glucocorticoïdes intra-nasaux sur une brève période pour réduire l’œdème et améliorer la conduction des odeurs.</w:t>
      </w:r>
    </w:p>
    <w:p w:rsidR="00134409" w:rsidRPr="00F012F8" w:rsidRDefault="00134409" w:rsidP="001A1752">
      <w:pPr>
        <w:pStyle w:val="Paragraphedeliste"/>
        <w:numPr>
          <w:ilvl w:val="0"/>
          <w:numId w:val="26"/>
        </w:numPr>
        <w:rPr>
          <w:rFonts w:cs="Times New Roman"/>
        </w:rPr>
      </w:pPr>
      <w:r w:rsidRPr="00F012F8">
        <w:rPr>
          <w:rFonts w:cs="Times New Roman"/>
        </w:rPr>
        <w:t>Le clonazepam pourrait être utile en parosmie.</w:t>
      </w:r>
    </w:p>
    <w:p w:rsidR="00E63664" w:rsidRPr="00F012F8" w:rsidRDefault="00E63664" w:rsidP="00CE2C76">
      <w:pPr>
        <w:ind w:left="-12"/>
        <w:rPr>
          <w:rFonts w:cs="Times New Roman"/>
          <w:u w:val="single"/>
        </w:rPr>
      </w:pPr>
      <w:r w:rsidRPr="00F012F8">
        <w:rPr>
          <w:rFonts w:cs="Times New Roman"/>
          <w:u w:val="single"/>
        </w:rPr>
        <w:t>La dysgueusie est difficile à traiter</w:t>
      </w:r>
    </w:p>
    <w:p w:rsidR="00E63664" w:rsidRPr="00F012F8" w:rsidRDefault="00E63664" w:rsidP="001A1752">
      <w:pPr>
        <w:pStyle w:val="Paragraphedeliste"/>
        <w:numPr>
          <w:ilvl w:val="0"/>
          <w:numId w:val="25"/>
        </w:numPr>
        <w:rPr>
          <w:rFonts w:cs="Times New Roman"/>
        </w:rPr>
      </w:pPr>
      <w:r w:rsidRPr="00F012F8">
        <w:rPr>
          <w:rFonts w:cs="Times New Roman"/>
        </w:rPr>
        <w:t>Si médicamenteuse : réduire, changer, cesser le médicament en cause (essai/erreur)</w:t>
      </w:r>
    </w:p>
    <w:p w:rsidR="00E63664" w:rsidRPr="00F012F8" w:rsidRDefault="00E63664" w:rsidP="001A1752">
      <w:pPr>
        <w:pStyle w:val="Paragraphedeliste"/>
        <w:numPr>
          <w:ilvl w:val="0"/>
          <w:numId w:val="25"/>
        </w:numPr>
        <w:rPr>
          <w:rFonts w:cs="Times New Roman"/>
        </w:rPr>
      </w:pPr>
      <w:r w:rsidRPr="00F012F8">
        <w:rPr>
          <w:rFonts w:cs="Times New Roman"/>
        </w:rPr>
        <w:t>Corriger les symptômes  autres (pyrosis, xerostomie) qui altèrent le goût.</w:t>
      </w:r>
    </w:p>
    <w:p w:rsidR="00E06967" w:rsidRPr="00F012F8" w:rsidRDefault="00833AE1" w:rsidP="001A1752">
      <w:pPr>
        <w:pStyle w:val="Paragraphedeliste"/>
        <w:numPr>
          <w:ilvl w:val="0"/>
          <w:numId w:val="25"/>
        </w:numPr>
        <w:rPr>
          <w:rFonts w:cs="Times New Roman"/>
        </w:rPr>
      </w:pPr>
      <w:r w:rsidRPr="00F012F8">
        <w:rPr>
          <w:rFonts w:cs="Times New Roman"/>
          <w:noProof/>
          <w:lang w:eastAsia="fr-CA"/>
        </w:rPr>
        <w:drawing>
          <wp:anchor distT="0" distB="0" distL="114300" distR="114300" simplePos="0" relativeHeight="251673600" behindDoc="0" locked="0" layoutInCell="1" allowOverlap="1" wp14:anchorId="7964F131" wp14:editId="3085E322">
            <wp:simplePos x="0" y="0"/>
            <wp:positionH relativeFrom="column">
              <wp:posOffset>2353688</wp:posOffset>
            </wp:positionH>
            <wp:positionV relativeFrom="paragraph">
              <wp:posOffset>188947</wp:posOffset>
            </wp:positionV>
            <wp:extent cx="2568102" cy="2568102"/>
            <wp:effectExtent l="0" t="0" r="3810" b="3810"/>
            <wp:wrapNone/>
            <wp:docPr id="11" name="Image 11" descr="Résultats de recherche d'images pour « sinus et nez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ésultats de recherche d'images pour « sinus et nez »"/>
                    <pic:cNvPicPr>
                      <a:picLocks noChangeAspect="1" noChangeArrowheads="1"/>
                    </pic:cNvPicPr>
                  </pic:nvPicPr>
                  <pic:blipFill>
                    <a:blip r:embed="rId340">
                      <a:extLst>
                        <a:ext uri="{28A0092B-C50C-407E-A947-70E740481C1C}">
                          <a14:useLocalDpi xmlns:a14="http://schemas.microsoft.com/office/drawing/2010/main" val="0"/>
                        </a:ext>
                      </a:extLst>
                    </a:blip>
                    <a:srcRect/>
                    <a:stretch>
                      <a:fillRect/>
                    </a:stretch>
                  </pic:blipFill>
                  <pic:spPr bwMode="auto">
                    <a:xfrm>
                      <a:off x="0" y="0"/>
                      <a:ext cx="2568102" cy="2568102"/>
                    </a:xfrm>
                    <a:prstGeom prst="rect">
                      <a:avLst/>
                    </a:prstGeom>
                    <a:noFill/>
                    <a:ln>
                      <a:noFill/>
                    </a:ln>
                  </pic:spPr>
                </pic:pic>
              </a:graphicData>
            </a:graphic>
            <wp14:sizeRelH relativeFrom="page">
              <wp14:pctWidth>0</wp14:pctWidth>
            </wp14:sizeRelH>
            <wp14:sizeRelV relativeFrom="page">
              <wp14:pctHeight>0</wp14:pctHeight>
            </wp14:sizeRelV>
          </wp:anchor>
        </w:drawing>
      </w:r>
      <w:r w:rsidR="00E06967" w:rsidRPr="00F012F8">
        <w:rPr>
          <w:rFonts w:cs="Times New Roman"/>
        </w:rPr>
        <w:t>Le clonazepam aurait un effet inhibiteur sur la perception du goût si très incommodant.</w:t>
      </w:r>
    </w:p>
    <w:p w:rsidR="000C3047" w:rsidRDefault="001A1752">
      <w:pPr>
        <w:rPr>
          <w:rFonts w:cs="Times New Roman"/>
        </w:rPr>
      </w:pPr>
      <w:r w:rsidRPr="00F012F8">
        <w:rPr>
          <w:rFonts w:cs="Times New Roman"/>
        </w:rPr>
        <w:br w:type="page"/>
      </w:r>
    </w:p>
    <w:p w:rsidR="001269EB" w:rsidRDefault="001269EB" w:rsidP="001C25EE">
      <w:pPr>
        <w:spacing w:after="0"/>
        <w:rPr>
          <w:rFonts w:cs="Times New Roman"/>
          <w:b/>
          <w:color w:val="548DD4" w:themeColor="text2" w:themeTint="99"/>
        </w:rPr>
      </w:pPr>
      <w:r>
        <w:rPr>
          <w:rFonts w:cs="Times New Roman"/>
          <w:b/>
          <w:color w:val="548DD4" w:themeColor="text2" w:themeTint="99"/>
        </w:rPr>
        <w:t>CMC 101</w:t>
      </w:r>
    </w:p>
    <w:p w:rsidR="003E7328" w:rsidRPr="003E7328" w:rsidRDefault="001269EB" w:rsidP="003E7328">
      <w:pPr>
        <w:pStyle w:val="Titre3"/>
        <w:spacing w:before="0"/>
        <w:rPr>
          <w:rFonts w:ascii="Times New Roman" w:hAnsi="Times New Roman" w:cs="Times New Roman"/>
        </w:rPr>
      </w:pPr>
      <w:bookmarkStart w:id="375" w:name="_Toc480797330"/>
      <w:r w:rsidRPr="003E7328">
        <w:rPr>
          <w:rFonts w:ascii="Times New Roman" w:hAnsi="Times New Roman" w:cs="Times New Roman"/>
        </w:rPr>
        <w:t>Anomalies staturales (grande taille/petite taille)</w:t>
      </w:r>
      <w:bookmarkEnd w:id="375"/>
    </w:p>
    <w:tbl>
      <w:tblPr>
        <w:tblW w:w="3858" w:type="pct"/>
        <w:tblCellSpacing w:w="0" w:type="dxa"/>
        <w:tblCellMar>
          <w:left w:w="0" w:type="dxa"/>
          <w:right w:w="0" w:type="dxa"/>
        </w:tblCellMar>
        <w:tblLook w:val="04A0" w:firstRow="1" w:lastRow="0" w:firstColumn="1" w:lastColumn="0" w:noHBand="0" w:noVBand="1"/>
      </w:tblPr>
      <w:tblGrid>
        <w:gridCol w:w="8333"/>
      </w:tblGrid>
      <w:tr w:rsidR="003E7328" w:rsidRPr="003E7328" w:rsidTr="003E7328">
        <w:trPr>
          <w:tblCellSpacing w:w="0" w:type="dxa"/>
        </w:trPr>
        <w:tc>
          <w:tcPr>
            <w:tcW w:w="0" w:type="auto"/>
            <w:vAlign w:val="bottom"/>
            <w:hideMark/>
          </w:tcPr>
          <w:p w:rsidR="003E7328" w:rsidRPr="003E7328" w:rsidRDefault="003E7328" w:rsidP="003E7328">
            <w:pPr>
              <w:pStyle w:val="Sansinterligne"/>
              <w:spacing w:before="240"/>
              <w:rPr>
                <w:rFonts w:cs="Times New Roman"/>
                <w:b/>
                <w:sz w:val="18"/>
                <w:szCs w:val="18"/>
              </w:rPr>
            </w:pPr>
            <w:r>
              <w:rPr>
                <w:rFonts w:cs="Times New Roman"/>
                <w:b/>
                <w:noProof/>
                <w:sz w:val="18"/>
                <w:szCs w:val="18"/>
                <w:lang w:eastAsia="fr-CA"/>
              </w:rPr>
              <mc:AlternateContent>
                <mc:Choice Requires="wps">
                  <w:drawing>
                    <wp:anchor distT="0" distB="0" distL="114300" distR="114300" simplePos="0" relativeHeight="251895808" behindDoc="0" locked="0" layoutInCell="1" allowOverlap="1" wp14:anchorId="1B674C6C" wp14:editId="64EB8022">
                      <wp:simplePos x="0" y="0"/>
                      <wp:positionH relativeFrom="column">
                        <wp:posOffset>-19455</wp:posOffset>
                      </wp:positionH>
                      <wp:positionV relativeFrom="paragraph">
                        <wp:posOffset>104680</wp:posOffset>
                      </wp:positionV>
                      <wp:extent cx="6858000" cy="2869660"/>
                      <wp:effectExtent l="0" t="0" r="19050" b="26035"/>
                      <wp:wrapNone/>
                      <wp:docPr id="412" name="Rectangle 412"/>
                      <wp:cNvGraphicFramePr/>
                      <a:graphic xmlns:a="http://schemas.openxmlformats.org/drawingml/2006/main">
                        <a:graphicData uri="http://schemas.microsoft.com/office/word/2010/wordprocessingShape">
                          <wps:wsp>
                            <wps:cNvSpPr/>
                            <wps:spPr>
                              <a:xfrm>
                                <a:off x="0" y="0"/>
                                <a:ext cx="6858000" cy="2869660"/>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412" o:spid="_x0000_s1026" style="position:absolute;margin-left:-1.55pt;margin-top:8.25pt;width:540pt;height:225.95pt;z-index:2518958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" filled="f" strokecolor="black [1600]" strokeweight="2pt"/>
                  </w:pict>
                </mc:Fallback>
              </mc:AlternateContent>
            </w:r>
            <w:r w:rsidRPr="003E7328">
              <w:rPr>
                <w:rFonts w:cs="Times New Roman"/>
                <w:b/>
                <w:sz w:val="18"/>
                <w:szCs w:val="18"/>
              </w:rPr>
              <w:t>Objectifs principaux</w:t>
            </w:r>
          </w:p>
        </w:tc>
      </w:tr>
    </w:tbl>
    <w:p w:rsidR="003E7328" w:rsidRPr="003E7328" w:rsidRDefault="003E7328" w:rsidP="003E7328">
      <w:pPr>
        <w:pStyle w:val="NormalWeb"/>
        <w:ind w:left="360"/>
        <w:rPr>
          <w:color w:val="000000"/>
          <w:sz w:val="18"/>
          <w:szCs w:val="18"/>
          <w:shd w:val="clear" w:color="auto" w:fill="FFFFFF"/>
        </w:rPr>
      </w:pPr>
      <w:r w:rsidRPr="003E7328">
        <w:rPr>
          <w:color w:val="000000"/>
          <w:sz w:val="18"/>
          <w:szCs w:val="18"/>
          <w:shd w:val="clear" w:color="auto" w:fill="FFFFFF"/>
        </w:rPr>
        <w:t>Dans le cas d'un patient présentant une anomalie staturale, le candidat devra en diagnostiquer la cause, la gravité et les complications, et mettre en place un plan de prise en charge approprié. Il devra en particulier déterminer si la courbe de croissance de l'enfant est pathologique ou normale et si ce dernier présente des traits dysmorphiques.</w:t>
      </w:r>
    </w:p>
    <w:tbl>
      <w:tblPr>
        <w:tblW w:w="3897" w:type="pct"/>
        <w:tblCellSpacing w:w="0" w:type="dxa"/>
        <w:tblCellMar>
          <w:left w:w="0" w:type="dxa"/>
          <w:right w:w="0" w:type="dxa"/>
        </w:tblCellMar>
        <w:tblLook w:val="04A0" w:firstRow="1" w:lastRow="0" w:firstColumn="1" w:lastColumn="0" w:noHBand="0" w:noVBand="1"/>
      </w:tblPr>
      <w:tblGrid>
        <w:gridCol w:w="8418"/>
      </w:tblGrid>
      <w:tr w:rsidR="003E7328" w:rsidRPr="003E7328" w:rsidTr="003E7328">
        <w:trPr>
          <w:tblCellSpacing w:w="0" w:type="dxa"/>
        </w:trPr>
        <w:tc>
          <w:tcPr>
            <w:tcW w:w="0" w:type="auto"/>
            <w:vAlign w:val="bottom"/>
            <w:hideMark/>
          </w:tcPr>
          <w:p w:rsidR="003E7328" w:rsidRPr="003E7328" w:rsidRDefault="003E7328" w:rsidP="003E7328">
            <w:pPr>
              <w:pStyle w:val="Sansinterligne"/>
              <w:rPr>
                <w:rFonts w:cs="Times New Roman"/>
                <w:b/>
                <w:sz w:val="16"/>
                <w:szCs w:val="16"/>
              </w:rPr>
            </w:pPr>
            <w:r w:rsidRPr="003E7328">
              <w:rPr>
                <w:rFonts w:cs="Times New Roman"/>
                <w:b/>
                <w:sz w:val="16"/>
                <w:szCs w:val="16"/>
              </w:rPr>
              <w:t>Objectifs spécifiques</w:t>
            </w:r>
          </w:p>
        </w:tc>
      </w:tr>
    </w:tbl>
    <w:p w:rsidR="003E7328" w:rsidRPr="003E7328" w:rsidRDefault="003E7328" w:rsidP="003E7328">
      <w:pPr>
        <w:pStyle w:val="NormalWeb"/>
        <w:shd w:val="clear" w:color="auto" w:fill="FFFFFF"/>
        <w:ind w:left="360"/>
        <w:rPr>
          <w:color w:val="000000"/>
          <w:sz w:val="16"/>
          <w:szCs w:val="16"/>
          <w:shd w:val="clear" w:color="auto" w:fill="FFFFFF"/>
        </w:rPr>
      </w:pPr>
      <w:r w:rsidRPr="003E7328">
        <w:rPr>
          <w:color w:val="000000"/>
          <w:sz w:val="16"/>
          <w:szCs w:val="16"/>
          <w:shd w:val="clear" w:color="auto" w:fill="FFFFFF"/>
        </w:rPr>
        <w:t>Dans le cas d'un patient présentant une anomalie staturale, le candidat devra</w:t>
      </w:r>
    </w:p>
    <w:p w:rsidR="003E7328" w:rsidRPr="003E7328" w:rsidRDefault="003E7328" w:rsidP="00677B81">
      <w:pPr>
        <w:numPr>
          <w:ilvl w:val="0"/>
          <w:numId w:val="844"/>
        </w:numPr>
        <w:shd w:val="clear" w:color="auto" w:fill="FFFFFF"/>
        <w:spacing w:before="100" w:beforeAutospacing="1" w:after="100" w:afterAutospacing="1" w:line="240" w:lineRule="auto"/>
        <w:rPr>
          <w:rFonts w:cs="Times New Roman"/>
          <w:color w:val="000000"/>
          <w:sz w:val="16"/>
          <w:szCs w:val="16"/>
          <w:shd w:val="clear" w:color="auto" w:fill="FFFFFF"/>
        </w:rPr>
      </w:pPr>
      <w:r w:rsidRPr="003E7328">
        <w:rPr>
          <w:rFonts w:cs="Times New Roman"/>
          <w:color w:val="000000"/>
          <w:sz w:val="16"/>
          <w:szCs w:val="16"/>
          <w:shd w:val="clear" w:color="auto" w:fill="FFFFFF"/>
        </w:rPr>
        <w:t>énumérer et interpréter les constatations cruciales, notamment :</w:t>
      </w:r>
    </w:p>
    <w:p w:rsidR="003E7328" w:rsidRPr="003E7328" w:rsidRDefault="003E7328" w:rsidP="00677B81">
      <w:pPr>
        <w:numPr>
          <w:ilvl w:val="1"/>
          <w:numId w:val="844"/>
        </w:numPr>
        <w:shd w:val="clear" w:color="auto" w:fill="FFFFFF"/>
        <w:spacing w:before="100" w:beforeAutospacing="1" w:after="100" w:afterAutospacing="1" w:line="240" w:lineRule="auto"/>
        <w:rPr>
          <w:rFonts w:cs="Times New Roman"/>
          <w:color w:val="000000"/>
          <w:sz w:val="16"/>
          <w:szCs w:val="16"/>
          <w:shd w:val="clear" w:color="auto" w:fill="FFFFFF"/>
        </w:rPr>
      </w:pPr>
      <w:r w:rsidRPr="003E7328">
        <w:rPr>
          <w:rFonts w:cs="Times New Roman"/>
          <w:color w:val="000000"/>
          <w:sz w:val="16"/>
          <w:szCs w:val="16"/>
          <w:shd w:val="clear" w:color="auto" w:fill="FFFFFF"/>
        </w:rPr>
        <w:t>déterminer si la courbe de croissance de l'enfant est normale (p. ex. selon une échelle de croissance fiable, selon les antécédents familiaux);</w:t>
      </w:r>
    </w:p>
    <w:p w:rsidR="003E7328" w:rsidRPr="003E7328" w:rsidRDefault="003E7328" w:rsidP="00677B81">
      <w:pPr>
        <w:numPr>
          <w:ilvl w:val="1"/>
          <w:numId w:val="844"/>
        </w:numPr>
        <w:shd w:val="clear" w:color="auto" w:fill="FFFFFF"/>
        <w:spacing w:before="100" w:beforeAutospacing="1" w:after="100" w:afterAutospacing="1" w:line="240" w:lineRule="auto"/>
        <w:rPr>
          <w:rFonts w:cs="Times New Roman"/>
          <w:color w:val="000000"/>
          <w:sz w:val="16"/>
          <w:szCs w:val="16"/>
          <w:shd w:val="clear" w:color="auto" w:fill="FFFFFF"/>
        </w:rPr>
      </w:pPr>
      <w:r w:rsidRPr="003E7328">
        <w:rPr>
          <w:rFonts w:cs="Times New Roman"/>
          <w:color w:val="000000"/>
          <w:sz w:val="16"/>
          <w:szCs w:val="16"/>
          <w:shd w:val="clear" w:color="auto" w:fill="FFFFFF"/>
        </w:rPr>
        <w:t>faire une anamnèse en vue de déterminer les facteurs à l'origine d'une croissance anormale :</w:t>
      </w:r>
    </w:p>
    <w:p w:rsidR="003E7328" w:rsidRPr="003E7328" w:rsidRDefault="003E7328" w:rsidP="00677B81">
      <w:pPr>
        <w:numPr>
          <w:ilvl w:val="2"/>
          <w:numId w:val="844"/>
        </w:numPr>
        <w:shd w:val="clear" w:color="auto" w:fill="FFFFFF"/>
        <w:spacing w:before="100" w:beforeAutospacing="1" w:after="100" w:afterAutospacing="1" w:line="240" w:lineRule="auto"/>
        <w:rPr>
          <w:rFonts w:cs="Times New Roman"/>
          <w:color w:val="000000"/>
          <w:sz w:val="16"/>
          <w:szCs w:val="16"/>
          <w:shd w:val="clear" w:color="auto" w:fill="FFFFFF"/>
        </w:rPr>
      </w:pPr>
      <w:bookmarkStart w:id="376" w:name="Objectifssp%C3%A9cifiques1.2.1"/>
      <w:r w:rsidRPr="003E7328">
        <w:rPr>
          <w:rFonts w:cs="Times New Roman"/>
          <w:color w:val="000000"/>
          <w:sz w:val="16"/>
          <w:szCs w:val="16"/>
          <w:shd w:val="clear" w:color="auto" w:fill="FFFFFF"/>
        </w:rPr>
        <w:t>facteurs environnementaux maternels ou intra-utérins;</w:t>
      </w:r>
    </w:p>
    <w:p w:rsidR="003E7328" w:rsidRPr="003E7328" w:rsidRDefault="003E7328" w:rsidP="00677B81">
      <w:pPr>
        <w:numPr>
          <w:ilvl w:val="2"/>
          <w:numId w:val="844"/>
        </w:numPr>
        <w:shd w:val="clear" w:color="auto" w:fill="FFFFFF"/>
        <w:spacing w:before="100" w:beforeAutospacing="1" w:after="100" w:afterAutospacing="1" w:line="240" w:lineRule="auto"/>
        <w:rPr>
          <w:rFonts w:cs="Times New Roman"/>
          <w:color w:val="000000"/>
          <w:sz w:val="16"/>
          <w:szCs w:val="16"/>
          <w:shd w:val="clear" w:color="auto" w:fill="FFFFFF"/>
        </w:rPr>
      </w:pPr>
      <w:bookmarkStart w:id="377" w:name="Objectifssp%C3%A9cifiques1.2.2"/>
      <w:bookmarkEnd w:id="376"/>
      <w:r w:rsidRPr="003E7328">
        <w:rPr>
          <w:rFonts w:cs="Times New Roman"/>
          <w:color w:val="000000"/>
          <w:sz w:val="16"/>
          <w:szCs w:val="16"/>
          <w:shd w:val="clear" w:color="auto" w:fill="FFFFFF"/>
        </w:rPr>
        <w:t>stades de croissance;</w:t>
      </w:r>
    </w:p>
    <w:p w:rsidR="003E7328" w:rsidRPr="003E7328" w:rsidRDefault="003E7328" w:rsidP="00677B81">
      <w:pPr>
        <w:numPr>
          <w:ilvl w:val="2"/>
          <w:numId w:val="844"/>
        </w:numPr>
        <w:shd w:val="clear" w:color="auto" w:fill="FFFFFF"/>
        <w:spacing w:before="100" w:beforeAutospacing="1" w:after="100" w:afterAutospacing="1" w:line="240" w:lineRule="auto"/>
        <w:rPr>
          <w:rFonts w:cs="Times New Roman"/>
          <w:color w:val="000000"/>
          <w:sz w:val="16"/>
          <w:szCs w:val="16"/>
          <w:shd w:val="clear" w:color="auto" w:fill="FFFFFF"/>
        </w:rPr>
      </w:pPr>
      <w:bookmarkStart w:id="378" w:name="Objectifssp%C3%A9cifiques1.2.3"/>
      <w:bookmarkEnd w:id="377"/>
      <w:r w:rsidRPr="003E7328">
        <w:rPr>
          <w:rFonts w:cs="Times New Roman"/>
          <w:color w:val="000000"/>
          <w:sz w:val="16"/>
          <w:szCs w:val="16"/>
          <w:shd w:val="clear" w:color="auto" w:fill="FFFFFF"/>
        </w:rPr>
        <w:t>affections médicales sous-jacentes ou autres facteurs environnementaux;</w:t>
      </w:r>
    </w:p>
    <w:bookmarkEnd w:id="378"/>
    <w:p w:rsidR="003E7328" w:rsidRPr="003E7328" w:rsidRDefault="003E7328" w:rsidP="00677B81">
      <w:pPr>
        <w:numPr>
          <w:ilvl w:val="1"/>
          <w:numId w:val="844"/>
        </w:numPr>
        <w:shd w:val="clear" w:color="auto" w:fill="FFFFFF"/>
        <w:spacing w:before="100" w:beforeAutospacing="1" w:after="100" w:afterAutospacing="1" w:line="240" w:lineRule="auto"/>
        <w:rPr>
          <w:rFonts w:cs="Times New Roman"/>
          <w:color w:val="000000"/>
          <w:sz w:val="16"/>
          <w:szCs w:val="16"/>
          <w:shd w:val="clear" w:color="auto" w:fill="FFFFFF"/>
        </w:rPr>
      </w:pPr>
      <w:r w:rsidRPr="003E7328">
        <w:rPr>
          <w:rFonts w:cs="Times New Roman"/>
          <w:color w:val="000000"/>
          <w:sz w:val="16"/>
          <w:szCs w:val="16"/>
          <w:shd w:val="clear" w:color="auto" w:fill="FFFFFF"/>
        </w:rPr>
        <w:t>déterminer, à l'examen physique, la présence de traits dysmorphiques;</w:t>
      </w:r>
    </w:p>
    <w:p w:rsidR="003E7328" w:rsidRPr="003E7328" w:rsidRDefault="003E7328" w:rsidP="00677B81">
      <w:pPr>
        <w:numPr>
          <w:ilvl w:val="0"/>
          <w:numId w:val="844"/>
        </w:numPr>
        <w:shd w:val="clear" w:color="auto" w:fill="FFFFFF"/>
        <w:spacing w:before="100" w:beforeAutospacing="1" w:after="100" w:afterAutospacing="1" w:line="240" w:lineRule="auto"/>
        <w:rPr>
          <w:rFonts w:cs="Times New Roman"/>
          <w:color w:val="000000"/>
          <w:sz w:val="16"/>
          <w:szCs w:val="16"/>
          <w:shd w:val="clear" w:color="auto" w:fill="FFFFFF"/>
        </w:rPr>
      </w:pPr>
      <w:r w:rsidRPr="003E7328">
        <w:rPr>
          <w:rFonts w:cs="Times New Roman"/>
          <w:color w:val="000000"/>
          <w:sz w:val="16"/>
          <w:szCs w:val="16"/>
          <w:shd w:val="clear" w:color="auto" w:fill="FFFFFF"/>
        </w:rPr>
        <w:t>énumérer et interpréter les examens essentiels, s'il y a lieu (p. ex. radiographie du poignet visant à établir l'âge osseux);</w:t>
      </w:r>
    </w:p>
    <w:p w:rsidR="003E7328" w:rsidRPr="003E7328" w:rsidRDefault="003E7328" w:rsidP="00677B81">
      <w:pPr>
        <w:numPr>
          <w:ilvl w:val="0"/>
          <w:numId w:val="844"/>
        </w:numPr>
        <w:shd w:val="clear" w:color="auto" w:fill="FFFFFF"/>
        <w:spacing w:before="100" w:beforeAutospacing="1" w:after="100" w:afterAutospacing="1" w:line="240" w:lineRule="auto"/>
        <w:rPr>
          <w:rFonts w:cs="Times New Roman"/>
          <w:color w:val="000000"/>
          <w:sz w:val="16"/>
          <w:szCs w:val="16"/>
          <w:shd w:val="clear" w:color="auto" w:fill="FFFFFF"/>
        </w:rPr>
      </w:pPr>
      <w:r w:rsidRPr="003E7328">
        <w:rPr>
          <w:rFonts w:cs="Times New Roman"/>
          <w:color w:val="000000"/>
          <w:sz w:val="16"/>
          <w:szCs w:val="16"/>
          <w:shd w:val="clear" w:color="auto" w:fill="FFFFFF"/>
        </w:rPr>
        <w:t>établir un plan efficace de prise en charge initiale, notamment :</w:t>
      </w:r>
    </w:p>
    <w:p w:rsidR="003E7328" w:rsidRPr="003E7328" w:rsidRDefault="003E7328" w:rsidP="00677B81">
      <w:pPr>
        <w:numPr>
          <w:ilvl w:val="1"/>
          <w:numId w:val="844"/>
        </w:numPr>
        <w:shd w:val="clear" w:color="auto" w:fill="FFFFFF"/>
        <w:spacing w:before="100" w:beforeAutospacing="1" w:after="100" w:afterAutospacing="1" w:line="240" w:lineRule="auto"/>
        <w:rPr>
          <w:rFonts w:cs="Times New Roman"/>
          <w:color w:val="000000"/>
          <w:sz w:val="16"/>
          <w:szCs w:val="16"/>
          <w:shd w:val="clear" w:color="auto" w:fill="FFFFFF"/>
        </w:rPr>
      </w:pPr>
      <w:r w:rsidRPr="003E7328">
        <w:rPr>
          <w:rFonts w:cs="Times New Roman"/>
          <w:color w:val="000000"/>
          <w:sz w:val="16"/>
          <w:szCs w:val="16"/>
          <w:shd w:val="clear" w:color="auto" w:fill="FFFFFF"/>
        </w:rPr>
        <w:t>conseiller la famille et l'enfant en ce qui concerne la stature;</w:t>
      </w:r>
    </w:p>
    <w:p w:rsidR="003E7328" w:rsidRPr="003E7328" w:rsidRDefault="003E7328" w:rsidP="00677B81">
      <w:pPr>
        <w:numPr>
          <w:ilvl w:val="1"/>
          <w:numId w:val="844"/>
        </w:numPr>
        <w:shd w:val="clear" w:color="auto" w:fill="FFFFFF"/>
        <w:spacing w:before="100" w:beforeAutospacing="1" w:after="100" w:afterAutospacing="1" w:line="240" w:lineRule="auto"/>
        <w:rPr>
          <w:rFonts w:cs="Times New Roman"/>
          <w:color w:val="000000"/>
          <w:sz w:val="16"/>
          <w:szCs w:val="16"/>
          <w:shd w:val="clear" w:color="auto" w:fill="FFFFFF"/>
        </w:rPr>
      </w:pPr>
      <w:r w:rsidRPr="003E7328">
        <w:rPr>
          <w:rFonts w:cs="Times New Roman"/>
          <w:color w:val="000000"/>
          <w:sz w:val="16"/>
          <w:szCs w:val="16"/>
          <w:shd w:val="clear" w:color="auto" w:fill="FFFFFF"/>
        </w:rPr>
        <w:t>diriger le patient vers des soins spécialisés, s'il y a lieu.</w:t>
      </w:r>
    </w:p>
    <w:p w:rsidR="00005CF3" w:rsidRDefault="00226692" w:rsidP="00E40A1D">
      <w:pPr>
        <w:pStyle w:val="Sansinterligne"/>
        <w:rPr>
          <w:lang w:eastAsia="fr-CA"/>
        </w:rPr>
      </w:pPr>
      <w:r>
        <w:rPr>
          <w:noProof/>
          <w:lang w:eastAsia="fr-CA"/>
        </w:rPr>
        <w:drawing>
          <wp:anchor distT="0" distB="0" distL="114300" distR="114300" simplePos="0" relativeHeight="251908096" behindDoc="0" locked="0" layoutInCell="1" allowOverlap="1" wp14:anchorId="399F7B55" wp14:editId="364B43B2">
            <wp:simplePos x="0" y="0"/>
            <wp:positionH relativeFrom="column">
              <wp:posOffset>4056380</wp:posOffset>
            </wp:positionH>
            <wp:positionV relativeFrom="paragraph">
              <wp:posOffset>140686</wp:posOffset>
            </wp:positionV>
            <wp:extent cx="2830749" cy="4503767"/>
            <wp:effectExtent l="0" t="0" r="8255" b="0"/>
            <wp:wrapNone/>
            <wp:docPr id="424" name="Image 424" descr="Résultats de recherche d'images pour « syndrome de marfa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ésultats de recherche d'images pour « syndrome de marfan »"/>
                    <pic:cNvPicPr>
                      <a:picLocks noChangeAspect="1" noChangeArrowheads="1"/>
                    </pic:cNvPicPr>
                  </pic:nvPicPr>
                  <pic:blipFill rotWithShape="1">
                    <a:blip r:embed="rId341" cstate="print">
                      <a:extLst>
                        <a:ext uri="{28A0092B-C50C-407E-A947-70E740481C1C}">
                          <a14:useLocalDpi xmlns:a14="http://schemas.microsoft.com/office/drawing/2010/main" val="0"/>
                        </a:ext>
                      </a:extLst>
                    </a:blip>
                    <a:srcRect l="5220" t="4353" r="5231" b="4991"/>
                    <a:stretch/>
                  </pic:blipFill>
                  <pic:spPr bwMode="auto">
                    <a:xfrm>
                      <a:off x="0" y="0"/>
                      <a:ext cx="2830749" cy="4503767"/>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E40A1D" w:rsidRPr="00E40A1D" w:rsidRDefault="00E40A1D" w:rsidP="00E40A1D">
      <w:pPr>
        <w:pStyle w:val="Sansinterligne"/>
        <w:rPr>
          <w:b/>
          <w:sz w:val="28"/>
          <w:szCs w:val="28"/>
          <w:lang w:eastAsia="fr-CA"/>
        </w:rPr>
      </w:pPr>
      <w:r w:rsidRPr="00E40A1D">
        <w:rPr>
          <w:b/>
          <w:sz w:val="28"/>
          <w:szCs w:val="28"/>
          <w:lang w:eastAsia="fr-CA"/>
        </w:rPr>
        <w:t>Définitions</w:t>
      </w:r>
      <w:r w:rsidR="005A1DB5">
        <w:rPr>
          <w:b/>
          <w:sz w:val="28"/>
          <w:szCs w:val="28"/>
          <w:lang w:eastAsia="fr-CA"/>
        </w:rPr>
        <w:t xml:space="preserve"> et approche</w:t>
      </w:r>
    </w:p>
    <w:p w:rsidR="00E40A1D" w:rsidRDefault="00E40A1D" w:rsidP="00E40A1D">
      <w:pPr>
        <w:pStyle w:val="Sansinterligne"/>
        <w:rPr>
          <w:lang w:eastAsia="fr-CA"/>
        </w:rPr>
      </w:pPr>
    </w:p>
    <w:p w:rsidR="00314467" w:rsidRPr="00C925B4" w:rsidRDefault="00E40A1D" w:rsidP="00E40A1D">
      <w:pPr>
        <w:pStyle w:val="Sansinterligne"/>
        <w:rPr>
          <w:highlight w:val="yellow"/>
          <w:lang w:eastAsia="fr-CA"/>
        </w:rPr>
      </w:pPr>
      <w:r w:rsidRPr="00C925B4">
        <w:rPr>
          <w:highlight w:val="yellow"/>
          <w:u w:val="single"/>
          <w:lang w:eastAsia="fr-CA"/>
        </w:rPr>
        <w:t>Petite taille</w:t>
      </w:r>
    </w:p>
    <w:p w:rsidR="00E40A1D" w:rsidRDefault="00314467" w:rsidP="00E40A1D">
      <w:pPr>
        <w:pStyle w:val="Sansinterligne"/>
        <w:rPr>
          <w:lang w:eastAsia="fr-CA"/>
        </w:rPr>
      </w:pPr>
      <w:r w:rsidRPr="00C925B4">
        <w:rPr>
          <w:highlight w:val="yellow"/>
          <w:lang w:eastAsia="fr-CA"/>
        </w:rPr>
        <w:t>Taille</w:t>
      </w:r>
      <w:r w:rsidR="00E40A1D" w:rsidRPr="00C925B4">
        <w:rPr>
          <w:highlight w:val="yellow"/>
          <w:lang w:eastAsia="fr-CA"/>
        </w:rPr>
        <w:t xml:space="preserve"> inférieure au 3</w:t>
      </w:r>
      <w:r w:rsidR="00E40A1D" w:rsidRPr="00C925B4">
        <w:rPr>
          <w:highlight w:val="yellow"/>
          <w:vertAlign w:val="superscript"/>
          <w:lang w:eastAsia="fr-CA"/>
        </w:rPr>
        <w:t>e</w:t>
      </w:r>
      <w:r w:rsidR="00E40A1D" w:rsidRPr="00C925B4">
        <w:rPr>
          <w:highlight w:val="yellow"/>
          <w:lang w:eastAsia="fr-CA"/>
        </w:rPr>
        <w:t xml:space="preserve"> percentile</w:t>
      </w:r>
    </w:p>
    <w:p w:rsidR="00314467" w:rsidRDefault="00314467" w:rsidP="00E40A1D">
      <w:pPr>
        <w:pStyle w:val="Sansinterligne"/>
        <w:rPr>
          <w:lang w:eastAsia="fr-CA"/>
        </w:rPr>
      </w:pPr>
    </w:p>
    <w:p w:rsidR="005A40A2" w:rsidRDefault="00E40A1D" w:rsidP="00E40A1D">
      <w:pPr>
        <w:pStyle w:val="Sansinterligne"/>
        <w:rPr>
          <w:lang w:eastAsia="fr-CA"/>
        </w:rPr>
      </w:pPr>
      <w:r w:rsidRPr="005A40A2">
        <w:rPr>
          <w:u w:val="single"/>
          <w:lang w:eastAsia="fr-CA"/>
        </w:rPr>
        <w:t>Faible croissance</w:t>
      </w:r>
      <w:r w:rsidR="00581830">
        <w:rPr>
          <w:lang w:eastAsia="fr-CA"/>
        </w:rPr>
        <w:t> </w:t>
      </w:r>
    </w:p>
    <w:p w:rsidR="00314467" w:rsidRDefault="005A40A2" w:rsidP="005A40A2">
      <w:pPr>
        <w:pStyle w:val="Sansinterligne"/>
        <w:rPr>
          <w:lang w:eastAsia="fr-CA"/>
        </w:rPr>
      </w:pPr>
      <w:r>
        <w:rPr>
          <w:lang w:eastAsia="fr-CA"/>
        </w:rPr>
        <w:t>C</w:t>
      </w:r>
      <w:r w:rsidR="00E40A1D">
        <w:rPr>
          <w:lang w:eastAsia="fr-CA"/>
        </w:rPr>
        <w:t xml:space="preserve">assure de la courbe de croissance, </w:t>
      </w:r>
    </w:p>
    <w:p w:rsidR="00E40A1D" w:rsidRDefault="00314467" w:rsidP="005A40A2">
      <w:pPr>
        <w:pStyle w:val="Sansinterligne"/>
        <w:rPr>
          <w:lang w:eastAsia="fr-CA"/>
        </w:rPr>
      </w:pPr>
      <w:r>
        <w:rPr>
          <w:lang w:eastAsia="fr-CA"/>
        </w:rPr>
        <w:t>Indice = v</w:t>
      </w:r>
      <w:r w:rsidR="00E40A1D">
        <w:rPr>
          <w:lang w:eastAsia="fr-CA"/>
        </w:rPr>
        <w:t xml:space="preserve">itesse de croissance </w:t>
      </w:r>
      <w:r w:rsidR="00E40A1D">
        <w:rPr>
          <w:rFonts w:ascii="Century Gothic" w:hAnsi="Century Gothic"/>
          <w:lang w:eastAsia="fr-CA"/>
        </w:rPr>
        <w:t>&lt;</w:t>
      </w:r>
      <w:r w:rsidR="00E40A1D">
        <w:rPr>
          <w:lang w:eastAsia="fr-CA"/>
        </w:rPr>
        <w:t xml:space="preserve"> 25</w:t>
      </w:r>
      <w:r w:rsidR="00E40A1D" w:rsidRPr="00E40A1D">
        <w:rPr>
          <w:vertAlign w:val="superscript"/>
          <w:lang w:eastAsia="fr-CA"/>
        </w:rPr>
        <w:t>e</w:t>
      </w:r>
      <w:r w:rsidR="00E40A1D">
        <w:rPr>
          <w:lang w:eastAsia="fr-CA"/>
        </w:rPr>
        <w:t xml:space="preserve"> percentile</w:t>
      </w:r>
    </w:p>
    <w:p w:rsidR="00314467" w:rsidRDefault="00314467" w:rsidP="005A40A2">
      <w:pPr>
        <w:pStyle w:val="Sansinterligne"/>
        <w:rPr>
          <w:lang w:eastAsia="fr-CA"/>
        </w:rPr>
      </w:pPr>
    </w:p>
    <w:p w:rsidR="00314467" w:rsidRPr="00C925B4" w:rsidRDefault="00005CF3" w:rsidP="00E40A1D">
      <w:pPr>
        <w:pStyle w:val="Sansinterligne"/>
        <w:rPr>
          <w:highlight w:val="yellow"/>
          <w:lang w:eastAsia="fr-CA"/>
        </w:rPr>
      </w:pPr>
      <w:r w:rsidRPr="00C925B4">
        <w:rPr>
          <w:highlight w:val="yellow"/>
          <w:u w:val="single"/>
          <w:lang w:eastAsia="fr-CA"/>
        </w:rPr>
        <w:t>Grande taille</w:t>
      </w:r>
      <w:r w:rsidR="00581830" w:rsidRPr="00C925B4">
        <w:rPr>
          <w:highlight w:val="yellow"/>
          <w:lang w:eastAsia="fr-CA"/>
        </w:rPr>
        <w:t> </w:t>
      </w:r>
      <w:r w:rsidR="002570BC" w:rsidRPr="00C925B4">
        <w:rPr>
          <w:highlight w:val="yellow"/>
          <w:lang w:eastAsia="fr-CA"/>
        </w:rPr>
        <w:t xml:space="preserve"> </w:t>
      </w:r>
    </w:p>
    <w:p w:rsidR="00314467" w:rsidRPr="00C925B4" w:rsidRDefault="00314467" w:rsidP="00314467">
      <w:pPr>
        <w:pStyle w:val="Sansinterligne"/>
        <w:rPr>
          <w:highlight w:val="yellow"/>
          <w:lang w:eastAsia="fr-CA"/>
        </w:rPr>
      </w:pPr>
      <w:r w:rsidRPr="00C925B4">
        <w:rPr>
          <w:highlight w:val="yellow"/>
          <w:lang w:eastAsia="fr-CA"/>
        </w:rPr>
        <w:t>T</w:t>
      </w:r>
      <w:r w:rsidR="002570BC" w:rsidRPr="00C925B4">
        <w:rPr>
          <w:highlight w:val="yellow"/>
          <w:lang w:eastAsia="fr-CA"/>
        </w:rPr>
        <w:t>aille supérieure à deux écarts-types au-delà de la moyenne</w:t>
      </w:r>
      <w:r w:rsidR="005A1DB5" w:rsidRPr="00C925B4">
        <w:rPr>
          <w:highlight w:val="yellow"/>
          <w:lang w:eastAsia="fr-CA"/>
        </w:rPr>
        <w:t xml:space="preserve"> </w:t>
      </w:r>
    </w:p>
    <w:p w:rsidR="00005CF3" w:rsidRPr="00005CF3" w:rsidRDefault="002570BC" w:rsidP="00314467">
      <w:pPr>
        <w:pStyle w:val="Sansinterligne"/>
        <w:rPr>
          <w:lang w:eastAsia="fr-CA"/>
        </w:rPr>
      </w:pPr>
      <w:r w:rsidRPr="00C925B4">
        <w:rPr>
          <w:highlight w:val="yellow"/>
          <w:lang w:eastAsia="fr-CA"/>
        </w:rPr>
        <w:t>pour l’âge, le sexe et l’ethnie</w:t>
      </w:r>
      <w:r w:rsidR="005A1DB5" w:rsidRPr="00C925B4">
        <w:rPr>
          <w:highlight w:val="yellow"/>
          <w:lang w:eastAsia="fr-CA"/>
        </w:rPr>
        <w:t xml:space="preserve"> (95</w:t>
      </w:r>
      <w:r w:rsidR="005A1DB5" w:rsidRPr="00C925B4">
        <w:rPr>
          <w:highlight w:val="yellow"/>
          <w:vertAlign w:val="superscript"/>
          <w:lang w:eastAsia="fr-CA"/>
        </w:rPr>
        <w:t>e</w:t>
      </w:r>
      <w:r w:rsidR="005A1DB5" w:rsidRPr="00C925B4">
        <w:rPr>
          <w:highlight w:val="yellow"/>
          <w:lang w:eastAsia="fr-CA"/>
        </w:rPr>
        <w:t xml:space="preserve"> percentile)</w:t>
      </w:r>
    </w:p>
    <w:p w:rsidR="00E40A1D" w:rsidRDefault="00E40A1D" w:rsidP="00E40A1D">
      <w:pPr>
        <w:pStyle w:val="Sansinterligne"/>
        <w:rPr>
          <w:lang w:eastAsia="fr-CA"/>
        </w:rPr>
      </w:pPr>
      <w:bookmarkStart w:id="379" w:name="%C3%89tiologie1.1"/>
    </w:p>
    <w:p w:rsidR="00581830" w:rsidRDefault="00581830" w:rsidP="00E40A1D">
      <w:pPr>
        <w:pStyle w:val="Sansinterligne"/>
        <w:rPr>
          <w:lang w:eastAsia="fr-CA"/>
        </w:rPr>
      </w:pPr>
      <w:r w:rsidRPr="00581830">
        <w:rPr>
          <w:u w:val="single"/>
          <w:lang w:eastAsia="fr-CA"/>
        </w:rPr>
        <w:t>Dysmorphisme</w:t>
      </w:r>
      <w:r>
        <w:rPr>
          <w:lang w:eastAsia="fr-CA"/>
        </w:rPr>
        <w:t> </w:t>
      </w:r>
    </w:p>
    <w:p w:rsidR="00581830" w:rsidRDefault="00581830" w:rsidP="00E40A1D">
      <w:pPr>
        <w:pStyle w:val="Sansinterligne"/>
        <w:rPr>
          <w:lang w:eastAsia="fr-CA"/>
        </w:rPr>
      </w:pPr>
      <w:r>
        <w:rPr>
          <w:lang w:eastAsia="fr-CA"/>
        </w:rPr>
        <w:t>Anomalie morphologique d’une partie du corps ou d’un organe</w:t>
      </w:r>
    </w:p>
    <w:p w:rsidR="00581830" w:rsidRDefault="00581830" w:rsidP="00E40A1D">
      <w:pPr>
        <w:pStyle w:val="Sansinterligne"/>
        <w:rPr>
          <w:lang w:eastAsia="fr-CA"/>
        </w:rPr>
      </w:pPr>
    </w:p>
    <w:p w:rsidR="00581830" w:rsidRPr="00C925B4" w:rsidRDefault="00C925B4" w:rsidP="00E40A1D">
      <w:pPr>
        <w:pStyle w:val="Sansinterligne"/>
        <w:rPr>
          <w:b/>
          <w:lang w:eastAsia="fr-CA"/>
        </w:rPr>
      </w:pPr>
      <w:r w:rsidRPr="00C925B4">
        <w:rPr>
          <w:b/>
          <w:lang w:eastAsia="fr-CA"/>
        </w:rPr>
        <w:t>Approche </w:t>
      </w:r>
    </w:p>
    <w:p w:rsidR="00581830" w:rsidRDefault="00581830" w:rsidP="00E40A1D">
      <w:pPr>
        <w:pStyle w:val="Sansinterligne"/>
        <w:rPr>
          <w:lang w:eastAsia="fr-CA"/>
        </w:rPr>
      </w:pPr>
    </w:p>
    <w:p w:rsidR="00581830" w:rsidRDefault="00240261" w:rsidP="00E40A1D">
      <w:pPr>
        <w:pStyle w:val="Sansinterligne"/>
        <w:rPr>
          <w:lang w:eastAsia="fr-CA"/>
        </w:rPr>
      </w:pPr>
      <w:r w:rsidRPr="00240261">
        <w:rPr>
          <w:u w:val="single"/>
          <w:lang w:eastAsia="fr-CA"/>
        </w:rPr>
        <w:t>À l’anamnèse vérifier</w:t>
      </w:r>
      <w:r>
        <w:rPr>
          <w:lang w:eastAsia="fr-CA"/>
        </w:rPr>
        <w:t> :</w:t>
      </w:r>
    </w:p>
    <w:p w:rsidR="00240261" w:rsidRDefault="00240261" w:rsidP="005D429F">
      <w:pPr>
        <w:pStyle w:val="Sansinterligne"/>
        <w:numPr>
          <w:ilvl w:val="0"/>
          <w:numId w:val="884"/>
        </w:numPr>
        <w:rPr>
          <w:lang w:eastAsia="fr-CA"/>
        </w:rPr>
      </w:pPr>
      <w:r w:rsidRPr="00AD1551">
        <w:rPr>
          <w:highlight w:val="yellow"/>
          <w:lang w:eastAsia="fr-CA"/>
        </w:rPr>
        <w:t>Présence de RCIU</w:t>
      </w:r>
      <w:r>
        <w:rPr>
          <w:lang w:eastAsia="fr-CA"/>
        </w:rPr>
        <w:t xml:space="preserve"> durant la grossesse</w:t>
      </w:r>
    </w:p>
    <w:p w:rsidR="00AD1551" w:rsidRDefault="00AD1551" w:rsidP="005D429F">
      <w:pPr>
        <w:pStyle w:val="Sansinterligne"/>
        <w:numPr>
          <w:ilvl w:val="0"/>
          <w:numId w:val="884"/>
        </w:numPr>
        <w:rPr>
          <w:lang w:eastAsia="fr-CA"/>
        </w:rPr>
      </w:pPr>
      <w:r>
        <w:rPr>
          <w:lang w:eastAsia="fr-CA"/>
        </w:rPr>
        <w:t>Courbe de croissance précédente</w:t>
      </w:r>
    </w:p>
    <w:p w:rsidR="00240261" w:rsidRDefault="00240261" w:rsidP="005D429F">
      <w:pPr>
        <w:pStyle w:val="Sansinterligne"/>
        <w:numPr>
          <w:ilvl w:val="0"/>
          <w:numId w:val="884"/>
        </w:numPr>
        <w:rPr>
          <w:lang w:eastAsia="fr-CA"/>
        </w:rPr>
      </w:pPr>
      <w:r>
        <w:rPr>
          <w:lang w:eastAsia="fr-CA"/>
        </w:rPr>
        <w:t>Histoire de trauma crânien</w:t>
      </w:r>
      <w:r w:rsidR="00AD1551">
        <w:rPr>
          <w:lang w:eastAsia="fr-CA"/>
        </w:rPr>
        <w:t>, infection, lésions hypothalamiques</w:t>
      </w:r>
    </w:p>
    <w:p w:rsidR="00AD1551" w:rsidRDefault="00AD1551" w:rsidP="005D429F">
      <w:pPr>
        <w:pStyle w:val="Sansinterligne"/>
        <w:numPr>
          <w:ilvl w:val="0"/>
          <w:numId w:val="884"/>
        </w:numPr>
        <w:rPr>
          <w:lang w:eastAsia="fr-CA"/>
        </w:rPr>
      </w:pPr>
      <w:r>
        <w:rPr>
          <w:lang w:eastAsia="fr-CA"/>
        </w:rPr>
        <w:t>Symptômes d’hypothyroïdie, hypo/hypercortisol</w:t>
      </w:r>
    </w:p>
    <w:p w:rsidR="00240261" w:rsidRDefault="00240261" w:rsidP="005D429F">
      <w:pPr>
        <w:pStyle w:val="Sansinterligne"/>
        <w:numPr>
          <w:ilvl w:val="0"/>
          <w:numId w:val="884"/>
        </w:numPr>
        <w:rPr>
          <w:lang w:eastAsia="fr-CA"/>
        </w:rPr>
      </w:pPr>
      <w:r>
        <w:rPr>
          <w:lang w:eastAsia="fr-CA"/>
        </w:rPr>
        <w:t>Calculer la taille prédite selon la taille parentale</w:t>
      </w:r>
    </w:p>
    <w:p w:rsidR="00240261" w:rsidRDefault="00240261" w:rsidP="00E40A1D">
      <w:pPr>
        <w:pStyle w:val="Sansinterligne"/>
        <w:rPr>
          <w:lang w:eastAsia="fr-CA"/>
        </w:rPr>
      </w:pPr>
    </w:p>
    <w:p w:rsidR="00240261" w:rsidRDefault="00240261" w:rsidP="00E40A1D">
      <w:pPr>
        <w:pStyle w:val="Sansinterligne"/>
        <w:rPr>
          <w:lang w:eastAsia="fr-CA"/>
        </w:rPr>
      </w:pPr>
      <w:r>
        <w:rPr>
          <w:u w:val="single"/>
          <w:lang w:eastAsia="fr-CA"/>
        </w:rPr>
        <w:t xml:space="preserve">À </w:t>
      </w:r>
      <w:r w:rsidR="00AD1551">
        <w:rPr>
          <w:u w:val="single"/>
          <w:lang w:eastAsia="fr-CA"/>
        </w:rPr>
        <w:t>l</w:t>
      </w:r>
      <w:r>
        <w:rPr>
          <w:u w:val="single"/>
          <w:lang w:eastAsia="fr-CA"/>
        </w:rPr>
        <w:t>’e</w:t>
      </w:r>
      <w:r w:rsidRPr="00240261">
        <w:rPr>
          <w:u w:val="single"/>
          <w:lang w:eastAsia="fr-CA"/>
        </w:rPr>
        <w:t>xamen</w:t>
      </w:r>
      <w:r>
        <w:rPr>
          <w:lang w:eastAsia="fr-CA"/>
        </w:rPr>
        <w:t> :</w:t>
      </w:r>
    </w:p>
    <w:p w:rsidR="00240261" w:rsidRDefault="00240261" w:rsidP="005D429F">
      <w:pPr>
        <w:pStyle w:val="Sansinterligne"/>
        <w:numPr>
          <w:ilvl w:val="0"/>
          <w:numId w:val="883"/>
        </w:numPr>
        <w:rPr>
          <w:lang w:eastAsia="fr-CA"/>
        </w:rPr>
      </w:pPr>
      <w:r>
        <w:rPr>
          <w:lang w:eastAsia="fr-CA"/>
        </w:rPr>
        <w:t>Mesurer taille, poids, périmètre crânien (</w:t>
      </w:r>
      <w:r w:rsidRPr="00AD1551">
        <w:rPr>
          <w:highlight w:val="yellow"/>
          <w:lang w:eastAsia="fr-CA"/>
        </w:rPr>
        <w:t>symétrique vs asymétrique</w:t>
      </w:r>
      <w:r>
        <w:rPr>
          <w:lang w:eastAsia="fr-CA"/>
        </w:rPr>
        <w:t>)</w:t>
      </w:r>
    </w:p>
    <w:p w:rsidR="00240261" w:rsidRDefault="00240261" w:rsidP="005D429F">
      <w:pPr>
        <w:pStyle w:val="Sansinterligne"/>
        <w:numPr>
          <w:ilvl w:val="0"/>
          <w:numId w:val="883"/>
        </w:numPr>
        <w:rPr>
          <w:lang w:eastAsia="fr-CA"/>
        </w:rPr>
      </w:pPr>
      <w:r>
        <w:rPr>
          <w:lang w:eastAsia="fr-CA"/>
        </w:rPr>
        <w:t>Signes de malnutrition ? (maigreur, lanugo, etc.)</w:t>
      </w:r>
    </w:p>
    <w:p w:rsidR="008C30AE" w:rsidRDefault="008C30AE" w:rsidP="005D429F">
      <w:pPr>
        <w:pStyle w:val="Sansinterligne"/>
        <w:numPr>
          <w:ilvl w:val="0"/>
          <w:numId w:val="883"/>
        </w:numPr>
        <w:rPr>
          <w:lang w:eastAsia="fr-CA"/>
        </w:rPr>
      </w:pPr>
      <w:r>
        <w:rPr>
          <w:lang w:eastAsia="fr-CA"/>
        </w:rPr>
        <w:t>Déterminer le stade pubertaire (Tanner)</w:t>
      </w:r>
    </w:p>
    <w:p w:rsidR="00240261" w:rsidRDefault="00240261" w:rsidP="005D429F">
      <w:pPr>
        <w:pStyle w:val="Sansinterligne"/>
        <w:numPr>
          <w:ilvl w:val="0"/>
          <w:numId w:val="883"/>
        </w:numPr>
        <w:rPr>
          <w:lang w:eastAsia="fr-CA"/>
        </w:rPr>
      </w:pPr>
      <w:r w:rsidRPr="00AD1551">
        <w:rPr>
          <w:highlight w:val="yellow"/>
          <w:lang w:eastAsia="fr-CA"/>
        </w:rPr>
        <w:t xml:space="preserve">Rechercher des </w:t>
      </w:r>
      <w:r w:rsidR="00AD1551" w:rsidRPr="00AD1551">
        <w:rPr>
          <w:highlight w:val="yellow"/>
          <w:lang w:eastAsia="fr-CA"/>
        </w:rPr>
        <w:t>t</w:t>
      </w:r>
      <w:r w:rsidRPr="00AD1551">
        <w:rPr>
          <w:highlight w:val="yellow"/>
          <w:lang w:eastAsia="fr-CA"/>
        </w:rPr>
        <w:t>raits dysmorphiques</w:t>
      </w:r>
      <w:r>
        <w:rPr>
          <w:lang w:eastAsia="fr-CA"/>
        </w:rPr>
        <w:t> : cou palmé, hypertélorisme, pectus</w:t>
      </w:r>
    </w:p>
    <w:p w:rsidR="00240261" w:rsidRDefault="00240261" w:rsidP="00C63AFC">
      <w:pPr>
        <w:pStyle w:val="Sansinterligne"/>
        <w:ind w:left="360"/>
        <w:rPr>
          <w:lang w:eastAsia="fr-CA"/>
        </w:rPr>
      </w:pPr>
      <w:r>
        <w:rPr>
          <w:lang w:eastAsia="fr-CA"/>
        </w:rPr>
        <w:t>excavatum, déviations cubitales du carpe, implantation basse des cheveux, écart entr</w:t>
      </w:r>
      <w:r w:rsidR="008C30AE">
        <w:rPr>
          <w:lang w:eastAsia="fr-CA"/>
        </w:rPr>
        <w:t>e les mamelons important, etc.</w:t>
      </w:r>
    </w:p>
    <w:p w:rsidR="005A1DB5" w:rsidRPr="00F05C8C" w:rsidRDefault="00F05C8C" w:rsidP="00E40A1D">
      <w:pPr>
        <w:pStyle w:val="Sansinterligne"/>
        <w:rPr>
          <w:b/>
          <w:sz w:val="28"/>
          <w:szCs w:val="28"/>
          <w:lang w:eastAsia="fr-CA"/>
        </w:rPr>
      </w:pPr>
      <w:r>
        <w:rPr>
          <w:b/>
          <w:sz w:val="28"/>
          <w:szCs w:val="28"/>
          <w:lang w:eastAsia="fr-CA"/>
        </w:rPr>
        <w:t>Diagnostics</w:t>
      </w:r>
    </w:p>
    <w:tbl>
      <w:tblPr>
        <w:tblStyle w:val="Grilledutableau"/>
        <w:tblW w:w="0" w:type="auto"/>
        <w:tblLook w:val="04A0" w:firstRow="1" w:lastRow="0" w:firstColumn="1" w:lastColumn="0" w:noHBand="0" w:noVBand="1"/>
      </w:tblPr>
      <w:tblGrid>
        <w:gridCol w:w="3227"/>
        <w:gridCol w:w="3894"/>
        <w:gridCol w:w="3895"/>
      </w:tblGrid>
      <w:tr w:rsidR="00F92ECD" w:rsidRPr="00F92ECD" w:rsidTr="009A79D7">
        <w:tc>
          <w:tcPr>
            <w:tcW w:w="11016" w:type="dxa"/>
            <w:gridSpan w:val="3"/>
            <w:shd w:val="clear" w:color="auto" w:fill="FFC000"/>
          </w:tcPr>
          <w:p w:rsidR="00F92ECD" w:rsidRPr="00F92ECD" w:rsidRDefault="00F92ECD" w:rsidP="00F92ECD">
            <w:pPr>
              <w:pStyle w:val="Sansinterligne"/>
              <w:jc w:val="center"/>
              <w:rPr>
                <w:lang w:eastAsia="fr-CA"/>
              </w:rPr>
            </w:pPr>
            <w:r>
              <w:rPr>
                <w:lang w:eastAsia="fr-CA"/>
              </w:rPr>
              <w:t>Grande taille</w:t>
            </w:r>
          </w:p>
        </w:tc>
      </w:tr>
      <w:tr w:rsidR="00F92ECD" w:rsidRPr="00F92ECD" w:rsidTr="009A79D7">
        <w:tc>
          <w:tcPr>
            <w:tcW w:w="3227" w:type="dxa"/>
            <w:shd w:val="clear" w:color="auto" w:fill="9BBB59" w:themeFill="accent3"/>
          </w:tcPr>
          <w:p w:rsidR="00F92ECD" w:rsidRPr="00F92ECD" w:rsidRDefault="00F92ECD" w:rsidP="00F92ECD">
            <w:pPr>
              <w:pStyle w:val="Sansinterligne"/>
              <w:jc w:val="center"/>
              <w:rPr>
                <w:i/>
                <w:lang w:eastAsia="fr-CA"/>
              </w:rPr>
            </w:pPr>
            <w:r w:rsidRPr="00F92ECD">
              <w:rPr>
                <w:i/>
                <w:lang w:eastAsia="fr-CA"/>
              </w:rPr>
              <w:t>Diagnostics</w:t>
            </w:r>
          </w:p>
        </w:tc>
        <w:tc>
          <w:tcPr>
            <w:tcW w:w="7789" w:type="dxa"/>
            <w:gridSpan w:val="2"/>
            <w:shd w:val="clear" w:color="auto" w:fill="9BBB59" w:themeFill="accent3"/>
          </w:tcPr>
          <w:p w:rsidR="00F92ECD" w:rsidRPr="00F92ECD" w:rsidRDefault="00F92ECD" w:rsidP="00F92ECD">
            <w:pPr>
              <w:pStyle w:val="Sansinterligne"/>
              <w:jc w:val="center"/>
              <w:rPr>
                <w:i/>
                <w:lang w:eastAsia="fr-CA"/>
              </w:rPr>
            </w:pPr>
            <w:r w:rsidRPr="00F92ECD">
              <w:rPr>
                <w:i/>
                <w:lang w:eastAsia="fr-CA"/>
              </w:rPr>
              <w:t>Manifestations cliniques</w:t>
            </w:r>
          </w:p>
        </w:tc>
      </w:tr>
      <w:tr w:rsidR="00F92ECD" w:rsidRPr="00F92ECD" w:rsidTr="005A5484">
        <w:tc>
          <w:tcPr>
            <w:tcW w:w="3227" w:type="dxa"/>
            <w:shd w:val="clear" w:color="auto" w:fill="C2D69B" w:themeFill="accent3" w:themeFillTint="99"/>
            <w:vAlign w:val="center"/>
          </w:tcPr>
          <w:p w:rsidR="00F92ECD" w:rsidRPr="00F92ECD" w:rsidRDefault="00F92ECD" w:rsidP="00F05C8C">
            <w:pPr>
              <w:pStyle w:val="Sansinterligne"/>
              <w:jc w:val="center"/>
              <w:rPr>
                <w:lang w:eastAsia="fr-CA"/>
              </w:rPr>
            </w:pPr>
            <w:r w:rsidRPr="00F92ECD">
              <w:rPr>
                <w:lang w:eastAsia="fr-CA"/>
              </w:rPr>
              <w:t xml:space="preserve">Constitutionnelle </w:t>
            </w:r>
          </w:p>
        </w:tc>
        <w:tc>
          <w:tcPr>
            <w:tcW w:w="7789" w:type="dxa"/>
            <w:gridSpan w:val="2"/>
            <w:shd w:val="clear" w:color="auto" w:fill="FFFF00"/>
          </w:tcPr>
          <w:p w:rsidR="00F92ECD" w:rsidRDefault="00F05C8C" w:rsidP="005D429F">
            <w:pPr>
              <w:pStyle w:val="Sansinterligne"/>
              <w:numPr>
                <w:ilvl w:val="0"/>
                <w:numId w:val="885"/>
              </w:numPr>
              <w:rPr>
                <w:lang w:eastAsia="fr-CA"/>
              </w:rPr>
            </w:pPr>
            <w:r>
              <w:rPr>
                <w:lang w:eastAsia="fr-CA"/>
              </w:rPr>
              <w:t>Grande taille familiale</w:t>
            </w:r>
          </w:p>
          <w:p w:rsidR="00F05C8C" w:rsidRDefault="00F05C8C" w:rsidP="005D429F">
            <w:pPr>
              <w:pStyle w:val="Sansinterligne"/>
              <w:numPr>
                <w:ilvl w:val="0"/>
                <w:numId w:val="885"/>
              </w:numPr>
              <w:rPr>
                <w:lang w:eastAsia="fr-CA"/>
              </w:rPr>
            </w:pPr>
            <w:r>
              <w:rPr>
                <w:lang w:eastAsia="fr-CA"/>
              </w:rPr>
              <w:t>Taille supérieure à la moyenne à la naissance</w:t>
            </w:r>
          </w:p>
          <w:p w:rsidR="00F05C8C" w:rsidRDefault="00F05C8C" w:rsidP="005D429F">
            <w:pPr>
              <w:pStyle w:val="Sansinterligne"/>
              <w:numPr>
                <w:ilvl w:val="0"/>
                <w:numId w:val="885"/>
              </w:numPr>
              <w:rPr>
                <w:lang w:eastAsia="fr-CA"/>
              </w:rPr>
            </w:pPr>
            <w:r>
              <w:rPr>
                <w:lang w:eastAsia="fr-CA"/>
              </w:rPr>
              <w:t>Vitesse de croissance élevée dans les 2 premières années puis se stabilise</w:t>
            </w:r>
          </w:p>
          <w:p w:rsidR="00F05C8C" w:rsidRPr="00F92ECD" w:rsidRDefault="00F05C8C" w:rsidP="005D429F">
            <w:pPr>
              <w:pStyle w:val="Sansinterligne"/>
              <w:numPr>
                <w:ilvl w:val="0"/>
                <w:numId w:val="885"/>
              </w:numPr>
              <w:rPr>
                <w:lang w:eastAsia="fr-CA"/>
              </w:rPr>
            </w:pPr>
            <w:r>
              <w:rPr>
                <w:lang w:eastAsia="fr-CA"/>
              </w:rPr>
              <w:t>Puberté à l’âge normal, âge osseux normal</w:t>
            </w:r>
          </w:p>
        </w:tc>
      </w:tr>
      <w:tr w:rsidR="00F92ECD" w:rsidRPr="00F92ECD" w:rsidTr="009A79D7">
        <w:tc>
          <w:tcPr>
            <w:tcW w:w="3227" w:type="dxa"/>
            <w:shd w:val="clear" w:color="auto" w:fill="C2D69B" w:themeFill="accent3" w:themeFillTint="99"/>
            <w:vAlign w:val="center"/>
          </w:tcPr>
          <w:p w:rsidR="00F92ECD" w:rsidRPr="00F92ECD" w:rsidRDefault="00F92ECD" w:rsidP="00434D8E">
            <w:pPr>
              <w:pStyle w:val="Sansinterligne"/>
              <w:jc w:val="center"/>
              <w:rPr>
                <w:lang w:eastAsia="fr-CA"/>
              </w:rPr>
            </w:pPr>
            <w:r w:rsidRPr="00F92ECD">
              <w:rPr>
                <w:lang w:eastAsia="fr-CA"/>
              </w:rPr>
              <w:t>Obésité exogène</w:t>
            </w:r>
            <w:r w:rsidR="00F05C8C">
              <w:rPr>
                <w:lang w:eastAsia="fr-CA"/>
              </w:rPr>
              <w:t xml:space="preserve"> (alimentaire)</w:t>
            </w:r>
          </w:p>
        </w:tc>
        <w:tc>
          <w:tcPr>
            <w:tcW w:w="7789" w:type="dxa"/>
            <w:gridSpan w:val="2"/>
          </w:tcPr>
          <w:p w:rsidR="00F92ECD" w:rsidRDefault="00F05C8C" w:rsidP="005D429F">
            <w:pPr>
              <w:pStyle w:val="Sansinterligne"/>
              <w:numPr>
                <w:ilvl w:val="0"/>
                <w:numId w:val="885"/>
              </w:numPr>
              <w:rPr>
                <w:lang w:eastAsia="fr-CA"/>
              </w:rPr>
            </w:pPr>
            <w:r>
              <w:rPr>
                <w:lang w:eastAsia="fr-CA"/>
              </w:rPr>
              <w:t>Vitesse de croissance accélérée</w:t>
            </w:r>
          </w:p>
          <w:p w:rsidR="00F05C8C" w:rsidRDefault="00F05C8C" w:rsidP="005D429F">
            <w:pPr>
              <w:pStyle w:val="Sansinterligne"/>
              <w:numPr>
                <w:ilvl w:val="0"/>
                <w:numId w:val="885"/>
              </w:numPr>
              <w:rPr>
                <w:lang w:eastAsia="fr-CA"/>
              </w:rPr>
            </w:pPr>
            <w:r>
              <w:rPr>
                <w:lang w:eastAsia="fr-CA"/>
              </w:rPr>
              <w:t>Surplus de poids avec grand apport énergétique</w:t>
            </w:r>
          </w:p>
          <w:p w:rsidR="00F05C8C" w:rsidRPr="00F92ECD" w:rsidRDefault="00F05C8C" w:rsidP="005D429F">
            <w:pPr>
              <w:pStyle w:val="Sansinterligne"/>
              <w:numPr>
                <w:ilvl w:val="0"/>
                <w:numId w:val="885"/>
              </w:numPr>
              <w:rPr>
                <w:lang w:eastAsia="fr-CA"/>
              </w:rPr>
            </w:pPr>
            <w:r>
              <w:rPr>
                <w:lang w:eastAsia="fr-CA"/>
              </w:rPr>
              <w:t>Âge osseux avancé (correspondant à l’âge statural et non chronologique)</w:t>
            </w:r>
          </w:p>
        </w:tc>
      </w:tr>
      <w:tr w:rsidR="00F92ECD" w:rsidRPr="00F92ECD" w:rsidTr="00971A44">
        <w:tc>
          <w:tcPr>
            <w:tcW w:w="3227" w:type="dxa"/>
            <w:shd w:val="clear" w:color="auto" w:fill="C2D69B" w:themeFill="accent3" w:themeFillTint="99"/>
            <w:vAlign w:val="center"/>
          </w:tcPr>
          <w:p w:rsidR="00F92ECD" w:rsidRPr="00F92ECD" w:rsidRDefault="00F92ECD" w:rsidP="00434D8E">
            <w:pPr>
              <w:pStyle w:val="Sansinterligne"/>
              <w:jc w:val="center"/>
              <w:rPr>
                <w:lang w:eastAsia="fr-CA"/>
              </w:rPr>
            </w:pPr>
            <w:r w:rsidRPr="00F92ECD">
              <w:rPr>
                <w:lang w:eastAsia="fr-CA"/>
              </w:rPr>
              <w:t>Syndrome de Marfan</w:t>
            </w:r>
          </w:p>
        </w:tc>
        <w:tc>
          <w:tcPr>
            <w:tcW w:w="7789" w:type="dxa"/>
            <w:gridSpan w:val="2"/>
            <w:shd w:val="clear" w:color="auto" w:fill="FFFF00"/>
          </w:tcPr>
          <w:p w:rsidR="00F92ECD" w:rsidRDefault="00F05C8C" w:rsidP="005D429F">
            <w:pPr>
              <w:pStyle w:val="Sansinterligne"/>
              <w:numPr>
                <w:ilvl w:val="0"/>
                <w:numId w:val="885"/>
              </w:numPr>
              <w:rPr>
                <w:lang w:eastAsia="fr-CA"/>
              </w:rPr>
            </w:pPr>
            <w:r>
              <w:rPr>
                <w:lang w:eastAsia="fr-CA"/>
              </w:rPr>
              <w:t>Transmission AD (histoire familiale positive) ou spontané</w:t>
            </w:r>
          </w:p>
          <w:p w:rsidR="00F05C8C" w:rsidRPr="00AB55FE" w:rsidRDefault="00F05C8C" w:rsidP="005D429F">
            <w:pPr>
              <w:pStyle w:val="Sansinterligne"/>
              <w:numPr>
                <w:ilvl w:val="0"/>
                <w:numId w:val="885"/>
              </w:numPr>
              <w:rPr>
                <w:b/>
                <w:lang w:eastAsia="fr-CA"/>
              </w:rPr>
            </w:pPr>
            <w:r w:rsidRPr="00AB55FE">
              <w:rPr>
                <w:b/>
                <w:lang w:eastAsia="fr-CA"/>
              </w:rPr>
              <w:t xml:space="preserve">Envergure (distance entre les 2 extrémités MS) </w:t>
            </w:r>
            <w:r w:rsidRPr="00AB55FE">
              <w:rPr>
                <w:rFonts w:ascii="Century Gothic" w:hAnsi="Century Gothic"/>
                <w:b/>
                <w:lang w:eastAsia="fr-CA"/>
              </w:rPr>
              <w:t>&gt;</w:t>
            </w:r>
            <w:r w:rsidRPr="00AB55FE">
              <w:rPr>
                <w:b/>
                <w:lang w:eastAsia="fr-CA"/>
              </w:rPr>
              <w:t xml:space="preserve"> taille</w:t>
            </w:r>
          </w:p>
          <w:p w:rsidR="00F05C8C" w:rsidRDefault="00971A44" w:rsidP="005D429F">
            <w:pPr>
              <w:pStyle w:val="Sansinterligne"/>
              <w:numPr>
                <w:ilvl w:val="0"/>
                <w:numId w:val="885"/>
              </w:numPr>
              <w:rPr>
                <w:lang w:eastAsia="fr-CA"/>
              </w:rPr>
            </w:pPr>
            <w:r>
              <w:rPr>
                <w:lang w:eastAsia="fr-CA"/>
              </w:rPr>
              <w:t>Segment inférieur /segment sup</w:t>
            </w:r>
            <w:r w:rsidR="00AB55FE">
              <w:rPr>
                <w:lang w:eastAsia="fr-CA"/>
              </w:rPr>
              <w:t>érieur</w:t>
            </w:r>
            <w:r>
              <w:rPr>
                <w:lang w:eastAsia="fr-CA"/>
              </w:rPr>
              <w:t xml:space="preserve"> </w:t>
            </w:r>
            <w:r>
              <w:rPr>
                <w:rFonts w:ascii="Century Gothic" w:hAnsi="Century Gothic"/>
                <w:lang w:eastAsia="fr-CA"/>
              </w:rPr>
              <w:t>&lt;</w:t>
            </w:r>
            <w:r w:rsidR="00F05C8C">
              <w:rPr>
                <w:lang w:eastAsia="fr-CA"/>
              </w:rPr>
              <w:t xml:space="preserve"> normale</w:t>
            </w:r>
            <w:r>
              <w:rPr>
                <w:lang w:eastAsia="fr-CA"/>
              </w:rPr>
              <w:t xml:space="preserve"> (Naissance : 0,5, </w:t>
            </w:r>
            <w:r>
              <w:rPr>
                <w:rFonts w:ascii="Century Gothic" w:hAnsi="Century Gothic"/>
                <w:lang w:eastAsia="fr-CA"/>
              </w:rPr>
              <w:t>≥</w:t>
            </w:r>
            <w:r>
              <w:rPr>
                <w:lang w:eastAsia="fr-CA"/>
              </w:rPr>
              <w:t xml:space="preserve"> 10 ans : 1)</w:t>
            </w:r>
          </w:p>
          <w:p w:rsidR="00971A44" w:rsidRDefault="00971A44" w:rsidP="005D429F">
            <w:pPr>
              <w:pStyle w:val="Sansinterligne"/>
              <w:numPr>
                <w:ilvl w:val="0"/>
                <w:numId w:val="885"/>
              </w:numPr>
              <w:rPr>
                <w:lang w:eastAsia="fr-CA"/>
              </w:rPr>
            </w:pPr>
            <w:r>
              <w:rPr>
                <w:lang w:eastAsia="fr-CA"/>
              </w:rPr>
              <w:t>Pectus excavatum, hyperlaxité ligamentaire, scoliose</w:t>
            </w:r>
          </w:p>
          <w:p w:rsidR="00971A44" w:rsidRDefault="00971A44" w:rsidP="005D429F">
            <w:pPr>
              <w:pStyle w:val="Sansinterligne"/>
              <w:numPr>
                <w:ilvl w:val="0"/>
                <w:numId w:val="885"/>
              </w:numPr>
              <w:rPr>
                <w:lang w:eastAsia="fr-CA"/>
              </w:rPr>
            </w:pPr>
            <w:r>
              <w:rPr>
                <w:lang w:eastAsia="fr-CA"/>
              </w:rPr>
              <w:t>Myopie, décollement rétinien ou subluxation du cristallin</w:t>
            </w:r>
          </w:p>
          <w:p w:rsidR="00971A44" w:rsidRPr="00AB55FE" w:rsidRDefault="00971A44" w:rsidP="005D429F">
            <w:pPr>
              <w:pStyle w:val="Sansinterligne"/>
              <w:numPr>
                <w:ilvl w:val="0"/>
                <w:numId w:val="885"/>
              </w:numPr>
              <w:rPr>
                <w:b/>
                <w:lang w:eastAsia="fr-CA"/>
              </w:rPr>
            </w:pPr>
            <w:r w:rsidRPr="00AB55FE">
              <w:rPr>
                <w:b/>
                <w:lang w:eastAsia="fr-CA"/>
              </w:rPr>
              <w:t>Dilatation aortique, prolapsus de valve mitrale (souffle)</w:t>
            </w:r>
          </w:p>
          <w:p w:rsidR="00F05C8C" w:rsidRPr="00F92ECD" w:rsidRDefault="00971A44" w:rsidP="005D429F">
            <w:pPr>
              <w:pStyle w:val="Sansinterligne"/>
              <w:numPr>
                <w:ilvl w:val="0"/>
                <w:numId w:val="885"/>
              </w:numPr>
              <w:rPr>
                <w:lang w:eastAsia="fr-CA"/>
              </w:rPr>
            </w:pPr>
            <w:r>
              <w:rPr>
                <w:lang w:eastAsia="fr-CA"/>
              </w:rPr>
              <w:t>Troubles d’apprentissages</w:t>
            </w:r>
          </w:p>
        </w:tc>
      </w:tr>
      <w:tr w:rsidR="000A49E7" w:rsidRPr="00F92ECD" w:rsidTr="00DE277A">
        <w:tc>
          <w:tcPr>
            <w:tcW w:w="3227" w:type="dxa"/>
            <w:shd w:val="clear" w:color="auto" w:fill="C2D69B" w:themeFill="accent3" w:themeFillTint="99"/>
            <w:vAlign w:val="center"/>
          </w:tcPr>
          <w:p w:rsidR="000A49E7" w:rsidRPr="00F92ECD" w:rsidRDefault="000A49E7" w:rsidP="00434D8E">
            <w:pPr>
              <w:pStyle w:val="Sansinterligne"/>
              <w:jc w:val="center"/>
              <w:rPr>
                <w:lang w:eastAsia="fr-CA"/>
              </w:rPr>
            </w:pPr>
            <w:r>
              <w:rPr>
                <w:lang w:eastAsia="fr-CA"/>
              </w:rPr>
              <w:t>Homocystinurie</w:t>
            </w:r>
          </w:p>
        </w:tc>
        <w:tc>
          <w:tcPr>
            <w:tcW w:w="3894" w:type="dxa"/>
            <w:tcBorders>
              <w:right w:val="single" w:sz="4" w:space="0" w:color="FFFFFF" w:themeColor="background1"/>
            </w:tcBorders>
          </w:tcPr>
          <w:p w:rsidR="000A49E7" w:rsidRDefault="000A49E7" w:rsidP="005D429F">
            <w:pPr>
              <w:pStyle w:val="Sansinterligne"/>
              <w:numPr>
                <w:ilvl w:val="0"/>
                <w:numId w:val="885"/>
              </w:numPr>
              <w:rPr>
                <w:lang w:eastAsia="fr-CA"/>
              </w:rPr>
            </w:pPr>
            <w:r>
              <w:rPr>
                <w:lang w:eastAsia="fr-CA"/>
              </w:rPr>
              <w:t>Aspect marfanoïde</w:t>
            </w:r>
          </w:p>
          <w:p w:rsidR="000A49E7" w:rsidRDefault="000A49E7" w:rsidP="005D429F">
            <w:pPr>
              <w:pStyle w:val="Sansinterligne"/>
              <w:numPr>
                <w:ilvl w:val="0"/>
                <w:numId w:val="885"/>
              </w:numPr>
              <w:rPr>
                <w:lang w:eastAsia="fr-CA"/>
              </w:rPr>
            </w:pPr>
            <w:r>
              <w:rPr>
                <w:lang w:eastAsia="fr-CA"/>
              </w:rPr>
              <w:t>Myopie sévère/subluxation cristallin</w:t>
            </w:r>
          </w:p>
        </w:tc>
        <w:tc>
          <w:tcPr>
            <w:tcW w:w="3895" w:type="dxa"/>
            <w:tcBorders>
              <w:left w:val="single" w:sz="4" w:space="0" w:color="FFFFFF" w:themeColor="background1"/>
            </w:tcBorders>
          </w:tcPr>
          <w:p w:rsidR="000A49E7" w:rsidRDefault="000A49E7" w:rsidP="005D429F">
            <w:pPr>
              <w:pStyle w:val="Sansinterligne"/>
              <w:numPr>
                <w:ilvl w:val="0"/>
                <w:numId w:val="885"/>
              </w:numPr>
              <w:rPr>
                <w:lang w:eastAsia="fr-CA"/>
              </w:rPr>
            </w:pPr>
            <w:r>
              <w:rPr>
                <w:lang w:eastAsia="fr-CA"/>
              </w:rPr>
              <w:t>Déficience intellectuelle</w:t>
            </w:r>
          </w:p>
          <w:p w:rsidR="000A49E7" w:rsidRDefault="000A49E7" w:rsidP="005D429F">
            <w:pPr>
              <w:pStyle w:val="Sansinterligne"/>
              <w:numPr>
                <w:ilvl w:val="0"/>
                <w:numId w:val="885"/>
              </w:numPr>
              <w:rPr>
                <w:lang w:eastAsia="fr-CA"/>
              </w:rPr>
            </w:pPr>
            <w:r>
              <w:rPr>
                <w:lang w:eastAsia="fr-CA"/>
              </w:rPr>
              <w:t xml:space="preserve">Thromboses </w:t>
            </w:r>
          </w:p>
        </w:tc>
      </w:tr>
      <w:tr w:rsidR="00DE277A" w:rsidRPr="00F92ECD" w:rsidTr="00DE277A">
        <w:tc>
          <w:tcPr>
            <w:tcW w:w="3227" w:type="dxa"/>
            <w:shd w:val="clear" w:color="auto" w:fill="C2D69B" w:themeFill="accent3" w:themeFillTint="99"/>
            <w:vAlign w:val="center"/>
          </w:tcPr>
          <w:p w:rsidR="00DE277A" w:rsidRDefault="00DE277A" w:rsidP="00434D8E">
            <w:pPr>
              <w:pStyle w:val="Sansinterligne"/>
              <w:jc w:val="center"/>
              <w:rPr>
                <w:lang w:eastAsia="fr-CA"/>
              </w:rPr>
            </w:pPr>
            <w:r w:rsidRPr="00F92ECD">
              <w:rPr>
                <w:lang w:eastAsia="fr-CA"/>
              </w:rPr>
              <w:t>Syndrome de Sotos</w:t>
            </w:r>
          </w:p>
          <w:p w:rsidR="00DE277A" w:rsidRPr="00F92ECD" w:rsidRDefault="00DE277A" w:rsidP="00434D8E">
            <w:pPr>
              <w:pStyle w:val="Sansinterligne"/>
              <w:jc w:val="center"/>
              <w:rPr>
                <w:lang w:eastAsia="fr-CA"/>
              </w:rPr>
            </w:pPr>
            <w:r>
              <w:rPr>
                <w:lang w:eastAsia="fr-CA"/>
              </w:rPr>
              <w:t>(gigantisme cérébral)</w:t>
            </w:r>
          </w:p>
        </w:tc>
        <w:tc>
          <w:tcPr>
            <w:tcW w:w="3894" w:type="dxa"/>
            <w:tcBorders>
              <w:right w:val="single" w:sz="4" w:space="0" w:color="FFFFFF" w:themeColor="background1"/>
            </w:tcBorders>
          </w:tcPr>
          <w:p w:rsidR="00DE277A" w:rsidRDefault="00DE277A" w:rsidP="005D429F">
            <w:pPr>
              <w:pStyle w:val="Sansinterligne"/>
              <w:numPr>
                <w:ilvl w:val="0"/>
                <w:numId w:val="885"/>
              </w:numPr>
              <w:rPr>
                <w:lang w:eastAsia="fr-CA"/>
              </w:rPr>
            </w:pPr>
            <w:r>
              <w:rPr>
                <w:lang w:eastAsia="fr-CA"/>
              </w:rPr>
              <w:t>Grande taille dès la naissance</w:t>
            </w:r>
          </w:p>
          <w:p w:rsidR="00DE277A" w:rsidRDefault="00DE277A" w:rsidP="005D429F">
            <w:pPr>
              <w:pStyle w:val="Sansinterligne"/>
              <w:numPr>
                <w:ilvl w:val="0"/>
                <w:numId w:val="885"/>
              </w:numPr>
              <w:rPr>
                <w:lang w:eastAsia="fr-CA"/>
              </w:rPr>
            </w:pPr>
            <w:r>
              <w:rPr>
                <w:lang w:eastAsia="fr-CA"/>
              </w:rPr>
              <w:t>Périmètre crânien large</w:t>
            </w:r>
          </w:p>
          <w:p w:rsidR="00DE277A" w:rsidRDefault="00DE277A" w:rsidP="005D429F">
            <w:pPr>
              <w:pStyle w:val="Sansinterligne"/>
              <w:numPr>
                <w:ilvl w:val="0"/>
                <w:numId w:val="885"/>
              </w:numPr>
              <w:rPr>
                <w:lang w:eastAsia="fr-CA"/>
              </w:rPr>
            </w:pPr>
            <w:r>
              <w:rPr>
                <w:lang w:eastAsia="fr-CA"/>
              </w:rPr>
              <w:t>Front bossu</w:t>
            </w:r>
          </w:p>
          <w:p w:rsidR="00DE277A" w:rsidRDefault="00DE277A" w:rsidP="005D429F">
            <w:pPr>
              <w:pStyle w:val="Sansinterligne"/>
              <w:numPr>
                <w:ilvl w:val="0"/>
                <w:numId w:val="885"/>
              </w:numPr>
              <w:rPr>
                <w:lang w:eastAsia="fr-CA"/>
              </w:rPr>
            </w:pPr>
            <w:r>
              <w:rPr>
                <w:lang w:eastAsia="fr-CA"/>
              </w:rPr>
              <w:t>Front dégarni de cheveux</w:t>
            </w:r>
          </w:p>
          <w:p w:rsidR="00DE277A" w:rsidRDefault="00DE277A" w:rsidP="005D429F">
            <w:pPr>
              <w:pStyle w:val="Sansinterligne"/>
              <w:numPr>
                <w:ilvl w:val="0"/>
                <w:numId w:val="885"/>
              </w:numPr>
              <w:rPr>
                <w:lang w:eastAsia="fr-CA"/>
              </w:rPr>
            </w:pPr>
            <w:r>
              <w:rPr>
                <w:lang w:eastAsia="fr-CA"/>
              </w:rPr>
              <w:t>Hypertélorisme</w:t>
            </w:r>
          </w:p>
        </w:tc>
        <w:tc>
          <w:tcPr>
            <w:tcW w:w="3895" w:type="dxa"/>
            <w:tcBorders>
              <w:left w:val="single" w:sz="4" w:space="0" w:color="FFFFFF" w:themeColor="background1"/>
            </w:tcBorders>
          </w:tcPr>
          <w:p w:rsidR="00DE277A" w:rsidRDefault="00DE277A" w:rsidP="005D429F">
            <w:pPr>
              <w:pStyle w:val="Sansinterligne"/>
              <w:numPr>
                <w:ilvl w:val="0"/>
                <w:numId w:val="885"/>
              </w:numPr>
              <w:rPr>
                <w:lang w:eastAsia="fr-CA"/>
              </w:rPr>
            </w:pPr>
            <w:r>
              <w:rPr>
                <w:lang w:eastAsia="fr-CA"/>
              </w:rPr>
              <w:t>Menton pointu</w:t>
            </w:r>
          </w:p>
          <w:p w:rsidR="00DE277A" w:rsidRDefault="00DE277A" w:rsidP="005D429F">
            <w:pPr>
              <w:pStyle w:val="Sansinterligne"/>
              <w:numPr>
                <w:ilvl w:val="0"/>
                <w:numId w:val="885"/>
              </w:numPr>
              <w:rPr>
                <w:lang w:eastAsia="fr-CA"/>
              </w:rPr>
            </w:pPr>
            <w:r>
              <w:rPr>
                <w:lang w:eastAsia="fr-CA"/>
              </w:rPr>
              <w:t>Larges oreilles</w:t>
            </w:r>
          </w:p>
          <w:p w:rsidR="00DE277A" w:rsidRDefault="00DE277A" w:rsidP="005D429F">
            <w:pPr>
              <w:pStyle w:val="Sansinterligne"/>
              <w:numPr>
                <w:ilvl w:val="0"/>
                <w:numId w:val="885"/>
              </w:numPr>
              <w:rPr>
                <w:lang w:eastAsia="fr-CA"/>
              </w:rPr>
            </w:pPr>
            <w:r>
              <w:rPr>
                <w:lang w:eastAsia="fr-CA"/>
              </w:rPr>
              <w:t>Scoliose</w:t>
            </w:r>
          </w:p>
          <w:p w:rsidR="00DE277A" w:rsidRPr="00F92ECD" w:rsidRDefault="00DE277A" w:rsidP="005D429F">
            <w:pPr>
              <w:pStyle w:val="Sansinterligne"/>
              <w:numPr>
                <w:ilvl w:val="0"/>
                <w:numId w:val="885"/>
              </w:numPr>
              <w:rPr>
                <w:lang w:eastAsia="fr-CA"/>
              </w:rPr>
            </w:pPr>
            <w:r>
              <w:rPr>
                <w:lang w:eastAsia="fr-CA"/>
              </w:rPr>
              <w:t>Main larges</w:t>
            </w:r>
          </w:p>
        </w:tc>
      </w:tr>
      <w:tr w:rsidR="009D7F9E" w:rsidRPr="00F92ECD" w:rsidTr="009D7F9E">
        <w:tc>
          <w:tcPr>
            <w:tcW w:w="3227" w:type="dxa"/>
            <w:shd w:val="clear" w:color="auto" w:fill="C2D69B" w:themeFill="accent3" w:themeFillTint="99"/>
            <w:vAlign w:val="center"/>
          </w:tcPr>
          <w:p w:rsidR="009D7F9E" w:rsidRDefault="009D7F9E" w:rsidP="00434D8E">
            <w:pPr>
              <w:pStyle w:val="Sansinterligne"/>
              <w:jc w:val="center"/>
              <w:rPr>
                <w:lang w:eastAsia="fr-CA"/>
              </w:rPr>
            </w:pPr>
            <w:r w:rsidRPr="00F92ECD">
              <w:rPr>
                <w:lang w:eastAsia="fr-CA"/>
              </w:rPr>
              <w:t>Syndrome de</w:t>
            </w:r>
          </w:p>
          <w:p w:rsidR="009D7F9E" w:rsidRPr="00F92ECD" w:rsidRDefault="009D7F9E" w:rsidP="00434D8E">
            <w:pPr>
              <w:pStyle w:val="Sansinterligne"/>
              <w:jc w:val="center"/>
              <w:rPr>
                <w:lang w:eastAsia="fr-CA"/>
              </w:rPr>
            </w:pPr>
            <w:r w:rsidRPr="00F92ECD">
              <w:rPr>
                <w:lang w:eastAsia="fr-CA"/>
              </w:rPr>
              <w:t>Beckwith-Wied</w:t>
            </w:r>
            <w:r>
              <w:rPr>
                <w:lang w:eastAsia="fr-CA"/>
              </w:rPr>
              <w:t>e</w:t>
            </w:r>
            <w:r w:rsidRPr="00F92ECD">
              <w:rPr>
                <w:lang w:eastAsia="fr-CA"/>
              </w:rPr>
              <w:t>mann</w:t>
            </w:r>
          </w:p>
        </w:tc>
        <w:tc>
          <w:tcPr>
            <w:tcW w:w="3894" w:type="dxa"/>
            <w:tcBorders>
              <w:right w:val="single" w:sz="4" w:space="0" w:color="FFFFFF" w:themeColor="background1"/>
            </w:tcBorders>
          </w:tcPr>
          <w:p w:rsidR="009D7F9E" w:rsidRDefault="009D7F9E" w:rsidP="005D429F">
            <w:pPr>
              <w:pStyle w:val="Sansinterligne"/>
              <w:numPr>
                <w:ilvl w:val="0"/>
                <w:numId w:val="885"/>
              </w:numPr>
              <w:rPr>
                <w:lang w:eastAsia="fr-CA"/>
              </w:rPr>
            </w:pPr>
            <w:r>
              <w:rPr>
                <w:lang w:eastAsia="fr-CA"/>
              </w:rPr>
              <w:t>Omphalocèle</w:t>
            </w:r>
          </w:p>
          <w:p w:rsidR="009D7F9E" w:rsidRDefault="009D7F9E" w:rsidP="005D429F">
            <w:pPr>
              <w:pStyle w:val="Sansinterligne"/>
              <w:numPr>
                <w:ilvl w:val="0"/>
                <w:numId w:val="885"/>
              </w:numPr>
              <w:rPr>
                <w:lang w:eastAsia="fr-CA"/>
              </w:rPr>
            </w:pPr>
            <w:r>
              <w:rPr>
                <w:lang w:eastAsia="fr-CA"/>
              </w:rPr>
              <w:t>Macroglossie</w:t>
            </w:r>
          </w:p>
          <w:p w:rsidR="009D7F9E" w:rsidRDefault="009D7F9E" w:rsidP="005D429F">
            <w:pPr>
              <w:pStyle w:val="Sansinterligne"/>
              <w:numPr>
                <w:ilvl w:val="0"/>
                <w:numId w:val="885"/>
              </w:numPr>
              <w:rPr>
                <w:lang w:eastAsia="fr-CA"/>
              </w:rPr>
            </w:pPr>
            <w:r>
              <w:rPr>
                <w:lang w:eastAsia="fr-CA"/>
              </w:rPr>
              <w:t>Macrosomie</w:t>
            </w:r>
          </w:p>
          <w:p w:rsidR="009D7F9E" w:rsidRDefault="009D7F9E" w:rsidP="005D429F">
            <w:pPr>
              <w:pStyle w:val="Sansinterligne"/>
              <w:numPr>
                <w:ilvl w:val="0"/>
                <w:numId w:val="885"/>
              </w:numPr>
              <w:rPr>
                <w:lang w:eastAsia="fr-CA"/>
              </w:rPr>
            </w:pPr>
            <w:r>
              <w:rPr>
                <w:lang w:eastAsia="fr-CA"/>
              </w:rPr>
              <w:t xml:space="preserve">Hypoplasie </w:t>
            </w:r>
            <w:r w:rsidR="001D5075">
              <w:rPr>
                <w:lang w:eastAsia="fr-CA"/>
              </w:rPr>
              <w:t>médiane du visage</w:t>
            </w:r>
          </w:p>
        </w:tc>
        <w:tc>
          <w:tcPr>
            <w:tcW w:w="3895" w:type="dxa"/>
            <w:tcBorders>
              <w:left w:val="single" w:sz="4" w:space="0" w:color="FFFFFF" w:themeColor="background1"/>
            </w:tcBorders>
          </w:tcPr>
          <w:p w:rsidR="009D7F9E" w:rsidRDefault="009D7F9E" w:rsidP="005D429F">
            <w:pPr>
              <w:pStyle w:val="Sansinterligne"/>
              <w:numPr>
                <w:ilvl w:val="0"/>
                <w:numId w:val="885"/>
              </w:numPr>
              <w:rPr>
                <w:lang w:eastAsia="fr-CA"/>
              </w:rPr>
            </w:pPr>
            <w:r>
              <w:rPr>
                <w:lang w:eastAsia="fr-CA"/>
              </w:rPr>
              <w:t>Naevus flammeus facial</w:t>
            </w:r>
          </w:p>
          <w:p w:rsidR="009D7F9E" w:rsidRPr="00F92ECD" w:rsidRDefault="009D7F9E" w:rsidP="005D429F">
            <w:pPr>
              <w:pStyle w:val="Sansinterligne"/>
              <w:numPr>
                <w:ilvl w:val="0"/>
                <w:numId w:val="885"/>
              </w:numPr>
              <w:rPr>
                <w:lang w:eastAsia="fr-CA"/>
              </w:rPr>
            </w:pPr>
            <w:r>
              <w:rPr>
                <w:lang w:eastAsia="fr-CA"/>
              </w:rPr>
              <w:t>Hémihyperplasie (1 membre plus gros qu’un autre)</w:t>
            </w:r>
          </w:p>
        </w:tc>
      </w:tr>
      <w:tr w:rsidR="005A5484" w:rsidRPr="00F92ECD" w:rsidTr="009A79D7">
        <w:tc>
          <w:tcPr>
            <w:tcW w:w="3227" w:type="dxa"/>
            <w:shd w:val="clear" w:color="auto" w:fill="C2D69B" w:themeFill="accent3" w:themeFillTint="99"/>
            <w:vAlign w:val="center"/>
          </w:tcPr>
          <w:p w:rsidR="005A5484" w:rsidRPr="00F92ECD" w:rsidRDefault="005A5484" w:rsidP="00434D8E">
            <w:pPr>
              <w:pStyle w:val="Sansinterligne"/>
              <w:jc w:val="center"/>
              <w:rPr>
                <w:lang w:eastAsia="fr-CA"/>
              </w:rPr>
            </w:pPr>
            <w:r>
              <w:rPr>
                <w:lang w:eastAsia="fr-CA"/>
              </w:rPr>
              <w:t>Syndrome de Klinefelter</w:t>
            </w:r>
          </w:p>
        </w:tc>
        <w:tc>
          <w:tcPr>
            <w:tcW w:w="7789" w:type="dxa"/>
            <w:gridSpan w:val="2"/>
          </w:tcPr>
          <w:p w:rsidR="005A5484" w:rsidRPr="00F92ECD" w:rsidRDefault="005A5484" w:rsidP="00AD1551">
            <w:pPr>
              <w:pStyle w:val="Sansinterligne"/>
              <w:rPr>
                <w:lang w:eastAsia="fr-CA"/>
              </w:rPr>
            </w:pPr>
            <w:r w:rsidRPr="00F71266">
              <w:rPr>
                <w:lang w:eastAsia="fr-CA"/>
              </w:rPr>
              <w:t>Voir</w:t>
            </w:r>
            <w:r>
              <w:rPr>
                <w:lang w:eastAsia="fr-CA"/>
              </w:rPr>
              <w:t xml:space="preserve"> </w:t>
            </w:r>
            <w:r w:rsidRPr="009379E7">
              <w:rPr>
                <w:i/>
              </w:rPr>
              <w:t>Anomalies congénitales, dysmorphisme CMC 36-2</w:t>
            </w:r>
          </w:p>
        </w:tc>
      </w:tr>
      <w:tr w:rsidR="00F310CF" w:rsidRPr="00F92ECD" w:rsidTr="00820263">
        <w:tc>
          <w:tcPr>
            <w:tcW w:w="3227" w:type="dxa"/>
            <w:shd w:val="clear" w:color="auto" w:fill="C2D69B" w:themeFill="accent3" w:themeFillTint="99"/>
            <w:vAlign w:val="center"/>
          </w:tcPr>
          <w:p w:rsidR="00F310CF" w:rsidRPr="00F92ECD" w:rsidRDefault="00F310CF" w:rsidP="00434D8E">
            <w:pPr>
              <w:pStyle w:val="Sansinterligne"/>
              <w:jc w:val="center"/>
              <w:rPr>
                <w:lang w:eastAsia="fr-CA"/>
              </w:rPr>
            </w:pPr>
            <w:r w:rsidRPr="00F92ECD">
              <w:rPr>
                <w:lang w:eastAsia="fr-CA"/>
              </w:rPr>
              <w:t>Hyperthyroïdie</w:t>
            </w:r>
          </w:p>
        </w:tc>
        <w:tc>
          <w:tcPr>
            <w:tcW w:w="3894" w:type="dxa"/>
            <w:tcBorders>
              <w:right w:val="single" w:sz="4" w:space="0" w:color="FFFF00"/>
            </w:tcBorders>
            <w:shd w:val="clear" w:color="auto" w:fill="FFFF00"/>
          </w:tcPr>
          <w:p w:rsidR="00F310CF" w:rsidRDefault="00F310CF" w:rsidP="005D429F">
            <w:pPr>
              <w:pStyle w:val="Sansinterligne"/>
              <w:numPr>
                <w:ilvl w:val="0"/>
                <w:numId w:val="886"/>
              </w:numPr>
              <w:rPr>
                <w:lang w:eastAsia="fr-CA"/>
              </w:rPr>
            </w:pPr>
            <w:r>
              <w:rPr>
                <w:lang w:eastAsia="fr-CA"/>
              </w:rPr>
              <w:t>Intolérance à la chaleur</w:t>
            </w:r>
          </w:p>
          <w:p w:rsidR="00F310CF" w:rsidRDefault="00F310CF" w:rsidP="005D429F">
            <w:pPr>
              <w:pStyle w:val="Sansinterligne"/>
              <w:numPr>
                <w:ilvl w:val="0"/>
                <w:numId w:val="886"/>
              </w:numPr>
              <w:rPr>
                <w:lang w:eastAsia="fr-CA"/>
              </w:rPr>
            </w:pPr>
            <w:r>
              <w:rPr>
                <w:lang w:eastAsia="fr-CA"/>
              </w:rPr>
              <w:t>Palpitations</w:t>
            </w:r>
          </w:p>
          <w:p w:rsidR="00F310CF" w:rsidRDefault="00F310CF" w:rsidP="005D429F">
            <w:pPr>
              <w:pStyle w:val="Sansinterligne"/>
              <w:numPr>
                <w:ilvl w:val="0"/>
                <w:numId w:val="886"/>
              </w:numPr>
              <w:rPr>
                <w:lang w:eastAsia="fr-CA"/>
              </w:rPr>
            </w:pPr>
            <w:r>
              <w:rPr>
                <w:lang w:eastAsia="fr-CA"/>
              </w:rPr>
              <w:t>Diarrhées</w:t>
            </w:r>
          </w:p>
          <w:p w:rsidR="00F310CF" w:rsidRDefault="00F310CF" w:rsidP="005D429F">
            <w:pPr>
              <w:pStyle w:val="Sansinterligne"/>
              <w:numPr>
                <w:ilvl w:val="0"/>
                <w:numId w:val="886"/>
              </w:numPr>
              <w:rPr>
                <w:lang w:eastAsia="fr-CA"/>
              </w:rPr>
            </w:pPr>
            <w:r>
              <w:rPr>
                <w:lang w:eastAsia="fr-CA"/>
              </w:rPr>
              <w:t>Tremblements</w:t>
            </w:r>
          </w:p>
          <w:p w:rsidR="00F310CF" w:rsidRDefault="00F310CF" w:rsidP="005D429F">
            <w:pPr>
              <w:pStyle w:val="Sansinterligne"/>
              <w:numPr>
                <w:ilvl w:val="0"/>
                <w:numId w:val="886"/>
              </w:numPr>
              <w:rPr>
                <w:lang w:eastAsia="fr-CA"/>
              </w:rPr>
            </w:pPr>
            <w:r>
              <w:rPr>
                <w:lang w:eastAsia="fr-CA"/>
              </w:rPr>
              <w:t xml:space="preserve">Goitre </w:t>
            </w:r>
          </w:p>
        </w:tc>
        <w:tc>
          <w:tcPr>
            <w:tcW w:w="3895" w:type="dxa"/>
            <w:tcBorders>
              <w:left w:val="single" w:sz="4" w:space="0" w:color="FFFF00"/>
            </w:tcBorders>
            <w:shd w:val="clear" w:color="auto" w:fill="FFFF00"/>
          </w:tcPr>
          <w:p w:rsidR="00F310CF" w:rsidRDefault="00F310CF" w:rsidP="005D429F">
            <w:pPr>
              <w:pStyle w:val="Sansinterligne"/>
              <w:numPr>
                <w:ilvl w:val="0"/>
                <w:numId w:val="886"/>
              </w:numPr>
              <w:rPr>
                <w:lang w:eastAsia="fr-CA"/>
              </w:rPr>
            </w:pPr>
            <w:r>
              <w:rPr>
                <w:lang w:eastAsia="fr-CA"/>
              </w:rPr>
              <w:t>Exophtalmie (si Maladie de Graves)</w:t>
            </w:r>
          </w:p>
          <w:p w:rsidR="00F310CF" w:rsidRDefault="00F310CF" w:rsidP="005D429F">
            <w:pPr>
              <w:pStyle w:val="Sansinterligne"/>
              <w:numPr>
                <w:ilvl w:val="0"/>
                <w:numId w:val="886"/>
              </w:numPr>
              <w:rPr>
                <w:lang w:eastAsia="fr-CA"/>
              </w:rPr>
            </w:pPr>
            <w:r>
              <w:rPr>
                <w:lang w:eastAsia="fr-CA"/>
              </w:rPr>
              <w:t>Peau chaude et moite</w:t>
            </w:r>
          </w:p>
          <w:p w:rsidR="00F310CF" w:rsidRDefault="00F310CF" w:rsidP="005D429F">
            <w:pPr>
              <w:pStyle w:val="Sansinterligne"/>
              <w:numPr>
                <w:ilvl w:val="0"/>
                <w:numId w:val="886"/>
              </w:numPr>
              <w:rPr>
                <w:lang w:eastAsia="fr-CA"/>
              </w:rPr>
            </w:pPr>
            <w:r>
              <w:rPr>
                <w:lang w:eastAsia="fr-CA"/>
              </w:rPr>
              <w:t>Cheveux fins et cassants</w:t>
            </w:r>
          </w:p>
          <w:p w:rsidR="00F310CF" w:rsidRPr="00820263" w:rsidRDefault="00F310CF" w:rsidP="005D429F">
            <w:pPr>
              <w:pStyle w:val="Sansinterligne"/>
              <w:numPr>
                <w:ilvl w:val="0"/>
                <w:numId w:val="886"/>
              </w:numPr>
              <w:rPr>
                <w:u w:val="single"/>
                <w:lang w:eastAsia="fr-CA"/>
              </w:rPr>
            </w:pPr>
            <w:r w:rsidRPr="00820263">
              <w:rPr>
                <w:u w:val="single"/>
                <w:lang w:eastAsia="fr-CA"/>
              </w:rPr>
              <w:t>Vitesse de croissance accélérée, mais taille finale normale</w:t>
            </w:r>
          </w:p>
        </w:tc>
      </w:tr>
      <w:tr w:rsidR="0053240C" w:rsidRPr="00F92ECD" w:rsidTr="008C30AE">
        <w:tc>
          <w:tcPr>
            <w:tcW w:w="3227" w:type="dxa"/>
            <w:shd w:val="clear" w:color="auto" w:fill="C2D69B" w:themeFill="accent3" w:themeFillTint="99"/>
            <w:vAlign w:val="center"/>
          </w:tcPr>
          <w:p w:rsidR="003349ED" w:rsidRDefault="0053240C" w:rsidP="0053240C">
            <w:pPr>
              <w:pStyle w:val="Sansinterligne"/>
              <w:jc w:val="center"/>
              <w:rPr>
                <w:lang w:eastAsia="fr-CA"/>
              </w:rPr>
            </w:pPr>
            <w:r w:rsidRPr="00F92ECD">
              <w:rPr>
                <w:lang w:eastAsia="fr-CA"/>
              </w:rPr>
              <w:t>Gigantisme hypophysaire</w:t>
            </w:r>
          </w:p>
          <w:p w:rsidR="0053240C" w:rsidRPr="00F92ECD" w:rsidRDefault="003349ED" w:rsidP="0053240C">
            <w:pPr>
              <w:pStyle w:val="Sansinterligne"/>
              <w:jc w:val="center"/>
              <w:rPr>
                <w:lang w:eastAsia="fr-CA"/>
              </w:rPr>
            </w:pPr>
            <w:r>
              <w:rPr>
                <w:lang w:eastAsia="fr-CA"/>
              </w:rPr>
              <w:t>(sécrétion excessive de GH)</w:t>
            </w:r>
            <w:r w:rsidR="0053240C" w:rsidRPr="00F92ECD">
              <w:rPr>
                <w:lang w:eastAsia="fr-CA"/>
              </w:rPr>
              <w:t xml:space="preserve"> </w:t>
            </w:r>
          </w:p>
        </w:tc>
        <w:tc>
          <w:tcPr>
            <w:tcW w:w="3894" w:type="dxa"/>
          </w:tcPr>
          <w:p w:rsidR="0053240C" w:rsidRDefault="0053240C" w:rsidP="005D429F">
            <w:pPr>
              <w:pStyle w:val="Sansinterligne"/>
              <w:numPr>
                <w:ilvl w:val="0"/>
                <w:numId w:val="886"/>
              </w:numPr>
              <w:rPr>
                <w:lang w:eastAsia="fr-CA"/>
              </w:rPr>
            </w:pPr>
            <w:r>
              <w:rPr>
                <w:lang w:eastAsia="fr-CA"/>
              </w:rPr>
              <w:t>Associé au syndrome de MEN1</w:t>
            </w:r>
          </w:p>
          <w:p w:rsidR="0053240C" w:rsidRDefault="0053240C" w:rsidP="005D429F">
            <w:pPr>
              <w:pStyle w:val="Sansinterligne"/>
              <w:numPr>
                <w:ilvl w:val="0"/>
                <w:numId w:val="886"/>
              </w:numPr>
              <w:rPr>
                <w:lang w:eastAsia="fr-CA"/>
              </w:rPr>
            </w:pPr>
            <w:r>
              <w:rPr>
                <w:lang w:eastAsia="fr-CA"/>
              </w:rPr>
              <w:t>Très rare</w:t>
            </w:r>
          </w:p>
          <w:p w:rsidR="0053240C" w:rsidRDefault="0053240C" w:rsidP="005D429F">
            <w:pPr>
              <w:pStyle w:val="Sansinterligne"/>
              <w:numPr>
                <w:ilvl w:val="0"/>
                <w:numId w:val="886"/>
              </w:numPr>
              <w:rPr>
                <w:lang w:eastAsia="fr-CA"/>
              </w:rPr>
            </w:pPr>
            <w:r>
              <w:rPr>
                <w:lang w:eastAsia="fr-CA"/>
              </w:rPr>
              <w:t xml:space="preserve">Accélération de croissance précède/ en même temps que </w:t>
            </w:r>
            <w:r>
              <w:rPr>
                <w:rFonts w:ascii="Century Gothic" w:hAnsi="Century Gothic"/>
                <w:lang w:eastAsia="fr-CA"/>
              </w:rPr>
              <w:t>↑</w:t>
            </w:r>
            <w:r>
              <w:rPr>
                <w:lang w:eastAsia="fr-CA"/>
              </w:rPr>
              <w:t xml:space="preserve"> de poids</w:t>
            </w:r>
          </w:p>
        </w:tc>
        <w:tc>
          <w:tcPr>
            <w:tcW w:w="3895" w:type="dxa"/>
          </w:tcPr>
          <w:p w:rsidR="0053240C" w:rsidRDefault="0053240C" w:rsidP="005D429F">
            <w:pPr>
              <w:pStyle w:val="Sansinterligne"/>
              <w:numPr>
                <w:ilvl w:val="0"/>
                <w:numId w:val="886"/>
              </w:numPr>
              <w:rPr>
                <w:lang w:eastAsia="fr-CA"/>
              </w:rPr>
            </w:pPr>
            <w:r>
              <w:rPr>
                <w:lang w:eastAsia="fr-CA"/>
              </w:rPr>
              <w:t>Mains larges</w:t>
            </w:r>
          </w:p>
          <w:p w:rsidR="0053240C" w:rsidRDefault="0053240C" w:rsidP="005D429F">
            <w:pPr>
              <w:pStyle w:val="Sansinterligne"/>
              <w:numPr>
                <w:ilvl w:val="0"/>
                <w:numId w:val="886"/>
              </w:numPr>
              <w:rPr>
                <w:lang w:eastAsia="fr-CA"/>
              </w:rPr>
            </w:pPr>
            <w:r>
              <w:rPr>
                <w:lang w:eastAsia="fr-CA"/>
              </w:rPr>
              <w:t>Prognatisme</w:t>
            </w:r>
          </w:p>
          <w:p w:rsidR="0053240C" w:rsidRPr="00F92ECD" w:rsidRDefault="0053240C" w:rsidP="005D429F">
            <w:pPr>
              <w:pStyle w:val="Sansinterligne"/>
              <w:numPr>
                <w:ilvl w:val="0"/>
                <w:numId w:val="886"/>
              </w:numPr>
              <w:rPr>
                <w:lang w:eastAsia="fr-CA"/>
              </w:rPr>
            </w:pPr>
            <w:r>
              <w:rPr>
                <w:lang w:eastAsia="fr-CA"/>
              </w:rPr>
              <w:t>Diaphorèse</w:t>
            </w:r>
          </w:p>
        </w:tc>
      </w:tr>
      <w:tr w:rsidR="00F92ECD" w:rsidRPr="00F92ECD" w:rsidTr="009A79D7">
        <w:tc>
          <w:tcPr>
            <w:tcW w:w="3227" w:type="dxa"/>
            <w:shd w:val="clear" w:color="auto" w:fill="C2D69B" w:themeFill="accent3" w:themeFillTint="99"/>
            <w:vAlign w:val="center"/>
          </w:tcPr>
          <w:p w:rsidR="00F92ECD" w:rsidRPr="00F92ECD" w:rsidRDefault="00F92ECD" w:rsidP="00434D8E">
            <w:pPr>
              <w:pStyle w:val="Sansinterligne"/>
              <w:jc w:val="center"/>
              <w:rPr>
                <w:lang w:eastAsia="fr-CA"/>
              </w:rPr>
            </w:pPr>
            <w:r w:rsidRPr="00F92ECD">
              <w:rPr>
                <w:lang w:eastAsia="fr-CA"/>
              </w:rPr>
              <w:t>Puberté précoce</w:t>
            </w:r>
          </w:p>
        </w:tc>
        <w:tc>
          <w:tcPr>
            <w:tcW w:w="7789" w:type="dxa"/>
            <w:gridSpan w:val="2"/>
          </w:tcPr>
          <w:p w:rsidR="00F92ECD" w:rsidRPr="00F92ECD" w:rsidRDefault="00FD1587" w:rsidP="00FD1587">
            <w:pPr>
              <w:pStyle w:val="Sansinterligne"/>
              <w:rPr>
                <w:lang w:eastAsia="fr-CA"/>
              </w:rPr>
            </w:pPr>
            <w:r>
              <w:rPr>
                <w:lang w:eastAsia="fr-CA"/>
              </w:rPr>
              <w:t>V</w:t>
            </w:r>
            <w:r w:rsidR="00F92ECD" w:rsidRPr="00F92ECD">
              <w:rPr>
                <w:lang w:eastAsia="fr-CA"/>
              </w:rPr>
              <w:t>oir</w:t>
            </w:r>
            <w:r w:rsidR="00F92ECD">
              <w:rPr>
                <w:lang w:eastAsia="fr-CA"/>
              </w:rPr>
              <w:t xml:space="preserve"> </w:t>
            </w:r>
            <w:r w:rsidR="00F92ECD" w:rsidRPr="00FD1587">
              <w:rPr>
                <w:i/>
                <w:lang w:eastAsia="fr-CA"/>
              </w:rPr>
              <w:t>Développement pubertaire anormal CMC 93</w:t>
            </w:r>
          </w:p>
        </w:tc>
      </w:tr>
    </w:tbl>
    <w:p w:rsidR="00860295" w:rsidRDefault="00860295" w:rsidP="009B6492">
      <w:pPr>
        <w:pStyle w:val="Sansinterligne"/>
        <w:jc w:val="center"/>
        <w:rPr>
          <w:lang w:eastAsia="fr-CA"/>
        </w:rPr>
      </w:pPr>
      <w:r>
        <w:rPr>
          <w:noProof/>
          <w:lang w:eastAsia="fr-CA"/>
        </w:rPr>
        <mc:AlternateContent>
          <mc:Choice Requires="wpg">
            <w:drawing>
              <wp:anchor distT="0" distB="0" distL="114300" distR="114300" simplePos="0" relativeHeight="251910144" behindDoc="0" locked="0" layoutInCell="1" allowOverlap="1" wp14:anchorId="0070D903" wp14:editId="0441F74C">
                <wp:simplePos x="0" y="0"/>
                <wp:positionH relativeFrom="column">
                  <wp:posOffset>953311</wp:posOffset>
                </wp:positionH>
                <wp:positionV relativeFrom="paragraph">
                  <wp:posOffset>26643</wp:posOffset>
                </wp:positionV>
                <wp:extent cx="4523361" cy="2256817"/>
                <wp:effectExtent l="0" t="0" r="0" b="0"/>
                <wp:wrapNone/>
                <wp:docPr id="423" name="Groupe 423"/>
                <wp:cNvGraphicFramePr/>
                <a:graphic xmlns:a="http://schemas.openxmlformats.org/drawingml/2006/main">
                  <a:graphicData uri="http://schemas.microsoft.com/office/word/2010/wordprocessingGroup">
                    <wpg:wgp>
                      <wpg:cNvGrpSpPr/>
                      <wpg:grpSpPr>
                        <a:xfrm>
                          <a:off x="0" y="0"/>
                          <a:ext cx="4523361" cy="2256817"/>
                          <a:chOff x="0" y="0"/>
                          <a:chExt cx="5029200" cy="2597285"/>
                        </a:xfrm>
                      </wpg:grpSpPr>
                      <pic:pic xmlns:pic="http://schemas.openxmlformats.org/drawingml/2006/picture">
                        <pic:nvPicPr>
                          <pic:cNvPr id="425" name="Image 425" descr="Résultats de recherche d'images pour « hypophyse »"/>
                          <pic:cNvPicPr>
                            <a:picLocks noChangeAspect="1"/>
                          </pic:cNvPicPr>
                        </pic:nvPicPr>
                        <pic:blipFill>
                          <a:blip r:embed="rId342">
                            <a:extLst>
                              <a:ext uri="{28A0092B-C50C-407E-A947-70E740481C1C}">
                                <a14:useLocalDpi xmlns:a14="http://schemas.microsoft.com/office/drawing/2010/main" val="0"/>
                              </a:ext>
                            </a:extLst>
                          </a:blip>
                          <a:srcRect/>
                          <a:stretch>
                            <a:fillRect/>
                          </a:stretch>
                        </pic:blipFill>
                        <pic:spPr bwMode="auto">
                          <a:xfrm>
                            <a:off x="0" y="38910"/>
                            <a:ext cx="2558375" cy="2558375"/>
                          </a:xfrm>
                          <a:prstGeom prst="rect">
                            <a:avLst/>
                          </a:prstGeom>
                          <a:noFill/>
                          <a:ln>
                            <a:noFill/>
                          </a:ln>
                        </pic:spPr>
                      </pic:pic>
                      <pic:pic xmlns:pic="http://schemas.openxmlformats.org/drawingml/2006/picture">
                        <pic:nvPicPr>
                          <pic:cNvPr id="426" name="Image 426" descr="Résultats de recherche d'images pour « hyperthyroidie »"/>
                          <pic:cNvPicPr>
                            <a:picLocks noChangeAspect="1"/>
                          </pic:cNvPicPr>
                        </pic:nvPicPr>
                        <pic:blipFill rotWithShape="1">
                          <a:blip r:embed="rId343">
                            <a:extLst>
                              <a:ext uri="{28A0092B-C50C-407E-A947-70E740481C1C}">
                                <a14:useLocalDpi xmlns:a14="http://schemas.microsoft.com/office/drawing/2010/main" val="0"/>
                              </a:ext>
                            </a:extLst>
                          </a:blip>
                          <a:srcRect t="5803"/>
                          <a:stretch/>
                        </pic:blipFill>
                        <pic:spPr bwMode="auto">
                          <a:xfrm>
                            <a:off x="2558375" y="0"/>
                            <a:ext cx="2470825" cy="2597285"/>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id="Groupe 423" o:spid="_x0000_s1026" style="position:absolute;margin-left:75.05pt;margin-top:2.1pt;width:356.15pt;height:177.7pt;z-index:251910144;mso-width-relative:margin;mso-height-relative:margin" coordsize="50292,2597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">
                <v:shape id="Image 425" o:spid="_x0000_s1027" type="#_x0000_t75" alt="Résultats de recherche d'images pour « hypophyse »" style="position:absolute;top:389;width:25583;height:255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VEznDEAAAA3AAAAA8AAABkcnMvZG93bnJldi54bWxEj92KwjAUhO+FfYdwFvZO05X1h65RFlEU&#10;vPHvAQ7NsS02J90k1urTG0HwcpiZb5jJrDWVaMj50rKC714CgjizuuRcwfGw7I5B+ICssbJMCm7k&#10;YTb96Eww1fbKO2r2IRcRwj5FBUUIdSqlzwoy6Hu2Jo7eyTqDIUqXS+3wGuGmkv0kGUqDJceFAmua&#10;F5Sd9xejoDldBm7zv2M9Wtz9drQ6+1oulPr6bP9+QQRqwzv8aq+1gp/+AJ5n4hGQ0w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VEznDEAAAA3AAAAA8AAAAAAAAAAAAAAAAA&#10;nwIAAGRycy9kb3ducmV2LnhtbFBLBQYAAAAABAAEAPcAAACQAwAAAAA=&#10;">
                  <v:imagedata r:id="rId344" o:title="Résultats de recherche d'images pour « hypophyse »"/>
                  <v:path arrowok="t"/>
                </v:shape>
                <v:shape id="Image 426" o:spid="_x0000_s1028" type="#_x0000_t75" alt="Résultats de recherche d'images pour « hyperthyroidie »" style="position:absolute;left:25583;width:24709;height:259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LtWDDDAAAA3AAAAA8AAABkcnMvZG93bnJldi54bWxEj0FrAjEUhO8F/0N4Qm81q9RFVqPIQkHE&#10;g9qC10fy3F1287Imqa7/vikUehxm5htmtRlsJ+7kQ+NYwXSSgSDWzjRcKfj6/HhbgAgR2WDnmBQ8&#10;KcBmPXpZYWHcg090P8dKJAiHAhXUMfaFlEHXZDFMXE+cvKvzFmOSvpLG4yPBbSdnWZZLiw2nhRp7&#10;KmvS7fnbKtiWdDj5tqX5MZ/r8nK88V7nSr2Oh+0SRKQh/of/2juj4H2Ww++ZdATk+g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Qu1YMMMAAADcAAAADwAAAAAAAAAAAAAAAACf&#10;AgAAZHJzL2Rvd25yZXYueG1sUEsFBgAAAAAEAAQA9wAAAI8DAAAAAA==&#10;">
                  <v:imagedata r:id="rId345" o:title="Résultats de recherche d'images pour « hyperthyroidie »" croptop="3803f"/>
                  <v:path arrowok="t"/>
                </v:shape>
              </v:group>
            </w:pict>
          </mc:Fallback>
        </mc:AlternateContent>
      </w:r>
    </w:p>
    <w:p w:rsidR="00860295" w:rsidRDefault="00860295" w:rsidP="009B6492">
      <w:pPr>
        <w:pStyle w:val="Sansinterligne"/>
        <w:jc w:val="center"/>
        <w:rPr>
          <w:lang w:eastAsia="fr-CA"/>
        </w:rPr>
      </w:pPr>
    </w:p>
    <w:p w:rsidR="00860295" w:rsidRDefault="00860295" w:rsidP="009B6492">
      <w:pPr>
        <w:pStyle w:val="Sansinterligne"/>
        <w:jc w:val="center"/>
        <w:rPr>
          <w:lang w:eastAsia="fr-CA"/>
        </w:rPr>
      </w:pPr>
    </w:p>
    <w:p w:rsidR="00860295" w:rsidRDefault="00860295" w:rsidP="009B6492">
      <w:pPr>
        <w:pStyle w:val="Sansinterligne"/>
        <w:jc w:val="center"/>
        <w:rPr>
          <w:lang w:eastAsia="fr-CA"/>
        </w:rPr>
      </w:pPr>
    </w:p>
    <w:p w:rsidR="00860295" w:rsidRDefault="00860295" w:rsidP="009B6492">
      <w:pPr>
        <w:pStyle w:val="Sansinterligne"/>
        <w:jc w:val="center"/>
        <w:rPr>
          <w:lang w:eastAsia="fr-CA"/>
        </w:rPr>
      </w:pPr>
    </w:p>
    <w:p w:rsidR="00860295" w:rsidRDefault="00860295" w:rsidP="009B6492">
      <w:pPr>
        <w:pStyle w:val="Sansinterligne"/>
        <w:jc w:val="center"/>
        <w:rPr>
          <w:lang w:eastAsia="fr-CA"/>
        </w:rPr>
      </w:pPr>
    </w:p>
    <w:p w:rsidR="00860295" w:rsidRDefault="00860295" w:rsidP="009B6492">
      <w:pPr>
        <w:pStyle w:val="Sansinterligne"/>
        <w:jc w:val="center"/>
        <w:rPr>
          <w:lang w:eastAsia="fr-CA"/>
        </w:rPr>
      </w:pPr>
    </w:p>
    <w:p w:rsidR="00860295" w:rsidRDefault="00860295" w:rsidP="009B6492">
      <w:pPr>
        <w:pStyle w:val="Sansinterligne"/>
        <w:jc w:val="center"/>
        <w:rPr>
          <w:lang w:eastAsia="fr-CA"/>
        </w:rPr>
      </w:pPr>
    </w:p>
    <w:p w:rsidR="00860295" w:rsidRDefault="00860295" w:rsidP="009B6492">
      <w:pPr>
        <w:pStyle w:val="Sansinterligne"/>
        <w:jc w:val="center"/>
        <w:rPr>
          <w:lang w:eastAsia="fr-CA"/>
        </w:rPr>
      </w:pPr>
    </w:p>
    <w:p w:rsidR="00860295" w:rsidRDefault="00860295" w:rsidP="009B6492">
      <w:pPr>
        <w:pStyle w:val="Sansinterligne"/>
        <w:jc w:val="center"/>
        <w:rPr>
          <w:lang w:eastAsia="fr-CA"/>
        </w:rPr>
      </w:pPr>
    </w:p>
    <w:p w:rsidR="00860295" w:rsidRDefault="00860295" w:rsidP="009B6492">
      <w:pPr>
        <w:pStyle w:val="Sansinterligne"/>
        <w:jc w:val="center"/>
        <w:rPr>
          <w:lang w:eastAsia="fr-CA"/>
        </w:rPr>
      </w:pPr>
    </w:p>
    <w:p w:rsidR="00860295" w:rsidRDefault="00860295" w:rsidP="009B6492">
      <w:pPr>
        <w:pStyle w:val="Sansinterligne"/>
        <w:jc w:val="center"/>
        <w:rPr>
          <w:lang w:eastAsia="fr-CA"/>
        </w:rPr>
      </w:pPr>
    </w:p>
    <w:p w:rsidR="00860295" w:rsidRDefault="00860295" w:rsidP="009B6492">
      <w:pPr>
        <w:pStyle w:val="Sansinterligne"/>
        <w:jc w:val="center"/>
        <w:rPr>
          <w:lang w:eastAsia="fr-CA"/>
        </w:rPr>
      </w:pPr>
    </w:p>
    <w:tbl>
      <w:tblPr>
        <w:tblStyle w:val="Grilledutableau"/>
        <w:tblW w:w="0" w:type="auto"/>
        <w:tblLook w:val="04A0" w:firstRow="1" w:lastRow="0" w:firstColumn="1" w:lastColumn="0" w:noHBand="0" w:noVBand="1"/>
      </w:tblPr>
      <w:tblGrid>
        <w:gridCol w:w="3227"/>
        <w:gridCol w:w="333"/>
        <w:gridCol w:w="3561"/>
        <w:gridCol w:w="3895"/>
      </w:tblGrid>
      <w:tr w:rsidR="00F71266" w:rsidRPr="00F71266" w:rsidTr="009A79D7">
        <w:tc>
          <w:tcPr>
            <w:tcW w:w="11016" w:type="dxa"/>
            <w:gridSpan w:val="4"/>
            <w:shd w:val="clear" w:color="auto" w:fill="FFC000"/>
          </w:tcPr>
          <w:p w:rsidR="00F71266" w:rsidRPr="00F71266" w:rsidRDefault="00F71266" w:rsidP="00F71266">
            <w:pPr>
              <w:pStyle w:val="Sansinterligne"/>
              <w:jc w:val="center"/>
              <w:rPr>
                <w:lang w:eastAsia="fr-CA"/>
              </w:rPr>
            </w:pPr>
            <w:r>
              <w:rPr>
                <w:lang w:eastAsia="fr-CA"/>
              </w:rPr>
              <w:t>Petite taille</w:t>
            </w:r>
          </w:p>
        </w:tc>
      </w:tr>
      <w:tr w:rsidR="00F71266" w:rsidRPr="00F71266" w:rsidTr="009A79D7">
        <w:tc>
          <w:tcPr>
            <w:tcW w:w="3227" w:type="dxa"/>
            <w:shd w:val="clear" w:color="auto" w:fill="9BBB59" w:themeFill="accent3"/>
          </w:tcPr>
          <w:p w:rsidR="00F71266" w:rsidRPr="00F92ECD" w:rsidRDefault="00F71266" w:rsidP="00AD1551">
            <w:pPr>
              <w:pStyle w:val="Sansinterligne"/>
              <w:jc w:val="center"/>
              <w:rPr>
                <w:i/>
                <w:lang w:eastAsia="fr-CA"/>
              </w:rPr>
            </w:pPr>
            <w:r w:rsidRPr="00F92ECD">
              <w:rPr>
                <w:i/>
                <w:lang w:eastAsia="fr-CA"/>
              </w:rPr>
              <w:t>Diagnostics</w:t>
            </w:r>
          </w:p>
        </w:tc>
        <w:tc>
          <w:tcPr>
            <w:tcW w:w="7789" w:type="dxa"/>
            <w:gridSpan w:val="3"/>
            <w:shd w:val="clear" w:color="auto" w:fill="9BBB59" w:themeFill="accent3"/>
          </w:tcPr>
          <w:p w:rsidR="00F71266" w:rsidRPr="00F92ECD" w:rsidRDefault="00F71266" w:rsidP="00AD1551">
            <w:pPr>
              <w:pStyle w:val="Sansinterligne"/>
              <w:jc w:val="center"/>
              <w:rPr>
                <w:i/>
                <w:lang w:eastAsia="fr-CA"/>
              </w:rPr>
            </w:pPr>
            <w:r w:rsidRPr="00F92ECD">
              <w:rPr>
                <w:i/>
                <w:lang w:eastAsia="fr-CA"/>
              </w:rPr>
              <w:t>Manifestations cliniques</w:t>
            </w:r>
          </w:p>
        </w:tc>
      </w:tr>
      <w:tr w:rsidR="00F71266" w:rsidRPr="00F71266" w:rsidTr="00F11A52">
        <w:tc>
          <w:tcPr>
            <w:tcW w:w="3227" w:type="dxa"/>
            <w:shd w:val="clear" w:color="auto" w:fill="C2D69B" w:themeFill="accent3" w:themeFillTint="99"/>
            <w:vAlign w:val="center"/>
          </w:tcPr>
          <w:p w:rsidR="00F71266" w:rsidRPr="00F71266" w:rsidRDefault="00F71266" w:rsidP="00434D8E">
            <w:pPr>
              <w:pStyle w:val="Sansinterligne"/>
              <w:jc w:val="center"/>
              <w:rPr>
                <w:lang w:eastAsia="fr-CA"/>
              </w:rPr>
            </w:pPr>
            <w:r w:rsidRPr="00F71266">
              <w:rPr>
                <w:lang w:eastAsia="fr-CA"/>
              </w:rPr>
              <w:t>Petite taille familiale</w:t>
            </w:r>
          </w:p>
        </w:tc>
        <w:tc>
          <w:tcPr>
            <w:tcW w:w="7789" w:type="dxa"/>
            <w:gridSpan w:val="3"/>
            <w:shd w:val="clear" w:color="auto" w:fill="FFFF00"/>
          </w:tcPr>
          <w:p w:rsidR="00F71266" w:rsidRDefault="001D5075" w:rsidP="005D429F">
            <w:pPr>
              <w:pStyle w:val="Sansinterligne"/>
              <w:numPr>
                <w:ilvl w:val="0"/>
                <w:numId w:val="888"/>
              </w:numPr>
              <w:rPr>
                <w:lang w:eastAsia="fr-CA"/>
              </w:rPr>
            </w:pPr>
            <w:r>
              <w:rPr>
                <w:lang w:eastAsia="fr-CA"/>
              </w:rPr>
              <w:t>Taille finale située dans la fourchette parentale</w:t>
            </w:r>
          </w:p>
          <w:p w:rsidR="001D5075" w:rsidRDefault="001D5075" w:rsidP="005D429F">
            <w:pPr>
              <w:pStyle w:val="Sansinterligne"/>
              <w:numPr>
                <w:ilvl w:val="0"/>
                <w:numId w:val="888"/>
              </w:numPr>
              <w:rPr>
                <w:lang w:eastAsia="fr-CA"/>
              </w:rPr>
            </w:pPr>
            <w:r>
              <w:rPr>
                <w:lang w:eastAsia="fr-CA"/>
              </w:rPr>
              <w:t>Décélération de la courbe dans les premières années</w:t>
            </w:r>
          </w:p>
          <w:p w:rsidR="001D5075" w:rsidRPr="00F71266" w:rsidRDefault="001D5075" w:rsidP="005D429F">
            <w:pPr>
              <w:pStyle w:val="Sansinterligne"/>
              <w:numPr>
                <w:ilvl w:val="0"/>
                <w:numId w:val="888"/>
              </w:numPr>
              <w:rPr>
                <w:lang w:eastAsia="fr-CA"/>
              </w:rPr>
            </w:pPr>
            <w:r>
              <w:rPr>
                <w:lang w:eastAsia="fr-CA"/>
              </w:rPr>
              <w:t>Stabilisation sous le 3</w:t>
            </w:r>
            <w:r w:rsidRPr="001D5075">
              <w:rPr>
                <w:vertAlign w:val="superscript"/>
                <w:lang w:eastAsia="fr-CA"/>
              </w:rPr>
              <w:t>e</w:t>
            </w:r>
            <w:r>
              <w:rPr>
                <w:lang w:eastAsia="fr-CA"/>
              </w:rPr>
              <w:t xml:space="preserve"> percentile</w:t>
            </w:r>
          </w:p>
        </w:tc>
      </w:tr>
      <w:tr w:rsidR="00F71266" w:rsidRPr="00F71266" w:rsidTr="00F11A52">
        <w:tc>
          <w:tcPr>
            <w:tcW w:w="3227" w:type="dxa"/>
            <w:shd w:val="clear" w:color="auto" w:fill="C2D69B" w:themeFill="accent3" w:themeFillTint="99"/>
            <w:vAlign w:val="center"/>
          </w:tcPr>
          <w:p w:rsidR="00F71266" w:rsidRPr="00F71266" w:rsidRDefault="00F71266" w:rsidP="00434D8E">
            <w:pPr>
              <w:pStyle w:val="Sansinterligne"/>
              <w:jc w:val="center"/>
              <w:rPr>
                <w:lang w:eastAsia="fr-CA"/>
              </w:rPr>
            </w:pPr>
            <w:r w:rsidRPr="00F71266">
              <w:rPr>
                <w:lang w:eastAsia="fr-CA"/>
              </w:rPr>
              <w:t>Retard constitutionnel</w:t>
            </w:r>
          </w:p>
        </w:tc>
        <w:tc>
          <w:tcPr>
            <w:tcW w:w="7789" w:type="dxa"/>
            <w:gridSpan w:val="3"/>
            <w:shd w:val="clear" w:color="auto" w:fill="FFFF00"/>
          </w:tcPr>
          <w:p w:rsidR="00F71266" w:rsidRPr="00F71266" w:rsidRDefault="001D5075" w:rsidP="005D429F">
            <w:pPr>
              <w:pStyle w:val="Sansinterligne"/>
              <w:numPr>
                <w:ilvl w:val="0"/>
                <w:numId w:val="888"/>
              </w:numPr>
              <w:rPr>
                <w:lang w:eastAsia="fr-CA"/>
              </w:rPr>
            </w:pPr>
            <w:r>
              <w:rPr>
                <w:lang w:eastAsia="fr-CA"/>
              </w:rPr>
              <w:t>Histoire familiale de retard de croissance</w:t>
            </w:r>
          </w:p>
        </w:tc>
      </w:tr>
      <w:tr w:rsidR="00FD1587" w:rsidRPr="00F71266" w:rsidTr="009A79D7">
        <w:tc>
          <w:tcPr>
            <w:tcW w:w="3227" w:type="dxa"/>
            <w:shd w:val="clear" w:color="auto" w:fill="C2D69B" w:themeFill="accent3" w:themeFillTint="99"/>
            <w:vAlign w:val="center"/>
          </w:tcPr>
          <w:p w:rsidR="00FD1587" w:rsidRPr="00F71266" w:rsidRDefault="00FD1587" w:rsidP="00382EBF">
            <w:pPr>
              <w:pStyle w:val="Sansinterligne"/>
              <w:jc w:val="center"/>
              <w:rPr>
                <w:lang w:eastAsia="fr-CA"/>
              </w:rPr>
            </w:pPr>
            <w:r>
              <w:rPr>
                <w:lang w:eastAsia="fr-CA"/>
              </w:rPr>
              <w:t xml:space="preserve">Retard de croissance intra-utérin </w:t>
            </w:r>
          </w:p>
        </w:tc>
        <w:tc>
          <w:tcPr>
            <w:tcW w:w="7789" w:type="dxa"/>
            <w:gridSpan w:val="3"/>
          </w:tcPr>
          <w:p w:rsidR="00FD1587" w:rsidRPr="00F71266" w:rsidRDefault="00FD1587" w:rsidP="00AD1551">
            <w:pPr>
              <w:pStyle w:val="Sansinterligne"/>
              <w:rPr>
                <w:lang w:eastAsia="fr-CA"/>
              </w:rPr>
            </w:pPr>
            <w:r>
              <w:rPr>
                <w:lang w:eastAsia="fr-CA"/>
              </w:rPr>
              <w:t xml:space="preserve">Voir </w:t>
            </w:r>
            <w:r w:rsidRPr="00FD1587">
              <w:rPr>
                <w:i/>
              </w:rPr>
              <w:t>Retard staturo-pondéral (chez le nourrisson et l’enfant) CMC 31-2</w:t>
            </w:r>
          </w:p>
        </w:tc>
      </w:tr>
      <w:tr w:rsidR="00F71266" w:rsidRPr="00F71266" w:rsidTr="009A79D7">
        <w:tc>
          <w:tcPr>
            <w:tcW w:w="3227" w:type="dxa"/>
            <w:shd w:val="clear" w:color="auto" w:fill="C2D69B" w:themeFill="accent3" w:themeFillTint="99"/>
            <w:vAlign w:val="center"/>
          </w:tcPr>
          <w:p w:rsidR="00F71266" w:rsidRPr="00F71266" w:rsidRDefault="00F71266" w:rsidP="00434D8E">
            <w:pPr>
              <w:pStyle w:val="Sansinterligne"/>
              <w:jc w:val="center"/>
              <w:rPr>
                <w:lang w:eastAsia="fr-CA"/>
              </w:rPr>
            </w:pPr>
            <w:r w:rsidRPr="00F71266">
              <w:rPr>
                <w:lang w:eastAsia="fr-CA"/>
              </w:rPr>
              <w:t>Puberté retardée</w:t>
            </w:r>
          </w:p>
        </w:tc>
        <w:tc>
          <w:tcPr>
            <w:tcW w:w="7789" w:type="dxa"/>
            <w:gridSpan w:val="3"/>
          </w:tcPr>
          <w:p w:rsidR="00F71266" w:rsidRPr="00F71266" w:rsidRDefault="009379E7" w:rsidP="00AD1551">
            <w:pPr>
              <w:pStyle w:val="Sansinterligne"/>
              <w:rPr>
                <w:lang w:eastAsia="fr-CA"/>
              </w:rPr>
            </w:pPr>
            <w:r w:rsidRPr="00F71266">
              <w:rPr>
                <w:lang w:eastAsia="fr-CA"/>
              </w:rPr>
              <w:t xml:space="preserve">Voir </w:t>
            </w:r>
            <w:r w:rsidRPr="009379E7">
              <w:rPr>
                <w:i/>
                <w:lang w:eastAsia="fr-CA"/>
              </w:rPr>
              <w:t>Développement pubertaire anormal CMC 93</w:t>
            </w:r>
          </w:p>
        </w:tc>
      </w:tr>
      <w:tr w:rsidR="00382EBF" w:rsidRPr="00F71266" w:rsidTr="00382EBF">
        <w:tc>
          <w:tcPr>
            <w:tcW w:w="3227" w:type="dxa"/>
            <w:shd w:val="clear" w:color="auto" w:fill="C2D69B" w:themeFill="accent3" w:themeFillTint="99"/>
            <w:vAlign w:val="center"/>
          </w:tcPr>
          <w:p w:rsidR="00382EBF" w:rsidRPr="00F71266" w:rsidRDefault="00382EBF" w:rsidP="00434D8E">
            <w:pPr>
              <w:pStyle w:val="Sansinterligne"/>
              <w:jc w:val="center"/>
              <w:rPr>
                <w:lang w:eastAsia="fr-CA"/>
              </w:rPr>
            </w:pPr>
            <w:r>
              <w:rPr>
                <w:lang w:eastAsia="fr-CA"/>
              </w:rPr>
              <w:t>Achondroplasie</w:t>
            </w:r>
          </w:p>
        </w:tc>
        <w:tc>
          <w:tcPr>
            <w:tcW w:w="3894" w:type="dxa"/>
            <w:gridSpan w:val="2"/>
            <w:tcBorders>
              <w:right w:val="single" w:sz="4" w:space="0" w:color="FFFFFF" w:themeColor="background1"/>
            </w:tcBorders>
          </w:tcPr>
          <w:p w:rsidR="00382EBF" w:rsidRDefault="00382EBF" w:rsidP="005D429F">
            <w:pPr>
              <w:pStyle w:val="Sansinterligne"/>
              <w:numPr>
                <w:ilvl w:val="0"/>
                <w:numId w:val="887"/>
              </w:numPr>
              <w:rPr>
                <w:lang w:eastAsia="fr-CA"/>
              </w:rPr>
            </w:pPr>
            <w:r>
              <w:rPr>
                <w:lang w:eastAsia="fr-CA"/>
              </w:rPr>
              <w:t>Transmission AD                     (histoire familiale +)</w:t>
            </w:r>
          </w:p>
          <w:p w:rsidR="00382EBF" w:rsidRDefault="00382EBF" w:rsidP="005D429F">
            <w:pPr>
              <w:pStyle w:val="Sansinterligne"/>
              <w:numPr>
                <w:ilvl w:val="0"/>
                <w:numId w:val="887"/>
              </w:numPr>
              <w:rPr>
                <w:lang w:eastAsia="fr-CA"/>
              </w:rPr>
            </w:pPr>
            <w:r>
              <w:rPr>
                <w:lang w:eastAsia="fr-CA"/>
              </w:rPr>
              <w:t>Macrocéphalie</w:t>
            </w:r>
          </w:p>
          <w:p w:rsidR="00382EBF" w:rsidRDefault="00382EBF" w:rsidP="005D429F">
            <w:pPr>
              <w:pStyle w:val="Sansinterligne"/>
              <w:numPr>
                <w:ilvl w:val="0"/>
                <w:numId w:val="887"/>
              </w:numPr>
              <w:rPr>
                <w:lang w:eastAsia="fr-CA"/>
              </w:rPr>
            </w:pPr>
            <w:r>
              <w:rPr>
                <w:lang w:eastAsia="fr-CA"/>
              </w:rPr>
              <w:t>Hypoplasie médiane du visage</w:t>
            </w:r>
          </w:p>
        </w:tc>
        <w:tc>
          <w:tcPr>
            <w:tcW w:w="3895" w:type="dxa"/>
            <w:tcBorders>
              <w:left w:val="single" w:sz="4" w:space="0" w:color="FFFFFF" w:themeColor="background1"/>
            </w:tcBorders>
          </w:tcPr>
          <w:p w:rsidR="00382EBF" w:rsidRDefault="00382EBF" w:rsidP="005D429F">
            <w:pPr>
              <w:pStyle w:val="Sansinterligne"/>
              <w:numPr>
                <w:ilvl w:val="0"/>
                <w:numId w:val="887"/>
              </w:numPr>
              <w:rPr>
                <w:lang w:eastAsia="fr-CA"/>
              </w:rPr>
            </w:pPr>
            <w:r>
              <w:rPr>
                <w:lang w:eastAsia="fr-CA"/>
              </w:rPr>
              <w:t>Membres courts                       (surtout portion proximale)</w:t>
            </w:r>
          </w:p>
          <w:p w:rsidR="00382EBF" w:rsidRDefault="00382EBF" w:rsidP="005D429F">
            <w:pPr>
              <w:pStyle w:val="Sansinterligne"/>
              <w:numPr>
                <w:ilvl w:val="0"/>
                <w:numId w:val="887"/>
              </w:numPr>
              <w:rPr>
                <w:lang w:eastAsia="fr-CA"/>
              </w:rPr>
            </w:pPr>
            <w:r>
              <w:rPr>
                <w:lang w:eastAsia="fr-CA"/>
              </w:rPr>
              <w:t>Jambes arquées</w:t>
            </w:r>
          </w:p>
          <w:p w:rsidR="00382EBF" w:rsidRPr="00F71266" w:rsidRDefault="00382EBF" w:rsidP="005D429F">
            <w:pPr>
              <w:pStyle w:val="Sansinterligne"/>
              <w:numPr>
                <w:ilvl w:val="0"/>
                <w:numId w:val="887"/>
              </w:numPr>
              <w:rPr>
                <w:lang w:eastAsia="fr-CA"/>
              </w:rPr>
            </w:pPr>
            <w:r>
              <w:rPr>
                <w:lang w:eastAsia="fr-CA"/>
              </w:rPr>
              <w:t>Lordose lombaire</w:t>
            </w:r>
          </w:p>
        </w:tc>
      </w:tr>
      <w:tr w:rsidR="00F11A52" w:rsidRPr="00F71266" w:rsidTr="008C30AE">
        <w:tc>
          <w:tcPr>
            <w:tcW w:w="3227" w:type="dxa"/>
            <w:shd w:val="clear" w:color="auto" w:fill="C2D69B" w:themeFill="accent3" w:themeFillTint="99"/>
            <w:vAlign w:val="center"/>
          </w:tcPr>
          <w:p w:rsidR="00F11A52" w:rsidRPr="00F71266" w:rsidRDefault="00F11A52" w:rsidP="00434D8E">
            <w:pPr>
              <w:pStyle w:val="Sansinterligne"/>
              <w:jc w:val="center"/>
              <w:rPr>
                <w:lang w:eastAsia="fr-CA"/>
              </w:rPr>
            </w:pPr>
            <w:r w:rsidRPr="00F71266">
              <w:rPr>
                <w:lang w:eastAsia="fr-CA"/>
              </w:rPr>
              <w:t>Rachitisme</w:t>
            </w:r>
          </w:p>
        </w:tc>
        <w:tc>
          <w:tcPr>
            <w:tcW w:w="3894" w:type="dxa"/>
            <w:gridSpan w:val="2"/>
          </w:tcPr>
          <w:p w:rsidR="00F11A52" w:rsidRDefault="00F11A52" w:rsidP="005D429F">
            <w:pPr>
              <w:pStyle w:val="Sansinterligne"/>
              <w:numPr>
                <w:ilvl w:val="0"/>
                <w:numId w:val="887"/>
              </w:numPr>
              <w:rPr>
                <w:lang w:eastAsia="fr-CA"/>
              </w:rPr>
            </w:pPr>
            <w:r>
              <w:rPr>
                <w:lang w:eastAsia="fr-CA"/>
              </w:rPr>
              <w:t xml:space="preserve">Hx de carence en vitamine D / calcium </w:t>
            </w:r>
          </w:p>
          <w:p w:rsidR="00F11A52" w:rsidRDefault="00F11A52" w:rsidP="00F11A52">
            <w:pPr>
              <w:pStyle w:val="Sansinterligne"/>
              <w:ind w:left="360"/>
              <w:rPr>
                <w:lang w:eastAsia="fr-CA"/>
              </w:rPr>
            </w:pPr>
            <w:r>
              <w:rPr>
                <w:lang w:eastAsia="fr-CA"/>
              </w:rPr>
              <w:t>(réfugiés, négligence sévère, etc.)</w:t>
            </w:r>
          </w:p>
          <w:p w:rsidR="00F11A52" w:rsidRDefault="00F11A52" w:rsidP="005D429F">
            <w:pPr>
              <w:pStyle w:val="Sansinterligne"/>
              <w:numPr>
                <w:ilvl w:val="0"/>
                <w:numId w:val="887"/>
              </w:numPr>
              <w:rPr>
                <w:lang w:eastAsia="fr-CA"/>
              </w:rPr>
            </w:pPr>
            <w:r>
              <w:rPr>
                <w:lang w:eastAsia="fr-CA"/>
              </w:rPr>
              <w:t>Bosses frontales et occipitales</w:t>
            </w:r>
          </w:p>
        </w:tc>
        <w:tc>
          <w:tcPr>
            <w:tcW w:w="3895" w:type="dxa"/>
          </w:tcPr>
          <w:p w:rsidR="00F11A52" w:rsidRDefault="00F11A52" w:rsidP="005D429F">
            <w:pPr>
              <w:pStyle w:val="Sansinterligne"/>
              <w:numPr>
                <w:ilvl w:val="0"/>
                <w:numId w:val="887"/>
              </w:numPr>
              <w:rPr>
                <w:lang w:eastAsia="fr-CA"/>
              </w:rPr>
            </w:pPr>
            <w:r>
              <w:rPr>
                <w:lang w:eastAsia="fr-CA"/>
              </w:rPr>
              <w:t>Retard de fermeture des fontanelles Jambes arquées</w:t>
            </w:r>
          </w:p>
          <w:p w:rsidR="00F11A52" w:rsidRPr="00F71266" w:rsidRDefault="00F11A52" w:rsidP="005D429F">
            <w:pPr>
              <w:pStyle w:val="Sansinterligne"/>
              <w:numPr>
                <w:ilvl w:val="0"/>
                <w:numId w:val="887"/>
              </w:numPr>
              <w:rPr>
                <w:lang w:eastAsia="fr-CA"/>
              </w:rPr>
            </w:pPr>
            <w:r>
              <w:rPr>
                <w:lang w:eastAsia="fr-CA"/>
              </w:rPr>
              <w:t>Radius et ulna distal arqués (progressif)</w:t>
            </w:r>
          </w:p>
        </w:tc>
      </w:tr>
      <w:tr w:rsidR="00F71266" w:rsidRPr="00F71266" w:rsidTr="009A79D7">
        <w:tc>
          <w:tcPr>
            <w:tcW w:w="3227" w:type="dxa"/>
            <w:shd w:val="clear" w:color="auto" w:fill="C2D69B" w:themeFill="accent3" w:themeFillTint="99"/>
            <w:vAlign w:val="center"/>
          </w:tcPr>
          <w:p w:rsidR="00F71266" w:rsidRPr="00F71266" w:rsidRDefault="00F71266" w:rsidP="00434D8E">
            <w:pPr>
              <w:pStyle w:val="Sansinterligne"/>
              <w:jc w:val="center"/>
              <w:rPr>
                <w:lang w:eastAsia="fr-CA"/>
              </w:rPr>
            </w:pPr>
            <w:r w:rsidRPr="00F71266">
              <w:rPr>
                <w:lang w:eastAsia="fr-CA"/>
              </w:rPr>
              <w:t>Hypothyroïdie</w:t>
            </w:r>
          </w:p>
        </w:tc>
        <w:tc>
          <w:tcPr>
            <w:tcW w:w="7789" w:type="dxa"/>
            <w:gridSpan w:val="3"/>
          </w:tcPr>
          <w:p w:rsidR="00F71266" w:rsidRDefault="00B31355" w:rsidP="005D429F">
            <w:pPr>
              <w:pStyle w:val="Sansinterligne"/>
              <w:numPr>
                <w:ilvl w:val="0"/>
                <w:numId w:val="890"/>
              </w:numPr>
              <w:rPr>
                <w:lang w:eastAsia="fr-CA"/>
              </w:rPr>
            </w:pPr>
            <w:r>
              <w:rPr>
                <w:lang w:eastAsia="fr-CA"/>
              </w:rPr>
              <w:t>Symptômes d’hypothyroïdie</w:t>
            </w:r>
          </w:p>
          <w:p w:rsidR="00B31355" w:rsidRPr="00F71266" w:rsidRDefault="00B31355" w:rsidP="005D429F">
            <w:pPr>
              <w:pStyle w:val="Sansinterligne"/>
              <w:numPr>
                <w:ilvl w:val="0"/>
                <w:numId w:val="890"/>
              </w:numPr>
              <w:rPr>
                <w:lang w:eastAsia="fr-CA"/>
              </w:rPr>
            </w:pPr>
            <w:r>
              <w:rPr>
                <w:lang w:eastAsia="fr-CA"/>
              </w:rPr>
              <w:t>Âge osseux retardé</w:t>
            </w:r>
          </w:p>
        </w:tc>
      </w:tr>
      <w:tr w:rsidR="00EA2FAF" w:rsidRPr="00F71266" w:rsidTr="00EA2FAF">
        <w:tc>
          <w:tcPr>
            <w:tcW w:w="3227" w:type="dxa"/>
            <w:shd w:val="clear" w:color="auto" w:fill="C2D69B" w:themeFill="accent3" w:themeFillTint="99"/>
            <w:vAlign w:val="center"/>
          </w:tcPr>
          <w:p w:rsidR="00EA2FAF" w:rsidRDefault="00EA2FAF" w:rsidP="00434D8E">
            <w:pPr>
              <w:pStyle w:val="Sansinterligne"/>
              <w:jc w:val="center"/>
              <w:rPr>
                <w:lang w:eastAsia="fr-CA"/>
              </w:rPr>
            </w:pPr>
            <w:r w:rsidRPr="00F71266">
              <w:rPr>
                <w:lang w:eastAsia="fr-CA"/>
              </w:rPr>
              <w:t>Syndrome de Cushing</w:t>
            </w:r>
          </w:p>
          <w:p w:rsidR="00EA2FAF" w:rsidRPr="00F71266" w:rsidRDefault="00EA2FAF" w:rsidP="00EA2FAF">
            <w:pPr>
              <w:pStyle w:val="Sansinterligne"/>
              <w:jc w:val="center"/>
              <w:rPr>
                <w:lang w:eastAsia="fr-CA"/>
              </w:rPr>
            </w:pPr>
            <w:r>
              <w:rPr>
                <w:lang w:eastAsia="fr-CA"/>
              </w:rPr>
              <w:t>(Maladie de Cushing, iatrogène)</w:t>
            </w:r>
          </w:p>
        </w:tc>
        <w:tc>
          <w:tcPr>
            <w:tcW w:w="3894" w:type="dxa"/>
            <w:gridSpan w:val="2"/>
            <w:tcBorders>
              <w:right w:val="single" w:sz="4" w:space="0" w:color="FFFF00"/>
            </w:tcBorders>
            <w:shd w:val="clear" w:color="auto" w:fill="FFFF00"/>
          </w:tcPr>
          <w:p w:rsidR="00EA2FAF" w:rsidRDefault="00EA2FAF" w:rsidP="005D429F">
            <w:pPr>
              <w:pStyle w:val="Sansinterligne"/>
              <w:numPr>
                <w:ilvl w:val="0"/>
                <w:numId w:val="890"/>
              </w:numPr>
              <w:rPr>
                <w:lang w:eastAsia="fr-CA"/>
              </w:rPr>
            </w:pPr>
            <w:r>
              <w:rPr>
                <w:lang w:eastAsia="fr-CA"/>
              </w:rPr>
              <w:t>Gain pondéral se poursuit</w:t>
            </w:r>
          </w:p>
          <w:p w:rsidR="00EA2FAF" w:rsidRDefault="00EA2FAF" w:rsidP="005D429F">
            <w:pPr>
              <w:pStyle w:val="Sansinterligne"/>
              <w:numPr>
                <w:ilvl w:val="0"/>
                <w:numId w:val="890"/>
              </w:numPr>
              <w:rPr>
                <w:lang w:eastAsia="fr-CA"/>
              </w:rPr>
            </w:pPr>
            <w:r>
              <w:rPr>
                <w:lang w:eastAsia="fr-CA"/>
              </w:rPr>
              <w:t>Croissance staturale arrêtée</w:t>
            </w:r>
          </w:p>
          <w:p w:rsidR="00EA2FAF" w:rsidRDefault="00EA2FAF" w:rsidP="005D429F">
            <w:pPr>
              <w:pStyle w:val="Sansinterligne"/>
              <w:numPr>
                <w:ilvl w:val="0"/>
                <w:numId w:val="890"/>
              </w:numPr>
              <w:rPr>
                <w:lang w:eastAsia="fr-CA"/>
              </w:rPr>
            </w:pPr>
            <w:r>
              <w:rPr>
                <w:lang w:eastAsia="fr-CA"/>
              </w:rPr>
              <w:t>Prise de corticothérapie prolongée ou à dose élevée (asthme, maladie cutanée)</w:t>
            </w:r>
          </w:p>
          <w:p w:rsidR="00EA2FAF" w:rsidRDefault="00EA2FAF" w:rsidP="00AD1551">
            <w:pPr>
              <w:pStyle w:val="Sansinterligne"/>
              <w:rPr>
                <w:lang w:eastAsia="fr-CA"/>
              </w:rPr>
            </w:pPr>
          </w:p>
        </w:tc>
        <w:tc>
          <w:tcPr>
            <w:tcW w:w="3895" w:type="dxa"/>
            <w:tcBorders>
              <w:left w:val="single" w:sz="4" w:space="0" w:color="FFFF00"/>
            </w:tcBorders>
            <w:shd w:val="clear" w:color="auto" w:fill="FFFF00"/>
          </w:tcPr>
          <w:p w:rsidR="00EA2FAF" w:rsidRDefault="00EA2FAF" w:rsidP="005D429F">
            <w:pPr>
              <w:pStyle w:val="Sansinterligne"/>
              <w:numPr>
                <w:ilvl w:val="0"/>
                <w:numId w:val="890"/>
              </w:numPr>
              <w:rPr>
                <w:lang w:eastAsia="fr-CA"/>
              </w:rPr>
            </w:pPr>
            <w:r>
              <w:rPr>
                <w:lang w:eastAsia="fr-CA"/>
              </w:rPr>
              <w:t>Obésité centrale</w:t>
            </w:r>
          </w:p>
          <w:p w:rsidR="00EA2FAF" w:rsidRDefault="00EA2FAF" w:rsidP="005D429F">
            <w:pPr>
              <w:pStyle w:val="Sansinterligne"/>
              <w:numPr>
                <w:ilvl w:val="0"/>
                <w:numId w:val="890"/>
              </w:numPr>
              <w:rPr>
                <w:lang w:eastAsia="fr-CA"/>
              </w:rPr>
            </w:pPr>
            <w:r>
              <w:rPr>
                <w:lang w:eastAsia="fr-CA"/>
              </w:rPr>
              <w:t xml:space="preserve">Faciès lunaire </w:t>
            </w:r>
          </w:p>
          <w:p w:rsidR="00EA2FAF" w:rsidRDefault="00EA2FAF" w:rsidP="005D429F">
            <w:pPr>
              <w:pStyle w:val="Sansinterligne"/>
              <w:numPr>
                <w:ilvl w:val="0"/>
                <w:numId w:val="890"/>
              </w:numPr>
              <w:rPr>
                <w:lang w:eastAsia="fr-CA"/>
              </w:rPr>
            </w:pPr>
            <w:r>
              <w:rPr>
                <w:lang w:eastAsia="fr-CA"/>
              </w:rPr>
              <w:t>Bosse de bison</w:t>
            </w:r>
          </w:p>
          <w:p w:rsidR="00EA2FAF" w:rsidRDefault="00EA2FAF" w:rsidP="005D429F">
            <w:pPr>
              <w:pStyle w:val="Sansinterligne"/>
              <w:numPr>
                <w:ilvl w:val="0"/>
                <w:numId w:val="890"/>
              </w:numPr>
              <w:rPr>
                <w:lang w:eastAsia="fr-CA"/>
              </w:rPr>
            </w:pPr>
            <w:r>
              <w:rPr>
                <w:lang w:eastAsia="fr-CA"/>
              </w:rPr>
              <w:t>Hypertension artérielle</w:t>
            </w:r>
          </w:p>
          <w:p w:rsidR="00EA2FAF" w:rsidRDefault="00EA2FAF" w:rsidP="005D429F">
            <w:pPr>
              <w:pStyle w:val="Sansinterligne"/>
              <w:numPr>
                <w:ilvl w:val="0"/>
                <w:numId w:val="890"/>
              </w:numPr>
              <w:rPr>
                <w:lang w:eastAsia="fr-CA"/>
              </w:rPr>
            </w:pPr>
            <w:r>
              <w:rPr>
                <w:lang w:eastAsia="fr-CA"/>
              </w:rPr>
              <w:t>Hypertrichose</w:t>
            </w:r>
          </w:p>
          <w:p w:rsidR="00EA2FAF" w:rsidRPr="00F71266" w:rsidRDefault="00EA2FAF" w:rsidP="005D429F">
            <w:pPr>
              <w:pStyle w:val="Sansinterligne"/>
              <w:numPr>
                <w:ilvl w:val="0"/>
                <w:numId w:val="890"/>
              </w:numPr>
              <w:rPr>
                <w:lang w:eastAsia="fr-CA"/>
              </w:rPr>
            </w:pPr>
            <w:r>
              <w:rPr>
                <w:lang w:eastAsia="fr-CA"/>
              </w:rPr>
              <w:t>Vergetures</w:t>
            </w:r>
          </w:p>
        </w:tc>
      </w:tr>
      <w:tr w:rsidR="00530421" w:rsidRPr="00F71266" w:rsidTr="00530421">
        <w:tc>
          <w:tcPr>
            <w:tcW w:w="3227" w:type="dxa"/>
            <w:shd w:val="clear" w:color="auto" w:fill="C2D69B" w:themeFill="accent3" w:themeFillTint="99"/>
            <w:vAlign w:val="center"/>
          </w:tcPr>
          <w:p w:rsidR="00530421" w:rsidRDefault="00530421" w:rsidP="00434D8E">
            <w:pPr>
              <w:pStyle w:val="Sansinterligne"/>
              <w:jc w:val="center"/>
              <w:rPr>
                <w:lang w:eastAsia="fr-CA"/>
              </w:rPr>
            </w:pPr>
            <w:r w:rsidRPr="00F71266">
              <w:rPr>
                <w:lang w:eastAsia="fr-CA"/>
              </w:rPr>
              <w:t>Déficit en hormone de croissance</w:t>
            </w:r>
          </w:p>
          <w:p w:rsidR="00530421" w:rsidRPr="00F71266" w:rsidRDefault="00530421" w:rsidP="00434D8E">
            <w:pPr>
              <w:pStyle w:val="Sansinterligne"/>
              <w:jc w:val="center"/>
              <w:rPr>
                <w:lang w:eastAsia="fr-CA"/>
              </w:rPr>
            </w:pPr>
            <w:r>
              <w:rPr>
                <w:lang w:eastAsia="fr-CA"/>
              </w:rPr>
              <w:t>(idiopathique, génétique ou traumatique)</w:t>
            </w:r>
          </w:p>
        </w:tc>
        <w:tc>
          <w:tcPr>
            <w:tcW w:w="3894" w:type="dxa"/>
            <w:gridSpan w:val="2"/>
            <w:tcBorders>
              <w:right w:val="single" w:sz="4" w:space="0" w:color="FFFFFF" w:themeColor="background1"/>
            </w:tcBorders>
          </w:tcPr>
          <w:p w:rsidR="00530421" w:rsidRDefault="00530421" w:rsidP="005D429F">
            <w:pPr>
              <w:pStyle w:val="Sansinterligne"/>
              <w:numPr>
                <w:ilvl w:val="0"/>
                <w:numId w:val="890"/>
              </w:numPr>
              <w:rPr>
                <w:lang w:eastAsia="fr-CA"/>
              </w:rPr>
            </w:pPr>
            <w:r>
              <w:rPr>
                <w:lang w:eastAsia="fr-CA"/>
              </w:rPr>
              <w:t>Histoire de trauma ou chirurgie ou radioTx crânienne</w:t>
            </w:r>
          </w:p>
          <w:p w:rsidR="00530421" w:rsidRDefault="00530421" w:rsidP="00AD1551">
            <w:pPr>
              <w:pStyle w:val="Sansinterligne"/>
              <w:rPr>
                <w:lang w:eastAsia="fr-CA"/>
              </w:rPr>
            </w:pPr>
          </w:p>
        </w:tc>
        <w:tc>
          <w:tcPr>
            <w:tcW w:w="3895" w:type="dxa"/>
            <w:tcBorders>
              <w:left w:val="single" w:sz="4" w:space="0" w:color="FFFFFF" w:themeColor="background1"/>
            </w:tcBorders>
          </w:tcPr>
          <w:p w:rsidR="00530421" w:rsidRDefault="00530421" w:rsidP="005D429F">
            <w:pPr>
              <w:pStyle w:val="Sansinterligne"/>
              <w:numPr>
                <w:ilvl w:val="0"/>
                <w:numId w:val="890"/>
              </w:numPr>
              <w:rPr>
                <w:lang w:eastAsia="fr-CA"/>
              </w:rPr>
            </w:pPr>
            <w:r>
              <w:rPr>
                <w:lang w:eastAsia="fr-CA"/>
              </w:rPr>
              <w:t xml:space="preserve">Front bombé </w:t>
            </w:r>
          </w:p>
          <w:p w:rsidR="00530421" w:rsidRDefault="00530421" w:rsidP="005D429F">
            <w:pPr>
              <w:pStyle w:val="Sansinterligne"/>
              <w:numPr>
                <w:ilvl w:val="0"/>
                <w:numId w:val="890"/>
              </w:numPr>
              <w:rPr>
                <w:lang w:eastAsia="fr-CA"/>
              </w:rPr>
            </w:pPr>
            <w:r>
              <w:rPr>
                <w:lang w:eastAsia="fr-CA"/>
              </w:rPr>
              <w:t>Micropénis</w:t>
            </w:r>
          </w:p>
          <w:p w:rsidR="00530421" w:rsidRPr="00F71266" w:rsidRDefault="00530421" w:rsidP="005D429F">
            <w:pPr>
              <w:pStyle w:val="Sansinterligne"/>
              <w:numPr>
                <w:ilvl w:val="0"/>
                <w:numId w:val="890"/>
              </w:numPr>
              <w:rPr>
                <w:lang w:eastAsia="fr-CA"/>
              </w:rPr>
            </w:pPr>
            <w:r>
              <w:rPr>
                <w:lang w:eastAsia="fr-CA"/>
              </w:rPr>
              <w:t>Retard statural isolé</w:t>
            </w:r>
          </w:p>
        </w:tc>
      </w:tr>
      <w:tr w:rsidR="00B31355" w:rsidRPr="00F71266" w:rsidTr="00B31355">
        <w:tc>
          <w:tcPr>
            <w:tcW w:w="3227" w:type="dxa"/>
            <w:shd w:val="clear" w:color="auto" w:fill="C2D69B" w:themeFill="accent3" w:themeFillTint="99"/>
            <w:vAlign w:val="center"/>
          </w:tcPr>
          <w:p w:rsidR="00B31355" w:rsidRPr="00F71266" w:rsidRDefault="00B31355" w:rsidP="00434D8E">
            <w:pPr>
              <w:pStyle w:val="Sansinterligne"/>
              <w:jc w:val="center"/>
              <w:rPr>
                <w:lang w:eastAsia="fr-CA"/>
              </w:rPr>
            </w:pPr>
            <w:r>
              <w:rPr>
                <w:lang w:eastAsia="fr-CA"/>
              </w:rPr>
              <w:t>Nanisme par carence affective</w:t>
            </w:r>
          </w:p>
        </w:tc>
        <w:tc>
          <w:tcPr>
            <w:tcW w:w="7789" w:type="dxa"/>
            <w:gridSpan w:val="3"/>
            <w:shd w:val="clear" w:color="auto" w:fill="FFFF00"/>
          </w:tcPr>
          <w:p w:rsidR="00B31355" w:rsidRDefault="00B31355" w:rsidP="005D429F">
            <w:pPr>
              <w:pStyle w:val="Sansinterligne"/>
              <w:numPr>
                <w:ilvl w:val="0"/>
                <w:numId w:val="889"/>
              </w:numPr>
              <w:rPr>
                <w:lang w:eastAsia="fr-CA"/>
              </w:rPr>
            </w:pPr>
            <w:r>
              <w:rPr>
                <w:lang w:eastAsia="fr-CA"/>
              </w:rPr>
              <w:t>Croissance ralentie ou arrêtée</w:t>
            </w:r>
          </w:p>
          <w:p w:rsidR="00B31355" w:rsidRPr="00F71266" w:rsidRDefault="00B31355" w:rsidP="005D429F">
            <w:pPr>
              <w:pStyle w:val="Sansinterligne"/>
              <w:numPr>
                <w:ilvl w:val="0"/>
                <w:numId w:val="889"/>
              </w:numPr>
              <w:rPr>
                <w:lang w:eastAsia="fr-CA"/>
              </w:rPr>
            </w:pPr>
            <w:r>
              <w:rPr>
                <w:lang w:eastAsia="fr-CA"/>
              </w:rPr>
              <w:t>Contexte familial ou social perturbé ou suspect</w:t>
            </w:r>
          </w:p>
        </w:tc>
      </w:tr>
      <w:tr w:rsidR="00797A12" w:rsidRPr="00F71266" w:rsidTr="009A79D7">
        <w:tc>
          <w:tcPr>
            <w:tcW w:w="3227" w:type="dxa"/>
            <w:shd w:val="clear" w:color="auto" w:fill="C2D69B" w:themeFill="accent3" w:themeFillTint="99"/>
            <w:vAlign w:val="center"/>
          </w:tcPr>
          <w:p w:rsidR="00797A12" w:rsidRPr="00F71266" w:rsidRDefault="00797A12" w:rsidP="00434D8E">
            <w:pPr>
              <w:pStyle w:val="Sansinterligne"/>
              <w:jc w:val="center"/>
              <w:rPr>
                <w:lang w:eastAsia="fr-CA"/>
              </w:rPr>
            </w:pPr>
            <w:r>
              <w:rPr>
                <w:lang w:eastAsia="fr-CA"/>
              </w:rPr>
              <w:t>Maladie chronique</w:t>
            </w:r>
          </w:p>
        </w:tc>
        <w:tc>
          <w:tcPr>
            <w:tcW w:w="7789" w:type="dxa"/>
            <w:gridSpan w:val="3"/>
          </w:tcPr>
          <w:p w:rsidR="00797A12" w:rsidRPr="00F71266" w:rsidRDefault="00797A12" w:rsidP="00AD1551">
            <w:pPr>
              <w:pStyle w:val="Sansinterligne"/>
              <w:rPr>
                <w:lang w:eastAsia="fr-CA"/>
              </w:rPr>
            </w:pPr>
            <w:r>
              <w:rPr>
                <w:lang w:eastAsia="fr-CA"/>
              </w:rPr>
              <w:t>Selon la maladie en cause</w:t>
            </w:r>
          </w:p>
        </w:tc>
      </w:tr>
      <w:tr w:rsidR="00382EBF" w:rsidRPr="00F71266" w:rsidTr="009A79D7">
        <w:tc>
          <w:tcPr>
            <w:tcW w:w="3227" w:type="dxa"/>
            <w:shd w:val="clear" w:color="auto" w:fill="C2D69B" w:themeFill="accent3" w:themeFillTint="99"/>
            <w:vAlign w:val="center"/>
          </w:tcPr>
          <w:p w:rsidR="00382EBF" w:rsidRDefault="00382EBF" w:rsidP="00434D8E">
            <w:pPr>
              <w:pStyle w:val="Sansinterligne"/>
              <w:jc w:val="center"/>
              <w:rPr>
                <w:lang w:eastAsia="fr-CA"/>
              </w:rPr>
            </w:pPr>
            <w:r>
              <w:rPr>
                <w:lang w:eastAsia="fr-CA"/>
              </w:rPr>
              <w:t xml:space="preserve">Syndrome d’alcoolisation </w:t>
            </w:r>
            <w:r w:rsidR="00B31355">
              <w:rPr>
                <w:lang w:eastAsia="fr-CA"/>
              </w:rPr>
              <w:t>fœtale</w:t>
            </w:r>
          </w:p>
        </w:tc>
        <w:tc>
          <w:tcPr>
            <w:tcW w:w="7789" w:type="dxa"/>
            <w:gridSpan w:val="3"/>
          </w:tcPr>
          <w:p w:rsidR="00382EBF" w:rsidRDefault="00382EBF" w:rsidP="00AD1551">
            <w:pPr>
              <w:pStyle w:val="Sansinterligne"/>
              <w:rPr>
                <w:lang w:eastAsia="fr-CA"/>
              </w:rPr>
            </w:pPr>
            <w:r>
              <w:rPr>
                <w:lang w:eastAsia="fr-CA"/>
              </w:rPr>
              <w:t xml:space="preserve">Voir </w:t>
            </w:r>
            <w:r w:rsidRPr="00FD1587">
              <w:rPr>
                <w:i/>
              </w:rPr>
              <w:t>Retard staturo-pondéral (chez le nourrisson et l’enfant) CMC 31-2</w:t>
            </w:r>
          </w:p>
        </w:tc>
      </w:tr>
      <w:tr w:rsidR="00F06630" w:rsidRPr="00F71266" w:rsidTr="00FE50F1">
        <w:trPr>
          <w:trHeight w:val="1254"/>
        </w:trPr>
        <w:tc>
          <w:tcPr>
            <w:tcW w:w="3560" w:type="dxa"/>
            <w:gridSpan w:val="2"/>
            <w:tcBorders>
              <w:right w:val="single" w:sz="4" w:space="0" w:color="C2D69B" w:themeColor="accent3" w:themeTint="99"/>
            </w:tcBorders>
            <w:shd w:val="clear" w:color="auto" w:fill="C2D69B" w:themeFill="accent3" w:themeFillTint="99"/>
          </w:tcPr>
          <w:p w:rsidR="00F06630" w:rsidRPr="009379E7" w:rsidRDefault="00F06630" w:rsidP="00391DE7">
            <w:pPr>
              <w:pStyle w:val="Sansinterligne"/>
              <w:rPr>
                <w:b/>
                <w:lang w:eastAsia="fr-CA"/>
              </w:rPr>
            </w:pPr>
            <w:r w:rsidRPr="009379E7">
              <w:rPr>
                <w:b/>
                <w:lang w:eastAsia="fr-CA"/>
              </w:rPr>
              <w:t>Dysmorphysmes / syndromes</w:t>
            </w:r>
          </w:p>
          <w:p w:rsidR="00F06630" w:rsidRPr="000C7CCF" w:rsidRDefault="00F06630" w:rsidP="005D429F">
            <w:pPr>
              <w:pStyle w:val="Sansinterligne"/>
              <w:numPr>
                <w:ilvl w:val="0"/>
                <w:numId w:val="882"/>
              </w:numPr>
              <w:rPr>
                <w:i/>
                <w:lang w:eastAsia="fr-CA"/>
              </w:rPr>
            </w:pPr>
            <w:r w:rsidRPr="000C7CCF">
              <w:rPr>
                <w:i/>
                <w:lang w:eastAsia="fr-CA"/>
              </w:rPr>
              <w:t>Syndrome de Turner</w:t>
            </w:r>
          </w:p>
          <w:p w:rsidR="00F06630" w:rsidRPr="000C7CCF" w:rsidRDefault="00F06630" w:rsidP="005D429F">
            <w:pPr>
              <w:pStyle w:val="Sansinterligne"/>
              <w:numPr>
                <w:ilvl w:val="0"/>
                <w:numId w:val="882"/>
              </w:numPr>
              <w:rPr>
                <w:i/>
                <w:lang w:eastAsia="fr-CA"/>
              </w:rPr>
            </w:pPr>
            <w:r w:rsidRPr="000C7CCF">
              <w:rPr>
                <w:i/>
                <w:lang w:eastAsia="fr-CA"/>
              </w:rPr>
              <w:t>Syndrome de Noonan</w:t>
            </w:r>
          </w:p>
          <w:p w:rsidR="00F06630" w:rsidRPr="000C7CCF" w:rsidRDefault="00F06630" w:rsidP="005D429F">
            <w:pPr>
              <w:pStyle w:val="Sansinterligne"/>
              <w:numPr>
                <w:ilvl w:val="0"/>
                <w:numId w:val="882"/>
              </w:numPr>
              <w:rPr>
                <w:i/>
                <w:lang w:eastAsia="fr-CA"/>
              </w:rPr>
            </w:pPr>
            <w:r w:rsidRPr="000C7CCF">
              <w:rPr>
                <w:i/>
                <w:lang w:eastAsia="fr-CA"/>
              </w:rPr>
              <w:t>Syndrome de Down (T21)</w:t>
            </w:r>
          </w:p>
          <w:p w:rsidR="00F06630" w:rsidRPr="00F71266" w:rsidRDefault="00F06630" w:rsidP="005D429F">
            <w:pPr>
              <w:pStyle w:val="Sansinterligne"/>
              <w:numPr>
                <w:ilvl w:val="0"/>
                <w:numId w:val="882"/>
              </w:numPr>
              <w:rPr>
                <w:lang w:eastAsia="fr-CA"/>
              </w:rPr>
            </w:pPr>
            <w:r w:rsidRPr="000C7CCF">
              <w:rPr>
                <w:i/>
                <w:lang w:eastAsia="fr-CA"/>
              </w:rPr>
              <w:t>Syndrome de Cornelia de Lange</w:t>
            </w:r>
          </w:p>
        </w:tc>
        <w:tc>
          <w:tcPr>
            <w:tcW w:w="3561" w:type="dxa"/>
            <w:tcBorders>
              <w:left w:val="single" w:sz="4" w:space="0" w:color="C2D69B" w:themeColor="accent3" w:themeTint="99"/>
            </w:tcBorders>
            <w:shd w:val="clear" w:color="auto" w:fill="C2D69B" w:themeFill="accent3" w:themeFillTint="99"/>
          </w:tcPr>
          <w:p w:rsidR="00D81AED" w:rsidRDefault="00D81AED" w:rsidP="00D81AED">
            <w:pPr>
              <w:pStyle w:val="Sansinterligne"/>
              <w:ind w:left="360"/>
              <w:rPr>
                <w:lang w:eastAsia="fr-CA"/>
              </w:rPr>
            </w:pPr>
          </w:p>
          <w:p w:rsidR="00F06630" w:rsidRPr="00F71266" w:rsidRDefault="00F06630" w:rsidP="005D429F">
            <w:pPr>
              <w:pStyle w:val="Sansinterligne"/>
              <w:numPr>
                <w:ilvl w:val="0"/>
                <w:numId w:val="882"/>
              </w:numPr>
              <w:rPr>
                <w:lang w:eastAsia="fr-CA"/>
              </w:rPr>
            </w:pPr>
            <w:r w:rsidRPr="00F71266">
              <w:rPr>
                <w:lang w:eastAsia="fr-CA"/>
              </w:rPr>
              <w:t>Syndrome de Prader-Willi</w:t>
            </w:r>
          </w:p>
          <w:p w:rsidR="00F06630" w:rsidRDefault="00F06630" w:rsidP="005D429F">
            <w:pPr>
              <w:pStyle w:val="Sansinterligne"/>
              <w:numPr>
                <w:ilvl w:val="0"/>
                <w:numId w:val="882"/>
              </w:numPr>
              <w:rPr>
                <w:lang w:eastAsia="fr-CA"/>
              </w:rPr>
            </w:pPr>
            <w:r w:rsidRPr="00F71266">
              <w:rPr>
                <w:lang w:eastAsia="fr-CA"/>
              </w:rPr>
              <w:t>Syndrome de Russel-Silver</w:t>
            </w:r>
          </w:p>
          <w:p w:rsidR="00F06630" w:rsidRDefault="00F06630" w:rsidP="005D429F">
            <w:pPr>
              <w:pStyle w:val="Sansinterligne"/>
              <w:numPr>
                <w:ilvl w:val="0"/>
                <w:numId w:val="882"/>
              </w:numPr>
              <w:rPr>
                <w:lang w:eastAsia="fr-CA"/>
              </w:rPr>
            </w:pPr>
            <w:r>
              <w:rPr>
                <w:lang w:eastAsia="fr-CA"/>
              </w:rPr>
              <w:t>Syndrome de Rubinstein-Taybi</w:t>
            </w:r>
          </w:p>
          <w:p w:rsidR="00F06630" w:rsidRPr="00F71266" w:rsidRDefault="00F06630" w:rsidP="005D429F">
            <w:pPr>
              <w:pStyle w:val="Sansinterligne"/>
              <w:numPr>
                <w:ilvl w:val="0"/>
                <w:numId w:val="882"/>
              </w:numPr>
              <w:rPr>
                <w:lang w:eastAsia="fr-CA"/>
              </w:rPr>
            </w:pPr>
            <w:r>
              <w:rPr>
                <w:lang w:eastAsia="fr-CA"/>
              </w:rPr>
              <w:t>Syndrome de Williams</w:t>
            </w:r>
          </w:p>
        </w:tc>
        <w:tc>
          <w:tcPr>
            <w:tcW w:w="3895" w:type="dxa"/>
            <w:shd w:val="clear" w:color="auto" w:fill="FFFF00"/>
          </w:tcPr>
          <w:p w:rsidR="00F06630" w:rsidRDefault="00F06630" w:rsidP="00F06630">
            <w:pPr>
              <w:pStyle w:val="Sansinterligne"/>
              <w:jc w:val="center"/>
              <w:rPr>
                <w:lang w:eastAsia="fr-CA"/>
              </w:rPr>
            </w:pPr>
            <w:r w:rsidRPr="00F71266">
              <w:rPr>
                <w:lang w:eastAsia="fr-CA"/>
              </w:rPr>
              <w:t>Voir</w:t>
            </w:r>
          </w:p>
          <w:p w:rsidR="00F06630" w:rsidRPr="00F06630" w:rsidRDefault="00F06630" w:rsidP="00F06630">
            <w:pPr>
              <w:pStyle w:val="Sansinterligne"/>
              <w:jc w:val="center"/>
              <w:rPr>
                <w:i/>
              </w:rPr>
            </w:pPr>
            <w:r w:rsidRPr="009379E7">
              <w:rPr>
                <w:i/>
              </w:rPr>
              <w:t>Anomalies congénitales, dysmorphisme CMC 36-2</w:t>
            </w:r>
          </w:p>
          <w:p w:rsidR="00F06630" w:rsidRPr="00F71266" w:rsidRDefault="00F06630" w:rsidP="00F06630">
            <w:pPr>
              <w:pStyle w:val="Sansinterligne"/>
              <w:jc w:val="center"/>
              <w:rPr>
                <w:lang w:eastAsia="fr-CA"/>
              </w:rPr>
            </w:pPr>
            <w:r w:rsidRPr="009379E7">
              <w:rPr>
                <w:i/>
                <w:lang w:eastAsia="fr-CA"/>
              </w:rPr>
              <w:t>Développement pubertaire anormal CMC 93</w:t>
            </w:r>
          </w:p>
        </w:tc>
      </w:tr>
    </w:tbl>
    <w:p w:rsidR="00FC297A" w:rsidRDefault="00456CEE" w:rsidP="00E40A1D">
      <w:pPr>
        <w:pStyle w:val="Sansinterligne"/>
        <w:rPr>
          <w:lang w:eastAsia="fr-CA"/>
        </w:rPr>
      </w:pPr>
      <w:r>
        <w:rPr>
          <w:noProof/>
          <w:lang w:eastAsia="fr-CA"/>
        </w:rPr>
        <mc:AlternateContent>
          <mc:Choice Requires="wpg">
            <w:drawing>
              <wp:anchor distT="0" distB="0" distL="114300" distR="114300" simplePos="0" relativeHeight="251915264" behindDoc="0" locked="0" layoutInCell="1" allowOverlap="1" wp14:anchorId="71B8E2B8" wp14:editId="5CDE9673">
                <wp:simplePos x="0" y="0"/>
                <wp:positionH relativeFrom="column">
                  <wp:posOffset>1254868</wp:posOffset>
                </wp:positionH>
                <wp:positionV relativeFrom="paragraph">
                  <wp:posOffset>60028</wp:posOffset>
                </wp:positionV>
                <wp:extent cx="4299626" cy="2402732"/>
                <wp:effectExtent l="0" t="0" r="5715" b="17145"/>
                <wp:wrapNone/>
                <wp:docPr id="433" name="Groupe 433"/>
                <wp:cNvGraphicFramePr/>
                <a:graphic xmlns:a="http://schemas.openxmlformats.org/drawingml/2006/main">
                  <a:graphicData uri="http://schemas.microsoft.com/office/word/2010/wordprocessingGroup">
                    <wpg:wgp>
                      <wpg:cNvGrpSpPr/>
                      <wpg:grpSpPr>
                        <a:xfrm>
                          <a:off x="0" y="0"/>
                          <a:ext cx="4299626" cy="2402732"/>
                          <a:chOff x="0" y="0"/>
                          <a:chExt cx="4299626" cy="2402732"/>
                        </a:xfrm>
                      </wpg:grpSpPr>
                      <wpg:grpSp>
                        <wpg:cNvPr id="431" name="Groupe 431"/>
                        <wpg:cNvGrpSpPr/>
                        <wpg:grpSpPr>
                          <a:xfrm>
                            <a:off x="0" y="0"/>
                            <a:ext cx="4299626" cy="2402732"/>
                            <a:chOff x="0" y="0"/>
                            <a:chExt cx="4299626" cy="2402732"/>
                          </a:xfrm>
                        </wpg:grpSpPr>
                        <wpg:grpSp>
                          <wpg:cNvPr id="429" name="Groupe 429"/>
                          <wpg:cNvGrpSpPr/>
                          <wpg:grpSpPr>
                            <a:xfrm>
                              <a:off x="0" y="0"/>
                              <a:ext cx="4299626" cy="2402732"/>
                              <a:chOff x="0" y="0"/>
                              <a:chExt cx="5077838" cy="2947480"/>
                            </a:xfrm>
                          </wpg:grpSpPr>
                          <pic:pic xmlns:pic="http://schemas.openxmlformats.org/drawingml/2006/picture">
                            <pic:nvPicPr>
                              <pic:cNvPr id="427" name="Image 427" descr="Résultats de recherche d'images pour « rachitisme »"/>
                              <pic:cNvPicPr>
                                <a:picLocks noChangeAspect="1"/>
                              </pic:cNvPicPr>
                            </pic:nvPicPr>
                            <pic:blipFill>
                              <a:blip r:embed="rId346">
                                <a:extLst>
                                  <a:ext uri="{28A0092B-C50C-407E-A947-70E740481C1C}">
                                    <a14:useLocalDpi xmlns:a14="http://schemas.microsoft.com/office/drawing/2010/main" val="0"/>
                                  </a:ext>
                                </a:extLst>
                              </a:blip>
                              <a:srcRect/>
                              <a:stretch>
                                <a:fillRect/>
                              </a:stretch>
                            </pic:blipFill>
                            <pic:spPr bwMode="auto">
                              <a:xfrm>
                                <a:off x="2500009" y="68093"/>
                                <a:ext cx="2577829" cy="2869660"/>
                              </a:xfrm>
                              <a:prstGeom prst="rect">
                                <a:avLst/>
                              </a:prstGeom>
                              <a:noFill/>
                              <a:ln>
                                <a:noFill/>
                              </a:ln>
                            </pic:spPr>
                          </pic:pic>
                          <pic:pic xmlns:pic="http://schemas.openxmlformats.org/drawingml/2006/picture">
                            <pic:nvPicPr>
                              <pic:cNvPr id="428" name="Image 428" descr="Résultats de recherche d'images pour « syndrome de turner »"/>
                              <pic:cNvPicPr>
                                <a:picLocks noChangeAspect="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2500009" cy="2947480"/>
                              </a:xfrm>
                              <a:prstGeom prst="rect">
                                <a:avLst/>
                              </a:prstGeom>
                              <a:noFill/>
                              <a:ln>
                                <a:noFill/>
                              </a:ln>
                            </pic:spPr>
                          </pic:pic>
                        </wpg:grpSp>
                        <wps:wsp>
                          <wps:cNvPr id="430" name="Rectangle 430"/>
                          <wps:cNvSpPr/>
                          <wps:spPr>
                            <a:xfrm>
                              <a:off x="1887166" y="2178996"/>
                              <a:ext cx="229680" cy="223209"/>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432" name="Zone de texte 2"/>
                        <wps:cNvSpPr txBox="1">
                          <a:spLocks noChangeArrowheads="1"/>
                        </wps:cNvSpPr>
                        <wps:spPr bwMode="auto">
                          <a:xfrm>
                            <a:off x="1332689" y="48638"/>
                            <a:ext cx="846306" cy="233464"/>
                          </a:xfrm>
                          <a:prstGeom prst="rect">
                            <a:avLst/>
                          </a:prstGeom>
                          <a:noFill/>
                          <a:ln w="9525">
                            <a:noFill/>
                            <a:miter lim="800000"/>
                            <a:headEnd/>
                            <a:tailEnd/>
                          </a:ln>
                        </wps:spPr>
                        <wps:txbx>
                          <w:txbxContent>
                            <w:p w:rsidR="008276DC" w:rsidRPr="00456CEE" w:rsidRDefault="008276DC">
                              <w:pPr>
                                <w:rPr>
                                  <w:b/>
                                </w:rPr>
                              </w:pPr>
                              <w:r w:rsidRPr="00456CEE">
                                <w:rPr>
                                  <w:b/>
                                </w:rPr>
                                <w:t>Turner</w:t>
                              </w:r>
                            </w:p>
                          </w:txbxContent>
                        </wps:txbx>
                        <wps:bodyPr rot="0" vert="horz" wrap="square" lIns="91440" tIns="45720" rIns="91440" bIns="45720" anchor="t" anchorCtr="0">
                          <a:noAutofit/>
                        </wps:bodyPr>
                      </wps:wsp>
                    </wpg:wgp>
                  </a:graphicData>
                </a:graphic>
              </wp:anchor>
            </w:drawing>
          </mc:Choice>
          <mc:Fallback>
            <w:pict>
              <v:group id="Groupe 433" o:spid="_x0000_s1130" style="position:absolute;margin-left:98.8pt;margin-top:4.75pt;width:338.55pt;height:189.2pt;z-index:251915264" coordsize="42996,2402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">
                <v:group id="Groupe 431" o:spid="_x0000_s1131" style="position:absolute;width:42996;height:24027" coordsize="42996,240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4pW/sYAAADcAAAADwAAAGRycy9kb3ducmV2LnhtbESPT2vCQBTE70K/w/IK&#10;vZlNmlpKmlVEaulBCmqh9PbIPpNg9m3Irvnz7V2h4HGYmd8w+Wo0jeipc7VlBUkUgyAurK65VPBz&#10;3M7fQDiPrLGxTAomcrBaPsxyzLQdeE/9wZciQNhlqKDyvs2kdEVFBl1kW+LgnWxn0AfZlVJ3OAS4&#10;aeRzHL9KgzWHhQpb2lRUnA8Xo+BzwGGdJh/97nzaTH/HxffvLiGlnh7H9TsIT6O/h//bX1rBS5rA&#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Hilb+xgAAANwA&#10;AAAPAAAAAAAAAAAAAAAAAKoCAABkcnMvZG93bnJldi54bWxQSwUGAAAAAAQABAD6AAAAnQMAAAAA&#10;">
                  <v:group id="Groupe 429" o:spid="_x0000_s1132" style="position:absolute;width:42996;height:24027" coordsize="50778,294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wlzCXFAAAA3AAA&#10;AA8AAAAAAAAAAAAAAAAAqgIAAGRycy9kb3ducmV2LnhtbFBLBQYAAAAABAAEAPoAAACcAwAAAAA=&#10;">
                    <v:shape id="Image 427" o:spid="_x0000_s1133" type="#_x0000_t75" alt="Résultats de recherche d'images pour « rachitisme »" style="position:absolute;left:25000;top:680;width:25778;height:286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N2FyvEAAAA3AAAAA8AAABkcnMvZG93bnJldi54bWxEj0FrwkAUhO+C/2F5gjezqVgtqauItNBL&#10;C2YDvT6yr0lo9m3YXTX667uFQo/DzHzDbPej7cWFfOgcK3jIchDEtTMdNwoq/bp4AhEissHeMSm4&#10;UYD9bjrZYmHclU90KWMjEoRDgQraGIdCylC3ZDFkbiBO3pfzFmOSvpHG4zXBbS+Xeb6WFjtOCy0O&#10;dGyp/i7PVgHr1d3fkfWj+ais12gOny/vSs1n4+EZRKQx/of/2m9GwWq5gd8z6QjI3Q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N2FyvEAAAA3AAAAA8AAAAAAAAAAAAAAAAA&#10;nwIAAGRycy9kb3ducmV2LnhtbFBLBQYAAAAABAAEAPcAAACQAwAAAAA=&#10;">
                      <v:imagedata r:id="rId348" o:title="Résultats de recherche d'images pour « rachitisme »"/>
                      <v:path arrowok="t"/>
                    </v:shape>
                    <v:shape id="Image 428" o:spid="_x0000_s1134" type="#_x0000_t75" alt="Résultats de recherche d'images pour « syndrome de turner »" style="position:absolute;width:25000;height:294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jPlJDBAAAA3AAAAA8AAABkcnMvZG93bnJldi54bWxET8luwjAQvVfiH6xB4lYcEKIoYBDdCwck&#10;lg8YxUMSsMeR7Sbp39eHSj0+vX216a0RLflQO1YwGWcgiAunay4VXM7vjwsQISJrNI5JwQ8F2KwH&#10;DyvMtev4SO0pliKFcMhRQRVjk0sZiooshrFriBN3dd5iTNCXUnvsUrg1cpplc2mx5tRQYUMvFRX3&#10;07dV8LQrP45vc8/2sH9u/ba7mU/zqtRo2G+XICL18V/85/7SCmbTtDadSUdArn8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jPlJDBAAAA3AAAAA8AAAAAAAAAAAAAAAAAnwIA&#10;AGRycy9kb3ducmV2LnhtbFBLBQYAAAAABAAEAPcAAACNAwAAAAA=&#10;">
                      <v:imagedata r:id="rId349" o:title="Résultats de recherche d'images pour « syndrome de turner »"/>
                      <v:path arrowok="t"/>
                    </v:shape>
                  </v:group>
                  <v:rect id="Rectangle 430" o:spid="_x0000_s1135" style="position:absolute;left:18871;top:21789;width:2297;height:223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EthsIA&#10;AADcAAAADwAAAGRycy9kb3ducmV2LnhtbERPTWsCMRC9F/ofwhR6KZq1tqKrUUqh4KlF68XbsBk3&#10;i5vJkkzXbX99cxA8Pt73ajP4VvUUUxPYwGRcgCKugm24NnD4/hjNQSVBttgGJgO/lGCzvr9bYWnD&#10;hXfU76VWOYRTiQacSFdqnSpHHtM4dMSZO4XoUTKMtbYRLznct/q5KGbaY8O5wWFH746q8/7HG1j8&#10;VV8yD92rk+a4qP3k8xT7J2MeH4a3JSihQW7iq3trDbxM8/x8Jh8Bvf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QS2GwgAAANwAAAAPAAAAAAAAAAAAAAAAAJgCAABkcnMvZG93&#10;bnJldi54bWxQSwUGAAAAAAQABAD1AAAAhwMAAAAA&#10;" fillcolor="white [3212]" strokecolor="white [3212]" strokeweight="2pt"/>
                </v:group>
                <v:shape id="_x0000_s1136" type="#_x0000_t202" style="position:absolute;left:13326;top:486;width:8463;height:23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xNNcUA&#10;AADcAAAADwAAAGRycy9kb3ducmV2LnhtbESPS2vDMBCE74H8B7GB3hqpeZTEtRxCQqGnhOYFvS3W&#10;xja1VsZSY/ffV4FCjsPMfMOkq97W4katrxxreBkrEMS5MxUXGk7H9+cFCB+QDdaOScMveVhlw0GK&#10;iXEdf9LtEAoRIewT1FCG0CRS+rwki37sGuLoXV1rMUTZFtK02EW4reVEqVdpseK4UGJDm5Ly78OP&#10;1XDeXb8uM7UvtnbedK5Xku1Sav006tdvIAL14RH+b38YDbPpBO5n4hGQ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zE01xQAAANwAAAAPAAAAAAAAAAAAAAAAAJgCAABkcnMv&#10;ZG93bnJldi54bWxQSwUGAAAAAAQABAD1AAAAigMAAAAA&#10;" filled="f" stroked="f">
                  <v:textbox>
                    <w:txbxContent>
                      <w:p w:rsidR="008276DC" w:rsidRPr="00456CEE" w:rsidRDefault="008276DC">
                        <w:pPr>
                          <w:rPr>
                            <w:b/>
                          </w:rPr>
                        </w:pPr>
                        <w:r w:rsidRPr="00456CEE">
                          <w:rPr>
                            <w:b/>
                          </w:rPr>
                          <w:t>Turner</w:t>
                        </w:r>
                      </w:p>
                    </w:txbxContent>
                  </v:textbox>
                </v:shape>
              </v:group>
            </w:pict>
          </mc:Fallback>
        </mc:AlternateContent>
      </w:r>
    </w:p>
    <w:p w:rsidR="00797A12" w:rsidRDefault="00797A12" w:rsidP="00E40A1D">
      <w:pPr>
        <w:pStyle w:val="Sansinterligne"/>
        <w:rPr>
          <w:b/>
          <w:sz w:val="28"/>
          <w:szCs w:val="28"/>
          <w:lang w:eastAsia="fr-CA"/>
        </w:rPr>
      </w:pPr>
    </w:p>
    <w:p w:rsidR="00797A12" w:rsidRDefault="00797A12" w:rsidP="00E40A1D">
      <w:pPr>
        <w:pStyle w:val="Sansinterligne"/>
        <w:rPr>
          <w:b/>
          <w:sz w:val="28"/>
          <w:szCs w:val="28"/>
          <w:lang w:eastAsia="fr-CA"/>
        </w:rPr>
      </w:pPr>
    </w:p>
    <w:p w:rsidR="00797A12" w:rsidRDefault="00797A12" w:rsidP="00E40A1D">
      <w:pPr>
        <w:pStyle w:val="Sansinterligne"/>
        <w:rPr>
          <w:b/>
          <w:sz w:val="28"/>
          <w:szCs w:val="28"/>
          <w:lang w:eastAsia="fr-CA"/>
        </w:rPr>
      </w:pPr>
    </w:p>
    <w:p w:rsidR="00797A12" w:rsidRDefault="00797A12" w:rsidP="00E40A1D">
      <w:pPr>
        <w:pStyle w:val="Sansinterligne"/>
        <w:rPr>
          <w:b/>
          <w:sz w:val="28"/>
          <w:szCs w:val="28"/>
          <w:lang w:eastAsia="fr-CA"/>
        </w:rPr>
      </w:pPr>
    </w:p>
    <w:p w:rsidR="00797A12" w:rsidRDefault="00797A12" w:rsidP="00E40A1D">
      <w:pPr>
        <w:pStyle w:val="Sansinterligne"/>
        <w:rPr>
          <w:b/>
          <w:sz w:val="28"/>
          <w:szCs w:val="28"/>
          <w:lang w:eastAsia="fr-CA"/>
        </w:rPr>
      </w:pPr>
    </w:p>
    <w:p w:rsidR="00797A12" w:rsidRDefault="00797A12" w:rsidP="00E40A1D">
      <w:pPr>
        <w:pStyle w:val="Sansinterligne"/>
        <w:rPr>
          <w:b/>
          <w:sz w:val="28"/>
          <w:szCs w:val="28"/>
          <w:lang w:eastAsia="fr-CA"/>
        </w:rPr>
      </w:pPr>
    </w:p>
    <w:p w:rsidR="00797A12" w:rsidRDefault="00797A12" w:rsidP="00E40A1D">
      <w:pPr>
        <w:pStyle w:val="Sansinterligne"/>
        <w:rPr>
          <w:b/>
          <w:sz w:val="28"/>
          <w:szCs w:val="28"/>
          <w:lang w:eastAsia="fr-CA"/>
        </w:rPr>
      </w:pPr>
    </w:p>
    <w:p w:rsidR="00797A12" w:rsidRDefault="00797A12" w:rsidP="00E40A1D">
      <w:pPr>
        <w:pStyle w:val="Sansinterligne"/>
        <w:rPr>
          <w:b/>
          <w:sz w:val="28"/>
          <w:szCs w:val="28"/>
          <w:lang w:eastAsia="fr-CA"/>
        </w:rPr>
      </w:pPr>
    </w:p>
    <w:p w:rsidR="00797A12" w:rsidRDefault="00797A12" w:rsidP="00E40A1D">
      <w:pPr>
        <w:pStyle w:val="Sansinterligne"/>
        <w:rPr>
          <w:b/>
          <w:sz w:val="28"/>
          <w:szCs w:val="28"/>
          <w:lang w:eastAsia="fr-CA"/>
        </w:rPr>
      </w:pPr>
    </w:p>
    <w:p w:rsidR="00797A12" w:rsidRDefault="00797A12" w:rsidP="00E40A1D">
      <w:pPr>
        <w:pStyle w:val="Sansinterligne"/>
        <w:rPr>
          <w:b/>
          <w:sz w:val="28"/>
          <w:szCs w:val="28"/>
          <w:lang w:eastAsia="fr-CA"/>
        </w:rPr>
      </w:pPr>
    </w:p>
    <w:p w:rsidR="00797A12" w:rsidRDefault="00797A12" w:rsidP="00E40A1D">
      <w:pPr>
        <w:pStyle w:val="Sansinterligne"/>
        <w:rPr>
          <w:b/>
          <w:sz w:val="28"/>
          <w:szCs w:val="28"/>
          <w:lang w:eastAsia="fr-CA"/>
        </w:rPr>
      </w:pPr>
    </w:p>
    <w:p w:rsidR="00797A12" w:rsidRDefault="00797A12" w:rsidP="00E40A1D">
      <w:pPr>
        <w:pStyle w:val="Sansinterligne"/>
        <w:rPr>
          <w:b/>
          <w:sz w:val="28"/>
          <w:szCs w:val="28"/>
          <w:lang w:eastAsia="fr-CA"/>
        </w:rPr>
      </w:pPr>
    </w:p>
    <w:p w:rsidR="00E40A1D" w:rsidRPr="009379D2" w:rsidRDefault="00E40A1D" w:rsidP="00E40A1D">
      <w:pPr>
        <w:pStyle w:val="Sansinterligne"/>
        <w:rPr>
          <w:b/>
          <w:sz w:val="28"/>
          <w:szCs w:val="28"/>
          <w:lang w:eastAsia="fr-CA"/>
        </w:rPr>
      </w:pPr>
      <w:r w:rsidRPr="009379D2">
        <w:rPr>
          <w:b/>
          <w:sz w:val="28"/>
          <w:szCs w:val="28"/>
          <w:lang w:eastAsia="fr-CA"/>
        </w:rPr>
        <w:t>Investigations</w:t>
      </w:r>
    </w:p>
    <w:p w:rsidR="009379D2" w:rsidRDefault="009379D2" w:rsidP="00E40A1D">
      <w:pPr>
        <w:pStyle w:val="Sansinterligne"/>
        <w:rPr>
          <w:lang w:eastAsia="fr-CA"/>
        </w:rPr>
      </w:pPr>
    </w:p>
    <w:p w:rsidR="00811FB7" w:rsidRDefault="00811FB7" w:rsidP="005D429F">
      <w:pPr>
        <w:pStyle w:val="Sansinterligne"/>
        <w:numPr>
          <w:ilvl w:val="0"/>
          <w:numId w:val="891"/>
        </w:numPr>
        <w:rPr>
          <w:highlight w:val="yellow"/>
          <w:lang w:eastAsia="fr-CA"/>
        </w:rPr>
        <w:sectPr w:rsidR="00811FB7" w:rsidSect="00217865">
          <w:type w:val="continuous"/>
          <w:pgSz w:w="12240" w:h="15840"/>
          <w:pgMar w:top="720" w:right="720" w:bottom="720" w:left="720" w:header="708" w:footer="708" w:gutter="0"/>
          <w:cols w:space="708"/>
          <w:docGrid w:linePitch="360"/>
        </w:sectPr>
      </w:pPr>
    </w:p>
    <w:p w:rsidR="00E40A1D" w:rsidRPr="00A03201" w:rsidRDefault="00E40A1D" w:rsidP="005D429F">
      <w:pPr>
        <w:pStyle w:val="Sansinterligne"/>
        <w:numPr>
          <w:ilvl w:val="0"/>
          <w:numId w:val="891"/>
        </w:numPr>
        <w:rPr>
          <w:highlight w:val="yellow"/>
          <w:lang w:eastAsia="fr-CA"/>
        </w:rPr>
      </w:pPr>
      <w:r w:rsidRPr="00A03201">
        <w:rPr>
          <w:highlight w:val="yellow"/>
          <w:lang w:eastAsia="fr-CA"/>
        </w:rPr>
        <w:t>Âge osseux (radiographique</w:t>
      </w:r>
      <w:r w:rsidR="00A03201" w:rsidRPr="00A03201">
        <w:rPr>
          <w:highlight w:val="yellow"/>
          <w:lang w:eastAsia="fr-CA"/>
        </w:rPr>
        <w:t>, radiographie du poignet et de la main gauche</w:t>
      </w:r>
      <w:r w:rsidRPr="00A03201">
        <w:rPr>
          <w:highlight w:val="yellow"/>
          <w:lang w:eastAsia="fr-CA"/>
        </w:rPr>
        <w:t>)</w:t>
      </w:r>
    </w:p>
    <w:p w:rsidR="009D7F9E" w:rsidRPr="00A03201" w:rsidRDefault="009D7F9E" w:rsidP="005D429F">
      <w:pPr>
        <w:pStyle w:val="Sansinterligne"/>
        <w:numPr>
          <w:ilvl w:val="1"/>
          <w:numId w:val="891"/>
        </w:numPr>
        <w:rPr>
          <w:highlight w:val="yellow"/>
          <w:lang w:eastAsia="fr-CA"/>
        </w:rPr>
      </w:pPr>
      <w:r w:rsidRPr="00A03201">
        <w:rPr>
          <w:highlight w:val="yellow"/>
          <w:lang w:eastAsia="fr-CA"/>
        </w:rPr>
        <w:t>Avancé en obésité exogène, et dans les syndromes de Sotos et de Beckwith-Wiedemann</w:t>
      </w:r>
    </w:p>
    <w:p w:rsidR="009D7F9E" w:rsidRPr="00A03201" w:rsidRDefault="009D7F9E" w:rsidP="005D429F">
      <w:pPr>
        <w:pStyle w:val="Sansinterligne"/>
        <w:numPr>
          <w:ilvl w:val="1"/>
          <w:numId w:val="891"/>
        </w:numPr>
        <w:rPr>
          <w:highlight w:val="yellow"/>
          <w:lang w:eastAsia="fr-CA"/>
        </w:rPr>
      </w:pPr>
      <w:r w:rsidRPr="00A03201">
        <w:rPr>
          <w:highlight w:val="yellow"/>
          <w:lang w:eastAsia="fr-CA"/>
        </w:rPr>
        <w:t>Retardé en</w:t>
      </w:r>
      <w:r w:rsidR="00A03201" w:rsidRPr="00A03201">
        <w:rPr>
          <w:highlight w:val="yellow"/>
          <w:lang w:eastAsia="fr-CA"/>
        </w:rPr>
        <w:t xml:space="preserve"> hypothyroïdie, en carence en GH et certaines maladies chroniques</w:t>
      </w:r>
    </w:p>
    <w:p w:rsidR="00A03201" w:rsidRPr="00A03201" w:rsidRDefault="00F92ECD" w:rsidP="005D429F">
      <w:pPr>
        <w:pStyle w:val="Sansinterligne"/>
        <w:numPr>
          <w:ilvl w:val="0"/>
          <w:numId w:val="891"/>
        </w:numPr>
        <w:rPr>
          <w:highlight w:val="yellow"/>
          <w:lang w:eastAsia="fr-CA"/>
        </w:rPr>
      </w:pPr>
      <w:r w:rsidRPr="00A03201">
        <w:rPr>
          <w:highlight w:val="yellow"/>
          <w:lang w:eastAsia="fr-CA"/>
        </w:rPr>
        <w:t>Caryotype</w:t>
      </w:r>
      <w:r w:rsidR="00A03201" w:rsidRPr="00A03201">
        <w:rPr>
          <w:highlight w:val="yellow"/>
          <w:lang w:eastAsia="fr-CA"/>
        </w:rPr>
        <w:t xml:space="preserve"> (notamment pour exclure un syndrome de Turner chez la jeune fille</w:t>
      </w:r>
    </w:p>
    <w:p w:rsidR="00F92ECD" w:rsidRPr="00A03201" w:rsidRDefault="00F92ECD" w:rsidP="005D429F">
      <w:pPr>
        <w:pStyle w:val="Sansinterligne"/>
        <w:numPr>
          <w:ilvl w:val="0"/>
          <w:numId w:val="891"/>
        </w:numPr>
        <w:rPr>
          <w:highlight w:val="yellow"/>
          <w:lang w:eastAsia="fr-CA"/>
        </w:rPr>
      </w:pPr>
      <w:r w:rsidRPr="00A03201">
        <w:rPr>
          <w:highlight w:val="yellow"/>
          <w:lang w:eastAsia="fr-CA"/>
        </w:rPr>
        <w:t>TSH</w:t>
      </w:r>
    </w:p>
    <w:p w:rsidR="00F92ECD" w:rsidRPr="00A03201" w:rsidRDefault="00B76E30" w:rsidP="005D429F">
      <w:pPr>
        <w:pStyle w:val="Sansinterligne"/>
        <w:numPr>
          <w:ilvl w:val="0"/>
          <w:numId w:val="891"/>
        </w:numPr>
        <w:rPr>
          <w:highlight w:val="yellow"/>
          <w:lang w:eastAsia="fr-CA"/>
        </w:rPr>
      </w:pPr>
      <w:r w:rsidRPr="00A03201">
        <w:rPr>
          <w:highlight w:val="yellow"/>
          <w:lang w:eastAsia="fr-CA"/>
        </w:rPr>
        <w:t>Dosage de l’</w:t>
      </w:r>
      <w:r w:rsidR="00F92ECD" w:rsidRPr="00A03201">
        <w:rPr>
          <w:highlight w:val="yellow"/>
          <w:lang w:eastAsia="fr-CA"/>
        </w:rPr>
        <w:t>IGF-1</w:t>
      </w:r>
    </w:p>
    <w:p w:rsidR="00A03201" w:rsidRPr="00A03201" w:rsidRDefault="00A03201" w:rsidP="005D429F">
      <w:pPr>
        <w:pStyle w:val="Sansinterligne"/>
        <w:numPr>
          <w:ilvl w:val="0"/>
          <w:numId w:val="891"/>
        </w:numPr>
        <w:rPr>
          <w:highlight w:val="yellow"/>
          <w:lang w:eastAsia="fr-CA"/>
        </w:rPr>
      </w:pPr>
      <w:r w:rsidRPr="00A03201">
        <w:rPr>
          <w:highlight w:val="yellow"/>
          <w:lang w:eastAsia="fr-CA"/>
        </w:rPr>
        <w:t>Test de provocation de la GH (test au glucagon)</w:t>
      </w:r>
    </w:p>
    <w:p w:rsidR="001D5075" w:rsidRDefault="001D5075" w:rsidP="005D429F">
      <w:pPr>
        <w:pStyle w:val="Sansinterligne"/>
        <w:numPr>
          <w:ilvl w:val="0"/>
          <w:numId w:val="891"/>
        </w:numPr>
        <w:rPr>
          <w:lang w:eastAsia="fr-CA"/>
        </w:rPr>
      </w:pPr>
      <w:r>
        <w:rPr>
          <w:lang w:eastAsia="fr-CA"/>
        </w:rPr>
        <w:t>Dosage homocystine</w:t>
      </w:r>
    </w:p>
    <w:p w:rsidR="00811FB7" w:rsidRDefault="00F92ECD" w:rsidP="005D429F">
      <w:pPr>
        <w:pStyle w:val="Sansinterligne"/>
        <w:numPr>
          <w:ilvl w:val="0"/>
          <w:numId w:val="891"/>
        </w:numPr>
        <w:rPr>
          <w:lang w:eastAsia="fr-CA"/>
        </w:rPr>
        <w:sectPr w:rsidR="00811FB7" w:rsidSect="00811FB7">
          <w:type w:val="continuous"/>
          <w:pgSz w:w="12240" w:h="15840"/>
          <w:pgMar w:top="720" w:right="720" w:bottom="720" w:left="720" w:header="708" w:footer="708" w:gutter="0"/>
          <w:cols w:num="2" w:space="708"/>
          <w:docGrid w:linePitch="360"/>
        </w:sectPr>
      </w:pPr>
      <w:r>
        <w:rPr>
          <w:lang w:eastAsia="fr-CA"/>
        </w:rPr>
        <w:t>Hormones sexuelles</w:t>
      </w:r>
      <w:r w:rsidR="00A03201">
        <w:rPr>
          <w:lang w:eastAsia="fr-CA"/>
        </w:rPr>
        <w:t xml:space="preserve"> (pour évaluer un retard pubertaire ou une puberté précoce)</w:t>
      </w:r>
    </w:p>
    <w:p w:rsidR="00E40A1D" w:rsidRPr="009379D2" w:rsidRDefault="00E40A1D" w:rsidP="00E40A1D">
      <w:pPr>
        <w:pStyle w:val="Sansinterligne"/>
        <w:rPr>
          <w:b/>
          <w:sz w:val="28"/>
          <w:szCs w:val="28"/>
          <w:lang w:eastAsia="fr-CA"/>
        </w:rPr>
      </w:pPr>
      <w:r w:rsidRPr="009379D2">
        <w:rPr>
          <w:b/>
          <w:sz w:val="28"/>
          <w:szCs w:val="28"/>
          <w:lang w:eastAsia="fr-CA"/>
        </w:rPr>
        <w:t>Prise en charge</w:t>
      </w:r>
    </w:p>
    <w:p w:rsidR="009379D2" w:rsidRDefault="009379D2" w:rsidP="00E40A1D">
      <w:pPr>
        <w:pStyle w:val="Sansinterligne"/>
        <w:rPr>
          <w:lang w:eastAsia="fr-CA"/>
        </w:rPr>
      </w:pPr>
    </w:p>
    <w:p w:rsidR="008C30AE" w:rsidRDefault="008C30AE" w:rsidP="00B27E53">
      <w:pPr>
        <w:pStyle w:val="Sansinterligne"/>
        <w:rPr>
          <w:b/>
          <w:highlight w:val="yellow"/>
          <w:lang w:eastAsia="fr-CA"/>
        </w:rPr>
        <w:sectPr w:rsidR="008C30AE" w:rsidSect="00217865">
          <w:type w:val="continuous"/>
          <w:pgSz w:w="12240" w:h="15840"/>
          <w:pgMar w:top="720" w:right="720" w:bottom="720" w:left="720" w:header="708" w:footer="708" w:gutter="0"/>
          <w:cols w:space="708"/>
          <w:docGrid w:linePitch="360"/>
        </w:sectPr>
      </w:pPr>
    </w:p>
    <w:p w:rsidR="008C30AE" w:rsidRPr="00B27E53" w:rsidRDefault="008C30AE" w:rsidP="008C30AE">
      <w:pPr>
        <w:pStyle w:val="Sansinterligne"/>
        <w:rPr>
          <w:b/>
          <w:lang w:eastAsia="fr-CA"/>
        </w:rPr>
      </w:pPr>
      <w:r w:rsidRPr="00B27E53">
        <w:rPr>
          <w:b/>
          <w:lang w:eastAsia="fr-CA"/>
        </w:rPr>
        <w:t xml:space="preserve">Grande taille familiale </w:t>
      </w:r>
    </w:p>
    <w:p w:rsidR="008C30AE" w:rsidRDefault="008C30AE" w:rsidP="005D429F">
      <w:pPr>
        <w:pStyle w:val="Sansinterligne"/>
        <w:numPr>
          <w:ilvl w:val="0"/>
          <w:numId w:val="892"/>
        </w:numPr>
        <w:ind w:left="360"/>
        <w:rPr>
          <w:lang w:eastAsia="fr-CA"/>
        </w:rPr>
      </w:pPr>
      <w:r>
        <w:rPr>
          <w:lang w:eastAsia="fr-CA"/>
        </w:rPr>
        <w:t>Si occasionne une détresse psychologique ou des problèmes musculosquelettique :</w:t>
      </w:r>
    </w:p>
    <w:p w:rsidR="008C30AE" w:rsidRDefault="008C30AE" w:rsidP="005D429F">
      <w:pPr>
        <w:pStyle w:val="Sansinterligne"/>
        <w:numPr>
          <w:ilvl w:val="1"/>
          <w:numId w:val="892"/>
        </w:numPr>
        <w:rPr>
          <w:lang w:eastAsia="fr-CA"/>
        </w:rPr>
      </w:pPr>
      <w:r>
        <w:rPr>
          <w:lang w:eastAsia="fr-CA"/>
        </w:rPr>
        <w:t>Référence en endocrinologie pédiatrique</w:t>
      </w:r>
    </w:p>
    <w:p w:rsidR="008C30AE" w:rsidRDefault="008C30AE" w:rsidP="005D429F">
      <w:pPr>
        <w:pStyle w:val="Sansinterligne"/>
        <w:numPr>
          <w:ilvl w:val="1"/>
          <w:numId w:val="892"/>
        </w:numPr>
        <w:rPr>
          <w:lang w:eastAsia="fr-CA"/>
        </w:rPr>
      </w:pPr>
      <w:r>
        <w:rPr>
          <w:lang w:eastAsia="fr-CA"/>
        </w:rPr>
        <w:t>Œstrogènes chez les filles ou testostérone chez le garçon</w:t>
      </w:r>
    </w:p>
    <w:p w:rsidR="008C30AE" w:rsidRDefault="008C30AE" w:rsidP="005D429F">
      <w:pPr>
        <w:pStyle w:val="Sansinterligne"/>
        <w:numPr>
          <w:ilvl w:val="2"/>
          <w:numId w:val="892"/>
        </w:numPr>
        <w:rPr>
          <w:lang w:eastAsia="fr-CA"/>
        </w:rPr>
      </w:pPr>
      <w:r>
        <w:rPr>
          <w:lang w:eastAsia="fr-CA"/>
        </w:rPr>
        <w:t>Après le début spontané de la puberté </w:t>
      </w:r>
    </w:p>
    <w:p w:rsidR="008C30AE" w:rsidRDefault="008C30AE" w:rsidP="005D429F">
      <w:pPr>
        <w:pStyle w:val="Sansinterligne"/>
        <w:numPr>
          <w:ilvl w:val="2"/>
          <w:numId w:val="892"/>
        </w:numPr>
        <w:rPr>
          <w:lang w:eastAsia="fr-CA"/>
        </w:rPr>
      </w:pPr>
      <w:r>
        <w:rPr>
          <w:lang w:eastAsia="fr-CA"/>
        </w:rPr>
        <w:t>Limite la taille finale</w:t>
      </w:r>
    </w:p>
    <w:p w:rsidR="008C30AE" w:rsidRDefault="008C30AE" w:rsidP="008C30AE">
      <w:pPr>
        <w:pStyle w:val="Sansinterligne"/>
        <w:ind w:left="2160"/>
        <w:rPr>
          <w:lang w:eastAsia="fr-CA"/>
        </w:rPr>
      </w:pPr>
    </w:p>
    <w:p w:rsidR="00B27E53" w:rsidRPr="00C833B0" w:rsidRDefault="005B183E" w:rsidP="00B27E53">
      <w:pPr>
        <w:pStyle w:val="Sansinterligne"/>
        <w:rPr>
          <w:highlight w:val="yellow"/>
          <w:lang w:eastAsia="fr-CA"/>
        </w:rPr>
      </w:pPr>
      <w:r w:rsidRPr="00C833B0">
        <w:rPr>
          <w:b/>
          <w:highlight w:val="yellow"/>
          <w:lang w:eastAsia="fr-CA"/>
        </w:rPr>
        <w:t>Adénome hypophysaire (gigantisme hypophysaire)</w:t>
      </w:r>
    </w:p>
    <w:p w:rsidR="00B27E53" w:rsidRPr="00C833B0" w:rsidRDefault="00B27E53" w:rsidP="005D429F">
      <w:pPr>
        <w:pStyle w:val="Sansinterligne"/>
        <w:numPr>
          <w:ilvl w:val="0"/>
          <w:numId w:val="892"/>
        </w:numPr>
        <w:ind w:left="360"/>
        <w:rPr>
          <w:highlight w:val="yellow"/>
          <w:lang w:eastAsia="fr-CA"/>
        </w:rPr>
      </w:pPr>
      <w:r w:rsidRPr="00C833B0">
        <w:rPr>
          <w:highlight w:val="yellow"/>
          <w:lang w:eastAsia="fr-CA"/>
        </w:rPr>
        <w:t>Référence en pédiatrie</w:t>
      </w:r>
    </w:p>
    <w:p w:rsidR="005B183E" w:rsidRPr="00C833B0" w:rsidRDefault="00B27E53" w:rsidP="005D429F">
      <w:pPr>
        <w:pStyle w:val="Sansinterligne"/>
        <w:numPr>
          <w:ilvl w:val="0"/>
          <w:numId w:val="892"/>
        </w:numPr>
        <w:ind w:left="360"/>
        <w:rPr>
          <w:highlight w:val="yellow"/>
          <w:lang w:eastAsia="fr-CA"/>
        </w:rPr>
      </w:pPr>
      <w:r w:rsidRPr="00C833B0">
        <w:rPr>
          <w:highlight w:val="yellow"/>
          <w:lang w:eastAsia="fr-CA"/>
        </w:rPr>
        <w:t>R</w:t>
      </w:r>
      <w:r w:rsidR="005B183E" w:rsidRPr="00C833B0">
        <w:rPr>
          <w:highlight w:val="yellow"/>
          <w:lang w:eastAsia="fr-CA"/>
        </w:rPr>
        <w:t>ésection transphénoïdale ou radiothérapie</w:t>
      </w:r>
    </w:p>
    <w:p w:rsidR="005B183E" w:rsidRDefault="005B183E" w:rsidP="00B27E53">
      <w:pPr>
        <w:pStyle w:val="Sansinterligne"/>
        <w:rPr>
          <w:lang w:eastAsia="fr-CA"/>
        </w:rPr>
      </w:pPr>
    </w:p>
    <w:p w:rsidR="008C30AE" w:rsidRPr="008C30AE" w:rsidRDefault="008C30AE" w:rsidP="008C30AE">
      <w:pPr>
        <w:pStyle w:val="Sansinterligne"/>
        <w:ind w:left="2160"/>
        <w:rPr>
          <w:lang w:eastAsia="fr-CA"/>
        </w:rPr>
      </w:pPr>
    </w:p>
    <w:p w:rsidR="008C30AE" w:rsidRDefault="008C30AE" w:rsidP="008C30AE">
      <w:pPr>
        <w:pStyle w:val="Sansinterligne"/>
        <w:rPr>
          <w:b/>
          <w:lang w:eastAsia="fr-CA"/>
        </w:rPr>
      </w:pPr>
    </w:p>
    <w:p w:rsidR="008C30AE" w:rsidRDefault="008C30AE" w:rsidP="008C30AE">
      <w:pPr>
        <w:pStyle w:val="Sansinterligne"/>
        <w:rPr>
          <w:b/>
          <w:lang w:eastAsia="fr-CA"/>
        </w:rPr>
      </w:pPr>
      <w:r>
        <w:rPr>
          <w:b/>
          <w:lang w:eastAsia="fr-CA"/>
        </w:rPr>
        <w:t>Obésité exogène</w:t>
      </w:r>
    </w:p>
    <w:p w:rsidR="008C30AE" w:rsidRPr="008C30AE" w:rsidRDefault="008C30AE" w:rsidP="005D429F">
      <w:pPr>
        <w:pStyle w:val="Sansinterligne"/>
        <w:numPr>
          <w:ilvl w:val="0"/>
          <w:numId w:val="895"/>
        </w:numPr>
        <w:rPr>
          <w:lang w:eastAsia="fr-CA"/>
        </w:rPr>
      </w:pPr>
      <w:r w:rsidRPr="008C30AE">
        <w:rPr>
          <w:lang w:eastAsia="fr-CA"/>
        </w:rPr>
        <w:t>Rassurer les parents</w:t>
      </w:r>
    </w:p>
    <w:p w:rsidR="008C30AE" w:rsidRDefault="008C30AE" w:rsidP="005D429F">
      <w:pPr>
        <w:pStyle w:val="Sansinterligne"/>
        <w:numPr>
          <w:ilvl w:val="0"/>
          <w:numId w:val="895"/>
        </w:numPr>
        <w:rPr>
          <w:lang w:eastAsia="fr-CA"/>
        </w:rPr>
      </w:pPr>
      <w:r w:rsidRPr="008C30AE">
        <w:rPr>
          <w:lang w:eastAsia="fr-CA"/>
        </w:rPr>
        <w:t>Encourager l’enfant à faire de l’exercice physique</w:t>
      </w:r>
    </w:p>
    <w:p w:rsidR="008C30AE" w:rsidRDefault="008C30AE" w:rsidP="005D429F">
      <w:pPr>
        <w:pStyle w:val="Sansinterligne"/>
        <w:numPr>
          <w:ilvl w:val="0"/>
          <w:numId w:val="895"/>
        </w:numPr>
        <w:rPr>
          <w:lang w:eastAsia="fr-CA"/>
        </w:rPr>
      </w:pPr>
      <w:r>
        <w:rPr>
          <w:lang w:eastAsia="fr-CA"/>
        </w:rPr>
        <w:t>Changements alimentaires à conseiller</w:t>
      </w:r>
    </w:p>
    <w:p w:rsidR="008C30AE" w:rsidRDefault="008C30AE" w:rsidP="008C30AE">
      <w:pPr>
        <w:pStyle w:val="Sansinterligne"/>
        <w:rPr>
          <w:lang w:eastAsia="fr-CA"/>
        </w:rPr>
      </w:pPr>
    </w:p>
    <w:p w:rsidR="008C30AE" w:rsidRPr="008C30AE" w:rsidRDefault="008C30AE" w:rsidP="008C30AE">
      <w:pPr>
        <w:pStyle w:val="Sansinterligne"/>
        <w:rPr>
          <w:b/>
          <w:lang w:eastAsia="fr-CA"/>
        </w:rPr>
      </w:pPr>
      <w:r w:rsidRPr="008C30AE">
        <w:rPr>
          <w:b/>
          <w:lang w:eastAsia="fr-CA"/>
        </w:rPr>
        <w:t>Syndrome de Marfan / de Sotos / Homocystinurie</w:t>
      </w:r>
    </w:p>
    <w:p w:rsidR="008C30AE" w:rsidRDefault="008C30AE" w:rsidP="005D429F">
      <w:pPr>
        <w:pStyle w:val="Sansinterligne"/>
        <w:numPr>
          <w:ilvl w:val="0"/>
          <w:numId w:val="894"/>
        </w:numPr>
        <w:rPr>
          <w:lang w:eastAsia="fr-CA"/>
        </w:rPr>
      </w:pPr>
      <w:r>
        <w:rPr>
          <w:lang w:eastAsia="fr-CA"/>
        </w:rPr>
        <w:t>Expliquer la maladie</w:t>
      </w:r>
    </w:p>
    <w:p w:rsidR="008C30AE" w:rsidRDefault="008C30AE" w:rsidP="005D429F">
      <w:pPr>
        <w:pStyle w:val="Sansinterligne"/>
        <w:numPr>
          <w:ilvl w:val="0"/>
          <w:numId w:val="894"/>
        </w:numPr>
        <w:rPr>
          <w:lang w:eastAsia="fr-CA"/>
        </w:rPr>
      </w:pPr>
      <w:r>
        <w:rPr>
          <w:lang w:eastAsia="fr-CA"/>
        </w:rPr>
        <w:t>Référence en pédiatrie pour investigations plus poussée</w:t>
      </w:r>
    </w:p>
    <w:p w:rsidR="008C30AE" w:rsidRDefault="008C30AE" w:rsidP="008C30AE">
      <w:pPr>
        <w:pStyle w:val="Sansinterligne"/>
        <w:ind w:left="360"/>
        <w:rPr>
          <w:lang w:eastAsia="fr-CA"/>
        </w:rPr>
      </w:pPr>
    </w:p>
    <w:p w:rsidR="008C30AE" w:rsidRPr="008C30AE" w:rsidRDefault="008C30AE" w:rsidP="008C30AE">
      <w:pPr>
        <w:pStyle w:val="Sansinterligne"/>
        <w:rPr>
          <w:b/>
          <w:lang w:eastAsia="fr-CA"/>
        </w:rPr>
      </w:pPr>
      <w:r w:rsidRPr="008C30AE">
        <w:rPr>
          <w:b/>
          <w:lang w:eastAsia="fr-CA"/>
        </w:rPr>
        <w:t>Hyperthyroïdie</w:t>
      </w:r>
    </w:p>
    <w:p w:rsidR="008C30AE" w:rsidRDefault="008C30AE" w:rsidP="005D429F">
      <w:pPr>
        <w:pStyle w:val="Sansinterligne"/>
        <w:numPr>
          <w:ilvl w:val="0"/>
          <w:numId w:val="896"/>
        </w:numPr>
        <w:rPr>
          <w:lang w:eastAsia="fr-CA"/>
        </w:rPr>
      </w:pPr>
      <w:r>
        <w:rPr>
          <w:lang w:eastAsia="fr-CA"/>
        </w:rPr>
        <w:t>Référence en endocrinologie pédiatrique pour déterminer le traitement</w:t>
      </w:r>
    </w:p>
    <w:p w:rsidR="008C30AE" w:rsidRDefault="008C30AE" w:rsidP="005D429F">
      <w:pPr>
        <w:pStyle w:val="Sansinterligne"/>
        <w:numPr>
          <w:ilvl w:val="0"/>
          <w:numId w:val="896"/>
        </w:numPr>
        <w:rPr>
          <w:lang w:eastAsia="fr-CA"/>
        </w:rPr>
      </w:pPr>
      <w:r>
        <w:rPr>
          <w:lang w:eastAsia="fr-CA"/>
        </w:rPr>
        <w:t>Radiothérapie vs lobectomie, etc.</w:t>
      </w:r>
    </w:p>
    <w:p w:rsidR="008C30AE" w:rsidRDefault="008C30AE" w:rsidP="00B27E53">
      <w:pPr>
        <w:pStyle w:val="Sansinterligne"/>
        <w:rPr>
          <w:lang w:eastAsia="fr-CA"/>
        </w:rPr>
        <w:sectPr w:rsidR="008C30AE" w:rsidSect="008C30AE">
          <w:type w:val="continuous"/>
          <w:pgSz w:w="12240" w:h="15840"/>
          <w:pgMar w:top="720" w:right="720" w:bottom="720" w:left="720" w:header="708" w:footer="708" w:gutter="0"/>
          <w:cols w:num="2" w:space="708"/>
          <w:docGrid w:linePitch="360"/>
        </w:sectPr>
      </w:pPr>
    </w:p>
    <w:p w:rsidR="00F11A52" w:rsidRDefault="00C04E78" w:rsidP="00B27E53">
      <w:pPr>
        <w:pStyle w:val="Sansinterligne"/>
        <w:rPr>
          <w:lang w:eastAsia="fr-CA"/>
        </w:rPr>
      </w:pPr>
      <w:r>
        <w:rPr>
          <w:noProof/>
          <w:lang w:eastAsia="fr-CA"/>
        </w:rPr>
        <mc:AlternateContent>
          <mc:Choice Requires="wpg">
            <w:drawing>
              <wp:anchor distT="0" distB="0" distL="114300" distR="114300" simplePos="0" relativeHeight="251918336" behindDoc="0" locked="0" layoutInCell="1" allowOverlap="1" wp14:anchorId="623EA00D" wp14:editId="178F109B">
                <wp:simplePos x="0" y="0"/>
                <wp:positionH relativeFrom="column">
                  <wp:posOffset>4999936</wp:posOffset>
                </wp:positionH>
                <wp:positionV relativeFrom="paragraph">
                  <wp:posOffset>81280</wp:posOffset>
                </wp:positionV>
                <wp:extent cx="1854044" cy="2265680"/>
                <wp:effectExtent l="0" t="0" r="0" b="1270"/>
                <wp:wrapNone/>
                <wp:docPr id="436" name="Groupe 436"/>
                <wp:cNvGraphicFramePr/>
                <a:graphic xmlns:a="http://schemas.openxmlformats.org/drawingml/2006/main">
                  <a:graphicData uri="http://schemas.microsoft.com/office/word/2010/wordprocessingGroup">
                    <wpg:wgp>
                      <wpg:cNvGrpSpPr/>
                      <wpg:grpSpPr>
                        <a:xfrm>
                          <a:off x="0" y="0"/>
                          <a:ext cx="1854044" cy="2265680"/>
                          <a:chOff x="0" y="-115720"/>
                          <a:chExt cx="3249038" cy="4493167"/>
                        </a:xfrm>
                      </wpg:grpSpPr>
                      <pic:pic xmlns:pic="http://schemas.openxmlformats.org/drawingml/2006/picture">
                        <pic:nvPicPr>
                          <pic:cNvPr id="434" name="Image 434" descr="Résultats de recherche d'images pour « maladie de cushing »"/>
                          <pic:cNvPicPr>
                            <a:picLocks noChangeAspect="1"/>
                          </pic:cNvPicPr>
                        </pic:nvPicPr>
                        <pic:blipFill rotWithShape="1">
                          <a:blip r:embed="rId350">
                            <a:extLst>
                              <a:ext uri="{28A0092B-C50C-407E-A947-70E740481C1C}">
                                <a14:useLocalDpi xmlns:a14="http://schemas.microsoft.com/office/drawing/2010/main" val="0"/>
                              </a:ext>
                            </a:extLst>
                          </a:blip>
                          <a:srcRect l="5226" t="3227" r="3088" b="2083"/>
                          <a:stretch/>
                        </pic:blipFill>
                        <pic:spPr bwMode="auto">
                          <a:xfrm>
                            <a:off x="0" y="175098"/>
                            <a:ext cx="3249038" cy="4202349"/>
                          </a:xfrm>
                          <a:prstGeom prst="rect">
                            <a:avLst/>
                          </a:prstGeom>
                          <a:noFill/>
                          <a:ln>
                            <a:noFill/>
                          </a:ln>
                          <a:extLst>
                            <a:ext uri="{53640926-AAD7-44D8-BBD7-CCE9431645EC}">
                              <a14:shadowObscured xmlns:a14="http://schemas.microsoft.com/office/drawing/2010/main"/>
                            </a:ext>
                          </a:extLst>
                        </pic:spPr>
                      </pic:pic>
                      <wps:wsp>
                        <wps:cNvPr id="435" name="Zone de texte 2"/>
                        <wps:cNvSpPr txBox="1">
                          <a:spLocks noChangeArrowheads="1"/>
                        </wps:cNvSpPr>
                        <wps:spPr bwMode="auto">
                          <a:xfrm>
                            <a:off x="779018" y="-115720"/>
                            <a:ext cx="2469045" cy="501446"/>
                          </a:xfrm>
                          <a:prstGeom prst="rect">
                            <a:avLst/>
                          </a:prstGeom>
                          <a:noFill/>
                          <a:ln w="9525">
                            <a:noFill/>
                            <a:miter lim="800000"/>
                            <a:headEnd/>
                            <a:tailEnd/>
                          </a:ln>
                        </wps:spPr>
                        <wps:txbx>
                          <w:txbxContent>
                            <w:p w:rsidR="008276DC" w:rsidRPr="00AD475D" w:rsidRDefault="008276DC">
                              <w:pPr>
                                <w:rPr>
                                  <w:i/>
                                  <w:sz w:val="28"/>
                                  <w:szCs w:val="28"/>
                                  <w:u w:val="single"/>
                                </w:rPr>
                              </w:pPr>
                              <w:r w:rsidRPr="00C04E78">
                                <w:rPr>
                                  <w:i/>
                                  <w:sz w:val="20"/>
                                  <w:szCs w:val="20"/>
                                  <w:u w:val="single"/>
                                </w:rPr>
                                <w:t>Maladie de</w:t>
                              </w:r>
                              <w:r w:rsidRPr="00AD475D">
                                <w:rPr>
                                  <w:i/>
                                  <w:sz w:val="28"/>
                                  <w:szCs w:val="28"/>
                                  <w:u w:val="single"/>
                                </w:rPr>
                                <w:t xml:space="preserve"> </w:t>
                              </w:r>
                              <w:r w:rsidRPr="00C04E78">
                                <w:rPr>
                                  <w:i/>
                                  <w:sz w:val="20"/>
                                  <w:szCs w:val="20"/>
                                  <w:u w:val="single"/>
                                </w:rPr>
                                <w:t>Cushing</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Groupe 436" o:spid="_x0000_s1137" style="position:absolute;margin-left:393.7pt;margin-top:6.4pt;width:146pt;height:178.4pt;z-index:251918336;mso-width-relative:margin;mso-height-relative:margin" coordorigin=",-1157" coordsize="32490,4493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">
                <v:shape id="Image 434" o:spid="_x0000_s1138" type="#_x0000_t75" alt="Résultats de recherche d'images pour « maladie de cushing »" style="position:absolute;top:1750;width:32490;height:420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cZ4//GAAAA3AAAAA8AAABkcnMvZG93bnJldi54bWxEj8FuwjAQRO9I/QdrK/UGTlsUlRAHtahF&#10;HDgA5QOWeEmixutguxD4+roSEsfRzLzR5LPetOJEzjeWFTyPEhDEpdUNVwp231/DNxA+IGtsLZOC&#10;C3mYFQ+DHDNtz7yh0zZUIkLYZ6igDqHLpPRlTQb9yHbE0TtYZzBE6SqpHZ4j3LTyJUlSabDhuFBj&#10;R/Oayp/tr1HweV3N5WIj/UfqFsf9bp1O/OWo1NNj/z4FEagP9/CtvdQKxq9j+D8Tj4As/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txnj/8YAAADcAAAADwAAAAAAAAAAAAAA&#10;AACfAgAAZHJzL2Rvd25yZXYueG1sUEsFBgAAAAAEAAQA9wAAAJIDAAAAAA==&#10;">
                  <v:imagedata r:id="rId351" o:title="Résultats de recherche d'images pour « maladie de cushing »" croptop="2115f" cropbottom="1365f" cropleft="3425f" cropright="2024f"/>
                  <v:path arrowok="t"/>
                </v:shape>
                <v:shape id="_x0000_s1139" type="#_x0000_t202" style="position:absolute;left:7790;top:-1157;width:24690;height:50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XVQcQA&#10;AADcAAAADwAAAGRycy9kb3ducmV2LnhtbESPQWvCQBSE74L/YXlCb3VXq8XGbERaCp4qTWvB2yP7&#10;TILZtyG7NfHfd4WCx2FmvmHSzWAbcaHO1441zKYKBHHhTM2lhu+v98cVCB+QDTaOScOVPGyy8SjF&#10;xLieP+mSh1JECPsENVQhtImUvqjIop+6ljh6J9dZDFF2pTQd9hFuGzlX6llarDkuVNjSa0XFOf+1&#10;Gg4fp+PPQu3LN7tsezcoyfZFav0wGbZrEIGGcA//t3dGw+JpCbcz8QjI7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8l1UHEAAAA3AAAAA8AAAAAAAAAAAAAAAAAmAIAAGRycy9k&#10;b3ducmV2LnhtbFBLBQYAAAAABAAEAPUAAACJAwAAAAA=&#10;" filled="f" stroked="f">
                  <v:textbox>
                    <w:txbxContent>
                      <w:p w:rsidR="008276DC" w:rsidRPr="00AD475D" w:rsidRDefault="008276DC">
                        <w:pPr>
                          <w:rPr>
                            <w:i/>
                            <w:sz w:val="28"/>
                            <w:szCs w:val="28"/>
                            <w:u w:val="single"/>
                          </w:rPr>
                        </w:pPr>
                        <w:r w:rsidRPr="00C04E78">
                          <w:rPr>
                            <w:i/>
                            <w:sz w:val="20"/>
                            <w:szCs w:val="20"/>
                            <w:u w:val="single"/>
                          </w:rPr>
                          <w:t>Maladie de</w:t>
                        </w:r>
                        <w:r w:rsidRPr="00AD475D">
                          <w:rPr>
                            <w:i/>
                            <w:sz w:val="28"/>
                            <w:szCs w:val="28"/>
                            <w:u w:val="single"/>
                          </w:rPr>
                          <w:t xml:space="preserve"> </w:t>
                        </w:r>
                        <w:r w:rsidRPr="00C04E78">
                          <w:rPr>
                            <w:i/>
                            <w:sz w:val="20"/>
                            <w:szCs w:val="20"/>
                            <w:u w:val="single"/>
                          </w:rPr>
                          <w:t>Cushing</w:t>
                        </w:r>
                      </w:p>
                    </w:txbxContent>
                  </v:textbox>
                </v:shape>
              </v:group>
            </w:pict>
          </mc:Fallback>
        </mc:AlternateContent>
      </w:r>
      <w:r w:rsidR="00C833B0">
        <w:rPr>
          <w:lang w:eastAsia="fr-CA"/>
        </w:rPr>
        <w:t>______________________________________________</w:t>
      </w:r>
    </w:p>
    <w:p w:rsidR="008C30AE" w:rsidRDefault="008C30AE" w:rsidP="00B27E53">
      <w:pPr>
        <w:pStyle w:val="Sansinterligne"/>
        <w:rPr>
          <w:b/>
          <w:lang w:eastAsia="fr-CA"/>
        </w:rPr>
        <w:sectPr w:rsidR="008C30AE" w:rsidSect="00217865">
          <w:type w:val="continuous"/>
          <w:pgSz w:w="12240" w:h="15840"/>
          <w:pgMar w:top="720" w:right="720" w:bottom="720" w:left="720" w:header="708" w:footer="708" w:gutter="0"/>
          <w:cols w:space="708"/>
          <w:docGrid w:linePitch="360"/>
        </w:sectPr>
      </w:pPr>
    </w:p>
    <w:p w:rsidR="00F11A52" w:rsidRPr="00B27E53" w:rsidRDefault="00F11A52" w:rsidP="00B27E53">
      <w:pPr>
        <w:pStyle w:val="Sansinterligne"/>
        <w:rPr>
          <w:b/>
          <w:lang w:eastAsia="fr-CA"/>
        </w:rPr>
      </w:pPr>
      <w:r w:rsidRPr="00B27E53">
        <w:rPr>
          <w:b/>
          <w:lang w:eastAsia="fr-CA"/>
        </w:rPr>
        <w:t>Petite taille familiale ou retard familial</w:t>
      </w:r>
    </w:p>
    <w:p w:rsidR="000C7CCF" w:rsidRDefault="00C833B0" w:rsidP="005D429F">
      <w:pPr>
        <w:pStyle w:val="Sansinterligne"/>
        <w:numPr>
          <w:ilvl w:val="0"/>
          <w:numId w:val="892"/>
        </w:numPr>
        <w:ind w:left="360"/>
        <w:rPr>
          <w:lang w:eastAsia="fr-CA"/>
        </w:rPr>
      </w:pPr>
      <w:r>
        <w:rPr>
          <w:lang w:eastAsia="fr-CA"/>
        </w:rPr>
        <w:t>Rassurer la famille/enfant, expectative</w:t>
      </w:r>
    </w:p>
    <w:p w:rsidR="000C7CCF" w:rsidRDefault="000C7CCF" w:rsidP="000C7CCF">
      <w:pPr>
        <w:pStyle w:val="Sansinterligne"/>
        <w:ind w:left="360"/>
        <w:rPr>
          <w:lang w:eastAsia="fr-CA"/>
        </w:rPr>
      </w:pPr>
    </w:p>
    <w:p w:rsidR="000C7CCF" w:rsidRPr="000C7CCF" w:rsidRDefault="000C7CCF" w:rsidP="000C7CCF">
      <w:pPr>
        <w:pStyle w:val="Sansinterligne"/>
        <w:rPr>
          <w:b/>
          <w:lang w:eastAsia="fr-CA"/>
        </w:rPr>
      </w:pPr>
      <w:r w:rsidRPr="000C7CCF">
        <w:rPr>
          <w:b/>
          <w:lang w:eastAsia="fr-CA"/>
        </w:rPr>
        <w:t>Achondroplasie</w:t>
      </w:r>
    </w:p>
    <w:p w:rsidR="000C7CCF" w:rsidRPr="000C7CCF" w:rsidRDefault="000C7CCF" w:rsidP="005D429F">
      <w:pPr>
        <w:pStyle w:val="Sansinterligne"/>
        <w:numPr>
          <w:ilvl w:val="0"/>
          <w:numId w:val="892"/>
        </w:numPr>
        <w:ind w:left="360"/>
        <w:rPr>
          <w:lang w:eastAsia="fr-CA"/>
        </w:rPr>
      </w:pPr>
      <w:r>
        <w:rPr>
          <w:lang w:eastAsia="fr-CA"/>
        </w:rPr>
        <w:t>Référence en pédiatrie</w:t>
      </w:r>
    </w:p>
    <w:p w:rsidR="000C7CCF" w:rsidRDefault="000C7CCF" w:rsidP="00B27E53">
      <w:pPr>
        <w:pStyle w:val="Sansinterligne"/>
        <w:rPr>
          <w:lang w:eastAsia="fr-CA"/>
        </w:rPr>
      </w:pPr>
    </w:p>
    <w:p w:rsidR="00873594" w:rsidRPr="00C833B0" w:rsidRDefault="00873594" w:rsidP="00B27E53">
      <w:pPr>
        <w:pStyle w:val="Sansinterligne"/>
        <w:rPr>
          <w:b/>
          <w:highlight w:val="yellow"/>
          <w:lang w:eastAsia="fr-CA"/>
        </w:rPr>
      </w:pPr>
      <w:r w:rsidRPr="00C833B0">
        <w:rPr>
          <w:b/>
          <w:highlight w:val="yellow"/>
          <w:lang w:eastAsia="fr-CA"/>
        </w:rPr>
        <w:t>Rachitisme</w:t>
      </w:r>
    </w:p>
    <w:p w:rsidR="00873594" w:rsidRPr="00C833B0" w:rsidRDefault="00873594" w:rsidP="005D429F">
      <w:pPr>
        <w:pStyle w:val="Sansinterligne"/>
        <w:numPr>
          <w:ilvl w:val="0"/>
          <w:numId w:val="892"/>
        </w:numPr>
        <w:ind w:left="360"/>
        <w:rPr>
          <w:highlight w:val="yellow"/>
          <w:lang w:eastAsia="fr-CA"/>
        </w:rPr>
      </w:pPr>
      <w:r w:rsidRPr="00C833B0">
        <w:rPr>
          <w:highlight w:val="yellow"/>
          <w:lang w:eastAsia="fr-CA"/>
        </w:rPr>
        <w:t xml:space="preserve">Vitamine D 50000 UI q 7 jours </w:t>
      </w:r>
      <w:r w:rsidR="00C04E78">
        <w:rPr>
          <w:highlight w:val="yellow"/>
          <w:lang w:eastAsia="fr-CA"/>
        </w:rPr>
        <w:t xml:space="preserve">x 6 semaines </w:t>
      </w:r>
      <w:r w:rsidR="00C04E78">
        <w:rPr>
          <w:rFonts w:ascii="Century Gothic" w:hAnsi="Century Gothic"/>
          <w:highlight w:val="yellow"/>
          <w:lang w:eastAsia="fr-CA"/>
        </w:rPr>
        <w:t xml:space="preserve">puis </w:t>
      </w:r>
      <w:r w:rsidRPr="00C833B0">
        <w:rPr>
          <w:highlight w:val="yellow"/>
          <w:lang w:eastAsia="fr-CA"/>
        </w:rPr>
        <w:t xml:space="preserve">600-1000 UI DIE </w:t>
      </w:r>
    </w:p>
    <w:p w:rsidR="00B27E53" w:rsidRPr="00C833B0" w:rsidRDefault="00B27E53" w:rsidP="005D429F">
      <w:pPr>
        <w:pStyle w:val="Sansinterligne"/>
        <w:numPr>
          <w:ilvl w:val="0"/>
          <w:numId w:val="892"/>
        </w:numPr>
        <w:ind w:left="360"/>
        <w:rPr>
          <w:highlight w:val="yellow"/>
          <w:lang w:eastAsia="fr-CA"/>
        </w:rPr>
      </w:pPr>
      <w:r w:rsidRPr="00C833B0">
        <w:rPr>
          <w:highlight w:val="yellow"/>
          <w:lang w:eastAsia="fr-CA"/>
        </w:rPr>
        <w:t>Référence en pédiatrie</w:t>
      </w:r>
      <w:r w:rsidR="00C04E78">
        <w:rPr>
          <w:highlight w:val="yellow"/>
          <w:lang w:eastAsia="fr-CA"/>
        </w:rPr>
        <w:t xml:space="preserve"> et suivi</w:t>
      </w:r>
    </w:p>
    <w:p w:rsidR="008C30AE" w:rsidRDefault="008C30AE" w:rsidP="00B27E53">
      <w:pPr>
        <w:pStyle w:val="Sansinterligne"/>
        <w:rPr>
          <w:b/>
          <w:highlight w:val="yellow"/>
          <w:lang w:eastAsia="fr-CA"/>
        </w:rPr>
      </w:pPr>
    </w:p>
    <w:p w:rsidR="008C30AE" w:rsidRPr="00C833B0" w:rsidRDefault="00873594" w:rsidP="00B27E53">
      <w:pPr>
        <w:pStyle w:val="Sansinterligne"/>
        <w:rPr>
          <w:b/>
          <w:highlight w:val="yellow"/>
          <w:lang w:eastAsia="fr-CA"/>
        </w:rPr>
      </w:pPr>
      <w:r w:rsidRPr="00C833B0">
        <w:rPr>
          <w:b/>
          <w:highlight w:val="yellow"/>
          <w:lang w:eastAsia="fr-CA"/>
        </w:rPr>
        <w:t>Déficit en hormone de croissance (GH</w:t>
      </w:r>
      <w:r w:rsidR="0004548C">
        <w:rPr>
          <w:b/>
          <w:highlight w:val="yellow"/>
          <w:lang w:eastAsia="fr-CA"/>
        </w:rPr>
        <w:t>)</w:t>
      </w:r>
    </w:p>
    <w:p w:rsidR="00873594" w:rsidRPr="00C833B0" w:rsidRDefault="00873594" w:rsidP="005D429F">
      <w:pPr>
        <w:pStyle w:val="Sansinterligne"/>
        <w:numPr>
          <w:ilvl w:val="0"/>
          <w:numId w:val="892"/>
        </w:numPr>
        <w:ind w:left="360"/>
        <w:rPr>
          <w:highlight w:val="yellow"/>
          <w:lang w:eastAsia="fr-CA"/>
        </w:rPr>
      </w:pPr>
      <w:r w:rsidRPr="00C833B0">
        <w:rPr>
          <w:highlight w:val="yellow"/>
          <w:lang w:eastAsia="fr-CA"/>
        </w:rPr>
        <w:t>Référence en endocrinologie pédiatrique</w:t>
      </w:r>
    </w:p>
    <w:p w:rsidR="00873594" w:rsidRPr="00C833B0" w:rsidRDefault="00873594" w:rsidP="005D429F">
      <w:pPr>
        <w:pStyle w:val="Sansinterligne"/>
        <w:numPr>
          <w:ilvl w:val="0"/>
          <w:numId w:val="892"/>
        </w:numPr>
        <w:ind w:left="360"/>
        <w:rPr>
          <w:highlight w:val="yellow"/>
          <w:lang w:eastAsia="fr-CA"/>
        </w:rPr>
      </w:pPr>
      <w:r w:rsidRPr="00C833B0">
        <w:rPr>
          <w:highlight w:val="yellow"/>
          <w:lang w:eastAsia="fr-CA"/>
        </w:rPr>
        <w:t>Hormone d</w:t>
      </w:r>
      <w:r w:rsidR="00B27E53" w:rsidRPr="00C833B0">
        <w:rPr>
          <w:highlight w:val="yellow"/>
          <w:lang w:eastAsia="fr-CA"/>
        </w:rPr>
        <w:t>e croissance biosynthétique S/C</w:t>
      </w:r>
    </w:p>
    <w:p w:rsidR="00B27E53" w:rsidRPr="00C833B0" w:rsidRDefault="00B27E53" w:rsidP="00B27E53">
      <w:pPr>
        <w:pStyle w:val="Sansinterligne"/>
        <w:ind w:left="360"/>
        <w:rPr>
          <w:highlight w:val="yellow"/>
          <w:lang w:eastAsia="fr-CA"/>
        </w:rPr>
      </w:pPr>
    </w:p>
    <w:p w:rsidR="00F11A52" w:rsidRPr="00C833B0" w:rsidRDefault="00F11A52" w:rsidP="00B27E53">
      <w:pPr>
        <w:pStyle w:val="Sansinterligne"/>
        <w:rPr>
          <w:b/>
          <w:highlight w:val="yellow"/>
          <w:lang w:eastAsia="fr-CA"/>
        </w:rPr>
      </w:pPr>
      <w:r w:rsidRPr="00C833B0">
        <w:rPr>
          <w:b/>
          <w:highlight w:val="yellow"/>
          <w:lang w:eastAsia="fr-CA"/>
        </w:rPr>
        <w:t>Nanisme par carence affective</w:t>
      </w:r>
    </w:p>
    <w:p w:rsidR="00F11A52" w:rsidRPr="00C833B0" w:rsidRDefault="00F11A52" w:rsidP="005D429F">
      <w:pPr>
        <w:pStyle w:val="Sansinterligne"/>
        <w:numPr>
          <w:ilvl w:val="0"/>
          <w:numId w:val="892"/>
        </w:numPr>
        <w:ind w:left="360"/>
        <w:rPr>
          <w:highlight w:val="yellow"/>
          <w:lang w:eastAsia="fr-CA"/>
        </w:rPr>
      </w:pPr>
      <w:r w:rsidRPr="00C833B0">
        <w:rPr>
          <w:highlight w:val="yellow"/>
          <w:lang w:eastAsia="fr-CA"/>
        </w:rPr>
        <w:t>Amélioration de la situation psychosociale</w:t>
      </w:r>
    </w:p>
    <w:p w:rsidR="00F11A52" w:rsidRPr="00C833B0" w:rsidRDefault="00F11A52" w:rsidP="005D429F">
      <w:pPr>
        <w:pStyle w:val="Sansinterligne"/>
        <w:numPr>
          <w:ilvl w:val="0"/>
          <w:numId w:val="892"/>
        </w:numPr>
        <w:ind w:left="360"/>
        <w:rPr>
          <w:highlight w:val="yellow"/>
          <w:lang w:eastAsia="fr-CA"/>
        </w:rPr>
      </w:pPr>
      <w:r w:rsidRPr="00C833B0">
        <w:rPr>
          <w:highlight w:val="yellow"/>
          <w:lang w:eastAsia="fr-CA"/>
        </w:rPr>
        <w:t>Famille d’accueil parfois nécessaire</w:t>
      </w:r>
    </w:p>
    <w:p w:rsidR="00F11A52" w:rsidRPr="00C833B0" w:rsidRDefault="00F11A52" w:rsidP="005D429F">
      <w:pPr>
        <w:pStyle w:val="Sansinterligne"/>
        <w:numPr>
          <w:ilvl w:val="0"/>
          <w:numId w:val="892"/>
        </w:numPr>
        <w:ind w:left="360"/>
        <w:rPr>
          <w:highlight w:val="yellow"/>
          <w:lang w:eastAsia="fr-CA"/>
        </w:rPr>
      </w:pPr>
      <w:r w:rsidRPr="00C833B0">
        <w:rPr>
          <w:highlight w:val="yellow"/>
          <w:lang w:eastAsia="fr-CA"/>
        </w:rPr>
        <w:t>Référence à la DPJ</w:t>
      </w:r>
    </w:p>
    <w:p w:rsidR="005B183E" w:rsidRDefault="005B183E" w:rsidP="00E40A1D">
      <w:pPr>
        <w:pStyle w:val="Sansinterligne"/>
        <w:rPr>
          <w:lang w:eastAsia="fr-CA"/>
        </w:rPr>
      </w:pPr>
    </w:p>
    <w:p w:rsidR="00E40A1D" w:rsidRPr="00C833B0" w:rsidRDefault="000C7CCF" w:rsidP="00E40A1D">
      <w:pPr>
        <w:pStyle w:val="Sansinterligne"/>
        <w:rPr>
          <w:b/>
          <w:highlight w:val="yellow"/>
          <w:lang w:eastAsia="fr-CA"/>
        </w:rPr>
      </w:pPr>
      <w:r w:rsidRPr="00C833B0">
        <w:rPr>
          <w:b/>
          <w:highlight w:val="yellow"/>
          <w:lang w:eastAsia="fr-CA"/>
        </w:rPr>
        <w:t>Hypothyroïdie</w:t>
      </w:r>
    </w:p>
    <w:p w:rsidR="000C7CCF" w:rsidRPr="00C833B0" w:rsidRDefault="000C7CCF" w:rsidP="005D429F">
      <w:pPr>
        <w:pStyle w:val="Sansinterligne"/>
        <w:numPr>
          <w:ilvl w:val="0"/>
          <w:numId w:val="893"/>
        </w:numPr>
        <w:rPr>
          <w:highlight w:val="yellow"/>
          <w:lang w:eastAsia="fr-CA"/>
        </w:rPr>
      </w:pPr>
      <w:r w:rsidRPr="00C833B0">
        <w:rPr>
          <w:highlight w:val="yellow"/>
          <w:lang w:eastAsia="fr-CA"/>
        </w:rPr>
        <w:t>Lévothyroxine selon les besoins</w:t>
      </w:r>
    </w:p>
    <w:p w:rsidR="000C7CCF" w:rsidRPr="00C833B0" w:rsidRDefault="000C7CCF" w:rsidP="005D429F">
      <w:pPr>
        <w:pStyle w:val="Sansinterligne"/>
        <w:numPr>
          <w:ilvl w:val="0"/>
          <w:numId w:val="893"/>
        </w:numPr>
        <w:rPr>
          <w:highlight w:val="yellow"/>
          <w:lang w:eastAsia="fr-CA"/>
        </w:rPr>
      </w:pPr>
      <w:r w:rsidRPr="00C833B0">
        <w:rPr>
          <w:highlight w:val="yellow"/>
          <w:lang w:eastAsia="fr-CA"/>
        </w:rPr>
        <w:t>Référence en pédiatrie</w:t>
      </w:r>
    </w:p>
    <w:p w:rsidR="008C30AE" w:rsidRDefault="000C7CCF" w:rsidP="005D429F">
      <w:pPr>
        <w:pStyle w:val="Sansinterligne"/>
        <w:numPr>
          <w:ilvl w:val="0"/>
          <w:numId w:val="893"/>
        </w:numPr>
        <w:rPr>
          <w:highlight w:val="yellow"/>
          <w:lang w:eastAsia="fr-CA"/>
        </w:rPr>
      </w:pPr>
      <w:r w:rsidRPr="00C833B0">
        <w:rPr>
          <w:highlight w:val="yellow"/>
          <w:lang w:eastAsia="fr-CA"/>
        </w:rPr>
        <w:t>Croissance se normalise habituellemen</w:t>
      </w:r>
      <w:bookmarkEnd w:id="379"/>
      <w:r w:rsidR="008C30AE">
        <w:rPr>
          <w:highlight w:val="yellow"/>
          <w:lang w:eastAsia="fr-CA"/>
        </w:rPr>
        <w:t>t</w:t>
      </w:r>
    </w:p>
    <w:p w:rsidR="008C30AE" w:rsidRDefault="008C30AE" w:rsidP="008C30AE">
      <w:pPr>
        <w:pStyle w:val="Sansinterligne"/>
        <w:rPr>
          <w:highlight w:val="yellow"/>
          <w:lang w:eastAsia="fr-CA"/>
        </w:rPr>
      </w:pPr>
    </w:p>
    <w:p w:rsidR="00C04E78" w:rsidRDefault="00C04E78" w:rsidP="00811FB7">
      <w:pPr>
        <w:pStyle w:val="Sansinterligne"/>
        <w:rPr>
          <w:b/>
          <w:highlight w:val="yellow"/>
          <w:lang w:eastAsia="fr-CA"/>
        </w:rPr>
      </w:pPr>
    </w:p>
    <w:p w:rsidR="00C04E78" w:rsidRDefault="00C04E78" w:rsidP="00811FB7">
      <w:pPr>
        <w:pStyle w:val="Sansinterligne"/>
        <w:rPr>
          <w:b/>
          <w:highlight w:val="yellow"/>
          <w:lang w:eastAsia="fr-CA"/>
        </w:rPr>
      </w:pPr>
    </w:p>
    <w:p w:rsidR="00C04E78" w:rsidRDefault="00C04E78" w:rsidP="00811FB7">
      <w:pPr>
        <w:pStyle w:val="Sansinterligne"/>
        <w:rPr>
          <w:b/>
          <w:highlight w:val="yellow"/>
          <w:lang w:eastAsia="fr-CA"/>
        </w:rPr>
      </w:pPr>
    </w:p>
    <w:p w:rsidR="00C04E78" w:rsidRDefault="00C04E78" w:rsidP="00811FB7">
      <w:pPr>
        <w:pStyle w:val="Sansinterligne"/>
        <w:rPr>
          <w:b/>
          <w:highlight w:val="yellow"/>
          <w:lang w:eastAsia="fr-CA"/>
        </w:rPr>
      </w:pPr>
    </w:p>
    <w:p w:rsidR="00C04E78" w:rsidRDefault="00C04E78" w:rsidP="00811FB7">
      <w:pPr>
        <w:pStyle w:val="Sansinterligne"/>
        <w:rPr>
          <w:b/>
          <w:highlight w:val="yellow"/>
          <w:lang w:eastAsia="fr-CA"/>
        </w:rPr>
      </w:pPr>
    </w:p>
    <w:p w:rsidR="00C04E78" w:rsidRDefault="00C04E78" w:rsidP="00811FB7">
      <w:pPr>
        <w:pStyle w:val="Sansinterligne"/>
        <w:rPr>
          <w:b/>
          <w:highlight w:val="yellow"/>
          <w:lang w:eastAsia="fr-CA"/>
        </w:rPr>
      </w:pPr>
    </w:p>
    <w:p w:rsidR="00C04E78" w:rsidRDefault="00C04E78" w:rsidP="00811FB7">
      <w:pPr>
        <w:pStyle w:val="Sansinterligne"/>
        <w:rPr>
          <w:b/>
          <w:highlight w:val="yellow"/>
          <w:lang w:eastAsia="fr-CA"/>
        </w:rPr>
      </w:pPr>
    </w:p>
    <w:p w:rsidR="00C04E78" w:rsidRDefault="00C04E78" w:rsidP="00811FB7">
      <w:pPr>
        <w:pStyle w:val="Sansinterligne"/>
        <w:rPr>
          <w:b/>
          <w:highlight w:val="yellow"/>
          <w:lang w:eastAsia="fr-CA"/>
        </w:rPr>
      </w:pPr>
    </w:p>
    <w:p w:rsidR="00C04E78" w:rsidRDefault="00C04E78" w:rsidP="00811FB7">
      <w:pPr>
        <w:pStyle w:val="Sansinterligne"/>
        <w:rPr>
          <w:b/>
          <w:highlight w:val="yellow"/>
          <w:lang w:eastAsia="fr-CA"/>
        </w:rPr>
      </w:pPr>
    </w:p>
    <w:p w:rsidR="00C04E78" w:rsidRDefault="00C04E78" w:rsidP="00811FB7">
      <w:pPr>
        <w:pStyle w:val="Sansinterligne"/>
        <w:rPr>
          <w:b/>
          <w:highlight w:val="yellow"/>
          <w:lang w:eastAsia="fr-CA"/>
        </w:rPr>
      </w:pPr>
    </w:p>
    <w:p w:rsidR="00C04E78" w:rsidRDefault="00C04E78" w:rsidP="00811FB7">
      <w:pPr>
        <w:pStyle w:val="Sansinterligne"/>
        <w:rPr>
          <w:b/>
          <w:highlight w:val="yellow"/>
          <w:lang w:eastAsia="fr-CA"/>
        </w:rPr>
      </w:pPr>
    </w:p>
    <w:p w:rsidR="000C7CCF" w:rsidRPr="00C833B0" w:rsidRDefault="000C7CCF" w:rsidP="00811FB7">
      <w:pPr>
        <w:pStyle w:val="Sansinterligne"/>
        <w:rPr>
          <w:b/>
          <w:highlight w:val="yellow"/>
          <w:lang w:eastAsia="fr-CA"/>
        </w:rPr>
      </w:pPr>
      <w:r w:rsidRPr="00C833B0">
        <w:rPr>
          <w:b/>
          <w:highlight w:val="yellow"/>
          <w:lang w:eastAsia="fr-CA"/>
        </w:rPr>
        <w:t>Syndrome de Cushing</w:t>
      </w:r>
    </w:p>
    <w:p w:rsidR="000C7CCF" w:rsidRPr="00C833B0" w:rsidRDefault="00811FB7" w:rsidP="00811FB7">
      <w:pPr>
        <w:pStyle w:val="Sansinterligne"/>
        <w:ind w:left="360"/>
        <w:rPr>
          <w:highlight w:val="yellow"/>
          <w:u w:val="single"/>
          <w:lang w:eastAsia="fr-CA"/>
        </w:rPr>
      </w:pPr>
      <w:r w:rsidRPr="00C833B0">
        <w:rPr>
          <w:highlight w:val="yellow"/>
          <w:u w:val="single"/>
          <w:lang w:eastAsia="fr-CA"/>
        </w:rPr>
        <w:t>Si iatrogénique :</w:t>
      </w:r>
    </w:p>
    <w:p w:rsidR="00811FB7" w:rsidRPr="00C833B0" w:rsidRDefault="00811FB7" w:rsidP="005D429F">
      <w:pPr>
        <w:pStyle w:val="Sansinterligne"/>
        <w:numPr>
          <w:ilvl w:val="0"/>
          <w:numId w:val="893"/>
        </w:numPr>
        <w:rPr>
          <w:highlight w:val="yellow"/>
          <w:lang w:eastAsia="fr-CA"/>
        </w:rPr>
      </w:pPr>
      <w:r w:rsidRPr="00C833B0">
        <w:rPr>
          <w:highlight w:val="yellow"/>
          <w:lang w:eastAsia="fr-CA"/>
        </w:rPr>
        <w:t>Dose moyenne : taille finale non affectée, croissance retardée</w:t>
      </w:r>
    </w:p>
    <w:p w:rsidR="00811FB7" w:rsidRPr="00C833B0" w:rsidRDefault="00AD475D" w:rsidP="005D429F">
      <w:pPr>
        <w:pStyle w:val="Sansinterligne"/>
        <w:numPr>
          <w:ilvl w:val="0"/>
          <w:numId w:val="893"/>
        </w:numPr>
        <w:rPr>
          <w:highlight w:val="yellow"/>
          <w:lang w:eastAsia="fr-CA"/>
        </w:rPr>
      </w:pPr>
      <w:r w:rsidRPr="00C833B0">
        <w:rPr>
          <w:highlight w:val="yellow"/>
          <w:lang w:eastAsia="fr-CA"/>
        </w:rPr>
        <w:t>Élevée/long cours</w:t>
      </w:r>
      <w:r w:rsidR="00811FB7" w:rsidRPr="00C833B0">
        <w:rPr>
          <w:highlight w:val="yellow"/>
          <w:lang w:eastAsia="fr-CA"/>
        </w:rPr>
        <w:t> : réduction de la taille finale probable</w:t>
      </w:r>
    </w:p>
    <w:p w:rsidR="00811FB7" w:rsidRPr="00C833B0" w:rsidRDefault="00811FB7" w:rsidP="005D429F">
      <w:pPr>
        <w:pStyle w:val="Sansinterligne"/>
        <w:numPr>
          <w:ilvl w:val="1"/>
          <w:numId w:val="893"/>
        </w:numPr>
        <w:rPr>
          <w:highlight w:val="yellow"/>
          <w:lang w:eastAsia="fr-CA"/>
        </w:rPr>
      </w:pPr>
      <w:r w:rsidRPr="00C833B0">
        <w:rPr>
          <w:highlight w:val="yellow"/>
          <w:lang w:eastAsia="fr-CA"/>
        </w:rPr>
        <w:t>Envisager alternative</w:t>
      </w:r>
    </w:p>
    <w:p w:rsidR="00811FB7" w:rsidRPr="00C833B0" w:rsidRDefault="00811FB7" w:rsidP="00811FB7">
      <w:pPr>
        <w:pStyle w:val="Sansinterligne"/>
        <w:ind w:left="360"/>
        <w:rPr>
          <w:highlight w:val="yellow"/>
          <w:lang w:eastAsia="fr-CA"/>
        </w:rPr>
      </w:pPr>
      <w:r w:rsidRPr="00C833B0">
        <w:rPr>
          <w:highlight w:val="yellow"/>
          <w:u w:val="single"/>
          <w:lang w:eastAsia="fr-CA"/>
        </w:rPr>
        <w:t>Si Maladie de Cushing</w:t>
      </w:r>
      <w:r w:rsidRPr="00C833B0">
        <w:rPr>
          <w:highlight w:val="yellow"/>
          <w:lang w:eastAsia="fr-CA"/>
        </w:rPr>
        <w:t> :</w:t>
      </w:r>
    </w:p>
    <w:p w:rsidR="00811FB7" w:rsidRPr="00C833B0" w:rsidRDefault="00811FB7" w:rsidP="005D429F">
      <w:pPr>
        <w:pStyle w:val="Sansinterligne"/>
        <w:numPr>
          <w:ilvl w:val="1"/>
          <w:numId w:val="893"/>
        </w:numPr>
        <w:rPr>
          <w:highlight w:val="yellow"/>
          <w:lang w:eastAsia="fr-CA"/>
        </w:rPr>
      </w:pPr>
      <w:r w:rsidRPr="00C833B0">
        <w:rPr>
          <w:highlight w:val="yellow"/>
          <w:lang w:eastAsia="fr-CA"/>
        </w:rPr>
        <w:t>Référence en endocrinologie pédiatrique</w:t>
      </w:r>
    </w:p>
    <w:p w:rsidR="00811FB7" w:rsidRPr="00C833B0" w:rsidRDefault="00811FB7" w:rsidP="005D429F">
      <w:pPr>
        <w:pStyle w:val="Sansinterligne"/>
        <w:numPr>
          <w:ilvl w:val="1"/>
          <w:numId w:val="893"/>
        </w:numPr>
        <w:rPr>
          <w:highlight w:val="yellow"/>
          <w:lang w:eastAsia="fr-CA"/>
        </w:rPr>
      </w:pPr>
      <w:r w:rsidRPr="00C833B0">
        <w:rPr>
          <w:highlight w:val="yellow"/>
          <w:lang w:eastAsia="fr-CA"/>
        </w:rPr>
        <w:t>Résection tumorale transphénoïdale</w:t>
      </w:r>
    </w:p>
    <w:p w:rsidR="008C30AE" w:rsidRPr="00C04E78" w:rsidRDefault="00811FB7" w:rsidP="005D429F">
      <w:pPr>
        <w:pStyle w:val="Sansinterligne"/>
        <w:numPr>
          <w:ilvl w:val="1"/>
          <w:numId w:val="893"/>
        </w:numPr>
        <w:rPr>
          <w:highlight w:val="yellow"/>
          <w:lang w:eastAsia="fr-CA"/>
        </w:rPr>
        <w:sectPr w:rsidR="008C30AE" w:rsidRPr="00C04E78" w:rsidSect="008C30AE">
          <w:type w:val="continuous"/>
          <w:pgSz w:w="12240" w:h="15840"/>
          <w:pgMar w:top="720" w:right="720" w:bottom="720" w:left="720" w:header="708" w:footer="708" w:gutter="0"/>
          <w:cols w:num="2" w:space="708"/>
          <w:docGrid w:linePitch="360"/>
        </w:sectPr>
      </w:pPr>
      <w:r w:rsidRPr="00C833B0">
        <w:rPr>
          <w:highlight w:val="yellow"/>
          <w:lang w:eastAsia="fr-CA"/>
        </w:rPr>
        <w:t>Cabergoline en attendant la chirurgie</w:t>
      </w:r>
    </w:p>
    <w:p w:rsidR="008C30AE" w:rsidRDefault="008C30AE" w:rsidP="001C25EE">
      <w:pPr>
        <w:spacing w:after="0"/>
        <w:rPr>
          <w:rFonts w:cs="Times New Roman"/>
          <w:b/>
          <w:color w:val="548DD4" w:themeColor="text2" w:themeTint="99"/>
        </w:rPr>
        <w:sectPr w:rsidR="008C30AE" w:rsidSect="008C30AE">
          <w:type w:val="continuous"/>
          <w:pgSz w:w="12240" w:h="15840"/>
          <w:pgMar w:top="720" w:right="720" w:bottom="720" w:left="720" w:header="708" w:footer="708" w:gutter="0"/>
          <w:cols w:num="2" w:space="708"/>
          <w:docGrid w:linePitch="360"/>
        </w:sectPr>
      </w:pPr>
    </w:p>
    <w:p w:rsidR="0064088A" w:rsidRDefault="00C04E78" w:rsidP="0064088A">
      <w:pPr>
        <w:spacing w:after="0"/>
        <w:rPr>
          <w:rFonts w:cs="Times New Roman"/>
          <w:b/>
          <w:color w:val="548DD4" w:themeColor="text2" w:themeTint="99"/>
        </w:rPr>
      </w:pPr>
      <w:r>
        <w:rPr>
          <w:rFonts w:cs="Times New Roman"/>
          <w:b/>
          <w:color w:val="548DD4" w:themeColor="text2" w:themeTint="99"/>
        </w:rPr>
        <w:br w:type="page"/>
      </w:r>
      <w:r w:rsidR="0064088A">
        <w:rPr>
          <w:rFonts w:cs="Times New Roman"/>
          <w:b/>
          <w:color w:val="548DD4" w:themeColor="text2" w:themeTint="99"/>
        </w:rPr>
        <w:t>CMC 102</w:t>
      </w:r>
    </w:p>
    <w:p w:rsidR="0064088A" w:rsidRPr="0064088A" w:rsidRDefault="0064088A" w:rsidP="0064088A">
      <w:pPr>
        <w:pStyle w:val="Titre3"/>
        <w:spacing w:before="0"/>
        <w:rPr>
          <w:rFonts w:ascii="Times New Roman" w:hAnsi="Times New Roman" w:cs="Times New Roman"/>
        </w:rPr>
      </w:pPr>
      <w:bookmarkStart w:id="380" w:name="_Toc480797331"/>
      <w:r w:rsidRPr="0064088A">
        <w:rPr>
          <w:rFonts w:ascii="Times New Roman" w:hAnsi="Times New Roman" w:cs="Times New Roman"/>
        </w:rPr>
        <w:t>Strabisme et/ou amblyopie</w:t>
      </w:r>
      <w:bookmarkEnd w:id="380"/>
    </w:p>
    <w:tbl>
      <w:tblPr>
        <w:tblW w:w="3858" w:type="pct"/>
        <w:tblCellSpacing w:w="0" w:type="dxa"/>
        <w:tblCellMar>
          <w:left w:w="0" w:type="dxa"/>
          <w:right w:w="0" w:type="dxa"/>
        </w:tblCellMar>
        <w:tblLook w:val="04A0" w:firstRow="1" w:lastRow="0" w:firstColumn="1" w:lastColumn="0" w:noHBand="0" w:noVBand="1"/>
      </w:tblPr>
      <w:tblGrid>
        <w:gridCol w:w="8333"/>
      </w:tblGrid>
      <w:tr w:rsidR="0064088A" w:rsidRPr="0064088A" w:rsidTr="0064088A">
        <w:trPr>
          <w:tblCellSpacing w:w="0" w:type="dxa"/>
        </w:trPr>
        <w:tc>
          <w:tcPr>
            <w:tcW w:w="0" w:type="auto"/>
            <w:vAlign w:val="bottom"/>
            <w:hideMark/>
          </w:tcPr>
          <w:p w:rsidR="0064088A" w:rsidRPr="0064088A" w:rsidRDefault="0064088A" w:rsidP="0064088A">
            <w:pPr>
              <w:pStyle w:val="Sansinterligne"/>
              <w:spacing w:before="240"/>
              <w:rPr>
                <w:rFonts w:cs="Times New Roman"/>
                <w:b/>
                <w:sz w:val="18"/>
                <w:szCs w:val="18"/>
              </w:rPr>
            </w:pPr>
            <w:r>
              <w:rPr>
                <w:rFonts w:cs="Times New Roman"/>
                <w:b/>
                <w:noProof/>
                <w:sz w:val="18"/>
                <w:szCs w:val="18"/>
                <w:lang w:eastAsia="fr-CA"/>
              </w:rPr>
              <mc:AlternateContent>
                <mc:Choice Requires="wps">
                  <w:drawing>
                    <wp:anchor distT="0" distB="0" distL="114300" distR="114300" simplePos="0" relativeHeight="251935744" behindDoc="0" locked="0" layoutInCell="1" allowOverlap="1" wp14:anchorId="4CB3DFD9" wp14:editId="2B9F55FC">
                      <wp:simplePos x="0" y="0"/>
                      <wp:positionH relativeFrom="column">
                        <wp:posOffset>-48638</wp:posOffset>
                      </wp:positionH>
                      <wp:positionV relativeFrom="paragraph">
                        <wp:posOffset>104680</wp:posOffset>
                      </wp:positionV>
                      <wp:extent cx="6906638" cy="2422188"/>
                      <wp:effectExtent l="0" t="0" r="27940" b="16510"/>
                      <wp:wrapNone/>
                      <wp:docPr id="453" name="Rectangle 453"/>
                      <wp:cNvGraphicFramePr/>
                      <a:graphic xmlns:a="http://schemas.openxmlformats.org/drawingml/2006/main">
                        <a:graphicData uri="http://schemas.microsoft.com/office/word/2010/wordprocessingShape">
                          <wps:wsp>
                            <wps:cNvSpPr/>
                            <wps:spPr>
                              <a:xfrm>
                                <a:off x="0" y="0"/>
                                <a:ext cx="6906638" cy="2422188"/>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453" o:spid="_x0000_s1026" style="position:absolute;margin-left:-3.85pt;margin-top:8.25pt;width:543.85pt;height:190.7pt;z-index:2519357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" filled="f" strokecolor="black [1600]" strokeweight="2pt"/>
                  </w:pict>
                </mc:Fallback>
              </mc:AlternateContent>
            </w:r>
            <w:r w:rsidRPr="0064088A">
              <w:rPr>
                <w:rFonts w:cs="Times New Roman"/>
                <w:b/>
                <w:sz w:val="18"/>
                <w:szCs w:val="18"/>
              </w:rPr>
              <w:t>Objectifs principaux</w:t>
            </w:r>
          </w:p>
        </w:tc>
      </w:tr>
    </w:tbl>
    <w:p w:rsidR="0064088A" w:rsidRPr="0064088A" w:rsidRDefault="0064088A" w:rsidP="0064088A">
      <w:pPr>
        <w:pStyle w:val="NormalWeb"/>
        <w:ind w:left="360"/>
        <w:rPr>
          <w:color w:val="000000"/>
          <w:sz w:val="18"/>
          <w:szCs w:val="18"/>
          <w:shd w:val="clear" w:color="auto" w:fill="FFFFFF"/>
        </w:rPr>
      </w:pPr>
      <w:r w:rsidRPr="0064088A">
        <w:rPr>
          <w:color w:val="000000"/>
          <w:sz w:val="18"/>
          <w:szCs w:val="18"/>
          <w:shd w:val="clear" w:color="auto" w:fill="FFFFFF"/>
        </w:rPr>
        <w:t>Dans le cas d'un patient ayant un strabisme et/ou une amblyopie, le candidat devra en diagnostiquer la cause, la gravité et les complications, et mettre en place un plan de prise en charge en temps opportun. En particulier, il devra déterminer le type de strabisme et établir l'urgence d'une intervention afin de prévenir l'apparition d'une amblyopie importante.</w:t>
      </w:r>
    </w:p>
    <w:tbl>
      <w:tblPr>
        <w:tblW w:w="3897" w:type="pct"/>
        <w:tblCellSpacing w:w="0" w:type="dxa"/>
        <w:tblCellMar>
          <w:left w:w="0" w:type="dxa"/>
          <w:right w:w="0" w:type="dxa"/>
        </w:tblCellMar>
        <w:tblLook w:val="04A0" w:firstRow="1" w:lastRow="0" w:firstColumn="1" w:lastColumn="0" w:noHBand="0" w:noVBand="1"/>
      </w:tblPr>
      <w:tblGrid>
        <w:gridCol w:w="8418"/>
      </w:tblGrid>
      <w:tr w:rsidR="0064088A" w:rsidRPr="0064088A" w:rsidTr="0064088A">
        <w:trPr>
          <w:tblCellSpacing w:w="0" w:type="dxa"/>
        </w:trPr>
        <w:tc>
          <w:tcPr>
            <w:tcW w:w="0" w:type="auto"/>
            <w:vAlign w:val="bottom"/>
            <w:hideMark/>
          </w:tcPr>
          <w:p w:rsidR="0064088A" w:rsidRPr="0064088A" w:rsidRDefault="0064088A" w:rsidP="0064088A">
            <w:pPr>
              <w:pStyle w:val="Sansinterligne"/>
              <w:rPr>
                <w:rFonts w:cs="Times New Roman"/>
                <w:b/>
                <w:sz w:val="16"/>
                <w:szCs w:val="16"/>
              </w:rPr>
            </w:pPr>
            <w:r w:rsidRPr="0064088A">
              <w:rPr>
                <w:rFonts w:cs="Times New Roman"/>
                <w:b/>
                <w:sz w:val="16"/>
                <w:szCs w:val="16"/>
              </w:rPr>
              <w:t>Objectifs spécifiques</w:t>
            </w:r>
          </w:p>
        </w:tc>
      </w:tr>
    </w:tbl>
    <w:p w:rsidR="0064088A" w:rsidRPr="0064088A" w:rsidRDefault="0064088A" w:rsidP="0064088A">
      <w:pPr>
        <w:pStyle w:val="NormalWeb"/>
        <w:shd w:val="clear" w:color="auto" w:fill="FFFFFF"/>
        <w:ind w:left="360"/>
        <w:rPr>
          <w:color w:val="000000"/>
          <w:sz w:val="16"/>
          <w:szCs w:val="16"/>
          <w:shd w:val="clear" w:color="auto" w:fill="FFFFFF"/>
        </w:rPr>
      </w:pPr>
      <w:r w:rsidRPr="0064088A">
        <w:rPr>
          <w:color w:val="000000"/>
          <w:sz w:val="16"/>
          <w:szCs w:val="16"/>
          <w:shd w:val="clear" w:color="auto" w:fill="FFFFFF"/>
        </w:rPr>
        <w:t>Dans le cas d'un patient ayant un strabisme et/ou une amblyopie, ou des antécédents de facteurs de risque de ces affections, le candidat devra</w:t>
      </w:r>
    </w:p>
    <w:p w:rsidR="0064088A" w:rsidRPr="0064088A" w:rsidRDefault="0064088A" w:rsidP="005D429F">
      <w:pPr>
        <w:numPr>
          <w:ilvl w:val="0"/>
          <w:numId w:val="926"/>
        </w:numPr>
        <w:shd w:val="clear" w:color="auto" w:fill="FFFFFF"/>
        <w:spacing w:before="100" w:beforeAutospacing="1" w:after="100" w:afterAutospacing="1" w:line="240" w:lineRule="auto"/>
        <w:rPr>
          <w:rFonts w:cs="Times New Roman"/>
          <w:color w:val="000000"/>
          <w:sz w:val="16"/>
          <w:szCs w:val="16"/>
          <w:shd w:val="clear" w:color="auto" w:fill="FFFFFF"/>
        </w:rPr>
      </w:pPr>
      <w:r w:rsidRPr="0064088A">
        <w:rPr>
          <w:rFonts w:cs="Times New Roman"/>
          <w:color w:val="000000"/>
          <w:sz w:val="16"/>
          <w:szCs w:val="16"/>
          <w:shd w:val="clear" w:color="auto" w:fill="FFFFFF"/>
        </w:rPr>
        <w:t>déterminer les facteurs de risque de l'apparition d'un strabisme ou d'une amblyopie chez un enfant (p. ex. prématurité, antécédents familiaux);</w:t>
      </w:r>
    </w:p>
    <w:p w:rsidR="0064088A" w:rsidRPr="0064088A" w:rsidRDefault="0064088A" w:rsidP="005D429F">
      <w:pPr>
        <w:numPr>
          <w:ilvl w:val="0"/>
          <w:numId w:val="926"/>
        </w:numPr>
        <w:shd w:val="clear" w:color="auto" w:fill="FFFFFF"/>
        <w:spacing w:before="100" w:beforeAutospacing="1" w:after="100" w:afterAutospacing="1" w:line="240" w:lineRule="auto"/>
        <w:rPr>
          <w:rFonts w:cs="Times New Roman"/>
          <w:color w:val="000000"/>
          <w:sz w:val="16"/>
          <w:szCs w:val="16"/>
          <w:shd w:val="clear" w:color="auto" w:fill="FFFFFF"/>
        </w:rPr>
      </w:pPr>
      <w:r w:rsidRPr="0064088A">
        <w:rPr>
          <w:rFonts w:cs="Times New Roman"/>
          <w:color w:val="000000"/>
          <w:sz w:val="16"/>
          <w:szCs w:val="16"/>
          <w:shd w:val="clear" w:color="auto" w:fill="FFFFFF"/>
        </w:rPr>
        <w:t>énumérer et interpréter les composantes clés de l'anamnèse et de l'examen physique, en accordant une attention particulière :</w:t>
      </w:r>
    </w:p>
    <w:p w:rsidR="0064088A" w:rsidRPr="0064088A" w:rsidRDefault="0064088A" w:rsidP="005D429F">
      <w:pPr>
        <w:numPr>
          <w:ilvl w:val="1"/>
          <w:numId w:val="926"/>
        </w:numPr>
        <w:shd w:val="clear" w:color="auto" w:fill="FFFFFF"/>
        <w:spacing w:before="100" w:beforeAutospacing="1" w:after="100" w:afterAutospacing="1" w:line="240" w:lineRule="auto"/>
        <w:rPr>
          <w:rFonts w:cs="Times New Roman"/>
          <w:color w:val="000000"/>
          <w:sz w:val="16"/>
          <w:szCs w:val="16"/>
          <w:shd w:val="clear" w:color="auto" w:fill="FFFFFF"/>
        </w:rPr>
      </w:pPr>
      <w:r w:rsidRPr="0064088A">
        <w:rPr>
          <w:rFonts w:cs="Times New Roman"/>
          <w:color w:val="000000"/>
          <w:sz w:val="16"/>
          <w:szCs w:val="16"/>
          <w:shd w:val="clear" w:color="auto" w:fill="FFFFFF"/>
        </w:rPr>
        <w:t>à la distinction entre le pseudo-strabisme (p. ex. configuration des paupières) et le strabisme véritable;</w:t>
      </w:r>
    </w:p>
    <w:p w:rsidR="0064088A" w:rsidRPr="0064088A" w:rsidRDefault="0064088A" w:rsidP="005D429F">
      <w:pPr>
        <w:numPr>
          <w:ilvl w:val="1"/>
          <w:numId w:val="926"/>
        </w:numPr>
        <w:shd w:val="clear" w:color="auto" w:fill="FFFFFF"/>
        <w:spacing w:before="100" w:beforeAutospacing="1" w:after="100" w:afterAutospacing="1" w:line="240" w:lineRule="auto"/>
        <w:rPr>
          <w:rFonts w:cs="Times New Roman"/>
          <w:color w:val="000000"/>
          <w:sz w:val="16"/>
          <w:szCs w:val="16"/>
          <w:shd w:val="clear" w:color="auto" w:fill="FFFFFF"/>
        </w:rPr>
      </w:pPr>
      <w:r w:rsidRPr="0064088A">
        <w:rPr>
          <w:rFonts w:cs="Times New Roman"/>
          <w:color w:val="000000"/>
          <w:sz w:val="16"/>
          <w:szCs w:val="16"/>
          <w:shd w:val="clear" w:color="auto" w:fill="FFFFFF"/>
        </w:rPr>
        <w:t>à un examen oculaire approfondi, y compris un examen de l'acuité visuelle, s'il y a lieu;</w:t>
      </w:r>
    </w:p>
    <w:p w:rsidR="0064088A" w:rsidRPr="0064088A" w:rsidRDefault="0064088A" w:rsidP="005D429F">
      <w:pPr>
        <w:numPr>
          <w:ilvl w:val="0"/>
          <w:numId w:val="926"/>
        </w:numPr>
        <w:shd w:val="clear" w:color="auto" w:fill="FFFFFF"/>
        <w:spacing w:before="100" w:beforeAutospacing="1" w:after="100" w:afterAutospacing="1" w:line="240" w:lineRule="auto"/>
        <w:rPr>
          <w:rFonts w:cs="Times New Roman"/>
          <w:color w:val="000000"/>
          <w:sz w:val="16"/>
          <w:szCs w:val="16"/>
          <w:shd w:val="clear" w:color="auto" w:fill="FFFFFF"/>
        </w:rPr>
      </w:pPr>
      <w:r w:rsidRPr="0064088A">
        <w:rPr>
          <w:rFonts w:cs="Times New Roman"/>
          <w:color w:val="000000"/>
          <w:sz w:val="16"/>
          <w:szCs w:val="16"/>
          <w:shd w:val="clear" w:color="auto" w:fill="FFFFFF"/>
        </w:rPr>
        <w:t>établir un plan efficace de prise en charge initiale, notamment :</w:t>
      </w:r>
    </w:p>
    <w:p w:rsidR="0064088A" w:rsidRPr="0064088A" w:rsidRDefault="0064088A" w:rsidP="005D429F">
      <w:pPr>
        <w:numPr>
          <w:ilvl w:val="1"/>
          <w:numId w:val="926"/>
        </w:numPr>
        <w:shd w:val="clear" w:color="auto" w:fill="FFFFFF"/>
        <w:spacing w:before="100" w:beforeAutospacing="1" w:after="100" w:afterAutospacing="1" w:line="240" w:lineRule="auto"/>
        <w:rPr>
          <w:rFonts w:cs="Times New Roman"/>
          <w:color w:val="000000"/>
          <w:sz w:val="16"/>
          <w:szCs w:val="16"/>
          <w:shd w:val="clear" w:color="auto" w:fill="FFFFFF"/>
        </w:rPr>
      </w:pPr>
      <w:r w:rsidRPr="0064088A">
        <w:rPr>
          <w:rFonts w:cs="Times New Roman"/>
          <w:color w:val="000000"/>
          <w:sz w:val="16"/>
          <w:szCs w:val="16"/>
          <w:shd w:val="clear" w:color="auto" w:fill="FFFFFF"/>
        </w:rPr>
        <w:t>selon les facteurs de risque ou les constatations cliniques, déterminer si le patient a besoin d'autres examens ou doit être adressé à un spécialiste;</w:t>
      </w:r>
    </w:p>
    <w:p w:rsidR="00B60FDA" w:rsidRPr="009F0488" w:rsidRDefault="0064088A" w:rsidP="005D429F">
      <w:pPr>
        <w:numPr>
          <w:ilvl w:val="1"/>
          <w:numId w:val="926"/>
        </w:numPr>
        <w:shd w:val="clear" w:color="auto" w:fill="FFFFFF"/>
        <w:spacing w:before="100" w:beforeAutospacing="1" w:after="100" w:afterAutospacing="1" w:line="240" w:lineRule="auto"/>
        <w:rPr>
          <w:rFonts w:cs="Times New Roman"/>
          <w:color w:val="000000"/>
          <w:sz w:val="16"/>
          <w:szCs w:val="16"/>
          <w:shd w:val="clear" w:color="auto" w:fill="FFFFFF"/>
        </w:rPr>
      </w:pPr>
      <w:r w:rsidRPr="0064088A">
        <w:rPr>
          <w:rFonts w:cs="Times New Roman"/>
          <w:color w:val="000000"/>
          <w:sz w:val="16"/>
          <w:szCs w:val="16"/>
          <w:shd w:val="clear" w:color="auto" w:fill="FFFFFF"/>
        </w:rPr>
        <w:t>conseiller les parents à propos d'une prise en charge en temps opportun du strabisme, afin de prévenir l'apparition d'une amblyopie.</w:t>
      </w:r>
    </w:p>
    <w:p w:rsidR="00AB4BB5" w:rsidRPr="00B60FDA" w:rsidRDefault="00AB4BB5" w:rsidP="00D724DF">
      <w:pPr>
        <w:pStyle w:val="Sansinterligne"/>
        <w:rPr>
          <w:b/>
          <w:sz w:val="28"/>
          <w:szCs w:val="28"/>
        </w:rPr>
      </w:pPr>
      <w:r w:rsidRPr="00B60FDA">
        <w:rPr>
          <w:b/>
          <w:sz w:val="28"/>
          <w:szCs w:val="28"/>
        </w:rPr>
        <w:t>Définitions</w:t>
      </w:r>
    </w:p>
    <w:p w:rsidR="00AB4BB5" w:rsidRDefault="00AB4BB5" w:rsidP="00D724DF">
      <w:pPr>
        <w:pStyle w:val="Sansinterligne"/>
      </w:pPr>
    </w:p>
    <w:p w:rsidR="00B60FDA" w:rsidRDefault="009F0488" w:rsidP="00B60FDA">
      <w:pPr>
        <w:pStyle w:val="Sansinterligne"/>
      </w:pPr>
      <w:r>
        <w:rPr>
          <w:noProof/>
          <w:lang w:eastAsia="fr-CA"/>
        </w:rPr>
        <w:drawing>
          <wp:anchor distT="0" distB="0" distL="114300" distR="114300" simplePos="0" relativeHeight="251954176" behindDoc="0" locked="0" layoutInCell="1" allowOverlap="1" wp14:anchorId="1AB26955" wp14:editId="497FB1FA">
            <wp:simplePos x="0" y="0"/>
            <wp:positionH relativeFrom="column">
              <wp:posOffset>4814570</wp:posOffset>
            </wp:positionH>
            <wp:positionV relativeFrom="paragraph">
              <wp:posOffset>115570</wp:posOffset>
            </wp:positionV>
            <wp:extent cx="1760220" cy="1954530"/>
            <wp:effectExtent l="0" t="0" r="0" b="7620"/>
            <wp:wrapNone/>
            <wp:docPr id="467" name="Image 467" descr="Résultats de recherche d'images pour « strabism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ésultats de recherche d'images pour « strabisme »"/>
                    <pic:cNvPicPr>
                      <a:picLocks noChangeAspect="1" noChangeArrowheads="1"/>
                    </pic:cNvPicPr>
                  </pic:nvPicPr>
                  <pic:blipFill rotWithShape="1">
                    <a:blip r:embed="rId352">
                      <a:extLst>
                        <a:ext uri="{28A0092B-C50C-407E-A947-70E740481C1C}">
                          <a14:useLocalDpi xmlns:a14="http://schemas.microsoft.com/office/drawing/2010/main" val="0"/>
                        </a:ext>
                      </a:extLst>
                    </a:blip>
                    <a:srcRect l="11222" t="4828" r="10885" b="4828"/>
                    <a:stretch/>
                  </pic:blipFill>
                  <pic:spPr bwMode="auto">
                    <a:xfrm>
                      <a:off x="0" y="0"/>
                      <a:ext cx="1760220" cy="195453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60FDA" w:rsidRPr="00B60FDA">
        <w:rPr>
          <w:b/>
        </w:rPr>
        <w:t>Amblyopie</w:t>
      </w:r>
      <w:r w:rsidR="00B60FDA">
        <w:t> : Diminution d’acuité visuelle d’un œil par non-stimulation en bas âge</w:t>
      </w:r>
    </w:p>
    <w:p w:rsidR="00652266" w:rsidRDefault="00B60FDA" w:rsidP="00B60FDA">
      <w:pPr>
        <w:pStyle w:val="Sansinterligne"/>
      </w:pPr>
      <w:r w:rsidRPr="00B60FDA">
        <w:rPr>
          <w:b/>
        </w:rPr>
        <w:t>Strabisme</w:t>
      </w:r>
      <w:r>
        <w:t> : problème d’alignement entre les deux yeux</w:t>
      </w:r>
      <w:r w:rsidR="008569F8" w:rsidRPr="008569F8">
        <w:t xml:space="preserve"> </w:t>
      </w:r>
      <w:r w:rsidR="00652266">
        <w:t xml:space="preserve">(toujours pathologique </w:t>
      </w:r>
    </w:p>
    <w:p w:rsidR="00B60FDA" w:rsidRDefault="00652266" w:rsidP="00B60FDA">
      <w:pPr>
        <w:pStyle w:val="Sansinterligne"/>
      </w:pPr>
      <w:r>
        <w:t xml:space="preserve">                    après l’âge de 6 mois). Avant, peut être normal si intermittent.</w:t>
      </w:r>
    </w:p>
    <w:p w:rsidR="00B60FDA" w:rsidRDefault="00B60FDA" w:rsidP="00D724DF">
      <w:pPr>
        <w:pStyle w:val="Sansinterligne"/>
        <w:rPr>
          <w:b/>
        </w:rPr>
      </w:pPr>
    </w:p>
    <w:p w:rsidR="00D724DF" w:rsidRDefault="00D724DF" w:rsidP="00D724DF">
      <w:pPr>
        <w:pStyle w:val="Sansinterligne"/>
      </w:pPr>
      <w:r w:rsidRPr="00B60FDA">
        <w:rPr>
          <w:b/>
        </w:rPr>
        <w:t>Ésotropie</w:t>
      </w:r>
      <w:r w:rsidR="00AB4BB5">
        <w:t> : déviation oculaire vers l’intérieur</w:t>
      </w:r>
    </w:p>
    <w:p w:rsidR="00D724DF" w:rsidRDefault="00D724DF" w:rsidP="00D724DF">
      <w:pPr>
        <w:pStyle w:val="Sansinterligne"/>
      </w:pPr>
      <w:r w:rsidRPr="00B60FDA">
        <w:rPr>
          <w:b/>
        </w:rPr>
        <w:t>Exotropie</w:t>
      </w:r>
      <w:r w:rsidR="00AB4BB5">
        <w:t> : déviation oculaire vers l’extérieur</w:t>
      </w:r>
    </w:p>
    <w:p w:rsidR="00D724DF" w:rsidRDefault="00D724DF" w:rsidP="00D724DF">
      <w:pPr>
        <w:pStyle w:val="Sansinterligne"/>
      </w:pPr>
      <w:r w:rsidRPr="00B60FDA">
        <w:rPr>
          <w:b/>
        </w:rPr>
        <w:t>Hypertropie</w:t>
      </w:r>
      <w:r w:rsidR="00AB4BB5">
        <w:t> : déviation oculaire vers le haut</w:t>
      </w:r>
      <w:r w:rsidR="00B60FDA" w:rsidRPr="00B60FDA">
        <w:t xml:space="preserve"> </w:t>
      </w:r>
    </w:p>
    <w:p w:rsidR="00D724DF" w:rsidRDefault="00D724DF" w:rsidP="00D724DF">
      <w:pPr>
        <w:pStyle w:val="Sansinterligne"/>
      </w:pPr>
      <w:r w:rsidRPr="00B60FDA">
        <w:rPr>
          <w:b/>
        </w:rPr>
        <w:t>Hypotropie</w:t>
      </w:r>
      <w:r w:rsidR="00AB4BB5">
        <w:t> : déviation oculaire vers le bas</w:t>
      </w:r>
    </w:p>
    <w:p w:rsidR="00B60FDA" w:rsidRDefault="00B60FDA" w:rsidP="00D724DF">
      <w:pPr>
        <w:pStyle w:val="Sansinterligne"/>
      </w:pPr>
    </w:p>
    <w:p w:rsidR="00A5612C" w:rsidRPr="00652266" w:rsidRDefault="00652266" w:rsidP="00A5612C">
      <w:pPr>
        <w:pStyle w:val="Sansinterligne"/>
        <w:rPr>
          <w:b/>
          <w:sz w:val="28"/>
          <w:szCs w:val="28"/>
          <w:lang w:eastAsia="fr-CA"/>
        </w:rPr>
      </w:pPr>
      <w:r w:rsidRPr="00652266">
        <w:rPr>
          <w:b/>
          <w:sz w:val="28"/>
          <w:szCs w:val="28"/>
          <w:lang w:eastAsia="fr-CA"/>
        </w:rPr>
        <w:t>Étiologies du strabisme</w:t>
      </w:r>
    </w:p>
    <w:p w:rsidR="00652266" w:rsidRDefault="00652266" w:rsidP="00A5612C">
      <w:pPr>
        <w:pStyle w:val="Sansinterligne"/>
        <w:rPr>
          <w:lang w:eastAsia="fr-CA"/>
        </w:rPr>
      </w:pPr>
    </w:p>
    <w:p w:rsidR="00652266" w:rsidRDefault="00652266" w:rsidP="005D429F">
      <w:pPr>
        <w:pStyle w:val="Sansinterligne"/>
        <w:numPr>
          <w:ilvl w:val="0"/>
          <w:numId w:val="983"/>
        </w:numPr>
        <w:rPr>
          <w:lang w:eastAsia="fr-CA"/>
        </w:rPr>
      </w:pPr>
      <w:r>
        <w:rPr>
          <w:lang w:eastAsia="fr-CA"/>
        </w:rPr>
        <w:t>Pseudostrabisme</w:t>
      </w:r>
    </w:p>
    <w:p w:rsidR="00652266" w:rsidRDefault="00652266" w:rsidP="005D429F">
      <w:pPr>
        <w:pStyle w:val="Sansinterligne"/>
        <w:numPr>
          <w:ilvl w:val="0"/>
          <w:numId w:val="983"/>
        </w:numPr>
        <w:rPr>
          <w:lang w:eastAsia="fr-CA"/>
        </w:rPr>
      </w:pPr>
      <w:r>
        <w:rPr>
          <w:lang w:eastAsia="fr-CA"/>
        </w:rPr>
        <w:t>Congénital (ex : syndromes</w:t>
      </w:r>
      <w:r w:rsidR="00420EE7">
        <w:rPr>
          <w:lang w:eastAsia="fr-CA"/>
        </w:rPr>
        <w:t>)</w:t>
      </w:r>
    </w:p>
    <w:p w:rsidR="00652266" w:rsidRDefault="00652266" w:rsidP="005D429F">
      <w:pPr>
        <w:pStyle w:val="Sansinterligne"/>
        <w:numPr>
          <w:ilvl w:val="0"/>
          <w:numId w:val="983"/>
        </w:numPr>
        <w:rPr>
          <w:lang w:eastAsia="fr-CA"/>
        </w:rPr>
      </w:pPr>
      <w:r>
        <w:rPr>
          <w:lang w:eastAsia="fr-CA"/>
        </w:rPr>
        <w:t>Neurogène (paralysie d’un NC III, IV ou VI)</w:t>
      </w:r>
    </w:p>
    <w:p w:rsidR="000927DF" w:rsidRDefault="000927DF" w:rsidP="005D429F">
      <w:pPr>
        <w:pStyle w:val="Sansinterligne"/>
        <w:numPr>
          <w:ilvl w:val="0"/>
          <w:numId w:val="983"/>
        </w:numPr>
        <w:rPr>
          <w:lang w:eastAsia="fr-CA"/>
        </w:rPr>
      </w:pPr>
      <w:r>
        <w:rPr>
          <w:lang w:eastAsia="fr-CA"/>
        </w:rPr>
        <w:t>Myogène (</w:t>
      </w:r>
      <w:r w:rsidR="00420EE7">
        <w:rPr>
          <w:lang w:eastAsia="fr-CA"/>
        </w:rPr>
        <w:t xml:space="preserve">ex : </w:t>
      </w:r>
      <w:r>
        <w:rPr>
          <w:lang w:eastAsia="fr-CA"/>
        </w:rPr>
        <w:t>myasthénie grave, M</w:t>
      </w:r>
      <w:r w:rsidR="00420EE7">
        <w:rPr>
          <w:lang w:eastAsia="fr-CA"/>
        </w:rPr>
        <w:t>aladie</w:t>
      </w:r>
      <w:r>
        <w:rPr>
          <w:lang w:eastAsia="fr-CA"/>
        </w:rPr>
        <w:t xml:space="preserve"> de Graves)</w:t>
      </w:r>
    </w:p>
    <w:p w:rsidR="00652266" w:rsidRDefault="00652266" w:rsidP="005D429F">
      <w:pPr>
        <w:pStyle w:val="Sansinterligne"/>
        <w:numPr>
          <w:ilvl w:val="0"/>
          <w:numId w:val="983"/>
        </w:numPr>
        <w:rPr>
          <w:lang w:eastAsia="fr-CA"/>
        </w:rPr>
      </w:pPr>
      <w:r>
        <w:rPr>
          <w:lang w:eastAsia="fr-CA"/>
        </w:rPr>
        <w:t>Post-traumatique</w:t>
      </w:r>
      <w:r w:rsidR="009D209A">
        <w:rPr>
          <w:lang w:eastAsia="fr-CA"/>
        </w:rPr>
        <w:t xml:space="preserve"> (ex : fracture du plancher orbitaire avec limitation)</w:t>
      </w:r>
    </w:p>
    <w:p w:rsidR="00652266" w:rsidRDefault="00652266" w:rsidP="005D429F">
      <w:pPr>
        <w:pStyle w:val="Sansinterligne"/>
        <w:numPr>
          <w:ilvl w:val="0"/>
          <w:numId w:val="983"/>
        </w:numPr>
        <w:rPr>
          <w:lang w:eastAsia="fr-CA"/>
        </w:rPr>
      </w:pPr>
      <w:r>
        <w:rPr>
          <w:lang w:eastAsia="fr-CA"/>
        </w:rPr>
        <w:t>Idiopathique</w:t>
      </w:r>
    </w:p>
    <w:p w:rsidR="00652266" w:rsidRDefault="00652266" w:rsidP="00A5612C">
      <w:pPr>
        <w:pStyle w:val="Sansinterligne"/>
        <w:rPr>
          <w:lang w:eastAsia="fr-CA"/>
        </w:rPr>
      </w:pPr>
    </w:p>
    <w:p w:rsidR="009D209A" w:rsidRPr="00E43C76" w:rsidRDefault="009D209A" w:rsidP="00A5612C">
      <w:pPr>
        <w:pStyle w:val="Sansinterligne"/>
        <w:rPr>
          <w:highlight w:val="yellow"/>
          <w:lang w:eastAsia="fr-CA"/>
        </w:rPr>
      </w:pPr>
      <w:r w:rsidRPr="00E43C76">
        <w:rPr>
          <w:highlight w:val="yellow"/>
          <w:lang w:eastAsia="fr-CA"/>
        </w:rPr>
        <w:t>Il faudra donc questionner la présence d’ATCD familiaux ou de grossesse, le début du strabisme, la durée, le moment (constant vs intermittant, vs juste lorsque fatigué), la présence de céphalées associées, une histoire de trauma ?</w:t>
      </w:r>
    </w:p>
    <w:p w:rsidR="009D209A" w:rsidRPr="00214FBB" w:rsidRDefault="009D209A" w:rsidP="00A5612C">
      <w:pPr>
        <w:pStyle w:val="Sansinterligne"/>
        <w:rPr>
          <w:highlight w:val="yellow"/>
          <w:lang w:eastAsia="fr-CA"/>
        </w:rPr>
      </w:pPr>
    </w:p>
    <w:p w:rsidR="009F0488" w:rsidRDefault="009F0488" w:rsidP="00A5612C">
      <w:pPr>
        <w:pStyle w:val="Sansinterligne"/>
        <w:rPr>
          <w:lang w:eastAsia="fr-CA"/>
        </w:rPr>
      </w:pPr>
      <w:r w:rsidRPr="00214FBB">
        <w:rPr>
          <w:highlight w:val="yellow"/>
          <w:lang w:eastAsia="fr-CA"/>
        </w:rPr>
        <w:t xml:space="preserve">L’examen physique comprendra l’examen des </w:t>
      </w:r>
      <w:r w:rsidRPr="00214FBB">
        <w:rPr>
          <w:b/>
          <w:highlight w:val="yellow"/>
          <w:lang w:eastAsia="fr-CA"/>
        </w:rPr>
        <w:t>paires crâniennes</w:t>
      </w:r>
      <w:r w:rsidRPr="00214FBB">
        <w:rPr>
          <w:highlight w:val="yellow"/>
          <w:lang w:eastAsia="fr-CA"/>
        </w:rPr>
        <w:t xml:space="preserve"> concernées, </w:t>
      </w:r>
      <w:r w:rsidRPr="00214FBB">
        <w:rPr>
          <w:b/>
          <w:highlight w:val="yellow"/>
          <w:lang w:eastAsia="fr-CA"/>
        </w:rPr>
        <w:t>le reflet lumineux cornéen</w:t>
      </w:r>
      <w:r w:rsidRPr="00E43C76">
        <w:rPr>
          <w:highlight w:val="yellow"/>
          <w:lang w:eastAsia="fr-CA"/>
        </w:rPr>
        <w:t xml:space="preserve">, le </w:t>
      </w:r>
      <w:r w:rsidRPr="00214FBB">
        <w:rPr>
          <w:b/>
          <w:highlight w:val="yellow"/>
          <w:lang w:eastAsia="fr-CA"/>
        </w:rPr>
        <w:t>reflet rétinien</w:t>
      </w:r>
      <w:r w:rsidRPr="00E43C76">
        <w:rPr>
          <w:highlight w:val="yellow"/>
          <w:lang w:eastAsia="fr-CA"/>
        </w:rPr>
        <w:t xml:space="preserve">, les </w:t>
      </w:r>
      <w:r w:rsidRPr="00214FBB">
        <w:rPr>
          <w:b/>
          <w:highlight w:val="yellow"/>
          <w:lang w:eastAsia="fr-CA"/>
        </w:rPr>
        <w:t>réflexes pupillaires</w:t>
      </w:r>
      <w:r w:rsidRPr="00E43C76">
        <w:rPr>
          <w:highlight w:val="yellow"/>
          <w:lang w:eastAsia="fr-CA"/>
        </w:rPr>
        <w:t xml:space="preserve">, </w:t>
      </w:r>
      <w:r w:rsidRPr="00214FBB">
        <w:rPr>
          <w:b/>
          <w:highlight w:val="yellow"/>
          <w:lang w:eastAsia="fr-CA"/>
        </w:rPr>
        <w:t xml:space="preserve">l’acuité visuelle des deux yeux </w:t>
      </w:r>
      <w:r w:rsidRPr="00E43C76">
        <w:rPr>
          <w:highlight w:val="yellow"/>
          <w:lang w:eastAsia="fr-CA"/>
        </w:rPr>
        <w:t xml:space="preserve">et un fond d’œil si possible. </w:t>
      </w:r>
      <w:r w:rsidR="00247F24">
        <w:rPr>
          <w:highlight w:val="yellow"/>
          <w:lang w:eastAsia="fr-CA"/>
        </w:rPr>
        <w:t>Le test d’occlusion (Cover tes</w:t>
      </w:r>
      <w:r w:rsidR="00420EE7">
        <w:rPr>
          <w:highlight w:val="yellow"/>
          <w:lang w:eastAsia="fr-CA"/>
        </w:rPr>
        <w:t>t) consiste à cacher l’œil sain</w:t>
      </w:r>
      <w:r w:rsidR="00247F24">
        <w:rPr>
          <w:highlight w:val="yellow"/>
          <w:lang w:eastAsia="fr-CA"/>
        </w:rPr>
        <w:t xml:space="preserve">. En cas de strabisme non-paralytique, l’œil strabique se réaligne). </w:t>
      </w:r>
      <w:r w:rsidRPr="00E43C76">
        <w:rPr>
          <w:highlight w:val="yellow"/>
          <w:lang w:eastAsia="fr-CA"/>
        </w:rPr>
        <w:t>On observe également la position de la tête de l’enfant à la recherche d’une position compensatoire.</w:t>
      </w:r>
    </w:p>
    <w:p w:rsidR="009F0488" w:rsidRDefault="009F0488" w:rsidP="00A5612C">
      <w:pPr>
        <w:pStyle w:val="Sansinterligne"/>
        <w:rPr>
          <w:lang w:eastAsia="fr-CA"/>
        </w:rPr>
      </w:pPr>
      <w:r>
        <w:rPr>
          <w:lang w:eastAsia="fr-CA"/>
        </w:rPr>
        <w:t xml:space="preserve"> </w:t>
      </w:r>
    </w:p>
    <w:p w:rsidR="002C3F80" w:rsidRPr="00B60FDA" w:rsidRDefault="002C3F80" w:rsidP="00A5612C">
      <w:pPr>
        <w:pStyle w:val="Sansinterligne"/>
        <w:rPr>
          <w:b/>
          <w:sz w:val="28"/>
          <w:szCs w:val="28"/>
          <w:lang w:eastAsia="fr-CA"/>
        </w:rPr>
      </w:pPr>
      <w:r w:rsidRPr="00B60FDA">
        <w:rPr>
          <w:b/>
          <w:sz w:val="28"/>
          <w:szCs w:val="28"/>
          <w:lang w:eastAsia="fr-CA"/>
        </w:rPr>
        <w:t>Diagnostics</w:t>
      </w:r>
    </w:p>
    <w:p w:rsidR="002C3F80" w:rsidRDefault="002C3F80" w:rsidP="00A5612C">
      <w:pPr>
        <w:pStyle w:val="Sansinterligne"/>
        <w:rPr>
          <w:lang w:eastAsia="fr-CA"/>
        </w:rPr>
      </w:pPr>
    </w:p>
    <w:tbl>
      <w:tblPr>
        <w:tblStyle w:val="Grilledutableau"/>
        <w:tblW w:w="0" w:type="auto"/>
        <w:tblLook w:val="04A0" w:firstRow="1" w:lastRow="0" w:firstColumn="1" w:lastColumn="0" w:noHBand="0" w:noVBand="1"/>
      </w:tblPr>
      <w:tblGrid>
        <w:gridCol w:w="1809"/>
        <w:gridCol w:w="9131"/>
      </w:tblGrid>
      <w:tr w:rsidR="002C3F80" w:rsidTr="00501CBC">
        <w:tc>
          <w:tcPr>
            <w:tcW w:w="10940" w:type="dxa"/>
            <w:gridSpan w:val="2"/>
            <w:shd w:val="clear" w:color="auto" w:fill="FFC000"/>
          </w:tcPr>
          <w:p w:rsidR="002C3F80" w:rsidRDefault="002C3F80" w:rsidP="00501CBC">
            <w:pPr>
              <w:pStyle w:val="Sansinterligne"/>
              <w:jc w:val="center"/>
              <w:rPr>
                <w:lang w:eastAsia="fr-CA"/>
              </w:rPr>
            </w:pPr>
            <w:r>
              <w:rPr>
                <w:lang w:eastAsia="fr-CA"/>
              </w:rPr>
              <w:t>Amblyopie</w:t>
            </w:r>
          </w:p>
        </w:tc>
      </w:tr>
      <w:tr w:rsidR="002C3F80" w:rsidTr="000F0801">
        <w:tc>
          <w:tcPr>
            <w:tcW w:w="1809" w:type="dxa"/>
            <w:shd w:val="clear" w:color="auto" w:fill="D6E3BC" w:themeFill="accent3" w:themeFillTint="66"/>
          </w:tcPr>
          <w:p w:rsidR="002C3F80" w:rsidRPr="000F0801" w:rsidRDefault="002C3F80" w:rsidP="00501CBC">
            <w:pPr>
              <w:pStyle w:val="Sansinterligne"/>
              <w:jc w:val="center"/>
              <w:rPr>
                <w:i/>
                <w:lang w:eastAsia="fr-CA"/>
              </w:rPr>
            </w:pPr>
            <w:r w:rsidRPr="000F0801">
              <w:rPr>
                <w:i/>
                <w:lang w:eastAsia="fr-CA"/>
              </w:rPr>
              <w:t>Type</w:t>
            </w:r>
          </w:p>
        </w:tc>
        <w:tc>
          <w:tcPr>
            <w:tcW w:w="9131" w:type="dxa"/>
            <w:shd w:val="clear" w:color="auto" w:fill="D6E3BC" w:themeFill="accent3" w:themeFillTint="66"/>
          </w:tcPr>
          <w:p w:rsidR="002C3F80" w:rsidRPr="000F0801" w:rsidRDefault="002C3F80" w:rsidP="00501CBC">
            <w:pPr>
              <w:pStyle w:val="Sansinterligne"/>
              <w:jc w:val="center"/>
              <w:rPr>
                <w:i/>
                <w:lang w:eastAsia="fr-CA"/>
              </w:rPr>
            </w:pPr>
            <w:r w:rsidRPr="000F0801">
              <w:rPr>
                <w:i/>
                <w:lang w:eastAsia="fr-CA"/>
              </w:rPr>
              <w:t>Manifestations cliniques</w:t>
            </w:r>
          </w:p>
        </w:tc>
      </w:tr>
      <w:tr w:rsidR="002C3F80" w:rsidTr="000758E1">
        <w:tc>
          <w:tcPr>
            <w:tcW w:w="1809" w:type="dxa"/>
            <w:shd w:val="clear" w:color="auto" w:fill="D6E3BC" w:themeFill="accent3" w:themeFillTint="66"/>
            <w:vAlign w:val="center"/>
          </w:tcPr>
          <w:p w:rsidR="002C3F80" w:rsidRDefault="002C3F80" w:rsidP="00501CBC">
            <w:pPr>
              <w:pStyle w:val="Sansinterligne"/>
              <w:jc w:val="center"/>
              <w:rPr>
                <w:lang w:eastAsia="fr-CA"/>
              </w:rPr>
            </w:pPr>
            <w:r>
              <w:rPr>
                <w:lang w:eastAsia="fr-CA"/>
              </w:rPr>
              <w:t>Strabique</w:t>
            </w:r>
          </w:p>
        </w:tc>
        <w:tc>
          <w:tcPr>
            <w:tcW w:w="9131" w:type="dxa"/>
            <w:shd w:val="clear" w:color="auto" w:fill="FFFF00"/>
          </w:tcPr>
          <w:p w:rsidR="002C3F80" w:rsidRDefault="003C6B3C" w:rsidP="005D429F">
            <w:pPr>
              <w:pStyle w:val="Sansinterligne"/>
              <w:numPr>
                <w:ilvl w:val="0"/>
                <w:numId w:val="994"/>
              </w:numPr>
              <w:rPr>
                <w:lang w:eastAsia="fr-CA"/>
              </w:rPr>
            </w:pPr>
            <w:r>
              <w:rPr>
                <w:lang w:eastAsia="fr-CA"/>
              </w:rPr>
              <w:t>Image perçue = monoculaire</w:t>
            </w:r>
          </w:p>
          <w:p w:rsidR="003C6B3C" w:rsidRDefault="003C6B3C" w:rsidP="005D429F">
            <w:pPr>
              <w:pStyle w:val="Sansinterligne"/>
              <w:numPr>
                <w:ilvl w:val="0"/>
                <w:numId w:val="994"/>
              </w:numPr>
              <w:rPr>
                <w:lang w:eastAsia="fr-CA"/>
              </w:rPr>
            </w:pPr>
            <w:r>
              <w:rPr>
                <w:lang w:eastAsia="fr-CA"/>
              </w:rPr>
              <w:t>Déviation oculaire visible (strabisme) avec reflet lumineux asymétrique</w:t>
            </w:r>
          </w:p>
        </w:tc>
      </w:tr>
      <w:tr w:rsidR="002C3F80" w:rsidTr="000758E1">
        <w:tc>
          <w:tcPr>
            <w:tcW w:w="1809" w:type="dxa"/>
            <w:shd w:val="clear" w:color="auto" w:fill="D6E3BC" w:themeFill="accent3" w:themeFillTint="66"/>
            <w:vAlign w:val="center"/>
          </w:tcPr>
          <w:p w:rsidR="002C3F80" w:rsidRDefault="002C3F80" w:rsidP="00501CBC">
            <w:pPr>
              <w:pStyle w:val="Sansinterligne"/>
              <w:jc w:val="center"/>
              <w:rPr>
                <w:lang w:eastAsia="fr-CA"/>
              </w:rPr>
            </w:pPr>
            <w:r>
              <w:rPr>
                <w:lang w:eastAsia="fr-CA"/>
              </w:rPr>
              <w:t>Réfractive</w:t>
            </w:r>
          </w:p>
        </w:tc>
        <w:tc>
          <w:tcPr>
            <w:tcW w:w="9131" w:type="dxa"/>
            <w:shd w:val="clear" w:color="auto" w:fill="FFFF00"/>
          </w:tcPr>
          <w:p w:rsidR="002C3F80" w:rsidRDefault="003C6B3C" w:rsidP="005D429F">
            <w:pPr>
              <w:pStyle w:val="Sansinterligne"/>
              <w:numPr>
                <w:ilvl w:val="0"/>
                <w:numId w:val="994"/>
              </w:numPr>
              <w:rPr>
                <w:lang w:eastAsia="fr-CA"/>
              </w:rPr>
            </w:pPr>
            <w:r>
              <w:rPr>
                <w:lang w:eastAsia="fr-CA"/>
              </w:rPr>
              <w:t>Acuité visuelle (AV) différente aux deux yeux</w:t>
            </w:r>
          </w:p>
          <w:p w:rsidR="003C6B3C" w:rsidRDefault="003C6B3C" w:rsidP="005D429F">
            <w:pPr>
              <w:pStyle w:val="Sansinterligne"/>
              <w:numPr>
                <w:ilvl w:val="0"/>
                <w:numId w:val="994"/>
              </w:numPr>
              <w:rPr>
                <w:lang w:eastAsia="fr-CA"/>
              </w:rPr>
            </w:pPr>
            <w:r>
              <w:rPr>
                <w:lang w:eastAsia="fr-CA"/>
              </w:rPr>
              <w:t>Strabisme possible, mais souvent absent</w:t>
            </w:r>
          </w:p>
        </w:tc>
      </w:tr>
      <w:tr w:rsidR="002C3F80" w:rsidTr="000F0801">
        <w:tc>
          <w:tcPr>
            <w:tcW w:w="1809" w:type="dxa"/>
            <w:shd w:val="clear" w:color="auto" w:fill="D6E3BC" w:themeFill="accent3" w:themeFillTint="66"/>
            <w:vAlign w:val="center"/>
          </w:tcPr>
          <w:p w:rsidR="002C3F80" w:rsidRDefault="002C3F80" w:rsidP="00501CBC">
            <w:pPr>
              <w:pStyle w:val="Sansinterligne"/>
              <w:jc w:val="center"/>
              <w:rPr>
                <w:lang w:eastAsia="fr-CA"/>
              </w:rPr>
            </w:pPr>
            <w:r>
              <w:rPr>
                <w:lang w:eastAsia="fr-CA"/>
              </w:rPr>
              <w:t>Ex-anopsie</w:t>
            </w:r>
          </w:p>
        </w:tc>
        <w:tc>
          <w:tcPr>
            <w:tcW w:w="9131" w:type="dxa"/>
          </w:tcPr>
          <w:p w:rsidR="002C3F80" w:rsidRDefault="000758E1" w:rsidP="005D429F">
            <w:pPr>
              <w:pStyle w:val="Sansinterligne"/>
              <w:numPr>
                <w:ilvl w:val="0"/>
                <w:numId w:val="995"/>
              </w:numPr>
              <w:rPr>
                <w:lang w:eastAsia="fr-CA"/>
              </w:rPr>
            </w:pPr>
            <w:r>
              <w:rPr>
                <w:lang w:eastAsia="fr-CA"/>
              </w:rPr>
              <w:t>Si rétinoblastome ou cataracte congénitale : leucocorie, strabisme parfois associé</w:t>
            </w:r>
          </w:p>
          <w:p w:rsidR="000758E1" w:rsidRDefault="000758E1" w:rsidP="005D429F">
            <w:pPr>
              <w:pStyle w:val="Sansinterligne"/>
              <w:numPr>
                <w:ilvl w:val="0"/>
                <w:numId w:val="995"/>
              </w:numPr>
              <w:rPr>
                <w:lang w:eastAsia="fr-CA"/>
              </w:rPr>
            </w:pPr>
            <w:r>
              <w:rPr>
                <w:lang w:eastAsia="fr-CA"/>
              </w:rPr>
              <w:t>Paralysie NC III (ptose)</w:t>
            </w:r>
          </w:p>
          <w:p w:rsidR="000758E1" w:rsidRDefault="00CA35F4" w:rsidP="005D429F">
            <w:pPr>
              <w:pStyle w:val="Sansinterligne"/>
              <w:numPr>
                <w:ilvl w:val="0"/>
                <w:numId w:val="995"/>
              </w:numPr>
              <w:rPr>
                <w:lang w:eastAsia="fr-CA"/>
              </w:rPr>
            </w:pPr>
            <w:r>
              <w:rPr>
                <w:noProof/>
                <w:lang w:eastAsia="fr-CA"/>
              </w:rPr>
              <w:drawing>
                <wp:anchor distT="0" distB="0" distL="114300" distR="114300" simplePos="0" relativeHeight="251953152" behindDoc="0" locked="0" layoutInCell="1" allowOverlap="1" wp14:anchorId="07CAC176" wp14:editId="086C7E26">
                  <wp:simplePos x="0" y="0"/>
                  <wp:positionH relativeFrom="column">
                    <wp:posOffset>481897</wp:posOffset>
                  </wp:positionH>
                  <wp:positionV relativeFrom="paragraph">
                    <wp:posOffset>104427</wp:posOffset>
                  </wp:positionV>
                  <wp:extent cx="4085590" cy="1507490"/>
                  <wp:effectExtent l="0" t="0" r="0" b="0"/>
                  <wp:wrapNone/>
                  <wp:docPr id="460" name="Image 460" descr="Résultats de recherche d'images pour « strabism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ésultats de recherche d'images pour « strabisme »"/>
                          <pic:cNvPicPr>
                            <a:picLocks noChangeAspect="1" noChangeArrowheads="1"/>
                          </pic:cNvPicPr>
                        </pic:nvPicPr>
                        <pic:blipFill rotWithShape="1">
                          <a:blip r:embed="rId353">
                            <a:extLst>
                              <a:ext uri="{28A0092B-C50C-407E-A947-70E740481C1C}">
                                <a14:useLocalDpi xmlns:a14="http://schemas.microsoft.com/office/drawing/2010/main" val="0"/>
                              </a:ext>
                            </a:extLst>
                          </a:blip>
                          <a:srcRect t="7664" b="7455"/>
                          <a:stretch/>
                        </pic:blipFill>
                        <pic:spPr bwMode="auto">
                          <a:xfrm>
                            <a:off x="0" y="0"/>
                            <a:ext cx="4085590" cy="15074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758E1">
              <w:rPr>
                <w:lang w:eastAsia="fr-CA"/>
              </w:rPr>
              <w:t>Mx de Graves (ptose et exophtalmie)</w:t>
            </w:r>
          </w:p>
        </w:tc>
      </w:tr>
    </w:tbl>
    <w:p w:rsidR="002C3F80" w:rsidRDefault="002C3F80" w:rsidP="00A5612C">
      <w:pPr>
        <w:pStyle w:val="Sansinterligne"/>
        <w:rPr>
          <w:lang w:eastAsia="fr-CA"/>
        </w:rPr>
      </w:pPr>
    </w:p>
    <w:p w:rsidR="00CA35F4" w:rsidRDefault="00CA35F4" w:rsidP="00A5612C">
      <w:pPr>
        <w:pStyle w:val="Sansinterligne"/>
        <w:rPr>
          <w:lang w:eastAsia="fr-CA"/>
        </w:rPr>
      </w:pPr>
    </w:p>
    <w:p w:rsidR="00CA35F4" w:rsidRDefault="00CA35F4" w:rsidP="00A5612C">
      <w:pPr>
        <w:pStyle w:val="Sansinterligne"/>
        <w:rPr>
          <w:lang w:eastAsia="fr-CA"/>
        </w:rPr>
      </w:pPr>
    </w:p>
    <w:p w:rsidR="00CA35F4" w:rsidRDefault="00CA35F4" w:rsidP="00A5612C">
      <w:pPr>
        <w:pStyle w:val="Sansinterligne"/>
        <w:rPr>
          <w:lang w:eastAsia="fr-CA"/>
        </w:rPr>
      </w:pPr>
    </w:p>
    <w:p w:rsidR="00CA35F4" w:rsidRDefault="00CA35F4" w:rsidP="00A5612C">
      <w:pPr>
        <w:pStyle w:val="Sansinterligne"/>
        <w:rPr>
          <w:lang w:eastAsia="fr-CA"/>
        </w:rPr>
      </w:pPr>
    </w:p>
    <w:p w:rsidR="00CA35F4" w:rsidRDefault="00CA35F4" w:rsidP="00A5612C">
      <w:pPr>
        <w:pStyle w:val="Sansinterligne"/>
        <w:rPr>
          <w:lang w:eastAsia="fr-CA"/>
        </w:rPr>
      </w:pPr>
    </w:p>
    <w:p w:rsidR="00CA35F4" w:rsidRDefault="00CA35F4" w:rsidP="00A5612C">
      <w:pPr>
        <w:pStyle w:val="Sansinterligne"/>
        <w:rPr>
          <w:lang w:eastAsia="fr-CA"/>
        </w:rPr>
      </w:pPr>
    </w:p>
    <w:p w:rsidR="00CA35F4" w:rsidRDefault="00CA35F4" w:rsidP="00A5612C">
      <w:pPr>
        <w:pStyle w:val="Sansinterligne"/>
        <w:rPr>
          <w:lang w:eastAsia="fr-CA"/>
        </w:rPr>
      </w:pPr>
    </w:p>
    <w:p w:rsidR="00CA35F4" w:rsidRDefault="00CA35F4" w:rsidP="00A5612C">
      <w:pPr>
        <w:pStyle w:val="Sansinterligne"/>
        <w:rPr>
          <w:lang w:eastAsia="fr-CA"/>
        </w:rPr>
      </w:pPr>
    </w:p>
    <w:tbl>
      <w:tblPr>
        <w:tblStyle w:val="Grilledutableau"/>
        <w:tblW w:w="0" w:type="auto"/>
        <w:tblLook w:val="04A0" w:firstRow="1" w:lastRow="0" w:firstColumn="1" w:lastColumn="0" w:noHBand="0" w:noVBand="1"/>
      </w:tblPr>
      <w:tblGrid>
        <w:gridCol w:w="1809"/>
        <w:gridCol w:w="2835"/>
        <w:gridCol w:w="1730"/>
        <w:gridCol w:w="1522"/>
        <w:gridCol w:w="3044"/>
      </w:tblGrid>
      <w:tr w:rsidR="00501CBC" w:rsidTr="00501CBC">
        <w:tc>
          <w:tcPr>
            <w:tcW w:w="10940" w:type="dxa"/>
            <w:gridSpan w:val="5"/>
            <w:shd w:val="clear" w:color="auto" w:fill="FFC000"/>
          </w:tcPr>
          <w:p w:rsidR="00501CBC" w:rsidRDefault="00501CBC" w:rsidP="00501CBC">
            <w:pPr>
              <w:pStyle w:val="Sansinterligne"/>
              <w:jc w:val="center"/>
              <w:rPr>
                <w:lang w:eastAsia="fr-CA"/>
              </w:rPr>
            </w:pPr>
            <w:r>
              <w:rPr>
                <w:lang w:eastAsia="fr-CA"/>
              </w:rPr>
              <w:t>Strabisme</w:t>
            </w:r>
          </w:p>
        </w:tc>
      </w:tr>
      <w:tr w:rsidR="002C3F80" w:rsidTr="000F0801">
        <w:tc>
          <w:tcPr>
            <w:tcW w:w="1809" w:type="dxa"/>
            <w:shd w:val="clear" w:color="auto" w:fill="D6E3BC" w:themeFill="accent3" w:themeFillTint="66"/>
          </w:tcPr>
          <w:p w:rsidR="002C3F80" w:rsidRPr="000F0801" w:rsidRDefault="002C3F80" w:rsidP="00501CBC">
            <w:pPr>
              <w:pStyle w:val="Sansinterligne"/>
              <w:jc w:val="center"/>
              <w:rPr>
                <w:i/>
                <w:lang w:eastAsia="fr-CA"/>
              </w:rPr>
            </w:pPr>
            <w:r w:rsidRPr="000F0801">
              <w:rPr>
                <w:i/>
                <w:lang w:eastAsia="fr-CA"/>
              </w:rPr>
              <w:t>Type</w:t>
            </w:r>
          </w:p>
        </w:tc>
        <w:tc>
          <w:tcPr>
            <w:tcW w:w="9131" w:type="dxa"/>
            <w:gridSpan w:val="4"/>
            <w:shd w:val="clear" w:color="auto" w:fill="D6E3BC" w:themeFill="accent3" w:themeFillTint="66"/>
          </w:tcPr>
          <w:p w:rsidR="002C3F80" w:rsidRPr="000F0801" w:rsidRDefault="002C3F80" w:rsidP="00501CBC">
            <w:pPr>
              <w:pStyle w:val="Sansinterligne"/>
              <w:jc w:val="center"/>
              <w:rPr>
                <w:i/>
                <w:lang w:eastAsia="fr-CA"/>
              </w:rPr>
            </w:pPr>
            <w:r w:rsidRPr="000F0801">
              <w:rPr>
                <w:i/>
                <w:lang w:eastAsia="fr-CA"/>
              </w:rPr>
              <w:t>Manifestations cliniques</w:t>
            </w:r>
          </w:p>
        </w:tc>
      </w:tr>
      <w:tr w:rsidR="000927DF" w:rsidRPr="00C6143D" w:rsidTr="006B7618">
        <w:tc>
          <w:tcPr>
            <w:tcW w:w="1809" w:type="dxa"/>
            <w:shd w:val="clear" w:color="auto" w:fill="D6E3BC" w:themeFill="accent3" w:themeFillTint="66"/>
            <w:vAlign w:val="center"/>
          </w:tcPr>
          <w:p w:rsidR="000927DF" w:rsidRPr="00555EE7" w:rsidRDefault="000927DF" w:rsidP="00EC4DDE">
            <w:pPr>
              <w:pStyle w:val="Sansinterligne"/>
              <w:jc w:val="center"/>
              <w:rPr>
                <w:b/>
                <w:lang w:eastAsia="fr-CA"/>
              </w:rPr>
            </w:pPr>
            <w:r w:rsidRPr="00555EE7">
              <w:rPr>
                <w:b/>
                <w:lang w:eastAsia="fr-CA"/>
              </w:rPr>
              <w:t>Pseudostrabisme</w:t>
            </w:r>
          </w:p>
        </w:tc>
        <w:tc>
          <w:tcPr>
            <w:tcW w:w="9131" w:type="dxa"/>
            <w:gridSpan w:val="4"/>
            <w:shd w:val="clear" w:color="auto" w:fill="FFFF00"/>
          </w:tcPr>
          <w:p w:rsidR="000927DF" w:rsidRDefault="000927DF" w:rsidP="005D429F">
            <w:pPr>
              <w:pStyle w:val="Sansinterligne"/>
              <w:numPr>
                <w:ilvl w:val="0"/>
                <w:numId w:val="989"/>
              </w:numPr>
              <w:rPr>
                <w:lang w:eastAsia="fr-CA"/>
              </w:rPr>
            </w:pPr>
            <w:r>
              <w:rPr>
                <w:lang w:eastAsia="fr-CA"/>
              </w:rPr>
              <w:t>Cause la plus fréquente de</w:t>
            </w:r>
            <w:r w:rsidR="005F638B">
              <w:rPr>
                <w:lang w:eastAsia="fr-CA"/>
              </w:rPr>
              <w:t xml:space="preserve"> </w:t>
            </w:r>
            <w:r w:rsidR="005F638B">
              <w:rPr>
                <w:rFonts w:ascii="Century Gothic" w:hAnsi="Century Gothic"/>
                <w:lang w:eastAsia="fr-CA"/>
              </w:rPr>
              <w:t>«</w:t>
            </w:r>
            <w:r>
              <w:rPr>
                <w:lang w:eastAsia="fr-CA"/>
              </w:rPr>
              <w:t>strabisme</w:t>
            </w:r>
            <w:r w:rsidR="005F638B">
              <w:rPr>
                <w:rFonts w:cs="Times New Roman"/>
                <w:lang w:eastAsia="fr-CA"/>
              </w:rPr>
              <w:t>»</w:t>
            </w:r>
          </w:p>
          <w:p w:rsidR="000927DF" w:rsidRDefault="000927DF" w:rsidP="005D429F">
            <w:pPr>
              <w:pStyle w:val="Sansinterligne"/>
              <w:numPr>
                <w:ilvl w:val="0"/>
                <w:numId w:val="989"/>
              </w:numPr>
              <w:rPr>
                <w:lang w:eastAsia="fr-CA"/>
              </w:rPr>
            </w:pPr>
            <w:r>
              <w:rPr>
                <w:lang w:eastAsia="fr-CA"/>
              </w:rPr>
              <w:t xml:space="preserve">Souvent nez large et épicanthus </w:t>
            </w:r>
            <w:r w:rsidR="00420EE7">
              <w:rPr>
                <w:lang w:eastAsia="fr-CA"/>
              </w:rPr>
              <w:t xml:space="preserve">plus </w:t>
            </w:r>
            <w:r>
              <w:rPr>
                <w:lang w:eastAsia="fr-CA"/>
              </w:rPr>
              <w:t>large</w:t>
            </w:r>
          </w:p>
          <w:p w:rsidR="000927DF" w:rsidRPr="007A5D63" w:rsidRDefault="007A5D63" w:rsidP="005D429F">
            <w:pPr>
              <w:pStyle w:val="Sansinterligne"/>
              <w:numPr>
                <w:ilvl w:val="0"/>
                <w:numId w:val="989"/>
              </w:numPr>
              <w:rPr>
                <w:b/>
                <w:lang w:eastAsia="fr-CA"/>
              </w:rPr>
            </w:pPr>
            <w:r w:rsidRPr="007A5D63">
              <w:rPr>
                <w:b/>
                <w:lang w:eastAsia="fr-CA"/>
              </w:rPr>
              <w:t>Refle</w:t>
            </w:r>
            <w:r>
              <w:rPr>
                <w:b/>
                <w:lang w:eastAsia="fr-CA"/>
              </w:rPr>
              <w:t>t</w:t>
            </w:r>
            <w:r w:rsidR="000927DF" w:rsidRPr="007A5D63">
              <w:rPr>
                <w:b/>
                <w:lang w:eastAsia="fr-CA"/>
              </w:rPr>
              <w:t xml:space="preserve"> lumineux cornéen normal</w:t>
            </w:r>
          </w:p>
          <w:p w:rsidR="000927DF" w:rsidRPr="007A5D63" w:rsidRDefault="007A5D63" w:rsidP="005D429F">
            <w:pPr>
              <w:pStyle w:val="Sansinterligne"/>
              <w:numPr>
                <w:ilvl w:val="0"/>
                <w:numId w:val="989"/>
              </w:numPr>
              <w:rPr>
                <w:b/>
                <w:lang w:val="en-CA" w:eastAsia="fr-CA"/>
              </w:rPr>
            </w:pPr>
            <w:r>
              <w:rPr>
                <w:b/>
                <w:lang w:val="en-CA" w:eastAsia="fr-CA"/>
              </w:rPr>
              <w:t>Test occlusion normal (</w:t>
            </w:r>
            <w:r w:rsidRPr="007A5D63">
              <w:rPr>
                <w:b/>
                <w:lang w:val="en-CA" w:eastAsia="fr-CA"/>
              </w:rPr>
              <w:t>Cover et cover/uncovert test)</w:t>
            </w:r>
          </w:p>
        </w:tc>
      </w:tr>
      <w:tr w:rsidR="000927DF" w:rsidTr="006B7618">
        <w:trPr>
          <w:trHeight w:val="526"/>
        </w:trPr>
        <w:tc>
          <w:tcPr>
            <w:tcW w:w="1809" w:type="dxa"/>
            <w:vMerge w:val="restart"/>
            <w:shd w:val="clear" w:color="auto" w:fill="D6E3BC" w:themeFill="accent3" w:themeFillTint="66"/>
            <w:vAlign w:val="center"/>
          </w:tcPr>
          <w:p w:rsidR="000927DF" w:rsidRDefault="000927DF" w:rsidP="00D12A20">
            <w:pPr>
              <w:pStyle w:val="Sansinterligne"/>
              <w:jc w:val="center"/>
              <w:rPr>
                <w:lang w:eastAsia="fr-CA"/>
              </w:rPr>
            </w:pPr>
            <w:r>
              <w:rPr>
                <w:lang w:eastAsia="fr-CA"/>
              </w:rPr>
              <w:t>Strabisme paralytique</w:t>
            </w:r>
          </w:p>
        </w:tc>
        <w:tc>
          <w:tcPr>
            <w:tcW w:w="9131" w:type="dxa"/>
            <w:gridSpan w:val="4"/>
            <w:tcBorders>
              <w:bottom w:val="single" w:sz="4" w:space="0" w:color="FFFFFF" w:themeColor="background1"/>
            </w:tcBorders>
          </w:tcPr>
          <w:p w:rsidR="000927DF" w:rsidRDefault="000927DF" w:rsidP="005D429F">
            <w:pPr>
              <w:pStyle w:val="Sansinterligne"/>
              <w:numPr>
                <w:ilvl w:val="0"/>
                <w:numId w:val="988"/>
              </w:numPr>
              <w:rPr>
                <w:lang w:eastAsia="fr-CA"/>
              </w:rPr>
            </w:pPr>
            <w:r>
              <w:rPr>
                <w:lang w:eastAsia="fr-CA"/>
              </w:rPr>
              <w:t>Diplopie</w:t>
            </w:r>
          </w:p>
          <w:p w:rsidR="000927DF" w:rsidRDefault="000927DF" w:rsidP="005D429F">
            <w:pPr>
              <w:pStyle w:val="Sansinterligne"/>
              <w:numPr>
                <w:ilvl w:val="0"/>
                <w:numId w:val="988"/>
              </w:numPr>
              <w:rPr>
                <w:lang w:eastAsia="fr-CA"/>
              </w:rPr>
            </w:pPr>
            <w:r>
              <w:rPr>
                <w:lang w:eastAsia="fr-CA"/>
              </w:rPr>
              <w:t>Diminution ou absence de l’amplitude des mouvements oculaires</w:t>
            </w:r>
          </w:p>
          <w:p w:rsidR="006B7618" w:rsidRDefault="006B7618" w:rsidP="005D429F">
            <w:pPr>
              <w:pStyle w:val="Sansinterligne"/>
              <w:numPr>
                <w:ilvl w:val="0"/>
                <w:numId w:val="988"/>
              </w:numPr>
              <w:rPr>
                <w:lang w:eastAsia="fr-CA"/>
              </w:rPr>
            </w:pPr>
            <w:r>
              <w:rPr>
                <w:lang w:eastAsia="fr-CA"/>
              </w:rPr>
              <w:t>Apparition aigue/subaigue fréquente</w:t>
            </w:r>
          </w:p>
          <w:p w:rsidR="003C6B3C" w:rsidRDefault="003C6B3C" w:rsidP="005D429F">
            <w:pPr>
              <w:pStyle w:val="Sansinterligne"/>
              <w:numPr>
                <w:ilvl w:val="0"/>
                <w:numId w:val="988"/>
              </w:numPr>
              <w:rPr>
                <w:lang w:eastAsia="fr-CA"/>
              </w:rPr>
            </w:pPr>
            <w:r>
              <w:rPr>
                <w:lang w:eastAsia="fr-CA"/>
              </w:rPr>
              <w:t xml:space="preserve">Reflet lumineux </w:t>
            </w:r>
            <w:r w:rsidR="007A5D63">
              <w:rPr>
                <w:lang w:eastAsia="fr-CA"/>
              </w:rPr>
              <w:t xml:space="preserve">cornéen </w:t>
            </w:r>
            <w:r>
              <w:rPr>
                <w:lang w:eastAsia="fr-CA"/>
              </w:rPr>
              <w:t>asymétrique</w:t>
            </w:r>
          </w:p>
        </w:tc>
      </w:tr>
      <w:tr w:rsidR="000927DF" w:rsidTr="006B7618">
        <w:trPr>
          <w:trHeight w:val="390"/>
        </w:trPr>
        <w:tc>
          <w:tcPr>
            <w:tcW w:w="1809" w:type="dxa"/>
            <w:vMerge/>
            <w:shd w:val="clear" w:color="auto" w:fill="D6E3BC" w:themeFill="accent3" w:themeFillTint="66"/>
            <w:vAlign w:val="center"/>
          </w:tcPr>
          <w:p w:rsidR="000927DF" w:rsidRDefault="000927DF" w:rsidP="00D12A20">
            <w:pPr>
              <w:pStyle w:val="Sansinterligne"/>
              <w:jc w:val="center"/>
              <w:rPr>
                <w:lang w:eastAsia="fr-CA"/>
              </w:rPr>
            </w:pPr>
          </w:p>
        </w:tc>
        <w:tc>
          <w:tcPr>
            <w:tcW w:w="2835" w:type="dxa"/>
            <w:tcBorders>
              <w:top w:val="single" w:sz="4" w:space="0" w:color="FFFFFF" w:themeColor="background1"/>
              <w:bottom w:val="single" w:sz="4" w:space="0" w:color="auto"/>
              <w:right w:val="single" w:sz="4" w:space="0" w:color="FFFFFF" w:themeColor="background1"/>
            </w:tcBorders>
          </w:tcPr>
          <w:p w:rsidR="000927DF" w:rsidRPr="000927DF" w:rsidRDefault="000927DF" w:rsidP="00A5612C">
            <w:pPr>
              <w:pStyle w:val="Sansinterligne"/>
              <w:rPr>
                <w:b/>
                <w:lang w:eastAsia="fr-CA"/>
              </w:rPr>
            </w:pPr>
            <w:r w:rsidRPr="000927DF">
              <w:rPr>
                <w:b/>
                <w:lang w:eastAsia="fr-CA"/>
              </w:rPr>
              <w:t>Neurogène</w:t>
            </w:r>
          </w:p>
          <w:p w:rsidR="000927DF" w:rsidRDefault="000927DF" w:rsidP="005D429F">
            <w:pPr>
              <w:pStyle w:val="Sansinterligne"/>
              <w:numPr>
                <w:ilvl w:val="0"/>
                <w:numId w:val="984"/>
              </w:numPr>
              <w:rPr>
                <w:lang w:eastAsia="fr-CA"/>
              </w:rPr>
            </w:pPr>
            <w:r>
              <w:rPr>
                <w:lang w:eastAsia="fr-CA"/>
              </w:rPr>
              <w:t>Atteinte d’un NC</w:t>
            </w:r>
          </w:p>
          <w:p w:rsidR="000927DF" w:rsidRDefault="000927DF" w:rsidP="005D429F">
            <w:pPr>
              <w:pStyle w:val="Sansinterligne"/>
              <w:numPr>
                <w:ilvl w:val="0"/>
                <w:numId w:val="984"/>
              </w:numPr>
              <w:rPr>
                <w:lang w:eastAsia="fr-CA"/>
              </w:rPr>
            </w:pPr>
            <w:r>
              <w:rPr>
                <w:lang w:eastAsia="fr-CA"/>
              </w:rPr>
              <w:t>Céphalées</w:t>
            </w:r>
          </w:p>
          <w:p w:rsidR="000927DF" w:rsidRPr="000927DF" w:rsidRDefault="000927DF" w:rsidP="00A5612C">
            <w:pPr>
              <w:pStyle w:val="Sansinterligne"/>
              <w:rPr>
                <w:u w:val="single"/>
                <w:lang w:eastAsia="fr-CA"/>
              </w:rPr>
            </w:pPr>
            <w:r w:rsidRPr="000927DF">
              <w:rPr>
                <w:u w:val="single"/>
                <w:lang w:eastAsia="fr-CA"/>
              </w:rPr>
              <w:t>Si atteinte du III</w:t>
            </w:r>
          </w:p>
          <w:p w:rsidR="000927DF" w:rsidRDefault="000927DF" w:rsidP="005D429F">
            <w:pPr>
              <w:pStyle w:val="Sansinterligne"/>
              <w:numPr>
                <w:ilvl w:val="0"/>
                <w:numId w:val="987"/>
              </w:numPr>
              <w:rPr>
                <w:lang w:eastAsia="fr-CA"/>
              </w:rPr>
            </w:pPr>
            <w:r w:rsidRPr="000927DF">
              <w:rPr>
                <w:highlight w:val="yellow"/>
                <w:lang w:eastAsia="fr-CA"/>
              </w:rPr>
              <w:t>Mydriase, ptose,</w:t>
            </w:r>
            <w:r>
              <w:rPr>
                <w:lang w:eastAsia="fr-CA"/>
              </w:rPr>
              <w:t xml:space="preserve"> hypo/exotropie</w:t>
            </w:r>
          </w:p>
        </w:tc>
        <w:tc>
          <w:tcPr>
            <w:tcW w:w="3252" w:type="dxa"/>
            <w:gridSpan w:val="2"/>
            <w:tcBorders>
              <w:top w:val="single" w:sz="4" w:space="0" w:color="FFFFFF" w:themeColor="background1"/>
              <w:left w:val="single" w:sz="4" w:space="0" w:color="FFFFFF" w:themeColor="background1"/>
              <w:bottom w:val="single" w:sz="4" w:space="0" w:color="auto"/>
              <w:right w:val="single" w:sz="4" w:space="0" w:color="FFFFFF" w:themeColor="background1"/>
            </w:tcBorders>
          </w:tcPr>
          <w:p w:rsidR="000927DF" w:rsidRPr="000927DF" w:rsidRDefault="000927DF" w:rsidP="00A5612C">
            <w:pPr>
              <w:pStyle w:val="Sansinterligne"/>
              <w:rPr>
                <w:b/>
                <w:lang w:eastAsia="fr-CA"/>
              </w:rPr>
            </w:pPr>
            <w:r w:rsidRPr="000927DF">
              <w:rPr>
                <w:b/>
                <w:lang w:eastAsia="fr-CA"/>
              </w:rPr>
              <w:t>Myasthénie grave / Mx Graves</w:t>
            </w:r>
          </w:p>
          <w:p w:rsidR="000927DF" w:rsidRDefault="000927DF" w:rsidP="005D429F">
            <w:pPr>
              <w:pStyle w:val="Sansinterligne"/>
              <w:numPr>
                <w:ilvl w:val="0"/>
                <w:numId w:val="985"/>
              </w:numPr>
              <w:rPr>
                <w:lang w:eastAsia="fr-CA"/>
              </w:rPr>
            </w:pPr>
            <w:r>
              <w:rPr>
                <w:lang w:eastAsia="fr-CA"/>
              </w:rPr>
              <w:t>Faiblesse musculaire proximale pancorpoporelle</w:t>
            </w:r>
          </w:p>
          <w:p w:rsidR="000927DF" w:rsidRDefault="000927DF" w:rsidP="005D429F">
            <w:pPr>
              <w:pStyle w:val="Sansinterligne"/>
              <w:numPr>
                <w:ilvl w:val="0"/>
                <w:numId w:val="985"/>
              </w:numPr>
              <w:rPr>
                <w:lang w:eastAsia="fr-CA"/>
              </w:rPr>
            </w:pPr>
            <w:r>
              <w:rPr>
                <w:lang w:eastAsia="fr-CA"/>
              </w:rPr>
              <w:t>Exophtalmie, goitre</w:t>
            </w:r>
          </w:p>
        </w:tc>
        <w:tc>
          <w:tcPr>
            <w:tcW w:w="3044" w:type="dxa"/>
            <w:tcBorders>
              <w:top w:val="single" w:sz="4" w:space="0" w:color="FFFFFF" w:themeColor="background1"/>
              <w:left w:val="single" w:sz="4" w:space="0" w:color="FFFFFF" w:themeColor="background1"/>
              <w:bottom w:val="single" w:sz="4" w:space="0" w:color="auto"/>
            </w:tcBorders>
          </w:tcPr>
          <w:p w:rsidR="000927DF" w:rsidRPr="000927DF" w:rsidRDefault="000927DF" w:rsidP="00A5612C">
            <w:pPr>
              <w:pStyle w:val="Sansinterligne"/>
              <w:rPr>
                <w:b/>
                <w:lang w:eastAsia="fr-CA"/>
              </w:rPr>
            </w:pPr>
            <w:r w:rsidRPr="000927DF">
              <w:rPr>
                <w:b/>
                <w:lang w:eastAsia="fr-CA"/>
              </w:rPr>
              <w:t>Mécanique / post-traumatique</w:t>
            </w:r>
          </w:p>
          <w:p w:rsidR="000927DF" w:rsidRDefault="000927DF" w:rsidP="005D429F">
            <w:pPr>
              <w:pStyle w:val="Sansinterligne"/>
              <w:numPr>
                <w:ilvl w:val="0"/>
                <w:numId w:val="986"/>
              </w:numPr>
              <w:rPr>
                <w:lang w:eastAsia="fr-CA"/>
              </w:rPr>
            </w:pPr>
            <w:r>
              <w:rPr>
                <w:lang w:eastAsia="fr-CA"/>
              </w:rPr>
              <w:t>Fx du plancher orbitaire</w:t>
            </w:r>
          </w:p>
          <w:p w:rsidR="000927DF" w:rsidRDefault="000927DF" w:rsidP="005D429F">
            <w:pPr>
              <w:pStyle w:val="Sansinterligne"/>
              <w:numPr>
                <w:ilvl w:val="0"/>
                <w:numId w:val="986"/>
              </w:numPr>
              <w:rPr>
                <w:lang w:eastAsia="fr-CA"/>
              </w:rPr>
            </w:pPr>
            <w:r>
              <w:rPr>
                <w:lang w:eastAsia="fr-CA"/>
              </w:rPr>
              <w:t>Ecchymoses</w:t>
            </w:r>
          </w:p>
          <w:p w:rsidR="000927DF" w:rsidRDefault="000927DF" w:rsidP="005D429F">
            <w:pPr>
              <w:pStyle w:val="Sansinterligne"/>
              <w:numPr>
                <w:ilvl w:val="0"/>
                <w:numId w:val="986"/>
              </w:numPr>
              <w:rPr>
                <w:lang w:eastAsia="fr-CA"/>
              </w:rPr>
            </w:pPr>
            <w:r>
              <w:rPr>
                <w:lang w:eastAsia="fr-CA"/>
              </w:rPr>
              <w:t>Hx de trauma</w:t>
            </w:r>
          </w:p>
        </w:tc>
      </w:tr>
      <w:tr w:rsidR="006B7618" w:rsidTr="006B7618">
        <w:tc>
          <w:tcPr>
            <w:tcW w:w="1809" w:type="dxa"/>
            <w:tcBorders>
              <w:right w:val="single" w:sz="4" w:space="0" w:color="auto"/>
            </w:tcBorders>
            <w:shd w:val="clear" w:color="auto" w:fill="D6E3BC" w:themeFill="accent3" w:themeFillTint="66"/>
            <w:vAlign w:val="center"/>
          </w:tcPr>
          <w:p w:rsidR="006B7618" w:rsidRPr="00555EE7" w:rsidRDefault="006B7618" w:rsidP="00D12A20">
            <w:pPr>
              <w:pStyle w:val="Sansinterligne"/>
              <w:jc w:val="center"/>
              <w:rPr>
                <w:b/>
                <w:lang w:eastAsia="fr-CA"/>
              </w:rPr>
            </w:pPr>
            <w:r w:rsidRPr="00555EE7">
              <w:rPr>
                <w:b/>
                <w:lang w:eastAsia="fr-CA"/>
              </w:rPr>
              <w:t>Strabisme non-paralytique</w:t>
            </w:r>
          </w:p>
        </w:tc>
        <w:tc>
          <w:tcPr>
            <w:tcW w:w="4565" w:type="dxa"/>
            <w:gridSpan w:val="2"/>
            <w:tcBorders>
              <w:top w:val="single" w:sz="4" w:space="0" w:color="auto"/>
              <w:left w:val="single" w:sz="4" w:space="0" w:color="auto"/>
              <w:bottom w:val="single" w:sz="4" w:space="0" w:color="auto"/>
              <w:right w:val="nil"/>
            </w:tcBorders>
            <w:shd w:val="clear" w:color="auto" w:fill="FFFF00"/>
          </w:tcPr>
          <w:p w:rsidR="006B7618" w:rsidRDefault="006B7618" w:rsidP="005D429F">
            <w:pPr>
              <w:pStyle w:val="Sansinterligne"/>
              <w:numPr>
                <w:ilvl w:val="0"/>
                <w:numId w:val="991"/>
              </w:numPr>
              <w:rPr>
                <w:lang w:eastAsia="fr-CA"/>
              </w:rPr>
            </w:pPr>
            <w:r>
              <w:rPr>
                <w:lang w:eastAsia="fr-CA"/>
              </w:rPr>
              <w:t>Apparition graduelle</w:t>
            </w:r>
          </w:p>
          <w:p w:rsidR="006B7618" w:rsidRDefault="006B7618" w:rsidP="005D429F">
            <w:pPr>
              <w:pStyle w:val="Sansinterligne"/>
              <w:numPr>
                <w:ilvl w:val="0"/>
                <w:numId w:val="991"/>
              </w:numPr>
              <w:rPr>
                <w:lang w:eastAsia="fr-CA"/>
              </w:rPr>
            </w:pPr>
            <w:r>
              <w:rPr>
                <w:lang w:eastAsia="fr-CA"/>
              </w:rPr>
              <w:t>Monoculaire ou intermittent</w:t>
            </w:r>
          </w:p>
          <w:p w:rsidR="003C6B3C" w:rsidRPr="007A5D63" w:rsidRDefault="003C6B3C" w:rsidP="005D429F">
            <w:pPr>
              <w:pStyle w:val="Sansinterligne"/>
              <w:numPr>
                <w:ilvl w:val="0"/>
                <w:numId w:val="991"/>
              </w:numPr>
              <w:rPr>
                <w:b/>
                <w:lang w:eastAsia="fr-CA"/>
              </w:rPr>
            </w:pPr>
            <w:r w:rsidRPr="007A5D63">
              <w:rPr>
                <w:b/>
                <w:lang w:eastAsia="fr-CA"/>
              </w:rPr>
              <w:t>Reflet lumineux</w:t>
            </w:r>
            <w:r w:rsidR="007A5D63">
              <w:rPr>
                <w:b/>
                <w:lang w:eastAsia="fr-CA"/>
              </w:rPr>
              <w:t xml:space="preserve"> cornéen</w:t>
            </w:r>
            <w:r w:rsidRPr="007A5D63">
              <w:rPr>
                <w:b/>
                <w:lang w:eastAsia="fr-CA"/>
              </w:rPr>
              <w:t xml:space="preserve"> asymétrique</w:t>
            </w:r>
          </w:p>
          <w:p w:rsidR="006B7618" w:rsidRDefault="006B7618" w:rsidP="005D429F">
            <w:pPr>
              <w:pStyle w:val="Sansinterligne"/>
              <w:numPr>
                <w:ilvl w:val="0"/>
                <w:numId w:val="991"/>
              </w:numPr>
              <w:rPr>
                <w:lang w:eastAsia="fr-CA"/>
              </w:rPr>
            </w:pPr>
            <w:r>
              <w:rPr>
                <w:lang w:eastAsia="fr-CA"/>
              </w:rPr>
              <w:t>Pas de limitation aux mouvements</w:t>
            </w:r>
          </w:p>
        </w:tc>
        <w:tc>
          <w:tcPr>
            <w:tcW w:w="4566" w:type="dxa"/>
            <w:gridSpan w:val="2"/>
            <w:tcBorders>
              <w:top w:val="single" w:sz="4" w:space="0" w:color="auto"/>
              <w:left w:val="nil"/>
              <w:bottom w:val="single" w:sz="4" w:space="0" w:color="auto"/>
              <w:right w:val="single" w:sz="4" w:space="0" w:color="auto"/>
            </w:tcBorders>
            <w:shd w:val="clear" w:color="auto" w:fill="FFFF00"/>
          </w:tcPr>
          <w:p w:rsidR="007A5D63" w:rsidRPr="007A5D63" w:rsidRDefault="007A5D63" w:rsidP="005D429F">
            <w:pPr>
              <w:pStyle w:val="Sansinterligne"/>
              <w:numPr>
                <w:ilvl w:val="0"/>
                <w:numId w:val="990"/>
              </w:numPr>
              <w:rPr>
                <w:b/>
                <w:lang w:eastAsia="fr-CA"/>
              </w:rPr>
            </w:pPr>
            <w:r w:rsidRPr="007A5D63">
              <w:rPr>
                <w:b/>
                <w:lang w:eastAsia="fr-CA"/>
              </w:rPr>
              <w:t xml:space="preserve">Test d’occlusion positif (correction de l’alignement en occluant l’œil sain) </w:t>
            </w:r>
          </w:p>
          <w:p w:rsidR="006B7618" w:rsidRDefault="006B7618" w:rsidP="005D429F">
            <w:pPr>
              <w:pStyle w:val="Sansinterligne"/>
              <w:numPr>
                <w:ilvl w:val="0"/>
                <w:numId w:val="990"/>
              </w:numPr>
              <w:rPr>
                <w:lang w:eastAsia="fr-CA"/>
              </w:rPr>
            </w:pPr>
            <w:r>
              <w:rPr>
                <w:lang w:eastAsia="fr-CA"/>
              </w:rPr>
              <w:t>À risque de développer une amblyopie</w:t>
            </w:r>
          </w:p>
          <w:p w:rsidR="006B7618" w:rsidRDefault="006B7618" w:rsidP="005D429F">
            <w:pPr>
              <w:pStyle w:val="Sansinterligne"/>
              <w:numPr>
                <w:ilvl w:val="0"/>
                <w:numId w:val="990"/>
              </w:numPr>
              <w:rPr>
                <w:lang w:eastAsia="fr-CA"/>
              </w:rPr>
            </w:pPr>
            <w:r>
              <w:rPr>
                <w:lang w:eastAsia="fr-CA"/>
              </w:rPr>
              <w:t xml:space="preserve">Rarement diplopie (amblyopie </w:t>
            </w:r>
            <w:r>
              <w:rPr>
                <w:rFonts w:ascii="Century Gothic" w:hAnsi="Century Gothic"/>
                <w:lang w:eastAsia="fr-CA"/>
              </w:rPr>
              <w:t>→</w:t>
            </w:r>
            <w:r>
              <w:rPr>
                <w:lang w:eastAsia="fr-CA"/>
              </w:rPr>
              <w:t xml:space="preserve"> suppression corticale de l’image désalignée)</w:t>
            </w:r>
          </w:p>
        </w:tc>
      </w:tr>
      <w:tr w:rsidR="000927DF" w:rsidTr="006B7618">
        <w:trPr>
          <w:trHeight w:val="214"/>
        </w:trPr>
        <w:tc>
          <w:tcPr>
            <w:tcW w:w="1809" w:type="dxa"/>
            <w:shd w:val="clear" w:color="auto" w:fill="D6E3BC" w:themeFill="accent3" w:themeFillTint="66"/>
            <w:vAlign w:val="center"/>
          </w:tcPr>
          <w:p w:rsidR="000927DF" w:rsidRDefault="000927DF" w:rsidP="00501CBC">
            <w:pPr>
              <w:pStyle w:val="Sansinterligne"/>
              <w:jc w:val="center"/>
              <w:rPr>
                <w:lang w:eastAsia="fr-CA"/>
              </w:rPr>
            </w:pPr>
            <w:r>
              <w:rPr>
                <w:lang w:eastAsia="fr-CA"/>
              </w:rPr>
              <w:t>Ésotropie accomodative</w:t>
            </w:r>
          </w:p>
        </w:tc>
        <w:tc>
          <w:tcPr>
            <w:tcW w:w="9131" w:type="dxa"/>
            <w:gridSpan w:val="4"/>
            <w:tcBorders>
              <w:top w:val="single" w:sz="4" w:space="0" w:color="auto"/>
            </w:tcBorders>
          </w:tcPr>
          <w:p w:rsidR="003C6B3C" w:rsidRDefault="003C6B3C" w:rsidP="005D429F">
            <w:pPr>
              <w:pStyle w:val="Sansinterligne"/>
              <w:numPr>
                <w:ilvl w:val="0"/>
                <w:numId w:val="992"/>
              </w:numPr>
              <w:rPr>
                <w:lang w:eastAsia="fr-CA"/>
              </w:rPr>
            </w:pPr>
            <w:r>
              <w:rPr>
                <w:lang w:eastAsia="fr-CA"/>
              </w:rPr>
              <w:t xml:space="preserve">Reflet lumineux asymétrique </w:t>
            </w:r>
          </w:p>
          <w:p w:rsidR="000927DF" w:rsidRDefault="00214FBB" w:rsidP="005D429F">
            <w:pPr>
              <w:pStyle w:val="Sansinterligne"/>
              <w:numPr>
                <w:ilvl w:val="0"/>
                <w:numId w:val="992"/>
              </w:numPr>
              <w:rPr>
                <w:lang w:eastAsia="fr-CA"/>
              </w:rPr>
            </w:pPr>
            <w:r>
              <w:rPr>
                <w:lang w:eastAsia="fr-CA"/>
              </w:rPr>
              <w:t>Survient vers 2,5 ans</w:t>
            </w:r>
          </w:p>
          <w:p w:rsidR="00214FBB" w:rsidRDefault="00214FBB" w:rsidP="005D429F">
            <w:pPr>
              <w:pStyle w:val="Sansinterligne"/>
              <w:numPr>
                <w:ilvl w:val="0"/>
                <w:numId w:val="992"/>
              </w:numPr>
              <w:rPr>
                <w:lang w:eastAsia="fr-CA"/>
              </w:rPr>
            </w:pPr>
            <w:r>
              <w:rPr>
                <w:lang w:eastAsia="fr-CA"/>
              </w:rPr>
              <w:t xml:space="preserve">Secondaire à une hypermétropie </w:t>
            </w:r>
            <w:r>
              <w:rPr>
                <w:rFonts w:ascii="Century Gothic" w:hAnsi="Century Gothic"/>
                <w:lang w:eastAsia="fr-CA"/>
              </w:rPr>
              <w:t>→</w:t>
            </w:r>
            <w:r>
              <w:rPr>
                <w:lang w:eastAsia="fr-CA"/>
              </w:rPr>
              <w:t xml:space="preserve"> accommodation excessive</w:t>
            </w:r>
          </w:p>
        </w:tc>
      </w:tr>
      <w:tr w:rsidR="000927DF" w:rsidTr="00214FBB">
        <w:tc>
          <w:tcPr>
            <w:tcW w:w="1809" w:type="dxa"/>
            <w:shd w:val="clear" w:color="auto" w:fill="D6E3BC" w:themeFill="accent3" w:themeFillTint="66"/>
            <w:vAlign w:val="center"/>
          </w:tcPr>
          <w:p w:rsidR="000927DF" w:rsidRPr="00555EE7" w:rsidRDefault="000927DF" w:rsidP="00501CBC">
            <w:pPr>
              <w:pStyle w:val="Sansinterligne"/>
              <w:jc w:val="center"/>
              <w:rPr>
                <w:b/>
                <w:lang w:eastAsia="fr-CA"/>
              </w:rPr>
            </w:pPr>
            <w:r w:rsidRPr="00555EE7">
              <w:rPr>
                <w:b/>
                <w:lang w:eastAsia="fr-CA"/>
              </w:rPr>
              <w:t>Ésotropie non accommodative</w:t>
            </w:r>
          </w:p>
        </w:tc>
        <w:tc>
          <w:tcPr>
            <w:tcW w:w="9131" w:type="dxa"/>
            <w:gridSpan w:val="4"/>
            <w:shd w:val="clear" w:color="auto" w:fill="FFFF00"/>
          </w:tcPr>
          <w:p w:rsidR="00214FBB" w:rsidRDefault="00214FBB" w:rsidP="005D429F">
            <w:pPr>
              <w:pStyle w:val="Sansinterligne"/>
              <w:numPr>
                <w:ilvl w:val="0"/>
                <w:numId w:val="993"/>
              </w:numPr>
              <w:rPr>
                <w:lang w:eastAsia="fr-CA"/>
              </w:rPr>
            </w:pPr>
            <w:r>
              <w:rPr>
                <w:rFonts w:cs="Times New Roman"/>
                <w:lang w:eastAsia="fr-CA"/>
              </w:rPr>
              <w:t>~</w:t>
            </w:r>
            <w:r>
              <w:rPr>
                <w:lang w:eastAsia="fr-CA"/>
              </w:rPr>
              <w:t xml:space="preserve"> 50% du strabisme pédiatrique, idiopathique</w:t>
            </w:r>
          </w:p>
          <w:p w:rsidR="003C6B3C" w:rsidRDefault="003C6B3C" w:rsidP="005D429F">
            <w:pPr>
              <w:pStyle w:val="Sansinterligne"/>
              <w:numPr>
                <w:ilvl w:val="0"/>
                <w:numId w:val="993"/>
              </w:numPr>
              <w:rPr>
                <w:lang w:eastAsia="fr-CA"/>
              </w:rPr>
            </w:pPr>
            <w:r>
              <w:rPr>
                <w:lang w:eastAsia="fr-CA"/>
              </w:rPr>
              <w:t xml:space="preserve">Reflet lumineux </w:t>
            </w:r>
            <w:r w:rsidR="007A5D63">
              <w:rPr>
                <w:lang w:eastAsia="fr-CA"/>
              </w:rPr>
              <w:t xml:space="preserve">cornéen </w:t>
            </w:r>
            <w:r>
              <w:rPr>
                <w:lang w:eastAsia="fr-CA"/>
              </w:rPr>
              <w:t>asymétrique</w:t>
            </w:r>
          </w:p>
          <w:p w:rsidR="000927DF" w:rsidRDefault="00214FBB" w:rsidP="005D429F">
            <w:pPr>
              <w:pStyle w:val="Sansinterligne"/>
              <w:numPr>
                <w:ilvl w:val="0"/>
                <w:numId w:val="993"/>
              </w:numPr>
              <w:rPr>
                <w:lang w:eastAsia="fr-CA"/>
              </w:rPr>
            </w:pPr>
            <w:r>
              <w:rPr>
                <w:lang w:eastAsia="fr-CA"/>
              </w:rPr>
              <w:t>Parfois atteinte monoculaire causale</w:t>
            </w:r>
          </w:p>
          <w:p w:rsidR="00214FBB" w:rsidRDefault="00214FBB" w:rsidP="005D429F">
            <w:pPr>
              <w:pStyle w:val="Sansinterligne"/>
              <w:numPr>
                <w:ilvl w:val="0"/>
                <w:numId w:val="993"/>
              </w:numPr>
              <w:rPr>
                <w:lang w:eastAsia="fr-CA"/>
              </w:rPr>
            </w:pPr>
            <w:r>
              <w:rPr>
                <w:lang w:eastAsia="fr-CA"/>
              </w:rPr>
              <w:t>Éliminer :</w:t>
            </w:r>
          </w:p>
          <w:p w:rsidR="00214FBB" w:rsidRPr="00214FBB" w:rsidRDefault="00214FBB" w:rsidP="005D429F">
            <w:pPr>
              <w:pStyle w:val="Sansinterligne"/>
              <w:numPr>
                <w:ilvl w:val="1"/>
                <w:numId w:val="993"/>
              </w:numPr>
              <w:rPr>
                <w:b/>
                <w:lang w:eastAsia="fr-CA"/>
              </w:rPr>
            </w:pPr>
            <w:r w:rsidRPr="00214FBB">
              <w:rPr>
                <w:b/>
                <w:lang w:eastAsia="fr-CA"/>
              </w:rPr>
              <w:t>Cataracte congénitale (opacité oculaire, rétine non-visible</w:t>
            </w:r>
            <w:r w:rsidR="002036D0">
              <w:rPr>
                <w:b/>
                <w:lang w:eastAsia="fr-CA"/>
              </w:rPr>
              <w:t>, leucocorie</w:t>
            </w:r>
            <w:r w:rsidRPr="00214FBB">
              <w:rPr>
                <w:b/>
                <w:lang w:eastAsia="fr-CA"/>
              </w:rPr>
              <w:t>)</w:t>
            </w:r>
          </w:p>
          <w:p w:rsidR="00214FBB" w:rsidRPr="00214FBB" w:rsidRDefault="00214FBB" w:rsidP="005D429F">
            <w:pPr>
              <w:pStyle w:val="Sansinterligne"/>
              <w:numPr>
                <w:ilvl w:val="1"/>
                <w:numId w:val="993"/>
              </w:numPr>
              <w:rPr>
                <w:b/>
                <w:lang w:eastAsia="fr-CA"/>
              </w:rPr>
            </w:pPr>
            <w:r w:rsidRPr="00214FBB">
              <w:rPr>
                <w:b/>
                <w:lang w:eastAsia="fr-CA"/>
              </w:rPr>
              <w:t>Rétinoblastome (reflet blanc / leuco</w:t>
            </w:r>
            <w:r w:rsidR="002036D0">
              <w:rPr>
                <w:b/>
                <w:lang w:eastAsia="fr-CA"/>
              </w:rPr>
              <w:t>co</w:t>
            </w:r>
            <w:r w:rsidRPr="00214FBB">
              <w:rPr>
                <w:b/>
                <w:lang w:eastAsia="fr-CA"/>
              </w:rPr>
              <w:t xml:space="preserve">rie) </w:t>
            </w:r>
          </w:p>
          <w:p w:rsidR="00214FBB" w:rsidRDefault="00214FBB" w:rsidP="005D429F">
            <w:pPr>
              <w:pStyle w:val="Sansinterligne"/>
              <w:numPr>
                <w:ilvl w:val="1"/>
                <w:numId w:val="993"/>
              </w:numPr>
              <w:rPr>
                <w:lang w:eastAsia="fr-CA"/>
              </w:rPr>
            </w:pPr>
            <w:r>
              <w:rPr>
                <w:lang w:eastAsia="fr-CA"/>
              </w:rPr>
              <w:t>Lésion cornéenne (cornée blanche ou abrasions)</w:t>
            </w:r>
          </w:p>
          <w:p w:rsidR="00214FBB" w:rsidRDefault="00214FBB" w:rsidP="005D429F">
            <w:pPr>
              <w:pStyle w:val="Sansinterligne"/>
              <w:numPr>
                <w:ilvl w:val="1"/>
                <w:numId w:val="993"/>
              </w:numPr>
              <w:rPr>
                <w:lang w:eastAsia="fr-CA"/>
              </w:rPr>
            </w:pPr>
            <w:r>
              <w:rPr>
                <w:lang w:eastAsia="fr-CA"/>
              </w:rPr>
              <w:t>Anisométropie (erreur de réfraction asymétrique) (AV)</w:t>
            </w:r>
          </w:p>
        </w:tc>
      </w:tr>
    </w:tbl>
    <w:p w:rsidR="002C3F80" w:rsidRDefault="002C3F80" w:rsidP="00A5612C">
      <w:pPr>
        <w:pStyle w:val="Sansinterligne"/>
        <w:rPr>
          <w:lang w:eastAsia="fr-CA"/>
        </w:rPr>
      </w:pPr>
    </w:p>
    <w:p w:rsidR="002C3F80" w:rsidRPr="00974B71" w:rsidRDefault="00974B71" w:rsidP="00974B71">
      <w:pPr>
        <w:pStyle w:val="Sansinterligne"/>
        <w:rPr>
          <w:b/>
          <w:sz w:val="28"/>
          <w:szCs w:val="28"/>
        </w:rPr>
      </w:pPr>
      <w:r w:rsidRPr="00974B71">
        <w:rPr>
          <w:b/>
          <w:sz w:val="28"/>
          <w:szCs w:val="28"/>
        </w:rPr>
        <w:t>Prise en charge et référence</w:t>
      </w:r>
    </w:p>
    <w:p w:rsidR="002C3F80" w:rsidRDefault="002C3F80" w:rsidP="00C04E78">
      <w:pPr>
        <w:spacing w:after="0"/>
        <w:rPr>
          <w:rFonts w:cs="Times New Roman"/>
          <w:b/>
          <w:color w:val="548DD4" w:themeColor="text2" w:themeTint="99"/>
        </w:rPr>
      </w:pPr>
    </w:p>
    <w:p w:rsidR="002C3F80" w:rsidRDefault="00176126" w:rsidP="00176126">
      <w:pPr>
        <w:pStyle w:val="Sansinterligne"/>
      </w:pPr>
      <w:r>
        <w:t xml:space="preserve">L’amblyopie doit être considérée comme une urgence et rapidement référée en ophtalmologie. En effet, </w:t>
      </w:r>
      <w:r w:rsidR="007074A5">
        <w:t>l’</w:t>
      </w:r>
      <w:r>
        <w:t>amblyopie persistant au-delà de 7 ans devient irréversible avec une atteinte permanente de l’acuité visuelle de l’œil amblyope.</w:t>
      </w:r>
    </w:p>
    <w:p w:rsidR="007074A5" w:rsidRDefault="007074A5" w:rsidP="00176126">
      <w:pPr>
        <w:pStyle w:val="Sansinterligne"/>
      </w:pPr>
    </w:p>
    <w:p w:rsidR="000E041D" w:rsidRDefault="000E041D" w:rsidP="00176126">
      <w:pPr>
        <w:pStyle w:val="Sansinterligne"/>
      </w:pPr>
    </w:p>
    <w:p w:rsidR="007074A5" w:rsidRPr="000E041D" w:rsidRDefault="00B705E6" w:rsidP="00176126">
      <w:pPr>
        <w:pStyle w:val="Sansinterligne"/>
        <w:rPr>
          <w:b/>
          <w:highlight w:val="yellow"/>
        </w:rPr>
      </w:pPr>
      <w:r>
        <w:rPr>
          <w:noProof/>
          <w:lang w:eastAsia="fr-CA"/>
        </w:rPr>
        <w:drawing>
          <wp:anchor distT="0" distB="0" distL="114300" distR="114300" simplePos="0" relativeHeight="251956224" behindDoc="0" locked="0" layoutInCell="1" allowOverlap="1" wp14:anchorId="684C9331" wp14:editId="5CB7B20A">
            <wp:simplePos x="0" y="0"/>
            <wp:positionH relativeFrom="column">
              <wp:posOffset>4535805</wp:posOffset>
            </wp:positionH>
            <wp:positionV relativeFrom="paragraph">
              <wp:posOffset>-148293</wp:posOffset>
            </wp:positionV>
            <wp:extent cx="2058670" cy="1517015"/>
            <wp:effectExtent l="0" t="0" r="0" b="6985"/>
            <wp:wrapNone/>
            <wp:docPr id="471" name="Image 471" descr="Résultats de recherche d'images pour « strabism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ésultats de recherche d'images pour « strabisme »"/>
                    <pic:cNvPicPr>
                      <a:picLocks noChangeAspect="1" noChangeArrowheads="1"/>
                    </pic:cNvPicPr>
                  </pic:nvPicPr>
                  <pic:blipFill>
                    <a:blip r:embed="rId354">
                      <a:extLst>
                        <a:ext uri="{28A0092B-C50C-407E-A947-70E740481C1C}">
                          <a14:useLocalDpi xmlns:a14="http://schemas.microsoft.com/office/drawing/2010/main" val="0"/>
                        </a:ext>
                      </a:extLst>
                    </a:blip>
                    <a:srcRect/>
                    <a:stretch>
                      <a:fillRect/>
                    </a:stretch>
                  </pic:blipFill>
                  <pic:spPr bwMode="auto">
                    <a:xfrm>
                      <a:off x="0" y="0"/>
                      <a:ext cx="2058670" cy="1517015"/>
                    </a:xfrm>
                    <a:prstGeom prst="rect">
                      <a:avLst/>
                    </a:prstGeom>
                    <a:noFill/>
                    <a:ln>
                      <a:noFill/>
                    </a:ln>
                  </pic:spPr>
                </pic:pic>
              </a:graphicData>
            </a:graphic>
            <wp14:sizeRelH relativeFrom="page">
              <wp14:pctWidth>0</wp14:pctWidth>
            </wp14:sizeRelH>
            <wp14:sizeRelV relativeFrom="page">
              <wp14:pctHeight>0</wp14:pctHeight>
            </wp14:sizeRelV>
          </wp:anchor>
        </w:drawing>
      </w:r>
      <w:r w:rsidR="00247F24" w:rsidRPr="000E041D">
        <w:rPr>
          <w:b/>
          <w:highlight w:val="yellow"/>
        </w:rPr>
        <w:t xml:space="preserve">Amblyopie strabique </w:t>
      </w:r>
    </w:p>
    <w:p w:rsidR="00247F24" w:rsidRPr="000E041D" w:rsidRDefault="00247F24" w:rsidP="005D429F">
      <w:pPr>
        <w:pStyle w:val="Sansinterligne"/>
        <w:numPr>
          <w:ilvl w:val="0"/>
          <w:numId w:val="996"/>
        </w:numPr>
        <w:rPr>
          <w:highlight w:val="yellow"/>
        </w:rPr>
      </w:pPr>
      <w:r w:rsidRPr="000E041D">
        <w:rPr>
          <w:highlight w:val="yellow"/>
        </w:rPr>
        <w:t>Référence en ophtalmologie</w:t>
      </w:r>
    </w:p>
    <w:p w:rsidR="00247F24" w:rsidRPr="000E041D" w:rsidRDefault="00247F24" w:rsidP="005D429F">
      <w:pPr>
        <w:pStyle w:val="Sansinterligne"/>
        <w:numPr>
          <w:ilvl w:val="0"/>
          <w:numId w:val="996"/>
        </w:numPr>
        <w:rPr>
          <w:highlight w:val="yellow"/>
        </w:rPr>
      </w:pPr>
      <w:r w:rsidRPr="000E041D">
        <w:rPr>
          <w:highlight w:val="yellow"/>
        </w:rPr>
        <w:t xml:space="preserve">Thérapie d’occlusion intermittente </w:t>
      </w:r>
    </w:p>
    <w:p w:rsidR="00247F24" w:rsidRPr="000E041D" w:rsidRDefault="00247F24" w:rsidP="005D429F">
      <w:pPr>
        <w:pStyle w:val="Sansinterligne"/>
        <w:numPr>
          <w:ilvl w:val="1"/>
          <w:numId w:val="996"/>
        </w:numPr>
        <w:rPr>
          <w:highlight w:val="yellow"/>
        </w:rPr>
      </w:pPr>
      <w:r w:rsidRPr="000E041D">
        <w:rPr>
          <w:highlight w:val="yellow"/>
        </w:rPr>
        <w:t xml:space="preserve">Occlusion de l’œil sain </w:t>
      </w:r>
    </w:p>
    <w:p w:rsidR="00247F24" w:rsidRPr="000E041D" w:rsidRDefault="00247F24" w:rsidP="005D429F">
      <w:pPr>
        <w:pStyle w:val="Sansinterligne"/>
        <w:numPr>
          <w:ilvl w:val="1"/>
          <w:numId w:val="996"/>
        </w:numPr>
        <w:rPr>
          <w:highlight w:val="yellow"/>
        </w:rPr>
      </w:pPr>
      <w:r w:rsidRPr="000E041D">
        <w:rPr>
          <w:highlight w:val="yellow"/>
        </w:rPr>
        <w:t>Force l’œil amblyope à travailler</w:t>
      </w:r>
    </w:p>
    <w:p w:rsidR="00247F24" w:rsidRPr="000E041D" w:rsidRDefault="00247F24" w:rsidP="005D429F">
      <w:pPr>
        <w:pStyle w:val="Sansinterligne"/>
        <w:numPr>
          <w:ilvl w:val="1"/>
          <w:numId w:val="996"/>
        </w:numPr>
        <w:rPr>
          <w:highlight w:val="yellow"/>
        </w:rPr>
      </w:pPr>
      <w:r w:rsidRPr="000E041D">
        <w:rPr>
          <w:highlight w:val="yellow"/>
        </w:rPr>
        <w:t>Améliorer les connexions de la voie nerveuse pathologique</w:t>
      </w:r>
    </w:p>
    <w:p w:rsidR="00247F24" w:rsidRPr="000E041D" w:rsidRDefault="00247F24" w:rsidP="005D429F">
      <w:pPr>
        <w:pStyle w:val="Sansinterligne"/>
        <w:numPr>
          <w:ilvl w:val="0"/>
          <w:numId w:val="996"/>
        </w:numPr>
        <w:rPr>
          <w:highlight w:val="yellow"/>
        </w:rPr>
      </w:pPr>
      <w:r w:rsidRPr="000E041D">
        <w:rPr>
          <w:highlight w:val="yellow"/>
        </w:rPr>
        <w:t>Suivi jusqu’à l’âge de 9 ans</w:t>
      </w:r>
    </w:p>
    <w:p w:rsidR="00247F24" w:rsidRPr="000E041D" w:rsidRDefault="00247F24" w:rsidP="005D429F">
      <w:pPr>
        <w:pStyle w:val="Sansinterligne"/>
        <w:numPr>
          <w:ilvl w:val="0"/>
          <w:numId w:val="996"/>
        </w:numPr>
        <w:rPr>
          <w:highlight w:val="yellow"/>
        </w:rPr>
      </w:pPr>
      <w:r w:rsidRPr="000E041D">
        <w:rPr>
          <w:highlight w:val="yellow"/>
        </w:rPr>
        <w:t xml:space="preserve">Traitement chirurgical si traitement médical insuffisant </w:t>
      </w:r>
    </w:p>
    <w:p w:rsidR="00247F24" w:rsidRPr="000E041D" w:rsidRDefault="00247F24" w:rsidP="005D429F">
      <w:pPr>
        <w:pStyle w:val="Sansinterligne"/>
        <w:numPr>
          <w:ilvl w:val="1"/>
          <w:numId w:val="996"/>
        </w:numPr>
        <w:rPr>
          <w:highlight w:val="yellow"/>
        </w:rPr>
      </w:pPr>
      <w:r w:rsidRPr="000E041D">
        <w:rPr>
          <w:highlight w:val="yellow"/>
        </w:rPr>
        <w:t>Raccourcissement ou relâchement de certains muscles oculaires</w:t>
      </w:r>
    </w:p>
    <w:p w:rsidR="00247F24" w:rsidRPr="000E041D" w:rsidRDefault="00247F24" w:rsidP="005D429F">
      <w:pPr>
        <w:pStyle w:val="Sansinterligne"/>
        <w:numPr>
          <w:ilvl w:val="0"/>
          <w:numId w:val="996"/>
        </w:numPr>
        <w:rPr>
          <w:highlight w:val="yellow"/>
        </w:rPr>
      </w:pPr>
      <w:r w:rsidRPr="000E041D">
        <w:rPr>
          <w:highlight w:val="yellow"/>
        </w:rPr>
        <w:t>Si strabisme non-paralytique</w:t>
      </w:r>
    </w:p>
    <w:p w:rsidR="00247F24" w:rsidRPr="000E041D" w:rsidRDefault="00247F24" w:rsidP="005D429F">
      <w:pPr>
        <w:pStyle w:val="Sansinterligne"/>
        <w:numPr>
          <w:ilvl w:val="1"/>
          <w:numId w:val="996"/>
        </w:numPr>
        <w:rPr>
          <w:highlight w:val="yellow"/>
        </w:rPr>
      </w:pPr>
      <w:r w:rsidRPr="000E041D">
        <w:rPr>
          <w:highlight w:val="yellow"/>
        </w:rPr>
        <w:t>Investiguer (TDM cérébral, RX crâne, Ac anti-récepteurs à l’acéthylcholine, test au Tensilon, TSH, etc.)</w:t>
      </w:r>
    </w:p>
    <w:p w:rsidR="00247F24" w:rsidRPr="000E041D" w:rsidRDefault="00247F24" w:rsidP="005D429F">
      <w:pPr>
        <w:pStyle w:val="Sansinterligne"/>
        <w:numPr>
          <w:ilvl w:val="1"/>
          <w:numId w:val="996"/>
        </w:numPr>
        <w:rPr>
          <w:highlight w:val="yellow"/>
        </w:rPr>
      </w:pPr>
      <w:r w:rsidRPr="000E041D">
        <w:rPr>
          <w:highlight w:val="yellow"/>
        </w:rPr>
        <w:t>Traiter la cause sous-jacente et référence au besoin</w:t>
      </w:r>
    </w:p>
    <w:p w:rsidR="00247F24" w:rsidRDefault="00247F24" w:rsidP="00176126">
      <w:pPr>
        <w:pStyle w:val="Sansinterligne"/>
      </w:pPr>
    </w:p>
    <w:p w:rsidR="00247F24" w:rsidRPr="000E041D" w:rsidRDefault="00247F24" w:rsidP="00176126">
      <w:pPr>
        <w:pStyle w:val="Sansinterligne"/>
        <w:rPr>
          <w:b/>
          <w:highlight w:val="yellow"/>
        </w:rPr>
      </w:pPr>
      <w:r w:rsidRPr="000E041D">
        <w:rPr>
          <w:b/>
          <w:highlight w:val="yellow"/>
        </w:rPr>
        <w:t>Amblyopie réfractive</w:t>
      </w:r>
    </w:p>
    <w:p w:rsidR="00247F24" w:rsidRPr="000E041D" w:rsidRDefault="00247F24" w:rsidP="005D429F">
      <w:pPr>
        <w:pStyle w:val="Sansinterligne"/>
        <w:numPr>
          <w:ilvl w:val="0"/>
          <w:numId w:val="997"/>
        </w:numPr>
        <w:rPr>
          <w:highlight w:val="yellow"/>
        </w:rPr>
      </w:pPr>
      <w:r w:rsidRPr="000E041D">
        <w:rPr>
          <w:highlight w:val="yellow"/>
        </w:rPr>
        <w:t>Référence en ophtalmologie</w:t>
      </w:r>
    </w:p>
    <w:p w:rsidR="00247F24" w:rsidRPr="000E041D" w:rsidRDefault="00247F24" w:rsidP="005D429F">
      <w:pPr>
        <w:pStyle w:val="Sansinterligne"/>
        <w:numPr>
          <w:ilvl w:val="0"/>
          <w:numId w:val="997"/>
        </w:numPr>
        <w:rPr>
          <w:highlight w:val="yellow"/>
        </w:rPr>
      </w:pPr>
      <w:r w:rsidRPr="000E041D">
        <w:rPr>
          <w:highlight w:val="yellow"/>
        </w:rPr>
        <w:t>Port de verre correcteur</w:t>
      </w:r>
    </w:p>
    <w:p w:rsidR="00247F24" w:rsidRDefault="00247F24" w:rsidP="00176126">
      <w:pPr>
        <w:pStyle w:val="Sansinterligne"/>
      </w:pPr>
    </w:p>
    <w:p w:rsidR="00247F24" w:rsidRPr="000E041D" w:rsidRDefault="000E041D" w:rsidP="00176126">
      <w:pPr>
        <w:pStyle w:val="Sansinterligne"/>
        <w:rPr>
          <w:b/>
        </w:rPr>
      </w:pPr>
      <w:r w:rsidRPr="000E041D">
        <w:rPr>
          <w:b/>
        </w:rPr>
        <w:t>Amblyopie ex-anopsie.</w:t>
      </w:r>
    </w:p>
    <w:p w:rsidR="000E041D" w:rsidRDefault="000E041D" w:rsidP="005D429F">
      <w:pPr>
        <w:pStyle w:val="Sansinterligne"/>
        <w:numPr>
          <w:ilvl w:val="0"/>
          <w:numId w:val="998"/>
        </w:numPr>
      </w:pPr>
      <w:r>
        <w:t>Référence en ophtalmologie</w:t>
      </w:r>
    </w:p>
    <w:p w:rsidR="000E041D" w:rsidRDefault="000E041D" w:rsidP="005D429F">
      <w:pPr>
        <w:pStyle w:val="Sansinterligne"/>
        <w:numPr>
          <w:ilvl w:val="0"/>
          <w:numId w:val="998"/>
        </w:numPr>
      </w:pPr>
      <w:r>
        <w:t>Trouver la cause et la traiter (exemples ci-bas)</w:t>
      </w:r>
    </w:p>
    <w:p w:rsidR="000E041D" w:rsidRDefault="000E041D" w:rsidP="005D429F">
      <w:pPr>
        <w:pStyle w:val="Sansinterligne"/>
        <w:numPr>
          <w:ilvl w:val="1"/>
          <w:numId w:val="998"/>
        </w:numPr>
      </w:pPr>
      <w:r w:rsidRPr="000E041D">
        <w:rPr>
          <w:u w:val="single"/>
        </w:rPr>
        <w:t>Rétinoblastome</w:t>
      </w:r>
      <w:r>
        <w:t xml:space="preserve"> </w:t>
      </w:r>
      <w:r>
        <w:rPr>
          <w:rFonts w:ascii="Century Gothic" w:hAnsi="Century Gothic"/>
        </w:rPr>
        <w:t>→</w:t>
      </w:r>
      <w:r>
        <w:t xml:space="preserve"> cryothérapie/laser</w:t>
      </w:r>
    </w:p>
    <w:p w:rsidR="000E041D" w:rsidRDefault="000E041D" w:rsidP="005D429F">
      <w:pPr>
        <w:pStyle w:val="Sansinterligne"/>
        <w:numPr>
          <w:ilvl w:val="1"/>
          <w:numId w:val="998"/>
        </w:numPr>
      </w:pPr>
      <w:r w:rsidRPr="000E041D">
        <w:rPr>
          <w:u w:val="single"/>
        </w:rPr>
        <w:t>Rétinopathie du prématuré</w:t>
      </w:r>
      <w:r>
        <w:t xml:space="preserve"> </w:t>
      </w:r>
      <w:r>
        <w:rPr>
          <w:rFonts w:ascii="Century Gothic" w:hAnsi="Century Gothic"/>
        </w:rPr>
        <w:t>→</w:t>
      </w:r>
      <w:r>
        <w:t xml:space="preserve"> expectative vs vitrectomie</w:t>
      </w:r>
    </w:p>
    <w:p w:rsidR="000E041D" w:rsidRDefault="000E041D" w:rsidP="005D429F">
      <w:pPr>
        <w:pStyle w:val="Sansinterligne"/>
        <w:numPr>
          <w:ilvl w:val="1"/>
          <w:numId w:val="998"/>
        </w:numPr>
      </w:pPr>
      <w:r w:rsidRPr="000E041D">
        <w:rPr>
          <w:u w:val="single"/>
        </w:rPr>
        <w:t>Ptose</w:t>
      </w:r>
      <w:r w:rsidRPr="000E041D">
        <w:t xml:space="preserve"> </w:t>
      </w:r>
      <w:r>
        <w:rPr>
          <w:rFonts w:ascii="Century Gothic" w:hAnsi="Century Gothic"/>
        </w:rPr>
        <w:t>→</w:t>
      </w:r>
      <w:r>
        <w:t xml:space="preserve"> parfois correction chirurgicale nécessaire</w:t>
      </w:r>
    </w:p>
    <w:p w:rsidR="000E041D" w:rsidRDefault="000E041D" w:rsidP="00176126">
      <w:pPr>
        <w:pStyle w:val="Sansinterligne"/>
      </w:pPr>
    </w:p>
    <w:p w:rsidR="000E041D" w:rsidRPr="000E041D" w:rsidRDefault="000E041D" w:rsidP="00176126">
      <w:pPr>
        <w:pStyle w:val="Sansinterligne"/>
        <w:rPr>
          <w:b/>
          <w:highlight w:val="yellow"/>
        </w:rPr>
      </w:pPr>
      <w:r w:rsidRPr="000E041D">
        <w:rPr>
          <w:b/>
          <w:highlight w:val="yellow"/>
        </w:rPr>
        <w:t>Pseudostrabisme</w:t>
      </w:r>
    </w:p>
    <w:p w:rsidR="000E041D" w:rsidRPr="000E041D" w:rsidRDefault="000E041D" w:rsidP="005D429F">
      <w:pPr>
        <w:pStyle w:val="Sansinterligne"/>
        <w:numPr>
          <w:ilvl w:val="0"/>
          <w:numId w:val="999"/>
        </w:numPr>
        <w:rPr>
          <w:highlight w:val="yellow"/>
        </w:rPr>
      </w:pPr>
      <w:r w:rsidRPr="000E041D">
        <w:rPr>
          <w:highlight w:val="yellow"/>
        </w:rPr>
        <w:t>Rassurer les parents en expliquant pourquoi l’enfant est normal</w:t>
      </w:r>
    </w:p>
    <w:p w:rsidR="000E041D" w:rsidRPr="000E041D" w:rsidRDefault="000E041D" w:rsidP="005D429F">
      <w:pPr>
        <w:pStyle w:val="Sansinterligne"/>
        <w:numPr>
          <w:ilvl w:val="0"/>
          <w:numId w:val="999"/>
        </w:numPr>
        <w:rPr>
          <w:highlight w:val="yellow"/>
        </w:rPr>
      </w:pPr>
      <w:r w:rsidRPr="000E041D">
        <w:rPr>
          <w:highlight w:val="yellow"/>
        </w:rPr>
        <w:t xml:space="preserve">Envisager erreur de réfraction si AV </w:t>
      </w:r>
      <w:r w:rsidRPr="000E041D">
        <w:rPr>
          <w:rFonts w:cs="Times New Roman"/>
          <w:highlight w:val="yellow"/>
        </w:rPr>
        <w:t>↓</w:t>
      </w:r>
    </w:p>
    <w:p w:rsidR="000E041D" w:rsidRDefault="000E041D" w:rsidP="00176126">
      <w:pPr>
        <w:pStyle w:val="Sansinterligne"/>
      </w:pPr>
    </w:p>
    <w:p w:rsidR="002C3F80" w:rsidRDefault="009D209A" w:rsidP="000E041D">
      <w:pPr>
        <w:spacing w:after="0"/>
        <w:jc w:val="center"/>
        <w:rPr>
          <w:rFonts w:cs="Times New Roman"/>
          <w:b/>
          <w:color w:val="548DD4" w:themeColor="text2" w:themeTint="99"/>
        </w:rPr>
      </w:pPr>
      <w:r>
        <w:rPr>
          <w:noProof/>
          <w:lang w:eastAsia="fr-CA"/>
        </w:rPr>
        <w:drawing>
          <wp:inline distT="0" distB="0" distL="0" distR="0" wp14:anchorId="0E361169" wp14:editId="4B46B293">
            <wp:extent cx="4926641" cy="3608962"/>
            <wp:effectExtent l="0" t="0" r="7620" b="0"/>
            <wp:docPr id="469" name="Image 469" descr="Résultats de recherche d'images pour « cover/uncover tes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ésultats de recherche d'images pour « cover/uncover test »"/>
                    <pic:cNvPicPr>
                      <a:picLocks noChangeAspect="1" noChangeArrowheads="1"/>
                    </pic:cNvPicPr>
                  </pic:nvPicPr>
                  <pic:blipFill>
                    <a:blip r:embed="rId355">
                      <a:extLst>
                        <a:ext uri="{28A0092B-C50C-407E-A947-70E740481C1C}">
                          <a14:useLocalDpi xmlns:a14="http://schemas.microsoft.com/office/drawing/2010/main" val="0"/>
                        </a:ext>
                      </a:extLst>
                    </a:blip>
                    <a:srcRect/>
                    <a:stretch>
                      <a:fillRect/>
                    </a:stretch>
                  </pic:blipFill>
                  <pic:spPr bwMode="auto">
                    <a:xfrm>
                      <a:off x="0" y="0"/>
                      <a:ext cx="4926451" cy="3608823"/>
                    </a:xfrm>
                    <a:prstGeom prst="rect">
                      <a:avLst/>
                    </a:prstGeom>
                    <a:noFill/>
                    <a:ln>
                      <a:noFill/>
                    </a:ln>
                  </pic:spPr>
                </pic:pic>
              </a:graphicData>
            </a:graphic>
          </wp:inline>
        </w:drawing>
      </w:r>
    </w:p>
    <w:p w:rsidR="002C3F80" w:rsidRDefault="002C3F80" w:rsidP="00C04E78">
      <w:pPr>
        <w:spacing w:after="0"/>
        <w:rPr>
          <w:rFonts w:cs="Times New Roman"/>
          <w:b/>
          <w:color w:val="548DD4" w:themeColor="text2" w:themeTint="99"/>
        </w:rPr>
      </w:pPr>
    </w:p>
    <w:p w:rsidR="002C3F80" w:rsidRDefault="002C3F80" w:rsidP="00C04E78">
      <w:pPr>
        <w:spacing w:after="0"/>
        <w:rPr>
          <w:rFonts w:cs="Times New Roman"/>
          <w:b/>
          <w:color w:val="548DD4" w:themeColor="text2" w:themeTint="99"/>
        </w:rPr>
      </w:pPr>
    </w:p>
    <w:p w:rsidR="002C3F80" w:rsidRDefault="002C3F80">
      <w:pPr>
        <w:rPr>
          <w:rFonts w:cs="Times New Roman"/>
          <w:b/>
          <w:color w:val="548DD4" w:themeColor="text2" w:themeTint="99"/>
        </w:rPr>
      </w:pPr>
      <w:r>
        <w:rPr>
          <w:rFonts w:cs="Times New Roman"/>
          <w:b/>
          <w:color w:val="548DD4" w:themeColor="text2" w:themeTint="99"/>
        </w:rPr>
        <w:br w:type="page"/>
      </w:r>
    </w:p>
    <w:p w:rsidR="001C25EE" w:rsidRDefault="001C25EE" w:rsidP="00C04E78">
      <w:pPr>
        <w:spacing w:after="0"/>
        <w:rPr>
          <w:rFonts w:cs="Times New Roman"/>
          <w:b/>
          <w:color w:val="548DD4" w:themeColor="text2" w:themeTint="99"/>
        </w:rPr>
      </w:pPr>
      <w:r>
        <w:rPr>
          <w:rFonts w:cs="Times New Roman"/>
          <w:b/>
          <w:color w:val="548DD4" w:themeColor="text2" w:themeTint="99"/>
        </w:rPr>
        <w:t>CMC 103</w:t>
      </w:r>
    </w:p>
    <w:p w:rsidR="001C25EE" w:rsidRDefault="001C25EE" w:rsidP="001C25EE">
      <w:pPr>
        <w:pStyle w:val="Titre3"/>
        <w:spacing w:before="0"/>
      </w:pPr>
      <w:bookmarkStart w:id="381" w:name="_Toc480797332"/>
      <w:r>
        <w:t>Troubles liés à une substance et troubles de dépendance</w:t>
      </w:r>
      <w:bookmarkEnd w:id="381"/>
    </w:p>
    <w:tbl>
      <w:tblPr>
        <w:tblW w:w="3858" w:type="pct"/>
        <w:tblCellSpacing w:w="0" w:type="dxa"/>
        <w:tblCellMar>
          <w:left w:w="0" w:type="dxa"/>
          <w:right w:w="0" w:type="dxa"/>
        </w:tblCellMar>
        <w:tblLook w:val="04A0" w:firstRow="1" w:lastRow="0" w:firstColumn="1" w:lastColumn="0" w:noHBand="0" w:noVBand="1"/>
      </w:tblPr>
      <w:tblGrid>
        <w:gridCol w:w="8333"/>
      </w:tblGrid>
      <w:tr w:rsidR="001C25EE" w:rsidRPr="001C25EE" w:rsidTr="001C25EE">
        <w:trPr>
          <w:tblCellSpacing w:w="0" w:type="dxa"/>
        </w:trPr>
        <w:tc>
          <w:tcPr>
            <w:tcW w:w="0" w:type="auto"/>
            <w:vAlign w:val="bottom"/>
            <w:hideMark/>
          </w:tcPr>
          <w:p w:rsidR="001C25EE" w:rsidRPr="00BD1872" w:rsidRDefault="001C25EE" w:rsidP="00BD1872">
            <w:pPr>
              <w:pStyle w:val="Sansinterligne"/>
              <w:spacing w:before="240"/>
              <w:rPr>
                <w:b/>
                <w:sz w:val="18"/>
                <w:szCs w:val="18"/>
              </w:rPr>
            </w:pPr>
            <w:r w:rsidRPr="00BD1872">
              <w:rPr>
                <w:b/>
                <w:noProof/>
                <w:sz w:val="18"/>
                <w:szCs w:val="18"/>
                <w:lang w:eastAsia="fr-CA"/>
              </w:rPr>
              <mc:AlternateContent>
                <mc:Choice Requires="wps">
                  <w:drawing>
                    <wp:anchor distT="0" distB="0" distL="114300" distR="114300" simplePos="0" relativeHeight="251843584" behindDoc="0" locked="0" layoutInCell="1" allowOverlap="1" wp14:anchorId="723D8B8A" wp14:editId="3E1F1AAE">
                      <wp:simplePos x="0" y="0"/>
                      <wp:positionH relativeFrom="column">
                        <wp:posOffset>-49530</wp:posOffset>
                      </wp:positionH>
                      <wp:positionV relativeFrom="paragraph">
                        <wp:posOffset>68580</wp:posOffset>
                      </wp:positionV>
                      <wp:extent cx="6983730" cy="2927985"/>
                      <wp:effectExtent l="0" t="0" r="26670" b="24765"/>
                      <wp:wrapNone/>
                      <wp:docPr id="359" name="Rectangle 359"/>
                      <wp:cNvGraphicFramePr/>
                      <a:graphic xmlns:a="http://schemas.openxmlformats.org/drawingml/2006/main">
                        <a:graphicData uri="http://schemas.microsoft.com/office/word/2010/wordprocessingShape">
                          <wps:wsp>
                            <wps:cNvSpPr/>
                            <wps:spPr>
                              <a:xfrm>
                                <a:off x="0" y="0"/>
                                <a:ext cx="6983730" cy="2927985"/>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59" o:spid="_x0000_s1026" style="position:absolute;margin-left:-3.9pt;margin-top:5.4pt;width:549.9pt;height:230.55pt;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" filled="f" strokecolor="black [1600]" strokeweight="2pt"/>
                  </w:pict>
                </mc:Fallback>
              </mc:AlternateContent>
            </w:r>
            <w:r w:rsidRPr="00BD1872">
              <w:rPr>
                <w:b/>
                <w:sz w:val="18"/>
                <w:szCs w:val="18"/>
              </w:rPr>
              <w:t>Objectifs principaux</w:t>
            </w:r>
          </w:p>
        </w:tc>
      </w:tr>
    </w:tbl>
    <w:p w:rsidR="001C25EE" w:rsidRPr="001C25EE" w:rsidRDefault="001C25EE" w:rsidP="001C25EE">
      <w:pPr>
        <w:pStyle w:val="NormalWeb"/>
        <w:spacing w:after="0" w:afterAutospacing="0"/>
        <w:ind w:left="360"/>
        <w:rPr>
          <w:color w:val="000000"/>
          <w:sz w:val="18"/>
          <w:szCs w:val="18"/>
          <w:shd w:val="clear" w:color="auto" w:fill="FFFFFF"/>
        </w:rPr>
      </w:pPr>
      <w:r w:rsidRPr="001C25EE">
        <w:rPr>
          <w:color w:val="000000"/>
          <w:sz w:val="18"/>
          <w:szCs w:val="18"/>
          <w:shd w:val="clear" w:color="auto" w:fill="FFFFFF"/>
        </w:rPr>
        <w:t>Dans le cas d'un patient présentant un trouble lié à une substance ou de dépendance, le candidat devra pouvoir déterminer la source du problème et les risques possibles et juger de la nécessité de l'orienter vers des services de soutien et d'intervention à court et à long termes.</w:t>
      </w:r>
    </w:p>
    <w:tbl>
      <w:tblPr>
        <w:tblW w:w="3925" w:type="pct"/>
        <w:tblCellSpacing w:w="0" w:type="dxa"/>
        <w:tblCellMar>
          <w:left w:w="0" w:type="dxa"/>
          <w:right w:w="0" w:type="dxa"/>
        </w:tblCellMar>
        <w:tblLook w:val="04A0" w:firstRow="1" w:lastRow="0" w:firstColumn="1" w:lastColumn="0" w:noHBand="0" w:noVBand="1"/>
      </w:tblPr>
      <w:tblGrid>
        <w:gridCol w:w="8478"/>
      </w:tblGrid>
      <w:tr w:rsidR="001C25EE" w:rsidRPr="001C25EE" w:rsidTr="001C25EE">
        <w:trPr>
          <w:tblCellSpacing w:w="0" w:type="dxa"/>
        </w:trPr>
        <w:tc>
          <w:tcPr>
            <w:tcW w:w="0" w:type="auto"/>
            <w:vAlign w:val="bottom"/>
            <w:hideMark/>
          </w:tcPr>
          <w:p w:rsidR="001C25EE" w:rsidRPr="00BD1872" w:rsidRDefault="001C25EE" w:rsidP="00BD1872">
            <w:pPr>
              <w:pStyle w:val="Sansinterligne"/>
              <w:spacing w:before="240"/>
              <w:rPr>
                <w:b/>
                <w:sz w:val="16"/>
                <w:szCs w:val="16"/>
              </w:rPr>
            </w:pPr>
            <w:r w:rsidRPr="00BD1872">
              <w:rPr>
                <w:b/>
                <w:sz w:val="16"/>
                <w:szCs w:val="16"/>
              </w:rPr>
              <w:t>Objectifs spécifiques</w:t>
            </w:r>
          </w:p>
        </w:tc>
      </w:tr>
    </w:tbl>
    <w:p w:rsidR="001C25EE" w:rsidRPr="001C25EE" w:rsidRDefault="001C25EE" w:rsidP="001C25EE">
      <w:pPr>
        <w:pStyle w:val="NormalWeb"/>
        <w:shd w:val="clear" w:color="auto" w:fill="FFFFFF"/>
        <w:ind w:left="360"/>
        <w:rPr>
          <w:color w:val="000000"/>
          <w:sz w:val="16"/>
          <w:szCs w:val="16"/>
          <w:shd w:val="clear" w:color="auto" w:fill="FFFFFF"/>
        </w:rPr>
      </w:pPr>
      <w:r w:rsidRPr="001C25EE">
        <w:rPr>
          <w:color w:val="000000"/>
          <w:sz w:val="16"/>
          <w:szCs w:val="16"/>
          <w:shd w:val="clear" w:color="auto" w:fill="FFFFFF"/>
        </w:rPr>
        <w:t>Dans le cas d'un patient présentant un trouble lié à une substance ou de dépendance, le candidat devra</w:t>
      </w:r>
    </w:p>
    <w:p w:rsidR="001C25EE" w:rsidRPr="001C25EE" w:rsidRDefault="001C25EE" w:rsidP="00AF740B">
      <w:pPr>
        <w:numPr>
          <w:ilvl w:val="0"/>
          <w:numId w:val="654"/>
        </w:numPr>
        <w:shd w:val="clear" w:color="auto" w:fill="FFFFFF"/>
        <w:spacing w:before="100" w:beforeAutospacing="1" w:after="100" w:afterAutospacing="1" w:line="240" w:lineRule="auto"/>
        <w:rPr>
          <w:rFonts w:cs="Times New Roman"/>
          <w:color w:val="000000"/>
          <w:sz w:val="16"/>
          <w:szCs w:val="16"/>
          <w:shd w:val="clear" w:color="auto" w:fill="FFFFFF"/>
        </w:rPr>
      </w:pPr>
      <w:r w:rsidRPr="001C25EE">
        <w:rPr>
          <w:rFonts w:cs="Times New Roman"/>
          <w:color w:val="000000"/>
          <w:sz w:val="16"/>
          <w:szCs w:val="16"/>
          <w:shd w:val="clear" w:color="auto" w:fill="FFFFFF"/>
        </w:rPr>
        <w:t>énumérer et interpréter les constatations cliniques cruciales, notamment celles découlant :</w:t>
      </w:r>
    </w:p>
    <w:p w:rsidR="001C25EE" w:rsidRPr="001C25EE" w:rsidRDefault="001C25EE" w:rsidP="00AF740B">
      <w:pPr>
        <w:numPr>
          <w:ilvl w:val="1"/>
          <w:numId w:val="654"/>
        </w:numPr>
        <w:shd w:val="clear" w:color="auto" w:fill="FFFFFF"/>
        <w:spacing w:before="100" w:beforeAutospacing="1" w:after="100" w:afterAutospacing="1" w:line="240" w:lineRule="auto"/>
        <w:rPr>
          <w:rFonts w:cs="Times New Roman"/>
          <w:color w:val="000000"/>
          <w:sz w:val="16"/>
          <w:szCs w:val="16"/>
          <w:shd w:val="clear" w:color="auto" w:fill="FFFFFF"/>
        </w:rPr>
      </w:pPr>
      <w:r w:rsidRPr="001C25EE">
        <w:rPr>
          <w:rFonts w:cs="Times New Roman"/>
          <w:color w:val="000000"/>
          <w:sz w:val="16"/>
          <w:szCs w:val="16"/>
          <w:shd w:val="clear" w:color="auto" w:fill="FFFFFF"/>
        </w:rPr>
        <w:t>de l'anamnèse recueillie auprès du patient ou de personnes proches en ce qui a trait au problème immédiat et aux antécédents possibles de comportement de dépendance (y compris les outils de dépistage pertinents);</w:t>
      </w:r>
    </w:p>
    <w:p w:rsidR="001C25EE" w:rsidRPr="001C25EE" w:rsidRDefault="001C25EE" w:rsidP="00AF740B">
      <w:pPr>
        <w:numPr>
          <w:ilvl w:val="1"/>
          <w:numId w:val="654"/>
        </w:numPr>
        <w:shd w:val="clear" w:color="auto" w:fill="FFFFFF"/>
        <w:spacing w:before="100" w:beforeAutospacing="1" w:after="100" w:afterAutospacing="1" w:line="240" w:lineRule="auto"/>
        <w:rPr>
          <w:rFonts w:cs="Times New Roman"/>
          <w:color w:val="000000"/>
          <w:sz w:val="16"/>
          <w:szCs w:val="16"/>
          <w:shd w:val="clear" w:color="auto" w:fill="FFFFFF"/>
        </w:rPr>
      </w:pPr>
      <w:r w:rsidRPr="001C25EE">
        <w:rPr>
          <w:rFonts w:cs="Times New Roman"/>
          <w:color w:val="000000"/>
          <w:sz w:val="16"/>
          <w:szCs w:val="16"/>
          <w:shd w:val="clear" w:color="auto" w:fill="FFFFFF"/>
        </w:rPr>
        <w:t>d'un examen physique visant à déterminer la durée et la gravité de tout problème de consommation ou de dépendance, ainsi que les complications éventuelles d'un sevrage et le risque de comorbodité, s'il y a lieu;</w:t>
      </w:r>
    </w:p>
    <w:p w:rsidR="001C25EE" w:rsidRPr="001C25EE" w:rsidRDefault="001C25EE" w:rsidP="00AF740B">
      <w:pPr>
        <w:numPr>
          <w:ilvl w:val="0"/>
          <w:numId w:val="654"/>
        </w:numPr>
        <w:shd w:val="clear" w:color="auto" w:fill="FFFFFF"/>
        <w:spacing w:before="100" w:beforeAutospacing="1" w:after="100" w:afterAutospacing="1" w:line="240" w:lineRule="auto"/>
        <w:rPr>
          <w:rFonts w:cs="Times New Roman"/>
          <w:color w:val="000000"/>
          <w:sz w:val="16"/>
          <w:szCs w:val="16"/>
          <w:shd w:val="clear" w:color="auto" w:fill="FFFFFF"/>
        </w:rPr>
      </w:pPr>
      <w:r w:rsidRPr="001C25EE">
        <w:rPr>
          <w:rFonts w:cs="Times New Roman"/>
          <w:color w:val="000000"/>
          <w:sz w:val="16"/>
          <w:szCs w:val="16"/>
          <w:shd w:val="clear" w:color="auto" w:fill="FFFFFF"/>
        </w:rPr>
        <w:t>énumérer et interpréter les examens essentiels, notamment</w:t>
      </w:r>
    </w:p>
    <w:p w:rsidR="001C25EE" w:rsidRPr="001C25EE" w:rsidRDefault="001C25EE" w:rsidP="00AF740B">
      <w:pPr>
        <w:numPr>
          <w:ilvl w:val="1"/>
          <w:numId w:val="654"/>
        </w:numPr>
        <w:shd w:val="clear" w:color="auto" w:fill="FFFFFF"/>
        <w:spacing w:before="100" w:beforeAutospacing="1" w:after="100" w:afterAutospacing="1" w:line="240" w:lineRule="auto"/>
        <w:rPr>
          <w:rFonts w:cs="Times New Roman"/>
          <w:color w:val="000000"/>
          <w:sz w:val="16"/>
          <w:szCs w:val="16"/>
          <w:shd w:val="clear" w:color="auto" w:fill="FFFFFF"/>
        </w:rPr>
      </w:pPr>
      <w:r w:rsidRPr="001C25EE">
        <w:rPr>
          <w:rFonts w:cs="Times New Roman"/>
          <w:color w:val="000000"/>
          <w:sz w:val="16"/>
          <w:szCs w:val="16"/>
          <w:shd w:val="clear" w:color="auto" w:fill="FFFFFF"/>
        </w:rPr>
        <w:t>les examens de laboratoire ou d'imagerie diagnostique (p. ex. dépistage de drogue, tests de fonction hépatique);</w:t>
      </w:r>
    </w:p>
    <w:p w:rsidR="001C25EE" w:rsidRPr="001C25EE" w:rsidRDefault="001C25EE" w:rsidP="00AF740B">
      <w:pPr>
        <w:numPr>
          <w:ilvl w:val="0"/>
          <w:numId w:val="654"/>
        </w:numPr>
        <w:shd w:val="clear" w:color="auto" w:fill="FFFFFF"/>
        <w:spacing w:before="100" w:beforeAutospacing="1" w:after="100" w:afterAutospacing="1" w:line="240" w:lineRule="auto"/>
        <w:rPr>
          <w:rFonts w:cs="Times New Roman"/>
          <w:color w:val="000000"/>
          <w:sz w:val="16"/>
          <w:szCs w:val="16"/>
          <w:shd w:val="clear" w:color="auto" w:fill="FFFFFF"/>
        </w:rPr>
      </w:pPr>
      <w:r w:rsidRPr="001C25EE">
        <w:rPr>
          <w:rFonts w:cs="Times New Roman"/>
          <w:color w:val="000000"/>
          <w:sz w:val="16"/>
          <w:szCs w:val="16"/>
          <w:shd w:val="clear" w:color="auto" w:fill="FFFFFF"/>
        </w:rPr>
        <w:t>établir un plan efficace de prise en charge initiale, notamment :</w:t>
      </w:r>
    </w:p>
    <w:p w:rsidR="001C25EE" w:rsidRPr="001C25EE" w:rsidRDefault="001C25EE" w:rsidP="00AF740B">
      <w:pPr>
        <w:numPr>
          <w:ilvl w:val="1"/>
          <w:numId w:val="654"/>
        </w:numPr>
        <w:shd w:val="clear" w:color="auto" w:fill="FFFFFF"/>
        <w:spacing w:before="100" w:beforeAutospacing="1" w:after="100" w:afterAutospacing="1" w:line="240" w:lineRule="auto"/>
        <w:rPr>
          <w:rFonts w:cs="Times New Roman"/>
          <w:color w:val="000000"/>
          <w:sz w:val="16"/>
          <w:szCs w:val="16"/>
          <w:shd w:val="clear" w:color="auto" w:fill="FFFFFF"/>
        </w:rPr>
      </w:pPr>
      <w:r w:rsidRPr="001C25EE">
        <w:rPr>
          <w:rFonts w:cs="Times New Roman"/>
          <w:color w:val="000000"/>
          <w:sz w:val="16"/>
          <w:szCs w:val="16"/>
          <w:shd w:val="clear" w:color="auto" w:fill="FFFFFF"/>
        </w:rPr>
        <w:t>saisir toutes les occasions possibles de faire de brèves interventions axées sur une modification du comportement et un traitement pharmacologique (p. ex. thérapie de substitution de la nicotine);</w:t>
      </w:r>
    </w:p>
    <w:p w:rsidR="001C25EE" w:rsidRPr="001C25EE" w:rsidRDefault="001C25EE" w:rsidP="00AF740B">
      <w:pPr>
        <w:numPr>
          <w:ilvl w:val="1"/>
          <w:numId w:val="654"/>
        </w:numPr>
        <w:shd w:val="clear" w:color="auto" w:fill="FFFFFF"/>
        <w:spacing w:before="100" w:beforeAutospacing="1" w:after="100" w:afterAutospacing="1" w:line="240" w:lineRule="auto"/>
        <w:rPr>
          <w:rFonts w:cs="Times New Roman"/>
          <w:color w:val="000000"/>
          <w:sz w:val="16"/>
          <w:szCs w:val="16"/>
          <w:shd w:val="clear" w:color="auto" w:fill="FFFFFF"/>
        </w:rPr>
      </w:pPr>
      <w:r w:rsidRPr="001C25EE">
        <w:rPr>
          <w:rFonts w:cs="Times New Roman"/>
          <w:color w:val="000000"/>
          <w:sz w:val="16"/>
          <w:szCs w:val="16"/>
          <w:shd w:val="clear" w:color="auto" w:fill="FFFFFF"/>
        </w:rPr>
        <w:t>déterminer si le patient ou des membres de sa famille ont besoin d'être dirigés vers des soins spécialisés tels qu'un traitement des dépendances.</w:t>
      </w:r>
      <w:r>
        <w:rPr>
          <w:rFonts w:cs="Times New Roman"/>
          <w:color w:val="000000"/>
          <w:sz w:val="16"/>
          <w:szCs w:val="16"/>
          <w:shd w:val="clear" w:color="auto" w:fill="FFFFFF"/>
        </w:rPr>
        <w:t xml:space="preserve">    </w:t>
      </w:r>
      <w:r w:rsidRPr="001C25EE">
        <w:rPr>
          <w:rFonts w:cs="Times New Roman"/>
          <w:color w:val="000000"/>
          <w:sz w:val="16"/>
          <w:szCs w:val="16"/>
          <w:shd w:val="clear" w:color="auto" w:fill="FFFFFF"/>
        </w:rPr>
        <w:t>Il est possible que le patient requière également des soins individuels, familiaux, communautaires, psychologiques ou d'autres soins médicaux.</w:t>
      </w:r>
    </w:p>
    <w:tbl>
      <w:tblPr>
        <w:tblStyle w:val="Grilledutableau"/>
        <w:tblW w:w="0" w:type="auto"/>
        <w:tblLook w:val="04A0" w:firstRow="1" w:lastRow="0" w:firstColumn="1" w:lastColumn="0" w:noHBand="0" w:noVBand="1"/>
      </w:tblPr>
      <w:tblGrid>
        <w:gridCol w:w="2943"/>
        <w:gridCol w:w="7997"/>
      </w:tblGrid>
      <w:tr w:rsidR="005C6972" w:rsidTr="005C6972">
        <w:tc>
          <w:tcPr>
            <w:tcW w:w="10940" w:type="dxa"/>
            <w:gridSpan w:val="2"/>
            <w:shd w:val="clear" w:color="auto" w:fill="C2D69B" w:themeFill="accent3" w:themeFillTint="99"/>
            <w:vAlign w:val="center"/>
          </w:tcPr>
          <w:p w:rsidR="005C6972" w:rsidRPr="005C6972" w:rsidRDefault="005C6972" w:rsidP="005C6972">
            <w:pPr>
              <w:pStyle w:val="Sansinterligne"/>
              <w:jc w:val="center"/>
              <w:rPr>
                <w:b/>
                <w:lang w:eastAsia="fr-CA"/>
              </w:rPr>
            </w:pPr>
            <w:r>
              <w:rPr>
                <w:b/>
                <w:lang w:eastAsia="fr-CA"/>
              </w:rPr>
              <w:t>Catégories de s</w:t>
            </w:r>
            <w:r w:rsidRPr="005C6972">
              <w:rPr>
                <w:b/>
                <w:lang w:eastAsia="fr-CA"/>
              </w:rPr>
              <w:t>ubstances</w:t>
            </w:r>
          </w:p>
        </w:tc>
      </w:tr>
      <w:tr w:rsidR="00D05A9D" w:rsidTr="00D05A9D">
        <w:tc>
          <w:tcPr>
            <w:tcW w:w="2943" w:type="dxa"/>
            <w:shd w:val="clear" w:color="auto" w:fill="92D050"/>
            <w:vAlign w:val="center"/>
          </w:tcPr>
          <w:p w:rsidR="00D05A9D" w:rsidRDefault="00D05A9D" w:rsidP="00D05A9D">
            <w:pPr>
              <w:pStyle w:val="Sansinterligne"/>
              <w:jc w:val="center"/>
              <w:rPr>
                <w:lang w:eastAsia="fr-CA"/>
              </w:rPr>
            </w:pPr>
            <w:r>
              <w:rPr>
                <w:lang w:eastAsia="fr-CA"/>
              </w:rPr>
              <w:t>Dépresseurs</w:t>
            </w:r>
          </w:p>
        </w:tc>
        <w:tc>
          <w:tcPr>
            <w:tcW w:w="7997" w:type="dxa"/>
          </w:tcPr>
          <w:p w:rsidR="00D05A9D" w:rsidRDefault="00D05A9D" w:rsidP="000125A4">
            <w:pPr>
              <w:pStyle w:val="Sansinterligne"/>
              <w:rPr>
                <w:lang w:eastAsia="fr-CA"/>
              </w:rPr>
            </w:pPr>
            <w:r>
              <w:rPr>
                <w:lang w:eastAsia="fr-CA"/>
              </w:rPr>
              <w:t>Alcool, opiacés, benzodiazépines, barbituriques, GHB</w:t>
            </w:r>
          </w:p>
        </w:tc>
      </w:tr>
      <w:tr w:rsidR="00D05A9D" w:rsidTr="00D05A9D">
        <w:tc>
          <w:tcPr>
            <w:tcW w:w="2943" w:type="dxa"/>
            <w:shd w:val="clear" w:color="auto" w:fill="92D050"/>
            <w:vAlign w:val="center"/>
          </w:tcPr>
          <w:p w:rsidR="00D05A9D" w:rsidRDefault="00D05A9D" w:rsidP="00D05A9D">
            <w:pPr>
              <w:pStyle w:val="Sansinterligne"/>
              <w:jc w:val="center"/>
              <w:rPr>
                <w:lang w:eastAsia="fr-CA"/>
              </w:rPr>
            </w:pPr>
            <w:r>
              <w:rPr>
                <w:lang w:eastAsia="fr-CA"/>
              </w:rPr>
              <w:t>Stimulants</w:t>
            </w:r>
          </w:p>
        </w:tc>
        <w:tc>
          <w:tcPr>
            <w:tcW w:w="7997" w:type="dxa"/>
          </w:tcPr>
          <w:p w:rsidR="00D05A9D" w:rsidRDefault="00D05A9D" w:rsidP="000125A4">
            <w:pPr>
              <w:pStyle w:val="Sansinterligne"/>
              <w:rPr>
                <w:lang w:eastAsia="fr-CA"/>
              </w:rPr>
            </w:pPr>
            <w:r>
              <w:rPr>
                <w:lang w:eastAsia="fr-CA"/>
              </w:rPr>
              <w:t>Amphétamines, cocaïne, méthylphénidate</w:t>
            </w:r>
          </w:p>
        </w:tc>
      </w:tr>
      <w:tr w:rsidR="00D05A9D" w:rsidTr="00D05A9D">
        <w:tc>
          <w:tcPr>
            <w:tcW w:w="2943" w:type="dxa"/>
            <w:shd w:val="clear" w:color="auto" w:fill="92D050"/>
            <w:vAlign w:val="center"/>
          </w:tcPr>
          <w:p w:rsidR="00D05A9D" w:rsidRDefault="00D05A9D" w:rsidP="00D05A9D">
            <w:pPr>
              <w:pStyle w:val="Sansinterligne"/>
              <w:jc w:val="center"/>
              <w:rPr>
                <w:lang w:eastAsia="fr-CA"/>
              </w:rPr>
            </w:pPr>
            <w:r>
              <w:rPr>
                <w:lang w:eastAsia="fr-CA"/>
              </w:rPr>
              <w:t>Hallucinogènes / perturbateurs</w:t>
            </w:r>
          </w:p>
        </w:tc>
        <w:tc>
          <w:tcPr>
            <w:tcW w:w="7997" w:type="dxa"/>
          </w:tcPr>
          <w:p w:rsidR="00D05A9D" w:rsidRDefault="00D05A9D" w:rsidP="00D05A9D">
            <w:pPr>
              <w:pStyle w:val="Sansinterligne"/>
              <w:rPr>
                <w:lang w:eastAsia="fr-CA"/>
              </w:rPr>
            </w:pPr>
            <w:r>
              <w:rPr>
                <w:lang w:eastAsia="fr-CA"/>
              </w:rPr>
              <w:t>Cannabis, LSD, PCP, Kétamine, phencyclidine (PCP)</w:t>
            </w:r>
          </w:p>
        </w:tc>
      </w:tr>
    </w:tbl>
    <w:p w:rsidR="00EB0A9B" w:rsidRDefault="00EB0A9B" w:rsidP="00C83566">
      <w:pPr>
        <w:pStyle w:val="Sansinterligne"/>
      </w:pPr>
    </w:p>
    <w:p w:rsidR="00EB0A9B" w:rsidRDefault="00EB0A9B" w:rsidP="00C83566">
      <w:pPr>
        <w:pStyle w:val="Sansinterligne"/>
        <w:rPr>
          <w:b/>
          <w:sz w:val="28"/>
          <w:szCs w:val="28"/>
        </w:rPr>
      </w:pPr>
      <w:r w:rsidRPr="00186741">
        <w:rPr>
          <w:b/>
          <w:sz w:val="28"/>
          <w:szCs w:val="28"/>
        </w:rPr>
        <w:t>Investigation clinique</w:t>
      </w:r>
    </w:p>
    <w:p w:rsidR="00186741" w:rsidRPr="00186741" w:rsidRDefault="00186741" w:rsidP="00C83566">
      <w:pPr>
        <w:pStyle w:val="Sansinterligne"/>
        <w:rPr>
          <w:b/>
          <w:sz w:val="28"/>
          <w:szCs w:val="28"/>
        </w:rPr>
      </w:pPr>
    </w:p>
    <w:p w:rsidR="00C83566" w:rsidRPr="00186741" w:rsidRDefault="00C83566" w:rsidP="00C83566">
      <w:pPr>
        <w:pStyle w:val="Sansinterligne"/>
        <w:rPr>
          <w:u w:val="single"/>
        </w:rPr>
      </w:pPr>
      <w:r w:rsidRPr="00186741">
        <w:rPr>
          <w:u w:val="single"/>
        </w:rPr>
        <w:t>Anamnèse et facteurs de risque</w:t>
      </w:r>
    </w:p>
    <w:p w:rsidR="00C83566" w:rsidRDefault="00C83566" w:rsidP="00C83566">
      <w:pPr>
        <w:pStyle w:val="Sansinterligne"/>
      </w:pPr>
    </w:p>
    <w:p w:rsidR="00D05A9D" w:rsidRPr="00BE6C2A" w:rsidRDefault="00D05A9D" w:rsidP="00C83566">
      <w:pPr>
        <w:pStyle w:val="Sansinterligne"/>
        <w:rPr>
          <w:b/>
        </w:rPr>
      </w:pPr>
      <w:r w:rsidRPr="00BE6C2A">
        <w:rPr>
          <w:b/>
        </w:rPr>
        <w:t>Facteurs de risque</w:t>
      </w:r>
      <w:r w:rsidR="00796537" w:rsidRPr="00BE6C2A">
        <w:rPr>
          <w:b/>
        </w:rPr>
        <w:t xml:space="preserve"> (non-exhaustifs)</w:t>
      </w:r>
    </w:p>
    <w:p w:rsidR="00796537" w:rsidRDefault="00796537" w:rsidP="00C83566">
      <w:pPr>
        <w:pStyle w:val="Sansinterligne"/>
        <w:sectPr w:rsidR="00796537" w:rsidSect="00217865">
          <w:type w:val="continuous"/>
          <w:pgSz w:w="12240" w:h="15840"/>
          <w:pgMar w:top="720" w:right="720" w:bottom="720" w:left="720" w:header="708" w:footer="708" w:gutter="0"/>
          <w:cols w:space="708"/>
          <w:docGrid w:linePitch="360"/>
        </w:sectPr>
      </w:pPr>
    </w:p>
    <w:p w:rsidR="00796537" w:rsidRDefault="00796537" w:rsidP="00BE6C2A">
      <w:pPr>
        <w:pStyle w:val="Sansinterligne"/>
        <w:numPr>
          <w:ilvl w:val="0"/>
          <w:numId w:val="656"/>
        </w:numPr>
        <w:ind w:left="360"/>
      </w:pPr>
      <w:r>
        <w:t>Usage parental de drogues ou d’alcool</w:t>
      </w:r>
    </w:p>
    <w:p w:rsidR="00796537" w:rsidRDefault="00796537" w:rsidP="00BE6C2A">
      <w:pPr>
        <w:pStyle w:val="Sansinterligne"/>
        <w:numPr>
          <w:ilvl w:val="0"/>
          <w:numId w:val="656"/>
        </w:numPr>
        <w:ind w:left="360"/>
      </w:pPr>
      <w:r>
        <w:t>Exposition in utero à ceux-ci</w:t>
      </w:r>
    </w:p>
    <w:p w:rsidR="00796537" w:rsidRDefault="00796537" w:rsidP="00BE6C2A">
      <w:pPr>
        <w:pStyle w:val="Sansinterligne"/>
        <w:numPr>
          <w:ilvl w:val="0"/>
          <w:numId w:val="656"/>
        </w:numPr>
        <w:ind w:left="360"/>
      </w:pPr>
      <w:r>
        <w:t>Conflits conjugaux (parents)</w:t>
      </w:r>
    </w:p>
    <w:p w:rsidR="00796537" w:rsidRDefault="00796537" w:rsidP="00BE6C2A">
      <w:pPr>
        <w:pStyle w:val="Sansinterligne"/>
        <w:numPr>
          <w:ilvl w:val="0"/>
          <w:numId w:val="656"/>
        </w:numPr>
        <w:ind w:left="360"/>
      </w:pPr>
      <w:r>
        <w:t>Environnement familial dysfonctionnel</w:t>
      </w:r>
    </w:p>
    <w:p w:rsidR="00796537" w:rsidRDefault="00796537" w:rsidP="00BE6C2A">
      <w:pPr>
        <w:pStyle w:val="Sansinterligne"/>
        <w:numPr>
          <w:ilvl w:val="0"/>
          <w:numId w:val="656"/>
        </w:numPr>
        <w:ind w:left="360"/>
      </w:pPr>
      <w:r>
        <w:t>Faibles capacités sociales / résolutions de problème</w:t>
      </w:r>
    </w:p>
    <w:p w:rsidR="00796537" w:rsidRDefault="00796537" w:rsidP="00BE6C2A">
      <w:pPr>
        <w:pStyle w:val="Sansinterligne"/>
        <w:numPr>
          <w:ilvl w:val="0"/>
          <w:numId w:val="656"/>
        </w:numPr>
        <w:ind w:left="360"/>
      </w:pPr>
      <w:r>
        <w:t>TDAH</w:t>
      </w:r>
    </w:p>
    <w:p w:rsidR="00796537" w:rsidRDefault="00796537" w:rsidP="00BE6C2A">
      <w:pPr>
        <w:pStyle w:val="Sansinterligne"/>
        <w:numPr>
          <w:ilvl w:val="0"/>
          <w:numId w:val="656"/>
        </w:numPr>
        <w:ind w:left="360"/>
      </w:pPr>
      <w:r>
        <w:t>Faible contrôle pulsionnel / concentration</w:t>
      </w:r>
    </w:p>
    <w:p w:rsidR="00796537" w:rsidRDefault="00796537" w:rsidP="00BE6C2A">
      <w:pPr>
        <w:pStyle w:val="Sansinterligne"/>
        <w:numPr>
          <w:ilvl w:val="0"/>
          <w:numId w:val="656"/>
        </w:numPr>
        <w:ind w:left="360"/>
      </w:pPr>
      <w:r>
        <w:t>Échecs scolaires</w:t>
      </w:r>
    </w:p>
    <w:p w:rsidR="00796537" w:rsidRDefault="00796537" w:rsidP="00BE6C2A">
      <w:pPr>
        <w:pStyle w:val="Sansinterligne"/>
        <w:numPr>
          <w:ilvl w:val="0"/>
          <w:numId w:val="656"/>
        </w:numPr>
        <w:ind w:left="360"/>
      </w:pPr>
      <w:r>
        <w:t>Faible estime personnelle</w:t>
      </w:r>
    </w:p>
    <w:p w:rsidR="00796537" w:rsidRDefault="00796537" w:rsidP="00BE6C2A">
      <w:pPr>
        <w:pStyle w:val="Sansinterligne"/>
        <w:numPr>
          <w:ilvl w:val="0"/>
          <w:numId w:val="656"/>
        </w:numPr>
        <w:ind w:left="360"/>
      </w:pPr>
      <w:r>
        <w:t>Adversité sociale / évènements négatifs</w:t>
      </w:r>
    </w:p>
    <w:p w:rsidR="00796537" w:rsidRDefault="00796537" w:rsidP="00BE6C2A">
      <w:pPr>
        <w:pStyle w:val="Sansinterligne"/>
        <w:numPr>
          <w:ilvl w:val="0"/>
          <w:numId w:val="656"/>
        </w:numPr>
        <w:ind w:left="360"/>
      </w:pPr>
      <w:r>
        <w:t>Groupes de pairs déviants / favorables aux substances</w:t>
      </w:r>
    </w:p>
    <w:p w:rsidR="00796537" w:rsidRDefault="00796537" w:rsidP="00BE6C2A">
      <w:pPr>
        <w:pStyle w:val="Sansinterligne"/>
        <w:numPr>
          <w:ilvl w:val="0"/>
          <w:numId w:val="656"/>
        </w:numPr>
        <w:ind w:left="360"/>
      </w:pPr>
      <w:r>
        <w:t>Pauvreté</w:t>
      </w:r>
    </w:p>
    <w:p w:rsidR="00796537" w:rsidRDefault="00796537" w:rsidP="00BE6C2A">
      <w:pPr>
        <w:pStyle w:val="Sansinterligne"/>
        <w:numPr>
          <w:ilvl w:val="0"/>
          <w:numId w:val="656"/>
        </w:numPr>
        <w:ind w:left="360"/>
      </w:pPr>
      <w:r>
        <w:t>Vie en milieu urbain</w:t>
      </w:r>
    </w:p>
    <w:p w:rsidR="00796537" w:rsidRDefault="00796537" w:rsidP="00BE6C2A">
      <w:pPr>
        <w:pStyle w:val="Sansinterligne"/>
        <w:numPr>
          <w:ilvl w:val="0"/>
          <w:numId w:val="656"/>
        </w:numPr>
        <w:ind w:left="360"/>
      </w:pPr>
      <w:r>
        <w:t>Violence communautaire / scolaire</w:t>
      </w:r>
    </w:p>
    <w:p w:rsidR="00D05A9D" w:rsidRDefault="00D05A9D" w:rsidP="00BE6C2A">
      <w:pPr>
        <w:pStyle w:val="Sansinterligne"/>
        <w:numPr>
          <w:ilvl w:val="0"/>
          <w:numId w:val="656"/>
        </w:numPr>
        <w:ind w:left="360"/>
      </w:pPr>
      <w:r>
        <w:t>Alcool, autres types et consommation</w:t>
      </w:r>
    </w:p>
    <w:p w:rsidR="00796537" w:rsidRDefault="00796537" w:rsidP="00BE6C2A">
      <w:pPr>
        <w:pStyle w:val="Sansinterligne"/>
        <w:sectPr w:rsidR="00796537" w:rsidSect="00796537">
          <w:type w:val="continuous"/>
          <w:pgSz w:w="12240" w:h="15840"/>
          <w:pgMar w:top="720" w:right="720" w:bottom="720" w:left="720" w:header="708" w:footer="708" w:gutter="0"/>
          <w:cols w:num="3" w:space="708"/>
          <w:docGrid w:linePitch="360"/>
        </w:sectPr>
      </w:pPr>
    </w:p>
    <w:p w:rsidR="00D05A9D" w:rsidRDefault="00D05A9D" w:rsidP="00C83566">
      <w:pPr>
        <w:pStyle w:val="Sansinterligne"/>
      </w:pPr>
    </w:p>
    <w:p w:rsidR="00BE6C2A" w:rsidRPr="004D285B" w:rsidRDefault="00BE6C2A" w:rsidP="004D285B">
      <w:pPr>
        <w:pStyle w:val="Sansinterligne"/>
        <w:numPr>
          <w:ilvl w:val="0"/>
          <w:numId w:val="657"/>
        </w:numPr>
        <w:rPr>
          <w:highlight w:val="yellow"/>
        </w:rPr>
      </w:pPr>
      <w:r w:rsidRPr="004D285B">
        <w:rPr>
          <w:highlight w:val="yellow"/>
        </w:rPr>
        <w:t>ATCD d’abus de substance ?</w:t>
      </w:r>
    </w:p>
    <w:p w:rsidR="00BE6C2A" w:rsidRDefault="00BE6C2A" w:rsidP="004D285B">
      <w:pPr>
        <w:pStyle w:val="Sansinterligne"/>
        <w:numPr>
          <w:ilvl w:val="0"/>
          <w:numId w:val="657"/>
        </w:numPr>
      </w:pPr>
      <w:r w:rsidRPr="004D285B">
        <w:rPr>
          <w:highlight w:val="yellow"/>
        </w:rPr>
        <w:t>Psychosocial : situation d’emploi, situation conjugale/sociale ?</w:t>
      </w:r>
    </w:p>
    <w:p w:rsidR="00796537" w:rsidRDefault="00796537" w:rsidP="004D285B">
      <w:pPr>
        <w:pStyle w:val="Sansinterligne"/>
        <w:numPr>
          <w:ilvl w:val="0"/>
          <w:numId w:val="657"/>
        </w:numPr>
      </w:pPr>
      <w:r>
        <w:t xml:space="preserve">Comorbidité associée </w:t>
      </w:r>
      <w:r w:rsidR="00BE6C2A">
        <w:t xml:space="preserve">? </w:t>
      </w:r>
      <w:r>
        <w:t>(troubles de l’humeur, troubles anxieux, schizophrénie, trouble des conduites, TDAH)</w:t>
      </w:r>
    </w:p>
    <w:p w:rsidR="00186741" w:rsidRDefault="00186741" w:rsidP="004D285B">
      <w:pPr>
        <w:pStyle w:val="Sansinterligne"/>
        <w:numPr>
          <w:ilvl w:val="0"/>
          <w:numId w:val="657"/>
        </w:numPr>
      </w:pPr>
      <w:r>
        <w:t>Maladie chronique ? Douleurs chroniques, traumatisme ?</w:t>
      </w:r>
    </w:p>
    <w:p w:rsidR="00C83566" w:rsidRDefault="00BE6C2A" w:rsidP="004D285B">
      <w:pPr>
        <w:pStyle w:val="Sansinterligne"/>
        <w:numPr>
          <w:ilvl w:val="0"/>
          <w:numId w:val="657"/>
        </w:numPr>
      </w:pPr>
      <w:r w:rsidRPr="00D407EC">
        <w:rPr>
          <w:highlight w:val="yellow"/>
        </w:rPr>
        <w:t>Si usage d’alcool, quelle quantité, à quelle fréquence</w:t>
      </w:r>
      <w:r>
        <w:t xml:space="preserve"> ?</w:t>
      </w:r>
    </w:p>
    <w:p w:rsidR="00BE6C2A" w:rsidRDefault="00944DF5" w:rsidP="00C83566">
      <w:pPr>
        <w:pStyle w:val="Sansinterligne"/>
        <w:numPr>
          <w:ilvl w:val="0"/>
          <w:numId w:val="657"/>
        </w:numPr>
      </w:pPr>
      <w:r>
        <w:t>D’autres alcool que l’éthanol ? (rince-bouche, alcool à friction, etc)</w:t>
      </w:r>
    </w:p>
    <w:tbl>
      <w:tblPr>
        <w:tblStyle w:val="Grilledutableau"/>
        <w:tblW w:w="0" w:type="auto"/>
        <w:tblInd w:w="1739" w:type="dxa"/>
        <w:tblLook w:val="04A0" w:firstRow="1" w:lastRow="0" w:firstColumn="1" w:lastColumn="0" w:noHBand="0" w:noVBand="1"/>
      </w:tblPr>
      <w:tblGrid>
        <w:gridCol w:w="1242"/>
        <w:gridCol w:w="6096"/>
      </w:tblGrid>
      <w:tr w:rsidR="00BE6C2A" w:rsidTr="004D285B">
        <w:tc>
          <w:tcPr>
            <w:tcW w:w="1242" w:type="dxa"/>
            <w:shd w:val="clear" w:color="auto" w:fill="92D050"/>
          </w:tcPr>
          <w:p w:rsidR="00BE6C2A" w:rsidRDefault="00BE6C2A" w:rsidP="00C83566">
            <w:pPr>
              <w:pStyle w:val="Sansinterligne"/>
            </w:pPr>
            <w:r w:rsidRPr="00BE6C2A">
              <w:rPr>
                <w:b/>
                <w:sz w:val="24"/>
                <w:szCs w:val="24"/>
              </w:rPr>
              <w:t>C</w:t>
            </w:r>
            <w:r>
              <w:t>ut</w:t>
            </w:r>
          </w:p>
        </w:tc>
        <w:tc>
          <w:tcPr>
            <w:tcW w:w="6096" w:type="dxa"/>
          </w:tcPr>
          <w:p w:rsidR="00BE6C2A" w:rsidRDefault="00BE6C2A" w:rsidP="00C83566">
            <w:pPr>
              <w:pStyle w:val="Sansinterligne"/>
            </w:pPr>
            <w:r>
              <w:t>Déjà envisagé/senti le besoin de réduire votre consommation ?</w:t>
            </w:r>
          </w:p>
        </w:tc>
      </w:tr>
      <w:tr w:rsidR="00BE6C2A" w:rsidTr="004D285B">
        <w:tc>
          <w:tcPr>
            <w:tcW w:w="1242" w:type="dxa"/>
            <w:shd w:val="clear" w:color="auto" w:fill="92D050"/>
          </w:tcPr>
          <w:p w:rsidR="00BE6C2A" w:rsidRDefault="00BE6C2A" w:rsidP="00C83566">
            <w:pPr>
              <w:pStyle w:val="Sansinterligne"/>
            </w:pPr>
            <w:r w:rsidRPr="00BE6C2A">
              <w:rPr>
                <w:b/>
                <w:sz w:val="24"/>
                <w:szCs w:val="24"/>
              </w:rPr>
              <w:t>A</w:t>
            </w:r>
            <w:r>
              <w:t>nnoyed</w:t>
            </w:r>
          </w:p>
        </w:tc>
        <w:tc>
          <w:tcPr>
            <w:tcW w:w="6096" w:type="dxa"/>
          </w:tcPr>
          <w:p w:rsidR="00BE6C2A" w:rsidRDefault="00BE6C2A" w:rsidP="00C83566">
            <w:pPr>
              <w:pStyle w:val="Sansinterligne"/>
            </w:pPr>
            <w:r>
              <w:t>Déjà fait critiqué ou embêter en lien avec votre consommation ?</w:t>
            </w:r>
          </w:p>
        </w:tc>
      </w:tr>
      <w:tr w:rsidR="00BE6C2A" w:rsidTr="004D285B">
        <w:tc>
          <w:tcPr>
            <w:tcW w:w="1242" w:type="dxa"/>
            <w:shd w:val="clear" w:color="auto" w:fill="92D050"/>
          </w:tcPr>
          <w:p w:rsidR="00BE6C2A" w:rsidRDefault="00BE6C2A" w:rsidP="00C83566">
            <w:pPr>
              <w:pStyle w:val="Sansinterligne"/>
            </w:pPr>
            <w:r w:rsidRPr="00BE6C2A">
              <w:rPr>
                <w:b/>
                <w:sz w:val="24"/>
                <w:szCs w:val="24"/>
              </w:rPr>
              <w:t>G</w:t>
            </w:r>
            <w:r>
              <w:t>uilty</w:t>
            </w:r>
          </w:p>
        </w:tc>
        <w:tc>
          <w:tcPr>
            <w:tcW w:w="6096" w:type="dxa"/>
          </w:tcPr>
          <w:p w:rsidR="00BE6C2A" w:rsidRDefault="00BE6C2A" w:rsidP="00C83566">
            <w:pPr>
              <w:pStyle w:val="Sansinterligne"/>
            </w:pPr>
            <w:r>
              <w:t>Déjà senti coupable face à votre consommation ?</w:t>
            </w:r>
          </w:p>
        </w:tc>
      </w:tr>
      <w:tr w:rsidR="00BE6C2A" w:rsidTr="004D285B">
        <w:tc>
          <w:tcPr>
            <w:tcW w:w="1242" w:type="dxa"/>
            <w:shd w:val="clear" w:color="auto" w:fill="92D050"/>
          </w:tcPr>
          <w:p w:rsidR="00BE6C2A" w:rsidRDefault="00BE6C2A" w:rsidP="00C83566">
            <w:pPr>
              <w:pStyle w:val="Sansinterligne"/>
            </w:pPr>
            <w:r w:rsidRPr="00BE6C2A">
              <w:rPr>
                <w:b/>
                <w:sz w:val="24"/>
                <w:szCs w:val="24"/>
              </w:rPr>
              <w:t>E</w:t>
            </w:r>
            <w:r>
              <w:t>ye opener</w:t>
            </w:r>
          </w:p>
        </w:tc>
        <w:tc>
          <w:tcPr>
            <w:tcW w:w="6096" w:type="dxa"/>
          </w:tcPr>
          <w:p w:rsidR="00BE6C2A" w:rsidRDefault="00BE6C2A" w:rsidP="00C83566">
            <w:pPr>
              <w:pStyle w:val="Sansinterligne"/>
            </w:pPr>
            <w:r>
              <w:t>Déjà eu besoin de boire en vous levant le matin ?</w:t>
            </w:r>
          </w:p>
        </w:tc>
      </w:tr>
    </w:tbl>
    <w:p w:rsidR="00BE6C2A" w:rsidRPr="00BE6C2A" w:rsidRDefault="00BE6C2A" w:rsidP="005C6972">
      <w:pPr>
        <w:pStyle w:val="Sansinterligne"/>
        <w:jc w:val="center"/>
        <w:rPr>
          <w:b/>
        </w:rPr>
      </w:pPr>
      <w:r w:rsidRPr="00BE6C2A">
        <w:rPr>
          <w:b/>
        </w:rPr>
        <w:t xml:space="preserve">Positif si </w:t>
      </w:r>
      <w:r w:rsidRPr="00BE6C2A">
        <w:rPr>
          <w:rFonts w:ascii="Century Gothic" w:hAnsi="Century Gothic"/>
          <w:b/>
        </w:rPr>
        <w:t>≥</w:t>
      </w:r>
      <w:r w:rsidRPr="00BE6C2A">
        <w:rPr>
          <w:b/>
        </w:rPr>
        <w:t xml:space="preserve">1 critère pour une femme, </w:t>
      </w:r>
      <w:r w:rsidRPr="00BE6C2A">
        <w:rPr>
          <w:rFonts w:ascii="Century Gothic" w:hAnsi="Century Gothic"/>
          <w:b/>
        </w:rPr>
        <w:t>≥</w:t>
      </w:r>
      <w:r w:rsidRPr="00BE6C2A">
        <w:rPr>
          <w:b/>
        </w:rPr>
        <w:t>2 critères pour un homme</w:t>
      </w:r>
    </w:p>
    <w:p w:rsidR="00BE6C2A" w:rsidRDefault="00BE6C2A" w:rsidP="00C83566">
      <w:pPr>
        <w:pStyle w:val="Sansinterligne"/>
      </w:pPr>
    </w:p>
    <w:p w:rsidR="00944DF5" w:rsidRPr="00172124" w:rsidRDefault="00944DF5" w:rsidP="00C83566">
      <w:pPr>
        <w:pStyle w:val="Sansinterligne"/>
        <w:numPr>
          <w:ilvl w:val="0"/>
          <w:numId w:val="657"/>
        </w:numPr>
        <w:rPr>
          <w:highlight w:val="yellow"/>
        </w:rPr>
      </w:pPr>
      <w:r w:rsidRPr="00D407EC">
        <w:rPr>
          <w:highlight w:val="yellow"/>
        </w:rPr>
        <w:t>Si usage de drogues, quelle substance, quelle quantité, à quelle fréquence ?</w:t>
      </w:r>
    </w:p>
    <w:p w:rsidR="00944DF5" w:rsidRPr="002A14F0" w:rsidRDefault="00944DF5" w:rsidP="00C83566">
      <w:pPr>
        <w:pStyle w:val="Sansinterligne"/>
        <w:rPr>
          <w:u w:val="single"/>
        </w:rPr>
      </w:pPr>
    </w:p>
    <w:p w:rsidR="00C83566" w:rsidRPr="00944DF5" w:rsidRDefault="008447AB" w:rsidP="00C83566">
      <w:pPr>
        <w:pStyle w:val="Sansinterligne"/>
      </w:pPr>
      <w:r>
        <w:rPr>
          <w:noProof/>
          <w:lang w:eastAsia="fr-CA"/>
        </w:rPr>
        <w:drawing>
          <wp:anchor distT="0" distB="0" distL="114300" distR="114300" simplePos="0" relativeHeight="251846656" behindDoc="0" locked="0" layoutInCell="1" allowOverlap="1" wp14:anchorId="677070C9" wp14:editId="5FA3C9AD">
            <wp:simplePos x="0" y="0"/>
            <wp:positionH relativeFrom="column">
              <wp:posOffset>3423285</wp:posOffset>
            </wp:positionH>
            <wp:positionV relativeFrom="paragraph">
              <wp:posOffset>40005</wp:posOffset>
            </wp:positionV>
            <wp:extent cx="3355975" cy="2237105"/>
            <wp:effectExtent l="0" t="0" r="0" b="0"/>
            <wp:wrapNone/>
            <wp:docPr id="348" name="Image 348" descr="Résultats de recherche d'images pour « trouble de l'usage alcoo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ésultats de recherche d'images pour « trouble de l'usage alcool »"/>
                    <pic:cNvPicPr>
                      <a:picLocks noChangeAspect="1" noChangeArrowheads="1"/>
                    </pic:cNvPicPr>
                  </pic:nvPicPr>
                  <pic:blipFill>
                    <a:blip r:embed="rId356">
                      <a:extLst>
                        <a:ext uri="{28A0092B-C50C-407E-A947-70E740481C1C}">
                          <a14:useLocalDpi xmlns:a14="http://schemas.microsoft.com/office/drawing/2010/main" val="0"/>
                        </a:ext>
                      </a:extLst>
                    </a:blip>
                    <a:srcRect/>
                    <a:stretch>
                      <a:fillRect/>
                    </a:stretch>
                  </pic:blipFill>
                  <pic:spPr bwMode="auto">
                    <a:xfrm>
                      <a:off x="0" y="0"/>
                      <a:ext cx="3355975" cy="2237105"/>
                    </a:xfrm>
                    <a:prstGeom prst="rect">
                      <a:avLst/>
                    </a:prstGeom>
                    <a:noFill/>
                    <a:ln>
                      <a:noFill/>
                    </a:ln>
                  </pic:spPr>
                </pic:pic>
              </a:graphicData>
            </a:graphic>
            <wp14:sizeRelH relativeFrom="page">
              <wp14:pctWidth>0</wp14:pctWidth>
            </wp14:sizeRelH>
            <wp14:sizeRelV relativeFrom="page">
              <wp14:pctHeight>0</wp14:pctHeight>
            </wp14:sizeRelV>
          </wp:anchor>
        </w:drawing>
      </w:r>
      <w:r w:rsidR="00C83566" w:rsidRPr="002A14F0">
        <w:rPr>
          <w:u w:val="single"/>
        </w:rPr>
        <w:t>Examen physique ciblé</w:t>
      </w:r>
    </w:p>
    <w:p w:rsidR="00C83566" w:rsidRDefault="00C83566" w:rsidP="00C83566">
      <w:pPr>
        <w:pStyle w:val="Sansinterligne"/>
      </w:pPr>
    </w:p>
    <w:p w:rsidR="002A14F0" w:rsidRDefault="002A14F0" w:rsidP="002A14F0">
      <w:pPr>
        <w:pStyle w:val="Sansinterligne"/>
        <w:numPr>
          <w:ilvl w:val="0"/>
          <w:numId w:val="658"/>
        </w:numPr>
      </w:pPr>
      <w:r>
        <w:t>État cardio-respiratoire et ABC</w:t>
      </w:r>
      <w:r w:rsidRPr="002A14F0">
        <w:t xml:space="preserve"> </w:t>
      </w:r>
    </w:p>
    <w:p w:rsidR="002A14F0" w:rsidRDefault="002A14F0" w:rsidP="002A14F0">
      <w:pPr>
        <w:pStyle w:val="Sansinterligne"/>
        <w:numPr>
          <w:ilvl w:val="0"/>
          <w:numId w:val="658"/>
        </w:numPr>
      </w:pPr>
      <w:r>
        <w:t>Pupilles (myosis vs mydriase)</w:t>
      </w:r>
    </w:p>
    <w:p w:rsidR="002A14F0" w:rsidRDefault="002A14F0" w:rsidP="002A14F0">
      <w:pPr>
        <w:pStyle w:val="Sansinterligne"/>
        <w:numPr>
          <w:ilvl w:val="0"/>
          <w:numId w:val="658"/>
        </w:numPr>
      </w:pPr>
      <w:r>
        <w:t>Abdomen (chirurgical ? signes d’hépatite ?)</w:t>
      </w:r>
    </w:p>
    <w:p w:rsidR="00D05A9D" w:rsidRDefault="00D05A9D" w:rsidP="00C83566">
      <w:pPr>
        <w:pStyle w:val="Sansinterligne"/>
      </w:pPr>
    </w:p>
    <w:p w:rsidR="00764443" w:rsidRPr="00764443" w:rsidRDefault="00764443" w:rsidP="00C83566">
      <w:pPr>
        <w:pStyle w:val="Sansinterligne"/>
        <w:rPr>
          <w:u w:val="single"/>
        </w:rPr>
      </w:pPr>
      <w:r w:rsidRPr="00764443">
        <w:rPr>
          <w:u w:val="single"/>
        </w:rPr>
        <w:t>Investigations biochimiques</w:t>
      </w:r>
    </w:p>
    <w:p w:rsidR="00764443" w:rsidRDefault="00764443" w:rsidP="00C83566">
      <w:pPr>
        <w:pStyle w:val="Sansinterligne"/>
      </w:pPr>
    </w:p>
    <w:p w:rsidR="00764443" w:rsidRDefault="00764443" w:rsidP="008447AB">
      <w:pPr>
        <w:pStyle w:val="Sansinterligne"/>
        <w:numPr>
          <w:ilvl w:val="0"/>
          <w:numId w:val="659"/>
        </w:numPr>
      </w:pPr>
      <w:r>
        <w:t>Éthanolémie</w:t>
      </w:r>
    </w:p>
    <w:p w:rsidR="00764443" w:rsidRDefault="00764443" w:rsidP="008447AB">
      <w:pPr>
        <w:pStyle w:val="Sansinterligne"/>
        <w:numPr>
          <w:ilvl w:val="0"/>
          <w:numId w:val="659"/>
        </w:numPr>
      </w:pPr>
      <w:r>
        <w:t>Dépistage de drogues de rue (urinaire ou sanguin)</w:t>
      </w:r>
    </w:p>
    <w:p w:rsidR="00764443" w:rsidRDefault="00764443" w:rsidP="008447AB">
      <w:pPr>
        <w:pStyle w:val="Sansinterligne"/>
        <w:numPr>
          <w:ilvl w:val="0"/>
          <w:numId w:val="659"/>
        </w:numPr>
      </w:pPr>
      <w:r>
        <w:t>FSC, créatinine, ions</w:t>
      </w:r>
      <w:r w:rsidR="003459C1">
        <w:t>, vitamine B12</w:t>
      </w:r>
      <w:r w:rsidR="0082631A">
        <w:t>,</w:t>
      </w:r>
      <w:r w:rsidR="0082631A" w:rsidRPr="0082631A">
        <w:t xml:space="preserve"> </w:t>
      </w:r>
      <w:r w:rsidR="0082631A">
        <w:t>Glycémie</w:t>
      </w:r>
    </w:p>
    <w:p w:rsidR="0082631A" w:rsidRDefault="0082631A" w:rsidP="0082631A">
      <w:pPr>
        <w:pStyle w:val="Sansinterligne"/>
        <w:numPr>
          <w:ilvl w:val="0"/>
          <w:numId w:val="659"/>
        </w:numPr>
      </w:pPr>
      <w:r>
        <w:t>Bilan hépatique, CK (si atteinte musculaire suspectée)</w:t>
      </w:r>
    </w:p>
    <w:p w:rsidR="00764443" w:rsidRDefault="00764443" w:rsidP="008447AB">
      <w:pPr>
        <w:pStyle w:val="Sansinterligne"/>
        <w:numPr>
          <w:ilvl w:val="0"/>
          <w:numId w:val="659"/>
        </w:numPr>
      </w:pPr>
      <w:r>
        <w:t>ECG</w:t>
      </w:r>
    </w:p>
    <w:p w:rsidR="00764443" w:rsidRDefault="00764443" w:rsidP="008447AB">
      <w:pPr>
        <w:pStyle w:val="Sansinterligne"/>
        <w:numPr>
          <w:ilvl w:val="0"/>
          <w:numId w:val="659"/>
        </w:numPr>
      </w:pPr>
      <w:r>
        <w:t>Écho abdominale (si suspicion d’hépatite)</w:t>
      </w:r>
    </w:p>
    <w:p w:rsidR="00764443" w:rsidRDefault="00764443" w:rsidP="00C83566">
      <w:pPr>
        <w:pStyle w:val="Sansinterligne"/>
      </w:pPr>
    </w:p>
    <w:p w:rsidR="00EB0A9B" w:rsidRPr="000A2BCE" w:rsidRDefault="00EB0A9B" w:rsidP="00C83566">
      <w:pPr>
        <w:pStyle w:val="Sansinterligne"/>
        <w:rPr>
          <w:b/>
          <w:sz w:val="28"/>
          <w:szCs w:val="28"/>
        </w:rPr>
      </w:pPr>
      <w:r w:rsidRPr="000A2BCE">
        <w:rPr>
          <w:b/>
          <w:sz w:val="28"/>
          <w:szCs w:val="28"/>
        </w:rPr>
        <w:t>Diagnostics</w:t>
      </w:r>
      <w:r w:rsidR="000A2BCE">
        <w:rPr>
          <w:b/>
          <w:sz w:val="28"/>
          <w:szCs w:val="28"/>
        </w:rPr>
        <w:t xml:space="preserve"> et prise en charge</w:t>
      </w:r>
    </w:p>
    <w:p w:rsidR="000A2BCE" w:rsidRDefault="000A2BCE" w:rsidP="00C83566">
      <w:pPr>
        <w:pStyle w:val="Sansinterligne"/>
      </w:pPr>
    </w:p>
    <w:p w:rsidR="00EB0A9B" w:rsidRPr="00965765" w:rsidRDefault="00EB0A9B" w:rsidP="00F70040">
      <w:pPr>
        <w:pStyle w:val="Sansinterligne"/>
        <w:jc w:val="center"/>
        <w:rPr>
          <w:i/>
        </w:rPr>
      </w:pPr>
      <w:r w:rsidRPr="00965765">
        <w:rPr>
          <w:i/>
        </w:rPr>
        <w:t xml:space="preserve">Trouble </w:t>
      </w:r>
      <w:r w:rsidR="000A2BCE" w:rsidRPr="00965765">
        <w:rPr>
          <w:i/>
        </w:rPr>
        <w:t>liés à des substances (à l’exception des sevrages, voir Sevrage à une substance CMC 103-1)</w:t>
      </w:r>
    </w:p>
    <w:p w:rsidR="00D05A9D" w:rsidRDefault="00D05A9D" w:rsidP="00C83566">
      <w:pPr>
        <w:pStyle w:val="Sansinterligne"/>
      </w:pPr>
    </w:p>
    <w:p w:rsidR="000A2BCE" w:rsidRPr="00965765" w:rsidRDefault="00D05A9D" w:rsidP="00C83566">
      <w:pPr>
        <w:pStyle w:val="Sansinterligne"/>
        <w:rPr>
          <w:b/>
        </w:rPr>
      </w:pPr>
      <w:r w:rsidRPr="00965765">
        <w:rPr>
          <w:b/>
        </w:rPr>
        <w:t>Trouble de l’usage</w:t>
      </w:r>
    </w:p>
    <w:tbl>
      <w:tblPr>
        <w:tblStyle w:val="Grilledutableau"/>
        <w:tblW w:w="0" w:type="auto"/>
        <w:tblLook w:val="04A0" w:firstRow="1" w:lastRow="0" w:firstColumn="1" w:lastColumn="0" w:noHBand="0" w:noVBand="1"/>
      </w:tblPr>
      <w:tblGrid>
        <w:gridCol w:w="10940"/>
      </w:tblGrid>
      <w:tr w:rsidR="00D05A9D" w:rsidTr="00286775">
        <w:tc>
          <w:tcPr>
            <w:tcW w:w="10940" w:type="dxa"/>
            <w:shd w:val="clear" w:color="auto" w:fill="FFFF00"/>
          </w:tcPr>
          <w:p w:rsidR="00D05A9D" w:rsidRDefault="00CE44B2" w:rsidP="00286775">
            <w:pPr>
              <w:pStyle w:val="Sansinterligne"/>
              <w:numPr>
                <w:ilvl w:val="0"/>
                <w:numId w:val="662"/>
              </w:numPr>
            </w:pPr>
            <w:r w:rsidRPr="00286775">
              <w:rPr>
                <w:u w:val="single"/>
              </w:rPr>
              <w:t xml:space="preserve">Usage d’une substance menant à une souffrance significative </w:t>
            </w:r>
            <w:r w:rsidR="00286775" w:rsidRPr="00286775">
              <w:rPr>
                <w:u w:val="single"/>
              </w:rPr>
              <w:t>/</w:t>
            </w:r>
            <w:r w:rsidRPr="00286775">
              <w:rPr>
                <w:u w:val="single"/>
              </w:rPr>
              <w:t xml:space="preserve"> une altération du fonctionnement démontré par </w:t>
            </w:r>
            <w:r w:rsidRPr="00286775">
              <w:rPr>
                <w:rFonts w:ascii="Century Gothic" w:hAnsi="Century Gothic"/>
                <w:u w:val="single"/>
              </w:rPr>
              <w:t>≥</w:t>
            </w:r>
            <w:r w:rsidRPr="00286775">
              <w:rPr>
                <w:u w:val="single"/>
              </w:rPr>
              <w:t>2 de</w:t>
            </w:r>
            <w:r>
              <w:t> :</w:t>
            </w:r>
          </w:p>
          <w:p w:rsidR="00286775" w:rsidRDefault="00286775" w:rsidP="00286775">
            <w:pPr>
              <w:pStyle w:val="Sansinterligne"/>
              <w:ind w:left="360"/>
            </w:pPr>
          </w:p>
          <w:p w:rsidR="00CE44B2" w:rsidRDefault="00CE44B2" w:rsidP="0082631A">
            <w:pPr>
              <w:pStyle w:val="Sansinterligne"/>
              <w:numPr>
                <w:ilvl w:val="1"/>
                <w:numId w:val="663"/>
              </w:numPr>
              <w:ind w:left="720"/>
            </w:pPr>
            <w:r>
              <w:t>La substance est souvent prise en plus grande quantité ou pendant une période plus longue que prévue.</w:t>
            </w:r>
          </w:p>
          <w:p w:rsidR="00286775" w:rsidRDefault="00286775" w:rsidP="0082631A">
            <w:pPr>
              <w:pStyle w:val="Sansinterligne"/>
              <w:ind w:left="720"/>
            </w:pPr>
          </w:p>
          <w:p w:rsidR="00CE44B2" w:rsidRDefault="00CE44B2" w:rsidP="0082631A">
            <w:pPr>
              <w:pStyle w:val="Sansinterligne"/>
              <w:numPr>
                <w:ilvl w:val="1"/>
                <w:numId w:val="663"/>
              </w:numPr>
              <w:ind w:left="720"/>
            </w:pPr>
            <w:r>
              <w:t xml:space="preserve">Désir persistant ou des efforts infructueux pour en diminuer ou en contrôler l’usage </w:t>
            </w:r>
          </w:p>
          <w:p w:rsidR="00286775" w:rsidRDefault="00286775" w:rsidP="0082631A">
            <w:pPr>
              <w:pStyle w:val="Sansinterligne"/>
              <w:ind w:left="720"/>
            </w:pPr>
          </w:p>
          <w:p w:rsidR="00CE44B2" w:rsidRDefault="00CE44B2" w:rsidP="0082631A">
            <w:pPr>
              <w:pStyle w:val="Sansinterligne"/>
              <w:numPr>
                <w:ilvl w:val="1"/>
                <w:numId w:val="663"/>
              </w:numPr>
              <w:ind w:left="720"/>
            </w:pPr>
            <w:r>
              <w:t>Beaucoup de temps est consacré à des activités nécessaires pour se procurer la substance ou à récupérer de ses effets.</w:t>
            </w:r>
          </w:p>
          <w:p w:rsidR="00286775" w:rsidRDefault="00286775" w:rsidP="0082631A">
            <w:pPr>
              <w:pStyle w:val="Sansinterligne"/>
              <w:ind w:left="720"/>
            </w:pPr>
          </w:p>
          <w:p w:rsidR="00CE44B2" w:rsidRDefault="00CE44B2" w:rsidP="0082631A">
            <w:pPr>
              <w:pStyle w:val="Sansinterligne"/>
              <w:numPr>
                <w:ilvl w:val="1"/>
                <w:numId w:val="663"/>
              </w:numPr>
              <w:ind w:left="720"/>
            </w:pPr>
            <w:r>
              <w:t>Envie impérieuse (craving) ou besoin pressant d’utiliser la substance.</w:t>
            </w:r>
          </w:p>
          <w:p w:rsidR="00286775" w:rsidRDefault="00286775" w:rsidP="0082631A">
            <w:pPr>
              <w:pStyle w:val="Sansinterligne"/>
              <w:ind w:left="720"/>
            </w:pPr>
          </w:p>
          <w:p w:rsidR="00CE44B2" w:rsidRDefault="00CE44B2" w:rsidP="0082631A">
            <w:pPr>
              <w:pStyle w:val="Sansinterligne"/>
              <w:numPr>
                <w:ilvl w:val="1"/>
                <w:numId w:val="663"/>
              </w:numPr>
              <w:ind w:left="720"/>
            </w:pPr>
            <w:r>
              <w:t>Usage répété de la substance menant à l’incapacité de remplir des engagements au travail/à l’école ou à domicile.</w:t>
            </w:r>
          </w:p>
          <w:p w:rsidR="00286775" w:rsidRDefault="00286775" w:rsidP="0082631A">
            <w:pPr>
              <w:pStyle w:val="Sansinterligne"/>
              <w:ind w:left="720"/>
            </w:pPr>
          </w:p>
          <w:p w:rsidR="00CE44B2" w:rsidRDefault="00CE44B2" w:rsidP="0082631A">
            <w:pPr>
              <w:pStyle w:val="Sansinterligne"/>
              <w:numPr>
                <w:ilvl w:val="1"/>
                <w:numId w:val="663"/>
              </w:numPr>
              <w:ind w:left="720"/>
            </w:pPr>
            <w:r>
              <w:t>Usage continu de la substance malgré les problèmes interpersonnels/sociaux persistants ou récurrents exacerbés ou causés par celle-ci.</w:t>
            </w:r>
          </w:p>
          <w:p w:rsidR="00286775" w:rsidRDefault="00286775" w:rsidP="0082631A">
            <w:pPr>
              <w:pStyle w:val="Sansinterligne"/>
              <w:ind w:left="720"/>
            </w:pPr>
          </w:p>
          <w:p w:rsidR="00CE44B2" w:rsidRDefault="00CE44B2" w:rsidP="0082631A">
            <w:pPr>
              <w:pStyle w:val="Sansinterligne"/>
              <w:numPr>
                <w:ilvl w:val="1"/>
                <w:numId w:val="663"/>
              </w:numPr>
              <w:ind w:left="720"/>
            </w:pPr>
            <w:r>
              <w:t>Des activités sociales/professionnelles ou des loisirs importants sont abandonnés ou réduits à cause de la consommation.</w:t>
            </w:r>
          </w:p>
          <w:p w:rsidR="00286775" w:rsidRDefault="00286775" w:rsidP="0082631A">
            <w:pPr>
              <w:pStyle w:val="Sansinterligne"/>
              <w:ind w:left="720"/>
            </w:pPr>
          </w:p>
          <w:p w:rsidR="00CE44B2" w:rsidRDefault="00CE44B2" w:rsidP="0082631A">
            <w:pPr>
              <w:pStyle w:val="Sansinterligne"/>
              <w:numPr>
                <w:ilvl w:val="1"/>
                <w:numId w:val="663"/>
              </w:numPr>
              <w:ind w:left="720"/>
            </w:pPr>
            <w:r>
              <w:t>Usage répété de la substance dans des situations où c’est physiquement dangereux.</w:t>
            </w:r>
          </w:p>
          <w:p w:rsidR="00286775" w:rsidRDefault="00286775" w:rsidP="0082631A">
            <w:pPr>
              <w:pStyle w:val="Sansinterligne"/>
              <w:ind w:left="720"/>
            </w:pPr>
          </w:p>
          <w:p w:rsidR="00CE44B2" w:rsidRDefault="00CE44B2" w:rsidP="0082631A">
            <w:pPr>
              <w:pStyle w:val="Sansinterligne"/>
              <w:numPr>
                <w:ilvl w:val="1"/>
                <w:numId w:val="663"/>
              </w:numPr>
              <w:ind w:left="720"/>
            </w:pPr>
            <w:r>
              <w:t xml:space="preserve">L’usage est poursuivi même si la personne sait avoir un problème psychologique/physique persistant ou </w:t>
            </w:r>
            <w:r w:rsidR="00420EE7">
              <w:t>récurrent</w:t>
            </w:r>
            <w:r>
              <w:t xml:space="preserve"> susceptible d’avoir été causée par l’usage de la substance.</w:t>
            </w:r>
          </w:p>
          <w:p w:rsidR="00286775" w:rsidRDefault="00286775" w:rsidP="0082631A">
            <w:pPr>
              <w:pStyle w:val="Sansinterligne"/>
              <w:ind w:left="720"/>
            </w:pPr>
          </w:p>
          <w:p w:rsidR="00286775" w:rsidRDefault="00CE44B2" w:rsidP="0082631A">
            <w:pPr>
              <w:pStyle w:val="Sansinterligne"/>
              <w:numPr>
                <w:ilvl w:val="1"/>
                <w:numId w:val="663"/>
              </w:numPr>
              <w:ind w:left="720"/>
            </w:pPr>
            <w:r>
              <w:t>Tolérance définie par 1 de :</w:t>
            </w:r>
          </w:p>
          <w:p w:rsidR="00CE44B2" w:rsidRDefault="00CE44B2" w:rsidP="0082631A">
            <w:pPr>
              <w:pStyle w:val="Sansinterligne"/>
              <w:numPr>
                <w:ilvl w:val="2"/>
                <w:numId w:val="662"/>
              </w:numPr>
              <w:ind w:left="1440"/>
            </w:pPr>
            <w:r>
              <w:t>Besoin de quantité notablement plus forte pour être intoxiqué ou obtenir l’effet désiré.</w:t>
            </w:r>
          </w:p>
          <w:p w:rsidR="00CE44B2" w:rsidRDefault="00CE44B2" w:rsidP="0082631A">
            <w:pPr>
              <w:pStyle w:val="Sansinterligne"/>
              <w:numPr>
                <w:ilvl w:val="2"/>
                <w:numId w:val="662"/>
              </w:numPr>
              <w:ind w:left="1440"/>
            </w:pPr>
            <w:r>
              <w:t>Effet notablement diminué en cas d’usage continu d’une même quantité de la substance.</w:t>
            </w:r>
          </w:p>
          <w:p w:rsidR="00286775" w:rsidRDefault="00286775" w:rsidP="0082631A">
            <w:pPr>
              <w:pStyle w:val="Sansinterligne"/>
              <w:ind w:left="1440"/>
            </w:pPr>
          </w:p>
          <w:p w:rsidR="00286775" w:rsidRDefault="00CE44B2" w:rsidP="0082631A">
            <w:pPr>
              <w:pStyle w:val="Sansinterligne"/>
              <w:numPr>
                <w:ilvl w:val="1"/>
                <w:numId w:val="663"/>
              </w:numPr>
              <w:ind w:left="720"/>
            </w:pPr>
            <w:r>
              <w:t>Sevrage caractérisé par 1 de :</w:t>
            </w:r>
            <w:r w:rsidR="00286775">
              <w:t xml:space="preserve"> (alcool, cannabis, opiacés, stimulants, sédatifs/hypnotiques/anxiolytiques)</w:t>
            </w:r>
          </w:p>
          <w:p w:rsidR="00CE44B2" w:rsidRDefault="00CE44B2" w:rsidP="0082631A">
            <w:pPr>
              <w:pStyle w:val="Sansinterligne"/>
              <w:numPr>
                <w:ilvl w:val="2"/>
                <w:numId w:val="662"/>
              </w:numPr>
              <w:ind w:left="1440"/>
            </w:pPr>
            <w:r>
              <w:t>Syndrome de sevrage caractéristique de la substance</w:t>
            </w:r>
          </w:p>
          <w:p w:rsidR="00CE44B2" w:rsidRDefault="00286775" w:rsidP="0082631A">
            <w:pPr>
              <w:pStyle w:val="Sansinterligne"/>
              <w:numPr>
                <w:ilvl w:val="2"/>
                <w:numId w:val="662"/>
              </w:numPr>
              <w:ind w:left="1440"/>
            </w:pPr>
            <w:r>
              <w:t>La substance est prise pour éviter ou soulager les symptômes de sevrage</w:t>
            </w:r>
          </w:p>
        </w:tc>
      </w:tr>
    </w:tbl>
    <w:p w:rsidR="00D05A9D" w:rsidRPr="00C83566" w:rsidRDefault="00172124" w:rsidP="00946D0E">
      <w:pPr>
        <w:pStyle w:val="Sansinterligne"/>
        <w:jc w:val="center"/>
        <w:rPr>
          <w:lang w:eastAsia="fr-CA"/>
        </w:rPr>
      </w:pPr>
      <w:r>
        <w:rPr>
          <w:lang w:eastAsia="fr-CA"/>
        </w:rPr>
        <w:t>*</w:t>
      </w:r>
      <w:r w:rsidR="005C6972">
        <w:rPr>
          <w:lang w:eastAsia="fr-CA"/>
        </w:rPr>
        <w:t>Troubles de l’usage peuvent être gradé de léger à sévère sur un continuum selon le nombre de critères présents.</w:t>
      </w:r>
    </w:p>
    <w:tbl>
      <w:tblPr>
        <w:tblStyle w:val="Grilledutableau"/>
        <w:tblW w:w="0" w:type="auto"/>
        <w:tblLook w:val="04A0" w:firstRow="1" w:lastRow="0" w:firstColumn="1" w:lastColumn="0" w:noHBand="0" w:noVBand="1"/>
      </w:tblPr>
      <w:tblGrid>
        <w:gridCol w:w="2659"/>
        <w:gridCol w:w="2236"/>
        <w:gridCol w:w="39"/>
        <w:gridCol w:w="2197"/>
        <w:gridCol w:w="3885"/>
      </w:tblGrid>
      <w:tr w:rsidR="00557456" w:rsidRPr="00C83566" w:rsidTr="00E12FA3">
        <w:tc>
          <w:tcPr>
            <w:tcW w:w="2659" w:type="dxa"/>
            <w:shd w:val="clear" w:color="auto" w:fill="D6E3BC" w:themeFill="accent3" w:themeFillTint="66"/>
          </w:tcPr>
          <w:p w:rsidR="00C83566" w:rsidRPr="00C83566" w:rsidRDefault="00C83566" w:rsidP="00C83566">
            <w:pPr>
              <w:pStyle w:val="Sansinterligne"/>
              <w:jc w:val="center"/>
            </w:pPr>
            <w:r>
              <w:t>Trouble</w:t>
            </w:r>
          </w:p>
        </w:tc>
        <w:tc>
          <w:tcPr>
            <w:tcW w:w="4472" w:type="dxa"/>
            <w:gridSpan w:val="3"/>
            <w:shd w:val="clear" w:color="auto" w:fill="D6E3BC" w:themeFill="accent3" w:themeFillTint="66"/>
          </w:tcPr>
          <w:p w:rsidR="00C83566" w:rsidRPr="00C83566" w:rsidRDefault="00C83566" w:rsidP="00C83566">
            <w:pPr>
              <w:pStyle w:val="Sansinterligne"/>
              <w:jc w:val="center"/>
            </w:pPr>
            <w:r>
              <w:t>Manifestations cliniques</w:t>
            </w:r>
          </w:p>
        </w:tc>
        <w:tc>
          <w:tcPr>
            <w:tcW w:w="3885" w:type="dxa"/>
            <w:shd w:val="clear" w:color="auto" w:fill="D6E3BC" w:themeFill="accent3" w:themeFillTint="66"/>
          </w:tcPr>
          <w:p w:rsidR="00C83566" w:rsidRPr="00C83566" w:rsidRDefault="00C83566" w:rsidP="00C83566">
            <w:pPr>
              <w:pStyle w:val="Sansinterligne"/>
              <w:jc w:val="center"/>
            </w:pPr>
            <w:r>
              <w:t>Traitement</w:t>
            </w:r>
            <w:r w:rsidR="0005403F">
              <w:t xml:space="preserve"> / prise en charge</w:t>
            </w:r>
          </w:p>
        </w:tc>
      </w:tr>
      <w:tr w:rsidR="00C83566" w:rsidRPr="00C83566" w:rsidTr="002479F6">
        <w:tc>
          <w:tcPr>
            <w:tcW w:w="11016" w:type="dxa"/>
            <w:gridSpan w:val="5"/>
            <w:shd w:val="clear" w:color="auto" w:fill="9BBB59" w:themeFill="accent3"/>
          </w:tcPr>
          <w:p w:rsidR="00C83566" w:rsidRPr="00C83566" w:rsidRDefault="00EB0A9B" w:rsidP="00C83566">
            <w:pPr>
              <w:pStyle w:val="Sansinterligne"/>
              <w:jc w:val="center"/>
            </w:pPr>
            <w:r>
              <w:t>Alcool</w:t>
            </w:r>
          </w:p>
        </w:tc>
      </w:tr>
      <w:tr w:rsidR="00F63289" w:rsidRPr="00DF6D21" w:rsidTr="00E12FA3">
        <w:tc>
          <w:tcPr>
            <w:tcW w:w="2659" w:type="dxa"/>
            <w:vAlign w:val="center"/>
          </w:tcPr>
          <w:p w:rsidR="00C83566" w:rsidRPr="00C83566" w:rsidRDefault="00C83566" w:rsidP="0005403F">
            <w:pPr>
              <w:pStyle w:val="Sansinterligne"/>
              <w:jc w:val="center"/>
            </w:pPr>
            <w:r>
              <w:t>Trouble de l’usage</w:t>
            </w:r>
            <w:r w:rsidR="00EB0A9B">
              <w:t xml:space="preserve"> de l’alcool</w:t>
            </w:r>
          </w:p>
        </w:tc>
        <w:tc>
          <w:tcPr>
            <w:tcW w:w="4472" w:type="dxa"/>
            <w:gridSpan w:val="3"/>
            <w:vAlign w:val="center"/>
          </w:tcPr>
          <w:p w:rsidR="00C83566" w:rsidRPr="00C83566" w:rsidRDefault="00946D0E" w:rsidP="00B85C9D">
            <w:pPr>
              <w:pStyle w:val="Sansinterligne"/>
              <w:jc w:val="center"/>
            </w:pPr>
            <w:r>
              <w:t>Voir critères de trouble d’usage</w:t>
            </w:r>
          </w:p>
        </w:tc>
        <w:tc>
          <w:tcPr>
            <w:tcW w:w="3885" w:type="dxa"/>
            <w:vAlign w:val="center"/>
          </w:tcPr>
          <w:p w:rsidR="00C83566" w:rsidRDefault="00DF6D21" w:rsidP="00847867">
            <w:pPr>
              <w:pStyle w:val="Sansinterligne"/>
              <w:numPr>
                <w:ilvl w:val="0"/>
                <w:numId w:val="664"/>
              </w:numPr>
            </w:pPr>
            <w:r>
              <w:t>Psychothérapie motivationnelle, TCC, conjugale/familiale</w:t>
            </w:r>
          </w:p>
          <w:p w:rsidR="00DF6D21" w:rsidRDefault="00DF6D21" w:rsidP="00847867">
            <w:pPr>
              <w:pStyle w:val="Sansinterligne"/>
              <w:numPr>
                <w:ilvl w:val="0"/>
                <w:numId w:val="664"/>
              </w:numPr>
            </w:pPr>
            <w:r>
              <w:t>Centre de désintoxication</w:t>
            </w:r>
          </w:p>
          <w:p w:rsidR="00DF6D21" w:rsidRDefault="00DF6D21" w:rsidP="00847867">
            <w:pPr>
              <w:pStyle w:val="Sansinterligne"/>
              <w:numPr>
                <w:ilvl w:val="0"/>
                <w:numId w:val="664"/>
              </w:numPr>
            </w:pPr>
            <w:r>
              <w:t>Support : Alcooliques Anonymes</w:t>
            </w:r>
          </w:p>
          <w:p w:rsidR="00DF6D21" w:rsidRPr="00DF6D21" w:rsidRDefault="00DF6D21" w:rsidP="00847867">
            <w:pPr>
              <w:pStyle w:val="Sansinterligne"/>
              <w:numPr>
                <w:ilvl w:val="0"/>
                <w:numId w:val="664"/>
              </w:numPr>
              <w:rPr>
                <w:lang w:val="en-CA"/>
              </w:rPr>
            </w:pPr>
            <w:r w:rsidRPr="00DF6D21">
              <w:rPr>
                <w:lang w:val="en-CA"/>
              </w:rPr>
              <w:t>Naltrexone</w:t>
            </w:r>
          </w:p>
          <w:p w:rsidR="00DF6D21" w:rsidRPr="00DF6D21" w:rsidRDefault="00DF6D21" w:rsidP="00847867">
            <w:pPr>
              <w:pStyle w:val="Sansinterligne"/>
              <w:numPr>
                <w:ilvl w:val="0"/>
                <w:numId w:val="664"/>
              </w:numPr>
              <w:rPr>
                <w:lang w:val="en-CA"/>
              </w:rPr>
            </w:pPr>
            <w:r w:rsidRPr="00DF6D21">
              <w:rPr>
                <w:lang w:val="en-CA"/>
              </w:rPr>
              <w:t>Disulfiram (Antabuse)</w:t>
            </w:r>
          </w:p>
          <w:p w:rsidR="00DF6D21" w:rsidRPr="00DF6D21" w:rsidRDefault="00DF6D21" w:rsidP="00847867">
            <w:pPr>
              <w:pStyle w:val="Sansinterligne"/>
              <w:numPr>
                <w:ilvl w:val="0"/>
                <w:numId w:val="664"/>
              </w:numPr>
              <w:rPr>
                <w:lang w:val="en-CA"/>
              </w:rPr>
            </w:pPr>
            <w:r w:rsidRPr="00DF6D21">
              <w:rPr>
                <w:lang w:val="en-CA"/>
              </w:rPr>
              <w:t>Acamprosate</w:t>
            </w:r>
          </w:p>
        </w:tc>
      </w:tr>
      <w:tr w:rsidR="00687A47" w:rsidRPr="00C83566" w:rsidTr="00342EA3">
        <w:tc>
          <w:tcPr>
            <w:tcW w:w="2659" w:type="dxa"/>
            <w:shd w:val="clear" w:color="auto" w:fill="FFFF00"/>
            <w:vAlign w:val="center"/>
          </w:tcPr>
          <w:p w:rsidR="00687A47" w:rsidRPr="00310A0A" w:rsidRDefault="00687A47" w:rsidP="0005403F">
            <w:pPr>
              <w:pStyle w:val="Sansinterligne"/>
              <w:jc w:val="center"/>
              <w:rPr>
                <w:b/>
              </w:rPr>
            </w:pPr>
            <w:r w:rsidRPr="00310A0A">
              <w:rPr>
                <w:b/>
              </w:rPr>
              <w:t>Intoxication à l’alcool</w:t>
            </w:r>
          </w:p>
        </w:tc>
        <w:tc>
          <w:tcPr>
            <w:tcW w:w="2236" w:type="dxa"/>
            <w:tcBorders>
              <w:right w:val="single" w:sz="4" w:space="0" w:color="FFFF00"/>
            </w:tcBorders>
            <w:shd w:val="clear" w:color="auto" w:fill="FFFF00"/>
          </w:tcPr>
          <w:p w:rsidR="00687A47" w:rsidRDefault="00687A47" w:rsidP="00847867">
            <w:pPr>
              <w:pStyle w:val="Sansinterligne"/>
              <w:numPr>
                <w:ilvl w:val="0"/>
                <w:numId w:val="675"/>
              </w:numPr>
            </w:pPr>
            <w:r>
              <w:t>Discours bredouillants</w:t>
            </w:r>
          </w:p>
          <w:p w:rsidR="00687A47" w:rsidRDefault="00342EA3" w:rsidP="00847867">
            <w:pPr>
              <w:pStyle w:val="Sansinterligne"/>
              <w:numPr>
                <w:ilvl w:val="0"/>
                <w:numId w:val="675"/>
              </w:numPr>
            </w:pPr>
            <w:r>
              <w:t xml:space="preserve">Altération de la mémoire / de l’attention </w:t>
            </w:r>
            <w:r w:rsidR="00687A47">
              <w:t>Incoordination motrice</w:t>
            </w:r>
          </w:p>
          <w:p w:rsidR="00687A47" w:rsidRDefault="00687A47" w:rsidP="00847867">
            <w:pPr>
              <w:pStyle w:val="Sansinterligne"/>
              <w:numPr>
                <w:ilvl w:val="0"/>
                <w:numId w:val="675"/>
              </w:numPr>
            </w:pPr>
            <w:r>
              <w:t>Démarche ébrieuse</w:t>
            </w:r>
          </w:p>
        </w:tc>
        <w:tc>
          <w:tcPr>
            <w:tcW w:w="2236" w:type="dxa"/>
            <w:gridSpan w:val="2"/>
            <w:tcBorders>
              <w:left w:val="single" w:sz="4" w:space="0" w:color="FFFF00"/>
            </w:tcBorders>
            <w:shd w:val="clear" w:color="auto" w:fill="FFFF00"/>
          </w:tcPr>
          <w:p w:rsidR="00342EA3" w:rsidRDefault="00342EA3" w:rsidP="00847867">
            <w:pPr>
              <w:pStyle w:val="Sansinterligne"/>
              <w:numPr>
                <w:ilvl w:val="0"/>
                <w:numId w:val="675"/>
              </w:numPr>
            </w:pPr>
            <w:r>
              <w:t>Nystagmus</w:t>
            </w:r>
          </w:p>
          <w:p w:rsidR="00687A47" w:rsidRDefault="00687A47" w:rsidP="00847867">
            <w:pPr>
              <w:pStyle w:val="Sansinterligne"/>
              <w:numPr>
                <w:ilvl w:val="0"/>
                <w:numId w:val="675"/>
              </w:numPr>
            </w:pPr>
            <w:r>
              <w:t>Stupeur ou coma</w:t>
            </w:r>
          </w:p>
          <w:p w:rsidR="00687A47" w:rsidRPr="00C83566" w:rsidRDefault="00687A47" w:rsidP="00847867">
            <w:pPr>
              <w:pStyle w:val="Sansinterligne"/>
              <w:numPr>
                <w:ilvl w:val="0"/>
                <w:numId w:val="675"/>
              </w:numPr>
            </w:pPr>
            <w:r>
              <w:t>Changements psychologiques ou comportementaux problématiques</w:t>
            </w:r>
          </w:p>
        </w:tc>
        <w:tc>
          <w:tcPr>
            <w:tcW w:w="3885" w:type="dxa"/>
            <w:shd w:val="clear" w:color="auto" w:fill="FFFF00"/>
          </w:tcPr>
          <w:p w:rsidR="00687A47" w:rsidRDefault="00687A47" w:rsidP="00BD4F12">
            <w:pPr>
              <w:pStyle w:val="Sansinterligne"/>
              <w:ind w:left="360"/>
            </w:pPr>
          </w:p>
          <w:p w:rsidR="00687A47" w:rsidRDefault="00687A47" w:rsidP="00847867">
            <w:pPr>
              <w:pStyle w:val="Sansinterligne"/>
              <w:numPr>
                <w:ilvl w:val="0"/>
                <w:numId w:val="665"/>
              </w:numPr>
            </w:pPr>
            <w:r>
              <w:t>Dégrisement</w:t>
            </w:r>
          </w:p>
          <w:p w:rsidR="00687A47" w:rsidRDefault="00687A47" w:rsidP="00847867">
            <w:pPr>
              <w:pStyle w:val="Sansinterligne"/>
              <w:numPr>
                <w:ilvl w:val="0"/>
                <w:numId w:val="665"/>
              </w:numPr>
            </w:pPr>
            <w:r>
              <w:t xml:space="preserve">Surveillance de l’état respiratoire et de conscience (protection des voies respiratoires) </w:t>
            </w:r>
          </w:p>
          <w:p w:rsidR="00687A47" w:rsidRPr="00C83566" w:rsidRDefault="00687A47" w:rsidP="00847867">
            <w:pPr>
              <w:pStyle w:val="Sansinterligne"/>
              <w:numPr>
                <w:ilvl w:val="0"/>
                <w:numId w:val="665"/>
              </w:numPr>
            </w:pPr>
            <w:r>
              <w:t>Réanimation si coma</w:t>
            </w:r>
          </w:p>
        </w:tc>
      </w:tr>
      <w:tr w:rsidR="00C83566" w:rsidRPr="00C83566" w:rsidTr="00E12FA3">
        <w:tc>
          <w:tcPr>
            <w:tcW w:w="2659" w:type="dxa"/>
            <w:vAlign w:val="center"/>
          </w:tcPr>
          <w:p w:rsidR="00C83566" w:rsidRPr="00C83566" w:rsidRDefault="00C83566" w:rsidP="00F31BBD">
            <w:pPr>
              <w:pStyle w:val="Sansinterligne"/>
              <w:jc w:val="center"/>
            </w:pPr>
            <w:r>
              <w:t>Synd</w:t>
            </w:r>
            <w:r w:rsidR="00F31BBD">
              <w:t xml:space="preserve">. </w:t>
            </w:r>
            <w:r>
              <w:t>Wernicke-Korsakoff</w:t>
            </w:r>
          </w:p>
        </w:tc>
        <w:tc>
          <w:tcPr>
            <w:tcW w:w="8357" w:type="dxa"/>
            <w:gridSpan w:val="4"/>
          </w:tcPr>
          <w:p w:rsidR="00C83566" w:rsidRPr="00C83566" w:rsidRDefault="00C83566" w:rsidP="00FC710B">
            <w:pPr>
              <w:pStyle w:val="Sansinterligne"/>
              <w:jc w:val="center"/>
            </w:pPr>
            <w:r>
              <w:t xml:space="preserve">Voir </w:t>
            </w:r>
            <w:r w:rsidRPr="00C83566">
              <w:rPr>
                <w:i/>
              </w:rPr>
              <w:t>Troubles neurocognitifs CMC 58-3</w:t>
            </w:r>
          </w:p>
        </w:tc>
      </w:tr>
      <w:tr w:rsidR="00EB0A9B" w:rsidRPr="00C83566" w:rsidTr="002479F6">
        <w:tc>
          <w:tcPr>
            <w:tcW w:w="11016" w:type="dxa"/>
            <w:gridSpan w:val="5"/>
            <w:shd w:val="clear" w:color="auto" w:fill="9BBB59" w:themeFill="accent3"/>
            <w:vAlign w:val="center"/>
          </w:tcPr>
          <w:p w:rsidR="00EB0A9B" w:rsidRDefault="00EB0A9B" w:rsidP="0005403F">
            <w:pPr>
              <w:pStyle w:val="Sansinterligne"/>
              <w:jc w:val="center"/>
            </w:pPr>
            <w:r>
              <w:t>Opiacés</w:t>
            </w:r>
          </w:p>
        </w:tc>
      </w:tr>
      <w:tr w:rsidR="00F63289" w:rsidRPr="00C83566" w:rsidTr="00E12FA3">
        <w:tc>
          <w:tcPr>
            <w:tcW w:w="2659" w:type="dxa"/>
            <w:vAlign w:val="center"/>
          </w:tcPr>
          <w:p w:rsidR="002908C7" w:rsidRDefault="002908C7" w:rsidP="0005403F">
            <w:pPr>
              <w:pStyle w:val="Sansinterligne"/>
              <w:jc w:val="center"/>
            </w:pPr>
            <w:r>
              <w:t>Trouble de l’usage des opiacés</w:t>
            </w:r>
          </w:p>
        </w:tc>
        <w:tc>
          <w:tcPr>
            <w:tcW w:w="4472" w:type="dxa"/>
            <w:gridSpan w:val="3"/>
            <w:vAlign w:val="center"/>
          </w:tcPr>
          <w:p w:rsidR="002908C7" w:rsidRDefault="00946D0E" w:rsidP="00B85C9D">
            <w:pPr>
              <w:pStyle w:val="Sansinterligne"/>
              <w:jc w:val="center"/>
            </w:pPr>
            <w:r>
              <w:t>Voir critères de trouble d’usage</w:t>
            </w:r>
          </w:p>
        </w:tc>
        <w:tc>
          <w:tcPr>
            <w:tcW w:w="3885" w:type="dxa"/>
          </w:tcPr>
          <w:p w:rsidR="002908C7" w:rsidRDefault="002C3907" w:rsidP="00847867">
            <w:pPr>
              <w:pStyle w:val="Sansinterligne"/>
              <w:numPr>
                <w:ilvl w:val="0"/>
                <w:numId w:val="667"/>
              </w:numPr>
            </w:pPr>
            <w:r>
              <w:t>Abstinence</w:t>
            </w:r>
          </w:p>
          <w:p w:rsidR="002C3907" w:rsidRDefault="002C3907" w:rsidP="00847867">
            <w:pPr>
              <w:pStyle w:val="Sansinterligne"/>
              <w:numPr>
                <w:ilvl w:val="0"/>
                <w:numId w:val="667"/>
              </w:numPr>
            </w:pPr>
            <w:r>
              <w:t>Naltrexone / Naloxone</w:t>
            </w:r>
          </w:p>
          <w:p w:rsidR="002C3907" w:rsidRDefault="002C3907" w:rsidP="00847867">
            <w:pPr>
              <w:pStyle w:val="Sansinterligne"/>
              <w:numPr>
                <w:ilvl w:val="0"/>
                <w:numId w:val="667"/>
              </w:numPr>
            </w:pPr>
            <w:r>
              <w:t>Traitement de maintenant à la méthadone</w:t>
            </w:r>
          </w:p>
        </w:tc>
      </w:tr>
      <w:tr w:rsidR="00F10D5C" w:rsidRPr="00C83566" w:rsidTr="00E12FA3">
        <w:tc>
          <w:tcPr>
            <w:tcW w:w="2659" w:type="dxa"/>
            <w:shd w:val="clear" w:color="auto" w:fill="FFFF00"/>
            <w:vAlign w:val="center"/>
          </w:tcPr>
          <w:p w:rsidR="00E12FA3" w:rsidRPr="00310A0A" w:rsidRDefault="00E12FA3" w:rsidP="0005403F">
            <w:pPr>
              <w:pStyle w:val="Sansinterligne"/>
              <w:jc w:val="center"/>
              <w:rPr>
                <w:b/>
              </w:rPr>
            </w:pPr>
            <w:r w:rsidRPr="00310A0A">
              <w:rPr>
                <w:b/>
              </w:rPr>
              <w:t>Intoxication aux opiacés</w:t>
            </w:r>
          </w:p>
        </w:tc>
        <w:tc>
          <w:tcPr>
            <w:tcW w:w="2275" w:type="dxa"/>
            <w:gridSpan w:val="2"/>
            <w:tcBorders>
              <w:right w:val="single" w:sz="4" w:space="0" w:color="FFFF00"/>
            </w:tcBorders>
            <w:shd w:val="clear" w:color="auto" w:fill="FFFF00"/>
          </w:tcPr>
          <w:p w:rsidR="00E12FA3" w:rsidRDefault="00E12FA3" w:rsidP="00847867">
            <w:pPr>
              <w:pStyle w:val="Sansinterligne"/>
              <w:numPr>
                <w:ilvl w:val="0"/>
                <w:numId w:val="667"/>
              </w:numPr>
            </w:pPr>
            <w:r>
              <w:rPr>
                <w:rFonts w:cs="Times New Roman"/>
              </w:rPr>
              <w:t>↓</w:t>
            </w:r>
            <w:r>
              <w:t xml:space="preserve"> perception de la douleur</w:t>
            </w:r>
          </w:p>
          <w:p w:rsidR="00E12FA3" w:rsidRDefault="00E12FA3" w:rsidP="00847867">
            <w:pPr>
              <w:pStyle w:val="Sansinterligne"/>
              <w:numPr>
                <w:ilvl w:val="0"/>
                <w:numId w:val="667"/>
              </w:numPr>
            </w:pPr>
            <w:r>
              <w:rPr>
                <w:rFonts w:cs="Times New Roman"/>
              </w:rPr>
              <w:t>↓</w:t>
            </w:r>
            <w:r>
              <w:t xml:space="preserve"> désir sexuel</w:t>
            </w:r>
          </w:p>
          <w:p w:rsidR="00E12FA3" w:rsidRDefault="00E12FA3" w:rsidP="00847867">
            <w:pPr>
              <w:pStyle w:val="Sansinterligne"/>
              <w:numPr>
                <w:ilvl w:val="0"/>
                <w:numId w:val="667"/>
              </w:numPr>
            </w:pPr>
            <w:r>
              <w:t>No/Vo</w:t>
            </w:r>
          </w:p>
          <w:p w:rsidR="00E12FA3" w:rsidRDefault="00E12FA3" w:rsidP="00847867">
            <w:pPr>
              <w:pStyle w:val="Sansinterligne"/>
              <w:numPr>
                <w:ilvl w:val="0"/>
                <w:numId w:val="667"/>
              </w:numPr>
            </w:pPr>
            <w:r>
              <w:t>Constipation</w:t>
            </w:r>
          </w:p>
          <w:p w:rsidR="00E12FA3" w:rsidRDefault="00E12FA3" w:rsidP="00847867">
            <w:pPr>
              <w:pStyle w:val="Sansinterligne"/>
              <w:numPr>
                <w:ilvl w:val="0"/>
                <w:numId w:val="667"/>
              </w:numPr>
            </w:pPr>
            <w:r>
              <w:t>Anorexie</w:t>
            </w:r>
          </w:p>
          <w:p w:rsidR="00E12FA3" w:rsidRDefault="00E12FA3" w:rsidP="00847867">
            <w:pPr>
              <w:pStyle w:val="Sansinterligne"/>
              <w:numPr>
                <w:ilvl w:val="0"/>
                <w:numId w:val="667"/>
              </w:numPr>
            </w:pPr>
            <w:r>
              <w:t>Sédation</w:t>
            </w:r>
          </w:p>
        </w:tc>
        <w:tc>
          <w:tcPr>
            <w:tcW w:w="2197" w:type="dxa"/>
            <w:tcBorders>
              <w:left w:val="single" w:sz="4" w:space="0" w:color="FFFF00"/>
            </w:tcBorders>
            <w:shd w:val="clear" w:color="auto" w:fill="FFFF00"/>
          </w:tcPr>
          <w:p w:rsidR="00E12FA3" w:rsidRDefault="00E12FA3" w:rsidP="00847867">
            <w:pPr>
              <w:pStyle w:val="Sansinterligne"/>
              <w:numPr>
                <w:ilvl w:val="0"/>
                <w:numId w:val="667"/>
              </w:numPr>
            </w:pPr>
            <w:r>
              <w:t>Dépression respiratoire</w:t>
            </w:r>
          </w:p>
          <w:p w:rsidR="00E12FA3" w:rsidRDefault="00E12FA3" w:rsidP="00847867">
            <w:pPr>
              <w:pStyle w:val="Sansinterligne"/>
              <w:numPr>
                <w:ilvl w:val="0"/>
                <w:numId w:val="667"/>
              </w:numPr>
            </w:pPr>
            <w:r>
              <w:t>Myosis</w:t>
            </w:r>
          </w:p>
          <w:p w:rsidR="00E12FA3" w:rsidRDefault="00E12FA3" w:rsidP="00847867">
            <w:pPr>
              <w:pStyle w:val="Sansinterligne"/>
              <w:numPr>
                <w:ilvl w:val="0"/>
                <w:numId w:val="667"/>
              </w:numPr>
            </w:pPr>
            <w:r>
              <w:t>Bradycardie</w:t>
            </w:r>
          </w:p>
          <w:p w:rsidR="00E12FA3" w:rsidRDefault="00E12FA3" w:rsidP="00847867">
            <w:pPr>
              <w:pStyle w:val="Sansinterligne"/>
              <w:numPr>
                <w:ilvl w:val="0"/>
                <w:numId w:val="667"/>
              </w:numPr>
            </w:pPr>
            <w:r>
              <w:t>Hypothermie</w:t>
            </w:r>
          </w:p>
        </w:tc>
        <w:tc>
          <w:tcPr>
            <w:tcW w:w="3885" w:type="dxa"/>
            <w:shd w:val="clear" w:color="auto" w:fill="FFFF00"/>
          </w:tcPr>
          <w:p w:rsidR="00E12FA3" w:rsidRDefault="00E12FA3" w:rsidP="00847867">
            <w:pPr>
              <w:pStyle w:val="Sansinterligne"/>
              <w:numPr>
                <w:ilvl w:val="0"/>
                <w:numId w:val="666"/>
              </w:numPr>
            </w:pPr>
            <w:r>
              <w:t>ABC</w:t>
            </w:r>
          </w:p>
          <w:p w:rsidR="00E12FA3" w:rsidRPr="0080578A" w:rsidRDefault="00E12FA3" w:rsidP="00847867">
            <w:pPr>
              <w:pStyle w:val="Sansinterligne"/>
              <w:numPr>
                <w:ilvl w:val="0"/>
                <w:numId w:val="666"/>
              </w:numPr>
              <w:rPr>
                <w:b/>
              </w:rPr>
            </w:pPr>
            <w:r w:rsidRPr="0080578A">
              <w:rPr>
                <w:b/>
              </w:rPr>
              <w:t xml:space="preserve">Naloxone 0,4-2 mg IV </w:t>
            </w:r>
            <w:r>
              <w:rPr>
                <w:b/>
              </w:rPr>
              <w:t xml:space="preserve">         (Répéter PRN)</w:t>
            </w:r>
          </w:p>
          <w:p w:rsidR="00E12FA3" w:rsidRDefault="00E12FA3" w:rsidP="00847867">
            <w:pPr>
              <w:pStyle w:val="Sansinterligne"/>
              <w:numPr>
                <w:ilvl w:val="0"/>
                <w:numId w:val="666"/>
              </w:numPr>
            </w:pPr>
            <w:r>
              <w:t>Intubation PRN</w:t>
            </w:r>
          </w:p>
          <w:p w:rsidR="00E12FA3" w:rsidRDefault="00E12FA3" w:rsidP="00847867">
            <w:pPr>
              <w:pStyle w:val="Sansinterligne"/>
              <w:numPr>
                <w:ilvl w:val="0"/>
                <w:numId w:val="666"/>
              </w:numPr>
            </w:pPr>
            <w:r>
              <w:t>Dextrose IV</w:t>
            </w:r>
          </w:p>
        </w:tc>
      </w:tr>
      <w:tr w:rsidR="002908C7" w:rsidRPr="00C83566" w:rsidTr="002479F6">
        <w:tc>
          <w:tcPr>
            <w:tcW w:w="11016" w:type="dxa"/>
            <w:gridSpan w:val="5"/>
            <w:shd w:val="clear" w:color="auto" w:fill="9BBB59" w:themeFill="accent3"/>
            <w:vAlign w:val="center"/>
          </w:tcPr>
          <w:p w:rsidR="002908C7" w:rsidRDefault="002908C7" w:rsidP="0005403F">
            <w:pPr>
              <w:pStyle w:val="Sansinterligne"/>
              <w:jc w:val="center"/>
            </w:pPr>
            <w:r>
              <w:t>Cannabis</w:t>
            </w:r>
          </w:p>
        </w:tc>
      </w:tr>
      <w:tr w:rsidR="00F63289" w:rsidRPr="00C83566" w:rsidTr="00E12FA3">
        <w:tc>
          <w:tcPr>
            <w:tcW w:w="2659" w:type="dxa"/>
            <w:vAlign w:val="center"/>
          </w:tcPr>
          <w:p w:rsidR="002908C7" w:rsidRDefault="002908C7" w:rsidP="0005403F">
            <w:pPr>
              <w:pStyle w:val="Sansinterligne"/>
              <w:jc w:val="center"/>
            </w:pPr>
            <w:r>
              <w:t>Trouble de l’usage du cannabis</w:t>
            </w:r>
          </w:p>
        </w:tc>
        <w:tc>
          <w:tcPr>
            <w:tcW w:w="4472" w:type="dxa"/>
            <w:gridSpan w:val="3"/>
            <w:vAlign w:val="center"/>
          </w:tcPr>
          <w:p w:rsidR="002908C7" w:rsidRDefault="00946D0E" w:rsidP="00B85C9D">
            <w:pPr>
              <w:pStyle w:val="Sansinterligne"/>
              <w:jc w:val="center"/>
            </w:pPr>
            <w:r>
              <w:t>Voir critères de trouble d’usage</w:t>
            </w:r>
          </w:p>
        </w:tc>
        <w:tc>
          <w:tcPr>
            <w:tcW w:w="3885" w:type="dxa"/>
          </w:tcPr>
          <w:p w:rsidR="002908C7" w:rsidRDefault="00973B86" w:rsidP="00847867">
            <w:pPr>
              <w:pStyle w:val="Sansinterligne"/>
              <w:numPr>
                <w:ilvl w:val="0"/>
                <w:numId w:val="668"/>
              </w:numPr>
            </w:pPr>
            <w:r>
              <w:t>Intervention psychosociale pour maintenir l’abstinence</w:t>
            </w:r>
          </w:p>
        </w:tc>
      </w:tr>
      <w:tr w:rsidR="00F10D5C" w:rsidRPr="00C83566" w:rsidTr="00E12FA3">
        <w:tc>
          <w:tcPr>
            <w:tcW w:w="2659" w:type="dxa"/>
            <w:shd w:val="clear" w:color="auto" w:fill="FFFF00"/>
            <w:vAlign w:val="center"/>
          </w:tcPr>
          <w:p w:rsidR="00E12FA3" w:rsidRPr="00310A0A" w:rsidRDefault="00E12FA3" w:rsidP="0005403F">
            <w:pPr>
              <w:pStyle w:val="Sansinterligne"/>
              <w:jc w:val="center"/>
              <w:rPr>
                <w:b/>
              </w:rPr>
            </w:pPr>
            <w:r w:rsidRPr="00310A0A">
              <w:rPr>
                <w:b/>
              </w:rPr>
              <w:t>Intoxication au cannabis</w:t>
            </w:r>
          </w:p>
        </w:tc>
        <w:tc>
          <w:tcPr>
            <w:tcW w:w="2275" w:type="dxa"/>
            <w:gridSpan w:val="2"/>
            <w:tcBorders>
              <w:right w:val="single" w:sz="4" w:space="0" w:color="FFFF00"/>
            </w:tcBorders>
            <w:shd w:val="clear" w:color="auto" w:fill="FFFF00"/>
          </w:tcPr>
          <w:p w:rsidR="00E12FA3" w:rsidRDefault="00E12FA3" w:rsidP="00847867">
            <w:pPr>
              <w:pStyle w:val="Sansinterligne"/>
              <w:numPr>
                <w:ilvl w:val="0"/>
                <w:numId w:val="668"/>
              </w:numPr>
            </w:pPr>
            <w:r>
              <w:t>Appétit augmenté</w:t>
            </w:r>
          </w:p>
          <w:p w:rsidR="00E12FA3" w:rsidRDefault="00E12FA3" w:rsidP="00847867">
            <w:pPr>
              <w:pStyle w:val="Sansinterligne"/>
              <w:numPr>
                <w:ilvl w:val="0"/>
                <w:numId w:val="668"/>
              </w:numPr>
            </w:pPr>
            <w:r>
              <w:t>Euphorie / Sensation bien-être</w:t>
            </w:r>
          </w:p>
          <w:p w:rsidR="00E12FA3" w:rsidRDefault="00E12FA3" w:rsidP="00847867">
            <w:pPr>
              <w:pStyle w:val="Sansinterligne"/>
              <w:numPr>
                <w:ilvl w:val="0"/>
                <w:numId w:val="668"/>
              </w:numPr>
            </w:pPr>
            <w:r>
              <w:t>Altération de la perception</w:t>
            </w:r>
          </w:p>
          <w:p w:rsidR="00E12FA3" w:rsidRDefault="00E12FA3" w:rsidP="00847867">
            <w:pPr>
              <w:pStyle w:val="Sansinterligne"/>
              <w:numPr>
                <w:ilvl w:val="0"/>
                <w:numId w:val="668"/>
              </w:numPr>
            </w:pPr>
            <w:r>
              <w:t>Dépersonnalisation</w:t>
            </w:r>
          </w:p>
          <w:p w:rsidR="00E12FA3" w:rsidRDefault="00E12FA3" w:rsidP="00847867">
            <w:pPr>
              <w:pStyle w:val="Sansinterligne"/>
              <w:numPr>
                <w:ilvl w:val="0"/>
                <w:numId w:val="668"/>
              </w:numPr>
            </w:pPr>
            <w:r>
              <w:t>Paranoïa</w:t>
            </w:r>
          </w:p>
          <w:p w:rsidR="00E12FA3" w:rsidRDefault="00E12FA3" w:rsidP="00847867">
            <w:pPr>
              <w:pStyle w:val="Sansinterligne"/>
              <w:numPr>
                <w:ilvl w:val="0"/>
                <w:numId w:val="668"/>
              </w:numPr>
            </w:pPr>
            <w:r>
              <w:t xml:space="preserve">Anxiété </w:t>
            </w:r>
          </w:p>
        </w:tc>
        <w:tc>
          <w:tcPr>
            <w:tcW w:w="2197" w:type="dxa"/>
            <w:tcBorders>
              <w:left w:val="single" w:sz="4" w:space="0" w:color="FFFF00"/>
            </w:tcBorders>
            <w:shd w:val="clear" w:color="auto" w:fill="FFFF00"/>
          </w:tcPr>
          <w:p w:rsidR="00E12FA3" w:rsidRDefault="00E12FA3" w:rsidP="00847867">
            <w:pPr>
              <w:pStyle w:val="Sansinterligne"/>
              <w:numPr>
                <w:ilvl w:val="0"/>
                <w:numId w:val="668"/>
              </w:numPr>
            </w:pPr>
            <w:r>
              <w:t>Relaxation musculaire</w:t>
            </w:r>
          </w:p>
          <w:p w:rsidR="00E12FA3" w:rsidRDefault="00E12FA3" w:rsidP="00847867">
            <w:pPr>
              <w:pStyle w:val="Sansinterligne"/>
              <w:numPr>
                <w:ilvl w:val="0"/>
                <w:numId w:val="668"/>
              </w:numPr>
            </w:pPr>
            <w:r>
              <w:t>Tachycardie</w:t>
            </w:r>
          </w:p>
          <w:p w:rsidR="00E12FA3" w:rsidRDefault="00E12FA3" w:rsidP="00847867">
            <w:pPr>
              <w:pStyle w:val="Sansinterligne"/>
              <w:numPr>
                <w:ilvl w:val="0"/>
                <w:numId w:val="668"/>
              </w:numPr>
            </w:pPr>
            <w:r>
              <w:t>Érythème conjonctival</w:t>
            </w:r>
          </w:p>
          <w:p w:rsidR="00E12FA3" w:rsidRDefault="00E12FA3" w:rsidP="00847867">
            <w:pPr>
              <w:pStyle w:val="Sansinterligne"/>
              <w:numPr>
                <w:ilvl w:val="0"/>
                <w:numId w:val="668"/>
              </w:numPr>
            </w:pPr>
            <w:r>
              <w:t>Xérostomie</w:t>
            </w:r>
          </w:p>
          <w:p w:rsidR="00E12FA3" w:rsidRDefault="00E12FA3" w:rsidP="00847867">
            <w:pPr>
              <w:pStyle w:val="Sansinterligne"/>
              <w:numPr>
                <w:ilvl w:val="0"/>
                <w:numId w:val="668"/>
              </w:numPr>
            </w:pPr>
            <w:r>
              <w:t>Odeur caractéristique</w:t>
            </w:r>
          </w:p>
        </w:tc>
        <w:tc>
          <w:tcPr>
            <w:tcW w:w="3885" w:type="dxa"/>
            <w:shd w:val="clear" w:color="auto" w:fill="FFFF00"/>
          </w:tcPr>
          <w:p w:rsidR="00E12FA3" w:rsidRDefault="00E12FA3" w:rsidP="00847867">
            <w:pPr>
              <w:pStyle w:val="Sansinterligne"/>
              <w:numPr>
                <w:ilvl w:val="0"/>
                <w:numId w:val="669"/>
              </w:numPr>
            </w:pPr>
            <w:r>
              <w:t>Expectative</w:t>
            </w:r>
          </w:p>
          <w:p w:rsidR="00E12FA3" w:rsidRDefault="00E12FA3" w:rsidP="00847867">
            <w:pPr>
              <w:pStyle w:val="Sansinterligne"/>
              <w:numPr>
                <w:ilvl w:val="0"/>
                <w:numId w:val="669"/>
              </w:numPr>
            </w:pPr>
            <w:r>
              <w:t>Réanimation PRN</w:t>
            </w:r>
          </w:p>
          <w:p w:rsidR="00E12FA3" w:rsidRDefault="004B464D" w:rsidP="00847867">
            <w:pPr>
              <w:pStyle w:val="Sansinterligne"/>
              <w:numPr>
                <w:ilvl w:val="0"/>
                <w:numId w:val="669"/>
              </w:numPr>
            </w:pPr>
            <w:r>
              <w:rPr>
                <w:noProof/>
                <w:lang w:eastAsia="fr-CA"/>
              </w:rPr>
              <w:drawing>
                <wp:anchor distT="0" distB="0" distL="114300" distR="114300" simplePos="0" relativeHeight="251850752" behindDoc="0" locked="0" layoutInCell="1" allowOverlap="1" wp14:anchorId="514E5BA7" wp14:editId="461EF799">
                  <wp:simplePos x="0" y="0"/>
                  <wp:positionH relativeFrom="column">
                    <wp:posOffset>549613</wp:posOffset>
                  </wp:positionH>
                  <wp:positionV relativeFrom="paragraph">
                    <wp:posOffset>161776</wp:posOffset>
                  </wp:positionV>
                  <wp:extent cx="1283970" cy="823595"/>
                  <wp:effectExtent l="0" t="0" r="0" b="0"/>
                  <wp:wrapNone/>
                  <wp:docPr id="364" name="Image 364" descr="Résultats de recherche d'images pour « tetra hydro cannabino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Résultats de recherche d'images pour « tetra hydro cannabinol »"/>
                          <pic:cNvPicPr>
                            <a:picLocks noChangeAspect="1" noChangeArrowheads="1"/>
                          </pic:cNvPicPr>
                        </pic:nvPicPr>
                        <pic:blipFill>
                          <a:blip r:embed="rId357">
                            <a:extLst>
                              <a:ext uri="{28A0092B-C50C-407E-A947-70E740481C1C}">
                                <a14:useLocalDpi xmlns:a14="http://schemas.microsoft.com/office/drawing/2010/main" val="0"/>
                              </a:ext>
                            </a:extLst>
                          </a:blip>
                          <a:srcRect/>
                          <a:stretch>
                            <a:fillRect/>
                          </a:stretch>
                        </pic:blipFill>
                        <pic:spPr bwMode="auto">
                          <a:xfrm>
                            <a:off x="0" y="0"/>
                            <a:ext cx="1283970" cy="823595"/>
                          </a:xfrm>
                          <a:prstGeom prst="rect">
                            <a:avLst/>
                          </a:prstGeom>
                          <a:noFill/>
                          <a:ln>
                            <a:noFill/>
                          </a:ln>
                        </pic:spPr>
                      </pic:pic>
                    </a:graphicData>
                  </a:graphic>
                  <wp14:sizeRelH relativeFrom="page">
                    <wp14:pctWidth>0</wp14:pctWidth>
                  </wp14:sizeRelH>
                  <wp14:sizeRelV relativeFrom="page">
                    <wp14:pctHeight>0</wp14:pctHeight>
                  </wp14:sizeRelV>
                </wp:anchor>
              </w:drawing>
            </w:r>
            <w:r w:rsidR="00E12FA3">
              <w:t>Anxiolytiques PRN si anxiété</w:t>
            </w:r>
          </w:p>
        </w:tc>
      </w:tr>
      <w:tr w:rsidR="002908C7" w:rsidRPr="00C83566" w:rsidTr="002479F6">
        <w:tc>
          <w:tcPr>
            <w:tcW w:w="11016" w:type="dxa"/>
            <w:gridSpan w:val="5"/>
            <w:shd w:val="clear" w:color="auto" w:fill="9BBB59" w:themeFill="accent3"/>
            <w:vAlign w:val="center"/>
          </w:tcPr>
          <w:p w:rsidR="002908C7" w:rsidRDefault="002908C7" w:rsidP="0005403F">
            <w:pPr>
              <w:pStyle w:val="Sansinterligne"/>
              <w:jc w:val="center"/>
            </w:pPr>
            <w:r>
              <w:t>Phencyclidine</w:t>
            </w:r>
            <w:r w:rsidR="001B3245">
              <w:t xml:space="preserve"> (PCP)</w:t>
            </w:r>
          </w:p>
        </w:tc>
      </w:tr>
      <w:tr w:rsidR="00F63289" w:rsidRPr="00C83566" w:rsidTr="00E12FA3">
        <w:tc>
          <w:tcPr>
            <w:tcW w:w="2659" w:type="dxa"/>
            <w:vAlign w:val="center"/>
          </w:tcPr>
          <w:p w:rsidR="002908C7" w:rsidRDefault="002908C7" w:rsidP="0005403F">
            <w:pPr>
              <w:pStyle w:val="Sansinterligne"/>
              <w:jc w:val="center"/>
            </w:pPr>
            <w:r>
              <w:t>Trouble de l’usage de la phencyclidine</w:t>
            </w:r>
          </w:p>
        </w:tc>
        <w:tc>
          <w:tcPr>
            <w:tcW w:w="4472" w:type="dxa"/>
            <w:gridSpan w:val="3"/>
            <w:vAlign w:val="center"/>
          </w:tcPr>
          <w:p w:rsidR="002908C7" w:rsidRDefault="00946D0E" w:rsidP="00B85C9D">
            <w:pPr>
              <w:pStyle w:val="Sansinterligne"/>
              <w:jc w:val="center"/>
            </w:pPr>
            <w:r>
              <w:t>Voir critères de trouble d’usage</w:t>
            </w:r>
          </w:p>
        </w:tc>
        <w:tc>
          <w:tcPr>
            <w:tcW w:w="3885" w:type="dxa"/>
          </w:tcPr>
          <w:p w:rsidR="004C09B2" w:rsidRDefault="004C09B2" w:rsidP="00847867">
            <w:pPr>
              <w:pStyle w:val="Sansinterligne"/>
              <w:numPr>
                <w:ilvl w:val="0"/>
                <w:numId w:val="671"/>
              </w:numPr>
            </w:pPr>
            <w:r>
              <w:t>Abstinence</w:t>
            </w:r>
          </w:p>
          <w:p w:rsidR="002908C7" w:rsidRDefault="004C09B2" w:rsidP="00847867">
            <w:pPr>
              <w:pStyle w:val="Sansinterligne"/>
              <w:numPr>
                <w:ilvl w:val="0"/>
                <w:numId w:val="671"/>
              </w:numPr>
            </w:pPr>
            <w:r>
              <w:t>Psychothérapie cognitive</w:t>
            </w:r>
          </w:p>
        </w:tc>
      </w:tr>
      <w:tr w:rsidR="00E12FA3" w:rsidRPr="00C83566" w:rsidTr="00E12FA3">
        <w:tc>
          <w:tcPr>
            <w:tcW w:w="2659" w:type="dxa"/>
            <w:vAlign w:val="center"/>
          </w:tcPr>
          <w:p w:rsidR="00E12FA3" w:rsidRDefault="00E12FA3" w:rsidP="0005403F">
            <w:pPr>
              <w:pStyle w:val="Sansinterligne"/>
              <w:jc w:val="center"/>
            </w:pPr>
            <w:r>
              <w:t>Intoxication à la phencyclidine</w:t>
            </w:r>
          </w:p>
        </w:tc>
        <w:tc>
          <w:tcPr>
            <w:tcW w:w="2236" w:type="dxa"/>
            <w:tcBorders>
              <w:right w:val="single" w:sz="4" w:space="0" w:color="FFFFFF" w:themeColor="background1"/>
            </w:tcBorders>
          </w:tcPr>
          <w:p w:rsidR="00E12FA3" w:rsidRDefault="00E12FA3" w:rsidP="00847867">
            <w:pPr>
              <w:pStyle w:val="Sansinterligne"/>
              <w:numPr>
                <w:ilvl w:val="0"/>
                <w:numId w:val="671"/>
              </w:numPr>
            </w:pPr>
            <w:r>
              <w:t>Tachycardie</w:t>
            </w:r>
          </w:p>
          <w:p w:rsidR="00E12FA3" w:rsidRDefault="00E12FA3" w:rsidP="00847867">
            <w:pPr>
              <w:pStyle w:val="Sansinterligne"/>
              <w:numPr>
                <w:ilvl w:val="0"/>
                <w:numId w:val="671"/>
              </w:numPr>
            </w:pPr>
            <w:r>
              <w:t>HyperTA</w:t>
            </w:r>
          </w:p>
          <w:p w:rsidR="00E12FA3" w:rsidRDefault="00E12FA3" w:rsidP="00847867">
            <w:pPr>
              <w:pStyle w:val="Sansinterligne"/>
              <w:numPr>
                <w:ilvl w:val="0"/>
                <w:numId w:val="671"/>
              </w:numPr>
            </w:pPr>
            <w:r>
              <w:t>Myosis</w:t>
            </w:r>
          </w:p>
          <w:p w:rsidR="00E12FA3" w:rsidRDefault="00E12FA3" w:rsidP="00847867">
            <w:pPr>
              <w:pStyle w:val="Sansinterligne"/>
              <w:numPr>
                <w:ilvl w:val="0"/>
                <w:numId w:val="671"/>
              </w:numPr>
            </w:pPr>
            <w:r>
              <w:t>Nystagmus</w:t>
            </w:r>
          </w:p>
          <w:p w:rsidR="00E12FA3" w:rsidRDefault="00923033" w:rsidP="00847867">
            <w:pPr>
              <w:pStyle w:val="Sansinterligne"/>
              <w:numPr>
                <w:ilvl w:val="0"/>
                <w:numId w:val="671"/>
              </w:numPr>
            </w:pPr>
            <w:r>
              <w:t>Rigidité muscu.</w:t>
            </w:r>
          </w:p>
        </w:tc>
        <w:tc>
          <w:tcPr>
            <w:tcW w:w="2236" w:type="dxa"/>
            <w:gridSpan w:val="2"/>
            <w:tcBorders>
              <w:left w:val="single" w:sz="4" w:space="0" w:color="FFFFFF" w:themeColor="background1"/>
            </w:tcBorders>
          </w:tcPr>
          <w:p w:rsidR="00E12FA3" w:rsidRDefault="00923033" w:rsidP="00847867">
            <w:pPr>
              <w:pStyle w:val="Sansinterligne"/>
              <w:numPr>
                <w:ilvl w:val="0"/>
                <w:numId w:val="671"/>
              </w:numPr>
            </w:pPr>
            <w:r>
              <w:t>Myoclonies</w:t>
            </w:r>
          </w:p>
          <w:p w:rsidR="00E12FA3" w:rsidRDefault="00E12FA3" w:rsidP="00847867">
            <w:pPr>
              <w:pStyle w:val="Sansinterligne"/>
              <w:numPr>
                <w:ilvl w:val="0"/>
                <w:numId w:val="671"/>
              </w:numPr>
            </w:pPr>
            <w:r>
              <w:t>Ataxie</w:t>
            </w:r>
          </w:p>
          <w:p w:rsidR="00E12FA3" w:rsidRDefault="00E12FA3" w:rsidP="00847867">
            <w:pPr>
              <w:pStyle w:val="Sansinterligne"/>
              <w:numPr>
                <w:ilvl w:val="0"/>
                <w:numId w:val="671"/>
              </w:numPr>
            </w:pPr>
            <w:r>
              <w:t>Psychose</w:t>
            </w:r>
          </w:p>
          <w:p w:rsidR="00E12FA3" w:rsidRDefault="00E12FA3" w:rsidP="00847867">
            <w:pPr>
              <w:pStyle w:val="Sansinterligne"/>
              <w:numPr>
                <w:ilvl w:val="0"/>
                <w:numId w:val="671"/>
              </w:numPr>
            </w:pPr>
            <w:r>
              <w:t>Léthargie</w:t>
            </w:r>
          </w:p>
          <w:p w:rsidR="00E12FA3" w:rsidRDefault="00E12FA3" w:rsidP="00847867">
            <w:pPr>
              <w:pStyle w:val="Sansinterligne"/>
              <w:numPr>
                <w:ilvl w:val="0"/>
                <w:numId w:val="671"/>
              </w:numPr>
            </w:pPr>
            <w:r w:rsidRPr="00B344AE">
              <w:rPr>
                <w:highlight w:val="yellow"/>
              </w:rPr>
              <w:t>Convulsions</w:t>
            </w:r>
            <w:r>
              <w:t xml:space="preserve"> </w:t>
            </w:r>
          </w:p>
        </w:tc>
        <w:tc>
          <w:tcPr>
            <w:tcW w:w="3885" w:type="dxa"/>
          </w:tcPr>
          <w:p w:rsidR="00E12FA3" w:rsidRDefault="00E12FA3" w:rsidP="00847867">
            <w:pPr>
              <w:pStyle w:val="Sansinterligne"/>
              <w:numPr>
                <w:ilvl w:val="0"/>
                <w:numId w:val="670"/>
              </w:numPr>
            </w:pPr>
            <w:r>
              <w:t>Traitement de support</w:t>
            </w:r>
          </w:p>
          <w:p w:rsidR="00E12FA3" w:rsidRDefault="00E12FA3" w:rsidP="00847867">
            <w:pPr>
              <w:pStyle w:val="Sansinterligne"/>
              <w:numPr>
                <w:ilvl w:val="0"/>
                <w:numId w:val="670"/>
              </w:numPr>
            </w:pPr>
            <w:r>
              <w:t>Benzodiazépines si agitation</w:t>
            </w:r>
          </w:p>
          <w:p w:rsidR="00E12FA3" w:rsidRDefault="00E12FA3" w:rsidP="00847867">
            <w:pPr>
              <w:pStyle w:val="Sansinterligne"/>
              <w:numPr>
                <w:ilvl w:val="0"/>
                <w:numId w:val="670"/>
              </w:numPr>
            </w:pPr>
            <w:r>
              <w:t>Lorazepam/Phénobarbital si convulsions</w:t>
            </w:r>
          </w:p>
          <w:p w:rsidR="00E12FA3" w:rsidRDefault="00E12FA3" w:rsidP="00847867">
            <w:pPr>
              <w:pStyle w:val="Sansinterligne"/>
              <w:numPr>
                <w:ilvl w:val="0"/>
                <w:numId w:val="670"/>
              </w:numPr>
            </w:pPr>
            <w:r>
              <w:t>Liquides +++ si rhabdomyolyse</w:t>
            </w:r>
          </w:p>
          <w:p w:rsidR="00FE2DCA" w:rsidRDefault="00FE2DCA" w:rsidP="00FE2DCA">
            <w:pPr>
              <w:pStyle w:val="Sansinterligne"/>
              <w:ind w:left="360"/>
            </w:pPr>
          </w:p>
          <w:p w:rsidR="00FE2DCA" w:rsidRDefault="00FE2DCA" w:rsidP="00FE2DCA">
            <w:pPr>
              <w:pStyle w:val="Sansinterligne"/>
              <w:ind w:left="360"/>
            </w:pPr>
          </w:p>
          <w:p w:rsidR="002479F6" w:rsidRDefault="002479F6" w:rsidP="00FE2DCA">
            <w:pPr>
              <w:pStyle w:val="Sansinterligne"/>
              <w:ind w:left="360"/>
            </w:pPr>
          </w:p>
        </w:tc>
      </w:tr>
      <w:tr w:rsidR="002908C7" w:rsidRPr="00C83566" w:rsidTr="002479F6">
        <w:tc>
          <w:tcPr>
            <w:tcW w:w="11016" w:type="dxa"/>
            <w:gridSpan w:val="5"/>
            <w:shd w:val="clear" w:color="auto" w:fill="9BBB59" w:themeFill="accent3"/>
            <w:vAlign w:val="center"/>
          </w:tcPr>
          <w:p w:rsidR="002908C7" w:rsidRDefault="002908C7" w:rsidP="0005403F">
            <w:pPr>
              <w:pStyle w:val="Sansinterligne"/>
              <w:jc w:val="center"/>
            </w:pPr>
            <w:r>
              <w:t>Hallucinogènes</w:t>
            </w:r>
          </w:p>
        </w:tc>
      </w:tr>
      <w:tr w:rsidR="00557456" w:rsidRPr="00C83566" w:rsidTr="00E12FA3">
        <w:trPr>
          <w:trHeight w:val="345"/>
        </w:trPr>
        <w:tc>
          <w:tcPr>
            <w:tcW w:w="2659" w:type="dxa"/>
            <w:vAlign w:val="center"/>
          </w:tcPr>
          <w:p w:rsidR="00946D0E" w:rsidRDefault="00946D0E" w:rsidP="0005403F">
            <w:pPr>
              <w:pStyle w:val="Sansinterligne"/>
              <w:jc w:val="center"/>
            </w:pPr>
            <w:r>
              <w:t>Trouble de l’usage d’un autre hallucinogène</w:t>
            </w:r>
          </w:p>
        </w:tc>
        <w:tc>
          <w:tcPr>
            <w:tcW w:w="4472" w:type="dxa"/>
            <w:gridSpan w:val="3"/>
            <w:vAlign w:val="center"/>
          </w:tcPr>
          <w:p w:rsidR="00946D0E" w:rsidRDefault="00946D0E" w:rsidP="00B85C9D">
            <w:pPr>
              <w:pStyle w:val="Sansinterligne"/>
              <w:jc w:val="center"/>
            </w:pPr>
            <w:r>
              <w:t>Voir critères de trouble d’usage</w:t>
            </w:r>
          </w:p>
        </w:tc>
        <w:tc>
          <w:tcPr>
            <w:tcW w:w="3885" w:type="dxa"/>
            <w:shd w:val="clear" w:color="auto" w:fill="000000" w:themeFill="text1"/>
          </w:tcPr>
          <w:p w:rsidR="00946D0E" w:rsidRDefault="00946D0E" w:rsidP="00966E86">
            <w:pPr>
              <w:pStyle w:val="Sansinterligne"/>
            </w:pPr>
          </w:p>
        </w:tc>
      </w:tr>
      <w:tr w:rsidR="00F63289" w:rsidRPr="00C83566" w:rsidTr="00E12FA3">
        <w:tc>
          <w:tcPr>
            <w:tcW w:w="2659" w:type="dxa"/>
            <w:vAlign w:val="center"/>
          </w:tcPr>
          <w:p w:rsidR="00946D0E" w:rsidRDefault="00946D0E" w:rsidP="0005403F">
            <w:pPr>
              <w:pStyle w:val="Sansinterligne"/>
              <w:jc w:val="center"/>
            </w:pPr>
            <w:r>
              <w:t>Intoxication à un autre hallucinogène</w:t>
            </w:r>
          </w:p>
        </w:tc>
        <w:tc>
          <w:tcPr>
            <w:tcW w:w="4472" w:type="dxa"/>
            <w:gridSpan w:val="3"/>
          </w:tcPr>
          <w:p w:rsidR="00946D0E" w:rsidRPr="004C09B2" w:rsidRDefault="004C09B2" w:rsidP="00C83566">
            <w:pPr>
              <w:pStyle w:val="Sansinterligne"/>
              <w:rPr>
                <w:u w:val="single"/>
              </w:rPr>
            </w:pPr>
            <w:r w:rsidRPr="004C09B2">
              <w:rPr>
                <w:u w:val="single"/>
              </w:rPr>
              <w:t>LSD</w:t>
            </w:r>
          </w:p>
          <w:p w:rsidR="004C09B2" w:rsidRPr="00E12FA3" w:rsidRDefault="004C09B2" w:rsidP="00847867">
            <w:pPr>
              <w:pStyle w:val="Sansinterligne"/>
              <w:numPr>
                <w:ilvl w:val="0"/>
                <w:numId w:val="672"/>
              </w:numPr>
              <w:rPr>
                <w:highlight w:val="yellow"/>
              </w:rPr>
            </w:pPr>
            <w:r w:rsidRPr="00E12FA3">
              <w:rPr>
                <w:highlight w:val="yellow"/>
              </w:rPr>
              <w:t>Tachycardie, HyperTA</w:t>
            </w:r>
          </w:p>
          <w:p w:rsidR="004C09B2" w:rsidRPr="00E12FA3" w:rsidRDefault="004C09B2" w:rsidP="00847867">
            <w:pPr>
              <w:pStyle w:val="Sansinterligne"/>
              <w:numPr>
                <w:ilvl w:val="0"/>
                <w:numId w:val="672"/>
              </w:numPr>
              <w:rPr>
                <w:highlight w:val="yellow"/>
              </w:rPr>
            </w:pPr>
            <w:r w:rsidRPr="00E12FA3">
              <w:rPr>
                <w:highlight w:val="yellow"/>
              </w:rPr>
              <w:t>Mydriase</w:t>
            </w:r>
          </w:p>
          <w:p w:rsidR="004C09B2" w:rsidRDefault="004C09B2" w:rsidP="00847867">
            <w:pPr>
              <w:pStyle w:val="Sansinterligne"/>
              <w:numPr>
                <w:ilvl w:val="0"/>
                <w:numId w:val="672"/>
              </w:numPr>
            </w:pPr>
            <w:r>
              <w:t>Tremblements</w:t>
            </w:r>
          </w:p>
          <w:p w:rsidR="004C09B2" w:rsidRPr="00E12FA3" w:rsidRDefault="004C09B2" w:rsidP="00847867">
            <w:pPr>
              <w:pStyle w:val="Sansinterligne"/>
              <w:numPr>
                <w:ilvl w:val="0"/>
                <w:numId w:val="672"/>
              </w:numPr>
              <w:rPr>
                <w:highlight w:val="yellow"/>
              </w:rPr>
            </w:pPr>
            <w:r w:rsidRPr="00E12FA3">
              <w:rPr>
                <w:highlight w:val="yellow"/>
              </w:rPr>
              <w:t>Hyperpyrexie</w:t>
            </w:r>
          </w:p>
          <w:p w:rsidR="004C09B2" w:rsidRDefault="004C09B2" w:rsidP="00847867">
            <w:pPr>
              <w:pStyle w:val="Sansinterligne"/>
              <w:numPr>
                <w:ilvl w:val="0"/>
                <w:numId w:val="672"/>
              </w:numPr>
            </w:pPr>
            <w:r>
              <w:t>Altération des perceptions et de l’humeur</w:t>
            </w:r>
          </w:p>
        </w:tc>
        <w:tc>
          <w:tcPr>
            <w:tcW w:w="3885" w:type="dxa"/>
          </w:tcPr>
          <w:p w:rsidR="00946D0E" w:rsidRDefault="004C09B2" w:rsidP="00847867">
            <w:pPr>
              <w:pStyle w:val="Sansinterligne"/>
              <w:numPr>
                <w:ilvl w:val="0"/>
                <w:numId w:val="673"/>
              </w:numPr>
            </w:pPr>
            <w:r>
              <w:t>Traitement de support</w:t>
            </w:r>
          </w:p>
          <w:p w:rsidR="004C09B2" w:rsidRDefault="004C09B2" w:rsidP="00847867">
            <w:pPr>
              <w:pStyle w:val="Sansinterligne"/>
              <w:numPr>
                <w:ilvl w:val="0"/>
                <w:numId w:val="673"/>
              </w:numPr>
            </w:pPr>
            <w:r>
              <w:t>Réassurance</w:t>
            </w:r>
          </w:p>
          <w:p w:rsidR="004C09B2" w:rsidRDefault="004C09B2" w:rsidP="00847867">
            <w:pPr>
              <w:pStyle w:val="Sansinterligne"/>
              <w:numPr>
                <w:ilvl w:val="0"/>
                <w:numId w:val="673"/>
              </w:numPr>
            </w:pPr>
            <w:r>
              <w:t>Environnement hypostimulant</w:t>
            </w:r>
          </w:p>
          <w:p w:rsidR="004C09B2" w:rsidRDefault="004C09B2" w:rsidP="00847867">
            <w:pPr>
              <w:pStyle w:val="Sansinterligne"/>
              <w:numPr>
                <w:ilvl w:val="0"/>
                <w:numId w:val="673"/>
              </w:numPr>
            </w:pPr>
            <w:r>
              <w:t>Benzodiazépines/Halopéridol PRN si agitation/psychiose</w:t>
            </w:r>
          </w:p>
        </w:tc>
      </w:tr>
      <w:tr w:rsidR="00557456" w:rsidRPr="00C83566" w:rsidTr="00E12FA3">
        <w:tc>
          <w:tcPr>
            <w:tcW w:w="2659" w:type="dxa"/>
            <w:vAlign w:val="center"/>
          </w:tcPr>
          <w:p w:rsidR="002908C7" w:rsidRDefault="002908C7" w:rsidP="0005403F">
            <w:pPr>
              <w:pStyle w:val="Sansinterligne"/>
              <w:jc w:val="center"/>
            </w:pPr>
            <w:r>
              <w:t xml:space="preserve">Trouble persistant des perceptions </w:t>
            </w:r>
            <w:r w:rsidR="00966E86">
              <w:t>dû</w:t>
            </w:r>
            <w:r>
              <w:t xml:space="preserve"> aux hallucinogènes</w:t>
            </w:r>
          </w:p>
        </w:tc>
        <w:tc>
          <w:tcPr>
            <w:tcW w:w="4472" w:type="dxa"/>
            <w:gridSpan w:val="3"/>
          </w:tcPr>
          <w:p w:rsidR="00966E86" w:rsidRDefault="00966E86" w:rsidP="00847867">
            <w:pPr>
              <w:pStyle w:val="Sansinterligne"/>
              <w:numPr>
                <w:ilvl w:val="0"/>
                <w:numId w:val="674"/>
              </w:numPr>
            </w:pPr>
            <w:r>
              <w:t>Perception d’un symptôme ressenti lors de l’usage d’un hallucinogène près avoir cessé de l’utiliser.</w:t>
            </w:r>
          </w:p>
          <w:p w:rsidR="002908C7" w:rsidRDefault="00966E86" w:rsidP="00847867">
            <w:pPr>
              <w:pStyle w:val="Sansinterligne"/>
              <w:numPr>
                <w:ilvl w:val="0"/>
                <w:numId w:val="674"/>
              </w:numPr>
            </w:pPr>
            <w:r>
              <w:t>Souffrance / dysfonctionnement associé</w:t>
            </w:r>
          </w:p>
        </w:tc>
        <w:tc>
          <w:tcPr>
            <w:tcW w:w="3885" w:type="dxa"/>
            <w:shd w:val="clear" w:color="auto" w:fill="000000" w:themeFill="text1"/>
          </w:tcPr>
          <w:p w:rsidR="002908C7" w:rsidRDefault="002908C7" w:rsidP="00C83566">
            <w:pPr>
              <w:pStyle w:val="Sansinterligne"/>
              <w:jc w:val="center"/>
            </w:pPr>
          </w:p>
        </w:tc>
      </w:tr>
      <w:tr w:rsidR="002908C7" w:rsidRPr="00C83566" w:rsidTr="002479F6">
        <w:tc>
          <w:tcPr>
            <w:tcW w:w="11016" w:type="dxa"/>
            <w:gridSpan w:val="5"/>
            <w:shd w:val="clear" w:color="auto" w:fill="9BBB59" w:themeFill="accent3"/>
            <w:vAlign w:val="center"/>
          </w:tcPr>
          <w:p w:rsidR="002908C7" w:rsidRDefault="002908C7" w:rsidP="0005403F">
            <w:pPr>
              <w:pStyle w:val="Sansinterligne"/>
              <w:jc w:val="center"/>
            </w:pPr>
            <w:r>
              <w:t>Substances inhalées</w:t>
            </w:r>
            <w:r w:rsidR="00923033">
              <w:t xml:space="preserve"> (essence, toluène</w:t>
            </w:r>
            <w:r w:rsidR="00500796">
              <w:t>, colle</w:t>
            </w:r>
            <w:r w:rsidR="003D57FE">
              <w:t>, etc.</w:t>
            </w:r>
            <w:r w:rsidR="00923033">
              <w:t>)</w:t>
            </w:r>
          </w:p>
        </w:tc>
      </w:tr>
      <w:tr w:rsidR="00F10D5C" w:rsidRPr="00C83566" w:rsidTr="00B344AE">
        <w:tc>
          <w:tcPr>
            <w:tcW w:w="2659" w:type="dxa"/>
            <w:vAlign w:val="center"/>
          </w:tcPr>
          <w:p w:rsidR="002908C7" w:rsidRDefault="002908C7" w:rsidP="0005403F">
            <w:pPr>
              <w:pStyle w:val="Sansinterligne"/>
              <w:jc w:val="center"/>
            </w:pPr>
            <w:r>
              <w:t>Trouble de l’usage des substances inhalées</w:t>
            </w:r>
          </w:p>
        </w:tc>
        <w:tc>
          <w:tcPr>
            <w:tcW w:w="4472" w:type="dxa"/>
            <w:gridSpan w:val="3"/>
            <w:vAlign w:val="center"/>
          </w:tcPr>
          <w:p w:rsidR="002908C7" w:rsidRDefault="00946D0E" w:rsidP="00B85C9D">
            <w:pPr>
              <w:pStyle w:val="Sansinterligne"/>
              <w:jc w:val="center"/>
            </w:pPr>
            <w:r>
              <w:t>Voir critères de trouble d’usage</w:t>
            </w:r>
          </w:p>
        </w:tc>
        <w:tc>
          <w:tcPr>
            <w:tcW w:w="3885" w:type="dxa"/>
            <w:shd w:val="clear" w:color="auto" w:fill="auto"/>
          </w:tcPr>
          <w:p w:rsidR="002908C7" w:rsidRDefault="00B344AE" w:rsidP="00847867">
            <w:pPr>
              <w:pStyle w:val="Sansinterligne"/>
              <w:numPr>
                <w:ilvl w:val="0"/>
                <w:numId w:val="677"/>
              </w:numPr>
            </w:pPr>
            <w:r>
              <w:t xml:space="preserve">Référence en psychiatrie pour traitement </w:t>
            </w:r>
            <w:r>
              <w:rPr>
                <w:rFonts w:cs="Times New Roman"/>
              </w:rPr>
              <w:t>±</w:t>
            </w:r>
            <w:r>
              <w:t xml:space="preserve"> désintoxication</w:t>
            </w:r>
          </w:p>
        </w:tc>
      </w:tr>
      <w:tr w:rsidR="00B344AE" w:rsidRPr="00C83566" w:rsidTr="00B344AE">
        <w:tc>
          <w:tcPr>
            <w:tcW w:w="2659" w:type="dxa"/>
            <w:vAlign w:val="center"/>
          </w:tcPr>
          <w:p w:rsidR="00B344AE" w:rsidRDefault="00B344AE" w:rsidP="0005403F">
            <w:pPr>
              <w:pStyle w:val="Sansinterligne"/>
              <w:jc w:val="center"/>
            </w:pPr>
            <w:r>
              <w:t>Intoxication aux substances inhalées</w:t>
            </w:r>
          </w:p>
        </w:tc>
        <w:tc>
          <w:tcPr>
            <w:tcW w:w="2236" w:type="dxa"/>
            <w:tcBorders>
              <w:right w:val="single" w:sz="4" w:space="0" w:color="FFFFFF" w:themeColor="background1"/>
            </w:tcBorders>
          </w:tcPr>
          <w:p w:rsidR="00B344AE" w:rsidRDefault="00B344AE" w:rsidP="00847867">
            <w:pPr>
              <w:pStyle w:val="Sansinterligne"/>
              <w:numPr>
                <w:ilvl w:val="0"/>
                <w:numId w:val="676"/>
              </w:numPr>
            </w:pPr>
            <w:r>
              <w:t>Étourdissements</w:t>
            </w:r>
          </w:p>
          <w:p w:rsidR="00B344AE" w:rsidRDefault="00B344AE" w:rsidP="00847867">
            <w:pPr>
              <w:pStyle w:val="Sansinterligne"/>
              <w:numPr>
                <w:ilvl w:val="0"/>
                <w:numId w:val="676"/>
              </w:numPr>
            </w:pPr>
            <w:r>
              <w:t>Nystagmus</w:t>
            </w:r>
          </w:p>
          <w:p w:rsidR="00B344AE" w:rsidRDefault="00B344AE" w:rsidP="00847867">
            <w:pPr>
              <w:pStyle w:val="Sansinterligne"/>
              <w:numPr>
                <w:ilvl w:val="0"/>
                <w:numId w:val="676"/>
              </w:numPr>
            </w:pPr>
            <w:r>
              <w:t>Incoordination motrice</w:t>
            </w:r>
          </w:p>
          <w:p w:rsidR="00B344AE" w:rsidRDefault="00B344AE" w:rsidP="00847867">
            <w:pPr>
              <w:pStyle w:val="Sansinterligne"/>
              <w:numPr>
                <w:ilvl w:val="0"/>
                <w:numId w:val="676"/>
              </w:numPr>
            </w:pPr>
            <w:r>
              <w:t>Discours bredouillant</w:t>
            </w:r>
          </w:p>
          <w:p w:rsidR="00B344AE" w:rsidRDefault="00B344AE" w:rsidP="00847867">
            <w:pPr>
              <w:pStyle w:val="Sansinterligne"/>
              <w:numPr>
                <w:ilvl w:val="0"/>
                <w:numId w:val="676"/>
              </w:numPr>
            </w:pPr>
            <w:r>
              <w:t>Démarche ébrieuse</w:t>
            </w:r>
          </w:p>
        </w:tc>
        <w:tc>
          <w:tcPr>
            <w:tcW w:w="2236" w:type="dxa"/>
            <w:gridSpan w:val="2"/>
            <w:tcBorders>
              <w:left w:val="single" w:sz="4" w:space="0" w:color="FFFFFF" w:themeColor="background1"/>
            </w:tcBorders>
          </w:tcPr>
          <w:p w:rsidR="001E4A49" w:rsidRPr="001E4A49" w:rsidRDefault="001E4A49" w:rsidP="00847867">
            <w:pPr>
              <w:pStyle w:val="Sansinterligne"/>
              <w:numPr>
                <w:ilvl w:val="0"/>
                <w:numId w:val="676"/>
              </w:numPr>
            </w:pPr>
            <w:r>
              <w:t>Léthargie</w:t>
            </w:r>
          </w:p>
          <w:p w:rsidR="00B344AE" w:rsidRDefault="00B344AE" w:rsidP="00847867">
            <w:pPr>
              <w:pStyle w:val="Sansinterligne"/>
              <w:numPr>
                <w:ilvl w:val="0"/>
                <w:numId w:val="676"/>
              </w:numPr>
            </w:pPr>
            <w:r>
              <w:rPr>
                <w:rFonts w:cs="Times New Roman"/>
              </w:rPr>
              <w:t>↓</w:t>
            </w:r>
            <w:r>
              <w:t xml:space="preserve"> réflexes</w:t>
            </w:r>
          </w:p>
          <w:p w:rsidR="00B344AE" w:rsidRDefault="00B344AE" w:rsidP="00847867">
            <w:pPr>
              <w:pStyle w:val="Sansinterligne"/>
              <w:numPr>
                <w:ilvl w:val="0"/>
                <w:numId w:val="676"/>
              </w:numPr>
            </w:pPr>
            <w:r>
              <w:t>Tremblements</w:t>
            </w:r>
          </w:p>
          <w:p w:rsidR="00B344AE" w:rsidRDefault="00B344AE" w:rsidP="00847867">
            <w:pPr>
              <w:pStyle w:val="Sansinterligne"/>
              <w:numPr>
                <w:ilvl w:val="0"/>
                <w:numId w:val="676"/>
              </w:numPr>
            </w:pPr>
            <w:r>
              <w:t>Diplopie / tr. Visuels</w:t>
            </w:r>
          </w:p>
          <w:p w:rsidR="00B344AE" w:rsidRDefault="00B344AE" w:rsidP="00847867">
            <w:pPr>
              <w:pStyle w:val="Sansinterligne"/>
              <w:numPr>
                <w:ilvl w:val="0"/>
                <w:numId w:val="676"/>
              </w:numPr>
            </w:pPr>
            <w:r>
              <w:t>Euphorie</w:t>
            </w:r>
          </w:p>
          <w:p w:rsidR="00B344AE" w:rsidRDefault="00B344AE" w:rsidP="00847867">
            <w:pPr>
              <w:pStyle w:val="Sansinterligne"/>
              <w:numPr>
                <w:ilvl w:val="0"/>
                <w:numId w:val="676"/>
              </w:numPr>
            </w:pPr>
            <w:r>
              <w:t>Stupeur / coma</w:t>
            </w:r>
          </w:p>
        </w:tc>
        <w:tc>
          <w:tcPr>
            <w:tcW w:w="3885" w:type="dxa"/>
          </w:tcPr>
          <w:p w:rsidR="00B344AE" w:rsidRDefault="004946D1" w:rsidP="00847867">
            <w:pPr>
              <w:pStyle w:val="Sansinterligne"/>
              <w:numPr>
                <w:ilvl w:val="0"/>
                <w:numId w:val="676"/>
              </w:numPr>
            </w:pPr>
            <w:r>
              <w:rPr>
                <w:noProof/>
                <w:lang w:eastAsia="fr-CA"/>
              </w:rPr>
              <w:drawing>
                <wp:anchor distT="0" distB="0" distL="114300" distR="114300" simplePos="0" relativeHeight="251849728" behindDoc="0" locked="0" layoutInCell="1" allowOverlap="1" wp14:anchorId="6F160A34" wp14:editId="3B925BC9">
                  <wp:simplePos x="0" y="0"/>
                  <wp:positionH relativeFrom="column">
                    <wp:posOffset>720981</wp:posOffset>
                  </wp:positionH>
                  <wp:positionV relativeFrom="paragraph">
                    <wp:posOffset>192715</wp:posOffset>
                  </wp:positionV>
                  <wp:extent cx="703870" cy="1070042"/>
                  <wp:effectExtent l="0" t="0" r="0" b="0"/>
                  <wp:wrapNone/>
                  <wp:docPr id="362" name="Image 362" descr="Résultats de recherche d'images pour « toluèn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ésultats de recherche d'images pour « toluène »"/>
                          <pic:cNvPicPr>
                            <a:picLocks noChangeAspect="1" noChangeArrowheads="1"/>
                          </pic:cNvPicPr>
                        </pic:nvPicPr>
                        <pic:blipFill>
                          <a:blip r:embed="rId358" cstate="print">
                            <a:extLst>
                              <a:ext uri="{28A0092B-C50C-407E-A947-70E740481C1C}">
                                <a14:useLocalDpi xmlns:a14="http://schemas.microsoft.com/office/drawing/2010/main" val="0"/>
                              </a:ext>
                            </a:extLst>
                          </a:blip>
                          <a:srcRect/>
                          <a:stretch>
                            <a:fillRect/>
                          </a:stretch>
                        </pic:blipFill>
                        <pic:spPr bwMode="auto">
                          <a:xfrm>
                            <a:off x="0" y="0"/>
                            <a:ext cx="703870" cy="1070042"/>
                          </a:xfrm>
                          <a:prstGeom prst="rect">
                            <a:avLst/>
                          </a:prstGeom>
                          <a:noFill/>
                          <a:ln>
                            <a:noFill/>
                          </a:ln>
                        </pic:spPr>
                      </pic:pic>
                    </a:graphicData>
                  </a:graphic>
                  <wp14:sizeRelH relativeFrom="page">
                    <wp14:pctWidth>0</wp14:pctWidth>
                  </wp14:sizeRelH>
                  <wp14:sizeRelV relativeFrom="page">
                    <wp14:pctHeight>0</wp14:pctHeight>
                  </wp14:sizeRelV>
                </wp:anchor>
              </w:drawing>
            </w:r>
            <w:r w:rsidR="00B344AE">
              <w:t>Traitement de support</w:t>
            </w:r>
            <w:r w:rsidR="00FA2D39">
              <w:t xml:space="preserve"> (O</w:t>
            </w:r>
            <w:r w:rsidR="00FA2D39" w:rsidRPr="00FA2D39">
              <w:rPr>
                <w:vertAlign w:val="subscript"/>
              </w:rPr>
              <w:t>2</w:t>
            </w:r>
            <w:r w:rsidR="00FA2D39">
              <w:t>)</w:t>
            </w:r>
          </w:p>
        </w:tc>
      </w:tr>
      <w:tr w:rsidR="00EB0A9B" w:rsidRPr="00C83566" w:rsidTr="002479F6">
        <w:tc>
          <w:tcPr>
            <w:tcW w:w="11016" w:type="dxa"/>
            <w:gridSpan w:val="5"/>
            <w:shd w:val="clear" w:color="auto" w:fill="9BBB59" w:themeFill="accent3"/>
            <w:vAlign w:val="center"/>
          </w:tcPr>
          <w:p w:rsidR="00EB0A9B" w:rsidRPr="00C83566" w:rsidRDefault="002908C7" w:rsidP="0005403F">
            <w:pPr>
              <w:pStyle w:val="Sansinterligne"/>
              <w:jc w:val="center"/>
            </w:pPr>
            <w:r>
              <w:t>Sédatifs, hypnotiques et anxiolytiques</w:t>
            </w:r>
          </w:p>
        </w:tc>
      </w:tr>
      <w:tr w:rsidR="00F63289" w:rsidRPr="00C83566" w:rsidTr="00E12FA3">
        <w:tc>
          <w:tcPr>
            <w:tcW w:w="2659" w:type="dxa"/>
            <w:vAlign w:val="center"/>
          </w:tcPr>
          <w:p w:rsidR="002908C7" w:rsidRDefault="002908C7" w:rsidP="0005403F">
            <w:pPr>
              <w:pStyle w:val="Sansinterligne"/>
              <w:jc w:val="center"/>
            </w:pPr>
            <w:r>
              <w:t>Trouble de l’usage des sédatifs, hypnotiques ou anxiolytiques</w:t>
            </w:r>
          </w:p>
        </w:tc>
        <w:tc>
          <w:tcPr>
            <w:tcW w:w="4472" w:type="dxa"/>
            <w:gridSpan w:val="3"/>
            <w:vAlign w:val="center"/>
          </w:tcPr>
          <w:p w:rsidR="002908C7" w:rsidRPr="00C83566" w:rsidRDefault="00946D0E" w:rsidP="00B85C9D">
            <w:pPr>
              <w:pStyle w:val="Sansinterligne"/>
              <w:jc w:val="center"/>
            </w:pPr>
            <w:r>
              <w:t>Voir critères de trouble d’usage</w:t>
            </w:r>
          </w:p>
        </w:tc>
        <w:tc>
          <w:tcPr>
            <w:tcW w:w="3885" w:type="dxa"/>
          </w:tcPr>
          <w:p w:rsidR="002908C7" w:rsidRPr="00C83566" w:rsidRDefault="00834BD0" w:rsidP="00847867">
            <w:pPr>
              <w:pStyle w:val="Sansinterligne"/>
              <w:numPr>
                <w:ilvl w:val="0"/>
                <w:numId w:val="680"/>
              </w:numPr>
            </w:pPr>
            <w:r>
              <w:t>Sevrer la substance ou la substituer pour une autre molécule qui peut être cessée graduellement</w:t>
            </w:r>
          </w:p>
        </w:tc>
      </w:tr>
      <w:tr w:rsidR="005C1737" w:rsidRPr="00C83566" w:rsidTr="005C1737">
        <w:tc>
          <w:tcPr>
            <w:tcW w:w="2659" w:type="dxa"/>
            <w:vAlign w:val="center"/>
          </w:tcPr>
          <w:p w:rsidR="005C1737" w:rsidRDefault="005C1737" w:rsidP="0005403F">
            <w:pPr>
              <w:pStyle w:val="Sansinterligne"/>
              <w:jc w:val="center"/>
            </w:pPr>
            <w:r>
              <w:t>Intoxication aux sédatifs, hypnotiques ou anxiolytiques</w:t>
            </w:r>
          </w:p>
        </w:tc>
        <w:tc>
          <w:tcPr>
            <w:tcW w:w="2236" w:type="dxa"/>
            <w:tcBorders>
              <w:right w:val="single" w:sz="4" w:space="0" w:color="FFFFFF" w:themeColor="background1"/>
            </w:tcBorders>
          </w:tcPr>
          <w:p w:rsidR="005C1737" w:rsidRDefault="005C1737" w:rsidP="00847867">
            <w:pPr>
              <w:pStyle w:val="Sansinterligne"/>
              <w:numPr>
                <w:ilvl w:val="0"/>
                <w:numId w:val="678"/>
              </w:numPr>
            </w:pPr>
            <w:r>
              <w:t>Discours bredouillant</w:t>
            </w:r>
          </w:p>
          <w:p w:rsidR="005C1737" w:rsidRDefault="005C1737" w:rsidP="00847867">
            <w:pPr>
              <w:pStyle w:val="Sansinterligne"/>
              <w:numPr>
                <w:ilvl w:val="0"/>
                <w:numId w:val="678"/>
              </w:numPr>
            </w:pPr>
            <w:r>
              <w:t>Nystagmus</w:t>
            </w:r>
          </w:p>
          <w:p w:rsidR="005C1737" w:rsidRDefault="005C1737" w:rsidP="00847867">
            <w:pPr>
              <w:pStyle w:val="Sansinterligne"/>
              <w:numPr>
                <w:ilvl w:val="0"/>
                <w:numId w:val="678"/>
              </w:numPr>
            </w:pPr>
            <w:r>
              <w:t>Incoordination motrice</w:t>
            </w:r>
          </w:p>
        </w:tc>
        <w:tc>
          <w:tcPr>
            <w:tcW w:w="2236" w:type="dxa"/>
            <w:gridSpan w:val="2"/>
            <w:tcBorders>
              <w:left w:val="single" w:sz="4" w:space="0" w:color="FFFFFF" w:themeColor="background1"/>
            </w:tcBorders>
          </w:tcPr>
          <w:p w:rsidR="005C1737" w:rsidRDefault="005C1737" w:rsidP="00847867">
            <w:pPr>
              <w:pStyle w:val="Sansinterligne"/>
              <w:numPr>
                <w:ilvl w:val="0"/>
                <w:numId w:val="678"/>
              </w:numPr>
            </w:pPr>
            <w:r>
              <w:t>Démarche ébrieuse</w:t>
            </w:r>
          </w:p>
          <w:p w:rsidR="005C1737" w:rsidRDefault="005C1737" w:rsidP="00847867">
            <w:pPr>
              <w:pStyle w:val="Sansinterligne"/>
              <w:numPr>
                <w:ilvl w:val="0"/>
                <w:numId w:val="678"/>
              </w:numPr>
            </w:pPr>
            <w:r>
              <w:t>Altération cognitive</w:t>
            </w:r>
          </w:p>
          <w:p w:rsidR="005C1737" w:rsidRPr="00C83566" w:rsidRDefault="005C1737" w:rsidP="00847867">
            <w:pPr>
              <w:pStyle w:val="Sansinterligne"/>
              <w:numPr>
                <w:ilvl w:val="0"/>
                <w:numId w:val="678"/>
              </w:numPr>
            </w:pPr>
            <w:r>
              <w:t>Stupeur / coma</w:t>
            </w:r>
          </w:p>
        </w:tc>
        <w:tc>
          <w:tcPr>
            <w:tcW w:w="3885" w:type="dxa"/>
          </w:tcPr>
          <w:p w:rsidR="005C1737" w:rsidRDefault="007B1ABD" w:rsidP="00847867">
            <w:pPr>
              <w:pStyle w:val="Sansinterligne"/>
              <w:numPr>
                <w:ilvl w:val="0"/>
                <w:numId w:val="679"/>
              </w:numPr>
            </w:pPr>
            <w:r>
              <w:t>ABC</w:t>
            </w:r>
          </w:p>
          <w:p w:rsidR="007B1ABD" w:rsidRDefault="007B1ABD" w:rsidP="00847867">
            <w:pPr>
              <w:pStyle w:val="Sansinterligne"/>
              <w:numPr>
                <w:ilvl w:val="0"/>
                <w:numId w:val="679"/>
              </w:numPr>
            </w:pPr>
            <w:r>
              <w:t>Intubation PRN</w:t>
            </w:r>
          </w:p>
          <w:p w:rsidR="007B1ABD" w:rsidRPr="00C83566" w:rsidRDefault="007B1ABD" w:rsidP="00847867">
            <w:pPr>
              <w:pStyle w:val="Sansinterligne"/>
              <w:numPr>
                <w:ilvl w:val="0"/>
                <w:numId w:val="679"/>
              </w:numPr>
            </w:pPr>
            <w:r w:rsidRPr="007968E1">
              <w:rPr>
                <w:highlight w:val="yellow"/>
              </w:rPr>
              <w:t>Flumazénil</w:t>
            </w:r>
            <w:r>
              <w:t xml:space="preserve"> selon jugement (si benzodiazépine en cause)</w:t>
            </w:r>
          </w:p>
        </w:tc>
      </w:tr>
      <w:tr w:rsidR="002908C7" w:rsidRPr="00C83566" w:rsidTr="002479F6">
        <w:tc>
          <w:tcPr>
            <w:tcW w:w="11016" w:type="dxa"/>
            <w:gridSpan w:val="5"/>
            <w:shd w:val="clear" w:color="auto" w:fill="9BBB59" w:themeFill="accent3"/>
            <w:vAlign w:val="center"/>
          </w:tcPr>
          <w:p w:rsidR="002908C7" w:rsidRPr="00C83566" w:rsidRDefault="002908C7" w:rsidP="0005403F">
            <w:pPr>
              <w:pStyle w:val="Sansinterligne"/>
              <w:jc w:val="center"/>
            </w:pPr>
            <w:r>
              <w:t>Stimulants (cocaïne, amphétamine ou autre stimulant)</w:t>
            </w:r>
          </w:p>
        </w:tc>
      </w:tr>
      <w:tr w:rsidR="00F63289" w:rsidRPr="00C83566" w:rsidTr="00E12FA3">
        <w:tc>
          <w:tcPr>
            <w:tcW w:w="2659" w:type="dxa"/>
            <w:vAlign w:val="center"/>
          </w:tcPr>
          <w:p w:rsidR="002908C7" w:rsidRPr="00C83566" w:rsidRDefault="002908C7" w:rsidP="0005403F">
            <w:pPr>
              <w:pStyle w:val="Sansinterligne"/>
              <w:jc w:val="center"/>
            </w:pPr>
            <w:r>
              <w:t>Trouble de l’usage des stimulants</w:t>
            </w:r>
          </w:p>
        </w:tc>
        <w:tc>
          <w:tcPr>
            <w:tcW w:w="4472" w:type="dxa"/>
            <w:gridSpan w:val="3"/>
            <w:vAlign w:val="center"/>
          </w:tcPr>
          <w:p w:rsidR="002908C7" w:rsidRPr="00C83566" w:rsidRDefault="00946D0E" w:rsidP="00B85C9D">
            <w:pPr>
              <w:pStyle w:val="Sansinterligne"/>
              <w:jc w:val="center"/>
            </w:pPr>
            <w:r>
              <w:t>Voir critères de trouble d’usage</w:t>
            </w:r>
          </w:p>
        </w:tc>
        <w:tc>
          <w:tcPr>
            <w:tcW w:w="3885" w:type="dxa"/>
          </w:tcPr>
          <w:p w:rsidR="002908C7" w:rsidRDefault="00557CEA" w:rsidP="00847867">
            <w:pPr>
              <w:pStyle w:val="Sansinterligne"/>
              <w:numPr>
                <w:ilvl w:val="0"/>
                <w:numId w:val="681"/>
              </w:numPr>
            </w:pPr>
            <w:r>
              <w:t>Conseils</w:t>
            </w:r>
            <w:r w:rsidR="00416347">
              <w:t xml:space="preserve"> mode de vie</w:t>
            </w:r>
          </w:p>
          <w:p w:rsidR="00557CEA" w:rsidRDefault="00416347" w:rsidP="00847867">
            <w:pPr>
              <w:pStyle w:val="Sansinterligne"/>
              <w:numPr>
                <w:ilvl w:val="0"/>
                <w:numId w:val="681"/>
              </w:numPr>
            </w:pPr>
            <w:r>
              <w:t>Groupes de soutien</w:t>
            </w:r>
          </w:p>
          <w:p w:rsidR="00557CEA" w:rsidRDefault="00557CEA" w:rsidP="00847867">
            <w:pPr>
              <w:pStyle w:val="Sansinterligne"/>
              <w:numPr>
                <w:ilvl w:val="0"/>
                <w:numId w:val="681"/>
              </w:numPr>
            </w:pPr>
            <w:r>
              <w:t>Psychothérapie (TCC)</w:t>
            </w:r>
          </w:p>
          <w:p w:rsidR="00416347" w:rsidRPr="00C83566" w:rsidRDefault="00416347" w:rsidP="00847867">
            <w:pPr>
              <w:pStyle w:val="Sansinterligne"/>
              <w:numPr>
                <w:ilvl w:val="0"/>
                <w:numId w:val="681"/>
              </w:numPr>
            </w:pPr>
            <w:r>
              <w:t>Bupropion ???</w:t>
            </w:r>
          </w:p>
        </w:tc>
      </w:tr>
      <w:tr w:rsidR="00416347" w:rsidRPr="00C83566" w:rsidTr="00BD7ABB">
        <w:tc>
          <w:tcPr>
            <w:tcW w:w="2659" w:type="dxa"/>
            <w:shd w:val="clear" w:color="auto" w:fill="FFFF00"/>
            <w:vAlign w:val="center"/>
          </w:tcPr>
          <w:p w:rsidR="00416347" w:rsidRPr="00C83566" w:rsidRDefault="00416347" w:rsidP="00973B86">
            <w:pPr>
              <w:pStyle w:val="Sansinterligne"/>
              <w:jc w:val="center"/>
            </w:pPr>
            <w:r>
              <w:t>Intoxication à la cocaïne</w:t>
            </w:r>
          </w:p>
        </w:tc>
        <w:tc>
          <w:tcPr>
            <w:tcW w:w="2236" w:type="dxa"/>
            <w:tcBorders>
              <w:right w:val="single" w:sz="4" w:space="0" w:color="FFFF00"/>
            </w:tcBorders>
            <w:shd w:val="clear" w:color="auto" w:fill="FFFF00"/>
          </w:tcPr>
          <w:p w:rsidR="00F10D5C" w:rsidRDefault="00F10D5C" w:rsidP="00847867">
            <w:pPr>
              <w:pStyle w:val="Sansinterligne"/>
              <w:numPr>
                <w:ilvl w:val="0"/>
                <w:numId w:val="681"/>
              </w:numPr>
            </w:pPr>
            <w:r>
              <w:t xml:space="preserve">Exaltation </w:t>
            </w:r>
          </w:p>
          <w:p w:rsidR="00416347" w:rsidRDefault="00F10D5C" w:rsidP="00847867">
            <w:pPr>
              <w:pStyle w:val="Sansinterligne"/>
              <w:numPr>
                <w:ilvl w:val="0"/>
                <w:numId w:val="681"/>
              </w:numPr>
            </w:pPr>
            <w:r>
              <w:t>E</w:t>
            </w:r>
            <w:r w:rsidR="00416347">
              <w:t>uphorie</w:t>
            </w:r>
          </w:p>
          <w:p w:rsidR="00416347" w:rsidRDefault="00416347" w:rsidP="00847867">
            <w:pPr>
              <w:pStyle w:val="Sansinterligne"/>
              <w:numPr>
                <w:ilvl w:val="0"/>
                <w:numId w:val="681"/>
              </w:numPr>
            </w:pPr>
            <w:r>
              <w:t>Pression du discours</w:t>
            </w:r>
          </w:p>
          <w:p w:rsidR="00416347" w:rsidRDefault="00416347" w:rsidP="00847867">
            <w:pPr>
              <w:pStyle w:val="Sansinterligne"/>
              <w:numPr>
                <w:ilvl w:val="0"/>
                <w:numId w:val="681"/>
              </w:numPr>
            </w:pPr>
            <w:r>
              <w:t>Agitation</w:t>
            </w:r>
          </w:p>
          <w:p w:rsidR="00416347" w:rsidRDefault="00416347" w:rsidP="00847867">
            <w:pPr>
              <w:pStyle w:val="Sansinterligne"/>
              <w:numPr>
                <w:ilvl w:val="0"/>
                <w:numId w:val="681"/>
              </w:numPr>
            </w:pPr>
            <w:r>
              <w:t>Dyspnée</w:t>
            </w:r>
          </w:p>
          <w:p w:rsidR="00C53E8D" w:rsidRDefault="00C53E8D" w:rsidP="00847867">
            <w:pPr>
              <w:pStyle w:val="Sansinterligne"/>
              <w:numPr>
                <w:ilvl w:val="0"/>
                <w:numId w:val="681"/>
              </w:numPr>
            </w:pPr>
            <w:r>
              <w:t>DRS</w:t>
            </w:r>
          </w:p>
        </w:tc>
        <w:tc>
          <w:tcPr>
            <w:tcW w:w="2236" w:type="dxa"/>
            <w:gridSpan w:val="2"/>
            <w:tcBorders>
              <w:left w:val="single" w:sz="4" w:space="0" w:color="FFFF00"/>
            </w:tcBorders>
            <w:shd w:val="clear" w:color="auto" w:fill="FFFF00"/>
          </w:tcPr>
          <w:p w:rsidR="00F10D5C" w:rsidRDefault="00F10D5C" w:rsidP="00847867">
            <w:pPr>
              <w:pStyle w:val="Sansinterligne"/>
              <w:numPr>
                <w:ilvl w:val="0"/>
                <w:numId w:val="681"/>
              </w:numPr>
            </w:pPr>
            <w:r>
              <w:t>Arythmies</w:t>
            </w:r>
          </w:p>
          <w:p w:rsidR="00416347" w:rsidRDefault="00416347" w:rsidP="00847867">
            <w:pPr>
              <w:pStyle w:val="Sansinterligne"/>
              <w:numPr>
                <w:ilvl w:val="0"/>
                <w:numId w:val="681"/>
              </w:numPr>
            </w:pPr>
            <w:r>
              <w:t>Tachycardie</w:t>
            </w:r>
          </w:p>
          <w:p w:rsidR="00416347" w:rsidRDefault="00416347" w:rsidP="00847867">
            <w:pPr>
              <w:pStyle w:val="Sansinterligne"/>
              <w:numPr>
                <w:ilvl w:val="0"/>
                <w:numId w:val="681"/>
              </w:numPr>
            </w:pPr>
            <w:r>
              <w:t>Hypertension</w:t>
            </w:r>
          </w:p>
          <w:p w:rsidR="00416347" w:rsidRDefault="00416347" w:rsidP="00847867">
            <w:pPr>
              <w:pStyle w:val="Sansinterligne"/>
              <w:numPr>
                <w:ilvl w:val="0"/>
                <w:numId w:val="681"/>
              </w:numPr>
            </w:pPr>
            <w:r>
              <w:t>Mydriase</w:t>
            </w:r>
          </w:p>
          <w:p w:rsidR="00416347" w:rsidRDefault="00416347" w:rsidP="00847867">
            <w:pPr>
              <w:pStyle w:val="Sansinterligne"/>
              <w:numPr>
                <w:ilvl w:val="0"/>
                <w:numId w:val="681"/>
              </w:numPr>
            </w:pPr>
            <w:r>
              <w:t>Diaphorèse</w:t>
            </w:r>
          </w:p>
          <w:p w:rsidR="00416347" w:rsidRPr="00C83566" w:rsidRDefault="00416347" w:rsidP="00847867">
            <w:pPr>
              <w:pStyle w:val="Sansinterligne"/>
              <w:numPr>
                <w:ilvl w:val="0"/>
                <w:numId w:val="681"/>
              </w:numPr>
            </w:pPr>
            <w:r>
              <w:t>Convulsions tonico-cloniques</w:t>
            </w:r>
          </w:p>
        </w:tc>
        <w:tc>
          <w:tcPr>
            <w:tcW w:w="3885" w:type="dxa"/>
            <w:shd w:val="clear" w:color="auto" w:fill="FFFF00"/>
          </w:tcPr>
          <w:p w:rsidR="00416347" w:rsidRDefault="00A57446" w:rsidP="00847867">
            <w:pPr>
              <w:pStyle w:val="Sansinterligne"/>
              <w:numPr>
                <w:ilvl w:val="0"/>
                <w:numId w:val="682"/>
              </w:numPr>
            </w:pPr>
            <w:r>
              <w:t>Traitement de support</w:t>
            </w:r>
          </w:p>
          <w:p w:rsidR="00A57446" w:rsidRDefault="00A57446" w:rsidP="00847867">
            <w:pPr>
              <w:pStyle w:val="Sansinterligne"/>
              <w:numPr>
                <w:ilvl w:val="0"/>
                <w:numId w:val="682"/>
              </w:numPr>
            </w:pPr>
            <w:r>
              <w:t>Benzodiazépines si agitation</w:t>
            </w:r>
          </w:p>
          <w:p w:rsidR="00A57446" w:rsidRPr="00C83566" w:rsidRDefault="00A57446" w:rsidP="00847867">
            <w:pPr>
              <w:pStyle w:val="Sansinterligne"/>
              <w:numPr>
                <w:ilvl w:val="0"/>
                <w:numId w:val="682"/>
              </w:numPr>
            </w:pPr>
            <w:r>
              <w:rPr>
                <w:noProof/>
                <w:lang w:eastAsia="fr-CA"/>
              </w:rPr>
              <w:drawing>
                <wp:anchor distT="0" distB="0" distL="114300" distR="114300" simplePos="0" relativeHeight="251848704" behindDoc="0" locked="0" layoutInCell="1" allowOverlap="1" wp14:anchorId="575DE39A" wp14:editId="47F16DDA">
                  <wp:simplePos x="0" y="0"/>
                  <wp:positionH relativeFrom="column">
                    <wp:posOffset>645355</wp:posOffset>
                  </wp:positionH>
                  <wp:positionV relativeFrom="paragraph">
                    <wp:posOffset>9337</wp:posOffset>
                  </wp:positionV>
                  <wp:extent cx="1731881" cy="856034"/>
                  <wp:effectExtent l="0" t="0" r="1905" b="1270"/>
                  <wp:wrapNone/>
                  <wp:docPr id="361" name="Image 361" descr="Résultats de recherche d'images pour « cocaïn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ésultats de recherche d'images pour « cocaïne »"/>
                          <pic:cNvPicPr>
                            <a:picLocks noChangeAspect="1" noChangeArrowheads="1"/>
                          </pic:cNvPicPr>
                        </pic:nvPicPr>
                        <pic:blipFill>
                          <a:blip r:embed="rId359" cstate="print">
                            <a:extLst>
                              <a:ext uri="{28A0092B-C50C-407E-A947-70E740481C1C}">
                                <a14:useLocalDpi xmlns:a14="http://schemas.microsoft.com/office/drawing/2010/main" val="0"/>
                              </a:ext>
                            </a:extLst>
                          </a:blip>
                          <a:srcRect/>
                          <a:stretch>
                            <a:fillRect/>
                          </a:stretch>
                        </pic:blipFill>
                        <pic:spPr bwMode="auto">
                          <a:xfrm>
                            <a:off x="0" y="0"/>
                            <a:ext cx="1731881" cy="856034"/>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cs="Times New Roman"/>
              </w:rPr>
              <w:t>ABC</w:t>
            </w:r>
          </w:p>
        </w:tc>
      </w:tr>
      <w:tr w:rsidR="00557456" w:rsidRPr="00C83566" w:rsidTr="00557456">
        <w:tc>
          <w:tcPr>
            <w:tcW w:w="2659" w:type="dxa"/>
            <w:vAlign w:val="center"/>
          </w:tcPr>
          <w:p w:rsidR="00557456" w:rsidRDefault="00557456" w:rsidP="00973B86">
            <w:pPr>
              <w:pStyle w:val="Sansinterligne"/>
              <w:jc w:val="center"/>
            </w:pPr>
            <w:r>
              <w:t>Intoxication aux amphétamines</w:t>
            </w:r>
          </w:p>
        </w:tc>
        <w:tc>
          <w:tcPr>
            <w:tcW w:w="2236" w:type="dxa"/>
            <w:tcBorders>
              <w:right w:val="single" w:sz="4" w:space="0" w:color="FFFFFF" w:themeColor="background1"/>
            </w:tcBorders>
          </w:tcPr>
          <w:p w:rsidR="00557456" w:rsidRDefault="00557456" w:rsidP="00557456">
            <w:pPr>
              <w:pStyle w:val="Sansinterligne"/>
            </w:pPr>
            <w:r>
              <w:t>Euphorie</w:t>
            </w:r>
          </w:p>
          <w:p w:rsidR="00557456" w:rsidRDefault="00557456" w:rsidP="00847867">
            <w:pPr>
              <w:pStyle w:val="Sansinterligne"/>
              <w:numPr>
                <w:ilvl w:val="0"/>
                <w:numId w:val="683"/>
              </w:numPr>
            </w:pPr>
            <w:r>
              <w:rPr>
                <w:rFonts w:ascii="Century Gothic" w:hAnsi="Century Gothic"/>
              </w:rPr>
              <w:t>↑</w:t>
            </w:r>
            <w:r>
              <w:t xml:space="preserve"> Concentration</w:t>
            </w:r>
          </w:p>
          <w:p w:rsidR="00557456" w:rsidRDefault="00557456" w:rsidP="00847867">
            <w:pPr>
              <w:pStyle w:val="Sansinterligne"/>
              <w:numPr>
                <w:ilvl w:val="0"/>
                <w:numId w:val="683"/>
              </w:numPr>
            </w:pPr>
            <w:r>
              <w:t>Tachycardie, hyperTA</w:t>
            </w:r>
          </w:p>
          <w:p w:rsidR="00557456" w:rsidRDefault="00557456" w:rsidP="00847867">
            <w:pPr>
              <w:pStyle w:val="Sansinterligne"/>
              <w:numPr>
                <w:ilvl w:val="0"/>
                <w:numId w:val="683"/>
              </w:numPr>
            </w:pPr>
            <w:r>
              <w:t>Psychose</w:t>
            </w:r>
          </w:p>
          <w:p w:rsidR="0066552B" w:rsidRDefault="0066552B" w:rsidP="0066552B">
            <w:pPr>
              <w:pStyle w:val="Sansinterligne"/>
            </w:pPr>
          </w:p>
          <w:p w:rsidR="0066552B" w:rsidRDefault="0066552B" w:rsidP="0066552B">
            <w:pPr>
              <w:pStyle w:val="Sansinterligne"/>
            </w:pPr>
          </w:p>
        </w:tc>
        <w:tc>
          <w:tcPr>
            <w:tcW w:w="2236" w:type="dxa"/>
            <w:gridSpan w:val="2"/>
            <w:tcBorders>
              <w:left w:val="single" w:sz="4" w:space="0" w:color="FFFFFF" w:themeColor="background1"/>
            </w:tcBorders>
          </w:tcPr>
          <w:p w:rsidR="00557456" w:rsidRDefault="00557456" w:rsidP="00847867">
            <w:pPr>
              <w:pStyle w:val="Sansinterligne"/>
              <w:numPr>
                <w:ilvl w:val="0"/>
                <w:numId w:val="683"/>
              </w:numPr>
            </w:pPr>
            <w:r>
              <w:t>Fourmillements</w:t>
            </w:r>
          </w:p>
          <w:p w:rsidR="00557456" w:rsidRDefault="00557456" w:rsidP="00847867">
            <w:pPr>
              <w:pStyle w:val="Sansinterligne"/>
              <w:numPr>
                <w:ilvl w:val="0"/>
                <w:numId w:val="683"/>
              </w:numPr>
            </w:pPr>
            <w:r>
              <w:t>Dystonies</w:t>
            </w:r>
          </w:p>
          <w:p w:rsidR="00557456" w:rsidRDefault="00557456" w:rsidP="00847867">
            <w:pPr>
              <w:pStyle w:val="Sansinterligne"/>
              <w:numPr>
                <w:ilvl w:val="0"/>
                <w:numId w:val="683"/>
              </w:numPr>
            </w:pPr>
            <w:r>
              <w:t>Dyskinésies</w:t>
            </w:r>
          </w:p>
          <w:p w:rsidR="00557456" w:rsidRPr="00C83566" w:rsidRDefault="00557456" w:rsidP="00847867">
            <w:pPr>
              <w:pStyle w:val="Sansinterligne"/>
              <w:numPr>
                <w:ilvl w:val="0"/>
                <w:numId w:val="683"/>
              </w:numPr>
            </w:pPr>
            <w:r>
              <w:t>Coma</w:t>
            </w:r>
          </w:p>
        </w:tc>
        <w:tc>
          <w:tcPr>
            <w:tcW w:w="3885" w:type="dxa"/>
          </w:tcPr>
          <w:p w:rsidR="00557456" w:rsidRDefault="00557456" w:rsidP="00847867">
            <w:pPr>
              <w:pStyle w:val="Sansinterligne"/>
              <w:numPr>
                <w:ilvl w:val="0"/>
                <w:numId w:val="685"/>
              </w:numPr>
            </w:pPr>
            <w:r>
              <w:t>Traitement de support</w:t>
            </w:r>
          </w:p>
          <w:p w:rsidR="00557456" w:rsidRPr="00C83566" w:rsidRDefault="00557456" w:rsidP="00847867">
            <w:pPr>
              <w:pStyle w:val="Sansinterligne"/>
              <w:numPr>
                <w:ilvl w:val="0"/>
                <w:numId w:val="685"/>
              </w:numPr>
            </w:pPr>
            <w:r>
              <w:t>Antipsychotiques si psychose</w:t>
            </w:r>
          </w:p>
        </w:tc>
      </w:tr>
      <w:tr w:rsidR="002908C7" w:rsidRPr="00C83566" w:rsidTr="002479F6">
        <w:tc>
          <w:tcPr>
            <w:tcW w:w="11016" w:type="dxa"/>
            <w:gridSpan w:val="5"/>
            <w:shd w:val="clear" w:color="auto" w:fill="9BBB59" w:themeFill="accent3"/>
            <w:vAlign w:val="center"/>
          </w:tcPr>
          <w:p w:rsidR="002908C7" w:rsidRPr="00C83566" w:rsidRDefault="002908C7" w:rsidP="0005403F">
            <w:pPr>
              <w:pStyle w:val="Sansinterligne"/>
              <w:jc w:val="center"/>
            </w:pPr>
            <w:r>
              <w:t>Autres</w:t>
            </w:r>
          </w:p>
        </w:tc>
      </w:tr>
      <w:tr w:rsidR="00F63289" w:rsidRPr="00C83566" w:rsidTr="00E12FA3">
        <w:tc>
          <w:tcPr>
            <w:tcW w:w="2659" w:type="dxa"/>
            <w:vAlign w:val="center"/>
          </w:tcPr>
          <w:p w:rsidR="002908C7" w:rsidRPr="00C83566" w:rsidRDefault="002908C7" w:rsidP="0005403F">
            <w:pPr>
              <w:pStyle w:val="Sansinterligne"/>
              <w:jc w:val="center"/>
            </w:pPr>
            <w:r>
              <w:t>Trouble de l’usage du tabac</w:t>
            </w:r>
          </w:p>
        </w:tc>
        <w:tc>
          <w:tcPr>
            <w:tcW w:w="4472" w:type="dxa"/>
            <w:gridSpan w:val="3"/>
            <w:vAlign w:val="center"/>
          </w:tcPr>
          <w:p w:rsidR="002908C7" w:rsidRPr="00C83566" w:rsidRDefault="00946D0E" w:rsidP="00B85C9D">
            <w:pPr>
              <w:pStyle w:val="Sansinterligne"/>
              <w:jc w:val="center"/>
            </w:pPr>
            <w:r>
              <w:t>Voir critères de trouble d’usage</w:t>
            </w:r>
          </w:p>
        </w:tc>
        <w:tc>
          <w:tcPr>
            <w:tcW w:w="3885" w:type="dxa"/>
          </w:tcPr>
          <w:p w:rsidR="002908C7" w:rsidRDefault="001E4A49" w:rsidP="00847867">
            <w:pPr>
              <w:pStyle w:val="Sansinterligne"/>
              <w:numPr>
                <w:ilvl w:val="0"/>
                <w:numId w:val="684"/>
              </w:numPr>
            </w:pPr>
            <w:r>
              <w:t>Arrêt tabagique</w:t>
            </w:r>
          </w:p>
          <w:p w:rsidR="001E4A49" w:rsidRDefault="001E4A49" w:rsidP="00847867">
            <w:pPr>
              <w:pStyle w:val="Sansinterligne"/>
              <w:numPr>
                <w:ilvl w:val="0"/>
                <w:numId w:val="684"/>
              </w:numPr>
            </w:pPr>
            <w:r>
              <w:t>Patch transdermiques (sevrage graduel)</w:t>
            </w:r>
          </w:p>
          <w:p w:rsidR="001E4A49" w:rsidRDefault="001E4A49" w:rsidP="00847867">
            <w:pPr>
              <w:pStyle w:val="Sansinterligne"/>
              <w:numPr>
                <w:ilvl w:val="0"/>
                <w:numId w:val="684"/>
              </w:numPr>
            </w:pPr>
            <w:r>
              <w:t>Gomme Nicorette</w:t>
            </w:r>
          </w:p>
          <w:p w:rsidR="001E4A49" w:rsidRPr="00C83566" w:rsidRDefault="00834344" w:rsidP="00847867">
            <w:pPr>
              <w:pStyle w:val="Sansinterligne"/>
              <w:numPr>
                <w:ilvl w:val="0"/>
                <w:numId w:val="684"/>
              </w:numPr>
            </w:pPr>
            <w:r>
              <w:rPr>
                <w:noProof/>
                <w:lang w:eastAsia="fr-CA"/>
              </w:rPr>
              <w:drawing>
                <wp:anchor distT="0" distB="0" distL="114300" distR="114300" simplePos="0" relativeHeight="251851776" behindDoc="1" locked="0" layoutInCell="1" allowOverlap="1" wp14:anchorId="5C8C8377" wp14:editId="159C5369">
                  <wp:simplePos x="0" y="0"/>
                  <wp:positionH relativeFrom="column">
                    <wp:posOffset>228275</wp:posOffset>
                  </wp:positionH>
                  <wp:positionV relativeFrom="paragraph">
                    <wp:posOffset>134269</wp:posOffset>
                  </wp:positionV>
                  <wp:extent cx="2072357" cy="1721795"/>
                  <wp:effectExtent l="0" t="0" r="4445" b="0"/>
                  <wp:wrapNone/>
                  <wp:docPr id="363" name="Image 363" descr="Résultats de recherche d'images pour « caféin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ésultats de recherche d'images pour « caféine »"/>
                          <pic:cNvPicPr>
                            <a:picLocks noChangeAspect="1" noChangeArrowheads="1"/>
                          </pic:cNvPicPr>
                        </pic:nvPicPr>
                        <pic:blipFill>
                          <a:blip r:embed="rId360">
                            <a:extLst>
                              <a:ext uri="{28A0092B-C50C-407E-A947-70E740481C1C}">
                                <a14:useLocalDpi xmlns:a14="http://schemas.microsoft.com/office/drawing/2010/main" val="0"/>
                              </a:ext>
                            </a:extLst>
                          </a:blip>
                          <a:srcRect/>
                          <a:stretch>
                            <a:fillRect/>
                          </a:stretch>
                        </pic:blipFill>
                        <pic:spPr bwMode="auto">
                          <a:xfrm>
                            <a:off x="0" y="0"/>
                            <a:ext cx="2074645" cy="1723696"/>
                          </a:xfrm>
                          <a:prstGeom prst="rect">
                            <a:avLst/>
                          </a:prstGeom>
                          <a:noFill/>
                          <a:ln>
                            <a:noFill/>
                          </a:ln>
                        </pic:spPr>
                      </pic:pic>
                    </a:graphicData>
                  </a:graphic>
                  <wp14:sizeRelH relativeFrom="page">
                    <wp14:pctWidth>0</wp14:pctWidth>
                  </wp14:sizeRelH>
                  <wp14:sizeRelV relativeFrom="page">
                    <wp14:pctHeight>0</wp14:pctHeight>
                  </wp14:sizeRelV>
                </wp:anchor>
              </w:drawing>
            </w:r>
            <w:r w:rsidR="001E4A49">
              <w:t xml:space="preserve">Conseils, </w:t>
            </w:r>
            <w:r w:rsidR="001E4A49">
              <w:rPr>
                <w:rFonts w:cs="Times New Roman"/>
              </w:rPr>
              <w:t>↓</w:t>
            </w:r>
            <w:r w:rsidR="001E4A49">
              <w:t xml:space="preserve"> mode de vie</w:t>
            </w:r>
          </w:p>
        </w:tc>
      </w:tr>
      <w:tr w:rsidR="00F63289" w:rsidRPr="00C83566" w:rsidTr="00F63289">
        <w:tc>
          <w:tcPr>
            <w:tcW w:w="2659" w:type="dxa"/>
            <w:vAlign w:val="center"/>
          </w:tcPr>
          <w:p w:rsidR="00F63289" w:rsidRPr="00C83566" w:rsidRDefault="00F63289" w:rsidP="0005403F">
            <w:pPr>
              <w:pStyle w:val="Sansinterligne"/>
              <w:jc w:val="center"/>
            </w:pPr>
            <w:r>
              <w:t>Intoxication à la caféine</w:t>
            </w:r>
          </w:p>
        </w:tc>
        <w:tc>
          <w:tcPr>
            <w:tcW w:w="2236" w:type="dxa"/>
            <w:tcBorders>
              <w:right w:val="single" w:sz="4" w:space="0" w:color="FFFFFF" w:themeColor="background1"/>
            </w:tcBorders>
          </w:tcPr>
          <w:p w:rsidR="00F63289" w:rsidRDefault="00F63289" w:rsidP="00847867">
            <w:pPr>
              <w:pStyle w:val="Sansinterligne"/>
              <w:numPr>
                <w:ilvl w:val="0"/>
                <w:numId w:val="684"/>
              </w:numPr>
            </w:pPr>
            <w:r>
              <w:t>Fébrilité / Nervosité</w:t>
            </w:r>
          </w:p>
          <w:p w:rsidR="00F63289" w:rsidRDefault="00F63289" w:rsidP="00847867">
            <w:pPr>
              <w:pStyle w:val="Sansinterligne"/>
              <w:numPr>
                <w:ilvl w:val="0"/>
                <w:numId w:val="684"/>
              </w:numPr>
            </w:pPr>
            <w:r>
              <w:t>Excitation</w:t>
            </w:r>
          </w:p>
          <w:p w:rsidR="00F63289" w:rsidRDefault="00F63289" w:rsidP="00847867">
            <w:pPr>
              <w:pStyle w:val="Sansinterligne"/>
              <w:numPr>
                <w:ilvl w:val="0"/>
                <w:numId w:val="684"/>
              </w:numPr>
            </w:pPr>
            <w:r>
              <w:t>Insomnie</w:t>
            </w:r>
          </w:p>
          <w:p w:rsidR="00F63289" w:rsidRDefault="00F63289" w:rsidP="00847867">
            <w:pPr>
              <w:pStyle w:val="Sansinterligne"/>
              <w:numPr>
                <w:ilvl w:val="0"/>
                <w:numId w:val="684"/>
              </w:numPr>
            </w:pPr>
            <w:r>
              <w:t>Faciès rouge</w:t>
            </w:r>
          </w:p>
          <w:p w:rsidR="00F63289" w:rsidRDefault="00F63289" w:rsidP="00847867">
            <w:pPr>
              <w:pStyle w:val="Sansinterligne"/>
              <w:numPr>
                <w:ilvl w:val="0"/>
                <w:numId w:val="684"/>
              </w:numPr>
            </w:pPr>
            <w:r>
              <w:t xml:space="preserve">Diurèse </w:t>
            </w:r>
            <w:r>
              <w:rPr>
                <w:rFonts w:ascii="Century Gothic" w:hAnsi="Century Gothic"/>
              </w:rPr>
              <w:t>↑</w:t>
            </w:r>
          </w:p>
          <w:p w:rsidR="00F63289" w:rsidRDefault="00F63289" w:rsidP="00847867">
            <w:pPr>
              <w:pStyle w:val="Sansinterligne"/>
              <w:numPr>
                <w:ilvl w:val="0"/>
                <w:numId w:val="684"/>
              </w:numPr>
            </w:pPr>
            <w:r>
              <w:t>Tr. Gastro-intestinaux</w:t>
            </w:r>
          </w:p>
          <w:p w:rsidR="00F63289" w:rsidRDefault="00F63289" w:rsidP="00847867">
            <w:pPr>
              <w:pStyle w:val="Sansinterligne"/>
              <w:numPr>
                <w:ilvl w:val="0"/>
                <w:numId w:val="684"/>
              </w:numPr>
            </w:pPr>
            <w:r>
              <w:t>Soubresauts musculaires</w:t>
            </w:r>
          </w:p>
        </w:tc>
        <w:tc>
          <w:tcPr>
            <w:tcW w:w="2236" w:type="dxa"/>
            <w:gridSpan w:val="2"/>
            <w:tcBorders>
              <w:left w:val="single" w:sz="4" w:space="0" w:color="FFFFFF" w:themeColor="background1"/>
            </w:tcBorders>
          </w:tcPr>
          <w:p w:rsidR="00F63289" w:rsidRDefault="00F63289" w:rsidP="00847867">
            <w:pPr>
              <w:pStyle w:val="Sansinterligne"/>
              <w:numPr>
                <w:ilvl w:val="0"/>
                <w:numId w:val="684"/>
              </w:numPr>
            </w:pPr>
            <w:r>
              <w:t>Pensées/discours décousu</w:t>
            </w:r>
          </w:p>
          <w:p w:rsidR="00F63289" w:rsidRDefault="00F63289" w:rsidP="00847867">
            <w:pPr>
              <w:pStyle w:val="Sansinterligne"/>
              <w:numPr>
                <w:ilvl w:val="0"/>
                <w:numId w:val="684"/>
              </w:numPr>
            </w:pPr>
            <w:r>
              <w:t>Tachycardie / arythmie</w:t>
            </w:r>
          </w:p>
          <w:p w:rsidR="00F63289" w:rsidRDefault="00F63289" w:rsidP="00847867">
            <w:pPr>
              <w:pStyle w:val="Sansinterligne"/>
              <w:numPr>
                <w:ilvl w:val="0"/>
                <w:numId w:val="684"/>
              </w:numPr>
            </w:pPr>
            <w:r>
              <w:t>Période d’infatigabilité</w:t>
            </w:r>
          </w:p>
          <w:p w:rsidR="00F63289" w:rsidRPr="00C83566" w:rsidRDefault="00F63289" w:rsidP="00847867">
            <w:pPr>
              <w:pStyle w:val="Sansinterligne"/>
              <w:numPr>
                <w:ilvl w:val="0"/>
                <w:numId w:val="684"/>
              </w:numPr>
            </w:pPr>
            <w:r>
              <w:t>Agitation psychomotrice</w:t>
            </w:r>
          </w:p>
        </w:tc>
        <w:tc>
          <w:tcPr>
            <w:tcW w:w="3885" w:type="dxa"/>
          </w:tcPr>
          <w:p w:rsidR="00F63289" w:rsidRPr="00C83566" w:rsidRDefault="00F63289" w:rsidP="00847867">
            <w:pPr>
              <w:pStyle w:val="Sansinterligne"/>
              <w:numPr>
                <w:ilvl w:val="0"/>
                <w:numId w:val="686"/>
              </w:numPr>
            </w:pPr>
            <w:r>
              <w:t>Traitement de support</w:t>
            </w:r>
          </w:p>
        </w:tc>
      </w:tr>
    </w:tbl>
    <w:p w:rsidR="000A2BCE" w:rsidRDefault="000A2BCE" w:rsidP="00C83566">
      <w:pPr>
        <w:pStyle w:val="Sansinterligne"/>
      </w:pPr>
    </w:p>
    <w:p w:rsidR="0005403F" w:rsidRPr="00F70040" w:rsidRDefault="0005403F" w:rsidP="00F70040">
      <w:pPr>
        <w:pStyle w:val="Sansinterligne"/>
        <w:jc w:val="center"/>
        <w:rPr>
          <w:i/>
        </w:rPr>
      </w:pPr>
      <w:r w:rsidRPr="00F70040">
        <w:rPr>
          <w:i/>
        </w:rPr>
        <w:t>Trouble de dépendance non-lié à une substance</w:t>
      </w:r>
    </w:p>
    <w:p w:rsidR="0005403F" w:rsidRDefault="0005403F" w:rsidP="00C83566">
      <w:pPr>
        <w:pStyle w:val="Sansinterligne"/>
      </w:pPr>
    </w:p>
    <w:tbl>
      <w:tblPr>
        <w:tblStyle w:val="Grilledutableau"/>
        <w:tblW w:w="0" w:type="auto"/>
        <w:tblLook w:val="04A0" w:firstRow="1" w:lastRow="0" w:firstColumn="1" w:lastColumn="0" w:noHBand="0" w:noVBand="1"/>
      </w:tblPr>
      <w:tblGrid>
        <w:gridCol w:w="675"/>
        <w:gridCol w:w="6618"/>
        <w:gridCol w:w="3647"/>
      </w:tblGrid>
      <w:tr w:rsidR="00C8742A" w:rsidTr="00C8742A">
        <w:tc>
          <w:tcPr>
            <w:tcW w:w="7293" w:type="dxa"/>
            <w:gridSpan w:val="2"/>
            <w:shd w:val="clear" w:color="auto" w:fill="D6E3BC" w:themeFill="accent3" w:themeFillTint="66"/>
          </w:tcPr>
          <w:p w:rsidR="00C8742A" w:rsidRDefault="00C8742A" w:rsidP="008A4A9C">
            <w:pPr>
              <w:pStyle w:val="Sansinterligne"/>
              <w:jc w:val="center"/>
            </w:pPr>
            <w:r>
              <w:t>Manifestation clinique</w:t>
            </w:r>
          </w:p>
        </w:tc>
        <w:tc>
          <w:tcPr>
            <w:tcW w:w="3647" w:type="dxa"/>
            <w:shd w:val="clear" w:color="auto" w:fill="D6E3BC" w:themeFill="accent3" w:themeFillTint="66"/>
          </w:tcPr>
          <w:p w:rsidR="00C8742A" w:rsidRDefault="00C8742A" w:rsidP="008A4A9C">
            <w:pPr>
              <w:pStyle w:val="Sansinterligne"/>
              <w:jc w:val="center"/>
            </w:pPr>
            <w:r>
              <w:t>Traitement</w:t>
            </w:r>
          </w:p>
        </w:tc>
      </w:tr>
      <w:tr w:rsidR="000A2BCE" w:rsidTr="002479F6">
        <w:trPr>
          <w:cantSplit/>
          <w:trHeight w:val="1134"/>
        </w:trPr>
        <w:tc>
          <w:tcPr>
            <w:tcW w:w="675" w:type="dxa"/>
            <w:shd w:val="clear" w:color="auto" w:fill="9BBB59" w:themeFill="accent3"/>
            <w:textDirection w:val="btLr"/>
            <w:vAlign w:val="center"/>
          </w:tcPr>
          <w:p w:rsidR="000A2BCE" w:rsidRPr="00F70040" w:rsidRDefault="0005403F" w:rsidP="00F70040">
            <w:pPr>
              <w:pStyle w:val="Sansinterligne"/>
              <w:ind w:left="113" w:right="113"/>
              <w:jc w:val="center"/>
              <w:rPr>
                <w:b/>
              </w:rPr>
            </w:pPr>
            <w:r w:rsidRPr="00F70040">
              <w:rPr>
                <w:b/>
              </w:rPr>
              <w:t>Jeu d’argent pathologique</w:t>
            </w:r>
          </w:p>
        </w:tc>
        <w:tc>
          <w:tcPr>
            <w:tcW w:w="6618" w:type="dxa"/>
          </w:tcPr>
          <w:p w:rsidR="000A2BCE" w:rsidRPr="00F70040" w:rsidRDefault="00F70040" w:rsidP="00F70040">
            <w:pPr>
              <w:pStyle w:val="Sansinterligne"/>
              <w:numPr>
                <w:ilvl w:val="0"/>
                <w:numId w:val="660"/>
              </w:numPr>
              <w:rPr>
                <w:highlight w:val="yellow"/>
              </w:rPr>
            </w:pPr>
            <w:r w:rsidRPr="00F70040">
              <w:rPr>
                <w:highlight w:val="yellow"/>
              </w:rPr>
              <w:t xml:space="preserve">Pratique inadaptée, persistante et répétée du jeu d’argent conduisant à une souffrance cliniquement significative ou un dysfonctionnement, </w:t>
            </w:r>
            <w:r w:rsidRPr="00F70040">
              <w:rPr>
                <w:rFonts w:ascii="Century Gothic" w:hAnsi="Century Gothic"/>
                <w:highlight w:val="yellow"/>
              </w:rPr>
              <w:t>≥</w:t>
            </w:r>
            <w:r w:rsidRPr="00F70040">
              <w:rPr>
                <w:highlight w:val="yellow"/>
              </w:rPr>
              <w:t xml:space="preserve"> 4 des suivants :</w:t>
            </w:r>
          </w:p>
          <w:p w:rsidR="00F70040" w:rsidRDefault="00F70040" w:rsidP="00F70040">
            <w:pPr>
              <w:pStyle w:val="Sansinterligne"/>
              <w:numPr>
                <w:ilvl w:val="1"/>
                <w:numId w:val="660"/>
              </w:numPr>
            </w:pPr>
            <w:r>
              <w:t>Besoin de jouer avec des sommes d’argent croissante pour atteindre l’état d’excitation désiré</w:t>
            </w:r>
          </w:p>
          <w:p w:rsidR="00F70040" w:rsidRDefault="00F70040" w:rsidP="00F70040">
            <w:pPr>
              <w:pStyle w:val="Sansinterligne"/>
              <w:numPr>
                <w:ilvl w:val="1"/>
                <w:numId w:val="660"/>
              </w:numPr>
            </w:pPr>
            <w:r>
              <w:t>Agitation ou irritabilité lors des tentatives de réduction ou d’arrêt du jeu</w:t>
            </w:r>
          </w:p>
          <w:p w:rsidR="00F70040" w:rsidRDefault="00F70040" w:rsidP="00F70040">
            <w:pPr>
              <w:pStyle w:val="Sansinterligne"/>
              <w:numPr>
                <w:ilvl w:val="1"/>
                <w:numId w:val="660"/>
              </w:numPr>
            </w:pPr>
            <w:r>
              <w:t>Préoccupation par le jeu (souvenirs, prévisions, etc.)</w:t>
            </w:r>
          </w:p>
          <w:p w:rsidR="00F70040" w:rsidRDefault="00F70040" w:rsidP="00F70040">
            <w:pPr>
              <w:pStyle w:val="Sansinterligne"/>
              <w:numPr>
                <w:ilvl w:val="1"/>
                <w:numId w:val="660"/>
              </w:numPr>
            </w:pPr>
            <w:r>
              <w:t>Joue souvent lors des sentiments de souffrance/mal-être</w:t>
            </w:r>
          </w:p>
          <w:p w:rsidR="00F70040" w:rsidRDefault="00F70040" w:rsidP="00F70040">
            <w:pPr>
              <w:pStyle w:val="Sansinterligne"/>
              <w:numPr>
                <w:ilvl w:val="1"/>
                <w:numId w:val="660"/>
              </w:numPr>
            </w:pPr>
            <w:r>
              <w:t>Après avoir perdu de l’argent au jeu, retourne souvent un autre jour pour récupérer ses pertes, se refaire</w:t>
            </w:r>
          </w:p>
          <w:p w:rsidR="00F70040" w:rsidRDefault="00F70040" w:rsidP="00F70040">
            <w:pPr>
              <w:pStyle w:val="Sansinterligne"/>
              <w:numPr>
                <w:ilvl w:val="1"/>
                <w:numId w:val="660"/>
              </w:numPr>
            </w:pPr>
            <w:r>
              <w:t>Ment pour dissimuler l’ampleur réelle de ses habitudes de jeu</w:t>
            </w:r>
          </w:p>
          <w:p w:rsidR="00F70040" w:rsidRDefault="00F70040" w:rsidP="00F70040">
            <w:pPr>
              <w:pStyle w:val="Sansinterligne"/>
              <w:numPr>
                <w:ilvl w:val="1"/>
                <w:numId w:val="660"/>
              </w:numPr>
            </w:pPr>
            <w:r>
              <w:t>Met en danger ou a perdu une relation affective importante, un emploi ou une possibilité d’étude ou de carrière à cause du jeu</w:t>
            </w:r>
          </w:p>
          <w:p w:rsidR="00F70040" w:rsidRDefault="00F70040" w:rsidP="00F70040">
            <w:pPr>
              <w:pStyle w:val="Sansinterligne"/>
              <w:numPr>
                <w:ilvl w:val="1"/>
                <w:numId w:val="660"/>
              </w:numPr>
            </w:pPr>
            <w:r>
              <w:t>Compte sur les autres pour obtenir de l’argent ou se sortir de situations financières désespérées dues au jeu</w:t>
            </w:r>
          </w:p>
          <w:p w:rsidR="00F70040" w:rsidRDefault="00F70040" w:rsidP="00F70040">
            <w:pPr>
              <w:pStyle w:val="Sansinterligne"/>
              <w:numPr>
                <w:ilvl w:val="0"/>
                <w:numId w:val="660"/>
              </w:numPr>
            </w:pPr>
            <w:r w:rsidRPr="00F70040">
              <w:rPr>
                <w:highlight w:val="yellow"/>
              </w:rPr>
              <w:t>Le jeu n’est pas mieux expliqué par un épisode maniaque.</w:t>
            </w:r>
          </w:p>
        </w:tc>
        <w:tc>
          <w:tcPr>
            <w:tcW w:w="3647" w:type="dxa"/>
          </w:tcPr>
          <w:p w:rsidR="000A2BCE" w:rsidRDefault="008A4A9C" w:rsidP="008A4A9C">
            <w:pPr>
              <w:pStyle w:val="Sansinterligne"/>
              <w:numPr>
                <w:ilvl w:val="0"/>
                <w:numId w:val="661"/>
              </w:numPr>
              <w:ind w:left="360"/>
            </w:pPr>
            <w:r>
              <w:t>Peu de données</w:t>
            </w:r>
          </w:p>
          <w:p w:rsidR="008A4A9C" w:rsidRDefault="008A4A9C" w:rsidP="008A4A9C">
            <w:pPr>
              <w:pStyle w:val="Sansinterligne"/>
            </w:pPr>
          </w:p>
          <w:p w:rsidR="008A4A9C" w:rsidRDefault="008A4A9C" w:rsidP="008A4A9C">
            <w:pPr>
              <w:pStyle w:val="Sansinterligne"/>
              <w:numPr>
                <w:ilvl w:val="0"/>
                <w:numId w:val="661"/>
              </w:numPr>
              <w:ind w:left="360"/>
            </w:pPr>
            <w:r>
              <w:t>Impliquer la famille et les proches dans le support, l’abstinence et la détection.</w:t>
            </w:r>
          </w:p>
          <w:p w:rsidR="008A4A9C" w:rsidRDefault="008A4A9C" w:rsidP="008A4A9C">
            <w:pPr>
              <w:pStyle w:val="Sansinterligne"/>
            </w:pPr>
          </w:p>
          <w:p w:rsidR="008A4A9C" w:rsidRDefault="008A4A9C" w:rsidP="008A4A9C">
            <w:pPr>
              <w:pStyle w:val="Sansinterligne"/>
              <w:numPr>
                <w:ilvl w:val="0"/>
                <w:numId w:val="661"/>
              </w:numPr>
              <w:ind w:left="360"/>
            </w:pPr>
            <w:r>
              <w:t>Psychothérapie TCC peut aider.</w:t>
            </w:r>
          </w:p>
          <w:p w:rsidR="008A4A9C" w:rsidRDefault="008A4A9C" w:rsidP="008A4A9C">
            <w:pPr>
              <w:pStyle w:val="Sansinterligne"/>
            </w:pPr>
          </w:p>
          <w:p w:rsidR="008A4A9C" w:rsidRDefault="008A4A9C" w:rsidP="008A4A9C">
            <w:pPr>
              <w:pStyle w:val="Sansinterligne"/>
              <w:numPr>
                <w:ilvl w:val="0"/>
                <w:numId w:val="661"/>
              </w:numPr>
              <w:ind w:left="360"/>
            </w:pPr>
            <w:r>
              <w:t>Traiter les comorbidités psychiatriques si présentes,</w:t>
            </w:r>
          </w:p>
          <w:p w:rsidR="008A4A9C" w:rsidRDefault="008A4A9C" w:rsidP="008A4A9C">
            <w:pPr>
              <w:pStyle w:val="Sansinterligne"/>
            </w:pPr>
          </w:p>
          <w:p w:rsidR="008A4A9C" w:rsidRPr="008A4A9C" w:rsidRDefault="008A4A9C" w:rsidP="008A4A9C">
            <w:pPr>
              <w:pStyle w:val="Sansinterligne"/>
              <w:rPr>
                <w:u w:val="single"/>
              </w:rPr>
            </w:pPr>
            <w:r w:rsidRPr="008A4A9C">
              <w:rPr>
                <w:u w:val="single"/>
              </w:rPr>
              <w:t>Groupes de soutien pour le patient :</w:t>
            </w:r>
          </w:p>
          <w:p w:rsidR="008A4A9C" w:rsidRDefault="008A4A9C" w:rsidP="008A4A9C">
            <w:pPr>
              <w:pStyle w:val="Sansinterligne"/>
              <w:numPr>
                <w:ilvl w:val="0"/>
                <w:numId w:val="661"/>
              </w:numPr>
              <w:ind w:left="360"/>
            </w:pPr>
            <w:r>
              <w:t>Maison Jean Lapointe</w:t>
            </w:r>
          </w:p>
          <w:p w:rsidR="008A4A9C" w:rsidRDefault="008A4A9C" w:rsidP="008A4A9C">
            <w:pPr>
              <w:pStyle w:val="Sansinterligne"/>
              <w:numPr>
                <w:ilvl w:val="0"/>
                <w:numId w:val="661"/>
              </w:numPr>
              <w:ind w:left="360"/>
            </w:pPr>
            <w:r>
              <w:t>Centre de thérapie Casa</w:t>
            </w:r>
          </w:p>
          <w:p w:rsidR="008A4A9C" w:rsidRDefault="008A4A9C" w:rsidP="008A4A9C">
            <w:pPr>
              <w:pStyle w:val="Sansinterligne"/>
            </w:pPr>
          </w:p>
          <w:p w:rsidR="008A4A9C" w:rsidRDefault="008A4A9C" w:rsidP="008A4A9C">
            <w:pPr>
              <w:pStyle w:val="Sansinterligne"/>
            </w:pPr>
            <w:r w:rsidRPr="008A4A9C">
              <w:rPr>
                <w:u w:val="single"/>
              </w:rPr>
              <w:t>Groupe de soutien pour les proches </w:t>
            </w:r>
            <w:r>
              <w:t>:</w:t>
            </w:r>
          </w:p>
          <w:p w:rsidR="008A4A9C" w:rsidRDefault="008A4A9C" w:rsidP="008A4A9C">
            <w:pPr>
              <w:pStyle w:val="Sansinterligne"/>
              <w:numPr>
                <w:ilvl w:val="0"/>
                <w:numId w:val="661"/>
              </w:numPr>
              <w:ind w:left="360"/>
            </w:pPr>
            <w:r>
              <w:t>GamAnon</w:t>
            </w:r>
          </w:p>
          <w:p w:rsidR="008A4A9C" w:rsidRDefault="008A4A9C" w:rsidP="00C83566">
            <w:pPr>
              <w:pStyle w:val="Sansinterligne"/>
            </w:pPr>
          </w:p>
        </w:tc>
      </w:tr>
    </w:tbl>
    <w:p w:rsidR="004C69ED" w:rsidRPr="00C83566" w:rsidRDefault="004C69ED" w:rsidP="00C83566">
      <w:pPr>
        <w:pStyle w:val="Sansinterligne"/>
      </w:pPr>
    </w:p>
    <w:p w:rsidR="00E8617C" w:rsidRDefault="00DC0FC4">
      <w:pPr>
        <w:rPr>
          <w:rFonts w:cs="Times New Roman"/>
          <w:b/>
          <w:color w:val="548DD4" w:themeColor="text2" w:themeTint="99"/>
        </w:rPr>
      </w:pPr>
      <w:r>
        <w:rPr>
          <w:noProof/>
          <w:lang w:eastAsia="fr-CA"/>
        </w:rPr>
        <w:drawing>
          <wp:anchor distT="0" distB="0" distL="114300" distR="114300" simplePos="0" relativeHeight="251847680" behindDoc="0" locked="0" layoutInCell="1" allowOverlap="1" wp14:anchorId="5A5547DD" wp14:editId="14B2C334">
            <wp:simplePos x="0" y="0"/>
            <wp:positionH relativeFrom="column">
              <wp:posOffset>2509735</wp:posOffset>
            </wp:positionH>
            <wp:positionV relativeFrom="paragraph">
              <wp:posOffset>89942</wp:posOffset>
            </wp:positionV>
            <wp:extent cx="2324911" cy="1876060"/>
            <wp:effectExtent l="0" t="0" r="0" b="0"/>
            <wp:wrapNone/>
            <wp:docPr id="352" name="Image 352" descr="Résultats de recherche d'images pour « jeu de dé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ésultats de recherche d'images pour « jeu de dés »"/>
                    <pic:cNvPicPr>
                      <a:picLocks noChangeAspect="1" noChangeArrowheads="1"/>
                    </pic:cNvPicPr>
                  </pic:nvPicPr>
                  <pic:blipFill>
                    <a:blip r:embed="rId361">
                      <a:extLst>
                        <a:ext uri="{28A0092B-C50C-407E-A947-70E740481C1C}">
                          <a14:useLocalDpi xmlns:a14="http://schemas.microsoft.com/office/drawing/2010/main" val="0"/>
                        </a:ext>
                      </a:extLst>
                    </a:blip>
                    <a:srcRect/>
                    <a:stretch>
                      <a:fillRect/>
                    </a:stretch>
                  </pic:blipFill>
                  <pic:spPr bwMode="auto">
                    <a:xfrm>
                      <a:off x="0" y="0"/>
                      <a:ext cx="2324595" cy="1875805"/>
                    </a:xfrm>
                    <a:prstGeom prst="rect">
                      <a:avLst/>
                    </a:prstGeom>
                    <a:noFill/>
                    <a:ln>
                      <a:noFill/>
                    </a:ln>
                  </pic:spPr>
                </pic:pic>
              </a:graphicData>
            </a:graphic>
            <wp14:sizeRelH relativeFrom="page">
              <wp14:pctWidth>0</wp14:pctWidth>
            </wp14:sizeRelH>
            <wp14:sizeRelV relativeFrom="page">
              <wp14:pctHeight>0</wp14:pctHeight>
            </wp14:sizeRelV>
          </wp:anchor>
        </w:drawing>
      </w:r>
      <w:r w:rsidR="00E8617C">
        <w:rPr>
          <w:rFonts w:cs="Times New Roman"/>
          <w:b/>
          <w:color w:val="548DD4" w:themeColor="text2" w:themeTint="99"/>
        </w:rPr>
        <w:br w:type="page"/>
      </w:r>
    </w:p>
    <w:p w:rsidR="004C69ED" w:rsidRDefault="004C69ED" w:rsidP="00E06BD8">
      <w:pPr>
        <w:spacing w:after="0"/>
        <w:rPr>
          <w:rFonts w:cs="Times New Roman"/>
          <w:b/>
          <w:color w:val="548DD4" w:themeColor="text2" w:themeTint="99"/>
        </w:rPr>
      </w:pPr>
      <w:r>
        <w:rPr>
          <w:rFonts w:cs="Times New Roman"/>
          <w:b/>
          <w:color w:val="548DD4" w:themeColor="text2" w:themeTint="99"/>
        </w:rPr>
        <w:t>CMC 103-1</w:t>
      </w:r>
    </w:p>
    <w:p w:rsidR="004C69ED" w:rsidRDefault="004C69ED" w:rsidP="004C69ED">
      <w:pPr>
        <w:pStyle w:val="Titre3"/>
        <w:spacing w:before="0"/>
      </w:pPr>
      <w:bookmarkStart w:id="382" w:name="_Toc480797333"/>
      <w:r>
        <w:t>Sevrage à une substance</w:t>
      </w:r>
      <w:bookmarkEnd w:id="382"/>
    </w:p>
    <w:p w:rsidR="004C69ED" w:rsidRDefault="004C69ED" w:rsidP="00E06BD8">
      <w:pPr>
        <w:spacing w:after="0"/>
        <w:rPr>
          <w:rFonts w:cs="Times New Roman"/>
          <w:b/>
          <w:color w:val="548DD4" w:themeColor="text2" w:themeTint="99"/>
        </w:rPr>
      </w:pPr>
      <w:r>
        <w:rPr>
          <w:rFonts w:cs="Times New Roman"/>
          <w:b/>
          <w:noProof/>
          <w:color w:val="548DD4" w:themeColor="text2" w:themeTint="99"/>
          <w:lang w:eastAsia="fr-CA"/>
        </w:rPr>
        <mc:AlternateContent>
          <mc:Choice Requires="wps">
            <w:drawing>
              <wp:anchor distT="0" distB="0" distL="114300" distR="114300" simplePos="0" relativeHeight="251844608" behindDoc="0" locked="0" layoutInCell="1" allowOverlap="1" wp14:anchorId="28F7542B" wp14:editId="3364CAE4">
                <wp:simplePos x="0" y="0"/>
                <wp:positionH relativeFrom="column">
                  <wp:posOffset>-67688</wp:posOffset>
                </wp:positionH>
                <wp:positionV relativeFrom="paragraph">
                  <wp:posOffset>149860</wp:posOffset>
                </wp:positionV>
                <wp:extent cx="6877455" cy="3190672"/>
                <wp:effectExtent l="0" t="0" r="19050" b="10160"/>
                <wp:wrapNone/>
                <wp:docPr id="360" name="Rectangle 360"/>
                <wp:cNvGraphicFramePr/>
                <a:graphic xmlns:a="http://schemas.openxmlformats.org/drawingml/2006/main">
                  <a:graphicData uri="http://schemas.microsoft.com/office/word/2010/wordprocessingShape">
                    <wps:wsp>
                      <wps:cNvSpPr/>
                      <wps:spPr>
                        <a:xfrm>
                          <a:off x="0" y="0"/>
                          <a:ext cx="6877455" cy="3190672"/>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360" o:spid="_x0000_s1026" style="position:absolute;margin-left:-5.35pt;margin-top:11.8pt;width:541.55pt;height:251.25pt;z-index:2518446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" filled="f" strokecolor="black [1600]" strokeweight="2pt"/>
            </w:pict>
          </mc:Fallback>
        </mc:AlternateContent>
      </w:r>
    </w:p>
    <w:tbl>
      <w:tblPr>
        <w:tblW w:w="3858" w:type="pct"/>
        <w:tblCellSpacing w:w="0" w:type="dxa"/>
        <w:tblCellMar>
          <w:left w:w="0" w:type="dxa"/>
          <w:right w:w="0" w:type="dxa"/>
        </w:tblCellMar>
        <w:tblLook w:val="04A0" w:firstRow="1" w:lastRow="0" w:firstColumn="1" w:lastColumn="0" w:noHBand="0" w:noVBand="1"/>
      </w:tblPr>
      <w:tblGrid>
        <w:gridCol w:w="8333"/>
      </w:tblGrid>
      <w:tr w:rsidR="004C69ED" w:rsidRPr="004C69ED" w:rsidTr="004C69ED">
        <w:trPr>
          <w:tblCellSpacing w:w="0" w:type="dxa"/>
        </w:trPr>
        <w:tc>
          <w:tcPr>
            <w:tcW w:w="0" w:type="auto"/>
            <w:vAlign w:val="bottom"/>
            <w:hideMark/>
          </w:tcPr>
          <w:p w:rsidR="004C69ED" w:rsidRPr="00BD1872" w:rsidRDefault="004C69ED" w:rsidP="00BD1872">
            <w:pPr>
              <w:pStyle w:val="Sansinterligne"/>
              <w:rPr>
                <w:b/>
                <w:sz w:val="18"/>
                <w:szCs w:val="18"/>
              </w:rPr>
            </w:pPr>
            <w:r w:rsidRPr="00BD1872">
              <w:rPr>
                <w:b/>
                <w:sz w:val="18"/>
                <w:szCs w:val="18"/>
              </w:rPr>
              <w:t>Objectifs principaux</w:t>
            </w:r>
          </w:p>
        </w:tc>
      </w:tr>
    </w:tbl>
    <w:p w:rsidR="004C69ED" w:rsidRPr="004C69ED" w:rsidRDefault="004C69ED" w:rsidP="004C69ED">
      <w:pPr>
        <w:pStyle w:val="NormalWeb"/>
        <w:ind w:left="360"/>
        <w:rPr>
          <w:color w:val="000000"/>
          <w:sz w:val="18"/>
          <w:szCs w:val="18"/>
          <w:shd w:val="clear" w:color="auto" w:fill="FFFFFF"/>
        </w:rPr>
      </w:pPr>
      <w:r w:rsidRPr="004C69ED">
        <w:rPr>
          <w:color w:val="000000"/>
          <w:sz w:val="18"/>
          <w:szCs w:val="18"/>
          <w:shd w:val="clear" w:color="auto" w:fill="FFFFFF"/>
        </w:rPr>
        <w:t>Dans le cas d'un patient présentant des symptômes de sevrage, le candidat devra pouvoir déterminer la nature du problème et les risques possibles, et juger de la nécessité de l'orienter vers des services de soutien et d'intervention à court et à long termes.</w:t>
      </w:r>
    </w:p>
    <w:tbl>
      <w:tblPr>
        <w:tblW w:w="3897" w:type="pct"/>
        <w:tblCellSpacing w:w="0" w:type="dxa"/>
        <w:tblCellMar>
          <w:left w:w="0" w:type="dxa"/>
          <w:right w:w="0" w:type="dxa"/>
        </w:tblCellMar>
        <w:tblLook w:val="04A0" w:firstRow="1" w:lastRow="0" w:firstColumn="1" w:lastColumn="0" w:noHBand="0" w:noVBand="1"/>
      </w:tblPr>
      <w:tblGrid>
        <w:gridCol w:w="8418"/>
      </w:tblGrid>
      <w:tr w:rsidR="004C69ED" w:rsidRPr="004C69ED" w:rsidTr="004C69ED">
        <w:trPr>
          <w:tblCellSpacing w:w="0" w:type="dxa"/>
        </w:trPr>
        <w:tc>
          <w:tcPr>
            <w:tcW w:w="0" w:type="auto"/>
            <w:vAlign w:val="bottom"/>
            <w:hideMark/>
          </w:tcPr>
          <w:p w:rsidR="004C69ED" w:rsidRPr="00BD1872" w:rsidRDefault="004C69ED" w:rsidP="00BD1872">
            <w:pPr>
              <w:pStyle w:val="Sansinterligne"/>
              <w:rPr>
                <w:b/>
                <w:sz w:val="16"/>
                <w:szCs w:val="16"/>
              </w:rPr>
            </w:pPr>
            <w:r w:rsidRPr="00BD1872">
              <w:rPr>
                <w:b/>
                <w:sz w:val="16"/>
                <w:szCs w:val="16"/>
              </w:rPr>
              <w:t>Objectifs spécifiques</w:t>
            </w:r>
          </w:p>
        </w:tc>
      </w:tr>
    </w:tbl>
    <w:p w:rsidR="004C69ED" w:rsidRPr="004C69ED" w:rsidRDefault="004C69ED" w:rsidP="004C69ED">
      <w:pPr>
        <w:pStyle w:val="NormalWeb"/>
        <w:shd w:val="clear" w:color="auto" w:fill="FFFFFF"/>
        <w:ind w:left="360"/>
        <w:rPr>
          <w:color w:val="000000"/>
          <w:sz w:val="16"/>
          <w:szCs w:val="16"/>
          <w:shd w:val="clear" w:color="auto" w:fill="FFFFFF"/>
        </w:rPr>
      </w:pPr>
      <w:r w:rsidRPr="004C69ED">
        <w:rPr>
          <w:color w:val="000000"/>
          <w:sz w:val="16"/>
          <w:szCs w:val="16"/>
          <w:shd w:val="clear" w:color="auto" w:fill="FFFFFF"/>
        </w:rPr>
        <w:t>Dans le cas d'un patient présentant des symptômes de sevrage, le candidat devra</w:t>
      </w:r>
    </w:p>
    <w:p w:rsidR="004C69ED" w:rsidRPr="004C69ED" w:rsidRDefault="004C69ED" w:rsidP="00AF740B">
      <w:pPr>
        <w:numPr>
          <w:ilvl w:val="0"/>
          <w:numId w:val="655"/>
        </w:numPr>
        <w:shd w:val="clear" w:color="auto" w:fill="FFFFFF"/>
        <w:spacing w:before="100" w:beforeAutospacing="1" w:after="100" w:afterAutospacing="1" w:line="240" w:lineRule="auto"/>
        <w:rPr>
          <w:rFonts w:cs="Times New Roman"/>
          <w:color w:val="000000"/>
          <w:sz w:val="16"/>
          <w:szCs w:val="16"/>
          <w:shd w:val="clear" w:color="auto" w:fill="FFFFFF"/>
        </w:rPr>
      </w:pPr>
      <w:r w:rsidRPr="004C69ED">
        <w:rPr>
          <w:rFonts w:cs="Times New Roman"/>
          <w:color w:val="000000"/>
          <w:sz w:val="16"/>
          <w:szCs w:val="16"/>
          <w:shd w:val="clear" w:color="auto" w:fill="FFFFFF"/>
        </w:rPr>
        <w:t>énumérer et interpréter les constatations cliniques cruciales, notamment celles découlant :</w:t>
      </w:r>
    </w:p>
    <w:p w:rsidR="004C69ED" w:rsidRPr="004C69ED" w:rsidRDefault="004C69ED" w:rsidP="00AF740B">
      <w:pPr>
        <w:numPr>
          <w:ilvl w:val="1"/>
          <w:numId w:val="655"/>
        </w:numPr>
        <w:shd w:val="clear" w:color="auto" w:fill="FFFFFF"/>
        <w:spacing w:before="100" w:beforeAutospacing="1" w:after="100" w:afterAutospacing="1" w:line="240" w:lineRule="auto"/>
        <w:rPr>
          <w:rFonts w:cs="Times New Roman"/>
          <w:color w:val="000000"/>
          <w:sz w:val="16"/>
          <w:szCs w:val="16"/>
          <w:shd w:val="clear" w:color="auto" w:fill="FFFFFF"/>
        </w:rPr>
      </w:pPr>
      <w:r w:rsidRPr="00AA7C2E">
        <w:rPr>
          <w:rFonts w:cs="Times New Roman"/>
          <w:sz w:val="16"/>
          <w:szCs w:val="16"/>
          <w:shd w:val="clear" w:color="auto" w:fill="FFFFFF"/>
        </w:rPr>
        <w:t>d'un examen approfondi des antécédents médicaux, familiaux et psychosociaux (voir aussi</w:t>
      </w:r>
      <w:r w:rsidRPr="00AA7C2E">
        <w:rPr>
          <w:rStyle w:val="apple-converted-space"/>
          <w:rFonts w:cs="Times New Roman"/>
          <w:sz w:val="16"/>
          <w:szCs w:val="16"/>
          <w:shd w:val="clear" w:color="auto" w:fill="FFFFFF"/>
        </w:rPr>
        <w:t> </w:t>
      </w:r>
      <w:r w:rsidRPr="00AA7C2E">
        <w:rPr>
          <w:rFonts w:cs="Times New Roman"/>
          <w:sz w:val="16"/>
          <w:szCs w:val="16"/>
          <w:shd w:val="clear" w:color="auto" w:fill="FFFFFF"/>
        </w:rPr>
        <w:t>Troubles liés à une substance et troubles de dépendance</w:t>
      </w:r>
      <w:r w:rsidRPr="004C69ED">
        <w:rPr>
          <w:rFonts w:cs="Times New Roman"/>
          <w:color w:val="000000"/>
          <w:sz w:val="16"/>
          <w:szCs w:val="16"/>
          <w:shd w:val="clear" w:color="auto" w:fill="FFFFFF"/>
        </w:rPr>
        <w:t>);</w:t>
      </w:r>
    </w:p>
    <w:p w:rsidR="004C69ED" w:rsidRPr="004C69ED" w:rsidRDefault="004C69ED" w:rsidP="00AF740B">
      <w:pPr>
        <w:numPr>
          <w:ilvl w:val="1"/>
          <w:numId w:val="655"/>
        </w:numPr>
        <w:shd w:val="clear" w:color="auto" w:fill="FFFFFF"/>
        <w:spacing w:before="100" w:beforeAutospacing="1" w:after="100" w:afterAutospacing="1" w:line="240" w:lineRule="auto"/>
        <w:rPr>
          <w:rFonts w:cs="Times New Roman"/>
          <w:color w:val="000000"/>
          <w:sz w:val="16"/>
          <w:szCs w:val="16"/>
          <w:shd w:val="clear" w:color="auto" w:fill="FFFFFF"/>
        </w:rPr>
      </w:pPr>
      <w:r w:rsidRPr="004C69ED">
        <w:rPr>
          <w:rFonts w:cs="Times New Roman"/>
          <w:color w:val="000000"/>
          <w:sz w:val="16"/>
          <w:szCs w:val="16"/>
          <w:shd w:val="clear" w:color="auto" w:fill="FFFFFF"/>
        </w:rPr>
        <w:t>de l'anamnèse recueillie auprès de personnes proches, s'il y a lieu;</w:t>
      </w:r>
    </w:p>
    <w:p w:rsidR="004C69ED" w:rsidRPr="004C69ED" w:rsidRDefault="004C69ED" w:rsidP="00AF740B">
      <w:pPr>
        <w:numPr>
          <w:ilvl w:val="1"/>
          <w:numId w:val="655"/>
        </w:numPr>
        <w:shd w:val="clear" w:color="auto" w:fill="FFFFFF"/>
        <w:spacing w:before="100" w:beforeAutospacing="1" w:after="100" w:afterAutospacing="1" w:line="240" w:lineRule="auto"/>
        <w:rPr>
          <w:rFonts w:cs="Times New Roman"/>
          <w:color w:val="000000"/>
          <w:sz w:val="16"/>
          <w:szCs w:val="16"/>
          <w:shd w:val="clear" w:color="auto" w:fill="FFFFFF"/>
        </w:rPr>
      </w:pPr>
      <w:r w:rsidRPr="004C69ED">
        <w:rPr>
          <w:rFonts w:cs="Times New Roman"/>
          <w:color w:val="000000"/>
          <w:sz w:val="16"/>
          <w:szCs w:val="16"/>
          <w:shd w:val="clear" w:color="auto" w:fill="FFFFFF"/>
        </w:rPr>
        <w:t>de l'examen physique, réalisé en accordant une attention particulière à l'état mental et à l'instabilité neurovégétative du patient;</w:t>
      </w:r>
    </w:p>
    <w:p w:rsidR="004C69ED" w:rsidRPr="004C69ED" w:rsidRDefault="004C69ED" w:rsidP="00AF740B">
      <w:pPr>
        <w:numPr>
          <w:ilvl w:val="0"/>
          <w:numId w:val="655"/>
        </w:numPr>
        <w:shd w:val="clear" w:color="auto" w:fill="FFFFFF"/>
        <w:spacing w:before="100" w:beforeAutospacing="1" w:after="100" w:afterAutospacing="1" w:line="240" w:lineRule="auto"/>
        <w:rPr>
          <w:rFonts w:cs="Times New Roman"/>
          <w:color w:val="000000"/>
          <w:sz w:val="16"/>
          <w:szCs w:val="16"/>
          <w:shd w:val="clear" w:color="auto" w:fill="FFFFFF"/>
        </w:rPr>
      </w:pPr>
      <w:r w:rsidRPr="004C69ED">
        <w:rPr>
          <w:rFonts w:cs="Times New Roman"/>
          <w:color w:val="000000"/>
          <w:sz w:val="16"/>
          <w:szCs w:val="16"/>
          <w:shd w:val="clear" w:color="auto" w:fill="FFFFFF"/>
        </w:rPr>
        <w:t>énumérer et interpréter les examens essentiels, notamment :</w:t>
      </w:r>
    </w:p>
    <w:p w:rsidR="004C69ED" w:rsidRPr="004C69ED" w:rsidRDefault="004C69ED" w:rsidP="00AF740B">
      <w:pPr>
        <w:numPr>
          <w:ilvl w:val="1"/>
          <w:numId w:val="655"/>
        </w:numPr>
        <w:shd w:val="clear" w:color="auto" w:fill="FFFFFF"/>
        <w:spacing w:before="100" w:beforeAutospacing="1" w:after="100" w:afterAutospacing="1" w:line="240" w:lineRule="auto"/>
        <w:rPr>
          <w:rFonts w:cs="Times New Roman"/>
          <w:color w:val="000000"/>
          <w:sz w:val="16"/>
          <w:szCs w:val="16"/>
          <w:shd w:val="clear" w:color="auto" w:fill="FFFFFF"/>
        </w:rPr>
      </w:pPr>
      <w:r w:rsidRPr="004C69ED">
        <w:rPr>
          <w:rFonts w:cs="Times New Roman"/>
          <w:color w:val="000000"/>
          <w:sz w:val="16"/>
          <w:szCs w:val="16"/>
          <w:shd w:val="clear" w:color="auto" w:fill="FFFFFF"/>
        </w:rPr>
        <w:t>le dépistage de drogues;</w:t>
      </w:r>
    </w:p>
    <w:p w:rsidR="004C69ED" w:rsidRPr="004C69ED" w:rsidRDefault="004C69ED" w:rsidP="00AF740B">
      <w:pPr>
        <w:numPr>
          <w:ilvl w:val="1"/>
          <w:numId w:val="655"/>
        </w:numPr>
        <w:shd w:val="clear" w:color="auto" w:fill="FFFFFF"/>
        <w:spacing w:before="100" w:beforeAutospacing="1" w:after="100" w:afterAutospacing="1" w:line="240" w:lineRule="auto"/>
        <w:rPr>
          <w:rFonts w:cs="Times New Roman"/>
          <w:color w:val="000000"/>
          <w:sz w:val="16"/>
          <w:szCs w:val="16"/>
          <w:shd w:val="clear" w:color="auto" w:fill="FFFFFF"/>
        </w:rPr>
      </w:pPr>
      <w:r w:rsidRPr="004C69ED">
        <w:rPr>
          <w:rFonts w:cs="Times New Roman"/>
          <w:color w:val="000000"/>
          <w:sz w:val="16"/>
          <w:szCs w:val="16"/>
          <w:shd w:val="clear" w:color="auto" w:fill="FFFFFF"/>
        </w:rPr>
        <w:t>la recension des outils de dépistage à employer (p. ex. mini-examen de l'état mental, questionnaire CAGE, outils d'évaluation du sevrage);</w:t>
      </w:r>
    </w:p>
    <w:p w:rsidR="004C69ED" w:rsidRPr="004C69ED" w:rsidRDefault="004C69ED" w:rsidP="00AF740B">
      <w:pPr>
        <w:numPr>
          <w:ilvl w:val="1"/>
          <w:numId w:val="655"/>
        </w:numPr>
        <w:shd w:val="clear" w:color="auto" w:fill="FFFFFF"/>
        <w:spacing w:before="100" w:beforeAutospacing="1" w:after="100" w:afterAutospacing="1" w:line="240" w:lineRule="auto"/>
        <w:rPr>
          <w:rFonts w:cs="Times New Roman"/>
          <w:color w:val="000000"/>
          <w:sz w:val="16"/>
          <w:szCs w:val="16"/>
          <w:shd w:val="clear" w:color="auto" w:fill="FFFFFF"/>
        </w:rPr>
      </w:pPr>
      <w:r w:rsidRPr="004C69ED">
        <w:rPr>
          <w:rFonts w:cs="Times New Roman"/>
          <w:color w:val="000000"/>
          <w:sz w:val="16"/>
          <w:szCs w:val="16"/>
          <w:shd w:val="clear" w:color="auto" w:fill="FFFFFF"/>
        </w:rPr>
        <w:t>les analyses ou tests de laboratoire visant à déceler des lésions organiques ou autres complications, selon le cas (p. ex. tests de fonction hépatique, radiographie pulmonaire);</w:t>
      </w:r>
    </w:p>
    <w:p w:rsidR="004C69ED" w:rsidRPr="004C69ED" w:rsidRDefault="004C69ED" w:rsidP="00AF740B">
      <w:pPr>
        <w:numPr>
          <w:ilvl w:val="0"/>
          <w:numId w:val="655"/>
        </w:numPr>
        <w:shd w:val="clear" w:color="auto" w:fill="FFFFFF"/>
        <w:spacing w:before="100" w:beforeAutospacing="1" w:after="100" w:afterAutospacing="1" w:line="240" w:lineRule="auto"/>
        <w:rPr>
          <w:rFonts w:cs="Times New Roman"/>
          <w:color w:val="000000"/>
          <w:sz w:val="16"/>
          <w:szCs w:val="16"/>
          <w:shd w:val="clear" w:color="auto" w:fill="FFFFFF"/>
        </w:rPr>
      </w:pPr>
      <w:r w:rsidRPr="004C69ED">
        <w:rPr>
          <w:rFonts w:cs="Times New Roman"/>
          <w:color w:val="000000"/>
          <w:sz w:val="16"/>
          <w:szCs w:val="16"/>
          <w:shd w:val="clear" w:color="auto" w:fill="FFFFFF"/>
        </w:rPr>
        <w:t>établir un plan efficace de prise en charge initiale, notamment :</w:t>
      </w:r>
    </w:p>
    <w:p w:rsidR="004C69ED" w:rsidRPr="004C69ED" w:rsidRDefault="004C69ED" w:rsidP="00AF740B">
      <w:pPr>
        <w:numPr>
          <w:ilvl w:val="1"/>
          <w:numId w:val="655"/>
        </w:numPr>
        <w:shd w:val="clear" w:color="auto" w:fill="FFFFFF"/>
        <w:spacing w:before="100" w:beforeAutospacing="1" w:after="100" w:afterAutospacing="1" w:line="240" w:lineRule="auto"/>
        <w:rPr>
          <w:rFonts w:cs="Times New Roman"/>
          <w:color w:val="000000"/>
          <w:sz w:val="16"/>
          <w:szCs w:val="16"/>
          <w:shd w:val="clear" w:color="auto" w:fill="FFFFFF"/>
        </w:rPr>
      </w:pPr>
      <w:r w:rsidRPr="004C69ED">
        <w:rPr>
          <w:rFonts w:cs="Times New Roman"/>
          <w:color w:val="000000"/>
          <w:sz w:val="16"/>
          <w:szCs w:val="16"/>
          <w:shd w:val="clear" w:color="auto" w:fill="FFFFFF"/>
        </w:rPr>
        <w:t>assurer les soins d'entretien dans les cas aigus (p. ex. voies respiratoires, réanimation liquidienne, soulagement de la douleur);</w:t>
      </w:r>
    </w:p>
    <w:p w:rsidR="004C69ED" w:rsidRPr="004C69ED" w:rsidRDefault="004C69ED" w:rsidP="00AF740B">
      <w:pPr>
        <w:numPr>
          <w:ilvl w:val="1"/>
          <w:numId w:val="655"/>
        </w:numPr>
        <w:shd w:val="clear" w:color="auto" w:fill="FFFFFF"/>
        <w:spacing w:before="100" w:beforeAutospacing="1" w:after="100" w:afterAutospacing="1" w:line="240" w:lineRule="auto"/>
        <w:rPr>
          <w:rFonts w:cs="Times New Roman"/>
          <w:color w:val="000000"/>
          <w:sz w:val="16"/>
          <w:szCs w:val="16"/>
          <w:shd w:val="clear" w:color="auto" w:fill="FFFFFF"/>
        </w:rPr>
      </w:pPr>
      <w:r w:rsidRPr="004C69ED">
        <w:rPr>
          <w:rFonts w:cs="Times New Roman"/>
          <w:color w:val="000000"/>
          <w:sz w:val="16"/>
          <w:szCs w:val="16"/>
          <w:shd w:val="clear" w:color="auto" w:fill="FFFFFF"/>
        </w:rPr>
        <w:t>assurer un environnement sécuritaire (p. ex. hospitalisation, centre de convalescence);</w:t>
      </w:r>
    </w:p>
    <w:p w:rsidR="004C69ED" w:rsidRPr="004C69ED" w:rsidRDefault="004C69ED" w:rsidP="00AF740B">
      <w:pPr>
        <w:numPr>
          <w:ilvl w:val="1"/>
          <w:numId w:val="655"/>
        </w:numPr>
        <w:shd w:val="clear" w:color="auto" w:fill="FFFFFF"/>
        <w:spacing w:before="100" w:beforeAutospacing="1" w:after="100" w:afterAutospacing="1" w:line="240" w:lineRule="auto"/>
        <w:rPr>
          <w:rFonts w:cs="Times New Roman"/>
          <w:color w:val="000000"/>
          <w:sz w:val="16"/>
          <w:szCs w:val="16"/>
          <w:shd w:val="clear" w:color="auto" w:fill="FFFFFF"/>
        </w:rPr>
      </w:pPr>
      <w:r w:rsidRPr="004C69ED">
        <w:rPr>
          <w:rFonts w:cs="Times New Roman"/>
          <w:color w:val="000000"/>
          <w:sz w:val="16"/>
          <w:szCs w:val="16"/>
          <w:shd w:val="clear" w:color="auto" w:fill="FFFFFF"/>
        </w:rPr>
        <w:t>assurer un traitement pharmacologique approprié (p. ex. thiamine, benzodiazépine à action prolongée, sédatif);</w:t>
      </w:r>
    </w:p>
    <w:p w:rsidR="004C69ED" w:rsidRPr="004C69ED" w:rsidRDefault="004C69ED" w:rsidP="00AF740B">
      <w:pPr>
        <w:numPr>
          <w:ilvl w:val="1"/>
          <w:numId w:val="655"/>
        </w:numPr>
        <w:shd w:val="clear" w:color="auto" w:fill="FFFFFF"/>
        <w:spacing w:before="100" w:beforeAutospacing="1" w:after="100" w:afterAutospacing="1" w:line="240" w:lineRule="auto"/>
        <w:rPr>
          <w:rFonts w:cs="Times New Roman"/>
          <w:color w:val="000000"/>
          <w:sz w:val="16"/>
          <w:szCs w:val="16"/>
          <w:shd w:val="clear" w:color="auto" w:fill="FFFFFF"/>
        </w:rPr>
      </w:pPr>
      <w:r w:rsidRPr="004C69ED">
        <w:rPr>
          <w:rFonts w:cs="Times New Roman"/>
          <w:color w:val="000000"/>
          <w:sz w:val="16"/>
          <w:szCs w:val="16"/>
          <w:shd w:val="clear" w:color="auto" w:fill="FFFFFF"/>
        </w:rPr>
        <w:t>déterminer si le patient a besoin de soins spécialisés (p. ex. programme de désintoxication, counseling familial, services psychologiques).</w:t>
      </w:r>
    </w:p>
    <w:p w:rsidR="007853D5" w:rsidRDefault="000E2746" w:rsidP="007853D5">
      <w:pPr>
        <w:pStyle w:val="Sansinterligne"/>
      </w:pPr>
      <w:r>
        <w:rPr>
          <w:noProof/>
          <w:lang w:eastAsia="fr-CA"/>
        </w:rPr>
        <w:drawing>
          <wp:anchor distT="0" distB="0" distL="114300" distR="114300" simplePos="0" relativeHeight="251853824" behindDoc="0" locked="0" layoutInCell="1" allowOverlap="1" wp14:anchorId="3CC85B6E" wp14:editId="6D685330">
            <wp:simplePos x="0" y="0"/>
            <wp:positionH relativeFrom="column">
              <wp:posOffset>4796790</wp:posOffset>
            </wp:positionH>
            <wp:positionV relativeFrom="paragraph">
              <wp:posOffset>130175</wp:posOffset>
            </wp:positionV>
            <wp:extent cx="2100580" cy="3230880"/>
            <wp:effectExtent l="0" t="0" r="0" b="7620"/>
            <wp:wrapNone/>
            <wp:docPr id="367" name="Imag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lasgow.PNG"/>
                    <pic:cNvPicPr/>
                  </pic:nvPicPr>
                  <pic:blipFill>
                    <a:blip r:embed="rId362">
                      <a:extLst>
                        <a:ext uri="{28A0092B-C50C-407E-A947-70E740481C1C}">
                          <a14:useLocalDpi xmlns:a14="http://schemas.microsoft.com/office/drawing/2010/main" val="0"/>
                        </a:ext>
                      </a:extLst>
                    </a:blip>
                    <a:stretch>
                      <a:fillRect/>
                    </a:stretch>
                  </pic:blipFill>
                  <pic:spPr>
                    <a:xfrm>
                      <a:off x="0" y="0"/>
                      <a:ext cx="2100580" cy="3230880"/>
                    </a:xfrm>
                    <a:prstGeom prst="rect">
                      <a:avLst/>
                    </a:prstGeom>
                  </pic:spPr>
                </pic:pic>
              </a:graphicData>
            </a:graphic>
            <wp14:sizeRelH relativeFrom="page">
              <wp14:pctWidth>0</wp14:pctWidth>
            </wp14:sizeRelH>
            <wp14:sizeRelV relativeFrom="page">
              <wp14:pctHeight>0</wp14:pctHeight>
            </wp14:sizeRelV>
          </wp:anchor>
        </w:drawing>
      </w:r>
    </w:p>
    <w:p w:rsidR="007853D5" w:rsidRPr="007F3973" w:rsidRDefault="007853D5" w:rsidP="007853D5">
      <w:pPr>
        <w:pStyle w:val="Sansinterligne"/>
        <w:rPr>
          <w:b/>
          <w:sz w:val="28"/>
          <w:szCs w:val="28"/>
        </w:rPr>
      </w:pPr>
      <w:r w:rsidRPr="007F3973">
        <w:rPr>
          <w:b/>
          <w:sz w:val="28"/>
          <w:szCs w:val="28"/>
        </w:rPr>
        <w:t>À surveiller et questionner</w:t>
      </w:r>
    </w:p>
    <w:p w:rsidR="007F3973" w:rsidRDefault="007F3973" w:rsidP="007853D5">
      <w:pPr>
        <w:pStyle w:val="Sansinterligne"/>
      </w:pPr>
    </w:p>
    <w:p w:rsidR="007F3973" w:rsidRDefault="007F3973" w:rsidP="007853D5">
      <w:pPr>
        <w:pStyle w:val="Sansinterligne"/>
      </w:pPr>
      <w:r>
        <w:t xml:space="preserve">Peut être fait avec le patient </w:t>
      </w:r>
      <w:r w:rsidR="000E2746">
        <w:t>/</w:t>
      </w:r>
      <w:r>
        <w:t xml:space="preserve"> un proche ou un témoin si questionnaire impossible</w:t>
      </w:r>
    </w:p>
    <w:p w:rsidR="007F3973" w:rsidRDefault="007F3973" w:rsidP="007853D5">
      <w:pPr>
        <w:pStyle w:val="Sansinterligne"/>
      </w:pPr>
    </w:p>
    <w:p w:rsidR="000E2746" w:rsidRDefault="007853D5" w:rsidP="007F3973">
      <w:pPr>
        <w:pStyle w:val="Sansinterligne"/>
        <w:numPr>
          <w:ilvl w:val="0"/>
          <w:numId w:val="695"/>
        </w:numPr>
      </w:pPr>
      <w:r>
        <w:t xml:space="preserve">ATCD pertinents et histoire de consommation </w:t>
      </w:r>
    </w:p>
    <w:p w:rsidR="007853D5" w:rsidRDefault="007853D5" w:rsidP="000E2746">
      <w:pPr>
        <w:pStyle w:val="Sansinterligne"/>
        <w:ind w:left="360"/>
      </w:pPr>
      <w:r>
        <w:t xml:space="preserve">(voir </w:t>
      </w:r>
      <w:r w:rsidRPr="007853D5">
        <w:rPr>
          <w:i/>
        </w:rPr>
        <w:t>Troubles liés à une substance CMC 103</w:t>
      </w:r>
      <w:r>
        <w:t>)</w:t>
      </w:r>
    </w:p>
    <w:p w:rsidR="007F3973" w:rsidRPr="007F3973" w:rsidRDefault="007F3973" w:rsidP="007F3973">
      <w:pPr>
        <w:pStyle w:val="Sansinterligne"/>
        <w:numPr>
          <w:ilvl w:val="0"/>
          <w:numId w:val="695"/>
        </w:numPr>
        <w:rPr>
          <w:highlight w:val="yellow"/>
        </w:rPr>
      </w:pPr>
      <w:r w:rsidRPr="007F3973">
        <w:rPr>
          <w:highlight w:val="yellow"/>
        </w:rPr>
        <w:t>Consommation soutenue et sévère ? Doses ?</w:t>
      </w:r>
    </w:p>
    <w:p w:rsidR="007853D5" w:rsidRPr="007F3973" w:rsidRDefault="007853D5" w:rsidP="007F3973">
      <w:pPr>
        <w:pStyle w:val="Sansinterligne"/>
        <w:numPr>
          <w:ilvl w:val="0"/>
          <w:numId w:val="695"/>
        </w:numPr>
        <w:rPr>
          <w:highlight w:val="yellow"/>
        </w:rPr>
      </w:pPr>
      <w:r w:rsidRPr="007F3973">
        <w:rPr>
          <w:highlight w:val="yellow"/>
        </w:rPr>
        <w:t>Prise de substance (quantité, dernière prise, quelle fréquence)</w:t>
      </w:r>
    </w:p>
    <w:p w:rsidR="007853D5" w:rsidRPr="007F3973" w:rsidRDefault="007F3973" w:rsidP="007F3973">
      <w:pPr>
        <w:pStyle w:val="Sansinterligne"/>
        <w:numPr>
          <w:ilvl w:val="0"/>
          <w:numId w:val="695"/>
        </w:numPr>
        <w:rPr>
          <w:highlight w:val="yellow"/>
        </w:rPr>
      </w:pPr>
      <w:r w:rsidRPr="007F3973">
        <w:rPr>
          <w:highlight w:val="yellow"/>
        </w:rPr>
        <w:t>Le patient a-</w:t>
      </w:r>
      <w:r w:rsidR="007853D5" w:rsidRPr="007F3973">
        <w:rPr>
          <w:highlight w:val="yellow"/>
        </w:rPr>
        <w:t>t-</w:t>
      </w:r>
      <w:r w:rsidRPr="007F3973">
        <w:rPr>
          <w:highlight w:val="yellow"/>
        </w:rPr>
        <w:t>il mélangé</w:t>
      </w:r>
      <w:r w:rsidR="007853D5" w:rsidRPr="007F3973">
        <w:rPr>
          <w:highlight w:val="yellow"/>
        </w:rPr>
        <w:t xml:space="preserve"> des substances ? (alcool, drogues, médicaments, etc.)</w:t>
      </w:r>
    </w:p>
    <w:p w:rsidR="007F3973" w:rsidRDefault="007F3973" w:rsidP="007F3973">
      <w:pPr>
        <w:pStyle w:val="Sansinterligne"/>
        <w:numPr>
          <w:ilvl w:val="0"/>
          <w:numId w:val="695"/>
        </w:numPr>
      </w:pPr>
      <w:r>
        <w:t xml:space="preserve">État mental du patient / Altération de l’état de conscience ? </w:t>
      </w:r>
    </w:p>
    <w:p w:rsidR="007F3973" w:rsidRDefault="007F3973" w:rsidP="007F3973">
      <w:pPr>
        <w:pStyle w:val="Sansinterligne"/>
        <w:numPr>
          <w:ilvl w:val="0"/>
          <w:numId w:val="695"/>
        </w:numPr>
      </w:pPr>
      <w:r>
        <w:t>Symptômes ?</w:t>
      </w:r>
    </w:p>
    <w:p w:rsidR="007853D5" w:rsidRDefault="007853D5" w:rsidP="007853D5">
      <w:pPr>
        <w:pStyle w:val="Sansinterligne"/>
      </w:pPr>
    </w:p>
    <w:p w:rsidR="007F3973" w:rsidRDefault="007853D5" w:rsidP="007853D5">
      <w:pPr>
        <w:pStyle w:val="Sansinterligne"/>
      </w:pPr>
      <w:r w:rsidRPr="007F3973">
        <w:rPr>
          <w:u w:val="single"/>
        </w:rPr>
        <w:t>Prendre les signes vitaux du patient</w:t>
      </w:r>
    </w:p>
    <w:p w:rsidR="007F3973" w:rsidRDefault="007F3973" w:rsidP="007F3973">
      <w:pPr>
        <w:pStyle w:val="Sansinterligne"/>
        <w:numPr>
          <w:ilvl w:val="0"/>
          <w:numId w:val="696"/>
        </w:numPr>
      </w:pPr>
      <w:r w:rsidRPr="007F3973">
        <w:rPr>
          <w:highlight w:val="yellow"/>
        </w:rPr>
        <w:t>ABC</w:t>
      </w:r>
    </w:p>
    <w:p w:rsidR="007853D5" w:rsidRDefault="007F3973" w:rsidP="007F3973">
      <w:pPr>
        <w:pStyle w:val="Sansinterligne"/>
        <w:numPr>
          <w:ilvl w:val="0"/>
          <w:numId w:val="696"/>
        </w:numPr>
      </w:pPr>
      <w:r>
        <w:t>V</w:t>
      </w:r>
      <w:r w:rsidR="007853D5">
        <w:t>érifier l’état volémique et les voies aériennes du patient.</w:t>
      </w:r>
    </w:p>
    <w:p w:rsidR="000E2746" w:rsidRDefault="007853D5" w:rsidP="007F3973">
      <w:pPr>
        <w:pStyle w:val="Sansinterligne"/>
        <w:numPr>
          <w:ilvl w:val="0"/>
          <w:numId w:val="696"/>
        </w:numPr>
      </w:pPr>
      <w:r>
        <w:t>Établir un score de Glasgow afin de déterminer son état neurol</w:t>
      </w:r>
      <w:r w:rsidR="007F3973">
        <w:t xml:space="preserve">ogique </w:t>
      </w:r>
    </w:p>
    <w:p w:rsidR="007853D5" w:rsidRDefault="007F3973" w:rsidP="000E2746">
      <w:pPr>
        <w:pStyle w:val="Sansinterligne"/>
        <w:ind w:left="360"/>
      </w:pPr>
      <w:r>
        <w:t>et en suivre l’évolution ou l’intuber si nécessaire.</w:t>
      </w:r>
    </w:p>
    <w:p w:rsidR="000E2746" w:rsidRDefault="000E2746" w:rsidP="000E2746">
      <w:pPr>
        <w:pStyle w:val="Sansinterligne"/>
      </w:pPr>
    </w:p>
    <w:p w:rsidR="007F3973" w:rsidRPr="007F3973" w:rsidRDefault="007F3973" w:rsidP="007853D5">
      <w:pPr>
        <w:pStyle w:val="Sansinterligne"/>
        <w:rPr>
          <w:b/>
          <w:sz w:val="28"/>
          <w:szCs w:val="28"/>
        </w:rPr>
      </w:pPr>
      <w:r w:rsidRPr="007F3973">
        <w:rPr>
          <w:b/>
          <w:sz w:val="28"/>
          <w:szCs w:val="28"/>
        </w:rPr>
        <w:t>Diagnostic(s)</w:t>
      </w:r>
    </w:p>
    <w:p w:rsidR="007853D5" w:rsidRDefault="007853D5" w:rsidP="007853D5">
      <w:pPr>
        <w:pStyle w:val="Sansinterligne"/>
        <w:rPr>
          <w:rFonts w:cs="Times New Roman"/>
          <w:b/>
          <w:color w:val="548DD4" w:themeColor="text2" w:themeTint="99"/>
        </w:rPr>
      </w:pPr>
    </w:p>
    <w:tbl>
      <w:tblPr>
        <w:tblStyle w:val="Grilledutableau"/>
        <w:tblW w:w="0" w:type="auto"/>
        <w:tblLook w:val="04A0" w:firstRow="1" w:lastRow="0" w:firstColumn="1" w:lastColumn="0" w:noHBand="0" w:noVBand="1"/>
      </w:tblPr>
      <w:tblGrid>
        <w:gridCol w:w="2441"/>
        <w:gridCol w:w="3069"/>
        <w:gridCol w:w="2715"/>
        <w:gridCol w:w="2791"/>
      </w:tblGrid>
      <w:tr w:rsidR="007853D5" w:rsidTr="002479F6">
        <w:tc>
          <w:tcPr>
            <w:tcW w:w="2441" w:type="dxa"/>
            <w:shd w:val="clear" w:color="auto" w:fill="9BBB59" w:themeFill="accent3"/>
          </w:tcPr>
          <w:p w:rsidR="007853D5" w:rsidRPr="004029D9" w:rsidRDefault="007853D5" w:rsidP="007853D5">
            <w:pPr>
              <w:pStyle w:val="Sansinterligne"/>
              <w:jc w:val="center"/>
              <w:rPr>
                <w:b/>
              </w:rPr>
            </w:pPr>
            <w:r w:rsidRPr="004029D9">
              <w:rPr>
                <w:b/>
              </w:rPr>
              <w:t>Substance en cause</w:t>
            </w:r>
          </w:p>
        </w:tc>
        <w:tc>
          <w:tcPr>
            <w:tcW w:w="8575" w:type="dxa"/>
            <w:gridSpan w:val="3"/>
            <w:shd w:val="clear" w:color="auto" w:fill="9BBB59" w:themeFill="accent3"/>
          </w:tcPr>
          <w:p w:rsidR="007853D5" w:rsidRPr="004029D9" w:rsidRDefault="007853D5" w:rsidP="007853D5">
            <w:pPr>
              <w:pStyle w:val="Sansinterligne"/>
              <w:jc w:val="center"/>
              <w:rPr>
                <w:b/>
              </w:rPr>
            </w:pPr>
            <w:r w:rsidRPr="004029D9">
              <w:rPr>
                <w:b/>
              </w:rPr>
              <w:t>Manifestations cliniques</w:t>
            </w:r>
          </w:p>
        </w:tc>
      </w:tr>
      <w:tr w:rsidR="00D70235" w:rsidTr="00BB10AE">
        <w:tc>
          <w:tcPr>
            <w:tcW w:w="2441" w:type="dxa"/>
            <w:shd w:val="clear" w:color="auto" w:fill="D6E3BC" w:themeFill="accent3" w:themeFillTint="66"/>
            <w:vAlign w:val="center"/>
          </w:tcPr>
          <w:p w:rsidR="00D70235" w:rsidRPr="00017083" w:rsidRDefault="00D70235" w:rsidP="005A7B2B">
            <w:pPr>
              <w:pStyle w:val="Sansinterligne"/>
              <w:jc w:val="center"/>
              <w:rPr>
                <w:b/>
              </w:rPr>
            </w:pPr>
            <w:r w:rsidRPr="00017083">
              <w:rPr>
                <w:b/>
              </w:rPr>
              <w:t>Alcool</w:t>
            </w:r>
          </w:p>
          <w:p w:rsidR="00D70235" w:rsidRDefault="00D70235" w:rsidP="005A7B2B">
            <w:pPr>
              <w:pStyle w:val="Sansinterligne"/>
              <w:jc w:val="center"/>
            </w:pPr>
          </w:p>
          <w:p w:rsidR="001864A2" w:rsidRPr="001864A2" w:rsidRDefault="00D70235" w:rsidP="005A7B2B">
            <w:pPr>
              <w:pStyle w:val="Sansinterligne"/>
              <w:jc w:val="center"/>
              <w:rPr>
                <w:u w:val="single"/>
              </w:rPr>
            </w:pPr>
            <w:r w:rsidRPr="001864A2">
              <w:rPr>
                <w:u w:val="single"/>
              </w:rPr>
              <w:t xml:space="preserve">Délirium tremens  </w:t>
            </w:r>
          </w:p>
          <w:p w:rsidR="00D70235" w:rsidRDefault="00D70235" w:rsidP="005A7B2B">
            <w:pPr>
              <w:pStyle w:val="Sansinterligne"/>
              <w:jc w:val="center"/>
            </w:pPr>
            <w:r>
              <w:t xml:space="preserve">voir </w:t>
            </w:r>
            <w:r w:rsidRPr="00D70235">
              <w:rPr>
                <w:i/>
              </w:rPr>
              <w:t>Délirium CMC 58-2</w:t>
            </w:r>
          </w:p>
        </w:tc>
        <w:tc>
          <w:tcPr>
            <w:tcW w:w="3069" w:type="dxa"/>
            <w:tcBorders>
              <w:right w:val="single" w:sz="4" w:space="0" w:color="FFFFFF" w:themeColor="background1"/>
            </w:tcBorders>
          </w:tcPr>
          <w:p w:rsidR="00D70235" w:rsidRPr="00D70235" w:rsidRDefault="00D70235" w:rsidP="007853D5">
            <w:pPr>
              <w:pStyle w:val="Sansinterligne"/>
              <w:rPr>
                <w:u w:val="single"/>
              </w:rPr>
            </w:pPr>
            <w:r w:rsidRPr="00D70235">
              <w:rPr>
                <w:u w:val="single"/>
              </w:rPr>
              <w:t>1</w:t>
            </w:r>
            <w:r w:rsidRPr="00D70235">
              <w:rPr>
                <w:u w:val="single"/>
                <w:vertAlign w:val="superscript"/>
              </w:rPr>
              <w:t>ère</w:t>
            </w:r>
            <w:r w:rsidRPr="00D70235">
              <w:rPr>
                <w:u w:val="single"/>
              </w:rPr>
              <w:t xml:space="preserve"> phase </w:t>
            </w:r>
            <w:r w:rsidRPr="00D70235">
              <w:t xml:space="preserve"> (12-48h)</w:t>
            </w:r>
          </w:p>
          <w:p w:rsidR="00D70235" w:rsidRDefault="00D70235" w:rsidP="00D70235">
            <w:pPr>
              <w:pStyle w:val="Sansinterligne"/>
              <w:numPr>
                <w:ilvl w:val="0"/>
                <w:numId w:val="687"/>
              </w:numPr>
            </w:pPr>
            <w:r>
              <w:t>Tremblements</w:t>
            </w:r>
          </w:p>
          <w:p w:rsidR="00D70235" w:rsidRDefault="00D70235" w:rsidP="00D70235">
            <w:pPr>
              <w:pStyle w:val="Sansinterligne"/>
              <w:numPr>
                <w:ilvl w:val="0"/>
                <w:numId w:val="687"/>
              </w:numPr>
            </w:pPr>
            <w:r>
              <w:t>Diaphorèse</w:t>
            </w:r>
          </w:p>
          <w:p w:rsidR="00D70235" w:rsidRDefault="00D70235" w:rsidP="00D70235">
            <w:pPr>
              <w:pStyle w:val="Sansinterligne"/>
              <w:numPr>
                <w:ilvl w:val="0"/>
                <w:numId w:val="687"/>
              </w:numPr>
            </w:pPr>
            <w:r>
              <w:t>Agitation</w:t>
            </w:r>
          </w:p>
          <w:p w:rsidR="00D70235" w:rsidRDefault="00D70235" w:rsidP="00D70235">
            <w:pPr>
              <w:pStyle w:val="Sansinterligne"/>
              <w:numPr>
                <w:ilvl w:val="0"/>
                <w:numId w:val="687"/>
              </w:numPr>
            </w:pPr>
            <w:r>
              <w:t>Anorexie</w:t>
            </w:r>
          </w:p>
          <w:p w:rsidR="00D70235" w:rsidRDefault="00D70235" w:rsidP="00D70235">
            <w:pPr>
              <w:pStyle w:val="Sansinterligne"/>
              <w:numPr>
                <w:ilvl w:val="0"/>
                <w:numId w:val="687"/>
              </w:numPr>
            </w:pPr>
            <w:r>
              <w:t>Crampes, diarrhées</w:t>
            </w:r>
          </w:p>
          <w:p w:rsidR="00D70235" w:rsidRDefault="00D70235" w:rsidP="00D70235">
            <w:pPr>
              <w:pStyle w:val="Sansinterligne"/>
              <w:numPr>
                <w:ilvl w:val="0"/>
                <w:numId w:val="687"/>
              </w:numPr>
            </w:pPr>
            <w:r>
              <w:t>Trouble du sommeil</w:t>
            </w:r>
          </w:p>
          <w:p w:rsidR="00D70235" w:rsidRDefault="00D70235" w:rsidP="007853D5">
            <w:pPr>
              <w:pStyle w:val="Sansinterligne"/>
            </w:pPr>
          </w:p>
        </w:tc>
        <w:tc>
          <w:tcPr>
            <w:tcW w:w="2715" w:type="dxa"/>
            <w:tcBorders>
              <w:left w:val="single" w:sz="4" w:space="0" w:color="FFFFFF" w:themeColor="background1"/>
              <w:right w:val="single" w:sz="4" w:space="0" w:color="FFFFFF" w:themeColor="background1"/>
            </w:tcBorders>
          </w:tcPr>
          <w:p w:rsidR="00D70235" w:rsidRDefault="00D70235" w:rsidP="007853D5">
            <w:pPr>
              <w:pStyle w:val="Sansinterligne"/>
            </w:pPr>
            <w:r w:rsidRPr="00D70235">
              <w:rPr>
                <w:u w:val="single"/>
              </w:rPr>
              <w:t>2</w:t>
            </w:r>
            <w:r w:rsidRPr="00D70235">
              <w:rPr>
                <w:u w:val="single"/>
                <w:vertAlign w:val="superscript"/>
              </w:rPr>
              <w:t>e</w:t>
            </w:r>
            <w:r w:rsidRPr="00D70235">
              <w:rPr>
                <w:u w:val="single"/>
              </w:rPr>
              <w:t xml:space="preserve"> phase</w:t>
            </w:r>
            <w:r>
              <w:t> (7-38h)</w:t>
            </w:r>
          </w:p>
          <w:p w:rsidR="00D70235" w:rsidRDefault="00D70235" w:rsidP="00D70235">
            <w:pPr>
              <w:pStyle w:val="Sansinterligne"/>
              <w:numPr>
                <w:ilvl w:val="0"/>
                <w:numId w:val="689"/>
              </w:numPr>
            </w:pPr>
            <w:r>
              <w:t>Convulsions tonico-cloniques généralisées</w:t>
            </w:r>
          </w:p>
          <w:p w:rsidR="00D70235" w:rsidRDefault="00D70235" w:rsidP="007853D5">
            <w:pPr>
              <w:pStyle w:val="Sansinterligne"/>
            </w:pPr>
          </w:p>
          <w:p w:rsidR="00D70235" w:rsidRDefault="00D70235" w:rsidP="00D70235">
            <w:pPr>
              <w:pStyle w:val="Sansinterligne"/>
            </w:pPr>
            <w:r w:rsidRPr="00D70235">
              <w:rPr>
                <w:u w:val="single"/>
              </w:rPr>
              <w:t>3</w:t>
            </w:r>
            <w:r w:rsidRPr="00D70235">
              <w:rPr>
                <w:u w:val="single"/>
                <w:vertAlign w:val="superscript"/>
              </w:rPr>
              <w:t>e</w:t>
            </w:r>
            <w:r w:rsidRPr="00D70235">
              <w:rPr>
                <w:u w:val="single"/>
              </w:rPr>
              <w:t xml:space="preserve"> phase</w:t>
            </w:r>
            <w:r>
              <w:t> (48h)</w:t>
            </w:r>
          </w:p>
          <w:p w:rsidR="00D70235" w:rsidRDefault="00D70235" w:rsidP="00D70235">
            <w:pPr>
              <w:pStyle w:val="Sansinterligne"/>
              <w:numPr>
                <w:ilvl w:val="0"/>
                <w:numId w:val="688"/>
              </w:numPr>
            </w:pPr>
            <w:r>
              <w:t>Hallucinations (4 sens)</w:t>
            </w:r>
          </w:p>
          <w:p w:rsidR="00D70235" w:rsidRDefault="00D70235" w:rsidP="007853D5">
            <w:pPr>
              <w:pStyle w:val="Sansinterligne"/>
            </w:pPr>
          </w:p>
        </w:tc>
        <w:tc>
          <w:tcPr>
            <w:tcW w:w="2791" w:type="dxa"/>
            <w:tcBorders>
              <w:left w:val="single" w:sz="4" w:space="0" w:color="FFFFFF" w:themeColor="background1"/>
            </w:tcBorders>
          </w:tcPr>
          <w:p w:rsidR="00D70235" w:rsidRPr="00D70235" w:rsidRDefault="00D70235" w:rsidP="00D70235">
            <w:pPr>
              <w:pStyle w:val="Sansinterligne"/>
            </w:pPr>
            <w:r w:rsidRPr="00D70235">
              <w:rPr>
                <w:u w:val="single"/>
              </w:rPr>
              <w:t>4</w:t>
            </w:r>
            <w:r w:rsidRPr="00D70235">
              <w:rPr>
                <w:u w:val="single"/>
                <w:vertAlign w:val="superscript"/>
              </w:rPr>
              <w:t>e</w:t>
            </w:r>
            <w:r w:rsidRPr="00D70235">
              <w:rPr>
                <w:u w:val="single"/>
              </w:rPr>
              <w:t xml:space="preserve"> phase</w:t>
            </w:r>
            <w:r>
              <w:t xml:space="preserve"> (3-5 jours)</w:t>
            </w:r>
          </w:p>
          <w:p w:rsidR="00D70235" w:rsidRDefault="00D70235" w:rsidP="00D70235">
            <w:pPr>
              <w:pStyle w:val="Sansinterligne"/>
              <w:numPr>
                <w:ilvl w:val="0"/>
                <w:numId w:val="688"/>
              </w:numPr>
            </w:pPr>
            <w:r>
              <w:t>Délirium tremens</w:t>
            </w:r>
          </w:p>
          <w:p w:rsidR="00D70235" w:rsidRDefault="00D70235" w:rsidP="00D70235">
            <w:pPr>
              <w:pStyle w:val="Sansinterligne"/>
              <w:numPr>
                <w:ilvl w:val="0"/>
                <w:numId w:val="688"/>
              </w:numPr>
            </w:pPr>
            <w:r>
              <w:t xml:space="preserve">Confusion </w:t>
            </w:r>
          </w:p>
          <w:p w:rsidR="00D70235" w:rsidRDefault="00D70235" w:rsidP="00D70235">
            <w:pPr>
              <w:pStyle w:val="Sansinterligne"/>
              <w:numPr>
                <w:ilvl w:val="0"/>
                <w:numId w:val="688"/>
              </w:numPr>
            </w:pPr>
            <w:r>
              <w:t>Délire, hallucinations</w:t>
            </w:r>
          </w:p>
          <w:p w:rsidR="00D70235" w:rsidRDefault="00D70235" w:rsidP="00D70235">
            <w:pPr>
              <w:pStyle w:val="Sansinterligne"/>
              <w:numPr>
                <w:ilvl w:val="0"/>
                <w:numId w:val="688"/>
              </w:numPr>
            </w:pPr>
            <w:r>
              <w:t>Agitation, tremblements,</w:t>
            </w:r>
          </w:p>
          <w:p w:rsidR="00D70235" w:rsidRDefault="00D70235" w:rsidP="00D70235">
            <w:pPr>
              <w:pStyle w:val="Sansinterligne"/>
              <w:numPr>
                <w:ilvl w:val="0"/>
                <w:numId w:val="688"/>
              </w:numPr>
            </w:pPr>
            <w:r>
              <w:t>Hyperactivité autonomique (HTA, tachycardie, fièvre)</w:t>
            </w:r>
          </w:p>
        </w:tc>
      </w:tr>
      <w:tr w:rsidR="00861DD9" w:rsidTr="00BB10AE">
        <w:tc>
          <w:tcPr>
            <w:tcW w:w="2441" w:type="dxa"/>
            <w:shd w:val="clear" w:color="auto" w:fill="D6E3BC" w:themeFill="accent3" w:themeFillTint="66"/>
            <w:vAlign w:val="center"/>
          </w:tcPr>
          <w:p w:rsidR="00861DD9" w:rsidRPr="00017083" w:rsidRDefault="00861DD9" w:rsidP="00502B66">
            <w:pPr>
              <w:pStyle w:val="Sansinterligne"/>
              <w:jc w:val="center"/>
              <w:rPr>
                <w:b/>
              </w:rPr>
            </w:pPr>
            <w:r w:rsidRPr="00017083">
              <w:rPr>
                <w:b/>
              </w:rPr>
              <w:t>Benzodiazépines</w:t>
            </w:r>
          </w:p>
        </w:tc>
        <w:tc>
          <w:tcPr>
            <w:tcW w:w="3069" w:type="dxa"/>
            <w:tcBorders>
              <w:right w:val="single" w:sz="4" w:space="0" w:color="FFFF00"/>
            </w:tcBorders>
            <w:shd w:val="clear" w:color="auto" w:fill="FFFF00"/>
          </w:tcPr>
          <w:p w:rsidR="00861DD9" w:rsidRDefault="00861DD9" w:rsidP="00861DD9">
            <w:pPr>
              <w:pStyle w:val="Sansinterligne"/>
              <w:numPr>
                <w:ilvl w:val="0"/>
                <w:numId w:val="688"/>
              </w:numPr>
            </w:pPr>
            <w:r>
              <w:t>Transpiration</w:t>
            </w:r>
          </w:p>
          <w:p w:rsidR="00861DD9" w:rsidRDefault="00861DD9" w:rsidP="00861DD9">
            <w:pPr>
              <w:pStyle w:val="Sansinterligne"/>
              <w:numPr>
                <w:ilvl w:val="0"/>
                <w:numId w:val="688"/>
              </w:numPr>
            </w:pPr>
            <w:r>
              <w:t>Tachycardie</w:t>
            </w:r>
          </w:p>
          <w:p w:rsidR="00861DD9" w:rsidRDefault="00861DD9" w:rsidP="00861DD9">
            <w:pPr>
              <w:pStyle w:val="Sansinterligne"/>
              <w:numPr>
                <w:ilvl w:val="0"/>
                <w:numId w:val="688"/>
              </w:numPr>
            </w:pPr>
            <w:r>
              <w:t>Tremblements des mains</w:t>
            </w:r>
          </w:p>
          <w:p w:rsidR="00861DD9" w:rsidRDefault="00861DD9" w:rsidP="00861DD9">
            <w:pPr>
              <w:pStyle w:val="Sansinterligne"/>
              <w:numPr>
                <w:ilvl w:val="0"/>
                <w:numId w:val="688"/>
              </w:numPr>
            </w:pPr>
            <w:r>
              <w:t>Anxiété</w:t>
            </w:r>
          </w:p>
        </w:tc>
        <w:tc>
          <w:tcPr>
            <w:tcW w:w="2715" w:type="dxa"/>
            <w:tcBorders>
              <w:left w:val="single" w:sz="4" w:space="0" w:color="FFFF00"/>
              <w:right w:val="single" w:sz="4" w:space="0" w:color="FFFF00"/>
            </w:tcBorders>
            <w:shd w:val="clear" w:color="auto" w:fill="FFFF00"/>
          </w:tcPr>
          <w:p w:rsidR="00861DD9" w:rsidRDefault="00861DD9" w:rsidP="00861DD9">
            <w:pPr>
              <w:pStyle w:val="Sansinterligne"/>
              <w:numPr>
                <w:ilvl w:val="0"/>
                <w:numId w:val="688"/>
              </w:numPr>
            </w:pPr>
            <w:r>
              <w:t>Agitation psychomotrice</w:t>
            </w:r>
          </w:p>
          <w:p w:rsidR="00861DD9" w:rsidRDefault="00861DD9" w:rsidP="00861DD9">
            <w:pPr>
              <w:pStyle w:val="Sansinterligne"/>
              <w:numPr>
                <w:ilvl w:val="0"/>
                <w:numId w:val="688"/>
              </w:numPr>
            </w:pPr>
            <w:r>
              <w:t>Crises convulsives</w:t>
            </w:r>
          </w:p>
          <w:p w:rsidR="00861DD9" w:rsidRDefault="00861DD9" w:rsidP="00861DD9">
            <w:pPr>
              <w:pStyle w:val="Sansinterligne"/>
              <w:numPr>
                <w:ilvl w:val="0"/>
                <w:numId w:val="688"/>
              </w:numPr>
            </w:pPr>
            <w:r>
              <w:t>Insomnie</w:t>
            </w:r>
          </w:p>
          <w:p w:rsidR="00861DD9" w:rsidRDefault="00612D3C" w:rsidP="00861DD9">
            <w:pPr>
              <w:pStyle w:val="Sansinterligne"/>
              <w:numPr>
                <w:ilvl w:val="0"/>
                <w:numId w:val="688"/>
              </w:numPr>
            </w:pPr>
            <w:r>
              <w:t>No/Vo</w:t>
            </w:r>
          </w:p>
        </w:tc>
        <w:tc>
          <w:tcPr>
            <w:tcW w:w="2791" w:type="dxa"/>
            <w:tcBorders>
              <w:left w:val="single" w:sz="4" w:space="0" w:color="FFFF00"/>
            </w:tcBorders>
            <w:shd w:val="clear" w:color="auto" w:fill="FFFF00"/>
          </w:tcPr>
          <w:p w:rsidR="00861DD9" w:rsidRDefault="00861DD9" w:rsidP="00861DD9">
            <w:pPr>
              <w:pStyle w:val="Sansinterligne"/>
              <w:numPr>
                <w:ilvl w:val="0"/>
                <w:numId w:val="688"/>
              </w:numPr>
            </w:pPr>
            <w:r>
              <w:t>Hallucinations transitoires (auditive, visuelle, tactile)</w:t>
            </w:r>
          </w:p>
        </w:tc>
      </w:tr>
      <w:tr w:rsidR="001E01B8" w:rsidTr="00BB10AE">
        <w:tc>
          <w:tcPr>
            <w:tcW w:w="2441" w:type="dxa"/>
            <w:shd w:val="clear" w:color="auto" w:fill="D6E3BC" w:themeFill="accent3" w:themeFillTint="66"/>
            <w:vAlign w:val="center"/>
          </w:tcPr>
          <w:p w:rsidR="001E01B8" w:rsidRPr="00017083" w:rsidRDefault="001E01B8" w:rsidP="005A7B2B">
            <w:pPr>
              <w:pStyle w:val="Sansinterligne"/>
              <w:jc w:val="center"/>
              <w:rPr>
                <w:b/>
              </w:rPr>
            </w:pPr>
            <w:r w:rsidRPr="00017083">
              <w:rPr>
                <w:b/>
              </w:rPr>
              <w:t>Opiacés</w:t>
            </w:r>
          </w:p>
        </w:tc>
        <w:tc>
          <w:tcPr>
            <w:tcW w:w="3069" w:type="dxa"/>
            <w:tcBorders>
              <w:right w:val="single" w:sz="4" w:space="0" w:color="FFFF00"/>
            </w:tcBorders>
            <w:shd w:val="clear" w:color="auto" w:fill="FFFF00"/>
          </w:tcPr>
          <w:p w:rsidR="001E01B8" w:rsidRDefault="00CE6E80" w:rsidP="00CE6E80">
            <w:pPr>
              <w:pStyle w:val="Sansinterligne"/>
              <w:numPr>
                <w:ilvl w:val="0"/>
                <w:numId w:val="692"/>
              </w:numPr>
            </w:pPr>
            <w:r>
              <w:t>Dépression</w:t>
            </w:r>
          </w:p>
          <w:p w:rsidR="00CE6E80" w:rsidRDefault="00CE6E80" w:rsidP="00CE6E80">
            <w:pPr>
              <w:pStyle w:val="Sansinterligne"/>
              <w:numPr>
                <w:ilvl w:val="0"/>
                <w:numId w:val="692"/>
              </w:numPr>
            </w:pPr>
            <w:r>
              <w:t>Insomnie</w:t>
            </w:r>
          </w:p>
          <w:p w:rsidR="00CE6E80" w:rsidRDefault="00CE6E80" w:rsidP="00CE6E80">
            <w:pPr>
              <w:pStyle w:val="Sansinterligne"/>
              <w:numPr>
                <w:ilvl w:val="0"/>
                <w:numId w:val="692"/>
              </w:numPr>
            </w:pPr>
            <w:r>
              <w:t>Besoin de drogues</w:t>
            </w:r>
          </w:p>
        </w:tc>
        <w:tc>
          <w:tcPr>
            <w:tcW w:w="2715" w:type="dxa"/>
            <w:tcBorders>
              <w:left w:val="single" w:sz="4" w:space="0" w:color="FFFF00"/>
              <w:right w:val="single" w:sz="4" w:space="0" w:color="FFFF00"/>
            </w:tcBorders>
            <w:shd w:val="clear" w:color="auto" w:fill="FFFF00"/>
          </w:tcPr>
          <w:p w:rsidR="001E01B8" w:rsidRDefault="00CE6E80" w:rsidP="00CE6E80">
            <w:pPr>
              <w:pStyle w:val="Sansinterligne"/>
              <w:numPr>
                <w:ilvl w:val="0"/>
                <w:numId w:val="692"/>
              </w:numPr>
            </w:pPr>
            <w:r>
              <w:t>Myalgies</w:t>
            </w:r>
          </w:p>
          <w:p w:rsidR="00CE6E80" w:rsidRDefault="00CE6E80" w:rsidP="00CE6E80">
            <w:pPr>
              <w:pStyle w:val="Sansinterligne"/>
              <w:numPr>
                <w:ilvl w:val="0"/>
                <w:numId w:val="692"/>
              </w:numPr>
            </w:pPr>
            <w:r>
              <w:t>Nausée</w:t>
            </w:r>
          </w:p>
          <w:p w:rsidR="00CE6E80" w:rsidRDefault="00CE6E80" w:rsidP="00CE6E80">
            <w:pPr>
              <w:pStyle w:val="Sansinterligne"/>
              <w:numPr>
                <w:ilvl w:val="0"/>
                <w:numId w:val="692"/>
              </w:numPr>
            </w:pPr>
            <w:r>
              <w:t>Frissons</w:t>
            </w:r>
          </w:p>
        </w:tc>
        <w:tc>
          <w:tcPr>
            <w:tcW w:w="2791" w:type="dxa"/>
            <w:tcBorders>
              <w:left w:val="single" w:sz="4" w:space="0" w:color="FFFF00"/>
            </w:tcBorders>
            <w:shd w:val="clear" w:color="auto" w:fill="FFFF00"/>
          </w:tcPr>
          <w:p w:rsidR="001E01B8" w:rsidRDefault="00CE6E80" w:rsidP="00CE6E80">
            <w:pPr>
              <w:pStyle w:val="Sansinterligne"/>
              <w:numPr>
                <w:ilvl w:val="0"/>
                <w:numId w:val="692"/>
              </w:numPr>
            </w:pPr>
            <w:r>
              <w:t>Rhinorrhée</w:t>
            </w:r>
          </w:p>
          <w:p w:rsidR="00CE6E80" w:rsidRDefault="00CE6E80" w:rsidP="00CE6E80">
            <w:pPr>
              <w:pStyle w:val="Sansinterligne"/>
              <w:numPr>
                <w:ilvl w:val="0"/>
                <w:numId w:val="692"/>
              </w:numPr>
            </w:pPr>
            <w:r>
              <w:t>Piloérection</w:t>
            </w:r>
          </w:p>
        </w:tc>
      </w:tr>
      <w:tr w:rsidR="00BB10AE" w:rsidTr="00BB10AE">
        <w:tc>
          <w:tcPr>
            <w:tcW w:w="2441" w:type="dxa"/>
            <w:shd w:val="clear" w:color="auto" w:fill="D6E3BC" w:themeFill="accent3" w:themeFillTint="66"/>
            <w:vAlign w:val="center"/>
          </w:tcPr>
          <w:p w:rsidR="00BB10AE" w:rsidRDefault="00BB10AE" w:rsidP="0037666B">
            <w:pPr>
              <w:pStyle w:val="Sansinterligne"/>
              <w:jc w:val="center"/>
            </w:pPr>
            <w:r>
              <w:t>Cannabis</w:t>
            </w:r>
          </w:p>
        </w:tc>
        <w:tc>
          <w:tcPr>
            <w:tcW w:w="3069" w:type="dxa"/>
            <w:tcBorders>
              <w:right w:val="single" w:sz="4" w:space="0" w:color="FFFFFF" w:themeColor="background1"/>
            </w:tcBorders>
          </w:tcPr>
          <w:p w:rsidR="00BB10AE" w:rsidRDefault="00BB10AE" w:rsidP="0037666B">
            <w:pPr>
              <w:pStyle w:val="Sansinterligne"/>
              <w:numPr>
                <w:ilvl w:val="0"/>
                <w:numId w:val="693"/>
              </w:numPr>
            </w:pPr>
            <w:r>
              <w:t>Irritabilité/colère/agressivité</w:t>
            </w:r>
          </w:p>
          <w:p w:rsidR="00BB10AE" w:rsidRDefault="00BB10AE" w:rsidP="0037666B">
            <w:pPr>
              <w:pStyle w:val="Sansinterligne"/>
              <w:numPr>
                <w:ilvl w:val="0"/>
                <w:numId w:val="693"/>
              </w:numPr>
            </w:pPr>
            <w:r>
              <w:t>Trouble du sommeil</w:t>
            </w:r>
          </w:p>
          <w:p w:rsidR="00BB10AE" w:rsidRDefault="00BB10AE" w:rsidP="0037666B">
            <w:pPr>
              <w:pStyle w:val="Sansinterligne"/>
              <w:numPr>
                <w:ilvl w:val="0"/>
                <w:numId w:val="693"/>
              </w:numPr>
            </w:pPr>
            <w:r>
              <w:rPr>
                <w:rFonts w:cs="Times New Roman"/>
              </w:rPr>
              <w:t>↓</w:t>
            </w:r>
            <w:r>
              <w:t xml:space="preserve"> appétit / perte de poids</w:t>
            </w:r>
          </w:p>
        </w:tc>
        <w:tc>
          <w:tcPr>
            <w:tcW w:w="2715" w:type="dxa"/>
            <w:tcBorders>
              <w:left w:val="single" w:sz="4" w:space="0" w:color="FFFFFF" w:themeColor="background1"/>
              <w:right w:val="single" w:sz="4" w:space="0" w:color="FFFFFF" w:themeColor="background1"/>
            </w:tcBorders>
          </w:tcPr>
          <w:p w:rsidR="00BB10AE" w:rsidRDefault="00BB10AE" w:rsidP="0037666B">
            <w:pPr>
              <w:pStyle w:val="Sansinterligne"/>
              <w:numPr>
                <w:ilvl w:val="0"/>
                <w:numId w:val="693"/>
              </w:numPr>
            </w:pPr>
            <w:r>
              <w:t>Fébrilité</w:t>
            </w:r>
          </w:p>
          <w:p w:rsidR="00BB10AE" w:rsidRDefault="00BB10AE" w:rsidP="0037666B">
            <w:pPr>
              <w:pStyle w:val="Sansinterligne"/>
              <w:numPr>
                <w:ilvl w:val="0"/>
                <w:numId w:val="693"/>
              </w:numPr>
            </w:pPr>
            <w:r>
              <w:t>Humeur dépressive</w:t>
            </w:r>
          </w:p>
          <w:p w:rsidR="00BB10AE" w:rsidRDefault="00BB10AE" w:rsidP="0037666B">
            <w:pPr>
              <w:pStyle w:val="Sansinterligne"/>
              <w:numPr>
                <w:ilvl w:val="0"/>
                <w:numId w:val="693"/>
              </w:numPr>
            </w:pPr>
            <w:r>
              <w:t>Tremblements</w:t>
            </w:r>
          </w:p>
        </w:tc>
        <w:tc>
          <w:tcPr>
            <w:tcW w:w="2791" w:type="dxa"/>
            <w:tcBorders>
              <w:left w:val="single" w:sz="4" w:space="0" w:color="FFFFFF" w:themeColor="background1"/>
            </w:tcBorders>
          </w:tcPr>
          <w:p w:rsidR="00BB10AE" w:rsidRDefault="00BB10AE" w:rsidP="0037666B">
            <w:pPr>
              <w:pStyle w:val="Sansinterligne"/>
              <w:numPr>
                <w:ilvl w:val="0"/>
                <w:numId w:val="693"/>
              </w:numPr>
            </w:pPr>
            <w:r>
              <w:t>Douleurs abdominales</w:t>
            </w:r>
          </w:p>
          <w:p w:rsidR="00BB10AE" w:rsidRDefault="00BB10AE" w:rsidP="0037666B">
            <w:pPr>
              <w:pStyle w:val="Sansinterligne"/>
              <w:numPr>
                <w:ilvl w:val="0"/>
                <w:numId w:val="693"/>
              </w:numPr>
            </w:pPr>
            <w:r>
              <w:t>Diaphorèse /frissons</w:t>
            </w:r>
          </w:p>
          <w:p w:rsidR="00BB10AE" w:rsidRDefault="00BB10AE" w:rsidP="0037666B">
            <w:pPr>
              <w:pStyle w:val="Sansinterligne"/>
              <w:numPr>
                <w:ilvl w:val="0"/>
                <w:numId w:val="693"/>
              </w:numPr>
            </w:pPr>
            <w:r>
              <w:t>Céphalées</w:t>
            </w:r>
          </w:p>
        </w:tc>
      </w:tr>
      <w:tr w:rsidR="00BB10AE" w:rsidTr="00BB10AE">
        <w:tc>
          <w:tcPr>
            <w:tcW w:w="2441" w:type="dxa"/>
            <w:shd w:val="clear" w:color="auto" w:fill="D6E3BC" w:themeFill="accent3" w:themeFillTint="66"/>
            <w:vAlign w:val="center"/>
          </w:tcPr>
          <w:p w:rsidR="00BB10AE" w:rsidRDefault="00BB10AE" w:rsidP="005A7B2B">
            <w:pPr>
              <w:pStyle w:val="Sansinterligne"/>
              <w:jc w:val="center"/>
            </w:pPr>
            <w:r>
              <w:t>Amphétamines</w:t>
            </w:r>
          </w:p>
        </w:tc>
        <w:tc>
          <w:tcPr>
            <w:tcW w:w="3069" w:type="dxa"/>
            <w:tcBorders>
              <w:right w:val="single" w:sz="4" w:space="0" w:color="FFFFFF" w:themeColor="background1"/>
            </w:tcBorders>
          </w:tcPr>
          <w:p w:rsidR="00BB10AE" w:rsidRDefault="00BB10AE" w:rsidP="001E01B8">
            <w:pPr>
              <w:pStyle w:val="Sansinterligne"/>
              <w:numPr>
                <w:ilvl w:val="0"/>
                <w:numId w:val="691"/>
              </w:numPr>
            </w:pPr>
            <w:r>
              <w:t>Grande fatigue</w:t>
            </w:r>
          </w:p>
          <w:p w:rsidR="00BB10AE" w:rsidRDefault="00BB10AE" w:rsidP="001E01B8">
            <w:pPr>
              <w:pStyle w:val="Sansinterligne"/>
              <w:numPr>
                <w:ilvl w:val="0"/>
                <w:numId w:val="691"/>
              </w:numPr>
            </w:pPr>
            <w:r>
              <w:t>Humeur dysphorique</w:t>
            </w:r>
          </w:p>
          <w:p w:rsidR="00BB10AE" w:rsidRDefault="00BB10AE" w:rsidP="001E01B8">
            <w:pPr>
              <w:pStyle w:val="Sansinterligne"/>
              <w:numPr>
                <w:ilvl w:val="0"/>
                <w:numId w:val="691"/>
              </w:numPr>
            </w:pPr>
            <w:r>
              <w:t>Anxiété</w:t>
            </w:r>
          </w:p>
        </w:tc>
        <w:tc>
          <w:tcPr>
            <w:tcW w:w="2715" w:type="dxa"/>
            <w:tcBorders>
              <w:left w:val="single" w:sz="4" w:space="0" w:color="FFFFFF" w:themeColor="background1"/>
              <w:right w:val="single" w:sz="4" w:space="0" w:color="FFFFFF" w:themeColor="background1"/>
            </w:tcBorders>
          </w:tcPr>
          <w:p w:rsidR="00BB10AE" w:rsidRDefault="00BB10AE" w:rsidP="001E01B8">
            <w:pPr>
              <w:pStyle w:val="Sansinterligne"/>
              <w:numPr>
                <w:ilvl w:val="0"/>
                <w:numId w:val="691"/>
              </w:numPr>
            </w:pPr>
            <w:r>
              <w:t>Tremblements, crampes musculaires</w:t>
            </w:r>
          </w:p>
          <w:p w:rsidR="00BB10AE" w:rsidRDefault="00BB10AE" w:rsidP="001E01B8">
            <w:pPr>
              <w:pStyle w:val="Sansinterligne"/>
              <w:numPr>
                <w:ilvl w:val="0"/>
                <w:numId w:val="691"/>
              </w:numPr>
            </w:pPr>
            <w:r>
              <w:t>Céphalées</w:t>
            </w:r>
          </w:p>
        </w:tc>
        <w:tc>
          <w:tcPr>
            <w:tcW w:w="2791" w:type="dxa"/>
            <w:tcBorders>
              <w:left w:val="single" w:sz="4" w:space="0" w:color="FFFFFF" w:themeColor="background1"/>
            </w:tcBorders>
          </w:tcPr>
          <w:p w:rsidR="00BB10AE" w:rsidRDefault="00BB10AE" w:rsidP="001E01B8">
            <w:pPr>
              <w:pStyle w:val="Sansinterligne"/>
              <w:numPr>
                <w:ilvl w:val="0"/>
                <w:numId w:val="691"/>
              </w:numPr>
            </w:pPr>
            <w:r>
              <w:t>Faim +++</w:t>
            </w:r>
          </w:p>
          <w:p w:rsidR="00BB10AE" w:rsidRDefault="00BB10AE" w:rsidP="001E01B8">
            <w:pPr>
              <w:pStyle w:val="Sansinterligne"/>
              <w:numPr>
                <w:ilvl w:val="0"/>
                <w:numId w:val="691"/>
              </w:numPr>
            </w:pPr>
            <w:r>
              <w:t>Dépression (consommation sévère et soutenue)</w:t>
            </w:r>
          </w:p>
        </w:tc>
      </w:tr>
      <w:tr w:rsidR="00BB10AE" w:rsidTr="00BB10AE">
        <w:tc>
          <w:tcPr>
            <w:tcW w:w="2441" w:type="dxa"/>
            <w:shd w:val="clear" w:color="auto" w:fill="D6E3BC" w:themeFill="accent3" w:themeFillTint="66"/>
            <w:vAlign w:val="center"/>
          </w:tcPr>
          <w:p w:rsidR="00BB10AE" w:rsidRDefault="00BB10AE" w:rsidP="005A7B2B">
            <w:pPr>
              <w:pStyle w:val="Sansinterligne"/>
              <w:jc w:val="center"/>
            </w:pPr>
            <w:r>
              <w:t>Cocaïne</w:t>
            </w:r>
          </w:p>
        </w:tc>
        <w:tc>
          <w:tcPr>
            <w:tcW w:w="3069" w:type="dxa"/>
            <w:tcBorders>
              <w:right w:val="single" w:sz="4" w:space="0" w:color="FFFFFF" w:themeColor="background1"/>
            </w:tcBorders>
          </w:tcPr>
          <w:p w:rsidR="00BB10AE" w:rsidRDefault="00BB10AE" w:rsidP="001E01B8">
            <w:pPr>
              <w:pStyle w:val="Sansinterligne"/>
              <w:numPr>
                <w:ilvl w:val="0"/>
                <w:numId w:val="690"/>
              </w:numPr>
            </w:pPr>
            <w:r>
              <w:t>Sommeil (crash initial)</w:t>
            </w:r>
          </w:p>
          <w:p w:rsidR="00BB10AE" w:rsidRPr="00DD19E0" w:rsidRDefault="00BB10AE" w:rsidP="001E01B8">
            <w:pPr>
              <w:pStyle w:val="Sansinterligne"/>
              <w:numPr>
                <w:ilvl w:val="0"/>
                <w:numId w:val="690"/>
              </w:numPr>
            </w:pPr>
            <w:r>
              <w:t xml:space="preserve">Appétit </w:t>
            </w:r>
            <w:r w:rsidRPr="00DD19E0">
              <w:t>↑ (crash initial)</w:t>
            </w:r>
          </w:p>
          <w:p w:rsidR="00BB10AE" w:rsidRPr="00DD19E0" w:rsidRDefault="00BB10AE" w:rsidP="001E01B8">
            <w:pPr>
              <w:pStyle w:val="Sansinterligne"/>
              <w:numPr>
                <w:ilvl w:val="0"/>
                <w:numId w:val="690"/>
              </w:numPr>
            </w:pPr>
            <w:r w:rsidRPr="00DD19E0">
              <w:t>Humeur dysphorique</w:t>
            </w:r>
          </w:p>
        </w:tc>
        <w:tc>
          <w:tcPr>
            <w:tcW w:w="2715" w:type="dxa"/>
            <w:tcBorders>
              <w:left w:val="single" w:sz="4" w:space="0" w:color="FFFFFF" w:themeColor="background1"/>
              <w:right w:val="single" w:sz="4" w:space="0" w:color="FFFFFF" w:themeColor="background1"/>
            </w:tcBorders>
          </w:tcPr>
          <w:p w:rsidR="00BB10AE" w:rsidRDefault="00BB10AE" w:rsidP="001E01B8">
            <w:pPr>
              <w:pStyle w:val="Sansinterligne"/>
              <w:numPr>
                <w:ilvl w:val="0"/>
                <w:numId w:val="690"/>
              </w:numPr>
            </w:pPr>
            <w:r>
              <w:t>Fatigue</w:t>
            </w:r>
          </w:p>
          <w:p w:rsidR="00BB10AE" w:rsidRDefault="00BB10AE" w:rsidP="001E01B8">
            <w:pPr>
              <w:pStyle w:val="Sansinterligne"/>
              <w:numPr>
                <w:ilvl w:val="0"/>
                <w:numId w:val="690"/>
              </w:numPr>
            </w:pPr>
            <w:r>
              <w:t>Irritabilité</w:t>
            </w:r>
          </w:p>
          <w:p w:rsidR="00BB10AE" w:rsidRDefault="00BB10AE" w:rsidP="001E01B8">
            <w:pPr>
              <w:pStyle w:val="Sansinterligne"/>
              <w:numPr>
                <w:ilvl w:val="0"/>
                <w:numId w:val="690"/>
              </w:numPr>
            </w:pPr>
            <w:r>
              <w:t>Cauchemars</w:t>
            </w:r>
          </w:p>
        </w:tc>
        <w:tc>
          <w:tcPr>
            <w:tcW w:w="2791" w:type="dxa"/>
            <w:tcBorders>
              <w:left w:val="single" w:sz="4" w:space="0" w:color="FFFFFF" w:themeColor="background1"/>
            </w:tcBorders>
          </w:tcPr>
          <w:p w:rsidR="00BB10AE" w:rsidRDefault="00BB10AE" w:rsidP="001E01B8">
            <w:pPr>
              <w:pStyle w:val="Sansinterligne"/>
              <w:numPr>
                <w:ilvl w:val="0"/>
                <w:numId w:val="690"/>
              </w:numPr>
            </w:pPr>
            <w:r>
              <w:t>Insomnie/Hypersomnie</w:t>
            </w:r>
          </w:p>
          <w:p w:rsidR="00BB10AE" w:rsidRDefault="00BB10AE" w:rsidP="001E01B8">
            <w:pPr>
              <w:pStyle w:val="Sansinterligne"/>
              <w:numPr>
                <w:ilvl w:val="0"/>
                <w:numId w:val="690"/>
              </w:numPr>
            </w:pPr>
            <w:r>
              <w:t>Agitation / Retard psychomoteur</w:t>
            </w:r>
          </w:p>
        </w:tc>
      </w:tr>
      <w:tr w:rsidR="00BB10AE" w:rsidTr="00BB10AE">
        <w:tc>
          <w:tcPr>
            <w:tcW w:w="2441" w:type="dxa"/>
            <w:shd w:val="clear" w:color="auto" w:fill="D6E3BC" w:themeFill="accent3" w:themeFillTint="66"/>
            <w:vAlign w:val="center"/>
          </w:tcPr>
          <w:p w:rsidR="00BB10AE" w:rsidRDefault="00BB10AE" w:rsidP="005A7B2B">
            <w:pPr>
              <w:pStyle w:val="Sansinterligne"/>
              <w:jc w:val="center"/>
            </w:pPr>
            <w:r>
              <w:t>Tabac / Nicotine</w:t>
            </w:r>
          </w:p>
        </w:tc>
        <w:tc>
          <w:tcPr>
            <w:tcW w:w="3069" w:type="dxa"/>
          </w:tcPr>
          <w:p w:rsidR="00BB10AE" w:rsidRDefault="00BB10AE" w:rsidP="003D001F">
            <w:pPr>
              <w:pStyle w:val="Sansinterligne"/>
              <w:numPr>
                <w:ilvl w:val="0"/>
                <w:numId w:val="693"/>
              </w:numPr>
            </w:pPr>
            <w:r>
              <w:t>Irritabilité/colère</w:t>
            </w:r>
          </w:p>
          <w:p w:rsidR="00BB10AE" w:rsidRDefault="00BB10AE" w:rsidP="003D001F">
            <w:pPr>
              <w:pStyle w:val="Sansinterligne"/>
              <w:numPr>
                <w:ilvl w:val="0"/>
                <w:numId w:val="693"/>
              </w:numPr>
            </w:pPr>
            <w:r>
              <w:t>Anxiété</w:t>
            </w:r>
          </w:p>
          <w:p w:rsidR="00BB10AE" w:rsidRDefault="00BB10AE" w:rsidP="003D001F">
            <w:pPr>
              <w:pStyle w:val="Sansinterligne"/>
              <w:numPr>
                <w:ilvl w:val="0"/>
                <w:numId w:val="693"/>
              </w:numPr>
            </w:pPr>
            <w:r>
              <w:t>Insomnie</w:t>
            </w:r>
          </w:p>
        </w:tc>
        <w:tc>
          <w:tcPr>
            <w:tcW w:w="2715" w:type="dxa"/>
          </w:tcPr>
          <w:p w:rsidR="00BB10AE" w:rsidRDefault="00BB10AE" w:rsidP="003D001F">
            <w:pPr>
              <w:pStyle w:val="Sansinterligne"/>
              <w:numPr>
                <w:ilvl w:val="0"/>
                <w:numId w:val="693"/>
              </w:numPr>
            </w:pPr>
            <w:r>
              <w:t>Difficultés de concentration</w:t>
            </w:r>
          </w:p>
          <w:p w:rsidR="00BB10AE" w:rsidRDefault="00BB10AE" w:rsidP="003D001F">
            <w:pPr>
              <w:pStyle w:val="Sansinterligne"/>
              <w:numPr>
                <w:ilvl w:val="0"/>
                <w:numId w:val="693"/>
              </w:numPr>
            </w:pPr>
            <w:r>
              <w:rPr>
                <w:rFonts w:ascii="Century Gothic" w:hAnsi="Century Gothic"/>
              </w:rPr>
              <w:t>↑</w:t>
            </w:r>
            <w:r>
              <w:t xml:space="preserve"> appétit </w:t>
            </w:r>
          </w:p>
        </w:tc>
        <w:tc>
          <w:tcPr>
            <w:tcW w:w="2791" w:type="dxa"/>
          </w:tcPr>
          <w:p w:rsidR="00BB10AE" w:rsidRDefault="00BB10AE" w:rsidP="003D001F">
            <w:pPr>
              <w:pStyle w:val="Sansinterligne"/>
              <w:numPr>
                <w:ilvl w:val="0"/>
                <w:numId w:val="693"/>
              </w:numPr>
            </w:pPr>
            <w:r>
              <w:t>Fébrilité</w:t>
            </w:r>
          </w:p>
          <w:p w:rsidR="00BB10AE" w:rsidRDefault="00BB10AE" w:rsidP="003D001F">
            <w:pPr>
              <w:pStyle w:val="Sansinterligne"/>
              <w:numPr>
                <w:ilvl w:val="0"/>
                <w:numId w:val="693"/>
              </w:numPr>
            </w:pPr>
            <w:r>
              <w:t>Humeur dépressive</w:t>
            </w:r>
          </w:p>
        </w:tc>
      </w:tr>
      <w:tr w:rsidR="00BB10AE" w:rsidTr="00BB10AE">
        <w:tc>
          <w:tcPr>
            <w:tcW w:w="2441" w:type="dxa"/>
            <w:shd w:val="clear" w:color="auto" w:fill="D6E3BC" w:themeFill="accent3" w:themeFillTint="66"/>
            <w:vAlign w:val="center"/>
          </w:tcPr>
          <w:p w:rsidR="00BB10AE" w:rsidRDefault="00BB10AE" w:rsidP="005A7B2B">
            <w:pPr>
              <w:pStyle w:val="Sansinterligne"/>
              <w:jc w:val="center"/>
            </w:pPr>
            <w:r>
              <w:t>Caféine</w:t>
            </w:r>
          </w:p>
        </w:tc>
        <w:tc>
          <w:tcPr>
            <w:tcW w:w="3069" w:type="dxa"/>
          </w:tcPr>
          <w:p w:rsidR="00BB10AE" w:rsidRDefault="00BB10AE" w:rsidP="003D001F">
            <w:pPr>
              <w:pStyle w:val="Sansinterligne"/>
              <w:numPr>
                <w:ilvl w:val="0"/>
                <w:numId w:val="694"/>
              </w:numPr>
            </w:pPr>
            <w:r>
              <w:t>Céphalées</w:t>
            </w:r>
          </w:p>
          <w:p w:rsidR="00BB10AE" w:rsidRDefault="00BB10AE" w:rsidP="003D001F">
            <w:pPr>
              <w:pStyle w:val="Sansinterligne"/>
              <w:numPr>
                <w:ilvl w:val="0"/>
                <w:numId w:val="694"/>
              </w:numPr>
            </w:pPr>
            <w:r>
              <w:t>Somnolence</w:t>
            </w:r>
          </w:p>
        </w:tc>
        <w:tc>
          <w:tcPr>
            <w:tcW w:w="2715" w:type="dxa"/>
          </w:tcPr>
          <w:p w:rsidR="00BB10AE" w:rsidRDefault="00BB10AE" w:rsidP="003D001F">
            <w:pPr>
              <w:pStyle w:val="Sansinterligne"/>
              <w:numPr>
                <w:ilvl w:val="0"/>
                <w:numId w:val="694"/>
              </w:numPr>
            </w:pPr>
            <w:r>
              <w:t>Humeur (dysphorique, dépressive ou irritable)</w:t>
            </w:r>
          </w:p>
        </w:tc>
        <w:tc>
          <w:tcPr>
            <w:tcW w:w="2791" w:type="dxa"/>
          </w:tcPr>
          <w:p w:rsidR="00BB10AE" w:rsidRDefault="00BB10AE" w:rsidP="003D001F">
            <w:pPr>
              <w:pStyle w:val="Sansinterligne"/>
              <w:numPr>
                <w:ilvl w:val="0"/>
                <w:numId w:val="694"/>
              </w:numPr>
            </w:pPr>
            <w:r>
              <w:t>No/Vo</w:t>
            </w:r>
          </w:p>
          <w:p w:rsidR="00BB10AE" w:rsidRDefault="00BB10AE" w:rsidP="003D001F">
            <w:pPr>
              <w:pStyle w:val="Sansinterligne"/>
              <w:numPr>
                <w:ilvl w:val="0"/>
                <w:numId w:val="694"/>
              </w:numPr>
            </w:pPr>
            <w:r>
              <w:t>Myalgies</w:t>
            </w:r>
          </w:p>
        </w:tc>
      </w:tr>
    </w:tbl>
    <w:p w:rsidR="00C072F7" w:rsidRDefault="008D195E" w:rsidP="007853D5">
      <w:pPr>
        <w:pStyle w:val="Sansinterligne"/>
      </w:pPr>
      <w:r>
        <w:rPr>
          <w:noProof/>
          <w:lang w:eastAsia="fr-CA"/>
        </w:rPr>
        <w:drawing>
          <wp:anchor distT="0" distB="0" distL="114300" distR="114300" simplePos="0" relativeHeight="251852800" behindDoc="0" locked="0" layoutInCell="1" allowOverlap="1" wp14:anchorId="33E8A1A7" wp14:editId="7E8E53D6">
            <wp:simplePos x="0" y="0"/>
            <wp:positionH relativeFrom="column">
              <wp:posOffset>5002449</wp:posOffset>
            </wp:positionH>
            <wp:positionV relativeFrom="paragraph">
              <wp:posOffset>141605</wp:posOffset>
            </wp:positionV>
            <wp:extent cx="2009775" cy="2023110"/>
            <wp:effectExtent l="0" t="0" r="9525" b="0"/>
            <wp:wrapNone/>
            <wp:docPr id="365" name="Image 365" descr="Résultats de recherche d'images pour « sevra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ésultats de recherche d'images pour « sevrage »"/>
                    <pic:cNvPicPr>
                      <a:picLocks noChangeAspect="1" noChangeArrowheads="1"/>
                    </pic:cNvPicPr>
                  </pic:nvPicPr>
                  <pic:blipFill>
                    <a:blip r:embed="rId363">
                      <a:extLst>
                        <a:ext uri="{28A0092B-C50C-407E-A947-70E740481C1C}">
                          <a14:useLocalDpi xmlns:a14="http://schemas.microsoft.com/office/drawing/2010/main" val="0"/>
                        </a:ext>
                      </a:extLst>
                    </a:blip>
                    <a:srcRect/>
                    <a:stretch>
                      <a:fillRect/>
                    </a:stretch>
                  </pic:blipFill>
                  <pic:spPr bwMode="auto">
                    <a:xfrm>
                      <a:off x="0" y="0"/>
                      <a:ext cx="2009775" cy="20231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072F7" w:rsidRDefault="00C072F7" w:rsidP="00C072F7">
      <w:pPr>
        <w:pStyle w:val="Sansinterligne"/>
        <w:rPr>
          <w:b/>
          <w:sz w:val="28"/>
          <w:szCs w:val="28"/>
        </w:rPr>
      </w:pPr>
      <w:r>
        <w:rPr>
          <w:b/>
          <w:sz w:val="28"/>
          <w:szCs w:val="28"/>
        </w:rPr>
        <w:t>Investigations complémentaires</w:t>
      </w:r>
    </w:p>
    <w:p w:rsidR="00C072F7" w:rsidRPr="00C072F7" w:rsidRDefault="00C072F7" w:rsidP="00C072F7">
      <w:pPr>
        <w:pStyle w:val="Sansinterligne"/>
        <w:rPr>
          <w:b/>
          <w:sz w:val="28"/>
          <w:szCs w:val="28"/>
        </w:rPr>
      </w:pPr>
    </w:p>
    <w:p w:rsidR="00C072F7" w:rsidRDefault="00C072F7" w:rsidP="00867E49">
      <w:pPr>
        <w:pStyle w:val="Paragraphedeliste"/>
        <w:numPr>
          <w:ilvl w:val="0"/>
          <w:numId w:val="702"/>
        </w:numPr>
      </w:pPr>
      <w:r>
        <w:t xml:space="preserve">Réévaluer le </w:t>
      </w:r>
      <w:r w:rsidR="000E2746">
        <w:t xml:space="preserve">Score de </w:t>
      </w:r>
      <w:r>
        <w:t>Glasgow fréquemment</w:t>
      </w:r>
    </w:p>
    <w:p w:rsidR="00A83C40" w:rsidRDefault="00A83C40" w:rsidP="00A83C40">
      <w:pPr>
        <w:pStyle w:val="Paragraphedeliste"/>
        <w:ind w:left="360"/>
      </w:pPr>
    </w:p>
    <w:p w:rsidR="00237FEF" w:rsidRDefault="00237FEF" w:rsidP="00867E49">
      <w:pPr>
        <w:pStyle w:val="Paragraphedeliste"/>
        <w:numPr>
          <w:ilvl w:val="0"/>
          <w:numId w:val="702"/>
        </w:numPr>
        <w:spacing w:after="0"/>
      </w:pPr>
      <w:r>
        <w:t>Échelle de sevrage pour l’alcool (CIWA)</w:t>
      </w:r>
    </w:p>
    <w:p w:rsidR="00237FEF" w:rsidRDefault="00237FEF" w:rsidP="00237FEF">
      <w:pPr>
        <w:pStyle w:val="Paragraphedeliste"/>
        <w:numPr>
          <w:ilvl w:val="0"/>
          <w:numId w:val="697"/>
        </w:numPr>
      </w:pPr>
      <w:r>
        <w:t>10 paramètres de 0 à 7 points (sauf sensorium 0-4)</w:t>
      </w:r>
    </w:p>
    <w:p w:rsidR="00237FEF" w:rsidRDefault="00237FEF" w:rsidP="00237FEF">
      <w:pPr>
        <w:pStyle w:val="Paragraphedeliste"/>
        <w:numPr>
          <w:ilvl w:val="0"/>
          <w:numId w:val="697"/>
        </w:numPr>
      </w:pPr>
      <w:r>
        <w:t xml:space="preserve">No/Vo, tremblements, troubles auditifs, agitation, </w:t>
      </w:r>
    </w:p>
    <w:p w:rsidR="00237FEF" w:rsidRDefault="00237FEF" w:rsidP="00420EE7">
      <w:pPr>
        <w:pStyle w:val="Paragraphedeliste"/>
      </w:pPr>
      <w:r>
        <w:t>diaphorèse paroxystique, anxiété, troubles visuels, céphalées, sensorium</w:t>
      </w:r>
    </w:p>
    <w:p w:rsidR="002946AC" w:rsidRDefault="00237FEF" w:rsidP="002946AC">
      <w:pPr>
        <w:pStyle w:val="Paragraphedeliste"/>
        <w:numPr>
          <w:ilvl w:val="0"/>
          <w:numId w:val="697"/>
        </w:numPr>
      </w:pPr>
      <w:r>
        <w:t>Léger (</w:t>
      </w:r>
      <w:r w:rsidRPr="00237FEF">
        <w:rPr>
          <w:rFonts w:ascii="Century Gothic" w:hAnsi="Century Gothic"/>
        </w:rPr>
        <w:t>&lt;</w:t>
      </w:r>
      <w:r>
        <w:t>10), modéré (10-20), sévère (</w:t>
      </w:r>
      <w:r w:rsidRPr="00237FEF">
        <w:rPr>
          <w:rFonts w:ascii="Century Gothic" w:hAnsi="Century Gothic"/>
        </w:rPr>
        <w:t>&gt;</w:t>
      </w:r>
      <w:r>
        <w:t>20)</w:t>
      </w:r>
    </w:p>
    <w:p w:rsidR="000E2746" w:rsidRDefault="000E2746" w:rsidP="000E2746">
      <w:pPr>
        <w:pStyle w:val="Paragraphedeliste"/>
      </w:pPr>
    </w:p>
    <w:p w:rsidR="002946AC" w:rsidRDefault="002946AC" w:rsidP="00867E49">
      <w:pPr>
        <w:pStyle w:val="Paragraphedeliste"/>
        <w:numPr>
          <w:ilvl w:val="0"/>
          <w:numId w:val="701"/>
        </w:numPr>
      </w:pPr>
      <w:r>
        <w:t>Évaluer le trouble sous-jacent s’il y a (ex : CAGE pour trouble d’usage de l’alcool)</w:t>
      </w:r>
    </w:p>
    <w:p w:rsidR="00C072F7" w:rsidRPr="000E2746" w:rsidRDefault="00C072F7" w:rsidP="00867E49">
      <w:pPr>
        <w:pStyle w:val="Paragraphedeliste"/>
        <w:numPr>
          <w:ilvl w:val="0"/>
          <w:numId w:val="701"/>
        </w:numPr>
        <w:rPr>
          <w:highlight w:val="yellow"/>
        </w:rPr>
      </w:pPr>
      <w:r w:rsidRPr="000E2746">
        <w:rPr>
          <w:highlight w:val="yellow"/>
        </w:rPr>
        <w:t>FSC, ponction lombaire, SMU-DCA si altération de l’état de conscience + fièvre</w:t>
      </w:r>
    </w:p>
    <w:p w:rsidR="00C072F7" w:rsidRPr="000E2746" w:rsidRDefault="00C072F7" w:rsidP="00867E49">
      <w:pPr>
        <w:pStyle w:val="Paragraphedeliste"/>
        <w:numPr>
          <w:ilvl w:val="0"/>
          <w:numId w:val="701"/>
        </w:numPr>
        <w:rPr>
          <w:highlight w:val="yellow"/>
        </w:rPr>
      </w:pPr>
      <w:r w:rsidRPr="000E2746">
        <w:rPr>
          <w:highlight w:val="yellow"/>
        </w:rPr>
        <w:t>Radiographie pulmonaire également (si fièvre ou suspicion de pneumonie d’aspiration)</w:t>
      </w:r>
    </w:p>
    <w:p w:rsidR="00A83C40" w:rsidRPr="00A83C40" w:rsidRDefault="00A83C40" w:rsidP="00867E49">
      <w:pPr>
        <w:pStyle w:val="Paragraphedeliste"/>
        <w:numPr>
          <w:ilvl w:val="0"/>
          <w:numId w:val="701"/>
        </w:numPr>
        <w:rPr>
          <w:highlight w:val="yellow"/>
        </w:rPr>
      </w:pPr>
      <w:r w:rsidRPr="000E2746">
        <w:rPr>
          <w:highlight w:val="yellow"/>
        </w:rPr>
        <w:t>Bilan hépatique / rénal selon le contexte</w:t>
      </w:r>
    </w:p>
    <w:p w:rsidR="002946AC" w:rsidRDefault="002946AC" w:rsidP="00867E49">
      <w:pPr>
        <w:pStyle w:val="Paragraphedeliste"/>
        <w:numPr>
          <w:ilvl w:val="0"/>
          <w:numId w:val="701"/>
        </w:numPr>
      </w:pPr>
      <w:r>
        <w:t>Dépistage de drogues de rues urinaires, dosage sanguin si disponibles (ex : éthanolémie)</w:t>
      </w:r>
    </w:p>
    <w:p w:rsidR="00A83C40" w:rsidRDefault="00A83C40">
      <w:pPr>
        <w:rPr>
          <w:b/>
          <w:sz w:val="28"/>
          <w:szCs w:val="28"/>
        </w:rPr>
      </w:pPr>
    </w:p>
    <w:p w:rsidR="00C072F7" w:rsidRPr="00C072F7" w:rsidRDefault="00C072F7">
      <w:pPr>
        <w:rPr>
          <w:b/>
          <w:sz w:val="28"/>
          <w:szCs w:val="28"/>
        </w:rPr>
      </w:pPr>
      <w:r w:rsidRPr="00C072F7">
        <w:rPr>
          <w:b/>
          <w:sz w:val="28"/>
          <w:szCs w:val="28"/>
        </w:rPr>
        <w:t>Prise en charge</w:t>
      </w:r>
    </w:p>
    <w:p w:rsidR="002946AC" w:rsidRPr="002946AC" w:rsidRDefault="002946AC" w:rsidP="00867E49">
      <w:pPr>
        <w:pStyle w:val="Paragraphedeliste"/>
        <w:numPr>
          <w:ilvl w:val="0"/>
          <w:numId w:val="699"/>
        </w:numPr>
      </w:pPr>
      <w:r w:rsidRPr="002946AC">
        <w:t>Sevrage, gérer comme une instabilité.</w:t>
      </w:r>
    </w:p>
    <w:p w:rsidR="002946AC" w:rsidRDefault="002946AC" w:rsidP="00867E49">
      <w:pPr>
        <w:pStyle w:val="Paragraphedeliste"/>
        <w:numPr>
          <w:ilvl w:val="0"/>
          <w:numId w:val="699"/>
        </w:numPr>
      </w:pPr>
      <w:r>
        <w:t xml:space="preserve">Faire l’ABC, intuber le patient PRN si ses voies aériennes ou sa ventilation sont compromises (Glasgow </w:t>
      </w:r>
      <w:r w:rsidRPr="002946AC">
        <w:rPr>
          <w:rFonts w:ascii="Century Gothic" w:hAnsi="Century Gothic"/>
        </w:rPr>
        <w:t>&lt;</w:t>
      </w:r>
      <w:r>
        <w:t xml:space="preserve"> 9, aspiration, Vo++, dépression respiratoire)</w:t>
      </w:r>
    </w:p>
    <w:p w:rsidR="002946AC" w:rsidRPr="002946AC" w:rsidRDefault="002946AC" w:rsidP="00867E49">
      <w:pPr>
        <w:pStyle w:val="Paragraphedeliste"/>
        <w:numPr>
          <w:ilvl w:val="0"/>
          <w:numId w:val="699"/>
        </w:numPr>
      </w:pPr>
      <w:r>
        <w:t>Sevrer la molécule à l’aide d’un molécule de remplacement en réduction de dose progressive</w:t>
      </w:r>
    </w:p>
    <w:p w:rsidR="00C00988" w:rsidRPr="002946AC" w:rsidRDefault="00C00988" w:rsidP="00C26FD3">
      <w:pPr>
        <w:shd w:val="clear" w:color="auto" w:fill="FFFF00"/>
        <w:rPr>
          <w:u w:val="single"/>
        </w:rPr>
      </w:pPr>
      <w:r w:rsidRPr="002946AC">
        <w:rPr>
          <w:u w:val="single"/>
        </w:rPr>
        <w:t>Sevrage à l’alcool</w:t>
      </w:r>
    </w:p>
    <w:p w:rsidR="00A83C40" w:rsidRDefault="00A83C40" w:rsidP="00C26FD3">
      <w:pPr>
        <w:pStyle w:val="Paragraphedeliste"/>
        <w:numPr>
          <w:ilvl w:val="0"/>
          <w:numId w:val="698"/>
        </w:numPr>
        <w:shd w:val="clear" w:color="auto" w:fill="FFFF00"/>
        <w:sectPr w:rsidR="00A83C40" w:rsidSect="00217865">
          <w:type w:val="continuous"/>
          <w:pgSz w:w="12240" w:h="15840"/>
          <w:pgMar w:top="720" w:right="720" w:bottom="720" w:left="720" w:header="708" w:footer="708" w:gutter="0"/>
          <w:cols w:space="708"/>
          <w:docGrid w:linePitch="360"/>
        </w:sectPr>
      </w:pPr>
    </w:p>
    <w:p w:rsidR="00C00988" w:rsidRPr="00A83C40" w:rsidRDefault="00C00988" w:rsidP="00C26FD3">
      <w:pPr>
        <w:pStyle w:val="Paragraphedeliste"/>
        <w:numPr>
          <w:ilvl w:val="0"/>
          <w:numId w:val="698"/>
        </w:numPr>
        <w:shd w:val="clear" w:color="auto" w:fill="FFFF00"/>
        <w:rPr>
          <w:lang w:val="en-CA"/>
        </w:rPr>
      </w:pPr>
      <w:r w:rsidRPr="00A83C40">
        <w:rPr>
          <w:lang w:val="en-CA"/>
        </w:rPr>
        <w:t xml:space="preserve">Diazepam 20 mg PO q 1-2 h PRN ad CIWA </w:t>
      </w:r>
      <w:r w:rsidRPr="00A83C40">
        <w:rPr>
          <w:rFonts w:ascii="Century Gothic" w:hAnsi="Century Gothic"/>
          <w:lang w:val="en-CA"/>
        </w:rPr>
        <w:t>&lt;</w:t>
      </w:r>
      <w:r w:rsidRPr="00A83C40">
        <w:rPr>
          <w:lang w:val="en-CA"/>
        </w:rPr>
        <w:t xml:space="preserve"> 10</w:t>
      </w:r>
    </w:p>
    <w:p w:rsidR="00C00988" w:rsidRPr="002946AC" w:rsidRDefault="00C00988" w:rsidP="00C26FD3">
      <w:pPr>
        <w:pStyle w:val="Paragraphedeliste"/>
        <w:numPr>
          <w:ilvl w:val="0"/>
          <w:numId w:val="698"/>
        </w:numPr>
        <w:shd w:val="clear" w:color="auto" w:fill="FFFF00"/>
      </w:pPr>
      <w:r w:rsidRPr="002946AC">
        <w:t>Observation 1-2h après dernière dose</w:t>
      </w:r>
    </w:p>
    <w:p w:rsidR="00C00988" w:rsidRPr="0037666B" w:rsidRDefault="00C00988" w:rsidP="00C26FD3">
      <w:pPr>
        <w:pStyle w:val="Paragraphedeliste"/>
        <w:numPr>
          <w:ilvl w:val="0"/>
          <w:numId w:val="698"/>
        </w:numPr>
        <w:shd w:val="clear" w:color="auto" w:fill="FFFF00"/>
        <w:rPr>
          <w:lang w:val="de-DE"/>
        </w:rPr>
      </w:pPr>
      <w:r w:rsidRPr="0037666B">
        <w:rPr>
          <w:lang w:val="de-DE"/>
        </w:rPr>
        <w:t>Thiamine 100 mg IM x 1 puis 100 mg PO DIE x 3</w:t>
      </w:r>
    </w:p>
    <w:p w:rsidR="00C00988" w:rsidRPr="002946AC" w:rsidRDefault="00C00988" w:rsidP="00C26FD3">
      <w:pPr>
        <w:pStyle w:val="Paragraphedeliste"/>
        <w:numPr>
          <w:ilvl w:val="0"/>
          <w:numId w:val="698"/>
        </w:numPr>
        <w:shd w:val="clear" w:color="auto" w:fill="FFFF00"/>
      </w:pPr>
      <w:r w:rsidRPr="002946AC">
        <w:t>Alimentation / hydratation</w:t>
      </w:r>
    </w:p>
    <w:p w:rsidR="00C00988" w:rsidRPr="002946AC" w:rsidRDefault="00C00988" w:rsidP="00C26FD3">
      <w:pPr>
        <w:pStyle w:val="Paragraphedeliste"/>
        <w:numPr>
          <w:ilvl w:val="0"/>
          <w:numId w:val="698"/>
        </w:numPr>
        <w:shd w:val="clear" w:color="auto" w:fill="FFFF00"/>
      </w:pPr>
      <w:r w:rsidRPr="002946AC">
        <w:t>Si ATCD de convulsions de sevrage, min</w:t>
      </w:r>
      <w:r w:rsidR="00257FFA">
        <w:t>.</w:t>
      </w:r>
      <w:r w:rsidRPr="002946AC">
        <w:t xml:space="preserve"> 3 doses de </w:t>
      </w:r>
      <w:r w:rsidR="00257FFA">
        <w:t>d</w:t>
      </w:r>
      <w:r w:rsidRPr="002946AC">
        <w:t>iaz</w:t>
      </w:r>
      <w:r w:rsidR="00257FFA">
        <w:t>é</w:t>
      </w:r>
      <w:r w:rsidRPr="002946AC">
        <w:t>pam</w:t>
      </w:r>
    </w:p>
    <w:p w:rsidR="00C00988" w:rsidRPr="002946AC" w:rsidRDefault="00C00988" w:rsidP="00C26FD3">
      <w:pPr>
        <w:pStyle w:val="Paragraphedeliste"/>
        <w:numPr>
          <w:ilvl w:val="0"/>
          <w:numId w:val="698"/>
        </w:numPr>
        <w:shd w:val="clear" w:color="auto" w:fill="FFFF00"/>
      </w:pPr>
      <w:r w:rsidRPr="002946AC">
        <w:t>Halopéridol 2-5 mg  IM/PO q 1h PRN (max 5/jr) si hallucinations</w:t>
      </w:r>
    </w:p>
    <w:p w:rsidR="00A83C40" w:rsidRDefault="00C00988" w:rsidP="00BC403F">
      <w:pPr>
        <w:pStyle w:val="Sansinterligne"/>
        <w:numPr>
          <w:ilvl w:val="0"/>
          <w:numId w:val="698"/>
        </w:numPr>
        <w:shd w:val="clear" w:color="auto" w:fill="FFFF00"/>
        <w:sectPr w:rsidR="00A83C40" w:rsidSect="0092164A">
          <w:type w:val="continuous"/>
          <w:pgSz w:w="12240" w:h="15840"/>
          <w:pgMar w:top="720" w:right="720" w:bottom="720" w:left="720" w:header="708" w:footer="708" w:gutter="0"/>
          <w:cols w:num="2" w:space="0" w:equalWidth="0">
            <w:col w:w="6237" w:space="0"/>
            <w:col w:w="4563"/>
          </w:cols>
          <w:docGrid w:linePitch="360"/>
        </w:sectPr>
      </w:pPr>
      <w:r w:rsidRPr="002946AC">
        <w:t xml:space="preserve">Admettre si &gt; 80 mg de </w:t>
      </w:r>
      <w:r w:rsidR="002946AC" w:rsidRPr="002946AC">
        <w:t>diazépam</w:t>
      </w:r>
      <w:r w:rsidRPr="002946AC">
        <w:t xml:space="preserve"> reçu, délirium tremens ou arythmies récurrentes / convulsions</w:t>
      </w:r>
      <w:r w:rsidR="00F851E0">
        <w:t xml:space="preserve"> ou non-sécuritaire</w:t>
      </w:r>
    </w:p>
    <w:p w:rsidR="00BC403F" w:rsidRPr="002946AC" w:rsidRDefault="00BC403F" w:rsidP="00BC403F">
      <w:pPr>
        <w:pStyle w:val="Sansinterligne"/>
        <w:rPr>
          <w:u w:val="single"/>
        </w:rPr>
      </w:pPr>
      <w:r w:rsidRPr="002946AC">
        <w:rPr>
          <w:u w:val="single"/>
        </w:rPr>
        <w:t>Sevrage aux opioïdes</w:t>
      </w:r>
    </w:p>
    <w:p w:rsidR="00BC403F" w:rsidRPr="002946AC" w:rsidRDefault="00BC403F" w:rsidP="00BC403F">
      <w:pPr>
        <w:pStyle w:val="Sansinterligne"/>
      </w:pPr>
    </w:p>
    <w:p w:rsidR="00BC403F" w:rsidRPr="002946AC" w:rsidRDefault="00BC403F" w:rsidP="00867E49">
      <w:pPr>
        <w:pStyle w:val="Sansinterligne"/>
        <w:numPr>
          <w:ilvl w:val="0"/>
          <w:numId w:val="700"/>
        </w:numPr>
      </w:pPr>
      <w:r w:rsidRPr="002946AC">
        <w:t>Clonidine (</w:t>
      </w:r>
      <w:r w:rsidRPr="002946AC">
        <w:rPr>
          <w:rFonts w:ascii="Century Gothic" w:hAnsi="Century Gothic"/>
        </w:rPr>
        <w:t>α</w:t>
      </w:r>
      <w:r w:rsidRPr="002946AC">
        <w:t>-agoniste)</w:t>
      </w:r>
    </w:p>
    <w:p w:rsidR="00BC403F" w:rsidRPr="002946AC" w:rsidRDefault="00BC403F" w:rsidP="00867E49">
      <w:pPr>
        <w:pStyle w:val="Sansinterligne"/>
        <w:numPr>
          <w:ilvl w:val="0"/>
          <w:numId w:val="700"/>
        </w:numPr>
      </w:pPr>
      <w:r w:rsidRPr="002946AC">
        <w:t>M</w:t>
      </w:r>
      <w:r w:rsidR="002946AC" w:rsidRPr="002946AC">
        <w:t>é</w:t>
      </w:r>
      <w:r w:rsidRPr="002946AC">
        <w:t>thadone ou buprenorphine</w:t>
      </w:r>
      <w:r w:rsidR="002946AC" w:rsidRPr="002946AC">
        <w:t xml:space="preserve"> (longue-action) et débuter sevrage très lent</w:t>
      </w:r>
    </w:p>
    <w:p w:rsidR="00BC403F" w:rsidRPr="002946AC" w:rsidRDefault="00BC403F" w:rsidP="00BC403F">
      <w:pPr>
        <w:pStyle w:val="Sansinterligne"/>
        <w:rPr>
          <w:rFonts w:cs="Times New Roman"/>
          <w:b/>
          <w:color w:val="548DD4" w:themeColor="text2" w:themeTint="99"/>
        </w:rPr>
      </w:pPr>
    </w:p>
    <w:p w:rsidR="00BC403F" w:rsidRDefault="00BC403F" w:rsidP="00BC403F">
      <w:pPr>
        <w:pStyle w:val="Sansinterligne"/>
        <w:rPr>
          <w:rFonts w:cs="Times New Roman"/>
          <w:b/>
          <w:color w:val="548DD4" w:themeColor="text2" w:themeTint="99"/>
        </w:rPr>
      </w:pPr>
    </w:p>
    <w:p w:rsidR="00BC403F" w:rsidRPr="00744373" w:rsidRDefault="00744373" w:rsidP="00744373">
      <w:pPr>
        <w:pStyle w:val="Sansinterligne"/>
        <w:rPr>
          <w:u w:val="single"/>
        </w:rPr>
      </w:pPr>
      <w:r w:rsidRPr="00744373">
        <w:rPr>
          <w:u w:val="single"/>
        </w:rPr>
        <w:t>Sevrage au cannabis</w:t>
      </w:r>
    </w:p>
    <w:p w:rsidR="00744373" w:rsidRDefault="00744373" w:rsidP="00867E49">
      <w:pPr>
        <w:pStyle w:val="Sansinterligne"/>
        <w:numPr>
          <w:ilvl w:val="0"/>
          <w:numId w:val="705"/>
        </w:numPr>
      </w:pPr>
      <w:r>
        <w:t>Insuffisamment de données sur une molécule</w:t>
      </w:r>
      <w:r w:rsidR="005B1F69">
        <w:t xml:space="preserve"> de remplacement</w:t>
      </w:r>
    </w:p>
    <w:p w:rsidR="00BC403F" w:rsidRDefault="00744373" w:rsidP="00867E49">
      <w:pPr>
        <w:pStyle w:val="Sansinterligne"/>
        <w:numPr>
          <w:ilvl w:val="0"/>
          <w:numId w:val="705"/>
        </w:numPr>
      </w:pPr>
      <w:r>
        <w:t>Dronabinol et THC pourraient être efficaces</w:t>
      </w:r>
    </w:p>
    <w:p w:rsidR="00744373" w:rsidRPr="00744373" w:rsidRDefault="00744373" w:rsidP="00744373">
      <w:pPr>
        <w:pStyle w:val="Sansinterligne"/>
      </w:pPr>
    </w:p>
    <w:p w:rsidR="00744373" w:rsidRPr="00744373" w:rsidRDefault="00744373" w:rsidP="00744373">
      <w:pPr>
        <w:pStyle w:val="Sansinterligne"/>
        <w:rPr>
          <w:u w:val="single"/>
        </w:rPr>
      </w:pPr>
      <w:r w:rsidRPr="00744373">
        <w:rPr>
          <w:u w:val="single"/>
        </w:rPr>
        <w:t>Sevrage à la cocaïne</w:t>
      </w:r>
      <w:r w:rsidR="005B1F69">
        <w:rPr>
          <w:u w:val="single"/>
        </w:rPr>
        <w:t xml:space="preserve"> et aux amphétamines</w:t>
      </w:r>
      <w:r w:rsidR="009B0AD0" w:rsidRPr="009B0AD0">
        <w:t xml:space="preserve"> </w:t>
      </w:r>
    </w:p>
    <w:p w:rsidR="00744373" w:rsidRDefault="00744373" w:rsidP="00BC403F">
      <w:pPr>
        <w:pStyle w:val="Sansinterligne"/>
        <w:rPr>
          <w:rFonts w:cs="Times New Roman"/>
          <w:b/>
          <w:color w:val="548DD4" w:themeColor="text2" w:themeTint="99"/>
        </w:rPr>
      </w:pPr>
    </w:p>
    <w:p w:rsidR="00CE0331" w:rsidRPr="00CE0331" w:rsidRDefault="00CE0331" w:rsidP="00867E49">
      <w:pPr>
        <w:pStyle w:val="Sansinterligne"/>
        <w:numPr>
          <w:ilvl w:val="0"/>
          <w:numId w:val="704"/>
        </w:numPr>
      </w:pPr>
      <w:r w:rsidRPr="00CE0331">
        <w:t>Traitement de support</w:t>
      </w:r>
    </w:p>
    <w:p w:rsidR="00CE0331" w:rsidRDefault="00CE0331" w:rsidP="00BC403F">
      <w:pPr>
        <w:pStyle w:val="Sansinterligne"/>
        <w:rPr>
          <w:rFonts w:cs="Times New Roman"/>
          <w:b/>
          <w:color w:val="548DD4" w:themeColor="text2" w:themeTint="99"/>
        </w:rPr>
      </w:pPr>
    </w:p>
    <w:p w:rsidR="00744373" w:rsidRPr="00744373" w:rsidRDefault="009B0AD0" w:rsidP="009B0AD0">
      <w:pPr>
        <w:pStyle w:val="Sansinterligne"/>
        <w:shd w:val="clear" w:color="auto" w:fill="FFFF00"/>
        <w:rPr>
          <w:u w:val="single"/>
        </w:rPr>
      </w:pPr>
      <w:r>
        <w:rPr>
          <w:noProof/>
          <w:lang w:eastAsia="fr-CA"/>
        </w:rPr>
        <w:drawing>
          <wp:anchor distT="0" distB="0" distL="114300" distR="114300" simplePos="0" relativeHeight="251854848" behindDoc="0" locked="0" layoutInCell="1" allowOverlap="1" wp14:anchorId="35334695" wp14:editId="0B279621">
            <wp:simplePos x="0" y="0"/>
            <wp:positionH relativeFrom="column">
              <wp:posOffset>3950335</wp:posOffset>
            </wp:positionH>
            <wp:positionV relativeFrom="paragraph">
              <wp:posOffset>46990</wp:posOffset>
            </wp:positionV>
            <wp:extent cx="2849880" cy="807720"/>
            <wp:effectExtent l="0" t="0" r="7620" b="0"/>
            <wp:wrapNone/>
            <wp:docPr id="368" name="Image 368" descr="Résultats de recherche d'images pour « j'arrêt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ésultats de recherche d'images pour « j'arrête »"/>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2849880" cy="807720"/>
                    </a:xfrm>
                    <a:prstGeom prst="rect">
                      <a:avLst/>
                    </a:prstGeom>
                    <a:noFill/>
                    <a:ln>
                      <a:noFill/>
                    </a:ln>
                  </pic:spPr>
                </pic:pic>
              </a:graphicData>
            </a:graphic>
            <wp14:sizeRelH relativeFrom="page">
              <wp14:pctWidth>0</wp14:pctWidth>
            </wp14:sizeRelH>
            <wp14:sizeRelV relativeFrom="page">
              <wp14:pctHeight>0</wp14:pctHeight>
            </wp14:sizeRelV>
          </wp:anchor>
        </w:drawing>
      </w:r>
      <w:r w:rsidR="00744373" w:rsidRPr="00744373">
        <w:rPr>
          <w:u w:val="single"/>
        </w:rPr>
        <w:t>Sevrage à la nicotine</w:t>
      </w:r>
    </w:p>
    <w:p w:rsidR="00744373" w:rsidRDefault="00744373" w:rsidP="009B0AD0">
      <w:pPr>
        <w:pStyle w:val="Sansinterligne"/>
        <w:shd w:val="clear" w:color="auto" w:fill="FFFF00"/>
      </w:pPr>
    </w:p>
    <w:p w:rsidR="00744373" w:rsidRDefault="00744373" w:rsidP="00867E49">
      <w:pPr>
        <w:pStyle w:val="Sansinterligne"/>
        <w:numPr>
          <w:ilvl w:val="0"/>
          <w:numId w:val="703"/>
        </w:numPr>
        <w:shd w:val="clear" w:color="auto" w:fill="FFFF00"/>
      </w:pPr>
      <w:r>
        <w:t>Évaluer les stades de Prochaska (pour arrêt)</w:t>
      </w:r>
    </w:p>
    <w:p w:rsidR="00744373" w:rsidRDefault="00744373" w:rsidP="00867E49">
      <w:pPr>
        <w:pStyle w:val="Sansinterligne"/>
        <w:numPr>
          <w:ilvl w:val="0"/>
          <w:numId w:val="703"/>
        </w:numPr>
        <w:shd w:val="clear" w:color="auto" w:fill="FFFF00"/>
      </w:pPr>
      <w:r>
        <w:t>Ligne d’aide (1-866-JARRETE)</w:t>
      </w:r>
    </w:p>
    <w:p w:rsidR="00744373" w:rsidRDefault="00744373" w:rsidP="00867E49">
      <w:pPr>
        <w:pStyle w:val="Sansinterligne"/>
        <w:numPr>
          <w:ilvl w:val="0"/>
          <w:numId w:val="703"/>
        </w:numPr>
        <w:shd w:val="clear" w:color="auto" w:fill="FFFF00"/>
      </w:pPr>
      <w:r>
        <w:t>Support social et familial</w:t>
      </w:r>
    </w:p>
    <w:p w:rsidR="00744373" w:rsidRDefault="00744373" w:rsidP="00867E49">
      <w:pPr>
        <w:pStyle w:val="Sansinterligne"/>
        <w:numPr>
          <w:ilvl w:val="0"/>
          <w:numId w:val="703"/>
        </w:numPr>
        <w:shd w:val="clear" w:color="auto" w:fill="FFFF00"/>
      </w:pPr>
      <w:r>
        <w:t xml:space="preserve">Conseils (ex : dissocier </w:t>
      </w:r>
      <w:r w:rsidR="00EA564A">
        <w:t>/tabac o</w:t>
      </w:r>
      <w:r>
        <w:t xml:space="preserve">u </w:t>
      </w:r>
      <w:r w:rsidR="00EA564A">
        <w:t>usage d’</w:t>
      </w:r>
      <w:r>
        <w:t>alcool et tabac)</w:t>
      </w:r>
    </w:p>
    <w:p w:rsidR="00744373" w:rsidRDefault="00744373" w:rsidP="00867E49">
      <w:pPr>
        <w:pStyle w:val="Sansinterligne"/>
        <w:numPr>
          <w:ilvl w:val="0"/>
          <w:numId w:val="703"/>
        </w:numPr>
        <w:shd w:val="clear" w:color="auto" w:fill="FFFF00"/>
      </w:pPr>
      <w:r>
        <w:t>Remplacement avec gomme de nicotine, spray nasal ou en inhalation</w:t>
      </w:r>
    </w:p>
    <w:p w:rsidR="00744373" w:rsidRDefault="00744373" w:rsidP="00867E49">
      <w:pPr>
        <w:pStyle w:val="Sansinterligne"/>
        <w:numPr>
          <w:ilvl w:val="0"/>
          <w:numId w:val="703"/>
        </w:numPr>
        <w:shd w:val="clear" w:color="auto" w:fill="FFFF00"/>
      </w:pPr>
      <w:r>
        <w:t xml:space="preserve">Remplacement avec patch transdermique q 24h </w:t>
      </w:r>
    </w:p>
    <w:p w:rsidR="00744373" w:rsidRDefault="00744373" w:rsidP="00867E49">
      <w:pPr>
        <w:pStyle w:val="Sansinterligne"/>
        <w:numPr>
          <w:ilvl w:val="1"/>
          <w:numId w:val="703"/>
        </w:numPr>
        <w:shd w:val="clear" w:color="auto" w:fill="FFFF00"/>
      </w:pPr>
      <w:r>
        <w:t>21 mg/jr x 4 semaines puis 14 mg/jr x 2 semaine puis 7 mg/jr x 2 sem</w:t>
      </w:r>
    </w:p>
    <w:p w:rsidR="00744373" w:rsidRDefault="00744373" w:rsidP="00867E49">
      <w:pPr>
        <w:pStyle w:val="Sansinterligne"/>
        <w:numPr>
          <w:ilvl w:val="1"/>
          <w:numId w:val="703"/>
        </w:numPr>
        <w:shd w:val="clear" w:color="auto" w:fill="FFFF00"/>
      </w:pPr>
      <w:r>
        <w:t xml:space="preserve">Débuter à 14 mg si </w:t>
      </w:r>
      <w:r>
        <w:rPr>
          <w:rFonts w:ascii="Century Gothic" w:hAnsi="Century Gothic"/>
        </w:rPr>
        <w:t>&lt;</w:t>
      </w:r>
      <w:r>
        <w:t>10 cigarettes/jr</w:t>
      </w:r>
    </w:p>
    <w:p w:rsidR="00744373" w:rsidRDefault="00744373" w:rsidP="00867E49">
      <w:pPr>
        <w:pStyle w:val="Sansinterligne"/>
        <w:numPr>
          <w:ilvl w:val="1"/>
          <w:numId w:val="703"/>
        </w:numPr>
        <w:shd w:val="clear" w:color="auto" w:fill="FFFF00"/>
      </w:pPr>
      <w:r>
        <w:t>Aviser des effets 2aire : palpitations, anxiété, insomnie, irritation cutanée</w:t>
      </w:r>
    </w:p>
    <w:p w:rsidR="00744373" w:rsidRDefault="00744373" w:rsidP="00867E49">
      <w:pPr>
        <w:pStyle w:val="Sansinterligne"/>
        <w:numPr>
          <w:ilvl w:val="0"/>
          <w:numId w:val="703"/>
        </w:numPr>
        <w:shd w:val="clear" w:color="auto" w:fill="FFFF00"/>
      </w:pPr>
      <w:r>
        <w:t>Varenicicline (Champix) – 2</w:t>
      </w:r>
      <w:r w:rsidRPr="00744373">
        <w:rPr>
          <w:vertAlign w:val="superscript"/>
        </w:rPr>
        <w:t>e</w:t>
      </w:r>
      <w:r>
        <w:t xml:space="preserve"> ligne</w:t>
      </w:r>
    </w:p>
    <w:p w:rsidR="00744373" w:rsidRDefault="00744373" w:rsidP="00867E49">
      <w:pPr>
        <w:pStyle w:val="Sansinterligne"/>
        <w:numPr>
          <w:ilvl w:val="0"/>
          <w:numId w:val="703"/>
        </w:numPr>
        <w:shd w:val="clear" w:color="auto" w:fill="FFFF00"/>
      </w:pPr>
      <w:r>
        <w:t>Bupropion SR PRN – 3</w:t>
      </w:r>
      <w:r w:rsidRPr="00744373">
        <w:rPr>
          <w:vertAlign w:val="superscript"/>
        </w:rPr>
        <w:t>e</w:t>
      </w:r>
      <w:r>
        <w:t xml:space="preserve"> ligne</w:t>
      </w:r>
    </w:p>
    <w:p w:rsidR="00BC403F" w:rsidRPr="00744373" w:rsidRDefault="00BC403F" w:rsidP="00744373">
      <w:pPr>
        <w:pStyle w:val="Sansinterligne"/>
      </w:pPr>
      <w:r w:rsidRPr="00744373">
        <w:br w:type="page"/>
      </w:r>
    </w:p>
    <w:p w:rsidR="00122867" w:rsidRDefault="00122867" w:rsidP="00E06BD8">
      <w:pPr>
        <w:spacing w:after="0"/>
        <w:rPr>
          <w:rFonts w:cs="Times New Roman"/>
          <w:b/>
          <w:color w:val="548DD4" w:themeColor="text2" w:themeTint="99"/>
        </w:rPr>
      </w:pPr>
      <w:r>
        <w:rPr>
          <w:rFonts w:cs="Times New Roman"/>
          <w:b/>
          <w:color w:val="548DD4" w:themeColor="text2" w:themeTint="99"/>
        </w:rPr>
        <w:t>CMC 104</w:t>
      </w:r>
    </w:p>
    <w:p w:rsidR="00122867" w:rsidRPr="00122867" w:rsidRDefault="00122867" w:rsidP="00122867">
      <w:pPr>
        <w:pStyle w:val="Titre3"/>
        <w:spacing w:before="0"/>
        <w:rPr>
          <w:rFonts w:ascii="Times New Roman" w:hAnsi="Times New Roman" w:cs="Times New Roman"/>
        </w:rPr>
      </w:pPr>
      <w:bookmarkStart w:id="383" w:name="_Toc480797334"/>
      <w:r w:rsidRPr="00122867">
        <w:rPr>
          <w:rFonts w:ascii="Times New Roman" w:hAnsi="Times New Roman" w:cs="Times New Roman"/>
        </w:rPr>
        <w:t>Syndrome de mort subite du nourrisson (SMSN), accident aigu potentiellement fatal (ALTE)</w:t>
      </w:r>
      <w:bookmarkEnd w:id="383"/>
    </w:p>
    <w:tbl>
      <w:tblPr>
        <w:tblW w:w="3858" w:type="pct"/>
        <w:tblCellSpacing w:w="0" w:type="dxa"/>
        <w:tblCellMar>
          <w:left w:w="0" w:type="dxa"/>
          <w:right w:w="0" w:type="dxa"/>
        </w:tblCellMar>
        <w:tblLook w:val="04A0" w:firstRow="1" w:lastRow="0" w:firstColumn="1" w:lastColumn="0" w:noHBand="0" w:noVBand="1"/>
      </w:tblPr>
      <w:tblGrid>
        <w:gridCol w:w="8333"/>
      </w:tblGrid>
      <w:tr w:rsidR="00122867" w:rsidRPr="00122867" w:rsidTr="00122867">
        <w:trPr>
          <w:tblCellSpacing w:w="0" w:type="dxa"/>
        </w:trPr>
        <w:tc>
          <w:tcPr>
            <w:tcW w:w="0" w:type="auto"/>
            <w:vAlign w:val="bottom"/>
            <w:hideMark/>
          </w:tcPr>
          <w:p w:rsidR="00122867" w:rsidRPr="00122867" w:rsidRDefault="00122867" w:rsidP="00122867">
            <w:pPr>
              <w:pStyle w:val="Sansinterligne"/>
              <w:rPr>
                <w:rFonts w:cs="Times New Roman"/>
                <w:b/>
                <w:sz w:val="18"/>
                <w:szCs w:val="18"/>
              </w:rPr>
            </w:pPr>
            <w:r>
              <w:rPr>
                <w:rFonts w:cs="Times New Roman"/>
                <w:b/>
                <w:noProof/>
                <w:sz w:val="18"/>
                <w:szCs w:val="18"/>
                <w:lang w:eastAsia="fr-CA"/>
              </w:rPr>
              <mc:AlternateContent>
                <mc:Choice Requires="wps">
                  <w:drawing>
                    <wp:anchor distT="0" distB="0" distL="114300" distR="114300" simplePos="0" relativeHeight="251919360" behindDoc="0" locked="0" layoutInCell="1" allowOverlap="1" wp14:anchorId="08B714DB" wp14:editId="72A7D71E">
                      <wp:simplePos x="0" y="0"/>
                      <wp:positionH relativeFrom="column">
                        <wp:posOffset>-19455</wp:posOffset>
                      </wp:positionH>
                      <wp:positionV relativeFrom="paragraph">
                        <wp:posOffset>85225</wp:posOffset>
                      </wp:positionV>
                      <wp:extent cx="6965004" cy="2830749"/>
                      <wp:effectExtent l="0" t="0" r="26670" b="27305"/>
                      <wp:wrapNone/>
                      <wp:docPr id="437" name="Rectangle 437"/>
                      <wp:cNvGraphicFramePr/>
                      <a:graphic xmlns:a="http://schemas.openxmlformats.org/drawingml/2006/main">
                        <a:graphicData uri="http://schemas.microsoft.com/office/word/2010/wordprocessingShape">
                          <wps:wsp>
                            <wps:cNvSpPr/>
                            <wps:spPr>
                              <a:xfrm>
                                <a:off x="0" y="0"/>
                                <a:ext cx="6965004" cy="2830749"/>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437" o:spid="_x0000_s1026" style="position:absolute;margin-left:-1.55pt;margin-top:6.7pt;width:548.45pt;height:222.9pt;z-index:251919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" filled="f" strokecolor="black [1600]" strokeweight="2pt"/>
                  </w:pict>
                </mc:Fallback>
              </mc:AlternateContent>
            </w:r>
          </w:p>
          <w:p w:rsidR="00122867" w:rsidRPr="00122867" w:rsidRDefault="00122867" w:rsidP="00122867">
            <w:pPr>
              <w:pStyle w:val="Sansinterligne"/>
              <w:rPr>
                <w:rFonts w:cs="Times New Roman"/>
                <w:b/>
                <w:sz w:val="18"/>
                <w:szCs w:val="18"/>
              </w:rPr>
            </w:pPr>
            <w:r w:rsidRPr="00122867">
              <w:rPr>
                <w:rFonts w:cs="Times New Roman"/>
                <w:b/>
                <w:sz w:val="18"/>
                <w:szCs w:val="18"/>
              </w:rPr>
              <w:t>Objectifs principaux</w:t>
            </w:r>
          </w:p>
        </w:tc>
      </w:tr>
    </w:tbl>
    <w:p w:rsidR="00122867" w:rsidRPr="00122867" w:rsidRDefault="00122867" w:rsidP="00122867">
      <w:pPr>
        <w:pStyle w:val="NormalWeb"/>
        <w:ind w:left="360"/>
        <w:rPr>
          <w:color w:val="000000"/>
          <w:sz w:val="18"/>
          <w:szCs w:val="18"/>
          <w:shd w:val="clear" w:color="auto" w:fill="FFFFFF"/>
        </w:rPr>
      </w:pPr>
      <w:r w:rsidRPr="00122867">
        <w:rPr>
          <w:color w:val="000000"/>
          <w:sz w:val="18"/>
          <w:szCs w:val="18"/>
          <w:shd w:val="clear" w:color="auto" w:fill="FFFFFF"/>
        </w:rPr>
        <w:t>Dans le cas d'un SMSN ou d'un ALTE du nourrisson, le candidat devra en évaluer de manière approfondie les facteurs de risque et/ou les causes. Dans le cas d'un ALTE, il devra en diagnostiquer la gravité et les complications, et mettre en place un plan de prise en charge approprié. Le candidat devra également conseiller les parents et la famille du nourrisson.</w:t>
      </w:r>
    </w:p>
    <w:tbl>
      <w:tblPr>
        <w:tblW w:w="3897" w:type="pct"/>
        <w:tblCellSpacing w:w="0" w:type="dxa"/>
        <w:tblCellMar>
          <w:left w:w="0" w:type="dxa"/>
          <w:right w:w="0" w:type="dxa"/>
        </w:tblCellMar>
        <w:tblLook w:val="04A0" w:firstRow="1" w:lastRow="0" w:firstColumn="1" w:lastColumn="0" w:noHBand="0" w:noVBand="1"/>
      </w:tblPr>
      <w:tblGrid>
        <w:gridCol w:w="8418"/>
      </w:tblGrid>
      <w:tr w:rsidR="00122867" w:rsidRPr="00122867" w:rsidTr="00122867">
        <w:trPr>
          <w:tblCellSpacing w:w="0" w:type="dxa"/>
        </w:trPr>
        <w:tc>
          <w:tcPr>
            <w:tcW w:w="0" w:type="auto"/>
            <w:vAlign w:val="bottom"/>
            <w:hideMark/>
          </w:tcPr>
          <w:p w:rsidR="00122867" w:rsidRPr="00122867" w:rsidRDefault="00122867" w:rsidP="00122867">
            <w:pPr>
              <w:pStyle w:val="Sansinterligne"/>
              <w:rPr>
                <w:rFonts w:cs="Times New Roman"/>
                <w:b/>
                <w:sz w:val="16"/>
                <w:szCs w:val="16"/>
              </w:rPr>
            </w:pPr>
            <w:r w:rsidRPr="00122867">
              <w:rPr>
                <w:rFonts w:cs="Times New Roman"/>
                <w:b/>
                <w:sz w:val="16"/>
                <w:szCs w:val="16"/>
              </w:rPr>
              <w:t>Objectifs spécifiques</w:t>
            </w:r>
          </w:p>
        </w:tc>
      </w:tr>
    </w:tbl>
    <w:p w:rsidR="00122867" w:rsidRPr="00122867" w:rsidRDefault="00122867" w:rsidP="00122867">
      <w:pPr>
        <w:pStyle w:val="NormalWeb"/>
        <w:shd w:val="clear" w:color="auto" w:fill="FFFFFF"/>
        <w:ind w:left="360"/>
        <w:rPr>
          <w:color w:val="000000"/>
          <w:sz w:val="16"/>
          <w:szCs w:val="16"/>
          <w:shd w:val="clear" w:color="auto" w:fill="FFFFFF"/>
        </w:rPr>
      </w:pPr>
      <w:r w:rsidRPr="00122867">
        <w:rPr>
          <w:color w:val="000000"/>
          <w:sz w:val="16"/>
          <w:szCs w:val="16"/>
          <w:shd w:val="clear" w:color="auto" w:fill="FFFFFF"/>
        </w:rPr>
        <w:t>Dans le cas d'un SMSN ou d'un ALTE du nourrisson, le candidat devra</w:t>
      </w:r>
    </w:p>
    <w:p w:rsidR="00122867" w:rsidRPr="00122867" w:rsidRDefault="00122867" w:rsidP="005D429F">
      <w:pPr>
        <w:numPr>
          <w:ilvl w:val="0"/>
          <w:numId w:val="897"/>
        </w:numPr>
        <w:shd w:val="clear" w:color="auto" w:fill="FFFFFF"/>
        <w:spacing w:before="100" w:beforeAutospacing="1" w:after="100" w:afterAutospacing="1" w:line="240" w:lineRule="auto"/>
        <w:rPr>
          <w:rFonts w:cs="Times New Roman"/>
          <w:color w:val="000000"/>
          <w:sz w:val="16"/>
          <w:szCs w:val="16"/>
          <w:shd w:val="clear" w:color="auto" w:fill="FFFFFF"/>
        </w:rPr>
      </w:pPr>
      <w:r w:rsidRPr="00122867">
        <w:rPr>
          <w:rFonts w:cs="Times New Roman"/>
          <w:color w:val="000000"/>
          <w:sz w:val="16"/>
          <w:szCs w:val="16"/>
          <w:shd w:val="clear" w:color="auto" w:fill="FFFFFF"/>
        </w:rPr>
        <w:t>énumérer et interpréter les constatations cliniques cruciales, notamment :</w:t>
      </w:r>
    </w:p>
    <w:p w:rsidR="00122867" w:rsidRPr="00122867" w:rsidRDefault="00122867" w:rsidP="005D429F">
      <w:pPr>
        <w:numPr>
          <w:ilvl w:val="1"/>
          <w:numId w:val="897"/>
        </w:numPr>
        <w:shd w:val="clear" w:color="auto" w:fill="FFFFFF"/>
        <w:spacing w:before="100" w:beforeAutospacing="1" w:after="100" w:afterAutospacing="1" w:line="240" w:lineRule="auto"/>
        <w:rPr>
          <w:rFonts w:cs="Times New Roman"/>
          <w:color w:val="000000"/>
          <w:sz w:val="16"/>
          <w:szCs w:val="16"/>
          <w:shd w:val="clear" w:color="auto" w:fill="FFFFFF"/>
        </w:rPr>
      </w:pPr>
      <w:r w:rsidRPr="00122867">
        <w:rPr>
          <w:rFonts w:cs="Times New Roman"/>
          <w:color w:val="000000"/>
          <w:sz w:val="16"/>
          <w:szCs w:val="16"/>
          <w:shd w:val="clear" w:color="auto" w:fill="FFFFFF"/>
        </w:rPr>
        <w:t>faire une anamnèse détaillée de l'événement;</w:t>
      </w:r>
    </w:p>
    <w:p w:rsidR="00122867" w:rsidRPr="00122867" w:rsidRDefault="00122867" w:rsidP="005D429F">
      <w:pPr>
        <w:numPr>
          <w:ilvl w:val="1"/>
          <w:numId w:val="897"/>
        </w:numPr>
        <w:shd w:val="clear" w:color="auto" w:fill="FFFFFF"/>
        <w:spacing w:before="100" w:beforeAutospacing="1" w:after="100" w:afterAutospacing="1" w:line="240" w:lineRule="auto"/>
        <w:rPr>
          <w:rFonts w:cs="Times New Roman"/>
          <w:color w:val="000000"/>
          <w:sz w:val="16"/>
          <w:szCs w:val="16"/>
          <w:shd w:val="clear" w:color="auto" w:fill="FFFFFF"/>
        </w:rPr>
      </w:pPr>
      <w:r w:rsidRPr="00122867">
        <w:rPr>
          <w:rFonts w:cs="Times New Roman"/>
          <w:color w:val="000000"/>
          <w:sz w:val="16"/>
          <w:szCs w:val="16"/>
          <w:shd w:val="clear" w:color="auto" w:fill="FFFFFF"/>
        </w:rPr>
        <w:t>examiner les facteurs de risque ou les causes connus de SMSN ou d'ALTE;</w:t>
      </w:r>
    </w:p>
    <w:p w:rsidR="00122867" w:rsidRPr="00122867" w:rsidRDefault="00122867" w:rsidP="005D429F">
      <w:pPr>
        <w:numPr>
          <w:ilvl w:val="0"/>
          <w:numId w:val="897"/>
        </w:numPr>
        <w:shd w:val="clear" w:color="auto" w:fill="FFFFFF"/>
        <w:spacing w:before="100" w:beforeAutospacing="1" w:after="100" w:afterAutospacing="1" w:line="240" w:lineRule="auto"/>
        <w:rPr>
          <w:rFonts w:cs="Times New Roman"/>
          <w:color w:val="000000"/>
          <w:sz w:val="16"/>
          <w:szCs w:val="16"/>
          <w:shd w:val="clear" w:color="auto" w:fill="FFFFFF"/>
        </w:rPr>
      </w:pPr>
      <w:r w:rsidRPr="00122867">
        <w:rPr>
          <w:rFonts w:cs="Times New Roman"/>
          <w:color w:val="000000"/>
          <w:sz w:val="16"/>
          <w:szCs w:val="16"/>
          <w:shd w:val="clear" w:color="auto" w:fill="FFFFFF"/>
        </w:rPr>
        <w:t>dans le cas d'un ALTE, énumérer et interpréter les examens essentiels en fonction des constatations cliniques (p. ex. cultures, radiographie pulmonaire);</w:t>
      </w:r>
    </w:p>
    <w:p w:rsidR="00122867" w:rsidRPr="00122867" w:rsidRDefault="00122867" w:rsidP="005D429F">
      <w:pPr>
        <w:numPr>
          <w:ilvl w:val="0"/>
          <w:numId w:val="897"/>
        </w:numPr>
        <w:shd w:val="clear" w:color="auto" w:fill="FFFFFF"/>
        <w:spacing w:before="100" w:beforeAutospacing="1" w:after="100" w:afterAutospacing="1" w:line="240" w:lineRule="auto"/>
        <w:rPr>
          <w:rFonts w:cs="Times New Roman"/>
          <w:color w:val="000000"/>
          <w:sz w:val="16"/>
          <w:szCs w:val="16"/>
          <w:shd w:val="clear" w:color="auto" w:fill="FFFFFF"/>
        </w:rPr>
      </w:pPr>
      <w:r w:rsidRPr="00122867">
        <w:rPr>
          <w:rFonts w:cs="Times New Roman"/>
          <w:color w:val="000000"/>
          <w:sz w:val="16"/>
          <w:szCs w:val="16"/>
          <w:shd w:val="clear" w:color="auto" w:fill="FFFFFF"/>
        </w:rPr>
        <w:t>dans le cas d'un ALTE, élaborer un plan efficace de prise en charge initiale, notamment :</w:t>
      </w:r>
    </w:p>
    <w:p w:rsidR="00122867" w:rsidRPr="00122867" w:rsidRDefault="00122867" w:rsidP="005D429F">
      <w:pPr>
        <w:numPr>
          <w:ilvl w:val="1"/>
          <w:numId w:val="897"/>
        </w:numPr>
        <w:shd w:val="clear" w:color="auto" w:fill="FFFFFF"/>
        <w:spacing w:before="100" w:beforeAutospacing="1" w:after="100" w:afterAutospacing="1" w:line="240" w:lineRule="auto"/>
        <w:rPr>
          <w:rFonts w:cs="Times New Roman"/>
          <w:color w:val="000000"/>
          <w:sz w:val="16"/>
          <w:szCs w:val="16"/>
          <w:shd w:val="clear" w:color="auto" w:fill="FFFFFF"/>
        </w:rPr>
      </w:pPr>
      <w:r w:rsidRPr="00122867">
        <w:rPr>
          <w:rFonts w:cs="Times New Roman"/>
          <w:color w:val="000000"/>
          <w:sz w:val="16"/>
          <w:szCs w:val="16"/>
          <w:shd w:val="clear" w:color="auto" w:fill="FFFFFF"/>
        </w:rPr>
        <w:t>admettre le patient en observation;</w:t>
      </w:r>
    </w:p>
    <w:p w:rsidR="00122867" w:rsidRPr="00122867" w:rsidRDefault="00122867" w:rsidP="005D429F">
      <w:pPr>
        <w:numPr>
          <w:ilvl w:val="1"/>
          <w:numId w:val="897"/>
        </w:numPr>
        <w:shd w:val="clear" w:color="auto" w:fill="FFFFFF"/>
        <w:spacing w:before="100" w:beforeAutospacing="1" w:after="100" w:afterAutospacing="1" w:line="240" w:lineRule="auto"/>
        <w:rPr>
          <w:rFonts w:cs="Times New Roman"/>
          <w:color w:val="000000"/>
          <w:sz w:val="16"/>
          <w:szCs w:val="16"/>
          <w:shd w:val="clear" w:color="auto" w:fill="FFFFFF"/>
        </w:rPr>
      </w:pPr>
      <w:r w:rsidRPr="00122867">
        <w:rPr>
          <w:rFonts w:cs="Times New Roman"/>
          <w:color w:val="000000"/>
          <w:sz w:val="16"/>
          <w:szCs w:val="16"/>
          <w:shd w:val="clear" w:color="auto" w:fill="FFFFFF"/>
        </w:rPr>
        <w:t>conseiller et soutenir les parents sur le plan émotionnel et discuter des liens entre ALTE et SMSN, puis les adresser aux services voulus;</w:t>
      </w:r>
    </w:p>
    <w:p w:rsidR="00122867" w:rsidRPr="00122867" w:rsidRDefault="00122867" w:rsidP="005D429F">
      <w:pPr>
        <w:numPr>
          <w:ilvl w:val="1"/>
          <w:numId w:val="897"/>
        </w:numPr>
        <w:shd w:val="clear" w:color="auto" w:fill="FFFFFF"/>
        <w:spacing w:before="100" w:beforeAutospacing="1" w:after="100" w:afterAutospacing="1" w:line="240" w:lineRule="auto"/>
        <w:rPr>
          <w:rFonts w:cs="Times New Roman"/>
          <w:color w:val="000000"/>
          <w:sz w:val="16"/>
          <w:szCs w:val="16"/>
          <w:shd w:val="clear" w:color="auto" w:fill="FFFFFF"/>
        </w:rPr>
      </w:pPr>
      <w:r w:rsidRPr="00122867">
        <w:rPr>
          <w:rFonts w:cs="Times New Roman"/>
          <w:color w:val="000000"/>
          <w:sz w:val="16"/>
          <w:szCs w:val="16"/>
          <w:shd w:val="clear" w:color="auto" w:fill="FFFFFF"/>
        </w:rPr>
        <w:t>adresser les parents s'ils ont besoin de formation (p. ex. manœuvres de réanimation en cas de récurrence);</w:t>
      </w:r>
    </w:p>
    <w:p w:rsidR="00122867" w:rsidRPr="00122867" w:rsidRDefault="00122867" w:rsidP="005D429F">
      <w:pPr>
        <w:numPr>
          <w:ilvl w:val="1"/>
          <w:numId w:val="897"/>
        </w:numPr>
        <w:shd w:val="clear" w:color="auto" w:fill="FFFFFF"/>
        <w:spacing w:before="100" w:beforeAutospacing="1" w:after="100" w:afterAutospacing="1" w:line="240" w:lineRule="auto"/>
        <w:rPr>
          <w:rFonts w:cs="Times New Roman"/>
          <w:color w:val="000000"/>
          <w:sz w:val="16"/>
          <w:szCs w:val="16"/>
          <w:shd w:val="clear" w:color="auto" w:fill="FFFFFF"/>
        </w:rPr>
      </w:pPr>
      <w:r w:rsidRPr="00122867">
        <w:rPr>
          <w:rFonts w:cs="Times New Roman"/>
          <w:color w:val="000000"/>
          <w:sz w:val="16"/>
          <w:szCs w:val="16"/>
          <w:shd w:val="clear" w:color="auto" w:fill="FFFFFF"/>
        </w:rPr>
        <w:t>adresser le nourrisson s'il a besoin de soins spécialisés (p. ex. affections cardiaques);</w:t>
      </w:r>
    </w:p>
    <w:p w:rsidR="00122867" w:rsidRPr="00122867" w:rsidRDefault="00122867" w:rsidP="005D429F">
      <w:pPr>
        <w:numPr>
          <w:ilvl w:val="1"/>
          <w:numId w:val="897"/>
        </w:numPr>
        <w:shd w:val="clear" w:color="auto" w:fill="FFFFFF"/>
        <w:spacing w:before="100" w:beforeAutospacing="1" w:after="100" w:afterAutospacing="1" w:line="240" w:lineRule="auto"/>
        <w:rPr>
          <w:rFonts w:cs="Times New Roman"/>
          <w:color w:val="000000"/>
          <w:sz w:val="16"/>
          <w:szCs w:val="16"/>
          <w:shd w:val="clear" w:color="auto" w:fill="FFFFFF"/>
        </w:rPr>
      </w:pPr>
      <w:r w:rsidRPr="00122867">
        <w:rPr>
          <w:rFonts w:cs="Times New Roman"/>
          <w:color w:val="000000"/>
          <w:sz w:val="16"/>
          <w:szCs w:val="16"/>
          <w:shd w:val="clear" w:color="auto" w:fill="FFFFFF"/>
        </w:rPr>
        <w:t>évaluer le besoin de protection de l'enfant et l'adresser aux services voulus;</w:t>
      </w:r>
    </w:p>
    <w:p w:rsidR="00122867" w:rsidRPr="00122867" w:rsidRDefault="00122867" w:rsidP="005D429F">
      <w:pPr>
        <w:numPr>
          <w:ilvl w:val="0"/>
          <w:numId w:val="897"/>
        </w:numPr>
        <w:shd w:val="clear" w:color="auto" w:fill="FFFFFF"/>
        <w:spacing w:before="100" w:beforeAutospacing="1" w:after="100" w:afterAutospacing="1" w:line="240" w:lineRule="auto"/>
        <w:rPr>
          <w:rFonts w:cs="Times New Roman"/>
          <w:color w:val="000000"/>
          <w:sz w:val="16"/>
          <w:szCs w:val="16"/>
          <w:shd w:val="clear" w:color="auto" w:fill="FFFFFF"/>
        </w:rPr>
      </w:pPr>
      <w:r w:rsidRPr="00122867">
        <w:rPr>
          <w:rFonts w:cs="Times New Roman"/>
          <w:color w:val="000000"/>
          <w:sz w:val="16"/>
          <w:szCs w:val="16"/>
          <w:shd w:val="clear" w:color="auto" w:fill="FFFFFF"/>
        </w:rPr>
        <w:t>en cas de SMSN, fournir un soutien immédiat et à long terme en rapport avec le deuil.</w:t>
      </w:r>
    </w:p>
    <w:p w:rsidR="00122121" w:rsidRPr="007D3468" w:rsidRDefault="00122121" w:rsidP="00122867">
      <w:pPr>
        <w:pStyle w:val="Sansinterligne"/>
        <w:rPr>
          <w:b/>
          <w:i/>
          <w:sz w:val="32"/>
          <w:szCs w:val="32"/>
          <w:shd w:val="clear" w:color="auto" w:fill="FFFFFF"/>
          <w:lang w:eastAsia="fr-CA"/>
        </w:rPr>
      </w:pPr>
      <w:r w:rsidRPr="007D3468">
        <w:rPr>
          <w:b/>
          <w:i/>
          <w:sz w:val="32"/>
          <w:szCs w:val="32"/>
          <w:shd w:val="clear" w:color="auto" w:fill="FFFFFF"/>
          <w:lang w:eastAsia="fr-CA"/>
        </w:rPr>
        <w:t>Syndrome de mort subite du nourrisson</w:t>
      </w:r>
    </w:p>
    <w:p w:rsidR="00122121" w:rsidRDefault="00122121" w:rsidP="00122867">
      <w:pPr>
        <w:pStyle w:val="Sansinterligne"/>
        <w:rPr>
          <w:shd w:val="clear" w:color="auto" w:fill="FFFFFF"/>
          <w:lang w:eastAsia="fr-CA"/>
        </w:rPr>
      </w:pPr>
    </w:p>
    <w:p w:rsidR="00FE61B0" w:rsidRPr="007D3468" w:rsidRDefault="00122121" w:rsidP="00122867">
      <w:pPr>
        <w:pStyle w:val="Sansinterligne"/>
        <w:rPr>
          <w:sz w:val="28"/>
          <w:szCs w:val="28"/>
          <w:shd w:val="clear" w:color="auto" w:fill="FFFFFF"/>
          <w:lang w:eastAsia="fr-CA"/>
        </w:rPr>
      </w:pPr>
      <w:r w:rsidRPr="007D3468">
        <w:rPr>
          <w:b/>
          <w:sz w:val="28"/>
          <w:szCs w:val="28"/>
          <w:shd w:val="clear" w:color="auto" w:fill="FFFFFF"/>
          <w:lang w:eastAsia="fr-CA"/>
        </w:rPr>
        <w:t>Définition</w:t>
      </w:r>
      <w:r w:rsidR="00FE61B0" w:rsidRPr="007D3468">
        <w:rPr>
          <w:sz w:val="28"/>
          <w:szCs w:val="28"/>
          <w:shd w:val="clear" w:color="auto" w:fill="FFFFFF"/>
          <w:lang w:eastAsia="fr-CA"/>
        </w:rPr>
        <w:t> </w:t>
      </w:r>
      <w:r w:rsidRPr="007D3468">
        <w:rPr>
          <w:sz w:val="28"/>
          <w:szCs w:val="28"/>
          <w:shd w:val="clear" w:color="auto" w:fill="FFFFFF"/>
          <w:lang w:eastAsia="fr-CA"/>
        </w:rPr>
        <w:t xml:space="preserve"> </w:t>
      </w:r>
    </w:p>
    <w:p w:rsidR="00122121" w:rsidRDefault="00122121" w:rsidP="00122867">
      <w:pPr>
        <w:pStyle w:val="Sansinterligne"/>
        <w:rPr>
          <w:shd w:val="clear" w:color="auto" w:fill="FFFFFF"/>
          <w:lang w:eastAsia="fr-CA"/>
        </w:rPr>
      </w:pPr>
      <w:r w:rsidRPr="00DA54A4">
        <w:rPr>
          <w:highlight w:val="yellow"/>
          <w:shd w:val="clear" w:color="auto" w:fill="FFFFFF"/>
          <w:lang w:eastAsia="fr-CA"/>
        </w:rPr>
        <w:t>Mort d’un enfant de moins d’un an, survenue subitement et demeurant inexpliquée malgré une investigation exhaustive (incluant autopsie).</w:t>
      </w:r>
      <w:r>
        <w:rPr>
          <w:shd w:val="clear" w:color="auto" w:fill="FFFFFF"/>
          <w:lang w:eastAsia="fr-CA"/>
        </w:rPr>
        <w:t xml:space="preserve"> C’est la </w:t>
      </w:r>
      <w:r w:rsidRPr="00DA54A4">
        <w:rPr>
          <w:u w:val="single"/>
          <w:shd w:val="clear" w:color="auto" w:fill="FFFFFF"/>
          <w:lang w:eastAsia="fr-CA"/>
        </w:rPr>
        <w:t>cause de décès la plus fréquente entre un et six mois de vie</w:t>
      </w:r>
      <w:r w:rsidR="00DA54A4">
        <w:rPr>
          <w:shd w:val="clear" w:color="auto" w:fill="FFFFFF"/>
          <w:lang w:eastAsia="fr-CA"/>
        </w:rPr>
        <w:t>.</w:t>
      </w:r>
    </w:p>
    <w:p w:rsidR="00122121" w:rsidRDefault="00122121" w:rsidP="00122867">
      <w:pPr>
        <w:pStyle w:val="Sansinterligne"/>
        <w:rPr>
          <w:shd w:val="clear" w:color="auto" w:fill="FFFFFF"/>
          <w:lang w:eastAsia="fr-CA"/>
        </w:rPr>
      </w:pPr>
    </w:p>
    <w:p w:rsidR="00122121" w:rsidRDefault="00FE61B0" w:rsidP="00122867">
      <w:pPr>
        <w:pStyle w:val="Sansinterligne"/>
        <w:rPr>
          <w:shd w:val="clear" w:color="auto" w:fill="FFFFFF"/>
          <w:lang w:eastAsia="fr-CA"/>
        </w:rPr>
      </w:pPr>
      <w:r>
        <w:rPr>
          <w:noProof/>
          <w:lang w:eastAsia="fr-CA"/>
        </w:rPr>
        <w:drawing>
          <wp:anchor distT="0" distB="0" distL="114300" distR="114300" simplePos="0" relativeHeight="251928576" behindDoc="1" locked="0" layoutInCell="1" allowOverlap="1" wp14:anchorId="2BF497A1" wp14:editId="6169CD88">
            <wp:simplePos x="0" y="0"/>
            <wp:positionH relativeFrom="column">
              <wp:posOffset>3625215</wp:posOffset>
            </wp:positionH>
            <wp:positionV relativeFrom="paragraph">
              <wp:posOffset>330551</wp:posOffset>
            </wp:positionV>
            <wp:extent cx="3042285" cy="2139950"/>
            <wp:effectExtent l="0" t="0" r="5715" b="0"/>
            <wp:wrapNone/>
            <wp:docPr id="445" name="Image 445" descr="Résultats de recherche d'images pour « syndrome de mort subite du nourriss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ésultats de recherche d'images pour « syndrome de mort subite du nourrisson »"/>
                    <pic:cNvPicPr>
                      <a:picLocks noChangeAspect="1" noChangeArrowheads="1"/>
                    </pic:cNvPicPr>
                  </pic:nvPicPr>
                  <pic:blipFill>
                    <a:blip r:embed="rId365" cstate="print">
                      <a:extLst>
                        <a:ext uri="{28A0092B-C50C-407E-A947-70E740481C1C}">
                          <a14:useLocalDpi xmlns:a14="http://schemas.microsoft.com/office/drawing/2010/main" val="0"/>
                        </a:ext>
                      </a:extLst>
                    </a:blip>
                    <a:srcRect/>
                    <a:stretch>
                      <a:fillRect/>
                    </a:stretch>
                  </pic:blipFill>
                  <pic:spPr bwMode="auto">
                    <a:xfrm>
                      <a:off x="0" y="0"/>
                      <a:ext cx="3042285" cy="2139950"/>
                    </a:xfrm>
                    <a:prstGeom prst="rect">
                      <a:avLst/>
                    </a:prstGeom>
                    <a:noFill/>
                    <a:ln>
                      <a:noFill/>
                    </a:ln>
                  </pic:spPr>
                </pic:pic>
              </a:graphicData>
            </a:graphic>
            <wp14:sizeRelH relativeFrom="page">
              <wp14:pctWidth>0</wp14:pctWidth>
            </wp14:sizeRelH>
            <wp14:sizeRelV relativeFrom="page">
              <wp14:pctHeight>0</wp14:pctHeight>
            </wp14:sizeRelV>
          </wp:anchor>
        </w:drawing>
      </w:r>
      <w:r w:rsidR="00122121">
        <w:rPr>
          <w:shd w:val="clear" w:color="auto" w:fill="FFFFFF"/>
          <w:lang w:eastAsia="fr-CA"/>
        </w:rPr>
        <w:t>Aucune cause n’a clairement été identifiée comme étiologie sous-jacente au syndrome de mort subite du nourrisson. Par contre, plusieurs facteurs de risque ont été mis en évidence dans la littérature médicale. On peut conclure au SMSN comm</w:t>
      </w:r>
      <w:r w:rsidR="00DA54A4">
        <w:rPr>
          <w:shd w:val="clear" w:color="auto" w:fill="FFFFFF"/>
          <w:lang w:eastAsia="fr-CA"/>
        </w:rPr>
        <w:t>e</w:t>
      </w:r>
      <w:r w:rsidR="00122121">
        <w:rPr>
          <w:shd w:val="clear" w:color="auto" w:fill="FFFFFF"/>
          <w:lang w:eastAsia="fr-CA"/>
        </w:rPr>
        <w:t xml:space="preserve"> diagnostic d’exclusion.</w:t>
      </w:r>
    </w:p>
    <w:p w:rsidR="00122121" w:rsidRDefault="00122121" w:rsidP="00122867">
      <w:pPr>
        <w:pStyle w:val="Sansinterligne"/>
        <w:rPr>
          <w:shd w:val="clear" w:color="auto" w:fill="FFFFFF"/>
          <w:lang w:eastAsia="fr-CA"/>
        </w:rPr>
      </w:pPr>
    </w:p>
    <w:p w:rsidR="00DA54A4" w:rsidRDefault="00DA54A4" w:rsidP="00122867">
      <w:pPr>
        <w:pStyle w:val="Sansinterligne"/>
        <w:rPr>
          <w:shd w:val="clear" w:color="auto" w:fill="FFFFFF"/>
          <w:lang w:eastAsia="fr-CA"/>
        </w:rPr>
      </w:pPr>
      <w:r>
        <w:rPr>
          <w:shd w:val="clear" w:color="auto" w:fill="FFFFFF"/>
          <w:lang w:eastAsia="fr-CA"/>
        </w:rPr>
        <w:t>La plupart des SMSN surviennent :</w:t>
      </w:r>
    </w:p>
    <w:p w:rsidR="00DA54A4" w:rsidRDefault="00DA54A4" w:rsidP="005D429F">
      <w:pPr>
        <w:pStyle w:val="Sansinterligne"/>
        <w:numPr>
          <w:ilvl w:val="0"/>
          <w:numId w:val="916"/>
        </w:numPr>
        <w:rPr>
          <w:shd w:val="clear" w:color="auto" w:fill="FFFFFF"/>
          <w:lang w:eastAsia="fr-CA"/>
        </w:rPr>
      </w:pPr>
      <w:r>
        <w:rPr>
          <w:shd w:val="clear" w:color="auto" w:fill="FFFFFF"/>
          <w:lang w:eastAsia="fr-CA"/>
        </w:rPr>
        <w:t>Entre 2 et 6 mois.</w:t>
      </w:r>
    </w:p>
    <w:p w:rsidR="00DA54A4" w:rsidRDefault="00DA54A4" w:rsidP="005D429F">
      <w:pPr>
        <w:pStyle w:val="Sansinterligne"/>
        <w:numPr>
          <w:ilvl w:val="0"/>
          <w:numId w:val="916"/>
        </w:numPr>
        <w:rPr>
          <w:shd w:val="clear" w:color="auto" w:fill="FFFFFF"/>
          <w:lang w:eastAsia="fr-CA"/>
        </w:rPr>
      </w:pPr>
      <w:r>
        <w:rPr>
          <w:shd w:val="clear" w:color="auto" w:fill="FFFFFF"/>
          <w:lang w:eastAsia="fr-CA"/>
        </w:rPr>
        <w:t>La nuit entre minuit et 8h AM.</w:t>
      </w:r>
    </w:p>
    <w:p w:rsidR="00DA54A4" w:rsidRDefault="00DA54A4" w:rsidP="005D429F">
      <w:pPr>
        <w:pStyle w:val="Sansinterligne"/>
        <w:numPr>
          <w:ilvl w:val="0"/>
          <w:numId w:val="916"/>
        </w:numPr>
        <w:rPr>
          <w:shd w:val="clear" w:color="auto" w:fill="FFFFFF"/>
          <w:lang w:eastAsia="fr-CA"/>
        </w:rPr>
      </w:pPr>
      <w:r>
        <w:rPr>
          <w:shd w:val="clear" w:color="auto" w:fill="FFFFFF"/>
          <w:lang w:eastAsia="fr-CA"/>
        </w:rPr>
        <w:t>Durant la saison épidémique du VRS</w:t>
      </w:r>
    </w:p>
    <w:p w:rsidR="00251897" w:rsidRDefault="00251897" w:rsidP="00122867">
      <w:pPr>
        <w:pStyle w:val="Sansinterligne"/>
        <w:rPr>
          <w:shd w:val="clear" w:color="auto" w:fill="FFFFFF"/>
          <w:lang w:eastAsia="fr-CA"/>
        </w:rPr>
      </w:pPr>
    </w:p>
    <w:p w:rsidR="007D3468" w:rsidRDefault="00122121" w:rsidP="00122867">
      <w:pPr>
        <w:pStyle w:val="Sansinterligne"/>
        <w:rPr>
          <w:b/>
          <w:sz w:val="28"/>
          <w:szCs w:val="28"/>
          <w:shd w:val="clear" w:color="auto" w:fill="FFFFFF"/>
          <w:lang w:eastAsia="fr-CA"/>
        </w:rPr>
      </w:pPr>
      <w:r w:rsidRPr="007D3468">
        <w:rPr>
          <w:b/>
          <w:sz w:val="28"/>
          <w:szCs w:val="28"/>
          <w:shd w:val="clear" w:color="auto" w:fill="FFFFFF"/>
          <w:lang w:eastAsia="fr-CA"/>
        </w:rPr>
        <w:t>Facteurs de risques </w:t>
      </w:r>
    </w:p>
    <w:p w:rsidR="00122121" w:rsidRPr="007D3468" w:rsidRDefault="00DA54A4" w:rsidP="00122867">
      <w:pPr>
        <w:pStyle w:val="Sansinterligne"/>
        <w:rPr>
          <w:b/>
          <w:shd w:val="clear" w:color="auto" w:fill="FFFFFF"/>
          <w:lang w:eastAsia="fr-CA"/>
        </w:rPr>
      </w:pPr>
      <w:r w:rsidRPr="007D3468">
        <w:rPr>
          <w:b/>
          <w:shd w:val="clear" w:color="auto" w:fill="FFFFFF"/>
          <w:lang w:eastAsia="fr-CA"/>
        </w:rPr>
        <w:t>(</w:t>
      </w:r>
      <w:r w:rsidR="007D3468" w:rsidRPr="007D3468">
        <w:rPr>
          <w:b/>
          <w:shd w:val="clear" w:color="auto" w:fill="FFFFFF"/>
          <w:lang w:eastAsia="fr-CA"/>
        </w:rPr>
        <w:t>À</w:t>
      </w:r>
      <w:r w:rsidRPr="007D3468">
        <w:rPr>
          <w:b/>
          <w:shd w:val="clear" w:color="auto" w:fill="FFFFFF"/>
          <w:lang w:eastAsia="fr-CA"/>
        </w:rPr>
        <w:t xml:space="preserve"> questionner, parfois seuls indices)</w:t>
      </w:r>
    </w:p>
    <w:p w:rsidR="00122121" w:rsidRDefault="00122121" w:rsidP="00122867">
      <w:pPr>
        <w:pStyle w:val="Sansinterligne"/>
        <w:rPr>
          <w:shd w:val="clear" w:color="auto" w:fill="FFFFFF"/>
          <w:lang w:eastAsia="fr-CA"/>
        </w:rPr>
      </w:pPr>
    </w:p>
    <w:p w:rsidR="00122121" w:rsidRPr="00FE61B0" w:rsidRDefault="00122121" w:rsidP="005D429F">
      <w:pPr>
        <w:pStyle w:val="Sansinterligne"/>
        <w:numPr>
          <w:ilvl w:val="0"/>
          <w:numId w:val="915"/>
        </w:numPr>
        <w:rPr>
          <w:rFonts w:cs="Times New Roman"/>
          <w:highlight w:val="yellow"/>
          <w:shd w:val="clear" w:color="auto" w:fill="FFFFFF"/>
          <w:lang w:eastAsia="fr-CA"/>
        </w:rPr>
      </w:pPr>
      <w:r w:rsidRPr="00FE61B0">
        <w:rPr>
          <w:rFonts w:cs="Times New Roman"/>
          <w:highlight w:val="yellow"/>
          <w:shd w:val="clear" w:color="auto" w:fill="FFFFFF"/>
          <w:lang w:eastAsia="fr-CA"/>
        </w:rPr>
        <w:t>♂&gt;♀</w:t>
      </w:r>
    </w:p>
    <w:p w:rsidR="00DA54A4" w:rsidRDefault="00122121" w:rsidP="005D429F">
      <w:pPr>
        <w:pStyle w:val="Sansinterligne"/>
        <w:numPr>
          <w:ilvl w:val="0"/>
          <w:numId w:val="915"/>
        </w:numPr>
        <w:rPr>
          <w:shd w:val="clear" w:color="auto" w:fill="FFFFFF"/>
          <w:lang w:eastAsia="fr-CA"/>
        </w:rPr>
      </w:pPr>
      <w:r>
        <w:rPr>
          <w:shd w:val="clear" w:color="auto" w:fill="FFFFFF"/>
          <w:lang w:eastAsia="fr-CA"/>
        </w:rPr>
        <w:t xml:space="preserve">Amérindiens et Noirs </w:t>
      </w:r>
      <w:r>
        <w:rPr>
          <w:rFonts w:ascii="Century Gothic" w:hAnsi="Century Gothic"/>
          <w:shd w:val="clear" w:color="auto" w:fill="FFFFFF"/>
          <w:lang w:eastAsia="fr-CA"/>
        </w:rPr>
        <w:t>&gt;</w:t>
      </w:r>
      <w:r>
        <w:rPr>
          <w:shd w:val="clear" w:color="auto" w:fill="FFFFFF"/>
          <w:lang w:eastAsia="fr-CA"/>
        </w:rPr>
        <w:t xml:space="preserve"> Caucasiens</w:t>
      </w:r>
    </w:p>
    <w:p w:rsidR="00DA54A4" w:rsidRDefault="00DA54A4" w:rsidP="005D429F">
      <w:pPr>
        <w:pStyle w:val="Sansinterligne"/>
        <w:numPr>
          <w:ilvl w:val="0"/>
          <w:numId w:val="915"/>
        </w:numPr>
        <w:rPr>
          <w:rFonts w:cs="Times New Roman"/>
          <w:shd w:val="clear" w:color="auto" w:fill="FFFFFF"/>
          <w:lang w:eastAsia="fr-CA"/>
        </w:rPr>
      </w:pPr>
      <w:r>
        <w:rPr>
          <w:rFonts w:cs="Times New Roman"/>
          <w:shd w:val="clear" w:color="auto" w:fill="FFFFFF"/>
          <w:lang w:eastAsia="fr-CA"/>
        </w:rPr>
        <w:t>Faible niveau socio-économique</w:t>
      </w:r>
    </w:p>
    <w:p w:rsidR="00251897" w:rsidRDefault="00251897" w:rsidP="005D429F">
      <w:pPr>
        <w:pStyle w:val="Sansinterligne"/>
        <w:numPr>
          <w:ilvl w:val="0"/>
          <w:numId w:val="915"/>
        </w:numPr>
        <w:rPr>
          <w:rFonts w:cs="Times New Roman"/>
          <w:shd w:val="clear" w:color="auto" w:fill="FFFFFF"/>
          <w:lang w:eastAsia="fr-CA"/>
        </w:rPr>
      </w:pPr>
      <w:r>
        <w:rPr>
          <w:rFonts w:cs="Times New Roman"/>
          <w:shd w:val="clear" w:color="auto" w:fill="FFFFFF"/>
          <w:lang w:eastAsia="fr-CA"/>
        </w:rPr>
        <w:t>Monoparentalité</w:t>
      </w:r>
    </w:p>
    <w:p w:rsidR="00425955" w:rsidRDefault="00425955" w:rsidP="005D429F">
      <w:pPr>
        <w:pStyle w:val="Sansinterligne"/>
        <w:numPr>
          <w:ilvl w:val="0"/>
          <w:numId w:val="915"/>
        </w:numPr>
        <w:rPr>
          <w:rFonts w:cs="Times New Roman"/>
          <w:shd w:val="clear" w:color="auto" w:fill="FFFFFF"/>
          <w:lang w:eastAsia="fr-CA"/>
        </w:rPr>
      </w:pPr>
      <w:r>
        <w:rPr>
          <w:rFonts w:cs="Times New Roman"/>
          <w:shd w:val="clear" w:color="auto" w:fill="FFFFFF"/>
          <w:lang w:eastAsia="fr-CA"/>
        </w:rPr>
        <w:t>Jeune âge maternel (</w:t>
      </w:r>
      <w:r>
        <w:rPr>
          <w:rFonts w:ascii="Century Gothic" w:hAnsi="Century Gothic" w:cs="Times New Roman"/>
          <w:shd w:val="clear" w:color="auto" w:fill="FFFFFF"/>
          <w:lang w:eastAsia="fr-CA"/>
        </w:rPr>
        <w:t>&lt;</w:t>
      </w:r>
      <w:r>
        <w:rPr>
          <w:rFonts w:cs="Times New Roman"/>
          <w:shd w:val="clear" w:color="auto" w:fill="FFFFFF"/>
          <w:lang w:eastAsia="fr-CA"/>
        </w:rPr>
        <w:t>20)</w:t>
      </w:r>
    </w:p>
    <w:p w:rsidR="00251897" w:rsidRDefault="00251897" w:rsidP="005D429F">
      <w:pPr>
        <w:pStyle w:val="Sansinterligne"/>
        <w:numPr>
          <w:ilvl w:val="0"/>
          <w:numId w:val="915"/>
        </w:numPr>
        <w:rPr>
          <w:rFonts w:cs="Times New Roman"/>
          <w:shd w:val="clear" w:color="auto" w:fill="FFFFFF"/>
          <w:lang w:eastAsia="fr-CA"/>
        </w:rPr>
      </w:pPr>
      <w:r>
        <w:rPr>
          <w:rFonts w:cs="Times New Roman"/>
          <w:shd w:val="clear" w:color="auto" w:fill="FFFFFF"/>
          <w:lang w:eastAsia="fr-CA"/>
        </w:rPr>
        <w:t>Prématurité / PPAG / Grossesse gémellaire / absence de suivi médical)</w:t>
      </w:r>
    </w:p>
    <w:p w:rsidR="00C73A00" w:rsidRPr="00FE61B0" w:rsidRDefault="00C73A00" w:rsidP="005D429F">
      <w:pPr>
        <w:pStyle w:val="Sansinterligne"/>
        <w:numPr>
          <w:ilvl w:val="0"/>
          <w:numId w:val="915"/>
        </w:numPr>
        <w:rPr>
          <w:rFonts w:cs="Times New Roman"/>
          <w:highlight w:val="yellow"/>
          <w:shd w:val="clear" w:color="auto" w:fill="FFFFFF"/>
          <w:lang w:eastAsia="fr-CA"/>
        </w:rPr>
      </w:pPr>
      <w:r w:rsidRPr="00FE61B0">
        <w:rPr>
          <w:rFonts w:cs="Times New Roman"/>
          <w:highlight w:val="yellow"/>
          <w:shd w:val="clear" w:color="auto" w:fill="FFFFFF"/>
          <w:lang w:eastAsia="fr-CA"/>
        </w:rPr>
        <w:t>Tabagisme en grossesse</w:t>
      </w:r>
    </w:p>
    <w:p w:rsidR="00C73A00" w:rsidRPr="00FE61B0" w:rsidRDefault="00C73A00" w:rsidP="005D429F">
      <w:pPr>
        <w:pStyle w:val="Sansinterligne"/>
        <w:numPr>
          <w:ilvl w:val="0"/>
          <w:numId w:val="915"/>
        </w:numPr>
        <w:rPr>
          <w:rFonts w:cs="Times New Roman"/>
          <w:highlight w:val="yellow"/>
          <w:shd w:val="clear" w:color="auto" w:fill="FFFFFF"/>
          <w:lang w:eastAsia="fr-CA"/>
        </w:rPr>
      </w:pPr>
      <w:r w:rsidRPr="00FE61B0">
        <w:rPr>
          <w:rFonts w:cs="Times New Roman"/>
          <w:highlight w:val="yellow"/>
          <w:shd w:val="clear" w:color="auto" w:fill="FFFFFF"/>
          <w:lang w:eastAsia="fr-CA"/>
        </w:rPr>
        <w:t>Tabagisme secondaire</w:t>
      </w:r>
    </w:p>
    <w:p w:rsidR="00122121" w:rsidRPr="00FE61B0" w:rsidRDefault="00122121" w:rsidP="005D429F">
      <w:pPr>
        <w:pStyle w:val="Sansinterligne"/>
        <w:numPr>
          <w:ilvl w:val="0"/>
          <w:numId w:val="915"/>
        </w:numPr>
        <w:rPr>
          <w:rFonts w:cs="Times New Roman"/>
          <w:highlight w:val="yellow"/>
          <w:shd w:val="clear" w:color="auto" w:fill="FFFFFF"/>
          <w:lang w:eastAsia="fr-CA"/>
        </w:rPr>
      </w:pPr>
      <w:r w:rsidRPr="00FE61B0">
        <w:rPr>
          <w:rFonts w:cs="Times New Roman"/>
          <w:highlight w:val="yellow"/>
          <w:shd w:val="clear" w:color="auto" w:fill="FFFFFF"/>
          <w:lang w:eastAsia="fr-CA"/>
        </w:rPr>
        <w:t>Décubitus ventral pour dormir</w:t>
      </w:r>
      <w:r w:rsidR="00DA54A4" w:rsidRPr="00FE61B0">
        <w:rPr>
          <w:rFonts w:cs="Times New Roman"/>
          <w:highlight w:val="yellow"/>
          <w:shd w:val="clear" w:color="auto" w:fill="FFFFFF"/>
          <w:lang w:eastAsia="fr-CA"/>
        </w:rPr>
        <w:t xml:space="preserve"> / surface molle / environnement excessivement chaud</w:t>
      </w:r>
    </w:p>
    <w:p w:rsidR="00DA54A4" w:rsidRDefault="00DA54A4" w:rsidP="005D429F">
      <w:pPr>
        <w:pStyle w:val="Sansinterligne"/>
        <w:numPr>
          <w:ilvl w:val="0"/>
          <w:numId w:val="915"/>
        </w:numPr>
        <w:rPr>
          <w:rFonts w:cs="Times New Roman"/>
          <w:shd w:val="clear" w:color="auto" w:fill="FFFFFF"/>
          <w:lang w:eastAsia="fr-CA"/>
        </w:rPr>
      </w:pPr>
      <w:r>
        <w:rPr>
          <w:rFonts w:cs="Times New Roman"/>
          <w:shd w:val="clear" w:color="auto" w:fill="FFFFFF"/>
          <w:lang w:eastAsia="fr-CA"/>
        </w:rPr>
        <w:t>Partage du lit parental (risque encore accru si</w:t>
      </w:r>
      <w:r w:rsidR="00FE61B0">
        <w:rPr>
          <w:rFonts w:cs="Times New Roman"/>
          <w:shd w:val="clear" w:color="auto" w:fill="FFFFFF"/>
          <w:lang w:eastAsia="fr-CA"/>
        </w:rPr>
        <w:t xml:space="preserve"> :) </w:t>
      </w:r>
      <w:r>
        <w:rPr>
          <w:rFonts w:cs="Times New Roman"/>
          <w:shd w:val="clear" w:color="auto" w:fill="FFFFFF"/>
          <w:lang w:eastAsia="fr-CA"/>
        </w:rPr>
        <w:t xml:space="preserve"> </w:t>
      </w:r>
    </w:p>
    <w:p w:rsidR="00DA54A4" w:rsidRDefault="00DA54A4" w:rsidP="005D429F">
      <w:pPr>
        <w:pStyle w:val="Sansinterligne"/>
        <w:numPr>
          <w:ilvl w:val="1"/>
          <w:numId w:val="915"/>
        </w:numPr>
        <w:rPr>
          <w:rFonts w:cs="Times New Roman"/>
          <w:shd w:val="clear" w:color="auto" w:fill="FFFFFF"/>
          <w:lang w:eastAsia="fr-CA"/>
        </w:rPr>
      </w:pPr>
      <w:r>
        <w:rPr>
          <w:rFonts w:cs="Times New Roman"/>
          <w:shd w:val="clear" w:color="auto" w:fill="FFFFFF"/>
          <w:lang w:eastAsia="fr-CA"/>
        </w:rPr>
        <w:t xml:space="preserve">Consommation d’alcool </w:t>
      </w:r>
    </w:p>
    <w:p w:rsidR="00DA54A4" w:rsidRDefault="00DA54A4" w:rsidP="005D429F">
      <w:pPr>
        <w:pStyle w:val="Sansinterligne"/>
        <w:numPr>
          <w:ilvl w:val="1"/>
          <w:numId w:val="915"/>
        </w:numPr>
        <w:rPr>
          <w:rFonts w:cs="Times New Roman"/>
          <w:shd w:val="clear" w:color="auto" w:fill="FFFFFF"/>
          <w:lang w:eastAsia="fr-CA"/>
        </w:rPr>
      </w:pPr>
      <w:r>
        <w:rPr>
          <w:rFonts w:cs="Times New Roman"/>
          <w:shd w:val="clear" w:color="auto" w:fill="FFFFFF"/>
          <w:lang w:eastAsia="fr-CA"/>
        </w:rPr>
        <w:t>Consommation de drogues</w:t>
      </w:r>
    </w:p>
    <w:p w:rsidR="00DA54A4" w:rsidRDefault="00DA54A4" w:rsidP="005D429F">
      <w:pPr>
        <w:pStyle w:val="Sansinterligne"/>
        <w:numPr>
          <w:ilvl w:val="1"/>
          <w:numId w:val="915"/>
        </w:numPr>
        <w:rPr>
          <w:rFonts w:cs="Times New Roman"/>
          <w:shd w:val="clear" w:color="auto" w:fill="FFFFFF"/>
          <w:lang w:eastAsia="fr-CA"/>
        </w:rPr>
      </w:pPr>
      <w:r>
        <w:rPr>
          <w:rFonts w:cs="Times New Roman"/>
          <w:shd w:val="clear" w:color="auto" w:fill="FFFFFF"/>
          <w:lang w:eastAsia="fr-CA"/>
        </w:rPr>
        <w:t>Obésité</w:t>
      </w:r>
    </w:p>
    <w:p w:rsidR="00DA54A4" w:rsidRDefault="00DA54A4" w:rsidP="005D429F">
      <w:pPr>
        <w:pStyle w:val="Sansinterligne"/>
        <w:numPr>
          <w:ilvl w:val="1"/>
          <w:numId w:val="915"/>
        </w:numPr>
        <w:rPr>
          <w:rFonts w:cs="Times New Roman"/>
          <w:shd w:val="clear" w:color="auto" w:fill="FFFFFF"/>
          <w:lang w:eastAsia="fr-CA"/>
        </w:rPr>
      </w:pPr>
      <w:r>
        <w:rPr>
          <w:rFonts w:cs="Times New Roman"/>
          <w:shd w:val="clear" w:color="auto" w:fill="FFFFFF"/>
          <w:lang w:eastAsia="fr-CA"/>
        </w:rPr>
        <w:t>Fatigue parentale excessive</w:t>
      </w:r>
    </w:p>
    <w:p w:rsidR="006D430F" w:rsidRPr="007D3468" w:rsidRDefault="006D430F" w:rsidP="006D430F">
      <w:pPr>
        <w:pStyle w:val="Sansinterligne"/>
        <w:rPr>
          <w:rFonts w:cs="Times New Roman"/>
          <w:b/>
          <w:sz w:val="28"/>
          <w:szCs w:val="28"/>
          <w:shd w:val="clear" w:color="auto" w:fill="FFFFFF"/>
          <w:lang w:eastAsia="fr-CA"/>
        </w:rPr>
      </w:pPr>
      <w:r w:rsidRPr="007D3468">
        <w:rPr>
          <w:rFonts w:cs="Times New Roman"/>
          <w:b/>
          <w:sz w:val="28"/>
          <w:szCs w:val="28"/>
          <w:shd w:val="clear" w:color="auto" w:fill="FFFFFF"/>
          <w:lang w:eastAsia="fr-CA"/>
        </w:rPr>
        <w:t>Prévention</w:t>
      </w:r>
    </w:p>
    <w:p w:rsidR="00251897" w:rsidRPr="006D430F" w:rsidRDefault="00251897" w:rsidP="006D430F">
      <w:pPr>
        <w:pStyle w:val="Sansinterligne"/>
        <w:rPr>
          <w:rFonts w:cs="Times New Roman"/>
          <w:b/>
          <w:shd w:val="clear" w:color="auto" w:fill="FFFFFF"/>
          <w:lang w:eastAsia="fr-CA"/>
        </w:rPr>
      </w:pPr>
    </w:p>
    <w:p w:rsidR="006D430F" w:rsidRPr="006D430F" w:rsidRDefault="006D430F" w:rsidP="005D429F">
      <w:pPr>
        <w:pStyle w:val="Sansinterligne"/>
        <w:numPr>
          <w:ilvl w:val="0"/>
          <w:numId w:val="917"/>
        </w:numPr>
        <w:rPr>
          <w:rFonts w:cs="Times New Roman"/>
          <w:highlight w:val="yellow"/>
          <w:shd w:val="clear" w:color="auto" w:fill="FFFFFF"/>
          <w:lang w:eastAsia="fr-CA"/>
        </w:rPr>
      </w:pPr>
      <w:r w:rsidRPr="006D430F">
        <w:rPr>
          <w:rFonts w:cs="Times New Roman"/>
          <w:highlight w:val="yellow"/>
          <w:shd w:val="clear" w:color="auto" w:fill="FFFFFF"/>
          <w:lang w:eastAsia="fr-CA"/>
        </w:rPr>
        <w:t>Conseiller l’arrêt tabagique à la mère enceinte ou prévoyant le devenir.</w:t>
      </w:r>
    </w:p>
    <w:p w:rsidR="006D430F" w:rsidRPr="006D430F" w:rsidRDefault="006D430F" w:rsidP="005D429F">
      <w:pPr>
        <w:pStyle w:val="Sansinterligne"/>
        <w:numPr>
          <w:ilvl w:val="0"/>
          <w:numId w:val="917"/>
        </w:numPr>
        <w:rPr>
          <w:rFonts w:cs="Times New Roman"/>
          <w:highlight w:val="yellow"/>
          <w:shd w:val="clear" w:color="auto" w:fill="FFFFFF"/>
          <w:lang w:eastAsia="fr-CA"/>
        </w:rPr>
      </w:pPr>
      <w:r w:rsidRPr="006D430F">
        <w:rPr>
          <w:rFonts w:cs="Times New Roman"/>
          <w:highlight w:val="yellow"/>
          <w:shd w:val="clear" w:color="auto" w:fill="FFFFFF"/>
          <w:lang w:eastAsia="fr-CA"/>
        </w:rPr>
        <w:t>Conseiller l’arrêt tabagique familial ou en dehors du domicile.</w:t>
      </w:r>
    </w:p>
    <w:p w:rsidR="006D430F" w:rsidRPr="006D430F" w:rsidRDefault="006D430F" w:rsidP="005D429F">
      <w:pPr>
        <w:pStyle w:val="Sansinterligne"/>
        <w:numPr>
          <w:ilvl w:val="0"/>
          <w:numId w:val="917"/>
        </w:numPr>
        <w:rPr>
          <w:rFonts w:cs="Times New Roman"/>
          <w:highlight w:val="yellow"/>
          <w:shd w:val="clear" w:color="auto" w:fill="FFFFFF"/>
          <w:lang w:eastAsia="fr-CA"/>
        </w:rPr>
      </w:pPr>
      <w:r w:rsidRPr="006D430F">
        <w:rPr>
          <w:rFonts w:cs="Times New Roman"/>
          <w:highlight w:val="yellow"/>
          <w:shd w:val="clear" w:color="auto" w:fill="FFFFFF"/>
          <w:lang w:eastAsia="fr-CA"/>
        </w:rPr>
        <w:t xml:space="preserve">Informer les parents de faire dormir l’enfant sur le dos. </w:t>
      </w:r>
    </w:p>
    <w:p w:rsidR="006D430F" w:rsidRPr="006D430F" w:rsidRDefault="006D430F" w:rsidP="005D429F">
      <w:pPr>
        <w:pStyle w:val="Sansinterligne"/>
        <w:numPr>
          <w:ilvl w:val="1"/>
          <w:numId w:val="917"/>
        </w:numPr>
        <w:rPr>
          <w:rFonts w:cs="Times New Roman"/>
          <w:highlight w:val="yellow"/>
          <w:shd w:val="clear" w:color="auto" w:fill="FFFFFF"/>
          <w:lang w:eastAsia="fr-CA"/>
        </w:rPr>
      </w:pPr>
      <w:r w:rsidRPr="006D430F">
        <w:rPr>
          <w:rFonts w:cs="Times New Roman"/>
          <w:highlight w:val="yellow"/>
          <w:shd w:val="clear" w:color="auto" w:fill="FFFFFF"/>
          <w:lang w:eastAsia="fr-CA"/>
        </w:rPr>
        <w:t>En contrepartie, le prendre/faire jouer en position ventrale lorsqu’il est éveillé (prévention plagiocéphalie)</w:t>
      </w:r>
    </w:p>
    <w:p w:rsidR="006D430F" w:rsidRDefault="006D430F" w:rsidP="005D429F">
      <w:pPr>
        <w:pStyle w:val="Sansinterligne"/>
        <w:numPr>
          <w:ilvl w:val="0"/>
          <w:numId w:val="917"/>
        </w:numPr>
        <w:rPr>
          <w:rFonts w:cs="Times New Roman"/>
          <w:shd w:val="clear" w:color="auto" w:fill="FFFFFF"/>
          <w:lang w:eastAsia="fr-CA"/>
        </w:rPr>
      </w:pPr>
      <w:r>
        <w:rPr>
          <w:rFonts w:cs="Times New Roman"/>
          <w:shd w:val="clear" w:color="auto" w:fill="FFFFFF"/>
          <w:lang w:eastAsia="fr-CA"/>
        </w:rPr>
        <w:t>Usage d’une suce.</w:t>
      </w:r>
    </w:p>
    <w:p w:rsidR="006D430F" w:rsidRPr="006D430F" w:rsidRDefault="006D430F" w:rsidP="005D429F">
      <w:pPr>
        <w:pStyle w:val="Sansinterligne"/>
        <w:numPr>
          <w:ilvl w:val="0"/>
          <w:numId w:val="917"/>
        </w:numPr>
        <w:rPr>
          <w:rFonts w:cs="Times New Roman"/>
          <w:highlight w:val="yellow"/>
          <w:shd w:val="clear" w:color="auto" w:fill="FFFFFF"/>
          <w:lang w:eastAsia="fr-CA"/>
        </w:rPr>
      </w:pPr>
      <w:r w:rsidRPr="006D430F">
        <w:rPr>
          <w:rFonts w:cs="Times New Roman"/>
          <w:highlight w:val="yellow"/>
          <w:shd w:val="clear" w:color="auto" w:fill="FFFFFF"/>
          <w:lang w:eastAsia="fr-CA"/>
        </w:rPr>
        <w:t>Éviter de surhabiller ou surchauffer l’enfant.</w:t>
      </w:r>
    </w:p>
    <w:p w:rsidR="006D430F" w:rsidRPr="006D430F" w:rsidRDefault="006D430F" w:rsidP="005D429F">
      <w:pPr>
        <w:pStyle w:val="Sansinterligne"/>
        <w:numPr>
          <w:ilvl w:val="0"/>
          <w:numId w:val="917"/>
        </w:numPr>
        <w:rPr>
          <w:rFonts w:cs="Times New Roman"/>
          <w:highlight w:val="yellow"/>
          <w:shd w:val="clear" w:color="auto" w:fill="FFFFFF"/>
          <w:lang w:eastAsia="fr-CA"/>
        </w:rPr>
      </w:pPr>
      <w:r w:rsidRPr="006D430F">
        <w:rPr>
          <w:rFonts w:cs="Times New Roman"/>
          <w:highlight w:val="yellow"/>
          <w:shd w:val="clear" w:color="auto" w:fill="FFFFFF"/>
          <w:lang w:eastAsia="fr-CA"/>
        </w:rPr>
        <w:t>Ne pas partager le lit parental avant 4 mois.</w:t>
      </w:r>
    </w:p>
    <w:p w:rsidR="006D430F" w:rsidRDefault="006D430F" w:rsidP="005D429F">
      <w:pPr>
        <w:pStyle w:val="Sansinterligne"/>
        <w:numPr>
          <w:ilvl w:val="0"/>
          <w:numId w:val="917"/>
        </w:numPr>
        <w:rPr>
          <w:rFonts w:cs="Times New Roman"/>
          <w:shd w:val="clear" w:color="auto" w:fill="FFFFFF"/>
          <w:lang w:eastAsia="fr-CA"/>
        </w:rPr>
      </w:pPr>
      <w:r>
        <w:rPr>
          <w:rFonts w:cs="Times New Roman"/>
          <w:shd w:val="clear" w:color="auto" w:fill="FFFFFF"/>
          <w:lang w:eastAsia="fr-CA"/>
        </w:rPr>
        <w:t xml:space="preserve">Les systèmes de surveillance sont inefficaces et </w:t>
      </w:r>
      <w:r>
        <w:rPr>
          <w:rFonts w:ascii="Century Gothic" w:hAnsi="Century Gothic" w:cs="Times New Roman"/>
          <w:shd w:val="clear" w:color="auto" w:fill="FFFFFF"/>
          <w:lang w:eastAsia="fr-CA"/>
        </w:rPr>
        <w:t>↑</w:t>
      </w:r>
      <w:r>
        <w:rPr>
          <w:rFonts w:cs="Times New Roman"/>
          <w:shd w:val="clear" w:color="auto" w:fill="FFFFFF"/>
          <w:lang w:eastAsia="fr-CA"/>
        </w:rPr>
        <w:t xml:space="preserve"> l’anxiété.</w:t>
      </w:r>
    </w:p>
    <w:p w:rsidR="006D430F" w:rsidRDefault="006D430F" w:rsidP="006D430F">
      <w:pPr>
        <w:pStyle w:val="Sansinterligne"/>
        <w:rPr>
          <w:rFonts w:cs="Times New Roman"/>
          <w:shd w:val="clear" w:color="auto" w:fill="FFFFFF"/>
          <w:lang w:eastAsia="fr-CA"/>
        </w:rPr>
      </w:pPr>
    </w:p>
    <w:p w:rsidR="00DA54A4" w:rsidRPr="007D3468" w:rsidRDefault="00DA54A4" w:rsidP="00122867">
      <w:pPr>
        <w:pStyle w:val="Sansinterligne"/>
        <w:rPr>
          <w:rFonts w:cs="Times New Roman"/>
          <w:b/>
          <w:sz w:val="28"/>
          <w:szCs w:val="28"/>
          <w:shd w:val="clear" w:color="auto" w:fill="FFFFFF"/>
          <w:lang w:eastAsia="fr-CA"/>
        </w:rPr>
      </w:pPr>
      <w:r w:rsidRPr="007D3468">
        <w:rPr>
          <w:rFonts w:cs="Times New Roman"/>
          <w:b/>
          <w:sz w:val="28"/>
          <w:szCs w:val="28"/>
          <w:shd w:val="clear" w:color="auto" w:fill="FFFFFF"/>
          <w:lang w:eastAsia="fr-CA"/>
        </w:rPr>
        <w:t>Investigation</w:t>
      </w:r>
      <w:r w:rsidR="006D430F" w:rsidRPr="007D3468">
        <w:rPr>
          <w:rFonts w:cs="Times New Roman"/>
          <w:b/>
          <w:sz w:val="28"/>
          <w:szCs w:val="28"/>
          <w:shd w:val="clear" w:color="auto" w:fill="FFFFFF"/>
          <w:lang w:eastAsia="fr-CA"/>
        </w:rPr>
        <w:t xml:space="preserve"> </w:t>
      </w:r>
    </w:p>
    <w:p w:rsidR="006D430F" w:rsidRPr="00FE61B0" w:rsidRDefault="006D430F" w:rsidP="00122867">
      <w:pPr>
        <w:pStyle w:val="Sansinterligne"/>
        <w:rPr>
          <w:rFonts w:cs="Times New Roman"/>
          <w:b/>
          <w:shd w:val="clear" w:color="auto" w:fill="FFFFFF"/>
          <w:lang w:eastAsia="fr-CA"/>
        </w:rPr>
      </w:pPr>
    </w:p>
    <w:p w:rsidR="00FE61B0" w:rsidRDefault="00DA54A4" w:rsidP="005D429F">
      <w:pPr>
        <w:pStyle w:val="Sansinterligne"/>
        <w:numPr>
          <w:ilvl w:val="0"/>
          <w:numId w:val="918"/>
        </w:numPr>
        <w:rPr>
          <w:rFonts w:cs="Times New Roman"/>
          <w:shd w:val="clear" w:color="auto" w:fill="FFFFFF"/>
          <w:lang w:eastAsia="fr-CA"/>
        </w:rPr>
      </w:pPr>
      <w:r>
        <w:rPr>
          <w:rFonts w:cs="Times New Roman"/>
          <w:shd w:val="clear" w:color="auto" w:fill="FFFFFF"/>
          <w:lang w:eastAsia="fr-CA"/>
        </w:rPr>
        <w:t>Anamnèse et examen physique complet</w:t>
      </w:r>
    </w:p>
    <w:p w:rsidR="00DA54A4" w:rsidRDefault="00FE61B0" w:rsidP="005D429F">
      <w:pPr>
        <w:pStyle w:val="Sansinterligne"/>
        <w:numPr>
          <w:ilvl w:val="0"/>
          <w:numId w:val="918"/>
        </w:numPr>
        <w:rPr>
          <w:rFonts w:cs="Times New Roman"/>
          <w:shd w:val="clear" w:color="auto" w:fill="FFFFFF"/>
          <w:lang w:eastAsia="fr-CA"/>
        </w:rPr>
      </w:pPr>
      <w:r>
        <w:rPr>
          <w:rFonts w:cs="Times New Roman"/>
          <w:shd w:val="clear" w:color="auto" w:fill="FFFFFF"/>
          <w:lang w:eastAsia="fr-CA"/>
        </w:rPr>
        <w:t>Autopsie</w:t>
      </w:r>
      <w:r w:rsidR="00DA54A4">
        <w:rPr>
          <w:rFonts w:cs="Times New Roman"/>
          <w:shd w:val="clear" w:color="auto" w:fill="FFFFFF"/>
          <w:lang w:eastAsia="fr-CA"/>
        </w:rPr>
        <w:t xml:space="preserve"> médicale (toujours indiquée auprès du coroner vu l’âge de l’enfant).</w:t>
      </w:r>
    </w:p>
    <w:p w:rsidR="006D430F" w:rsidRDefault="006D430F" w:rsidP="00122867">
      <w:pPr>
        <w:pStyle w:val="Sansinterligne"/>
        <w:rPr>
          <w:rFonts w:cs="Times New Roman"/>
          <w:shd w:val="clear" w:color="auto" w:fill="FFFFFF"/>
          <w:lang w:eastAsia="fr-CA"/>
        </w:rPr>
      </w:pPr>
    </w:p>
    <w:p w:rsidR="006D430F" w:rsidRPr="00D54B34" w:rsidRDefault="006D430F" w:rsidP="00122867">
      <w:pPr>
        <w:pStyle w:val="Sansinterligne"/>
        <w:rPr>
          <w:rFonts w:cs="Times New Roman"/>
          <w:u w:val="single"/>
          <w:shd w:val="clear" w:color="auto" w:fill="FFFFFF"/>
          <w:lang w:eastAsia="fr-CA"/>
        </w:rPr>
      </w:pPr>
      <w:r w:rsidRPr="00D54B34">
        <w:rPr>
          <w:rFonts w:cs="Times New Roman"/>
          <w:u w:val="single"/>
          <w:shd w:val="clear" w:color="auto" w:fill="FFFFFF"/>
          <w:lang w:eastAsia="fr-CA"/>
        </w:rPr>
        <w:t>En cas de SMSN, il faut s’assurer de répondre aux questions des parents et de les accompagner durant le deuil.</w:t>
      </w:r>
    </w:p>
    <w:p w:rsidR="006D430F" w:rsidRPr="0064088A" w:rsidRDefault="006D430F" w:rsidP="00122867">
      <w:pPr>
        <w:pStyle w:val="Sansinterligne"/>
        <w:rPr>
          <w:rFonts w:cs="Times New Roman"/>
          <w:shd w:val="clear" w:color="auto" w:fill="FFFFFF"/>
          <w:lang w:eastAsia="fr-CA"/>
        </w:rPr>
      </w:pPr>
      <w:r w:rsidRPr="0064088A">
        <w:rPr>
          <w:rFonts w:cs="Times New Roman"/>
          <w:shd w:val="clear" w:color="auto" w:fill="FFFFFF"/>
          <w:lang w:eastAsia="fr-CA"/>
        </w:rPr>
        <w:t>_____________________________________________________________________________________________</w:t>
      </w:r>
    </w:p>
    <w:p w:rsidR="00122121" w:rsidRPr="0064088A" w:rsidRDefault="00122121" w:rsidP="00122867">
      <w:pPr>
        <w:pStyle w:val="Sansinterligne"/>
        <w:rPr>
          <w:shd w:val="clear" w:color="auto" w:fill="FFFFFF"/>
          <w:lang w:eastAsia="fr-CA"/>
        </w:rPr>
      </w:pPr>
    </w:p>
    <w:p w:rsidR="00231A22" w:rsidRPr="00231A22" w:rsidRDefault="00122121" w:rsidP="00231A22">
      <w:pPr>
        <w:pStyle w:val="Sansinterligne"/>
        <w:rPr>
          <w:b/>
          <w:i/>
          <w:sz w:val="32"/>
          <w:szCs w:val="32"/>
          <w:shd w:val="clear" w:color="auto" w:fill="FFFFFF"/>
          <w:lang w:eastAsia="fr-CA"/>
        </w:rPr>
      </w:pPr>
      <w:r w:rsidRPr="00231A22">
        <w:rPr>
          <w:b/>
          <w:i/>
          <w:sz w:val="32"/>
          <w:szCs w:val="32"/>
          <w:shd w:val="clear" w:color="auto" w:fill="FFFFFF"/>
          <w:lang w:eastAsia="fr-CA"/>
        </w:rPr>
        <w:t xml:space="preserve">Accident aigu potentiellement fatal / </w:t>
      </w:r>
      <w:r w:rsidR="00231A22" w:rsidRPr="00231A22">
        <w:rPr>
          <w:b/>
          <w:i/>
          <w:sz w:val="32"/>
          <w:szCs w:val="32"/>
          <w:shd w:val="clear" w:color="auto" w:fill="FFFFFF"/>
          <w:lang w:eastAsia="fr-CA"/>
        </w:rPr>
        <w:t>Malaise grave du nourrisson</w:t>
      </w:r>
      <w:r w:rsidR="00231A22">
        <w:rPr>
          <w:b/>
          <w:i/>
          <w:sz w:val="32"/>
          <w:szCs w:val="32"/>
          <w:shd w:val="clear" w:color="auto" w:fill="FFFFFF"/>
          <w:lang w:eastAsia="fr-CA"/>
        </w:rPr>
        <w:t xml:space="preserve"> /</w:t>
      </w:r>
    </w:p>
    <w:p w:rsidR="00122121" w:rsidRDefault="00C75B28" w:rsidP="00122867">
      <w:pPr>
        <w:pStyle w:val="Sansinterligne"/>
        <w:rPr>
          <w:b/>
          <w:i/>
          <w:sz w:val="32"/>
          <w:szCs w:val="32"/>
          <w:shd w:val="clear" w:color="auto" w:fill="FFFFFF"/>
          <w:lang w:val="en-CA" w:eastAsia="fr-CA"/>
        </w:rPr>
      </w:pPr>
      <w:r w:rsidRPr="007D3468">
        <w:rPr>
          <w:b/>
          <w:i/>
          <w:sz w:val="32"/>
          <w:szCs w:val="32"/>
          <w:shd w:val="clear" w:color="auto" w:fill="FFFFFF"/>
          <w:lang w:val="en-CA" w:eastAsia="fr-CA"/>
        </w:rPr>
        <w:t>A</w:t>
      </w:r>
      <w:r w:rsidR="00122121" w:rsidRPr="007D3468">
        <w:rPr>
          <w:b/>
          <w:i/>
          <w:sz w:val="32"/>
          <w:szCs w:val="32"/>
          <w:shd w:val="clear" w:color="auto" w:fill="FFFFFF"/>
          <w:lang w:val="en-CA" w:eastAsia="fr-CA"/>
        </w:rPr>
        <w:t xml:space="preserve">cute </w:t>
      </w:r>
      <w:r w:rsidR="007817BF" w:rsidRPr="007D3468">
        <w:rPr>
          <w:b/>
          <w:i/>
          <w:sz w:val="32"/>
          <w:szCs w:val="32"/>
          <w:shd w:val="clear" w:color="auto" w:fill="FFFFFF"/>
          <w:lang w:val="en-CA" w:eastAsia="fr-CA"/>
        </w:rPr>
        <w:t>L</w:t>
      </w:r>
      <w:r w:rsidR="00122121" w:rsidRPr="007D3468">
        <w:rPr>
          <w:b/>
          <w:i/>
          <w:sz w:val="32"/>
          <w:szCs w:val="32"/>
          <w:shd w:val="clear" w:color="auto" w:fill="FFFFFF"/>
          <w:lang w:val="en-CA" w:eastAsia="fr-CA"/>
        </w:rPr>
        <w:t xml:space="preserve">ife-threatening </w:t>
      </w:r>
      <w:r w:rsidR="007817BF" w:rsidRPr="007D3468">
        <w:rPr>
          <w:b/>
          <w:i/>
          <w:sz w:val="32"/>
          <w:szCs w:val="32"/>
          <w:shd w:val="clear" w:color="auto" w:fill="FFFFFF"/>
          <w:lang w:val="en-CA" w:eastAsia="fr-CA"/>
        </w:rPr>
        <w:t>E</w:t>
      </w:r>
      <w:r w:rsidR="00122121" w:rsidRPr="007D3468">
        <w:rPr>
          <w:b/>
          <w:i/>
          <w:sz w:val="32"/>
          <w:szCs w:val="32"/>
          <w:shd w:val="clear" w:color="auto" w:fill="FFFFFF"/>
          <w:lang w:val="en-CA" w:eastAsia="fr-CA"/>
        </w:rPr>
        <w:t>vent (ALTE)</w:t>
      </w:r>
    </w:p>
    <w:p w:rsidR="00122121" w:rsidRDefault="00122121" w:rsidP="00122867">
      <w:pPr>
        <w:pStyle w:val="Sansinterligne"/>
        <w:rPr>
          <w:shd w:val="clear" w:color="auto" w:fill="FFFFFF"/>
          <w:lang w:val="en-CA" w:eastAsia="fr-CA"/>
        </w:rPr>
      </w:pPr>
    </w:p>
    <w:p w:rsidR="00BE759C" w:rsidRPr="007D3468" w:rsidRDefault="00BE759C" w:rsidP="00122867">
      <w:pPr>
        <w:pStyle w:val="Sansinterligne"/>
        <w:rPr>
          <w:b/>
          <w:sz w:val="28"/>
          <w:szCs w:val="28"/>
          <w:shd w:val="clear" w:color="auto" w:fill="FFFFFF"/>
          <w:lang w:eastAsia="fr-CA"/>
        </w:rPr>
      </w:pPr>
      <w:r w:rsidRPr="007D3468">
        <w:rPr>
          <w:b/>
          <w:sz w:val="28"/>
          <w:szCs w:val="28"/>
          <w:shd w:val="clear" w:color="auto" w:fill="FFFFFF"/>
          <w:lang w:eastAsia="fr-CA"/>
        </w:rPr>
        <w:t>Définition </w:t>
      </w:r>
    </w:p>
    <w:p w:rsidR="00BE759C" w:rsidRDefault="00C730F5" w:rsidP="00122867">
      <w:pPr>
        <w:pStyle w:val="Sansinterligne"/>
        <w:rPr>
          <w:shd w:val="clear" w:color="auto" w:fill="FFFFFF"/>
          <w:lang w:eastAsia="fr-CA"/>
        </w:rPr>
      </w:pPr>
      <w:r w:rsidRPr="00520958">
        <w:rPr>
          <w:noProof/>
          <w:shd w:val="clear" w:color="auto" w:fill="FFFFFF"/>
          <w:lang w:eastAsia="fr-CA"/>
        </w:rPr>
        <mc:AlternateContent>
          <mc:Choice Requires="wps">
            <w:drawing>
              <wp:anchor distT="0" distB="0" distL="114300" distR="114300" simplePos="0" relativeHeight="251930624" behindDoc="0" locked="0" layoutInCell="1" allowOverlap="1" wp14:anchorId="32FED6A3" wp14:editId="757D0B32">
                <wp:simplePos x="0" y="0"/>
                <wp:positionH relativeFrom="column">
                  <wp:posOffset>3842385</wp:posOffset>
                </wp:positionH>
                <wp:positionV relativeFrom="paragraph">
                  <wp:posOffset>420924</wp:posOffset>
                </wp:positionV>
                <wp:extent cx="2985770" cy="1313234"/>
                <wp:effectExtent l="0" t="0" r="24130" b="20320"/>
                <wp:wrapNone/>
                <wp:docPr id="44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85770" cy="1313234"/>
                        </a:xfrm>
                        <a:prstGeom prst="rect">
                          <a:avLst/>
                        </a:prstGeom>
                        <a:solidFill>
                          <a:srgbClr val="FFC000"/>
                        </a:solidFill>
                        <a:ln w="9525">
                          <a:solidFill>
                            <a:srgbClr val="000000"/>
                          </a:solidFill>
                          <a:miter lim="800000"/>
                          <a:headEnd/>
                          <a:tailEnd/>
                        </a:ln>
                      </wps:spPr>
                      <wps:txbx>
                        <w:txbxContent>
                          <w:p w:rsidR="008276DC" w:rsidRPr="00C730F5" w:rsidRDefault="008276DC" w:rsidP="00C730F5">
                            <w:pPr>
                              <w:pStyle w:val="Sansinterligne"/>
                              <w:jc w:val="center"/>
                              <w:rPr>
                                <w:b/>
                              </w:rPr>
                            </w:pPr>
                            <w:r w:rsidRPr="00231A22">
                              <w:rPr>
                                <w:b/>
                              </w:rPr>
                              <w:t xml:space="preserve">Facteurs de risques </w:t>
                            </w:r>
                            <w:r>
                              <w:rPr>
                                <w:b/>
                              </w:rPr>
                              <w:t>d’ALTE</w:t>
                            </w:r>
                          </w:p>
                          <w:p w:rsidR="008276DC" w:rsidRPr="00C730F5" w:rsidRDefault="008276DC" w:rsidP="005D429F">
                            <w:pPr>
                              <w:pStyle w:val="Sansinterligne"/>
                              <w:numPr>
                                <w:ilvl w:val="0"/>
                                <w:numId w:val="923"/>
                              </w:numPr>
                              <w:rPr>
                                <w:sz w:val="20"/>
                                <w:szCs w:val="20"/>
                              </w:rPr>
                            </w:pPr>
                            <w:r w:rsidRPr="00C730F5">
                              <w:rPr>
                                <w:sz w:val="20"/>
                                <w:szCs w:val="20"/>
                              </w:rPr>
                              <w:t>Âge &lt; 2 mois</w:t>
                            </w:r>
                          </w:p>
                          <w:p w:rsidR="008276DC" w:rsidRPr="00C730F5" w:rsidRDefault="008276DC" w:rsidP="005D429F">
                            <w:pPr>
                              <w:pStyle w:val="Sansinterligne"/>
                              <w:numPr>
                                <w:ilvl w:val="0"/>
                                <w:numId w:val="923"/>
                              </w:numPr>
                              <w:rPr>
                                <w:sz w:val="20"/>
                                <w:szCs w:val="20"/>
                              </w:rPr>
                            </w:pPr>
                            <w:r w:rsidRPr="00C730F5">
                              <w:rPr>
                                <w:sz w:val="20"/>
                                <w:szCs w:val="20"/>
                              </w:rPr>
                              <w:t>Prématurité</w:t>
                            </w:r>
                          </w:p>
                          <w:p w:rsidR="008276DC" w:rsidRPr="00C730F5" w:rsidRDefault="008276DC" w:rsidP="005D429F">
                            <w:pPr>
                              <w:pStyle w:val="Sansinterligne"/>
                              <w:numPr>
                                <w:ilvl w:val="0"/>
                                <w:numId w:val="923"/>
                              </w:numPr>
                              <w:rPr>
                                <w:sz w:val="20"/>
                                <w:szCs w:val="20"/>
                              </w:rPr>
                            </w:pPr>
                            <w:r w:rsidRPr="00C730F5">
                              <w:rPr>
                                <w:sz w:val="20"/>
                                <w:szCs w:val="20"/>
                              </w:rPr>
                              <w:t>PPAG (petit poids pour l’âge gestationnel)</w:t>
                            </w:r>
                          </w:p>
                          <w:p w:rsidR="008276DC" w:rsidRPr="00C730F5" w:rsidRDefault="008276DC" w:rsidP="005D429F">
                            <w:pPr>
                              <w:pStyle w:val="Sansinterligne"/>
                              <w:numPr>
                                <w:ilvl w:val="0"/>
                                <w:numId w:val="923"/>
                              </w:numPr>
                              <w:rPr>
                                <w:sz w:val="20"/>
                                <w:szCs w:val="20"/>
                              </w:rPr>
                            </w:pPr>
                            <w:r w:rsidRPr="00C730F5">
                              <w:rPr>
                                <w:sz w:val="20"/>
                                <w:szCs w:val="20"/>
                              </w:rPr>
                              <w:t>Premier-né</w:t>
                            </w:r>
                          </w:p>
                          <w:p w:rsidR="008276DC" w:rsidRPr="00C730F5" w:rsidRDefault="008276DC" w:rsidP="005D429F">
                            <w:pPr>
                              <w:pStyle w:val="Sansinterligne"/>
                              <w:numPr>
                                <w:ilvl w:val="0"/>
                                <w:numId w:val="923"/>
                              </w:numPr>
                              <w:rPr>
                                <w:sz w:val="20"/>
                                <w:szCs w:val="20"/>
                              </w:rPr>
                            </w:pPr>
                            <w:r w:rsidRPr="00C730F5">
                              <w:rPr>
                                <w:sz w:val="20"/>
                                <w:szCs w:val="20"/>
                              </w:rPr>
                              <w:t xml:space="preserve">Naissance post-terme </w:t>
                            </w:r>
                          </w:p>
                          <w:p w:rsidR="008276DC" w:rsidRPr="00C730F5" w:rsidRDefault="008276DC" w:rsidP="005D429F">
                            <w:pPr>
                              <w:pStyle w:val="Sansinterligne"/>
                              <w:numPr>
                                <w:ilvl w:val="0"/>
                                <w:numId w:val="923"/>
                              </w:numPr>
                              <w:rPr>
                                <w:sz w:val="20"/>
                                <w:szCs w:val="20"/>
                              </w:rPr>
                            </w:pPr>
                            <w:r w:rsidRPr="00C730F5">
                              <w:rPr>
                                <w:sz w:val="20"/>
                                <w:szCs w:val="20"/>
                              </w:rPr>
                              <w:t>Difficulté à s’alimenter</w:t>
                            </w:r>
                          </w:p>
                          <w:p w:rsidR="008276DC" w:rsidRPr="00C730F5" w:rsidRDefault="008276DC" w:rsidP="005D429F">
                            <w:pPr>
                              <w:pStyle w:val="Sansinterligne"/>
                              <w:numPr>
                                <w:ilvl w:val="0"/>
                                <w:numId w:val="923"/>
                              </w:numPr>
                              <w:rPr>
                                <w:sz w:val="20"/>
                                <w:szCs w:val="20"/>
                              </w:rPr>
                            </w:pPr>
                            <w:r w:rsidRPr="00C730F5">
                              <w:rPr>
                                <w:sz w:val="20"/>
                                <w:szCs w:val="20"/>
                              </w:rPr>
                              <w:t>Hx récente de Sx respiratoires supérieurs récents</w:t>
                            </w:r>
                          </w:p>
                          <w:p w:rsidR="008276DC" w:rsidRDefault="008276DC"/>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40" type="#_x0000_t202" style="position:absolute;margin-left:302.55pt;margin-top:33.15pt;width:235.1pt;height:103.4pt;z-index:25193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" fillcolor="#ffc000">
                <v:textbox>
                  <w:txbxContent>
                    <w:p w:rsidR="008276DC" w:rsidRPr="00C730F5" w:rsidRDefault="008276DC" w:rsidP="00C730F5">
                      <w:pPr>
                        <w:pStyle w:val="Sansinterligne"/>
                        <w:jc w:val="center"/>
                        <w:rPr>
                          <w:b/>
                        </w:rPr>
                      </w:pPr>
                      <w:r w:rsidRPr="00231A22">
                        <w:rPr>
                          <w:b/>
                        </w:rPr>
                        <w:t xml:space="preserve">Facteurs de risques </w:t>
                      </w:r>
                      <w:r>
                        <w:rPr>
                          <w:b/>
                        </w:rPr>
                        <w:t>d’ALTE</w:t>
                      </w:r>
                    </w:p>
                    <w:p w:rsidR="008276DC" w:rsidRPr="00C730F5" w:rsidRDefault="008276DC" w:rsidP="005D429F">
                      <w:pPr>
                        <w:pStyle w:val="Sansinterligne"/>
                        <w:numPr>
                          <w:ilvl w:val="0"/>
                          <w:numId w:val="923"/>
                        </w:numPr>
                        <w:rPr>
                          <w:sz w:val="20"/>
                          <w:szCs w:val="20"/>
                        </w:rPr>
                      </w:pPr>
                      <w:r w:rsidRPr="00C730F5">
                        <w:rPr>
                          <w:sz w:val="20"/>
                          <w:szCs w:val="20"/>
                        </w:rPr>
                        <w:t>Âge &lt; 2 mois</w:t>
                      </w:r>
                    </w:p>
                    <w:p w:rsidR="008276DC" w:rsidRPr="00C730F5" w:rsidRDefault="008276DC" w:rsidP="005D429F">
                      <w:pPr>
                        <w:pStyle w:val="Sansinterligne"/>
                        <w:numPr>
                          <w:ilvl w:val="0"/>
                          <w:numId w:val="923"/>
                        </w:numPr>
                        <w:rPr>
                          <w:sz w:val="20"/>
                          <w:szCs w:val="20"/>
                        </w:rPr>
                      </w:pPr>
                      <w:r w:rsidRPr="00C730F5">
                        <w:rPr>
                          <w:sz w:val="20"/>
                          <w:szCs w:val="20"/>
                        </w:rPr>
                        <w:t>Prématurité</w:t>
                      </w:r>
                    </w:p>
                    <w:p w:rsidR="008276DC" w:rsidRPr="00C730F5" w:rsidRDefault="008276DC" w:rsidP="005D429F">
                      <w:pPr>
                        <w:pStyle w:val="Sansinterligne"/>
                        <w:numPr>
                          <w:ilvl w:val="0"/>
                          <w:numId w:val="923"/>
                        </w:numPr>
                        <w:rPr>
                          <w:sz w:val="20"/>
                          <w:szCs w:val="20"/>
                        </w:rPr>
                      </w:pPr>
                      <w:r w:rsidRPr="00C730F5">
                        <w:rPr>
                          <w:sz w:val="20"/>
                          <w:szCs w:val="20"/>
                        </w:rPr>
                        <w:t>PPAG (petit poids pour l’âge gestationnel)</w:t>
                      </w:r>
                    </w:p>
                    <w:p w:rsidR="008276DC" w:rsidRPr="00C730F5" w:rsidRDefault="008276DC" w:rsidP="005D429F">
                      <w:pPr>
                        <w:pStyle w:val="Sansinterligne"/>
                        <w:numPr>
                          <w:ilvl w:val="0"/>
                          <w:numId w:val="923"/>
                        </w:numPr>
                        <w:rPr>
                          <w:sz w:val="20"/>
                          <w:szCs w:val="20"/>
                        </w:rPr>
                      </w:pPr>
                      <w:r w:rsidRPr="00C730F5">
                        <w:rPr>
                          <w:sz w:val="20"/>
                          <w:szCs w:val="20"/>
                        </w:rPr>
                        <w:t>Premier-né</w:t>
                      </w:r>
                    </w:p>
                    <w:p w:rsidR="008276DC" w:rsidRPr="00C730F5" w:rsidRDefault="008276DC" w:rsidP="005D429F">
                      <w:pPr>
                        <w:pStyle w:val="Sansinterligne"/>
                        <w:numPr>
                          <w:ilvl w:val="0"/>
                          <w:numId w:val="923"/>
                        </w:numPr>
                        <w:rPr>
                          <w:sz w:val="20"/>
                          <w:szCs w:val="20"/>
                        </w:rPr>
                      </w:pPr>
                      <w:r w:rsidRPr="00C730F5">
                        <w:rPr>
                          <w:sz w:val="20"/>
                          <w:szCs w:val="20"/>
                        </w:rPr>
                        <w:t xml:space="preserve">Naissance post-terme </w:t>
                      </w:r>
                    </w:p>
                    <w:p w:rsidR="008276DC" w:rsidRPr="00C730F5" w:rsidRDefault="008276DC" w:rsidP="005D429F">
                      <w:pPr>
                        <w:pStyle w:val="Sansinterligne"/>
                        <w:numPr>
                          <w:ilvl w:val="0"/>
                          <w:numId w:val="923"/>
                        </w:numPr>
                        <w:rPr>
                          <w:sz w:val="20"/>
                          <w:szCs w:val="20"/>
                        </w:rPr>
                      </w:pPr>
                      <w:r w:rsidRPr="00C730F5">
                        <w:rPr>
                          <w:sz w:val="20"/>
                          <w:szCs w:val="20"/>
                        </w:rPr>
                        <w:t>Difficulté à s’alimenter</w:t>
                      </w:r>
                    </w:p>
                    <w:p w:rsidR="008276DC" w:rsidRPr="00C730F5" w:rsidRDefault="008276DC" w:rsidP="005D429F">
                      <w:pPr>
                        <w:pStyle w:val="Sansinterligne"/>
                        <w:numPr>
                          <w:ilvl w:val="0"/>
                          <w:numId w:val="923"/>
                        </w:numPr>
                        <w:rPr>
                          <w:sz w:val="20"/>
                          <w:szCs w:val="20"/>
                        </w:rPr>
                      </w:pPr>
                      <w:r w:rsidRPr="00C730F5">
                        <w:rPr>
                          <w:sz w:val="20"/>
                          <w:szCs w:val="20"/>
                        </w:rPr>
                        <w:t>Hx récente de Sx respiratoires supérieurs récents</w:t>
                      </w:r>
                    </w:p>
                    <w:p w:rsidR="008276DC" w:rsidRDefault="008276DC"/>
                  </w:txbxContent>
                </v:textbox>
              </v:shape>
            </w:pict>
          </mc:Fallback>
        </mc:AlternateContent>
      </w:r>
      <w:r w:rsidR="00BE759C">
        <w:rPr>
          <w:shd w:val="clear" w:color="auto" w:fill="FFFFFF"/>
          <w:lang w:eastAsia="fr-CA"/>
        </w:rPr>
        <w:t>Épisode bref et apparemment menaçant la vie de l’enfant survenant subitement. L’enfant est toutefois asymptomatique ou l’épisode est résolu au moment de la consultation. Le diagnostic (de l’épisode) repose donc sur une histoire avec le  parent ou le témoin et une investigation négative</w:t>
      </w:r>
    </w:p>
    <w:p w:rsidR="00BE759C" w:rsidRDefault="00BE759C" w:rsidP="00122867">
      <w:pPr>
        <w:pStyle w:val="Sansinterligne"/>
        <w:rPr>
          <w:shd w:val="clear" w:color="auto" w:fill="FFFFFF"/>
          <w:lang w:eastAsia="fr-CA"/>
        </w:rPr>
      </w:pPr>
    </w:p>
    <w:p w:rsidR="00174251" w:rsidRDefault="00174251" w:rsidP="00174251">
      <w:pPr>
        <w:pStyle w:val="Sansinterligne"/>
        <w:rPr>
          <w:shd w:val="clear" w:color="auto" w:fill="FFFFFF"/>
          <w:lang w:eastAsia="fr-CA"/>
        </w:rPr>
      </w:pPr>
    </w:p>
    <w:p w:rsidR="007263EC" w:rsidRPr="00520958" w:rsidRDefault="007263EC" w:rsidP="00C63AB1">
      <w:pPr>
        <w:pStyle w:val="Sansinterligne"/>
        <w:rPr>
          <w:b/>
          <w:shd w:val="clear" w:color="auto" w:fill="FFFFFF"/>
          <w:lang w:eastAsia="fr-CA"/>
        </w:rPr>
      </w:pPr>
      <w:r w:rsidRPr="00520958">
        <w:rPr>
          <w:b/>
          <w:shd w:val="clear" w:color="auto" w:fill="FFFFFF"/>
          <w:lang w:eastAsia="fr-CA"/>
        </w:rPr>
        <w:t>Étiologies</w:t>
      </w:r>
    </w:p>
    <w:p w:rsidR="00520958" w:rsidRPr="007D3468" w:rsidRDefault="00520958" w:rsidP="005D429F">
      <w:pPr>
        <w:pStyle w:val="Sansinterligne"/>
        <w:numPr>
          <w:ilvl w:val="0"/>
          <w:numId w:val="919"/>
        </w:numPr>
        <w:rPr>
          <w:u w:val="single"/>
          <w:shd w:val="clear" w:color="auto" w:fill="FFFFFF"/>
          <w:lang w:eastAsia="fr-CA"/>
        </w:rPr>
      </w:pPr>
      <w:r w:rsidRPr="007D3468">
        <w:rPr>
          <w:u w:val="single"/>
          <w:shd w:val="clear" w:color="auto" w:fill="FFFFFF"/>
          <w:lang w:eastAsia="fr-CA"/>
        </w:rPr>
        <w:t>Fréquentes </w:t>
      </w:r>
    </w:p>
    <w:p w:rsidR="007263EC" w:rsidRPr="007D3468" w:rsidRDefault="007263EC" w:rsidP="005D429F">
      <w:pPr>
        <w:pStyle w:val="Sansinterligne"/>
        <w:numPr>
          <w:ilvl w:val="1"/>
          <w:numId w:val="919"/>
        </w:numPr>
        <w:rPr>
          <w:highlight w:val="yellow"/>
          <w:shd w:val="clear" w:color="auto" w:fill="FFFFFF"/>
          <w:lang w:eastAsia="fr-CA"/>
        </w:rPr>
      </w:pPr>
      <w:r w:rsidRPr="007D3468">
        <w:rPr>
          <w:highlight w:val="yellow"/>
          <w:shd w:val="clear" w:color="auto" w:fill="FFFFFF"/>
          <w:lang w:eastAsia="fr-CA"/>
        </w:rPr>
        <w:t>Idiopathique</w:t>
      </w:r>
      <w:r w:rsidR="00231A22">
        <w:rPr>
          <w:highlight w:val="yellow"/>
          <w:shd w:val="clear" w:color="auto" w:fill="FFFFFF"/>
          <w:lang w:eastAsia="fr-CA"/>
        </w:rPr>
        <w:t xml:space="preserve"> (</w:t>
      </w:r>
      <w:r w:rsidR="00231A22">
        <w:rPr>
          <w:rFonts w:cs="Times New Roman"/>
          <w:highlight w:val="yellow"/>
          <w:shd w:val="clear" w:color="auto" w:fill="FFFFFF"/>
          <w:lang w:eastAsia="fr-CA"/>
        </w:rPr>
        <w:t>~</w:t>
      </w:r>
      <w:r w:rsidR="00231A22">
        <w:rPr>
          <w:highlight w:val="yellow"/>
          <w:shd w:val="clear" w:color="auto" w:fill="FFFFFF"/>
          <w:lang w:eastAsia="fr-CA"/>
        </w:rPr>
        <w:t>50%)</w:t>
      </w:r>
    </w:p>
    <w:p w:rsidR="007263EC" w:rsidRPr="007D3468" w:rsidRDefault="00231A22" w:rsidP="005D429F">
      <w:pPr>
        <w:pStyle w:val="Sansinterligne"/>
        <w:numPr>
          <w:ilvl w:val="1"/>
          <w:numId w:val="919"/>
        </w:numPr>
        <w:rPr>
          <w:highlight w:val="yellow"/>
          <w:shd w:val="clear" w:color="auto" w:fill="FFFFFF"/>
          <w:lang w:eastAsia="fr-CA"/>
        </w:rPr>
      </w:pPr>
      <w:r>
        <w:rPr>
          <w:highlight w:val="yellow"/>
          <w:shd w:val="clear" w:color="auto" w:fill="FFFFFF"/>
          <w:lang w:eastAsia="fr-CA"/>
        </w:rPr>
        <w:t xml:space="preserve">Laryngospasme </w:t>
      </w:r>
      <w:r w:rsidR="007263EC" w:rsidRPr="007D3468">
        <w:rPr>
          <w:highlight w:val="yellow"/>
          <w:shd w:val="clear" w:color="auto" w:fill="FFFFFF"/>
          <w:lang w:eastAsia="fr-CA"/>
        </w:rPr>
        <w:t xml:space="preserve">sur </w:t>
      </w:r>
      <w:r>
        <w:rPr>
          <w:highlight w:val="yellow"/>
          <w:shd w:val="clear" w:color="auto" w:fill="FFFFFF"/>
          <w:lang w:eastAsia="fr-CA"/>
        </w:rPr>
        <w:t>reflux gasto-oesophagien (</w:t>
      </w:r>
      <w:r>
        <w:rPr>
          <w:rFonts w:cs="Times New Roman"/>
          <w:highlight w:val="yellow"/>
          <w:shd w:val="clear" w:color="auto" w:fill="FFFFFF"/>
          <w:lang w:eastAsia="fr-CA"/>
        </w:rPr>
        <w:t>~</w:t>
      </w:r>
      <w:r>
        <w:rPr>
          <w:highlight w:val="yellow"/>
          <w:shd w:val="clear" w:color="auto" w:fill="FFFFFF"/>
          <w:lang w:eastAsia="fr-CA"/>
        </w:rPr>
        <w:t>25%)</w:t>
      </w:r>
    </w:p>
    <w:p w:rsidR="007263EC" w:rsidRPr="007D3468" w:rsidRDefault="007263EC" w:rsidP="005D429F">
      <w:pPr>
        <w:pStyle w:val="Sansinterligne"/>
        <w:numPr>
          <w:ilvl w:val="1"/>
          <w:numId w:val="919"/>
        </w:numPr>
        <w:rPr>
          <w:highlight w:val="yellow"/>
          <w:shd w:val="clear" w:color="auto" w:fill="FFFFFF"/>
          <w:lang w:eastAsia="fr-CA"/>
        </w:rPr>
      </w:pPr>
      <w:r w:rsidRPr="007D3468">
        <w:rPr>
          <w:highlight w:val="yellow"/>
          <w:shd w:val="clear" w:color="auto" w:fill="FFFFFF"/>
          <w:lang w:eastAsia="fr-CA"/>
        </w:rPr>
        <w:t>Convulsions</w:t>
      </w:r>
      <w:r w:rsidR="00231A22">
        <w:rPr>
          <w:highlight w:val="yellow"/>
          <w:shd w:val="clear" w:color="auto" w:fill="FFFFFF"/>
          <w:lang w:eastAsia="fr-CA"/>
        </w:rPr>
        <w:t xml:space="preserve"> (</w:t>
      </w:r>
      <w:r w:rsidR="00231A22">
        <w:rPr>
          <w:rFonts w:cs="Times New Roman"/>
          <w:highlight w:val="yellow"/>
          <w:shd w:val="clear" w:color="auto" w:fill="FFFFFF"/>
          <w:lang w:eastAsia="fr-CA"/>
        </w:rPr>
        <w:t>~</w:t>
      </w:r>
      <w:r w:rsidR="00231A22">
        <w:rPr>
          <w:highlight w:val="yellow"/>
          <w:shd w:val="clear" w:color="auto" w:fill="FFFFFF"/>
          <w:lang w:eastAsia="fr-CA"/>
        </w:rPr>
        <w:t>10%)</w:t>
      </w:r>
    </w:p>
    <w:p w:rsidR="007263EC" w:rsidRPr="007D3468" w:rsidRDefault="007263EC" w:rsidP="005D429F">
      <w:pPr>
        <w:pStyle w:val="Sansinterligne"/>
        <w:numPr>
          <w:ilvl w:val="1"/>
          <w:numId w:val="919"/>
        </w:numPr>
        <w:rPr>
          <w:highlight w:val="yellow"/>
          <w:shd w:val="clear" w:color="auto" w:fill="FFFFFF"/>
          <w:lang w:eastAsia="fr-CA"/>
        </w:rPr>
      </w:pPr>
      <w:r w:rsidRPr="007D3468">
        <w:rPr>
          <w:highlight w:val="yellow"/>
          <w:shd w:val="clear" w:color="auto" w:fill="FFFFFF"/>
          <w:lang w:eastAsia="fr-CA"/>
        </w:rPr>
        <w:t>Infection respiratoire</w:t>
      </w:r>
      <w:r w:rsidR="00231A22">
        <w:rPr>
          <w:highlight w:val="yellow"/>
          <w:shd w:val="clear" w:color="auto" w:fill="FFFFFF"/>
          <w:lang w:eastAsia="fr-CA"/>
        </w:rPr>
        <w:t xml:space="preserve"> (</w:t>
      </w:r>
      <w:r w:rsidR="00231A22">
        <w:rPr>
          <w:rFonts w:cs="Times New Roman"/>
          <w:highlight w:val="yellow"/>
          <w:shd w:val="clear" w:color="auto" w:fill="FFFFFF"/>
          <w:lang w:eastAsia="fr-CA"/>
        </w:rPr>
        <w:t>~</w:t>
      </w:r>
      <w:r w:rsidR="00231A22">
        <w:rPr>
          <w:highlight w:val="yellow"/>
          <w:shd w:val="clear" w:color="auto" w:fill="FFFFFF"/>
          <w:lang w:eastAsia="fr-CA"/>
        </w:rPr>
        <w:t>10%)</w:t>
      </w:r>
    </w:p>
    <w:p w:rsidR="007263EC" w:rsidRPr="007D3468" w:rsidRDefault="00C730F5" w:rsidP="005D429F">
      <w:pPr>
        <w:pStyle w:val="Sansinterligne"/>
        <w:numPr>
          <w:ilvl w:val="1"/>
          <w:numId w:val="919"/>
        </w:numPr>
        <w:rPr>
          <w:highlight w:val="yellow"/>
          <w:shd w:val="clear" w:color="auto" w:fill="FFFFFF"/>
          <w:lang w:eastAsia="fr-CA"/>
        </w:rPr>
      </w:pPr>
      <w:r>
        <w:rPr>
          <w:noProof/>
          <w:lang w:eastAsia="fr-CA"/>
        </w:rPr>
        <w:drawing>
          <wp:anchor distT="0" distB="0" distL="114300" distR="114300" simplePos="0" relativeHeight="251931648" behindDoc="0" locked="0" layoutInCell="1" allowOverlap="1" wp14:anchorId="59237127" wp14:editId="3FB8C5E7">
            <wp:simplePos x="0" y="0"/>
            <wp:positionH relativeFrom="column">
              <wp:posOffset>3470275</wp:posOffset>
            </wp:positionH>
            <wp:positionV relativeFrom="paragraph">
              <wp:posOffset>33020</wp:posOffset>
            </wp:positionV>
            <wp:extent cx="3402330" cy="1915795"/>
            <wp:effectExtent l="0" t="0" r="7620" b="8255"/>
            <wp:wrapNone/>
            <wp:docPr id="448" name="Image 448" descr="Résultats de recherche d'images pour « malaise grave du nourriss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ésultats de recherche d'images pour « malaise grave du nourrisson »"/>
                    <pic:cNvPicPr>
                      <a:picLocks noChangeAspect="1" noChangeArrowheads="1"/>
                    </pic:cNvPicPr>
                  </pic:nvPicPr>
                  <pic:blipFill>
                    <a:blip r:embed="rId366">
                      <a:extLst>
                        <a:ext uri="{28A0092B-C50C-407E-A947-70E740481C1C}">
                          <a14:useLocalDpi xmlns:a14="http://schemas.microsoft.com/office/drawing/2010/main" val="0"/>
                        </a:ext>
                      </a:extLst>
                    </a:blip>
                    <a:srcRect/>
                    <a:stretch>
                      <a:fillRect/>
                    </a:stretch>
                  </pic:blipFill>
                  <pic:spPr bwMode="auto">
                    <a:xfrm>
                      <a:off x="0" y="0"/>
                      <a:ext cx="3402330" cy="1915795"/>
                    </a:xfrm>
                    <a:prstGeom prst="rect">
                      <a:avLst/>
                    </a:prstGeom>
                    <a:noFill/>
                    <a:ln>
                      <a:noFill/>
                    </a:ln>
                  </pic:spPr>
                </pic:pic>
              </a:graphicData>
            </a:graphic>
            <wp14:sizeRelH relativeFrom="page">
              <wp14:pctWidth>0</wp14:pctWidth>
            </wp14:sizeRelH>
            <wp14:sizeRelV relativeFrom="page">
              <wp14:pctHeight>0</wp14:pctHeight>
            </wp14:sizeRelV>
          </wp:anchor>
        </w:drawing>
      </w:r>
      <w:r w:rsidR="007263EC" w:rsidRPr="007D3468">
        <w:rPr>
          <w:highlight w:val="yellow"/>
          <w:shd w:val="clear" w:color="auto" w:fill="FFFFFF"/>
          <w:lang w:eastAsia="fr-CA"/>
        </w:rPr>
        <w:t>Maltraitance</w:t>
      </w:r>
      <w:r w:rsidR="00231A22">
        <w:rPr>
          <w:highlight w:val="yellow"/>
          <w:shd w:val="clear" w:color="auto" w:fill="FFFFFF"/>
          <w:lang w:eastAsia="fr-CA"/>
        </w:rPr>
        <w:t xml:space="preserve"> (</w:t>
      </w:r>
      <w:r w:rsidR="00231A22">
        <w:rPr>
          <w:rFonts w:cs="Times New Roman"/>
          <w:highlight w:val="yellow"/>
          <w:shd w:val="clear" w:color="auto" w:fill="FFFFFF"/>
          <w:lang w:eastAsia="fr-CA"/>
        </w:rPr>
        <w:t>~</w:t>
      </w:r>
      <w:r w:rsidR="00231A22">
        <w:rPr>
          <w:highlight w:val="yellow"/>
          <w:shd w:val="clear" w:color="auto" w:fill="FFFFFF"/>
          <w:lang w:eastAsia="fr-CA"/>
        </w:rPr>
        <w:t>2%)</w:t>
      </w:r>
    </w:p>
    <w:p w:rsidR="00520958" w:rsidRPr="007D3468" w:rsidRDefault="00520958" w:rsidP="005D429F">
      <w:pPr>
        <w:pStyle w:val="Sansinterligne"/>
        <w:numPr>
          <w:ilvl w:val="0"/>
          <w:numId w:val="919"/>
        </w:numPr>
        <w:rPr>
          <w:u w:val="single"/>
          <w:shd w:val="clear" w:color="auto" w:fill="FFFFFF"/>
          <w:lang w:eastAsia="fr-CA"/>
        </w:rPr>
      </w:pPr>
      <w:r w:rsidRPr="007D3468">
        <w:rPr>
          <w:u w:val="single"/>
          <w:shd w:val="clear" w:color="auto" w:fill="FFFFFF"/>
          <w:lang w:eastAsia="fr-CA"/>
        </w:rPr>
        <w:t>Moins fréquent</w:t>
      </w:r>
      <w:r w:rsidR="007D3468" w:rsidRPr="007D3468">
        <w:rPr>
          <w:u w:val="single"/>
          <w:shd w:val="clear" w:color="auto" w:fill="FFFFFF"/>
          <w:lang w:eastAsia="fr-CA"/>
        </w:rPr>
        <w:t>e</w:t>
      </w:r>
      <w:r w:rsidRPr="007D3468">
        <w:rPr>
          <w:u w:val="single"/>
          <w:shd w:val="clear" w:color="auto" w:fill="FFFFFF"/>
          <w:lang w:eastAsia="fr-CA"/>
        </w:rPr>
        <w:t>s</w:t>
      </w:r>
    </w:p>
    <w:p w:rsidR="007263EC" w:rsidRPr="007D3468" w:rsidRDefault="007263EC" w:rsidP="005D429F">
      <w:pPr>
        <w:pStyle w:val="Sansinterligne"/>
        <w:numPr>
          <w:ilvl w:val="1"/>
          <w:numId w:val="919"/>
        </w:numPr>
        <w:rPr>
          <w:highlight w:val="yellow"/>
          <w:shd w:val="clear" w:color="auto" w:fill="FFFFFF"/>
          <w:lang w:eastAsia="fr-CA"/>
        </w:rPr>
      </w:pPr>
      <w:r w:rsidRPr="007D3468">
        <w:rPr>
          <w:highlight w:val="yellow"/>
          <w:shd w:val="clear" w:color="auto" w:fill="FFFFFF"/>
          <w:lang w:eastAsia="fr-CA"/>
        </w:rPr>
        <w:t>Cardiopathie</w:t>
      </w:r>
    </w:p>
    <w:p w:rsidR="007263EC" w:rsidRDefault="007263EC" w:rsidP="005D429F">
      <w:pPr>
        <w:pStyle w:val="Sansinterligne"/>
        <w:numPr>
          <w:ilvl w:val="1"/>
          <w:numId w:val="919"/>
        </w:numPr>
        <w:rPr>
          <w:shd w:val="clear" w:color="auto" w:fill="FFFFFF"/>
          <w:lang w:eastAsia="fr-CA"/>
        </w:rPr>
      </w:pPr>
      <w:r>
        <w:rPr>
          <w:shd w:val="clear" w:color="auto" w:fill="FFFFFF"/>
          <w:lang w:eastAsia="fr-CA"/>
        </w:rPr>
        <w:t>Étouffement</w:t>
      </w:r>
    </w:p>
    <w:p w:rsidR="007263EC" w:rsidRDefault="007263EC" w:rsidP="005D429F">
      <w:pPr>
        <w:pStyle w:val="Sansinterligne"/>
        <w:numPr>
          <w:ilvl w:val="1"/>
          <w:numId w:val="919"/>
        </w:numPr>
        <w:rPr>
          <w:shd w:val="clear" w:color="auto" w:fill="FFFFFF"/>
          <w:lang w:eastAsia="fr-CA"/>
        </w:rPr>
      </w:pPr>
      <w:r>
        <w:rPr>
          <w:shd w:val="clear" w:color="auto" w:fill="FFFFFF"/>
          <w:lang w:eastAsia="fr-CA"/>
        </w:rPr>
        <w:t>Maladies métaboliques</w:t>
      </w:r>
    </w:p>
    <w:p w:rsidR="00520958" w:rsidRDefault="00520958" w:rsidP="005D429F">
      <w:pPr>
        <w:pStyle w:val="Sansinterligne"/>
        <w:numPr>
          <w:ilvl w:val="1"/>
          <w:numId w:val="919"/>
        </w:numPr>
        <w:rPr>
          <w:shd w:val="clear" w:color="auto" w:fill="FFFFFF"/>
          <w:lang w:eastAsia="fr-CA"/>
        </w:rPr>
      </w:pPr>
      <w:r>
        <w:rPr>
          <w:shd w:val="clear" w:color="auto" w:fill="FFFFFF"/>
          <w:lang w:eastAsia="fr-CA"/>
        </w:rPr>
        <w:t>Empoisonnement</w:t>
      </w:r>
    </w:p>
    <w:p w:rsidR="007263EC" w:rsidRDefault="007263EC" w:rsidP="005D429F">
      <w:pPr>
        <w:pStyle w:val="Sansinterligne"/>
        <w:numPr>
          <w:ilvl w:val="1"/>
          <w:numId w:val="919"/>
        </w:numPr>
        <w:rPr>
          <w:shd w:val="clear" w:color="auto" w:fill="FFFFFF"/>
          <w:lang w:eastAsia="fr-CA"/>
        </w:rPr>
      </w:pPr>
      <w:r>
        <w:rPr>
          <w:shd w:val="clear" w:color="auto" w:fill="FFFFFF"/>
          <w:lang w:eastAsia="fr-CA"/>
        </w:rPr>
        <w:t>Anaphylaxie</w:t>
      </w:r>
    </w:p>
    <w:p w:rsidR="007263EC" w:rsidRDefault="007263EC" w:rsidP="005D429F">
      <w:pPr>
        <w:pStyle w:val="Sansinterligne"/>
        <w:numPr>
          <w:ilvl w:val="1"/>
          <w:numId w:val="919"/>
        </w:numPr>
        <w:rPr>
          <w:highlight w:val="yellow"/>
          <w:shd w:val="clear" w:color="auto" w:fill="FFFFFF"/>
          <w:lang w:eastAsia="fr-CA"/>
        </w:rPr>
      </w:pPr>
      <w:r w:rsidRPr="007D3468">
        <w:rPr>
          <w:highlight w:val="yellow"/>
          <w:shd w:val="clear" w:color="auto" w:fill="FFFFFF"/>
          <w:lang w:eastAsia="fr-CA"/>
        </w:rPr>
        <w:t>Sepsis</w:t>
      </w:r>
    </w:p>
    <w:p w:rsidR="00E06872" w:rsidRPr="007D3468" w:rsidRDefault="00E06872" w:rsidP="005D429F">
      <w:pPr>
        <w:pStyle w:val="Sansinterligne"/>
        <w:numPr>
          <w:ilvl w:val="1"/>
          <w:numId w:val="919"/>
        </w:numPr>
        <w:rPr>
          <w:highlight w:val="yellow"/>
          <w:shd w:val="clear" w:color="auto" w:fill="FFFFFF"/>
          <w:lang w:eastAsia="fr-CA"/>
        </w:rPr>
      </w:pPr>
      <w:r>
        <w:rPr>
          <w:highlight w:val="yellow"/>
          <w:shd w:val="clear" w:color="auto" w:fill="FFFFFF"/>
          <w:lang w:eastAsia="fr-CA"/>
        </w:rPr>
        <w:t>Spasme du sanglot</w:t>
      </w:r>
    </w:p>
    <w:p w:rsidR="00C730F5" w:rsidRPr="00BE759C" w:rsidRDefault="00C730F5" w:rsidP="00C63AB1">
      <w:pPr>
        <w:pStyle w:val="Sansinterligne"/>
        <w:rPr>
          <w:shd w:val="clear" w:color="auto" w:fill="FFFFFF"/>
          <w:lang w:eastAsia="fr-CA"/>
        </w:rPr>
      </w:pPr>
    </w:p>
    <w:p w:rsidR="00C63AB1" w:rsidRDefault="00C63AB1" w:rsidP="00C63AB1">
      <w:pPr>
        <w:pStyle w:val="Sansinterligne"/>
        <w:rPr>
          <w:b/>
          <w:sz w:val="28"/>
          <w:szCs w:val="28"/>
          <w:shd w:val="clear" w:color="auto" w:fill="FFFFFF"/>
          <w:lang w:eastAsia="fr-CA"/>
        </w:rPr>
      </w:pPr>
      <w:r w:rsidRPr="007D3468">
        <w:rPr>
          <w:b/>
          <w:sz w:val="28"/>
          <w:szCs w:val="28"/>
          <w:shd w:val="clear" w:color="auto" w:fill="FFFFFF"/>
          <w:lang w:eastAsia="fr-CA"/>
        </w:rPr>
        <w:t>Manifestations cliniques</w:t>
      </w:r>
    </w:p>
    <w:p w:rsidR="007D3468" w:rsidRDefault="007D3468" w:rsidP="00C63AB1">
      <w:pPr>
        <w:pStyle w:val="Sansinterligne"/>
        <w:rPr>
          <w:b/>
          <w:sz w:val="28"/>
          <w:szCs w:val="28"/>
          <w:shd w:val="clear" w:color="auto" w:fill="FFFFFF"/>
          <w:lang w:eastAsia="fr-CA"/>
        </w:rPr>
      </w:pPr>
    </w:p>
    <w:tbl>
      <w:tblPr>
        <w:tblStyle w:val="Grilledutableau"/>
        <w:tblW w:w="0" w:type="auto"/>
        <w:tblLook w:val="04A0" w:firstRow="1" w:lastRow="0" w:firstColumn="1" w:lastColumn="0" w:noHBand="0" w:noVBand="1"/>
      </w:tblPr>
      <w:tblGrid>
        <w:gridCol w:w="10940"/>
      </w:tblGrid>
      <w:tr w:rsidR="007D3468" w:rsidTr="007D3468">
        <w:tc>
          <w:tcPr>
            <w:tcW w:w="10940" w:type="dxa"/>
            <w:shd w:val="clear" w:color="auto" w:fill="FFFF00"/>
          </w:tcPr>
          <w:p w:rsidR="007D3468" w:rsidRPr="007D3468" w:rsidRDefault="007D3468" w:rsidP="005D429F">
            <w:pPr>
              <w:pStyle w:val="Sansinterligne"/>
              <w:numPr>
                <w:ilvl w:val="0"/>
                <w:numId w:val="920"/>
              </w:numPr>
            </w:pPr>
            <w:r w:rsidRPr="007D3468">
              <w:t>Épisode aigu, bref (&lt; 1 min) et résolu (terminé lors de la consultation auprès du médecin)</w:t>
            </w:r>
          </w:p>
          <w:p w:rsidR="007D3468" w:rsidRPr="007D3468" w:rsidRDefault="007D3468" w:rsidP="005D429F">
            <w:pPr>
              <w:pStyle w:val="Sansinterligne"/>
              <w:numPr>
                <w:ilvl w:val="0"/>
                <w:numId w:val="920"/>
              </w:numPr>
            </w:pPr>
            <w:r w:rsidRPr="007D3468">
              <w:t>≥ 1 symptôme de :</w:t>
            </w:r>
          </w:p>
          <w:p w:rsidR="007D3468" w:rsidRPr="007D3468" w:rsidRDefault="007D3468" w:rsidP="005D429F">
            <w:pPr>
              <w:pStyle w:val="Sansinterligne"/>
              <w:numPr>
                <w:ilvl w:val="1"/>
                <w:numId w:val="920"/>
              </w:numPr>
            </w:pPr>
            <w:r w:rsidRPr="007D3468">
              <w:t>Cyanose ou pâleur</w:t>
            </w:r>
          </w:p>
          <w:p w:rsidR="007D3468" w:rsidRPr="007D3468" w:rsidRDefault="007D3468" w:rsidP="005D429F">
            <w:pPr>
              <w:pStyle w:val="Sansinterligne"/>
              <w:numPr>
                <w:ilvl w:val="1"/>
                <w:numId w:val="920"/>
              </w:numPr>
            </w:pPr>
            <w:r w:rsidRPr="007D3468">
              <w:t>Respiration irrégulière, diminuée ou absente</w:t>
            </w:r>
          </w:p>
          <w:p w:rsidR="007D3468" w:rsidRPr="007D3468" w:rsidRDefault="007D3468" w:rsidP="005D429F">
            <w:pPr>
              <w:pStyle w:val="Sansinterligne"/>
              <w:numPr>
                <w:ilvl w:val="1"/>
                <w:numId w:val="920"/>
              </w:numPr>
            </w:pPr>
            <w:r w:rsidRPr="007D3468">
              <w:t>Hypotonie ou hypertonie</w:t>
            </w:r>
          </w:p>
          <w:p w:rsidR="007D3468" w:rsidRPr="007D3468" w:rsidRDefault="007D3468" w:rsidP="005D429F">
            <w:pPr>
              <w:pStyle w:val="Sansinterligne"/>
              <w:numPr>
                <w:ilvl w:val="1"/>
                <w:numId w:val="920"/>
              </w:numPr>
              <w:rPr>
                <w:shd w:val="clear" w:color="auto" w:fill="FFFFFF"/>
                <w:lang w:eastAsia="fr-CA"/>
              </w:rPr>
            </w:pPr>
            <w:r w:rsidRPr="007D3468">
              <w:t>Altération de l’état de conscience</w:t>
            </w:r>
          </w:p>
        </w:tc>
      </w:tr>
    </w:tbl>
    <w:p w:rsidR="004317B4" w:rsidRPr="00ED3341" w:rsidRDefault="00174251" w:rsidP="00ED3341">
      <w:pPr>
        <w:pStyle w:val="Sansinterligne"/>
        <w:jc w:val="center"/>
        <w:rPr>
          <w:u w:val="single"/>
          <w:shd w:val="clear" w:color="auto" w:fill="FFFFFF"/>
          <w:lang w:eastAsia="fr-CA"/>
        </w:rPr>
      </w:pPr>
      <w:r w:rsidRPr="004317B4">
        <w:rPr>
          <w:u w:val="single"/>
          <w:shd w:val="clear" w:color="auto" w:fill="FFFFFF"/>
          <w:lang w:eastAsia="fr-CA"/>
        </w:rPr>
        <w:t>À rechercher p</w:t>
      </w:r>
      <w:r w:rsidR="00ED3341">
        <w:rPr>
          <w:u w:val="single"/>
          <w:shd w:val="clear" w:color="auto" w:fill="FFFFFF"/>
          <w:lang w:eastAsia="fr-CA"/>
        </w:rPr>
        <w:t>our mettre en évidence la cause</w:t>
      </w:r>
    </w:p>
    <w:p w:rsidR="004317B4" w:rsidRPr="004317B4" w:rsidRDefault="004317B4" w:rsidP="005D429F">
      <w:pPr>
        <w:pStyle w:val="Sansinterligne"/>
        <w:numPr>
          <w:ilvl w:val="0"/>
          <w:numId w:val="921"/>
        </w:numPr>
        <w:rPr>
          <w:b/>
          <w:shd w:val="clear" w:color="auto" w:fill="FFFFFF"/>
          <w:lang w:eastAsia="fr-CA"/>
        </w:rPr>
      </w:pPr>
      <w:r w:rsidRPr="004317B4">
        <w:rPr>
          <w:b/>
          <w:shd w:val="clear" w:color="auto" w:fill="FFFFFF"/>
          <w:lang w:eastAsia="fr-CA"/>
        </w:rPr>
        <w:t>Histoire médicale de l’enfant</w:t>
      </w:r>
    </w:p>
    <w:p w:rsidR="00174251" w:rsidRPr="004317B4" w:rsidRDefault="00174251" w:rsidP="005D429F">
      <w:pPr>
        <w:pStyle w:val="Sansinterligne"/>
        <w:numPr>
          <w:ilvl w:val="1"/>
          <w:numId w:val="921"/>
        </w:numPr>
        <w:rPr>
          <w:shd w:val="clear" w:color="auto" w:fill="FFFFFF"/>
          <w:lang w:eastAsia="fr-CA"/>
        </w:rPr>
      </w:pPr>
      <w:r w:rsidRPr="004317B4">
        <w:rPr>
          <w:shd w:val="clear" w:color="auto" w:fill="FFFFFF"/>
          <w:lang w:eastAsia="fr-CA"/>
        </w:rPr>
        <w:t>ATCD familiaux d’ALTE ou de SMSN</w:t>
      </w:r>
    </w:p>
    <w:p w:rsidR="00174251" w:rsidRPr="004317B4" w:rsidRDefault="00174251" w:rsidP="005D429F">
      <w:pPr>
        <w:pStyle w:val="Sansinterligne"/>
        <w:numPr>
          <w:ilvl w:val="1"/>
          <w:numId w:val="921"/>
        </w:numPr>
        <w:rPr>
          <w:shd w:val="clear" w:color="auto" w:fill="FFFFFF"/>
          <w:lang w:eastAsia="fr-CA"/>
        </w:rPr>
      </w:pPr>
      <w:r w:rsidRPr="004317B4">
        <w:rPr>
          <w:shd w:val="clear" w:color="auto" w:fill="FFFFFF"/>
          <w:lang w:eastAsia="fr-CA"/>
        </w:rPr>
        <w:t xml:space="preserve">ATCD personnel (enfant) </w:t>
      </w:r>
      <w:r w:rsidR="004317B4" w:rsidRPr="004317B4">
        <w:rPr>
          <w:shd w:val="clear" w:color="auto" w:fill="FFFFFF"/>
          <w:lang w:eastAsia="fr-CA"/>
        </w:rPr>
        <w:t>d’épisode similaire ou autre ATCD</w:t>
      </w:r>
    </w:p>
    <w:p w:rsidR="00520958" w:rsidRDefault="00520958" w:rsidP="005D429F">
      <w:pPr>
        <w:pStyle w:val="Sansinterligne"/>
        <w:numPr>
          <w:ilvl w:val="1"/>
          <w:numId w:val="921"/>
        </w:numPr>
        <w:rPr>
          <w:shd w:val="clear" w:color="auto" w:fill="FFFFFF"/>
          <w:lang w:eastAsia="fr-CA"/>
        </w:rPr>
      </w:pPr>
      <w:r w:rsidRPr="004317B4">
        <w:rPr>
          <w:shd w:val="clear" w:color="auto" w:fill="FFFFFF"/>
          <w:lang w:eastAsia="fr-CA"/>
        </w:rPr>
        <w:t>ATCD obstétricaux et néonataux (prématurité, etc.)</w:t>
      </w:r>
    </w:p>
    <w:p w:rsidR="004317B4" w:rsidRPr="004317B4" w:rsidRDefault="004317B4" w:rsidP="005D429F">
      <w:pPr>
        <w:pStyle w:val="Sansinterligne"/>
        <w:numPr>
          <w:ilvl w:val="1"/>
          <w:numId w:val="921"/>
        </w:numPr>
        <w:rPr>
          <w:shd w:val="clear" w:color="auto" w:fill="FFFFFF"/>
          <w:lang w:eastAsia="fr-CA"/>
        </w:rPr>
      </w:pPr>
      <w:r>
        <w:rPr>
          <w:shd w:val="clear" w:color="auto" w:fill="FFFFFF"/>
          <w:lang w:eastAsia="fr-CA"/>
        </w:rPr>
        <w:t>Prise d’alcool, de drogues ou difficulté familiale ? Hx de maltraitance ?</w:t>
      </w:r>
    </w:p>
    <w:p w:rsidR="00520958" w:rsidRPr="004317B4" w:rsidRDefault="00520958" w:rsidP="005D429F">
      <w:pPr>
        <w:pStyle w:val="Sansinterligne"/>
        <w:numPr>
          <w:ilvl w:val="1"/>
          <w:numId w:val="921"/>
        </w:numPr>
        <w:rPr>
          <w:shd w:val="clear" w:color="auto" w:fill="FFFFFF"/>
          <w:lang w:eastAsia="fr-CA"/>
        </w:rPr>
      </w:pPr>
      <w:r w:rsidRPr="004317B4">
        <w:rPr>
          <w:shd w:val="clear" w:color="auto" w:fill="FFFFFF"/>
          <w:lang w:eastAsia="fr-CA"/>
        </w:rPr>
        <w:t>Prise de médication ou produit naturel</w:t>
      </w:r>
    </w:p>
    <w:p w:rsidR="00520958" w:rsidRDefault="00520958" w:rsidP="005D429F">
      <w:pPr>
        <w:pStyle w:val="Sansinterligne"/>
        <w:numPr>
          <w:ilvl w:val="1"/>
          <w:numId w:val="921"/>
        </w:numPr>
        <w:rPr>
          <w:shd w:val="clear" w:color="auto" w:fill="FFFFFF"/>
          <w:lang w:eastAsia="fr-CA"/>
        </w:rPr>
      </w:pPr>
      <w:r w:rsidRPr="004317B4">
        <w:rPr>
          <w:shd w:val="clear" w:color="auto" w:fill="FFFFFF"/>
          <w:lang w:eastAsia="fr-CA"/>
        </w:rPr>
        <w:t>Symptomatologie récente ? (fièvre, difficulté à s’alimenter, Sx respiratoires ?)</w:t>
      </w:r>
    </w:p>
    <w:p w:rsidR="00E06872" w:rsidRPr="004317B4" w:rsidRDefault="00E06872" w:rsidP="00E06872">
      <w:pPr>
        <w:pStyle w:val="Sansinterligne"/>
        <w:ind w:left="1080"/>
        <w:rPr>
          <w:shd w:val="clear" w:color="auto" w:fill="FFFFFF"/>
          <w:lang w:eastAsia="fr-CA"/>
        </w:rPr>
      </w:pPr>
    </w:p>
    <w:p w:rsidR="00520958" w:rsidRDefault="00520958" w:rsidP="005D429F">
      <w:pPr>
        <w:pStyle w:val="Sansinterligne"/>
        <w:numPr>
          <w:ilvl w:val="0"/>
          <w:numId w:val="921"/>
        </w:numPr>
        <w:rPr>
          <w:shd w:val="clear" w:color="auto" w:fill="FFFFFF"/>
          <w:lang w:eastAsia="fr-CA"/>
        </w:rPr>
      </w:pPr>
      <w:r w:rsidRPr="004317B4">
        <w:rPr>
          <w:b/>
          <w:shd w:val="clear" w:color="auto" w:fill="FFFFFF"/>
          <w:lang w:eastAsia="fr-CA"/>
        </w:rPr>
        <w:t>L’épisode comme tel</w:t>
      </w:r>
      <w:r>
        <w:rPr>
          <w:shd w:val="clear" w:color="auto" w:fill="FFFFFF"/>
          <w:lang w:eastAsia="fr-CA"/>
        </w:rPr>
        <w:t> :</w:t>
      </w:r>
    </w:p>
    <w:p w:rsidR="00174251" w:rsidRPr="004317B4" w:rsidRDefault="00174251" w:rsidP="005D429F">
      <w:pPr>
        <w:pStyle w:val="Sansinterligne"/>
        <w:numPr>
          <w:ilvl w:val="1"/>
          <w:numId w:val="921"/>
        </w:numPr>
        <w:rPr>
          <w:highlight w:val="yellow"/>
          <w:shd w:val="clear" w:color="auto" w:fill="FFFFFF"/>
          <w:lang w:eastAsia="fr-CA"/>
        </w:rPr>
      </w:pPr>
      <w:r w:rsidRPr="004317B4">
        <w:rPr>
          <w:highlight w:val="yellow"/>
          <w:shd w:val="clear" w:color="auto" w:fill="FFFFFF"/>
          <w:lang w:eastAsia="fr-CA"/>
        </w:rPr>
        <w:t>Était-il éveillé ou endormi ?</w:t>
      </w:r>
      <w:r w:rsidR="00520958" w:rsidRPr="004317B4">
        <w:rPr>
          <w:highlight w:val="yellow"/>
          <w:shd w:val="clear" w:color="auto" w:fill="FFFFFF"/>
          <w:lang w:eastAsia="fr-CA"/>
        </w:rPr>
        <w:t xml:space="preserve"> </w:t>
      </w:r>
      <w:r w:rsidR="004317B4" w:rsidRPr="004317B4">
        <w:rPr>
          <w:highlight w:val="yellow"/>
          <w:shd w:val="clear" w:color="auto" w:fill="FFFFFF"/>
          <w:lang w:eastAsia="fr-CA"/>
        </w:rPr>
        <w:t>(RGO + fréquent en décubitus dorsal)</w:t>
      </w:r>
    </w:p>
    <w:p w:rsidR="00174251" w:rsidRPr="004317B4" w:rsidRDefault="00174251" w:rsidP="005D429F">
      <w:pPr>
        <w:pStyle w:val="Sansinterligne"/>
        <w:numPr>
          <w:ilvl w:val="1"/>
          <w:numId w:val="921"/>
        </w:numPr>
        <w:rPr>
          <w:highlight w:val="yellow"/>
          <w:shd w:val="clear" w:color="auto" w:fill="FFFFFF"/>
          <w:lang w:eastAsia="fr-CA"/>
        </w:rPr>
      </w:pPr>
      <w:r w:rsidRPr="004317B4">
        <w:rPr>
          <w:highlight w:val="yellow"/>
          <w:shd w:val="clear" w:color="auto" w:fill="FFFFFF"/>
          <w:lang w:eastAsia="fr-CA"/>
        </w:rPr>
        <w:t>Coloration (cyanose centrale, distale ou pâleur)</w:t>
      </w:r>
    </w:p>
    <w:p w:rsidR="00174251" w:rsidRPr="004317B4" w:rsidRDefault="00174251" w:rsidP="005D429F">
      <w:pPr>
        <w:pStyle w:val="Sansinterligne"/>
        <w:numPr>
          <w:ilvl w:val="1"/>
          <w:numId w:val="921"/>
        </w:numPr>
        <w:rPr>
          <w:highlight w:val="yellow"/>
          <w:shd w:val="clear" w:color="auto" w:fill="FFFFFF"/>
          <w:lang w:eastAsia="fr-CA"/>
        </w:rPr>
      </w:pPr>
      <w:r w:rsidRPr="004317B4">
        <w:rPr>
          <w:highlight w:val="yellow"/>
          <w:shd w:val="clear" w:color="auto" w:fill="FFFFFF"/>
          <w:lang w:eastAsia="fr-CA"/>
        </w:rPr>
        <w:t>Histoire de régurgitation précédent immédiatement l’évènement</w:t>
      </w:r>
      <w:r w:rsidR="004317B4" w:rsidRPr="004317B4">
        <w:rPr>
          <w:highlight w:val="yellow"/>
          <w:shd w:val="clear" w:color="auto" w:fill="FFFFFF"/>
          <w:lang w:eastAsia="fr-CA"/>
        </w:rPr>
        <w:t xml:space="preserve"> (laryngospasme sur RGO)</w:t>
      </w:r>
    </w:p>
    <w:p w:rsidR="00174251" w:rsidRPr="004317B4" w:rsidRDefault="00174251" w:rsidP="005D429F">
      <w:pPr>
        <w:pStyle w:val="Sansinterligne"/>
        <w:numPr>
          <w:ilvl w:val="1"/>
          <w:numId w:val="921"/>
        </w:numPr>
        <w:rPr>
          <w:highlight w:val="yellow"/>
          <w:shd w:val="clear" w:color="auto" w:fill="FFFFFF"/>
          <w:lang w:eastAsia="fr-CA"/>
        </w:rPr>
      </w:pPr>
      <w:r w:rsidRPr="004317B4">
        <w:rPr>
          <w:highlight w:val="yellow"/>
          <w:shd w:val="clear" w:color="auto" w:fill="FFFFFF"/>
          <w:lang w:eastAsia="fr-CA"/>
        </w:rPr>
        <w:t xml:space="preserve">Efforts respiratoires </w:t>
      </w:r>
      <w:r w:rsidR="00E02FD4">
        <w:rPr>
          <w:highlight w:val="yellow"/>
          <w:shd w:val="clear" w:color="auto" w:fill="FFFFFF"/>
          <w:lang w:eastAsia="fr-CA"/>
        </w:rPr>
        <w:t>ou non</w:t>
      </w:r>
      <w:r w:rsidRPr="004317B4">
        <w:rPr>
          <w:highlight w:val="yellow"/>
          <w:shd w:val="clear" w:color="auto" w:fill="FFFFFF"/>
          <w:lang w:eastAsia="fr-CA"/>
        </w:rPr>
        <w:t xml:space="preserve"> (ex : tirage</w:t>
      </w:r>
      <w:r w:rsidR="00E02FD4">
        <w:rPr>
          <w:highlight w:val="yellow"/>
          <w:shd w:val="clear" w:color="auto" w:fill="FFFFFF"/>
          <w:lang w:eastAsia="fr-CA"/>
        </w:rPr>
        <w:t>/étouffement vs apnée centrale</w:t>
      </w:r>
      <w:r w:rsidRPr="004317B4">
        <w:rPr>
          <w:highlight w:val="yellow"/>
          <w:shd w:val="clear" w:color="auto" w:fill="FFFFFF"/>
          <w:lang w:eastAsia="fr-CA"/>
        </w:rPr>
        <w:t>)</w:t>
      </w:r>
    </w:p>
    <w:p w:rsidR="00174251" w:rsidRPr="004317B4" w:rsidRDefault="00174251" w:rsidP="005D429F">
      <w:pPr>
        <w:pStyle w:val="Sansinterligne"/>
        <w:numPr>
          <w:ilvl w:val="1"/>
          <w:numId w:val="921"/>
        </w:numPr>
        <w:rPr>
          <w:highlight w:val="yellow"/>
          <w:shd w:val="clear" w:color="auto" w:fill="FFFFFF"/>
          <w:lang w:eastAsia="fr-CA"/>
        </w:rPr>
      </w:pPr>
      <w:r w:rsidRPr="004317B4">
        <w:rPr>
          <w:highlight w:val="yellow"/>
          <w:shd w:val="clear" w:color="auto" w:fill="FFFFFF"/>
          <w:lang w:eastAsia="fr-CA"/>
        </w:rPr>
        <w:t xml:space="preserve">Perte de tonus </w:t>
      </w:r>
      <w:r w:rsidR="00520958" w:rsidRPr="004317B4">
        <w:rPr>
          <w:highlight w:val="yellow"/>
          <w:shd w:val="clear" w:color="auto" w:fill="FFFFFF"/>
          <w:lang w:eastAsia="fr-CA"/>
        </w:rPr>
        <w:t>ou hypertonie</w:t>
      </w:r>
      <w:r w:rsidR="004317B4" w:rsidRPr="004317B4">
        <w:rPr>
          <w:highlight w:val="yellow"/>
          <w:shd w:val="clear" w:color="auto" w:fill="FFFFFF"/>
          <w:lang w:eastAsia="fr-CA"/>
        </w:rPr>
        <w:t xml:space="preserve"> (convulsions, atteinte cérébrale)</w:t>
      </w:r>
    </w:p>
    <w:p w:rsidR="00520958" w:rsidRPr="004317B4" w:rsidRDefault="00520958" w:rsidP="005D429F">
      <w:pPr>
        <w:pStyle w:val="Sansinterligne"/>
        <w:numPr>
          <w:ilvl w:val="1"/>
          <w:numId w:val="921"/>
        </w:numPr>
        <w:rPr>
          <w:highlight w:val="yellow"/>
          <w:shd w:val="clear" w:color="auto" w:fill="FFFFFF"/>
          <w:lang w:eastAsia="fr-CA"/>
        </w:rPr>
      </w:pPr>
      <w:r w:rsidRPr="004317B4">
        <w:rPr>
          <w:highlight w:val="yellow"/>
          <w:shd w:val="clear" w:color="auto" w:fill="FFFFFF"/>
          <w:lang w:eastAsia="fr-CA"/>
        </w:rPr>
        <w:t>Yeux (fermés, ouverts, regard fixe, yeux roulants dans leurs orbites)</w:t>
      </w:r>
    </w:p>
    <w:p w:rsidR="00520958" w:rsidRPr="004317B4" w:rsidRDefault="00520958" w:rsidP="005D429F">
      <w:pPr>
        <w:pStyle w:val="Sansinterligne"/>
        <w:numPr>
          <w:ilvl w:val="1"/>
          <w:numId w:val="921"/>
        </w:numPr>
        <w:rPr>
          <w:highlight w:val="yellow"/>
          <w:shd w:val="clear" w:color="auto" w:fill="FFFFFF"/>
          <w:lang w:eastAsia="fr-CA"/>
        </w:rPr>
      </w:pPr>
      <w:r w:rsidRPr="004317B4">
        <w:rPr>
          <w:highlight w:val="yellow"/>
          <w:shd w:val="clear" w:color="auto" w:fill="FFFFFF"/>
          <w:lang w:eastAsia="fr-CA"/>
        </w:rPr>
        <w:t>Sons ? (stridor, gasping, étouffement, toux)</w:t>
      </w:r>
    </w:p>
    <w:p w:rsidR="00520958" w:rsidRDefault="00520958" w:rsidP="005D429F">
      <w:pPr>
        <w:pStyle w:val="Sansinterligne"/>
        <w:numPr>
          <w:ilvl w:val="1"/>
          <w:numId w:val="921"/>
        </w:numPr>
        <w:rPr>
          <w:shd w:val="clear" w:color="auto" w:fill="FFFFFF"/>
          <w:lang w:eastAsia="fr-CA"/>
        </w:rPr>
      </w:pPr>
      <w:r w:rsidRPr="004317B4">
        <w:rPr>
          <w:highlight w:val="yellow"/>
          <w:shd w:val="clear" w:color="auto" w:fill="FFFFFF"/>
          <w:lang w:eastAsia="fr-CA"/>
        </w:rPr>
        <w:t>Vomissement ? (avant, pendant, après, sang, bile ?)</w:t>
      </w:r>
    </w:p>
    <w:p w:rsidR="00E06872" w:rsidRDefault="00E06872" w:rsidP="00E06872">
      <w:pPr>
        <w:pStyle w:val="Sansinterligne"/>
        <w:ind w:left="1080"/>
        <w:rPr>
          <w:shd w:val="clear" w:color="auto" w:fill="FFFFFF"/>
          <w:lang w:eastAsia="fr-CA"/>
        </w:rPr>
      </w:pPr>
    </w:p>
    <w:p w:rsidR="004317B4" w:rsidRPr="004317B4" w:rsidRDefault="004317B4" w:rsidP="005D429F">
      <w:pPr>
        <w:pStyle w:val="Sansinterligne"/>
        <w:numPr>
          <w:ilvl w:val="0"/>
          <w:numId w:val="921"/>
        </w:numPr>
        <w:rPr>
          <w:b/>
          <w:shd w:val="clear" w:color="auto" w:fill="FFFFFF"/>
          <w:lang w:eastAsia="fr-CA"/>
        </w:rPr>
      </w:pPr>
      <w:r w:rsidRPr="004317B4">
        <w:rPr>
          <w:b/>
          <w:shd w:val="clear" w:color="auto" w:fill="FFFFFF"/>
          <w:lang w:eastAsia="fr-CA"/>
        </w:rPr>
        <w:t>À l’examen physique</w:t>
      </w:r>
    </w:p>
    <w:p w:rsidR="004317B4" w:rsidRDefault="00520958" w:rsidP="005D429F">
      <w:pPr>
        <w:pStyle w:val="Sansinterligne"/>
        <w:numPr>
          <w:ilvl w:val="1"/>
          <w:numId w:val="921"/>
        </w:numPr>
        <w:rPr>
          <w:shd w:val="clear" w:color="auto" w:fill="FFFFFF"/>
          <w:lang w:eastAsia="fr-CA"/>
        </w:rPr>
      </w:pPr>
      <w:r w:rsidRPr="004317B4">
        <w:rPr>
          <w:shd w:val="clear" w:color="auto" w:fill="FFFFFF"/>
          <w:lang w:eastAsia="fr-CA"/>
        </w:rPr>
        <w:t>État de conscience / apparence toxique</w:t>
      </w:r>
    </w:p>
    <w:p w:rsidR="004317B4" w:rsidRDefault="00174251" w:rsidP="005D429F">
      <w:pPr>
        <w:pStyle w:val="Sansinterligne"/>
        <w:numPr>
          <w:ilvl w:val="1"/>
          <w:numId w:val="921"/>
        </w:numPr>
        <w:rPr>
          <w:shd w:val="clear" w:color="auto" w:fill="FFFFFF"/>
          <w:lang w:eastAsia="fr-CA"/>
        </w:rPr>
      </w:pPr>
      <w:r w:rsidRPr="004317B4">
        <w:rPr>
          <w:shd w:val="clear" w:color="auto" w:fill="FFFFFF"/>
          <w:lang w:eastAsia="fr-CA"/>
        </w:rPr>
        <w:t>Ecchymoses, saignements, trauma, histoire non-fiable, irritabilité (maltraitance)</w:t>
      </w:r>
    </w:p>
    <w:p w:rsidR="004317B4" w:rsidRDefault="00520958" w:rsidP="005D429F">
      <w:pPr>
        <w:pStyle w:val="Sansinterligne"/>
        <w:numPr>
          <w:ilvl w:val="1"/>
          <w:numId w:val="921"/>
        </w:numPr>
        <w:rPr>
          <w:shd w:val="clear" w:color="auto" w:fill="FFFFFF"/>
          <w:lang w:eastAsia="fr-CA"/>
        </w:rPr>
      </w:pPr>
      <w:r w:rsidRPr="004317B4">
        <w:rPr>
          <w:shd w:val="clear" w:color="auto" w:fill="FFFFFF"/>
          <w:lang w:eastAsia="fr-CA"/>
        </w:rPr>
        <w:t>Tirage</w:t>
      </w:r>
    </w:p>
    <w:p w:rsidR="00520958" w:rsidRDefault="00520958" w:rsidP="005D429F">
      <w:pPr>
        <w:pStyle w:val="Sansinterligne"/>
        <w:numPr>
          <w:ilvl w:val="1"/>
          <w:numId w:val="921"/>
        </w:numPr>
        <w:rPr>
          <w:shd w:val="clear" w:color="auto" w:fill="FFFFFF"/>
          <w:lang w:eastAsia="fr-CA"/>
        </w:rPr>
      </w:pPr>
      <w:r w:rsidRPr="004317B4">
        <w:rPr>
          <w:shd w:val="clear" w:color="auto" w:fill="FFFFFF"/>
          <w:lang w:eastAsia="fr-CA"/>
        </w:rPr>
        <w:t>Souffle cardiaque</w:t>
      </w:r>
    </w:p>
    <w:p w:rsidR="007B3240" w:rsidRPr="004317B4" w:rsidRDefault="007B3240" w:rsidP="005D429F">
      <w:pPr>
        <w:pStyle w:val="Sansinterligne"/>
        <w:numPr>
          <w:ilvl w:val="1"/>
          <w:numId w:val="921"/>
        </w:numPr>
        <w:rPr>
          <w:shd w:val="clear" w:color="auto" w:fill="FFFFFF"/>
          <w:lang w:eastAsia="fr-CA"/>
        </w:rPr>
      </w:pPr>
      <w:r>
        <w:rPr>
          <w:shd w:val="clear" w:color="auto" w:fill="FFFFFF"/>
          <w:lang w:eastAsia="fr-CA"/>
        </w:rPr>
        <w:t>Dysmorphies</w:t>
      </w:r>
    </w:p>
    <w:p w:rsidR="00520958" w:rsidRDefault="00520958" w:rsidP="00C63AB1">
      <w:pPr>
        <w:pStyle w:val="Sansinterligne"/>
        <w:rPr>
          <w:shd w:val="clear" w:color="auto" w:fill="FFFFFF"/>
          <w:lang w:eastAsia="fr-CA"/>
        </w:rPr>
      </w:pPr>
    </w:p>
    <w:p w:rsidR="00174251" w:rsidRPr="004317B4" w:rsidRDefault="00174251" w:rsidP="00122867">
      <w:pPr>
        <w:pStyle w:val="Sansinterligne"/>
        <w:rPr>
          <w:b/>
          <w:sz w:val="28"/>
          <w:szCs w:val="28"/>
          <w:shd w:val="clear" w:color="auto" w:fill="FFFFFF"/>
          <w:lang w:eastAsia="fr-CA"/>
        </w:rPr>
      </w:pPr>
      <w:r w:rsidRPr="004317B4">
        <w:rPr>
          <w:b/>
          <w:sz w:val="28"/>
          <w:szCs w:val="28"/>
          <w:shd w:val="clear" w:color="auto" w:fill="FFFFFF"/>
          <w:lang w:eastAsia="fr-CA"/>
        </w:rPr>
        <w:t>Investigation</w:t>
      </w:r>
    </w:p>
    <w:p w:rsidR="004317B4" w:rsidRDefault="004317B4" w:rsidP="00122867">
      <w:pPr>
        <w:pStyle w:val="Sansinterligne"/>
        <w:rPr>
          <w:shd w:val="clear" w:color="auto" w:fill="FFFFFF"/>
          <w:lang w:eastAsia="fr-CA"/>
        </w:rPr>
      </w:pPr>
    </w:p>
    <w:p w:rsidR="004317B4" w:rsidRDefault="004317B4" w:rsidP="00122867">
      <w:pPr>
        <w:pStyle w:val="Sansinterligne"/>
        <w:rPr>
          <w:shd w:val="clear" w:color="auto" w:fill="FFFFFF"/>
          <w:lang w:eastAsia="fr-CA"/>
        </w:rPr>
        <w:sectPr w:rsidR="004317B4" w:rsidSect="00217865">
          <w:type w:val="continuous"/>
          <w:pgSz w:w="12240" w:h="15840"/>
          <w:pgMar w:top="720" w:right="720" w:bottom="720" w:left="720" w:header="708" w:footer="708" w:gutter="0"/>
          <w:cols w:space="708"/>
          <w:docGrid w:linePitch="360"/>
        </w:sectPr>
      </w:pPr>
    </w:p>
    <w:p w:rsidR="00520958" w:rsidRPr="00CD2022" w:rsidRDefault="00520958" w:rsidP="005D429F">
      <w:pPr>
        <w:pStyle w:val="Sansinterligne"/>
        <w:numPr>
          <w:ilvl w:val="0"/>
          <w:numId w:val="922"/>
        </w:numPr>
        <w:rPr>
          <w:highlight w:val="yellow"/>
          <w:shd w:val="clear" w:color="auto" w:fill="FFFFFF"/>
          <w:lang w:eastAsia="fr-CA"/>
        </w:rPr>
      </w:pPr>
      <w:r w:rsidRPr="00CD2022">
        <w:rPr>
          <w:highlight w:val="yellow"/>
          <w:shd w:val="clear" w:color="auto" w:fill="FFFFFF"/>
          <w:lang w:eastAsia="fr-CA"/>
        </w:rPr>
        <w:t>FSC, Urée / créatinine</w:t>
      </w:r>
    </w:p>
    <w:p w:rsidR="00520958" w:rsidRPr="00CD2022" w:rsidRDefault="00520958" w:rsidP="005D429F">
      <w:pPr>
        <w:pStyle w:val="Sansinterligne"/>
        <w:numPr>
          <w:ilvl w:val="0"/>
          <w:numId w:val="922"/>
        </w:numPr>
        <w:rPr>
          <w:highlight w:val="yellow"/>
          <w:shd w:val="clear" w:color="auto" w:fill="FFFFFF"/>
          <w:lang w:eastAsia="fr-CA"/>
        </w:rPr>
      </w:pPr>
      <w:r w:rsidRPr="00CD2022">
        <w:rPr>
          <w:highlight w:val="yellow"/>
          <w:shd w:val="clear" w:color="auto" w:fill="FFFFFF"/>
          <w:lang w:eastAsia="fr-CA"/>
        </w:rPr>
        <w:t>Glycémie, Ions, Calcium, Magnésium</w:t>
      </w:r>
    </w:p>
    <w:p w:rsidR="00520958" w:rsidRDefault="00520958" w:rsidP="005D429F">
      <w:pPr>
        <w:pStyle w:val="Sansinterligne"/>
        <w:numPr>
          <w:ilvl w:val="0"/>
          <w:numId w:val="922"/>
        </w:numPr>
        <w:rPr>
          <w:shd w:val="clear" w:color="auto" w:fill="FFFFFF"/>
          <w:lang w:eastAsia="fr-CA"/>
        </w:rPr>
      </w:pPr>
      <w:r>
        <w:rPr>
          <w:shd w:val="clear" w:color="auto" w:fill="FFFFFF"/>
          <w:lang w:eastAsia="fr-CA"/>
        </w:rPr>
        <w:t>SMU-DCA</w:t>
      </w:r>
    </w:p>
    <w:p w:rsidR="00174251" w:rsidRPr="00CD2022" w:rsidRDefault="00174251" w:rsidP="005D429F">
      <w:pPr>
        <w:pStyle w:val="Sansinterligne"/>
        <w:numPr>
          <w:ilvl w:val="0"/>
          <w:numId w:val="922"/>
        </w:numPr>
        <w:rPr>
          <w:highlight w:val="yellow"/>
          <w:shd w:val="clear" w:color="auto" w:fill="FFFFFF"/>
          <w:lang w:eastAsia="fr-CA"/>
        </w:rPr>
      </w:pPr>
      <w:r w:rsidRPr="00CD2022">
        <w:rPr>
          <w:highlight w:val="yellow"/>
          <w:shd w:val="clear" w:color="auto" w:fill="FFFFFF"/>
          <w:lang w:eastAsia="fr-CA"/>
        </w:rPr>
        <w:t>Dépistage VRS</w:t>
      </w:r>
      <w:r w:rsidR="00231A22" w:rsidRPr="00CD2022">
        <w:rPr>
          <w:highlight w:val="yellow"/>
          <w:shd w:val="clear" w:color="auto" w:fill="FFFFFF"/>
          <w:lang w:eastAsia="fr-CA"/>
        </w:rPr>
        <w:t xml:space="preserve"> (PCR)</w:t>
      </w:r>
    </w:p>
    <w:p w:rsidR="00174251" w:rsidRPr="00CD2022" w:rsidRDefault="00174251" w:rsidP="005D429F">
      <w:pPr>
        <w:pStyle w:val="Sansinterligne"/>
        <w:numPr>
          <w:ilvl w:val="0"/>
          <w:numId w:val="922"/>
        </w:numPr>
        <w:rPr>
          <w:highlight w:val="yellow"/>
          <w:shd w:val="clear" w:color="auto" w:fill="FFFFFF"/>
          <w:lang w:eastAsia="fr-CA"/>
        </w:rPr>
      </w:pPr>
      <w:r w:rsidRPr="00CD2022">
        <w:rPr>
          <w:highlight w:val="yellow"/>
          <w:shd w:val="clear" w:color="auto" w:fill="FFFFFF"/>
          <w:lang w:eastAsia="fr-CA"/>
        </w:rPr>
        <w:t>Dépistage B</w:t>
      </w:r>
      <w:r w:rsidR="00231A22" w:rsidRPr="00CD2022">
        <w:rPr>
          <w:highlight w:val="yellow"/>
          <w:shd w:val="clear" w:color="auto" w:fill="FFFFFF"/>
          <w:lang w:eastAsia="fr-CA"/>
        </w:rPr>
        <w:t>.</w:t>
      </w:r>
      <w:r w:rsidRPr="00CD2022">
        <w:rPr>
          <w:highlight w:val="yellow"/>
          <w:shd w:val="clear" w:color="auto" w:fill="FFFFFF"/>
          <w:lang w:eastAsia="fr-CA"/>
        </w:rPr>
        <w:t xml:space="preserve"> Pertussis</w:t>
      </w:r>
      <w:r w:rsidR="00231A22" w:rsidRPr="00CD2022">
        <w:rPr>
          <w:highlight w:val="yellow"/>
          <w:shd w:val="clear" w:color="auto" w:fill="FFFFFF"/>
          <w:lang w:eastAsia="fr-CA"/>
        </w:rPr>
        <w:t xml:space="preserve"> (hémoculture, PCR)</w:t>
      </w:r>
    </w:p>
    <w:p w:rsidR="00520958" w:rsidRDefault="00520958" w:rsidP="005D429F">
      <w:pPr>
        <w:pStyle w:val="Sansinterligne"/>
        <w:numPr>
          <w:ilvl w:val="0"/>
          <w:numId w:val="922"/>
        </w:numPr>
        <w:rPr>
          <w:shd w:val="clear" w:color="auto" w:fill="FFFFFF"/>
          <w:lang w:eastAsia="fr-CA"/>
        </w:rPr>
      </w:pPr>
      <w:r w:rsidRPr="00CD2022">
        <w:rPr>
          <w:highlight w:val="yellow"/>
          <w:shd w:val="clear" w:color="auto" w:fill="FFFFFF"/>
          <w:lang w:eastAsia="fr-CA"/>
        </w:rPr>
        <w:t>ECG</w:t>
      </w:r>
      <w:r w:rsidR="00995A0B">
        <w:rPr>
          <w:shd w:val="clear" w:color="auto" w:fill="FFFFFF"/>
          <w:lang w:eastAsia="fr-CA"/>
        </w:rPr>
        <w:t xml:space="preserve"> (recherche de Wolf-Parkinson-White ou d’un QT allongé)</w:t>
      </w:r>
    </w:p>
    <w:p w:rsidR="004317B4" w:rsidRDefault="00174251" w:rsidP="005D429F">
      <w:pPr>
        <w:pStyle w:val="Sansinterligne"/>
        <w:numPr>
          <w:ilvl w:val="0"/>
          <w:numId w:val="922"/>
        </w:numPr>
        <w:rPr>
          <w:shd w:val="clear" w:color="auto" w:fill="FFFFFF"/>
          <w:lang w:eastAsia="fr-CA"/>
        </w:rPr>
      </w:pPr>
      <w:r>
        <w:rPr>
          <w:shd w:val="clear" w:color="auto" w:fill="FFFFFF"/>
          <w:lang w:eastAsia="fr-CA"/>
        </w:rPr>
        <w:t>R</w:t>
      </w:r>
      <w:r w:rsidR="004317B4">
        <w:rPr>
          <w:shd w:val="clear" w:color="auto" w:fill="FFFFFF"/>
          <w:lang w:eastAsia="fr-CA"/>
        </w:rPr>
        <w:t>adiographie pulmonaire (</w:t>
      </w:r>
      <w:r w:rsidR="004317B4" w:rsidRPr="00CD2022">
        <w:rPr>
          <w:highlight w:val="yellow"/>
          <w:shd w:val="clear" w:color="auto" w:fill="FFFFFF"/>
          <w:lang w:eastAsia="fr-CA"/>
        </w:rPr>
        <w:t>RXP</w:t>
      </w:r>
      <w:r w:rsidR="004317B4">
        <w:rPr>
          <w:shd w:val="clear" w:color="auto" w:fill="FFFFFF"/>
          <w:lang w:eastAsia="fr-CA"/>
        </w:rPr>
        <w:t>)</w:t>
      </w:r>
    </w:p>
    <w:p w:rsidR="007B3240" w:rsidRDefault="007B3240" w:rsidP="005D429F">
      <w:pPr>
        <w:pStyle w:val="Sansinterligne"/>
        <w:numPr>
          <w:ilvl w:val="0"/>
          <w:numId w:val="922"/>
        </w:numPr>
        <w:rPr>
          <w:shd w:val="clear" w:color="auto" w:fill="FFFFFF"/>
          <w:lang w:eastAsia="fr-CA"/>
        </w:rPr>
      </w:pPr>
      <w:r>
        <w:rPr>
          <w:shd w:val="clear" w:color="auto" w:fill="FFFFFF"/>
          <w:lang w:eastAsia="fr-CA"/>
        </w:rPr>
        <w:t>pHmétrie œsophagienne (RGO)</w:t>
      </w:r>
    </w:p>
    <w:p w:rsidR="00231A22" w:rsidRPr="00231A22" w:rsidRDefault="00231A22" w:rsidP="00231A22">
      <w:pPr>
        <w:pStyle w:val="Sansinterligne"/>
        <w:ind w:left="720"/>
        <w:rPr>
          <w:shd w:val="clear" w:color="auto" w:fill="FFFFFF"/>
          <w:lang w:eastAsia="fr-CA"/>
        </w:rPr>
      </w:pPr>
    </w:p>
    <w:p w:rsidR="00520958" w:rsidRPr="004317B4" w:rsidRDefault="00520958" w:rsidP="004317B4">
      <w:pPr>
        <w:pStyle w:val="Sansinterligne"/>
        <w:rPr>
          <w:u w:val="single"/>
          <w:shd w:val="clear" w:color="auto" w:fill="FFFFFF"/>
          <w:lang w:eastAsia="fr-CA"/>
        </w:rPr>
      </w:pPr>
      <w:r w:rsidRPr="004317B4">
        <w:rPr>
          <w:u w:val="single"/>
          <w:shd w:val="clear" w:color="auto" w:fill="FFFFFF"/>
          <w:lang w:eastAsia="fr-CA"/>
        </w:rPr>
        <w:t>Autres si indiqué</w:t>
      </w:r>
    </w:p>
    <w:p w:rsidR="00520958" w:rsidRDefault="00520958" w:rsidP="005D429F">
      <w:pPr>
        <w:pStyle w:val="Sansinterligne"/>
        <w:numPr>
          <w:ilvl w:val="0"/>
          <w:numId w:val="922"/>
        </w:numPr>
        <w:rPr>
          <w:shd w:val="clear" w:color="auto" w:fill="FFFFFF"/>
          <w:lang w:eastAsia="fr-CA"/>
        </w:rPr>
      </w:pPr>
      <w:r>
        <w:rPr>
          <w:shd w:val="clear" w:color="auto" w:fill="FFFFFF"/>
          <w:lang w:eastAsia="fr-CA"/>
        </w:rPr>
        <w:t>Échographie cardiaque (pas d’emblée)</w:t>
      </w:r>
    </w:p>
    <w:p w:rsidR="00174251" w:rsidRDefault="00174251" w:rsidP="005D429F">
      <w:pPr>
        <w:pStyle w:val="Sansinterligne"/>
        <w:numPr>
          <w:ilvl w:val="0"/>
          <w:numId w:val="922"/>
        </w:numPr>
        <w:rPr>
          <w:shd w:val="clear" w:color="auto" w:fill="FFFFFF"/>
          <w:lang w:eastAsia="fr-CA"/>
        </w:rPr>
      </w:pPr>
      <w:r>
        <w:rPr>
          <w:shd w:val="clear" w:color="auto" w:fill="FFFFFF"/>
          <w:lang w:eastAsia="fr-CA"/>
        </w:rPr>
        <w:t xml:space="preserve">Polysomnographie </w:t>
      </w:r>
      <w:r w:rsidR="00995A0B">
        <w:rPr>
          <w:shd w:val="clear" w:color="auto" w:fill="FFFFFF"/>
          <w:lang w:eastAsia="fr-CA"/>
        </w:rPr>
        <w:t>(syndrome d’Ondine, monitorage pour évaluer récidive)</w:t>
      </w:r>
    </w:p>
    <w:p w:rsidR="00520958" w:rsidRDefault="00520958" w:rsidP="005D429F">
      <w:pPr>
        <w:pStyle w:val="Sansinterligne"/>
        <w:numPr>
          <w:ilvl w:val="0"/>
          <w:numId w:val="922"/>
        </w:numPr>
        <w:rPr>
          <w:shd w:val="clear" w:color="auto" w:fill="FFFFFF"/>
          <w:lang w:eastAsia="fr-CA"/>
        </w:rPr>
      </w:pPr>
      <w:r>
        <w:rPr>
          <w:shd w:val="clear" w:color="auto" w:fill="FFFFFF"/>
          <w:lang w:eastAsia="fr-CA"/>
        </w:rPr>
        <w:t xml:space="preserve">Ponction lombaire (Voir </w:t>
      </w:r>
      <w:r w:rsidRPr="00995A0B">
        <w:rPr>
          <w:i/>
          <w:shd w:val="clear" w:color="auto" w:fill="FFFFFF"/>
          <w:lang w:eastAsia="fr-CA"/>
        </w:rPr>
        <w:t>Fièvre chez un nouveau-né / chez l’enfant CMC 107-3</w:t>
      </w:r>
      <w:r>
        <w:rPr>
          <w:shd w:val="clear" w:color="auto" w:fill="FFFFFF"/>
          <w:lang w:eastAsia="fr-CA"/>
        </w:rPr>
        <w:t>)</w:t>
      </w:r>
    </w:p>
    <w:p w:rsidR="004317B4" w:rsidRDefault="004317B4" w:rsidP="00122867">
      <w:pPr>
        <w:pStyle w:val="Sansinterligne"/>
        <w:rPr>
          <w:shd w:val="clear" w:color="auto" w:fill="FFFFFF"/>
          <w:lang w:eastAsia="fr-CA"/>
        </w:rPr>
        <w:sectPr w:rsidR="004317B4" w:rsidSect="004317B4">
          <w:type w:val="continuous"/>
          <w:pgSz w:w="12240" w:h="15840"/>
          <w:pgMar w:top="720" w:right="720" w:bottom="720" w:left="720" w:header="708" w:footer="708" w:gutter="0"/>
          <w:cols w:num="2" w:space="708"/>
          <w:docGrid w:linePitch="360"/>
        </w:sectPr>
      </w:pPr>
    </w:p>
    <w:p w:rsidR="00174251" w:rsidRDefault="00174251" w:rsidP="00122867">
      <w:pPr>
        <w:pStyle w:val="Sansinterligne"/>
        <w:rPr>
          <w:shd w:val="clear" w:color="auto" w:fill="FFFFFF"/>
          <w:lang w:eastAsia="fr-CA"/>
        </w:rPr>
      </w:pPr>
    </w:p>
    <w:p w:rsidR="00231A22" w:rsidRPr="00231A22" w:rsidRDefault="00ED3341" w:rsidP="00122867">
      <w:pPr>
        <w:pStyle w:val="Sansinterligne"/>
        <w:rPr>
          <w:b/>
          <w:sz w:val="28"/>
          <w:szCs w:val="28"/>
          <w:shd w:val="clear" w:color="auto" w:fill="FFFFFF"/>
          <w:lang w:eastAsia="fr-CA"/>
        </w:rPr>
      </w:pPr>
      <w:r>
        <w:rPr>
          <w:noProof/>
          <w:lang w:eastAsia="fr-CA"/>
        </w:rPr>
        <w:drawing>
          <wp:anchor distT="0" distB="0" distL="114300" distR="114300" simplePos="0" relativeHeight="251932672" behindDoc="1" locked="0" layoutInCell="1" allowOverlap="1" wp14:anchorId="44C12C8D" wp14:editId="41D6F93C">
            <wp:simplePos x="0" y="0"/>
            <wp:positionH relativeFrom="column">
              <wp:posOffset>4697730</wp:posOffset>
            </wp:positionH>
            <wp:positionV relativeFrom="paragraph">
              <wp:posOffset>116205</wp:posOffset>
            </wp:positionV>
            <wp:extent cx="2119630" cy="2129790"/>
            <wp:effectExtent l="0" t="0" r="0" b="3810"/>
            <wp:wrapNone/>
            <wp:docPr id="449" name="Image 449" descr="Résultats de recherche d'images pour « laryngospasm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ésultats de recherche d'images pour « laryngospasme »"/>
                    <pic:cNvPicPr>
                      <a:picLocks noChangeAspect="1" noChangeArrowheads="1"/>
                    </pic:cNvPicPr>
                  </pic:nvPicPr>
                  <pic:blipFill>
                    <a:blip r:embed="rId367">
                      <a:extLst>
                        <a:ext uri="{28A0092B-C50C-407E-A947-70E740481C1C}">
                          <a14:useLocalDpi xmlns:a14="http://schemas.microsoft.com/office/drawing/2010/main" val="0"/>
                        </a:ext>
                      </a:extLst>
                    </a:blip>
                    <a:srcRect/>
                    <a:stretch>
                      <a:fillRect/>
                    </a:stretch>
                  </pic:blipFill>
                  <pic:spPr bwMode="auto">
                    <a:xfrm>
                      <a:off x="0" y="0"/>
                      <a:ext cx="2119630" cy="2129790"/>
                    </a:xfrm>
                    <a:prstGeom prst="rect">
                      <a:avLst/>
                    </a:prstGeom>
                    <a:noFill/>
                    <a:ln>
                      <a:noFill/>
                    </a:ln>
                  </pic:spPr>
                </pic:pic>
              </a:graphicData>
            </a:graphic>
            <wp14:sizeRelH relativeFrom="page">
              <wp14:pctWidth>0</wp14:pctWidth>
            </wp14:sizeRelH>
            <wp14:sizeRelV relativeFrom="page">
              <wp14:pctHeight>0</wp14:pctHeight>
            </wp14:sizeRelV>
          </wp:anchor>
        </w:drawing>
      </w:r>
      <w:r w:rsidR="00231A22" w:rsidRPr="00231A22">
        <w:rPr>
          <w:b/>
          <w:sz w:val="28"/>
          <w:szCs w:val="28"/>
          <w:shd w:val="clear" w:color="auto" w:fill="FFFFFF"/>
          <w:lang w:eastAsia="fr-CA"/>
        </w:rPr>
        <w:t>Prise en charge</w:t>
      </w:r>
    </w:p>
    <w:p w:rsidR="00231A22" w:rsidRDefault="00231A22" w:rsidP="00122867">
      <w:pPr>
        <w:pStyle w:val="Sansinterligne"/>
        <w:rPr>
          <w:shd w:val="clear" w:color="auto" w:fill="FFFFFF"/>
          <w:lang w:eastAsia="fr-CA"/>
        </w:rPr>
      </w:pPr>
    </w:p>
    <w:p w:rsidR="00C730F5" w:rsidRDefault="007B3240" w:rsidP="005D429F">
      <w:pPr>
        <w:pStyle w:val="Sansinterligne"/>
        <w:numPr>
          <w:ilvl w:val="0"/>
          <w:numId w:val="924"/>
        </w:numPr>
        <w:rPr>
          <w:shd w:val="clear" w:color="auto" w:fill="FFFFFF"/>
          <w:lang w:eastAsia="fr-CA"/>
        </w:rPr>
      </w:pPr>
      <w:r>
        <w:rPr>
          <w:shd w:val="clear" w:color="auto" w:fill="FFFFFF"/>
          <w:lang w:eastAsia="fr-CA"/>
        </w:rPr>
        <w:t>Estimer le risque de récidive</w:t>
      </w:r>
      <w:r w:rsidR="00E06872">
        <w:rPr>
          <w:shd w:val="clear" w:color="auto" w:fill="FFFFFF"/>
          <w:lang w:eastAsia="fr-CA"/>
        </w:rPr>
        <w:t xml:space="preserve"> (voir tableau des critères ci-bas)</w:t>
      </w:r>
    </w:p>
    <w:p w:rsidR="007B3240" w:rsidRPr="00E06872" w:rsidRDefault="007B3240" w:rsidP="005D429F">
      <w:pPr>
        <w:pStyle w:val="Sansinterligne"/>
        <w:numPr>
          <w:ilvl w:val="0"/>
          <w:numId w:val="924"/>
        </w:numPr>
        <w:rPr>
          <w:highlight w:val="yellow"/>
          <w:shd w:val="clear" w:color="auto" w:fill="FFFFFF"/>
          <w:lang w:eastAsia="fr-CA"/>
        </w:rPr>
      </w:pPr>
      <w:r w:rsidRPr="00E06872">
        <w:rPr>
          <w:highlight w:val="yellow"/>
          <w:shd w:val="clear" w:color="auto" w:fill="FFFFFF"/>
          <w:lang w:eastAsia="fr-CA"/>
        </w:rPr>
        <w:t>Observer l’enfant à l’hôpital</w:t>
      </w:r>
      <w:r w:rsidRPr="00E06872">
        <w:rPr>
          <w:rFonts w:cs="Times New Roman"/>
          <w:highlight w:val="yellow"/>
          <w:shd w:val="clear" w:color="auto" w:fill="FFFFFF"/>
          <w:lang w:eastAsia="fr-CA"/>
        </w:rPr>
        <w:t>~</w:t>
      </w:r>
      <w:r w:rsidRPr="00E06872">
        <w:rPr>
          <w:highlight w:val="yellow"/>
          <w:shd w:val="clear" w:color="auto" w:fill="FFFFFF"/>
          <w:lang w:eastAsia="fr-CA"/>
        </w:rPr>
        <w:t xml:space="preserve"> 24h </w:t>
      </w:r>
    </w:p>
    <w:p w:rsidR="007B3240" w:rsidRDefault="007B3240" w:rsidP="005D429F">
      <w:pPr>
        <w:pStyle w:val="Sansinterligne"/>
        <w:numPr>
          <w:ilvl w:val="1"/>
          <w:numId w:val="924"/>
        </w:numPr>
        <w:rPr>
          <w:shd w:val="clear" w:color="auto" w:fill="FFFFFF"/>
          <w:lang w:eastAsia="fr-CA"/>
        </w:rPr>
      </w:pPr>
      <w:r>
        <w:rPr>
          <w:shd w:val="clear" w:color="auto" w:fill="FFFFFF"/>
          <w:lang w:eastAsia="fr-CA"/>
        </w:rPr>
        <w:t xml:space="preserve">Majorité des récidives surviennent </w:t>
      </w:r>
      <w:r>
        <w:rPr>
          <w:rFonts w:ascii="Century Gothic" w:hAnsi="Century Gothic"/>
          <w:shd w:val="clear" w:color="auto" w:fill="FFFFFF"/>
          <w:lang w:eastAsia="fr-CA"/>
        </w:rPr>
        <w:t>&lt;</w:t>
      </w:r>
      <w:r>
        <w:rPr>
          <w:shd w:val="clear" w:color="auto" w:fill="FFFFFF"/>
          <w:lang w:eastAsia="fr-CA"/>
        </w:rPr>
        <w:t xml:space="preserve"> 24h</w:t>
      </w:r>
    </w:p>
    <w:p w:rsidR="00E06872" w:rsidRPr="00E06872" w:rsidRDefault="00E06872" w:rsidP="005D429F">
      <w:pPr>
        <w:pStyle w:val="Sansinterligne"/>
        <w:numPr>
          <w:ilvl w:val="0"/>
          <w:numId w:val="924"/>
        </w:numPr>
        <w:rPr>
          <w:highlight w:val="yellow"/>
          <w:shd w:val="clear" w:color="auto" w:fill="FFFFFF"/>
          <w:lang w:eastAsia="fr-CA"/>
        </w:rPr>
      </w:pPr>
      <w:r w:rsidRPr="00E06872">
        <w:rPr>
          <w:highlight w:val="yellow"/>
          <w:shd w:val="clear" w:color="auto" w:fill="FFFFFF"/>
          <w:lang w:eastAsia="fr-CA"/>
        </w:rPr>
        <w:t>Si reflux gastro-oesophagien mis en évidence, le traiter.</w:t>
      </w:r>
    </w:p>
    <w:p w:rsidR="00E06872" w:rsidRDefault="00E06872" w:rsidP="005D429F">
      <w:pPr>
        <w:pStyle w:val="Sansinterligne"/>
        <w:numPr>
          <w:ilvl w:val="0"/>
          <w:numId w:val="924"/>
        </w:numPr>
        <w:rPr>
          <w:shd w:val="clear" w:color="auto" w:fill="FFFFFF"/>
          <w:lang w:eastAsia="fr-CA"/>
        </w:rPr>
      </w:pPr>
      <w:r>
        <w:rPr>
          <w:shd w:val="clear" w:color="auto" w:fill="FFFFFF"/>
          <w:lang w:eastAsia="fr-CA"/>
        </w:rPr>
        <w:t>Traiter autre cause sous-jacente PRN (ex : pneumonie)</w:t>
      </w:r>
    </w:p>
    <w:p w:rsidR="00ED3341" w:rsidRDefault="00E06872" w:rsidP="005D429F">
      <w:pPr>
        <w:pStyle w:val="Sansinterligne"/>
        <w:numPr>
          <w:ilvl w:val="0"/>
          <w:numId w:val="924"/>
        </w:numPr>
        <w:rPr>
          <w:shd w:val="clear" w:color="auto" w:fill="FFFFFF"/>
          <w:lang w:eastAsia="fr-CA"/>
        </w:rPr>
      </w:pPr>
      <w:r>
        <w:rPr>
          <w:shd w:val="clear" w:color="auto" w:fill="FFFFFF"/>
          <w:lang w:eastAsia="fr-CA"/>
        </w:rPr>
        <w:t xml:space="preserve">Si cause congénitale </w:t>
      </w:r>
      <w:r w:rsidR="008E0347">
        <w:rPr>
          <w:shd w:val="clear" w:color="auto" w:fill="FFFFFF"/>
          <w:lang w:eastAsia="fr-CA"/>
        </w:rPr>
        <w:t xml:space="preserve">(ex : cardiopathie, syndrome d’Ondine, etc.) </w:t>
      </w:r>
    </w:p>
    <w:p w:rsidR="00E06872" w:rsidRDefault="008E0347" w:rsidP="00985F32">
      <w:pPr>
        <w:pStyle w:val="Sansinterligne"/>
        <w:ind w:left="360"/>
        <w:rPr>
          <w:shd w:val="clear" w:color="auto" w:fill="FFFFFF"/>
          <w:lang w:eastAsia="fr-CA"/>
        </w:rPr>
      </w:pPr>
      <w:r>
        <w:rPr>
          <w:shd w:val="clear" w:color="auto" w:fill="FFFFFF"/>
          <w:lang w:eastAsia="fr-CA"/>
        </w:rPr>
        <w:t xml:space="preserve">ou non-identifiée et ALTE récurent </w:t>
      </w:r>
    </w:p>
    <w:p w:rsidR="00E06872" w:rsidRDefault="00E06872" w:rsidP="005D429F">
      <w:pPr>
        <w:pStyle w:val="Sansinterligne"/>
        <w:numPr>
          <w:ilvl w:val="1"/>
          <w:numId w:val="924"/>
        </w:numPr>
        <w:rPr>
          <w:shd w:val="clear" w:color="auto" w:fill="FFFFFF"/>
          <w:lang w:eastAsia="fr-CA"/>
        </w:rPr>
      </w:pPr>
      <w:r>
        <w:rPr>
          <w:shd w:val="clear" w:color="auto" w:fill="FFFFFF"/>
          <w:lang w:eastAsia="fr-CA"/>
        </w:rPr>
        <w:t>Référer en pédiatrie ou surspécialité pédiatrique</w:t>
      </w:r>
    </w:p>
    <w:p w:rsidR="00E06872" w:rsidRDefault="008E0347" w:rsidP="005D429F">
      <w:pPr>
        <w:pStyle w:val="Sansinterligne"/>
        <w:numPr>
          <w:ilvl w:val="0"/>
          <w:numId w:val="924"/>
        </w:numPr>
        <w:rPr>
          <w:shd w:val="clear" w:color="auto" w:fill="FFFFFF"/>
          <w:lang w:eastAsia="fr-CA"/>
        </w:rPr>
      </w:pPr>
      <w:r>
        <w:rPr>
          <w:shd w:val="clear" w:color="auto" w:fill="FFFFFF"/>
          <w:lang w:eastAsia="fr-CA"/>
        </w:rPr>
        <w:t>Si maltraitance suspectée</w:t>
      </w:r>
    </w:p>
    <w:p w:rsidR="00E06872" w:rsidRDefault="008E0347" w:rsidP="005D429F">
      <w:pPr>
        <w:pStyle w:val="Sansinterligne"/>
        <w:numPr>
          <w:ilvl w:val="1"/>
          <w:numId w:val="924"/>
        </w:numPr>
        <w:rPr>
          <w:shd w:val="clear" w:color="auto" w:fill="FFFFFF"/>
          <w:lang w:eastAsia="fr-CA"/>
        </w:rPr>
      </w:pPr>
      <w:r>
        <w:rPr>
          <w:shd w:val="clear" w:color="auto" w:fill="FFFFFF"/>
          <w:lang w:eastAsia="fr-CA"/>
        </w:rPr>
        <w:t>Garder l’enfant à l’hôpital et signaler à la DPJ</w:t>
      </w:r>
    </w:p>
    <w:p w:rsidR="007B3240" w:rsidRPr="00E06872" w:rsidRDefault="007B3240" w:rsidP="005D429F">
      <w:pPr>
        <w:pStyle w:val="Sansinterligne"/>
        <w:numPr>
          <w:ilvl w:val="0"/>
          <w:numId w:val="924"/>
        </w:numPr>
        <w:rPr>
          <w:highlight w:val="yellow"/>
          <w:shd w:val="clear" w:color="auto" w:fill="FFFFFF"/>
          <w:lang w:eastAsia="fr-CA"/>
        </w:rPr>
      </w:pPr>
      <w:r w:rsidRPr="00E06872">
        <w:rPr>
          <w:highlight w:val="yellow"/>
          <w:shd w:val="clear" w:color="auto" w:fill="FFFFFF"/>
          <w:lang w:eastAsia="fr-CA"/>
        </w:rPr>
        <w:t>Rassurer les parents</w:t>
      </w:r>
    </w:p>
    <w:p w:rsidR="007B3240" w:rsidRPr="00E06872" w:rsidRDefault="007B3240" w:rsidP="005D429F">
      <w:pPr>
        <w:pStyle w:val="Sansinterligne"/>
        <w:numPr>
          <w:ilvl w:val="1"/>
          <w:numId w:val="924"/>
        </w:numPr>
        <w:rPr>
          <w:highlight w:val="yellow"/>
          <w:shd w:val="clear" w:color="auto" w:fill="FFFFFF"/>
          <w:lang w:eastAsia="fr-CA"/>
        </w:rPr>
      </w:pPr>
      <w:r w:rsidRPr="00E06872">
        <w:rPr>
          <w:highlight w:val="yellow"/>
          <w:shd w:val="clear" w:color="auto" w:fill="FFFFFF"/>
          <w:lang w:eastAsia="fr-CA"/>
        </w:rPr>
        <w:t>Prévenir qu’environ 10-25% des enfants peuvent présenter des récidives</w:t>
      </w:r>
    </w:p>
    <w:p w:rsidR="007B3240" w:rsidRPr="00E06872" w:rsidRDefault="007B3240" w:rsidP="005D429F">
      <w:pPr>
        <w:pStyle w:val="Sansinterligne"/>
        <w:numPr>
          <w:ilvl w:val="1"/>
          <w:numId w:val="924"/>
        </w:numPr>
        <w:rPr>
          <w:highlight w:val="yellow"/>
          <w:shd w:val="clear" w:color="auto" w:fill="FFFFFF"/>
          <w:lang w:eastAsia="fr-CA"/>
        </w:rPr>
      </w:pPr>
      <w:r w:rsidRPr="00E06872">
        <w:rPr>
          <w:highlight w:val="yellow"/>
          <w:shd w:val="clear" w:color="auto" w:fill="FFFFFF"/>
          <w:lang w:eastAsia="fr-CA"/>
        </w:rPr>
        <w:t>Pas de lien causal avec le Syndrome de mort subite du nourrisson</w:t>
      </w:r>
    </w:p>
    <w:p w:rsidR="007B3240" w:rsidRPr="00E06872" w:rsidRDefault="007B3240" w:rsidP="005D429F">
      <w:pPr>
        <w:pStyle w:val="Sansinterligne"/>
        <w:numPr>
          <w:ilvl w:val="1"/>
          <w:numId w:val="924"/>
        </w:numPr>
        <w:rPr>
          <w:highlight w:val="yellow"/>
          <w:shd w:val="clear" w:color="auto" w:fill="FFFFFF"/>
          <w:lang w:eastAsia="fr-CA"/>
        </w:rPr>
      </w:pPr>
      <w:r w:rsidRPr="00E06872">
        <w:rPr>
          <w:highlight w:val="yellow"/>
          <w:shd w:val="clear" w:color="auto" w:fill="FFFFFF"/>
          <w:lang w:eastAsia="fr-CA"/>
        </w:rPr>
        <w:t>Enseignement du RCR pédiatrique au besoin</w:t>
      </w:r>
    </w:p>
    <w:tbl>
      <w:tblPr>
        <w:tblStyle w:val="Grilledutableau"/>
        <w:tblW w:w="0" w:type="auto"/>
        <w:tblLook w:val="04A0" w:firstRow="1" w:lastRow="0" w:firstColumn="1" w:lastColumn="0" w:noHBand="0" w:noVBand="1"/>
      </w:tblPr>
      <w:tblGrid>
        <w:gridCol w:w="5470"/>
        <w:gridCol w:w="5470"/>
      </w:tblGrid>
      <w:tr w:rsidR="00E06872" w:rsidRPr="00E06872" w:rsidTr="002479F6">
        <w:trPr>
          <w:trHeight w:val="345"/>
        </w:trPr>
        <w:tc>
          <w:tcPr>
            <w:tcW w:w="10940" w:type="dxa"/>
            <w:gridSpan w:val="2"/>
            <w:shd w:val="clear" w:color="auto" w:fill="FFC000"/>
          </w:tcPr>
          <w:p w:rsidR="00E06872" w:rsidRPr="00E06872" w:rsidRDefault="00E06872" w:rsidP="00E06872">
            <w:pPr>
              <w:pStyle w:val="Sansinterligne"/>
              <w:jc w:val="center"/>
              <w:rPr>
                <w:b/>
              </w:rPr>
            </w:pPr>
            <w:r>
              <w:rPr>
                <w:b/>
              </w:rPr>
              <w:t>Enfant</w:t>
            </w:r>
            <w:r w:rsidRPr="00E06872">
              <w:rPr>
                <w:b/>
              </w:rPr>
              <w:t xml:space="preserve"> à faible risque de récidive</w:t>
            </w:r>
            <w:r>
              <w:rPr>
                <w:b/>
              </w:rPr>
              <w:t xml:space="preserve"> d’ALTE</w:t>
            </w:r>
            <w:r w:rsidRPr="00E06872">
              <w:rPr>
                <w:b/>
              </w:rPr>
              <w:t xml:space="preserve"> </w:t>
            </w:r>
            <w:r>
              <w:rPr>
                <w:b/>
              </w:rPr>
              <w:t>si présente tous les critères</w:t>
            </w:r>
          </w:p>
        </w:tc>
      </w:tr>
      <w:tr w:rsidR="00E06872" w:rsidRPr="00E06872" w:rsidTr="00E06872">
        <w:trPr>
          <w:trHeight w:val="2972"/>
        </w:trPr>
        <w:tc>
          <w:tcPr>
            <w:tcW w:w="5470" w:type="dxa"/>
          </w:tcPr>
          <w:p w:rsidR="00E06872" w:rsidRPr="00E06872" w:rsidRDefault="00E06872" w:rsidP="005D429F">
            <w:pPr>
              <w:pStyle w:val="Sansinterligne"/>
              <w:numPr>
                <w:ilvl w:val="0"/>
                <w:numId w:val="925"/>
              </w:numPr>
              <w:rPr>
                <w:shd w:val="clear" w:color="auto" w:fill="FFFFFF"/>
                <w:lang w:eastAsia="fr-CA"/>
              </w:rPr>
            </w:pPr>
            <w:r w:rsidRPr="00E06872">
              <w:rPr>
                <w:shd w:val="clear" w:color="auto" w:fill="FFFFFF"/>
                <w:lang w:eastAsia="fr-CA"/>
              </w:rPr>
              <w:t xml:space="preserve">Âge </w:t>
            </w:r>
            <w:r w:rsidRPr="00E06872">
              <w:rPr>
                <w:rFonts w:ascii="Century Gothic" w:hAnsi="Century Gothic"/>
                <w:shd w:val="clear" w:color="auto" w:fill="FFFFFF"/>
                <w:lang w:eastAsia="fr-CA"/>
              </w:rPr>
              <w:t>&gt;</w:t>
            </w:r>
            <w:r w:rsidRPr="00E06872">
              <w:rPr>
                <w:shd w:val="clear" w:color="auto" w:fill="FFFFFF"/>
                <w:lang w:eastAsia="fr-CA"/>
              </w:rPr>
              <w:t xml:space="preserve"> 60 jours</w:t>
            </w:r>
          </w:p>
          <w:p w:rsidR="00E06872" w:rsidRPr="00E06872" w:rsidRDefault="00E06872" w:rsidP="005D429F">
            <w:pPr>
              <w:pStyle w:val="Sansinterligne"/>
              <w:numPr>
                <w:ilvl w:val="0"/>
                <w:numId w:val="925"/>
              </w:numPr>
              <w:rPr>
                <w:shd w:val="clear" w:color="auto" w:fill="FFFFFF"/>
                <w:lang w:eastAsia="fr-CA"/>
              </w:rPr>
            </w:pPr>
            <w:r w:rsidRPr="00E06872">
              <w:rPr>
                <w:shd w:val="clear" w:color="auto" w:fill="FFFFFF"/>
                <w:lang w:eastAsia="fr-CA"/>
              </w:rPr>
              <w:t xml:space="preserve">Âge gestationnel </w:t>
            </w:r>
            <w:r w:rsidRPr="00E06872">
              <w:rPr>
                <w:rFonts w:ascii="Century Gothic" w:hAnsi="Century Gothic"/>
                <w:shd w:val="clear" w:color="auto" w:fill="FFFFFF"/>
                <w:lang w:eastAsia="fr-CA"/>
              </w:rPr>
              <w:t>&gt;</w:t>
            </w:r>
            <w:r w:rsidRPr="00E06872">
              <w:rPr>
                <w:shd w:val="clear" w:color="auto" w:fill="FFFFFF"/>
                <w:lang w:eastAsia="fr-CA"/>
              </w:rPr>
              <w:t xml:space="preserve"> 32 et post-conception </w:t>
            </w:r>
            <w:r w:rsidRPr="00E06872">
              <w:rPr>
                <w:rFonts w:ascii="Century Gothic" w:hAnsi="Century Gothic"/>
                <w:shd w:val="clear" w:color="auto" w:fill="FFFFFF"/>
                <w:lang w:eastAsia="fr-CA"/>
              </w:rPr>
              <w:t>&gt;</w:t>
            </w:r>
            <w:r w:rsidRPr="00E06872">
              <w:rPr>
                <w:shd w:val="clear" w:color="auto" w:fill="FFFFFF"/>
                <w:lang w:eastAsia="fr-CA"/>
              </w:rPr>
              <w:t xml:space="preserve"> 45 semaines</w:t>
            </w:r>
          </w:p>
          <w:p w:rsidR="00E06872" w:rsidRPr="00E06872" w:rsidRDefault="00E06872" w:rsidP="005D429F">
            <w:pPr>
              <w:pStyle w:val="Sansinterligne"/>
              <w:numPr>
                <w:ilvl w:val="0"/>
                <w:numId w:val="925"/>
              </w:numPr>
              <w:rPr>
                <w:shd w:val="clear" w:color="auto" w:fill="FFFFFF"/>
                <w:lang w:eastAsia="fr-CA"/>
              </w:rPr>
            </w:pPr>
            <w:r w:rsidRPr="00E06872">
              <w:rPr>
                <w:shd w:val="clear" w:color="auto" w:fill="FFFFFF"/>
                <w:lang w:eastAsia="fr-CA"/>
              </w:rPr>
              <w:t>Épisode unique (pas d’antécédent ou d’épisodes consécutifs)</w:t>
            </w:r>
          </w:p>
          <w:p w:rsidR="00E06872" w:rsidRPr="00E06872" w:rsidRDefault="00E06872" w:rsidP="005D429F">
            <w:pPr>
              <w:pStyle w:val="Sansinterligne"/>
              <w:numPr>
                <w:ilvl w:val="0"/>
                <w:numId w:val="925"/>
              </w:numPr>
              <w:rPr>
                <w:shd w:val="clear" w:color="auto" w:fill="FFFFFF"/>
                <w:lang w:eastAsia="fr-CA"/>
              </w:rPr>
            </w:pPr>
            <w:r w:rsidRPr="00E06872">
              <w:rPr>
                <w:shd w:val="clear" w:color="auto" w:fill="FFFFFF"/>
                <w:lang w:eastAsia="fr-CA"/>
              </w:rPr>
              <w:t xml:space="preserve">Durée </w:t>
            </w:r>
            <w:r w:rsidRPr="00E06872">
              <w:rPr>
                <w:rFonts w:ascii="Century Gothic" w:hAnsi="Century Gothic"/>
                <w:shd w:val="clear" w:color="auto" w:fill="FFFFFF"/>
                <w:lang w:eastAsia="fr-CA"/>
              </w:rPr>
              <w:t>&lt;</w:t>
            </w:r>
            <w:r w:rsidRPr="00E06872">
              <w:rPr>
                <w:shd w:val="clear" w:color="auto" w:fill="FFFFFF"/>
                <w:lang w:eastAsia="fr-CA"/>
              </w:rPr>
              <w:t xml:space="preserve"> 1 minute</w:t>
            </w:r>
          </w:p>
          <w:p w:rsidR="00E06872" w:rsidRPr="00E06872" w:rsidRDefault="00E06872" w:rsidP="005D429F">
            <w:pPr>
              <w:pStyle w:val="Sansinterligne"/>
              <w:numPr>
                <w:ilvl w:val="0"/>
                <w:numId w:val="925"/>
              </w:numPr>
              <w:rPr>
                <w:shd w:val="clear" w:color="auto" w:fill="FFFFFF"/>
                <w:lang w:eastAsia="fr-CA"/>
              </w:rPr>
            </w:pPr>
            <w:r w:rsidRPr="00E06872">
              <w:rPr>
                <w:shd w:val="clear" w:color="auto" w:fill="FFFFFF"/>
                <w:lang w:eastAsia="fr-CA"/>
              </w:rPr>
              <w:t xml:space="preserve">Réanimation pédiatrique n’a pas été requise </w:t>
            </w:r>
          </w:p>
          <w:p w:rsidR="00E06872" w:rsidRPr="00E06872" w:rsidRDefault="00E06872" w:rsidP="005D429F">
            <w:pPr>
              <w:pStyle w:val="Sansinterligne"/>
              <w:numPr>
                <w:ilvl w:val="0"/>
                <w:numId w:val="925"/>
              </w:numPr>
              <w:rPr>
                <w:shd w:val="clear" w:color="auto" w:fill="FFFFFF"/>
                <w:lang w:eastAsia="fr-CA"/>
              </w:rPr>
            </w:pPr>
            <w:r w:rsidRPr="00E06872">
              <w:rPr>
                <w:shd w:val="clear" w:color="auto" w:fill="FFFFFF"/>
                <w:lang w:eastAsia="fr-CA"/>
              </w:rPr>
              <w:t>Développement normal</w:t>
            </w:r>
          </w:p>
          <w:p w:rsidR="00E06872" w:rsidRDefault="00E06872" w:rsidP="005D429F">
            <w:pPr>
              <w:pStyle w:val="Sansinterligne"/>
              <w:numPr>
                <w:ilvl w:val="0"/>
                <w:numId w:val="925"/>
              </w:numPr>
              <w:rPr>
                <w:shd w:val="clear" w:color="auto" w:fill="FFFFFF"/>
                <w:lang w:eastAsia="fr-CA"/>
              </w:rPr>
            </w:pPr>
            <w:r w:rsidRPr="00E06872">
              <w:rPr>
                <w:shd w:val="clear" w:color="auto" w:fill="FFFFFF"/>
                <w:lang w:eastAsia="fr-CA"/>
              </w:rPr>
              <w:t>Absence d’ATCD familiaux d’ALTE ou de SMSN</w:t>
            </w:r>
          </w:p>
          <w:p w:rsidR="00E06872" w:rsidRPr="00E06872" w:rsidRDefault="00E06872" w:rsidP="005D429F">
            <w:pPr>
              <w:pStyle w:val="Sansinterligne"/>
              <w:numPr>
                <w:ilvl w:val="0"/>
                <w:numId w:val="925"/>
              </w:numPr>
              <w:rPr>
                <w:shd w:val="clear" w:color="auto" w:fill="FFFFFF"/>
                <w:lang w:eastAsia="fr-CA"/>
              </w:rPr>
            </w:pPr>
            <w:r w:rsidRPr="00E06872">
              <w:rPr>
                <w:shd w:val="clear" w:color="auto" w:fill="FFFFFF"/>
                <w:lang w:eastAsia="fr-CA"/>
              </w:rPr>
              <w:t xml:space="preserve"> Absence de signes (trauma, ecchymose) ou d’histoire de maltraitance</w:t>
            </w:r>
          </w:p>
        </w:tc>
        <w:tc>
          <w:tcPr>
            <w:tcW w:w="5470" w:type="dxa"/>
          </w:tcPr>
          <w:p w:rsidR="00E06872" w:rsidRPr="00E06872" w:rsidRDefault="00E06872" w:rsidP="005D429F">
            <w:pPr>
              <w:pStyle w:val="Sansinterligne"/>
              <w:numPr>
                <w:ilvl w:val="0"/>
                <w:numId w:val="925"/>
              </w:numPr>
              <w:rPr>
                <w:shd w:val="clear" w:color="auto" w:fill="FFFFFF"/>
                <w:lang w:eastAsia="fr-CA"/>
              </w:rPr>
            </w:pPr>
            <w:r w:rsidRPr="00E06872">
              <w:rPr>
                <w:shd w:val="clear" w:color="auto" w:fill="FFFFFF"/>
                <w:lang w:eastAsia="fr-CA"/>
              </w:rPr>
              <w:t>Absence de pathologie pulmonaire ou de détresse respiratoire</w:t>
            </w:r>
          </w:p>
          <w:p w:rsidR="00E06872" w:rsidRPr="00E06872" w:rsidRDefault="00E06872" w:rsidP="005D429F">
            <w:pPr>
              <w:pStyle w:val="Sansinterligne"/>
              <w:numPr>
                <w:ilvl w:val="0"/>
                <w:numId w:val="925"/>
              </w:numPr>
              <w:rPr>
                <w:shd w:val="clear" w:color="auto" w:fill="FFFFFF"/>
                <w:lang w:eastAsia="fr-CA"/>
              </w:rPr>
            </w:pPr>
            <w:r w:rsidRPr="00E06872">
              <w:rPr>
                <w:shd w:val="clear" w:color="auto" w:fill="FFFFFF"/>
                <w:lang w:eastAsia="fr-CA"/>
              </w:rPr>
              <w:t xml:space="preserve">Absence de fièvre, d’apparence toxique ou de symptômes dans les jours précédents (ex : fièvre, diarrhée, </w:t>
            </w:r>
            <w:r w:rsidRPr="00E06872">
              <w:rPr>
                <w:rFonts w:cs="Times New Roman"/>
                <w:shd w:val="clear" w:color="auto" w:fill="FFFFFF"/>
                <w:lang w:eastAsia="fr-CA"/>
              </w:rPr>
              <w:t>↓</w:t>
            </w:r>
            <w:r w:rsidRPr="00E06872">
              <w:rPr>
                <w:shd w:val="clear" w:color="auto" w:fill="FFFFFF"/>
                <w:lang w:eastAsia="fr-CA"/>
              </w:rPr>
              <w:t xml:space="preserve"> appétit)</w:t>
            </w:r>
          </w:p>
          <w:p w:rsidR="00E06872" w:rsidRPr="00E06872" w:rsidRDefault="00E06872" w:rsidP="005D429F">
            <w:pPr>
              <w:pStyle w:val="Sansinterligne"/>
              <w:numPr>
                <w:ilvl w:val="0"/>
                <w:numId w:val="925"/>
              </w:numPr>
              <w:rPr>
                <w:shd w:val="clear" w:color="auto" w:fill="FFFFFF"/>
                <w:lang w:eastAsia="fr-CA"/>
              </w:rPr>
            </w:pPr>
            <w:r w:rsidRPr="00E06872">
              <w:rPr>
                <w:shd w:val="clear" w:color="auto" w:fill="FFFFFF"/>
                <w:lang w:eastAsia="fr-CA"/>
              </w:rPr>
              <w:t>Absence de bombement des fontanelles</w:t>
            </w:r>
          </w:p>
          <w:p w:rsidR="00E06872" w:rsidRPr="00E06872" w:rsidRDefault="00E06872" w:rsidP="005D429F">
            <w:pPr>
              <w:pStyle w:val="Sansinterligne"/>
              <w:numPr>
                <w:ilvl w:val="0"/>
                <w:numId w:val="925"/>
              </w:numPr>
              <w:rPr>
                <w:shd w:val="clear" w:color="auto" w:fill="FFFFFF"/>
                <w:lang w:eastAsia="fr-CA"/>
              </w:rPr>
            </w:pPr>
            <w:r w:rsidRPr="00E06872">
              <w:rPr>
                <w:shd w:val="clear" w:color="auto" w:fill="FFFFFF"/>
                <w:lang w:eastAsia="fr-CA"/>
              </w:rPr>
              <w:t>Absence pathologie récente, ou de signes de gonflement abdominal ou de vomissements</w:t>
            </w:r>
          </w:p>
          <w:p w:rsidR="00E06872" w:rsidRPr="00E06872" w:rsidRDefault="00E06872" w:rsidP="005D429F">
            <w:pPr>
              <w:pStyle w:val="Sansinterligne"/>
              <w:numPr>
                <w:ilvl w:val="0"/>
                <w:numId w:val="925"/>
              </w:numPr>
              <w:rPr>
                <w:shd w:val="clear" w:color="auto" w:fill="FFFFFF"/>
                <w:lang w:eastAsia="fr-CA"/>
              </w:rPr>
            </w:pPr>
            <w:r w:rsidRPr="00E06872">
              <w:rPr>
                <w:shd w:val="clear" w:color="auto" w:fill="FFFFFF"/>
                <w:lang w:eastAsia="fr-CA"/>
              </w:rPr>
              <w:t>Absence de prise de médication</w:t>
            </w:r>
          </w:p>
          <w:p w:rsidR="00E06872" w:rsidRPr="00E06872" w:rsidRDefault="00E06872" w:rsidP="005D429F">
            <w:pPr>
              <w:pStyle w:val="Sansinterligne"/>
              <w:numPr>
                <w:ilvl w:val="0"/>
                <w:numId w:val="925"/>
              </w:numPr>
              <w:rPr>
                <w:shd w:val="clear" w:color="auto" w:fill="FFFFFF"/>
                <w:lang w:eastAsia="fr-CA"/>
              </w:rPr>
            </w:pPr>
            <w:r w:rsidRPr="00E06872">
              <w:rPr>
                <w:shd w:val="clear" w:color="auto" w:fill="FFFFFF"/>
                <w:lang w:eastAsia="fr-CA"/>
              </w:rPr>
              <w:t>Absence de léthargie ou de vomissements</w:t>
            </w:r>
          </w:p>
          <w:p w:rsidR="00E06872" w:rsidRPr="00E06872" w:rsidRDefault="00E06872" w:rsidP="005D429F">
            <w:pPr>
              <w:pStyle w:val="Sansinterligne"/>
              <w:numPr>
                <w:ilvl w:val="0"/>
                <w:numId w:val="925"/>
              </w:numPr>
              <w:rPr>
                <w:shd w:val="clear" w:color="auto" w:fill="FFFFFF"/>
                <w:lang w:eastAsia="fr-CA"/>
              </w:rPr>
            </w:pPr>
            <w:r w:rsidRPr="00E06872">
              <w:rPr>
                <w:shd w:val="clear" w:color="auto" w:fill="FFFFFF"/>
                <w:lang w:eastAsia="fr-CA"/>
              </w:rPr>
              <w:t>Absence d’anomalies congénitales</w:t>
            </w:r>
          </w:p>
        </w:tc>
      </w:tr>
    </w:tbl>
    <w:p w:rsidR="007263EC" w:rsidRDefault="007263EC" w:rsidP="00122867">
      <w:pPr>
        <w:pStyle w:val="Sansinterligne"/>
        <w:rPr>
          <w:shd w:val="clear" w:color="auto" w:fill="FFFFFF"/>
          <w:lang w:eastAsia="fr-CA"/>
        </w:rPr>
      </w:pPr>
    </w:p>
    <w:p w:rsidR="007263EC" w:rsidRDefault="007263EC" w:rsidP="00122867">
      <w:pPr>
        <w:pStyle w:val="Sansinterligne"/>
        <w:rPr>
          <w:shd w:val="clear" w:color="auto" w:fill="FFFFFF"/>
          <w:lang w:eastAsia="fr-CA"/>
        </w:rPr>
      </w:pPr>
    </w:p>
    <w:p w:rsidR="00122867" w:rsidRDefault="00122867" w:rsidP="00E06BD8">
      <w:pPr>
        <w:spacing w:after="0"/>
        <w:rPr>
          <w:rFonts w:cs="Times New Roman"/>
          <w:b/>
          <w:color w:val="548DD4" w:themeColor="text2" w:themeTint="99"/>
        </w:rPr>
      </w:pPr>
    </w:p>
    <w:p w:rsidR="00122867" w:rsidRDefault="00122867" w:rsidP="00E06BD8">
      <w:pPr>
        <w:spacing w:after="0"/>
        <w:rPr>
          <w:rFonts w:cs="Times New Roman"/>
          <w:b/>
          <w:color w:val="548DD4" w:themeColor="text2" w:themeTint="99"/>
        </w:rPr>
      </w:pPr>
    </w:p>
    <w:p w:rsidR="00122867" w:rsidRDefault="00F16423">
      <w:pPr>
        <w:rPr>
          <w:rFonts w:cs="Times New Roman"/>
          <w:b/>
          <w:color w:val="548DD4" w:themeColor="text2" w:themeTint="99"/>
        </w:rPr>
      </w:pPr>
      <w:r>
        <w:rPr>
          <w:rFonts w:cs="Times New Roman"/>
          <w:b/>
          <w:noProof/>
          <w:color w:val="548DD4" w:themeColor="text2" w:themeTint="99"/>
          <w:lang w:eastAsia="fr-CA"/>
        </w:rPr>
        <mc:AlternateContent>
          <mc:Choice Requires="wpg">
            <w:drawing>
              <wp:anchor distT="0" distB="0" distL="114300" distR="114300" simplePos="0" relativeHeight="251934720" behindDoc="0" locked="0" layoutInCell="1" allowOverlap="1" wp14:anchorId="764E2539" wp14:editId="2EF6F22C">
                <wp:simplePos x="0" y="0"/>
                <wp:positionH relativeFrom="column">
                  <wp:posOffset>1147864</wp:posOffset>
                </wp:positionH>
                <wp:positionV relativeFrom="paragraph">
                  <wp:posOffset>274766</wp:posOffset>
                </wp:positionV>
                <wp:extent cx="4552545" cy="3414408"/>
                <wp:effectExtent l="0" t="0" r="635" b="0"/>
                <wp:wrapNone/>
                <wp:docPr id="452" name="Groupe 452"/>
                <wp:cNvGraphicFramePr/>
                <a:graphic xmlns:a="http://schemas.openxmlformats.org/drawingml/2006/main">
                  <a:graphicData uri="http://schemas.microsoft.com/office/word/2010/wordprocessingGroup">
                    <wpg:wgp>
                      <wpg:cNvGrpSpPr/>
                      <wpg:grpSpPr>
                        <a:xfrm>
                          <a:off x="0" y="0"/>
                          <a:ext cx="4552545" cy="3414408"/>
                          <a:chOff x="0" y="0"/>
                          <a:chExt cx="4552545" cy="3414408"/>
                        </a:xfrm>
                      </wpg:grpSpPr>
                      <pic:pic xmlns:pic="http://schemas.openxmlformats.org/drawingml/2006/picture">
                        <pic:nvPicPr>
                          <pic:cNvPr id="450" name="Image 450" descr="Résultats de recherche d'images pour « apparent life threatening event »"/>
                          <pic:cNvPicPr>
                            <a:picLocks noChangeAspect="1"/>
                          </pic:cNvPicPr>
                        </pic:nvPicPr>
                        <pic:blipFill>
                          <a:blip r:embed="rId368">
                            <a:extLst>
                              <a:ext uri="{28A0092B-C50C-407E-A947-70E740481C1C}">
                                <a14:useLocalDpi xmlns:a14="http://schemas.microsoft.com/office/drawing/2010/main" val="0"/>
                              </a:ext>
                            </a:extLst>
                          </a:blip>
                          <a:srcRect/>
                          <a:stretch>
                            <a:fillRect/>
                          </a:stretch>
                        </pic:blipFill>
                        <pic:spPr bwMode="auto">
                          <a:xfrm>
                            <a:off x="0" y="0"/>
                            <a:ext cx="4552545" cy="3414408"/>
                          </a:xfrm>
                          <a:prstGeom prst="rect">
                            <a:avLst/>
                          </a:prstGeom>
                          <a:noFill/>
                          <a:ln>
                            <a:noFill/>
                          </a:ln>
                        </pic:spPr>
                      </pic:pic>
                      <wps:wsp>
                        <wps:cNvPr id="451" name="Rectangle 451"/>
                        <wps:cNvSpPr/>
                        <wps:spPr>
                          <a:xfrm>
                            <a:off x="68093" y="2052536"/>
                            <a:ext cx="1206230" cy="904672"/>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oupe 452" o:spid="_x0000_s1026" style="position:absolute;margin-left:90.4pt;margin-top:21.65pt;width:358.45pt;height:268.85pt;z-index:251934720" coordsize="45525,3414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">
                <v:shape id="Image 450" o:spid="_x0000_s1027" type="#_x0000_t75" alt="Résultats de recherche d'images pour « apparent life threatening event »" style="position:absolute;width:45525;height:341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3W8i/CAAAA3AAAAA8AAABkcnMvZG93bnJldi54bWxET82KwjAQvgu+QxhhL6Kp4orbNYoKoiIU&#10;dPcBhmZsis2kNNla394chD1+fP/LdWcr0VLjS8cKJuMEBHHudMmFgt+f/WgBwgdkjZVjUvAkD+tV&#10;v7fEVLsHX6i9hkLEEPYpKjAh1KmUPjdk0Y9dTRy5m2sshgibQuoGHzHcVnKaJHNpseTYYLCmnaH8&#10;fv2zCk7m3A43t63d19nufsq+DtPqeFDqY9BtvkEE6sK/+O0+agWzzzg/nolHQK5e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91vIvwgAAANwAAAAPAAAAAAAAAAAAAAAAAJ8C&#10;AABkcnMvZG93bnJldi54bWxQSwUGAAAAAAQABAD3AAAAjgMAAAAA&#10;">
                  <v:imagedata r:id="rId369" o:title="Résultats de recherche d'images pour « apparent life threatening event »"/>
                  <v:path arrowok="t"/>
                </v:shape>
                <v:rect id="Rectangle 451" o:spid="_x0000_s1028" style="position:absolute;left:680;top:20525;width:12063;height:904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JtvcUA&#10;AADcAAAADwAAAGRycy9kb3ducmV2LnhtbESPQUsDMRSE74L/ITyhF7HZlVbatWkRQejJYvXi7bF5&#10;3SxuXpbkud3215tCweMwM98wq83oOzVQTG1gA+W0AEVcB9tyY+Dr8+1hASoJssUuMBk4UYLN+vZm&#10;hZUNR/6gYS+NyhBOFRpwIn2ldaodeUzT0BNn7xCiR8kyNtpGPGa47/RjUTxpjy3nBYc9vTqqf/a/&#10;3sDyXO9kEfq5k/Z72fjy/RCHe2Mmd+PLMyihUf7D1/bWGpjNS7icyUdA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0m29xQAAANwAAAAPAAAAAAAAAAAAAAAAAJgCAABkcnMv&#10;ZG93bnJldi54bWxQSwUGAAAAAAQABAD1AAAAigMAAAAA&#10;" fillcolor="white [3212]" strokecolor="white [3212]" strokeweight="2pt"/>
              </v:group>
            </w:pict>
          </mc:Fallback>
        </mc:AlternateContent>
      </w:r>
      <w:r w:rsidR="00122867">
        <w:rPr>
          <w:rFonts w:cs="Times New Roman"/>
          <w:b/>
          <w:color w:val="548DD4" w:themeColor="text2" w:themeTint="99"/>
        </w:rPr>
        <w:br w:type="page"/>
      </w:r>
    </w:p>
    <w:p w:rsidR="000758BB" w:rsidRDefault="000758BB" w:rsidP="00E06BD8">
      <w:pPr>
        <w:spacing w:after="0"/>
        <w:rPr>
          <w:rFonts w:cs="Times New Roman"/>
          <w:b/>
          <w:color w:val="548DD4" w:themeColor="text2" w:themeTint="99"/>
        </w:rPr>
      </w:pPr>
      <w:r>
        <w:rPr>
          <w:rFonts w:cs="Times New Roman"/>
          <w:b/>
          <w:color w:val="548DD4" w:themeColor="text2" w:themeTint="99"/>
        </w:rPr>
        <w:t>CMC 105</w:t>
      </w:r>
    </w:p>
    <w:p w:rsidR="000758BB" w:rsidRPr="00122867" w:rsidRDefault="000758BB" w:rsidP="00C3435D">
      <w:pPr>
        <w:pStyle w:val="Titre3"/>
        <w:spacing w:before="0"/>
        <w:rPr>
          <w:rFonts w:ascii="Times New Roman" w:hAnsi="Times New Roman" w:cs="Times New Roman"/>
        </w:rPr>
      </w:pPr>
      <w:bookmarkStart w:id="384" w:name="_Toc480797335"/>
      <w:r w:rsidRPr="00122867">
        <w:rPr>
          <w:rFonts w:ascii="Times New Roman" w:hAnsi="Times New Roman" w:cs="Times New Roman"/>
        </w:rPr>
        <w:t>Comportement suicidaire</w:t>
      </w:r>
      <w:bookmarkEnd w:id="384"/>
    </w:p>
    <w:p w:rsidR="000758BB" w:rsidRDefault="000758BB" w:rsidP="00E06BD8">
      <w:pPr>
        <w:spacing w:after="0"/>
        <w:rPr>
          <w:rFonts w:cs="Times New Roman"/>
          <w:b/>
          <w:color w:val="548DD4" w:themeColor="text2" w:themeTint="99"/>
        </w:rPr>
      </w:pPr>
      <w:r>
        <w:rPr>
          <w:rFonts w:cs="Times New Roman"/>
          <w:b/>
          <w:noProof/>
          <w:color w:val="548DD4" w:themeColor="text2" w:themeTint="99"/>
          <w:lang w:eastAsia="fr-CA"/>
        </w:rPr>
        <mc:AlternateContent>
          <mc:Choice Requires="wps">
            <w:drawing>
              <wp:anchor distT="0" distB="0" distL="114300" distR="114300" simplePos="0" relativeHeight="251820032" behindDoc="0" locked="0" layoutInCell="1" allowOverlap="1" wp14:anchorId="52B53C34" wp14:editId="0DD375E7">
                <wp:simplePos x="0" y="0"/>
                <wp:positionH relativeFrom="column">
                  <wp:posOffset>-68094</wp:posOffset>
                </wp:positionH>
                <wp:positionV relativeFrom="paragraph">
                  <wp:posOffset>85225</wp:posOffset>
                </wp:positionV>
                <wp:extent cx="6935822" cy="3015575"/>
                <wp:effectExtent l="0" t="0" r="17780" b="13970"/>
                <wp:wrapNone/>
                <wp:docPr id="339" name="Rectangle 339"/>
                <wp:cNvGraphicFramePr/>
                <a:graphic xmlns:a="http://schemas.openxmlformats.org/drawingml/2006/main">
                  <a:graphicData uri="http://schemas.microsoft.com/office/word/2010/wordprocessingShape">
                    <wps:wsp>
                      <wps:cNvSpPr/>
                      <wps:spPr>
                        <a:xfrm>
                          <a:off x="0" y="0"/>
                          <a:ext cx="6935822" cy="3015575"/>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339" o:spid="_x0000_s1026" style="position:absolute;margin-left:-5.35pt;margin-top:6.7pt;width:546.15pt;height:237.45pt;z-index:2518200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" filled="f" strokecolor="black [1600]" strokeweight="2pt"/>
            </w:pict>
          </mc:Fallback>
        </mc:AlternateContent>
      </w:r>
    </w:p>
    <w:tbl>
      <w:tblPr>
        <w:tblW w:w="3858" w:type="pct"/>
        <w:tblCellSpacing w:w="0" w:type="dxa"/>
        <w:tblCellMar>
          <w:left w:w="0" w:type="dxa"/>
          <w:right w:w="0" w:type="dxa"/>
        </w:tblCellMar>
        <w:tblLook w:val="04A0" w:firstRow="1" w:lastRow="0" w:firstColumn="1" w:lastColumn="0" w:noHBand="0" w:noVBand="1"/>
      </w:tblPr>
      <w:tblGrid>
        <w:gridCol w:w="8333"/>
      </w:tblGrid>
      <w:tr w:rsidR="000758BB" w:rsidRPr="000758BB" w:rsidTr="000758BB">
        <w:trPr>
          <w:tblCellSpacing w:w="0" w:type="dxa"/>
        </w:trPr>
        <w:tc>
          <w:tcPr>
            <w:tcW w:w="0" w:type="auto"/>
            <w:vAlign w:val="bottom"/>
            <w:hideMark/>
          </w:tcPr>
          <w:p w:rsidR="000758BB" w:rsidRPr="000758BB" w:rsidRDefault="000758BB" w:rsidP="000758BB">
            <w:pPr>
              <w:pStyle w:val="Sansinterligne"/>
              <w:rPr>
                <w:b/>
                <w:sz w:val="18"/>
                <w:szCs w:val="18"/>
              </w:rPr>
            </w:pPr>
            <w:r w:rsidRPr="000758BB">
              <w:rPr>
                <w:b/>
                <w:sz w:val="18"/>
                <w:szCs w:val="18"/>
              </w:rPr>
              <w:t>Objectifs principaux</w:t>
            </w:r>
          </w:p>
        </w:tc>
      </w:tr>
    </w:tbl>
    <w:p w:rsidR="000758BB" w:rsidRPr="000758BB" w:rsidRDefault="000758BB" w:rsidP="000758BB">
      <w:pPr>
        <w:pStyle w:val="NormalWeb"/>
        <w:ind w:left="360"/>
        <w:rPr>
          <w:color w:val="000000"/>
          <w:sz w:val="18"/>
          <w:szCs w:val="18"/>
          <w:shd w:val="clear" w:color="auto" w:fill="FFFFFF"/>
        </w:rPr>
      </w:pPr>
      <w:r w:rsidRPr="000758BB">
        <w:rPr>
          <w:color w:val="000000"/>
          <w:sz w:val="18"/>
          <w:szCs w:val="18"/>
          <w:shd w:val="clear" w:color="auto" w:fill="FFFFFF"/>
        </w:rPr>
        <w:t>Dans le cas d'un patient ayant un comportement suicidaire, le candidat devra évaluer le niveau de risque et mettre en place un plan de prise en charge approprié.</w:t>
      </w:r>
    </w:p>
    <w:tbl>
      <w:tblPr>
        <w:tblW w:w="3897" w:type="pct"/>
        <w:tblCellSpacing w:w="0" w:type="dxa"/>
        <w:tblCellMar>
          <w:left w:w="0" w:type="dxa"/>
          <w:right w:w="0" w:type="dxa"/>
        </w:tblCellMar>
        <w:tblLook w:val="04A0" w:firstRow="1" w:lastRow="0" w:firstColumn="1" w:lastColumn="0" w:noHBand="0" w:noVBand="1"/>
      </w:tblPr>
      <w:tblGrid>
        <w:gridCol w:w="8418"/>
      </w:tblGrid>
      <w:tr w:rsidR="000758BB" w:rsidRPr="000758BB" w:rsidTr="000758BB">
        <w:trPr>
          <w:tblCellSpacing w:w="0" w:type="dxa"/>
        </w:trPr>
        <w:tc>
          <w:tcPr>
            <w:tcW w:w="0" w:type="auto"/>
            <w:vAlign w:val="bottom"/>
            <w:hideMark/>
          </w:tcPr>
          <w:p w:rsidR="000758BB" w:rsidRPr="000758BB" w:rsidRDefault="000758BB" w:rsidP="000758BB">
            <w:pPr>
              <w:pStyle w:val="Sansinterligne"/>
              <w:rPr>
                <w:b/>
                <w:sz w:val="16"/>
                <w:szCs w:val="16"/>
              </w:rPr>
            </w:pPr>
            <w:r w:rsidRPr="000758BB">
              <w:rPr>
                <w:b/>
                <w:sz w:val="16"/>
                <w:szCs w:val="16"/>
              </w:rPr>
              <w:t>Objectifs spécifiques</w:t>
            </w:r>
          </w:p>
        </w:tc>
      </w:tr>
    </w:tbl>
    <w:p w:rsidR="000758BB" w:rsidRPr="000758BB" w:rsidRDefault="000758BB" w:rsidP="000758BB">
      <w:pPr>
        <w:pStyle w:val="NormalWeb"/>
        <w:shd w:val="clear" w:color="auto" w:fill="FFFFFF"/>
        <w:ind w:left="360"/>
        <w:rPr>
          <w:color w:val="000000"/>
          <w:sz w:val="16"/>
          <w:szCs w:val="16"/>
          <w:shd w:val="clear" w:color="auto" w:fill="FFFFFF"/>
        </w:rPr>
      </w:pPr>
      <w:r w:rsidRPr="000758BB">
        <w:rPr>
          <w:color w:val="000000"/>
          <w:sz w:val="16"/>
          <w:szCs w:val="16"/>
          <w:shd w:val="clear" w:color="auto" w:fill="FFFFFF"/>
        </w:rPr>
        <w:t>Dans le cas d'un patient ayant un comportement suicidaire, le candidat devra</w:t>
      </w:r>
    </w:p>
    <w:p w:rsidR="000758BB" w:rsidRPr="000758BB" w:rsidRDefault="000758BB" w:rsidP="00233789">
      <w:pPr>
        <w:numPr>
          <w:ilvl w:val="0"/>
          <w:numId w:val="583"/>
        </w:numPr>
        <w:shd w:val="clear" w:color="auto" w:fill="FFFFFF"/>
        <w:spacing w:before="100" w:beforeAutospacing="1" w:after="100" w:afterAutospacing="1" w:line="240" w:lineRule="auto"/>
        <w:rPr>
          <w:rFonts w:cs="Times New Roman"/>
          <w:color w:val="000000"/>
          <w:sz w:val="16"/>
          <w:szCs w:val="16"/>
          <w:shd w:val="clear" w:color="auto" w:fill="FFFFFF"/>
        </w:rPr>
      </w:pPr>
      <w:r w:rsidRPr="000758BB">
        <w:rPr>
          <w:rFonts w:cs="Times New Roman"/>
          <w:color w:val="000000"/>
          <w:sz w:val="16"/>
          <w:szCs w:val="16"/>
          <w:shd w:val="clear" w:color="auto" w:fill="FFFFFF"/>
        </w:rPr>
        <w:t>énumérer et interpréter les constatations cliniques cruciales, notamment :</w:t>
      </w:r>
    </w:p>
    <w:p w:rsidR="000758BB" w:rsidRPr="000758BB" w:rsidRDefault="000758BB" w:rsidP="00233789">
      <w:pPr>
        <w:numPr>
          <w:ilvl w:val="1"/>
          <w:numId w:val="583"/>
        </w:numPr>
        <w:shd w:val="clear" w:color="auto" w:fill="FFFFFF"/>
        <w:spacing w:before="100" w:beforeAutospacing="1" w:after="100" w:afterAutospacing="1" w:line="240" w:lineRule="auto"/>
        <w:rPr>
          <w:rFonts w:cs="Times New Roman"/>
          <w:color w:val="000000"/>
          <w:sz w:val="16"/>
          <w:szCs w:val="16"/>
          <w:shd w:val="clear" w:color="auto" w:fill="FFFFFF"/>
        </w:rPr>
      </w:pPr>
      <w:r w:rsidRPr="000758BB">
        <w:rPr>
          <w:rFonts w:cs="Times New Roman"/>
          <w:color w:val="000000"/>
          <w:sz w:val="16"/>
          <w:szCs w:val="16"/>
          <w:shd w:val="clear" w:color="auto" w:fill="FFFFFF"/>
        </w:rPr>
        <w:t>les facteurs potentiellement en cause déterminés au moyen d’une anamnèse et d’un examen physique appropriés;</w:t>
      </w:r>
    </w:p>
    <w:p w:rsidR="000758BB" w:rsidRPr="000758BB" w:rsidRDefault="000758BB" w:rsidP="00233789">
      <w:pPr>
        <w:numPr>
          <w:ilvl w:val="1"/>
          <w:numId w:val="583"/>
        </w:numPr>
        <w:shd w:val="clear" w:color="auto" w:fill="FFFFFF"/>
        <w:spacing w:before="100" w:beforeAutospacing="1" w:after="100" w:afterAutospacing="1" w:line="240" w:lineRule="auto"/>
        <w:rPr>
          <w:rFonts w:cs="Times New Roman"/>
          <w:color w:val="000000"/>
          <w:sz w:val="16"/>
          <w:szCs w:val="16"/>
          <w:shd w:val="clear" w:color="auto" w:fill="FFFFFF"/>
        </w:rPr>
      </w:pPr>
      <w:r w:rsidRPr="000758BB">
        <w:rPr>
          <w:rFonts w:cs="Times New Roman"/>
          <w:color w:val="000000"/>
          <w:sz w:val="16"/>
          <w:szCs w:val="16"/>
          <w:shd w:val="clear" w:color="auto" w:fill="FFFFFF"/>
        </w:rPr>
        <w:t>les résultats d</w:t>
      </w:r>
      <w:r w:rsidR="00195832">
        <w:rPr>
          <w:rFonts w:cs="Times New Roman"/>
          <w:color w:val="000000"/>
          <w:sz w:val="16"/>
          <w:szCs w:val="16"/>
          <w:shd w:val="clear" w:color="auto" w:fill="FFFFFF"/>
        </w:rPr>
        <w:t>’</w:t>
      </w:r>
      <w:r w:rsidRPr="000758BB">
        <w:rPr>
          <w:rFonts w:cs="Times New Roman"/>
          <w:color w:val="000000"/>
          <w:sz w:val="16"/>
          <w:szCs w:val="16"/>
          <w:shd w:val="clear" w:color="auto" w:fill="FFFFFF"/>
        </w:rPr>
        <w:t>évaluation et de mesure du risque de tentative de suicide, y compris le risque imminent, les facteurs de stress récents et les circonstances du patient;</w:t>
      </w:r>
    </w:p>
    <w:p w:rsidR="000758BB" w:rsidRPr="000758BB" w:rsidRDefault="000758BB" w:rsidP="00233789">
      <w:pPr>
        <w:numPr>
          <w:ilvl w:val="0"/>
          <w:numId w:val="583"/>
        </w:numPr>
        <w:shd w:val="clear" w:color="auto" w:fill="FFFFFF"/>
        <w:spacing w:before="100" w:beforeAutospacing="1" w:after="100" w:afterAutospacing="1" w:line="240" w:lineRule="auto"/>
        <w:rPr>
          <w:rFonts w:cs="Times New Roman"/>
          <w:color w:val="000000"/>
          <w:sz w:val="16"/>
          <w:szCs w:val="16"/>
          <w:shd w:val="clear" w:color="auto" w:fill="FFFFFF"/>
        </w:rPr>
      </w:pPr>
      <w:r w:rsidRPr="000758BB">
        <w:rPr>
          <w:rFonts w:cs="Times New Roman"/>
          <w:color w:val="000000"/>
          <w:sz w:val="16"/>
          <w:szCs w:val="16"/>
          <w:shd w:val="clear" w:color="auto" w:fill="FFFFFF"/>
        </w:rPr>
        <w:t>énumérer et interpréter les examens essentiels, notamment :</w:t>
      </w:r>
    </w:p>
    <w:p w:rsidR="000758BB" w:rsidRPr="000758BB" w:rsidRDefault="000758BB" w:rsidP="00233789">
      <w:pPr>
        <w:numPr>
          <w:ilvl w:val="1"/>
          <w:numId w:val="583"/>
        </w:numPr>
        <w:shd w:val="clear" w:color="auto" w:fill="FFFFFF"/>
        <w:spacing w:before="100" w:beforeAutospacing="1" w:after="100" w:afterAutospacing="1" w:line="240" w:lineRule="auto"/>
        <w:rPr>
          <w:rFonts w:cs="Times New Roman"/>
          <w:color w:val="000000"/>
          <w:sz w:val="16"/>
          <w:szCs w:val="16"/>
          <w:shd w:val="clear" w:color="auto" w:fill="FFFFFF"/>
        </w:rPr>
      </w:pPr>
      <w:r w:rsidRPr="000758BB">
        <w:rPr>
          <w:rFonts w:cs="Times New Roman"/>
          <w:color w:val="000000"/>
          <w:sz w:val="16"/>
          <w:szCs w:val="16"/>
          <w:shd w:val="clear" w:color="auto" w:fill="FFFFFF"/>
        </w:rPr>
        <w:t>des tests de dépistage de consommation d'alcool et de drogues, s'il y a lieu;</w:t>
      </w:r>
    </w:p>
    <w:p w:rsidR="000758BB" w:rsidRPr="000758BB" w:rsidRDefault="000758BB" w:rsidP="00233789">
      <w:pPr>
        <w:numPr>
          <w:ilvl w:val="0"/>
          <w:numId w:val="583"/>
        </w:numPr>
        <w:shd w:val="clear" w:color="auto" w:fill="FFFFFF"/>
        <w:spacing w:before="100" w:beforeAutospacing="1" w:after="100" w:afterAutospacing="1" w:line="240" w:lineRule="auto"/>
        <w:rPr>
          <w:rFonts w:cs="Times New Roman"/>
          <w:color w:val="000000"/>
          <w:sz w:val="16"/>
          <w:szCs w:val="16"/>
          <w:shd w:val="clear" w:color="auto" w:fill="FFFFFF"/>
        </w:rPr>
      </w:pPr>
      <w:r w:rsidRPr="000758BB">
        <w:rPr>
          <w:rFonts w:cs="Times New Roman"/>
          <w:color w:val="000000"/>
          <w:sz w:val="16"/>
          <w:szCs w:val="16"/>
          <w:shd w:val="clear" w:color="auto" w:fill="FFFFFF"/>
        </w:rPr>
        <w:t>établir un plan efficace de prise en charge initiale, notamment :</w:t>
      </w:r>
    </w:p>
    <w:p w:rsidR="000758BB" w:rsidRPr="000758BB" w:rsidRDefault="000758BB" w:rsidP="00233789">
      <w:pPr>
        <w:numPr>
          <w:ilvl w:val="1"/>
          <w:numId w:val="583"/>
        </w:numPr>
        <w:shd w:val="clear" w:color="auto" w:fill="FFFFFF"/>
        <w:spacing w:before="100" w:beforeAutospacing="1" w:after="100" w:afterAutospacing="1" w:line="240" w:lineRule="auto"/>
        <w:rPr>
          <w:rFonts w:cs="Times New Roman"/>
          <w:color w:val="000000"/>
          <w:sz w:val="16"/>
          <w:szCs w:val="16"/>
          <w:shd w:val="clear" w:color="auto" w:fill="FFFFFF"/>
        </w:rPr>
      </w:pPr>
      <w:r w:rsidRPr="000758BB">
        <w:rPr>
          <w:rFonts w:cs="Times New Roman"/>
          <w:color w:val="000000"/>
          <w:sz w:val="16"/>
          <w:szCs w:val="16"/>
          <w:shd w:val="clear" w:color="auto" w:fill="FFFFFF"/>
        </w:rPr>
        <w:t>assurer la sécurité du patient s'il présente un risque imminent de commettre un acte autodestructeur (p. ex. hospitalisation d'urgence), notamment en le gardant en surveillance constante en attendant que les dispositions nécessaires soient prises;</w:t>
      </w:r>
    </w:p>
    <w:p w:rsidR="000758BB" w:rsidRPr="000758BB" w:rsidRDefault="000758BB" w:rsidP="00233789">
      <w:pPr>
        <w:numPr>
          <w:ilvl w:val="1"/>
          <w:numId w:val="583"/>
        </w:numPr>
        <w:shd w:val="clear" w:color="auto" w:fill="FFFFFF"/>
        <w:spacing w:before="100" w:beforeAutospacing="1" w:after="100" w:afterAutospacing="1" w:line="240" w:lineRule="auto"/>
        <w:rPr>
          <w:rFonts w:cs="Times New Roman"/>
          <w:color w:val="000000"/>
          <w:sz w:val="16"/>
          <w:szCs w:val="16"/>
          <w:shd w:val="clear" w:color="auto" w:fill="FFFFFF"/>
        </w:rPr>
      </w:pPr>
      <w:r w:rsidRPr="000758BB">
        <w:rPr>
          <w:rFonts w:cs="Times New Roman"/>
          <w:color w:val="000000"/>
          <w:sz w:val="16"/>
          <w:szCs w:val="16"/>
          <w:shd w:val="clear" w:color="auto" w:fill="FFFFFF"/>
        </w:rPr>
        <w:t>évaluer la capacité du patient de prendre des décisions si ce dernier demande son congé de l'hôpital;</w:t>
      </w:r>
    </w:p>
    <w:p w:rsidR="000758BB" w:rsidRPr="000758BB" w:rsidRDefault="000758BB" w:rsidP="00233789">
      <w:pPr>
        <w:numPr>
          <w:ilvl w:val="1"/>
          <w:numId w:val="583"/>
        </w:numPr>
        <w:shd w:val="clear" w:color="auto" w:fill="FFFFFF"/>
        <w:spacing w:before="100" w:beforeAutospacing="1" w:after="100" w:afterAutospacing="1" w:line="240" w:lineRule="auto"/>
        <w:rPr>
          <w:rFonts w:cs="Times New Roman"/>
          <w:color w:val="000000"/>
          <w:sz w:val="16"/>
          <w:szCs w:val="16"/>
          <w:shd w:val="clear" w:color="auto" w:fill="FFFFFF"/>
        </w:rPr>
      </w:pPr>
      <w:r w:rsidRPr="000758BB">
        <w:rPr>
          <w:rFonts w:cs="Times New Roman"/>
          <w:color w:val="000000"/>
          <w:sz w:val="16"/>
          <w:szCs w:val="16"/>
          <w:shd w:val="clear" w:color="auto" w:fill="FFFFFF"/>
        </w:rPr>
        <w:t>entreprendre le traitement des causes sous-jacentes si le risque de suicide n'est pas imminent (p. ex. dépression, facteur de stress psychosocial);</w:t>
      </w:r>
    </w:p>
    <w:p w:rsidR="000758BB" w:rsidRPr="000758BB" w:rsidRDefault="000758BB" w:rsidP="00233789">
      <w:pPr>
        <w:numPr>
          <w:ilvl w:val="1"/>
          <w:numId w:val="583"/>
        </w:numPr>
        <w:shd w:val="clear" w:color="auto" w:fill="FFFFFF"/>
        <w:spacing w:before="100" w:beforeAutospacing="1" w:after="100" w:afterAutospacing="1" w:line="240" w:lineRule="auto"/>
        <w:rPr>
          <w:rFonts w:cs="Times New Roman"/>
          <w:color w:val="000000"/>
          <w:sz w:val="16"/>
          <w:szCs w:val="16"/>
          <w:shd w:val="clear" w:color="auto" w:fill="FFFFFF"/>
        </w:rPr>
      </w:pPr>
      <w:r w:rsidRPr="000758BB">
        <w:rPr>
          <w:rFonts w:cs="Times New Roman"/>
          <w:color w:val="000000"/>
          <w:sz w:val="16"/>
          <w:szCs w:val="16"/>
          <w:shd w:val="clear" w:color="auto" w:fill="FFFFFF"/>
        </w:rPr>
        <w:t>assurer la confidentialité tout en reconnaissant la valeur des groupes de soutien;</w:t>
      </w:r>
    </w:p>
    <w:p w:rsidR="000758BB" w:rsidRPr="000758BB" w:rsidRDefault="000758BB" w:rsidP="00233789">
      <w:pPr>
        <w:numPr>
          <w:ilvl w:val="1"/>
          <w:numId w:val="583"/>
        </w:numPr>
        <w:shd w:val="clear" w:color="auto" w:fill="FFFFFF"/>
        <w:spacing w:before="100" w:beforeAutospacing="1" w:after="100" w:afterAutospacing="1" w:line="240" w:lineRule="auto"/>
        <w:rPr>
          <w:rFonts w:cs="Times New Roman"/>
          <w:color w:val="000000"/>
          <w:sz w:val="16"/>
          <w:szCs w:val="16"/>
          <w:shd w:val="clear" w:color="auto" w:fill="FFFFFF"/>
        </w:rPr>
      </w:pPr>
      <w:r w:rsidRPr="000758BB">
        <w:rPr>
          <w:rFonts w:cs="Times New Roman"/>
          <w:color w:val="000000"/>
          <w:sz w:val="16"/>
          <w:szCs w:val="16"/>
          <w:shd w:val="clear" w:color="auto" w:fill="FFFFFF"/>
        </w:rPr>
        <w:t>diriger le patient vers des soins spécialisés, s'il y a lieu.</w:t>
      </w:r>
    </w:p>
    <w:p w:rsidR="000758BB" w:rsidRDefault="00B52B5F" w:rsidP="00B52B5F">
      <w:pPr>
        <w:pStyle w:val="Sansinterligne"/>
        <w:rPr>
          <w:b/>
          <w:sz w:val="28"/>
          <w:szCs w:val="28"/>
        </w:rPr>
      </w:pPr>
      <w:r w:rsidRPr="00B52B5F">
        <w:rPr>
          <w:b/>
          <w:sz w:val="28"/>
          <w:szCs w:val="28"/>
        </w:rPr>
        <w:t>Problématique – En chiffres</w:t>
      </w:r>
    </w:p>
    <w:p w:rsidR="00B52B5F" w:rsidRPr="00B52B5F" w:rsidRDefault="00B52B5F" w:rsidP="00B52B5F">
      <w:pPr>
        <w:pStyle w:val="Sansinterligne"/>
        <w:rPr>
          <w:b/>
          <w:sz w:val="28"/>
          <w:szCs w:val="28"/>
        </w:rPr>
      </w:pPr>
    </w:p>
    <w:p w:rsidR="00453FF3" w:rsidRDefault="00453FF3" w:rsidP="000758BB">
      <w:pPr>
        <w:pStyle w:val="Sansinterligne"/>
        <w:rPr>
          <w:lang w:eastAsia="fr-CA"/>
        </w:rPr>
      </w:pPr>
      <w:r>
        <w:rPr>
          <w:lang w:eastAsia="fr-CA"/>
        </w:rPr>
        <w:t xml:space="preserve">Le suicide est une cause de mortalité importante. </w:t>
      </w:r>
    </w:p>
    <w:p w:rsidR="00453FF3" w:rsidRDefault="00453FF3" w:rsidP="001D29A9">
      <w:pPr>
        <w:pStyle w:val="Sansinterligne"/>
        <w:numPr>
          <w:ilvl w:val="0"/>
          <w:numId w:val="607"/>
        </w:numPr>
        <w:rPr>
          <w:lang w:eastAsia="fr-CA"/>
        </w:rPr>
      </w:pPr>
      <w:r>
        <w:rPr>
          <w:lang w:eastAsia="fr-CA"/>
        </w:rPr>
        <w:t>Elle représente 2% des décès au Québec en 2012,</w:t>
      </w:r>
      <w:r w:rsidR="004B4870">
        <w:rPr>
          <w:lang w:eastAsia="fr-CA"/>
        </w:rPr>
        <w:t xml:space="preserve"> (2</w:t>
      </w:r>
      <w:r w:rsidR="004B4870" w:rsidRPr="004B4870">
        <w:rPr>
          <w:vertAlign w:val="superscript"/>
          <w:lang w:eastAsia="fr-CA"/>
        </w:rPr>
        <w:t>e</w:t>
      </w:r>
      <w:r w:rsidR="004B4870">
        <w:rPr>
          <w:lang w:eastAsia="fr-CA"/>
        </w:rPr>
        <w:t xml:space="preserve"> province canadienne en taux de mortalité ajusté)</w:t>
      </w:r>
    </w:p>
    <w:p w:rsidR="004B4870" w:rsidRDefault="00453FF3" w:rsidP="001D29A9">
      <w:pPr>
        <w:pStyle w:val="Sansinterligne"/>
        <w:numPr>
          <w:ilvl w:val="0"/>
          <w:numId w:val="607"/>
        </w:numPr>
        <w:rPr>
          <w:lang w:eastAsia="fr-CA"/>
        </w:rPr>
      </w:pPr>
      <w:r>
        <w:rPr>
          <w:lang w:eastAsia="fr-CA"/>
        </w:rPr>
        <w:t xml:space="preserve">Les moyens les plus utilisés sont : </w:t>
      </w:r>
    </w:p>
    <w:p w:rsidR="004B4870" w:rsidRDefault="004B4870" w:rsidP="001D29A9">
      <w:pPr>
        <w:pStyle w:val="Sansinterligne"/>
        <w:numPr>
          <w:ilvl w:val="1"/>
          <w:numId w:val="607"/>
        </w:numPr>
        <w:rPr>
          <w:lang w:eastAsia="fr-CA"/>
        </w:rPr>
      </w:pPr>
      <w:r>
        <w:rPr>
          <w:lang w:eastAsia="fr-CA"/>
        </w:rPr>
        <w:t>L</w:t>
      </w:r>
      <w:r w:rsidR="00453FF3">
        <w:rPr>
          <w:lang w:eastAsia="fr-CA"/>
        </w:rPr>
        <w:t>’asphyxie/pendaison</w:t>
      </w:r>
    </w:p>
    <w:p w:rsidR="00453FF3" w:rsidRDefault="004B4870" w:rsidP="001D29A9">
      <w:pPr>
        <w:pStyle w:val="Sansinterligne"/>
        <w:numPr>
          <w:ilvl w:val="1"/>
          <w:numId w:val="607"/>
        </w:numPr>
        <w:rPr>
          <w:lang w:eastAsia="fr-CA"/>
        </w:rPr>
      </w:pPr>
      <w:r>
        <w:rPr>
          <w:lang w:eastAsia="fr-CA"/>
        </w:rPr>
        <w:t>L</w:t>
      </w:r>
      <w:r w:rsidR="00453FF3">
        <w:rPr>
          <w:lang w:eastAsia="fr-CA"/>
        </w:rPr>
        <w:t>’intoxication (substance liquides ou solides)</w:t>
      </w:r>
    </w:p>
    <w:p w:rsidR="004B4870" w:rsidRDefault="004B4870" w:rsidP="000758BB">
      <w:pPr>
        <w:pStyle w:val="Sansinterligne"/>
        <w:rPr>
          <w:lang w:eastAsia="fr-CA"/>
        </w:rPr>
      </w:pPr>
    </w:p>
    <w:p w:rsidR="004B4870" w:rsidRDefault="004B4870" w:rsidP="004B4870">
      <w:pPr>
        <w:rPr>
          <w:lang w:eastAsia="fr-CA"/>
        </w:rPr>
      </w:pPr>
      <w:r>
        <w:rPr>
          <w:lang w:eastAsia="fr-CA"/>
        </w:rPr>
        <w:t xml:space="preserve">Cela ne représente toutefois qu’une part du problème, puisque les tentatives de suicide </w:t>
      </w:r>
      <w:r>
        <w:rPr>
          <w:rFonts w:ascii="Century Gothic" w:hAnsi="Century Gothic"/>
          <w:lang w:eastAsia="fr-CA"/>
        </w:rPr>
        <w:t>&gt;&gt;&gt;</w:t>
      </w:r>
      <w:r>
        <w:rPr>
          <w:lang w:eastAsia="fr-CA"/>
        </w:rPr>
        <w:t xml:space="preserve"> décès associés. </w:t>
      </w:r>
    </w:p>
    <w:p w:rsidR="004B4870" w:rsidRPr="00A53316" w:rsidRDefault="004B4870" w:rsidP="001D29A9">
      <w:pPr>
        <w:pStyle w:val="Paragraphedeliste"/>
        <w:numPr>
          <w:ilvl w:val="0"/>
          <w:numId w:val="608"/>
        </w:numPr>
        <w:rPr>
          <w:highlight w:val="yellow"/>
          <w:lang w:eastAsia="fr-CA"/>
        </w:rPr>
      </w:pPr>
      <w:r w:rsidRPr="00A53316">
        <w:rPr>
          <w:highlight w:val="yellow"/>
          <w:lang w:eastAsia="fr-CA"/>
        </w:rPr>
        <w:t>20 tentatives : 1 décès</w:t>
      </w:r>
    </w:p>
    <w:p w:rsidR="004B4870" w:rsidRPr="00A53316" w:rsidRDefault="004B4870" w:rsidP="001D29A9">
      <w:pPr>
        <w:pStyle w:val="Paragraphedeliste"/>
        <w:numPr>
          <w:ilvl w:val="0"/>
          <w:numId w:val="608"/>
        </w:numPr>
        <w:spacing w:after="0"/>
        <w:rPr>
          <w:rFonts w:cs="Times New Roman"/>
          <w:sz w:val="20"/>
          <w:szCs w:val="20"/>
          <w:highlight w:val="yellow"/>
        </w:rPr>
      </w:pPr>
      <w:r w:rsidRPr="00A53316">
        <w:rPr>
          <w:highlight w:val="yellow"/>
          <w:lang w:eastAsia="fr-CA"/>
        </w:rPr>
        <w:t>Les tentatives sont plus fréquentes chez les femmes : 4</w:t>
      </w:r>
      <w:r w:rsidRPr="00A53316">
        <w:rPr>
          <w:rFonts w:cs="Times New Roman"/>
          <w:bCs/>
          <w:color w:val="252525"/>
          <w:sz w:val="20"/>
          <w:szCs w:val="20"/>
          <w:highlight w:val="yellow"/>
          <w:shd w:val="clear" w:color="auto" w:fill="FFFFFF"/>
        </w:rPr>
        <w:t>♀</w:t>
      </w:r>
      <w:r w:rsidRPr="00A53316">
        <w:rPr>
          <w:highlight w:val="yellow"/>
          <w:lang w:eastAsia="fr-CA"/>
        </w:rPr>
        <w:t>: 1</w:t>
      </w:r>
      <w:hyperlink r:id="rId370" w:tooltip="♂" w:history="1">
        <w:r w:rsidRPr="00A53316">
          <w:rPr>
            <w:rStyle w:val="Lienhypertexte"/>
            <w:rFonts w:cs="Times New Roman"/>
            <w:color w:val="0B0080"/>
            <w:sz w:val="20"/>
            <w:szCs w:val="20"/>
            <w:highlight w:val="yellow"/>
            <w:u w:val="none"/>
            <w:shd w:val="clear" w:color="auto" w:fill="FFFFFF"/>
          </w:rPr>
          <w:t>♂</w:t>
        </w:r>
      </w:hyperlink>
    </w:p>
    <w:p w:rsidR="004B4870" w:rsidRPr="00711D1E" w:rsidRDefault="004B4870" w:rsidP="001D29A9">
      <w:pPr>
        <w:pStyle w:val="Sansinterligne"/>
        <w:numPr>
          <w:ilvl w:val="0"/>
          <w:numId w:val="608"/>
        </w:numPr>
        <w:rPr>
          <w:highlight w:val="yellow"/>
          <w:lang w:eastAsia="fr-CA"/>
        </w:rPr>
      </w:pPr>
      <w:r w:rsidRPr="00A53316">
        <w:rPr>
          <w:highlight w:val="yellow"/>
          <w:lang w:eastAsia="fr-CA"/>
        </w:rPr>
        <w:t xml:space="preserve">Le décès par suicide est plus fréquent chez les hommes que les femmes : 3 </w:t>
      </w:r>
      <w:hyperlink r:id="rId371" w:tooltip="♂" w:history="1">
        <w:r w:rsidRPr="00A53316">
          <w:rPr>
            <w:rStyle w:val="Lienhypertexte"/>
            <w:rFonts w:cs="Times New Roman"/>
            <w:color w:val="0B0080"/>
            <w:sz w:val="20"/>
            <w:szCs w:val="20"/>
            <w:highlight w:val="yellow"/>
            <w:u w:val="none"/>
            <w:shd w:val="clear" w:color="auto" w:fill="FFFFFF"/>
          </w:rPr>
          <w:t>♂</w:t>
        </w:r>
      </w:hyperlink>
      <w:r w:rsidRPr="00A53316">
        <w:rPr>
          <w:highlight w:val="yellow"/>
          <w:lang w:eastAsia="fr-CA"/>
        </w:rPr>
        <w:t> :1</w:t>
      </w:r>
      <w:r w:rsidRPr="00A53316">
        <w:rPr>
          <w:rFonts w:cs="Times New Roman"/>
          <w:bCs/>
          <w:color w:val="252525"/>
          <w:sz w:val="20"/>
          <w:szCs w:val="20"/>
          <w:highlight w:val="yellow"/>
          <w:shd w:val="clear" w:color="auto" w:fill="FFFFFF"/>
        </w:rPr>
        <w:t>♀</w:t>
      </w:r>
    </w:p>
    <w:p w:rsidR="00711D1E" w:rsidRPr="00711D1E" w:rsidRDefault="00711D1E" w:rsidP="001D29A9">
      <w:pPr>
        <w:pStyle w:val="Sansinterligne"/>
        <w:numPr>
          <w:ilvl w:val="0"/>
          <w:numId w:val="608"/>
        </w:numPr>
        <w:rPr>
          <w:highlight w:val="yellow"/>
          <w:lang w:eastAsia="fr-CA"/>
        </w:rPr>
      </w:pPr>
      <w:r w:rsidRPr="00711D1E">
        <w:rPr>
          <w:rFonts w:cs="Times New Roman"/>
          <w:bCs/>
          <w:color w:val="252525"/>
          <w:highlight w:val="yellow"/>
          <w:shd w:val="clear" w:color="auto" w:fill="FFFFFF"/>
        </w:rPr>
        <w:t>Blanc</w:t>
      </w:r>
      <w:r w:rsidR="00985F32">
        <w:rPr>
          <w:rFonts w:cs="Times New Roman"/>
          <w:bCs/>
          <w:color w:val="252525"/>
          <w:highlight w:val="yellow"/>
          <w:shd w:val="clear" w:color="auto" w:fill="FFFFFF"/>
        </w:rPr>
        <w:t>s</w:t>
      </w:r>
      <w:r w:rsidRPr="00711D1E">
        <w:rPr>
          <w:rFonts w:cs="Times New Roman"/>
          <w:bCs/>
          <w:color w:val="252525"/>
          <w:highlight w:val="yellow"/>
          <w:shd w:val="clear" w:color="auto" w:fill="FFFFFF"/>
        </w:rPr>
        <w:t xml:space="preserve"> et </w:t>
      </w:r>
      <w:r w:rsidR="00985F32">
        <w:rPr>
          <w:rFonts w:cs="Times New Roman"/>
          <w:bCs/>
          <w:color w:val="252525"/>
          <w:highlight w:val="yellow"/>
          <w:shd w:val="clear" w:color="auto" w:fill="FFFFFF"/>
        </w:rPr>
        <w:t>A</w:t>
      </w:r>
      <w:r w:rsidRPr="00711D1E">
        <w:rPr>
          <w:rFonts w:cs="Times New Roman"/>
          <w:bCs/>
          <w:color w:val="252525"/>
          <w:highlight w:val="yellow"/>
          <w:shd w:val="clear" w:color="auto" w:fill="FFFFFF"/>
        </w:rPr>
        <w:t xml:space="preserve">utochtones vivant en réserve </w:t>
      </w:r>
      <w:r>
        <w:rPr>
          <w:rFonts w:cs="Times New Roman"/>
          <w:bCs/>
          <w:color w:val="252525"/>
          <w:highlight w:val="yellow"/>
          <w:shd w:val="clear" w:color="auto" w:fill="FFFFFF"/>
        </w:rPr>
        <w:t>plus à risque</w:t>
      </w:r>
    </w:p>
    <w:p w:rsidR="00453FF3" w:rsidRDefault="00453FF3" w:rsidP="000758BB">
      <w:pPr>
        <w:pStyle w:val="Sansinterligne"/>
        <w:rPr>
          <w:lang w:eastAsia="fr-CA"/>
        </w:rPr>
      </w:pPr>
    </w:p>
    <w:p w:rsidR="00453FF3" w:rsidRPr="00B52B5F" w:rsidRDefault="004B4870" w:rsidP="000758BB">
      <w:pPr>
        <w:pStyle w:val="Sansinterligne"/>
        <w:rPr>
          <w:b/>
          <w:sz w:val="28"/>
          <w:szCs w:val="28"/>
          <w:lang w:eastAsia="fr-CA"/>
        </w:rPr>
      </w:pPr>
      <w:r w:rsidRPr="00B52B5F">
        <w:rPr>
          <w:b/>
          <w:sz w:val="28"/>
          <w:szCs w:val="28"/>
          <w:lang w:eastAsia="fr-CA"/>
        </w:rPr>
        <w:t>Facteurs</w:t>
      </w:r>
      <w:r w:rsidR="00204D1F" w:rsidRPr="00B52B5F">
        <w:rPr>
          <w:b/>
          <w:sz w:val="28"/>
          <w:szCs w:val="28"/>
          <w:lang w:eastAsia="fr-CA"/>
        </w:rPr>
        <w:t xml:space="preserve"> de risques</w:t>
      </w:r>
    </w:p>
    <w:p w:rsidR="00204D1F" w:rsidRDefault="00204D1F" w:rsidP="000758BB">
      <w:pPr>
        <w:pStyle w:val="Sansinterligne"/>
        <w:rPr>
          <w:lang w:eastAsia="fr-CA"/>
        </w:rPr>
      </w:pPr>
    </w:p>
    <w:tbl>
      <w:tblPr>
        <w:tblStyle w:val="Grilledutableau"/>
        <w:tblW w:w="0" w:type="auto"/>
        <w:tblLayout w:type="fixed"/>
        <w:tblLook w:val="04A0" w:firstRow="1" w:lastRow="0" w:firstColumn="1" w:lastColumn="0" w:noHBand="0" w:noVBand="1"/>
      </w:tblPr>
      <w:tblGrid>
        <w:gridCol w:w="392"/>
        <w:gridCol w:w="5245"/>
        <w:gridCol w:w="5245"/>
      </w:tblGrid>
      <w:tr w:rsidR="00711D1E" w:rsidRPr="00204D1F" w:rsidTr="00711D1E">
        <w:trPr>
          <w:trHeight w:val="2637"/>
        </w:trPr>
        <w:tc>
          <w:tcPr>
            <w:tcW w:w="392" w:type="dxa"/>
            <w:tcBorders>
              <w:right w:val="single" w:sz="4" w:space="0" w:color="FFFF00"/>
            </w:tcBorders>
            <w:shd w:val="clear" w:color="auto" w:fill="FFFF00"/>
          </w:tcPr>
          <w:p w:rsidR="00711D1E" w:rsidRPr="006C0AEC" w:rsidRDefault="00711D1E" w:rsidP="003C29DE">
            <w:pPr>
              <w:pStyle w:val="Sansinterligne"/>
              <w:rPr>
                <w:b/>
                <w:lang w:val="en-CA" w:eastAsia="fr-CA"/>
              </w:rPr>
            </w:pPr>
            <w:r w:rsidRPr="006C0AEC">
              <w:rPr>
                <w:b/>
                <w:lang w:val="en-CA" w:eastAsia="fr-CA"/>
              </w:rPr>
              <w:t>S</w:t>
            </w:r>
          </w:p>
          <w:p w:rsidR="00711D1E" w:rsidRPr="006C0AEC" w:rsidRDefault="00711D1E" w:rsidP="003C29DE">
            <w:pPr>
              <w:pStyle w:val="Sansinterligne"/>
              <w:rPr>
                <w:b/>
                <w:lang w:val="en-CA" w:eastAsia="fr-CA"/>
              </w:rPr>
            </w:pPr>
            <w:r w:rsidRPr="006C0AEC">
              <w:rPr>
                <w:b/>
                <w:lang w:val="en-CA" w:eastAsia="fr-CA"/>
              </w:rPr>
              <w:t>A</w:t>
            </w:r>
          </w:p>
          <w:p w:rsidR="00711D1E" w:rsidRPr="006C0AEC" w:rsidRDefault="00711D1E" w:rsidP="003C29DE">
            <w:pPr>
              <w:pStyle w:val="Sansinterligne"/>
              <w:rPr>
                <w:b/>
                <w:lang w:val="en-CA" w:eastAsia="fr-CA"/>
              </w:rPr>
            </w:pPr>
            <w:r w:rsidRPr="006C0AEC">
              <w:rPr>
                <w:b/>
                <w:lang w:val="en-CA" w:eastAsia="fr-CA"/>
              </w:rPr>
              <w:t>D</w:t>
            </w:r>
          </w:p>
          <w:p w:rsidR="00711D1E" w:rsidRPr="006C0AEC" w:rsidRDefault="00711D1E" w:rsidP="003C29DE">
            <w:pPr>
              <w:pStyle w:val="Sansinterligne"/>
              <w:rPr>
                <w:b/>
                <w:lang w:val="en-CA" w:eastAsia="fr-CA"/>
              </w:rPr>
            </w:pPr>
          </w:p>
          <w:p w:rsidR="00711D1E" w:rsidRPr="006C0AEC" w:rsidRDefault="00711D1E" w:rsidP="003C29DE">
            <w:pPr>
              <w:pStyle w:val="Sansinterligne"/>
              <w:rPr>
                <w:b/>
                <w:lang w:val="en-CA" w:eastAsia="fr-CA"/>
              </w:rPr>
            </w:pPr>
            <w:r w:rsidRPr="006C0AEC">
              <w:rPr>
                <w:b/>
                <w:lang w:val="en-CA" w:eastAsia="fr-CA"/>
              </w:rPr>
              <w:t>P</w:t>
            </w:r>
          </w:p>
          <w:p w:rsidR="00711D1E" w:rsidRPr="006C0AEC" w:rsidRDefault="00711D1E" w:rsidP="003C29DE">
            <w:pPr>
              <w:pStyle w:val="Sansinterligne"/>
              <w:rPr>
                <w:b/>
                <w:lang w:val="en-CA" w:eastAsia="fr-CA"/>
              </w:rPr>
            </w:pPr>
            <w:r w:rsidRPr="006C0AEC">
              <w:rPr>
                <w:b/>
                <w:lang w:val="en-CA" w:eastAsia="fr-CA"/>
              </w:rPr>
              <w:t>E</w:t>
            </w:r>
          </w:p>
          <w:p w:rsidR="00711D1E" w:rsidRPr="006C0AEC" w:rsidRDefault="00711D1E" w:rsidP="003C29DE">
            <w:pPr>
              <w:pStyle w:val="Sansinterligne"/>
              <w:rPr>
                <w:b/>
                <w:lang w:val="en-CA" w:eastAsia="fr-CA"/>
              </w:rPr>
            </w:pPr>
            <w:r w:rsidRPr="006C0AEC">
              <w:rPr>
                <w:b/>
                <w:lang w:val="en-CA" w:eastAsia="fr-CA"/>
              </w:rPr>
              <w:t>R</w:t>
            </w:r>
          </w:p>
          <w:p w:rsidR="00711D1E" w:rsidRPr="006C0AEC" w:rsidRDefault="00711D1E" w:rsidP="003C29DE">
            <w:pPr>
              <w:pStyle w:val="Sansinterligne"/>
              <w:rPr>
                <w:b/>
                <w:lang w:val="en-CA" w:eastAsia="fr-CA"/>
              </w:rPr>
            </w:pPr>
            <w:r w:rsidRPr="006C0AEC">
              <w:rPr>
                <w:b/>
                <w:lang w:val="en-CA" w:eastAsia="fr-CA"/>
              </w:rPr>
              <w:t>S</w:t>
            </w:r>
          </w:p>
          <w:p w:rsidR="00711D1E" w:rsidRPr="006C0AEC" w:rsidRDefault="00711D1E" w:rsidP="003C29DE">
            <w:pPr>
              <w:pStyle w:val="Sansinterligne"/>
              <w:rPr>
                <w:b/>
                <w:lang w:val="en-CA" w:eastAsia="fr-CA"/>
              </w:rPr>
            </w:pPr>
            <w:r w:rsidRPr="006C0AEC">
              <w:rPr>
                <w:b/>
                <w:lang w:val="en-CA" w:eastAsia="fr-CA"/>
              </w:rPr>
              <w:t>O</w:t>
            </w:r>
          </w:p>
          <w:p w:rsidR="00711D1E" w:rsidRPr="006C0AEC" w:rsidRDefault="00711D1E" w:rsidP="003C29DE">
            <w:pPr>
              <w:pStyle w:val="Sansinterligne"/>
              <w:rPr>
                <w:b/>
                <w:lang w:val="en-CA" w:eastAsia="fr-CA"/>
              </w:rPr>
            </w:pPr>
            <w:r w:rsidRPr="006C0AEC">
              <w:rPr>
                <w:b/>
                <w:lang w:val="en-CA" w:eastAsia="fr-CA"/>
              </w:rPr>
              <w:t>N</w:t>
            </w:r>
          </w:p>
          <w:p w:rsidR="00711D1E" w:rsidRPr="006C0AEC" w:rsidRDefault="00711D1E" w:rsidP="003C29DE">
            <w:pPr>
              <w:pStyle w:val="Sansinterligne"/>
              <w:rPr>
                <w:b/>
                <w:lang w:val="en-CA" w:eastAsia="fr-CA"/>
              </w:rPr>
            </w:pPr>
            <w:r w:rsidRPr="006C0AEC">
              <w:rPr>
                <w:b/>
                <w:lang w:val="en-CA" w:eastAsia="fr-CA"/>
              </w:rPr>
              <w:t>S</w:t>
            </w:r>
          </w:p>
        </w:tc>
        <w:tc>
          <w:tcPr>
            <w:tcW w:w="5245" w:type="dxa"/>
            <w:tcBorders>
              <w:left w:val="single" w:sz="4" w:space="0" w:color="FFFF00"/>
            </w:tcBorders>
            <w:shd w:val="clear" w:color="auto" w:fill="FFFF00"/>
          </w:tcPr>
          <w:p w:rsidR="00711D1E" w:rsidRPr="00B55572" w:rsidRDefault="00711D1E" w:rsidP="003C29DE">
            <w:pPr>
              <w:pStyle w:val="Sansinterligne"/>
              <w:rPr>
                <w:lang w:eastAsia="fr-CA"/>
              </w:rPr>
            </w:pPr>
            <w:r w:rsidRPr="00B55572">
              <w:rPr>
                <w:lang w:eastAsia="fr-CA"/>
              </w:rPr>
              <w:t>ex (homme)</w:t>
            </w:r>
          </w:p>
          <w:p w:rsidR="00711D1E" w:rsidRPr="00B55572" w:rsidRDefault="00711D1E" w:rsidP="003C29DE">
            <w:pPr>
              <w:pStyle w:val="Sansinterligne"/>
              <w:rPr>
                <w:lang w:eastAsia="fr-CA"/>
              </w:rPr>
            </w:pPr>
            <w:r w:rsidRPr="00B55572">
              <w:rPr>
                <w:lang w:eastAsia="fr-CA"/>
              </w:rPr>
              <w:t>ge (</w:t>
            </w:r>
            <w:r w:rsidRPr="00B55572">
              <w:rPr>
                <w:rFonts w:ascii="Century Gothic" w:hAnsi="Century Gothic"/>
                <w:lang w:eastAsia="fr-CA"/>
              </w:rPr>
              <w:t>&gt;</w:t>
            </w:r>
            <w:r w:rsidRPr="00B55572">
              <w:rPr>
                <w:lang w:eastAsia="fr-CA"/>
              </w:rPr>
              <w:t xml:space="preserve"> 60 ans)</w:t>
            </w:r>
          </w:p>
          <w:p w:rsidR="00711D1E" w:rsidRPr="00B55572" w:rsidRDefault="00711D1E" w:rsidP="003C29DE">
            <w:pPr>
              <w:pStyle w:val="Sansinterligne"/>
              <w:rPr>
                <w:lang w:eastAsia="fr-CA"/>
              </w:rPr>
            </w:pPr>
            <w:r w:rsidRPr="00B55572">
              <w:rPr>
                <w:lang w:eastAsia="fr-CA"/>
              </w:rPr>
              <w:t>epression</w:t>
            </w:r>
          </w:p>
          <w:p w:rsidR="00711D1E" w:rsidRPr="006C0AEC" w:rsidRDefault="00711D1E" w:rsidP="00B55572">
            <w:pPr>
              <w:pStyle w:val="Sansinterligne"/>
              <w:spacing w:before="240"/>
              <w:rPr>
                <w:lang w:eastAsia="fr-CA"/>
              </w:rPr>
            </w:pPr>
            <w:r w:rsidRPr="006C0AEC">
              <w:rPr>
                <w:lang w:eastAsia="fr-CA"/>
              </w:rPr>
              <w:t>revious attempt (ATCD de tentative)</w:t>
            </w:r>
          </w:p>
          <w:p w:rsidR="00711D1E" w:rsidRPr="00B55572" w:rsidRDefault="00711D1E" w:rsidP="003C29DE">
            <w:pPr>
              <w:pStyle w:val="Sansinterligne"/>
              <w:rPr>
                <w:lang w:val="en-CA" w:eastAsia="fr-CA"/>
              </w:rPr>
            </w:pPr>
            <w:r w:rsidRPr="00B55572">
              <w:rPr>
                <w:lang w:val="en-CA" w:eastAsia="fr-CA"/>
              </w:rPr>
              <w:t>thanol abuse (abus d’alcool)</w:t>
            </w:r>
          </w:p>
          <w:p w:rsidR="00711D1E" w:rsidRPr="006C0AEC" w:rsidRDefault="00711D1E" w:rsidP="003C29DE">
            <w:pPr>
              <w:pStyle w:val="Sansinterligne"/>
              <w:rPr>
                <w:lang w:val="en-CA" w:eastAsia="fr-CA"/>
              </w:rPr>
            </w:pPr>
            <w:r w:rsidRPr="006C0AEC">
              <w:rPr>
                <w:lang w:val="en-CA" w:eastAsia="fr-CA"/>
              </w:rPr>
              <w:t>ational thinking loss (psychose, désespoir)</w:t>
            </w:r>
          </w:p>
          <w:p w:rsidR="00711D1E" w:rsidRPr="00B55572" w:rsidRDefault="00711D1E" w:rsidP="003C29DE">
            <w:pPr>
              <w:pStyle w:val="Sansinterligne"/>
              <w:rPr>
                <w:lang w:eastAsia="fr-CA"/>
              </w:rPr>
            </w:pPr>
            <w:r w:rsidRPr="00B55572">
              <w:rPr>
                <w:lang w:eastAsia="fr-CA"/>
              </w:rPr>
              <w:t>uicide (dans la famille)</w:t>
            </w:r>
          </w:p>
          <w:p w:rsidR="00711D1E" w:rsidRPr="006C0AEC" w:rsidRDefault="00711D1E" w:rsidP="003C29DE">
            <w:pPr>
              <w:pStyle w:val="Sansinterligne"/>
              <w:rPr>
                <w:lang w:eastAsia="fr-CA"/>
              </w:rPr>
            </w:pPr>
            <w:r w:rsidRPr="006C0AEC">
              <w:rPr>
                <w:lang w:eastAsia="fr-CA"/>
              </w:rPr>
              <w:t>rganized plan (COQ – plan)</w:t>
            </w:r>
          </w:p>
          <w:p w:rsidR="00711D1E" w:rsidRPr="006C0AEC" w:rsidRDefault="00711D1E" w:rsidP="003C29DE">
            <w:pPr>
              <w:pStyle w:val="Sansinterligne"/>
              <w:rPr>
                <w:lang w:eastAsia="fr-CA"/>
              </w:rPr>
            </w:pPr>
            <w:r w:rsidRPr="006C0AEC">
              <w:rPr>
                <w:lang w:eastAsia="fr-CA"/>
              </w:rPr>
              <w:t>o spouse (isolement social)</w:t>
            </w:r>
          </w:p>
          <w:p w:rsidR="00711D1E" w:rsidRPr="00B55572" w:rsidRDefault="00711D1E" w:rsidP="003C29DE">
            <w:pPr>
              <w:pStyle w:val="Sansinterligne"/>
              <w:rPr>
                <w:lang w:eastAsia="fr-CA"/>
              </w:rPr>
            </w:pPr>
            <w:r w:rsidRPr="00B55572">
              <w:rPr>
                <w:lang w:eastAsia="fr-CA"/>
              </w:rPr>
              <w:t>erious illness (condition médicale grave, douleur)</w:t>
            </w:r>
          </w:p>
        </w:tc>
        <w:tc>
          <w:tcPr>
            <w:tcW w:w="5245" w:type="dxa"/>
            <w:tcBorders>
              <w:left w:val="single" w:sz="4" w:space="0" w:color="FFFF00"/>
            </w:tcBorders>
            <w:shd w:val="clear" w:color="auto" w:fill="auto"/>
          </w:tcPr>
          <w:p w:rsidR="00711D1E" w:rsidRPr="00711D1E" w:rsidRDefault="00711D1E" w:rsidP="003C29DE">
            <w:pPr>
              <w:pStyle w:val="Sansinterligne"/>
              <w:rPr>
                <w:u w:val="single"/>
                <w:lang w:eastAsia="fr-CA"/>
              </w:rPr>
            </w:pPr>
            <w:r w:rsidRPr="00711D1E">
              <w:rPr>
                <w:u w:val="single"/>
                <w:lang w:eastAsia="fr-CA"/>
              </w:rPr>
              <w:t>Conditions associées </w:t>
            </w:r>
          </w:p>
          <w:p w:rsidR="00711D1E" w:rsidRDefault="00711D1E" w:rsidP="003C29DE">
            <w:pPr>
              <w:pStyle w:val="Sansinterligne"/>
              <w:rPr>
                <w:lang w:eastAsia="fr-CA"/>
              </w:rPr>
            </w:pPr>
          </w:p>
          <w:p w:rsidR="00711D1E" w:rsidRDefault="00711D1E" w:rsidP="003C29DE">
            <w:pPr>
              <w:pStyle w:val="Sansinterligne"/>
              <w:rPr>
                <w:lang w:eastAsia="fr-CA"/>
              </w:rPr>
            </w:pPr>
            <w:r>
              <w:rPr>
                <w:lang w:eastAsia="fr-CA"/>
              </w:rPr>
              <w:t>Trouble de l’humeur : 15% de risque à vie</w:t>
            </w:r>
          </w:p>
          <w:p w:rsidR="00711D1E" w:rsidRDefault="00711D1E" w:rsidP="003C29DE">
            <w:pPr>
              <w:pStyle w:val="Sansinterligne"/>
              <w:rPr>
                <w:lang w:eastAsia="fr-CA"/>
              </w:rPr>
            </w:pPr>
            <w:r>
              <w:rPr>
                <w:lang w:eastAsia="fr-CA"/>
              </w:rPr>
              <w:t>Trouble anxieux (trouble panique)</w:t>
            </w:r>
          </w:p>
          <w:p w:rsidR="00711D1E" w:rsidRDefault="00711D1E" w:rsidP="00711D1E">
            <w:pPr>
              <w:pStyle w:val="Sansinterligne"/>
              <w:rPr>
                <w:lang w:eastAsia="fr-CA"/>
              </w:rPr>
            </w:pPr>
            <w:r>
              <w:rPr>
                <w:lang w:eastAsia="fr-CA"/>
              </w:rPr>
              <w:t>Schizophrénie : 10-15%</w:t>
            </w:r>
          </w:p>
          <w:p w:rsidR="00711D1E" w:rsidRDefault="00711D1E" w:rsidP="00711D1E">
            <w:pPr>
              <w:pStyle w:val="Sansinterligne"/>
              <w:rPr>
                <w:lang w:eastAsia="fr-CA"/>
              </w:rPr>
            </w:pPr>
            <w:r>
              <w:rPr>
                <w:lang w:eastAsia="fr-CA"/>
              </w:rPr>
              <w:t>Abuse de substance – ROH (15%)</w:t>
            </w:r>
          </w:p>
          <w:p w:rsidR="00711D1E" w:rsidRDefault="00711D1E" w:rsidP="00711D1E">
            <w:pPr>
              <w:pStyle w:val="Sansinterligne"/>
              <w:rPr>
                <w:lang w:eastAsia="fr-CA"/>
              </w:rPr>
            </w:pPr>
            <w:r>
              <w:rPr>
                <w:lang w:eastAsia="fr-CA"/>
              </w:rPr>
              <w:t>Trouble alimentaire (5%)</w:t>
            </w:r>
          </w:p>
          <w:p w:rsidR="00711D1E" w:rsidRDefault="00711D1E" w:rsidP="00711D1E">
            <w:pPr>
              <w:pStyle w:val="Sansinterligne"/>
              <w:rPr>
                <w:lang w:eastAsia="fr-CA"/>
              </w:rPr>
            </w:pPr>
            <w:r>
              <w:rPr>
                <w:lang w:eastAsia="fr-CA"/>
              </w:rPr>
              <w:t>Trouble de personnalité (limite, antisociale)</w:t>
            </w:r>
          </w:p>
          <w:p w:rsidR="00711D1E" w:rsidRDefault="00711D1E" w:rsidP="00711D1E">
            <w:pPr>
              <w:pStyle w:val="Sansinterligne"/>
              <w:rPr>
                <w:lang w:eastAsia="fr-CA"/>
              </w:rPr>
            </w:pPr>
            <w:r>
              <w:rPr>
                <w:lang w:eastAsia="fr-CA"/>
              </w:rPr>
              <w:t>Trouble des conduites</w:t>
            </w:r>
          </w:p>
          <w:p w:rsidR="00711D1E" w:rsidRPr="00B55572" w:rsidRDefault="00711D1E" w:rsidP="00711D1E">
            <w:pPr>
              <w:pStyle w:val="Sansinterligne"/>
              <w:rPr>
                <w:lang w:eastAsia="fr-CA"/>
              </w:rPr>
            </w:pPr>
            <w:r>
              <w:rPr>
                <w:lang w:eastAsia="fr-CA"/>
              </w:rPr>
              <w:t>Trouble d’adaptation</w:t>
            </w:r>
          </w:p>
        </w:tc>
      </w:tr>
    </w:tbl>
    <w:p w:rsidR="00204D1F" w:rsidRPr="00204D1F" w:rsidRDefault="00204D1F" w:rsidP="000758BB">
      <w:pPr>
        <w:pStyle w:val="Sansinterligne"/>
        <w:rPr>
          <w:lang w:eastAsia="fr-CA"/>
        </w:rPr>
      </w:pPr>
    </w:p>
    <w:p w:rsidR="00711D1E" w:rsidRDefault="00711D1E" w:rsidP="000758BB">
      <w:pPr>
        <w:pStyle w:val="Sansinterligne"/>
        <w:rPr>
          <w:lang w:eastAsia="fr-CA"/>
        </w:rPr>
      </w:pPr>
    </w:p>
    <w:p w:rsidR="00711D1E" w:rsidRDefault="00711D1E" w:rsidP="000758BB">
      <w:pPr>
        <w:pStyle w:val="Sansinterligne"/>
        <w:rPr>
          <w:lang w:eastAsia="fr-CA"/>
        </w:rPr>
      </w:pPr>
    </w:p>
    <w:p w:rsidR="00711D1E" w:rsidRPr="009944B4" w:rsidRDefault="003C29DE" w:rsidP="000758BB">
      <w:pPr>
        <w:pStyle w:val="Sansinterligne"/>
        <w:rPr>
          <w:b/>
          <w:sz w:val="28"/>
          <w:szCs w:val="28"/>
          <w:lang w:eastAsia="fr-CA"/>
        </w:rPr>
      </w:pPr>
      <w:r w:rsidRPr="009944B4">
        <w:rPr>
          <w:b/>
          <w:sz w:val="28"/>
          <w:szCs w:val="28"/>
          <w:lang w:eastAsia="fr-CA"/>
        </w:rPr>
        <w:t>Histoire et examen physique</w:t>
      </w:r>
    </w:p>
    <w:p w:rsidR="003C29DE" w:rsidRDefault="003C29DE" w:rsidP="000758BB">
      <w:pPr>
        <w:pStyle w:val="Sansinterligne"/>
        <w:rPr>
          <w:lang w:eastAsia="fr-CA"/>
        </w:rPr>
      </w:pPr>
    </w:p>
    <w:p w:rsidR="00DE4FEC" w:rsidRDefault="00DE4FEC" w:rsidP="000758BB">
      <w:pPr>
        <w:pStyle w:val="Sansinterligne"/>
        <w:rPr>
          <w:b/>
          <w:lang w:eastAsia="fr-CA"/>
        </w:rPr>
        <w:sectPr w:rsidR="00DE4FEC" w:rsidSect="00217865">
          <w:type w:val="continuous"/>
          <w:pgSz w:w="12240" w:h="15840"/>
          <w:pgMar w:top="720" w:right="720" w:bottom="720" w:left="720" w:header="708" w:footer="708" w:gutter="0"/>
          <w:cols w:space="708"/>
          <w:docGrid w:linePitch="360"/>
        </w:sectPr>
      </w:pPr>
    </w:p>
    <w:p w:rsidR="00E134B4" w:rsidRPr="009944B4" w:rsidRDefault="00E134B4" w:rsidP="000758BB">
      <w:pPr>
        <w:pStyle w:val="Sansinterligne"/>
        <w:rPr>
          <w:b/>
          <w:lang w:eastAsia="fr-CA"/>
        </w:rPr>
      </w:pPr>
      <w:r w:rsidRPr="009944B4">
        <w:rPr>
          <w:b/>
          <w:lang w:eastAsia="fr-CA"/>
        </w:rPr>
        <w:t>Avant</w:t>
      </w:r>
      <w:r w:rsidR="00A96F2B">
        <w:rPr>
          <w:b/>
          <w:lang w:eastAsia="fr-CA"/>
        </w:rPr>
        <w:t xml:space="preserve"> une tentative</w:t>
      </w:r>
    </w:p>
    <w:p w:rsidR="003C29DE" w:rsidRDefault="003C29DE" w:rsidP="001D29A9">
      <w:pPr>
        <w:pStyle w:val="Sansinterligne"/>
        <w:numPr>
          <w:ilvl w:val="0"/>
          <w:numId w:val="609"/>
        </w:numPr>
        <w:ind w:left="360"/>
        <w:rPr>
          <w:lang w:eastAsia="fr-CA"/>
        </w:rPr>
      </w:pPr>
      <w:r>
        <w:rPr>
          <w:lang w:eastAsia="fr-CA"/>
        </w:rPr>
        <w:t>En plus de mettre en évidence les facteurs de risque:</w:t>
      </w:r>
    </w:p>
    <w:p w:rsidR="004B2F59" w:rsidRDefault="004B2F59" w:rsidP="001D29A9">
      <w:pPr>
        <w:pStyle w:val="Sansinterligne"/>
        <w:numPr>
          <w:ilvl w:val="0"/>
          <w:numId w:val="609"/>
        </w:numPr>
        <w:ind w:left="360"/>
        <w:rPr>
          <w:highlight w:val="yellow"/>
          <w:lang w:eastAsia="fr-CA"/>
        </w:rPr>
      </w:pPr>
      <w:r>
        <w:rPr>
          <w:highlight w:val="yellow"/>
          <w:lang w:eastAsia="fr-CA"/>
        </w:rPr>
        <w:t xml:space="preserve">Se méfier d’un changement de comportement récent / </w:t>
      </w:r>
      <w:r w:rsidRPr="004B2F59">
        <w:rPr>
          <w:rFonts w:cs="Times New Roman"/>
          <w:highlight w:val="yellow"/>
          <w:lang w:eastAsia="fr-CA"/>
        </w:rPr>
        <w:t>guérison «trop» rapide</w:t>
      </w:r>
    </w:p>
    <w:p w:rsidR="003C29DE" w:rsidRPr="00A96F2B" w:rsidRDefault="003C29DE" w:rsidP="001D29A9">
      <w:pPr>
        <w:pStyle w:val="Sansinterligne"/>
        <w:numPr>
          <w:ilvl w:val="0"/>
          <w:numId w:val="609"/>
        </w:numPr>
        <w:ind w:left="360"/>
        <w:rPr>
          <w:highlight w:val="yellow"/>
          <w:lang w:eastAsia="fr-CA"/>
        </w:rPr>
      </w:pPr>
      <w:r w:rsidRPr="00A96F2B">
        <w:rPr>
          <w:highlight w:val="yellow"/>
          <w:lang w:eastAsia="fr-CA"/>
        </w:rPr>
        <w:t xml:space="preserve">Demander </w:t>
      </w:r>
      <w:r w:rsidR="00DE4FEC" w:rsidRPr="00A96F2B">
        <w:rPr>
          <w:highlight w:val="yellow"/>
          <w:lang w:eastAsia="fr-CA"/>
        </w:rPr>
        <w:t xml:space="preserve">clairement </w:t>
      </w:r>
      <w:r w:rsidRPr="00A96F2B">
        <w:rPr>
          <w:highlight w:val="yellow"/>
          <w:lang w:eastAsia="fr-CA"/>
        </w:rPr>
        <w:t xml:space="preserve">au patient clairement s’il a songé au suicide </w:t>
      </w:r>
      <w:r w:rsidR="00DE4FEC" w:rsidRPr="00A96F2B">
        <w:rPr>
          <w:highlight w:val="yellow"/>
          <w:lang w:eastAsia="fr-CA"/>
        </w:rPr>
        <w:t>ou y songe actuellement :</w:t>
      </w:r>
    </w:p>
    <w:p w:rsidR="003C29DE" w:rsidRPr="00A96F2B" w:rsidRDefault="003C29DE" w:rsidP="001D29A9">
      <w:pPr>
        <w:pStyle w:val="Sansinterligne"/>
        <w:numPr>
          <w:ilvl w:val="1"/>
          <w:numId w:val="609"/>
        </w:numPr>
        <w:rPr>
          <w:highlight w:val="yellow"/>
          <w:lang w:eastAsia="fr-CA"/>
        </w:rPr>
      </w:pPr>
      <w:r w:rsidRPr="00A96F2B">
        <w:rPr>
          <w:highlight w:val="yellow"/>
          <w:lang w:eastAsia="fr-CA"/>
        </w:rPr>
        <w:t>Idées passives de mort</w:t>
      </w:r>
    </w:p>
    <w:p w:rsidR="003C29DE" w:rsidRPr="00A96F2B" w:rsidRDefault="003C29DE" w:rsidP="001D29A9">
      <w:pPr>
        <w:pStyle w:val="Sansinterligne"/>
        <w:numPr>
          <w:ilvl w:val="1"/>
          <w:numId w:val="609"/>
        </w:numPr>
        <w:rPr>
          <w:highlight w:val="yellow"/>
          <w:lang w:eastAsia="fr-CA"/>
        </w:rPr>
      </w:pPr>
      <w:r w:rsidRPr="00A96F2B">
        <w:rPr>
          <w:highlight w:val="yellow"/>
          <w:lang w:eastAsia="fr-CA"/>
        </w:rPr>
        <w:t>Idées de mort active</w:t>
      </w:r>
    </w:p>
    <w:p w:rsidR="00EF3389" w:rsidRPr="00A96F2B" w:rsidRDefault="003C29DE" w:rsidP="001D29A9">
      <w:pPr>
        <w:pStyle w:val="Sansinterligne"/>
        <w:numPr>
          <w:ilvl w:val="1"/>
          <w:numId w:val="609"/>
        </w:numPr>
        <w:rPr>
          <w:highlight w:val="yellow"/>
          <w:lang w:eastAsia="fr-CA"/>
        </w:rPr>
      </w:pPr>
      <w:r w:rsidRPr="00A96F2B">
        <w:rPr>
          <w:highlight w:val="yellow"/>
          <w:lang w:eastAsia="fr-CA"/>
        </w:rPr>
        <w:t>Planification (comment, où, quand)</w:t>
      </w:r>
    </w:p>
    <w:p w:rsidR="000758BB" w:rsidRPr="00EF3389" w:rsidRDefault="00E73627" w:rsidP="001D29A9">
      <w:pPr>
        <w:pStyle w:val="Sansinterligne"/>
        <w:numPr>
          <w:ilvl w:val="0"/>
          <w:numId w:val="609"/>
        </w:numPr>
        <w:ind w:left="360"/>
        <w:rPr>
          <w:lang w:eastAsia="fr-CA"/>
        </w:rPr>
      </w:pPr>
      <w:r w:rsidRPr="00EF3389">
        <w:rPr>
          <w:lang w:eastAsia="fr-CA"/>
        </w:rPr>
        <w:t>Facteurs précipitants :</w:t>
      </w:r>
    </w:p>
    <w:p w:rsidR="00E73627" w:rsidRDefault="00E73627" w:rsidP="001D29A9">
      <w:pPr>
        <w:pStyle w:val="Sansinterligne"/>
        <w:numPr>
          <w:ilvl w:val="1"/>
          <w:numId w:val="609"/>
        </w:numPr>
        <w:rPr>
          <w:lang w:eastAsia="fr-CA"/>
        </w:rPr>
      </w:pPr>
      <w:r>
        <w:rPr>
          <w:lang w:eastAsia="fr-CA"/>
        </w:rPr>
        <w:t>Perte d’emploi</w:t>
      </w:r>
    </w:p>
    <w:p w:rsidR="00E73627" w:rsidRDefault="00E73627" w:rsidP="001D29A9">
      <w:pPr>
        <w:pStyle w:val="Sansinterligne"/>
        <w:numPr>
          <w:ilvl w:val="1"/>
          <w:numId w:val="609"/>
        </w:numPr>
        <w:rPr>
          <w:lang w:eastAsia="fr-CA"/>
        </w:rPr>
      </w:pPr>
      <w:r>
        <w:rPr>
          <w:lang w:eastAsia="fr-CA"/>
        </w:rPr>
        <w:t>Divorce, séparation</w:t>
      </w:r>
    </w:p>
    <w:p w:rsidR="003C29DE" w:rsidRDefault="003C29DE" w:rsidP="001D29A9">
      <w:pPr>
        <w:pStyle w:val="Sansinterligne"/>
        <w:numPr>
          <w:ilvl w:val="1"/>
          <w:numId w:val="609"/>
        </w:numPr>
        <w:rPr>
          <w:lang w:eastAsia="fr-CA"/>
        </w:rPr>
      </w:pPr>
      <w:r>
        <w:rPr>
          <w:lang w:eastAsia="fr-CA"/>
        </w:rPr>
        <w:t xml:space="preserve">Évènement </w:t>
      </w:r>
      <w:r w:rsidR="00EF3389">
        <w:rPr>
          <w:lang w:eastAsia="fr-CA"/>
        </w:rPr>
        <w:t>/ maladie</w:t>
      </w:r>
    </w:p>
    <w:p w:rsidR="00EF3389" w:rsidRPr="00A96F2B" w:rsidRDefault="00EF3389" w:rsidP="001D29A9">
      <w:pPr>
        <w:pStyle w:val="Sansinterligne"/>
        <w:numPr>
          <w:ilvl w:val="0"/>
          <w:numId w:val="609"/>
        </w:numPr>
        <w:ind w:left="360"/>
        <w:rPr>
          <w:highlight w:val="yellow"/>
          <w:lang w:eastAsia="fr-CA"/>
        </w:rPr>
      </w:pPr>
      <w:r w:rsidRPr="00A96F2B">
        <w:rPr>
          <w:highlight w:val="yellow"/>
          <w:lang w:eastAsia="fr-CA"/>
        </w:rPr>
        <w:t>Facteurs protecteurs – Pourquoi il ne l’a pas fait</w:t>
      </w:r>
      <w:r w:rsidR="00E134B4" w:rsidRPr="00A96F2B">
        <w:rPr>
          <w:highlight w:val="yellow"/>
          <w:lang w:eastAsia="fr-CA"/>
        </w:rPr>
        <w:t xml:space="preserve"> ?</w:t>
      </w:r>
    </w:p>
    <w:p w:rsidR="00EF3389" w:rsidRPr="00A96F2B" w:rsidRDefault="00EF3389" w:rsidP="001D29A9">
      <w:pPr>
        <w:pStyle w:val="Sansinterligne"/>
        <w:numPr>
          <w:ilvl w:val="1"/>
          <w:numId w:val="609"/>
        </w:numPr>
        <w:rPr>
          <w:highlight w:val="yellow"/>
          <w:lang w:eastAsia="fr-CA"/>
        </w:rPr>
      </w:pPr>
      <w:r w:rsidRPr="00A96F2B">
        <w:rPr>
          <w:highlight w:val="yellow"/>
          <w:lang w:eastAsia="fr-CA"/>
        </w:rPr>
        <w:t>Enfants,  famille, amis, etc.</w:t>
      </w:r>
    </w:p>
    <w:p w:rsidR="00E134B4" w:rsidRPr="00A96F2B" w:rsidRDefault="00E134B4" w:rsidP="001D29A9">
      <w:pPr>
        <w:pStyle w:val="Sansinterligne"/>
        <w:numPr>
          <w:ilvl w:val="1"/>
          <w:numId w:val="609"/>
        </w:numPr>
        <w:rPr>
          <w:highlight w:val="yellow"/>
          <w:lang w:eastAsia="fr-CA"/>
        </w:rPr>
      </w:pPr>
      <w:r w:rsidRPr="00A96F2B">
        <w:rPr>
          <w:highlight w:val="yellow"/>
          <w:lang w:eastAsia="fr-CA"/>
        </w:rPr>
        <w:t>Insister sur ces points et jouer sur l’ambivalence</w:t>
      </w:r>
    </w:p>
    <w:p w:rsidR="00E73627" w:rsidRDefault="00E73627" w:rsidP="00DE4FEC">
      <w:pPr>
        <w:pStyle w:val="Sansinterligne"/>
        <w:rPr>
          <w:lang w:eastAsia="fr-CA"/>
        </w:rPr>
      </w:pPr>
    </w:p>
    <w:tbl>
      <w:tblPr>
        <w:tblStyle w:val="Grilledutableau"/>
        <w:tblW w:w="0" w:type="auto"/>
        <w:tblLook w:val="04A0" w:firstRow="1" w:lastRow="0" w:firstColumn="1" w:lastColumn="0" w:noHBand="0" w:noVBand="1"/>
      </w:tblPr>
      <w:tblGrid>
        <w:gridCol w:w="5186"/>
      </w:tblGrid>
      <w:tr w:rsidR="0088313A" w:rsidRPr="0088313A" w:rsidTr="002479F6">
        <w:trPr>
          <w:trHeight w:val="2357"/>
        </w:trPr>
        <w:tc>
          <w:tcPr>
            <w:tcW w:w="5186" w:type="dxa"/>
            <w:shd w:val="clear" w:color="auto" w:fill="92D050"/>
          </w:tcPr>
          <w:p w:rsidR="0088313A" w:rsidRPr="0088313A" w:rsidRDefault="0088313A" w:rsidP="00F92166">
            <w:pPr>
              <w:pStyle w:val="Sansinterligne"/>
              <w:rPr>
                <w:b/>
                <w:highlight w:val="yellow"/>
                <w:u w:val="single"/>
                <w:lang w:eastAsia="fr-CA"/>
              </w:rPr>
            </w:pPr>
            <w:r w:rsidRPr="0088313A">
              <w:rPr>
                <w:b/>
                <w:highlight w:val="yellow"/>
                <w:u w:val="single"/>
                <w:lang w:eastAsia="fr-CA"/>
              </w:rPr>
              <w:t>Évaluer la dangerosité, l’imminence !</w:t>
            </w:r>
          </w:p>
          <w:p w:rsidR="0088313A" w:rsidRPr="0088313A" w:rsidRDefault="0088313A" w:rsidP="001D29A9">
            <w:pPr>
              <w:pStyle w:val="Sansinterligne"/>
              <w:numPr>
                <w:ilvl w:val="0"/>
                <w:numId w:val="609"/>
              </w:numPr>
              <w:ind w:left="360"/>
              <w:rPr>
                <w:highlight w:val="yellow"/>
                <w:lang w:eastAsia="fr-CA"/>
              </w:rPr>
            </w:pPr>
            <w:r w:rsidRPr="0088313A">
              <w:rPr>
                <w:highlight w:val="yellow"/>
                <w:lang w:eastAsia="fr-CA"/>
              </w:rPr>
              <w:t>Plan (Comment, où, quand)</w:t>
            </w:r>
          </w:p>
          <w:p w:rsidR="0088313A" w:rsidRPr="0088313A" w:rsidRDefault="0088313A" w:rsidP="001D29A9">
            <w:pPr>
              <w:pStyle w:val="Sansinterligne"/>
              <w:numPr>
                <w:ilvl w:val="0"/>
                <w:numId w:val="609"/>
              </w:numPr>
              <w:ind w:left="360"/>
              <w:rPr>
                <w:highlight w:val="yellow"/>
                <w:lang w:eastAsia="fr-CA"/>
              </w:rPr>
            </w:pPr>
            <w:r w:rsidRPr="0088313A">
              <w:rPr>
                <w:highlight w:val="yellow"/>
                <w:lang w:eastAsia="fr-CA"/>
              </w:rPr>
              <w:t>A-t-il déjà le moyen avec lui ? (corde, arme à feu)</w:t>
            </w:r>
          </w:p>
          <w:p w:rsidR="0088313A" w:rsidRPr="0088313A" w:rsidRDefault="0088313A" w:rsidP="001D29A9">
            <w:pPr>
              <w:pStyle w:val="Sansinterligne"/>
              <w:numPr>
                <w:ilvl w:val="0"/>
                <w:numId w:val="609"/>
              </w:numPr>
              <w:ind w:left="360"/>
              <w:rPr>
                <w:highlight w:val="yellow"/>
                <w:lang w:eastAsia="fr-CA"/>
              </w:rPr>
            </w:pPr>
            <w:r w:rsidRPr="0088313A">
              <w:rPr>
                <w:highlight w:val="yellow"/>
                <w:lang w:eastAsia="fr-CA"/>
              </w:rPr>
              <w:t>Quelle est sa capacité à se projeter dans l’avenir ?</w:t>
            </w:r>
          </w:p>
          <w:p w:rsidR="0088313A" w:rsidRPr="0088313A" w:rsidRDefault="0088313A" w:rsidP="001D29A9">
            <w:pPr>
              <w:pStyle w:val="Sansinterligne"/>
              <w:numPr>
                <w:ilvl w:val="1"/>
                <w:numId w:val="609"/>
              </w:numPr>
              <w:rPr>
                <w:highlight w:val="yellow"/>
                <w:lang w:eastAsia="fr-CA"/>
              </w:rPr>
            </w:pPr>
            <w:r w:rsidRPr="0088313A">
              <w:rPr>
                <w:highlight w:val="yellow"/>
                <w:lang w:eastAsia="fr-CA"/>
              </w:rPr>
              <w:t>Testament / lettre d’adieux déjà faite ?</w:t>
            </w:r>
          </w:p>
          <w:p w:rsidR="0088313A" w:rsidRPr="0088313A" w:rsidRDefault="0088313A" w:rsidP="001D29A9">
            <w:pPr>
              <w:pStyle w:val="Sansinterligne"/>
              <w:numPr>
                <w:ilvl w:val="1"/>
                <w:numId w:val="609"/>
              </w:numPr>
              <w:rPr>
                <w:highlight w:val="yellow"/>
                <w:lang w:eastAsia="fr-CA"/>
              </w:rPr>
            </w:pPr>
            <w:r w:rsidRPr="0088313A">
              <w:rPr>
                <w:highlight w:val="yellow"/>
                <w:lang w:eastAsia="fr-CA"/>
              </w:rPr>
              <w:t>Projets / engagements</w:t>
            </w:r>
          </w:p>
          <w:p w:rsidR="0088313A" w:rsidRPr="0088313A" w:rsidRDefault="0088313A" w:rsidP="001D29A9">
            <w:pPr>
              <w:pStyle w:val="Sansinterligne"/>
              <w:numPr>
                <w:ilvl w:val="0"/>
                <w:numId w:val="609"/>
              </w:numPr>
              <w:ind w:left="360"/>
              <w:rPr>
                <w:highlight w:val="yellow"/>
                <w:lang w:eastAsia="fr-CA"/>
              </w:rPr>
            </w:pPr>
            <w:r w:rsidRPr="0088313A">
              <w:rPr>
                <w:highlight w:val="yellow"/>
                <w:lang w:eastAsia="fr-CA"/>
              </w:rPr>
              <w:t>ATCD de tentative (1</w:t>
            </w:r>
            <w:r w:rsidRPr="0088313A">
              <w:rPr>
                <w:highlight w:val="yellow"/>
                <w:vertAlign w:val="superscript"/>
                <w:lang w:eastAsia="fr-CA"/>
              </w:rPr>
              <w:t>er</w:t>
            </w:r>
            <w:r w:rsidRPr="0088313A">
              <w:rPr>
                <w:highlight w:val="yellow"/>
                <w:lang w:eastAsia="fr-CA"/>
              </w:rPr>
              <w:t xml:space="preserve"> facteur de décès) ?</w:t>
            </w:r>
          </w:p>
          <w:p w:rsidR="0088313A" w:rsidRPr="0088313A" w:rsidRDefault="0088313A" w:rsidP="001D29A9">
            <w:pPr>
              <w:pStyle w:val="Sansinterligne"/>
              <w:numPr>
                <w:ilvl w:val="0"/>
                <w:numId w:val="609"/>
              </w:numPr>
              <w:ind w:left="360"/>
              <w:rPr>
                <w:highlight w:val="yellow"/>
                <w:lang w:eastAsia="fr-CA"/>
              </w:rPr>
            </w:pPr>
            <w:r w:rsidRPr="0088313A">
              <w:rPr>
                <w:highlight w:val="yellow"/>
                <w:lang w:eastAsia="fr-CA"/>
              </w:rPr>
              <w:t>Consommation d’alcool ou de substance ?</w:t>
            </w:r>
          </w:p>
          <w:p w:rsidR="0088313A" w:rsidRPr="0088313A" w:rsidRDefault="0088313A" w:rsidP="001D29A9">
            <w:pPr>
              <w:pStyle w:val="Sansinterligne"/>
              <w:numPr>
                <w:ilvl w:val="0"/>
                <w:numId w:val="609"/>
              </w:numPr>
              <w:ind w:left="360"/>
              <w:rPr>
                <w:highlight w:val="yellow"/>
                <w:u w:val="single"/>
                <w:lang w:eastAsia="fr-CA"/>
              </w:rPr>
            </w:pPr>
            <w:r w:rsidRPr="0088313A">
              <w:rPr>
                <w:highlight w:val="yellow"/>
                <w:lang w:eastAsia="fr-CA"/>
              </w:rPr>
              <w:t>A vu son médecin dernièrement – appel à l’aide</w:t>
            </w:r>
          </w:p>
        </w:tc>
      </w:tr>
    </w:tbl>
    <w:p w:rsidR="00E134B4" w:rsidRPr="009944B4" w:rsidRDefault="00E134B4" w:rsidP="00DE4FEC">
      <w:pPr>
        <w:pStyle w:val="Sansinterligne"/>
        <w:rPr>
          <w:b/>
          <w:lang w:eastAsia="fr-CA"/>
        </w:rPr>
      </w:pPr>
      <w:r w:rsidRPr="009944B4">
        <w:rPr>
          <w:b/>
          <w:lang w:eastAsia="fr-CA"/>
        </w:rPr>
        <w:t xml:space="preserve">Après </w:t>
      </w:r>
      <w:r w:rsidR="00A96F2B">
        <w:rPr>
          <w:b/>
          <w:lang w:eastAsia="fr-CA"/>
        </w:rPr>
        <w:t xml:space="preserve">une </w:t>
      </w:r>
      <w:r w:rsidRPr="009944B4">
        <w:rPr>
          <w:b/>
          <w:lang w:eastAsia="fr-CA"/>
        </w:rPr>
        <w:t>tentative</w:t>
      </w:r>
    </w:p>
    <w:p w:rsidR="00E134B4" w:rsidRDefault="00E134B4" w:rsidP="001D29A9">
      <w:pPr>
        <w:pStyle w:val="Sansinterligne"/>
        <w:numPr>
          <w:ilvl w:val="0"/>
          <w:numId w:val="609"/>
        </w:numPr>
        <w:ind w:left="360"/>
        <w:rPr>
          <w:lang w:eastAsia="fr-CA"/>
        </w:rPr>
      </w:pPr>
      <w:r>
        <w:rPr>
          <w:lang w:eastAsia="fr-CA"/>
        </w:rPr>
        <w:t>Lieu ?</w:t>
      </w:r>
    </w:p>
    <w:p w:rsidR="00E134B4" w:rsidRDefault="00E134B4" w:rsidP="001D29A9">
      <w:pPr>
        <w:pStyle w:val="Sansinterligne"/>
        <w:numPr>
          <w:ilvl w:val="0"/>
          <w:numId w:val="609"/>
        </w:numPr>
        <w:ind w:left="360"/>
        <w:rPr>
          <w:lang w:eastAsia="fr-CA"/>
        </w:rPr>
      </w:pPr>
      <w:r>
        <w:rPr>
          <w:lang w:eastAsia="fr-CA"/>
        </w:rPr>
        <w:t>Planification versus acte impulsif</w:t>
      </w:r>
    </w:p>
    <w:p w:rsidR="00E134B4" w:rsidRDefault="00E134B4" w:rsidP="001D29A9">
      <w:pPr>
        <w:pStyle w:val="Sansinterligne"/>
        <w:numPr>
          <w:ilvl w:val="0"/>
          <w:numId w:val="609"/>
        </w:numPr>
        <w:ind w:left="360"/>
        <w:rPr>
          <w:lang w:eastAsia="fr-CA"/>
        </w:rPr>
      </w:pPr>
      <w:r>
        <w:rPr>
          <w:lang w:eastAsia="fr-CA"/>
        </w:rPr>
        <w:t>Consommation / intoxication ?</w:t>
      </w:r>
    </w:p>
    <w:p w:rsidR="00E134B4" w:rsidRDefault="00E134B4" w:rsidP="001D29A9">
      <w:pPr>
        <w:pStyle w:val="Sansinterligne"/>
        <w:numPr>
          <w:ilvl w:val="0"/>
          <w:numId w:val="609"/>
        </w:numPr>
        <w:ind w:left="360"/>
        <w:rPr>
          <w:lang w:eastAsia="fr-CA"/>
        </w:rPr>
      </w:pPr>
      <w:r>
        <w:rPr>
          <w:lang w:eastAsia="fr-CA"/>
        </w:rPr>
        <w:t>Amené à l’urgence ou venu par lui-même ?</w:t>
      </w:r>
    </w:p>
    <w:p w:rsidR="00E134B4" w:rsidRDefault="00E134B4" w:rsidP="001D29A9">
      <w:pPr>
        <w:pStyle w:val="Sansinterligne"/>
        <w:numPr>
          <w:ilvl w:val="0"/>
          <w:numId w:val="609"/>
        </w:numPr>
        <w:ind w:left="360"/>
        <w:rPr>
          <w:lang w:eastAsia="fr-CA"/>
        </w:rPr>
      </w:pPr>
      <w:r>
        <w:rPr>
          <w:lang w:eastAsia="fr-CA"/>
        </w:rPr>
        <w:t>Intention de mourir ou appel à l’aide ?</w:t>
      </w:r>
    </w:p>
    <w:p w:rsidR="00E134B4" w:rsidRPr="000758BB" w:rsidRDefault="00E134B4" w:rsidP="001D29A9">
      <w:pPr>
        <w:pStyle w:val="Sansinterligne"/>
        <w:numPr>
          <w:ilvl w:val="0"/>
          <w:numId w:val="609"/>
        </w:numPr>
        <w:ind w:left="360"/>
        <w:rPr>
          <w:lang w:eastAsia="fr-CA"/>
        </w:rPr>
      </w:pPr>
      <w:r>
        <w:rPr>
          <w:lang w:eastAsia="fr-CA"/>
        </w:rPr>
        <w:t>Remords vs déception de ne pas avoir réussi ?</w:t>
      </w:r>
    </w:p>
    <w:p w:rsidR="000758BB" w:rsidRDefault="000758BB" w:rsidP="00DE4FEC">
      <w:pPr>
        <w:pStyle w:val="Sansinterligne"/>
      </w:pPr>
    </w:p>
    <w:p w:rsidR="009944B4" w:rsidRDefault="009944B4" w:rsidP="001D29A9">
      <w:pPr>
        <w:pStyle w:val="Sansinterligne"/>
        <w:numPr>
          <w:ilvl w:val="0"/>
          <w:numId w:val="609"/>
        </w:numPr>
        <w:ind w:left="360"/>
      </w:pPr>
      <w:r>
        <w:t>Lésions potentiellement mortelle à adresser ?</w:t>
      </w:r>
    </w:p>
    <w:p w:rsidR="009944B4" w:rsidRDefault="009944B4" w:rsidP="001D29A9">
      <w:pPr>
        <w:pStyle w:val="Sansinterligne"/>
        <w:numPr>
          <w:ilvl w:val="1"/>
          <w:numId w:val="609"/>
        </w:numPr>
      </w:pPr>
      <w:r>
        <w:t xml:space="preserve">Lacérations vasculaires </w:t>
      </w:r>
    </w:p>
    <w:p w:rsidR="009944B4" w:rsidRDefault="009944B4" w:rsidP="001D29A9">
      <w:pPr>
        <w:pStyle w:val="Sansinterligne"/>
        <w:numPr>
          <w:ilvl w:val="1"/>
          <w:numId w:val="609"/>
        </w:numPr>
      </w:pPr>
      <w:r>
        <w:t>Intoxication</w:t>
      </w:r>
    </w:p>
    <w:p w:rsidR="009944B4" w:rsidRDefault="009944B4" w:rsidP="001D29A9">
      <w:pPr>
        <w:pStyle w:val="Sansinterligne"/>
        <w:numPr>
          <w:ilvl w:val="1"/>
          <w:numId w:val="609"/>
        </w:numPr>
      </w:pPr>
      <w:r>
        <w:t>Insuffisance hépatique/rénale</w:t>
      </w:r>
    </w:p>
    <w:p w:rsidR="009944B4" w:rsidRDefault="009944B4" w:rsidP="001D29A9">
      <w:pPr>
        <w:pStyle w:val="Sansinterligne"/>
        <w:numPr>
          <w:ilvl w:val="1"/>
          <w:numId w:val="609"/>
        </w:numPr>
      </w:pPr>
      <w:r>
        <w:t>Réanimation / urgence selon condition</w:t>
      </w:r>
    </w:p>
    <w:p w:rsidR="00DE4FEC" w:rsidRDefault="00DE4FEC" w:rsidP="003C29DE">
      <w:pPr>
        <w:pStyle w:val="Sansinterligne"/>
      </w:pPr>
    </w:p>
    <w:p w:rsidR="001B32A0" w:rsidRDefault="001B32A0" w:rsidP="003C29DE">
      <w:pPr>
        <w:pStyle w:val="Sansinterligne"/>
      </w:pPr>
    </w:p>
    <w:p w:rsidR="004B2F59" w:rsidRDefault="004B2F59" w:rsidP="003C29DE">
      <w:pPr>
        <w:pStyle w:val="Sansinterligne"/>
      </w:pPr>
      <w:r>
        <w:rPr>
          <w:noProof/>
          <w:lang w:eastAsia="fr-CA"/>
        </w:rPr>
        <w:drawing>
          <wp:anchor distT="0" distB="0" distL="114300" distR="114300" simplePos="0" relativeHeight="251826176" behindDoc="0" locked="0" layoutInCell="1" allowOverlap="1" wp14:anchorId="1C977365" wp14:editId="79329E70">
            <wp:simplePos x="0" y="0"/>
            <wp:positionH relativeFrom="column">
              <wp:posOffset>-161209</wp:posOffset>
            </wp:positionH>
            <wp:positionV relativeFrom="paragraph">
              <wp:posOffset>82550</wp:posOffset>
            </wp:positionV>
            <wp:extent cx="3312766" cy="2548647"/>
            <wp:effectExtent l="0" t="0" r="2540" b="4445"/>
            <wp:wrapNone/>
            <wp:docPr id="344" name="Image 344" descr="Résultats de recherche d'images pour « suicid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Résultats de recherche d'images pour « suicide »"/>
                    <pic:cNvPicPr>
                      <a:picLocks noChangeAspect="1" noChangeArrowheads="1"/>
                    </pic:cNvPicPr>
                  </pic:nvPicPr>
                  <pic:blipFill rotWithShape="1">
                    <a:blip r:embed="rId372" cstate="print">
                      <a:extLst>
                        <a:ext uri="{28A0092B-C50C-407E-A947-70E740481C1C}">
                          <a14:useLocalDpi xmlns:a14="http://schemas.microsoft.com/office/drawing/2010/main" val="0"/>
                        </a:ext>
                      </a:extLst>
                    </a:blip>
                    <a:srcRect l="22335" r="12690"/>
                    <a:stretch/>
                  </pic:blipFill>
                  <pic:spPr bwMode="auto">
                    <a:xfrm>
                      <a:off x="0" y="0"/>
                      <a:ext cx="3312766" cy="2548647"/>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1B32A0" w:rsidRDefault="001B32A0" w:rsidP="003C29DE">
      <w:pPr>
        <w:pStyle w:val="Sansinterligne"/>
      </w:pPr>
    </w:p>
    <w:p w:rsidR="004B2F59" w:rsidRDefault="004B2F59" w:rsidP="003C29DE">
      <w:pPr>
        <w:pStyle w:val="Sansinterligne"/>
      </w:pPr>
    </w:p>
    <w:p w:rsidR="00A96F2B" w:rsidRDefault="00A96F2B" w:rsidP="003C29DE">
      <w:pPr>
        <w:pStyle w:val="Sansinterligne"/>
      </w:pPr>
    </w:p>
    <w:p w:rsidR="00A96F2B" w:rsidRDefault="00A96F2B" w:rsidP="003C29DE">
      <w:pPr>
        <w:pStyle w:val="Sansinterligne"/>
      </w:pPr>
    </w:p>
    <w:p w:rsidR="00A96F2B" w:rsidRDefault="00A96F2B" w:rsidP="003C29DE">
      <w:pPr>
        <w:pStyle w:val="Sansinterligne"/>
      </w:pPr>
    </w:p>
    <w:p w:rsidR="00A96F2B" w:rsidRDefault="00A96F2B" w:rsidP="003C29DE">
      <w:pPr>
        <w:pStyle w:val="Sansinterligne"/>
      </w:pPr>
    </w:p>
    <w:p w:rsidR="00A96F2B" w:rsidRDefault="00A96F2B" w:rsidP="003C29DE">
      <w:pPr>
        <w:pStyle w:val="Sansinterligne"/>
      </w:pPr>
    </w:p>
    <w:p w:rsidR="00A96F2B" w:rsidRDefault="00A96F2B" w:rsidP="003C29DE">
      <w:pPr>
        <w:pStyle w:val="Sansinterligne"/>
      </w:pPr>
    </w:p>
    <w:p w:rsidR="00A96F2B" w:rsidRDefault="00A96F2B" w:rsidP="003C29DE">
      <w:pPr>
        <w:pStyle w:val="Sansinterligne"/>
      </w:pPr>
    </w:p>
    <w:p w:rsidR="00A96F2B" w:rsidRDefault="00A96F2B" w:rsidP="003C29DE">
      <w:pPr>
        <w:pStyle w:val="Sansinterligne"/>
      </w:pPr>
    </w:p>
    <w:p w:rsidR="00A96F2B" w:rsidRDefault="00A96F2B" w:rsidP="003C29DE">
      <w:pPr>
        <w:pStyle w:val="Sansinterligne"/>
        <w:sectPr w:rsidR="00A96F2B" w:rsidSect="00DE4FEC">
          <w:type w:val="continuous"/>
          <w:pgSz w:w="12240" w:h="15840"/>
          <w:pgMar w:top="720" w:right="720" w:bottom="720" w:left="720" w:header="708" w:footer="708" w:gutter="0"/>
          <w:cols w:num="2" w:space="708"/>
          <w:docGrid w:linePitch="360"/>
        </w:sectPr>
      </w:pPr>
    </w:p>
    <w:p w:rsidR="00A96F2B" w:rsidRDefault="00A96F2B" w:rsidP="003C29DE">
      <w:pPr>
        <w:pStyle w:val="Sansinterligne"/>
      </w:pPr>
    </w:p>
    <w:p w:rsidR="009944B4" w:rsidRPr="00DE4FEC" w:rsidRDefault="009944B4" w:rsidP="003C29DE">
      <w:pPr>
        <w:pStyle w:val="Sansinterligne"/>
        <w:rPr>
          <w:b/>
          <w:sz w:val="28"/>
          <w:szCs w:val="28"/>
        </w:rPr>
      </w:pPr>
      <w:r w:rsidRPr="00DE4FEC">
        <w:rPr>
          <w:b/>
          <w:sz w:val="28"/>
          <w:szCs w:val="28"/>
        </w:rPr>
        <w:t>Investigation</w:t>
      </w:r>
    </w:p>
    <w:p w:rsidR="009944B4" w:rsidRDefault="009944B4" w:rsidP="003C29DE">
      <w:pPr>
        <w:pStyle w:val="Sansinterligne"/>
      </w:pPr>
    </w:p>
    <w:p w:rsidR="009944B4" w:rsidRDefault="009944B4" w:rsidP="001D29A9">
      <w:pPr>
        <w:pStyle w:val="Sansinterligne"/>
        <w:numPr>
          <w:ilvl w:val="0"/>
          <w:numId w:val="610"/>
        </w:numPr>
      </w:pPr>
      <w:r>
        <w:t>TSH</w:t>
      </w:r>
    </w:p>
    <w:p w:rsidR="009944B4" w:rsidRDefault="009944B4" w:rsidP="001D29A9">
      <w:pPr>
        <w:pStyle w:val="Sansinterligne"/>
        <w:numPr>
          <w:ilvl w:val="0"/>
          <w:numId w:val="610"/>
        </w:numPr>
      </w:pPr>
      <w:r>
        <w:t>Dépistage de drogues de rue</w:t>
      </w:r>
    </w:p>
    <w:p w:rsidR="009944B4" w:rsidRDefault="009944B4" w:rsidP="001D29A9">
      <w:pPr>
        <w:pStyle w:val="Sansinterligne"/>
        <w:numPr>
          <w:ilvl w:val="0"/>
          <w:numId w:val="610"/>
        </w:numPr>
      </w:pPr>
      <w:r>
        <w:t>Éthanolémie</w:t>
      </w:r>
    </w:p>
    <w:p w:rsidR="009944B4" w:rsidRDefault="009944B4" w:rsidP="001D29A9">
      <w:pPr>
        <w:pStyle w:val="Sansinterligne"/>
        <w:numPr>
          <w:ilvl w:val="0"/>
          <w:numId w:val="610"/>
        </w:numPr>
      </w:pPr>
      <w:r>
        <w:t>Bilans appropriés si tentative vient d’arriver</w:t>
      </w:r>
    </w:p>
    <w:p w:rsidR="009944B4" w:rsidRDefault="009944B4" w:rsidP="003C29DE">
      <w:pPr>
        <w:pStyle w:val="Sansinterligne"/>
      </w:pPr>
    </w:p>
    <w:p w:rsidR="009944B4" w:rsidRPr="00A96F2B" w:rsidRDefault="009944B4" w:rsidP="003C29DE">
      <w:pPr>
        <w:pStyle w:val="Sansinterligne"/>
        <w:rPr>
          <w:b/>
          <w:sz w:val="28"/>
          <w:szCs w:val="28"/>
        </w:rPr>
      </w:pPr>
      <w:r w:rsidRPr="00A96F2B">
        <w:rPr>
          <w:b/>
          <w:sz w:val="28"/>
          <w:szCs w:val="28"/>
        </w:rPr>
        <w:t>Prise en charge</w:t>
      </w:r>
    </w:p>
    <w:p w:rsidR="00A96F2B" w:rsidRDefault="00A96F2B" w:rsidP="003C29DE">
      <w:pPr>
        <w:pStyle w:val="Sansinterligne"/>
      </w:pPr>
    </w:p>
    <w:p w:rsidR="009944B4" w:rsidRPr="003D7D68" w:rsidRDefault="009944B4" w:rsidP="003C29DE">
      <w:pPr>
        <w:pStyle w:val="Sansinterligne"/>
        <w:rPr>
          <w:highlight w:val="yellow"/>
          <w:u w:val="single"/>
        </w:rPr>
      </w:pPr>
      <w:r w:rsidRPr="003D7D68">
        <w:rPr>
          <w:highlight w:val="yellow"/>
          <w:u w:val="single"/>
        </w:rPr>
        <w:t xml:space="preserve">Si risque élevé (passage à l’acte </w:t>
      </w:r>
      <w:r w:rsidRPr="003D7D68">
        <w:rPr>
          <w:rFonts w:ascii="Century Gothic" w:hAnsi="Century Gothic"/>
          <w:highlight w:val="yellow"/>
          <w:u w:val="single"/>
        </w:rPr>
        <w:t>&lt;</w:t>
      </w:r>
      <w:r w:rsidRPr="003D7D68">
        <w:rPr>
          <w:highlight w:val="yellow"/>
          <w:u w:val="single"/>
        </w:rPr>
        <w:t xml:space="preserve"> 48h)</w:t>
      </w:r>
    </w:p>
    <w:p w:rsidR="009944B4" w:rsidRPr="003D7D68" w:rsidRDefault="009944B4" w:rsidP="001D29A9">
      <w:pPr>
        <w:pStyle w:val="Sansinterligne"/>
        <w:numPr>
          <w:ilvl w:val="0"/>
          <w:numId w:val="611"/>
        </w:numPr>
        <w:rPr>
          <w:highlight w:val="yellow"/>
        </w:rPr>
      </w:pPr>
      <w:r w:rsidRPr="003D7D68">
        <w:rPr>
          <w:highlight w:val="yellow"/>
        </w:rPr>
        <w:t>Hospitalisation</w:t>
      </w:r>
    </w:p>
    <w:p w:rsidR="009944B4" w:rsidRPr="003D7D68" w:rsidRDefault="009944B4" w:rsidP="001D29A9">
      <w:pPr>
        <w:pStyle w:val="Sansinterligne"/>
        <w:numPr>
          <w:ilvl w:val="0"/>
          <w:numId w:val="611"/>
        </w:numPr>
        <w:rPr>
          <w:highlight w:val="yellow"/>
        </w:rPr>
      </w:pPr>
      <w:r w:rsidRPr="003D7D68">
        <w:rPr>
          <w:highlight w:val="yellow"/>
        </w:rPr>
        <w:t xml:space="preserve">Utiliser la loi si nécessaire (voir </w:t>
      </w:r>
      <w:r w:rsidRPr="003D7D68">
        <w:rPr>
          <w:i/>
          <w:highlight w:val="yellow"/>
        </w:rPr>
        <w:t>Système juridique CMC 121-5</w:t>
      </w:r>
      <w:r w:rsidRPr="003D7D68">
        <w:rPr>
          <w:highlight w:val="yellow"/>
        </w:rPr>
        <w:t>)</w:t>
      </w:r>
    </w:p>
    <w:p w:rsidR="009944B4" w:rsidRPr="003D7D68" w:rsidRDefault="009944B4" w:rsidP="001D29A9">
      <w:pPr>
        <w:pStyle w:val="Sansinterligne"/>
        <w:numPr>
          <w:ilvl w:val="0"/>
          <w:numId w:val="611"/>
        </w:numPr>
        <w:rPr>
          <w:highlight w:val="yellow"/>
        </w:rPr>
      </w:pPr>
      <w:r w:rsidRPr="003D7D68">
        <w:rPr>
          <w:highlight w:val="yellow"/>
        </w:rPr>
        <w:t>Retirer tout moyen de suicide à portée du patient</w:t>
      </w:r>
    </w:p>
    <w:p w:rsidR="00A96F2B" w:rsidRPr="003D7D68" w:rsidRDefault="00A96F2B" w:rsidP="003C29DE">
      <w:pPr>
        <w:pStyle w:val="Sansinterligne"/>
        <w:rPr>
          <w:highlight w:val="yellow"/>
        </w:rPr>
      </w:pPr>
    </w:p>
    <w:p w:rsidR="00F73E91" w:rsidRPr="003D7D68" w:rsidRDefault="00F73E91" w:rsidP="003C29DE">
      <w:pPr>
        <w:pStyle w:val="Sansinterligne"/>
        <w:rPr>
          <w:highlight w:val="yellow"/>
          <w:u w:val="single"/>
        </w:rPr>
      </w:pPr>
      <w:r w:rsidRPr="003D7D68">
        <w:rPr>
          <w:highlight w:val="yellow"/>
          <w:u w:val="single"/>
        </w:rPr>
        <w:t>Si risque faible (ou pas imminent)</w:t>
      </w:r>
    </w:p>
    <w:p w:rsidR="00F73E91" w:rsidRPr="003D7D68" w:rsidRDefault="00F73E91" w:rsidP="001D29A9">
      <w:pPr>
        <w:pStyle w:val="Sansinterligne"/>
        <w:numPr>
          <w:ilvl w:val="0"/>
          <w:numId w:val="612"/>
        </w:numPr>
        <w:rPr>
          <w:highlight w:val="yellow"/>
        </w:rPr>
      </w:pPr>
      <w:r w:rsidRPr="003D7D68">
        <w:rPr>
          <w:highlight w:val="yellow"/>
        </w:rPr>
        <w:t>Discuter des facteurs protecteurs, du support social</w:t>
      </w:r>
      <w:r w:rsidR="00A00DFE" w:rsidRPr="003D7D68">
        <w:rPr>
          <w:highlight w:val="yellow"/>
        </w:rPr>
        <w:t>, jouer sur l’ambivalence</w:t>
      </w:r>
    </w:p>
    <w:p w:rsidR="008A06D6" w:rsidRPr="003D7D68" w:rsidRDefault="00F73E91" w:rsidP="001D29A9">
      <w:pPr>
        <w:pStyle w:val="Sansinterligne"/>
        <w:numPr>
          <w:ilvl w:val="0"/>
          <w:numId w:val="612"/>
        </w:numPr>
        <w:rPr>
          <w:highlight w:val="yellow"/>
        </w:rPr>
      </w:pPr>
      <w:r w:rsidRPr="003D7D68">
        <w:rPr>
          <w:highlight w:val="yellow"/>
        </w:rPr>
        <w:t>Expliquer qu’il existe des solutions, renforcement po</w:t>
      </w:r>
      <w:r w:rsidR="00A96F2B" w:rsidRPr="003D7D68">
        <w:rPr>
          <w:highlight w:val="yellow"/>
        </w:rPr>
        <w:t>sitif si tentatives antérieures</w:t>
      </w:r>
    </w:p>
    <w:p w:rsidR="008A06D6" w:rsidRPr="003D7D68" w:rsidRDefault="008A06D6" w:rsidP="001D29A9">
      <w:pPr>
        <w:pStyle w:val="Sansinterligne"/>
        <w:numPr>
          <w:ilvl w:val="0"/>
          <w:numId w:val="613"/>
        </w:numPr>
        <w:rPr>
          <w:highlight w:val="yellow"/>
        </w:rPr>
      </w:pPr>
      <w:r w:rsidRPr="003D7D68">
        <w:rPr>
          <w:highlight w:val="yellow"/>
        </w:rPr>
        <w:t xml:space="preserve">Retour </w:t>
      </w:r>
      <w:r w:rsidR="00A00DFE" w:rsidRPr="003D7D68">
        <w:rPr>
          <w:highlight w:val="yellow"/>
        </w:rPr>
        <w:t>à la maison</w:t>
      </w:r>
      <w:r w:rsidR="00A96F2B" w:rsidRPr="003D7D68">
        <w:rPr>
          <w:highlight w:val="yellow"/>
        </w:rPr>
        <w:t> :</w:t>
      </w:r>
    </w:p>
    <w:p w:rsidR="00A00DFE" w:rsidRPr="003D7D68" w:rsidRDefault="00A00DFE" w:rsidP="001D29A9">
      <w:pPr>
        <w:pStyle w:val="Sansinterligne"/>
        <w:numPr>
          <w:ilvl w:val="0"/>
          <w:numId w:val="614"/>
        </w:numPr>
        <w:rPr>
          <w:highlight w:val="yellow"/>
        </w:rPr>
      </w:pPr>
      <w:r w:rsidRPr="003D7D68">
        <w:rPr>
          <w:highlight w:val="yellow"/>
        </w:rPr>
        <w:t>Faire un pacte écrit avec le patient (si pense faire une tentative, revient à l’urgence)</w:t>
      </w:r>
    </w:p>
    <w:p w:rsidR="00F73E91" w:rsidRPr="003D7D68" w:rsidRDefault="008A06D6" w:rsidP="001D29A9">
      <w:pPr>
        <w:pStyle w:val="Sansinterligne"/>
        <w:numPr>
          <w:ilvl w:val="0"/>
          <w:numId w:val="614"/>
        </w:numPr>
        <w:rPr>
          <w:highlight w:val="yellow"/>
        </w:rPr>
      </w:pPr>
      <w:r w:rsidRPr="003D7D68">
        <w:rPr>
          <w:highlight w:val="yellow"/>
        </w:rPr>
        <w:t>Appel à une ligne d’urgence si retombe en crise ou idées importantes: 1-866-APPELLE</w:t>
      </w:r>
    </w:p>
    <w:p w:rsidR="008A06D6" w:rsidRPr="003D7D68" w:rsidRDefault="008A06D6" w:rsidP="001D29A9">
      <w:pPr>
        <w:pStyle w:val="Sansinterligne"/>
        <w:numPr>
          <w:ilvl w:val="0"/>
          <w:numId w:val="614"/>
        </w:numPr>
        <w:rPr>
          <w:highlight w:val="yellow"/>
        </w:rPr>
      </w:pPr>
      <w:r w:rsidRPr="003D7D68">
        <w:rPr>
          <w:highlight w:val="yellow"/>
        </w:rPr>
        <w:t>Remettre ses armes à feu à la police ou à un proche s’il en a.</w:t>
      </w:r>
    </w:p>
    <w:p w:rsidR="008A06D6" w:rsidRPr="003D7D68" w:rsidRDefault="008A06D6" w:rsidP="001D29A9">
      <w:pPr>
        <w:pStyle w:val="Sansinterligne"/>
        <w:numPr>
          <w:ilvl w:val="0"/>
          <w:numId w:val="614"/>
        </w:numPr>
        <w:rPr>
          <w:highlight w:val="yellow"/>
        </w:rPr>
      </w:pPr>
      <w:r w:rsidRPr="003D7D68">
        <w:rPr>
          <w:highlight w:val="yellow"/>
        </w:rPr>
        <w:t>Éviter l’alcool ou la drogue (prévention de l’impulsivité)</w:t>
      </w:r>
    </w:p>
    <w:p w:rsidR="008A06D6" w:rsidRPr="003D7D68" w:rsidRDefault="008A06D6" w:rsidP="001D29A9">
      <w:pPr>
        <w:pStyle w:val="Sansinterligne"/>
        <w:numPr>
          <w:ilvl w:val="0"/>
          <w:numId w:val="614"/>
        </w:numPr>
        <w:rPr>
          <w:highlight w:val="yellow"/>
        </w:rPr>
      </w:pPr>
      <w:r w:rsidRPr="003D7D68">
        <w:rPr>
          <w:highlight w:val="yellow"/>
        </w:rPr>
        <w:t>Suivi rapproché de sa condition (par un médecin ou un psychologue)</w:t>
      </w:r>
    </w:p>
    <w:p w:rsidR="00A00DFE" w:rsidRDefault="008A06D6" w:rsidP="008A06D6">
      <w:pPr>
        <w:pStyle w:val="Sansinterligne"/>
      </w:pPr>
      <w:r w:rsidRPr="00A00DFE">
        <w:rPr>
          <w:u w:val="single"/>
        </w:rPr>
        <w:t>Si trouble dépressif s</w:t>
      </w:r>
      <w:r w:rsidR="00D37B2C">
        <w:rPr>
          <w:u w:val="single"/>
        </w:rPr>
        <w:t xml:space="preserve">ou bipolaire </w:t>
      </w:r>
      <w:r w:rsidRPr="00A00DFE">
        <w:rPr>
          <w:u w:val="single"/>
        </w:rPr>
        <w:t>ous-jacent</w:t>
      </w:r>
      <w:r w:rsidRPr="008A06D6">
        <w:t xml:space="preserve"> </w:t>
      </w:r>
    </w:p>
    <w:p w:rsidR="008A06D6" w:rsidRDefault="00A00DFE" w:rsidP="001D29A9">
      <w:pPr>
        <w:pStyle w:val="Sansinterligne"/>
        <w:numPr>
          <w:ilvl w:val="0"/>
          <w:numId w:val="615"/>
        </w:numPr>
        <w:rPr>
          <w:i/>
        </w:rPr>
      </w:pPr>
      <w:r>
        <w:t>T</w:t>
      </w:r>
      <w:r w:rsidR="008A06D6" w:rsidRPr="008A06D6">
        <w:t xml:space="preserve">raiter </w:t>
      </w:r>
      <w:r>
        <w:t xml:space="preserve">selon les indications </w:t>
      </w:r>
      <w:r w:rsidR="008A06D6" w:rsidRPr="008A06D6">
        <w:t xml:space="preserve">(hospitalisation </w:t>
      </w:r>
      <w:r w:rsidR="00A276A2">
        <w:t>/</w:t>
      </w:r>
      <w:r w:rsidR="008A06D6" w:rsidRPr="008A06D6">
        <w:t xml:space="preserve"> e</w:t>
      </w:r>
      <w:r>
        <w:t xml:space="preserve">n externe selon la dangerosité) </w:t>
      </w:r>
      <w:r>
        <w:rPr>
          <w:rFonts w:ascii="Century Gothic" w:hAnsi="Century Gothic"/>
        </w:rPr>
        <w:t>→</w:t>
      </w:r>
      <w:r>
        <w:t xml:space="preserve"> </w:t>
      </w:r>
      <w:r w:rsidR="008A06D6" w:rsidRPr="008A06D6">
        <w:t xml:space="preserve">Voir </w:t>
      </w:r>
      <w:r w:rsidR="008A06D6" w:rsidRPr="00A00DFE">
        <w:rPr>
          <w:i/>
        </w:rPr>
        <w:t>Humeur dépressive CMC 59-1</w:t>
      </w:r>
    </w:p>
    <w:p w:rsidR="00A00DFE" w:rsidRPr="003D7D68" w:rsidRDefault="00A00DFE" w:rsidP="001D29A9">
      <w:pPr>
        <w:pStyle w:val="Sansinterligne"/>
        <w:numPr>
          <w:ilvl w:val="0"/>
          <w:numId w:val="615"/>
        </w:numPr>
        <w:rPr>
          <w:highlight w:val="yellow"/>
        </w:rPr>
      </w:pPr>
      <w:r w:rsidRPr="003D7D68">
        <w:rPr>
          <w:b/>
          <w:highlight w:val="yellow"/>
        </w:rPr>
        <w:t>Antidépresseurs</w:t>
      </w:r>
      <w:r w:rsidRPr="003D7D68">
        <w:rPr>
          <w:highlight w:val="yellow"/>
        </w:rPr>
        <w:t xml:space="preserve"> </w:t>
      </w:r>
      <w:r w:rsidRPr="003D7D68">
        <w:rPr>
          <w:rFonts w:ascii="Century Gothic" w:hAnsi="Century Gothic"/>
          <w:highlight w:val="yellow"/>
        </w:rPr>
        <w:t>→</w:t>
      </w:r>
      <w:r w:rsidRPr="003D7D68">
        <w:rPr>
          <w:highlight w:val="yellow"/>
        </w:rPr>
        <w:t xml:space="preserve"> Il faut se méfier dans les 2 premières semaines, puisque ceux-ci peuvent accroître l’énergie et donner au patient la capacité de passage à l’acte qu’il n’avait plus et ce, avant la résolution des cognitions suicidaires.</w:t>
      </w:r>
    </w:p>
    <w:p w:rsidR="00A00DFE" w:rsidRDefault="00A00DFE" w:rsidP="001D29A9">
      <w:pPr>
        <w:pStyle w:val="Sansinterligne"/>
        <w:numPr>
          <w:ilvl w:val="0"/>
          <w:numId w:val="615"/>
        </w:numPr>
      </w:pPr>
      <w:r w:rsidRPr="003D7D68">
        <w:rPr>
          <w:highlight w:val="yellow"/>
        </w:rPr>
        <w:t>S’assurer d’avoir quelqu’un pour surveiller le patient (famille, proches, personnel soignant)</w:t>
      </w:r>
    </w:p>
    <w:p w:rsidR="00D37B2C" w:rsidRDefault="00D37B2C" w:rsidP="001D29A9">
      <w:pPr>
        <w:pStyle w:val="Sansinterligne"/>
        <w:numPr>
          <w:ilvl w:val="0"/>
          <w:numId w:val="615"/>
        </w:numPr>
      </w:pPr>
      <w:r>
        <w:t>Les patients bipolaires sont plus à risque de suicide lorsqu’ils passent de la manie à la dépression (réalisent les conséquences de l’épisode maniaque)</w:t>
      </w:r>
    </w:p>
    <w:p w:rsidR="00A00DFE" w:rsidRPr="00A00DFE" w:rsidRDefault="00A00DFE" w:rsidP="008A06D6">
      <w:pPr>
        <w:pStyle w:val="Sansinterligne"/>
      </w:pPr>
    </w:p>
    <w:p w:rsidR="00A00DFE" w:rsidRDefault="008A06D6" w:rsidP="008A06D6">
      <w:pPr>
        <w:pStyle w:val="Sansinterligne"/>
      </w:pPr>
      <w:r w:rsidRPr="00A00DFE">
        <w:rPr>
          <w:u w:val="single"/>
        </w:rPr>
        <w:t>Abus d’alcool ou substance-induit</w:t>
      </w:r>
      <w:r w:rsidRPr="008A06D6">
        <w:t> :</w:t>
      </w:r>
      <w:r w:rsidR="00A00DFE">
        <w:t xml:space="preserve"> </w:t>
      </w:r>
    </w:p>
    <w:p w:rsidR="00A00DFE" w:rsidRDefault="00A00DFE" w:rsidP="001D29A9">
      <w:pPr>
        <w:pStyle w:val="Sansinterligne"/>
        <w:numPr>
          <w:ilvl w:val="0"/>
          <w:numId w:val="617"/>
        </w:numPr>
        <w:ind w:left="360"/>
      </w:pPr>
      <w:r>
        <w:t>P</w:t>
      </w:r>
      <w:r w:rsidR="008A06D6" w:rsidRPr="008A06D6">
        <w:t>eut se résorber avec le dégri</w:t>
      </w:r>
      <w:r>
        <w:t xml:space="preserve">sement, garder en observation, </w:t>
      </w:r>
    </w:p>
    <w:p w:rsidR="008A06D6" w:rsidRPr="008A06D6" w:rsidRDefault="00A00DFE" w:rsidP="001D29A9">
      <w:pPr>
        <w:pStyle w:val="Sansinterligne"/>
        <w:numPr>
          <w:ilvl w:val="0"/>
          <w:numId w:val="616"/>
        </w:numPr>
        <w:ind w:left="360"/>
      </w:pPr>
      <w:r>
        <w:t>S</w:t>
      </w:r>
      <w:r w:rsidR="008A06D6" w:rsidRPr="008A06D6">
        <w:t xml:space="preserve">evrer PRN en évitant syndrome de sevrage </w:t>
      </w:r>
      <w:r>
        <w:rPr>
          <w:rFonts w:ascii="Century Gothic" w:hAnsi="Century Gothic"/>
        </w:rPr>
        <w:t>→</w:t>
      </w:r>
      <w:r>
        <w:t xml:space="preserve"> </w:t>
      </w:r>
      <w:r w:rsidR="008A06D6" w:rsidRPr="008A06D6">
        <w:t xml:space="preserve">Voir </w:t>
      </w:r>
      <w:r w:rsidR="008A06D6" w:rsidRPr="00A00DFE">
        <w:rPr>
          <w:i/>
        </w:rPr>
        <w:t>Sevrage à une substance CMC 103-1</w:t>
      </w:r>
    </w:p>
    <w:p w:rsidR="00A00DFE" w:rsidRDefault="00A00DFE" w:rsidP="008A06D6">
      <w:pPr>
        <w:pStyle w:val="Sansinterligne"/>
        <w:rPr>
          <w:u w:val="single"/>
        </w:rPr>
      </w:pPr>
    </w:p>
    <w:p w:rsidR="00A00DFE" w:rsidRDefault="008A06D6" w:rsidP="008A06D6">
      <w:pPr>
        <w:pStyle w:val="Sansinterligne"/>
      </w:pPr>
      <w:r w:rsidRPr="00A00DFE">
        <w:rPr>
          <w:u w:val="single"/>
        </w:rPr>
        <w:t>Psychose / schizophrénie</w:t>
      </w:r>
      <w:r w:rsidRPr="008A06D6">
        <w:t xml:space="preserve"> : </w:t>
      </w:r>
    </w:p>
    <w:p w:rsidR="008A06D6" w:rsidRPr="008A06D6" w:rsidRDefault="00A00DFE" w:rsidP="001D29A9">
      <w:pPr>
        <w:pStyle w:val="Sansinterligne"/>
        <w:numPr>
          <w:ilvl w:val="0"/>
          <w:numId w:val="618"/>
        </w:numPr>
      </w:pPr>
      <w:r>
        <w:t>S</w:t>
      </w:r>
      <w:r w:rsidR="008A06D6" w:rsidRPr="008A06D6">
        <w:t>i décompensée (probable), hospitalisation peut être nécessaire</w:t>
      </w:r>
    </w:p>
    <w:p w:rsidR="00A00DFE" w:rsidRDefault="00A00DFE" w:rsidP="008A06D6">
      <w:pPr>
        <w:pStyle w:val="Sansinterligne"/>
      </w:pPr>
    </w:p>
    <w:p w:rsidR="00A276A2" w:rsidRDefault="008A06D6" w:rsidP="008A06D6">
      <w:pPr>
        <w:pStyle w:val="Sansinterligne"/>
      </w:pPr>
      <w:r w:rsidRPr="00A00DFE">
        <w:rPr>
          <w:u w:val="single"/>
        </w:rPr>
        <w:t>Trouble de la personnalité</w:t>
      </w:r>
      <w:r w:rsidRPr="008A06D6">
        <w:t xml:space="preserve"> : </w:t>
      </w:r>
    </w:p>
    <w:p w:rsidR="008A06D6" w:rsidRDefault="00A276A2" w:rsidP="001D29A9">
      <w:pPr>
        <w:pStyle w:val="Sansinterligne"/>
        <w:numPr>
          <w:ilvl w:val="0"/>
          <w:numId w:val="619"/>
        </w:numPr>
      </w:pPr>
      <w:r>
        <w:t>I</w:t>
      </w:r>
      <w:r w:rsidR="008A06D6" w:rsidRPr="008A06D6">
        <w:t>ntervention de crise, hospitalisation PRN, traitement au jugement du clinicien</w:t>
      </w:r>
    </w:p>
    <w:p w:rsidR="00A00DFE" w:rsidRPr="008A06D6" w:rsidRDefault="00A00DFE" w:rsidP="008A06D6">
      <w:pPr>
        <w:pStyle w:val="Sansinterligne"/>
      </w:pPr>
    </w:p>
    <w:p w:rsidR="00A00DFE" w:rsidRDefault="008A06D6" w:rsidP="008A06D6">
      <w:pPr>
        <w:pStyle w:val="Sansinterligne"/>
      </w:pPr>
      <w:r w:rsidRPr="00A00DFE">
        <w:rPr>
          <w:u w:val="single"/>
        </w:rPr>
        <w:t>Idées para suicidaires / automutilation </w:t>
      </w:r>
      <w:r w:rsidRPr="008A06D6">
        <w:t xml:space="preserve">: </w:t>
      </w:r>
    </w:p>
    <w:p w:rsidR="008A06D6" w:rsidRPr="008A06D6" w:rsidRDefault="00A00DFE" w:rsidP="008A06D6">
      <w:pPr>
        <w:pStyle w:val="Sansinterligne"/>
      </w:pPr>
      <w:r>
        <w:t>P</w:t>
      </w:r>
      <w:r w:rsidR="008A06D6" w:rsidRPr="008A06D6">
        <w:t>sychothérapie au long cours</w:t>
      </w:r>
    </w:p>
    <w:p w:rsidR="008A06D6" w:rsidRDefault="008A06D6" w:rsidP="00E06BD8">
      <w:pPr>
        <w:spacing w:after="0"/>
        <w:rPr>
          <w:rFonts w:cs="Times New Roman"/>
          <w:b/>
          <w:color w:val="548DD4" w:themeColor="text2" w:themeTint="99"/>
        </w:rPr>
      </w:pPr>
    </w:p>
    <w:p w:rsidR="008139C8" w:rsidRDefault="0088313A">
      <w:pPr>
        <w:rPr>
          <w:rFonts w:cs="Times New Roman"/>
          <w:b/>
          <w:color w:val="548DD4" w:themeColor="text2" w:themeTint="99"/>
        </w:rPr>
      </w:pPr>
      <w:r>
        <w:rPr>
          <w:noProof/>
          <w:lang w:eastAsia="fr-CA"/>
        </w:rPr>
        <w:drawing>
          <wp:anchor distT="0" distB="0" distL="114300" distR="114300" simplePos="0" relativeHeight="251827200" behindDoc="0" locked="0" layoutInCell="1" allowOverlap="1" wp14:anchorId="25F52A19" wp14:editId="495CBADA">
            <wp:simplePos x="0" y="0"/>
            <wp:positionH relativeFrom="column">
              <wp:posOffset>349885</wp:posOffset>
            </wp:positionH>
            <wp:positionV relativeFrom="paragraph">
              <wp:posOffset>323215</wp:posOffset>
            </wp:positionV>
            <wp:extent cx="5982335" cy="2986405"/>
            <wp:effectExtent l="0" t="0" r="0" b="4445"/>
            <wp:wrapNone/>
            <wp:docPr id="345" name="Image 345" descr="Résultats de recherche d'images pour « suicid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Résultats de recherche d'images pour « suicide »"/>
                    <pic:cNvPicPr>
                      <a:picLocks noChangeAspect="1" noChangeArrowheads="1"/>
                    </pic:cNvPicPr>
                  </pic:nvPicPr>
                  <pic:blipFill>
                    <a:blip r:embed="rId373">
                      <a:extLst>
                        <a:ext uri="{28A0092B-C50C-407E-A947-70E740481C1C}">
                          <a14:useLocalDpi xmlns:a14="http://schemas.microsoft.com/office/drawing/2010/main" val="0"/>
                        </a:ext>
                      </a:extLst>
                    </a:blip>
                    <a:srcRect/>
                    <a:stretch>
                      <a:fillRect/>
                    </a:stretch>
                  </pic:blipFill>
                  <pic:spPr bwMode="auto">
                    <a:xfrm>
                      <a:off x="0" y="0"/>
                      <a:ext cx="5982335" cy="2986405"/>
                    </a:xfrm>
                    <a:prstGeom prst="rect">
                      <a:avLst/>
                    </a:prstGeom>
                    <a:noFill/>
                    <a:ln>
                      <a:noFill/>
                    </a:ln>
                  </pic:spPr>
                </pic:pic>
              </a:graphicData>
            </a:graphic>
            <wp14:sizeRelH relativeFrom="page">
              <wp14:pctWidth>0</wp14:pctWidth>
            </wp14:sizeRelH>
            <wp14:sizeRelV relativeFrom="page">
              <wp14:pctHeight>0</wp14:pctHeight>
            </wp14:sizeRelV>
          </wp:anchor>
        </w:drawing>
      </w:r>
      <w:r w:rsidR="008139C8">
        <w:rPr>
          <w:rFonts w:cs="Times New Roman"/>
          <w:b/>
          <w:color w:val="548DD4" w:themeColor="text2" w:themeTint="99"/>
        </w:rPr>
        <w:br w:type="page"/>
      </w:r>
    </w:p>
    <w:p w:rsidR="00F24BF3" w:rsidRDefault="00F24BF3" w:rsidP="00E06BD8">
      <w:pPr>
        <w:spacing w:after="0"/>
        <w:rPr>
          <w:rFonts w:cs="Times New Roman"/>
          <w:b/>
          <w:color w:val="548DD4" w:themeColor="text2" w:themeTint="99"/>
        </w:rPr>
      </w:pPr>
      <w:r>
        <w:rPr>
          <w:rFonts w:cs="Times New Roman"/>
          <w:b/>
          <w:color w:val="548DD4" w:themeColor="text2" w:themeTint="99"/>
        </w:rPr>
        <w:t>CMC 107-3</w:t>
      </w:r>
    </w:p>
    <w:bookmarkStart w:id="385" w:name="_Toc480797336"/>
    <w:p w:rsidR="00F24BF3" w:rsidRPr="00F24BF3" w:rsidRDefault="007F5CFD" w:rsidP="00F24BF3">
      <w:pPr>
        <w:pStyle w:val="Titre3"/>
        <w:spacing w:before="0" w:after="240"/>
        <w:rPr>
          <w:rFonts w:ascii="Times New Roman" w:hAnsi="Times New Roman" w:cs="Times New Roman"/>
        </w:rPr>
      </w:pPr>
      <w:r>
        <w:rPr>
          <w:rFonts w:ascii="Times New Roman" w:hAnsi="Times New Roman" w:cs="Times New Roman"/>
          <w:noProof/>
          <w:lang w:eastAsia="fr-CA"/>
        </w:rPr>
        <mc:AlternateContent>
          <mc:Choice Requires="wps">
            <w:drawing>
              <wp:anchor distT="0" distB="0" distL="114300" distR="114300" simplePos="0" relativeHeight="252005376" behindDoc="0" locked="0" layoutInCell="1" allowOverlap="1" wp14:anchorId="057918C3" wp14:editId="11B7A2F8">
                <wp:simplePos x="0" y="0"/>
                <wp:positionH relativeFrom="column">
                  <wp:posOffset>-38911</wp:posOffset>
                </wp:positionH>
                <wp:positionV relativeFrom="paragraph">
                  <wp:posOffset>289465</wp:posOffset>
                </wp:positionV>
                <wp:extent cx="6935822" cy="3842426"/>
                <wp:effectExtent l="0" t="0" r="17780" b="24765"/>
                <wp:wrapNone/>
                <wp:docPr id="518" name="Rectangle 518"/>
                <wp:cNvGraphicFramePr/>
                <a:graphic xmlns:a="http://schemas.openxmlformats.org/drawingml/2006/main">
                  <a:graphicData uri="http://schemas.microsoft.com/office/word/2010/wordprocessingShape">
                    <wps:wsp>
                      <wps:cNvSpPr/>
                      <wps:spPr>
                        <a:xfrm>
                          <a:off x="0" y="0"/>
                          <a:ext cx="6935822" cy="3842426"/>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518" o:spid="_x0000_s1026" style="position:absolute;margin-left:-3.05pt;margin-top:22.8pt;width:546.15pt;height:302.55pt;z-index:2520053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" filled="f" strokecolor="black [1600]" strokeweight="2pt"/>
            </w:pict>
          </mc:Fallback>
        </mc:AlternateContent>
      </w:r>
      <w:r w:rsidR="00F24BF3" w:rsidRPr="00F24BF3">
        <w:rPr>
          <w:rFonts w:ascii="Times New Roman" w:hAnsi="Times New Roman" w:cs="Times New Roman"/>
        </w:rPr>
        <w:t>Fièvre chez un nouveau-né / chez un enfant</w:t>
      </w:r>
      <w:bookmarkEnd w:id="385"/>
    </w:p>
    <w:tbl>
      <w:tblPr>
        <w:tblW w:w="3858" w:type="pct"/>
        <w:tblCellSpacing w:w="0" w:type="dxa"/>
        <w:tblCellMar>
          <w:left w:w="0" w:type="dxa"/>
          <w:right w:w="0" w:type="dxa"/>
        </w:tblCellMar>
        <w:tblLook w:val="04A0" w:firstRow="1" w:lastRow="0" w:firstColumn="1" w:lastColumn="0" w:noHBand="0" w:noVBand="1"/>
      </w:tblPr>
      <w:tblGrid>
        <w:gridCol w:w="8333"/>
      </w:tblGrid>
      <w:tr w:rsidR="00F24BF3" w:rsidRPr="00F24BF3" w:rsidTr="00F24BF3">
        <w:trPr>
          <w:tblCellSpacing w:w="0" w:type="dxa"/>
        </w:trPr>
        <w:tc>
          <w:tcPr>
            <w:tcW w:w="0" w:type="auto"/>
            <w:vAlign w:val="bottom"/>
            <w:hideMark/>
          </w:tcPr>
          <w:p w:rsidR="00F24BF3" w:rsidRPr="00F24BF3" w:rsidRDefault="00F24BF3" w:rsidP="00F24BF3">
            <w:pPr>
              <w:pStyle w:val="Sansinterligne"/>
              <w:rPr>
                <w:rFonts w:cs="Times New Roman"/>
                <w:b/>
                <w:sz w:val="18"/>
                <w:szCs w:val="18"/>
              </w:rPr>
            </w:pPr>
            <w:r w:rsidRPr="00F24BF3">
              <w:rPr>
                <w:rFonts w:cs="Times New Roman"/>
                <w:b/>
                <w:sz w:val="18"/>
                <w:szCs w:val="18"/>
              </w:rPr>
              <w:t>Objectifs principaux</w:t>
            </w:r>
          </w:p>
        </w:tc>
      </w:tr>
    </w:tbl>
    <w:p w:rsidR="00F24BF3" w:rsidRPr="00F24BF3" w:rsidRDefault="00F24BF3" w:rsidP="00F24BF3">
      <w:pPr>
        <w:pStyle w:val="NormalWeb"/>
        <w:ind w:left="360"/>
        <w:rPr>
          <w:color w:val="000000"/>
          <w:sz w:val="18"/>
          <w:szCs w:val="18"/>
          <w:shd w:val="clear" w:color="auto" w:fill="FFFFFF"/>
        </w:rPr>
      </w:pPr>
      <w:r w:rsidRPr="00F24BF3">
        <w:rPr>
          <w:color w:val="000000"/>
          <w:sz w:val="18"/>
          <w:szCs w:val="18"/>
          <w:shd w:val="clear" w:color="auto" w:fill="FFFFFF"/>
        </w:rPr>
        <w:t>Dans le cas d'un patient présentant une fièvre, le candidat devra en diagnostiquer la cause, la gravité et les complications, et mettre en plan de prise en charge approprié. Il devra en outre accorder une attention particulière aux aspects suivants : la différenciation entre infections virales aiguës et infections bactériennes aiguës et la détection d'un cas de choc septique et l'instauration d'un traitement immédiat.</w:t>
      </w:r>
    </w:p>
    <w:tbl>
      <w:tblPr>
        <w:tblW w:w="3897" w:type="pct"/>
        <w:tblCellSpacing w:w="0" w:type="dxa"/>
        <w:tblCellMar>
          <w:left w:w="0" w:type="dxa"/>
          <w:right w:w="0" w:type="dxa"/>
        </w:tblCellMar>
        <w:tblLook w:val="04A0" w:firstRow="1" w:lastRow="0" w:firstColumn="1" w:lastColumn="0" w:noHBand="0" w:noVBand="1"/>
      </w:tblPr>
      <w:tblGrid>
        <w:gridCol w:w="8418"/>
      </w:tblGrid>
      <w:tr w:rsidR="00F24BF3" w:rsidRPr="00F24BF3" w:rsidTr="00F24BF3">
        <w:trPr>
          <w:tblCellSpacing w:w="0" w:type="dxa"/>
        </w:trPr>
        <w:tc>
          <w:tcPr>
            <w:tcW w:w="0" w:type="auto"/>
            <w:vAlign w:val="bottom"/>
            <w:hideMark/>
          </w:tcPr>
          <w:p w:rsidR="00F24BF3" w:rsidRPr="00F24BF3" w:rsidRDefault="00F24BF3" w:rsidP="00F24BF3">
            <w:pPr>
              <w:pStyle w:val="Sansinterligne"/>
              <w:rPr>
                <w:rFonts w:cs="Times New Roman"/>
                <w:b/>
                <w:sz w:val="16"/>
                <w:szCs w:val="16"/>
              </w:rPr>
            </w:pPr>
            <w:r w:rsidRPr="00F24BF3">
              <w:rPr>
                <w:rFonts w:cs="Times New Roman"/>
                <w:b/>
                <w:sz w:val="16"/>
                <w:szCs w:val="16"/>
              </w:rPr>
              <w:t>Objectifs spécifiques</w:t>
            </w:r>
          </w:p>
        </w:tc>
      </w:tr>
    </w:tbl>
    <w:p w:rsidR="00F24BF3" w:rsidRPr="00F24BF3" w:rsidRDefault="00F24BF3" w:rsidP="00F24BF3">
      <w:pPr>
        <w:pStyle w:val="NormalWeb"/>
        <w:shd w:val="clear" w:color="auto" w:fill="FFFFFF"/>
        <w:ind w:left="360"/>
        <w:rPr>
          <w:color w:val="000000"/>
          <w:sz w:val="16"/>
          <w:szCs w:val="16"/>
          <w:shd w:val="clear" w:color="auto" w:fill="FFFFFF"/>
        </w:rPr>
      </w:pPr>
      <w:r w:rsidRPr="00F24BF3">
        <w:rPr>
          <w:color w:val="000000"/>
          <w:sz w:val="16"/>
          <w:szCs w:val="16"/>
          <w:shd w:val="clear" w:color="auto" w:fill="FFFFFF"/>
        </w:rPr>
        <w:t>Dans le cas d'un patient présentant une fièvre, le candidat devra</w:t>
      </w:r>
    </w:p>
    <w:p w:rsidR="00F24BF3" w:rsidRPr="00F24BF3" w:rsidRDefault="00F24BF3" w:rsidP="005D429F">
      <w:pPr>
        <w:numPr>
          <w:ilvl w:val="0"/>
          <w:numId w:val="1092"/>
        </w:numPr>
        <w:shd w:val="clear" w:color="auto" w:fill="FFFFFF"/>
        <w:spacing w:before="100" w:beforeAutospacing="1" w:after="100" w:afterAutospacing="1" w:line="240" w:lineRule="auto"/>
        <w:rPr>
          <w:rFonts w:cs="Times New Roman"/>
          <w:color w:val="000000"/>
          <w:sz w:val="16"/>
          <w:szCs w:val="16"/>
          <w:shd w:val="clear" w:color="auto" w:fill="FFFFFF"/>
        </w:rPr>
      </w:pPr>
      <w:r w:rsidRPr="00F24BF3">
        <w:rPr>
          <w:rFonts w:cs="Times New Roman"/>
          <w:color w:val="000000"/>
          <w:sz w:val="16"/>
          <w:szCs w:val="16"/>
          <w:shd w:val="clear" w:color="auto" w:fill="FFFFFF"/>
        </w:rPr>
        <w:t>énumérer et interpréter les constatations cliniques cruciales, notamment :</w:t>
      </w:r>
    </w:p>
    <w:p w:rsidR="00F24BF3" w:rsidRPr="00F24BF3" w:rsidRDefault="00F24BF3" w:rsidP="005D429F">
      <w:pPr>
        <w:numPr>
          <w:ilvl w:val="1"/>
          <w:numId w:val="1092"/>
        </w:numPr>
        <w:shd w:val="clear" w:color="auto" w:fill="FFFFFF"/>
        <w:spacing w:before="100" w:beforeAutospacing="1" w:after="100" w:afterAutospacing="1" w:line="240" w:lineRule="auto"/>
        <w:rPr>
          <w:rFonts w:cs="Times New Roman"/>
          <w:color w:val="000000"/>
          <w:sz w:val="16"/>
          <w:szCs w:val="16"/>
          <w:shd w:val="clear" w:color="auto" w:fill="FFFFFF"/>
        </w:rPr>
      </w:pPr>
      <w:r w:rsidRPr="00F24BF3">
        <w:rPr>
          <w:rFonts w:cs="Times New Roman"/>
          <w:color w:val="000000"/>
          <w:sz w:val="16"/>
          <w:szCs w:val="16"/>
          <w:shd w:val="clear" w:color="auto" w:fill="FFFFFF"/>
        </w:rPr>
        <w:t>la présence de symptômes graves tels qu'une septicémie ou une fièvre chez un nouveau-né de moins de deux mois;</w:t>
      </w:r>
    </w:p>
    <w:p w:rsidR="00F24BF3" w:rsidRPr="00F24BF3" w:rsidRDefault="00F24BF3" w:rsidP="005D429F">
      <w:pPr>
        <w:numPr>
          <w:ilvl w:val="1"/>
          <w:numId w:val="1092"/>
        </w:numPr>
        <w:shd w:val="clear" w:color="auto" w:fill="FFFFFF"/>
        <w:spacing w:before="100" w:beforeAutospacing="1" w:after="100" w:afterAutospacing="1" w:line="240" w:lineRule="auto"/>
        <w:rPr>
          <w:rFonts w:cs="Times New Roman"/>
          <w:color w:val="000000"/>
          <w:sz w:val="16"/>
          <w:szCs w:val="16"/>
          <w:shd w:val="clear" w:color="auto" w:fill="FFFFFF"/>
        </w:rPr>
      </w:pPr>
      <w:r w:rsidRPr="00F24BF3">
        <w:rPr>
          <w:rFonts w:cs="Times New Roman"/>
          <w:color w:val="000000"/>
          <w:sz w:val="16"/>
          <w:szCs w:val="16"/>
          <w:shd w:val="clear" w:color="auto" w:fill="FFFFFF"/>
        </w:rPr>
        <w:t>la distinction entre les causes infectieuses de la fièvre des causes non infectieuses;</w:t>
      </w:r>
    </w:p>
    <w:p w:rsidR="00F24BF3" w:rsidRPr="00F24BF3" w:rsidRDefault="00F24BF3" w:rsidP="005D429F">
      <w:pPr>
        <w:numPr>
          <w:ilvl w:val="1"/>
          <w:numId w:val="1092"/>
        </w:numPr>
        <w:shd w:val="clear" w:color="auto" w:fill="FFFFFF"/>
        <w:spacing w:before="100" w:beforeAutospacing="1" w:after="100" w:afterAutospacing="1" w:line="240" w:lineRule="auto"/>
        <w:rPr>
          <w:rFonts w:cs="Times New Roman"/>
          <w:color w:val="000000"/>
          <w:sz w:val="16"/>
          <w:szCs w:val="16"/>
          <w:shd w:val="clear" w:color="auto" w:fill="FFFFFF"/>
        </w:rPr>
      </w:pPr>
      <w:r w:rsidRPr="00F24BF3">
        <w:rPr>
          <w:rFonts w:cs="Times New Roman"/>
          <w:color w:val="000000"/>
          <w:sz w:val="16"/>
          <w:szCs w:val="16"/>
          <w:shd w:val="clear" w:color="auto" w:fill="FFFFFF"/>
        </w:rPr>
        <w:t>le passage en revue des causes courantes et des facteurs de risque de la fièvre dans le groupe d'âge applicable;</w:t>
      </w:r>
    </w:p>
    <w:p w:rsidR="00F24BF3" w:rsidRPr="00F24BF3" w:rsidRDefault="00F24BF3" w:rsidP="005D429F">
      <w:pPr>
        <w:numPr>
          <w:ilvl w:val="0"/>
          <w:numId w:val="1092"/>
        </w:numPr>
        <w:shd w:val="clear" w:color="auto" w:fill="FFFFFF"/>
        <w:spacing w:before="100" w:beforeAutospacing="1" w:after="100" w:afterAutospacing="1" w:line="240" w:lineRule="auto"/>
        <w:rPr>
          <w:rFonts w:cs="Times New Roman"/>
          <w:color w:val="000000"/>
          <w:sz w:val="16"/>
          <w:szCs w:val="16"/>
          <w:shd w:val="clear" w:color="auto" w:fill="FFFFFF"/>
        </w:rPr>
      </w:pPr>
      <w:r w:rsidRPr="00F24BF3">
        <w:rPr>
          <w:rFonts w:cs="Times New Roman"/>
          <w:color w:val="000000"/>
          <w:sz w:val="16"/>
          <w:szCs w:val="16"/>
          <w:shd w:val="clear" w:color="auto" w:fill="FFFFFF"/>
        </w:rPr>
        <w:t>énumérer et interpréter les examens essentiels, notamment les examens de laboratoire ayant une importance capitale dans les processus d'exclusion, de différenciation et de diagnostic :</w:t>
      </w:r>
    </w:p>
    <w:p w:rsidR="00F24BF3" w:rsidRPr="00F24BF3" w:rsidRDefault="00F24BF3" w:rsidP="005D429F">
      <w:pPr>
        <w:numPr>
          <w:ilvl w:val="1"/>
          <w:numId w:val="1092"/>
        </w:numPr>
        <w:shd w:val="clear" w:color="auto" w:fill="FFFFFF"/>
        <w:spacing w:before="100" w:beforeAutospacing="1" w:after="100" w:afterAutospacing="1" w:line="240" w:lineRule="auto"/>
        <w:rPr>
          <w:rFonts w:cs="Times New Roman"/>
          <w:color w:val="000000"/>
          <w:sz w:val="16"/>
          <w:szCs w:val="16"/>
          <w:shd w:val="clear" w:color="auto" w:fill="FFFFFF"/>
        </w:rPr>
      </w:pPr>
      <w:r w:rsidRPr="00F24BF3">
        <w:rPr>
          <w:rFonts w:cs="Times New Roman"/>
          <w:color w:val="000000"/>
          <w:sz w:val="16"/>
          <w:szCs w:val="16"/>
          <w:shd w:val="clear" w:color="auto" w:fill="FFFFFF"/>
        </w:rPr>
        <w:t>l'utilisation de moyens pertinents et rentables pour déterminer la cause de la fièvre et exclure un trouble plus sérieux;</w:t>
      </w:r>
    </w:p>
    <w:p w:rsidR="00F24BF3" w:rsidRPr="00F24BF3" w:rsidRDefault="00F24BF3" w:rsidP="005D429F">
      <w:pPr>
        <w:numPr>
          <w:ilvl w:val="1"/>
          <w:numId w:val="1092"/>
        </w:numPr>
        <w:shd w:val="clear" w:color="auto" w:fill="FFFFFF"/>
        <w:spacing w:before="100" w:beforeAutospacing="1" w:after="100" w:afterAutospacing="1" w:line="240" w:lineRule="auto"/>
        <w:rPr>
          <w:rFonts w:cs="Times New Roman"/>
          <w:color w:val="000000"/>
          <w:sz w:val="16"/>
          <w:szCs w:val="16"/>
          <w:shd w:val="clear" w:color="auto" w:fill="FFFFFF"/>
        </w:rPr>
      </w:pPr>
      <w:r w:rsidRPr="00F24BF3">
        <w:rPr>
          <w:rFonts w:cs="Times New Roman"/>
          <w:color w:val="000000"/>
          <w:sz w:val="16"/>
          <w:szCs w:val="16"/>
          <w:shd w:val="clear" w:color="auto" w:fill="FFFFFF"/>
        </w:rPr>
        <w:t>la prise en compte et l'application des normes de pratique clinique concernant la fièvre chez les nouveau-nés;</w:t>
      </w:r>
    </w:p>
    <w:p w:rsidR="00F24BF3" w:rsidRPr="00F24BF3" w:rsidRDefault="00F24BF3" w:rsidP="005D429F">
      <w:pPr>
        <w:numPr>
          <w:ilvl w:val="1"/>
          <w:numId w:val="1092"/>
        </w:numPr>
        <w:shd w:val="clear" w:color="auto" w:fill="FFFFFF"/>
        <w:spacing w:before="100" w:beforeAutospacing="1" w:after="100" w:afterAutospacing="1" w:line="240" w:lineRule="auto"/>
        <w:rPr>
          <w:rFonts w:cs="Times New Roman"/>
          <w:color w:val="000000"/>
          <w:sz w:val="16"/>
          <w:szCs w:val="16"/>
          <w:shd w:val="clear" w:color="auto" w:fill="FFFFFF"/>
        </w:rPr>
      </w:pPr>
      <w:r w:rsidRPr="00F24BF3">
        <w:rPr>
          <w:rFonts w:cs="Times New Roman"/>
          <w:color w:val="000000"/>
          <w:sz w:val="16"/>
          <w:szCs w:val="16"/>
          <w:shd w:val="clear" w:color="auto" w:fill="FFFFFF"/>
        </w:rPr>
        <w:t>les examens complémentaires spécifiques permettant de diagnostiquer la cause de la fièvre (p. ex. hémoculture, ponction lombaire);</w:t>
      </w:r>
    </w:p>
    <w:p w:rsidR="00F24BF3" w:rsidRPr="00F24BF3" w:rsidRDefault="00F24BF3" w:rsidP="005D429F">
      <w:pPr>
        <w:numPr>
          <w:ilvl w:val="0"/>
          <w:numId w:val="1092"/>
        </w:numPr>
        <w:shd w:val="clear" w:color="auto" w:fill="FFFFFF"/>
        <w:spacing w:before="100" w:beforeAutospacing="1" w:after="100" w:afterAutospacing="1" w:line="240" w:lineRule="auto"/>
        <w:rPr>
          <w:rFonts w:cs="Times New Roman"/>
          <w:color w:val="000000"/>
          <w:sz w:val="16"/>
          <w:szCs w:val="16"/>
          <w:shd w:val="clear" w:color="auto" w:fill="FFFFFF"/>
        </w:rPr>
      </w:pPr>
      <w:r w:rsidRPr="00F24BF3">
        <w:rPr>
          <w:rFonts w:cs="Times New Roman"/>
          <w:color w:val="000000"/>
          <w:sz w:val="16"/>
          <w:szCs w:val="16"/>
          <w:shd w:val="clear" w:color="auto" w:fill="FFFFFF"/>
        </w:rPr>
        <w:t>établir un plan de prise en charge efficace, notamment :</w:t>
      </w:r>
    </w:p>
    <w:p w:rsidR="00F24BF3" w:rsidRPr="00F24BF3" w:rsidRDefault="00F24BF3" w:rsidP="005D429F">
      <w:pPr>
        <w:numPr>
          <w:ilvl w:val="1"/>
          <w:numId w:val="1092"/>
        </w:numPr>
        <w:shd w:val="clear" w:color="auto" w:fill="FFFFFF"/>
        <w:spacing w:before="100" w:beforeAutospacing="1" w:after="100" w:afterAutospacing="1" w:line="240" w:lineRule="auto"/>
        <w:rPr>
          <w:rFonts w:cs="Times New Roman"/>
          <w:color w:val="000000"/>
          <w:sz w:val="16"/>
          <w:szCs w:val="16"/>
          <w:shd w:val="clear" w:color="auto" w:fill="FFFFFF"/>
        </w:rPr>
      </w:pPr>
      <w:r w:rsidRPr="00F24BF3">
        <w:rPr>
          <w:rFonts w:cs="Times New Roman"/>
          <w:color w:val="000000"/>
          <w:sz w:val="16"/>
          <w:szCs w:val="16"/>
          <w:shd w:val="clear" w:color="auto" w:fill="FFFFFF"/>
        </w:rPr>
        <w:t>exposer brièvement les principes de la prise en charge d'un enfant en état de choc septique et entreprendre sans délai les manœuvres de réanimation, au besoin;</w:t>
      </w:r>
    </w:p>
    <w:p w:rsidR="00F24BF3" w:rsidRPr="00F24BF3" w:rsidRDefault="00F24BF3" w:rsidP="005D429F">
      <w:pPr>
        <w:numPr>
          <w:ilvl w:val="1"/>
          <w:numId w:val="1092"/>
        </w:numPr>
        <w:shd w:val="clear" w:color="auto" w:fill="FFFFFF"/>
        <w:spacing w:before="100" w:beforeAutospacing="1" w:after="100" w:afterAutospacing="1" w:line="240" w:lineRule="auto"/>
        <w:rPr>
          <w:rFonts w:cs="Times New Roman"/>
          <w:color w:val="000000"/>
          <w:sz w:val="16"/>
          <w:szCs w:val="16"/>
          <w:shd w:val="clear" w:color="auto" w:fill="FFFFFF"/>
        </w:rPr>
      </w:pPr>
      <w:r w:rsidRPr="00F24BF3">
        <w:rPr>
          <w:rFonts w:cs="Times New Roman"/>
          <w:color w:val="000000"/>
          <w:sz w:val="16"/>
          <w:szCs w:val="16"/>
          <w:shd w:val="clear" w:color="auto" w:fill="FFFFFF"/>
        </w:rPr>
        <w:t>exposer brièvement la prise en charge de la maladie fébrile en cause (p. ex. pharyngite à streptocoques);</w:t>
      </w:r>
    </w:p>
    <w:p w:rsidR="00F24BF3" w:rsidRPr="00F24BF3" w:rsidRDefault="00F24BF3" w:rsidP="005D429F">
      <w:pPr>
        <w:numPr>
          <w:ilvl w:val="1"/>
          <w:numId w:val="1092"/>
        </w:numPr>
        <w:shd w:val="clear" w:color="auto" w:fill="FFFFFF"/>
        <w:spacing w:before="100" w:beforeAutospacing="1" w:after="100" w:afterAutospacing="1" w:line="240" w:lineRule="auto"/>
        <w:rPr>
          <w:rFonts w:cs="Times New Roman"/>
          <w:color w:val="000000"/>
          <w:sz w:val="16"/>
          <w:szCs w:val="16"/>
          <w:shd w:val="clear" w:color="auto" w:fill="FFFFFF"/>
        </w:rPr>
      </w:pPr>
      <w:r w:rsidRPr="00F24BF3">
        <w:rPr>
          <w:rFonts w:cs="Times New Roman"/>
          <w:color w:val="000000"/>
          <w:sz w:val="16"/>
          <w:szCs w:val="16"/>
          <w:shd w:val="clear" w:color="auto" w:fill="FFFFFF"/>
        </w:rPr>
        <w:t>déterminer si le patient doit être adressé à un spécialiste pour des soins spécialisés;</w:t>
      </w:r>
    </w:p>
    <w:p w:rsidR="00F24BF3" w:rsidRPr="00F24BF3" w:rsidRDefault="00F24BF3" w:rsidP="005D429F">
      <w:pPr>
        <w:numPr>
          <w:ilvl w:val="1"/>
          <w:numId w:val="1092"/>
        </w:numPr>
        <w:shd w:val="clear" w:color="auto" w:fill="FFFFFF"/>
        <w:spacing w:before="100" w:beforeAutospacing="1" w:after="100" w:afterAutospacing="1" w:line="240" w:lineRule="auto"/>
        <w:rPr>
          <w:rFonts w:cs="Times New Roman"/>
          <w:color w:val="000000"/>
          <w:sz w:val="16"/>
          <w:szCs w:val="16"/>
          <w:shd w:val="clear" w:color="auto" w:fill="FFFFFF"/>
        </w:rPr>
      </w:pPr>
      <w:r w:rsidRPr="00F24BF3">
        <w:rPr>
          <w:rFonts w:cs="Times New Roman"/>
          <w:color w:val="000000"/>
          <w:sz w:val="16"/>
          <w:szCs w:val="16"/>
          <w:shd w:val="clear" w:color="auto" w:fill="FFFFFF"/>
        </w:rPr>
        <w:t>conseiller les parents, les membres de la famille ou les prestataires de soins sur les soins à donner à un enfant présentant une maladie fébrile;</w:t>
      </w:r>
    </w:p>
    <w:p w:rsidR="00F24BF3" w:rsidRPr="00F24BF3" w:rsidRDefault="00F24BF3" w:rsidP="005D429F">
      <w:pPr>
        <w:numPr>
          <w:ilvl w:val="1"/>
          <w:numId w:val="1092"/>
        </w:numPr>
        <w:shd w:val="clear" w:color="auto" w:fill="FFFFFF"/>
        <w:spacing w:before="100" w:beforeAutospacing="1" w:after="100" w:afterAutospacing="1" w:line="240" w:lineRule="auto"/>
        <w:rPr>
          <w:rFonts w:cs="Times New Roman"/>
          <w:color w:val="000000"/>
          <w:sz w:val="16"/>
          <w:szCs w:val="16"/>
          <w:shd w:val="clear" w:color="auto" w:fill="FFFFFF"/>
        </w:rPr>
      </w:pPr>
      <w:r w:rsidRPr="00F24BF3">
        <w:rPr>
          <w:rFonts w:cs="Times New Roman"/>
          <w:color w:val="000000"/>
          <w:sz w:val="16"/>
          <w:szCs w:val="16"/>
          <w:shd w:val="clear" w:color="auto" w:fill="FFFFFF"/>
        </w:rPr>
        <w:t>discuter de l'utilisation d'un antipyrétique en cas de maladie fébrile aiguë;</w:t>
      </w:r>
    </w:p>
    <w:p w:rsidR="00F24BF3" w:rsidRPr="00F24BF3" w:rsidRDefault="00F24BF3" w:rsidP="005D429F">
      <w:pPr>
        <w:numPr>
          <w:ilvl w:val="1"/>
          <w:numId w:val="1092"/>
        </w:numPr>
        <w:shd w:val="clear" w:color="auto" w:fill="FFFFFF"/>
        <w:spacing w:before="100" w:beforeAutospacing="1" w:after="100" w:afterAutospacing="1" w:line="240" w:lineRule="auto"/>
        <w:rPr>
          <w:rFonts w:cs="Times New Roman"/>
          <w:color w:val="000000"/>
          <w:sz w:val="16"/>
          <w:szCs w:val="16"/>
          <w:shd w:val="clear" w:color="auto" w:fill="FFFFFF"/>
        </w:rPr>
      </w:pPr>
      <w:r w:rsidRPr="00F24BF3">
        <w:rPr>
          <w:rFonts w:cs="Times New Roman"/>
          <w:color w:val="000000"/>
          <w:sz w:val="16"/>
          <w:szCs w:val="16"/>
          <w:shd w:val="clear" w:color="auto" w:fill="FFFFFF"/>
        </w:rPr>
        <w:t>discuter des complications résultant de l'administration du vaccin contre la grippe;</w:t>
      </w:r>
    </w:p>
    <w:p w:rsidR="00F24BF3" w:rsidRDefault="00F24BF3" w:rsidP="005D429F">
      <w:pPr>
        <w:numPr>
          <w:ilvl w:val="1"/>
          <w:numId w:val="1092"/>
        </w:numPr>
        <w:shd w:val="clear" w:color="auto" w:fill="FFFFFF"/>
        <w:spacing w:before="100" w:beforeAutospacing="1" w:after="100" w:afterAutospacing="1" w:line="240" w:lineRule="auto"/>
        <w:rPr>
          <w:rFonts w:cs="Times New Roman"/>
          <w:color w:val="000000"/>
          <w:sz w:val="16"/>
          <w:szCs w:val="16"/>
          <w:shd w:val="clear" w:color="auto" w:fill="FFFFFF"/>
        </w:rPr>
      </w:pPr>
      <w:r w:rsidRPr="00F24BF3">
        <w:rPr>
          <w:rFonts w:cs="Times New Roman"/>
          <w:color w:val="000000"/>
          <w:sz w:val="16"/>
          <w:szCs w:val="16"/>
          <w:shd w:val="clear" w:color="auto" w:fill="FFFFFF"/>
        </w:rPr>
        <w:t>discuter des caractéristiques pertinentes de la grippe pandémique, épidémique et endémique, des populations à très haut risque d'infection et/ou de complications de la grippe et des mesures prises en vue de modifier la maladie et de prévenir une mortalité excessive prévisible due à la grippe.</w:t>
      </w:r>
    </w:p>
    <w:p w:rsidR="00CD47D8" w:rsidRDefault="00B17CEA" w:rsidP="00CD47D8">
      <w:pPr>
        <w:pStyle w:val="Sansinterligne"/>
        <w:rPr>
          <w:shd w:val="clear" w:color="auto" w:fill="FFFFFF"/>
        </w:rPr>
      </w:pPr>
      <w:r>
        <w:rPr>
          <w:noProof/>
          <w:lang w:eastAsia="fr-CA"/>
        </w:rPr>
        <w:drawing>
          <wp:anchor distT="0" distB="0" distL="114300" distR="114300" simplePos="0" relativeHeight="252057600" behindDoc="0" locked="0" layoutInCell="1" allowOverlap="1" wp14:anchorId="4CF3CB6D" wp14:editId="3FCFEB71">
            <wp:simplePos x="0" y="0"/>
            <wp:positionH relativeFrom="column">
              <wp:posOffset>3556581</wp:posOffset>
            </wp:positionH>
            <wp:positionV relativeFrom="paragraph">
              <wp:posOffset>5080</wp:posOffset>
            </wp:positionV>
            <wp:extent cx="3163570" cy="1779905"/>
            <wp:effectExtent l="0" t="0" r="0" b="0"/>
            <wp:wrapNone/>
            <wp:docPr id="577" name="Image 577" descr="Résultats de recherche d'images pour « fièvre enfan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ésultats de recherche d'images pour « fièvre enfant »"/>
                    <pic:cNvPicPr>
                      <a:picLocks noChangeAspect="1" noChangeArrowheads="1"/>
                    </pic:cNvPicPr>
                  </pic:nvPicPr>
                  <pic:blipFill>
                    <a:blip r:embed="rId374">
                      <a:extLst>
                        <a:ext uri="{28A0092B-C50C-407E-A947-70E740481C1C}">
                          <a14:useLocalDpi xmlns:a14="http://schemas.microsoft.com/office/drawing/2010/main" val="0"/>
                        </a:ext>
                      </a:extLst>
                    </a:blip>
                    <a:srcRect/>
                    <a:stretch>
                      <a:fillRect/>
                    </a:stretch>
                  </pic:blipFill>
                  <pic:spPr bwMode="auto">
                    <a:xfrm>
                      <a:off x="0" y="0"/>
                      <a:ext cx="3163570" cy="1779905"/>
                    </a:xfrm>
                    <a:prstGeom prst="rect">
                      <a:avLst/>
                    </a:prstGeom>
                    <a:noFill/>
                    <a:ln>
                      <a:noFill/>
                    </a:ln>
                  </pic:spPr>
                </pic:pic>
              </a:graphicData>
            </a:graphic>
            <wp14:sizeRelH relativeFrom="page">
              <wp14:pctWidth>0</wp14:pctWidth>
            </wp14:sizeRelH>
            <wp14:sizeRelV relativeFrom="page">
              <wp14:pctHeight>0</wp14:pctHeight>
            </wp14:sizeRelV>
          </wp:anchor>
        </w:drawing>
      </w:r>
      <w:r w:rsidR="00460CC4" w:rsidRPr="00460CC4">
        <w:rPr>
          <w:b/>
          <w:sz w:val="28"/>
          <w:szCs w:val="28"/>
          <w:shd w:val="clear" w:color="auto" w:fill="FFFFFF"/>
        </w:rPr>
        <w:t>Définition</w:t>
      </w:r>
      <w:r w:rsidR="00460CC4">
        <w:rPr>
          <w:shd w:val="clear" w:color="auto" w:fill="FFFFFF"/>
        </w:rPr>
        <w:t>s</w:t>
      </w:r>
    </w:p>
    <w:p w:rsidR="00460CC4" w:rsidRDefault="00460CC4" w:rsidP="00CD47D8">
      <w:pPr>
        <w:pStyle w:val="Sansinterligne"/>
        <w:rPr>
          <w:sz w:val="16"/>
          <w:szCs w:val="16"/>
          <w:shd w:val="clear" w:color="auto" w:fill="FFFFFF"/>
        </w:rPr>
      </w:pPr>
    </w:p>
    <w:p w:rsidR="00B17CEA" w:rsidRPr="00857E99" w:rsidRDefault="00B17CEA" w:rsidP="00CD47D8">
      <w:pPr>
        <w:pStyle w:val="Sansinterligne"/>
        <w:rPr>
          <w:sz w:val="16"/>
          <w:szCs w:val="16"/>
          <w:shd w:val="clear" w:color="auto" w:fill="FFFFFF"/>
        </w:rPr>
      </w:pPr>
    </w:p>
    <w:p w:rsidR="00B17CEA" w:rsidRDefault="00460CC4" w:rsidP="00B17CEA">
      <w:pPr>
        <w:pStyle w:val="Sansinterligne"/>
        <w:ind w:right="5555"/>
        <w:rPr>
          <w:shd w:val="clear" w:color="auto" w:fill="FFFFFF"/>
        </w:rPr>
      </w:pPr>
      <w:r w:rsidRPr="00D345A7">
        <w:rPr>
          <w:u w:val="single"/>
          <w:shd w:val="clear" w:color="auto" w:fill="FFFFFF"/>
        </w:rPr>
        <w:t>Fièvre </w:t>
      </w:r>
      <w:r>
        <w:rPr>
          <w:shd w:val="clear" w:color="auto" w:fill="FFFFFF"/>
        </w:rPr>
        <w:t xml:space="preserve">: Température </w:t>
      </w:r>
      <w:r>
        <w:rPr>
          <w:rFonts w:ascii="Century Gothic" w:hAnsi="Century Gothic"/>
          <w:shd w:val="clear" w:color="auto" w:fill="FFFFFF"/>
        </w:rPr>
        <w:t>≥</w:t>
      </w:r>
      <w:r>
        <w:rPr>
          <w:shd w:val="clear" w:color="auto" w:fill="FFFFFF"/>
        </w:rPr>
        <w:t xml:space="preserve"> 38</w:t>
      </w:r>
      <w:r>
        <w:rPr>
          <w:rFonts w:cs="Times New Roman"/>
          <w:shd w:val="clear" w:color="auto" w:fill="FFFFFF"/>
        </w:rPr>
        <w:t>°</w:t>
      </w:r>
      <w:r>
        <w:rPr>
          <w:shd w:val="clear" w:color="auto" w:fill="FFFFFF"/>
        </w:rPr>
        <w:t xml:space="preserve">C, réaction physiologique à un </w:t>
      </w:r>
      <w:r w:rsidR="00B17CEA">
        <w:rPr>
          <w:shd w:val="clear" w:color="auto" w:fill="FFFFFF"/>
        </w:rPr>
        <w:t xml:space="preserve">                </w:t>
      </w:r>
    </w:p>
    <w:p w:rsidR="00460CC4" w:rsidRDefault="00B17CEA" w:rsidP="00B17CEA">
      <w:pPr>
        <w:pStyle w:val="Sansinterligne"/>
        <w:ind w:right="5555"/>
        <w:rPr>
          <w:shd w:val="clear" w:color="auto" w:fill="FFFFFF"/>
        </w:rPr>
      </w:pPr>
      <w:r>
        <w:rPr>
          <w:shd w:val="clear" w:color="auto" w:fill="FFFFFF"/>
        </w:rPr>
        <w:t xml:space="preserve">              </w:t>
      </w:r>
      <w:r w:rsidR="00460CC4">
        <w:rPr>
          <w:shd w:val="clear" w:color="auto" w:fill="FFFFFF"/>
        </w:rPr>
        <w:t xml:space="preserve">stimuli </w:t>
      </w:r>
      <w:r>
        <w:rPr>
          <w:shd w:val="clear" w:color="auto" w:fill="FFFFFF"/>
        </w:rPr>
        <w:t xml:space="preserve"> </w:t>
      </w:r>
      <w:r w:rsidR="00460CC4">
        <w:rPr>
          <w:shd w:val="clear" w:color="auto" w:fill="FFFFFF"/>
        </w:rPr>
        <w:t>(ex : infection)</w:t>
      </w:r>
    </w:p>
    <w:p w:rsidR="00460CC4" w:rsidRDefault="00460CC4" w:rsidP="00B17CEA">
      <w:pPr>
        <w:pStyle w:val="Sansinterligne"/>
        <w:ind w:right="5555"/>
        <w:rPr>
          <w:shd w:val="clear" w:color="auto" w:fill="FFFFFF"/>
        </w:rPr>
      </w:pPr>
      <w:r w:rsidRPr="00D345A7">
        <w:rPr>
          <w:u w:val="single"/>
          <w:shd w:val="clear" w:color="auto" w:fill="FFFFFF"/>
        </w:rPr>
        <w:t>Hyperpyrexie</w:t>
      </w:r>
      <w:r>
        <w:rPr>
          <w:shd w:val="clear" w:color="auto" w:fill="FFFFFF"/>
        </w:rPr>
        <w:t xml:space="preserve"> : Température </w:t>
      </w:r>
      <w:r>
        <w:rPr>
          <w:rFonts w:ascii="Century Gothic" w:hAnsi="Century Gothic"/>
          <w:shd w:val="clear" w:color="auto" w:fill="FFFFFF"/>
        </w:rPr>
        <w:t>≥</w:t>
      </w:r>
      <w:r>
        <w:rPr>
          <w:shd w:val="clear" w:color="auto" w:fill="FFFFFF"/>
        </w:rPr>
        <w:t xml:space="preserve"> 40</w:t>
      </w:r>
      <w:r>
        <w:rPr>
          <w:rFonts w:cs="Times New Roman"/>
          <w:shd w:val="clear" w:color="auto" w:fill="FFFFFF"/>
        </w:rPr>
        <w:t>°</w:t>
      </w:r>
      <w:r>
        <w:rPr>
          <w:shd w:val="clear" w:color="auto" w:fill="FFFFFF"/>
        </w:rPr>
        <w:t>C</w:t>
      </w:r>
    </w:p>
    <w:p w:rsidR="00B17CEA" w:rsidRDefault="00460CC4" w:rsidP="00B17CEA">
      <w:pPr>
        <w:pStyle w:val="Sansinterligne"/>
        <w:ind w:right="5555"/>
        <w:rPr>
          <w:shd w:val="clear" w:color="auto" w:fill="FFFFFF"/>
        </w:rPr>
      </w:pPr>
      <w:r w:rsidRPr="00D345A7">
        <w:rPr>
          <w:u w:val="single"/>
          <w:shd w:val="clear" w:color="auto" w:fill="FFFFFF"/>
        </w:rPr>
        <w:t>Hyperthermie</w:t>
      </w:r>
      <w:r>
        <w:rPr>
          <w:shd w:val="clear" w:color="auto" w:fill="FFFFFF"/>
        </w:rPr>
        <w:t xml:space="preserve"> : Température </w:t>
      </w:r>
      <w:r>
        <w:rPr>
          <w:rFonts w:ascii="Century Gothic" w:hAnsi="Century Gothic"/>
          <w:shd w:val="clear" w:color="auto" w:fill="FFFFFF"/>
        </w:rPr>
        <w:t>&gt;</w:t>
      </w:r>
      <w:r>
        <w:rPr>
          <w:shd w:val="clear" w:color="auto" w:fill="FFFFFF"/>
        </w:rPr>
        <w:t xml:space="preserve"> 38</w:t>
      </w:r>
      <w:r>
        <w:rPr>
          <w:rFonts w:cs="Times New Roman"/>
          <w:shd w:val="clear" w:color="auto" w:fill="FFFFFF"/>
        </w:rPr>
        <w:t>°</w:t>
      </w:r>
      <w:r>
        <w:rPr>
          <w:shd w:val="clear" w:color="auto" w:fill="FFFFFF"/>
        </w:rPr>
        <w:t xml:space="preserve">C, réaction </w:t>
      </w:r>
      <w:r w:rsidR="00B17CEA">
        <w:rPr>
          <w:shd w:val="clear" w:color="auto" w:fill="FFFFFF"/>
        </w:rPr>
        <w:t xml:space="preserve">    </w:t>
      </w:r>
    </w:p>
    <w:p w:rsidR="00B17CEA" w:rsidRDefault="00B17CEA" w:rsidP="00B17CEA">
      <w:pPr>
        <w:pStyle w:val="Sansinterligne"/>
        <w:ind w:right="5555"/>
        <w:rPr>
          <w:shd w:val="clear" w:color="auto" w:fill="FFFFFF"/>
        </w:rPr>
      </w:pPr>
      <w:r>
        <w:rPr>
          <w:shd w:val="clear" w:color="auto" w:fill="FFFFFF"/>
        </w:rPr>
        <w:t xml:space="preserve">                          </w:t>
      </w:r>
      <w:r w:rsidR="00460CC4">
        <w:rPr>
          <w:shd w:val="clear" w:color="auto" w:fill="FFFFFF"/>
        </w:rPr>
        <w:t>homéostatique anormale</w:t>
      </w:r>
      <w:r>
        <w:rPr>
          <w:shd w:val="clear" w:color="auto" w:fill="FFFFFF"/>
        </w:rPr>
        <w:t xml:space="preserve">                                                       </w:t>
      </w:r>
      <w:r w:rsidR="00460CC4">
        <w:rPr>
          <w:shd w:val="clear" w:color="auto" w:fill="FFFFFF"/>
        </w:rPr>
        <w:t xml:space="preserve"> </w:t>
      </w:r>
      <w:r>
        <w:rPr>
          <w:shd w:val="clear" w:color="auto" w:fill="FFFFFF"/>
        </w:rPr>
        <w:t xml:space="preserve"> </w:t>
      </w:r>
    </w:p>
    <w:p w:rsidR="00460CC4" w:rsidRDefault="00B17CEA" w:rsidP="00B17CEA">
      <w:pPr>
        <w:pStyle w:val="Sansinterligne"/>
        <w:ind w:right="5555"/>
        <w:rPr>
          <w:shd w:val="clear" w:color="auto" w:fill="FFFFFF"/>
        </w:rPr>
      </w:pPr>
      <w:r>
        <w:rPr>
          <w:shd w:val="clear" w:color="auto" w:fill="FFFFFF"/>
        </w:rPr>
        <w:t xml:space="preserve">                         </w:t>
      </w:r>
      <w:r w:rsidR="00460CC4">
        <w:rPr>
          <w:shd w:val="clear" w:color="auto" w:fill="FFFFFF"/>
        </w:rPr>
        <w:t>(ex : production excessive de chaleur)</w:t>
      </w:r>
    </w:p>
    <w:p w:rsidR="00D81BB2" w:rsidRDefault="00D81BB2" w:rsidP="00B17CEA">
      <w:pPr>
        <w:pStyle w:val="Sansinterligne"/>
        <w:ind w:right="5555"/>
        <w:rPr>
          <w:b/>
          <w:sz w:val="28"/>
          <w:szCs w:val="28"/>
          <w:shd w:val="clear" w:color="auto" w:fill="FFFFFF"/>
        </w:rPr>
        <w:sectPr w:rsidR="00D81BB2" w:rsidSect="00217865">
          <w:type w:val="continuous"/>
          <w:pgSz w:w="12240" w:h="15840"/>
          <w:pgMar w:top="720" w:right="720" w:bottom="720" w:left="720" w:header="708" w:footer="708" w:gutter="0"/>
          <w:cols w:space="708"/>
          <w:docGrid w:linePitch="360"/>
        </w:sectPr>
      </w:pPr>
    </w:p>
    <w:p w:rsidR="00D81BB2" w:rsidRDefault="00D81BB2" w:rsidP="00CD47D8">
      <w:pPr>
        <w:pStyle w:val="Sansinterligne"/>
        <w:rPr>
          <w:b/>
          <w:sz w:val="28"/>
          <w:szCs w:val="28"/>
          <w:shd w:val="clear" w:color="auto" w:fill="FFFFFF"/>
        </w:rPr>
      </w:pPr>
    </w:p>
    <w:p w:rsidR="00B17CEA" w:rsidRDefault="00B17CEA" w:rsidP="00CD47D8">
      <w:pPr>
        <w:pStyle w:val="Sansinterligne"/>
        <w:rPr>
          <w:b/>
          <w:sz w:val="28"/>
          <w:szCs w:val="28"/>
          <w:shd w:val="clear" w:color="auto" w:fill="FFFFFF"/>
        </w:rPr>
        <w:sectPr w:rsidR="00B17CEA" w:rsidSect="00D81BB2">
          <w:type w:val="continuous"/>
          <w:pgSz w:w="12240" w:h="15840"/>
          <w:pgMar w:top="720" w:right="720" w:bottom="720" w:left="720" w:header="708" w:footer="708" w:gutter="0"/>
          <w:cols w:space="708"/>
          <w:docGrid w:linePitch="360"/>
        </w:sectPr>
      </w:pPr>
    </w:p>
    <w:p w:rsidR="00CD47D8" w:rsidRPr="00342F57" w:rsidRDefault="00CD47D8" w:rsidP="00CD47D8">
      <w:pPr>
        <w:pStyle w:val="Sansinterligne"/>
        <w:rPr>
          <w:b/>
          <w:sz w:val="28"/>
          <w:szCs w:val="28"/>
          <w:shd w:val="clear" w:color="auto" w:fill="FFFFFF"/>
        </w:rPr>
      </w:pPr>
      <w:r w:rsidRPr="00342F57">
        <w:rPr>
          <w:b/>
          <w:sz w:val="28"/>
          <w:szCs w:val="28"/>
          <w:shd w:val="clear" w:color="auto" w:fill="FFFFFF"/>
        </w:rPr>
        <w:t>Diagnostics</w:t>
      </w:r>
    </w:p>
    <w:p w:rsidR="00CD47D8" w:rsidRPr="00B511FA" w:rsidRDefault="00CD47D8" w:rsidP="00CD47D8">
      <w:pPr>
        <w:pStyle w:val="Sansinterligne"/>
        <w:rPr>
          <w:sz w:val="16"/>
          <w:szCs w:val="16"/>
          <w:shd w:val="clear" w:color="auto" w:fill="FFFFFF"/>
        </w:rPr>
      </w:pPr>
    </w:p>
    <w:tbl>
      <w:tblPr>
        <w:tblStyle w:val="Grilledutableau"/>
        <w:tblW w:w="0" w:type="auto"/>
        <w:tblLook w:val="04A0" w:firstRow="1" w:lastRow="0" w:firstColumn="1" w:lastColumn="0" w:noHBand="0" w:noVBand="1"/>
      </w:tblPr>
      <w:tblGrid>
        <w:gridCol w:w="2518"/>
        <w:gridCol w:w="2807"/>
        <w:gridCol w:w="1295"/>
        <w:gridCol w:w="1710"/>
        <w:gridCol w:w="2393"/>
        <w:gridCol w:w="108"/>
      </w:tblGrid>
      <w:tr w:rsidR="00CD47D8" w:rsidTr="00F017FD">
        <w:tc>
          <w:tcPr>
            <w:tcW w:w="10723" w:type="dxa"/>
            <w:gridSpan w:val="6"/>
            <w:shd w:val="clear" w:color="auto" w:fill="FFC000"/>
          </w:tcPr>
          <w:p w:rsidR="00CD47D8" w:rsidRDefault="00CD47D8" w:rsidP="00CD47D8">
            <w:pPr>
              <w:pStyle w:val="Sansinterligne"/>
              <w:jc w:val="center"/>
            </w:pPr>
            <w:r>
              <w:t>Atteintes virales et exanthèmes pédiatriques</w:t>
            </w:r>
          </w:p>
        </w:tc>
      </w:tr>
      <w:tr w:rsidR="00CD47D8" w:rsidTr="00F017FD">
        <w:tc>
          <w:tcPr>
            <w:tcW w:w="2518" w:type="dxa"/>
            <w:shd w:val="clear" w:color="auto" w:fill="C2D69B" w:themeFill="accent3" w:themeFillTint="99"/>
          </w:tcPr>
          <w:p w:rsidR="00CD47D8" w:rsidRPr="00740425" w:rsidRDefault="00CD47D8" w:rsidP="00CD47D8">
            <w:pPr>
              <w:pStyle w:val="Sansinterligne"/>
              <w:jc w:val="center"/>
              <w:rPr>
                <w:i/>
              </w:rPr>
            </w:pPr>
            <w:r w:rsidRPr="00740425">
              <w:rPr>
                <w:i/>
              </w:rPr>
              <w:t>Diagnostic</w:t>
            </w:r>
          </w:p>
        </w:tc>
        <w:tc>
          <w:tcPr>
            <w:tcW w:w="8205" w:type="dxa"/>
            <w:gridSpan w:val="5"/>
            <w:shd w:val="clear" w:color="auto" w:fill="C2D69B" w:themeFill="accent3" w:themeFillTint="99"/>
          </w:tcPr>
          <w:p w:rsidR="00CD47D8" w:rsidRPr="00740425" w:rsidRDefault="00CD47D8" w:rsidP="00CD47D8">
            <w:pPr>
              <w:pStyle w:val="Sansinterligne"/>
              <w:jc w:val="center"/>
              <w:rPr>
                <w:i/>
              </w:rPr>
            </w:pPr>
            <w:r w:rsidRPr="00740425">
              <w:rPr>
                <w:i/>
              </w:rPr>
              <w:t>Manifestations cliniques</w:t>
            </w:r>
          </w:p>
        </w:tc>
      </w:tr>
      <w:tr w:rsidR="00F10C89" w:rsidTr="0003769D">
        <w:tc>
          <w:tcPr>
            <w:tcW w:w="2518" w:type="dxa"/>
            <w:shd w:val="clear" w:color="auto" w:fill="C2D69B" w:themeFill="accent3" w:themeFillTint="99"/>
            <w:vAlign w:val="center"/>
          </w:tcPr>
          <w:p w:rsidR="00F10C89" w:rsidRDefault="00F10C89" w:rsidP="0045541D">
            <w:pPr>
              <w:pStyle w:val="Sansinterligne"/>
              <w:jc w:val="center"/>
            </w:pPr>
            <w:r>
              <w:t>Coryza (IVRS)</w:t>
            </w:r>
          </w:p>
        </w:tc>
        <w:tc>
          <w:tcPr>
            <w:tcW w:w="2807" w:type="dxa"/>
            <w:tcBorders>
              <w:right w:val="single" w:sz="4" w:space="0" w:color="FFFFFF" w:themeColor="background1"/>
            </w:tcBorders>
          </w:tcPr>
          <w:p w:rsidR="00F10C89" w:rsidRDefault="00F10C89" w:rsidP="005D429F">
            <w:pPr>
              <w:pStyle w:val="Sansinterligne"/>
              <w:numPr>
                <w:ilvl w:val="0"/>
                <w:numId w:val="1186"/>
              </w:numPr>
            </w:pPr>
            <w:r>
              <w:t xml:space="preserve">Durée </w:t>
            </w:r>
            <w:r>
              <w:rPr>
                <w:rFonts w:ascii="Century Gothic" w:hAnsi="Century Gothic"/>
              </w:rPr>
              <w:t>≈</w:t>
            </w:r>
            <w:r>
              <w:t xml:space="preserve"> 14 jours</w:t>
            </w:r>
          </w:p>
          <w:p w:rsidR="001908D8" w:rsidRDefault="001908D8" w:rsidP="005D429F">
            <w:pPr>
              <w:pStyle w:val="Sansinterligne"/>
              <w:numPr>
                <w:ilvl w:val="0"/>
                <w:numId w:val="1186"/>
              </w:numPr>
            </w:pPr>
            <w:r>
              <w:t>Hx de contact infectieux</w:t>
            </w:r>
          </w:p>
          <w:p w:rsidR="00E13D12" w:rsidRDefault="00E13D12" w:rsidP="005D429F">
            <w:pPr>
              <w:pStyle w:val="Sansinterligne"/>
              <w:numPr>
                <w:ilvl w:val="0"/>
                <w:numId w:val="1186"/>
              </w:numPr>
            </w:pPr>
            <w:r>
              <w:t>Saison (septembre-avril)</w:t>
            </w:r>
          </w:p>
        </w:tc>
        <w:tc>
          <w:tcPr>
            <w:tcW w:w="3005" w:type="dxa"/>
            <w:gridSpan w:val="2"/>
            <w:tcBorders>
              <w:left w:val="single" w:sz="4" w:space="0" w:color="FFFFFF" w:themeColor="background1"/>
              <w:right w:val="single" w:sz="4" w:space="0" w:color="FFFFFF" w:themeColor="background1"/>
            </w:tcBorders>
          </w:tcPr>
          <w:p w:rsidR="00E13D12" w:rsidRDefault="00E13D12" w:rsidP="005D429F">
            <w:pPr>
              <w:pStyle w:val="Sansinterligne"/>
              <w:numPr>
                <w:ilvl w:val="0"/>
                <w:numId w:val="1186"/>
              </w:numPr>
            </w:pPr>
            <w:r w:rsidRPr="00E13D12">
              <w:t>Fièvre</w:t>
            </w:r>
          </w:p>
          <w:p w:rsidR="00F10C89" w:rsidRDefault="00F10C89" w:rsidP="005D429F">
            <w:pPr>
              <w:pStyle w:val="Sansinterligne"/>
              <w:numPr>
                <w:ilvl w:val="0"/>
                <w:numId w:val="1186"/>
              </w:numPr>
            </w:pPr>
            <w:r>
              <w:t xml:space="preserve">Congestion </w:t>
            </w:r>
            <w:r w:rsidR="00E13D12">
              <w:t xml:space="preserve">/ </w:t>
            </w:r>
            <w:r>
              <w:t xml:space="preserve">Rhinorrhée </w:t>
            </w:r>
          </w:p>
          <w:p w:rsidR="00F10C89" w:rsidRDefault="00F10C89" w:rsidP="005D429F">
            <w:pPr>
              <w:pStyle w:val="Sansinterligne"/>
              <w:numPr>
                <w:ilvl w:val="0"/>
                <w:numId w:val="1186"/>
              </w:numPr>
            </w:pPr>
            <w:r>
              <w:t>Toux</w:t>
            </w:r>
          </w:p>
        </w:tc>
        <w:tc>
          <w:tcPr>
            <w:tcW w:w="2393" w:type="dxa"/>
            <w:gridSpan w:val="2"/>
            <w:tcBorders>
              <w:left w:val="single" w:sz="4" w:space="0" w:color="FFFFFF" w:themeColor="background1"/>
            </w:tcBorders>
          </w:tcPr>
          <w:p w:rsidR="00F10C89" w:rsidRDefault="00F10C89" w:rsidP="005D429F">
            <w:pPr>
              <w:pStyle w:val="Sansinterligne"/>
              <w:numPr>
                <w:ilvl w:val="0"/>
                <w:numId w:val="1186"/>
              </w:numPr>
            </w:pPr>
            <w:r>
              <w:t>Irritabilité</w:t>
            </w:r>
          </w:p>
          <w:p w:rsidR="00F10C89" w:rsidRDefault="00F10C89" w:rsidP="005D429F">
            <w:pPr>
              <w:pStyle w:val="Sansinterligne"/>
              <w:numPr>
                <w:ilvl w:val="0"/>
                <w:numId w:val="1186"/>
              </w:numPr>
            </w:pPr>
            <w:r>
              <w:t>Céphalées</w:t>
            </w:r>
          </w:p>
          <w:p w:rsidR="00F10C89" w:rsidRDefault="00F10C89" w:rsidP="005D429F">
            <w:pPr>
              <w:pStyle w:val="Sansinterligne"/>
              <w:numPr>
                <w:ilvl w:val="0"/>
                <w:numId w:val="1186"/>
              </w:numPr>
            </w:pPr>
            <w:r>
              <w:rPr>
                <w:rFonts w:cs="Times New Roman"/>
              </w:rPr>
              <w:t>↓</w:t>
            </w:r>
            <w:r>
              <w:t xml:space="preserve"> d’appétit</w:t>
            </w:r>
          </w:p>
        </w:tc>
      </w:tr>
      <w:tr w:rsidR="009E694A" w:rsidTr="001C6AE8">
        <w:tc>
          <w:tcPr>
            <w:tcW w:w="2518" w:type="dxa"/>
            <w:shd w:val="clear" w:color="auto" w:fill="C2D69B" w:themeFill="accent3" w:themeFillTint="99"/>
            <w:vAlign w:val="center"/>
          </w:tcPr>
          <w:p w:rsidR="009E694A" w:rsidRPr="003E5C46" w:rsidRDefault="009E694A" w:rsidP="0045541D">
            <w:pPr>
              <w:pStyle w:val="Sansinterligne"/>
              <w:jc w:val="center"/>
              <w:rPr>
                <w:b/>
              </w:rPr>
            </w:pPr>
            <w:r w:rsidRPr="003E5C46">
              <w:rPr>
                <w:b/>
              </w:rPr>
              <w:t>Rubéole</w:t>
            </w:r>
          </w:p>
        </w:tc>
        <w:tc>
          <w:tcPr>
            <w:tcW w:w="3994" w:type="dxa"/>
            <w:gridSpan w:val="2"/>
            <w:tcBorders>
              <w:right w:val="single" w:sz="4" w:space="0" w:color="FFFF00"/>
            </w:tcBorders>
            <w:shd w:val="clear" w:color="auto" w:fill="FFFF00"/>
          </w:tcPr>
          <w:p w:rsidR="00F350B6" w:rsidRPr="00A72BC0" w:rsidRDefault="00F350B6" w:rsidP="005D429F">
            <w:pPr>
              <w:pStyle w:val="Sansinterligne"/>
              <w:numPr>
                <w:ilvl w:val="0"/>
                <w:numId w:val="1186"/>
              </w:numPr>
              <w:rPr>
                <w:u w:val="single"/>
              </w:rPr>
            </w:pPr>
            <w:r w:rsidRPr="00A72BC0">
              <w:rPr>
                <w:u w:val="single"/>
              </w:rPr>
              <w:t>Nourrissons et adolescents surtout</w:t>
            </w:r>
          </w:p>
          <w:p w:rsidR="009E694A" w:rsidRDefault="009E694A" w:rsidP="005D429F">
            <w:pPr>
              <w:pStyle w:val="Sansinterligne"/>
              <w:numPr>
                <w:ilvl w:val="0"/>
                <w:numId w:val="1186"/>
              </w:numPr>
            </w:pPr>
            <w:r>
              <w:t>Sx d’IVRS</w:t>
            </w:r>
          </w:p>
          <w:p w:rsidR="009E694A" w:rsidRDefault="009E694A" w:rsidP="005D429F">
            <w:pPr>
              <w:pStyle w:val="Sansinterligne"/>
              <w:numPr>
                <w:ilvl w:val="0"/>
                <w:numId w:val="1186"/>
              </w:numPr>
            </w:pPr>
            <w:r>
              <w:t>Léger érythème conjonctival</w:t>
            </w:r>
          </w:p>
          <w:p w:rsidR="009E694A" w:rsidRPr="00A72BC0" w:rsidRDefault="009E694A" w:rsidP="005D429F">
            <w:pPr>
              <w:pStyle w:val="Sansinterligne"/>
              <w:numPr>
                <w:ilvl w:val="0"/>
                <w:numId w:val="1186"/>
              </w:numPr>
              <w:rPr>
                <w:u w:val="single"/>
              </w:rPr>
            </w:pPr>
            <w:r w:rsidRPr="00A72BC0">
              <w:rPr>
                <w:u w:val="single"/>
              </w:rPr>
              <w:t>Adénopathies occipitales / cervicales post</w:t>
            </w:r>
          </w:p>
          <w:p w:rsidR="00F350B6" w:rsidRDefault="009E694A" w:rsidP="005D429F">
            <w:pPr>
              <w:pStyle w:val="Sansinterligne"/>
              <w:numPr>
                <w:ilvl w:val="0"/>
                <w:numId w:val="1186"/>
              </w:numPr>
            </w:pPr>
            <w:r>
              <w:t>Peu ou pas de fièvre</w:t>
            </w:r>
            <w:r w:rsidR="00F350B6">
              <w:t>, bon état général</w:t>
            </w:r>
          </w:p>
        </w:tc>
        <w:tc>
          <w:tcPr>
            <w:tcW w:w="4211" w:type="dxa"/>
            <w:gridSpan w:val="3"/>
            <w:tcBorders>
              <w:left w:val="single" w:sz="4" w:space="0" w:color="FFFF00"/>
            </w:tcBorders>
            <w:shd w:val="clear" w:color="auto" w:fill="FFFF00"/>
          </w:tcPr>
          <w:p w:rsidR="001C6AE8" w:rsidRPr="00A72BC0" w:rsidRDefault="001C6AE8" w:rsidP="005D429F">
            <w:pPr>
              <w:pStyle w:val="Sansinterligne"/>
              <w:numPr>
                <w:ilvl w:val="0"/>
                <w:numId w:val="1186"/>
              </w:numPr>
              <w:rPr>
                <w:u w:val="single"/>
              </w:rPr>
            </w:pPr>
            <w:r w:rsidRPr="00A72BC0">
              <w:rPr>
                <w:u w:val="single"/>
              </w:rPr>
              <w:t xml:space="preserve">Arthralgies distales </w:t>
            </w:r>
          </w:p>
          <w:p w:rsidR="009E694A" w:rsidRPr="00A72BC0" w:rsidRDefault="009E694A" w:rsidP="005D429F">
            <w:pPr>
              <w:pStyle w:val="Sansinterligne"/>
              <w:numPr>
                <w:ilvl w:val="0"/>
                <w:numId w:val="1186"/>
              </w:numPr>
              <w:rPr>
                <w:u w:val="single"/>
              </w:rPr>
            </w:pPr>
            <w:r w:rsidRPr="00A72BC0">
              <w:rPr>
                <w:u w:val="single"/>
              </w:rPr>
              <w:t>Exanthème maculopapulaire rosé non-prurigineux</w:t>
            </w:r>
          </w:p>
          <w:p w:rsidR="009E694A" w:rsidRDefault="009E694A" w:rsidP="005D429F">
            <w:pPr>
              <w:pStyle w:val="Sansinterligne"/>
              <w:numPr>
                <w:ilvl w:val="1"/>
                <w:numId w:val="1186"/>
              </w:numPr>
            </w:pPr>
            <w:r>
              <w:t>Apparait au visage (joues)</w:t>
            </w:r>
          </w:p>
          <w:p w:rsidR="009E694A" w:rsidRDefault="009E694A" w:rsidP="005D429F">
            <w:pPr>
              <w:pStyle w:val="Sansinterligne"/>
              <w:numPr>
                <w:ilvl w:val="1"/>
                <w:numId w:val="1186"/>
              </w:numPr>
            </w:pPr>
            <w:r>
              <w:t>Extension au tronc</w:t>
            </w:r>
          </w:p>
          <w:p w:rsidR="009E694A" w:rsidRDefault="009E694A" w:rsidP="005D429F">
            <w:pPr>
              <w:pStyle w:val="Sansinterligne"/>
              <w:numPr>
                <w:ilvl w:val="1"/>
                <w:numId w:val="1186"/>
              </w:numPr>
            </w:pPr>
            <w:r>
              <w:t>Résolution en 3-5 jours</w:t>
            </w:r>
          </w:p>
        </w:tc>
      </w:tr>
      <w:tr w:rsidR="00F017FD" w:rsidTr="001C6AE8">
        <w:tc>
          <w:tcPr>
            <w:tcW w:w="2518" w:type="dxa"/>
            <w:shd w:val="clear" w:color="auto" w:fill="C2D69B" w:themeFill="accent3" w:themeFillTint="99"/>
            <w:vAlign w:val="center"/>
          </w:tcPr>
          <w:p w:rsidR="00F017FD" w:rsidRPr="003E5C46" w:rsidRDefault="00F017FD" w:rsidP="0045541D">
            <w:pPr>
              <w:pStyle w:val="Sansinterligne"/>
              <w:jc w:val="center"/>
              <w:rPr>
                <w:b/>
              </w:rPr>
            </w:pPr>
            <w:r w:rsidRPr="003E5C46">
              <w:rPr>
                <w:b/>
              </w:rPr>
              <w:t>Rougeole</w:t>
            </w:r>
          </w:p>
        </w:tc>
        <w:tc>
          <w:tcPr>
            <w:tcW w:w="3994" w:type="dxa"/>
            <w:gridSpan w:val="2"/>
            <w:tcBorders>
              <w:right w:val="single" w:sz="4" w:space="0" w:color="FFFF00"/>
            </w:tcBorders>
            <w:shd w:val="clear" w:color="auto" w:fill="FFFF00"/>
          </w:tcPr>
          <w:p w:rsidR="00F017FD" w:rsidRDefault="00F017FD" w:rsidP="005D429F">
            <w:pPr>
              <w:pStyle w:val="Sansinterligne"/>
              <w:numPr>
                <w:ilvl w:val="0"/>
                <w:numId w:val="1186"/>
              </w:numPr>
            </w:pPr>
            <w:r>
              <w:t>Prodrome de rhinorrhée/</w:t>
            </w:r>
            <w:r w:rsidR="00EA03A6">
              <w:t xml:space="preserve"> </w:t>
            </w:r>
            <w:r w:rsidRPr="00EA03A6">
              <w:rPr>
                <w:u w:val="single"/>
              </w:rPr>
              <w:t>conjonctivite</w:t>
            </w:r>
          </w:p>
          <w:p w:rsidR="00F017FD" w:rsidRDefault="00F017FD" w:rsidP="005D429F">
            <w:pPr>
              <w:pStyle w:val="Sansinterligne"/>
              <w:numPr>
                <w:ilvl w:val="0"/>
                <w:numId w:val="1186"/>
              </w:numPr>
            </w:pPr>
            <w:r w:rsidRPr="00EA03A6">
              <w:rPr>
                <w:u w:val="single"/>
              </w:rPr>
              <w:t>Taches de Koplik</w:t>
            </w:r>
            <w:r>
              <w:t xml:space="preserve"> (muqueuses jugales)</w:t>
            </w:r>
          </w:p>
          <w:p w:rsidR="00F017FD" w:rsidRDefault="00F017FD" w:rsidP="005D429F">
            <w:pPr>
              <w:pStyle w:val="Sansinterligne"/>
              <w:numPr>
                <w:ilvl w:val="0"/>
                <w:numId w:val="1186"/>
              </w:numPr>
            </w:pPr>
            <w:r w:rsidRPr="00EA03A6">
              <w:rPr>
                <w:u w:val="single"/>
              </w:rPr>
              <w:t>Fièvre élevée</w:t>
            </w:r>
            <w:r>
              <w:t xml:space="preserve"> (40</w:t>
            </w:r>
            <w:r>
              <w:rPr>
                <w:rFonts w:cs="Times New Roman"/>
              </w:rPr>
              <w:t>°</w:t>
            </w:r>
            <w:r>
              <w:t>C)</w:t>
            </w:r>
            <w:r w:rsidR="00F350B6">
              <w:t xml:space="preserve"> ad </w:t>
            </w:r>
            <w:r>
              <w:t>3 jours après rash</w:t>
            </w:r>
          </w:p>
          <w:p w:rsidR="00F350B6" w:rsidRDefault="00F350B6" w:rsidP="005D429F">
            <w:pPr>
              <w:pStyle w:val="Sansinterligne"/>
              <w:numPr>
                <w:ilvl w:val="0"/>
                <w:numId w:val="1186"/>
              </w:numPr>
            </w:pPr>
            <w:r>
              <w:t>Nourrissons et adolescents surtout</w:t>
            </w:r>
          </w:p>
        </w:tc>
        <w:tc>
          <w:tcPr>
            <w:tcW w:w="4211" w:type="dxa"/>
            <w:gridSpan w:val="3"/>
            <w:tcBorders>
              <w:left w:val="single" w:sz="4" w:space="0" w:color="FFFF00"/>
            </w:tcBorders>
            <w:shd w:val="clear" w:color="auto" w:fill="FFFF00"/>
          </w:tcPr>
          <w:p w:rsidR="00F017FD" w:rsidRDefault="00F017FD" w:rsidP="005D429F">
            <w:pPr>
              <w:pStyle w:val="Sansinterligne"/>
              <w:numPr>
                <w:ilvl w:val="0"/>
                <w:numId w:val="1186"/>
              </w:numPr>
            </w:pPr>
            <w:r>
              <w:t xml:space="preserve">Exanthème maculo-papulaire </w:t>
            </w:r>
            <w:r w:rsidRPr="00F017FD">
              <w:t>morbilliforme</w:t>
            </w:r>
          </w:p>
          <w:p w:rsidR="00F017FD" w:rsidRDefault="00F017FD" w:rsidP="005D429F">
            <w:pPr>
              <w:pStyle w:val="Sansinterligne"/>
              <w:numPr>
                <w:ilvl w:val="1"/>
                <w:numId w:val="1186"/>
              </w:numPr>
            </w:pPr>
            <w:r>
              <w:t>Rétro-</w:t>
            </w:r>
            <w:r w:rsidR="00E779D9">
              <w:t>auriculaires</w:t>
            </w:r>
            <w:r>
              <w:rPr>
                <w:rFonts w:ascii="Century Gothic" w:hAnsi="Century Gothic"/>
              </w:rPr>
              <w:t>→</w:t>
            </w:r>
            <w:r w:rsidR="00E779D9">
              <w:rPr>
                <w:rFonts w:ascii="Century Gothic" w:hAnsi="Century Gothic"/>
              </w:rPr>
              <w:t xml:space="preserve"> </w:t>
            </w:r>
            <w:r w:rsidR="001C6AE8">
              <w:t>face</w:t>
            </w:r>
            <w:r>
              <w:rPr>
                <w:rFonts w:ascii="Century Gothic" w:hAnsi="Century Gothic"/>
              </w:rPr>
              <w:t>→</w:t>
            </w:r>
            <w:r>
              <w:t>tronc</w:t>
            </w:r>
            <w:r>
              <w:rPr>
                <w:rFonts w:ascii="Century Gothic" w:hAnsi="Century Gothic"/>
              </w:rPr>
              <w:t>→</w:t>
            </w:r>
            <w:r>
              <w:t>membres</w:t>
            </w:r>
          </w:p>
          <w:p w:rsidR="00F017FD" w:rsidRDefault="00EA03A6" w:rsidP="005D429F">
            <w:pPr>
              <w:pStyle w:val="Sansinterligne"/>
              <w:numPr>
                <w:ilvl w:val="1"/>
                <w:numId w:val="1186"/>
              </w:numPr>
            </w:pPr>
            <w:r>
              <w:t>Confluant</w:t>
            </w:r>
          </w:p>
          <w:p w:rsidR="00F017FD" w:rsidRDefault="00F017FD" w:rsidP="005D429F">
            <w:pPr>
              <w:pStyle w:val="Sansinterligne"/>
              <w:numPr>
                <w:ilvl w:val="1"/>
                <w:numId w:val="1186"/>
              </w:numPr>
            </w:pPr>
            <w:r>
              <w:t>Dure 3-5 jours</w:t>
            </w:r>
          </w:p>
        </w:tc>
      </w:tr>
      <w:tr w:rsidR="00B91DEF" w:rsidTr="001C6AE8">
        <w:tc>
          <w:tcPr>
            <w:tcW w:w="2518" w:type="dxa"/>
            <w:shd w:val="clear" w:color="auto" w:fill="C2D69B" w:themeFill="accent3" w:themeFillTint="99"/>
            <w:vAlign w:val="center"/>
          </w:tcPr>
          <w:p w:rsidR="00B91DEF" w:rsidRPr="003E5C46" w:rsidRDefault="00B91DEF" w:rsidP="0045541D">
            <w:pPr>
              <w:pStyle w:val="Sansinterligne"/>
              <w:jc w:val="center"/>
              <w:rPr>
                <w:b/>
              </w:rPr>
            </w:pPr>
            <w:r w:rsidRPr="003E5C46">
              <w:rPr>
                <w:b/>
              </w:rPr>
              <w:t>Roséole</w:t>
            </w:r>
          </w:p>
        </w:tc>
        <w:tc>
          <w:tcPr>
            <w:tcW w:w="3994" w:type="dxa"/>
            <w:gridSpan w:val="2"/>
            <w:tcBorders>
              <w:right w:val="single" w:sz="4" w:space="0" w:color="FFFF00"/>
            </w:tcBorders>
            <w:shd w:val="clear" w:color="auto" w:fill="FFFF00"/>
          </w:tcPr>
          <w:p w:rsidR="00B91DEF" w:rsidRPr="00A72BC0" w:rsidRDefault="00B91DEF" w:rsidP="005D429F">
            <w:pPr>
              <w:pStyle w:val="Sansinterligne"/>
              <w:numPr>
                <w:ilvl w:val="0"/>
                <w:numId w:val="1186"/>
              </w:numPr>
              <w:rPr>
                <w:u w:val="single"/>
              </w:rPr>
            </w:pPr>
            <w:r w:rsidRPr="00A72BC0">
              <w:rPr>
                <w:u w:val="single"/>
              </w:rPr>
              <w:t>Enfants 3-24 mois</w:t>
            </w:r>
          </w:p>
          <w:p w:rsidR="00B91DEF" w:rsidRDefault="00B91DEF" w:rsidP="005D429F">
            <w:pPr>
              <w:pStyle w:val="Sansinterligne"/>
              <w:numPr>
                <w:ilvl w:val="0"/>
                <w:numId w:val="1186"/>
              </w:numPr>
            </w:pPr>
            <w:r>
              <w:t xml:space="preserve">Apparition subite fièvre </w:t>
            </w:r>
            <w:r>
              <w:rPr>
                <w:rFonts w:ascii="Century Gothic" w:hAnsi="Century Gothic"/>
              </w:rPr>
              <w:t>&gt;</w:t>
            </w:r>
            <w:r>
              <w:t>39</w:t>
            </w:r>
            <w:r>
              <w:rPr>
                <w:rFonts w:cs="Times New Roman"/>
              </w:rPr>
              <w:t>°</w:t>
            </w:r>
            <w:r>
              <w:t>C</w:t>
            </w:r>
          </w:p>
          <w:p w:rsidR="00B91DEF" w:rsidRDefault="00B91DEF" w:rsidP="005D429F">
            <w:pPr>
              <w:pStyle w:val="Sansinterligne"/>
              <w:numPr>
                <w:ilvl w:val="1"/>
                <w:numId w:val="1186"/>
              </w:numPr>
            </w:pPr>
            <w:r>
              <w:t>Dure 3-5 jours</w:t>
            </w:r>
          </w:p>
          <w:p w:rsidR="00B91DEF" w:rsidRDefault="00B91DEF" w:rsidP="005D429F">
            <w:pPr>
              <w:pStyle w:val="Sansinterligne"/>
              <w:numPr>
                <w:ilvl w:val="0"/>
                <w:numId w:val="1186"/>
              </w:numPr>
            </w:pPr>
            <w:r>
              <w:t>Anorexie, irritabilité</w:t>
            </w:r>
          </w:p>
          <w:p w:rsidR="00B91DEF" w:rsidRDefault="00B91DEF" w:rsidP="005D429F">
            <w:pPr>
              <w:pStyle w:val="Sansinterligne"/>
              <w:numPr>
                <w:ilvl w:val="0"/>
                <w:numId w:val="1186"/>
              </w:numPr>
            </w:pPr>
            <w:r>
              <w:t xml:space="preserve">Parfois bombement fontanelle </w:t>
            </w:r>
            <w:r w:rsidR="001C6AE8">
              <w:t xml:space="preserve">ant. </w:t>
            </w:r>
          </w:p>
        </w:tc>
        <w:tc>
          <w:tcPr>
            <w:tcW w:w="4211" w:type="dxa"/>
            <w:gridSpan w:val="3"/>
            <w:tcBorders>
              <w:left w:val="single" w:sz="4" w:space="0" w:color="FFFF00"/>
            </w:tcBorders>
            <w:shd w:val="clear" w:color="auto" w:fill="FFFF00"/>
          </w:tcPr>
          <w:p w:rsidR="00B91DEF" w:rsidRDefault="00B91DEF" w:rsidP="005D429F">
            <w:pPr>
              <w:pStyle w:val="Sansinterligne"/>
              <w:numPr>
                <w:ilvl w:val="0"/>
                <w:numId w:val="1186"/>
              </w:numPr>
            </w:pPr>
            <w:r>
              <w:t xml:space="preserve">Exanthème en </w:t>
            </w:r>
            <w:r w:rsidRPr="00A72BC0">
              <w:rPr>
                <w:u w:val="single"/>
              </w:rPr>
              <w:t>taches centripètes rosées</w:t>
            </w:r>
          </w:p>
          <w:p w:rsidR="00B91DEF" w:rsidRDefault="00A72BC0" w:rsidP="005D429F">
            <w:pPr>
              <w:pStyle w:val="Sansinterligne"/>
              <w:numPr>
                <w:ilvl w:val="1"/>
                <w:numId w:val="1186"/>
              </w:numPr>
            </w:pPr>
            <w:r>
              <w:t>Apparition</w:t>
            </w:r>
            <w:r w:rsidR="00B91DEF">
              <w:t xml:space="preserve"> </w:t>
            </w:r>
            <w:r w:rsidR="00B91DEF" w:rsidRPr="00A72BC0">
              <w:rPr>
                <w:rFonts w:ascii="Century Gothic" w:hAnsi="Century Gothic"/>
                <w:u w:val="single"/>
              </w:rPr>
              <w:t>&lt;</w:t>
            </w:r>
            <w:r w:rsidR="00B91DEF" w:rsidRPr="00A72BC0">
              <w:rPr>
                <w:u w:val="single"/>
              </w:rPr>
              <w:t xml:space="preserve"> 24h x chute de la fièvre</w:t>
            </w:r>
          </w:p>
          <w:p w:rsidR="00B91DEF" w:rsidRDefault="00B91DEF" w:rsidP="005D429F">
            <w:pPr>
              <w:pStyle w:val="Sansinterligne"/>
              <w:numPr>
                <w:ilvl w:val="1"/>
                <w:numId w:val="1186"/>
              </w:numPr>
            </w:pPr>
            <w:r>
              <w:t>Disparait en 3 jours</w:t>
            </w:r>
            <w:r w:rsidR="00A56821">
              <w:t>, blanchit à la VP</w:t>
            </w:r>
          </w:p>
          <w:p w:rsidR="00B91DEF" w:rsidRDefault="00B91DEF" w:rsidP="005D429F">
            <w:pPr>
              <w:pStyle w:val="Sansinterligne"/>
              <w:numPr>
                <w:ilvl w:val="0"/>
                <w:numId w:val="1186"/>
              </w:numPr>
            </w:pPr>
            <w:r>
              <w:t>Taches de Nagayama (maculo-papules) au palais</w:t>
            </w:r>
          </w:p>
        </w:tc>
      </w:tr>
      <w:tr w:rsidR="007E247F" w:rsidTr="001C6AE8">
        <w:tc>
          <w:tcPr>
            <w:tcW w:w="2518" w:type="dxa"/>
            <w:shd w:val="clear" w:color="auto" w:fill="C2D69B" w:themeFill="accent3" w:themeFillTint="99"/>
            <w:vAlign w:val="center"/>
          </w:tcPr>
          <w:p w:rsidR="007E247F" w:rsidRDefault="007E247F" w:rsidP="0045541D">
            <w:pPr>
              <w:pStyle w:val="Sansinterligne"/>
              <w:jc w:val="center"/>
            </w:pPr>
            <w:r>
              <w:t>Syndrome                          de Gianotti-Crosti</w:t>
            </w:r>
          </w:p>
        </w:tc>
        <w:tc>
          <w:tcPr>
            <w:tcW w:w="3994" w:type="dxa"/>
            <w:gridSpan w:val="2"/>
            <w:tcBorders>
              <w:right w:val="single" w:sz="4" w:space="0" w:color="FFFFFF" w:themeColor="background1"/>
            </w:tcBorders>
          </w:tcPr>
          <w:p w:rsidR="007E247F" w:rsidRDefault="007E247F" w:rsidP="005D429F">
            <w:pPr>
              <w:pStyle w:val="Sansinterligne"/>
              <w:numPr>
                <w:ilvl w:val="0"/>
                <w:numId w:val="1184"/>
              </w:numPr>
            </w:pPr>
            <w:r>
              <w:t>Surtout en âge préscolaire</w:t>
            </w:r>
          </w:p>
          <w:p w:rsidR="007E247F" w:rsidRDefault="007E247F" w:rsidP="005D429F">
            <w:pPr>
              <w:pStyle w:val="Sansinterligne"/>
              <w:numPr>
                <w:ilvl w:val="0"/>
                <w:numId w:val="1183"/>
              </w:numPr>
            </w:pPr>
            <w:r>
              <w:t>Prodrome d’IVRS</w:t>
            </w:r>
          </w:p>
          <w:p w:rsidR="007E247F" w:rsidRDefault="007E247F" w:rsidP="005D429F">
            <w:pPr>
              <w:pStyle w:val="Sansinterligne"/>
              <w:numPr>
                <w:ilvl w:val="0"/>
                <w:numId w:val="1183"/>
              </w:numPr>
            </w:pPr>
            <w:r>
              <w:t>Papules symétriques non-douloureuses</w:t>
            </w:r>
          </w:p>
        </w:tc>
        <w:tc>
          <w:tcPr>
            <w:tcW w:w="4211" w:type="dxa"/>
            <w:gridSpan w:val="3"/>
            <w:tcBorders>
              <w:left w:val="single" w:sz="4" w:space="0" w:color="FFFFFF" w:themeColor="background1"/>
            </w:tcBorders>
          </w:tcPr>
          <w:p w:rsidR="001C6AE8" w:rsidRDefault="001C6AE8" w:rsidP="005D429F">
            <w:pPr>
              <w:pStyle w:val="Sansinterligne"/>
              <w:numPr>
                <w:ilvl w:val="1"/>
                <w:numId w:val="1183"/>
              </w:numPr>
            </w:pPr>
            <w:r>
              <w:t xml:space="preserve">Visages, joues, extenseurs </w:t>
            </w:r>
          </w:p>
          <w:p w:rsidR="007E247F" w:rsidRDefault="007E247F" w:rsidP="005D429F">
            <w:pPr>
              <w:pStyle w:val="Sansinterligne"/>
              <w:numPr>
                <w:ilvl w:val="1"/>
                <w:numId w:val="1183"/>
              </w:numPr>
            </w:pPr>
            <w:r>
              <w:t>Épargne le tronc</w:t>
            </w:r>
          </w:p>
          <w:p w:rsidR="007E247F" w:rsidRDefault="007E247F" w:rsidP="005D429F">
            <w:pPr>
              <w:pStyle w:val="Sansinterligne"/>
              <w:numPr>
                <w:ilvl w:val="0"/>
                <w:numId w:val="1183"/>
              </w:numPr>
            </w:pPr>
            <w:r>
              <w:t>Lymphadénopathies</w:t>
            </w:r>
          </w:p>
          <w:p w:rsidR="007E247F" w:rsidRDefault="007E247F" w:rsidP="005D429F">
            <w:pPr>
              <w:pStyle w:val="Sansinterligne"/>
              <w:numPr>
                <w:ilvl w:val="0"/>
                <w:numId w:val="1183"/>
              </w:numPr>
            </w:pPr>
            <w:r>
              <w:rPr>
                <w:rFonts w:cs="Times New Roman"/>
              </w:rPr>
              <w:t>±</w:t>
            </w:r>
            <w:r>
              <w:t xml:space="preserve"> Hépatosplénomégalie</w:t>
            </w:r>
          </w:p>
        </w:tc>
      </w:tr>
      <w:tr w:rsidR="005B397F" w:rsidTr="001C6AE8">
        <w:tc>
          <w:tcPr>
            <w:tcW w:w="2518" w:type="dxa"/>
            <w:shd w:val="clear" w:color="auto" w:fill="C2D69B" w:themeFill="accent3" w:themeFillTint="99"/>
            <w:vAlign w:val="center"/>
          </w:tcPr>
          <w:p w:rsidR="005B397F" w:rsidRDefault="005B397F" w:rsidP="0045541D">
            <w:pPr>
              <w:pStyle w:val="Sansinterligne"/>
              <w:jc w:val="center"/>
            </w:pPr>
            <w:r>
              <w:t>Pieds-Mains-Bouche (Cocksackie)</w:t>
            </w:r>
          </w:p>
        </w:tc>
        <w:tc>
          <w:tcPr>
            <w:tcW w:w="3994" w:type="dxa"/>
            <w:gridSpan w:val="2"/>
            <w:tcBorders>
              <w:right w:val="single" w:sz="4" w:space="0" w:color="FFFFFF" w:themeColor="background1"/>
            </w:tcBorders>
          </w:tcPr>
          <w:p w:rsidR="005B397F" w:rsidRDefault="005B397F" w:rsidP="005D429F">
            <w:pPr>
              <w:pStyle w:val="Sansinterligne"/>
              <w:numPr>
                <w:ilvl w:val="0"/>
                <w:numId w:val="1183"/>
              </w:numPr>
            </w:pPr>
            <w:r>
              <w:t>Surtout en âge préscolaire</w:t>
            </w:r>
          </w:p>
          <w:p w:rsidR="005B397F" w:rsidRDefault="005B397F" w:rsidP="005D429F">
            <w:pPr>
              <w:pStyle w:val="Sansinterligne"/>
              <w:numPr>
                <w:ilvl w:val="0"/>
                <w:numId w:val="1183"/>
              </w:numPr>
            </w:pPr>
            <w:r>
              <w:t>Bon état général</w:t>
            </w:r>
          </w:p>
          <w:p w:rsidR="005B397F" w:rsidRDefault="005B397F" w:rsidP="005D429F">
            <w:pPr>
              <w:pStyle w:val="Sansinterligne"/>
              <w:numPr>
                <w:ilvl w:val="0"/>
                <w:numId w:val="1183"/>
              </w:numPr>
            </w:pPr>
            <w:r>
              <w:t>Fièvre</w:t>
            </w:r>
          </w:p>
          <w:p w:rsidR="005B397F" w:rsidRDefault="005B397F" w:rsidP="005D429F">
            <w:pPr>
              <w:pStyle w:val="Sansinterligne"/>
              <w:numPr>
                <w:ilvl w:val="0"/>
                <w:numId w:val="1183"/>
              </w:numPr>
            </w:pPr>
            <w:r>
              <w:t>Dysphagie, anorexie</w:t>
            </w:r>
          </w:p>
        </w:tc>
        <w:tc>
          <w:tcPr>
            <w:tcW w:w="4211" w:type="dxa"/>
            <w:gridSpan w:val="3"/>
            <w:tcBorders>
              <w:left w:val="single" w:sz="4" w:space="0" w:color="FFFFFF" w:themeColor="background1"/>
            </w:tcBorders>
          </w:tcPr>
          <w:p w:rsidR="005B397F" w:rsidRDefault="005B397F" w:rsidP="005D429F">
            <w:pPr>
              <w:pStyle w:val="Sansinterligne"/>
              <w:numPr>
                <w:ilvl w:val="0"/>
                <w:numId w:val="1183"/>
              </w:numPr>
            </w:pPr>
            <w:r>
              <w:t>Éruptions vésiculaires aux mains/ pieds</w:t>
            </w:r>
          </w:p>
          <w:p w:rsidR="005B397F" w:rsidRDefault="005B397F" w:rsidP="005D429F">
            <w:pPr>
              <w:pStyle w:val="Sansinterligne"/>
              <w:numPr>
                <w:ilvl w:val="1"/>
                <w:numId w:val="1183"/>
              </w:numPr>
            </w:pPr>
            <w:r>
              <w:t>Vésicules/érosions dlr ++ a/n bouche</w:t>
            </w:r>
          </w:p>
          <w:p w:rsidR="005B397F" w:rsidRDefault="005B397F" w:rsidP="005D429F">
            <w:pPr>
              <w:pStyle w:val="Sansinterligne"/>
              <w:numPr>
                <w:ilvl w:val="1"/>
                <w:numId w:val="1183"/>
              </w:numPr>
            </w:pPr>
            <w:r>
              <w:t>Papulo-vésicules a/n membre</w:t>
            </w:r>
            <w:r w:rsidR="00E779D9">
              <w:t>s</w:t>
            </w:r>
            <w:r>
              <w:t xml:space="preserve"> (peu nombreuses)</w:t>
            </w:r>
          </w:p>
        </w:tc>
      </w:tr>
      <w:tr w:rsidR="00D47AFA" w:rsidTr="001C6AE8">
        <w:tc>
          <w:tcPr>
            <w:tcW w:w="2518" w:type="dxa"/>
            <w:shd w:val="clear" w:color="auto" w:fill="C2D69B" w:themeFill="accent3" w:themeFillTint="99"/>
            <w:vAlign w:val="center"/>
          </w:tcPr>
          <w:p w:rsidR="00D47AFA" w:rsidRDefault="00D47AFA" w:rsidP="0045541D">
            <w:pPr>
              <w:pStyle w:val="Sansinterligne"/>
              <w:jc w:val="center"/>
            </w:pPr>
            <w:r>
              <w:t>Herpangine</w:t>
            </w:r>
          </w:p>
        </w:tc>
        <w:tc>
          <w:tcPr>
            <w:tcW w:w="3994" w:type="dxa"/>
            <w:gridSpan w:val="2"/>
            <w:tcBorders>
              <w:right w:val="single" w:sz="4" w:space="0" w:color="FFFFFF" w:themeColor="background1"/>
            </w:tcBorders>
          </w:tcPr>
          <w:p w:rsidR="00D47AFA" w:rsidRDefault="00D47AFA" w:rsidP="005D429F">
            <w:pPr>
              <w:pStyle w:val="Sansinterligne"/>
              <w:numPr>
                <w:ilvl w:val="0"/>
                <w:numId w:val="1183"/>
              </w:numPr>
            </w:pPr>
            <w:r>
              <w:t>Fièvre 39-40</w:t>
            </w:r>
            <w:r>
              <w:rPr>
                <w:rFonts w:cs="Times New Roman"/>
              </w:rPr>
              <w:t>°</w:t>
            </w:r>
            <w:r>
              <w:t>C</w:t>
            </w:r>
          </w:p>
          <w:p w:rsidR="00D47AFA" w:rsidRDefault="00D47AFA" w:rsidP="005D429F">
            <w:pPr>
              <w:pStyle w:val="Sansinterligne"/>
              <w:numPr>
                <w:ilvl w:val="0"/>
                <w:numId w:val="1183"/>
              </w:numPr>
            </w:pPr>
            <w:r>
              <w:t>Mal de gorge</w:t>
            </w:r>
          </w:p>
          <w:p w:rsidR="00D47AFA" w:rsidRDefault="00D47AFA" w:rsidP="00D47AFA">
            <w:pPr>
              <w:pStyle w:val="Sansinterligne"/>
              <w:ind w:left="360"/>
            </w:pPr>
          </w:p>
        </w:tc>
        <w:tc>
          <w:tcPr>
            <w:tcW w:w="4211" w:type="dxa"/>
            <w:gridSpan w:val="3"/>
            <w:tcBorders>
              <w:left w:val="single" w:sz="4" w:space="0" w:color="FFFFFF" w:themeColor="background1"/>
            </w:tcBorders>
          </w:tcPr>
          <w:p w:rsidR="00D47AFA" w:rsidRDefault="00D47AFA" w:rsidP="005D429F">
            <w:pPr>
              <w:pStyle w:val="Sansinterligne"/>
              <w:numPr>
                <w:ilvl w:val="0"/>
                <w:numId w:val="1183"/>
              </w:numPr>
            </w:pPr>
            <w:r>
              <w:t>Érythème pharyngé</w:t>
            </w:r>
          </w:p>
          <w:p w:rsidR="00D47AFA" w:rsidRDefault="00D47AFA" w:rsidP="005D429F">
            <w:pPr>
              <w:pStyle w:val="Sansinterligne"/>
              <w:numPr>
                <w:ilvl w:val="0"/>
                <w:numId w:val="1183"/>
              </w:numPr>
            </w:pPr>
            <w:r>
              <w:t>Papulovésicules jaunes/grises palais/uvule</w:t>
            </w:r>
          </w:p>
        </w:tc>
      </w:tr>
      <w:tr w:rsidR="00721A16" w:rsidTr="001C6AE8">
        <w:tc>
          <w:tcPr>
            <w:tcW w:w="2518" w:type="dxa"/>
            <w:shd w:val="clear" w:color="auto" w:fill="C2D69B" w:themeFill="accent3" w:themeFillTint="99"/>
            <w:vAlign w:val="center"/>
          </w:tcPr>
          <w:p w:rsidR="00721A16" w:rsidRDefault="00721A16" w:rsidP="0045541D">
            <w:pPr>
              <w:pStyle w:val="Sansinterligne"/>
              <w:jc w:val="center"/>
            </w:pPr>
            <w:r>
              <w:t>5</w:t>
            </w:r>
            <w:r w:rsidRPr="0045541D">
              <w:rPr>
                <w:vertAlign w:val="superscript"/>
              </w:rPr>
              <w:t>e</w:t>
            </w:r>
            <w:r>
              <w:t xml:space="preserve"> maladie (mégalérythème infectieux)</w:t>
            </w:r>
          </w:p>
        </w:tc>
        <w:tc>
          <w:tcPr>
            <w:tcW w:w="3994" w:type="dxa"/>
            <w:gridSpan w:val="2"/>
            <w:tcBorders>
              <w:right w:val="single" w:sz="4" w:space="0" w:color="FFFFFF" w:themeColor="background1"/>
            </w:tcBorders>
          </w:tcPr>
          <w:p w:rsidR="00721A16" w:rsidRDefault="00721A16" w:rsidP="005D429F">
            <w:pPr>
              <w:pStyle w:val="Sansinterligne"/>
              <w:numPr>
                <w:ilvl w:val="0"/>
                <w:numId w:val="1185"/>
              </w:numPr>
            </w:pPr>
            <w:r>
              <w:t>Surtout en âge scolaire</w:t>
            </w:r>
          </w:p>
          <w:p w:rsidR="00721A16" w:rsidRDefault="00721A16" w:rsidP="005D429F">
            <w:pPr>
              <w:pStyle w:val="Sansinterligne"/>
              <w:numPr>
                <w:ilvl w:val="0"/>
                <w:numId w:val="1185"/>
              </w:numPr>
            </w:pPr>
            <w:r>
              <w:t>Fièvre, myalgies, céphalées</w:t>
            </w:r>
          </w:p>
          <w:p w:rsidR="00721A16" w:rsidRDefault="00721A16" w:rsidP="00A56821">
            <w:pPr>
              <w:pStyle w:val="Sansinterligne"/>
            </w:pPr>
          </w:p>
        </w:tc>
        <w:tc>
          <w:tcPr>
            <w:tcW w:w="4211" w:type="dxa"/>
            <w:gridSpan w:val="3"/>
            <w:tcBorders>
              <w:left w:val="single" w:sz="4" w:space="0" w:color="FFFFFF" w:themeColor="background1"/>
            </w:tcBorders>
          </w:tcPr>
          <w:p w:rsidR="001C6AE8" w:rsidRDefault="001C6AE8" w:rsidP="005D429F">
            <w:pPr>
              <w:pStyle w:val="Sansinterligne"/>
              <w:numPr>
                <w:ilvl w:val="0"/>
                <w:numId w:val="1185"/>
              </w:numPr>
            </w:pPr>
            <w:r>
              <w:t>Exanthème confluant joues prurigineux (slapped cheaks)</w:t>
            </w:r>
          </w:p>
          <w:p w:rsidR="00721A16" w:rsidRDefault="00721A16" w:rsidP="005D429F">
            <w:pPr>
              <w:pStyle w:val="Sansinterligne"/>
              <w:numPr>
                <w:ilvl w:val="0"/>
                <w:numId w:val="1185"/>
              </w:numPr>
            </w:pPr>
            <w:r>
              <w:t>À la disparition de la fièvre</w:t>
            </w:r>
          </w:p>
        </w:tc>
      </w:tr>
      <w:tr w:rsidR="0003769D" w:rsidTr="00E779D9">
        <w:tc>
          <w:tcPr>
            <w:tcW w:w="2518" w:type="dxa"/>
            <w:shd w:val="clear" w:color="auto" w:fill="C2D69B" w:themeFill="accent3" w:themeFillTint="99"/>
            <w:vAlign w:val="center"/>
          </w:tcPr>
          <w:p w:rsidR="0003769D" w:rsidRDefault="0003769D" w:rsidP="0045541D">
            <w:pPr>
              <w:pStyle w:val="Sansinterligne"/>
              <w:jc w:val="center"/>
            </w:pPr>
            <w:r>
              <w:t>Varicelle</w:t>
            </w:r>
          </w:p>
        </w:tc>
        <w:tc>
          <w:tcPr>
            <w:tcW w:w="4102" w:type="dxa"/>
            <w:gridSpan w:val="2"/>
            <w:tcBorders>
              <w:right w:val="single" w:sz="4" w:space="0" w:color="FFFF00"/>
            </w:tcBorders>
            <w:shd w:val="clear" w:color="auto" w:fill="FFFF00"/>
          </w:tcPr>
          <w:p w:rsidR="0003769D" w:rsidRDefault="0003769D" w:rsidP="005D429F">
            <w:pPr>
              <w:pStyle w:val="Sansinterligne"/>
              <w:numPr>
                <w:ilvl w:val="0"/>
                <w:numId w:val="1187"/>
              </w:numPr>
            </w:pPr>
            <w:r>
              <w:t>Fièvre légère</w:t>
            </w:r>
          </w:p>
          <w:p w:rsidR="0003769D" w:rsidRDefault="0003769D" w:rsidP="005D429F">
            <w:pPr>
              <w:pStyle w:val="Sansinterligne"/>
              <w:numPr>
                <w:ilvl w:val="0"/>
                <w:numId w:val="1187"/>
              </w:numPr>
            </w:pPr>
            <w:r>
              <w:t>Malaises généraux</w:t>
            </w:r>
          </w:p>
          <w:p w:rsidR="00E779D9" w:rsidRPr="00E779D9" w:rsidRDefault="0003769D" w:rsidP="005D429F">
            <w:pPr>
              <w:pStyle w:val="Sansinterligne"/>
              <w:numPr>
                <w:ilvl w:val="0"/>
                <w:numId w:val="1187"/>
              </w:numPr>
              <w:rPr>
                <w:u w:val="single"/>
              </w:rPr>
            </w:pPr>
            <w:r w:rsidRPr="00E779D9">
              <w:rPr>
                <w:u w:val="single"/>
              </w:rPr>
              <w:t xml:space="preserve">Macules érythémateuses </w:t>
            </w:r>
            <w:r w:rsidRPr="00E779D9">
              <w:rPr>
                <w:rFonts w:ascii="Century Gothic" w:hAnsi="Century Gothic"/>
                <w:u w:val="single"/>
              </w:rPr>
              <w:t>→</w:t>
            </w:r>
            <w:r w:rsidR="00E779D9" w:rsidRPr="00E779D9">
              <w:rPr>
                <w:u w:val="single"/>
              </w:rPr>
              <w:t xml:space="preserve"> vésicules</w:t>
            </w:r>
          </w:p>
          <w:p w:rsidR="0003769D" w:rsidRDefault="00E779D9" w:rsidP="005D429F">
            <w:pPr>
              <w:pStyle w:val="Sansinterligne"/>
              <w:numPr>
                <w:ilvl w:val="1"/>
                <w:numId w:val="1187"/>
              </w:numPr>
            </w:pPr>
            <w:r>
              <w:t>Cuir chevelu, visage et tronc d’abord</w:t>
            </w:r>
          </w:p>
        </w:tc>
        <w:tc>
          <w:tcPr>
            <w:tcW w:w="4103" w:type="dxa"/>
            <w:gridSpan w:val="3"/>
            <w:tcBorders>
              <w:left w:val="single" w:sz="4" w:space="0" w:color="FFFF00"/>
            </w:tcBorders>
            <w:shd w:val="clear" w:color="auto" w:fill="FFFF00"/>
          </w:tcPr>
          <w:p w:rsidR="0003769D" w:rsidRDefault="0003769D" w:rsidP="005D429F">
            <w:pPr>
              <w:pStyle w:val="Sansinterligne"/>
              <w:numPr>
                <w:ilvl w:val="1"/>
                <w:numId w:val="1187"/>
              </w:numPr>
            </w:pPr>
            <w:r>
              <w:t>Généralisé en suite, lésions d’âge différents</w:t>
            </w:r>
          </w:p>
          <w:p w:rsidR="0003769D" w:rsidRDefault="0003769D" w:rsidP="005D429F">
            <w:pPr>
              <w:pStyle w:val="Sansinterligne"/>
              <w:numPr>
                <w:ilvl w:val="0"/>
                <w:numId w:val="1187"/>
              </w:numPr>
            </w:pPr>
            <w:r>
              <w:t>Croûtes</w:t>
            </w:r>
          </w:p>
          <w:p w:rsidR="00390C38" w:rsidRDefault="00390C38" w:rsidP="005D429F">
            <w:pPr>
              <w:pStyle w:val="Sansinterligne"/>
              <w:numPr>
                <w:ilvl w:val="0"/>
                <w:numId w:val="1187"/>
              </w:numPr>
            </w:pPr>
            <w:r>
              <w:t>Énanthème possible vésicule/ulcère</w:t>
            </w:r>
          </w:p>
        </w:tc>
      </w:tr>
      <w:tr w:rsidR="00DD1ADD" w:rsidTr="00DD1ADD">
        <w:tc>
          <w:tcPr>
            <w:tcW w:w="2518" w:type="dxa"/>
            <w:shd w:val="clear" w:color="auto" w:fill="C2D69B" w:themeFill="accent3" w:themeFillTint="99"/>
            <w:vAlign w:val="center"/>
          </w:tcPr>
          <w:p w:rsidR="00DD1ADD" w:rsidRDefault="00DD1ADD" w:rsidP="0045541D">
            <w:pPr>
              <w:pStyle w:val="Sansinterligne"/>
              <w:jc w:val="center"/>
            </w:pPr>
            <w:r>
              <w:t>Mononucléose infectieuse</w:t>
            </w:r>
          </w:p>
        </w:tc>
        <w:tc>
          <w:tcPr>
            <w:tcW w:w="4102" w:type="dxa"/>
            <w:gridSpan w:val="2"/>
            <w:tcBorders>
              <w:right w:val="single" w:sz="4" w:space="0" w:color="FFFFFF" w:themeColor="background1"/>
            </w:tcBorders>
          </w:tcPr>
          <w:p w:rsidR="00DD1ADD" w:rsidRDefault="00170E45" w:rsidP="005D429F">
            <w:pPr>
              <w:pStyle w:val="Sansinterligne"/>
              <w:numPr>
                <w:ilvl w:val="0"/>
                <w:numId w:val="1188"/>
              </w:numPr>
            </w:pPr>
            <w:r>
              <w:t>Surtout chez adolescents</w:t>
            </w:r>
          </w:p>
          <w:p w:rsidR="00DD1ADD" w:rsidRDefault="00DD1ADD" w:rsidP="005D429F">
            <w:pPr>
              <w:pStyle w:val="Sansinterligne"/>
              <w:numPr>
                <w:ilvl w:val="0"/>
                <w:numId w:val="1188"/>
              </w:numPr>
            </w:pPr>
            <w:r>
              <w:t>Fièvre</w:t>
            </w:r>
          </w:p>
          <w:p w:rsidR="00DD1ADD" w:rsidRDefault="00DD1ADD" w:rsidP="005D429F">
            <w:pPr>
              <w:pStyle w:val="Sansinterligne"/>
              <w:numPr>
                <w:ilvl w:val="0"/>
                <w:numId w:val="1188"/>
              </w:numPr>
            </w:pPr>
            <w:r>
              <w:t>Fatigue</w:t>
            </w:r>
            <w:r w:rsidR="00170E45">
              <w:t>, anorexie, malaise</w:t>
            </w:r>
          </w:p>
          <w:p w:rsidR="00DD1ADD" w:rsidRDefault="00DD1ADD" w:rsidP="005D429F">
            <w:pPr>
              <w:pStyle w:val="Sansinterligne"/>
              <w:numPr>
                <w:ilvl w:val="0"/>
                <w:numId w:val="1188"/>
              </w:numPr>
            </w:pPr>
            <w:r>
              <w:t>Mal de gorge</w:t>
            </w:r>
          </w:p>
        </w:tc>
        <w:tc>
          <w:tcPr>
            <w:tcW w:w="4103" w:type="dxa"/>
            <w:gridSpan w:val="3"/>
            <w:tcBorders>
              <w:left w:val="single" w:sz="4" w:space="0" w:color="FFFFFF" w:themeColor="background1"/>
            </w:tcBorders>
          </w:tcPr>
          <w:p w:rsidR="00DD1ADD" w:rsidRDefault="00DD1ADD" w:rsidP="005D429F">
            <w:pPr>
              <w:pStyle w:val="Sansinterligne"/>
              <w:numPr>
                <w:ilvl w:val="0"/>
                <w:numId w:val="1188"/>
              </w:numPr>
            </w:pPr>
            <w:r>
              <w:t>Douleur abdominale QSG</w:t>
            </w:r>
          </w:p>
          <w:p w:rsidR="00DD1ADD" w:rsidRDefault="00DD1ADD" w:rsidP="005D429F">
            <w:pPr>
              <w:pStyle w:val="Sansinterligne"/>
              <w:numPr>
                <w:ilvl w:val="0"/>
                <w:numId w:val="1188"/>
              </w:numPr>
            </w:pPr>
            <w:r>
              <w:t>Lymphadénopathies généralisées</w:t>
            </w:r>
          </w:p>
          <w:p w:rsidR="00DD1ADD" w:rsidRDefault="00DD1ADD" w:rsidP="005D429F">
            <w:pPr>
              <w:pStyle w:val="Sansinterligne"/>
              <w:numPr>
                <w:ilvl w:val="0"/>
                <w:numId w:val="1188"/>
              </w:numPr>
            </w:pPr>
            <w:r>
              <w:t>Hépatosplénomégalie</w:t>
            </w:r>
          </w:p>
          <w:p w:rsidR="00DD1ADD" w:rsidRDefault="00DD1ADD" w:rsidP="005D429F">
            <w:pPr>
              <w:pStyle w:val="Sansinterligne"/>
              <w:numPr>
                <w:ilvl w:val="0"/>
                <w:numId w:val="1188"/>
              </w:numPr>
            </w:pPr>
            <w:r>
              <w:t>Rash maculopapulaire si prise de PNC</w:t>
            </w:r>
          </w:p>
        </w:tc>
      </w:tr>
      <w:tr w:rsidR="00CE19CC" w:rsidTr="00CE19CC">
        <w:trPr>
          <w:gridAfter w:val="1"/>
          <w:wAfter w:w="108" w:type="dxa"/>
        </w:trPr>
        <w:tc>
          <w:tcPr>
            <w:tcW w:w="2518" w:type="dxa"/>
            <w:shd w:val="clear" w:color="auto" w:fill="C2D69B" w:themeFill="accent3" w:themeFillTint="99"/>
            <w:vAlign w:val="center"/>
          </w:tcPr>
          <w:p w:rsidR="00CE19CC" w:rsidRDefault="00CE19CC" w:rsidP="00CE19CC">
            <w:pPr>
              <w:pStyle w:val="Sansinterligne"/>
              <w:jc w:val="center"/>
            </w:pPr>
            <w:r>
              <w:t>Rash viral non-spécifique</w:t>
            </w:r>
          </w:p>
        </w:tc>
        <w:tc>
          <w:tcPr>
            <w:tcW w:w="4102" w:type="dxa"/>
            <w:gridSpan w:val="2"/>
            <w:tcBorders>
              <w:right w:val="single" w:sz="4" w:space="0" w:color="FFFFFF" w:themeColor="background1"/>
            </w:tcBorders>
          </w:tcPr>
          <w:p w:rsidR="00CE19CC" w:rsidRDefault="00CE19CC" w:rsidP="005D429F">
            <w:pPr>
              <w:pStyle w:val="Sansinterligne"/>
              <w:numPr>
                <w:ilvl w:val="0"/>
                <w:numId w:val="1190"/>
              </w:numPr>
            </w:pPr>
            <w:r>
              <w:t>Exanthème polymorphe non-spécifique</w:t>
            </w:r>
          </w:p>
        </w:tc>
        <w:tc>
          <w:tcPr>
            <w:tcW w:w="4103" w:type="dxa"/>
            <w:gridSpan w:val="2"/>
            <w:tcBorders>
              <w:left w:val="single" w:sz="4" w:space="0" w:color="FFFFFF" w:themeColor="background1"/>
            </w:tcBorders>
          </w:tcPr>
          <w:p w:rsidR="00CE19CC" w:rsidRDefault="00CE19CC" w:rsidP="005D429F">
            <w:pPr>
              <w:pStyle w:val="Sansinterligne"/>
              <w:numPr>
                <w:ilvl w:val="0"/>
                <w:numId w:val="1190"/>
              </w:numPr>
            </w:pPr>
            <w:r>
              <w:t>Peu de symptômes</w:t>
            </w:r>
          </w:p>
        </w:tc>
      </w:tr>
    </w:tbl>
    <w:p w:rsidR="003F6D87" w:rsidRDefault="003F6D87" w:rsidP="00165800">
      <w:pPr>
        <w:pStyle w:val="Sansinterligne"/>
        <w:jc w:val="center"/>
      </w:pPr>
    </w:p>
    <w:p w:rsidR="0029519E" w:rsidRDefault="0029519E" w:rsidP="00165800">
      <w:pPr>
        <w:pStyle w:val="Sansinterligne"/>
        <w:jc w:val="center"/>
      </w:pPr>
      <w:r>
        <w:rPr>
          <w:noProof/>
          <w:lang w:eastAsia="fr-CA"/>
        </w:rPr>
        <w:drawing>
          <wp:anchor distT="0" distB="0" distL="114300" distR="114300" simplePos="0" relativeHeight="252058624" behindDoc="0" locked="0" layoutInCell="1" allowOverlap="1" wp14:anchorId="7C3864D2" wp14:editId="1A80C5AD">
            <wp:simplePos x="0" y="0"/>
            <wp:positionH relativeFrom="column">
              <wp:posOffset>1915795</wp:posOffset>
            </wp:positionH>
            <wp:positionV relativeFrom="paragraph">
              <wp:posOffset>106045</wp:posOffset>
            </wp:positionV>
            <wp:extent cx="3034665" cy="2615565"/>
            <wp:effectExtent l="0" t="0" r="0" b="0"/>
            <wp:wrapNone/>
            <wp:docPr id="576" name="Imag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ash.PNG"/>
                    <pic:cNvPicPr/>
                  </pic:nvPicPr>
                  <pic:blipFill>
                    <a:blip r:embed="rId375">
                      <a:extLst>
                        <a:ext uri="{28A0092B-C50C-407E-A947-70E740481C1C}">
                          <a14:useLocalDpi xmlns:a14="http://schemas.microsoft.com/office/drawing/2010/main" val="0"/>
                        </a:ext>
                      </a:extLst>
                    </a:blip>
                    <a:stretch>
                      <a:fillRect/>
                    </a:stretch>
                  </pic:blipFill>
                  <pic:spPr>
                    <a:xfrm>
                      <a:off x="0" y="0"/>
                      <a:ext cx="3034665" cy="2615565"/>
                    </a:xfrm>
                    <a:prstGeom prst="rect">
                      <a:avLst/>
                    </a:prstGeom>
                  </pic:spPr>
                </pic:pic>
              </a:graphicData>
            </a:graphic>
            <wp14:sizeRelH relativeFrom="page">
              <wp14:pctWidth>0</wp14:pctWidth>
            </wp14:sizeRelH>
            <wp14:sizeRelV relativeFrom="page">
              <wp14:pctHeight>0</wp14:pctHeight>
            </wp14:sizeRelV>
          </wp:anchor>
        </w:drawing>
      </w:r>
    </w:p>
    <w:p w:rsidR="0029519E" w:rsidRDefault="0029519E" w:rsidP="00165800">
      <w:pPr>
        <w:pStyle w:val="Sansinterligne"/>
        <w:jc w:val="center"/>
      </w:pPr>
    </w:p>
    <w:p w:rsidR="0029519E" w:rsidRDefault="0029519E" w:rsidP="00165800">
      <w:pPr>
        <w:pStyle w:val="Sansinterligne"/>
        <w:jc w:val="center"/>
      </w:pPr>
    </w:p>
    <w:p w:rsidR="0029519E" w:rsidRDefault="0029519E" w:rsidP="00165800">
      <w:pPr>
        <w:pStyle w:val="Sansinterligne"/>
        <w:jc w:val="center"/>
      </w:pPr>
    </w:p>
    <w:p w:rsidR="0029519E" w:rsidRDefault="0029519E" w:rsidP="00165800">
      <w:pPr>
        <w:pStyle w:val="Sansinterligne"/>
        <w:jc w:val="center"/>
      </w:pPr>
    </w:p>
    <w:p w:rsidR="0029519E" w:rsidRDefault="0029519E" w:rsidP="00165800">
      <w:pPr>
        <w:pStyle w:val="Sansinterligne"/>
        <w:jc w:val="center"/>
      </w:pPr>
    </w:p>
    <w:p w:rsidR="0029519E" w:rsidRDefault="0029519E" w:rsidP="00165800">
      <w:pPr>
        <w:pStyle w:val="Sansinterligne"/>
        <w:jc w:val="center"/>
      </w:pPr>
    </w:p>
    <w:p w:rsidR="0029519E" w:rsidRDefault="0029519E" w:rsidP="00165800">
      <w:pPr>
        <w:pStyle w:val="Sansinterligne"/>
        <w:jc w:val="center"/>
      </w:pPr>
    </w:p>
    <w:p w:rsidR="0029519E" w:rsidRDefault="0029519E" w:rsidP="00165800">
      <w:pPr>
        <w:pStyle w:val="Sansinterligne"/>
        <w:jc w:val="center"/>
      </w:pPr>
    </w:p>
    <w:p w:rsidR="0029519E" w:rsidRDefault="0029519E" w:rsidP="00165800">
      <w:pPr>
        <w:pStyle w:val="Sansinterligne"/>
        <w:jc w:val="center"/>
      </w:pPr>
    </w:p>
    <w:p w:rsidR="0029519E" w:rsidRDefault="0029519E" w:rsidP="00165800">
      <w:pPr>
        <w:pStyle w:val="Sansinterligne"/>
        <w:jc w:val="center"/>
      </w:pPr>
    </w:p>
    <w:p w:rsidR="0029519E" w:rsidRDefault="0029519E" w:rsidP="00165800">
      <w:pPr>
        <w:pStyle w:val="Sansinterligne"/>
        <w:jc w:val="center"/>
      </w:pPr>
    </w:p>
    <w:p w:rsidR="0029519E" w:rsidRDefault="0029519E" w:rsidP="00165800">
      <w:pPr>
        <w:pStyle w:val="Sansinterligne"/>
        <w:jc w:val="center"/>
      </w:pPr>
    </w:p>
    <w:p w:rsidR="0029519E" w:rsidRDefault="0029519E" w:rsidP="00165800">
      <w:pPr>
        <w:pStyle w:val="Sansinterligne"/>
        <w:jc w:val="center"/>
      </w:pPr>
    </w:p>
    <w:p w:rsidR="0029519E" w:rsidRDefault="0029519E" w:rsidP="00165800">
      <w:pPr>
        <w:pStyle w:val="Sansinterligne"/>
        <w:jc w:val="center"/>
      </w:pPr>
    </w:p>
    <w:p w:rsidR="0029519E" w:rsidRDefault="0029519E" w:rsidP="00165800">
      <w:pPr>
        <w:pStyle w:val="Sansinterligne"/>
        <w:jc w:val="center"/>
      </w:pPr>
    </w:p>
    <w:p w:rsidR="0029519E" w:rsidRDefault="0029519E" w:rsidP="00165800">
      <w:pPr>
        <w:pStyle w:val="Sansinterligne"/>
        <w:jc w:val="center"/>
      </w:pPr>
    </w:p>
    <w:tbl>
      <w:tblPr>
        <w:tblStyle w:val="Grilledutableau"/>
        <w:tblW w:w="0" w:type="auto"/>
        <w:tblLook w:val="04A0" w:firstRow="1" w:lastRow="0" w:firstColumn="1" w:lastColumn="0" w:noHBand="0" w:noVBand="1"/>
      </w:tblPr>
      <w:tblGrid>
        <w:gridCol w:w="2518"/>
        <w:gridCol w:w="2105"/>
        <w:gridCol w:w="2106"/>
        <w:gridCol w:w="2105"/>
        <w:gridCol w:w="2106"/>
      </w:tblGrid>
      <w:tr w:rsidR="00CD47D8" w:rsidTr="00AF3190">
        <w:tc>
          <w:tcPr>
            <w:tcW w:w="10940" w:type="dxa"/>
            <w:gridSpan w:val="5"/>
            <w:shd w:val="clear" w:color="auto" w:fill="FFC000"/>
          </w:tcPr>
          <w:p w:rsidR="00CD47D8" w:rsidRDefault="00CD47D8" w:rsidP="00CD47D8">
            <w:pPr>
              <w:pStyle w:val="Sansinterligne"/>
              <w:jc w:val="center"/>
            </w:pPr>
            <w:r>
              <w:t>Atteintes bactériennes</w:t>
            </w:r>
            <w:r w:rsidR="00256324">
              <w:t xml:space="preserve"> (conditions graves)</w:t>
            </w:r>
          </w:p>
        </w:tc>
      </w:tr>
      <w:tr w:rsidR="00CD47D8" w:rsidTr="00AF3190">
        <w:tc>
          <w:tcPr>
            <w:tcW w:w="2518" w:type="dxa"/>
            <w:shd w:val="clear" w:color="auto" w:fill="C2D69B" w:themeFill="accent3" w:themeFillTint="99"/>
          </w:tcPr>
          <w:p w:rsidR="00CD47D8" w:rsidRPr="00740425" w:rsidRDefault="00CD47D8" w:rsidP="00CD47D8">
            <w:pPr>
              <w:pStyle w:val="Sansinterligne"/>
              <w:jc w:val="center"/>
              <w:rPr>
                <w:i/>
              </w:rPr>
            </w:pPr>
            <w:r w:rsidRPr="00740425">
              <w:rPr>
                <w:i/>
              </w:rPr>
              <w:t>Diagnostic</w:t>
            </w:r>
          </w:p>
        </w:tc>
        <w:tc>
          <w:tcPr>
            <w:tcW w:w="8422" w:type="dxa"/>
            <w:gridSpan w:val="4"/>
            <w:shd w:val="clear" w:color="auto" w:fill="C2D69B" w:themeFill="accent3" w:themeFillTint="99"/>
          </w:tcPr>
          <w:p w:rsidR="00CD47D8" w:rsidRPr="00740425" w:rsidRDefault="00CD47D8" w:rsidP="00CD47D8">
            <w:pPr>
              <w:pStyle w:val="Sansinterligne"/>
              <w:jc w:val="center"/>
              <w:rPr>
                <w:i/>
              </w:rPr>
            </w:pPr>
            <w:r w:rsidRPr="00740425">
              <w:rPr>
                <w:i/>
              </w:rPr>
              <w:t>Manifestations cliniques</w:t>
            </w:r>
          </w:p>
        </w:tc>
      </w:tr>
      <w:tr w:rsidR="002D27AC" w:rsidTr="002D27AC">
        <w:tc>
          <w:tcPr>
            <w:tcW w:w="2518" w:type="dxa"/>
            <w:shd w:val="clear" w:color="auto" w:fill="C2D69B" w:themeFill="accent3" w:themeFillTint="99"/>
            <w:vAlign w:val="center"/>
          </w:tcPr>
          <w:p w:rsidR="002D27AC" w:rsidRDefault="002D27AC" w:rsidP="0045541D">
            <w:pPr>
              <w:pStyle w:val="Sansinterligne"/>
              <w:jc w:val="center"/>
            </w:pPr>
            <w:r>
              <w:t>Sepsis</w:t>
            </w:r>
          </w:p>
        </w:tc>
        <w:tc>
          <w:tcPr>
            <w:tcW w:w="2105" w:type="dxa"/>
            <w:tcBorders>
              <w:right w:val="single" w:sz="4" w:space="0" w:color="FFFFFF" w:themeColor="background1"/>
            </w:tcBorders>
          </w:tcPr>
          <w:p w:rsidR="002D27AC" w:rsidRDefault="002D27AC" w:rsidP="005D429F">
            <w:pPr>
              <w:pStyle w:val="Sansinterligne"/>
              <w:numPr>
                <w:ilvl w:val="0"/>
                <w:numId w:val="1194"/>
              </w:numPr>
              <w:rPr>
                <w:rFonts w:cs="Times New Roman"/>
              </w:rPr>
            </w:pPr>
            <w:r>
              <w:t>T</w:t>
            </w:r>
            <w:r>
              <w:rPr>
                <w:rFonts w:cs="Times New Roman"/>
              </w:rPr>
              <w:t>°</w:t>
            </w:r>
            <w:r>
              <w:rPr>
                <w:rFonts w:ascii="Century Gothic" w:hAnsi="Century Gothic"/>
              </w:rPr>
              <w:t>&gt;38,5</w:t>
            </w:r>
            <w:r>
              <w:rPr>
                <w:rFonts w:cs="Times New Roman"/>
              </w:rPr>
              <w:t>°</w:t>
            </w:r>
          </w:p>
          <w:p w:rsidR="002D27AC" w:rsidRDefault="002D27AC" w:rsidP="005D429F">
            <w:pPr>
              <w:pStyle w:val="Sansinterligne"/>
              <w:numPr>
                <w:ilvl w:val="0"/>
                <w:numId w:val="1194"/>
              </w:numPr>
              <w:rPr>
                <w:rFonts w:cs="Times New Roman"/>
              </w:rPr>
            </w:pPr>
            <w:r>
              <w:rPr>
                <w:rFonts w:cs="Times New Roman"/>
              </w:rPr>
              <w:t>Tachycardie</w:t>
            </w:r>
          </w:p>
        </w:tc>
        <w:tc>
          <w:tcPr>
            <w:tcW w:w="2106" w:type="dxa"/>
            <w:tcBorders>
              <w:left w:val="single" w:sz="4" w:space="0" w:color="FFFFFF" w:themeColor="background1"/>
              <w:right w:val="single" w:sz="4" w:space="0" w:color="FFFFFF" w:themeColor="background1"/>
            </w:tcBorders>
          </w:tcPr>
          <w:p w:rsidR="002D27AC" w:rsidRDefault="002D27AC" w:rsidP="005D429F">
            <w:pPr>
              <w:pStyle w:val="Sansinterligne"/>
              <w:numPr>
                <w:ilvl w:val="0"/>
                <w:numId w:val="1194"/>
              </w:numPr>
              <w:rPr>
                <w:rFonts w:cs="Times New Roman"/>
              </w:rPr>
            </w:pPr>
            <w:r>
              <w:rPr>
                <w:rFonts w:cs="Times New Roman"/>
              </w:rPr>
              <w:t>Tachypnée / détresse respiratoire</w:t>
            </w:r>
          </w:p>
        </w:tc>
        <w:tc>
          <w:tcPr>
            <w:tcW w:w="2105" w:type="dxa"/>
            <w:tcBorders>
              <w:left w:val="single" w:sz="4" w:space="0" w:color="FFFFFF" w:themeColor="background1"/>
              <w:right w:val="single" w:sz="4" w:space="0" w:color="FFFFFF" w:themeColor="background1"/>
            </w:tcBorders>
          </w:tcPr>
          <w:p w:rsidR="002D27AC" w:rsidRDefault="002D27AC" w:rsidP="005D429F">
            <w:pPr>
              <w:pStyle w:val="Sansinterligne"/>
              <w:numPr>
                <w:ilvl w:val="0"/>
                <w:numId w:val="1194"/>
              </w:numPr>
              <w:rPr>
                <w:rFonts w:cs="Times New Roman"/>
              </w:rPr>
            </w:pPr>
            <w:r>
              <w:rPr>
                <w:rFonts w:cs="Times New Roman"/>
              </w:rPr>
              <w:t>Leucocytose</w:t>
            </w:r>
          </w:p>
        </w:tc>
        <w:tc>
          <w:tcPr>
            <w:tcW w:w="2106" w:type="dxa"/>
            <w:tcBorders>
              <w:left w:val="single" w:sz="4" w:space="0" w:color="FFFFFF" w:themeColor="background1"/>
            </w:tcBorders>
          </w:tcPr>
          <w:p w:rsidR="002D27AC" w:rsidRDefault="002D27AC" w:rsidP="005D429F">
            <w:pPr>
              <w:pStyle w:val="Sansinterligne"/>
              <w:numPr>
                <w:ilvl w:val="0"/>
                <w:numId w:val="1194"/>
              </w:numPr>
            </w:pPr>
            <w:r>
              <w:rPr>
                <w:rFonts w:cs="Times New Roman"/>
              </w:rPr>
              <w:t>Infection prouvée</w:t>
            </w:r>
          </w:p>
        </w:tc>
      </w:tr>
      <w:tr w:rsidR="00B542FC" w:rsidTr="00B542FC">
        <w:tc>
          <w:tcPr>
            <w:tcW w:w="2518" w:type="dxa"/>
            <w:shd w:val="clear" w:color="auto" w:fill="C2D69B" w:themeFill="accent3" w:themeFillTint="99"/>
            <w:vAlign w:val="center"/>
          </w:tcPr>
          <w:p w:rsidR="00B542FC" w:rsidRPr="0059492E" w:rsidRDefault="00B542FC" w:rsidP="0045541D">
            <w:pPr>
              <w:pStyle w:val="Sansinterligne"/>
              <w:jc w:val="center"/>
              <w:rPr>
                <w:b/>
              </w:rPr>
            </w:pPr>
            <w:r w:rsidRPr="0059492E">
              <w:rPr>
                <w:b/>
              </w:rPr>
              <w:t>Méningite</w:t>
            </w:r>
          </w:p>
        </w:tc>
        <w:tc>
          <w:tcPr>
            <w:tcW w:w="4211" w:type="dxa"/>
            <w:gridSpan w:val="2"/>
            <w:shd w:val="clear" w:color="auto" w:fill="FFFF00"/>
          </w:tcPr>
          <w:p w:rsidR="00B542FC" w:rsidRDefault="00B542FC" w:rsidP="005D429F">
            <w:pPr>
              <w:pStyle w:val="Sansinterligne"/>
              <w:numPr>
                <w:ilvl w:val="0"/>
                <w:numId w:val="1191"/>
              </w:numPr>
            </w:pPr>
            <w:r>
              <w:t xml:space="preserve">Fièvre </w:t>
            </w:r>
          </w:p>
          <w:p w:rsidR="00B542FC" w:rsidRDefault="00B542FC" w:rsidP="005D429F">
            <w:pPr>
              <w:pStyle w:val="Sansinterligne"/>
              <w:numPr>
                <w:ilvl w:val="0"/>
                <w:numId w:val="1191"/>
              </w:numPr>
            </w:pPr>
            <w:r>
              <w:t>Léthargie, confusion</w:t>
            </w:r>
          </w:p>
          <w:p w:rsidR="00B542FC" w:rsidRDefault="00B542FC" w:rsidP="005D429F">
            <w:pPr>
              <w:pStyle w:val="Sansinterligne"/>
              <w:numPr>
                <w:ilvl w:val="0"/>
                <w:numId w:val="1191"/>
              </w:numPr>
            </w:pPr>
            <w:r>
              <w:t>Irritabilité</w:t>
            </w:r>
          </w:p>
          <w:p w:rsidR="00B542FC" w:rsidRDefault="00B542FC" w:rsidP="005D429F">
            <w:pPr>
              <w:pStyle w:val="Sansinterligne"/>
              <w:numPr>
                <w:ilvl w:val="0"/>
                <w:numId w:val="1191"/>
              </w:numPr>
            </w:pPr>
            <w:r>
              <w:t xml:space="preserve">Anorexie, </w:t>
            </w:r>
            <w:r>
              <w:rPr>
                <w:rFonts w:cs="Times New Roman"/>
              </w:rPr>
              <w:t>↓</w:t>
            </w:r>
            <w:r>
              <w:rPr>
                <w:rFonts w:asciiTheme="minorBidi" w:hAnsiTheme="minorBidi"/>
              </w:rPr>
              <w:t>↓</w:t>
            </w:r>
            <w:r>
              <w:t xml:space="preserve"> appétit</w:t>
            </w:r>
          </w:p>
          <w:p w:rsidR="00B542FC" w:rsidRDefault="00B542FC" w:rsidP="005D429F">
            <w:pPr>
              <w:pStyle w:val="Sansinterligne"/>
              <w:numPr>
                <w:ilvl w:val="0"/>
                <w:numId w:val="1191"/>
              </w:numPr>
            </w:pPr>
            <w:r>
              <w:t>Vomissements</w:t>
            </w:r>
          </w:p>
          <w:p w:rsidR="00B542FC" w:rsidRDefault="00B542FC" w:rsidP="005D429F">
            <w:pPr>
              <w:pStyle w:val="Sansinterligne"/>
              <w:numPr>
                <w:ilvl w:val="0"/>
                <w:numId w:val="1191"/>
              </w:numPr>
            </w:pPr>
            <w:r>
              <w:t>Diarrhées</w:t>
            </w:r>
          </w:p>
          <w:p w:rsidR="00B542FC" w:rsidRDefault="00B542FC" w:rsidP="005D429F">
            <w:pPr>
              <w:pStyle w:val="Sansinterligne"/>
              <w:numPr>
                <w:ilvl w:val="0"/>
                <w:numId w:val="1191"/>
              </w:numPr>
              <w:rPr>
                <w:u w:val="single"/>
              </w:rPr>
            </w:pPr>
            <w:r>
              <w:t>Convulsions</w:t>
            </w:r>
            <w:r w:rsidRPr="00B542FC">
              <w:rPr>
                <w:u w:val="single"/>
              </w:rPr>
              <w:t xml:space="preserve"> </w:t>
            </w:r>
          </w:p>
          <w:p w:rsidR="00B542FC" w:rsidRPr="00B542FC" w:rsidRDefault="00B542FC" w:rsidP="00B542FC">
            <w:pPr>
              <w:pStyle w:val="Sansinterligne"/>
              <w:rPr>
                <w:u w:val="single"/>
              </w:rPr>
            </w:pPr>
            <w:r w:rsidRPr="00B542FC">
              <w:rPr>
                <w:u w:val="single"/>
              </w:rPr>
              <w:t>Plus vieux</w:t>
            </w:r>
          </w:p>
          <w:p w:rsidR="00B542FC" w:rsidRDefault="00B542FC" w:rsidP="005D429F">
            <w:pPr>
              <w:pStyle w:val="Sansinterligne"/>
              <w:numPr>
                <w:ilvl w:val="0"/>
                <w:numId w:val="1192"/>
              </w:numPr>
            </w:pPr>
            <w:r>
              <w:t>Céphalées</w:t>
            </w:r>
          </w:p>
          <w:p w:rsidR="00B542FC" w:rsidRDefault="00B542FC" w:rsidP="005D429F">
            <w:pPr>
              <w:pStyle w:val="Sansinterligne"/>
              <w:numPr>
                <w:ilvl w:val="0"/>
                <w:numId w:val="1192"/>
              </w:numPr>
            </w:pPr>
            <w:r>
              <w:t>Photophobie</w:t>
            </w:r>
          </w:p>
        </w:tc>
        <w:tc>
          <w:tcPr>
            <w:tcW w:w="4211" w:type="dxa"/>
            <w:gridSpan w:val="2"/>
            <w:shd w:val="clear" w:color="auto" w:fill="FFFF00"/>
          </w:tcPr>
          <w:p w:rsidR="00B542FC" w:rsidRDefault="00B542FC" w:rsidP="005D429F">
            <w:pPr>
              <w:pStyle w:val="Sansinterligne"/>
              <w:numPr>
                <w:ilvl w:val="0"/>
                <w:numId w:val="1192"/>
              </w:numPr>
            </w:pPr>
            <w:r>
              <w:t>Hyperthermie</w:t>
            </w:r>
          </w:p>
          <w:p w:rsidR="00B542FC" w:rsidRDefault="00B542FC" w:rsidP="005D429F">
            <w:pPr>
              <w:pStyle w:val="Sansinterligne"/>
              <w:numPr>
                <w:ilvl w:val="0"/>
                <w:numId w:val="1192"/>
              </w:numPr>
            </w:pPr>
            <w:r>
              <w:t>Apparence toxique</w:t>
            </w:r>
          </w:p>
          <w:p w:rsidR="00B542FC" w:rsidRDefault="00B542FC" w:rsidP="005D429F">
            <w:pPr>
              <w:pStyle w:val="Sansinterligne"/>
              <w:numPr>
                <w:ilvl w:val="0"/>
                <w:numId w:val="1192"/>
              </w:numPr>
            </w:pPr>
            <w:r>
              <w:t>Rigidité nucale</w:t>
            </w:r>
          </w:p>
          <w:p w:rsidR="00B542FC" w:rsidRDefault="00B542FC" w:rsidP="005D429F">
            <w:pPr>
              <w:pStyle w:val="Sansinterligne"/>
              <w:numPr>
                <w:ilvl w:val="0"/>
                <w:numId w:val="1192"/>
              </w:numPr>
            </w:pPr>
            <w:r>
              <w:t>Fontanelle ant. Bombée</w:t>
            </w:r>
          </w:p>
          <w:p w:rsidR="00B542FC" w:rsidRDefault="00B542FC" w:rsidP="005D429F">
            <w:pPr>
              <w:pStyle w:val="Sansinterligne"/>
              <w:numPr>
                <w:ilvl w:val="0"/>
                <w:numId w:val="1192"/>
              </w:numPr>
            </w:pPr>
            <w:r>
              <w:t xml:space="preserve">Exanthème purpurique </w:t>
            </w:r>
            <w:r w:rsidR="0042641B">
              <w:t xml:space="preserve">                     </w:t>
            </w:r>
            <w:r>
              <w:t>(lombaire</w:t>
            </w:r>
            <w:r w:rsidR="0042641B">
              <w:t xml:space="preserve"> ou MI</w:t>
            </w:r>
            <w:r>
              <w:t>)</w:t>
            </w:r>
          </w:p>
          <w:p w:rsidR="00B542FC" w:rsidRDefault="00B542FC" w:rsidP="005D429F">
            <w:pPr>
              <w:pStyle w:val="Sansinterligne"/>
              <w:numPr>
                <w:ilvl w:val="0"/>
                <w:numId w:val="1192"/>
              </w:numPr>
            </w:pPr>
            <w:r>
              <w:t>Signes de Kernig et Brudzinski            (rares chez l’enfant)</w:t>
            </w:r>
          </w:p>
        </w:tc>
      </w:tr>
      <w:tr w:rsidR="00CC62E8" w:rsidTr="0023760E">
        <w:tc>
          <w:tcPr>
            <w:tcW w:w="2518" w:type="dxa"/>
            <w:shd w:val="clear" w:color="auto" w:fill="C2D69B" w:themeFill="accent3" w:themeFillTint="99"/>
            <w:vAlign w:val="center"/>
          </w:tcPr>
          <w:p w:rsidR="00CC62E8" w:rsidRDefault="00CC62E8" w:rsidP="0045541D">
            <w:pPr>
              <w:pStyle w:val="Sansinterligne"/>
              <w:jc w:val="center"/>
            </w:pPr>
            <w:r>
              <w:t>Infection urinaire</w:t>
            </w:r>
          </w:p>
        </w:tc>
        <w:tc>
          <w:tcPr>
            <w:tcW w:w="4211" w:type="dxa"/>
            <w:gridSpan w:val="2"/>
          </w:tcPr>
          <w:p w:rsidR="00CC62E8" w:rsidRDefault="00CC62E8" w:rsidP="005D429F">
            <w:pPr>
              <w:pStyle w:val="Sansinterligne"/>
              <w:numPr>
                <w:ilvl w:val="0"/>
                <w:numId w:val="1193"/>
              </w:numPr>
            </w:pPr>
            <w:r>
              <w:t xml:space="preserve">Fièvre </w:t>
            </w:r>
          </w:p>
          <w:p w:rsidR="00CC62E8" w:rsidRDefault="00CC62E8" w:rsidP="005D429F">
            <w:pPr>
              <w:pStyle w:val="Sansinterligne"/>
              <w:numPr>
                <w:ilvl w:val="0"/>
                <w:numId w:val="1193"/>
              </w:numPr>
            </w:pPr>
            <w:r>
              <w:t>Faible appétit</w:t>
            </w:r>
          </w:p>
          <w:p w:rsidR="00CC62E8" w:rsidRDefault="00CC62E8" w:rsidP="005D429F">
            <w:pPr>
              <w:pStyle w:val="Sansinterligne"/>
              <w:numPr>
                <w:ilvl w:val="0"/>
                <w:numId w:val="1193"/>
              </w:numPr>
            </w:pPr>
            <w:r>
              <w:t>Irritabilité</w:t>
            </w:r>
          </w:p>
          <w:p w:rsidR="00CC62E8" w:rsidRDefault="00CC62E8" w:rsidP="005D429F">
            <w:pPr>
              <w:pStyle w:val="Sansinterligne"/>
              <w:numPr>
                <w:ilvl w:val="0"/>
                <w:numId w:val="1193"/>
              </w:numPr>
            </w:pPr>
            <w:r>
              <w:t>Faible prise de poids</w:t>
            </w:r>
          </w:p>
          <w:p w:rsidR="00CC62E8" w:rsidRDefault="00CC62E8" w:rsidP="005D429F">
            <w:pPr>
              <w:pStyle w:val="Sansinterligne"/>
              <w:numPr>
                <w:ilvl w:val="0"/>
                <w:numId w:val="1193"/>
              </w:numPr>
            </w:pPr>
            <w:r>
              <w:t>Malaise général</w:t>
            </w:r>
          </w:p>
        </w:tc>
        <w:tc>
          <w:tcPr>
            <w:tcW w:w="4211" w:type="dxa"/>
            <w:gridSpan w:val="2"/>
          </w:tcPr>
          <w:p w:rsidR="00CC62E8" w:rsidRDefault="00CC62E8" w:rsidP="005D429F">
            <w:pPr>
              <w:pStyle w:val="Sansinterligne"/>
              <w:numPr>
                <w:ilvl w:val="0"/>
                <w:numId w:val="1193"/>
              </w:numPr>
            </w:pPr>
            <w:r>
              <w:t>Plus vieux</w:t>
            </w:r>
          </w:p>
          <w:p w:rsidR="00CC62E8" w:rsidRDefault="00CC62E8" w:rsidP="005D429F">
            <w:pPr>
              <w:pStyle w:val="Sansinterligne"/>
              <w:numPr>
                <w:ilvl w:val="0"/>
                <w:numId w:val="1193"/>
              </w:numPr>
            </w:pPr>
            <w:r>
              <w:t>Dysurie, pollakiurie</w:t>
            </w:r>
          </w:p>
          <w:p w:rsidR="00CC62E8" w:rsidRDefault="00CC62E8" w:rsidP="005D429F">
            <w:pPr>
              <w:pStyle w:val="Sansinterligne"/>
              <w:numPr>
                <w:ilvl w:val="0"/>
                <w:numId w:val="1193"/>
              </w:numPr>
            </w:pPr>
            <w:r>
              <w:t>Urgenturie, hématurie</w:t>
            </w:r>
          </w:p>
          <w:p w:rsidR="00CC62E8" w:rsidRDefault="00CC62E8" w:rsidP="005D429F">
            <w:pPr>
              <w:pStyle w:val="Sansinterligne"/>
              <w:numPr>
                <w:ilvl w:val="0"/>
                <w:numId w:val="1193"/>
              </w:numPr>
            </w:pPr>
            <w:r>
              <w:t>P</w:t>
            </w:r>
            <w:r w:rsidR="0023760E">
              <w:t xml:space="preserve">unch </w:t>
            </w:r>
            <w:r>
              <w:t>R</w:t>
            </w:r>
            <w:r w:rsidR="0023760E">
              <w:t>énal</w:t>
            </w:r>
            <w:r>
              <w:t xml:space="preserve"> +</w:t>
            </w:r>
          </w:p>
          <w:p w:rsidR="00CC62E8" w:rsidRDefault="00CC62E8" w:rsidP="005D429F">
            <w:pPr>
              <w:pStyle w:val="Sansinterligne"/>
              <w:numPr>
                <w:ilvl w:val="0"/>
                <w:numId w:val="1193"/>
              </w:numPr>
            </w:pPr>
            <w:r>
              <w:rPr>
                <w:rFonts w:cs="Times New Roman"/>
              </w:rPr>
              <w:t>±</w:t>
            </w:r>
            <w:r>
              <w:t xml:space="preserve"> Globe vésical</w:t>
            </w:r>
          </w:p>
        </w:tc>
      </w:tr>
      <w:tr w:rsidR="00B52C47" w:rsidTr="000C00D7">
        <w:tc>
          <w:tcPr>
            <w:tcW w:w="2518" w:type="dxa"/>
            <w:shd w:val="clear" w:color="auto" w:fill="C2D69B" w:themeFill="accent3" w:themeFillTint="99"/>
            <w:vAlign w:val="center"/>
          </w:tcPr>
          <w:p w:rsidR="00B52C47" w:rsidRDefault="00B52C47" w:rsidP="0045541D">
            <w:pPr>
              <w:pStyle w:val="Sansinterligne"/>
              <w:jc w:val="center"/>
            </w:pPr>
            <w:r>
              <w:t>Pneumonie</w:t>
            </w:r>
          </w:p>
        </w:tc>
        <w:tc>
          <w:tcPr>
            <w:tcW w:w="4211" w:type="dxa"/>
            <w:gridSpan w:val="2"/>
          </w:tcPr>
          <w:p w:rsidR="00B52C47" w:rsidRDefault="00B52C47" w:rsidP="005D429F">
            <w:pPr>
              <w:pStyle w:val="Sansinterligne"/>
              <w:numPr>
                <w:ilvl w:val="0"/>
                <w:numId w:val="1193"/>
              </w:numPr>
            </w:pPr>
            <w:r>
              <w:t>Toux</w:t>
            </w:r>
          </w:p>
          <w:p w:rsidR="00B52C47" w:rsidRDefault="00B52C47" w:rsidP="005D429F">
            <w:pPr>
              <w:pStyle w:val="Sansinterligne"/>
              <w:numPr>
                <w:ilvl w:val="0"/>
                <w:numId w:val="1193"/>
              </w:numPr>
            </w:pPr>
            <w:r>
              <w:t>Frissons</w:t>
            </w:r>
          </w:p>
          <w:p w:rsidR="00B52C47" w:rsidRDefault="00B52C47" w:rsidP="005D429F">
            <w:pPr>
              <w:pStyle w:val="Sansinterligne"/>
              <w:numPr>
                <w:ilvl w:val="0"/>
                <w:numId w:val="1193"/>
              </w:numPr>
            </w:pPr>
            <w:r>
              <w:t>Dyspnée</w:t>
            </w:r>
          </w:p>
        </w:tc>
        <w:tc>
          <w:tcPr>
            <w:tcW w:w="4211" w:type="dxa"/>
            <w:gridSpan w:val="2"/>
          </w:tcPr>
          <w:p w:rsidR="00B52C47" w:rsidRDefault="00B52C47" w:rsidP="005D429F">
            <w:pPr>
              <w:pStyle w:val="Sansinterligne"/>
              <w:numPr>
                <w:ilvl w:val="0"/>
                <w:numId w:val="1193"/>
              </w:numPr>
            </w:pPr>
            <w:r>
              <w:t>Fièvre</w:t>
            </w:r>
          </w:p>
          <w:p w:rsidR="00B52C47" w:rsidRDefault="00B52C47" w:rsidP="005D429F">
            <w:pPr>
              <w:pStyle w:val="Sansinterligne"/>
              <w:numPr>
                <w:ilvl w:val="0"/>
                <w:numId w:val="1193"/>
              </w:numPr>
            </w:pPr>
            <w:r>
              <w:t xml:space="preserve">Tachypnée </w:t>
            </w:r>
          </w:p>
          <w:p w:rsidR="00B52C47" w:rsidRDefault="00B52C47" w:rsidP="005D429F">
            <w:pPr>
              <w:pStyle w:val="Sansinterligne"/>
              <w:numPr>
                <w:ilvl w:val="0"/>
                <w:numId w:val="1193"/>
              </w:numPr>
            </w:pPr>
            <w:r>
              <w:t>Stridor / wheezing</w:t>
            </w:r>
          </w:p>
          <w:p w:rsidR="00B52C47" w:rsidRDefault="00B52C47" w:rsidP="005D429F">
            <w:pPr>
              <w:pStyle w:val="Sansinterligne"/>
              <w:numPr>
                <w:ilvl w:val="0"/>
                <w:numId w:val="1193"/>
              </w:numPr>
            </w:pPr>
            <w:r>
              <w:t>Crépitants à l’auscultation</w:t>
            </w:r>
          </w:p>
        </w:tc>
      </w:tr>
      <w:tr w:rsidR="0045541D" w:rsidTr="00AF3190">
        <w:tc>
          <w:tcPr>
            <w:tcW w:w="2518" w:type="dxa"/>
            <w:shd w:val="clear" w:color="auto" w:fill="C2D69B" w:themeFill="accent3" w:themeFillTint="99"/>
            <w:vAlign w:val="center"/>
          </w:tcPr>
          <w:p w:rsidR="0045541D" w:rsidRDefault="0045541D" w:rsidP="0045541D">
            <w:pPr>
              <w:pStyle w:val="Sansinterligne"/>
              <w:jc w:val="center"/>
            </w:pPr>
            <w:r>
              <w:t>Otites</w:t>
            </w:r>
          </w:p>
        </w:tc>
        <w:tc>
          <w:tcPr>
            <w:tcW w:w="8422" w:type="dxa"/>
            <w:gridSpan w:val="4"/>
          </w:tcPr>
          <w:p w:rsidR="0045541D" w:rsidRDefault="0045541D" w:rsidP="00CD47D8">
            <w:pPr>
              <w:pStyle w:val="Sansinterligne"/>
            </w:pPr>
            <w:r>
              <w:t xml:space="preserve">Voir </w:t>
            </w:r>
            <w:r w:rsidRPr="0045541D">
              <w:rPr>
                <w:i/>
              </w:rPr>
              <w:t>Douleur de l’oreille CMC 28</w:t>
            </w:r>
          </w:p>
        </w:tc>
      </w:tr>
      <w:tr w:rsidR="00CD47D8" w:rsidTr="00AF3190">
        <w:tc>
          <w:tcPr>
            <w:tcW w:w="2518" w:type="dxa"/>
            <w:shd w:val="clear" w:color="auto" w:fill="C2D69B" w:themeFill="accent3" w:themeFillTint="99"/>
            <w:vAlign w:val="center"/>
          </w:tcPr>
          <w:p w:rsidR="00CD47D8" w:rsidRDefault="00740425" w:rsidP="00740425">
            <w:pPr>
              <w:pStyle w:val="Sansinterligne"/>
              <w:jc w:val="center"/>
            </w:pPr>
            <w:r>
              <w:t>Pharyngite</w:t>
            </w:r>
            <w:r w:rsidR="0045541D">
              <w:t xml:space="preserve"> et Scarlatine</w:t>
            </w:r>
          </w:p>
        </w:tc>
        <w:tc>
          <w:tcPr>
            <w:tcW w:w="8422" w:type="dxa"/>
            <w:gridSpan w:val="4"/>
          </w:tcPr>
          <w:p w:rsidR="00CD47D8" w:rsidRDefault="0045541D" w:rsidP="00CD47D8">
            <w:pPr>
              <w:pStyle w:val="Sansinterligne"/>
            </w:pPr>
            <w:r>
              <w:t xml:space="preserve">Voir </w:t>
            </w:r>
            <w:r w:rsidRPr="00DD414F">
              <w:rPr>
                <w:i/>
              </w:rPr>
              <w:t>Mal de gorge et/ou rhinorrhée CMC 100</w:t>
            </w:r>
          </w:p>
        </w:tc>
      </w:tr>
      <w:tr w:rsidR="00CD47D8" w:rsidTr="00AF3190">
        <w:tc>
          <w:tcPr>
            <w:tcW w:w="2518" w:type="dxa"/>
            <w:shd w:val="clear" w:color="auto" w:fill="C2D69B" w:themeFill="accent3" w:themeFillTint="99"/>
            <w:vAlign w:val="center"/>
          </w:tcPr>
          <w:p w:rsidR="00CD47D8" w:rsidRDefault="0045541D" w:rsidP="0045541D">
            <w:pPr>
              <w:pStyle w:val="Sansinterligne"/>
              <w:jc w:val="center"/>
            </w:pPr>
            <w:r>
              <w:t>Appendicite aigue</w:t>
            </w:r>
          </w:p>
        </w:tc>
        <w:tc>
          <w:tcPr>
            <w:tcW w:w="8422" w:type="dxa"/>
            <w:gridSpan w:val="4"/>
          </w:tcPr>
          <w:p w:rsidR="00CD47D8" w:rsidRDefault="0045541D" w:rsidP="0045541D">
            <w:pPr>
              <w:pStyle w:val="Sansinterligne"/>
            </w:pPr>
            <w:r>
              <w:t xml:space="preserve">Voir </w:t>
            </w:r>
            <w:r w:rsidRPr="0045541D">
              <w:rPr>
                <w:i/>
              </w:rPr>
              <w:t>Douleur abdominale chez l’enfant CMC 3-1</w:t>
            </w:r>
          </w:p>
        </w:tc>
      </w:tr>
    </w:tbl>
    <w:p w:rsidR="00CD47D8" w:rsidRDefault="00CD47D8" w:rsidP="00CD47D8">
      <w:pPr>
        <w:pStyle w:val="Sansinterligne"/>
      </w:pPr>
    </w:p>
    <w:tbl>
      <w:tblPr>
        <w:tblStyle w:val="Grilledutableau"/>
        <w:tblW w:w="10940" w:type="dxa"/>
        <w:tblLook w:val="04A0" w:firstRow="1" w:lastRow="0" w:firstColumn="1" w:lastColumn="0" w:noHBand="0" w:noVBand="1"/>
      </w:tblPr>
      <w:tblGrid>
        <w:gridCol w:w="2518"/>
        <w:gridCol w:w="4211"/>
        <w:gridCol w:w="4211"/>
      </w:tblGrid>
      <w:tr w:rsidR="00CD47D8" w:rsidTr="00390928">
        <w:tc>
          <w:tcPr>
            <w:tcW w:w="10940" w:type="dxa"/>
            <w:gridSpan w:val="3"/>
            <w:shd w:val="clear" w:color="auto" w:fill="FFC000"/>
          </w:tcPr>
          <w:p w:rsidR="00CD47D8" w:rsidRDefault="00CD47D8" w:rsidP="00CD47D8">
            <w:pPr>
              <w:pStyle w:val="Sansinterligne"/>
              <w:jc w:val="center"/>
            </w:pPr>
            <w:r>
              <w:t>Atteintes systémiques non-infectieuses</w:t>
            </w:r>
          </w:p>
        </w:tc>
      </w:tr>
      <w:tr w:rsidR="00CD47D8" w:rsidTr="00390928">
        <w:tc>
          <w:tcPr>
            <w:tcW w:w="2518" w:type="dxa"/>
            <w:shd w:val="clear" w:color="auto" w:fill="C2D69B" w:themeFill="accent3" w:themeFillTint="99"/>
          </w:tcPr>
          <w:p w:rsidR="00CD47D8" w:rsidRPr="00740425" w:rsidRDefault="00CD47D8" w:rsidP="00CD47D8">
            <w:pPr>
              <w:pStyle w:val="Sansinterligne"/>
              <w:jc w:val="center"/>
              <w:rPr>
                <w:i/>
              </w:rPr>
            </w:pPr>
            <w:r w:rsidRPr="00740425">
              <w:rPr>
                <w:i/>
              </w:rPr>
              <w:t>Diagnostic</w:t>
            </w:r>
          </w:p>
        </w:tc>
        <w:tc>
          <w:tcPr>
            <w:tcW w:w="8422" w:type="dxa"/>
            <w:gridSpan w:val="2"/>
            <w:shd w:val="clear" w:color="auto" w:fill="C2D69B" w:themeFill="accent3" w:themeFillTint="99"/>
          </w:tcPr>
          <w:p w:rsidR="00CD47D8" w:rsidRPr="00740425" w:rsidRDefault="00CD47D8" w:rsidP="00CD47D8">
            <w:pPr>
              <w:pStyle w:val="Sansinterligne"/>
              <w:jc w:val="center"/>
              <w:rPr>
                <w:i/>
              </w:rPr>
            </w:pPr>
            <w:r w:rsidRPr="00740425">
              <w:rPr>
                <w:i/>
              </w:rPr>
              <w:t>Manifestations cliniques</w:t>
            </w:r>
          </w:p>
        </w:tc>
      </w:tr>
      <w:tr w:rsidR="0045541D" w:rsidTr="00FC6BDB">
        <w:tc>
          <w:tcPr>
            <w:tcW w:w="2518" w:type="dxa"/>
            <w:shd w:val="clear" w:color="auto" w:fill="C2D69B" w:themeFill="accent3" w:themeFillTint="99"/>
            <w:vAlign w:val="center"/>
          </w:tcPr>
          <w:p w:rsidR="0045541D" w:rsidRDefault="0045541D" w:rsidP="0045541D">
            <w:pPr>
              <w:pStyle w:val="Sansinterligne"/>
              <w:jc w:val="center"/>
            </w:pPr>
            <w:r>
              <w:t>Arthrite juvénile idiopathique</w:t>
            </w:r>
          </w:p>
        </w:tc>
        <w:tc>
          <w:tcPr>
            <w:tcW w:w="8422" w:type="dxa"/>
            <w:gridSpan w:val="2"/>
            <w:vAlign w:val="center"/>
          </w:tcPr>
          <w:p w:rsidR="0045541D" w:rsidRDefault="0045541D" w:rsidP="00FC6BDB">
            <w:pPr>
              <w:pStyle w:val="Sansinterligne"/>
            </w:pPr>
            <w:r>
              <w:t xml:space="preserve">Voir </w:t>
            </w:r>
            <w:r w:rsidRPr="0045541D">
              <w:rPr>
                <w:i/>
              </w:rPr>
              <w:t>Boiterie chez l’enfant CMC 20</w:t>
            </w:r>
          </w:p>
        </w:tc>
      </w:tr>
      <w:tr w:rsidR="00B511FA" w:rsidTr="007E41C7">
        <w:tc>
          <w:tcPr>
            <w:tcW w:w="2518" w:type="dxa"/>
            <w:shd w:val="clear" w:color="auto" w:fill="C2D69B" w:themeFill="accent3" w:themeFillTint="99"/>
            <w:vAlign w:val="center"/>
          </w:tcPr>
          <w:p w:rsidR="00B511FA" w:rsidRPr="0045541D" w:rsidRDefault="00B511FA" w:rsidP="0045541D">
            <w:pPr>
              <w:pStyle w:val="Sansinterligne"/>
              <w:jc w:val="center"/>
              <w:rPr>
                <w:b/>
              </w:rPr>
            </w:pPr>
            <w:r w:rsidRPr="0045541D">
              <w:rPr>
                <w:b/>
              </w:rPr>
              <w:t>Maladie de Kawasaki</w:t>
            </w:r>
          </w:p>
        </w:tc>
        <w:tc>
          <w:tcPr>
            <w:tcW w:w="8422" w:type="dxa"/>
            <w:gridSpan w:val="2"/>
            <w:shd w:val="clear" w:color="auto" w:fill="FFFF00"/>
          </w:tcPr>
          <w:p w:rsidR="00B511FA" w:rsidRDefault="00B511FA" w:rsidP="005D429F">
            <w:pPr>
              <w:pStyle w:val="Sansinterligne"/>
              <w:numPr>
                <w:ilvl w:val="0"/>
                <w:numId w:val="871"/>
              </w:numPr>
            </w:pPr>
            <w:r>
              <w:t xml:space="preserve">Fièvre </w:t>
            </w:r>
            <w:r>
              <w:rPr>
                <w:rFonts w:ascii="Century Gothic" w:hAnsi="Century Gothic"/>
              </w:rPr>
              <w:t>≥</w:t>
            </w:r>
            <w:r>
              <w:t xml:space="preserve"> 5 jours</w:t>
            </w:r>
          </w:p>
          <w:p w:rsidR="00B511FA" w:rsidRDefault="00B511FA" w:rsidP="0045541D">
            <w:pPr>
              <w:pStyle w:val="Sansinterligne"/>
            </w:pPr>
            <w:r w:rsidRPr="006B288A">
              <w:rPr>
                <w:rFonts w:ascii="Century Gothic" w:hAnsi="Century Gothic"/>
                <w:b/>
              </w:rPr>
              <w:t>≥</w:t>
            </w:r>
            <w:r w:rsidRPr="006B288A">
              <w:rPr>
                <w:b/>
              </w:rPr>
              <w:t>4/5 de</w:t>
            </w:r>
            <w:r>
              <w:t> :</w:t>
            </w:r>
          </w:p>
          <w:p w:rsidR="00B511FA" w:rsidRDefault="00B511FA" w:rsidP="005D429F">
            <w:pPr>
              <w:pStyle w:val="Sansinterligne"/>
              <w:numPr>
                <w:ilvl w:val="0"/>
                <w:numId w:val="871"/>
              </w:numPr>
            </w:pPr>
            <w:r w:rsidRPr="006B288A">
              <w:rPr>
                <w:b/>
              </w:rPr>
              <w:t>Conjonctivite bilatérale</w:t>
            </w:r>
            <w:r>
              <w:t>, non-purulente, non-limbique</w:t>
            </w:r>
          </w:p>
          <w:p w:rsidR="00B511FA" w:rsidRDefault="00B511FA" w:rsidP="005D429F">
            <w:pPr>
              <w:pStyle w:val="Sansinterligne"/>
              <w:numPr>
                <w:ilvl w:val="0"/>
                <w:numId w:val="871"/>
              </w:numPr>
            </w:pPr>
            <w:r>
              <w:t xml:space="preserve">Hyperhémie des muqueuses buco-pharyngée ou </w:t>
            </w:r>
            <w:r w:rsidRPr="006B288A">
              <w:rPr>
                <w:b/>
              </w:rPr>
              <w:t>langue framboisée</w:t>
            </w:r>
          </w:p>
          <w:p w:rsidR="00B511FA" w:rsidRDefault="00B511FA" w:rsidP="005D429F">
            <w:pPr>
              <w:pStyle w:val="Sansinterligne"/>
              <w:numPr>
                <w:ilvl w:val="0"/>
                <w:numId w:val="871"/>
              </w:numPr>
            </w:pPr>
            <w:r>
              <w:t>Hyperhémie palmo-plantaire ou œdème dorsale des mains et pieds</w:t>
            </w:r>
          </w:p>
          <w:p w:rsidR="00B511FA" w:rsidRDefault="00B511FA" w:rsidP="005D429F">
            <w:pPr>
              <w:pStyle w:val="Sansinterligne"/>
              <w:numPr>
                <w:ilvl w:val="0"/>
                <w:numId w:val="871"/>
              </w:numPr>
            </w:pPr>
            <w:r w:rsidRPr="006B288A">
              <w:rPr>
                <w:b/>
              </w:rPr>
              <w:t>Éruption cutanée variable, centripète</w:t>
            </w:r>
            <w:r>
              <w:t xml:space="preserve"> non prurigineuse avec                           prédisposition inguinale/périnéale </w:t>
            </w:r>
          </w:p>
          <w:p w:rsidR="00B511FA" w:rsidRDefault="00B511FA" w:rsidP="005D429F">
            <w:pPr>
              <w:pStyle w:val="Sansinterligne"/>
              <w:numPr>
                <w:ilvl w:val="0"/>
                <w:numId w:val="871"/>
              </w:numPr>
            </w:pPr>
            <w:r w:rsidRPr="006B288A">
              <w:rPr>
                <w:b/>
              </w:rPr>
              <w:t>Adénopathie cervicale</w:t>
            </w:r>
            <w:r>
              <w:t xml:space="preserve"> </w:t>
            </w:r>
            <w:r>
              <w:rPr>
                <w:rFonts w:ascii="Century Gothic" w:hAnsi="Century Gothic"/>
              </w:rPr>
              <w:t>≥</w:t>
            </w:r>
            <w:r>
              <w:t xml:space="preserve"> 1,5 cm, généralement unilatérale</w:t>
            </w:r>
          </w:p>
          <w:p w:rsidR="00B511FA" w:rsidRDefault="00B511FA" w:rsidP="00390928">
            <w:pPr>
              <w:pStyle w:val="Sansinterligne"/>
            </w:pPr>
            <w:r w:rsidRPr="006B288A">
              <w:rPr>
                <w:u w:val="single"/>
              </w:rPr>
              <w:t>Autres manifestations</w:t>
            </w:r>
            <w:r>
              <w:t> :</w:t>
            </w:r>
          </w:p>
          <w:p w:rsidR="00B511FA" w:rsidRDefault="00B511FA" w:rsidP="005D429F">
            <w:pPr>
              <w:pStyle w:val="Sansinterligne"/>
              <w:numPr>
                <w:ilvl w:val="0"/>
                <w:numId w:val="871"/>
              </w:numPr>
            </w:pPr>
            <w:r w:rsidRPr="00A03ACE">
              <w:rPr>
                <w:b/>
              </w:rPr>
              <w:t>Arthrites</w:t>
            </w:r>
            <w:r>
              <w:rPr>
                <w:b/>
              </w:rPr>
              <w:t xml:space="preserve"> des extrémités</w:t>
            </w:r>
            <w:r>
              <w:t>, irritabilité, méningite aseptique, pneumonie,                              uvéite antérieure, etc.</w:t>
            </w:r>
          </w:p>
        </w:tc>
      </w:tr>
      <w:tr w:rsidR="00812BC9" w:rsidTr="007E41C7">
        <w:tc>
          <w:tcPr>
            <w:tcW w:w="2518" w:type="dxa"/>
            <w:shd w:val="clear" w:color="auto" w:fill="C2D69B" w:themeFill="accent3" w:themeFillTint="99"/>
            <w:vAlign w:val="center"/>
          </w:tcPr>
          <w:p w:rsidR="00812BC9" w:rsidRDefault="00812BC9" w:rsidP="0045541D">
            <w:pPr>
              <w:pStyle w:val="Sansinterligne"/>
              <w:jc w:val="center"/>
            </w:pPr>
            <w:r>
              <w:t>Leucémie</w:t>
            </w:r>
          </w:p>
        </w:tc>
        <w:tc>
          <w:tcPr>
            <w:tcW w:w="4211" w:type="dxa"/>
            <w:tcBorders>
              <w:right w:val="single" w:sz="4" w:space="0" w:color="FFFFFF" w:themeColor="background1"/>
            </w:tcBorders>
          </w:tcPr>
          <w:p w:rsidR="00812BC9" w:rsidRDefault="00812BC9" w:rsidP="005D429F">
            <w:pPr>
              <w:pStyle w:val="Sansinterligne"/>
              <w:numPr>
                <w:ilvl w:val="0"/>
                <w:numId w:val="1198"/>
              </w:numPr>
            </w:pPr>
            <w:r>
              <w:t>Surtout entre 2 et 5 ans</w:t>
            </w:r>
          </w:p>
          <w:p w:rsidR="00812BC9" w:rsidRDefault="00812BC9" w:rsidP="005D429F">
            <w:pPr>
              <w:pStyle w:val="Sansinterligne"/>
              <w:numPr>
                <w:ilvl w:val="0"/>
                <w:numId w:val="1198"/>
              </w:numPr>
            </w:pPr>
            <w:r>
              <w:t>Lymphadénopathies multiples</w:t>
            </w:r>
          </w:p>
          <w:p w:rsidR="00812BC9" w:rsidRDefault="00812BC9" w:rsidP="005D429F">
            <w:pPr>
              <w:pStyle w:val="Sansinterligne"/>
              <w:numPr>
                <w:ilvl w:val="0"/>
                <w:numId w:val="1198"/>
              </w:numPr>
            </w:pPr>
            <w:r>
              <w:t>Hépatosplénomégalie</w:t>
            </w:r>
          </w:p>
          <w:p w:rsidR="00812BC9" w:rsidRDefault="00812BC9" w:rsidP="005D429F">
            <w:pPr>
              <w:pStyle w:val="Sansinterligne"/>
              <w:numPr>
                <w:ilvl w:val="0"/>
                <w:numId w:val="1198"/>
              </w:numPr>
            </w:pPr>
            <w:r>
              <w:t>Sx B</w:t>
            </w:r>
          </w:p>
        </w:tc>
        <w:tc>
          <w:tcPr>
            <w:tcW w:w="4211" w:type="dxa"/>
            <w:tcBorders>
              <w:left w:val="single" w:sz="4" w:space="0" w:color="FFFFFF" w:themeColor="background1"/>
            </w:tcBorders>
          </w:tcPr>
          <w:p w:rsidR="00812BC9" w:rsidRDefault="00812BC9" w:rsidP="005D429F">
            <w:pPr>
              <w:pStyle w:val="Sansinterligne"/>
              <w:numPr>
                <w:ilvl w:val="0"/>
                <w:numId w:val="1198"/>
              </w:numPr>
            </w:pPr>
            <w:r>
              <w:t>Saignements faciles</w:t>
            </w:r>
          </w:p>
          <w:p w:rsidR="00812BC9" w:rsidRDefault="00812BC9" w:rsidP="005D429F">
            <w:pPr>
              <w:pStyle w:val="Sansinterligne"/>
              <w:numPr>
                <w:ilvl w:val="0"/>
                <w:numId w:val="1198"/>
              </w:numPr>
            </w:pPr>
            <w:r>
              <w:t>Détresse respiratoire</w:t>
            </w:r>
          </w:p>
          <w:p w:rsidR="00812BC9" w:rsidRDefault="00812BC9" w:rsidP="005D429F">
            <w:pPr>
              <w:pStyle w:val="Sansinterligne"/>
              <w:numPr>
                <w:ilvl w:val="0"/>
                <w:numId w:val="1198"/>
              </w:numPr>
            </w:pPr>
            <w:r>
              <w:t>Sx neuro</w:t>
            </w:r>
          </w:p>
          <w:p w:rsidR="00812BC9" w:rsidRDefault="00812BC9" w:rsidP="005D429F">
            <w:pPr>
              <w:pStyle w:val="Sansinterligne"/>
              <w:numPr>
                <w:ilvl w:val="0"/>
                <w:numId w:val="1198"/>
              </w:numPr>
            </w:pPr>
            <w:r>
              <w:t>Hyperleucocytose neutropénique (labos)</w:t>
            </w:r>
          </w:p>
        </w:tc>
      </w:tr>
      <w:tr w:rsidR="007E41C7" w:rsidTr="007E41C7">
        <w:tc>
          <w:tcPr>
            <w:tcW w:w="2518" w:type="dxa"/>
            <w:shd w:val="clear" w:color="auto" w:fill="C2D69B" w:themeFill="accent3" w:themeFillTint="99"/>
            <w:vAlign w:val="center"/>
          </w:tcPr>
          <w:p w:rsidR="007E41C7" w:rsidRDefault="007E41C7" w:rsidP="0045541D">
            <w:pPr>
              <w:pStyle w:val="Sansinterligne"/>
              <w:jc w:val="center"/>
            </w:pPr>
            <w:r>
              <w:t>Réaction post-vaccinale</w:t>
            </w:r>
          </w:p>
          <w:p w:rsidR="007E41C7" w:rsidRDefault="007E41C7" w:rsidP="0045541D">
            <w:pPr>
              <w:pStyle w:val="Sansinterligne"/>
              <w:jc w:val="center"/>
            </w:pPr>
            <w:r>
              <w:t>(réaction fébrile seulement)</w:t>
            </w:r>
          </w:p>
        </w:tc>
        <w:tc>
          <w:tcPr>
            <w:tcW w:w="4211" w:type="dxa"/>
            <w:tcBorders>
              <w:right w:val="single" w:sz="4" w:space="0" w:color="FFFFFF" w:themeColor="background1"/>
            </w:tcBorders>
          </w:tcPr>
          <w:p w:rsidR="007E41C7" w:rsidRDefault="007E41C7" w:rsidP="005D429F">
            <w:pPr>
              <w:pStyle w:val="Sansinterligne"/>
              <w:numPr>
                <w:ilvl w:val="0"/>
                <w:numId w:val="1199"/>
              </w:numPr>
            </w:pPr>
            <w:r>
              <w:t>Fièvre</w:t>
            </w:r>
          </w:p>
          <w:p w:rsidR="00985F32" w:rsidRDefault="007E41C7" w:rsidP="005D429F">
            <w:pPr>
              <w:pStyle w:val="Sansinterligne"/>
              <w:numPr>
                <w:ilvl w:val="0"/>
                <w:numId w:val="1199"/>
              </w:numPr>
            </w:pPr>
            <w:r>
              <w:t xml:space="preserve">Œdème </w:t>
            </w:r>
            <w:r w:rsidR="00985F32">
              <w:t>et érythème au site d’injection</w:t>
            </w:r>
          </w:p>
          <w:p w:rsidR="007E41C7" w:rsidRDefault="007E41C7" w:rsidP="005D429F">
            <w:pPr>
              <w:pStyle w:val="Sansinterligne"/>
              <w:numPr>
                <w:ilvl w:val="0"/>
                <w:numId w:val="1199"/>
              </w:numPr>
            </w:pPr>
            <w:r>
              <w:t>Douleur</w:t>
            </w:r>
          </w:p>
        </w:tc>
        <w:tc>
          <w:tcPr>
            <w:tcW w:w="4211" w:type="dxa"/>
            <w:tcBorders>
              <w:left w:val="single" w:sz="4" w:space="0" w:color="FFFFFF" w:themeColor="background1"/>
            </w:tcBorders>
          </w:tcPr>
          <w:p w:rsidR="007E41C7" w:rsidRDefault="007E41C7" w:rsidP="005D429F">
            <w:pPr>
              <w:pStyle w:val="Sansinterligne"/>
              <w:numPr>
                <w:ilvl w:val="0"/>
                <w:numId w:val="1199"/>
              </w:numPr>
            </w:pPr>
            <w:r>
              <w:t>Surtout avec vaccins contre diphtérie, coqueluche, tétanos (DCaT) et Rougeole, rubéole, oreillons (RRO)</w:t>
            </w:r>
          </w:p>
        </w:tc>
      </w:tr>
    </w:tbl>
    <w:p w:rsidR="007F5CFD" w:rsidRDefault="007F5CFD" w:rsidP="0045541D">
      <w:pPr>
        <w:pStyle w:val="Sansinterligne"/>
      </w:pPr>
    </w:p>
    <w:p w:rsidR="005306F5" w:rsidRDefault="005306F5" w:rsidP="0045541D">
      <w:pPr>
        <w:pStyle w:val="Sansinterligne"/>
      </w:pPr>
    </w:p>
    <w:p w:rsidR="007F5CFD" w:rsidRPr="0077663A" w:rsidRDefault="0045541D" w:rsidP="0045541D">
      <w:pPr>
        <w:pStyle w:val="Sansinterligne"/>
        <w:rPr>
          <w:b/>
          <w:sz w:val="28"/>
          <w:szCs w:val="28"/>
        </w:rPr>
      </w:pPr>
      <w:r w:rsidRPr="0077663A">
        <w:rPr>
          <w:b/>
          <w:sz w:val="28"/>
          <w:szCs w:val="28"/>
        </w:rPr>
        <w:t>Investigations</w:t>
      </w:r>
    </w:p>
    <w:p w:rsidR="00B61C5E" w:rsidRDefault="00B61C5E" w:rsidP="0045541D">
      <w:pPr>
        <w:pStyle w:val="Sansinterligne"/>
      </w:pPr>
    </w:p>
    <w:p w:rsidR="005760DE" w:rsidRDefault="005760DE" w:rsidP="005760DE">
      <w:pPr>
        <w:pStyle w:val="Sansinterligne"/>
        <w:rPr>
          <w:b/>
          <w:i/>
          <w:u w:val="single"/>
        </w:rPr>
        <w:sectPr w:rsidR="005760DE" w:rsidSect="00217865">
          <w:type w:val="continuous"/>
          <w:pgSz w:w="12240" w:h="15840"/>
          <w:pgMar w:top="720" w:right="720" w:bottom="720" w:left="720" w:header="708" w:footer="708" w:gutter="0"/>
          <w:cols w:space="708"/>
          <w:docGrid w:linePitch="360"/>
        </w:sectPr>
      </w:pPr>
    </w:p>
    <w:p w:rsidR="0045541D" w:rsidRPr="005760DE" w:rsidRDefault="00256324" w:rsidP="005760DE">
      <w:pPr>
        <w:pStyle w:val="Sansinterligne"/>
        <w:rPr>
          <w:b/>
          <w:i/>
          <w:u w:val="single"/>
        </w:rPr>
      </w:pPr>
      <w:r>
        <w:rPr>
          <w:b/>
          <w:i/>
          <w:u w:val="single"/>
        </w:rPr>
        <w:t xml:space="preserve">Normes de pratique - </w:t>
      </w:r>
      <w:r w:rsidR="00B61C5E" w:rsidRPr="005760DE">
        <w:rPr>
          <w:b/>
          <w:i/>
          <w:u w:val="single"/>
        </w:rPr>
        <w:t xml:space="preserve">Enfant </w:t>
      </w:r>
      <w:r w:rsidR="00B61C5E" w:rsidRPr="005760DE">
        <w:rPr>
          <w:rFonts w:ascii="Century Gothic" w:hAnsi="Century Gothic"/>
          <w:b/>
          <w:i/>
          <w:u w:val="single"/>
        </w:rPr>
        <w:t>&lt;</w:t>
      </w:r>
      <w:r w:rsidR="00B61C5E" w:rsidRPr="005760DE">
        <w:rPr>
          <w:b/>
          <w:i/>
          <w:u w:val="single"/>
        </w:rPr>
        <w:t xml:space="preserve"> 3 mois</w:t>
      </w:r>
    </w:p>
    <w:p w:rsidR="00B61C5E" w:rsidRDefault="00B61C5E" w:rsidP="005D429F">
      <w:pPr>
        <w:pStyle w:val="Sansinterligne"/>
        <w:numPr>
          <w:ilvl w:val="0"/>
          <w:numId w:val="1211"/>
        </w:numPr>
        <w:ind w:left="360"/>
      </w:pPr>
      <w:r>
        <w:t>FSC</w:t>
      </w:r>
      <w:r w:rsidR="00812BC9">
        <w:t>, frottis sanguin PRN</w:t>
      </w:r>
    </w:p>
    <w:p w:rsidR="00B61C5E" w:rsidRDefault="00B61C5E" w:rsidP="005D429F">
      <w:pPr>
        <w:pStyle w:val="Sansinterligne"/>
        <w:numPr>
          <w:ilvl w:val="0"/>
          <w:numId w:val="1211"/>
        </w:numPr>
        <w:ind w:left="360"/>
      </w:pPr>
      <w:r>
        <w:t>Hémoculture</w:t>
      </w:r>
    </w:p>
    <w:p w:rsidR="00B61C5E" w:rsidRDefault="00B61C5E" w:rsidP="005D429F">
      <w:pPr>
        <w:pStyle w:val="Sansinterligne"/>
        <w:numPr>
          <w:ilvl w:val="0"/>
          <w:numId w:val="1211"/>
        </w:numPr>
        <w:ind w:left="360"/>
      </w:pPr>
      <w:r>
        <w:t>SMU-DCA</w:t>
      </w:r>
    </w:p>
    <w:p w:rsidR="00B61C5E" w:rsidRDefault="00B61C5E" w:rsidP="005D429F">
      <w:pPr>
        <w:pStyle w:val="Sansinterligne"/>
        <w:numPr>
          <w:ilvl w:val="0"/>
          <w:numId w:val="1211"/>
        </w:numPr>
        <w:ind w:left="360"/>
      </w:pPr>
      <w:r>
        <w:t>Ponction lombaire et culture de LCR</w:t>
      </w:r>
    </w:p>
    <w:p w:rsidR="00B61C5E" w:rsidRDefault="00B61C5E" w:rsidP="005D429F">
      <w:pPr>
        <w:pStyle w:val="Sansinterligne"/>
        <w:numPr>
          <w:ilvl w:val="0"/>
          <w:numId w:val="1211"/>
        </w:numPr>
        <w:ind w:left="360"/>
      </w:pPr>
      <w:r>
        <w:t>RXP</w:t>
      </w:r>
    </w:p>
    <w:p w:rsidR="00B61C5E" w:rsidRDefault="00B61C5E" w:rsidP="005760DE">
      <w:pPr>
        <w:pStyle w:val="Sansinterligne"/>
      </w:pPr>
    </w:p>
    <w:p w:rsidR="005760DE" w:rsidRDefault="005760DE" w:rsidP="005760DE">
      <w:pPr>
        <w:pStyle w:val="Sansinterligne"/>
      </w:pPr>
    </w:p>
    <w:p w:rsidR="005760DE" w:rsidRDefault="005760DE" w:rsidP="005760DE">
      <w:pPr>
        <w:pStyle w:val="Sansinterligne"/>
      </w:pPr>
    </w:p>
    <w:p w:rsidR="00B61C5E" w:rsidRPr="005760DE" w:rsidRDefault="00256324" w:rsidP="005760DE">
      <w:pPr>
        <w:pStyle w:val="Sansinterligne"/>
        <w:rPr>
          <w:b/>
          <w:i/>
          <w:u w:val="single"/>
        </w:rPr>
      </w:pPr>
      <w:r>
        <w:rPr>
          <w:b/>
          <w:i/>
          <w:u w:val="single"/>
        </w:rPr>
        <w:t xml:space="preserve">Normes de pratique - </w:t>
      </w:r>
      <w:r w:rsidR="00B61C5E" w:rsidRPr="005760DE">
        <w:rPr>
          <w:b/>
          <w:i/>
          <w:u w:val="single"/>
        </w:rPr>
        <w:t xml:space="preserve">Enfants </w:t>
      </w:r>
      <w:r w:rsidR="00B61C5E" w:rsidRPr="005760DE">
        <w:rPr>
          <w:rFonts w:ascii="Century Gothic" w:hAnsi="Century Gothic"/>
          <w:b/>
          <w:i/>
          <w:u w:val="single"/>
        </w:rPr>
        <w:t>&gt;</w:t>
      </w:r>
      <w:r w:rsidR="00B61C5E" w:rsidRPr="005760DE">
        <w:rPr>
          <w:b/>
          <w:i/>
          <w:u w:val="single"/>
        </w:rPr>
        <w:t xml:space="preserve"> 3 mois -3 ans</w:t>
      </w:r>
    </w:p>
    <w:p w:rsidR="00B61C5E" w:rsidRDefault="00B61C5E" w:rsidP="005D429F">
      <w:pPr>
        <w:pStyle w:val="Sansinterligne"/>
        <w:numPr>
          <w:ilvl w:val="0"/>
          <w:numId w:val="1211"/>
        </w:numPr>
        <w:ind w:left="360"/>
      </w:pPr>
      <w:r>
        <w:t>Si bon état général, pas d’évidence de méningite</w:t>
      </w:r>
    </w:p>
    <w:p w:rsidR="00B61C5E" w:rsidRDefault="00B61C5E" w:rsidP="005D429F">
      <w:pPr>
        <w:pStyle w:val="Sansinterligne"/>
        <w:numPr>
          <w:ilvl w:val="0"/>
          <w:numId w:val="1211"/>
        </w:numPr>
        <w:ind w:left="360"/>
      </w:pPr>
      <w:r>
        <w:t>FSC</w:t>
      </w:r>
    </w:p>
    <w:p w:rsidR="00B61C5E" w:rsidRDefault="00B61C5E" w:rsidP="005D429F">
      <w:pPr>
        <w:pStyle w:val="Sansinterligne"/>
        <w:numPr>
          <w:ilvl w:val="0"/>
          <w:numId w:val="1211"/>
        </w:numPr>
        <w:ind w:left="360"/>
      </w:pPr>
      <w:r>
        <w:t>Hémoculture</w:t>
      </w:r>
    </w:p>
    <w:p w:rsidR="00B61C5E" w:rsidRDefault="00B61C5E" w:rsidP="005D429F">
      <w:pPr>
        <w:pStyle w:val="Sansinterligne"/>
        <w:numPr>
          <w:ilvl w:val="0"/>
          <w:numId w:val="1211"/>
        </w:numPr>
        <w:ind w:left="360"/>
      </w:pPr>
      <w:r>
        <w:t xml:space="preserve">SMU-DCA </w:t>
      </w:r>
      <w:r>
        <w:rPr>
          <w:rFonts w:cs="Times New Roman"/>
        </w:rPr>
        <w:t>±</w:t>
      </w:r>
      <w:r>
        <w:t xml:space="preserve"> RXP</w:t>
      </w:r>
    </w:p>
    <w:p w:rsidR="00B61C5E" w:rsidRDefault="00B61C5E" w:rsidP="005D429F">
      <w:pPr>
        <w:pStyle w:val="Sansinterligne"/>
        <w:numPr>
          <w:ilvl w:val="0"/>
          <w:numId w:val="1211"/>
        </w:numPr>
        <w:ind w:left="360"/>
      </w:pPr>
      <w:r>
        <w:t>Si altération de l’état général, atteinte purpurique ou suspicion de méningite</w:t>
      </w:r>
    </w:p>
    <w:p w:rsidR="00FA3646" w:rsidRDefault="00B61C5E" w:rsidP="005D429F">
      <w:pPr>
        <w:pStyle w:val="Sansinterligne"/>
        <w:numPr>
          <w:ilvl w:val="0"/>
          <w:numId w:val="1211"/>
        </w:numPr>
        <w:ind w:left="360"/>
      </w:pPr>
      <w:r>
        <w:t>Bilan complet avec Ponction lombaire et culture de LCR, RXP</w:t>
      </w:r>
    </w:p>
    <w:p w:rsidR="005760DE" w:rsidRDefault="005760DE" w:rsidP="00A56821">
      <w:pPr>
        <w:pStyle w:val="Sansinterligne"/>
        <w:sectPr w:rsidR="005760DE" w:rsidSect="005760DE">
          <w:type w:val="continuous"/>
          <w:pgSz w:w="12240" w:h="15840"/>
          <w:pgMar w:top="720" w:right="720" w:bottom="720" w:left="720" w:header="708" w:footer="708" w:gutter="0"/>
          <w:cols w:num="2" w:space="708"/>
          <w:docGrid w:linePitch="360"/>
        </w:sectPr>
      </w:pPr>
    </w:p>
    <w:p w:rsidR="008702E9" w:rsidRPr="00256324" w:rsidRDefault="00256324" w:rsidP="00256324">
      <w:pPr>
        <w:pStyle w:val="Sansinterligne"/>
        <w:rPr>
          <w:b/>
        </w:rPr>
      </w:pPr>
      <w:r w:rsidRPr="00256324">
        <w:rPr>
          <w:b/>
        </w:rPr>
        <w:t>Autres cas</w:t>
      </w:r>
    </w:p>
    <w:p w:rsidR="008702E9" w:rsidRDefault="005760DE" w:rsidP="005D429F">
      <w:pPr>
        <w:pStyle w:val="Sansinterligne"/>
        <w:numPr>
          <w:ilvl w:val="0"/>
          <w:numId w:val="1210"/>
        </w:numPr>
      </w:pPr>
      <w:r>
        <w:rPr>
          <w:noProof/>
          <w:lang w:eastAsia="fr-CA"/>
        </w:rPr>
        <mc:AlternateContent>
          <mc:Choice Requires="wps">
            <w:drawing>
              <wp:anchor distT="0" distB="0" distL="114300" distR="114300" simplePos="0" relativeHeight="252056576" behindDoc="0" locked="0" layoutInCell="1" allowOverlap="1" wp14:anchorId="5133BA58" wp14:editId="4880A5EC">
                <wp:simplePos x="0" y="0"/>
                <wp:positionH relativeFrom="column">
                  <wp:posOffset>3871595</wp:posOffset>
                </wp:positionH>
                <wp:positionV relativeFrom="paragraph">
                  <wp:posOffset>77470</wp:posOffset>
                </wp:positionV>
                <wp:extent cx="2869565" cy="1196340"/>
                <wp:effectExtent l="0" t="0" r="26035" b="22860"/>
                <wp:wrapNone/>
                <wp:docPr id="57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69565" cy="1196340"/>
                        </a:xfrm>
                        <a:prstGeom prst="rect">
                          <a:avLst/>
                        </a:prstGeom>
                        <a:solidFill>
                          <a:srgbClr val="FFC000"/>
                        </a:solidFill>
                        <a:ln w="9525">
                          <a:solidFill>
                            <a:srgbClr val="000000"/>
                          </a:solidFill>
                          <a:miter lim="800000"/>
                          <a:headEnd/>
                          <a:tailEnd/>
                        </a:ln>
                      </wps:spPr>
                      <wps:txbx>
                        <w:txbxContent>
                          <w:p w:rsidR="008276DC" w:rsidRPr="00E832B0" w:rsidRDefault="008276DC" w:rsidP="00E832B0">
                            <w:pPr>
                              <w:jc w:val="center"/>
                              <w:rPr>
                                <w:b/>
                              </w:rPr>
                            </w:pPr>
                            <w:r>
                              <w:rPr>
                                <w:b/>
                              </w:rPr>
                              <w:t>Survenue de l’exanthème par rapport à la fièvre</w:t>
                            </w:r>
                          </w:p>
                          <w:p w:rsidR="008276DC" w:rsidRDefault="008276DC" w:rsidP="00E832B0">
                            <w:pPr>
                              <w:jc w:val="center"/>
                            </w:pPr>
                            <w:r>
                              <w:t>Rubéole-Rougeole-Roséole</w:t>
                            </w:r>
                          </w:p>
                          <w:p w:rsidR="008276DC" w:rsidRDefault="008276DC" w:rsidP="00E832B0">
                            <w:pPr>
                              <w:jc w:val="center"/>
                            </w:pPr>
                            <w:r>
                              <w:t>(Avant-Simultané-Après)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41" type="#_x0000_t202" style="position:absolute;left:0;text-align:left;margin-left:304.85pt;margin-top:6.1pt;width:225.95pt;height:94.2pt;z-index:25205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" fillcolor="#ffc000">
                <v:textbox>
                  <w:txbxContent>
                    <w:p w:rsidR="008276DC" w:rsidRPr="00E832B0" w:rsidRDefault="008276DC" w:rsidP="00E832B0">
                      <w:pPr>
                        <w:jc w:val="center"/>
                        <w:rPr>
                          <w:b/>
                        </w:rPr>
                      </w:pPr>
                      <w:r>
                        <w:rPr>
                          <w:b/>
                        </w:rPr>
                        <w:t>Survenue de l’exanthème par rapport à la fièvre</w:t>
                      </w:r>
                    </w:p>
                    <w:p w:rsidR="008276DC" w:rsidRDefault="008276DC" w:rsidP="00E832B0">
                      <w:pPr>
                        <w:jc w:val="center"/>
                      </w:pPr>
                      <w:r>
                        <w:t>Rubéole-Rougeole-Roséole</w:t>
                      </w:r>
                    </w:p>
                    <w:p w:rsidR="008276DC" w:rsidRDefault="008276DC" w:rsidP="00E832B0">
                      <w:pPr>
                        <w:jc w:val="center"/>
                      </w:pPr>
                      <w:r>
                        <w:t>(Avant-Simultané-Après)</w:t>
                      </w:r>
                    </w:p>
                  </w:txbxContent>
                </v:textbox>
              </v:shape>
            </w:pict>
          </mc:Fallback>
        </mc:AlternateContent>
      </w:r>
      <w:r w:rsidR="008702E9">
        <w:t>FSC</w:t>
      </w:r>
      <w:r w:rsidR="0059492E">
        <w:t>, glycémie, ions, créatinine</w:t>
      </w:r>
    </w:p>
    <w:p w:rsidR="00FA3646" w:rsidRDefault="00C6143D" w:rsidP="005D429F">
      <w:pPr>
        <w:pStyle w:val="Sansinterligne"/>
        <w:numPr>
          <w:ilvl w:val="0"/>
          <w:numId w:val="1210"/>
        </w:numPr>
      </w:pPr>
      <w:r>
        <w:t>Échocardiaque (initial et suivi Kawasaki)</w:t>
      </w:r>
    </w:p>
    <w:p w:rsidR="00B61C5E" w:rsidRDefault="008702E9" w:rsidP="005D429F">
      <w:pPr>
        <w:pStyle w:val="Sansinterligne"/>
        <w:numPr>
          <w:ilvl w:val="0"/>
          <w:numId w:val="1210"/>
        </w:numPr>
      </w:pPr>
      <w:r>
        <w:t>Monotest (EBV)</w:t>
      </w:r>
    </w:p>
    <w:p w:rsidR="008702E9" w:rsidRDefault="00875460" w:rsidP="005D429F">
      <w:pPr>
        <w:pStyle w:val="Sansinterligne"/>
        <w:numPr>
          <w:ilvl w:val="0"/>
          <w:numId w:val="1210"/>
        </w:numPr>
      </w:pPr>
      <w:r>
        <w:t>Culture de gorge</w:t>
      </w:r>
      <w:r w:rsidR="00FE0450">
        <w:t xml:space="preserve"> (Monunucléose, pharyngite)</w:t>
      </w:r>
    </w:p>
    <w:p w:rsidR="00875460" w:rsidRDefault="00875460" w:rsidP="005D429F">
      <w:pPr>
        <w:pStyle w:val="Sansinterligne"/>
        <w:numPr>
          <w:ilvl w:val="0"/>
          <w:numId w:val="1210"/>
        </w:numPr>
      </w:pPr>
      <w:r>
        <w:t>RXP</w:t>
      </w:r>
      <w:r w:rsidR="00FE0450">
        <w:t xml:space="preserve"> (pneumonie)</w:t>
      </w:r>
    </w:p>
    <w:p w:rsidR="00812BC9" w:rsidRDefault="00812BC9" w:rsidP="005D429F">
      <w:pPr>
        <w:pStyle w:val="Sansinterligne"/>
        <w:numPr>
          <w:ilvl w:val="0"/>
          <w:numId w:val="1210"/>
        </w:numPr>
      </w:pPr>
      <w:r>
        <w:t xml:space="preserve">Aspiration médullaire, biopsie de moelle </w:t>
      </w:r>
      <w:r w:rsidR="00C6143D">
        <w:t>osseuse</w:t>
      </w:r>
      <w:r>
        <w:t xml:space="preserve"> (leucémie)</w:t>
      </w:r>
    </w:p>
    <w:p w:rsidR="008702E9" w:rsidRDefault="008702E9" w:rsidP="0045541D">
      <w:pPr>
        <w:pStyle w:val="Sansinterligne"/>
      </w:pPr>
    </w:p>
    <w:p w:rsidR="0090194C" w:rsidRPr="0090194C" w:rsidRDefault="0090194C" w:rsidP="00B61C5E">
      <w:pPr>
        <w:pStyle w:val="Sansinterligne"/>
        <w:rPr>
          <w:b/>
          <w:sz w:val="28"/>
          <w:szCs w:val="28"/>
        </w:rPr>
      </w:pPr>
      <w:r>
        <w:rPr>
          <w:b/>
          <w:sz w:val="28"/>
          <w:szCs w:val="28"/>
        </w:rPr>
        <w:t>Prise en charge</w:t>
      </w:r>
    </w:p>
    <w:p w:rsidR="0090194C" w:rsidRDefault="0090194C" w:rsidP="00B61C5E">
      <w:pPr>
        <w:pStyle w:val="Sansinterligne"/>
      </w:pPr>
    </w:p>
    <w:p w:rsidR="00BB55A4" w:rsidRDefault="00BB55A4" w:rsidP="00B61C5E">
      <w:pPr>
        <w:pStyle w:val="Sansinterligne"/>
        <w:rPr>
          <w:u w:val="single"/>
        </w:rPr>
        <w:sectPr w:rsidR="00BB55A4" w:rsidSect="00217865">
          <w:type w:val="continuous"/>
          <w:pgSz w:w="12240" w:h="15840"/>
          <w:pgMar w:top="720" w:right="720" w:bottom="720" w:left="720" w:header="708" w:footer="708" w:gutter="0"/>
          <w:cols w:space="708"/>
          <w:docGrid w:linePitch="360"/>
        </w:sectPr>
      </w:pPr>
    </w:p>
    <w:p w:rsidR="00B61C5E" w:rsidRPr="00BB55A4" w:rsidRDefault="00E662D0" w:rsidP="00B61C5E">
      <w:pPr>
        <w:pStyle w:val="Sansinterligne"/>
        <w:rPr>
          <w:u w:val="single"/>
        </w:rPr>
      </w:pPr>
      <w:r>
        <w:rPr>
          <w:u w:val="single"/>
        </w:rPr>
        <w:t xml:space="preserve">Normes - </w:t>
      </w:r>
      <w:r w:rsidR="00B61C5E" w:rsidRPr="00BB55A4">
        <w:rPr>
          <w:u w:val="single"/>
        </w:rPr>
        <w:t xml:space="preserve">Enfant </w:t>
      </w:r>
      <w:r w:rsidR="00B61C5E" w:rsidRPr="00BB55A4">
        <w:rPr>
          <w:rFonts w:ascii="Century Gothic" w:hAnsi="Century Gothic"/>
          <w:u w:val="single"/>
        </w:rPr>
        <w:t>&lt;</w:t>
      </w:r>
      <w:r w:rsidR="00B61C5E" w:rsidRPr="00BB55A4">
        <w:rPr>
          <w:u w:val="single"/>
        </w:rPr>
        <w:t xml:space="preserve"> 1 mois</w:t>
      </w:r>
    </w:p>
    <w:p w:rsidR="00B61C5E" w:rsidRDefault="00B61C5E" w:rsidP="0045541D">
      <w:pPr>
        <w:pStyle w:val="Sansinterligne"/>
      </w:pPr>
      <w:r>
        <w:t>Hospitalisation et antibiothérapie</w:t>
      </w:r>
    </w:p>
    <w:p w:rsidR="00B61C5E" w:rsidRDefault="00B61C5E" w:rsidP="0045541D">
      <w:pPr>
        <w:pStyle w:val="Sansinterligne"/>
      </w:pPr>
      <w:r>
        <w:t>Cesser si tous les bilans et l’anamnèse et l’E/P sont négatifs</w:t>
      </w:r>
    </w:p>
    <w:p w:rsidR="00B61C5E" w:rsidRDefault="00B61C5E" w:rsidP="0045541D">
      <w:pPr>
        <w:pStyle w:val="Sansinterligne"/>
      </w:pPr>
      <w:r>
        <w:t>Sinon, traiter la cause sous-jacente</w:t>
      </w:r>
    </w:p>
    <w:p w:rsidR="0090194C" w:rsidRDefault="0090194C" w:rsidP="0045541D">
      <w:pPr>
        <w:pStyle w:val="Sansinterligne"/>
      </w:pPr>
    </w:p>
    <w:p w:rsidR="00E662D0" w:rsidRDefault="00E662D0" w:rsidP="0045541D">
      <w:pPr>
        <w:pStyle w:val="Sansinterligne"/>
      </w:pPr>
    </w:p>
    <w:p w:rsidR="0090194C" w:rsidRPr="00BB55A4" w:rsidRDefault="00E662D0" w:rsidP="0090194C">
      <w:pPr>
        <w:pStyle w:val="Sansinterligne"/>
        <w:rPr>
          <w:u w:val="single"/>
        </w:rPr>
      </w:pPr>
      <w:r>
        <w:rPr>
          <w:u w:val="single"/>
        </w:rPr>
        <w:t xml:space="preserve">Normes - </w:t>
      </w:r>
      <w:r w:rsidR="0090194C" w:rsidRPr="00BB55A4">
        <w:rPr>
          <w:u w:val="single"/>
        </w:rPr>
        <w:t xml:space="preserve">Enfants </w:t>
      </w:r>
      <w:r w:rsidR="0090194C" w:rsidRPr="00BB55A4">
        <w:rPr>
          <w:rFonts w:ascii="Century Gothic" w:hAnsi="Century Gothic"/>
          <w:u w:val="single"/>
        </w:rPr>
        <w:t>&gt;</w:t>
      </w:r>
      <w:r w:rsidR="0090194C" w:rsidRPr="00BB55A4">
        <w:rPr>
          <w:u w:val="single"/>
        </w:rPr>
        <w:t xml:space="preserve"> 3 mois -3 ans</w:t>
      </w:r>
    </w:p>
    <w:p w:rsidR="00E662D0" w:rsidRDefault="00E662D0" w:rsidP="0045541D">
      <w:pPr>
        <w:pStyle w:val="Sansinterligne"/>
      </w:pPr>
      <w:r>
        <w:t xml:space="preserve">Congé et traitement </w:t>
      </w:r>
      <w:r w:rsidR="008C2B08">
        <w:t>symptomatique</w:t>
      </w:r>
      <w:r>
        <w:t xml:space="preserve"> </w:t>
      </w:r>
    </w:p>
    <w:p w:rsidR="0090194C" w:rsidRDefault="0090194C" w:rsidP="00E662D0">
      <w:pPr>
        <w:pStyle w:val="Sansinterligne"/>
        <w:ind w:left="708"/>
      </w:pPr>
      <w:r>
        <w:t>Si bon état général</w:t>
      </w:r>
      <w:r w:rsidR="00E662D0">
        <w:t xml:space="preserve"> +</w:t>
      </w:r>
    </w:p>
    <w:p w:rsidR="0090194C" w:rsidRDefault="0090194C" w:rsidP="00E662D0">
      <w:pPr>
        <w:pStyle w:val="Sansinterligne"/>
        <w:ind w:left="708"/>
      </w:pPr>
      <w:r>
        <w:t xml:space="preserve">Si GB </w:t>
      </w:r>
      <w:r>
        <w:rPr>
          <w:rFonts w:ascii="Century Gothic" w:hAnsi="Century Gothic"/>
        </w:rPr>
        <w:t>&lt;</w:t>
      </w:r>
      <w:r>
        <w:t xml:space="preserve"> 20</w:t>
      </w:r>
    </w:p>
    <w:p w:rsidR="0090194C" w:rsidRDefault="0090194C" w:rsidP="0045541D">
      <w:pPr>
        <w:pStyle w:val="Sansinterligne"/>
      </w:pPr>
      <w:r>
        <w:t xml:space="preserve">Suivi rapproché en externe si GB </w:t>
      </w:r>
      <w:r>
        <w:rPr>
          <w:rFonts w:ascii="Century Gothic" w:hAnsi="Century Gothic"/>
        </w:rPr>
        <w:t>&gt;</w:t>
      </w:r>
      <w:r>
        <w:t>20</w:t>
      </w:r>
    </w:p>
    <w:p w:rsidR="00BB55A4" w:rsidRDefault="0090194C" w:rsidP="0045541D">
      <w:pPr>
        <w:pStyle w:val="Sansinterligne"/>
        <w:sectPr w:rsidR="00BB55A4" w:rsidSect="00BB55A4">
          <w:type w:val="continuous"/>
          <w:pgSz w:w="12240" w:h="15840"/>
          <w:pgMar w:top="720" w:right="720" w:bottom="720" w:left="720" w:header="708" w:footer="708" w:gutter="0"/>
          <w:cols w:num="2" w:space="708"/>
          <w:docGrid w:linePitch="360"/>
        </w:sectPr>
      </w:pPr>
      <w:r>
        <w:t>Surv</w:t>
      </w:r>
      <w:r w:rsidR="00852A88">
        <w:t>eiller les résultats de culture</w:t>
      </w:r>
    </w:p>
    <w:p w:rsidR="00B61C5E" w:rsidRPr="0090194C" w:rsidRDefault="00DF7DEB" w:rsidP="0045541D">
      <w:pPr>
        <w:pStyle w:val="Sansinterligne"/>
        <w:rPr>
          <w:b/>
        </w:rPr>
      </w:pPr>
      <w:r>
        <w:rPr>
          <w:noProof/>
          <w:lang w:eastAsia="fr-CA"/>
        </w:rPr>
        <w:drawing>
          <wp:anchor distT="0" distB="0" distL="114300" distR="114300" simplePos="0" relativeHeight="252062720" behindDoc="0" locked="0" layoutInCell="1" allowOverlap="1" wp14:anchorId="0A6A346A" wp14:editId="27698CA4">
            <wp:simplePos x="0" y="0"/>
            <wp:positionH relativeFrom="column">
              <wp:posOffset>3963035</wp:posOffset>
            </wp:positionH>
            <wp:positionV relativeFrom="paragraph">
              <wp:posOffset>127635</wp:posOffset>
            </wp:positionV>
            <wp:extent cx="2912110" cy="3881120"/>
            <wp:effectExtent l="0" t="0" r="2540" b="5080"/>
            <wp:wrapNone/>
            <wp:docPr id="582" name="Image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ugeole 2.PNG"/>
                    <pic:cNvPicPr/>
                  </pic:nvPicPr>
                  <pic:blipFill>
                    <a:blip r:embed="rId376">
                      <a:extLst>
                        <a:ext uri="{28A0092B-C50C-407E-A947-70E740481C1C}">
                          <a14:useLocalDpi xmlns:a14="http://schemas.microsoft.com/office/drawing/2010/main" val="0"/>
                        </a:ext>
                      </a:extLst>
                    </a:blip>
                    <a:stretch>
                      <a:fillRect/>
                    </a:stretch>
                  </pic:blipFill>
                  <pic:spPr>
                    <a:xfrm>
                      <a:off x="0" y="0"/>
                      <a:ext cx="2912110" cy="3881120"/>
                    </a:xfrm>
                    <a:prstGeom prst="rect">
                      <a:avLst/>
                    </a:prstGeom>
                  </pic:spPr>
                </pic:pic>
              </a:graphicData>
            </a:graphic>
            <wp14:sizeRelH relativeFrom="page">
              <wp14:pctWidth>0</wp14:pctWidth>
            </wp14:sizeRelH>
            <wp14:sizeRelV relativeFrom="page">
              <wp14:pctHeight>0</wp14:pctHeight>
            </wp14:sizeRelV>
          </wp:anchor>
        </w:drawing>
      </w:r>
      <w:r w:rsidR="0090194C" w:rsidRPr="0090194C">
        <w:rPr>
          <w:b/>
        </w:rPr>
        <w:t>Coryza</w:t>
      </w:r>
    </w:p>
    <w:p w:rsidR="0090194C" w:rsidRDefault="0090194C" w:rsidP="005D429F">
      <w:pPr>
        <w:pStyle w:val="Sansinterligne"/>
        <w:numPr>
          <w:ilvl w:val="0"/>
          <w:numId w:val="1209"/>
        </w:numPr>
      </w:pPr>
      <w:r>
        <w:t>Rassurance des parents</w:t>
      </w:r>
    </w:p>
    <w:p w:rsidR="0090194C" w:rsidRDefault="0090194C" w:rsidP="005D429F">
      <w:pPr>
        <w:pStyle w:val="Sansinterligne"/>
        <w:numPr>
          <w:ilvl w:val="0"/>
          <w:numId w:val="1209"/>
        </w:numPr>
      </w:pPr>
      <w:r>
        <w:t>Expliquer que devrait se résoudre en 14 jours</w:t>
      </w:r>
    </w:p>
    <w:p w:rsidR="0090194C" w:rsidRDefault="0090194C" w:rsidP="005D429F">
      <w:pPr>
        <w:pStyle w:val="Sansinterligne"/>
        <w:numPr>
          <w:ilvl w:val="0"/>
          <w:numId w:val="1209"/>
        </w:numPr>
      </w:pPr>
      <w:r>
        <w:t>Acétaminophène PRN</w:t>
      </w:r>
    </w:p>
    <w:p w:rsidR="0090194C" w:rsidRDefault="0090194C" w:rsidP="005D429F">
      <w:pPr>
        <w:pStyle w:val="Sansinterligne"/>
        <w:numPr>
          <w:ilvl w:val="0"/>
          <w:numId w:val="1209"/>
        </w:numPr>
      </w:pPr>
      <w:r>
        <w:t>Hydratation adéquate</w:t>
      </w:r>
    </w:p>
    <w:p w:rsidR="0090194C" w:rsidRDefault="0090194C" w:rsidP="005D429F">
      <w:pPr>
        <w:pStyle w:val="Sansinterligne"/>
        <w:numPr>
          <w:ilvl w:val="0"/>
          <w:numId w:val="1209"/>
        </w:numPr>
      </w:pPr>
      <w:r>
        <w:t>Boire des liquides chauds</w:t>
      </w:r>
    </w:p>
    <w:p w:rsidR="0090194C" w:rsidRDefault="0090194C" w:rsidP="005D429F">
      <w:pPr>
        <w:pStyle w:val="Sansinterligne"/>
        <w:numPr>
          <w:ilvl w:val="0"/>
          <w:numId w:val="1209"/>
        </w:numPr>
      </w:pPr>
      <w:r>
        <w:t>Solution saline / douche nasale si souhaité</w:t>
      </w:r>
    </w:p>
    <w:p w:rsidR="00887FAB" w:rsidRDefault="00887FAB" w:rsidP="0045541D">
      <w:pPr>
        <w:pStyle w:val="Sansinterligne"/>
      </w:pPr>
    </w:p>
    <w:p w:rsidR="00887FAB" w:rsidRPr="005B397F" w:rsidRDefault="00887FAB" w:rsidP="0045541D">
      <w:pPr>
        <w:pStyle w:val="Sansinterligne"/>
        <w:rPr>
          <w:b/>
        </w:rPr>
      </w:pPr>
      <w:r w:rsidRPr="005B397F">
        <w:rPr>
          <w:b/>
        </w:rPr>
        <w:t>Rubéole</w:t>
      </w:r>
    </w:p>
    <w:p w:rsidR="00FA3646" w:rsidRDefault="00FA3646" w:rsidP="005D429F">
      <w:pPr>
        <w:pStyle w:val="Sansinterligne"/>
        <w:numPr>
          <w:ilvl w:val="0"/>
          <w:numId w:val="1208"/>
        </w:numPr>
      </w:pPr>
      <w:r>
        <w:t>Isolement contact et aérien</w:t>
      </w:r>
    </w:p>
    <w:p w:rsidR="00887FAB" w:rsidRDefault="00887FAB" w:rsidP="005D429F">
      <w:pPr>
        <w:pStyle w:val="Sansinterligne"/>
        <w:numPr>
          <w:ilvl w:val="0"/>
          <w:numId w:val="1208"/>
        </w:numPr>
      </w:pPr>
      <w:r>
        <w:t>Aucun traitement spécifique</w:t>
      </w:r>
    </w:p>
    <w:p w:rsidR="00887FAB" w:rsidRDefault="00887FAB" w:rsidP="005D429F">
      <w:pPr>
        <w:pStyle w:val="Sansinterligne"/>
        <w:numPr>
          <w:ilvl w:val="0"/>
          <w:numId w:val="1208"/>
        </w:numPr>
      </w:pPr>
      <w:r>
        <w:t>Traitement symptomatique</w:t>
      </w:r>
    </w:p>
    <w:p w:rsidR="00887FAB" w:rsidRDefault="00D44C4D" w:rsidP="005D429F">
      <w:pPr>
        <w:pStyle w:val="Sansinterligne"/>
        <w:numPr>
          <w:ilvl w:val="0"/>
          <w:numId w:val="1208"/>
        </w:numPr>
      </w:pPr>
      <w:r>
        <w:t xml:space="preserve">S’abstenir de tout contact avec une femme enceinte ou </w:t>
      </w:r>
      <w:r w:rsidR="00852A88">
        <w:t>en</w:t>
      </w:r>
      <w:r>
        <w:t xml:space="preserve"> devenir</w:t>
      </w:r>
    </w:p>
    <w:p w:rsidR="00B61C5E" w:rsidRPr="00852A88" w:rsidRDefault="00F017FD" w:rsidP="005D429F">
      <w:pPr>
        <w:pStyle w:val="Sansinterligne"/>
        <w:numPr>
          <w:ilvl w:val="0"/>
          <w:numId w:val="1208"/>
        </w:numPr>
        <w:rPr>
          <w:highlight w:val="yellow"/>
        </w:rPr>
      </w:pPr>
      <w:r w:rsidRPr="00852A88">
        <w:rPr>
          <w:highlight w:val="yellow"/>
        </w:rPr>
        <w:t>Déclaration à la Santé Publique (MADO)</w:t>
      </w:r>
    </w:p>
    <w:p w:rsidR="00F017FD" w:rsidRDefault="00F017FD" w:rsidP="0045541D">
      <w:pPr>
        <w:pStyle w:val="Sansinterligne"/>
      </w:pPr>
    </w:p>
    <w:p w:rsidR="00F017FD" w:rsidRPr="00852A88" w:rsidRDefault="00F017FD" w:rsidP="0045541D">
      <w:pPr>
        <w:pStyle w:val="Sansinterligne"/>
        <w:rPr>
          <w:b/>
          <w:highlight w:val="yellow"/>
        </w:rPr>
      </w:pPr>
      <w:r w:rsidRPr="00852A88">
        <w:rPr>
          <w:b/>
          <w:highlight w:val="yellow"/>
        </w:rPr>
        <w:t>Rougeole</w:t>
      </w:r>
    </w:p>
    <w:p w:rsidR="00FA3646" w:rsidRPr="00852A88" w:rsidRDefault="00FA3646" w:rsidP="005D429F">
      <w:pPr>
        <w:pStyle w:val="Sansinterligne"/>
        <w:numPr>
          <w:ilvl w:val="0"/>
          <w:numId w:val="1207"/>
        </w:numPr>
        <w:rPr>
          <w:highlight w:val="yellow"/>
        </w:rPr>
      </w:pPr>
      <w:r w:rsidRPr="00852A88">
        <w:rPr>
          <w:highlight w:val="yellow"/>
        </w:rPr>
        <w:t>Isolement contact et aérien ad 4 jours post-exanthème</w:t>
      </w:r>
    </w:p>
    <w:p w:rsidR="00FA3646" w:rsidRPr="00852A88" w:rsidRDefault="00FA3646" w:rsidP="005D429F">
      <w:pPr>
        <w:pStyle w:val="Sansinterligne"/>
        <w:numPr>
          <w:ilvl w:val="0"/>
          <w:numId w:val="1207"/>
        </w:numPr>
        <w:rPr>
          <w:highlight w:val="yellow"/>
        </w:rPr>
      </w:pPr>
      <w:r w:rsidRPr="00852A88">
        <w:rPr>
          <w:highlight w:val="yellow"/>
        </w:rPr>
        <w:t>Acétaminophène (antipyrétique)</w:t>
      </w:r>
    </w:p>
    <w:p w:rsidR="00FA3646" w:rsidRPr="00852A88" w:rsidRDefault="00FA3646" w:rsidP="005D429F">
      <w:pPr>
        <w:pStyle w:val="Sansinterligne"/>
        <w:numPr>
          <w:ilvl w:val="0"/>
          <w:numId w:val="1207"/>
        </w:numPr>
        <w:rPr>
          <w:highlight w:val="yellow"/>
        </w:rPr>
      </w:pPr>
      <w:r w:rsidRPr="00852A88">
        <w:rPr>
          <w:highlight w:val="yellow"/>
        </w:rPr>
        <w:t>Vitamine A PO 200 000 UI DIE x 2 jours (</w:t>
      </w:r>
      <w:r w:rsidRPr="00852A88">
        <w:rPr>
          <w:rFonts w:ascii="Century Gothic" w:hAnsi="Century Gothic"/>
          <w:highlight w:val="yellow"/>
        </w:rPr>
        <w:t>&gt;</w:t>
      </w:r>
      <w:r w:rsidRPr="00852A88">
        <w:rPr>
          <w:highlight w:val="yellow"/>
        </w:rPr>
        <w:t>1an)</w:t>
      </w:r>
    </w:p>
    <w:p w:rsidR="00FA3646" w:rsidRPr="00852A88" w:rsidRDefault="00FA3646" w:rsidP="005D429F">
      <w:pPr>
        <w:pStyle w:val="Sansinterligne"/>
        <w:numPr>
          <w:ilvl w:val="1"/>
          <w:numId w:val="1207"/>
        </w:numPr>
        <w:rPr>
          <w:highlight w:val="yellow"/>
        </w:rPr>
      </w:pPr>
      <w:r w:rsidRPr="00852A88">
        <w:rPr>
          <w:highlight w:val="yellow"/>
        </w:rPr>
        <w:t>100 000 UI (6 mois-1an)</w:t>
      </w:r>
    </w:p>
    <w:p w:rsidR="00FA3646" w:rsidRPr="00852A88" w:rsidRDefault="00FA3646" w:rsidP="005D429F">
      <w:pPr>
        <w:pStyle w:val="Sansinterligne"/>
        <w:numPr>
          <w:ilvl w:val="1"/>
          <w:numId w:val="1207"/>
        </w:numPr>
        <w:rPr>
          <w:highlight w:val="yellow"/>
        </w:rPr>
      </w:pPr>
      <w:r w:rsidRPr="00852A88">
        <w:rPr>
          <w:highlight w:val="yellow"/>
        </w:rPr>
        <w:t>50 000 UI (</w:t>
      </w:r>
      <w:r w:rsidRPr="00852A88">
        <w:rPr>
          <w:rFonts w:ascii="Century Gothic" w:hAnsi="Century Gothic"/>
          <w:highlight w:val="yellow"/>
        </w:rPr>
        <w:t>&lt;</w:t>
      </w:r>
      <w:r w:rsidRPr="00852A88">
        <w:rPr>
          <w:highlight w:val="yellow"/>
        </w:rPr>
        <w:t>6 mois)</w:t>
      </w:r>
    </w:p>
    <w:p w:rsidR="00FA3646" w:rsidRPr="00852A88" w:rsidRDefault="00FA3646" w:rsidP="005D429F">
      <w:pPr>
        <w:pStyle w:val="Sansinterligne"/>
        <w:numPr>
          <w:ilvl w:val="1"/>
          <w:numId w:val="1207"/>
        </w:numPr>
        <w:rPr>
          <w:highlight w:val="yellow"/>
        </w:rPr>
      </w:pPr>
      <w:r w:rsidRPr="00852A88">
        <w:rPr>
          <w:highlight w:val="yellow"/>
        </w:rPr>
        <w:t>Réduit la morbidité</w:t>
      </w:r>
    </w:p>
    <w:p w:rsidR="00FA3646" w:rsidRPr="00852A88" w:rsidRDefault="00FA3646" w:rsidP="005D429F">
      <w:pPr>
        <w:pStyle w:val="Sansinterligne"/>
        <w:numPr>
          <w:ilvl w:val="2"/>
          <w:numId w:val="1207"/>
        </w:numPr>
        <w:rPr>
          <w:highlight w:val="yellow"/>
        </w:rPr>
      </w:pPr>
      <w:r w:rsidRPr="00852A88">
        <w:rPr>
          <w:highlight w:val="yellow"/>
        </w:rPr>
        <w:t>Complications (encéphalites, pneumonies)</w:t>
      </w:r>
    </w:p>
    <w:p w:rsidR="00FA3646" w:rsidRPr="00852A88" w:rsidRDefault="00FA3646" w:rsidP="005D429F">
      <w:pPr>
        <w:pStyle w:val="Sansinterligne"/>
        <w:numPr>
          <w:ilvl w:val="0"/>
          <w:numId w:val="1207"/>
        </w:numPr>
        <w:rPr>
          <w:highlight w:val="yellow"/>
        </w:rPr>
      </w:pPr>
      <w:r w:rsidRPr="00852A88">
        <w:rPr>
          <w:highlight w:val="yellow"/>
        </w:rPr>
        <w:t xml:space="preserve">Vaccination post-exposition tout enfant </w:t>
      </w:r>
      <w:r w:rsidRPr="00852A88">
        <w:rPr>
          <w:rFonts w:ascii="Century Gothic" w:hAnsi="Century Gothic"/>
          <w:highlight w:val="yellow"/>
        </w:rPr>
        <w:t>&gt;</w:t>
      </w:r>
      <w:r w:rsidRPr="00852A88">
        <w:rPr>
          <w:highlight w:val="yellow"/>
        </w:rPr>
        <w:t xml:space="preserve"> 6 mois en contact</w:t>
      </w:r>
    </w:p>
    <w:p w:rsidR="00FA3646" w:rsidRPr="00852A88" w:rsidRDefault="00FA3646" w:rsidP="005D429F">
      <w:pPr>
        <w:pStyle w:val="Sansinterligne"/>
        <w:numPr>
          <w:ilvl w:val="0"/>
          <w:numId w:val="1207"/>
        </w:numPr>
        <w:rPr>
          <w:highlight w:val="yellow"/>
        </w:rPr>
      </w:pPr>
      <w:r w:rsidRPr="00852A88">
        <w:rPr>
          <w:highlight w:val="yellow"/>
        </w:rPr>
        <w:t>Vaccination des adultes/enfants non vaccinés</w:t>
      </w:r>
    </w:p>
    <w:p w:rsidR="00FA3646" w:rsidRPr="00852A88" w:rsidRDefault="00FA3646" w:rsidP="005D429F">
      <w:pPr>
        <w:pStyle w:val="Sansinterligne"/>
        <w:numPr>
          <w:ilvl w:val="0"/>
          <w:numId w:val="1207"/>
        </w:numPr>
        <w:rPr>
          <w:highlight w:val="yellow"/>
        </w:rPr>
      </w:pPr>
      <w:r w:rsidRPr="00852A88">
        <w:rPr>
          <w:highlight w:val="yellow"/>
        </w:rPr>
        <w:t>Déclaration à la Santé Publique (MADO)</w:t>
      </w:r>
    </w:p>
    <w:p w:rsidR="00FA3646" w:rsidRDefault="00FA3646" w:rsidP="0045541D">
      <w:pPr>
        <w:pStyle w:val="Sansinterligne"/>
      </w:pPr>
    </w:p>
    <w:p w:rsidR="005275E1" w:rsidRDefault="005275E1" w:rsidP="0045541D">
      <w:pPr>
        <w:pStyle w:val="Sansinterligne"/>
        <w:rPr>
          <w:b/>
        </w:rPr>
        <w:sectPr w:rsidR="005275E1" w:rsidSect="00217865">
          <w:type w:val="continuous"/>
          <w:pgSz w:w="12240" w:h="15840"/>
          <w:pgMar w:top="720" w:right="720" w:bottom="720" w:left="720" w:header="708" w:footer="708" w:gutter="0"/>
          <w:cols w:space="708"/>
          <w:docGrid w:linePitch="360"/>
        </w:sectPr>
      </w:pPr>
    </w:p>
    <w:p w:rsidR="00FA3646" w:rsidRPr="005B397F" w:rsidRDefault="00EA03A6" w:rsidP="0045541D">
      <w:pPr>
        <w:pStyle w:val="Sansinterligne"/>
        <w:rPr>
          <w:b/>
        </w:rPr>
      </w:pPr>
      <w:r w:rsidRPr="005B397F">
        <w:rPr>
          <w:b/>
        </w:rPr>
        <w:t>Roséole</w:t>
      </w:r>
    </w:p>
    <w:p w:rsidR="00EA03A6" w:rsidRDefault="00EA03A6" w:rsidP="005D429F">
      <w:pPr>
        <w:pStyle w:val="Sansinterligne"/>
        <w:numPr>
          <w:ilvl w:val="0"/>
          <w:numId w:val="1206"/>
        </w:numPr>
      </w:pPr>
      <w:r>
        <w:t>Traitement symptomatique</w:t>
      </w:r>
    </w:p>
    <w:p w:rsidR="00EA03A6" w:rsidRDefault="00EA03A6" w:rsidP="005D429F">
      <w:pPr>
        <w:pStyle w:val="Sansinterligne"/>
        <w:numPr>
          <w:ilvl w:val="0"/>
          <w:numId w:val="1206"/>
        </w:numPr>
      </w:pPr>
      <w:r>
        <w:t>Réhydratation, acétaminophène</w:t>
      </w:r>
    </w:p>
    <w:p w:rsidR="00EA03A6" w:rsidRDefault="00EA03A6" w:rsidP="005D429F">
      <w:pPr>
        <w:pStyle w:val="Sansinterligne"/>
        <w:numPr>
          <w:ilvl w:val="0"/>
          <w:numId w:val="1206"/>
        </w:numPr>
      </w:pPr>
      <w:r>
        <w:t>S’assurer de ne pas confondre avec réaction aux ATB</w:t>
      </w:r>
    </w:p>
    <w:p w:rsidR="00852A88" w:rsidRDefault="00852A88" w:rsidP="00852A88">
      <w:pPr>
        <w:pStyle w:val="Sansinterligne"/>
        <w:ind w:left="360"/>
      </w:pPr>
    </w:p>
    <w:p w:rsidR="00F2659F" w:rsidRDefault="00F2659F" w:rsidP="0045541D">
      <w:pPr>
        <w:pStyle w:val="Sansinterligne"/>
      </w:pPr>
    </w:p>
    <w:p w:rsidR="00F2659F" w:rsidRPr="005B397F" w:rsidRDefault="007E247F" w:rsidP="0045541D">
      <w:pPr>
        <w:pStyle w:val="Sansinterligne"/>
        <w:rPr>
          <w:b/>
        </w:rPr>
      </w:pPr>
      <w:r w:rsidRPr="005B397F">
        <w:rPr>
          <w:b/>
        </w:rPr>
        <w:t>Syndrome de Gianotti-Crosti</w:t>
      </w:r>
    </w:p>
    <w:p w:rsidR="007E247F" w:rsidRDefault="007E247F" w:rsidP="005D429F">
      <w:pPr>
        <w:pStyle w:val="Sansinterligne"/>
        <w:numPr>
          <w:ilvl w:val="0"/>
          <w:numId w:val="1205"/>
        </w:numPr>
      </w:pPr>
      <w:r>
        <w:t>Traitement symptomatique</w:t>
      </w:r>
    </w:p>
    <w:p w:rsidR="007E247F" w:rsidRDefault="007E247F" w:rsidP="005D429F">
      <w:pPr>
        <w:pStyle w:val="Sansinterligne"/>
        <w:numPr>
          <w:ilvl w:val="0"/>
          <w:numId w:val="1205"/>
        </w:numPr>
      </w:pPr>
      <w:r>
        <w:t>Réhydratation, acétaminophène</w:t>
      </w:r>
    </w:p>
    <w:p w:rsidR="005275E1" w:rsidRDefault="005B397F" w:rsidP="005D429F">
      <w:pPr>
        <w:pStyle w:val="Sansinterligne"/>
        <w:numPr>
          <w:ilvl w:val="0"/>
          <w:numId w:val="1205"/>
        </w:numPr>
        <w:rPr>
          <w:rFonts w:cs="Times New Roman"/>
        </w:rPr>
        <w:sectPr w:rsidR="005275E1" w:rsidSect="005275E1">
          <w:type w:val="continuous"/>
          <w:pgSz w:w="12240" w:h="15840"/>
          <w:pgMar w:top="720" w:right="720" w:bottom="720" w:left="720" w:header="708" w:footer="708" w:gutter="0"/>
          <w:cols w:num="2" w:space="708"/>
          <w:docGrid w:linePitch="360"/>
        </w:sectPr>
      </w:pPr>
      <w:r>
        <w:t xml:space="preserve">Résolution en </w:t>
      </w:r>
      <w:r w:rsidR="005275E1">
        <w:rPr>
          <w:rFonts w:cs="Times New Roman"/>
        </w:rPr>
        <w:t>3-12 semaine</w:t>
      </w:r>
      <w:r w:rsidR="00852A88">
        <w:rPr>
          <w:rFonts w:cs="Times New Roman"/>
        </w:rPr>
        <w:t>s</w:t>
      </w:r>
    </w:p>
    <w:p w:rsidR="005B397F" w:rsidRPr="005B397F" w:rsidRDefault="005B397F" w:rsidP="0045541D">
      <w:pPr>
        <w:pStyle w:val="Sansinterligne"/>
        <w:rPr>
          <w:b/>
        </w:rPr>
      </w:pPr>
      <w:r w:rsidRPr="005B397F">
        <w:rPr>
          <w:b/>
        </w:rPr>
        <w:t>Pieds-Mains-Bouche</w:t>
      </w:r>
      <w:r w:rsidR="00A3641F">
        <w:rPr>
          <w:b/>
        </w:rPr>
        <w:t xml:space="preserve"> / He</w:t>
      </w:r>
      <w:r w:rsidR="00A56821">
        <w:rPr>
          <w:b/>
        </w:rPr>
        <w:t>r</w:t>
      </w:r>
      <w:r w:rsidR="00A3641F">
        <w:rPr>
          <w:b/>
        </w:rPr>
        <w:t>pangine</w:t>
      </w:r>
    </w:p>
    <w:p w:rsidR="005B397F" w:rsidRDefault="005B397F" w:rsidP="005D429F">
      <w:pPr>
        <w:pStyle w:val="Sansinterligne"/>
        <w:numPr>
          <w:ilvl w:val="0"/>
          <w:numId w:val="1203"/>
        </w:numPr>
      </w:pPr>
      <w:r>
        <w:t>Traitement symptomatique</w:t>
      </w:r>
    </w:p>
    <w:p w:rsidR="005B397F" w:rsidRDefault="005B397F" w:rsidP="005D429F">
      <w:pPr>
        <w:pStyle w:val="Sansinterligne"/>
        <w:numPr>
          <w:ilvl w:val="0"/>
          <w:numId w:val="1203"/>
        </w:numPr>
      </w:pPr>
      <w:r>
        <w:t>Réhydratation, acétaminophène</w:t>
      </w:r>
    </w:p>
    <w:p w:rsidR="005B397F" w:rsidRDefault="005B397F" w:rsidP="005D429F">
      <w:pPr>
        <w:pStyle w:val="Sansinterligne"/>
        <w:numPr>
          <w:ilvl w:val="0"/>
          <w:numId w:val="1203"/>
        </w:numPr>
      </w:pPr>
      <w:r>
        <w:t xml:space="preserve">Résolution en </w:t>
      </w:r>
      <w:r>
        <w:rPr>
          <w:rFonts w:cs="Times New Roman"/>
        </w:rPr>
        <w:t>~</w:t>
      </w:r>
      <w:r>
        <w:t xml:space="preserve"> 10 jours</w:t>
      </w:r>
    </w:p>
    <w:p w:rsidR="00591488" w:rsidRDefault="00591488" w:rsidP="005D429F">
      <w:pPr>
        <w:pStyle w:val="Sansinterligne"/>
        <w:numPr>
          <w:ilvl w:val="0"/>
          <w:numId w:val="1203"/>
        </w:numPr>
      </w:pPr>
      <w:r>
        <w:t xml:space="preserve">Très contagieux (contact) </w:t>
      </w:r>
      <w:r>
        <w:rPr>
          <w:rFonts w:ascii="Century Gothic" w:hAnsi="Century Gothic"/>
        </w:rPr>
        <w:t>→</w:t>
      </w:r>
      <w:r>
        <w:t xml:space="preserve"> isolement contact</w:t>
      </w:r>
    </w:p>
    <w:p w:rsidR="005B397F" w:rsidRPr="00852A88" w:rsidRDefault="00A3641F" w:rsidP="005D429F">
      <w:pPr>
        <w:pStyle w:val="Sansinterligne"/>
        <w:numPr>
          <w:ilvl w:val="0"/>
          <w:numId w:val="1203"/>
        </w:numPr>
        <w:rPr>
          <w:highlight w:val="yellow"/>
        </w:rPr>
      </w:pPr>
      <w:r w:rsidRPr="00852A88">
        <w:rPr>
          <w:highlight w:val="yellow"/>
        </w:rPr>
        <w:t>Hospitalisation si incapable de s’hydrate</w:t>
      </w:r>
      <w:r w:rsidR="005275E1" w:rsidRPr="00852A88">
        <w:rPr>
          <w:highlight w:val="yellow"/>
        </w:rPr>
        <w:t>r ou complication (encéphalite)</w:t>
      </w:r>
    </w:p>
    <w:p w:rsidR="00721A16" w:rsidRPr="00721A16" w:rsidRDefault="00721A16" w:rsidP="0045541D">
      <w:pPr>
        <w:pStyle w:val="Sansinterligne"/>
        <w:rPr>
          <w:b/>
        </w:rPr>
      </w:pPr>
      <w:r w:rsidRPr="00721A16">
        <w:rPr>
          <w:b/>
        </w:rPr>
        <w:t>Cinquième maladie</w:t>
      </w:r>
    </w:p>
    <w:p w:rsidR="00721A16" w:rsidRDefault="00721A16" w:rsidP="005D429F">
      <w:pPr>
        <w:pStyle w:val="Sansinterligne"/>
        <w:numPr>
          <w:ilvl w:val="0"/>
          <w:numId w:val="1204"/>
        </w:numPr>
      </w:pPr>
      <w:r>
        <w:t>Antihistaminiques si prurit sévère</w:t>
      </w:r>
    </w:p>
    <w:p w:rsidR="00721A16" w:rsidRPr="00852A88" w:rsidRDefault="00721A16" w:rsidP="005D429F">
      <w:pPr>
        <w:pStyle w:val="Sansinterligne"/>
        <w:numPr>
          <w:ilvl w:val="0"/>
          <w:numId w:val="1204"/>
        </w:numPr>
        <w:rPr>
          <w:u w:val="single"/>
        </w:rPr>
      </w:pPr>
      <w:r w:rsidRPr="00852A88">
        <w:rPr>
          <w:u w:val="single"/>
        </w:rPr>
        <w:t>FS</w:t>
      </w:r>
      <w:r w:rsidR="00852A88" w:rsidRPr="00852A88">
        <w:rPr>
          <w:u w:val="single"/>
        </w:rPr>
        <w:t>C</w:t>
      </w:r>
      <w:r w:rsidRPr="00852A88">
        <w:rPr>
          <w:u w:val="single"/>
        </w:rPr>
        <w:t xml:space="preserve"> chez patients avec anémie hémolytique, anémie falciforme ou immunodéprimé</w:t>
      </w:r>
    </w:p>
    <w:p w:rsidR="005275E1" w:rsidRDefault="00721A16" w:rsidP="005D429F">
      <w:pPr>
        <w:pStyle w:val="Sansinterligne"/>
        <w:numPr>
          <w:ilvl w:val="1"/>
          <w:numId w:val="1204"/>
        </w:numPr>
        <w:sectPr w:rsidR="005275E1" w:rsidSect="005275E1">
          <w:type w:val="continuous"/>
          <w:pgSz w:w="12240" w:h="15840"/>
          <w:pgMar w:top="720" w:right="720" w:bottom="720" w:left="720" w:header="708" w:footer="708" w:gutter="0"/>
          <w:cols w:num="2" w:space="708"/>
          <w:docGrid w:linePitch="360"/>
        </w:sectPr>
      </w:pPr>
      <w:r>
        <w:t xml:space="preserve">Surveillance, car </w:t>
      </w:r>
      <w:r w:rsidRPr="00852A88">
        <w:rPr>
          <w:u w:val="single"/>
        </w:rPr>
        <w:t xml:space="preserve">risque de crise </w:t>
      </w:r>
      <w:r w:rsidR="00390C38" w:rsidRPr="00852A88">
        <w:rPr>
          <w:u w:val="single"/>
        </w:rPr>
        <w:t xml:space="preserve">de moelle </w:t>
      </w:r>
      <w:r w:rsidRPr="00852A88">
        <w:rPr>
          <w:u w:val="single"/>
        </w:rPr>
        <w:t>aplastique</w:t>
      </w:r>
      <w:r>
        <w:t xml:space="preserve"> nécessitant transfusions</w:t>
      </w:r>
    </w:p>
    <w:p w:rsidR="00721A16" w:rsidRDefault="00721A16" w:rsidP="00721A16">
      <w:pPr>
        <w:pStyle w:val="Sansinterligne"/>
      </w:pPr>
    </w:p>
    <w:p w:rsidR="00390C38" w:rsidRPr="00852A88" w:rsidRDefault="00390C38" w:rsidP="0045541D">
      <w:pPr>
        <w:pStyle w:val="Sansinterligne"/>
        <w:rPr>
          <w:b/>
          <w:highlight w:val="yellow"/>
        </w:rPr>
      </w:pPr>
      <w:r w:rsidRPr="00852A88">
        <w:rPr>
          <w:b/>
          <w:highlight w:val="yellow"/>
        </w:rPr>
        <w:t>Varicelle</w:t>
      </w:r>
    </w:p>
    <w:p w:rsidR="00390C38" w:rsidRPr="00852A88" w:rsidRDefault="00390C38" w:rsidP="005D429F">
      <w:pPr>
        <w:pStyle w:val="Sansinterligne"/>
        <w:numPr>
          <w:ilvl w:val="0"/>
          <w:numId w:val="1202"/>
        </w:numPr>
        <w:rPr>
          <w:highlight w:val="yellow"/>
        </w:rPr>
      </w:pPr>
      <w:r w:rsidRPr="00852A88">
        <w:rPr>
          <w:highlight w:val="yellow"/>
        </w:rPr>
        <w:t>Isolement contact / aérien (peut être à domicile)</w:t>
      </w:r>
    </w:p>
    <w:p w:rsidR="00390C38" w:rsidRPr="00852A88" w:rsidRDefault="00390C38" w:rsidP="005D429F">
      <w:pPr>
        <w:pStyle w:val="Sansinterligne"/>
        <w:numPr>
          <w:ilvl w:val="0"/>
          <w:numId w:val="1202"/>
        </w:numPr>
        <w:rPr>
          <w:highlight w:val="yellow"/>
        </w:rPr>
      </w:pPr>
      <w:r w:rsidRPr="00852A88">
        <w:rPr>
          <w:highlight w:val="yellow"/>
        </w:rPr>
        <w:t>Antihistaminiques</w:t>
      </w:r>
    </w:p>
    <w:tbl>
      <w:tblPr>
        <w:tblStyle w:val="Grilledutableau"/>
        <w:tblpPr w:leftFromText="141" w:rightFromText="141" w:vertAnchor="text" w:horzAnchor="margin" w:tblpXSpec="right" w:tblpY="69"/>
        <w:tblW w:w="0" w:type="auto"/>
        <w:tblLook w:val="04A0" w:firstRow="1" w:lastRow="0" w:firstColumn="1" w:lastColumn="0" w:noHBand="0" w:noVBand="1"/>
      </w:tblPr>
      <w:tblGrid>
        <w:gridCol w:w="1384"/>
        <w:gridCol w:w="1701"/>
        <w:gridCol w:w="1561"/>
      </w:tblGrid>
      <w:tr w:rsidR="000E21E1" w:rsidTr="000E21E1">
        <w:tc>
          <w:tcPr>
            <w:tcW w:w="4646" w:type="dxa"/>
            <w:gridSpan w:val="3"/>
            <w:shd w:val="clear" w:color="auto" w:fill="FFC000"/>
          </w:tcPr>
          <w:p w:rsidR="000E21E1" w:rsidRPr="000E21E1" w:rsidRDefault="000E21E1" w:rsidP="000E21E1">
            <w:pPr>
              <w:pStyle w:val="Sansinterligne"/>
              <w:jc w:val="center"/>
              <w:rPr>
                <w:b/>
              </w:rPr>
            </w:pPr>
            <w:r w:rsidRPr="000E21E1">
              <w:rPr>
                <w:b/>
              </w:rPr>
              <w:t>Interprétation du LCR</w:t>
            </w:r>
          </w:p>
        </w:tc>
      </w:tr>
      <w:tr w:rsidR="000E21E1" w:rsidTr="000E21E1">
        <w:tc>
          <w:tcPr>
            <w:tcW w:w="1384" w:type="dxa"/>
            <w:shd w:val="clear" w:color="auto" w:fill="C2D69B" w:themeFill="accent3" w:themeFillTint="99"/>
            <w:vAlign w:val="center"/>
          </w:tcPr>
          <w:p w:rsidR="000E21E1" w:rsidRDefault="000E21E1" w:rsidP="000E21E1">
            <w:pPr>
              <w:pStyle w:val="Sansinterligne"/>
              <w:jc w:val="center"/>
            </w:pPr>
            <w:r>
              <w:t>Normal</w:t>
            </w:r>
          </w:p>
        </w:tc>
        <w:tc>
          <w:tcPr>
            <w:tcW w:w="1701" w:type="dxa"/>
          </w:tcPr>
          <w:p w:rsidR="000E21E1" w:rsidRDefault="000E21E1" w:rsidP="000E21E1">
            <w:pPr>
              <w:pStyle w:val="Sansinterligne"/>
            </w:pPr>
            <w:r w:rsidRPr="000E21E1">
              <w:rPr>
                <w:highlight w:val="yellow"/>
              </w:rPr>
              <w:t>Neutrophiles</w:t>
            </w:r>
            <w:r>
              <w:t xml:space="preserve"> </w:t>
            </w:r>
          </w:p>
          <w:p w:rsidR="000E21E1" w:rsidRDefault="000E21E1" w:rsidP="000E21E1">
            <w:pPr>
              <w:pStyle w:val="Sansinterligne"/>
            </w:pPr>
            <w:r w:rsidRPr="000E21E1">
              <w:rPr>
                <w:highlight w:val="yellow"/>
              </w:rPr>
              <w:t>Glycorrachie</w:t>
            </w:r>
            <w:r>
              <w:t xml:space="preserve"> </w:t>
            </w:r>
          </w:p>
          <w:p w:rsidR="000E21E1" w:rsidRDefault="000E21E1" w:rsidP="000E21E1">
            <w:pPr>
              <w:pStyle w:val="Sansinterligne"/>
            </w:pPr>
            <w:r>
              <w:t xml:space="preserve">Protéines </w:t>
            </w:r>
          </w:p>
          <w:p w:rsidR="000E21E1" w:rsidRDefault="000E21E1" w:rsidP="000E21E1">
            <w:pPr>
              <w:pStyle w:val="Sansinterligne"/>
            </w:pPr>
            <w:r>
              <w:t>Globules rouges</w:t>
            </w:r>
          </w:p>
        </w:tc>
        <w:tc>
          <w:tcPr>
            <w:tcW w:w="1561" w:type="dxa"/>
          </w:tcPr>
          <w:p w:rsidR="000E21E1" w:rsidRPr="000E21E1" w:rsidRDefault="000E21E1" w:rsidP="000E21E1">
            <w:pPr>
              <w:pStyle w:val="Sansinterligne"/>
              <w:rPr>
                <w:highlight w:val="yellow"/>
              </w:rPr>
            </w:pPr>
            <w:r w:rsidRPr="000E21E1">
              <w:rPr>
                <w:highlight w:val="yellow"/>
              </w:rPr>
              <w:t>0</w:t>
            </w:r>
          </w:p>
          <w:p w:rsidR="000E21E1" w:rsidRDefault="000E21E1" w:rsidP="000E21E1">
            <w:pPr>
              <w:pStyle w:val="Sansinterligne"/>
            </w:pPr>
            <w:r w:rsidRPr="000E21E1">
              <w:rPr>
                <w:highlight w:val="yellow"/>
              </w:rPr>
              <w:t>2,2-4,4</w:t>
            </w:r>
          </w:p>
          <w:p w:rsidR="000E21E1" w:rsidRDefault="000E21E1" w:rsidP="000E21E1">
            <w:pPr>
              <w:pStyle w:val="Sansinterligne"/>
            </w:pPr>
            <w:r>
              <w:t>0,2-0,3</w:t>
            </w:r>
          </w:p>
          <w:p w:rsidR="000E21E1" w:rsidRDefault="000E21E1" w:rsidP="000E21E1">
            <w:pPr>
              <w:pStyle w:val="Sansinterligne"/>
            </w:pPr>
            <w:r>
              <w:t>0-2</w:t>
            </w:r>
          </w:p>
        </w:tc>
      </w:tr>
      <w:tr w:rsidR="000E21E1" w:rsidTr="000E21E1">
        <w:tc>
          <w:tcPr>
            <w:tcW w:w="1384" w:type="dxa"/>
            <w:shd w:val="clear" w:color="auto" w:fill="C2D69B" w:themeFill="accent3" w:themeFillTint="99"/>
            <w:vAlign w:val="center"/>
          </w:tcPr>
          <w:p w:rsidR="000E21E1" w:rsidRDefault="000E21E1" w:rsidP="000E21E1">
            <w:pPr>
              <w:pStyle w:val="Sansinterligne"/>
              <w:jc w:val="center"/>
            </w:pPr>
            <w:r>
              <w:t>Méningite virale</w:t>
            </w:r>
          </w:p>
        </w:tc>
        <w:tc>
          <w:tcPr>
            <w:tcW w:w="1701" w:type="dxa"/>
          </w:tcPr>
          <w:p w:rsidR="000E21E1" w:rsidRPr="000E21E1" w:rsidRDefault="000E21E1" w:rsidP="000E21E1">
            <w:pPr>
              <w:pStyle w:val="Sansinterligne"/>
              <w:rPr>
                <w:highlight w:val="yellow"/>
              </w:rPr>
            </w:pPr>
            <w:r w:rsidRPr="000E21E1">
              <w:rPr>
                <w:highlight w:val="yellow"/>
              </w:rPr>
              <w:t xml:space="preserve">Neutrophiles </w:t>
            </w:r>
          </w:p>
          <w:p w:rsidR="000E21E1" w:rsidRDefault="000E21E1" w:rsidP="000E21E1">
            <w:pPr>
              <w:pStyle w:val="Sansinterligne"/>
            </w:pPr>
            <w:r w:rsidRPr="000E21E1">
              <w:rPr>
                <w:highlight w:val="yellow"/>
              </w:rPr>
              <w:t>Glycorrachie</w:t>
            </w:r>
            <w:r>
              <w:t xml:space="preserve"> </w:t>
            </w:r>
          </w:p>
          <w:p w:rsidR="000E21E1" w:rsidRDefault="000E21E1" w:rsidP="000E21E1">
            <w:pPr>
              <w:pStyle w:val="Sansinterligne"/>
            </w:pPr>
            <w:r>
              <w:t xml:space="preserve">Protéines </w:t>
            </w:r>
          </w:p>
          <w:p w:rsidR="000E21E1" w:rsidRDefault="000E21E1" w:rsidP="000E21E1">
            <w:pPr>
              <w:pStyle w:val="Sansinterligne"/>
            </w:pPr>
            <w:r>
              <w:t>Globules rouges</w:t>
            </w:r>
          </w:p>
        </w:tc>
        <w:tc>
          <w:tcPr>
            <w:tcW w:w="1561" w:type="dxa"/>
          </w:tcPr>
          <w:p w:rsidR="000E21E1" w:rsidRPr="000E21E1" w:rsidRDefault="000E21E1" w:rsidP="000E21E1">
            <w:pPr>
              <w:pStyle w:val="Sansinterligne"/>
              <w:rPr>
                <w:highlight w:val="yellow"/>
              </w:rPr>
            </w:pPr>
            <w:r w:rsidRPr="000E21E1">
              <w:rPr>
                <w:rFonts w:ascii="Century Gothic" w:hAnsi="Century Gothic"/>
                <w:highlight w:val="yellow"/>
              </w:rPr>
              <w:t>&lt;</w:t>
            </w:r>
            <w:r w:rsidRPr="000E21E1">
              <w:rPr>
                <w:highlight w:val="yellow"/>
              </w:rPr>
              <w:t xml:space="preserve"> 40</w:t>
            </w:r>
          </w:p>
          <w:p w:rsidR="000E21E1" w:rsidRDefault="000E21E1" w:rsidP="000E21E1">
            <w:pPr>
              <w:pStyle w:val="Sansinterligne"/>
            </w:pPr>
            <w:r w:rsidRPr="000E21E1">
              <w:rPr>
                <w:rFonts w:ascii="Century Gothic" w:hAnsi="Century Gothic"/>
                <w:highlight w:val="yellow"/>
              </w:rPr>
              <w:t>&gt;</w:t>
            </w:r>
            <w:r w:rsidRPr="000E21E1">
              <w:rPr>
                <w:highlight w:val="yellow"/>
              </w:rPr>
              <w:t xml:space="preserve"> 1,66</w:t>
            </w:r>
          </w:p>
          <w:p w:rsidR="000E21E1" w:rsidRDefault="000E21E1" w:rsidP="000E21E1">
            <w:pPr>
              <w:pStyle w:val="Sansinterligne"/>
            </w:pPr>
            <w:r>
              <w:t>0,5-1</w:t>
            </w:r>
          </w:p>
          <w:p w:rsidR="000E21E1" w:rsidRDefault="000E21E1" w:rsidP="000E21E1">
            <w:pPr>
              <w:pStyle w:val="Sansinterligne"/>
            </w:pPr>
            <w:r>
              <w:t>0-2</w:t>
            </w:r>
          </w:p>
        </w:tc>
      </w:tr>
      <w:tr w:rsidR="000E21E1" w:rsidTr="000E21E1">
        <w:tc>
          <w:tcPr>
            <w:tcW w:w="1384" w:type="dxa"/>
            <w:shd w:val="clear" w:color="auto" w:fill="C2D69B" w:themeFill="accent3" w:themeFillTint="99"/>
            <w:vAlign w:val="center"/>
          </w:tcPr>
          <w:p w:rsidR="000E21E1" w:rsidRDefault="000E21E1" w:rsidP="000E21E1">
            <w:pPr>
              <w:pStyle w:val="Sansinterligne"/>
              <w:jc w:val="center"/>
            </w:pPr>
            <w:r>
              <w:t>Méningite à HSV</w:t>
            </w:r>
          </w:p>
        </w:tc>
        <w:tc>
          <w:tcPr>
            <w:tcW w:w="1701" w:type="dxa"/>
          </w:tcPr>
          <w:p w:rsidR="000E21E1" w:rsidRDefault="000E21E1" w:rsidP="000E21E1">
            <w:pPr>
              <w:pStyle w:val="Sansinterligne"/>
            </w:pPr>
            <w:r>
              <w:t xml:space="preserve">Neutrophiles </w:t>
            </w:r>
          </w:p>
          <w:p w:rsidR="000E21E1" w:rsidRDefault="000E21E1" w:rsidP="000E21E1">
            <w:pPr>
              <w:pStyle w:val="Sansinterligne"/>
            </w:pPr>
            <w:r>
              <w:t xml:space="preserve">Glycorrachie </w:t>
            </w:r>
          </w:p>
          <w:p w:rsidR="000E21E1" w:rsidRDefault="000E21E1" w:rsidP="000E21E1">
            <w:pPr>
              <w:pStyle w:val="Sansinterligne"/>
            </w:pPr>
            <w:r>
              <w:t xml:space="preserve">Protéines </w:t>
            </w:r>
          </w:p>
          <w:p w:rsidR="000E21E1" w:rsidRDefault="000E21E1" w:rsidP="000E21E1">
            <w:pPr>
              <w:pStyle w:val="Sansinterligne"/>
            </w:pPr>
            <w:r w:rsidRPr="000E21E1">
              <w:rPr>
                <w:highlight w:val="yellow"/>
              </w:rPr>
              <w:t>Globules rouges</w:t>
            </w:r>
          </w:p>
        </w:tc>
        <w:tc>
          <w:tcPr>
            <w:tcW w:w="1561" w:type="dxa"/>
          </w:tcPr>
          <w:p w:rsidR="000E21E1" w:rsidRDefault="000E21E1" w:rsidP="000E21E1">
            <w:pPr>
              <w:pStyle w:val="Sansinterligne"/>
            </w:pPr>
            <w:r>
              <w:rPr>
                <w:rFonts w:ascii="Century Gothic" w:hAnsi="Century Gothic"/>
              </w:rPr>
              <w:t>&lt;</w:t>
            </w:r>
            <w:r>
              <w:t>50</w:t>
            </w:r>
          </w:p>
          <w:p w:rsidR="000E21E1" w:rsidRDefault="000E21E1" w:rsidP="000E21E1">
            <w:pPr>
              <w:pStyle w:val="Sansinterligne"/>
            </w:pPr>
            <w:r>
              <w:rPr>
                <w:rFonts w:ascii="Century Gothic" w:hAnsi="Century Gothic"/>
              </w:rPr>
              <w:t>&gt;</w:t>
            </w:r>
            <w:r>
              <w:t xml:space="preserve"> 1,66</w:t>
            </w:r>
          </w:p>
          <w:p w:rsidR="000E21E1" w:rsidRDefault="000E21E1" w:rsidP="000E21E1">
            <w:pPr>
              <w:pStyle w:val="Sansinterligne"/>
            </w:pPr>
            <w:r>
              <w:rPr>
                <w:rFonts w:ascii="Century Gothic" w:hAnsi="Century Gothic"/>
              </w:rPr>
              <w:t xml:space="preserve">&gt; </w:t>
            </w:r>
            <w:r>
              <w:t>0,75</w:t>
            </w:r>
          </w:p>
          <w:p w:rsidR="000E21E1" w:rsidRDefault="000E21E1" w:rsidP="000E21E1">
            <w:pPr>
              <w:pStyle w:val="Sansinterligne"/>
            </w:pPr>
            <w:r w:rsidRPr="000E21E1">
              <w:rPr>
                <w:highlight w:val="yellow"/>
              </w:rPr>
              <w:t>10-50</w:t>
            </w:r>
          </w:p>
        </w:tc>
      </w:tr>
      <w:tr w:rsidR="000E21E1" w:rsidTr="000E21E1">
        <w:tc>
          <w:tcPr>
            <w:tcW w:w="1384" w:type="dxa"/>
            <w:shd w:val="clear" w:color="auto" w:fill="C2D69B" w:themeFill="accent3" w:themeFillTint="99"/>
            <w:vAlign w:val="center"/>
          </w:tcPr>
          <w:p w:rsidR="000E21E1" w:rsidRDefault="000E21E1" w:rsidP="000E21E1">
            <w:pPr>
              <w:pStyle w:val="Sansinterligne"/>
              <w:jc w:val="center"/>
            </w:pPr>
            <w:r>
              <w:t>Méningite bactérienne</w:t>
            </w:r>
          </w:p>
        </w:tc>
        <w:tc>
          <w:tcPr>
            <w:tcW w:w="1701" w:type="dxa"/>
          </w:tcPr>
          <w:p w:rsidR="000E21E1" w:rsidRPr="000E21E1" w:rsidRDefault="000E21E1" w:rsidP="000E21E1">
            <w:pPr>
              <w:pStyle w:val="Sansinterligne"/>
              <w:rPr>
                <w:highlight w:val="yellow"/>
              </w:rPr>
            </w:pPr>
            <w:r w:rsidRPr="000E21E1">
              <w:rPr>
                <w:highlight w:val="yellow"/>
              </w:rPr>
              <w:t xml:space="preserve">Neutrophiles </w:t>
            </w:r>
          </w:p>
          <w:p w:rsidR="000E21E1" w:rsidRDefault="000E21E1" w:rsidP="000E21E1">
            <w:pPr>
              <w:pStyle w:val="Sansinterligne"/>
            </w:pPr>
            <w:r w:rsidRPr="000E21E1">
              <w:rPr>
                <w:highlight w:val="yellow"/>
              </w:rPr>
              <w:t>Glycorrachie</w:t>
            </w:r>
            <w:r>
              <w:t xml:space="preserve"> </w:t>
            </w:r>
          </w:p>
          <w:p w:rsidR="000E21E1" w:rsidRDefault="000E21E1" w:rsidP="000E21E1">
            <w:pPr>
              <w:pStyle w:val="Sansinterligne"/>
            </w:pPr>
            <w:r>
              <w:t xml:space="preserve">Protéines </w:t>
            </w:r>
          </w:p>
          <w:p w:rsidR="000E21E1" w:rsidRDefault="000E21E1" w:rsidP="000E21E1">
            <w:pPr>
              <w:pStyle w:val="Sansinterligne"/>
            </w:pPr>
            <w:r>
              <w:t xml:space="preserve">Globules rouges </w:t>
            </w:r>
          </w:p>
        </w:tc>
        <w:tc>
          <w:tcPr>
            <w:tcW w:w="1561" w:type="dxa"/>
          </w:tcPr>
          <w:p w:rsidR="000E21E1" w:rsidRPr="000E21E1" w:rsidRDefault="000E21E1" w:rsidP="000E21E1">
            <w:pPr>
              <w:pStyle w:val="Sansinterligne"/>
              <w:rPr>
                <w:highlight w:val="yellow"/>
              </w:rPr>
            </w:pPr>
            <w:r w:rsidRPr="000E21E1">
              <w:rPr>
                <w:rFonts w:ascii="Century Gothic" w:hAnsi="Century Gothic"/>
                <w:highlight w:val="yellow"/>
              </w:rPr>
              <w:t>&gt;</w:t>
            </w:r>
            <w:r w:rsidRPr="000E21E1">
              <w:rPr>
                <w:highlight w:val="yellow"/>
              </w:rPr>
              <w:t xml:space="preserve"> 50</w:t>
            </w:r>
          </w:p>
          <w:p w:rsidR="000E21E1" w:rsidRDefault="000E21E1" w:rsidP="000E21E1">
            <w:pPr>
              <w:pStyle w:val="Sansinterligne"/>
            </w:pPr>
            <w:r w:rsidRPr="000E21E1">
              <w:rPr>
                <w:rFonts w:ascii="Century Gothic" w:hAnsi="Century Gothic"/>
                <w:highlight w:val="yellow"/>
              </w:rPr>
              <w:t>&lt;</w:t>
            </w:r>
            <w:r w:rsidRPr="000E21E1">
              <w:rPr>
                <w:highlight w:val="yellow"/>
              </w:rPr>
              <w:t xml:space="preserve"> 1,66</w:t>
            </w:r>
          </w:p>
          <w:p w:rsidR="000E21E1" w:rsidRDefault="000E21E1" w:rsidP="000E21E1">
            <w:pPr>
              <w:pStyle w:val="Sansinterligne"/>
            </w:pPr>
            <w:r>
              <w:rPr>
                <w:rFonts w:ascii="Century Gothic" w:hAnsi="Century Gothic"/>
              </w:rPr>
              <w:t>&gt;</w:t>
            </w:r>
            <w:r>
              <w:t xml:space="preserve"> 1</w:t>
            </w:r>
          </w:p>
          <w:p w:rsidR="000E21E1" w:rsidRDefault="000E21E1" w:rsidP="000E21E1">
            <w:pPr>
              <w:pStyle w:val="Sansinterligne"/>
            </w:pPr>
            <w:r>
              <w:t>0-10</w:t>
            </w:r>
          </w:p>
        </w:tc>
      </w:tr>
    </w:tbl>
    <w:p w:rsidR="00390C38" w:rsidRPr="00852A88" w:rsidRDefault="00390C38" w:rsidP="005D429F">
      <w:pPr>
        <w:pStyle w:val="Sansinterligne"/>
        <w:numPr>
          <w:ilvl w:val="0"/>
          <w:numId w:val="1202"/>
        </w:numPr>
        <w:rPr>
          <w:highlight w:val="yellow"/>
        </w:rPr>
      </w:pPr>
      <w:r w:rsidRPr="00852A88">
        <w:rPr>
          <w:highlight w:val="yellow"/>
        </w:rPr>
        <w:t xml:space="preserve">Traiter la surinfection cutanée à </w:t>
      </w:r>
      <w:r w:rsidRPr="00852A88">
        <w:rPr>
          <w:i/>
          <w:highlight w:val="yellow"/>
        </w:rPr>
        <w:t>S. Aureus</w:t>
      </w:r>
      <w:r w:rsidRPr="00852A88">
        <w:rPr>
          <w:highlight w:val="yellow"/>
        </w:rPr>
        <w:t xml:space="preserve"> si présente</w:t>
      </w:r>
    </w:p>
    <w:p w:rsidR="000E1CE1" w:rsidRPr="00852A88" w:rsidRDefault="000E1CE1" w:rsidP="005D429F">
      <w:pPr>
        <w:pStyle w:val="Sansinterligne"/>
        <w:numPr>
          <w:ilvl w:val="1"/>
          <w:numId w:val="1202"/>
        </w:numPr>
        <w:rPr>
          <w:highlight w:val="yellow"/>
        </w:rPr>
      </w:pPr>
      <w:r w:rsidRPr="00852A88">
        <w:rPr>
          <w:highlight w:val="yellow"/>
        </w:rPr>
        <w:t>Mupirocine ou Acide fusidique topique BID x 7 jours</w:t>
      </w:r>
    </w:p>
    <w:p w:rsidR="00390C38" w:rsidRPr="00852A88" w:rsidRDefault="00390C38" w:rsidP="005D429F">
      <w:pPr>
        <w:pStyle w:val="Sansinterligne"/>
        <w:numPr>
          <w:ilvl w:val="0"/>
          <w:numId w:val="1202"/>
        </w:numPr>
        <w:rPr>
          <w:highlight w:val="yellow"/>
        </w:rPr>
      </w:pPr>
      <w:r w:rsidRPr="00852A88">
        <w:rPr>
          <w:highlight w:val="yellow"/>
        </w:rPr>
        <w:t xml:space="preserve">Acyclovir IV x 7-10 jours si </w:t>
      </w:r>
      <w:r w:rsidR="00852A88" w:rsidRPr="00852A88">
        <w:rPr>
          <w:highlight w:val="yellow"/>
        </w:rPr>
        <w:t>déficit immunitaire</w:t>
      </w:r>
    </w:p>
    <w:p w:rsidR="00390C38" w:rsidRPr="00852A88" w:rsidRDefault="00390C38" w:rsidP="005D429F">
      <w:pPr>
        <w:pStyle w:val="Sansinterligne"/>
        <w:numPr>
          <w:ilvl w:val="0"/>
          <w:numId w:val="1202"/>
        </w:numPr>
        <w:rPr>
          <w:highlight w:val="yellow"/>
        </w:rPr>
      </w:pPr>
      <w:r w:rsidRPr="00852A88">
        <w:rPr>
          <w:highlight w:val="yellow"/>
        </w:rPr>
        <w:t>Ayclovir PO si</w:t>
      </w:r>
      <w:r w:rsidR="00852A88" w:rsidRPr="00852A88">
        <w:rPr>
          <w:highlight w:val="yellow"/>
        </w:rPr>
        <w:t> </w:t>
      </w:r>
      <w:r w:rsidR="00852A88" w:rsidRPr="00852A88">
        <w:rPr>
          <w:rFonts w:ascii="Century Gothic" w:hAnsi="Century Gothic"/>
          <w:highlight w:val="yellow"/>
        </w:rPr>
        <w:t>≥</w:t>
      </w:r>
      <w:r w:rsidR="00852A88" w:rsidRPr="00852A88">
        <w:rPr>
          <w:highlight w:val="yellow"/>
        </w:rPr>
        <w:t>1 :</w:t>
      </w:r>
    </w:p>
    <w:p w:rsidR="00390C38" w:rsidRPr="00852A88" w:rsidRDefault="00390C38" w:rsidP="005D429F">
      <w:pPr>
        <w:pStyle w:val="Sansinterligne"/>
        <w:numPr>
          <w:ilvl w:val="1"/>
          <w:numId w:val="1202"/>
        </w:numPr>
        <w:rPr>
          <w:highlight w:val="yellow"/>
        </w:rPr>
      </w:pPr>
      <w:r w:rsidRPr="00852A88">
        <w:rPr>
          <w:rFonts w:ascii="Century Gothic" w:hAnsi="Century Gothic"/>
          <w:highlight w:val="yellow"/>
        </w:rPr>
        <w:t>≥</w:t>
      </w:r>
      <w:r w:rsidRPr="00852A88">
        <w:rPr>
          <w:highlight w:val="yellow"/>
        </w:rPr>
        <w:t>12 ans</w:t>
      </w:r>
    </w:p>
    <w:p w:rsidR="00390C38" w:rsidRPr="00852A88" w:rsidRDefault="00390C38" w:rsidP="005D429F">
      <w:pPr>
        <w:pStyle w:val="Sansinterligne"/>
        <w:numPr>
          <w:ilvl w:val="1"/>
          <w:numId w:val="1202"/>
        </w:numPr>
        <w:rPr>
          <w:highlight w:val="yellow"/>
        </w:rPr>
      </w:pPr>
      <w:r w:rsidRPr="00852A88">
        <w:rPr>
          <w:highlight w:val="yellow"/>
        </w:rPr>
        <w:t>Maladie pulmonaire ou cutanée chronique</w:t>
      </w:r>
    </w:p>
    <w:p w:rsidR="00390C38" w:rsidRPr="00852A88" w:rsidRDefault="00390C38" w:rsidP="005D429F">
      <w:pPr>
        <w:pStyle w:val="Sansinterligne"/>
        <w:numPr>
          <w:ilvl w:val="1"/>
          <w:numId w:val="1202"/>
        </w:numPr>
        <w:rPr>
          <w:highlight w:val="yellow"/>
        </w:rPr>
      </w:pPr>
      <w:r w:rsidRPr="00852A88">
        <w:rPr>
          <w:highlight w:val="yellow"/>
        </w:rPr>
        <w:t>Prise fréquence de corticostéroïdes</w:t>
      </w:r>
    </w:p>
    <w:p w:rsidR="00390C38" w:rsidRPr="00852A88" w:rsidRDefault="00390C38" w:rsidP="005D429F">
      <w:pPr>
        <w:pStyle w:val="Sansinterligne"/>
        <w:numPr>
          <w:ilvl w:val="1"/>
          <w:numId w:val="1202"/>
        </w:numPr>
        <w:rPr>
          <w:highlight w:val="yellow"/>
        </w:rPr>
      </w:pPr>
      <w:r w:rsidRPr="00852A88">
        <w:rPr>
          <w:highlight w:val="yellow"/>
        </w:rPr>
        <w:t>Traitement aux salycylates (risque de syndrome de Reye)</w:t>
      </w:r>
    </w:p>
    <w:p w:rsidR="00390C38" w:rsidRPr="00852A88" w:rsidRDefault="00390C38" w:rsidP="005D429F">
      <w:pPr>
        <w:pStyle w:val="Sansinterligne"/>
        <w:numPr>
          <w:ilvl w:val="2"/>
          <w:numId w:val="1202"/>
        </w:numPr>
        <w:rPr>
          <w:highlight w:val="yellow"/>
        </w:rPr>
      </w:pPr>
      <w:r w:rsidRPr="00852A88">
        <w:rPr>
          <w:highlight w:val="yellow"/>
        </w:rPr>
        <w:t>Cesser également le salicylate durant l’épisode</w:t>
      </w:r>
    </w:p>
    <w:p w:rsidR="00390C38" w:rsidRPr="00852A88" w:rsidRDefault="00390C38" w:rsidP="005D429F">
      <w:pPr>
        <w:pStyle w:val="Sansinterligne"/>
        <w:numPr>
          <w:ilvl w:val="1"/>
          <w:numId w:val="1202"/>
        </w:numPr>
        <w:rPr>
          <w:highlight w:val="yellow"/>
        </w:rPr>
      </w:pPr>
      <w:r w:rsidRPr="00852A88">
        <w:rPr>
          <w:highlight w:val="yellow"/>
        </w:rPr>
        <w:t>ATCD familial de varicelle (2e épisode)</w:t>
      </w:r>
    </w:p>
    <w:p w:rsidR="00390C38" w:rsidRDefault="00390C38" w:rsidP="0045541D">
      <w:pPr>
        <w:pStyle w:val="Sansinterligne"/>
      </w:pPr>
    </w:p>
    <w:p w:rsidR="008702E9" w:rsidRPr="000C31FF" w:rsidRDefault="008702E9" w:rsidP="0045541D">
      <w:pPr>
        <w:pStyle w:val="Sansinterligne"/>
        <w:rPr>
          <w:b/>
        </w:rPr>
      </w:pPr>
      <w:r w:rsidRPr="000C31FF">
        <w:rPr>
          <w:b/>
        </w:rPr>
        <w:t>Mononucléose infectieuse</w:t>
      </w:r>
    </w:p>
    <w:p w:rsidR="008702E9" w:rsidRPr="000C31FF" w:rsidRDefault="008702E9" w:rsidP="005D429F">
      <w:pPr>
        <w:pStyle w:val="Sansinterligne"/>
        <w:numPr>
          <w:ilvl w:val="0"/>
          <w:numId w:val="1189"/>
        </w:numPr>
      </w:pPr>
      <w:r w:rsidRPr="000C31FF">
        <w:t>Repos</w:t>
      </w:r>
    </w:p>
    <w:p w:rsidR="008702E9" w:rsidRPr="000C31FF" w:rsidRDefault="000C31FF" w:rsidP="005D429F">
      <w:pPr>
        <w:pStyle w:val="Sansinterligne"/>
        <w:numPr>
          <w:ilvl w:val="0"/>
          <w:numId w:val="1189"/>
        </w:numPr>
      </w:pPr>
      <w:r w:rsidRPr="000C31FF">
        <w:t>Réhydratation</w:t>
      </w:r>
    </w:p>
    <w:p w:rsidR="008702E9" w:rsidRPr="000C31FF" w:rsidRDefault="008702E9" w:rsidP="005D429F">
      <w:pPr>
        <w:pStyle w:val="Sansinterligne"/>
        <w:numPr>
          <w:ilvl w:val="0"/>
          <w:numId w:val="1189"/>
        </w:numPr>
        <w:rPr>
          <w:u w:val="single"/>
        </w:rPr>
      </w:pPr>
      <w:r w:rsidRPr="000C31FF">
        <w:rPr>
          <w:u w:val="single"/>
        </w:rPr>
        <w:t>Arrêt de</w:t>
      </w:r>
      <w:r w:rsidR="000C31FF">
        <w:rPr>
          <w:u w:val="single"/>
        </w:rPr>
        <w:t>s sport</w:t>
      </w:r>
      <w:r w:rsidRPr="000C31FF">
        <w:rPr>
          <w:u w:val="single"/>
        </w:rPr>
        <w:t xml:space="preserve"> de contacts pour 8 semaines</w:t>
      </w:r>
    </w:p>
    <w:p w:rsidR="008702E9" w:rsidRPr="000C31FF" w:rsidRDefault="008702E9" w:rsidP="005D429F">
      <w:pPr>
        <w:pStyle w:val="Sansinterligne"/>
        <w:numPr>
          <w:ilvl w:val="0"/>
          <w:numId w:val="1189"/>
        </w:numPr>
      </w:pPr>
      <w:r w:rsidRPr="000C31FF">
        <w:t>Exanthème viral non-spécifique</w:t>
      </w:r>
    </w:p>
    <w:p w:rsidR="008702E9" w:rsidRPr="000C31FF" w:rsidRDefault="008702E9" w:rsidP="005D429F">
      <w:pPr>
        <w:pStyle w:val="Sansinterligne"/>
        <w:numPr>
          <w:ilvl w:val="0"/>
          <w:numId w:val="1189"/>
        </w:numPr>
      </w:pPr>
      <w:r w:rsidRPr="000C31FF">
        <w:t>Traitement conservateur</w:t>
      </w:r>
    </w:p>
    <w:p w:rsidR="008702E9" w:rsidRDefault="008702E9" w:rsidP="0045541D">
      <w:pPr>
        <w:pStyle w:val="Sansinterligne"/>
      </w:pPr>
    </w:p>
    <w:p w:rsidR="0059492E" w:rsidRPr="00852A88" w:rsidRDefault="0059492E" w:rsidP="0045541D">
      <w:pPr>
        <w:pStyle w:val="Sansinterligne"/>
        <w:rPr>
          <w:rFonts w:cs="Times New Roman"/>
          <w:b/>
          <w:highlight w:val="yellow"/>
        </w:rPr>
      </w:pPr>
      <w:r w:rsidRPr="00852A88">
        <w:rPr>
          <w:rFonts w:cs="Times New Roman"/>
          <w:b/>
          <w:highlight w:val="yellow"/>
        </w:rPr>
        <w:t>Méningite</w:t>
      </w:r>
    </w:p>
    <w:p w:rsidR="0059492E" w:rsidRPr="00852A88" w:rsidRDefault="0059492E" w:rsidP="005D429F">
      <w:pPr>
        <w:pStyle w:val="Sansinterligne"/>
        <w:numPr>
          <w:ilvl w:val="0"/>
          <w:numId w:val="1196"/>
        </w:numPr>
        <w:rPr>
          <w:rFonts w:cs="Times New Roman"/>
          <w:highlight w:val="yellow"/>
        </w:rPr>
      </w:pPr>
      <w:r w:rsidRPr="00852A88">
        <w:rPr>
          <w:rFonts w:cs="Times New Roman"/>
          <w:highlight w:val="yellow"/>
        </w:rPr>
        <w:t>Stabilisation hémodynamique</w:t>
      </w:r>
    </w:p>
    <w:p w:rsidR="0059492E" w:rsidRPr="00852A88" w:rsidRDefault="0059492E" w:rsidP="005D429F">
      <w:pPr>
        <w:pStyle w:val="Sansinterligne"/>
        <w:numPr>
          <w:ilvl w:val="0"/>
          <w:numId w:val="1196"/>
        </w:numPr>
        <w:rPr>
          <w:rFonts w:cs="Times New Roman"/>
          <w:highlight w:val="yellow"/>
        </w:rPr>
      </w:pPr>
      <w:r w:rsidRPr="00852A88">
        <w:rPr>
          <w:rFonts w:cs="Times New Roman"/>
          <w:highlight w:val="yellow"/>
        </w:rPr>
        <w:t>Isolement</w:t>
      </w:r>
      <w:r w:rsidR="00BB4972" w:rsidRPr="00852A88">
        <w:rPr>
          <w:rFonts w:cs="Times New Roman"/>
          <w:highlight w:val="yellow"/>
        </w:rPr>
        <w:t xml:space="preserve"> contact/aérien ad résultat de culture</w:t>
      </w:r>
    </w:p>
    <w:p w:rsidR="00323ED6" w:rsidRDefault="00323ED6" w:rsidP="005D429F">
      <w:pPr>
        <w:pStyle w:val="Sansinterligne"/>
        <w:numPr>
          <w:ilvl w:val="0"/>
          <w:numId w:val="1196"/>
        </w:numPr>
        <w:rPr>
          <w:rFonts w:cs="Times New Roman"/>
          <w:highlight w:val="yellow"/>
        </w:rPr>
      </w:pPr>
      <w:r w:rsidRPr="00852A88">
        <w:rPr>
          <w:rFonts w:cs="Times New Roman"/>
          <w:highlight w:val="yellow"/>
        </w:rPr>
        <w:t xml:space="preserve">Déclaration à la santé publique (MADO – HiB, </w:t>
      </w:r>
      <w:r w:rsidRPr="00852A88">
        <w:rPr>
          <w:rFonts w:cs="Times New Roman"/>
          <w:i/>
          <w:highlight w:val="yellow"/>
        </w:rPr>
        <w:t>N. Meningitidis</w:t>
      </w:r>
      <w:r w:rsidRPr="00852A88">
        <w:rPr>
          <w:rFonts w:cs="Times New Roman"/>
          <w:highlight w:val="yellow"/>
        </w:rPr>
        <w:t>)</w:t>
      </w:r>
    </w:p>
    <w:p w:rsidR="0059492E" w:rsidRPr="00852A88" w:rsidRDefault="0059492E" w:rsidP="005D429F">
      <w:pPr>
        <w:pStyle w:val="Sansinterligne"/>
        <w:numPr>
          <w:ilvl w:val="0"/>
          <w:numId w:val="1196"/>
        </w:numPr>
        <w:rPr>
          <w:rFonts w:cs="Times New Roman"/>
          <w:highlight w:val="yellow"/>
        </w:rPr>
      </w:pPr>
      <w:r w:rsidRPr="00323ED6">
        <w:rPr>
          <w:rFonts w:cs="Times New Roman"/>
          <w:highlight w:val="yellow"/>
          <w:u w:val="single"/>
        </w:rPr>
        <w:t>Si bactérienne</w:t>
      </w:r>
      <w:r w:rsidRPr="00852A88">
        <w:rPr>
          <w:rFonts w:cs="Times New Roman"/>
          <w:highlight w:val="yellow"/>
        </w:rPr>
        <w:t> :</w:t>
      </w:r>
    </w:p>
    <w:p w:rsidR="0059492E" w:rsidRPr="00852A88" w:rsidRDefault="0059492E" w:rsidP="005D429F">
      <w:pPr>
        <w:pStyle w:val="Sansinterligne"/>
        <w:numPr>
          <w:ilvl w:val="1"/>
          <w:numId w:val="1196"/>
        </w:numPr>
        <w:rPr>
          <w:rFonts w:cs="Times New Roman"/>
          <w:highlight w:val="yellow"/>
        </w:rPr>
      </w:pPr>
      <w:r w:rsidRPr="00852A88">
        <w:rPr>
          <w:rFonts w:cs="Times New Roman"/>
          <w:highlight w:val="yellow"/>
        </w:rPr>
        <w:t>Antibiothérapie large spectre dès la suspicion</w:t>
      </w:r>
    </w:p>
    <w:p w:rsidR="0059492E" w:rsidRPr="00852A88" w:rsidRDefault="0059492E" w:rsidP="005D429F">
      <w:pPr>
        <w:pStyle w:val="Sansinterligne"/>
        <w:numPr>
          <w:ilvl w:val="2"/>
          <w:numId w:val="1196"/>
        </w:numPr>
        <w:rPr>
          <w:rFonts w:cs="Times New Roman"/>
          <w:highlight w:val="yellow"/>
        </w:rPr>
      </w:pPr>
      <w:r w:rsidRPr="00852A88">
        <w:rPr>
          <w:rFonts w:cs="Times New Roman"/>
          <w:highlight w:val="yellow"/>
        </w:rPr>
        <w:t>Ceftriaxone 100mg/kg</w:t>
      </w:r>
      <w:r w:rsidR="00AE75CA" w:rsidRPr="00852A88">
        <w:rPr>
          <w:rFonts w:cs="Times New Roman"/>
          <w:highlight w:val="yellow"/>
        </w:rPr>
        <w:t xml:space="preserve"> (max 4g/jr) </w:t>
      </w:r>
      <w:r w:rsidRPr="00852A88">
        <w:rPr>
          <w:rFonts w:cs="Times New Roman"/>
          <w:highlight w:val="yellow"/>
        </w:rPr>
        <w:t xml:space="preserve"> IV DIE + Vancomycine 15 mg/kg IV</w:t>
      </w:r>
      <w:r w:rsidR="00AE75CA" w:rsidRPr="00852A88">
        <w:rPr>
          <w:rFonts w:cs="Times New Roman"/>
          <w:highlight w:val="yellow"/>
        </w:rPr>
        <w:t xml:space="preserve">(max 2g/jr) </w:t>
      </w:r>
      <w:r w:rsidRPr="00852A88">
        <w:rPr>
          <w:rFonts w:cs="Times New Roman"/>
          <w:highlight w:val="yellow"/>
        </w:rPr>
        <w:t xml:space="preserve">q 6h </w:t>
      </w:r>
      <w:r w:rsidR="00AE75CA" w:rsidRPr="00852A88">
        <w:rPr>
          <w:rFonts w:cs="Times New Roman"/>
          <w:highlight w:val="yellow"/>
        </w:rPr>
        <w:t>(&gt;3 mois)</w:t>
      </w:r>
    </w:p>
    <w:p w:rsidR="00AE75CA" w:rsidRPr="00852A88" w:rsidRDefault="005760DE" w:rsidP="005D429F">
      <w:pPr>
        <w:pStyle w:val="Sansinterligne"/>
        <w:numPr>
          <w:ilvl w:val="2"/>
          <w:numId w:val="1196"/>
        </w:numPr>
        <w:rPr>
          <w:rFonts w:cs="Times New Roman"/>
          <w:highlight w:val="yellow"/>
        </w:rPr>
      </w:pPr>
      <w:r>
        <w:rPr>
          <w:noProof/>
          <w:lang w:eastAsia="fr-CA"/>
        </w:rPr>
        <w:drawing>
          <wp:anchor distT="0" distB="0" distL="114300" distR="114300" simplePos="0" relativeHeight="252063744" behindDoc="0" locked="0" layoutInCell="1" allowOverlap="1" wp14:anchorId="0E26D956" wp14:editId="036C77EF">
            <wp:simplePos x="0" y="0"/>
            <wp:positionH relativeFrom="column">
              <wp:posOffset>3432810</wp:posOffset>
            </wp:positionH>
            <wp:positionV relativeFrom="paragraph">
              <wp:posOffset>217170</wp:posOffset>
            </wp:positionV>
            <wp:extent cx="3336290" cy="2188845"/>
            <wp:effectExtent l="0" t="0" r="0" b="0"/>
            <wp:wrapNone/>
            <wp:docPr id="583" name="Image 583" descr="Résultats de recherche d'images pour « ponction lombair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Résultats de recherche d'images pour « ponction lombaire »"/>
                    <pic:cNvPicPr>
                      <a:picLocks noChangeAspect="1" noChangeArrowheads="1"/>
                    </pic:cNvPicPr>
                  </pic:nvPicPr>
                  <pic:blipFill>
                    <a:blip r:embed="rId377">
                      <a:extLst>
                        <a:ext uri="{28A0092B-C50C-407E-A947-70E740481C1C}">
                          <a14:useLocalDpi xmlns:a14="http://schemas.microsoft.com/office/drawing/2010/main" val="0"/>
                        </a:ext>
                      </a:extLst>
                    </a:blip>
                    <a:srcRect/>
                    <a:stretch>
                      <a:fillRect/>
                    </a:stretch>
                  </pic:blipFill>
                  <pic:spPr bwMode="auto">
                    <a:xfrm>
                      <a:off x="0" y="0"/>
                      <a:ext cx="3336290" cy="2188845"/>
                    </a:xfrm>
                    <a:prstGeom prst="rect">
                      <a:avLst/>
                    </a:prstGeom>
                    <a:noFill/>
                    <a:ln>
                      <a:noFill/>
                    </a:ln>
                  </pic:spPr>
                </pic:pic>
              </a:graphicData>
            </a:graphic>
            <wp14:sizeRelH relativeFrom="page">
              <wp14:pctWidth>0</wp14:pctWidth>
            </wp14:sizeRelH>
            <wp14:sizeRelV relativeFrom="page">
              <wp14:pctHeight>0</wp14:pctHeight>
            </wp14:sizeRelV>
          </wp:anchor>
        </w:drawing>
      </w:r>
      <w:r w:rsidR="00AE75CA" w:rsidRPr="00852A88">
        <w:rPr>
          <w:rFonts w:cs="Times New Roman"/>
          <w:highlight w:val="yellow"/>
        </w:rPr>
        <w:t>Ampicilline 50-100 mg/kg IV q 6h (max 12g/jr) + Cefotaxime 75 mg/kg IV q 6h (max 2g/jr)  ± Vancomycine (&lt;3 mois)</w:t>
      </w:r>
    </w:p>
    <w:p w:rsidR="0059492E" w:rsidRPr="00852A88" w:rsidRDefault="0059492E" w:rsidP="005D429F">
      <w:pPr>
        <w:pStyle w:val="Sansinterligne"/>
        <w:numPr>
          <w:ilvl w:val="1"/>
          <w:numId w:val="1196"/>
        </w:numPr>
        <w:rPr>
          <w:rFonts w:cs="Times New Roman"/>
          <w:highlight w:val="yellow"/>
        </w:rPr>
      </w:pPr>
      <w:r w:rsidRPr="00852A88">
        <w:rPr>
          <w:rFonts w:cs="Times New Roman"/>
          <w:highlight w:val="yellow"/>
        </w:rPr>
        <w:t>Dexaméthasone 0,15 mg/kg AVANT ATB q 6h x 2 jours</w:t>
      </w:r>
    </w:p>
    <w:p w:rsidR="0059492E" w:rsidRPr="00852A88" w:rsidRDefault="0059492E" w:rsidP="005D429F">
      <w:pPr>
        <w:pStyle w:val="Sansinterligne"/>
        <w:numPr>
          <w:ilvl w:val="0"/>
          <w:numId w:val="1196"/>
        </w:numPr>
        <w:rPr>
          <w:rFonts w:cs="Times New Roman"/>
          <w:highlight w:val="yellow"/>
        </w:rPr>
      </w:pPr>
      <w:r w:rsidRPr="00323ED6">
        <w:rPr>
          <w:rFonts w:cs="Times New Roman"/>
          <w:highlight w:val="yellow"/>
          <w:u w:val="single"/>
        </w:rPr>
        <w:t>Si virale</w:t>
      </w:r>
      <w:r w:rsidRPr="00852A88">
        <w:rPr>
          <w:rFonts w:cs="Times New Roman"/>
          <w:highlight w:val="yellow"/>
        </w:rPr>
        <w:t> :</w:t>
      </w:r>
    </w:p>
    <w:p w:rsidR="0059492E" w:rsidRPr="00852A88" w:rsidRDefault="0059492E" w:rsidP="005D429F">
      <w:pPr>
        <w:pStyle w:val="Sansinterligne"/>
        <w:numPr>
          <w:ilvl w:val="0"/>
          <w:numId w:val="1196"/>
        </w:numPr>
        <w:rPr>
          <w:rFonts w:cs="Times New Roman"/>
          <w:highlight w:val="yellow"/>
        </w:rPr>
      </w:pPr>
      <w:r w:rsidRPr="00852A88">
        <w:rPr>
          <w:rFonts w:cs="Times New Roman"/>
          <w:highlight w:val="yellow"/>
        </w:rPr>
        <w:t>Traitement de support</w:t>
      </w:r>
    </w:p>
    <w:p w:rsidR="00323ED6" w:rsidRPr="00323ED6" w:rsidRDefault="0059492E" w:rsidP="005D429F">
      <w:pPr>
        <w:pStyle w:val="Sansinterligne"/>
        <w:numPr>
          <w:ilvl w:val="0"/>
          <w:numId w:val="1196"/>
        </w:numPr>
        <w:rPr>
          <w:rFonts w:cs="Times New Roman"/>
          <w:highlight w:val="yellow"/>
        </w:rPr>
      </w:pPr>
      <w:r w:rsidRPr="00852A88">
        <w:rPr>
          <w:rFonts w:cs="Times New Roman"/>
          <w:highlight w:val="yellow"/>
        </w:rPr>
        <w:t>Acyclovir IV seulement si HSV</w:t>
      </w:r>
    </w:p>
    <w:p w:rsidR="0059492E" w:rsidRDefault="0059492E" w:rsidP="0045541D">
      <w:pPr>
        <w:pStyle w:val="Sansinterligne"/>
        <w:rPr>
          <w:rFonts w:cs="Times New Roman"/>
        </w:rPr>
      </w:pPr>
    </w:p>
    <w:p w:rsidR="005760DE" w:rsidRDefault="005760DE" w:rsidP="0045541D">
      <w:pPr>
        <w:pStyle w:val="Sansinterligne"/>
        <w:rPr>
          <w:rFonts w:cs="Times New Roman"/>
        </w:rPr>
      </w:pPr>
    </w:p>
    <w:p w:rsidR="005760DE" w:rsidRDefault="005760DE" w:rsidP="0045541D">
      <w:pPr>
        <w:pStyle w:val="Sansinterligne"/>
        <w:rPr>
          <w:rFonts w:cs="Times New Roman"/>
        </w:rPr>
      </w:pPr>
    </w:p>
    <w:p w:rsidR="005760DE" w:rsidRDefault="005760DE" w:rsidP="0045541D">
      <w:pPr>
        <w:pStyle w:val="Sansinterligne"/>
        <w:rPr>
          <w:rFonts w:cs="Times New Roman"/>
        </w:rPr>
      </w:pPr>
    </w:p>
    <w:p w:rsidR="005760DE" w:rsidRDefault="005760DE" w:rsidP="0045541D">
      <w:pPr>
        <w:pStyle w:val="Sansinterligne"/>
        <w:rPr>
          <w:rFonts w:cs="Times New Roman"/>
        </w:rPr>
      </w:pPr>
    </w:p>
    <w:p w:rsidR="00852A88" w:rsidRPr="00353E40" w:rsidRDefault="00852A88" w:rsidP="0045541D">
      <w:pPr>
        <w:pStyle w:val="Sansinterligne"/>
        <w:rPr>
          <w:rFonts w:cs="Times New Roman"/>
        </w:rPr>
      </w:pPr>
    </w:p>
    <w:p w:rsidR="00852A88" w:rsidRDefault="00852A88" w:rsidP="0045541D">
      <w:pPr>
        <w:pStyle w:val="Sansinterligne"/>
        <w:rPr>
          <w:rFonts w:cs="Times New Roman"/>
          <w:b/>
        </w:rPr>
        <w:sectPr w:rsidR="00852A88" w:rsidSect="00217865">
          <w:type w:val="continuous"/>
          <w:pgSz w:w="12240" w:h="15840"/>
          <w:pgMar w:top="720" w:right="720" w:bottom="720" w:left="720" w:header="708" w:footer="708" w:gutter="0"/>
          <w:cols w:space="708"/>
          <w:docGrid w:linePitch="360"/>
        </w:sectPr>
      </w:pPr>
    </w:p>
    <w:p w:rsidR="0023760E" w:rsidRPr="00C216AC" w:rsidRDefault="0023760E" w:rsidP="0045541D">
      <w:pPr>
        <w:pStyle w:val="Sansinterligne"/>
        <w:rPr>
          <w:rFonts w:cs="Times New Roman"/>
          <w:b/>
          <w:highlight w:val="yellow"/>
        </w:rPr>
      </w:pPr>
      <w:r w:rsidRPr="00C216AC">
        <w:rPr>
          <w:rFonts w:cs="Times New Roman"/>
          <w:b/>
          <w:highlight w:val="yellow"/>
        </w:rPr>
        <w:t>Infection urinaire</w:t>
      </w:r>
    </w:p>
    <w:p w:rsidR="0023760E" w:rsidRPr="00C216AC" w:rsidRDefault="0023760E" w:rsidP="005D429F">
      <w:pPr>
        <w:pStyle w:val="Sansinterligne"/>
        <w:numPr>
          <w:ilvl w:val="0"/>
          <w:numId w:val="1197"/>
        </w:numPr>
        <w:rPr>
          <w:rFonts w:cs="Times New Roman"/>
          <w:highlight w:val="yellow"/>
        </w:rPr>
      </w:pPr>
      <w:r w:rsidRPr="00C216AC">
        <w:rPr>
          <w:rFonts w:cs="Times New Roman"/>
          <w:highlight w:val="yellow"/>
        </w:rPr>
        <w:t>Admission à l’hôpital si ≥1 :</w:t>
      </w:r>
    </w:p>
    <w:p w:rsidR="0023760E" w:rsidRPr="00C216AC" w:rsidRDefault="0023760E" w:rsidP="005D429F">
      <w:pPr>
        <w:pStyle w:val="Sansinterligne"/>
        <w:numPr>
          <w:ilvl w:val="1"/>
          <w:numId w:val="1197"/>
        </w:numPr>
        <w:rPr>
          <w:rFonts w:cs="Times New Roman"/>
          <w:highlight w:val="yellow"/>
        </w:rPr>
      </w:pPr>
      <w:r w:rsidRPr="00C216AC">
        <w:rPr>
          <w:rFonts w:cs="Times New Roman"/>
          <w:highlight w:val="yellow"/>
        </w:rPr>
        <w:t>&lt;2 mois</w:t>
      </w:r>
    </w:p>
    <w:p w:rsidR="0023760E" w:rsidRPr="00C216AC" w:rsidRDefault="0023760E" w:rsidP="005D429F">
      <w:pPr>
        <w:pStyle w:val="Sansinterligne"/>
        <w:numPr>
          <w:ilvl w:val="1"/>
          <w:numId w:val="1197"/>
        </w:numPr>
        <w:rPr>
          <w:rFonts w:cs="Times New Roman"/>
          <w:highlight w:val="yellow"/>
        </w:rPr>
      </w:pPr>
      <w:r w:rsidRPr="00C216AC">
        <w:rPr>
          <w:rFonts w:cs="Times New Roman"/>
          <w:highlight w:val="yellow"/>
        </w:rPr>
        <w:t>Sepsis</w:t>
      </w:r>
    </w:p>
    <w:p w:rsidR="0023760E" w:rsidRPr="00C216AC" w:rsidRDefault="0023760E" w:rsidP="005D429F">
      <w:pPr>
        <w:pStyle w:val="Sansinterligne"/>
        <w:numPr>
          <w:ilvl w:val="1"/>
          <w:numId w:val="1197"/>
        </w:numPr>
        <w:rPr>
          <w:rFonts w:cs="Times New Roman"/>
          <w:highlight w:val="yellow"/>
        </w:rPr>
      </w:pPr>
      <w:r w:rsidRPr="00C216AC">
        <w:rPr>
          <w:rFonts w:cs="Times New Roman"/>
          <w:highlight w:val="yellow"/>
        </w:rPr>
        <w:t>Vomissements persistants</w:t>
      </w:r>
    </w:p>
    <w:p w:rsidR="0023760E" w:rsidRPr="00C216AC" w:rsidRDefault="0023760E" w:rsidP="005D429F">
      <w:pPr>
        <w:pStyle w:val="Sansinterligne"/>
        <w:numPr>
          <w:ilvl w:val="1"/>
          <w:numId w:val="1197"/>
        </w:numPr>
        <w:rPr>
          <w:rFonts w:cs="Times New Roman"/>
          <w:highlight w:val="yellow"/>
        </w:rPr>
      </w:pPr>
      <w:r w:rsidRPr="00C216AC">
        <w:rPr>
          <w:rFonts w:cs="Times New Roman"/>
          <w:highlight w:val="yellow"/>
        </w:rPr>
        <w:t>Incapacité de boire / prendre Rx PO</w:t>
      </w:r>
    </w:p>
    <w:p w:rsidR="0023760E" w:rsidRPr="00C216AC" w:rsidRDefault="0023760E" w:rsidP="005D429F">
      <w:pPr>
        <w:pStyle w:val="Sansinterligne"/>
        <w:numPr>
          <w:ilvl w:val="0"/>
          <w:numId w:val="1197"/>
        </w:numPr>
        <w:rPr>
          <w:rFonts w:cs="Times New Roman"/>
          <w:highlight w:val="yellow"/>
        </w:rPr>
      </w:pPr>
      <w:r w:rsidRPr="00C216AC">
        <w:rPr>
          <w:rFonts w:cs="Times New Roman"/>
          <w:highlight w:val="yellow"/>
        </w:rPr>
        <w:t>Sinon suivi en externe dans 24-48h</w:t>
      </w:r>
    </w:p>
    <w:p w:rsidR="0023760E" w:rsidRPr="00C216AC" w:rsidRDefault="0023760E" w:rsidP="005D429F">
      <w:pPr>
        <w:pStyle w:val="Sansinterligne"/>
        <w:numPr>
          <w:ilvl w:val="0"/>
          <w:numId w:val="1197"/>
        </w:numPr>
        <w:rPr>
          <w:rFonts w:cs="Times New Roman"/>
          <w:highlight w:val="yellow"/>
        </w:rPr>
      </w:pPr>
      <w:r w:rsidRPr="00C216AC">
        <w:rPr>
          <w:rFonts w:cs="Times New Roman"/>
          <w:highlight w:val="yellow"/>
        </w:rPr>
        <w:t>ATB empirique en attendant l’antibiogramme</w:t>
      </w:r>
    </w:p>
    <w:p w:rsidR="0023760E" w:rsidRPr="00C216AC" w:rsidRDefault="0023760E" w:rsidP="005D429F">
      <w:pPr>
        <w:pStyle w:val="Sansinterligne"/>
        <w:numPr>
          <w:ilvl w:val="1"/>
          <w:numId w:val="1197"/>
        </w:numPr>
        <w:rPr>
          <w:rFonts w:cs="Times New Roman"/>
          <w:highlight w:val="yellow"/>
        </w:rPr>
      </w:pPr>
      <w:r w:rsidRPr="00C216AC">
        <w:rPr>
          <w:rFonts w:cs="Times New Roman"/>
          <w:highlight w:val="yellow"/>
        </w:rPr>
        <w:t>Ampicilline-gentamicine IV (sévère ou hospit)</w:t>
      </w:r>
    </w:p>
    <w:p w:rsidR="00353E40" w:rsidRPr="00C216AC" w:rsidRDefault="00353E40" w:rsidP="005D429F">
      <w:pPr>
        <w:pStyle w:val="Sansinterligne"/>
        <w:numPr>
          <w:ilvl w:val="2"/>
          <w:numId w:val="1197"/>
        </w:numPr>
        <w:rPr>
          <w:rFonts w:cs="Times New Roman"/>
          <w:highlight w:val="yellow"/>
        </w:rPr>
      </w:pPr>
      <w:r w:rsidRPr="00C216AC">
        <w:rPr>
          <w:rFonts w:cs="Times New Roman"/>
          <w:highlight w:val="yellow"/>
        </w:rPr>
        <w:t>Passer PO dès fièvre absente x 24-48h</w:t>
      </w:r>
    </w:p>
    <w:p w:rsidR="0023760E" w:rsidRPr="00C216AC" w:rsidRDefault="0023760E" w:rsidP="005D429F">
      <w:pPr>
        <w:pStyle w:val="Sansinterligne"/>
        <w:numPr>
          <w:ilvl w:val="1"/>
          <w:numId w:val="1197"/>
        </w:numPr>
        <w:rPr>
          <w:rFonts w:cs="Times New Roman"/>
          <w:highlight w:val="yellow"/>
        </w:rPr>
      </w:pPr>
      <w:r w:rsidRPr="00C216AC">
        <w:rPr>
          <w:rFonts w:cs="Times New Roman"/>
          <w:highlight w:val="yellow"/>
        </w:rPr>
        <w:t>Céphalexine PO si en externe</w:t>
      </w:r>
    </w:p>
    <w:p w:rsidR="0023760E" w:rsidRPr="00C216AC" w:rsidRDefault="0023760E" w:rsidP="005D429F">
      <w:pPr>
        <w:pStyle w:val="Sansinterligne"/>
        <w:numPr>
          <w:ilvl w:val="1"/>
          <w:numId w:val="1197"/>
        </w:numPr>
        <w:rPr>
          <w:rFonts w:cs="Times New Roman"/>
          <w:highlight w:val="yellow"/>
        </w:rPr>
      </w:pPr>
      <w:r w:rsidRPr="00C216AC">
        <w:rPr>
          <w:rFonts w:cs="Times New Roman"/>
          <w:highlight w:val="yellow"/>
        </w:rPr>
        <w:t>Traitement de 7-14 jours</w:t>
      </w:r>
    </w:p>
    <w:p w:rsidR="0023760E" w:rsidRPr="00C216AC" w:rsidRDefault="0023760E" w:rsidP="005D429F">
      <w:pPr>
        <w:pStyle w:val="Sansinterligne"/>
        <w:numPr>
          <w:ilvl w:val="0"/>
          <w:numId w:val="1197"/>
        </w:numPr>
        <w:rPr>
          <w:rFonts w:cs="Times New Roman"/>
          <w:highlight w:val="yellow"/>
        </w:rPr>
      </w:pPr>
      <w:r w:rsidRPr="00C216AC">
        <w:rPr>
          <w:rFonts w:cs="Times New Roman"/>
          <w:highlight w:val="yellow"/>
        </w:rPr>
        <w:t>Écho rénale-vésicale :</w:t>
      </w:r>
    </w:p>
    <w:p w:rsidR="0023760E" w:rsidRPr="00C216AC" w:rsidRDefault="0023760E" w:rsidP="005D429F">
      <w:pPr>
        <w:pStyle w:val="Sansinterligne"/>
        <w:numPr>
          <w:ilvl w:val="1"/>
          <w:numId w:val="1197"/>
        </w:numPr>
        <w:rPr>
          <w:rFonts w:cs="Times New Roman"/>
          <w:highlight w:val="yellow"/>
        </w:rPr>
      </w:pPr>
      <w:r w:rsidRPr="00C216AC">
        <w:rPr>
          <w:rFonts w:cs="Times New Roman"/>
          <w:highlight w:val="yellow"/>
        </w:rPr>
        <w:t>1</w:t>
      </w:r>
      <w:r w:rsidRPr="00C216AC">
        <w:rPr>
          <w:rFonts w:cs="Times New Roman"/>
          <w:highlight w:val="yellow"/>
          <w:vertAlign w:val="superscript"/>
        </w:rPr>
        <w:t>ère</w:t>
      </w:r>
      <w:r w:rsidRPr="00C216AC">
        <w:rPr>
          <w:rFonts w:cs="Times New Roman"/>
          <w:highlight w:val="yellow"/>
        </w:rPr>
        <w:t xml:space="preserve"> infection urinaire de</w:t>
      </w:r>
    </w:p>
    <w:p w:rsidR="0023760E" w:rsidRPr="00C216AC" w:rsidRDefault="0023760E" w:rsidP="005D429F">
      <w:pPr>
        <w:pStyle w:val="Sansinterligne"/>
        <w:numPr>
          <w:ilvl w:val="2"/>
          <w:numId w:val="1197"/>
        </w:numPr>
        <w:rPr>
          <w:rFonts w:cs="Times New Roman"/>
          <w:highlight w:val="yellow"/>
        </w:rPr>
      </w:pPr>
      <w:r w:rsidRPr="00C216AC">
        <w:rPr>
          <w:rFonts w:cs="Times New Roman"/>
          <w:highlight w:val="yellow"/>
        </w:rPr>
        <w:t>♀ &lt; 2 ans</w:t>
      </w:r>
    </w:p>
    <w:p w:rsidR="0023760E" w:rsidRPr="00C216AC" w:rsidRDefault="0023760E" w:rsidP="005D429F">
      <w:pPr>
        <w:pStyle w:val="Sansinterligne"/>
        <w:numPr>
          <w:ilvl w:val="2"/>
          <w:numId w:val="1197"/>
        </w:numPr>
        <w:rPr>
          <w:rFonts w:cs="Times New Roman"/>
          <w:highlight w:val="yellow"/>
        </w:rPr>
      </w:pPr>
      <w:r w:rsidRPr="00C216AC">
        <w:rPr>
          <w:rFonts w:cs="Times New Roman"/>
          <w:highlight w:val="yellow"/>
        </w:rPr>
        <w:t>♂ peu importe l’âge</w:t>
      </w:r>
    </w:p>
    <w:p w:rsidR="00353E40" w:rsidRPr="00C216AC" w:rsidRDefault="00353E40" w:rsidP="005D429F">
      <w:pPr>
        <w:pStyle w:val="Sansinterligne"/>
        <w:numPr>
          <w:ilvl w:val="0"/>
          <w:numId w:val="1197"/>
        </w:numPr>
        <w:rPr>
          <w:rFonts w:cs="Times New Roman"/>
          <w:highlight w:val="yellow"/>
        </w:rPr>
      </w:pPr>
      <w:r w:rsidRPr="00C216AC">
        <w:rPr>
          <w:rFonts w:cs="Times New Roman"/>
          <w:highlight w:val="yellow"/>
        </w:rPr>
        <w:t>Si écho anormale ou 2</w:t>
      </w:r>
      <w:r w:rsidRPr="00C216AC">
        <w:rPr>
          <w:rFonts w:cs="Times New Roman"/>
          <w:highlight w:val="yellow"/>
          <w:vertAlign w:val="superscript"/>
        </w:rPr>
        <w:t>e</w:t>
      </w:r>
      <w:r w:rsidRPr="00C216AC">
        <w:rPr>
          <w:rFonts w:cs="Times New Roman"/>
          <w:highlight w:val="yellow"/>
        </w:rPr>
        <w:t xml:space="preserve"> épisode → cystographie mictionnelle indiquée</w:t>
      </w:r>
    </w:p>
    <w:p w:rsidR="00353E40" w:rsidRDefault="00353E40" w:rsidP="0045541D">
      <w:pPr>
        <w:pStyle w:val="Sansinterligne"/>
        <w:rPr>
          <w:rFonts w:cs="Times New Roman"/>
        </w:rPr>
      </w:pPr>
    </w:p>
    <w:p w:rsidR="00353E40" w:rsidRPr="00875460" w:rsidRDefault="00875460" w:rsidP="0045541D">
      <w:pPr>
        <w:pStyle w:val="Sansinterligne"/>
        <w:rPr>
          <w:rFonts w:cs="Times New Roman"/>
          <w:b/>
        </w:rPr>
      </w:pPr>
      <w:r w:rsidRPr="00875460">
        <w:rPr>
          <w:rFonts w:cs="Times New Roman"/>
          <w:b/>
        </w:rPr>
        <w:t>Pneumonie</w:t>
      </w:r>
    </w:p>
    <w:p w:rsidR="00875460" w:rsidRDefault="00875460" w:rsidP="005D429F">
      <w:pPr>
        <w:pStyle w:val="Sansinterligne"/>
        <w:numPr>
          <w:ilvl w:val="0"/>
          <w:numId w:val="1195"/>
        </w:numPr>
        <w:rPr>
          <w:rFonts w:cs="Times New Roman"/>
        </w:rPr>
      </w:pPr>
      <w:r>
        <w:rPr>
          <w:rFonts w:cs="Times New Roman"/>
        </w:rPr>
        <w:t>Réhydratation</w:t>
      </w:r>
    </w:p>
    <w:p w:rsidR="00875460" w:rsidRDefault="00875460" w:rsidP="005D429F">
      <w:pPr>
        <w:pStyle w:val="Sansinterligne"/>
        <w:numPr>
          <w:ilvl w:val="0"/>
          <w:numId w:val="1195"/>
        </w:numPr>
        <w:rPr>
          <w:rFonts w:cs="Times New Roman"/>
        </w:rPr>
      </w:pPr>
      <w:r>
        <w:rPr>
          <w:rFonts w:cs="Times New Roman"/>
        </w:rPr>
        <w:t>Acétaminophène</w:t>
      </w:r>
    </w:p>
    <w:p w:rsidR="00875460" w:rsidRDefault="00875460" w:rsidP="005D429F">
      <w:pPr>
        <w:pStyle w:val="Sansinterligne"/>
        <w:numPr>
          <w:ilvl w:val="0"/>
          <w:numId w:val="1195"/>
        </w:numPr>
        <w:rPr>
          <w:rFonts w:cs="Times New Roman"/>
        </w:rPr>
      </w:pPr>
      <w:r>
        <w:rPr>
          <w:rFonts w:cs="Times New Roman"/>
        </w:rPr>
        <w:t>Hospitalisation si jeune âge</w:t>
      </w:r>
    </w:p>
    <w:p w:rsidR="00875460" w:rsidRDefault="00875460" w:rsidP="005D429F">
      <w:pPr>
        <w:pStyle w:val="Sansinterligne"/>
        <w:numPr>
          <w:ilvl w:val="0"/>
          <w:numId w:val="1195"/>
        </w:numPr>
        <w:rPr>
          <w:rFonts w:cs="Times New Roman"/>
        </w:rPr>
      </w:pPr>
      <w:r>
        <w:rPr>
          <w:rFonts w:cs="Times New Roman"/>
        </w:rPr>
        <w:t>Antibiothérapie selon âge et germes suspectés</w:t>
      </w:r>
    </w:p>
    <w:p w:rsidR="00875460" w:rsidRDefault="00875460" w:rsidP="005D429F">
      <w:pPr>
        <w:pStyle w:val="Sansinterligne"/>
        <w:numPr>
          <w:ilvl w:val="1"/>
          <w:numId w:val="1195"/>
        </w:numPr>
        <w:rPr>
          <w:rFonts w:cs="Times New Roman"/>
        </w:rPr>
      </w:pPr>
      <w:r>
        <w:rPr>
          <w:rFonts w:cs="Times New Roman"/>
        </w:rPr>
        <w:t xml:space="preserve">Nouveau-né </w:t>
      </w:r>
      <w:r>
        <w:rPr>
          <w:rFonts w:ascii="Century Gothic" w:hAnsi="Century Gothic" w:cs="Times New Roman"/>
        </w:rPr>
        <w:t>→</w:t>
      </w:r>
      <w:r>
        <w:rPr>
          <w:rFonts w:cs="Times New Roman"/>
        </w:rPr>
        <w:t xml:space="preserve"> ampicilline + gentamicine IV</w:t>
      </w:r>
    </w:p>
    <w:p w:rsidR="00875460" w:rsidRDefault="00875460" w:rsidP="005D429F">
      <w:pPr>
        <w:pStyle w:val="Sansinterligne"/>
        <w:numPr>
          <w:ilvl w:val="1"/>
          <w:numId w:val="1195"/>
        </w:numPr>
        <w:rPr>
          <w:rFonts w:cs="Times New Roman"/>
        </w:rPr>
      </w:pPr>
      <w:r>
        <w:rPr>
          <w:rFonts w:cs="Times New Roman"/>
        </w:rPr>
        <w:t xml:space="preserve">1-3 mois </w:t>
      </w:r>
      <w:r>
        <w:rPr>
          <w:rFonts w:ascii="Century Gothic" w:hAnsi="Century Gothic" w:cs="Times New Roman"/>
        </w:rPr>
        <w:t>→</w:t>
      </w:r>
      <w:r>
        <w:rPr>
          <w:rFonts w:cs="Times New Roman"/>
        </w:rPr>
        <w:t xml:space="preserve"> ampicilline ou clarithromycine</w:t>
      </w:r>
    </w:p>
    <w:p w:rsidR="00875460" w:rsidRDefault="00875460" w:rsidP="005D429F">
      <w:pPr>
        <w:pStyle w:val="Sansinterligne"/>
        <w:numPr>
          <w:ilvl w:val="1"/>
          <w:numId w:val="1195"/>
        </w:numPr>
        <w:rPr>
          <w:rFonts w:cs="Times New Roman"/>
        </w:rPr>
      </w:pPr>
      <w:r>
        <w:rPr>
          <w:rFonts w:cs="Times New Roman"/>
        </w:rPr>
        <w:t xml:space="preserve">3 mois-5 ans </w:t>
      </w:r>
      <w:r>
        <w:rPr>
          <w:rFonts w:ascii="Century Gothic" w:hAnsi="Century Gothic" w:cs="Times New Roman"/>
        </w:rPr>
        <w:t>→</w:t>
      </w:r>
      <w:r>
        <w:rPr>
          <w:rFonts w:cs="Times New Roman"/>
        </w:rPr>
        <w:t xml:space="preserve"> Amoxicilline PO / Ampicilline IV</w:t>
      </w:r>
    </w:p>
    <w:p w:rsidR="00875460" w:rsidRPr="00875460" w:rsidRDefault="005306F5" w:rsidP="005D429F">
      <w:pPr>
        <w:pStyle w:val="Sansinterligne"/>
        <w:numPr>
          <w:ilvl w:val="1"/>
          <w:numId w:val="1195"/>
        </w:numPr>
        <w:rPr>
          <w:rFonts w:cs="Times New Roman"/>
        </w:rPr>
      </w:pPr>
      <w:r>
        <w:rPr>
          <w:noProof/>
          <w:lang w:eastAsia="fr-CA"/>
        </w:rPr>
        <w:drawing>
          <wp:anchor distT="0" distB="0" distL="114300" distR="114300" simplePos="0" relativeHeight="252060672" behindDoc="0" locked="0" layoutInCell="1" allowOverlap="1" wp14:anchorId="7341CE6F" wp14:editId="3E996485">
            <wp:simplePos x="0" y="0"/>
            <wp:positionH relativeFrom="column">
              <wp:posOffset>1316611</wp:posOffset>
            </wp:positionH>
            <wp:positionV relativeFrom="paragraph">
              <wp:posOffset>284804</wp:posOffset>
            </wp:positionV>
            <wp:extent cx="1848256" cy="1964988"/>
            <wp:effectExtent l="0" t="0" r="0" b="0"/>
            <wp:wrapNone/>
            <wp:docPr id="579" name="Image 579" descr="Résultats de recherche d'images pour « pneumonie pédiatriqu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Résultats de recherche d'images pour « pneumonie pédiatrique »"/>
                    <pic:cNvPicPr>
                      <a:picLocks noChangeAspect="1" noChangeArrowheads="1"/>
                    </pic:cNvPicPr>
                  </pic:nvPicPr>
                  <pic:blipFill rotWithShape="1">
                    <a:blip r:embed="rId378">
                      <a:extLst>
                        <a:ext uri="{28A0092B-C50C-407E-A947-70E740481C1C}">
                          <a14:useLocalDpi xmlns:a14="http://schemas.microsoft.com/office/drawing/2010/main" val="0"/>
                        </a:ext>
                      </a:extLst>
                    </a:blip>
                    <a:srcRect b="3346"/>
                    <a:stretch/>
                  </pic:blipFill>
                  <pic:spPr bwMode="auto">
                    <a:xfrm>
                      <a:off x="0" y="0"/>
                      <a:ext cx="1848256" cy="196498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75460" w:rsidRPr="00875460">
        <w:rPr>
          <w:rFonts w:cs="Times New Roman"/>
        </w:rPr>
        <w:t>Plus de 5 ans → Clarithromycine ou ampicilline</w:t>
      </w:r>
    </w:p>
    <w:p w:rsidR="00852A88" w:rsidRDefault="00852A88" w:rsidP="0045541D">
      <w:pPr>
        <w:pStyle w:val="Sansinterligne"/>
        <w:rPr>
          <w:rFonts w:cs="Times New Roman"/>
        </w:rPr>
      </w:pPr>
    </w:p>
    <w:p w:rsidR="00852A88" w:rsidRDefault="00852A88" w:rsidP="0045541D">
      <w:pPr>
        <w:pStyle w:val="Sansinterligne"/>
        <w:rPr>
          <w:rFonts w:cs="Times New Roman"/>
        </w:rPr>
      </w:pPr>
    </w:p>
    <w:p w:rsidR="00852A88" w:rsidRDefault="00852A88" w:rsidP="0045541D">
      <w:pPr>
        <w:pStyle w:val="Sansinterligne"/>
        <w:rPr>
          <w:rFonts w:cs="Times New Roman"/>
        </w:rPr>
      </w:pPr>
    </w:p>
    <w:p w:rsidR="00852A88" w:rsidRDefault="00852A88" w:rsidP="0045541D">
      <w:pPr>
        <w:pStyle w:val="Sansinterligne"/>
        <w:rPr>
          <w:rFonts w:cs="Times New Roman"/>
        </w:rPr>
      </w:pPr>
    </w:p>
    <w:p w:rsidR="00852A88" w:rsidRDefault="00852A88" w:rsidP="0045541D">
      <w:pPr>
        <w:pStyle w:val="Sansinterligne"/>
        <w:rPr>
          <w:rFonts w:cs="Times New Roman"/>
        </w:rPr>
      </w:pPr>
    </w:p>
    <w:p w:rsidR="00852A88" w:rsidRDefault="00852A88" w:rsidP="0045541D">
      <w:pPr>
        <w:pStyle w:val="Sansinterligne"/>
        <w:rPr>
          <w:rFonts w:cs="Times New Roman"/>
        </w:rPr>
      </w:pPr>
    </w:p>
    <w:p w:rsidR="00852A88" w:rsidRDefault="00852A88" w:rsidP="0045541D">
      <w:pPr>
        <w:pStyle w:val="Sansinterligne"/>
        <w:rPr>
          <w:rFonts w:cs="Times New Roman"/>
        </w:rPr>
      </w:pPr>
    </w:p>
    <w:p w:rsidR="00852A88" w:rsidRDefault="00852A88" w:rsidP="0045541D">
      <w:pPr>
        <w:pStyle w:val="Sansinterligne"/>
        <w:rPr>
          <w:rFonts w:cs="Times New Roman"/>
        </w:rPr>
      </w:pPr>
    </w:p>
    <w:p w:rsidR="00852A88" w:rsidRDefault="00852A88" w:rsidP="0045541D">
      <w:pPr>
        <w:pStyle w:val="Sansinterligne"/>
        <w:rPr>
          <w:rFonts w:cs="Times New Roman"/>
        </w:rPr>
        <w:sectPr w:rsidR="00852A88" w:rsidSect="00852A88">
          <w:type w:val="continuous"/>
          <w:pgSz w:w="12240" w:h="15840"/>
          <w:pgMar w:top="720" w:right="720" w:bottom="720" w:left="720" w:header="708" w:footer="708" w:gutter="0"/>
          <w:cols w:num="2" w:space="708"/>
          <w:docGrid w:linePitch="360"/>
        </w:sectPr>
      </w:pPr>
    </w:p>
    <w:p w:rsidR="00875460" w:rsidRPr="00353E40" w:rsidRDefault="00875460" w:rsidP="0045541D">
      <w:pPr>
        <w:pStyle w:val="Sansinterligne"/>
        <w:rPr>
          <w:rFonts w:cs="Times New Roman"/>
        </w:rPr>
      </w:pPr>
    </w:p>
    <w:p w:rsidR="0045541D" w:rsidRPr="00686B18" w:rsidRDefault="0045541D" w:rsidP="0045541D">
      <w:pPr>
        <w:pStyle w:val="Sansinterligne"/>
        <w:rPr>
          <w:b/>
        </w:rPr>
      </w:pPr>
      <w:r w:rsidRPr="00C4033C">
        <w:rPr>
          <w:b/>
          <w:highlight w:val="yellow"/>
        </w:rPr>
        <w:t>Maladie de Kawasaki</w:t>
      </w:r>
    </w:p>
    <w:p w:rsidR="0045541D" w:rsidRPr="00686B18" w:rsidRDefault="0045541D" w:rsidP="005D429F">
      <w:pPr>
        <w:pStyle w:val="Sansinterligne"/>
        <w:numPr>
          <w:ilvl w:val="0"/>
          <w:numId w:val="873"/>
        </w:numPr>
        <w:rPr>
          <w:highlight w:val="yellow"/>
        </w:rPr>
      </w:pPr>
      <w:r w:rsidRPr="00686B18">
        <w:rPr>
          <w:highlight w:val="yellow"/>
        </w:rPr>
        <w:t>Immunoglobulines (IVIg) – 2g/kg x 1</w:t>
      </w:r>
    </w:p>
    <w:p w:rsidR="00852A88" w:rsidRDefault="0045541D" w:rsidP="005D429F">
      <w:pPr>
        <w:pStyle w:val="Sansinterligne"/>
        <w:numPr>
          <w:ilvl w:val="0"/>
          <w:numId w:val="873"/>
        </w:numPr>
        <w:rPr>
          <w:highlight w:val="yellow"/>
        </w:rPr>
      </w:pPr>
      <w:r w:rsidRPr="00686B18">
        <w:rPr>
          <w:highlight w:val="yellow"/>
        </w:rPr>
        <w:t xml:space="preserve">Aspirine 30-50 mg/kg divisée en 4 doses/jour ad absence de fièvre x 48h </w:t>
      </w:r>
    </w:p>
    <w:p w:rsidR="0045541D" w:rsidRPr="00686B18" w:rsidRDefault="0045541D" w:rsidP="005D429F">
      <w:pPr>
        <w:pStyle w:val="Sansinterligne"/>
        <w:numPr>
          <w:ilvl w:val="1"/>
          <w:numId w:val="873"/>
        </w:numPr>
        <w:rPr>
          <w:highlight w:val="yellow"/>
        </w:rPr>
      </w:pPr>
      <w:r w:rsidRPr="00686B18">
        <w:rPr>
          <w:highlight w:val="yellow"/>
        </w:rPr>
        <w:t xml:space="preserve">puis </w:t>
      </w:r>
      <w:r w:rsidRPr="00686B18">
        <w:rPr>
          <w:rFonts w:cs="Times New Roman"/>
          <w:highlight w:val="yellow"/>
        </w:rPr>
        <w:t>↓</w:t>
      </w:r>
      <w:r w:rsidRPr="00686B18">
        <w:rPr>
          <w:highlight w:val="yellow"/>
        </w:rPr>
        <w:t xml:space="preserve"> 3-5 mg/kg DIE x7 10-jours</w:t>
      </w:r>
    </w:p>
    <w:p w:rsidR="0045541D" w:rsidRPr="00686B18" w:rsidRDefault="0045541D" w:rsidP="005D429F">
      <w:pPr>
        <w:pStyle w:val="Sansinterligne"/>
        <w:numPr>
          <w:ilvl w:val="0"/>
          <w:numId w:val="873"/>
        </w:numPr>
        <w:rPr>
          <w:highlight w:val="yellow"/>
        </w:rPr>
      </w:pPr>
      <w:r w:rsidRPr="00686B18">
        <w:rPr>
          <w:highlight w:val="yellow"/>
        </w:rPr>
        <w:t>Suivi à 7-10 jours.</w:t>
      </w:r>
    </w:p>
    <w:p w:rsidR="0045541D" w:rsidRDefault="0045541D" w:rsidP="005D429F">
      <w:pPr>
        <w:pStyle w:val="Sansinterligne"/>
        <w:numPr>
          <w:ilvl w:val="0"/>
          <w:numId w:val="873"/>
        </w:numPr>
        <w:rPr>
          <w:highlight w:val="yellow"/>
        </w:rPr>
      </w:pPr>
      <w:r w:rsidRPr="00686B18">
        <w:rPr>
          <w:highlight w:val="yellow"/>
        </w:rPr>
        <w:t xml:space="preserve">Échocardiographie à 2 et 6 semaines </w:t>
      </w:r>
      <w:r w:rsidRPr="00686B18">
        <w:rPr>
          <w:rFonts w:ascii="Century Gothic" w:hAnsi="Century Gothic"/>
          <w:highlight w:val="yellow"/>
        </w:rPr>
        <w:t>→</w:t>
      </w:r>
      <w:r w:rsidRPr="00686B18">
        <w:rPr>
          <w:highlight w:val="yellow"/>
        </w:rPr>
        <w:t xml:space="preserve"> éliminer anévrysmes</w:t>
      </w:r>
      <w:r w:rsidR="005760DE">
        <w:rPr>
          <w:highlight w:val="yellow"/>
        </w:rPr>
        <w:t xml:space="preserve"> coronariens</w:t>
      </w:r>
    </w:p>
    <w:p w:rsidR="00852A88" w:rsidRPr="00852A88" w:rsidRDefault="005760DE" w:rsidP="00852A88">
      <w:pPr>
        <w:pStyle w:val="Sansinterligne"/>
        <w:ind w:left="360"/>
        <w:rPr>
          <w:highlight w:val="yellow"/>
        </w:rPr>
      </w:pPr>
      <w:r>
        <w:rPr>
          <w:noProof/>
          <w:lang w:eastAsia="fr-CA"/>
        </w:rPr>
        <w:drawing>
          <wp:anchor distT="0" distB="0" distL="114300" distR="114300" simplePos="0" relativeHeight="252059648" behindDoc="0" locked="0" layoutInCell="1" allowOverlap="1" wp14:anchorId="1DB2273F" wp14:editId="56986910">
            <wp:simplePos x="0" y="0"/>
            <wp:positionH relativeFrom="column">
              <wp:posOffset>3416935</wp:posOffset>
            </wp:positionH>
            <wp:positionV relativeFrom="paragraph">
              <wp:posOffset>31115</wp:posOffset>
            </wp:positionV>
            <wp:extent cx="3201670" cy="2353945"/>
            <wp:effectExtent l="0" t="0" r="0" b="8255"/>
            <wp:wrapNone/>
            <wp:docPr id="578" name="Image 578" descr="Résultats de recherche d'images pour « leucémie lymphoblastique aigu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Résultats de recherche d'images pour « leucémie lymphoblastique aigue »"/>
                    <pic:cNvPicPr>
                      <a:picLocks noChangeAspect="1" noChangeArrowheads="1"/>
                    </pic:cNvPicPr>
                  </pic:nvPicPr>
                  <pic:blipFill>
                    <a:blip r:embed="rId379">
                      <a:extLst>
                        <a:ext uri="{28A0092B-C50C-407E-A947-70E740481C1C}">
                          <a14:useLocalDpi xmlns:a14="http://schemas.microsoft.com/office/drawing/2010/main" val="0"/>
                        </a:ext>
                      </a:extLst>
                    </a:blip>
                    <a:srcRect/>
                    <a:stretch>
                      <a:fillRect/>
                    </a:stretch>
                  </pic:blipFill>
                  <pic:spPr bwMode="auto">
                    <a:xfrm>
                      <a:off x="0" y="0"/>
                      <a:ext cx="3201670" cy="23539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72464" w:rsidRPr="007E41C7" w:rsidRDefault="00072464" w:rsidP="00072464">
      <w:pPr>
        <w:pStyle w:val="Sansinterligne"/>
        <w:rPr>
          <w:b/>
        </w:rPr>
      </w:pPr>
      <w:r w:rsidRPr="007E41C7">
        <w:rPr>
          <w:b/>
        </w:rPr>
        <w:t>Leucémie</w:t>
      </w:r>
      <w:r w:rsidR="00812BC9" w:rsidRPr="007E41C7">
        <w:rPr>
          <w:b/>
        </w:rPr>
        <w:t xml:space="preserve"> lymphoblastique</w:t>
      </w:r>
      <w:r w:rsidR="007E41C7">
        <w:rPr>
          <w:b/>
        </w:rPr>
        <w:t xml:space="preserve"> aigue</w:t>
      </w:r>
    </w:p>
    <w:p w:rsidR="00812BC9" w:rsidRDefault="00812BC9" w:rsidP="005D429F">
      <w:pPr>
        <w:pStyle w:val="Sansinterligne"/>
        <w:numPr>
          <w:ilvl w:val="0"/>
          <w:numId w:val="1201"/>
        </w:numPr>
      </w:pPr>
      <w:r>
        <w:t>Réhydratation généreuse</w:t>
      </w:r>
    </w:p>
    <w:p w:rsidR="00812BC9" w:rsidRDefault="00812BC9" w:rsidP="005D429F">
      <w:pPr>
        <w:pStyle w:val="Sansinterligne"/>
        <w:numPr>
          <w:ilvl w:val="0"/>
          <w:numId w:val="1201"/>
        </w:numPr>
      </w:pPr>
      <w:r>
        <w:t>ATB si fébrile</w:t>
      </w:r>
    </w:p>
    <w:p w:rsidR="00812BC9" w:rsidRDefault="00812BC9" w:rsidP="005D429F">
      <w:pPr>
        <w:pStyle w:val="Sansinterligne"/>
        <w:numPr>
          <w:ilvl w:val="0"/>
          <w:numId w:val="1201"/>
        </w:numPr>
      </w:pPr>
      <w:r>
        <w:t>Transfusions PRN</w:t>
      </w:r>
    </w:p>
    <w:p w:rsidR="00072464" w:rsidRDefault="00812BC9" w:rsidP="005D429F">
      <w:pPr>
        <w:pStyle w:val="Sansinterligne"/>
        <w:numPr>
          <w:ilvl w:val="0"/>
          <w:numId w:val="1201"/>
        </w:numPr>
      </w:pPr>
      <w:r>
        <w:t>Référence urgente en onco-pédiatrique</w:t>
      </w:r>
      <w:r w:rsidR="005306F5" w:rsidRPr="005306F5">
        <w:t xml:space="preserve"> </w:t>
      </w:r>
    </w:p>
    <w:p w:rsidR="00812BC9" w:rsidRDefault="00812BC9" w:rsidP="005D429F">
      <w:pPr>
        <w:pStyle w:val="Sansinterligne"/>
        <w:numPr>
          <w:ilvl w:val="0"/>
          <w:numId w:val="1201"/>
        </w:numPr>
      </w:pPr>
      <w:r>
        <w:t>Chimiothérapie adaptée au type de leucémie</w:t>
      </w:r>
    </w:p>
    <w:p w:rsidR="00812BC9" w:rsidRDefault="00812BC9" w:rsidP="00072464">
      <w:pPr>
        <w:pStyle w:val="Sansinterligne"/>
      </w:pPr>
    </w:p>
    <w:p w:rsidR="00072464" w:rsidRPr="007E41C7" w:rsidRDefault="00072464" w:rsidP="00072464">
      <w:pPr>
        <w:pStyle w:val="Sansinterligne"/>
        <w:rPr>
          <w:b/>
        </w:rPr>
      </w:pPr>
      <w:r w:rsidRPr="007E41C7">
        <w:rPr>
          <w:b/>
        </w:rPr>
        <w:t xml:space="preserve">Réaction </w:t>
      </w:r>
      <w:r w:rsidR="007E41C7" w:rsidRPr="007E41C7">
        <w:rPr>
          <w:b/>
        </w:rPr>
        <w:t xml:space="preserve">fébrile </w:t>
      </w:r>
      <w:r w:rsidRPr="007E41C7">
        <w:rPr>
          <w:b/>
        </w:rPr>
        <w:t>post-vaccinale</w:t>
      </w:r>
      <w:r w:rsidR="007E41C7" w:rsidRPr="007E41C7">
        <w:rPr>
          <w:b/>
        </w:rPr>
        <w:t xml:space="preserve"> (effet secondaire bénin)</w:t>
      </w:r>
    </w:p>
    <w:p w:rsidR="007E41C7" w:rsidRDefault="007E41C7" w:rsidP="005D429F">
      <w:pPr>
        <w:pStyle w:val="Sansinterligne"/>
        <w:numPr>
          <w:ilvl w:val="0"/>
          <w:numId w:val="1200"/>
        </w:numPr>
      </w:pPr>
      <w:r>
        <w:t>Rassurance</w:t>
      </w:r>
    </w:p>
    <w:p w:rsidR="007E41C7" w:rsidRDefault="007E41C7" w:rsidP="005D429F">
      <w:pPr>
        <w:pStyle w:val="Sansinterligne"/>
        <w:numPr>
          <w:ilvl w:val="0"/>
          <w:numId w:val="1200"/>
        </w:numPr>
      </w:pPr>
      <w:r>
        <w:t>Acétaminophène</w:t>
      </w:r>
    </w:p>
    <w:p w:rsidR="007F5CFD" w:rsidRDefault="007F5CFD">
      <w:pPr>
        <w:rPr>
          <w:rFonts w:cs="Times New Roman"/>
          <w:b/>
          <w:color w:val="548DD4" w:themeColor="text2" w:themeTint="99"/>
        </w:rPr>
      </w:pPr>
    </w:p>
    <w:p w:rsidR="007F5CFD" w:rsidRDefault="007F5CFD">
      <w:pPr>
        <w:rPr>
          <w:rFonts w:cs="Times New Roman"/>
          <w:b/>
          <w:color w:val="548DD4" w:themeColor="text2" w:themeTint="99"/>
        </w:rPr>
      </w:pPr>
      <w:r>
        <w:rPr>
          <w:rFonts w:cs="Times New Roman"/>
          <w:b/>
          <w:color w:val="548DD4" w:themeColor="text2" w:themeTint="99"/>
        </w:rPr>
        <w:br w:type="page"/>
      </w:r>
    </w:p>
    <w:p w:rsidR="00E06BD8" w:rsidRDefault="00E06BD8" w:rsidP="00E06BD8">
      <w:pPr>
        <w:spacing w:after="0"/>
        <w:rPr>
          <w:rFonts w:cs="Times New Roman"/>
          <w:b/>
          <w:color w:val="548DD4" w:themeColor="text2" w:themeTint="99"/>
        </w:rPr>
      </w:pPr>
      <w:r>
        <w:rPr>
          <w:rFonts w:cs="Times New Roman"/>
          <w:b/>
          <w:color w:val="548DD4" w:themeColor="text2" w:themeTint="99"/>
        </w:rPr>
        <w:t>CMC 112</w:t>
      </w:r>
    </w:p>
    <w:p w:rsidR="00E06BD8" w:rsidRPr="00E06BD8" w:rsidRDefault="00E06BD8" w:rsidP="00E06BD8">
      <w:pPr>
        <w:pStyle w:val="Titre3"/>
        <w:spacing w:before="0"/>
        <w:rPr>
          <w:rFonts w:ascii="Times New Roman" w:hAnsi="Times New Roman" w:cs="Times New Roman"/>
        </w:rPr>
      </w:pPr>
      <w:bookmarkStart w:id="386" w:name="_Toc480797337"/>
      <w:r w:rsidRPr="00E06BD8">
        <w:rPr>
          <w:rFonts w:ascii="Times New Roman" w:hAnsi="Times New Roman" w:cs="Times New Roman"/>
        </w:rPr>
        <w:t>Saignements vaginaux excessifs, irréguliers, anormaux</w:t>
      </w:r>
      <w:bookmarkEnd w:id="386"/>
    </w:p>
    <w:tbl>
      <w:tblPr>
        <w:tblW w:w="3858" w:type="pct"/>
        <w:tblCellSpacing w:w="0" w:type="dxa"/>
        <w:tblCellMar>
          <w:left w:w="0" w:type="dxa"/>
          <w:right w:w="0" w:type="dxa"/>
        </w:tblCellMar>
        <w:tblLook w:val="04A0" w:firstRow="1" w:lastRow="0" w:firstColumn="1" w:lastColumn="0" w:noHBand="0" w:noVBand="1"/>
      </w:tblPr>
      <w:tblGrid>
        <w:gridCol w:w="8333"/>
      </w:tblGrid>
      <w:tr w:rsidR="00E06BD8" w:rsidRPr="00E06BD8" w:rsidTr="00E06BD8">
        <w:trPr>
          <w:tblCellSpacing w:w="0" w:type="dxa"/>
        </w:trPr>
        <w:tc>
          <w:tcPr>
            <w:tcW w:w="0" w:type="auto"/>
            <w:vAlign w:val="bottom"/>
            <w:hideMark/>
          </w:tcPr>
          <w:bookmarkStart w:id="387" w:name="_Toc475198249"/>
          <w:bookmarkStart w:id="388" w:name="_Toc475563882"/>
          <w:p w:rsidR="00E06BD8" w:rsidRPr="00520ED3" w:rsidRDefault="00E06BD8" w:rsidP="00520ED3">
            <w:pPr>
              <w:pStyle w:val="Sansinterligne"/>
              <w:spacing w:before="240"/>
              <w:rPr>
                <w:b/>
                <w:sz w:val="18"/>
                <w:szCs w:val="18"/>
              </w:rPr>
            </w:pPr>
            <w:r w:rsidRPr="00520ED3">
              <w:rPr>
                <w:b/>
                <w:noProof/>
                <w:sz w:val="18"/>
                <w:szCs w:val="18"/>
                <w:lang w:eastAsia="fr-CA"/>
              </w:rPr>
              <mc:AlternateContent>
                <mc:Choice Requires="wps">
                  <w:drawing>
                    <wp:anchor distT="0" distB="0" distL="114300" distR="114300" simplePos="0" relativeHeight="251765760" behindDoc="0" locked="0" layoutInCell="1" allowOverlap="1" wp14:anchorId="30036819" wp14:editId="0DBD6665">
                      <wp:simplePos x="0" y="0"/>
                      <wp:positionH relativeFrom="column">
                        <wp:posOffset>-48638</wp:posOffset>
                      </wp:positionH>
                      <wp:positionV relativeFrom="paragraph">
                        <wp:posOffset>104721</wp:posOffset>
                      </wp:positionV>
                      <wp:extent cx="6887183" cy="3356043"/>
                      <wp:effectExtent l="0" t="0" r="28575" b="15875"/>
                      <wp:wrapNone/>
                      <wp:docPr id="282" name="Rectangle 282"/>
                      <wp:cNvGraphicFramePr/>
                      <a:graphic xmlns:a="http://schemas.openxmlformats.org/drawingml/2006/main">
                        <a:graphicData uri="http://schemas.microsoft.com/office/word/2010/wordprocessingShape">
                          <wps:wsp>
                            <wps:cNvSpPr/>
                            <wps:spPr>
                              <a:xfrm>
                                <a:off x="0" y="0"/>
                                <a:ext cx="6887183" cy="3356043"/>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282" o:spid="_x0000_s1026" style="position:absolute;margin-left:-3.85pt;margin-top:8.25pt;width:542.3pt;height:264.25pt;z-index:2517657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" filled="f" strokecolor="black [1600]" strokeweight="2pt"/>
                  </w:pict>
                </mc:Fallback>
              </mc:AlternateContent>
            </w:r>
            <w:r w:rsidRPr="00520ED3">
              <w:rPr>
                <w:b/>
                <w:sz w:val="18"/>
                <w:szCs w:val="18"/>
              </w:rPr>
              <w:t>Objectifs principaux</w:t>
            </w:r>
            <w:bookmarkEnd w:id="387"/>
            <w:bookmarkEnd w:id="388"/>
          </w:p>
        </w:tc>
      </w:tr>
    </w:tbl>
    <w:p w:rsidR="00E06BD8" w:rsidRPr="00E06BD8" w:rsidRDefault="00E06BD8" w:rsidP="00E06BD8">
      <w:pPr>
        <w:pStyle w:val="NormalWeb"/>
        <w:ind w:left="360"/>
        <w:rPr>
          <w:color w:val="000000"/>
          <w:sz w:val="18"/>
          <w:szCs w:val="18"/>
          <w:shd w:val="clear" w:color="auto" w:fill="FFFFFF"/>
        </w:rPr>
      </w:pPr>
      <w:r w:rsidRPr="00E06BD8">
        <w:rPr>
          <w:color w:val="000000"/>
          <w:sz w:val="18"/>
          <w:szCs w:val="18"/>
          <w:shd w:val="clear" w:color="auto" w:fill="FFFFFF"/>
        </w:rPr>
        <w:t>Dans le cas d'une patiente présentant des saignements vaginaux excessifs, irréguliers ou anormaux, le candidat devra en diagnostiquer la cause, la gravité et les complications, et mettre en place un plan de prise en charge approprié.</w:t>
      </w:r>
    </w:p>
    <w:tbl>
      <w:tblPr>
        <w:tblW w:w="3897" w:type="pct"/>
        <w:tblCellSpacing w:w="0" w:type="dxa"/>
        <w:tblCellMar>
          <w:left w:w="0" w:type="dxa"/>
          <w:right w:w="0" w:type="dxa"/>
        </w:tblCellMar>
        <w:tblLook w:val="04A0" w:firstRow="1" w:lastRow="0" w:firstColumn="1" w:lastColumn="0" w:noHBand="0" w:noVBand="1"/>
      </w:tblPr>
      <w:tblGrid>
        <w:gridCol w:w="8418"/>
      </w:tblGrid>
      <w:tr w:rsidR="00E06BD8" w:rsidRPr="00E06BD8" w:rsidTr="00E06BD8">
        <w:trPr>
          <w:tblCellSpacing w:w="0" w:type="dxa"/>
        </w:trPr>
        <w:tc>
          <w:tcPr>
            <w:tcW w:w="0" w:type="auto"/>
            <w:vAlign w:val="bottom"/>
            <w:hideMark/>
          </w:tcPr>
          <w:p w:rsidR="00E06BD8" w:rsidRPr="00520ED3" w:rsidRDefault="00E06BD8" w:rsidP="00520ED3">
            <w:pPr>
              <w:pStyle w:val="Sansinterligne"/>
              <w:rPr>
                <w:b/>
                <w:sz w:val="16"/>
                <w:szCs w:val="16"/>
              </w:rPr>
            </w:pPr>
            <w:bookmarkStart w:id="389" w:name="_Toc475198250"/>
            <w:bookmarkStart w:id="390" w:name="_Toc475563883"/>
            <w:r w:rsidRPr="00520ED3">
              <w:rPr>
                <w:b/>
                <w:sz w:val="16"/>
                <w:szCs w:val="16"/>
              </w:rPr>
              <w:t>Objectifs spécifiques</w:t>
            </w:r>
            <w:bookmarkEnd w:id="389"/>
            <w:bookmarkEnd w:id="390"/>
          </w:p>
        </w:tc>
      </w:tr>
    </w:tbl>
    <w:p w:rsidR="00E06BD8" w:rsidRPr="00E06BD8" w:rsidRDefault="00E06BD8" w:rsidP="00E06BD8">
      <w:pPr>
        <w:pStyle w:val="NormalWeb"/>
        <w:shd w:val="clear" w:color="auto" w:fill="FFFFFF"/>
        <w:ind w:left="360"/>
        <w:rPr>
          <w:color w:val="000000"/>
          <w:sz w:val="16"/>
          <w:szCs w:val="16"/>
          <w:shd w:val="clear" w:color="auto" w:fill="FFFFFF"/>
        </w:rPr>
      </w:pPr>
      <w:r w:rsidRPr="00E06BD8">
        <w:rPr>
          <w:color w:val="000000"/>
          <w:sz w:val="16"/>
          <w:szCs w:val="16"/>
          <w:shd w:val="clear" w:color="auto" w:fill="FFFFFF"/>
        </w:rPr>
        <w:t>Dans le cas d'une patiente présentant des saignements vaginaux excessifs, irréguliers ou anormaux, le candidat devra</w:t>
      </w:r>
    </w:p>
    <w:p w:rsidR="00E06BD8" w:rsidRPr="00E06BD8" w:rsidRDefault="00E06BD8" w:rsidP="000665D6">
      <w:pPr>
        <w:numPr>
          <w:ilvl w:val="0"/>
          <w:numId w:val="394"/>
        </w:numPr>
        <w:shd w:val="clear" w:color="auto" w:fill="FFFFFF"/>
        <w:spacing w:before="100" w:beforeAutospacing="1" w:after="100" w:afterAutospacing="1" w:line="240" w:lineRule="auto"/>
        <w:rPr>
          <w:rFonts w:cs="Times New Roman"/>
          <w:color w:val="000000"/>
          <w:sz w:val="16"/>
          <w:szCs w:val="16"/>
          <w:shd w:val="clear" w:color="auto" w:fill="FFFFFF"/>
        </w:rPr>
      </w:pPr>
      <w:r w:rsidRPr="00E06BD8">
        <w:rPr>
          <w:rFonts w:cs="Times New Roman"/>
          <w:color w:val="000000"/>
          <w:sz w:val="16"/>
          <w:szCs w:val="16"/>
          <w:shd w:val="clear" w:color="auto" w:fill="FFFFFF"/>
        </w:rPr>
        <w:t>énumérer et interpréter les constatations cliniques cruciales, notamment :</w:t>
      </w:r>
    </w:p>
    <w:p w:rsidR="00E06BD8" w:rsidRPr="00E06BD8" w:rsidRDefault="00E06BD8" w:rsidP="000665D6">
      <w:pPr>
        <w:numPr>
          <w:ilvl w:val="1"/>
          <w:numId w:val="394"/>
        </w:numPr>
        <w:shd w:val="clear" w:color="auto" w:fill="FFFFFF"/>
        <w:spacing w:before="100" w:beforeAutospacing="1" w:after="100" w:afterAutospacing="1" w:line="240" w:lineRule="auto"/>
        <w:rPr>
          <w:rFonts w:cs="Times New Roman"/>
          <w:color w:val="000000"/>
          <w:sz w:val="16"/>
          <w:szCs w:val="16"/>
          <w:shd w:val="clear" w:color="auto" w:fill="FFFFFF"/>
        </w:rPr>
      </w:pPr>
      <w:r w:rsidRPr="00E06BD8">
        <w:rPr>
          <w:rFonts w:cs="Times New Roman"/>
          <w:color w:val="000000"/>
          <w:sz w:val="16"/>
          <w:szCs w:val="16"/>
          <w:shd w:val="clear" w:color="auto" w:fill="FFFFFF"/>
        </w:rPr>
        <w:t>déterminer, avant toute autre intervention, si la patiente est hémodynamiquement stable;</w:t>
      </w:r>
    </w:p>
    <w:p w:rsidR="00E06BD8" w:rsidRPr="00E06BD8" w:rsidRDefault="00E06BD8" w:rsidP="000665D6">
      <w:pPr>
        <w:numPr>
          <w:ilvl w:val="1"/>
          <w:numId w:val="394"/>
        </w:numPr>
        <w:shd w:val="clear" w:color="auto" w:fill="FFFFFF"/>
        <w:spacing w:before="100" w:beforeAutospacing="1" w:after="100" w:afterAutospacing="1" w:line="240" w:lineRule="auto"/>
        <w:rPr>
          <w:rFonts w:cs="Times New Roman"/>
          <w:color w:val="000000"/>
          <w:sz w:val="16"/>
          <w:szCs w:val="16"/>
          <w:shd w:val="clear" w:color="auto" w:fill="FFFFFF"/>
        </w:rPr>
      </w:pPr>
      <w:r w:rsidRPr="00E06BD8">
        <w:rPr>
          <w:rFonts w:cs="Times New Roman"/>
          <w:color w:val="000000"/>
          <w:sz w:val="16"/>
          <w:szCs w:val="16"/>
          <w:shd w:val="clear" w:color="auto" w:fill="FFFFFF"/>
        </w:rPr>
        <w:t>faire une première distinction entre des saignements liés ou non à une grossesse;</w:t>
      </w:r>
    </w:p>
    <w:p w:rsidR="00E06BD8" w:rsidRPr="00E06BD8" w:rsidRDefault="00E06BD8" w:rsidP="000665D6">
      <w:pPr>
        <w:numPr>
          <w:ilvl w:val="1"/>
          <w:numId w:val="394"/>
        </w:numPr>
        <w:shd w:val="clear" w:color="auto" w:fill="FFFFFF"/>
        <w:spacing w:before="100" w:beforeAutospacing="1" w:after="100" w:afterAutospacing="1" w:line="240" w:lineRule="auto"/>
        <w:rPr>
          <w:rFonts w:cs="Times New Roman"/>
          <w:color w:val="000000"/>
          <w:sz w:val="16"/>
          <w:szCs w:val="16"/>
          <w:shd w:val="clear" w:color="auto" w:fill="FFFFFF"/>
        </w:rPr>
      </w:pPr>
      <w:r w:rsidRPr="00E06BD8">
        <w:rPr>
          <w:rFonts w:cs="Times New Roman"/>
          <w:color w:val="000000"/>
          <w:sz w:val="16"/>
          <w:szCs w:val="16"/>
          <w:shd w:val="clear" w:color="auto" w:fill="FFFFFF"/>
        </w:rPr>
        <w:t>si une grossesse est exclue, obtenir de l'information en vue de déterminer la cause sous-jacente des saignements (p. ex. saignements autres, médicaments) - effectuer un examen physique approprié, y compris, à moins d'indication contraire (p. ex. placenta prævia), un examen pelvien;</w:t>
      </w:r>
    </w:p>
    <w:p w:rsidR="00E06BD8" w:rsidRPr="00E06BD8" w:rsidRDefault="00E06BD8" w:rsidP="000665D6">
      <w:pPr>
        <w:numPr>
          <w:ilvl w:val="0"/>
          <w:numId w:val="394"/>
        </w:numPr>
        <w:shd w:val="clear" w:color="auto" w:fill="FFFFFF"/>
        <w:spacing w:before="100" w:beforeAutospacing="1" w:after="100" w:afterAutospacing="1" w:line="240" w:lineRule="auto"/>
        <w:rPr>
          <w:rFonts w:cs="Times New Roman"/>
          <w:color w:val="000000"/>
          <w:sz w:val="16"/>
          <w:szCs w:val="16"/>
          <w:shd w:val="clear" w:color="auto" w:fill="FFFFFF"/>
        </w:rPr>
      </w:pPr>
      <w:r w:rsidRPr="00E06BD8">
        <w:rPr>
          <w:rFonts w:cs="Times New Roman"/>
          <w:color w:val="000000"/>
          <w:sz w:val="16"/>
          <w:szCs w:val="16"/>
          <w:shd w:val="clear" w:color="auto" w:fill="FFFFFF"/>
        </w:rPr>
        <w:t>énumérer et interpréter les examens cliniques essentiels, notamment :</w:t>
      </w:r>
    </w:p>
    <w:p w:rsidR="00E06BD8" w:rsidRPr="00E06BD8" w:rsidRDefault="00E06BD8" w:rsidP="000665D6">
      <w:pPr>
        <w:numPr>
          <w:ilvl w:val="1"/>
          <w:numId w:val="394"/>
        </w:numPr>
        <w:shd w:val="clear" w:color="auto" w:fill="FFFFFF"/>
        <w:spacing w:before="100" w:beforeAutospacing="1" w:after="100" w:afterAutospacing="1" w:line="240" w:lineRule="auto"/>
        <w:rPr>
          <w:rFonts w:cs="Times New Roman"/>
          <w:color w:val="000000"/>
          <w:sz w:val="16"/>
          <w:szCs w:val="16"/>
          <w:shd w:val="clear" w:color="auto" w:fill="FFFFFF"/>
        </w:rPr>
      </w:pPr>
      <w:r w:rsidRPr="00E06BD8">
        <w:rPr>
          <w:rFonts w:cs="Times New Roman"/>
          <w:color w:val="000000"/>
          <w:sz w:val="16"/>
          <w:szCs w:val="16"/>
          <w:shd w:val="clear" w:color="auto" w:fill="FFFFFF"/>
        </w:rPr>
        <w:t>une formule sanguine, un test de grossesse et, en cas de grossesse récente, un dosage qualitatif et quantitatif de la ß-HCG;</w:t>
      </w:r>
    </w:p>
    <w:p w:rsidR="00E06BD8" w:rsidRPr="00E06BD8" w:rsidRDefault="00E06BD8" w:rsidP="000665D6">
      <w:pPr>
        <w:numPr>
          <w:ilvl w:val="1"/>
          <w:numId w:val="394"/>
        </w:numPr>
        <w:shd w:val="clear" w:color="auto" w:fill="FFFFFF"/>
        <w:spacing w:before="100" w:beforeAutospacing="1" w:after="100" w:afterAutospacing="1" w:line="240" w:lineRule="auto"/>
        <w:rPr>
          <w:rFonts w:cs="Times New Roman"/>
          <w:color w:val="000000"/>
          <w:sz w:val="16"/>
          <w:szCs w:val="16"/>
          <w:shd w:val="clear" w:color="auto" w:fill="FFFFFF"/>
        </w:rPr>
      </w:pPr>
      <w:r w:rsidRPr="00E06BD8">
        <w:rPr>
          <w:rFonts w:cs="Times New Roman"/>
          <w:color w:val="000000"/>
          <w:sz w:val="16"/>
          <w:szCs w:val="16"/>
          <w:shd w:val="clear" w:color="auto" w:fill="FFFFFF"/>
        </w:rPr>
        <w:t>la vérification de l'état ovulatoire et l'ordonnance d'examens diagnostiques indiqués en fonction de l'examen clinique;</w:t>
      </w:r>
    </w:p>
    <w:p w:rsidR="00E06BD8" w:rsidRPr="00E06BD8" w:rsidRDefault="00E06BD8" w:rsidP="000665D6">
      <w:pPr>
        <w:numPr>
          <w:ilvl w:val="1"/>
          <w:numId w:val="394"/>
        </w:numPr>
        <w:shd w:val="clear" w:color="auto" w:fill="FFFFFF"/>
        <w:spacing w:before="100" w:beforeAutospacing="1" w:after="100" w:afterAutospacing="1" w:line="240" w:lineRule="auto"/>
        <w:rPr>
          <w:rFonts w:cs="Times New Roman"/>
          <w:color w:val="000000"/>
          <w:sz w:val="16"/>
          <w:szCs w:val="16"/>
          <w:shd w:val="clear" w:color="auto" w:fill="FFFFFF"/>
        </w:rPr>
      </w:pPr>
      <w:r w:rsidRPr="00E06BD8">
        <w:rPr>
          <w:rFonts w:cs="Times New Roman"/>
          <w:color w:val="000000"/>
          <w:sz w:val="16"/>
          <w:szCs w:val="16"/>
          <w:shd w:val="clear" w:color="auto" w:fill="FFFFFF"/>
        </w:rPr>
        <w:t>la détermination à savoir si une évaluation plus poussée est requise;</w:t>
      </w:r>
    </w:p>
    <w:p w:rsidR="00E06BD8" w:rsidRPr="00E06BD8" w:rsidRDefault="00E06BD8" w:rsidP="000665D6">
      <w:pPr>
        <w:numPr>
          <w:ilvl w:val="0"/>
          <w:numId w:val="394"/>
        </w:numPr>
        <w:shd w:val="clear" w:color="auto" w:fill="FFFFFF"/>
        <w:spacing w:before="100" w:beforeAutospacing="1" w:after="100" w:afterAutospacing="1" w:line="240" w:lineRule="auto"/>
        <w:rPr>
          <w:rFonts w:cs="Times New Roman"/>
          <w:color w:val="000000"/>
          <w:sz w:val="16"/>
          <w:szCs w:val="16"/>
          <w:shd w:val="clear" w:color="auto" w:fill="FFFFFF"/>
        </w:rPr>
      </w:pPr>
      <w:r w:rsidRPr="00E06BD8">
        <w:rPr>
          <w:rFonts w:cs="Times New Roman"/>
          <w:color w:val="000000"/>
          <w:sz w:val="16"/>
          <w:szCs w:val="16"/>
          <w:shd w:val="clear" w:color="auto" w:fill="FFFFFF"/>
        </w:rPr>
        <w:t>établir un plan efficace de prise en charge initiale, notamment :</w:t>
      </w:r>
    </w:p>
    <w:p w:rsidR="00E06BD8" w:rsidRPr="00E06BD8" w:rsidRDefault="00E06BD8" w:rsidP="000665D6">
      <w:pPr>
        <w:numPr>
          <w:ilvl w:val="1"/>
          <w:numId w:val="394"/>
        </w:numPr>
        <w:shd w:val="clear" w:color="auto" w:fill="FFFFFF"/>
        <w:spacing w:before="100" w:beforeAutospacing="1" w:after="100" w:afterAutospacing="1" w:line="240" w:lineRule="auto"/>
        <w:rPr>
          <w:rFonts w:cs="Times New Roman"/>
          <w:color w:val="000000"/>
          <w:sz w:val="16"/>
          <w:szCs w:val="16"/>
          <w:shd w:val="clear" w:color="auto" w:fill="FFFFFF"/>
        </w:rPr>
      </w:pPr>
      <w:r w:rsidRPr="00E06BD8">
        <w:rPr>
          <w:rFonts w:cs="Times New Roman"/>
          <w:color w:val="000000"/>
          <w:sz w:val="16"/>
          <w:szCs w:val="16"/>
          <w:shd w:val="clear" w:color="auto" w:fill="FFFFFF"/>
        </w:rPr>
        <w:t>déterminer si la patiente a besoin de soins spécialisés ou urgents;</w:t>
      </w:r>
    </w:p>
    <w:p w:rsidR="00E06BD8" w:rsidRPr="00E06BD8" w:rsidRDefault="00E06BD8" w:rsidP="000665D6">
      <w:pPr>
        <w:numPr>
          <w:ilvl w:val="1"/>
          <w:numId w:val="394"/>
        </w:numPr>
        <w:shd w:val="clear" w:color="auto" w:fill="FFFFFF"/>
        <w:spacing w:before="100" w:beforeAutospacing="1" w:after="100" w:afterAutospacing="1" w:line="240" w:lineRule="auto"/>
        <w:rPr>
          <w:rFonts w:cs="Times New Roman"/>
          <w:color w:val="000000"/>
          <w:sz w:val="16"/>
          <w:szCs w:val="16"/>
          <w:shd w:val="clear" w:color="auto" w:fill="FFFFFF"/>
        </w:rPr>
      </w:pPr>
      <w:r w:rsidRPr="00E06BD8">
        <w:rPr>
          <w:rFonts w:cs="Times New Roman"/>
          <w:color w:val="000000"/>
          <w:sz w:val="16"/>
          <w:szCs w:val="16"/>
          <w:shd w:val="clear" w:color="auto" w:fill="FFFFFF"/>
        </w:rPr>
        <w:t>réanimer la patiente si elle est hémodynamiquement instable;</w:t>
      </w:r>
    </w:p>
    <w:p w:rsidR="00E06BD8" w:rsidRPr="00E06BD8" w:rsidRDefault="00E06BD8" w:rsidP="000665D6">
      <w:pPr>
        <w:numPr>
          <w:ilvl w:val="1"/>
          <w:numId w:val="394"/>
        </w:numPr>
        <w:shd w:val="clear" w:color="auto" w:fill="FFFFFF"/>
        <w:spacing w:before="100" w:beforeAutospacing="1" w:after="100" w:afterAutospacing="1" w:line="240" w:lineRule="auto"/>
        <w:rPr>
          <w:rFonts w:cs="Times New Roman"/>
          <w:color w:val="000000"/>
          <w:sz w:val="16"/>
          <w:szCs w:val="16"/>
          <w:shd w:val="clear" w:color="auto" w:fill="FFFFFF"/>
        </w:rPr>
      </w:pPr>
      <w:r w:rsidRPr="00E06BD8">
        <w:rPr>
          <w:rFonts w:cs="Times New Roman"/>
          <w:color w:val="000000"/>
          <w:sz w:val="16"/>
          <w:szCs w:val="16"/>
          <w:shd w:val="clear" w:color="auto" w:fill="FFFFFF"/>
        </w:rPr>
        <w:t>entreprendre un traitement médical de première ligne, s'il y a lieu, pour le contrôle de saignements vaginaux anormaux, puis diriger la patiente vers des soins chirurgicaux spécialisés;</w:t>
      </w:r>
    </w:p>
    <w:p w:rsidR="00E06BD8" w:rsidRPr="00E06BD8" w:rsidRDefault="00E06BD8" w:rsidP="000665D6">
      <w:pPr>
        <w:numPr>
          <w:ilvl w:val="1"/>
          <w:numId w:val="394"/>
        </w:numPr>
        <w:shd w:val="clear" w:color="auto" w:fill="FFFFFF"/>
        <w:spacing w:before="100" w:beforeAutospacing="1" w:after="100" w:afterAutospacing="1" w:line="240" w:lineRule="auto"/>
        <w:rPr>
          <w:rFonts w:cs="Times New Roman"/>
          <w:color w:val="000000"/>
          <w:sz w:val="16"/>
          <w:szCs w:val="16"/>
          <w:shd w:val="clear" w:color="auto" w:fill="FFFFFF"/>
        </w:rPr>
      </w:pPr>
      <w:r w:rsidRPr="00E06BD8">
        <w:rPr>
          <w:rFonts w:cs="Times New Roman"/>
          <w:color w:val="000000"/>
          <w:sz w:val="16"/>
          <w:szCs w:val="16"/>
          <w:shd w:val="clear" w:color="auto" w:fill="FFFFFF"/>
        </w:rPr>
        <w:t>si l'on soupçonne des sévices sexuels, donner un aperçu des responsabilités juridiques (p. ex. déclaration obligatoire);</w:t>
      </w:r>
    </w:p>
    <w:p w:rsidR="00E06BD8" w:rsidRPr="00E06BD8" w:rsidRDefault="00E06BD8" w:rsidP="000665D6">
      <w:pPr>
        <w:numPr>
          <w:ilvl w:val="1"/>
          <w:numId w:val="394"/>
        </w:numPr>
        <w:shd w:val="clear" w:color="auto" w:fill="FFFFFF"/>
        <w:spacing w:before="100" w:beforeAutospacing="1" w:after="100" w:afterAutospacing="1" w:line="240" w:lineRule="auto"/>
        <w:rPr>
          <w:rFonts w:cs="Times New Roman"/>
          <w:color w:val="000000"/>
          <w:sz w:val="16"/>
          <w:szCs w:val="16"/>
          <w:shd w:val="clear" w:color="auto" w:fill="FFFFFF"/>
        </w:rPr>
      </w:pPr>
      <w:r w:rsidRPr="00E06BD8">
        <w:rPr>
          <w:rFonts w:cs="Times New Roman"/>
          <w:color w:val="000000"/>
          <w:sz w:val="16"/>
          <w:szCs w:val="16"/>
          <w:shd w:val="clear" w:color="auto" w:fill="FFFFFF"/>
        </w:rPr>
        <w:t>reconnaître les besoins éventuels de la patiente en matière de counseling et de soutien en tant que victime de sévices sexuels.</w:t>
      </w:r>
    </w:p>
    <w:p w:rsidR="00361764" w:rsidRPr="002424E3" w:rsidRDefault="002424E3" w:rsidP="00887A13">
      <w:pPr>
        <w:pStyle w:val="Sansinterligne"/>
        <w:rPr>
          <w:rFonts w:cs="Times New Roman"/>
          <w:b/>
          <w:sz w:val="28"/>
          <w:szCs w:val="28"/>
        </w:rPr>
      </w:pPr>
      <w:r w:rsidRPr="002424E3">
        <w:rPr>
          <w:rFonts w:cs="Times New Roman"/>
          <w:b/>
          <w:sz w:val="28"/>
          <w:szCs w:val="28"/>
        </w:rPr>
        <w:t>Définition </w:t>
      </w:r>
    </w:p>
    <w:p w:rsidR="002424E3" w:rsidRDefault="002424E3" w:rsidP="00887A13">
      <w:pPr>
        <w:pStyle w:val="Sansinterligne"/>
        <w:rPr>
          <w:rFonts w:cs="Times New Roman"/>
        </w:rPr>
      </w:pPr>
    </w:p>
    <w:p w:rsidR="00361764" w:rsidRPr="00F103CF" w:rsidRDefault="00361764" w:rsidP="00887A13">
      <w:pPr>
        <w:pStyle w:val="Sansinterligne"/>
        <w:rPr>
          <w:rFonts w:cs="Times New Roman"/>
          <w:highlight w:val="yellow"/>
        </w:rPr>
      </w:pPr>
      <w:r w:rsidRPr="00F103CF">
        <w:rPr>
          <w:rFonts w:cs="Times New Roman"/>
          <w:highlight w:val="yellow"/>
          <w:u w:val="single"/>
        </w:rPr>
        <w:t>Ménorragie</w:t>
      </w:r>
      <w:r w:rsidR="002424E3" w:rsidRPr="00F103CF">
        <w:rPr>
          <w:rFonts w:cs="Times New Roman"/>
          <w:highlight w:val="yellow"/>
        </w:rPr>
        <w:t xml:space="preserve"> : saignements </w:t>
      </w:r>
      <w:r w:rsidR="009461B1" w:rsidRPr="00F103CF">
        <w:rPr>
          <w:rFonts w:cs="Times New Roman"/>
          <w:highlight w:val="yellow"/>
        </w:rPr>
        <w:t xml:space="preserve">menstruels </w:t>
      </w:r>
      <w:r w:rsidR="002424E3" w:rsidRPr="00F103CF">
        <w:rPr>
          <w:rFonts w:cs="Times New Roman"/>
          <w:highlight w:val="yellow"/>
        </w:rPr>
        <w:t>réguliers excessivement abondant (</w:t>
      </w:r>
      <w:r w:rsidR="002424E3" w:rsidRPr="00F103CF">
        <w:rPr>
          <w:rFonts w:ascii="Century Gothic" w:hAnsi="Century Gothic" w:cs="Times New Roman"/>
          <w:highlight w:val="yellow"/>
        </w:rPr>
        <w:t>&gt;</w:t>
      </w:r>
      <w:r w:rsidR="002424E3" w:rsidRPr="00F103CF">
        <w:rPr>
          <w:rFonts w:cs="Times New Roman"/>
          <w:highlight w:val="yellow"/>
        </w:rPr>
        <w:t xml:space="preserve">80 ml/cycle) ou long </w:t>
      </w:r>
      <w:r w:rsidR="002424E3" w:rsidRPr="00F103CF">
        <w:rPr>
          <w:rFonts w:ascii="Century Gothic" w:hAnsi="Century Gothic" w:cs="Times New Roman"/>
          <w:highlight w:val="yellow"/>
        </w:rPr>
        <w:t>&gt;</w:t>
      </w:r>
      <w:r w:rsidR="002424E3" w:rsidRPr="00F103CF">
        <w:rPr>
          <w:rFonts w:cs="Times New Roman"/>
          <w:highlight w:val="yellow"/>
        </w:rPr>
        <w:t xml:space="preserve"> 7 jours</w:t>
      </w:r>
    </w:p>
    <w:p w:rsidR="00361764" w:rsidRPr="00F103CF" w:rsidRDefault="002424E3" w:rsidP="00887A13">
      <w:pPr>
        <w:pStyle w:val="Sansinterligne"/>
        <w:rPr>
          <w:rFonts w:cs="Times New Roman"/>
          <w:highlight w:val="yellow"/>
        </w:rPr>
      </w:pPr>
      <w:r w:rsidRPr="00F103CF">
        <w:rPr>
          <w:rFonts w:cs="Times New Roman"/>
          <w:highlight w:val="yellow"/>
          <w:u w:val="single"/>
        </w:rPr>
        <w:t>Métrorragie</w:t>
      </w:r>
      <w:r w:rsidRPr="00F103CF">
        <w:rPr>
          <w:rFonts w:cs="Times New Roman"/>
          <w:highlight w:val="yellow"/>
        </w:rPr>
        <w:t> : saignements irréguliers, survenant entre les périodes menstruelles</w:t>
      </w:r>
    </w:p>
    <w:p w:rsidR="009461B1" w:rsidRPr="00887A13" w:rsidRDefault="009461B1" w:rsidP="00887A13">
      <w:pPr>
        <w:pStyle w:val="Sansinterligne"/>
        <w:rPr>
          <w:rFonts w:cs="Times New Roman"/>
        </w:rPr>
      </w:pPr>
      <w:r w:rsidRPr="00F103CF">
        <w:rPr>
          <w:rFonts w:cs="Times New Roman"/>
          <w:highlight w:val="yellow"/>
          <w:u w:val="single"/>
        </w:rPr>
        <w:t>Ménométrorragie</w:t>
      </w:r>
      <w:r w:rsidRPr="00F103CF">
        <w:rPr>
          <w:rFonts w:cs="Times New Roman"/>
          <w:highlight w:val="yellow"/>
        </w:rPr>
        <w:t> : saignements menstruels excessivement abondant et survenant de façon irrégulière entre les périodes</w:t>
      </w:r>
    </w:p>
    <w:p w:rsidR="002424E3" w:rsidRPr="002424E3" w:rsidRDefault="00361764" w:rsidP="00887A13">
      <w:pPr>
        <w:pStyle w:val="Sansinterligne"/>
        <w:rPr>
          <w:rFonts w:cs="Times New Roman"/>
          <w:b/>
          <w:sz w:val="28"/>
          <w:szCs w:val="28"/>
        </w:rPr>
      </w:pPr>
      <w:r w:rsidRPr="00887A13">
        <w:rPr>
          <w:rFonts w:cs="Times New Roman"/>
        </w:rPr>
        <w:br/>
      </w:r>
      <w:r w:rsidR="002424E3" w:rsidRPr="002424E3">
        <w:rPr>
          <w:rFonts w:cs="Times New Roman"/>
          <w:b/>
          <w:sz w:val="28"/>
          <w:szCs w:val="28"/>
        </w:rPr>
        <w:t>Évaluation initiale</w:t>
      </w:r>
    </w:p>
    <w:p w:rsidR="002424E3" w:rsidRDefault="002424E3" w:rsidP="00887A13">
      <w:pPr>
        <w:pStyle w:val="Sansinterligne"/>
        <w:rPr>
          <w:rFonts w:cs="Times New Roman"/>
        </w:rPr>
      </w:pPr>
    </w:p>
    <w:p w:rsidR="00E06BD8" w:rsidRDefault="00A0362C" w:rsidP="00887A13">
      <w:pPr>
        <w:pStyle w:val="Sansinterligne"/>
        <w:rPr>
          <w:rFonts w:cs="Times New Roman"/>
        </w:rPr>
      </w:pPr>
      <w:r>
        <w:rPr>
          <w:rFonts w:cs="Times New Roman"/>
        </w:rPr>
        <w:t xml:space="preserve">Initialement, il faut évaluer la stabilité de la patiente. Il faut rechercher une tension artérielle basse une hypovolémie, une altération de l’état de conscience et d’autres signes de choc. Voir </w:t>
      </w:r>
      <w:r w:rsidRPr="00A0362C">
        <w:rPr>
          <w:rFonts w:cs="Times New Roman"/>
          <w:i/>
        </w:rPr>
        <w:t>Hypotension, état de choc CMC 9-2</w:t>
      </w:r>
      <w:r>
        <w:rPr>
          <w:rFonts w:cs="Times New Roman"/>
          <w:i/>
        </w:rPr>
        <w:t>.</w:t>
      </w:r>
      <w:r w:rsidR="00A35CE4">
        <w:rPr>
          <w:rFonts w:cs="Times New Roman"/>
          <w:i/>
        </w:rPr>
        <w:t xml:space="preserve"> </w:t>
      </w:r>
      <w:r w:rsidR="00A35CE4">
        <w:rPr>
          <w:rFonts w:cs="Times New Roman"/>
        </w:rPr>
        <w:t>L’algorithme ABC de l’ACLS peut être utilisé. Si au terme de cette évaluation la patiente est instable, il faudra débuter la réanimation.</w:t>
      </w:r>
    </w:p>
    <w:p w:rsidR="00A35CE4" w:rsidRPr="00A35CE4" w:rsidRDefault="00A35CE4" w:rsidP="00887A13">
      <w:pPr>
        <w:pStyle w:val="Sansinterligne"/>
        <w:rPr>
          <w:rFonts w:cs="Times New Roman"/>
        </w:rPr>
      </w:pPr>
    </w:p>
    <w:p w:rsidR="00A35CE4" w:rsidRDefault="00A35CE4" w:rsidP="00887A13">
      <w:pPr>
        <w:pStyle w:val="Sansinterligne"/>
        <w:rPr>
          <w:rFonts w:cs="Times New Roman"/>
        </w:rPr>
      </w:pPr>
      <w:r>
        <w:rPr>
          <w:rFonts w:cs="Times New Roman"/>
        </w:rPr>
        <w:t xml:space="preserve">Il faut rapidement connaître le statut obstétrical de la patiente. </w:t>
      </w:r>
      <w:r w:rsidRPr="00A35CE4">
        <w:rPr>
          <w:rFonts w:cs="Times New Roman"/>
          <w:highlight w:val="yellow"/>
        </w:rPr>
        <w:t>Est-elle enceinte ?</w:t>
      </w:r>
    </w:p>
    <w:p w:rsidR="00A35CE4" w:rsidRDefault="00A35CE4" w:rsidP="00887A13">
      <w:pPr>
        <w:pStyle w:val="Sansinterligne"/>
        <w:rPr>
          <w:rFonts w:cs="Times New Roman"/>
        </w:rPr>
      </w:pPr>
      <w:r>
        <w:rPr>
          <w:rFonts w:cs="Times New Roman"/>
        </w:rPr>
        <w:t xml:space="preserve">Si connu tant mieux, sinon un </w:t>
      </w:r>
      <w:r w:rsidRPr="00A35CE4">
        <w:rPr>
          <w:rFonts w:cs="Times New Roman"/>
          <w:highlight w:val="yellow"/>
        </w:rPr>
        <w:t>β</w:t>
      </w:r>
      <w:r w:rsidR="00380562" w:rsidRPr="00A35CE4">
        <w:rPr>
          <w:rFonts w:cs="Times New Roman"/>
          <w:highlight w:val="yellow"/>
        </w:rPr>
        <w:t>-HCG</w:t>
      </w:r>
      <w:r w:rsidR="00380562" w:rsidRPr="00887A13">
        <w:rPr>
          <w:rFonts w:cs="Times New Roman"/>
        </w:rPr>
        <w:t xml:space="preserve"> </w:t>
      </w:r>
      <w:r w:rsidR="00D263C6">
        <w:rPr>
          <w:rFonts w:cs="Times New Roman"/>
        </w:rPr>
        <w:t>sera</w:t>
      </w:r>
      <w:r>
        <w:rPr>
          <w:rFonts w:cs="Times New Roman"/>
        </w:rPr>
        <w:t xml:space="preserve"> fait d’emblée chez toute femme en âge de procréer, particulièrement dans ce contexte. Un e</w:t>
      </w:r>
      <w:r w:rsidR="00380562" w:rsidRPr="00887A13">
        <w:rPr>
          <w:rFonts w:cs="Times New Roman"/>
        </w:rPr>
        <w:t xml:space="preserve">xamen pelvien et </w:t>
      </w:r>
      <w:r>
        <w:rPr>
          <w:rFonts w:cs="Times New Roman"/>
        </w:rPr>
        <w:t xml:space="preserve">au </w:t>
      </w:r>
      <w:r w:rsidR="00380562" w:rsidRPr="00887A13">
        <w:rPr>
          <w:rFonts w:cs="Times New Roman"/>
        </w:rPr>
        <w:t xml:space="preserve">spéculum </w:t>
      </w:r>
      <w:r>
        <w:rPr>
          <w:rFonts w:cs="Times New Roman"/>
        </w:rPr>
        <w:t>aidera ensuite à déterminer l’origine du saignement.</w:t>
      </w:r>
    </w:p>
    <w:p w:rsidR="00380562" w:rsidRPr="00887A13" w:rsidRDefault="00A35CE4" w:rsidP="00887A13">
      <w:pPr>
        <w:pStyle w:val="Sansinterligne"/>
        <w:rPr>
          <w:rFonts w:cs="Times New Roman"/>
        </w:rPr>
      </w:pPr>
      <w:r w:rsidRPr="00A35CE4">
        <w:rPr>
          <w:rFonts w:cs="Times New Roman"/>
          <w:highlight w:val="yellow"/>
        </w:rPr>
        <w:t>S’abstenir de manœuvres vaginales si</w:t>
      </w:r>
      <w:r w:rsidR="00380562" w:rsidRPr="00A35CE4">
        <w:rPr>
          <w:rFonts w:cs="Times New Roman"/>
          <w:highlight w:val="yellow"/>
        </w:rPr>
        <w:t xml:space="preserve"> placenta praevia, vasa praevia</w:t>
      </w:r>
      <w:r w:rsidRPr="00A35CE4">
        <w:rPr>
          <w:rFonts w:cs="Times New Roman"/>
          <w:highlight w:val="yellow"/>
        </w:rPr>
        <w:t xml:space="preserve"> (en cas de grossesse).</w:t>
      </w:r>
    </w:p>
    <w:p w:rsidR="002424E3" w:rsidRDefault="002424E3" w:rsidP="00887A13">
      <w:pPr>
        <w:pStyle w:val="Sansinterligne"/>
        <w:rPr>
          <w:rFonts w:cs="Times New Roman"/>
          <w:b/>
          <w:sz w:val="28"/>
          <w:szCs w:val="28"/>
        </w:rPr>
      </w:pPr>
    </w:p>
    <w:p w:rsidR="00380562" w:rsidRPr="00996F52" w:rsidRDefault="00380562" w:rsidP="00887A13">
      <w:pPr>
        <w:pStyle w:val="Sansinterligne"/>
        <w:rPr>
          <w:rFonts w:cs="Times New Roman"/>
          <w:b/>
          <w:sz w:val="28"/>
          <w:szCs w:val="28"/>
        </w:rPr>
      </w:pPr>
      <w:r w:rsidRPr="00996F52">
        <w:rPr>
          <w:rFonts w:cs="Times New Roman"/>
          <w:b/>
          <w:sz w:val="28"/>
          <w:szCs w:val="28"/>
        </w:rPr>
        <w:t>D</w:t>
      </w:r>
      <w:r w:rsidR="00996F52" w:rsidRPr="00996F52">
        <w:rPr>
          <w:rFonts w:cs="Times New Roman"/>
          <w:b/>
          <w:sz w:val="28"/>
          <w:szCs w:val="28"/>
        </w:rPr>
        <w:t>iagnostics</w:t>
      </w:r>
      <w:r w:rsidR="00352C00">
        <w:rPr>
          <w:rFonts w:cs="Times New Roman"/>
          <w:b/>
          <w:sz w:val="28"/>
          <w:szCs w:val="28"/>
        </w:rPr>
        <w:t xml:space="preserve"> (non-exhaustifs)</w:t>
      </w:r>
    </w:p>
    <w:p w:rsidR="00996F52" w:rsidRPr="00887A13" w:rsidRDefault="00996F52" w:rsidP="00887A13">
      <w:pPr>
        <w:pStyle w:val="Sansinterligne"/>
        <w:rPr>
          <w:rFonts w:cs="Times New Roman"/>
        </w:rPr>
      </w:pPr>
    </w:p>
    <w:tbl>
      <w:tblPr>
        <w:tblStyle w:val="Grilledutableau"/>
        <w:tblW w:w="0" w:type="auto"/>
        <w:tblLook w:val="04A0" w:firstRow="1" w:lastRow="0" w:firstColumn="1" w:lastColumn="0" w:noHBand="0" w:noVBand="1"/>
      </w:tblPr>
      <w:tblGrid>
        <w:gridCol w:w="3085"/>
        <w:gridCol w:w="4111"/>
        <w:gridCol w:w="3744"/>
      </w:tblGrid>
      <w:tr w:rsidR="00887A13" w:rsidRPr="00887A13" w:rsidTr="002479F6">
        <w:tc>
          <w:tcPr>
            <w:tcW w:w="10940" w:type="dxa"/>
            <w:gridSpan w:val="3"/>
            <w:shd w:val="clear" w:color="auto" w:fill="D99594" w:themeFill="accent2" w:themeFillTint="99"/>
          </w:tcPr>
          <w:p w:rsidR="00887A13" w:rsidRPr="00887A13" w:rsidRDefault="00887A13" w:rsidP="00887A13">
            <w:pPr>
              <w:pStyle w:val="Sansinterligne"/>
              <w:jc w:val="center"/>
              <w:rPr>
                <w:rFonts w:cs="Times New Roman"/>
                <w:b/>
              </w:rPr>
            </w:pPr>
            <w:r w:rsidRPr="00887A13">
              <w:rPr>
                <w:rFonts w:cs="Times New Roman"/>
                <w:b/>
              </w:rPr>
              <w:t>Saignements en grossesse</w:t>
            </w:r>
          </w:p>
        </w:tc>
      </w:tr>
      <w:tr w:rsidR="003825A8" w:rsidRPr="00887A13" w:rsidTr="00352C00">
        <w:tc>
          <w:tcPr>
            <w:tcW w:w="3085" w:type="dxa"/>
          </w:tcPr>
          <w:p w:rsidR="003825A8" w:rsidRPr="003825A8" w:rsidRDefault="003825A8" w:rsidP="003825A8">
            <w:pPr>
              <w:pStyle w:val="Sansinterligne"/>
              <w:jc w:val="center"/>
              <w:rPr>
                <w:rFonts w:cs="Times New Roman"/>
                <w:i/>
              </w:rPr>
            </w:pPr>
            <w:r w:rsidRPr="003825A8">
              <w:rPr>
                <w:rFonts w:cs="Times New Roman"/>
                <w:i/>
              </w:rPr>
              <w:t>Diagnostic</w:t>
            </w:r>
          </w:p>
        </w:tc>
        <w:tc>
          <w:tcPr>
            <w:tcW w:w="4111" w:type="dxa"/>
          </w:tcPr>
          <w:p w:rsidR="003825A8" w:rsidRPr="003825A8" w:rsidRDefault="003825A8" w:rsidP="003825A8">
            <w:pPr>
              <w:pStyle w:val="Sansinterligne"/>
              <w:jc w:val="center"/>
              <w:rPr>
                <w:rFonts w:cs="Times New Roman"/>
                <w:i/>
              </w:rPr>
            </w:pPr>
            <w:r w:rsidRPr="003825A8">
              <w:rPr>
                <w:rFonts w:cs="Times New Roman"/>
                <w:i/>
              </w:rPr>
              <w:t>Facteurs de risque, épidémiologie</w:t>
            </w:r>
          </w:p>
        </w:tc>
        <w:tc>
          <w:tcPr>
            <w:tcW w:w="3744" w:type="dxa"/>
          </w:tcPr>
          <w:p w:rsidR="003825A8" w:rsidRPr="003825A8" w:rsidRDefault="003825A8" w:rsidP="003825A8">
            <w:pPr>
              <w:pStyle w:val="Sansinterligne"/>
              <w:jc w:val="center"/>
              <w:rPr>
                <w:rFonts w:cs="Times New Roman"/>
                <w:i/>
              </w:rPr>
            </w:pPr>
            <w:r w:rsidRPr="003825A8">
              <w:rPr>
                <w:rFonts w:cs="Times New Roman"/>
                <w:i/>
              </w:rPr>
              <w:t>Manifestations cliniques</w:t>
            </w:r>
          </w:p>
        </w:tc>
      </w:tr>
      <w:tr w:rsidR="003825A8" w:rsidRPr="00887A13" w:rsidTr="00352C00">
        <w:tc>
          <w:tcPr>
            <w:tcW w:w="3085" w:type="dxa"/>
          </w:tcPr>
          <w:p w:rsidR="003825A8" w:rsidRPr="00887A13" w:rsidRDefault="003825A8" w:rsidP="00887A13">
            <w:pPr>
              <w:pStyle w:val="Sansinterligne"/>
              <w:rPr>
                <w:rFonts w:cs="Times New Roman"/>
              </w:rPr>
            </w:pPr>
            <w:r w:rsidRPr="00887A13">
              <w:rPr>
                <w:rFonts w:cs="Times New Roman"/>
              </w:rPr>
              <w:t>Saignement d’implantation</w:t>
            </w:r>
          </w:p>
        </w:tc>
        <w:tc>
          <w:tcPr>
            <w:tcW w:w="4111" w:type="dxa"/>
          </w:tcPr>
          <w:p w:rsidR="003825A8" w:rsidRDefault="00C13814" w:rsidP="000665D6">
            <w:pPr>
              <w:pStyle w:val="Sansinterligne"/>
              <w:numPr>
                <w:ilvl w:val="0"/>
                <w:numId w:val="397"/>
              </w:numPr>
              <w:rPr>
                <w:rFonts w:cs="Times New Roman"/>
              </w:rPr>
            </w:pPr>
            <w:r>
              <w:rPr>
                <w:rFonts w:cs="Times New Roman"/>
              </w:rPr>
              <w:t>Diagnostic d’exclusion</w:t>
            </w:r>
          </w:p>
          <w:p w:rsidR="00C13814" w:rsidRPr="00887A13" w:rsidRDefault="00C13814" w:rsidP="000665D6">
            <w:pPr>
              <w:pStyle w:val="Sansinterligne"/>
              <w:numPr>
                <w:ilvl w:val="0"/>
                <w:numId w:val="397"/>
              </w:numPr>
              <w:rPr>
                <w:rFonts w:cs="Times New Roman"/>
              </w:rPr>
            </w:pPr>
            <w:r>
              <w:rPr>
                <w:rFonts w:cs="Times New Roman"/>
              </w:rPr>
              <w:t>~ 10-14 jours post-fécondation</w:t>
            </w:r>
          </w:p>
        </w:tc>
        <w:tc>
          <w:tcPr>
            <w:tcW w:w="3744" w:type="dxa"/>
          </w:tcPr>
          <w:p w:rsidR="003825A8" w:rsidRDefault="00C13814" w:rsidP="000665D6">
            <w:pPr>
              <w:pStyle w:val="Sansinterligne"/>
              <w:numPr>
                <w:ilvl w:val="0"/>
                <w:numId w:val="397"/>
              </w:numPr>
              <w:rPr>
                <w:rFonts w:cs="Times New Roman"/>
              </w:rPr>
            </w:pPr>
            <w:r>
              <w:rPr>
                <w:rFonts w:cs="Times New Roman"/>
              </w:rPr>
              <w:t>Spotting</w:t>
            </w:r>
          </w:p>
          <w:p w:rsidR="005B101F" w:rsidRPr="00887A13" w:rsidRDefault="005B101F" w:rsidP="000665D6">
            <w:pPr>
              <w:pStyle w:val="Sansinterligne"/>
              <w:numPr>
                <w:ilvl w:val="0"/>
                <w:numId w:val="397"/>
              </w:numPr>
              <w:rPr>
                <w:rFonts w:cs="Times New Roman"/>
              </w:rPr>
            </w:pPr>
            <w:r>
              <w:rPr>
                <w:rFonts w:cs="Times New Roman"/>
              </w:rPr>
              <w:t>Col fermé</w:t>
            </w:r>
          </w:p>
        </w:tc>
      </w:tr>
      <w:tr w:rsidR="00F879B8" w:rsidRPr="00887A13" w:rsidTr="00F879B8">
        <w:tc>
          <w:tcPr>
            <w:tcW w:w="3085" w:type="dxa"/>
          </w:tcPr>
          <w:p w:rsidR="00F879B8" w:rsidRDefault="00F879B8" w:rsidP="00887A13">
            <w:pPr>
              <w:pStyle w:val="Sansinterligne"/>
              <w:rPr>
                <w:rFonts w:cs="Times New Roman"/>
              </w:rPr>
            </w:pPr>
            <w:r>
              <w:rPr>
                <w:rFonts w:cs="Times New Roman"/>
              </w:rPr>
              <w:t>Col friable / Ectropion</w:t>
            </w:r>
          </w:p>
        </w:tc>
        <w:tc>
          <w:tcPr>
            <w:tcW w:w="4111" w:type="dxa"/>
          </w:tcPr>
          <w:p w:rsidR="00F879B8" w:rsidRDefault="00F879B8" w:rsidP="000665D6">
            <w:pPr>
              <w:pStyle w:val="Sansinterligne"/>
              <w:numPr>
                <w:ilvl w:val="0"/>
                <w:numId w:val="397"/>
              </w:numPr>
              <w:rPr>
                <w:rFonts w:cs="Times New Roman"/>
              </w:rPr>
            </w:pPr>
            <w:r>
              <w:rPr>
                <w:rFonts w:cs="Times New Roman"/>
              </w:rPr>
              <w:t>Fréquent en grossesse</w:t>
            </w:r>
          </w:p>
          <w:p w:rsidR="00F879B8" w:rsidRPr="00887A13" w:rsidRDefault="00F879B8" w:rsidP="000665D6">
            <w:pPr>
              <w:pStyle w:val="Sansinterligne"/>
              <w:numPr>
                <w:ilvl w:val="0"/>
                <w:numId w:val="397"/>
              </w:numPr>
              <w:rPr>
                <w:rFonts w:cs="Times New Roman"/>
              </w:rPr>
            </w:pPr>
            <w:r>
              <w:rPr>
                <w:rFonts w:cs="Times New Roman"/>
              </w:rPr>
              <w:t>Bénin</w:t>
            </w:r>
          </w:p>
        </w:tc>
        <w:tc>
          <w:tcPr>
            <w:tcW w:w="3744" w:type="dxa"/>
          </w:tcPr>
          <w:p w:rsidR="00F879B8" w:rsidRDefault="00F879B8" w:rsidP="000665D6">
            <w:pPr>
              <w:pStyle w:val="Sansinterligne"/>
              <w:numPr>
                <w:ilvl w:val="0"/>
                <w:numId w:val="397"/>
              </w:numPr>
              <w:rPr>
                <w:rFonts w:cs="Times New Roman"/>
              </w:rPr>
            </w:pPr>
            <w:r>
              <w:rPr>
                <w:rFonts w:cs="Times New Roman"/>
              </w:rPr>
              <w:t>Léger saignement au contact du col</w:t>
            </w:r>
          </w:p>
          <w:p w:rsidR="00F879B8" w:rsidRPr="00887A13" w:rsidRDefault="00F879B8" w:rsidP="000665D6">
            <w:pPr>
              <w:pStyle w:val="Sansinterligne"/>
              <w:numPr>
                <w:ilvl w:val="0"/>
                <w:numId w:val="397"/>
              </w:numPr>
              <w:rPr>
                <w:rFonts w:cs="Times New Roman"/>
              </w:rPr>
            </w:pPr>
            <w:r>
              <w:rPr>
                <w:rFonts w:cs="Times New Roman"/>
              </w:rPr>
              <w:t>Provoqué par coït ou examen gynécologique</w:t>
            </w:r>
          </w:p>
        </w:tc>
      </w:tr>
      <w:tr w:rsidR="00551F31" w:rsidRPr="00887A13" w:rsidTr="00352C00">
        <w:tc>
          <w:tcPr>
            <w:tcW w:w="3085" w:type="dxa"/>
          </w:tcPr>
          <w:p w:rsidR="00551F31" w:rsidRPr="00887A13" w:rsidRDefault="00551F31" w:rsidP="00887A13">
            <w:pPr>
              <w:pStyle w:val="Sansinterligne"/>
              <w:rPr>
                <w:rFonts w:cs="Times New Roman"/>
              </w:rPr>
            </w:pPr>
            <w:r w:rsidRPr="00460262">
              <w:rPr>
                <w:rFonts w:cs="Times New Roman"/>
                <w:highlight w:val="yellow"/>
              </w:rPr>
              <w:t>Môle hydatiforme</w:t>
            </w:r>
          </w:p>
        </w:tc>
        <w:tc>
          <w:tcPr>
            <w:tcW w:w="4111" w:type="dxa"/>
          </w:tcPr>
          <w:p w:rsidR="00551F31" w:rsidRDefault="00551F31" w:rsidP="000665D6">
            <w:pPr>
              <w:pStyle w:val="Sansinterligne"/>
              <w:numPr>
                <w:ilvl w:val="0"/>
                <w:numId w:val="395"/>
              </w:numPr>
              <w:rPr>
                <w:rFonts w:cs="Times New Roman"/>
              </w:rPr>
            </w:pPr>
            <w:r>
              <w:rPr>
                <w:rFonts w:cs="Times New Roman"/>
              </w:rPr>
              <w:t>1</w:t>
            </w:r>
            <w:r w:rsidRPr="00551F31">
              <w:rPr>
                <w:rFonts w:cs="Times New Roman"/>
                <w:vertAlign w:val="superscript"/>
              </w:rPr>
              <w:t>er</w:t>
            </w:r>
            <w:r>
              <w:rPr>
                <w:rFonts w:cs="Times New Roman"/>
              </w:rPr>
              <w:t xml:space="preserve"> trimestre</w:t>
            </w:r>
            <w:r w:rsidR="00352C00">
              <w:rPr>
                <w:rFonts w:cs="Times New Roman"/>
              </w:rPr>
              <w:t>, 1 grossesse /1000</w:t>
            </w:r>
          </w:p>
          <w:p w:rsidR="00352C00" w:rsidRDefault="00352C00" w:rsidP="000665D6">
            <w:pPr>
              <w:pStyle w:val="Sansinterligne"/>
              <w:numPr>
                <w:ilvl w:val="0"/>
                <w:numId w:val="395"/>
              </w:numPr>
              <w:rPr>
                <w:rFonts w:cs="Times New Roman"/>
              </w:rPr>
            </w:pPr>
            <w:r>
              <w:rPr>
                <w:rFonts w:cs="Times New Roman"/>
              </w:rPr>
              <w:t>80% sont bénignes</w:t>
            </w:r>
          </w:p>
          <w:p w:rsidR="00352C00" w:rsidRPr="00887A13" w:rsidRDefault="00352C00" w:rsidP="000665D6">
            <w:pPr>
              <w:pStyle w:val="Sansinterligne"/>
              <w:numPr>
                <w:ilvl w:val="0"/>
                <w:numId w:val="395"/>
              </w:numPr>
              <w:rPr>
                <w:rFonts w:cs="Times New Roman"/>
              </w:rPr>
            </w:pPr>
            <w:r>
              <w:rPr>
                <w:rFonts w:cs="Times New Roman"/>
              </w:rPr>
              <w:t>Facteur de risque géographique (Asie du Sud-Est)</w:t>
            </w:r>
          </w:p>
        </w:tc>
        <w:tc>
          <w:tcPr>
            <w:tcW w:w="3744" w:type="dxa"/>
          </w:tcPr>
          <w:p w:rsidR="00551F31" w:rsidRPr="00352C00" w:rsidRDefault="00352C00" w:rsidP="000665D6">
            <w:pPr>
              <w:pStyle w:val="Sansinterligne"/>
              <w:numPr>
                <w:ilvl w:val="0"/>
                <w:numId w:val="395"/>
              </w:numPr>
              <w:rPr>
                <w:rFonts w:cs="Times New Roman"/>
                <w:highlight w:val="yellow"/>
              </w:rPr>
            </w:pPr>
            <w:r w:rsidRPr="00352C00">
              <w:rPr>
                <w:rFonts w:cs="Times New Roman"/>
                <w:highlight w:val="yellow"/>
              </w:rPr>
              <w:t xml:space="preserve">Saignement </w:t>
            </w:r>
          </w:p>
          <w:p w:rsidR="00352C00" w:rsidRPr="00352C00" w:rsidRDefault="00352C00" w:rsidP="000665D6">
            <w:pPr>
              <w:pStyle w:val="Sansinterligne"/>
              <w:numPr>
                <w:ilvl w:val="0"/>
                <w:numId w:val="395"/>
              </w:numPr>
              <w:rPr>
                <w:rFonts w:cs="Times New Roman"/>
                <w:highlight w:val="yellow"/>
              </w:rPr>
            </w:pPr>
            <w:r w:rsidRPr="00352C00">
              <w:rPr>
                <w:rFonts w:cs="Times New Roman"/>
                <w:highlight w:val="yellow"/>
              </w:rPr>
              <w:t>Hyperemesis gravidarum (No/Vo)</w:t>
            </w:r>
          </w:p>
          <w:p w:rsidR="00352C00" w:rsidRDefault="00352C00" w:rsidP="000665D6">
            <w:pPr>
              <w:pStyle w:val="Sansinterligne"/>
              <w:numPr>
                <w:ilvl w:val="0"/>
                <w:numId w:val="395"/>
              </w:numPr>
              <w:rPr>
                <w:rFonts w:cs="Times New Roman"/>
              </w:rPr>
            </w:pPr>
            <w:r w:rsidRPr="00352C00">
              <w:rPr>
                <w:rFonts w:cs="Times New Roman"/>
                <w:highlight w:val="yellow"/>
              </w:rPr>
              <w:t>Prééclampsie / HTA</w:t>
            </w:r>
          </w:p>
          <w:p w:rsidR="00352C00" w:rsidRPr="00887A13" w:rsidRDefault="00352C00" w:rsidP="000665D6">
            <w:pPr>
              <w:pStyle w:val="Sansinterligne"/>
              <w:numPr>
                <w:ilvl w:val="0"/>
                <w:numId w:val="395"/>
              </w:numPr>
              <w:rPr>
                <w:rFonts w:cs="Times New Roman"/>
              </w:rPr>
            </w:pPr>
            <w:r>
              <w:rPr>
                <w:rFonts w:cs="Times New Roman"/>
              </w:rPr>
              <w:t xml:space="preserve">Utérus </w:t>
            </w:r>
            <w:r>
              <w:rPr>
                <w:rFonts w:ascii="Century Gothic" w:hAnsi="Century Gothic" w:cs="Times New Roman"/>
              </w:rPr>
              <w:t>↑↑↑</w:t>
            </w:r>
            <w:r>
              <w:rPr>
                <w:rFonts w:cs="Times New Roman"/>
              </w:rPr>
              <w:t xml:space="preserve"> taille p/r DDM</w:t>
            </w:r>
          </w:p>
        </w:tc>
      </w:tr>
      <w:tr w:rsidR="003825A8" w:rsidRPr="00887A13" w:rsidTr="00352C00">
        <w:tc>
          <w:tcPr>
            <w:tcW w:w="3085" w:type="dxa"/>
          </w:tcPr>
          <w:p w:rsidR="003825A8" w:rsidRPr="00887A13" w:rsidRDefault="003825A8" w:rsidP="00887A13">
            <w:pPr>
              <w:pStyle w:val="Sansinterligne"/>
              <w:rPr>
                <w:rFonts w:cs="Times New Roman"/>
              </w:rPr>
            </w:pPr>
            <w:r w:rsidRPr="00460262">
              <w:rPr>
                <w:rFonts w:cs="Times New Roman"/>
                <w:highlight w:val="yellow"/>
              </w:rPr>
              <w:t>Avortement</w:t>
            </w:r>
          </w:p>
        </w:tc>
        <w:tc>
          <w:tcPr>
            <w:tcW w:w="7855" w:type="dxa"/>
            <w:gridSpan w:val="2"/>
          </w:tcPr>
          <w:p w:rsidR="003825A8" w:rsidRPr="00887A13" w:rsidRDefault="003825A8" w:rsidP="00887A13">
            <w:pPr>
              <w:pStyle w:val="Sansinterligne"/>
              <w:rPr>
                <w:rFonts w:cs="Times New Roman"/>
              </w:rPr>
            </w:pPr>
            <w:r w:rsidRPr="00887A13">
              <w:rPr>
                <w:rFonts w:cs="Times New Roman"/>
              </w:rPr>
              <w:t xml:space="preserve">Voir </w:t>
            </w:r>
            <w:r w:rsidRPr="00887A13">
              <w:rPr>
                <w:rFonts w:cs="Times New Roman"/>
                <w:i/>
              </w:rPr>
              <w:t>Avortement spontané ou fausse couche CMC 81</w:t>
            </w:r>
          </w:p>
        </w:tc>
      </w:tr>
      <w:tr w:rsidR="003825A8" w:rsidRPr="00887A13" w:rsidTr="00352C00">
        <w:tc>
          <w:tcPr>
            <w:tcW w:w="3085" w:type="dxa"/>
          </w:tcPr>
          <w:p w:rsidR="003825A8" w:rsidRPr="00460262" w:rsidRDefault="003825A8" w:rsidP="00887A13">
            <w:pPr>
              <w:pStyle w:val="Sansinterligne"/>
              <w:rPr>
                <w:rFonts w:cs="Times New Roman"/>
                <w:highlight w:val="yellow"/>
              </w:rPr>
            </w:pPr>
            <w:r w:rsidRPr="00460262">
              <w:rPr>
                <w:rFonts w:cs="Times New Roman"/>
                <w:highlight w:val="yellow"/>
              </w:rPr>
              <w:t>Grossesse ectopique</w:t>
            </w:r>
          </w:p>
        </w:tc>
        <w:tc>
          <w:tcPr>
            <w:tcW w:w="7855" w:type="dxa"/>
            <w:gridSpan w:val="2"/>
          </w:tcPr>
          <w:p w:rsidR="003825A8" w:rsidRPr="00887A13" w:rsidRDefault="003825A8" w:rsidP="00BD09BC">
            <w:pPr>
              <w:pStyle w:val="Sansinterligne"/>
              <w:rPr>
                <w:rFonts w:cs="Times New Roman"/>
              </w:rPr>
            </w:pPr>
            <w:r w:rsidRPr="00887A13">
              <w:rPr>
                <w:rFonts w:cs="Times New Roman"/>
              </w:rPr>
              <w:t xml:space="preserve">Voir </w:t>
            </w:r>
            <w:r>
              <w:rPr>
                <w:rFonts w:cs="Times New Roman"/>
                <w:i/>
              </w:rPr>
              <w:t>Douleur pelvienne CMC 73</w:t>
            </w:r>
          </w:p>
        </w:tc>
      </w:tr>
      <w:tr w:rsidR="003825A8" w:rsidRPr="00887A13" w:rsidTr="00352C00">
        <w:tc>
          <w:tcPr>
            <w:tcW w:w="3085" w:type="dxa"/>
          </w:tcPr>
          <w:p w:rsidR="003825A8" w:rsidRPr="00460262" w:rsidRDefault="003825A8" w:rsidP="00887A13">
            <w:pPr>
              <w:pStyle w:val="Sansinterligne"/>
              <w:rPr>
                <w:rFonts w:cs="Times New Roman"/>
                <w:highlight w:val="yellow"/>
              </w:rPr>
            </w:pPr>
            <w:r w:rsidRPr="00460262">
              <w:rPr>
                <w:rFonts w:cs="Times New Roman"/>
                <w:highlight w:val="yellow"/>
              </w:rPr>
              <w:t>DPPNI</w:t>
            </w:r>
          </w:p>
        </w:tc>
        <w:tc>
          <w:tcPr>
            <w:tcW w:w="4111" w:type="dxa"/>
          </w:tcPr>
          <w:p w:rsidR="00E43A3B" w:rsidRPr="00887A13" w:rsidRDefault="00551F31" w:rsidP="00887A13">
            <w:pPr>
              <w:pStyle w:val="Sansinterligne"/>
              <w:rPr>
                <w:rFonts w:cs="Times New Roman"/>
              </w:rPr>
            </w:pPr>
            <w:r>
              <w:rPr>
                <w:rFonts w:cs="Times New Roman"/>
              </w:rPr>
              <w:t>2</w:t>
            </w:r>
            <w:r w:rsidRPr="00551F31">
              <w:rPr>
                <w:rFonts w:cs="Times New Roman"/>
                <w:vertAlign w:val="superscript"/>
              </w:rPr>
              <w:t>e</w:t>
            </w:r>
            <w:r>
              <w:rPr>
                <w:rFonts w:cs="Times New Roman"/>
              </w:rPr>
              <w:t xml:space="preserve"> et 3</w:t>
            </w:r>
            <w:r w:rsidRPr="00551F31">
              <w:rPr>
                <w:rFonts w:cs="Times New Roman"/>
                <w:vertAlign w:val="superscript"/>
              </w:rPr>
              <w:t>e</w:t>
            </w:r>
            <w:r>
              <w:rPr>
                <w:rFonts w:cs="Times New Roman"/>
              </w:rPr>
              <w:t xml:space="preserve"> trimestre</w:t>
            </w:r>
          </w:p>
        </w:tc>
        <w:tc>
          <w:tcPr>
            <w:tcW w:w="3744" w:type="dxa"/>
          </w:tcPr>
          <w:p w:rsidR="003825A8" w:rsidRPr="00E43A3B" w:rsidRDefault="007E7880" w:rsidP="00887A13">
            <w:pPr>
              <w:pStyle w:val="Sansinterligne"/>
              <w:rPr>
                <w:rFonts w:cs="Times New Roman"/>
                <w:highlight w:val="yellow"/>
              </w:rPr>
            </w:pPr>
            <w:r w:rsidRPr="00E43A3B">
              <w:rPr>
                <w:rFonts w:cs="Times New Roman"/>
                <w:highlight w:val="yellow"/>
              </w:rPr>
              <w:t xml:space="preserve">Saignement </w:t>
            </w:r>
            <w:r w:rsidRPr="00E43A3B">
              <w:rPr>
                <w:rFonts w:cs="Times New Roman"/>
                <w:highlight w:val="yellow"/>
                <w:u w:val="single"/>
              </w:rPr>
              <w:t>douloureux</w:t>
            </w:r>
          </w:p>
          <w:p w:rsidR="007E7880" w:rsidRPr="00E43A3B" w:rsidRDefault="007E7880" w:rsidP="00887A13">
            <w:pPr>
              <w:pStyle w:val="Sansinterligne"/>
              <w:rPr>
                <w:rFonts w:cs="Times New Roman"/>
                <w:highlight w:val="yellow"/>
              </w:rPr>
            </w:pPr>
            <w:r w:rsidRPr="00E43A3B">
              <w:rPr>
                <w:rFonts w:cs="Times New Roman"/>
                <w:highlight w:val="yellow"/>
              </w:rPr>
              <w:t>Sensibilité utérine ± contractions</w:t>
            </w:r>
          </w:p>
          <w:p w:rsidR="007E7880" w:rsidRPr="00E43A3B" w:rsidRDefault="007E7880" w:rsidP="00887A13">
            <w:pPr>
              <w:pStyle w:val="Sansinterligne"/>
              <w:rPr>
                <w:rFonts w:cs="Times New Roman"/>
                <w:highlight w:val="yellow"/>
              </w:rPr>
            </w:pPr>
            <w:r w:rsidRPr="00E43A3B">
              <w:rPr>
                <w:rFonts w:cs="Times New Roman"/>
                <w:highlight w:val="yellow"/>
              </w:rPr>
              <w:t>HypoTA selon le volume des pertes</w:t>
            </w:r>
          </w:p>
          <w:p w:rsidR="007E7880" w:rsidRPr="00E43A3B" w:rsidRDefault="007E7880" w:rsidP="00887A13">
            <w:pPr>
              <w:pStyle w:val="Sansinterligne"/>
              <w:rPr>
                <w:rFonts w:cs="Times New Roman"/>
                <w:highlight w:val="yellow"/>
              </w:rPr>
            </w:pPr>
            <w:r w:rsidRPr="00E43A3B">
              <w:rPr>
                <w:rFonts w:cs="Times New Roman"/>
                <w:highlight w:val="yellow"/>
              </w:rPr>
              <w:t>Mort foetale</w:t>
            </w:r>
          </w:p>
        </w:tc>
      </w:tr>
      <w:tr w:rsidR="003825A8" w:rsidRPr="00887A13" w:rsidTr="00352C00">
        <w:tc>
          <w:tcPr>
            <w:tcW w:w="3085" w:type="dxa"/>
          </w:tcPr>
          <w:p w:rsidR="003825A8" w:rsidRPr="00460262" w:rsidRDefault="003825A8" w:rsidP="00887A13">
            <w:pPr>
              <w:pStyle w:val="Sansinterligne"/>
              <w:rPr>
                <w:rFonts w:cs="Times New Roman"/>
                <w:highlight w:val="yellow"/>
              </w:rPr>
            </w:pPr>
            <w:r w:rsidRPr="00460262">
              <w:rPr>
                <w:rFonts w:cs="Times New Roman"/>
                <w:highlight w:val="yellow"/>
              </w:rPr>
              <w:t>Placenta praevia</w:t>
            </w:r>
          </w:p>
        </w:tc>
        <w:tc>
          <w:tcPr>
            <w:tcW w:w="4111" w:type="dxa"/>
          </w:tcPr>
          <w:p w:rsidR="003825A8" w:rsidRDefault="00551F31" w:rsidP="00887A13">
            <w:pPr>
              <w:pStyle w:val="Sansinterligne"/>
              <w:rPr>
                <w:rFonts w:cs="Times New Roman"/>
              </w:rPr>
            </w:pPr>
            <w:r>
              <w:rPr>
                <w:rFonts w:cs="Times New Roman"/>
              </w:rPr>
              <w:t>2</w:t>
            </w:r>
            <w:r w:rsidRPr="00551F31">
              <w:rPr>
                <w:rFonts w:cs="Times New Roman"/>
                <w:vertAlign w:val="superscript"/>
              </w:rPr>
              <w:t>e</w:t>
            </w:r>
            <w:r>
              <w:rPr>
                <w:rFonts w:cs="Times New Roman"/>
              </w:rPr>
              <w:t xml:space="preserve"> et 3</w:t>
            </w:r>
            <w:r w:rsidRPr="00551F31">
              <w:rPr>
                <w:rFonts w:cs="Times New Roman"/>
                <w:vertAlign w:val="superscript"/>
              </w:rPr>
              <w:t>e</w:t>
            </w:r>
            <w:r>
              <w:rPr>
                <w:rFonts w:cs="Times New Roman"/>
              </w:rPr>
              <w:t xml:space="preserve"> trimestre</w:t>
            </w:r>
          </w:p>
          <w:p w:rsidR="00E43A3B" w:rsidRDefault="00E43A3B" w:rsidP="00887A13">
            <w:pPr>
              <w:pStyle w:val="Sansinterligne"/>
              <w:rPr>
                <w:rFonts w:cs="Times New Roman"/>
              </w:rPr>
            </w:pPr>
            <w:r>
              <w:rPr>
                <w:rFonts w:cs="Times New Roman"/>
              </w:rPr>
              <w:t>Moyenne à 30 semaines de grossesse</w:t>
            </w:r>
          </w:p>
          <w:p w:rsidR="00E43A3B" w:rsidRPr="00887A13" w:rsidRDefault="00E43A3B" w:rsidP="00887A13">
            <w:pPr>
              <w:pStyle w:val="Sansinterligne"/>
              <w:rPr>
                <w:rFonts w:cs="Times New Roman"/>
              </w:rPr>
            </w:pPr>
            <w:r>
              <w:rPr>
                <w:rFonts w:cs="Times New Roman"/>
              </w:rPr>
              <w:t>NE PAS FAIRE D’EXAMEN VAGINAL AVANT ÉCHOGRAPHIE (R/O)</w:t>
            </w:r>
          </w:p>
        </w:tc>
        <w:tc>
          <w:tcPr>
            <w:tcW w:w="3744" w:type="dxa"/>
          </w:tcPr>
          <w:p w:rsidR="003825A8" w:rsidRPr="00E43A3B" w:rsidRDefault="00E43A3B" w:rsidP="00887A13">
            <w:pPr>
              <w:pStyle w:val="Sansinterligne"/>
              <w:rPr>
                <w:rFonts w:cs="Times New Roman"/>
                <w:highlight w:val="yellow"/>
              </w:rPr>
            </w:pPr>
            <w:r w:rsidRPr="00E43A3B">
              <w:rPr>
                <w:rFonts w:cs="Times New Roman"/>
                <w:highlight w:val="yellow"/>
              </w:rPr>
              <w:t xml:space="preserve">Saignement rouge clair </w:t>
            </w:r>
            <w:r w:rsidRPr="00E43A3B">
              <w:rPr>
                <w:rFonts w:cs="Times New Roman"/>
                <w:highlight w:val="yellow"/>
                <w:u w:val="single"/>
              </w:rPr>
              <w:t>non-douloureux</w:t>
            </w:r>
          </w:p>
          <w:p w:rsidR="00E43A3B" w:rsidRPr="00E43A3B" w:rsidRDefault="00E43A3B" w:rsidP="00887A13">
            <w:pPr>
              <w:pStyle w:val="Sansinterligne"/>
              <w:rPr>
                <w:rFonts w:cs="Times New Roman"/>
                <w:highlight w:val="yellow"/>
              </w:rPr>
            </w:pPr>
            <w:r w:rsidRPr="00E43A3B">
              <w:rPr>
                <w:rFonts w:cs="Times New Roman"/>
                <w:highlight w:val="yellow"/>
              </w:rPr>
              <w:t>Utérus mou et non sensible</w:t>
            </w:r>
          </w:p>
          <w:p w:rsidR="00E43A3B" w:rsidRPr="00E43A3B" w:rsidRDefault="00E43A3B" w:rsidP="00887A13">
            <w:pPr>
              <w:pStyle w:val="Sansinterligne"/>
              <w:rPr>
                <w:rFonts w:cs="Times New Roman"/>
                <w:highlight w:val="yellow"/>
              </w:rPr>
            </w:pPr>
            <w:r w:rsidRPr="00E43A3B">
              <w:rPr>
                <w:rFonts w:cs="Times New Roman"/>
                <w:highlight w:val="yellow"/>
              </w:rPr>
              <w:t>HypoTA, anémie</w:t>
            </w:r>
          </w:p>
        </w:tc>
      </w:tr>
    </w:tbl>
    <w:p w:rsidR="00380562" w:rsidRDefault="00F879B8" w:rsidP="00887A13">
      <w:pPr>
        <w:pStyle w:val="Sansinterligne"/>
        <w:rPr>
          <w:rFonts w:cs="Times New Roman"/>
        </w:rPr>
      </w:pPr>
      <w:r>
        <w:rPr>
          <w:rFonts w:cs="Times New Roman"/>
          <w:b/>
          <w:noProof/>
          <w:lang w:eastAsia="fr-CA"/>
        </w:rPr>
        <mc:AlternateContent>
          <mc:Choice Requires="wpg">
            <w:drawing>
              <wp:anchor distT="0" distB="0" distL="114300" distR="114300" simplePos="0" relativeHeight="251768832" behindDoc="0" locked="0" layoutInCell="1" allowOverlap="1" wp14:anchorId="1F697A32" wp14:editId="2C8183F1">
                <wp:simplePos x="0" y="0"/>
                <wp:positionH relativeFrom="column">
                  <wp:posOffset>724535</wp:posOffset>
                </wp:positionH>
                <wp:positionV relativeFrom="paragraph">
                  <wp:posOffset>13970</wp:posOffset>
                </wp:positionV>
                <wp:extent cx="5631815" cy="2383155"/>
                <wp:effectExtent l="0" t="0" r="6985" b="0"/>
                <wp:wrapNone/>
                <wp:docPr id="284" name="Groupe 284"/>
                <wp:cNvGraphicFramePr/>
                <a:graphic xmlns:a="http://schemas.openxmlformats.org/drawingml/2006/main">
                  <a:graphicData uri="http://schemas.microsoft.com/office/word/2010/wordprocessingGroup">
                    <wpg:wgp>
                      <wpg:cNvGrpSpPr/>
                      <wpg:grpSpPr>
                        <a:xfrm>
                          <a:off x="0" y="0"/>
                          <a:ext cx="5631815" cy="2383155"/>
                          <a:chOff x="0" y="0"/>
                          <a:chExt cx="5632315" cy="2383277"/>
                        </a:xfrm>
                      </wpg:grpSpPr>
                      <pic:pic xmlns:pic="http://schemas.openxmlformats.org/drawingml/2006/picture">
                        <pic:nvPicPr>
                          <pic:cNvPr id="279" name="Image 279" descr="Résultats de recherche d'images pour « mole hydatiforme »"/>
                          <pic:cNvPicPr>
                            <a:picLocks noChangeAspect="1"/>
                          </pic:cNvPicPr>
                        </pic:nvPicPr>
                        <pic:blipFill>
                          <a:blip r:embed="rId380">
                            <a:extLst>
                              <a:ext uri="{28A0092B-C50C-407E-A947-70E740481C1C}">
                                <a14:useLocalDpi xmlns:a14="http://schemas.microsoft.com/office/drawing/2010/main" val="0"/>
                              </a:ext>
                            </a:extLst>
                          </a:blip>
                          <a:srcRect/>
                          <a:stretch>
                            <a:fillRect/>
                          </a:stretch>
                        </pic:blipFill>
                        <pic:spPr bwMode="auto">
                          <a:xfrm>
                            <a:off x="0" y="0"/>
                            <a:ext cx="2383276" cy="2383277"/>
                          </a:xfrm>
                          <a:prstGeom prst="rect">
                            <a:avLst/>
                          </a:prstGeom>
                          <a:noFill/>
                          <a:ln>
                            <a:noFill/>
                          </a:ln>
                        </pic:spPr>
                      </pic:pic>
                      <pic:pic xmlns:pic="http://schemas.openxmlformats.org/drawingml/2006/picture">
                        <pic:nvPicPr>
                          <pic:cNvPr id="283" name="Image 283" descr="Résultats de recherche d'images pour « décollement placentaire »"/>
                          <pic:cNvPicPr>
                            <a:picLocks noChangeAspect="1"/>
                          </pic:cNvPicPr>
                        </pic:nvPicPr>
                        <pic:blipFill>
                          <a:blip r:embed="rId381">
                            <a:extLst>
                              <a:ext uri="{28A0092B-C50C-407E-A947-70E740481C1C}">
                                <a14:useLocalDpi xmlns:a14="http://schemas.microsoft.com/office/drawing/2010/main" val="0"/>
                              </a:ext>
                            </a:extLst>
                          </a:blip>
                          <a:srcRect/>
                          <a:stretch>
                            <a:fillRect/>
                          </a:stretch>
                        </pic:blipFill>
                        <pic:spPr bwMode="auto">
                          <a:xfrm>
                            <a:off x="2334638" y="233464"/>
                            <a:ext cx="3297677" cy="2149813"/>
                          </a:xfrm>
                          <a:prstGeom prst="rect">
                            <a:avLst/>
                          </a:prstGeom>
                          <a:noFill/>
                          <a:ln>
                            <a:noFill/>
                          </a:ln>
                        </pic:spPr>
                      </pic:pic>
                    </wpg:wgp>
                  </a:graphicData>
                </a:graphic>
              </wp:anchor>
            </w:drawing>
          </mc:Choice>
          <mc:Fallback>
            <w:pict>
              <v:group id="Groupe 284" o:spid="_x0000_s1026" style="position:absolute;margin-left:57.05pt;margin-top:1.1pt;width:443.45pt;height:187.65pt;z-index:251768832" coordsize="56323,2383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">
                <v:shape id="Image 279" o:spid="_x0000_s1027" type="#_x0000_t75" alt="Résultats de recherche d'images pour « mole hydatiforme »" style="position:absolute;width:23832;height:238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bRWanHAAAA3AAAAA8AAABkcnMvZG93bnJldi54bWxEj0FrwkAUhO8F/8PyhN7qRmlNTV1FLIUe&#10;pGLsocdH9pmEZN+G7EbX/vquUPA4zMw3zHIdTCvO1LvasoLpJAFBXFhdc6ng+/jx9ArCeWSNrWVS&#10;cCUH69XoYYmZthc+0Dn3pYgQdhkqqLzvMildUZFBN7EdcfROtjfoo+xLqXu8RLhp5SxJ5tJgzXGh&#10;wo62FRVNPhgFzfD+PB0Wv83mK8zTn+a639mXvVKP47B5A+Ep+Hv4v/2pFczSBdzOxCMgV3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AbRWanHAAAA3AAAAA8AAAAAAAAAAAAA&#10;AAAAnwIAAGRycy9kb3ducmV2LnhtbFBLBQYAAAAABAAEAPcAAACTAwAAAAA=&#10;">
                  <v:imagedata r:id="rId382" o:title="Résultats de recherche d'images pour « mole hydatiforme »"/>
                  <v:path arrowok="t"/>
                </v:shape>
                <v:shape id="Image 283" o:spid="_x0000_s1028" type="#_x0000_t75" alt="Résultats de recherche d'images pour « décollement placentaire »" style="position:absolute;left:23346;top:2334;width:32977;height:2149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RHVDHGAAAA3AAAAA8AAABkcnMvZG93bnJldi54bWxEj81qwzAQhO+FvIPYQG+NHKcU40YJJSGk&#10;h6aQH+h1sdaWqbUylmK7ffqoUMhxmJlvmOV6tI3oqfO1YwXzWQKCuHC65krB5bx7ykD4gKyxcUwK&#10;fsjDejV5WGKu3cBH6k+hEhHCPkcFJoQ2l9IXhiz6mWuJo1e6zmKIsquk7nCIcNvINElepMWa44LB&#10;ljaGiu/T1Sq4Dukz7bfVR93/ZpfP8mv0h9Io9Tgd315BBBrDPfzfftcK0mwBf2fiEZCrG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pEdUMcYAAADcAAAADwAAAAAAAAAAAAAA&#10;AACfAgAAZHJzL2Rvd25yZXYueG1sUEsFBgAAAAAEAAQA9wAAAJIDAAAAAA==&#10;">
                  <v:imagedata r:id="rId383" o:title="Résultats de recherche d'images pour « décollement placentaire »"/>
                  <v:path arrowok="t"/>
                </v:shape>
              </v:group>
            </w:pict>
          </mc:Fallback>
        </mc:AlternateContent>
      </w:r>
    </w:p>
    <w:p w:rsidR="00EA7D2D" w:rsidRDefault="00EA7D2D" w:rsidP="00887A13">
      <w:pPr>
        <w:pStyle w:val="Sansinterligne"/>
        <w:rPr>
          <w:rFonts w:cs="Times New Roman"/>
        </w:rPr>
      </w:pPr>
    </w:p>
    <w:p w:rsidR="00EA7D2D" w:rsidRDefault="00EA7D2D" w:rsidP="00887A13">
      <w:pPr>
        <w:pStyle w:val="Sansinterligne"/>
        <w:rPr>
          <w:rFonts w:cs="Times New Roman"/>
        </w:rPr>
      </w:pPr>
    </w:p>
    <w:p w:rsidR="00EA7D2D" w:rsidRDefault="00EA7D2D" w:rsidP="00887A13">
      <w:pPr>
        <w:pStyle w:val="Sansinterligne"/>
        <w:rPr>
          <w:rFonts w:cs="Times New Roman"/>
        </w:rPr>
      </w:pPr>
    </w:p>
    <w:p w:rsidR="00F879B8" w:rsidRDefault="00F879B8" w:rsidP="00887A13">
      <w:pPr>
        <w:pStyle w:val="Sansinterligne"/>
        <w:rPr>
          <w:rFonts w:cs="Times New Roman"/>
        </w:rPr>
      </w:pPr>
    </w:p>
    <w:p w:rsidR="00F879B8" w:rsidRDefault="00F879B8" w:rsidP="00887A13">
      <w:pPr>
        <w:pStyle w:val="Sansinterligne"/>
        <w:rPr>
          <w:rFonts w:cs="Times New Roman"/>
        </w:rPr>
      </w:pPr>
    </w:p>
    <w:p w:rsidR="00F879B8" w:rsidRDefault="00F879B8" w:rsidP="00887A13">
      <w:pPr>
        <w:pStyle w:val="Sansinterligne"/>
        <w:rPr>
          <w:rFonts w:cs="Times New Roman"/>
        </w:rPr>
      </w:pPr>
    </w:p>
    <w:p w:rsidR="00F879B8" w:rsidRDefault="00F879B8" w:rsidP="00887A13">
      <w:pPr>
        <w:pStyle w:val="Sansinterligne"/>
        <w:rPr>
          <w:rFonts w:cs="Times New Roman"/>
        </w:rPr>
      </w:pPr>
    </w:p>
    <w:p w:rsidR="00F879B8" w:rsidRDefault="00F879B8" w:rsidP="00887A13">
      <w:pPr>
        <w:pStyle w:val="Sansinterligne"/>
        <w:rPr>
          <w:rFonts w:cs="Times New Roman"/>
        </w:rPr>
      </w:pPr>
    </w:p>
    <w:p w:rsidR="00F879B8" w:rsidRDefault="00F879B8" w:rsidP="00887A13">
      <w:pPr>
        <w:pStyle w:val="Sansinterligne"/>
        <w:rPr>
          <w:rFonts w:cs="Times New Roman"/>
        </w:rPr>
      </w:pPr>
    </w:p>
    <w:p w:rsidR="00F879B8" w:rsidRDefault="00F879B8" w:rsidP="00887A13">
      <w:pPr>
        <w:pStyle w:val="Sansinterligne"/>
        <w:rPr>
          <w:rFonts w:cs="Times New Roman"/>
        </w:rPr>
      </w:pPr>
    </w:p>
    <w:p w:rsidR="00F879B8" w:rsidRDefault="00F879B8" w:rsidP="00887A13">
      <w:pPr>
        <w:pStyle w:val="Sansinterligne"/>
        <w:rPr>
          <w:rFonts w:cs="Times New Roman"/>
        </w:rPr>
      </w:pPr>
    </w:p>
    <w:p w:rsidR="00F879B8" w:rsidRDefault="00F879B8" w:rsidP="00887A13">
      <w:pPr>
        <w:pStyle w:val="Sansinterligne"/>
        <w:rPr>
          <w:rFonts w:cs="Times New Roman"/>
        </w:rPr>
      </w:pPr>
    </w:p>
    <w:p w:rsidR="00F879B8" w:rsidRDefault="00F879B8" w:rsidP="00887A13">
      <w:pPr>
        <w:pStyle w:val="Sansinterligne"/>
        <w:rPr>
          <w:rFonts w:cs="Times New Roman"/>
        </w:rPr>
      </w:pPr>
    </w:p>
    <w:p w:rsidR="00EA7D2D" w:rsidRDefault="00EA7D2D" w:rsidP="00887A13">
      <w:pPr>
        <w:pStyle w:val="Sansinterligne"/>
        <w:rPr>
          <w:rFonts w:cs="Times New Roman"/>
        </w:rPr>
      </w:pPr>
    </w:p>
    <w:p w:rsidR="00EA7D2D" w:rsidRPr="00887A13" w:rsidRDefault="00EA7D2D" w:rsidP="00887A13">
      <w:pPr>
        <w:pStyle w:val="Sansinterligne"/>
        <w:rPr>
          <w:rFonts w:cs="Times New Roman"/>
        </w:rPr>
      </w:pPr>
    </w:p>
    <w:tbl>
      <w:tblPr>
        <w:tblStyle w:val="Grilledutableau"/>
        <w:tblW w:w="0" w:type="auto"/>
        <w:tblLook w:val="04A0" w:firstRow="1" w:lastRow="0" w:firstColumn="1" w:lastColumn="0" w:noHBand="0" w:noVBand="1"/>
      </w:tblPr>
      <w:tblGrid>
        <w:gridCol w:w="3085"/>
        <w:gridCol w:w="4111"/>
        <w:gridCol w:w="3744"/>
      </w:tblGrid>
      <w:tr w:rsidR="00EE4AA8" w:rsidRPr="00887A13" w:rsidTr="002479F6">
        <w:tc>
          <w:tcPr>
            <w:tcW w:w="10940" w:type="dxa"/>
            <w:gridSpan w:val="3"/>
            <w:shd w:val="clear" w:color="auto" w:fill="B2A1C7" w:themeFill="accent4" w:themeFillTint="99"/>
          </w:tcPr>
          <w:p w:rsidR="00EE4AA8" w:rsidRPr="00EE4AA8" w:rsidRDefault="00EE4AA8" w:rsidP="00EE4AA8">
            <w:pPr>
              <w:pStyle w:val="Sansinterligne"/>
              <w:jc w:val="center"/>
              <w:rPr>
                <w:rFonts w:cs="Times New Roman"/>
                <w:b/>
              </w:rPr>
            </w:pPr>
            <w:r w:rsidRPr="00EE4AA8">
              <w:rPr>
                <w:rFonts w:cs="Times New Roman"/>
                <w:b/>
              </w:rPr>
              <w:t>Causes néoplasiques et pré néoplasiques</w:t>
            </w:r>
            <w:r w:rsidR="001B2039">
              <w:rPr>
                <w:rFonts w:cs="Times New Roman"/>
                <w:b/>
              </w:rPr>
              <w:t xml:space="preserve"> gynécologiques</w:t>
            </w:r>
          </w:p>
        </w:tc>
      </w:tr>
      <w:tr w:rsidR="003825A8" w:rsidRPr="00887A13" w:rsidTr="00352C00">
        <w:tc>
          <w:tcPr>
            <w:tcW w:w="3085" w:type="dxa"/>
          </w:tcPr>
          <w:p w:rsidR="003825A8" w:rsidRPr="003825A8" w:rsidRDefault="003825A8" w:rsidP="003825A8">
            <w:pPr>
              <w:pStyle w:val="Sansinterligne"/>
              <w:jc w:val="center"/>
              <w:rPr>
                <w:rFonts w:cs="Times New Roman"/>
                <w:i/>
              </w:rPr>
            </w:pPr>
            <w:r w:rsidRPr="003825A8">
              <w:rPr>
                <w:rFonts w:cs="Times New Roman"/>
                <w:i/>
              </w:rPr>
              <w:t>Diagnostic</w:t>
            </w:r>
          </w:p>
        </w:tc>
        <w:tc>
          <w:tcPr>
            <w:tcW w:w="4111" w:type="dxa"/>
          </w:tcPr>
          <w:p w:rsidR="003825A8" w:rsidRPr="003825A8" w:rsidRDefault="003825A8" w:rsidP="003825A8">
            <w:pPr>
              <w:pStyle w:val="Sansinterligne"/>
              <w:jc w:val="center"/>
              <w:rPr>
                <w:rFonts w:cs="Times New Roman"/>
                <w:i/>
              </w:rPr>
            </w:pPr>
            <w:r w:rsidRPr="003825A8">
              <w:rPr>
                <w:rFonts w:cs="Times New Roman"/>
                <w:i/>
              </w:rPr>
              <w:t>Facteurs de risque, épidémiologie</w:t>
            </w:r>
          </w:p>
        </w:tc>
        <w:tc>
          <w:tcPr>
            <w:tcW w:w="3744" w:type="dxa"/>
          </w:tcPr>
          <w:p w:rsidR="003825A8" w:rsidRPr="003825A8" w:rsidRDefault="003825A8" w:rsidP="003825A8">
            <w:pPr>
              <w:pStyle w:val="Sansinterligne"/>
              <w:jc w:val="center"/>
              <w:rPr>
                <w:rFonts w:cs="Times New Roman"/>
                <w:i/>
              </w:rPr>
            </w:pPr>
            <w:r w:rsidRPr="003825A8">
              <w:rPr>
                <w:rFonts w:cs="Times New Roman"/>
                <w:i/>
              </w:rPr>
              <w:t>Manifestations cliniques</w:t>
            </w:r>
          </w:p>
        </w:tc>
      </w:tr>
      <w:tr w:rsidR="003825A8" w:rsidRPr="00887A13" w:rsidTr="00352C00">
        <w:tc>
          <w:tcPr>
            <w:tcW w:w="3085" w:type="dxa"/>
          </w:tcPr>
          <w:p w:rsidR="003825A8" w:rsidRPr="00460262" w:rsidRDefault="003825A8" w:rsidP="00887A13">
            <w:pPr>
              <w:pStyle w:val="Sansinterligne"/>
              <w:rPr>
                <w:rFonts w:cs="Times New Roman"/>
                <w:highlight w:val="yellow"/>
              </w:rPr>
            </w:pPr>
            <w:r w:rsidRPr="00460262">
              <w:rPr>
                <w:rFonts w:cs="Times New Roman"/>
                <w:highlight w:val="yellow"/>
              </w:rPr>
              <w:t>Hyperplasie de l’endomètre</w:t>
            </w:r>
          </w:p>
        </w:tc>
        <w:tc>
          <w:tcPr>
            <w:tcW w:w="4111" w:type="dxa"/>
          </w:tcPr>
          <w:p w:rsidR="003825A8" w:rsidRPr="00887A13" w:rsidRDefault="008A0C7A" w:rsidP="000665D6">
            <w:pPr>
              <w:pStyle w:val="Sansinterligne"/>
              <w:numPr>
                <w:ilvl w:val="0"/>
                <w:numId w:val="398"/>
              </w:numPr>
              <w:rPr>
                <w:rFonts w:cs="Times New Roman"/>
              </w:rPr>
            </w:pPr>
            <w:r>
              <w:rPr>
                <w:rFonts w:cs="Times New Roman"/>
              </w:rPr>
              <w:t>Facteurs de risque similaire à ceux d’une Néoplasie de l’endomètre</w:t>
            </w:r>
          </w:p>
        </w:tc>
        <w:tc>
          <w:tcPr>
            <w:tcW w:w="3744" w:type="dxa"/>
          </w:tcPr>
          <w:p w:rsidR="003825A8" w:rsidRPr="00887A13" w:rsidRDefault="008A0C7A" w:rsidP="000665D6">
            <w:pPr>
              <w:pStyle w:val="Sansinterligne"/>
              <w:numPr>
                <w:ilvl w:val="0"/>
                <w:numId w:val="398"/>
              </w:numPr>
              <w:rPr>
                <w:rFonts w:cs="Times New Roman"/>
              </w:rPr>
            </w:pPr>
            <w:r>
              <w:rPr>
                <w:rFonts w:cs="Times New Roman"/>
              </w:rPr>
              <w:t>Saignements post-ménopause et périménopause</w:t>
            </w:r>
          </w:p>
        </w:tc>
      </w:tr>
      <w:tr w:rsidR="003825A8" w:rsidRPr="00887A13" w:rsidTr="00352C00">
        <w:tc>
          <w:tcPr>
            <w:tcW w:w="3085" w:type="dxa"/>
          </w:tcPr>
          <w:p w:rsidR="003825A8" w:rsidRPr="00460262" w:rsidRDefault="003825A8" w:rsidP="00887A13">
            <w:pPr>
              <w:pStyle w:val="Sansinterligne"/>
              <w:rPr>
                <w:rFonts w:cs="Times New Roman"/>
                <w:highlight w:val="yellow"/>
              </w:rPr>
            </w:pPr>
            <w:r w:rsidRPr="00460262">
              <w:rPr>
                <w:rFonts w:cs="Times New Roman"/>
                <w:highlight w:val="yellow"/>
              </w:rPr>
              <w:t>Néoplasie de l’endomètre</w:t>
            </w:r>
          </w:p>
        </w:tc>
        <w:tc>
          <w:tcPr>
            <w:tcW w:w="4111" w:type="dxa"/>
          </w:tcPr>
          <w:p w:rsidR="00B721A6" w:rsidRPr="00352C00" w:rsidRDefault="00B721A6" w:rsidP="000665D6">
            <w:pPr>
              <w:pStyle w:val="Sansinterligne"/>
              <w:numPr>
                <w:ilvl w:val="0"/>
                <w:numId w:val="396"/>
              </w:numPr>
              <w:rPr>
                <w:rFonts w:cs="Times New Roman"/>
                <w:highlight w:val="yellow"/>
              </w:rPr>
            </w:pPr>
            <w:r w:rsidRPr="00352C00">
              <w:rPr>
                <w:rFonts w:cs="Times New Roman"/>
                <w:highlight w:val="yellow"/>
              </w:rPr>
              <w:t>Âge moyen : 60 ans</w:t>
            </w:r>
          </w:p>
          <w:p w:rsidR="00B721A6" w:rsidRPr="00352C00" w:rsidRDefault="00B721A6" w:rsidP="000665D6">
            <w:pPr>
              <w:pStyle w:val="Sansinterligne"/>
              <w:numPr>
                <w:ilvl w:val="0"/>
                <w:numId w:val="396"/>
              </w:numPr>
              <w:rPr>
                <w:rFonts w:cs="Times New Roman"/>
                <w:highlight w:val="yellow"/>
              </w:rPr>
            </w:pPr>
            <w:r w:rsidRPr="00352C00">
              <w:rPr>
                <w:rFonts w:cs="Times New Roman"/>
                <w:highlight w:val="yellow"/>
              </w:rPr>
              <w:t>SOPK</w:t>
            </w:r>
          </w:p>
          <w:p w:rsidR="00B721A6" w:rsidRPr="00352C00" w:rsidRDefault="00B721A6" w:rsidP="000665D6">
            <w:pPr>
              <w:pStyle w:val="Sansinterligne"/>
              <w:numPr>
                <w:ilvl w:val="0"/>
                <w:numId w:val="396"/>
              </w:numPr>
              <w:rPr>
                <w:rFonts w:cs="Times New Roman"/>
                <w:highlight w:val="yellow"/>
              </w:rPr>
            </w:pPr>
            <w:r w:rsidRPr="00352C00">
              <w:rPr>
                <w:rFonts w:cs="Times New Roman"/>
                <w:highlight w:val="yellow"/>
              </w:rPr>
              <w:t>Obésité</w:t>
            </w:r>
            <w:r w:rsidR="00287758" w:rsidRPr="00352C00">
              <w:rPr>
                <w:rFonts w:cs="Times New Roman"/>
                <w:highlight w:val="yellow"/>
              </w:rPr>
              <w:t>, Diabète mellitus</w:t>
            </w:r>
          </w:p>
          <w:p w:rsidR="00B721A6" w:rsidRPr="00352C00" w:rsidRDefault="00B721A6" w:rsidP="000665D6">
            <w:pPr>
              <w:pStyle w:val="Sansinterligne"/>
              <w:numPr>
                <w:ilvl w:val="0"/>
                <w:numId w:val="396"/>
              </w:numPr>
              <w:rPr>
                <w:rFonts w:cs="Times New Roman"/>
                <w:highlight w:val="yellow"/>
              </w:rPr>
            </w:pPr>
            <w:r w:rsidRPr="00352C00">
              <w:rPr>
                <w:rFonts w:cs="Times New Roman"/>
                <w:highlight w:val="yellow"/>
              </w:rPr>
              <w:t>Nulliparité</w:t>
            </w:r>
          </w:p>
          <w:p w:rsidR="00B721A6" w:rsidRPr="00352C00" w:rsidRDefault="00B721A6" w:rsidP="000665D6">
            <w:pPr>
              <w:pStyle w:val="Sansinterligne"/>
              <w:numPr>
                <w:ilvl w:val="0"/>
                <w:numId w:val="396"/>
              </w:numPr>
              <w:rPr>
                <w:rFonts w:cs="Times New Roman"/>
                <w:highlight w:val="yellow"/>
              </w:rPr>
            </w:pPr>
            <w:r w:rsidRPr="00352C00">
              <w:rPr>
                <w:rFonts w:cs="Times New Roman"/>
                <w:highlight w:val="yellow"/>
              </w:rPr>
              <w:t>Ménopause tardive</w:t>
            </w:r>
          </w:p>
          <w:p w:rsidR="00B721A6" w:rsidRPr="00352C00" w:rsidRDefault="00B721A6" w:rsidP="000665D6">
            <w:pPr>
              <w:pStyle w:val="Sansinterligne"/>
              <w:numPr>
                <w:ilvl w:val="0"/>
                <w:numId w:val="396"/>
              </w:numPr>
              <w:rPr>
                <w:rFonts w:cs="Times New Roman"/>
                <w:highlight w:val="yellow"/>
              </w:rPr>
            </w:pPr>
            <w:r w:rsidRPr="00352C00">
              <w:rPr>
                <w:rFonts w:cs="Times New Roman"/>
                <w:highlight w:val="yellow"/>
              </w:rPr>
              <w:t xml:space="preserve">Tamoxifène </w:t>
            </w:r>
            <w:r w:rsidR="00287758" w:rsidRPr="00352C00">
              <w:rPr>
                <w:rFonts w:cs="Times New Roman"/>
                <w:highlight w:val="yellow"/>
              </w:rPr>
              <w:t>(long cours)</w:t>
            </w:r>
          </w:p>
          <w:p w:rsidR="00B721A6" w:rsidRPr="00352C00" w:rsidRDefault="00B721A6" w:rsidP="000665D6">
            <w:pPr>
              <w:pStyle w:val="Sansinterligne"/>
              <w:numPr>
                <w:ilvl w:val="0"/>
                <w:numId w:val="396"/>
              </w:numPr>
              <w:rPr>
                <w:rFonts w:cs="Times New Roman"/>
                <w:highlight w:val="yellow"/>
              </w:rPr>
            </w:pPr>
            <w:r w:rsidRPr="00352C00">
              <w:rPr>
                <w:rFonts w:cs="Times New Roman"/>
                <w:highlight w:val="yellow"/>
              </w:rPr>
              <w:t>HTR (oestrogènes seuls)</w:t>
            </w:r>
          </w:p>
          <w:p w:rsidR="00B721A6" w:rsidRPr="00352C00" w:rsidRDefault="00B721A6" w:rsidP="000665D6">
            <w:pPr>
              <w:pStyle w:val="Sansinterligne"/>
              <w:numPr>
                <w:ilvl w:val="0"/>
                <w:numId w:val="396"/>
              </w:numPr>
              <w:rPr>
                <w:rFonts w:cs="Times New Roman"/>
                <w:highlight w:val="yellow"/>
              </w:rPr>
            </w:pPr>
            <w:r w:rsidRPr="00352C00">
              <w:rPr>
                <w:rFonts w:cs="Times New Roman"/>
                <w:highlight w:val="yellow"/>
              </w:rPr>
              <w:t>HNPCC (Syndrome de Lynch)</w:t>
            </w:r>
          </w:p>
          <w:p w:rsidR="00B721A6" w:rsidRPr="00352C00" w:rsidRDefault="00B721A6" w:rsidP="000665D6">
            <w:pPr>
              <w:pStyle w:val="Sansinterligne"/>
              <w:numPr>
                <w:ilvl w:val="0"/>
                <w:numId w:val="396"/>
              </w:numPr>
              <w:rPr>
                <w:rFonts w:cs="Times New Roman"/>
                <w:highlight w:val="yellow"/>
              </w:rPr>
            </w:pPr>
            <w:r w:rsidRPr="00352C00">
              <w:rPr>
                <w:rFonts w:cs="Times New Roman"/>
                <w:highlight w:val="yellow"/>
              </w:rPr>
              <w:t>Tumeur oestrogenosécrétante</w:t>
            </w:r>
          </w:p>
        </w:tc>
        <w:tc>
          <w:tcPr>
            <w:tcW w:w="3744" w:type="dxa"/>
          </w:tcPr>
          <w:p w:rsidR="003825A8" w:rsidRPr="00352C00" w:rsidRDefault="00287758" w:rsidP="000665D6">
            <w:pPr>
              <w:pStyle w:val="Sansinterligne"/>
              <w:numPr>
                <w:ilvl w:val="0"/>
                <w:numId w:val="396"/>
              </w:numPr>
              <w:rPr>
                <w:rFonts w:cs="Times New Roman"/>
                <w:highlight w:val="yellow"/>
              </w:rPr>
            </w:pPr>
            <w:r w:rsidRPr="00352C00">
              <w:rPr>
                <w:rFonts w:cs="Times New Roman"/>
                <w:highlight w:val="yellow"/>
              </w:rPr>
              <w:t xml:space="preserve">Saignements </w:t>
            </w:r>
            <w:r w:rsidR="008A0C7A">
              <w:rPr>
                <w:rFonts w:cs="Times New Roman"/>
                <w:highlight w:val="yellow"/>
              </w:rPr>
              <w:t xml:space="preserve">péri/ </w:t>
            </w:r>
            <w:r w:rsidRPr="00352C00">
              <w:rPr>
                <w:rFonts w:cs="Times New Roman"/>
                <w:highlight w:val="yellow"/>
              </w:rPr>
              <w:t>post-ménopause</w:t>
            </w:r>
          </w:p>
          <w:p w:rsidR="00287758" w:rsidRPr="00352C00" w:rsidRDefault="00287758" w:rsidP="000665D6">
            <w:pPr>
              <w:pStyle w:val="Sansinterligne"/>
              <w:numPr>
                <w:ilvl w:val="0"/>
                <w:numId w:val="396"/>
              </w:numPr>
              <w:rPr>
                <w:rFonts w:cs="Times New Roman"/>
                <w:highlight w:val="yellow"/>
              </w:rPr>
            </w:pPr>
            <w:r w:rsidRPr="00352C00">
              <w:rPr>
                <w:rFonts w:cs="Times New Roman"/>
                <w:highlight w:val="yellow"/>
              </w:rPr>
              <w:t>Ménométrorragie</w:t>
            </w:r>
          </w:p>
          <w:p w:rsidR="00287758" w:rsidRPr="00352C00" w:rsidRDefault="00287758" w:rsidP="000665D6">
            <w:pPr>
              <w:pStyle w:val="Sansinterligne"/>
              <w:numPr>
                <w:ilvl w:val="0"/>
                <w:numId w:val="396"/>
              </w:numPr>
              <w:rPr>
                <w:rFonts w:cs="Times New Roman"/>
                <w:highlight w:val="yellow"/>
              </w:rPr>
            </w:pPr>
            <w:r w:rsidRPr="00352C00">
              <w:rPr>
                <w:rFonts w:cs="Times New Roman"/>
                <w:highlight w:val="yellow"/>
              </w:rPr>
              <w:t>Ballonnement</w:t>
            </w:r>
          </w:p>
          <w:p w:rsidR="00287758" w:rsidRPr="00352C00" w:rsidRDefault="00287758" w:rsidP="000665D6">
            <w:pPr>
              <w:pStyle w:val="Sansinterligne"/>
              <w:numPr>
                <w:ilvl w:val="0"/>
                <w:numId w:val="396"/>
              </w:numPr>
              <w:rPr>
                <w:rFonts w:cs="Times New Roman"/>
                <w:highlight w:val="yellow"/>
              </w:rPr>
            </w:pPr>
            <w:r w:rsidRPr="00352C00">
              <w:rPr>
                <w:rFonts w:cs="Times New Roman"/>
                <w:highlight w:val="yellow"/>
              </w:rPr>
              <w:t>Pression pelvienne</w:t>
            </w:r>
          </w:p>
          <w:p w:rsidR="00287758" w:rsidRPr="00352C00" w:rsidRDefault="00287758" w:rsidP="00887A13">
            <w:pPr>
              <w:pStyle w:val="Sansinterligne"/>
              <w:rPr>
                <w:rFonts w:cs="Times New Roman"/>
                <w:highlight w:val="yellow"/>
              </w:rPr>
            </w:pPr>
          </w:p>
        </w:tc>
      </w:tr>
      <w:tr w:rsidR="003825A8" w:rsidRPr="00887A13" w:rsidTr="00352C00">
        <w:tc>
          <w:tcPr>
            <w:tcW w:w="3085" w:type="dxa"/>
          </w:tcPr>
          <w:p w:rsidR="003825A8" w:rsidRPr="00887A13" w:rsidRDefault="003825A8" w:rsidP="00887A13">
            <w:pPr>
              <w:pStyle w:val="Sansinterligne"/>
              <w:rPr>
                <w:rFonts w:cs="Times New Roman"/>
              </w:rPr>
            </w:pPr>
            <w:r>
              <w:rPr>
                <w:rFonts w:cs="Times New Roman"/>
              </w:rPr>
              <w:t>Néoplasie du col utérin</w:t>
            </w:r>
            <w:r w:rsidR="004E6124">
              <w:rPr>
                <w:rFonts w:cs="Times New Roman"/>
              </w:rPr>
              <w:t xml:space="preserve"> (CIN)</w:t>
            </w:r>
          </w:p>
        </w:tc>
        <w:tc>
          <w:tcPr>
            <w:tcW w:w="4111" w:type="dxa"/>
          </w:tcPr>
          <w:p w:rsidR="003825A8" w:rsidRDefault="004E6124" w:rsidP="000665D6">
            <w:pPr>
              <w:pStyle w:val="Sansinterligne"/>
              <w:numPr>
                <w:ilvl w:val="0"/>
                <w:numId w:val="396"/>
              </w:numPr>
              <w:rPr>
                <w:rFonts w:cs="Times New Roman"/>
              </w:rPr>
            </w:pPr>
            <w:r>
              <w:rPr>
                <w:rFonts w:cs="Times New Roman"/>
              </w:rPr>
              <w:t>ATCD d’infection à VPH</w:t>
            </w:r>
          </w:p>
          <w:p w:rsidR="004E6124" w:rsidRPr="005A2F76" w:rsidRDefault="004E6124" w:rsidP="000665D6">
            <w:pPr>
              <w:pStyle w:val="Sansinterligne"/>
              <w:numPr>
                <w:ilvl w:val="0"/>
                <w:numId w:val="396"/>
              </w:numPr>
              <w:rPr>
                <w:rFonts w:cs="Times New Roman"/>
                <w:highlight w:val="yellow"/>
              </w:rPr>
            </w:pPr>
            <w:r w:rsidRPr="005A2F76">
              <w:rPr>
                <w:rFonts w:cs="Times New Roman"/>
                <w:highlight w:val="yellow"/>
              </w:rPr>
              <w:t>Comportements sexuels à risque</w:t>
            </w:r>
          </w:p>
          <w:p w:rsidR="004E6124" w:rsidRDefault="004E6124" w:rsidP="000665D6">
            <w:pPr>
              <w:pStyle w:val="Sansinterligne"/>
              <w:numPr>
                <w:ilvl w:val="0"/>
                <w:numId w:val="396"/>
              </w:numPr>
              <w:rPr>
                <w:rFonts w:cs="Times New Roman"/>
              </w:rPr>
            </w:pPr>
            <w:r>
              <w:rPr>
                <w:rFonts w:cs="Times New Roman"/>
              </w:rPr>
              <w:t>Tabagisme</w:t>
            </w:r>
          </w:p>
          <w:p w:rsidR="004E6124" w:rsidRPr="00887A13" w:rsidRDefault="004E6124" w:rsidP="000665D6">
            <w:pPr>
              <w:pStyle w:val="Sansinterligne"/>
              <w:numPr>
                <w:ilvl w:val="0"/>
                <w:numId w:val="396"/>
              </w:numPr>
              <w:rPr>
                <w:rFonts w:cs="Times New Roman"/>
              </w:rPr>
            </w:pPr>
            <w:r w:rsidRPr="005A2F76">
              <w:rPr>
                <w:rFonts w:cs="Times New Roman"/>
                <w:highlight w:val="yellow"/>
              </w:rPr>
              <w:t>Absence ou rareté du dépistage</w:t>
            </w:r>
          </w:p>
        </w:tc>
        <w:tc>
          <w:tcPr>
            <w:tcW w:w="3744" w:type="dxa"/>
          </w:tcPr>
          <w:p w:rsidR="003825A8" w:rsidRDefault="004E6124" w:rsidP="000665D6">
            <w:pPr>
              <w:pStyle w:val="Sansinterligne"/>
              <w:numPr>
                <w:ilvl w:val="0"/>
                <w:numId w:val="396"/>
              </w:numPr>
              <w:rPr>
                <w:rFonts w:cs="Times New Roman"/>
              </w:rPr>
            </w:pPr>
            <w:r>
              <w:rPr>
                <w:rFonts w:cs="Times New Roman"/>
              </w:rPr>
              <w:t xml:space="preserve">Écoulement aqueux </w:t>
            </w:r>
            <w:r>
              <w:rPr>
                <w:rFonts w:ascii="Century Gothic" w:hAnsi="Century Gothic" w:cs="Times New Roman"/>
              </w:rPr>
              <w:t>→</w:t>
            </w:r>
            <w:r>
              <w:rPr>
                <w:rFonts w:cs="Times New Roman"/>
              </w:rPr>
              <w:t xml:space="preserve"> brun, rouge</w:t>
            </w:r>
          </w:p>
          <w:p w:rsidR="004E6124" w:rsidRDefault="004E6124" w:rsidP="000665D6">
            <w:pPr>
              <w:pStyle w:val="Sansinterligne"/>
              <w:numPr>
                <w:ilvl w:val="0"/>
                <w:numId w:val="396"/>
              </w:numPr>
              <w:rPr>
                <w:rFonts w:cs="Times New Roman"/>
              </w:rPr>
            </w:pPr>
            <w:r>
              <w:rPr>
                <w:rFonts w:cs="Times New Roman"/>
              </w:rPr>
              <w:t>Saignements post-coïtaux</w:t>
            </w:r>
          </w:p>
          <w:p w:rsidR="004E6124" w:rsidRDefault="004E6124" w:rsidP="000665D6">
            <w:pPr>
              <w:pStyle w:val="Sansinterligne"/>
              <w:numPr>
                <w:ilvl w:val="0"/>
                <w:numId w:val="396"/>
              </w:numPr>
              <w:rPr>
                <w:rFonts w:cs="Times New Roman"/>
              </w:rPr>
            </w:pPr>
            <w:r>
              <w:rPr>
                <w:rFonts w:cs="Times New Roman"/>
              </w:rPr>
              <w:t xml:space="preserve">Métrorragie </w:t>
            </w:r>
          </w:p>
          <w:p w:rsidR="004E6124" w:rsidRPr="00D325D5" w:rsidRDefault="004E6124" w:rsidP="000665D6">
            <w:pPr>
              <w:pStyle w:val="Sansinterligne"/>
              <w:numPr>
                <w:ilvl w:val="0"/>
                <w:numId w:val="396"/>
              </w:numPr>
              <w:rPr>
                <w:rFonts w:cs="Times New Roman"/>
                <w:highlight w:val="yellow"/>
              </w:rPr>
            </w:pPr>
            <w:r w:rsidRPr="00D325D5">
              <w:rPr>
                <w:rFonts w:cs="Times New Roman"/>
                <w:highlight w:val="yellow"/>
              </w:rPr>
              <w:t>Saignements post-ménopause</w:t>
            </w:r>
          </w:p>
          <w:p w:rsidR="004E6124" w:rsidRDefault="004E6124" w:rsidP="000665D6">
            <w:pPr>
              <w:pStyle w:val="Sansinterligne"/>
              <w:numPr>
                <w:ilvl w:val="0"/>
                <w:numId w:val="396"/>
              </w:numPr>
              <w:rPr>
                <w:rFonts w:cs="Times New Roman"/>
              </w:rPr>
            </w:pPr>
            <w:r>
              <w:rPr>
                <w:rFonts w:cs="Times New Roman"/>
              </w:rPr>
              <w:t>Col friable, érythémateux, ulcéré</w:t>
            </w:r>
          </w:p>
          <w:p w:rsidR="004E6124" w:rsidRPr="00887A13" w:rsidRDefault="004E6124" w:rsidP="000665D6">
            <w:pPr>
              <w:pStyle w:val="Sansinterligne"/>
              <w:numPr>
                <w:ilvl w:val="0"/>
                <w:numId w:val="396"/>
              </w:numPr>
              <w:rPr>
                <w:rFonts w:cs="Times New Roman"/>
              </w:rPr>
            </w:pPr>
            <w:r>
              <w:rPr>
                <w:rFonts w:cs="Times New Roman"/>
              </w:rPr>
              <w:t>Surélévation de la muqueuse</w:t>
            </w:r>
          </w:p>
        </w:tc>
      </w:tr>
      <w:tr w:rsidR="003825A8" w:rsidRPr="00887A13" w:rsidTr="00352C00">
        <w:tc>
          <w:tcPr>
            <w:tcW w:w="3085" w:type="dxa"/>
          </w:tcPr>
          <w:p w:rsidR="003825A8" w:rsidRPr="00887A13" w:rsidRDefault="003825A8" w:rsidP="00887A13">
            <w:pPr>
              <w:pStyle w:val="Sansinterligne"/>
              <w:rPr>
                <w:rFonts w:cs="Times New Roman"/>
              </w:rPr>
            </w:pPr>
            <w:r>
              <w:rPr>
                <w:rFonts w:cs="Times New Roman"/>
              </w:rPr>
              <w:t>Néoplasie vaginale</w:t>
            </w:r>
            <w:r w:rsidR="004E6124">
              <w:rPr>
                <w:rFonts w:cs="Times New Roman"/>
              </w:rPr>
              <w:t xml:space="preserve"> (VAIN)</w:t>
            </w:r>
          </w:p>
        </w:tc>
        <w:tc>
          <w:tcPr>
            <w:tcW w:w="4111" w:type="dxa"/>
          </w:tcPr>
          <w:p w:rsidR="003825A8" w:rsidRDefault="004E6124" w:rsidP="000665D6">
            <w:pPr>
              <w:pStyle w:val="Sansinterligne"/>
              <w:numPr>
                <w:ilvl w:val="0"/>
                <w:numId w:val="396"/>
              </w:numPr>
              <w:rPr>
                <w:rFonts w:cs="Times New Roman"/>
              </w:rPr>
            </w:pPr>
            <w:r>
              <w:rPr>
                <w:rFonts w:cs="Times New Roman"/>
              </w:rPr>
              <w:t>50% entre 70 et 90 ans</w:t>
            </w:r>
          </w:p>
          <w:p w:rsidR="004E6124" w:rsidRDefault="004E6124" w:rsidP="000665D6">
            <w:pPr>
              <w:pStyle w:val="Sansinterligne"/>
              <w:numPr>
                <w:ilvl w:val="0"/>
                <w:numId w:val="396"/>
              </w:numPr>
              <w:rPr>
                <w:rFonts w:cs="Times New Roman"/>
              </w:rPr>
            </w:pPr>
            <w:r>
              <w:rPr>
                <w:rFonts w:cs="Times New Roman"/>
              </w:rPr>
              <w:t xml:space="preserve">ATCD d’infection à VPH, </w:t>
            </w:r>
          </w:p>
          <w:p w:rsidR="004E6124" w:rsidRPr="00887A13" w:rsidRDefault="004E6124" w:rsidP="000665D6">
            <w:pPr>
              <w:pStyle w:val="Sansinterligne"/>
              <w:numPr>
                <w:ilvl w:val="0"/>
                <w:numId w:val="396"/>
              </w:numPr>
              <w:rPr>
                <w:rFonts w:cs="Times New Roman"/>
              </w:rPr>
            </w:pPr>
            <w:r>
              <w:rPr>
                <w:rFonts w:cs="Times New Roman"/>
              </w:rPr>
              <w:t>ATCD de néo CIN ou VAIN</w:t>
            </w:r>
          </w:p>
        </w:tc>
        <w:tc>
          <w:tcPr>
            <w:tcW w:w="3744" w:type="dxa"/>
          </w:tcPr>
          <w:p w:rsidR="004E6124" w:rsidRDefault="004E6124" w:rsidP="000665D6">
            <w:pPr>
              <w:pStyle w:val="Sansinterligne"/>
              <w:numPr>
                <w:ilvl w:val="0"/>
                <w:numId w:val="396"/>
              </w:numPr>
              <w:rPr>
                <w:rFonts w:cs="Times New Roman"/>
              </w:rPr>
            </w:pPr>
            <w:r w:rsidRPr="00D325D5">
              <w:rPr>
                <w:rFonts w:cs="Times New Roman"/>
                <w:highlight w:val="yellow"/>
              </w:rPr>
              <w:t>Écoulement / saignement non-douloureux post-ménopause</w:t>
            </w:r>
          </w:p>
          <w:p w:rsidR="004E6124" w:rsidRPr="00887A13" w:rsidRDefault="004E6124" w:rsidP="000665D6">
            <w:pPr>
              <w:pStyle w:val="Sansinterligne"/>
              <w:numPr>
                <w:ilvl w:val="0"/>
                <w:numId w:val="396"/>
              </w:numPr>
              <w:rPr>
                <w:rFonts w:cs="Times New Roman"/>
              </w:rPr>
            </w:pPr>
            <w:r w:rsidRPr="00D325D5">
              <w:rPr>
                <w:rFonts w:cs="Times New Roman"/>
                <w:highlight w:val="yellow"/>
              </w:rPr>
              <w:t>Saignements post-coïtaux</w:t>
            </w:r>
          </w:p>
        </w:tc>
      </w:tr>
      <w:tr w:rsidR="003825A8" w:rsidRPr="00887A13" w:rsidTr="00352C00">
        <w:tc>
          <w:tcPr>
            <w:tcW w:w="3085" w:type="dxa"/>
          </w:tcPr>
          <w:p w:rsidR="00B721A6" w:rsidRDefault="003825A8" w:rsidP="00887A13">
            <w:pPr>
              <w:pStyle w:val="Sansinterligne"/>
              <w:rPr>
                <w:rFonts w:cs="Times New Roman"/>
              </w:rPr>
            </w:pPr>
            <w:r>
              <w:rPr>
                <w:rFonts w:cs="Times New Roman"/>
              </w:rPr>
              <w:t xml:space="preserve">Néoplasie ovarienne </w:t>
            </w:r>
          </w:p>
          <w:p w:rsidR="003825A8" w:rsidRDefault="004E6124" w:rsidP="00887A13">
            <w:pPr>
              <w:pStyle w:val="Sansinterligne"/>
              <w:rPr>
                <w:rFonts w:cs="Times New Roman"/>
              </w:rPr>
            </w:pPr>
            <w:r>
              <w:rPr>
                <w:rFonts w:cs="Times New Roman"/>
              </w:rPr>
              <w:t>(</w:t>
            </w:r>
            <w:r w:rsidR="00B721A6">
              <w:rPr>
                <w:rFonts w:cs="Times New Roman"/>
              </w:rPr>
              <w:t>hormono</w:t>
            </w:r>
            <w:r w:rsidR="003825A8">
              <w:rPr>
                <w:rFonts w:cs="Times New Roman"/>
              </w:rPr>
              <w:t>sécrétante</w:t>
            </w:r>
            <w:r>
              <w:rPr>
                <w:rFonts w:cs="Times New Roman"/>
              </w:rPr>
              <w:t>)</w:t>
            </w:r>
          </w:p>
        </w:tc>
        <w:tc>
          <w:tcPr>
            <w:tcW w:w="4111" w:type="dxa"/>
          </w:tcPr>
          <w:p w:rsidR="003825A8" w:rsidRPr="00D325D5" w:rsidRDefault="004E6124" w:rsidP="000665D6">
            <w:pPr>
              <w:pStyle w:val="Sansinterligne"/>
              <w:numPr>
                <w:ilvl w:val="0"/>
                <w:numId w:val="396"/>
              </w:numPr>
              <w:rPr>
                <w:rFonts w:cs="Times New Roman"/>
                <w:bCs/>
                <w:color w:val="252525"/>
                <w:shd w:val="clear" w:color="auto" w:fill="FFFFFF"/>
              </w:rPr>
            </w:pPr>
            <w:r w:rsidRPr="00D325D5">
              <w:rPr>
                <w:rFonts w:cs="Times New Roman"/>
              </w:rPr>
              <w:t xml:space="preserve">4e cancer en </w:t>
            </w:r>
            <w:r w:rsidR="008A0C7A" w:rsidRPr="00D325D5">
              <w:rPr>
                <w:rFonts w:cs="Times New Roman"/>
              </w:rPr>
              <w:t>termes</w:t>
            </w:r>
            <w:r w:rsidRPr="00D325D5">
              <w:rPr>
                <w:rFonts w:cs="Times New Roman"/>
              </w:rPr>
              <w:t xml:space="preserve"> de mortalité  </w:t>
            </w:r>
            <w:r w:rsidR="00167A5F" w:rsidRPr="00F012F8">
              <w:rPr>
                <w:rFonts w:cs="Times New Roman"/>
                <w:bCs/>
                <w:color w:val="252525"/>
                <w:sz w:val="20"/>
                <w:szCs w:val="20"/>
                <w:shd w:val="clear" w:color="auto" w:fill="FFFFFF"/>
              </w:rPr>
              <w:t>♀</w:t>
            </w:r>
          </w:p>
          <w:p w:rsidR="00D325D5" w:rsidRPr="00D325D5" w:rsidRDefault="00D325D5" w:rsidP="000665D6">
            <w:pPr>
              <w:pStyle w:val="Sansinterligne"/>
              <w:numPr>
                <w:ilvl w:val="0"/>
                <w:numId w:val="396"/>
              </w:numPr>
              <w:rPr>
                <w:rFonts w:cs="Times New Roman"/>
                <w:bCs/>
                <w:color w:val="252525"/>
                <w:shd w:val="clear" w:color="auto" w:fill="FFFFFF"/>
              </w:rPr>
            </w:pPr>
            <w:r w:rsidRPr="00D325D5">
              <w:rPr>
                <w:rFonts w:cs="Times New Roman"/>
                <w:bCs/>
                <w:color w:val="252525"/>
                <w:shd w:val="clear" w:color="auto" w:fill="FFFFFF"/>
              </w:rPr>
              <w:t>Nulliparité</w:t>
            </w:r>
          </w:p>
          <w:p w:rsidR="00D325D5" w:rsidRDefault="00D325D5" w:rsidP="000665D6">
            <w:pPr>
              <w:pStyle w:val="Sansinterligne"/>
              <w:numPr>
                <w:ilvl w:val="0"/>
                <w:numId w:val="396"/>
              </w:numPr>
              <w:rPr>
                <w:rFonts w:cs="Times New Roman"/>
                <w:bCs/>
                <w:color w:val="252525"/>
                <w:shd w:val="clear" w:color="auto" w:fill="FFFFFF"/>
              </w:rPr>
            </w:pPr>
            <w:r w:rsidRPr="00D325D5">
              <w:rPr>
                <w:rFonts w:cs="Times New Roman"/>
                <w:bCs/>
                <w:color w:val="252525"/>
                <w:shd w:val="clear" w:color="auto" w:fill="FFFFFF"/>
              </w:rPr>
              <w:t>Ménarche précoce/ménopause tardive</w:t>
            </w:r>
          </w:p>
          <w:p w:rsidR="00D325D5" w:rsidRDefault="00D325D5" w:rsidP="000665D6">
            <w:pPr>
              <w:pStyle w:val="Sansinterligne"/>
              <w:numPr>
                <w:ilvl w:val="0"/>
                <w:numId w:val="396"/>
              </w:numPr>
              <w:rPr>
                <w:rFonts w:cs="Times New Roman"/>
                <w:bCs/>
                <w:color w:val="252525"/>
                <w:shd w:val="clear" w:color="auto" w:fill="FFFFFF"/>
              </w:rPr>
            </w:pPr>
            <w:r>
              <w:rPr>
                <w:rFonts w:cs="Times New Roman"/>
                <w:bCs/>
                <w:color w:val="252525"/>
                <w:shd w:val="clear" w:color="auto" w:fill="FFFFFF"/>
              </w:rPr>
              <w:t>Âge, race caucasienne</w:t>
            </w:r>
          </w:p>
          <w:p w:rsidR="00D325D5" w:rsidRPr="00887A13" w:rsidRDefault="00D325D5" w:rsidP="000665D6">
            <w:pPr>
              <w:pStyle w:val="Sansinterligne"/>
              <w:numPr>
                <w:ilvl w:val="0"/>
                <w:numId w:val="396"/>
              </w:numPr>
              <w:rPr>
                <w:rFonts w:cs="Times New Roman"/>
              </w:rPr>
            </w:pPr>
            <w:r>
              <w:rPr>
                <w:rFonts w:cs="Times New Roman"/>
                <w:bCs/>
                <w:color w:val="252525"/>
                <w:shd w:val="clear" w:color="auto" w:fill="FFFFFF"/>
              </w:rPr>
              <w:t>Histoire familiale de néo (seins, ovaire, endomètre, colon)</w:t>
            </w:r>
          </w:p>
        </w:tc>
        <w:tc>
          <w:tcPr>
            <w:tcW w:w="3744" w:type="dxa"/>
          </w:tcPr>
          <w:p w:rsidR="003825A8" w:rsidRDefault="004E6124" w:rsidP="000665D6">
            <w:pPr>
              <w:pStyle w:val="Sansinterligne"/>
              <w:numPr>
                <w:ilvl w:val="0"/>
                <w:numId w:val="396"/>
              </w:numPr>
              <w:rPr>
                <w:rFonts w:cs="Times New Roman"/>
              </w:rPr>
            </w:pPr>
            <w:r>
              <w:rPr>
                <w:rFonts w:cs="Times New Roman"/>
              </w:rPr>
              <w:t>Souvent asymptomatique ad stade avancé</w:t>
            </w:r>
            <w:r w:rsidR="003053E0">
              <w:rPr>
                <w:rFonts w:cs="Times New Roman"/>
              </w:rPr>
              <w:t xml:space="preserve"> (Stage III)</w:t>
            </w:r>
          </w:p>
          <w:p w:rsidR="004E6124" w:rsidRDefault="004E6124" w:rsidP="000665D6">
            <w:pPr>
              <w:pStyle w:val="Sansinterligne"/>
              <w:numPr>
                <w:ilvl w:val="0"/>
                <w:numId w:val="396"/>
              </w:numPr>
              <w:rPr>
                <w:rFonts w:cs="Times New Roman"/>
              </w:rPr>
            </w:pPr>
            <w:r>
              <w:rPr>
                <w:rFonts w:cs="Times New Roman"/>
              </w:rPr>
              <w:t>Nausées, anorexie</w:t>
            </w:r>
          </w:p>
          <w:p w:rsidR="004E6124" w:rsidRDefault="004E6124" w:rsidP="000665D6">
            <w:pPr>
              <w:pStyle w:val="Sansinterligne"/>
              <w:numPr>
                <w:ilvl w:val="0"/>
                <w:numId w:val="396"/>
              </w:numPr>
              <w:rPr>
                <w:rFonts w:cs="Times New Roman"/>
              </w:rPr>
            </w:pPr>
            <w:r>
              <w:rPr>
                <w:rFonts w:cs="Times New Roman"/>
              </w:rPr>
              <w:t>Ballonnement,</w:t>
            </w:r>
          </w:p>
          <w:p w:rsidR="004E6124" w:rsidRPr="00887A13" w:rsidRDefault="004E6124" w:rsidP="000665D6">
            <w:pPr>
              <w:pStyle w:val="Sansinterligne"/>
              <w:numPr>
                <w:ilvl w:val="0"/>
                <w:numId w:val="396"/>
              </w:numPr>
              <w:rPr>
                <w:rFonts w:cs="Times New Roman"/>
              </w:rPr>
            </w:pPr>
            <w:r w:rsidRPr="00D325D5">
              <w:rPr>
                <w:rFonts w:cs="Times New Roman"/>
                <w:highlight w:val="yellow"/>
              </w:rPr>
              <w:t>Saignements post-ménopause</w:t>
            </w:r>
          </w:p>
        </w:tc>
      </w:tr>
    </w:tbl>
    <w:p w:rsidR="00361764" w:rsidRDefault="00361764" w:rsidP="00887A13">
      <w:pPr>
        <w:pStyle w:val="Sansinterligne"/>
        <w:rPr>
          <w:rFonts w:cs="Times New Roman"/>
        </w:rPr>
      </w:pPr>
    </w:p>
    <w:p w:rsidR="002424E3" w:rsidRDefault="002424E3" w:rsidP="00887A13">
      <w:pPr>
        <w:pStyle w:val="Sansinterligne"/>
        <w:rPr>
          <w:rFonts w:cs="Times New Roman"/>
        </w:rPr>
      </w:pPr>
    </w:p>
    <w:p w:rsidR="002424E3" w:rsidRDefault="0074544D" w:rsidP="00887A13">
      <w:pPr>
        <w:pStyle w:val="Sansinterligne"/>
        <w:rPr>
          <w:rFonts w:cs="Times New Roman"/>
        </w:rPr>
      </w:pPr>
      <w:r>
        <w:rPr>
          <w:rFonts w:cs="Times New Roman"/>
          <w:noProof/>
          <w:lang w:eastAsia="fr-CA"/>
        </w:rPr>
        <mc:AlternateContent>
          <mc:Choice Requires="wpg">
            <w:drawing>
              <wp:anchor distT="0" distB="0" distL="114300" distR="114300" simplePos="0" relativeHeight="251769856" behindDoc="0" locked="0" layoutInCell="1" allowOverlap="1" wp14:anchorId="7F799552" wp14:editId="766279D3">
                <wp:simplePos x="0" y="0"/>
                <wp:positionH relativeFrom="column">
                  <wp:posOffset>1080135</wp:posOffset>
                </wp:positionH>
                <wp:positionV relativeFrom="paragraph">
                  <wp:posOffset>-635</wp:posOffset>
                </wp:positionV>
                <wp:extent cx="4853940" cy="2256790"/>
                <wp:effectExtent l="0" t="0" r="3810" b="0"/>
                <wp:wrapNone/>
                <wp:docPr id="286" name="Groupe 286"/>
                <wp:cNvGraphicFramePr/>
                <a:graphic xmlns:a="http://schemas.openxmlformats.org/drawingml/2006/main">
                  <a:graphicData uri="http://schemas.microsoft.com/office/word/2010/wordprocessingGroup">
                    <wpg:wgp>
                      <wpg:cNvGrpSpPr/>
                      <wpg:grpSpPr>
                        <a:xfrm>
                          <a:off x="0" y="0"/>
                          <a:ext cx="4853940" cy="2256790"/>
                          <a:chOff x="0" y="0"/>
                          <a:chExt cx="4854102" cy="2256817"/>
                        </a:xfrm>
                      </wpg:grpSpPr>
                      <pic:pic xmlns:pic="http://schemas.openxmlformats.org/drawingml/2006/picture">
                        <pic:nvPicPr>
                          <pic:cNvPr id="274" name="Image 274" descr="Image associée"/>
                          <pic:cNvPicPr>
                            <a:picLocks noChangeAspect="1"/>
                          </pic:cNvPicPr>
                        </pic:nvPicPr>
                        <pic:blipFill rotWithShape="1">
                          <a:blip r:embed="rId384">
                            <a:extLst>
                              <a:ext uri="{28A0092B-C50C-407E-A947-70E740481C1C}">
                                <a14:useLocalDpi xmlns:a14="http://schemas.microsoft.com/office/drawing/2010/main" val="0"/>
                              </a:ext>
                            </a:extLst>
                          </a:blip>
                          <a:srcRect t="2460" b="2456"/>
                          <a:stretch/>
                        </pic:blipFill>
                        <pic:spPr bwMode="auto">
                          <a:xfrm>
                            <a:off x="0" y="0"/>
                            <a:ext cx="2431915" cy="2256817"/>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285" name="Image 285" descr="Résultats de recherche d'images pour « carcinome de l'endomètre »"/>
                          <pic:cNvPicPr>
                            <a:picLocks noChangeAspect="1"/>
                          </pic:cNvPicPr>
                        </pic:nvPicPr>
                        <pic:blipFill>
                          <a:blip r:embed="rId385" cstate="print">
                            <a:extLst>
                              <a:ext uri="{28A0092B-C50C-407E-A947-70E740481C1C}">
                                <a14:useLocalDpi xmlns:a14="http://schemas.microsoft.com/office/drawing/2010/main" val="0"/>
                              </a:ext>
                            </a:extLst>
                          </a:blip>
                          <a:srcRect/>
                          <a:stretch>
                            <a:fillRect/>
                          </a:stretch>
                        </pic:blipFill>
                        <pic:spPr bwMode="auto">
                          <a:xfrm>
                            <a:off x="2431915" y="0"/>
                            <a:ext cx="2422187" cy="2256817"/>
                          </a:xfrm>
                          <a:prstGeom prst="rect">
                            <a:avLst/>
                          </a:prstGeom>
                          <a:noFill/>
                          <a:ln>
                            <a:noFill/>
                          </a:ln>
                        </pic:spPr>
                      </pic:pic>
                    </wpg:wgp>
                  </a:graphicData>
                </a:graphic>
              </wp:anchor>
            </w:drawing>
          </mc:Choice>
          <mc:Fallback>
            <w:pict>
              <v:group id="Groupe 286" o:spid="_x0000_s1026" style="position:absolute;margin-left:85.05pt;margin-top:-.05pt;width:382.2pt;height:177.7pt;z-index:251769856" coordsize="48541,225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">
                <v:shape id="Image 274" o:spid="_x0000_s1027" type="#_x0000_t75" alt="Image associée" style="position:absolute;width:24319;height:225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Ox/wzDAAAA3AAAAA8AAABkcnMvZG93bnJldi54bWxEj92KwjAUhO+FfYdwFvZO0y3iTzXKIiwr&#10;eqPVBzg0x7Zsc1KSqNWnN4Lg5TAz3zDzZWcacSHna8sKvgcJCOLC6ppLBcfDb38CwgdkjY1lUnAj&#10;D8vFR2+OmbZX3tMlD6WIEPYZKqhCaDMpfVGRQT+wLXH0TtYZDFG6UmqH1wg3jUyTZCQN1hwXKmxp&#10;VVHxn5+Ngm033Jx2zW16D6uzw9FfqnWRKvX12f3MQATqwjv8aq+1gnQ8hOeZeATk4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47H/DMMAAADcAAAADwAAAAAAAAAAAAAAAACf&#10;AgAAZHJzL2Rvd25yZXYueG1sUEsFBgAAAAAEAAQA9wAAAI8DAAAAAA==&#10;">
                  <v:imagedata r:id="rId386" o:title="Image associée" croptop="1612f" cropbottom="1610f"/>
                  <v:path arrowok="t"/>
                </v:shape>
                <v:shape id="Image 285" o:spid="_x0000_s1028" type="#_x0000_t75" alt="Résultats de recherche d'images pour « carcinome de l'endomètre »" style="position:absolute;left:24319;width:24222;height:225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NT6BbCAAAA3AAAAA8AAABkcnMvZG93bnJldi54bWxEj09rwkAQxe8Fv8Mygrc6qWiR1FVEaBGh&#10;h6rgdZodk9DsbNxdY/z2bqHQ4+P9+fEWq942qmMfaicaXsYZKJbCmVpKDcfD+/McVIgkhhonrOHO&#10;AVbLwdOCcuNu8sXdPpYqjUjISUMVY5sjhqJiS2HsWpbknZ23FJP0JRpPtzRuG5xk2StaqiURKmp5&#10;U3Hxs7/aBFl3l4CzKcrnx+78bSJuTx61Hg379RuoyH38D/+1t0bDZD6D3zPpCODy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jU+gWwgAAANwAAAAPAAAAAAAAAAAAAAAAAJ8C&#10;AABkcnMvZG93bnJldi54bWxQSwUGAAAAAAQABAD3AAAAjgMAAAAA&#10;">
                  <v:imagedata r:id="rId387" o:title="Résultats de recherche d'images pour « carcinome de l'endomètre »"/>
                  <v:path arrowok="t"/>
                </v:shape>
              </v:group>
            </w:pict>
          </mc:Fallback>
        </mc:AlternateContent>
      </w:r>
    </w:p>
    <w:p w:rsidR="00854AAA" w:rsidRDefault="00854AAA" w:rsidP="00887A13">
      <w:pPr>
        <w:pStyle w:val="Sansinterligne"/>
        <w:rPr>
          <w:rFonts w:cs="Times New Roman"/>
        </w:rPr>
      </w:pPr>
    </w:p>
    <w:p w:rsidR="00854AAA" w:rsidRDefault="00854AAA" w:rsidP="00887A13">
      <w:pPr>
        <w:pStyle w:val="Sansinterligne"/>
        <w:rPr>
          <w:rFonts w:cs="Times New Roman"/>
        </w:rPr>
      </w:pPr>
    </w:p>
    <w:p w:rsidR="00854AAA" w:rsidRDefault="00854AAA" w:rsidP="00887A13">
      <w:pPr>
        <w:pStyle w:val="Sansinterligne"/>
        <w:rPr>
          <w:rFonts w:cs="Times New Roman"/>
        </w:rPr>
      </w:pPr>
    </w:p>
    <w:p w:rsidR="00854AAA" w:rsidRDefault="00854AAA" w:rsidP="00887A13">
      <w:pPr>
        <w:pStyle w:val="Sansinterligne"/>
        <w:rPr>
          <w:rFonts w:cs="Times New Roman"/>
        </w:rPr>
      </w:pPr>
    </w:p>
    <w:p w:rsidR="00854AAA" w:rsidRDefault="00854AAA" w:rsidP="00887A13">
      <w:pPr>
        <w:pStyle w:val="Sansinterligne"/>
        <w:rPr>
          <w:rFonts w:cs="Times New Roman"/>
        </w:rPr>
      </w:pPr>
    </w:p>
    <w:p w:rsidR="00854AAA" w:rsidRDefault="00854AAA" w:rsidP="00887A13">
      <w:pPr>
        <w:pStyle w:val="Sansinterligne"/>
        <w:rPr>
          <w:rFonts w:cs="Times New Roman"/>
        </w:rPr>
      </w:pPr>
    </w:p>
    <w:p w:rsidR="00854AAA" w:rsidRDefault="00854AAA" w:rsidP="00887A13">
      <w:pPr>
        <w:pStyle w:val="Sansinterligne"/>
        <w:rPr>
          <w:rFonts w:cs="Times New Roman"/>
        </w:rPr>
      </w:pPr>
    </w:p>
    <w:p w:rsidR="00854AAA" w:rsidRDefault="00854AAA" w:rsidP="00887A13">
      <w:pPr>
        <w:pStyle w:val="Sansinterligne"/>
        <w:rPr>
          <w:rFonts w:cs="Times New Roman"/>
        </w:rPr>
      </w:pPr>
    </w:p>
    <w:p w:rsidR="00854AAA" w:rsidRDefault="00854AAA" w:rsidP="00887A13">
      <w:pPr>
        <w:pStyle w:val="Sansinterligne"/>
        <w:rPr>
          <w:rFonts w:cs="Times New Roman"/>
        </w:rPr>
      </w:pPr>
    </w:p>
    <w:p w:rsidR="00854AAA" w:rsidRDefault="00854AAA" w:rsidP="00887A13">
      <w:pPr>
        <w:pStyle w:val="Sansinterligne"/>
        <w:rPr>
          <w:rFonts w:cs="Times New Roman"/>
        </w:rPr>
      </w:pPr>
    </w:p>
    <w:p w:rsidR="002424E3" w:rsidRDefault="002424E3" w:rsidP="00887A13">
      <w:pPr>
        <w:pStyle w:val="Sansinterligne"/>
        <w:rPr>
          <w:rFonts w:cs="Times New Roman"/>
        </w:rPr>
      </w:pPr>
    </w:p>
    <w:p w:rsidR="00972D9B" w:rsidRDefault="00972D9B" w:rsidP="00887A13">
      <w:pPr>
        <w:pStyle w:val="Sansinterligne"/>
        <w:rPr>
          <w:rFonts w:cs="Times New Roman"/>
        </w:rPr>
      </w:pPr>
    </w:p>
    <w:p w:rsidR="00972D9B" w:rsidRDefault="00972D9B" w:rsidP="00887A13">
      <w:pPr>
        <w:pStyle w:val="Sansinterligne"/>
        <w:rPr>
          <w:rFonts w:cs="Times New Roman"/>
        </w:rPr>
      </w:pPr>
    </w:p>
    <w:p w:rsidR="00972D9B" w:rsidRDefault="00972D9B" w:rsidP="00887A13">
      <w:pPr>
        <w:pStyle w:val="Sansinterligne"/>
        <w:rPr>
          <w:rFonts w:cs="Times New Roman"/>
        </w:rPr>
      </w:pPr>
    </w:p>
    <w:p w:rsidR="0074544D" w:rsidRPr="00887A13" w:rsidRDefault="0074544D" w:rsidP="00887A13">
      <w:pPr>
        <w:pStyle w:val="Sansinterligne"/>
        <w:rPr>
          <w:rFonts w:cs="Times New Roman"/>
        </w:rPr>
      </w:pPr>
    </w:p>
    <w:tbl>
      <w:tblPr>
        <w:tblStyle w:val="Grilledutableau"/>
        <w:tblW w:w="0" w:type="auto"/>
        <w:tblLook w:val="04A0" w:firstRow="1" w:lastRow="0" w:firstColumn="1" w:lastColumn="0" w:noHBand="0" w:noVBand="1"/>
      </w:tblPr>
      <w:tblGrid>
        <w:gridCol w:w="3646"/>
        <w:gridCol w:w="3647"/>
        <w:gridCol w:w="3647"/>
      </w:tblGrid>
      <w:tr w:rsidR="00EE4AA8" w:rsidTr="002479F6">
        <w:tc>
          <w:tcPr>
            <w:tcW w:w="10940" w:type="dxa"/>
            <w:gridSpan w:val="3"/>
            <w:shd w:val="clear" w:color="auto" w:fill="B2A1C7" w:themeFill="accent4" w:themeFillTint="99"/>
          </w:tcPr>
          <w:p w:rsidR="00EE4AA8" w:rsidRPr="00CF63A7" w:rsidRDefault="0075722F" w:rsidP="00CF63A7">
            <w:pPr>
              <w:pStyle w:val="Sansinterligne"/>
              <w:jc w:val="center"/>
              <w:rPr>
                <w:rFonts w:cs="Times New Roman"/>
                <w:b/>
              </w:rPr>
            </w:pPr>
            <w:r>
              <w:rPr>
                <w:rFonts w:cs="Times New Roman"/>
                <w:b/>
              </w:rPr>
              <w:t>Causes</w:t>
            </w:r>
            <w:r w:rsidR="00CF63A7" w:rsidRPr="00CF63A7">
              <w:rPr>
                <w:rFonts w:cs="Times New Roman"/>
                <w:b/>
              </w:rPr>
              <w:t xml:space="preserve"> gynécologiques</w:t>
            </w:r>
            <w:r w:rsidR="00CF63A7">
              <w:rPr>
                <w:rFonts w:cs="Times New Roman"/>
                <w:b/>
              </w:rPr>
              <w:t xml:space="preserve"> non-cancéreuses</w:t>
            </w:r>
          </w:p>
        </w:tc>
      </w:tr>
      <w:tr w:rsidR="003825A8" w:rsidTr="00EE4AA8">
        <w:tc>
          <w:tcPr>
            <w:tcW w:w="3646" w:type="dxa"/>
          </w:tcPr>
          <w:p w:rsidR="003825A8" w:rsidRPr="003825A8" w:rsidRDefault="003825A8" w:rsidP="003825A8">
            <w:pPr>
              <w:pStyle w:val="Sansinterligne"/>
              <w:jc w:val="center"/>
              <w:rPr>
                <w:rFonts w:cs="Times New Roman"/>
                <w:i/>
              </w:rPr>
            </w:pPr>
            <w:r w:rsidRPr="003825A8">
              <w:rPr>
                <w:rFonts w:cs="Times New Roman"/>
                <w:i/>
              </w:rPr>
              <w:t>Diagnostic</w:t>
            </w:r>
          </w:p>
        </w:tc>
        <w:tc>
          <w:tcPr>
            <w:tcW w:w="3647" w:type="dxa"/>
          </w:tcPr>
          <w:p w:rsidR="003825A8" w:rsidRPr="003825A8" w:rsidRDefault="003825A8" w:rsidP="003825A8">
            <w:pPr>
              <w:pStyle w:val="Sansinterligne"/>
              <w:jc w:val="center"/>
              <w:rPr>
                <w:rFonts w:cs="Times New Roman"/>
                <w:i/>
              </w:rPr>
            </w:pPr>
            <w:r w:rsidRPr="003825A8">
              <w:rPr>
                <w:rFonts w:cs="Times New Roman"/>
                <w:i/>
              </w:rPr>
              <w:t>Facteurs de risque, épidémiologie</w:t>
            </w:r>
          </w:p>
        </w:tc>
        <w:tc>
          <w:tcPr>
            <w:tcW w:w="3647" w:type="dxa"/>
          </w:tcPr>
          <w:p w:rsidR="003825A8" w:rsidRPr="003825A8" w:rsidRDefault="003825A8" w:rsidP="003825A8">
            <w:pPr>
              <w:pStyle w:val="Sansinterligne"/>
              <w:jc w:val="center"/>
              <w:rPr>
                <w:rFonts w:cs="Times New Roman"/>
                <w:i/>
              </w:rPr>
            </w:pPr>
            <w:r w:rsidRPr="003825A8">
              <w:rPr>
                <w:rFonts w:cs="Times New Roman"/>
                <w:i/>
              </w:rPr>
              <w:t>Manifestations cliniques</w:t>
            </w:r>
          </w:p>
        </w:tc>
      </w:tr>
      <w:tr w:rsidR="004536BF" w:rsidTr="00F74BEE">
        <w:tc>
          <w:tcPr>
            <w:tcW w:w="3646" w:type="dxa"/>
          </w:tcPr>
          <w:p w:rsidR="004536BF" w:rsidRPr="00460262" w:rsidRDefault="004536BF" w:rsidP="00EE4AA8">
            <w:pPr>
              <w:pStyle w:val="Sansinterligne"/>
              <w:rPr>
                <w:rFonts w:cs="Times New Roman"/>
                <w:highlight w:val="yellow"/>
              </w:rPr>
            </w:pPr>
            <w:r>
              <w:rPr>
                <w:rFonts w:cs="Times New Roman"/>
                <w:highlight w:val="yellow"/>
              </w:rPr>
              <w:t>Adénomyose</w:t>
            </w:r>
          </w:p>
        </w:tc>
        <w:tc>
          <w:tcPr>
            <w:tcW w:w="7294" w:type="dxa"/>
            <w:gridSpan w:val="2"/>
          </w:tcPr>
          <w:p w:rsidR="004536BF" w:rsidRPr="00132BD1" w:rsidRDefault="004536BF" w:rsidP="00EE4AA8">
            <w:pPr>
              <w:pStyle w:val="Sansinterligne"/>
              <w:rPr>
                <w:rFonts w:cs="Times New Roman"/>
                <w:highlight w:val="yellow"/>
              </w:rPr>
            </w:pPr>
            <w:r w:rsidRPr="00132BD1">
              <w:rPr>
                <w:rFonts w:cs="Times New Roman"/>
                <w:highlight w:val="yellow"/>
              </w:rPr>
              <w:t xml:space="preserve">Voir </w:t>
            </w:r>
            <w:r w:rsidRPr="00132BD1">
              <w:rPr>
                <w:rFonts w:cs="Times New Roman"/>
                <w:i/>
                <w:highlight w:val="yellow"/>
              </w:rPr>
              <w:t>Douleur pelvienne CMC 73</w:t>
            </w:r>
          </w:p>
        </w:tc>
      </w:tr>
      <w:tr w:rsidR="004F0F6F" w:rsidTr="00F74BEE">
        <w:tc>
          <w:tcPr>
            <w:tcW w:w="3646" w:type="dxa"/>
          </w:tcPr>
          <w:p w:rsidR="004F0F6F" w:rsidRPr="00460262" w:rsidRDefault="004F0F6F" w:rsidP="00EE4AA8">
            <w:pPr>
              <w:pStyle w:val="Sansinterligne"/>
              <w:rPr>
                <w:rFonts w:cs="Times New Roman"/>
                <w:highlight w:val="yellow"/>
              </w:rPr>
            </w:pPr>
            <w:r w:rsidRPr="00460262">
              <w:rPr>
                <w:rFonts w:cs="Times New Roman"/>
                <w:highlight w:val="yellow"/>
              </w:rPr>
              <w:t>Léiomyomes</w:t>
            </w:r>
            <w:r>
              <w:rPr>
                <w:rFonts w:cs="Times New Roman"/>
                <w:highlight w:val="yellow"/>
              </w:rPr>
              <w:t xml:space="preserve"> utérins</w:t>
            </w:r>
          </w:p>
        </w:tc>
        <w:tc>
          <w:tcPr>
            <w:tcW w:w="7294" w:type="dxa"/>
            <w:gridSpan w:val="2"/>
          </w:tcPr>
          <w:p w:rsidR="004F0F6F" w:rsidRPr="00887A13" w:rsidRDefault="004F0F6F" w:rsidP="00EE4AA8">
            <w:pPr>
              <w:pStyle w:val="Sansinterligne"/>
              <w:rPr>
                <w:rFonts w:cs="Times New Roman"/>
              </w:rPr>
            </w:pPr>
            <w:r w:rsidRPr="00132BD1">
              <w:rPr>
                <w:rFonts w:cs="Times New Roman"/>
                <w:highlight w:val="yellow"/>
              </w:rPr>
              <w:t xml:space="preserve">Voir </w:t>
            </w:r>
            <w:r w:rsidRPr="00132BD1">
              <w:rPr>
                <w:rFonts w:cs="Times New Roman"/>
                <w:i/>
                <w:highlight w:val="yellow"/>
              </w:rPr>
              <w:t>Douleur pelvienne CMC 73</w:t>
            </w:r>
          </w:p>
        </w:tc>
      </w:tr>
      <w:tr w:rsidR="003825A8" w:rsidTr="00EE4AA8">
        <w:tc>
          <w:tcPr>
            <w:tcW w:w="3646" w:type="dxa"/>
          </w:tcPr>
          <w:p w:rsidR="003825A8" w:rsidRPr="00132BD1" w:rsidRDefault="003825A8" w:rsidP="00EE4AA8">
            <w:pPr>
              <w:pStyle w:val="Sansinterligne"/>
              <w:rPr>
                <w:rFonts w:cs="Times New Roman"/>
                <w:highlight w:val="yellow"/>
              </w:rPr>
            </w:pPr>
            <w:r w:rsidRPr="00132BD1">
              <w:rPr>
                <w:rFonts w:cs="Times New Roman"/>
                <w:highlight w:val="yellow"/>
              </w:rPr>
              <w:t>Polypes utérins</w:t>
            </w:r>
          </w:p>
        </w:tc>
        <w:tc>
          <w:tcPr>
            <w:tcW w:w="3647" w:type="dxa"/>
          </w:tcPr>
          <w:p w:rsidR="003825A8" w:rsidRPr="00132BD1" w:rsidRDefault="00132BD1" w:rsidP="000665D6">
            <w:pPr>
              <w:pStyle w:val="Sansinterligne"/>
              <w:numPr>
                <w:ilvl w:val="0"/>
                <w:numId w:val="401"/>
              </w:numPr>
              <w:rPr>
                <w:rFonts w:cs="Times New Roman"/>
                <w:highlight w:val="yellow"/>
              </w:rPr>
            </w:pPr>
            <w:r w:rsidRPr="00132BD1">
              <w:rPr>
                <w:rFonts w:cs="Times New Roman"/>
                <w:highlight w:val="yellow"/>
              </w:rPr>
              <w:t>Excès d’oestrogènes (voir néoplasie endométriale)</w:t>
            </w:r>
          </w:p>
        </w:tc>
        <w:tc>
          <w:tcPr>
            <w:tcW w:w="3647" w:type="dxa"/>
          </w:tcPr>
          <w:p w:rsidR="003825A8" w:rsidRPr="00132BD1" w:rsidRDefault="00132BD1" w:rsidP="000665D6">
            <w:pPr>
              <w:pStyle w:val="Sansinterligne"/>
              <w:numPr>
                <w:ilvl w:val="0"/>
                <w:numId w:val="401"/>
              </w:numPr>
              <w:rPr>
                <w:rFonts w:cs="Times New Roman"/>
                <w:highlight w:val="yellow"/>
              </w:rPr>
            </w:pPr>
            <w:r w:rsidRPr="00132BD1">
              <w:rPr>
                <w:rFonts w:cs="Times New Roman"/>
                <w:highlight w:val="yellow"/>
              </w:rPr>
              <w:t xml:space="preserve">Métrorragie </w:t>
            </w:r>
          </w:p>
          <w:p w:rsidR="00132BD1" w:rsidRPr="00132BD1" w:rsidRDefault="00132BD1" w:rsidP="000665D6">
            <w:pPr>
              <w:pStyle w:val="Sansinterligne"/>
              <w:numPr>
                <w:ilvl w:val="0"/>
                <w:numId w:val="401"/>
              </w:numPr>
              <w:rPr>
                <w:rFonts w:cs="Times New Roman"/>
                <w:highlight w:val="yellow"/>
              </w:rPr>
            </w:pPr>
            <w:r w:rsidRPr="00132BD1">
              <w:rPr>
                <w:rFonts w:cs="Times New Roman"/>
                <w:highlight w:val="yellow"/>
              </w:rPr>
              <w:t>Parfois prolapsus du polype au col</w:t>
            </w:r>
          </w:p>
        </w:tc>
      </w:tr>
      <w:tr w:rsidR="003825A8" w:rsidTr="00EE4AA8">
        <w:tc>
          <w:tcPr>
            <w:tcW w:w="3646" w:type="dxa"/>
          </w:tcPr>
          <w:p w:rsidR="003825A8" w:rsidRPr="007F530A" w:rsidRDefault="003825A8" w:rsidP="00EE4AA8">
            <w:pPr>
              <w:pStyle w:val="Sansinterligne"/>
              <w:rPr>
                <w:rFonts w:cs="Times New Roman"/>
                <w:highlight w:val="yellow"/>
              </w:rPr>
            </w:pPr>
            <w:r w:rsidRPr="007F530A">
              <w:rPr>
                <w:rFonts w:cs="Times New Roman"/>
                <w:highlight w:val="yellow"/>
              </w:rPr>
              <w:t>Lésions génitales traumatiques</w:t>
            </w:r>
          </w:p>
          <w:p w:rsidR="003825A8" w:rsidRDefault="003825A8" w:rsidP="00EE4AA8">
            <w:pPr>
              <w:pStyle w:val="Sansinterligne"/>
              <w:rPr>
                <w:rFonts w:cs="Times New Roman"/>
              </w:rPr>
            </w:pPr>
            <w:r w:rsidRPr="007F530A">
              <w:rPr>
                <w:rFonts w:cs="Times New Roman"/>
                <w:highlight w:val="yellow"/>
              </w:rPr>
              <w:t>Sévices sexuels</w:t>
            </w:r>
          </w:p>
        </w:tc>
        <w:tc>
          <w:tcPr>
            <w:tcW w:w="3647" w:type="dxa"/>
          </w:tcPr>
          <w:p w:rsidR="00ED3244" w:rsidRPr="00BC3C3C" w:rsidRDefault="00ED3244" w:rsidP="000665D6">
            <w:pPr>
              <w:pStyle w:val="Sansinterligne"/>
              <w:numPr>
                <w:ilvl w:val="0"/>
                <w:numId w:val="402"/>
              </w:numPr>
              <w:rPr>
                <w:rFonts w:cs="Times New Roman"/>
                <w:highlight w:val="yellow"/>
              </w:rPr>
            </w:pPr>
            <w:r w:rsidRPr="00BC3C3C">
              <w:rPr>
                <w:rFonts w:cs="Times New Roman"/>
                <w:highlight w:val="yellow"/>
              </w:rPr>
              <w:t>Trauma (vélo, etc.)</w:t>
            </w:r>
          </w:p>
          <w:p w:rsidR="003825A8" w:rsidRPr="00BC3C3C" w:rsidRDefault="003825A8" w:rsidP="000665D6">
            <w:pPr>
              <w:pStyle w:val="Sansinterligne"/>
              <w:numPr>
                <w:ilvl w:val="0"/>
                <w:numId w:val="402"/>
              </w:numPr>
              <w:rPr>
                <w:rFonts w:cs="Times New Roman"/>
                <w:highlight w:val="yellow"/>
              </w:rPr>
            </w:pPr>
            <w:r w:rsidRPr="00BC3C3C">
              <w:rPr>
                <w:rFonts w:cs="Times New Roman"/>
                <w:highlight w:val="yellow"/>
              </w:rPr>
              <w:t>Pratiques sexuelles</w:t>
            </w:r>
            <w:r w:rsidR="00996F52" w:rsidRPr="00BC3C3C">
              <w:rPr>
                <w:rFonts w:cs="Times New Roman"/>
                <w:highlight w:val="yellow"/>
              </w:rPr>
              <w:t xml:space="preserve"> ’’</w:t>
            </w:r>
            <w:r w:rsidRPr="00BC3C3C">
              <w:rPr>
                <w:rFonts w:cs="Times New Roman"/>
                <w:highlight w:val="yellow"/>
              </w:rPr>
              <w:t>hard’’</w:t>
            </w:r>
          </w:p>
          <w:p w:rsidR="003825A8" w:rsidRPr="00BC3C3C" w:rsidRDefault="003825A8" w:rsidP="000665D6">
            <w:pPr>
              <w:pStyle w:val="Sansinterligne"/>
              <w:numPr>
                <w:ilvl w:val="0"/>
                <w:numId w:val="402"/>
              </w:numPr>
              <w:rPr>
                <w:rFonts w:cs="Times New Roman"/>
                <w:highlight w:val="yellow"/>
              </w:rPr>
            </w:pPr>
            <w:r w:rsidRPr="00BC3C3C">
              <w:rPr>
                <w:rFonts w:cs="Times New Roman"/>
                <w:highlight w:val="yellow"/>
              </w:rPr>
              <w:t>Abus sexuels</w:t>
            </w:r>
          </w:p>
        </w:tc>
        <w:tc>
          <w:tcPr>
            <w:tcW w:w="3647" w:type="dxa"/>
          </w:tcPr>
          <w:p w:rsidR="003825A8" w:rsidRPr="00BC3C3C" w:rsidRDefault="00280E51" w:rsidP="000665D6">
            <w:pPr>
              <w:pStyle w:val="Sansinterligne"/>
              <w:numPr>
                <w:ilvl w:val="0"/>
                <w:numId w:val="402"/>
              </w:numPr>
              <w:rPr>
                <w:rFonts w:cs="Times New Roman"/>
                <w:highlight w:val="yellow"/>
              </w:rPr>
            </w:pPr>
            <w:r w:rsidRPr="00BC3C3C">
              <w:rPr>
                <w:rFonts w:cs="Times New Roman"/>
                <w:highlight w:val="yellow"/>
              </w:rPr>
              <w:t>Lacé</w:t>
            </w:r>
            <w:r w:rsidR="00A86944" w:rsidRPr="00BC3C3C">
              <w:rPr>
                <w:rFonts w:cs="Times New Roman"/>
                <w:highlight w:val="yellow"/>
              </w:rPr>
              <w:t>rations</w:t>
            </w:r>
            <w:r w:rsidRPr="00BC3C3C">
              <w:rPr>
                <w:rFonts w:cs="Times New Roman"/>
                <w:highlight w:val="yellow"/>
              </w:rPr>
              <w:t xml:space="preserve"> labiales, vaginales</w:t>
            </w:r>
          </w:p>
          <w:p w:rsidR="00280E51" w:rsidRPr="00BC3C3C" w:rsidRDefault="00ED3244" w:rsidP="000665D6">
            <w:pPr>
              <w:pStyle w:val="Sansinterligne"/>
              <w:numPr>
                <w:ilvl w:val="0"/>
                <w:numId w:val="402"/>
              </w:numPr>
              <w:rPr>
                <w:rFonts w:cs="Times New Roman"/>
                <w:highlight w:val="yellow"/>
              </w:rPr>
            </w:pPr>
            <w:r w:rsidRPr="00BC3C3C">
              <w:rPr>
                <w:rFonts w:cs="Times New Roman"/>
                <w:highlight w:val="yellow"/>
              </w:rPr>
              <w:t>Saignement tractus génital inférieur</w:t>
            </w:r>
          </w:p>
        </w:tc>
      </w:tr>
      <w:tr w:rsidR="003825A8" w:rsidTr="00EE4AA8">
        <w:tc>
          <w:tcPr>
            <w:tcW w:w="3646" w:type="dxa"/>
          </w:tcPr>
          <w:p w:rsidR="003825A8" w:rsidRDefault="003825A8" w:rsidP="00EE4AA8">
            <w:pPr>
              <w:pStyle w:val="Sansinterligne"/>
              <w:rPr>
                <w:rFonts w:cs="Times New Roman"/>
              </w:rPr>
            </w:pPr>
            <w:r>
              <w:rPr>
                <w:rFonts w:cs="Times New Roman"/>
              </w:rPr>
              <w:t>Cervicite, endométrite</w:t>
            </w:r>
          </w:p>
        </w:tc>
        <w:tc>
          <w:tcPr>
            <w:tcW w:w="3647" w:type="dxa"/>
          </w:tcPr>
          <w:p w:rsidR="003825A8" w:rsidRPr="001C4CF7" w:rsidRDefault="001C4CF7" w:rsidP="00EE4AA8">
            <w:pPr>
              <w:pStyle w:val="Sansinterligne"/>
              <w:rPr>
                <w:rFonts w:cs="Times New Roman"/>
              </w:rPr>
            </w:pPr>
            <w:r>
              <w:rPr>
                <w:rFonts w:cs="Times New Roman"/>
              </w:rPr>
              <w:t xml:space="preserve">Voir </w:t>
            </w:r>
            <w:r w:rsidRPr="001C4CF7">
              <w:rPr>
                <w:rFonts w:cs="Times New Roman"/>
                <w:i/>
              </w:rPr>
              <w:t>Écoulement vaginal, prurit vulvaire CMC 113</w:t>
            </w:r>
            <w:r>
              <w:rPr>
                <w:rFonts w:cs="Times New Roman"/>
              </w:rPr>
              <w:t xml:space="preserve"> et </w:t>
            </w:r>
            <w:r w:rsidRPr="004F0F6F">
              <w:rPr>
                <w:rFonts w:cs="Times New Roman"/>
                <w:i/>
              </w:rPr>
              <w:t>Douleur pelvienne CMC 73</w:t>
            </w:r>
          </w:p>
        </w:tc>
        <w:tc>
          <w:tcPr>
            <w:tcW w:w="3647" w:type="dxa"/>
          </w:tcPr>
          <w:p w:rsidR="003825A8" w:rsidRDefault="001C4CF7" w:rsidP="000665D6">
            <w:pPr>
              <w:pStyle w:val="Sansinterligne"/>
              <w:numPr>
                <w:ilvl w:val="0"/>
                <w:numId w:val="399"/>
              </w:numPr>
              <w:rPr>
                <w:rFonts w:cs="Times New Roman"/>
              </w:rPr>
            </w:pPr>
            <w:r>
              <w:rPr>
                <w:rFonts w:cs="Times New Roman"/>
              </w:rPr>
              <w:t>Peuvent donner des saignements secondaires à l’inflammation de la muqueuse</w:t>
            </w:r>
          </w:p>
          <w:p w:rsidR="001C4CF7" w:rsidRPr="00887A13" w:rsidRDefault="001C4CF7" w:rsidP="000665D6">
            <w:pPr>
              <w:pStyle w:val="Sansinterligne"/>
              <w:numPr>
                <w:ilvl w:val="0"/>
                <w:numId w:val="399"/>
              </w:numPr>
              <w:rPr>
                <w:rFonts w:cs="Times New Roman"/>
              </w:rPr>
            </w:pPr>
            <w:r>
              <w:rPr>
                <w:rFonts w:cs="Times New Roman"/>
              </w:rPr>
              <w:t>Parfois post-coïtaux</w:t>
            </w:r>
          </w:p>
        </w:tc>
      </w:tr>
      <w:tr w:rsidR="003825A8" w:rsidTr="00F74BEE">
        <w:tc>
          <w:tcPr>
            <w:tcW w:w="3646" w:type="dxa"/>
          </w:tcPr>
          <w:p w:rsidR="003825A8" w:rsidRDefault="003825A8" w:rsidP="00EE4AA8">
            <w:pPr>
              <w:pStyle w:val="Sansinterligne"/>
              <w:rPr>
                <w:rFonts w:cs="Times New Roman"/>
              </w:rPr>
            </w:pPr>
            <w:r>
              <w:rPr>
                <w:rFonts w:cs="Times New Roman"/>
              </w:rPr>
              <w:t>SOPK</w:t>
            </w:r>
          </w:p>
        </w:tc>
        <w:tc>
          <w:tcPr>
            <w:tcW w:w="7294" w:type="dxa"/>
            <w:gridSpan w:val="2"/>
          </w:tcPr>
          <w:p w:rsidR="003825A8" w:rsidRPr="00887A13" w:rsidRDefault="003825A8" w:rsidP="00EE4AA8">
            <w:pPr>
              <w:pStyle w:val="Sansinterligne"/>
              <w:rPr>
                <w:rFonts w:cs="Times New Roman"/>
              </w:rPr>
            </w:pPr>
            <w:r>
              <w:rPr>
                <w:rFonts w:cs="Times New Roman"/>
              </w:rPr>
              <w:t xml:space="preserve">Voir </w:t>
            </w:r>
            <w:r w:rsidRPr="00512CEC">
              <w:rPr>
                <w:rFonts w:cs="Times New Roman"/>
                <w:i/>
              </w:rPr>
              <w:t>Aménorrhée, oligoménorrhée CMC 56-1</w:t>
            </w:r>
          </w:p>
        </w:tc>
      </w:tr>
      <w:tr w:rsidR="00E46227" w:rsidTr="00F74BEE">
        <w:tc>
          <w:tcPr>
            <w:tcW w:w="3646" w:type="dxa"/>
          </w:tcPr>
          <w:p w:rsidR="00E46227" w:rsidRDefault="00E46227" w:rsidP="00BD53AA">
            <w:pPr>
              <w:pStyle w:val="Sansinterligne"/>
              <w:rPr>
                <w:rFonts w:cs="Times New Roman"/>
              </w:rPr>
            </w:pPr>
            <w:r>
              <w:rPr>
                <w:rFonts w:cs="Times New Roman"/>
              </w:rPr>
              <w:t xml:space="preserve">Saignements </w:t>
            </w:r>
            <w:r w:rsidR="00BD53AA">
              <w:rPr>
                <w:rFonts w:cs="Times New Roman"/>
              </w:rPr>
              <w:t>ovulatoires</w:t>
            </w:r>
            <w:r>
              <w:rPr>
                <w:rFonts w:cs="Times New Roman"/>
              </w:rPr>
              <w:t xml:space="preserve"> dysfonctionnel</w:t>
            </w:r>
            <w:r w:rsidR="00BD53AA">
              <w:rPr>
                <w:rFonts w:cs="Times New Roman"/>
              </w:rPr>
              <w:t>s</w:t>
            </w:r>
          </w:p>
        </w:tc>
        <w:tc>
          <w:tcPr>
            <w:tcW w:w="7294" w:type="dxa"/>
            <w:gridSpan w:val="2"/>
          </w:tcPr>
          <w:p w:rsidR="00E46227" w:rsidRPr="00887A13" w:rsidRDefault="00E46227" w:rsidP="000665D6">
            <w:pPr>
              <w:pStyle w:val="Sansinterligne"/>
              <w:numPr>
                <w:ilvl w:val="0"/>
                <w:numId w:val="400"/>
              </w:numPr>
              <w:rPr>
                <w:rFonts w:cs="Times New Roman"/>
              </w:rPr>
            </w:pPr>
            <w:r>
              <w:rPr>
                <w:rFonts w:cs="Times New Roman"/>
              </w:rPr>
              <w:t>Diagnostic d’exclusion</w:t>
            </w:r>
          </w:p>
        </w:tc>
      </w:tr>
    </w:tbl>
    <w:p w:rsidR="00EE4AA8" w:rsidRDefault="00EE4AA8" w:rsidP="00887A13">
      <w:pPr>
        <w:pStyle w:val="Sansinterligne"/>
        <w:rPr>
          <w:rFonts w:cs="Times New Roman"/>
        </w:rPr>
      </w:pPr>
    </w:p>
    <w:tbl>
      <w:tblPr>
        <w:tblStyle w:val="Grilledutableau"/>
        <w:tblW w:w="0" w:type="auto"/>
        <w:tblLook w:val="04A0" w:firstRow="1" w:lastRow="0" w:firstColumn="1" w:lastColumn="0" w:noHBand="0" w:noVBand="1"/>
      </w:tblPr>
      <w:tblGrid>
        <w:gridCol w:w="3085"/>
        <w:gridCol w:w="4111"/>
        <w:gridCol w:w="97"/>
        <w:gridCol w:w="3647"/>
      </w:tblGrid>
      <w:tr w:rsidR="00CF63A7" w:rsidTr="002479F6">
        <w:tc>
          <w:tcPr>
            <w:tcW w:w="10940" w:type="dxa"/>
            <w:gridSpan w:val="4"/>
            <w:shd w:val="clear" w:color="auto" w:fill="B2A1C7" w:themeFill="accent4" w:themeFillTint="99"/>
          </w:tcPr>
          <w:p w:rsidR="00CF63A7" w:rsidRPr="00CF63A7" w:rsidRDefault="00CF63A7" w:rsidP="00CF63A7">
            <w:pPr>
              <w:pStyle w:val="Sansinterligne"/>
              <w:jc w:val="center"/>
              <w:rPr>
                <w:rFonts w:cs="Times New Roman"/>
                <w:b/>
              </w:rPr>
            </w:pPr>
            <w:r w:rsidRPr="00CF63A7">
              <w:rPr>
                <w:rFonts w:cs="Times New Roman"/>
                <w:b/>
              </w:rPr>
              <w:t>Causes systémiques ou non-gynécologiques</w:t>
            </w:r>
          </w:p>
        </w:tc>
      </w:tr>
      <w:tr w:rsidR="00EE4AA8" w:rsidTr="00352C00">
        <w:tc>
          <w:tcPr>
            <w:tcW w:w="3085" w:type="dxa"/>
          </w:tcPr>
          <w:p w:rsidR="00EE4AA8" w:rsidRPr="003825A8" w:rsidRDefault="003825A8" w:rsidP="003825A8">
            <w:pPr>
              <w:pStyle w:val="Sansinterligne"/>
              <w:jc w:val="center"/>
              <w:rPr>
                <w:rFonts w:cs="Times New Roman"/>
                <w:i/>
              </w:rPr>
            </w:pPr>
            <w:r w:rsidRPr="003825A8">
              <w:rPr>
                <w:rFonts w:cs="Times New Roman"/>
                <w:i/>
              </w:rPr>
              <w:t>Diagnostic</w:t>
            </w:r>
          </w:p>
        </w:tc>
        <w:tc>
          <w:tcPr>
            <w:tcW w:w="4208" w:type="dxa"/>
            <w:gridSpan w:val="2"/>
          </w:tcPr>
          <w:p w:rsidR="00EE4AA8" w:rsidRPr="003825A8" w:rsidRDefault="003825A8" w:rsidP="003825A8">
            <w:pPr>
              <w:pStyle w:val="Sansinterligne"/>
              <w:jc w:val="center"/>
              <w:rPr>
                <w:rFonts w:cs="Times New Roman"/>
                <w:i/>
              </w:rPr>
            </w:pPr>
            <w:r w:rsidRPr="003825A8">
              <w:rPr>
                <w:rFonts w:cs="Times New Roman"/>
                <w:i/>
              </w:rPr>
              <w:t>Facteurs de risque, épidémiologie</w:t>
            </w:r>
          </w:p>
        </w:tc>
        <w:tc>
          <w:tcPr>
            <w:tcW w:w="3647" w:type="dxa"/>
          </w:tcPr>
          <w:p w:rsidR="00EE4AA8" w:rsidRPr="003825A8" w:rsidRDefault="003825A8" w:rsidP="003825A8">
            <w:pPr>
              <w:pStyle w:val="Sansinterligne"/>
              <w:jc w:val="center"/>
              <w:rPr>
                <w:rFonts w:cs="Times New Roman"/>
                <w:i/>
              </w:rPr>
            </w:pPr>
            <w:r w:rsidRPr="003825A8">
              <w:rPr>
                <w:rFonts w:cs="Times New Roman"/>
                <w:i/>
              </w:rPr>
              <w:t>Manifestations cliniques</w:t>
            </w:r>
          </w:p>
        </w:tc>
      </w:tr>
      <w:tr w:rsidR="00460262" w:rsidTr="00352C00">
        <w:tc>
          <w:tcPr>
            <w:tcW w:w="3085" w:type="dxa"/>
          </w:tcPr>
          <w:p w:rsidR="00460262" w:rsidRDefault="00460262" w:rsidP="00EE4AA8">
            <w:pPr>
              <w:pStyle w:val="Sansinterligne"/>
              <w:rPr>
                <w:rFonts w:cs="Times New Roman"/>
              </w:rPr>
            </w:pPr>
            <w:r>
              <w:rPr>
                <w:rFonts w:cs="Times New Roman"/>
              </w:rPr>
              <w:t>Hypothyroïdie, prolactinome</w:t>
            </w:r>
          </w:p>
        </w:tc>
        <w:tc>
          <w:tcPr>
            <w:tcW w:w="7855" w:type="dxa"/>
            <w:gridSpan w:val="3"/>
          </w:tcPr>
          <w:p w:rsidR="00460262" w:rsidRPr="00887A13" w:rsidRDefault="00460262" w:rsidP="00EE4AA8">
            <w:pPr>
              <w:pStyle w:val="Sansinterligne"/>
              <w:rPr>
                <w:rFonts w:cs="Times New Roman"/>
              </w:rPr>
            </w:pPr>
            <w:r>
              <w:rPr>
                <w:rFonts w:cs="Times New Roman"/>
              </w:rPr>
              <w:t xml:space="preserve">Voir </w:t>
            </w:r>
            <w:r w:rsidRPr="00EE4AA8">
              <w:rPr>
                <w:rFonts w:cs="Times New Roman"/>
                <w:i/>
              </w:rPr>
              <w:t>Écoulement mammaire CMC 10-2</w:t>
            </w:r>
          </w:p>
        </w:tc>
      </w:tr>
      <w:tr w:rsidR="00EE4AA8" w:rsidRPr="002603A6" w:rsidTr="00352C00">
        <w:tc>
          <w:tcPr>
            <w:tcW w:w="3085" w:type="dxa"/>
          </w:tcPr>
          <w:p w:rsidR="00EE4AA8" w:rsidRDefault="00EE4AA8" w:rsidP="00EE4AA8">
            <w:pPr>
              <w:pStyle w:val="Sansinterligne"/>
              <w:rPr>
                <w:rFonts w:cs="Times New Roman"/>
              </w:rPr>
            </w:pPr>
            <w:r>
              <w:rPr>
                <w:rFonts w:cs="Times New Roman"/>
              </w:rPr>
              <w:t>Dyscrasies sanguines</w:t>
            </w:r>
          </w:p>
        </w:tc>
        <w:tc>
          <w:tcPr>
            <w:tcW w:w="4111" w:type="dxa"/>
          </w:tcPr>
          <w:p w:rsidR="002603A6" w:rsidRPr="002603A6" w:rsidRDefault="002603A6" w:rsidP="000665D6">
            <w:pPr>
              <w:pStyle w:val="Sansinterligne"/>
              <w:numPr>
                <w:ilvl w:val="0"/>
                <w:numId w:val="400"/>
              </w:numPr>
              <w:rPr>
                <w:rFonts w:cs="Times New Roman"/>
                <w:lang w:val="de-DE"/>
              </w:rPr>
            </w:pPr>
            <w:r w:rsidRPr="002603A6">
              <w:rPr>
                <w:rFonts w:cs="Times New Roman"/>
                <w:lang w:val="de-DE"/>
              </w:rPr>
              <w:t>Hémophilie</w:t>
            </w:r>
          </w:p>
          <w:p w:rsidR="00EE4AA8" w:rsidRDefault="002603A6" w:rsidP="000665D6">
            <w:pPr>
              <w:pStyle w:val="Sansinterligne"/>
              <w:numPr>
                <w:ilvl w:val="0"/>
                <w:numId w:val="400"/>
              </w:numPr>
              <w:rPr>
                <w:rFonts w:cs="Times New Roman"/>
                <w:lang w:val="de-DE"/>
              </w:rPr>
            </w:pPr>
            <w:r w:rsidRPr="002603A6">
              <w:rPr>
                <w:rFonts w:cs="Times New Roman"/>
                <w:lang w:val="de-DE"/>
              </w:rPr>
              <w:t>Maladie de Won Wi</w:t>
            </w:r>
            <w:r>
              <w:rPr>
                <w:rFonts w:cs="Times New Roman"/>
                <w:lang w:val="de-DE"/>
              </w:rPr>
              <w:t>llebrandt</w:t>
            </w:r>
          </w:p>
          <w:p w:rsidR="002603A6" w:rsidRDefault="002603A6" w:rsidP="000665D6">
            <w:pPr>
              <w:pStyle w:val="Sansinterligne"/>
              <w:numPr>
                <w:ilvl w:val="0"/>
                <w:numId w:val="400"/>
              </w:numPr>
              <w:rPr>
                <w:rFonts w:cs="Times New Roman"/>
                <w:lang w:val="de-DE"/>
              </w:rPr>
            </w:pPr>
            <w:r>
              <w:rPr>
                <w:rFonts w:cs="Times New Roman"/>
                <w:lang w:val="de-DE"/>
              </w:rPr>
              <w:t>Thrombopénie</w:t>
            </w:r>
          </w:p>
          <w:p w:rsidR="002603A6" w:rsidRPr="002603A6" w:rsidRDefault="002603A6" w:rsidP="000665D6">
            <w:pPr>
              <w:pStyle w:val="Sansinterligne"/>
              <w:numPr>
                <w:ilvl w:val="0"/>
                <w:numId w:val="400"/>
              </w:numPr>
              <w:rPr>
                <w:rFonts w:cs="Times New Roman"/>
                <w:lang w:val="de-DE"/>
              </w:rPr>
            </w:pPr>
            <w:r>
              <w:rPr>
                <w:rFonts w:cs="Times New Roman"/>
                <w:lang w:val="de-DE"/>
              </w:rPr>
              <w:t>Leucémie</w:t>
            </w:r>
          </w:p>
        </w:tc>
        <w:tc>
          <w:tcPr>
            <w:tcW w:w="3744" w:type="dxa"/>
            <w:gridSpan w:val="2"/>
          </w:tcPr>
          <w:p w:rsidR="00EE4AA8" w:rsidRPr="002603A6" w:rsidRDefault="002603A6" w:rsidP="000665D6">
            <w:pPr>
              <w:pStyle w:val="Sansinterligne"/>
              <w:numPr>
                <w:ilvl w:val="0"/>
                <w:numId w:val="400"/>
              </w:numPr>
              <w:rPr>
                <w:rFonts w:cs="Times New Roman"/>
              </w:rPr>
            </w:pPr>
            <w:r w:rsidRPr="002603A6">
              <w:rPr>
                <w:rFonts w:cs="Times New Roman"/>
              </w:rPr>
              <w:t>Ménométrorragie</w:t>
            </w:r>
          </w:p>
          <w:p w:rsidR="002603A6" w:rsidRPr="002603A6" w:rsidRDefault="002603A6" w:rsidP="000665D6">
            <w:pPr>
              <w:pStyle w:val="Sansinterligne"/>
              <w:numPr>
                <w:ilvl w:val="0"/>
                <w:numId w:val="400"/>
              </w:numPr>
              <w:rPr>
                <w:rFonts w:cs="Times New Roman"/>
              </w:rPr>
            </w:pPr>
            <w:r w:rsidRPr="002603A6">
              <w:rPr>
                <w:rFonts w:cs="Times New Roman"/>
              </w:rPr>
              <w:t>Épistaxis</w:t>
            </w:r>
          </w:p>
          <w:p w:rsidR="002603A6" w:rsidRPr="002603A6" w:rsidRDefault="002603A6" w:rsidP="000665D6">
            <w:pPr>
              <w:pStyle w:val="Sansinterligne"/>
              <w:numPr>
                <w:ilvl w:val="0"/>
                <w:numId w:val="400"/>
              </w:numPr>
              <w:rPr>
                <w:rFonts w:cs="Times New Roman"/>
              </w:rPr>
            </w:pPr>
            <w:r w:rsidRPr="002603A6">
              <w:rPr>
                <w:rFonts w:cs="Times New Roman"/>
              </w:rPr>
              <w:t>Ecchymoses</w:t>
            </w:r>
          </w:p>
          <w:p w:rsidR="002603A6" w:rsidRPr="002603A6" w:rsidRDefault="002603A6" w:rsidP="000665D6">
            <w:pPr>
              <w:pStyle w:val="Sansinterligne"/>
              <w:numPr>
                <w:ilvl w:val="0"/>
                <w:numId w:val="400"/>
              </w:numPr>
              <w:rPr>
                <w:rFonts w:cs="Times New Roman"/>
              </w:rPr>
            </w:pPr>
            <w:r w:rsidRPr="002603A6">
              <w:rPr>
                <w:rFonts w:cs="Times New Roman"/>
              </w:rPr>
              <w:t>Infection</w:t>
            </w:r>
            <w:r>
              <w:rPr>
                <w:rFonts w:cs="Times New Roman"/>
              </w:rPr>
              <w:t>s opportuniste (leucémie),</w:t>
            </w:r>
          </w:p>
        </w:tc>
      </w:tr>
      <w:tr w:rsidR="00BD53AA" w:rsidTr="00F74BEE">
        <w:tc>
          <w:tcPr>
            <w:tcW w:w="3085" w:type="dxa"/>
          </w:tcPr>
          <w:p w:rsidR="00BD53AA" w:rsidRPr="00887A13" w:rsidRDefault="006D4359" w:rsidP="00EE4AA8">
            <w:pPr>
              <w:pStyle w:val="Sansinterligne"/>
              <w:rPr>
                <w:rFonts w:cs="Times New Roman"/>
              </w:rPr>
            </w:pPr>
            <w:r>
              <w:rPr>
                <w:rFonts w:cs="Times New Roman"/>
              </w:rPr>
              <w:t>Iatrogénique</w:t>
            </w:r>
          </w:p>
        </w:tc>
        <w:tc>
          <w:tcPr>
            <w:tcW w:w="7855" w:type="dxa"/>
            <w:gridSpan w:val="3"/>
          </w:tcPr>
          <w:p w:rsidR="00BD53AA" w:rsidRPr="00835C14" w:rsidRDefault="00BD53AA" w:rsidP="000665D6">
            <w:pPr>
              <w:pStyle w:val="Sansinterligne"/>
              <w:numPr>
                <w:ilvl w:val="0"/>
                <w:numId w:val="400"/>
              </w:numPr>
              <w:rPr>
                <w:rFonts w:cs="Times New Roman"/>
                <w:highlight w:val="yellow"/>
              </w:rPr>
            </w:pPr>
            <w:r w:rsidRPr="00835C14">
              <w:rPr>
                <w:rFonts w:cs="Times New Roman"/>
                <w:highlight w:val="yellow"/>
              </w:rPr>
              <w:t>COC, HTR</w:t>
            </w:r>
          </w:p>
          <w:p w:rsidR="00BD53AA" w:rsidRPr="00835C14" w:rsidRDefault="00BD53AA" w:rsidP="000665D6">
            <w:pPr>
              <w:pStyle w:val="Sansinterligne"/>
              <w:numPr>
                <w:ilvl w:val="0"/>
                <w:numId w:val="400"/>
              </w:numPr>
              <w:rPr>
                <w:rFonts w:cs="Times New Roman"/>
                <w:highlight w:val="yellow"/>
              </w:rPr>
            </w:pPr>
            <w:r w:rsidRPr="00835C14">
              <w:rPr>
                <w:rFonts w:cs="Times New Roman"/>
                <w:highlight w:val="yellow"/>
              </w:rPr>
              <w:t>Anticoagulants</w:t>
            </w:r>
          </w:p>
          <w:p w:rsidR="00BD53AA" w:rsidRDefault="00BD53AA" w:rsidP="000665D6">
            <w:pPr>
              <w:pStyle w:val="Sansinterligne"/>
              <w:numPr>
                <w:ilvl w:val="0"/>
                <w:numId w:val="400"/>
              </w:numPr>
              <w:rPr>
                <w:rFonts w:cs="Times New Roman"/>
              </w:rPr>
            </w:pPr>
            <w:r>
              <w:rPr>
                <w:rFonts w:cs="Times New Roman"/>
              </w:rPr>
              <w:t>Danazol</w:t>
            </w:r>
          </w:p>
          <w:p w:rsidR="00BD53AA" w:rsidRDefault="00BD53AA" w:rsidP="000665D6">
            <w:pPr>
              <w:pStyle w:val="Sansinterligne"/>
              <w:numPr>
                <w:ilvl w:val="0"/>
                <w:numId w:val="400"/>
              </w:numPr>
              <w:rPr>
                <w:rFonts w:cs="Times New Roman"/>
              </w:rPr>
            </w:pPr>
            <w:r>
              <w:rPr>
                <w:rFonts w:cs="Times New Roman"/>
              </w:rPr>
              <w:t>Spironolactone</w:t>
            </w:r>
          </w:p>
          <w:p w:rsidR="00BD53AA" w:rsidRDefault="00BD53AA" w:rsidP="000665D6">
            <w:pPr>
              <w:pStyle w:val="Sansinterligne"/>
              <w:numPr>
                <w:ilvl w:val="0"/>
                <w:numId w:val="400"/>
              </w:numPr>
              <w:rPr>
                <w:rFonts w:cs="Times New Roman"/>
              </w:rPr>
            </w:pPr>
            <w:r>
              <w:rPr>
                <w:rFonts w:cs="Times New Roman"/>
              </w:rPr>
              <w:t>Chimiothérapie</w:t>
            </w:r>
          </w:p>
          <w:p w:rsidR="006D4359" w:rsidRPr="00887A13" w:rsidRDefault="006D4359" w:rsidP="000665D6">
            <w:pPr>
              <w:pStyle w:val="Sansinterligne"/>
              <w:numPr>
                <w:ilvl w:val="0"/>
                <w:numId w:val="400"/>
              </w:numPr>
              <w:rPr>
                <w:rFonts w:cs="Times New Roman"/>
              </w:rPr>
            </w:pPr>
            <w:r w:rsidRPr="006D4359">
              <w:rPr>
                <w:rFonts w:cs="Times New Roman"/>
                <w:highlight w:val="yellow"/>
              </w:rPr>
              <w:t>DIU</w:t>
            </w:r>
            <w:r w:rsidR="00D05A62">
              <w:rPr>
                <w:rFonts w:cs="Times New Roman"/>
              </w:rPr>
              <w:t xml:space="preserve"> (stérilets)</w:t>
            </w:r>
          </w:p>
        </w:tc>
      </w:tr>
    </w:tbl>
    <w:p w:rsidR="00996F52" w:rsidRDefault="00996F52" w:rsidP="00887A13">
      <w:pPr>
        <w:pStyle w:val="Sansinterligne"/>
        <w:rPr>
          <w:rFonts w:cs="Times New Roman"/>
        </w:rPr>
      </w:pPr>
    </w:p>
    <w:p w:rsidR="00380562" w:rsidRPr="00996F52" w:rsidRDefault="00380562" w:rsidP="00887A13">
      <w:pPr>
        <w:pStyle w:val="Sansinterligne"/>
        <w:rPr>
          <w:rFonts w:cs="Times New Roman"/>
          <w:b/>
          <w:sz w:val="28"/>
          <w:szCs w:val="28"/>
        </w:rPr>
      </w:pPr>
      <w:r w:rsidRPr="00996F52">
        <w:rPr>
          <w:rFonts w:cs="Times New Roman"/>
          <w:b/>
          <w:sz w:val="28"/>
          <w:szCs w:val="28"/>
        </w:rPr>
        <w:t>Investigation</w:t>
      </w:r>
    </w:p>
    <w:p w:rsidR="00996F52" w:rsidRDefault="00996F52" w:rsidP="00887A13">
      <w:pPr>
        <w:pStyle w:val="Sansinterligne"/>
        <w:rPr>
          <w:rFonts w:cs="Times New Roman"/>
        </w:rPr>
      </w:pPr>
    </w:p>
    <w:p w:rsidR="00380562" w:rsidRDefault="00380562" w:rsidP="000665D6">
      <w:pPr>
        <w:pStyle w:val="Sansinterligne"/>
        <w:numPr>
          <w:ilvl w:val="0"/>
          <w:numId w:val="403"/>
        </w:numPr>
        <w:rPr>
          <w:rFonts w:cs="Times New Roman"/>
        </w:rPr>
      </w:pPr>
      <w:r w:rsidRPr="006263B0">
        <w:rPr>
          <w:rFonts w:cs="Times New Roman"/>
          <w:b/>
        </w:rPr>
        <w:t>FSC</w:t>
      </w:r>
      <w:r w:rsidR="00A35BB0">
        <w:rPr>
          <w:rFonts w:cs="Times New Roman"/>
        </w:rPr>
        <w:t>, INR, fibrinogène</w:t>
      </w:r>
      <w:r w:rsidR="00CB7A29">
        <w:rPr>
          <w:rFonts w:cs="Times New Roman"/>
        </w:rPr>
        <w:t xml:space="preserve"> </w:t>
      </w:r>
      <w:r w:rsidR="00A35BB0">
        <w:rPr>
          <w:rFonts w:ascii="Century Gothic" w:hAnsi="Century Gothic" w:cs="Times New Roman"/>
        </w:rPr>
        <w:t>→</w:t>
      </w:r>
      <w:r w:rsidR="00A35BB0">
        <w:rPr>
          <w:rFonts w:cs="Times New Roman"/>
        </w:rPr>
        <w:t xml:space="preserve"> vérifier si perte sanguine chronique, anémie, dyscrasie sanguine évidente, CIVD.</w:t>
      </w:r>
    </w:p>
    <w:p w:rsidR="00CB7A29" w:rsidRPr="00CB7A29" w:rsidRDefault="00175320" w:rsidP="000665D6">
      <w:pPr>
        <w:pStyle w:val="Sansinterligne"/>
        <w:numPr>
          <w:ilvl w:val="0"/>
          <w:numId w:val="403"/>
        </w:numPr>
        <w:rPr>
          <w:rFonts w:cs="Times New Roman"/>
        </w:rPr>
      </w:pPr>
      <w:r>
        <w:rPr>
          <w:noProof/>
          <w:lang w:eastAsia="fr-CA"/>
        </w:rPr>
        <w:drawing>
          <wp:anchor distT="0" distB="0" distL="114300" distR="114300" simplePos="0" relativeHeight="251770880" behindDoc="0" locked="0" layoutInCell="1" allowOverlap="1" wp14:anchorId="014E5E00" wp14:editId="3678C5B2">
            <wp:simplePos x="0" y="0"/>
            <wp:positionH relativeFrom="column">
              <wp:posOffset>3868555</wp:posOffset>
            </wp:positionH>
            <wp:positionV relativeFrom="paragraph">
              <wp:posOffset>44450</wp:posOffset>
            </wp:positionV>
            <wp:extent cx="2482215" cy="1614170"/>
            <wp:effectExtent l="0" t="0" r="0" b="5080"/>
            <wp:wrapNone/>
            <wp:docPr id="287" name="Image 287" descr="Résultats de recherche d'images pour « hyperplasie de l'endomètr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Résultats de recherche d'images pour « hyperplasie de l'endomètre »"/>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bwMode="auto">
                    <a:xfrm>
                      <a:off x="0" y="0"/>
                      <a:ext cx="2482215" cy="1614170"/>
                    </a:xfrm>
                    <a:prstGeom prst="rect">
                      <a:avLst/>
                    </a:prstGeom>
                    <a:noFill/>
                    <a:ln>
                      <a:noFill/>
                    </a:ln>
                  </pic:spPr>
                </pic:pic>
              </a:graphicData>
            </a:graphic>
            <wp14:sizeRelH relativeFrom="page">
              <wp14:pctWidth>0</wp14:pctWidth>
            </wp14:sizeRelH>
            <wp14:sizeRelV relativeFrom="page">
              <wp14:pctHeight>0</wp14:pctHeight>
            </wp14:sizeRelV>
          </wp:anchor>
        </w:drawing>
      </w:r>
      <w:r w:rsidR="00A35BB0" w:rsidRPr="006263B0">
        <w:rPr>
          <w:rFonts w:cs="Times New Roman"/>
          <w:b/>
        </w:rPr>
        <w:t>Groupé-croisé</w:t>
      </w:r>
      <w:r w:rsidR="00A35BB0">
        <w:rPr>
          <w:rFonts w:cs="Times New Roman"/>
        </w:rPr>
        <w:t xml:space="preserve"> </w:t>
      </w:r>
      <w:r w:rsidR="00CB7A29">
        <w:rPr>
          <w:rFonts w:cs="Times New Roman"/>
        </w:rPr>
        <w:t>(groupe sanguin)</w:t>
      </w:r>
    </w:p>
    <w:p w:rsidR="00CB7A29" w:rsidRDefault="00CB7A29" w:rsidP="000665D6">
      <w:pPr>
        <w:pStyle w:val="Sansinterligne"/>
        <w:numPr>
          <w:ilvl w:val="1"/>
          <w:numId w:val="403"/>
        </w:numPr>
        <w:rPr>
          <w:rFonts w:cs="Times New Roman"/>
        </w:rPr>
      </w:pPr>
      <w:r>
        <w:rPr>
          <w:rFonts w:cs="Times New Roman"/>
        </w:rPr>
        <w:t>A</w:t>
      </w:r>
      <w:r w:rsidR="00A35BB0">
        <w:rPr>
          <w:rFonts w:cs="Times New Roman"/>
        </w:rPr>
        <w:t xml:space="preserve">u cas où une transfusion est nécessaire. </w:t>
      </w:r>
    </w:p>
    <w:p w:rsidR="00A35BB0" w:rsidRPr="00887A13" w:rsidRDefault="00A35BB0" w:rsidP="000665D6">
      <w:pPr>
        <w:pStyle w:val="Sansinterligne"/>
        <w:numPr>
          <w:ilvl w:val="1"/>
          <w:numId w:val="403"/>
        </w:numPr>
        <w:rPr>
          <w:rFonts w:cs="Times New Roman"/>
        </w:rPr>
      </w:pPr>
      <w:r w:rsidRPr="00A35BB0">
        <w:rPr>
          <w:rFonts w:cs="Times New Roman"/>
          <w:highlight w:val="yellow"/>
        </w:rPr>
        <w:t>Détermine aussi le statut Rh</w:t>
      </w:r>
      <w:r>
        <w:rPr>
          <w:rFonts w:cs="Times New Roman"/>
        </w:rPr>
        <w:t xml:space="preserve"> pour la prise en charge.</w:t>
      </w:r>
    </w:p>
    <w:p w:rsidR="00352C00" w:rsidRPr="006263B0" w:rsidRDefault="00380562" w:rsidP="000665D6">
      <w:pPr>
        <w:pStyle w:val="Sansinterligne"/>
        <w:numPr>
          <w:ilvl w:val="0"/>
          <w:numId w:val="404"/>
        </w:numPr>
        <w:rPr>
          <w:rFonts w:cs="Times New Roman"/>
          <w:b/>
        </w:rPr>
      </w:pPr>
      <w:r w:rsidRPr="006263B0">
        <w:rPr>
          <w:rFonts w:cs="Times New Roman"/>
          <w:b/>
        </w:rPr>
        <w:t>B-HCG urinaire/sanguin</w:t>
      </w:r>
      <w:r w:rsidR="00352C00" w:rsidRPr="006263B0">
        <w:rPr>
          <w:rFonts w:cs="Times New Roman"/>
          <w:b/>
        </w:rPr>
        <w:t xml:space="preserve"> </w:t>
      </w:r>
    </w:p>
    <w:p w:rsidR="00352C00" w:rsidRPr="00352C00" w:rsidRDefault="00352C00" w:rsidP="000665D6">
      <w:pPr>
        <w:pStyle w:val="Sansinterligne"/>
        <w:numPr>
          <w:ilvl w:val="0"/>
          <w:numId w:val="407"/>
        </w:numPr>
        <w:rPr>
          <w:rFonts w:cs="Times New Roman"/>
        </w:rPr>
      </w:pPr>
      <w:r w:rsidRPr="00352C00">
        <w:rPr>
          <w:rFonts w:cs="Times New Roman"/>
        </w:rPr>
        <w:t>Exclure grossesse (saignements de grossesse)</w:t>
      </w:r>
    </w:p>
    <w:p w:rsidR="00380562" w:rsidRPr="00F73412" w:rsidRDefault="00352C00" w:rsidP="000665D6">
      <w:pPr>
        <w:pStyle w:val="Sansinterligne"/>
        <w:numPr>
          <w:ilvl w:val="0"/>
          <w:numId w:val="407"/>
        </w:numPr>
        <w:rPr>
          <w:rFonts w:cs="Times New Roman"/>
          <w:highlight w:val="yellow"/>
        </w:rPr>
      </w:pPr>
      <w:r w:rsidRPr="00F73412">
        <w:rPr>
          <w:rFonts w:cs="Times New Roman"/>
          <w:highlight w:val="yellow"/>
        </w:rPr>
        <w:t>&gt;100 000 IU/L → Môle jusqu’à preuve du contraire</w:t>
      </w:r>
    </w:p>
    <w:p w:rsidR="00352C00" w:rsidRPr="00CB7A29" w:rsidRDefault="00352C00" w:rsidP="000665D6">
      <w:pPr>
        <w:pStyle w:val="Sansinterligne"/>
        <w:numPr>
          <w:ilvl w:val="0"/>
          <w:numId w:val="407"/>
        </w:numPr>
        <w:rPr>
          <w:rFonts w:cs="Times New Roman"/>
        </w:rPr>
      </w:pPr>
      <w:r>
        <w:rPr>
          <w:rFonts w:cs="Times New Roman"/>
        </w:rPr>
        <w:t xml:space="preserve">Si positif : </w:t>
      </w:r>
      <w:r w:rsidR="00A35BB0">
        <w:rPr>
          <w:rFonts w:cs="Times New Roman"/>
        </w:rPr>
        <w:t>déterminer le statut Rh de la mère</w:t>
      </w:r>
    </w:p>
    <w:p w:rsidR="006263B0" w:rsidRPr="006263B0" w:rsidRDefault="006263B0" w:rsidP="000665D6">
      <w:pPr>
        <w:pStyle w:val="Sansinterligne"/>
        <w:numPr>
          <w:ilvl w:val="0"/>
          <w:numId w:val="405"/>
        </w:numPr>
        <w:rPr>
          <w:rFonts w:cs="Times New Roman"/>
          <w:b/>
        </w:rPr>
      </w:pPr>
      <w:r w:rsidRPr="006263B0">
        <w:rPr>
          <w:rFonts w:cs="Times New Roman"/>
          <w:b/>
        </w:rPr>
        <w:t xml:space="preserve">Biopsie de l’endomètre </w:t>
      </w:r>
    </w:p>
    <w:p w:rsidR="006263B0" w:rsidRDefault="006263B0" w:rsidP="000665D6">
      <w:pPr>
        <w:pStyle w:val="Sansinterligne"/>
        <w:numPr>
          <w:ilvl w:val="1"/>
          <w:numId w:val="405"/>
        </w:numPr>
        <w:rPr>
          <w:rFonts w:cs="Times New Roman"/>
        </w:rPr>
      </w:pPr>
      <w:r>
        <w:rPr>
          <w:rFonts w:cs="Times New Roman"/>
        </w:rPr>
        <w:t xml:space="preserve">Saignements utérins anormaux </w:t>
      </w:r>
      <w:r>
        <w:rPr>
          <w:rFonts w:ascii="Century Gothic" w:hAnsi="Century Gothic" w:cs="Times New Roman"/>
        </w:rPr>
        <w:t>&gt;</w:t>
      </w:r>
      <w:r>
        <w:rPr>
          <w:rFonts w:cs="Times New Roman"/>
        </w:rPr>
        <w:t xml:space="preserve"> 40 ans</w:t>
      </w:r>
    </w:p>
    <w:p w:rsidR="006263B0" w:rsidRDefault="006263B0" w:rsidP="000665D6">
      <w:pPr>
        <w:pStyle w:val="Sansinterligne"/>
        <w:numPr>
          <w:ilvl w:val="1"/>
          <w:numId w:val="405"/>
        </w:numPr>
        <w:rPr>
          <w:rFonts w:cs="Times New Roman"/>
        </w:rPr>
      </w:pPr>
      <w:r>
        <w:rPr>
          <w:rFonts w:cs="Times New Roman"/>
        </w:rPr>
        <w:t>Dépistage chez femme à haut risque</w:t>
      </w:r>
    </w:p>
    <w:p w:rsidR="006263B0" w:rsidRPr="00CB7A29" w:rsidRDefault="006263B0" w:rsidP="000665D6">
      <w:pPr>
        <w:pStyle w:val="Sansinterligne"/>
        <w:numPr>
          <w:ilvl w:val="1"/>
          <w:numId w:val="405"/>
        </w:numPr>
        <w:rPr>
          <w:rFonts w:cs="Times New Roman"/>
          <w:u w:val="single"/>
        </w:rPr>
      </w:pPr>
      <w:r w:rsidRPr="00CB7A29">
        <w:rPr>
          <w:rFonts w:cs="Times New Roman"/>
          <w:u w:val="single"/>
        </w:rPr>
        <w:t>Toujours exclure grossesse d’abord</w:t>
      </w:r>
      <w:r w:rsidR="00175320" w:rsidRPr="00175320">
        <w:t xml:space="preserve"> </w:t>
      </w:r>
    </w:p>
    <w:p w:rsidR="00352C00" w:rsidRDefault="00352C00" w:rsidP="000665D6">
      <w:pPr>
        <w:pStyle w:val="Sansinterligne"/>
        <w:numPr>
          <w:ilvl w:val="0"/>
          <w:numId w:val="405"/>
        </w:numPr>
        <w:rPr>
          <w:rFonts w:cs="Times New Roman"/>
        </w:rPr>
      </w:pPr>
      <w:r w:rsidRPr="006263B0">
        <w:rPr>
          <w:rFonts w:cs="Times New Roman"/>
          <w:b/>
        </w:rPr>
        <w:t>Échographie pelvienne</w:t>
      </w:r>
      <w:r w:rsidR="004536BF">
        <w:rPr>
          <w:rFonts w:cs="Times New Roman"/>
        </w:rPr>
        <w:t xml:space="preserve"> </w:t>
      </w:r>
      <w:r w:rsidR="004536BF">
        <w:rPr>
          <w:rFonts w:ascii="Century Gothic" w:hAnsi="Century Gothic" w:cs="Times New Roman"/>
        </w:rPr>
        <w:t>→</w:t>
      </w:r>
      <w:r w:rsidR="004536BF">
        <w:rPr>
          <w:rFonts w:cs="Times New Roman"/>
        </w:rPr>
        <w:t xml:space="preserve"> recherche de masses, myomes, grossesse, môle, position placentaire, masse ovarienne</w:t>
      </w:r>
    </w:p>
    <w:p w:rsidR="00352C00" w:rsidRPr="004536BF" w:rsidRDefault="00352C00" w:rsidP="000665D6">
      <w:pPr>
        <w:pStyle w:val="Sansinterligne"/>
        <w:numPr>
          <w:ilvl w:val="0"/>
          <w:numId w:val="406"/>
        </w:numPr>
        <w:rPr>
          <w:rFonts w:cs="Times New Roman"/>
        </w:rPr>
      </w:pPr>
      <w:r>
        <w:rPr>
          <w:rFonts w:cs="Times New Roman"/>
        </w:rPr>
        <w:t>Môle</w:t>
      </w:r>
      <w:r w:rsidR="004536BF">
        <w:rPr>
          <w:rFonts w:cs="Times New Roman"/>
        </w:rPr>
        <w:t xml:space="preserve"> hydatiforme : </w:t>
      </w:r>
      <w:r w:rsidRPr="004536BF">
        <w:rPr>
          <w:rFonts w:cs="Times New Roman"/>
        </w:rPr>
        <w:t>Absence de cœur fœtal (peut être présent si partielle)</w:t>
      </w:r>
    </w:p>
    <w:p w:rsidR="006263B0" w:rsidRDefault="00352C00" w:rsidP="000665D6">
      <w:pPr>
        <w:pStyle w:val="Sansinterligne"/>
        <w:numPr>
          <w:ilvl w:val="0"/>
          <w:numId w:val="405"/>
        </w:numPr>
        <w:rPr>
          <w:rFonts w:cs="Times New Roman"/>
        </w:rPr>
      </w:pPr>
      <w:r w:rsidRPr="006263B0">
        <w:rPr>
          <w:rFonts w:cs="Times New Roman"/>
          <w:b/>
        </w:rPr>
        <w:t>Hystéroscopie</w:t>
      </w:r>
    </w:p>
    <w:p w:rsidR="006263B0" w:rsidRDefault="006263B0" w:rsidP="000665D6">
      <w:pPr>
        <w:pStyle w:val="Sansinterligne"/>
        <w:numPr>
          <w:ilvl w:val="1"/>
          <w:numId w:val="405"/>
        </w:numPr>
        <w:rPr>
          <w:rFonts w:cs="Times New Roman"/>
        </w:rPr>
      </w:pPr>
      <w:r>
        <w:rPr>
          <w:rFonts w:cs="Times New Roman"/>
        </w:rPr>
        <w:t>Visualisation des myomes</w:t>
      </w:r>
    </w:p>
    <w:p w:rsidR="00352C00" w:rsidRDefault="006263B0" w:rsidP="000665D6">
      <w:pPr>
        <w:pStyle w:val="Sansinterligne"/>
        <w:numPr>
          <w:ilvl w:val="1"/>
          <w:numId w:val="405"/>
        </w:numPr>
        <w:rPr>
          <w:rFonts w:cs="Times New Roman"/>
        </w:rPr>
      </w:pPr>
      <w:r>
        <w:rPr>
          <w:rFonts w:cs="Times New Roman"/>
        </w:rPr>
        <w:t>M</w:t>
      </w:r>
      <w:r w:rsidR="004536BF">
        <w:rPr>
          <w:rFonts w:cs="Times New Roman"/>
        </w:rPr>
        <w:t>yomectomie si superficiels.</w:t>
      </w:r>
    </w:p>
    <w:p w:rsidR="00BD09BC" w:rsidRDefault="00603079" w:rsidP="00603079">
      <w:pPr>
        <w:pStyle w:val="Sansinterligne"/>
        <w:numPr>
          <w:ilvl w:val="0"/>
          <w:numId w:val="421"/>
        </w:numPr>
        <w:rPr>
          <w:rFonts w:cs="Times New Roman"/>
        </w:rPr>
      </w:pPr>
      <w:r w:rsidRPr="00603079">
        <w:rPr>
          <w:rFonts w:cs="Times New Roman"/>
          <w:b/>
        </w:rPr>
        <w:t xml:space="preserve">Test de Kleihauer </w:t>
      </w:r>
      <w:r>
        <w:rPr>
          <w:rFonts w:ascii="Century Gothic" w:hAnsi="Century Gothic" w:cs="Times New Roman"/>
        </w:rPr>
        <w:t>→</w:t>
      </w:r>
      <w:r>
        <w:rPr>
          <w:rFonts w:cs="Times New Roman"/>
        </w:rPr>
        <w:t xml:space="preserve"> permet d’identifier les globules rouges fœtaux dans le sang maternel (DPPNI)</w:t>
      </w:r>
    </w:p>
    <w:p w:rsidR="001F2C5F" w:rsidRPr="00887A13" w:rsidRDefault="001F2C5F" w:rsidP="00887A13">
      <w:pPr>
        <w:pStyle w:val="Sansinterligne"/>
        <w:rPr>
          <w:rFonts w:cs="Times New Roman"/>
        </w:rPr>
      </w:pPr>
    </w:p>
    <w:p w:rsidR="00380562" w:rsidRPr="00996F52" w:rsidRDefault="00380562" w:rsidP="00887A13">
      <w:pPr>
        <w:pStyle w:val="Sansinterligne"/>
        <w:rPr>
          <w:rFonts w:cs="Times New Roman"/>
          <w:b/>
          <w:sz w:val="28"/>
          <w:szCs w:val="28"/>
        </w:rPr>
      </w:pPr>
      <w:r w:rsidRPr="00996F52">
        <w:rPr>
          <w:rFonts w:cs="Times New Roman"/>
          <w:b/>
          <w:sz w:val="28"/>
          <w:szCs w:val="28"/>
        </w:rPr>
        <w:t>Prise en charge</w:t>
      </w:r>
    </w:p>
    <w:p w:rsidR="00996F52" w:rsidRDefault="00996F52" w:rsidP="00887A13">
      <w:pPr>
        <w:pStyle w:val="Sansinterligne"/>
        <w:rPr>
          <w:rFonts w:cs="Times New Roman"/>
        </w:rPr>
      </w:pPr>
    </w:p>
    <w:p w:rsidR="001F2C5F" w:rsidRPr="005F6242" w:rsidRDefault="00380562" w:rsidP="000665D6">
      <w:pPr>
        <w:pStyle w:val="Sansinterligne"/>
        <w:numPr>
          <w:ilvl w:val="0"/>
          <w:numId w:val="409"/>
        </w:numPr>
        <w:rPr>
          <w:rFonts w:cs="Times New Roman"/>
          <w:b/>
          <w:highlight w:val="yellow"/>
        </w:rPr>
      </w:pPr>
      <w:r w:rsidRPr="005F6242">
        <w:rPr>
          <w:rFonts w:cs="Times New Roman"/>
          <w:b/>
          <w:highlight w:val="yellow"/>
        </w:rPr>
        <w:t xml:space="preserve">Réanimation volémique </w:t>
      </w:r>
      <w:r w:rsidR="001F2C5F" w:rsidRPr="005F6242">
        <w:rPr>
          <w:rFonts w:cs="Times New Roman"/>
          <w:b/>
          <w:highlight w:val="yellow"/>
        </w:rPr>
        <w:t xml:space="preserve">avec NaCl 0,9% </w:t>
      </w:r>
      <w:r w:rsidRPr="005F6242">
        <w:rPr>
          <w:rFonts w:cs="Times New Roman"/>
          <w:b/>
          <w:highlight w:val="yellow"/>
        </w:rPr>
        <w:t>/ transfusion</w:t>
      </w:r>
      <w:r w:rsidR="001F2C5F" w:rsidRPr="005F6242">
        <w:rPr>
          <w:rFonts w:cs="Times New Roman"/>
          <w:b/>
          <w:highlight w:val="yellow"/>
        </w:rPr>
        <w:t xml:space="preserve"> sanguine (si nécessaire)</w:t>
      </w:r>
    </w:p>
    <w:p w:rsidR="00380562" w:rsidRPr="005F6242" w:rsidRDefault="001F2C5F" w:rsidP="000665D6">
      <w:pPr>
        <w:pStyle w:val="Sansinterligne"/>
        <w:numPr>
          <w:ilvl w:val="0"/>
          <w:numId w:val="409"/>
        </w:numPr>
        <w:rPr>
          <w:rFonts w:cs="Times New Roman"/>
          <w:b/>
          <w:highlight w:val="yellow"/>
        </w:rPr>
      </w:pPr>
      <w:r w:rsidRPr="005F6242">
        <w:rPr>
          <w:rFonts w:cs="Times New Roman"/>
          <w:b/>
          <w:highlight w:val="yellow"/>
        </w:rPr>
        <w:t xml:space="preserve">Saignement en cours/abondant </w:t>
      </w:r>
      <w:r w:rsidRPr="005F6242">
        <w:rPr>
          <w:rFonts w:ascii="Century Gothic" w:hAnsi="Century Gothic" w:cs="Times New Roman"/>
          <w:b/>
          <w:highlight w:val="yellow"/>
        </w:rPr>
        <w:t>→</w:t>
      </w:r>
      <w:r w:rsidRPr="005F6242">
        <w:rPr>
          <w:rFonts w:cs="Times New Roman"/>
          <w:b/>
          <w:highlight w:val="yellow"/>
        </w:rPr>
        <w:t xml:space="preserve"> Acide tranexamique (Cyklokapron) 1-1,5 g TID-QID</w:t>
      </w:r>
    </w:p>
    <w:p w:rsidR="00A43B38" w:rsidRPr="005F6242" w:rsidRDefault="00A43B38" w:rsidP="00887A13">
      <w:pPr>
        <w:pStyle w:val="Sansinterligne"/>
        <w:rPr>
          <w:rFonts w:cs="Times New Roman"/>
          <w:highlight w:val="yellow"/>
        </w:rPr>
      </w:pPr>
    </w:p>
    <w:p w:rsidR="00A43B38" w:rsidRPr="005F6242" w:rsidRDefault="00DF512C" w:rsidP="00887A13">
      <w:pPr>
        <w:pStyle w:val="Sansinterligne"/>
        <w:rPr>
          <w:rFonts w:cs="Times New Roman"/>
          <w:highlight w:val="yellow"/>
          <w:u w:val="single"/>
        </w:rPr>
      </w:pPr>
      <w:r w:rsidRPr="005F6242">
        <w:rPr>
          <w:noProof/>
          <w:highlight w:val="yellow"/>
          <w:lang w:eastAsia="fr-CA"/>
        </w:rPr>
        <w:drawing>
          <wp:anchor distT="0" distB="0" distL="114300" distR="114300" simplePos="0" relativeHeight="251771904" behindDoc="0" locked="0" layoutInCell="1" allowOverlap="1" wp14:anchorId="52451122" wp14:editId="3EAF37FE">
            <wp:simplePos x="0" y="0"/>
            <wp:positionH relativeFrom="column">
              <wp:posOffset>3871609</wp:posOffset>
            </wp:positionH>
            <wp:positionV relativeFrom="paragraph">
              <wp:posOffset>29561</wp:posOffset>
            </wp:positionV>
            <wp:extent cx="2792113" cy="1994170"/>
            <wp:effectExtent l="0" t="0" r="8255" b="6350"/>
            <wp:wrapNone/>
            <wp:docPr id="288" name="Image 288" descr="Résultats de recherche d'images pour « winrho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Résultats de recherche d'images pour « winrho »"/>
                    <pic:cNvPicPr>
                      <a:picLocks noChangeAspect="1" noChangeArrowheads="1"/>
                    </pic:cNvPicPr>
                  </pic:nvPicPr>
                  <pic:blipFill rotWithShape="1">
                    <a:blip r:embed="rId389">
                      <a:extLst>
                        <a:ext uri="{28A0092B-C50C-407E-A947-70E740481C1C}">
                          <a14:useLocalDpi xmlns:a14="http://schemas.microsoft.com/office/drawing/2010/main" val="0"/>
                        </a:ext>
                      </a:extLst>
                    </a:blip>
                    <a:srcRect t="20851" b="22763"/>
                    <a:stretch/>
                  </pic:blipFill>
                  <pic:spPr bwMode="auto">
                    <a:xfrm>
                      <a:off x="0" y="0"/>
                      <a:ext cx="2795662" cy="199670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43B38" w:rsidRPr="005F6242">
        <w:rPr>
          <w:rFonts w:cs="Times New Roman"/>
          <w:highlight w:val="yellow"/>
          <w:u w:val="single"/>
        </w:rPr>
        <w:t>Si grossesse et RH- et statut du conjoint Rh+ ou inconnu :</w:t>
      </w:r>
    </w:p>
    <w:p w:rsidR="00A43B38" w:rsidRPr="005F6242" w:rsidRDefault="00A43B38" w:rsidP="000665D6">
      <w:pPr>
        <w:pStyle w:val="Sansinterligne"/>
        <w:numPr>
          <w:ilvl w:val="0"/>
          <w:numId w:val="408"/>
        </w:numPr>
        <w:rPr>
          <w:rFonts w:cs="Times New Roman"/>
          <w:highlight w:val="yellow"/>
        </w:rPr>
      </w:pPr>
      <w:r w:rsidRPr="005F6242">
        <w:rPr>
          <w:rFonts w:cs="Times New Roman"/>
          <w:highlight w:val="yellow"/>
        </w:rPr>
        <w:t xml:space="preserve">Winrho </w:t>
      </w:r>
      <w:r w:rsidR="00F02B17">
        <w:rPr>
          <w:rFonts w:cs="Times New Roman"/>
          <w:highlight w:val="yellow"/>
        </w:rPr>
        <w:t>3</w:t>
      </w:r>
      <w:r w:rsidRPr="005F6242">
        <w:rPr>
          <w:rFonts w:cs="Times New Roman"/>
          <w:highlight w:val="yellow"/>
        </w:rPr>
        <w:t xml:space="preserve">00 mcg IM x 1 </w:t>
      </w:r>
    </w:p>
    <w:p w:rsidR="00A43B38" w:rsidRDefault="00A43B38" w:rsidP="00887A13">
      <w:pPr>
        <w:pStyle w:val="Sansinterligne"/>
        <w:rPr>
          <w:rFonts w:cs="Times New Roman"/>
        </w:rPr>
      </w:pPr>
    </w:p>
    <w:p w:rsidR="00A43B38" w:rsidRPr="00A43B38" w:rsidRDefault="00A43B38" w:rsidP="00887A13">
      <w:pPr>
        <w:pStyle w:val="Sansinterligne"/>
        <w:rPr>
          <w:rFonts w:cs="Times New Roman"/>
          <w:u w:val="single"/>
        </w:rPr>
      </w:pPr>
      <w:r w:rsidRPr="005F6242">
        <w:rPr>
          <w:rFonts w:cs="Times New Roman"/>
          <w:highlight w:val="yellow"/>
          <w:u w:val="single"/>
        </w:rPr>
        <w:t>Référence en gynécologie-obstétrique si :</w:t>
      </w:r>
    </w:p>
    <w:p w:rsidR="00A43B38" w:rsidRDefault="00A43B38" w:rsidP="000665D6">
      <w:pPr>
        <w:pStyle w:val="Sansinterligne"/>
        <w:numPr>
          <w:ilvl w:val="0"/>
          <w:numId w:val="408"/>
        </w:numPr>
        <w:rPr>
          <w:rFonts w:cs="Times New Roman"/>
        </w:rPr>
      </w:pPr>
      <w:r>
        <w:rPr>
          <w:rFonts w:cs="Times New Roman"/>
        </w:rPr>
        <w:t>Néoplasies</w:t>
      </w:r>
    </w:p>
    <w:p w:rsidR="00A43B38" w:rsidRDefault="00A43B38" w:rsidP="000665D6">
      <w:pPr>
        <w:pStyle w:val="Sansinterligne"/>
        <w:numPr>
          <w:ilvl w:val="0"/>
          <w:numId w:val="408"/>
        </w:numPr>
        <w:rPr>
          <w:rFonts w:cs="Times New Roman"/>
        </w:rPr>
      </w:pPr>
      <w:r>
        <w:rPr>
          <w:rFonts w:cs="Times New Roman"/>
        </w:rPr>
        <w:t>Saignements de grossesse</w:t>
      </w:r>
    </w:p>
    <w:p w:rsidR="00A43B38" w:rsidRDefault="00A43B38" w:rsidP="000665D6">
      <w:pPr>
        <w:pStyle w:val="Sansinterligne"/>
        <w:numPr>
          <w:ilvl w:val="0"/>
          <w:numId w:val="408"/>
        </w:numPr>
        <w:rPr>
          <w:rFonts w:cs="Times New Roman"/>
        </w:rPr>
      </w:pPr>
      <w:r>
        <w:rPr>
          <w:rFonts w:cs="Times New Roman"/>
        </w:rPr>
        <w:t>Lésions du tractus génital nécessitant réparation</w:t>
      </w:r>
      <w:r w:rsidR="00DF512C" w:rsidRPr="00DF512C">
        <w:t xml:space="preserve"> </w:t>
      </w:r>
    </w:p>
    <w:p w:rsidR="00A43B38" w:rsidRDefault="00A43B38" w:rsidP="000665D6">
      <w:pPr>
        <w:pStyle w:val="Sansinterligne"/>
        <w:numPr>
          <w:ilvl w:val="0"/>
          <w:numId w:val="408"/>
        </w:numPr>
        <w:rPr>
          <w:rFonts w:cs="Times New Roman"/>
        </w:rPr>
      </w:pPr>
      <w:r>
        <w:rPr>
          <w:rFonts w:cs="Times New Roman"/>
        </w:rPr>
        <w:t>Suivi de léiomyomes / polypes / adénomyose</w:t>
      </w:r>
    </w:p>
    <w:p w:rsidR="00751E6C" w:rsidRPr="00751E6C" w:rsidRDefault="00751E6C" w:rsidP="00751E6C">
      <w:pPr>
        <w:pStyle w:val="Sansinterligne"/>
        <w:rPr>
          <w:rFonts w:cs="Times New Roman"/>
          <w:u w:val="single"/>
        </w:rPr>
      </w:pPr>
      <w:r w:rsidRPr="00751E6C">
        <w:rPr>
          <w:rFonts w:cs="Times New Roman"/>
          <w:highlight w:val="yellow"/>
          <w:u w:val="single"/>
        </w:rPr>
        <w:t>Si DPPNI ou placenta praevia avec saignement actif</w:t>
      </w:r>
    </w:p>
    <w:p w:rsidR="00751E6C" w:rsidRDefault="00751E6C" w:rsidP="005E5A2E">
      <w:pPr>
        <w:pStyle w:val="Sansinterligne"/>
        <w:numPr>
          <w:ilvl w:val="0"/>
          <w:numId w:val="434"/>
        </w:numPr>
        <w:rPr>
          <w:rFonts w:cs="Times New Roman"/>
        </w:rPr>
      </w:pPr>
      <w:r>
        <w:rPr>
          <w:rFonts w:cs="Times New Roman"/>
        </w:rPr>
        <w:t>Déclencher le travail obstétrical si :</w:t>
      </w:r>
    </w:p>
    <w:p w:rsidR="00751E6C" w:rsidRDefault="00751E6C" w:rsidP="005E5A2E">
      <w:pPr>
        <w:pStyle w:val="Sansinterligne"/>
        <w:numPr>
          <w:ilvl w:val="0"/>
          <w:numId w:val="433"/>
        </w:numPr>
        <w:rPr>
          <w:rFonts w:cs="Times New Roman"/>
        </w:rPr>
      </w:pPr>
      <w:r>
        <w:rPr>
          <w:rFonts w:cs="Times New Roman"/>
        </w:rPr>
        <w:t xml:space="preserve">Fœtus </w:t>
      </w:r>
      <w:r>
        <w:rPr>
          <w:rFonts w:ascii="Century Gothic" w:hAnsi="Century Gothic" w:cs="Times New Roman"/>
        </w:rPr>
        <w:t>&gt;</w:t>
      </w:r>
      <w:r>
        <w:rPr>
          <w:rFonts w:cs="Times New Roman"/>
        </w:rPr>
        <w:t xml:space="preserve"> 37 semaine </w:t>
      </w:r>
    </w:p>
    <w:p w:rsidR="00751E6C" w:rsidRDefault="00751E6C" w:rsidP="00751E6C">
      <w:pPr>
        <w:pStyle w:val="Sansinterligne"/>
        <w:ind w:left="1068"/>
        <w:rPr>
          <w:rFonts w:cs="Times New Roman"/>
        </w:rPr>
      </w:pPr>
      <w:r>
        <w:rPr>
          <w:rFonts w:cs="Times New Roman"/>
        </w:rPr>
        <w:t>ou</w:t>
      </w:r>
    </w:p>
    <w:p w:rsidR="00751E6C" w:rsidRDefault="00751E6C" w:rsidP="005E5A2E">
      <w:pPr>
        <w:pStyle w:val="Sansinterligne"/>
        <w:numPr>
          <w:ilvl w:val="0"/>
          <w:numId w:val="433"/>
        </w:numPr>
        <w:rPr>
          <w:rFonts w:cs="Times New Roman"/>
        </w:rPr>
      </w:pPr>
      <w:r>
        <w:rPr>
          <w:rFonts w:cs="Times New Roman"/>
        </w:rPr>
        <w:t xml:space="preserve">Récidive </w:t>
      </w:r>
      <w:r w:rsidR="008E4CD5">
        <w:rPr>
          <w:rFonts w:cs="Times New Roman"/>
        </w:rPr>
        <w:t xml:space="preserve">de saignement </w:t>
      </w:r>
      <w:r>
        <w:rPr>
          <w:rFonts w:cs="Times New Roman"/>
        </w:rPr>
        <w:t>avec pronostic maternel</w:t>
      </w:r>
      <w:r w:rsidR="008E4CD5">
        <w:rPr>
          <w:rFonts w:cs="Times New Roman"/>
        </w:rPr>
        <w:t xml:space="preserve"> menacé</w:t>
      </w:r>
    </w:p>
    <w:p w:rsidR="00A43B38" w:rsidRDefault="00A43B38" w:rsidP="00887A13">
      <w:pPr>
        <w:pStyle w:val="Sansinterligne"/>
        <w:rPr>
          <w:rFonts w:cs="Times New Roman"/>
        </w:rPr>
      </w:pPr>
    </w:p>
    <w:p w:rsidR="00A43B38" w:rsidRPr="00887A13" w:rsidRDefault="00A43B38" w:rsidP="00887A13">
      <w:pPr>
        <w:pStyle w:val="Sansinterligne"/>
        <w:rPr>
          <w:rFonts w:cs="Times New Roman"/>
        </w:rPr>
      </w:pPr>
      <w:r w:rsidRPr="003D1695">
        <w:rPr>
          <w:rFonts w:cs="Times New Roman"/>
          <w:u w:val="single"/>
        </w:rPr>
        <w:t>Avortement</w:t>
      </w:r>
      <w:r>
        <w:rPr>
          <w:rFonts w:cs="Times New Roman"/>
        </w:rPr>
        <w:t xml:space="preserve"> </w:t>
      </w:r>
      <w:r>
        <w:rPr>
          <w:rFonts w:ascii="Century Gothic" w:hAnsi="Century Gothic" w:cs="Times New Roman"/>
        </w:rPr>
        <w:t>→</w:t>
      </w:r>
      <w:r>
        <w:rPr>
          <w:rFonts w:cs="Times New Roman"/>
        </w:rPr>
        <w:t xml:space="preserve"> voir </w:t>
      </w:r>
      <w:r w:rsidRPr="00A43B38">
        <w:rPr>
          <w:rFonts w:cs="Times New Roman"/>
          <w:i/>
        </w:rPr>
        <w:t>Avortement spontané ou fausse couche CMC 81</w:t>
      </w:r>
    </w:p>
    <w:p w:rsidR="003D1695" w:rsidRDefault="003D1695" w:rsidP="00887A13">
      <w:pPr>
        <w:pStyle w:val="Sansinterligne"/>
        <w:rPr>
          <w:rFonts w:cs="Times New Roman"/>
        </w:rPr>
      </w:pPr>
    </w:p>
    <w:p w:rsidR="003B1EDD" w:rsidRPr="005F6242" w:rsidRDefault="00380562" w:rsidP="00887A13">
      <w:pPr>
        <w:pStyle w:val="Sansinterligne"/>
        <w:rPr>
          <w:rFonts w:cs="Times New Roman"/>
          <w:highlight w:val="yellow"/>
        </w:rPr>
      </w:pPr>
      <w:r w:rsidRPr="005F6242">
        <w:rPr>
          <w:rFonts w:cs="Times New Roman"/>
          <w:highlight w:val="yellow"/>
          <w:u w:val="single"/>
        </w:rPr>
        <w:t>Sévices</w:t>
      </w:r>
      <w:r w:rsidR="003D1695" w:rsidRPr="005F6242">
        <w:rPr>
          <w:rFonts w:cs="Times New Roman"/>
          <w:highlight w:val="yellow"/>
          <w:u w:val="single"/>
        </w:rPr>
        <w:t>/abus</w:t>
      </w:r>
      <w:r w:rsidRPr="005F6242">
        <w:rPr>
          <w:rFonts w:cs="Times New Roman"/>
          <w:highlight w:val="yellow"/>
          <w:u w:val="single"/>
        </w:rPr>
        <w:t xml:space="preserve"> sexuels</w:t>
      </w:r>
      <w:r w:rsidR="00A43B38" w:rsidRPr="005F6242">
        <w:rPr>
          <w:rFonts w:cs="Times New Roman"/>
          <w:highlight w:val="yellow"/>
        </w:rPr>
        <w:t> </w:t>
      </w:r>
    </w:p>
    <w:p w:rsidR="003B1EDD" w:rsidRPr="005F6242" w:rsidRDefault="003B1EDD" w:rsidP="000665D6">
      <w:pPr>
        <w:pStyle w:val="Sansinterligne"/>
        <w:numPr>
          <w:ilvl w:val="0"/>
          <w:numId w:val="410"/>
        </w:numPr>
        <w:rPr>
          <w:rFonts w:cs="Times New Roman"/>
          <w:highlight w:val="yellow"/>
        </w:rPr>
      </w:pPr>
      <w:r w:rsidRPr="005F6242">
        <w:rPr>
          <w:rFonts w:cs="Times New Roman"/>
          <w:highlight w:val="yellow"/>
        </w:rPr>
        <w:t xml:space="preserve">Si mineur </w:t>
      </w:r>
      <w:r w:rsidRPr="005F6242">
        <w:rPr>
          <w:rFonts w:ascii="Century Gothic" w:hAnsi="Century Gothic" w:cs="Times New Roman"/>
          <w:highlight w:val="yellow"/>
        </w:rPr>
        <w:t>→</w:t>
      </w:r>
      <w:r w:rsidRPr="005F6242">
        <w:rPr>
          <w:rFonts w:cs="Times New Roman"/>
          <w:highlight w:val="yellow"/>
        </w:rPr>
        <w:t xml:space="preserve"> signalement à la DPJ </w:t>
      </w:r>
      <w:r w:rsidR="005F6242">
        <w:rPr>
          <w:rFonts w:cs="Times New Roman"/>
          <w:highlight w:val="yellow"/>
        </w:rPr>
        <w:t>(</w:t>
      </w:r>
      <w:r w:rsidRPr="005F6242">
        <w:rPr>
          <w:rFonts w:cs="Times New Roman"/>
          <w:highlight w:val="yellow"/>
        </w:rPr>
        <w:t>au Québec</w:t>
      </w:r>
      <w:r w:rsidR="005F6242">
        <w:rPr>
          <w:rFonts w:cs="Times New Roman"/>
          <w:highlight w:val="yellow"/>
        </w:rPr>
        <w:t>)</w:t>
      </w:r>
    </w:p>
    <w:p w:rsidR="003B1EDD" w:rsidRPr="00887A13" w:rsidRDefault="003B1EDD" w:rsidP="000665D6">
      <w:pPr>
        <w:pStyle w:val="Sansinterligne"/>
        <w:numPr>
          <w:ilvl w:val="0"/>
          <w:numId w:val="410"/>
        </w:numPr>
        <w:rPr>
          <w:rFonts w:cs="Times New Roman"/>
        </w:rPr>
      </w:pPr>
      <w:r>
        <w:rPr>
          <w:rFonts w:cs="Times New Roman"/>
        </w:rPr>
        <w:t xml:space="preserve">Si majeur </w:t>
      </w:r>
      <w:r>
        <w:rPr>
          <w:rFonts w:ascii="Century Gothic" w:hAnsi="Century Gothic" w:cs="Times New Roman"/>
        </w:rPr>
        <w:t>→</w:t>
      </w:r>
      <w:r>
        <w:rPr>
          <w:rFonts w:cs="Times New Roman"/>
        </w:rPr>
        <w:t xml:space="preserve"> </w:t>
      </w:r>
      <w:r w:rsidR="00A43B38">
        <w:rPr>
          <w:rFonts w:cs="Times New Roman"/>
        </w:rPr>
        <w:t xml:space="preserve">patiente </w:t>
      </w:r>
      <w:r>
        <w:rPr>
          <w:rFonts w:cs="Times New Roman"/>
        </w:rPr>
        <w:t>doit porter plainte (ne peut être fait par le médecin sans l’accord du patient)</w:t>
      </w:r>
    </w:p>
    <w:p w:rsidR="003D1695" w:rsidRDefault="003D1695" w:rsidP="000665D6">
      <w:pPr>
        <w:pStyle w:val="Sansinterligne"/>
        <w:numPr>
          <w:ilvl w:val="0"/>
          <w:numId w:val="410"/>
        </w:numPr>
        <w:rPr>
          <w:rFonts w:cs="Times New Roman"/>
        </w:rPr>
      </w:pPr>
      <w:r>
        <w:rPr>
          <w:rFonts w:cs="Times New Roman"/>
        </w:rPr>
        <w:t>Préserver l’intimité de la patiente</w:t>
      </w:r>
    </w:p>
    <w:p w:rsidR="003D1695" w:rsidRPr="005F6242" w:rsidRDefault="003D1695" w:rsidP="000665D6">
      <w:pPr>
        <w:pStyle w:val="Sansinterligne"/>
        <w:numPr>
          <w:ilvl w:val="0"/>
          <w:numId w:val="410"/>
        </w:numPr>
        <w:rPr>
          <w:rFonts w:cs="Times New Roman"/>
          <w:highlight w:val="yellow"/>
        </w:rPr>
      </w:pPr>
      <w:r w:rsidRPr="005F6242">
        <w:rPr>
          <w:rFonts w:cs="Times New Roman"/>
          <w:highlight w:val="yellow"/>
        </w:rPr>
        <w:t>Intervention psychologique</w:t>
      </w:r>
    </w:p>
    <w:p w:rsidR="00961893" w:rsidRDefault="00961893" w:rsidP="00BD09BC">
      <w:pPr>
        <w:pStyle w:val="Sansinterligne"/>
      </w:pPr>
    </w:p>
    <w:p w:rsidR="00961893" w:rsidRDefault="00961893" w:rsidP="00BD09BC">
      <w:pPr>
        <w:pStyle w:val="Sansinterligne"/>
        <w:rPr>
          <w:rFonts w:cs="Times New Roman"/>
          <w:b/>
          <w:color w:val="548DD4" w:themeColor="text2" w:themeTint="99"/>
        </w:rPr>
      </w:pPr>
    </w:p>
    <w:p w:rsidR="00961893" w:rsidRDefault="00961893" w:rsidP="00BD09BC">
      <w:pPr>
        <w:pStyle w:val="Sansinterligne"/>
        <w:rPr>
          <w:rFonts w:cs="Times New Roman"/>
          <w:b/>
          <w:color w:val="548DD4" w:themeColor="text2" w:themeTint="99"/>
        </w:rPr>
      </w:pPr>
    </w:p>
    <w:p w:rsidR="00961893" w:rsidRDefault="00961893" w:rsidP="00BD09BC">
      <w:pPr>
        <w:pStyle w:val="Sansinterligne"/>
        <w:rPr>
          <w:rFonts w:cs="Times New Roman"/>
          <w:b/>
          <w:color w:val="548DD4" w:themeColor="text2" w:themeTint="99"/>
        </w:rPr>
      </w:pPr>
      <w:r>
        <w:rPr>
          <w:rFonts w:cs="Times New Roman"/>
          <w:b/>
          <w:color w:val="548DD4" w:themeColor="text2" w:themeTint="99"/>
        </w:rPr>
        <w:br w:type="page"/>
      </w:r>
    </w:p>
    <w:p w:rsidR="000C3047" w:rsidRPr="000C3047" w:rsidRDefault="000C3047" w:rsidP="000C3047">
      <w:pPr>
        <w:spacing w:after="0"/>
        <w:rPr>
          <w:rFonts w:cs="Times New Roman"/>
          <w:b/>
          <w:color w:val="548DD4" w:themeColor="text2" w:themeTint="99"/>
        </w:rPr>
      </w:pPr>
      <w:r w:rsidRPr="000C3047">
        <w:rPr>
          <w:rFonts w:cs="Times New Roman"/>
          <w:b/>
          <w:color w:val="548DD4" w:themeColor="text2" w:themeTint="99"/>
        </w:rPr>
        <w:t>CMC 113</w:t>
      </w:r>
    </w:p>
    <w:p w:rsidR="000C3047" w:rsidRPr="000C3047" w:rsidRDefault="000C3047" w:rsidP="000C3047">
      <w:pPr>
        <w:pStyle w:val="Titre3"/>
        <w:spacing w:before="0"/>
        <w:rPr>
          <w:rFonts w:ascii="Times New Roman" w:hAnsi="Times New Roman" w:cs="Times New Roman"/>
        </w:rPr>
      </w:pPr>
      <w:bookmarkStart w:id="391" w:name="_Toc480797338"/>
      <w:r w:rsidRPr="000C3047">
        <w:rPr>
          <w:rFonts w:ascii="Times New Roman" w:hAnsi="Times New Roman" w:cs="Times New Roman"/>
        </w:rPr>
        <w:t>Écoulement vaginal, prurit vulvaire</w:t>
      </w:r>
      <w:bookmarkEnd w:id="391"/>
    </w:p>
    <w:tbl>
      <w:tblPr>
        <w:tblW w:w="3858" w:type="pct"/>
        <w:tblCellSpacing w:w="0" w:type="dxa"/>
        <w:tblCellMar>
          <w:left w:w="0" w:type="dxa"/>
          <w:right w:w="0" w:type="dxa"/>
        </w:tblCellMar>
        <w:tblLook w:val="04A0" w:firstRow="1" w:lastRow="0" w:firstColumn="1" w:lastColumn="0" w:noHBand="0" w:noVBand="1"/>
      </w:tblPr>
      <w:tblGrid>
        <w:gridCol w:w="8333"/>
      </w:tblGrid>
      <w:tr w:rsidR="000C3047" w:rsidRPr="000C3047" w:rsidTr="000C3047">
        <w:trPr>
          <w:tblCellSpacing w:w="0" w:type="dxa"/>
        </w:trPr>
        <w:tc>
          <w:tcPr>
            <w:tcW w:w="0" w:type="auto"/>
            <w:vAlign w:val="bottom"/>
            <w:hideMark/>
          </w:tcPr>
          <w:bookmarkStart w:id="392" w:name="_Toc475198252"/>
          <w:bookmarkStart w:id="393" w:name="_Toc475563885"/>
          <w:p w:rsidR="000C3047" w:rsidRPr="00520ED3" w:rsidRDefault="00C42BC5" w:rsidP="00520ED3">
            <w:pPr>
              <w:pStyle w:val="Sansinterligne"/>
              <w:spacing w:before="240"/>
              <w:rPr>
                <w:b/>
                <w:sz w:val="18"/>
                <w:szCs w:val="18"/>
              </w:rPr>
            </w:pPr>
            <w:r w:rsidRPr="00520ED3">
              <w:rPr>
                <w:b/>
                <w:noProof/>
                <w:sz w:val="18"/>
                <w:szCs w:val="18"/>
                <w:lang w:eastAsia="fr-CA"/>
              </w:rPr>
              <mc:AlternateContent>
                <mc:Choice Requires="wps">
                  <w:drawing>
                    <wp:anchor distT="0" distB="0" distL="114300" distR="114300" simplePos="0" relativeHeight="251755520" behindDoc="0" locked="0" layoutInCell="1" allowOverlap="1" wp14:anchorId="6303E1AA" wp14:editId="26F52128">
                      <wp:simplePos x="0" y="0"/>
                      <wp:positionH relativeFrom="column">
                        <wp:posOffset>-97790</wp:posOffset>
                      </wp:positionH>
                      <wp:positionV relativeFrom="paragraph">
                        <wp:posOffset>109855</wp:posOffset>
                      </wp:positionV>
                      <wp:extent cx="7012940" cy="2869565"/>
                      <wp:effectExtent l="0" t="0" r="16510" b="26035"/>
                      <wp:wrapNone/>
                      <wp:docPr id="272" name="Rectangle 272"/>
                      <wp:cNvGraphicFramePr/>
                      <a:graphic xmlns:a="http://schemas.openxmlformats.org/drawingml/2006/main">
                        <a:graphicData uri="http://schemas.microsoft.com/office/word/2010/wordprocessingShape">
                          <wps:wsp>
                            <wps:cNvSpPr/>
                            <wps:spPr>
                              <a:xfrm>
                                <a:off x="0" y="0"/>
                                <a:ext cx="7012940" cy="2869565"/>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72" o:spid="_x0000_s1026" style="position:absolute;margin-left:-7.7pt;margin-top:8.65pt;width:552.2pt;height:225.95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" filled="f" strokecolor="black [1600]" strokeweight="2pt"/>
                  </w:pict>
                </mc:Fallback>
              </mc:AlternateContent>
            </w:r>
            <w:r w:rsidR="000C3047" w:rsidRPr="00520ED3">
              <w:rPr>
                <w:b/>
                <w:sz w:val="18"/>
                <w:szCs w:val="18"/>
              </w:rPr>
              <w:t>Objectifs principaux</w:t>
            </w:r>
            <w:bookmarkEnd w:id="392"/>
            <w:bookmarkEnd w:id="393"/>
          </w:p>
        </w:tc>
      </w:tr>
    </w:tbl>
    <w:p w:rsidR="000C3047" w:rsidRPr="000C3047" w:rsidRDefault="000C3047" w:rsidP="000C3047">
      <w:pPr>
        <w:pStyle w:val="NormalWeb"/>
        <w:spacing w:after="0" w:afterAutospacing="0"/>
        <w:ind w:left="360"/>
        <w:rPr>
          <w:color w:val="000000"/>
          <w:sz w:val="18"/>
          <w:szCs w:val="18"/>
          <w:shd w:val="clear" w:color="auto" w:fill="FFFFFF"/>
        </w:rPr>
      </w:pPr>
      <w:r w:rsidRPr="000C3047">
        <w:rPr>
          <w:color w:val="000000"/>
          <w:sz w:val="18"/>
          <w:szCs w:val="18"/>
          <w:shd w:val="clear" w:color="auto" w:fill="FFFFFF"/>
        </w:rPr>
        <w:t>Dans le cas d'une patiente présentant un écoulement vaginal ou un prurit vulvaire, le candidat devra en diagnostiquer la cause, la gravité et les complications, et mettre en place un plan de prise en charge approprié. Il devra en particulier distinguer une infection transmissible sexuellement (ITS) d'autres causes d'écoulements vaginaux ou de prurit vulvaire.</w:t>
      </w:r>
    </w:p>
    <w:tbl>
      <w:tblPr>
        <w:tblW w:w="3897" w:type="pct"/>
        <w:tblCellSpacing w:w="0" w:type="dxa"/>
        <w:tblCellMar>
          <w:left w:w="0" w:type="dxa"/>
          <w:right w:w="0" w:type="dxa"/>
        </w:tblCellMar>
        <w:tblLook w:val="04A0" w:firstRow="1" w:lastRow="0" w:firstColumn="1" w:lastColumn="0" w:noHBand="0" w:noVBand="1"/>
      </w:tblPr>
      <w:tblGrid>
        <w:gridCol w:w="8418"/>
      </w:tblGrid>
      <w:tr w:rsidR="000C3047" w:rsidRPr="000C3047" w:rsidTr="000C3047">
        <w:trPr>
          <w:tblCellSpacing w:w="0" w:type="dxa"/>
        </w:trPr>
        <w:tc>
          <w:tcPr>
            <w:tcW w:w="0" w:type="auto"/>
            <w:vAlign w:val="bottom"/>
            <w:hideMark/>
          </w:tcPr>
          <w:p w:rsidR="000C3047" w:rsidRPr="00520ED3" w:rsidRDefault="000C3047" w:rsidP="00520ED3">
            <w:pPr>
              <w:pStyle w:val="Sansinterligne"/>
              <w:spacing w:before="240"/>
              <w:rPr>
                <w:b/>
                <w:sz w:val="16"/>
                <w:szCs w:val="16"/>
              </w:rPr>
            </w:pPr>
            <w:bookmarkStart w:id="394" w:name="_Toc475198253"/>
            <w:bookmarkStart w:id="395" w:name="_Toc475563886"/>
            <w:r w:rsidRPr="00520ED3">
              <w:rPr>
                <w:b/>
                <w:sz w:val="16"/>
                <w:szCs w:val="16"/>
              </w:rPr>
              <w:t>Objectifs spécifiques</w:t>
            </w:r>
            <w:bookmarkEnd w:id="394"/>
            <w:bookmarkEnd w:id="395"/>
          </w:p>
        </w:tc>
      </w:tr>
    </w:tbl>
    <w:p w:rsidR="000C3047" w:rsidRPr="000C3047" w:rsidRDefault="000C3047" w:rsidP="000C3047">
      <w:pPr>
        <w:pStyle w:val="NormalWeb"/>
        <w:shd w:val="clear" w:color="auto" w:fill="FFFFFF"/>
        <w:spacing w:after="0" w:afterAutospacing="0"/>
        <w:ind w:left="360"/>
        <w:rPr>
          <w:color w:val="000000"/>
          <w:sz w:val="16"/>
          <w:szCs w:val="16"/>
          <w:shd w:val="clear" w:color="auto" w:fill="FFFFFF"/>
        </w:rPr>
      </w:pPr>
      <w:r w:rsidRPr="000C3047">
        <w:rPr>
          <w:color w:val="000000"/>
          <w:sz w:val="16"/>
          <w:szCs w:val="16"/>
          <w:shd w:val="clear" w:color="auto" w:fill="FFFFFF"/>
        </w:rPr>
        <w:t>Dans le cas d'une patiente présentant un écoulement vaginal ou un prurit vulvaire, le candidat devra</w:t>
      </w:r>
    </w:p>
    <w:p w:rsidR="000C3047" w:rsidRPr="000C3047" w:rsidRDefault="000C3047" w:rsidP="00852AE0">
      <w:pPr>
        <w:numPr>
          <w:ilvl w:val="0"/>
          <w:numId w:val="361"/>
        </w:numPr>
        <w:shd w:val="clear" w:color="auto" w:fill="FFFFFF"/>
        <w:spacing w:after="100" w:afterAutospacing="1" w:line="240" w:lineRule="auto"/>
        <w:rPr>
          <w:rFonts w:cs="Times New Roman"/>
          <w:color w:val="000000"/>
          <w:sz w:val="16"/>
          <w:szCs w:val="16"/>
          <w:shd w:val="clear" w:color="auto" w:fill="FFFFFF"/>
        </w:rPr>
      </w:pPr>
      <w:r w:rsidRPr="000C3047">
        <w:rPr>
          <w:rFonts w:cs="Times New Roman"/>
          <w:color w:val="000000"/>
          <w:sz w:val="16"/>
          <w:szCs w:val="16"/>
          <w:shd w:val="clear" w:color="auto" w:fill="FFFFFF"/>
        </w:rPr>
        <w:t>énumérer et interpréter les examens cliniques essentiels, notamment :</w:t>
      </w:r>
    </w:p>
    <w:p w:rsidR="000C3047" w:rsidRPr="000C3047" w:rsidRDefault="000C3047" w:rsidP="00852AE0">
      <w:pPr>
        <w:numPr>
          <w:ilvl w:val="1"/>
          <w:numId w:val="361"/>
        </w:numPr>
        <w:shd w:val="clear" w:color="auto" w:fill="FFFFFF"/>
        <w:spacing w:after="100" w:afterAutospacing="1" w:line="240" w:lineRule="auto"/>
        <w:rPr>
          <w:rFonts w:cs="Times New Roman"/>
          <w:color w:val="000000"/>
          <w:sz w:val="16"/>
          <w:szCs w:val="16"/>
          <w:shd w:val="clear" w:color="auto" w:fill="FFFFFF"/>
        </w:rPr>
      </w:pPr>
      <w:r w:rsidRPr="000C3047">
        <w:rPr>
          <w:rFonts w:cs="Times New Roman"/>
          <w:color w:val="000000"/>
          <w:sz w:val="16"/>
          <w:szCs w:val="16"/>
          <w:shd w:val="clear" w:color="auto" w:fill="FFFFFF"/>
        </w:rPr>
        <w:t>les facteurs déclenchants ou aggravants;</w:t>
      </w:r>
    </w:p>
    <w:p w:rsidR="000C3047" w:rsidRPr="000C3047" w:rsidRDefault="000C3047" w:rsidP="00852AE0">
      <w:pPr>
        <w:numPr>
          <w:ilvl w:val="1"/>
          <w:numId w:val="361"/>
        </w:numPr>
        <w:shd w:val="clear" w:color="auto" w:fill="FFFFFF"/>
        <w:spacing w:before="100" w:beforeAutospacing="1" w:after="100" w:afterAutospacing="1" w:line="240" w:lineRule="auto"/>
        <w:rPr>
          <w:rFonts w:cs="Times New Roman"/>
          <w:color w:val="000000"/>
          <w:sz w:val="16"/>
          <w:szCs w:val="16"/>
          <w:shd w:val="clear" w:color="auto" w:fill="FFFFFF"/>
        </w:rPr>
      </w:pPr>
      <w:r w:rsidRPr="000C3047">
        <w:rPr>
          <w:rFonts w:cs="Times New Roman"/>
          <w:color w:val="000000"/>
          <w:sz w:val="16"/>
          <w:szCs w:val="16"/>
          <w:shd w:val="clear" w:color="auto" w:fill="FFFFFF"/>
        </w:rPr>
        <w:t>le diagnostic indiquent la cause probable de l</w:t>
      </w:r>
      <w:r w:rsidR="00C42BC5">
        <w:rPr>
          <w:rFonts w:cs="Times New Roman"/>
          <w:color w:val="000000"/>
          <w:sz w:val="16"/>
          <w:szCs w:val="16"/>
          <w:shd w:val="clear" w:color="auto" w:fill="FFFFFF"/>
        </w:rPr>
        <w:t>’</w:t>
      </w:r>
      <w:r w:rsidRPr="000C3047">
        <w:rPr>
          <w:rFonts w:cs="Times New Roman"/>
          <w:color w:val="000000"/>
          <w:sz w:val="16"/>
          <w:szCs w:val="16"/>
          <w:shd w:val="clear" w:color="auto" w:fill="FFFFFF"/>
        </w:rPr>
        <w:t>écoulement vaginal et/ou du prurit vulvaire;</w:t>
      </w:r>
    </w:p>
    <w:p w:rsidR="000C3047" w:rsidRPr="000C3047" w:rsidRDefault="000C3047" w:rsidP="00852AE0">
      <w:pPr>
        <w:numPr>
          <w:ilvl w:val="1"/>
          <w:numId w:val="361"/>
        </w:numPr>
        <w:shd w:val="clear" w:color="auto" w:fill="FFFFFF"/>
        <w:spacing w:before="100" w:beforeAutospacing="1" w:after="100" w:afterAutospacing="1" w:line="240" w:lineRule="auto"/>
        <w:rPr>
          <w:rFonts w:cs="Times New Roman"/>
          <w:color w:val="000000"/>
          <w:sz w:val="16"/>
          <w:szCs w:val="16"/>
          <w:shd w:val="clear" w:color="auto" w:fill="FFFFFF"/>
        </w:rPr>
      </w:pPr>
      <w:r w:rsidRPr="000C3047">
        <w:rPr>
          <w:rFonts w:cs="Times New Roman"/>
          <w:color w:val="000000"/>
          <w:sz w:val="16"/>
          <w:szCs w:val="16"/>
          <w:shd w:val="clear" w:color="auto" w:fill="FFFFFF"/>
        </w:rPr>
        <w:t>les r</w:t>
      </w:r>
      <w:r w:rsidR="00C42BC5">
        <w:rPr>
          <w:rFonts w:cs="Times New Roman"/>
          <w:color w:val="000000"/>
          <w:sz w:val="16"/>
          <w:szCs w:val="16"/>
          <w:shd w:val="clear" w:color="auto" w:fill="FFFFFF"/>
        </w:rPr>
        <w:t>é</w:t>
      </w:r>
      <w:r w:rsidRPr="000C3047">
        <w:rPr>
          <w:rFonts w:cs="Times New Roman"/>
          <w:color w:val="000000"/>
          <w:sz w:val="16"/>
          <w:szCs w:val="16"/>
          <w:shd w:val="clear" w:color="auto" w:fill="FFFFFF"/>
        </w:rPr>
        <w:t>sultats des examens abdominal et pelvien pertinents, à l’aide, notamment, d'un spéculum;</w:t>
      </w:r>
    </w:p>
    <w:p w:rsidR="000C3047" w:rsidRPr="000C3047" w:rsidRDefault="000C3047" w:rsidP="00852AE0">
      <w:pPr>
        <w:numPr>
          <w:ilvl w:val="0"/>
          <w:numId w:val="361"/>
        </w:numPr>
        <w:shd w:val="clear" w:color="auto" w:fill="FFFFFF"/>
        <w:spacing w:before="100" w:beforeAutospacing="1" w:after="100" w:afterAutospacing="1" w:line="240" w:lineRule="auto"/>
        <w:rPr>
          <w:rFonts w:cs="Times New Roman"/>
          <w:color w:val="000000"/>
          <w:sz w:val="16"/>
          <w:szCs w:val="16"/>
          <w:shd w:val="clear" w:color="auto" w:fill="FFFFFF"/>
        </w:rPr>
      </w:pPr>
      <w:r w:rsidRPr="000C3047">
        <w:rPr>
          <w:rFonts w:cs="Times New Roman"/>
          <w:color w:val="000000"/>
          <w:sz w:val="16"/>
          <w:szCs w:val="16"/>
          <w:shd w:val="clear" w:color="auto" w:fill="FFFFFF"/>
        </w:rPr>
        <w:t>énumérer et interpréter les examens essentiels, notamment :</w:t>
      </w:r>
    </w:p>
    <w:p w:rsidR="000C3047" w:rsidRPr="000C3047" w:rsidRDefault="000C3047" w:rsidP="00852AE0">
      <w:pPr>
        <w:numPr>
          <w:ilvl w:val="1"/>
          <w:numId w:val="361"/>
        </w:numPr>
        <w:shd w:val="clear" w:color="auto" w:fill="FFFFFF"/>
        <w:spacing w:before="100" w:beforeAutospacing="1" w:after="100" w:afterAutospacing="1" w:line="240" w:lineRule="auto"/>
        <w:rPr>
          <w:rFonts w:cs="Times New Roman"/>
          <w:color w:val="000000"/>
          <w:sz w:val="16"/>
          <w:szCs w:val="16"/>
          <w:shd w:val="clear" w:color="auto" w:fill="FFFFFF"/>
        </w:rPr>
      </w:pPr>
      <w:r w:rsidRPr="000C3047">
        <w:rPr>
          <w:rFonts w:cs="Times New Roman"/>
          <w:color w:val="000000"/>
          <w:sz w:val="16"/>
          <w:szCs w:val="16"/>
          <w:shd w:val="clear" w:color="auto" w:fill="FFFFFF"/>
        </w:rPr>
        <w:t>le dosage du pH, un examen à l'état frais ou un frottis vaginal à KOH;</w:t>
      </w:r>
    </w:p>
    <w:p w:rsidR="000C3047" w:rsidRPr="000C3047" w:rsidRDefault="000C3047" w:rsidP="00852AE0">
      <w:pPr>
        <w:numPr>
          <w:ilvl w:val="1"/>
          <w:numId w:val="361"/>
        </w:numPr>
        <w:shd w:val="clear" w:color="auto" w:fill="FFFFFF"/>
        <w:spacing w:before="100" w:beforeAutospacing="1" w:after="100" w:afterAutospacing="1" w:line="240" w:lineRule="auto"/>
        <w:rPr>
          <w:rFonts w:cs="Times New Roman"/>
          <w:color w:val="000000"/>
          <w:sz w:val="16"/>
          <w:szCs w:val="16"/>
          <w:shd w:val="clear" w:color="auto" w:fill="FFFFFF"/>
        </w:rPr>
      </w:pPr>
      <w:r w:rsidRPr="000C3047">
        <w:rPr>
          <w:rFonts w:cs="Times New Roman"/>
          <w:color w:val="000000"/>
          <w:sz w:val="16"/>
          <w:szCs w:val="16"/>
          <w:shd w:val="clear" w:color="auto" w:fill="FFFFFF"/>
        </w:rPr>
        <w:t>les tests pertinents en cas d'écoulement purulent;</w:t>
      </w:r>
    </w:p>
    <w:p w:rsidR="000C3047" w:rsidRPr="000C3047" w:rsidRDefault="000C3047" w:rsidP="00852AE0">
      <w:pPr>
        <w:numPr>
          <w:ilvl w:val="0"/>
          <w:numId w:val="361"/>
        </w:numPr>
        <w:shd w:val="clear" w:color="auto" w:fill="FFFFFF"/>
        <w:spacing w:before="100" w:beforeAutospacing="1" w:after="100" w:afterAutospacing="1" w:line="240" w:lineRule="auto"/>
        <w:rPr>
          <w:rFonts w:cs="Times New Roman"/>
          <w:color w:val="000000"/>
          <w:sz w:val="16"/>
          <w:szCs w:val="16"/>
          <w:shd w:val="clear" w:color="auto" w:fill="FFFFFF"/>
        </w:rPr>
      </w:pPr>
      <w:r w:rsidRPr="000C3047">
        <w:rPr>
          <w:rFonts w:cs="Times New Roman"/>
          <w:color w:val="000000"/>
          <w:sz w:val="16"/>
          <w:szCs w:val="16"/>
          <w:shd w:val="clear" w:color="auto" w:fill="FFFFFF"/>
        </w:rPr>
        <w:t>établir un plan efficace de prise en charge initiale, notamment :</w:t>
      </w:r>
    </w:p>
    <w:p w:rsidR="000C3047" w:rsidRPr="000C3047" w:rsidRDefault="000C3047" w:rsidP="00852AE0">
      <w:pPr>
        <w:numPr>
          <w:ilvl w:val="1"/>
          <w:numId w:val="361"/>
        </w:numPr>
        <w:shd w:val="clear" w:color="auto" w:fill="FFFFFF"/>
        <w:spacing w:before="100" w:beforeAutospacing="1" w:after="100" w:afterAutospacing="1" w:line="240" w:lineRule="auto"/>
        <w:rPr>
          <w:rFonts w:cs="Times New Roman"/>
          <w:color w:val="000000"/>
          <w:sz w:val="16"/>
          <w:szCs w:val="16"/>
          <w:shd w:val="clear" w:color="auto" w:fill="FFFFFF"/>
        </w:rPr>
      </w:pPr>
      <w:r w:rsidRPr="000C3047">
        <w:rPr>
          <w:rFonts w:cs="Times New Roman"/>
          <w:color w:val="000000"/>
          <w:sz w:val="16"/>
          <w:szCs w:val="16"/>
          <w:shd w:val="clear" w:color="auto" w:fill="FFFFFF"/>
        </w:rPr>
        <w:t>reconnaître une vulvo-vaginite associée à l'activité sexuelle et donner des conseils sur les moyens de réduire les risques;</w:t>
      </w:r>
    </w:p>
    <w:p w:rsidR="000C3047" w:rsidRPr="000C3047" w:rsidRDefault="000C3047" w:rsidP="00852AE0">
      <w:pPr>
        <w:numPr>
          <w:ilvl w:val="1"/>
          <w:numId w:val="361"/>
        </w:numPr>
        <w:shd w:val="clear" w:color="auto" w:fill="FFFFFF"/>
        <w:spacing w:before="100" w:beforeAutospacing="1" w:after="100" w:afterAutospacing="1" w:line="240" w:lineRule="auto"/>
        <w:rPr>
          <w:rFonts w:cs="Times New Roman"/>
          <w:color w:val="000000"/>
          <w:sz w:val="16"/>
          <w:szCs w:val="16"/>
          <w:shd w:val="clear" w:color="auto" w:fill="FFFFFF"/>
        </w:rPr>
      </w:pPr>
      <w:r w:rsidRPr="000C3047">
        <w:rPr>
          <w:rFonts w:cs="Times New Roman"/>
          <w:color w:val="000000"/>
          <w:sz w:val="16"/>
          <w:szCs w:val="16"/>
          <w:shd w:val="clear" w:color="auto" w:fill="FFFFFF"/>
        </w:rPr>
        <w:t>mettre en œuvre le plan de prise en charge approprié (p. ex. ITS, causes non associées à une ITS);</w:t>
      </w:r>
    </w:p>
    <w:p w:rsidR="000C3047" w:rsidRPr="000C3047" w:rsidRDefault="000C3047" w:rsidP="00852AE0">
      <w:pPr>
        <w:numPr>
          <w:ilvl w:val="1"/>
          <w:numId w:val="361"/>
        </w:numPr>
        <w:shd w:val="clear" w:color="auto" w:fill="FFFFFF"/>
        <w:spacing w:before="100" w:beforeAutospacing="1" w:after="100" w:afterAutospacing="1" w:line="240" w:lineRule="auto"/>
        <w:rPr>
          <w:rFonts w:cs="Times New Roman"/>
          <w:color w:val="000000"/>
          <w:sz w:val="16"/>
          <w:szCs w:val="16"/>
          <w:shd w:val="clear" w:color="auto" w:fill="FFFFFF"/>
        </w:rPr>
      </w:pPr>
      <w:r w:rsidRPr="000C3047">
        <w:rPr>
          <w:rFonts w:cs="Times New Roman"/>
          <w:color w:val="000000"/>
          <w:sz w:val="16"/>
          <w:szCs w:val="16"/>
          <w:shd w:val="clear" w:color="auto" w:fill="FFFFFF"/>
        </w:rPr>
        <w:t>être conscient de l'obligation de divulgation aux autorités compétentes;</w:t>
      </w:r>
    </w:p>
    <w:p w:rsidR="000C3047" w:rsidRPr="004625BE" w:rsidRDefault="000C3047" w:rsidP="004625BE">
      <w:pPr>
        <w:numPr>
          <w:ilvl w:val="1"/>
          <w:numId w:val="361"/>
        </w:numPr>
        <w:shd w:val="clear" w:color="auto" w:fill="FFFFFF"/>
        <w:spacing w:before="100" w:beforeAutospacing="1" w:after="100" w:afterAutospacing="1" w:line="240" w:lineRule="auto"/>
        <w:rPr>
          <w:rFonts w:cs="Times New Roman"/>
          <w:color w:val="000000"/>
          <w:sz w:val="16"/>
          <w:szCs w:val="16"/>
          <w:shd w:val="clear" w:color="auto" w:fill="FFFFFF"/>
        </w:rPr>
      </w:pPr>
      <w:r w:rsidRPr="000C3047">
        <w:rPr>
          <w:rFonts w:cs="Times New Roman"/>
          <w:color w:val="000000"/>
          <w:sz w:val="16"/>
          <w:szCs w:val="16"/>
          <w:shd w:val="clear" w:color="auto" w:fill="FFFFFF"/>
        </w:rPr>
        <w:t>diriger la patiente vers des soins spécialisés, s'il y a lieu.</w:t>
      </w:r>
    </w:p>
    <w:p w:rsidR="00137C3F" w:rsidRDefault="00421073">
      <w:pPr>
        <w:rPr>
          <w:rFonts w:cs="Times New Roman"/>
        </w:rPr>
      </w:pPr>
      <w:r w:rsidRPr="003D5BFC">
        <w:rPr>
          <w:rFonts w:cs="Times New Roman"/>
          <w:b/>
          <w:sz w:val="28"/>
          <w:szCs w:val="28"/>
        </w:rPr>
        <w:t>Diagnostics</w:t>
      </w:r>
      <w:r w:rsidR="00000E91" w:rsidRPr="003D5BFC">
        <w:rPr>
          <w:rFonts w:cs="Times New Roman"/>
          <w:b/>
          <w:sz w:val="28"/>
          <w:szCs w:val="28"/>
        </w:rPr>
        <w:t xml:space="preserve"> (liste non-exhaustive</w:t>
      </w:r>
      <w:r w:rsidR="00000E91">
        <w:rPr>
          <w:rFonts w:cs="Times New Roman"/>
        </w:rPr>
        <w:t>)</w:t>
      </w:r>
    </w:p>
    <w:tbl>
      <w:tblPr>
        <w:tblStyle w:val="Grilledutableau"/>
        <w:tblW w:w="0" w:type="auto"/>
        <w:tblLook w:val="04A0" w:firstRow="1" w:lastRow="0" w:firstColumn="1" w:lastColumn="0" w:noHBand="0" w:noVBand="1"/>
      </w:tblPr>
      <w:tblGrid>
        <w:gridCol w:w="3227"/>
        <w:gridCol w:w="2268"/>
        <w:gridCol w:w="1417"/>
        <w:gridCol w:w="4028"/>
      </w:tblGrid>
      <w:tr w:rsidR="004625BE" w:rsidTr="002479F6">
        <w:tc>
          <w:tcPr>
            <w:tcW w:w="10940" w:type="dxa"/>
            <w:gridSpan w:val="4"/>
            <w:shd w:val="clear" w:color="auto" w:fill="B2A1C7" w:themeFill="accent4" w:themeFillTint="99"/>
          </w:tcPr>
          <w:p w:rsidR="004625BE" w:rsidRDefault="004625BE" w:rsidP="004625BE">
            <w:pPr>
              <w:jc w:val="center"/>
              <w:rPr>
                <w:rFonts w:cs="Times New Roman"/>
              </w:rPr>
            </w:pPr>
            <w:r>
              <w:rPr>
                <w:rFonts w:cs="Times New Roman"/>
              </w:rPr>
              <w:t>Causes non-infectieuses</w:t>
            </w:r>
          </w:p>
        </w:tc>
      </w:tr>
      <w:tr w:rsidR="004625BE" w:rsidTr="001A711D">
        <w:tc>
          <w:tcPr>
            <w:tcW w:w="3227" w:type="dxa"/>
          </w:tcPr>
          <w:p w:rsidR="004625BE" w:rsidRPr="005A7D5A" w:rsidRDefault="004625BE" w:rsidP="004625BE">
            <w:pPr>
              <w:jc w:val="center"/>
              <w:rPr>
                <w:rFonts w:cs="Times New Roman"/>
                <w:i/>
              </w:rPr>
            </w:pPr>
            <w:r w:rsidRPr="005A7D5A">
              <w:rPr>
                <w:rFonts w:cs="Times New Roman"/>
                <w:i/>
              </w:rPr>
              <w:t>Diagnostic</w:t>
            </w:r>
          </w:p>
        </w:tc>
        <w:tc>
          <w:tcPr>
            <w:tcW w:w="3685" w:type="dxa"/>
            <w:gridSpan w:val="2"/>
          </w:tcPr>
          <w:p w:rsidR="004625BE" w:rsidRPr="005A7D5A" w:rsidRDefault="004625BE" w:rsidP="004625BE">
            <w:pPr>
              <w:jc w:val="center"/>
              <w:rPr>
                <w:rFonts w:cs="Times New Roman"/>
                <w:i/>
              </w:rPr>
            </w:pPr>
            <w:r w:rsidRPr="005A7D5A">
              <w:rPr>
                <w:rFonts w:cs="Times New Roman"/>
                <w:i/>
              </w:rPr>
              <w:t>Facteurs déclencheurs/aggravants</w:t>
            </w:r>
          </w:p>
        </w:tc>
        <w:tc>
          <w:tcPr>
            <w:tcW w:w="4028" w:type="dxa"/>
          </w:tcPr>
          <w:p w:rsidR="004625BE" w:rsidRPr="005A7D5A" w:rsidRDefault="004625BE" w:rsidP="004625BE">
            <w:pPr>
              <w:jc w:val="center"/>
              <w:rPr>
                <w:rFonts w:cs="Times New Roman"/>
                <w:i/>
              </w:rPr>
            </w:pPr>
            <w:r w:rsidRPr="005A7D5A">
              <w:rPr>
                <w:rFonts w:cs="Times New Roman"/>
                <w:i/>
              </w:rPr>
              <w:t>Manifestations cliniques</w:t>
            </w:r>
          </w:p>
        </w:tc>
      </w:tr>
      <w:tr w:rsidR="004625BE" w:rsidTr="001A711D">
        <w:tc>
          <w:tcPr>
            <w:tcW w:w="3227" w:type="dxa"/>
          </w:tcPr>
          <w:p w:rsidR="004625BE" w:rsidRDefault="004625BE">
            <w:pPr>
              <w:rPr>
                <w:rFonts w:cs="Times New Roman"/>
              </w:rPr>
            </w:pPr>
            <w:r>
              <w:rPr>
                <w:rFonts w:cs="Times New Roman"/>
              </w:rPr>
              <w:t>Pertes physiologiques</w:t>
            </w:r>
          </w:p>
        </w:tc>
        <w:tc>
          <w:tcPr>
            <w:tcW w:w="3685" w:type="dxa"/>
            <w:gridSpan w:val="2"/>
          </w:tcPr>
          <w:p w:rsidR="004625BE" w:rsidRPr="00C82215" w:rsidRDefault="00C82215" w:rsidP="001A711D">
            <w:pPr>
              <w:pStyle w:val="Paragraphedeliste"/>
              <w:numPr>
                <w:ilvl w:val="0"/>
                <w:numId w:val="363"/>
              </w:numPr>
              <w:rPr>
                <w:rFonts w:cs="Times New Roman"/>
              </w:rPr>
            </w:pPr>
            <w:r w:rsidRPr="00C82215">
              <w:rPr>
                <w:rFonts w:cs="Times New Roman"/>
              </w:rPr>
              <w:t xml:space="preserve">États hyper estrogènes </w:t>
            </w:r>
          </w:p>
          <w:p w:rsidR="00C82215" w:rsidRPr="00C82215" w:rsidRDefault="00C82215" w:rsidP="001A711D">
            <w:pPr>
              <w:pStyle w:val="Paragraphedeliste"/>
              <w:numPr>
                <w:ilvl w:val="0"/>
                <w:numId w:val="362"/>
              </w:numPr>
              <w:rPr>
                <w:rFonts w:cs="Times New Roman"/>
              </w:rPr>
            </w:pPr>
            <w:r w:rsidRPr="00C82215">
              <w:rPr>
                <w:rFonts w:cs="Times New Roman"/>
              </w:rPr>
              <w:t>Préménarche</w:t>
            </w:r>
          </w:p>
          <w:p w:rsidR="00C82215" w:rsidRPr="00C82215" w:rsidRDefault="00C82215" w:rsidP="001A711D">
            <w:pPr>
              <w:pStyle w:val="Paragraphedeliste"/>
              <w:numPr>
                <w:ilvl w:val="0"/>
                <w:numId w:val="362"/>
              </w:numPr>
              <w:rPr>
                <w:rFonts w:cs="Times New Roman"/>
              </w:rPr>
            </w:pPr>
            <w:r w:rsidRPr="00C82215">
              <w:rPr>
                <w:rFonts w:cs="Times New Roman"/>
              </w:rPr>
              <w:t>Grossesse</w:t>
            </w:r>
          </w:p>
          <w:p w:rsidR="00C82215" w:rsidRPr="00C82215" w:rsidRDefault="00C82215" w:rsidP="001A711D">
            <w:pPr>
              <w:pStyle w:val="Paragraphedeliste"/>
              <w:numPr>
                <w:ilvl w:val="0"/>
                <w:numId w:val="362"/>
              </w:numPr>
              <w:rPr>
                <w:rFonts w:cs="Times New Roman"/>
              </w:rPr>
            </w:pPr>
            <w:r w:rsidRPr="00C82215">
              <w:rPr>
                <w:rFonts w:cs="Times New Roman"/>
              </w:rPr>
              <w:t>COC</w:t>
            </w:r>
          </w:p>
          <w:p w:rsidR="00C82215" w:rsidRPr="00C82215" w:rsidRDefault="002A571E" w:rsidP="001A711D">
            <w:pPr>
              <w:pStyle w:val="Paragraphedeliste"/>
              <w:numPr>
                <w:ilvl w:val="0"/>
                <w:numId w:val="362"/>
              </w:numPr>
              <w:rPr>
                <w:rFonts w:cs="Times New Roman"/>
              </w:rPr>
            </w:pPr>
            <w:r w:rsidRPr="00C82215">
              <w:rPr>
                <w:rFonts w:cs="Times New Roman"/>
              </w:rPr>
              <w:t>Mi- cycle</w:t>
            </w:r>
          </w:p>
          <w:p w:rsidR="00C82215" w:rsidRPr="00C82215" w:rsidRDefault="00C82215" w:rsidP="001A711D">
            <w:pPr>
              <w:pStyle w:val="Paragraphedeliste"/>
              <w:numPr>
                <w:ilvl w:val="0"/>
                <w:numId w:val="362"/>
              </w:numPr>
              <w:rPr>
                <w:rFonts w:cs="Times New Roman"/>
              </w:rPr>
            </w:pPr>
            <w:r w:rsidRPr="00C82215">
              <w:rPr>
                <w:rFonts w:cs="Times New Roman"/>
              </w:rPr>
              <w:t>SOPK</w:t>
            </w:r>
          </w:p>
        </w:tc>
        <w:tc>
          <w:tcPr>
            <w:tcW w:w="4028" w:type="dxa"/>
          </w:tcPr>
          <w:p w:rsidR="004625BE" w:rsidRPr="001A711D" w:rsidRDefault="00C82215" w:rsidP="00004A1E">
            <w:pPr>
              <w:pStyle w:val="Paragraphedeliste"/>
              <w:numPr>
                <w:ilvl w:val="0"/>
                <w:numId w:val="364"/>
              </w:numPr>
              <w:rPr>
                <w:rFonts w:cs="Times New Roman"/>
              </w:rPr>
            </w:pPr>
            <w:r w:rsidRPr="001A711D">
              <w:rPr>
                <w:rFonts w:cs="Times New Roman"/>
              </w:rPr>
              <w:t>Écoulement clair blanchâtre</w:t>
            </w:r>
          </w:p>
          <w:p w:rsidR="00C82215" w:rsidRPr="001A711D" w:rsidRDefault="00C82215" w:rsidP="00004A1E">
            <w:pPr>
              <w:pStyle w:val="Paragraphedeliste"/>
              <w:numPr>
                <w:ilvl w:val="0"/>
                <w:numId w:val="364"/>
              </w:numPr>
              <w:rPr>
                <w:rFonts w:cs="Times New Roman"/>
              </w:rPr>
            </w:pPr>
            <w:r w:rsidRPr="001A711D">
              <w:rPr>
                <w:rFonts w:cs="Times New Roman"/>
              </w:rPr>
              <w:t xml:space="preserve">Aspect floconneux </w:t>
            </w:r>
          </w:p>
          <w:p w:rsidR="00C82215" w:rsidRPr="001A711D" w:rsidRDefault="00C82215" w:rsidP="00004A1E">
            <w:pPr>
              <w:pStyle w:val="Paragraphedeliste"/>
              <w:numPr>
                <w:ilvl w:val="0"/>
                <w:numId w:val="364"/>
              </w:numPr>
              <w:rPr>
                <w:rFonts w:cs="Times New Roman"/>
              </w:rPr>
            </w:pPr>
            <w:r w:rsidRPr="001A711D">
              <w:rPr>
                <w:rFonts w:cs="Times New Roman"/>
              </w:rPr>
              <w:t>Sans odeur</w:t>
            </w:r>
          </w:p>
        </w:tc>
      </w:tr>
      <w:tr w:rsidR="004625BE" w:rsidTr="001A711D">
        <w:tc>
          <w:tcPr>
            <w:tcW w:w="3227" w:type="dxa"/>
          </w:tcPr>
          <w:p w:rsidR="004625BE" w:rsidRPr="00AA74FC" w:rsidRDefault="00000E91">
            <w:pPr>
              <w:rPr>
                <w:rFonts w:cs="Times New Roman"/>
                <w:highlight w:val="yellow"/>
              </w:rPr>
            </w:pPr>
            <w:r w:rsidRPr="00AA74FC">
              <w:rPr>
                <w:rFonts w:cs="Times New Roman"/>
                <w:highlight w:val="yellow"/>
              </w:rPr>
              <w:t>Vaginite atrophique</w:t>
            </w:r>
            <w:r w:rsidR="00C82215" w:rsidRPr="00AA74FC">
              <w:rPr>
                <w:rFonts w:cs="Times New Roman"/>
                <w:highlight w:val="yellow"/>
              </w:rPr>
              <w:t xml:space="preserve"> (ménopause)</w:t>
            </w:r>
          </w:p>
        </w:tc>
        <w:tc>
          <w:tcPr>
            <w:tcW w:w="3685" w:type="dxa"/>
            <w:gridSpan w:val="2"/>
          </w:tcPr>
          <w:p w:rsidR="004625BE" w:rsidRPr="00AA74FC" w:rsidRDefault="001A711D" w:rsidP="00004A1E">
            <w:pPr>
              <w:pStyle w:val="Paragraphedeliste"/>
              <w:numPr>
                <w:ilvl w:val="0"/>
                <w:numId w:val="366"/>
              </w:numPr>
              <w:rPr>
                <w:rFonts w:cs="Times New Roman"/>
                <w:highlight w:val="yellow"/>
              </w:rPr>
            </w:pPr>
            <w:r w:rsidRPr="00AA74FC">
              <w:rPr>
                <w:rFonts w:cs="Times New Roman"/>
                <w:highlight w:val="yellow"/>
              </w:rPr>
              <w:t>Ménopause</w:t>
            </w:r>
          </w:p>
        </w:tc>
        <w:tc>
          <w:tcPr>
            <w:tcW w:w="4028" w:type="dxa"/>
          </w:tcPr>
          <w:p w:rsidR="004625BE" w:rsidRPr="00AA5537" w:rsidRDefault="00C82215" w:rsidP="00004A1E">
            <w:pPr>
              <w:pStyle w:val="Paragraphedeliste"/>
              <w:numPr>
                <w:ilvl w:val="0"/>
                <w:numId w:val="364"/>
              </w:numPr>
              <w:rPr>
                <w:rFonts w:cs="Times New Roman"/>
              </w:rPr>
            </w:pPr>
            <w:r w:rsidRPr="00AA5537">
              <w:rPr>
                <w:rFonts w:cs="Times New Roman"/>
              </w:rPr>
              <w:t>Peu d’écoulement</w:t>
            </w:r>
          </w:p>
          <w:p w:rsidR="001A711D" w:rsidRPr="00AA5537" w:rsidRDefault="001A711D" w:rsidP="00004A1E">
            <w:pPr>
              <w:pStyle w:val="Paragraphedeliste"/>
              <w:numPr>
                <w:ilvl w:val="0"/>
                <w:numId w:val="364"/>
              </w:numPr>
              <w:rPr>
                <w:rFonts w:cs="Times New Roman"/>
              </w:rPr>
            </w:pPr>
            <w:r w:rsidRPr="00AA5537">
              <w:rPr>
                <w:rFonts w:cs="Times New Roman"/>
              </w:rPr>
              <w:t>Parfois saignement post-</w:t>
            </w:r>
            <w:r w:rsidR="00D44FDF" w:rsidRPr="00AA5537">
              <w:rPr>
                <w:rFonts w:cs="Times New Roman"/>
              </w:rPr>
              <w:t>coïtaux</w:t>
            </w:r>
          </w:p>
          <w:p w:rsidR="001A711D" w:rsidRPr="00AA74FC" w:rsidRDefault="001A711D" w:rsidP="00004A1E">
            <w:pPr>
              <w:pStyle w:val="Paragraphedeliste"/>
              <w:numPr>
                <w:ilvl w:val="0"/>
                <w:numId w:val="364"/>
              </w:numPr>
              <w:rPr>
                <w:rFonts w:cs="Times New Roman"/>
                <w:highlight w:val="yellow"/>
              </w:rPr>
            </w:pPr>
            <w:r w:rsidRPr="00AA74FC">
              <w:rPr>
                <w:rFonts w:cs="Times New Roman"/>
                <w:highlight w:val="yellow"/>
              </w:rPr>
              <w:t>Dyspareunie</w:t>
            </w:r>
          </w:p>
          <w:p w:rsidR="00C82215" w:rsidRPr="00AA74FC" w:rsidRDefault="00C82215" w:rsidP="00004A1E">
            <w:pPr>
              <w:pStyle w:val="Paragraphedeliste"/>
              <w:numPr>
                <w:ilvl w:val="0"/>
                <w:numId w:val="364"/>
              </w:numPr>
              <w:rPr>
                <w:rFonts w:cs="Times New Roman"/>
                <w:highlight w:val="yellow"/>
              </w:rPr>
            </w:pPr>
            <w:r w:rsidRPr="00AA74FC">
              <w:rPr>
                <w:rFonts w:cs="Times New Roman"/>
                <w:highlight w:val="yellow"/>
              </w:rPr>
              <w:t>Prurit vaginal</w:t>
            </w:r>
            <w:r w:rsidR="001A711D" w:rsidRPr="00AA74FC">
              <w:rPr>
                <w:rFonts w:cs="Times New Roman"/>
                <w:highlight w:val="yellow"/>
              </w:rPr>
              <w:t xml:space="preserve"> léger</w:t>
            </w:r>
          </w:p>
          <w:p w:rsidR="00C82215" w:rsidRPr="00AA5537" w:rsidRDefault="00C82215" w:rsidP="00004A1E">
            <w:pPr>
              <w:pStyle w:val="Paragraphedeliste"/>
              <w:numPr>
                <w:ilvl w:val="0"/>
                <w:numId w:val="364"/>
              </w:numPr>
              <w:rPr>
                <w:rFonts w:cs="Times New Roman"/>
              </w:rPr>
            </w:pPr>
            <w:r w:rsidRPr="00AA5537">
              <w:rPr>
                <w:rFonts w:cs="Times New Roman"/>
              </w:rPr>
              <w:t>Érythème</w:t>
            </w:r>
          </w:p>
          <w:p w:rsidR="00C82215" w:rsidRPr="00AA74FC" w:rsidRDefault="00C82215" w:rsidP="00004A1E">
            <w:pPr>
              <w:pStyle w:val="Paragraphedeliste"/>
              <w:numPr>
                <w:ilvl w:val="0"/>
                <w:numId w:val="364"/>
              </w:numPr>
              <w:rPr>
                <w:rFonts w:cs="Times New Roman"/>
                <w:highlight w:val="yellow"/>
              </w:rPr>
            </w:pPr>
            <w:r w:rsidRPr="00AA74FC">
              <w:rPr>
                <w:rFonts w:cs="Times New Roman"/>
                <w:highlight w:val="yellow"/>
              </w:rPr>
              <w:t>Sensation de brûlure</w:t>
            </w:r>
          </w:p>
          <w:p w:rsidR="001A711D" w:rsidRPr="00AA74FC" w:rsidRDefault="001A711D" w:rsidP="00004A1E">
            <w:pPr>
              <w:pStyle w:val="Paragraphedeliste"/>
              <w:numPr>
                <w:ilvl w:val="0"/>
                <w:numId w:val="364"/>
              </w:numPr>
              <w:rPr>
                <w:rFonts w:cs="Times New Roman"/>
                <w:highlight w:val="yellow"/>
              </w:rPr>
            </w:pPr>
            <w:r w:rsidRPr="00AA74FC">
              <w:rPr>
                <w:rFonts w:cs="Times New Roman"/>
                <w:highlight w:val="yellow"/>
              </w:rPr>
              <w:t>Tissus atrophiques, sécheresse, érythème au spéculum</w:t>
            </w:r>
          </w:p>
        </w:tc>
      </w:tr>
      <w:tr w:rsidR="004625BE" w:rsidTr="001A711D">
        <w:tc>
          <w:tcPr>
            <w:tcW w:w="3227" w:type="dxa"/>
          </w:tcPr>
          <w:p w:rsidR="004625BE" w:rsidRPr="00AA74FC" w:rsidRDefault="00000E91">
            <w:pPr>
              <w:rPr>
                <w:rFonts w:cs="Times New Roman"/>
                <w:highlight w:val="yellow"/>
              </w:rPr>
            </w:pPr>
            <w:r w:rsidRPr="00AA74FC">
              <w:rPr>
                <w:rFonts w:cs="Times New Roman"/>
                <w:highlight w:val="yellow"/>
              </w:rPr>
              <w:t>Lichen scléreux atrophique (LSA)</w:t>
            </w:r>
          </w:p>
        </w:tc>
        <w:tc>
          <w:tcPr>
            <w:tcW w:w="3685" w:type="dxa"/>
            <w:gridSpan w:val="2"/>
          </w:tcPr>
          <w:p w:rsidR="004625BE" w:rsidRPr="00AA74FC" w:rsidRDefault="00C82215" w:rsidP="00004A1E">
            <w:pPr>
              <w:pStyle w:val="Paragraphedeliste"/>
              <w:numPr>
                <w:ilvl w:val="0"/>
                <w:numId w:val="367"/>
              </w:numPr>
              <w:rPr>
                <w:rFonts w:cs="Times New Roman"/>
                <w:highlight w:val="yellow"/>
              </w:rPr>
            </w:pPr>
            <w:r w:rsidRPr="00AA74FC">
              <w:rPr>
                <w:rFonts w:cs="Times New Roman"/>
                <w:highlight w:val="yellow"/>
              </w:rPr>
              <w:t>Pr</w:t>
            </w:r>
            <w:r w:rsidR="00D44FDF" w:rsidRPr="00AA74FC">
              <w:rPr>
                <w:rFonts w:cs="Times New Roman"/>
                <w:highlight w:val="yellow"/>
              </w:rPr>
              <w:t>édominance ano</w:t>
            </w:r>
            <w:r w:rsidRPr="00AA74FC">
              <w:rPr>
                <w:rFonts w:cs="Times New Roman"/>
                <w:highlight w:val="yellow"/>
              </w:rPr>
              <w:t>génitale</w:t>
            </w:r>
          </w:p>
          <w:p w:rsidR="00C82215" w:rsidRPr="00AA74FC" w:rsidRDefault="00D44FDF" w:rsidP="00004A1E">
            <w:pPr>
              <w:pStyle w:val="Paragraphedeliste"/>
              <w:numPr>
                <w:ilvl w:val="0"/>
                <w:numId w:val="367"/>
              </w:numPr>
              <w:rPr>
                <w:rFonts w:cs="Times New Roman"/>
                <w:highlight w:val="yellow"/>
              </w:rPr>
            </w:pPr>
            <w:r w:rsidRPr="00AA74FC">
              <w:rPr>
                <w:rFonts w:cs="Times New Roman"/>
                <w:highlight w:val="yellow"/>
              </w:rPr>
              <w:t>Pré puberté</w:t>
            </w:r>
            <w:r w:rsidR="00C82215" w:rsidRPr="00AA74FC">
              <w:rPr>
                <w:rFonts w:cs="Times New Roman"/>
                <w:highlight w:val="yellow"/>
              </w:rPr>
              <w:t xml:space="preserve"> et </w:t>
            </w:r>
            <w:r w:rsidRPr="00AA74FC">
              <w:rPr>
                <w:rFonts w:cs="Times New Roman"/>
                <w:highlight w:val="yellow"/>
              </w:rPr>
              <w:t>péri ménopause</w:t>
            </w:r>
            <w:r w:rsidR="00C82215" w:rsidRPr="00AA74FC">
              <w:rPr>
                <w:rFonts w:cs="Times New Roman"/>
                <w:highlight w:val="yellow"/>
              </w:rPr>
              <w:t xml:space="preserve"> (</w:t>
            </w:r>
            <w:r w:rsidRPr="00AA74FC">
              <w:rPr>
                <w:rFonts w:cs="Times New Roman"/>
                <w:highlight w:val="yellow"/>
              </w:rPr>
              <w:t>hypo estrogènes</w:t>
            </w:r>
            <w:r w:rsidR="00C82215" w:rsidRPr="00AA74FC">
              <w:rPr>
                <w:rFonts w:cs="Times New Roman"/>
                <w:highlight w:val="yellow"/>
              </w:rPr>
              <w:t>)</w:t>
            </w:r>
          </w:p>
        </w:tc>
        <w:tc>
          <w:tcPr>
            <w:tcW w:w="4028" w:type="dxa"/>
          </w:tcPr>
          <w:p w:rsidR="001A711D" w:rsidRPr="00AA74FC" w:rsidRDefault="001A711D" w:rsidP="00004A1E">
            <w:pPr>
              <w:pStyle w:val="Paragraphedeliste"/>
              <w:numPr>
                <w:ilvl w:val="0"/>
                <w:numId w:val="364"/>
              </w:numPr>
              <w:rPr>
                <w:rFonts w:cs="Times New Roman"/>
                <w:highlight w:val="yellow"/>
              </w:rPr>
            </w:pPr>
            <w:r w:rsidRPr="00AA74FC">
              <w:rPr>
                <w:rFonts w:cs="Times New Roman"/>
                <w:highlight w:val="yellow"/>
              </w:rPr>
              <w:t>Chronique</w:t>
            </w:r>
          </w:p>
          <w:p w:rsidR="00C82215" w:rsidRPr="00AA5537" w:rsidRDefault="00C82215" w:rsidP="00004A1E">
            <w:pPr>
              <w:pStyle w:val="Paragraphedeliste"/>
              <w:numPr>
                <w:ilvl w:val="0"/>
                <w:numId w:val="364"/>
              </w:numPr>
              <w:rPr>
                <w:rFonts w:cs="Times New Roman"/>
                <w:highlight w:val="yellow"/>
                <w:u w:val="single"/>
              </w:rPr>
            </w:pPr>
            <w:r w:rsidRPr="00AA5537">
              <w:rPr>
                <w:rFonts w:cs="Times New Roman"/>
                <w:highlight w:val="yellow"/>
                <w:u w:val="single"/>
              </w:rPr>
              <w:t>Prurit vulvaire (intense)</w:t>
            </w:r>
          </w:p>
          <w:p w:rsidR="004625BE" w:rsidRPr="00AA74FC" w:rsidRDefault="00C82215" w:rsidP="00004A1E">
            <w:pPr>
              <w:pStyle w:val="Paragraphedeliste"/>
              <w:numPr>
                <w:ilvl w:val="0"/>
                <w:numId w:val="364"/>
              </w:numPr>
              <w:rPr>
                <w:rFonts w:cs="Times New Roman"/>
                <w:highlight w:val="yellow"/>
              </w:rPr>
            </w:pPr>
            <w:r w:rsidRPr="00AA74FC">
              <w:rPr>
                <w:rFonts w:cs="Times New Roman"/>
                <w:highlight w:val="yellow"/>
              </w:rPr>
              <w:t>Prurit anal</w:t>
            </w:r>
          </w:p>
          <w:p w:rsidR="00C82215" w:rsidRPr="00AA5537" w:rsidRDefault="00C82215" w:rsidP="00004A1E">
            <w:pPr>
              <w:pStyle w:val="Paragraphedeliste"/>
              <w:numPr>
                <w:ilvl w:val="0"/>
                <w:numId w:val="364"/>
              </w:numPr>
              <w:rPr>
                <w:rFonts w:cs="Times New Roman"/>
              </w:rPr>
            </w:pPr>
            <w:r w:rsidRPr="00AA5537">
              <w:rPr>
                <w:rFonts w:cs="Times New Roman"/>
              </w:rPr>
              <w:t>Douleur à la défécation</w:t>
            </w:r>
          </w:p>
          <w:p w:rsidR="00C82215" w:rsidRPr="00AA5537" w:rsidRDefault="00C82215" w:rsidP="00004A1E">
            <w:pPr>
              <w:pStyle w:val="Paragraphedeliste"/>
              <w:numPr>
                <w:ilvl w:val="0"/>
                <w:numId w:val="364"/>
              </w:numPr>
              <w:rPr>
                <w:rFonts w:cs="Times New Roman"/>
              </w:rPr>
            </w:pPr>
            <w:r w:rsidRPr="00AA5537">
              <w:rPr>
                <w:rFonts w:cs="Times New Roman"/>
              </w:rPr>
              <w:t>Dyspareunie</w:t>
            </w:r>
          </w:p>
          <w:p w:rsidR="00C82215" w:rsidRPr="00AA74FC" w:rsidRDefault="00C82215" w:rsidP="00004A1E">
            <w:pPr>
              <w:pStyle w:val="Paragraphedeliste"/>
              <w:numPr>
                <w:ilvl w:val="0"/>
                <w:numId w:val="364"/>
              </w:numPr>
              <w:rPr>
                <w:rFonts w:cs="Times New Roman"/>
                <w:highlight w:val="yellow"/>
              </w:rPr>
            </w:pPr>
            <w:r w:rsidRPr="00AA74FC">
              <w:rPr>
                <w:rFonts w:cs="Times New Roman"/>
                <w:highlight w:val="yellow"/>
              </w:rPr>
              <w:t>Papules/plaques blanchâtres</w:t>
            </w:r>
            <w:r w:rsidR="001A711D" w:rsidRPr="00AA74FC">
              <w:rPr>
                <w:rFonts w:cs="Times New Roman"/>
                <w:highlight w:val="yellow"/>
              </w:rPr>
              <w:t>, parfois purpuriques, lichenification 2</w:t>
            </w:r>
            <w:r w:rsidR="001A711D" w:rsidRPr="008C2B08">
              <w:rPr>
                <w:rFonts w:cs="Times New Roman"/>
                <w:highlight w:val="yellow"/>
                <w:vertAlign w:val="superscript"/>
              </w:rPr>
              <w:t>aire</w:t>
            </w:r>
          </w:p>
          <w:p w:rsidR="00C82215" w:rsidRPr="00AA74FC" w:rsidRDefault="001A711D" w:rsidP="00004A1E">
            <w:pPr>
              <w:pStyle w:val="Paragraphedeliste"/>
              <w:numPr>
                <w:ilvl w:val="0"/>
                <w:numId w:val="364"/>
              </w:numPr>
              <w:rPr>
                <w:rFonts w:cs="Times New Roman"/>
                <w:highlight w:val="yellow"/>
              </w:rPr>
            </w:pPr>
            <w:r w:rsidRPr="00AA74FC">
              <w:rPr>
                <w:rFonts w:cs="Times New Roman"/>
                <w:highlight w:val="yellow"/>
              </w:rPr>
              <w:t>Fusion labiale</w:t>
            </w:r>
          </w:p>
        </w:tc>
      </w:tr>
      <w:tr w:rsidR="00000E91" w:rsidTr="001A711D">
        <w:tc>
          <w:tcPr>
            <w:tcW w:w="3227" w:type="dxa"/>
          </w:tcPr>
          <w:p w:rsidR="00000E91" w:rsidRDefault="00C82215">
            <w:pPr>
              <w:rPr>
                <w:rFonts w:cs="Times New Roman"/>
              </w:rPr>
            </w:pPr>
            <w:r>
              <w:rPr>
                <w:rFonts w:cs="Times New Roman"/>
              </w:rPr>
              <w:t>Corps étranger</w:t>
            </w:r>
          </w:p>
        </w:tc>
        <w:tc>
          <w:tcPr>
            <w:tcW w:w="3685" w:type="dxa"/>
            <w:gridSpan w:val="2"/>
          </w:tcPr>
          <w:p w:rsidR="00000E91" w:rsidRPr="006A2FF9" w:rsidRDefault="001A711D" w:rsidP="00004A1E">
            <w:pPr>
              <w:pStyle w:val="Paragraphedeliste"/>
              <w:numPr>
                <w:ilvl w:val="0"/>
                <w:numId w:val="368"/>
              </w:numPr>
              <w:rPr>
                <w:rFonts w:cs="Times New Roman"/>
              </w:rPr>
            </w:pPr>
            <w:r w:rsidRPr="006A2FF9">
              <w:rPr>
                <w:rFonts w:cs="Times New Roman"/>
              </w:rPr>
              <w:t>Papier de toilette</w:t>
            </w:r>
          </w:p>
          <w:p w:rsidR="001A711D" w:rsidRDefault="001A711D" w:rsidP="00004A1E">
            <w:pPr>
              <w:pStyle w:val="Paragraphedeliste"/>
              <w:numPr>
                <w:ilvl w:val="0"/>
                <w:numId w:val="368"/>
              </w:numPr>
              <w:rPr>
                <w:rFonts w:cs="Times New Roman"/>
              </w:rPr>
            </w:pPr>
            <w:r w:rsidRPr="006A2FF9">
              <w:rPr>
                <w:rFonts w:cs="Times New Roman"/>
              </w:rPr>
              <w:t>Tampons</w:t>
            </w:r>
          </w:p>
          <w:p w:rsidR="00485776" w:rsidRPr="006A2FF9" w:rsidRDefault="00485776" w:rsidP="00004A1E">
            <w:pPr>
              <w:pStyle w:val="Paragraphedeliste"/>
              <w:numPr>
                <w:ilvl w:val="0"/>
                <w:numId w:val="368"/>
              </w:numPr>
              <w:rPr>
                <w:rFonts w:cs="Times New Roman"/>
              </w:rPr>
            </w:pPr>
            <w:r>
              <w:rPr>
                <w:rFonts w:cs="Times New Roman"/>
              </w:rPr>
              <w:t>Pessaires</w:t>
            </w:r>
          </w:p>
        </w:tc>
        <w:tc>
          <w:tcPr>
            <w:tcW w:w="4028" w:type="dxa"/>
          </w:tcPr>
          <w:p w:rsidR="00000E91" w:rsidRPr="001A711D" w:rsidRDefault="001A711D" w:rsidP="00004A1E">
            <w:pPr>
              <w:pStyle w:val="Paragraphedeliste"/>
              <w:numPr>
                <w:ilvl w:val="0"/>
                <w:numId w:val="365"/>
              </w:numPr>
              <w:rPr>
                <w:rFonts w:cs="Times New Roman"/>
              </w:rPr>
            </w:pPr>
            <w:r w:rsidRPr="001A711D">
              <w:rPr>
                <w:rFonts w:cs="Times New Roman"/>
              </w:rPr>
              <w:t>Prurit</w:t>
            </w:r>
          </w:p>
        </w:tc>
      </w:tr>
      <w:tr w:rsidR="00000E91" w:rsidTr="001A711D">
        <w:tc>
          <w:tcPr>
            <w:tcW w:w="3227" w:type="dxa"/>
          </w:tcPr>
          <w:p w:rsidR="00000E91" w:rsidRDefault="00C82215">
            <w:pPr>
              <w:rPr>
                <w:rFonts w:cs="Times New Roman"/>
              </w:rPr>
            </w:pPr>
            <w:r>
              <w:rPr>
                <w:rFonts w:cs="Times New Roman"/>
              </w:rPr>
              <w:t>Vulvovaginite non-spécifique</w:t>
            </w:r>
          </w:p>
        </w:tc>
        <w:tc>
          <w:tcPr>
            <w:tcW w:w="3685" w:type="dxa"/>
            <w:gridSpan w:val="2"/>
          </w:tcPr>
          <w:p w:rsidR="00000E91" w:rsidRDefault="001A711D" w:rsidP="00004A1E">
            <w:pPr>
              <w:pStyle w:val="Paragraphedeliste"/>
              <w:numPr>
                <w:ilvl w:val="0"/>
                <w:numId w:val="369"/>
              </w:numPr>
              <w:rPr>
                <w:rFonts w:cs="Times New Roman"/>
              </w:rPr>
            </w:pPr>
            <w:r w:rsidRPr="006A2FF9">
              <w:rPr>
                <w:rFonts w:cs="Times New Roman"/>
              </w:rPr>
              <w:t xml:space="preserve">Fréquent en </w:t>
            </w:r>
            <w:r w:rsidR="00D44FDF" w:rsidRPr="006A2FF9">
              <w:rPr>
                <w:rFonts w:cs="Times New Roman"/>
              </w:rPr>
              <w:t>pré puberté</w:t>
            </w:r>
          </w:p>
          <w:p w:rsidR="002A571E" w:rsidRPr="006A2FF9" w:rsidRDefault="002A571E" w:rsidP="00004A1E">
            <w:pPr>
              <w:pStyle w:val="Paragraphedeliste"/>
              <w:numPr>
                <w:ilvl w:val="0"/>
                <w:numId w:val="369"/>
              </w:numPr>
              <w:rPr>
                <w:rFonts w:cs="Times New Roman"/>
              </w:rPr>
            </w:pPr>
            <w:r>
              <w:rPr>
                <w:rFonts w:cs="Times New Roman"/>
              </w:rPr>
              <w:t>Sous-vêtements serrés, irritants</w:t>
            </w:r>
          </w:p>
        </w:tc>
        <w:tc>
          <w:tcPr>
            <w:tcW w:w="4028" w:type="dxa"/>
          </w:tcPr>
          <w:p w:rsidR="00000E91" w:rsidRPr="001A711D" w:rsidRDefault="001A711D" w:rsidP="00004A1E">
            <w:pPr>
              <w:pStyle w:val="Paragraphedeliste"/>
              <w:numPr>
                <w:ilvl w:val="0"/>
                <w:numId w:val="365"/>
              </w:numPr>
              <w:rPr>
                <w:rFonts w:cs="Times New Roman"/>
              </w:rPr>
            </w:pPr>
            <w:r w:rsidRPr="001A711D">
              <w:rPr>
                <w:rFonts w:cs="Times New Roman"/>
              </w:rPr>
              <w:t>Prurit</w:t>
            </w:r>
          </w:p>
          <w:p w:rsidR="001A711D" w:rsidRPr="001A711D" w:rsidRDefault="001A711D" w:rsidP="00004A1E">
            <w:pPr>
              <w:pStyle w:val="Paragraphedeliste"/>
              <w:numPr>
                <w:ilvl w:val="0"/>
                <w:numId w:val="365"/>
              </w:numPr>
              <w:rPr>
                <w:rFonts w:cs="Times New Roman"/>
              </w:rPr>
            </w:pPr>
            <w:r w:rsidRPr="001A711D">
              <w:rPr>
                <w:rFonts w:cs="Times New Roman"/>
              </w:rPr>
              <w:t>Écoulement</w:t>
            </w:r>
          </w:p>
          <w:p w:rsidR="001A711D" w:rsidRPr="001A711D" w:rsidRDefault="001A711D" w:rsidP="00004A1E">
            <w:pPr>
              <w:pStyle w:val="Paragraphedeliste"/>
              <w:numPr>
                <w:ilvl w:val="0"/>
                <w:numId w:val="365"/>
              </w:numPr>
              <w:rPr>
                <w:rFonts w:cs="Times New Roman"/>
              </w:rPr>
            </w:pPr>
            <w:r w:rsidRPr="001A711D">
              <w:rPr>
                <w:rFonts w:cs="Times New Roman"/>
              </w:rPr>
              <w:t>Éryth</w:t>
            </w:r>
            <w:r w:rsidR="00D44FDF">
              <w:rPr>
                <w:rFonts w:cs="Times New Roman"/>
              </w:rPr>
              <w:t>ème vulv</w:t>
            </w:r>
            <w:r w:rsidRPr="001A711D">
              <w:rPr>
                <w:rFonts w:cs="Times New Roman"/>
              </w:rPr>
              <w:t>aire</w:t>
            </w:r>
          </w:p>
        </w:tc>
      </w:tr>
      <w:tr w:rsidR="004625BE" w:rsidTr="002479F6">
        <w:tc>
          <w:tcPr>
            <w:tcW w:w="10940" w:type="dxa"/>
            <w:gridSpan w:val="4"/>
            <w:shd w:val="clear" w:color="auto" w:fill="B2A1C7" w:themeFill="accent4" w:themeFillTint="99"/>
          </w:tcPr>
          <w:p w:rsidR="004625BE" w:rsidRDefault="004625BE" w:rsidP="004625BE">
            <w:pPr>
              <w:jc w:val="center"/>
              <w:rPr>
                <w:rFonts w:cs="Times New Roman"/>
              </w:rPr>
            </w:pPr>
            <w:r>
              <w:rPr>
                <w:rFonts w:cs="Times New Roman"/>
              </w:rPr>
              <w:t>Causes infectieuses</w:t>
            </w:r>
          </w:p>
        </w:tc>
      </w:tr>
      <w:tr w:rsidR="004625BE" w:rsidTr="001A711D">
        <w:tc>
          <w:tcPr>
            <w:tcW w:w="3227" w:type="dxa"/>
          </w:tcPr>
          <w:p w:rsidR="004625BE" w:rsidRPr="005A7D5A" w:rsidRDefault="004625BE" w:rsidP="004625BE">
            <w:pPr>
              <w:jc w:val="center"/>
              <w:rPr>
                <w:rFonts w:cs="Times New Roman"/>
                <w:i/>
              </w:rPr>
            </w:pPr>
            <w:r w:rsidRPr="005A7D5A">
              <w:rPr>
                <w:rFonts w:cs="Times New Roman"/>
                <w:i/>
              </w:rPr>
              <w:t>Diagnostic</w:t>
            </w:r>
          </w:p>
        </w:tc>
        <w:tc>
          <w:tcPr>
            <w:tcW w:w="3685" w:type="dxa"/>
            <w:gridSpan w:val="2"/>
          </w:tcPr>
          <w:p w:rsidR="004625BE" w:rsidRPr="005A7D5A" w:rsidRDefault="004625BE" w:rsidP="00A3394A">
            <w:pPr>
              <w:jc w:val="center"/>
              <w:rPr>
                <w:rFonts w:cs="Times New Roman"/>
                <w:i/>
              </w:rPr>
            </w:pPr>
            <w:r w:rsidRPr="005A7D5A">
              <w:rPr>
                <w:rFonts w:cs="Times New Roman"/>
                <w:i/>
              </w:rPr>
              <w:t>Facteurs déclencheurs</w:t>
            </w:r>
            <w:r w:rsidR="00A3394A">
              <w:rPr>
                <w:rFonts w:cs="Times New Roman"/>
                <w:i/>
              </w:rPr>
              <w:t xml:space="preserve"> ou de risques</w:t>
            </w:r>
          </w:p>
        </w:tc>
        <w:tc>
          <w:tcPr>
            <w:tcW w:w="4028" w:type="dxa"/>
          </w:tcPr>
          <w:p w:rsidR="004625BE" w:rsidRPr="005A7D5A" w:rsidRDefault="004625BE" w:rsidP="004625BE">
            <w:pPr>
              <w:jc w:val="center"/>
              <w:rPr>
                <w:rFonts w:cs="Times New Roman"/>
                <w:i/>
              </w:rPr>
            </w:pPr>
            <w:r w:rsidRPr="005A7D5A">
              <w:rPr>
                <w:rFonts w:cs="Times New Roman"/>
                <w:i/>
              </w:rPr>
              <w:t>Manifestations cliniques</w:t>
            </w:r>
          </w:p>
        </w:tc>
      </w:tr>
      <w:tr w:rsidR="00C27CA8" w:rsidTr="001A711D">
        <w:tc>
          <w:tcPr>
            <w:tcW w:w="3227" w:type="dxa"/>
          </w:tcPr>
          <w:p w:rsidR="00C27CA8" w:rsidRDefault="00C27CA8" w:rsidP="00037BA5">
            <w:pPr>
              <w:rPr>
                <w:rFonts w:cs="Times New Roman"/>
              </w:rPr>
            </w:pPr>
            <w:r>
              <w:rPr>
                <w:rFonts w:cs="Times New Roman"/>
              </w:rPr>
              <w:t>Maladie inflammatoire pelvienne</w:t>
            </w:r>
          </w:p>
        </w:tc>
        <w:tc>
          <w:tcPr>
            <w:tcW w:w="3685" w:type="dxa"/>
            <w:gridSpan w:val="2"/>
          </w:tcPr>
          <w:p w:rsidR="00C27CA8" w:rsidRDefault="00C27CA8" w:rsidP="00037BA5">
            <w:pPr>
              <w:rPr>
                <w:rFonts w:cs="Times New Roman"/>
              </w:rPr>
            </w:pPr>
            <w:r>
              <w:rPr>
                <w:rFonts w:cs="Times New Roman"/>
              </w:rPr>
              <w:t xml:space="preserve">Voir </w:t>
            </w:r>
            <w:r w:rsidRPr="00AF50D0">
              <w:rPr>
                <w:rFonts w:cs="Times New Roman"/>
                <w:i/>
              </w:rPr>
              <w:t>Douleur pelvienne CMC 73</w:t>
            </w:r>
          </w:p>
        </w:tc>
        <w:tc>
          <w:tcPr>
            <w:tcW w:w="4028" w:type="dxa"/>
          </w:tcPr>
          <w:p w:rsidR="00C27CA8" w:rsidRDefault="00C27CA8">
            <w:pPr>
              <w:rPr>
                <w:rFonts w:cs="Times New Roman"/>
              </w:rPr>
            </w:pPr>
          </w:p>
        </w:tc>
      </w:tr>
      <w:tr w:rsidR="00C27CA8" w:rsidTr="001A711D">
        <w:tc>
          <w:tcPr>
            <w:tcW w:w="3227" w:type="dxa"/>
          </w:tcPr>
          <w:p w:rsidR="00C27CA8" w:rsidRDefault="00C27CA8">
            <w:pPr>
              <w:rPr>
                <w:rFonts w:cs="Times New Roman"/>
              </w:rPr>
            </w:pPr>
            <w:r w:rsidRPr="00D96160">
              <w:rPr>
                <w:rFonts w:cs="Times New Roman"/>
                <w:highlight w:val="yellow"/>
              </w:rPr>
              <w:t xml:space="preserve">Trichomonase </w:t>
            </w:r>
          </w:p>
        </w:tc>
        <w:tc>
          <w:tcPr>
            <w:tcW w:w="3685" w:type="dxa"/>
            <w:gridSpan w:val="2"/>
          </w:tcPr>
          <w:p w:rsidR="00C27CA8" w:rsidRPr="004F2BE9" w:rsidRDefault="00C27CA8" w:rsidP="004F2BE9">
            <w:pPr>
              <w:rPr>
                <w:rFonts w:cs="Times New Roman"/>
                <w:i/>
              </w:rPr>
            </w:pPr>
            <w:r w:rsidRPr="00EE05FC">
              <w:rPr>
                <w:rFonts w:cs="Times New Roman"/>
                <w:i/>
                <w:highlight w:val="yellow"/>
              </w:rPr>
              <w:t>Trichomonas vaginalis</w:t>
            </w:r>
          </w:p>
          <w:p w:rsidR="00C27CA8" w:rsidRPr="00655391" w:rsidRDefault="00C27CA8" w:rsidP="00004A1E">
            <w:pPr>
              <w:pStyle w:val="Paragraphedeliste"/>
              <w:numPr>
                <w:ilvl w:val="0"/>
                <w:numId w:val="372"/>
              </w:numPr>
              <w:rPr>
                <w:rFonts w:cs="Times New Roman"/>
              </w:rPr>
            </w:pPr>
            <w:r w:rsidRPr="00655391">
              <w:rPr>
                <w:rFonts w:cs="Times New Roman"/>
              </w:rPr>
              <w:t>Transmission sexuelle</w:t>
            </w:r>
          </w:p>
        </w:tc>
        <w:tc>
          <w:tcPr>
            <w:tcW w:w="4028" w:type="dxa"/>
          </w:tcPr>
          <w:p w:rsidR="00C27CA8" w:rsidRPr="004F2BE9" w:rsidRDefault="00C27CA8" w:rsidP="00004A1E">
            <w:pPr>
              <w:pStyle w:val="Paragraphedeliste"/>
              <w:numPr>
                <w:ilvl w:val="0"/>
                <w:numId w:val="370"/>
              </w:numPr>
              <w:rPr>
                <w:rFonts w:cs="Times New Roman"/>
              </w:rPr>
            </w:pPr>
            <w:r w:rsidRPr="004F2BE9">
              <w:rPr>
                <w:rFonts w:cs="Times New Roman"/>
              </w:rPr>
              <w:t>10-50% asymptomatique</w:t>
            </w:r>
          </w:p>
          <w:p w:rsidR="00C27CA8" w:rsidRPr="00D96160" w:rsidRDefault="00C27CA8" w:rsidP="00004A1E">
            <w:pPr>
              <w:pStyle w:val="Paragraphedeliste"/>
              <w:numPr>
                <w:ilvl w:val="0"/>
                <w:numId w:val="370"/>
              </w:numPr>
              <w:rPr>
                <w:rFonts w:cs="Times New Roman"/>
                <w:highlight w:val="yellow"/>
              </w:rPr>
            </w:pPr>
            <w:r w:rsidRPr="00D96160">
              <w:rPr>
                <w:rFonts w:cs="Times New Roman"/>
                <w:highlight w:val="yellow"/>
              </w:rPr>
              <w:t>Écoulements beiges, jaunâtre</w:t>
            </w:r>
          </w:p>
          <w:p w:rsidR="00C27CA8" w:rsidRPr="004F2BE9" w:rsidRDefault="00C27CA8" w:rsidP="00004A1E">
            <w:pPr>
              <w:pStyle w:val="Paragraphedeliste"/>
              <w:numPr>
                <w:ilvl w:val="0"/>
                <w:numId w:val="370"/>
              </w:numPr>
              <w:rPr>
                <w:rFonts w:cs="Times New Roman"/>
              </w:rPr>
            </w:pPr>
            <w:r w:rsidRPr="004F2BE9">
              <w:rPr>
                <w:rFonts w:cs="Times New Roman"/>
              </w:rPr>
              <w:t>Parfois odorantes</w:t>
            </w:r>
          </w:p>
          <w:p w:rsidR="00C27CA8" w:rsidRPr="004F2BE9" w:rsidRDefault="00C27CA8" w:rsidP="00004A1E">
            <w:pPr>
              <w:pStyle w:val="Paragraphedeliste"/>
              <w:numPr>
                <w:ilvl w:val="0"/>
                <w:numId w:val="370"/>
              </w:numPr>
              <w:rPr>
                <w:rFonts w:cs="Times New Roman"/>
              </w:rPr>
            </w:pPr>
            <w:r w:rsidRPr="004F2BE9">
              <w:rPr>
                <w:rFonts w:cs="Times New Roman"/>
              </w:rPr>
              <w:t>Érythème vulvaire</w:t>
            </w:r>
          </w:p>
          <w:p w:rsidR="00C27CA8" w:rsidRPr="004F2BE9" w:rsidRDefault="00C27CA8" w:rsidP="00004A1E">
            <w:pPr>
              <w:pStyle w:val="Paragraphedeliste"/>
              <w:numPr>
                <w:ilvl w:val="0"/>
                <w:numId w:val="370"/>
              </w:numPr>
              <w:rPr>
                <w:rFonts w:cs="Times New Roman"/>
              </w:rPr>
            </w:pPr>
            <w:r w:rsidRPr="00D96160">
              <w:rPr>
                <w:rFonts w:cs="Times New Roman"/>
                <w:b/>
                <w:highlight w:val="yellow"/>
              </w:rPr>
              <w:t xml:space="preserve">Col en fraise </w:t>
            </w:r>
            <w:r w:rsidRPr="00D96160">
              <w:rPr>
                <w:rFonts w:cs="Times New Roman"/>
                <w:highlight w:val="yellow"/>
              </w:rPr>
              <w:t>au spéculum</w:t>
            </w:r>
          </w:p>
        </w:tc>
      </w:tr>
      <w:tr w:rsidR="00C27CA8" w:rsidTr="001A711D">
        <w:tc>
          <w:tcPr>
            <w:tcW w:w="3227" w:type="dxa"/>
          </w:tcPr>
          <w:p w:rsidR="00C27CA8" w:rsidRPr="00BF660C" w:rsidRDefault="00C27CA8" w:rsidP="00990D1B">
            <w:pPr>
              <w:rPr>
                <w:rFonts w:cs="Times New Roman"/>
                <w:highlight w:val="yellow"/>
              </w:rPr>
            </w:pPr>
            <w:r w:rsidRPr="00BF660C">
              <w:rPr>
                <w:rFonts w:cs="Times New Roman"/>
                <w:highlight w:val="yellow"/>
              </w:rPr>
              <w:t xml:space="preserve">Candidose vaginale </w:t>
            </w:r>
          </w:p>
          <w:p w:rsidR="00C27CA8" w:rsidRPr="00BF660C" w:rsidRDefault="00C27CA8" w:rsidP="00990D1B">
            <w:pPr>
              <w:rPr>
                <w:rFonts w:cs="Times New Roman"/>
                <w:highlight w:val="yellow"/>
              </w:rPr>
            </w:pPr>
            <w:r w:rsidRPr="00BF660C">
              <w:rPr>
                <w:rFonts w:cs="Times New Roman"/>
                <w:highlight w:val="yellow"/>
              </w:rPr>
              <w:t>(vaginite à Candida)</w:t>
            </w:r>
          </w:p>
        </w:tc>
        <w:tc>
          <w:tcPr>
            <w:tcW w:w="3685" w:type="dxa"/>
            <w:gridSpan w:val="2"/>
          </w:tcPr>
          <w:p w:rsidR="00C27CA8" w:rsidRPr="00BF660C" w:rsidRDefault="00C27CA8">
            <w:pPr>
              <w:rPr>
                <w:rFonts w:cs="Times New Roman"/>
                <w:highlight w:val="yellow"/>
              </w:rPr>
            </w:pPr>
            <w:r w:rsidRPr="00BF660C">
              <w:rPr>
                <w:rFonts w:cs="Times New Roman"/>
                <w:i/>
                <w:highlight w:val="yellow"/>
              </w:rPr>
              <w:t>Candida albicans</w:t>
            </w:r>
            <w:r w:rsidRPr="00BF660C">
              <w:rPr>
                <w:rFonts w:cs="Times New Roman"/>
                <w:highlight w:val="yellow"/>
              </w:rPr>
              <w:t xml:space="preserve"> (surtout)</w:t>
            </w:r>
          </w:p>
          <w:p w:rsidR="00C27CA8" w:rsidRPr="00BF660C" w:rsidRDefault="00C27CA8" w:rsidP="00004A1E">
            <w:pPr>
              <w:pStyle w:val="Paragraphedeliste"/>
              <w:numPr>
                <w:ilvl w:val="0"/>
                <w:numId w:val="371"/>
              </w:numPr>
              <w:rPr>
                <w:rFonts w:cs="Times New Roman"/>
                <w:highlight w:val="yellow"/>
              </w:rPr>
            </w:pPr>
            <w:r w:rsidRPr="00BF660C">
              <w:rPr>
                <w:rFonts w:cs="Times New Roman"/>
                <w:highlight w:val="yellow"/>
              </w:rPr>
              <w:t>Activité sexuelle</w:t>
            </w:r>
            <w:r w:rsidR="002855EF">
              <w:rPr>
                <w:rFonts w:cs="Times New Roman"/>
                <w:highlight w:val="yellow"/>
              </w:rPr>
              <w:t xml:space="preserve"> (pas une ITS)</w:t>
            </w:r>
          </w:p>
          <w:p w:rsidR="00C27CA8" w:rsidRPr="00BF660C" w:rsidRDefault="00C27CA8" w:rsidP="00004A1E">
            <w:pPr>
              <w:pStyle w:val="Paragraphedeliste"/>
              <w:numPr>
                <w:ilvl w:val="0"/>
                <w:numId w:val="371"/>
              </w:numPr>
              <w:rPr>
                <w:rFonts w:cs="Times New Roman"/>
                <w:highlight w:val="yellow"/>
              </w:rPr>
            </w:pPr>
            <w:r w:rsidRPr="00BF660C">
              <w:rPr>
                <w:rFonts w:cs="Times New Roman"/>
                <w:highlight w:val="yellow"/>
              </w:rPr>
              <w:t>Grossesse</w:t>
            </w:r>
            <w:r w:rsidR="000B5C5E">
              <w:rPr>
                <w:rFonts w:cs="Times New Roman"/>
                <w:highlight w:val="yellow"/>
              </w:rPr>
              <w:t>, immunosuppression</w:t>
            </w:r>
          </w:p>
          <w:p w:rsidR="000B5C5E" w:rsidRPr="00BF660C" w:rsidRDefault="000B5C5E" w:rsidP="00004A1E">
            <w:pPr>
              <w:pStyle w:val="Paragraphedeliste"/>
              <w:numPr>
                <w:ilvl w:val="0"/>
                <w:numId w:val="371"/>
              </w:numPr>
              <w:rPr>
                <w:rFonts w:cs="Times New Roman"/>
                <w:highlight w:val="yellow"/>
              </w:rPr>
            </w:pPr>
            <w:r w:rsidRPr="00BF660C">
              <w:rPr>
                <w:rFonts w:cs="Times New Roman"/>
                <w:highlight w:val="yellow"/>
              </w:rPr>
              <w:t>Corticothérapie</w:t>
            </w:r>
            <w:r>
              <w:rPr>
                <w:rFonts w:cs="Times New Roman"/>
                <w:highlight w:val="yellow"/>
              </w:rPr>
              <w:t xml:space="preserve"> </w:t>
            </w:r>
          </w:p>
          <w:p w:rsidR="00C27CA8" w:rsidRPr="00BF660C" w:rsidRDefault="00C27CA8" w:rsidP="00004A1E">
            <w:pPr>
              <w:pStyle w:val="Paragraphedeliste"/>
              <w:numPr>
                <w:ilvl w:val="0"/>
                <w:numId w:val="371"/>
              </w:numPr>
              <w:rPr>
                <w:rFonts w:cs="Times New Roman"/>
                <w:highlight w:val="yellow"/>
              </w:rPr>
            </w:pPr>
            <w:r w:rsidRPr="00BF660C">
              <w:rPr>
                <w:rFonts w:cs="Times New Roman"/>
                <w:highlight w:val="yellow"/>
              </w:rPr>
              <w:t>Prise d’antibiotiques</w:t>
            </w:r>
          </w:p>
          <w:p w:rsidR="00C27CA8" w:rsidRPr="00BF660C" w:rsidRDefault="00C27CA8" w:rsidP="00004A1E">
            <w:pPr>
              <w:pStyle w:val="Paragraphedeliste"/>
              <w:numPr>
                <w:ilvl w:val="0"/>
                <w:numId w:val="371"/>
              </w:numPr>
              <w:rPr>
                <w:rFonts w:cs="Times New Roman"/>
                <w:highlight w:val="yellow"/>
              </w:rPr>
            </w:pPr>
            <w:r w:rsidRPr="00BF660C">
              <w:rPr>
                <w:rFonts w:cs="Times New Roman"/>
                <w:highlight w:val="yellow"/>
              </w:rPr>
              <w:t>DM mal contrôlé</w:t>
            </w:r>
          </w:p>
        </w:tc>
        <w:tc>
          <w:tcPr>
            <w:tcW w:w="4028" w:type="dxa"/>
          </w:tcPr>
          <w:p w:rsidR="00C27CA8" w:rsidRPr="00BF660C" w:rsidRDefault="00C27CA8" w:rsidP="00004A1E">
            <w:pPr>
              <w:pStyle w:val="Paragraphedeliste"/>
              <w:numPr>
                <w:ilvl w:val="0"/>
                <w:numId w:val="371"/>
              </w:numPr>
              <w:rPr>
                <w:rFonts w:cs="Times New Roman"/>
                <w:highlight w:val="yellow"/>
              </w:rPr>
            </w:pPr>
            <w:r w:rsidRPr="00BF660C">
              <w:rPr>
                <w:rFonts w:cs="Times New Roman"/>
                <w:highlight w:val="yellow"/>
              </w:rPr>
              <w:t>20% asymptomatique</w:t>
            </w:r>
          </w:p>
          <w:p w:rsidR="00C27CA8" w:rsidRPr="00BF660C" w:rsidRDefault="00C27CA8" w:rsidP="00004A1E">
            <w:pPr>
              <w:pStyle w:val="Paragraphedeliste"/>
              <w:numPr>
                <w:ilvl w:val="0"/>
                <w:numId w:val="371"/>
              </w:numPr>
              <w:rPr>
                <w:rFonts w:cs="Times New Roman"/>
                <w:highlight w:val="yellow"/>
              </w:rPr>
            </w:pPr>
            <w:r w:rsidRPr="00BF660C">
              <w:rPr>
                <w:rFonts w:cs="Times New Roman"/>
                <w:highlight w:val="yellow"/>
              </w:rPr>
              <w:t>Leucorrhée blanche / jaunâtre (légère)</w:t>
            </w:r>
          </w:p>
          <w:p w:rsidR="00C27CA8" w:rsidRPr="00BF660C" w:rsidRDefault="00C27CA8" w:rsidP="00004A1E">
            <w:pPr>
              <w:pStyle w:val="Paragraphedeliste"/>
              <w:numPr>
                <w:ilvl w:val="0"/>
                <w:numId w:val="371"/>
              </w:numPr>
              <w:rPr>
                <w:rFonts w:cs="Times New Roman"/>
                <w:highlight w:val="yellow"/>
              </w:rPr>
            </w:pPr>
            <w:r w:rsidRPr="00BF660C">
              <w:rPr>
                <w:rFonts w:cs="Times New Roman"/>
                <w:highlight w:val="yellow"/>
              </w:rPr>
              <w:t>Aspect en «fromage cottage»</w:t>
            </w:r>
          </w:p>
          <w:p w:rsidR="00C27CA8" w:rsidRPr="00BF660C" w:rsidRDefault="00C27CA8" w:rsidP="00004A1E">
            <w:pPr>
              <w:pStyle w:val="Paragraphedeliste"/>
              <w:numPr>
                <w:ilvl w:val="0"/>
                <w:numId w:val="371"/>
              </w:numPr>
              <w:rPr>
                <w:rFonts w:cs="Times New Roman"/>
                <w:highlight w:val="yellow"/>
              </w:rPr>
            </w:pPr>
            <w:r w:rsidRPr="00BF660C">
              <w:rPr>
                <w:rFonts w:cs="Times New Roman"/>
                <w:highlight w:val="yellow"/>
              </w:rPr>
              <w:t>Prurit vulvaire</w:t>
            </w:r>
          </w:p>
          <w:p w:rsidR="00C27CA8" w:rsidRPr="00BF660C" w:rsidRDefault="00C27CA8" w:rsidP="00004A1E">
            <w:pPr>
              <w:pStyle w:val="Paragraphedeliste"/>
              <w:numPr>
                <w:ilvl w:val="0"/>
                <w:numId w:val="371"/>
              </w:numPr>
              <w:rPr>
                <w:rFonts w:cs="Times New Roman"/>
                <w:highlight w:val="yellow"/>
              </w:rPr>
            </w:pPr>
            <w:r w:rsidRPr="00BF660C">
              <w:rPr>
                <w:rFonts w:cs="Times New Roman"/>
                <w:highlight w:val="yellow"/>
              </w:rPr>
              <w:t>Érythème, œdème</w:t>
            </w:r>
          </w:p>
          <w:p w:rsidR="00C27CA8" w:rsidRPr="00BF660C" w:rsidRDefault="00C27CA8" w:rsidP="00004A1E">
            <w:pPr>
              <w:pStyle w:val="Paragraphedeliste"/>
              <w:numPr>
                <w:ilvl w:val="0"/>
                <w:numId w:val="371"/>
              </w:numPr>
              <w:rPr>
                <w:rFonts w:cs="Times New Roman"/>
                <w:highlight w:val="yellow"/>
              </w:rPr>
            </w:pPr>
            <w:r w:rsidRPr="00BF660C">
              <w:rPr>
                <w:rFonts w:cs="Times New Roman"/>
                <w:highlight w:val="yellow"/>
              </w:rPr>
              <w:t>Parfois dysurie</w:t>
            </w:r>
          </w:p>
        </w:tc>
      </w:tr>
      <w:tr w:rsidR="00C27CA8" w:rsidTr="001A711D">
        <w:tc>
          <w:tcPr>
            <w:tcW w:w="3227" w:type="dxa"/>
          </w:tcPr>
          <w:p w:rsidR="00C27CA8" w:rsidRPr="00BF660C" w:rsidRDefault="00C27CA8">
            <w:pPr>
              <w:rPr>
                <w:rFonts w:cs="Times New Roman"/>
                <w:highlight w:val="yellow"/>
              </w:rPr>
            </w:pPr>
            <w:r w:rsidRPr="00BF660C">
              <w:rPr>
                <w:rFonts w:cs="Times New Roman"/>
                <w:highlight w:val="yellow"/>
              </w:rPr>
              <w:t>Vaginose bactérienne</w:t>
            </w:r>
          </w:p>
        </w:tc>
        <w:tc>
          <w:tcPr>
            <w:tcW w:w="3685" w:type="dxa"/>
            <w:gridSpan w:val="2"/>
          </w:tcPr>
          <w:p w:rsidR="00C27CA8" w:rsidRPr="00BF660C" w:rsidRDefault="00C27CA8" w:rsidP="00990D1B">
            <w:pPr>
              <w:rPr>
                <w:rFonts w:cs="Times New Roman"/>
                <w:highlight w:val="yellow"/>
              </w:rPr>
            </w:pPr>
            <w:r w:rsidRPr="00BF660C">
              <w:rPr>
                <w:rFonts w:cs="Times New Roman"/>
                <w:i/>
                <w:highlight w:val="yellow"/>
              </w:rPr>
              <w:t>Gardnerella vaginalis</w:t>
            </w:r>
            <w:r w:rsidRPr="00BF660C">
              <w:rPr>
                <w:rFonts w:cs="Times New Roman"/>
                <w:highlight w:val="yellow"/>
              </w:rPr>
              <w:t xml:space="preserve"> (surtout)</w:t>
            </w:r>
          </w:p>
          <w:p w:rsidR="00C27CA8" w:rsidRPr="00BF660C" w:rsidRDefault="00C27CA8" w:rsidP="00004A1E">
            <w:pPr>
              <w:pStyle w:val="Paragraphedeliste"/>
              <w:numPr>
                <w:ilvl w:val="0"/>
                <w:numId w:val="373"/>
              </w:numPr>
              <w:rPr>
                <w:rFonts w:cs="Times New Roman"/>
                <w:highlight w:val="yellow"/>
              </w:rPr>
            </w:pPr>
            <w:r w:rsidRPr="00BF660C">
              <w:rPr>
                <w:rFonts w:cs="Times New Roman"/>
                <w:highlight w:val="yellow"/>
              </w:rPr>
              <w:t>Débalancement de la flore vaginale</w:t>
            </w:r>
          </w:p>
        </w:tc>
        <w:tc>
          <w:tcPr>
            <w:tcW w:w="4028" w:type="dxa"/>
          </w:tcPr>
          <w:p w:rsidR="00C27CA8" w:rsidRPr="00BF660C" w:rsidRDefault="00C27CA8" w:rsidP="00004A1E">
            <w:pPr>
              <w:pStyle w:val="Paragraphedeliste"/>
              <w:numPr>
                <w:ilvl w:val="0"/>
                <w:numId w:val="373"/>
              </w:numPr>
              <w:rPr>
                <w:rFonts w:cs="Times New Roman"/>
                <w:highlight w:val="yellow"/>
              </w:rPr>
            </w:pPr>
            <w:r w:rsidRPr="00BF660C">
              <w:rPr>
                <w:rFonts w:cs="Times New Roman"/>
                <w:highlight w:val="yellow"/>
              </w:rPr>
              <w:t>Leucorrhée homogène grise/blanche</w:t>
            </w:r>
          </w:p>
          <w:p w:rsidR="00C27CA8" w:rsidRPr="00BF660C" w:rsidRDefault="00C27CA8" w:rsidP="00004A1E">
            <w:pPr>
              <w:pStyle w:val="Paragraphedeliste"/>
              <w:numPr>
                <w:ilvl w:val="0"/>
                <w:numId w:val="373"/>
              </w:numPr>
              <w:rPr>
                <w:rFonts w:cs="Times New Roman"/>
                <w:highlight w:val="yellow"/>
              </w:rPr>
            </w:pPr>
            <w:r w:rsidRPr="00BF660C">
              <w:rPr>
                <w:rFonts w:cs="Times New Roman"/>
                <w:highlight w:val="yellow"/>
              </w:rPr>
              <w:t>Odeur de poisson (</w:t>
            </w:r>
            <w:r w:rsidRPr="00BF660C">
              <w:rPr>
                <w:rFonts w:ascii="Century Gothic" w:hAnsi="Century Gothic" w:cs="Times New Roman"/>
                <w:highlight w:val="yellow"/>
              </w:rPr>
              <w:t>↑</w:t>
            </w:r>
            <w:r w:rsidRPr="00BF660C">
              <w:rPr>
                <w:rFonts w:cs="Times New Roman"/>
                <w:highlight w:val="yellow"/>
              </w:rPr>
              <w:t xml:space="preserve"> par coït)</w:t>
            </w:r>
          </w:p>
          <w:p w:rsidR="00C27CA8" w:rsidRPr="00BF660C" w:rsidRDefault="00C27CA8" w:rsidP="00004A1E">
            <w:pPr>
              <w:pStyle w:val="Paragraphedeliste"/>
              <w:numPr>
                <w:ilvl w:val="0"/>
                <w:numId w:val="373"/>
              </w:numPr>
              <w:rPr>
                <w:rFonts w:cs="Times New Roman"/>
                <w:highlight w:val="yellow"/>
              </w:rPr>
            </w:pPr>
            <w:r w:rsidRPr="00BF660C">
              <w:rPr>
                <w:rFonts w:cs="Times New Roman"/>
                <w:highlight w:val="yellow"/>
              </w:rPr>
              <w:t>Absence d’érythème ou de prurit</w:t>
            </w:r>
          </w:p>
        </w:tc>
      </w:tr>
      <w:tr w:rsidR="00C27CA8" w:rsidTr="001A711D">
        <w:tc>
          <w:tcPr>
            <w:tcW w:w="3227" w:type="dxa"/>
          </w:tcPr>
          <w:p w:rsidR="00C27CA8" w:rsidRDefault="00C27CA8" w:rsidP="00037BA5">
            <w:pPr>
              <w:rPr>
                <w:rFonts w:cs="Times New Roman"/>
              </w:rPr>
            </w:pPr>
            <w:r w:rsidRPr="00762487">
              <w:rPr>
                <w:rFonts w:cs="Times New Roman"/>
                <w:highlight w:val="yellow"/>
              </w:rPr>
              <w:t>Chlamydia</w:t>
            </w:r>
          </w:p>
        </w:tc>
        <w:tc>
          <w:tcPr>
            <w:tcW w:w="3685" w:type="dxa"/>
            <w:gridSpan w:val="2"/>
          </w:tcPr>
          <w:p w:rsidR="00120561" w:rsidRPr="00807F44" w:rsidRDefault="00120561" w:rsidP="00990D1B">
            <w:pPr>
              <w:rPr>
                <w:rFonts w:cs="Times New Roman"/>
                <w:i/>
              </w:rPr>
            </w:pPr>
            <w:r w:rsidRPr="00807F44">
              <w:rPr>
                <w:rFonts w:cs="Times New Roman"/>
                <w:i/>
              </w:rPr>
              <w:t>Chlamydia trachomatis</w:t>
            </w:r>
          </w:p>
          <w:p w:rsidR="00120561" w:rsidRPr="00807F44" w:rsidRDefault="00807F44" w:rsidP="00004A1E">
            <w:pPr>
              <w:pStyle w:val="Paragraphedeliste"/>
              <w:numPr>
                <w:ilvl w:val="0"/>
                <w:numId w:val="374"/>
              </w:numPr>
              <w:rPr>
                <w:rFonts w:cs="Times New Roman"/>
              </w:rPr>
            </w:pPr>
            <w:r>
              <w:rPr>
                <w:rFonts w:cs="Times New Roman"/>
              </w:rPr>
              <w:t xml:space="preserve">Prise de COC </w:t>
            </w:r>
            <w:r w:rsidR="00485776">
              <w:rPr>
                <w:rFonts w:cs="Times New Roman"/>
              </w:rPr>
              <w:t>concomitante</w:t>
            </w:r>
          </w:p>
          <w:p w:rsidR="00120561" w:rsidRPr="00807F44" w:rsidRDefault="00120561" w:rsidP="00004A1E">
            <w:pPr>
              <w:pStyle w:val="Paragraphedeliste"/>
              <w:numPr>
                <w:ilvl w:val="0"/>
                <w:numId w:val="374"/>
              </w:numPr>
              <w:rPr>
                <w:rFonts w:cs="Times New Roman"/>
              </w:rPr>
            </w:pPr>
            <w:r w:rsidRPr="00807F44">
              <w:rPr>
                <w:rFonts w:cs="Times New Roman"/>
              </w:rPr>
              <w:t xml:space="preserve">ATCD </w:t>
            </w:r>
            <w:r w:rsidR="007B5305">
              <w:rPr>
                <w:rFonts w:cs="Times New Roman"/>
              </w:rPr>
              <w:t>d</w:t>
            </w:r>
            <w:r w:rsidRPr="00807F44">
              <w:rPr>
                <w:rFonts w:cs="Times New Roman"/>
              </w:rPr>
              <w:t>’ITS</w:t>
            </w:r>
          </w:p>
          <w:p w:rsidR="00120561" w:rsidRPr="00485776" w:rsidRDefault="00120561" w:rsidP="00004A1E">
            <w:pPr>
              <w:pStyle w:val="Paragraphedeliste"/>
              <w:numPr>
                <w:ilvl w:val="0"/>
                <w:numId w:val="374"/>
              </w:numPr>
              <w:rPr>
                <w:rFonts w:cs="Times New Roman"/>
                <w:highlight w:val="yellow"/>
              </w:rPr>
            </w:pPr>
            <w:r w:rsidRPr="00485776">
              <w:rPr>
                <w:rFonts w:cs="Times New Roman"/>
                <w:highlight w:val="yellow"/>
              </w:rPr>
              <w:t>Contact avec personne infectée</w:t>
            </w:r>
          </w:p>
          <w:p w:rsidR="00120561" w:rsidRPr="00485776" w:rsidRDefault="00120561" w:rsidP="00004A1E">
            <w:pPr>
              <w:pStyle w:val="Paragraphedeliste"/>
              <w:numPr>
                <w:ilvl w:val="0"/>
                <w:numId w:val="374"/>
              </w:numPr>
              <w:rPr>
                <w:rFonts w:cs="Times New Roman"/>
                <w:highlight w:val="yellow"/>
              </w:rPr>
            </w:pPr>
            <w:r w:rsidRPr="00485776">
              <w:rPr>
                <w:rFonts w:cs="Times New Roman"/>
                <w:highlight w:val="yellow"/>
              </w:rPr>
              <w:t>Partenaires sexuels multiples</w:t>
            </w:r>
          </w:p>
          <w:p w:rsidR="00120561" w:rsidRPr="00485776" w:rsidRDefault="00120561" w:rsidP="00004A1E">
            <w:pPr>
              <w:pStyle w:val="Paragraphedeliste"/>
              <w:numPr>
                <w:ilvl w:val="0"/>
                <w:numId w:val="374"/>
              </w:numPr>
              <w:rPr>
                <w:rFonts w:cs="Times New Roman"/>
                <w:highlight w:val="yellow"/>
              </w:rPr>
            </w:pPr>
            <w:r w:rsidRPr="00485776">
              <w:rPr>
                <w:rFonts w:cs="Times New Roman"/>
                <w:highlight w:val="yellow"/>
              </w:rPr>
              <w:t xml:space="preserve">Nouveau partenaire </w:t>
            </w:r>
            <w:r w:rsidRPr="00485776">
              <w:rPr>
                <w:rFonts w:ascii="Century Gothic" w:hAnsi="Century Gothic" w:cs="Times New Roman"/>
                <w:highlight w:val="yellow"/>
              </w:rPr>
              <w:t>&lt;</w:t>
            </w:r>
            <w:r w:rsidRPr="00485776">
              <w:rPr>
                <w:rFonts w:cs="Times New Roman"/>
                <w:highlight w:val="yellow"/>
              </w:rPr>
              <w:t xml:space="preserve"> 3 mois</w:t>
            </w:r>
          </w:p>
          <w:p w:rsidR="00120561" w:rsidRPr="00485776" w:rsidRDefault="00807F44" w:rsidP="00004A1E">
            <w:pPr>
              <w:pStyle w:val="Paragraphedeliste"/>
              <w:numPr>
                <w:ilvl w:val="0"/>
                <w:numId w:val="374"/>
              </w:numPr>
              <w:rPr>
                <w:rFonts w:cs="Times New Roman"/>
                <w:highlight w:val="yellow"/>
              </w:rPr>
            </w:pPr>
            <w:r w:rsidRPr="00485776">
              <w:rPr>
                <w:rFonts w:cs="Times New Roman"/>
                <w:highlight w:val="yellow"/>
              </w:rPr>
              <w:t>Absence de protection (condom)</w:t>
            </w:r>
          </w:p>
          <w:p w:rsidR="00807F44" w:rsidRPr="00807F44" w:rsidRDefault="00807F44" w:rsidP="00004A1E">
            <w:pPr>
              <w:pStyle w:val="Paragraphedeliste"/>
              <w:numPr>
                <w:ilvl w:val="0"/>
                <w:numId w:val="374"/>
              </w:numPr>
              <w:rPr>
                <w:rFonts w:cs="Times New Roman"/>
                <w:i/>
              </w:rPr>
            </w:pPr>
            <w:r w:rsidRPr="00807F44">
              <w:rPr>
                <w:rFonts w:cs="Times New Roman"/>
              </w:rPr>
              <w:t>Être dans la rue (UDIV, SDF)</w:t>
            </w:r>
          </w:p>
        </w:tc>
        <w:tc>
          <w:tcPr>
            <w:tcW w:w="4028" w:type="dxa"/>
          </w:tcPr>
          <w:p w:rsidR="00C27CA8" w:rsidRDefault="00120561" w:rsidP="00004A1E">
            <w:pPr>
              <w:pStyle w:val="Paragraphedeliste"/>
              <w:numPr>
                <w:ilvl w:val="0"/>
                <w:numId w:val="373"/>
              </w:numPr>
              <w:rPr>
                <w:rFonts w:cs="Times New Roman"/>
                <w:highlight w:val="yellow"/>
              </w:rPr>
            </w:pPr>
            <w:r>
              <w:rPr>
                <w:rFonts w:cs="Times New Roman"/>
                <w:highlight w:val="yellow"/>
              </w:rPr>
              <w:t>Asymptomatique (80%)</w:t>
            </w:r>
          </w:p>
          <w:p w:rsidR="00120561" w:rsidRDefault="00120561" w:rsidP="00004A1E">
            <w:pPr>
              <w:pStyle w:val="Paragraphedeliste"/>
              <w:numPr>
                <w:ilvl w:val="0"/>
                <w:numId w:val="373"/>
              </w:numPr>
              <w:rPr>
                <w:rFonts w:cs="Times New Roman"/>
                <w:highlight w:val="yellow"/>
              </w:rPr>
            </w:pPr>
            <w:r>
              <w:rPr>
                <w:rFonts w:cs="Times New Roman"/>
                <w:highlight w:val="yellow"/>
              </w:rPr>
              <w:t>Écoulement mucopurulent</w:t>
            </w:r>
          </w:p>
          <w:p w:rsidR="00120561" w:rsidRDefault="00120561" w:rsidP="00004A1E">
            <w:pPr>
              <w:pStyle w:val="Paragraphedeliste"/>
              <w:numPr>
                <w:ilvl w:val="0"/>
                <w:numId w:val="373"/>
              </w:numPr>
              <w:rPr>
                <w:rFonts w:cs="Times New Roman"/>
                <w:highlight w:val="yellow"/>
              </w:rPr>
            </w:pPr>
            <w:r>
              <w:rPr>
                <w:rFonts w:cs="Times New Roman"/>
                <w:highlight w:val="yellow"/>
              </w:rPr>
              <w:t>Dysurie</w:t>
            </w:r>
          </w:p>
          <w:p w:rsidR="00120561" w:rsidRDefault="00120561" w:rsidP="00004A1E">
            <w:pPr>
              <w:pStyle w:val="Paragraphedeliste"/>
              <w:numPr>
                <w:ilvl w:val="0"/>
                <w:numId w:val="373"/>
              </w:numPr>
              <w:rPr>
                <w:rFonts w:cs="Times New Roman"/>
                <w:highlight w:val="yellow"/>
              </w:rPr>
            </w:pPr>
            <w:r>
              <w:rPr>
                <w:rFonts w:cs="Times New Roman"/>
                <w:highlight w:val="yellow"/>
              </w:rPr>
              <w:t>Saignements post-coïtaux</w:t>
            </w:r>
          </w:p>
          <w:p w:rsidR="00120561" w:rsidRDefault="00131C1A" w:rsidP="00004A1E">
            <w:pPr>
              <w:pStyle w:val="Paragraphedeliste"/>
              <w:numPr>
                <w:ilvl w:val="0"/>
                <w:numId w:val="373"/>
              </w:numPr>
              <w:rPr>
                <w:rFonts w:cs="Times New Roman"/>
                <w:highlight w:val="yellow"/>
              </w:rPr>
            </w:pPr>
            <w:r>
              <w:rPr>
                <w:rFonts w:cs="Times New Roman"/>
                <w:highlight w:val="yellow"/>
              </w:rPr>
              <w:t>Douleur pelvienne</w:t>
            </w:r>
          </w:p>
          <w:p w:rsidR="00561D3C" w:rsidRPr="00BF660C" w:rsidRDefault="00561D3C" w:rsidP="00004A1E">
            <w:pPr>
              <w:pStyle w:val="Paragraphedeliste"/>
              <w:numPr>
                <w:ilvl w:val="0"/>
                <w:numId w:val="373"/>
              </w:numPr>
              <w:rPr>
                <w:rFonts w:cs="Times New Roman"/>
                <w:highlight w:val="yellow"/>
              </w:rPr>
            </w:pPr>
            <w:r>
              <w:rPr>
                <w:rFonts w:cs="Times New Roman"/>
                <w:highlight w:val="yellow"/>
              </w:rPr>
              <w:t>Si cervicite : érythème du col</w:t>
            </w:r>
          </w:p>
        </w:tc>
      </w:tr>
      <w:tr w:rsidR="00C27CA8" w:rsidTr="001A711D">
        <w:tc>
          <w:tcPr>
            <w:tcW w:w="3227" w:type="dxa"/>
          </w:tcPr>
          <w:p w:rsidR="00C27CA8" w:rsidRDefault="00C27CA8" w:rsidP="00037BA5">
            <w:pPr>
              <w:rPr>
                <w:rFonts w:cs="Times New Roman"/>
              </w:rPr>
            </w:pPr>
            <w:r w:rsidRPr="00762487">
              <w:rPr>
                <w:rFonts w:cs="Times New Roman"/>
                <w:highlight w:val="yellow"/>
              </w:rPr>
              <w:t>Gonorrhée</w:t>
            </w:r>
          </w:p>
        </w:tc>
        <w:tc>
          <w:tcPr>
            <w:tcW w:w="3685" w:type="dxa"/>
            <w:gridSpan w:val="2"/>
          </w:tcPr>
          <w:p w:rsidR="00C27CA8" w:rsidRDefault="00807F44" w:rsidP="00990D1B">
            <w:pPr>
              <w:rPr>
                <w:rFonts w:cs="Times New Roman"/>
                <w:i/>
              </w:rPr>
            </w:pPr>
            <w:r>
              <w:rPr>
                <w:rFonts w:cs="Times New Roman"/>
                <w:i/>
              </w:rPr>
              <w:t>Neisseria gonorrhoea</w:t>
            </w:r>
          </w:p>
          <w:p w:rsidR="00807F44" w:rsidRPr="00807F44" w:rsidRDefault="00807F44" w:rsidP="00004A1E">
            <w:pPr>
              <w:pStyle w:val="Paragraphedeliste"/>
              <w:numPr>
                <w:ilvl w:val="0"/>
                <w:numId w:val="375"/>
              </w:numPr>
              <w:rPr>
                <w:rFonts w:cs="Times New Roman"/>
              </w:rPr>
            </w:pPr>
            <w:r w:rsidRPr="00807F44">
              <w:rPr>
                <w:rFonts w:cs="Times New Roman"/>
              </w:rPr>
              <w:t xml:space="preserve">Idem que Chlamydia </w:t>
            </w:r>
            <w:r>
              <w:rPr>
                <w:rFonts w:cs="Times New Roman"/>
              </w:rPr>
              <w:t xml:space="preserve">                 </w:t>
            </w:r>
            <w:r w:rsidRPr="00807F44">
              <w:rPr>
                <w:rFonts w:cs="Times New Roman"/>
              </w:rPr>
              <w:t>(co-infection fréquente)</w:t>
            </w:r>
          </w:p>
        </w:tc>
        <w:tc>
          <w:tcPr>
            <w:tcW w:w="4028" w:type="dxa"/>
          </w:tcPr>
          <w:p w:rsidR="00C27CA8" w:rsidRPr="00807F44" w:rsidRDefault="00053083" w:rsidP="00004A1E">
            <w:pPr>
              <w:pStyle w:val="Paragraphedeliste"/>
              <w:numPr>
                <w:ilvl w:val="0"/>
                <w:numId w:val="373"/>
              </w:numPr>
              <w:rPr>
                <w:rFonts w:cs="Times New Roman"/>
                <w:highlight w:val="yellow"/>
              </w:rPr>
            </w:pPr>
            <w:r>
              <w:rPr>
                <w:rFonts w:cs="Times New Roman"/>
                <w:highlight w:val="yellow"/>
              </w:rPr>
              <w:t>Idem que Chlamydia</w:t>
            </w:r>
          </w:p>
        </w:tc>
      </w:tr>
      <w:tr w:rsidR="00E64E3D" w:rsidTr="00E64E3D">
        <w:tc>
          <w:tcPr>
            <w:tcW w:w="3227" w:type="dxa"/>
          </w:tcPr>
          <w:p w:rsidR="00E64E3D" w:rsidRPr="00BF660C" w:rsidRDefault="00E64E3D" w:rsidP="00037BA5">
            <w:pPr>
              <w:rPr>
                <w:rFonts w:cs="Times New Roman"/>
                <w:highlight w:val="yellow"/>
              </w:rPr>
            </w:pPr>
            <w:r w:rsidRPr="00A3394A">
              <w:rPr>
                <w:rFonts w:cs="Times New Roman"/>
                <w:highlight w:val="yellow"/>
              </w:rPr>
              <w:t>Herpès simplex</w:t>
            </w:r>
          </w:p>
        </w:tc>
        <w:tc>
          <w:tcPr>
            <w:tcW w:w="3685" w:type="dxa"/>
            <w:gridSpan w:val="2"/>
          </w:tcPr>
          <w:p w:rsidR="00E64E3D" w:rsidRPr="00BF660C" w:rsidRDefault="00E64E3D" w:rsidP="00037BA5">
            <w:pPr>
              <w:rPr>
                <w:rFonts w:cs="Times New Roman"/>
                <w:i/>
                <w:highlight w:val="yellow"/>
              </w:rPr>
            </w:pPr>
            <w:r>
              <w:rPr>
                <w:rFonts w:cs="Times New Roman"/>
                <w:i/>
              </w:rPr>
              <w:t xml:space="preserve">Virus </w:t>
            </w:r>
            <w:r w:rsidRPr="00A3394A">
              <w:rPr>
                <w:rFonts w:cs="Times New Roman"/>
                <w:i/>
              </w:rPr>
              <w:t>Herpès simplex 1 ou 2</w:t>
            </w:r>
          </w:p>
        </w:tc>
        <w:tc>
          <w:tcPr>
            <w:tcW w:w="4028" w:type="dxa"/>
          </w:tcPr>
          <w:p w:rsidR="00E64E3D" w:rsidRPr="00A3394A" w:rsidRDefault="00E64E3D" w:rsidP="00004A1E">
            <w:pPr>
              <w:pStyle w:val="Paragraphedeliste"/>
              <w:numPr>
                <w:ilvl w:val="0"/>
                <w:numId w:val="373"/>
              </w:numPr>
              <w:rPr>
                <w:rFonts w:cs="Times New Roman"/>
                <w:highlight w:val="yellow"/>
              </w:rPr>
            </w:pPr>
            <w:r w:rsidRPr="00A3394A">
              <w:rPr>
                <w:rFonts w:cs="Times New Roman"/>
                <w:highlight w:val="yellow"/>
              </w:rPr>
              <w:t xml:space="preserve">Ulcères </w:t>
            </w:r>
            <w:r w:rsidRPr="0056047E">
              <w:rPr>
                <w:rFonts w:cs="Times New Roman"/>
                <w:highlight w:val="yellow"/>
                <w:u w:val="single"/>
              </w:rPr>
              <w:t>douloureux</w:t>
            </w:r>
          </w:p>
          <w:p w:rsidR="00E64E3D" w:rsidRPr="00A3394A" w:rsidRDefault="00E64E3D" w:rsidP="00004A1E">
            <w:pPr>
              <w:pStyle w:val="Paragraphedeliste"/>
              <w:numPr>
                <w:ilvl w:val="0"/>
                <w:numId w:val="373"/>
              </w:numPr>
              <w:rPr>
                <w:rFonts w:cs="Times New Roman"/>
                <w:highlight w:val="yellow"/>
              </w:rPr>
            </w:pPr>
            <w:r w:rsidRPr="00A3394A">
              <w:rPr>
                <w:rFonts w:cs="Times New Roman"/>
                <w:highlight w:val="yellow"/>
              </w:rPr>
              <w:t>Vésicules</w:t>
            </w:r>
          </w:p>
          <w:p w:rsidR="00E64E3D" w:rsidRDefault="00E64E3D" w:rsidP="00004A1E">
            <w:pPr>
              <w:pStyle w:val="Paragraphedeliste"/>
              <w:numPr>
                <w:ilvl w:val="0"/>
                <w:numId w:val="373"/>
              </w:numPr>
              <w:rPr>
                <w:rFonts w:cs="Times New Roman"/>
              </w:rPr>
            </w:pPr>
            <w:r>
              <w:rPr>
                <w:rFonts w:cs="Times New Roman"/>
              </w:rPr>
              <w:t xml:space="preserve">Picotements, </w:t>
            </w:r>
            <w:r w:rsidRPr="00A3394A">
              <w:rPr>
                <w:rFonts w:cs="Times New Roman"/>
                <w:highlight w:val="yellow"/>
              </w:rPr>
              <w:t>prurit</w:t>
            </w:r>
          </w:p>
          <w:p w:rsidR="00E64E3D" w:rsidRDefault="00E64E3D" w:rsidP="00004A1E">
            <w:pPr>
              <w:pStyle w:val="Paragraphedeliste"/>
              <w:numPr>
                <w:ilvl w:val="0"/>
                <w:numId w:val="373"/>
              </w:numPr>
              <w:rPr>
                <w:rFonts w:cs="Times New Roman"/>
              </w:rPr>
            </w:pPr>
            <w:r>
              <w:rPr>
                <w:rFonts w:cs="Times New Roman"/>
              </w:rPr>
              <w:t>Fièvre, malaise</w:t>
            </w:r>
          </w:p>
          <w:p w:rsidR="00E64E3D" w:rsidRPr="00762487" w:rsidRDefault="00E64E3D" w:rsidP="00004A1E">
            <w:pPr>
              <w:pStyle w:val="Paragraphedeliste"/>
              <w:numPr>
                <w:ilvl w:val="0"/>
                <w:numId w:val="373"/>
              </w:numPr>
              <w:rPr>
                <w:rFonts w:cs="Times New Roman"/>
              </w:rPr>
            </w:pPr>
            <w:r w:rsidRPr="00A3394A">
              <w:rPr>
                <w:rFonts w:cs="Times New Roman"/>
                <w:highlight w:val="yellow"/>
              </w:rPr>
              <w:t>Adénopathies inguinales</w:t>
            </w:r>
          </w:p>
        </w:tc>
      </w:tr>
      <w:tr w:rsidR="00E64E3D" w:rsidTr="00762487">
        <w:tc>
          <w:tcPr>
            <w:tcW w:w="3227" w:type="dxa"/>
          </w:tcPr>
          <w:p w:rsidR="00E64E3D" w:rsidRDefault="00E64E3D" w:rsidP="00037BA5">
            <w:pPr>
              <w:rPr>
                <w:rFonts w:cs="Times New Roman"/>
              </w:rPr>
            </w:pPr>
            <w:r>
              <w:rPr>
                <w:rFonts w:cs="Times New Roman"/>
              </w:rPr>
              <w:t>Syphilis</w:t>
            </w:r>
          </w:p>
        </w:tc>
        <w:tc>
          <w:tcPr>
            <w:tcW w:w="2268" w:type="dxa"/>
          </w:tcPr>
          <w:p w:rsidR="00E64E3D" w:rsidRPr="00762487" w:rsidRDefault="00E64E3D" w:rsidP="00990D1B">
            <w:pPr>
              <w:rPr>
                <w:rFonts w:cs="Times New Roman"/>
                <w:i/>
              </w:rPr>
            </w:pPr>
            <w:r w:rsidRPr="00762487">
              <w:rPr>
                <w:rFonts w:cs="Times New Roman"/>
                <w:i/>
              </w:rPr>
              <w:t>Treponema pallidum</w:t>
            </w:r>
          </w:p>
          <w:p w:rsidR="00E64E3D" w:rsidRPr="00762487" w:rsidRDefault="00E64E3D" w:rsidP="00004A1E">
            <w:pPr>
              <w:pStyle w:val="Paragraphedeliste"/>
              <w:numPr>
                <w:ilvl w:val="0"/>
                <w:numId w:val="376"/>
              </w:numPr>
              <w:rPr>
                <w:rFonts w:cs="Times New Roman"/>
              </w:rPr>
            </w:pPr>
            <w:r w:rsidRPr="00762487">
              <w:rPr>
                <w:rFonts w:cs="Times New Roman"/>
              </w:rPr>
              <w:t>HARSAH</w:t>
            </w:r>
          </w:p>
        </w:tc>
        <w:tc>
          <w:tcPr>
            <w:tcW w:w="5445" w:type="dxa"/>
            <w:gridSpan w:val="2"/>
          </w:tcPr>
          <w:p w:rsidR="00E64E3D" w:rsidRPr="00762487" w:rsidRDefault="00E64E3D" w:rsidP="00131C1A">
            <w:pPr>
              <w:rPr>
                <w:rFonts w:cs="Times New Roman"/>
                <w:b/>
              </w:rPr>
            </w:pPr>
            <w:r w:rsidRPr="00762487">
              <w:rPr>
                <w:rFonts w:cs="Times New Roman"/>
                <w:b/>
              </w:rPr>
              <w:t>Primaire</w:t>
            </w:r>
          </w:p>
          <w:p w:rsidR="00E64E3D" w:rsidRPr="00762487" w:rsidRDefault="00E64E3D" w:rsidP="00004A1E">
            <w:pPr>
              <w:pStyle w:val="Paragraphedeliste"/>
              <w:numPr>
                <w:ilvl w:val="0"/>
                <w:numId w:val="373"/>
              </w:numPr>
              <w:rPr>
                <w:rFonts w:cs="Times New Roman"/>
              </w:rPr>
            </w:pPr>
            <w:r w:rsidRPr="00762487">
              <w:rPr>
                <w:rFonts w:cs="Times New Roman"/>
              </w:rPr>
              <w:t>Chancre génital  (</w:t>
            </w:r>
            <w:r w:rsidRPr="00762487">
              <w:rPr>
                <w:rFonts w:cs="Times New Roman"/>
                <w:u w:val="single"/>
              </w:rPr>
              <w:t>ulcère non douloureux</w:t>
            </w:r>
            <w:r w:rsidRPr="00762487">
              <w:rPr>
                <w:rFonts w:cs="Times New Roman"/>
              </w:rPr>
              <w:t>)</w:t>
            </w:r>
          </w:p>
          <w:p w:rsidR="00E64E3D" w:rsidRPr="00762487" w:rsidRDefault="00E64E3D" w:rsidP="00004A1E">
            <w:pPr>
              <w:pStyle w:val="Paragraphedeliste"/>
              <w:numPr>
                <w:ilvl w:val="0"/>
                <w:numId w:val="373"/>
              </w:numPr>
              <w:rPr>
                <w:rFonts w:cs="Times New Roman"/>
              </w:rPr>
            </w:pPr>
            <w:r w:rsidRPr="00762487">
              <w:rPr>
                <w:rFonts w:cs="Times New Roman"/>
              </w:rPr>
              <w:t>Adénopathies inguinales</w:t>
            </w:r>
          </w:p>
          <w:p w:rsidR="00E64E3D" w:rsidRPr="00762487" w:rsidRDefault="00E64E3D" w:rsidP="00131C1A">
            <w:pPr>
              <w:rPr>
                <w:rFonts w:cs="Times New Roman"/>
                <w:b/>
              </w:rPr>
            </w:pPr>
            <w:r w:rsidRPr="00762487">
              <w:rPr>
                <w:rFonts w:cs="Times New Roman"/>
                <w:b/>
              </w:rPr>
              <w:t>Secondaire</w:t>
            </w:r>
          </w:p>
          <w:p w:rsidR="00E64E3D" w:rsidRPr="00762487" w:rsidRDefault="00E64E3D" w:rsidP="00004A1E">
            <w:pPr>
              <w:pStyle w:val="Paragraphedeliste"/>
              <w:numPr>
                <w:ilvl w:val="0"/>
                <w:numId w:val="373"/>
              </w:numPr>
              <w:rPr>
                <w:rFonts w:cs="Times New Roman"/>
              </w:rPr>
            </w:pPr>
            <w:r w:rsidRPr="00762487">
              <w:rPr>
                <w:rFonts w:cs="Times New Roman"/>
              </w:rPr>
              <w:t>Malaise, Anorexie</w:t>
            </w:r>
          </w:p>
          <w:p w:rsidR="00E64E3D" w:rsidRPr="00762487" w:rsidRDefault="00E64E3D" w:rsidP="00004A1E">
            <w:pPr>
              <w:pStyle w:val="Paragraphedeliste"/>
              <w:numPr>
                <w:ilvl w:val="0"/>
                <w:numId w:val="373"/>
              </w:numPr>
              <w:rPr>
                <w:rFonts w:cs="Times New Roman"/>
              </w:rPr>
            </w:pPr>
            <w:r w:rsidRPr="00762487">
              <w:rPr>
                <w:rFonts w:cs="Times New Roman"/>
              </w:rPr>
              <w:t>Fièvre,</w:t>
            </w:r>
          </w:p>
          <w:p w:rsidR="00E64E3D" w:rsidRPr="00762487" w:rsidRDefault="00E64E3D" w:rsidP="00004A1E">
            <w:pPr>
              <w:pStyle w:val="Paragraphedeliste"/>
              <w:numPr>
                <w:ilvl w:val="0"/>
                <w:numId w:val="373"/>
              </w:numPr>
              <w:rPr>
                <w:rFonts w:cs="Times New Roman"/>
              </w:rPr>
            </w:pPr>
            <w:r w:rsidRPr="00762487">
              <w:rPr>
                <w:rFonts w:cs="Times New Roman"/>
              </w:rPr>
              <w:t>Éruption maculopapulaire</w:t>
            </w:r>
            <w:r>
              <w:rPr>
                <w:rFonts w:cs="Times New Roman"/>
              </w:rPr>
              <w:t xml:space="preserve"> </w:t>
            </w:r>
            <w:r w:rsidRPr="00762487">
              <w:rPr>
                <w:rFonts w:cs="Times New Roman"/>
              </w:rPr>
              <w:t>(paumes, pieds, muqueuses)</w:t>
            </w:r>
          </w:p>
          <w:p w:rsidR="00E64E3D" w:rsidRPr="00762487" w:rsidRDefault="00E64E3D" w:rsidP="00762487">
            <w:pPr>
              <w:rPr>
                <w:rFonts w:cs="Times New Roman"/>
              </w:rPr>
            </w:pPr>
            <w:r w:rsidRPr="00762487">
              <w:rPr>
                <w:rFonts w:cs="Times New Roman"/>
                <w:b/>
              </w:rPr>
              <w:t>Tertiaire</w:t>
            </w:r>
            <w:r w:rsidRPr="00762487">
              <w:rPr>
                <w:rFonts w:cs="Times New Roman"/>
              </w:rPr>
              <w:t xml:space="preserve"> (ad 20 ans + tard)</w:t>
            </w:r>
          </w:p>
          <w:p w:rsidR="00E64E3D" w:rsidRPr="00762487" w:rsidRDefault="00E64E3D" w:rsidP="00004A1E">
            <w:pPr>
              <w:pStyle w:val="Paragraphedeliste"/>
              <w:numPr>
                <w:ilvl w:val="0"/>
                <w:numId w:val="373"/>
              </w:numPr>
              <w:rPr>
                <w:rFonts w:cs="Times New Roman"/>
              </w:rPr>
            </w:pPr>
            <w:r w:rsidRPr="00762487">
              <w:rPr>
                <w:rFonts w:cs="Times New Roman"/>
              </w:rPr>
              <w:t>Destruction cutanée/viscérale</w:t>
            </w:r>
          </w:p>
          <w:p w:rsidR="00E64E3D" w:rsidRPr="00762487" w:rsidRDefault="00E64E3D" w:rsidP="00004A1E">
            <w:pPr>
              <w:pStyle w:val="Paragraphedeliste"/>
              <w:numPr>
                <w:ilvl w:val="0"/>
                <w:numId w:val="373"/>
              </w:numPr>
              <w:rPr>
                <w:rFonts w:cs="Times New Roman"/>
              </w:rPr>
            </w:pPr>
            <w:r w:rsidRPr="00762487">
              <w:rPr>
                <w:rFonts w:cs="Times New Roman"/>
              </w:rPr>
              <w:t>Neurosyphilis (↓ cognitive</w:t>
            </w:r>
            <w:r w:rsidR="00053083">
              <w:rPr>
                <w:rFonts w:cs="Times New Roman"/>
              </w:rPr>
              <w:t>)</w:t>
            </w:r>
          </w:p>
          <w:p w:rsidR="00E64E3D" w:rsidRPr="00762487" w:rsidRDefault="00E64E3D" w:rsidP="00004A1E">
            <w:pPr>
              <w:pStyle w:val="Paragraphedeliste"/>
              <w:numPr>
                <w:ilvl w:val="0"/>
                <w:numId w:val="373"/>
              </w:numPr>
              <w:rPr>
                <w:rFonts w:cs="Times New Roman"/>
              </w:rPr>
            </w:pPr>
            <w:r w:rsidRPr="00762487">
              <w:rPr>
                <w:rFonts w:cs="Times New Roman"/>
              </w:rPr>
              <w:t>Anévrysmes vasculaires, insuffisance valvulaire</w:t>
            </w:r>
          </w:p>
        </w:tc>
      </w:tr>
      <w:tr w:rsidR="00E64E3D" w:rsidTr="001A711D">
        <w:tc>
          <w:tcPr>
            <w:tcW w:w="3227" w:type="dxa"/>
          </w:tcPr>
          <w:p w:rsidR="00E64E3D" w:rsidRDefault="00E64E3D" w:rsidP="00037BA5">
            <w:pPr>
              <w:rPr>
                <w:rFonts w:cs="Times New Roman"/>
              </w:rPr>
            </w:pPr>
            <w:r>
              <w:rPr>
                <w:rFonts w:cs="Times New Roman"/>
              </w:rPr>
              <w:t>Chancre mou</w:t>
            </w:r>
          </w:p>
        </w:tc>
        <w:tc>
          <w:tcPr>
            <w:tcW w:w="3685" w:type="dxa"/>
            <w:gridSpan w:val="2"/>
          </w:tcPr>
          <w:p w:rsidR="00E64E3D" w:rsidRPr="00E64E3D" w:rsidRDefault="00E64E3D" w:rsidP="00990D1B">
            <w:pPr>
              <w:rPr>
                <w:rFonts w:cs="Times New Roman"/>
                <w:i/>
              </w:rPr>
            </w:pPr>
            <w:r w:rsidRPr="00E64E3D">
              <w:rPr>
                <w:rFonts w:cs="Times New Roman"/>
                <w:i/>
              </w:rPr>
              <w:t>Haemophilus ducreyi</w:t>
            </w:r>
          </w:p>
        </w:tc>
        <w:tc>
          <w:tcPr>
            <w:tcW w:w="4028" w:type="dxa"/>
          </w:tcPr>
          <w:p w:rsidR="00E64E3D" w:rsidRDefault="00E64E3D" w:rsidP="00004A1E">
            <w:pPr>
              <w:pStyle w:val="Paragraphedeliste"/>
              <w:numPr>
                <w:ilvl w:val="0"/>
                <w:numId w:val="373"/>
              </w:numPr>
              <w:rPr>
                <w:rFonts w:cs="Times New Roman"/>
              </w:rPr>
            </w:pPr>
            <w:r>
              <w:rPr>
                <w:rFonts w:cs="Times New Roman"/>
              </w:rPr>
              <w:t>Papules, pustules</w:t>
            </w:r>
          </w:p>
          <w:p w:rsidR="00E64E3D" w:rsidRDefault="00E64E3D" w:rsidP="00004A1E">
            <w:pPr>
              <w:pStyle w:val="Paragraphedeliste"/>
              <w:numPr>
                <w:ilvl w:val="0"/>
                <w:numId w:val="373"/>
              </w:numPr>
              <w:rPr>
                <w:rFonts w:cs="Times New Roman"/>
              </w:rPr>
            </w:pPr>
            <w:r>
              <w:rPr>
                <w:rFonts w:cs="Times New Roman"/>
              </w:rPr>
              <w:t>Ulcère douloureux (larges)</w:t>
            </w:r>
          </w:p>
          <w:p w:rsidR="00E64E3D" w:rsidRPr="00762487" w:rsidRDefault="00E64E3D" w:rsidP="00004A1E">
            <w:pPr>
              <w:pStyle w:val="Paragraphedeliste"/>
              <w:numPr>
                <w:ilvl w:val="0"/>
                <w:numId w:val="373"/>
              </w:numPr>
              <w:rPr>
                <w:rFonts w:cs="Times New Roman"/>
              </w:rPr>
            </w:pPr>
            <w:r>
              <w:rPr>
                <w:rFonts w:cs="Times New Roman"/>
              </w:rPr>
              <w:t>Adénopathie inguinale douloureuse</w:t>
            </w:r>
          </w:p>
        </w:tc>
      </w:tr>
      <w:tr w:rsidR="00E64E3D" w:rsidTr="001A711D">
        <w:tc>
          <w:tcPr>
            <w:tcW w:w="3227" w:type="dxa"/>
          </w:tcPr>
          <w:p w:rsidR="00E64E3D" w:rsidRDefault="00E64E3D" w:rsidP="00037BA5">
            <w:pPr>
              <w:rPr>
                <w:rFonts w:cs="Times New Roman"/>
              </w:rPr>
            </w:pPr>
            <w:r>
              <w:rPr>
                <w:rFonts w:cs="Times New Roman"/>
              </w:rPr>
              <w:t>Granulome inguinal</w:t>
            </w:r>
          </w:p>
        </w:tc>
        <w:tc>
          <w:tcPr>
            <w:tcW w:w="3685" w:type="dxa"/>
            <w:gridSpan w:val="2"/>
          </w:tcPr>
          <w:p w:rsidR="00E64E3D" w:rsidRPr="00E64E3D" w:rsidRDefault="00E64E3D" w:rsidP="00990D1B">
            <w:pPr>
              <w:rPr>
                <w:rFonts w:cs="Times New Roman"/>
                <w:i/>
              </w:rPr>
            </w:pPr>
            <w:r w:rsidRPr="00E64E3D">
              <w:rPr>
                <w:rFonts w:cs="Times New Roman"/>
                <w:i/>
              </w:rPr>
              <w:t>Klebsiella granulomatis</w:t>
            </w:r>
          </w:p>
        </w:tc>
        <w:tc>
          <w:tcPr>
            <w:tcW w:w="4028" w:type="dxa"/>
          </w:tcPr>
          <w:p w:rsidR="00E64E3D" w:rsidRPr="00762487" w:rsidRDefault="00E64E3D" w:rsidP="00004A1E">
            <w:pPr>
              <w:pStyle w:val="Paragraphedeliste"/>
              <w:numPr>
                <w:ilvl w:val="0"/>
                <w:numId w:val="373"/>
              </w:numPr>
              <w:rPr>
                <w:rFonts w:cs="Times New Roman"/>
              </w:rPr>
            </w:pPr>
            <w:r>
              <w:rPr>
                <w:rFonts w:cs="Times New Roman"/>
              </w:rPr>
              <w:t>Ulcères vulvaires chroniques</w:t>
            </w:r>
          </w:p>
        </w:tc>
      </w:tr>
      <w:tr w:rsidR="00E64E3D" w:rsidTr="001A711D">
        <w:tc>
          <w:tcPr>
            <w:tcW w:w="3227" w:type="dxa"/>
          </w:tcPr>
          <w:p w:rsidR="00E64E3D" w:rsidRDefault="00E64E3D" w:rsidP="00037BA5">
            <w:pPr>
              <w:rPr>
                <w:rFonts w:cs="Times New Roman"/>
              </w:rPr>
            </w:pPr>
            <w:r>
              <w:rPr>
                <w:rFonts w:cs="Times New Roman"/>
              </w:rPr>
              <w:t>Lymphogranulomatose vénérienne</w:t>
            </w:r>
          </w:p>
        </w:tc>
        <w:tc>
          <w:tcPr>
            <w:tcW w:w="3685" w:type="dxa"/>
            <w:gridSpan w:val="2"/>
          </w:tcPr>
          <w:p w:rsidR="00E64E3D" w:rsidRPr="00E64E3D" w:rsidRDefault="00E64E3D" w:rsidP="00990D1B">
            <w:pPr>
              <w:rPr>
                <w:rFonts w:cs="Times New Roman"/>
                <w:i/>
              </w:rPr>
            </w:pPr>
            <w:r w:rsidRPr="00E64E3D">
              <w:rPr>
                <w:rFonts w:cs="Times New Roman"/>
                <w:i/>
              </w:rPr>
              <w:t>Chlamydia trachomatis L1-L2-L3</w:t>
            </w:r>
          </w:p>
          <w:p w:rsidR="00E64E3D" w:rsidRPr="00E64E3D" w:rsidRDefault="00E64E3D" w:rsidP="00004A1E">
            <w:pPr>
              <w:pStyle w:val="Paragraphedeliste"/>
              <w:numPr>
                <w:ilvl w:val="0"/>
                <w:numId w:val="373"/>
              </w:numPr>
              <w:rPr>
                <w:rFonts w:cs="Times New Roman"/>
              </w:rPr>
            </w:pPr>
            <w:r w:rsidRPr="00E64E3D">
              <w:rPr>
                <w:rFonts w:cs="Times New Roman"/>
              </w:rPr>
              <w:t>HARSAH, VIH</w:t>
            </w:r>
          </w:p>
        </w:tc>
        <w:tc>
          <w:tcPr>
            <w:tcW w:w="4028" w:type="dxa"/>
          </w:tcPr>
          <w:p w:rsidR="00E64E3D" w:rsidRDefault="00E64E3D" w:rsidP="00004A1E">
            <w:pPr>
              <w:pStyle w:val="Paragraphedeliste"/>
              <w:numPr>
                <w:ilvl w:val="0"/>
                <w:numId w:val="373"/>
              </w:numPr>
              <w:rPr>
                <w:rFonts w:cs="Times New Roman"/>
              </w:rPr>
            </w:pPr>
            <w:r>
              <w:rPr>
                <w:rFonts w:cs="Times New Roman"/>
              </w:rPr>
              <w:t xml:space="preserve">Papule indolore </w:t>
            </w:r>
            <w:r>
              <w:rPr>
                <w:rFonts w:ascii="Century Gothic" w:hAnsi="Century Gothic" w:cs="Times New Roman"/>
              </w:rPr>
              <w:t>→</w:t>
            </w:r>
            <w:r>
              <w:rPr>
                <w:rFonts w:cs="Times New Roman"/>
              </w:rPr>
              <w:t xml:space="preserve"> lymphadénopathie</w:t>
            </w:r>
          </w:p>
          <w:p w:rsidR="00E64E3D" w:rsidRPr="00762487" w:rsidRDefault="00E64E3D" w:rsidP="00004A1E">
            <w:pPr>
              <w:pStyle w:val="Paragraphedeliste"/>
              <w:numPr>
                <w:ilvl w:val="0"/>
                <w:numId w:val="373"/>
              </w:numPr>
              <w:rPr>
                <w:rFonts w:cs="Times New Roman"/>
              </w:rPr>
            </w:pPr>
            <w:r>
              <w:rPr>
                <w:rFonts w:cs="Times New Roman"/>
              </w:rPr>
              <w:t>Rectite hémorragique</w:t>
            </w:r>
          </w:p>
        </w:tc>
      </w:tr>
    </w:tbl>
    <w:p w:rsidR="008303B2" w:rsidRDefault="008303B2" w:rsidP="003C4421">
      <w:pPr>
        <w:rPr>
          <w:rFonts w:cs="Times New Roman"/>
          <w:b/>
          <w:sz w:val="28"/>
          <w:szCs w:val="28"/>
        </w:rPr>
      </w:pPr>
    </w:p>
    <w:p w:rsidR="009D69FD" w:rsidRPr="003C4421" w:rsidRDefault="0056224F" w:rsidP="003C4421">
      <w:pPr>
        <w:rPr>
          <w:rFonts w:cs="Times New Roman"/>
          <w:b/>
          <w:sz w:val="28"/>
          <w:szCs w:val="28"/>
        </w:rPr>
      </w:pPr>
      <w:r w:rsidRPr="00B0299F">
        <w:rPr>
          <w:rFonts w:cs="Times New Roman"/>
          <w:b/>
          <w:sz w:val="28"/>
          <w:szCs w:val="28"/>
        </w:rPr>
        <w:t xml:space="preserve">Investigations </w:t>
      </w:r>
    </w:p>
    <w:tbl>
      <w:tblPr>
        <w:tblStyle w:val="Grilledutableau"/>
        <w:tblW w:w="0" w:type="auto"/>
        <w:tblInd w:w="537" w:type="dxa"/>
        <w:tblLook w:val="04A0" w:firstRow="1" w:lastRow="0" w:firstColumn="1" w:lastColumn="0" w:noHBand="0" w:noVBand="1"/>
      </w:tblPr>
      <w:tblGrid>
        <w:gridCol w:w="3646"/>
        <w:gridCol w:w="3647"/>
      </w:tblGrid>
      <w:tr w:rsidR="003C4421" w:rsidTr="003C4421">
        <w:tc>
          <w:tcPr>
            <w:tcW w:w="7293" w:type="dxa"/>
            <w:gridSpan w:val="2"/>
          </w:tcPr>
          <w:p w:rsidR="003C4421" w:rsidRPr="003C4421" w:rsidRDefault="003C4421" w:rsidP="003C4421">
            <w:pPr>
              <w:jc w:val="center"/>
              <w:rPr>
                <w:rFonts w:cs="Times New Roman"/>
                <w:b/>
              </w:rPr>
            </w:pPr>
            <w:r w:rsidRPr="003C4421">
              <w:rPr>
                <w:rFonts w:cs="Times New Roman"/>
                <w:b/>
              </w:rPr>
              <w:t>Interprétation du pH si symptômes de vulvo-vaginite</w:t>
            </w:r>
          </w:p>
        </w:tc>
      </w:tr>
      <w:tr w:rsidR="007327C0" w:rsidTr="003C4421">
        <w:tc>
          <w:tcPr>
            <w:tcW w:w="3646" w:type="dxa"/>
          </w:tcPr>
          <w:p w:rsidR="007327C0" w:rsidRDefault="007327C0" w:rsidP="007327C0">
            <w:pPr>
              <w:rPr>
                <w:rFonts w:cs="Times New Roman"/>
              </w:rPr>
            </w:pPr>
            <w:r>
              <w:rPr>
                <w:rFonts w:cs="Times New Roman"/>
              </w:rPr>
              <w:t xml:space="preserve">pH </w:t>
            </w:r>
            <w:r>
              <w:rPr>
                <w:rFonts w:ascii="Century Gothic" w:hAnsi="Century Gothic" w:cs="Times New Roman"/>
              </w:rPr>
              <w:t>&lt;</w:t>
            </w:r>
            <w:r>
              <w:rPr>
                <w:rFonts w:cs="Times New Roman"/>
              </w:rPr>
              <w:t xml:space="preserve"> 4,5</w:t>
            </w:r>
          </w:p>
        </w:tc>
        <w:tc>
          <w:tcPr>
            <w:tcW w:w="3647" w:type="dxa"/>
          </w:tcPr>
          <w:p w:rsidR="007327C0" w:rsidRDefault="007327C0">
            <w:pPr>
              <w:rPr>
                <w:rFonts w:cs="Times New Roman"/>
              </w:rPr>
            </w:pPr>
            <w:r>
              <w:rPr>
                <w:rFonts w:cs="Times New Roman"/>
              </w:rPr>
              <w:t xml:space="preserve">pH </w:t>
            </w:r>
            <w:r>
              <w:rPr>
                <w:rFonts w:ascii="Century Gothic" w:hAnsi="Century Gothic" w:cs="Times New Roman"/>
              </w:rPr>
              <w:t>&gt;</w:t>
            </w:r>
            <w:r>
              <w:rPr>
                <w:rFonts w:cs="Times New Roman"/>
              </w:rPr>
              <w:t xml:space="preserve"> 4,5</w:t>
            </w:r>
          </w:p>
        </w:tc>
      </w:tr>
      <w:tr w:rsidR="007327C0" w:rsidTr="003C4421">
        <w:tc>
          <w:tcPr>
            <w:tcW w:w="3646" w:type="dxa"/>
          </w:tcPr>
          <w:p w:rsidR="007327C0" w:rsidRDefault="007327C0">
            <w:pPr>
              <w:rPr>
                <w:rFonts w:cs="Times New Roman"/>
              </w:rPr>
            </w:pPr>
            <w:r>
              <w:rPr>
                <w:rFonts w:cs="Times New Roman"/>
              </w:rPr>
              <w:t>Candidose</w:t>
            </w:r>
          </w:p>
        </w:tc>
        <w:tc>
          <w:tcPr>
            <w:tcW w:w="3647" w:type="dxa"/>
          </w:tcPr>
          <w:p w:rsidR="007327C0" w:rsidRDefault="007327C0" w:rsidP="00037BA5">
            <w:pPr>
              <w:rPr>
                <w:rFonts w:cs="Times New Roman"/>
              </w:rPr>
            </w:pPr>
            <w:r>
              <w:rPr>
                <w:rFonts w:cs="Times New Roman"/>
              </w:rPr>
              <w:t>Trichomonase, vaginose</w:t>
            </w:r>
          </w:p>
        </w:tc>
      </w:tr>
    </w:tbl>
    <w:p w:rsidR="003C4421" w:rsidRPr="003C4421" w:rsidRDefault="003C4421" w:rsidP="00004A1E">
      <w:pPr>
        <w:pStyle w:val="Paragraphedeliste"/>
        <w:numPr>
          <w:ilvl w:val="0"/>
          <w:numId w:val="377"/>
        </w:numPr>
        <w:rPr>
          <w:rFonts w:cs="Times New Roman"/>
        </w:rPr>
      </w:pPr>
      <w:r w:rsidRPr="003C4421">
        <w:rPr>
          <w:rFonts w:cs="Times New Roman"/>
          <w:highlight w:val="yellow"/>
        </w:rPr>
        <w:t>Test au KOH : odeur d’amines (vaginos</w:t>
      </w:r>
      <w:r w:rsidRPr="003C4421">
        <w:rPr>
          <w:rFonts w:cs="Times New Roman"/>
        </w:rPr>
        <w:t>e), hyphes et spores au microscope (candidose)</w:t>
      </w:r>
    </w:p>
    <w:p w:rsidR="003C4421" w:rsidRPr="003C4421" w:rsidRDefault="003C4421" w:rsidP="00004A1E">
      <w:pPr>
        <w:pStyle w:val="Paragraphedeliste"/>
        <w:numPr>
          <w:ilvl w:val="0"/>
          <w:numId w:val="377"/>
        </w:numPr>
        <w:rPr>
          <w:rFonts w:cs="Times New Roman"/>
        </w:rPr>
      </w:pPr>
      <w:r w:rsidRPr="003C4421">
        <w:rPr>
          <w:rFonts w:cs="Times New Roman"/>
        </w:rPr>
        <w:t>État frais : protozoaire flagellé mobile (trichomonase), cellules épithéliales + coccobacilles (vaginose)</w:t>
      </w:r>
    </w:p>
    <w:p w:rsidR="003C4421" w:rsidRPr="003C4421" w:rsidRDefault="003C4421" w:rsidP="00004A1E">
      <w:pPr>
        <w:pStyle w:val="Paragraphedeliste"/>
        <w:numPr>
          <w:ilvl w:val="0"/>
          <w:numId w:val="377"/>
        </w:numPr>
        <w:rPr>
          <w:rFonts w:cs="Times New Roman"/>
          <w:highlight w:val="yellow"/>
        </w:rPr>
      </w:pPr>
      <w:r>
        <w:rPr>
          <w:noProof/>
          <w:lang w:eastAsia="fr-CA"/>
        </w:rPr>
        <w:drawing>
          <wp:anchor distT="0" distB="0" distL="114300" distR="114300" simplePos="0" relativeHeight="251756544" behindDoc="0" locked="0" layoutInCell="1" allowOverlap="1" wp14:anchorId="1536F09A" wp14:editId="77B8FD43">
            <wp:simplePos x="0" y="0"/>
            <wp:positionH relativeFrom="column">
              <wp:posOffset>3841750</wp:posOffset>
            </wp:positionH>
            <wp:positionV relativeFrom="paragraph">
              <wp:posOffset>69850</wp:posOffset>
            </wp:positionV>
            <wp:extent cx="2985770" cy="2240915"/>
            <wp:effectExtent l="0" t="0" r="5080" b="6985"/>
            <wp:wrapNone/>
            <wp:docPr id="271" name="Image 271" descr="Résultats de recherche d'images pour « trichomonas vaginali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ésultats de recherche d'images pour « trichomonas vaginalis »"/>
                    <pic:cNvPicPr>
                      <a:picLocks noChangeAspect="1" noChangeArrowheads="1"/>
                    </pic:cNvPicPr>
                  </pic:nvPicPr>
                  <pic:blipFill>
                    <a:blip r:embed="rId390">
                      <a:extLst>
                        <a:ext uri="{28A0092B-C50C-407E-A947-70E740481C1C}">
                          <a14:useLocalDpi xmlns:a14="http://schemas.microsoft.com/office/drawing/2010/main" val="0"/>
                        </a:ext>
                      </a:extLst>
                    </a:blip>
                    <a:srcRect/>
                    <a:stretch>
                      <a:fillRect/>
                    </a:stretch>
                  </pic:blipFill>
                  <pic:spPr bwMode="auto">
                    <a:xfrm>
                      <a:off x="0" y="0"/>
                      <a:ext cx="2985770" cy="22409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C4421">
        <w:rPr>
          <w:rFonts w:cs="Times New Roman"/>
          <w:highlight w:val="yellow"/>
        </w:rPr>
        <w:t>Dépistage PCR endocol / urinaire (+ sensible que culture)</w:t>
      </w:r>
    </w:p>
    <w:p w:rsidR="003C4421" w:rsidRPr="003C4421" w:rsidRDefault="009D69FD" w:rsidP="00004A1E">
      <w:pPr>
        <w:pStyle w:val="Paragraphedeliste"/>
        <w:numPr>
          <w:ilvl w:val="0"/>
          <w:numId w:val="377"/>
        </w:numPr>
        <w:rPr>
          <w:rFonts w:cs="Times New Roman"/>
          <w:highlight w:val="yellow"/>
        </w:rPr>
      </w:pPr>
      <w:r w:rsidRPr="003C4421">
        <w:rPr>
          <w:rFonts w:cs="Times New Roman"/>
          <w:highlight w:val="yellow"/>
        </w:rPr>
        <w:t xml:space="preserve">Culture vaginale </w:t>
      </w:r>
    </w:p>
    <w:p w:rsidR="009D69FD" w:rsidRPr="003C4421" w:rsidRDefault="003C4421" w:rsidP="00004A1E">
      <w:pPr>
        <w:pStyle w:val="Paragraphedeliste"/>
        <w:numPr>
          <w:ilvl w:val="1"/>
          <w:numId w:val="377"/>
        </w:numPr>
        <w:rPr>
          <w:rFonts w:cs="Times New Roman"/>
          <w:highlight w:val="yellow"/>
        </w:rPr>
      </w:pPr>
      <w:r w:rsidRPr="003C4421">
        <w:rPr>
          <w:rFonts w:cs="Times New Roman"/>
          <w:highlight w:val="yellow"/>
        </w:rPr>
        <w:t>P</w:t>
      </w:r>
      <w:r w:rsidR="009D69FD" w:rsidRPr="003C4421">
        <w:rPr>
          <w:rFonts w:cs="Times New Roman"/>
          <w:highlight w:val="yellow"/>
        </w:rPr>
        <w:t>réciser le germe recherché</w:t>
      </w:r>
      <w:r w:rsidRPr="003C4421">
        <w:rPr>
          <w:rFonts w:cs="Times New Roman"/>
          <w:highlight w:val="yellow"/>
        </w:rPr>
        <w:t xml:space="preserve">, surtout si </w:t>
      </w:r>
      <w:r w:rsidRPr="003C4421">
        <w:rPr>
          <w:rFonts w:cs="Times New Roman"/>
          <w:i/>
          <w:highlight w:val="yellow"/>
        </w:rPr>
        <w:t>Trichomona</w:t>
      </w:r>
      <w:r w:rsidRPr="003C4421">
        <w:rPr>
          <w:rFonts w:cs="Times New Roman"/>
          <w:highlight w:val="yellow"/>
        </w:rPr>
        <w:t>s</w:t>
      </w:r>
    </w:p>
    <w:p w:rsidR="003C4421" w:rsidRPr="003C4421" w:rsidRDefault="003C4421" w:rsidP="00004A1E">
      <w:pPr>
        <w:pStyle w:val="Paragraphedeliste"/>
        <w:numPr>
          <w:ilvl w:val="1"/>
          <w:numId w:val="377"/>
        </w:numPr>
        <w:rPr>
          <w:rFonts w:cs="Times New Roman"/>
          <w:highlight w:val="yellow"/>
        </w:rPr>
      </w:pPr>
      <w:r w:rsidRPr="003C4421">
        <w:rPr>
          <w:rFonts w:cs="Times New Roman"/>
          <w:highlight w:val="yellow"/>
        </w:rPr>
        <w:t>Permet d’</w:t>
      </w:r>
      <w:r>
        <w:rPr>
          <w:rFonts w:cs="Times New Roman"/>
          <w:highlight w:val="yellow"/>
        </w:rPr>
        <w:t>obtenir la sensibilité aux anti</w:t>
      </w:r>
      <w:r w:rsidRPr="003C4421">
        <w:rPr>
          <w:rFonts w:cs="Times New Roman"/>
          <w:highlight w:val="yellow"/>
        </w:rPr>
        <w:t>biotiques</w:t>
      </w:r>
    </w:p>
    <w:p w:rsidR="00C96C4D" w:rsidRPr="000F4E33" w:rsidRDefault="003C4421" w:rsidP="00004A1E">
      <w:pPr>
        <w:pStyle w:val="Paragraphedeliste"/>
        <w:numPr>
          <w:ilvl w:val="0"/>
          <w:numId w:val="377"/>
        </w:numPr>
        <w:rPr>
          <w:rFonts w:cs="Times New Roman"/>
        </w:rPr>
      </w:pPr>
      <w:r w:rsidRPr="003C4421">
        <w:rPr>
          <w:rFonts w:cs="Times New Roman"/>
        </w:rPr>
        <w:t>Culture virale sur ulcère ou aspirat</w:t>
      </w:r>
      <w:r w:rsidR="007B5305">
        <w:rPr>
          <w:rFonts w:cs="Times New Roman"/>
        </w:rPr>
        <w:t>i</w:t>
      </w:r>
      <w:r w:rsidRPr="003C4421">
        <w:rPr>
          <w:rFonts w:cs="Times New Roman"/>
        </w:rPr>
        <w:t>on d’adénopathie</w:t>
      </w:r>
    </w:p>
    <w:p w:rsidR="0056224F" w:rsidRPr="000F4E33" w:rsidRDefault="0056224F">
      <w:pPr>
        <w:rPr>
          <w:rFonts w:cs="Times New Roman"/>
          <w:b/>
          <w:sz w:val="28"/>
          <w:szCs w:val="28"/>
        </w:rPr>
      </w:pPr>
      <w:r w:rsidRPr="000F4E33">
        <w:rPr>
          <w:rFonts w:cs="Times New Roman"/>
          <w:b/>
          <w:sz w:val="28"/>
          <w:szCs w:val="28"/>
        </w:rPr>
        <w:t>Prise en charge</w:t>
      </w:r>
    </w:p>
    <w:p w:rsidR="00B318E0" w:rsidRPr="007B5305" w:rsidRDefault="00B318E0">
      <w:pPr>
        <w:rPr>
          <w:rFonts w:cs="Times New Roman"/>
          <w:u w:val="single"/>
        </w:rPr>
      </w:pPr>
      <w:r w:rsidRPr="007B5305">
        <w:rPr>
          <w:rFonts w:cs="Times New Roman"/>
          <w:u w:val="single"/>
        </w:rPr>
        <w:t>Si vulvo-vaginite non-infectieuse</w:t>
      </w:r>
    </w:p>
    <w:p w:rsidR="007B5305" w:rsidRDefault="00B318E0" w:rsidP="002C4C41">
      <w:pPr>
        <w:spacing w:after="0"/>
        <w:rPr>
          <w:rFonts w:cs="Times New Roman"/>
        </w:rPr>
      </w:pPr>
      <w:r>
        <w:rPr>
          <w:rFonts w:cs="Times New Roman"/>
        </w:rPr>
        <w:t>Vaginite atrophique</w:t>
      </w:r>
    </w:p>
    <w:p w:rsidR="007B5305" w:rsidRPr="007B5305" w:rsidRDefault="005D54D8" w:rsidP="00004A1E">
      <w:pPr>
        <w:pStyle w:val="Paragraphedeliste"/>
        <w:numPr>
          <w:ilvl w:val="0"/>
          <w:numId w:val="379"/>
        </w:numPr>
        <w:rPr>
          <w:rFonts w:cs="Times New Roman"/>
        </w:rPr>
      </w:pPr>
      <w:r w:rsidRPr="007B5305">
        <w:rPr>
          <w:rFonts w:cs="Times New Roman"/>
        </w:rPr>
        <w:t>Œstrogènes</w:t>
      </w:r>
      <w:r w:rsidR="007B5305" w:rsidRPr="007B5305">
        <w:rPr>
          <w:rFonts w:cs="Times New Roman"/>
        </w:rPr>
        <w:t xml:space="preserve"> locaux (voir </w:t>
      </w:r>
      <w:r w:rsidR="007B5305" w:rsidRPr="007B5305">
        <w:rPr>
          <w:rFonts w:cs="Times New Roman"/>
          <w:i/>
        </w:rPr>
        <w:t>Ménopause CMC 57</w:t>
      </w:r>
      <w:r w:rsidR="007B5305" w:rsidRPr="007B5305">
        <w:rPr>
          <w:rFonts w:cs="Times New Roman"/>
        </w:rPr>
        <w:t>)</w:t>
      </w:r>
    </w:p>
    <w:p w:rsidR="007B5305" w:rsidRPr="002C4C41" w:rsidRDefault="007B5305" w:rsidP="002C4C41">
      <w:pPr>
        <w:spacing w:after="0"/>
        <w:rPr>
          <w:rFonts w:cs="Times New Roman"/>
        </w:rPr>
      </w:pPr>
      <w:r w:rsidRPr="002C4C41">
        <w:rPr>
          <w:rFonts w:cs="Times New Roman"/>
        </w:rPr>
        <w:t>Vaginite non-spécifique</w:t>
      </w:r>
    </w:p>
    <w:p w:rsidR="007B5305" w:rsidRPr="007B5305" w:rsidRDefault="00AA6D44" w:rsidP="00004A1E">
      <w:pPr>
        <w:pStyle w:val="Paragraphedeliste"/>
        <w:numPr>
          <w:ilvl w:val="0"/>
          <w:numId w:val="378"/>
        </w:numPr>
        <w:rPr>
          <w:rFonts w:cs="Times New Roman"/>
        </w:rPr>
      </w:pPr>
      <w:r>
        <w:rPr>
          <w:noProof/>
          <w:lang w:eastAsia="fr-CA"/>
        </w:rPr>
        <w:drawing>
          <wp:anchor distT="0" distB="0" distL="114300" distR="114300" simplePos="0" relativeHeight="251757568" behindDoc="0" locked="0" layoutInCell="1" allowOverlap="1" wp14:anchorId="0ED8F1D2" wp14:editId="33C1D025">
            <wp:simplePos x="0" y="0"/>
            <wp:positionH relativeFrom="column">
              <wp:posOffset>4493206</wp:posOffset>
            </wp:positionH>
            <wp:positionV relativeFrom="paragraph">
              <wp:posOffset>19050</wp:posOffset>
            </wp:positionV>
            <wp:extent cx="2383155" cy="1556385"/>
            <wp:effectExtent l="0" t="0" r="0" b="5715"/>
            <wp:wrapNone/>
            <wp:docPr id="273" name="Image 273" descr="Résultats de recherche d'images pour « candidose vagina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ésultats de recherche d'images pour « candidose vaginale »"/>
                    <pic:cNvPicPr>
                      <a:picLocks noChangeAspect="1" noChangeArrowheads="1"/>
                    </pic:cNvPicPr>
                  </pic:nvPicPr>
                  <pic:blipFill>
                    <a:blip r:embed="rId391">
                      <a:extLst>
                        <a:ext uri="{28A0092B-C50C-407E-A947-70E740481C1C}">
                          <a14:useLocalDpi xmlns:a14="http://schemas.microsoft.com/office/drawing/2010/main" val="0"/>
                        </a:ext>
                      </a:extLst>
                    </a:blip>
                    <a:srcRect/>
                    <a:stretch>
                      <a:fillRect/>
                    </a:stretch>
                  </pic:blipFill>
                  <pic:spPr bwMode="auto">
                    <a:xfrm>
                      <a:off x="0" y="0"/>
                      <a:ext cx="2383155" cy="1556385"/>
                    </a:xfrm>
                    <a:prstGeom prst="rect">
                      <a:avLst/>
                    </a:prstGeom>
                    <a:noFill/>
                    <a:ln>
                      <a:noFill/>
                    </a:ln>
                  </pic:spPr>
                </pic:pic>
              </a:graphicData>
            </a:graphic>
            <wp14:sizeRelH relativeFrom="page">
              <wp14:pctWidth>0</wp14:pctWidth>
            </wp14:sizeRelH>
            <wp14:sizeRelV relativeFrom="page">
              <wp14:pctHeight>0</wp14:pctHeight>
            </wp14:sizeRelV>
          </wp:anchor>
        </w:drawing>
      </w:r>
      <w:r w:rsidR="007B5305" w:rsidRPr="007B5305">
        <w:rPr>
          <w:rFonts w:cs="Times New Roman"/>
        </w:rPr>
        <w:t>Améliorer l‘hygiène</w:t>
      </w:r>
    </w:p>
    <w:p w:rsidR="007B5305" w:rsidRPr="007B5305" w:rsidRDefault="007B5305" w:rsidP="00004A1E">
      <w:pPr>
        <w:pStyle w:val="Paragraphedeliste"/>
        <w:numPr>
          <w:ilvl w:val="0"/>
          <w:numId w:val="378"/>
        </w:numPr>
        <w:rPr>
          <w:rFonts w:cs="Times New Roman"/>
        </w:rPr>
      </w:pPr>
      <w:r w:rsidRPr="007B5305">
        <w:rPr>
          <w:rFonts w:cs="Times New Roman"/>
        </w:rPr>
        <w:t>Éviter les vêtements serrés, irritants ou humidité prolongée (maillots)</w:t>
      </w:r>
    </w:p>
    <w:p w:rsidR="007B5305" w:rsidRPr="007B5305" w:rsidRDefault="007B5305" w:rsidP="00004A1E">
      <w:pPr>
        <w:pStyle w:val="Paragraphedeliste"/>
        <w:numPr>
          <w:ilvl w:val="0"/>
          <w:numId w:val="378"/>
        </w:numPr>
        <w:rPr>
          <w:rFonts w:cs="Times New Roman"/>
        </w:rPr>
      </w:pPr>
      <w:r w:rsidRPr="007B5305">
        <w:rPr>
          <w:rFonts w:cs="Times New Roman"/>
        </w:rPr>
        <w:t>Éviter l’usage d’assouplisseur ou détersifs irritants</w:t>
      </w:r>
    </w:p>
    <w:p w:rsidR="00421073" w:rsidRPr="00B77F4D" w:rsidRDefault="007B5305">
      <w:pPr>
        <w:rPr>
          <w:rFonts w:cs="Times New Roman"/>
          <w:highlight w:val="yellow"/>
          <w:u w:val="single"/>
        </w:rPr>
      </w:pPr>
      <w:r w:rsidRPr="00B77F4D">
        <w:rPr>
          <w:rFonts w:cs="Times New Roman"/>
          <w:highlight w:val="yellow"/>
          <w:u w:val="single"/>
        </w:rPr>
        <w:t>Si vulvo-vaginite infectieuse</w:t>
      </w:r>
    </w:p>
    <w:p w:rsidR="007B5305" w:rsidRPr="00B77F4D" w:rsidRDefault="007B5305" w:rsidP="00004A1E">
      <w:pPr>
        <w:pStyle w:val="Paragraphedeliste"/>
        <w:numPr>
          <w:ilvl w:val="0"/>
          <w:numId w:val="380"/>
        </w:numPr>
        <w:rPr>
          <w:rFonts w:cs="Times New Roman"/>
          <w:b/>
          <w:highlight w:val="yellow"/>
        </w:rPr>
      </w:pPr>
      <w:r w:rsidRPr="00B77F4D">
        <w:rPr>
          <w:rFonts w:cs="Times New Roman"/>
          <w:b/>
          <w:highlight w:val="yellow"/>
        </w:rPr>
        <w:t>Reconnaître les facteurs de risque (voir Chlamydia, Gonorrhée)</w:t>
      </w:r>
    </w:p>
    <w:p w:rsidR="007B5305" w:rsidRPr="00B77F4D" w:rsidRDefault="007B5305" w:rsidP="00004A1E">
      <w:pPr>
        <w:pStyle w:val="Paragraphedeliste"/>
        <w:numPr>
          <w:ilvl w:val="0"/>
          <w:numId w:val="380"/>
        </w:numPr>
        <w:rPr>
          <w:rFonts w:cs="Times New Roman"/>
          <w:b/>
          <w:highlight w:val="yellow"/>
        </w:rPr>
      </w:pPr>
      <w:r w:rsidRPr="00B77F4D">
        <w:rPr>
          <w:rFonts w:cs="Times New Roman"/>
          <w:b/>
          <w:highlight w:val="yellow"/>
        </w:rPr>
        <w:t xml:space="preserve">Recommander l’usage du préservatif </w:t>
      </w:r>
      <w:r w:rsidR="002855EF" w:rsidRPr="00B77F4D">
        <w:rPr>
          <w:rFonts w:cs="Times New Roman"/>
          <w:b/>
          <w:highlight w:val="yellow"/>
        </w:rPr>
        <w:t>si facteurs de risques sexuels</w:t>
      </w:r>
    </w:p>
    <w:p w:rsidR="005D54D8" w:rsidRPr="00B77F4D" w:rsidRDefault="005D54D8" w:rsidP="00004A1E">
      <w:pPr>
        <w:pStyle w:val="Paragraphedeliste"/>
        <w:numPr>
          <w:ilvl w:val="0"/>
          <w:numId w:val="380"/>
        </w:numPr>
        <w:rPr>
          <w:rFonts w:cs="Times New Roman"/>
          <w:b/>
          <w:highlight w:val="yellow"/>
        </w:rPr>
      </w:pPr>
      <w:r w:rsidRPr="00B77F4D">
        <w:rPr>
          <w:rFonts w:cs="Times New Roman"/>
          <w:b/>
          <w:highlight w:val="yellow"/>
        </w:rPr>
        <w:t>Dépistage régulier</w:t>
      </w:r>
    </w:p>
    <w:p w:rsidR="002855EF" w:rsidRDefault="002855EF" w:rsidP="00004A1E">
      <w:pPr>
        <w:pStyle w:val="Paragraphedeliste"/>
        <w:numPr>
          <w:ilvl w:val="0"/>
          <w:numId w:val="380"/>
        </w:numPr>
        <w:rPr>
          <w:rFonts w:cs="Times New Roman"/>
          <w:highlight w:val="yellow"/>
        </w:rPr>
      </w:pPr>
      <w:r w:rsidRPr="00B77F4D">
        <w:rPr>
          <w:rFonts w:cs="Times New Roman"/>
          <w:highlight w:val="yellow"/>
        </w:rPr>
        <w:t>Optimiser la corticothérapie /contrôle du diabète si Candidose</w:t>
      </w:r>
    </w:p>
    <w:p w:rsidR="00672AB4" w:rsidRPr="00B77F4D" w:rsidRDefault="00672AB4" w:rsidP="00004A1E">
      <w:pPr>
        <w:pStyle w:val="Paragraphedeliste"/>
        <w:numPr>
          <w:ilvl w:val="0"/>
          <w:numId w:val="380"/>
        </w:numPr>
        <w:rPr>
          <w:rFonts w:cs="Times New Roman"/>
          <w:highlight w:val="yellow"/>
        </w:rPr>
      </w:pPr>
      <w:r>
        <w:rPr>
          <w:rFonts w:cs="Times New Roman"/>
          <w:highlight w:val="yellow"/>
        </w:rPr>
        <w:t>Traiter Trichomonase avec : Metronidazole 2g PO x 1 puis suivi (culture de contrôle)</w:t>
      </w:r>
    </w:p>
    <w:p w:rsidR="00A53633" w:rsidRPr="00B77F4D" w:rsidRDefault="00A53633" w:rsidP="00004A1E">
      <w:pPr>
        <w:pStyle w:val="Paragraphedeliste"/>
        <w:numPr>
          <w:ilvl w:val="0"/>
          <w:numId w:val="380"/>
        </w:numPr>
        <w:rPr>
          <w:rFonts w:cs="Times New Roman"/>
          <w:b/>
          <w:highlight w:val="yellow"/>
        </w:rPr>
      </w:pPr>
      <w:r w:rsidRPr="00B77F4D">
        <w:rPr>
          <w:rFonts w:cs="Times New Roman"/>
          <w:b/>
          <w:highlight w:val="yellow"/>
        </w:rPr>
        <w:t>Traiter C. Trachomatis et N. Gonorrhea d’emblée ensemble (co-infection fréquente)</w:t>
      </w:r>
    </w:p>
    <w:p w:rsidR="005D54D8" w:rsidRPr="00B77F4D" w:rsidRDefault="005D54D8" w:rsidP="00004A1E">
      <w:pPr>
        <w:pStyle w:val="Paragraphedeliste"/>
        <w:numPr>
          <w:ilvl w:val="1"/>
          <w:numId w:val="380"/>
        </w:numPr>
        <w:rPr>
          <w:rFonts w:cs="Times New Roman"/>
          <w:highlight w:val="yellow"/>
        </w:rPr>
      </w:pPr>
      <w:r w:rsidRPr="00B77F4D">
        <w:rPr>
          <w:rFonts w:cs="Times New Roman"/>
          <w:highlight w:val="yellow"/>
        </w:rPr>
        <w:t>Chlamydia trachomatis → Doxycycline 100 mg PO BID x 7 jours ou Azithromycine 1g PO x 1</w:t>
      </w:r>
      <w:r w:rsidR="00A53633" w:rsidRPr="00B77F4D">
        <w:rPr>
          <w:rFonts w:cs="Times New Roman"/>
          <w:highlight w:val="yellow"/>
        </w:rPr>
        <w:t xml:space="preserve"> </w:t>
      </w:r>
    </w:p>
    <w:p w:rsidR="005D54D8" w:rsidRPr="00B77F4D" w:rsidRDefault="005D54D8" w:rsidP="00004A1E">
      <w:pPr>
        <w:pStyle w:val="Paragraphedeliste"/>
        <w:numPr>
          <w:ilvl w:val="1"/>
          <w:numId w:val="380"/>
        </w:numPr>
        <w:spacing w:after="0"/>
        <w:rPr>
          <w:rFonts w:cs="Times New Roman"/>
          <w:highlight w:val="yellow"/>
        </w:rPr>
      </w:pPr>
      <w:r w:rsidRPr="00B77F4D">
        <w:rPr>
          <w:rFonts w:cs="Times New Roman"/>
          <w:highlight w:val="yellow"/>
        </w:rPr>
        <w:t>Neisseria gonorrhea → Ceftriaxone 250 mg IM + Azithromycine 1g PO</w:t>
      </w:r>
      <w:r w:rsidR="00A53633" w:rsidRPr="00B77F4D">
        <w:rPr>
          <w:rFonts w:cs="Times New Roman"/>
          <w:highlight w:val="yellow"/>
        </w:rPr>
        <w:t xml:space="preserve"> x 1</w:t>
      </w:r>
    </w:p>
    <w:tbl>
      <w:tblPr>
        <w:tblStyle w:val="Grilledutableau"/>
        <w:tblpPr w:leftFromText="141" w:rightFromText="141" w:vertAnchor="text" w:horzAnchor="margin" w:tblpXSpec="right" w:tblpY="77"/>
        <w:tblW w:w="0" w:type="auto"/>
        <w:tblLook w:val="04A0" w:firstRow="1" w:lastRow="0" w:firstColumn="1" w:lastColumn="0" w:noHBand="0" w:noVBand="1"/>
      </w:tblPr>
      <w:tblGrid>
        <w:gridCol w:w="4077"/>
      </w:tblGrid>
      <w:tr w:rsidR="002C4C41" w:rsidTr="002C4C41">
        <w:trPr>
          <w:trHeight w:val="290"/>
        </w:trPr>
        <w:tc>
          <w:tcPr>
            <w:tcW w:w="4077" w:type="dxa"/>
          </w:tcPr>
          <w:p w:rsidR="002C4C41" w:rsidRPr="007E7DFC" w:rsidRDefault="002C4C41" w:rsidP="002C4C41">
            <w:pPr>
              <w:jc w:val="center"/>
              <w:rPr>
                <w:rFonts w:cs="Times New Roman"/>
                <w:b/>
              </w:rPr>
            </w:pPr>
            <w:r w:rsidRPr="007E7DFC">
              <w:rPr>
                <w:rFonts w:cs="Times New Roman"/>
                <w:b/>
              </w:rPr>
              <w:t>MADO</w:t>
            </w:r>
            <w:r w:rsidR="00443A61">
              <w:rPr>
                <w:rFonts w:cs="Times New Roman"/>
                <w:b/>
              </w:rPr>
              <w:t xml:space="preserve"> - ITS</w:t>
            </w:r>
            <w:r w:rsidRPr="007E7DFC">
              <w:rPr>
                <w:rFonts w:cs="Times New Roman"/>
                <w:b/>
              </w:rPr>
              <w:t xml:space="preserve"> (au Québec)</w:t>
            </w:r>
          </w:p>
        </w:tc>
      </w:tr>
      <w:tr w:rsidR="002C4C41" w:rsidTr="002C4C41">
        <w:trPr>
          <w:trHeight w:val="2516"/>
        </w:trPr>
        <w:tc>
          <w:tcPr>
            <w:tcW w:w="4077" w:type="dxa"/>
          </w:tcPr>
          <w:p w:rsidR="002C4C41" w:rsidRDefault="002C4C41" w:rsidP="002C4C41">
            <w:pPr>
              <w:rPr>
                <w:rFonts w:cs="Times New Roman"/>
              </w:rPr>
            </w:pPr>
            <w:r>
              <w:rPr>
                <w:rFonts w:cs="Times New Roman"/>
              </w:rPr>
              <w:t>Chlamydia</w:t>
            </w:r>
          </w:p>
          <w:p w:rsidR="002C4C41" w:rsidRDefault="002C4C41" w:rsidP="002C4C41">
            <w:pPr>
              <w:rPr>
                <w:rFonts w:cs="Times New Roman"/>
              </w:rPr>
            </w:pPr>
            <w:r>
              <w:rPr>
                <w:rFonts w:cs="Times New Roman"/>
              </w:rPr>
              <w:t>Gonorrhée</w:t>
            </w:r>
          </w:p>
          <w:p w:rsidR="002C4C41" w:rsidRDefault="002C4C41" w:rsidP="002C4C41">
            <w:pPr>
              <w:rPr>
                <w:rFonts w:cs="Times New Roman"/>
              </w:rPr>
            </w:pPr>
            <w:r>
              <w:rPr>
                <w:rFonts w:cs="Times New Roman"/>
              </w:rPr>
              <w:t>Syphilis</w:t>
            </w:r>
          </w:p>
          <w:p w:rsidR="002C4C41" w:rsidRDefault="002C4C41" w:rsidP="002C4C41">
            <w:pPr>
              <w:rPr>
                <w:rFonts w:cs="Times New Roman"/>
              </w:rPr>
            </w:pPr>
            <w:r>
              <w:rPr>
                <w:rFonts w:cs="Times New Roman"/>
              </w:rPr>
              <w:t>Chancre mou</w:t>
            </w:r>
          </w:p>
          <w:p w:rsidR="002C4C41" w:rsidRDefault="002C4C41" w:rsidP="002C4C41">
            <w:pPr>
              <w:rPr>
                <w:rFonts w:cs="Times New Roman"/>
              </w:rPr>
            </w:pPr>
            <w:r>
              <w:rPr>
                <w:rFonts w:cs="Times New Roman"/>
              </w:rPr>
              <w:t>Granulome inguinal</w:t>
            </w:r>
          </w:p>
          <w:p w:rsidR="002C4C41" w:rsidRDefault="002C4C41" w:rsidP="002C4C41">
            <w:pPr>
              <w:rPr>
                <w:rFonts w:cs="Times New Roman"/>
              </w:rPr>
            </w:pPr>
            <w:r>
              <w:rPr>
                <w:rFonts w:cs="Times New Roman"/>
              </w:rPr>
              <w:t>Lymphogranulomatose vénérienne</w:t>
            </w:r>
          </w:p>
          <w:p w:rsidR="002C4C41" w:rsidRDefault="002C4C41" w:rsidP="002C4C41">
            <w:pPr>
              <w:rPr>
                <w:rFonts w:cs="Times New Roman"/>
              </w:rPr>
            </w:pPr>
            <w:r>
              <w:rPr>
                <w:rFonts w:cs="Times New Roman"/>
              </w:rPr>
              <w:t xml:space="preserve">VIH/SIDA  (non-nominale) </w:t>
            </w:r>
          </w:p>
          <w:p w:rsidR="002C4C41" w:rsidRDefault="002C4C41" w:rsidP="002C4C41">
            <w:pPr>
              <w:rPr>
                <w:rFonts w:cs="Times New Roman"/>
              </w:rPr>
            </w:pPr>
            <w:r>
              <w:rPr>
                <w:rFonts w:ascii="Century Gothic" w:hAnsi="Century Gothic" w:cs="Times New Roman"/>
              </w:rPr>
              <w:t>→</w:t>
            </w:r>
            <w:r>
              <w:rPr>
                <w:rFonts w:cs="Times New Roman"/>
              </w:rPr>
              <w:t xml:space="preserve"> sauf si don de sang/tissu reçu ou donné</w:t>
            </w:r>
          </w:p>
          <w:p w:rsidR="002C4C41" w:rsidRDefault="002C4C41" w:rsidP="002C4C41">
            <w:pPr>
              <w:rPr>
                <w:rFonts w:cs="Times New Roman"/>
              </w:rPr>
            </w:pPr>
          </w:p>
          <w:p w:rsidR="002C4C41" w:rsidRPr="00FC1A94" w:rsidRDefault="002C4C41" w:rsidP="002C4C41">
            <w:pPr>
              <w:rPr>
                <w:rFonts w:cs="Times New Roman"/>
                <w:i/>
                <w:sz w:val="20"/>
                <w:szCs w:val="20"/>
              </w:rPr>
            </w:pPr>
            <w:r>
              <w:rPr>
                <w:rFonts w:cs="Times New Roman"/>
                <w:i/>
                <w:sz w:val="20"/>
                <w:szCs w:val="20"/>
              </w:rPr>
              <w:t>*</w:t>
            </w:r>
            <w:r w:rsidRPr="00192930">
              <w:rPr>
                <w:rFonts w:cs="Times New Roman"/>
                <w:i/>
                <w:sz w:val="20"/>
                <w:szCs w:val="20"/>
              </w:rPr>
              <w:t>Liste des MADO = compétence provinciale</w:t>
            </w:r>
          </w:p>
        </w:tc>
      </w:tr>
    </w:tbl>
    <w:p w:rsidR="002C4C41" w:rsidRPr="00B77F4D" w:rsidRDefault="002C4C41" w:rsidP="00004A1E">
      <w:pPr>
        <w:pStyle w:val="Paragraphedeliste"/>
        <w:numPr>
          <w:ilvl w:val="0"/>
          <w:numId w:val="382"/>
        </w:numPr>
        <w:rPr>
          <w:rFonts w:cs="Times New Roman"/>
          <w:highlight w:val="yellow"/>
        </w:rPr>
      </w:pPr>
      <w:r w:rsidRPr="00B77F4D">
        <w:rPr>
          <w:rFonts w:cs="Times New Roman"/>
          <w:highlight w:val="yellow"/>
        </w:rPr>
        <w:t>Remettre une prescription anonyme pour le partenaire</w:t>
      </w:r>
    </w:p>
    <w:p w:rsidR="002C4C41" w:rsidRPr="002C4C41" w:rsidRDefault="002C4C41" w:rsidP="00FC2F89">
      <w:pPr>
        <w:spacing w:after="0"/>
        <w:rPr>
          <w:rFonts w:cs="Times New Roman"/>
          <w:u w:val="single"/>
        </w:rPr>
      </w:pPr>
      <w:r w:rsidRPr="002C4C41">
        <w:rPr>
          <w:rFonts w:cs="Times New Roman"/>
          <w:u w:val="single"/>
        </w:rPr>
        <w:t>Herpès simplex</w:t>
      </w:r>
    </w:p>
    <w:p w:rsidR="002C4C41" w:rsidRDefault="002C4C41" w:rsidP="00004A1E">
      <w:pPr>
        <w:pStyle w:val="Paragraphedeliste"/>
        <w:numPr>
          <w:ilvl w:val="0"/>
          <w:numId w:val="381"/>
        </w:numPr>
        <w:rPr>
          <w:rFonts w:cs="Times New Roman"/>
        </w:rPr>
      </w:pPr>
      <w:r>
        <w:rPr>
          <w:rFonts w:cs="Times New Roman"/>
        </w:rPr>
        <w:t>Aviser de la contagiosité: éviter contact ad disparition des lésions</w:t>
      </w:r>
    </w:p>
    <w:p w:rsidR="002C4C41" w:rsidRDefault="002C4C41" w:rsidP="00004A1E">
      <w:pPr>
        <w:pStyle w:val="Paragraphedeliste"/>
        <w:numPr>
          <w:ilvl w:val="0"/>
          <w:numId w:val="381"/>
        </w:numPr>
        <w:rPr>
          <w:rFonts w:cs="Times New Roman"/>
        </w:rPr>
      </w:pPr>
      <w:r w:rsidRPr="002C4C41">
        <w:rPr>
          <w:rFonts w:cs="Times New Roman"/>
        </w:rPr>
        <w:t>1</w:t>
      </w:r>
      <w:r w:rsidRPr="002C4C41">
        <w:rPr>
          <w:rFonts w:cs="Times New Roman"/>
          <w:vertAlign w:val="superscript"/>
        </w:rPr>
        <w:t>er</w:t>
      </w:r>
      <w:r w:rsidRPr="002C4C41">
        <w:rPr>
          <w:rFonts w:cs="Times New Roman"/>
        </w:rPr>
        <w:t xml:space="preserve"> épisode  </w:t>
      </w:r>
    </w:p>
    <w:p w:rsidR="002C4C41" w:rsidRDefault="002C4C41" w:rsidP="00004A1E">
      <w:pPr>
        <w:pStyle w:val="Paragraphedeliste"/>
        <w:numPr>
          <w:ilvl w:val="1"/>
          <w:numId w:val="381"/>
        </w:numPr>
        <w:rPr>
          <w:rFonts w:cs="Times New Roman"/>
        </w:rPr>
      </w:pPr>
      <w:r w:rsidRPr="002C4C41">
        <w:rPr>
          <w:rFonts w:cs="Times New Roman"/>
        </w:rPr>
        <w:t xml:space="preserve">Acyclovir 200 mg PO 5x/jour x 5-10 jours </w:t>
      </w:r>
    </w:p>
    <w:p w:rsidR="002C4C41" w:rsidRPr="002C4C41" w:rsidRDefault="002C4C41" w:rsidP="00004A1E">
      <w:pPr>
        <w:pStyle w:val="Paragraphedeliste"/>
        <w:numPr>
          <w:ilvl w:val="1"/>
          <w:numId w:val="381"/>
        </w:numPr>
        <w:rPr>
          <w:rFonts w:cs="Times New Roman"/>
          <w:lang w:val="en-CA"/>
        </w:rPr>
      </w:pPr>
      <w:r w:rsidRPr="002C4C41">
        <w:rPr>
          <w:rFonts w:cs="Times New Roman"/>
          <w:lang w:val="en-CA"/>
        </w:rPr>
        <w:t>Valacyclovir 1g PO BID x 10 jours</w:t>
      </w:r>
    </w:p>
    <w:p w:rsidR="002C4C41" w:rsidRDefault="002C4C41" w:rsidP="00004A1E">
      <w:pPr>
        <w:pStyle w:val="Paragraphedeliste"/>
        <w:numPr>
          <w:ilvl w:val="0"/>
          <w:numId w:val="381"/>
        </w:numPr>
        <w:rPr>
          <w:rFonts w:cs="Times New Roman"/>
        </w:rPr>
      </w:pPr>
      <w:r w:rsidRPr="002C4C41">
        <w:rPr>
          <w:rFonts w:cs="Times New Roman"/>
        </w:rPr>
        <w:t>Récurrence </w:t>
      </w:r>
    </w:p>
    <w:p w:rsidR="002C4C41" w:rsidRDefault="002C4C41" w:rsidP="00004A1E">
      <w:pPr>
        <w:pStyle w:val="Paragraphedeliste"/>
        <w:numPr>
          <w:ilvl w:val="1"/>
          <w:numId w:val="381"/>
        </w:numPr>
        <w:rPr>
          <w:rFonts w:cs="Times New Roman"/>
        </w:rPr>
      </w:pPr>
      <w:r w:rsidRPr="002C4C41">
        <w:rPr>
          <w:rFonts w:cs="Times New Roman"/>
        </w:rPr>
        <w:t>Ayclovir 200 mg PO 5x/jour x 5 jours</w:t>
      </w:r>
      <w:r>
        <w:rPr>
          <w:rFonts w:cs="Times New Roman"/>
        </w:rPr>
        <w:t xml:space="preserve"> </w:t>
      </w:r>
    </w:p>
    <w:p w:rsidR="002C4C41" w:rsidRPr="002C4C41" w:rsidRDefault="002C4C41" w:rsidP="00004A1E">
      <w:pPr>
        <w:pStyle w:val="Paragraphedeliste"/>
        <w:numPr>
          <w:ilvl w:val="1"/>
          <w:numId w:val="381"/>
        </w:numPr>
        <w:rPr>
          <w:rFonts w:cs="Times New Roman"/>
        </w:rPr>
      </w:pPr>
      <w:r w:rsidRPr="002C4C41">
        <w:rPr>
          <w:rFonts w:cs="Times New Roman"/>
        </w:rPr>
        <w:t>Valacyclovir 500 mg 1g PO DIE x 3 jours</w:t>
      </w:r>
    </w:p>
    <w:p w:rsidR="007B5305" w:rsidRPr="007B5305" w:rsidRDefault="007B5305" w:rsidP="00FC2F89">
      <w:pPr>
        <w:spacing w:after="0"/>
        <w:rPr>
          <w:rFonts w:cs="Times New Roman"/>
          <w:u w:val="single"/>
        </w:rPr>
      </w:pPr>
      <w:r w:rsidRPr="007B5305">
        <w:rPr>
          <w:rFonts w:cs="Times New Roman"/>
          <w:u w:val="single"/>
        </w:rPr>
        <w:t>Autres</w:t>
      </w:r>
    </w:p>
    <w:p w:rsidR="007B5305" w:rsidRPr="00FC2F89" w:rsidRDefault="007B5305" w:rsidP="00004A1E">
      <w:pPr>
        <w:pStyle w:val="Paragraphedeliste"/>
        <w:numPr>
          <w:ilvl w:val="0"/>
          <w:numId w:val="383"/>
        </w:numPr>
        <w:spacing w:after="0"/>
        <w:rPr>
          <w:rFonts w:cs="Times New Roman"/>
        </w:rPr>
      </w:pPr>
      <w:r w:rsidRPr="00FC2F89">
        <w:rPr>
          <w:rFonts w:cs="Times New Roman"/>
        </w:rPr>
        <w:t>Syphilis</w:t>
      </w:r>
      <w:r w:rsidR="00FC2F89" w:rsidRPr="00FC2F89">
        <w:rPr>
          <w:rFonts w:cs="Times New Roman"/>
        </w:rPr>
        <w:t xml:space="preserve">, </w:t>
      </w:r>
      <w:r w:rsidRPr="00FC2F89">
        <w:rPr>
          <w:rFonts w:cs="Times New Roman"/>
        </w:rPr>
        <w:t>Chancre mou</w:t>
      </w:r>
      <w:r w:rsidR="00FC2F89" w:rsidRPr="00FC2F89">
        <w:rPr>
          <w:rFonts w:cs="Times New Roman"/>
        </w:rPr>
        <w:t xml:space="preserve">, </w:t>
      </w:r>
      <w:r w:rsidRPr="00FC2F89">
        <w:rPr>
          <w:rFonts w:cs="Times New Roman"/>
        </w:rPr>
        <w:t>Lymphogranulomatose vénérienne</w:t>
      </w:r>
      <w:r w:rsidR="00FC2F89" w:rsidRPr="00FC2F89">
        <w:rPr>
          <w:rFonts w:cs="Times New Roman"/>
        </w:rPr>
        <w:t xml:space="preserve">, </w:t>
      </w:r>
      <w:r w:rsidRPr="00FC2F89">
        <w:rPr>
          <w:rFonts w:cs="Times New Roman"/>
        </w:rPr>
        <w:t>Granulome inguinal</w:t>
      </w:r>
      <w:r w:rsidR="00AA6D44">
        <w:rPr>
          <w:rFonts w:cs="Times New Roman"/>
        </w:rPr>
        <w:t>, trichomonase</w:t>
      </w:r>
      <w:r w:rsidRPr="00FC2F89">
        <w:rPr>
          <w:rFonts w:cs="Times New Roman"/>
        </w:rPr>
        <w:t xml:space="preserve"> </w:t>
      </w:r>
    </w:p>
    <w:p w:rsidR="00137C3F" w:rsidRDefault="00FC2F89" w:rsidP="00004A1E">
      <w:pPr>
        <w:pStyle w:val="Paragraphedeliste"/>
        <w:numPr>
          <w:ilvl w:val="0"/>
          <w:numId w:val="383"/>
        </w:numPr>
        <w:rPr>
          <w:rFonts w:cs="Times New Roman"/>
        </w:rPr>
      </w:pPr>
      <w:r w:rsidRPr="00FC2F89">
        <w:rPr>
          <w:rFonts w:cs="Times New Roman"/>
        </w:rPr>
        <w:t>Référence en infectiologie / médecine interne pour traitement spécifique</w:t>
      </w:r>
    </w:p>
    <w:p w:rsidR="000558D9" w:rsidRDefault="000558D9" w:rsidP="000558D9">
      <w:pPr>
        <w:pStyle w:val="Paragraphedeliste"/>
        <w:ind w:left="1068"/>
        <w:rPr>
          <w:rFonts w:cs="Times New Roman"/>
        </w:rPr>
      </w:pPr>
    </w:p>
    <w:p w:rsidR="000558D9" w:rsidRPr="000558D9" w:rsidRDefault="000558D9" w:rsidP="000558D9">
      <w:pPr>
        <w:spacing w:after="0"/>
        <w:rPr>
          <w:rFonts w:cs="Times New Roman"/>
          <w:b/>
          <w:color w:val="548DD4" w:themeColor="text2" w:themeTint="99"/>
        </w:rPr>
      </w:pPr>
      <w:r w:rsidRPr="000558D9">
        <w:rPr>
          <w:rFonts w:cs="Times New Roman"/>
          <w:b/>
          <w:color w:val="548DD4" w:themeColor="text2" w:themeTint="99"/>
        </w:rPr>
        <w:t>CMC 114-1</w:t>
      </w:r>
    </w:p>
    <w:p w:rsidR="000558D9" w:rsidRPr="000558D9" w:rsidRDefault="000558D9" w:rsidP="000558D9">
      <w:pPr>
        <w:pStyle w:val="Titre3"/>
        <w:spacing w:before="0" w:line="240" w:lineRule="auto"/>
        <w:rPr>
          <w:rFonts w:ascii="Times New Roman" w:hAnsi="Times New Roman" w:cs="Times New Roman"/>
        </w:rPr>
      </w:pPr>
      <w:bookmarkStart w:id="396" w:name="_Toc480797339"/>
      <w:r w:rsidRPr="000558D9">
        <w:rPr>
          <w:rFonts w:ascii="Times New Roman" w:hAnsi="Times New Roman" w:cs="Times New Roman"/>
        </w:rPr>
        <w:t>Mauvais traitements envers un enfant</w:t>
      </w:r>
      <w:bookmarkEnd w:id="396"/>
    </w:p>
    <w:tbl>
      <w:tblPr>
        <w:tblW w:w="3858" w:type="pct"/>
        <w:tblCellSpacing w:w="0" w:type="dxa"/>
        <w:tblCellMar>
          <w:left w:w="0" w:type="dxa"/>
          <w:right w:w="0" w:type="dxa"/>
        </w:tblCellMar>
        <w:tblLook w:val="04A0" w:firstRow="1" w:lastRow="0" w:firstColumn="1" w:lastColumn="0" w:noHBand="0" w:noVBand="1"/>
      </w:tblPr>
      <w:tblGrid>
        <w:gridCol w:w="8333"/>
      </w:tblGrid>
      <w:tr w:rsidR="000558D9" w:rsidRPr="000558D9" w:rsidTr="000558D9">
        <w:trPr>
          <w:tblCellSpacing w:w="0" w:type="dxa"/>
        </w:trPr>
        <w:tc>
          <w:tcPr>
            <w:tcW w:w="0" w:type="auto"/>
            <w:vAlign w:val="bottom"/>
            <w:hideMark/>
          </w:tcPr>
          <w:p w:rsidR="000558D9" w:rsidRPr="000558D9" w:rsidRDefault="000558D9" w:rsidP="000558D9">
            <w:pPr>
              <w:pStyle w:val="Sansinterligne"/>
              <w:spacing w:before="240"/>
              <w:rPr>
                <w:rFonts w:cs="Times New Roman"/>
                <w:b/>
                <w:sz w:val="18"/>
                <w:szCs w:val="18"/>
              </w:rPr>
            </w:pPr>
            <w:r>
              <w:rPr>
                <w:rFonts w:cs="Times New Roman"/>
                <w:b/>
                <w:noProof/>
                <w:sz w:val="18"/>
                <w:szCs w:val="18"/>
                <w:lang w:eastAsia="fr-CA"/>
              </w:rPr>
              <mc:AlternateContent>
                <mc:Choice Requires="wps">
                  <w:drawing>
                    <wp:anchor distT="0" distB="0" distL="114300" distR="114300" simplePos="0" relativeHeight="251992064" behindDoc="0" locked="0" layoutInCell="1" allowOverlap="1" wp14:anchorId="6BA9D1C6" wp14:editId="6CE18E6A">
                      <wp:simplePos x="0" y="0"/>
                      <wp:positionH relativeFrom="column">
                        <wp:posOffset>-39370</wp:posOffset>
                      </wp:positionH>
                      <wp:positionV relativeFrom="paragraph">
                        <wp:posOffset>60325</wp:posOffset>
                      </wp:positionV>
                      <wp:extent cx="7013575" cy="4668520"/>
                      <wp:effectExtent l="0" t="0" r="15875" b="17780"/>
                      <wp:wrapNone/>
                      <wp:docPr id="447" name="Rectangle 447"/>
                      <wp:cNvGraphicFramePr/>
                      <a:graphic xmlns:a="http://schemas.openxmlformats.org/drawingml/2006/main">
                        <a:graphicData uri="http://schemas.microsoft.com/office/word/2010/wordprocessingShape">
                          <wps:wsp>
                            <wps:cNvSpPr/>
                            <wps:spPr>
                              <a:xfrm>
                                <a:off x="0" y="0"/>
                                <a:ext cx="7013575" cy="4668520"/>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447" o:spid="_x0000_s1026" style="position:absolute;margin-left:-3.1pt;margin-top:4.75pt;width:552.25pt;height:367.6pt;z-index:25199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" filled="f" strokecolor="black [1600]" strokeweight="2pt"/>
                  </w:pict>
                </mc:Fallback>
              </mc:AlternateContent>
            </w:r>
            <w:r w:rsidRPr="000558D9">
              <w:rPr>
                <w:rFonts w:cs="Times New Roman"/>
                <w:b/>
                <w:sz w:val="18"/>
                <w:szCs w:val="18"/>
              </w:rPr>
              <w:t>Objectifs principaux</w:t>
            </w:r>
          </w:p>
        </w:tc>
      </w:tr>
    </w:tbl>
    <w:p w:rsidR="000558D9" w:rsidRPr="000558D9" w:rsidRDefault="000558D9" w:rsidP="000558D9">
      <w:pPr>
        <w:pStyle w:val="NormalWeb"/>
        <w:ind w:left="360"/>
        <w:rPr>
          <w:color w:val="000000"/>
          <w:sz w:val="18"/>
          <w:szCs w:val="18"/>
          <w:shd w:val="clear" w:color="auto" w:fill="FFFFFF"/>
        </w:rPr>
      </w:pPr>
      <w:r w:rsidRPr="000558D9">
        <w:rPr>
          <w:color w:val="000000"/>
          <w:sz w:val="18"/>
          <w:szCs w:val="18"/>
          <w:shd w:val="clear" w:color="auto" w:fill="FFFFFF"/>
        </w:rPr>
        <w:t>Le candidat devra connaître les tableaux cliniques pour lesquels des antécédents de mauvais traitements doivent être envisagés. Dans le cas présumé d'un enfant maltraité ou négligé, le candidat devra élaborer un plan de prise en charge approprié, en accordant une attention particulière aux questions de sécurité et de prévention.</w:t>
      </w:r>
    </w:p>
    <w:p w:rsidR="000558D9" w:rsidRPr="000558D9" w:rsidRDefault="000558D9" w:rsidP="000558D9">
      <w:pPr>
        <w:pStyle w:val="NormalWeb"/>
        <w:ind w:left="360"/>
        <w:rPr>
          <w:color w:val="000000"/>
          <w:sz w:val="18"/>
          <w:szCs w:val="18"/>
          <w:shd w:val="clear" w:color="auto" w:fill="FFFFFF"/>
        </w:rPr>
      </w:pPr>
      <w:r w:rsidRPr="000558D9">
        <w:rPr>
          <w:color w:val="000000"/>
          <w:sz w:val="18"/>
          <w:szCs w:val="18"/>
          <w:shd w:val="clear" w:color="auto" w:fill="FFFFFF"/>
        </w:rPr>
        <w:t>Devant un cas signalé de mauvais traitements envers un enfant, le candidat devra en diagnostiquer la cause, la gravité, les complications et les facteurs contributifs. Il devra également élaborer un plan de prise en charge initiale et de prévention approprié.</w:t>
      </w:r>
    </w:p>
    <w:tbl>
      <w:tblPr>
        <w:tblW w:w="3897" w:type="pct"/>
        <w:tblCellSpacing w:w="0" w:type="dxa"/>
        <w:tblCellMar>
          <w:left w:w="0" w:type="dxa"/>
          <w:right w:w="0" w:type="dxa"/>
        </w:tblCellMar>
        <w:tblLook w:val="04A0" w:firstRow="1" w:lastRow="0" w:firstColumn="1" w:lastColumn="0" w:noHBand="0" w:noVBand="1"/>
      </w:tblPr>
      <w:tblGrid>
        <w:gridCol w:w="8418"/>
      </w:tblGrid>
      <w:tr w:rsidR="000558D9" w:rsidRPr="000558D9" w:rsidTr="000558D9">
        <w:trPr>
          <w:tblCellSpacing w:w="0" w:type="dxa"/>
        </w:trPr>
        <w:tc>
          <w:tcPr>
            <w:tcW w:w="0" w:type="auto"/>
            <w:vAlign w:val="bottom"/>
            <w:hideMark/>
          </w:tcPr>
          <w:p w:rsidR="000558D9" w:rsidRPr="000558D9" w:rsidRDefault="000558D9" w:rsidP="000558D9">
            <w:pPr>
              <w:pStyle w:val="Sansinterligne"/>
              <w:rPr>
                <w:rFonts w:cs="Times New Roman"/>
                <w:b/>
                <w:sz w:val="16"/>
                <w:szCs w:val="16"/>
              </w:rPr>
            </w:pPr>
            <w:r w:rsidRPr="000558D9">
              <w:rPr>
                <w:rFonts w:cs="Times New Roman"/>
                <w:b/>
                <w:sz w:val="16"/>
                <w:szCs w:val="16"/>
              </w:rPr>
              <w:t>Objectifs spécifiques</w:t>
            </w:r>
          </w:p>
        </w:tc>
      </w:tr>
    </w:tbl>
    <w:p w:rsidR="000558D9" w:rsidRPr="000558D9" w:rsidRDefault="000558D9" w:rsidP="000558D9">
      <w:pPr>
        <w:pStyle w:val="NormalWeb"/>
        <w:shd w:val="clear" w:color="auto" w:fill="FFFFFF"/>
        <w:ind w:left="360"/>
        <w:rPr>
          <w:color w:val="000000"/>
          <w:sz w:val="16"/>
          <w:szCs w:val="16"/>
          <w:shd w:val="clear" w:color="auto" w:fill="FFFFFF"/>
        </w:rPr>
      </w:pPr>
      <w:r w:rsidRPr="000558D9">
        <w:rPr>
          <w:color w:val="000000"/>
          <w:sz w:val="16"/>
          <w:szCs w:val="16"/>
          <w:shd w:val="clear" w:color="auto" w:fill="FFFFFF"/>
        </w:rPr>
        <w:t>Dans le cas d'un enfant portant des blessures, le candidat devra déterminer si celles-ci peuvent être dues à des sévices, selon la nature des blessures en question, les explications de la personne ayant la garde de l'enfant, la concordance entre les explications données et le type de blessures en cause, de même que le niveau de développement de l'enfant.</w:t>
      </w:r>
    </w:p>
    <w:p w:rsidR="000558D9" w:rsidRPr="000558D9" w:rsidRDefault="000558D9" w:rsidP="000558D9">
      <w:pPr>
        <w:pStyle w:val="NormalWeb"/>
        <w:shd w:val="clear" w:color="auto" w:fill="FFFFFF"/>
        <w:ind w:left="360"/>
        <w:rPr>
          <w:color w:val="000000"/>
          <w:sz w:val="16"/>
          <w:szCs w:val="16"/>
          <w:shd w:val="clear" w:color="auto" w:fill="FFFFFF"/>
        </w:rPr>
      </w:pPr>
      <w:r w:rsidRPr="000558D9">
        <w:rPr>
          <w:color w:val="000000"/>
          <w:sz w:val="16"/>
          <w:szCs w:val="16"/>
          <w:shd w:val="clear" w:color="auto" w:fill="FFFFFF"/>
        </w:rPr>
        <w:t>Devant un cas présumé ou signalé de mauvais traitements envers un enfant, le candidat devra</w:t>
      </w:r>
    </w:p>
    <w:p w:rsidR="000558D9" w:rsidRPr="000558D9" w:rsidRDefault="000558D9" w:rsidP="005D429F">
      <w:pPr>
        <w:numPr>
          <w:ilvl w:val="0"/>
          <w:numId w:val="1049"/>
        </w:numPr>
        <w:shd w:val="clear" w:color="auto" w:fill="FFFFFF"/>
        <w:spacing w:before="100" w:beforeAutospacing="1" w:after="100" w:afterAutospacing="1" w:line="240" w:lineRule="auto"/>
        <w:rPr>
          <w:rFonts w:cs="Times New Roman"/>
          <w:color w:val="000000"/>
          <w:sz w:val="16"/>
          <w:szCs w:val="16"/>
          <w:shd w:val="clear" w:color="auto" w:fill="FFFFFF"/>
        </w:rPr>
      </w:pPr>
      <w:r w:rsidRPr="000558D9">
        <w:rPr>
          <w:rFonts w:cs="Times New Roman"/>
          <w:color w:val="000000"/>
          <w:sz w:val="16"/>
          <w:szCs w:val="16"/>
          <w:shd w:val="clear" w:color="auto" w:fill="FFFFFF"/>
        </w:rPr>
        <w:t>énumérer et interpréter les constatations cliniques cruciales, notamment :</w:t>
      </w:r>
    </w:p>
    <w:p w:rsidR="000558D9" w:rsidRPr="000558D9" w:rsidRDefault="000558D9" w:rsidP="005D429F">
      <w:pPr>
        <w:numPr>
          <w:ilvl w:val="1"/>
          <w:numId w:val="1049"/>
        </w:numPr>
        <w:shd w:val="clear" w:color="auto" w:fill="FFFFFF"/>
        <w:spacing w:before="100" w:beforeAutospacing="1" w:after="100" w:afterAutospacing="1" w:line="240" w:lineRule="auto"/>
        <w:rPr>
          <w:rFonts w:cs="Times New Roman"/>
          <w:color w:val="000000"/>
          <w:sz w:val="16"/>
          <w:szCs w:val="16"/>
          <w:shd w:val="clear" w:color="auto" w:fill="FFFFFF"/>
        </w:rPr>
      </w:pPr>
      <w:r w:rsidRPr="000558D9">
        <w:rPr>
          <w:rFonts w:cs="Times New Roman"/>
          <w:color w:val="000000"/>
          <w:sz w:val="16"/>
          <w:szCs w:val="16"/>
          <w:shd w:val="clear" w:color="auto" w:fill="FFFFFF"/>
        </w:rPr>
        <w:t>les principales manifestations de mauvais traitements (p. ex. infections transmissibles sexuellement, retard de développement, problèmes émotionnels ou de comportement);</w:t>
      </w:r>
    </w:p>
    <w:p w:rsidR="000558D9" w:rsidRPr="000558D9" w:rsidRDefault="000558D9" w:rsidP="005D429F">
      <w:pPr>
        <w:numPr>
          <w:ilvl w:val="1"/>
          <w:numId w:val="1049"/>
        </w:numPr>
        <w:shd w:val="clear" w:color="auto" w:fill="FFFFFF"/>
        <w:spacing w:before="100" w:beforeAutospacing="1" w:after="100" w:afterAutospacing="1" w:line="240" w:lineRule="auto"/>
        <w:rPr>
          <w:rFonts w:cs="Times New Roman"/>
          <w:color w:val="000000"/>
          <w:sz w:val="16"/>
          <w:szCs w:val="16"/>
          <w:shd w:val="clear" w:color="auto" w:fill="FFFFFF"/>
        </w:rPr>
      </w:pPr>
      <w:r w:rsidRPr="000558D9">
        <w:rPr>
          <w:rFonts w:cs="Times New Roman"/>
          <w:color w:val="000000"/>
          <w:sz w:val="16"/>
          <w:szCs w:val="16"/>
          <w:shd w:val="clear" w:color="auto" w:fill="FFFFFF"/>
        </w:rPr>
        <w:t>la dynamique familiale, les caractéristiques parentales et le contexte social pouvant donner lieu aux mauvais traitements;</w:t>
      </w:r>
    </w:p>
    <w:p w:rsidR="000558D9" w:rsidRPr="000558D9" w:rsidRDefault="000558D9" w:rsidP="005D429F">
      <w:pPr>
        <w:numPr>
          <w:ilvl w:val="1"/>
          <w:numId w:val="1049"/>
        </w:numPr>
        <w:shd w:val="clear" w:color="auto" w:fill="FFFFFF"/>
        <w:spacing w:before="100" w:beforeAutospacing="1" w:after="100" w:afterAutospacing="1" w:line="240" w:lineRule="auto"/>
        <w:rPr>
          <w:rFonts w:cs="Times New Roman"/>
          <w:color w:val="000000"/>
          <w:sz w:val="16"/>
          <w:szCs w:val="16"/>
          <w:shd w:val="clear" w:color="auto" w:fill="FFFFFF"/>
        </w:rPr>
      </w:pPr>
      <w:r w:rsidRPr="000558D9">
        <w:rPr>
          <w:rFonts w:cs="Times New Roman"/>
          <w:color w:val="000000"/>
          <w:sz w:val="16"/>
          <w:szCs w:val="16"/>
          <w:shd w:val="clear" w:color="auto" w:fill="FFFFFF"/>
        </w:rPr>
        <w:t>autre signe potentiel de mauvais traitements (p. ex. refus de la part des parents que l</w:t>
      </w:r>
      <w:r w:rsidR="00395CD3">
        <w:rPr>
          <w:rFonts w:cs="Times New Roman"/>
          <w:color w:val="000000"/>
          <w:sz w:val="16"/>
          <w:szCs w:val="16"/>
          <w:shd w:val="clear" w:color="auto" w:fill="FFFFFF"/>
        </w:rPr>
        <w:t>’</w:t>
      </w:r>
      <w:r w:rsidRPr="000558D9">
        <w:rPr>
          <w:rFonts w:cs="Times New Roman"/>
          <w:color w:val="000000"/>
          <w:sz w:val="16"/>
          <w:szCs w:val="16"/>
          <w:shd w:val="clear" w:color="auto" w:fill="FFFFFF"/>
        </w:rPr>
        <w:t>enfant soit interrogé en privé);</w:t>
      </w:r>
    </w:p>
    <w:p w:rsidR="000558D9" w:rsidRPr="000558D9" w:rsidRDefault="000558D9" w:rsidP="005D429F">
      <w:pPr>
        <w:numPr>
          <w:ilvl w:val="1"/>
          <w:numId w:val="1049"/>
        </w:numPr>
        <w:shd w:val="clear" w:color="auto" w:fill="FFFFFF"/>
        <w:spacing w:before="100" w:beforeAutospacing="1" w:after="100" w:afterAutospacing="1" w:line="240" w:lineRule="auto"/>
        <w:rPr>
          <w:rFonts w:cs="Times New Roman"/>
          <w:color w:val="000000"/>
          <w:sz w:val="16"/>
          <w:szCs w:val="16"/>
          <w:shd w:val="clear" w:color="auto" w:fill="FFFFFF"/>
        </w:rPr>
      </w:pPr>
      <w:r w:rsidRPr="000558D9">
        <w:rPr>
          <w:rFonts w:cs="Times New Roman"/>
          <w:color w:val="000000"/>
          <w:sz w:val="16"/>
          <w:szCs w:val="16"/>
          <w:shd w:val="clear" w:color="auto" w:fill="FFFFFF"/>
        </w:rPr>
        <w:t>les similarités avec des cas types de mauvais traitements (p. ex. blessures accidentelles, affections médicales);</w:t>
      </w:r>
    </w:p>
    <w:p w:rsidR="000558D9" w:rsidRPr="000558D9" w:rsidRDefault="000558D9" w:rsidP="005D429F">
      <w:pPr>
        <w:numPr>
          <w:ilvl w:val="1"/>
          <w:numId w:val="1049"/>
        </w:numPr>
        <w:shd w:val="clear" w:color="auto" w:fill="FFFFFF"/>
        <w:spacing w:before="100" w:beforeAutospacing="1" w:after="100" w:afterAutospacing="1" w:line="240" w:lineRule="auto"/>
        <w:rPr>
          <w:rFonts w:cs="Times New Roman"/>
          <w:color w:val="000000"/>
          <w:sz w:val="16"/>
          <w:szCs w:val="16"/>
          <w:shd w:val="clear" w:color="auto" w:fill="FFFFFF"/>
        </w:rPr>
      </w:pPr>
      <w:r w:rsidRPr="000558D9">
        <w:rPr>
          <w:rFonts w:cs="Times New Roman"/>
          <w:color w:val="000000"/>
          <w:sz w:val="16"/>
          <w:szCs w:val="16"/>
          <w:shd w:val="clear" w:color="auto" w:fill="FFFFFF"/>
        </w:rPr>
        <w:t xml:space="preserve">la nécessité de procéder à une anamnèse et à un examen physique </w:t>
      </w:r>
      <w:r w:rsidR="00CC1A13" w:rsidRPr="000558D9">
        <w:rPr>
          <w:rFonts w:cs="Times New Roman"/>
          <w:color w:val="000000"/>
          <w:sz w:val="16"/>
          <w:szCs w:val="16"/>
          <w:shd w:val="clear" w:color="auto" w:fill="FFFFFF"/>
        </w:rPr>
        <w:t>approprié</w:t>
      </w:r>
      <w:r w:rsidRPr="000558D9">
        <w:rPr>
          <w:rFonts w:cs="Times New Roman"/>
          <w:color w:val="000000"/>
          <w:sz w:val="16"/>
          <w:szCs w:val="16"/>
          <w:shd w:val="clear" w:color="auto" w:fill="FFFFFF"/>
        </w:rPr>
        <w:t xml:space="preserve"> en vue d</w:t>
      </w:r>
      <w:r w:rsidR="00395CD3">
        <w:rPr>
          <w:rFonts w:cs="Times New Roman"/>
          <w:color w:val="000000"/>
          <w:sz w:val="16"/>
          <w:szCs w:val="16"/>
          <w:shd w:val="clear" w:color="auto" w:fill="FFFFFF"/>
        </w:rPr>
        <w:t>’</w:t>
      </w:r>
      <w:r w:rsidRPr="000558D9">
        <w:rPr>
          <w:rFonts w:cs="Times New Roman"/>
          <w:color w:val="000000"/>
          <w:sz w:val="16"/>
          <w:szCs w:val="16"/>
          <w:shd w:val="clear" w:color="auto" w:fill="FFFFFF"/>
        </w:rPr>
        <w:t>obtenir des preuves additionnelles de mauvais traitements (p. ex. ecchymoses, cicatrices);</w:t>
      </w:r>
    </w:p>
    <w:p w:rsidR="000558D9" w:rsidRPr="000558D9" w:rsidRDefault="000558D9" w:rsidP="005D429F">
      <w:pPr>
        <w:numPr>
          <w:ilvl w:val="0"/>
          <w:numId w:val="1049"/>
        </w:numPr>
        <w:shd w:val="clear" w:color="auto" w:fill="FFFFFF"/>
        <w:spacing w:before="100" w:beforeAutospacing="1" w:after="100" w:afterAutospacing="1" w:line="240" w:lineRule="auto"/>
        <w:rPr>
          <w:rFonts w:cs="Times New Roman"/>
          <w:color w:val="000000"/>
          <w:sz w:val="16"/>
          <w:szCs w:val="16"/>
          <w:shd w:val="clear" w:color="auto" w:fill="FFFFFF"/>
        </w:rPr>
      </w:pPr>
      <w:r w:rsidRPr="000558D9">
        <w:rPr>
          <w:rFonts w:cs="Times New Roman"/>
          <w:color w:val="000000"/>
          <w:sz w:val="16"/>
          <w:szCs w:val="16"/>
          <w:shd w:val="clear" w:color="auto" w:fill="FFFFFF"/>
        </w:rPr>
        <w:t>énumérer et interpréter les examens essentiels, notamment :</w:t>
      </w:r>
    </w:p>
    <w:p w:rsidR="000558D9" w:rsidRPr="000558D9" w:rsidRDefault="000558D9" w:rsidP="005D429F">
      <w:pPr>
        <w:numPr>
          <w:ilvl w:val="1"/>
          <w:numId w:val="1049"/>
        </w:numPr>
        <w:shd w:val="clear" w:color="auto" w:fill="FFFFFF"/>
        <w:spacing w:before="100" w:beforeAutospacing="1" w:after="100" w:afterAutospacing="1" w:line="240" w:lineRule="auto"/>
        <w:rPr>
          <w:rFonts w:cs="Times New Roman"/>
          <w:color w:val="000000"/>
          <w:sz w:val="16"/>
          <w:szCs w:val="16"/>
          <w:shd w:val="clear" w:color="auto" w:fill="FFFFFF"/>
        </w:rPr>
      </w:pPr>
      <w:r w:rsidRPr="000558D9">
        <w:rPr>
          <w:rFonts w:cs="Times New Roman"/>
          <w:color w:val="000000"/>
          <w:sz w:val="16"/>
          <w:szCs w:val="16"/>
          <w:shd w:val="clear" w:color="auto" w:fill="FFFFFF"/>
        </w:rPr>
        <w:t>les examens radiologiques permettant de prendre en charge la blessure actuelle et de rechercher des signes de traumatisme antérieur;</w:t>
      </w:r>
    </w:p>
    <w:p w:rsidR="000558D9" w:rsidRPr="000558D9" w:rsidRDefault="000558D9" w:rsidP="005D429F">
      <w:pPr>
        <w:numPr>
          <w:ilvl w:val="1"/>
          <w:numId w:val="1049"/>
        </w:numPr>
        <w:shd w:val="clear" w:color="auto" w:fill="FFFFFF"/>
        <w:spacing w:before="100" w:beforeAutospacing="1" w:after="100" w:afterAutospacing="1" w:line="240" w:lineRule="auto"/>
        <w:rPr>
          <w:rFonts w:cs="Times New Roman"/>
          <w:color w:val="000000"/>
          <w:sz w:val="16"/>
          <w:szCs w:val="16"/>
          <w:shd w:val="clear" w:color="auto" w:fill="FFFFFF"/>
        </w:rPr>
      </w:pPr>
      <w:r w:rsidRPr="000558D9">
        <w:rPr>
          <w:rFonts w:cs="Times New Roman"/>
          <w:color w:val="000000"/>
          <w:sz w:val="16"/>
          <w:szCs w:val="16"/>
          <w:shd w:val="clear" w:color="auto" w:fill="FFFFFF"/>
        </w:rPr>
        <w:t>les autres examens pertinents (p. ex. analyses de coagulation, analyses toxicologiques);</w:t>
      </w:r>
    </w:p>
    <w:p w:rsidR="000558D9" w:rsidRPr="000558D9" w:rsidRDefault="000558D9" w:rsidP="005D429F">
      <w:pPr>
        <w:numPr>
          <w:ilvl w:val="0"/>
          <w:numId w:val="1049"/>
        </w:numPr>
        <w:shd w:val="clear" w:color="auto" w:fill="FFFFFF"/>
        <w:spacing w:before="100" w:beforeAutospacing="1" w:after="100" w:afterAutospacing="1" w:line="240" w:lineRule="auto"/>
        <w:rPr>
          <w:rFonts w:cs="Times New Roman"/>
          <w:color w:val="000000"/>
          <w:sz w:val="16"/>
          <w:szCs w:val="16"/>
          <w:shd w:val="clear" w:color="auto" w:fill="FFFFFF"/>
        </w:rPr>
      </w:pPr>
      <w:r w:rsidRPr="000558D9">
        <w:rPr>
          <w:rFonts w:cs="Times New Roman"/>
          <w:color w:val="000000"/>
          <w:sz w:val="16"/>
          <w:szCs w:val="16"/>
          <w:shd w:val="clear" w:color="auto" w:fill="FFFFFF"/>
        </w:rPr>
        <w:t>établir un plan efficace de prise en charge initiale, notamment :</w:t>
      </w:r>
    </w:p>
    <w:p w:rsidR="000558D9" w:rsidRPr="000558D9" w:rsidRDefault="000558D9" w:rsidP="005D429F">
      <w:pPr>
        <w:numPr>
          <w:ilvl w:val="1"/>
          <w:numId w:val="1049"/>
        </w:numPr>
        <w:shd w:val="clear" w:color="auto" w:fill="FFFFFF"/>
        <w:spacing w:before="100" w:beforeAutospacing="1" w:after="100" w:afterAutospacing="1" w:line="240" w:lineRule="auto"/>
        <w:rPr>
          <w:rFonts w:cs="Times New Roman"/>
          <w:color w:val="000000"/>
          <w:sz w:val="16"/>
          <w:szCs w:val="16"/>
          <w:shd w:val="clear" w:color="auto" w:fill="FFFFFF"/>
        </w:rPr>
      </w:pPr>
      <w:r w:rsidRPr="000558D9">
        <w:rPr>
          <w:rFonts w:cs="Times New Roman"/>
          <w:color w:val="000000"/>
          <w:sz w:val="16"/>
          <w:szCs w:val="16"/>
          <w:shd w:val="clear" w:color="auto" w:fill="FFFFFF"/>
        </w:rPr>
        <w:t>noter au dossier les éléments pertinents;</w:t>
      </w:r>
    </w:p>
    <w:p w:rsidR="000558D9" w:rsidRPr="000558D9" w:rsidRDefault="000558D9" w:rsidP="005D429F">
      <w:pPr>
        <w:numPr>
          <w:ilvl w:val="1"/>
          <w:numId w:val="1049"/>
        </w:numPr>
        <w:shd w:val="clear" w:color="auto" w:fill="FFFFFF"/>
        <w:spacing w:before="100" w:beforeAutospacing="1" w:after="100" w:afterAutospacing="1" w:line="240" w:lineRule="auto"/>
        <w:rPr>
          <w:rFonts w:cs="Times New Roman"/>
          <w:color w:val="000000"/>
          <w:sz w:val="16"/>
          <w:szCs w:val="16"/>
          <w:shd w:val="clear" w:color="auto" w:fill="FFFFFF"/>
        </w:rPr>
      </w:pPr>
      <w:r w:rsidRPr="000558D9">
        <w:rPr>
          <w:rFonts w:cs="Times New Roman"/>
          <w:color w:val="000000"/>
          <w:sz w:val="16"/>
          <w:szCs w:val="16"/>
          <w:shd w:val="clear" w:color="auto" w:fill="FFFFFF"/>
        </w:rPr>
        <w:t>exposer brièvement les moyens d'assurer la sécurité de l'enfant, et plus précisément :</w:t>
      </w:r>
    </w:p>
    <w:p w:rsidR="000558D9" w:rsidRPr="000558D9" w:rsidRDefault="000558D9" w:rsidP="005D429F">
      <w:pPr>
        <w:numPr>
          <w:ilvl w:val="2"/>
          <w:numId w:val="1049"/>
        </w:numPr>
        <w:shd w:val="clear" w:color="auto" w:fill="FFFFFF"/>
        <w:spacing w:before="100" w:beforeAutospacing="1" w:after="100" w:afterAutospacing="1" w:line="240" w:lineRule="auto"/>
        <w:rPr>
          <w:rFonts w:cs="Times New Roman"/>
          <w:color w:val="000000"/>
          <w:sz w:val="16"/>
          <w:szCs w:val="16"/>
          <w:shd w:val="clear" w:color="auto" w:fill="FFFFFF"/>
        </w:rPr>
      </w:pPr>
      <w:r w:rsidRPr="000558D9">
        <w:rPr>
          <w:rFonts w:cs="Times New Roman"/>
          <w:color w:val="000000"/>
          <w:sz w:val="16"/>
          <w:szCs w:val="16"/>
          <w:shd w:val="clear" w:color="auto" w:fill="FFFFFF"/>
        </w:rPr>
        <w:t>rapporter les cas de mauvais traitements aux organismes appropriés d'aide à l'enfance;</w:t>
      </w:r>
    </w:p>
    <w:p w:rsidR="000558D9" w:rsidRPr="000558D9" w:rsidRDefault="000558D9" w:rsidP="005D429F">
      <w:pPr>
        <w:numPr>
          <w:ilvl w:val="2"/>
          <w:numId w:val="1049"/>
        </w:numPr>
        <w:shd w:val="clear" w:color="auto" w:fill="FFFFFF"/>
        <w:spacing w:before="100" w:beforeAutospacing="1" w:after="100" w:afterAutospacing="1" w:line="240" w:lineRule="auto"/>
        <w:rPr>
          <w:rFonts w:cs="Times New Roman"/>
          <w:color w:val="000000"/>
          <w:sz w:val="16"/>
          <w:szCs w:val="16"/>
          <w:shd w:val="clear" w:color="auto" w:fill="FFFFFF"/>
        </w:rPr>
      </w:pPr>
      <w:r w:rsidRPr="000558D9">
        <w:rPr>
          <w:rFonts w:cs="Times New Roman"/>
          <w:color w:val="000000"/>
          <w:sz w:val="16"/>
          <w:szCs w:val="16"/>
          <w:shd w:val="clear" w:color="auto" w:fill="FFFFFF"/>
        </w:rPr>
        <w:t>déterminer si d'autres enfants courent des risques et s'ils doivent être examinés;</w:t>
      </w:r>
    </w:p>
    <w:p w:rsidR="00395CD3" w:rsidRPr="006473EC" w:rsidRDefault="000558D9" w:rsidP="005D429F">
      <w:pPr>
        <w:numPr>
          <w:ilvl w:val="1"/>
          <w:numId w:val="1049"/>
        </w:numPr>
        <w:shd w:val="clear" w:color="auto" w:fill="FFFFFF"/>
        <w:spacing w:before="100" w:beforeAutospacing="1" w:after="0" w:line="240" w:lineRule="auto"/>
        <w:rPr>
          <w:rFonts w:cs="Times New Roman"/>
          <w:color w:val="000000"/>
          <w:sz w:val="16"/>
          <w:szCs w:val="16"/>
          <w:shd w:val="clear" w:color="auto" w:fill="FFFFFF"/>
        </w:rPr>
      </w:pPr>
      <w:r w:rsidRPr="000558D9">
        <w:rPr>
          <w:rFonts w:cs="Times New Roman"/>
          <w:color w:val="000000"/>
          <w:sz w:val="16"/>
          <w:szCs w:val="16"/>
          <w:shd w:val="clear" w:color="auto" w:fill="FFFFFF"/>
        </w:rPr>
        <w:t>le cas échéant, adresser l'enfant à un pédiatre ou à une équipe de protection de l'enfant à l'hôpital afin d'obtenir une autre év</w:t>
      </w:r>
      <w:r w:rsidR="00AC3923">
        <w:rPr>
          <w:rFonts w:cs="Times New Roman"/>
          <w:color w:val="000000"/>
          <w:sz w:val="16"/>
          <w:szCs w:val="16"/>
          <w:shd w:val="clear" w:color="auto" w:fill="FFFFFF"/>
        </w:rPr>
        <w:t>aluation et une seconde opinion</w:t>
      </w:r>
    </w:p>
    <w:p w:rsidR="0016487D" w:rsidRPr="0016487D" w:rsidRDefault="0016487D" w:rsidP="00395CD3">
      <w:pPr>
        <w:pStyle w:val="Sansinterligne"/>
        <w:rPr>
          <w:b/>
          <w:sz w:val="16"/>
          <w:szCs w:val="16"/>
        </w:rPr>
      </w:pPr>
    </w:p>
    <w:p w:rsidR="00395CD3" w:rsidRPr="00686214" w:rsidRDefault="00395CD3" w:rsidP="00395CD3">
      <w:pPr>
        <w:pStyle w:val="Sansinterligne"/>
        <w:rPr>
          <w:b/>
          <w:sz w:val="28"/>
          <w:szCs w:val="28"/>
        </w:rPr>
      </w:pPr>
      <w:r w:rsidRPr="00686214">
        <w:rPr>
          <w:b/>
          <w:sz w:val="28"/>
          <w:szCs w:val="28"/>
        </w:rPr>
        <w:t>Facteurs de risque</w:t>
      </w:r>
      <w:r w:rsidR="006473EC" w:rsidRPr="00686214">
        <w:rPr>
          <w:b/>
          <w:sz w:val="28"/>
          <w:szCs w:val="28"/>
        </w:rPr>
        <w:t xml:space="preserve"> de mauvais traitements envers un enfant </w:t>
      </w:r>
    </w:p>
    <w:p w:rsidR="006473EC" w:rsidRDefault="006473EC" w:rsidP="00AC3923">
      <w:pPr>
        <w:pStyle w:val="Sansinterligne"/>
      </w:pPr>
    </w:p>
    <w:p w:rsidR="006473EC" w:rsidRPr="0016487D" w:rsidRDefault="006473EC" w:rsidP="00AC3923">
      <w:pPr>
        <w:pStyle w:val="Sansinterligne"/>
        <w:rPr>
          <w:sz w:val="16"/>
          <w:szCs w:val="16"/>
        </w:rPr>
        <w:sectPr w:rsidR="006473EC" w:rsidRPr="0016487D" w:rsidSect="00217865">
          <w:type w:val="continuous"/>
          <w:pgSz w:w="12240" w:h="15840"/>
          <w:pgMar w:top="720" w:right="720" w:bottom="720" w:left="720" w:header="708" w:footer="708" w:gutter="0"/>
          <w:cols w:space="708"/>
          <w:docGrid w:linePitch="360"/>
        </w:sectPr>
      </w:pPr>
    </w:p>
    <w:tbl>
      <w:tblPr>
        <w:tblStyle w:val="Grilledutableau"/>
        <w:tblW w:w="0" w:type="auto"/>
        <w:tblInd w:w="360" w:type="dxa"/>
        <w:tblLook w:val="04A0" w:firstRow="1" w:lastRow="0" w:firstColumn="1" w:lastColumn="0" w:noHBand="0" w:noVBand="1"/>
      </w:tblPr>
      <w:tblGrid>
        <w:gridCol w:w="3543"/>
        <w:gridCol w:w="3573"/>
        <w:gridCol w:w="3540"/>
      </w:tblGrid>
      <w:tr w:rsidR="00686214" w:rsidTr="00686214">
        <w:tc>
          <w:tcPr>
            <w:tcW w:w="3543" w:type="dxa"/>
            <w:shd w:val="clear" w:color="auto" w:fill="FFC000"/>
            <w:vAlign w:val="center"/>
          </w:tcPr>
          <w:p w:rsidR="00686214" w:rsidRDefault="00686214" w:rsidP="00686214">
            <w:pPr>
              <w:pStyle w:val="Sansinterligne"/>
              <w:jc w:val="center"/>
              <w:rPr>
                <w:b/>
              </w:rPr>
            </w:pPr>
            <w:r>
              <w:rPr>
                <w:b/>
              </w:rPr>
              <w:t>Sociaux</w:t>
            </w:r>
          </w:p>
        </w:tc>
        <w:tc>
          <w:tcPr>
            <w:tcW w:w="3573" w:type="dxa"/>
            <w:shd w:val="clear" w:color="auto" w:fill="FFC000"/>
            <w:vAlign w:val="center"/>
          </w:tcPr>
          <w:p w:rsidR="00686214" w:rsidRDefault="00686214" w:rsidP="00686214">
            <w:pPr>
              <w:pStyle w:val="Sansinterligne"/>
              <w:jc w:val="center"/>
              <w:rPr>
                <w:b/>
              </w:rPr>
            </w:pPr>
            <w:r>
              <w:rPr>
                <w:b/>
              </w:rPr>
              <w:t>Soignant/parent</w:t>
            </w:r>
          </w:p>
        </w:tc>
        <w:tc>
          <w:tcPr>
            <w:tcW w:w="3540" w:type="dxa"/>
            <w:shd w:val="clear" w:color="auto" w:fill="FFC000"/>
            <w:vAlign w:val="center"/>
          </w:tcPr>
          <w:p w:rsidR="00686214" w:rsidRDefault="00686214" w:rsidP="00686214">
            <w:pPr>
              <w:pStyle w:val="Sansinterligne"/>
              <w:jc w:val="center"/>
              <w:rPr>
                <w:b/>
              </w:rPr>
            </w:pPr>
            <w:r>
              <w:rPr>
                <w:b/>
              </w:rPr>
              <w:t>Enfant</w:t>
            </w:r>
          </w:p>
        </w:tc>
      </w:tr>
      <w:tr w:rsidR="00686214" w:rsidTr="00CC1A13">
        <w:trPr>
          <w:trHeight w:val="1568"/>
        </w:trPr>
        <w:tc>
          <w:tcPr>
            <w:tcW w:w="3543" w:type="dxa"/>
            <w:shd w:val="clear" w:color="auto" w:fill="FBD4B4" w:themeFill="accent6" w:themeFillTint="66"/>
            <w:vAlign w:val="center"/>
          </w:tcPr>
          <w:p w:rsidR="00686214" w:rsidRDefault="00686214" w:rsidP="00686214">
            <w:pPr>
              <w:pStyle w:val="Sansinterligne"/>
              <w:ind w:left="720"/>
            </w:pPr>
          </w:p>
          <w:p w:rsidR="00686214" w:rsidRDefault="00686214" w:rsidP="005D429F">
            <w:pPr>
              <w:pStyle w:val="Sansinterligne"/>
              <w:numPr>
                <w:ilvl w:val="0"/>
                <w:numId w:val="1050"/>
              </w:numPr>
            </w:pPr>
            <w:r>
              <w:t>Isolement social</w:t>
            </w:r>
          </w:p>
          <w:p w:rsidR="00686214" w:rsidRDefault="00686214" w:rsidP="005D429F">
            <w:pPr>
              <w:pStyle w:val="Sansinterligne"/>
              <w:numPr>
                <w:ilvl w:val="0"/>
                <w:numId w:val="1050"/>
              </w:numPr>
            </w:pPr>
            <w:r>
              <w:t>Pauvreté</w:t>
            </w:r>
          </w:p>
          <w:p w:rsidR="00686214" w:rsidRDefault="00686214" w:rsidP="005D429F">
            <w:pPr>
              <w:pStyle w:val="Sansinterligne"/>
              <w:numPr>
                <w:ilvl w:val="0"/>
                <w:numId w:val="1050"/>
              </w:numPr>
            </w:pPr>
            <w:r>
              <w:t>Violence conjugale / familiale</w:t>
            </w:r>
          </w:p>
          <w:p w:rsidR="00B057B8" w:rsidRDefault="00B057B8" w:rsidP="005D429F">
            <w:pPr>
              <w:pStyle w:val="Sansinterligne"/>
              <w:numPr>
                <w:ilvl w:val="0"/>
                <w:numId w:val="1050"/>
              </w:numPr>
            </w:pPr>
            <w:r>
              <w:t>Situation de crise (perte d’emploi, maladie, etc.)</w:t>
            </w:r>
          </w:p>
          <w:p w:rsidR="00686214" w:rsidRDefault="00686214" w:rsidP="00686214">
            <w:pPr>
              <w:pStyle w:val="Sansinterligne"/>
              <w:rPr>
                <w:b/>
              </w:rPr>
            </w:pPr>
          </w:p>
        </w:tc>
        <w:tc>
          <w:tcPr>
            <w:tcW w:w="3573" w:type="dxa"/>
            <w:shd w:val="clear" w:color="auto" w:fill="FBD4B4" w:themeFill="accent6" w:themeFillTint="66"/>
            <w:vAlign w:val="center"/>
          </w:tcPr>
          <w:p w:rsidR="00686214" w:rsidRDefault="00686214" w:rsidP="00686214">
            <w:pPr>
              <w:pStyle w:val="Sansinterligne"/>
              <w:ind w:left="720"/>
            </w:pPr>
          </w:p>
          <w:p w:rsidR="00686214" w:rsidRDefault="00686214" w:rsidP="005D429F">
            <w:pPr>
              <w:pStyle w:val="Sansinterligne"/>
              <w:numPr>
                <w:ilvl w:val="0"/>
                <w:numId w:val="1050"/>
              </w:numPr>
            </w:pPr>
            <w:r>
              <w:t xml:space="preserve">Intelligence sous la moyenne </w:t>
            </w:r>
          </w:p>
          <w:p w:rsidR="00686214" w:rsidRDefault="00686214" w:rsidP="005D429F">
            <w:pPr>
              <w:pStyle w:val="Sansinterligne"/>
              <w:numPr>
                <w:ilvl w:val="0"/>
                <w:numId w:val="1050"/>
              </w:numPr>
            </w:pPr>
            <w:r>
              <w:t>ATCD d’abus (sur eux)</w:t>
            </w:r>
          </w:p>
          <w:p w:rsidR="00686214" w:rsidRDefault="00686214" w:rsidP="005D429F">
            <w:pPr>
              <w:pStyle w:val="Sansinterligne"/>
              <w:numPr>
                <w:ilvl w:val="0"/>
                <w:numId w:val="1050"/>
              </w:numPr>
            </w:pPr>
            <w:r>
              <w:t>Trouble psychiatrique</w:t>
            </w:r>
          </w:p>
          <w:p w:rsidR="00686214" w:rsidRDefault="00686214" w:rsidP="005D429F">
            <w:pPr>
              <w:pStyle w:val="Sansinterligne"/>
              <w:numPr>
                <w:ilvl w:val="0"/>
                <w:numId w:val="1050"/>
              </w:numPr>
            </w:pPr>
            <w:r>
              <w:t>Abus de substance</w:t>
            </w:r>
          </w:p>
          <w:p w:rsidR="00686214" w:rsidRDefault="00686214" w:rsidP="005D429F">
            <w:pPr>
              <w:pStyle w:val="Sansinterligne"/>
              <w:numPr>
                <w:ilvl w:val="0"/>
                <w:numId w:val="1050"/>
              </w:numPr>
            </w:pPr>
            <w:r>
              <w:t>Monoparentalité</w:t>
            </w:r>
          </w:p>
          <w:p w:rsidR="00686214" w:rsidRDefault="00686214" w:rsidP="005D429F">
            <w:pPr>
              <w:pStyle w:val="Sansinterligne"/>
              <w:numPr>
                <w:ilvl w:val="0"/>
                <w:numId w:val="1050"/>
              </w:numPr>
            </w:pPr>
            <w:r>
              <w:t>Faible capacités relationnelles et professionnelles</w:t>
            </w:r>
          </w:p>
          <w:p w:rsidR="00686214" w:rsidRPr="00686214" w:rsidRDefault="00686214" w:rsidP="00686214">
            <w:pPr>
              <w:pStyle w:val="Sansinterligne"/>
              <w:ind w:left="360"/>
            </w:pPr>
          </w:p>
        </w:tc>
        <w:tc>
          <w:tcPr>
            <w:tcW w:w="3540" w:type="dxa"/>
            <w:shd w:val="clear" w:color="auto" w:fill="FBD4B4" w:themeFill="accent6" w:themeFillTint="66"/>
            <w:vAlign w:val="center"/>
          </w:tcPr>
          <w:p w:rsidR="00686214" w:rsidRDefault="00686214" w:rsidP="00686214">
            <w:pPr>
              <w:pStyle w:val="Sansinterligne"/>
              <w:ind w:left="360"/>
            </w:pPr>
          </w:p>
          <w:p w:rsidR="00686214" w:rsidRDefault="00686214" w:rsidP="005D429F">
            <w:pPr>
              <w:pStyle w:val="Sansinterligne"/>
              <w:numPr>
                <w:ilvl w:val="0"/>
                <w:numId w:val="1050"/>
              </w:numPr>
            </w:pPr>
            <w:r>
              <w:t>Handicap</w:t>
            </w:r>
          </w:p>
          <w:p w:rsidR="00686214" w:rsidRDefault="00686214" w:rsidP="005D429F">
            <w:pPr>
              <w:pStyle w:val="Sansinterligne"/>
              <w:numPr>
                <w:ilvl w:val="0"/>
                <w:numId w:val="1050"/>
              </w:numPr>
            </w:pPr>
            <w:r>
              <w:t>Tempérament difficile</w:t>
            </w:r>
          </w:p>
          <w:p w:rsidR="00B057B8" w:rsidRDefault="00B057B8" w:rsidP="005D429F">
            <w:pPr>
              <w:pStyle w:val="Sansinterligne"/>
              <w:numPr>
                <w:ilvl w:val="0"/>
                <w:numId w:val="1050"/>
              </w:numPr>
            </w:pPr>
            <w:r>
              <w:t xml:space="preserve">Prématurité </w:t>
            </w:r>
          </w:p>
          <w:p w:rsidR="00686214" w:rsidRPr="00B057B8" w:rsidRDefault="00686214" w:rsidP="005D429F">
            <w:pPr>
              <w:pStyle w:val="Sansinterligne"/>
              <w:numPr>
                <w:ilvl w:val="0"/>
                <w:numId w:val="1050"/>
              </w:numPr>
            </w:pPr>
            <w:r>
              <w:t>Besoins particuliers (ex : retard de développement)</w:t>
            </w:r>
          </w:p>
        </w:tc>
      </w:tr>
    </w:tbl>
    <w:p w:rsidR="006473EC" w:rsidRDefault="006473EC" w:rsidP="00AC3923">
      <w:pPr>
        <w:pStyle w:val="Sansinterligne"/>
        <w:sectPr w:rsidR="006473EC" w:rsidSect="006473EC">
          <w:type w:val="continuous"/>
          <w:pgSz w:w="12240" w:h="15840"/>
          <w:pgMar w:top="720" w:right="720" w:bottom="720" w:left="720" w:header="708" w:footer="708" w:gutter="0"/>
          <w:cols w:space="0"/>
          <w:docGrid w:linePitch="360"/>
        </w:sectPr>
      </w:pPr>
    </w:p>
    <w:p w:rsidR="006473EC" w:rsidRPr="0016487D" w:rsidRDefault="00060756" w:rsidP="00AC3923">
      <w:pPr>
        <w:pStyle w:val="Sansinterligne"/>
        <w:rPr>
          <w:sz w:val="16"/>
          <w:szCs w:val="16"/>
        </w:rPr>
        <w:sectPr w:rsidR="006473EC" w:rsidRPr="0016487D" w:rsidSect="006473EC">
          <w:type w:val="continuous"/>
          <w:pgSz w:w="12240" w:h="15840"/>
          <w:pgMar w:top="720" w:right="720" w:bottom="720" w:left="720" w:header="708" w:footer="708" w:gutter="0"/>
          <w:cols w:num="3" w:space="0" w:equalWidth="0">
            <w:col w:w="3127" w:space="0"/>
            <w:col w:w="3486" w:space="0"/>
            <w:col w:w="4187"/>
          </w:cols>
          <w:docGrid w:linePitch="360"/>
        </w:sectPr>
      </w:pPr>
      <w:r>
        <w:rPr>
          <w:noProof/>
          <w:lang w:eastAsia="fr-CA"/>
        </w:rPr>
        <w:drawing>
          <wp:anchor distT="0" distB="0" distL="114300" distR="114300" simplePos="0" relativeHeight="251997184" behindDoc="0" locked="0" layoutInCell="1" allowOverlap="1" wp14:anchorId="33E4E0E2" wp14:editId="6E93FB64">
            <wp:simplePos x="0" y="0"/>
            <wp:positionH relativeFrom="column">
              <wp:posOffset>2061210</wp:posOffset>
            </wp:positionH>
            <wp:positionV relativeFrom="paragraph">
              <wp:posOffset>47625</wp:posOffset>
            </wp:positionV>
            <wp:extent cx="2665095" cy="1419225"/>
            <wp:effectExtent l="0" t="0" r="1905" b="9525"/>
            <wp:wrapNone/>
            <wp:docPr id="500" name="Image 500" descr="Résultats de recherche d'images pour « maltraitance enfan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ésultats de recherche d'images pour « maltraitance enfant »"/>
                    <pic:cNvPicPr>
                      <a:picLocks noChangeAspect="1" noChangeArrowheads="1"/>
                    </pic:cNvPicPr>
                  </pic:nvPicPr>
                  <pic:blipFill>
                    <a:blip r:embed="rId392">
                      <a:extLst>
                        <a:ext uri="{28A0092B-C50C-407E-A947-70E740481C1C}">
                          <a14:useLocalDpi xmlns:a14="http://schemas.microsoft.com/office/drawing/2010/main" val="0"/>
                        </a:ext>
                      </a:extLst>
                    </a:blip>
                    <a:srcRect/>
                    <a:stretch>
                      <a:fillRect/>
                    </a:stretch>
                  </pic:blipFill>
                  <pic:spPr bwMode="auto">
                    <a:xfrm>
                      <a:off x="0" y="0"/>
                      <a:ext cx="2665095" cy="14192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32199" w:rsidRDefault="00C32199" w:rsidP="00AC3923">
      <w:pPr>
        <w:pStyle w:val="Sansinterligne"/>
        <w:rPr>
          <w:rFonts w:eastAsia="Times New Roman" w:cs="Times New Roman"/>
          <w:b/>
          <w:color w:val="000000"/>
          <w:sz w:val="28"/>
          <w:szCs w:val="28"/>
          <w:lang w:eastAsia="fr-CA"/>
        </w:rPr>
      </w:pPr>
    </w:p>
    <w:p w:rsidR="00C32199" w:rsidRDefault="00C32199" w:rsidP="00AC3923">
      <w:pPr>
        <w:pStyle w:val="Sansinterligne"/>
        <w:rPr>
          <w:rFonts w:eastAsia="Times New Roman" w:cs="Times New Roman"/>
          <w:b/>
          <w:color w:val="000000"/>
          <w:sz w:val="28"/>
          <w:szCs w:val="28"/>
          <w:lang w:eastAsia="fr-CA"/>
        </w:rPr>
      </w:pPr>
    </w:p>
    <w:p w:rsidR="00C32199" w:rsidRDefault="00C32199" w:rsidP="00AC3923">
      <w:pPr>
        <w:pStyle w:val="Sansinterligne"/>
        <w:rPr>
          <w:rFonts w:eastAsia="Times New Roman" w:cs="Times New Roman"/>
          <w:b/>
          <w:color w:val="000000"/>
          <w:sz w:val="28"/>
          <w:szCs w:val="28"/>
          <w:lang w:eastAsia="fr-CA"/>
        </w:rPr>
      </w:pPr>
    </w:p>
    <w:p w:rsidR="00C32199" w:rsidRDefault="00C32199" w:rsidP="00AC3923">
      <w:pPr>
        <w:pStyle w:val="Sansinterligne"/>
        <w:rPr>
          <w:rFonts w:eastAsia="Times New Roman" w:cs="Times New Roman"/>
          <w:b/>
          <w:color w:val="000000"/>
          <w:sz w:val="28"/>
          <w:szCs w:val="28"/>
          <w:lang w:eastAsia="fr-CA"/>
        </w:rPr>
      </w:pPr>
    </w:p>
    <w:p w:rsidR="00C32199" w:rsidRDefault="00C32199" w:rsidP="00AC3923">
      <w:pPr>
        <w:pStyle w:val="Sansinterligne"/>
        <w:rPr>
          <w:rFonts w:eastAsia="Times New Roman" w:cs="Times New Roman"/>
          <w:b/>
          <w:color w:val="000000"/>
          <w:sz w:val="28"/>
          <w:szCs w:val="28"/>
          <w:lang w:eastAsia="fr-CA"/>
        </w:rPr>
      </w:pPr>
    </w:p>
    <w:p w:rsidR="00C32199" w:rsidRDefault="00C32199" w:rsidP="00AC3923">
      <w:pPr>
        <w:pStyle w:val="Sansinterligne"/>
        <w:rPr>
          <w:rFonts w:eastAsia="Times New Roman" w:cs="Times New Roman"/>
          <w:b/>
          <w:color w:val="000000"/>
          <w:sz w:val="28"/>
          <w:szCs w:val="28"/>
          <w:lang w:eastAsia="fr-CA"/>
        </w:rPr>
      </w:pPr>
    </w:p>
    <w:p w:rsidR="00C32199" w:rsidRDefault="00C32199" w:rsidP="00AC3923">
      <w:pPr>
        <w:pStyle w:val="Sansinterligne"/>
        <w:rPr>
          <w:rFonts w:eastAsia="Times New Roman" w:cs="Times New Roman"/>
          <w:b/>
          <w:color w:val="000000"/>
          <w:sz w:val="28"/>
          <w:szCs w:val="28"/>
          <w:lang w:eastAsia="fr-CA"/>
        </w:rPr>
      </w:pPr>
    </w:p>
    <w:p w:rsidR="00AC3923" w:rsidRPr="00E01893" w:rsidRDefault="00E01893" w:rsidP="00AC3923">
      <w:pPr>
        <w:pStyle w:val="Sansinterligne"/>
        <w:rPr>
          <w:rFonts w:eastAsia="Times New Roman" w:cs="Times New Roman"/>
          <w:b/>
          <w:color w:val="000000"/>
          <w:sz w:val="28"/>
          <w:szCs w:val="28"/>
          <w:lang w:eastAsia="fr-CA"/>
        </w:rPr>
      </w:pPr>
      <w:r>
        <w:rPr>
          <w:rFonts w:eastAsia="Times New Roman" w:cs="Times New Roman"/>
          <w:b/>
          <w:color w:val="000000"/>
          <w:sz w:val="28"/>
          <w:szCs w:val="28"/>
          <w:lang w:eastAsia="fr-CA"/>
        </w:rPr>
        <w:t>Présentation</w:t>
      </w:r>
      <w:r w:rsidR="00395CD3" w:rsidRPr="00E01893">
        <w:rPr>
          <w:rFonts w:eastAsia="Times New Roman" w:cs="Times New Roman"/>
          <w:b/>
          <w:color w:val="000000"/>
          <w:sz w:val="28"/>
          <w:szCs w:val="28"/>
          <w:lang w:eastAsia="fr-CA"/>
        </w:rPr>
        <w:t xml:space="preserve"> de mauvais traitement</w:t>
      </w:r>
      <w:r>
        <w:rPr>
          <w:rFonts w:eastAsia="Times New Roman" w:cs="Times New Roman"/>
          <w:b/>
          <w:color w:val="000000"/>
          <w:sz w:val="28"/>
          <w:szCs w:val="28"/>
          <w:lang w:eastAsia="fr-CA"/>
        </w:rPr>
        <w:t>s</w:t>
      </w:r>
    </w:p>
    <w:p w:rsidR="00395CD3" w:rsidRPr="0016487D" w:rsidRDefault="00395CD3" w:rsidP="00AC3923">
      <w:pPr>
        <w:pStyle w:val="Sansinterligne"/>
        <w:rPr>
          <w:rFonts w:eastAsia="Times New Roman" w:cs="Times New Roman"/>
          <w:color w:val="000000"/>
          <w:sz w:val="16"/>
          <w:szCs w:val="16"/>
          <w:lang w:eastAsia="fr-CA"/>
        </w:rPr>
      </w:pPr>
    </w:p>
    <w:tbl>
      <w:tblPr>
        <w:tblStyle w:val="Grilledutableau"/>
        <w:tblW w:w="0" w:type="auto"/>
        <w:tblLook w:val="04A0" w:firstRow="1" w:lastRow="0" w:firstColumn="1" w:lastColumn="0" w:noHBand="0" w:noVBand="1"/>
      </w:tblPr>
      <w:tblGrid>
        <w:gridCol w:w="10940"/>
      </w:tblGrid>
      <w:tr w:rsidR="00E01893" w:rsidRPr="00E01893" w:rsidTr="0016487D">
        <w:trPr>
          <w:trHeight w:val="4597"/>
        </w:trPr>
        <w:tc>
          <w:tcPr>
            <w:tcW w:w="10940" w:type="dxa"/>
            <w:shd w:val="clear" w:color="auto" w:fill="FFC000"/>
          </w:tcPr>
          <w:p w:rsidR="00E01893" w:rsidRPr="00E01893" w:rsidRDefault="00E01893" w:rsidP="00A94A23">
            <w:pPr>
              <w:rPr>
                <w:rFonts w:cs="Times New Roman"/>
                <w:b/>
              </w:rPr>
            </w:pPr>
            <w:r w:rsidRPr="00E01893">
              <w:rPr>
                <w:rFonts w:cs="Times New Roman"/>
                <w:b/>
              </w:rPr>
              <w:t>Physiques</w:t>
            </w:r>
          </w:p>
          <w:p w:rsidR="00E01893" w:rsidRPr="001F50F0" w:rsidRDefault="00E01893" w:rsidP="005D429F">
            <w:pPr>
              <w:pStyle w:val="Paragraphedeliste"/>
              <w:numPr>
                <w:ilvl w:val="0"/>
                <w:numId w:val="1051"/>
              </w:numPr>
              <w:rPr>
                <w:rFonts w:cs="Times New Roman"/>
                <w:highlight w:val="yellow"/>
              </w:rPr>
            </w:pPr>
            <w:r w:rsidRPr="001F50F0">
              <w:rPr>
                <w:rFonts w:cs="Times New Roman"/>
                <w:highlight w:val="yellow"/>
              </w:rPr>
              <w:t>Blessures multiples ou à des endroits inusités</w:t>
            </w:r>
          </w:p>
          <w:p w:rsidR="00E01893" w:rsidRPr="001F50F0" w:rsidRDefault="00741CE9" w:rsidP="005D429F">
            <w:pPr>
              <w:pStyle w:val="Paragraphedeliste"/>
              <w:numPr>
                <w:ilvl w:val="0"/>
                <w:numId w:val="1051"/>
              </w:numPr>
              <w:rPr>
                <w:rFonts w:cs="Times New Roman"/>
                <w:highlight w:val="yellow"/>
              </w:rPr>
            </w:pPr>
            <w:r w:rsidRPr="001F50F0">
              <w:rPr>
                <w:noProof/>
                <w:highlight w:val="yellow"/>
                <w:lang w:eastAsia="fr-CA"/>
              </w:rPr>
              <w:drawing>
                <wp:anchor distT="0" distB="0" distL="114300" distR="114300" simplePos="0" relativeHeight="251993088" behindDoc="0" locked="0" layoutInCell="1" allowOverlap="1" wp14:anchorId="3E201B7F" wp14:editId="70CBADD3">
                  <wp:simplePos x="0" y="0"/>
                  <wp:positionH relativeFrom="column">
                    <wp:posOffset>4657090</wp:posOffset>
                  </wp:positionH>
                  <wp:positionV relativeFrom="paragraph">
                    <wp:posOffset>101600</wp:posOffset>
                  </wp:positionV>
                  <wp:extent cx="2030095" cy="2106295"/>
                  <wp:effectExtent l="0" t="0" r="8255" b="8255"/>
                  <wp:wrapNone/>
                  <wp:docPr id="490" name="Image 490" descr="Image associé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associée"/>
                          <pic:cNvPicPr>
                            <a:picLocks noChangeAspect="1" noChangeArrowheads="1"/>
                          </pic:cNvPicPr>
                        </pic:nvPicPr>
                        <pic:blipFill>
                          <a:blip r:embed="rId393">
                            <a:extLst>
                              <a:ext uri="{28A0092B-C50C-407E-A947-70E740481C1C}">
                                <a14:useLocalDpi xmlns:a14="http://schemas.microsoft.com/office/drawing/2010/main" val="0"/>
                              </a:ext>
                            </a:extLst>
                          </a:blip>
                          <a:srcRect/>
                          <a:stretch>
                            <a:fillRect/>
                          </a:stretch>
                        </pic:blipFill>
                        <pic:spPr bwMode="auto">
                          <a:xfrm>
                            <a:off x="0" y="0"/>
                            <a:ext cx="2030095" cy="2106295"/>
                          </a:xfrm>
                          <a:prstGeom prst="rect">
                            <a:avLst/>
                          </a:prstGeom>
                          <a:noFill/>
                          <a:ln>
                            <a:noFill/>
                          </a:ln>
                        </pic:spPr>
                      </pic:pic>
                    </a:graphicData>
                  </a:graphic>
                  <wp14:sizeRelH relativeFrom="page">
                    <wp14:pctWidth>0</wp14:pctWidth>
                  </wp14:sizeRelH>
                  <wp14:sizeRelV relativeFrom="page">
                    <wp14:pctHeight>0</wp14:pctHeight>
                  </wp14:sizeRelV>
                </wp:anchor>
              </w:drawing>
            </w:r>
            <w:r w:rsidR="00E01893" w:rsidRPr="001F50F0">
              <w:rPr>
                <w:rFonts w:cs="Times New Roman"/>
                <w:highlight w:val="yellow"/>
              </w:rPr>
              <w:t>Histoire non-concordante avec l’examen physique</w:t>
            </w:r>
          </w:p>
          <w:p w:rsidR="00E01893" w:rsidRPr="001F50F0" w:rsidRDefault="00E01893" w:rsidP="005D429F">
            <w:pPr>
              <w:pStyle w:val="Paragraphedeliste"/>
              <w:numPr>
                <w:ilvl w:val="0"/>
                <w:numId w:val="1051"/>
              </w:numPr>
              <w:rPr>
                <w:rFonts w:cs="Times New Roman"/>
                <w:highlight w:val="yellow"/>
              </w:rPr>
            </w:pPr>
            <w:r w:rsidRPr="001F50F0">
              <w:rPr>
                <w:rFonts w:cs="Times New Roman"/>
                <w:highlight w:val="yellow"/>
              </w:rPr>
              <w:t>Histoire changeante</w:t>
            </w:r>
          </w:p>
          <w:p w:rsidR="00CC1A13" w:rsidRPr="001F50F0" w:rsidRDefault="00CC1A13" w:rsidP="005D429F">
            <w:pPr>
              <w:pStyle w:val="Paragraphedeliste"/>
              <w:numPr>
                <w:ilvl w:val="0"/>
                <w:numId w:val="1051"/>
              </w:numPr>
              <w:rPr>
                <w:rFonts w:cs="Times New Roman"/>
                <w:highlight w:val="yellow"/>
              </w:rPr>
            </w:pPr>
            <w:r w:rsidRPr="001F50F0">
              <w:rPr>
                <w:rFonts w:cs="Times New Roman"/>
                <w:highlight w:val="yellow"/>
              </w:rPr>
              <w:t>Délai de consultation important</w:t>
            </w:r>
          </w:p>
          <w:p w:rsidR="00741CE9" w:rsidRDefault="00E01893" w:rsidP="005D429F">
            <w:pPr>
              <w:pStyle w:val="Paragraphedeliste"/>
              <w:numPr>
                <w:ilvl w:val="0"/>
                <w:numId w:val="1051"/>
              </w:numPr>
              <w:rPr>
                <w:rFonts w:cs="Times New Roman"/>
              </w:rPr>
            </w:pPr>
            <w:r w:rsidRPr="00E01893">
              <w:rPr>
                <w:rFonts w:cs="Times New Roman"/>
              </w:rPr>
              <w:t>Syndrome du bébé secoué</w:t>
            </w:r>
          </w:p>
          <w:p w:rsidR="00741CE9" w:rsidRPr="00741CE9" w:rsidRDefault="00741CE9" w:rsidP="00741CE9">
            <w:pPr>
              <w:rPr>
                <w:rFonts w:cs="Times New Roman"/>
                <w:b/>
              </w:rPr>
            </w:pPr>
            <w:r w:rsidRPr="00741CE9">
              <w:rPr>
                <w:rFonts w:cs="Times New Roman"/>
                <w:b/>
              </w:rPr>
              <w:t>Psychologiques</w:t>
            </w:r>
          </w:p>
          <w:p w:rsidR="00741CE9" w:rsidRPr="00741CE9" w:rsidRDefault="00741CE9" w:rsidP="005D429F">
            <w:pPr>
              <w:pStyle w:val="Paragraphedeliste"/>
              <w:numPr>
                <w:ilvl w:val="0"/>
                <w:numId w:val="1054"/>
              </w:numPr>
              <w:rPr>
                <w:rFonts w:cs="Times New Roman"/>
              </w:rPr>
            </w:pPr>
            <w:r w:rsidRPr="00741CE9">
              <w:rPr>
                <w:rFonts w:cs="Times New Roman"/>
              </w:rPr>
              <w:t>Exposition à la violence</w:t>
            </w:r>
          </w:p>
          <w:p w:rsidR="00741CE9" w:rsidRPr="00741CE9" w:rsidRDefault="00741CE9" w:rsidP="005D429F">
            <w:pPr>
              <w:pStyle w:val="Paragraphedeliste"/>
              <w:numPr>
                <w:ilvl w:val="0"/>
                <w:numId w:val="1054"/>
              </w:numPr>
              <w:rPr>
                <w:rFonts w:cs="Times New Roman"/>
              </w:rPr>
            </w:pPr>
            <w:r w:rsidRPr="00741CE9">
              <w:rPr>
                <w:rFonts w:cs="Times New Roman"/>
              </w:rPr>
              <w:t>Dénigrement</w:t>
            </w:r>
          </w:p>
          <w:p w:rsidR="00741CE9" w:rsidRPr="00741CE9" w:rsidRDefault="00741CE9" w:rsidP="005D429F">
            <w:pPr>
              <w:pStyle w:val="Paragraphedeliste"/>
              <w:numPr>
                <w:ilvl w:val="0"/>
                <w:numId w:val="1054"/>
              </w:numPr>
              <w:rPr>
                <w:rFonts w:cs="Times New Roman"/>
              </w:rPr>
            </w:pPr>
            <w:r w:rsidRPr="00741CE9">
              <w:rPr>
                <w:rFonts w:cs="Times New Roman"/>
              </w:rPr>
              <w:t>Rejet affectif</w:t>
            </w:r>
          </w:p>
          <w:p w:rsidR="00741CE9" w:rsidRPr="00741CE9" w:rsidRDefault="00741CE9" w:rsidP="005D429F">
            <w:pPr>
              <w:pStyle w:val="Paragraphedeliste"/>
              <w:numPr>
                <w:ilvl w:val="0"/>
                <w:numId w:val="1054"/>
              </w:numPr>
              <w:rPr>
                <w:rFonts w:cs="Times New Roman"/>
              </w:rPr>
            </w:pPr>
            <w:r w:rsidRPr="00741CE9">
              <w:rPr>
                <w:rFonts w:cs="Times New Roman"/>
              </w:rPr>
              <w:t>Travail forcé</w:t>
            </w:r>
          </w:p>
          <w:p w:rsidR="00E01893" w:rsidRPr="00E01893" w:rsidRDefault="00E01893" w:rsidP="00A94A23">
            <w:pPr>
              <w:rPr>
                <w:rFonts w:cs="Times New Roman"/>
                <w:b/>
              </w:rPr>
            </w:pPr>
            <w:r w:rsidRPr="00E01893">
              <w:rPr>
                <w:rFonts w:cs="Times New Roman"/>
                <w:b/>
              </w:rPr>
              <w:t>Sexuels</w:t>
            </w:r>
          </w:p>
          <w:p w:rsidR="0016487D" w:rsidRDefault="00E01893" w:rsidP="005D429F">
            <w:pPr>
              <w:pStyle w:val="Paragraphedeliste"/>
              <w:numPr>
                <w:ilvl w:val="0"/>
                <w:numId w:val="1052"/>
              </w:numPr>
              <w:rPr>
                <w:rFonts w:cs="Times New Roman"/>
                <w:highlight w:val="yellow"/>
              </w:rPr>
            </w:pPr>
            <w:r w:rsidRPr="001F50F0">
              <w:rPr>
                <w:rFonts w:cs="Times New Roman"/>
                <w:highlight w:val="yellow"/>
              </w:rPr>
              <w:t xml:space="preserve">ITSS </w:t>
            </w:r>
          </w:p>
          <w:p w:rsidR="0016487D" w:rsidRPr="0016487D" w:rsidRDefault="0016487D" w:rsidP="005D429F">
            <w:pPr>
              <w:pStyle w:val="Paragraphedeliste"/>
              <w:numPr>
                <w:ilvl w:val="0"/>
                <w:numId w:val="1052"/>
              </w:numPr>
              <w:rPr>
                <w:rFonts w:cs="Times New Roman"/>
              </w:rPr>
            </w:pPr>
            <w:r w:rsidRPr="0016487D">
              <w:rPr>
                <w:rFonts w:cs="Times New Roman"/>
              </w:rPr>
              <w:t>Dépression</w:t>
            </w:r>
          </w:p>
          <w:p w:rsidR="0016487D" w:rsidRPr="0016487D" w:rsidRDefault="0016487D" w:rsidP="005D429F">
            <w:pPr>
              <w:pStyle w:val="Paragraphedeliste"/>
              <w:numPr>
                <w:ilvl w:val="0"/>
                <w:numId w:val="1052"/>
              </w:numPr>
              <w:rPr>
                <w:rFonts w:cs="Times New Roman"/>
              </w:rPr>
            </w:pPr>
            <w:r w:rsidRPr="0016487D">
              <w:rPr>
                <w:rFonts w:cs="Times New Roman"/>
              </w:rPr>
              <w:t>Cauchemars</w:t>
            </w:r>
          </w:p>
          <w:p w:rsidR="0016487D" w:rsidRPr="0016487D" w:rsidRDefault="0016487D" w:rsidP="005D429F">
            <w:pPr>
              <w:pStyle w:val="Paragraphedeliste"/>
              <w:numPr>
                <w:ilvl w:val="0"/>
                <w:numId w:val="1052"/>
              </w:numPr>
              <w:rPr>
                <w:rFonts w:cs="Times New Roman"/>
              </w:rPr>
            </w:pPr>
            <w:r w:rsidRPr="0016487D">
              <w:rPr>
                <w:rFonts w:cs="Times New Roman"/>
              </w:rPr>
              <w:t>Retrait social</w:t>
            </w:r>
          </w:p>
          <w:p w:rsidR="0016487D" w:rsidRPr="0016487D" w:rsidRDefault="0016487D" w:rsidP="005D429F">
            <w:pPr>
              <w:pStyle w:val="Paragraphedeliste"/>
              <w:numPr>
                <w:ilvl w:val="0"/>
                <w:numId w:val="1052"/>
              </w:numPr>
              <w:rPr>
                <w:rFonts w:cs="Times New Roman"/>
              </w:rPr>
            </w:pPr>
            <w:r w:rsidRPr="0016487D">
              <w:rPr>
                <w:rFonts w:cs="Times New Roman"/>
              </w:rPr>
              <w:t>Échec scolaire</w:t>
            </w:r>
          </w:p>
          <w:p w:rsidR="0016487D" w:rsidRPr="0016487D" w:rsidRDefault="0016487D" w:rsidP="005D429F">
            <w:pPr>
              <w:pStyle w:val="Paragraphedeliste"/>
              <w:numPr>
                <w:ilvl w:val="0"/>
                <w:numId w:val="1052"/>
              </w:numPr>
              <w:rPr>
                <w:rFonts w:cs="Times New Roman"/>
                <w:highlight w:val="yellow"/>
              </w:rPr>
            </w:pPr>
            <w:r>
              <w:rPr>
                <w:rFonts w:cs="Times New Roman"/>
                <w:highlight w:val="yellow"/>
              </w:rPr>
              <w:t>Connaissances sexuelles importantes ou comportement hypersexualisé</w:t>
            </w:r>
          </w:p>
          <w:p w:rsidR="00E01893" w:rsidRDefault="00E01893" w:rsidP="00A94A23">
            <w:pPr>
              <w:rPr>
                <w:rFonts w:cs="Times New Roman"/>
              </w:rPr>
            </w:pPr>
            <w:r w:rsidRPr="00E01893">
              <w:rPr>
                <w:rFonts w:cs="Times New Roman"/>
                <w:b/>
              </w:rPr>
              <w:t>Négligence</w:t>
            </w:r>
            <w:r w:rsidRPr="00E01893">
              <w:rPr>
                <w:rFonts w:cs="Times New Roman"/>
                <w:i/>
              </w:rPr>
              <w:t xml:space="preserve"> </w:t>
            </w:r>
            <w:r>
              <w:rPr>
                <w:rFonts w:ascii="Century Gothic" w:hAnsi="Century Gothic" w:cs="Times New Roman"/>
                <w:i/>
              </w:rPr>
              <w:t>→</w:t>
            </w:r>
            <w:r>
              <w:rPr>
                <w:rFonts w:cs="Times New Roman"/>
                <w:i/>
              </w:rPr>
              <w:t xml:space="preserve"> </w:t>
            </w:r>
            <w:r w:rsidRPr="00E01893">
              <w:rPr>
                <w:rFonts w:cs="Times New Roman"/>
                <w:i/>
              </w:rPr>
              <w:t>Voir Négligence CMC 121-3</w:t>
            </w:r>
          </w:p>
          <w:p w:rsidR="00E01893" w:rsidRPr="001F50F0" w:rsidRDefault="00E01893" w:rsidP="005D429F">
            <w:pPr>
              <w:pStyle w:val="Paragraphedeliste"/>
              <w:numPr>
                <w:ilvl w:val="0"/>
                <w:numId w:val="1053"/>
              </w:numPr>
              <w:rPr>
                <w:rFonts w:cs="Times New Roman"/>
                <w:i/>
                <w:highlight w:val="yellow"/>
              </w:rPr>
            </w:pPr>
            <w:r w:rsidRPr="001F50F0">
              <w:rPr>
                <w:rFonts w:cs="Times New Roman"/>
                <w:highlight w:val="yellow"/>
              </w:rPr>
              <w:t>Mauvais hygiène / vêtements sales ou inadéquats</w:t>
            </w:r>
          </w:p>
          <w:p w:rsidR="00E01893" w:rsidRPr="001F50F0" w:rsidRDefault="00E01893" w:rsidP="005D429F">
            <w:pPr>
              <w:pStyle w:val="Paragraphedeliste"/>
              <w:numPr>
                <w:ilvl w:val="0"/>
                <w:numId w:val="1053"/>
              </w:numPr>
              <w:rPr>
                <w:rFonts w:cs="Times New Roman"/>
                <w:highlight w:val="yellow"/>
              </w:rPr>
            </w:pPr>
            <w:r w:rsidRPr="001F50F0">
              <w:rPr>
                <w:rFonts w:cs="Times New Roman"/>
                <w:highlight w:val="yellow"/>
              </w:rPr>
              <w:t>Retard de développement (carence affective)</w:t>
            </w:r>
          </w:p>
          <w:p w:rsidR="00E01893" w:rsidRPr="00E01893" w:rsidRDefault="00E01893" w:rsidP="005D429F">
            <w:pPr>
              <w:pStyle w:val="Paragraphedeliste"/>
              <w:numPr>
                <w:ilvl w:val="0"/>
                <w:numId w:val="1053"/>
              </w:numPr>
              <w:rPr>
                <w:rFonts w:cs="Times New Roman"/>
              </w:rPr>
            </w:pPr>
            <w:r w:rsidRPr="00E01893">
              <w:rPr>
                <w:rFonts w:cs="Times New Roman"/>
              </w:rPr>
              <w:t>Problèmes émotionnels ou de comportement (ex : déficit de l’attachement)</w:t>
            </w:r>
          </w:p>
          <w:p w:rsidR="00E01893" w:rsidRPr="0016487D" w:rsidRDefault="00E01893" w:rsidP="005D429F">
            <w:pPr>
              <w:pStyle w:val="Paragraphedeliste"/>
              <w:numPr>
                <w:ilvl w:val="0"/>
                <w:numId w:val="1053"/>
              </w:numPr>
              <w:rPr>
                <w:rFonts w:cs="Times New Roman"/>
                <w:i/>
              </w:rPr>
            </w:pPr>
            <w:r w:rsidRPr="00E01893">
              <w:rPr>
                <w:rFonts w:cs="Times New Roman"/>
              </w:rPr>
              <w:t>Peu d’anxiété av</w:t>
            </w:r>
            <w:r w:rsidR="0016487D">
              <w:rPr>
                <w:rFonts w:cs="Times New Roman"/>
              </w:rPr>
              <w:t>e</w:t>
            </w:r>
            <w:r w:rsidRPr="00E01893">
              <w:rPr>
                <w:rFonts w:cs="Times New Roman"/>
              </w:rPr>
              <w:t xml:space="preserve">c les étrangers </w:t>
            </w:r>
          </w:p>
        </w:tc>
      </w:tr>
    </w:tbl>
    <w:p w:rsidR="00C32199" w:rsidRPr="00C32199" w:rsidRDefault="00C32199">
      <w:pPr>
        <w:rPr>
          <w:rFonts w:cs="Times New Roman"/>
          <w:sz w:val="16"/>
          <w:szCs w:val="16"/>
        </w:rPr>
      </w:pPr>
    </w:p>
    <w:p w:rsidR="0016487D" w:rsidRDefault="0016487D">
      <w:pPr>
        <w:rPr>
          <w:rFonts w:cs="Times New Roman"/>
        </w:rPr>
      </w:pPr>
      <w:r>
        <w:rPr>
          <w:rFonts w:cs="Times New Roman"/>
        </w:rPr>
        <w:t xml:space="preserve">À l’histoire, il faut porter attention à l’histoire rapporté par chacun des parents, idéalement individuellement, chercher </w:t>
      </w:r>
      <w:r w:rsidRPr="002827A7">
        <w:rPr>
          <w:rFonts w:cs="Times New Roman"/>
          <w:u w:val="single"/>
        </w:rPr>
        <w:t>une discordance</w:t>
      </w:r>
      <w:r>
        <w:rPr>
          <w:rFonts w:cs="Times New Roman"/>
        </w:rPr>
        <w:t xml:space="preserve">, une histoire farfelue ou </w:t>
      </w:r>
      <w:r w:rsidRPr="002827A7">
        <w:rPr>
          <w:rFonts w:cs="Times New Roman"/>
          <w:u w:val="single"/>
        </w:rPr>
        <w:t>non-congruente à la lésion</w:t>
      </w:r>
      <w:r>
        <w:rPr>
          <w:rFonts w:cs="Times New Roman"/>
        </w:rPr>
        <w:t xml:space="preserve">. Questionner les raisons du </w:t>
      </w:r>
      <w:r w:rsidRPr="002827A7">
        <w:rPr>
          <w:rFonts w:cs="Times New Roman"/>
          <w:u w:val="single"/>
        </w:rPr>
        <w:t>retard de consultation</w:t>
      </w:r>
      <w:r>
        <w:rPr>
          <w:rFonts w:cs="Times New Roman"/>
        </w:rPr>
        <w:t xml:space="preserve"> si c’est le cas. Il faut aussi tenter d’</w:t>
      </w:r>
      <w:r w:rsidRPr="002827A7">
        <w:rPr>
          <w:rFonts w:cs="Times New Roman"/>
          <w:u w:val="single"/>
        </w:rPr>
        <w:t xml:space="preserve">interroger l’enfant seul </w:t>
      </w:r>
      <w:r>
        <w:rPr>
          <w:rFonts w:cs="Times New Roman"/>
        </w:rPr>
        <w:t>si possible. Une réticence des parents à laisser l’enfant seul avec le médecin peut constituer un indice supplémentaire.</w:t>
      </w:r>
    </w:p>
    <w:p w:rsidR="0086487E" w:rsidRDefault="003A28AA" w:rsidP="003A28AA">
      <w:pPr>
        <w:ind w:right="5271"/>
        <w:rPr>
          <w:rFonts w:cs="Times New Roman"/>
        </w:rPr>
      </w:pPr>
      <w:r w:rsidRPr="00F9460F">
        <w:rPr>
          <w:rFonts w:cs="Times New Roman"/>
          <w:noProof/>
          <w:lang w:eastAsia="fr-CA"/>
        </w:rPr>
        <mc:AlternateContent>
          <mc:Choice Requires="wps">
            <w:drawing>
              <wp:anchor distT="0" distB="0" distL="114300" distR="114300" simplePos="0" relativeHeight="251995136" behindDoc="0" locked="0" layoutInCell="1" allowOverlap="1" wp14:anchorId="251AC655" wp14:editId="0F376913">
                <wp:simplePos x="0" y="0"/>
                <wp:positionH relativeFrom="column">
                  <wp:posOffset>3926205</wp:posOffset>
                </wp:positionH>
                <wp:positionV relativeFrom="paragraph">
                  <wp:posOffset>83820</wp:posOffset>
                </wp:positionV>
                <wp:extent cx="2830195" cy="1403985"/>
                <wp:effectExtent l="0" t="0" r="27305" b="21590"/>
                <wp:wrapNone/>
                <wp:docPr id="49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30195" cy="1403985"/>
                        </a:xfrm>
                        <a:prstGeom prst="rect">
                          <a:avLst/>
                        </a:prstGeom>
                        <a:solidFill>
                          <a:schemeClr val="accent3">
                            <a:lumMod val="40000"/>
                            <a:lumOff val="60000"/>
                          </a:schemeClr>
                        </a:solidFill>
                        <a:ln w="9525">
                          <a:solidFill>
                            <a:srgbClr val="000000"/>
                          </a:solidFill>
                          <a:miter lim="800000"/>
                          <a:headEnd/>
                          <a:tailEnd/>
                        </a:ln>
                      </wps:spPr>
                      <wps:txbx>
                        <w:txbxContent>
                          <w:p w:rsidR="008276DC" w:rsidRPr="00F9460F" w:rsidRDefault="008276DC" w:rsidP="00F9460F">
                            <w:pPr>
                              <w:jc w:val="center"/>
                              <w:rPr>
                                <w:b/>
                              </w:rPr>
                            </w:pPr>
                            <w:r w:rsidRPr="00F9460F">
                              <w:rPr>
                                <w:b/>
                              </w:rPr>
                              <w:t>Syndrome du bébé secoué</w:t>
                            </w:r>
                          </w:p>
                          <w:p w:rsidR="008276DC" w:rsidRDefault="008276DC" w:rsidP="005D429F">
                            <w:pPr>
                              <w:pStyle w:val="Paragraphedeliste"/>
                              <w:numPr>
                                <w:ilvl w:val="0"/>
                                <w:numId w:val="1055"/>
                              </w:numPr>
                              <w:spacing w:after="0"/>
                            </w:pPr>
                            <w:r>
                              <w:t>Hémorragies sous-durales</w:t>
                            </w:r>
                          </w:p>
                          <w:p w:rsidR="008276DC" w:rsidRDefault="008276DC" w:rsidP="005D429F">
                            <w:pPr>
                              <w:pStyle w:val="Paragraphedeliste"/>
                              <w:numPr>
                                <w:ilvl w:val="0"/>
                                <w:numId w:val="1055"/>
                              </w:numPr>
                              <w:spacing w:after="0"/>
                            </w:pPr>
                            <w:r>
                              <w:t>Hémorragies sous-arachnoïdiennes</w:t>
                            </w:r>
                          </w:p>
                          <w:p w:rsidR="008276DC" w:rsidRDefault="008276DC" w:rsidP="005D429F">
                            <w:pPr>
                              <w:pStyle w:val="Paragraphedeliste"/>
                              <w:numPr>
                                <w:ilvl w:val="0"/>
                                <w:numId w:val="1055"/>
                              </w:numPr>
                              <w:spacing w:after="0"/>
                            </w:pPr>
                            <w:r>
                              <w:t>Hémorragies rétiniennes multiples</w:t>
                            </w:r>
                          </w:p>
                          <w:p w:rsidR="008276DC" w:rsidRDefault="008276DC" w:rsidP="005D429F">
                            <w:pPr>
                              <w:pStyle w:val="Paragraphedeliste"/>
                              <w:numPr>
                                <w:ilvl w:val="0"/>
                                <w:numId w:val="1055"/>
                              </w:numPr>
                              <w:spacing w:after="0"/>
                            </w:pPr>
                            <w:r>
                              <w:t>Œdème cérébral</w:t>
                            </w:r>
                          </w:p>
                          <w:p w:rsidR="008276DC" w:rsidRDefault="008276DC" w:rsidP="005D429F">
                            <w:pPr>
                              <w:pStyle w:val="Paragraphedeliste"/>
                              <w:numPr>
                                <w:ilvl w:val="0"/>
                                <w:numId w:val="1055"/>
                              </w:numPr>
                              <w:spacing w:after="0"/>
                            </w:pPr>
                            <w:r>
                              <w:t>Somnolence</w:t>
                            </w:r>
                          </w:p>
                          <w:p w:rsidR="008276DC" w:rsidRDefault="008276DC" w:rsidP="005D429F">
                            <w:pPr>
                              <w:pStyle w:val="Paragraphedeliste"/>
                              <w:numPr>
                                <w:ilvl w:val="0"/>
                                <w:numId w:val="1055"/>
                              </w:numPr>
                              <w:spacing w:after="0"/>
                            </w:pPr>
                            <w:r>
                              <w:t>Vomissements</w:t>
                            </w:r>
                          </w:p>
                          <w:p w:rsidR="008276DC" w:rsidRDefault="008276DC" w:rsidP="005D429F">
                            <w:pPr>
                              <w:pStyle w:val="Paragraphedeliste"/>
                              <w:numPr>
                                <w:ilvl w:val="0"/>
                                <w:numId w:val="1055"/>
                              </w:numPr>
                              <w:spacing w:after="0"/>
                            </w:pPr>
                            <w:r>
                              <w:t xml:space="preserve">Altération de l’état de conscience </w:t>
                            </w:r>
                            <w:r w:rsidRPr="00F9460F">
                              <w:rPr>
                                <w:rFonts w:ascii="Century Gothic" w:hAnsi="Century Gothic"/>
                              </w:rPr>
                              <w:t>→</w:t>
                            </w:r>
                            <w:r>
                              <w:t xml:space="preserve"> coma</w:t>
                            </w:r>
                          </w:p>
                          <w:p w:rsidR="008276DC" w:rsidRDefault="008276DC" w:rsidP="005D429F">
                            <w:pPr>
                              <w:pStyle w:val="Paragraphedeliste"/>
                              <w:numPr>
                                <w:ilvl w:val="0"/>
                                <w:numId w:val="1055"/>
                              </w:numPr>
                              <w:spacing w:after="0"/>
                            </w:pPr>
                            <w:r>
                              <w:t>Apnées / difficulté respiratoire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142" type="#_x0000_t202" style="position:absolute;margin-left:309.15pt;margin-top:6.6pt;width:222.85pt;height:110.55pt;z-index:25199513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" fillcolor="#d6e3bc [1302]">
                <v:textbox style="mso-fit-shape-to-text:t">
                  <w:txbxContent>
                    <w:p w:rsidR="008276DC" w:rsidRPr="00F9460F" w:rsidRDefault="008276DC" w:rsidP="00F9460F">
                      <w:pPr>
                        <w:jc w:val="center"/>
                        <w:rPr>
                          <w:b/>
                        </w:rPr>
                      </w:pPr>
                      <w:r w:rsidRPr="00F9460F">
                        <w:rPr>
                          <w:b/>
                        </w:rPr>
                        <w:t>Syndrome du bébé secoué</w:t>
                      </w:r>
                    </w:p>
                    <w:p w:rsidR="008276DC" w:rsidRDefault="008276DC" w:rsidP="005D429F">
                      <w:pPr>
                        <w:pStyle w:val="Paragraphedeliste"/>
                        <w:numPr>
                          <w:ilvl w:val="0"/>
                          <w:numId w:val="1055"/>
                        </w:numPr>
                        <w:spacing w:after="0"/>
                      </w:pPr>
                      <w:r>
                        <w:t>Hémorragies sous-durales</w:t>
                      </w:r>
                    </w:p>
                    <w:p w:rsidR="008276DC" w:rsidRDefault="008276DC" w:rsidP="005D429F">
                      <w:pPr>
                        <w:pStyle w:val="Paragraphedeliste"/>
                        <w:numPr>
                          <w:ilvl w:val="0"/>
                          <w:numId w:val="1055"/>
                        </w:numPr>
                        <w:spacing w:after="0"/>
                      </w:pPr>
                      <w:r>
                        <w:t>Hémorragies sous-arachnoïdiennes</w:t>
                      </w:r>
                    </w:p>
                    <w:p w:rsidR="008276DC" w:rsidRDefault="008276DC" w:rsidP="005D429F">
                      <w:pPr>
                        <w:pStyle w:val="Paragraphedeliste"/>
                        <w:numPr>
                          <w:ilvl w:val="0"/>
                          <w:numId w:val="1055"/>
                        </w:numPr>
                        <w:spacing w:after="0"/>
                      </w:pPr>
                      <w:r>
                        <w:t>Hémorragies rétiniennes multiples</w:t>
                      </w:r>
                    </w:p>
                    <w:p w:rsidR="008276DC" w:rsidRDefault="008276DC" w:rsidP="005D429F">
                      <w:pPr>
                        <w:pStyle w:val="Paragraphedeliste"/>
                        <w:numPr>
                          <w:ilvl w:val="0"/>
                          <w:numId w:val="1055"/>
                        </w:numPr>
                        <w:spacing w:after="0"/>
                      </w:pPr>
                      <w:r>
                        <w:t>Œdème cérébral</w:t>
                      </w:r>
                    </w:p>
                    <w:p w:rsidR="008276DC" w:rsidRDefault="008276DC" w:rsidP="005D429F">
                      <w:pPr>
                        <w:pStyle w:val="Paragraphedeliste"/>
                        <w:numPr>
                          <w:ilvl w:val="0"/>
                          <w:numId w:val="1055"/>
                        </w:numPr>
                        <w:spacing w:after="0"/>
                      </w:pPr>
                      <w:r>
                        <w:t>Somnolence</w:t>
                      </w:r>
                    </w:p>
                    <w:p w:rsidR="008276DC" w:rsidRDefault="008276DC" w:rsidP="005D429F">
                      <w:pPr>
                        <w:pStyle w:val="Paragraphedeliste"/>
                        <w:numPr>
                          <w:ilvl w:val="0"/>
                          <w:numId w:val="1055"/>
                        </w:numPr>
                        <w:spacing w:after="0"/>
                      </w:pPr>
                      <w:r>
                        <w:t>Vomissements</w:t>
                      </w:r>
                    </w:p>
                    <w:p w:rsidR="008276DC" w:rsidRDefault="008276DC" w:rsidP="005D429F">
                      <w:pPr>
                        <w:pStyle w:val="Paragraphedeliste"/>
                        <w:numPr>
                          <w:ilvl w:val="0"/>
                          <w:numId w:val="1055"/>
                        </w:numPr>
                        <w:spacing w:after="0"/>
                      </w:pPr>
                      <w:r>
                        <w:t xml:space="preserve">Altération de l’état de conscience </w:t>
                      </w:r>
                      <w:r w:rsidRPr="00F9460F">
                        <w:rPr>
                          <w:rFonts w:ascii="Century Gothic" w:hAnsi="Century Gothic"/>
                        </w:rPr>
                        <w:t>→</w:t>
                      </w:r>
                      <w:r>
                        <w:t xml:space="preserve"> coma</w:t>
                      </w:r>
                    </w:p>
                    <w:p w:rsidR="008276DC" w:rsidRDefault="008276DC" w:rsidP="005D429F">
                      <w:pPr>
                        <w:pStyle w:val="Paragraphedeliste"/>
                        <w:numPr>
                          <w:ilvl w:val="0"/>
                          <w:numId w:val="1055"/>
                        </w:numPr>
                        <w:spacing w:after="0"/>
                      </w:pPr>
                      <w:r>
                        <w:t>Apnées / difficulté respiratoire</w:t>
                      </w:r>
                    </w:p>
                  </w:txbxContent>
                </v:textbox>
              </v:shape>
            </w:pict>
          </mc:Fallback>
        </mc:AlternateContent>
      </w:r>
      <w:r w:rsidR="0086487E">
        <w:rPr>
          <w:rFonts w:cs="Times New Roman"/>
        </w:rPr>
        <w:t>À l’examen physique on recherche</w:t>
      </w:r>
      <w:r w:rsidR="00F81DFF">
        <w:rPr>
          <w:rFonts w:cs="Times New Roman"/>
        </w:rPr>
        <w:t>ra</w:t>
      </w:r>
      <w:r w:rsidR="0086487E">
        <w:rPr>
          <w:rFonts w:cs="Times New Roman"/>
        </w:rPr>
        <w:t xml:space="preserve"> particulièrement :</w:t>
      </w:r>
    </w:p>
    <w:p w:rsidR="0086487E" w:rsidRPr="000E74FB" w:rsidRDefault="0086487E" w:rsidP="005D429F">
      <w:pPr>
        <w:pStyle w:val="Paragraphedeliste"/>
        <w:numPr>
          <w:ilvl w:val="0"/>
          <w:numId w:val="1056"/>
        </w:numPr>
        <w:ind w:right="5271"/>
        <w:rPr>
          <w:rFonts w:cs="Times New Roman"/>
          <w:highlight w:val="yellow"/>
        </w:rPr>
      </w:pPr>
      <w:r w:rsidRPr="000E74FB">
        <w:rPr>
          <w:rFonts w:cs="Times New Roman"/>
          <w:highlight w:val="yellow"/>
        </w:rPr>
        <w:t>Des</w:t>
      </w:r>
      <w:r w:rsidR="003A28AA">
        <w:rPr>
          <w:rFonts w:cs="Times New Roman"/>
          <w:highlight w:val="yellow"/>
        </w:rPr>
        <w:t xml:space="preserve"> marques de mains, de ceinture</w:t>
      </w:r>
      <w:r w:rsidRPr="000E74FB">
        <w:rPr>
          <w:rFonts w:cs="Times New Roman"/>
          <w:highlight w:val="yellow"/>
        </w:rPr>
        <w:t xml:space="preserve"> </w:t>
      </w:r>
    </w:p>
    <w:p w:rsidR="0086487E" w:rsidRPr="000E74FB" w:rsidRDefault="0086487E" w:rsidP="005D429F">
      <w:pPr>
        <w:pStyle w:val="Paragraphedeliste"/>
        <w:numPr>
          <w:ilvl w:val="0"/>
          <w:numId w:val="1056"/>
        </w:numPr>
        <w:ind w:right="5271"/>
        <w:rPr>
          <w:rFonts w:cs="Times New Roman"/>
          <w:highlight w:val="yellow"/>
        </w:rPr>
      </w:pPr>
      <w:r w:rsidRPr="000E74FB">
        <w:rPr>
          <w:rFonts w:cs="Times New Roman"/>
          <w:highlight w:val="yellow"/>
        </w:rPr>
        <w:t xml:space="preserve">Des ecchymoses à des endroits peu exposés (abdomens, fesses, </w:t>
      </w:r>
      <w:r w:rsidR="00606957" w:rsidRPr="000E74FB">
        <w:rPr>
          <w:rFonts w:cs="Times New Roman"/>
          <w:highlight w:val="yellow"/>
        </w:rPr>
        <w:t xml:space="preserve">organes génitaux, </w:t>
      </w:r>
      <w:r w:rsidRPr="000E74FB">
        <w:rPr>
          <w:rFonts w:cs="Times New Roman"/>
          <w:highlight w:val="yellow"/>
        </w:rPr>
        <w:t>oreilles,</w:t>
      </w:r>
      <w:r w:rsidR="00F9460F" w:rsidRPr="000E74FB">
        <w:rPr>
          <w:rFonts w:cs="Times New Roman"/>
          <w:highlight w:val="yellow"/>
        </w:rPr>
        <w:t xml:space="preserve"> joues</w:t>
      </w:r>
      <w:r w:rsidRPr="000E74FB">
        <w:rPr>
          <w:rFonts w:cs="Times New Roman"/>
          <w:highlight w:val="yellow"/>
        </w:rPr>
        <w:t xml:space="preserve"> etc.)</w:t>
      </w:r>
    </w:p>
    <w:p w:rsidR="00606957" w:rsidRPr="000E74FB" w:rsidRDefault="00606957" w:rsidP="005D429F">
      <w:pPr>
        <w:pStyle w:val="Paragraphedeliste"/>
        <w:numPr>
          <w:ilvl w:val="0"/>
          <w:numId w:val="1056"/>
        </w:numPr>
        <w:ind w:right="5271"/>
        <w:rPr>
          <w:rFonts w:cs="Times New Roman"/>
          <w:highlight w:val="yellow"/>
        </w:rPr>
      </w:pPr>
      <w:r w:rsidRPr="000E74FB">
        <w:rPr>
          <w:rFonts w:cs="Times New Roman"/>
          <w:highlight w:val="yellow"/>
        </w:rPr>
        <w:t>Des fractures suspectes (côtes postérieures, scapula, métaphyses</w:t>
      </w:r>
      <w:r w:rsidR="00F9460F" w:rsidRPr="000E74FB">
        <w:rPr>
          <w:rFonts w:cs="Times New Roman"/>
          <w:highlight w:val="yellow"/>
        </w:rPr>
        <w:t xml:space="preserve"> (Fx en coin)</w:t>
      </w:r>
      <w:r w:rsidRPr="000E74FB">
        <w:rPr>
          <w:rFonts w:cs="Times New Roman"/>
          <w:highlight w:val="yellow"/>
        </w:rPr>
        <w:t>, vertèbres, sternum)</w:t>
      </w:r>
    </w:p>
    <w:p w:rsidR="00606957" w:rsidRDefault="00606957" w:rsidP="005D429F">
      <w:pPr>
        <w:pStyle w:val="Paragraphedeliste"/>
        <w:numPr>
          <w:ilvl w:val="0"/>
          <w:numId w:val="1056"/>
        </w:numPr>
        <w:ind w:right="5271"/>
        <w:rPr>
          <w:rFonts w:cs="Times New Roman"/>
          <w:highlight w:val="yellow"/>
        </w:rPr>
      </w:pPr>
      <w:r w:rsidRPr="000E74FB">
        <w:rPr>
          <w:rFonts w:cs="Times New Roman"/>
          <w:highlight w:val="yellow"/>
        </w:rPr>
        <w:t xml:space="preserve">Des brûlures </w:t>
      </w:r>
      <w:r w:rsidR="00F9460F" w:rsidRPr="000E74FB">
        <w:rPr>
          <w:rFonts w:cs="Times New Roman"/>
          <w:highlight w:val="yellow"/>
        </w:rPr>
        <w:t xml:space="preserve">de cigarettes ou </w:t>
      </w:r>
      <w:r w:rsidRPr="000E74FB">
        <w:rPr>
          <w:rFonts w:cs="Times New Roman"/>
          <w:highlight w:val="yellow"/>
        </w:rPr>
        <w:t xml:space="preserve">d’immersion (eau chaude) </w:t>
      </w:r>
      <w:r w:rsidRPr="000E74FB">
        <w:rPr>
          <w:rFonts w:ascii="Century Gothic" w:hAnsi="Century Gothic" w:cs="Times New Roman"/>
          <w:highlight w:val="yellow"/>
        </w:rPr>
        <w:t>→</w:t>
      </w:r>
      <w:r w:rsidRPr="000E74FB">
        <w:rPr>
          <w:rFonts w:cs="Times New Roman"/>
          <w:highlight w:val="yellow"/>
        </w:rPr>
        <w:t xml:space="preserve"> très bien délimitée par la ligne d’eau</w:t>
      </w:r>
    </w:p>
    <w:p w:rsidR="003A28AA" w:rsidRDefault="00060756" w:rsidP="005D429F">
      <w:pPr>
        <w:pStyle w:val="Paragraphedeliste"/>
        <w:numPr>
          <w:ilvl w:val="0"/>
          <w:numId w:val="1056"/>
        </w:numPr>
        <w:ind w:right="5271"/>
        <w:rPr>
          <w:rFonts w:cs="Times New Roman"/>
        </w:rPr>
      </w:pPr>
      <w:r>
        <w:rPr>
          <w:noProof/>
          <w:lang w:eastAsia="fr-CA"/>
        </w:rPr>
        <w:drawing>
          <wp:anchor distT="0" distB="0" distL="114300" distR="114300" simplePos="0" relativeHeight="251996160" behindDoc="0" locked="0" layoutInCell="1" allowOverlap="1" wp14:anchorId="5BC6A83C" wp14:editId="6F30F7AF">
            <wp:simplePos x="0" y="0"/>
            <wp:positionH relativeFrom="column">
              <wp:posOffset>5226993</wp:posOffset>
            </wp:positionH>
            <wp:positionV relativeFrom="paragraph">
              <wp:posOffset>250825</wp:posOffset>
            </wp:positionV>
            <wp:extent cx="1536065" cy="1871345"/>
            <wp:effectExtent l="0" t="0" r="6985" b="0"/>
            <wp:wrapNone/>
            <wp:docPr id="499" name="Image 499" descr="Résultats de recherche d'images pour « maltraitance enfant dessi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ésultats de recherche d'images pour « maltraitance enfant dessin »"/>
                    <pic:cNvPicPr>
                      <a:picLocks noChangeAspect="1" noChangeArrowheads="1"/>
                    </pic:cNvPicPr>
                  </pic:nvPicPr>
                  <pic:blipFill rotWithShape="1">
                    <a:blip r:embed="rId394">
                      <a:extLst>
                        <a:ext uri="{28A0092B-C50C-407E-A947-70E740481C1C}">
                          <a14:useLocalDpi xmlns:a14="http://schemas.microsoft.com/office/drawing/2010/main" val="0"/>
                        </a:ext>
                      </a:extLst>
                    </a:blip>
                    <a:srcRect t="16698"/>
                    <a:stretch/>
                  </pic:blipFill>
                  <pic:spPr bwMode="auto">
                    <a:xfrm>
                      <a:off x="0" y="0"/>
                      <a:ext cx="1536065" cy="187134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A28AA" w:rsidRPr="003A28AA">
        <w:rPr>
          <w:rFonts w:cs="Times New Roman"/>
        </w:rPr>
        <w:t xml:space="preserve">Augmentation rapide du périmètre crânien (HSD </w:t>
      </w:r>
      <w:r w:rsidR="003A28AA" w:rsidRPr="003A28AA">
        <w:rPr>
          <w:rFonts w:ascii="Century Gothic" w:hAnsi="Century Gothic" w:cs="Times New Roman"/>
        </w:rPr>
        <w:t xml:space="preserve">→ </w:t>
      </w:r>
      <w:r w:rsidR="003A28AA" w:rsidRPr="003A28AA">
        <w:rPr>
          <w:rFonts w:cs="Times New Roman"/>
        </w:rPr>
        <w:t>syndrome du bébé secoué)</w:t>
      </w:r>
    </w:p>
    <w:p w:rsidR="00203EC8" w:rsidRPr="003A28AA" w:rsidRDefault="00203EC8" w:rsidP="005D429F">
      <w:pPr>
        <w:pStyle w:val="Paragraphedeliste"/>
        <w:numPr>
          <w:ilvl w:val="0"/>
          <w:numId w:val="1056"/>
        </w:numPr>
        <w:ind w:right="5271"/>
        <w:rPr>
          <w:rFonts w:cs="Times New Roman"/>
        </w:rPr>
      </w:pPr>
      <w:r>
        <w:rPr>
          <w:rFonts w:cs="Times New Roman"/>
        </w:rPr>
        <w:t xml:space="preserve">Examen physique </w:t>
      </w:r>
      <w:r w:rsidR="00BC28D9">
        <w:rPr>
          <w:rFonts w:cs="Times New Roman"/>
        </w:rPr>
        <w:t>pan corporel</w:t>
      </w:r>
    </w:p>
    <w:p w:rsidR="0086487E" w:rsidRPr="003A28AA" w:rsidRDefault="003A28AA">
      <w:pPr>
        <w:rPr>
          <w:rFonts w:cs="Times New Roman"/>
          <w:b/>
          <w:sz w:val="28"/>
          <w:szCs w:val="28"/>
        </w:rPr>
      </w:pPr>
      <w:r w:rsidRPr="003A28AA">
        <w:rPr>
          <w:rFonts w:cs="Times New Roman"/>
          <w:b/>
          <w:sz w:val="28"/>
          <w:szCs w:val="28"/>
        </w:rPr>
        <w:t>Investigations</w:t>
      </w:r>
    </w:p>
    <w:p w:rsidR="003A28AA" w:rsidRPr="00AE5EB2" w:rsidRDefault="003A28AA" w:rsidP="005D429F">
      <w:pPr>
        <w:pStyle w:val="Paragraphedeliste"/>
        <w:numPr>
          <w:ilvl w:val="0"/>
          <w:numId w:val="1057"/>
        </w:numPr>
        <w:spacing w:after="0"/>
        <w:rPr>
          <w:rFonts w:cs="Times New Roman"/>
        </w:rPr>
      </w:pPr>
      <w:r w:rsidRPr="00AE5EB2">
        <w:rPr>
          <w:rFonts w:cs="Times New Roman"/>
        </w:rPr>
        <w:t>HbHt (plaquettes) et INR, TCA si ecchymoses</w:t>
      </w:r>
    </w:p>
    <w:p w:rsidR="003A28AA" w:rsidRPr="00AE5EB2" w:rsidRDefault="003A28AA" w:rsidP="005D429F">
      <w:pPr>
        <w:pStyle w:val="Paragraphedeliste"/>
        <w:numPr>
          <w:ilvl w:val="0"/>
          <w:numId w:val="1057"/>
        </w:numPr>
        <w:spacing w:after="0"/>
        <w:rPr>
          <w:rFonts w:cs="Times New Roman"/>
        </w:rPr>
      </w:pPr>
      <w:r w:rsidRPr="00AE5EB2">
        <w:rPr>
          <w:rFonts w:cs="Times New Roman"/>
        </w:rPr>
        <w:t>ALT/AST et lipase si sévices graves ou ecchymoses abdominales suspectes</w:t>
      </w:r>
    </w:p>
    <w:p w:rsidR="003A28AA" w:rsidRPr="00AE5EB2" w:rsidRDefault="003A28AA" w:rsidP="005D429F">
      <w:pPr>
        <w:pStyle w:val="Paragraphedeliste"/>
        <w:numPr>
          <w:ilvl w:val="0"/>
          <w:numId w:val="1057"/>
        </w:numPr>
        <w:spacing w:after="0"/>
        <w:rPr>
          <w:rFonts w:cs="Times New Roman"/>
        </w:rPr>
      </w:pPr>
      <w:r w:rsidRPr="00AE5EB2">
        <w:rPr>
          <w:rFonts w:cs="Times New Roman"/>
        </w:rPr>
        <w:t>TDM abdominale si transaminases élevées &gt; 80 UI/L</w:t>
      </w:r>
    </w:p>
    <w:p w:rsidR="00463085" w:rsidRDefault="00463085" w:rsidP="005D429F">
      <w:pPr>
        <w:pStyle w:val="Paragraphedeliste"/>
        <w:numPr>
          <w:ilvl w:val="0"/>
          <w:numId w:val="1057"/>
        </w:numPr>
        <w:spacing w:after="0"/>
        <w:rPr>
          <w:rFonts w:cs="Times New Roman"/>
        </w:rPr>
      </w:pPr>
      <w:r>
        <w:rPr>
          <w:rFonts w:cs="Times New Roman"/>
        </w:rPr>
        <w:t>Dépistage gonorrhée-chlamydia</w:t>
      </w:r>
      <w:r w:rsidRPr="00AE5EB2">
        <w:rPr>
          <w:rFonts w:cs="Times New Roman"/>
        </w:rPr>
        <w:t xml:space="preserve"> </w:t>
      </w:r>
    </w:p>
    <w:p w:rsidR="00463085" w:rsidRDefault="00463085" w:rsidP="005D429F">
      <w:pPr>
        <w:pStyle w:val="Paragraphedeliste"/>
        <w:numPr>
          <w:ilvl w:val="0"/>
          <w:numId w:val="1057"/>
        </w:numPr>
        <w:spacing w:after="0"/>
        <w:rPr>
          <w:rFonts w:cs="Times New Roman"/>
        </w:rPr>
      </w:pPr>
      <w:r w:rsidRPr="00463085">
        <w:rPr>
          <w:rFonts w:cs="Times New Roman"/>
        </w:rPr>
        <w:t xml:space="preserve">SMU, </w:t>
      </w:r>
      <w:r w:rsidRPr="00463085">
        <w:rPr>
          <w:rFonts w:cs="Times New Roman"/>
          <w:highlight w:val="yellow"/>
        </w:rPr>
        <w:t>β-HCG</w:t>
      </w:r>
      <w:r w:rsidRPr="00463085">
        <w:rPr>
          <w:rFonts w:cs="Times New Roman"/>
        </w:rPr>
        <w:t xml:space="preserve"> </w:t>
      </w:r>
    </w:p>
    <w:p w:rsidR="003A28AA" w:rsidRDefault="003A28AA" w:rsidP="005D429F">
      <w:pPr>
        <w:pStyle w:val="Paragraphedeliste"/>
        <w:numPr>
          <w:ilvl w:val="0"/>
          <w:numId w:val="1057"/>
        </w:numPr>
        <w:spacing w:after="0"/>
        <w:rPr>
          <w:rFonts w:cs="Times New Roman"/>
        </w:rPr>
      </w:pPr>
      <w:r w:rsidRPr="00463085">
        <w:rPr>
          <w:rFonts w:cs="Times New Roman"/>
        </w:rPr>
        <w:t>Autres test PRN (ex : bilan phosphocalcique)</w:t>
      </w:r>
    </w:p>
    <w:p w:rsidR="00463085" w:rsidRPr="00463085" w:rsidRDefault="00463085" w:rsidP="00463085">
      <w:pPr>
        <w:pStyle w:val="Paragraphedeliste"/>
        <w:spacing w:after="0"/>
        <w:ind w:left="360"/>
        <w:rPr>
          <w:rFonts w:cs="Times New Roman"/>
        </w:rPr>
      </w:pPr>
    </w:p>
    <w:p w:rsidR="004D7E56" w:rsidRDefault="004D7E56" w:rsidP="00AE5EB2">
      <w:pPr>
        <w:spacing w:after="0"/>
        <w:ind w:left="1416"/>
        <w:rPr>
          <w:rFonts w:cs="Times New Roman"/>
          <w:highlight w:val="yellow"/>
          <w:u w:val="single"/>
        </w:rPr>
        <w:sectPr w:rsidR="004D7E56" w:rsidSect="00217865">
          <w:type w:val="continuous"/>
          <w:pgSz w:w="12240" w:h="15840"/>
          <w:pgMar w:top="720" w:right="720" w:bottom="720" w:left="720" w:header="708" w:footer="708" w:gutter="0"/>
          <w:cols w:space="708"/>
          <w:docGrid w:linePitch="360"/>
        </w:sectPr>
      </w:pPr>
    </w:p>
    <w:p w:rsidR="003A28AA" w:rsidRPr="00AE5EB2" w:rsidRDefault="003A28AA" w:rsidP="00AE5EB2">
      <w:pPr>
        <w:spacing w:after="0"/>
        <w:ind w:left="1416"/>
        <w:rPr>
          <w:rFonts w:cs="Times New Roman"/>
          <w:highlight w:val="yellow"/>
          <w:u w:val="single"/>
        </w:rPr>
      </w:pPr>
      <w:r w:rsidRPr="00AE5EB2">
        <w:rPr>
          <w:rFonts w:cs="Times New Roman"/>
          <w:highlight w:val="yellow"/>
          <w:u w:val="single"/>
        </w:rPr>
        <w:t>&lt; 2 ans</w:t>
      </w:r>
    </w:p>
    <w:p w:rsidR="003A28AA" w:rsidRPr="00AE5EB2" w:rsidRDefault="003A28AA" w:rsidP="005D429F">
      <w:pPr>
        <w:pStyle w:val="Paragraphedeliste"/>
        <w:numPr>
          <w:ilvl w:val="0"/>
          <w:numId w:val="1058"/>
        </w:numPr>
        <w:spacing w:after="0"/>
        <w:rPr>
          <w:rFonts w:cs="Times New Roman"/>
          <w:highlight w:val="yellow"/>
        </w:rPr>
      </w:pPr>
      <w:r w:rsidRPr="00AE5EB2">
        <w:rPr>
          <w:rFonts w:cs="Times New Roman"/>
          <w:highlight w:val="yellow"/>
        </w:rPr>
        <w:t>Série osseuse complète</w:t>
      </w:r>
      <w:r w:rsidR="00463085">
        <w:rPr>
          <w:rFonts w:cs="Times New Roman"/>
          <w:highlight w:val="yellow"/>
        </w:rPr>
        <w:t xml:space="preserve"> ou scintigraphie osseuse</w:t>
      </w:r>
    </w:p>
    <w:p w:rsidR="003A28AA" w:rsidRPr="00AE5EB2" w:rsidRDefault="003A28AA" w:rsidP="005D429F">
      <w:pPr>
        <w:pStyle w:val="Paragraphedeliste"/>
        <w:numPr>
          <w:ilvl w:val="0"/>
          <w:numId w:val="1058"/>
        </w:numPr>
        <w:spacing w:after="0"/>
        <w:rPr>
          <w:rFonts w:cs="Times New Roman"/>
          <w:highlight w:val="yellow"/>
        </w:rPr>
      </w:pPr>
      <w:r w:rsidRPr="00AE5EB2">
        <w:rPr>
          <w:rFonts w:cs="Times New Roman"/>
          <w:highlight w:val="yellow"/>
        </w:rPr>
        <w:t>Fond d’œil par ophtalmoscopie indirecte en ophtalmologie</w:t>
      </w:r>
    </w:p>
    <w:p w:rsidR="003A28AA" w:rsidRPr="00AE5EB2" w:rsidRDefault="003A28AA" w:rsidP="005D429F">
      <w:pPr>
        <w:pStyle w:val="Paragraphedeliste"/>
        <w:numPr>
          <w:ilvl w:val="0"/>
          <w:numId w:val="1058"/>
        </w:numPr>
        <w:spacing w:after="0"/>
        <w:rPr>
          <w:rFonts w:cs="Times New Roman"/>
          <w:highlight w:val="yellow"/>
        </w:rPr>
      </w:pPr>
      <w:r w:rsidRPr="00AE5EB2">
        <w:rPr>
          <w:rFonts w:cs="Times New Roman"/>
          <w:highlight w:val="yellow"/>
        </w:rPr>
        <w:t>TDM cérébral C- ou IRM</w:t>
      </w:r>
    </w:p>
    <w:p w:rsidR="004D7E56" w:rsidRDefault="004D7E56" w:rsidP="00AE5EB2">
      <w:pPr>
        <w:spacing w:after="0"/>
        <w:ind w:left="1416"/>
        <w:rPr>
          <w:rFonts w:cs="Times New Roman"/>
          <w:u w:val="single"/>
        </w:rPr>
      </w:pPr>
    </w:p>
    <w:p w:rsidR="003A28AA" w:rsidRPr="00AE5EB2" w:rsidRDefault="003A28AA" w:rsidP="00AE5EB2">
      <w:pPr>
        <w:spacing w:after="0"/>
        <w:ind w:left="1416"/>
        <w:rPr>
          <w:rFonts w:cs="Times New Roman"/>
          <w:u w:val="single"/>
        </w:rPr>
      </w:pPr>
      <w:r w:rsidRPr="00AE5EB2">
        <w:rPr>
          <w:rFonts w:cs="Times New Roman"/>
          <w:u w:val="single"/>
        </w:rPr>
        <w:t>&gt;2 ans</w:t>
      </w:r>
    </w:p>
    <w:p w:rsidR="003A28AA" w:rsidRPr="00AE5EB2" w:rsidRDefault="003A28AA" w:rsidP="005D429F">
      <w:pPr>
        <w:pStyle w:val="Paragraphedeliste"/>
        <w:numPr>
          <w:ilvl w:val="0"/>
          <w:numId w:val="1059"/>
        </w:numPr>
        <w:spacing w:after="0"/>
        <w:rPr>
          <w:rFonts w:cs="Times New Roman"/>
        </w:rPr>
      </w:pPr>
      <w:r w:rsidRPr="00AE5EB2">
        <w:rPr>
          <w:rFonts w:cs="Times New Roman"/>
        </w:rPr>
        <w:t>TDM cérébral C- ou IRM</w:t>
      </w:r>
    </w:p>
    <w:p w:rsidR="003A28AA" w:rsidRPr="00AE5EB2" w:rsidRDefault="003A28AA" w:rsidP="005D429F">
      <w:pPr>
        <w:pStyle w:val="Paragraphedeliste"/>
        <w:numPr>
          <w:ilvl w:val="0"/>
          <w:numId w:val="1059"/>
        </w:numPr>
        <w:spacing w:after="0"/>
        <w:rPr>
          <w:rFonts w:cs="Times New Roman"/>
        </w:rPr>
      </w:pPr>
      <w:r w:rsidRPr="00AE5EB2">
        <w:rPr>
          <w:rFonts w:cs="Times New Roman"/>
        </w:rPr>
        <w:t>Fond d’œil en ophtalmologie  si signes de lésion intracrânienne</w:t>
      </w:r>
    </w:p>
    <w:p w:rsidR="003A28AA" w:rsidRPr="00AE5EB2" w:rsidRDefault="003A28AA" w:rsidP="005D429F">
      <w:pPr>
        <w:pStyle w:val="Paragraphedeliste"/>
        <w:numPr>
          <w:ilvl w:val="0"/>
          <w:numId w:val="1059"/>
        </w:numPr>
        <w:spacing w:after="0"/>
        <w:rPr>
          <w:rFonts w:cs="Times New Roman"/>
        </w:rPr>
      </w:pPr>
      <w:r w:rsidRPr="00AE5EB2">
        <w:rPr>
          <w:rFonts w:cs="Times New Roman"/>
        </w:rPr>
        <w:t xml:space="preserve">Série </w:t>
      </w:r>
      <w:r w:rsidR="00AE5EB2" w:rsidRPr="00AE5EB2">
        <w:rPr>
          <w:rFonts w:cs="Times New Roman"/>
        </w:rPr>
        <w:t>osseuse</w:t>
      </w:r>
      <w:r w:rsidR="00AE5EB2">
        <w:rPr>
          <w:rFonts w:cs="Times New Roman"/>
        </w:rPr>
        <w:t xml:space="preserve"> </w:t>
      </w:r>
      <w:r w:rsidRPr="00AE5EB2">
        <w:rPr>
          <w:rFonts w:cs="Times New Roman"/>
        </w:rPr>
        <w:t>si enfant inconscient, DI ou incapable de s’</w:t>
      </w:r>
      <w:r w:rsidR="00AE5EB2">
        <w:rPr>
          <w:rFonts w:cs="Times New Roman"/>
        </w:rPr>
        <w:t>exprimer</w:t>
      </w:r>
    </w:p>
    <w:p w:rsidR="004D7E56" w:rsidRDefault="004D7E56">
      <w:pPr>
        <w:rPr>
          <w:rFonts w:cs="Times New Roman"/>
        </w:rPr>
        <w:sectPr w:rsidR="004D7E56" w:rsidSect="004D7E56">
          <w:type w:val="continuous"/>
          <w:pgSz w:w="12240" w:h="15840"/>
          <w:pgMar w:top="720" w:right="720" w:bottom="720" w:left="720" w:header="708" w:footer="708" w:gutter="0"/>
          <w:cols w:num="2" w:space="708"/>
          <w:docGrid w:linePitch="360"/>
        </w:sectPr>
      </w:pPr>
    </w:p>
    <w:p w:rsidR="003A28AA" w:rsidRDefault="00EB0E7A">
      <w:pPr>
        <w:rPr>
          <w:rFonts w:cs="Times New Roman"/>
        </w:rPr>
      </w:pPr>
      <w:r>
        <w:rPr>
          <w:noProof/>
          <w:lang w:eastAsia="fr-CA"/>
        </w:rPr>
        <w:drawing>
          <wp:anchor distT="0" distB="0" distL="114300" distR="114300" simplePos="0" relativeHeight="251999232" behindDoc="1" locked="0" layoutInCell="1" allowOverlap="1" wp14:anchorId="449AF860" wp14:editId="083741D6">
            <wp:simplePos x="0" y="0"/>
            <wp:positionH relativeFrom="column">
              <wp:posOffset>2479837</wp:posOffset>
            </wp:positionH>
            <wp:positionV relativeFrom="paragraph">
              <wp:posOffset>172085</wp:posOffset>
            </wp:positionV>
            <wp:extent cx="4386580" cy="3589655"/>
            <wp:effectExtent l="0" t="0" r="0" b="0"/>
            <wp:wrapNone/>
            <wp:docPr id="506" name="Image 506" descr="Résultats de recherche d'images pour « maltraitance statistiques qc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Résultats de recherche d'images pour « maltraitance statistiques qc »"/>
                    <pic:cNvPicPr>
                      <a:picLocks noChangeAspect="1" noChangeArrowheads="1"/>
                    </pic:cNvPicPr>
                  </pic:nvPicPr>
                  <pic:blipFill>
                    <a:blip r:embed="rId395">
                      <a:extLst>
                        <a:ext uri="{28A0092B-C50C-407E-A947-70E740481C1C}">
                          <a14:useLocalDpi xmlns:a14="http://schemas.microsoft.com/office/drawing/2010/main" val="0"/>
                        </a:ext>
                      </a:extLst>
                    </a:blip>
                    <a:srcRect/>
                    <a:stretch>
                      <a:fillRect/>
                    </a:stretch>
                  </pic:blipFill>
                  <pic:spPr bwMode="auto">
                    <a:xfrm>
                      <a:off x="0" y="0"/>
                      <a:ext cx="4386580" cy="35896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D7E56" w:rsidRPr="004D7E56" w:rsidRDefault="004D7E56">
      <w:pPr>
        <w:rPr>
          <w:rFonts w:cs="Times New Roman"/>
          <w:b/>
          <w:sz w:val="28"/>
          <w:szCs w:val="28"/>
        </w:rPr>
      </w:pPr>
      <w:r w:rsidRPr="004D7E56">
        <w:rPr>
          <w:rFonts w:cs="Times New Roman"/>
          <w:b/>
          <w:sz w:val="28"/>
          <w:szCs w:val="28"/>
        </w:rPr>
        <w:t>Prise en charge</w:t>
      </w:r>
    </w:p>
    <w:p w:rsidR="00463085" w:rsidRPr="00BA779F" w:rsidRDefault="00463085" w:rsidP="00463085">
      <w:pPr>
        <w:spacing w:after="0"/>
        <w:rPr>
          <w:rFonts w:cs="Times New Roman"/>
          <w:b/>
          <w:highlight w:val="yellow"/>
        </w:rPr>
      </w:pPr>
      <w:r w:rsidRPr="00BA779F">
        <w:rPr>
          <w:rFonts w:cs="Times New Roman"/>
          <w:b/>
          <w:highlight w:val="yellow"/>
        </w:rPr>
        <w:t>Abus physique</w:t>
      </w:r>
    </w:p>
    <w:p w:rsidR="00463085" w:rsidRPr="00BA779F" w:rsidRDefault="00463085" w:rsidP="005D429F">
      <w:pPr>
        <w:pStyle w:val="Paragraphedeliste"/>
        <w:numPr>
          <w:ilvl w:val="0"/>
          <w:numId w:val="1060"/>
        </w:numPr>
        <w:spacing w:after="0"/>
        <w:rPr>
          <w:rFonts w:cs="Times New Roman"/>
          <w:highlight w:val="yellow"/>
        </w:rPr>
      </w:pPr>
      <w:r w:rsidRPr="00BA779F">
        <w:rPr>
          <w:rFonts w:cs="Times New Roman"/>
          <w:highlight w:val="yellow"/>
        </w:rPr>
        <w:t>Signalement à la DPJ</w:t>
      </w:r>
    </w:p>
    <w:p w:rsidR="00463085" w:rsidRPr="00BA779F" w:rsidRDefault="00463085" w:rsidP="005D429F">
      <w:pPr>
        <w:pStyle w:val="Paragraphedeliste"/>
        <w:numPr>
          <w:ilvl w:val="1"/>
          <w:numId w:val="1060"/>
        </w:numPr>
        <w:spacing w:after="0"/>
        <w:rPr>
          <w:rFonts w:cs="Times New Roman"/>
          <w:highlight w:val="yellow"/>
        </w:rPr>
      </w:pPr>
      <w:r w:rsidRPr="00BA779F">
        <w:rPr>
          <w:rFonts w:cs="Times New Roman"/>
          <w:highlight w:val="yellow"/>
        </w:rPr>
        <w:t>Dès qu’une suspicion raisonnable</w:t>
      </w:r>
    </w:p>
    <w:p w:rsidR="00463085" w:rsidRPr="00BA779F" w:rsidRDefault="00463085" w:rsidP="005D429F">
      <w:pPr>
        <w:pStyle w:val="Paragraphedeliste"/>
        <w:numPr>
          <w:ilvl w:val="0"/>
          <w:numId w:val="1060"/>
        </w:numPr>
        <w:spacing w:after="0"/>
        <w:rPr>
          <w:rFonts w:cs="Times New Roman"/>
          <w:highlight w:val="yellow"/>
        </w:rPr>
      </w:pPr>
      <w:r w:rsidRPr="00BA779F">
        <w:rPr>
          <w:rFonts w:cs="Times New Roman"/>
          <w:highlight w:val="yellow"/>
        </w:rPr>
        <w:t xml:space="preserve">Hospitalisation si </w:t>
      </w:r>
      <w:r w:rsidRPr="00BA779F">
        <w:rPr>
          <w:rFonts w:ascii="Century Gothic" w:hAnsi="Century Gothic" w:cs="Times New Roman"/>
          <w:highlight w:val="yellow"/>
        </w:rPr>
        <w:t>&lt;</w:t>
      </w:r>
      <w:r w:rsidRPr="00BA779F">
        <w:rPr>
          <w:rFonts w:cs="Times New Roman"/>
          <w:highlight w:val="yellow"/>
        </w:rPr>
        <w:t xml:space="preserve"> 1 an</w:t>
      </w:r>
    </w:p>
    <w:p w:rsidR="00463085" w:rsidRPr="00BA779F" w:rsidRDefault="00463085" w:rsidP="005D429F">
      <w:pPr>
        <w:pStyle w:val="Paragraphedeliste"/>
        <w:numPr>
          <w:ilvl w:val="1"/>
          <w:numId w:val="1060"/>
        </w:numPr>
        <w:spacing w:after="0"/>
        <w:rPr>
          <w:rFonts w:cs="Times New Roman"/>
          <w:highlight w:val="yellow"/>
        </w:rPr>
      </w:pPr>
      <w:r w:rsidRPr="00BA779F">
        <w:rPr>
          <w:rFonts w:cs="Times New Roman"/>
          <w:highlight w:val="yellow"/>
        </w:rPr>
        <w:t>Traitement des lésions</w:t>
      </w:r>
    </w:p>
    <w:p w:rsidR="00463085" w:rsidRPr="00BA779F" w:rsidRDefault="00463085" w:rsidP="005D429F">
      <w:pPr>
        <w:pStyle w:val="Paragraphedeliste"/>
        <w:numPr>
          <w:ilvl w:val="1"/>
          <w:numId w:val="1060"/>
        </w:numPr>
        <w:spacing w:after="0"/>
        <w:rPr>
          <w:rFonts w:cs="Times New Roman"/>
          <w:highlight w:val="yellow"/>
        </w:rPr>
      </w:pPr>
      <w:r w:rsidRPr="00BA779F">
        <w:rPr>
          <w:rFonts w:cs="Times New Roman"/>
          <w:highlight w:val="yellow"/>
        </w:rPr>
        <w:t>Évaluation approfondie</w:t>
      </w:r>
      <w:r w:rsidR="00EB0E7A" w:rsidRPr="00EB0E7A">
        <w:t xml:space="preserve"> </w:t>
      </w:r>
    </w:p>
    <w:p w:rsidR="00463085" w:rsidRPr="00BA779F" w:rsidRDefault="00463085" w:rsidP="005D429F">
      <w:pPr>
        <w:pStyle w:val="Paragraphedeliste"/>
        <w:numPr>
          <w:ilvl w:val="0"/>
          <w:numId w:val="1060"/>
        </w:numPr>
        <w:spacing w:after="0"/>
        <w:rPr>
          <w:rFonts w:cs="Times New Roman"/>
          <w:highlight w:val="yellow"/>
        </w:rPr>
      </w:pPr>
      <w:r w:rsidRPr="00BA779F">
        <w:rPr>
          <w:rFonts w:cs="Times New Roman"/>
          <w:highlight w:val="yellow"/>
        </w:rPr>
        <w:t>Consultation en service social</w:t>
      </w:r>
    </w:p>
    <w:p w:rsidR="00463085" w:rsidRPr="00BA779F" w:rsidRDefault="00463085" w:rsidP="005D429F">
      <w:pPr>
        <w:pStyle w:val="Paragraphedeliste"/>
        <w:numPr>
          <w:ilvl w:val="0"/>
          <w:numId w:val="1060"/>
        </w:numPr>
        <w:spacing w:after="0"/>
        <w:rPr>
          <w:rFonts w:cs="Times New Roman"/>
          <w:highlight w:val="yellow"/>
        </w:rPr>
      </w:pPr>
      <w:r w:rsidRPr="00BA779F">
        <w:rPr>
          <w:rFonts w:cs="Times New Roman"/>
          <w:highlight w:val="yellow"/>
        </w:rPr>
        <w:t>Parfois suivi externe et avec la DPJ</w:t>
      </w:r>
    </w:p>
    <w:p w:rsidR="00463085" w:rsidRPr="00BA779F" w:rsidRDefault="00463085" w:rsidP="005D429F">
      <w:pPr>
        <w:pStyle w:val="Paragraphedeliste"/>
        <w:numPr>
          <w:ilvl w:val="1"/>
          <w:numId w:val="1060"/>
        </w:numPr>
        <w:spacing w:after="0"/>
        <w:rPr>
          <w:rFonts w:cs="Times New Roman"/>
          <w:highlight w:val="yellow"/>
        </w:rPr>
      </w:pPr>
      <w:r w:rsidRPr="00BA779F">
        <w:rPr>
          <w:rFonts w:cs="Times New Roman"/>
          <w:highlight w:val="yellow"/>
        </w:rPr>
        <w:t>Évaluer le développement et la guérison</w:t>
      </w:r>
    </w:p>
    <w:p w:rsidR="006F5B1E" w:rsidRDefault="006F5B1E" w:rsidP="00463085">
      <w:pPr>
        <w:spacing w:after="0"/>
        <w:rPr>
          <w:rFonts w:cs="Times New Roman"/>
        </w:rPr>
      </w:pPr>
    </w:p>
    <w:p w:rsidR="00463085" w:rsidRPr="006F5B1E" w:rsidRDefault="00463085" w:rsidP="00463085">
      <w:pPr>
        <w:spacing w:after="0"/>
        <w:rPr>
          <w:rFonts w:cs="Times New Roman"/>
          <w:b/>
        </w:rPr>
      </w:pPr>
      <w:r w:rsidRPr="006F5B1E">
        <w:rPr>
          <w:rFonts w:cs="Times New Roman"/>
          <w:b/>
        </w:rPr>
        <w:t>Abus psychologique</w:t>
      </w:r>
    </w:p>
    <w:p w:rsidR="00463085" w:rsidRPr="006F5B1E" w:rsidRDefault="00463085" w:rsidP="005D429F">
      <w:pPr>
        <w:pStyle w:val="Paragraphedeliste"/>
        <w:numPr>
          <w:ilvl w:val="0"/>
          <w:numId w:val="1061"/>
        </w:numPr>
        <w:spacing w:after="0"/>
        <w:rPr>
          <w:rFonts w:cs="Times New Roman"/>
        </w:rPr>
      </w:pPr>
      <w:r w:rsidRPr="006F5B1E">
        <w:rPr>
          <w:rFonts w:cs="Times New Roman"/>
        </w:rPr>
        <w:t>Signalement à la DPJ</w:t>
      </w:r>
    </w:p>
    <w:p w:rsidR="00463085" w:rsidRPr="006F5B1E" w:rsidRDefault="00463085" w:rsidP="005D429F">
      <w:pPr>
        <w:pStyle w:val="Paragraphedeliste"/>
        <w:numPr>
          <w:ilvl w:val="1"/>
          <w:numId w:val="1061"/>
        </w:numPr>
        <w:spacing w:after="0"/>
        <w:rPr>
          <w:rFonts w:cs="Times New Roman"/>
        </w:rPr>
      </w:pPr>
      <w:r w:rsidRPr="006F5B1E">
        <w:rPr>
          <w:rFonts w:cs="Times New Roman"/>
        </w:rPr>
        <w:t>Dès qu’une suspicion raisonnable</w:t>
      </w:r>
    </w:p>
    <w:p w:rsidR="00463085" w:rsidRPr="006F5B1E" w:rsidRDefault="00463085" w:rsidP="005D429F">
      <w:pPr>
        <w:pStyle w:val="Paragraphedeliste"/>
        <w:numPr>
          <w:ilvl w:val="0"/>
          <w:numId w:val="1061"/>
        </w:numPr>
        <w:spacing w:after="0"/>
        <w:rPr>
          <w:rFonts w:cs="Times New Roman"/>
        </w:rPr>
      </w:pPr>
      <w:r w:rsidRPr="006F5B1E">
        <w:rPr>
          <w:rFonts w:cs="Times New Roman"/>
        </w:rPr>
        <w:t>Consultation en service social PRN</w:t>
      </w:r>
      <w:r w:rsidR="00EB0E7A" w:rsidRPr="00EB0E7A">
        <w:t xml:space="preserve"> </w:t>
      </w:r>
    </w:p>
    <w:p w:rsidR="006F5B1E" w:rsidRDefault="006F5B1E" w:rsidP="00463085">
      <w:pPr>
        <w:spacing w:after="0"/>
        <w:rPr>
          <w:rFonts w:cs="Times New Roman"/>
        </w:rPr>
      </w:pPr>
    </w:p>
    <w:p w:rsidR="00463085" w:rsidRPr="00BA779F" w:rsidRDefault="00463085" w:rsidP="00463085">
      <w:pPr>
        <w:spacing w:after="0"/>
        <w:rPr>
          <w:rFonts w:cs="Times New Roman"/>
          <w:b/>
          <w:highlight w:val="yellow"/>
        </w:rPr>
      </w:pPr>
      <w:r w:rsidRPr="00BA779F">
        <w:rPr>
          <w:rFonts w:cs="Times New Roman"/>
          <w:b/>
          <w:highlight w:val="yellow"/>
        </w:rPr>
        <w:t>Abus sexuel</w:t>
      </w:r>
    </w:p>
    <w:p w:rsidR="00463085" w:rsidRPr="00BA779F" w:rsidRDefault="00463085" w:rsidP="005D429F">
      <w:pPr>
        <w:pStyle w:val="Paragraphedeliste"/>
        <w:numPr>
          <w:ilvl w:val="0"/>
          <w:numId w:val="1062"/>
        </w:numPr>
        <w:spacing w:after="0"/>
        <w:rPr>
          <w:rFonts w:cs="Times New Roman"/>
          <w:highlight w:val="yellow"/>
        </w:rPr>
      </w:pPr>
      <w:r w:rsidRPr="00BA779F">
        <w:rPr>
          <w:rFonts w:cs="Times New Roman"/>
          <w:highlight w:val="yellow"/>
        </w:rPr>
        <w:t>Signalement à la DPJ</w:t>
      </w:r>
    </w:p>
    <w:p w:rsidR="00463085" w:rsidRPr="00BA779F" w:rsidRDefault="00463085" w:rsidP="005D429F">
      <w:pPr>
        <w:pStyle w:val="Paragraphedeliste"/>
        <w:numPr>
          <w:ilvl w:val="0"/>
          <w:numId w:val="1062"/>
        </w:numPr>
        <w:spacing w:after="0"/>
        <w:rPr>
          <w:rFonts w:cs="Times New Roman"/>
          <w:highlight w:val="yellow"/>
        </w:rPr>
      </w:pPr>
      <w:r w:rsidRPr="00BA779F">
        <w:rPr>
          <w:rFonts w:cs="Times New Roman"/>
          <w:highlight w:val="yellow"/>
        </w:rPr>
        <w:t>Éliminer ITSS, infection urinaire ou grossesse</w:t>
      </w:r>
    </w:p>
    <w:p w:rsidR="00463085" w:rsidRPr="00BA779F" w:rsidRDefault="00463085" w:rsidP="005D429F">
      <w:pPr>
        <w:pStyle w:val="Paragraphedeliste"/>
        <w:numPr>
          <w:ilvl w:val="0"/>
          <w:numId w:val="1062"/>
        </w:numPr>
        <w:spacing w:after="0"/>
        <w:rPr>
          <w:rFonts w:cs="Times New Roman"/>
          <w:highlight w:val="yellow"/>
        </w:rPr>
      </w:pPr>
      <w:r w:rsidRPr="00BA779F">
        <w:rPr>
          <w:rFonts w:cs="Times New Roman"/>
          <w:highlight w:val="yellow"/>
        </w:rPr>
        <w:t>Vérifier présence de lésions génitales ou autres</w:t>
      </w:r>
    </w:p>
    <w:p w:rsidR="00463085" w:rsidRPr="00BA779F" w:rsidRDefault="00463085" w:rsidP="005D429F">
      <w:pPr>
        <w:pStyle w:val="Paragraphedeliste"/>
        <w:numPr>
          <w:ilvl w:val="0"/>
          <w:numId w:val="1062"/>
        </w:numPr>
        <w:spacing w:after="0"/>
        <w:rPr>
          <w:rFonts w:cs="Times New Roman"/>
          <w:highlight w:val="yellow"/>
        </w:rPr>
      </w:pPr>
      <w:r w:rsidRPr="00BA779F">
        <w:rPr>
          <w:rFonts w:cs="Times New Roman"/>
          <w:highlight w:val="yellow"/>
        </w:rPr>
        <w:t xml:space="preserve">Si </w:t>
      </w:r>
      <w:r w:rsidRPr="00BA779F">
        <w:rPr>
          <w:rFonts w:ascii="Century Gothic" w:hAnsi="Century Gothic" w:cs="Times New Roman"/>
          <w:highlight w:val="yellow"/>
        </w:rPr>
        <w:t>&lt;</w:t>
      </w:r>
      <w:r w:rsidRPr="00BA779F">
        <w:rPr>
          <w:rFonts w:cs="Times New Roman"/>
          <w:highlight w:val="yellow"/>
        </w:rPr>
        <w:t xml:space="preserve"> 72h et pubère ou </w:t>
      </w:r>
      <w:r w:rsidRPr="00BA779F">
        <w:rPr>
          <w:rFonts w:ascii="Century Gothic" w:hAnsi="Century Gothic" w:cs="Times New Roman"/>
          <w:highlight w:val="yellow"/>
        </w:rPr>
        <w:t>&lt;</w:t>
      </w:r>
      <w:r w:rsidRPr="00BA779F">
        <w:rPr>
          <w:rFonts w:cs="Times New Roman"/>
          <w:highlight w:val="yellow"/>
        </w:rPr>
        <w:t xml:space="preserve"> 24h et prépubère</w:t>
      </w:r>
    </w:p>
    <w:p w:rsidR="00463085" w:rsidRPr="00BA779F" w:rsidRDefault="00463085" w:rsidP="005D429F">
      <w:pPr>
        <w:pStyle w:val="Paragraphedeliste"/>
        <w:numPr>
          <w:ilvl w:val="1"/>
          <w:numId w:val="1062"/>
        </w:numPr>
        <w:spacing w:after="0"/>
        <w:rPr>
          <w:rFonts w:cs="Times New Roman"/>
          <w:highlight w:val="yellow"/>
        </w:rPr>
      </w:pPr>
      <w:r w:rsidRPr="00BA779F">
        <w:rPr>
          <w:rFonts w:cs="Times New Roman"/>
          <w:highlight w:val="yellow"/>
        </w:rPr>
        <w:t>Trousse médicolégale</w:t>
      </w:r>
    </w:p>
    <w:p w:rsidR="00463085" w:rsidRPr="00BA779F" w:rsidRDefault="00463085" w:rsidP="005D429F">
      <w:pPr>
        <w:pStyle w:val="Paragraphedeliste"/>
        <w:numPr>
          <w:ilvl w:val="0"/>
          <w:numId w:val="1062"/>
        </w:numPr>
        <w:spacing w:after="0"/>
        <w:rPr>
          <w:rFonts w:cs="Times New Roman"/>
          <w:highlight w:val="yellow"/>
        </w:rPr>
      </w:pPr>
      <w:r w:rsidRPr="00BA779F">
        <w:rPr>
          <w:rFonts w:cs="Times New Roman"/>
          <w:highlight w:val="yellow"/>
        </w:rPr>
        <w:t>Support</w:t>
      </w:r>
    </w:p>
    <w:p w:rsidR="006F5B1E" w:rsidRPr="00BA779F" w:rsidRDefault="00463085" w:rsidP="005D429F">
      <w:pPr>
        <w:pStyle w:val="Paragraphedeliste"/>
        <w:numPr>
          <w:ilvl w:val="0"/>
          <w:numId w:val="1062"/>
        </w:numPr>
        <w:spacing w:after="0"/>
        <w:rPr>
          <w:rFonts w:cs="Times New Roman"/>
          <w:highlight w:val="yellow"/>
        </w:rPr>
      </w:pPr>
      <w:r w:rsidRPr="00BA779F">
        <w:rPr>
          <w:rFonts w:cs="Times New Roman"/>
          <w:highlight w:val="yellow"/>
        </w:rPr>
        <w:t>Suivi régulier pour évaluer état psychologique et développement</w:t>
      </w:r>
    </w:p>
    <w:p w:rsidR="006F5B1E" w:rsidRPr="006F5B1E" w:rsidRDefault="006F5B1E" w:rsidP="006F5B1E">
      <w:pPr>
        <w:pStyle w:val="Paragraphedeliste"/>
        <w:spacing w:after="0"/>
        <w:ind w:left="360"/>
        <w:rPr>
          <w:rFonts w:cs="Times New Roman"/>
        </w:rPr>
      </w:pPr>
    </w:p>
    <w:p w:rsidR="006F5B1E" w:rsidRPr="006F5B1E" w:rsidRDefault="00EB0E7A" w:rsidP="006F5B1E">
      <w:pPr>
        <w:pStyle w:val="Sansinterligne"/>
        <w:rPr>
          <w:b/>
        </w:rPr>
      </w:pPr>
      <w:r>
        <w:rPr>
          <w:noProof/>
          <w:lang w:eastAsia="fr-CA"/>
        </w:rPr>
        <w:drawing>
          <wp:anchor distT="0" distB="0" distL="114300" distR="114300" simplePos="0" relativeHeight="251998208" behindDoc="0" locked="0" layoutInCell="1" allowOverlap="1" wp14:anchorId="4AE562BE" wp14:editId="5D09EF1C">
            <wp:simplePos x="0" y="0"/>
            <wp:positionH relativeFrom="column">
              <wp:posOffset>3637280</wp:posOffset>
            </wp:positionH>
            <wp:positionV relativeFrom="paragraph">
              <wp:posOffset>29210</wp:posOffset>
            </wp:positionV>
            <wp:extent cx="3044825" cy="1653540"/>
            <wp:effectExtent l="0" t="0" r="3175" b="3810"/>
            <wp:wrapNone/>
            <wp:docPr id="505" name="Image 505" descr="Résultats de recherche d'images pour « département de protection de la jeuness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ésultats de recherche d'images pour « département de protection de la jeunesse »"/>
                    <pic:cNvPicPr>
                      <a:picLocks noChangeAspect="1" noChangeArrowheads="1"/>
                    </pic:cNvPicPr>
                  </pic:nvPicPr>
                  <pic:blipFill>
                    <a:blip r:embed="rId396">
                      <a:extLst>
                        <a:ext uri="{28A0092B-C50C-407E-A947-70E740481C1C}">
                          <a14:useLocalDpi xmlns:a14="http://schemas.microsoft.com/office/drawing/2010/main" val="0"/>
                        </a:ext>
                      </a:extLst>
                    </a:blip>
                    <a:srcRect/>
                    <a:stretch>
                      <a:fillRect/>
                    </a:stretch>
                  </pic:blipFill>
                  <pic:spPr bwMode="auto">
                    <a:xfrm>
                      <a:off x="0" y="0"/>
                      <a:ext cx="3044825" cy="1653540"/>
                    </a:xfrm>
                    <a:prstGeom prst="rect">
                      <a:avLst/>
                    </a:prstGeom>
                    <a:noFill/>
                    <a:ln>
                      <a:noFill/>
                    </a:ln>
                  </pic:spPr>
                </pic:pic>
              </a:graphicData>
            </a:graphic>
            <wp14:sizeRelH relativeFrom="page">
              <wp14:pctWidth>0</wp14:pctWidth>
            </wp14:sizeRelH>
            <wp14:sizeRelV relativeFrom="page">
              <wp14:pctHeight>0</wp14:pctHeight>
            </wp14:sizeRelV>
          </wp:anchor>
        </w:drawing>
      </w:r>
      <w:r w:rsidR="00463085" w:rsidRPr="006F5B1E">
        <w:rPr>
          <w:b/>
        </w:rPr>
        <w:t xml:space="preserve">Négligence </w:t>
      </w:r>
    </w:p>
    <w:p w:rsidR="006F5B1E" w:rsidRDefault="006F5B1E" w:rsidP="006F5B1E">
      <w:pPr>
        <w:pStyle w:val="Sansinterligne"/>
      </w:pPr>
      <w:r>
        <w:t xml:space="preserve">Voir </w:t>
      </w:r>
      <w:r w:rsidRPr="00463085">
        <w:rPr>
          <w:i/>
        </w:rPr>
        <w:t>Négligence</w:t>
      </w:r>
      <w:r>
        <w:t xml:space="preserve"> </w:t>
      </w:r>
      <w:r w:rsidRPr="00463085">
        <w:rPr>
          <w:i/>
        </w:rPr>
        <w:t>CMC 121-3</w:t>
      </w:r>
    </w:p>
    <w:p w:rsidR="00463085" w:rsidRPr="006F5B1E" w:rsidRDefault="00463085" w:rsidP="005D429F">
      <w:pPr>
        <w:pStyle w:val="Sansinterligne"/>
        <w:numPr>
          <w:ilvl w:val="0"/>
          <w:numId w:val="1063"/>
        </w:numPr>
      </w:pPr>
      <w:r w:rsidRPr="006F5B1E">
        <w:t>Signalement à la DPJ</w:t>
      </w:r>
    </w:p>
    <w:p w:rsidR="00463085" w:rsidRDefault="00463085" w:rsidP="005D429F">
      <w:pPr>
        <w:pStyle w:val="Sansinterligne"/>
        <w:numPr>
          <w:ilvl w:val="1"/>
          <w:numId w:val="1063"/>
        </w:numPr>
      </w:pPr>
      <w:r>
        <w:t>Dès qu’une suspicion raisonnable</w:t>
      </w:r>
    </w:p>
    <w:p w:rsidR="00463085" w:rsidRDefault="00463085" w:rsidP="005D429F">
      <w:pPr>
        <w:pStyle w:val="Sansinterligne"/>
        <w:numPr>
          <w:ilvl w:val="0"/>
          <w:numId w:val="1063"/>
        </w:numPr>
      </w:pPr>
      <w:r>
        <w:t xml:space="preserve">Hospitalisation si </w:t>
      </w:r>
      <w:r>
        <w:rPr>
          <w:rFonts w:ascii="Century Gothic" w:hAnsi="Century Gothic"/>
        </w:rPr>
        <w:t>&lt;</w:t>
      </w:r>
      <w:r>
        <w:t xml:space="preserve"> 1 an</w:t>
      </w:r>
    </w:p>
    <w:p w:rsidR="00463085" w:rsidRDefault="00463085" w:rsidP="005D429F">
      <w:pPr>
        <w:pStyle w:val="Sansinterligne"/>
        <w:numPr>
          <w:ilvl w:val="0"/>
          <w:numId w:val="1063"/>
        </w:numPr>
      </w:pPr>
      <w:r>
        <w:t>Consultation en service social</w:t>
      </w:r>
    </w:p>
    <w:p w:rsidR="00463085" w:rsidRDefault="00463085" w:rsidP="005D429F">
      <w:pPr>
        <w:pStyle w:val="Sansinterligne"/>
        <w:numPr>
          <w:ilvl w:val="0"/>
          <w:numId w:val="1063"/>
        </w:numPr>
      </w:pPr>
      <w:r>
        <w:t>Parfois suivi externe et avec la DPJ</w:t>
      </w:r>
    </w:p>
    <w:p w:rsidR="00345EB5" w:rsidRDefault="00345EB5">
      <w:pPr>
        <w:rPr>
          <w:rFonts w:cs="Times New Roman"/>
        </w:rPr>
      </w:pPr>
      <w:r>
        <w:rPr>
          <w:rFonts w:cs="Times New Roman"/>
        </w:rPr>
        <w:br w:type="page"/>
      </w:r>
    </w:p>
    <w:p w:rsidR="004540ED" w:rsidRDefault="004540ED" w:rsidP="006D5219">
      <w:pPr>
        <w:spacing w:after="0"/>
        <w:rPr>
          <w:rFonts w:cs="Times New Roman"/>
          <w:b/>
          <w:color w:val="548DD4" w:themeColor="text2" w:themeTint="99"/>
        </w:rPr>
      </w:pPr>
      <w:r>
        <w:rPr>
          <w:rFonts w:cs="Times New Roman"/>
          <w:b/>
          <w:color w:val="548DD4" w:themeColor="text2" w:themeTint="99"/>
        </w:rPr>
        <w:t>CMC 114-2</w:t>
      </w:r>
    </w:p>
    <w:p w:rsidR="004540ED" w:rsidRPr="004540ED" w:rsidRDefault="004540ED" w:rsidP="004540ED">
      <w:pPr>
        <w:pStyle w:val="Titre3"/>
        <w:spacing w:before="0"/>
        <w:rPr>
          <w:rFonts w:ascii="Times New Roman" w:hAnsi="Times New Roman" w:cs="Times New Roman"/>
        </w:rPr>
      </w:pPr>
      <w:bookmarkStart w:id="397" w:name="_Toc480797340"/>
      <w:r w:rsidRPr="004540ED">
        <w:rPr>
          <w:rFonts w:ascii="Times New Roman" w:hAnsi="Times New Roman" w:cs="Times New Roman"/>
        </w:rPr>
        <w:t>Mauvais traitements envers une personne âgée</w:t>
      </w:r>
      <w:bookmarkEnd w:id="397"/>
    </w:p>
    <w:p w:rsidR="004540ED" w:rsidRDefault="004540ED" w:rsidP="006D5219">
      <w:pPr>
        <w:spacing w:after="0"/>
        <w:rPr>
          <w:rFonts w:cs="Times New Roman"/>
          <w:b/>
          <w:color w:val="548DD4" w:themeColor="text2" w:themeTint="99"/>
        </w:rPr>
      </w:pPr>
      <w:r>
        <w:rPr>
          <w:rFonts w:cs="Times New Roman"/>
          <w:b/>
          <w:noProof/>
          <w:color w:val="548DD4" w:themeColor="text2" w:themeTint="99"/>
          <w:lang w:eastAsia="fr-CA"/>
        </w:rPr>
        <mc:AlternateContent>
          <mc:Choice Requires="wps">
            <w:drawing>
              <wp:anchor distT="0" distB="0" distL="114300" distR="114300" simplePos="0" relativeHeight="252172288" behindDoc="0" locked="0" layoutInCell="1" allowOverlap="1" wp14:anchorId="6126E813" wp14:editId="2CA2181D">
                <wp:simplePos x="0" y="0"/>
                <wp:positionH relativeFrom="column">
                  <wp:posOffset>-58366</wp:posOffset>
                </wp:positionH>
                <wp:positionV relativeFrom="paragraph">
                  <wp:posOffset>153319</wp:posOffset>
                </wp:positionV>
                <wp:extent cx="6916366" cy="2957208"/>
                <wp:effectExtent l="0" t="0" r="18415" b="14605"/>
                <wp:wrapNone/>
                <wp:docPr id="646" name="Rectangle 646"/>
                <wp:cNvGraphicFramePr/>
                <a:graphic xmlns:a="http://schemas.openxmlformats.org/drawingml/2006/main">
                  <a:graphicData uri="http://schemas.microsoft.com/office/word/2010/wordprocessingShape">
                    <wps:wsp>
                      <wps:cNvSpPr/>
                      <wps:spPr>
                        <a:xfrm>
                          <a:off x="0" y="0"/>
                          <a:ext cx="6916366" cy="2957208"/>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646" o:spid="_x0000_s1026" style="position:absolute;margin-left:-4.6pt;margin-top:12.05pt;width:544.6pt;height:232.85pt;z-index:252172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" filled="f" strokecolor="black [1600]" strokeweight="2pt"/>
            </w:pict>
          </mc:Fallback>
        </mc:AlternateContent>
      </w:r>
    </w:p>
    <w:tbl>
      <w:tblPr>
        <w:tblW w:w="3858" w:type="pct"/>
        <w:tblCellSpacing w:w="0" w:type="dxa"/>
        <w:tblCellMar>
          <w:left w:w="0" w:type="dxa"/>
          <w:right w:w="0" w:type="dxa"/>
        </w:tblCellMar>
        <w:tblLook w:val="04A0" w:firstRow="1" w:lastRow="0" w:firstColumn="1" w:lastColumn="0" w:noHBand="0" w:noVBand="1"/>
      </w:tblPr>
      <w:tblGrid>
        <w:gridCol w:w="8333"/>
      </w:tblGrid>
      <w:tr w:rsidR="004540ED" w:rsidRPr="004540ED" w:rsidTr="004540ED">
        <w:trPr>
          <w:tblCellSpacing w:w="0" w:type="dxa"/>
        </w:trPr>
        <w:tc>
          <w:tcPr>
            <w:tcW w:w="0" w:type="auto"/>
            <w:vAlign w:val="bottom"/>
            <w:hideMark/>
          </w:tcPr>
          <w:p w:rsidR="004540ED" w:rsidRPr="004540ED" w:rsidRDefault="004540ED" w:rsidP="004540ED">
            <w:pPr>
              <w:pStyle w:val="Sansinterligne"/>
              <w:rPr>
                <w:rFonts w:cs="Times New Roman"/>
                <w:b/>
                <w:sz w:val="18"/>
                <w:szCs w:val="18"/>
              </w:rPr>
            </w:pPr>
            <w:r w:rsidRPr="004540ED">
              <w:rPr>
                <w:rFonts w:cs="Times New Roman"/>
                <w:b/>
                <w:sz w:val="18"/>
                <w:szCs w:val="18"/>
              </w:rPr>
              <w:t>Objectifs principaux</w:t>
            </w:r>
          </w:p>
        </w:tc>
      </w:tr>
    </w:tbl>
    <w:p w:rsidR="004540ED" w:rsidRPr="004540ED" w:rsidRDefault="004540ED" w:rsidP="004540ED">
      <w:pPr>
        <w:pStyle w:val="NormalWeb"/>
        <w:ind w:left="360"/>
        <w:rPr>
          <w:color w:val="000000"/>
          <w:sz w:val="18"/>
          <w:szCs w:val="18"/>
          <w:shd w:val="clear" w:color="auto" w:fill="FFFFFF"/>
        </w:rPr>
      </w:pPr>
      <w:r w:rsidRPr="004540ED">
        <w:rPr>
          <w:color w:val="000000"/>
          <w:sz w:val="18"/>
          <w:szCs w:val="18"/>
          <w:shd w:val="clear" w:color="auto" w:fill="FFFFFF"/>
        </w:rPr>
        <w:t>Dans le cas d'une personne âgée en détresse ou en présence de constatations inexpliquées, le candidat devra interroger la personne en question s'il soupçonne un cas de mauvais traitements. Il devra en particulier évaluer les risques immédiats, déterminer les facteurs contributifs possibles et établir les grandes lignes d'un plan de prise en charge approprié.</w:t>
      </w:r>
    </w:p>
    <w:tbl>
      <w:tblPr>
        <w:tblW w:w="3897" w:type="pct"/>
        <w:tblCellSpacing w:w="0" w:type="dxa"/>
        <w:tblCellMar>
          <w:left w:w="0" w:type="dxa"/>
          <w:right w:w="0" w:type="dxa"/>
        </w:tblCellMar>
        <w:tblLook w:val="04A0" w:firstRow="1" w:lastRow="0" w:firstColumn="1" w:lastColumn="0" w:noHBand="0" w:noVBand="1"/>
      </w:tblPr>
      <w:tblGrid>
        <w:gridCol w:w="8418"/>
      </w:tblGrid>
      <w:tr w:rsidR="004540ED" w:rsidRPr="004540ED" w:rsidTr="004540ED">
        <w:trPr>
          <w:tblCellSpacing w:w="0" w:type="dxa"/>
        </w:trPr>
        <w:tc>
          <w:tcPr>
            <w:tcW w:w="0" w:type="auto"/>
            <w:vAlign w:val="bottom"/>
            <w:hideMark/>
          </w:tcPr>
          <w:p w:rsidR="004540ED" w:rsidRPr="004540ED" w:rsidRDefault="004540ED" w:rsidP="004540ED">
            <w:pPr>
              <w:pStyle w:val="Sansinterligne"/>
              <w:rPr>
                <w:rFonts w:cs="Times New Roman"/>
                <w:b/>
                <w:sz w:val="16"/>
                <w:szCs w:val="16"/>
              </w:rPr>
            </w:pPr>
            <w:r w:rsidRPr="004540ED">
              <w:rPr>
                <w:rFonts w:cs="Times New Roman"/>
                <w:b/>
                <w:sz w:val="16"/>
                <w:szCs w:val="16"/>
              </w:rPr>
              <w:t>Objectifs spécifiques</w:t>
            </w:r>
          </w:p>
        </w:tc>
      </w:tr>
    </w:tbl>
    <w:p w:rsidR="004540ED" w:rsidRPr="004540ED" w:rsidRDefault="004540ED" w:rsidP="004540ED">
      <w:pPr>
        <w:pStyle w:val="NormalWeb"/>
        <w:shd w:val="clear" w:color="auto" w:fill="FFFFFF"/>
        <w:ind w:left="360"/>
        <w:rPr>
          <w:color w:val="000000"/>
          <w:sz w:val="16"/>
          <w:szCs w:val="16"/>
          <w:shd w:val="clear" w:color="auto" w:fill="FFFFFF"/>
        </w:rPr>
      </w:pPr>
      <w:r w:rsidRPr="004540ED">
        <w:rPr>
          <w:color w:val="000000"/>
          <w:sz w:val="16"/>
          <w:szCs w:val="16"/>
          <w:shd w:val="clear" w:color="auto" w:fill="FFFFFF"/>
        </w:rPr>
        <w:t>Dans un cas éventuel de mauvais traitements envers une personne âgée, le candidat devra</w:t>
      </w:r>
    </w:p>
    <w:p w:rsidR="004540ED" w:rsidRPr="004540ED" w:rsidRDefault="004540ED" w:rsidP="004540ED">
      <w:pPr>
        <w:numPr>
          <w:ilvl w:val="0"/>
          <w:numId w:val="1418"/>
        </w:numPr>
        <w:shd w:val="clear" w:color="auto" w:fill="FFFFFF"/>
        <w:spacing w:before="100" w:beforeAutospacing="1" w:after="100" w:afterAutospacing="1" w:line="240" w:lineRule="auto"/>
        <w:rPr>
          <w:rFonts w:cs="Times New Roman"/>
          <w:color w:val="000000"/>
          <w:sz w:val="16"/>
          <w:szCs w:val="16"/>
          <w:shd w:val="clear" w:color="auto" w:fill="FFFFFF"/>
        </w:rPr>
      </w:pPr>
      <w:r w:rsidRPr="004540ED">
        <w:rPr>
          <w:rFonts w:cs="Times New Roman"/>
          <w:color w:val="000000"/>
          <w:sz w:val="16"/>
          <w:szCs w:val="16"/>
          <w:shd w:val="clear" w:color="auto" w:fill="FFFFFF"/>
        </w:rPr>
        <w:t>énumérer et interpréter les constatations cliniques cruciales, notamment :</w:t>
      </w:r>
    </w:p>
    <w:p w:rsidR="004540ED" w:rsidRPr="004540ED" w:rsidRDefault="004540ED" w:rsidP="004540ED">
      <w:pPr>
        <w:numPr>
          <w:ilvl w:val="1"/>
          <w:numId w:val="1418"/>
        </w:numPr>
        <w:shd w:val="clear" w:color="auto" w:fill="FFFFFF"/>
        <w:spacing w:before="100" w:beforeAutospacing="1" w:after="100" w:afterAutospacing="1" w:line="240" w:lineRule="auto"/>
        <w:rPr>
          <w:rFonts w:cs="Times New Roman"/>
          <w:color w:val="000000"/>
          <w:sz w:val="16"/>
          <w:szCs w:val="16"/>
          <w:shd w:val="clear" w:color="auto" w:fill="FFFFFF"/>
        </w:rPr>
      </w:pPr>
      <w:r w:rsidRPr="004540ED">
        <w:rPr>
          <w:rFonts w:cs="Times New Roman"/>
          <w:color w:val="000000"/>
          <w:sz w:val="16"/>
          <w:szCs w:val="16"/>
          <w:shd w:val="clear" w:color="auto" w:fill="FFFFFF"/>
        </w:rPr>
        <w:t>reconnaître les signes possibles de mauvais traitements (p. ex. peur, malnutrition);</w:t>
      </w:r>
    </w:p>
    <w:p w:rsidR="004540ED" w:rsidRPr="004540ED" w:rsidRDefault="004540ED" w:rsidP="004540ED">
      <w:pPr>
        <w:numPr>
          <w:ilvl w:val="1"/>
          <w:numId w:val="1418"/>
        </w:numPr>
        <w:shd w:val="clear" w:color="auto" w:fill="FFFFFF"/>
        <w:spacing w:before="100" w:beforeAutospacing="1" w:after="100" w:afterAutospacing="1" w:line="240" w:lineRule="auto"/>
        <w:rPr>
          <w:rFonts w:cs="Times New Roman"/>
          <w:color w:val="000000"/>
          <w:sz w:val="16"/>
          <w:szCs w:val="16"/>
          <w:shd w:val="clear" w:color="auto" w:fill="FFFFFF"/>
        </w:rPr>
      </w:pPr>
      <w:r w:rsidRPr="004540ED">
        <w:rPr>
          <w:rFonts w:cs="Times New Roman"/>
          <w:color w:val="000000"/>
          <w:sz w:val="16"/>
          <w:szCs w:val="16"/>
          <w:shd w:val="clear" w:color="auto" w:fill="FFFFFF"/>
        </w:rPr>
        <w:t>reconnaître l'importance d'interroger le patient en privé;</w:t>
      </w:r>
    </w:p>
    <w:p w:rsidR="004540ED" w:rsidRPr="004540ED" w:rsidRDefault="004540ED" w:rsidP="004540ED">
      <w:pPr>
        <w:numPr>
          <w:ilvl w:val="1"/>
          <w:numId w:val="1418"/>
        </w:numPr>
        <w:shd w:val="clear" w:color="auto" w:fill="FFFFFF"/>
        <w:spacing w:before="100" w:beforeAutospacing="1" w:after="100" w:afterAutospacing="1" w:line="240" w:lineRule="auto"/>
        <w:rPr>
          <w:rFonts w:cs="Times New Roman"/>
          <w:color w:val="000000"/>
          <w:sz w:val="16"/>
          <w:szCs w:val="16"/>
          <w:shd w:val="clear" w:color="auto" w:fill="FFFFFF"/>
        </w:rPr>
      </w:pPr>
      <w:r w:rsidRPr="004540ED">
        <w:rPr>
          <w:rFonts w:cs="Times New Roman"/>
          <w:color w:val="000000"/>
          <w:sz w:val="16"/>
          <w:szCs w:val="16"/>
          <w:shd w:val="clear" w:color="auto" w:fill="FFFFFF"/>
        </w:rPr>
        <w:t>déterminer les facteurs de risque en matière de mauvais traitements, y compris la structure de soutien et la situation sociale du patient;</w:t>
      </w:r>
    </w:p>
    <w:p w:rsidR="004540ED" w:rsidRPr="004540ED" w:rsidRDefault="004540ED" w:rsidP="004540ED">
      <w:pPr>
        <w:numPr>
          <w:ilvl w:val="1"/>
          <w:numId w:val="1418"/>
        </w:numPr>
        <w:shd w:val="clear" w:color="auto" w:fill="FFFFFF"/>
        <w:spacing w:before="100" w:beforeAutospacing="1" w:after="100" w:afterAutospacing="1" w:line="240" w:lineRule="auto"/>
        <w:rPr>
          <w:rFonts w:cs="Times New Roman"/>
          <w:color w:val="000000"/>
          <w:sz w:val="16"/>
          <w:szCs w:val="16"/>
          <w:shd w:val="clear" w:color="auto" w:fill="FFFFFF"/>
        </w:rPr>
      </w:pPr>
      <w:r w:rsidRPr="004540ED">
        <w:rPr>
          <w:rFonts w:cs="Times New Roman"/>
          <w:color w:val="000000"/>
          <w:sz w:val="16"/>
          <w:szCs w:val="16"/>
          <w:shd w:val="clear" w:color="auto" w:fill="FFFFFF"/>
        </w:rPr>
        <w:t>évaluer la capacité du patient de prendre par lui-même des décisions en ce qui concerne ses soins personnels;</w:t>
      </w:r>
    </w:p>
    <w:p w:rsidR="004540ED" w:rsidRPr="004540ED" w:rsidRDefault="004540ED" w:rsidP="004540ED">
      <w:pPr>
        <w:numPr>
          <w:ilvl w:val="0"/>
          <w:numId w:val="1418"/>
        </w:numPr>
        <w:shd w:val="clear" w:color="auto" w:fill="FFFFFF"/>
        <w:spacing w:before="100" w:beforeAutospacing="1" w:after="100" w:afterAutospacing="1" w:line="240" w:lineRule="auto"/>
        <w:rPr>
          <w:rFonts w:cs="Times New Roman"/>
          <w:color w:val="000000"/>
          <w:sz w:val="16"/>
          <w:szCs w:val="16"/>
          <w:shd w:val="clear" w:color="auto" w:fill="FFFFFF"/>
        </w:rPr>
      </w:pPr>
      <w:r w:rsidRPr="004540ED">
        <w:rPr>
          <w:rFonts w:cs="Times New Roman"/>
          <w:color w:val="000000"/>
          <w:sz w:val="16"/>
          <w:szCs w:val="16"/>
          <w:shd w:val="clear" w:color="auto" w:fill="FFFFFF"/>
        </w:rPr>
        <w:t>énumérer et interpréter, selon les indications, les examens essentiels, notamment :</w:t>
      </w:r>
    </w:p>
    <w:p w:rsidR="004540ED" w:rsidRPr="004540ED" w:rsidRDefault="004540ED" w:rsidP="004540ED">
      <w:pPr>
        <w:numPr>
          <w:ilvl w:val="1"/>
          <w:numId w:val="1418"/>
        </w:numPr>
        <w:shd w:val="clear" w:color="auto" w:fill="FFFFFF"/>
        <w:spacing w:before="100" w:beforeAutospacing="1" w:after="100" w:afterAutospacing="1" w:line="240" w:lineRule="auto"/>
        <w:rPr>
          <w:rFonts w:cs="Times New Roman"/>
          <w:color w:val="000000"/>
          <w:sz w:val="16"/>
          <w:szCs w:val="16"/>
          <w:shd w:val="clear" w:color="auto" w:fill="FFFFFF"/>
        </w:rPr>
      </w:pPr>
      <w:r w:rsidRPr="004540ED">
        <w:rPr>
          <w:rFonts w:cs="Times New Roman"/>
          <w:color w:val="000000"/>
          <w:sz w:val="16"/>
          <w:szCs w:val="16"/>
          <w:shd w:val="clear" w:color="auto" w:fill="FFFFFF"/>
        </w:rPr>
        <w:t>les examens médicaux pertinents;</w:t>
      </w:r>
    </w:p>
    <w:p w:rsidR="004540ED" w:rsidRPr="004540ED" w:rsidRDefault="004540ED" w:rsidP="004540ED">
      <w:pPr>
        <w:numPr>
          <w:ilvl w:val="1"/>
          <w:numId w:val="1418"/>
        </w:numPr>
        <w:shd w:val="clear" w:color="auto" w:fill="FFFFFF"/>
        <w:spacing w:before="100" w:beforeAutospacing="1" w:after="100" w:afterAutospacing="1" w:line="240" w:lineRule="auto"/>
        <w:rPr>
          <w:rFonts w:cs="Times New Roman"/>
          <w:color w:val="000000"/>
          <w:sz w:val="16"/>
          <w:szCs w:val="16"/>
          <w:shd w:val="clear" w:color="auto" w:fill="FFFFFF"/>
        </w:rPr>
      </w:pPr>
      <w:r w:rsidRPr="004540ED">
        <w:rPr>
          <w:rFonts w:cs="Times New Roman"/>
          <w:color w:val="000000"/>
          <w:sz w:val="16"/>
          <w:szCs w:val="16"/>
          <w:shd w:val="clear" w:color="auto" w:fill="FFFFFF"/>
        </w:rPr>
        <w:t>l'évaluation du cas par les organismes de services de santé compétents;</w:t>
      </w:r>
    </w:p>
    <w:p w:rsidR="004540ED" w:rsidRPr="004540ED" w:rsidRDefault="004540ED" w:rsidP="004540ED">
      <w:pPr>
        <w:numPr>
          <w:ilvl w:val="0"/>
          <w:numId w:val="1418"/>
        </w:numPr>
        <w:shd w:val="clear" w:color="auto" w:fill="FFFFFF"/>
        <w:spacing w:before="100" w:beforeAutospacing="1" w:after="100" w:afterAutospacing="1" w:line="240" w:lineRule="auto"/>
        <w:rPr>
          <w:rFonts w:cs="Times New Roman"/>
          <w:color w:val="000000"/>
          <w:sz w:val="16"/>
          <w:szCs w:val="16"/>
          <w:shd w:val="clear" w:color="auto" w:fill="FFFFFF"/>
        </w:rPr>
      </w:pPr>
      <w:r w:rsidRPr="004540ED">
        <w:rPr>
          <w:rFonts w:cs="Times New Roman"/>
          <w:color w:val="000000"/>
          <w:sz w:val="16"/>
          <w:szCs w:val="16"/>
          <w:shd w:val="clear" w:color="auto" w:fill="FFFFFF"/>
        </w:rPr>
        <w:t>établir un plan efficace de prise en charge initiale, notamment :</w:t>
      </w:r>
    </w:p>
    <w:p w:rsidR="004540ED" w:rsidRPr="004540ED" w:rsidRDefault="004540ED" w:rsidP="004540ED">
      <w:pPr>
        <w:numPr>
          <w:ilvl w:val="1"/>
          <w:numId w:val="1418"/>
        </w:numPr>
        <w:shd w:val="clear" w:color="auto" w:fill="FFFFFF"/>
        <w:spacing w:before="100" w:beforeAutospacing="1" w:after="100" w:afterAutospacing="1" w:line="240" w:lineRule="auto"/>
        <w:rPr>
          <w:rFonts w:cs="Times New Roman"/>
          <w:color w:val="000000"/>
          <w:sz w:val="16"/>
          <w:szCs w:val="16"/>
          <w:shd w:val="clear" w:color="auto" w:fill="FFFFFF"/>
        </w:rPr>
      </w:pPr>
      <w:r w:rsidRPr="004540ED">
        <w:rPr>
          <w:rFonts w:cs="Times New Roman"/>
          <w:color w:val="000000"/>
          <w:sz w:val="16"/>
          <w:szCs w:val="16"/>
          <w:shd w:val="clear" w:color="auto" w:fill="FFFFFF"/>
        </w:rPr>
        <w:t>s'assurer que le milieu de vie du patient est sécuritaire;</w:t>
      </w:r>
    </w:p>
    <w:p w:rsidR="004540ED" w:rsidRPr="004540ED" w:rsidRDefault="004540ED" w:rsidP="004540ED">
      <w:pPr>
        <w:numPr>
          <w:ilvl w:val="1"/>
          <w:numId w:val="1418"/>
        </w:numPr>
        <w:shd w:val="clear" w:color="auto" w:fill="FFFFFF"/>
        <w:spacing w:before="100" w:beforeAutospacing="1" w:after="100" w:afterAutospacing="1" w:line="240" w:lineRule="auto"/>
        <w:rPr>
          <w:rFonts w:cs="Times New Roman"/>
          <w:color w:val="000000"/>
          <w:sz w:val="16"/>
          <w:szCs w:val="16"/>
          <w:shd w:val="clear" w:color="auto" w:fill="FFFFFF"/>
        </w:rPr>
      </w:pPr>
      <w:r w:rsidRPr="004540ED">
        <w:rPr>
          <w:rFonts w:cs="Times New Roman"/>
          <w:color w:val="000000"/>
          <w:sz w:val="16"/>
          <w:szCs w:val="16"/>
          <w:shd w:val="clear" w:color="auto" w:fill="FFFFFF"/>
        </w:rPr>
        <w:t>faire intervenir d'autres membres de l'équipe d'intervenants ou d'autres organismes compétents, s'il y a lieu (p. ex. travailleur social);</w:t>
      </w:r>
    </w:p>
    <w:p w:rsidR="004C498B" w:rsidRDefault="004540ED" w:rsidP="004C498B">
      <w:pPr>
        <w:numPr>
          <w:ilvl w:val="1"/>
          <w:numId w:val="1418"/>
        </w:numPr>
        <w:shd w:val="clear" w:color="auto" w:fill="FFFFFF"/>
        <w:spacing w:before="100" w:beforeAutospacing="1" w:after="100" w:afterAutospacing="1" w:line="240" w:lineRule="auto"/>
        <w:rPr>
          <w:rFonts w:cs="Times New Roman"/>
          <w:color w:val="000000"/>
          <w:sz w:val="16"/>
          <w:szCs w:val="16"/>
          <w:shd w:val="clear" w:color="auto" w:fill="FFFFFF"/>
        </w:rPr>
      </w:pPr>
      <w:r w:rsidRPr="004540ED">
        <w:rPr>
          <w:rFonts w:cs="Times New Roman"/>
          <w:color w:val="000000"/>
          <w:sz w:val="16"/>
          <w:szCs w:val="16"/>
          <w:shd w:val="clear" w:color="auto" w:fill="FFFFFF"/>
        </w:rPr>
        <w:t>fournir un soutien et de l'information à la personne soignante, au besoin.</w:t>
      </w:r>
    </w:p>
    <w:p w:rsidR="00C77CD4" w:rsidRPr="00C77CD4" w:rsidRDefault="00423157" w:rsidP="00C77CD4">
      <w:pPr>
        <w:pStyle w:val="Sansinterligne"/>
        <w:rPr>
          <w:b/>
          <w:sz w:val="28"/>
          <w:szCs w:val="28"/>
          <w:lang w:eastAsia="fr-CA"/>
        </w:rPr>
      </w:pPr>
      <w:r>
        <w:rPr>
          <w:noProof/>
          <w:lang w:eastAsia="fr-CA"/>
        </w:rPr>
        <w:drawing>
          <wp:anchor distT="0" distB="0" distL="114300" distR="114300" simplePos="0" relativeHeight="252190720" behindDoc="0" locked="0" layoutInCell="1" allowOverlap="1" wp14:anchorId="6183E9FF" wp14:editId="1CB4D732">
            <wp:simplePos x="0" y="0"/>
            <wp:positionH relativeFrom="column">
              <wp:posOffset>4746625</wp:posOffset>
            </wp:positionH>
            <wp:positionV relativeFrom="paragraph">
              <wp:posOffset>69850</wp:posOffset>
            </wp:positionV>
            <wp:extent cx="1828800" cy="2249805"/>
            <wp:effectExtent l="0" t="0" r="0" b="0"/>
            <wp:wrapNone/>
            <wp:docPr id="662" name="Image 662" descr="Résultats de recherche d'images pour « aînés maltraitanc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Résultats de recherche d'images pour « aînés maltraitance »"/>
                    <pic:cNvPicPr>
                      <a:picLocks noChangeAspect="1" noChangeArrowheads="1"/>
                    </pic:cNvPicPr>
                  </pic:nvPicPr>
                  <pic:blipFill>
                    <a:blip r:embed="rId397" cstate="print">
                      <a:extLst>
                        <a:ext uri="{28A0092B-C50C-407E-A947-70E740481C1C}">
                          <a14:useLocalDpi xmlns:a14="http://schemas.microsoft.com/office/drawing/2010/main" val="0"/>
                        </a:ext>
                      </a:extLst>
                    </a:blip>
                    <a:srcRect/>
                    <a:stretch>
                      <a:fillRect/>
                    </a:stretch>
                  </pic:blipFill>
                  <pic:spPr bwMode="auto">
                    <a:xfrm>
                      <a:off x="0" y="0"/>
                      <a:ext cx="1828800" cy="2249805"/>
                    </a:xfrm>
                    <a:prstGeom prst="rect">
                      <a:avLst/>
                    </a:prstGeom>
                    <a:noFill/>
                    <a:ln>
                      <a:noFill/>
                    </a:ln>
                  </pic:spPr>
                </pic:pic>
              </a:graphicData>
            </a:graphic>
            <wp14:sizeRelH relativeFrom="page">
              <wp14:pctWidth>0</wp14:pctWidth>
            </wp14:sizeRelH>
            <wp14:sizeRelV relativeFrom="page">
              <wp14:pctHeight>0</wp14:pctHeight>
            </wp14:sizeRelV>
          </wp:anchor>
        </w:drawing>
      </w:r>
      <w:r w:rsidR="00C77CD4" w:rsidRPr="00C77CD4">
        <w:rPr>
          <w:b/>
          <w:sz w:val="28"/>
          <w:szCs w:val="28"/>
          <w:lang w:eastAsia="fr-CA"/>
        </w:rPr>
        <w:t xml:space="preserve">Mauvais traitements </w:t>
      </w:r>
    </w:p>
    <w:p w:rsidR="00423157" w:rsidRDefault="00423157" w:rsidP="00C77CD4">
      <w:pPr>
        <w:pStyle w:val="Sansinterligne"/>
        <w:rPr>
          <w:lang w:eastAsia="fr-CA"/>
        </w:rPr>
      </w:pPr>
    </w:p>
    <w:p w:rsidR="00C77CD4" w:rsidRDefault="00C77CD4" w:rsidP="00C77CD4">
      <w:pPr>
        <w:pStyle w:val="Sansinterligne"/>
        <w:rPr>
          <w:lang w:eastAsia="fr-CA"/>
        </w:rPr>
      </w:pPr>
      <w:r w:rsidRPr="00423157">
        <w:rPr>
          <w:u w:val="single"/>
          <w:lang w:eastAsia="fr-CA"/>
        </w:rPr>
        <w:t>Peuvent prendre plusieurs formes</w:t>
      </w:r>
      <w:r>
        <w:rPr>
          <w:lang w:eastAsia="fr-CA"/>
        </w:rPr>
        <w:t> :</w:t>
      </w:r>
    </w:p>
    <w:p w:rsidR="00423157" w:rsidRDefault="00423157" w:rsidP="00402C69">
      <w:pPr>
        <w:pStyle w:val="Sansinterligne"/>
        <w:numPr>
          <w:ilvl w:val="0"/>
          <w:numId w:val="1433"/>
        </w:numPr>
        <w:rPr>
          <w:lang w:eastAsia="fr-CA"/>
        </w:rPr>
        <w:sectPr w:rsidR="00423157" w:rsidSect="00217865">
          <w:type w:val="continuous"/>
          <w:pgSz w:w="12240" w:h="15840"/>
          <w:pgMar w:top="720" w:right="720" w:bottom="720" w:left="720" w:header="708" w:footer="708" w:gutter="0"/>
          <w:cols w:space="708"/>
          <w:docGrid w:linePitch="360"/>
        </w:sectPr>
      </w:pPr>
    </w:p>
    <w:p w:rsidR="00C77CD4" w:rsidRPr="00423157" w:rsidRDefault="00C77CD4" w:rsidP="00402C69">
      <w:pPr>
        <w:pStyle w:val="Sansinterligne"/>
        <w:numPr>
          <w:ilvl w:val="0"/>
          <w:numId w:val="1433"/>
        </w:numPr>
        <w:rPr>
          <w:highlight w:val="yellow"/>
          <w:lang w:eastAsia="fr-CA"/>
        </w:rPr>
      </w:pPr>
      <w:r w:rsidRPr="00423157">
        <w:rPr>
          <w:highlight w:val="yellow"/>
          <w:lang w:eastAsia="fr-CA"/>
        </w:rPr>
        <w:t>Physique</w:t>
      </w:r>
    </w:p>
    <w:p w:rsidR="00C77CD4" w:rsidRDefault="00C77CD4" w:rsidP="00402C69">
      <w:pPr>
        <w:pStyle w:val="Sansinterligne"/>
        <w:numPr>
          <w:ilvl w:val="1"/>
          <w:numId w:val="1433"/>
        </w:numPr>
        <w:rPr>
          <w:lang w:eastAsia="fr-CA"/>
        </w:rPr>
      </w:pPr>
      <w:r>
        <w:rPr>
          <w:lang w:eastAsia="fr-CA"/>
        </w:rPr>
        <w:t>Coups</w:t>
      </w:r>
    </w:p>
    <w:p w:rsidR="00C77CD4" w:rsidRDefault="00C77CD4" w:rsidP="00402C69">
      <w:pPr>
        <w:pStyle w:val="Sansinterligne"/>
        <w:numPr>
          <w:ilvl w:val="1"/>
          <w:numId w:val="1433"/>
        </w:numPr>
        <w:rPr>
          <w:lang w:eastAsia="fr-CA"/>
        </w:rPr>
      </w:pPr>
      <w:r>
        <w:rPr>
          <w:lang w:eastAsia="fr-CA"/>
        </w:rPr>
        <w:t>Faire mal</w:t>
      </w:r>
    </w:p>
    <w:p w:rsidR="00C77CD4" w:rsidRDefault="00C77CD4" w:rsidP="00402C69">
      <w:pPr>
        <w:pStyle w:val="Sansinterligne"/>
        <w:numPr>
          <w:ilvl w:val="1"/>
          <w:numId w:val="1433"/>
        </w:numPr>
        <w:rPr>
          <w:lang w:eastAsia="fr-CA"/>
        </w:rPr>
      </w:pPr>
      <w:r>
        <w:rPr>
          <w:lang w:eastAsia="fr-CA"/>
        </w:rPr>
        <w:t>Brûlures, etc.</w:t>
      </w:r>
    </w:p>
    <w:p w:rsidR="00C77CD4" w:rsidRPr="00423157" w:rsidRDefault="00C77CD4" w:rsidP="00402C69">
      <w:pPr>
        <w:pStyle w:val="Sansinterligne"/>
        <w:numPr>
          <w:ilvl w:val="0"/>
          <w:numId w:val="1433"/>
        </w:numPr>
        <w:rPr>
          <w:highlight w:val="yellow"/>
          <w:lang w:eastAsia="fr-CA"/>
        </w:rPr>
      </w:pPr>
      <w:r w:rsidRPr="00423157">
        <w:rPr>
          <w:highlight w:val="yellow"/>
          <w:lang w:eastAsia="fr-CA"/>
        </w:rPr>
        <w:t>Violence sexuelle</w:t>
      </w:r>
    </w:p>
    <w:p w:rsidR="00C77CD4" w:rsidRDefault="00C77CD4" w:rsidP="00402C69">
      <w:pPr>
        <w:pStyle w:val="Sansinterligne"/>
        <w:numPr>
          <w:ilvl w:val="1"/>
          <w:numId w:val="1433"/>
        </w:numPr>
        <w:rPr>
          <w:lang w:eastAsia="fr-CA"/>
        </w:rPr>
      </w:pPr>
      <w:r>
        <w:rPr>
          <w:lang w:eastAsia="fr-CA"/>
        </w:rPr>
        <w:t>Agression sexuelle</w:t>
      </w:r>
    </w:p>
    <w:p w:rsidR="00C77CD4" w:rsidRDefault="00C77CD4" w:rsidP="00402C69">
      <w:pPr>
        <w:pStyle w:val="Sansinterligne"/>
        <w:numPr>
          <w:ilvl w:val="1"/>
          <w:numId w:val="1433"/>
        </w:numPr>
        <w:rPr>
          <w:lang w:eastAsia="fr-CA"/>
        </w:rPr>
      </w:pPr>
      <w:r>
        <w:rPr>
          <w:lang w:eastAsia="fr-CA"/>
        </w:rPr>
        <w:t>Toucher les parties intimes</w:t>
      </w:r>
    </w:p>
    <w:p w:rsidR="00C77CD4" w:rsidRDefault="00C77CD4" w:rsidP="00402C69">
      <w:pPr>
        <w:pStyle w:val="Sansinterligne"/>
        <w:numPr>
          <w:ilvl w:val="1"/>
          <w:numId w:val="1433"/>
        </w:numPr>
        <w:rPr>
          <w:lang w:eastAsia="fr-CA"/>
        </w:rPr>
      </w:pPr>
      <w:r>
        <w:rPr>
          <w:lang w:eastAsia="fr-CA"/>
        </w:rPr>
        <w:t>Dénigrement sexuel</w:t>
      </w:r>
    </w:p>
    <w:p w:rsidR="00C77CD4" w:rsidRDefault="00C77CD4" w:rsidP="00402C69">
      <w:pPr>
        <w:pStyle w:val="Sansinterligne"/>
        <w:numPr>
          <w:ilvl w:val="0"/>
          <w:numId w:val="1433"/>
        </w:numPr>
        <w:rPr>
          <w:lang w:eastAsia="fr-CA"/>
        </w:rPr>
      </w:pPr>
      <w:r w:rsidRPr="00423157">
        <w:rPr>
          <w:highlight w:val="yellow"/>
          <w:lang w:eastAsia="fr-CA"/>
        </w:rPr>
        <w:t>Exploitation financière ou matérielle</w:t>
      </w:r>
    </w:p>
    <w:p w:rsidR="00C77CD4" w:rsidRDefault="00C77CD4" w:rsidP="00402C69">
      <w:pPr>
        <w:pStyle w:val="Sansinterligne"/>
        <w:numPr>
          <w:ilvl w:val="1"/>
          <w:numId w:val="1433"/>
        </w:numPr>
        <w:rPr>
          <w:lang w:eastAsia="fr-CA"/>
        </w:rPr>
      </w:pPr>
      <w:r>
        <w:rPr>
          <w:lang w:eastAsia="fr-CA"/>
        </w:rPr>
        <w:t>Extorsion</w:t>
      </w:r>
    </w:p>
    <w:p w:rsidR="00C77CD4" w:rsidRDefault="00C77CD4" w:rsidP="00402C69">
      <w:pPr>
        <w:pStyle w:val="Sansinterligne"/>
        <w:numPr>
          <w:ilvl w:val="1"/>
          <w:numId w:val="1433"/>
        </w:numPr>
        <w:rPr>
          <w:lang w:eastAsia="fr-CA"/>
        </w:rPr>
      </w:pPr>
      <w:r>
        <w:rPr>
          <w:lang w:eastAsia="fr-CA"/>
        </w:rPr>
        <w:t>Chantage</w:t>
      </w:r>
    </w:p>
    <w:p w:rsidR="00C77CD4" w:rsidRPr="00423157" w:rsidRDefault="00C77CD4" w:rsidP="00402C69">
      <w:pPr>
        <w:pStyle w:val="Sansinterligne"/>
        <w:numPr>
          <w:ilvl w:val="0"/>
          <w:numId w:val="1433"/>
        </w:numPr>
        <w:rPr>
          <w:highlight w:val="yellow"/>
          <w:lang w:eastAsia="fr-CA"/>
        </w:rPr>
      </w:pPr>
      <w:r w:rsidRPr="00423157">
        <w:rPr>
          <w:highlight w:val="yellow"/>
          <w:lang w:eastAsia="fr-CA"/>
        </w:rPr>
        <w:t>Négligence</w:t>
      </w:r>
    </w:p>
    <w:p w:rsidR="00C77CD4" w:rsidRDefault="00C77CD4" w:rsidP="00402C69">
      <w:pPr>
        <w:pStyle w:val="Sansinterligne"/>
        <w:numPr>
          <w:ilvl w:val="1"/>
          <w:numId w:val="1433"/>
        </w:numPr>
        <w:rPr>
          <w:lang w:eastAsia="fr-CA"/>
        </w:rPr>
      </w:pPr>
      <w:r>
        <w:rPr>
          <w:lang w:eastAsia="fr-CA"/>
        </w:rPr>
        <w:t>Malnutrition</w:t>
      </w:r>
    </w:p>
    <w:p w:rsidR="00C77CD4" w:rsidRDefault="00C77CD4" w:rsidP="00402C69">
      <w:pPr>
        <w:pStyle w:val="Sansinterligne"/>
        <w:numPr>
          <w:ilvl w:val="1"/>
          <w:numId w:val="1433"/>
        </w:numPr>
        <w:rPr>
          <w:lang w:eastAsia="fr-CA"/>
        </w:rPr>
      </w:pPr>
      <w:r>
        <w:rPr>
          <w:lang w:eastAsia="fr-CA"/>
        </w:rPr>
        <w:t>Hygiène</w:t>
      </w:r>
    </w:p>
    <w:p w:rsidR="00C77CD4" w:rsidRDefault="00C77CD4" w:rsidP="00402C69">
      <w:pPr>
        <w:pStyle w:val="Sansinterligne"/>
        <w:numPr>
          <w:ilvl w:val="1"/>
          <w:numId w:val="1433"/>
        </w:numPr>
        <w:rPr>
          <w:lang w:eastAsia="fr-CA"/>
        </w:rPr>
      </w:pPr>
      <w:r>
        <w:rPr>
          <w:lang w:eastAsia="fr-CA"/>
        </w:rPr>
        <w:t>Émotionnelle</w:t>
      </w:r>
    </w:p>
    <w:p w:rsidR="0086745F" w:rsidRPr="0086745F" w:rsidRDefault="0086745F" w:rsidP="00402C69">
      <w:pPr>
        <w:pStyle w:val="Sansinterligne"/>
        <w:numPr>
          <w:ilvl w:val="0"/>
          <w:numId w:val="1433"/>
        </w:numPr>
        <w:rPr>
          <w:highlight w:val="yellow"/>
          <w:lang w:eastAsia="fr-CA"/>
        </w:rPr>
      </w:pPr>
      <w:r w:rsidRPr="0086745F">
        <w:rPr>
          <w:highlight w:val="yellow"/>
          <w:lang w:eastAsia="fr-CA"/>
        </w:rPr>
        <w:t>Violence psychologique</w:t>
      </w:r>
    </w:p>
    <w:p w:rsidR="0086745F" w:rsidRDefault="0086745F" w:rsidP="00402C69">
      <w:pPr>
        <w:pStyle w:val="Sansinterligne"/>
        <w:numPr>
          <w:ilvl w:val="1"/>
          <w:numId w:val="1433"/>
        </w:numPr>
        <w:rPr>
          <w:lang w:eastAsia="fr-CA"/>
        </w:rPr>
        <w:sectPr w:rsidR="0086745F" w:rsidSect="00423157">
          <w:type w:val="continuous"/>
          <w:pgSz w:w="12240" w:h="15840"/>
          <w:pgMar w:top="720" w:right="720" w:bottom="720" w:left="720" w:header="708" w:footer="708" w:gutter="0"/>
          <w:cols w:num="2" w:space="0" w:equalWidth="0">
            <w:col w:w="3402" w:space="0"/>
            <w:col w:w="7398"/>
          </w:cols>
          <w:docGrid w:linePitch="360"/>
        </w:sectPr>
      </w:pPr>
      <w:r>
        <w:rPr>
          <w:lang w:eastAsia="fr-CA"/>
        </w:rPr>
        <w:t>Dénigrement</w:t>
      </w:r>
    </w:p>
    <w:p w:rsidR="00C77CD4" w:rsidRDefault="00C77CD4" w:rsidP="00C77CD4">
      <w:pPr>
        <w:pStyle w:val="Sansinterligne"/>
        <w:rPr>
          <w:lang w:eastAsia="fr-CA"/>
        </w:rPr>
      </w:pPr>
    </w:p>
    <w:p w:rsidR="00AE3729" w:rsidRDefault="00AE3729" w:rsidP="00C77CD4">
      <w:pPr>
        <w:pStyle w:val="Sansinterligne"/>
        <w:rPr>
          <w:lang w:eastAsia="fr-CA"/>
        </w:rPr>
      </w:pPr>
    </w:p>
    <w:p w:rsidR="00C77CD4" w:rsidRPr="00423157" w:rsidRDefault="00C77CD4" w:rsidP="00C77CD4">
      <w:pPr>
        <w:pStyle w:val="Sansinterligne"/>
        <w:rPr>
          <w:b/>
          <w:sz w:val="28"/>
          <w:szCs w:val="28"/>
          <w:lang w:eastAsia="fr-CA"/>
        </w:rPr>
      </w:pPr>
      <w:r w:rsidRPr="00423157">
        <w:rPr>
          <w:b/>
          <w:sz w:val="28"/>
          <w:szCs w:val="28"/>
          <w:lang w:eastAsia="fr-CA"/>
        </w:rPr>
        <w:t>Facteurs de risque</w:t>
      </w:r>
    </w:p>
    <w:p w:rsidR="00C77CD4" w:rsidRDefault="00C77CD4" w:rsidP="00C77CD4">
      <w:pPr>
        <w:pStyle w:val="Sansinterligne"/>
        <w:rPr>
          <w:lang w:eastAsia="fr-CA"/>
        </w:rPr>
      </w:pPr>
    </w:p>
    <w:tbl>
      <w:tblPr>
        <w:tblStyle w:val="Grilledutableau"/>
        <w:tblW w:w="0" w:type="auto"/>
        <w:tblLook w:val="04A0" w:firstRow="1" w:lastRow="0" w:firstColumn="1" w:lastColumn="0" w:noHBand="0" w:noVBand="1"/>
      </w:tblPr>
      <w:tblGrid>
        <w:gridCol w:w="2660"/>
        <w:gridCol w:w="3260"/>
        <w:gridCol w:w="5020"/>
      </w:tblGrid>
      <w:tr w:rsidR="00423157" w:rsidTr="00423157">
        <w:tc>
          <w:tcPr>
            <w:tcW w:w="2660" w:type="dxa"/>
            <w:shd w:val="clear" w:color="auto" w:fill="C4BC96" w:themeFill="background2" w:themeFillShade="BF"/>
          </w:tcPr>
          <w:p w:rsidR="00423157" w:rsidRPr="00423157" w:rsidRDefault="00423157" w:rsidP="00423157">
            <w:pPr>
              <w:pStyle w:val="Sansinterligne"/>
              <w:jc w:val="center"/>
              <w:rPr>
                <w:b/>
                <w:lang w:eastAsia="fr-CA"/>
              </w:rPr>
            </w:pPr>
            <w:r w:rsidRPr="00423157">
              <w:rPr>
                <w:b/>
                <w:lang w:eastAsia="fr-CA"/>
              </w:rPr>
              <w:t>Situationnels</w:t>
            </w:r>
          </w:p>
        </w:tc>
        <w:tc>
          <w:tcPr>
            <w:tcW w:w="3260" w:type="dxa"/>
            <w:shd w:val="clear" w:color="auto" w:fill="C4BC96" w:themeFill="background2" w:themeFillShade="BF"/>
          </w:tcPr>
          <w:p w:rsidR="00423157" w:rsidRPr="00423157" w:rsidRDefault="00423157" w:rsidP="00423157">
            <w:pPr>
              <w:pStyle w:val="Sansinterligne"/>
              <w:jc w:val="center"/>
              <w:rPr>
                <w:b/>
                <w:lang w:eastAsia="fr-CA"/>
              </w:rPr>
            </w:pPr>
            <w:r w:rsidRPr="00423157">
              <w:rPr>
                <w:b/>
                <w:lang w:eastAsia="fr-CA"/>
              </w:rPr>
              <w:t>Intrinsèques à la victime</w:t>
            </w:r>
          </w:p>
        </w:tc>
        <w:tc>
          <w:tcPr>
            <w:tcW w:w="5020" w:type="dxa"/>
            <w:shd w:val="clear" w:color="auto" w:fill="C4BC96" w:themeFill="background2" w:themeFillShade="BF"/>
          </w:tcPr>
          <w:p w:rsidR="00423157" w:rsidRPr="00423157" w:rsidRDefault="00423157" w:rsidP="00423157">
            <w:pPr>
              <w:pStyle w:val="Sansinterligne"/>
              <w:jc w:val="center"/>
              <w:rPr>
                <w:b/>
                <w:lang w:eastAsia="fr-CA"/>
              </w:rPr>
            </w:pPr>
            <w:r w:rsidRPr="00423157">
              <w:rPr>
                <w:b/>
                <w:lang w:eastAsia="fr-CA"/>
              </w:rPr>
              <w:t xml:space="preserve">Prédispositions </w:t>
            </w:r>
            <w:r>
              <w:rPr>
                <w:b/>
                <w:lang w:eastAsia="fr-CA"/>
              </w:rPr>
              <w:t>à la maltraitance</w:t>
            </w:r>
          </w:p>
        </w:tc>
      </w:tr>
      <w:tr w:rsidR="00423157" w:rsidTr="0053657A">
        <w:trPr>
          <w:trHeight w:val="1042"/>
        </w:trPr>
        <w:tc>
          <w:tcPr>
            <w:tcW w:w="2660" w:type="dxa"/>
          </w:tcPr>
          <w:p w:rsidR="00423157" w:rsidRPr="00B263AF" w:rsidRDefault="00423157" w:rsidP="00402C69">
            <w:pPr>
              <w:pStyle w:val="Sansinterligne"/>
              <w:numPr>
                <w:ilvl w:val="0"/>
                <w:numId w:val="1434"/>
              </w:numPr>
              <w:rPr>
                <w:highlight w:val="yellow"/>
                <w:lang w:eastAsia="fr-CA"/>
              </w:rPr>
            </w:pPr>
            <w:r w:rsidRPr="00B263AF">
              <w:rPr>
                <w:highlight w:val="yellow"/>
                <w:lang w:eastAsia="fr-CA"/>
              </w:rPr>
              <w:t>Isolement</w:t>
            </w:r>
          </w:p>
          <w:p w:rsidR="00423157" w:rsidRPr="00B263AF" w:rsidRDefault="00423157" w:rsidP="00402C69">
            <w:pPr>
              <w:pStyle w:val="Sansinterligne"/>
              <w:numPr>
                <w:ilvl w:val="0"/>
                <w:numId w:val="1434"/>
              </w:numPr>
              <w:rPr>
                <w:highlight w:val="yellow"/>
                <w:lang w:eastAsia="fr-CA"/>
              </w:rPr>
            </w:pPr>
            <w:r w:rsidRPr="00B263AF">
              <w:rPr>
                <w:highlight w:val="yellow"/>
                <w:lang w:eastAsia="fr-CA"/>
              </w:rPr>
              <w:t>Conditions de vie précaires</w:t>
            </w:r>
          </w:p>
          <w:p w:rsidR="00423157" w:rsidRDefault="00423157" w:rsidP="00402C69">
            <w:pPr>
              <w:pStyle w:val="Sansinterligne"/>
              <w:numPr>
                <w:ilvl w:val="0"/>
                <w:numId w:val="1434"/>
              </w:numPr>
              <w:rPr>
                <w:lang w:eastAsia="fr-CA"/>
              </w:rPr>
            </w:pPr>
            <w:r w:rsidRPr="00B263AF">
              <w:rPr>
                <w:highlight w:val="yellow"/>
                <w:lang w:eastAsia="fr-CA"/>
              </w:rPr>
              <w:t>Absence de support</w:t>
            </w:r>
          </w:p>
        </w:tc>
        <w:tc>
          <w:tcPr>
            <w:tcW w:w="3260" w:type="dxa"/>
          </w:tcPr>
          <w:p w:rsidR="00423157" w:rsidRDefault="00423157" w:rsidP="00402C69">
            <w:pPr>
              <w:pStyle w:val="Sansinterligne"/>
              <w:numPr>
                <w:ilvl w:val="0"/>
                <w:numId w:val="1434"/>
              </w:numPr>
              <w:rPr>
                <w:lang w:eastAsia="fr-CA"/>
              </w:rPr>
            </w:pPr>
            <w:r w:rsidRPr="00B263AF">
              <w:rPr>
                <w:highlight w:val="yellow"/>
                <w:lang w:eastAsia="fr-CA"/>
              </w:rPr>
              <w:t>Dépendance</w:t>
            </w:r>
            <w:r>
              <w:rPr>
                <w:lang w:eastAsia="fr-CA"/>
              </w:rPr>
              <w:t xml:space="preserve"> vis-à-vis le soignant</w:t>
            </w:r>
          </w:p>
          <w:p w:rsidR="00423157" w:rsidRDefault="00423157" w:rsidP="00402C69">
            <w:pPr>
              <w:pStyle w:val="Sansinterligne"/>
              <w:numPr>
                <w:ilvl w:val="0"/>
                <w:numId w:val="1434"/>
              </w:numPr>
              <w:rPr>
                <w:lang w:eastAsia="fr-CA"/>
              </w:rPr>
            </w:pPr>
            <w:r>
              <w:rPr>
                <w:lang w:eastAsia="fr-CA"/>
              </w:rPr>
              <w:t>Liens familiaux déficitaires</w:t>
            </w:r>
          </w:p>
          <w:p w:rsidR="00423157" w:rsidRDefault="00423157" w:rsidP="00402C69">
            <w:pPr>
              <w:pStyle w:val="Sansinterligne"/>
              <w:numPr>
                <w:ilvl w:val="0"/>
                <w:numId w:val="1434"/>
              </w:numPr>
              <w:rPr>
                <w:lang w:eastAsia="fr-CA"/>
              </w:rPr>
            </w:pPr>
            <w:r>
              <w:rPr>
                <w:lang w:eastAsia="fr-CA"/>
              </w:rPr>
              <w:t>Histoire de violence familiale</w:t>
            </w:r>
          </w:p>
          <w:p w:rsidR="00423157" w:rsidRDefault="00423157" w:rsidP="00402C69">
            <w:pPr>
              <w:pStyle w:val="Sansinterligne"/>
              <w:numPr>
                <w:ilvl w:val="0"/>
                <w:numId w:val="1434"/>
              </w:numPr>
              <w:rPr>
                <w:lang w:eastAsia="fr-CA"/>
              </w:rPr>
            </w:pPr>
            <w:r w:rsidRPr="00B263AF">
              <w:rPr>
                <w:highlight w:val="yellow"/>
                <w:lang w:eastAsia="fr-CA"/>
              </w:rPr>
              <w:t>Démence</w:t>
            </w:r>
            <w:r>
              <w:rPr>
                <w:lang w:eastAsia="fr-CA"/>
              </w:rPr>
              <w:t xml:space="preserve"> ou santé qui se dégrade</w:t>
            </w:r>
          </w:p>
        </w:tc>
        <w:tc>
          <w:tcPr>
            <w:tcW w:w="5020" w:type="dxa"/>
          </w:tcPr>
          <w:p w:rsidR="00423157" w:rsidRDefault="00423157" w:rsidP="00402C69">
            <w:pPr>
              <w:pStyle w:val="Sansinterligne"/>
              <w:numPr>
                <w:ilvl w:val="0"/>
                <w:numId w:val="1434"/>
              </w:numPr>
              <w:rPr>
                <w:lang w:eastAsia="fr-CA"/>
              </w:rPr>
            </w:pPr>
            <w:r>
              <w:rPr>
                <w:lang w:eastAsia="fr-CA"/>
              </w:rPr>
              <w:t xml:space="preserve">Proche </w:t>
            </w:r>
            <w:r w:rsidR="008F1851">
              <w:rPr>
                <w:lang w:eastAsia="fr-CA"/>
              </w:rPr>
              <w:t>de la</w:t>
            </w:r>
            <w:r>
              <w:rPr>
                <w:lang w:eastAsia="fr-CA"/>
              </w:rPr>
              <w:t xml:space="preserve"> victime</w:t>
            </w:r>
          </w:p>
          <w:p w:rsidR="00423157" w:rsidRPr="001B3F44" w:rsidRDefault="001B3F44" w:rsidP="00402C69">
            <w:pPr>
              <w:pStyle w:val="Sansinterligne"/>
              <w:numPr>
                <w:ilvl w:val="0"/>
                <w:numId w:val="1434"/>
              </w:numPr>
              <w:rPr>
                <w:highlight w:val="yellow"/>
                <w:lang w:eastAsia="fr-CA"/>
              </w:rPr>
            </w:pPr>
            <w:r>
              <w:rPr>
                <w:highlight w:val="yellow"/>
                <w:lang w:eastAsia="fr-CA"/>
              </w:rPr>
              <w:t>Vit</w:t>
            </w:r>
            <w:r w:rsidR="00423157" w:rsidRPr="001B3F44">
              <w:rPr>
                <w:highlight w:val="yellow"/>
                <w:lang w:eastAsia="fr-CA"/>
              </w:rPr>
              <w:t xml:space="preserve"> avec la victime</w:t>
            </w:r>
          </w:p>
          <w:p w:rsidR="00423157" w:rsidRPr="00B263AF" w:rsidRDefault="00423157" w:rsidP="00402C69">
            <w:pPr>
              <w:pStyle w:val="Sansinterligne"/>
              <w:numPr>
                <w:ilvl w:val="0"/>
                <w:numId w:val="1434"/>
              </w:numPr>
              <w:rPr>
                <w:highlight w:val="yellow"/>
                <w:lang w:eastAsia="fr-CA"/>
              </w:rPr>
            </w:pPr>
            <w:r w:rsidRPr="00B263AF">
              <w:rPr>
                <w:highlight w:val="yellow"/>
                <w:lang w:eastAsia="fr-CA"/>
              </w:rPr>
              <w:t>Soignant depuis plusieurs années</w:t>
            </w:r>
          </w:p>
          <w:p w:rsidR="00423157" w:rsidRDefault="00423157" w:rsidP="00402C69">
            <w:pPr>
              <w:pStyle w:val="Sansinterligne"/>
              <w:numPr>
                <w:ilvl w:val="0"/>
                <w:numId w:val="1434"/>
              </w:numPr>
              <w:rPr>
                <w:lang w:eastAsia="fr-CA"/>
              </w:rPr>
            </w:pPr>
            <w:r>
              <w:rPr>
                <w:lang w:eastAsia="fr-CA"/>
              </w:rPr>
              <w:t>Préoccupations financière, conjugale ou au travail</w:t>
            </w:r>
          </w:p>
        </w:tc>
      </w:tr>
    </w:tbl>
    <w:p w:rsidR="00C77CD4" w:rsidRDefault="00C77CD4" w:rsidP="00C77CD4">
      <w:pPr>
        <w:pStyle w:val="Sansinterligne"/>
        <w:rPr>
          <w:lang w:eastAsia="fr-CA"/>
        </w:rPr>
      </w:pPr>
    </w:p>
    <w:p w:rsidR="00C77CD4" w:rsidRPr="00AE3729" w:rsidRDefault="00C77CD4" w:rsidP="00C77CD4">
      <w:pPr>
        <w:pStyle w:val="Sansinterligne"/>
        <w:rPr>
          <w:b/>
          <w:sz w:val="28"/>
          <w:szCs w:val="28"/>
          <w:lang w:eastAsia="fr-CA"/>
        </w:rPr>
      </w:pPr>
      <w:r w:rsidRPr="00AE3729">
        <w:rPr>
          <w:b/>
          <w:sz w:val="28"/>
          <w:szCs w:val="28"/>
          <w:lang w:eastAsia="fr-CA"/>
        </w:rPr>
        <w:t>Anamnèse</w:t>
      </w:r>
    </w:p>
    <w:p w:rsidR="00AE3729" w:rsidRDefault="00AE3729" w:rsidP="00C77CD4">
      <w:pPr>
        <w:pStyle w:val="Sansinterligne"/>
        <w:rPr>
          <w:lang w:eastAsia="fr-CA"/>
        </w:rPr>
      </w:pPr>
    </w:p>
    <w:p w:rsidR="00AE3729" w:rsidRDefault="00AE3729" w:rsidP="00C77CD4">
      <w:pPr>
        <w:pStyle w:val="Sansinterligne"/>
        <w:rPr>
          <w:lang w:eastAsia="fr-CA"/>
        </w:rPr>
      </w:pPr>
      <w:r>
        <w:rPr>
          <w:lang w:eastAsia="fr-CA"/>
        </w:rPr>
        <w:t>Lorsque l’on suspecte de mauvais traitements envers un aîné, il faut s’assurer de lui en parler seul à seul.</w:t>
      </w:r>
    </w:p>
    <w:p w:rsidR="00AE3729" w:rsidRDefault="00AE3729" w:rsidP="00C77CD4">
      <w:pPr>
        <w:pStyle w:val="Sansinterligne"/>
        <w:rPr>
          <w:lang w:eastAsia="fr-CA"/>
        </w:rPr>
      </w:pPr>
      <w:r>
        <w:rPr>
          <w:lang w:eastAsia="fr-CA"/>
        </w:rPr>
        <w:t>La réticence exagérée de l’accompagnateur peut-être un signe d’alerte.</w:t>
      </w:r>
    </w:p>
    <w:p w:rsidR="00AE3729" w:rsidRDefault="00AE3729" w:rsidP="00C77CD4">
      <w:pPr>
        <w:pStyle w:val="Sansinterligne"/>
        <w:rPr>
          <w:lang w:eastAsia="fr-CA"/>
        </w:rPr>
      </w:pPr>
    </w:p>
    <w:p w:rsidR="00AE3729" w:rsidRDefault="00AE3729" w:rsidP="00C77CD4">
      <w:pPr>
        <w:pStyle w:val="Sansinterligne"/>
        <w:rPr>
          <w:lang w:eastAsia="fr-CA"/>
        </w:rPr>
      </w:pPr>
      <w:r>
        <w:rPr>
          <w:lang w:eastAsia="fr-CA"/>
        </w:rPr>
        <w:t>Parfois la victime nie la situation, puisqu’il s’agit d’un proche ou de son seul soutien et craint de le perdre.</w:t>
      </w:r>
    </w:p>
    <w:p w:rsidR="00AE3729" w:rsidRDefault="00AE3729" w:rsidP="00C77CD4">
      <w:pPr>
        <w:pStyle w:val="Sansinterligne"/>
        <w:rPr>
          <w:lang w:eastAsia="fr-CA"/>
        </w:rPr>
      </w:pPr>
    </w:p>
    <w:p w:rsidR="00AE3729" w:rsidRDefault="00AE3729" w:rsidP="00C77CD4">
      <w:pPr>
        <w:pStyle w:val="Sansinterligne"/>
        <w:rPr>
          <w:u w:val="single"/>
          <w:lang w:eastAsia="fr-CA"/>
        </w:rPr>
        <w:sectPr w:rsidR="00AE3729" w:rsidSect="00217865">
          <w:type w:val="continuous"/>
          <w:pgSz w:w="12240" w:h="15840"/>
          <w:pgMar w:top="720" w:right="720" w:bottom="720" w:left="720" w:header="708" w:footer="708" w:gutter="0"/>
          <w:cols w:space="708"/>
          <w:docGrid w:linePitch="360"/>
        </w:sectPr>
      </w:pPr>
    </w:p>
    <w:p w:rsidR="00AE3729" w:rsidRPr="006E18CE" w:rsidRDefault="00AE3729" w:rsidP="00C77CD4">
      <w:pPr>
        <w:pStyle w:val="Sansinterligne"/>
        <w:rPr>
          <w:highlight w:val="yellow"/>
          <w:u w:val="single"/>
          <w:lang w:eastAsia="fr-CA"/>
        </w:rPr>
      </w:pPr>
      <w:r w:rsidRPr="006E18CE">
        <w:rPr>
          <w:highlight w:val="yellow"/>
          <w:u w:val="single"/>
          <w:lang w:eastAsia="fr-CA"/>
        </w:rPr>
        <w:t>Questionner:</w:t>
      </w:r>
    </w:p>
    <w:p w:rsidR="00AE3729" w:rsidRPr="006E18CE" w:rsidRDefault="00AE3729" w:rsidP="00402C69">
      <w:pPr>
        <w:pStyle w:val="Sansinterligne"/>
        <w:numPr>
          <w:ilvl w:val="0"/>
          <w:numId w:val="1435"/>
        </w:numPr>
        <w:rPr>
          <w:highlight w:val="yellow"/>
          <w:lang w:eastAsia="fr-CA"/>
        </w:rPr>
      </w:pPr>
      <w:r w:rsidRPr="006E18CE">
        <w:rPr>
          <w:highlight w:val="yellow"/>
          <w:lang w:eastAsia="fr-CA"/>
        </w:rPr>
        <w:t>Dépendance aux AVD/AVQ</w:t>
      </w:r>
    </w:p>
    <w:p w:rsidR="00AE3729" w:rsidRPr="006E18CE" w:rsidRDefault="00AE3729" w:rsidP="00402C69">
      <w:pPr>
        <w:pStyle w:val="Sansinterligne"/>
        <w:numPr>
          <w:ilvl w:val="0"/>
          <w:numId w:val="1435"/>
        </w:numPr>
        <w:rPr>
          <w:highlight w:val="yellow"/>
          <w:lang w:eastAsia="fr-CA"/>
        </w:rPr>
      </w:pPr>
      <w:r w:rsidRPr="006E18CE">
        <w:rPr>
          <w:highlight w:val="yellow"/>
          <w:lang w:eastAsia="fr-CA"/>
        </w:rPr>
        <w:t>Négligence (refus d’accès à la nourriture, aux soins, à des visites, etc.)</w:t>
      </w:r>
    </w:p>
    <w:p w:rsidR="00AE3729" w:rsidRPr="006E18CE" w:rsidRDefault="00AE3729" w:rsidP="00402C69">
      <w:pPr>
        <w:pStyle w:val="Sansinterligne"/>
        <w:numPr>
          <w:ilvl w:val="0"/>
          <w:numId w:val="1435"/>
        </w:numPr>
        <w:rPr>
          <w:highlight w:val="yellow"/>
          <w:lang w:eastAsia="fr-CA"/>
        </w:rPr>
      </w:pPr>
      <w:r w:rsidRPr="006E18CE">
        <w:rPr>
          <w:highlight w:val="yellow"/>
          <w:lang w:eastAsia="fr-CA"/>
        </w:rPr>
        <w:t>Victime de dénigrement</w:t>
      </w:r>
    </w:p>
    <w:p w:rsidR="00AE3729" w:rsidRPr="006E18CE" w:rsidRDefault="00AE3729" w:rsidP="00402C69">
      <w:pPr>
        <w:pStyle w:val="Sansinterligne"/>
        <w:numPr>
          <w:ilvl w:val="0"/>
          <w:numId w:val="1435"/>
        </w:numPr>
        <w:rPr>
          <w:highlight w:val="yellow"/>
          <w:lang w:eastAsia="fr-CA"/>
        </w:rPr>
      </w:pPr>
      <w:r w:rsidRPr="006E18CE">
        <w:rPr>
          <w:highlight w:val="yellow"/>
          <w:lang w:eastAsia="fr-CA"/>
        </w:rPr>
        <w:t>Signature ou paiement contre son gré</w:t>
      </w:r>
    </w:p>
    <w:p w:rsidR="00AE3729" w:rsidRPr="006E18CE" w:rsidRDefault="00AE3729" w:rsidP="00402C69">
      <w:pPr>
        <w:pStyle w:val="Sansinterligne"/>
        <w:numPr>
          <w:ilvl w:val="0"/>
          <w:numId w:val="1435"/>
        </w:numPr>
        <w:rPr>
          <w:highlight w:val="yellow"/>
          <w:lang w:eastAsia="fr-CA"/>
        </w:rPr>
      </w:pPr>
      <w:r w:rsidRPr="006E18CE">
        <w:rPr>
          <w:highlight w:val="yellow"/>
          <w:lang w:eastAsia="fr-CA"/>
        </w:rPr>
        <w:t>Violence, attouchements</w:t>
      </w:r>
    </w:p>
    <w:p w:rsidR="00AE3729" w:rsidRPr="006E18CE" w:rsidRDefault="00AE3729" w:rsidP="00C77CD4">
      <w:pPr>
        <w:pStyle w:val="Sansinterligne"/>
        <w:rPr>
          <w:highlight w:val="yellow"/>
          <w:lang w:eastAsia="fr-CA"/>
        </w:rPr>
      </w:pPr>
    </w:p>
    <w:p w:rsidR="00C77CD4" w:rsidRPr="006E18CE" w:rsidRDefault="00AE3729" w:rsidP="00C77CD4">
      <w:pPr>
        <w:pStyle w:val="Sansinterligne"/>
        <w:rPr>
          <w:highlight w:val="yellow"/>
          <w:u w:val="single"/>
          <w:lang w:eastAsia="fr-CA"/>
        </w:rPr>
      </w:pPr>
      <w:r w:rsidRPr="006E18CE">
        <w:rPr>
          <w:highlight w:val="yellow"/>
          <w:u w:val="single"/>
          <w:lang w:eastAsia="fr-CA"/>
        </w:rPr>
        <w:t>Comportements/éléments</w:t>
      </w:r>
      <w:r w:rsidR="00C77CD4" w:rsidRPr="006E18CE">
        <w:rPr>
          <w:highlight w:val="yellow"/>
          <w:u w:val="single"/>
          <w:lang w:eastAsia="fr-CA"/>
        </w:rPr>
        <w:t xml:space="preserve"> suspects</w:t>
      </w:r>
    </w:p>
    <w:p w:rsidR="003B0E5F" w:rsidRPr="006E18CE" w:rsidRDefault="003B0E5F" w:rsidP="00402C69">
      <w:pPr>
        <w:pStyle w:val="Sansinterligne"/>
        <w:numPr>
          <w:ilvl w:val="0"/>
          <w:numId w:val="1436"/>
        </w:numPr>
        <w:ind w:left="360"/>
        <w:rPr>
          <w:highlight w:val="yellow"/>
          <w:lang w:eastAsia="fr-CA"/>
        </w:rPr>
      </w:pPr>
      <w:r w:rsidRPr="006E18CE">
        <w:rPr>
          <w:highlight w:val="yellow"/>
          <w:lang w:eastAsia="fr-CA"/>
        </w:rPr>
        <w:t>Retard de consultation</w:t>
      </w:r>
    </w:p>
    <w:p w:rsidR="003B0E5F" w:rsidRPr="006E18CE" w:rsidRDefault="003B0E5F" w:rsidP="00402C69">
      <w:pPr>
        <w:pStyle w:val="Sansinterligne"/>
        <w:numPr>
          <w:ilvl w:val="0"/>
          <w:numId w:val="1436"/>
        </w:numPr>
        <w:ind w:left="360"/>
        <w:rPr>
          <w:highlight w:val="yellow"/>
          <w:lang w:eastAsia="fr-CA"/>
        </w:rPr>
      </w:pPr>
      <w:r w:rsidRPr="006E18CE">
        <w:rPr>
          <w:highlight w:val="yellow"/>
          <w:lang w:eastAsia="fr-CA"/>
        </w:rPr>
        <w:t>Histoire changeante (comme enfant)</w:t>
      </w:r>
    </w:p>
    <w:p w:rsidR="003B0E5F" w:rsidRPr="006E18CE" w:rsidRDefault="003B0E5F" w:rsidP="00402C69">
      <w:pPr>
        <w:pStyle w:val="Sansinterligne"/>
        <w:numPr>
          <w:ilvl w:val="0"/>
          <w:numId w:val="1436"/>
        </w:numPr>
        <w:ind w:left="360"/>
        <w:rPr>
          <w:highlight w:val="yellow"/>
          <w:lang w:eastAsia="fr-CA"/>
        </w:rPr>
      </w:pPr>
      <w:r w:rsidRPr="006E18CE">
        <w:rPr>
          <w:highlight w:val="yellow"/>
          <w:lang w:eastAsia="fr-CA"/>
        </w:rPr>
        <w:t>Histoire vague ou non-crédible</w:t>
      </w:r>
    </w:p>
    <w:p w:rsidR="003B0E5F" w:rsidRPr="006E18CE" w:rsidRDefault="003B0E5F" w:rsidP="00402C69">
      <w:pPr>
        <w:pStyle w:val="Sansinterligne"/>
        <w:numPr>
          <w:ilvl w:val="0"/>
          <w:numId w:val="1436"/>
        </w:numPr>
        <w:ind w:left="360"/>
        <w:rPr>
          <w:highlight w:val="yellow"/>
          <w:lang w:eastAsia="fr-CA"/>
        </w:rPr>
      </w:pPr>
      <w:r w:rsidRPr="006E18CE">
        <w:rPr>
          <w:highlight w:val="yellow"/>
          <w:lang w:eastAsia="fr-CA"/>
        </w:rPr>
        <w:t>Décompensations fréquentes de la condition médicale (urgence) malgré une bonne planification médicale</w:t>
      </w:r>
    </w:p>
    <w:p w:rsidR="003B0E5F" w:rsidRPr="006E18CE" w:rsidRDefault="003B0E5F" w:rsidP="00402C69">
      <w:pPr>
        <w:pStyle w:val="Sansinterligne"/>
        <w:numPr>
          <w:ilvl w:val="0"/>
          <w:numId w:val="1436"/>
        </w:numPr>
        <w:ind w:left="360"/>
        <w:rPr>
          <w:highlight w:val="yellow"/>
          <w:lang w:eastAsia="fr-CA"/>
        </w:rPr>
      </w:pPr>
      <w:r w:rsidRPr="006E18CE">
        <w:rPr>
          <w:highlight w:val="yellow"/>
          <w:lang w:eastAsia="fr-CA"/>
        </w:rPr>
        <w:t>Aîné non-fonctionnel sans soutien ou soignant</w:t>
      </w:r>
    </w:p>
    <w:p w:rsidR="003B0E5F" w:rsidRPr="006E18CE" w:rsidRDefault="003B0E5F" w:rsidP="00402C69">
      <w:pPr>
        <w:pStyle w:val="Sansinterligne"/>
        <w:numPr>
          <w:ilvl w:val="0"/>
          <w:numId w:val="1436"/>
        </w:numPr>
        <w:ind w:left="360"/>
        <w:rPr>
          <w:highlight w:val="yellow"/>
          <w:lang w:eastAsia="fr-CA"/>
        </w:rPr>
      </w:pPr>
      <w:r w:rsidRPr="006E18CE">
        <w:rPr>
          <w:highlight w:val="yellow"/>
          <w:lang w:eastAsia="fr-CA"/>
        </w:rPr>
        <w:t>Examens contradictoires avec l’histoire</w:t>
      </w:r>
    </w:p>
    <w:p w:rsidR="00AE3729" w:rsidRPr="006E18CE" w:rsidRDefault="00AE3729" w:rsidP="00AE3729">
      <w:pPr>
        <w:pStyle w:val="Sansinterligne"/>
        <w:rPr>
          <w:highlight w:val="yellow"/>
          <w:u w:val="single"/>
          <w:lang w:eastAsia="fr-CA"/>
        </w:rPr>
      </w:pPr>
    </w:p>
    <w:p w:rsidR="00AE3729" w:rsidRPr="006E18CE" w:rsidRDefault="00AE3729" w:rsidP="00AE3729">
      <w:pPr>
        <w:pStyle w:val="Sansinterligne"/>
        <w:rPr>
          <w:highlight w:val="yellow"/>
          <w:u w:val="single"/>
          <w:lang w:eastAsia="fr-CA"/>
        </w:rPr>
      </w:pPr>
      <w:r w:rsidRPr="006E18CE">
        <w:rPr>
          <w:highlight w:val="yellow"/>
          <w:u w:val="single"/>
          <w:lang w:eastAsia="fr-CA"/>
        </w:rPr>
        <w:t>Signes</w:t>
      </w:r>
    </w:p>
    <w:p w:rsidR="00AE3729" w:rsidRPr="006E18CE" w:rsidRDefault="00AE3729" w:rsidP="00402C69">
      <w:pPr>
        <w:pStyle w:val="Sansinterligne"/>
        <w:numPr>
          <w:ilvl w:val="0"/>
          <w:numId w:val="1436"/>
        </w:numPr>
        <w:ind w:left="360"/>
        <w:rPr>
          <w:highlight w:val="yellow"/>
          <w:lang w:eastAsia="fr-CA"/>
        </w:rPr>
      </w:pPr>
      <w:r w:rsidRPr="006E18CE">
        <w:rPr>
          <w:highlight w:val="yellow"/>
          <w:lang w:eastAsia="fr-CA"/>
        </w:rPr>
        <w:t>Évitement du contact visuel</w:t>
      </w:r>
    </w:p>
    <w:p w:rsidR="00AE3729" w:rsidRPr="006E18CE" w:rsidRDefault="00AE3729" w:rsidP="00402C69">
      <w:pPr>
        <w:pStyle w:val="Sansinterligne"/>
        <w:numPr>
          <w:ilvl w:val="0"/>
          <w:numId w:val="1436"/>
        </w:numPr>
        <w:ind w:left="360"/>
        <w:rPr>
          <w:highlight w:val="yellow"/>
          <w:lang w:eastAsia="fr-CA"/>
        </w:rPr>
      </w:pPr>
      <w:r w:rsidRPr="006E18CE">
        <w:rPr>
          <w:highlight w:val="yellow"/>
          <w:lang w:eastAsia="fr-CA"/>
        </w:rPr>
        <w:t>Très réservé, s’efface p/r au soignant</w:t>
      </w:r>
    </w:p>
    <w:p w:rsidR="00AE3729" w:rsidRPr="006E18CE" w:rsidRDefault="00AE3729" w:rsidP="00402C69">
      <w:pPr>
        <w:pStyle w:val="Sansinterligne"/>
        <w:numPr>
          <w:ilvl w:val="0"/>
          <w:numId w:val="1436"/>
        </w:numPr>
        <w:ind w:left="360"/>
        <w:rPr>
          <w:highlight w:val="yellow"/>
          <w:lang w:eastAsia="fr-CA"/>
        </w:rPr>
      </w:pPr>
      <w:r w:rsidRPr="006E18CE">
        <w:rPr>
          <w:highlight w:val="yellow"/>
          <w:lang w:eastAsia="fr-CA"/>
        </w:rPr>
        <w:t>Dénutrition / cachexie</w:t>
      </w:r>
    </w:p>
    <w:p w:rsidR="00AE3729" w:rsidRPr="006E18CE" w:rsidRDefault="00AE3729" w:rsidP="00402C69">
      <w:pPr>
        <w:pStyle w:val="Sansinterligne"/>
        <w:numPr>
          <w:ilvl w:val="0"/>
          <w:numId w:val="1436"/>
        </w:numPr>
        <w:ind w:left="360"/>
        <w:rPr>
          <w:highlight w:val="yellow"/>
          <w:lang w:eastAsia="fr-CA"/>
        </w:rPr>
      </w:pPr>
      <w:r w:rsidRPr="006E18CE">
        <w:rPr>
          <w:highlight w:val="yellow"/>
          <w:lang w:eastAsia="fr-CA"/>
        </w:rPr>
        <w:t>Ecchymoses, brûlures</w:t>
      </w:r>
    </w:p>
    <w:p w:rsidR="00AE3729" w:rsidRDefault="00AE3729" w:rsidP="00402C69">
      <w:pPr>
        <w:pStyle w:val="Sansinterligne"/>
        <w:numPr>
          <w:ilvl w:val="0"/>
          <w:numId w:val="1436"/>
        </w:numPr>
        <w:ind w:left="360"/>
        <w:rPr>
          <w:lang w:eastAsia="fr-CA"/>
        </w:rPr>
        <w:sectPr w:rsidR="00AE3729" w:rsidSect="00AE3729">
          <w:type w:val="continuous"/>
          <w:pgSz w:w="12240" w:h="15840"/>
          <w:pgMar w:top="720" w:right="720" w:bottom="720" w:left="720" w:header="708" w:footer="708" w:gutter="0"/>
          <w:cols w:num="2" w:space="708"/>
          <w:docGrid w:linePitch="360"/>
        </w:sectPr>
      </w:pPr>
      <w:r w:rsidRPr="006E18CE">
        <w:rPr>
          <w:highlight w:val="yellow"/>
          <w:lang w:eastAsia="fr-CA"/>
        </w:rPr>
        <w:t>Hygiène négligée</w:t>
      </w:r>
    </w:p>
    <w:p w:rsidR="00AE3729" w:rsidRDefault="00AE3729" w:rsidP="00AE3729">
      <w:pPr>
        <w:pStyle w:val="Sansinterligne"/>
        <w:rPr>
          <w:lang w:eastAsia="fr-CA"/>
        </w:rPr>
      </w:pPr>
    </w:p>
    <w:p w:rsidR="00AE3729" w:rsidRDefault="00AE3729" w:rsidP="003B0E5F">
      <w:pPr>
        <w:pStyle w:val="Sansinterligne"/>
        <w:rPr>
          <w:lang w:eastAsia="fr-CA"/>
        </w:rPr>
      </w:pPr>
    </w:p>
    <w:p w:rsidR="00C77CD4" w:rsidRPr="003F14A6" w:rsidRDefault="00C77CD4" w:rsidP="00C77CD4">
      <w:pPr>
        <w:pStyle w:val="Sansinterligne"/>
        <w:rPr>
          <w:b/>
          <w:sz w:val="28"/>
          <w:szCs w:val="28"/>
          <w:lang w:eastAsia="fr-CA"/>
        </w:rPr>
      </w:pPr>
      <w:r w:rsidRPr="003F14A6">
        <w:rPr>
          <w:b/>
          <w:sz w:val="28"/>
          <w:szCs w:val="28"/>
          <w:lang w:eastAsia="fr-CA"/>
        </w:rPr>
        <w:t>Investigations</w:t>
      </w:r>
    </w:p>
    <w:p w:rsidR="00C77CD4" w:rsidRDefault="00C77CD4" w:rsidP="00C77CD4">
      <w:pPr>
        <w:pStyle w:val="Sansinterligne"/>
        <w:rPr>
          <w:lang w:eastAsia="fr-CA"/>
        </w:rPr>
      </w:pPr>
    </w:p>
    <w:p w:rsidR="003F14A6" w:rsidRDefault="003F14A6" w:rsidP="00C77CD4">
      <w:pPr>
        <w:pStyle w:val="Sansinterligne"/>
        <w:rPr>
          <w:lang w:eastAsia="fr-CA"/>
        </w:rPr>
      </w:pPr>
      <w:r>
        <w:rPr>
          <w:lang w:eastAsia="fr-CA"/>
        </w:rPr>
        <w:t>Tout examen approprié à la condition ou à la plainte initiale et accepté par le patient.</w:t>
      </w:r>
    </w:p>
    <w:p w:rsidR="003F14A6" w:rsidRDefault="003F14A6" w:rsidP="00C77CD4">
      <w:pPr>
        <w:pStyle w:val="Sansinterligne"/>
        <w:rPr>
          <w:lang w:eastAsia="fr-CA"/>
        </w:rPr>
      </w:pPr>
    </w:p>
    <w:p w:rsidR="00C77CD4" w:rsidRPr="00B2307E" w:rsidRDefault="00C77CD4" w:rsidP="00C77CD4">
      <w:pPr>
        <w:pStyle w:val="Sansinterligne"/>
        <w:rPr>
          <w:b/>
          <w:sz w:val="28"/>
          <w:szCs w:val="28"/>
          <w:lang w:eastAsia="fr-CA"/>
        </w:rPr>
      </w:pPr>
      <w:r w:rsidRPr="00B2307E">
        <w:rPr>
          <w:b/>
          <w:sz w:val="28"/>
          <w:szCs w:val="28"/>
          <w:lang w:eastAsia="fr-CA"/>
        </w:rPr>
        <w:t>Prise en charge</w:t>
      </w:r>
    </w:p>
    <w:p w:rsidR="00B2307E" w:rsidRDefault="00B2307E" w:rsidP="00C77CD4">
      <w:pPr>
        <w:pStyle w:val="Sansinterligne"/>
        <w:rPr>
          <w:lang w:eastAsia="fr-CA"/>
        </w:rPr>
      </w:pPr>
    </w:p>
    <w:p w:rsidR="00B2307E" w:rsidRDefault="00B2307E" w:rsidP="00402C69">
      <w:pPr>
        <w:pStyle w:val="Sansinterligne"/>
        <w:numPr>
          <w:ilvl w:val="0"/>
          <w:numId w:val="1437"/>
        </w:numPr>
        <w:ind w:left="360"/>
        <w:rPr>
          <w:lang w:eastAsia="fr-CA"/>
        </w:rPr>
      </w:pPr>
      <w:r>
        <w:rPr>
          <w:lang w:eastAsia="fr-CA"/>
        </w:rPr>
        <w:t>Évaluer l’aptitude du patient si on a un doute sur son jugement ou sa capacité à consentir.</w:t>
      </w:r>
    </w:p>
    <w:p w:rsidR="006E18CE" w:rsidRDefault="006E18CE" w:rsidP="00402C69">
      <w:pPr>
        <w:pStyle w:val="Sansinterligne"/>
        <w:numPr>
          <w:ilvl w:val="0"/>
          <w:numId w:val="1437"/>
        </w:numPr>
        <w:ind w:left="360"/>
        <w:rPr>
          <w:lang w:eastAsia="fr-CA"/>
        </w:rPr>
      </w:pPr>
      <w:r>
        <w:rPr>
          <w:lang w:eastAsia="fr-CA"/>
        </w:rPr>
        <w:t>Signalement selon la législation provinciale.</w:t>
      </w:r>
    </w:p>
    <w:p w:rsidR="00B2307E" w:rsidRDefault="00B2307E" w:rsidP="00402C69">
      <w:pPr>
        <w:pStyle w:val="Sansinterligne"/>
        <w:numPr>
          <w:ilvl w:val="0"/>
          <w:numId w:val="1437"/>
        </w:numPr>
        <w:ind w:left="360"/>
        <w:rPr>
          <w:lang w:eastAsia="fr-CA"/>
        </w:rPr>
      </w:pPr>
      <w:r>
        <w:rPr>
          <w:lang w:eastAsia="fr-CA"/>
        </w:rPr>
        <w:t>Hospitaliser si la condition médicale le nécessite</w:t>
      </w:r>
    </w:p>
    <w:p w:rsidR="00B2307E" w:rsidRDefault="00B2307E" w:rsidP="00402C69">
      <w:pPr>
        <w:pStyle w:val="Sansinterligne"/>
        <w:numPr>
          <w:ilvl w:val="1"/>
          <w:numId w:val="1437"/>
        </w:numPr>
        <w:rPr>
          <w:lang w:eastAsia="fr-CA"/>
        </w:rPr>
      </w:pPr>
      <w:r>
        <w:rPr>
          <w:lang w:eastAsia="fr-CA"/>
        </w:rPr>
        <w:t>Peut aussi être une avenue pour creuser davantage la situation</w:t>
      </w:r>
    </w:p>
    <w:p w:rsidR="006E18CE" w:rsidRDefault="006E18CE" w:rsidP="00402C69">
      <w:pPr>
        <w:pStyle w:val="Sansinterligne"/>
        <w:numPr>
          <w:ilvl w:val="1"/>
          <w:numId w:val="1437"/>
        </w:numPr>
        <w:rPr>
          <w:lang w:eastAsia="fr-CA"/>
        </w:rPr>
      </w:pPr>
      <w:r>
        <w:rPr>
          <w:lang w:eastAsia="fr-CA"/>
        </w:rPr>
        <w:t>Si doute important sur la sécurité du patient à domicile</w:t>
      </w:r>
    </w:p>
    <w:p w:rsidR="006E18CE" w:rsidRDefault="006E18CE" w:rsidP="006E18CE">
      <w:pPr>
        <w:pStyle w:val="Sansinterligne"/>
        <w:rPr>
          <w:lang w:eastAsia="fr-CA"/>
        </w:rPr>
      </w:pPr>
    </w:p>
    <w:p w:rsidR="006E18CE" w:rsidRDefault="006E18CE" w:rsidP="00402C69">
      <w:pPr>
        <w:pStyle w:val="Sansinterligne"/>
        <w:numPr>
          <w:ilvl w:val="0"/>
          <w:numId w:val="1437"/>
        </w:numPr>
        <w:ind w:left="360"/>
        <w:rPr>
          <w:lang w:eastAsia="fr-CA"/>
        </w:rPr>
      </w:pPr>
      <w:r w:rsidRPr="006E18CE">
        <w:rPr>
          <w:highlight w:val="yellow"/>
          <w:lang w:eastAsia="fr-CA"/>
        </w:rPr>
        <w:t>Si en suivi externe</w:t>
      </w:r>
      <w:r>
        <w:rPr>
          <w:lang w:eastAsia="fr-CA"/>
        </w:rPr>
        <w:t> :</w:t>
      </w:r>
    </w:p>
    <w:p w:rsidR="006E18CE" w:rsidRDefault="006E18CE" w:rsidP="00402C69">
      <w:pPr>
        <w:pStyle w:val="Sansinterligne"/>
        <w:numPr>
          <w:ilvl w:val="1"/>
          <w:numId w:val="1437"/>
        </w:numPr>
        <w:rPr>
          <w:lang w:eastAsia="fr-CA"/>
        </w:rPr>
      </w:pPr>
      <w:r>
        <w:rPr>
          <w:lang w:eastAsia="fr-CA"/>
        </w:rPr>
        <w:t>Aborder régulièrement la question et prodiguer des conseils (cheminement, conscientisation)</w:t>
      </w:r>
    </w:p>
    <w:p w:rsidR="006E18CE" w:rsidRDefault="006E18CE" w:rsidP="00402C69">
      <w:pPr>
        <w:pStyle w:val="Sansinterligne"/>
        <w:numPr>
          <w:ilvl w:val="1"/>
          <w:numId w:val="1437"/>
        </w:numPr>
        <w:rPr>
          <w:lang w:eastAsia="fr-CA"/>
        </w:rPr>
      </w:pPr>
      <w:r>
        <w:rPr>
          <w:lang w:eastAsia="fr-CA"/>
        </w:rPr>
        <w:t>Assurer de la confidentialité</w:t>
      </w:r>
    </w:p>
    <w:p w:rsidR="006E18CE" w:rsidRDefault="00422D64" w:rsidP="00402C69">
      <w:pPr>
        <w:pStyle w:val="Sansinterligne"/>
        <w:numPr>
          <w:ilvl w:val="1"/>
          <w:numId w:val="1437"/>
        </w:numPr>
        <w:rPr>
          <w:lang w:eastAsia="fr-CA"/>
        </w:rPr>
      </w:pPr>
      <w:r>
        <w:rPr>
          <w:noProof/>
          <w:lang w:eastAsia="fr-CA"/>
        </w:rPr>
        <w:drawing>
          <wp:anchor distT="0" distB="0" distL="114300" distR="114300" simplePos="0" relativeHeight="252191744" behindDoc="0" locked="0" layoutInCell="1" allowOverlap="1" wp14:anchorId="36E88FC6" wp14:editId="12E077DF">
            <wp:simplePos x="0" y="0"/>
            <wp:positionH relativeFrom="column">
              <wp:posOffset>4123690</wp:posOffset>
            </wp:positionH>
            <wp:positionV relativeFrom="paragraph">
              <wp:posOffset>26670</wp:posOffset>
            </wp:positionV>
            <wp:extent cx="2713990" cy="3437255"/>
            <wp:effectExtent l="0" t="0" r="0" b="0"/>
            <wp:wrapNone/>
            <wp:docPr id="663" name="Image 663" descr="Résultats de recherche d'images pour « aînés maltraitanc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Résultats de recherche d'images pour « aînés maltraitance »"/>
                    <pic:cNvPicPr>
                      <a:picLocks noChangeAspect="1" noChangeArrowheads="1"/>
                    </pic:cNvPicPr>
                  </pic:nvPicPr>
                  <pic:blipFill>
                    <a:blip r:embed="rId398">
                      <a:extLst>
                        <a:ext uri="{28A0092B-C50C-407E-A947-70E740481C1C}">
                          <a14:useLocalDpi xmlns:a14="http://schemas.microsoft.com/office/drawing/2010/main" val="0"/>
                        </a:ext>
                      </a:extLst>
                    </a:blip>
                    <a:srcRect/>
                    <a:stretch>
                      <a:fillRect/>
                    </a:stretch>
                  </pic:blipFill>
                  <pic:spPr bwMode="auto">
                    <a:xfrm>
                      <a:off x="0" y="0"/>
                      <a:ext cx="2713990" cy="3437255"/>
                    </a:xfrm>
                    <a:prstGeom prst="rect">
                      <a:avLst/>
                    </a:prstGeom>
                    <a:noFill/>
                    <a:ln>
                      <a:noFill/>
                    </a:ln>
                  </pic:spPr>
                </pic:pic>
              </a:graphicData>
            </a:graphic>
            <wp14:sizeRelH relativeFrom="page">
              <wp14:pctWidth>0</wp14:pctWidth>
            </wp14:sizeRelH>
            <wp14:sizeRelV relativeFrom="page">
              <wp14:pctHeight>0</wp14:pctHeight>
            </wp14:sizeRelV>
          </wp:anchor>
        </w:drawing>
      </w:r>
      <w:r w:rsidR="006E18CE">
        <w:rPr>
          <w:lang w:eastAsia="fr-CA"/>
        </w:rPr>
        <w:t>Offrir de l’aide</w:t>
      </w:r>
    </w:p>
    <w:p w:rsidR="006E18CE" w:rsidRDefault="006E18CE" w:rsidP="006E18CE">
      <w:pPr>
        <w:pStyle w:val="Sansinterligne"/>
        <w:rPr>
          <w:lang w:eastAsia="fr-CA"/>
        </w:rPr>
      </w:pPr>
    </w:p>
    <w:p w:rsidR="00B2307E" w:rsidRPr="006E18CE" w:rsidRDefault="006E18CE" w:rsidP="00402C69">
      <w:pPr>
        <w:pStyle w:val="Sansinterligne"/>
        <w:numPr>
          <w:ilvl w:val="0"/>
          <w:numId w:val="1437"/>
        </w:numPr>
        <w:ind w:left="360"/>
        <w:rPr>
          <w:highlight w:val="yellow"/>
          <w:lang w:eastAsia="fr-CA"/>
        </w:rPr>
      </w:pPr>
      <w:r w:rsidRPr="006E18CE">
        <w:rPr>
          <w:highlight w:val="yellow"/>
          <w:lang w:eastAsia="fr-CA"/>
        </w:rPr>
        <w:t>Évaluation multidisciplinaire si possible</w:t>
      </w:r>
    </w:p>
    <w:p w:rsidR="006E18CE" w:rsidRPr="006E18CE" w:rsidRDefault="006E18CE" w:rsidP="00402C69">
      <w:pPr>
        <w:pStyle w:val="Sansinterligne"/>
        <w:numPr>
          <w:ilvl w:val="1"/>
          <w:numId w:val="1437"/>
        </w:numPr>
        <w:rPr>
          <w:highlight w:val="yellow"/>
          <w:lang w:eastAsia="fr-CA"/>
        </w:rPr>
      </w:pPr>
      <w:r w:rsidRPr="006E18CE">
        <w:rPr>
          <w:highlight w:val="yellow"/>
          <w:lang w:eastAsia="fr-CA"/>
        </w:rPr>
        <w:t>Gériatrie</w:t>
      </w:r>
    </w:p>
    <w:p w:rsidR="006E18CE" w:rsidRPr="006E18CE" w:rsidRDefault="006E18CE" w:rsidP="00402C69">
      <w:pPr>
        <w:pStyle w:val="Sansinterligne"/>
        <w:numPr>
          <w:ilvl w:val="1"/>
          <w:numId w:val="1437"/>
        </w:numPr>
        <w:rPr>
          <w:highlight w:val="yellow"/>
          <w:lang w:eastAsia="fr-CA"/>
        </w:rPr>
      </w:pPr>
      <w:r w:rsidRPr="006E18CE">
        <w:rPr>
          <w:highlight w:val="yellow"/>
          <w:lang w:eastAsia="fr-CA"/>
        </w:rPr>
        <w:t>Travailleur social</w:t>
      </w:r>
    </w:p>
    <w:p w:rsidR="006E18CE" w:rsidRDefault="006E18CE" w:rsidP="00402C69">
      <w:pPr>
        <w:pStyle w:val="Sansinterligne"/>
        <w:numPr>
          <w:ilvl w:val="1"/>
          <w:numId w:val="1437"/>
        </w:numPr>
        <w:rPr>
          <w:lang w:eastAsia="fr-CA"/>
        </w:rPr>
      </w:pPr>
      <w:r>
        <w:rPr>
          <w:lang w:eastAsia="fr-CA"/>
        </w:rPr>
        <w:t>Ergothérapie</w:t>
      </w:r>
    </w:p>
    <w:p w:rsidR="006E18CE" w:rsidRDefault="006E18CE" w:rsidP="00402C69">
      <w:pPr>
        <w:pStyle w:val="Sansinterligne"/>
        <w:numPr>
          <w:ilvl w:val="1"/>
          <w:numId w:val="1437"/>
        </w:numPr>
        <w:rPr>
          <w:lang w:eastAsia="fr-CA"/>
        </w:rPr>
      </w:pPr>
      <w:r>
        <w:rPr>
          <w:lang w:eastAsia="fr-CA"/>
        </w:rPr>
        <w:t>Pharmacien</w:t>
      </w:r>
    </w:p>
    <w:p w:rsidR="006E18CE" w:rsidRDefault="006E18CE" w:rsidP="00402C69">
      <w:pPr>
        <w:pStyle w:val="Sansinterligne"/>
        <w:numPr>
          <w:ilvl w:val="1"/>
          <w:numId w:val="1437"/>
        </w:numPr>
        <w:rPr>
          <w:lang w:eastAsia="fr-CA"/>
        </w:rPr>
      </w:pPr>
      <w:r>
        <w:rPr>
          <w:lang w:eastAsia="fr-CA"/>
        </w:rPr>
        <w:t>Psychologue PRN</w:t>
      </w:r>
    </w:p>
    <w:p w:rsidR="00C77CD4" w:rsidRDefault="00C77CD4" w:rsidP="00C77CD4">
      <w:pPr>
        <w:pStyle w:val="Sansinterligne"/>
        <w:rPr>
          <w:lang w:eastAsia="fr-CA"/>
        </w:rPr>
      </w:pPr>
    </w:p>
    <w:p w:rsidR="004C498B" w:rsidRDefault="006E18CE" w:rsidP="00402C69">
      <w:pPr>
        <w:pStyle w:val="Sansinterligne"/>
        <w:numPr>
          <w:ilvl w:val="0"/>
          <w:numId w:val="1438"/>
        </w:numPr>
      </w:pPr>
      <w:r>
        <w:t>Au moment approprié, il faut aborder le soignant/abuseur.</w:t>
      </w:r>
    </w:p>
    <w:p w:rsidR="006E18CE" w:rsidRDefault="00422D64" w:rsidP="00402C69">
      <w:pPr>
        <w:pStyle w:val="Sansinterligne"/>
        <w:numPr>
          <w:ilvl w:val="1"/>
          <w:numId w:val="1438"/>
        </w:numPr>
        <w:ind w:right="4563"/>
      </w:pPr>
      <w:r>
        <w:t>Certaines</w:t>
      </w:r>
      <w:r w:rsidR="006E18CE">
        <w:t xml:space="preserve"> personnes font vivre de la maltraitance sans même en avoir conscience (ex : négligence, dénigrement)</w:t>
      </w:r>
    </w:p>
    <w:p w:rsidR="006E18CE" w:rsidRDefault="006E18CE" w:rsidP="006E18CE">
      <w:pPr>
        <w:pStyle w:val="Sansinterligne"/>
        <w:ind w:left="708"/>
        <w:rPr>
          <w:u w:val="single"/>
        </w:rPr>
      </w:pPr>
    </w:p>
    <w:p w:rsidR="006E18CE" w:rsidRPr="006E18CE" w:rsidRDefault="006E18CE" w:rsidP="006E18CE">
      <w:pPr>
        <w:pStyle w:val="Sansinterligne"/>
        <w:ind w:left="708"/>
        <w:rPr>
          <w:highlight w:val="yellow"/>
          <w:u w:val="single"/>
        </w:rPr>
      </w:pPr>
      <w:r w:rsidRPr="006E18CE">
        <w:rPr>
          <w:highlight w:val="yellow"/>
          <w:u w:val="single"/>
        </w:rPr>
        <w:t xml:space="preserve">Questionner </w:t>
      </w:r>
    </w:p>
    <w:p w:rsidR="006E18CE" w:rsidRPr="006E18CE" w:rsidRDefault="006E18CE" w:rsidP="00402C69">
      <w:pPr>
        <w:pStyle w:val="Sansinterligne"/>
        <w:numPr>
          <w:ilvl w:val="0"/>
          <w:numId w:val="1439"/>
        </w:numPr>
        <w:ind w:left="1068"/>
        <w:rPr>
          <w:highlight w:val="yellow"/>
        </w:rPr>
      </w:pPr>
      <w:r w:rsidRPr="006E18CE">
        <w:rPr>
          <w:highlight w:val="yellow"/>
        </w:rPr>
        <w:t>L’épuisement du soignant</w:t>
      </w:r>
    </w:p>
    <w:p w:rsidR="006E18CE" w:rsidRPr="006E18CE" w:rsidRDefault="006E18CE" w:rsidP="00402C69">
      <w:pPr>
        <w:pStyle w:val="Sansinterligne"/>
        <w:numPr>
          <w:ilvl w:val="0"/>
          <w:numId w:val="1439"/>
        </w:numPr>
        <w:ind w:left="1068"/>
        <w:rPr>
          <w:highlight w:val="yellow"/>
        </w:rPr>
      </w:pPr>
      <w:r w:rsidRPr="006E18CE">
        <w:rPr>
          <w:highlight w:val="yellow"/>
        </w:rPr>
        <w:t>Le besoin d’être directif ou de hausser le ton avec le patient</w:t>
      </w:r>
    </w:p>
    <w:p w:rsidR="006E18CE" w:rsidRDefault="006E18CE" w:rsidP="00402C69">
      <w:pPr>
        <w:pStyle w:val="Sansinterligne"/>
        <w:numPr>
          <w:ilvl w:val="0"/>
          <w:numId w:val="1439"/>
        </w:numPr>
        <w:ind w:left="1068"/>
      </w:pPr>
      <w:r w:rsidRPr="006E18CE">
        <w:rPr>
          <w:highlight w:val="yellow"/>
        </w:rPr>
        <w:t>La difficulté à s’occuper, gérer les besoins du patient</w:t>
      </w:r>
    </w:p>
    <w:p w:rsidR="006E18CE" w:rsidRDefault="006E18CE" w:rsidP="006E18CE">
      <w:pPr>
        <w:pStyle w:val="Sansinterligne"/>
      </w:pPr>
    </w:p>
    <w:p w:rsidR="004C498B" w:rsidRDefault="004C498B" w:rsidP="006D5219">
      <w:pPr>
        <w:spacing w:after="0"/>
        <w:rPr>
          <w:rFonts w:cs="Times New Roman"/>
          <w:b/>
          <w:color w:val="548DD4" w:themeColor="text2" w:themeTint="99"/>
        </w:rPr>
      </w:pPr>
    </w:p>
    <w:p w:rsidR="004C498B" w:rsidRDefault="004C498B" w:rsidP="006D5219">
      <w:pPr>
        <w:spacing w:after="0"/>
        <w:rPr>
          <w:rFonts w:cs="Times New Roman"/>
          <w:b/>
          <w:color w:val="548DD4" w:themeColor="text2" w:themeTint="99"/>
        </w:rPr>
      </w:pPr>
    </w:p>
    <w:p w:rsidR="004C498B" w:rsidRDefault="004C498B" w:rsidP="006D5219">
      <w:pPr>
        <w:spacing w:after="0"/>
        <w:rPr>
          <w:rFonts w:cs="Times New Roman"/>
          <w:b/>
          <w:color w:val="548DD4" w:themeColor="text2" w:themeTint="99"/>
        </w:rPr>
      </w:pPr>
    </w:p>
    <w:p w:rsidR="004C498B" w:rsidRDefault="004C498B" w:rsidP="006D5219">
      <w:pPr>
        <w:spacing w:after="0"/>
        <w:rPr>
          <w:rFonts w:cs="Times New Roman"/>
          <w:b/>
          <w:color w:val="548DD4" w:themeColor="text2" w:themeTint="99"/>
        </w:rPr>
      </w:pPr>
    </w:p>
    <w:p w:rsidR="004C498B" w:rsidRDefault="004C498B" w:rsidP="006D5219">
      <w:pPr>
        <w:spacing w:after="0"/>
        <w:rPr>
          <w:rFonts w:cs="Times New Roman"/>
          <w:b/>
          <w:color w:val="548DD4" w:themeColor="text2" w:themeTint="99"/>
        </w:rPr>
      </w:pPr>
    </w:p>
    <w:p w:rsidR="004C498B" w:rsidRDefault="004C498B">
      <w:pPr>
        <w:rPr>
          <w:rFonts w:cs="Times New Roman"/>
          <w:b/>
          <w:color w:val="548DD4" w:themeColor="text2" w:themeTint="99"/>
        </w:rPr>
      </w:pPr>
      <w:r>
        <w:rPr>
          <w:rFonts w:cs="Times New Roman"/>
          <w:b/>
          <w:color w:val="548DD4" w:themeColor="text2" w:themeTint="99"/>
        </w:rPr>
        <w:br w:type="page"/>
      </w:r>
    </w:p>
    <w:p w:rsidR="004540ED" w:rsidRDefault="004540ED" w:rsidP="006D5219">
      <w:pPr>
        <w:spacing w:after="0"/>
        <w:rPr>
          <w:rFonts w:cs="Times New Roman"/>
          <w:b/>
          <w:color w:val="548DD4" w:themeColor="text2" w:themeTint="99"/>
        </w:rPr>
      </w:pPr>
      <w:r>
        <w:rPr>
          <w:rFonts w:cs="Times New Roman"/>
          <w:b/>
          <w:color w:val="548DD4" w:themeColor="text2" w:themeTint="99"/>
        </w:rPr>
        <w:t>CMC 114-3</w:t>
      </w:r>
    </w:p>
    <w:p w:rsidR="004540ED" w:rsidRPr="004540ED" w:rsidRDefault="004540ED" w:rsidP="004540ED">
      <w:pPr>
        <w:pStyle w:val="Titre3"/>
        <w:spacing w:before="0"/>
        <w:rPr>
          <w:rFonts w:ascii="Times New Roman" w:hAnsi="Times New Roman" w:cs="Times New Roman"/>
        </w:rPr>
      </w:pPr>
      <w:bookmarkStart w:id="398" w:name="_Toc480797341"/>
      <w:r w:rsidRPr="004540ED">
        <w:rPr>
          <w:rFonts w:ascii="Times New Roman" w:hAnsi="Times New Roman" w:cs="Times New Roman"/>
        </w:rPr>
        <w:t>Violence entre adultes ou partenaires intimes</w:t>
      </w:r>
      <w:bookmarkEnd w:id="398"/>
    </w:p>
    <w:p w:rsidR="004540ED" w:rsidRDefault="004540ED" w:rsidP="006D5219">
      <w:pPr>
        <w:spacing w:after="0"/>
        <w:rPr>
          <w:rFonts w:cs="Times New Roman"/>
          <w:b/>
          <w:color w:val="548DD4" w:themeColor="text2" w:themeTint="99"/>
        </w:rPr>
      </w:pPr>
      <w:r>
        <w:rPr>
          <w:rFonts w:cs="Times New Roman"/>
          <w:b/>
          <w:noProof/>
          <w:color w:val="548DD4" w:themeColor="text2" w:themeTint="99"/>
          <w:lang w:eastAsia="fr-CA"/>
        </w:rPr>
        <mc:AlternateContent>
          <mc:Choice Requires="wps">
            <w:drawing>
              <wp:anchor distT="0" distB="0" distL="114300" distR="114300" simplePos="0" relativeHeight="252173312" behindDoc="0" locked="0" layoutInCell="1" allowOverlap="1" wp14:anchorId="486370CA" wp14:editId="29EAD9DD">
                <wp:simplePos x="0" y="0"/>
                <wp:positionH relativeFrom="column">
                  <wp:posOffset>-68094</wp:posOffset>
                </wp:positionH>
                <wp:positionV relativeFrom="paragraph">
                  <wp:posOffset>114408</wp:posOffset>
                </wp:positionV>
                <wp:extent cx="6994188" cy="3745149"/>
                <wp:effectExtent l="0" t="0" r="16510" b="27305"/>
                <wp:wrapNone/>
                <wp:docPr id="648" name="Rectangle 648"/>
                <wp:cNvGraphicFramePr/>
                <a:graphic xmlns:a="http://schemas.openxmlformats.org/drawingml/2006/main">
                  <a:graphicData uri="http://schemas.microsoft.com/office/word/2010/wordprocessingShape">
                    <wps:wsp>
                      <wps:cNvSpPr/>
                      <wps:spPr>
                        <a:xfrm>
                          <a:off x="0" y="0"/>
                          <a:ext cx="6994188" cy="3745149"/>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Rectangle 648" o:spid="_x0000_s1026" style="position:absolute;margin-left:-5.35pt;margin-top:9pt;width:550.7pt;height:294.9pt;z-index:252173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" filled="f" strokecolor="black [1600]" strokeweight="2pt"/>
            </w:pict>
          </mc:Fallback>
        </mc:AlternateContent>
      </w:r>
    </w:p>
    <w:tbl>
      <w:tblPr>
        <w:tblW w:w="3858" w:type="pct"/>
        <w:tblCellSpacing w:w="0" w:type="dxa"/>
        <w:tblCellMar>
          <w:left w:w="0" w:type="dxa"/>
          <w:right w:w="0" w:type="dxa"/>
        </w:tblCellMar>
        <w:tblLook w:val="04A0" w:firstRow="1" w:lastRow="0" w:firstColumn="1" w:lastColumn="0" w:noHBand="0" w:noVBand="1"/>
      </w:tblPr>
      <w:tblGrid>
        <w:gridCol w:w="8333"/>
      </w:tblGrid>
      <w:tr w:rsidR="004540ED" w:rsidRPr="004540ED" w:rsidTr="004540ED">
        <w:trPr>
          <w:tblCellSpacing w:w="0" w:type="dxa"/>
        </w:trPr>
        <w:tc>
          <w:tcPr>
            <w:tcW w:w="0" w:type="auto"/>
            <w:vAlign w:val="bottom"/>
            <w:hideMark/>
          </w:tcPr>
          <w:p w:rsidR="004540ED" w:rsidRPr="004540ED" w:rsidRDefault="004540ED" w:rsidP="004540ED">
            <w:pPr>
              <w:pStyle w:val="Sansinterligne"/>
              <w:rPr>
                <w:rFonts w:cs="Times New Roman"/>
                <w:b/>
                <w:sz w:val="18"/>
                <w:szCs w:val="18"/>
              </w:rPr>
            </w:pPr>
            <w:r w:rsidRPr="004540ED">
              <w:rPr>
                <w:rFonts w:cs="Times New Roman"/>
                <w:b/>
                <w:sz w:val="18"/>
                <w:szCs w:val="18"/>
              </w:rPr>
              <w:t>Objectifs principaux</w:t>
            </w:r>
          </w:p>
        </w:tc>
      </w:tr>
    </w:tbl>
    <w:p w:rsidR="004540ED" w:rsidRPr="004540ED" w:rsidRDefault="004540ED" w:rsidP="004540ED">
      <w:pPr>
        <w:pStyle w:val="NormalWeb"/>
        <w:ind w:left="360"/>
        <w:rPr>
          <w:color w:val="000000"/>
          <w:sz w:val="18"/>
          <w:szCs w:val="18"/>
          <w:shd w:val="clear" w:color="auto" w:fill="FFFFFF"/>
        </w:rPr>
      </w:pPr>
      <w:r w:rsidRPr="004540ED">
        <w:rPr>
          <w:color w:val="000000"/>
          <w:sz w:val="18"/>
          <w:szCs w:val="18"/>
          <w:shd w:val="clear" w:color="auto" w:fill="FFFFFF"/>
        </w:rPr>
        <w:t>Devant un cas possible de violence entre adultes ou partenaires intimes, le candidat devra en diagnostiquer la cause, la gravité et les complications, et mettre en place un plan de prise en charge approprié. Il devra en particulier évaluer les risques immédiats et à court terme de la victime, puis mettre au point un plan de sortie sûr et efficace à son intention.</w:t>
      </w:r>
    </w:p>
    <w:tbl>
      <w:tblPr>
        <w:tblW w:w="4089" w:type="pct"/>
        <w:tblCellSpacing w:w="0" w:type="dxa"/>
        <w:tblCellMar>
          <w:left w:w="0" w:type="dxa"/>
          <w:right w:w="0" w:type="dxa"/>
        </w:tblCellMar>
        <w:tblLook w:val="04A0" w:firstRow="1" w:lastRow="0" w:firstColumn="1" w:lastColumn="0" w:noHBand="0" w:noVBand="1"/>
      </w:tblPr>
      <w:tblGrid>
        <w:gridCol w:w="8832"/>
      </w:tblGrid>
      <w:tr w:rsidR="004540ED" w:rsidRPr="004540ED" w:rsidTr="004540ED">
        <w:trPr>
          <w:tblCellSpacing w:w="0" w:type="dxa"/>
        </w:trPr>
        <w:tc>
          <w:tcPr>
            <w:tcW w:w="0" w:type="auto"/>
            <w:vAlign w:val="bottom"/>
            <w:hideMark/>
          </w:tcPr>
          <w:p w:rsidR="004540ED" w:rsidRPr="004540ED" w:rsidRDefault="004540ED" w:rsidP="004540ED">
            <w:pPr>
              <w:pStyle w:val="Sansinterligne"/>
              <w:rPr>
                <w:rFonts w:cs="Times New Roman"/>
                <w:b/>
                <w:sz w:val="16"/>
                <w:szCs w:val="16"/>
              </w:rPr>
            </w:pPr>
            <w:r w:rsidRPr="004540ED">
              <w:rPr>
                <w:rFonts w:cs="Times New Roman"/>
                <w:b/>
                <w:sz w:val="16"/>
                <w:szCs w:val="16"/>
              </w:rPr>
              <w:t>Objectifs complémentaires</w:t>
            </w:r>
          </w:p>
        </w:tc>
      </w:tr>
    </w:tbl>
    <w:p w:rsidR="004540ED" w:rsidRPr="004540ED" w:rsidRDefault="004540ED" w:rsidP="004540ED">
      <w:pPr>
        <w:pStyle w:val="NormalWeb"/>
        <w:shd w:val="clear" w:color="auto" w:fill="FFFFFF"/>
        <w:ind w:left="360"/>
        <w:rPr>
          <w:color w:val="000000"/>
          <w:sz w:val="16"/>
          <w:szCs w:val="16"/>
          <w:shd w:val="clear" w:color="auto" w:fill="FFFFFF"/>
        </w:rPr>
      </w:pPr>
      <w:r w:rsidRPr="004540ED">
        <w:rPr>
          <w:color w:val="000000"/>
          <w:sz w:val="16"/>
          <w:szCs w:val="16"/>
          <w:shd w:val="clear" w:color="auto" w:fill="FFFFFF"/>
        </w:rPr>
        <w:t>Devant un cas possible de violence entre adultes ou partenaires intimes, le candidat devra</w:t>
      </w:r>
    </w:p>
    <w:p w:rsidR="004540ED" w:rsidRPr="004540ED" w:rsidRDefault="004540ED" w:rsidP="004540ED">
      <w:pPr>
        <w:numPr>
          <w:ilvl w:val="0"/>
          <w:numId w:val="1419"/>
        </w:numPr>
        <w:shd w:val="clear" w:color="auto" w:fill="FFFFFF"/>
        <w:spacing w:before="100" w:beforeAutospacing="1" w:after="100" w:afterAutospacing="1" w:line="240" w:lineRule="auto"/>
        <w:rPr>
          <w:rFonts w:cs="Times New Roman"/>
          <w:color w:val="000000"/>
          <w:sz w:val="16"/>
          <w:szCs w:val="16"/>
          <w:shd w:val="clear" w:color="auto" w:fill="FFFFFF"/>
        </w:rPr>
      </w:pPr>
      <w:r w:rsidRPr="004540ED">
        <w:rPr>
          <w:rFonts w:cs="Times New Roman"/>
          <w:color w:val="000000"/>
          <w:sz w:val="16"/>
          <w:szCs w:val="16"/>
          <w:shd w:val="clear" w:color="auto" w:fill="FFFFFF"/>
        </w:rPr>
        <w:t>énumérer et interpréter les constatations cliniques cruciales, notamment celles fondées sur :</w:t>
      </w:r>
    </w:p>
    <w:p w:rsidR="004540ED" w:rsidRPr="004540ED" w:rsidRDefault="004540ED" w:rsidP="004540ED">
      <w:pPr>
        <w:numPr>
          <w:ilvl w:val="1"/>
          <w:numId w:val="1419"/>
        </w:numPr>
        <w:shd w:val="clear" w:color="auto" w:fill="FFFFFF"/>
        <w:spacing w:before="100" w:beforeAutospacing="1" w:after="100" w:afterAutospacing="1" w:line="240" w:lineRule="auto"/>
        <w:rPr>
          <w:rFonts w:cs="Times New Roman"/>
          <w:color w:val="000000"/>
          <w:sz w:val="16"/>
          <w:szCs w:val="16"/>
          <w:shd w:val="clear" w:color="auto" w:fill="FFFFFF"/>
        </w:rPr>
      </w:pPr>
      <w:r w:rsidRPr="004540ED">
        <w:rPr>
          <w:rFonts w:cs="Times New Roman"/>
          <w:color w:val="000000"/>
          <w:sz w:val="16"/>
          <w:szCs w:val="16"/>
          <w:shd w:val="clear" w:color="auto" w:fill="FFFFFF"/>
        </w:rPr>
        <w:t>la détermination des facteurs qui rendent la patiente ou le patient plus susceptible d'être victime de violence (p. ex., grossesse, menaces de quitter le foyer);</w:t>
      </w:r>
    </w:p>
    <w:p w:rsidR="004540ED" w:rsidRPr="004540ED" w:rsidRDefault="004540ED" w:rsidP="004540ED">
      <w:pPr>
        <w:numPr>
          <w:ilvl w:val="1"/>
          <w:numId w:val="1419"/>
        </w:numPr>
        <w:shd w:val="clear" w:color="auto" w:fill="FFFFFF"/>
        <w:spacing w:before="100" w:beforeAutospacing="1" w:after="100" w:afterAutospacing="1" w:line="240" w:lineRule="auto"/>
        <w:rPr>
          <w:rFonts w:cs="Times New Roman"/>
          <w:color w:val="000000"/>
          <w:sz w:val="16"/>
          <w:szCs w:val="16"/>
          <w:shd w:val="clear" w:color="auto" w:fill="FFFFFF"/>
        </w:rPr>
      </w:pPr>
      <w:r w:rsidRPr="004540ED">
        <w:rPr>
          <w:rFonts w:cs="Times New Roman"/>
          <w:color w:val="000000"/>
          <w:sz w:val="16"/>
          <w:szCs w:val="16"/>
          <w:shd w:val="clear" w:color="auto" w:fill="FFFFFF"/>
        </w:rPr>
        <w:t>la détermination à savoir s'il y a des facteurs de risque pouvant amener le conjoint ou la conjointe à devenir violent ou violente (p. ex. abus d'alcool ou de drogues);</w:t>
      </w:r>
    </w:p>
    <w:p w:rsidR="004540ED" w:rsidRPr="004540ED" w:rsidRDefault="004540ED" w:rsidP="004540ED">
      <w:pPr>
        <w:numPr>
          <w:ilvl w:val="1"/>
          <w:numId w:val="1419"/>
        </w:numPr>
        <w:shd w:val="clear" w:color="auto" w:fill="FFFFFF"/>
        <w:spacing w:before="100" w:beforeAutospacing="1" w:after="100" w:afterAutospacing="1" w:line="240" w:lineRule="auto"/>
        <w:rPr>
          <w:rFonts w:cs="Times New Roman"/>
          <w:color w:val="000000"/>
          <w:sz w:val="16"/>
          <w:szCs w:val="16"/>
          <w:shd w:val="clear" w:color="auto" w:fill="FFFFFF"/>
        </w:rPr>
      </w:pPr>
      <w:bookmarkStart w:id="399" w:name="Objectifscompl%C3%A9mentaires1.3"/>
      <w:r w:rsidRPr="004540ED">
        <w:rPr>
          <w:rFonts w:cs="Times New Roman"/>
          <w:color w:val="000000"/>
          <w:sz w:val="16"/>
          <w:szCs w:val="16"/>
          <w:shd w:val="clear" w:color="auto" w:fill="FFFFFF"/>
        </w:rPr>
        <w:t>la prise en compte des nombreux signes et de symptômes pouvant signaler un cas possible de violence (p. ex. nature récurrente des sévices);</w:t>
      </w:r>
    </w:p>
    <w:p w:rsidR="004540ED" w:rsidRPr="004540ED" w:rsidRDefault="004540ED" w:rsidP="004540ED">
      <w:pPr>
        <w:numPr>
          <w:ilvl w:val="1"/>
          <w:numId w:val="1419"/>
        </w:numPr>
        <w:shd w:val="clear" w:color="auto" w:fill="FFFFFF"/>
        <w:spacing w:before="100" w:beforeAutospacing="1" w:after="100" w:afterAutospacing="1" w:line="240" w:lineRule="auto"/>
        <w:rPr>
          <w:rFonts w:cs="Times New Roman"/>
          <w:color w:val="000000"/>
          <w:sz w:val="16"/>
          <w:szCs w:val="16"/>
          <w:shd w:val="clear" w:color="auto" w:fill="FFFFFF"/>
        </w:rPr>
      </w:pPr>
      <w:bookmarkStart w:id="400" w:name="Objectifscompl%C3%A9mentaires1.4"/>
      <w:bookmarkEnd w:id="399"/>
      <w:r w:rsidRPr="004540ED">
        <w:rPr>
          <w:rFonts w:cs="Times New Roman"/>
          <w:color w:val="000000"/>
          <w:sz w:val="16"/>
          <w:szCs w:val="16"/>
          <w:shd w:val="clear" w:color="auto" w:fill="FFFFFF"/>
        </w:rPr>
        <w:t>le type de rapport qu'entretiennent les conjoints ou les partenaires et comprendre l'importance d'interroger et d'examiner le patient ou la patiente en privé;</w:t>
      </w:r>
    </w:p>
    <w:p w:rsidR="004540ED" w:rsidRPr="004540ED" w:rsidRDefault="004540ED" w:rsidP="004540ED">
      <w:pPr>
        <w:numPr>
          <w:ilvl w:val="1"/>
          <w:numId w:val="1419"/>
        </w:numPr>
        <w:shd w:val="clear" w:color="auto" w:fill="FFFFFF"/>
        <w:spacing w:before="100" w:beforeAutospacing="1" w:after="100" w:afterAutospacing="1" w:line="240" w:lineRule="auto"/>
        <w:rPr>
          <w:rFonts w:cs="Times New Roman"/>
          <w:color w:val="000000"/>
          <w:sz w:val="16"/>
          <w:szCs w:val="16"/>
          <w:shd w:val="clear" w:color="auto" w:fill="FFFFFF"/>
        </w:rPr>
      </w:pPr>
      <w:bookmarkStart w:id="401" w:name="Objectifscompl%C3%A9mentaires1.5"/>
      <w:bookmarkEnd w:id="400"/>
      <w:r w:rsidRPr="004540ED">
        <w:rPr>
          <w:rFonts w:cs="Times New Roman"/>
          <w:color w:val="000000"/>
          <w:sz w:val="16"/>
          <w:szCs w:val="16"/>
          <w:shd w:val="clear" w:color="auto" w:fill="FFFFFF"/>
        </w:rPr>
        <w:t>le niveau de danger immédiat et à court terme déterminé en fonction des facteurs de risque de létalité ou de blessure grave;</w:t>
      </w:r>
    </w:p>
    <w:bookmarkEnd w:id="401"/>
    <w:p w:rsidR="004540ED" w:rsidRPr="004540ED" w:rsidRDefault="004540ED" w:rsidP="004540ED">
      <w:pPr>
        <w:numPr>
          <w:ilvl w:val="0"/>
          <w:numId w:val="1419"/>
        </w:numPr>
        <w:shd w:val="clear" w:color="auto" w:fill="FFFFFF"/>
        <w:spacing w:before="100" w:beforeAutospacing="1" w:after="100" w:afterAutospacing="1" w:line="240" w:lineRule="auto"/>
        <w:rPr>
          <w:rFonts w:cs="Times New Roman"/>
          <w:color w:val="000000"/>
          <w:sz w:val="16"/>
          <w:szCs w:val="16"/>
          <w:shd w:val="clear" w:color="auto" w:fill="FFFFFF"/>
        </w:rPr>
      </w:pPr>
      <w:r w:rsidRPr="004540ED">
        <w:rPr>
          <w:rFonts w:cs="Times New Roman"/>
          <w:color w:val="000000"/>
          <w:sz w:val="16"/>
          <w:szCs w:val="16"/>
          <w:shd w:val="clear" w:color="auto" w:fill="FFFFFF"/>
        </w:rPr>
        <w:t>énumérer et interpréter les examens essentiels, notamment :</w:t>
      </w:r>
    </w:p>
    <w:p w:rsidR="004540ED" w:rsidRPr="004540ED" w:rsidRDefault="004540ED" w:rsidP="004540ED">
      <w:pPr>
        <w:numPr>
          <w:ilvl w:val="1"/>
          <w:numId w:val="1419"/>
        </w:numPr>
        <w:shd w:val="clear" w:color="auto" w:fill="FFFFFF"/>
        <w:spacing w:before="100" w:beforeAutospacing="1" w:after="100" w:afterAutospacing="1" w:line="240" w:lineRule="auto"/>
        <w:rPr>
          <w:rFonts w:cs="Times New Roman"/>
          <w:color w:val="000000"/>
          <w:sz w:val="16"/>
          <w:szCs w:val="16"/>
          <w:shd w:val="clear" w:color="auto" w:fill="FFFFFF"/>
        </w:rPr>
      </w:pPr>
      <w:r w:rsidRPr="004540ED">
        <w:rPr>
          <w:rFonts w:cs="Times New Roman"/>
          <w:color w:val="000000"/>
          <w:sz w:val="16"/>
          <w:szCs w:val="16"/>
          <w:shd w:val="clear" w:color="auto" w:fill="FFFFFF"/>
        </w:rPr>
        <w:t>une documentation précise du siège et de la nature des blessures, suivie d'un examen approprié au moyen d'un examen physique et d'autres tests, s'il y a lieu;</w:t>
      </w:r>
    </w:p>
    <w:p w:rsidR="004540ED" w:rsidRPr="004540ED" w:rsidRDefault="004540ED" w:rsidP="004540ED">
      <w:pPr>
        <w:numPr>
          <w:ilvl w:val="0"/>
          <w:numId w:val="1419"/>
        </w:numPr>
        <w:shd w:val="clear" w:color="auto" w:fill="FFFFFF"/>
        <w:spacing w:before="100" w:beforeAutospacing="1" w:after="100" w:afterAutospacing="1" w:line="240" w:lineRule="auto"/>
        <w:rPr>
          <w:rFonts w:cs="Times New Roman"/>
          <w:color w:val="000000"/>
          <w:sz w:val="16"/>
          <w:szCs w:val="16"/>
          <w:shd w:val="clear" w:color="auto" w:fill="FFFFFF"/>
        </w:rPr>
      </w:pPr>
      <w:r w:rsidRPr="004540ED">
        <w:rPr>
          <w:rFonts w:cs="Times New Roman"/>
          <w:color w:val="000000"/>
          <w:sz w:val="16"/>
          <w:szCs w:val="16"/>
          <w:shd w:val="clear" w:color="auto" w:fill="FFFFFF"/>
        </w:rPr>
        <w:t>établir un plan efficace de prise en charge initiale, notamment :</w:t>
      </w:r>
    </w:p>
    <w:p w:rsidR="004540ED" w:rsidRPr="004540ED" w:rsidRDefault="004540ED" w:rsidP="004540ED">
      <w:pPr>
        <w:numPr>
          <w:ilvl w:val="1"/>
          <w:numId w:val="1419"/>
        </w:numPr>
        <w:shd w:val="clear" w:color="auto" w:fill="FFFFFF"/>
        <w:spacing w:before="100" w:beforeAutospacing="1" w:after="100" w:afterAutospacing="1" w:line="240" w:lineRule="auto"/>
        <w:rPr>
          <w:rFonts w:cs="Times New Roman"/>
          <w:color w:val="000000"/>
          <w:sz w:val="16"/>
          <w:szCs w:val="16"/>
          <w:shd w:val="clear" w:color="auto" w:fill="FFFFFF"/>
        </w:rPr>
      </w:pPr>
      <w:r w:rsidRPr="004540ED">
        <w:rPr>
          <w:rFonts w:cs="Times New Roman"/>
          <w:color w:val="000000"/>
          <w:sz w:val="16"/>
          <w:szCs w:val="16"/>
          <w:shd w:val="clear" w:color="auto" w:fill="FFFFFF"/>
        </w:rPr>
        <w:t>maintenir un rapport empathique avec la victime;</w:t>
      </w:r>
    </w:p>
    <w:p w:rsidR="004540ED" w:rsidRPr="004540ED" w:rsidRDefault="004540ED" w:rsidP="004540ED">
      <w:pPr>
        <w:numPr>
          <w:ilvl w:val="1"/>
          <w:numId w:val="1419"/>
        </w:numPr>
        <w:shd w:val="clear" w:color="auto" w:fill="FFFFFF"/>
        <w:spacing w:before="100" w:beforeAutospacing="1" w:after="100" w:afterAutospacing="1" w:line="240" w:lineRule="auto"/>
        <w:rPr>
          <w:rFonts w:cs="Times New Roman"/>
          <w:color w:val="000000"/>
          <w:sz w:val="16"/>
          <w:szCs w:val="16"/>
          <w:shd w:val="clear" w:color="auto" w:fill="FFFFFF"/>
        </w:rPr>
      </w:pPr>
      <w:r w:rsidRPr="004540ED">
        <w:rPr>
          <w:rFonts w:cs="Times New Roman"/>
          <w:color w:val="000000"/>
          <w:sz w:val="16"/>
          <w:szCs w:val="16"/>
          <w:shd w:val="clear" w:color="auto" w:fill="FFFFFF"/>
        </w:rPr>
        <w:t>préserver la confidentialité, sauf exceptions;</w:t>
      </w:r>
    </w:p>
    <w:p w:rsidR="004540ED" w:rsidRPr="004540ED" w:rsidRDefault="004540ED" w:rsidP="004540ED">
      <w:pPr>
        <w:numPr>
          <w:ilvl w:val="1"/>
          <w:numId w:val="1419"/>
        </w:numPr>
        <w:shd w:val="clear" w:color="auto" w:fill="FFFFFF"/>
        <w:spacing w:before="100" w:beforeAutospacing="1" w:after="100" w:afterAutospacing="1" w:line="240" w:lineRule="auto"/>
        <w:rPr>
          <w:rFonts w:cs="Times New Roman"/>
          <w:color w:val="000000"/>
          <w:sz w:val="16"/>
          <w:szCs w:val="16"/>
          <w:shd w:val="clear" w:color="auto" w:fill="FFFFFF"/>
        </w:rPr>
      </w:pPr>
      <w:r w:rsidRPr="004540ED">
        <w:rPr>
          <w:rFonts w:cs="Times New Roman"/>
          <w:color w:val="000000"/>
          <w:sz w:val="16"/>
          <w:szCs w:val="16"/>
          <w:shd w:val="clear" w:color="auto" w:fill="FFFFFF"/>
        </w:rPr>
        <w:t>aider la personne en cause à élaborer un plan de sécurité;</w:t>
      </w:r>
    </w:p>
    <w:p w:rsidR="004540ED" w:rsidRPr="004540ED" w:rsidRDefault="004540ED" w:rsidP="004540ED">
      <w:pPr>
        <w:numPr>
          <w:ilvl w:val="1"/>
          <w:numId w:val="1419"/>
        </w:numPr>
        <w:shd w:val="clear" w:color="auto" w:fill="FFFFFF"/>
        <w:spacing w:before="100" w:beforeAutospacing="1" w:after="100" w:afterAutospacing="1" w:line="240" w:lineRule="auto"/>
        <w:rPr>
          <w:rFonts w:cs="Times New Roman"/>
          <w:color w:val="000000"/>
          <w:sz w:val="16"/>
          <w:szCs w:val="16"/>
          <w:shd w:val="clear" w:color="auto" w:fill="FFFFFF"/>
        </w:rPr>
      </w:pPr>
      <w:bookmarkStart w:id="402" w:name="Objectifscompl%C3%A9mentaires3.4"/>
      <w:r w:rsidRPr="004540ED">
        <w:rPr>
          <w:rFonts w:cs="Times New Roman"/>
          <w:color w:val="000000"/>
          <w:sz w:val="16"/>
          <w:szCs w:val="16"/>
          <w:shd w:val="clear" w:color="auto" w:fill="FFFFFF"/>
        </w:rPr>
        <w:t>lui donner de l'information concernant l'accès à un foyer de transition et à des services de soutien;</w:t>
      </w:r>
    </w:p>
    <w:p w:rsidR="004540ED" w:rsidRPr="004540ED" w:rsidRDefault="004540ED" w:rsidP="004540ED">
      <w:pPr>
        <w:numPr>
          <w:ilvl w:val="1"/>
          <w:numId w:val="1419"/>
        </w:numPr>
        <w:shd w:val="clear" w:color="auto" w:fill="FFFFFF"/>
        <w:spacing w:before="100" w:beforeAutospacing="1" w:after="100" w:afterAutospacing="1" w:line="240" w:lineRule="auto"/>
        <w:rPr>
          <w:rFonts w:cs="Times New Roman"/>
          <w:color w:val="000000"/>
          <w:sz w:val="16"/>
          <w:szCs w:val="16"/>
          <w:shd w:val="clear" w:color="auto" w:fill="FFFFFF"/>
        </w:rPr>
      </w:pPr>
      <w:bookmarkStart w:id="403" w:name="Objectifscompl%C3%A9mentaires3.5"/>
      <w:bookmarkEnd w:id="402"/>
      <w:r w:rsidRPr="004540ED">
        <w:rPr>
          <w:rFonts w:cs="Times New Roman"/>
          <w:color w:val="000000"/>
          <w:sz w:val="16"/>
          <w:szCs w:val="16"/>
          <w:shd w:val="clear" w:color="auto" w:fill="FFFFFF"/>
        </w:rPr>
        <w:t>assurer un suivi de soutien.</w:t>
      </w:r>
    </w:p>
    <w:bookmarkEnd w:id="403"/>
    <w:p w:rsidR="0086745F" w:rsidRPr="00C77CD4" w:rsidRDefault="0053657A" w:rsidP="0086745F">
      <w:pPr>
        <w:pStyle w:val="Sansinterligne"/>
        <w:rPr>
          <w:b/>
          <w:sz w:val="28"/>
          <w:szCs w:val="28"/>
          <w:lang w:eastAsia="fr-CA"/>
        </w:rPr>
      </w:pPr>
      <w:r>
        <w:rPr>
          <w:b/>
          <w:sz w:val="28"/>
          <w:szCs w:val="28"/>
          <w:lang w:eastAsia="fr-CA"/>
        </w:rPr>
        <w:t>Violence conjugale</w:t>
      </w:r>
    </w:p>
    <w:p w:rsidR="0086745F" w:rsidRDefault="0053657A" w:rsidP="0086745F">
      <w:pPr>
        <w:pStyle w:val="Sansinterligne"/>
        <w:rPr>
          <w:lang w:eastAsia="fr-CA"/>
        </w:rPr>
      </w:pPr>
      <w:r>
        <w:rPr>
          <w:noProof/>
          <w:lang w:eastAsia="fr-CA"/>
        </w:rPr>
        <w:drawing>
          <wp:anchor distT="0" distB="0" distL="114300" distR="114300" simplePos="0" relativeHeight="252192768" behindDoc="0" locked="0" layoutInCell="1" allowOverlap="1" wp14:anchorId="31B4BD04" wp14:editId="7DC41219">
            <wp:simplePos x="0" y="0"/>
            <wp:positionH relativeFrom="column">
              <wp:posOffset>4461827</wp:posOffset>
            </wp:positionH>
            <wp:positionV relativeFrom="paragraph">
              <wp:posOffset>37114</wp:posOffset>
            </wp:positionV>
            <wp:extent cx="2460625" cy="1925955"/>
            <wp:effectExtent l="0" t="0" r="0" b="0"/>
            <wp:wrapNone/>
            <wp:docPr id="666" name="Image 666" descr="Image associé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mage associée"/>
                    <pic:cNvPicPr>
                      <a:picLocks noChangeAspect="1" noChangeArrowheads="1"/>
                    </pic:cNvPicPr>
                  </pic:nvPicPr>
                  <pic:blipFill rotWithShape="1">
                    <a:blip r:embed="rId399">
                      <a:extLst>
                        <a:ext uri="{28A0092B-C50C-407E-A947-70E740481C1C}">
                          <a14:useLocalDpi xmlns:a14="http://schemas.microsoft.com/office/drawing/2010/main" val="0"/>
                        </a:ext>
                      </a:extLst>
                    </a:blip>
                    <a:srcRect l="9602" r="9423"/>
                    <a:stretch/>
                  </pic:blipFill>
                  <pic:spPr bwMode="auto">
                    <a:xfrm>
                      <a:off x="0" y="0"/>
                      <a:ext cx="2460625" cy="192595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86745F" w:rsidRDefault="0086745F" w:rsidP="0086745F">
      <w:pPr>
        <w:pStyle w:val="Sansinterligne"/>
        <w:rPr>
          <w:lang w:eastAsia="fr-CA"/>
        </w:rPr>
      </w:pPr>
      <w:r w:rsidRPr="00423157">
        <w:rPr>
          <w:u w:val="single"/>
          <w:lang w:eastAsia="fr-CA"/>
        </w:rPr>
        <w:t>Peuvent prendre plusieurs formes</w:t>
      </w:r>
      <w:r>
        <w:rPr>
          <w:lang w:eastAsia="fr-CA"/>
        </w:rPr>
        <w:t> :</w:t>
      </w:r>
    </w:p>
    <w:p w:rsidR="0086745F" w:rsidRDefault="0086745F" w:rsidP="00402C69">
      <w:pPr>
        <w:pStyle w:val="Sansinterligne"/>
        <w:numPr>
          <w:ilvl w:val="0"/>
          <w:numId w:val="1433"/>
        </w:numPr>
        <w:rPr>
          <w:lang w:eastAsia="fr-CA"/>
        </w:rPr>
        <w:sectPr w:rsidR="0086745F" w:rsidSect="00217865">
          <w:type w:val="continuous"/>
          <w:pgSz w:w="12240" w:h="15840"/>
          <w:pgMar w:top="720" w:right="720" w:bottom="720" w:left="720" w:header="708" w:footer="708" w:gutter="0"/>
          <w:cols w:space="708"/>
          <w:docGrid w:linePitch="360"/>
        </w:sectPr>
      </w:pPr>
    </w:p>
    <w:p w:rsidR="0086745F" w:rsidRPr="0086745F" w:rsidRDefault="0086745F" w:rsidP="00402C69">
      <w:pPr>
        <w:pStyle w:val="Sansinterligne"/>
        <w:numPr>
          <w:ilvl w:val="0"/>
          <w:numId w:val="1433"/>
        </w:numPr>
        <w:rPr>
          <w:highlight w:val="yellow"/>
          <w:lang w:eastAsia="fr-CA"/>
        </w:rPr>
      </w:pPr>
      <w:r w:rsidRPr="0086745F">
        <w:rPr>
          <w:highlight w:val="yellow"/>
          <w:lang w:eastAsia="fr-CA"/>
        </w:rPr>
        <w:t>Physique</w:t>
      </w:r>
    </w:p>
    <w:p w:rsidR="0086745F" w:rsidRPr="0086745F" w:rsidRDefault="0086745F" w:rsidP="00402C69">
      <w:pPr>
        <w:pStyle w:val="Sansinterligne"/>
        <w:numPr>
          <w:ilvl w:val="0"/>
          <w:numId w:val="1433"/>
        </w:numPr>
        <w:rPr>
          <w:highlight w:val="yellow"/>
          <w:lang w:eastAsia="fr-CA"/>
        </w:rPr>
      </w:pPr>
      <w:r w:rsidRPr="0086745F">
        <w:rPr>
          <w:highlight w:val="yellow"/>
          <w:lang w:eastAsia="fr-CA"/>
        </w:rPr>
        <w:t>Violence sexuelle</w:t>
      </w:r>
    </w:p>
    <w:p w:rsidR="0086745F" w:rsidRPr="0086745F" w:rsidRDefault="0086745F" w:rsidP="00402C69">
      <w:pPr>
        <w:pStyle w:val="Sansinterligne"/>
        <w:numPr>
          <w:ilvl w:val="1"/>
          <w:numId w:val="1433"/>
        </w:numPr>
        <w:rPr>
          <w:lang w:eastAsia="fr-CA"/>
        </w:rPr>
      </w:pPr>
      <w:r w:rsidRPr="0086745F">
        <w:rPr>
          <w:lang w:eastAsia="fr-CA"/>
        </w:rPr>
        <w:t>Agression</w:t>
      </w:r>
    </w:p>
    <w:p w:rsidR="0086745F" w:rsidRPr="0086745F" w:rsidRDefault="0086745F" w:rsidP="00402C69">
      <w:pPr>
        <w:pStyle w:val="Sansinterligne"/>
        <w:numPr>
          <w:ilvl w:val="1"/>
          <w:numId w:val="1433"/>
        </w:numPr>
        <w:rPr>
          <w:lang w:eastAsia="fr-CA"/>
        </w:rPr>
      </w:pPr>
      <w:r w:rsidRPr="0086745F">
        <w:rPr>
          <w:lang w:eastAsia="fr-CA"/>
        </w:rPr>
        <w:t>Attouchements</w:t>
      </w:r>
    </w:p>
    <w:p w:rsidR="0086745F" w:rsidRPr="0086745F" w:rsidRDefault="0086745F" w:rsidP="00402C69">
      <w:pPr>
        <w:pStyle w:val="Sansinterligne"/>
        <w:numPr>
          <w:ilvl w:val="0"/>
          <w:numId w:val="1433"/>
        </w:numPr>
        <w:rPr>
          <w:highlight w:val="yellow"/>
          <w:lang w:eastAsia="fr-CA"/>
        </w:rPr>
      </w:pPr>
      <w:r w:rsidRPr="0086745F">
        <w:rPr>
          <w:highlight w:val="yellow"/>
          <w:lang w:eastAsia="fr-CA"/>
        </w:rPr>
        <w:t>Violence psychologique</w:t>
      </w:r>
    </w:p>
    <w:p w:rsidR="0086745F" w:rsidRPr="0086745F" w:rsidRDefault="0086745F" w:rsidP="00402C69">
      <w:pPr>
        <w:pStyle w:val="Sansinterligne"/>
        <w:numPr>
          <w:ilvl w:val="1"/>
          <w:numId w:val="1433"/>
        </w:numPr>
        <w:rPr>
          <w:lang w:eastAsia="fr-CA"/>
        </w:rPr>
      </w:pPr>
      <w:r w:rsidRPr="0086745F">
        <w:rPr>
          <w:lang w:eastAsia="fr-CA"/>
        </w:rPr>
        <w:t>Dénigrement</w:t>
      </w:r>
    </w:p>
    <w:p w:rsidR="0086745F" w:rsidRPr="0086745F" w:rsidRDefault="0086745F" w:rsidP="00402C69">
      <w:pPr>
        <w:pStyle w:val="Sansinterligne"/>
        <w:numPr>
          <w:ilvl w:val="1"/>
          <w:numId w:val="1433"/>
        </w:numPr>
        <w:rPr>
          <w:lang w:eastAsia="fr-CA"/>
        </w:rPr>
      </w:pPr>
      <w:r w:rsidRPr="0086745F">
        <w:rPr>
          <w:lang w:eastAsia="fr-CA"/>
        </w:rPr>
        <w:t>Insultes</w:t>
      </w:r>
    </w:p>
    <w:p w:rsidR="0086745F" w:rsidRPr="0086745F" w:rsidRDefault="0086745F" w:rsidP="00402C69">
      <w:pPr>
        <w:pStyle w:val="Sansinterligne"/>
        <w:numPr>
          <w:ilvl w:val="0"/>
          <w:numId w:val="1433"/>
        </w:numPr>
        <w:rPr>
          <w:lang w:eastAsia="fr-CA"/>
        </w:rPr>
      </w:pPr>
      <w:r w:rsidRPr="0086745F">
        <w:rPr>
          <w:highlight w:val="yellow"/>
          <w:lang w:eastAsia="fr-CA"/>
        </w:rPr>
        <w:t>Violence morale</w:t>
      </w:r>
    </w:p>
    <w:p w:rsidR="0086745F" w:rsidRPr="0086745F" w:rsidRDefault="0086745F" w:rsidP="00402C69">
      <w:pPr>
        <w:pStyle w:val="Sansinterligne"/>
        <w:numPr>
          <w:ilvl w:val="1"/>
          <w:numId w:val="1433"/>
        </w:numPr>
        <w:rPr>
          <w:lang w:eastAsia="fr-CA"/>
        </w:rPr>
      </w:pPr>
      <w:r w:rsidRPr="0086745F">
        <w:rPr>
          <w:lang w:eastAsia="fr-CA"/>
        </w:rPr>
        <w:t>Chantage</w:t>
      </w:r>
    </w:p>
    <w:p w:rsidR="0086745F" w:rsidRPr="0086745F" w:rsidRDefault="0086745F" w:rsidP="00402C69">
      <w:pPr>
        <w:pStyle w:val="Sansinterligne"/>
        <w:numPr>
          <w:ilvl w:val="0"/>
          <w:numId w:val="1433"/>
        </w:numPr>
        <w:rPr>
          <w:highlight w:val="yellow"/>
          <w:lang w:eastAsia="fr-CA"/>
        </w:rPr>
      </w:pPr>
      <w:r w:rsidRPr="0086745F">
        <w:rPr>
          <w:highlight w:val="yellow"/>
          <w:lang w:eastAsia="fr-CA"/>
        </w:rPr>
        <w:t>Exploitation économique</w:t>
      </w:r>
    </w:p>
    <w:p w:rsidR="0086745F" w:rsidRPr="0086745F" w:rsidRDefault="0086745F" w:rsidP="00402C69">
      <w:pPr>
        <w:pStyle w:val="Sansinterligne"/>
        <w:numPr>
          <w:ilvl w:val="1"/>
          <w:numId w:val="1433"/>
        </w:numPr>
        <w:rPr>
          <w:lang w:eastAsia="fr-CA"/>
        </w:rPr>
      </w:pPr>
      <w:r w:rsidRPr="0086745F">
        <w:rPr>
          <w:lang w:eastAsia="fr-CA"/>
        </w:rPr>
        <w:t>Extor</w:t>
      </w:r>
      <w:r w:rsidR="00C57EEA">
        <w:rPr>
          <w:lang w:eastAsia="fr-CA"/>
        </w:rPr>
        <w:t>sion</w:t>
      </w:r>
    </w:p>
    <w:p w:rsidR="0086745F" w:rsidRPr="0086745F" w:rsidRDefault="0086745F" w:rsidP="00402C69">
      <w:pPr>
        <w:pStyle w:val="Sansinterligne"/>
        <w:numPr>
          <w:ilvl w:val="1"/>
          <w:numId w:val="1433"/>
        </w:numPr>
        <w:rPr>
          <w:lang w:eastAsia="fr-CA"/>
        </w:rPr>
      </w:pPr>
      <w:r w:rsidRPr="0086745F">
        <w:rPr>
          <w:lang w:eastAsia="fr-CA"/>
        </w:rPr>
        <w:t>Forcer à remettre ses revenus</w:t>
      </w:r>
    </w:p>
    <w:p w:rsidR="0086745F" w:rsidRPr="0086745F" w:rsidRDefault="00C57EEA" w:rsidP="00402C69">
      <w:pPr>
        <w:pStyle w:val="Sansinterligne"/>
        <w:numPr>
          <w:ilvl w:val="1"/>
          <w:numId w:val="1433"/>
        </w:numPr>
        <w:rPr>
          <w:lang w:eastAsia="fr-CA"/>
        </w:rPr>
      </w:pPr>
      <w:r>
        <w:rPr>
          <w:lang w:eastAsia="fr-CA"/>
        </w:rPr>
        <w:t>Logement</w:t>
      </w:r>
    </w:p>
    <w:p w:rsidR="0086745F" w:rsidRPr="0086745F" w:rsidRDefault="0086745F" w:rsidP="00402C69">
      <w:pPr>
        <w:pStyle w:val="Sansinterligne"/>
        <w:numPr>
          <w:ilvl w:val="0"/>
          <w:numId w:val="1433"/>
        </w:numPr>
        <w:rPr>
          <w:highlight w:val="yellow"/>
          <w:lang w:eastAsia="fr-CA"/>
        </w:rPr>
      </w:pPr>
      <w:r w:rsidRPr="0086745F">
        <w:rPr>
          <w:highlight w:val="yellow"/>
          <w:lang w:eastAsia="fr-CA"/>
        </w:rPr>
        <w:t>Isolement social</w:t>
      </w:r>
    </w:p>
    <w:p w:rsidR="0086745F" w:rsidRPr="0086745F" w:rsidRDefault="0086745F" w:rsidP="00402C69">
      <w:pPr>
        <w:pStyle w:val="Sansinterligne"/>
        <w:numPr>
          <w:ilvl w:val="1"/>
          <w:numId w:val="1433"/>
        </w:numPr>
        <w:rPr>
          <w:lang w:eastAsia="fr-CA"/>
        </w:rPr>
      </w:pPr>
      <w:r w:rsidRPr="0086745F">
        <w:rPr>
          <w:lang w:eastAsia="fr-CA"/>
        </w:rPr>
        <w:t>Menace d’abandon</w:t>
      </w:r>
    </w:p>
    <w:p w:rsidR="0086745F" w:rsidRPr="0086745F" w:rsidRDefault="0086745F" w:rsidP="00402C69">
      <w:pPr>
        <w:pStyle w:val="Sansinterligne"/>
        <w:numPr>
          <w:ilvl w:val="1"/>
          <w:numId w:val="1433"/>
        </w:numPr>
        <w:rPr>
          <w:lang w:eastAsia="fr-CA"/>
        </w:rPr>
      </w:pPr>
      <w:r w:rsidRPr="0086745F">
        <w:rPr>
          <w:lang w:eastAsia="fr-CA"/>
        </w:rPr>
        <w:t xml:space="preserve">Empêcher </w:t>
      </w:r>
      <w:r w:rsidR="00C57EEA">
        <w:rPr>
          <w:lang w:eastAsia="fr-CA"/>
        </w:rPr>
        <w:t>d’avoir des contacts</w:t>
      </w:r>
    </w:p>
    <w:p w:rsidR="0086745F" w:rsidRDefault="0086745F" w:rsidP="0086745F">
      <w:pPr>
        <w:pStyle w:val="Sansinterligne"/>
        <w:rPr>
          <w:lang w:eastAsia="fr-CA"/>
        </w:rPr>
      </w:pPr>
    </w:p>
    <w:p w:rsidR="00C57EEA" w:rsidRDefault="00C57EEA" w:rsidP="0086745F">
      <w:pPr>
        <w:pStyle w:val="Sansinterligne"/>
        <w:rPr>
          <w:lang w:eastAsia="fr-CA"/>
        </w:rPr>
        <w:sectPr w:rsidR="00C57EEA" w:rsidSect="00C57EEA">
          <w:type w:val="continuous"/>
          <w:pgSz w:w="12240" w:h="15840"/>
          <w:pgMar w:top="720" w:right="720" w:bottom="720" w:left="720" w:header="708" w:footer="708" w:gutter="0"/>
          <w:cols w:num="2" w:space="0" w:equalWidth="0">
            <w:col w:w="3232" w:space="0"/>
            <w:col w:w="7568"/>
          </w:cols>
          <w:docGrid w:linePitch="360"/>
        </w:sectPr>
      </w:pPr>
    </w:p>
    <w:p w:rsidR="0086745F" w:rsidRDefault="0086745F" w:rsidP="0086745F">
      <w:pPr>
        <w:pStyle w:val="Sansinterligne"/>
        <w:rPr>
          <w:lang w:eastAsia="fr-CA"/>
        </w:rPr>
      </w:pPr>
    </w:p>
    <w:p w:rsidR="0086745F" w:rsidRPr="00423157" w:rsidRDefault="0086745F" w:rsidP="0086745F">
      <w:pPr>
        <w:pStyle w:val="Sansinterligne"/>
        <w:rPr>
          <w:b/>
          <w:sz w:val="28"/>
          <w:szCs w:val="28"/>
          <w:lang w:eastAsia="fr-CA"/>
        </w:rPr>
      </w:pPr>
      <w:r w:rsidRPr="00423157">
        <w:rPr>
          <w:b/>
          <w:sz w:val="28"/>
          <w:szCs w:val="28"/>
          <w:lang w:eastAsia="fr-CA"/>
        </w:rPr>
        <w:t>Facteurs de risque</w:t>
      </w:r>
    </w:p>
    <w:p w:rsidR="0086745F" w:rsidRDefault="0086745F" w:rsidP="0086745F">
      <w:pPr>
        <w:pStyle w:val="Sansinterligne"/>
        <w:rPr>
          <w:lang w:eastAsia="fr-CA"/>
        </w:rPr>
      </w:pPr>
    </w:p>
    <w:tbl>
      <w:tblPr>
        <w:tblStyle w:val="Grilledutableau"/>
        <w:tblW w:w="11023" w:type="dxa"/>
        <w:tblLook w:val="04A0" w:firstRow="1" w:lastRow="0" w:firstColumn="1" w:lastColumn="0" w:noHBand="0" w:noVBand="1"/>
      </w:tblPr>
      <w:tblGrid>
        <w:gridCol w:w="3314"/>
        <w:gridCol w:w="3315"/>
        <w:gridCol w:w="4394"/>
      </w:tblGrid>
      <w:tr w:rsidR="0086745F" w:rsidTr="0086745F">
        <w:tc>
          <w:tcPr>
            <w:tcW w:w="6629" w:type="dxa"/>
            <w:gridSpan w:val="2"/>
            <w:shd w:val="clear" w:color="auto" w:fill="C4BC96" w:themeFill="background2" w:themeFillShade="BF"/>
          </w:tcPr>
          <w:p w:rsidR="0086745F" w:rsidRPr="00423157" w:rsidRDefault="0086745F" w:rsidP="0053657A">
            <w:pPr>
              <w:pStyle w:val="Sansinterligne"/>
              <w:jc w:val="center"/>
              <w:rPr>
                <w:b/>
                <w:lang w:eastAsia="fr-CA"/>
              </w:rPr>
            </w:pPr>
            <w:r>
              <w:rPr>
                <w:b/>
                <w:lang w:eastAsia="fr-CA"/>
              </w:rPr>
              <w:t>Chez la victime</w:t>
            </w:r>
          </w:p>
        </w:tc>
        <w:tc>
          <w:tcPr>
            <w:tcW w:w="4394" w:type="dxa"/>
            <w:shd w:val="clear" w:color="auto" w:fill="C4BC96" w:themeFill="background2" w:themeFillShade="BF"/>
          </w:tcPr>
          <w:p w:rsidR="0086745F" w:rsidRPr="00423157" w:rsidRDefault="0086745F" w:rsidP="0053657A">
            <w:pPr>
              <w:pStyle w:val="Sansinterligne"/>
              <w:jc w:val="center"/>
              <w:rPr>
                <w:b/>
                <w:lang w:eastAsia="fr-CA"/>
              </w:rPr>
            </w:pPr>
            <w:r>
              <w:rPr>
                <w:b/>
                <w:lang w:eastAsia="fr-CA"/>
              </w:rPr>
              <w:t>Chez l’agresseur</w:t>
            </w:r>
          </w:p>
        </w:tc>
      </w:tr>
      <w:tr w:rsidR="0086745F" w:rsidTr="0086745F">
        <w:trPr>
          <w:trHeight w:val="1042"/>
        </w:trPr>
        <w:tc>
          <w:tcPr>
            <w:tcW w:w="3314" w:type="dxa"/>
            <w:tcBorders>
              <w:right w:val="single" w:sz="4" w:space="0" w:color="FFFFFF" w:themeColor="background1"/>
            </w:tcBorders>
          </w:tcPr>
          <w:p w:rsidR="0086745F" w:rsidRPr="00B0487D" w:rsidRDefault="0086745F" w:rsidP="00402C69">
            <w:pPr>
              <w:pStyle w:val="Sansinterligne"/>
              <w:numPr>
                <w:ilvl w:val="0"/>
                <w:numId w:val="1440"/>
              </w:numPr>
              <w:rPr>
                <w:highlight w:val="yellow"/>
                <w:lang w:eastAsia="fr-CA"/>
              </w:rPr>
            </w:pPr>
            <w:r w:rsidRPr="00B0487D">
              <w:rPr>
                <w:highlight w:val="yellow"/>
                <w:lang w:eastAsia="fr-CA"/>
              </w:rPr>
              <w:t>Sexe féminin</w:t>
            </w:r>
          </w:p>
          <w:p w:rsidR="0086745F" w:rsidRPr="00B0487D" w:rsidRDefault="0086745F" w:rsidP="00402C69">
            <w:pPr>
              <w:pStyle w:val="Sansinterligne"/>
              <w:numPr>
                <w:ilvl w:val="0"/>
                <w:numId w:val="1440"/>
              </w:numPr>
              <w:rPr>
                <w:highlight w:val="yellow"/>
                <w:lang w:eastAsia="fr-CA"/>
              </w:rPr>
            </w:pPr>
            <w:r w:rsidRPr="00B0487D">
              <w:rPr>
                <w:highlight w:val="yellow"/>
                <w:lang w:eastAsia="fr-CA"/>
              </w:rPr>
              <w:t>Origine autochtone ou immigrante</w:t>
            </w:r>
          </w:p>
          <w:p w:rsidR="0086745F" w:rsidRDefault="0086745F" w:rsidP="00402C69">
            <w:pPr>
              <w:pStyle w:val="Sansinterligne"/>
              <w:numPr>
                <w:ilvl w:val="0"/>
                <w:numId w:val="1440"/>
              </w:numPr>
              <w:rPr>
                <w:lang w:eastAsia="fr-CA"/>
              </w:rPr>
            </w:pPr>
            <w:r>
              <w:rPr>
                <w:lang w:eastAsia="fr-CA"/>
              </w:rPr>
              <w:t>Handicap</w:t>
            </w:r>
          </w:p>
          <w:p w:rsidR="0086745F" w:rsidRPr="00B0487D" w:rsidRDefault="0086745F" w:rsidP="00402C69">
            <w:pPr>
              <w:pStyle w:val="Sansinterligne"/>
              <w:numPr>
                <w:ilvl w:val="0"/>
                <w:numId w:val="1440"/>
              </w:numPr>
              <w:rPr>
                <w:highlight w:val="yellow"/>
                <w:lang w:eastAsia="fr-CA"/>
              </w:rPr>
            </w:pPr>
            <w:r w:rsidRPr="00B0487D">
              <w:rPr>
                <w:highlight w:val="yellow"/>
                <w:lang w:eastAsia="fr-CA"/>
              </w:rPr>
              <w:t>Âge (15-24 ans)</w:t>
            </w:r>
          </w:p>
          <w:p w:rsidR="0086745F" w:rsidRDefault="0086745F" w:rsidP="00402C69">
            <w:pPr>
              <w:pStyle w:val="Sansinterligne"/>
              <w:numPr>
                <w:ilvl w:val="0"/>
                <w:numId w:val="1440"/>
              </w:numPr>
              <w:rPr>
                <w:lang w:eastAsia="fr-CA"/>
              </w:rPr>
            </w:pPr>
            <w:r w:rsidRPr="00B0487D">
              <w:rPr>
                <w:highlight w:val="yellow"/>
                <w:lang w:eastAsia="fr-CA"/>
              </w:rPr>
              <w:t>Grossesse</w:t>
            </w:r>
          </w:p>
        </w:tc>
        <w:tc>
          <w:tcPr>
            <w:tcW w:w="3315" w:type="dxa"/>
            <w:tcBorders>
              <w:left w:val="single" w:sz="4" w:space="0" w:color="FFFFFF" w:themeColor="background1"/>
            </w:tcBorders>
          </w:tcPr>
          <w:p w:rsidR="0086745F" w:rsidRDefault="0086745F" w:rsidP="00402C69">
            <w:pPr>
              <w:pStyle w:val="Sansinterligne"/>
              <w:numPr>
                <w:ilvl w:val="0"/>
                <w:numId w:val="1440"/>
              </w:numPr>
              <w:rPr>
                <w:lang w:eastAsia="fr-CA"/>
              </w:rPr>
            </w:pPr>
            <w:r>
              <w:rPr>
                <w:lang w:eastAsia="fr-CA"/>
              </w:rPr>
              <w:t xml:space="preserve">Relation </w:t>
            </w:r>
            <w:r>
              <w:rPr>
                <w:rFonts w:ascii="Century Gothic" w:hAnsi="Century Gothic"/>
                <w:lang w:eastAsia="fr-CA"/>
              </w:rPr>
              <w:t>&lt;</w:t>
            </w:r>
            <w:r>
              <w:rPr>
                <w:lang w:eastAsia="fr-CA"/>
              </w:rPr>
              <w:t xml:space="preserve"> 3 ans, famille reconstituée ou conjoint de fait</w:t>
            </w:r>
          </w:p>
          <w:p w:rsidR="0086745F" w:rsidRDefault="0086745F" w:rsidP="00402C69">
            <w:pPr>
              <w:pStyle w:val="Sansinterligne"/>
              <w:numPr>
                <w:ilvl w:val="0"/>
                <w:numId w:val="1440"/>
              </w:numPr>
              <w:rPr>
                <w:lang w:eastAsia="fr-CA"/>
              </w:rPr>
            </w:pPr>
            <w:r>
              <w:rPr>
                <w:lang w:eastAsia="fr-CA"/>
              </w:rPr>
              <w:t>Histoire de violence familiale durant l’enfance</w:t>
            </w:r>
          </w:p>
          <w:p w:rsidR="0086745F" w:rsidRPr="00B0487D" w:rsidRDefault="0086745F" w:rsidP="00402C69">
            <w:pPr>
              <w:pStyle w:val="Sansinterligne"/>
              <w:numPr>
                <w:ilvl w:val="0"/>
                <w:numId w:val="1440"/>
              </w:numPr>
              <w:rPr>
                <w:highlight w:val="yellow"/>
                <w:lang w:eastAsia="fr-CA"/>
              </w:rPr>
            </w:pPr>
            <w:r w:rsidRPr="00B0487D">
              <w:rPr>
                <w:highlight w:val="yellow"/>
                <w:lang w:eastAsia="fr-CA"/>
              </w:rPr>
              <w:t>ATCD de violence conjugale</w:t>
            </w:r>
          </w:p>
          <w:p w:rsidR="0086745F" w:rsidRDefault="0086745F" w:rsidP="00402C69">
            <w:pPr>
              <w:pStyle w:val="Sansinterligne"/>
              <w:numPr>
                <w:ilvl w:val="0"/>
                <w:numId w:val="1440"/>
              </w:numPr>
              <w:rPr>
                <w:lang w:eastAsia="fr-CA"/>
              </w:rPr>
            </w:pPr>
            <w:r>
              <w:rPr>
                <w:lang w:eastAsia="fr-CA"/>
              </w:rPr>
              <w:t>Démarches de séparation/divorce</w:t>
            </w:r>
          </w:p>
        </w:tc>
        <w:tc>
          <w:tcPr>
            <w:tcW w:w="4394" w:type="dxa"/>
          </w:tcPr>
          <w:p w:rsidR="0086745F" w:rsidRPr="00B0487D" w:rsidRDefault="0086745F" w:rsidP="00402C69">
            <w:pPr>
              <w:pStyle w:val="Sansinterligne"/>
              <w:numPr>
                <w:ilvl w:val="0"/>
                <w:numId w:val="1434"/>
              </w:numPr>
              <w:rPr>
                <w:highlight w:val="yellow"/>
                <w:lang w:eastAsia="fr-CA"/>
              </w:rPr>
            </w:pPr>
            <w:r w:rsidRPr="00B0487D">
              <w:rPr>
                <w:highlight w:val="yellow"/>
                <w:lang w:eastAsia="fr-CA"/>
              </w:rPr>
              <w:t>ATCD de crimes violents</w:t>
            </w:r>
          </w:p>
          <w:p w:rsidR="0086745F" w:rsidRPr="00B0487D" w:rsidRDefault="0086745F" w:rsidP="00402C69">
            <w:pPr>
              <w:pStyle w:val="Sansinterligne"/>
              <w:numPr>
                <w:ilvl w:val="0"/>
                <w:numId w:val="1434"/>
              </w:numPr>
              <w:rPr>
                <w:highlight w:val="yellow"/>
                <w:lang w:eastAsia="fr-CA"/>
              </w:rPr>
            </w:pPr>
            <w:r w:rsidRPr="00B0487D">
              <w:rPr>
                <w:highlight w:val="yellow"/>
                <w:lang w:eastAsia="fr-CA"/>
              </w:rPr>
              <w:t>Consommation d’alcool ou de drogues</w:t>
            </w:r>
          </w:p>
          <w:p w:rsidR="0086745F" w:rsidRDefault="0086745F" w:rsidP="00402C69">
            <w:pPr>
              <w:pStyle w:val="Sansinterligne"/>
              <w:numPr>
                <w:ilvl w:val="0"/>
                <w:numId w:val="1434"/>
              </w:numPr>
              <w:rPr>
                <w:lang w:eastAsia="fr-CA"/>
              </w:rPr>
            </w:pPr>
            <w:r w:rsidRPr="00B0487D">
              <w:rPr>
                <w:highlight w:val="yellow"/>
                <w:lang w:eastAsia="fr-CA"/>
              </w:rPr>
              <w:t>Faible revenu</w:t>
            </w:r>
          </w:p>
        </w:tc>
      </w:tr>
    </w:tbl>
    <w:p w:rsidR="0086745F" w:rsidRDefault="0086745F" w:rsidP="0086745F">
      <w:pPr>
        <w:pStyle w:val="Sansinterligne"/>
        <w:rPr>
          <w:lang w:eastAsia="fr-CA"/>
        </w:rPr>
      </w:pPr>
    </w:p>
    <w:p w:rsidR="0053657A" w:rsidRDefault="0053657A" w:rsidP="0086745F">
      <w:pPr>
        <w:pStyle w:val="Sansinterligne"/>
        <w:rPr>
          <w:b/>
          <w:sz w:val="28"/>
          <w:szCs w:val="28"/>
          <w:lang w:eastAsia="fr-CA"/>
        </w:rPr>
      </w:pPr>
    </w:p>
    <w:p w:rsidR="0053657A" w:rsidRDefault="0053657A" w:rsidP="0086745F">
      <w:pPr>
        <w:pStyle w:val="Sansinterligne"/>
        <w:rPr>
          <w:b/>
          <w:sz w:val="28"/>
          <w:szCs w:val="28"/>
          <w:lang w:eastAsia="fr-CA"/>
        </w:rPr>
      </w:pPr>
    </w:p>
    <w:p w:rsidR="0086745F" w:rsidRPr="00AE3729" w:rsidRDefault="0086745F" w:rsidP="0086745F">
      <w:pPr>
        <w:pStyle w:val="Sansinterligne"/>
        <w:rPr>
          <w:b/>
          <w:sz w:val="28"/>
          <w:szCs w:val="28"/>
          <w:lang w:eastAsia="fr-CA"/>
        </w:rPr>
      </w:pPr>
      <w:r w:rsidRPr="00AE3729">
        <w:rPr>
          <w:b/>
          <w:sz w:val="28"/>
          <w:szCs w:val="28"/>
          <w:lang w:eastAsia="fr-CA"/>
        </w:rPr>
        <w:t>Anamnèse</w:t>
      </w:r>
    </w:p>
    <w:p w:rsidR="0086745F" w:rsidRDefault="0086745F" w:rsidP="0086745F">
      <w:pPr>
        <w:pStyle w:val="Sansinterligne"/>
        <w:rPr>
          <w:lang w:eastAsia="fr-CA"/>
        </w:rPr>
      </w:pPr>
    </w:p>
    <w:p w:rsidR="0086745F" w:rsidRDefault="0086745F" w:rsidP="006F323F">
      <w:pPr>
        <w:pStyle w:val="Sansinterligne"/>
        <w:rPr>
          <w:lang w:eastAsia="fr-CA"/>
        </w:rPr>
      </w:pPr>
      <w:r>
        <w:rPr>
          <w:lang w:eastAsia="fr-CA"/>
        </w:rPr>
        <w:t xml:space="preserve">Lorsque l’on suspecte </w:t>
      </w:r>
      <w:r w:rsidR="006F323F">
        <w:rPr>
          <w:lang w:eastAsia="fr-CA"/>
        </w:rPr>
        <w:t>un cas de violence conjugale, il est important de questionner le patient seul. Cela peut être fait au moment de l’examen pour éviter les soupçons d’un accompagnateur.</w:t>
      </w:r>
    </w:p>
    <w:p w:rsidR="0086745F" w:rsidRDefault="0086745F" w:rsidP="0086745F">
      <w:pPr>
        <w:pStyle w:val="Sansinterligne"/>
        <w:rPr>
          <w:lang w:eastAsia="fr-CA"/>
        </w:rPr>
      </w:pPr>
    </w:p>
    <w:p w:rsidR="0086745F" w:rsidRDefault="0086745F" w:rsidP="0086745F">
      <w:pPr>
        <w:pStyle w:val="Sansinterligne"/>
        <w:rPr>
          <w:u w:val="single"/>
          <w:lang w:eastAsia="fr-CA"/>
        </w:rPr>
        <w:sectPr w:rsidR="0086745F" w:rsidSect="00217865">
          <w:type w:val="continuous"/>
          <w:pgSz w:w="12240" w:h="15840"/>
          <w:pgMar w:top="720" w:right="720" w:bottom="720" w:left="720" w:header="708" w:footer="708" w:gutter="0"/>
          <w:cols w:space="708"/>
          <w:docGrid w:linePitch="360"/>
        </w:sectPr>
      </w:pPr>
    </w:p>
    <w:p w:rsidR="0086745F" w:rsidRPr="006E18CE" w:rsidRDefault="0086745F" w:rsidP="0086745F">
      <w:pPr>
        <w:pStyle w:val="Sansinterligne"/>
        <w:rPr>
          <w:highlight w:val="yellow"/>
          <w:u w:val="single"/>
          <w:lang w:eastAsia="fr-CA"/>
        </w:rPr>
      </w:pPr>
      <w:r w:rsidRPr="006E18CE">
        <w:rPr>
          <w:highlight w:val="yellow"/>
          <w:u w:val="single"/>
          <w:lang w:eastAsia="fr-CA"/>
        </w:rPr>
        <w:t>Questionner:</w:t>
      </w:r>
    </w:p>
    <w:p w:rsidR="0086745F" w:rsidRDefault="0053657A" w:rsidP="00402C69">
      <w:pPr>
        <w:pStyle w:val="Sansinterligne"/>
        <w:numPr>
          <w:ilvl w:val="0"/>
          <w:numId w:val="1435"/>
        </w:numPr>
        <w:rPr>
          <w:highlight w:val="yellow"/>
          <w:lang w:eastAsia="fr-CA"/>
        </w:rPr>
      </w:pPr>
      <w:r>
        <w:rPr>
          <w:highlight w:val="yellow"/>
          <w:lang w:eastAsia="fr-CA"/>
        </w:rPr>
        <w:t>État du couple</w:t>
      </w:r>
    </w:p>
    <w:p w:rsidR="0053657A" w:rsidRDefault="0053657A" w:rsidP="00402C69">
      <w:pPr>
        <w:pStyle w:val="Sansinterligne"/>
        <w:numPr>
          <w:ilvl w:val="0"/>
          <w:numId w:val="1435"/>
        </w:numPr>
        <w:rPr>
          <w:highlight w:val="yellow"/>
          <w:lang w:eastAsia="fr-CA"/>
        </w:rPr>
      </w:pPr>
      <w:r>
        <w:rPr>
          <w:highlight w:val="yellow"/>
          <w:lang w:eastAsia="fr-CA"/>
        </w:rPr>
        <w:t>Différends, discussions, résolution</w:t>
      </w:r>
    </w:p>
    <w:p w:rsidR="0053657A" w:rsidRDefault="0053657A" w:rsidP="00402C69">
      <w:pPr>
        <w:pStyle w:val="Sansinterligne"/>
        <w:numPr>
          <w:ilvl w:val="0"/>
          <w:numId w:val="1435"/>
        </w:numPr>
        <w:rPr>
          <w:highlight w:val="yellow"/>
          <w:lang w:eastAsia="fr-CA"/>
        </w:rPr>
      </w:pPr>
      <w:r>
        <w:rPr>
          <w:highlight w:val="yellow"/>
          <w:lang w:eastAsia="fr-CA"/>
        </w:rPr>
        <w:t>Colère</w:t>
      </w:r>
    </w:p>
    <w:p w:rsidR="0053657A" w:rsidRDefault="0053657A" w:rsidP="00402C69">
      <w:pPr>
        <w:pStyle w:val="Sansinterligne"/>
        <w:numPr>
          <w:ilvl w:val="0"/>
          <w:numId w:val="1435"/>
        </w:numPr>
        <w:rPr>
          <w:highlight w:val="yellow"/>
          <w:lang w:eastAsia="fr-CA"/>
        </w:rPr>
      </w:pPr>
      <w:r>
        <w:rPr>
          <w:highlight w:val="yellow"/>
          <w:lang w:eastAsia="fr-CA"/>
        </w:rPr>
        <w:t>Peur du conjoint</w:t>
      </w:r>
    </w:p>
    <w:p w:rsidR="0053657A" w:rsidRDefault="0053657A" w:rsidP="00402C69">
      <w:pPr>
        <w:pStyle w:val="Sansinterligne"/>
        <w:numPr>
          <w:ilvl w:val="0"/>
          <w:numId w:val="1435"/>
        </w:numPr>
        <w:rPr>
          <w:highlight w:val="yellow"/>
          <w:lang w:eastAsia="fr-CA"/>
        </w:rPr>
      </w:pPr>
      <w:r>
        <w:rPr>
          <w:highlight w:val="yellow"/>
          <w:lang w:eastAsia="fr-CA"/>
        </w:rPr>
        <w:t>Menaces</w:t>
      </w:r>
    </w:p>
    <w:p w:rsidR="0053657A" w:rsidRPr="0053657A" w:rsidRDefault="0053657A" w:rsidP="00402C69">
      <w:pPr>
        <w:pStyle w:val="Sansinterligne"/>
        <w:numPr>
          <w:ilvl w:val="0"/>
          <w:numId w:val="1435"/>
        </w:numPr>
        <w:rPr>
          <w:highlight w:val="yellow"/>
          <w:lang w:eastAsia="fr-CA"/>
        </w:rPr>
      </w:pPr>
      <w:r>
        <w:rPr>
          <w:highlight w:val="yellow"/>
          <w:lang w:eastAsia="fr-CA"/>
        </w:rPr>
        <w:t>Violence physique, sexuelle ou psychologique</w:t>
      </w:r>
    </w:p>
    <w:p w:rsidR="0086745F" w:rsidRPr="006E18CE" w:rsidRDefault="0086745F" w:rsidP="0086745F">
      <w:pPr>
        <w:pStyle w:val="Sansinterligne"/>
        <w:rPr>
          <w:highlight w:val="yellow"/>
          <w:lang w:eastAsia="fr-CA"/>
        </w:rPr>
      </w:pPr>
    </w:p>
    <w:p w:rsidR="0086745F" w:rsidRPr="006E18CE" w:rsidRDefault="0086745F" w:rsidP="0086745F">
      <w:pPr>
        <w:pStyle w:val="Sansinterligne"/>
        <w:rPr>
          <w:highlight w:val="yellow"/>
          <w:u w:val="single"/>
          <w:lang w:eastAsia="fr-CA"/>
        </w:rPr>
      </w:pPr>
      <w:r w:rsidRPr="006E18CE">
        <w:rPr>
          <w:highlight w:val="yellow"/>
          <w:u w:val="single"/>
          <w:lang w:eastAsia="fr-CA"/>
        </w:rPr>
        <w:t>Comportements/éléments suspects</w:t>
      </w:r>
    </w:p>
    <w:p w:rsidR="0086745F" w:rsidRPr="006E18CE" w:rsidRDefault="0086745F" w:rsidP="00402C69">
      <w:pPr>
        <w:pStyle w:val="Sansinterligne"/>
        <w:numPr>
          <w:ilvl w:val="0"/>
          <w:numId w:val="1436"/>
        </w:numPr>
        <w:ind w:left="360"/>
        <w:rPr>
          <w:highlight w:val="yellow"/>
          <w:lang w:eastAsia="fr-CA"/>
        </w:rPr>
      </w:pPr>
      <w:r w:rsidRPr="006E18CE">
        <w:rPr>
          <w:highlight w:val="yellow"/>
          <w:lang w:eastAsia="fr-CA"/>
        </w:rPr>
        <w:t>Retard de consultation</w:t>
      </w:r>
    </w:p>
    <w:p w:rsidR="0086745F" w:rsidRPr="006E18CE" w:rsidRDefault="0086745F" w:rsidP="00402C69">
      <w:pPr>
        <w:pStyle w:val="Sansinterligne"/>
        <w:numPr>
          <w:ilvl w:val="0"/>
          <w:numId w:val="1436"/>
        </w:numPr>
        <w:ind w:left="360"/>
        <w:rPr>
          <w:highlight w:val="yellow"/>
          <w:lang w:eastAsia="fr-CA"/>
        </w:rPr>
      </w:pPr>
      <w:r w:rsidRPr="006E18CE">
        <w:rPr>
          <w:highlight w:val="yellow"/>
          <w:lang w:eastAsia="fr-CA"/>
        </w:rPr>
        <w:t>Histoire</w:t>
      </w:r>
      <w:r w:rsidR="0053657A">
        <w:rPr>
          <w:highlight w:val="yellow"/>
          <w:lang w:eastAsia="fr-CA"/>
        </w:rPr>
        <w:t xml:space="preserve"> changeante/ incohérente avec la lésion</w:t>
      </w:r>
    </w:p>
    <w:p w:rsidR="0086745F" w:rsidRPr="006E18CE" w:rsidRDefault="0053657A" w:rsidP="00402C69">
      <w:pPr>
        <w:pStyle w:val="Sansinterligne"/>
        <w:numPr>
          <w:ilvl w:val="0"/>
          <w:numId w:val="1436"/>
        </w:numPr>
        <w:ind w:left="360"/>
        <w:rPr>
          <w:highlight w:val="yellow"/>
          <w:lang w:eastAsia="fr-CA"/>
        </w:rPr>
      </w:pPr>
      <w:r>
        <w:rPr>
          <w:highlight w:val="yellow"/>
          <w:lang w:eastAsia="fr-CA"/>
        </w:rPr>
        <w:t>Symptômes vagues, somatisation</w:t>
      </w:r>
    </w:p>
    <w:p w:rsidR="0086745F" w:rsidRPr="006E18CE" w:rsidRDefault="0053657A" w:rsidP="00402C69">
      <w:pPr>
        <w:pStyle w:val="Sansinterligne"/>
        <w:numPr>
          <w:ilvl w:val="0"/>
          <w:numId w:val="1436"/>
        </w:numPr>
        <w:ind w:left="360"/>
        <w:rPr>
          <w:highlight w:val="yellow"/>
          <w:lang w:eastAsia="fr-CA"/>
        </w:rPr>
      </w:pPr>
      <w:r>
        <w:rPr>
          <w:highlight w:val="yellow"/>
          <w:lang w:eastAsia="fr-CA"/>
        </w:rPr>
        <w:t>Consultations fréquentes à l’urgence</w:t>
      </w:r>
    </w:p>
    <w:p w:rsidR="0086745F" w:rsidRPr="006E18CE" w:rsidRDefault="0053657A" w:rsidP="00402C69">
      <w:pPr>
        <w:pStyle w:val="Sansinterligne"/>
        <w:numPr>
          <w:ilvl w:val="0"/>
          <w:numId w:val="1436"/>
        </w:numPr>
        <w:ind w:left="360"/>
        <w:rPr>
          <w:highlight w:val="yellow"/>
          <w:lang w:eastAsia="fr-CA"/>
        </w:rPr>
      </w:pPr>
      <w:r>
        <w:rPr>
          <w:highlight w:val="yellow"/>
          <w:lang w:eastAsia="fr-CA"/>
        </w:rPr>
        <w:t>Abus d’alcool ou de drogues</w:t>
      </w:r>
    </w:p>
    <w:p w:rsidR="0086745F" w:rsidRPr="006E18CE" w:rsidRDefault="0053657A" w:rsidP="00402C69">
      <w:pPr>
        <w:pStyle w:val="Sansinterligne"/>
        <w:numPr>
          <w:ilvl w:val="0"/>
          <w:numId w:val="1436"/>
        </w:numPr>
        <w:ind w:left="360"/>
        <w:rPr>
          <w:highlight w:val="yellow"/>
          <w:lang w:eastAsia="fr-CA"/>
        </w:rPr>
      </w:pPr>
      <w:r>
        <w:rPr>
          <w:highlight w:val="yellow"/>
          <w:lang w:eastAsia="fr-CA"/>
        </w:rPr>
        <w:t>Idées suicidaires</w:t>
      </w:r>
    </w:p>
    <w:p w:rsidR="0086745F" w:rsidRPr="006E18CE" w:rsidRDefault="0086745F" w:rsidP="0086745F">
      <w:pPr>
        <w:pStyle w:val="Sansinterligne"/>
        <w:rPr>
          <w:highlight w:val="yellow"/>
          <w:u w:val="single"/>
          <w:lang w:eastAsia="fr-CA"/>
        </w:rPr>
      </w:pPr>
    </w:p>
    <w:p w:rsidR="0086745F" w:rsidRPr="006E18CE" w:rsidRDefault="0086745F" w:rsidP="0086745F">
      <w:pPr>
        <w:pStyle w:val="Sansinterligne"/>
        <w:rPr>
          <w:highlight w:val="yellow"/>
          <w:u w:val="single"/>
          <w:lang w:eastAsia="fr-CA"/>
        </w:rPr>
      </w:pPr>
      <w:r w:rsidRPr="006E18CE">
        <w:rPr>
          <w:highlight w:val="yellow"/>
          <w:u w:val="single"/>
          <w:lang w:eastAsia="fr-CA"/>
        </w:rPr>
        <w:t>Signes</w:t>
      </w:r>
    </w:p>
    <w:p w:rsidR="0053657A" w:rsidRDefault="0053657A" w:rsidP="00402C69">
      <w:pPr>
        <w:pStyle w:val="Sansinterligne"/>
        <w:numPr>
          <w:ilvl w:val="0"/>
          <w:numId w:val="1436"/>
        </w:numPr>
        <w:ind w:left="360"/>
        <w:rPr>
          <w:lang w:eastAsia="fr-CA"/>
        </w:rPr>
      </w:pPr>
      <w:r>
        <w:rPr>
          <w:lang w:eastAsia="fr-CA"/>
        </w:rPr>
        <w:t>Lésions aux organes génitaux ou Sx gynéco fréquents</w:t>
      </w:r>
    </w:p>
    <w:p w:rsidR="0053657A" w:rsidRDefault="0053657A" w:rsidP="00402C69">
      <w:pPr>
        <w:pStyle w:val="Sansinterligne"/>
        <w:numPr>
          <w:ilvl w:val="0"/>
          <w:numId w:val="1436"/>
        </w:numPr>
        <w:ind w:left="360"/>
        <w:rPr>
          <w:lang w:eastAsia="fr-CA"/>
        </w:rPr>
        <w:sectPr w:rsidR="0053657A" w:rsidSect="00AE3729">
          <w:type w:val="continuous"/>
          <w:pgSz w:w="12240" w:h="15840"/>
          <w:pgMar w:top="720" w:right="720" w:bottom="720" w:left="720" w:header="708" w:footer="708" w:gutter="0"/>
          <w:cols w:num="2" w:space="708"/>
          <w:docGrid w:linePitch="360"/>
        </w:sectPr>
      </w:pPr>
      <w:r>
        <w:rPr>
          <w:lang w:eastAsia="fr-CA"/>
        </w:rPr>
        <w:t>Ecchymoses, lacérations, fractures, cachées et d’âge différents</w:t>
      </w:r>
    </w:p>
    <w:p w:rsidR="0086745F" w:rsidRDefault="0086745F" w:rsidP="0086745F">
      <w:pPr>
        <w:pStyle w:val="Sansinterligne"/>
        <w:rPr>
          <w:lang w:eastAsia="fr-CA"/>
        </w:rPr>
      </w:pPr>
    </w:p>
    <w:p w:rsidR="0086745F" w:rsidRDefault="0086745F" w:rsidP="0086745F">
      <w:pPr>
        <w:pStyle w:val="Sansinterligne"/>
        <w:rPr>
          <w:lang w:eastAsia="fr-CA"/>
        </w:rPr>
      </w:pPr>
    </w:p>
    <w:p w:rsidR="0086745F" w:rsidRPr="003F14A6" w:rsidRDefault="0086745F" w:rsidP="0086745F">
      <w:pPr>
        <w:pStyle w:val="Sansinterligne"/>
        <w:rPr>
          <w:b/>
          <w:sz w:val="28"/>
          <w:szCs w:val="28"/>
          <w:lang w:eastAsia="fr-CA"/>
        </w:rPr>
      </w:pPr>
      <w:r w:rsidRPr="003F14A6">
        <w:rPr>
          <w:b/>
          <w:sz w:val="28"/>
          <w:szCs w:val="28"/>
          <w:lang w:eastAsia="fr-CA"/>
        </w:rPr>
        <w:t>Investigations</w:t>
      </w:r>
    </w:p>
    <w:p w:rsidR="0086745F" w:rsidRDefault="0086745F" w:rsidP="0086745F">
      <w:pPr>
        <w:pStyle w:val="Sansinterligne"/>
        <w:rPr>
          <w:lang w:eastAsia="fr-CA"/>
        </w:rPr>
      </w:pPr>
    </w:p>
    <w:p w:rsidR="0086745F" w:rsidRDefault="0086745F" w:rsidP="00402C69">
      <w:pPr>
        <w:pStyle w:val="Sansinterligne"/>
        <w:numPr>
          <w:ilvl w:val="0"/>
          <w:numId w:val="1441"/>
        </w:numPr>
        <w:rPr>
          <w:lang w:eastAsia="fr-CA"/>
        </w:rPr>
      </w:pPr>
      <w:r>
        <w:rPr>
          <w:lang w:eastAsia="fr-CA"/>
        </w:rPr>
        <w:t>Tout examen approprié à la condition ou à la plainte initiale et accepté par le patient.</w:t>
      </w:r>
    </w:p>
    <w:p w:rsidR="0053657A" w:rsidRDefault="0053657A" w:rsidP="00402C69">
      <w:pPr>
        <w:pStyle w:val="Sansinterligne"/>
        <w:numPr>
          <w:ilvl w:val="0"/>
          <w:numId w:val="1441"/>
        </w:numPr>
        <w:rPr>
          <w:lang w:eastAsia="fr-CA"/>
        </w:rPr>
      </w:pPr>
      <w:r>
        <w:rPr>
          <w:lang w:eastAsia="fr-CA"/>
        </w:rPr>
        <w:t>Documenter les lésions (au dossier, photos, dessins)</w:t>
      </w:r>
    </w:p>
    <w:p w:rsidR="0086745F" w:rsidRDefault="0086745F" w:rsidP="0086745F">
      <w:pPr>
        <w:pStyle w:val="Sansinterligne"/>
        <w:rPr>
          <w:lang w:eastAsia="fr-CA"/>
        </w:rPr>
      </w:pPr>
    </w:p>
    <w:p w:rsidR="0086745F" w:rsidRPr="00B2307E" w:rsidRDefault="0086745F" w:rsidP="0086745F">
      <w:pPr>
        <w:pStyle w:val="Sansinterligne"/>
        <w:rPr>
          <w:b/>
          <w:sz w:val="28"/>
          <w:szCs w:val="28"/>
          <w:lang w:eastAsia="fr-CA"/>
        </w:rPr>
      </w:pPr>
      <w:r w:rsidRPr="00B2307E">
        <w:rPr>
          <w:b/>
          <w:sz w:val="28"/>
          <w:szCs w:val="28"/>
          <w:lang w:eastAsia="fr-CA"/>
        </w:rPr>
        <w:t>Prise en charge</w:t>
      </w:r>
    </w:p>
    <w:p w:rsidR="0086745F" w:rsidRDefault="0086745F" w:rsidP="0086745F">
      <w:pPr>
        <w:pStyle w:val="Sansinterligne"/>
        <w:rPr>
          <w:lang w:eastAsia="fr-CA"/>
        </w:rPr>
      </w:pPr>
    </w:p>
    <w:p w:rsidR="0086745F" w:rsidRDefault="0053657A" w:rsidP="00402C69">
      <w:pPr>
        <w:pStyle w:val="Sansinterligne"/>
        <w:numPr>
          <w:ilvl w:val="0"/>
          <w:numId w:val="1437"/>
        </w:numPr>
        <w:ind w:left="360"/>
        <w:rPr>
          <w:lang w:eastAsia="fr-CA"/>
        </w:rPr>
      </w:pPr>
      <w:r w:rsidRPr="001761DC">
        <w:rPr>
          <w:highlight w:val="yellow"/>
          <w:lang w:eastAsia="fr-CA"/>
        </w:rPr>
        <w:t>Évaluer la menace et le danger pour le ou la patiente</w:t>
      </w:r>
      <w:r>
        <w:rPr>
          <w:lang w:eastAsia="fr-CA"/>
        </w:rPr>
        <w:t xml:space="preserve"> (les femmes ont généralement des blessures plus graves</w:t>
      </w:r>
      <w:r w:rsidR="001761DC">
        <w:rPr>
          <w:lang w:eastAsia="fr-CA"/>
        </w:rPr>
        <w:t>)</w:t>
      </w:r>
    </w:p>
    <w:p w:rsidR="0053657A" w:rsidRDefault="0053657A" w:rsidP="00402C69">
      <w:pPr>
        <w:pStyle w:val="Sansinterligne"/>
        <w:numPr>
          <w:ilvl w:val="1"/>
          <w:numId w:val="1437"/>
        </w:numPr>
        <w:rPr>
          <w:lang w:eastAsia="fr-CA"/>
        </w:rPr>
      </w:pPr>
      <w:r>
        <w:rPr>
          <w:lang w:eastAsia="fr-CA"/>
        </w:rPr>
        <w:t>Si la menace est imminente ou la violence est à risque d’aboutir à un danger grave :</w:t>
      </w:r>
    </w:p>
    <w:p w:rsidR="0053657A" w:rsidRDefault="0053657A" w:rsidP="00402C69">
      <w:pPr>
        <w:pStyle w:val="Sansinterligne"/>
        <w:numPr>
          <w:ilvl w:val="2"/>
          <w:numId w:val="1437"/>
        </w:numPr>
        <w:rPr>
          <w:lang w:eastAsia="fr-CA"/>
        </w:rPr>
      </w:pPr>
      <w:r>
        <w:rPr>
          <w:lang w:eastAsia="fr-CA"/>
        </w:rPr>
        <w:t>Établir un plan avec la victime (appel, promesse de se rendre dans un poste de police, enfants chez un autre membre de la famille)</w:t>
      </w:r>
    </w:p>
    <w:p w:rsidR="0086745F" w:rsidRPr="001761DC" w:rsidRDefault="0053657A" w:rsidP="00402C69">
      <w:pPr>
        <w:pStyle w:val="Sansinterligne"/>
        <w:numPr>
          <w:ilvl w:val="0"/>
          <w:numId w:val="1437"/>
        </w:numPr>
        <w:ind w:left="360"/>
        <w:rPr>
          <w:highlight w:val="yellow"/>
          <w:lang w:eastAsia="fr-CA"/>
        </w:rPr>
      </w:pPr>
      <w:r w:rsidRPr="001761DC">
        <w:rPr>
          <w:highlight w:val="yellow"/>
          <w:lang w:eastAsia="fr-CA"/>
        </w:rPr>
        <w:t>Conseils et support</w:t>
      </w:r>
    </w:p>
    <w:p w:rsidR="0053657A" w:rsidRDefault="0053657A" w:rsidP="00402C69">
      <w:pPr>
        <w:pStyle w:val="Sansinterligne"/>
        <w:numPr>
          <w:ilvl w:val="1"/>
          <w:numId w:val="1437"/>
        </w:numPr>
        <w:rPr>
          <w:lang w:eastAsia="fr-CA"/>
        </w:rPr>
      </w:pPr>
      <w:r>
        <w:rPr>
          <w:lang w:eastAsia="fr-CA"/>
        </w:rPr>
        <w:t>Elle n’est pas responsable de ce qui lui arrive.</w:t>
      </w:r>
    </w:p>
    <w:p w:rsidR="0053657A" w:rsidRDefault="0053657A" w:rsidP="00402C69">
      <w:pPr>
        <w:pStyle w:val="Sansinterligne"/>
        <w:numPr>
          <w:ilvl w:val="1"/>
          <w:numId w:val="1437"/>
        </w:numPr>
        <w:rPr>
          <w:lang w:eastAsia="fr-CA"/>
        </w:rPr>
      </w:pPr>
      <w:r>
        <w:rPr>
          <w:lang w:eastAsia="fr-CA"/>
        </w:rPr>
        <w:t>Ne mérite pas de tels sévices.</w:t>
      </w:r>
    </w:p>
    <w:p w:rsidR="0053657A" w:rsidRDefault="0053657A" w:rsidP="00402C69">
      <w:pPr>
        <w:pStyle w:val="Sansinterligne"/>
        <w:numPr>
          <w:ilvl w:val="1"/>
          <w:numId w:val="1437"/>
        </w:numPr>
        <w:rPr>
          <w:lang w:eastAsia="fr-CA"/>
        </w:rPr>
      </w:pPr>
      <w:r>
        <w:rPr>
          <w:lang w:eastAsia="fr-CA"/>
        </w:rPr>
        <w:t>Vérifier ses intentions et lui présenter les options (séparation, plainte légale, etc.)</w:t>
      </w:r>
    </w:p>
    <w:p w:rsidR="0086745F" w:rsidRDefault="0086745F" w:rsidP="0086745F">
      <w:pPr>
        <w:pStyle w:val="Sansinterligne"/>
        <w:rPr>
          <w:lang w:eastAsia="fr-CA"/>
        </w:rPr>
      </w:pPr>
    </w:p>
    <w:p w:rsidR="0086745F" w:rsidRDefault="001761DC" w:rsidP="00402C69">
      <w:pPr>
        <w:pStyle w:val="Sansinterligne"/>
        <w:numPr>
          <w:ilvl w:val="0"/>
          <w:numId w:val="1437"/>
        </w:numPr>
        <w:ind w:left="360"/>
        <w:rPr>
          <w:lang w:eastAsia="fr-CA"/>
        </w:rPr>
      </w:pPr>
      <w:r>
        <w:rPr>
          <w:noProof/>
          <w:lang w:eastAsia="fr-CA"/>
        </w:rPr>
        <w:drawing>
          <wp:anchor distT="0" distB="0" distL="114300" distR="114300" simplePos="0" relativeHeight="252193792" behindDoc="1" locked="0" layoutInCell="1" allowOverlap="1" wp14:anchorId="19527F9B" wp14:editId="0CF61B6D">
            <wp:simplePos x="0" y="0"/>
            <wp:positionH relativeFrom="column">
              <wp:posOffset>4261741</wp:posOffset>
            </wp:positionH>
            <wp:positionV relativeFrom="paragraph">
              <wp:posOffset>6985</wp:posOffset>
            </wp:positionV>
            <wp:extent cx="2541905" cy="2538730"/>
            <wp:effectExtent l="0" t="0" r="0" b="0"/>
            <wp:wrapNone/>
            <wp:docPr id="667" name="Image 667" descr="Résultats de recherche d'images pour « cycle de la violenc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Résultats de recherche d'images pour « cycle de la violence »"/>
                    <pic:cNvPicPr>
                      <a:picLocks noChangeAspect="1" noChangeArrowheads="1"/>
                    </pic:cNvPicPr>
                  </pic:nvPicPr>
                  <pic:blipFill>
                    <a:blip r:embed="rId400" cstate="print">
                      <a:extLst>
                        <a:ext uri="{28A0092B-C50C-407E-A947-70E740481C1C}">
                          <a14:useLocalDpi xmlns:a14="http://schemas.microsoft.com/office/drawing/2010/main" val="0"/>
                        </a:ext>
                      </a:extLst>
                    </a:blip>
                    <a:srcRect/>
                    <a:stretch>
                      <a:fillRect/>
                    </a:stretch>
                  </pic:blipFill>
                  <pic:spPr bwMode="auto">
                    <a:xfrm>
                      <a:off x="0" y="0"/>
                      <a:ext cx="2541905" cy="2538730"/>
                    </a:xfrm>
                    <a:prstGeom prst="rect">
                      <a:avLst/>
                    </a:prstGeom>
                    <a:noFill/>
                    <a:ln>
                      <a:noFill/>
                    </a:ln>
                  </pic:spPr>
                </pic:pic>
              </a:graphicData>
            </a:graphic>
            <wp14:sizeRelH relativeFrom="page">
              <wp14:pctWidth>0</wp14:pctWidth>
            </wp14:sizeRelH>
            <wp14:sizeRelV relativeFrom="page">
              <wp14:pctHeight>0</wp14:pctHeight>
            </wp14:sizeRelV>
          </wp:anchor>
        </w:drawing>
      </w:r>
      <w:r w:rsidR="0086745F" w:rsidRPr="006E18CE">
        <w:rPr>
          <w:highlight w:val="yellow"/>
          <w:lang w:eastAsia="fr-CA"/>
        </w:rPr>
        <w:t>Si en suivi externe</w:t>
      </w:r>
      <w:r w:rsidR="0086745F">
        <w:rPr>
          <w:lang w:eastAsia="fr-CA"/>
        </w:rPr>
        <w:t> :</w:t>
      </w:r>
    </w:p>
    <w:p w:rsidR="0086745F" w:rsidRDefault="0086745F" w:rsidP="00402C69">
      <w:pPr>
        <w:pStyle w:val="Sansinterligne"/>
        <w:numPr>
          <w:ilvl w:val="1"/>
          <w:numId w:val="1437"/>
        </w:numPr>
        <w:rPr>
          <w:lang w:eastAsia="fr-CA"/>
        </w:rPr>
      </w:pPr>
      <w:r>
        <w:rPr>
          <w:lang w:eastAsia="fr-CA"/>
        </w:rPr>
        <w:t xml:space="preserve">Aborder régulièrement la question et </w:t>
      </w:r>
      <w:r w:rsidR="001761DC">
        <w:rPr>
          <w:lang w:eastAsia="fr-CA"/>
        </w:rPr>
        <w:t xml:space="preserve">réévaluer le risque </w:t>
      </w:r>
    </w:p>
    <w:p w:rsidR="0086745F" w:rsidRDefault="0086745F" w:rsidP="00402C69">
      <w:pPr>
        <w:pStyle w:val="Sansinterligne"/>
        <w:numPr>
          <w:ilvl w:val="1"/>
          <w:numId w:val="1437"/>
        </w:numPr>
        <w:rPr>
          <w:lang w:eastAsia="fr-CA"/>
        </w:rPr>
      </w:pPr>
      <w:r>
        <w:rPr>
          <w:lang w:eastAsia="fr-CA"/>
        </w:rPr>
        <w:t>Assurer de la confidentialité</w:t>
      </w:r>
    </w:p>
    <w:p w:rsidR="0053657A" w:rsidRDefault="0086745F" w:rsidP="00402C69">
      <w:pPr>
        <w:pStyle w:val="Sansinterligne"/>
        <w:numPr>
          <w:ilvl w:val="1"/>
          <w:numId w:val="1437"/>
        </w:numPr>
        <w:rPr>
          <w:lang w:eastAsia="fr-CA"/>
        </w:rPr>
      </w:pPr>
      <w:r>
        <w:rPr>
          <w:lang w:eastAsia="fr-CA"/>
        </w:rPr>
        <w:t>Offrir de l’aide</w:t>
      </w:r>
    </w:p>
    <w:p w:rsidR="001761DC" w:rsidRDefault="001761DC" w:rsidP="001761DC">
      <w:pPr>
        <w:pStyle w:val="Sansinterligne"/>
        <w:ind w:left="1440"/>
        <w:rPr>
          <w:lang w:eastAsia="fr-CA"/>
        </w:rPr>
      </w:pPr>
    </w:p>
    <w:p w:rsidR="0053657A" w:rsidRPr="000B1AB8" w:rsidRDefault="0053657A" w:rsidP="00402C69">
      <w:pPr>
        <w:pStyle w:val="Sansinterligne"/>
        <w:numPr>
          <w:ilvl w:val="0"/>
          <w:numId w:val="1442"/>
        </w:numPr>
        <w:rPr>
          <w:highlight w:val="yellow"/>
          <w:lang w:eastAsia="fr-CA"/>
        </w:rPr>
      </w:pPr>
      <w:r w:rsidRPr="000B1AB8">
        <w:rPr>
          <w:highlight w:val="yellow"/>
          <w:lang w:eastAsia="fr-CA"/>
        </w:rPr>
        <w:t>Ressources communautaires</w:t>
      </w:r>
    </w:p>
    <w:p w:rsidR="0053657A" w:rsidRDefault="0053657A" w:rsidP="00402C69">
      <w:pPr>
        <w:pStyle w:val="Sansinterligne"/>
        <w:numPr>
          <w:ilvl w:val="0"/>
          <w:numId w:val="1443"/>
        </w:numPr>
        <w:rPr>
          <w:lang w:eastAsia="fr-CA"/>
        </w:rPr>
      </w:pPr>
      <w:r>
        <w:rPr>
          <w:lang w:eastAsia="fr-CA"/>
        </w:rPr>
        <w:t>Centre pour femmes</w:t>
      </w:r>
    </w:p>
    <w:p w:rsidR="0053657A" w:rsidRDefault="0053657A" w:rsidP="00402C69">
      <w:pPr>
        <w:pStyle w:val="Sansinterligne"/>
        <w:numPr>
          <w:ilvl w:val="0"/>
          <w:numId w:val="1443"/>
        </w:numPr>
        <w:rPr>
          <w:lang w:eastAsia="fr-CA"/>
        </w:rPr>
      </w:pPr>
      <w:r>
        <w:rPr>
          <w:lang w:eastAsia="fr-CA"/>
        </w:rPr>
        <w:t>Ressources d’hébergement pour victimes de violence</w:t>
      </w:r>
    </w:p>
    <w:p w:rsidR="004540ED" w:rsidRDefault="0053657A" w:rsidP="00402C69">
      <w:pPr>
        <w:pStyle w:val="Sansinterligne"/>
        <w:numPr>
          <w:ilvl w:val="0"/>
          <w:numId w:val="1443"/>
        </w:numPr>
        <w:rPr>
          <w:lang w:eastAsia="fr-CA"/>
        </w:rPr>
      </w:pPr>
      <w:r>
        <w:rPr>
          <w:lang w:eastAsia="fr-CA"/>
        </w:rPr>
        <w:t>Police</w:t>
      </w:r>
    </w:p>
    <w:p w:rsidR="001761DC" w:rsidRPr="001761DC" w:rsidRDefault="001761DC" w:rsidP="001761DC">
      <w:pPr>
        <w:pStyle w:val="Sansinterligne"/>
        <w:ind w:left="720"/>
        <w:rPr>
          <w:lang w:eastAsia="fr-CA"/>
        </w:rPr>
      </w:pPr>
    </w:p>
    <w:p w:rsidR="001761DC" w:rsidRDefault="001761DC" w:rsidP="00402C69">
      <w:pPr>
        <w:pStyle w:val="Sansinterligne"/>
        <w:numPr>
          <w:ilvl w:val="0"/>
          <w:numId w:val="1437"/>
        </w:numPr>
        <w:ind w:left="360"/>
        <w:rPr>
          <w:lang w:eastAsia="fr-CA"/>
        </w:rPr>
      </w:pPr>
      <w:r>
        <w:rPr>
          <w:lang w:eastAsia="fr-CA"/>
        </w:rPr>
        <w:t>Hospitaliser si la condition médicale le nécessite</w:t>
      </w:r>
    </w:p>
    <w:p w:rsidR="001761DC" w:rsidRDefault="001761DC" w:rsidP="00402C69">
      <w:pPr>
        <w:pStyle w:val="Sansinterligne"/>
        <w:numPr>
          <w:ilvl w:val="1"/>
          <w:numId w:val="1437"/>
        </w:numPr>
        <w:rPr>
          <w:lang w:eastAsia="fr-CA"/>
        </w:rPr>
      </w:pPr>
      <w:r>
        <w:rPr>
          <w:lang w:eastAsia="fr-CA"/>
        </w:rPr>
        <w:t>Peut aussi être une avenue pour creuser davantage la situation</w:t>
      </w:r>
    </w:p>
    <w:p w:rsidR="001761DC" w:rsidRDefault="001761DC" w:rsidP="00402C69">
      <w:pPr>
        <w:pStyle w:val="Sansinterligne"/>
        <w:numPr>
          <w:ilvl w:val="1"/>
          <w:numId w:val="1437"/>
        </w:numPr>
        <w:rPr>
          <w:lang w:eastAsia="fr-CA"/>
        </w:rPr>
      </w:pPr>
      <w:r>
        <w:rPr>
          <w:lang w:eastAsia="fr-CA"/>
        </w:rPr>
        <w:t>Si doute important sur la sécurité du patient à domicile</w:t>
      </w:r>
    </w:p>
    <w:p w:rsidR="004540ED" w:rsidRDefault="004540ED">
      <w:pPr>
        <w:rPr>
          <w:rFonts w:cs="Times New Roman"/>
          <w:b/>
          <w:color w:val="548DD4" w:themeColor="text2" w:themeTint="99"/>
        </w:rPr>
      </w:pPr>
      <w:r>
        <w:rPr>
          <w:rFonts w:cs="Times New Roman"/>
          <w:b/>
          <w:color w:val="548DD4" w:themeColor="text2" w:themeTint="99"/>
        </w:rPr>
        <w:br w:type="page"/>
      </w:r>
    </w:p>
    <w:p w:rsidR="0041723A" w:rsidRDefault="0041723A" w:rsidP="006D5219">
      <w:pPr>
        <w:spacing w:after="0"/>
        <w:rPr>
          <w:rFonts w:cs="Times New Roman"/>
          <w:b/>
          <w:color w:val="548DD4" w:themeColor="text2" w:themeTint="99"/>
        </w:rPr>
      </w:pPr>
      <w:r>
        <w:rPr>
          <w:rFonts w:cs="Times New Roman"/>
          <w:b/>
          <w:color w:val="548DD4" w:themeColor="text2" w:themeTint="99"/>
        </w:rPr>
        <w:t>CMC 121-1</w:t>
      </w:r>
    </w:p>
    <w:bookmarkStart w:id="404" w:name="_Toc480797342"/>
    <w:p w:rsidR="0041723A" w:rsidRPr="0041723A" w:rsidRDefault="0041723A" w:rsidP="0041723A">
      <w:pPr>
        <w:pStyle w:val="Titre3"/>
        <w:spacing w:before="0" w:after="240"/>
        <w:rPr>
          <w:rFonts w:ascii="Times New Roman" w:hAnsi="Times New Roman" w:cs="Times New Roman"/>
        </w:rPr>
      </w:pPr>
      <w:r>
        <w:rPr>
          <w:rFonts w:ascii="Times New Roman" w:hAnsi="Times New Roman" w:cs="Times New Roman"/>
          <w:noProof/>
          <w:lang w:eastAsia="fr-CA"/>
        </w:rPr>
        <mc:AlternateContent>
          <mc:Choice Requires="wps">
            <w:drawing>
              <wp:anchor distT="0" distB="0" distL="114300" distR="114300" simplePos="0" relativeHeight="252103680" behindDoc="0" locked="0" layoutInCell="1" allowOverlap="1" wp14:anchorId="5886EE53" wp14:editId="4B71DC2A">
                <wp:simplePos x="0" y="0"/>
                <wp:positionH relativeFrom="column">
                  <wp:posOffset>-68094</wp:posOffset>
                </wp:positionH>
                <wp:positionV relativeFrom="paragraph">
                  <wp:posOffset>279739</wp:posOffset>
                </wp:positionV>
                <wp:extent cx="6828817" cy="2383276"/>
                <wp:effectExtent l="0" t="0" r="10160" b="17145"/>
                <wp:wrapNone/>
                <wp:docPr id="585" name="Rectangle 585"/>
                <wp:cNvGraphicFramePr/>
                <a:graphic xmlns:a="http://schemas.openxmlformats.org/drawingml/2006/main">
                  <a:graphicData uri="http://schemas.microsoft.com/office/word/2010/wordprocessingShape">
                    <wps:wsp>
                      <wps:cNvSpPr/>
                      <wps:spPr>
                        <a:xfrm>
                          <a:off x="0" y="0"/>
                          <a:ext cx="6828817" cy="2383276"/>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585" o:spid="_x0000_s1026" style="position:absolute;margin-left:-5.35pt;margin-top:22.05pt;width:537.7pt;height:187.65pt;z-index:2521036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" filled="f" strokecolor="black [1600]" strokeweight="2pt"/>
            </w:pict>
          </mc:Fallback>
        </mc:AlternateContent>
      </w:r>
      <w:r w:rsidRPr="0041723A">
        <w:rPr>
          <w:rFonts w:ascii="Times New Roman" w:hAnsi="Times New Roman" w:cs="Times New Roman"/>
        </w:rPr>
        <w:t>Consentement</w:t>
      </w:r>
      <w:bookmarkEnd w:id="404"/>
    </w:p>
    <w:tbl>
      <w:tblPr>
        <w:tblW w:w="3858" w:type="pct"/>
        <w:tblCellSpacing w:w="0" w:type="dxa"/>
        <w:tblCellMar>
          <w:left w:w="0" w:type="dxa"/>
          <w:right w:w="0" w:type="dxa"/>
        </w:tblCellMar>
        <w:tblLook w:val="04A0" w:firstRow="1" w:lastRow="0" w:firstColumn="1" w:lastColumn="0" w:noHBand="0" w:noVBand="1"/>
      </w:tblPr>
      <w:tblGrid>
        <w:gridCol w:w="8333"/>
      </w:tblGrid>
      <w:tr w:rsidR="0041723A" w:rsidRPr="0041723A" w:rsidTr="0041723A">
        <w:trPr>
          <w:tblCellSpacing w:w="0" w:type="dxa"/>
        </w:trPr>
        <w:tc>
          <w:tcPr>
            <w:tcW w:w="0" w:type="auto"/>
            <w:vAlign w:val="bottom"/>
            <w:hideMark/>
          </w:tcPr>
          <w:p w:rsidR="0041723A" w:rsidRPr="0041723A" w:rsidRDefault="0041723A" w:rsidP="0041723A">
            <w:pPr>
              <w:pStyle w:val="Sansinterligne"/>
              <w:rPr>
                <w:rFonts w:cs="Times New Roman"/>
                <w:b/>
                <w:sz w:val="18"/>
                <w:szCs w:val="18"/>
              </w:rPr>
            </w:pPr>
            <w:r w:rsidRPr="0041723A">
              <w:rPr>
                <w:rFonts w:cs="Times New Roman"/>
                <w:b/>
                <w:sz w:val="18"/>
                <w:szCs w:val="18"/>
              </w:rPr>
              <w:t>Objectifs principaux</w:t>
            </w:r>
          </w:p>
        </w:tc>
      </w:tr>
    </w:tbl>
    <w:p w:rsidR="0041723A" w:rsidRPr="0041723A" w:rsidRDefault="0041723A" w:rsidP="0041723A">
      <w:pPr>
        <w:pStyle w:val="NormalWeb"/>
        <w:ind w:left="360"/>
        <w:rPr>
          <w:color w:val="000000"/>
          <w:sz w:val="18"/>
          <w:szCs w:val="18"/>
          <w:shd w:val="clear" w:color="auto" w:fill="FFFFFF"/>
        </w:rPr>
      </w:pPr>
      <w:r w:rsidRPr="0041723A">
        <w:rPr>
          <w:color w:val="000000"/>
          <w:sz w:val="18"/>
          <w:szCs w:val="18"/>
          <w:shd w:val="clear" w:color="auto" w:fill="FFFFFF"/>
        </w:rPr>
        <w:t>Étant donné le besoin d'un consentement, le candidat devra pouvoir faire le nécessaire pour obtenir un consentement valide, légal et éthique à l'action envisagée, en tenant compte des problèmes liés à la capacité de prendre des décisions, à l'échange d'information, à la forme du consentement, ainsi qu'aux limites et aux exceptions relatives à l'exigence d'un consentement.</w:t>
      </w:r>
    </w:p>
    <w:tbl>
      <w:tblPr>
        <w:tblW w:w="3897" w:type="pct"/>
        <w:tblCellSpacing w:w="0" w:type="dxa"/>
        <w:tblCellMar>
          <w:left w:w="0" w:type="dxa"/>
          <w:right w:w="0" w:type="dxa"/>
        </w:tblCellMar>
        <w:tblLook w:val="04A0" w:firstRow="1" w:lastRow="0" w:firstColumn="1" w:lastColumn="0" w:noHBand="0" w:noVBand="1"/>
      </w:tblPr>
      <w:tblGrid>
        <w:gridCol w:w="8418"/>
      </w:tblGrid>
      <w:tr w:rsidR="0041723A" w:rsidRPr="0041723A" w:rsidTr="0041723A">
        <w:trPr>
          <w:tblCellSpacing w:w="0" w:type="dxa"/>
        </w:trPr>
        <w:tc>
          <w:tcPr>
            <w:tcW w:w="0" w:type="auto"/>
            <w:vAlign w:val="bottom"/>
            <w:hideMark/>
          </w:tcPr>
          <w:p w:rsidR="0041723A" w:rsidRPr="0041723A" w:rsidRDefault="0041723A" w:rsidP="0041723A">
            <w:pPr>
              <w:pStyle w:val="Sansinterligne"/>
              <w:rPr>
                <w:rFonts w:cs="Times New Roman"/>
                <w:b/>
                <w:sz w:val="16"/>
                <w:szCs w:val="18"/>
              </w:rPr>
            </w:pPr>
            <w:r w:rsidRPr="0041723A">
              <w:rPr>
                <w:rFonts w:cs="Times New Roman"/>
                <w:b/>
                <w:sz w:val="16"/>
                <w:szCs w:val="18"/>
              </w:rPr>
              <w:t>Objectifs spécifiques</w:t>
            </w:r>
          </w:p>
        </w:tc>
      </w:tr>
    </w:tbl>
    <w:p w:rsidR="0041723A" w:rsidRPr="0041723A" w:rsidRDefault="0041723A" w:rsidP="0041723A">
      <w:pPr>
        <w:pStyle w:val="NormalWeb"/>
        <w:shd w:val="clear" w:color="auto" w:fill="FFFFFF"/>
        <w:ind w:left="360"/>
        <w:rPr>
          <w:color w:val="000000"/>
          <w:sz w:val="16"/>
          <w:szCs w:val="18"/>
          <w:shd w:val="clear" w:color="auto" w:fill="FFFFFF"/>
        </w:rPr>
      </w:pPr>
      <w:r w:rsidRPr="0041723A">
        <w:rPr>
          <w:color w:val="000000"/>
          <w:sz w:val="16"/>
          <w:szCs w:val="18"/>
          <w:shd w:val="clear" w:color="auto" w:fill="FFFFFF"/>
        </w:rPr>
        <w:t>Étant donné le besoin d'obtenir un consentement, le candidat devra :</w:t>
      </w:r>
    </w:p>
    <w:p w:rsidR="0041723A" w:rsidRPr="0041723A" w:rsidRDefault="0041723A" w:rsidP="0041723A">
      <w:pPr>
        <w:numPr>
          <w:ilvl w:val="0"/>
          <w:numId w:val="1303"/>
        </w:numPr>
        <w:shd w:val="clear" w:color="auto" w:fill="FFFFFF"/>
        <w:spacing w:before="100" w:beforeAutospacing="1" w:after="100" w:afterAutospacing="1" w:line="240" w:lineRule="auto"/>
        <w:rPr>
          <w:rFonts w:cs="Times New Roman"/>
          <w:color w:val="000000"/>
          <w:sz w:val="16"/>
          <w:szCs w:val="18"/>
          <w:shd w:val="clear" w:color="auto" w:fill="FFFFFF"/>
        </w:rPr>
      </w:pPr>
      <w:r w:rsidRPr="0041723A">
        <w:rPr>
          <w:rFonts w:cs="Times New Roman"/>
          <w:color w:val="000000"/>
          <w:sz w:val="16"/>
          <w:szCs w:val="18"/>
          <w:shd w:val="clear" w:color="auto" w:fill="FFFFFF"/>
        </w:rPr>
        <w:t>énumérer les aspects importants de la détermination de la capacité de consentement (p. ex. détérioration des fonctions cognitives, coercition);</w:t>
      </w:r>
    </w:p>
    <w:p w:rsidR="0041723A" w:rsidRPr="0041723A" w:rsidRDefault="0041723A" w:rsidP="0041723A">
      <w:pPr>
        <w:numPr>
          <w:ilvl w:val="0"/>
          <w:numId w:val="1303"/>
        </w:numPr>
        <w:shd w:val="clear" w:color="auto" w:fill="FFFFFF"/>
        <w:spacing w:before="100" w:beforeAutospacing="1" w:after="100" w:afterAutospacing="1" w:line="240" w:lineRule="auto"/>
        <w:rPr>
          <w:rFonts w:cs="Times New Roman"/>
          <w:color w:val="000000"/>
          <w:sz w:val="16"/>
          <w:szCs w:val="18"/>
          <w:shd w:val="clear" w:color="auto" w:fill="FFFFFF"/>
        </w:rPr>
      </w:pPr>
      <w:r w:rsidRPr="0041723A">
        <w:rPr>
          <w:rFonts w:cs="Times New Roman"/>
          <w:color w:val="000000"/>
          <w:sz w:val="16"/>
          <w:szCs w:val="18"/>
          <w:shd w:val="clear" w:color="auto" w:fill="FFFFFF"/>
        </w:rPr>
        <w:t>énumérer les étapes à franchir pour obtenir un consentement en cas d'incapacité (p. ex. mandataire spécial, décision d'un tribunal);</w:t>
      </w:r>
    </w:p>
    <w:p w:rsidR="0041723A" w:rsidRPr="0041723A" w:rsidRDefault="0041723A" w:rsidP="0041723A">
      <w:pPr>
        <w:numPr>
          <w:ilvl w:val="0"/>
          <w:numId w:val="1303"/>
        </w:numPr>
        <w:shd w:val="clear" w:color="auto" w:fill="FFFFFF"/>
        <w:spacing w:before="100" w:beforeAutospacing="1" w:after="100" w:afterAutospacing="1" w:line="240" w:lineRule="auto"/>
        <w:rPr>
          <w:rFonts w:cs="Times New Roman"/>
          <w:color w:val="000000"/>
          <w:sz w:val="16"/>
          <w:szCs w:val="18"/>
          <w:shd w:val="clear" w:color="auto" w:fill="FFFFFF"/>
        </w:rPr>
      </w:pPr>
      <w:r w:rsidRPr="0041723A">
        <w:rPr>
          <w:rFonts w:cs="Times New Roman"/>
          <w:color w:val="000000"/>
          <w:sz w:val="16"/>
          <w:szCs w:val="18"/>
          <w:shd w:val="clear" w:color="auto" w:fill="FFFFFF"/>
        </w:rPr>
        <w:t>connaître l'information à fournir pour s'assurer qu'un consentement éclairé a été obtenu;</w:t>
      </w:r>
    </w:p>
    <w:p w:rsidR="0041723A" w:rsidRPr="0041723A" w:rsidRDefault="0041723A" w:rsidP="0041723A">
      <w:pPr>
        <w:numPr>
          <w:ilvl w:val="0"/>
          <w:numId w:val="1303"/>
        </w:numPr>
        <w:shd w:val="clear" w:color="auto" w:fill="FFFFFF"/>
        <w:spacing w:before="100" w:beforeAutospacing="1" w:after="100" w:afterAutospacing="1" w:line="240" w:lineRule="auto"/>
        <w:rPr>
          <w:rFonts w:cs="Times New Roman"/>
          <w:color w:val="000000"/>
          <w:sz w:val="16"/>
          <w:szCs w:val="18"/>
          <w:shd w:val="clear" w:color="auto" w:fill="FFFFFF"/>
        </w:rPr>
      </w:pPr>
      <w:r w:rsidRPr="0041723A">
        <w:rPr>
          <w:rFonts w:cs="Times New Roman"/>
          <w:color w:val="000000"/>
          <w:sz w:val="16"/>
          <w:szCs w:val="18"/>
          <w:shd w:val="clear" w:color="auto" w:fill="FFFFFF"/>
        </w:rPr>
        <w:t>distinguer les circonstances dans lesquelles un consentement implicite est acceptable;</w:t>
      </w:r>
    </w:p>
    <w:p w:rsidR="0041723A" w:rsidRPr="0041723A" w:rsidRDefault="0041723A" w:rsidP="0041723A">
      <w:pPr>
        <w:numPr>
          <w:ilvl w:val="0"/>
          <w:numId w:val="1303"/>
        </w:numPr>
        <w:shd w:val="clear" w:color="auto" w:fill="FFFFFF"/>
        <w:spacing w:before="100" w:beforeAutospacing="1" w:after="100" w:afterAutospacing="1" w:line="240" w:lineRule="auto"/>
        <w:rPr>
          <w:rFonts w:cs="Times New Roman"/>
          <w:color w:val="000000"/>
          <w:sz w:val="16"/>
          <w:szCs w:val="18"/>
          <w:shd w:val="clear" w:color="auto" w:fill="FFFFFF"/>
        </w:rPr>
      </w:pPr>
      <w:r w:rsidRPr="0041723A">
        <w:rPr>
          <w:rFonts w:cs="Times New Roman"/>
          <w:color w:val="000000"/>
          <w:sz w:val="16"/>
          <w:szCs w:val="18"/>
          <w:shd w:val="clear" w:color="auto" w:fill="FFFFFF"/>
        </w:rPr>
        <w:t>énumérer les problèmes liés à un consentement écrit ou verbal, y compris les documents appropriés;</w:t>
      </w:r>
    </w:p>
    <w:p w:rsidR="0041723A" w:rsidRPr="0041723A" w:rsidRDefault="0041723A" w:rsidP="0041723A">
      <w:pPr>
        <w:numPr>
          <w:ilvl w:val="0"/>
          <w:numId w:val="1303"/>
        </w:numPr>
        <w:shd w:val="clear" w:color="auto" w:fill="FFFFFF"/>
        <w:spacing w:before="100" w:beforeAutospacing="1" w:after="100" w:afterAutospacing="1" w:line="240" w:lineRule="auto"/>
        <w:rPr>
          <w:rFonts w:cs="Times New Roman"/>
          <w:color w:val="000000"/>
          <w:sz w:val="16"/>
          <w:szCs w:val="18"/>
          <w:shd w:val="clear" w:color="auto" w:fill="FFFFFF"/>
        </w:rPr>
      </w:pPr>
      <w:r w:rsidRPr="0041723A">
        <w:rPr>
          <w:rFonts w:cs="Times New Roman"/>
          <w:color w:val="000000"/>
          <w:sz w:val="16"/>
          <w:szCs w:val="18"/>
          <w:shd w:val="clear" w:color="auto" w:fill="FFFFFF"/>
        </w:rPr>
        <w:t>connaître les exceptions à l'exigence de consentement (p. ex. signalement obligatoire, risque de causer du tort à autrui);</w:t>
      </w:r>
    </w:p>
    <w:p w:rsidR="00100A05" w:rsidRPr="00100A05" w:rsidRDefault="0041723A" w:rsidP="00100A05">
      <w:pPr>
        <w:numPr>
          <w:ilvl w:val="0"/>
          <w:numId w:val="1303"/>
        </w:numPr>
        <w:shd w:val="clear" w:color="auto" w:fill="FFFFFF"/>
        <w:spacing w:before="100" w:beforeAutospacing="1" w:after="0" w:line="240" w:lineRule="auto"/>
        <w:rPr>
          <w:rFonts w:cs="Times New Roman"/>
          <w:color w:val="000000"/>
          <w:sz w:val="16"/>
          <w:szCs w:val="18"/>
          <w:shd w:val="clear" w:color="auto" w:fill="FFFFFF"/>
        </w:rPr>
      </w:pPr>
      <w:bookmarkStart w:id="405" w:name="Objectifssp%C3%A9cifiques7"/>
      <w:r w:rsidRPr="0041723A">
        <w:rPr>
          <w:rFonts w:cs="Times New Roman"/>
          <w:color w:val="000000"/>
          <w:sz w:val="16"/>
          <w:szCs w:val="18"/>
          <w:shd w:val="clear" w:color="auto" w:fill="FFFFFF"/>
        </w:rPr>
        <w:t>décrire les limites et la portée d'un consentement obtenu dans une situation donnée (p. ex. limites liées à la procédure, durée du consentement).</w:t>
      </w:r>
      <w:bookmarkEnd w:id="405"/>
    </w:p>
    <w:p w:rsidR="00580F6C" w:rsidRPr="00100A05" w:rsidRDefault="00580F6C" w:rsidP="00100A05">
      <w:pPr>
        <w:pStyle w:val="Sansinterligne"/>
        <w:spacing w:before="240"/>
        <w:rPr>
          <w:b/>
          <w:sz w:val="28"/>
          <w:szCs w:val="28"/>
        </w:rPr>
      </w:pPr>
      <w:r w:rsidRPr="00100A05">
        <w:rPr>
          <w:b/>
          <w:sz w:val="28"/>
          <w:szCs w:val="28"/>
        </w:rPr>
        <w:t>Prérequis à un consentement libre et éclairé</w:t>
      </w:r>
    </w:p>
    <w:p w:rsidR="00580F6C" w:rsidRDefault="00580F6C" w:rsidP="00580F6C">
      <w:pPr>
        <w:pStyle w:val="Sansinterligne"/>
      </w:pPr>
    </w:p>
    <w:p w:rsidR="00C91C79" w:rsidRPr="00100A05" w:rsidRDefault="00C91C79" w:rsidP="00A475F4">
      <w:pPr>
        <w:pStyle w:val="Sansinterligne"/>
        <w:numPr>
          <w:ilvl w:val="0"/>
          <w:numId w:val="1328"/>
        </w:numPr>
        <w:ind w:left="360"/>
        <w:rPr>
          <w:highlight w:val="yellow"/>
        </w:rPr>
      </w:pPr>
      <w:r w:rsidRPr="00100A05">
        <w:rPr>
          <w:highlight w:val="yellow"/>
        </w:rPr>
        <w:t>Doit être volontaire</w:t>
      </w:r>
    </w:p>
    <w:p w:rsidR="00C91C79" w:rsidRDefault="00C91C79" w:rsidP="00A475F4">
      <w:pPr>
        <w:pStyle w:val="Sansinterligne"/>
        <w:numPr>
          <w:ilvl w:val="1"/>
          <w:numId w:val="1328"/>
        </w:numPr>
      </w:pPr>
      <w:r>
        <w:t>Absence de pression, mensonges ou chantage</w:t>
      </w:r>
    </w:p>
    <w:p w:rsidR="00C91C79" w:rsidRDefault="00C91C79" w:rsidP="00100A05">
      <w:pPr>
        <w:pStyle w:val="Sansinterligne"/>
      </w:pPr>
    </w:p>
    <w:p w:rsidR="00C91C79" w:rsidRPr="00100A05" w:rsidRDefault="00C91C79" w:rsidP="00A475F4">
      <w:pPr>
        <w:pStyle w:val="Sansinterligne"/>
        <w:numPr>
          <w:ilvl w:val="0"/>
          <w:numId w:val="1328"/>
        </w:numPr>
        <w:ind w:left="360"/>
        <w:rPr>
          <w:highlight w:val="yellow"/>
        </w:rPr>
      </w:pPr>
      <w:r w:rsidRPr="00100A05">
        <w:rPr>
          <w:highlight w:val="yellow"/>
        </w:rPr>
        <w:t>Le patient doit être apte</w:t>
      </w:r>
    </w:p>
    <w:p w:rsidR="00C91C79" w:rsidRDefault="00C91C79" w:rsidP="00A475F4">
      <w:pPr>
        <w:pStyle w:val="Sansinterligne"/>
        <w:numPr>
          <w:ilvl w:val="1"/>
          <w:numId w:val="1328"/>
        </w:numPr>
      </w:pPr>
      <w:r>
        <w:t>Comprend la nature et les effets de ce qui est proposé</w:t>
      </w:r>
    </w:p>
    <w:p w:rsidR="00C91C79" w:rsidRDefault="00C91C79" w:rsidP="00100A05">
      <w:pPr>
        <w:pStyle w:val="Sansinterligne"/>
      </w:pPr>
    </w:p>
    <w:p w:rsidR="00C91C79" w:rsidRPr="00100A05" w:rsidRDefault="00C91C79" w:rsidP="00A475F4">
      <w:pPr>
        <w:pStyle w:val="Sansinterligne"/>
        <w:numPr>
          <w:ilvl w:val="0"/>
          <w:numId w:val="1328"/>
        </w:numPr>
        <w:ind w:left="360"/>
        <w:rPr>
          <w:highlight w:val="yellow"/>
        </w:rPr>
      </w:pPr>
      <w:r w:rsidRPr="00100A05">
        <w:rPr>
          <w:highlight w:val="yellow"/>
        </w:rPr>
        <w:t>Doit être spécifique</w:t>
      </w:r>
    </w:p>
    <w:p w:rsidR="00C91C79" w:rsidRDefault="00C91C79" w:rsidP="00A475F4">
      <w:pPr>
        <w:pStyle w:val="Sansinterligne"/>
        <w:numPr>
          <w:ilvl w:val="1"/>
          <w:numId w:val="1328"/>
        </w:numPr>
      </w:pPr>
      <w:r>
        <w:t>S’applique à une intervention, un traitement, un examen et non à un</w:t>
      </w:r>
      <w:r w:rsidR="00720539">
        <w:t xml:space="preserve"> ensemble (tous les soins)</w:t>
      </w:r>
    </w:p>
    <w:p w:rsidR="00720539" w:rsidRDefault="00720539" w:rsidP="00100A05">
      <w:pPr>
        <w:pStyle w:val="Sansinterligne"/>
      </w:pPr>
    </w:p>
    <w:p w:rsidR="00C91C79" w:rsidRPr="00100A05" w:rsidRDefault="00C91C79" w:rsidP="00A475F4">
      <w:pPr>
        <w:pStyle w:val="Sansinterligne"/>
        <w:numPr>
          <w:ilvl w:val="0"/>
          <w:numId w:val="1328"/>
        </w:numPr>
        <w:ind w:left="360"/>
        <w:rPr>
          <w:highlight w:val="yellow"/>
        </w:rPr>
      </w:pPr>
      <w:r w:rsidRPr="00100A05">
        <w:rPr>
          <w:highlight w:val="yellow"/>
        </w:rPr>
        <w:t>Le patient doit être informé</w:t>
      </w:r>
    </w:p>
    <w:p w:rsidR="00C91C79" w:rsidRDefault="00720539" w:rsidP="00A475F4">
      <w:pPr>
        <w:pStyle w:val="Sansinterligne"/>
        <w:numPr>
          <w:ilvl w:val="1"/>
          <w:numId w:val="1328"/>
        </w:numPr>
      </w:pPr>
      <w:r>
        <w:t>Nature du traitement</w:t>
      </w:r>
    </w:p>
    <w:p w:rsidR="00720539" w:rsidRDefault="00720539" w:rsidP="00A475F4">
      <w:pPr>
        <w:pStyle w:val="Sansinterligne"/>
        <w:numPr>
          <w:ilvl w:val="1"/>
          <w:numId w:val="1328"/>
        </w:numPr>
      </w:pPr>
      <w:r>
        <w:t>Avantages</w:t>
      </w:r>
    </w:p>
    <w:p w:rsidR="00720539" w:rsidRDefault="00720539" w:rsidP="00A475F4">
      <w:pPr>
        <w:pStyle w:val="Sansinterligne"/>
        <w:numPr>
          <w:ilvl w:val="1"/>
          <w:numId w:val="1328"/>
        </w:numPr>
      </w:pPr>
      <w:r>
        <w:t xml:space="preserve">Risques </w:t>
      </w:r>
      <w:r w:rsidR="00100A05">
        <w:t>fréquents</w:t>
      </w:r>
      <w:r>
        <w:t xml:space="preserve"> (</w:t>
      </w:r>
      <w:r>
        <w:rPr>
          <w:rFonts w:ascii="Century Gothic" w:hAnsi="Century Gothic"/>
        </w:rPr>
        <w:t>≥</w:t>
      </w:r>
      <w:r>
        <w:t xml:space="preserve"> 1% en général) </w:t>
      </w:r>
      <w:r w:rsidR="00100A05">
        <w:t>et/ou</w:t>
      </w:r>
      <w:r>
        <w:t xml:space="preserve"> graves (ex : décès, agranulocytose)</w:t>
      </w:r>
    </w:p>
    <w:p w:rsidR="00720539" w:rsidRDefault="00720539" w:rsidP="00A475F4">
      <w:pPr>
        <w:pStyle w:val="Sansinterligne"/>
        <w:numPr>
          <w:ilvl w:val="1"/>
          <w:numId w:val="1328"/>
        </w:numPr>
      </w:pPr>
      <w:r>
        <w:t>Alternatives existantes</w:t>
      </w:r>
    </w:p>
    <w:p w:rsidR="00720539" w:rsidRDefault="00720539" w:rsidP="00100A05">
      <w:pPr>
        <w:pStyle w:val="Sansinterligne"/>
      </w:pPr>
    </w:p>
    <w:p w:rsidR="00720539" w:rsidRPr="00100A05" w:rsidRDefault="00720539" w:rsidP="00A475F4">
      <w:pPr>
        <w:pStyle w:val="Sansinterligne"/>
        <w:numPr>
          <w:ilvl w:val="0"/>
          <w:numId w:val="1328"/>
        </w:numPr>
        <w:ind w:left="360"/>
        <w:rPr>
          <w:highlight w:val="yellow"/>
        </w:rPr>
      </w:pPr>
      <w:r w:rsidRPr="00100A05">
        <w:rPr>
          <w:highlight w:val="yellow"/>
        </w:rPr>
        <w:t>Le médecin doit répondre à toutes les questions.</w:t>
      </w:r>
    </w:p>
    <w:p w:rsidR="00720539" w:rsidRDefault="00720539" w:rsidP="00A475F4">
      <w:pPr>
        <w:pStyle w:val="Sansinterligne"/>
        <w:numPr>
          <w:ilvl w:val="1"/>
          <w:numId w:val="1328"/>
        </w:numPr>
      </w:pPr>
      <w:r>
        <w:t>Il a la responsabilité de s’assurer d’offrir aux patients l’information requise</w:t>
      </w:r>
    </w:p>
    <w:p w:rsidR="00720539" w:rsidRDefault="00216814" w:rsidP="00A475F4">
      <w:pPr>
        <w:pStyle w:val="Sansinterligne"/>
        <w:numPr>
          <w:ilvl w:val="1"/>
          <w:numId w:val="1328"/>
        </w:numPr>
      </w:pPr>
      <w:r>
        <w:rPr>
          <w:noProof/>
          <w:lang w:eastAsia="fr-CA"/>
        </w:rPr>
        <w:drawing>
          <wp:anchor distT="0" distB="0" distL="114300" distR="114300" simplePos="0" relativeHeight="252112896" behindDoc="1" locked="0" layoutInCell="1" allowOverlap="1" wp14:anchorId="6A181451" wp14:editId="38D05832">
            <wp:simplePos x="0" y="0"/>
            <wp:positionH relativeFrom="column">
              <wp:posOffset>3802380</wp:posOffset>
            </wp:positionH>
            <wp:positionV relativeFrom="paragraph">
              <wp:posOffset>55245</wp:posOffset>
            </wp:positionV>
            <wp:extent cx="3161030" cy="1734820"/>
            <wp:effectExtent l="0" t="0" r="1270" b="0"/>
            <wp:wrapNone/>
            <wp:docPr id="596" name="Image 596" descr="Résultats de recherche d'images pour « consentemen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ésultats de recherche d'images pour « consentement »"/>
                    <pic:cNvPicPr>
                      <a:picLocks noChangeAspect="1" noChangeArrowheads="1"/>
                    </pic:cNvPicPr>
                  </pic:nvPicPr>
                  <pic:blipFill>
                    <a:blip r:embed="rId401">
                      <a:extLst>
                        <a:ext uri="{28A0092B-C50C-407E-A947-70E740481C1C}">
                          <a14:useLocalDpi xmlns:a14="http://schemas.microsoft.com/office/drawing/2010/main" val="0"/>
                        </a:ext>
                      </a:extLst>
                    </a:blip>
                    <a:srcRect/>
                    <a:stretch>
                      <a:fillRect/>
                    </a:stretch>
                  </pic:blipFill>
                  <pic:spPr bwMode="auto">
                    <a:xfrm>
                      <a:off x="0" y="0"/>
                      <a:ext cx="3161030" cy="1734820"/>
                    </a:xfrm>
                    <a:prstGeom prst="rect">
                      <a:avLst/>
                    </a:prstGeom>
                    <a:noFill/>
                    <a:ln>
                      <a:noFill/>
                    </a:ln>
                  </pic:spPr>
                </pic:pic>
              </a:graphicData>
            </a:graphic>
            <wp14:sizeRelH relativeFrom="page">
              <wp14:pctWidth>0</wp14:pctWidth>
            </wp14:sizeRelH>
            <wp14:sizeRelV relativeFrom="page">
              <wp14:pctHeight>0</wp14:pctHeight>
            </wp14:sizeRelV>
          </wp:anchor>
        </w:drawing>
      </w:r>
      <w:r w:rsidR="00720539">
        <w:t>Il ne peut dissimuler de l’information sous prétexte de conflit de valeurs</w:t>
      </w:r>
    </w:p>
    <w:p w:rsidR="00720539" w:rsidRDefault="00720539" w:rsidP="00580F6C">
      <w:pPr>
        <w:pStyle w:val="Sansinterligne"/>
      </w:pPr>
    </w:p>
    <w:p w:rsidR="00100A05" w:rsidRDefault="00100A05" w:rsidP="00100A05">
      <w:pPr>
        <w:pStyle w:val="Sansinterligne"/>
      </w:pPr>
      <w:r>
        <w:t>Le consentement peut être :</w:t>
      </w:r>
    </w:p>
    <w:p w:rsidR="00100A05" w:rsidRDefault="00100A05" w:rsidP="00100A05">
      <w:pPr>
        <w:pStyle w:val="Sansinterligne"/>
      </w:pPr>
    </w:p>
    <w:p w:rsidR="00580F6C" w:rsidRDefault="00100A05" w:rsidP="00A475F4">
      <w:pPr>
        <w:pStyle w:val="Sansinterligne"/>
        <w:numPr>
          <w:ilvl w:val="0"/>
          <w:numId w:val="1329"/>
        </w:numPr>
        <w:ind w:left="360"/>
      </w:pPr>
      <w:r w:rsidRPr="00100A05">
        <w:rPr>
          <w:u w:val="single"/>
        </w:rPr>
        <w:t>Écrit</w:t>
      </w:r>
      <w:r>
        <w:t xml:space="preserve"> (formulaire signé)</w:t>
      </w:r>
    </w:p>
    <w:p w:rsidR="00580F6C" w:rsidRDefault="00100A05" w:rsidP="00A475F4">
      <w:pPr>
        <w:pStyle w:val="Sansinterligne"/>
        <w:numPr>
          <w:ilvl w:val="1"/>
          <w:numId w:val="1329"/>
        </w:numPr>
      </w:pPr>
      <w:r>
        <w:t>Preuve valide et écrite</w:t>
      </w:r>
    </w:p>
    <w:p w:rsidR="00100A05" w:rsidRPr="00100A05" w:rsidRDefault="00100A05" w:rsidP="00A475F4">
      <w:pPr>
        <w:pStyle w:val="Sansinterligne"/>
        <w:numPr>
          <w:ilvl w:val="0"/>
          <w:numId w:val="1329"/>
        </w:numPr>
        <w:ind w:left="360"/>
        <w:rPr>
          <w:u w:val="single"/>
        </w:rPr>
      </w:pPr>
      <w:r w:rsidRPr="00100A05">
        <w:rPr>
          <w:u w:val="single"/>
        </w:rPr>
        <w:t>Verbal</w:t>
      </w:r>
    </w:p>
    <w:p w:rsidR="00580F6C" w:rsidRDefault="00100A05" w:rsidP="00A475F4">
      <w:pPr>
        <w:pStyle w:val="Sansinterligne"/>
        <w:numPr>
          <w:ilvl w:val="1"/>
          <w:numId w:val="1329"/>
        </w:numPr>
      </w:pPr>
      <w:r>
        <w:t xml:space="preserve">Valable, mais contestable. </w:t>
      </w:r>
    </w:p>
    <w:p w:rsidR="00580F6C" w:rsidRPr="00100A05" w:rsidRDefault="00100A05" w:rsidP="00A475F4">
      <w:pPr>
        <w:pStyle w:val="Sansinterligne"/>
        <w:numPr>
          <w:ilvl w:val="0"/>
          <w:numId w:val="1329"/>
        </w:numPr>
        <w:ind w:left="360"/>
        <w:rPr>
          <w:u w:val="single"/>
        </w:rPr>
      </w:pPr>
      <w:r w:rsidRPr="00100A05">
        <w:rPr>
          <w:u w:val="single"/>
        </w:rPr>
        <w:t>Implicite</w:t>
      </w:r>
    </w:p>
    <w:p w:rsidR="00100A05" w:rsidRDefault="00100A05" w:rsidP="00A475F4">
      <w:pPr>
        <w:pStyle w:val="Sansinterligne"/>
        <w:numPr>
          <w:ilvl w:val="1"/>
          <w:numId w:val="1329"/>
        </w:numPr>
      </w:pPr>
      <w:r>
        <w:t>Manifester de facto sa participation à une intervention</w:t>
      </w:r>
    </w:p>
    <w:p w:rsidR="00100A05" w:rsidRDefault="00100A05" w:rsidP="00A475F4">
      <w:pPr>
        <w:pStyle w:val="Sansinterligne"/>
        <w:numPr>
          <w:ilvl w:val="1"/>
          <w:numId w:val="1329"/>
        </w:numPr>
      </w:pPr>
      <w:r>
        <w:t>Ex : tendre le bras pour un prélèvement, s’installer en position gynécologique pour un examen</w:t>
      </w:r>
    </w:p>
    <w:p w:rsidR="00580F6C" w:rsidRDefault="00580F6C" w:rsidP="00100A05">
      <w:pPr>
        <w:pStyle w:val="Sansinterligne"/>
      </w:pPr>
    </w:p>
    <w:p w:rsidR="00100A05" w:rsidRDefault="00100A05" w:rsidP="00100A05">
      <w:pPr>
        <w:pStyle w:val="Sansinterligne"/>
        <w:rPr>
          <w:b/>
          <w:sz w:val="28"/>
          <w:szCs w:val="28"/>
        </w:rPr>
      </w:pPr>
    </w:p>
    <w:p w:rsidR="00100A05" w:rsidRDefault="00100A05" w:rsidP="00100A05">
      <w:pPr>
        <w:pStyle w:val="Sansinterligne"/>
        <w:rPr>
          <w:b/>
          <w:sz w:val="28"/>
          <w:szCs w:val="28"/>
        </w:rPr>
      </w:pPr>
    </w:p>
    <w:p w:rsidR="00100A05" w:rsidRDefault="00100A05" w:rsidP="00100A05">
      <w:pPr>
        <w:pStyle w:val="Sansinterligne"/>
        <w:rPr>
          <w:b/>
          <w:sz w:val="28"/>
          <w:szCs w:val="28"/>
        </w:rPr>
      </w:pPr>
    </w:p>
    <w:p w:rsidR="00100A05" w:rsidRDefault="00100A05" w:rsidP="00100A05">
      <w:pPr>
        <w:pStyle w:val="Sansinterligne"/>
        <w:rPr>
          <w:b/>
          <w:sz w:val="28"/>
          <w:szCs w:val="28"/>
        </w:rPr>
      </w:pPr>
    </w:p>
    <w:p w:rsidR="00E17173" w:rsidRPr="00100A05" w:rsidRDefault="00580F6C" w:rsidP="00100A05">
      <w:pPr>
        <w:pStyle w:val="Sansinterligne"/>
        <w:rPr>
          <w:b/>
          <w:sz w:val="28"/>
          <w:szCs w:val="28"/>
        </w:rPr>
      </w:pPr>
      <w:r w:rsidRPr="00100A05">
        <w:rPr>
          <w:b/>
          <w:sz w:val="28"/>
          <w:szCs w:val="28"/>
        </w:rPr>
        <w:t>Consentement et consentement substitué</w:t>
      </w:r>
    </w:p>
    <w:p w:rsidR="00580F6C" w:rsidRDefault="00580F6C" w:rsidP="00580F6C">
      <w:pPr>
        <w:pStyle w:val="Sansinterligne"/>
      </w:pPr>
    </w:p>
    <w:p w:rsidR="006C6E3E" w:rsidRDefault="006C6E3E" w:rsidP="00A475F4">
      <w:pPr>
        <w:pStyle w:val="Sansinterligne"/>
        <w:numPr>
          <w:ilvl w:val="0"/>
          <w:numId w:val="1332"/>
        </w:numPr>
      </w:pPr>
      <w:r>
        <w:t>Le consentement libre et éclairé est requis pour tout type de soins (examen, traitement, alimentation, hospitalisation)</w:t>
      </w:r>
    </w:p>
    <w:p w:rsidR="006C6E3E" w:rsidRDefault="006C6E3E" w:rsidP="00A475F4">
      <w:pPr>
        <w:pStyle w:val="Sansinterligne"/>
        <w:numPr>
          <w:ilvl w:val="1"/>
          <w:numId w:val="1332"/>
        </w:numPr>
      </w:pPr>
      <w:r>
        <w:t>Sauf exceptions légales</w:t>
      </w:r>
    </w:p>
    <w:p w:rsidR="006C6E3E" w:rsidRDefault="007A77C6" w:rsidP="00A475F4">
      <w:pPr>
        <w:pStyle w:val="Sansinterligne"/>
        <w:numPr>
          <w:ilvl w:val="1"/>
          <w:numId w:val="1332"/>
        </w:numPr>
      </w:pPr>
      <w:r>
        <w:rPr>
          <w:noProof/>
          <w:lang w:eastAsia="fr-CA"/>
        </w:rPr>
        <w:drawing>
          <wp:anchor distT="0" distB="0" distL="114300" distR="114300" simplePos="0" relativeHeight="252119040" behindDoc="1" locked="0" layoutInCell="1" allowOverlap="1" wp14:anchorId="2BD437CE" wp14:editId="076D91D0">
            <wp:simplePos x="0" y="0"/>
            <wp:positionH relativeFrom="column">
              <wp:posOffset>4357370</wp:posOffset>
            </wp:positionH>
            <wp:positionV relativeFrom="paragraph">
              <wp:posOffset>88900</wp:posOffset>
            </wp:positionV>
            <wp:extent cx="2470785" cy="1848485"/>
            <wp:effectExtent l="0" t="0" r="5715" b="0"/>
            <wp:wrapNone/>
            <wp:docPr id="600" name="Image 600" descr="Résultats de recherche d'images pour « consentemen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ésultats de recherche d'images pour « consentement »"/>
                    <pic:cNvPicPr>
                      <a:picLocks noChangeAspect="1" noChangeArrowheads="1"/>
                    </pic:cNvPicPr>
                  </pic:nvPicPr>
                  <pic:blipFill>
                    <a:blip r:embed="rId402">
                      <a:extLst>
                        <a:ext uri="{28A0092B-C50C-407E-A947-70E740481C1C}">
                          <a14:useLocalDpi xmlns:a14="http://schemas.microsoft.com/office/drawing/2010/main" val="0"/>
                        </a:ext>
                      </a:extLst>
                    </a:blip>
                    <a:srcRect/>
                    <a:stretch>
                      <a:fillRect/>
                    </a:stretch>
                  </pic:blipFill>
                  <pic:spPr bwMode="auto">
                    <a:xfrm>
                      <a:off x="0" y="0"/>
                      <a:ext cx="2470785" cy="1848485"/>
                    </a:xfrm>
                    <a:prstGeom prst="rect">
                      <a:avLst/>
                    </a:prstGeom>
                    <a:noFill/>
                    <a:ln>
                      <a:noFill/>
                    </a:ln>
                  </pic:spPr>
                </pic:pic>
              </a:graphicData>
            </a:graphic>
            <wp14:sizeRelH relativeFrom="page">
              <wp14:pctWidth>0</wp14:pctWidth>
            </wp14:sizeRelH>
            <wp14:sizeRelV relativeFrom="page">
              <wp14:pctHeight>0</wp14:pctHeight>
            </wp14:sizeRelV>
          </wp:anchor>
        </w:drawing>
      </w:r>
      <w:r w:rsidR="006C6E3E">
        <w:t>Principe de l’inviolabilité et du droit à l’intégrité.</w:t>
      </w:r>
    </w:p>
    <w:p w:rsidR="006C6E3E" w:rsidRDefault="006C6E3E" w:rsidP="00580F6C">
      <w:pPr>
        <w:pStyle w:val="Sansinterligne"/>
      </w:pPr>
    </w:p>
    <w:p w:rsidR="006C6E3E" w:rsidRPr="004850C4" w:rsidRDefault="006C6E3E" w:rsidP="00580F6C">
      <w:pPr>
        <w:pStyle w:val="Sansinterligne"/>
        <w:rPr>
          <w:highlight w:val="yellow"/>
        </w:rPr>
      </w:pPr>
      <w:r w:rsidRPr="004850C4">
        <w:rPr>
          <w:highlight w:val="yellow"/>
          <w:u w:val="single"/>
        </w:rPr>
        <w:t>En cas d’incapacité à consentir, un consentement substitué peut être obtenu auprès</w:t>
      </w:r>
      <w:r w:rsidRPr="004850C4">
        <w:rPr>
          <w:highlight w:val="yellow"/>
        </w:rPr>
        <w:t xml:space="preserve"> de :</w:t>
      </w:r>
    </w:p>
    <w:p w:rsidR="006C6E3E" w:rsidRPr="004850C4" w:rsidRDefault="006C6E3E" w:rsidP="00580F6C">
      <w:pPr>
        <w:pStyle w:val="Sansinterligne"/>
        <w:rPr>
          <w:highlight w:val="yellow"/>
        </w:rPr>
      </w:pPr>
    </w:p>
    <w:p w:rsidR="006C6E3E" w:rsidRPr="004850C4" w:rsidRDefault="006C6E3E" w:rsidP="00A475F4">
      <w:pPr>
        <w:pStyle w:val="Sansinterligne"/>
        <w:numPr>
          <w:ilvl w:val="0"/>
          <w:numId w:val="1333"/>
        </w:numPr>
        <w:rPr>
          <w:highlight w:val="yellow"/>
        </w:rPr>
      </w:pPr>
      <w:r w:rsidRPr="004850C4">
        <w:rPr>
          <w:highlight w:val="yellow"/>
        </w:rPr>
        <w:t>D’un mandataire (avec mandat homologué)</w:t>
      </w:r>
    </w:p>
    <w:p w:rsidR="006C6E3E" w:rsidRPr="004850C4" w:rsidRDefault="006C6E3E" w:rsidP="00A475F4">
      <w:pPr>
        <w:pStyle w:val="Sansinterligne"/>
        <w:numPr>
          <w:ilvl w:val="0"/>
          <w:numId w:val="1333"/>
        </w:numPr>
        <w:rPr>
          <w:highlight w:val="yellow"/>
        </w:rPr>
      </w:pPr>
      <w:r w:rsidRPr="004850C4">
        <w:rPr>
          <w:highlight w:val="yellow"/>
        </w:rPr>
        <w:t>D’un tuteur</w:t>
      </w:r>
    </w:p>
    <w:p w:rsidR="006C6E3E" w:rsidRPr="004850C4" w:rsidRDefault="006C6E3E" w:rsidP="00A475F4">
      <w:pPr>
        <w:pStyle w:val="Sansinterligne"/>
        <w:numPr>
          <w:ilvl w:val="0"/>
          <w:numId w:val="1333"/>
        </w:numPr>
        <w:rPr>
          <w:highlight w:val="yellow"/>
        </w:rPr>
      </w:pPr>
      <w:r w:rsidRPr="004850C4">
        <w:rPr>
          <w:highlight w:val="yellow"/>
        </w:rPr>
        <w:t>D’un curateur (privé ou public)</w:t>
      </w:r>
      <w:r w:rsidR="007A77C6" w:rsidRPr="007A77C6">
        <w:t xml:space="preserve"> </w:t>
      </w:r>
    </w:p>
    <w:p w:rsidR="006C6E3E" w:rsidRPr="004850C4" w:rsidRDefault="006C6E3E" w:rsidP="00580F6C">
      <w:pPr>
        <w:pStyle w:val="Sansinterligne"/>
        <w:rPr>
          <w:highlight w:val="yellow"/>
        </w:rPr>
      </w:pPr>
    </w:p>
    <w:p w:rsidR="006C6E3E" w:rsidRPr="004850C4" w:rsidRDefault="006C6E3E" w:rsidP="00580F6C">
      <w:pPr>
        <w:pStyle w:val="Sansinterligne"/>
        <w:rPr>
          <w:highlight w:val="yellow"/>
        </w:rPr>
      </w:pPr>
      <w:r w:rsidRPr="004850C4">
        <w:rPr>
          <w:highlight w:val="yellow"/>
          <w:u w:val="single"/>
        </w:rPr>
        <w:t>En l’absence de celles-ci, dans l’ordre</w:t>
      </w:r>
      <w:r w:rsidRPr="004850C4">
        <w:rPr>
          <w:highlight w:val="yellow"/>
        </w:rPr>
        <w:t> :</w:t>
      </w:r>
    </w:p>
    <w:p w:rsidR="006C6E3E" w:rsidRPr="004850C4" w:rsidRDefault="006C6E3E" w:rsidP="00A475F4">
      <w:pPr>
        <w:pStyle w:val="Sansinterligne"/>
        <w:numPr>
          <w:ilvl w:val="0"/>
          <w:numId w:val="1334"/>
        </w:numPr>
        <w:rPr>
          <w:highlight w:val="yellow"/>
        </w:rPr>
      </w:pPr>
      <w:r w:rsidRPr="004850C4">
        <w:rPr>
          <w:highlight w:val="yellow"/>
        </w:rPr>
        <w:t>Le conjoint (marié ou non)</w:t>
      </w:r>
    </w:p>
    <w:p w:rsidR="006C6E3E" w:rsidRPr="004850C4" w:rsidRDefault="006C6E3E" w:rsidP="00A475F4">
      <w:pPr>
        <w:pStyle w:val="Sansinterligne"/>
        <w:numPr>
          <w:ilvl w:val="0"/>
          <w:numId w:val="1334"/>
        </w:numPr>
        <w:rPr>
          <w:highlight w:val="yellow"/>
        </w:rPr>
      </w:pPr>
      <w:r w:rsidRPr="004850C4">
        <w:rPr>
          <w:highlight w:val="yellow"/>
        </w:rPr>
        <w:t>Un parent proche (parent, enfants, frères, sœurs, etc.)</w:t>
      </w:r>
    </w:p>
    <w:p w:rsidR="006C6E3E" w:rsidRPr="004850C4" w:rsidRDefault="006C6E3E" w:rsidP="00A475F4">
      <w:pPr>
        <w:pStyle w:val="Sansinterligne"/>
        <w:numPr>
          <w:ilvl w:val="0"/>
          <w:numId w:val="1334"/>
        </w:numPr>
        <w:rPr>
          <w:highlight w:val="yellow"/>
        </w:rPr>
      </w:pPr>
      <w:r w:rsidRPr="004850C4">
        <w:rPr>
          <w:highlight w:val="yellow"/>
        </w:rPr>
        <w:t>Toute personne démontrant un intérêt particulier pour la personne (ami, collègue, etc.)</w:t>
      </w:r>
    </w:p>
    <w:p w:rsidR="006C6E3E" w:rsidRDefault="006C6E3E" w:rsidP="00580F6C">
      <w:pPr>
        <w:pStyle w:val="Sansinterligne"/>
      </w:pPr>
    </w:p>
    <w:p w:rsidR="006C6E3E" w:rsidRDefault="006C6E3E" w:rsidP="00580F6C">
      <w:pPr>
        <w:pStyle w:val="Sansinterligne"/>
      </w:pPr>
      <w:r>
        <w:t>En l’absence de personne pour un consentement substitué, il faut s’adresser au tribunal qui pourra désigner un curateur au besoin.</w:t>
      </w:r>
    </w:p>
    <w:p w:rsidR="006C6E3E" w:rsidRDefault="006C6E3E" w:rsidP="00580F6C">
      <w:pPr>
        <w:pStyle w:val="Sansinterligne"/>
      </w:pPr>
    </w:p>
    <w:p w:rsidR="00DD59F3" w:rsidRDefault="00DD59F3" w:rsidP="00580F6C">
      <w:pPr>
        <w:pStyle w:val="Sansinterligne"/>
      </w:pPr>
      <w:r w:rsidRPr="004850C4">
        <w:rPr>
          <w:highlight w:val="yellow"/>
        </w:rPr>
        <w:t>La personne qui consent pour autrui est tenue par la loi de prendre sa décision en fonction, et uniquement en fonction, de l’intérêt de la personne qu’elle représente. Elle doit également tenir compte de ses volontés</w:t>
      </w:r>
    </w:p>
    <w:p w:rsidR="00DD59F3" w:rsidRDefault="00DD59F3" w:rsidP="00580F6C">
      <w:pPr>
        <w:pStyle w:val="Sansinterligne"/>
      </w:pPr>
    </w:p>
    <w:p w:rsidR="00DD59F3" w:rsidRDefault="00DD59F3" w:rsidP="00580F6C">
      <w:pPr>
        <w:pStyle w:val="Sansinterligne"/>
      </w:pPr>
    </w:p>
    <w:p w:rsidR="00DD59F3" w:rsidRDefault="00DD59F3" w:rsidP="00580F6C">
      <w:pPr>
        <w:pStyle w:val="Sansinterligne"/>
        <w:rPr>
          <w:u w:val="single"/>
        </w:rPr>
      </w:pPr>
      <w:r w:rsidRPr="00DD59F3">
        <w:rPr>
          <w:u w:val="single"/>
        </w:rPr>
        <w:t>Au Québec (hors objectifs du CMC car législation varie selon les provinces)</w:t>
      </w:r>
    </w:p>
    <w:p w:rsidR="00DD59F3" w:rsidRPr="00DD59F3" w:rsidRDefault="00DD59F3" w:rsidP="00580F6C">
      <w:pPr>
        <w:pStyle w:val="Sansinterligne"/>
        <w:rPr>
          <w:u w:val="single"/>
        </w:rPr>
      </w:pPr>
    </w:p>
    <w:p w:rsidR="006C6E3E" w:rsidRDefault="006C6E3E" w:rsidP="00A475F4">
      <w:pPr>
        <w:pStyle w:val="Sansinterligne"/>
        <w:numPr>
          <w:ilvl w:val="0"/>
          <w:numId w:val="1335"/>
        </w:numPr>
        <w:ind w:left="360"/>
      </w:pPr>
      <w:r>
        <w:t>Un mineur de moins de 14 ans ne peut consentir aux soins. Le titulariat du consentement revient aux parents.</w:t>
      </w:r>
    </w:p>
    <w:p w:rsidR="006C6E3E" w:rsidRDefault="006C6E3E" w:rsidP="00A475F4">
      <w:pPr>
        <w:pStyle w:val="Sansinterligne"/>
        <w:numPr>
          <w:ilvl w:val="1"/>
          <w:numId w:val="1335"/>
        </w:numPr>
      </w:pPr>
      <w:r>
        <w:t>Si les 2 parents sont en désaccords, il faudra s’adresser au tribunal.</w:t>
      </w:r>
    </w:p>
    <w:p w:rsidR="00341DA5" w:rsidRDefault="00341DA5" w:rsidP="00DD59F3">
      <w:pPr>
        <w:pStyle w:val="Sansinterligne"/>
      </w:pPr>
    </w:p>
    <w:p w:rsidR="00341DA5" w:rsidRDefault="00341DA5" w:rsidP="00A475F4">
      <w:pPr>
        <w:pStyle w:val="Sansinterligne"/>
        <w:numPr>
          <w:ilvl w:val="0"/>
          <w:numId w:val="1335"/>
        </w:numPr>
        <w:ind w:left="360"/>
      </w:pPr>
      <w:r>
        <w:t xml:space="preserve">Un mineur de plus de 14 ans </w:t>
      </w:r>
      <w:r w:rsidRPr="00341DA5">
        <w:rPr>
          <w:u w:val="single"/>
        </w:rPr>
        <w:t>peut consentir aux soins requis</w:t>
      </w:r>
      <w:r>
        <w:t xml:space="preserve"> par son état (incluant l’avortement) - ne peut toutefois les refuser</w:t>
      </w:r>
    </w:p>
    <w:p w:rsidR="00341DA5" w:rsidRDefault="00341DA5" w:rsidP="00A475F4">
      <w:pPr>
        <w:pStyle w:val="Sansinterligne"/>
        <w:numPr>
          <w:ilvl w:val="1"/>
          <w:numId w:val="1335"/>
        </w:numPr>
      </w:pPr>
      <w:r>
        <w:t>Les parents / titulaire de l’autorité parentale doit cependant être avisé si l’enfant doit être hospitalisé plus de 12 heures.</w:t>
      </w:r>
    </w:p>
    <w:p w:rsidR="00341DA5" w:rsidRDefault="00341DA5" w:rsidP="00A475F4">
      <w:pPr>
        <w:pStyle w:val="Sansinterligne"/>
        <w:numPr>
          <w:ilvl w:val="1"/>
          <w:numId w:val="1335"/>
        </w:numPr>
      </w:pPr>
      <w:r>
        <w:t>Le consentement</w:t>
      </w:r>
      <w:r w:rsidR="00DD59F3">
        <w:t xml:space="preserve"> des parents/titulaire est toutefois requis en cas de risque grave pour la santé ou d’effets graves ou permanents sur l’enfant.</w:t>
      </w:r>
    </w:p>
    <w:p w:rsidR="006C6E3E" w:rsidRDefault="006C6E3E" w:rsidP="00580F6C">
      <w:pPr>
        <w:pStyle w:val="Sansinterligne"/>
      </w:pPr>
    </w:p>
    <w:p w:rsidR="00580F6C" w:rsidRPr="00100A05" w:rsidRDefault="00580F6C" w:rsidP="00580F6C">
      <w:pPr>
        <w:pStyle w:val="Sansinterligne"/>
        <w:rPr>
          <w:b/>
          <w:sz w:val="28"/>
          <w:szCs w:val="28"/>
        </w:rPr>
      </w:pPr>
      <w:r w:rsidRPr="00100A05">
        <w:rPr>
          <w:b/>
          <w:sz w:val="28"/>
          <w:szCs w:val="28"/>
        </w:rPr>
        <w:t>Limites du consentement</w:t>
      </w:r>
    </w:p>
    <w:p w:rsidR="00580F6C" w:rsidRDefault="00580F6C" w:rsidP="00580F6C">
      <w:pPr>
        <w:pStyle w:val="Sansinterligne"/>
      </w:pPr>
    </w:p>
    <w:p w:rsidR="00100A05" w:rsidRPr="0087214D" w:rsidRDefault="00100A05" w:rsidP="00100A05">
      <w:pPr>
        <w:pStyle w:val="Sansinterligne"/>
        <w:numPr>
          <w:ilvl w:val="0"/>
          <w:numId w:val="1327"/>
        </w:numPr>
        <w:rPr>
          <w:highlight w:val="yellow"/>
        </w:rPr>
      </w:pPr>
      <w:r w:rsidRPr="0087214D">
        <w:rPr>
          <w:highlight w:val="yellow"/>
        </w:rPr>
        <w:t>Il n’y a pas de limite de temps définie au consentement.</w:t>
      </w:r>
    </w:p>
    <w:p w:rsidR="00100A05" w:rsidRPr="0087214D" w:rsidRDefault="00100A05" w:rsidP="00100A05">
      <w:pPr>
        <w:pStyle w:val="Sansinterligne"/>
        <w:numPr>
          <w:ilvl w:val="1"/>
          <w:numId w:val="1327"/>
        </w:numPr>
        <w:rPr>
          <w:highlight w:val="yellow"/>
        </w:rPr>
      </w:pPr>
      <w:r w:rsidRPr="0087214D">
        <w:rPr>
          <w:highlight w:val="yellow"/>
        </w:rPr>
        <w:t>Toutefois :</w:t>
      </w:r>
    </w:p>
    <w:p w:rsidR="00720539" w:rsidRPr="0087214D" w:rsidRDefault="00720539" w:rsidP="00100A05">
      <w:pPr>
        <w:pStyle w:val="Sansinterligne"/>
        <w:numPr>
          <w:ilvl w:val="2"/>
          <w:numId w:val="1327"/>
        </w:numPr>
        <w:rPr>
          <w:highlight w:val="yellow"/>
        </w:rPr>
      </w:pPr>
      <w:r w:rsidRPr="0087214D">
        <w:rPr>
          <w:highlight w:val="yellow"/>
        </w:rPr>
        <w:t>Le consentement peut être retiré ou modifié à tout moment avant ou pendant une intervention.</w:t>
      </w:r>
    </w:p>
    <w:p w:rsidR="00720539" w:rsidRPr="0087214D" w:rsidRDefault="00720539" w:rsidP="00100A05">
      <w:pPr>
        <w:pStyle w:val="Sansinterligne"/>
        <w:numPr>
          <w:ilvl w:val="3"/>
          <w:numId w:val="1327"/>
        </w:numPr>
        <w:rPr>
          <w:highlight w:val="yellow"/>
        </w:rPr>
      </w:pPr>
      <w:r w:rsidRPr="0087214D">
        <w:rPr>
          <w:highlight w:val="yellow"/>
        </w:rPr>
        <w:t>Sauf si cela le mettrait en danger de blessures ou lésions graves (ex : chirurgie en cours)</w:t>
      </w:r>
    </w:p>
    <w:p w:rsidR="00100A05" w:rsidRDefault="00100A05" w:rsidP="00100A05">
      <w:pPr>
        <w:pStyle w:val="Sansinterligne"/>
        <w:numPr>
          <w:ilvl w:val="2"/>
          <w:numId w:val="1327"/>
        </w:numPr>
      </w:pPr>
      <w:r>
        <w:t>Si les données ou les informations présentées ne sont plus valide en raison d’un délai, le consentement n’est plus éclairé.</w:t>
      </w:r>
    </w:p>
    <w:p w:rsidR="00720539" w:rsidRDefault="00720539" w:rsidP="00580F6C">
      <w:pPr>
        <w:pStyle w:val="Sansinterligne"/>
      </w:pPr>
    </w:p>
    <w:p w:rsidR="00580F6C" w:rsidRPr="00720539" w:rsidRDefault="00580F6C" w:rsidP="00580F6C">
      <w:pPr>
        <w:pStyle w:val="Sansinterligne"/>
        <w:rPr>
          <w:b/>
          <w:sz w:val="28"/>
          <w:szCs w:val="28"/>
        </w:rPr>
      </w:pPr>
      <w:r w:rsidRPr="00720539">
        <w:rPr>
          <w:b/>
          <w:sz w:val="28"/>
          <w:szCs w:val="28"/>
        </w:rPr>
        <w:t>Exceptions prévues</w:t>
      </w:r>
    </w:p>
    <w:p w:rsidR="00100A05" w:rsidRDefault="00100A05" w:rsidP="00580F6C">
      <w:pPr>
        <w:pStyle w:val="Sansinterligne"/>
        <w:rPr>
          <w:b/>
        </w:rPr>
      </w:pPr>
    </w:p>
    <w:p w:rsidR="00720539" w:rsidRPr="0087214D" w:rsidRDefault="00720539" w:rsidP="00580F6C">
      <w:pPr>
        <w:pStyle w:val="Sansinterligne"/>
        <w:rPr>
          <w:b/>
          <w:highlight w:val="yellow"/>
        </w:rPr>
      </w:pPr>
      <w:r w:rsidRPr="0087214D">
        <w:rPr>
          <w:b/>
          <w:highlight w:val="yellow"/>
        </w:rPr>
        <w:t>Urgence</w:t>
      </w:r>
      <w:r w:rsidR="00F53AFD" w:rsidRPr="0087214D">
        <w:rPr>
          <w:b/>
          <w:highlight w:val="yellow"/>
        </w:rPr>
        <w:t xml:space="preserve"> médicale</w:t>
      </w:r>
    </w:p>
    <w:p w:rsidR="006C6DE5" w:rsidRPr="0087214D" w:rsidRDefault="006C6DE5" w:rsidP="006C6DE5">
      <w:pPr>
        <w:pStyle w:val="Sansinterligne"/>
        <w:numPr>
          <w:ilvl w:val="0"/>
          <w:numId w:val="1327"/>
        </w:numPr>
        <w:rPr>
          <w:highlight w:val="yellow"/>
        </w:rPr>
      </w:pPr>
      <w:r w:rsidRPr="0087214D">
        <w:rPr>
          <w:highlight w:val="yellow"/>
        </w:rPr>
        <w:t>Les 3 sont requis</w:t>
      </w:r>
    </w:p>
    <w:p w:rsidR="00F53AFD" w:rsidRPr="0087214D" w:rsidRDefault="00F53AFD" w:rsidP="006C6DE5">
      <w:pPr>
        <w:pStyle w:val="Sansinterligne"/>
        <w:numPr>
          <w:ilvl w:val="1"/>
          <w:numId w:val="1327"/>
        </w:numPr>
        <w:rPr>
          <w:highlight w:val="yellow"/>
        </w:rPr>
      </w:pPr>
      <w:r w:rsidRPr="0087214D">
        <w:rPr>
          <w:highlight w:val="yellow"/>
        </w:rPr>
        <w:t>Si le patient risque un grave préjudice en absence de traitement rapide.</w:t>
      </w:r>
    </w:p>
    <w:p w:rsidR="00720539" w:rsidRPr="0087214D" w:rsidRDefault="00720539" w:rsidP="006C6DE5">
      <w:pPr>
        <w:pStyle w:val="Sansinterligne"/>
        <w:numPr>
          <w:ilvl w:val="1"/>
          <w:numId w:val="1327"/>
        </w:numPr>
        <w:rPr>
          <w:highlight w:val="yellow"/>
        </w:rPr>
      </w:pPr>
      <w:r w:rsidRPr="0087214D">
        <w:rPr>
          <w:highlight w:val="yellow"/>
        </w:rPr>
        <w:t>Si le patient et son substitut ne peut consentir ou n’est pas disponible</w:t>
      </w:r>
      <w:r w:rsidR="00B23BED" w:rsidRPr="0087214D">
        <w:rPr>
          <w:highlight w:val="yellow"/>
        </w:rPr>
        <w:t>.</w:t>
      </w:r>
    </w:p>
    <w:p w:rsidR="00720539" w:rsidRPr="0087214D" w:rsidRDefault="00720539" w:rsidP="006C6DE5">
      <w:pPr>
        <w:pStyle w:val="Sansinterligne"/>
        <w:numPr>
          <w:ilvl w:val="1"/>
          <w:numId w:val="1327"/>
        </w:numPr>
        <w:rPr>
          <w:highlight w:val="yellow"/>
        </w:rPr>
      </w:pPr>
      <w:r w:rsidRPr="0087214D">
        <w:rPr>
          <w:highlight w:val="yellow"/>
        </w:rPr>
        <w:t>Si cela ne va pas à l’encontre d’un souhait exprimé auparavant (ex : Carte des témoins de Jéhovah)</w:t>
      </w:r>
    </w:p>
    <w:p w:rsidR="00720539" w:rsidRPr="0087214D" w:rsidRDefault="00720539" w:rsidP="00580F6C">
      <w:pPr>
        <w:pStyle w:val="Sansinterligne"/>
        <w:rPr>
          <w:highlight w:val="yellow"/>
        </w:rPr>
      </w:pPr>
    </w:p>
    <w:p w:rsidR="00F0707D" w:rsidRDefault="00F0707D" w:rsidP="00580F6C">
      <w:pPr>
        <w:pStyle w:val="Sansinterligne"/>
        <w:rPr>
          <w:b/>
          <w:highlight w:val="yellow"/>
        </w:rPr>
      </w:pPr>
    </w:p>
    <w:p w:rsidR="00720539" w:rsidRPr="0087214D" w:rsidRDefault="00720539" w:rsidP="00580F6C">
      <w:pPr>
        <w:pStyle w:val="Sansinterligne"/>
        <w:rPr>
          <w:b/>
          <w:highlight w:val="yellow"/>
        </w:rPr>
      </w:pPr>
      <w:r w:rsidRPr="0087214D">
        <w:rPr>
          <w:b/>
          <w:highlight w:val="yellow"/>
        </w:rPr>
        <w:t>Loi</w:t>
      </w:r>
    </w:p>
    <w:p w:rsidR="00720539" w:rsidRPr="0087214D" w:rsidRDefault="00720539" w:rsidP="00A475F4">
      <w:pPr>
        <w:pStyle w:val="Sansinterligne"/>
        <w:numPr>
          <w:ilvl w:val="0"/>
          <w:numId w:val="1330"/>
        </w:numPr>
        <w:rPr>
          <w:highlight w:val="yellow"/>
        </w:rPr>
      </w:pPr>
      <w:r w:rsidRPr="0087214D">
        <w:rPr>
          <w:highlight w:val="yellow"/>
        </w:rPr>
        <w:t>Maladie à traitement obligatoire : Tuberculose</w:t>
      </w:r>
    </w:p>
    <w:p w:rsidR="00720539" w:rsidRPr="0087214D" w:rsidRDefault="00720539" w:rsidP="00A475F4">
      <w:pPr>
        <w:pStyle w:val="Sansinterligne"/>
        <w:numPr>
          <w:ilvl w:val="0"/>
          <w:numId w:val="1330"/>
        </w:numPr>
        <w:rPr>
          <w:highlight w:val="yellow"/>
        </w:rPr>
      </w:pPr>
      <w:r w:rsidRPr="0087214D">
        <w:rPr>
          <w:highlight w:val="yellow"/>
        </w:rPr>
        <w:t>Ordonnance de traitement / hospitalisation</w:t>
      </w:r>
    </w:p>
    <w:p w:rsidR="00720539" w:rsidRPr="0087214D" w:rsidRDefault="00720539" w:rsidP="00A475F4">
      <w:pPr>
        <w:pStyle w:val="Sansinterligne"/>
        <w:numPr>
          <w:ilvl w:val="0"/>
          <w:numId w:val="1330"/>
        </w:numPr>
        <w:rPr>
          <w:highlight w:val="yellow"/>
        </w:rPr>
      </w:pPr>
      <w:r w:rsidRPr="0087214D">
        <w:rPr>
          <w:highlight w:val="yellow"/>
        </w:rPr>
        <w:t>Cas de P-38 : garde préventive appliquée par le médecin de l’urgence</w:t>
      </w:r>
    </w:p>
    <w:p w:rsidR="00720539" w:rsidRDefault="00720539" w:rsidP="00580F6C">
      <w:pPr>
        <w:pStyle w:val="Sansinterligne"/>
      </w:pPr>
    </w:p>
    <w:p w:rsidR="00580F6C" w:rsidRPr="00AB78E6" w:rsidRDefault="00580F6C" w:rsidP="00580F6C">
      <w:pPr>
        <w:pStyle w:val="Sansinterligne"/>
        <w:rPr>
          <w:b/>
          <w:sz w:val="28"/>
          <w:szCs w:val="28"/>
        </w:rPr>
      </w:pPr>
      <w:r w:rsidRPr="00AB78E6">
        <w:rPr>
          <w:b/>
          <w:sz w:val="28"/>
          <w:szCs w:val="28"/>
        </w:rPr>
        <w:t>Situations où l’évaluation de l</w:t>
      </w:r>
      <w:r w:rsidR="00C91C79" w:rsidRPr="00AB78E6">
        <w:rPr>
          <w:b/>
          <w:sz w:val="28"/>
          <w:szCs w:val="28"/>
        </w:rPr>
        <w:t>’aptitude</w:t>
      </w:r>
      <w:r w:rsidRPr="00AB78E6">
        <w:rPr>
          <w:b/>
          <w:sz w:val="28"/>
          <w:szCs w:val="28"/>
        </w:rPr>
        <w:t xml:space="preserve"> peut s’</w:t>
      </w:r>
      <w:r w:rsidR="00F53AFD" w:rsidRPr="00AB78E6">
        <w:rPr>
          <w:b/>
          <w:sz w:val="28"/>
          <w:szCs w:val="28"/>
        </w:rPr>
        <w:t>avérer nécessaire</w:t>
      </w:r>
    </w:p>
    <w:p w:rsidR="00F53AFD" w:rsidRDefault="00F53AFD" w:rsidP="00580F6C">
      <w:pPr>
        <w:pStyle w:val="Sansinterligne"/>
      </w:pPr>
    </w:p>
    <w:p w:rsidR="00580F6C" w:rsidRDefault="00F0707D" w:rsidP="00F0707D">
      <w:pPr>
        <w:pStyle w:val="Sansinterligne"/>
        <w:numPr>
          <w:ilvl w:val="0"/>
          <w:numId w:val="1336"/>
        </w:numPr>
      </w:pPr>
      <w:r>
        <w:t>Troubles cognitifs</w:t>
      </w:r>
    </w:p>
    <w:p w:rsidR="00F0707D" w:rsidRDefault="00F0707D" w:rsidP="00F0707D">
      <w:pPr>
        <w:pStyle w:val="Sansinterligne"/>
        <w:numPr>
          <w:ilvl w:val="0"/>
          <w:numId w:val="1336"/>
        </w:numPr>
      </w:pPr>
      <w:r>
        <w:t>Troubles psychiatriques</w:t>
      </w:r>
    </w:p>
    <w:p w:rsidR="00F0707D" w:rsidRDefault="00F0707D" w:rsidP="00F0707D">
      <w:pPr>
        <w:pStyle w:val="Sansinterligne"/>
        <w:numPr>
          <w:ilvl w:val="0"/>
          <w:numId w:val="1336"/>
        </w:numPr>
      </w:pPr>
      <w:r>
        <w:t>Intoxication à des substances</w:t>
      </w:r>
    </w:p>
    <w:p w:rsidR="00E17173" w:rsidRDefault="00F0707D">
      <w:pPr>
        <w:rPr>
          <w:rFonts w:cs="Times New Roman"/>
          <w:b/>
          <w:color w:val="548DD4" w:themeColor="text2" w:themeTint="99"/>
        </w:rPr>
      </w:pPr>
      <w:r w:rsidRPr="0087214D">
        <w:rPr>
          <w:noProof/>
          <w:lang w:eastAsia="fr-CA"/>
        </w:rPr>
        <mc:AlternateContent>
          <mc:Choice Requires="wps">
            <w:drawing>
              <wp:anchor distT="0" distB="0" distL="114300" distR="114300" simplePos="0" relativeHeight="252114944" behindDoc="0" locked="0" layoutInCell="1" allowOverlap="1" wp14:anchorId="117F7FFA" wp14:editId="635D6220">
                <wp:simplePos x="0" y="0"/>
                <wp:positionH relativeFrom="column">
                  <wp:posOffset>-165735</wp:posOffset>
                </wp:positionH>
                <wp:positionV relativeFrom="paragraph">
                  <wp:posOffset>211455</wp:posOffset>
                </wp:positionV>
                <wp:extent cx="3297555" cy="1403985"/>
                <wp:effectExtent l="0" t="0" r="17145" b="16510"/>
                <wp:wrapNone/>
                <wp:docPr id="59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97555" cy="1403985"/>
                        </a:xfrm>
                        <a:prstGeom prst="rect">
                          <a:avLst/>
                        </a:prstGeom>
                        <a:solidFill>
                          <a:schemeClr val="accent6">
                            <a:lumMod val="60000"/>
                            <a:lumOff val="40000"/>
                          </a:schemeClr>
                        </a:solidFill>
                        <a:ln w="9525">
                          <a:solidFill>
                            <a:srgbClr val="000000"/>
                          </a:solidFill>
                          <a:miter lim="800000"/>
                          <a:headEnd/>
                          <a:tailEnd/>
                        </a:ln>
                      </wps:spPr>
                      <wps:txbx>
                        <w:txbxContent>
                          <w:p w:rsidR="008276DC" w:rsidRDefault="008276DC" w:rsidP="0087214D">
                            <w:pPr>
                              <w:spacing w:after="0"/>
                              <w:jc w:val="center"/>
                              <w:rPr>
                                <w:b/>
                                <w:u w:val="single"/>
                              </w:rPr>
                            </w:pPr>
                            <w:r w:rsidRPr="0087214D">
                              <w:rPr>
                                <w:b/>
                                <w:u w:val="single"/>
                              </w:rPr>
                              <w:t>Critères de la Nouvelle-Écosse</w:t>
                            </w:r>
                          </w:p>
                          <w:p w:rsidR="008276DC" w:rsidRPr="0087214D" w:rsidRDefault="008276DC" w:rsidP="0087214D">
                            <w:pPr>
                              <w:spacing w:after="0"/>
                              <w:jc w:val="center"/>
                              <w:rPr>
                                <w:sz w:val="18"/>
                                <w:szCs w:val="18"/>
                              </w:rPr>
                            </w:pPr>
                            <w:r w:rsidRPr="0087214D">
                              <w:rPr>
                                <w:sz w:val="18"/>
                                <w:szCs w:val="18"/>
                              </w:rPr>
                              <w:t>(pour l’aptitude à consentir)</w:t>
                            </w:r>
                          </w:p>
                          <w:p w:rsidR="008276DC" w:rsidRPr="0087214D" w:rsidRDefault="008276DC" w:rsidP="0087214D">
                            <w:pPr>
                              <w:spacing w:after="0"/>
                              <w:jc w:val="center"/>
                            </w:pPr>
                          </w:p>
                          <w:p w:rsidR="008276DC" w:rsidRDefault="008276DC" w:rsidP="00A475F4">
                            <w:pPr>
                              <w:pStyle w:val="Paragraphedeliste"/>
                              <w:numPr>
                                <w:ilvl w:val="0"/>
                                <w:numId w:val="1331"/>
                              </w:numPr>
                            </w:pPr>
                            <w:r>
                              <w:t>Compréhension de la nature de maladie pour laquelle le traitement est requis</w:t>
                            </w:r>
                          </w:p>
                          <w:p w:rsidR="008276DC" w:rsidRDefault="008276DC" w:rsidP="00A475F4">
                            <w:pPr>
                              <w:pStyle w:val="Paragraphedeliste"/>
                              <w:numPr>
                                <w:ilvl w:val="0"/>
                                <w:numId w:val="1331"/>
                              </w:numPr>
                            </w:pPr>
                            <w:r>
                              <w:t>Compréhension de la nature et du but du traitement</w:t>
                            </w:r>
                          </w:p>
                          <w:p w:rsidR="008276DC" w:rsidRDefault="008276DC" w:rsidP="00A475F4">
                            <w:pPr>
                              <w:pStyle w:val="Paragraphedeliste"/>
                              <w:numPr>
                                <w:ilvl w:val="0"/>
                                <w:numId w:val="1331"/>
                              </w:numPr>
                            </w:pPr>
                            <w:r>
                              <w:t>Compréhensions des risques et des avantages du traitement</w:t>
                            </w:r>
                          </w:p>
                          <w:p w:rsidR="008276DC" w:rsidRDefault="008276DC" w:rsidP="00A475F4">
                            <w:pPr>
                              <w:pStyle w:val="Paragraphedeliste"/>
                              <w:numPr>
                                <w:ilvl w:val="0"/>
                                <w:numId w:val="1331"/>
                              </w:numPr>
                            </w:pPr>
                            <w:r>
                              <w:t>Compréhensions de</w:t>
                            </w:r>
                            <w:r w:rsidR="00BA7F76">
                              <w:t>s risques de ne pas être traité</w:t>
                            </w:r>
                          </w:p>
                          <w:p w:rsidR="008276DC" w:rsidRDefault="008276DC" w:rsidP="00A475F4">
                            <w:pPr>
                              <w:pStyle w:val="Paragraphedeliste"/>
                              <w:numPr>
                                <w:ilvl w:val="0"/>
                                <w:numId w:val="1331"/>
                              </w:numPr>
                            </w:pPr>
                            <w:r>
                              <w:t>Compréhension non-affectée par la maladie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143" type="#_x0000_t202" style="position:absolute;margin-left:-13.05pt;margin-top:16.65pt;width:259.65pt;height:110.55pt;z-index:25211494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" fillcolor="#fabf8f [1945]">
                <v:textbox style="mso-fit-shape-to-text:t">
                  <w:txbxContent>
                    <w:p w:rsidR="008276DC" w:rsidRDefault="008276DC" w:rsidP="0087214D">
                      <w:pPr>
                        <w:spacing w:after="0"/>
                        <w:jc w:val="center"/>
                        <w:rPr>
                          <w:b/>
                          <w:u w:val="single"/>
                        </w:rPr>
                      </w:pPr>
                      <w:r w:rsidRPr="0087214D">
                        <w:rPr>
                          <w:b/>
                          <w:u w:val="single"/>
                        </w:rPr>
                        <w:t>Critères de la Nouvelle-Écosse</w:t>
                      </w:r>
                    </w:p>
                    <w:p w:rsidR="008276DC" w:rsidRPr="0087214D" w:rsidRDefault="008276DC" w:rsidP="0087214D">
                      <w:pPr>
                        <w:spacing w:after="0"/>
                        <w:jc w:val="center"/>
                        <w:rPr>
                          <w:sz w:val="18"/>
                          <w:szCs w:val="18"/>
                        </w:rPr>
                      </w:pPr>
                      <w:r w:rsidRPr="0087214D">
                        <w:rPr>
                          <w:sz w:val="18"/>
                          <w:szCs w:val="18"/>
                        </w:rPr>
                        <w:t>(</w:t>
                      </w:r>
                      <w:proofErr w:type="gramStart"/>
                      <w:r w:rsidRPr="0087214D">
                        <w:rPr>
                          <w:sz w:val="18"/>
                          <w:szCs w:val="18"/>
                        </w:rPr>
                        <w:t>pour</w:t>
                      </w:r>
                      <w:proofErr w:type="gramEnd"/>
                      <w:r w:rsidRPr="0087214D">
                        <w:rPr>
                          <w:sz w:val="18"/>
                          <w:szCs w:val="18"/>
                        </w:rPr>
                        <w:t xml:space="preserve"> l’aptitude à consentir)</w:t>
                      </w:r>
                    </w:p>
                    <w:p w:rsidR="008276DC" w:rsidRPr="0087214D" w:rsidRDefault="008276DC" w:rsidP="0087214D">
                      <w:pPr>
                        <w:spacing w:after="0"/>
                        <w:jc w:val="center"/>
                      </w:pPr>
                    </w:p>
                    <w:p w:rsidR="008276DC" w:rsidRDefault="008276DC" w:rsidP="00A475F4">
                      <w:pPr>
                        <w:pStyle w:val="Paragraphedeliste"/>
                        <w:numPr>
                          <w:ilvl w:val="0"/>
                          <w:numId w:val="1331"/>
                        </w:numPr>
                      </w:pPr>
                      <w:r>
                        <w:t>Compréhension de la nature de maladie pour laquelle le traitement est requis</w:t>
                      </w:r>
                    </w:p>
                    <w:p w:rsidR="008276DC" w:rsidRDefault="008276DC" w:rsidP="00A475F4">
                      <w:pPr>
                        <w:pStyle w:val="Paragraphedeliste"/>
                        <w:numPr>
                          <w:ilvl w:val="0"/>
                          <w:numId w:val="1331"/>
                        </w:numPr>
                      </w:pPr>
                      <w:r>
                        <w:t>Compréhension de la nature et du but du traitement</w:t>
                      </w:r>
                    </w:p>
                    <w:p w:rsidR="008276DC" w:rsidRDefault="008276DC" w:rsidP="00A475F4">
                      <w:pPr>
                        <w:pStyle w:val="Paragraphedeliste"/>
                        <w:numPr>
                          <w:ilvl w:val="0"/>
                          <w:numId w:val="1331"/>
                        </w:numPr>
                      </w:pPr>
                      <w:r>
                        <w:t>Compréhensions des risques et des avantages du traitement</w:t>
                      </w:r>
                    </w:p>
                    <w:p w:rsidR="008276DC" w:rsidRDefault="008276DC" w:rsidP="00A475F4">
                      <w:pPr>
                        <w:pStyle w:val="Paragraphedeliste"/>
                        <w:numPr>
                          <w:ilvl w:val="0"/>
                          <w:numId w:val="1331"/>
                        </w:numPr>
                      </w:pPr>
                      <w:r>
                        <w:t>Compréhensions de</w:t>
                      </w:r>
                      <w:r w:rsidR="00BA7F76">
                        <w:t>s risques de ne pas être traité</w:t>
                      </w:r>
                    </w:p>
                    <w:p w:rsidR="008276DC" w:rsidRDefault="008276DC" w:rsidP="00A475F4">
                      <w:pPr>
                        <w:pStyle w:val="Paragraphedeliste"/>
                        <w:numPr>
                          <w:ilvl w:val="0"/>
                          <w:numId w:val="1331"/>
                        </w:numPr>
                      </w:pPr>
                      <w:r>
                        <w:t>Compréhension non-affectée par la maladie</w:t>
                      </w:r>
                    </w:p>
                  </w:txbxContent>
                </v:textbox>
              </v:shape>
            </w:pict>
          </mc:Fallback>
        </mc:AlternateContent>
      </w:r>
    </w:p>
    <w:p w:rsidR="00E17173" w:rsidRDefault="00E17173">
      <w:pPr>
        <w:rPr>
          <w:rFonts w:cs="Times New Roman"/>
          <w:b/>
          <w:color w:val="548DD4" w:themeColor="text2" w:themeTint="99"/>
        </w:rPr>
      </w:pPr>
    </w:p>
    <w:p w:rsidR="00E17173" w:rsidRDefault="00E17173">
      <w:pPr>
        <w:rPr>
          <w:rFonts w:cs="Times New Roman"/>
          <w:b/>
          <w:color w:val="548DD4" w:themeColor="text2" w:themeTint="99"/>
        </w:rPr>
      </w:pPr>
    </w:p>
    <w:p w:rsidR="00E17173" w:rsidRDefault="00E17173">
      <w:pPr>
        <w:rPr>
          <w:rFonts w:cs="Times New Roman"/>
          <w:b/>
          <w:color w:val="548DD4" w:themeColor="text2" w:themeTint="99"/>
        </w:rPr>
      </w:pPr>
    </w:p>
    <w:p w:rsidR="00E17173" w:rsidRDefault="00E17173">
      <w:pPr>
        <w:rPr>
          <w:rFonts w:cs="Times New Roman"/>
          <w:b/>
          <w:color w:val="548DD4" w:themeColor="text2" w:themeTint="99"/>
        </w:rPr>
      </w:pPr>
    </w:p>
    <w:p w:rsidR="00E17173" w:rsidRDefault="00E17173">
      <w:pPr>
        <w:rPr>
          <w:rFonts w:cs="Times New Roman"/>
          <w:b/>
          <w:color w:val="548DD4" w:themeColor="text2" w:themeTint="99"/>
        </w:rPr>
      </w:pPr>
    </w:p>
    <w:p w:rsidR="00F0707D" w:rsidRDefault="00F0707D">
      <w:pPr>
        <w:rPr>
          <w:rFonts w:cs="Times New Roman"/>
          <w:b/>
          <w:color w:val="548DD4" w:themeColor="text2" w:themeTint="99"/>
        </w:rPr>
      </w:pPr>
      <w:r>
        <w:rPr>
          <w:rFonts w:cs="Times New Roman"/>
          <w:b/>
          <w:noProof/>
          <w:color w:val="548DD4" w:themeColor="text2" w:themeTint="99"/>
          <w:lang w:eastAsia="fr-CA"/>
        </w:rPr>
        <w:drawing>
          <wp:anchor distT="0" distB="0" distL="114300" distR="114300" simplePos="0" relativeHeight="252118016" behindDoc="0" locked="0" layoutInCell="1" allowOverlap="1" wp14:anchorId="108A4A55" wp14:editId="24525727">
            <wp:simplePos x="0" y="0"/>
            <wp:positionH relativeFrom="column">
              <wp:posOffset>-97790</wp:posOffset>
            </wp:positionH>
            <wp:positionV relativeFrom="paragraph">
              <wp:posOffset>1861185</wp:posOffset>
            </wp:positionV>
            <wp:extent cx="6858000" cy="2818130"/>
            <wp:effectExtent l="0" t="0" r="0" b="1270"/>
            <wp:wrapNone/>
            <wp:docPr id="599" name="Image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403">
                      <a:extLst>
                        <a:ext uri="{28A0092B-C50C-407E-A947-70E740481C1C}">
                          <a14:useLocalDpi xmlns:a14="http://schemas.microsoft.com/office/drawing/2010/main" val="0"/>
                        </a:ext>
                      </a:extLst>
                    </a:blip>
                    <a:stretch>
                      <a:fillRect/>
                    </a:stretch>
                  </pic:blipFill>
                  <pic:spPr>
                    <a:xfrm>
                      <a:off x="0" y="0"/>
                      <a:ext cx="6858000" cy="2818130"/>
                    </a:xfrm>
                    <a:prstGeom prst="rect">
                      <a:avLst/>
                    </a:prstGeom>
                  </pic:spPr>
                </pic:pic>
              </a:graphicData>
            </a:graphic>
            <wp14:sizeRelH relativeFrom="page">
              <wp14:pctWidth>0</wp14:pctWidth>
            </wp14:sizeRelH>
            <wp14:sizeRelV relativeFrom="page">
              <wp14:pctHeight>0</wp14:pctHeight>
            </wp14:sizeRelV>
          </wp:anchor>
        </w:drawing>
      </w:r>
      <w:r>
        <w:rPr>
          <w:noProof/>
          <w:lang w:eastAsia="fr-CA"/>
        </w:rPr>
        <mc:AlternateContent>
          <mc:Choice Requires="wps">
            <w:drawing>
              <wp:anchor distT="0" distB="0" distL="114300" distR="114300" simplePos="0" relativeHeight="252116992" behindDoc="0" locked="0" layoutInCell="1" allowOverlap="1" wp14:anchorId="05E63675" wp14:editId="6BC3DE53">
                <wp:simplePos x="0" y="0"/>
                <wp:positionH relativeFrom="column">
                  <wp:posOffset>-164465</wp:posOffset>
                </wp:positionH>
                <wp:positionV relativeFrom="paragraph">
                  <wp:posOffset>453390</wp:posOffset>
                </wp:positionV>
                <wp:extent cx="3287395" cy="1403985"/>
                <wp:effectExtent l="0" t="0" r="27305" b="11430"/>
                <wp:wrapNone/>
                <wp:docPr id="598"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7395" cy="1403985"/>
                        </a:xfrm>
                        <a:prstGeom prst="rect">
                          <a:avLst/>
                        </a:prstGeom>
                        <a:solidFill>
                          <a:schemeClr val="accent6">
                            <a:lumMod val="60000"/>
                            <a:lumOff val="40000"/>
                          </a:schemeClr>
                        </a:solidFill>
                        <a:ln w="9525">
                          <a:solidFill>
                            <a:srgbClr val="000000"/>
                          </a:solidFill>
                          <a:miter lim="800000"/>
                          <a:headEnd/>
                          <a:tailEnd/>
                        </a:ln>
                      </wps:spPr>
                      <wps:txbx>
                        <w:txbxContent>
                          <w:p w:rsidR="008276DC" w:rsidRPr="006C6E3E" w:rsidRDefault="008276DC">
                            <w:pPr>
                              <w:rPr>
                                <w:i/>
                              </w:rPr>
                            </w:pPr>
                            <w:r w:rsidRPr="006C6E3E">
                              <w:rPr>
                                <w:i/>
                              </w:rPr>
                              <w:t>L’aptitude aux soins est indépendante de l’aptitude à la personne et aux biens.</w:t>
                            </w:r>
                          </w:p>
                          <w:p w:rsidR="008276DC" w:rsidRPr="006C6E3E" w:rsidRDefault="008276DC">
                            <w:pPr>
                              <w:rPr>
                                <w:i/>
                              </w:rPr>
                            </w:pPr>
                            <w:r w:rsidRPr="006C6E3E">
                              <w:rPr>
                                <w:i/>
                              </w:rPr>
                              <w:t>Une personne peut être inapte à consentir aux soins, mais apte à gérer ses biens et vice-versa.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144" type="#_x0000_t202" style="position:absolute;margin-left:-12.95pt;margin-top:35.7pt;width:258.85pt;height:110.55pt;z-index:25211699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" fillcolor="#fabf8f [1945]">
                <v:textbox style="mso-fit-shape-to-text:t">
                  <w:txbxContent>
                    <w:p w:rsidR="008276DC" w:rsidRPr="006C6E3E" w:rsidRDefault="008276DC">
                      <w:pPr>
                        <w:rPr>
                          <w:i/>
                        </w:rPr>
                      </w:pPr>
                      <w:r w:rsidRPr="006C6E3E">
                        <w:rPr>
                          <w:i/>
                        </w:rPr>
                        <w:t>L’aptitude aux soins est indépendante de l’aptitude à la personne et aux biens.</w:t>
                      </w:r>
                    </w:p>
                    <w:p w:rsidR="008276DC" w:rsidRPr="006C6E3E" w:rsidRDefault="008276DC">
                      <w:pPr>
                        <w:rPr>
                          <w:i/>
                        </w:rPr>
                      </w:pPr>
                      <w:r w:rsidRPr="006C6E3E">
                        <w:rPr>
                          <w:i/>
                        </w:rPr>
                        <w:t>Une personne peut être inapte à consentir aux soins, mais apte à gérer ses biens et vice-versa.</w:t>
                      </w:r>
                    </w:p>
                  </w:txbxContent>
                </v:textbox>
              </v:shape>
            </w:pict>
          </mc:Fallback>
        </mc:AlternateContent>
      </w:r>
      <w:r>
        <w:rPr>
          <w:rFonts w:cs="Times New Roman"/>
          <w:b/>
          <w:color w:val="548DD4" w:themeColor="text2" w:themeTint="99"/>
        </w:rPr>
        <w:br w:type="page"/>
      </w:r>
    </w:p>
    <w:p w:rsidR="006D5219" w:rsidRDefault="006D5219" w:rsidP="006D5219">
      <w:pPr>
        <w:spacing w:after="0"/>
        <w:rPr>
          <w:rFonts w:cs="Times New Roman"/>
          <w:b/>
          <w:color w:val="548DD4" w:themeColor="text2" w:themeTint="99"/>
        </w:rPr>
      </w:pPr>
      <w:r>
        <w:rPr>
          <w:rFonts w:cs="Times New Roman"/>
          <w:b/>
          <w:color w:val="548DD4" w:themeColor="text2" w:themeTint="99"/>
        </w:rPr>
        <w:t>CMC 121-2</w:t>
      </w:r>
    </w:p>
    <w:bookmarkStart w:id="406" w:name="_Toc480797343"/>
    <w:p w:rsidR="006D5219" w:rsidRPr="006D5219" w:rsidRDefault="006D5219" w:rsidP="0041723A">
      <w:pPr>
        <w:pStyle w:val="Titre3"/>
        <w:spacing w:before="0" w:after="240"/>
        <w:rPr>
          <w:rFonts w:ascii="Times New Roman" w:hAnsi="Times New Roman" w:cs="Times New Roman"/>
        </w:rPr>
      </w:pPr>
      <w:r>
        <w:rPr>
          <w:rFonts w:ascii="Times New Roman" w:hAnsi="Times New Roman" w:cs="Times New Roman"/>
          <w:noProof/>
          <w:lang w:eastAsia="fr-CA"/>
        </w:rPr>
        <mc:AlternateContent>
          <mc:Choice Requires="wps">
            <w:drawing>
              <wp:anchor distT="0" distB="0" distL="114300" distR="114300" simplePos="0" relativeHeight="252102656" behindDoc="0" locked="0" layoutInCell="1" allowOverlap="1" wp14:anchorId="5434FC5B" wp14:editId="0FC1FF9C">
                <wp:simplePos x="0" y="0"/>
                <wp:positionH relativeFrom="column">
                  <wp:posOffset>-58366</wp:posOffset>
                </wp:positionH>
                <wp:positionV relativeFrom="paragraph">
                  <wp:posOffset>289466</wp:posOffset>
                </wp:positionV>
                <wp:extent cx="6858000" cy="2178996"/>
                <wp:effectExtent l="0" t="0" r="19050" b="12065"/>
                <wp:wrapNone/>
                <wp:docPr id="581" name="Rectangle 581"/>
                <wp:cNvGraphicFramePr/>
                <a:graphic xmlns:a="http://schemas.openxmlformats.org/drawingml/2006/main">
                  <a:graphicData uri="http://schemas.microsoft.com/office/word/2010/wordprocessingShape">
                    <wps:wsp>
                      <wps:cNvSpPr/>
                      <wps:spPr>
                        <a:xfrm>
                          <a:off x="0" y="0"/>
                          <a:ext cx="6858000" cy="2178996"/>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581" o:spid="_x0000_s1026" style="position:absolute;margin-left:-4.6pt;margin-top:22.8pt;width:540pt;height:171.55pt;z-index:2521026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" filled="f" strokecolor="black [1600]" strokeweight="2pt"/>
            </w:pict>
          </mc:Fallback>
        </mc:AlternateContent>
      </w:r>
      <w:r w:rsidRPr="006D5219">
        <w:rPr>
          <w:rFonts w:ascii="Times New Roman" w:hAnsi="Times New Roman" w:cs="Times New Roman"/>
        </w:rPr>
        <w:t>Obligation de dire la vérité</w:t>
      </w:r>
      <w:bookmarkEnd w:id="406"/>
    </w:p>
    <w:tbl>
      <w:tblPr>
        <w:tblW w:w="3707" w:type="pct"/>
        <w:tblCellSpacing w:w="0" w:type="dxa"/>
        <w:tblCellMar>
          <w:left w:w="0" w:type="dxa"/>
          <w:right w:w="0" w:type="dxa"/>
        </w:tblCellMar>
        <w:tblLook w:val="04A0" w:firstRow="1" w:lastRow="0" w:firstColumn="1" w:lastColumn="0" w:noHBand="0" w:noVBand="1"/>
      </w:tblPr>
      <w:tblGrid>
        <w:gridCol w:w="8007"/>
      </w:tblGrid>
      <w:tr w:rsidR="006D5219" w:rsidRPr="006D5219" w:rsidTr="006D5219">
        <w:trPr>
          <w:tblCellSpacing w:w="0" w:type="dxa"/>
        </w:trPr>
        <w:tc>
          <w:tcPr>
            <w:tcW w:w="0" w:type="auto"/>
            <w:vAlign w:val="bottom"/>
            <w:hideMark/>
          </w:tcPr>
          <w:p w:rsidR="006D5219" w:rsidRPr="006D5219" w:rsidRDefault="006D5219" w:rsidP="006D5219">
            <w:pPr>
              <w:pStyle w:val="Sansinterligne"/>
              <w:rPr>
                <w:rFonts w:cs="Times New Roman"/>
                <w:b/>
                <w:sz w:val="18"/>
                <w:szCs w:val="18"/>
              </w:rPr>
            </w:pPr>
            <w:r w:rsidRPr="006D5219">
              <w:rPr>
                <w:rFonts w:cs="Times New Roman"/>
                <w:b/>
                <w:sz w:val="18"/>
                <w:szCs w:val="18"/>
              </w:rPr>
              <w:t>Objectif principal</w:t>
            </w:r>
          </w:p>
        </w:tc>
      </w:tr>
    </w:tbl>
    <w:p w:rsidR="006D5219" w:rsidRPr="006D5219" w:rsidRDefault="006D5219" w:rsidP="006D5219">
      <w:pPr>
        <w:pStyle w:val="NormalWeb"/>
        <w:ind w:left="360"/>
        <w:rPr>
          <w:color w:val="000000"/>
          <w:sz w:val="18"/>
          <w:szCs w:val="18"/>
          <w:shd w:val="clear" w:color="auto" w:fill="FFFFFF"/>
        </w:rPr>
      </w:pPr>
      <w:r w:rsidRPr="006D5219">
        <w:rPr>
          <w:color w:val="000000"/>
          <w:sz w:val="18"/>
          <w:szCs w:val="18"/>
          <w:shd w:val="clear" w:color="auto" w:fill="FFFFFF"/>
        </w:rPr>
        <w:t>Dans le cas d'une entrevue avec un patient ou un professionnel, le candidat devra fournir de manière honnête et exacte l'information et les explications pertinentes, que ce soit au patient, aux membres de sa famille ou à d'autres membres de l'équipe de soins de santé.</w:t>
      </w:r>
    </w:p>
    <w:tbl>
      <w:tblPr>
        <w:tblW w:w="3897" w:type="pct"/>
        <w:tblCellSpacing w:w="0" w:type="dxa"/>
        <w:tblCellMar>
          <w:left w:w="0" w:type="dxa"/>
          <w:right w:w="0" w:type="dxa"/>
        </w:tblCellMar>
        <w:tblLook w:val="04A0" w:firstRow="1" w:lastRow="0" w:firstColumn="1" w:lastColumn="0" w:noHBand="0" w:noVBand="1"/>
      </w:tblPr>
      <w:tblGrid>
        <w:gridCol w:w="8418"/>
      </w:tblGrid>
      <w:tr w:rsidR="006D5219" w:rsidRPr="006D5219" w:rsidTr="006D5219">
        <w:trPr>
          <w:tblCellSpacing w:w="0" w:type="dxa"/>
        </w:trPr>
        <w:tc>
          <w:tcPr>
            <w:tcW w:w="0" w:type="auto"/>
            <w:vAlign w:val="bottom"/>
            <w:hideMark/>
          </w:tcPr>
          <w:p w:rsidR="006D5219" w:rsidRPr="006D5219" w:rsidRDefault="006D5219" w:rsidP="006D5219">
            <w:pPr>
              <w:pStyle w:val="Sansinterligne"/>
              <w:rPr>
                <w:rFonts w:cs="Times New Roman"/>
                <w:b/>
                <w:sz w:val="16"/>
                <w:szCs w:val="16"/>
              </w:rPr>
            </w:pPr>
            <w:r w:rsidRPr="006D5219">
              <w:rPr>
                <w:rFonts w:cs="Times New Roman"/>
                <w:b/>
                <w:sz w:val="16"/>
                <w:szCs w:val="16"/>
              </w:rPr>
              <w:t>Objectifs spécifiques</w:t>
            </w:r>
          </w:p>
        </w:tc>
      </w:tr>
    </w:tbl>
    <w:p w:rsidR="006D5219" w:rsidRPr="006D5219" w:rsidRDefault="006D5219" w:rsidP="006D5219">
      <w:pPr>
        <w:pStyle w:val="NormalWeb"/>
        <w:shd w:val="clear" w:color="auto" w:fill="FFFFFF"/>
        <w:ind w:left="360"/>
        <w:rPr>
          <w:color w:val="000000"/>
          <w:sz w:val="16"/>
          <w:szCs w:val="16"/>
          <w:shd w:val="clear" w:color="auto" w:fill="FFFFFF"/>
        </w:rPr>
      </w:pPr>
      <w:r w:rsidRPr="006D5219">
        <w:rPr>
          <w:color w:val="000000"/>
          <w:sz w:val="16"/>
          <w:szCs w:val="16"/>
          <w:shd w:val="clear" w:color="auto" w:fill="FFFFFF"/>
        </w:rPr>
        <w:t>Dans le cas d'une entrevue avec un patient ou un professionnel, le candidat devra :</w:t>
      </w:r>
    </w:p>
    <w:p w:rsidR="006D5219" w:rsidRPr="006D5219" w:rsidRDefault="006D5219" w:rsidP="006D5219">
      <w:pPr>
        <w:numPr>
          <w:ilvl w:val="0"/>
          <w:numId w:val="1302"/>
        </w:numPr>
        <w:shd w:val="clear" w:color="auto" w:fill="FFFFFF"/>
        <w:spacing w:before="100" w:beforeAutospacing="1" w:after="100" w:afterAutospacing="1" w:line="240" w:lineRule="auto"/>
        <w:rPr>
          <w:rFonts w:cs="Times New Roman"/>
          <w:color w:val="000000"/>
          <w:sz w:val="16"/>
          <w:szCs w:val="16"/>
          <w:shd w:val="clear" w:color="auto" w:fill="FFFFFF"/>
        </w:rPr>
      </w:pPr>
      <w:r w:rsidRPr="006D5219">
        <w:rPr>
          <w:rFonts w:cs="Times New Roman"/>
          <w:color w:val="000000"/>
          <w:sz w:val="16"/>
          <w:szCs w:val="16"/>
          <w:shd w:val="clear" w:color="auto" w:fill="FFFFFF"/>
        </w:rPr>
        <w:t>adhérer aux fondements juridiques et éthiques de l'obligation de dire la vérité;</w:t>
      </w:r>
    </w:p>
    <w:p w:rsidR="006D5219" w:rsidRPr="006D5219" w:rsidRDefault="006D5219" w:rsidP="006D5219">
      <w:pPr>
        <w:numPr>
          <w:ilvl w:val="0"/>
          <w:numId w:val="1302"/>
        </w:numPr>
        <w:shd w:val="clear" w:color="auto" w:fill="FFFFFF"/>
        <w:spacing w:before="100" w:beforeAutospacing="1" w:after="100" w:afterAutospacing="1" w:line="240" w:lineRule="auto"/>
        <w:rPr>
          <w:rFonts w:cs="Times New Roman"/>
          <w:color w:val="000000"/>
          <w:sz w:val="16"/>
          <w:szCs w:val="16"/>
          <w:shd w:val="clear" w:color="auto" w:fill="FFFFFF"/>
        </w:rPr>
      </w:pPr>
      <w:r w:rsidRPr="006D5219">
        <w:rPr>
          <w:rFonts w:cs="Times New Roman"/>
          <w:color w:val="000000"/>
          <w:sz w:val="16"/>
          <w:szCs w:val="16"/>
          <w:shd w:val="clear" w:color="auto" w:fill="FFFFFF"/>
        </w:rPr>
        <w:t>reconnaître le contexte personnel et culturel du patient;</w:t>
      </w:r>
    </w:p>
    <w:p w:rsidR="006D5219" w:rsidRPr="006D5219" w:rsidRDefault="006D5219" w:rsidP="006D5219">
      <w:pPr>
        <w:numPr>
          <w:ilvl w:val="0"/>
          <w:numId w:val="1302"/>
        </w:numPr>
        <w:shd w:val="clear" w:color="auto" w:fill="FFFFFF"/>
        <w:spacing w:before="100" w:beforeAutospacing="1" w:after="100" w:afterAutospacing="1" w:line="240" w:lineRule="auto"/>
        <w:rPr>
          <w:rFonts w:cs="Times New Roman"/>
          <w:color w:val="000000"/>
          <w:sz w:val="16"/>
          <w:szCs w:val="16"/>
          <w:shd w:val="clear" w:color="auto" w:fill="FFFFFF"/>
        </w:rPr>
      </w:pPr>
      <w:r w:rsidRPr="006D5219">
        <w:rPr>
          <w:rFonts w:cs="Times New Roman"/>
          <w:color w:val="000000"/>
          <w:sz w:val="16"/>
          <w:szCs w:val="16"/>
          <w:shd w:val="clear" w:color="auto" w:fill="FFFFFF"/>
        </w:rPr>
        <w:t>employer un langage clair et s'assurer d'être bien compris;</w:t>
      </w:r>
    </w:p>
    <w:p w:rsidR="006D5219" w:rsidRPr="006D5219" w:rsidRDefault="006D5219" w:rsidP="006D5219">
      <w:pPr>
        <w:numPr>
          <w:ilvl w:val="0"/>
          <w:numId w:val="1302"/>
        </w:numPr>
        <w:shd w:val="clear" w:color="auto" w:fill="FFFFFF"/>
        <w:spacing w:before="100" w:beforeAutospacing="1" w:after="100" w:afterAutospacing="1" w:line="240" w:lineRule="auto"/>
        <w:rPr>
          <w:rFonts w:cs="Times New Roman"/>
          <w:color w:val="000000"/>
          <w:sz w:val="16"/>
          <w:szCs w:val="16"/>
          <w:shd w:val="clear" w:color="auto" w:fill="FFFFFF"/>
        </w:rPr>
      </w:pPr>
      <w:r w:rsidRPr="006D5219">
        <w:rPr>
          <w:rFonts w:cs="Times New Roman"/>
          <w:color w:val="000000"/>
          <w:sz w:val="16"/>
          <w:szCs w:val="16"/>
          <w:shd w:val="clear" w:color="auto" w:fill="FFFFFF"/>
        </w:rPr>
        <w:t>reconnaître les situations difficiles et communiquer avec ses interlocuteurs d'une manière exacte et efficace dans de telles circonstances (p. ex. annonce de mauvaises nouvelles, traitement d'une erreur médicale);</w:t>
      </w:r>
    </w:p>
    <w:p w:rsidR="006D5219" w:rsidRPr="006D5219" w:rsidRDefault="006D5219" w:rsidP="006D5219">
      <w:pPr>
        <w:numPr>
          <w:ilvl w:val="0"/>
          <w:numId w:val="1302"/>
        </w:numPr>
        <w:shd w:val="clear" w:color="auto" w:fill="FFFFFF"/>
        <w:spacing w:before="100" w:beforeAutospacing="1" w:after="0" w:line="240" w:lineRule="auto"/>
        <w:rPr>
          <w:rFonts w:cs="Times New Roman"/>
          <w:color w:val="000000"/>
          <w:sz w:val="16"/>
          <w:szCs w:val="16"/>
          <w:shd w:val="clear" w:color="auto" w:fill="FFFFFF"/>
        </w:rPr>
      </w:pPr>
      <w:r w:rsidRPr="006D5219">
        <w:rPr>
          <w:rFonts w:cs="Times New Roman"/>
          <w:color w:val="000000"/>
          <w:sz w:val="16"/>
          <w:szCs w:val="16"/>
          <w:shd w:val="clear" w:color="auto" w:fill="FFFFFF"/>
        </w:rPr>
        <w:t>savoir choisir le moment opportun pour divulguer ses convictions ou ses valeurs personnelles susceptibles d'être en conflit avec les choix du patient.</w:t>
      </w:r>
    </w:p>
    <w:p w:rsidR="00E17173" w:rsidRDefault="00E17173" w:rsidP="00485837">
      <w:pPr>
        <w:pStyle w:val="Sansinterligne"/>
      </w:pPr>
    </w:p>
    <w:p w:rsidR="00E17173" w:rsidRPr="00FC2249" w:rsidRDefault="00485837" w:rsidP="00485837">
      <w:pPr>
        <w:pStyle w:val="Sansinterligne"/>
        <w:rPr>
          <w:b/>
          <w:sz w:val="28"/>
          <w:szCs w:val="28"/>
        </w:rPr>
      </w:pPr>
      <w:r w:rsidRPr="00FC2249">
        <w:rPr>
          <w:b/>
          <w:sz w:val="28"/>
          <w:szCs w:val="28"/>
        </w:rPr>
        <w:t>Importance de dire la vérité</w:t>
      </w:r>
    </w:p>
    <w:p w:rsidR="00485837" w:rsidRPr="002E2EC2" w:rsidRDefault="00485837" w:rsidP="00485837">
      <w:pPr>
        <w:pStyle w:val="Sansinterligne"/>
        <w:rPr>
          <w:sz w:val="16"/>
          <w:szCs w:val="16"/>
        </w:rPr>
      </w:pPr>
    </w:p>
    <w:p w:rsidR="00485837" w:rsidRPr="002E2EC2" w:rsidRDefault="00485837" w:rsidP="00485837">
      <w:pPr>
        <w:pStyle w:val="Sansinterligne"/>
        <w:numPr>
          <w:ilvl w:val="0"/>
          <w:numId w:val="1321"/>
        </w:numPr>
        <w:rPr>
          <w:highlight w:val="yellow"/>
        </w:rPr>
      </w:pPr>
      <w:r w:rsidRPr="002E2EC2">
        <w:rPr>
          <w:highlight w:val="yellow"/>
        </w:rPr>
        <w:t>Essentiel à une relation de confiance</w:t>
      </w:r>
    </w:p>
    <w:p w:rsidR="00485837" w:rsidRPr="002E2EC2" w:rsidRDefault="00485837" w:rsidP="00485837">
      <w:pPr>
        <w:pStyle w:val="Sansinterligne"/>
        <w:numPr>
          <w:ilvl w:val="0"/>
          <w:numId w:val="1321"/>
        </w:numPr>
        <w:rPr>
          <w:highlight w:val="yellow"/>
        </w:rPr>
      </w:pPr>
      <w:r w:rsidRPr="002E2EC2">
        <w:rPr>
          <w:highlight w:val="yellow"/>
        </w:rPr>
        <w:t>Nécessaire pour que le patient puisse faire un choix libre et éclairé</w:t>
      </w:r>
    </w:p>
    <w:p w:rsidR="00485837" w:rsidRDefault="00485837" w:rsidP="00485837">
      <w:pPr>
        <w:pStyle w:val="Sansinterligne"/>
        <w:numPr>
          <w:ilvl w:val="0"/>
          <w:numId w:val="1321"/>
        </w:numPr>
      </w:pPr>
      <w:r>
        <w:t>Généralement meilleure compréhension et satisfaction vis-à-vis les soins</w:t>
      </w:r>
    </w:p>
    <w:p w:rsidR="00485837" w:rsidRDefault="00485837" w:rsidP="00485837">
      <w:pPr>
        <w:pStyle w:val="Sansinterligne"/>
        <w:numPr>
          <w:ilvl w:val="0"/>
          <w:numId w:val="1321"/>
        </w:numPr>
      </w:pPr>
      <w:r>
        <w:t>La majorité des patients devinent lorsqu’on leur cache de l’information</w:t>
      </w:r>
    </w:p>
    <w:p w:rsidR="008F76CB" w:rsidRPr="002E2EC2" w:rsidRDefault="008F76CB" w:rsidP="00485837">
      <w:pPr>
        <w:pStyle w:val="Sansinterligne"/>
        <w:rPr>
          <w:sz w:val="16"/>
          <w:szCs w:val="16"/>
        </w:rPr>
      </w:pPr>
    </w:p>
    <w:p w:rsidR="00485837" w:rsidRPr="008F76CB" w:rsidRDefault="00485837" w:rsidP="00485837">
      <w:pPr>
        <w:pStyle w:val="Sansinterligne"/>
        <w:rPr>
          <w:b/>
          <w:sz w:val="28"/>
          <w:szCs w:val="28"/>
        </w:rPr>
      </w:pPr>
      <w:r w:rsidRPr="008F76CB">
        <w:rPr>
          <w:b/>
          <w:sz w:val="28"/>
          <w:szCs w:val="28"/>
        </w:rPr>
        <w:t>Vulgarisation</w:t>
      </w:r>
      <w:r w:rsidR="008F76CB" w:rsidRPr="008F76CB">
        <w:rPr>
          <w:b/>
          <w:sz w:val="28"/>
          <w:szCs w:val="28"/>
        </w:rPr>
        <w:t xml:space="preserve"> et annonces</w:t>
      </w:r>
    </w:p>
    <w:p w:rsidR="008F76CB" w:rsidRDefault="00352F82" w:rsidP="00485837">
      <w:pPr>
        <w:pStyle w:val="Sansinterligne"/>
      </w:pPr>
      <w:r w:rsidRPr="00FC2249">
        <w:rPr>
          <w:b/>
          <w:noProof/>
          <w:lang w:eastAsia="fr-CA"/>
        </w:rPr>
        <mc:AlternateContent>
          <mc:Choice Requires="wps">
            <w:drawing>
              <wp:anchor distT="0" distB="0" distL="114300" distR="114300" simplePos="0" relativeHeight="252110848" behindDoc="0" locked="0" layoutInCell="1" allowOverlap="1" wp14:anchorId="2077C144" wp14:editId="2D3E0D05">
                <wp:simplePos x="0" y="0"/>
                <wp:positionH relativeFrom="column">
                  <wp:posOffset>3947795</wp:posOffset>
                </wp:positionH>
                <wp:positionV relativeFrom="paragraph">
                  <wp:posOffset>25400</wp:posOffset>
                </wp:positionV>
                <wp:extent cx="2567940" cy="1403985"/>
                <wp:effectExtent l="0" t="0" r="22860" b="12700"/>
                <wp:wrapNone/>
                <wp:docPr id="59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67940" cy="1403985"/>
                        </a:xfrm>
                        <a:prstGeom prst="rect">
                          <a:avLst/>
                        </a:prstGeom>
                        <a:solidFill>
                          <a:schemeClr val="accent6">
                            <a:lumMod val="40000"/>
                            <a:lumOff val="60000"/>
                          </a:schemeClr>
                        </a:solidFill>
                        <a:ln w="9525">
                          <a:solidFill>
                            <a:srgbClr val="000000"/>
                          </a:solidFill>
                          <a:miter lim="800000"/>
                          <a:headEnd/>
                          <a:tailEnd/>
                        </a:ln>
                      </wps:spPr>
                      <wps:txbx>
                        <w:txbxContent>
                          <w:p w:rsidR="008276DC" w:rsidRDefault="008276DC" w:rsidP="00FC2249">
                            <w:pPr>
                              <w:spacing w:after="0"/>
                            </w:pPr>
                            <w:r w:rsidRPr="00FC2249">
                              <w:rPr>
                                <w:b/>
                                <w:sz w:val="28"/>
                                <w:szCs w:val="28"/>
                              </w:rPr>
                              <w:t>S</w:t>
                            </w:r>
                            <w:r>
                              <w:rPr>
                                <w:b/>
                                <w:sz w:val="28"/>
                                <w:szCs w:val="28"/>
                              </w:rPr>
                              <w:t xml:space="preserve"> </w:t>
                            </w:r>
                            <w:r>
                              <w:t>etting (lieu, personnes)</w:t>
                            </w:r>
                          </w:p>
                          <w:p w:rsidR="008276DC" w:rsidRDefault="008276DC" w:rsidP="00FC2249">
                            <w:pPr>
                              <w:spacing w:after="0"/>
                            </w:pPr>
                            <w:r w:rsidRPr="00FC2249">
                              <w:rPr>
                                <w:b/>
                                <w:sz w:val="28"/>
                                <w:szCs w:val="28"/>
                              </w:rPr>
                              <w:t>P</w:t>
                            </w:r>
                            <w:r>
                              <w:rPr>
                                <w:b/>
                                <w:sz w:val="28"/>
                                <w:szCs w:val="28"/>
                              </w:rPr>
                              <w:t xml:space="preserve"> </w:t>
                            </w:r>
                            <w:r>
                              <w:t>erception (ce que le patient comprend)</w:t>
                            </w:r>
                          </w:p>
                          <w:p w:rsidR="008276DC" w:rsidRDefault="008276DC" w:rsidP="00FC2249">
                            <w:pPr>
                              <w:spacing w:after="0"/>
                            </w:pPr>
                            <w:r w:rsidRPr="00FC2249">
                              <w:rPr>
                                <w:b/>
                                <w:sz w:val="28"/>
                                <w:szCs w:val="28"/>
                              </w:rPr>
                              <w:t>I</w:t>
                            </w:r>
                            <w:r>
                              <w:rPr>
                                <w:b/>
                                <w:sz w:val="28"/>
                                <w:szCs w:val="28"/>
                              </w:rPr>
                              <w:t xml:space="preserve"> </w:t>
                            </w:r>
                            <w:r>
                              <w:t>nvitation (ce que le patient veut savoir)</w:t>
                            </w:r>
                          </w:p>
                          <w:p w:rsidR="008276DC" w:rsidRDefault="008276DC" w:rsidP="00FC2249">
                            <w:pPr>
                              <w:spacing w:after="0"/>
                            </w:pPr>
                            <w:r w:rsidRPr="00FC2249">
                              <w:rPr>
                                <w:b/>
                                <w:sz w:val="28"/>
                                <w:szCs w:val="28"/>
                              </w:rPr>
                              <w:t>K</w:t>
                            </w:r>
                            <w:r>
                              <w:rPr>
                                <w:b/>
                                <w:sz w:val="28"/>
                                <w:szCs w:val="28"/>
                              </w:rPr>
                              <w:t xml:space="preserve"> </w:t>
                            </w:r>
                            <w:r>
                              <w:t>nowledge (les faits médicaux)</w:t>
                            </w:r>
                          </w:p>
                          <w:p w:rsidR="008276DC" w:rsidRDefault="008276DC" w:rsidP="00FC2249">
                            <w:pPr>
                              <w:spacing w:after="0"/>
                            </w:pPr>
                            <w:r w:rsidRPr="00FC2249">
                              <w:rPr>
                                <w:b/>
                                <w:sz w:val="28"/>
                                <w:szCs w:val="28"/>
                              </w:rPr>
                              <w:t>E</w:t>
                            </w:r>
                            <w:r>
                              <w:rPr>
                                <w:b/>
                                <w:sz w:val="28"/>
                                <w:szCs w:val="28"/>
                              </w:rPr>
                              <w:t xml:space="preserve"> </w:t>
                            </w:r>
                            <w:r>
                              <w:t>motions (empathie, pleurs, réconfort)</w:t>
                            </w:r>
                          </w:p>
                          <w:p w:rsidR="008276DC" w:rsidRDefault="008276DC" w:rsidP="00FC2249">
                            <w:pPr>
                              <w:spacing w:after="0"/>
                            </w:pPr>
                            <w:r w:rsidRPr="00FC2249">
                              <w:rPr>
                                <w:b/>
                                <w:sz w:val="28"/>
                                <w:szCs w:val="28"/>
                              </w:rPr>
                              <w:t>S</w:t>
                            </w:r>
                            <w:r>
                              <w:rPr>
                                <w:b/>
                                <w:sz w:val="28"/>
                                <w:szCs w:val="28"/>
                              </w:rPr>
                              <w:t xml:space="preserve"> </w:t>
                            </w:r>
                            <w:r>
                              <w:t>upport (plan et prise en charge)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145" type="#_x0000_t202" style="position:absolute;margin-left:310.85pt;margin-top:2pt;width:202.2pt;height:110.55pt;z-index:25211084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" fillcolor="#fbd4b4 [1305]">
                <v:textbox style="mso-fit-shape-to-text:t">
                  <w:txbxContent>
                    <w:p w:rsidR="008276DC" w:rsidRDefault="008276DC" w:rsidP="00FC2249">
                      <w:pPr>
                        <w:spacing w:after="0"/>
                      </w:pPr>
                      <w:r w:rsidRPr="00FC2249">
                        <w:rPr>
                          <w:b/>
                          <w:sz w:val="28"/>
                          <w:szCs w:val="28"/>
                        </w:rPr>
                        <w:t>S</w:t>
                      </w:r>
                      <w:r>
                        <w:rPr>
                          <w:b/>
                          <w:sz w:val="28"/>
                          <w:szCs w:val="28"/>
                        </w:rPr>
                        <w:t xml:space="preserve"> </w:t>
                      </w:r>
                      <w:r>
                        <w:t>etting (lieu, personnes)</w:t>
                      </w:r>
                    </w:p>
                    <w:p w:rsidR="008276DC" w:rsidRDefault="008276DC" w:rsidP="00FC2249">
                      <w:pPr>
                        <w:spacing w:after="0"/>
                      </w:pPr>
                      <w:r w:rsidRPr="00FC2249">
                        <w:rPr>
                          <w:b/>
                          <w:sz w:val="28"/>
                          <w:szCs w:val="28"/>
                        </w:rPr>
                        <w:t>P</w:t>
                      </w:r>
                      <w:r>
                        <w:rPr>
                          <w:b/>
                          <w:sz w:val="28"/>
                          <w:szCs w:val="28"/>
                        </w:rPr>
                        <w:t xml:space="preserve"> </w:t>
                      </w:r>
                      <w:r>
                        <w:t>erception (ce que le patient comprend)</w:t>
                      </w:r>
                    </w:p>
                    <w:p w:rsidR="008276DC" w:rsidRDefault="008276DC" w:rsidP="00FC2249">
                      <w:pPr>
                        <w:spacing w:after="0"/>
                      </w:pPr>
                      <w:r w:rsidRPr="00FC2249">
                        <w:rPr>
                          <w:b/>
                          <w:sz w:val="28"/>
                          <w:szCs w:val="28"/>
                        </w:rPr>
                        <w:t>I</w:t>
                      </w:r>
                      <w:r>
                        <w:rPr>
                          <w:b/>
                          <w:sz w:val="28"/>
                          <w:szCs w:val="28"/>
                        </w:rPr>
                        <w:t xml:space="preserve"> </w:t>
                      </w:r>
                      <w:r>
                        <w:t>nvitation (ce que le patient veut savoir)</w:t>
                      </w:r>
                    </w:p>
                    <w:p w:rsidR="008276DC" w:rsidRDefault="008276DC" w:rsidP="00FC2249">
                      <w:pPr>
                        <w:spacing w:after="0"/>
                      </w:pPr>
                      <w:r w:rsidRPr="00FC2249">
                        <w:rPr>
                          <w:b/>
                          <w:sz w:val="28"/>
                          <w:szCs w:val="28"/>
                        </w:rPr>
                        <w:t>K</w:t>
                      </w:r>
                      <w:r>
                        <w:rPr>
                          <w:b/>
                          <w:sz w:val="28"/>
                          <w:szCs w:val="28"/>
                        </w:rPr>
                        <w:t xml:space="preserve"> </w:t>
                      </w:r>
                      <w:r>
                        <w:t>nowledge (les faits médicaux)</w:t>
                      </w:r>
                    </w:p>
                    <w:p w:rsidR="008276DC" w:rsidRDefault="008276DC" w:rsidP="00FC2249">
                      <w:pPr>
                        <w:spacing w:after="0"/>
                      </w:pPr>
                      <w:r w:rsidRPr="00FC2249">
                        <w:rPr>
                          <w:b/>
                          <w:sz w:val="28"/>
                          <w:szCs w:val="28"/>
                        </w:rPr>
                        <w:t>E</w:t>
                      </w:r>
                      <w:r>
                        <w:rPr>
                          <w:b/>
                          <w:sz w:val="28"/>
                          <w:szCs w:val="28"/>
                        </w:rPr>
                        <w:t xml:space="preserve"> </w:t>
                      </w:r>
                      <w:r>
                        <w:t>motions (empathie, pleurs, réconfort)</w:t>
                      </w:r>
                    </w:p>
                    <w:p w:rsidR="008276DC" w:rsidRDefault="008276DC" w:rsidP="00FC2249">
                      <w:pPr>
                        <w:spacing w:after="0"/>
                      </w:pPr>
                      <w:r w:rsidRPr="00FC2249">
                        <w:rPr>
                          <w:b/>
                          <w:sz w:val="28"/>
                          <w:szCs w:val="28"/>
                        </w:rPr>
                        <w:t>S</w:t>
                      </w:r>
                      <w:r>
                        <w:rPr>
                          <w:b/>
                          <w:sz w:val="28"/>
                          <w:szCs w:val="28"/>
                        </w:rPr>
                        <w:t xml:space="preserve"> </w:t>
                      </w:r>
                      <w:r>
                        <w:t>upport (plan et prise en charge)</w:t>
                      </w:r>
                    </w:p>
                  </w:txbxContent>
                </v:textbox>
              </v:shape>
            </w:pict>
          </mc:Fallback>
        </mc:AlternateContent>
      </w:r>
    </w:p>
    <w:p w:rsidR="008F76CB" w:rsidRDefault="008F76CB" w:rsidP="00FC2249">
      <w:pPr>
        <w:pStyle w:val="Sansinterligne"/>
      </w:pPr>
      <w:r w:rsidRPr="00FC2249">
        <w:rPr>
          <w:u w:val="single"/>
        </w:rPr>
        <w:t>Le patient doit être capable de comprendre les faits. Cela signifie</w:t>
      </w:r>
      <w:r>
        <w:t> :</w:t>
      </w:r>
    </w:p>
    <w:p w:rsidR="008F76CB" w:rsidRPr="002E2EC2" w:rsidRDefault="008F76CB" w:rsidP="00FC2249">
      <w:pPr>
        <w:pStyle w:val="Sansinterligne"/>
        <w:numPr>
          <w:ilvl w:val="0"/>
          <w:numId w:val="1322"/>
        </w:numPr>
        <w:rPr>
          <w:highlight w:val="yellow"/>
        </w:rPr>
      </w:pPr>
      <w:r w:rsidRPr="002E2EC2">
        <w:rPr>
          <w:highlight w:val="yellow"/>
        </w:rPr>
        <w:t>Éviter le vocabulaire médical, sauf pour le diagnostic.</w:t>
      </w:r>
    </w:p>
    <w:p w:rsidR="008F76CB" w:rsidRPr="002E2EC2" w:rsidRDefault="008F76CB" w:rsidP="00FC2249">
      <w:pPr>
        <w:pStyle w:val="Sansinterligne"/>
        <w:numPr>
          <w:ilvl w:val="0"/>
          <w:numId w:val="1322"/>
        </w:numPr>
        <w:rPr>
          <w:highlight w:val="yellow"/>
        </w:rPr>
      </w:pPr>
      <w:r w:rsidRPr="002E2EC2">
        <w:rPr>
          <w:highlight w:val="yellow"/>
        </w:rPr>
        <w:t>Expliquer dans ses mots</w:t>
      </w:r>
    </w:p>
    <w:p w:rsidR="008F76CB" w:rsidRPr="002E2EC2" w:rsidRDefault="008F76CB" w:rsidP="00FC2249">
      <w:pPr>
        <w:pStyle w:val="Sansinterligne"/>
        <w:numPr>
          <w:ilvl w:val="0"/>
          <w:numId w:val="1322"/>
        </w:numPr>
        <w:rPr>
          <w:highlight w:val="yellow"/>
        </w:rPr>
      </w:pPr>
      <w:r w:rsidRPr="002E2EC2">
        <w:rPr>
          <w:highlight w:val="yellow"/>
        </w:rPr>
        <w:t>Reformuler lorsque le patient ne comprend pas</w:t>
      </w:r>
    </w:p>
    <w:p w:rsidR="008F76CB" w:rsidRPr="002E2EC2" w:rsidRDefault="008F76CB" w:rsidP="00FC2249">
      <w:pPr>
        <w:pStyle w:val="Sansinterligne"/>
        <w:numPr>
          <w:ilvl w:val="0"/>
          <w:numId w:val="1322"/>
        </w:numPr>
        <w:rPr>
          <w:highlight w:val="yellow"/>
        </w:rPr>
      </w:pPr>
      <w:r w:rsidRPr="002E2EC2">
        <w:rPr>
          <w:highlight w:val="yellow"/>
        </w:rPr>
        <w:t xml:space="preserve">Vérifier la compréhension du patient </w:t>
      </w:r>
    </w:p>
    <w:p w:rsidR="008F76CB" w:rsidRDefault="008F76CB" w:rsidP="00FC2249">
      <w:pPr>
        <w:pStyle w:val="Sansinterligne"/>
        <w:numPr>
          <w:ilvl w:val="0"/>
          <w:numId w:val="1322"/>
        </w:numPr>
      </w:pPr>
      <w:r>
        <w:t>Ne pas retarder inutilement l’annonce de résultats</w:t>
      </w:r>
    </w:p>
    <w:p w:rsidR="008F76CB" w:rsidRDefault="008F76CB" w:rsidP="00FC2249">
      <w:pPr>
        <w:pStyle w:val="Sansinterligne"/>
        <w:numPr>
          <w:ilvl w:val="0"/>
          <w:numId w:val="1322"/>
        </w:numPr>
      </w:pPr>
      <w:r>
        <w:t>Tenir compte du contexte (ex : présence de tiers)</w:t>
      </w:r>
    </w:p>
    <w:p w:rsidR="008F76CB" w:rsidRDefault="008F76CB" w:rsidP="00FC2249">
      <w:pPr>
        <w:pStyle w:val="Sansinterligne"/>
        <w:numPr>
          <w:ilvl w:val="0"/>
          <w:numId w:val="1322"/>
        </w:numPr>
      </w:pPr>
      <w:r>
        <w:t>Revoir le patient en plusieurs fois si nécessaire</w:t>
      </w:r>
    </w:p>
    <w:p w:rsidR="008F76CB" w:rsidRPr="002E2EC2" w:rsidRDefault="008F76CB" w:rsidP="00485837">
      <w:pPr>
        <w:pStyle w:val="Sansinterligne"/>
        <w:rPr>
          <w:sz w:val="16"/>
          <w:szCs w:val="16"/>
        </w:rPr>
      </w:pPr>
    </w:p>
    <w:p w:rsidR="008F76CB" w:rsidRPr="008F76CB" w:rsidRDefault="008F76CB" w:rsidP="00485837">
      <w:pPr>
        <w:pStyle w:val="Sansinterligne"/>
        <w:rPr>
          <w:b/>
          <w:sz w:val="28"/>
          <w:szCs w:val="28"/>
        </w:rPr>
      </w:pPr>
      <w:r w:rsidRPr="008F76CB">
        <w:rPr>
          <w:b/>
          <w:sz w:val="28"/>
          <w:szCs w:val="28"/>
        </w:rPr>
        <w:t>Situations particulières</w:t>
      </w:r>
    </w:p>
    <w:p w:rsidR="00FC2249" w:rsidRPr="002E2EC2" w:rsidRDefault="00FC2249" w:rsidP="00485837">
      <w:pPr>
        <w:pStyle w:val="Sansinterligne"/>
        <w:rPr>
          <w:b/>
          <w:sz w:val="16"/>
          <w:szCs w:val="16"/>
        </w:rPr>
      </w:pPr>
    </w:p>
    <w:p w:rsidR="00E17173" w:rsidRPr="00FC2249" w:rsidRDefault="008F76CB" w:rsidP="00485837">
      <w:pPr>
        <w:pStyle w:val="Sansinterligne"/>
        <w:rPr>
          <w:b/>
        </w:rPr>
      </w:pPr>
      <w:r w:rsidRPr="00FC2249">
        <w:rPr>
          <w:b/>
        </w:rPr>
        <w:t>Annonce de m</w:t>
      </w:r>
      <w:r w:rsidR="00485837" w:rsidRPr="00FC2249">
        <w:rPr>
          <w:b/>
        </w:rPr>
        <w:t>auvaise nouvelle</w:t>
      </w:r>
    </w:p>
    <w:p w:rsidR="008F76CB" w:rsidRPr="002E2EC2" w:rsidRDefault="008F76CB" w:rsidP="00FC2249">
      <w:pPr>
        <w:pStyle w:val="Sansinterligne"/>
        <w:numPr>
          <w:ilvl w:val="0"/>
          <w:numId w:val="1323"/>
        </w:numPr>
        <w:rPr>
          <w:highlight w:val="yellow"/>
        </w:rPr>
      </w:pPr>
      <w:r w:rsidRPr="002E2EC2">
        <w:rPr>
          <w:highlight w:val="yellow"/>
        </w:rPr>
        <w:t>Aviser le patient qu’il y a une annonce difficile ou une mauvaise nouvelle avant d’aller plus loin.</w:t>
      </w:r>
    </w:p>
    <w:p w:rsidR="008F76CB" w:rsidRPr="002E2EC2" w:rsidRDefault="008F76CB" w:rsidP="00FC2249">
      <w:pPr>
        <w:pStyle w:val="Sansinterligne"/>
        <w:numPr>
          <w:ilvl w:val="0"/>
          <w:numId w:val="1323"/>
        </w:numPr>
        <w:rPr>
          <w:highlight w:val="yellow"/>
        </w:rPr>
      </w:pPr>
      <w:r w:rsidRPr="002E2EC2">
        <w:rPr>
          <w:highlight w:val="yellow"/>
        </w:rPr>
        <w:t>Généralement plus bénéfique que de retenir l’information.</w:t>
      </w:r>
    </w:p>
    <w:p w:rsidR="008F76CB" w:rsidRDefault="008F76CB" w:rsidP="00FC2249">
      <w:pPr>
        <w:pStyle w:val="Sansinterligne"/>
        <w:numPr>
          <w:ilvl w:val="1"/>
          <w:numId w:val="1323"/>
        </w:numPr>
      </w:pPr>
      <w:r>
        <w:t xml:space="preserve">Le médecin peu toutefois, lorsqu’il juge </w:t>
      </w:r>
      <w:r w:rsidR="00FC2249">
        <w:t xml:space="preserve">nécessaire </w:t>
      </w:r>
      <w:r>
        <w:t>que l’information pourrait détériorer la condition de son patient (ex : anxiété), peut s’abstenir en tout ou en partie et en reporter l’annonce.</w:t>
      </w:r>
    </w:p>
    <w:p w:rsidR="00FC2249" w:rsidRDefault="00FC2249" w:rsidP="00FC2249">
      <w:pPr>
        <w:pStyle w:val="Sansinterligne"/>
        <w:numPr>
          <w:ilvl w:val="1"/>
          <w:numId w:val="1323"/>
        </w:numPr>
      </w:pPr>
      <w:r>
        <w:t>À éviter tout de même, puisqu’il s’agit d’une attitude paternaliste</w:t>
      </w:r>
    </w:p>
    <w:p w:rsidR="008F76CB" w:rsidRPr="002E2EC2" w:rsidRDefault="008F76CB" w:rsidP="00FC2249">
      <w:pPr>
        <w:pStyle w:val="Sansinterligne"/>
        <w:numPr>
          <w:ilvl w:val="0"/>
          <w:numId w:val="1323"/>
        </w:numPr>
        <w:rPr>
          <w:highlight w:val="yellow"/>
        </w:rPr>
      </w:pPr>
      <w:r w:rsidRPr="002E2EC2">
        <w:rPr>
          <w:highlight w:val="yellow"/>
        </w:rPr>
        <w:t>Dans le cas où l’annonce cause un choc (ex : annonce de cancer)</w:t>
      </w:r>
    </w:p>
    <w:p w:rsidR="008F76CB" w:rsidRPr="002E2EC2" w:rsidRDefault="008F76CB" w:rsidP="00FC2249">
      <w:pPr>
        <w:pStyle w:val="Sansinterligne"/>
        <w:numPr>
          <w:ilvl w:val="1"/>
          <w:numId w:val="1323"/>
        </w:numPr>
        <w:rPr>
          <w:highlight w:val="yellow"/>
        </w:rPr>
      </w:pPr>
      <w:r w:rsidRPr="002E2EC2">
        <w:rPr>
          <w:highlight w:val="yellow"/>
        </w:rPr>
        <w:t>Revoir le patient à quelques reprises permet d’étaler l’information</w:t>
      </w:r>
    </w:p>
    <w:p w:rsidR="008F76CB" w:rsidRDefault="008F76CB" w:rsidP="00FC2249">
      <w:pPr>
        <w:pStyle w:val="Sansinterligne"/>
        <w:numPr>
          <w:ilvl w:val="1"/>
          <w:numId w:val="1323"/>
        </w:numPr>
      </w:pPr>
      <w:r>
        <w:t>Meilleure rétention</w:t>
      </w:r>
    </w:p>
    <w:p w:rsidR="008F76CB" w:rsidRDefault="008F76CB" w:rsidP="00FC2249">
      <w:pPr>
        <w:pStyle w:val="Sansinterligne"/>
        <w:numPr>
          <w:ilvl w:val="1"/>
          <w:numId w:val="1323"/>
        </w:numPr>
      </w:pPr>
      <w:r>
        <w:t>Permet au patient de reprendre ses esprits</w:t>
      </w:r>
    </w:p>
    <w:p w:rsidR="008F76CB" w:rsidRDefault="008F76CB" w:rsidP="00485837">
      <w:pPr>
        <w:pStyle w:val="Sansinterligne"/>
      </w:pPr>
    </w:p>
    <w:p w:rsidR="00485837" w:rsidRPr="00FC2249" w:rsidRDefault="00485837" w:rsidP="00485837">
      <w:pPr>
        <w:pStyle w:val="Sansinterligne"/>
        <w:rPr>
          <w:b/>
        </w:rPr>
      </w:pPr>
      <w:r w:rsidRPr="00FC2249">
        <w:rPr>
          <w:b/>
        </w:rPr>
        <w:t>Erreur médicale</w:t>
      </w:r>
    </w:p>
    <w:p w:rsidR="008F76CB" w:rsidRPr="002E2EC2" w:rsidRDefault="008F76CB" w:rsidP="00FC2249">
      <w:pPr>
        <w:pStyle w:val="Sansinterligne"/>
        <w:numPr>
          <w:ilvl w:val="0"/>
          <w:numId w:val="1324"/>
        </w:numPr>
        <w:rPr>
          <w:highlight w:val="yellow"/>
        </w:rPr>
      </w:pPr>
      <w:r w:rsidRPr="002E2EC2">
        <w:rPr>
          <w:highlight w:val="yellow"/>
        </w:rPr>
        <w:t>Annoncer au patient toute erreur médicale, même sans conséquence.</w:t>
      </w:r>
    </w:p>
    <w:p w:rsidR="00FC2249" w:rsidRPr="002E2EC2" w:rsidRDefault="00FC2249" w:rsidP="00FC2249">
      <w:pPr>
        <w:pStyle w:val="Sansinterligne"/>
        <w:numPr>
          <w:ilvl w:val="1"/>
          <w:numId w:val="1324"/>
        </w:numPr>
        <w:rPr>
          <w:highlight w:val="yellow"/>
        </w:rPr>
      </w:pPr>
      <w:r w:rsidRPr="002E2EC2">
        <w:rPr>
          <w:highlight w:val="yellow"/>
        </w:rPr>
        <w:t>Une erreur ne signifie pas nécessairement qu’il y a négligence, mais nécessite la vérité.</w:t>
      </w:r>
    </w:p>
    <w:p w:rsidR="00E17173" w:rsidRPr="002E2EC2" w:rsidRDefault="008F76CB" w:rsidP="00406646">
      <w:pPr>
        <w:pStyle w:val="Sansinterligne"/>
        <w:numPr>
          <w:ilvl w:val="0"/>
          <w:numId w:val="1324"/>
        </w:numPr>
        <w:rPr>
          <w:highlight w:val="yellow"/>
        </w:rPr>
      </w:pPr>
      <w:r w:rsidRPr="002E2EC2">
        <w:rPr>
          <w:highlight w:val="yellow"/>
        </w:rPr>
        <w:t>S’en excuser.</w:t>
      </w:r>
    </w:p>
    <w:p w:rsidR="00406646" w:rsidRDefault="00406646" w:rsidP="00406646">
      <w:pPr>
        <w:pStyle w:val="Sansinterligne"/>
        <w:ind w:left="360"/>
      </w:pPr>
    </w:p>
    <w:p w:rsidR="002E2EC2" w:rsidRDefault="002E2EC2" w:rsidP="00406646">
      <w:pPr>
        <w:pStyle w:val="Sansinterligne"/>
        <w:ind w:left="360"/>
      </w:pPr>
    </w:p>
    <w:p w:rsidR="002E2EC2" w:rsidRPr="00406646" w:rsidRDefault="002E2EC2" w:rsidP="00406646">
      <w:pPr>
        <w:pStyle w:val="Sansinterligne"/>
        <w:ind w:left="360"/>
      </w:pPr>
    </w:p>
    <w:p w:rsidR="00FC2249" w:rsidRDefault="00FC2249" w:rsidP="00FC2249">
      <w:pPr>
        <w:pStyle w:val="Sansinterligne"/>
        <w:rPr>
          <w:b/>
        </w:rPr>
      </w:pPr>
      <w:r w:rsidRPr="00FC2249">
        <w:rPr>
          <w:b/>
        </w:rPr>
        <w:t>Exceptions</w:t>
      </w:r>
    </w:p>
    <w:p w:rsidR="00FC2249" w:rsidRPr="00FC2249" w:rsidRDefault="00FC2249" w:rsidP="00FC2249">
      <w:pPr>
        <w:pStyle w:val="Sansinterligne"/>
        <w:rPr>
          <w:b/>
        </w:rPr>
      </w:pPr>
    </w:p>
    <w:p w:rsidR="00FC2249" w:rsidRPr="002E2EC2" w:rsidRDefault="00FC2249" w:rsidP="00FC2249">
      <w:pPr>
        <w:pStyle w:val="Sansinterligne"/>
        <w:numPr>
          <w:ilvl w:val="0"/>
          <w:numId w:val="1325"/>
        </w:numPr>
        <w:rPr>
          <w:highlight w:val="yellow"/>
        </w:rPr>
      </w:pPr>
      <w:r w:rsidRPr="002E2EC2">
        <w:rPr>
          <w:highlight w:val="yellow"/>
        </w:rPr>
        <w:t>Si le patient ne souhaite pas être informé (ex : ne veut pas connaître sa maladie, son évolution ou son pronostic)</w:t>
      </w:r>
    </w:p>
    <w:p w:rsidR="00FC2249" w:rsidRPr="002E2EC2" w:rsidRDefault="00FC2249" w:rsidP="00FC2249">
      <w:pPr>
        <w:pStyle w:val="Sansinterligne"/>
        <w:numPr>
          <w:ilvl w:val="0"/>
          <w:numId w:val="1325"/>
        </w:numPr>
        <w:rPr>
          <w:highlight w:val="yellow"/>
        </w:rPr>
      </w:pPr>
      <w:r w:rsidRPr="002E2EC2">
        <w:rPr>
          <w:highlight w:val="yellow"/>
        </w:rPr>
        <w:t>Contexte culturel où le patient souhaite que d’autres prennent la décision à sa place (informer un tiers)</w:t>
      </w:r>
    </w:p>
    <w:p w:rsidR="00FC2249" w:rsidRPr="002E2EC2" w:rsidRDefault="00FC2249" w:rsidP="00FC2249">
      <w:pPr>
        <w:pStyle w:val="Sansinterligne"/>
        <w:numPr>
          <w:ilvl w:val="0"/>
          <w:numId w:val="1325"/>
        </w:numPr>
        <w:rPr>
          <w:highlight w:val="yellow"/>
        </w:rPr>
      </w:pPr>
      <w:r w:rsidRPr="002E2EC2">
        <w:rPr>
          <w:highlight w:val="yellow"/>
        </w:rPr>
        <w:t>Urgence (ex : rupture d’anévrysme de l’aorte abdominale)</w:t>
      </w:r>
    </w:p>
    <w:p w:rsidR="00E17173" w:rsidRDefault="00E17173" w:rsidP="00406646">
      <w:pPr>
        <w:pStyle w:val="Sansinterligne"/>
      </w:pPr>
    </w:p>
    <w:p w:rsidR="00E17173" w:rsidRPr="00C31FA9" w:rsidRDefault="00406646" w:rsidP="00406646">
      <w:pPr>
        <w:pStyle w:val="Sansinterligne"/>
        <w:rPr>
          <w:b/>
        </w:rPr>
      </w:pPr>
      <w:r w:rsidRPr="00C31FA9">
        <w:rPr>
          <w:b/>
        </w:rPr>
        <w:t>Conflits de valeurs</w:t>
      </w:r>
    </w:p>
    <w:p w:rsidR="00406646" w:rsidRDefault="00406646" w:rsidP="00C31FA9">
      <w:pPr>
        <w:pStyle w:val="Sansinterligne"/>
        <w:numPr>
          <w:ilvl w:val="0"/>
          <w:numId w:val="1326"/>
        </w:numPr>
      </w:pPr>
      <w:r>
        <w:t>En cas de conflit de valeur</w:t>
      </w:r>
      <w:r w:rsidR="00C31FA9">
        <w:t>s personnelles</w:t>
      </w:r>
      <w:r>
        <w:t xml:space="preserve"> entre le médecin et la demande du patient (ex : aide médicale à mourir)</w:t>
      </w:r>
    </w:p>
    <w:p w:rsidR="00406646" w:rsidRDefault="00406646" w:rsidP="00C31FA9">
      <w:pPr>
        <w:pStyle w:val="Sansinterligne"/>
        <w:numPr>
          <w:ilvl w:val="0"/>
          <w:numId w:val="1326"/>
        </w:numPr>
      </w:pPr>
      <w:r>
        <w:t>Le médecin doit en informer le patient, idéalement avant que celles-ci n’entrent en conflit.</w:t>
      </w:r>
    </w:p>
    <w:p w:rsidR="00406646" w:rsidRDefault="00406646" w:rsidP="00C31FA9">
      <w:pPr>
        <w:pStyle w:val="Sansinterligne"/>
        <w:numPr>
          <w:ilvl w:val="0"/>
          <w:numId w:val="1326"/>
        </w:numPr>
      </w:pPr>
      <w:r>
        <w:t>Référer le patient à un confrère qui pourra accéder à sa demande.</w:t>
      </w:r>
    </w:p>
    <w:p w:rsidR="00E17173" w:rsidRDefault="00E17173">
      <w:pPr>
        <w:rPr>
          <w:rFonts w:cs="Times New Roman"/>
          <w:b/>
          <w:color w:val="548DD4" w:themeColor="text2" w:themeTint="99"/>
        </w:rPr>
      </w:pPr>
    </w:p>
    <w:p w:rsidR="00E17173" w:rsidRDefault="00E17173" w:rsidP="00352F82">
      <w:pPr>
        <w:jc w:val="center"/>
        <w:rPr>
          <w:rFonts w:cs="Times New Roman"/>
          <w:b/>
          <w:color w:val="548DD4" w:themeColor="text2" w:themeTint="99"/>
        </w:rPr>
      </w:pPr>
    </w:p>
    <w:p w:rsidR="006D5219" w:rsidRDefault="002E2EC2">
      <w:pPr>
        <w:rPr>
          <w:rFonts w:cs="Times New Roman"/>
          <w:b/>
          <w:color w:val="548DD4" w:themeColor="text2" w:themeTint="99"/>
        </w:rPr>
      </w:pPr>
      <w:r>
        <w:rPr>
          <w:noProof/>
          <w:lang w:eastAsia="fr-CA"/>
        </w:rPr>
        <w:drawing>
          <wp:anchor distT="0" distB="0" distL="114300" distR="114300" simplePos="0" relativeHeight="252111872" behindDoc="0" locked="0" layoutInCell="1" allowOverlap="1" wp14:anchorId="40863EF3" wp14:editId="7929CAB6">
            <wp:simplePos x="0" y="0"/>
            <wp:positionH relativeFrom="column">
              <wp:posOffset>1410335</wp:posOffset>
            </wp:positionH>
            <wp:positionV relativeFrom="paragraph">
              <wp:posOffset>530225</wp:posOffset>
            </wp:positionV>
            <wp:extent cx="4036695" cy="2694305"/>
            <wp:effectExtent l="0" t="0" r="1905" b="0"/>
            <wp:wrapNone/>
            <wp:docPr id="595" name="Image 595" descr="Résultats de recherche d'images pour « vérité ou menson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ésultats de recherche d'images pour « vérité ou mensonge »"/>
                    <pic:cNvPicPr>
                      <a:picLocks noChangeAspect="1" noChangeArrowheads="1"/>
                    </pic:cNvPicPr>
                  </pic:nvPicPr>
                  <pic:blipFill>
                    <a:blip r:embed="rId404">
                      <a:extLst>
                        <a:ext uri="{28A0092B-C50C-407E-A947-70E740481C1C}">
                          <a14:useLocalDpi xmlns:a14="http://schemas.microsoft.com/office/drawing/2010/main" val="0"/>
                        </a:ext>
                      </a:extLst>
                    </a:blip>
                    <a:srcRect/>
                    <a:stretch>
                      <a:fillRect/>
                    </a:stretch>
                  </pic:blipFill>
                  <pic:spPr bwMode="auto">
                    <a:xfrm>
                      <a:off x="0" y="0"/>
                      <a:ext cx="4036695" cy="2694305"/>
                    </a:xfrm>
                    <a:prstGeom prst="rect">
                      <a:avLst/>
                    </a:prstGeom>
                    <a:noFill/>
                    <a:ln>
                      <a:noFill/>
                    </a:ln>
                  </pic:spPr>
                </pic:pic>
              </a:graphicData>
            </a:graphic>
            <wp14:sizeRelH relativeFrom="page">
              <wp14:pctWidth>0</wp14:pctWidth>
            </wp14:sizeRelH>
            <wp14:sizeRelV relativeFrom="page">
              <wp14:pctHeight>0</wp14:pctHeight>
            </wp14:sizeRelV>
          </wp:anchor>
        </w:drawing>
      </w:r>
      <w:r w:rsidR="006D5219">
        <w:rPr>
          <w:rFonts w:cs="Times New Roman"/>
          <w:b/>
          <w:color w:val="548DD4" w:themeColor="text2" w:themeTint="99"/>
        </w:rPr>
        <w:br w:type="page"/>
      </w:r>
    </w:p>
    <w:p w:rsidR="00324F8D" w:rsidRDefault="00324F8D" w:rsidP="00AF39A6">
      <w:pPr>
        <w:spacing w:after="0"/>
        <w:rPr>
          <w:rFonts w:cs="Times New Roman"/>
          <w:b/>
          <w:color w:val="548DD4" w:themeColor="text2" w:themeTint="99"/>
        </w:rPr>
      </w:pPr>
      <w:r>
        <w:rPr>
          <w:rFonts w:cs="Times New Roman"/>
          <w:b/>
          <w:color w:val="548DD4" w:themeColor="text2" w:themeTint="99"/>
        </w:rPr>
        <w:t>CMC 121-3</w:t>
      </w:r>
    </w:p>
    <w:bookmarkStart w:id="407" w:name="_Toc480797344"/>
    <w:p w:rsidR="00324F8D" w:rsidRPr="00324F8D" w:rsidRDefault="00324F8D" w:rsidP="00324F8D">
      <w:pPr>
        <w:pStyle w:val="Titre3"/>
        <w:spacing w:before="0" w:after="240"/>
        <w:rPr>
          <w:rFonts w:ascii="Times New Roman" w:hAnsi="Times New Roman" w:cs="Times New Roman"/>
        </w:rPr>
      </w:pPr>
      <w:r>
        <w:rPr>
          <w:rFonts w:ascii="Times New Roman" w:hAnsi="Times New Roman" w:cs="Times New Roman"/>
          <w:noProof/>
          <w:lang w:eastAsia="fr-CA"/>
        </w:rPr>
        <mc:AlternateContent>
          <mc:Choice Requires="wps">
            <w:drawing>
              <wp:anchor distT="0" distB="0" distL="114300" distR="114300" simplePos="0" relativeHeight="252101632" behindDoc="0" locked="0" layoutInCell="1" allowOverlap="1" wp14:anchorId="5352B189" wp14:editId="2671B3B5">
                <wp:simplePos x="0" y="0"/>
                <wp:positionH relativeFrom="column">
                  <wp:posOffset>-58366</wp:posOffset>
                </wp:positionH>
                <wp:positionV relativeFrom="paragraph">
                  <wp:posOffset>289464</wp:posOffset>
                </wp:positionV>
                <wp:extent cx="6877455" cy="2383277"/>
                <wp:effectExtent l="0" t="0" r="19050" b="17145"/>
                <wp:wrapNone/>
                <wp:docPr id="580" name="Rectangle 580"/>
                <wp:cNvGraphicFramePr/>
                <a:graphic xmlns:a="http://schemas.openxmlformats.org/drawingml/2006/main">
                  <a:graphicData uri="http://schemas.microsoft.com/office/word/2010/wordprocessingShape">
                    <wps:wsp>
                      <wps:cNvSpPr/>
                      <wps:spPr>
                        <a:xfrm>
                          <a:off x="0" y="0"/>
                          <a:ext cx="6877455" cy="2383277"/>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580" o:spid="_x0000_s1026" style="position:absolute;margin-left:-4.6pt;margin-top:22.8pt;width:541.55pt;height:187.65pt;z-index:2521016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" filled="f" strokecolor="black [1600]" strokeweight="2pt"/>
            </w:pict>
          </mc:Fallback>
        </mc:AlternateContent>
      </w:r>
      <w:r w:rsidRPr="00324F8D">
        <w:rPr>
          <w:rFonts w:ascii="Times New Roman" w:hAnsi="Times New Roman" w:cs="Times New Roman"/>
        </w:rPr>
        <w:t>Négligence</w:t>
      </w:r>
      <w:bookmarkEnd w:id="407"/>
    </w:p>
    <w:tbl>
      <w:tblPr>
        <w:tblW w:w="3858" w:type="pct"/>
        <w:tblCellSpacing w:w="0" w:type="dxa"/>
        <w:tblCellMar>
          <w:left w:w="0" w:type="dxa"/>
          <w:right w:w="0" w:type="dxa"/>
        </w:tblCellMar>
        <w:tblLook w:val="04A0" w:firstRow="1" w:lastRow="0" w:firstColumn="1" w:lastColumn="0" w:noHBand="0" w:noVBand="1"/>
      </w:tblPr>
      <w:tblGrid>
        <w:gridCol w:w="8333"/>
      </w:tblGrid>
      <w:tr w:rsidR="00324F8D" w:rsidRPr="00324F8D" w:rsidTr="00324F8D">
        <w:trPr>
          <w:tblCellSpacing w:w="0" w:type="dxa"/>
        </w:trPr>
        <w:tc>
          <w:tcPr>
            <w:tcW w:w="0" w:type="auto"/>
            <w:vAlign w:val="bottom"/>
            <w:hideMark/>
          </w:tcPr>
          <w:p w:rsidR="00324F8D" w:rsidRPr="00324F8D" w:rsidRDefault="00324F8D" w:rsidP="00324F8D">
            <w:pPr>
              <w:pStyle w:val="Sansinterligne"/>
              <w:rPr>
                <w:rFonts w:cs="Times New Roman"/>
                <w:b/>
                <w:sz w:val="18"/>
                <w:szCs w:val="16"/>
              </w:rPr>
            </w:pPr>
            <w:r w:rsidRPr="00324F8D">
              <w:rPr>
                <w:rFonts w:cs="Times New Roman"/>
                <w:b/>
                <w:sz w:val="18"/>
                <w:szCs w:val="16"/>
              </w:rPr>
              <w:t>Objectifs principaux</w:t>
            </w:r>
          </w:p>
        </w:tc>
      </w:tr>
    </w:tbl>
    <w:p w:rsidR="00324F8D" w:rsidRPr="00324F8D" w:rsidRDefault="00324F8D" w:rsidP="00324F8D">
      <w:pPr>
        <w:pStyle w:val="NormalWeb"/>
        <w:ind w:left="360"/>
        <w:rPr>
          <w:color w:val="000000"/>
          <w:sz w:val="16"/>
          <w:szCs w:val="16"/>
          <w:shd w:val="clear" w:color="auto" w:fill="FFFFFF"/>
        </w:rPr>
      </w:pPr>
      <w:r w:rsidRPr="00324F8D">
        <w:rPr>
          <w:color w:val="000000"/>
          <w:sz w:val="18"/>
          <w:szCs w:val="16"/>
          <w:shd w:val="clear" w:color="auto" w:fill="FFFFFF"/>
        </w:rPr>
        <w:t xml:space="preserve">Dans une situation où un patient se plaint de négligence médicale, ou si le candidat sait qu'il y a eu négligence, le candidat devra considérer les normes de diligence (" standard of care "), ainsi que la possibilité de lésions résultant des soins, et il devra savoir quoi faire dans </w:t>
      </w:r>
      <w:r w:rsidRPr="006139C6">
        <w:rPr>
          <w:color w:val="000000"/>
          <w:sz w:val="18"/>
          <w:szCs w:val="18"/>
          <w:shd w:val="clear" w:color="auto" w:fill="FFFFFF"/>
        </w:rPr>
        <w:t>de</w:t>
      </w:r>
      <w:r w:rsidRPr="00324F8D">
        <w:rPr>
          <w:color w:val="000000"/>
          <w:sz w:val="16"/>
          <w:szCs w:val="16"/>
          <w:shd w:val="clear" w:color="auto" w:fill="FFFFFF"/>
        </w:rPr>
        <w:t xml:space="preserve"> </w:t>
      </w:r>
      <w:r w:rsidRPr="006139C6">
        <w:rPr>
          <w:color w:val="000000"/>
          <w:sz w:val="18"/>
          <w:szCs w:val="18"/>
          <w:shd w:val="clear" w:color="auto" w:fill="FFFFFF"/>
        </w:rPr>
        <w:t>telles circonstances.</w:t>
      </w:r>
    </w:p>
    <w:tbl>
      <w:tblPr>
        <w:tblW w:w="3897" w:type="pct"/>
        <w:tblCellSpacing w:w="0" w:type="dxa"/>
        <w:tblCellMar>
          <w:left w:w="0" w:type="dxa"/>
          <w:right w:w="0" w:type="dxa"/>
        </w:tblCellMar>
        <w:tblLook w:val="04A0" w:firstRow="1" w:lastRow="0" w:firstColumn="1" w:lastColumn="0" w:noHBand="0" w:noVBand="1"/>
      </w:tblPr>
      <w:tblGrid>
        <w:gridCol w:w="8418"/>
      </w:tblGrid>
      <w:tr w:rsidR="00324F8D" w:rsidRPr="00324F8D" w:rsidTr="00324F8D">
        <w:trPr>
          <w:tblCellSpacing w:w="0" w:type="dxa"/>
        </w:trPr>
        <w:tc>
          <w:tcPr>
            <w:tcW w:w="0" w:type="auto"/>
            <w:vAlign w:val="bottom"/>
            <w:hideMark/>
          </w:tcPr>
          <w:p w:rsidR="00324F8D" w:rsidRPr="00324F8D" w:rsidRDefault="00324F8D" w:rsidP="00324F8D">
            <w:pPr>
              <w:pStyle w:val="Sansinterligne"/>
              <w:rPr>
                <w:rFonts w:cs="Times New Roman"/>
                <w:b/>
                <w:sz w:val="16"/>
                <w:szCs w:val="16"/>
              </w:rPr>
            </w:pPr>
            <w:r w:rsidRPr="00324F8D">
              <w:rPr>
                <w:rFonts w:cs="Times New Roman"/>
                <w:b/>
                <w:sz w:val="16"/>
                <w:szCs w:val="16"/>
              </w:rPr>
              <w:t>Objectifs spécifiques</w:t>
            </w:r>
          </w:p>
        </w:tc>
      </w:tr>
    </w:tbl>
    <w:p w:rsidR="00324F8D" w:rsidRPr="00324F8D" w:rsidRDefault="00324F8D" w:rsidP="00324F8D">
      <w:pPr>
        <w:pStyle w:val="NormalWeb"/>
        <w:shd w:val="clear" w:color="auto" w:fill="FFFFFF"/>
        <w:ind w:left="360"/>
        <w:rPr>
          <w:color w:val="000000"/>
          <w:sz w:val="16"/>
          <w:szCs w:val="16"/>
          <w:shd w:val="clear" w:color="auto" w:fill="FFFFFF"/>
        </w:rPr>
      </w:pPr>
      <w:r w:rsidRPr="00324F8D">
        <w:rPr>
          <w:color w:val="000000"/>
          <w:sz w:val="16"/>
          <w:szCs w:val="16"/>
          <w:shd w:val="clear" w:color="auto" w:fill="FFFFFF"/>
        </w:rPr>
        <w:t>Dans une situation où il peut y avoir eu négligence, le candidat devra :</w:t>
      </w:r>
    </w:p>
    <w:p w:rsidR="00324F8D" w:rsidRPr="00324F8D" w:rsidRDefault="00324F8D" w:rsidP="00324F8D">
      <w:pPr>
        <w:numPr>
          <w:ilvl w:val="0"/>
          <w:numId w:val="1301"/>
        </w:numPr>
        <w:shd w:val="clear" w:color="auto" w:fill="FFFFFF"/>
        <w:spacing w:before="100" w:beforeAutospacing="1" w:after="100" w:afterAutospacing="1" w:line="240" w:lineRule="auto"/>
        <w:rPr>
          <w:rFonts w:cs="Times New Roman"/>
          <w:color w:val="000000"/>
          <w:sz w:val="16"/>
          <w:szCs w:val="16"/>
          <w:shd w:val="clear" w:color="auto" w:fill="FFFFFF"/>
        </w:rPr>
      </w:pPr>
      <w:r w:rsidRPr="00324F8D">
        <w:rPr>
          <w:rFonts w:cs="Times New Roman"/>
          <w:color w:val="000000"/>
          <w:sz w:val="16"/>
          <w:szCs w:val="16"/>
          <w:shd w:val="clear" w:color="auto" w:fill="FFFFFF"/>
        </w:rPr>
        <w:t>énumérer les éléments nécessaires pour prouver qu'il y a eu négligence (p. ex. le devoir de diligence, le manquement aux normes de diligence, le tort causé par le manque de diligence et le lien entre le tort subi et le manquement aux normes de diligence);</w:t>
      </w:r>
    </w:p>
    <w:p w:rsidR="00324F8D" w:rsidRPr="00324F8D" w:rsidRDefault="00324F8D" w:rsidP="00324F8D">
      <w:pPr>
        <w:numPr>
          <w:ilvl w:val="0"/>
          <w:numId w:val="1301"/>
        </w:numPr>
        <w:shd w:val="clear" w:color="auto" w:fill="FFFFFF"/>
        <w:spacing w:before="100" w:beforeAutospacing="1" w:after="100" w:afterAutospacing="1" w:line="240" w:lineRule="auto"/>
        <w:rPr>
          <w:rFonts w:cs="Times New Roman"/>
          <w:color w:val="000000"/>
          <w:sz w:val="16"/>
          <w:szCs w:val="16"/>
          <w:shd w:val="clear" w:color="auto" w:fill="FFFFFF"/>
        </w:rPr>
      </w:pPr>
      <w:r w:rsidRPr="00324F8D">
        <w:rPr>
          <w:rFonts w:cs="Times New Roman"/>
          <w:color w:val="000000"/>
          <w:sz w:val="16"/>
          <w:szCs w:val="16"/>
          <w:shd w:val="clear" w:color="auto" w:fill="FFFFFF"/>
        </w:rPr>
        <w:t>faire la distinction entre les normes de diligence exigées en fonction du niveau de responsabilité de la personne soignante;</w:t>
      </w:r>
    </w:p>
    <w:p w:rsidR="00324F8D" w:rsidRPr="00324F8D" w:rsidRDefault="00324F8D" w:rsidP="00324F8D">
      <w:pPr>
        <w:numPr>
          <w:ilvl w:val="0"/>
          <w:numId w:val="1301"/>
        </w:numPr>
        <w:shd w:val="clear" w:color="auto" w:fill="FFFFFF"/>
        <w:spacing w:before="100" w:beforeAutospacing="1" w:after="100" w:afterAutospacing="1" w:line="240" w:lineRule="auto"/>
        <w:rPr>
          <w:rFonts w:cs="Times New Roman"/>
          <w:color w:val="000000"/>
          <w:sz w:val="16"/>
          <w:szCs w:val="16"/>
          <w:shd w:val="clear" w:color="auto" w:fill="FFFFFF"/>
        </w:rPr>
      </w:pPr>
      <w:r w:rsidRPr="00324F8D">
        <w:rPr>
          <w:rFonts w:cs="Times New Roman"/>
          <w:color w:val="000000"/>
          <w:sz w:val="16"/>
          <w:szCs w:val="16"/>
          <w:shd w:val="clear" w:color="auto" w:fill="FFFFFF"/>
        </w:rPr>
        <w:t>communiquer de manière appropriée avec le patient, l'établissement de santé et les autres membres de l'équipe de soins en ce qui concerne l'évolution de la situation, en faisant preuve d'une bonne compréhension de la législation pertinente, de la responsabilité du fait d'autrui ainsi que des obligations éthiques de divulgation;</w:t>
      </w:r>
    </w:p>
    <w:p w:rsidR="00324F8D" w:rsidRPr="00C80867" w:rsidRDefault="00324F8D" w:rsidP="00AF39A6">
      <w:pPr>
        <w:numPr>
          <w:ilvl w:val="0"/>
          <w:numId w:val="1301"/>
        </w:numPr>
        <w:shd w:val="clear" w:color="auto" w:fill="FFFFFF"/>
        <w:spacing w:before="100" w:beforeAutospacing="1" w:after="0" w:line="240" w:lineRule="auto"/>
        <w:rPr>
          <w:rFonts w:cs="Times New Roman"/>
          <w:color w:val="000000"/>
          <w:sz w:val="16"/>
          <w:szCs w:val="16"/>
          <w:shd w:val="clear" w:color="auto" w:fill="FFFFFF"/>
        </w:rPr>
      </w:pPr>
      <w:r w:rsidRPr="00324F8D">
        <w:rPr>
          <w:rFonts w:cs="Times New Roman"/>
          <w:color w:val="000000"/>
          <w:sz w:val="16"/>
          <w:szCs w:val="16"/>
          <w:shd w:val="clear" w:color="auto" w:fill="FFFFFF"/>
        </w:rPr>
        <w:t>communiquer de manière appropriée avec l'assureur en matière de responsabilité, par exemple l'Association canadienne de protection médicale (ACPM).</w:t>
      </w:r>
    </w:p>
    <w:p w:rsidR="00324F8D" w:rsidRPr="00C80867" w:rsidRDefault="00324F8D" w:rsidP="001C1BBA">
      <w:pPr>
        <w:pStyle w:val="Sansinterligne"/>
        <w:rPr>
          <w:sz w:val="16"/>
          <w:szCs w:val="16"/>
        </w:rPr>
      </w:pPr>
    </w:p>
    <w:p w:rsidR="00462FA1" w:rsidRDefault="00462FA1" w:rsidP="001C1BBA">
      <w:pPr>
        <w:pStyle w:val="Sansinterligne"/>
      </w:pPr>
      <w:r w:rsidRPr="004E4137">
        <w:rPr>
          <w:highlight w:val="yellow"/>
        </w:rPr>
        <w:t>La négligence professionnelle est définie comme le fait de faillir au devoir professionnel de n’agir que dans l’intérêt du patient et de lui fournir les soins appropriés, ceci lui causant un préjudice.</w:t>
      </w:r>
      <w:r w:rsidR="00C80867">
        <w:t xml:space="preserve"> </w:t>
      </w:r>
    </w:p>
    <w:p w:rsidR="004E4137" w:rsidRPr="00C80867" w:rsidRDefault="004E4137" w:rsidP="001C1BBA">
      <w:pPr>
        <w:pStyle w:val="Sansinterligne"/>
        <w:rPr>
          <w:sz w:val="16"/>
          <w:szCs w:val="16"/>
        </w:rPr>
      </w:pPr>
    </w:p>
    <w:p w:rsidR="00462FA1" w:rsidRPr="004E4137" w:rsidRDefault="001C1BBA" w:rsidP="001C1BBA">
      <w:pPr>
        <w:pStyle w:val="Sansinterligne"/>
        <w:rPr>
          <w:b/>
          <w:sz w:val="28"/>
          <w:szCs w:val="28"/>
        </w:rPr>
      </w:pPr>
      <w:r w:rsidRPr="004E4137">
        <w:rPr>
          <w:b/>
          <w:sz w:val="28"/>
          <w:szCs w:val="28"/>
        </w:rPr>
        <w:t xml:space="preserve">Les éléments </w:t>
      </w:r>
      <w:r w:rsidR="00462FA1" w:rsidRPr="004E4137">
        <w:rPr>
          <w:b/>
          <w:sz w:val="28"/>
          <w:szCs w:val="28"/>
        </w:rPr>
        <w:t>sous-jacents</w:t>
      </w:r>
      <w:r w:rsidRPr="004E4137">
        <w:rPr>
          <w:b/>
          <w:sz w:val="28"/>
          <w:szCs w:val="28"/>
        </w:rPr>
        <w:t xml:space="preserve"> à la négligence sont</w:t>
      </w:r>
      <w:r w:rsidR="00462FA1" w:rsidRPr="004E4137">
        <w:rPr>
          <w:b/>
          <w:sz w:val="28"/>
          <w:szCs w:val="28"/>
        </w:rPr>
        <w:t> :</w:t>
      </w:r>
    </w:p>
    <w:p w:rsidR="00462FA1" w:rsidRDefault="00462FA1" w:rsidP="001C1BBA">
      <w:pPr>
        <w:pStyle w:val="Sansinterligne"/>
      </w:pPr>
    </w:p>
    <w:p w:rsidR="00462FA1" w:rsidRPr="00C80867" w:rsidRDefault="00462FA1" w:rsidP="001C1BBA">
      <w:pPr>
        <w:pStyle w:val="Sansinterligne"/>
        <w:rPr>
          <w:b/>
          <w:highlight w:val="yellow"/>
        </w:rPr>
      </w:pPr>
      <w:r w:rsidRPr="00C80867">
        <w:rPr>
          <w:b/>
          <w:highlight w:val="yellow"/>
        </w:rPr>
        <w:t>Présence d’une faute professionnelle</w:t>
      </w:r>
    </w:p>
    <w:p w:rsidR="00462FA1" w:rsidRPr="00C80867" w:rsidRDefault="00462FA1" w:rsidP="002D08FF">
      <w:pPr>
        <w:pStyle w:val="Sansinterligne"/>
        <w:numPr>
          <w:ilvl w:val="0"/>
          <w:numId w:val="1318"/>
        </w:numPr>
        <w:rPr>
          <w:highlight w:val="yellow"/>
        </w:rPr>
      </w:pPr>
      <w:r w:rsidRPr="00C80867">
        <w:rPr>
          <w:highlight w:val="yellow"/>
        </w:rPr>
        <w:t>Faite dans l’exercice de sa profession</w:t>
      </w:r>
    </w:p>
    <w:p w:rsidR="00462FA1" w:rsidRPr="00C80867" w:rsidRDefault="00462FA1" w:rsidP="002D08FF">
      <w:pPr>
        <w:pStyle w:val="Sansinterligne"/>
        <w:numPr>
          <w:ilvl w:val="0"/>
          <w:numId w:val="1318"/>
        </w:numPr>
        <w:rPr>
          <w:highlight w:val="yellow"/>
        </w:rPr>
      </w:pPr>
      <w:r w:rsidRPr="00C80867">
        <w:rPr>
          <w:highlight w:val="yellow"/>
        </w:rPr>
        <w:t>Ne correspond pas aux normes de pratique, c’est-à-dire :</w:t>
      </w:r>
    </w:p>
    <w:p w:rsidR="00462FA1" w:rsidRPr="00C80867" w:rsidRDefault="00462FA1" w:rsidP="002D08FF">
      <w:pPr>
        <w:pStyle w:val="Sansinterligne"/>
        <w:numPr>
          <w:ilvl w:val="1"/>
          <w:numId w:val="1318"/>
        </w:numPr>
        <w:rPr>
          <w:highlight w:val="yellow"/>
        </w:rPr>
      </w:pPr>
      <w:r w:rsidRPr="00C80867">
        <w:rPr>
          <w:highlight w:val="yellow"/>
        </w:rPr>
        <w:t>La même action n’aurait pas été prise par un médecin prudent placé dans les mêmes circonstances, avec la même formation et les mêmes compétences</w:t>
      </w:r>
    </w:p>
    <w:p w:rsidR="00462FA1" w:rsidRPr="00C80867" w:rsidRDefault="00462FA1" w:rsidP="001C1BBA">
      <w:pPr>
        <w:pStyle w:val="Sansinterligne"/>
        <w:rPr>
          <w:highlight w:val="yellow"/>
        </w:rPr>
      </w:pPr>
    </w:p>
    <w:p w:rsidR="00462FA1" w:rsidRPr="00C80867" w:rsidRDefault="00462FA1" w:rsidP="001C1BBA">
      <w:pPr>
        <w:pStyle w:val="Sansinterligne"/>
        <w:rPr>
          <w:b/>
          <w:highlight w:val="yellow"/>
        </w:rPr>
      </w:pPr>
      <w:r w:rsidRPr="00C80867">
        <w:rPr>
          <w:b/>
          <w:highlight w:val="yellow"/>
        </w:rPr>
        <w:t>Présence de préjudice physique ou psychologique</w:t>
      </w:r>
    </w:p>
    <w:p w:rsidR="004E4137" w:rsidRPr="00C80867" w:rsidRDefault="004E4137" w:rsidP="002D08FF">
      <w:pPr>
        <w:pStyle w:val="Sansinterligne"/>
        <w:numPr>
          <w:ilvl w:val="0"/>
          <w:numId w:val="1319"/>
        </w:numPr>
        <w:rPr>
          <w:highlight w:val="yellow"/>
        </w:rPr>
      </w:pPr>
      <w:r w:rsidRPr="00C80867">
        <w:rPr>
          <w:highlight w:val="yellow"/>
        </w:rPr>
        <w:t>Lésion corporelle</w:t>
      </w:r>
    </w:p>
    <w:p w:rsidR="004E4137" w:rsidRPr="00C80867" w:rsidRDefault="004E4137" w:rsidP="002D08FF">
      <w:pPr>
        <w:pStyle w:val="Sansinterligne"/>
        <w:numPr>
          <w:ilvl w:val="0"/>
          <w:numId w:val="1319"/>
        </w:numPr>
        <w:rPr>
          <w:highlight w:val="yellow"/>
        </w:rPr>
      </w:pPr>
      <w:r w:rsidRPr="00C80867">
        <w:rPr>
          <w:highlight w:val="yellow"/>
        </w:rPr>
        <w:t>Incapacité</w:t>
      </w:r>
    </w:p>
    <w:p w:rsidR="004E4137" w:rsidRPr="00C80867" w:rsidRDefault="004E4137" w:rsidP="002D08FF">
      <w:pPr>
        <w:pStyle w:val="Sansinterligne"/>
        <w:numPr>
          <w:ilvl w:val="0"/>
          <w:numId w:val="1319"/>
        </w:numPr>
        <w:rPr>
          <w:highlight w:val="yellow"/>
        </w:rPr>
      </w:pPr>
      <w:r w:rsidRPr="00C80867">
        <w:rPr>
          <w:highlight w:val="yellow"/>
        </w:rPr>
        <w:t>Dommage moral ou psychologique</w:t>
      </w:r>
    </w:p>
    <w:p w:rsidR="004E4137" w:rsidRPr="00C80867" w:rsidRDefault="004E4137" w:rsidP="002D08FF">
      <w:pPr>
        <w:pStyle w:val="Sansinterligne"/>
        <w:numPr>
          <w:ilvl w:val="0"/>
          <w:numId w:val="1319"/>
        </w:numPr>
        <w:rPr>
          <w:highlight w:val="yellow"/>
        </w:rPr>
      </w:pPr>
      <w:r w:rsidRPr="00C80867">
        <w:rPr>
          <w:highlight w:val="yellow"/>
        </w:rPr>
        <w:t>Abus de confiance</w:t>
      </w:r>
    </w:p>
    <w:p w:rsidR="00462FA1" w:rsidRPr="00C80867" w:rsidRDefault="00462FA1" w:rsidP="001C1BBA">
      <w:pPr>
        <w:pStyle w:val="Sansinterligne"/>
        <w:rPr>
          <w:highlight w:val="yellow"/>
        </w:rPr>
      </w:pPr>
    </w:p>
    <w:p w:rsidR="00462FA1" w:rsidRPr="00C80867" w:rsidRDefault="00462FA1" w:rsidP="001C1BBA">
      <w:pPr>
        <w:pStyle w:val="Sansinterligne"/>
        <w:rPr>
          <w:b/>
          <w:highlight w:val="yellow"/>
        </w:rPr>
      </w:pPr>
      <w:r w:rsidRPr="00C80867">
        <w:rPr>
          <w:b/>
          <w:highlight w:val="yellow"/>
        </w:rPr>
        <w:t>Lien de causalité</w:t>
      </w:r>
    </w:p>
    <w:p w:rsidR="00462FA1" w:rsidRPr="00C80867" w:rsidRDefault="00462FA1" w:rsidP="002D08FF">
      <w:pPr>
        <w:pStyle w:val="Sansinterligne"/>
        <w:numPr>
          <w:ilvl w:val="0"/>
          <w:numId w:val="1320"/>
        </w:numPr>
        <w:rPr>
          <w:highlight w:val="yellow"/>
        </w:rPr>
      </w:pPr>
      <w:r w:rsidRPr="00C80867">
        <w:rPr>
          <w:highlight w:val="yellow"/>
        </w:rPr>
        <w:t>Le patient doit démontrer que le dommage présenté par le patient est une conséquence directe de la faute professionnelle</w:t>
      </w:r>
      <w:r w:rsidR="004E4137" w:rsidRPr="00C80867">
        <w:rPr>
          <w:highlight w:val="yellow"/>
        </w:rPr>
        <w:t xml:space="preserve"> et non pas un aléa ou le résultat de sa condition</w:t>
      </w:r>
      <w:r w:rsidRPr="00C80867">
        <w:rPr>
          <w:highlight w:val="yellow"/>
        </w:rPr>
        <w:t>.</w:t>
      </w:r>
    </w:p>
    <w:p w:rsidR="00C80867" w:rsidRDefault="00C80867" w:rsidP="00C80867">
      <w:pPr>
        <w:pStyle w:val="Sansinterligne"/>
        <w:ind w:left="360"/>
      </w:pPr>
    </w:p>
    <w:p w:rsidR="00C80867" w:rsidRDefault="00C80867" w:rsidP="00C80867">
      <w:pPr>
        <w:pStyle w:val="Sansinterligne"/>
      </w:pPr>
      <w:r>
        <w:t xml:space="preserve">Par exemple : soumettre </w:t>
      </w:r>
      <w:r w:rsidRPr="00C80867">
        <w:rPr>
          <w:u w:val="single"/>
        </w:rPr>
        <w:t>volontairement</w:t>
      </w:r>
      <w:r>
        <w:t xml:space="preserve"> le patient à un risque de dommage déraisonnable ou le soumettre </w:t>
      </w:r>
      <w:r w:rsidRPr="00C80867">
        <w:rPr>
          <w:u w:val="single"/>
        </w:rPr>
        <w:t>involontairement</w:t>
      </w:r>
      <w:r>
        <w:t xml:space="preserve"> à un risque de dommage mais </w:t>
      </w:r>
      <w:r w:rsidRPr="00C80867">
        <w:rPr>
          <w:u w:val="single"/>
        </w:rPr>
        <w:t>de façon négligente</w:t>
      </w:r>
    </w:p>
    <w:p w:rsidR="001C1BBA" w:rsidRDefault="001C1BBA" w:rsidP="001C1BBA">
      <w:pPr>
        <w:pStyle w:val="Sansinterligne"/>
      </w:pPr>
    </w:p>
    <w:p w:rsidR="001C1BBA" w:rsidRPr="004E4137" w:rsidRDefault="004E4137" w:rsidP="001C1BBA">
      <w:pPr>
        <w:pStyle w:val="Sansinterligne"/>
        <w:rPr>
          <w:b/>
          <w:sz w:val="28"/>
          <w:szCs w:val="28"/>
        </w:rPr>
      </w:pPr>
      <w:r>
        <w:rPr>
          <w:b/>
          <w:sz w:val="28"/>
          <w:szCs w:val="28"/>
        </w:rPr>
        <w:t>À noter</w:t>
      </w:r>
    </w:p>
    <w:p w:rsidR="0082193A" w:rsidRDefault="0082193A" w:rsidP="001C1BBA">
      <w:pPr>
        <w:pStyle w:val="Sansinterligne"/>
      </w:pPr>
    </w:p>
    <w:p w:rsidR="0082193A" w:rsidRPr="00C80867" w:rsidRDefault="0082193A" w:rsidP="002D08FF">
      <w:pPr>
        <w:pStyle w:val="Sansinterligne"/>
        <w:numPr>
          <w:ilvl w:val="0"/>
          <w:numId w:val="1317"/>
        </w:numPr>
        <w:rPr>
          <w:highlight w:val="yellow"/>
        </w:rPr>
      </w:pPr>
      <w:r w:rsidRPr="00C80867">
        <w:rPr>
          <w:highlight w:val="yellow"/>
        </w:rPr>
        <w:t>On ne peut raisonnablement pas exiger les mêmes compétences et les mêmes soins sel</w:t>
      </w:r>
      <w:r w:rsidR="004E4137" w:rsidRPr="00C80867">
        <w:rPr>
          <w:highlight w:val="yellow"/>
        </w:rPr>
        <w:t>on le niveau de responsabilité.</w:t>
      </w:r>
    </w:p>
    <w:p w:rsidR="0082193A" w:rsidRPr="00C80867" w:rsidRDefault="0082193A" w:rsidP="002D08FF">
      <w:pPr>
        <w:pStyle w:val="Sansinterligne"/>
        <w:numPr>
          <w:ilvl w:val="1"/>
          <w:numId w:val="1317"/>
        </w:numPr>
        <w:rPr>
          <w:highlight w:val="yellow"/>
        </w:rPr>
      </w:pPr>
      <w:r w:rsidRPr="00C80867">
        <w:rPr>
          <w:highlight w:val="yellow"/>
        </w:rPr>
        <w:t>Ex : un psychiatre versus un chirurgien face à une appendicite</w:t>
      </w:r>
    </w:p>
    <w:p w:rsidR="001C1BBA" w:rsidRDefault="001C1BBA" w:rsidP="001C1BBA">
      <w:pPr>
        <w:pStyle w:val="Sansinterligne"/>
      </w:pPr>
    </w:p>
    <w:p w:rsidR="004E4137" w:rsidRDefault="004E4137" w:rsidP="002D08FF">
      <w:pPr>
        <w:pStyle w:val="Sansinterligne"/>
        <w:numPr>
          <w:ilvl w:val="0"/>
          <w:numId w:val="1317"/>
        </w:numPr>
      </w:pPr>
      <w:r>
        <w:t xml:space="preserve">En cas d’erreur médicale ou de faute professionnelle pouvant causer préjudice, il </w:t>
      </w:r>
      <w:r w:rsidRPr="00C80867">
        <w:rPr>
          <w:highlight w:val="yellow"/>
        </w:rPr>
        <w:t>faut toujours le mentionner au patient</w:t>
      </w:r>
      <w:r>
        <w:t>, celui-ci à droit à la vérité. Vous avez le devoir de n’agir que dans l’intérêt du patient et de préserver la relation thérapeutique. Il prendra alors les mesures qu’il juge approprié.</w:t>
      </w:r>
    </w:p>
    <w:p w:rsidR="001C1BBA" w:rsidRDefault="001C1BBA" w:rsidP="001C1BBA">
      <w:pPr>
        <w:pStyle w:val="Sansinterligne"/>
      </w:pPr>
    </w:p>
    <w:p w:rsidR="001C1BBA" w:rsidRDefault="004E4137" w:rsidP="002D08FF">
      <w:pPr>
        <w:pStyle w:val="Sansinterligne"/>
        <w:numPr>
          <w:ilvl w:val="0"/>
          <w:numId w:val="1317"/>
        </w:numPr>
      </w:pPr>
      <w:r>
        <w:t>Si un patient, un établissement, l’ordre professionnel dépose une plainte à votre encontre, il faut alors communiquer avec l’assureur en responsabilité pour prendre les mesures qui s’imposent.</w:t>
      </w:r>
    </w:p>
    <w:p w:rsidR="001C1BBA" w:rsidRDefault="001C1BBA">
      <w:pPr>
        <w:rPr>
          <w:rFonts w:cs="Times New Roman"/>
          <w:b/>
          <w:color w:val="548DD4" w:themeColor="text2" w:themeTint="99"/>
        </w:rPr>
      </w:pPr>
      <w:r>
        <w:rPr>
          <w:rFonts w:cs="Times New Roman"/>
          <w:b/>
          <w:color w:val="548DD4" w:themeColor="text2" w:themeTint="99"/>
        </w:rPr>
        <w:br w:type="page"/>
      </w:r>
    </w:p>
    <w:p w:rsidR="00AF39A6" w:rsidRDefault="00AF39A6" w:rsidP="00AF39A6">
      <w:pPr>
        <w:spacing w:after="0"/>
        <w:rPr>
          <w:rFonts w:cs="Times New Roman"/>
          <w:b/>
          <w:color w:val="548DD4" w:themeColor="text2" w:themeTint="99"/>
        </w:rPr>
      </w:pPr>
      <w:r>
        <w:rPr>
          <w:rFonts w:cs="Times New Roman"/>
          <w:b/>
          <w:color w:val="548DD4" w:themeColor="text2" w:themeTint="99"/>
        </w:rPr>
        <w:t>CMC 121-4</w:t>
      </w:r>
    </w:p>
    <w:p w:rsidR="00AF39A6" w:rsidRPr="00AF39A6" w:rsidRDefault="00AF39A6" w:rsidP="00AF39A6">
      <w:pPr>
        <w:pStyle w:val="Titre3"/>
        <w:spacing w:before="0"/>
        <w:rPr>
          <w:rFonts w:ascii="Times New Roman" w:hAnsi="Times New Roman" w:cs="Times New Roman"/>
        </w:rPr>
      </w:pPr>
      <w:bookmarkStart w:id="408" w:name="_Toc480797345"/>
      <w:r w:rsidRPr="00AF39A6">
        <w:rPr>
          <w:rFonts w:ascii="Times New Roman" w:hAnsi="Times New Roman" w:cs="Times New Roman"/>
        </w:rPr>
        <w:t>Confidentialité</w:t>
      </w:r>
      <w:bookmarkEnd w:id="408"/>
    </w:p>
    <w:tbl>
      <w:tblPr>
        <w:tblW w:w="3707" w:type="pct"/>
        <w:tblCellSpacing w:w="0" w:type="dxa"/>
        <w:tblCellMar>
          <w:left w:w="0" w:type="dxa"/>
          <w:right w:w="0" w:type="dxa"/>
        </w:tblCellMar>
        <w:tblLook w:val="04A0" w:firstRow="1" w:lastRow="0" w:firstColumn="1" w:lastColumn="0" w:noHBand="0" w:noVBand="1"/>
      </w:tblPr>
      <w:tblGrid>
        <w:gridCol w:w="8007"/>
      </w:tblGrid>
      <w:tr w:rsidR="00AF39A6" w:rsidRPr="00AF39A6" w:rsidTr="00AF39A6">
        <w:trPr>
          <w:tblCellSpacing w:w="0" w:type="dxa"/>
        </w:trPr>
        <w:tc>
          <w:tcPr>
            <w:tcW w:w="0" w:type="auto"/>
            <w:vAlign w:val="bottom"/>
            <w:hideMark/>
          </w:tcPr>
          <w:p w:rsidR="00AF39A6" w:rsidRPr="00AF39A6" w:rsidRDefault="00AF39A6" w:rsidP="00AF39A6">
            <w:pPr>
              <w:pStyle w:val="Sansinterligne"/>
              <w:spacing w:before="240"/>
              <w:rPr>
                <w:rFonts w:cs="Times New Roman"/>
                <w:b/>
                <w:sz w:val="18"/>
                <w:szCs w:val="16"/>
              </w:rPr>
            </w:pPr>
            <w:r>
              <w:rPr>
                <w:rFonts w:cs="Times New Roman"/>
                <w:b/>
                <w:noProof/>
                <w:sz w:val="18"/>
                <w:szCs w:val="16"/>
                <w:lang w:eastAsia="fr-CA"/>
              </w:rPr>
              <mc:AlternateContent>
                <mc:Choice Requires="wps">
                  <w:drawing>
                    <wp:anchor distT="0" distB="0" distL="114300" distR="114300" simplePos="0" relativeHeight="252100608" behindDoc="0" locked="0" layoutInCell="1" allowOverlap="1" wp14:anchorId="7307DF8C" wp14:editId="1017F1ED">
                      <wp:simplePos x="0" y="0"/>
                      <wp:positionH relativeFrom="column">
                        <wp:posOffset>-78105</wp:posOffset>
                      </wp:positionH>
                      <wp:positionV relativeFrom="paragraph">
                        <wp:posOffset>80645</wp:posOffset>
                      </wp:positionV>
                      <wp:extent cx="6867525" cy="2314575"/>
                      <wp:effectExtent l="0" t="0" r="28575" b="28575"/>
                      <wp:wrapNone/>
                      <wp:docPr id="575" name="Rectangle 575"/>
                      <wp:cNvGraphicFramePr/>
                      <a:graphic xmlns:a="http://schemas.openxmlformats.org/drawingml/2006/main">
                        <a:graphicData uri="http://schemas.microsoft.com/office/word/2010/wordprocessingShape">
                          <wps:wsp>
                            <wps:cNvSpPr/>
                            <wps:spPr>
                              <a:xfrm>
                                <a:off x="0" y="0"/>
                                <a:ext cx="6867525" cy="2314575"/>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575" o:spid="_x0000_s1026" style="position:absolute;margin-left:-6.15pt;margin-top:6.35pt;width:540.75pt;height:182.25pt;z-index:252100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" filled="f" strokecolor="black [1600]" strokeweight="2pt"/>
                  </w:pict>
                </mc:Fallback>
              </mc:AlternateContent>
            </w:r>
            <w:r w:rsidRPr="00AF39A6">
              <w:rPr>
                <w:rFonts w:cs="Times New Roman"/>
                <w:b/>
                <w:sz w:val="18"/>
                <w:szCs w:val="16"/>
              </w:rPr>
              <w:t>Objectif principal</w:t>
            </w:r>
          </w:p>
        </w:tc>
      </w:tr>
    </w:tbl>
    <w:p w:rsidR="00AF39A6" w:rsidRPr="00AF39A6" w:rsidRDefault="00AF39A6" w:rsidP="00AF39A6">
      <w:pPr>
        <w:pStyle w:val="NormalWeb"/>
        <w:ind w:left="360"/>
        <w:rPr>
          <w:color w:val="000000"/>
          <w:sz w:val="18"/>
          <w:szCs w:val="16"/>
          <w:shd w:val="clear" w:color="auto" w:fill="FFFFFF"/>
        </w:rPr>
      </w:pPr>
      <w:r w:rsidRPr="00AF39A6">
        <w:rPr>
          <w:color w:val="000000"/>
          <w:sz w:val="18"/>
          <w:szCs w:val="16"/>
          <w:shd w:val="clear" w:color="auto" w:fill="FFFFFF"/>
        </w:rPr>
        <w:t>Le candidat devra reconnaître le besoin de confidentialité et les circonstances dans lesquelles la confidentialité doit ou peut être transgressée.</w:t>
      </w:r>
    </w:p>
    <w:tbl>
      <w:tblPr>
        <w:tblW w:w="3897" w:type="pct"/>
        <w:tblCellSpacing w:w="0" w:type="dxa"/>
        <w:tblCellMar>
          <w:left w:w="0" w:type="dxa"/>
          <w:right w:w="0" w:type="dxa"/>
        </w:tblCellMar>
        <w:tblLook w:val="04A0" w:firstRow="1" w:lastRow="0" w:firstColumn="1" w:lastColumn="0" w:noHBand="0" w:noVBand="1"/>
      </w:tblPr>
      <w:tblGrid>
        <w:gridCol w:w="8418"/>
      </w:tblGrid>
      <w:tr w:rsidR="00AF39A6" w:rsidRPr="00AF39A6" w:rsidTr="00AF39A6">
        <w:trPr>
          <w:tblCellSpacing w:w="0" w:type="dxa"/>
        </w:trPr>
        <w:tc>
          <w:tcPr>
            <w:tcW w:w="0" w:type="auto"/>
            <w:vAlign w:val="bottom"/>
            <w:hideMark/>
          </w:tcPr>
          <w:p w:rsidR="00AF39A6" w:rsidRPr="00AF39A6" w:rsidRDefault="00AF39A6" w:rsidP="00AF39A6">
            <w:pPr>
              <w:pStyle w:val="Sansinterligne"/>
              <w:rPr>
                <w:rFonts w:cs="Times New Roman"/>
                <w:b/>
                <w:sz w:val="16"/>
                <w:szCs w:val="16"/>
              </w:rPr>
            </w:pPr>
            <w:r w:rsidRPr="00AF39A6">
              <w:rPr>
                <w:rFonts w:cs="Times New Roman"/>
                <w:b/>
                <w:sz w:val="16"/>
                <w:szCs w:val="16"/>
              </w:rPr>
              <w:t>Objectifs spécifiques</w:t>
            </w:r>
          </w:p>
        </w:tc>
      </w:tr>
    </w:tbl>
    <w:p w:rsidR="00AF39A6" w:rsidRPr="00AF39A6" w:rsidRDefault="00AF39A6" w:rsidP="00AF39A6">
      <w:pPr>
        <w:pStyle w:val="NormalWeb"/>
        <w:shd w:val="clear" w:color="auto" w:fill="FFFFFF"/>
        <w:ind w:left="360"/>
        <w:rPr>
          <w:color w:val="000000"/>
          <w:sz w:val="16"/>
          <w:szCs w:val="16"/>
          <w:shd w:val="clear" w:color="auto" w:fill="FFFFFF"/>
        </w:rPr>
      </w:pPr>
      <w:r w:rsidRPr="00AF39A6">
        <w:rPr>
          <w:color w:val="000000"/>
          <w:sz w:val="16"/>
          <w:szCs w:val="16"/>
          <w:shd w:val="clear" w:color="auto" w:fill="FFFFFF"/>
        </w:rPr>
        <w:t>Étant donné que la confidentialité est un aspect crucial de la pratique médicale, le candidat devra</w:t>
      </w:r>
    </w:p>
    <w:p w:rsidR="00AF39A6" w:rsidRPr="00AF39A6" w:rsidRDefault="00AF39A6" w:rsidP="00AF39A6">
      <w:pPr>
        <w:numPr>
          <w:ilvl w:val="0"/>
          <w:numId w:val="1300"/>
        </w:numPr>
        <w:shd w:val="clear" w:color="auto" w:fill="FFFFFF"/>
        <w:spacing w:before="100" w:beforeAutospacing="1" w:after="100" w:afterAutospacing="1" w:line="240" w:lineRule="auto"/>
        <w:rPr>
          <w:rFonts w:cs="Times New Roman"/>
          <w:color w:val="000000"/>
          <w:sz w:val="16"/>
          <w:szCs w:val="16"/>
          <w:shd w:val="clear" w:color="auto" w:fill="FFFFFF"/>
        </w:rPr>
      </w:pPr>
      <w:r w:rsidRPr="00AF39A6">
        <w:rPr>
          <w:rFonts w:cs="Times New Roman"/>
          <w:color w:val="000000"/>
          <w:sz w:val="16"/>
          <w:szCs w:val="16"/>
          <w:shd w:val="clear" w:color="auto" w:fill="FFFFFF"/>
        </w:rPr>
        <w:t>exposer les aspects éthiques et juridiques de la confidentialité;</w:t>
      </w:r>
    </w:p>
    <w:p w:rsidR="00AF39A6" w:rsidRPr="00AF39A6" w:rsidRDefault="00AF39A6" w:rsidP="00AF39A6">
      <w:pPr>
        <w:numPr>
          <w:ilvl w:val="0"/>
          <w:numId w:val="1300"/>
        </w:numPr>
        <w:shd w:val="clear" w:color="auto" w:fill="FFFFFF"/>
        <w:spacing w:before="100" w:beforeAutospacing="1" w:after="100" w:afterAutospacing="1" w:line="240" w:lineRule="auto"/>
        <w:rPr>
          <w:rFonts w:cs="Times New Roman"/>
          <w:color w:val="000000"/>
          <w:sz w:val="16"/>
          <w:szCs w:val="16"/>
          <w:shd w:val="clear" w:color="auto" w:fill="FFFFFF"/>
        </w:rPr>
      </w:pPr>
      <w:r w:rsidRPr="00AF39A6">
        <w:rPr>
          <w:rFonts w:cs="Times New Roman"/>
          <w:color w:val="000000"/>
          <w:sz w:val="16"/>
          <w:szCs w:val="16"/>
          <w:shd w:val="clear" w:color="auto" w:fill="FFFFFF"/>
        </w:rPr>
        <w:t>connaître les fondements constitutionnels et législatifs de la confidentialité et son application aux dossiers médicaux et à toutes les formes de communication;</w:t>
      </w:r>
    </w:p>
    <w:p w:rsidR="00AF39A6" w:rsidRPr="00AF39A6" w:rsidRDefault="00AF39A6" w:rsidP="00AF39A6">
      <w:pPr>
        <w:numPr>
          <w:ilvl w:val="0"/>
          <w:numId w:val="1300"/>
        </w:numPr>
        <w:shd w:val="clear" w:color="auto" w:fill="FFFFFF"/>
        <w:spacing w:before="100" w:beforeAutospacing="1" w:after="100" w:afterAutospacing="1" w:line="240" w:lineRule="auto"/>
        <w:rPr>
          <w:rFonts w:cs="Times New Roman"/>
          <w:color w:val="000000"/>
          <w:sz w:val="16"/>
          <w:szCs w:val="16"/>
          <w:shd w:val="clear" w:color="auto" w:fill="FFFFFF"/>
        </w:rPr>
      </w:pPr>
      <w:r w:rsidRPr="00AF39A6">
        <w:rPr>
          <w:rFonts w:cs="Times New Roman"/>
          <w:color w:val="000000"/>
          <w:sz w:val="16"/>
          <w:szCs w:val="16"/>
          <w:shd w:val="clear" w:color="auto" w:fill="FFFFFF"/>
        </w:rPr>
        <w:t>énumérer les exceptions au besoin de confidentialité, ainsi que les cas où elle doit ou peut être transgressée (p. ex. signalement obligatoire, prévention de torts à autrui);</w:t>
      </w:r>
    </w:p>
    <w:p w:rsidR="00AF39A6" w:rsidRPr="00AF39A6" w:rsidRDefault="00AF39A6" w:rsidP="00AF39A6">
      <w:pPr>
        <w:numPr>
          <w:ilvl w:val="0"/>
          <w:numId w:val="1300"/>
        </w:numPr>
        <w:shd w:val="clear" w:color="auto" w:fill="FFFFFF"/>
        <w:spacing w:before="100" w:beforeAutospacing="1" w:after="100" w:afterAutospacing="1" w:line="240" w:lineRule="auto"/>
        <w:rPr>
          <w:rFonts w:cs="Times New Roman"/>
          <w:color w:val="000000"/>
          <w:sz w:val="16"/>
          <w:szCs w:val="16"/>
          <w:shd w:val="clear" w:color="auto" w:fill="FFFFFF"/>
        </w:rPr>
      </w:pPr>
      <w:r w:rsidRPr="00AF39A6">
        <w:rPr>
          <w:rFonts w:cs="Times New Roman"/>
          <w:color w:val="000000"/>
          <w:sz w:val="16"/>
          <w:szCs w:val="16"/>
          <w:shd w:val="clear" w:color="auto" w:fill="FFFFFF"/>
        </w:rPr>
        <w:t>connaître les limites du consentement à divulguer de l'information (p. ex. quantité d'information transmise à des tiers, contraintes de temps);</w:t>
      </w:r>
    </w:p>
    <w:p w:rsidR="00AF39A6" w:rsidRPr="00AF39A6" w:rsidRDefault="00AF39A6" w:rsidP="00AF39A6">
      <w:pPr>
        <w:numPr>
          <w:ilvl w:val="0"/>
          <w:numId w:val="1300"/>
        </w:numPr>
        <w:shd w:val="clear" w:color="auto" w:fill="FFFFFF"/>
        <w:spacing w:before="100" w:beforeAutospacing="1" w:after="100" w:afterAutospacing="1" w:line="240" w:lineRule="auto"/>
        <w:rPr>
          <w:rFonts w:cs="Times New Roman"/>
          <w:color w:val="000000"/>
          <w:sz w:val="16"/>
          <w:szCs w:val="16"/>
          <w:shd w:val="clear" w:color="auto" w:fill="FFFFFF"/>
        </w:rPr>
      </w:pPr>
      <w:r w:rsidRPr="00AF39A6">
        <w:rPr>
          <w:rFonts w:cs="Times New Roman"/>
          <w:color w:val="000000"/>
          <w:sz w:val="16"/>
          <w:szCs w:val="16"/>
          <w:shd w:val="clear" w:color="auto" w:fill="FFFFFF"/>
        </w:rPr>
        <w:t>reconnaître le devoir d'informer les patients à propos des signalements obligatoires (p. ex. maladies à déclaration obligatoire);</w:t>
      </w:r>
    </w:p>
    <w:p w:rsidR="00AF39A6" w:rsidRPr="00F278BE" w:rsidRDefault="00AF39A6" w:rsidP="00F278BE">
      <w:pPr>
        <w:numPr>
          <w:ilvl w:val="0"/>
          <w:numId w:val="1300"/>
        </w:numPr>
        <w:shd w:val="clear" w:color="auto" w:fill="FFFFFF"/>
        <w:spacing w:before="100" w:beforeAutospacing="1" w:after="100" w:afterAutospacing="1" w:line="240" w:lineRule="auto"/>
        <w:rPr>
          <w:rFonts w:cs="Times New Roman"/>
          <w:color w:val="000000"/>
          <w:sz w:val="16"/>
          <w:szCs w:val="16"/>
          <w:shd w:val="clear" w:color="auto" w:fill="FFFFFF"/>
        </w:rPr>
      </w:pPr>
      <w:bookmarkStart w:id="409" w:name="Objectifssp%C3%A9cifiques6"/>
      <w:r w:rsidRPr="00AF39A6">
        <w:rPr>
          <w:rFonts w:cs="Times New Roman"/>
          <w:color w:val="000000"/>
          <w:sz w:val="16"/>
          <w:szCs w:val="16"/>
          <w:shd w:val="clear" w:color="auto" w:fill="FFFFFF"/>
        </w:rPr>
        <w:t>reconnaître les défis posés par les dossiers médicaux informatisés en matière de confidentialité.</w:t>
      </w:r>
      <w:bookmarkEnd w:id="409"/>
    </w:p>
    <w:p w:rsidR="00AF39A6" w:rsidRPr="00F278BE" w:rsidRDefault="00AF39A6" w:rsidP="00AF39A6">
      <w:pPr>
        <w:pStyle w:val="Sansinterligne"/>
        <w:rPr>
          <w:b/>
          <w:sz w:val="28"/>
          <w:szCs w:val="28"/>
        </w:rPr>
      </w:pPr>
      <w:r w:rsidRPr="00F278BE">
        <w:rPr>
          <w:b/>
          <w:sz w:val="28"/>
          <w:szCs w:val="28"/>
        </w:rPr>
        <w:t>Définition, importance et implications</w:t>
      </w:r>
    </w:p>
    <w:p w:rsidR="00B475E3" w:rsidRDefault="00B475E3" w:rsidP="00AF39A6">
      <w:pPr>
        <w:pStyle w:val="Sansinterligne"/>
      </w:pPr>
    </w:p>
    <w:p w:rsidR="00B475E3" w:rsidRPr="00F278BE" w:rsidRDefault="00B475E3" w:rsidP="00AF39A6">
      <w:pPr>
        <w:pStyle w:val="Sansinterligne"/>
        <w:rPr>
          <w:highlight w:val="yellow"/>
        </w:rPr>
      </w:pPr>
      <w:r w:rsidRPr="00F278BE">
        <w:rPr>
          <w:highlight w:val="yellow"/>
        </w:rPr>
        <w:t>La confidentialité est essentielle à une relation thérapeutique complète, puisque le patient ne confiera des informations compromettantes, gênantes que s’il est assuré de leur confidentialité. Or, ces informations peuvent s’avérer essentielles pour poser le bon diagnostic ou offrir les soins les mieux adaptés au patient.</w:t>
      </w:r>
    </w:p>
    <w:p w:rsidR="00B475E3" w:rsidRPr="00F278BE" w:rsidRDefault="00B475E3" w:rsidP="00AF39A6">
      <w:pPr>
        <w:pStyle w:val="Sansinterligne"/>
        <w:rPr>
          <w:highlight w:val="yellow"/>
        </w:rPr>
      </w:pPr>
    </w:p>
    <w:p w:rsidR="00B475E3" w:rsidRDefault="00B475E3" w:rsidP="00AF39A6">
      <w:pPr>
        <w:pStyle w:val="Sansinterligne"/>
      </w:pPr>
      <w:r w:rsidRPr="00F278BE">
        <w:rPr>
          <w:highlight w:val="yellow"/>
        </w:rPr>
        <w:t>Cela signifie que le médecin est obligé par la loi et par son code de déontologie de maintenir toute informations concernant la santé du patient</w:t>
      </w:r>
      <w:r w:rsidR="00F278BE">
        <w:rPr>
          <w:highlight w:val="yellow"/>
        </w:rPr>
        <w:t>, écrites (dossier, rapports de laboratoires, etc.</w:t>
      </w:r>
      <w:r w:rsidR="002B535B">
        <w:rPr>
          <w:highlight w:val="yellow"/>
        </w:rPr>
        <w:t>) ou verbales</w:t>
      </w:r>
      <w:r w:rsidR="00F278BE">
        <w:rPr>
          <w:highlight w:val="yellow"/>
        </w:rPr>
        <w:t>,</w:t>
      </w:r>
      <w:r w:rsidRPr="00F278BE">
        <w:rPr>
          <w:highlight w:val="yellow"/>
        </w:rPr>
        <w:t xml:space="preserve"> sous le sceau du secret, à moins d’être autorisé par le patient à les divulguer, en tout ou en partie, ou obligé en regard de la loi, à déclarer certaines situations.</w:t>
      </w:r>
      <w:r>
        <w:br/>
      </w:r>
    </w:p>
    <w:p w:rsidR="00B475E3" w:rsidRDefault="00B475E3" w:rsidP="00AF39A6">
      <w:pPr>
        <w:pStyle w:val="Sansinterligne"/>
      </w:pPr>
      <w:r>
        <w:t>Exemple : un médecin qui traite à la fois un patient et sa conjointe, ne peut divulguer à sa conjointe que son patient est atteint d’une ITSS, même si celle-ci est à risque d’y être exposée.</w:t>
      </w:r>
    </w:p>
    <w:p w:rsidR="00B475E3" w:rsidRDefault="00B475E3" w:rsidP="00AF39A6">
      <w:pPr>
        <w:pStyle w:val="Sansinterligne"/>
      </w:pPr>
    </w:p>
    <w:p w:rsidR="00F278BE" w:rsidRPr="00F278BE" w:rsidRDefault="00F278BE" w:rsidP="00AF39A6">
      <w:pPr>
        <w:pStyle w:val="Sansinterligne"/>
        <w:rPr>
          <w:b/>
          <w:sz w:val="28"/>
          <w:szCs w:val="28"/>
        </w:rPr>
      </w:pPr>
      <w:r w:rsidRPr="00F278BE">
        <w:rPr>
          <w:b/>
          <w:sz w:val="28"/>
          <w:szCs w:val="28"/>
        </w:rPr>
        <w:t>Fondement légal</w:t>
      </w:r>
    </w:p>
    <w:p w:rsidR="00F278BE" w:rsidRDefault="00F278BE" w:rsidP="00AF39A6">
      <w:pPr>
        <w:pStyle w:val="Sansinterligne"/>
      </w:pPr>
    </w:p>
    <w:p w:rsidR="00F278BE" w:rsidRDefault="00F278BE" w:rsidP="002D08FF">
      <w:pPr>
        <w:pStyle w:val="Sansinterligne"/>
        <w:numPr>
          <w:ilvl w:val="0"/>
          <w:numId w:val="1315"/>
        </w:numPr>
      </w:pPr>
      <w:r>
        <w:t>Le patient a droit au respect de sa vie privée.</w:t>
      </w:r>
    </w:p>
    <w:p w:rsidR="00F278BE" w:rsidRDefault="00715EE8" w:rsidP="002D08FF">
      <w:pPr>
        <w:pStyle w:val="Sansinterligne"/>
        <w:numPr>
          <w:ilvl w:val="0"/>
          <w:numId w:val="1315"/>
        </w:numPr>
      </w:pPr>
      <w:r>
        <w:rPr>
          <w:noProof/>
          <w:lang w:eastAsia="fr-CA"/>
        </w:rPr>
        <w:drawing>
          <wp:anchor distT="0" distB="0" distL="114300" distR="114300" simplePos="0" relativeHeight="252107776" behindDoc="1" locked="0" layoutInCell="1" allowOverlap="1" wp14:anchorId="01A8D284" wp14:editId="44A0B505">
            <wp:simplePos x="0" y="0"/>
            <wp:positionH relativeFrom="column">
              <wp:posOffset>3150870</wp:posOffset>
            </wp:positionH>
            <wp:positionV relativeFrom="paragraph">
              <wp:posOffset>95250</wp:posOffset>
            </wp:positionV>
            <wp:extent cx="3637280" cy="1818640"/>
            <wp:effectExtent l="0" t="0" r="1270" b="0"/>
            <wp:wrapNone/>
            <wp:docPr id="593" name="Image 593" descr="Résultats de recherche d'images pour « confidentialité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Résultats de recherche d'images pour « confidentialité »"/>
                    <pic:cNvPicPr>
                      <a:picLocks noChangeAspect="1" noChangeArrowheads="1"/>
                    </pic:cNvPicPr>
                  </pic:nvPicPr>
                  <pic:blipFill>
                    <a:blip r:embed="rId405">
                      <a:extLst>
                        <a:ext uri="{28A0092B-C50C-407E-A947-70E740481C1C}">
                          <a14:useLocalDpi xmlns:a14="http://schemas.microsoft.com/office/drawing/2010/main" val="0"/>
                        </a:ext>
                      </a:extLst>
                    </a:blip>
                    <a:srcRect/>
                    <a:stretch>
                      <a:fillRect/>
                    </a:stretch>
                  </pic:blipFill>
                  <pic:spPr bwMode="auto">
                    <a:xfrm>
                      <a:off x="0" y="0"/>
                      <a:ext cx="3637280" cy="1818640"/>
                    </a:xfrm>
                    <a:prstGeom prst="rect">
                      <a:avLst/>
                    </a:prstGeom>
                    <a:noFill/>
                    <a:ln>
                      <a:noFill/>
                    </a:ln>
                  </pic:spPr>
                </pic:pic>
              </a:graphicData>
            </a:graphic>
            <wp14:sizeRelH relativeFrom="page">
              <wp14:pctWidth>0</wp14:pctWidth>
            </wp14:sizeRelH>
            <wp14:sizeRelV relativeFrom="page">
              <wp14:pctHeight>0</wp14:pctHeight>
            </wp14:sizeRelV>
          </wp:anchor>
        </w:drawing>
      </w:r>
      <w:r w:rsidR="00F278BE">
        <w:t>Le droit à l’autonomie confère au patient le choix de divulguer ou non les informations qui le concernent.</w:t>
      </w:r>
    </w:p>
    <w:p w:rsidR="00F278BE" w:rsidRDefault="00F278BE" w:rsidP="00AF39A6">
      <w:pPr>
        <w:pStyle w:val="Sansinterligne"/>
      </w:pPr>
    </w:p>
    <w:p w:rsidR="00F278BE" w:rsidRDefault="00F278BE" w:rsidP="00AF39A6">
      <w:pPr>
        <w:pStyle w:val="Sansinterligne"/>
      </w:pPr>
      <w:r w:rsidRPr="00F278BE">
        <w:rPr>
          <w:u w:val="single"/>
        </w:rPr>
        <w:t>Garanti par</w:t>
      </w:r>
      <w:r>
        <w:t> :</w:t>
      </w:r>
    </w:p>
    <w:p w:rsidR="00F278BE" w:rsidRDefault="00F278BE" w:rsidP="002D08FF">
      <w:pPr>
        <w:pStyle w:val="Sansinterligne"/>
        <w:numPr>
          <w:ilvl w:val="0"/>
          <w:numId w:val="1314"/>
        </w:numPr>
      </w:pPr>
      <w:r>
        <w:t>Charte canadienne des droits et libertés</w:t>
      </w:r>
      <w:r w:rsidR="00715EE8" w:rsidRPr="00715EE8">
        <w:t xml:space="preserve"> </w:t>
      </w:r>
    </w:p>
    <w:p w:rsidR="00F278BE" w:rsidRDefault="00F278BE" w:rsidP="002D08FF">
      <w:pPr>
        <w:pStyle w:val="Sansinterligne"/>
        <w:numPr>
          <w:ilvl w:val="0"/>
          <w:numId w:val="1314"/>
        </w:numPr>
      </w:pPr>
      <w:r>
        <w:t>Code des professions</w:t>
      </w:r>
    </w:p>
    <w:p w:rsidR="00F278BE" w:rsidRDefault="00F278BE" w:rsidP="002D08FF">
      <w:pPr>
        <w:pStyle w:val="Sansinterligne"/>
        <w:numPr>
          <w:ilvl w:val="0"/>
          <w:numId w:val="1314"/>
        </w:numPr>
      </w:pPr>
      <w:r>
        <w:t>Code de déontologie médicale du Québec</w:t>
      </w:r>
    </w:p>
    <w:p w:rsidR="00F278BE" w:rsidRDefault="00F278BE" w:rsidP="00AF39A6">
      <w:pPr>
        <w:pStyle w:val="Sansinterligne"/>
      </w:pPr>
    </w:p>
    <w:p w:rsidR="00AF39A6" w:rsidRDefault="00AF39A6" w:rsidP="00AF39A6">
      <w:pPr>
        <w:pStyle w:val="Sansinterligne"/>
        <w:rPr>
          <w:b/>
          <w:sz w:val="28"/>
          <w:szCs w:val="28"/>
        </w:rPr>
      </w:pPr>
      <w:r w:rsidRPr="00F278BE">
        <w:rPr>
          <w:b/>
          <w:sz w:val="28"/>
          <w:szCs w:val="28"/>
        </w:rPr>
        <w:t>Exceptions prévues par la loi</w:t>
      </w:r>
    </w:p>
    <w:p w:rsidR="00F278BE" w:rsidRDefault="00F278BE" w:rsidP="00AF39A6">
      <w:pPr>
        <w:pStyle w:val="Sansinterligne"/>
        <w:rPr>
          <w:sz w:val="28"/>
          <w:szCs w:val="28"/>
        </w:rPr>
      </w:pPr>
    </w:p>
    <w:p w:rsidR="00F278BE" w:rsidRPr="00FD7408" w:rsidRDefault="00F278BE" w:rsidP="002D08FF">
      <w:pPr>
        <w:pStyle w:val="Sansinterligne"/>
        <w:numPr>
          <w:ilvl w:val="0"/>
          <w:numId w:val="1316"/>
        </w:numPr>
        <w:rPr>
          <w:highlight w:val="yellow"/>
        </w:rPr>
      </w:pPr>
      <w:r w:rsidRPr="00FD7408">
        <w:rPr>
          <w:highlight w:val="yellow"/>
        </w:rPr>
        <w:t>Suspicion d’abus ou de négligence envers un enfant</w:t>
      </w:r>
    </w:p>
    <w:p w:rsidR="00F278BE" w:rsidRPr="00FD7408" w:rsidRDefault="00655B21" w:rsidP="002D08FF">
      <w:pPr>
        <w:pStyle w:val="Sansinterligne"/>
        <w:numPr>
          <w:ilvl w:val="0"/>
          <w:numId w:val="1316"/>
        </w:numPr>
        <w:rPr>
          <w:highlight w:val="yellow"/>
        </w:rPr>
      </w:pPr>
      <w:r w:rsidRPr="00FD7408">
        <w:rPr>
          <w:highlight w:val="yellow"/>
        </w:rPr>
        <w:t>Maladies à déclaration obligatoire / à traitement obligatoire</w:t>
      </w:r>
    </w:p>
    <w:p w:rsidR="0069373A" w:rsidRPr="00FD7408" w:rsidRDefault="0069373A" w:rsidP="002D08FF">
      <w:pPr>
        <w:pStyle w:val="Sansinterligne"/>
        <w:numPr>
          <w:ilvl w:val="0"/>
          <w:numId w:val="1316"/>
        </w:numPr>
        <w:rPr>
          <w:highlight w:val="yellow"/>
        </w:rPr>
      </w:pPr>
      <w:r w:rsidRPr="00FD7408">
        <w:rPr>
          <w:highlight w:val="yellow"/>
        </w:rPr>
        <w:t>Enquête du Collège des médecins</w:t>
      </w:r>
    </w:p>
    <w:p w:rsidR="0069373A" w:rsidRPr="00FD7408" w:rsidRDefault="0069373A" w:rsidP="002D08FF">
      <w:pPr>
        <w:pStyle w:val="Sansinterligne"/>
        <w:numPr>
          <w:ilvl w:val="0"/>
          <w:numId w:val="1316"/>
        </w:numPr>
        <w:rPr>
          <w:highlight w:val="yellow"/>
        </w:rPr>
      </w:pPr>
      <w:r w:rsidRPr="00FD7408">
        <w:rPr>
          <w:highlight w:val="yellow"/>
        </w:rPr>
        <w:t>Enquête du coroner</w:t>
      </w:r>
    </w:p>
    <w:p w:rsidR="00323F5C" w:rsidRDefault="0069373A" w:rsidP="002D08FF">
      <w:pPr>
        <w:pStyle w:val="Sansinterligne"/>
        <w:numPr>
          <w:ilvl w:val="0"/>
          <w:numId w:val="1316"/>
        </w:numPr>
      </w:pPr>
      <w:r w:rsidRPr="00FD7408">
        <w:rPr>
          <w:highlight w:val="yellow"/>
        </w:rPr>
        <w:t>Danger imminent pour le patient ou pour autru</w:t>
      </w:r>
      <w:r w:rsidR="00715EE8" w:rsidRPr="00FD7408">
        <w:rPr>
          <w:highlight w:val="yellow"/>
        </w:rPr>
        <w:t>i</w:t>
      </w:r>
      <w:r w:rsidR="00715EE8">
        <w:t xml:space="preserve"> (suicide, homicide, agression</w:t>
      </w:r>
      <w:r w:rsidR="00323F5C">
        <w:t>)</w:t>
      </w:r>
    </w:p>
    <w:p w:rsidR="00715EE8" w:rsidRDefault="00323F5C" w:rsidP="002D08FF">
      <w:pPr>
        <w:pStyle w:val="Sansinterligne"/>
        <w:numPr>
          <w:ilvl w:val="0"/>
          <w:numId w:val="1316"/>
        </w:numPr>
      </w:pPr>
      <w:r w:rsidRPr="00323F5C">
        <w:rPr>
          <w:highlight w:val="yellow"/>
        </w:rPr>
        <w:t>I</w:t>
      </w:r>
      <w:r w:rsidR="00715EE8" w:rsidRPr="00323F5C">
        <w:rPr>
          <w:highlight w:val="yellow"/>
        </w:rPr>
        <w:t xml:space="preserve">naptitude à conduire – signalement volontaire </w:t>
      </w:r>
      <w:r w:rsidRPr="00323F5C">
        <w:rPr>
          <w:highlight w:val="yellow"/>
        </w:rPr>
        <w:t>à la SAAQ</w:t>
      </w:r>
      <w:r>
        <w:t xml:space="preserve"> en vertu du Code de la sécurité routière</w:t>
      </w:r>
    </w:p>
    <w:p w:rsidR="00715EE8" w:rsidRDefault="00715EE8" w:rsidP="00715EE8">
      <w:pPr>
        <w:pStyle w:val="Sansinterligne"/>
      </w:pPr>
    </w:p>
    <w:p w:rsidR="00715EE8" w:rsidRDefault="00715EE8" w:rsidP="00715EE8">
      <w:pPr>
        <w:pStyle w:val="Sansinterligne"/>
      </w:pPr>
    </w:p>
    <w:p w:rsidR="00655B21" w:rsidRPr="00F278BE" w:rsidRDefault="00655B21" w:rsidP="00F278BE">
      <w:pPr>
        <w:pStyle w:val="Sansinterligne"/>
      </w:pPr>
    </w:p>
    <w:p w:rsidR="00AF39A6" w:rsidRPr="007E3432" w:rsidRDefault="00AF39A6" w:rsidP="00F278BE">
      <w:pPr>
        <w:pStyle w:val="Sansinterligne"/>
        <w:rPr>
          <w:b/>
          <w:sz w:val="28"/>
          <w:szCs w:val="28"/>
        </w:rPr>
      </w:pPr>
      <w:r w:rsidRPr="007E3432">
        <w:rPr>
          <w:b/>
          <w:sz w:val="28"/>
          <w:szCs w:val="28"/>
        </w:rPr>
        <w:t>Limites du consentement à la divulgation</w:t>
      </w:r>
    </w:p>
    <w:p w:rsidR="007E3432" w:rsidRDefault="007E3432" w:rsidP="00F278BE">
      <w:pPr>
        <w:pStyle w:val="Sansinterligne"/>
      </w:pPr>
    </w:p>
    <w:p w:rsidR="00286461" w:rsidRDefault="00286461" w:rsidP="00F278BE">
      <w:pPr>
        <w:pStyle w:val="Sansinterligne"/>
      </w:pPr>
      <w:r>
        <w:t>Obtenir le consentement du patient pour divulguer des informations à une tierce partie, incluant des membres de sa famille.</w:t>
      </w:r>
    </w:p>
    <w:p w:rsidR="00286461" w:rsidRDefault="00286461" w:rsidP="00F278BE">
      <w:pPr>
        <w:pStyle w:val="Sansinterligne"/>
      </w:pPr>
    </w:p>
    <w:p w:rsidR="007E3432" w:rsidRDefault="007E3432" w:rsidP="00F278BE">
      <w:pPr>
        <w:pStyle w:val="Sansinterligne"/>
      </w:pPr>
      <w:r>
        <w:t xml:space="preserve">Un patient peut faire la demande expresse au médecin de ne pas communiquer certaines informations ou de ne pas discuter de données le concernant avec une personne, incluant un membre de l’équipe de soins. </w:t>
      </w:r>
      <w:r w:rsidR="004353CD">
        <w:t>Sous réserve des dispositions prévues par la loi.</w:t>
      </w:r>
    </w:p>
    <w:p w:rsidR="007E3432" w:rsidRDefault="007E3432" w:rsidP="00F278BE">
      <w:pPr>
        <w:pStyle w:val="Sansinterligne"/>
      </w:pPr>
    </w:p>
    <w:p w:rsidR="00AF39A6" w:rsidRPr="00715EE8" w:rsidRDefault="00AF39A6" w:rsidP="00F278BE">
      <w:pPr>
        <w:pStyle w:val="Sansinterligne"/>
        <w:rPr>
          <w:b/>
          <w:sz w:val="28"/>
          <w:szCs w:val="28"/>
        </w:rPr>
      </w:pPr>
      <w:r w:rsidRPr="00715EE8">
        <w:rPr>
          <w:b/>
          <w:sz w:val="28"/>
          <w:szCs w:val="28"/>
        </w:rPr>
        <w:t>Obligation morale d’avise</w:t>
      </w:r>
      <w:r w:rsidR="002A2671">
        <w:rPr>
          <w:b/>
          <w:sz w:val="28"/>
          <w:szCs w:val="28"/>
        </w:rPr>
        <w:t>r</w:t>
      </w:r>
      <w:r w:rsidRPr="00715EE8">
        <w:rPr>
          <w:b/>
          <w:sz w:val="28"/>
          <w:szCs w:val="28"/>
        </w:rPr>
        <w:t xml:space="preserve"> un patient d’un signalement</w:t>
      </w:r>
    </w:p>
    <w:p w:rsidR="00715EE8" w:rsidRDefault="00715EE8" w:rsidP="00F278BE">
      <w:pPr>
        <w:pStyle w:val="Sansinterligne"/>
      </w:pPr>
    </w:p>
    <w:p w:rsidR="00715EE8" w:rsidRDefault="00715EE8" w:rsidP="00F278BE">
      <w:pPr>
        <w:pStyle w:val="Sansinterligne"/>
      </w:pPr>
      <w:r>
        <w:t>Pour préserver l’intégrité et la transparence, il est préférable que le médecin divulguant une information confidentielle dans le cadre prévu par la loi en fasse état à son patient. Ainsi, le signalement d’une maladie à déclaration obligatoire ou un avis de limitations à la conduite faite au département approprié devrait être divulgué et expliqué au patient.</w:t>
      </w:r>
    </w:p>
    <w:p w:rsidR="00715EE8" w:rsidRDefault="00715EE8" w:rsidP="00F278BE">
      <w:pPr>
        <w:pStyle w:val="Sansinterligne"/>
      </w:pPr>
    </w:p>
    <w:p w:rsidR="00AF39A6" w:rsidRPr="00715EE8" w:rsidRDefault="00AF39A6" w:rsidP="00F278BE">
      <w:pPr>
        <w:pStyle w:val="Sansinterligne"/>
        <w:rPr>
          <w:b/>
          <w:sz w:val="28"/>
          <w:szCs w:val="28"/>
        </w:rPr>
      </w:pPr>
      <w:r w:rsidRPr="00715EE8">
        <w:rPr>
          <w:b/>
          <w:sz w:val="28"/>
          <w:szCs w:val="28"/>
        </w:rPr>
        <w:t>Note sur le dossier médical informatisé</w:t>
      </w:r>
    </w:p>
    <w:p w:rsidR="00AF39A6" w:rsidRDefault="00AF39A6" w:rsidP="00F278BE">
      <w:pPr>
        <w:pStyle w:val="Sansinterligne"/>
        <w:rPr>
          <w:rFonts w:cs="Times New Roman"/>
          <w:b/>
          <w:color w:val="548DD4" w:themeColor="text2" w:themeTint="99"/>
        </w:rPr>
      </w:pPr>
    </w:p>
    <w:p w:rsidR="00715EE8" w:rsidRDefault="00715EE8" w:rsidP="00715EE8">
      <w:pPr>
        <w:pStyle w:val="Sansinterligne"/>
      </w:pPr>
      <w:r>
        <w:t>La préservation du secret professionnel s’applique également aux informations sur support informatique, aux dossiers informatisés. Le médecin est tenu de faire tout en son pouvoir pour assurer la confidentialité de ces données.</w:t>
      </w:r>
    </w:p>
    <w:p w:rsidR="00715EE8" w:rsidRDefault="00715EE8" w:rsidP="00715EE8">
      <w:pPr>
        <w:pStyle w:val="Sansinterligne"/>
      </w:pPr>
    </w:p>
    <w:p w:rsidR="00AF39A6" w:rsidRDefault="00715EE8" w:rsidP="00715EE8">
      <w:pPr>
        <w:pStyle w:val="Sansinterligne"/>
      </w:pPr>
      <w:r>
        <w:rPr>
          <w:noProof/>
          <w:lang w:eastAsia="fr-CA"/>
        </w:rPr>
        <w:drawing>
          <wp:anchor distT="0" distB="0" distL="114300" distR="114300" simplePos="0" relativeHeight="252108800" behindDoc="0" locked="0" layoutInCell="1" allowOverlap="1" wp14:anchorId="644D5AF4" wp14:editId="06A73BA7">
            <wp:simplePos x="0" y="0"/>
            <wp:positionH relativeFrom="column">
              <wp:posOffset>1593985</wp:posOffset>
            </wp:positionH>
            <wp:positionV relativeFrom="paragraph">
              <wp:posOffset>466293</wp:posOffset>
            </wp:positionV>
            <wp:extent cx="3561049" cy="2227634"/>
            <wp:effectExtent l="0" t="0" r="1905" b="0"/>
            <wp:wrapNone/>
            <wp:docPr id="594" name="Image 594" descr="Résultats de recherche d'images pour « code de déontologie médicale québec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Résultats de recherche d'images pour « code de déontologie médicale québec »"/>
                    <pic:cNvPicPr>
                      <a:picLocks noChangeAspect="1" noChangeArrowheads="1"/>
                    </pic:cNvPicPr>
                  </pic:nvPicPr>
                  <pic:blipFill>
                    <a:blip r:embed="rId406">
                      <a:extLst>
                        <a:ext uri="{28A0092B-C50C-407E-A947-70E740481C1C}">
                          <a14:useLocalDpi xmlns:a14="http://schemas.microsoft.com/office/drawing/2010/main" val="0"/>
                        </a:ext>
                      </a:extLst>
                    </a:blip>
                    <a:srcRect/>
                    <a:stretch>
                      <a:fillRect/>
                    </a:stretch>
                  </pic:blipFill>
                  <pic:spPr bwMode="auto">
                    <a:xfrm>
                      <a:off x="0" y="0"/>
                      <a:ext cx="3561049" cy="2227634"/>
                    </a:xfrm>
                    <a:prstGeom prst="rect">
                      <a:avLst/>
                    </a:prstGeom>
                    <a:noFill/>
                    <a:ln>
                      <a:noFill/>
                    </a:ln>
                  </pic:spPr>
                </pic:pic>
              </a:graphicData>
            </a:graphic>
            <wp14:sizeRelH relativeFrom="page">
              <wp14:pctWidth>0</wp14:pctWidth>
            </wp14:sizeRelH>
            <wp14:sizeRelV relativeFrom="page">
              <wp14:pctHeight>0</wp14:pctHeight>
            </wp14:sizeRelV>
          </wp:anchor>
        </w:drawing>
      </w:r>
      <w:r w:rsidR="00AF39A6">
        <w:br w:type="page"/>
      </w:r>
    </w:p>
    <w:p w:rsidR="00345EB5" w:rsidRPr="00345EB5" w:rsidRDefault="00345EB5" w:rsidP="00345EB5">
      <w:pPr>
        <w:spacing w:after="0"/>
        <w:rPr>
          <w:rFonts w:cs="Times New Roman"/>
          <w:b/>
          <w:color w:val="548DD4" w:themeColor="text2" w:themeTint="99"/>
        </w:rPr>
      </w:pPr>
      <w:r w:rsidRPr="00345EB5">
        <w:rPr>
          <w:rFonts w:cs="Times New Roman"/>
          <w:b/>
          <w:color w:val="548DD4" w:themeColor="text2" w:themeTint="99"/>
        </w:rPr>
        <w:t>CMC 121-5</w:t>
      </w:r>
    </w:p>
    <w:p w:rsidR="00345EB5" w:rsidRPr="00345EB5" w:rsidRDefault="00345EB5" w:rsidP="00345EB5">
      <w:pPr>
        <w:pStyle w:val="Titre3"/>
        <w:spacing w:before="0"/>
        <w:rPr>
          <w:rFonts w:ascii="Times New Roman" w:hAnsi="Times New Roman" w:cs="Times New Roman"/>
        </w:rPr>
      </w:pPr>
      <w:bookmarkStart w:id="410" w:name="_Toc480797346"/>
      <w:r w:rsidRPr="00345EB5">
        <w:rPr>
          <w:rFonts w:ascii="Times New Roman" w:hAnsi="Times New Roman" w:cs="Times New Roman"/>
        </w:rPr>
        <w:t>Le système juridique</w:t>
      </w:r>
      <w:bookmarkEnd w:id="410"/>
    </w:p>
    <w:tbl>
      <w:tblPr>
        <w:tblW w:w="3858" w:type="pct"/>
        <w:tblCellSpacing w:w="0" w:type="dxa"/>
        <w:tblCellMar>
          <w:left w:w="0" w:type="dxa"/>
          <w:right w:w="0" w:type="dxa"/>
        </w:tblCellMar>
        <w:tblLook w:val="04A0" w:firstRow="1" w:lastRow="0" w:firstColumn="1" w:lastColumn="0" w:noHBand="0" w:noVBand="1"/>
      </w:tblPr>
      <w:tblGrid>
        <w:gridCol w:w="8333"/>
      </w:tblGrid>
      <w:tr w:rsidR="00345EB5" w:rsidRPr="00345EB5" w:rsidTr="00345EB5">
        <w:trPr>
          <w:tblCellSpacing w:w="0" w:type="dxa"/>
        </w:trPr>
        <w:tc>
          <w:tcPr>
            <w:tcW w:w="0" w:type="auto"/>
            <w:vAlign w:val="bottom"/>
            <w:hideMark/>
          </w:tcPr>
          <w:p w:rsidR="00345EB5" w:rsidRPr="00345EB5" w:rsidRDefault="00345EB5" w:rsidP="00345EB5">
            <w:pPr>
              <w:pStyle w:val="Sansinterligne"/>
              <w:spacing w:before="240"/>
              <w:rPr>
                <w:rFonts w:cs="Times New Roman"/>
                <w:b/>
                <w:sz w:val="18"/>
                <w:szCs w:val="18"/>
              </w:rPr>
            </w:pPr>
            <w:r>
              <w:rPr>
                <w:rFonts w:cs="Times New Roman"/>
                <w:b/>
                <w:noProof/>
                <w:sz w:val="18"/>
                <w:szCs w:val="18"/>
                <w:lang w:eastAsia="fr-CA"/>
              </w:rPr>
              <mc:AlternateContent>
                <mc:Choice Requires="wps">
                  <w:drawing>
                    <wp:anchor distT="0" distB="0" distL="114300" distR="114300" simplePos="0" relativeHeight="252099584" behindDoc="0" locked="0" layoutInCell="1" allowOverlap="1" wp14:anchorId="58A8368E" wp14:editId="4841CAF7">
                      <wp:simplePos x="0" y="0"/>
                      <wp:positionH relativeFrom="column">
                        <wp:posOffset>-48638</wp:posOffset>
                      </wp:positionH>
                      <wp:positionV relativeFrom="paragraph">
                        <wp:posOffset>94953</wp:posOffset>
                      </wp:positionV>
                      <wp:extent cx="6916366" cy="2062264"/>
                      <wp:effectExtent l="0" t="0" r="18415" b="14605"/>
                      <wp:wrapNone/>
                      <wp:docPr id="571" name="Rectangle 571"/>
                      <wp:cNvGraphicFramePr/>
                      <a:graphic xmlns:a="http://schemas.openxmlformats.org/drawingml/2006/main">
                        <a:graphicData uri="http://schemas.microsoft.com/office/word/2010/wordprocessingShape">
                          <wps:wsp>
                            <wps:cNvSpPr/>
                            <wps:spPr>
                              <a:xfrm>
                                <a:off x="0" y="0"/>
                                <a:ext cx="6916366" cy="2062264"/>
                              </a:xfrm>
                              <a:prstGeom prst="rect">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571" o:spid="_x0000_s1026" style="position:absolute;margin-left:-3.85pt;margin-top:7.5pt;width:544.6pt;height:162.4pt;z-index:2520995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" filled="f" strokecolor="black [1600]" strokeweight="2pt"/>
                  </w:pict>
                </mc:Fallback>
              </mc:AlternateContent>
            </w:r>
            <w:r w:rsidRPr="00345EB5">
              <w:rPr>
                <w:rFonts w:cs="Times New Roman"/>
                <w:b/>
                <w:sz w:val="18"/>
                <w:szCs w:val="18"/>
              </w:rPr>
              <w:t>Objectifs principaux</w:t>
            </w:r>
          </w:p>
        </w:tc>
      </w:tr>
    </w:tbl>
    <w:p w:rsidR="00345EB5" w:rsidRPr="00345EB5" w:rsidRDefault="00345EB5" w:rsidP="00345EB5">
      <w:pPr>
        <w:pStyle w:val="NormalWeb"/>
        <w:ind w:left="360"/>
        <w:rPr>
          <w:color w:val="000000"/>
          <w:sz w:val="18"/>
          <w:szCs w:val="18"/>
          <w:shd w:val="clear" w:color="auto" w:fill="FFFFFF"/>
        </w:rPr>
      </w:pPr>
      <w:r w:rsidRPr="00345EB5">
        <w:rPr>
          <w:color w:val="000000"/>
          <w:sz w:val="18"/>
          <w:szCs w:val="18"/>
          <w:shd w:val="clear" w:color="auto" w:fill="FFFFFF"/>
        </w:rPr>
        <w:t>Dans une situation pouvant nécessiter l'intervention du système juridique, le candidat devra savoir quelles lois pertinentes s'appliquent à cette situation et faire intervenir les organismes concernés.</w:t>
      </w:r>
    </w:p>
    <w:tbl>
      <w:tblPr>
        <w:tblW w:w="3897" w:type="pct"/>
        <w:tblCellSpacing w:w="0" w:type="dxa"/>
        <w:tblCellMar>
          <w:left w:w="0" w:type="dxa"/>
          <w:right w:w="0" w:type="dxa"/>
        </w:tblCellMar>
        <w:tblLook w:val="04A0" w:firstRow="1" w:lastRow="0" w:firstColumn="1" w:lastColumn="0" w:noHBand="0" w:noVBand="1"/>
      </w:tblPr>
      <w:tblGrid>
        <w:gridCol w:w="8418"/>
      </w:tblGrid>
      <w:tr w:rsidR="00345EB5" w:rsidRPr="00345EB5" w:rsidTr="00345EB5">
        <w:trPr>
          <w:tblCellSpacing w:w="0" w:type="dxa"/>
        </w:trPr>
        <w:tc>
          <w:tcPr>
            <w:tcW w:w="0" w:type="auto"/>
            <w:vAlign w:val="bottom"/>
            <w:hideMark/>
          </w:tcPr>
          <w:p w:rsidR="00345EB5" w:rsidRPr="00345EB5" w:rsidRDefault="00345EB5" w:rsidP="00345EB5">
            <w:pPr>
              <w:pStyle w:val="Sansinterligne"/>
              <w:rPr>
                <w:rFonts w:cs="Times New Roman"/>
                <w:b/>
                <w:sz w:val="16"/>
                <w:szCs w:val="16"/>
              </w:rPr>
            </w:pPr>
            <w:r w:rsidRPr="00345EB5">
              <w:rPr>
                <w:rFonts w:cs="Times New Roman"/>
                <w:b/>
                <w:sz w:val="16"/>
                <w:szCs w:val="16"/>
              </w:rPr>
              <w:t>Objectifs spécifiques</w:t>
            </w:r>
          </w:p>
        </w:tc>
      </w:tr>
    </w:tbl>
    <w:p w:rsidR="00345EB5" w:rsidRPr="00345EB5" w:rsidRDefault="00345EB5" w:rsidP="00345EB5">
      <w:pPr>
        <w:pStyle w:val="NormalWeb"/>
        <w:shd w:val="clear" w:color="auto" w:fill="FFFFFF"/>
        <w:ind w:left="360"/>
        <w:rPr>
          <w:color w:val="000000"/>
          <w:sz w:val="16"/>
          <w:szCs w:val="16"/>
          <w:shd w:val="clear" w:color="auto" w:fill="FFFFFF"/>
        </w:rPr>
      </w:pPr>
      <w:r w:rsidRPr="00345EB5">
        <w:rPr>
          <w:color w:val="000000"/>
          <w:sz w:val="16"/>
          <w:szCs w:val="16"/>
          <w:shd w:val="clear" w:color="auto" w:fill="FFFFFF"/>
        </w:rPr>
        <w:t>Le candidat devra :</w:t>
      </w:r>
    </w:p>
    <w:p w:rsidR="00345EB5" w:rsidRPr="00345EB5" w:rsidRDefault="00345EB5" w:rsidP="00345EB5">
      <w:pPr>
        <w:numPr>
          <w:ilvl w:val="0"/>
          <w:numId w:val="1299"/>
        </w:numPr>
        <w:shd w:val="clear" w:color="auto" w:fill="FFFFFF"/>
        <w:spacing w:before="100" w:beforeAutospacing="1" w:after="100" w:afterAutospacing="1" w:line="240" w:lineRule="auto"/>
        <w:rPr>
          <w:rFonts w:cs="Times New Roman"/>
          <w:color w:val="000000"/>
          <w:sz w:val="16"/>
          <w:szCs w:val="16"/>
          <w:shd w:val="clear" w:color="auto" w:fill="FFFFFF"/>
        </w:rPr>
      </w:pPr>
      <w:r w:rsidRPr="00345EB5">
        <w:rPr>
          <w:rFonts w:cs="Times New Roman"/>
          <w:color w:val="000000"/>
          <w:sz w:val="16"/>
          <w:szCs w:val="16"/>
          <w:shd w:val="clear" w:color="auto" w:fill="FFFFFF"/>
        </w:rPr>
        <w:t>connaître les diverses sources de législation au Canada (p. ex. lois fédérales et provinciales, la common law, le Code civil du Québec, les organismes de réglementation professionnelle et autres) qui touchent la pratique de la médecine;</w:t>
      </w:r>
    </w:p>
    <w:p w:rsidR="00345EB5" w:rsidRPr="00345EB5" w:rsidRDefault="00345EB5" w:rsidP="00345EB5">
      <w:pPr>
        <w:numPr>
          <w:ilvl w:val="0"/>
          <w:numId w:val="1299"/>
        </w:numPr>
        <w:shd w:val="clear" w:color="auto" w:fill="FFFFFF"/>
        <w:spacing w:before="100" w:beforeAutospacing="1" w:after="100" w:afterAutospacing="1" w:line="240" w:lineRule="auto"/>
        <w:rPr>
          <w:rFonts w:cs="Times New Roman"/>
          <w:color w:val="000000"/>
          <w:sz w:val="16"/>
          <w:szCs w:val="16"/>
          <w:shd w:val="clear" w:color="auto" w:fill="FFFFFF"/>
        </w:rPr>
      </w:pPr>
      <w:r w:rsidRPr="00345EB5">
        <w:rPr>
          <w:rFonts w:cs="Times New Roman"/>
          <w:color w:val="000000"/>
          <w:sz w:val="16"/>
          <w:szCs w:val="16"/>
          <w:shd w:val="clear" w:color="auto" w:fill="FFFFFF"/>
        </w:rPr>
        <w:t>connaître les principes qui sous-tendent les décisions des tribunaux et les autres décisions juridiques importantes concernant la pratique de la médecine;</w:t>
      </w:r>
    </w:p>
    <w:p w:rsidR="00345EB5" w:rsidRPr="00345EB5" w:rsidRDefault="00345EB5" w:rsidP="00345EB5">
      <w:pPr>
        <w:numPr>
          <w:ilvl w:val="0"/>
          <w:numId w:val="1299"/>
        </w:numPr>
        <w:shd w:val="clear" w:color="auto" w:fill="FFFFFF"/>
        <w:spacing w:before="100" w:beforeAutospacing="1" w:after="0" w:line="240" w:lineRule="auto"/>
        <w:rPr>
          <w:rFonts w:cs="Times New Roman"/>
          <w:color w:val="000000"/>
          <w:sz w:val="16"/>
          <w:szCs w:val="16"/>
          <w:shd w:val="clear" w:color="auto" w:fill="FFFFFF"/>
        </w:rPr>
      </w:pPr>
      <w:r w:rsidRPr="00345EB5">
        <w:rPr>
          <w:rFonts w:cs="Times New Roman"/>
          <w:color w:val="000000"/>
          <w:sz w:val="16"/>
          <w:szCs w:val="16"/>
          <w:shd w:val="clear" w:color="auto" w:fill="FFFFFF"/>
        </w:rPr>
        <w:t>reconnaître les situations dans lesquelles une consultation ou le recours à des services sont appropriés (p. ex. avis juridique, services de protection de l'enfance).</w:t>
      </w:r>
    </w:p>
    <w:p w:rsidR="001C16BD" w:rsidRPr="006251FE" w:rsidRDefault="001C16BD" w:rsidP="006251FE">
      <w:pPr>
        <w:spacing w:after="0"/>
        <w:rPr>
          <w:rFonts w:cs="Times New Roman"/>
          <w:sz w:val="16"/>
          <w:szCs w:val="16"/>
        </w:rPr>
      </w:pPr>
    </w:p>
    <w:p w:rsidR="00AF39A6" w:rsidRPr="00473728" w:rsidRDefault="00AF39A6">
      <w:pPr>
        <w:rPr>
          <w:rFonts w:cs="Times New Roman"/>
          <w:b/>
          <w:sz w:val="28"/>
          <w:szCs w:val="28"/>
        </w:rPr>
      </w:pPr>
      <w:r w:rsidRPr="00473728">
        <w:rPr>
          <w:rFonts w:cs="Times New Roman"/>
          <w:b/>
          <w:sz w:val="28"/>
          <w:szCs w:val="28"/>
        </w:rPr>
        <w:t>Lois fédérales</w:t>
      </w:r>
    </w:p>
    <w:p w:rsidR="00473728" w:rsidRDefault="00473728">
      <w:pPr>
        <w:rPr>
          <w:rFonts w:cs="Times New Roman"/>
          <w:b/>
        </w:rPr>
        <w:sectPr w:rsidR="00473728" w:rsidSect="00217865">
          <w:type w:val="continuous"/>
          <w:pgSz w:w="12240" w:h="15840"/>
          <w:pgMar w:top="720" w:right="720" w:bottom="720" w:left="720" w:header="708" w:footer="708" w:gutter="0"/>
          <w:cols w:space="708"/>
          <w:docGrid w:linePitch="360"/>
        </w:sectPr>
      </w:pPr>
    </w:p>
    <w:p w:rsidR="00940CD4" w:rsidRPr="00473728" w:rsidRDefault="00940CD4" w:rsidP="00940CD4">
      <w:pPr>
        <w:rPr>
          <w:rFonts w:cs="Times New Roman"/>
          <w:b/>
        </w:rPr>
      </w:pPr>
      <w:r w:rsidRPr="00473728">
        <w:rPr>
          <w:rFonts w:cs="Times New Roman"/>
          <w:b/>
        </w:rPr>
        <w:t>Loi canadienne sur la santé</w:t>
      </w:r>
    </w:p>
    <w:p w:rsidR="00940CD4" w:rsidRPr="005404A9" w:rsidRDefault="00940CD4" w:rsidP="00940CD4">
      <w:pPr>
        <w:rPr>
          <w:rFonts w:cs="Times New Roman"/>
          <w:u w:val="single"/>
        </w:rPr>
      </w:pPr>
      <w:r w:rsidRPr="005404A9">
        <w:rPr>
          <w:rFonts w:cs="Times New Roman"/>
          <w:u w:val="single"/>
        </w:rPr>
        <w:t>Définit les 5 principes de l’assurance-santé au Canada</w:t>
      </w:r>
    </w:p>
    <w:p w:rsidR="00940CD4" w:rsidRPr="00305633" w:rsidRDefault="00940CD4" w:rsidP="00940CD4">
      <w:pPr>
        <w:pStyle w:val="Paragraphedeliste"/>
        <w:numPr>
          <w:ilvl w:val="0"/>
          <w:numId w:val="1305"/>
        </w:numPr>
        <w:rPr>
          <w:rFonts w:cs="Times New Roman"/>
          <w:highlight w:val="yellow"/>
        </w:rPr>
      </w:pPr>
      <w:r w:rsidRPr="00305633">
        <w:rPr>
          <w:rFonts w:cs="Times New Roman"/>
          <w:highlight w:val="yellow"/>
        </w:rPr>
        <w:t>Gestion publique (sans but lucratif)</w:t>
      </w:r>
    </w:p>
    <w:p w:rsidR="00940CD4" w:rsidRPr="00305633" w:rsidRDefault="00940CD4" w:rsidP="00940CD4">
      <w:pPr>
        <w:pStyle w:val="Paragraphedeliste"/>
        <w:numPr>
          <w:ilvl w:val="0"/>
          <w:numId w:val="1305"/>
        </w:numPr>
        <w:rPr>
          <w:rFonts w:cs="Times New Roman"/>
          <w:highlight w:val="yellow"/>
        </w:rPr>
      </w:pPr>
      <w:r w:rsidRPr="00305633">
        <w:rPr>
          <w:rFonts w:cs="Times New Roman"/>
          <w:highlight w:val="yellow"/>
        </w:rPr>
        <w:t>L’intégralité (couverture de tous les services hospitaliers et médicaux)</w:t>
      </w:r>
    </w:p>
    <w:p w:rsidR="00940CD4" w:rsidRPr="00305633" w:rsidRDefault="00940CD4" w:rsidP="00940CD4">
      <w:pPr>
        <w:pStyle w:val="Paragraphedeliste"/>
        <w:numPr>
          <w:ilvl w:val="0"/>
          <w:numId w:val="1305"/>
        </w:numPr>
        <w:rPr>
          <w:rFonts w:cs="Times New Roman"/>
          <w:highlight w:val="yellow"/>
        </w:rPr>
      </w:pPr>
      <w:r w:rsidRPr="00305633">
        <w:rPr>
          <w:rFonts w:cs="Times New Roman"/>
          <w:highlight w:val="yellow"/>
        </w:rPr>
        <w:t>L’universalité (mêmes services pour tous)</w:t>
      </w:r>
    </w:p>
    <w:p w:rsidR="00940CD4" w:rsidRPr="00305633" w:rsidRDefault="00940CD4" w:rsidP="00940CD4">
      <w:pPr>
        <w:pStyle w:val="Paragraphedeliste"/>
        <w:numPr>
          <w:ilvl w:val="0"/>
          <w:numId w:val="1305"/>
        </w:numPr>
        <w:rPr>
          <w:rFonts w:cs="Times New Roman"/>
          <w:highlight w:val="yellow"/>
        </w:rPr>
      </w:pPr>
      <w:r w:rsidRPr="00305633">
        <w:rPr>
          <w:rFonts w:cs="Times New Roman"/>
          <w:highlight w:val="yellow"/>
        </w:rPr>
        <w:t>La transférabilité (d’une province à l’autre)</w:t>
      </w:r>
    </w:p>
    <w:p w:rsidR="00940CD4" w:rsidRPr="00305633" w:rsidRDefault="00940CD4" w:rsidP="00940CD4">
      <w:pPr>
        <w:pStyle w:val="Paragraphedeliste"/>
        <w:numPr>
          <w:ilvl w:val="0"/>
          <w:numId w:val="1305"/>
        </w:numPr>
        <w:rPr>
          <w:rFonts w:cs="Times New Roman"/>
          <w:highlight w:val="yellow"/>
        </w:rPr>
      </w:pPr>
      <w:r w:rsidRPr="00305633">
        <w:rPr>
          <w:rFonts w:cs="Times New Roman"/>
          <w:highlight w:val="yellow"/>
        </w:rPr>
        <w:t>L’accessibilité (absence de tarifications)</w:t>
      </w:r>
    </w:p>
    <w:p w:rsidR="00AF39A6" w:rsidRPr="00473728" w:rsidRDefault="00324F8D">
      <w:pPr>
        <w:rPr>
          <w:rFonts w:cs="Times New Roman"/>
          <w:b/>
        </w:rPr>
      </w:pPr>
      <w:r w:rsidRPr="00473728">
        <w:rPr>
          <w:rFonts w:cs="Times New Roman"/>
          <w:b/>
        </w:rPr>
        <w:t>Charte canadienne</w:t>
      </w:r>
    </w:p>
    <w:p w:rsidR="00473728" w:rsidRPr="00473728" w:rsidRDefault="00473728" w:rsidP="00473728">
      <w:pPr>
        <w:pStyle w:val="Paragraphedeliste"/>
        <w:numPr>
          <w:ilvl w:val="0"/>
          <w:numId w:val="1304"/>
        </w:numPr>
        <w:rPr>
          <w:rFonts w:cs="Times New Roman"/>
        </w:rPr>
      </w:pPr>
      <w:r w:rsidRPr="00473728">
        <w:rPr>
          <w:rFonts w:cs="Times New Roman"/>
        </w:rPr>
        <w:t>Droits et libertés</w:t>
      </w:r>
    </w:p>
    <w:p w:rsidR="00473728" w:rsidRPr="00473728" w:rsidRDefault="00473728" w:rsidP="00473728">
      <w:pPr>
        <w:pStyle w:val="Paragraphedeliste"/>
        <w:numPr>
          <w:ilvl w:val="0"/>
          <w:numId w:val="1304"/>
        </w:numPr>
        <w:rPr>
          <w:rFonts w:cs="Times New Roman"/>
        </w:rPr>
      </w:pPr>
      <w:r w:rsidRPr="00473728">
        <w:rPr>
          <w:rFonts w:cs="Times New Roman"/>
        </w:rPr>
        <w:t>Droit à l’égalité</w:t>
      </w:r>
    </w:p>
    <w:p w:rsidR="00473728" w:rsidRPr="00940CD4" w:rsidRDefault="00473728" w:rsidP="00940CD4">
      <w:pPr>
        <w:pStyle w:val="Paragraphedeliste"/>
        <w:numPr>
          <w:ilvl w:val="0"/>
          <w:numId w:val="1304"/>
        </w:numPr>
        <w:rPr>
          <w:rFonts w:cs="Times New Roman"/>
        </w:rPr>
      </w:pPr>
      <w:r w:rsidRPr="00473728">
        <w:rPr>
          <w:rFonts w:cs="Times New Roman"/>
        </w:rPr>
        <w:t>Droit au secret professionnel</w:t>
      </w:r>
    </w:p>
    <w:p w:rsidR="00473728" w:rsidRDefault="00940CD4">
      <w:pPr>
        <w:rPr>
          <w:rFonts w:cs="Times New Roman"/>
          <w:b/>
          <w:sz w:val="28"/>
          <w:szCs w:val="28"/>
        </w:rPr>
      </w:pPr>
      <w:r>
        <w:rPr>
          <w:noProof/>
          <w:lang w:eastAsia="fr-CA"/>
        </w:rPr>
        <w:drawing>
          <wp:anchor distT="0" distB="0" distL="114300" distR="114300" simplePos="0" relativeHeight="252106752" behindDoc="0" locked="0" layoutInCell="1" allowOverlap="1" wp14:anchorId="1F14365B" wp14:editId="6576059E">
            <wp:simplePos x="0" y="0"/>
            <wp:positionH relativeFrom="column">
              <wp:posOffset>159777</wp:posOffset>
            </wp:positionH>
            <wp:positionV relativeFrom="paragraph">
              <wp:posOffset>128905</wp:posOffset>
            </wp:positionV>
            <wp:extent cx="2566240" cy="2103789"/>
            <wp:effectExtent l="0" t="0" r="5715" b="0"/>
            <wp:wrapNone/>
            <wp:docPr id="592" name="Image 592" descr="Résultats de recherche d'images pour « charte canadienn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ésultats de recherche d'images pour « charte canadienne »"/>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2566240" cy="2103789"/>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cs="Times New Roman"/>
          <w:b/>
          <w:sz w:val="28"/>
          <w:szCs w:val="28"/>
        </w:rPr>
        <w:t xml:space="preserve">    </w:t>
      </w:r>
    </w:p>
    <w:p w:rsidR="00940CD4" w:rsidRDefault="00940CD4">
      <w:pPr>
        <w:rPr>
          <w:rFonts w:cs="Times New Roman"/>
          <w:b/>
          <w:sz w:val="28"/>
          <w:szCs w:val="28"/>
        </w:rPr>
      </w:pPr>
    </w:p>
    <w:p w:rsidR="00940CD4" w:rsidRDefault="00940CD4">
      <w:pPr>
        <w:rPr>
          <w:rFonts w:cs="Times New Roman"/>
          <w:b/>
          <w:sz w:val="28"/>
          <w:szCs w:val="28"/>
        </w:rPr>
        <w:sectPr w:rsidR="00940CD4" w:rsidSect="00940CD4">
          <w:type w:val="continuous"/>
          <w:pgSz w:w="12240" w:h="15840"/>
          <w:pgMar w:top="720" w:right="720" w:bottom="720" w:left="720" w:header="708" w:footer="708" w:gutter="0"/>
          <w:cols w:num="2" w:space="708"/>
          <w:docGrid w:linePitch="360"/>
        </w:sectPr>
      </w:pPr>
    </w:p>
    <w:p w:rsidR="00940CD4" w:rsidRPr="00940CD4" w:rsidRDefault="00940CD4" w:rsidP="00940CD4">
      <w:pPr>
        <w:spacing w:after="0"/>
        <w:rPr>
          <w:rFonts w:cs="Times New Roman"/>
          <w:b/>
          <w:sz w:val="16"/>
          <w:szCs w:val="16"/>
        </w:rPr>
      </w:pPr>
    </w:p>
    <w:p w:rsidR="00AF39A6" w:rsidRPr="00473728" w:rsidRDefault="00AF39A6">
      <w:pPr>
        <w:rPr>
          <w:rFonts w:cs="Times New Roman"/>
          <w:b/>
          <w:sz w:val="28"/>
          <w:szCs w:val="28"/>
        </w:rPr>
      </w:pPr>
      <w:r w:rsidRPr="00473728">
        <w:rPr>
          <w:rFonts w:cs="Times New Roman"/>
          <w:b/>
          <w:sz w:val="28"/>
          <w:szCs w:val="28"/>
        </w:rPr>
        <w:t xml:space="preserve">Lois québécoises </w:t>
      </w:r>
    </w:p>
    <w:p w:rsidR="00324F8D" w:rsidRPr="00473728" w:rsidRDefault="00324F8D">
      <w:pPr>
        <w:rPr>
          <w:rFonts w:cs="Times New Roman"/>
          <w:b/>
        </w:rPr>
      </w:pPr>
      <w:r w:rsidRPr="00473728">
        <w:rPr>
          <w:rFonts w:cs="Times New Roman"/>
          <w:b/>
        </w:rPr>
        <w:t>Code civil</w:t>
      </w:r>
      <w:r w:rsidR="00473728" w:rsidRPr="00473728">
        <w:rPr>
          <w:rFonts w:cs="Times New Roman"/>
          <w:b/>
        </w:rPr>
        <w:t xml:space="preserve"> du Québec</w:t>
      </w:r>
    </w:p>
    <w:p w:rsidR="00EC2080" w:rsidRDefault="00EC2080" w:rsidP="00473728">
      <w:pPr>
        <w:pStyle w:val="Paragraphedeliste"/>
        <w:numPr>
          <w:ilvl w:val="0"/>
          <w:numId w:val="1306"/>
        </w:numPr>
        <w:rPr>
          <w:rFonts w:cs="Times New Roman"/>
        </w:rPr>
      </w:pPr>
      <w:r w:rsidRPr="00473728">
        <w:rPr>
          <w:rFonts w:cs="Times New Roman"/>
        </w:rPr>
        <w:t>Définition des modalités du consentement</w:t>
      </w:r>
    </w:p>
    <w:p w:rsidR="006251FE" w:rsidRPr="006251FE" w:rsidRDefault="006251FE" w:rsidP="00473728">
      <w:pPr>
        <w:pStyle w:val="Paragraphedeliste"/>
        <w:numPr>
          <w:ilvl w:val="0"/>
          <w:numId w:val="1306"/>
        </w:numPr>
        <w:rPr>
          <w:rFonts w:cs="Times New Roman"/>
          <w:highlight w:val="yellow"/>
        </w:rPr>
      </w:pPr>
      <w:r w:rsidRPr="006251FE">
        <w:rPr>
          <w:rFonts w:cs="Times New Roman"/>
          <w:highlight w:val="yellow"/>
        </w:rPr>
        <w:t>Définit la responsabilité</w:t>
      </w:r>
      <w:r w:rsidR="00462FA1">
        <w:rPr>
          <w:rFonts w:cs="Times New Roman"/>
          <w:highlight w:val="yellow"/>
        </w:rPr>
        <w:t xml:space="preserve"> professionnelle/négligence</w:t>
      </w:r>
    </w:p>
    <w:p w:rsidR="006251FE" w:rsidRPr="006251FE" w:rsidRDefault="006251FE" w:rsidP="006251FE">
      <w:pPr>
        <w:pStyle w:val="Paragraphedeliste"/>
        <w:numPr>
          <w:ilvl w:val="1"/>
          <w:numId w:val="1306"/>
        </w:numPr>
        <w:rPr>
          <w:rFonts w:cs="Times New Roman"/>
          <w:highlight w:val="yellow"/>
        </w:rPr>
      </w:pPr>
      <w:r w:rsidRPr="006251FE">
        <w:rPr>
          <w:rFonts w:cs="Times New Roman"/>
          <w:highlight w:val="yellow"/>
        </w:rPr>
        <w:t xml:space="preserve">Faute </w:t>
      </w:r>
      <w:r w:rsidRPr="006251FE">
        <w:rPr>
          <w:rFonts w:ascii="Century Gothic" w:hAnsi="Century Gothic" w:cs="Times New Roman"/>
          <w:highlight w:val="yellow"/>
        </w:rPr>
        <w:t>→</w:t>
      </w:r>
      <w:r w:rsidRPr="006251FE">
        <w:rPr>
          <w:rFonts w:cs="Times New Roman"/>
          <w:highlight w:val="yellow"/>
        </w:rPr>
        <w:t xml:space="preserve"> dommage </w:t>
      </w:r>
      <w:r w:rsidRPr="006251FE">
        <w:rPr>
          <w:rFonts w:ascii="Century Gothic" w:hAnsi="Century Gothic" w:cs="Times New Roman"/>
          <w:highlight w:val="yellow"/>
        </w:rPr>
        <w:t>→</w:t>
      </w:r>
      <w:r w:rsidRPr="006251FE">
        <w:rPr>
          <w:rFonts w:cs="Times New Roman"/>
          <w:highlight w:val="yellow"/>
        </w:rPr>
        <w:t xml:space="preserve"> lien de causalité</w:t>
      </w:r>
    </w:p>
    <w:p w:rsidR="00465EC9" w:rsidRPr="00473728" w:rsidRDefault="00324F8D" w:rsidP="007846F7">
      <w:pPr>
        <w:tabs>
          <w:tab w:val="left" w:pos="4412"/>
        </w:tabs>
        <w:rPr>
          <w:rFonts w:cs="Times New Roman"/>
          <w:b/>
        </w:rPr>
      </w:pPr>
      <w:r w:rsidRPr="00473728">
        <w:rPr>
          <w:rFonts w:cs="Times New Roman"/>
          <w:b/>
        </w:rPr>
        <w:t xml:space="preserve">Loi sur </w:t>
      </w:r>
      <w:r w:rsidR="00465EC9" w:rsidRPr="00473728">
        <w:rPr>
          <w:rFonts w:cs="Times New Roman"/>
          <w:b/>
        </w:rPr>
        <w:t>la santé et les services sociaux</w:t>
      </w:r>
    </w:p>
    <w:p w:rsidR="00465EC9" w:rsidRPr="00473728" w:rsidRDefault="00465EC9" w:rsidP="00465EC9">
      <w:pPr>
        <w:spacing w:after="0" w:line="240" w:lineRule="auto"/>
        <w:rPr>
          <w:rFonts w:eastAsia="Times New Roman" w:cs="Times New Roman"/>
          <w:sz w:val="24"/>
          <w:szCs w:val="24"/>
          <w:lang w:eastAsia="fr-CA"/>
        </w:rPr>
      </w:pPr>
      <w:r w:rsidRPr="00473728">
        <w:rPr>
          <w:rFonts w:eastAsia="Times New Roman" w:cs="Times New Roman"/>
          <w:color w:val="333333"/>
          <w:shd w:val="clear" w:color="auto" w:fill="FFFFFF"/>
          <w:lang w:eastAsia="fr-CA"/>
        </w:rPr>
        <w:t>« Pour l’application de la présente loi, les lignes directrices suivantes guident la gestion et la prestation des services de santé et des services sociaux:</w:t>
      </w:r>
    </w:p>
    <w:p w:rsidR="00465EC9" w:rsidRPr="00473728" w:rsidRDefault="00465EC9" w:rsidP="00465EC9">
      <w:pPr>
        <w:shd w:val="clear" w:color="auto" w:fill="FFFFFF"/>
        <w:spacing w:after="0" w:line="240" w:lineRule="auto"/>
        <w:jc w:val="both"/>
        <w:rPr>
          <w:rFonts w:eastAsia="Times New Roman" w:cs="Times New Roman"/>
          <w:color w:val="333333"/>
          <w:lang w:eastAsia="fr-CA"/>
        </w:rPr>
      </w:pPr>
      <w:r w:rsidRPr="00473728">
        <w:rPr>
          <w:rFonts w:eastAsia="Times New Roman" w:cs="Times New Roman"/>
          <w:color w:val="333333"/>
          <w:lang w:eastAsia="fr-CA"/>
        </w:rPr>
        <w:t>1</w:t>
      </w:r>
      <w:r w:rsidRPr="001B6A0C">
        <w:rPr>
          <w:rFonts w:eastAsia="Times New Roman" w:cs="Times New Roman"/>
          <w:color w:val="333333"/>
          <w:highlight w:val="yellow"/>
          <w:lang w:eastAsia="fr-CA"/>
        </w:rPr>
        <w:t>°  la raison d’être des services est la personne qui les requiert;</w:t>
      </w:r>
    </w:p>
    <w:p w:rsidR="00465EC9" w:rsidRPr="00473728" w:rsidRDefault="00465EC9" w:rsidP="00465EC9">
      <w:pPr>
        <w:shd w:val="clear" w:color="auto" w:fill="FFFFFF"/>
        <w:spacing w:after="0" w:line="240" w:lineRule="auto"/>
        <w:jc w:val="both"/>
        <w:rPr>
          <w:rFonts w:eastAsia="Times New Roman" w:cs="Times New Roman"/>
          <w:color w:val="333333"/>
          <w:lang w:eastAsia="fr-CA"/>
        </w:rPr>
      </w:pPr>
      <w:r w:rsidRPr="00473728">
        <w:rPr>
          <w:rFonts w:eastAsia="Times New Roman" w:cs="Times New Roman"/>
          <w:color w:val="333333"/>
          <w:lang w:eastAsia="fr-CA"/>
        </w:rPr>
        <w:t>2°  </w:t>
      </w:r>
      <w:r w:rsidRPr="001B6A0C">
        <w:rPr>
          <w:rFonts w:eastAsia="Times New Roman" w:cs="Times New Roman"/>
          <w:color w:val="333333"/>
          <w:highlight w:val="yellow"/>
          <w:lang w:eastAsia="fr-CA"/>
        </w:rPr>
        <w:t>le respect de l’usager et la reconnaissance de ses droits et libertés</w:t>
      </w:r>
      <w:r w:rsidRPr="00473728">
        <w:rPr>
          <w:rFonts w:eastAsia="Times New Roman" w:cs="Times New Roman"/>
          <w:color w:val="333333"/>
          <w:lang w:eastAsia="fr-CA"/>
        </w:rPr>
        <w:t xml:space="preserve"> doivent inspirer les gestes posés à son endroit;</w:t>
      </w:r>
    </w:p>
    <w:p w:rsidR="00465EC9" w:rsidRPr="00473728" w:rsidRDefault="00465EC9" w:rsidP="00465EC9">
      <w:pPr>
        <w:shd w:val="clear" w:color="auto" w:fill="FFFFFF"/>
        <w:spacing w:after="0" w:line="240" w:lineRule="auto"/>
        <w:jc w:val="both"/>
        <w:rPr>
          <w:rFonts w:eastAsia="Times New Roman" w:cs="Times New Roman"/>
          <w:color w:val="333333"/>
          <w:lang w:eastAsia="fr-CA"/>
        </w:rPr>
      </w:pPr>
      <w:r w:rsidRPr="00473728">
        <w:rPr>
          <w:rFonts w:eastAsia="Times New Roman" w:cs="Times New Roman"/>
          <w:color w:val="333333"/>
          <w:lang w:eastAsia="fr-CA"/>
        </w:rPr>
        <w:t>3</w:t>
      </w:r>
      <w:r w:rsidRPr="001B6A0C">
        <w:rPr>
          <w:rFonts w:eastAsia="Times New Roman" w:cs="Times New Roman"/>
          <w:color w:val="333333"/>
          <w:highlight w:val="yellow"/>
          <w:lang w:eastAsia="fr-CA"/>
        </w:rPr>
        <w:t>°  l’usager doit, dans toute intervention, être traité avec courtoisie, équité et compréhension, dans le respect de sa dignité, de son autonomie, de ses besoins et de sa sécurité;</w:t>
      </w:r>
    </w:p>
    <w:p w:rsidR="00465EC9" w:rsidRPr="00473728" w:rsidRDefault="00465EC9" w:rsidP="00465EC9">
      <w:pPr>
        <w:shd w:val="clear" w:color="auto" w:fill="FFFFFF"/>
        <w:spacing w:after="0" w:line="240" w:lineRule="auto"/>
        <w:jc w:val="both"/>
        <w:rPr>
          <w:rFonts w:eastAsia="Times New Roman" w:cs="Times New Roman"/>
          <w:color w:val="333333"/>
          <w:lang w:eastAsia="fr-CA"/>
        </w:rPr>
      </w:pPr>
      <w:r w:rsidRPr="00473728">
        <w:rPr>
          <w:rFonts w:eastAsia="Times New Roman" w:cs="Times New Roman"/>
          <w:color w:val="333333"/>
          <w:lang w:eastAsia="fr-CA"/>
        </w:rPr>
        <w:t>4</w:t>
      </w:r>
      <w:r w:rsidRPr="001B6A0C">
        <w:rPr>
          <w:rFonts w:eastAsia="Times New Roman" w:cs="Times New Roman"/>
          <w:color w:val="333333"/>
          <w:highlight w:val="yellow"/>
          <w:lang w:eastAsia="fr-CA"/>
        </w:rPr>
        <w:t>°  l’usager doit, autant que possible, participer aux soins et aux services le concernant;</w:t>
      </w:r>
    </w:p>
    <w:p w:rsidR="001B6A0C" w:rsidRDefault="00465EC9" w:rsidP="00465EC9">
      <w:pPr>
        <w:shd w:val="clear" w:color="auto" w:fill="FFFFFF"/>
        <w:spacing w:after="0" w:line="240" w:lineRule="auto"/>
        <w:jc w:val="both"/>
        <w:rPr>
          <w:rFonts w:eastAsia="Times New Roman" w:cs="Times New Roman"/>
          <w:color w:val="333333"/>
          <w:lang w:eastAsia="fr-CA"/>
        </w:rPr>
      </w:pPr>
      <w:r w:rsidRPr="00473728">
        <w:rPr>
          <w:rFonts w:eastAsia="Times New Roman" w:cs="Times New Roman"/>
          <w:color w:val="333333"/>
          <w:lang w:eastAsia="fr-CA"/>
        </w:rPr>
        <w:t>5</w:t>
      </w:r>
      <w:r w:rsidRPr="001B6A0C">
        <w:rPr>
          <w:rFonts w:eastAsia="Times New Roman" w:cs="Times New Roman"/>
          <w:color w:val="333333"/>
          <w:highlight w:val="yellow"/>
          <w:lang w:eastAsia="fr-CA"/>
        </w:rPr>
        <w:t>°  l’usager doit, par une information adéquate, être incité à utiliser les services de façon judicieuse.</w:t>
      </w:r>
      <w:r w:rsidRPr="00473728">
        <w:rPr>
          <w:rFonts w:eastAsia="Times New Roman" w:cs="Times New Roman"/>
          <w:color w:val="333333"/>
          <w:lang w:eastAsia="fr-CA"/>
        </w:rPr>
        <w:t>»</w:t>
      </w:r>
      <w:r w:rsidR="00473728" w:rsidRPr="00473728">
        <w:rPr>
          <w:rFonts w:eastAsia="Times New Roman" w:cs="Times New Roman"/>
          <w:color w:val="333333"/>
          <w:lang w:eastAsia="fr-CA"/>
        </w:rPr>
        <w:t xml:space="preserve"> </w:t>
      </w:r>
    </w:p>
    <w:p w:rsidR="001B6A0C" w:rsidRDefault="001B6A0C" w:rsidP="001B6A0C">
      <w:pPr>
        <w:shd w:val="clear" w:color="auto" w:fill="FFFFFF"/>
        <w:spacing w:after="0" w:line="240" w:lineRule="auto"/>
        <w:rPr>
          <w:rFonts w:eastAsia="Times New Roman" w:cs="Times New Roman"/>
          <w:b/>
          <w:color w:val="333333"/>
          <w:sz w:val="16"/>
          <w:szCs w:val="16"/>
          <w:lang w:eastAsia="fr-CA"/>
        </w:rPr>
      </w:pPr>
    </w:p>
    <w:p w:rsidR="001B6A0C" w:rsidRDefault="001B6A0C" w:rsidP="001B6A0C">
      <w:pPr>
        <w:shd w:val="clear" w:color="auto" w:fill="FFFFFF"/>
        <w:spacing w:after="0" w:line="240" w:lineRule="auto"/>
        <w:rPr>
          <w:rFonts w:eastAsia="Times New Roman" w:cs="Times New Roman"/>
          <w:b/>
          <w:color w:val="333333"/>
          <w:sz w:val="16"/>
          <w:szCs w:val="16"/>
          <w:lang w:eastAsia="fr-CA"/>
        </w:rPr>
      </w:pPr>
    </w:p>
    <w:p w:rsidR="00324F8D" w:rsidRPr="001B6A0C" w:rsidRDefault="00473728" w:rsidP="001B6A0C">
      <w:pPr>
        <w:shd w:val="clear" w:color="auto" w:fill="FFFFFF"/>
        <w:spacing w:after="0" w:line="240" w:lineRule="auto"/>
        <w:jc w:val="right"/>
        <w:rPr>
          <w:rFonts w:eastAsia="Times New Roman" w:cs="Times New Roman"/>
          <w:b/>
          <w:color w:val="333333"/>
          <w:sz w:val="16"/>
          <w:szCs w:val="16"/>
          <w:lang w:eastAsia="fr-CA"/>
        </w:rPr>
      </w:pPr>
      <w:r w:rsidRPr="001B6A0C">
        <w:rPr>
          <w:rFonts w:eastAsia="Times New Roman" w:cs="Times New Roman"/>
          <w:b/>
          <w:color w:val="333333"/>
          <w:sz w:val="16"/>
          <w:szCs w:val="16"/>
          <w:lang w:eastAsia="fr-CA"/>
        </w:rPr>
        <w:t xml:space="preserve">GOUVERNEMENT DU QUÉBEC. (1991). </w:t>
      </w:r>
      <w:r w:rsidRPr="001B6A0C">
        <w:rPr>
          <w:rFonts w:eastAsia="Times New Roman" w:cs="Times New Roman"/>
          <w:b/>
          <w:i/>
          <w:color w:val="333333"/>
          <w:sz w:val="16"/>
          <w:szCs w:val="16"/>
          <w:lang w:eastAsia="fr-CA"/>
        </w:rPr>
        <w:t>Loi sur la santé et les services sociaux</w:t>
      </w:r>
      <w:r w:rsidRPr="001B6A0C">
        <w:rPr>
          <w:rFonts w:eastAsia="Times New Roman" w:cs="Times New Roman"/>
          <w:b/>
          <w:color w:val="333333"/>
          <w:sz w:val="16"/>
          <w:szCs w:val="16"/>
          <w:lang w:eastAsia="fr-CA"/>
        </w:rPr>
        <w:t>. Québec : LégisQuébec</w:t>
      </w:r>
      <w:r w:rsidR="007846F7">
        <w:rPr>
          <w:rFonts w:cs="Times New Roman"/>
        </w:rPr>
        <w:tab/>
      </w:r>
    </w:p>
    <w:p w:rsidR="00324F8D" w:rsidRPr="00473728" w:rsidRDefault="00324F8D">
      <w:pPr>
        <w:rPr>
          <w:rFonts w:cs="Times New Roman"/>
          <w:b/>
        </w:rPr>
      </w:pPr>
      <w:r w:rsidRPr="00473728">
        <w:rPr>
          <w:rFonts w:cs="Times New Roman"/>
          <w:b/>
        </w:rPr>
        <w:t>Loi sur l’assurance médicaments</w:t>
      </w:r>
    </w:p>
    <w:p w:rsidR="00324F8D" w:rsidRPr="00473728" w:rsidRDefault="00324F8D">
      <w:pPr>
        <w:rPr>
          <w:rFonts w:cs="Times New Roman"/>
          <w:b/>
        </w:rPr>
      </w:pPr>
      <w:r w:rsidRPr="00473728">
        <w:rPr>
          <w:rFonts w:cs="Times New Roman"/>
          <w:b/>
        </w:rPr>
        <w:t xml:space="preserve">Loi </w:t>
      </w:r>
      <w:r w:rsidR="00473728" w:rsidRPr="00473728">
        <w:rPr>
          <w:rFonts w:cs="Times New Roman"/>
          <w:b/>
        </w:rPr>
        <w:t>médicale</w:t>
      </w:r>
    </w:p>
    <w:p w:rsidR="00473728" w:rsidRPr="00940CD4" w:rsidRDefault="00655B21" w:rsidP="00473728">
      <w:pPr>
        <w:pStyle w:val="Paragraphedeliste"/>
        <w:numPr>
          <w:ilvl w:val="0"/>
          <w:numId w:val="1306"/>
        </w:numPr>
        <w:rPr>
          <w:rFonts w:cs="Times New Roman"/>
          <w:highlight w:val="yellow"/>
        </w:rPr>
      </w:pPr>
      <w:r>
        <w:rPr>
          <w:noProof/>
          <w:lang w:eastAsia="fr-CA"/>
        </w:rPr>
        <w:drawing>
          <wp:anchor distT="0" distB="0" distL="114300" distR="114300" simplePos="0" relativeHeight="252104704" behindDoc="0" locked="0" layoutInCell="1" allowOverlap="1" wp14:anchorId="7BC25FF4" wp14:editId="6AE80082">
            <wp:simplePos x="0" y="0"/>
            <wp:positionH relativeFrom="column">
              <wp:posOffset>4512216</wp:posOffset>
            </wp:positionH>
            <wp:positionV relativeFrom="paragraph">
              <wp:posOffset>-511526</wp:posOffset>
            </wp:positionV>
            <wp:extent cx="1614805" cy="1614805"/>
            <wp:effectExtent l="0" t="0" r="4445" b="4445"/>
            <wp:wrapNone/>
            <wp:docPr id="586" name="Image 586" descr="http://mcc.ca/wp-content/uploads/Canadian-Medical-Register-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mcc.ca/wp-content/uploads/Canadian-Medical-Register-Logo.png"/>
                    <pic:cNvPicPr>
                      <a:picLocks noChangeAspect="1" noChangeArrowheads="1"/>
                    </pic:cNvPicPr>
                  </pic:nvPicPr>
                  <pic:blipFill>
                    <a:blip r:embed="rId408">
                      <a:extLst>
                        <a:ext uri="{28A0092B-C50C-407E-A947-70E740481C1C}">
                          <a14:useLocalDpi xmlns:a14="http://schemas.microsoft.com/office/drawing/2010/main" val="0"/>
                        </a:ext>
                      </a:extLst>
                    </a:blip>
                    <a:srcRect/>
                    <a:stretch>
                      <a:fillRect/>
                    </a:stretch>
                  </pic:blipFill>
                  <pic:spPr bwMode="auto">
                    <a:xfrm>
                      <a:off x="0" y="0"/>
                      <a:ext cx="1614805" cy="1614805"/>
                    </a:xfrm>
                    <a:prstGeom prst="rect">
                      <a:avLst/>
                    </a:prstGeom>
                    <a:noFill/>
                    <a:ln>
                      <a:noFill/>
                    </a:ln>
                  </pic:spPr>
                </pic:pic>
              </a:graphicData>
            </a:graphic>
            <wp14:sizeRelH relativeFrom="page">
              <wp14:pctWidth>0</wp14:pctWidth>
            </wp14:sizeRelH>
            <wp14:sizeRelV relativeFrom="page">
              <wp14:pctHeight>0</wp14:pctHeight>
            </wp14:sizeRelV>
          </wp:anchor>
        </w:drawing>
      </w:r>
      <w:r w:rsidR="00473728" w:rsidRPr="00940CD4">
        <w:rPr>
          <w:rFonts w:cs="Times New Roman"/>
          <w:highlight w:val="yellow"/>
        </w:rPr>
        <w:t>Définition du rôle du médecin et actes réservés</w:t>
      </w:r>
    </w:p>
    <w:p w:rsidR="00473728" w:rsidRPr="00473728" w:rsidRDefault="00473728" w:rsidP="00950208">
      <w:pPr>
        <w:pStyle w:val="Paragraphedeliste"/>
        <w:numPr>
          <w:ilvl w:val="0"/>
          <w:numId w:val="1307"/>
        </w:numPr>
        <w:spacing w:after="0"/>
        <w:rPr>
          <w:rFonts w:cs="Times New Roman"/>
        </w:rPr>
      </w:pPr>
      <w:r w:rsidRPr="00473728">
        <w:rPr>
          <w:rFonts w:cs="Times New Roman"/>
        </w:rPr>
        <w:t>Pouvoirs de l’ordre</w:t>
      </w:r>
      <w:r>
        <w:rPr>
          <w:rFonts w:cs="Times New Roman"/>
        </w:rPr>
        <w:t xml:space="preserve"> (Collège des médecins)</w:t>
      </w:r>
      <w:r w:rsidRPr="00473728">
        <w:rPr>
          <w:rFonts w:cs="Times New Roman"/>
        </w:rPr>
        <w:t xml:space="preserve"> et restrictions </w:t>
      </w:r>
      <w:r>
        <w:rPr>
          <w:rFonts w:cs="Times New Roman"/>
        </w:rPr>
        <w:t>morales</w:t>
      </w:r>
    </w:p>
    <w:p w:rsidR="00950208" w:rsidRPr="00950208" w:rsidRDefault="00950208" w:rsidP="00950208">
      <w:pPr>
        <w:spacing w:after="0"/>
        <w:rPr>
          <w:rFonts w:cs="Times New Roman"/>
          <w:b/>
          <w:sz w:val="16"/>
          <w:szCs w:val="16"/>
        </w:rPr>
      </w:pPr>
    </w:p>
    <w:p w:rsidR="00A31855" w:rsidRPr="00A31855" w:rsidRDefault="00A31855">
      <w:pPr>
        <w:rPr>
          <w:rFonts w:cs="Times New Roman"/>
          <w:b/>
          <w:sz w:val="28"/>
          <w:szCs w:val="28"/>
        </w:rPr>
      </w:pPr>
      <w:r w:rsidRPr="00A31855">
        <w:rPr>
          <w:rFonts w:cs="Times New Roman"/>
          <w:b/>
          <w:sz w:val="28"/>
          <w:szCs w:val="28"/>
        </w:rPr>
        <w:t>Collèges et associations</w:t>
      </w:r>
    </w:p>
    <w:p w:rsidR="00AF39A6" w:rsidRDefault="00AF39A6">
      <w:pPr>
        <w:rPr>
          <w:rFonts w:cs="Times New Roman"/>
          <w:b/>
        </w:rPr>
      </w:pPr>
      <w:r w:rsidRPr="00473728">
        <w:rPr>
          <w:rFonts w:cs="Times New Roman"/>
          <w:b/>
        </w:rPr>
        <w:t>Collège médical canadien</w:t>
      </w:r>
    </w:p>
    <w:p w:rsidR="00473728" w:rsidRPr="00473728" w:rsidRDefault="00473728" w:rsidP="00473728">
      <w:pPr>
        <w:pStyle w:val="Paragraphedeliste"/>
        <w:numPr>
          <w:ilvl w:val="0"/>
          <w:numId w:val="1308"/>
        </w:numPr>
        <w:rPr>
          <w:rFonts w:cs="Times New Roman"/>
        </w:rPr>
      </w:pPr>
      <w:r w:rsidRPr="00473728">
        <w:rPr>
          <w:rFonts w:cs="Times New Roman"/>
        </w:rPr>
        <w:t>Est l’organe central qui octroie la licence d’exercice au Canada (sous réserve des critères des ordres provinciaux)</w:t>
      </w:r>
    </w:p>
    <w:p w:rsidR="00473728" w:rsidRPr="00473728" w:rsidRDefault="00473728" w:rsidP="00473728">
      <w:pPr>
        <w:pStyle w:val="Paragraphedeliste"/>
        <w:numPr>
          <w:ilvl w:val="0"/>
          <w:numId w:val="1308"/>
        </w:numPr>
        <w:rPr>
          <w:rFonts w:cs="Times New Roman"/>
        </w:rPr>
      </w:pPr>
      <w:r w:rsidRPr="00940CD4">
        <w:rPr>
          <w:rFonts w:cs="Times New Roman"/>
          <w:highlight w:val="yellow"/>
        </w:rPr>
        <w:t>S’assurer des qualifications et compétences des médecins</w:t>
      </w:r>
      <w:r w:rsidRPr="00473728">
        <w:rPr>
          <w:rFonts w:cs="Times New Roman"/>
        </w:rPr>
        <w:t xml:space="preserve"> (ex : Examen du conseil médical canadien)</w:t>
      </w:r>
    </w:p>
    <w:p w:rsidR="00473728" w:rsidRPr="00473728" w:rsidRDefault="00473728" w:rsidP="00473728">
      <w:pPr>
        <w:pStyle w:val="Paragraphedeliste"/>
        <w:numPr>
          <w:ilvl w:val="0"/>
          <w:numId w:val="1308"/>
        </w:numPr>
        <w:rPr>
          <w:rFonts w:cs="Times New Roman"/>
        </w:rPr>
      </w:pPr>
      <w:r w:rsidRPr="00473728">
        <w:rPr>
          <w:rFonts w:cs="Times New Roman"/>
        </w:rPr>
        <w:t>Tient un registre des médecins</w:t>
      </w:r>
    </w:p>
    <w:p w:rsidR="00AF39A6" w:rsidRPr="00473728" w:rsidRDefault="00AF39A6">
      <w:pPr>
        <w:rPr>
          <w:rFonts w:cs="Times New Roman"/>
          <w:b/>
        </w:rPr>
      </w:pPr>
      <w:r w:rsidRPr="00473728">
        <w:rPr>
          <w:rFonts w:cs="Times New Roman"/>
          <w:b/>
        </w:rPr>
        <w:t xml:space="preserve">Collège des médecins du Québec </w:t>
      </w:r>
    </w:p>
    <w:p w:rsidR="003420AF" w:rsidRDefault="003420AF" w:rsidP="003420AF">
      <w:pPr>
        <w:pStyle w:val="Paragraphedeliste"/>
        <w:numPr>
          <w:ilvl w:val="0"/>
          <w:numId w:val="1309"/>
        </w:numPr>
        <w:rPr>
          <w:rFonts w:cs="Times New Roman"/>
        </w:rPr>
      </w:pPr>
      <w:r>
        <w:rPr>
          <w:rFonts w:cs="Times New Roman"/>
        </w:rPr>
        <w:t>Sanctions disciplinaires</w:t>
      </w:r>
    </w:p>
    <w:p w:rsidR="003420AF" w:rsidRPr="00A31855" w:rsidRDefault="00655B21" w:rsidP="003420AF">
      <w:pPr>
        <w:pStyle w:val="Paragraphedeliste"/>
        <w:numPr>
          <w:ilvl w:val="0"/>
          <w:numId w:val="1309"/>
        </w:numPr>
        <w:rPr>
          <w:rFonts w:cs="Times New Roman"/>
        </w:rPr>
      </w:pPr>
      <w:r>
        <w:rPr>
          <w:noProof/>
          <w:lang w:eastAsia="fr-CA"/>
        </w:rPr>
        <w:drawing>
          <wp:anchor distT="0" distB="0" distL="114300" distR="114300" simplePos="0" relativeHeight="252105728" behindDoc="0" locked="0" layoutInCell="1" allowOverlap="1" wp14:anchorId="61687894" wp14:editId="7FE6C19E">
            <wp:simplePos x="0" y="0"/>
            <wp:positionH relativeFrom="column">
              <wp:posOffset>4685665</wp:posOffset>
            </wp:positionH>
            <wp:positionV relativeFrom="paragraph">
              <wp:posOffset>156210</wp:posOffset>
            </wp:positionV>
            <wp:extent cx="2286000" cy="1430020"/>
            <wp:effectExtent l="0" t="0" r="0" b="0"/>
            <wp:wrapNone/>
            <wp:docPr id="587" name="Image 587" descr="Résultats de recherche d'images pour « cmq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ésultats de recherche d'images pour « cmq »"/>
                    <pic:cNvPicPr>
                      <a:picLocks noChangeAspect="1" noChangeArrowheads="1"/>
                    </pic:cNvPicPr>
                  </pic:nvPicPr>
                  <pic:blipFill>
                    <a:blip r:embed="rId406">
                      <a:extLst>
                        <a:ext uri="{28A0092B-C50C-407E-A947-70E740481C1C}">
                          <a14:useLocalDpi xmlns:a14="http://schemas.microsoft.com/office/drawing/2010/main" val="0"/>
                        </a:ext>
                      </a:extLst>
                    </a:blip>
                    <a:srcRect/>
                    <a:stretch>
                      <a:fillRect/>
                    </a:stretch>
                  </pic:blipFill>
                  <pic:spPr bwMode="auto">
                    <a:xfrm>
                      <a:off x="0" y="0"/>
                      <a:ext cx="2286000" cy="1430020"/>
                    </a:xfrm>
                    <a:prstGeom prst="rect">
                      <a:avLst/>
                    </a:prstGeom>
                    <a:noFill/>
                    <a:ln>
                      <a:noFill/>
                    </a:ln>
                  </pic:spPr>
                </pic:pic>
              </a:graphicData>
            </a:graphic>
            <wp14:sizeRelH relativeFrom="page">
              <wp14:pctWidth>0</wp14:pctWidth>
            </wp14:sizeRelH>
            <wp14:sizeRelV relativeFrom="page">
              <wp14:pctHeight>0</wp14:pctHeight>
            </wp14:sizeRelV>
          </wp:anchor>
        </w:drawing>
      </w:r>
      <w:r w:rsidR="003420AF">
        <w:rPr>
          <w:rFonts w:cs="Times New Roman"/>
        </w:rPr>
        <w:t>Chargé de maintenir les qualifications et la compétence</w:t>
      </w:r>
    </w:p>
    <w:p w:rsidR="00AF39A6" w:rsidRPr="00473728" w:rsidRDefault="00EC2080" w:rsidP="00473728">
      <w:pPr>
        <w:pStyle w:val="Paragraphedeliste"/>
        <w:numPr>
          <w:ilvl w:val="0"/>
          <w:numId w:val="1309"/>
        </w:numPr>
        <w:rPr>
          <w:rFonts w:cs="Times New Roman"/>
        </w:rPr>
      </w:pPr>
      <w:r w:rsidRPr="00940CD4">
        <w:rPr>
          <w:rFonts w:cs="Times New Roman"/>
          <w:highlight w:val="yellow"/>
        </w:rPr>
        <w:t>Code de déontologie</w:t>
      </w:r>
      <w:r w:rsidR="00473728">
        <w:rPr>
          <w:rFonts w:cs="Times New Roman"/>
        </w:rPr>
        <w:t xml:space="preserve"> régissant :</w:t>
      </w:r>
      <w:r w:rsidR="001B6A0C" w:rsidRPr="001B6A0C">
        <w:t xml:space="preserve"> </w:t>
      </w:r>
    </w:p>
    <w:p w:rsidR="00655B21" w:rsidRDefault="00655B21" w:rsidP="00473728">
      <w:pPr>
        <w:pStyle w:val="Paragraphedeliste"/>
        <w:numPr>
          <w:ilvl w:val="0"/>
          <w:numId w:val="1310"/>
        </w:numPr>
        <w:rPr>
          <w:rFonts w:cs="Times New Roman"/>
        </w:rPr>
        <w:sectPr w:rsidR="00655B21" w:rsidSect="00217865">
          <w:type w:val="continuous"/>
          <w:pgSz w:w="12240" w:h="15840"/>
          <w:pgMar w:top="720" w:right="720" w:bottom="720" w:left="720" w:header="708" w:footer="708" w:gutter="0"/>
          <w:cols w:space="708"/>
          <w:docGrid w:linePitch="360"/>
        </w:sectPr>
      </w:pPr>
    </w:p>
    <w:p w:rsidR="00EC2080" w:rsidRPr="00473728" w:rsidRDefault="00EC2080" w:rsidP="00473728">
      <w:pPr>
        <w:pStyle w:val="Paragraphedeliste"/>
        <w:numPr>
          <w:ilvl w:val="0"/>
          <w:numId w:val="1310"/>
        </w:numPr>
        <w:rPr>
          <w:rFonts w:cs="Times New Roman"/>
        </w:rPr>
      </w:pPr>
      <w:r w:rsidRPr="00473728">
        <w:rPr>
          <w:rFonts w:cs="Times New Roman"/>
        </w:rPr>
        <w:t>Qualité de la relation médecin-patient</w:t>
      </w:r>
    </w:p>
    <w:p w:rsidR="00EC2080" w:rsidRPr="00473728" w:rsidRDefault="00EC2080" w:rsidP="00473728">
      <w:pPr>
        <w:pStyle w:val="Paragraphedeliste"/>
        <w:numPr>
          <w:ilvl w:val="0"/>
          <w:numId w:val="1310"/>
        </w:numPr>
        <w:rPr>
          <w:rFonts w:cs="Times New Roman"/>
        </w:rPr>
      </w:pPr>
      <w:r w:rsidRPr="00473728">
        <w:rPr>
          <w:rFonts w:cs="Times New Roman"/>
        </w:rPr>
        <w:t>Liberté de choix</w:t>
      </w:r>
      <w:r w:rsidR="00473728">
        <w:rPr>
          <w:rFonts w:cs="Times New Roman"/>
        </w:rPr>
        <w:t xml:space="preserve"> du patient</w:t>
      </w:r>
    </w:p>
    <w:p w:rsidR="00EC2080" w:rsidRPr="00473728" w:rsidRDefault="00EC2080" w:rsidP="00473728">
      <w:pPr>
        <w:pStyle w:val="Paragraphedeliste"/>
        <w:numPr>
          <w:ilvl w:val="0"/>
          <w:numId w:val="1310"/>
        </w:numPr>
        <w:rPr>
          <w:rFonts w:cs="Times New Roman"/>
        </w:rPr>
      </w:pPr>
      <w:r w:rsidRPr="00473728">
        <w:rPr>
          <w:rFonts w:cs="Times New Roman"/>
        </w:rPr>
        <w:t>Consentement</w:t>
      </w:r>
    </w:p>
    <w:p w:rsidR="00EC2080" w:rsidRPr="00473728" w:rsidRDefault="00473728" w:rsidP="00473728">
      <w:pPr>
        <w:pStyle w:val="Paragraphedeliste"/>
        <w:numPr>
          <w:ilvl w:val="0"/>
          <w:numId w:val="1310"/>
        </w:numPr>
        <w:rPr>
          <w:rFonts w:cs="Times New Roman"/>
        </w:rPr>
      </w:pPr>
      <w:r>
        <w:rPr>
          <w:rFonts w:cs="Times New Roman"/>
        </w:rPr>
        <w:t>Indépendance du médecin</w:t>
      </w:r>
    </w:p>
    <w:p w:rsidR="00EC2080" w:rsidRPr="00473728" w:rsidRDefault="00EC2080" w:rsidP="00473728">
      <w:pPr>
        <w:pStyle w:val="Paragraphedeliste"/>
        <w:numPr>
          <w:ilvl w:val="0"/>
          <w:numId w:val="1310"/>
        </w:numPr>
        <w:rPr>
          <w:rFonts w:cs="Times New Roman"/>
        </w:rPr>
      </w:pPr>
      <w:r w:rsidRPr="00473728">
        <w:rPr>
          <w:rFonts w:cs="Times New Roman"/>
        </w:rPr>
        <w:t>Intégrité</w:t>
      </w:r>
    </w:p>
    <w:p w:rsidR="00EC2080" w:rsidRDefault="00EC2080" w:rsidP="00473728">
      <w:pPr>
        <w:pStyle w:val="Paragraphedeliste"/>
        <w:numPr>
          <w:ilvl w:val="0"/>
          <w:numId w:val="1310"/>
        </w:numPr>
        <w:rPr>
          <w:rFonts w:cs="Times New Roman"/>
        </w:rPr>
      </w:pPr>
      <w:r w:rsidRPr="00473728">
        <w:rPr>
          <w:rFonts w:cs="Times New Roman"/>
        </w:rPr>
        <w:t>Qualité de l’exercice de la médecine</w:t>
      </w:r>
    </w:p>
    <w:p w:rsidR="00655B21" w:rsidRPr="00473728" w:rsidRDefault="00655B21" w:rsidP="00473728">
      <w:pPr>
        <w:pStyle w:val="Paragraphedeliste"/>
        <w:numPr>
          <w:ilvl w:val="0"/>
          <w:numId w:val="1310"/>
        </w:numPr>
        <w:rPr>
          <w:rFonts w:cs="Times New Roman"/>
        </w:rPr>
      </w:pPr>
      <w:r>
        <w:rPr>
          <w:rFonts w:cs="Times New Roman"/>
        </w:rPr>
        <w:t>La prise en charge et le suivi</w:t>
      </w:r>
    </w:p>
    <w:p w:rsidR="00EC2080" w:rsidRPr="00473728" w:rsidRDefault="00EC2080" w:rsidP="00473728">
      <w:pPr>
        <w:pStyle w:val="Paragraphedeliste"/>
        <w:numPr>
          <w:ilvl w:val="0"/>
          <w:numId w:val="1310"/>
        </w:numPr>
        <w:rPr>
          <w:rFonts w:cs="Times New Roman"/>
        </w:rPr>
      </w:pPr>
      <w:r w:rsidRPr="00473728">
        <w:rPr>
          <w:rFonts w:cs="Times New Roman"/>
        </w:rPr>
        <w:t>Déclarations publiques</w:t>
      </w:r>
      <w:r w:rsidR="00A31855">
        <w:rPr>
          <w:rFonts w:cs="Times New Roman"/>
        </w:rPr>
        <w:t xml:space="preserve"> et publicité</w:t>
      </w:r>
    </w:p>
    <w:p w:rsidR="00EC2080" w:rsidRPr="00473728" w:rsidRDefault="00EC2080" w:rsidP="00473728">
      <w:pPr>
        <w:pStyle w:val="Paragraphedeliste"/>
        <w:numPr>
          <w:ilvl w:val="0"/>
          <w:numId w:val="1310"/>
        </w:numPr>
        <w:rPr>
          <w:rFonts w:cs="Times New Roman"/>
        </w:rPr>
      </w:pPr>
      <w:r w:rsidRPr="00473728">
        <w:rPr>
          <w:rFonts w:cs="Times New Roman"/>
        </w:rPr>
        <w:t>Accessibilité des dossiers</w:t>
      </w:r>
    </w:p>
    <w:p w:rsidR="00EC2080" w:rsidRPr="00473728" w:rsidRDefault="00EC2080" w:rsidP="00473728">
      <w:pPr>
        <w:pStyle w:val="Paragraphedeliste"/>
        <w:numPr>
          <w:ilvl w:val="0"/>
          <w:numId w:val="1310"/>
        </w:numPr>
        <w:rPr>
          <w:rFonts w:cs="Times New Roman"/>
        </w:rPr>
      </w:pPr>
      <w:r w:rsidRPr="00473728">
        <w:rPr>
          <w:rFonts w:cs="Times New Roman"/>
        </w:rPr>
        <w:t>Honoraires</w:t>
      </w:r>
    </w:p>
    <w:p w:rsidR="00EC2080" w:rsidRPr="00473728" w:rsidRDefault="00EC2080" w:rsidP="00473728">
      <w:pPr>
        <w:pStyle w:val="Paragraphedeliste"/>
        <w:numPr>
          <w:ilvl w:val="0"/>
          <w:numId w:val="1310"/>
        </w:numPr>
        <w:rPr>
          <w:rFonts w:cs="Times New Roman"/>
        </w:rPr>
      </w:pPr>
      <w:r w:rsidRPr="00473728">
        <w:rPr>
          <w:rFonts w:cs="Times New Roman"/>
        </w:rPr>
        <w:t>Relations avec les autres professionnels</w:t>
      </w:r>
    </w:p>
    <w:p w:rsidR="003420AF" w:rsidRDefault="00EC2080" w:rsidP="00950208">
      <w:pPr>
        <w:pStyle w:val="Paragraphedeliste"/>
        <w:numPr>
          <w:ilvl w:val="0"/>
          <w:numId w:val="1310"/>
        </w:numPr>
        <w:spacing w:after="0"/>
        <w:rPr>
          <w:rFonts w:cs="Times New Roman"/>
        </w:rPr>
      </w:pPr>
      <w:r w:rsidRPr="00473728">
        <w:rPr>
          <w:rFonts w:cs="Times New Roman"/>
        </w:rPr>
        <w:t>Relation avec le collège</w:t>
      </w:r>
    </w:p>
    <w:p w:rsidR="00655B21" w:rsidRDefault="00655B21" w:rsidP="00950208">
      <w:pPr>
        <w:pStyle w:val="Paragraphedeliste"/>
        <w:spacing w:after="0"/>
        <w:ind w:left="1068"/>
        <w:rPr>
          <w:rFonts w:cs="Times New Roman"/>
          <w:sz w:val="16"/>
          <w:szCs w:val="16"/>
        </w:rPr>
        <w:sectPr w:rsidR="00655B21" w:rsidSect="00655B21">
          <w:type w:val="continuous"/>
          <w:pgSz w:w="12240" w:h="15840"/>
          <w:pgMar w:top="720" w:right="720" w:bottom="720" w:left="720" w:header="708" w:footer="708" w:gutter="0"/>
          <w:cols w:num="2" w:space="0" w:equalWidth="0">
            <w:col w:w="3402" w:space="0"/>
            <w:col w:w="7398"/>
          </w:cols>
          <w:docGrid w:linePitch="360"/>
        </w:sectPr>
      </w:pPr>
    </w:p>
    <w:p w:rsidR="00950208" w:rsidRPr="00950208" w:rsidRDefault="00950208" w:rsidP="00950208">
      <w:pPr>
        <w:pStyle w:val="Paragraphedeliste"/>
        <w:spacing w:after="0"/>
        <w:ind w:left="1068"/>
        <w:rPr>
          <w:rFonts w:cs="Times New Roman"/>
          <w:sz w:val="16"/>
          <w:szCs w:val="16"/>
        </w:rPr>
      </w:pPr>
    </w:p>
    <w:p w:rsidR="00AF39A6" w:rsidRPr="00A31855" w:rsidRDefault="00AF39A6" w:rsidP="00950208">
      <w:pPr>
        <w:rPr>
          <w:rFonts w:cs="Times New Roman"/>
          <w:b/>
          <w:sz w:val="28"/>
          <w:szCs w:val="28"/>
        </w:rPr>
      </w:pPr>
      <w:r w:rsidRPr="00A31855">
        <w:rPr>
          <w:rFonts w:cs="Times New Roman"/>
          <w:b/>
          <w:sz w:val="28"/>
          <w:szCs w:val="28"/>
        </w:rPr>
        <w:t>Principes éthiques en médecine</w:t>
      </w:r>
    </w:p>
    <w:p w:rsidR="00AF39A6" w:rsidRPr="00940CD4" w:rsidRDefault="00EC2080" w:rsidP="005404A9">
      <w:pPr>
        <w:pStyle w:val="Paragraphedeliste"/>
        <w:numPr>
          <w:ilvl w:val="0"/>
          <w:numId w:val="1311"/>
        </w:numPr>
        <w:rPr>
          <w:rFonts w:cs="Times New Roman"/>
          <w:highlight w:val="yellow"/>
        </w:rPr>
      </w:pPr>
      <w:r w:rsidRPr="00940CD4">
        <w:rPr>
          <w:rFonts w:cs="Times New Roman"/>
          <w:highlight w:val="yellow"/>
        </w:rPr>
        <w:t>Autonomie</w:t>
      </w:r>
      <w:r w:rsidR="00940CD4" w:rsidRPr="00940CD4">
        <w:rPr>
          <w:rFonts w:cs="Times New Roman"/>
          <w:highlight w:val="yellow"/>
        </w:rPr>
        <w:t> : droit du patient de décider pour lui en accord avec ses valeurs et croyances</w:t>
      </w:r>
    </w:p>
    <w:p w:rsidR="00EC2080" w:rsidRPr="00940CD4" w:rsidRDefault="00EC2080" w:rsidP="005404A9">
      <w:pPr>
        <w:pStyle w:val="Paragraphedeliste"/>
        <w:numPr>
          <w:ilvl w:val="0"/>
          <w:numId w:val="1311"/>
        </w:numPr>
        <w:rPr>
          <w:rFonts w:cs="Times New Roman"/>
          <w:highlight w:val="yellow"/>
        </w:rPr>
      </w:pPr>
      <w:r w:rsidRPr="00940CD4">
        <w:rPr>
          <w:rFonts w:cs="Times New Roman"/>
          <w:highlight w:val="yellow"/>
        </w:rPr>
        <w:t>Bienfaisance</w:t>
      </w:r>
      <w:r w:rsidR="00940CD4" w:rsidRPr="00940CD4">
        <w:rPr>
          <w:rFonts w:cs="Times New Roman"/>
          <w:highlight w:val="yellow"/>
        </w:rPr>
        <w:t> : agir dans le meilleur intérêt du patient, en considérant ses préférences et valeurs</w:t>
      </w:r>
    </w:p>
    <w:p w:rsidR="00EC2080" w:rsidRPr="00940CD4" w:rsidRDefault="00EC2080" w:rsidP="005404A9">
      <w:pPr>
        <w:pStyle w:val="Paragraphedeliste"/>
        <w:numPr>
          <w:ilvl w:val="0"/>
          <w:numId w:val="1311"/>
        </w:numPr>
        <w:rPr>
          <w:rFonts w:cs="Times New Roman"/>
          <w:highlight w:val="yellow"/>
        </w:rPr>
      </w:pPr>
      <w:r w:rsidRPr="00940CD4">
        <w:rPr>
          <w:rFonts w:cs="Times New Roman"/>
          <w:highlight w:val="yellow"/>
        </w:rPr>
        <w:t>Non-malfaisance</w:t>
      </w:r>
      <w:r w:rsidR="00940CD4" w:rsidRPr="00940CD4">
        <w:rPr>
          <w:rFonts w:cs="Times New Roman"/>
          <w:highlight w:val="yellow"/>
        </w:rPr>
        <w:t> : obligation d’éviter de causer du tort (</w:t>
      </w:r>
      <w:r w:rsidR="00940CD4" w:rsidRPr="00AE3D82">
        <w:rPr>
          <w:rFonts w:cs="Times New Roman"/>
          <w:i/>
          <w:highlight w:val="yellow"/>
        </w:rPr>
        <w:t>Primum non nocere</w:t>
      </w:r>
      <w:r w:rsidR="00940CD4" w:rsidRPr="00940CD4">
        <w:rPr>
          <w:rFonts w:cs="Times New Roman"/>
          <w:highlight w:val="yellow"/>
        </w:rPr>
        <w:t>)</w:t>
      </w:r>
    </w:p>
    <w:p w:rsidR="00950208" w:rsidRPr="00950208" w:rsidRDefault="00EC2080" w:rsidP="00950208">
      <w:pPr>
        <w:pStyle w:val="Paragraphedeliste"/>
        <w:numPr>
          <w:ilvl w:val="0"/>
          <w:numId w:val="1311"/>
        </w:numPr>
        <w:rPr>
          <w:rFonts w:cs="Times New Roman"/>
          <w:highlight w:val="yellow"/>
        </w:rPr>
      </w:pPr>
      <w:r w:rsidRPr="00940CD4">
        <w:rPr>
          <w:rFonts w:cs="Times New Roman"/>
          <w:highlight w:val="yellow"/>
        </w:rPr>
        <w:t>Justice</w:t>
      </w:r>
      <w:r w:rsidR="00940CD4" w:rsidRPr="00940CD4">
        <w:rPr>
          <w:rFonts w:cs="Times New Roman"/>
          <w:highlight w:val="yellow"/>
        </w:rPr>
        <w:t xml:space="preserve"> : </w:t>
      </w:r>
      <w:r w:rsidR="00950208">
        <w:rPr>
          <w:rFonts w:cs="Times New Roman"/>
          <w:highlight w:val="yellow"/>
        </w:rPr>
        <w:t>Partage</w:t>
      </w:r>
      <w:r w:rsidR="00940CD4" w:rsidRPr="00940CD4">
        <w:rPr>
          <w:rFonts w:cs="Times New Roman"/>
          <w:highlight w:val="yellow"/>
        </w:rPr>
        <w:t xml:space="preserve"> des ressources et soins de façon juste dans la société. </w:t>
      </w:r>
      <w:r w:rsidR="00940CD4" w:rsidRPr="00950208">
        <w:rPr>
          <w:rFonts w:cs="Times New Roman"/>
          <w:highlight w:val="yellow"/>
        </w:rPr>
        <w:t>Respect des droits fondamentaux</w:t>
      </w:r>
    </w:p>
    <w:p w:rsidR="005404A9" w:rsidRPr="00940CD4" w:rsidRDefault="005404A9">
      <w:pPr>
        <w:rPr>
          <w:rFonts w:cs="Times New Roman"/>
          <w:b/>
          <w:sz w:val="28"/>
        </w:rPr>
      </w:pPr>
      <w:r w:rsidRPr="00940CD4">
        <w:rPr>
          <w:rFonts w:cs="Times New Roman"/>
          <w:b/>
          <w:sz w:val="28"/>
        </w:rPr>
        <w:t>Situations où les services juridiques sont requis :</w:t>
      </w:r>
    </w:p>
    <w:p w:rsidR="00AF39A6" w:rsidRPr="00184AD3" w:rsidRDefault="00DC5E48" w:rsidP="002D08FF">
      <w:pPr>
        <w:pStyle w:val="Paragraphedeliste"/>
        <w:numPr>
          <w:ilvl w:val="0"/>
          <w:numId w:val="1312"/>
        </w:numPr>
        <w:spacing w:after="0"/>
        <w:rPr>
          <w:rFonts w:cs="Times New Roman"/>
          <w:highlight w:val="yellow"/>
        </w:rPr>
      </w:pPr>
      <w:r w:rsidRPr="00184AD3">
        <w:rPr>
          <w:rFonts w:cs="Times New Roman"/>
          <w:highlight w:val="yellow"/>
        </w:rPr>
        <w:t xml:space="preserve">Si un abus ou la négligence est constaté sur un enfant, il faut alors aviser la </w:t>
      </w:r>
      <w:r w:rsidR="00AF39A6" w:rsidRPr="00184AD3">
        <w:rPr>
          <w:rFonts w:cs="Times New Roman"/>
          <w:highlight w:val="yellow"/>
        </w:rPr>
        <w:t>D</w:t>
      </w:r>
      <w:r w:rsidRPr="00184AD3">
        <w:rPr>
          <w:rFonts w:cs="Times New Roman"/>
          <w:highlight w:val="yellow"/>
        </w:rPr>
        <w:t>irection de la protection de la jeunesse</w:t>
      </w:r>
    </w:p>
    <w:p w:rsidR="00DC5E48" w:rsidRPr="00DC5E48" w:rsidRDefault="00DC5E48" w:rsidP="002D08FF">
      <w:pPr>
        <w:pStyle w:val="Paragraphedeliste"/>
        <w:numPr>
          <w:ilvl w:val="1"/>
          <w:numId w:val="1312"/>
        </w:numPr>
        <w:spacing w:after="0"/>
        <w:rPr>
          <w:rFonts w:cs="Times New Roman"/>
        </w:rPr>
      </w:pPr>
      <w:r w:rsidRPr="00DC5E48">
        <w:rPr>
          <w:rFonts w:cs="Times New Roman"/>
        </w:rPr>
        <w:t xml:space="preserve">Voir </w:t>
      </w:r>
      <w:r w:rsidRPr="00DC5E48">
        <w:rPr>
          <w:rFonts w:cs="Times New Roman"/>
          <w:i/>
        </w:rPr>
        <w:t>Mauvais traitement envers un enfant CMC 114-1</w:t>
      </w:r>
    </w:p>
    <w:p w:rsidR="00DC5E48" w:rsidRPr="00DC5E48" w:rsidRDefault="00DC5E48" w:rsidP="002D08FF">
      <w:pPr>
        <w:pStyle w:val="Paragraphedeliste"/>
        <w:numPr>
          <w:ilvl w:val="0"/>
          <w:numId w:val="1312"/>
        </w:numPr>
        <w:spacing w:after="0"/>
        <w:rPr>
          <w:rFonts w:cs="Times New Roman"/>
        </w:rPr>
      </w:pPr>
      <w:r w:rsidRPr="00184AD3">
        <w:rPr>
          <w:rFonts w:cs="Times New Roman"/>
          <w:highlight w:val="yellow"/>
        </w:rPr>
        <w:t>Nécessité d’une ordonnance de justice si on souhaite administrer un traitement vital qui est refusé :</w:t>
      </w:r>
    </w:p>
    <w:p w:rsidR="00F24FCD" w:rsidRPr="00DC5E48" w:rsidRDefault="00DC5E48" w:rsidP="002D08FF">
      <w:pPr>
        <w:pStyle w:val="Paragraphedeliste"/>
        <w:numPr>
          <w:ilvl w:val="1"/>
          <w:numId w:val="1312"/>
        </w:numPr>
        <w:spacing w:after="0"/>
        <w:rPr>
          <w:rFonts w:cs="Times New Roman"/>
        </w:rPr>
      </w:pPr>
      <w:r w:rsidRPr="00DC5E48">
        <w:rPr>
          <w:rFonts w:cs="Times New Roman"/>
        </w:rPr>
        <w:t>Par</w:t>
      </w:r>
      <w:r w:rsidR="00F24FCD" w:rsidRPr="00DC5E48">
        <w:rPr>
          <w:rFonts w:cs="Times New Roman"/>
        </w:rPr>
        <w:t xml:space="preserve"> un patient majeur</w:t>
      </w:r>
      <w:r w:rsidR="00404313">
        <w:rPr>
          <w:rFonts w:cs="Times New Roman"/>
        </w:rPr>
        <w:t xml:space="preserve"> inapte (refus catégorique)</w:t>
      </w:r>
    </w:p>
    <w:p w:rsidR="00DC5E48" w:rsidRPr="00DC5E48" w:rsidRDefault="00DC5E48" w:rsidP="002D08FF">
      <w:pPr>
        <w:pStyle w:val="Paragraphedeliste"/>
        <w:numPr>
          <w:ilvl w:val="1"/>
          <w:numId w:val="1312"/>
        </w:numPr>
        <w:spacing w:after="0"/>
        <w:rPr>
          <w:rFonts w:cs="Times New Roman"/>
        </w:rPr>
      </w:pPr>
      <w:r w:rsidRPr="00DC5E48">
        <w:rPr>
          <w:rFonts w:cs="Times New Roman"/>
        </w:rPr>
        <w:t>P</w:t>
      </w:r>
      <w:r w:rsidR="00F24FCD" w:rsidRPr="00DC5E48">
        <w:rPr>
          <w:rFonts w:cs="Times New Roman"/>
        </w:rPr>
        <w:t xml:space="preserve">ar un mineur de </w:t>
      </w:r>
      <w:r w:rsidR="00F24FCD" w:rsidRPr="00DC5E48">
        <w:rPr>
          <w:rFonts w:ascii="Century Gothic" w:hAnsi="Century Gothic" w:cs="Times New Roman"/>
        </w:rPr>
        <w:t>&gt;</w:t>
      </w:r>
      <w:r w:rsidR="00F24FCD" w:rsidRPr="00DC5E48">
        <w:rPr>
          <w:rFonts w:cs="Times New Roman"/>
        </w:rPr>
        <w:t xml:space="preserve"> 14 ans</w:t>
      </w:r>
    </w:p>
    <w:p w:rsidR="00DC5E48" w:rsidRDefault="00DC5E48" w:rsidP="002D08FF">
      <w:pPr>
        <w:pStyle w:val="Paragraphedeliste"/>
        <w:numPr>
          <w:ilvl w:val="2"/>
          <w:numId w:val="1312"/>
        </w:numPr>
        <w:spacing w:after="0"/>
        <w:rPr>
          <w:rFonts w:cs="Times New Roman"/>
        </w:rPr>
      </w:pPr>
      <w:r w:rsidRPr="00DC5E48">
        <w:rPr>
          <w:rFonts w:cs="Times New Roman"/>
        </w:rPr>
        <w:t>Sauf en cas d’urgence et que le parent/tuteur y consen</w:t>
      </w:r>
      <w:r>
        <w:rPr>
          <w:rFonts w:cs="Times New Roman"/>
        </w:rPr>
        <w:t>t</w:t>
      </w:r>
    </w:p>
    <w:p w:rsidR="006433D1" w:rsidRPr="006433D1" w:rsidRDefault="006433D1" w:rsidP="002D08FF">
      <w:pPr>
        <w:pStyle w:val="Paragraphedeliste"/>
        <w:numPr>
          <w:ilvl w:val="0"/>
          <w:numId w:val="1313"/>
        </w:numPr>
        <w:spacing w:after="0"/>
        <w:rPr>
          <w:rFonts w:cs="Times New Roman"/>
        </w:rPr>
      </w:pPr>
      <w:r w:rsidRPr="006433D1">
        <w:rPr>
          <w:rFonts w:cs="Times New Roman"/>
        </w:rPr>
        <w:t xml:space="preserve">Par le parent/tuteur d’un mineur de </w:t>
      </w:r>
      <w:r w:rsidRPr="006433D1">
        <w:rPr>
          <w:rFonts w:ascii="Century Gothic" w:hAnsi="Century Gothic" w:cs="Times New Roman"/>
        </w:rPr>
        <w:t>&lt;</w:t>
      </w:r>
      <w:r w:rsidRPr="006433D1">
        <w:rPr>
          <w:rFonts w:cs="Times New Roman"/>
        </w:rPr>
        <w:t xml:space="preserve"> 14 ans</w:t>
      </w:r>
      <w:r w:rsidR="00B80D5A">
        <w:rPr>
          <w:rFonts w:cs="Times New Roman"/>
        </w:rPr>
        <w:t xml:space="preserve"> ou l’un des deux parents</w:t>
      </w:r>
    </w:p>
    <w:p w:rsidR="00DC5E48" w:rsidRPr="00DC5E48" w:rsidRDefault="00DC5E48" w:rsidP="002D08FF">
      <w:pPr>
        <w:pStyle w:val="Paragraphedeliste"/>
        <w:numPr>
          <w:ilvl w:val="0"/>
          <w:numId w:val="1312"/>
        </w:numPr>
        <w:spacing w:after="0"/>
        <w:rPr>
          <w:rFonts w:cs="Times New Roman"/>
          <w:highlight w:val="yellow"/>
        </w:rPr>
      </w:pPr>
      <w:r w:rsidRPr="00DC5E48">
        <w:rPr>
          <w:rFonts w:cs="Times New Roman"/>
          <w:highlight w:val="yellow"/>
        </w:rPr>
        <w:t>Garde préventive : mesure permettant au médecin de l’urgence permettant de garder un patient en garde contre son gré, sans évaluation psychiatrique pour un maximum de 72h s’il juge qu’il représente un danger imminent pour soi/autrui.</w:t>
      </w:r>
      <w:r>
        <w:rPr>
          <w:rFonts w:cs="Times New Roman"/>
          <w:highlight w:val="yellow"/>
        </w:rPr>
        <w:t xml:space="preserve"> (Loi P-38)</w:t>
      </w:r>
    </w:p>
    <w:p w:rsidR="00DC5E48" w:rsidRDefault="00DC5E48" w:rsidP="002D08FF">
      <w:pPr>
        <w:pStyle w:val="Paragraphedeliste"/>
        <w:numPr>
          <w:ilvl w:val="0"/>
          <w:numId w:val="1312"/>
        </w:numPr>
        <w:spacing w:after="0"/>
        <w:rPr>
          <w:rFonts w:cs="Times New Roman"/>
          <w:highlight w:val="yellow"/>
        </w:rPr>
      </w:pPr>
      <w:r w:rsidRPr="00DC5E48">
        <w:rPr>
          <w:rFonts w:cs="Times New Roman"/>
          <w:highlight w:val="yellow"/>
        </w:rPr>
        <w:t>Garde provisoire : ordonnance du tribunal visant à soumettre la personne à une évaluation psychiatrique</w:t>
      </w:r>
      <w:r w:rsidR="00184AD3">
        <w:rPr>
          <w:rFonts w:cs="Times New Roman"/>
          <w:highlight w:val="yellow"/>
        </w:rPr>
        <w:t xml:space="preserve"> (max 7 jours)</w:t>
      </w:r>
    </w:p>
    <w:p w:rsidR="006F6484" w:rsidRPr="00184AD3" w:rsidRDefault="00DC5E48" w:rsidP="002D08FF">
      <w:pPr>
        <w:pStyle w:val="Paragraphedeliste"/>
        <w:numPr>
          <w:ilvl w:val="0"/>
          <w:numId w:val="1312"/>
        </w:numPr>
        <w:spacing w:after="0"/>
        <w:rPr>
          <w:rFonts w:cs="Times New Roman"/>
          <w:highlight w:val="yellow"/>
        </w:rPr>
      </w:pPr>
      <w:r>
        <w:rPr>
          <w:rFonts w:cs="Times New Roman"/>
          <w:highlight w:val="yellow"/>
        </w:rPr>
        <w:t>Garde en établissement :</w:t>
      </w:r>
      <w:r w:rsidR="00184AD3">
        <w:rPr>
          <w:rFonts w:cs="Times New Roman"/>
          <w:highlight w:val="yellow"/>
        </w:rPr>
        <w:t xml:space="preserve"> ordonnance du tribunal visant à hospitaliser un patient contre son gré (peut être renouvelé)</w:t>
      </w:r>
      <w:r w:rsidR="006F6484" w:rsidRPr="00184AD3">
        <w:rPr>
          <w:rFonts w:cs="Times New Roman"/>
        </w:rPr>
        <w:br w:type="page"/>
      </w:r>
    </w:p>
    <w:bookmarkStart w:id="411" w:name="_Toc480797347" w:displacedByCustomXml="next"/>
    <w:sdt>
      <w:sdtPr>
        <w:rPr>
          <w:rFonts w:ascii="Times New Roman" w:eastAsiaTheme="minorHAnsi" w:hAnsi="Times New Roman" w:cstheme="minorBidi"/>
          <w:b w:val="0"/>
          <w:bCs w:val="0"/>
          <w:color w:val="auto"/>
          <w:sz w:val="22"/>
          <w:szCs w:val="22"/>
          <w:lang w:val="fr-FR"/>
        </w:rPr>
        <w:id w:val="-667785538"/>
        <w:docPartObj>
          <w:docPartGallery w:val="Bibliographies"/>
          <w:docPartUnique/>
        </w:docPartObj>
      </w:sdtPr>
      <w:sdtEndPr>
        <w:rPr>
          <w:lang w:val="fr-CA"/>
        </w:rPr>
      </w:sdtEndPr>
      <w:sdtContent>
        <w:p w:rsidR="003E4384" w:rsidRDefault="00E21D2E">
          <w:pPr>
            <w:pStyle w:val="Titre1"/>
          </w:pPr>
          <w:r>
            <w:rPr>
              <w:lang w:val="fr-FR"/>
            </w:rPr>
            <w:t>Sources</w:t>
          </w:r>
          <w:bookmarkEnd w:id="411"/>
        </w:p>
        <w:sdt>
          <w:sdtPr>
            <w:id w:val="111145805"/>
            <w:bibliography/>
          </w:sdtPr>
          <w:sdtEndPr/>
          <w:sdtContent>
            <w:p w:rsidR="00B84E00" w:rsidRPr="00B84E00" w:rsidRDefault="00B84E00" w:rsidP="00956EBF">
              <w:pPr>
                <w:rPr>
                  <w:sz w:val="20"/>
                  <w:szCs w:val="20"/>
                </w:rPr>
              </w:pPr>
              <w:r w:rsidRPr="00B84E00">
                <w:rPr>
                  <w:sz w:val="20"/>
                  <w:szCs w:val="20"/>
                </w:rPr>
                <w:t xml:space="preserve">AGENCE DE LA SANTÉ PUBLIQUE DU CANADA. (2013). </w:t>
              </w:r>
              <w:r w:rsidRPr="00B84E00">
                <w:rPr>
                  <w:i/>
                  <w:sz w:val="20"/>
                  <w:szCs w:val="20"/>
                </w:rPr>
                <w:t>Pourquoi les Canadiens sont-ils en santé ou pas ?</w:t>
              </w:r>
              <w:r w:rsidRPr="00B84E00">
                <w:rPr>
                  <w:sz w:val="20"/>
                  <w:szCs w:val="20"/>
                </w:rPr>
                <w:t xml:space="preserve"> Site Web : </w:t>
              </w:r>
              <w:hyperlink r:id="rId409" w:history="1">
                <w:r w:rsidRPr="00B84E00">
                  <w:rPr>
                    <w:rStyle w:val="Lienhypertexte"/>
                    <w:sz w:val="20"/>
                    <w:szCs w:val="20"/>
                  </w:rPr>
                  <w:t>www.santepublique.gc.ca</w:t>
                </w:r>
              </w:hyperlink>
              <w:r w:rsidRPr="00B84E00">
                <w:rPr>
                  <w:sz w:val="20"/>
                  <w:szCs w:val="20"/>
                </w:rPr>
                <w:t xml:space="preserve"> </w:t>
              </w:r>
            </w:p>
            <w:p w:rsidR="00956EBF" w:rsidRDefault="00956EBF" w:rsidP="00956EBF">
              <w:pPr>
                <w:rPr>
                  <w:rFonts w:cs="Times New Roman"/>
                  <w:sz w:val="20"/>
                  <w:szCs w:val="20"/>
                </w:rPr>
              </w:pPr>
              <w:r w:rsidRPr="00493202">
                <w:rPr>
                  <w:rFonts w:cs="Times New Roman"/>
                  <w:sz w:val="20"/>
                  <w:szCs w:val="20"/>
                </w:rPr>
                <w:t xml:space="preserve">AMERICAN PSYCHIATRIC ASSOCIATION. (2016). </w:t>
              </w:r>
              <w:r w:rsidRPr="00F87518">
                <w:rPr>
                  <w:rFonts w:cs="Times New Roman"/>
                  <w:i/>
                  <w:sz w:val="20"/>
                  <w:szCs w:val="20"/>
                </w:rPr>
                <w:t>Mini DSM-5 : critères diagnostiques</w:t>
              </w:r>
              <w:r w:rsidRPr="00493202">
                <w:rPr>
                  <w:rFonts w:cs="Times New Roman"/>
                  <w:sz w:val="20"/>
                  <w:szCs w:val="20"/>
                </w:rPr>
                <w:t xml:space="preserve">. Traduction française par Patrice Boyer </w:t>
              </w:r>
              <w:r w:rsidR="00C8738A">
                <w:rPr>
                  <w:rFonts w:cs="Times New Roman"/>
                  <w:sz w:val="20"/>
                  <w:szCs w:val="20"/>
                </w:rPr>
                <w:t>&amp;</w:t>
              </w:r>
              <w:r w:rsidRPr="00493202">
                <w:rPr>
                  <w:rFonts w:cs="Times New Roman"/>
                  <w:sz w:val="20"/>
                  <w:szCs w:val="20"/>
                </w:rPr>
                <w:t xml:space="preserve"> al. Paris : Elsevier-Masson SAS</w:t>
              </w:r>
            </w:p>
            <w:p w:rsidR="00AC2196" w:rsidRPr="00493202" w:rsidRDefault="00AC2196" w:rsidP="00956EBF">
              <w:pPr>
                <w:rPr>
                  <w:rFonts w:cs="Times New Roman"/>
                  <w:sz w:val="20"/>
                  <w:szCs w:val="20"/>
                </w:rPr>
              </w:pPr>
              <w:r>
                <w:rPr>
                  <w:rFonts w:cs="Times New Roman"/>
                  <w:sz w:val="20"/>
                  <w:szCs w:val="20"/>
                </w:rPr>
                <w:t>ARCAND, Marce</w:t>
              </w:r>
              <w:r w:rsidR="00731A3C">
                <w:rPr>
                  <w:rFonts w:cs="Times New Roman"/>
                  <w:sz w:val="20"/>
                  <w:szCs w:val="20"/>
                </w:rPr>
                <w:t>l</w:t>
              </w:r>
              <w:r>
                <w:rPr>
                  <w:rFonts w:cs="Times New Roman"/>
                  <w:sz w:val="20"/>
                  <w:szCs w:val="20"/>
                </w:rPr>
                <w:t xml:space="preserve"> &amp; Réjean Hébert. (2007). </w:t>
              </w:r>
              <w:r w:rsidRPr="00EE77CA">
                <w:rPr>
                  <w:rFonts w:cs="Times New Roman"/>
                  <w:i/>
                  <w:sz w:val="20"/>
                  <w:szCs w:val="20"/>
                </w:rPr>
                <w:t>Précis pratique de gériatrie</w:t>
              </w:r>
              <w:r>
                <w:rPr>
                  <w:rFonts w:cs="Times New Roman"/>
                  <w:sz w:val="20"/>
                  <w:szCs w:val="20"/>
                </w:rPr>
                <w:t>. 3</w:t>
              </w:r>
              <w:r w:rsidRPr="00AC2196">
                <w:rPr>
                  <w:rFonts w:cs="Times New Roman"/>
                  <w:sz w:val="20"/>
                  <w:szCs w:val="20"/>
                  <w:vertAlign w:val="superscript"/>
                </w:rPr>
                <w:t>e</w:t>
              </w:r>
              <w:r>
                <w:rPr>
                  <w:rFonts w:cs="Times New Roman"/>
                  <w:sz w:val="20"/>
                  <w:szCs w:val="20"/>
                </w:rPr>
                <w:t xml:space="preserve"> édition. Saint-Hyacinthe : EDISEM. </w:t>
              </w:r>
            </w:p>
            <w:p w:rsidR="00956EBF" w:rsidRDefault="00956EBF" w:rsidP="00956EBF">
              <w:pPr>
                <w:rPr>
                  <w:rFonts w:cs="Times New Roman"/>
                  <w:sz w:val="20"/>
                  <w:szCs w:val="20"/>
                </w:rPr>
              </w:pPr>
              <w:r>
                <w:rPr>
                  <w:rFonts w:cs="Times New Roman"/>
                  <w:sz w:val="20"/>
                  <w:szCs w:val="20"/>
                </w:rPr>
                <w:t xml:space="preserve">BÉDARD, Martin &amp; Renée Leclerc. (2014). </w:t>
              </w:r>
              <w:r w:rsidRPr="00F87518">
                <w:rPr>
                  <w:rFonts w:cs="Times New Roman"/>
                  <w:i/>
                  <w:sz w:val="20"/>
                  <w:szCs w:val="20"/>
                </w:rPr>
                <w:t>Notes de cours : Système locomoteur</w:t>
              </w:r>
              <w:r>
                <w:rPr>
                  <w:rFonts w:cs="Times New Roman"/>
                  <w:sz w:val="20"/>
                  <w:szCs w:val="20"/>
                </w:rPr>
                <w:t xml:space="preserve">. Québec : Université Laval </w:t>
              </w:r>
            </w:p>
            <w:p w:rsidR="001E3173" w:rsidRDefault="001E3173" w:rsidP="00956EBF">
              <w:pPr>
                <w:rPr>
                  <w:rFonts w:cs="Times New Roman"/>
                  <w:sz w:val="20"/>
                  <w:szCs w:val="20"/>
                </w:rPr>
              </w:pPr>
              <w:r>
                <w:rPr>
                  <w:rFonts w:cs="Times New Roman"/>
                  <w:sz w:val="20"/>
                  <w:szCs w:val="20"/>
                </w:rPr>
                <w:t>BLACK, Daniel Ovid. (2014). Notes de cours : Ophtalmologie. Québ</w:t>
              </w:r>
              <w:r w:rsidR="00C61F27">
                <w:rPr>
                  <w:rFonts w:cs="Times New Roman"/>
                  <w:sz w:val="20"/>
                  <w:szCs w:val="20"/>
                </w:rPr>
                <w:t>e</w:t>
              </w:r>
              <w:r>
                <w:rPr>
                  <w:rFonts w:cs="Times New Roman"/>
                  <w:sz w:val="20"/>
                  <w:szCs w:val="20"/>
                </w:rPr>
                <w:t>c : Université Laval</w:t>
              </w:r>
            </w:p>
            <w:p w:rsidR="004563CF" w:rsidRDefault="004563CF" w:rsidP="00956EBF">
              <w:pPr>
                <w:rPr>
                  <w:rFonts w:cs="Times New Roman"/>
                  <w:sz w:val="20"/>
                  <w:szCs w:val="20"/>
                </w:rPr>
              </w:pPr>
              <w:r>
                <w:rPr>
                  <w:rFonts w:cs="Times New Roman"/>
                  <w:sz w:val="20"/>
                  <w:szCs w:val="20"/>
                </w:rPr>
                <w:t xml:space="preserve">BRUNET, Gilles &amp; al. (2017). </w:t>
              </w:r>
              <w:r w:rsidRPr="004563CF">
                <w:rPr>
                  <w:rFonts w:cs="Times New Roman"/>
                  <w:i/>
                  <w:sz w:val="20"/>
                  <w:szCs w:val="20"/>
                </w:rPr>
                <w:t>ABCdaire : suivi de l’enfant de moins d’une semaine</w:t>
              </w:r>
              <w:r>
                <w:rPr>
                  <w:rFonts w:cs="Times New Roman"/>
                  <w:sz w:val="20"/>
                  <w:szCs w:val="20"/>
                </w:rPr>
                <w:t>. Montréal : CHU Ste-Justine.</w:t>
              </w:r>
            </w:p>
            <w:p w:rsidR="0060632B" w:rsidRPr="00962746" w:rsidRDefault="0060632B" w:rsidP="00956EBF">
              <w:pPr>
                <w:rPr>
                  <w:rFonts w:cs="Times New Roman"/>
                  <w:sz w:val="20"/>
                  <w:szCs w:val="20"/>
                </w:rPr>
              </w:pPr>
              <w:r>
                <w:rPr>
                  <w:rFonts w:cs="Times New Roman"/>
                  <w:sz w:val="20"/>
                  <w:szCs w:val="20"/>
                </w:rPr>
                <w:t xml:space="preserve">CITOYENNETÉ ET IMMIGRATION CANADA. (2017).  </w:t>
              </w:r>
              <w:r w:rsidRPr="0060632B">
                <w:rPr>
                  <w:rFonts w:cs="Times New Roman"/>
                  <w:i/>
                  <w:sz w:val="20"/>
                  <w:szCs w:val="20"/>
                </w:rPr>
                <w:t>Programme fédéral de santé intérimaire – Résumé de la couverture offerte</w:t>
              </w:r>
              <w:r>
                <w:rPr>
                  <w:rFonts w:cs="Times New Roman"/>
                  <w:sz w:val="20"/>
                  <w:szCs w:val="20"/>
                </w:rPr>
                <w:t xml:space="preserve">. </w:t>
              </w:r>
              <w:r w:rsidRPr="00962746">
                <w:rPr>
                  <w:rFonts w:cs="Times New Roman"/>
                  <w:sz w:val="20"/>
                  <w:szCs w:val="20"/>
                </w:rPr>
                <w:t xml:space="preserve">Site Web : </w:t>
              </w:r>
              <w:hyperlink r:id="rId410" w:history="1">
                <w:r w:rsidR="00FD6DCB" w:rsidRPr="00962746">
                  <w:rPr>
                    <w:rStyle w:val="Lienhypertexte"/>
                    <w:rFonts w:cs="Times New Roman"/>
                    <w:sz w:val="20"/>
                    <w:szCs w:val="20"/>
                  </w:rPr>
                  <w:t>http://www.cic.gc.ca</w:t>
                </w:r>
              </w:hyperlink>
              <w:r w:rsidR="00FD6DCB" w:rsidRPr="00962746">
                <w:rPr>
                  <w:rFonts w:cs="Times New Roman"/>
                  <w:sz w:val="20"/>
                  <w:szCs w:val="20"/>
                </w:rPr>
                <w:t xml:space="preserve"> </w:t>
              </w:r>
            </w:p>
            <w:p w:rsidR="00956EBF" w:rsidRPr="00493202" w:rsidRDefault="00956EBF" w:rsidP="00956EBF">
              <w:pPr>
                <w:rPr>
                  <w:rFonts w:cs="Times New Roman"/>
                  <w:sz w:val="20"/>
                  <w:szCs w:val="20"/>
                </w:rPr>
              </w:pPr>
              <w:r w:rsidRPr="00962746">
                <w:rPr>
                  <w:rFonts w:cs="Times New Roman"/>
                  <w:sz w:val="20"/>
                  <w:szCs w:val="20"/>
                </w:rPr>
                <w:t xml:space="preserve">CLOUTIER, Stéphanie &amp; Robert Delage. </w:t>
              </w:r>
              <w:r w:rsidRPr="00493202">
                <w:rPr>
                  <w:rFonts w:cs="Times New Roman"/>
                  <w:sz w:val="20"/>
                  <w:szCs w:val="20"/>
                </w:rPr>
                <w:t>(2015)</w:t>
              </w:r>
              <w:r w:rsidR="00F87518">
                <w:rPr>
                  <w:rFonts w:cs="Times New Roman"/>
                  <w:sz w:val="20"/>
                  <w:szCs w:val="20"/>
                </w:rPr>
                <w:t>.</w:t>
              </w:r>
              <w:r w:rsidRPr="00493202">
                <w:rPr>
                  <w:rFonts w:cs="Times New Roman"/>
                  <w:sz w:val="20"/>
                  <w:szCs w:val="20"/>
                </w:rPr>
                <w:t xml:space="preserve"> </w:t>
              </w:r>
              <w:r w:rsidRPr="00F87518">
                <w:rPr>
                  <w:rFonts w:cs="Times New Roman"/>
                  <w:i/>
                  <w:sz w:val="20"/>
                  <w:szCs w:val="20"/>
                </w:rPr>
                <w:t>Système hématopoïétique : cahier 2</w:t>
              </w:r>
              <w:r w:rsidRPr="00493202">
                <w:rPr>
                  <w:rFonts w:cs="Times New Roman"/>
                  <w:sz w:val="20"/>
                  <w:szCs w:val="20"/>
                </w:rPr>
                <w:t>. Québec. Centre d’hématologie du CHA</w:t>
              </w:r>
            </w:p>
            <w:p w:rsidR="00956EBF" w:rsidRPr="00740EEE" w:rsidRDefault="00956EBF" w:rsidP="00956EBF">
              <w:pPr>
                <w:rPr>
                  <w:rFonts w:cs="Times New Roman"/>
                  <w:sz w:val="20"/>
                  <w:szCs w:val="20"/>
                </w:rPr>
              </w:pPr>
              <w:r w:rsidRPr="00493202">
                <w:rPr>
                  <w:rFonts w:cs="Times New Roman"/>
                  <w:sz w:val="20"/>
                  <w:szCs w:val="20"/>
                </w:rPr>
                <w:t xml:space="preserve">COMEAU, Ève-Lyne </w:t>
              </w:r>
              <w:r w:rsidR="00DD6343">
                <w:rPr>
                  <w:rFonts w:cs="Times New Roman"/>
                  <w:sz w:val="20"/>
                  <w:szCs w:val="20"/>
                </w:rPr>
                <w:t>&amp;</w:t>
              </w:r>
              <w:r w:rsidRPr="00493202">
                <w:rPr>
                  <w:rFonts w:cs="Times New Roman"/>
                  <w:sz w:val="20"/>
                  <w:szCs w:val="20"/>
                </w:rPr>
                <w:t xml:space="preserve"> al.(2013). </w:t>
              </w:r>
              <w:r w:rsidRPr="00F87518">
                <w:rPr>
                  <w:rFonts w:cs="Times New Roman"/>
                  <w:i/>
                  <w:sz w:val="20"/>
                  <w:szCs w:val="20"/>
                </w:rPr>
                <w:t>Notes de cours : Système digestif MED-1207</w:t>
              </w:r>
              <w:r w:rsidRPr="00493202">
                <w:rPr>
                  <w:rFonts w:cs="Times New Roman"/>
                  <w:sz w:val="20"/>
                  <w:szCs w:val="20"/>
                </w:rPr>
                <w:t xml:space="preserve">. </w:t>
              </w:r>
              <w:r w:rsidRPr="00740EEE">
                <w:rPr>
                  <w:rFonts w:cs="Times New Roman"/>
                  <w:sz w:val="20"/>
                  <w:szCs w:val="20"/>
                </w:rPr>
                <w:t>Québec : Université Laval</w:t>
              </w:r>
            </w:p>
            <w:p w:rsidR="0000018C" w:rsidRDefault="0000018C" w:rsidP="00956EBF">
              <w:pPr>
                <w:rPr>
                  <w:rFonts w:cs="Times New Roman"/>
                  <w:sz w:val="20"/>
                  <w:szCs w:val="20"/>
                </w:rPr>
              </w:pPr>
              <w:r w:rsidRPr="00740EEE">
                <w:rPr>
                  <w:rFonts w:cs="Times New Roman"/>
                  <w:sz w:val="20"/>
                  <w:szCs w:val="20"/>
                </w:rPr>
                <w:t xml:space="preserve">DODIN, Sylvie. (2016). </w:t>
              </w:r>
              <w:r w:rsidRPr="0000018C">
                <w:rPr>
                  <w:rFonts w:cs="Times New Roman"/>
                  <w:i/>
                  <w:sz w:val="20"/>
                  <w:szCs w:val="20"/>
                </w:rPr>
                <w:t>Approche intégrée en santé: ménopause et ostéoporose</w:t>
              </w:r>
              <w:r>
                <w:rPr>
                  <w:rFonts w:cs="Times New Roman"/>
                  <w:sz w:val="20"/>
                  <w:szCs w:val="20"/>
                </w:rPr>
                <w:t xml:space="preserve">. </w:t>
              </w:r>
              <w:r w:rsidRPr="002C67D2">
                <w:rPr>
                  <w:rFonts w:cs="Times New Roman"/>
                  <w:sz w:val="20"/>
                  <w:szCs w:val="20"/>
                </w:rPr>
                <w:t>Québec : Université Laval</w:t>
              </w:r>
            </w:p>
            <w:p w:rsidR="003F4606" w:rsidRPr="00106FD8" w:rsidRDefault="003F4606" w:rsidP="00956EBF">
              <w:pPr>
                <w:rPr>
                  <w:rFonts w:cs="Times New Roman"/>
                  <w:sz w:val="20"/>
                  <w:szCs w:val="20"/>
                  <w:lang w:val="de-DE"/>
                </w:rPr>
              </w:pPr>
              <w:r>
                <w:rPr>
                  <w:rFonts w:cs="Times New Roman"/>
                  <w:sz w:val="20"/>
                  <w:szCs w:val="20"/>
                </w:rPr>
                <w:t xml:space="preserve">EDUCALOI. (2017). </w:t>
              </w:r>
              <w:r w:rsidRPr="003F4606">
                <w:rPr>
                  <w:rFonts w:cs="Times New Roman"/>
                  <w:i/>
                  <w:sz w:val="20"/>
                  <w:szCs w:val="20"/>
                </w:rPr>
                <w:t>EDUCALOI : La loi expliquée en un seul endroit</w:t>
              </w:r>
              <w:r>
                <w:rPr>
                  <w:rFonts w:cs="Times New Roman"/>
                  <w:sz w:val="20"/>
                  <w:szCs w:val="20"/>
                </w:rPr>
                <w:t xml:space="preserve">. </w:t>
              </w:r>
              <w:r w:rsidRPr="00106FD8">
                <w:rPr>
                  <w:rFonts w:cs="Times New Roman"/>
                  <w:sz w:val="20"/>
                  <w:szCs w:val="20"/>
                  <w:lang w:val="de-DE"/>
                </w:rPr>
                <w:t xml:space="preserve">Site Web : </w:t>
              </w:r>
              <w:hyperlink r:id="rId411" w:history="1">
                <w:r w:rsidRPr="00106FD8">
                  <w:rPr>
                    <w:rStyle w:val="Lienhypertexte"/>
                    <w:rFonts w:cs="Times New Roman"/>
                    <w:sz w:val="20"/>
                    <w:szCs w:val="20"/>
                    <w:lang w:val="de-DE"/>
                  </w:rPr>
                  <w:t>www.educaloi.qc.ca</w:t>
                </w:r>
              </w:hyperlink>
            </w:p>
            <w:p w:rsidR="007D21E6" w:rsidRDefault="007D21E6" w:rsidP="00956EBF">
              <w:pPr>
                <w:rPr>
                  <w:rFonts w:cs="Times New Roman"/>
                  <w:sz w:val="20"/>
                  <w:szCs w:val="20"/>
                </w:rPr>
              </w:pPr>
              <w:r w:rsidRPr="00106FD8">
                <w:rPr>
                  <w:rFonts w:cs="Times New Roman"/>
                  <w:sz w:val="20"/>
                  <w:szCs w:val="20"/>
                  <w:lang w:val="de-DE"/>
                </w:rPr>
                <w:t xml:space="preserve">BRADETTE, Marc &amp; Stéphanie Ferland. </w:t>
              </w:r>
              <w:r>
                <w:rPr>
                  <w:rFonts w:cs="Times New Roman"/>
                  <w:sz w:val="20"/>
                  <w:szCs w:val="20"/>
                </w:rPr>
                <w:t xml:space="preserve">(2012). </w:t>
              </w:r>
              <w:r w:rsidRPr="007D21E6">
                <w:rPr>
                  <w:rFonts w:cs="Times New Roman"/>
                  <w:i/>
                  <w:sz w:val="20"/>
                  <w:szCs w:val="20"/>
                </w:rPr>
                <w:t>La cirrhose et ses complications</w:t>
              </w:r>
              <w:r>
                <w:rPr>
                  <w:rFonts w:cs="Times New Roman"/>
                  <w:sz w:val="20"/>
                  <w:szCs w:val="20"/>
                </w:rPr>
                <w:t xml:space="preserve">. </w:t>
              </w:r>
              <w:r w:rsidRPr="002C67D2">
                <w:rPr>
                  <w:rFonts w:cs="Times New Roman"/>
                  <w:sz w:val="20"/>
                  <w:szCs w:val="20"/>
                </w:rPr>
                <w:t>Québec : Université Laval</w:t>
              </w:r>
              <w:r>
                <w:rPr>
                  <w:rFonts w:cs="Times New Roman"/>
                  <w:sz w:val="20"/>
                  <w:szCs w:val="20"/>
                </w:rPr>
                <w:t xml:space="preserve"> </w:t>
              </w:r>
            </w:p>
            <w:p w:rsidR="00AA4C2E" w:rsidRDefault="00AA4C2E" w:rsidP="00956EBF">
              <w:pPr>
                <w:rPr>
                  <w:rFonts w:cs="Times New Roman"/>
                  <w:sz w:val="20"/>
                  <w:szCs w:val="20"/>
                </w:rPr>
              </w:pPr>
              <w:r>
                <w:rPr>
                  <w:rFonts w:cs="Times New Roman"/>
                  <w:sz w:val="20"/>
                  <w:szCs w:val="20"/>
                </w:rPr>
                <w:t>FONDATION DES MALADIES DU CŒUR ET DE L’AVC. (2015). Guide 2015 des soins d’urgence cardiovasculaire à l’intention des dispensateurs de soins. Ottawa.</w:t>
              </w:r>
            </w:p>
            <w:p w:rsidR="00EC2080" w:rsidRDefault="00EC2080" w:rsidP="00956EBF">
              <w:pPr>
                <w:rPr>
                  <w:rFonts w:cs="Times New Roman"/>
                  <w:sz w:val="20"/>
                  <w:szCs w:val="20"/>
                </w:rPr>
              </w:pPr>
              <w:r>
                <w:rPr>
                  <w:rFonts w:cs="Times New Roman"/>
                  <w:sz w:val="20"/>
                  <w:szCs w:val="20"/>
                </w:rPr>
                <w:t>GOUVERNEMENT DU QUÉBEC</w:t>
              </w:r>
              <w:r w:rsidR="00465EC9">
                <w:rPr>
                  <w:rFonts w:cs="Times New Roman"/>
                  <w:sz w:val="20"/>
                  <w:szCs w:val="20"/>
                </w:rPr>
                <w:t>. (</w:t>
              </w:r>
              <w:r>
                <w:rPr>
                  <w:rFonts w:cs="Times New Roman"/>
                  <w:sz w:val="20"/>
                  <w:szCs w:val="20"/>
                </w:rPr>
                <w:t xml:space="preserve">1991). </w:t>
              </w:r>
              <w:r w:rsidRPr="00EC2080">
                <w:rPr>
                  <w:rFonts w:cs="Times New Roman"/>
                  <w:i/>
                  <w:sz w:val="20"/>
                  <w:szCs w:val="20"/>
                </w:rPr>
                <w:t>Loi sur la santé et les services sociaux</w:t>
              </w:r>
              <w:r>
                <w:rPr>
                  <w:rFonts w:cs="Times New Roman"/>
                  <w:sz w:val="20"/>
                  <w:szCs w:val="20"/>
                </w:rPr>
                <w:t>. Québec : LégisQuébec.</w:t>
              </w:r>
            </w:p>
            <w:p w:rsidR="00A64132" w:rsidRDefault="00A64132" w:rsidP="00956EBF">
              <w:pPr>
                <w:rPr>
                  <w:rFonts w:cs="Times New Roman"/>
                  <w:sz w:val="20"/>
                  <w:szCs w:val="20"/>
                </w:rPr>
              </w:pPr>
              <w:r>
                <w:rPr>
                  <w:rFonts w:cs="Times New Roman"/>
                  <w:sz w:val="20"/>
                  <w:szCs w:val="20"/>
                </w:rPr>
                <w:t xml:space="preserve">GROUPE DE PERFECTIONNEMENT DES HABILETÉS CLINIQUES. (2013). </w:t>
              </w:r>
              <w:r w:rsidRPr="00A64132">
                <w:rPr>
                  <w:rFonts w:cs="Times New Roman"/>
                  <w:i/>
                  <w:sz w:val="20"/>
                  <w:szCs w:val="20"/>
                </w:rPr>
                <w:t>Petit guide des habiletés cliniques</w:t>
              </w:r>
              <w:r>
                <w:rPr>
                  <w:rFonts w:cs="Times New Roman"/>
                  <w:sz w:val="20"/>
                  <w:szCs w:val="20"/>
                </w:rPr>
                <w:t>. Québec : Université Laval.</w:t>
              </w:r>
            </w:p>
            <w:p w:rsidR="00956EBF" w:rsidRPr="00106FD8" w:rsidRDefault="00956EBF" w:rsidP="00956EBF">
              <w:pPr>
                <w:rPr>
                  <w:rFonts w:cs="Times New Roman"/>
                  <w:sz w:val="20"/>
                  <w:szCs w:val="20"/>
                </w:rPr>
              </w:pPr>
              <w:r w:rsidRPr="00106FD8">
                <w:rPr>
                  <w:rFonts w:cs="Times New Roman"/>
                  <w:sz w:val="20"/>
                  <w:szCs w:val="20"/>
                </w:rPr>
                <w:t xml:space="preserve">HALL, Justin &amp; Azra Premji. (2015). </w:t>
              </w:r>
              <w:r w:rsidRPr="00106FD8">
                <w:rPr>
                  <w:rFonts w:cs="Times New Roman"/>
                  <w:i/>
                  <w:sz w:val="20"/>
                  <w:szCs w:val="20"/>
                </w:rPr>
                <w:t>Toronto Notes 2015</w:t>
              </w:r>
              <w:r w:rsidRPr="00106FD8">
                <w:rPr>
                  <w:rFonts w:cs="Times New Roman"/>
                  <w:sz w:val="20"/>
                  <w:szCs w:val="20"/>
                </w:rPr>
                <w:t xml:space="preserve">.  </w:t>
              </w:r>
              <w:r w:rsidR="00F87518" w:rsidRPr="00106FD8">
                <w:rPr>
                  <w:rFonts w:cs="Times New Roman"/>
                  <w:sz w:val="20"/>
                  <w:szCs w:val="20"/>
                </w:rPr>
                <w:t>Toronto:</w:t>
              </w:r>
              <w:r w:rsidRPr="00106FD8">
                <w:rPr>
                  <w:rFonts w:cs="Times New Roman"/>
                  <w:sz w:val="20"/>
                  <w:szCs w:val="20"/>
                </w:rPr>
                <w:t xml:space="preserve"> Toronto Notes for Medical Students Inc.</w:t>
              </w:r>
            </w:p>
            <w:p w:rsidR="00453FF3" w:rsidRPr="00453FF3" w:rsidRDefault="00453FF3" w:rsidP="00956EBF">
              <w:pPr>
                <w:rPr>
                  <w:rFonts w:cs="Times New Roman"/>
                  <w:sz w:val="20"/>
                  <w:szCs w:val="20"/>
                </w:rPr>
              </w:pPr>
              <w:r w:rsidRPr="002765FC">
                <w:rPr>
                  <w:rFonts w:cs="Times New Roman"/>
                  <w:sz w:val="20"/>
                  <w:szCs w:val="20"/>
                </w:rPr>
                <w:t>INSTITUT NATIONAL D</w:t>
              </w:r>
              <w:r w:rsidRPr="00453FF3">
                <w:rPr>
                  <w:rFonts w:cs="Times New Roman"/>
                  <w:sz w:val="20"/>
                  <w:szCs w:val="20"/>
                </w:rPr>
                <w:t>E SANTÉ PUBLIQUE DU QUÉBEC.</w:t>
              </w:r>
              <w:r>
                <w:rPr>
                  <w:rFonts w:cs="Times New Roman"/>
                  <w:sz w:val="20"/>
                  <w:szCs w:val="20"/>
                </w:rPr>
                <w:t xml:space="preserve"> (2017). </w:t>
              </w:r>
              <w:r w:rsidRPr="00453FF3">
                <w:rPr>
                  <w:rFonts w:cs="Times New Roman"/>
                  <w:i/>
                  <w:sz w:val="20"/>
                  <w:szCs w:val="20"/>
                </w:rPr>
                <w:t>La mortalité par suicide au Québec : 1981 à 2014 – Mise à jour 2017</w:t>
              </w:r>
              <w:r>
                <w:rPr>
                  <w:rFonts w:cs="Times New Roman"/>
                  <w:sz w:val="20"/>
                  <w:szCs w:val="20"/>
                </w:rPr>
                <w:t>. Québec : INSPQ</w:t>
              </w:r>
            </w:p>
            <w:p w:rsidR="002D7E8F" w:rsidRPr="00C6143D" w:rsidRDefault="002D7E8F" w:rsidP="00956EBF">
              <w:pPr>
                <w:rPr>
                  <w:rFonts w:cs="Times New Roman"/>
                  <w:sz w:val="20"/>
                  <w:szCs w:val="20"/>
                </w:rPr>
              </w:pPr>
              <w:r w:rsidRPr="002D7E8F">
                <w:rPr>
                  <w:rFonts w:cs="Times New Roman"/>
                  <w:sz w:val="20"/>
                  <w:szCs w:val="20"/>
                </w:rPr>
                <w:t xml:space="preserve">JACQUES, Paul &amp; al. (2011). </w:t>
              </w:r>
              <w:r w:rsidRPr="002D7E8F">
                <w:rPr>
                  <w:rFonts w:cs="Times New Roman"/>
                  <w:i/>
                  <w:sz w:val="20"/>
                  <w:szCs w:val="20"/>
                </w:rPr>
                <w:t>Pharmacologie: les benzodiazépines</w:t>
              </w:r>
              <w:r w:rsidRPr="002D7E8F">
                <w:rPr>
                  <w:rFonts w:cs="Times New Roman"/>
                  <w:sz w:val="20"/>
                  <w:szCs w:val="20"/>
                </w:rPr>
                <w:t>.</w:t>
              </w:r>
              <w:r>
                <w:rPr>
                  <w:rFonts w:cs="Times New Roman"/>
                  <w:sz w:val="20"/>
                  <w:szCs w:val="20"/>
                </w:rPr>
                <w:t xml:space="preserve"> Présentation Octobre 2014. </w:t>
              </w:r>
              <w:r w:rsidRPr="00C6143D">
                <w:rPr>
                  <w:rFonts w:cs="Times New Roman"/>
                  <w:sz w:val="20"/>
                  <w:szCs w:val="20"/>
                </w:rPr>
                <w:t>Québec : Université Laval</w:t>
              </w:r>
            </w:p>
            <w:p w:rsidR="00ED2832" w:rsidRPr="006B56E0" w:rsidRDefault="00ED2832" w:rsidP="00956EBF">
              <w:pPr>
                <w:rPr>
                  <w:rFonts w:cs="Times New Roman"/>
                  <w:sz w:val="20"/>
                  <w:szCs w:val="20"/>
                  <w:lang w:val="en-CA"/>
                </w:rPr>
              </w:pPr>
              <w:r w:rsidRPr="00C6143D">
                <w:rPr>
                  <w:rFonts w:cs="Times New Roman"/>
                  <w:sz w:val="20"/>
                  <w:szCs w:val="20"/>
                </w:rPr>
                <w:t xml:space="preserve">KAPLAN, &amp; SADOCK’S. (2007). </w:t>
              </w:r>
              <w:r w:rsidRPr="003E3326">
                <w:rPr>
                  <w:rFonts w:cs="Times New Roman"/>
                  <w:i/>
                  <w:sz w:val="20"/>
                  <w:szCs w:val="20"/>
                  <w:lang w:val="en-CA"/>
                </w:rPr>
                <w:t xml:space="preserve">Synopsis of </w:t>
              </w:r>
              <w:r w:rsidR="00EE77CA" w:rsidRPr="003E3326">
                <w:rPr>
                  <w:rFonts w:cs="Times New Roman"/>
                  <w:i/>
                  <w:sz w:val="20"/>
                  <w:szCs w:val="20"/>
                  <w:lang w:val="en-CA"/>
                </w:rPr>
                <w:t>P</w:t>
              </w:r>
              <w:r w:rsidRPr="003E3326">
                <w:rPr>
                  <w:rFonts w:cs="Times New Roman"/>
                  <w:i/>
                  <w:sz w:val="20"/>
                  <w:szCs w:val="20"/>
                  <w:lang w:val="en-CA"/>
                </w:rPr>
                <w:t>sychiatry</w:t>
              </w:r>
              <w:r w:rsidRPr="003E3326">
                <w:rPr>
                  <w:rFonts w:cs="Times New Roman"/>
                  <w:sz w:val="20"/>
                  <w:szCs w:val="20"/>
                  <w:lang w:val="en-CA"/>
                </w:rPr>
                <w:t xml:space="preserve">: Behavioral Sciences/Clinical Psychiatry. </w:t>
              </w:r>
              <w:r w:rsidRPr="006B56E0">
                <w:rPr>
                  <w:rFonts w:cs="Times New Roman"/>
                  <w:sz w:val="20"/>
                  <w:szCs w:val="20"/>
                  <w:lang w:val="en-CA"/>
                </w:rPr>
                <w:t>10</w:t>
              </w:r>
              <w:r w:rsidRPr="006B56E0">
                <w:rPr>
                  <w:rFonts w:cs="Times New Roman"/>
                  <w:sz w:val="20"/>
                  <w:szCs w:val="20"/>
                  <w:vertAlign w:val="superscript"/>
                  <w:lang w:val="en-CA"/>
                </w:rPr>
                <w:t>e</w:t>
              </w:r>
              <w:r w:rsidRPr="006B56E0">
                <w:rPr>
                  <w:rFonts w:cs="Times New Roman"/>
                  <w:sz w:val="20"/>
                  <w:szCs w:val="20"/>
                  <w:lang w:val="en-CA"/>
                </w:rPr>
                <w:t xml:space="preserve"> édition. </w:t>
              </w:r>
              <w:r w:rsidR="00E222EB" w:rsidRPr="006B56E0">
                <w:rPr>
                  <w:rFonts w:cs="Times New Roman"/>
                  <w:sz w:val="20"/>
                  <w:szCs w:val="20"/>
                  <w:lang w:val="en-CA"/>
                </w:rPr>
                <w:t>Philadelphie : Lippincott William</w:t>
              </w:r>
              <w:r w:rsidRPr="006B56E0">
                <w:rPr>
                  <w:rFonts w:cs="Times New Roman"/>
                  <w:sz w:val="20"/>
                  <w:szCs w:val="20"/>
                  <w:lang w:val="en-CA"/>
                </w:rPr>
                <w:t>s &amp; Wilkins</w:t>
              </w:r>
            </w:p>
            <w:p w:rsidR="00F02C81" w:rsidRPr="00A94A23" w:rsidRDefault="00F02C81" w:rsidP="00956EBF">
              <w:pPr>
                <w:rPr>
                  <w:rFonts w:cs="Times New Roman"/>
                  <w:sz w:val="20"/>
                  <w:szCs w:val="20"/>
                </w:rPr>
              </w:pPr>
              <w:r w:rsidRPr="007B4E79">
                <w:rPr>
                  <w:rFonts w:cs="Times New Roman"/>
                  <w:sz w:val="20"/>
                  <w:szCs w:val="20"/>
                </w:rPr>
                <w:t xml:space="preserve">LAFRAMBOISE, Rachel. (2014). </w:t>
              </w:r>
              <w:r w:rsidRPr="00F02C81">
                <w:rPr>
                  <w:rFonts w:cs="Times New Roman"/>
                  <w:i/>
                  <w:sz w:val="20"/>
                  <w:szCs w:val="20"/>
                </w:rPr>
                <w:t>Les problèmes pédiatriques : pathologies génétiques fréquentes en pratique clinique</w:t>
              </w:r>
              <w:r>
                <w:rPr>
                  <w:rFonts w:cs="Times New Roman"/>
                  <w:sz w:val="20"/>
                  <w:szCs w:val="20"/>
                </w:rPr>
                <w:t>. Présentation Mai 2014. Québec : Université Laval</w:t>
              </w:r>
            </w:p>
            <w:p w:rsidR="00DD6343" w:rsidRDefault="00DD6343" w:rsidP="00956EBF">
              <w:pPr>
                <w:rPr>
                  <w:rFonts w:cs="Times New Roman"/>
                  <w:sz w:val="20"/>
                  <w:szCs w:val="20"/>
                </w:rPr>
              </w:pPr>
              <w:r w:rsidRPr="00A94A23">
                <w:rPr>
                  <w:rFonts w:cs="Times New Roman"/>
                  <w:sz w:val="20"/>
                  <w:szCs w:val="20"/>
                </w:rPr>
                <w:t>MAHEUX, Brigitte &amp; al. (2011)</w:t>
              </w:r>
              <w:r w:rsidRPr="00A94A23">
                <w:rPr>
                  <w:rFonts w:cs="Times New Roman"/>
                  <w:i/>
                  <w:sz w:val="20"/>
                  <w:szCs w:val="20"/>
                </w:rPr>
                <w:t xml:space="preserve">. </w:t>
              </w:r>
              <w:r w:rsidRPr="00F87518">
                <w:rPr>
                  <w:rFonts w:cs="Times New Roman"/>
                  <w:i/>
                  <w:sz w:val="20"/>
                  <w:szCs w:val="20"/>
                </w:rPr>
                <w:t>De l’enfance à la vieillesse : Soigner pour prévenir.</w:t>
              </w:r>
              <w:r>
                <w:rPr>
                  <w:rFonts w:cs="Times New Roman"/>
                  <w:sz w:val="20"/>
                  <w:szCs w:val="20"/>
                </w:rPr>
                <w:t xml:space="preserve"> Montréal – Chaire d’enseignement Lucie et André Chagnon</w:t>
              </w:r>
            </w:p>
            <w:p w:rsidR="00FF358B" w:rsidRPr="00DD6343" w:rsidRDefault="00FF358B" w:rsidP="00956EBF">
              <w:pPr>
                <w:rPr>
                  <w:rFonts w:cs="Times New Roman"/>
                  <w:sz w:val="20"/>
                  <w:szCs w:val="20"/>
                </w:rPr>
              </w:pPr>
              <w:r w:rsidRPr="00956EBF">
                <w:rPr>
                  <w:rFonts w:cs="Times New Roman"/>
                  <w:sz w:val="20"/>
                  <w:szCs w:val="20"/>
                </w:rPr>
                <w:t>M</w:t>
              </w:r>
              <w:r w:rsidRPr="00493202">
                <w:rPr>
                  <w:rFonts w:cs="Times New Roman"/>
                  <w:sz w:val="20"/>
                  <w:szCs w:val="20"/>
                </w:rPr>
                <w:t xml:space="preserve">ORIN, Valérie. (2014). </w:t>
              </w:r>
              <w:r w:rsidRPr="00F87518">
                <w:rPr>
                  <w:rFonts w:cs="Times New Roman"/>
                  <w:i/>
                  <w:sz w:val="20"/>
                  <w:szCs w:val="20"/>
                </w:rPr>
                <w:t xml:space="preserve">Notes de cours : Système reproducteur MED-1223 - section </w:t>
              </w:r>
              <w:r>
                <w:rPr>
                  <w:rFonts w:cs="Times New Roman"/>
                  <w:i/>
                  <w:sz w:val="20"/>
                  <w:szCs w:val="20"/>
                </w:rPr>
                <w:t>obstétrique</w:t>
              </w:r>
              <w:r w:rsidRPr="00493202">
                <w:rPr>
                  <w:rFonts w:cs="Times New Roman"/>
                  <w:sz w:val="20"/>
                  <w:szCs w:val="20"/>
                </w:rPr>
                <w:t>. Québec : Université Laval </w:t>
              </w:r>
            </w:p>
            <w:p w:rsidR="00956EBF" w:rsidRDefault="00956EBF" w:rsidP="00956EBF">
              <w:pPr>
                <w:rPr>
                  <w:rFonts w:cs="Times New Roman"/>
                  <w:sz w:val="20"/>
                  <w:szCs w:val="20"/>
                </w:rPr>
              </w:pPr>
              <w:r w:rsidRPr="00956EBF">
                <w:rPr>
                  <w:rFonts w:cs="Times New Roman"/>
                  <w:sz w:val="20"/>
                  <w:szCs w:val="20"/>
                </w:rPr>
                <w:t>M</w:t>
              </w:r>
              <w:r w:rsidRPr="00493202">
                <w:rPr>
                  <w:rFonts w:cs="Times New Roman"/>
                  <w:sz w:val="20"/>
                  <w:szCs w:val="20"/>
                </w:rPr>
                <w:t xml:space="preserve">ORIN, Valérie. (2014). </w:t>
              </w:r>
              <w:r w:rsidRPr="00F87518">
                <w:rPr>
                  <w:rFonts w:cs="Times New Roman"/>
                  <w:i/>
                  <w:sz w:val="20"/>
                  <w:szCs w:val="20"/>
                </w:rPr>
                <w:t>Notes de cours : Système reproducteur MED-1223 - section gynécologie</w:t>
              </w:r>
              <w:r w:rsidRPr="00493202">
                <w:rPr>
                  <w:rFonts w:cs="Times New Roman"/>
                  <w:sz w:val="20"/>
                  <w:szCs w:val="20"/>
                </w:rPr>
                <w:t>. Québec : Université Laval </w:t>
              </w:r>
            </w:p>
            <w:p w:rsidR="00281BE0" w:rsidRDefault="00281BE0" w:rsidP="00956EBF">
              <w:pPr>
                <w:rPr>
                  <w:rFonts w:cs="Times New Roman"/>
                  <w:sz w:val="20"/>
                  <w:szCs w:val="20"/>
                </w:rPr>
              </w:pPr>
              <w:r>
                <w:rPr>
                  <w:rFonts w:cs="Times New Roman"/>
                  <w:sz w:val="20"/>
                  <w:szCs w:val="20"/>
                </w:rPr>
                <w:t>OUELLET, Maxime</w:t>
              </w:r>
              <w:r w:rsidR="009C38F2">
                <w:rPr>
                  <w:rFonts w:cs="Times New Roman"/>
                  <w:sz w:val="20"/>
                  <w:szCs w:val="20"/>
                </w:rPr>
                <w:t>.</w:t>
              </w:r>
              <w:r>
                <w:rPr>
                  <w:rFonts w:cs="Times New Roman"/>
                  <w:sz w:val="20"/>
                  <w:szCs w:val="20"/>
                </w:rPr>
                <w:t xml:space="preserve"> (Juillet 2016). </w:t>
              </w:r>
              <w:r w:rsidRPr="00902580">
                <w:rPr>
                  <w:rFonts w:cs="Times New Roman"/>
                  <w:i/>
                  <w:sz w:val="20"/>
                  <w:szCs w:val="20"/>
                </w:rPr>
                <w:t>L’endométriose</w:t>
              </w:r>
              <w:r w:rsidR="00941859">
                <w:rPr>
                  <w:rFonts w:cs="Times New Roman"/>
                  <w:i/>
                  <w:sz w:val="20"/>
                  <w:szCs w:val="20"/>
                </w:rPr>
                <w:t xml:space="preserve">. </w:t>
              </w:r>
              <w:r w:rsidR="00941859" w:rsidRPr="00941859">
                <w:rPr>
                  <w:rFonts w:cs="Times New Roman"/>
                  <w:sz w:val="20"/>
                  <w:szCs w:val="20"/>
                </w:rPr>
                <w:t>Présentation Juillet 2016.</w:t>
              </w:r>
              <w:r>
                <w:rPr>
                  <w:rFonts w:cs="Times New Roman"/>
                  <w:sz w:val="20"/>
                  <w:szCs w:val="20"/>
                </w:rPr>
                <w:t xml:space="preserve"> Québec : Centre ho</w:t>
              </w:r>
              <w:r w:rsidR="00EF3389">
                <w:rPr>
                  <w:rFonts w:cs="Times New Roman"/>
                  <w:sz w:val="20"/>
                  <w:szCs w:val="20"/>
                </w:rPr>
                <w:t>spitalier de l’Université Laval</w:t>
              </w:r>
            </w:p>
            <w:p w:rsidR="00EF3389" w:rsidRDefault="00EF3389" w:rsidP="00956EBF">
              <w:pPr>
                <w:rPr>
                  <w:rFonts w:cs="Times New Roman"/>
                  <w:sz w:val="20"/>
                  <w:szCs w:val="20"/>
                </w:rPr>
              </w:pPr>
              <w:r>
                <w:rPr>
                  <w:rFonts w:cs="Times New Roman"/>
                  <w:sz w:val="20"/>
                  <w:szCs w:val="20"/>
                </w:rPr>
                <w:t xml:space="preserve">PELLETIER, Sébastien. (2017).  </w:t>
              </w:r>
              <w:r w:rsidRPr="00EF3389">
                <w:rPr>
                  <w:rFonts w:cs="Times New Roman"/>
                  <w:i/>
                  <w:sz w:val="20"/>
                  <w:szCs w:val="20"/>
                </w:rPr>
                <w:t>Stage en médecine sociale et préventive : la prévention du suicide</w:t>
              </w:r>
              <w:r>
                <w:rPr>
                  <w:rFonts w:cs="Times New Roman"/>
                  <w:sz w:val="20"/>
                  <w:szCs w:val="20"/>
                </w:rPr>
                <w:t xml:space="preserve">. Présentation Janvier 2017. </w:t>
              </w:r>
              <w:r w:rsidRPr="00493202">
                <w:rPr>
                  <w:rFonts w:cs="Times New Roman"/>
                  <w:sz w:val="20"/>
                  <w:szCs w:val="20"/>
                </w:rPr>
                <w:t>Québec : Université Laval </w:t>
              </w:r>
            </w:p>
            <w:p w:rsidR="00F87518" w:rsidRDefault="00F87518" w:rsidP="00956EBF">
              <w:pPr>
                <w:rPr>
                  <w:rFonts w:cs="Times New Roman"/>
                  <w:sz w:val="20"/>
                  <w:szCs w:val="20"/>
                </w:rPr>
              </w:pPr>
              <w:r>
                <w:rPr>
                  <w:rFonts w:cs="Times New Roman"/>
                  <w:sz w:val="20"/>
                  <w:szCs w:val="20"/>
                </w:rPr>
                <w:t xml:space="preserve">RATTÉ, François &amp; Julie F. Thériault. (2012). </w:t>
              </w:r>
              <w:r w:rsidRPr="00F87518">
                <w:rPr>
                  <w:rFonts w:cs="Times New Roman"/>
                  <w:i/>
                  <w:sz w:val="20"/>
                  <w:szCs w:val="20"/>
                </w:rPr>
                <w:t>Démarche clinique : raisonnement clinique, examen physique, entrevue médicale</w:t>
              </w:r>
              <w:r>
                <w:rPr>
                  <w:rFonts w:cs="Times New Roman"/>
                  <w:sz w:val="20"/>
                  <w:szCs w:val="20"/>
                </w:rPr>
                <w:t>. Québec  Les Presses de l’Université Laval</w:t>
              </w:r>
            </w:p>
            <w:p w:rsidR="00DE5395" w:rsidRDefault="00DE5395" w:rsidP="00956EBF">
              <w:pPr>
                <w:rPr>
                  <w:rFonts w:cs="Times New Roman"/>
                  <w:sz w:val="20"/>
                  <w:szCs w:val="20"/>
                </w:rPr>
              </w:pPr>
              <w:r>
                <w:rPr>
                  <w:rFonts w:cs="Times New Roman"/>
                  <w:sz w:val="20"/>
                  <w:szCs w:val="20"/>
                </w:rPr>
                <w:t xml:space="preserve">ROCHETTE, Pascal </w:t>
              </w:r>
              <w:r w:rsidRPr="002D7E8F">
                <w:rPr>
                  <w:rFonts w:cs="Times New Roman"/>
                  <w:sz w:val="20"/>
                  <w:szCs w:val="20"/>
                </w:rPr>
                <w:t>&amp; al</w:t>
              </w:r>
              <w:r>
                <w:rPr>
                  <w:rFonts w:cs="Times New Roman"/>
                  <w:sz w:val="20"/>
                  <w:szCs w:val="20"/>
                </w:rPr>
                <w:t xml:space="preserve">. (2006). </w:t>
              </w:r>
              <w:r w:rsidRPr="00DE5395">
                <w:rPr>
                  <w:rFonts w:cs="Times New Roman"/>
                  <w:i/>
                  <w:sz w:val="20"/>
                  <w:szCs w:val="20"/>
                </w:rPr>
                <w:t>Lampe à fente et diagnostic différentiel de l’œil rouge : document d’accompagnement</w:t>
              </w:r>
              <w:r>
                <w:rPr>
                  <w:rFonts w:cs="Times New Roman"/>
                  <w:sz w:val="20"/>
                  <w:szCs w:val="20"/>
                </w:rPr>
                <w:t xml:space="preserve">. Québec : </w:t>
              </w:r>
              <w:r w:rsidR="007D21E6">
                <w:rPr>
                  <w:rFonts w:cs="Times New Roman"/>
                  <w:sz w:val="20"/>
                  <w:szCs w:val="20"/>
                </w:rPr>
                <w:t xml:space="preserve">Université </w:t>
              </w:r>
              <w:r>
                <w:rPr>
                  <w:rFonts w:cs="Times New Roman"/>
                  <w:sz w:val="20"/>
                  <w:szCs w:val="20"/>
                </w:rPr>
                <w:t>Laval.</w:t>
              </w:r>
            </w:p>
            <w:p w:rsidR="00DE3FA4" w:rsidRPr="00493202" w:rsidRDefault="00DE3FA4" w:rsidP="00956EBF">
              <w:pPr>
                <w:rPr>
                  <w:rFonts w:cs="Times New Roman"/>
                  <w:sz w:val="20"/>
                  <w:szCs w:val="20"/>
                </w:rPr>
              </w:pPr>
              <w:r>
                <w:rPr>
                  <w:rFonts w:cs="Times New Roman"/>
                  <w:sz w:val="20"/>
                  <w:szCs w:val="20"/>
                </w:rPr>
                <w:t xml:space="preserve">SAUVAGEAU, Chantal &amp; Aurélie Maurice. (2017). </w:t>
              </w:r>
              <w:r w:rsidRPr="00DE3FA4">
                <w:rPr>
                  <w:rFonts w:cs="Times New Roman"/>
                  <w:i/>
                  <w:sz w:val="20"/>
                  <w:szCs w:val="20"/>
                </w:rPr>
                <w:t>Épidémiologie 101</w:t>
              </w:r>
              <w:r>
                <w:rPr>
                  <w:rFonts w:cs="Times New Roman"/>
                  <w:sz w:val="20"/>
                  <w:szCs w:val="20"/>
                </w:rPr>
                <w:t>. Présentation Janvier 2017. Québec : Université Laval</w:t>
              </w:r>
            </w:p>
            <w:p w:rsidR="00956EBF" w:rsidRPr="00493202" w:rsidRDefault="00956EBF" w:rsidP="00956EBF">
              <w:pPr>
                <w:rPr>
                  <w:rFonts w:cs="Times New Roman"/>
                  <w:sz w:val="20"/>
                  <w:szCs w:val="20"/>
                </w:rPr>
              </w:pPr>
              <w:r w:rsidRPr="00493202">
                <w:rPr>
                  <w:rFonts w:cs="Times New Roman"/>
                  <w:sz w:val="20"/>
                  <w:szCs w:val="20"/>
                </w:rPr>
                <w:t xml:space="preserve">SIMON, Mathieu. (2012). </w:t>
              </w:r>
              <w:r w:rsidRPr="00F87518">
                <w:rPr>
                  <w:rFonts w:cs="Times New Roman"/>
                  <w:i/>
                  <w:sz w:val="20"/>
                  <w:szCs w:val="20"/>
                </w:rPr>
                <w:t>Notes de cours : Système respiratoire MED-1202.</w:t>
              </w:r>
              <w:r w:rsidRPr="00493202">
                <w:rPr>
                  <w:rFonts w:cs="Times New Roman"/>
                  <w:sz w:val="20"/>
                  <w:szCs w:val="20"/>
                </w:rPr>
                <w:t xml:space="preserve"> Québec : Université Laval</w:t>
              </w:r>
            </w:p>
            <w:p w:rsidR="00956EBF" w:rsidRDefault="00956EBF" w:rsidP="00956EBF">
              <w:pPr>
                <w:rPr>
                  <w:rFonts w:cs="Times New Roman"/>
                  <w:sz w:val="20"/>
                  <w:szCs w:val="20"/>
                </w:rPr>
              </w:pPr>
              <w:r w:rsidRPr="00493202">
                <w:rPr>
                  <w:rFonts w:cs="Times New Roman"/>
                  <w:sz w:val="20"/>
                  <w:szCs w:val="20"/>
                </w:rPr>
                <w:t xml:space="preserve">TURGEON, Jean </w:t>
              </w:r>
              <w:r w:rsidR="00DD6343">
                <w:rPr>
                  <w:rFonts w:cs="Times New Roman"/>
                  <w:sz w:val="20"/>
                  <w:szCs w:val="20"/>
                </w:rPr>
                <w:t>&amp;</w:t>
              </w:r>
              <w:r w:rsidRPr="00493202">
                <w:rPr>
                  <w:rFonts w:cs="Times New Roman"/>
                  <w:sz w:val="20"/>
                  <w:szCs w:val="20"/>
                </w:rPr>
                <w:t xml:space="preserve"> al. (2015). </w:t>
              </w:r>
              <w:r w:rsidRPr="00F87518">
                <w:rPr>
                  <w:rFonts w:cs="Times New Roman"/>
                  <w:i/>
                  <w:sz w:val="20"/>
                  <w:szCs w:val="20"/>
                </w:rPr>
                <w:t>Dictionnaire de pédiatrie Weber</w:t>
              </w:r>
              <w:r w:rsidRPr="00493202">
                <w:rPr>
                  <w:rFonts w:cs="Times New Roman"/>
                  <w:sz w:val="20"/>
                  <w:szCs w:val="20"/>
                </w:rPr>
                <w:t>. 3</w:t>
              </w:r>
              <w:r w:rsidRPr="00493202">
                <w:rPr>
                  <w:rFonts w:cs="Times New Roman"/>
                  <w:sz w:val="20"/>
                  <w:szCs w:val="20"/>
                  <w:vertAlign w:val="superscript"/>
                </w:rPr>
                <w:t>e</w:t>
              </w:r>
              <w:r w:rsidRPr="00493202">
                <w:rPr>
                  <w:rFonts w:cs="Times New Roman"/>
                  <w:sz w:val="20"/>
                  <w:szCs w:val="20"/>
                </w:rPr>
                <w:t xml:space="preserve"> édition. Montréal : TC Média Livres Inc.</w:t>
              </w:r>
            </w:p>
            <w:p w:rsidR="008D52AA" w:rsidRPr="008D52AA" w:rsidRDefault="008D52AA" w:rsidP="00956EBF">
              <w:pPr>
                <w:rPr>
                  <w:rFonts w:cs="Times New Roman"/>
                  <w:sz w:val="20"/>
                  <w:szCs w:val="20"/>
                  <w:lang w:val="en-CA"/>
                </w:rPr>
              </w:pPr>
              <w:r w:rsidRPr="008D52AA">
                <w:rPr>
                  <w:rFonts w:cs="Times New Roman"/>
                  <w:sz w:val="20"/>
                  <w:szCs w:val="20"/>
                  <w:lang w:val="en-CA"/>
                </w:rPr>
                <w:t>UPTODATE</w:t>
              </w:r>
              <w:r w:rsidRPr="008D52AA">
                <w:rPr>
                  <w:rFonts w:cs="Times New Roman"/>
                  <w:color w:val="000000" w:themeColor="text1"/>
                  <w:sz w:val="20"/>
                  <w:szCs w:val="20"/>
                  <w:lang w:val="en-CA"/>
                </w:rPr>
                <w:t>. (2017). UpToDate, Waltham, MA.</w:t>
              </w:r>
            </w:p>
            <w:p w:rsidR="00E63664" w:rsidRPr="00040EB5" w:rsidRDefault="00AE5F7A" w:rsidP="001A1752"/>
          </w:sdtContent>
        </w:sdt>
      </w:sdtContent>
    </w:sdt>
    <w:sectPr w:rsidR="00E63664" w:rsidRPr="00040EB5" w:rsidSect="00217865">
      <w:type w:val="continuous"/>
      <w:pgSz w:w="12240" w:h="15840"/>
      <w:pgMar w:top="720" w:right="720" w:bottom="720" w:left="72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E5F7A" w:rsidRDefault="00AE5F7A" w:rsidP="00745374">
      <w:pPr>
        <w:spacing w:after="0" w:line="240" w:lineRule="auto"/>
      </w:pPr>
      <w:r>
        <w:separator/>
      </w:r>
    </w:p>
  </w:endnote>
  <w:endnote w:type="continuationSeparator" w:id="0">
    <w:p w:rsidR="00AE5F7A" w:rsidRDefault="00AE5F7A" w:rsidP="0074537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Bookman Old Style">
    <w:panose1 w:val="02050604050505020204"/>
    <w:charset w:val="00"/>
    <w:family w:val="roman"/>
    <w:pitch w:val="variable"/>
    <w:sig w:usb0="00000287" w:usb1="00000000" w:usb2="00000000" w:usb3="00000000" w:csb0="0000009F" w:csb1="00000000"/>
  </w:font>
  <w:font w:name="Georgia">
    <w:panose1 w:val="02040502050405020303"/>
    <w:charset w:val="00"/>
    <w:family w:val="roman"/>
    <w:pitch w:val="variable"/>
    <w:sig w:usb0="00000287" w:usb1="00000000" w:usb2="00000000" w:usb3="00000000" w:csb0="0000009F" w:csb1="00000000"/>
  </w:font>
  <w:font w:name="Cambria Math">
    <w:panose1 w:val="02040503050406030204"/>
    <w:charset w:val="00"/>
    <w:family w:val="roman"/>
    <w:pitch w:val="variable"/>
    <w:sig w:usb0="E00002FF" w:usb1="420024FF" w:usb2="00000000" w:usb3="00000000" w:csb0="0000019F" w:csb1="00000000"/>
  </w:font>
  <w:font w:name="Arial">
    <w:panose1 w:val="020B0604020202020204"/>
    <w:charset w:val="00"/>
    <w:family w:val="swiss"/>
    <w:pitch w:val="variable"/>
    <w:sig w:usb0="E0002EFF" w:usb1="C0007843"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E5F7A" w:rsidRDefault="00AE5F7A" w:rsidP="00745374">
      <w:pPr>
        <w:spacing w:after="0" w:line="240" w:lineRule="auto"/>
      </w:pPr>
      <w:r>
        <w:separator/>
      </w:r>
    </w:p>
  </w:footnote>
  <w:footnote w:type="continuationSeparator" w:id="0">
    <w:p w:rsidR="00AE5F7A" w:rsidRDefault="00AE5F7A" w:rsidP="0074537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84475152"/>
      <w:docPartObj>
        <w:docPartGallery w:val="Page Numbers (Top of Page)"/>
        <w:docPartUnique/>
      </w:docPartObj>
    </w:sdtPr>
    <w:sdtEndPr/>
    <w:sdtContent>
      <w:p w:rsidR="008276DC" w:rsidRDefault="008276DC">
        <w:pPr>
          <w:pStyle w:val="En-tte"/>
          <w:jc w:val="right"/>
        </w:pPr>
        <w:r>
          <w:fldChar w:fldCharType="begin"/>
        </w:r>
        <w:r>
          <w:instrText>PAGE   \* MERGEFORMAT</w:instrText>
        </w:r>
        <w:r>
          <w:fldChar w:fldCharType="separate"/>
        </w:r>
        <w:r w:rsidR="005928E3" w:rsidRPr="005928E3">
          <w:rPr>
            <w:noProof/>
            <w:lang w:val="fr-FR"/>
          </w:rPr>
          <w:t>101</w:t>
        </w:r>
        <w:r>
          <w:fldChar w:fldCharType="end"/>
        </w:r>
      </w:p>
    </w:sdtContent>
  </w:sdt>
  <w:p w:rsidR="008276DC" w:rsidRDefault="008276DC">
    <w:pPr>
      <w:pStyle w:val="En-tt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172BA2"/>
    <w:multiLevelType w:val="hybridMultilevel"/>
    <w:tmpl w:val="28581526"/>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
    <w:nsid w:val="002831BF"/>
    <w:multiLevelType w:val="hybridMultilevel"/>
    <w:tmpl w:val="3DC881FE"/>
    <w:lvl w:ilvl="0" w:tplc="0C0C000B">
      <w:start w:val="1"/>
      <w:numFmt w:val="bullet"/>
      <w:lvlText w:val=""/>
      <w:lvlJc w:val="left"/>
      <w:pPr>
        <w:ind w:left="360" w:hanging="360"/>
      </w:pPr>
      <w:rPr>
        <w:rFonts w:ascii="Wingdings" w:hAnsi="Wingdings" w:hint="default"/>
        <w:i/>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
    <w:nsid w:val="002B1992"/>
    <w:multiLevelType w:val="hybridMultilevel"/>
    <w:tmpl w:val="429CC262"/>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3">
    <w:nsid w:val="00422395"/>
    <w:multiLevelType w:val="hybridMultilevel"/>
    <w:tmpl w:val="6414E694"/>
    <w:lvl w:ilvl="0" w:tplc="8C74E87E">
      <w:start w:val="4"/>
      <w:numFmt w:val="bullet"/>
      <w:lvlText w:val="-"/>
      <w:lvlJc w:val="left"/>
      <w:pPr>
        <w:ind w:left="360" w:hanging="360"/>
      </w:pPr>
      <w:rPr>
        <w:rFonts w:ascii="Times New Roman" w:eastAsiaTheme="minorHAnsi" w:hAnsi="Times New Roman" w:cs="Times New Roman" w:hint="default"/>
        <w:i/>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4">
    <w:nsid w:val="004B5B72"/>
    <w:multiLevelType w:val="hybridMultilevel"/>
    <w:tmpl w:val="D8FE0612"/>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5">
    <w:nsid w:val="006253EB"/>
    <w:multiLevelType w:val="hybridMultilevel"/>
    <w:tmpl w:val="4DC27BA2"/>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6">
    <w:nsid w:val="006833D7"/>
    <w:multiLevelType w:val="hybridMultilevel"/>
    <w:tmpl w:val="F63E5A62"/>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7">
    <w:nsid w:val="007B14E5"/>
    <w:multiLevelType w:val="hybridMultilevel"/>
    <w:tmpl w:val="95D22EDA"/>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8">
    <w:nsid w:val="008B0972"/>
    <w:multiLevelType w:val="hybridMultilevel"/>
    <w:tmpl w:val="1E227694"/>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9">
    <w:nsid w:val="009F1300"/>
    <w:multiLevelType w:val="hybridMultilevel"/>
    <w:tmpl w:val="4B0A2654"/>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0">
    <w:nsid w:val="00A860E2"/>
    <w:multiLevelType w:val="hybridMultilevel"/>
    <w:tmpl w:val="36860E8E"/>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1">
    <w:nsid w:val="00B66E15"/>
    <w:multiLevelType w:val="hybridMultilevel"/>
    <w:tmpl w:val="EC6803BA"/>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2">
    <w:nsid w:val="00B708E6"/>
    <w:multiLevelType w:val="hybridMultilevel"/>
    <w:tmpl w:val="3FB0930C"/>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3">
    <w:nsid w:val="00F158AA"/>
    <w:multiLevelType w:val="hybridMultilevel"/>
    <w:tmpl w:val="598CBF80"/>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4">
    <w:nsid w:val="00F2640C"/>
    <w:multiLevelType w:val="hybridMultilevel"/>
    <w:tmpl w:val="DDA8FB1C"/>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5">
    <w:nsid w:val="00F90F36"/>
    <w:multiLevelType w:val="hybridMultilevel"/>
    <w:tmpl w:val="65BA0D66"/>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6">
    <w:nsid w:val="00FF5D54"/>
    <w:multiLevelType w:val="hybridMultilevel"/>
    <w:tmpl w:val="4FAE3708"/>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7">
    <w:nsid w:val="012235A4"/>
    <w:multiLevelType w:val="hybridMultilevel"/>
    <w:tmpl w:val="2C96CFE0"/>
    <w:lvl w:ilvl="0" w:tplc="0C0C0001">
      <w:start w:val="1"/>
      <w:numFmt w:val="bullet"/>
      <w:lvlText w:val=""/>
      <w:lvlJc w:val="left"/>
      <w:pPr>
        <w:ind w:left="720" w:hanging="360"/>
      </w:pPr>
      <w:rPr>
        <w:rFonts w:ascii="Symbol" w:hAnsi="Symbol" w:hint="default"/>
      </w:rPr>
    </w:lvl>
    <w:lvl w:ilvl="1" w:tplc="0C0C0003">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8">
    <w:nsid w:val="014274AC"/>
    <w:multiLevelType w:val="hybridMultilevel"/>
    <w:tmpl w:val="7B20F6BC"/>
    <w:lvl w:ilvl="0" w:tplc="8C74E87E">
      <w:start w:val="4"/>
      <w:numFmt w:val="bullet"/>
      <w:lvlText w:val="-"/>
      <w:lvlJc w:val="left"/>
      <w:pPr>
        <w:ind w:left="360" w:hanging="360"/>
      </w:pPr>
      <w:rPr>
        <w:rFonts w:ascii="Times New Roman" w:eastAsiaTheme="minorHAnsi" w:hAnsi="Times New Roman" w:cs="Times New Roman" w:hint="default"/>
        <w:i/>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9">
    <w:nsid w:val="014A24A2"/>
    <w:multiLevelType w:val="multilevel"/>
    <w:tmpl w:val="2AB258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014B3C0E"/>
    <w:multiLevelType w:val="hybridMultilevel"/>
    <w:tmpl w:val="51D0EFC6"/>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1">
    <w:nsid w:val="015B2A7E"/>
    <w:multiLevelType w:val="hybridMultilevel"/>
    <w:tmpl w:val="BC7698EE"/>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2">
    <w:nsid w:val="01623FE3"/>
    <w:multiLevelType w:val="hybridMultilevel"/>
    <w:tmpl w:val="4E767EF0"/>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3">
    <w:nsid w:val="01682661"/>
    <w:multiLevelType w:val="hybridMultilevel"/>
    <w:tmpl w:val="16ECD12E"/>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4">
    <w:nsid w:val="017047C8"/>
    <w:multiLevelType w:val="hybridMultilevel"/>
    <w:tmpl w:val="1C0C691A"/>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5">
    <w:nsid w:val="01787564"/>
    <w:multiLevelType w:val="hybridMultilevel"/>
    <w:tmpl w:val="9B1C268C"/>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6">
    <w:nsid w:val="018A32D5"/>
    <w:multiLevelType w:val="hybridMultilevel"/>
    <w:tmpl w:val="AAB45F1A"/>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7">
    <w:nsid w:val="01E443C6"/>
    <w:multiLevelType w:val="hybridMultilevel"/>
    <w:tmpl w:val="B036BB9E"/>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8">
    <w:nsid w:val="01E673B9"/>
    <w:multiLevelType w:val="hybridMultilevel"/>
    <w:tmpl w:val="BD56191A"/>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9">
    <w:nsid w:val="01EC7599"/>
    <w:multiLevelType w:val="hybridMultilevel"/>
    <w:tmpl w:val="9CDC3AD0"/>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30">
    <w:nsid w:val="0206460B"/>
    <w:multiLevelType w:val="hybridMultilevel"/>
    <w:tmpl w:val="C75CAF62"/>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31">
    <w:nsid w:val="02192D93"/>
    <w:multiLevelType w:val="hybridMultilevel"/>
    <w:tmpl w:val="5EB6D1CA"/>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32">
    <w:nsid w:val="021F1186"/>
    <w:multiLevelType w:val="hybridMultilevel"/>
    <w:tmpl w:val="F8740338"/>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33">
    <w:nsid w:val="02203971"/>
    <w:multiLevelType w:val="hybridMultilevel"/>
    <w:tmpl w:val="A6D4AA0E"/>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34">
    <w:nsid w:val="024968BD"/>
    <w:multiLevelType w:val="hybridMultilevel"/>
    <w:tmpl w:val="B67A1C0C"/>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35">
    <w:nsid w:val="024D6875"/>
    <w:multiLevelType w:val="hybridMultilevel"/>
    <w:tmpl w:val="525864C4"/>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36">
    <w:nsid w:val="025F2D58"/>
    <w:multiLevelType w:val="hybridMultilevel"/>
    <w:tmpl w:val="7EA61476"/>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37">
    <w:nsid w:val="027747A6"/>
    <w:multiLevelType w:val="hybridMultilevel"/>
    <w:tmpl w:val="C266759C"/>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38">
    <w:nsid w:val="02774A0F"/>
    <w:multiLevelType w:val="hybridMultilevel"/>
    <w:tmpl w:val="B7F4BC76"/>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39">
    <w:nsid w:val="02801D34"/>
    <w:multiLevelType w:val="hybridMultilevel"/>
    <w:tmpl w:val="2152ABA6"/>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40">
    <w:nsid w:val="02812F5B"/>
    <w:multiLevelType w:val="hybridMultilevel"/>
    <w:tmpl w:val="0570FB76"/>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41">
    <w:nsid w:val="029837F2"/>
    <w:multiLevelType w:val="hybridMultilevel"/>
    <w:tmpl w:val="1110CFE4"/>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42">
    <w:nsid w:val="02A10AC7"/>
    <w:multiLevelType w:val="hybridMultilevel"/>
    <w:tmpl w:val="3566F8F2"/>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43">
    <w:nsid w:val="02AD43A8"/>
    <w:multiLevelType w:val="hybridMultilevel"/>
    <w:tmpl w:val="A2DE8694"/>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44">
    <w:nsid w:val="02CC09A6"/>
    <w:multiLevelType w:val="hybridMultilevel"/>
    <w:tmpl w:val="9EF0E426"/>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45">
    <w:nsid w:val="030803FF"/>
    <w:multiLevelType w:val="hybridMultilevel"/>
    <w:tmpl w:val="E2DEE806"/>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46">
    <w:nsid w:val="031447E4"/>
    <w:multiLevelType w:val="hybridMultilevel"/>
    <w:tmpl w:val="7848EFAC"/>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47">
    <w:nsid w:val="032C6B0E"/>
    <w:multiLevelType w:val="hybridMultilevel"/>
    <w:tmpl w:val="E04E98EC"/>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48">
    <w:nsid w:val="0340620A"/>
    <w:multiLevelType w:val="hybridMultilevel"/>
    <w:tmpl w:val="C32E4496"/>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49">
    <w:nsid w:val="034108E5"/>
    <w:multiLevelType w:val="hybridMultilevel"/>
    <w:tmpl w:val="12B89BE6"/>
    <w:lvl w:ilvl="0" w:tplc="0C0C0001">
      <w:start w:val="1"/>
      <w:numFmt w:val="bullet"/>
      <w:lvlText w:val=""/>
      <w:lvlJc w:val="left"/>
      <w:pPr>
        <w:ind w:left="720" w:hanging="360"/>
      </w:pPr>
      <w:rPr>
        <w:rFonts w:ascii="Symbol" w:hAnsi="Symbol" w:hint="default"/>
      </w:rPr>
    </w:lvl>
    <w:lvl w:ilvl="1" w:tplc="0C0C0003">
      <w:start w:val="1"/>
      <w:numFmt w:val="bullet"/>
      <w:lvlText w:val="o"/>
      <w:lvlJc w:val="left"/>
      <w:pPr>
        <w:ind w:left="1440" w:hanging="360"/>
      </w:pPr>
      <w:rPr>
        <w:rFonts w:ascii="Courier New" w:hAnsi="Courier New" w:cs="Courier New" w:hint="default"/>
      </w:rPr>
    </w:lvl>
    <w:lvl w:ilvl="2" w:tplc="0C0C0005">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50">
    <w:nsid w:val="035A55B5"/>
    <w:multiLevelType w:val="hybridMultilevel"/>
    <w:tmpl w:val="965E0602"/>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51">
    <w:nsid w:val="036C0690"/>
    <w:multiLevelType w:val="hybridMultilevel"/>
    <w:tmpl w:val="95709526"/>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52">
    <w:nsid w:val="03701D75"/>
    <w:multiLevelType w:val="hybridMultilevel"/>
    <w:tmpl w:val="B34E4888"/>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53">
    <w:nsid w:val="03810F03"/>
    <w:multiLevelType w:val="hybridMultilevel"/>
    <w:tmpl w:val="1416073A"/>
    <w:lvl w:ilvl="0" w:tplc="0C0C0003">
      <w:start w:val="1"/>
      <w:numFmt w:val="bullet"/>
      <w:lvlText w:val="o"/>
      <w:lvlJc w:val="left"/>
      <w:pPr>
        <w:ind w:left="720" w:hanging="360"/>
      </w:pPr>
      <w:rPr>
        <w:rFonts w:ascii="Courier New" w:hAnsi="Courier New" w:cs="Courier New"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54">
    <w:nsid w:val="0386640F"/>
    <w:multiLevelType w:val="multilevel"/>
    <w:tmpl w:val="BE204D2A"/>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nsid w:val="03881E78"/>
    <w:multiLevelType w:val="hybridMultilevel"/>
    <w:tmpl w:val="51C46564"/>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56">
    <w:nsid w:val="0393431E"/>
    <w:multiLevelType w:val="hybridMultilevel"/>
    <w:tmpl w:val="30244D90"/>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57">
    <w:nsid w:val="03981331"/>
    <w:multiLevelType w:val="hybridMultilevel"/>
    <w:tmpl w:val="CB340372"/>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58">
    <w:nsid w:val="03A80652"/>
    <w:multiLevelType w:val="hybridMultilevel"/>
    <w:tmpl w:val="472A681A"/>
    <w:lvl w:ilvl="0" w:tplc="0C0C0001">
      <w:start w:val="1"/>
      <w:numFmt w:val="bullet"/>
      <w:lvlText w:val=""/>
      <w:lvlJc w:val="left"/>
      <w:pPr>
        <w:ind w:left="720" w:hanging="360"/>
      </w:pPr>
      <w:rPr>
        <w:rFonts w:ascii="Symbol" w:hAnsi="Symbol" w:hint="default"/>
      </w:rPr>
    </w:lvl>
    <w:lvl w:ilvl="1" w:tplc="0C0C0003">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59">
    <w:nsid w:val="03C959BA"/>
    <w:multiLevelType w:val="hybridMultilevel"/>
    <w:tmpl w:val="EA5C4DA8"/>
    <w:lvl w:ilvl="0" w:tplc="0C0C000B">
      <w:start w:val="1"/>
      <w:numFmt w:val="bullet"/>
      <w:lvlText w:val=""/>
      <w:lvlJc w:val="left"/>
      <w:pPr>
        <w:ind w:left="720" w:hanging="360"/>
      </w:pPr>
      <w:rPr>
        <w:rFonts w:ascii="Wingdings" w:hAnsi="Wingdings" w:hint="default"/>
      </w:rPr>
    </w:lvl>
    <w:lvl w:ilvl="1" w:tplc="0C0C0003">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60">
    <w:nsid w:val="03F33290"/>
    <w:multiLevelType w:val="hybridMultilevel"/>
    <w:tmpl w:val="BFA480A2"/>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61">
    <w:nsid w:val="03FB5150"/>
    <w:multiLevelType w:val="hybridMultilevel"/>
    <w:tmpl w:val="51302DAE"/>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62">
    <w:nsid w:val="040B413A"/>
    <w:multiLevelType w:val="hybridMultilevel"/>
    <w:tmpl w:val="FD404592"/>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63">
    <w:nsid w:val="040C7C66"/>
    <w:multiLevelType w:val="hybridMultilevel"/>
    <w:tmpl w:val="492A341C"/>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64">
    <w:nsid w:val="04270839"/>
    <w:multiLevelType w:val="hybridMultilevel"/>
    <w:tmpl w:val="32CE7ABC"/>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65">
    <w:nsid w:val="043356BB"/>
    <w:multiLevelType w:val="hybridMultilevel"/>
    <w:tmpl w:val="2C181024"/>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66">
    <w:nsid w:val="044B7362"/>
    <w:multiLevelType w:val="multilevel"/>
    <w:tmpl w:val="A6EE8264"/>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7">
    <w:nsid w:val="045602B0"/>
    <w:multiLevelType w:val="multilevel"/>
    <w:tmpl w:val="A946738E"/>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8">
    <w:nsid w:val="047117FF"/>
    <w:multiLevelType w:val="hybridMultilevel"/>
    <w:tmpl w:val="A9ACB9AE"/>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69">
    <w:nsid w:val="047352AE"/>
    <w:multiLevelType w:val="hybridMultilevel"/>
    <w:tmpl w:val="8BE8A6E4"/>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70">
    <w:nsid w:val="049320C8"/>
    <w:multiLevelType w:val="multilevel"/>
    <w:tmpl w:val="C5EEF45A"/>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1">
    <w:nsid w:val="04AE2E14"/>
    <w:multiLevelType w:val="hybridMultilevel"/>
    <w:tmpl w:val="F98AD4DA"/>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72">
    <w:nsid w:val="04E151A6"/>
    <w:multiLevelType w:val="hybridMultilevel"/>
    <w:tmpl w:val="0BF65696"/>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73">
    <w:nsid w:val="04E33444"/>
    <w:multiLevelType w:val="hybridMultilevel"/>
    <w:tmpl w:val="91BEBB18"/>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74">
    <w:nsid w:val="05023CC7"/>
    <w:multiLevelType w:val="hybridMultilevel"/>
    <w:tmpl w:val="C7EC40BE"/>
    <w:lvl w:ilvl="0" w:tplc="0C0C000B">
      <w:start w:val="1"/>
      <w:numFmt w:val="bullet"/>
      <w:lvlText w:val=""/>
      <w:lvlJc w:val="left"/>
      <w:pPr>
        <w:ind w:left="720" w:hanging="360"/>
      </w:pPr>
      <w:rPr>
        <w:rFonts w:ascii="Wingdings" w:hAnsi="Wingdings" w:hint="default"/>
      </w:rPr>
    </w:lvl>
    <w:lvl w:ilvl="1" w:tplc="0C0C0003">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75">
    <w:nsid w:val="051075CD"/>
    <w:multiLevelType w:val="hybridMultilevel"/>
    <w:tmpl w:val="34AAE590"/>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76">
    <w:nsid w:val="051B195F"/>
    <w:multiLevelType w:val="hybridMultilevel"/>
    <w:tmpl w:val="28C20AB4"/>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77">
    <w:nsid w:val="05216C9C"/>
    <w:multiLevelType w:val="hybridMultilevel"/>
    <w:tmpl w:val="EA3CBD26"/>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78">
    <w:nsid w:val="05303DAC"/>
    <w:multiLevelType w:val="hybridMultilevel"/>
    <w:tmpl w:val="7F2E9426"/>
    <w:lvl w:ilvl="0" w:tplc="0C0C000B">
      <w:start w:val="1"/>
      <w:numFmt w:val="bullet"/>
      <w:lvlText w:val=""/>
      <w:lvlJc w:val="left"/>
      <w:pPr>
        <w:ind w:left="708" w:hanging="360"/>
      </w:pPr>
      <w:rPr>
        <w:rFonts w:ascii="Wingdings" w:hAnsi="Wingdings" w:hint="default"/>
      </w:rPr>
    </w:lvl>
    <w:lvl w:ilvl="1" w:tplc="0C0C0003" w:tentative="1">
      <w:start w:val="1"/>
      <w:numFmt w:val="bullet"/>
      <w:lvlText w:val="o"/>
      <w:lvlJc w:val="left"/>
      <w:pPr>
        <w:ind w:left="1428" w:hanging="360"/>
      </w:pPr>
      <w:rPr>
        <w:rFonts w:ascii="Courier New" w:hAnsi="Courier New" w:cs="Courier New" w:hint="default"/>
      </w:rPr>
    </w:lvl>
    <w:lvl w:ilvl="2" w:tplc="0C0C0005" w:tentative="1">
      <w:start w:val="1"/>
      <w:numFmt w:val="bullet"/>
      <w:lvlText w:val=""/>
      <w:lvlJc w:val="left"/>
      <w:pPr>
        <w:ind w:left="2148" w:hanging="360"/>
      </w:pPr>
      <w:rPr>
        <w:rFonts w:ascii="Wingdings" w:hAnsi="Wingdings" w:hint="default"/>
      </w:rPr>
    </w:lvl>
    <w:lvl w:ilvl="3" w:tplc="0C0C0001" w:tentative="1">
      <w:start w:val="1"/>
      <w:numFmt w:val="bullet"/>
      <w:lvlText w:val=""/>
      <w:lvlJc w:val="left"/>
      <w:pPr>
        <w:ind w:left="2868" w:hanging="360"/>
      </w:pPr>
      <w:rPr>
        <w:rFonts w:ascii="Symbol" w:hAnsi="Symbol" w:hint="default"/>
      </w:rPr>
    </w:lvl>
    <w:lvl w:ilvl="4" w:tplc="0C0C0003" w:tentative="1">
      <w:start w:val="1"/>
      <w:numFmt w:val="bullet"/>
      <w:lvlText w:val="o"/>
      <w:lvlJc w:val="left"/>
      <w:pPr>
        <w:ind w:left="3588" w:hanging="360"/>
      </w:pPr>
      <w:rPr>
        <w:rFonts w:ascii="Courier New" w:hAnsi="Courier New" w:cs="Courier New" w:hint="default"/>
      </w:rPr>
    </w:lvl>
    <w:lvl w:ilvl="5" w:tplc="0C0C0005" w:tentative="1">
      <w:start w:val="1"/>
      <w:numFmt w:val="bullet"/>
      <w:lvlText w:val=""/>
      <w:lvlJc w:val="left"/>
      <w:pPr>
        <w:ind w:left="4308" w:hanging="360"/>
      </w:pPr>
      <w:rPr>
        <w:rFonts w:ascii="Wingdings" w:hAnsi="Wingdings" w:hint="default"/>
      </w:rPr>
    </w:lvl>
    <w:lvl w:ilvl="6" w:tplc="0C0C0001" w:tentative="1">
      <w:start w:val="1"/>
      <w:numFmt w:val="bullet"/>
      <w:lvlText w:val=""/>
      <w:lvlJc w:val="left"/>
      <w:pPr>
        <w:ind w:left="5028" w:hanging="360"/>
      </w:pPr>
      <w:rPr>
        <w:rFonts w:ascii="Symbol" w:hAnsi="Symbol" w:hint="default"/>
      </w:rPr>
    </w:lvl>
    <w:lvl w:ilvl="7" w:tplc="0C0C0003" w:tentative="1">
      <w:start w:val="1"/>
      <w:numFmt w:val="bullet"/>
      <w:lvlText w:val="o"/>
      <w:lvlJc w:val="left"/>
      <w:pPr>
        <w:ind w:left="5748" w:hanging="360"/>
      </w:pPr>
      <w:rPr>
        <w:rFonts w:ascii="Courier New" w:hAnsi="Courier New" w:cs="Courier New" w:hint="default"/>
      </w:rPr>
    </w:lvl>
    <w:lvl w:ilvl="8" w:tplc="0C0C0005" w:tentative="1">
      <w:start w:val="1"/>
      <w:numFmt w:val="bullet"/>
      <w:lvlText w:val=""/>
      <w:lvlJc w:val="left"/>
      <w:pPr>
        <w:ind w:left="6468" w:hanging="360"/>
      </w:pPr>
      <w:rPr>
        <w:rFonts w:ascii="Wingdings" w:hAnsi="Wingdings" w:hint="default"/>
      </w:rPr>
    </w:lvl>
  </w:abstractNum>
  <w:abstractNum w:abstractNumId="79">
    <w:nsid w:val="05535EEA"/>
    <w:multiLevelType w:val="hybridMultilevel"/>
    <w:tmpl w:val="FB2C6B74"/>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80">
    <w:nsid w:val="0553641F"/>
    <w:multiLevelType w:val="hybridMultilevel"/>
    <w:tmpl w:val="8F205B7C"/>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81">
    <w:nsid w:val="0559657F"/>
    <w:multiLevelType w:val="multilevel"/>
    <w:tmpl w:val="2EA4CC0C"/>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2">
    <w:nsid w:val="05677FD8"/>
    <w:multiLevelType w:val="hybridMultilevel"/>
    <w:tmpl w:val="B4F47FA8"/>
    <w:lvl w:ilvl="0" w:tplc="0C0C000B">
      <w:start w:val="1"/>
      <w:numFmt w:val="bullet"/>
      <w:lvlText w:val=""/>
      <w:lvlJc w:val="left"/>
      <w:pPr>
        <w:ind w:left="720" w:hanging="360"/>
      </w:pPr>
      <w:rPr>
        <w:rFonts w:ascii="Wingdings" w:hAnsi="Wingdings" w:hint="default"/>
      </w:rPr>
    </w:lvl>
    <w:lvl w:ilvl="1" w:tplc="0C0C0003">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83">
    <w:nsid w:val="057E6D95"/>
    <w:multiLevelType w:val="hybridMultilevel"/>
    <w:tmpl w:val="9E6E874A"/>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84">
    <w:nsid w:val="05801E8A"/>
    <w:multiLevelType w:val="multilevel"/>
    <w:tmpl w:val="7EDEAB6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nsid w:val="059F5FCE"/>
    <w:multiLevelType w:val="hybridMultilevel"/>
    <w:tmpl w:val="5ECABE58"/>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86">
    <w:nsid w:val="05BA57E4"/>
    <w:multiLevelType w:val="hybridMultilevel"/>
    <w:tmpl w:val="2FF2DC3E"/>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87">
    <w:nsid w:val="05BE7D1D"/>
    <w:multiLevelType w:val="hybridMultilevel"/>
    <w:tmpl w:val="0E2CFB22"/>
    <w:lvl w:ilvl="0" w:tplc="0C0C000B">
      <w:start w:val="1"/>
      <w:numFmt w:val="bullet"/>
      <w:lvlText w:val=""/>
      <w:lvlJc w:val="left"/>
      <w:pPr>
        <w:ind w:left="720" w:hanging="360"/>
      </w:pPr>
      <w:rPr>
        <w:rFonts w:ascii="Wingdings" w:hAnsi="Wingdings" w:hint="default"/>
      </w:rPr>
    </w:lvl>
    <w:lvl w:ilvl="1" w:tplc="0C0C0003">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88">
    <w:nsid w:val="05C349A7"/>
    <w:multiLevelType w:val="hybridMultilevel"/>
    <w:tmpl w:val="B100C89E"/>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89">
    <w:nsid w:val="05CA516E"/>
    <w:multiLevelType w:val="hybridMultilevel"/>
    <w:tmpl w:val="55A2A042"/>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90">
    <w:nsid w:val="05D03559"/>
    <w:multiLevelType w:val="hybridMultilevel"/>
    <w:tmpl w:val="B0961DB4"/>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91">
    <w:nsid w:val="05DD17BA"/>
    <w:multiLevelType w:val="hybridMultilevel"/>
    <w:tmpl w:val="D34A4A4A"/>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92">
    <w:nsid w:val="05E24C83"/>
    <w:multiLevelType w:val="hybridMultilevel"/>
    <w:tmpl w:val="EFF8B5B8"/>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93">
    <w:nsid w:val="05E30AC6"/>
    <w:multiLevelType w:val="hybridMultilevel"/>
    <w:tmpl w:val="E6585E9C"/>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94">
    <w:nsid w:val="05E84E62"/>
    <w:multiLevelType w:val="hybridMultilevel"/>
    <w:tmpl w:val="B2D2ACF2"/>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95">
    <w:nsid w:val="06046F8F"/>
    <w:multiLevelType w:val="hybridMultilevel"/>
    <w:tmpl w:val="0AD8779C"/>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96">
    <w:nsid w:val="065C2485"/>
    <w:multiLevelType w:val="hybridMultilevel"/>
    <w:tmpl w:val="7FD467C6"/>
    <w:lvl w:ilvl="0" w:tplc="0C0C0003">
      <w:start w:val="1"/>
      <w:numFmt w:val="bullet"/>
      <w:lvlText w:val="o"/>
      <w:lvlJc w:val="left"/>
      <w:pPr>
        <w:ind w:left="1080" w:hanging="360"/>
      </w:pPr>
      <w:rPr>
        <w:rFonts w:ascii="Courier New" w:hAnsi="Courier New" w:cs="Courier New" w:hint="default"/>
      </w:rPr>
    </w:lvl>
    <w:lvl w:ilvl="1" w:tplc="0C0C0003" w:tentative="1">
      <w:start w:val="1"/>
      <w:numFmt w:val="bullet"/>
      <w:lvlText w:val="o"/>
      <w:lvlJc w:val="left"/>
      <w:pPr>
        <w:ind w:left="1800" w:hanging="360"/>
      </w:pPr>
      <w:rPr>
        <w:rFonts w:ascii="Courier New" w:hAnsi="Courier New" w:cs="Courier New" w:hint="default"/>
      </w:rPr>
    </w:lvl>
    <w:lvl w:ilvl="2" w:tplc="0C0C0005" w:tentative="1">
      <w:start w:val="1"/>
      <w:numFmt w:val="bullet"/>
      <w:lvlText w:val=""/>
      <w:lvlJc w:val="left"/>
      <w:pPr>
        <w:ind w:left="2520" w:hanging="360"/>
      </w:pPr>
      <w:rPr>
        <w:rFonts w:ascii="Wingdings" w:hAnsi="Wingdings" w:hint="default"/>
      </w:rPr>
    </w:lvl>
    <w:lvl w:ilvl="3" w:tplc="0C0C0001" w:tentative="1">
      <w:start w:val="1"/>
      <w:numFmt w:val="bullet"/>
      <w:lvlText w:val=""/>
      <w:lvlJc w:val="left"/>
      <w:pPr>
        <w:ind w:left="3240" w:hanging="360"/>
      </w:pPr>
      <w:rPr>
        <w:rFonts w:ascii="Symbol" w:hAnsi="Symbol" w:hint="default"/>
      </w:rPr>
    </w:lvl>
    <w:lvl w:ilvl="4" w:tplc="0C0C0003" w:tentative="1">
      <w:start w:val="1"/>
      <w:numFmt w:val="bullet"/>
      <w:lvlText w:val="o"/>
      <w:lvlJc w:val="left"/>
      <w:pPr>
        <w:ind w:left="3960" w:hanging="360"/>
      </w:pPr>
      <w:rPr>
        <w:rFonts w:ascii="Courier New" w:hAnsi="Courier New" w:cs="Courier New" w:hint="default"/>
      </w:rPr>
    </w:lvl>
    <w:lvl w:ilvl="5" w:tplc="0C0C0005" w:tentative="1">
      <w:start w:val="1"/>
      <w:numFmt w:val="bullet"/>
      <w:lvlText w:val=""/>
      <w:lvlJc w:val="left"/>
      <w:pPr>
        <w:ind w:left="4680" w:hanging="360"/>
      </w:pPr>
      <w:rPr>
        <w:rFonts w:ascii="Wingdings" w:hAnsi="Wingdings" w:hint="default"/>
      </w:rPr>
    </w:lvl>
    <w:lvl w:ilvl="6" w:tplc="0C0C0001" w:tentative="1">
      <w:start w:val="1"/>
      <w:numFmt w:val="bullet"/>
      <w:lvlText w:val=""/>
      <w:lvlJc w:val="left"/>
      <w:pPr>
        <w:ind w:left="5400" w:hanging="360"/>
      </w:pPr>
      <w:rPr>
        <w:rFonts w:ascii="Symbol" w:hAnsi="Symbol" w:hint="default"/>
      </w:rPr>
    </w:lvl>
    <w:lvl w:ilvl="7" w:tplc="0C0C0003" w:tentative="1">
      <w:start w:val="1"/>
      <w:numFmt w:val="bullet"/>
      <w:lvlText w:val="o"/>
      <w:lvlJc w:val="left"/>
      <w:pPr>
        <w:ind w:left="6120" w:hanging="360"/>
      </w:pPr>
      <w:rPr>
        <w:rFonts w:ascii="Courier New" w:hAnsi="Courier New" w:cs="Courier New" w:hint="default"/>
      </w:rPr>
    </w:lvl>
    <w:lvl w:ilvl="8" w:tplc="0C0C0005" w:tentative="1">
      <w:start w:val="1"/>
      <w:numFmt w:val="bullet"/>
      <w:lvlText w:val=""/>
      <w:lvlJc w:val="left"/>
      <w:pPr>
        <w:ind w:left="6840" w:hanging="360"/>
      </w:pPr>
      <w:rPr>
        <w:rFonts w:ascii="Wingdings" w:hAnsi="Wingdings" w:hint="default"/>
      </w:rPr>
    </w:lvl>
  </w:abstractNum>
  <w:abstractNum w:abstractNumId="97">
    <w:nsid w:val="06B627A1"/>
    <w:multiLevelType w:val="hybridMultilevel"/>
    <w:tmpl w:val="1D5EDEC2"/>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98">
    <w:nsid w:val="06D0047D"/>
    <w:multiLevelType w:val="hybridMultilevel"/>
    <w:tmpl w:val="D7440256"/>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99">
    <w:nsid w:val="06EC3B8E"/>
    <w:multiLevelType w:val="hybridMultilevel"/>
    <w:tmpl w:val="D4DCAF16"/>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00">
    <w:nsid w:val="070F0373"/>
    <w:multiLevelType w:val="hybridMultilevel"/>
    <w:tmpl w:val="1842055C"/>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01">
    <w:nsid w:val="07493C4E"/>
    <w:multiLevelType w:val="hybridMultilevel"/>
    <w:tmpl w:val="78CA7028"/>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02">
    <w:nsid w:val="07533480"/>
    <w:multiLevelType w:val="hybridMultilevel"/>
    <w:tmpl w:val="85C8ED88"/>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03">
    <w:nsid w:val="07783B6D"/>
    <w:multiLevelType w:val="hybridMultilevel"/>
    <w:tmpl w:val="15A6DBF0"/>
    <w:lvl w:ilvl="0" w:tplc="0C0C0001">
      <w:start w:val="1"/>
      <w:numFmt w:val="bullet"/>
      <w:lvlText w:val=""/>
      <w:lvlJc w:val="left"/>
      <w:pPr>
        <w:ind w:left="1080" w:hanging="360"/>
      </w:pPr>
      <w:rPr>
        <w:rFonts w:ascii="Symbol" w:hAnsi="Symbol" w:hint="default"/>
      </w:rPr>
    </w:lvl>
    <w:lvl w:ilvl="1" w:tplc="0C0C0003" w:tentative="1">
      <w:start w:val="1"/>
      <w:numFmt w:val="bullet"/>
      <w:lvlText w:val="o"/>
      <w:lvlJc w:val="left"/>
      <w:pPr>
        <w:ind w:left="1800" w:hanging="360"/>
      </w:pPr>
      <w:rPr>
        <w:rFonts w:ascii="Courier New" w:hAnsi="Courier New" w:cs="Courier New" w:hint="default"/>
      </w:rPr>
    </w:lvl>
    <w:lvl w:ilvl="2" w:tplc="0C0C0005" w:tentative="1">
      <w:start w:val="1"/>
      <w:numFmt w:val="bullet"/>
      <w:lvlText w:val=""/>
      <w:lvlJc w:val="left"/>
      <w:pPr>
        <w:ind w:left="2520" w:hanging="360"/>
      </w:pPr>
      <w:rPr>
        <w:rFonts w:ascii="Wingdings" w:hAnsi="Wingdings" w:hint="default"/>
      </w:rPr>
    </w:lvl>
    <w:lvl w:ilvl="3" w:tplc="0C0C0001" w:tentative="1">
      <w:start w:val="1"/>
      <w:numFmt w:val="bullet"/>
      <w:lvlText w:val=""/>
      <w:lvlJc w:val="left"/>
      <w:pPr>
        <w:ind w:left="3240" w:hanging="360"/>
      </w:pPr>
      <w:rPr>
        <w:rFonts w:ascii="Symbol" w:hAnsi="Symbol" w:hint="default"/>
      </w:rPr>
    </w:lvl>
    <w:lvl w:ilvl="4" w:tplc="0C0C0003" w:tentative="1">
      <w:start w:val="1"/>
      <w:numFmt w:val="bullet"/>
      <w:lvlText w:val="o"/>
      <w:lvlJc w:val="left"/>
      <w:pPr>
        <w:ind w:left="3960" w:hanging="360"/>
      </w:pPr>
      <w:rPr>
        <w:rFonts w:ascii="Courier New" w:hAnsi="Courier New" w:cs="Courier New" w:hint="default"/>
      </w:rPr>
    </w:lvl>
    <w:lvl w:ilvl="5" w:tplc="0C0C0005" w:tentative="1">
      <w:start w:val="1"/>
      <w:numFmt w:val="bullet"/>
      <w:lvlText w:val=""/>
      <w:lvlJc w:val="left"/>
      <w:pPr>
        <w:ind w:left="4680" w:hanging="360"/>
      </w:pPr>
      <w:rPr>
        <w:rFonts w:ascii="Wingdings" w:hAnsi="Wingdings" w:hint="default"/>
      </w:rPr>
    </w:lvl>
    <w:lvl w:ilvl="6" w:tplc="0C0C0001" w:tentative="1">
      <w:start w:val="1"/>
      <w:numFmt w:val="bullet"/>
      <w:lvlText w:val=""/>
      <w:lvlJc w:val="left"/>
      <w:pPr>
        <w:ind w:left="5400" w:hanging="360"/>
      </w:pPr>
      <w:rPr>
        <w:rFonts w:ascii="Symbol" w:hAnsi="Symbol" w:hint="default"/>
      </w:rPr>
    </w:lvl>
    <w:lvl w:ilvl="7" w:tplc="0C0C0003" w:tentative="1">
      <w:start w:val="1"/>
      <w:numFmt w:val="bullet"/>
      <w:lvlText w:val="o"/>
      <w:lvlJc w:val="left"/>
      <w:pPr>
        <w:ind w:left="6120" w:hanging="360"/>
      </w:pPr>
      <w:rPr>
        <w:rFonts w:ascii="Courier New" w:hAnsi="Courier New" w:cs="Courier New" w:hint="default"/>
      </w:rPr>
    </w:lvl>
    <w:lvl w:ilvl="8" w:tplc="0C0C0005" w:tentative="1">
      <w:start w:val="1"/>
      <w:numFmt w:val="bullet"/>
      <w:lvlText w:val=""/>
      <w:lvlJc w:val="left"/>
      <w:pPr>
        <w:ind w:left="6840" w:hanging="360"/>
      </w:pPr>
      <w:rPr>
        <w:rFonts w:ascii="Wingdings" w:hAnsi="Wingdings" w:hint="default"/>
      </w:rPr>
    </w:lvl>
  </w:abstractNum>
  <w:abstractNum w:abstractNumId="104">
    <w:nsid w:val="07807B76"/>
    <w:multiLevelType w:val="multilevel"/>
    <w:tmpl w:val="507ACF34"/>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5">
    <w:nsid w:val="07B56BD7"/>
    <w:multiLevelType w:val="hybridMultilevel"/>
    <w:tmpl w:val="D9649468"/>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06">
    <w:nsid w:val="07D3473B"/>
    <w:multiLevelType w:val="hybridMultilevel"/>
    <w:tmpl w:val="C534163E"/>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07">
    <w:nsid w:val="07F159D9"/>
    <w:multiLevelType w:val="hybridMultilevel"/>
    <w:tmpl w:val="4EE0640E"/>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08">
    <w:nsid w:val="07FB4E66"/>
    <w:multiLevelType w:val="hybridMultilevel"/>
    <w:tmpl w:val="B7749614"/>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09">
    <w:nsid w:val="08025C77"/>
    <w:multiLevelType w:val="hybridMultilevel"/>
    <w:tmpl w:val="14CE8944"/>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10">
    <w:nsid w:val="080B4007"/>
    <w:multiLevelType w:val="hybridMultilevel"/>
    <w:tmpl w:val="4356963E"/>
    <w:lvl w:ilvl="0" w:tplc="0C0C000B">
      <w:start w:val="1"/>
      <w:numFmt w:val="bullet"/>
      <w:lvlText w:val=""/>
      <w:lvlJc w:val="left"/>
      <w:pPr>
        <w:ind w:left="720" w:hanging="360"/>
      </w:pPr>
      <w:rPr>
        <w:rFonts w:ascii="Wingdings" w:hAnsi="Wingdings" w:hint="default"/>
      </w:rPr>
    </w:lvl>
    <w:lvl w:ilvl="1" w:tplc="0C0C0003">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11">
    <w:nsid w:val="08112ED2"/>
    <w:multiLevelType w:val="hybridMultilevel"/>
    <w:tmpl w:val="F0D0DFEA"/>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12">
    <w:nsid w:val="08432C61"/>
    <w:multiLevelType w:val="multilevel"/>
    <w:tmpl w:val="5F62BD0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3">
    <w:nsid w:val="084C01BF"/>
    <w:multiLevelType w:val="hybridMultilevel"/>
    <w:tmpl w:val="66FC4E8A"/>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14">
    <w:nsid w:val="084C7C62"/>
    <w:multiLevelType w:val="hybridMultilevel"/>
    <w:tmpl w:val="4CAA9B78"/>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15">
    <w:nsid w:val="086548E2"/>
    <w:multiLevelType w:val="hybridMultilevel"/>
    <w:tmpl w:val="8D3CB97C"/>
    <w:lvl w:ilvl="0" w:tplc="8C74E87E">
      <w:start w:val="4"/>
      <w:numFmt w:val="bullet"/>
      <w:lvlText w:val="-"/>
      <w:lvlJc w:val="left"/>
      <w:pPr>
        <w:ind w:left="360" w:hanging="360"/>
      </w:pPr>
      <w:rPr>
        <w:rFonts w:ascii="Times New Roman" w:eastAsiaTheme="minorHAnsi" w:hAnsi="Times New Roman" w:cs="Times New Roman" w:hint="default"/>
        <w:i/>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16">
    <w:nsid w:val="08CB76F4"/>
    <w:multiLevelType w:val="hybridMultilevel"/>
    <w:tmpl w:val="90045D62"/>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17">
    <w:nsid w:val="08E578D5"/>
    <w:multiLevelType w:val="hybridMultilevel"/>
    <w:tmpl w:val="FCE69EC8"/>
    <w:lvl w:ilvl="0" w:tplc="0C0C0003">
      <w:start w:val="1"/>
      <w:numFmt w:val="bullet"/>
      <w:lvlText w:val="o"/>
      <w:lvlJc w:val="left"/>
      <w:pPr>
        <w:ind w:left="1068" w:hanging="360"/>
      </w:pPr>
      <w:rPr>
        <w:rFonts w:ascii="Courier New" w:hAnsi="Courier New" w:cs="Courier New" w:hint="default"/>
      </w:rPr>
    </w:lvl>
    <w:lvl w:ilvl="1" w:tplc="0C0C0003" w:tentative="1">
      <w:start w:val="1"/>
      <w:numFmt w:val="bullet"/>
      <w:lvlText w:val="o"/>
      <w:lvlJc w:val="left"/>
      <w:pPr>
        <w:ind w:left="1788" w:hanging="360"/>
      </w:pPr>
      <w:rPr>
        <w:rFonts w:ascii="Courier New" w:hAnsi="Courier New" w:cs="Courier New" w:hint="default"/>
      </w:rPr>
    </w:lvl>
    <w:lvl w:ilvl="2" w:tplc="0C0C0005" w:tentative="1">
      <w:start w:val="1"/>
      <w:numFmt w:val="bullet"/>
      <w:lvlText w:val=""/>
      <w:lvlJc w:val="left"/>
      <w:pPr>
        <w:ind w:left="2508" w:hanging="360"/>
      </w:pPr>
      <w:rPr>
        <w:rFonts w:ascii="Wingdings" w:hAnsi="Wingdings" w:hint="default"/>
      </w:rPr>
    </w:lvl>
    <w:lvl w:ilvl="3" w:tplc="0C0C0001" w:tentative="1">
      <w:start w:val="1"/>
      <w:numFmt w:val="bullet"/>
      <w:lvlText w:val=""/>
      <w:lvlJc w:val="left"/>
      <w:pPr>
        <w:ind w:left="3228" w:hanging="360"/>
      </w:pPr>
      <w:rPr>
        <w:rFonts w:ascii="Symbol" w:hAnsi="Symbol" w:hint="default"/>
      </w:rPr>
    </w:lvl>
    <w:lvl w:ilvl="4" w:tplc="0C0C0003" w:tentative="1">
      <w:start w:val="1"/>
      <w:numFmt w:val="bullet"/>
      <w:lvlText w:val="o"/>
      <w:lvlJc w:val="left"/>
      <w:pPr>
        <w:ind w:left="3948" w:hanging="360"/>
      </w:pPr>
      <w:rPr>
        <w:rFonts w:ascii="Courier New" w:hAnsi="Courier New" w:cs="Courier New" w:hint="default"/>
      </w:rPr>
    </w:lvl>
    <w:lvl w:ilvl="5" w:tplc="0C0C0005" w:tentative="1">
      <w:start w:val="1"/>
      <w:numFmt w:val="bullet"/>
      <w:lvlText w:val=""/>
      <w:lvlJc w:val="left"/>
      <w:pPr>
        <w:ind w:left="4668" w:hanging="360"/>
      </w:pPr>
      <w:rPr>
        <w:rFonts w:ascii="Wingdings" w:hAnsi="Wingdings" w:hint="default"/>
      </w:rPr>
    </w:lvl>
    <w:lvl w:ilvl="6" w:tplc="0C0C0001" w:tentative="1">
      <w:start w:val="1"/>
      <w:numFmt w:val="bullet"/>
      <w:lvlText w:val=""/>
      <w:lvlJc w:val="left"/>
      <w:pPr>
        <w:ind w:left="5388" w:hanging="360"/>
      </w:pPr>
      <w:rPr>
        <w:rFonts w:ascii="Symbol" w:hAnsi="Symbol" w:hint="default"/>
      </w:rPr>
    </w:lvl>
    <w:lvl w:ilvl="7" w:tplc="0C0C0003" w:tentative="1">
      <w:start w:val="1"/>
      <w:numFmt w:val="bullet"/>
      <w:lvlText w:val="o"/>
      <w:lvlJc w:val="left"/>
      <w:pPr>
        <w:ind w:left="6108" w:hanging="360"/>
      </w:pPr>
      <w:rPr>
        <w:rFonts w:ascii="Courier New" w:hAnsi="Courier New" w:cs="Courier New" w:hint="default"/>
      </w:rPr>
    </w:lvl>
    <w:lvl w:ilvl="8" w:tplc="0C0C0005" w:tentative="1">
      <w:start w:val="1"/>
      <w:numFmt w:val="bullet"/>
      <w:lvlText w:val=""/>
      <w:lvlJc w:val="left"/>
      <w:pPr>
        <w:ind w:left="6828" w:hanging="360"/>
      </w:pPr>
      <w:rPr>
        <w:rFonts w:ascii="Wingdings" w:hAnsi="Wingdings" w:hint="default"/>
      </w:rPr>
    </w:lvl>
  </w:abstractNum>
  <w:abstractNum w:abstractNumId="118">
    <w:nsid w:val="08EB59D1"/>
    <w:multiLevelType w:val="hybridMultilevel"/>
    <w:tmpl w:val="82A2F2CC"/>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19">
    <w:nsid w:val="08FB42D4"/>
    <w:multiLevelType w:val="hybridMultilevel"/>
    <w:tmpl w:val="EF122E84"/>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20">
    <w:nsid w:val="09570A19"/>
    <w:multiLevelType w:val="hybridMultilevel"/>
    <w:tmpl w:val="12BC0944"/>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21">
    <w:nsid w:val="095C306F"/>
    <w:multiLevelType w:val="hybridMultilevel"/>
    <w:tmpl w:val="91781132"/>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22">
    <w:nsid w:val="09CE4D70"/>
    <w:multiLevelType w:val="hybridMultilevel"/>
    <w:tmpl w:val="19D2F268"/>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23">
    <w:nsid w:val="09D97693"/>
    <w:multiLevelType w:val="hybridMultilevel"/>
    <w:tmpl w:val="6B8437B8"/>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24">
    <w:nsid w:val="09DD15C9"/>
    <w:multiLevelType w:val="hybridMultilevel"/>
    <w:tmpl w:val="DCC05892"/>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25">
    <w:nsid w:val="0A1B64CE"/>
    <w:multiLevelType w:val="hybridMultilevel"/>
    <w:tmpl w:val="147E8BF4"/>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26">
    <w:nsid w:val="0A1C097C"/>
    <w:multiLevelType w:val="hybridMultilevel"/>
    <w:tmpl w:val="2E84EA78"/>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27">
    <w:nsid w:val="0A3D6F76"/>
    <w:multiLevelType w:val="hybridMultilevel"/>
    <w:tmpl w:val="95A666B4"/>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28">
    <w:nsid w:val="0A69217E"/>
    <w:multiLevelType w:val="hybridMultilevel"/>
    <w:tmpl w:val="4B20692E"/>
    <w:lvl w:ilvl="0" w:tplc="0C0C0009">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29">
    <w:nsid w:val="0A8E221C"/>
    <w:multiLevelType w:val="multilevel"/>
    <w:tmpl w:val="6C5A362C"/>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0">
    <w:nsid w:val="0ABB5372"/>
    <w:multiLevelType w:val="hybridMultilevel"/>
    <w:tmpl w:val="0DF0038A"/>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31">
    <w:nsid w:val="0ABD1E73"/>
    <w:multiLevelType w:val="hybridMultilevel"/>
    <w:tmpl w:val="D7300ECE"/>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32">
    <w:nsid w:val="0ADF3E96"/>
    <w:multiLevelType w:val="hybridMultilevel"/>
    <w:tmpl w:val="70A87AFC"/>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33">
    <w:nsid w:val="0B240FAB"/>
    <w:multiLevelType w:val="hybridMultilevel"/>
    <w:tmpl w:val="9DE84854"/>
    <w:lvl w:ilvl="0" w:tplc="0C0C000B">
      <w:start w:val="1"/>
      <w:numFmt w:val="bullet"/>
      <w:lvlText w:val=""/>
      <w:lvlJc w:val="left"/>
      <w:pPr>
        <w:ind w:left="720" w:hanging="360"/>
      </w:pPr>
      <w:rPr>
        <w:rFonts w:ascii="Wingdings" w:hAnsi="Wingdings" w:hint="default"/>
      </w:rPr>
    </w:lvl>
    <w:lvl w:ilvl="1" w:tplc="0C0C0003">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34">
    <w:nsid w:val="0B2F3B96"/>
    <w:multiLevelType w:val="hybridMultilevel"/>
    <w:tmpl w:val="4BD0EE6C"/>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start w:val="1"/>
      <w:numFmt w:val="bullet"/>
      <w:lvlText w:val=""/>
      <w:lvlJc w:val="left"/>
      <w:pPr>
        <w:ind w:left="1800" w:hanging="360"/>
      </w:pPr>
      <w:rPr>
        <w:rFonts w:ascii="Wingdings" w:hAnsi="Wingdings" w:hint="default"/>
      </w:rPr>
    </w:lvl>
    <w:lvl w:ilvl="3" w:tplc="0C0C000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35">
    <w:nsid w:val="0B4639E9"/>
    <w:multiLevelType w:val="hybridMultilevel"/>
    <w:tmpl w:val="D348E6C6"/>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36">
    <w:nsid w:val="0B74083C"/>
    <w:multiLevelType w:val="hybridMultilevel"/>
    <w:tmpl w:val="0F4C24BE"/>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37">
    <w:nsid w:val="0B88244D"/>
    <w:multiLevelType w:val="hybridMultilevel"/>
    <w:tmpl w:val="A956DD3C"/>
    <w:lvl w:ilvl="0" w:tplc="0C0C0015">
      <w:start w:val="1"/>
      <w:numFmt w:val="upperLetter"/>
      <w:lvlText w:val="%1."/>
      <w:lvlJc w:val="left"/>
      <w:pPr>
        <w:ind w:left="786" w:hanging="360"/>
      </w:pPr>
    </w:lvl>
    <w:lvl w:ilvl="1" w:tplc="0C0C0019">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138">
    <w:nsid w:val="0B903527"/>
    <w:multiLevelType w:val="hybridMultilevel"/>
    <w:tmpl w:val="97BA5BA0"/>
    <w:lvl w:ilvl="0" w:tplc="0C0C0001">
      <w:start w:val="1"/>
      <w:numFmt w:val="bullet"/>
      <w:lvlText w:val=""/>
      <w:lvlJc w:val="left"/>
      <w:pPr>
        <w:ind w:left="1068" w:hanging="360"/>
      </w:pPr>
      <w:rPr>
        <w:rFonts w:ascii="Symbol" w:hAnsi="Symbol" w:hint="default"/>
      </w:rPr>
    </w:lvl>
    <w:lvl w:ilvl="1" w:tplc="0C0C0003" w:tentative="1">
      <w:start w:val="1"/>
      <w:numFmt w:val="bullet"/>
      <w:lvlText w:val="o"/>
      <w:lvlJc w:val="left"/>
      <w:pPr>
        <w:ind w:left="1788" w:hanging="360"/>
      </w:pPr>
      <w:rPr>
        <w:rFonts w:ascii="Courier New" w:hAnsi="Courier New" w:cs="Courier New" w:hint="default"/>
      </w:rPr>
    </w:lvl>
    <w:lvl w:ilvl="2" w:tplc="0C0C0005" w:tentative="1">
      <w:start w:val="1"/>
      <w:numFmt w:val="bullet"/>
      <w:lvlText w:val=""/>
      <w:lvlJc w:val="left"/>
      <w:pPr>
        <w:ind w:left="2508" w:hanging="360"/>
      </w:pPr>
      <w:rPr>
        <w:rFonts w:ascii="Wingdings" w:hAnsi="Wingdings" w:hint="default"/>
      </w:rPr>
    </w:lvl>
    <w:lvl w:ilvl="3" w:tplc="0C0C0001" w:tentative="1">
      <w:start w:val="1"/>
      <w:numFmt w:val="bullet"/>
      <w:lvlText w:val=""/>
      <w:lvlJc w:val="left"/>
      <w:pPr>
        <w:ind w:left="3228" w:hanging="360"/>
      </w:pPr>
      <w:rPr>
        <w:rFonts w:ascii="Symbol" w:hAnsi="Symbol" w:hint="default"/>
      </w:rPr>
    </w:lvl>
    <w:lvl w:ilvl="4" w:tplc="0C0C0003" w:tentative="1">
      <w:start w:val="1"/>
      <w:numFmt w:val="bullet"/>
      <w:lvlText w:val="o"/>
      <w:lvlJc w:val="left"/>
      <w:pPr>
        <w:ind w:left="3948" w:hanging="360"/>
      </w:pPr>
      <w:rPr>
        <w:rFonts w:ascii="Courier New" w:hAnsi="Courier New" w:cs="Courier New" w:hint="default"/>
      </w:rPr>
    </w:lvl>
    <w:lvl w:ilvl="5" w:tplc="0C0C0005" w:tentative="1">
      <w:start w:val="1"/>
      <w:numFmt w:val="bullet"/>
      <w:lvlText w:val=""/>
      <w:lvlJc w:val="left"/>
      <w:pPr>
        <w:ind w:left="4668" w:hanging="360"/>
      </w:pPr>
      <w:rPr>
        <w:rFonts w:ascii="Wingdings" w:hAnsi="Wingdings" w:hint="default"/>
      </w:rPr>
    </w:lvl>
    <w:lvl w:ilvl="6" w:tplc="0C0C0001" w:tentative="1">
      <w:start w:val="1"/>
      <w:numFmt w:val="bullet"/>
      <w:lvlText w:val=""/>
      <w:lvlJc w:val="left"/>
      <w:pPr>
        <w:ind w:left="5388" w:hanging="360"/>
      </w:pPr>
      <w:rPr>
        <w:rFonts w:ascii="Symbol" w:hAnsi="Symbol" w:hint="default"/>
      </w:rPr>
    </w:lvl>
    <w:lvl w:ilvl="7" w:tplc="0C0C0003" w:tentative="1">
      <w:start w:val="1"/>
      <w:numFmt w:val="bullet"/>
      <w:lvlText w:val="o"/>
      <w:lvlJc w:val="left"/>
      <w:pPr>
        <w:ind w:left="6108" w:hanging="360"/>
      </w:pPr>
      <w:rPr>
        <w:rFonts w:ascii="Courier New" w:hAnsi="Courier New" w:cs="Courier New" w:hint="default"/>
      </w:rPr>
    </w:lvl>
    <w:lvl w:ilvl="8" w:tplc="0C0C0005" w:tentative="1">
      <w:start w:val="1"/>
      <w:numFmt w:val="bullet"/>
      <w:lvlText w:val=""/>
      <w:lvlJc w:val="left"/>
      <w:pPr>
        <w:ind w:left="6828" w:hanging="360"/>
      </w:pPr>
      <w:rPr>
        <w:rFonts w:ascii="Wingdings" w:hAnsi="Wingdings" w:hint="default"/>
      </w:rPr>
    </w:lvl>
  </w:abstractNum>
  <w:abstractNum w:abstractNumId="139">
    <w:nsid w:val="0BB97586"/>
    <w:multiLevelType w:val="hybridMultilevel"/>
    <w:tmpl w:val="B8E26634"/>
    <w:lvl w:ilvl="0" w:tplc="0C0C000B">
      <w:start w:val="1"/>
      <w:numFmt w:val="bullet"/>
      <w:lvlText w:val=""/>
      <w:lvlJc w:val="left"/>
      <w:pPr>
        <w:ind w:left="720" w:hanging="360"/>
      </w:pPr>
      <w:rPr>
        <w:rFonts w:ascii="Wingdings" w:hAnsi="Wingdings" w:hint="default"/>
      </w:rPr>
    </w:lvl>
    <w:lvl w:ilvl="1" w:tplc="0C0C0003">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40">
    <w:nsid w:val="0BBE3666"/>
    <w:multiLevelType w:val="hybridMultilevel"/>
    <w:tmpl w:val="39722FAA"/>
    <w:lvl w:ilvl="0" w:tplc="0C0C0009">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41">
    <w:nsid w:val="0BDB12C2"/>
    <w:multiLevelType w:val="hybridMultilevel"/>
    <w:tmpl w:val="A6C8EAC6"/>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42">
    <w:nsid w:val="0BE0554C"/>
    <w:multiLevelType w:val="hybridMultilevel"/>
    <w:tmpl w:val="304AD05E"/>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43">
    <w:nsid w:val="0BE32E83"/>
    <w:multiLevelType w:val="hybridMultilevel"/>
    <w:tmpl w:val="4446A2FE"/>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44">
    <w:nsid w:val="0C0B2901"/>
    <w:multiLevelType w:val="hybridMultilevel"/>
    <w:tmpl w:val="9BB4C4CA"/>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45">
    <w:nsid w:val="0C1E1DCD"/>
    <w:multiLevelType w:val="hybridMultilevel"/>
    <w:tmpl w:val="CC4E54EE"/>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46">
    <w:nsid w:val="0C3A3E86"/>
    <w:multiLevelType w:val="hybridMultilevel"/>
    <w:tmpl w:val="9AC89128"/>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47">
    <w:nsid w:val="0C653BEE"/>
    <w:multiLevelType w:val="hybridMultilevel"/>
    <w:tmpl w:val="D6B44C32"/>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48">
    <w:nsid w:val="0C6A7858"/>
    <w:multiLevelType w:val="hybridMultilevel"/>
    <w:tmpl w:val="1D38310E"/>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49">
    <w:nsid w:val="0C86272E"/>
    <w:multiLevelType w:val="hybridMultilevel"/>
    <w:tmpl w:val="77961DA6"/>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50">
    <w:nsid w:val="0C8D32EB"/>
    <w:multiLevelType w:val="hybridMultilevel"/>
    <w:tmpl w:val="33886D6A"/>
    <w:lvl w:ilvl="0" w:tplc="0C0C0009">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51">
    <w:nsid w:val="0CA82885"/>
    <w:multiLevelType w:val="hybridMultilevel"/>
    <w:tmpl w:val="5B507A80"/>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52">
    <w:nsid w:val="0CC35566"/>
    <w:multiLevelType w:val="hybridMultilevel"/>
    <w:tmpl w:val="EC563D42"/>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53">
    <w:nsid w:val="0CC47716"/>
    <w:multiLevelType w:val="hybridMultilevel"/>
    <w:tmpl w:val="C9DEF1E0"/>
    <w:lvl w:ilvl="0" w:tplc="0C0C000B">
      <w:start w:val="1"/>
      <w:numFmt w:val="bullet"/>
      <w:lvlText w:val=""/>
      <w:lvlJc w:val="left"/>
      <w:pPr>
        <w:ind w:left="720" w:hanging="360"/>
      </w:pPr>
      <w:rPr>
        <w:rFonts w:ascii="Wingdings" w:hAnsi="Wingdings" w:hint="default"/>
      </w:rPr>
    </w:lvl>
    <w:lvl w:ilvl="1" w:tplc="0C0C0003">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54">
    <w:nsid w:val="0CDF68C2"/>
    <w:multiLevelType w:val="hybridMultilevel"/>
    <w:tmpl w:val="94BED004"/>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55">
    <w:nsid w:val="0CE85888"/>
    <w:multiLevelType w:val="hybridMultilevel"/>
    <w:tmpl w:val="4CDE40E4"/>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56">
    <w:nsid w:val="0CED0C71"/>
    <w:multiLevelType w:val="hybridMultilevel"/>
    <w:tmpl w:val="EA8218F6"/>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57">
    <w:nsid w:val="0CF12E82"/>
    <w:multiLevelType w:val="hybridMultilevel"/>
    <w:tmpl w:val="D7A2DC72"/>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58">
    <w:nsid w:val="0D0C4A19"/>
    <w:multiLevelType w:val="hybridMultilevel"/>
    <w:tmpl w:val="C348224E"/>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59">
    <w:nsid w:val="0D121821"/>
    <w:multiLevelType w:val="hybridMultilevel"/>
    <w:tmpl w:val="DAB04AE0"/>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60">
    <w:nsid w:val="0D313621"/>
    <w:multiLevelType w:val="hybridMultilevel"/>
    <w:tmpl w:val="85988DA0"/>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61">
    <w:nsid w:val="0D327415"/>
    <w:multiLevelType w:val="hybridMultilevel"/>
    <w:tmpl w:val="2CE0FC9A"/>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62">
    <w:nsid w:val="0D33079A"/>
    <w:multiLevelType w:val="hybridMultilevel"/>
    <w:tmpl w:val="9FD080A6"/>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63">
    <w:nsid w:val="0D506B36"/>
    <w:multiLevelType w:val="hybridMultilevel"/>
    <w:tmpl w:val="68725B20"/>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64">
    <w:nsid w:val="0DB04A10"/>
    <w:multiLevelType w:val="hybridMultilevel"/>
    <w:tmpl w:val="220697CE"/>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65">
    <w:nsid w:val="0DCB509A"/>
    <w:multiLevelType w:val="hybridMultilevel"/>
    <w:tmpl w:val="E3EA1B2E"/>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66">
    <w:nsid w:val="0DCF6065"/>
    <w:multiLevelType w:val="hybridMultilevel"/>
    <w:tmpl w:val="8CE6C7DC"/>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67">
    <w:nsid w:val="0DE07BEF"/>
    <w:multiLevelType w:val="hybridMultilevel"/>
    <w:tmpl w:val="BC1066FA"/>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68">
    <w:nsid w:val="0E11495C"/>
    <w:multiLevelType w:val="hybridMultilevel"/>
    <w:tmpl w:val="48BA6F4A"/>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69">
    <w:nsid w:val="0E127A0E"/>
    <w:multiLevelType w:val="hybridMultilevel"/>
    <w:tmpl w:val="88021B2E"/>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70">
    <w:nsid w:val="0E2C6282"/>
    <w:multiLevelType w:val="hybridMultilevel"/>
    <w:tmpl w:val="9C3C1DA4"/>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71">
    <w:nsid w:val="0E3004FD"/>
    <w:multiLevelType w:val="hybridMultilevel"/>
    <w:tmpl w:val="0AFEECD6"/>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72">
    <w:nsid w:val="0E323985"/>
    <w:multiLevelType w:val="hybridMultilevel"/>
    <w:tmpl w:val="AC6663DE"/>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73">
    <w:nsid w:val="0E4401A9"/>
    <w:multiLevelType w:val="hybridMultilevel"/>
    <w:tmpl w:val="99608472"/>
    <w:lvl w:ilvl="0" w:tplc="0C0C0003">
      <w:start w:val="1"/>
      <w:numFmt w:val="bullet"/>
      <w:lvlText w:val="o"/>
      <w:lvlJc w:val="left"/>
      <w:pPr>
        <w:ind w:left="1068" w:hanging="360"/>
      </w:pPr>
      <w:rPr>
        <w:rFonts w:ascii="Courier New" w:hAnsi="Courier New" w:cs="Courier New" w:hint="default"/>
      </w:rPr>
    </w:lvl>
    <w:lvl w:ilvl="1" w:tplc="0C0C0003" w:tentative="1">
      <w:start w:val="1"/>
      <w:numFmt w:val="bullet"/>
      <w:lvlText w:val="o"/>
      <w:lvlJc w:val="left"/>
      <w:pPr>
        <w:ind w:left="1788" w:hanging="360"/>
      </w:pPr>
      <w:rPr>
        <w:rFonts w:ascii="Courier New" w:hAnsi="Courier New" w:cs="Courier New" w:hint="default"/>
      </w:rPr>
    </w:lvl>
    <w:lvl w:ilvl="2" w:tplc="0C0C0005" w:tentative="1">
      <w:start w:val="1"/>
      <w:numFmt w:val="bullet"/>
      <w:lvlText w:val=""/>
      <w:lvlJc w:val="left"/>
      <w:pPr>
        <w:ind w:left="2508" w:hanging="360"/>
      </w:pPr>
      <w:rPr>
        <w:rFonts w:ascii="Wingdings" w:hAnsi="Wingdings" w:hint="default"/>
      </w:rPr>
    </w:lvl>
    <w:lvl w:ilvl="3" w:tplc="0C0C0001" w:tentative="1">
      <w:start w:val="1"/>
      <w:numFmt w:val="bullet"/>
      <w:lvlText w:val=""/>
      <w:lvlJc w:val="left"/>
      <w:pPr>
        <w:ind w:left="3228" w:hanging="360"/>
      </w:pPr>
      <w:rPr>
        <w:rFonts w:ascii="Symbol" w:hAnsi="Symbol" w:hint="default"/>
      </w:rPr>
    </w:lvl>
    <w:lvl w:ilvl="4" w:tplc="0C0C0003" w:tentative="1">
      <w:start w:val="1"/>
      <w:numFmt w:val="bullet"/>
      <w:lvlText w:val="o"/>
      <w:lvlJc w:val="left"/>
      <w:pPr>
        <w:ind w:left="3948" w:hanging="360"/>
      </w:pPr>
      <w:rPr>
        <w:rFonts w:ascii="Courier New" w:hAnsi="Courier New" w:cs="Courier New" w:hint="default"/>
      </w:rPr>
    </w:lvl>
    <w:lvl w:ilvl="5" w:tplc="0C0C0005" w:tentative="1">
      <w:start w:val="1"/>
      <w:numFmt w:val="bullet"/>
      <w:lvlText w:val=""/>
      <w:lvlJc w:val="left"/>
      <w:pPr>
        <w:ind w:left="4668" w:hanging="360"/>
      </w:pPr>
      <w:rPr>
        <w:rFonts w:ascii="Wingdings" w:hAnsi="Wingdings" w:hint="default"/>
      </w:rPr>
    </w:lvl>
    <w:lvl w:ilvl="6" w:tplc="0C0C0001" w:tentative="1">
      <w:start w:val="1"/>
      <w:numFmt w:val="bullet"/>
      <w:lvlText w:val=""/>
      <w:lvlJc w:val="left"/>
      <w:pPr>
        <w:ind w:left="5388" w:hanging="360"/>
      </w:pPr>
      <w:rPr>
        <w:rFonts w:ascii="Symbol" w:hAnsi="Symbol" w:hint="default"/>
      </w:rPr>
    </w:lvl>
    <w:lvl w:ilvl="7" w:tplc="0C0C0003" w:tentative="1">
      <w:start w:val="1"/>
      <w:numFmt w:val="bullet"/>
      <w:lvlText w:val="o"/>
      <w:lvlJc w:val="left"/>
      <w:pPr>
        <w:ind w:left="6108" w:hanging="360"/>
      </w:pPr>
      <w:rPr>
        <w:rFonts w:ascii="Courier New" w:hAnsi="Courier New" w:cs="Courier New" w:hint="default"/>
      </w:rPr>
    </w:lvl>
    <w:lvl w:ilvl="8" w:tplc="0C0C0005" w:tentative="1">
      <w:start w:val="1"/>
      <w:numFmt w:val="bullet"/>
      <w:lvlText w:val=""/>
      <w:lvlJc w:val="left"/>
      <w:pPr>
        <w:ind w:left="6828" w:hanging="360"/>
      </w:pPr>
      <w:rPr>
        <w:rFonts w:ascii="Wingdings" w:hAnsi="Wingdings" w:hint="default"/>
      </w:rPr>
    </w:lvl>
  </w:abstractNum>
  <w:abstractNum w:abstractNumId="174">
    <w:nsid w:val="0E480818"/>
    <w:multiLevelType w:val="hybridMultilevel"/>
    <w:tmpl w:val="73D4279C"/>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75">
    <w:nsid w:val="0E771205"/>
    <w:multiLevelType w:val="hybridMultilevel"/>
    <w:tmpl w:val="F8101A60"/>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76">
    <w:nsid w:val="0E7A0C9D"/>
    <w:multiLevelType w:val="hybridMultilevel"/>
    <w:tmpl w:val="03CAB420"/>
    <w:lvl w:ilvl="0" w:tplc="0C0C0005">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77">
    <w:nsid w:val="0E7F4DC7"/>
    <w:multiLevelType w:val="hybridMultilevel"/>
    <w:tmpl w:val="FBAE0EA0"/>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78">
    <w:nsid w:val="0EA037D1"/>
    <w:multiLevelType w:val="hybridMultilevel"/>
    <w:tmpl w:val="332EFCB2"/>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79">
    <w:nsid w:val="0EA347E1"/>
    <w:multiLevelType w:val="hybridMultilevel"/>
    <w:tmpl w:val="6F5CA2AE"/>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80">
    <w:nsid w:val="0EC00A90"/>
    <w:multiLevelType w:val="hybridMultilevel"/>
    <w:tmpl w:val="72B289F4"/>
    <w:lvl w:ilvl="0" w:tplc="0C0C0003">
      <w:start w:val="1"/>
      <w:numFmt w:val="bullet"/>
      <w:lvlText w:val="o"/>
      <w:lvlJc w:val="left"/>
      <w:pPr>
        <w:ind w:left="1068" w:hanging="360"/>
      </w:pPr>
      <w:rPr>
        <w:rFonts w:ascii="Courier New" w:hAnsi="Courier New" w:cs="Courier New" w:hint="default"/>
      </w:rPr>
    </w:lvl>
    <w:lvl w:ilvl="1" w:tplc="0C0C0003" w:tentative="1">
      <w:start w:val="1"/>
      <w:numFmt w:val="bullet"/>
      <w:lvlText w:val="o"/>
      <w:lvlJc w:val="left"/>
      <w:pPr>
        <w:ind w:left="1788" w:hanging="360"/>
      </w:pPr>
      <w:rPr>
        <w:rFonts w:ascii="Courier New" w:hAnsi="Courier New" w:cs="Courier New" w:hint="default"/>
      </w:rPr>
    </w:lvl>
    <w:lvl w:ilvl="2" w:tplc="0C0C0005" w:tentative="1">
      <w:start w:val="1"/>
      <w:numFmt w:val="bullet"/>
      <w:lvlText w:val=""/>
      <w:lvlJc w:val="left"/>
      <w:pPr>
        <w:ind w:left="2508" w:hanging="360"/>
      </w:pPr>
      <w:rPr>
        <w:rFonts w:ascii="Wingdings" w:hAnsi="Wingdings" w:hint="default"/>
      </w:rPr>
    </w:lvl>
    <w:lvl w:ilvl="3" w:tplc="0C0C0001" w:tentative="1">
      <w:start w:val="1"/>
      <w:numFmt w:val="bullet"/>
      <w:lvlText w:val=""/>
      <w:lvlJc w:val="left"/>
      <w:pPr>
        <w:ind w:left="3228" w:hanging="360"/>
      </w:pPr>
      <w:rPr>
        <w:rFonts w:ascii="Symbol" w:hAnsi="Symbol" w:hint="default"/>
      </w:rPr>
    </w:lvl>
    <w:lvl w:ilvl="4" w:tplc="0C0C0003" w:tentative="1">
      <w:start w:val="1"/>
      <w:numFmt w:val="bullet"/>
      <w:lvlText w:val="o"/>
      <w:lvlJc w:val="left"/>
      <w:pPr>
        <w:ind w:left="3948" w:hanging="360"/>
      </w:pPr>
      <w:rPr>
        <w:rFonts w:ascii="Courier New" w:hAnsi="Courier New" w:cs="Courier New" w:hint="default"/>
      </w:rPr>
    </w:lvl>
    <w:lvl w:ilvl="5" w:tplc="0C0C0005" w:tentative="1">
      <w:start w:val="1"/>
      <w:numFmt w:val="bullet"/>
      <w:lvlText w:val=""/>
      <w:lvlJc w:val="left"/>
      <w:pPr>
        <w:ind w:left="4668" w:hanging="360"/>
      </w:pPr>
      <w:rPr>
        <w:rFonts w:ascii="Wingdings" w:hAnsi="Wingdings" w:hint="default"/>
      </w:rPr>
    </w:lvl>
    <w:lvl w:ilvl="6" w:tplc="0C0C0001" w:tentative="1">
      <w:start w:val="1"/>
      <w:numFmt w:val="bullet"/>
      <w:lvlText w:val=""/>
      <w:lvlJc w:val="left"/>
      <w:pPr>
        <w:ind w:left="5388" w:hanging="360"/>
      </w:pPr>
      <w:rPr>
        <w:rFonts w:ascii="Symbol" w:hAnsi="Symbol" w:hint="default"/>
      </w:rPr>
    </w:lvl>
    <w:lvl w:ilvl="7" w:tplc="0C0C0003" w:tentative="1">
      <w:start w:val="1"/>
      <w:numFmt w:val="bullet"/>
      <w:lvlText w:val="o"/>
      <w:lvlJc w:val="left"/>
      <w:pPr>
        <w:ind w:left="6108" w:hanging="360"/>
      </w:pPr>
      <w:rPr>
        <w:rFonts w:ascii="Courier New" w:hAnsi="Courier New" w:cs="Courier New" w:hint="default"/>
      </w:rPr>
    </w:lvl>
    <w:lvl w:ilvl="8" w:tplc="0C0C0005" w:tentative="1">
      <w:start w:val="1"/>
      <w:numFmt w:val="bullet"/>
      <w:lvlText w:val=""/>
      <w:lvlJc w:val="left"/>
      <w:pPr>
        <w:ind w:left="6828" w:hanging="360"/>
      </w:pPr>
      <w:rPr>
        <w:rFonts w:ascii="Wingdings" w:hAnsi="Wingdings" w:hint="default"/>
      </w:rPr>
    </w:lvl>
  </w:abstractNum>
  <w:abstractNum w:abstractNumId="181">
    <w:nsid w:val="0EE52408"/>
    <w:multiLevelType w:val="hybridMultilevel"/>
    <w:tmpl w:val="1A6868AA"/>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82">
    <w:nsid w:val="0EFD2BB9"/>
    <w:multiLevelType w:val="hybridMultilevel"/>
    <w:tmpl w:val="12B882B4"/>
    <w:lvl w:ilvl="0" w:tplc="0C0C000B">
      <w:start w:val="1"/>
      <w:numFmt w:val="bullet"/>
      <w:lvlText w:val=""/>
      <w:lvlJc w:val="left"/>
      <w:pPr>
        <w:ind w:left="720" w:hanging="360"/>
      </w:pPr>
      <w:rPr>
        <w:rFonts w:ascii="Wingdings" w:hAnsi="Wingdings" w:hint="default"/>
      </w:r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183">
    <w:nsid w:val="0F01512A"/>
    <w:multiLevelType w:val="hybridMultilevel"/>
    <w:tmpl w:val="199E24A2"/>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84">
    <w:nsid w:val="0F1C47DF"/>
    <w:multiLevelType w:val="hybridMultilevel"/>
    <w:tmpl w:val="F962E2F2"/>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85">
    <w:nsid w:val="0F1F4C4F"/>
    <w:multiLevelType w:val="hybridMultilevel"/>
    <w:tmpl w:val="CC101B24"/>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86">
    <w:nsid w:val="0F2E1835"/>
    <w:multiLevelType w:val="hybridMultilevel"/>
    <w:tmpl w:val="99CCB072"/>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87">
    <w:nsid w:val="0F3C13D3"/>
    <w:multiLevelType w:val="hybridMultilevel"/>
    <w:tmpl w:val="816A641E"/>
    <w:lvl w:ilvl="0" w:tplc="0C0C0015">
      <w:start w:val="1"/>
      <w:numFmt w:val="upperLetter"/>
      <w:lvlText w:val="%1."/>
      <w:lvlJc w:val="left"/>
      <w:pPr>
        <w:ind w:left="720" w:hanging="360"/>
      </w:p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188">
    <w:nsid w:val="0F3F1A6E"/>
    <w:multiLevelType w:val="hybridMultilevel"/>
    <w:tmpl w:val="A26460A2"/>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89">
    <w:nsid w:val="0F4E64C9"/>
    <w:multiLevelType w:val="multilevel"/>
    <w:tmpl w:val="798A111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90">
    <w:nsid w:val="0F695B7E"/>
    <w:multiLevelType w:val="hybridMultilevel"/>
    <w:tmpl w:val="5D54CC24"/>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91">
    <w:nsid w:val="0F6B22A5"/>
    <w:multiLevelType w:val="hybridMultilevel"/>
    <w:tmpl w:val="BBD21388"/>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92">
    <w:nsid w:val="0F821008"/>
    <w:multiLevelType w:val="hybridMultilevel"/>
    <w:tmpl w:val="72A6CDEE"/>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93">
    <w:nsid w:val="0FBC4C0D"/>
    <w:multiLevelType w:val="hybridMultilevel"/>
    <w:tmpl w:val="AB6E3E62"/>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94">
    <w:nsid w:val="0FE616B1"/>
    <w:multiLevelType w:val="hybridMultilevel"/>
    <w:tmpl w:val="8898C126"/>
    <w:lvl w:ilvl="0" w:tplc="0C0C000B">
      <w:start w:val="1"/>
      <w:numFmt w:val="bullet"/>
      <w:lvlText w:val=""/>
      <w:lvlJc w:val="left"/>
      <w:pPr>
        <w:ind w:left="360" w:hanging="360"/>
      </w:pPr>
      <w:rPr>
        <w:rFonts w:ascii="Wingdings" w:hAnsi="Wingdings" w:hint="default"/>
        <w:i/>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95">
    <w:nsid w:val="0FF142CD"/>
    <w:multiLevelType w:val="hybridMultilevel"/>
    <w:tmpl w:val="FDB80BD8"/>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96">
    <w:nsid w:val="0FF6062A"/>
    <w:multiLevelType w:val="hybridMultilevel"/>
    <w:tmpl w:val="01B4D4DE"/>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97">
    <w:nsid w:val="10070A33"/>
    <w:multiLevelType w:val="hybridMultilevel"/>
    <w:tmpl w:val="F000AE14"/>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98">
    <w:nsid w:val="101B0EEE"/>
    <w:multiLevelType w:val="hybridMultilevel"/>
    <w:tmpl w:val="ED9C39FE"/>
    <w:lvl w:ilvl="0" w:tplc="0C0C0005">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99">
    <w:nsid w:val="101B16F1"/>
    <w:multiLevelType w:val="hybridMultilevel"/>
    <w:tmpl w:val="C20494C2"/>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00">
    <w:nsid w:val="101F171C"/>
    <w:multiLevelType w:val="hybridMultilevel"/>
    <w:tmpl w:val="A1EA015A"/>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01">
    <w:nsid w:val="101F2529"/>
    <w:multiLevelType w:val="hybridMultilevel"/>
    <w:tmpl w:val="859AF4FC"/>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02">
    <w:nsid w:val="10234C46"/>
    <w:multiLevelType w:val="hybridMultilevel"/>
    <w:tmpl w:val="A3B832A6"/>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03">
    <w:nsid w:val="10292688"/>
    <w:multiLevelType w:val="hybridMultilevel"/>
    <w:tmpl w:val="C99E6CA0"/>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04">
    <w:nsid w:val="103041CE"/>
    <w:multiLevelType w:val="hybridMultilevel"/>
    <w:tmpl w:val="7E7826D2"/>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05">
    <w:nsid w:val="10361292"/>
    <w:multiLevelType w:val="hybridMultilevel"/>
    <w:tmpl w:val="5964EEE8"/>
    <w:lvl w:ilvl="0" w:tplc="0C0C0009">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06">
    <w:nsid w:val="10374384"/>
    <w:multiLevelType w:val="hybridMultilevel"/>
    <w:tmpl w:val="A35EDD52"/>
    <w:lvl w:ilvl="0" w:tplc="0C0C0003">
      <w:start w:val="1"/>
      <w:numFmt w:val="bullet"/>
      <w:lvlText w:val="o"/>
      <w:lvlJc w:val="left"/>
      <w:pPr>
        <w:ind w:left="1428" w:hanging="360"/>
      </w:pPr>
      <w:rPr>
        <w:rFonts w:ascii="Courier New" w:hAnsi="Courier New" w:cs="Courier New" w:hint="default"/>
      </w:rPr>
    </w:lvl>
    <w:lvl w:ilvl="1" w:tplc="0C0C0003" w:tentative="1">
      <w:start w:val="1"/>
      <w:numFmt w:val="bullet"/>
      <w:lvlText w:val="o"/>
      <w:lvlJc w:val="left"/>
      <w:pPr>
        <w:ind w:left="2148" w:hanging="360"/>
      </w:pPr>
      <w:rPr>
        <w:rFonts w:ascii="Courier New" w:hAnsi="Courier New" w:cs="Courier New" w:hint="default"/>
      </w:rPr>
    </w:lvl>
    <w:lvl w:ilvl="2" w:tplc="0C0C0005" w:tentative="1">
      <w:start w:val="1"/>
      <w:numFmt w:val="bullet"/>
      <w:lvlText w:val=""/>
      <w:lvlJc w:val="left"/>
      <w:pPr>
        <w:ind w:left="2868" w:hanging="360"/>
      </w:pPr>
      <w:rPr>
        <w:rFonts w:ascii="Wingdings" w:hAnsi="Wingdings" w:hint="default"/>
      </w:rPr>
    </w:lvl>
    <w:lvl w:ilvl="3" w:tplc="0C0C0001" w:tentative="1">
      <w:start w:val="1"/>
      <w:numFmt w:val="bullet"/>
      <w:lvlText w:val=""/>
      <w:lvlJc w:val="left"/>
      <w:pPr>
        <w:ind w:left="3588" w:hanging="360"/>
      </w:pPr>
      <w:rPr>
        <w:rFonts w:ascii="Symbol" w:hAnsi="Symbol" w:hint="default"/>
      </w:rPr>
    </w:lvl>
    <w:lvl w:ilvl="4" w:tplc="0C0C0003" w:tentative="1">
      <w:start w:val="1"/>
      <w:numFmt w:val="bullet"/>
      <w:lvlText w:val="o"/>
      <w:lvlJc w:val="left"/>
      <w:pPr>
        <w:ind w:left="4308" w:hanging="360"/>
      </w:pPr>
      <w:rPr>
        <w:rFonts w:ascii="Courier New" w:hAnsi="Courier New" w:cs="Courier New" w:hint="default"/>
      </w:rPr>
    </w:lvl>
    <w:lvl w:ilvl="5" w:tplc="0C0C0005" w:tentative="1">
      <w:start w:val="1"/>
      <w:numFmt w:val="bullet"/>
      <w:lvlText w:val=""/>
      <w:lvlJc w:val="left"/>
      <w:pPr>
        <w:ind w:left="5028" w:hanging="360"/>
      </w:pPr>
      <w:rPr>
        <w:rFonts w:ascii="Wingdings" w:hAnsi="Wingdings" w:hint="default"/>
      </w:rPr>
    </w:lvl>
    <w:lvl w:ilvl="6" w:tplc="0C0C0001" w:tentative="1">
      <w:start w:val="1"/>
      <w:numFmt w:val="bullet"/>
      <w:lvlText w:val=""/>
      <w:lvlJc w:val="left"/>
      <w:pPr>
        <w:ind w:left="5748" w:hanging="360"/>
      </w:pPr>
      <w:rPr>
        <w:rFonts w:ascii="Symbol" w:hAnsi="Symbol" w:hint="default"/>
      </w:rPr>
    </w:lvl>
    <w:lvl w:ilvl="7" w:tplc="0C0C0003" w:tentative="1">
      <w:start w:val="1"/>
      <w:numFmt w:val="bullet"/>
      <w:lvlText w:val="o"/>
      <w:lvlJc w:val="left"/>
      <w:pPr>
        <w:ind w:left="6468" w:hanging="360"/>
      </w:pPr>
      <w:rPr>
        <w:rFonts w:ascii="Courier New" w:hAnsi="Courier New" w:cs="Courier New" w:hint="default"/>
      </w:rPr>
    </w:lvl>
    <w:lvl w:ilvl="8" w:tplc="0C0C0005" w:tentative="1">
      <w:start w:val="1"/>
      <w:numFmt w:val="bullet"/>
      <w:lvlText w:val=""/>
      <w:lvlJc w:val="left"/>
      <w:pPr>
        <w:ind w:left="7188" w:hanging="360"/>
      </w:pPr>
      <w:rPr>
        <w:rFonts w:ascii="Wingdings" w:hAnsi="Wingdings" w:hint="default"/>
      </w:rPr>
    </w:lvl>
  </w:abstractNum>
  <w:abstractNum w:abstractNumId="207">
    <w:nsid w:val="104E303E"/>
    <w:multiLevelType w:val="hybridMultilevel"/>
    <w:tmpl w:val="DD9C3720"/>
    <w:lvl w:ilvl="0" w:tplc="0C0C000B">
      <w:start w:val="1"/>
      <w:numFmt w:val="bullet"/>
      <w:lvlText w:val=""/>
      <w:lvlJc w:val="left"/>
      <w:pPr>
        <w:ind w:left="720" w:hanging="360"/>
      </w:pPr>
      <w:rPr>
        <w:rFonts w:ascii="Wingdings" w:hAnsi="Wingdings" w:hint="default"/>
      </w:rPr>
    </w:lvl>
    <w:lvl w:ilvl="1" w:tplc="0C0C0003">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08">
    <w:nsid w:val="105428C1"/>
    <w:multiLevelType w:val="hybridMultilevel"/>
    <w:tmpl w:val="80E8C40A"/>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09">
    <w:nsid w:val="10553DE3"/>
    <w:multiLevelType w:val="hybridMultilevel"/>
    <w:tmpl w:val="D2F49B9C"/>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10">
    <w:nsid w:val="108161E1"/>
    <w:multiLevelType w:val="hybridMultilevel"/>
    <w:tmpl w:val="800495AE"/>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11">
    <w:nsid w:val="10A83767"/>
    <w:multiLevelType w:val="hybridMultilevel"/>
    <w:tmpl w:val="30B017EE"/>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12">
    <w:nsid w:val="10B10518"/>
    <w:multiLevelType w:val="hybridMultilevel"/>
    <w:tmpl w:val="4052D8D4"/>
    <w:lvl w:ilvl="0" w:tplc="0C0C0003">
      <w:start w:val="1"/>
      <w:numFmt w:val="bullet"/>
      <w:lvlText w:val="o"/>
      <w:lvlJc w:val="left"/>
      <w:pPr>
        <w:ind w:left="1068" w:hanging="360"/>
      </w:pPr>
      <w:rPr>
        <w:rFonts w:ascii="Courier New" w:hAnsi="Courier New" w:cs="Courier New" w:hint="default"/>
      </w:rPr>
    </w:lvl>
    <w:lvl w:ilvl="1" w:tplc="0C0C0003" w:tentative="1">
      <w:start w:val="1"/>
      <w:numFmt w:val="bullet"/>
      <w:lvlText w:val="o"/>
      <w:lvlJc w:val="left"/>
      <w:pPr>
        <w:ind w:left="1788" w:hanging="360"/>
      </w:pPr>
      <w:rPr>
        <w:rFonts w:ascii="Courier New" w:hAnsi="Courier New" w:cs="Courier New" w:hint="default"/>
      </w:rPr>
    </w:lvl>
    <w:lvl w:ilvl="2" w:tplc="0C0C0005" w:tentative="1">
      <w:start w:val="1"/>
      <w:numFmt w:val="bullet"/>
      <w:lvlText w:val=""/>
      <w:lvlJc w:val="left"/>
      <w:pPr>
        <w:ind w:left="2508" w:hanging="360"/>
      </w:pPr>
      <w:rPr>
        <w:rFonts w:ascii="Wingdings" w:hAnsi="Wingdings" w:hint="default"/>
      </w:rPr>
    </w:lvl>
    <w:lvl w:ilvl="3" w:tplc="0C0C0001" w:tentative="1">
      <w:start w:val="1"/>
      <w:numFmt w:val="bullet"/>
      <w:lvlText w:val=""/>
      <w:lvlJc w:val="left"/>
      <w:pPr>
        <w:ind w:left="3228" w:hanging="360"/>
      </w:pPr>
      <w:rPr>
        <w:rFonts w:ascii="Symbol" w:hAnsi="Symbol" w:hint="default"/>
      </w:rPr>
    </w:lvl>
    <w:lvl w:ilvl="4" w:tplc="0C0C0003" w:tentative="1">
      <w:start w:val="1"/>
      <w:numFmt w:val="bullet"/>
      <w:lvlText w:val="o"/>
      <w:lvlJc w:val="left"/>
      <w:pPr>
        <w:ind w:left="3948" w:hanging="360"/>
      </w:pPr>
      <w:rPr>
        <w:rFonts w:ascii="Courier New" w:hAnsi="Courier New" w:cs="Courier New" w:hint="default"/>
      </w:rPr>
    </w:lvl>
    <w:lvl w:ilvl="5" w:tplc="0C0C0005" w:tentative="1">
      <w:start w:val="1"/>
      <w:numFmt w:val="bullet"/>
      <w:lvlText w:val=""/>
      <w:lvlJc w:val="left"/>
      <w:pPr>
        <w:ind w:left="4668" w:hanging="360"/>
      </w:pPr>
      <w:rPr>
        <w:rFonts w:ascii="Wingdings" w:hAnsi="Wingdings" w:hint="default"/>
      </w:rPr>
    </w:lvl>
    <w:lvl w:ilvl="6" w:tplc="0C0C0001" w:tentative="1">
      <w:start w:val="1"/>
      <w:numFmt w:val="bullet"/>
      <w:lvlText w:val=""/>
      <w:lvlJc w:val="left"/>
      <w:pPr>
        <w:ind w:left="5388" w:hanging="360"/>
      </w:pPr>
      <w:rPr>
        <w:rFonts w:ascii="Symbol" w:hAnsi="Symbol" w:hint="default"/>
      </w:rPr>
    </w:lvl>
    <w:lvl w:ilvl="7" w:tplc="0C0C0003" w:tentative="1">
      <w:start w:val="1"/>
      <w:numFmt w:val="bullet"/>
      <w:lvlText w:val="o"/>
      <w:lvlJc w:val="left"/>
      <w:pPr>
        <w:ind w:left="6108" w:hanging="360"/>
      </w:pPr>
      <w:rPr>
        <w:rFonts w:ascii="Courier New" w:hAnsi="Courier New" w:cs="Courier New" w:hint="default"/>
      </w:rPr>
    </w:lvl>
    <w:lvl w:ilvl="8" w:tplc="0C0C0005" w:tentative="1">
      <w:start w:val="1"/>
      <w:numFmt w:val="bullet"/>
      <w:lvlText w:val=""/>
      <w:lvlJc w:val="left"/>
      <w:pPr>
        <w:ind w:left="6828" w:hanging="360"/>
      </w:pPr>
      <w:rPr>
        <w:rFonts w:ascii="Wingdings" w:hAnsi="Wingdings" w:hint="default"/>
      </w:rPr>
    </w:lvl>
  </w:abstractNum>
  <w:abstractNum w:abstractNumId="213">
    <w:nsid w:val="10B64A16"/>
    <w:multiLevelType w:val="hybridMultilevel"/>
    <w:tmpl w:val="3A9824F4"/>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14">
    <w:nsid w:val="10B65827"/>
    <w:multiLevelType w:val="hybridMultilevel"/>
    <w:tmpl w:val="38D23D5A"/>
    <w:lvl w:ilvl="0" w:tplc="0C0C0001">
      <w:start w:val="1"/>
      <w:numFmt w:val="bullet"/>
      <w:lvlText w:val=""/>
      <w:lvlJc w:val="left"/>
      <w:pPr>
        <w:ind w:left="360" w:hanging="360"/>
      </w:pPr>
      <w:rPr>
        <w:rFonts w:ascii="Symbol" w:hAnsi="Symbol" w:hint="default"/>
      </w:rPr>
    </w:lvl>
    <w:lvl w:ilvl="1" w:tplc="0C0C0005">
      <w:start w:val="1"/>
      <w:numFmt w:val="bullet"/>
      <w:lvlText w:val=""/>
      <w:lvlJc w:val="left"/>
      <w:pPr>
        <w:ind w:left="1080" w:hanging="360"/>
      </w:pPr>
      <w:rPr>
        <w:rFonts w:ascii="Wingdings" w:hAnsi="Wingdings" w:hint="default"/>
      </w:rPr>
    </w:lvl>
    <w:lvl w:ilvl="2" w:tplc="0C0C0005">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15">
    <w:nsid w:val="10D6115A"/>
    <w:multiLevelType w:val="hybridMultilevel"/>
    <w:tmpl w:val="975C4E8E"/>
    <w:lvl w:ilvl="0" w:tplc="0C0C000F">
      <w:start w:val="1"/>
      <w:numFmt w:val="decimal"/>
      <w:lvlText w:val="%1."/>
      <w:lvlJc w:val="left"/>
      <w:pPr>
        <w:ind w:left="360" w:hanging="360"/>
      </w:pPr>
    </w:lvl>
    <w:lvl w:ilvl="1" w:tplc="0C0C0019" w:tentative="1">
      <w:start w:val="1"/>
      <w:numFmt w:val="lowerLetter"/>
      <w:lvlText w:val="%2."/>
      <w:lvlJc w:val="left"/>
      <w:pPr>
        <w:ind w:left="1080" w:hanging="360"/>
      </w:pPr>
    </w:lvl>
    <w:lvl w:ilvl="2" w:tplc="0C0C001B" w:tentative="1">
      <w:start w:val="1"/>
      <w:numFmt w:val="lowerRoman"/>
      <w:lvlText w:val="%3."/>
      <w:lvlJc w:val="right"/>
      <w:pPr>
        <w:ind w:left="1800" w:hanging="180"/>
      </w:pPr>
    </w:lvl>
    <w:lvl w:ilvl="3" w:tplc="0C0C000F" w:tentative="1">
      <w:start w:val="1"/>
      <w:numFmt w:val="decimal"/>
      <w:lvlText w:val="%4."/>
      <w:lvlJc w:val="left"/>
      <w:pPr>
        <w:ind w:left="2520" w:hanging="360"/>
      </w:pPr>
    </w:lvl>
    <w:lvl w:ilvl="4" w:tplc="0C0C0019" w:tentative="1">
      <w:start w:val="1"/>
      <w:numFmt w:val="lowerLetter"/>
      <w:lvlText w:val="%5."/>
      <w:lvlJc w:val="left"/>
      <w:pPr>
        <w:ind w:left="3240" w:hanging="360"/>
      </w:pPr>
    </w:lvl>
    <w:lvl w:ilvl="5" w:tplc="0C0C001B" w:tentative="1">
      <w:start w:val="1"/>
      <w:numFmt w:val="lowerRoman"/>
      <w:lvlText w:val="%6."/>
      <w:lvlJc w:val="right"/>
      <w:pPr>
        <w:ind w:left="3960" w:hanging="180"/>
      </w:pPr>
    </w:lvl>
    <w:lvl w:ilvl="6" w:tplc="0C0C000F" w:tentative="1">
      <w:start w:val="1"/>
      <w:numFmt w:val="decimal"/>
      <w:lvlText w:val="%7."/>
      <w:lvlJc w:val="left"/>
      <w:pPr>
        <w:ind w:left="4680" w:hanging="360"/>
      </w:pPr>
    </w:lvl>
    <w:lvl w:ilvl="7" w:tplc="0C0C0019" w:tentative="1">
      <w:start w:val="1"/>
      <w:numFmt w:val="lowerLetter"/>
      <w:lvlText w:val="%8."/>
      <w:lvlJc w:val="left"/>
      <w:pPr>
        <w:ind w:left="5400" w:hanging="360"/>
      </w:pPr>
    </w:lvl>
    <w:lvl w:ilvl="8" w:tplc="0C0C001B" w:tentative="1">
      <w:start w:val="1"/>
      <w:numFmt w:val="lowerRoman"/>
      <w:lvlText w:val="%9."/>
      <w:lvlJc w:val="right"/>
      <w:pPr>
        <w:ind w:left="6120" w:hanging="180"/>
      </w:pPr>
    </w:lvl>
  </w:abstractNum>
  <w:abstractNum w:abstractNumId="216">
    <w:nsid w:val="112143DB"/>
    <w:multiLevelType w:val="hybridMultilevel"/>
    <w:tmpl w:val="C4684BB6"/>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17">
    <w:nsid w:val="11576170"/>
    <w:multiLevelType w:val="multilevel"/>
    <w:tmpl w:val="B0D69E6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8">
    <w:nsid w:val="116B6C5D"/>
    <w:multiLevelType w:val="hybridMultilevel"/>
    <w:tmpl w:val="0D2E20B6"/>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19">
    <w:nsid w:val="11714686"/>
    <w:multiLevelType w:val="hybridMultilevel"/>
    <w:tmpl w:val="88C21B8E"/>
    <w:lvl w:ilvl="0" w:tplc="0C0C0001">
      <w:start w:val="1"/>
      <w:numFmt w:val="bullet"/>
      <w:lvlText w:val=""/>
      <w:lvlJc w:val="left"/>
      <w:pPr>
        <w:ind w:left="1428" w:hanging="360"/>
      </w:pPr>
      <w:rPr>
        <w:rFonts w:ascii="Symbol" w:hAnsi="Symbol" w:hint="default"/>
      </w:rPr>
    </w:lvl>
    <w:lvl w:ilvl="1" w:tplc="0C0C0003" w:tentative="1">
      <w:start w:val="1"/>
      <w:numFmt w:val="bullet"/>
      <w:lvlText w:val="o"/>
      <w:lvlJc w:val="left"/>
      <w:pPr>
        <w:ind w:left="2148" w:hanging="360"/>
      </w:pPr>
      <w:rPr>
        <w:rFonts w:ascii="Courier New" w:hAnsi="Courier New" w:cs="Courier New" w:hint="default"/>
      </w:rPr>
    </w:lvl>
    <w:lvl w:ilvl="2" w:tplc="0C0C0005" w:tentative="1">
      <w:start w:val="1"/>
      <w:numFmt w:val="bullet"/>
      <w:lvlText w:val=""/>
      <w:lvlJc w:val="left"/>
      <w:pPr>
        <w:ind w:left="2868" w:hanging="360"/>
      </w:pPr>
      <w:rPr>
        <w:rFonts w:ascii="Wingdings" w:hAnsi="Wingdings" w:hint="default"/>
      </w:rPr>
    </w:lvl>
    <w:lvl w:ilvl="3" w:tplc="0C0C0001" w:tentative="1">
      <w:start w:val="1"/>
      <w:numFmt w:val="bullet"/>
      <w:lvlText w:val=""/>
      <w:lvlJc w:val="left"/>
      <w:pPr>
        <w:ind w:left="3588" w:hanging="360"/>
      </w:pPr>
      <w:rPr>
        <w:rFonts w:ascii="Symbol" w:hAnsi="Symbol" w:hint="default"/>
      </w:rPr>
    </w:lvl>
    <w:lvl w:ilvl="4" w:tplc="0C0C0003" w:tentative="1">
      <w:start w:val="1"/>
      <w:numFmt w:val="bullet"/>
      <w:lvlText w:val="o"/>
      <w:lvlJc w:val="left"/>
      <w:pPr>
        <w:ind w:left="4308" w:hanging="360"/>
      </w:pPr>
      <w:rPr>
        <w:rFonts w:ascii="Courier New" w:hAnsi="Courier New" w:cs="Courier New" w:hint="default"/>
      </w:rPr>
    </w:lvl>
    <w:lvl w:ilvl="5" w:tplc="0C0C0005" w:tentative="1">
      <w:start w:val="1"/>
      <w:numFmt w:val="bullet"/>
      <w:lvlText w:val=""/>
      <w:lvlJc w:val="left"/>
      <w:pPr>
        <w:ind w:left="5028" w:hanging="360"/>
      </w:pPr>
      <w:rPr>
        <w:rFonts w:ascii="Wingdings" w:hAnsi="Wingdings" w:hint="default"/>
      </w:rPr>
    </w:lvl>
    <w:lvl w:ilvl="6" w:tplc="0C0C0001" w:tentative="1">
      <w:start w:val="1"/>
      <w:numFmt w:val="bullet"/>
      <w:lvlText w:val=""/>
      <w:lvlJc w:val="left"/>
      <w:pPr>
        <w:ind w:left="5748" w:hanging="360"/>
      </w:pPr>
      <w:rPr>
        <w:rFonts w:ascii="Symbol" w:hAnsi="Symbol" w:hint="default"/>
      </w:rPr>
    </w:lvl>
    <w:lvl w:ilvl="7" w:tplc="0C0C0003" w:tentative="1">
      <w:start w:val="1"/>
      <w:numFmt w:val="bullet"/>
      <w:lvlText w:val="o"/>
      <w:lvlJc w:val="left"/>
      <w:pPr>
        <w:ind w:left="6468" w:hanging="360"/>
      </w:pPr>
      <w:rPr>
        <w:rFonts w:ascii="Courier New" w:hAnsi="Courier New" w:cs="Courier New" w:hint="default"/>
      </w:rPr>
    </w:lvl>
    <w:lvl w:ilvl="8" w:tplc="0C0C0005" w:tentative="1">
      <w:start w:val="1"/>
      <w:numFmt w:val="bullet"/>
      <w:lvlText w:val=""/>
      <w:lvlJc w:val="left"/>
      <w:pPr>
        <w:ind w:left="7188" w:hanging="360"/>
      </w:pPr>
      <w:rPr>
        <w:rFonts w:ascii="Wingdings" w:hAnsi="Wingdings" w:hint="default"/>
      </w:rPr>
    </w:lvl>
  </w:abstractNum>
  <w:abstractNum w:abstractNumId="220">
    <w:nsid w:val="11A23539"/>
    <w:multiLevelType w:val="hybridMultilevel"/>
    <w:tmpl w:val="8CCA95C4"/>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21">
    <w:nsid w:val="11BD3655"/>
    <w:multiLevelType w:val="hybridMultilevel"/>
    <w:tmpl w:val="51EEB194"/>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22">
    <w:nsid w:val="11C73699"/>
    <w:multiLevelType w:val="hybridMultilevel"/>
    <w:tmpl w:val="ACDE2D74"/>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23">
    <w:nsid w:val="11CE45F8"/>
    <w:multiLevelType w:val="hybridMultilevel"/>
    <w:tmpl w:val="E82A3476"/>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24">
    <w:nsid w:val="11D8454C"/>
    <w:multiLevelType w:val="hybridMultilevel"/>
    <w:tmpl w:val="756C4ABE"/>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25">
    <w:nsid w:val="11E4162B"/>
    <w:multiLevelType w:val="hybridMultilevel"/>
    <w:tmpl w:val="29B68892"/>
    <w:lvl w:ilvl="0" w:tplc="0C0C0003">
      <w:start w:val="1"/>
      <w:numFmt w:val="bullet"/>
      <w:lvlText w:val="o"/>
      <w:lvlJc w:val="left"/>
      <w:pPr>
        <w:ind w:left="720" w:hanging="360"/>
      </w:pPr>
      <w:rPr>
        <w:rFonts w:ascii="Courier New" w:hAnsi="Courier New" w:cs="Courier New"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26">
    <w:nsid w:val="11FD3F47"/>
    <w:multiLevelType w:val="hybridMultilevel"/>
    <w:tmpl w:val="78D05988"/>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27">
    <w:nsid w:val="12160694"/>
    <w:multiLevelType w:val="hybridMultilevel"/>
    <w:tmpl w:val="1F7C1DD0"/>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28">
    <w:nsid w:val="12173959"/>
    <w:multiLevelType w:val="hybridMultilevel"/>
    <w:tmpl w:val="A378BE28"/>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29">
    <w:nsid w:val="121A23F9"/>
    <w:multiLevelType w:val="hybridMultilevel"/>
    <w:tmpl w:val="8D5225D0"/>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30">
    <w:nsid w:val="12284009"/>
    <w:multiLevelType w:val="hybridMultilevel"/>
    <w:tmpl w:val="B5F28F50"/>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31">
    <w:nsid w:val="122A008D"/>
    <w:multiLevelType w:val="hybridMultilevel"/>
    <w:tmpl w:val="AEFC7880"/>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32">
    <w:nsid w:val="123B04A7"/>
    <w:multiLevelType w:val="hybridMultilevel"/>
    <w:tmpl w:val="560A34CE"/>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33">
    <w:nsid w:val="124D39C4"/>
    <w:multiLevelType w:val="hybridMultilevel"/>
    <w:tmpl w:val="A0F8B092"/>
    <w:lvl w:ilvl="0" w:tplc="0C0C0015">
      <w:start w:val="1"/>
      <w:numFmt w:val="upperLetter"/>
      <w:lvlText w:val="%1."/>
      <w:lvlJc w:val="left"/>
      <w:pPr>
        <w:ind w:left="360" w:hanging="360"/>
      </w:pPr>
    </w:lvl>
    <w:lvl w:ilvl="1" w:tplc="0C0C0019">
      <w:start w:val="1"/>
      <w:numFmt w:val="lowerLetter"/>
      <w:lvlText w:val="%2."/>
      <w:lvlJc w:val="left"/>
      <w:pPr>
        <w:ind w:left="1080" w:hanging="360"/>
      </w:pPr>
    </w:lvl>
    <w:lvl w:ilvl="2" w:tplc="0C0C001B" w:tentative="1">
      <w:start w:val="1"/>
      <w:numFmt w:val="lowerRoman"/>
      <w:lvlText w:val="%3."/>
      <w:lvlJc w:val="right"/>
      <w:pPr>
        <w:ind w:left="1800" w:hanging="180"/>
      </w:pPr>
    </w:lvl>
    <w:lvl w:ilvl="3" w:tplc="0C0C000F" w:tentative="1">
      <w:start w:val="1"/>
      <w:numFmt w:val="decimal"/>
      <w:lvlText w:val="%4."/>
      <w:lvlJc w:val="left"/>
      <w:pPr>
        <w:ind w:left="2520" w:hanging="360"/>
      </w:pPr>
    </w:lvl>
    <w:lvl w:ilvl="4" w:tplc="0C0C0019" w:tentative="1">
      <w:start w:val="1"/>
      <w:numFmt w:val="lowerLetter"/>
      <w:lvlText w:val="%5."/>
      <w:lvlJc w:val="left"/>
      <w:pPr>
        <w:ind w:left="3240" w:hanging="360"/>
      </w:pPr>
    </w:lvl>
    <w:lvl w:ilvl="5" w:tplc="0C0C001B" w:tentative="1">
      <w:start w:val="1"/>
      <w:numFmt w:val="lowerRoman"/>
      <w:lvlText w:val="%6."/>
      <w:lvlJc w:val="right"/>
      <w:pPr>
        <w:ind w:left="3960" w:hanging="180"/>
      </w:pPr>
    </w:lvl>
    <w:lvl w:ilvl="6" w:tplc="0C0C000F" w:tentative="1">
      <w:start w:val="1"/>
      <w:numFmt w:val="decimal"/>
      <w:lvlText w:val="%7."/>
      <w:lvlJc w:val="left"/>
      <w:pPr>
        <w:ind w:left="4680" w:hanging="360"/>
      </w:pPr>
    </w:lvl>
    <w:lvl w:ilvl="7" w:tplc="0C0C0019" w:tentative="1">
      <w:start w:val="1"/>
      <w:numFmt w:val="lowerLetter"/>
      <w:lvlText w:val="%8."/>
      <w:lvlJc w:val="left"/>
      <w:pPr>
        <w:ind w:left="5400" w:hanging="360"/>
      </w:pPr>
    </w:lvl>
    <w:lvl w:ilvl="8" w:tplc="0C0C001B" w:tentative="1">
      <w:start w:val="1"/>
      <w:numFmt w:val="lowerRoman"/>
      <w:lvlText w:val="%9."/>
      <w:lvlJc w:val="right"/>
      <w:pPr>
        <w:ind w:left="6120" w:hanging="180"/>
      </w:pPr>
    </w:lvl>
  </w:abstractNum>
  <w:abstractNum w:abstractNumId="234">
    <w:nsid w:val="12737612"/>
    <w:multiLevelType w:val="hybridMultilevel"/>
    <w:tmpl w:val="E6444F72"/>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35">
    <w:nsid w:val="128D5107"/>
    <w:multiLevelType w:val="hybridMultilevel"/>
    <w:tmpl w:val="9354A1B4"/>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36">
    <w:nsid w:val="12A61D2D"/>
    <w:multiLevelType w:val="hybridMultilevel"/>
    <w:tmpl w:val="236EABD2"/>
    <w:lvl w:ilvl="0" w:tplc="0C0C000B">
      <w:start w:val="1"/>
      <w:numFmt w:val="bullet"/>
      <w:lvlText w:val=""/>
      <w:lvlJc w:val="left"/>
      <w:pPr>
        <w:ind w:left="360" w:hanging="360"/>
      </w:pPr>
      <w:rPr>
        <w:rFonts w:ascii="Wingdings" w:hAnsi="Wingdings" w:hint="default"/>
      </w:rPr>
    </w:lvl>
    <w:lvl w:ilvl="1" w:tplc="0C0C000B">
      <w:start w:val="1"/>
      <w:numFmt w:val="bullet"/>
      <w:lvlText w:val=""/>
      <w:lvlJc w:val="left"/>
      <w:pPr>
        <w:ind w:left="1080" w:hanging="360"/>
      </w:pPr>
      <w:rPr>
        <w:rFonts w:ascii="Wingdings" w:hAnsi="Wingdings"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37">
    <w:nsid w:val="12AD1B96"/>
    <w:multiLevelType w:val="hybridMultilevel"/>
    <w:tmpl w:val="0046F8CC"/>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38">
    <w:nsid w:val="12CB2CAC"/>
    <w:multiLevelType w:val="hybridMultilevel"/>
    <w:tmpl w:val="140EB286"/>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39">
    <w:nsid w:val="12D36F6B"/>
    <w:multiLevelType w:val="hybridMultilevel"/>
    <w:tmpl w:val="66AEAFFC"/>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40">
    <w:nsid w:val="130A27A3"/>
    <w:multiLevelType w:val="hybridMultilevel"/>
    <w:tmpl w:val="93EC6032"/>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41">
    <w:nsid w:val="13112E0D"/>
    <w:multiLevelType w:val="hybridMultilevel"/>
    <w:tmpl w:val="C7441CA8"/>
    <w:lvl w:ilvl="0" w:tplc="52609C76">
      <w:start w:val="1"/>
      <w:numFmt w:val="upperLetter"/>
      <w:lvlText w:val="%1."/>
      <w:lvlJc w:val="left"/>
      <w:pPr>
        <w:ind w:left="360" w:hanging="360"/>
      </w:pPr>
    </w:lvl>
    <w:lvl w:ilvl="1" w:tplc="0C0C0019" w:tentative="1">
      <w:start w:val="1"/>
      <w:numFmt w:val="lowerLetter"/>
      <w:lvlText w:val="%2."/>
      <w:lvlJc w:val="left"/>
      <w:pPr>
        <w:ind w:left="1080" w:hanging="360"/>
      </w:pPr>
    </w:lvl>
    <w:lvl w:ilvl="2" w:tplc="0C0C001B" w:tentative="1">
      <w:start w:val="1"/>
      <w:numFmt w:val="lowerRoman"/>
      <w:lvlText w:val="%3."/>
      <w:lvlJc w:val="right"/>
      <w:pPr>
        <w:ind w:left="1800" w:hanging="180"/>
      </w:pPr>
    </w:lvl>
    <w:lvl w:ilvl="3" w:tplc="0C0C000F" w:tentative="1">
      <w:start w:val="1"/>
      <w:numFmt w:val="decimal"/>
      <w:lvlText w:val="%4."/>
      <w:lvlJc w:val="left"/>
      <w:pPr>
        <w:ind w:left="2520" w:hanging="360"/>
      </w:pPr>
    </w:lvl>
    <w:lvl w:ilvl="4" w:tplc="0C0C0019" w:tentative="1">
      <w:start w:val="1"/>
      <w:numFmt w:val="lowerLetter"/>
      <w:lvlText w:val="%5."/>
      <w:lvlJc w:val="left"/>
      <w:pPr>
        <w:ind w:left="3240" w:hanging="360"/>
      </w:pPr>
    </w:lvl>
    <w:lvl w:ilvl="5" w:tplc="0C0C001B" w:tentative="1">
      <w:start w:val="1"/>
      <w:numFmt w:val="lowerRoman"/>
      <w:lvlText w:val="%6."/>
      <w:lvlJc w:val="right"/>
      <w:pPr>
        <w:ind w:left="3960" w:hanging="180"/>
      </w:pPr>
    </w:lvl>
    <w:lvl w:ilvl="6" w:tplc="0C0C000F" w:tentative="1">
      <w:start w:val="1"/>
      <w:numFmt w:val="decimal"/>
      <w:lvlText w:val="%7."/>
      <w:lvlJc w:val="left"/>
      <w:pPr>
        <w:ind w:left="4680" w:hanging="360"/>
      </w:pPr>
    </w:lvl>
    <w:lvl w:ilvl="7" w:tplc="0C0C0019" w:tentative="1">
      <w:start w:val="1"/>
      <w:numFmt w:val="lowerLetter"/>
      <w:lvlText w:val="%8."/>
      <w:lvlJc w:val="left"/>
      <w:pPr>
        <w:ind w:left="5400" w:hanging="360"/>
      </w:pPr>
    </w:lvl>
    <w:lvl w:ilvl="8" w:tplc="0C0C001B" w:tentative="1">
      <w:start w:val="1"/>
      <w:numFmt w:val="lowerRoman"/>
      <w:lvlText w:val="%9."/>
      <w:lvlJc w:val="right"/>
      <w:pPr>
        <w:ind w:left="6120" w:hanging="180"/>
      </w:pPr>
    </w:lvl>
  </w:abstractNum>
  <w:abstractNum w:abstractNumId="242">
    <w:nsid w:val="133457A1"/>
    <w:multiLevelType w:val="multilevel"/>
    <w:tmpl w:val="18B090B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3">
    <w:nsid w:val="135D0065"/>
    <w:multiLevelType w:val="hybridMultilevel"/>
    <w:tmpl w:val="A15E00F4"/>
    <w:lvl w:ilvl="0" w:tplc="0C0C0009">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44">
    <w:nsid w:val="135E4397"/>
    <w:multiLevelType w:val="hybridMultilevel"/>
    <w:tmpl w:val="94D432EA"/>
    <w:lvl w:ilvl="0" w:tplc="0C0C000B">
      <w:start w:val="1"/>
      <w:numFmt w:val="bullet"/>
      <w:lvlText w:val=""/>
      <w:lvlJc w:val="left"/>
      <w:pPr>
        <w:ind w:left="720" w:hanging="360"/>
      </w:pPr>
      <w:rPr>
        <w:rFonts w:ascii="Wingdings" w:hAnsi="Wingdings" w:hint="default"/>
      </w:rPr>
    </w:lvl>
    <w:lvl w:ilvl="1" w:tplc="0C0C0003">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45">
    <w:nsid w:val="13764E16"/>
    <w:multiLevelType w:val="hybridMultilevel"/>
    <w:tmpl w:val="C06800CA"/>
    <w:lvl w:ilvl="0" w:tplc="0C0C0009">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46">
    <w:nsid w:val="137F2DB6"/>
    <w:multiLevelType w:val="hybridMultilevel"/>
    <w:tmpl w:val="AA22895E"/>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47">
    <w:nsid w:val="138F0DFC"/>
    <w:multiLevelType w:val="hybridMultilevel"/>
    <w:tmpl w:val="7B6443E8"/>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48">
    <w:nsid w:val="139320F6"/>
    <w:multiLevelType w:val="hybridMultilevel"/>
    <w:tmpl w:val="48AC741E"/>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49">
    <w:nsid w:val="13D217E5"/>
    <w:multiLevelType w:val="hybridMultilevel"/>
    <w:tmpl w:val="E8E061DC"/>
    <w:lvl w:ilvl="0" w:tplc="0C0C0003">
      <w:start w:val="1"/>
      <w:numFmt w:val="bullet"/>
      <w:lvlText w:val="o"/>
      <w:lvlJc w:val="left"/>
      <w:pPr>
        <w:ind w:left="1080" w:hanging="360"/>
      </w:pPr>
      <w:rPr>
        <w:rFonts w:ascii="Courier New" w:hAnsi="Courier New" w:cs="Courier New" w:hint="default"/>
      </w:rPr>
    </w:lvl>
    <w:lvl w:ilvl="1" w:tplc="0C0C0003" w:tentative="1">
      <w:start w:val="1"/>
      <w:numFmt w:val="bullet"/>
      <w:lvlText w:val="o"/>
      <w:lvlJc w:val="left"/>
      <w:pPr>
        <w:ind w:left="1800" w:hanging="360"/>
      </w:pPr>
      <w:rPr>
        <w:rFonts w:ascii="Courier New" w:hAnsi="Courier New" w:cs="Courier New" w:hint="default"/>
      </w:rPr>
    </w:lvl>
    <w:lvl w:ilvl="2" w:tplc="0C0C0005" w:tentative="1">
      <w:start w:val="1"/>
      <w:numFmt w:val="bullet"/>
      <w:lvlText w:val=""/>
      <w:lvlJc w:val="left"/>
      <w:pPr>
        <w:ind w:left="2520" w:hanging="360"/>
      </w:pPr>
      <w:rPr>
        <w:rFonts w:ascii="Wingdings" w:hAnsi="Wingdings" w:hint="default"/>
      </w:rPr>
    </w:lvl>
    <w:lvl w:ilvl="3" w:tplc="0C0C0001" w:tentative="1">
      <w:start w:val="1"/>
      <w:numFmt w:val="bullet"/>
      <w:lvlText w:val=""/>
      <w:lvlJc w:val="left"/>
      <w:pPr>
        <w:ind w:left="3240" w:hanging="360"/>
      </w:pPr>
      <w:rPr>
        <w:rFonts w:ascii="Symbol" w:hAnsi="Symbol" w:hint="default"/>
      </w:rPr>
    </w:lvl>
    <w:lvl w:ilvl="4" w:tplc="0C0C0003" w:tentative="1">
      <w:start w:val="1"/>
      <w:numFmt w:val="bullet"/>
      <w:lvlText w:val="o"/>
      <w:lvlJc w:val="left"/>
      <w:pPr>
        <w:ind w:left="3960" w:hanging="360"/>
      </w:pPr>
      <w:rPr>
        <w:rFonts w:ascii="Courier New" w:hAnsi="Courier New" w:cs="Courier New" w:hint="default"/>
      </w:rPr>
    </w:lvl>
    <w:lvl w:ilvl="5" w:tplc="0C0C0005" w:tentative="1">
      <w:start w:val="1"/>
      <w:numFmt w:val="bullet"/>
      <w:lvlText w:val=""/>
      <w:lvlJc w:val="left"/>
      <w:pPr>
        <w:ind w:left="4680" w:hanging="360"/>
      </w:pPr>
      <w:rPr>
        <w:rFonts w:ascii="Wingdings" w:hAnsi="Wingdings" w:hint="default"/>
      </w:rPr>
    </w:lvl>
    <w:lvl w:ilvl="6" w:tplc="0C0C0001" w:tentative="1">
      <w:start w:val="1"/>
      <w:numFmt w:val="bullet"/>
      <w:lvlText w:val=""/>
      <w:lvlJc w:val="left"/>
      <w:pPr>
        <w:ind w:left="5400" w:hanging="360"/>
      </w:pPr>
      <w:rPr>
        <w:rFonts w:ascii="Symbol" w:hAnsi="Symbol" w:hint="default"/>
      </w:rPr>
    </w:lvl>
    <w:lvl w:ilvl="7" w:tplc="0C0C0003" w:tentative="1">
      <w:start w:val="1"/>
      <w:numFmt w:val="bullet"/>
      <w:lvlText w:val="o"/>
      <w:lvlJc w:val="left"/>
      <w:pPr>
        <w:ind w:left="6120" w:hanging="360"/>
      </w:pPr>
      <w:rPr>
        <w:rFonts w:ascii="Courier New" w:hAnsi="Courier New" w:cs="Courier New" w:hint="default"/>
      </w:rPr>
    </w:lvl>
    <w:lvl w:ilvl="8" w:tplc="0C0C0005" w:tentative="1">
      <w:start w:val="1"/>
      <w:numFmt w:val="bullet"/>
      <w:lvlText w:val=""/>
      <w:lvlJc w:val="left"/>
      <w:pPr>
        <w:ind w:left="6840" w:hanging="360"/>
      </w:pPr>
      <w:rPr>
        <w:rFonts w:ascii="Wingdings" w:hAnsi="Wingdings" w:hint="default"/>
      </w:rPr>
    </w:lvl>
  </w:abstractNum>
  <w:abstractNum w:abstractNumId="250">
    <w:nsid w:val="13F14133"/>
    <w:multiLevelType w:val="hybridMultilevel"/>
    <w:tmpl w:val="2CF07D7C"/>
    <w:lvl w:ilvl="0" w:tplc="0C0C0001">
      <w:start w:val="1"/>
      <w:numFmt w:val="bullet"/>
      <w:lvlText w:val=""/>
      <w:lvlJc w:val="left"/>
      <w:pPr>
        <w:ind w:left="720" w:hanging="360"/>
      </w:pPr>
      <w:rPr>
        <w:rFonts w:ascii="Symbol" w:hAnsi="Symbol" w:hint="default"/>
      </w:rPr>
    </w:lvl>
    <w:lvl w:ilvl="1" w:tplc="0C0C0003">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51">
    <w:nsid w:val="13F85221"/>
    <w:multiLevelType w:val="hybridMultilevel"/>
    <w:tmpl w:val="15B63FFA"/>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52">
    <w:nsid w:val="14205483"/>
    <w:multiLevelType w:val="hybridMultilevel"/>
    <w:tmpl w:val="B6B83D50"/>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53">
    <w:nsid w:val="14221871"/>
    <w:multiLevelType w:val="hybridMultilevel"/>
    <w:tmpl w:val="BF92C1C8"/>
    <w:lvl w:ilvl="0" w:tplc="0C0C000B">
      <w:start w:val="1"/>
      <w:numFmt w:val="bullet"/>
      <w:lvlText w:val=""/>
      <w:lvlJc w:val="left"/>
      <w:pPr>
        <w:ind w:left="1068" w:hanging="360"/>
      </w:pPr>
      <w:rPr>
        <w:rFonts w:ascii="Wingdings" w:hAnsi="Wingdings" w:hint="default"/>
      </w:rPr>
    </w:lvl>
    <w:lvl w:ilvl="1" w:tplc="0C0C0003" w:tentative="1">
      <w:start w:val="1"/>
      <w:numFmt w:val="bullet"/>
      <w:lvlText w:val="o"/>
      <w:lvlJc w:val="left"/>
      <w:pPr>
        <w:ind w:left="1788" w:hanging="360"/>
      </w:pPr>
      <w:rPr>
        <w:rFonts w:ascii="Courier New" w:hAnsi="Courier New" w:cs="Courier New" w:hint="default"/>
      </w:rPr>
    </w:lvl>
    <w:lvl w:ilvl="2" w:tplc="0C0C0005" w:tentative="1">
      <w:start w:val="1"/>
      <w:numFmt w:val="bullet"/>
      <w:lvlText w:val=""/>
      <w:lvlJc w:val="left"/>
      <w:pPr>
        <w:ind w:left="2508" w:hanging="360"/>
      </w:pPr>
      <w:rPr>
        <w:rFonts w:ascii="Wingdings" w:hAnsi="Wingdings" w:hint="default"/>
      </w:rPr>
    </w:lvl>
    <w:lvl w:ilvl="3" w:tplc="0C0C0001" w:tentative="1">
      <w:start w:val="1"/>
      <w:numFmt w:val="bullet"/>
      <w:lvlText w:val=""/>
      <w:lvlJc w:val="left"/>
      <w:pPr>
        <w:ind w:left="3228" w:hanging="360"/>
      </w:pPr>
      <w:rPr>
        <w:rFonts w:ascii="Symbol" w:hAnsi="Symbol" w:hint="default"/>
      </w:rPr>
    </w:lvl>
    <w:lvl w:ilvl="4" w:tplc="0C0C0003" w:tentative="1">
      <w:start w:val="1"/>
      <w:numFmt w:val="bullet"/>
      <w:lvlText w:val="o"/>
      <w:lvlJc w:val="left"/>
      <w:pPr>
        <w:ind w:left="3948" w:hanging="360"/>
      </w:pPr>
      <w:rPr>
        <w:rFonts w:ascii="Courier New" w:hAnsi="Courier New" w:cs="Courier New" w:hint="default"/>
      </w:rPr>
    </w:lvl>
    <w:lvl w:ilvl="5" w:tplc="0C0C0005" w:tentative="1">
      <w:start w:val="1"/>
      <w:numFmt w:val="bullet"/>
      <w:lvlText w:val=""/>
      <w:lvlJc w:val="left"/>
      <w:pPr>
        <w:ind w:left="4668" w:hanging="360"/>
      </w:pPr>
      <w:rPr>
        <w:rFonts w:ascii="Wingdings" w:hAnsi="Wingdings" w:hint="default"/>
      </w:rPr>
    </w:lvl>
    <w:lvl w:ilvl="6" w:tplc="0C0C0001" w:tentative="1">
      <w:start w:val="1"/>
      <w:numFmt w:val="bullet"/>
      <w:lvlText w:val=""/>
      <w:lvlJc w:val="left"/>
      <w:pPr>
        <w:ind w:left="5388" w:hanging="360"/>
      </w:pPr>
      <w:rPr>
        <w:rFonts w:ascii="Symbol" w:hAnsi="Symbol" w:hint="default"/>
      </w:rPr>
    </w:lvl>
    <w:lvl w:ilvl="7" w:tplc="0C0C0003" w:tentative="1">
      <w:start w:val="1"/>
      <w:numFmt w:val="bullet"/>
      <w:lvlText w:val="o"/>
      <w:lvlJc w:val="left"/>
      <w:pPr>
        <w:ind w:left="6108" w:hanging="360"/>
      </w:pPr>
      <w:rPr>
        <w:rFonts w:ascii="Courier New" w:hAnsi="Courier New" w:cs="Courier New" w:hint="default"/>
      </w:rPr>
    </w:lvl>
    <w:lvl w:ilvl="8" w:tplc="0C0C0005" w:tentative="1">
      <w:start w:val="1"/>
      <w:numFmt w:val="bullet"/>
      <w:lvlText w:val=""/>
      <w:lvlJc w:val="left"/>
      <w:pPr>
        <w:ind w:left="6828" w:hanging="360"/>
      </w:pPr>
      <w:rPr>
        <w:rFonts w:ascii="Wingdings" w:hAnsi="Wingdings" w:hint="default"/>
      </w:rPr>
    </w:lvl>
  </w:abstractNum>
  <w:abstractNum w:abstractNumId="254">
    <w:nsid w:val="14355C90"/>
    <w:multiLevelType w:val="hybridMultilevel"/>
    <w:tmpl w:val="990269CC"/>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55">
    <w:nsid w:val="145109FD"/>
    <w:multiLevelType w:val="hybridMultilevel"/>
    <w:tmpl w:val="E5CC40B6"/>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56">
    <w:nsid w:val="14826C50"/>
    <w:multiLevelType w:val="hybridMultilevel"/>
    <w:tmpl w:val="22D466FA"/>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57">
    <w:nsid w:val="1489133B"/>
    <w:multiLevelType w:val="hybridMultilevel"/>
    <w:tmpl w:val="04D49026"/>
    <w:lvl w:ilvl="0" w:tplc="0C0C000B">
      <w:start w:val="1"/>
      <w:numFmt w:val="bullet"/>
      <w:lvlText w:val=""/>
      <w:lvlJc w:val="left"/>
      <w:pPr>
        <w:ind w:left="720" w:hanging="360"/>
      </w:pPr>
      <w:rPr>
        <w:rFonts w:ascii="Wingdings" w:hAnsi="Wingdings" w:hint="default"/>
      </w:rPr>
    </w:lvl>
    <w:lvl w:ilvl="1" w:tplc="0C0C0003">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58">
    <w:nsid w:val="149F511D"/>
    <w:multiLevelType w:val="hybridMultilevel"/>
    <w:tmpl w:val="162A94DA"/>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59">
    <w:nsid w:val="14AD7336"/>
    <w:multiLevelType w:val="hybridMultilevel"/>
    <w:tmpl w:val="7132039A"/>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60">
    <w:nsid w:val="14B46AFD"/>
    <w:multiLevelType w:val="hybridMultilevel"/>
    <w:tmpl w:val="61349F08"/>
    <w:lvl w:ilvl="0" w:tplc="0C0C0001">
      <w:start w:val="1"/>
      <w:numFmt w:val="bullet"/>
      <w:lvlText w:val=""/>
      <w:lvlJc w:val="left"/>
      <w:pPr>
        <w:ind w:left="720" w:hanging="360"/>
      </w:pPr>
      <w:rPr>
        <w:rFonts w:ascii="Symbol" w:hAnsi="Symbol" w:hint="default"/>
      </w:rPr>
    </w:lvl>
    <w:lvl w:ilvl="1" w:tplc="0C0C0003">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61">
    <w:nsid w:val="14C864F1"/>
    <w:multiLevelType w:val="multilevel"/>
    <w:tmpl w:val="5E8A310C"/>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2">
    <w:nsid w:val="14C91311"/>
    <w:multiLevelType w:val="hybridMultilevel"/>
    <w:tmpl w:val="78CA6820"/>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start w:val="1"/>
      <w:numFmt w:val="bullet"/>
      <w:lvlText w:val=""/>
      <w:lvlJc w:val="left"/>
      <w:pPr>
        <w:ind w:left="1800" w:hanging="360"/>
      </w:pPr>
      <w:rPr>
        <w:rFonts w:ascii="Wingdings" w:hAnsi="Wingdings" w:hint="default"/>
      </w:rPr>
    </w:lvl>
    <w:lvl w:ilvl="3" w:tplc="0C0C000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63">
    <w:nsid w:val="15144C03"/>
    <w:multiLevelType w:val="hybridMultilevel"/>
    <w:tmpl w:val="85FCBB16"/>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64">
    <w:nsid w:val="152563D6"/>
    <w:multiLevelType w:val="hybridMultilevel"/>
    <w:tmpl w:val="95FC8636"/>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65">
    <w:nsid w:val="15341EE6"/>
    <w:multiLevelType w:val="hybridMultilevel"/>
    <w:tmpl w:val="0B24AD60"/>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66">
    <w:nsid w:val="154F3D47"/>
    <w:multiLevelType w:val="hybridMultilevel"/>
    <w:tmpl w:val="3AF408FA"/>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67">
    <w:nsid w:val="156A4829"/>
    <w:multiLevelType w:val="hybridMultilevel"/>
    <w:tmpl w:val="347272B0"/>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68">
    <w:nsid w:val="157A1670"/>
    <w:multiLevelType w:val="multilevel"/>
    <w:tmpl w:val="0BD4342E"/>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9">
    <w:nsid w:val="15837926"/>
    <w:multiLevelType w:val="hybridMultilevel"/>
    <w:tmpl w:val="D868C06E"/>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70">
    <w:nsid w:val="159067BA"/>
    <w:multiLevelType w:val="hybridMultilevel"/>
    <w:tmpl w:val="15585A00"/>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71">
    <w:nsid w:val="159C3AFF"/>
    <w:multiLevelType w:val="hybridMultilevel"/>
    <w:tmpl w:val="15CA4D36"/>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72">
    <w:nsid w:val="159D68CA"/>
    <w:multiLevelType w:val="hybridMultilevel"/>
    <w:tmpl w:val="C1206436"/>
    <w:lvl w:ilvl="0" w:tplc="0C0C0015">
      <w:start w:val="1"/>
      <w:numFmt w:val="upperLetter"/>
      <w:lvlText w:val="%1."/>
      <w:lvlJc w:val="left"/>
      <w:pPr>
        <w:ind w:left="360" w:hanging="360"/>
      </w:pPr>
    </w:lvl>
    <w:lvl w:ilvl="1" w:tplc="0C0C0019" w:tentative="1">
      <w:start w:val="1"/>
      <w:numFmt w:val="lowerLetter"/>
      <w:lvlText w:val="%2."/>
      <w:lvlJc w:val="left"/>
      <w:pPr>
        <w:ind w:left="1080" w:hanging="360"/>
      </w:pPr>
    </w:lvl>
    <w:lvl w:ilvl="2" w:tplc="0C0C001B" w:tentative="1">
      <w:start w:val="1"/>
      <w:numFmt w:val="lowerRoman"/>
      <w:lvlText w:val="%3."/>
      <w:lvlJc w:val="right"/>
      <w:pPr>
        <w:ind w:left="1800" w:hanging="180"/>
      </w:pPr>
    </w:lvl>
    <w:lvl w:ilvl="3" w:tplc="0C0C000F" w:tentative="1">
      <w:start w:val="1"/>
      <w:numFmt w:val="decimal"/>
      <w:lvlText w:val="%4."/>
      <w:lvlJc w:val="left"/>
      <w:pPr>
        <w:ind w:left="2520" w:hanging="360"/>
      </w:pPr>
    </w:lvl>
    <w:lvl w:ilvl="4" w:tplc="0C0C0019" w:tentative="1">
      <w:start w:val="1"/>
      <w:numFmt w:val="lowerLetter"/>
      <w:lvlText w:val="%5."/>
      <w:lvlJc w:val="left"/>
      <w:pPr>
        <w:ind w:left="3240" w:hanging="360"/>
      </w:pPr>
    </w:lvl>
    <w:lvl w:ilvl="5" w:tplc="0C0C001B" w:tentative="1">
      <w:start w:val="1"/>
      <w:numFmt w:val="lowerRoman"/>
      <w:lvlText w:val="%6."/>
      <w:lvlJc w:val="right"/>
      <w:pPr>
        <w:ind w:left="3960" w:hanging="180"/>
      </w:pPr>
    </w:lvl>
    <w:lvl w:ilvl="6" w:tplc="0C0C000F" w:tentative="1">
      <w:start w:val="1"/>
      <w:numFmt w:val="decimal"/>
      <w:lvlText w:val="%7."/>
      <w:lvlJc w:val="left"/>
      <w:pPr>
        <w:ind w:left="4680" w:hanging="360"/>
      </w:pPr>
    </w:lvl>
    <w:lvl w:ilvl="7" w:tplc="0C0C0019" w:tentative="1">
      <w:start w:val="1"/>
      <w:numFmt w:val="lowerLetter"/>
      <w:lvlText w:val="%8."/>
      <w:lvlJc w:val="left"/>
      <w:pPr>
        <w:ind w:left="5400" w:hanging="360"/>
      </w:pPr>
    </w:lvl>
    <w:lvl w:ilvl="8" w:tplc="0C0C001B" w:tentative="1">
      <w:start w:val="1"/>
      <w:numFmt w:val="lowerRoman"/>
      <w:lvlText w:val="%9."/>
      <w:lvlJc w:val="right"/>
      <w:pPr>
        <w:ind w:left="6120" w:hanging="180"/>
      </w:pPr>
    </w:lvl>
  </w:abstractNum>
  <w:abstractNum w:abstractNumId="273">
    <w:nsid w:val="15A34C2C"/>
    <w:multiLevelType w:val="hybridMultilevel"/>
    <w:tmpl w:val="E3282D3E"/>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74">
    <w:nsid w:val="15BC0C8B"/>
    <w:multiLevelType w:val="hybridMultilevel"/>
    <w:tmpl w:val="CFB26D5E"/>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75">
    <w:nsid w:val="15DF2F38"/>
    <w:multiLevelType w:val="hybridMultilevel"/>
    <w:tmpl w:val="61BCD80E"/>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76">
    <w:nsid w:val="15FB7CF9"/>
    <w:multiLevelType w:val="hybridMultilevel"/>
    <w:tmpl w:val="8298A3A0"/>
    <w:lvl w:ilvl="0" w:tplc="8C74E87E">
      <w:start w:val="4"/>
      <w:numFmt w:val="bullet"/>
      <w:lvlText w:val="-"/>
      <w:lvlJc w:val="left"/>
      <w:pPr>
        <w:ind w:left="360" w:hanging="360"/>
      </w:pPr>
      <w:rPr>
        <w:rFonts w:ascii="Times New Roman" w:eastAsiaTheme="minorHAnsi" w:hAnsi="Times New Roman" w:cs="Times New Roman" w:hint="default"/>
        <w:i/>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77">
    <w:nsid w:val="15FD351C"/>
    <w:multiLevelType w:val="hybridMultilevel"/>
    <w:tmpl w:val="84D443E0"/>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78">
    <w:nsid w:val="16283629"/>
    <w:multiLevelType w:val="hybridMultilevel"/>
    <w:tmpl w:val="EBB29D84"/>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79">
    <w:nsid w:val="165B633F"/>
    <w:multiLevelType w:val="hybridMultilevel"/>
    <w:tmpl w:val="6CB252C2"/>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80">
    <w:nsid w:val="165C0630"/>
    <w:multiLevelType w:val="hybridMultilevel"/>
    <w:tmpl w:val="FAC050DC"/>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81">
    <w:nsid w:val="166D1868"/>
    <w:multiLevelType w:val="hybridMultilevel"/>
    <w:tmpl w:val="179C36C6"/>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82">
    <w:nsid w:val="16BF5433"/>
    <w:multiLevelType w:val="multilevel"/>
    <w:tmpl w:val="E2EE492A"/>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3">
    <w:nsid w:val="16D0522D"/>
    <w:multiLevelType w:val="hybridMultilevel"/>
    <w:tmpl w:val="A978F59E"/>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84">
    <w:nsid w:val="16D47004"/>
    <w:multiLevelType w:val="hybridMultilevel"/>
    <w:tmpl w:val="57F02DDE"/>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85">
    <w:nsid w:val="16DA4B8F"/>
    <w:multiLevelType w:val="multilevel"/>
    <w:tmpl w:val="CE260C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6">
    <w:nsid w:val="16DB06EF"/>
    <w:multiLevelType w:val="hybridMultilevel"/>
    <w:tmpl w:val="4CCC92CC"/>
    <w:lvl w:ilvl="0" w:tplc="0C0C0003">
      <w:start w:val="1"/>
      <w:numFmt w:val="bullet"/>
      <w:lvlText w:val="o"/>
      <w:lvlJc w:val="left"/>
      <w:pPr>
        <w:ind w:left="720" w:hanging="360"/>
      </w:pPr>
      <w:rPr>
        <w:rFonts w:ascii="Courier New" w:hAnsi="Courier New" w:cs="Courier New"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87">
    <w:nsid w:val="16E62749"/>
    <w:multiLevelType w:val="hybridMultilevel"/>
    <w:tmpl w:val="A23EBD8A"/>
    <w:lvl w:ilvl="0" w:tplc="C8FC224C">
      <w:start w:val="6"/>
      <w:numFmt w:val="upperLetter"/>
      <w:lvlText w:val="%1."/>
      <w:lvlJc w:val="left"/>
      <w:pPr>
        <w:ind w:left="360" w:hanging="360"/>
      </w:pPr>
      <w:rPr>
        <w:rFonts w:hint="default"/>
      </w:r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288">
    <w:nsid w:val="16F91641"/>
    <w:multiLevelType w:val="hybridMultilevel"/>
    <w:tmpl w:val="DAE067B4"/>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89">
    <w:nsid w:val="170F42C6"/>
    <w:multiLevelType w:val="hybridMultilevel"/>
    <w:tmpl w:val="C5B8BC40"/>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90">
    <w:nsid w:val="1721743F"/>
    <w:multiLevelType w:val="hybridMultilevel"/>
    <w:tmpl w:val="B9708926"/>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91">
    <w:nsid w:val="17357749"/>
    <w:multiLevelType w:val="hybridMultilevel"/>
    <w:tmpl w:val="F72AA76E"/>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92">
    <w:nsid w:val="17612359"/>
    <w:multiLevelType w:val="hybridMultilevel"/>
    <w:tmpl w:val="83C6E68A"/>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93">
    <w:nsid w:val="17624D01"/>
    <w:multiLevelType w:val="multilevel"/>
    <w:tmpl w:val="C56EC924"/>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4">
    <w:nsid w:val="17804C51"/>
    <w:multiLevelType w:val="hybridMultilevel"/>
    <w:tmpl w:val="EF3ECA16"/>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95">
    <w:nsid w:val="17891294"/>
    <w:multiLevelType w:val="hybridMultilevel"/>
    <w:tmpl w:val="E2CE927A"/>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96">
    <w:nsid w:val="178B71FA"/>
    <w:multiLevelType w:val="hybridMultilevel"/>
    <w:tmpl w:val="A6B6417E"/>
    <w:lvl w:ilvl="0" w:tplc="0C0C0001">
      <w:start w:val="1"/>
      <w:numFmt w:val="bullet"/>
      <w:lvlText w:val=""/>
      <w:lvlJc w:val="left"/>
      <w:pPr>
        <w:ind w:left="1080" w:hanging="360"/>
      </w:pPr>
      <w:rPr>
        <w:rFonts w:ascii="Symbol" w:hAnsi="Symbol" w:hint="default"/>
      </w:rPr>
    </w:lvl>
    <w:lvl w:ilvl="1" w:tplc="0C0C0003">
      <w:start w:val="1"/>
      <w:numFmt w:val="bullet"/>
      <w:lvlText w:val="o"/>
      <w:lvlJc w:val="left"/>
      <w:pPr>
        <w:ind w:left="1800" w:hanging="360"/>
      </w:pPr>
      <w:rPr>
        <w:rFonts w:ascii="Courier New" w:hAnsi="Courier New" w:cs="Courier New" w:hint="default"/>
      </w:rPr>
    </w:lvl>
    <w:lvl w:ilvl="2" w:tplc="0C0C0005" w:tentative="1">
      <w:start w:val="1"/>
      <w:numFmt w:val="bullet"/>
      <w:lvlText w:val=""/>
      <w:lvlJc w:val="left"/>
      <w:pPr>
        <w:ind w:left="2520" w:hanging="360"/>
      </w:pPr>
      <w:rPr>
        <w:rFonts w:ascii="Wingdings" w:hAnsi="Wingdings" w:hint="default"/>
      </w:rPr>
    </w:lvl>
    <w:lvl w:ilvl="3" w:tplc="0C0C0001" w:tentative="1">
      <w:start w:val="1"/>
      <w:numFmt w:val="bullet"/>
      <w:lvlText w:val=""/>
      <w:lvlJc w:val="left"/>
      <w:pPr>
        <w:ind w:left="3240" w:hanging="360"/>
      </w:pPr>
      <w:rPr>
        <w:rFonts w:ascii="Symbol" w:hAnsi="Symbol" w:hint="default"/>
      </w:rPr>
    </w:lvl>
    <w:lvl w:ilvl="4" w:tplc="0C0C0003" w:tentative="1">
      <w:start w:val="1"/>
      <w:numFmt w:val="bullet"/>
      <w:lvlText w:val="o"/>
      <w:lvlJc w:val="left"/>
      <w:pPr>
        <w:ind w:left="3960" w:hanging="360"/>
      </w:pPr>
      <w:rPr>
        <w:rFonts w:ascii="Courier New" w:hAnsi="Courier New" w:cs="Courier New" w:hint="default"/>
      </w:rPr>
    </w:lvl>
    <w:lvl w:ilvl="5" w:tplc="0C0C0005" w:tentative="1">
      <w:start w:val="1"/>
      <w:numFmt w:val="bullet"/>
      <w:lvlText w:val=""/>
      <w:lvlJc w:val="left"/>
      <w:pPr>
        <w:ind w:left="4680" w:hanging="360"/>
      </w:pPr>
      <w:rPr>
        <w:rFonts w:ascii="Wingdings" w:hAnsi="Wingdings" w:hint="default"/>
      </w:rPr>
    </w:lvl>
    <w:lvl w:ilvl="6" w:tplc="0C0C0001" w:tentative="1">
      <w:start w:val="1"/>
      <w:numFmt w:val="bullet"/>
      <w:lvlText w:val=""/>
      <w:lvlJc w:val="left"/>
      <w:pPr>
        <w:ind w:left="5400" w:hanging="360"/>
      </w:pPr>
      <w:rPr>
        <w:rFonts w:ascii="Symbol" w:hAnsi="Symbol" w:hint="default"/>
      </w:rPr>
    </w:lvl>
    <w:lvl w:ilvl="7" w:tplc="0C0C0003" w:tentative="1">
      <w:start w:val="1"/>
      <w:numFmt w:val="bullet"/>
      <w:lvlText w:val="o"/>
      <w:lvlJc w:val="left"/>
      <w:pPr>
        <w:ind w:left="6120" w:hanging="360"/>
      </w:pPr>
      <w:rPr>
        <w:rFonts w:ascii="Courier New" w:hAnsi="Courier New" w:cs="Courier New" w:hint="default"/>
      </w:rPr>
    </w:lvl>
    <w:lvl w:ilvl="8" w:tplc="0C0C0005" w:tentative="1">
      <w:start w:val="1"/>
      <w:numFmt w:val="bullet"/>
      <w:lvlText w:val=""/>
      <w:lvlJc w:val="left"/>
      <w:pPr>
        <w:ind w:left="6840" w:hanging="360"/>
      </w:pPr>
      <w:rPr>
        <w:rFonts w:ascii="Wingdings" w:hAnsi="Wingdings" w:hint="default"/>
      </w:rPr>
    </w:lvl>
  </w:abstractNum>
  <w:abstractNum w:abstractNumId="297">
    <w:nsid w:val="179025B6"/>
    <w:multiLevelType w:val="hybridMultilevel"/>
    <w:tmpl w:val="F83CDE34"/>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98">
    <w:nsid w:val="17967A0F"/>
    <w:multiLevelType w:val="hybridMultilevel"/>
    <w:tmpl w:val="B3A2D474"/>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99">
    <w:nsid w:val="179C73F2"/>
    <w:multiLevelType w:val="hybridMultilevel"/>
    <w:tmpl w:val="BD12E004"/>
    <w:lvl w:ilvl="0" w:tplc="0C0C000B">
      <w:start w:val="1"/>
      <w:numFmt w:val="bullet"/>
      <w:lvlText w:val=""/>
      <w:lvlJc w:val="left"/>
      <w:pPr>
        <w:ind w:left="720" w:hanging="360"/>
      </w:pPr>
      <w:rPr>
        <w:rFonts w:ascii="Wingdings" w:hAnsi="Wingdings" w:hint="default"/>
      </w:rPr>
    </w:lvl>
    <w:lvl w:ilvl="1" w:tplc="0C0C0003">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300">
    <w:nsid w:val="17A003CE"/>
    <w:multiLevelType w:val="hybridMultilevel"/>
    <w:tmpl w:val="EA5C77E4"/>
    <w:lvl w:ilvl="0" w:tplc="0C0C0003">
      <w:start w:val="1"/>
      <w:numFmt w:val="bullet"/>
      <w:lvlText w:val="o"/>
      <w:lvlJc w:val="left"/>
      <w:pPr>
        <w:ind w:left="1068" w:hanging="360"/>
      </w:pPr>
      <w:rPr>
        <w:rFonts w:ascii="Courier New" w:hAnsi="Courier New" w:cs="Courier New" w:hint="default"/>
      </w:rPr>
    </w:lvl>
    <w:lvl w:ilvl="1" w:tplc="0C0C0003">
      <w:start w:val="1"/>
      <w:numFmt w:val="bullet"/>
      <w:lvlText w:val="o"/>
      <w:lvlJc w:val="left"/>
      <w:pPr>
        <w:ind w:left="1788" w:hanging="360"/>
      </w:pPr>
      <w:rPr>
        <w:rFonts w:ascii="Courier New" w:hAnsi="Courier New" w:cs="Courier New" w:hint="default"/>
      </w:rPr>
    </w:lvl>
    <w:lvl w:ilvl="2" w:tplc="0C0C0005">
      <w:start w:val="1"/>
      <w:numFmt w:val="bullet"/>
      <w:lvlText w:val=""/>
      <w:lvlJc w:val="left"/>
      <w:pPr>
        <w:ind w:left="2508" w:hanging="360"/>
      </w:pPr>
      <w:rPr>
        <w:rFonts w:ascii="Wingdings" w:hAnsi="Wingdings" w:hint="default"/>
      </w:rPr>
    </w:lvl>
    <w:lvl w:ilvl="3" w:tplc="0C0C0001" w:tentative="1">
      <w:start w:val="1"/>
      <w:numFmt w:val="bullet"/>
      <w:lvlText w:val=""/>
      <w:lvlJc w:val="left"/>
      <w:pPr>
        <w:ind w:left="3228" w:hanging="360"/>
      </w:pPr>
      <w:rPr>
        <w:rFonts w:ascii="Symbol" w:hAnsi="Symbol" w:hint="default"/>
      </w:rPr>
    </w:lvl>
    <w:lvl w:ilvl="4" w:tplc="0C0C0003" w:tentative="1">
      <w:start w:val="1"/>
      <w:numFmt w:val="bullet"/>
      <w:lvlText w:val="o"/>
      <w:lvlJc w:val="left"/>
      <w:pPr>
        <w:ind w:left="3948" w:hanging="360"/>
      </w:pPr>
      <w:rPr>
        <w:rFonts w:ascii="Courier New" w:hAnsi="Courier New" w:cs="Courier New" w:hint="default"/>
      </w:rPr>
    </w:lvl>
    <w:lvl w:ilvl="5" w:tplc="0C0C0005" w:tentative="1">
      <w:start w:val="1"/>
      <w:numFmt w:val="bullet"/>
      <w:lvlText w:val=""/>
      <w:lvlJc w:val="left"/>
      <w:pPr>
        <w:ind w:left="4668" w:hanging="360"/>
      </w:pPr>
      <w:rPr>
        <w:rFonts w:ascii="Wingdings" w:hAnsi="Wingdings" w:hint="default"/>
      </w:rPr>
    </w:lvl>
    <w:lvl w:ilvl="6" w:tplc="0C0C0001" w:tentative="1">
      <w:start w:val="1"/>
      <w:numFmt w:val="bullet"/>
      <w:lvlText w:val=""/>
      <w:lvlJc w:val="left"/>
      <w:pPr>
        <w:ind w:left="5388" w:hanging="360"/>
      </w:pPr>
      <w:rPr>
        <w:rFonts w:ascii="Symbol" w:hAnsi="Symbol" w:hint="default"/>
      </w:rPr>
    </w:lvl>
    <w:lvl w:ilvl="7" w:tplc="0C0C0003" w:tentative="1">
      <w:start w:val="1"/>
      <w:numFmt w:val="bullet"/>
      <w:lvlText w:val="o"/>
      <w:lvlJc w:val="left"/>
      <w:pPr>
        <w:ind w:left="6108" w:hanging="360"/>
      </w:pPr>
      <w:rPr>
        <w:rFonts w:ascii="Courier New" w:hAnsi="Courier New" w:cs="Courier New" w:hint="default"/>
      </w:rPr>
    </w:lvl>
    <w:lvl w:ilvl="8" w:tplc="0C0C0005" w:tentative="1">
      <w:start w:val="1"/>
      <w:numFmt w:val="bullet"/>
      <w:lvlText w:val=""/>
      <w:lvlJc w:val="left"/>
      <w:pPr>
        <w:ind w:left="6828" w:hanging="360"/>
      </w:pPr>
      <w:rPr>
        <w:rFonts w:ascii="Wingdings" w:hAnsi="Wingdings" w:hint="default"/>
      </w:rPr>
    </w:lvl>
  </w:abstractNum>
  <w:abstractNum w:abstractNumId="301">
    <w:nsid w:val="17B400D3"/>
    <w:multiLevelType w:val="hybridMultilevel"/>
    <w:tmpl w:val="7A1289F0"/>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302">
    <w:nsid w:val="17CE6F57"/>
    <w:multiLevelType w:val="hybridMultilevel"/>
    <w:tmpl w:val="42DAFED4"/>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303">
    <w:nsid w:val="17EE469A"/>
    <w:multiLevelType w:val="hybridMultilevel"/>
    <w:tmpl w:val="7EA63D4C"/>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304">
    <w:nsid w:val="17F41E14"/>
    <w:multiLevelType w:val="hybridMultilevel"/>
    <w:tmpl w:val="445271BC"/>
    <w:lvl w:ilvl="0" w:tplc="0C0C0003">
      <w:start w:val="1"/>
      <w:numFmt w:val="bullet"/>
      <w:lvlText w:val="o"/>
      <w:lvlJc w:val="left"/>
      <w:pPr>
        <w:ind w:left="1068" w:hanging="360"/>
      </w:pPr>
      <w:rPr>
        <w:rFonts w:ascii="Courier New" w:hAnsi="Courier New" w:cs="Courier New" w:hint="default"/>
      </w:rPr>
    </w:lvl>
    <w:lvl w:ilvl="1" w:tplc="0C0C0003">
      <w:start w:val="1"/>
      <w:numFmt w:val="bullet"/>
      <w:lvlText w:val="o"/>
      <w:lvlJc w:val="left"/>
      <w:pPr>
        <w:ind w:left="1788" w:hanging="360"/>
      </w:pPr>
      <w:rPr>
        <w:rFonts w:ascii="Courier New" w:hAnsi="Courier New" w:cs="Courier New" w:hint="default"/>
      </w:rPr>
    </w:lvl>
    <w:lvl w:ilvl="2" w:tplc="0C0C0005">
      <w:start w:val="1"/>
      <w:numFmt w:val="bullet"/>
      <w:lvlText w:val=""/>
      <w:lvlJc w:val="left"/>
      <w:pPr>
        <w:ind w:left="2508" w:hanging="360"/>
      </w:pPr>
      <w:rPr>
        <w:rFonts w:ascii="Wingdings" w:hAnsi="Wingdings" w:hint="default"/>
      </w:rPr>
    </w:lvl>
    <w:lvl w:ilvl="3" w:tplc="0C0C0001" w:tentative="1">
      <w:start w:val="1"/>
      <w:numFmt w:val="bullet"/>
      <w:lvlText w:val=""/>
      <w:lvlJc w:val="left"/>
      <w:pPr>
        <w:ind w:left="3228" w:hanging="360"/>
      </w:pPr>
      <w:rPr>
        <w:rFonts w:ascii="Symbol" w:hAnsi="Symbol" w:hint="default"/>
      </w:rPr>
    </w:lvl>
    <w:lvl w:ilvl="4" w:tplc="0C0C0003" w:tentative="1">
      <w:start w:val="1"/>
      <w:numFmt w:val="bullet"/>
      <w:lvlText w:val="o"/>
      <w:lvlJc w:val="left"/>
      <w:pPr>
        <w:ind w:left="3948" w:hanging="360"/>
      </w:pPr>
      <w:rPr>
        <w:rFonts w:ascii="Courier New" w:hAnsi="Courier New" w:cs="Courier New" w:hint="default"/>
      </w:rPr>
    </w:lvl>
    <w:lvl w:ilvl="5" w:tplc="0C0C0005" w:tentative="1">
      <w:start w:val="1"/>
      <w:numFmt w:val="bullet"/>
      <w:lvlText w:val=""/>
      <w:lvlJc w:val="left"/>
      <w:pPr>
        <w:ind w:left="4668" w:hanging="360"/>
      </w:pPr>
      <w:rPr>
        <w:rFonts w:ascii="Wingdings" w:hAnsi="Wingdings" w:hint="default"/>
      </w:rPr>
    </w:lvl>
    <w:lvl w:ilvl="6" w:tplc="0C0C0001" w:tentative="1">
      <w:start w:val="1"/>
      <w:numFmt w:val="bullet"/>
      <w:lvlText w:val=""/>
      <w:lvlJc w:val="left"/>
      <w:pPr>
        <w:ind w:left="5388" w:hanging="360"/>
      </w:pPr>
      <w:rPr>
        <w:rFonts w:ascii="Symbol" w:hAnsi="Symbol" w:hint="default"/>
      </w:rPr>
    </w:lvl>
    <w:lvl w:ilvl="7" w:tplc="0C0C0003" w:tentative="1">
      <w:start w:val="1"/>
      <w:numFmt w:val="bullet"/>
      <w:lvlText w:val="o"/>
      <w:lvlJc w:val="left"/>
      <w:pPr>
        <w:ind w:left="6108" w:hanging="360"/>
      </w:pPr>
      <w:rPr>
        <w:rFonts w:ascii="Courier New" w:hAnsi="Courier New" w:cs="Courier New" w:hint="default"/>
      </w:rPr>
    </w:lvl>
    <w:lvl w:ilvl="8" w:tplc="0C0C0005" w:tentative="1">
      <w:start w:val="1"/>
      <w:numFmt w:val="bullet"/>
      <w:lvlText w:val=""/>
      <w:lvlJc w:val="left"/>
      <w:pPr>
        <w:ind w:left="6828" w:hanging="360"/>
      </w:pPr>
      <w:rPr>
        <w:rFonts w:ascii="Wingdings" w:hAnsi="Wingdings" w:hint="default"/>
      </w:rPr>
    </w:lvl>
  </w:abstractNum>
  <w:abstractNum w:abstractNumId="305">
    <w:nsid w:val="1804183B"/>
    <w:multiLevelType w:val="hybridMultilevel"/>
    <w:tmpl w:val="73F040F8"/>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306">
    <w:nsid w:val="181769F9"/>
    <w:multiLevelType w:val="hybridMultilevel"/>
    <w:tmpl w:val="72A245AA"/>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307">
    <w:nsid w:val="1819371E"/>
    <w:multiLevelType w:val="hybridMultilevel"/>
    <w:tmpl w:val="7FA08028"/>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308">
    <w:nsid w:val="18344727"/>
    <w:multiLevelType w:val="hybridMultilevel"/>
    <w:tmpl w:val="AD288B8A"/>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309">
    <w:nsid w:val="184F405C"/>
    <w:multiLevelType w:val="hybridMultilevel"/>
    <w:tmpl w:val="713435FC"/>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310">
    <w:nsid w:val="18760DEB"/>
    <w:multiLevelType w:val="hybridMultilevel"/>
    <w:tmpl w:val="6A0CCBB6"/>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311">
    <w:nsid w:val="18867520"/>
    <w:multiLevelType w:val="hybridMultilevel"/>
    <w:tmpl w:val="23B8B1F6"/>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312">
    <w:nsid w:val="1889074D"/>
    <w:multiLevelType w:val="hybridMultilevel"/>
    <w:tmpl w:val="E0D4A4B8"/>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313">
    <w:nsid w:val="18925697"/>
    <w:multiLevelType w:val="hybridMultilevel"/>
    <w:tmpl w:val="2FE49248"/>
    <w:lvl w:ilvl="0" w:tplc="0C0C0003">
      <w:start w:val="1"/>
      <w:numFmt w:val="bullet"/>
      <w:lvlText w:val="o"/>
      <w:lvlJc w:val="left"/>
      <w:pPr>
        <w:ind w:left="720" w:hanging="360"/>
      </w:pPr>
      <w:rPr>
        <w:rFonts w:ascii="Courier New" w:hAnsi="Courier New" w:cs="Courier New"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314">
    <w:nsid w:val="18BF1F87"/>
    <w:multiLevelType w:val="hybridMultilevel"/>
    <w:tmpl w:val="5376381C"/>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315">
    <w:nsid w:val="18C57F13"/>
    <w:multiLevelType w:val="hybridMultilevel"/>
    <w:tmpl w:val="69623194"/>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316">
    <w:nsid w:val="18D718A8"/>
    <w:multiLevelType w:val="hybridMultilevel"/>
    <w:tmpl w:val="33665FF2"/>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317">
    <w:nsid w:val="18DD152D"/>
    <w:multiLevelType w:val="hybridMultilevel"/>
    <w:tmpl w:val="2D2C40FC"/>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318">
    <w:nsid w:val="190A4C75"/>
    <w:multiLevelType w:val="hybridMultilevel"/>
    <w:tmpl w:val="D5B4024A"/>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319">
    <w:nsid w:val="197138E9"/>
    <w:multiLevelType w:val="hybridMultilevel"/>
    <w:tmpl w:val="0186CED4"/>
    <w:lvl w:ilvl="0" w:tplc="0C0C000B">
      <w:start w:val="1"/>
      <w:numFmt w:val="bullet"/>
      <w:lvlText w:val=""/>
      <w:lvlJc w:val="left"/>
      <w:pPr>
        <w:ind w:left="720" w:hanging="360"/>
      </w:pPr>
      <w:rPr>
        <w:rFonts w:ascii="Wingdings" w:hAnsi="Wingdings" w:hint="default"/>
      </w:rPr>
    </w:lvl>
    <w:lvl w:ilvl="1" w:tplc="0C0C0003">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320">
    <w:nsid w:val="198D7512"/>
    <w:multiLevelType w:val="hybridMultilevel"/>
    <w:tmpl w:val="152A53A8"/>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321">
    <w:nsid w:val="19A33F95"/>
    <w:multiLevelType w:val="hybridMultilevel"/>
    <w:tmpl w:val="D4D820FE"/>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322">
    <w:nsid w:val="19BE474A"/>
    <w:multiLevelType w:val="hybridMultilevel"/>
    <w:tmpl w:val="3DEE3088"/>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323">
    <w:nsid w:val="19CC61DD"/>
    <w:multiLevelType w:val="hybridMultilevel"/>
    <w:tmpl w:val="64522018"/>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324">
    <w:nsid w:val="19CD0B95"/>
    <w:multiLevelType w:val="hybridMultilevel"/>
    <w:tmpl w:val="FB6E2FFA"/>
    <w:lvl w:ilvl="0" w:tplc="0C0C0015">
      <w:start w:val="1"/>
      <w:numFmt w:val="upperLetter"/>
      <w:lvlText w:val="%1."/>
      <w:lvlJc w:val="left"/>
      <w:pPr>
        <w:ind w:left="360" w:hanging="360"/>
      </w:pPr>
    </w:lvl>
    <w:lvl w:ilvl="1" w:tplc="0C0C0019">
      <w:start w:val="1"/>
      <w:numFmt w:val="lowerLetter"/>
      <w:lvlText w:val="%2."/>
      <w:lvlJc w:val="left"/>
      <w:pPr>
        <w:ind w:left="1080" w:hanging="360"/>
      </w:pPr>
    </w:lvl>
    <w:lvl w:ilvl="2" w:tplc="0C0C001B" w:tentative="1">
      <w:start w:val="1"/>
      <w:numFmt w:val="lowerRoman"/>
      <w:lvlText w:val="%3."/>
      <w:lvlJc w:val="right"/>
      <w:pPr>
        <w:ind w:left="1800" w:hanging="180"/>
      </w:pPr>
    </w:lvl>
    <w:lvl w:ilvl="3" w:tplc="0C0C000F" w:tentative="1">
      <w:start w:val="1"/>
      <w:numFmt w:val="decimal"/>
      <w:lvlText w:val="%4."/>
      <w:lvlJc w:val="left"/>
      <w:pPr>
        <w:ind w:left="2520" w:hanging="360"/>
      </w:pPr>
    </w:lvl>
    <w:lvl w:ilvl="4" w:tplc="0C0C0019" w:tentative="1">
      <w:start w:val="1"/>
      <w:numFmt w:val="lowerLetter"/>
      <w:lvlText w:val="%5."/>
      <w:lvlJc w:val="left"/>
      <w:pPr>
        <w:ind w:left="3240" w:hanging="360"/>
      </w:pPr>
    </w:lvl>
    <w:lvl w:ilvl="5" w:tplc="0C0C001B" w:tentative="1">
      <w:start w:val="1"/>
      <w:numFmt w:val="lowerRoman"/>
      <w:lvlText w:val="%6."/>
      <w:lvlJc w:val="right"/>
      <w:pPr>
        <w:ind w:left="3960" w:hanging="180"/>
      </w:pPr>
    </w:lvl>
    <w:lvl w:ilvl="6" w:tplc="0C0C000F" w:tentative="1">
      <w:start w:val="1"/>
      <w:numFmt w:val="decimal"/>
      <w:lvlText w:val="%7."/>
      <w:lvlJc w:val="left"/>
      <w:pPr>
        <w:ind w:left="4680" w:hanging="360"/>
      </w:pPr>
    </w:lvl>
    <w:lvl w:ilvl="7" w:tplc="0C0C0019" w:tentative="1">
      <w:start w:val="1"/>
      <w:numFmt w:val="lowerLetter"/>
      <w:lvlText w:val="%8."/>
      <w:lvlJc w:val="left"/>
      <w:pPr>
        <w:ind w:left="5400" w:hanging="360"/>
      </w:pPr>
    </w:lvl>
    <w:lvl w:ilvl="8" w:tplc="0C0C001B" w:tentative="1">
      <w:start w:val="1"/>
      <w:numFmt w:val="lowerRoman"/>
      <w:lvlText w:val="%9."/>
      <w:lvlJc w:val="right"/>
      <w:pPr>
        <w:ind w:left="6120" w:hanging="180"/>
      </w:pPr>
    </w:lvl>
  </w:abstractNum>
  <w:abstractNum w:abstractNumId="325">
    <w:nsid w:val="19E11329"/>
    <w:multiLevelType w:val="hybridMultilevel"/>
    <w:tmpl w:val="2C9A7022"/>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326">
    <w:nsid w:val="1A096FDC"/>
    <w:multiLevelType w:val="hybridMultilevel"/>
    <w:tmpl w:val="5428E24C"/>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327">
    <w:nsid w:val="1A112892"/>
    <w:multiLevelType w:val="hybridMultilevel"/>
    <w:tmpl w:val="B784B2F8"/>
    <w:lvl w:ilvl="0" w:tplc="0C0C0005">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328">
    <w:nsid w:val="1A3933D9"/>
    <w:multiLevelType w:val="hybridMultilevel"/>
    <w:tmpl w:val="AB7C2D10"/>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329">
    <w:nsid w:val="1A433E13"/>
    <w:multiLevelType w:val="hybridMultilevel"/>
    <w:tmpl w:val="2A08E3AA"/>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330">
    <w:nsid w:val="1A5155CB"/>
    <w:multiLevelType w:val="hybridMultilevel"/>
    <w:tmpl w:val="05ECAE48"/>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331">
    <w:nsid w:val="1A7E063F"/>
    <w:multiLevelType w:val="hybridMultilevel"/>
    <w:tmpl w:val="8852290A"/>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332">
    <w:nsid w:val="1A9E6862"/>
    <w:multiLevelType w:val="hybridMultilevel"/>
    <w:tmpl w:val="84289220"/>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333">
    <w:nsid w:val="1AAE4323"/>
    <w:multiLevelType w:val="hybridMultilevel"/>
    <w:tmpl w:val="8BA0FA60"/>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334">
    <w:nsid w:val="1ACE78B0"/>
    <w:multiLevelType w:val="hybridMultilevel"/>
    <w:tmpl w:val="A292227E"/>
    <w:lvl w:ilvl="0" w:tplc="0C0C0003">
      <w:start w:val="1"/>
      <w:numFmt w:val="bullet"/>
      <w:lvlText w:val="o"/>
      <w:lvlJc w:val="left"/>
      <w:pPr>
        <w:ind w:left="720" w:hanging="360"/>
      </w:pPr>
      <w:rPr>
        <w:rFonts w:ascii="Courier New" w:hAnsi="Courier New" w:cs="Courier New"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335">
    <w:nsid w:val="1AD21037"/>
    <w:multiLevelType w:val="hybridMultilevel"/>
    <w:tmpl w:val="820EB826"/>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336">
    <w:nsid w:val="1AE903C7"/>
    <w:multiLevelType w:val="hybridMultilevel"/>
    <w:tmpl w:val="74C8B8F0"/>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337">
    <w:nsid w:val="1B3623BC"/>
    <w:multiLevelType w:val="hybridMultilevel"/>
    <w:tmpl w:val="215E536E"/>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338">
    <w:nsid w:val="1B3C006A"/>
    <w:multiLevelType w:val="hybridMultilevel"/>
    <w:tmpl w:val="550AE488"/>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339">
    <w:nsid w:val="1B6B1DA4"/>
    <w:multiLevelType w:val="hybridMultilevel"/>
    <w:tmpl w:val="8F3C7632"/>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340">
    <w:nsid w:val="1BA6717F"/>
    <w:multiLevelType w:val="hybridMultilevel"/>
    <w:tmpl w:val="C90453F6"/>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341">
    <w:nsid w:val="1BB06206"/>
    <w:multiLevelType w:val="hybridMultilevel"/>
    <w:tmpl w:val="9B36ED0C"/>
    <w:lvl w:ilvl="0" w:tplc="0C0C0005">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342">
    <w:nsid w:val="1BB769A3"/>
    <w:multiLevelType w:val="hybridMultilevel"/>
    <w:tmpl w:val="AC245ED2"/>
    <w:lvl w:ilvl="0" w:tplc="0C0C0005">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343">
    <w:nsid w:val="1BD56C8A"/>
    <w:multiLevelType w:val="hybridMultilevel"/>
    <w:tmpl w:val="98046C48"/>
    <w:lvl w:ilvl="0" w:tplc="0C0C0009">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344">
    <w:nsid w:val="1BF424DC"/>
    <w:multiLevelType w:val="multilevel"/>
    <w:tmpl w:val="A52887F0"/>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5">
    <w:nsid w:val="1BFC41F0"/>
    <w:multiLevelType w:val="hybridMultilevel"/>
    <w:tmpl w:val="B25CFD62"/>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346">
    <w:nsid w:val="1C31289C"/>
    <w:multiLevelType w:val="hybridMultilevel"/>
    <w:tmpl w:val="36F0F244"/>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347">
    <w:nsid w:val="1C505894"/>
    <w:multiLevelType w:val="hybridMultilevel"/>
    <w:tmpl w:val="C11E40DE"/>
    <w:lvl w:ilvl="0" w:tplc="0C0C0009">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348">
    <w:nsid w:val="1C535FF8"/>
    <w:multiLevelType w:val="hybridMultilevel"/>
    <w:tmpl w:val="0832A9F2"/>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349">
    <w:nsid w:val="1C5A5580"/>
    <w:multiLevelType w:val="hybridMultilevel"/>
    <w:tmpl w:val="C7A6AF10"/>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350">
    <w:nsid w:val="1C5E6AF9"/>
    <w:multiLevelType w:val="hybridMultilevel"/>
    <w:tmpl w:val="2362E972"/>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351">
    <w:nsid w:val="1C762487"/>
    <w:multiLevelType w:val="hybridMultilevel"/>
    <w:tmpl w:val="2B6E7F82"/>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352">
    <w:nsid w:val="1C912F3B"/>
    <w:multiLevelType w:val="hybridMultilevel"/>
    <w:tmpl w:val="5278492C"/>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353">
    <w:nsid w:val="1CA4777C"/>
    <w:multiLevelType w:val="hybridMultilevel"/>
    <w:tmpl w:val="4E884228"/>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354">
    <w:nsid w:val="1CCE3C40"/>
    <w:multiLevelType w:val="hybridMultilevel"/>
    <w:tmpl w:val="B4A24FA6"/>
    <w:lvl w:ilvl="0" w:tplc="0C0C0001">
      <w:start w:val="1"/>
      <w:numFmt w:val="bullet"/>
      <w:lvlText w:val=""/>
      <w:lvlJc w:val="left"/>
      <w:pPr>
        <w:ind w:left="720" w:hanging="360"/>
      </w:pPr>
      <w:rPr>
        <w:rFonts w:ascii="Symbol" w:hAnsi="Symbol" w:hint="default"/>
      </w:rPr>
    </w:lvl>
    <w:lvl w:ilvl="1" w:tplc="0C0C0003">
      <w:start w:val="1"/>
      <w:numFmt w:val="bullet"/>
      <w:lvlText w:val="o"/>
      <w:lvlJc w:val="left"/>
      <w:pPr>
        <w:ind w:left="1440" w:hanging="360"/>
      </w:pPr>
      <w:rPr>
        <w:rFonts w:ascii="Courier New" w:hAnsi="Courier New" w:cs="Courier New" w:hint="default"/>
      </w:rPr>
    </w:lvl>
    <w:lvl w:ilvl="2" w:tplc="0C0C0005">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355">
    <w:nsid w:val="1D050A55"/>
    <w:multiLevelType w:val="hybridMultilevel"/>
    <w:tmpl w:val="26FE2E34"/>
    <w:lvl w:ilvl="0" w:tplc="0C0C000B">
      <w:start w:val="1"/>
      <w:numFmt w:val="bullet"/>
      <w:lvlText w:val=""/>
      <w:lvlJc w:val="left"/>
      <w:pPr>
        <w:ind w:left="1428" w:hanging="360"/>
      </w:pPr>
      <w:rPr>
        <w:rFonts w:ascii="Wingdings" w:hAnsi="Wingdings" w:hint="default"/>
      </w:rPr>
    </w:lvl>
    <w:lvl w:ilvl="1" w:tplc="0C0C0003" w:tentative="1">
      <w:start w:val="1"/>
      <w:numFmt w:val="bullet"/>
      <w:lvlText w:val="o"/>
      <w:lvlJc w:val="left"/>
      <w:pPr>
        <w:ind w:left="2148" w:hanging="360"/>
      </w:pPr>
      <w:rPr>
        <w:rFonts w:ascii="Courier New" w:hAnsi="Courier New" w:cs="Courier New" w:hint="default"/>
      </w:rPr>
    </w:lvl>
    <w:lvl w:ilvl="2" w:tplc="0C0C0005" w:tentative="1">
      <w:start w:val="1"/>
      <w:numFmt w:val="bullet"/>
      <w:lvlText w:val=""/>
      <w:lvlJc w:val="left"/>
      <w:pPr>
        <w:ind w:left="2868" w:hanging="360"/>
      </w:pPr>
      <w:rPr>
        <w:rFonts w:ascii="Wingdings" w:hAnsi="Wingdings" w:hint="default"/>
      </w:rPr>
    </w:lvl>
    <w:lvl w:ilvl="3" w:tplc="0C0C0001" w:tentative="1">
      <w:start w:val="1"/>
      <w:numFmt w:val="bullet"/>
      <w:lvlText w:val=""/>
      <w:lvlJc w:val="left"/>
      <w:pPr>
        <w:ind w:left="3588" w:hanging="360"/>
      </w:pPr>
      <w:rPr>
        <w:rFonts w:ascii="Symbol" w:hAnsi="Symbol" w:hint="default"/>
      </w:rPr>
    </w:lvl>
    <w:lvl w:ilvl="4" w:tplc="0C0C0003" w:tentative="1">
      <w:start w:val="1"/>
      <w:numFmt w:val="bullet"/>
      <w:lvlText w:val="o"/>
      <w:lvlJc w:val="left"/>
      <w:pPr>
        <w:ind w:left="4308" w:hanging="360"/>
      </w:pPr>
      <w:rPr>
        <w:rFonts w:ascii="Courier New" w:hAnsi="Courier New" w:cs="Courier New" w:hint="default"/>
      </w:rPr>
    </w:lvl>
    <w:lvl w:ilvl="5" w:tplc="0C0C0005" w:tentative="1">
      <w:start w:val="1"/>
      <w:numFmt w:val="bullet"/>
      <w:lvlText w:val=""/>
      <w:lvlJc w:val="left"/>
      <w:pPr>
        <w:ind w:left="5028" w:hanging="360"/>
      </w:pPr>
      <w:rPr>
        <w:rFonts w:ascii="Wingdings" w:hAnsi="Wingdings" w:hint="default"/>
      </w:rPr>
    </w:lvl>
    <w:lvl w:ilvl="6" w:tplc="0C0C0001" w:tentative="1">
      <w:start w:val="1"/>
      <w:numFmt w:val="bullet"/>
      <w:lvlText w:val=""/>
      <w:lvlJc w:val="left"/>
      <w:pPr>
        <w:ind w:left="5748" w:hanging="360"/>
      </w:pPr>
      <w:rPr>
        <w:rFonts w:ascii="Symbol" w:hAnsi="Symbol" w:hint="default"/>
      </w:rPr>
    </w:lvl>
    <w:lvl w:ilvl="7" w:tplc="0C0C0003" w:tentative="1">
      <w:start w:val="1"/>
      <w:numFmt w:val="bullet"/>
      <w:lvlText w:val="o"/>
      <w:lvlJc w:val="left"/>
      <w:pPr>
        <w:ind w:left="6468" w:hanging="360"/>
      </w:pPr>
      <w:rPr>
        <w:rFonts w:ascii="Courier New" w:hAnsi="Courier New" w:cs="Courier New" w:hint="default"/>
      </w:rPr>
    </w:lvl>
    <w:lvl w:ilvl="8" w:tplc="0C0C0005" w:tentative="1">
      <w:start w:val="1"/>
      <w:numFmt w:val="bullet"/>
      <w:lvlText w:val=""/>
      <w:lvlJc w:val="left"/>
      <w:pPr>
        <w:ind w:left="7188" w:hanging="360"/>
      </w:pPr>
      <w:rPr>
        <w:rFonts w:ascii="Wingdings" w:hAnsi="Wingdings" w:hint="default"/>
      </w:rPr>
    </w:lvl>
  </w:abstractNum>
  <w:abstractNum w:abstractNumId="356">
    <w:nsid w:val="1D0B6768"/>
    <w:multiLevelType w:val="hybridMultilevel"/>
    <w:tmpl w:val="B10C9688"/>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357">
    <w:nsid w:val="1D1D1B42"/>
    <w:multiLevelType w:val="hybridMultilevel"/>
    <w:tmpl w:val="D9D6A970"/>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358">
    <w:nsid w:val="1D5B6005"/>
    <w:multiLevelType w:val="hybridMultilevel"/>
    <w:tmpl w:val="66A66EFA"/>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359">
    <w:nsid w:val="1D632034"/>
    <w:multiLevelType w:val="hybridMultilevel"/>
    <w:tmpl w:val="20D872CA"/>
    <w:lvl w:ilvl="0" w:tplc="0C0C0009">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360">
    <w:nsid w:val="1D6844D4"/>
    <w:multiLevelType w:val="hybridMultilevel"/>
    <w:tmpl w:val="56DA6330"/>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361">
    <w:nsid w:val="1D6B3F7A"/>
    <w:multiLevelType w:val="hybridMultilevel"/>
    <w:tmpl w:val="C308B60E"/>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362">
    <w:nsid w:val="1D7E2CB4"/>
    <w:multiLevelType w:val="hybridMultilevel"/>
    <w:tmpl w:val="48A2F29A"/>
    <w:lvl w:ilvl="0" w:tplc="0C0C0001">
      <w:start w:val="1"/>
      <w:numFmt w:val="bullet"/>
      <w:lvlText w:val=""/>
      <w:lvlJc w:val="left"/>
      <w:pPr>
        <w:ind w:left="720" w:hanging="360"/>
      </w:pPr>
      <w:rPr>
        <w:rFonts w:ascii="Symbol" w:hAnsi="Symbol" w:hint="default"/>
      </w:rPr>
    </w:lvl>
    <w:lvl w:ilvl="1" w:tplc="0C0C0003">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363">
    <w:nsid w:val="1D7F5367"/>
    <w:multiLevelType w:val="hybridMultilevel"/>
    <w:tmpl w:val="D97E6DAA"/>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364">
    <w:nsid w:val="1D9B6907"/>
    <w:multiLevelType w:val="multilevel"/>
    <w:tmpl w:val="0E645E24"/>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5">
    <w:nsid w:val="1D9C1ABB"/>
    <w:multiLevelType w:val="hybridMultilevel"/>
    <w:tmpl w:val="4F16860C"/>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366">
    <w:nsid w:val="1DA743FE"/>
    <w:multiLevelType w:val="hybridMultilevel"/>
    <w:tmpl w:val="53F8CB60"/>
    <w:lvl w:ilvl="0" w:tplc="0C0C000F">
      <w:start w:val="1"/>
      <w:numFmt w:val="decimal"/>
      <w:lvlText w:val="%1."/>
      <w:lvlJc w:val="left"/>
      <w:pPr>
        <w:ind w:left="360" w:hanging="360"/>
      </w:pPr>
    </w:lvl>
    <w:lvl w:ilvl="1" w:tplc="0C0C0019" w:tentative="1">
      <w:start w:val="1"/>
      <w:numFmt w:val="lowerLetter"/>
      <w:lvlText w:val="%2."/>
      <w:lvlJc w:val="left"/>
      <w:pPr>
        <w:ind w:left="1080" w:hanging="360"/>
      </w:pPr>
    </w:lvl>
    <w:lvl w:ilvl="2" w:tplc="0C0C001B" w:tentative="1">
      <w:start w:val="1"/>
      <w:numFmt w:val="lowerRoman"/>
      <w:lvlText w:val="%3."/>
      <w:lvlJc w:val="right"/>
      <w:pPr>
        <w:ind w:left="1800" w:hanging="180"/>
      </w:pPr>
    </w:lvl>
    <w:lvl w:ilvl="3" w:tplc="0C0C000F" w:tentative="1">
      <w:start w:val="1"/>
      <w:numFmt w:val="decimal"/>
      <w:lvlText w:val="%4."/>
      <w:lvlJc w:val="left"/>
      <w:pPr>
        <w:ind w:left="2520" w:hanging="360"/>
      </w:pPr>
    </w:lvl>
    <w:lvl w:ilvl="4" w:tplc="0C0C0019" w:tentative="1">
      <w:start w:val="1"/>
      <w:numFmt w:val="lowerLetter"/>
      <w:lvlText w:val="%5."/>
      <w:lvlJc w:val="left"/>
      <w:pPr>
        <w:ind w:left="3240" w:hanging="360"/>
      </w:pPr>
    </w:lvl>
    <w:lvl w:ilvl="5" w:tplc="0C0C001B" w:tentative="1">
      <w:start w:val="1"/>
      <w:numFmt w:val="lowerRoman"/>
      <w:lvlText w:val="%6."/>
      <w:lvlJc w:val="right"/>
      <w:pPr>
        <w:ind w:left="3960" w:hanging="180"/>
      </w:pPr>
    </w:lvl>
    <w:lvl w:ilvl="6" w:tplc="0C0C000F" w:tentative="1">
      <w:start w:val="1"/>
      <w:numFmt w:val="decimal"/>
      <w:lvlText w:val="%7."/>
      <w:lvlJc w:val="left"/>
      <w:pPr>
        <w:ind w:left="4680" w:hanging="360"/>
      </w:pPr>
    </w:lvl>
    <w:lvl w:ilvl="7" w:tplc="0C0C0019" w:tentative="1">
      <w:start w:val="1"/>
      <w:numFmt w:val="lowerLetter"/>
      <w:lvlText w:val="%8."/>
      <w:lvlJc w:val="left"/>
      <w:pPr>
        <w:ind w:left="5400" w:hanging="360"/>
      </w:pPr>
    </w:lvl>
    <w:lvl w:ilvl="8" w:tplc="0C0C001B" w:tentative="1">
      <w:start w:val="1"/>
      <w:numFmt w:val="lowerRoman"/>
      <w:lvlText w:val="%9."/>
      <w:lvlJc w:val="right"/>
      <w:pPr>
        <w:ind w:left="6120" w:hanging="180"/>
      </w:pPr>
    </w:lvl>
  </w:abstractNum>
  <w:abstractNum w:abstractNumId="367">
    <w:nsid w:val="1DE6366B"/>
    <w:multiLevelType w:val="hybridMultilevel"/>
    <w:tmpl w:val="B2248594"/>
    <w:lvl w:ilvl="0" w:tplc="0C0C0001">
      <w:start w:val="1"/>
      <w:numFmt w:val="bullet"/>
      <w:lvlText w:val=""/>
      <w:lvlJc w:val="left"/>
      <w:pPr>
        <w:ind w:left="1440" w:hanging="360"/>
      </w:pPr>
      <w:rPr>
        <w:rFonts w:ascii="Symbol" w:hAnsi="Symbol" w:hint="default"/>
      </w:rPr>
    </w:lvl>
    <w:lvl w:ilvl="1" w:tplc="0C0C0003" w:tentative="1">
      <w:start w:val="1"/>
      <w:numFmt w:val="bullet"/>
      <w:lvlText w:val="o"/>
      <w:lvlJc w:val="left"/>
      <w:pPr>
        <w:ind w:left="2160" w:hanging="360"/>
      </w:pPr>
      <w:rPr>
        <w:rFonts w:ascii="Courier New" w:hAnsi="Courier New" w:cs="Courier New" w:hint="default"/>
      </w:rPr>
    </w:lvl>
    <w:lvl w:ilvl="2" w:tplc="0C0C0005" w:tentative="1">
      <w:start w:val="1"/>
      <w:numFmt w:val="bullet"/>
      <w:lvlText w:val=""/>
      <w:lvlJc w:val="left"/>
      <w:pPr>
        <w:ind w:left="2880" w:hanging="360"/>
      </w:pPr>
      <w:rPr>
        <w:rFonts w:ascii="Wingdings" w:hAnsi="Wingdings" w:hint="default"/>
      </w:rPr>
    </w:lvl>
    <w:lvl w:ilvl="3" w:tplc="0C0C0001" w:tentative="1">
      <w:start w:val="1"/>
      <w:numFmt w:val="bullet"/>
      <w:lvlText w:val=""/>
      <w:lvlJc w:val="left"/>
      <w:pPr>
        <w:ind w:left="3600" w:hanging="360"/>
      </w:pPr>
      <w:rPr>
        <w:rFonts w:ascii="Symbol" w:hAnsi="Symbol" w:hint="default"/>
      </w:rPr>
    </w:lvl>
    <w:lvl w:ilvl="4" w:tplc="0C0C0003" w:tentative="1">
      <w:start w:val="1"/>
      <w:numFmt w:val="bullet"/>
      <w:lvlText w:val="o"/>
      <w:lvlJc w:val="left"/>
      <w:pPr>
        <w:ind w:left="4320" w:hanging="360"/>
      </w:pPr>
      <w:rPr>
        <w:rFonts w:ascii="Courier New" w:hAnsi="Courier New" w:cs="Courier New" w:hint="default"/>
      </w:rPr>
    </w:lvl>
    <w:lvl w:ilvl="5" w:tplc="0C0C0005" w:tentative="1">
      <w:start w:val="1"/>
      <w:numFmt w:val="bullet"/>
      <w:lvlText w:val=""/>
      <w:lvlJc w:val="left"/>
      <w:pPr>
        <w:ind w:left="5040" w:hanging="360"/>
      </w:pPr>
      <w:rPr>
        <w:rFonts w:ascii="Wingdings" w:hAnsi="Wingdings" w:hint="default"/>
      </w:rPr>
    </w:lvl>
    <w:lvl w:ilvl="6" w:tplc="0C0C0001" w:tentative="1">
      <w:start w:val="1"/>
      <w:numFmt w:val="bullet"/>
      <w:lvlText w:val=""/>
      <w:lvlJc w:val="left"/>
      <w:pPr>
        <w:ind w:left="5760" w:hanging="360"/>
      </w:pPr>
      <w:rPr>
        <w:rFonts w:ascii="Symbol" w:hAnsi="Symbol" w:hint="default"/>
      </w:rPr>
    </w:lvl>
    <w:lvl w:ilvl="7" w:tplc="0C0C0003" w:tentative="1">
      <w:start w:val="1"/>
      <w:numFmt w:val="bullet"/>
      <w:lvlText w:val="o"/>
      <w:lvlJc w:val="left"/>
      <w:pPr>
        <w:ind w:left="6480" w:hanging="360"/>
      </w:pPr>
      <w:rPr>
        <w:rFonts w:ascii="Courier New" w:hAnsi="Courier New" w:cs="Courier New" w:hint="default"/>
      </w:rPr>
    </w:lvl>
    <w:lvl w:ilvl="8" w:tplc="0C0C0005" w:tentative="1">
      <w:start w:val="1"/>
      <w:numFmt w:val="bullet"/>
      <w:lvlText w:val=""/>
      <w:lvlJc w:val="left"/>
      <w:pPr>
        <w:ind w:left="7200" w:hanging="360"/>
      </w:pPr>
      <w:rPr>
        <w:rFonts w:ascii="Wingdings" w:hAnsi="Wingdings" w:hint="default"/>
      </w:rPr>
    </w:lvl>
  </w:abstractNum>
  <w:abstractNum w:abstractNumId="368">
    <w:nsid w:val="1DF9033C"/>
    <w:multiLevelType w:val="hybridMultilevel"/>
    <w:tmpl w:val="89A60BDC"/>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369">
    <w:nsid w:val="1DFC0809"/>
    <w:multiLevelType w:val="hybridMultilevel"/>
    <w:tmpl w:val="ECEA949E"/>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370">
    <w:nsid w:val="1E09038A"/>
    <w:multiLevelType w:val="hybridMultilevel"/>
    <w:tmpl w:val="0D90CA46"/>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371">
    <w:nsid w:val="1E0E2A85"/>
    <w:multiLevelType w:val="multilevel"/>
    <w:tmpl w:val="D77C55E8"/>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2">
    <w:nsid w:val="1E15556E"/>
    <w:multiLevelType w:val="hybridMultilevel"/>
    <w:tmpl w:val="27148000"/>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373">
    <w:nsid w:val="1E3C2B9E"/>
    <w:multiLevelType w:val="hybridMultilevel"/>
    <w:tmpl w:val="111A5B0E"/>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374">
    <w:nsid w:val="1E420463"/>
    <w:multiLevelType w:val="hybridMultilevel"/>
    <w:tmpl w:val="F078C7EE"/>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375">
    <w:nsid w:val="1E487680"/>
    <w:multiLevelType w:val="hybridMultilevel"/>
    <w:tmpl w:val="6C1850D8"/>
    <w:lvl w:ilvl="0" w:tplc="0C0C0009">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376">
    <w:nsid w:val="1E6A03A7"/>
    <w:multiLevelType w:val="multilevel"/>
    <w:tmpl w:val="93746E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7">
    <w:nsid w:val="1E6C57F9"/>
    <w:multiLevelType w:val="hybridMultilevel"/>
    <w:tmpl w:val="7084DB10"/>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378">
    <w:nsid w:val="1E7E0F12"/>
    <w:multiLevelType w:val="hybridMultilevel"/>
    <w:tmpl w:val="AD38DEB4"/>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379">
    <w:nsid w:val="1E845357"/>
    <w:multiLevelType w:val="hybridMultilevel"/>
    <w:tmpl w:val="06067B48"/>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380">
    <w:nsid w:val="1E845D09"/>
    <w:multiLevelType w:val="multilevel"/>
    <w:tmpl w:val="C1AA2BB0"/>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1">
    <w:nsid w:val="1E880F31"/>
    <w:multiLevelType w:val="hybridMultilevel"/>
    <w:tmpl w:val="031CBA30"/>
    <w:lvl w:ilvl="0" w:tplc="0C0C000B">
      <w:start w:val="1"/>
      <w:numFmt w:val="bullet"/>
      <w:lvlText w:val=""/>
      <w:lvlJc w:val="left"/>
      <w:pPr>
        <w:ind w:left="720" w:hanging="360"/>
      </w:pPr>
      <w:rPr>
        <w:rFonts w:ascii="Wingdings" w:hAnsi="Wingdings" w:hint="default"/>
      </w:rPr>
    </w:lvl>
    <w:lvl w:ilvl="1" w:tplc="0C0C0003">
      <w:start w:val="1"/>
      <w:numFmt w:val="bullet"/>
      <w:lvlText w:val="o"/>
      <w:lvlJc w:val="left"/>
      <w:pPr>
        <w:ind w:left="1440" w:hanging="360"/>
      </w:pPr>
      <w:rPr>
        <w:rFonts w:ascii="Courier New" w:hAnsi="Courier New" w:cs="Courier New" w:hint="default"/>
      </w:rPr>
    </w:lvl>
    <w:lvl w:ilvl="2" w:tplc="0C0C0005">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382">
    <w:nsid w:val="1EA558B2"/>
    <w:multiLevelType w:val="hybridMultilevel"/>
    <w:tmpl w:val="D08076B0"/>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383">
    <w:nsid w:val="1EC178C3"/>
    <w:multiLevelType w:val="hybridMultilevel"/>
    <w:tmpl w:val="3A646DD0"/>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384">
    <w:nsid w:val="1EE16518"/>
    <w:multiLevelType w:val="hybridMultilevel"/>
    <w:tmpl w:val="4E44F758"/>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385">
    <w:nsid w:val="1EED229C"/>
    <w:multiLevelType w:val="hybridMultilevel"/>
    <w:tmpl w:val="015A39DC"/>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386">
    <w:nsid w:val="1EFC5C35"/>
    <w:multiLevelType w:val="hybridMultilevel"/>
    <w:tmpl w:val="454AB786"/>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387">
    <w:nsid w:val="1F0258F9"/>
    <w:multiLevelType w:val="hybridMultilevel"/>
    <w:tmpl w:val="11646E52"/>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388">
    <w:nsid w:val="1F1A4F9A"/>
    <w:multiLevelType w:val="hybridMultilevel"/>
    <w:tmpl w:val="154ED7EC"/>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389">
    <w:nsid w:val="1F1B1477"/>
    <w:multiLevelType w:val="hybridMultilevel"/>
    <w:tmpl w:val="901E4B5A"/>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390">
    <w:nsid w:val="1F232A8E"/>
    <w:multiLevelType w:val="hybridMultilevel"/>
    <w:tmpl w:val="752224D0"/>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391">
    <w:nsid w:val="1F2470CD"/>
    <w:multiLevelType w:val="hybridMultilevel"/>
    <w:tmpl w:val="826E1C04"/>
    <w:lvl w:ilvl="0" w:tplc="0C0C0009">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392">
    <w:nsid w:val="1F302B35"/>
    <w:multiLevelType w:val="hybridMultilevel"/>
    <w:tmpl w:val="741A857A"/>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393">
    <w:nsid w:val="1F303452"/>
    <w:multiLevelType w:val="hybridMultilevel"/>
    <w:tmpl w:val="B8CAB8FC"/>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394">
    <w:nsid w:val="1F6348D1"/>
    <w:multiLevelType w:val="hybridMultilevel"/>
    <w:tmpl w:val="7098DB3E"/>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395">
    <w:nsid w:val="1F91376B"/>
    <w:multiLevelType w:val="hybridMultilevel"/>
    <w:tmpl w:val="A3440262"/>
    <w:lvl w:ilvl="0" w:tplc="0C0C000B">
      <w:start w:val="1"/>
      <w:numFmt w:val="bullet"/>
      <w:lvlText w:val=""/>
      <w:lvlJc w:val="left"/>
      <w:pPr>
        <w:ind w:left="1080" w:hanging="360"/>
      </w:pPr>
      <w:rPr>
        <w:rFonts w:ascii="Wingdings" w:hAnsi="Wingdings" w:hint="default"/>
      </w:rPr>
    </w:lvl>
    <w:lvl w:ilvl="1" w:tplc="0C0C0003" w:tentative="1">
      <w:start w:val="1"/>
      <w:numFmt w:val="bullet"/>
      <w:lvlText w:val="o"/>
      <w:lvlJc w:val="left"/>
      <w:pPr>
        <w:ind w:left="1800" w:hanging="360"/>
      </w:pPr>
      <w:rPr>
        <w:rFonts w:ascii="Courier New" w:hAnsi="Courier New" w:cs="Courier New" w:hint="default"/>
      </w:rPr>
    </w:lvl>
    <w:lvl w:ilvl="2" w:tplc="0C0C0005" w:tentative="1">
      <w:start w:val="1"/>
      <w:numFmt w:val="bullet"/>
      <w:lvlText w:val=""/>
      <w:lvlJc w:val="left"/>
      <w:pPr>
        <w:ind w:left="2520" w:hanging="360"/>
      </w:pPr>
      <w:rPr>
        <w:rFonts w:ascii="Wingdings" w:hAnsi="Wingdings" w:hint="default"/>
      </w:rPr>
    </w:lvl>
    <w:lvl w:ilvl="3" w:tplc="0C0C0001" w:tentative="1">
      <w:start w:val="1"/>
      <w:numFmt w:val="bullet"/>
      <w:lvlText w:val=""/>
      <w:lvlJc w:val="left"/>
      <w:pPr>
        <w:ind w:left="3240" w:hanging="360"/>
      </w:pPr>
      <w:rPr>
        <w:rFonts w:ascii="Symbol" w:hAnsi="Symbol" w:hint="default"/>
      </w:rPr>
    </w:lvl>
    <w:lvl w:ilvl="4" w:tplc="0C0C0003" w:tentative="1">
      <w:start w:val="1"/>
      <w:numFmt w:val="bullet"/>
      <w:lvlText w:val="o"/>
      <w:lvlJc w:val="left"/>
      <w:pPr>
        <w:ind w:left="3960" w:hanging="360"/>
      </w:pPr>
      <w:rPr>
        <w:rFonts w:ascii="Courier New" w:hAnsi="Courier New" w:cs="Courier New" w:hint="default"/>
      </w:rPr>
    </w:lvl>
    <w:lvl w:ilvl="5" w:tplc="0C0C0005" w:tentative="1">
      <w:start w:val="1"/>
      <w:numFmt w:val="bullet"/>
      <w:lvlText w:val=""/>
      <w:lvlJc w:val="left"/>
      <w:pPr>
        <w:ind w:left="4680" w:hanging="360"/>
      </w:pPr>
      <w:rPr>
        <w:rFonts w:ascii="Wingdings" w:hAnsi="Wingdings" w:hint="default"/>
      </w:rPr>
    </w:lvl>
    <w:lvl w:ilvl="6" w:tplc="0C0C0001" w:tentative="1">
      <w:start w:val="1"/>
      <w:numFmt w:val="bullet"/>
      <w:lvlText w:val=""/>
      <w:lvlJc w:val="left"/>
      <w:pPr>
        <w:ind w:left="5400" w:hanging="360"/>
      </w:pPr>
      <w:rPr>
        <w:rFonts w:ascii="Symbol" w:hAnsi="Symbol" w:hint="default"/>
      </w:rPr>
    </w:lvl>
    <w:lvl w:ilvl="7" w:tplc="0C0C0003" w:tentative="1">
      <w:start w:val="1"/>
      <w:numFmt w:val="bullet"/>
      <w:lvlText w:val="o"/>
      <w:lvlJc w:val="left"/>
      <w:pPr>
        <w:ind w:left="6120" w:hanging="360"/>
      </w:pPr>
      <w:rPr>
        <w:rFonts w:ascii="Courier New" w:hAnsi="Courier New" w:cs="Courier New" w:hint="default"/>
      </w:rPr>
    </w:lvl>
    <w:lvl w:ilvl="8" w:tplc="0C0C0005" w:tentative="1">
      <w:start w:val="1"/>
      <w:numFmt w:val="bullet"/>
      <w:lvlText w:val=""/>
      <w:lvlJc w:val="left"/>
      <w:pPr>
        <w:ind w:left="6840" w:hanging="360"/>
      </w:pPr>
      <w:rPr>
        <w:rFonts w:ascii="Wingdings" w:hAnsi="Wingdings" w:hint="default"/>
      </w:rPr>
    </w:lvl>
  </w:abstractNum>
  <w:abstractNum w:abstractNumId="396">
    <w:nsid w:val="1F96769E"/>
    <w:multiLevelType w:val="hybridMultilevel"/>
    <w:tmpl w:val="5FC21D60"/>
    <w:lvl w:ilvl="0" w:tplc="0C0C000B">
      <w:start w:val="1"/>
      <w:numFmt w:val="bullet"/>
      <w:lvlText w:val=""/>
      <w:lvlJc w:val="left"/>
      <w:pPr>
        <w:ind w:left="720" w:hanging="360"/>
      </w:pPr>
      <w:rPr>
        <w:rFonts w:ascii="Wingdings" w:hAnsi="Wingdings" w:hint="default"/>
      </w:rPr>
    </w:lvl>
    <w:lvl w:ilvl="1" w:tplc="0C0C0003">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397">
    <w:nsid w:val="1F9D7312"/>
    <w:multiLevelType w:val="hybridMultilevel"/>
    <w:tmpl w:val="9B603336"/>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398">
    <w:nsid w:val="1FCA414A"/>
    <w:multiLevelType w:val="hybridMultilevel"/>
    <w:tmpl w:val="F0CC4BD6"/>
    <w:lvl w:ilvl="0" w:tplc="0C0C000B">
      <w:start w:val="1"/>
      <w:numFmt w:val="bullet"/>
      <w:lvlText w:val=""/>
      <w:lvlJc w:val="left"/>
      <w:pPr>
        <w:ind w:left="720" w:hanging="360"/>
      </w:pPr>
      <w:rPr>
        <w:rFonts w:ascii="Wingdings" w:hAnsi="Wingdings" w:hint="default"/>
      </w:rPr>
    </w:lvl>
    <w:lvl w:ilvl="1" w:tplc="0C0C0003">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399">
    <w:nsid w:val="1FCD314D"/>
    <w:multiLevelType w:val="multilevel"/>
    <w:tmpl w:val="1E48017C"/>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0">
    <w:nsid w:val="1FE70A33"/>
    <w:multiLevelType w:val="hybridMultilevel"/>
    <w:tmpl w:val="0FEACF06"/>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401">
    <w:nsid w:val="1FEB426B"/>
    <w:multiLevelType w:val="hybridMultilevel"/>
    <w:tmpl w:val="656EC7BA"/>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402">
    <w:nsid w:val="1FF35F13"/>
    <w:multiLevelType w:val="hybridMultilevel"/>
    <w:tmpl w:val="36EE9B48"/>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403">
    <w:nsid w:val="1FF95BB6"/>
    <w:multiLevelType w:val="hybridMultilevel"/>
    <w:tmpl w:val="3A7C02E6"/>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404">
    <w:nsid w:val="20051DFB"/>
    <w:multiLevelType w:val="hybridMultilevel"/>
    <w:tmpl w:val="C6D20436"/>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405">
    <w:nsid w:val="200D4490"/>
    <w:multiLevelType w:val="hybridMultilevel"/>
    <w:tmpl w:val="22DE0B18"/>
    <w:lvl w:ilvl="0" w:tplc="0C0C0003">
      <w:start w:val="1"/>
      <w:numFmt w:val="bullet"/>
      <w:lvlText w:val="o"/>
      <w:lvlJc w:val="left"/>
      <w:pPr>
        <w:ind w:left="720" w:hanging="360"/>
      </w:pPr>
      <w:rPr>
        <w:rFonts w:ascii="Courier New" w:hAnsi="Courier New" w:cs="Courier New" w:hint="default"/>
      </w:r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406">
    <w:nsid w:val="20150C6B"/>
    <w:multiLevelType w:val="hybridMultilevel"/>
    <w:tmpl w:val="4566D94E"/>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407">
    <w:nsid w:val="20522442"/>
    <w:multiLevelType w:val="hybridMultilevel"/>
    <w:tmpl w:val="73FAA80E"/>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408">
    <w:nsid w:val="20593A18"/>
    <w:multiLevelType w:val="hybridMultilevel"/>
    <w:tmpl w:val="E7486FA6"/>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409">
    <w:nsid w:val="20602CF1"/>
    <w:multiLevelType w:val="hybridMultilevel"/>
    <w:tmpl w:val="5E486EC6"/>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410">
    <w:nsid w:val="20631E7A"/>
    <w:multiLevelType w:val="hybridMultilevel"/>
    <w:tmpl w:val="CB24BF00"/>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411">
    <w:nsid w:val="206C7CF1"/>
    <w:multiLevelType w:val="hybridMultilevel"/>
    <w:tmpl w:val="E0EC39B8"/>
    <w:lvl w:ilvl="0" w:tplc="0C0C0005">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412">
    <w:nsid w:val="2085550E"/>
    <w:multiLevelType w:val="hybridMultilevel"/>
    <w:tmpl w:val="9CF615DE"/>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413">
    <w:nsid w:val="2087240E"/>
    <w:multiLevelType w:val="hybridMultilevel"/>
    <w:tmpl w:val="1EFC1258"/>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414">
    <w:nsid w:val="208A1942"/>
    <w:multiLevelType w:val="hybridMultilevel"/>
    <w:tmpl w:val="6D04BDDE"/>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415">
    <w:nsid w:val="208D6D4F"/>
    <w:multiLevelType w:val="hybridMultilevel"/>
    <w:tmpl w:val="9FF86D70"/>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416">
    <w:nsid w:val="209401C5"/>
    <w:multiLevelType w:val="hybridMultilevel"/>
    <w:tmpl w:val="02469772"/>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417">
    <w:nsid w:val="20CC75C2"/>
    <w:multiLevelType w:val="multilevel"/>
    <w:tmpl w:val="E8269A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8">
    <w:nsid w:val="20E239D5"/>
    <w:multiLevelType w:val="hybridMultilevel"/>
    <w:tmpl w:val="A5D09FBE"/>
    <w:lvl w:ilvl="0" w:tplc="0C0C0003">
      <w:start w:val="1"/>
      <w:numFmt w:val="bullet"/>
      <w:lvlText w:val="o"/>
      <w:lvlJc w:val="left"/>
      <w:pPr>
        <w:ind w:left="1068" w:hanging="360"/>
      </w:pPr>
      <w:rPr>
        <w:rFonts w:ascii="Courier New" w:hAnsi="Courier New" w:cs="Courier New" w:hint="default"/>
      </w:rPr>
    </w:lvl>
    <w:lvl w:ilvl="1" w:tplc="0C0C0003" w:tentative="1">
      <w:start w:val="1"/>
      <w:numFmt w:val="bullet"/>
      <w:lvlText w:val="o"/>
      <w:lvlJc w:val="left"/>
      <w:pPr>
        <w:ind w:left="1788" w:hanging="360"/>
      </w:pPr>
      <w:rPr>
        <w:rFonts w:ascii="Courier New" w:hAnsi="Courier New" w:cs="Courier New" w:hint="default"/>
      </w:rPr>
    </w:lvl>
    <w:lvl w:ilvl="2" w:tplc="0C0C0005" w:tentative="1">
      <w:start w:val="1"/>
      <w:numFmt w:val="bullet"/>
      <w:lvlText w:val=""/>
      <w:lvlJc w:val="left"/>
      <w:pPr>
        <w:ind w:left="2508" w:hanging="360"/>
      </w:pPr>
      <w:rPr>
        <w:rFonts w:ascii="Wingdings" w:hAnsi="Wingdings" w:hint="default"/>
      </w:rPr>
    </w:lvl>
    <w:lvl w:ilvl="3" w:tplc="0C0C0001" w:tentative="1">
      <w:start w:val="1"/>
      <w:numFmt w:val="bullet"/>
      <w:lvlText w:val=""/>
      <w:lvlJc w:val="left"/>
      <w:pPr>
        <w:ind w:left="3228" w:hanging="360"/>
      </w:pPr>
      <w:rPr>
        <w:rFonts w:ascii="Symbol" w:hAnsi="Symbol" w:hint="default"/>
      </w:rPr>
    </w:lvl>
    <w:lvl w:ilvl="4" w:tplc="0C0C0003" w:tentative="1">
      <w:start w:val="1"/>
      <w:numFmt w:val="bullet"/>
      <w:lvlText w:val="o"/>
      <w:lvlJc w:val="left"/>
      <w:pPr>
        <w:ind w:left="3948" w:hanging="360"/>
      </w:pPr>
      <w:rPr>
        <w:rFonts w:ascii="Courier New" w:hAnsi="Courier New" w:cs="Courier New" w:hint="default"/>
      </w:rPr>
    </w:lvl>
    <w:lvl w:ilvl="5" w:tplc="0C0C0005" w:tentative="1">
      <w:start w:val="1"/>
      <w:numFmt w:val="bullet"/>
      <w:lvlText w:val=""/>
      <w:lvlJc w:val="left"/>
      <w:pPr>
        <w:ind w:left="4668" w:hanging="360"/>
      </w:pPr>
      <w:rPr>
        <w:rFonts w:ascii="Wingdings" w:hAnsi="Wingdings" w:hint="default"/>
      </w:rPr>
    </w:lvl>
    <w:lvl w:ilvl="6" w:tplc="0C0C0001" w:tentative="1">
      <w:start w:val="1"/>
      <w:numFmt w:val="bullet"/>
      <w:lvlText w:val=""/>
      <w:lvlJc w:val="left"/>
      <w:pPr>
        <w:ind w:left="5388" w:hanging="360"/>
      </w:pPr>
      <w:rPr>
        <w:rFonts w:ascii="Symbol" w:hAnsi="Symbol" w:hint="default"/>
      </w:rPr>
    </w:lvl>
    <w:lvl w:ilvl="7" w:tplc="0C0C0003" w:tentative="1">
      <w:start w:val="1"/>
      <w:numFmt w:val="bullet"/>
      <w:lvlText w:val="o"/>
      <w:lvlJc w:val="left"/>
      <w:pPr>
        <w:ind w:left="6108" w:hanging="360"/>
      </w:pPr>
      <w:rPr>
        <w:rFonts w:ascii="Courier New" w:hAnsi="Courier New" w:cs="Courier New" w:hint="default"/>
      </w:rPr>
    </w:lvl>
    <w:lvl w:ilvl="8" w:tplc="0C0C0005" w:tentative="1">
      <w:start w:val="1"/>
      <w:numFmt w:val="bullet"/>
      <w:lvlText w:val=""/>
      <w:lvlJc w:val="left"/>
      <w:pPr>
        <w:ind w:left="6828" w:hanging="360"/>
      </w:pPr>
      <w:rPr>
        <w:rFonts w:ascii="Wingdings" w:hAnsi="Wingdings" w:hint="default"/>
      </w:rPr>
    </w:lvl>
  </w:abstractNum>
  <w:abstractNum w:abstractNumId="419">
    <w:nsid w:val="20E52932"/>
    <w:multiLevelType w:val="hybridMultilevel"/>
    <w:tmpl w:val="42C26EF4"/>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420">
    <w:nsid w:val="20ED53E8"/>
    <w:multiLevelType w:val="hybridMultilevel"/>
    <w:tmpl w:val="40685958"/>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421">
    <w:nsid w:val="20F7647A"/>
    <w:multiLevelType w:val="hybridMultilevel"/>
    <w:tmpl w:val="E03C0D1A"/>
    <w:lvl w:ilvl="0" w:tplc="0C0C0015">
      <w:start w:val="1"/>
      <w:numFmt w:val="upperLetter"/>
      <w:lvlText w:val="%1."/>
      <w:lvlJc w:val="left"/>
      <w:pPr>
        <w:ind w:left="720" w:hanging="360"/>
      </w:pPr>
    </w:lvl>
    <w:lvl w:ilvl="1" w:tplc="0C0C0003">
      <w:start w:val="1"/>
      <w:numFmt w:val="bullet"/>
      <w:lvlText w:val="o"/>
      <w:lvlJc w:val="left"/>
      <w:pPr>
        <w:ind w:left="1440" w:hanging="360"/>
      </w:pPr>
      <w:rPr>
        <w:rFonts w:ascii="Courier New" w:hAnsi="Courier New" w:cs="Courier New" w:hint="default"/>
      </w:r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422">
    <w:nsid w:val="21310E64"/>
    <w:multiLevelType w:val="multilevel"/>
    <w:tmpl w:val="70E6902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423">
    <w:nsid w:val="21410480"/>
    <w:multiLevelType w:val="hybridMultilevel"/>
    <w:tmpl w:val="9DCC4616"/>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424">
    <w:nsid w:val="21492287"/>
    <w:multiLevelType w:val="hybridMultilevel"/>
    <w:tmpl w:val="7A7C6C58"/>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425">
    <w:nsid w:val="214A5D38"/>
    <w:multiLevelType w:val="hybridMultilevel"/>
    <w:tmpl w:val="F5E2803A"/>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426">
    <w:nsid w:val="2153292B"/>
    <w:multiLevelType w:val="hybridMultilevel"/>
    <w:tmpl w:val="46721392"/>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427">
    <w:nsid w:val="21A6149E"/>
    <w:multiLevelType w:val="hybridMultilevel"/>
    <w:tmpl w:val="32D0B810"/>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428">
    <w:nsid w:val="21B70FA6"/>
    <w:multiLevelType w:val="hybridMultilevel"/>
    <w:tmpl w:val="1E3C6340"/>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429">
    <w:nsid w:val="21BA064E"/>
    <w:multiLevelType w:val="hybridMultilevel"/>
    <w:tmpl w:val="919A2326"/>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430">
    <w:nsid w:val="21C9435D"/>
    <w:multiLevelType w:val="hybridMultilevel"/>
    <w:tmpl w:val="ED3CD0E2"/>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431">
    <w:nsid w:val="21D404C2"/>
    <w:multiLevelType w:val="hybridMultilevel"/>
    <w:tmpl w:val="7D943CB6"/>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432">
    <w:nsid w:val="21E800C8"/>
    <w:multiLevelType w:val="hybridMultilevel"/>
    <w:tmpl w:val="5A3ABC44"/>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433">
    <w:nsid w:val="21F27561"/>
    <w:multiLevelType w:val="hybridMultilevel"/>
    <w:tmpl w:val="A12821FE"/>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434">
    <w:nsid w:val="21FF61E4"/>
    <w:multiLevelType w:val="hybridMultilevel"/>
    <w:tmpl w:val="77C07E3C"/>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435">
    <w:nsid w:val="222C21E7"/>
    <w:multiLevelType w:val="hybridMultilevel"/>
    <w:tmpl w:val="CC5A15E8"/>
    <w:lvl w:ilvl="0" w:tplc="0C0C0001">
      <w:start w:val="1"/>
      <w:numFmt w:val="bullet"/>
      <w:lvlText w:val=""/>
      <w:lvlJc w:val="left"/>
      <w:pPr>
        <w:ind w:left="1068" w:hanging="360"/>
      </w:pPr>
      <w:rPr>
        <w:rFonts w:ascii="Symbol" w:hAnsi="Symbol" w:hint="default"/>
      </w:rPr>
    </w:lvl>
    <w:lvl w:ilvl="1" w:tplc="0C0C0003">
      <w:start w:val="1"/>
      <w:numFmt w:val="bullet"/>
      <w:lvlText w:val="o"/>
      <w:lvlJc w:val="left"/>
      <w:pPr>
        <w:ind w:left="1788" w:hanging="360"/>
      </w:pPr>
      <w:rPr>
        <w:rFonts w:ascii="Courier New" w:hAnsi="Courier New" w:cs="Courier New" w:hint="default"/>
      </w:rPr>
    </w:lvl>
    <w:lvl w:ilvl="2" w:tplc="0C0C0005" w:tentative="1">
      <w:start w:val="1"/>
      <w:numFmt w:val="bullet"/>
      <w:lvlText w:val=""/>
      <w:lvlJc w:val="left"/>
      <w:pPr>
        <w:ind w:left="2508" w:hanging="360"/>
      </w:pPr>
      <w:rPr>
        <w:rFonts w:ascii="Wingdings" w:hAnsi="Wingdings" w:hint="default"/>
      </w:rPr>
    </w:lvl>
    <w:lvl w:ilvl="3" w:tplc="0C0C0001" w:tentative="1">
      <w:start w:val="1"/>
      <w:numFmt w:val="bullet"/>
      <w:lvlText w:val=""/>
      <w:lvlJc w:val="left"/>
      <w:pPr>
        <w:ind w:left="3228" w:hanging="360"/>
      </w:pPr>
      <w:rPr>
        <w:rFonts w:ascii="Symbol" w:hAnsi="Symbol" w:hint="default"/>
      </w:rPr>
    </w:lvl>
    <w:lvl w:ilvl="4" w:tplc="0C0C0003" w:tentative="1">
      <w:start w:val="1"/>
      <w:numFmt w:val="bullet"/>
      <w:lvlText w:val="o"/>
      <w:lvlJc w:val="left"/>
      <w:pPr>
        <w:ind w:left="3948" w:hanging="360"/>
      </w:pPr>
      <w:rPr>
        <w:rFonts w:ascii="Courier New" w:hAnsi="Courier New" w:cs="Courier New" w:hint="default"/>
      </w:rPr>
    </w:lvl>
    <w:lvl w:ilvl="5" w:tplc="0C0C0005" w:tentative="1">
      <w:start w:val="1"/>
      <w:numFmt w:val="bullet"/>
      <w:lvlText w:val=""/>
      <w:lvlJc w:val="left"/>
      <w:pPr>
        <w:ind w:left="4668" w:hanging="360"/>
      </w:pPr>
      <w:rPr>
        <w:rFonts w:ascii="Wingdings" w:hAnsi="Wingdings" w:hint="default"/>
      </w:rPr>
    </w:lvl>
    <w:lvl w:ilvl="6" w:tplc="0C0C0001" w:tentative="1">
      <w:start w:val="1"/>
      <w:numFmt w:val="bullet"/>
      <w:lvlText w:val=""/>
      <w:lvlJc w:val="left"/>
      <w:pPr>
        <w:ind w:left="5388" w:hanging="360"/>
      </w:pPr>
      <w:rPr>
        <w:rFonts w:ascii="Symbol" w:hAnsi="Symbol" w:hint="default"/>
      </w:rPr>
    </w:lvl>
    <w:lvl w:ilvl="7" w:tplc="0C0C0003" w:tentative="1">
      <w:start w:val="1"/>
      <w:numFmt w:val="bullet"/>
      <w:lvlText w:val="o"/>
      <w:lvlJc w:val="left"/>
      <w:pPr>
        <w:ind w:left="6108" w:hanging="360"/>
      </w:pPr>
      <w:rPr>
        <w:rFonts w:ascii="Courier New" w:hAnsi="Courier New" w:cs="Courier New" w:hint="default"/>
      </w:rPr>
    </w:lvl>
    <w:lvl w:ilvl="8" w:tplc="0C0C0005" w:tentative="1">
      <w:start w:val="1"/>
      <w:numFmt w:val="bullet"/>
      <w:lvlText w:val=""/>
      <w:lvlJc w:val="left"/>
      <w:pPr>
        <w:ind w:left="6828" w:hanging="360"/>
      </w:pPr>
      <w:rPr>
        <w:rFonts w:ascii="Wingdings" w:hAnsi="Wingdings" w:hint="default"/>
      </w:rPr>
    </w:lvl>
  </w:abstractNum>
  <w:abstractNum w:abstractNumId="436">
    <w:nsid w:val="22474615"/>
    <w:multiLevelType w:val="hybridMultilevel"/>
    <w:tmpl w:val="BC4C56E4"/>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437">
    <w:nsid w:val="224859C6"/>
    <w:multiLevelType w:val="hybridMultilevel"/>
    <w:tmpl w:val="8C68FBCE"/>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438">
    <w:nsid w:val="22792549"/>
    <w:multiLevelType w:val="hybridMultilevel"/>
    <w:tmpl w:val="103050F8"/>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439">
    <w:nsid w:val="228F79AD"/>
    <w:multiLevelType w:val="hybridMultilevel"/>
    <w:tmpl w:val="5A7CA630"/>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440">
    <w:nsid w:val="229C7931"/>
    <w:multiLevelType w:val="hybridMultilevel"/>
    <w:tmpl w:val="58DA2542"/>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441">
    <w:nsid w:val="22A6733D"/>
    <w:multiLevelType w:val="hybridMultilevel"/>
    <w:tmpl w:val="7C346BAA"/>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442">
    <w:nsid w:val="22A84A4D"/>
    <w:multiLevelType w:val="hybridMultilevel"/>
    <w:tmpl w:val="1894596C"/>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443">
    <w:nsid w:val="22A963DB"/>
    <w:multiLevelType w:val="hybridMultilevel"/>
    <w:tmpl w:val="3148E3B6"/>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444">
    <w:nsid w:val="22B6642D"/>
    <w:multiLevelType w:val="hybridMultilevel"/>
    <w:tmpl w:val="A920A814"/>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445">
    <w:nsid w:val="22CA5E16"/>
    <w:multiLevelType w:val="hybridMultilevel"/>
    <w:tmpl w:val="729677A0"/>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446">
    <w:nsid w:val="22CD3912"/>
    <w:multiLevelType w:val="hybridMultilevel"/>
    <w:tmpl w:val="65E6868A"/>
    <w:lvl w:ilvl="0" w:tplc="0C0C000B">
      <w:start w:val="1"/>
      <w:numFmt w:val="bullet"/>
      <w:lvlText w:val=""/>
      <w:lvlJc w:val="left"/>
      <w:pPr>
        <w:ind w:left="720" w:hanging="360"/>
      </w:pPr>
      <w:rPr>
        <w:rFonts w:ascii="Wingdings" w:hAnsi="Wingdings" w:hint="default"/>
      </w:rPr>
    </w:lvl>
    <w:lvl w:ilvl="1" w:tplc="0C0C0003">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447">
    <w:nsid w:val="22D56BE7"/>
    <w:multiLevelType w:val="hybridMultilevel"/>
    <w:tmpl w:val="A21C9C1E"/>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448">
    <w:nsid w:val="22D62DE7"/>
    <w:multiLevelType w:val="hybridMultilevel"/>
    <w:tmpl w:val="4DBA2C06"/>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449">
    <w:nsid w:val="22DD41AB"/>
    <w:multiLevelType w:val="hybridMultilevel"/>
    <w:tmpl w:val="F502D36E"/>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450">
    <w:nsid w:val="232879A8"/>
    <w:multiLevelType w:val="hybridMultilevel"/>
    <w:tmpl w:val="F3CEB86C"/>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451">
    <w:nsid w:val="232F0588"/>
    <w:multiLevelType w:val="hybridMultilevel"/>
    <w:tmpl w:val="BE5C4842"/>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452">
    <w:nsid w:val="23541897"/>
    <w:multiLevelType w:val="hybridMultilevel"/>
    <w:tmpl w:val="2A9E536C"/>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453">
    <w:nsid w:val="23681015"/>
    <w:multiLevelType w:val="hybridMultilevel"/>
    <w:tmpl w:val="5C86D3A2"/>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454">
    <w:nsid w:val="236A4EBA"/>
    <w:multiLevelType w:val="hybridMultilevel"/>
    <w:tmpl w:val="02F26B6E"/>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455">
    <w:nsid w:val="2382675C"/>
    <w:multiLevelType w:val="hybridMultilevel"/>
    <w:tmpl w:val="DE38C44A"/>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456">
    <w:nsid w:val="238D1334"/>
    <w:multiLevelType w:val="hybridMultilevel"/>
    <w:tmpl w:val="AE7A09DE"/>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457">
    <w:nsid w:val="239C42DF"/>
    <w:multiLevelType w:val="hybridMultilevel"/>
    <w:tmpl w:val="6296A186"/>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458">
    <w:nsid w:val="23DB4F57"/>
    <w:multiLevelType w:val="hybridMultilevel"/>
    <w:tmpl w:val="28DC01AA"/>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459">
    <w:nsid w:val="23DF5647"/>
    <w:multiLevelType w:val="hybridMultilevel"/>
    <w:tmpl w:val="7220C066"/>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460">
    <w:nsid w:val="23E37BA8"/>
    <w:multiLevelType w:val="hybridMultilevel"/>
    <w:tmpl w:val="EDFC723C"/>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461">
    <w:nsid w:val="23FC36E9"/>
    <w:multiLevelType w:val="hybridMultilevel"/>
    <w:tmpl w:val="A1DCFAC6"/>
    <w:lvl w:ilvl="0" w:tplc="0C0C000B">
      <w:start w:val="1"/>
      <w:numFmt w:val="bullet"/>
      <w:lvlText w:val=""/>
      <w:lvlJc w:val="left"/>
      <w:pPr>
        <w:ind w:left="720" w:hanging="360"/>
      </w:pPr>
      <w:rPr>
        <w:rFonts w:ascii="Wingdings" w:hAnsi="Wingdings" w:hint="default"/>
      </w:rPr>
    </w:lvl>
    <w:lvl w:ilvl="1" w:tplc="0C0C0003">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462">
    <w:nsid w:val="241E38FF"/>
    <w:multiLevelType w:val="hybridMultilevel"/>
    <w:tmpl w:val="8716B9F4"/>
    <w:lvl w:ilvl="0" w:tplc="0C0C0003">
      <w:start w:val="1"/>
      <w:numFmt w:val="bullet"/>
      <w:lvlText w:val="o"/>
      <w:lvlJc w:val="left"/>
      <w:pPr>
        <w:ind w:left="1776" w:hanging="360"/>
      </w:pPr>
      <w:rPr>
        <w:rFonts w:ascii="Courier New" w:hAnsi="Courier New" w:cs="Courier New" w:hint="default"/>
      </w:rPr>
    </w:lvl>
    <w:lvl w:ilvl="1" w:tplc="0C0C0019" w:tentative="1">
      <w:start w:val="1"/>
      <w:numFmt w:val="lowerLetter"/>
      <w:lvlText w:val="%2."/>
      <w:lvlJc w:val="left"/>
      <w:pPr>
        <w:ind w:left="2911" w:hanging="360"/>
      </w:pPr>
    </w:lvl>
    <w:lvl w:ilvl="2" w:tplc="0C0C001B" w:tentative="1">
      <w:start w:val="1"/>
      <w:numFmt w:val="lowerRoman"/>
      <w:lvlText w:val="%3."/>
      <w:lvlJc w:val="right"/>
      <w:pPr>
        <w:ind w:left="3631" w:hanging="180"/>
      </w:pPr>
    </w:lvl>
    <w:lvl w:ilvl="3" w:tplc="0C0C000F" w:tentative="1">
      <w:start w:val="1"/>
      <w:numFmt w:val="decimal"/>
      <w:lvlText w:val="%4."/>
      <w:lvlJc w:val="left"/>
      <w:pPr>
        <w:ind w:left="4351" w:hanging="360"/>
      </w:pPr>
    </w:lvl>
    <w:lvl w:ilvl="4" w:tplc="0C0C0019" w:tentative="1">
      <w:start w:val="1"/>
      <w:numFmt w:val="lowerLetter"/>
      <w:lvlText w:val="%5."/>
      <w:lvlJc w:val="left"/>
      <w:pPr>
        <w:ind w:left="5071" w:hanging="360"/>
      </w:pPr>
    </w:lvl>
    <w:lvl w:ilvl="5" w:tplc="0C0C001B" w:tentative="1">
      <w:start w:val="1"/>
      <w:numFmt w:val="lowerRoman"/>
      <w:lvlText w:val="%6."/>
      <w:lvlJc w:val="right"/>
      <w:pPr>
        <w:ind w:left="5791" w:hanging="180"/>
      </w:pPr>
    </w:lvl>
    <w:lvl w:ilvl="6" w:tplc="0C0C000F" w:tentative="1">
      <w:start w:val="1"/>
      <w:numFmt w:val="decimal"/>
      <w:lvlText w:val="%7."/>
      <w:lvlJc w:val="left"/>
      <w:pPr>
        <w:ind w:left="6511" w:hanging="360"/>
      </w:pPr>
    </w:lvl>
    <w:lvl w:ilvl="7" w:tplc="0C0C0019" w:tentative="1">
      <w:start w:val="1"/>
      <w:numFmt w:val="lowerLetter"/>
      <w:lvlText w:val="%8."/>
      <w:lvlJc w:val="left"/>
      <w:pPr>
        <w:ind w:left="7231" w:hanging="360"/>
      </w:pPr>
    </w:lvl>
    <w:lvl w:ilvl="8" w:tplc="0C0C001B" w:tentative="1">
      <w:start w:val="1"/>
      <w:numFmt w:val="lowerRoman"/>
      <w:lvlText w:val="%9."/>
      <w:lvlJc w:val="right"/>
      <w:pPr>
        <w:ind w:left="7951" w:hanging="180"/>
      </w:pPr>
    </w:lvl>
  </w:abstractNum>
  <w:abstractNum w:abstractNumId="463">
    <w:nsid w:val="24272BEB"/>
    <w:multiLevelType w:val="hybridMultilevel"/>
    <w:tmpl w:val="079C564E"/>
    <w:lvl w:ilvl="0" w:tplc="0C0C000B">
      <w:start w:val="1"/>
      <w:numFmt w:val="bullet"/>
      <w:lvlText w:val=""/>
      <w:lvlJc w:val="left"/>
      <w:pPr>
        <w:ind w:left="720" w:hanging="360"/>
      </w:pPr>
      <w:rPr>
        <w:rFonts w:ascii="Wingdings" w:hAnsi="Wingdings" w:hint="default"/>
      </w:rPr>
    </w:lvl>
    <w:lvl w:ilvl="1" w:tplc="0C0C0003">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464">
    <w:nsid w:val="244B1BB0"/>
    <w:multiLevelType w:val="hybridMultilevel"/>
    <w:tmpl w:val="C9AA31E6"/>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465">
    <w:nsid w:val="24580038"/>
    <w:multiLevelType w:val="hybridMultilevel"/>
    <w:tmpl w:val="28ACC2D4"/>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466">
    <w:nsid w:val="2463196B"/>
    <w:multiLevelType w:val="hybridMultilevel"/>
    <w:tmpl w:val="B7DCE902"/>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467">
    <w:nsid w:val="24917C6A"/>
    <w:multiLevelType w:val="hybridMultilevel"/>
    <w:tmpl w:val="81028E2C"/>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468">
    <w:nsid w:val="24A873B3"/>
    <w:multiLevelType w:val="hybridMultilevel"/>
    <w:tmpl w:val="B766510A"/>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469">
    <w:nsid w:val="24EC3671"/>
    <w:multiLevelType w:val="hybridMultilevel"/>
    <w:tmpl w:val="B37E57A8"/>
    <w:lvl w:ilvl="0" w:tplc="0C0C000B">
      <w:start w:val="1"/>
      <w:numFmt w:val="bullet"/>
      <w:lvlText w:val=""/>
      <w:lvlJc w:val="left"/>
      <w:pPr>
        <w:ind w:left="720" w:hanging="360"/>
      </w:pPr>
      <w:rPr>
        <w:rFonts w:ascii="Wingdings" w:hAnsi="Wingdings" w:hint="default"/>
      </w:rPr>
    </w:lvl>
    <w:lvl w:ilvl="1" w:tplc="0C0C0019">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470">
    <w:nsid w:val="2520733B"/>
    <w:multiLevelType w:val="hybridMultilevel"/>
    <w:tmpl w:val="CD8C0282"/>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471">
    <w:nsid w:val="25254224"/>
    <w:multiLevelType w:val="hybridMultilevel"/>
    <w:tmpl w:val="315C01F4"/>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472">
    <w:nsid w:val="2527713E"/>
    <w:multiLevelType w:val="hybridMultilevel"/>
    <w:tmpl w:val="6D0265B8"/>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473">
    <w:nsid w:val="255602A1"/>
    <w:multiLevelType w:val="hybridMultilevel"/>
    <w:tmpl w:val="030EA162"/>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474">
    <w:nsid w:val="25597F27"/>
    <w:multiLevelType w:val="hybridMultilevel"/>
    <w:tmpl w:val="899C86D6"/>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475">
    <w:nsid w:val="255C77A2"/>
    <w:multiLevelType w:val="hybridMultilevel"/>
    <w:tmpl w:val="B428E7C0"/>
    <w:lvl w:ilvl="0" w:tplc="0C0C0001">
      <w:start w:val="1"/>
      <w:numFmt w:val="bullet"/>
      <w:lvlText w:val=""/>
      <w:lvlJc w:val="left"/>
      <w:pPr>
        <w:ind w:left="720" w:hanging="360"/>
      </w:pPr>
      <w:rPr>
        <w:rFonts w:ascii="Symbol" w:hAnsi="Symbol" w:hint="default"/>
      </w:rPr>
    </w:lvl>
    <w:lvl w:ilvl="1" w:tplc="0C0C0003">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476">
    <w:nsid w:val="255E3BBE"/>
    <w:multiLevelType w:val="hybridMultilevel"/>
    <w:tmpl w:val="501811EA"/>
    <w:lvl w:ilvl="0" w:tplc="0C0C000B">
      <w:start w:val="1"/>
      <w:numFmt w:val="bullet"/>
      <w:lvlText w:val=""/>
      <w:lvlJc w:val="left"/>
      <w:pPr>
        <w:ind w:left="720" w:hanging="360"/>
      </w:pPr>
      <w:rPr>
        <w:rFonts w:ascii="Wingdings" w:hAnsi="Wingdings" w:hint="default"/>
      </w:rPr>
    </w:lvl>
    <w:lvl w:ilvl="1" w:tplc="0C0C0003">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477">
    <w:nsid w:val="25655E2C"/>
    <w:multiLevelType w:val="hybridMultilevel"/>
    <w:tmpl w:val="2EFA943C"/>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478">
    <w:nsid w:val="256C5FFA"/>
    <w:multiLevelType w:val="hybridMultilevel"/>
    <w:tmpl w:val="63C26886"/>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479">
    <w:nsid w:val="25875B09"/>
    <w:multiLevelType w:val="hybridMultilevel"/>
    <w:tmpl w:val="688062B6"/>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480">
    <w:nsid w:val="25957363"/>
    <w:multiLevelType w:val="hybridMultilevel"/>
    <w:tmpl w:val="F27E550A"/>
    <w:lvl w:ilvl="0" w:tplc="0C0C000B">
      <w:start w:val="1"/>
      <w:numFmt w:val="bullet"/>
      <w:lvlText w:val=""/>
      <w:lvlJc w:val="left"/>
      <w:pPr>
        <w:ind w:left="708" w:hanging="360"/>
      </w:pPr>
      <w:rPr>
        <w:rFonts w:ascii="Wingdings" w:hAnsi="Wingdings" w:hint="default"/>
      </w:rPr>
    </w:lvl>
    <w:lvl w:ilvl="1" w:tplc="0C0C0003" w:tentative="1">
      <w:start w:val="1"/>
      <w:numFmt w:val="bullet"/>
      <w:lvlText w:val="o"/>
      <w:lvlJc w:val="left"/>
      <w:pPr>
        <w:ind w:left="1428" w:hanging="360"/>
      </w:pPr>
      <w:rPr>
        <w:rFonts w:ascii="Courier New" w:hAnsi="Courier New" w:cs="Courier New" w:hint="default"/>
      </w:rPr>
    </w:lvl>
    <w:lvl w:ilvl="2" w:tplc="0C0C0005" w:tentative="1">
      <w:start w:val="1"/>
      <w:numFmt w:val="bullet"/>
      <w:lvlText w:val=""/>
      <w:lvlJc w:val="left"/>
      <w:pPr>
        <w:ind w:left="2148" w:hanging="360"/>
      </w:pPr>
      <w:rPr>
        <w:rFonts w:ascii="Wingdings" w:hAnsi="Wingdings" w:hint="default"/>
      </w:rPr>
    </w:lvl>
    <w:lvl w:ilvl="3" w:tplc="0C0C0001" w:tentative="1">
      <w:start w:val="1"/>
      <w:numFmt w:val="bullet"/>
      <w:lvlText w:val=""/>
      <w:lvlJc w:val="left"/>
      <w:pPr>
        <w:ind w:left="2868" w:hanging="360"/>
      </w:pPr>
      <w:rPr>
        <w:rFonts w:ascii="Symbol" w:hAnsi="Symbol" w:hint="default"/>
      </w:rPr>
    </w:lvl>
    <w:lvl w:ilvl="4" w:tplc="0C0C0003" w:tentative="1">
      <w:start w:val="1"/>
      <w:numFmt w:val="bullet"/>
      <w:lvlText w:val="o"/>
      <w:lvlJc w:val="left"/>
      <w:pPr>
        <w:ind w:left="3588" w:hanging="360"/>
      </w:pPr>
      <w:rPr>
        <w:rFonts w:ascii="Courier New" w:hAnsi="Courier New" w:cs="Courier New" w:hint="default"/>
      </w:rPr>
    </w:lvl>
    <w:lvl w:ilvl="5" w:tplc="0C0C0005" w:tentative="1">
      <w:start w:val="1"/>
      <w:numFmt w:val="bullet"/>
      <w:lvlText w:val=""/>
      <w:lvlJc w:val="left"/>
      <w:pPr>
        <w:ind w:left="4308" w:hanging="360"/>
      </w:pPr>
      <w:rPr>
        <w:rFonts w:ascii="Wingdings" w:hAnsi="Wingdings" w:hint="default"/>
      </w:rPr>
    </w:lvl>
    <w:lvl w:ilvl="6" w:tplc="0C0C0001" w:tentative="1">
      <w:start w:val="1"/>
      <w:numFmt w:val="bullet"/>
      <w:lvlText w:val=""/>
      <w:lvlJc w:val="left"/>
      <w:pPr>
        <w:ind w:left="5028" w:hanging="360"/>
      </w:pPr>
      <w:rPr>
        <w:rFonts w:ascii="Symbol" w:hAnsi="Symbol" w:hint="default"/>
      </w:rPr>
    </w:lvl>
    <w:lvl w:ilvl="7" w:tplc="0C0C0003" w:tentative="1">
      <w:start w:val="1"/>
      <w:numFmt w:val="bullet"/>
      <w:lvlText w:val="o"/>
      <w:lvlJc w:val="left"/>
      <w:pPr>
        <w:ind w:left="5748" w:hanging="360"/>
      </w:pPr>
      <w:rPr>
        <w:rFonts w:ascii="Courier New" w:hAnsi="Courier New" w:cs="Courier New" w:hint="default"/>
      </w:rPr>
    </w:lvl>
    <w:lvl w:ilvl="8" w:tplc="0C0C0005" w:tentative="1">
      <w:start w:val="1"/>
      <w:numFmt w:val="bullet"/>
      <w:lvlText w:val=""/>
      <w:lvlJc w:val="left"/>
      <w:pPr>
        <w:ind w:left="6468" w:hanging="360"/>
      </w:pPr>
      <w:rPr>
        <w:rFonts w:ascii="Wingdings" w:hAnsi="Wingdings" w:hint="default"/>
      </w:rPr>
    </w:lvl>
  </w:abstractNum>
  <w:abstractNum w:abstractNumId="481">
    <w:nsid w:val="259E4AF9"/>
    <w:multiLevelType w:val="hybridMultilevel"/>
    <w:tmpl w:val="FB8E3C9C"/>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482">
    <w:nsid w:val="25AC688E"/>
    <w:multiLevelType w:val="hybridMultilevel"/>
    <w:tmpl w:val="CE12250A"/>
    <w:lvl w:ilvl="0" w:tplc="0C0C0003">
      <w:start w:val="1"/>
      <w:numFmt w:val="bullet"/>
      <w:lvlText w:val="o"/>
      <w:lvlJc w:val="left"/>
      <w:pPr>
        <w:ind w:left="720" w:hanging="360"/>
      </w:pPr>
      <w:rPr>
        <w:rFonts w:ascii="Courier New" w:hAnsi="Courier New" w:cs="Courier New"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483">
    <w:nsid w:val="25B0035C"/>
    <w:multiLevelType w:val="hybridMultilevel"/>
    <w:tmpl w:val="3F449EA4"/>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484">
    <w:nsid w:val="25D87D37"/>
    <w:multiLevelType w:val="hybridMultilevel"/>
    <w:tmpl w:val="FDCC384A"/>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485">
    <w:nsid w:val="26096149"/>
    <w:multiLevelType w:val="hybridMultilevel"/>
    <w:tmpl w:val="17BC0028"/>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486">
    <w:nsid w:val="261074E4"/>
    <w:multiLevelType w:val="hybridMultilevel"/>
    <w:tmpl w:val="5420A53C"/>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487">
    <w:nsid w:val="26193B46"/>
    <w:multiLevelType w:val="hybridMultilevel"/>
    <w:tmpl w:val="7898BA7C"/>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488">
    <w:nsid w:val="26293D64"/>
    <w:multiLevelType w:val="hybridMultilevel"/>
    <w:tmpl w:val="CBFAC0D0"/>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489">
    <w:nsid w:val="26386A09"/>
    <w:multiLevelType w:val="hybridMultilevel"/>
    <w:tmpl w:val="6E981536"/>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490">
    <w:nsid w:val="264554AC"/>
    <w:multiLevelType w:val="hybridMultilevel"/>
    <w:tmpl w:val="2B0A7C5C"/>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491">
    <w:nsid w:val="26485EAF"/>
    <w:multiLevelType w:val="hybridMultilevel"/>
    <w:tmpl w:val="42842202"/>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492">
    <w:nsid w:val="264C7D5D"/>
    <w:multiLevelType w:val="hybridMultilevel"/>
    <w:tmpl w:val="760E6C7E"/>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493">
    <w:nsid w:val="265D697A"/>
    <w:multiLevelType w:val="hybridMultilevel"/>
    <w:tmpl w:val="BF5A91B0"/>
    <w:lvl w:ilvl="0" w:tplc="0C0C000B">
      <w:start w:val="1"/>
      <w:numFmt w:val="bullet"/>
      <w:lvlText w:val=""/>
      <w:lvlJc w:val="left"/>
      <w:pPr>
        <w:ind w:left="720" w:hanging="360"/>
      </w:pPr>
      <w:rPr>
        <w:rFonts w:ascii="Wingdings" w:hAnsi="Wingdings" w:hint="default"/>
      </w:rPr>
    </w:lvl>
    <w:lvl w:ilvl="1" w:tplc="0C0C0003">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494">
    <w:nsid w:val="267F192D"/>
    <w:multiLevelType w:val="hybridMultilevel"/>
    <w:tmpl w:val="2FBE171E"/>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495">
    <w:nsid w:val="26A94B44"/>
    <w:multiLevelType w:val="multilevel"/>
    <w:tmpl w:val="7D9091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6">
    <w:nsid w:val="26A957E6"/>
    <w:multiLevelType w:val="hybridMultilevel"/>
    <w:tmpl w:val="DB4EDA06"/>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497">
    <w:nsid w:val="26C2161C"/>
    <w:multiLevelType w:val="hybridMultilevel"/>
    <w:tmpl w:val="B20ADA02"/>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498">
    <w:nsid w:val="26CC29BA"/>
    <w:multiLevelType w:val="hybridMultilevel"/>
    <w:tmpl w:val="0902ED48"/>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499">
    <w:nsid w:val="27077A01"/>
    <w:multiLevelType w:val="hybridMultilevel"/>
    <w:tmpl w:val="A38A7A68"/>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500">
    <w:nsid w:val="27103FED"/>
    <w:multiLevelType w:val="hybridMultilevel"/>
    <w:tmpl w:val="723E4E8E"/>
    <w:lvl w:ilvl="0" w:tplc="0C0C0009">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501">
    <w:nsid w:val="27341E72"/>
    <w:multiLevelType w:val="hybridMultilevel"/>
    <w:tmpl w:val="64825976"/>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502">
    <w:nsid w:val="27604D20"/>
    <w:multiLevelType w:val="hybridMultilevel"/>
    <w:tmpl w:val="087A69D0"/>
    <w:lvl w:ilvl="0" w:tplc="0C0C0001">
      <w:start w:val="1"/>
      <w:numFmt w:val="bullet"/>
      <w:lvlText w:val=""/>
      <w:lvlJc w:val="left"/>
      <w:pPr>
        <w:ind w:left="1068" w:hanging="360"/>
      </w:pPr>
      <w:rPr>
        <w:rFonts w:ascii="Symbol" w:hAnsi="Symbol" w:hint="default"/>
      </w:rPr>
    </w:lvl>
    <w:lvl w:ilvl="1" w:tplc="0C0C0003" w:tentative="1">
      <w:start w:val="1"/>
      <w:numFmt w:val="bullet"/>
      <w:lvlText w:val="o"/>
      <w:lvlJc w:val="left"/>
      <w:pPr>
        <w:ind w:left="1788" w:hanging="360"/>
      </w:pPr>
      <w:rPr>
        <w:rFonts w:ascii="Courier New" w:hAnsi="Courier New" w:cs="Courier New" w:hint="default"/>
      </w:rPr>
    </w:lvl>
    <w:lvl w:ilvl="2" w:tplc="0C0C0005" w:tentative="1">
      <w:start w:val="1"/>
      <w:numFmt w:val="bullet"/>
      <w:lvlText w:val=""/>
      <w:lvlJc w:val="left"/>
      <w:pPr>
        <w:ind w:left="2508" w:hanging="360"/>
      </w:pPr>
      <w:rPr>
        <w:rFonts w:ascii="Wingdings" w:hAnsi="Wingdings" w:hint="default"/>
      </w:rPr>
    </w:lvl>
    <w:lvl w:ilvl="3" w:tplc="0C0C0001" w:tentative="1">
      <w:start w:val="1"/>
      <w:numFmt w:val="bullet"/>
      <w:lvlText w:val=""/>
      <w:lvlJc w:val="left"/>
      <w:pPr>
        <w:ind w:left="3228" w:hanging="360"/>
      </w:pPr>
      <w:rPr>
        <w:rFonts w:ascii="Symbol" w:hAnsi="Symbol" w:hint="default"/>
      </w:rPr>
    </w:lvl>
    <w:lvl w:ilvl="4" w:tplc="0C0C0003" w:tentative="1">
      <w:start w:val="1"/>
      <w:numFmt w:val="bullet"/>
      <w:lvlText w:val="o"/>
      <w:lvlJc w:val="left"/>
      <w:pPr>
        <w:ind w:left="3948" w:hanging="360"/>
      </w:pPr>
      <w:rPr>
        <w:rFonts w:ascii="Courier New" w:hAnsi="Courier New" w:cs="Courier New" w:hint="default"/>
      </w:rPr>
    </w:lvl>
    <w:lvl w:ilvl="5" w:tplc="0C0C0005" w:tentative="1">
      <w:start w:val="1"/>
      <w:numFmt w:val="bullet"/>
      <w:lvlText w:val=""/>
      <w:lvlJc w:val="left"/>
      <w:pPr>
        <w:ind w:left="4668" w:hanging="360"/>
      </w:pPr>
      <w:rPr>
        <w:rFonts w:ascii="Wingdings" w:hAnsi="Wingdings" w:hint="default"/>
      </w:rPr>
    </w:lvl>
    <w:lvl w:ilvl="6" w:tplc="0C0C0001" w:tentative="1">
      <w:start w:val="1"/>
      <w:numFmt w:val="bullet"/>
      <w:lvlText w:val=""/>
      <w:lvlJc w:val="left"/>
      <w:pPr>
        <w:ind w:left="5388" w:hanging="360"/>
      </w:pPr>
      <w:rPr>
        <w:rFonts w:ascii="Symbol" w:hAnsi="Symbol" w:hint="default"/>
      </w:rPr>
    </w:lvl>
    <w:lvl w:ilvl="7" w:tplc="0C0C0003" w:tentative="1">
      <w:start w:val="1"/>
      <w:numFmt w:val="bullet"/>
      <w:lvlText w:val="o"/>
      <w:lvlJc w:val="left"/>
      <w:pPr>
        <w:ind w:left="6108" w:hanging="360"/>
      </w:pPr>
      <w:rPr>
        <w:rFonts w:ascii="Courier New" w:hAnsi="Courier New" w:cs="Courier New" w:hint="default"/>
      </w:rPr>
    </w:lvl>
    <w:lvl w:ilvl="8" w:tplc="0C0C0005" w:tentative="1">
      <w:start w:val="1"/>
      <w:numFmt w:val="bullet"/>
      <w:lvlText w:val=""/>
      <w:lvlJc w:val="left"/>
      <w:pPr>
        <w:ind w:left="6828" w:hanging="360"/>
      </w:pPr>
      <w:rPr>
        <w:rFonts w:ascii="Wingdings" w:hAnsi="Wingdings" w:hint="default"/>
      </w:rPr>
    </w:lvl>
  </w:abstractNum>
  <w:abstractNum w:abstractNumId="503">
    <w:nsid w:val="277D272C"/>
    <w:multiLevelType w:val="hybridMultilevel"/>
    <w:tmpl w:val="064E5282"/>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504">
    <w:nsid w:val="277D3050"/>
    <w:multiLevelType w:val="hybridMultilevel"/>
    <w:tmpl w:val="693227CA"/>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505">
    <w:nsid w:val="27AE055D"/>
    <w:multiLevelType w:val="hybridMultilevel"/>
    <w:tmpl w:val="DA3EFD44"/>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506">
    <w:nsid w:val="27BF7B3A"/>
    <w:multiLevelType w:val="hybridMultilevel"/>
    <w:tmpl w:val="6C067D98"/>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507">
    <w:nsid w:val="27DD71AE"/>
    <w:multiLevelType w:val="hybridMultilevel"/>
    <w:tmpl w:val="D8ACC398"/>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508">
    <w:nsid w:val="28131D50"/>
    <w:multiLevelType w:val="hybridMultilevel"/>
    <w:tmpl w:val="7BDC253C"/>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509">
    <w:nsid w:val="28255163"/>
    <w:multiLevelType w:val="hybridMultilevel"/>
    <w:tmpl w:val="0A941B54"/>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510">
    <w:nsid w:val="283F219C"/>
    <w:multiLevelType w:val="hybridMultilevel"/>
    <w:tmpl w:val="1100A9A0"/>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511">
    <w:nsid w:val="284516F7"/>
    <w:multiLevelType w:val="hybridMultilevel"/>
    <w:tmpl w:val="67A46C5C"/>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512">
    <w:nsid w:val="285B6BB8"/>
    <w:multiLevelType w:val="hybridMultilevel"/>
    <w:tmpl w:val="94BED9D8"/>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513">
    <w:nsid w:val="285E62EE"/>
    <w:multiLevelType w:val="hybridMultilevel"/>
    <w:tmpl w:val="0956688E"/>
    <w:lvl w:ilvl="0" w:tplc="0C0C0009">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514">
    <w:nsid w:val="28655544"/>
    <w:multiLevelType w:val="hybridMultilevel"/>
    <w:tmpl w:val="BF1872D0"/>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515">
    <w:nsid w:val="288236DC"/>
    <w:multiLevelType w:val="multilevel"/>
    <w:tmpl w:val="8CB0C57C"/>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6">
    <w:nsid w:val="288F4024"/>
    <w:multiLevelType w:val="hybridMultilevel"/>
    <w:tmpl w:val="C632F6E2"/>
    <w:lvl w:ilvl="0" w:tplc="0C0C000B">
      <w:start w:val="1"/>
      <w:numFmt w:val="bullet"/>
      <w:lvlText w:val=""/>
      <w:lvlJc w:val="left"/>
      <w:pPr>
        <w:ind w:left="720" w:hanging="360"/>
      </w:pPr>
      <w:rPr>
        <w:rFonts w:ascii="Wingdings" w:hAnsi="Wingdings" w:hint="default"/>
      </w:rPr>
    </w:lvl>
    <w:lvl w:ilvl="1" w:tplc="0C0C0003">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517">
    <w:nsid w:val="28AC098B"/>
    <w:multiLevelType w:val="hybridMultilevel"/>
    <w:tmpl w:val="AC720448"/>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518">
    <w:nsid w:val="28AD3101"/>
    <w:multiLevelType w:val="hybridMultilevel"/>
    <w:tmpl w:val="788E7692"/>
    <w:lvl w:ilvl="0" w:tplc="0C0C000B">
      <w:start w:val="1"/>
      <w:numFmt w:val="bullet"/>
      <w:lvlText w:val=""/>
      <w:lvlJc w:val="left"/>
      <w:pPr>
        <w:ind w:left="720" w:hanging="360"/>
      </w:pPr>
      <w:rPr>
        <w:rFonts w:ascii="Wingdings" w:hAnsi="Wingdings" w:hint="default"/>
      </w:rPr>
    </w:lvl>
    <w:lvl w:ilvl="1" w:tplc="0C0C0003">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519">
    <w:nsid w:val="28BD0F21"/>
    <w:multiLevelType w:val="hybridMultilevel"/>
    <w:tmpl w:val="39083380"/>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520">
    <w:nsid w:val="28C9623D"/>
    <w:multiLevelType w:val="hybridMultilevel"/>
    <w:tmpl w:val="13748792"/>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521">
    <w:nsid w:val="28E91BF4"/>
    <w:multiLevelType w:val="multilevel"/>
    <w:tmpl w:val="0D5A7A6E"/>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2">
    <w:nsid w:val="28EB0955"/>
    <w:multiLevelType w:val="hybridMultilevel"/>
    <w:tmpl w:val="50A66954"/>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523">
    <w:nsid w:val="2919684C"/>
    <w:multiLevelType w:val="hybridMultilevel"/>
    <w:tmpl w:val="E25C7C30"/>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524">
    <w:nsid w:val="292476A8"/>
    <w:multiLevelType w:val="hybridMultilevel"/>
    <w:tmpl w:val="96049366"/>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525">
    <w:nsid w:val="29346642"/>
    <w:multiLevelType w:val="hybridMultilevel"/>
    <w:tmpl w:val="9A10CEF6"/>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526">
    <w:nsid w:val="294A41B4"/>
    <w:multiLevelType w:val="hybridMultilevel"/>
    <w:tmpl w:val="AAECD05E"/>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527">
    <w:nsid w:val="29502064"/>
    <w:multiLevelType w:val="multilevel"/>
    <w:tmpl w:val="A9F803E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8">
    <w:nsid w:val="29666985"/>
    <w:multiLevelType w:val="hybridMultilevel"/>
    <w:tmpl w:val="AE50B376"/>
    <w:lvl w:ilvl="0" w:tplc="0C0C0009">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529">
    <w:nsid w:val="296D6BD3"/>
    <w:multiLevelType w:val="hybridMultilevel"/>
    <w:tmpl w:val="801ACAE2"/>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530">
    <w:nsid w:val="296F3883"/>
    <w:multiLevelType w:val="hybridMultilevel"/>
    <w:tmpl w:val="59D6EDC8"/>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531">
    <w:nsid w:val="29766076"/>
    <w:multiLevelType w:val="hybridMultilevel"/>
    <w:tmpl w:val="AA80796A"/>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532">
    <w:nsid w:val="297A648B"/>
    <w:multiLevelType w:val="multilevel"/>
    <w:tmpl w:val="064E576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533">
    <w:nsid w:val="299B5999"/>
    <w:multiLevelType w:val="hybridMultilevel"/>
    <w:tmpl w:val="027ED37A"/>
    <w:lvl w:ilvl="0" w:tplc="0C0C000B">
      <w:start w:val="1"/>
      <w:numFmt w:val="bullet"/>
      <w:lvlText w:val=""/>
      <w:lvlJc w:val="left"/>
      <w:pPr>
        <w:ind w:left="1428" w:hanging="360"/>
      </w:pPr>
      <w:rPr>
        <w:rFonts w:ascii="Wingdings" w:hAnsi="Wingdings" w:hint="default"/>
      </w:rPr>
    </w:lvl>
    <w:lvl w:ilvl="1" w:tplc="0C0C0003" w:tentative="1">
      <w:start w:val="1"/>
      <w:numFmt w:val="bullet"/>
      <w:lvlText w:val="o"/>
      <w:lvlJc w:val="left"/>
      <w:pPr>
        <w:ind w:left="2148" w:hanging="360"/>
      </w:pPr>
      <w:rPr>
        <w:rFonts w:ascii="Courier New" w:hAnsi="Courier New" w:cs="Courier New" w:hint="default"/>
      </w:rPr>
    </w:lvl>
    <w:lvl w:ilvl="2" w:tplc="0C0C0005" w:tentative="1">
      <w:start w:val="1"/>
      <w:numFmt w:val="bullet"/>
      <w:lvlText w:val=""/>
      <w:lvlJc w:val="left"/>
      <w:pPr>
        <w:ind w:left="2868" w:hanging="360"/>
      </w:pPr>
      <w:rPr>
        <w:rFonts w:ascii="Wingdings" w:hAnsi="Wingdings" w:hint="default"/>
      </w:rPr>
    </w:lvl>
    <w:lvl w:ilvl="3" w:tplc="0C0C0001" w:tentative="1">
      <w:start w:val="1"/>
      <w:numFmt w:val="bullet"/>
      <w:lvlText w:val=""/>
      <w:lvlJc w:val="left"/>
      <w:pPr>
        <w:ind w:left="3588" w:hanging="360"/>
      </w:pPr>
      <w:rPr>
        <w:rFonts w:ascii="Symbol" w:hAnsi="Symbol" w:hint="default"/>
      </w:rPr>
    </w:lvl>
    <w:lvl w:ilvl="4" w:tplc="0C0C0003" w:tentative="1">
      <w:start w:val="1"/>
      <w:numFmt w:val="bullet"/>
      <w:lvlText w:val="o"/>
      <w:lvlJc w:val="left"/>
      <w:pPr>
        <w:ind w:left="4308" w:hanging="360"/>
      </w:pPr>
      <w:rPr>
        <w:rFonts w:ascii="Courier New" w:hAnsi="Courier New" w:cs="Courier New" w:hint="default"/>
      </w:rPr>
    </w:lvl>
    <w:lvl w:ilvl="5" w:tplc="0C0C0005" w:tentative="1">
      <w:start w:val="1"/>
      <w:numFmt w:val="bullet"/>
      <w:lvlText w:val=""/>
      <w:lvlJc w:val="left"/>
      <w:pPr>
        <w:ind w:left="5028" w:hanging="360"/>
      </w:pPr>
      <w:rPr>
        <w:rFonts w:ascii="Wingdings" w:hAnsi="Wingdings" w:hint="default"/>
      </w:rPr>
    </w:lvl>
    <w:lvl w:ilvl="6" w:tplc="0C0C0001" w:tentative="1">
      <w:start w:val="1"/>
      <w:numFmt w:val="bullet"/>
      <w:lvlText w:val=""/>
      <w:lvlJc w:val="left"/>
      <w:pPr>
        <w:ind w:left="5748" w:hanging="360"/>
      </w:pPr>
      <w:rPr>
        <w:rFonts w:ascii="Symbol" w:hAnsi="Symbol" w:hint="default"/>
      </w:rPr>
    </w:lvl>
    <w:lvl w:ilvl="7" w:tplc="0C0C0003" w:tentative="1">
      <w:start w:val="1"/>
      <w:numFmt w:val="bullet"/>
      <w:lvlText w:val="o"/>
      <w:lvlJc w:val="left"/>
      <w:pPr>
        <w:ind w:left="6468" w:hanging="360"/>
      </w:pPr>
      <w:rPr>
        <w:rFonts w:ascii="Courier New" w:hAnsi="Courier New" w:cs="Courier New" w:hint="default"/>
      </w:rPr>
    </w:lvl>
    <w:lvl w:ilvl="8" w:tplc="0C0C0005" w:tentative="1">
      <w:start w:val="1"/>
      <w:numFmt w:val="bullet"/>
      <w:lvlText w:val=""/>
      <w:lvlJc w:val="left"/>
      <w:pPr>
        <w:ind w:left="7188" w:hanging="360"/>
      </w:pPr>
      <w:rPr>
        <w:rFonts w:ascii="Wingdings" w:hAnsi="Wingdings" w:hint="default"/>
      </w:rPr>
    </w:lvl>
  </w:abstractNum>
  <w:abstractNum w:abstractNumId="534">
    <w:nsid w:val="29BB3896"/>
    <w:multiLevelType w:val="hybridMultilevel"/>
    <w:tmpl w:val="496E641C"/>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535">
    <w:nsid w:val="29BD6A62"/>
    <w:multiLevelType w:val="hybridMultilevel"/>
    <w:tmpl w:val="F3107782"/>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536">
    <w:nsid w:val="29D63F5E"/>
    <w:multiLevelType w:val="hybridMultilevel"/>
    <w:tmpl w:val="7EDC3F3E"/>
    <w:lvl w:ilvl="0" w:tplc="0C0C0009">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537">
    <w:nsid w:val="29DF1490"/>
    <w:multiLevelType w:val="hybridMultilevel"/>
    <w:tmpl w:val="2CE487E8"/>
    <w:lvl w:ilvl="0" w:tplc="0C0C000B">
      <w:start w:val="1"/>
      <w:numFmt w:val="bullet"/>
      <w:lvlText w:val=""/>
      <w:lvlJc w:val="left"/>
      <w:pPr>
        <w:ind w:left="360" w:hanging="360"/>
      </w:pPr>
      <w:rPr>
        <w:rFonts w:ascii="Wingdings" w:hAnsi="Wingdings" w:hint="default"/>
        <w:i/>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538">
    <w:nsid w:val="29E20B7D"/>
    <w:multiLevelType w:val="hybridMultilevel"/>
    <w:tmpl w:val="B61289DA"/>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539">
    <w:nsid w:val="29EE55E6"/>
    <w:multiLevelType w:val="hybridMultilevel"/>
    <w:tmpl w:val="60D2E478"/>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540">
    <w:nsid w:val="29EF7F83"/>
    <w:multiLevelType w:val="hybridMultilevel"/>
    <w:tmpl w:val="57945760"/>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541">
    <w:nsid w:val="2A4844CE"/>
    <w:multiLevelType w:val="hybridMultilevel"/>
    <w:tmpl w:val="945AD4A8"/>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542">
    <w:nsid w:val="2A7624E8"/>
    <w:multiLevelType w:val="hybridMultilevel"/>
    <w:tmpl w:val="3280CF06"/>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543">
    <w:nsid w:val="2A762F3B"/>
    <w:multiLevelType w:val="hybridMultilevel"/>
    <w:tmpl w:val="292857DA"/>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544">
    <w:nsid w:val="2AA00140"/>
    <w:multiLevelType w:val="hybridMultilevel"/>
    <w:tmpl w:val="4740D21A"/>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545">
    <w:nsid w:val="2AA12CF8"/>
    <w:multiLevelType w:val="hybridMultilevel"/>
    <w:tmpl w:val="BD143512"/>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546">
    <w:nsid w:val="2AA36F3D"/>
    <w:multiLevelType w:val="hybridMultilevel"/>
    <w:tmpl w:val="9E408F86"/>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547">
    <w:nsid w:val="2AA66E80"/>
    <w:multiLevelType w:val="hybridMultilevel"/>
    <w:tmpl w:val="DE088090"/>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548">
    <w:nsid w:val="2ABB0EF4"/>
    <w:multiLevelType w:val="hybridMultilevel"/>
    <w:tmpl w:val="9B96570E"/>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549">
    <w:nsid w:val="2AE124C9"/>
    <w:multiLevelType w:val="hybridMultilevel"/>
    <w:tmpl w:val="57B2D43A"/>
    <w:lvl w:ilvl="0" w:tplc="0C0C000B">
      <w:start w:val="1"/>
      <w:numFmt w:val="bullet"/>
      <w:lvlText w:val=""/>
      <w:lvlJc w:val="left"/>
      <w:pPr>
        <w:ind w:left="720" w:hanging="360"/>
      </w:pPr>
      <w:rPr>
        <w:rFonts w:ascii="Wingdings" w:hAnsi="Wingdings" w:hint="default"/>
      </w:rPr>
    </w:lvl>
    <w:lvl w:ilvl="1" w:tplc="0C0C0003">
      <w:start w:val="1"/>
      <w:numFmt w:val="bullet"/>
      <w:lvlText w:val="o"/>
      <w:lvlJc w:val="left"/>
      <w:pPr>
        <w:ind w:left="1440" w:hanging="360"/>
      </w:pPr>
      <w:rPr>
        <w:rFonts w:ascii="Courier New" w:hAnsi="Courier New" w:cs="Courier New" w:hint="default"/>
      </w:rPr>
    </w:lvl>
    <w:lvl w:ilvl="2" w:tplc="0C0C0005">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550">
    <w:nsid w:val="2AFC528F"/>
    <w:multiLevelType w:val="hybridMultilevel"/>
    <w:tmpl w:val="235ABB54"/>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551">
    <w:nsid w:val="2AFF357F"/>
    <w:multiLevelType w:val="multilevel"/>
    <w:tmpl w:val="0C4633A8"/>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lvl>
    <w:lvl w:ilvl="2">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552">
    <w:nsid w:val="2B0632DF"/>
    <w:multiLevelType w:val="hybridMultilevel"/>
    <w:tmpl w:val="C694D6D8"/>
    <w:lvl w:ilvl="0" w:tplc="0C0C0015">
      <w:start w:val="1"/>
      <w:numFmt w:val="upperLetter"/>
      <w:lvlText w:val="%1."/>
      <w:lvlJc w:val="left"/>
      <w:pPr>
        <w:ind w:left="360" w:hanging="360"/>
      </w:pPr>
    </w:lvl>
    <w:lvl w:ilvl="1" w:tplc="0C0C0019">
      <w:start w:val="1"/>
      <w:numFmt w:val="lowerLetter"/>
      <w:lvlText w:val="%2."/>
      <w:lvlJc w:val="left"/>
      <w:pPr>
        <w:ind w:left="1080" w:hanging="360"/>
      </w:pPr>
    </w:lvl>
    <w:lvl w:ilvl="2" w:tplc="0C0C001B">
      <w:start w:val="1"/>
      <w:numFmt w:val="lowerRoman"/>
      <w:lvlText w:val="%3."/>
      <w:lvlJc w:val="right"/>
      <w:pPr>
        <w:ind w:left="1800" w:hanging="180"/>
      </w:pPr>
    </w:lvl>
    <w:lvl w:ilvl="3" w:tplc="0C0C000F" w:tentative="1">
      <w:start w:val="1"/>
      <w:numFmt w:val="decimal"/>
      <w:lvlText w:val="%4."/>
      <w:lvlJc w:val="left"/>
      <w:pPr>
        <w:ind w:left="2520" w:hanging="360"/>
      </w:pPr>
    </w:lvl>
    <w:lvl w:ilvl="4" w:tplc="0C0C0019" w:tentative="1">
      <w:start w:val="1"/>
      <w:numFmt w:val="lowerLetter"/>
      <w:lvlText w:val="%5."/>
      <w:lvlJc w:val="left"/>
      <w:pPr>
        <w:ind w:left="3240" w:hanging="360"/>
      </w:pPr>
    </w:lvl>
    <w:lvl w:ilvl="5" w:tplc="0C0C001B" w:tentative="1">
      <w:start w:val="1"/>
      <w:numFmt w:val="lowerRoman"/>
      <w:lvlText w:val="%6."/>
      <w:lvlJc w:val="right"/>
      <w:pPr>
        <w:ind w:left="3960" w:hanging="180"/>
      </w:pPr>
    </w:lvl>
    <w:lvl w:ilvl="6" w:tplc="0C0C000F" w:tentative="1">
      <w:start w:val="1"/>
      <w:numFmt w:val="decimal"/>
      <w:lvlText w:val="%7."/>
      <w:lvlJc w:val="left"/>
      <w:pPr>
        <w:ind w:left="4680" w:hanging="360"/>
      </w:pPr>
    </w:lvl>
    <w:lvl w:ilvl="7" w:tplc="0C0C0019" w:tentative="1">
      <w:start w:val="1"/>
      <w:numFmt w:val="lowerLetter"/>
      <w:lvlText w:val="%8."/>
      <w:lvlJc w:val="left"/>
      <w:pPr>
        <w:ind w:left="5400" w:hanging="360"/>
      </w:pPr>
    </w:lvl>
    <w:lvl w:ilvl="8" w:tplc="0C0C001B" w:tentative="1">
      <w:start w:val="1"/>
      <w:numFmt w:val="lowerRoman"/>
      <w:lvlText w:val="%9."/>
      <w:lvlJc w:val="right"/>
      <w:pPr>
        <w:ind w:left="6120" w:hanging="180"/>
      </w:pPr>
    </w:lvl>
  </w:abstractNum>
  <w:abstractNum w:abstractNumId="553">
    <w:nsid w:val="2B15118D"/>
    <w:multiLevelType w:val="hybridMultilevel"/>
    <w:tmpl w:val="FD0C5E7E"/>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554">
    <w:nsid w:val="2B16263C"/>
    <w:multiLevelType w:val="multilevel"/>
    <w:tmpl w:val="0C600D8E"/>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5">
    <w:nsid w:val="2B1A4A3A"/>
    <w:multiLevelType w:val="hybridMultilevel"/>
    <w:tmpl w:val="594404F0"/>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556">
    <w:nsid w:val="2B1F7A7E"/>
    <w:multiLevelType w:val="hybridMultilevel"/>
    <w:tmpl w:val="EA74E99C"/>
    <w:lvl w:ilvl="0" w:tplc="0C0C0009">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557">
    <w:nsid w:val="2B202DEC"/>
    <w:multiLevelType w:val="hybridMultilevel"/>
    <w:tmpl w:val="5A387530"/>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558">
    <w:nsid w:val="2B42400A"/>
    <w:multiLevelType w:val="hybridMultilevel"/>
    <w:tmpl w:val="B2AE4354"/>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559">
    <w:nsid w:val="2B59315D"/>
    <w:multiLevelType w:val="hybridMultilevel"/>
    <w:tmpl w:val="F3989B1E"/>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560">
    <w:nsid w:val="2B7313D0"/>
    <w:multiLevelType w:val="multilevel"/>
    <w:tmpl w:val="B16AD39C"/>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1">
    <w:nsid w:val="2B9122A5"/>
    <w:multiLevelType w:val="hybridMultilevel"/>
    <w:tmpl w:val="BF5CD378"/>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562">
    <w:nsid w:val="2BB02BA6"/>
    <w:multiLevelType w:val="hybridMultilevel"/>
    <w:tmpl w:val="8F4E2DD4"/>
    <w:lvl w:ilvl="0" w:tplc="0C0C0009">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563">
    <w:nsid w:val="2BBD3899"/>
    <w:multiLevelType w:val="hybridMultilevel"/>
    <w:tmpl w:val="106A2DA6"/>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564">
    <w:nsid w:val="2BE51884"/>
    <w:multiLevelType w:val="hybridMultilevel"/>
    <w:tmpl w:val="738C483C"/>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565">
    <w:nsid w:val="2C125E07"/>
    <w:multiLevelType w:val="hybridMultilevel"/>
    <w:tmpl w:val="E71259C2"/>
    <w:lvl w:ilvl="0" w:tplc="0C0C000B">
      <w:start w:val="1"/>
      <w:numFmt w:val="bullet"/>
      <w:lvlText w:val=""/>
      <w:lvlJc w:val="left"/>
      <w:pPr>
        <w:ind w:left="720" w:hanging="360"/>
      </w:pPr>
      <w:rPr>
        <w:rFonts w:ascii="Wingdings" w:hAnsi="Wingdings" w:hint="default"/>
      </w:rPr>
    </w:lvl>
    <w:lvl w:ilvl="1" w:tplc="0C0C0003">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566">
    <w:nsid w:val="2C160A27"/>
    <w:multiLevelType w:val="hybridMultilevel"/>
    <w:tmpl w:val="4A642F94"/>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567">
    <w:nsid w:val="2C2C5E67"/>
    <w:multiLevelType w:val="hybridMultilevel"/>
    <w:tmpl w:val="DDA0F6EE"/>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568">
    <w:nsid w:val="2C340CBB"/>
    <w:multiLevelType w:val="hybridMultilevel"/>
    <w:tmpl w:val="3BEE855C"/>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569">
    <w:nsid w:val="2C450A01"/>
    <w:multiLevelType w:val="hybridMultilevel"/>
    <w:tmpl w:val="04A47E40"/>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570">
    <w:nsid w:val="2C5024C2"/>
    <w:multiLevelType w:val="hybridMultilevel"/>
    <w:tmpl w:val="CECE5006"/>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571">
    <w:nsid w:val="2C6A1A9B"/>
    <w:multiLevelType w:val="hybridMultilevel"/>
    <w:tmpl w:val="C8C60792"/>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572">
    <w:nsid w:val="2C9F7C9E"/>
    <w:multiLevelType w:val="multilevel"/>
    <w:tmpl w:val="03F08F54"/>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3">
    <w:nsid w:val="2CA918CD"/>
    <w:multiLevelType w:val="hybridMultilevel"/>
    <w:tmpl w:val="549A1834"/>
    <w:lvl w:ilvl="0" w:tplc="0C0C000B">
      <w:start w:val="1"/>
      <w:numFmt w:val="bullet"/>
      <w:lvlText w:val=""/>
      <w:lvlJc w:val="left"/>
      <w:pPr>
        <w:ind w:left="360" w:hanging="360"/>
      </w:pPr>
      <w:rPr>
        <w:rFonts w:ascii="Wingdings" w:hAnsi="Wingdings" w:hint="default"/>
        <w:i/>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574">
    <w:nsid w:val="2CD9413B"/>
    <w:multiLevelType w:val="hybridMultilevel"/>
    <w:tmpl w:val="80B64304"/>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575">
    <w:nsid w:val="2CDA5052"/>
    <w:multiLevelType w:val="multilevel"/>
    <w:tmpl w:val="2A685C2E"/>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6">
    <w:nsid w:val="2CDC2E7D"/>
    <w:multiLevelType w:val="hybridMultilevel"/>
    <w:tmpl w:val="3E8288CE"/>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577">
    <w:nsid w:val="2CEC02E3"/>
    <w:multiLevelType w:val="hybridMultilevel"/>
    <w:tmpl w:val="EA58B6BC"/>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578">
    <w:nsid w:val="2D0300C5"/>
    <w:multiLevelType w:val="hybridMultilevel"/>
    <w:tmpl w:val="594650C8"/>
    <w:lvl w:ilvl="0" w:tplc="0C0C0009">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579">
    <w:nsid w:val="2D183037"/>
    <w:multiLevelType w:val="hybridMultilevel"/>
    <w:tmpl w:val="EBE8B262"/>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580">
    <w:nsid w:val="2D6702A6"/>
    <w:multiLevelType w:val="hybridMultilevel"/>
    <w:tmpl w:val="7EC6EC72"/>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581">
    <w:nsid w:val="2D7E6778"/>
    <w:multiLevelType w:val="hybridMultilevel"/>
    <w:tmpl w:val="72C2E52A"/>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582">
    <w:nsid w:val="2D8925BF"/>
    <w:multiLevelType w:val="hybridMultilevel"/>
    <w:tmpl w:val="A6746036"/>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583">
    <w:nsid w:val="2D915109"/>
    <w:multiLevelType w:val="hybridMultilevel"/>
    <w:tmpl w:val="F3DA8F02"/>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584">
    <w:nsid w:val="2DDD3385"/>
    <w:multiLevelType w:val="hybridMultilevel"/>
    <w:tmpl w:val="87DEBC6A"/>
    <w:lvl w:ilvl="0" w:tplc="0C0C0003">
      <w:start w:val="1"/>
      <w:numFmt w:val="bullet"/>
      <w:lvlText w:val="o"/>
      <w:lvlJc w:val="left"/>
      <w:pPr>
        <w:ind w:left="1068" w:hanging="360"/>
      </w:pPr>
      <w:rPr>
        <w:rFonts w:ascii="Courier New" w:hAnsi="Courier New" w:cs="Courier New" w:hint="default"/>
      </w:rPr>
    </w:lvl>
    <w:lvl w:ilvl="1" w:tplc="0C0C0003" w:tentative="1">
      <w:start w:val="1"/>
      <w:numFmt w:val="bullet"/>
      <w:lvlText w:val="o"/>
      <w:lvlJc w:val="left"/>
      <w:pPr>
        <w:ind w:left="1788" w:hanging="360"/>
      </w:pPr>
      <w:rPr>
        <w:rFonts w:ascii="Courier New" w:hAnsi="Courier New" w:cs="Courier New" w:hint="default"/>
      </w:rPr>
    </w:lvl>
    <w:lvl w:ilvl="2" w:tplc="0C0C0005" w:tentative="1">
      <w:start w:val="1"/>
      <w:numFmt w:val="bullet"/>
      <w:lvlText w:val=""/>
      <w:lvlJc w:val="left"/>
      <w:pPr>
        <w:ind w:left="2508" w:hanging="360"/>
      </w:pPr>
      <w:rPr>
        <w:rFonts w:ascii="Wingdings" w:hAnsi="Wingdings" w:hint="default"/>
      </w:rPr>
    </w:lvl>
    <w:lvl w:ilvl="3" w:tplc="0C0C0001" w:tentative="1">
      <w:start w:val="1"/>
      <w:numFmt w:val="bullet"/>
      <w:lvlText w:val=""/>
      <w:lvlJc w:val="left"/>
      <w:pPr>
        <w:ind w:left="3228" w:hanging="360"/>
      </w:pPr>
      <w:rPr>
        <w:rFonts w:ascii="Symbol" w:hAnsi="Symbol" w:hint="default"/>
      </w:rPr>
    </w:lvl>
    <w:lvl w:ilvl="4" w:tplc="0C0C0003" w:tentative="1">
      <w:start w:val="1"/>
      <w:numFmt w:val="bullet"/>
      <w:lvlText w:val="o"/>
      <w:lvlJc w:val="left"/>
      <w:pPr>
        <w:ind w:left="3948" w:hanging="360"/>
      </w:pPr>
      <w:rPr>
        <w:rFonts w:ascii="Courier New" w:hAnsi="Courier New" w:cs="Courier New" w:hint="default"/>
      </w:rPr>
    </w:lvl>
    <w:lvl w:ilvl="5" w:tplc="0C0C0005" w:tentative="1">
      <w:start w:val="1"/>
      <w:numFmt w:val="bullet"/>
      <w:lvlText w:val=""/>
      <w:lvlJc w:val="left"/>
      <w:pPr>
        <w:ind w:left="4668" w:hanging="360"/>
      </w:pPr>
      <w:rPr>
        <w:rFonts w:ascii="Wingdings" w:hAnsi="Wingdings" w:hint="default"/>
      </w:rPr>
    </w:lvl>
    <w:lvl w:ilvl="6" w:tplc="0C0C0001" w:tentative="1">
      <w:start w:val="1"/>
      <w:numFmt w:val="bullet"/>
      <w:lvlText w:val=""/>
      <w:lvlJc w:val="left"/>
      <w:pPr>
        <w:ind w:left="5388" w:hanging="360"/>
      </w:pPr>
      <w:rPr>
        <w:rFonts w:ascii="Symbol" w:hAnsi="Symbol" w:hint="default"/>
      </w:rPr>
    </w:lvl>
    <w:lvl w:ilvl="7" w:tplc="0C0C0003" w:tentative="1">
      <w:start w:val="1"/>
      <w:numFmt w:val="bullet"/>
      <w:lvlText w:val="o"/>
      <w:lvlJc w:val="left"/>
      <w:pPr>
        <w:ind w:left="6108" w:hanging="360"/>
      </w:pPr>
      <w:rPr>
        <w:rFonts w:ascii="Courier New" w:hAnsi="Courier New" w:cs="Courier New" w:hint="default"/>
      </w:rPr>
    </w:lvl>
    <w:lvl w:ilvl="8" w:tplc="0C0C0005" w:tentative="1">
      <w:start w:val="1"/>
      <w:numFmt w:val="bullet"/>
      <w:lvlText w:val=""/>
      <w:lvlJc w:val="left"/>
      <w:pPr>
        <w:ind w:left="6828" w:hanging="360"/>
      </w:pPr>
      <w:rPr>
        <w:rFonts w:ascii="Wingdings" w:hAnsi="Wingdings" w:hint="default"/>
      </w:rPr>
    </w:lvl>
  </w:abstractNum>
  <w:abstractNum w:abstractNumId="585">
    <w:nsid w:val="2E0647F0"/>
    <w:multiLevelType w:val="hybridMultilevel"/>
    <w:tmpl w:val="EDD833D8"/>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586">
    <w:nsid w:val="2E3D2233"/>
    <w:multiLevelType w:val="hybridMultilevel"/>
    <w:tmpl w:val="4D6463C8"/>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587">
    <w:nsid w:val="2E3E35ED"/>
    <w:multiLevelType w:val="hybridMultilevel"/>
    <w:tmpl w:val="09CADECC"/>
    <w:lvl w:ilvl="0" w:tplc="0C0C0009">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588">
    <w:nsid w:val="2E71573D"/>
    <w:multiLevelType w:val="hybridMultilevel"/>
    <w:tmpl w:val="21B6A606"/>
    <w:lvl w:ilvl="0" w:tplc="0C0C000B">
      <w:start w:val="1"/>
      <w:numFmt w:val="bullet"/>
      <w:lvlText w:val=""/>
      <w:lvlJc w:val="left"/>
      <w:pPr>
        <w:ind w:left="1068" w:hanging="360"/>
      </w:pPr>
      <w:rPr>
        <w:rFonts w:ascii="Wingdings" w:hAnsi="Wingdings" w:hint="default"/>
      </w:rPr>
    </w:lvl>
    <w:lvl w:ilvl="1" w:tplc="0C0C0003" w:tentative="1">
      <w:start w:val="1"/>
      <w:numFmt w:val="bullet"/>
      <w:lvlText w:val="o"/>
      <w:lvlJc w:val="left"/>
      <w:pPr>
        <w:ind w:left="1788" w:hanging="360"/>
      </w:pPr>
      <w:rPr>
        <w:rFonts w:ascii="Courier New" w:hAnsi="Courier New" w:cs="Courier New" w:hint="default"/>
      </w:rPr>
    </w:lvl>
    <w:lvl w:ilvl="2" w:tplc="0C0C0005" w:tentative="1">
      <w:start w:val="1"/>
      <w:numFmt w:val="bullet"/>
      <w:lvlText w:val=""/>
      <w:lvlJc w:val="left"/>
      <w:pPr>
        <w:ind w:left="2508" w:hanging="360"/>
      </w:pPr>
      <w:rPr>
        <w:rFonts w:ascii="Wingdings" w:hAnsi="Wingdings" w:hint="default"/>
      </w:rPr>
    </w:lvl>
    <w:lvl w:ilvl="3" w:tplc="0C0C0001" w:tentative="1">
      <w:start w:val="1"/>
      <w:numFmt w:val="bullet"/>
      <w:lvlText w:val=""/>
      <w:lvlJc w:val="left"/>
      <w:pPr>
        <w:ind w:left="3228" w:hanging="360"/>
      </w:pPr>
      <w:rPr>
        <w:rFonts w:ascii="Symbol" w:hAnsi="Symbol" w:hint="default"/>
      </w:rPr>
    </w:lvl>
    <w:lvl w:ilvl="4" w:tplc="0C0C0003" w:tentative="1">
      <w:start w:val="1"/>
      <w:numFmt w:val="bullet"/>
      <w:lvlText w:val="o"/>
      <w:lvlJc w:val="left"/>
      <w:pPr>
        <w:ind w:left="3948" w:hanging="360"/>
      </w:pPr>
      <w:rPr>
        <w:rFonts w:ascii="Courier New" w:hAnsi="Courier New" w:cs="Courier New" w:hint="default"/>
      </w:rPr>
    </w:lvl>
    <w:lvl w:ilvl="5" w:tplc="0C0C0005" w:tentative="1">
      <w:start w:val="1"/>
      <w:numFmt w:val="bullet"/>
      <w:lvlText w:val=""/>
      <w:lvlJc w:val="left"/>
      <w:pPr>
        <w:ind w:left="4668" w:hanging="360"/>
      </w:pPr>
      <w:rPr>
        <w:rFonts w:ascii="Wingdings" w:hAnsi="Wingdings" w:hint="default"/>
      </w:rPr>
    </w:lvl>
    <w:lvl w:ilvl="6" w:tplc="0C0C0001" w:tentative="1">
      <w:start w:val="1"/>
      <w:numFmt w:val="bullet"/>
      <w:lvlText w:val=""/>
      <w:lvlJc w:val="left"/>
      <w:pPr>
        <w:ind w:left="5388" w:hanging="360"/>
      </w:pPr>
      <w:rPr>
        <w:rFonts w:ascii="Symbol" w:hAnsi="Symbol" w:hint="default"/>
      </w:rPr>
    </w:lvl>
    <w:lvl w:ilvl="7" w:tplc="0C0C0003" w:tentative="1">
      <w:start w:val="1"/>
      <w:numFmt w:val="bullet"/>
      <w:lvlText w:val="o"/>
      <w:lvlJc w:val="left"/>
      <w:pPr>
        <w:ind w:left="6108" w:hanging="360"/>
      </w:pPr>
      <w:rPr>
        <w:rFonts w:ascii="Courier New" w:hAnsi="Courier New" w:cs="Courier New" w:hint="default"/>
      </w:rPr>
    </w:lvl>
    <w:lvl w:ilvl="8" w:tplc="0C0C0005" w:tentative="1">
      <w:start w:val="1"/>
      <w:numFmt w:val="bullet"/>
      <w:lvlText w:val=""/>
      <w:lvlJc w:val="left"/>
      <w:pPr>
        <w:ind w:left="6828" w:hanging="360"/>
      </w:pPr>
      <w:rPr>
        <w:rFonts w:ascii="Wingdings" w:hAnsi="Wingdings" w:hint="default"/>
      </w:rPr>
    </w:lvl>
  </w:abstractNum>
  <w:abstractNum w:abstractNumId="589">
    <w:nsid w:val="2E791ECF"/>
    <w:multiLevelType w:val="hybridMultilevel"/>
    <w:tmpl w:val="474E0DD8"/>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590">
    <w:nsid w:val="2E8D12BD"/>
    <w:multiLevelType w:val="hybridMultilevel"/>
    <w:tmpl w:val="3B30260A"/>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591">
    <w:nsid w:val="2EA81EB2"/>
    <w:multiLevelType w:val="hybridMultilevel"/>
    <w:tmpl w:val="973C4CDA"/>
    <w:lvl w:ilvl="0" w:tplc="0C0C000B">
      <w:start w:val="1"/>
      <w:numFmt w:val="bullet"/>
      <w:lvlText w:val=""/>
      <w:lvlJc w:val="left"/>
      <w:pPr>
        <w:ind w:left="720" w:hanging="360"/>
      </w:pPr>
      <w:rPr>
        <w:rFonts w:ascii="Wingdings" w:hAnsi="Wingdings" w:hint="default"/>
      </w:rPr>
    </w:lvl>
    <w:lvl w:ilvl="1" w:tplc="0C0C0003">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592">
    <w:nsid w:val="2EB054B8"/>
    <w:multiLevelType w:val="hybridMultilevel"/>
    <w:tmpl w:val="D1449E4A"/>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593">
    <w:nsid w:val="2EE83378"/>
    <w:multiLevelType w:val="hybridMultilevel"/>
    <w:tmpl w:val="939A167C"/>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594">
    <w:nsid w:val="2F161510"/>
    <w:multiLevelType w:val="hybridMultilevel"/>
    <w:tmpl w:val="7F4C17DC"/>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595">
    <w:nsid w:val="2F225B15"/>
    <w:multiLevelType w:val="hybridMultilevel"/>
    <w:tmpl w:val="1BC6F5AC"/>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596">
    <w:nsid w:val="2F2440B3"/>
    <w:multiLevelType w:val="hybridMultilevel"/>
    <w:tmpl w:val="9DF8C306"/>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597">
    <w:nsid w:val="2F395E00"/>
    <w:multiLevelType w:val="hybridMultilevel"/>
    <w:tmpl w:val="C474177E"/>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598">
    <w:nsid w:val="2F3C4E4C"/>
    <w:multiLevelType w:val="hybridMultilevel"/>
    <w:tmpl w:val="DD349CE0"/>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599">
    <w:nsid w:val="2F434F93"/>
    <w:multiLevelType w:val="hybridMultilevel"/>
    <w:tmpl w:val="0E505A00"/>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600">
    <w:nsid w:val="2F447531"/>
    <w:multiLevelType w:val="hybridMultilevel"/>
    <w:tmpl w:val="72FA7F76"/>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601">
    <w:nsid w:val="2F465CDC"/>
    <w:multiLevelType w:val="hybridMultilevel"/>
    <w:tmpl w:val="415E4292"/>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602">
    <w:nsid w:val="2F4C40B7"/>
    <w:multiLevelType w:val="hybridMultilevel"/>
    <w:tmpl w:val="DCE27E98"/>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603">
    <w:nsid w:val="2F52061D"/>
    <w:multiLevelType w:val="hybridMultilevel"/>
    <w:tmpl w:val="910CE516"/>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604">
    <w:nsid w:val="2F534089"/>
    <w:multiLevelType w:val="hybridMultilevel"/>
    <w:tmpl w:val="001EF06A"/>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605">
    <w:nsid w:val="2F7272C1"/>
    <w:multiLevelType w:val="hybridMultilevel"/>
    <w:tmpl w:val="4BDEF08C"/>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606">
    <w:nsid w:val="2F7E1E54"/>
    <w:multiLevelType w:val="hybridMultilevel"/>
    <w:tmpl w:val="2E829132"/>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607">
    <w:nsid w:val="2F7E3C1B"/>
    <w:multiLevelType w:val="hybridMultilevel"/>
    <w:tmpl w:val="36A02734"/>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608">
    <w:nsid w:val="2F825C78"/>
    <w:multiLevelType w:val="hybridMultilevel"/>
    <w:tmpl w:val="3D7ABED6"/>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609">
    <w:nsid w:val="2F9F33EB"/>
    <w:multiLevelType w:val="hybridMultilevel"/>
    <w:tmpl w:val="031A5640"/>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610">
    <w:nsid w:val="2FC54EA9"/>
    <w:multiLevelType w:val="hybridMultilevel"/>
    <w:tmpl w:val="03D427BA"/>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611">
    <w:nsid w:val="2FC60825"/>
    <w:multiLevelType w:val="hybridMultilevel"/>
    <w:tmpl w:val="5DDAE138"/>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612">
    <w:nsid w:val="30155538"/>
    <w:multiLevelType w:val="hybridMultilevel"/>
    <w:tmpl w:val="151C4342"/>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613">
    <w:nsid w:val="30184951"/>
    <w:multiLevelType w:val="multilevel"/>
    <w:tmpl w:val="C71AEE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4">
    <w:nsid w:val="303525D3"/>
    <w:multiLevelType w:val="hybridMultilevel"/>
    <w:tmpl w:val="933AC14C"/>
    <w:lvl w:ilvl="0" w:tplc="0C0C0003">
      <w:start w:val="1"/>
      <w:numFmt w:val="bullet"/>
      <w:lvlText w:val="o"/>
      <w:lvlJc w:val="left"/>
      <w:pPr>
        <w:ind w:left="720" w:hanging="360"/>
      </w:pPr>
      <w:rPr>
        <w:rFonts w:ascii="Courier New" w:hAnsi="Courier New" w:cs="Courier New"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615">
    <w:nsid w:val="304204A3"/>
    <w:multiLevelType w:val="hybridMultilevel"/>
    <w:tmpl w:val="16ECC94E"/>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616">
    <w:nsid w:val="30543081"/>
    <w:multiLevelType w:val="hybridMultilevel"/>
    <w:tmpl w:val="FBCC6EB4"/>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617">
    <w:nsid w:val="30561D6B"/>
    <w:multiLevelType w:val="hybridMultilevel"/>
    <w:tmpl w:val="77D21BB6"/>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618">
    <w:nsid w:val="30846FCE"/>
    <w:multiLevelType w:val="hybridMultilevel"/>
    <w:tmpl w:val="F398D09C"/>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619">
    <w:nsid w:val="309460B3"/>
    <w:multiLevelType w:val="hybridMultilevel"/>
    <w:tmpl w:val="06E4CC44"/>
    <w:lvl w:ilvl="0" w:tplc="0C0C0003">
      <w:start w:val="1"/>
      <w:numFmt w:val="bullet"/>
      <w:lvlText w:val="o"/>
      <w:lvlJc w:val="left"/>
      <w:pPr>
        <w:ind w:left="720" w:hanging="360"/>
      </w:pPr>
      <w:rPr>
        <w:rFonts w:ascii="Courier New" w:hAnsi="Courier New" w:cs="Courier New" w:hint="default"/>
      </w:rPr>
    </w:lvl>
    <w:lvl w:ilvl="1" w:tplc="0C0C0003">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620">
    <w:nsid w:val="30A15C76"/>
    <w:multiLevelType w:val="hybridMultilevel"/>
    <w:tmpl w:val="B21EA54E"/>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621">
    <w:nsid w:val="30CD73D8"/>
    <w:multiLevelType w:val="hybridMultilevel"/>
    <w:tmpl w:val="FF040970"/>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622">
    <w:nsid w:val="31012BD3"/>
    <w:multiLevelType w:val="hybridMultilevel"/>
    <w:tmpl w:val="ED14B7FA"/>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623">
    <w:nsid w:val="31041888"/>
    <w:multiLevelType w:val="hybridMultilevel"/>
    <w:tmpl w:val="A2E22CD6"/>
    <w:lvl w:ilvl="0" w:tplc="0C0C0009">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624">
    <w:nsid w:val="310A7D9F"/>
    <w:multiLevelType w:val="hybridMultilevel"/>
    <w:tmpl w:val="08760A52"/>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625">
    <w:nsid w:val="311D641D"/>
    <w:multiLevelType w:val="hybridMultilevel"/>
    <w:tmpl w:val="16481CA4"/>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626">
    <w:nsid w:val="31264563"/>
    <w:multiLevelType w:val="hybridMultilevel"/>
    <w:tmpl w:val="497807F0"/>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627">
    <w:nsid w:val="312A4BC5"/>
    <w:multiLevelType w:val="hybridMultilevel"/>
    <w:tmpl w:val="20282AEC"/>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628">
    <w:nsid w:val="31501061"/>
    <w:multiLevelType w:val="hybridMultilevel"/>
    <w:tmpl w:val="3220588C"/>
    <w:lvl w:ilvl="0" w:tplc="0C0C0003">
      <w:start w:val="1"/>
      <w:numFmt w:val="bullet"/>
      <w:lvlText w:val="o"/>
      <w:lvlJc w:val="left"/>
      <w:pPr>
        <w:ind w:left="720" w:hanging="360"/>
      </w:pPr>
      <w:rPr>
        <w:rFonts w:ascii="Courier New" w:hAnsi="Courier New" w:cs="Courier New"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629">
    <w:nsid w:val="31640B90"/>
    <w:multiLevelType w:val="hybridMultilevel"/>
    <w:tmpl w:val="87A0833E"/>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630">
    <w:nsid w:val="317A416B"/>
    <w:multiLevelType w:val="hybridMultilevel"/>
    <w:tmpl w:val="CE065E1C"/>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631">
    <w:nsid w:val="31B93EE9"/>
    <w:multiLevelType w:val="hybridMultilevel"/>
    <w:tmpl w:val="7E72727E"/>
    <w:lvl w:ilvl="0" w:tplc="8C74E87E">
      <w:start w:val="4"/>
      <w:numFmt w:val="bullet"/>
      <w:lvlText w:val="-"/>
      <w:lvlJc w:val="left"/>
      <w:pPr>
        <w:ind w:left="360" w:hanging="360"/>
      </w:pPr>
      <w:rPr>
        <w:rFonts w:ascii="Times New Roman" w:eastAsiaTheme="minorHAnsi" w:hAnsi="Times New Roman" w:cs="Times New Roman" w:hint="default"/>
        <w:i/>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632">
    <w:nsid w:val="31C521E7"/>
    <w:multiLevelType w:val="hybridMultilevel"/>
    <w:tmpl w:val="F6F0112C"/>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633">
    <w:nsid w:val="31EF55C9"/>
    <w:multiLevelType w:val="hybridMultilevel"/>
    <w:tmpl w:val="7848D45E"/>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634">
    <w:nsid w:val="31FE14CD"/>
    <w:multiLevelType w:val="multilevel"/>
    <w:tmpl w:val="7646F1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5">
    <w:nsid w:val="32093026"/>
    <w:multiLevelType w:val="hybridMultilevel"/>
    <w:tmpl w:val="9FA621A8"/>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636">
    <w:nsid w:val="321207F5"/>
    <w:multiLevelType w:val="hybridMultilevel"/>
    <w:tmpl w:val="DC1A7EAA"/>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637">
    <w:nsid w:val="321229DD"/>
    <w:multiLevelType w:val="hybridMultilevel"/>
    <w:tmpl w:val="68A4D01E"/>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638">
    <w:nsid w:val="32260B4F"/>
    <w:multiLevelType w:val="multilevel"/>
    <w:tmpl w:val="1A8A9AC0"/>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9">
    <w:nsid w:val="32313358"/>
    <w:multiLevelType w:val="hybridMultilevel"/>
    <w:tmpl w:val="DFA6822E"/>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640">
    <w:nsid w:val="32360A9F"/>
    <w:multiLevelType w:val="hybridMultilevel"/>
    <w:tmpl w:val="4D201970"/>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641">
    <w:nsid w:val="323727B9"/>
    <w:multiLevelType w:val="hybridMultilevel"/>
    <w:tmpl w:val="3CB456C6"/>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642">
    <w:nsid w:val="326E669D"/>
    <w:multiLevelType w:val="hybridMultilevel"/>
    <w:tmpl w:val="E8B85C86"/>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643">
    <w:nsid w:val="32954183"/>
    <w:multiLevelType w:val="hybridMultilevel"/>
    <w:tmpl w:val="0DE8C568"/>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644">
    <w:nsid w:val="32AB0825"/>
    <w:multiLevelType w:val="hybridMultilevel"/>
    <w:tmpl w:val="585ACCA4"/>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645">
    <w:nsid w:val="32DC5585"/>
    <w:multiLevelType w:val="hybridMultilevel"/>
    <w:tmpl w:val="24BA35DA"/>
    <w:lvl w:ilvl="0" w:tplc="0C0C0009">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646">
    <w:nsid w:val="32F1053D"/>
    <w:multiLevelType w:val="hybridMultilevel"/>
    <w:tmpl w:val="308232A0"/>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647">
    <w:nsid w:val="330B6484"/>
    <w:multiLevelType w:val="hybridMultilevel"/>
    <w:tmpl w:val="EB2229AC"/>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648">
    <w:nsid w:val="33283894"/>
    <w:multiLevelType w:val="hybridMultilevel"/>
    <w:tmpl w:val="88E65684"/>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649">
    <w:nsid w:val="33297344"/>
    <w:multiLevelType w:val="hybridMultilevel"/>
    <w:tmpl w:val="98D80624"/>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650">
    <w:nsid w:val="33366807"/>
    <w:multiLevelType w:val="hybridMultilevel"/>
    <w:tmpl w:val="4C7E16F4"/>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651">
    <w:nsid w:val="3351641E"/>
    <w:multiLevelType w:val="hybridMultilevel"/>
    <w:tmpl w:val="6CD6C340"/>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652">
    <w:nsid w:val="33772957"/>
    <w:multiLevelType w:val="hybridMultilevel"/>
    <w:tmpl w:val="3F26FA98"/>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653">
    <w:nsid w:val="33977683"/>
    <w:multiLevelType w:val="hybridMultilevel"/>
    <w:tmpl w:val="1DDE4E52"/>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654">
    <w:nsid w:val="339934A7"/>
    <w:multiLevelType w:val="hybridMultilevel"/>
    <w:tmpl w:val="57049802"/>
    <w:lvl w:ilvl="0" w:tplc="0C0C000B">
      <w:start w:val="1"/>
      <w:numFmt w:val="bullet"/>
      <w:lvlText w:val=""/>
      <w:lvlJc w:val="left"/>
      <w:pPr>
        <w:ind w:left="720" w:hanging="360"/>
      </w:pPr>
      <w:rPr>
        <w:rFonts w:ascii="Wingdings" w:hAnsi="Wingdings" w:hint="default"/>
      </w:rPr>
    </w:lvl>
    <w:lvl w:ilvl="1" w:tplc="0C0C0003">
      <w:start w:val="1"/>
      <w:numFmt w:val="bullet"/>
      <w:lvlText w:val="o"/>
      <w:lvlJc w:val="left"/>
      <w:pPr>
        <w:ind w:left="1440" w:hanging="360"/>
      </w:pPr>
      <w:rPr>
        <w:rFonts w:ascii="Courier New" w:hAnsi="Courier New" w:cs="Courier New" w:hint="default"/>
      </w:rPr>
    </w:lvl>
    <w:lvl w:ilvl="2" w:tplc="0C0C0005">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655">
    <w:nsid w:val="33AD3FC2"/>
    <w:multiLevelType w:val="hybridMultilevel"/>
    <w:tmpl w:val="653E547E"/>
    <w:lvl w:ilvl="0" w:tplc="0C0C000B">
      <w:start w:val="1"/>
      <w:numFmt w:val="bullet"/>
      <w:lvlText w:val=""/>
      <w:lvlJc w:val="left"/>
      <w:pPr>
        <w:ind w:left="360" w:hanging="360"/>
      </w:pPr>
      <w:rPr>
        <w:rFonts w:ascii="Wingdings" w:hAnsi="Wingdings" w:hint="default"/>
        <w:i/>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656">
    <w:nsid w:val="33C005A3"/>
    <w:multiLevelType w:val="hybridMultilevel"/>
    <w:tmpl w:val="D75A549A"/>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657">
    <w:nsid w:val="33C3058D"/>
    <w:multiLevelType w:val="hybridMultilevel"/>
    <w:tmpl w:val="1F3233C0"/>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658">
    <w:nsid w:val="33DB1B4A"/>
    <w:multiLevelType w:val="hybridMultilevel"/>
    <w:tmpl w:val="4A2E3C28"/>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659">
    <w:nsid w:val="33F45AFC"/>
    <w:multiLevelType w:val="hybridMultilevel"/>
    <w:tmpl w:val="A3822E80"/>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660">
    <w:nsid w:val="341E20D6"/>
    <w:multiLevelType w:val="hybridMultilevel"/>
    <w:tmpl w:val="DDDE20C6"/>
    <w:lvl w:ilvl="0" w:tplc="0C0C0015">
      <w:start w:val="1"/>
      <w:numFmt w:val="upperLetter"/>
      <w:lvlText w:val="%1."/>
      <w:lvlJc w:val="left"/>
      <w:pPr>
        <w:ind w:left="360" w:hanging="360"/>
      </w:pPr>
    </w:lvl>
    <w:lvl w:ilvl="1" w:tplc="0C0C000F">
      <w:start w:val="1"/>
      <w:numFmt w:val="decimal"/>
      <w:lvlText w:val="%2."/>
      <w:lvlJc w:val="left"/>
      <w:pPr>
        <w:ind w:left="1080" w:hanging="360"/>
      </w:pPr>
    </w:lvl>
    <w:lvl w:ilvl="2" w:tplc="0C0C001B" w:tentative="1">
      <w:start w:val="1"/>
      <w:numFmt w:val="lowerRoman"/>
      <w:lvlText w:val="%3."/>
      <w:lvlJc w:val="right"/>
      <w:pPr>
        <w:ind w:left="1800" w:hanging="180"/>
      </w:pPr>
    </w:lvl>
    <w:lvl w:ilvl="3" w:tplc="0C0C000F" w:tentative="1">
      <w:start w:val="1"/>
      <w:numFmt w:val="decimal"/>
      <w:lvlText w:val="%4."/>
      <w:lvlJc w:val="left"/>
      <w:pPr>
        <w:ind w:left="2520" w:hanging="360"/>
      </w:pPr>
    </w:lvl>
    <w:lvl w:ilvl="4" w:tplc="0C0C0019" w:tentative="1">
      <w:start w:val="1"/>
      <w:numFmt w:val="lowerLetter"/>
      <w:lvlText w:val="%5."/>
      <w:lvlJc w:val="left"/>
      <w:pPr>
        <w:ind w:left="3240" w:hanging="360"/>
      </w:pPr>
    </w:lvl>
    <w:lvl w:ilvl="5" w:tplc="0C0C001B" w:tentative="1">
      <w:start w:val="1"/>
      <w:numFmt w:val="lowerRoman"/>
      <w:lvlText w:val="%6."/>
      <w:lvlJc w:val="right"/>
      <w:pPr>
        <w:ind w:left="3960" w:hanging="180"/>
      </w:pPr>
    </w:lvl>
    <w:lvl w:ilvl="6" w:tplc="0C0C000F" w:tentative="1">
      <w:start w:val="1"/>
      <w:numFmt w:val="decimal"/>
      <w:lvlText w:val="%7."/>
      <w:lvlJc w:val="left"/>
      <w:pPr>
        <w:ind w:left="4680" w:hanging="360"/>
      </w:pPr>
    </w:lvl>
    <w:lvl w:ilvl="7" w:tplc="0C0C0019" w:tentative="1">
      <w:start w:val="1"/>
      <w:numFmt w:val="lowerLetter"/>
      <w:lvlText w:val="%8."/>
      <w:lvlJc w:val="left"/>
      <w:pPr>
        <w:ind w:left="5400" w:hanging="360"/>
      </w:pPr>
    </w:lvl>
    <w:lvl w:ilvl="8" w:tplc="0C0C001B" w:tentative="1">
      <w:start w:val="1"/>
      <w:numFmt w:val="lowerRoman"/>
      <w:lvlText w:val="%9."/>
      <w:lvlJc w:val="right"/>
      <w:pPr>
        <w:ind w:left="6120" w:hanging="180"/>
      </w:pPr>
    </w:lvl>
  </w:abstractNum>
  <w:abstractNum w:abstractNumId="661">
    <w:nsid w:val="34322B8A"/>
    <w:multiLevelType w:val="hybridMultilevel"/>
    <w:tmpl w:val="209458A2"/>
    <w:lvl w:ilvl="0" w:tplc="0C0C0001">
      <w:start w:val="1"/>
      <w:numFmt w:val="bullet"/>
      <w:lvlText w:val=""/>
      <w:lvlJc w:val="left"/>
      <w:pPr>
        <w:ind w:left="720" w:hanging="360"/>
      </w:pPr>
      <w:rPr>
        <w:rFonts w:ascii="Symbol" w:hAnsi="Symbol" w:hint="default"/>
      </w:rPr>
    </w:lvl>
    <w:lvl w:ilvl="1" w:tplc="0C0C0003">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662">
    <w:nsid w:val="348B7CBC"/>
    <w:multiLevelType w:val="hybridMultilevel"/>
    <w:tmpl w:val="139E1CE8"/>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663">
    <w:nsid w:val="348B7CEA"/>
    <w:multiLevelType w:val="hybridMultilevel"/>
    <w:tmpl w:val="D9008E82"/>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664">
    <w:nsid w:val="349E5B1B"/>
    <w:multiLevelType w:val="hybridMultilevel"/>
    <w:tmpl w:val="E8CC70F4"/>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665">
    <w:nsid w:val="34B37A71"/>
    <w:multiLevelType w:val="hybridMultilevel"/>
    <w:tmpl w:val="01C0924A"/>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666">
    <w:nsid w:val="34BE18E5"/>
    <w:multiLevelType w:val="hybridMultilevel"/>
    <w:tmpl w:val="79F659F4"/>
    <w:lvl w:ilvl="0" w:tplc="0C0C000B">
      <w:start w:val="1"/>
      <w:numFmt w:val="bullet"/>
      <w:lvlText w:val=""/>
      <w:lvlJc w:val="left"/>
      <w:pPr>
        <w:ind w:left="720" w:hanging="360"/>
      </w:pPr>
      <w:rPr>
        <w:rFonts w:ascii="Wingdings" w:hAnsi="Wingdings" w:hint="default"/>
      </w:rPr>
    </w:lvl>
    <w:lvl w:ilvl="1" w:tplc="0C0C0003">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667">
    <w:nsid w:val="34C22BA5"/>
    <w:multiLevelType w:val="hybridMultilevel"/>
    <w:tmpl w:val="4822B560"/>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668">
    <w:nsid w:val="34EA4243"/>
    <w:multiLevelType w:val="hybridMultilevel"/>
    <w:tmpl w:val="B2F25E26"/>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669">
    <w:nsid w:val="34F26B83"/>
    <w:multiLevelType w:val="hybridMultilevel"/>
    <w:tmpl w:val="9D4CEE64"/>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670">
    <w:nsid w:val="350A7FE7"/>
    <w:multiLevelType w:val="hybridMultilevel"/>
    <w:tmpl w:val="F7C87EFE"/>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671">
    <w:nsid w:val="35164D23"/>
    <w:multiLevelType w:val="hybridMultilevel"/>
    <w:tmpl w:val="186AE204"/>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672">
    <w:nsid w:val="352F0881"/>
    <w:multiLevelType w:val="hybridMultilevel"/>
    <w:tmpl w:val="D52223F4"/>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673">
    <w:nsid w:val="35437BCC"/>
    <w:multiLevelType w:val="hybridMultilevel"/>
    <w:tmpl w:val="1D92BD5A"/>
    <w:lvl w:ilvl="0" w:tplc="0C0C0003">
      <w:start w:val="1"/>
      <w:numFmt w:val="bullet"/>
      <w:lvlText w:val="o"/>
      <w:lvlJc w:val="left"/>
      <w:pPr>
        <w:ind w:left="720" w:hanging="360"/>
      </w:pPr>
      <w:rPr>
        <w:rFonts w:ascii="Courier New" w:hAnsi="Courier New" w:cs="Courier New" w:hint="default"/>
      </w:rPr>
    </w:lvl>
    <w:lvl w:ilvl="1" w:tplc="0C0C0003">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674">
    <w:nsid w:val="355827B1"/>
    <w:multiLevelType w:val="hybridMultilevel"/>
    <w:tmpl w:val="EACAF592"/>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675">
    <w:nsid w:val="357D367A"/>
    <w:multiLevelType w:val="hybridMultilevel"/>
    <w:tmpl w:val="29CA8384"/>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676">
    <w:nsid w:val="35AD6378"/>
    <w:multiLevelType w:val="hybridMultilevel"/>
    <w:tmpl w:val="9E0CD7C8"/>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677">
    <w:nsid w:val="35B10C32"/>
    <w:multiLevelType w:val="hybridMultilevel"/>
    <w:tmpl w:val="1F7C4282"/>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678">
    <w:nsid w:val="35B3501C"/>
    <w:multiLevelType w:val="hybridMultilevel"/>
    <w:tmpl w:val="11A0679A"/>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679">
    <w:nsid w:val="35CF138D"/>
    <w:multiLevelType w:val="hybridMultilevel"/>
    <w:tmpl w:val="9140E6F2"/>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680">
    <w:nsid w:val="35FF305E"/>
    <w:multiLevelType w:val="hybridMultilevel"/>
    <w:tmpl w:val="89B8DC44"/>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681">
    <w:nsid w:val="36017444"/>
    <w:multiLevelType w:val="hybridMultilevel"/>
    <w:tmpl w:val="4F4A5EBE"/>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682">
    <w:nsid w:val="36144D86"/>
    <w:multiLevelType w:val="hybridMultilevel"/>
    <w:tmpl w:val="837463C4"/>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683">
    <w:nsid w:val="36162079"/>
    <w:multiLevelType w:val="hybridMultilevel"/>
    <w:tmpl w:val="E98C3DDE"/>
    <w:lvl w:ilvl="0" w:tplc="0C0C0001">
      <w:start w:val="1"/>
      <w:numFmt w:val="bullet"/>
      <w:lvlText w:val=""/>
      <w:lvlJc w:val="left"/>
      <w:pPr>
        <w:ind w:left="720" w:hanging="360"/>
      </w:pPr>
      <w:rPr>
        <w:rFonts w:ascii="Symbol" w:hAnsi="Symbol" w:hint="default"/>
      </w:rPr>
    </w:lvl>
    <w:lvl w:ilvl="1" w:tplc="0C0C0003">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684">
    <w:nsid w:val="36214748"/>
    <w:multiLevelType w:val="hybridMultilevel"/>
    <w:tmpl w:val="BC3CDDF4"/>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685">
    <w:nsid w:val="36370775"/>
    <w:multiLevelType w:val="hybridMultilevel"/>
    <w:tmpl w:val="94AAC49E"/>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686">
    <w:nsid w:val="366E656E"/>
    <w:multiLevelType w:val="hybridMultilevel"/>
    <w:tmpl w:val="F7589A04"/>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687">
    <w:nsid w:val="368248D3"/>
    <w:multiLevelType w:val="hybridMultilevel"/>
    <w:tmpl w:val="ECB8EE9A"/>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688">
    <w:nsid w:val="368A1C08"/>
    <w:multiLevelType w:val="multilevel"/>
    <w:tmpl w:val="39E0B0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89">
    <w:nsid w:val="368E13A2"/>
    <w:multiLevelType w:val="hybridMultilevel"/>
    <w:tmpl w:val="83D6068C"/>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690">
    <w:nsid w:val="369E072B"/>
    <w:multiLevelType w:val="hybridMultilevel"/>
    <w:tmpl w:val="4C388530"/>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691">
    <w:nsid w:val="36BE456B"/>
    <w:multiLevelType w:val="hybridMultilevel"/>
    <w:tmpl w:val="E3FC0026"/>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692">
    <w:nsid w:val="36D3683D"/>
    <w:multiLevelType w:val="hybridMultilevel"/>
    <w:tmpl w:val="8F02E59A"/>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693">
    <w:nsid w:val="36D3707C"/>
    <w:multiLevelType w:val="multilevel"/>
    <w:tmpl w:val="3EB652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4">
    <w:nsid w:val="37061F5F"/>
    <w:multiLevelType w:val="multilevel"/>
    <w:tmpl w:val="944A576C"/>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5">
    <w:nsid w:val="3715544E"/>
    <w:multiLevelType w:val="hybridMultilevel"/>
    <w:tmpl w:val="047074D0"/>
    <w:lvl w:ilvl="0" w:tplc="0C0C0015">
      <w:start w:val="1"/>
      <w:numFmt w:val="upperLetter"/>
      <w:lvlText w:val="%1."/>
      <w:lvlJc w:val="left"/>
      <w:pPr>
        <w:ind w:left="720" w:hanging="360"/>
      </w:p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696">
    <w:nsid w:val="37184843"/>
    <w:multiLevelType w:val="hybridMultilevel"/>
    <w:tmpl w:val="C9BA646A"/>
    <w:lvl w:ilvl="0" w:tplc="0C0C000B">
      <w:start w:val="1"/>
      <w:numFmt w:val="bullet"/>
      <w:lvlText w:val=""/>
      <w:lvlJc w:val="left"/>
      <w:pPr>
        <w:ind w:left="720" w:hanging="360"/>
      </w:pPr>
      <w:rPr>
        <w:rFonts w:ascii="Wingdings" w:hAnsi="Wingdings" w:hint="default"/>
      </w:rPr>
    </w:lvl>
    <w:lvl w:ilvl="1" w:tplc="0C0C0003">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697">
    <w:nsid w:val="371B54F3"/>
    <w:multiLevelType w:val="hybridMultilevel"/>
    <w:tmpl w:val="B6765E84"/>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698">
    <w:nsid w:val="37230767"/>
    <w:multiLevelType w:val="hybridMultilevel"/>
    <w:tmpl w:val="F71A3654"/>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699">
    <w:nsid w:val="37545185"/>
    <w:multiLevelType w:val="hybridMultilevel"/>
    <w:tmpl w:val="3AAAED82"/>
    <w:lvl w:ilvl="0" w:tplc="0C0C000D">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700">
    <w:nsid w:val="37D41115"/>
    <w:multiLevelType w:val="hybridMultilevel"/>
    <w:tmpl w:val="2CECB0CC"/>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701">
    <w:nsid w:val="37D9315F"/>
    <w:multiLevelType w:val="hybridMultilevel"/>
    <w:tmpl w:val="9DC40068"/>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702">
    <w:nsid w:val="37DC3F4F"/>
    <w:multiLevelType w:val="hybridMultilevel"/>
    <w:tmpl w:val="F356B71A"/>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703">
    <w:nsid w:val="37F91674"/>
    <w:multiLevelType w:val="hybridMultilevel"/>
    <w:tmpl w:val="46AE129A"/>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704">
    <w:nsid w:val="38107FF0"/>
    <w:multiLevelType w:val="hybridMultilevel"/>
    <w:tmpl w:val="DA662B0C"/>
    <w:lvl w:ilvl="0" w:tplc="0C0C0009">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705">
    <w:nsid w:val="383A5AD6"/>
    <w:multiLevelType w:val="hybridMultilevel"/>
    <w:tmpl w:val="1CF8C1F2"/>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706">
    <w:nsid w:val="385130A0"/>
    <w:multiLevelType w:val="hybridMultilevel"/>
    <w:tmpl w:val="6E9CF9B0"/>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707">
    <w:nsid w:val="385C6130"/>
    <w:multiLevelType w:val="hybridMultilevel"/>
    <w:tmpl w:val="669858F0"/>
    <w:lvl w:ilvl="0" w:tplc="0C0C0015">
      <w:start w:val="1"/>
      <w:numFmt w:val="upperLetter"/>
      <w:lvlText w:val="%1."/>
      <w:lvlJc w:val="left"/>
      <w:pPr>
        <w:ind w:left="360" w:hanging="360"/>
      </w:pPr>
    </w:lvl>
    <w:lvl w:ilvl="1" w:tplc="0C0C000F">
      <w:start w:val="1"/>
      <w:numFmt w:val="decimal"/>
      <w:lvlText w:val="%2."/>
      <w:lvlJc w:val="left"/>
      <w:pPr>
        <w:ind w:left="1080" w:hanging="360"/>
      </w:pPr>
    </w:lvl>
    <w:lvl w:ilvl="2" w:tplc="0C0C001B">
      <w:start w:val="1"/>
      <w:numFmt w:val="lowerRoman"/>
      <w:lvlText w:val="%3."/>
      <w:lvlJc w:val="right"/>
      <w:pPr>
        <w:ind w:left="1800" w:hanging="180"/>
      </w:pPr>
    </w:lvl>
    <w:lvl w:ilvl="3" w:tplc="0C0C000F" w:tentative="1">
      <w:start w:val="1"/>
      <w:numFmt w:val="decimal"/>
      <w:lvlText w:val="%4."/>
      <w:lvlJc w:val="left"/>
      <w:pPr>
        <w:ind w:left="2520" w:hanging="360"/>
      </w:pPr>
    </w:lvl>
    <w:lvl w:ilvl="4" w:tplc="0C0C0019" w:tentative="1">
      <w:start w:val="1"/>
      <w:numFmt w:val="lowerLetter"/>
      <w:lvlText w:val="%5."/>
      <w:lvlJc w:val="left"/>
      <w:pPr>
        <w:ind w:left="3240" w:hanging="360"/>
      </w:pPr>
    </w:lvl>
    <w:lvl w:ilvl="5" w:tplc="0C0C001B" w:tentative="1">
      <w:start w:val="1"/>
      <w:numFmt w:val="lowerRoman"/>
      <w:lvlText w:val="%6."/>
      <w:lvlJc w:val="right"/>
      <w:pPr>
        <w:ind w:left="3960" w:hanging="180"/>
      </w:pPr>
    </w:lvl>
    <w:lvl w:ilvl="6" w:tplc="0C0C000F" w:tentative="1">
      <w:start w:val="1"/>
      <w:numFmt w:val="decimal"/>
      <w:lvlText w:val="%7."/>
      <w:lvlJc w:val="left"/>
      <w:pPr>
        <w:ind w:left="4680" w:hanging="360"/>
      </w:pPr>
    </w:lvl>
    <w:lvl w:ilvl="7" w:tplc="0C0C0019" w:tentative="1">
      <w:start w:val="1"/>
      <w:numFmt w:val="lowerLetter"/>
      <w:lvlText w:val="%8."/>
      <w:lvlJc w:val="left"/>
      <w:pPr>
        <w:ind w:left="5400" w:hanging="360"/>
      </w:pPr>
    </w:lvl>
    <w:lvl w:ilvl="8" w:tplc="0C0C001B" w:tentative="1">
      <w:start w:val="1"/>
      <w:numFmt w:val="lowerRoman"/>
      <w:lvlText w:val="%9."/>
      <w:lvlJc w:val="right"/>
      <w:pPr>
        <w:ind w:left="6120" w:hanging="180"/>
      </w:pPr>
    </w:lvl>
  </w:abstractNum>
  <w:abstractNum w:abstractNumId="708">
    <w:nsid w:val="386F4BB2"/>
    <w:multiLevelType w:val="hybridMultilevel"/>
    <w:tmpl w:val="14243086"/>
    <w:lvl w:ilvl="0" w:tplc="1D6CFB16">
      <w:start w:val="1"/>
      <w:numFmt w:val="upperLetter"/>
      <w:lvlText w:val="%1."/>
      <w:lvlJc w:val="left"/>
      <w:pPr>
        <w:ind w:left="720" w:hanging="360"/>
      </w:pPr>
      <w:rPr>
        <w:rFonts w:hint="default"/>
      </w:r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709">
    <w:nsid w:val="38D16F13"/>
    <w:multiLevelType w:val="hybridMultilevel"/>
    <w:tmpl w:val="133EAF7E"/>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710">
    <w:nsid w:val="38D8667D"/>
    <w:multiLevelType w:val="hybridMultilevel"/>
    <w:tmpl w:val="0CF0C7CC"/>
    <w:lvl w:ilvl="0" w:tplc="0C0C0003">
      <w:start w:val="1"/>
      <w:numFmt w:val="bullet"/>
      <w:lvlText w:val="o"/>
      <w:lvlJc w:val="left"/>
      <w:pPr>
        <w:ind w:left="720" w:hanging="360"/>
      </w:pPr>
      <w:rPr>
        <w:rFonts w:ascii="Courier New" w:hAnsi="Courier New" w:cs="Courier New"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711">
    <w:nsid w:val="38F54988"/>
    <w:multiLevelType w:val="hybridMultilevel"/>
    <w:tmpl w:val="494A1200"/>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712">
    <w:nsid w:val="38F9559A"/>
    <w:multiLevelType w:val="hybridMultilevel"/>
    <w:tmpl w:val="6BEE1382"/>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713">
    <w:nsid w:val="38FE2F27"/>
    <w:multiLevelType w:val="hybridMultilevel"/>
    <w:tmpl w:val="62EEBDA8"/>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714">
    <w:nsid w:val="3909575E"/>
    <w:multiLevelType w:val="hybridMultilevel"/>
    <w:tmpl w:val="FDF42FE4"/>
    <w:lvl w:ilvl="0" w:tplc="0C0C0009">
      <w:start w:val="1"/>
      <w:numFmt w:val="bullet"/>
      <w:lvlText w:val=""/>
      <w:lvlJc w:val="left"/>
      <w:pPr>
        <w:ind w:left="720" w:hanging="360"/>
      </w:pPr>
      <w:rPr>
        <w:rFonts w:ascii="Wingdings" w:hAnsi="Wingdings" w:hint="default"/>
      </w:rPr>
    </w:lvl>
    <w:lvl w:ilvl="1" w:tplc="0C0C0003">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715">
    <w:nsid w:val="393F6065"/>
    <w:multiLevelType w:val="hybridMultilevel"/>
    <w:tmpl w:val="849489FA"/>
    <w:lvl w:ilvl="0" w:tplc="0C0C0009">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716">
    <w:nsid w:val="3951064B"/>
    <w:multiLevelType w:val="hybridMultilevel"/>
    <w:tmpl w:val="58FC1054"/>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717">
    <w:nsid w:val="39756FF8"/>
    <w:multiLevelType w:val="hybridMultilevel"/>
    <w:tmpl w:val="86D63A1C"/>
    <w:lvl w:ilvl="0" w:tplc="0C0C000B">
      <w:start w:val="1"/>
      <w:numFmt w:val="bullet"/>
      <w:lvlText w:val=""/>
      <w:lvlJc w:val="left"/>
      <w:pPr>
        <w:ind w:left="720" w:hanging="360"/>
      </w:pPr>
      <w:rPr>
        <w:rFonts w:ascii="Wingdings" w:hAnsi="Wingdings" w:hint="default"/>
      </w:rPr>
    </w:lvl>
    <w:lvl w:ilvl="1" w:tplc="0C0C0003">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718">
    <w:nsid w:val="397F05B3"/>
    <w:multiLevelType w:val="hybridMultilevel"/>
    <w:tmpl w:val="C45EF9FC"/>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719">
    <w:nsid w:val="3982647B"/>
    <w:multiLevelType w:val="hybridMultilevel"/>
    <w:tmpl w:val="2486855A"/>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720">
    <w:nsid w:val="39B62AA0"/>
    <w:multiLevelType w:val="hybridMultilevel"/>
    <w:tmpl w:val="E99E048E"/>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721">
    <w:nsid w:val="39B9348C"/>
    <w:multiLevelType w:val="hybridMultilevel"/>
    <w:tmpl w:val="4A2C0B64"/>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722">
    <w:nsid w:val="39C61B75"/>
    <w:multiLevelType w:val="hybridMultilevel"/>
    <w:tmpl w:val="1644864E"/>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723">
    <w:nsid w:val="39E660BF"/>
    <w:multiLevelType w:val="hybridMultilevel"/>
    <w:tmpl w:val="8ACE90FE"/>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724">
    <w:nsid w:val="39F9440A"/>
    <w:multiLevelType w:val="hybridMultilevel"/>
    <w:tmpl w:val="43941892"/>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725">
    <w:nsid w:val="3A052459"/>
    <w:multiLevelType w:val="hybridMultilevel"/>
    <w:tmpl w:val="66A0A68C"/>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726">
    <w:nsid w:val="3A0753D2"/>
    <w:multiLevelType w:val="hybridMultilevel"/>
    <w:tmpl w:val="BC70CA98"/>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727">
    <w:nsid w:val="3A0C1BE1"/>
    <w:multiLevelType w:val="hybridMultilevel"/>
    <w:tmpl w:val="6212D87E"/>
    <w:lvl w:ilvl="0" w:tplc="0C0C0009">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728">
    <w:nsid w:val="3A0D5779"/>
    <w:multiLevelType w:val="hybridMultilevel"/>
    <w:tmpl w:val="1D00FDEC"/>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729">
    <w:nsid w:val="3A0F0AAF"/>
    <w:multiLevelType w:val="hybridMultilevel"/>
    <w:tmpl w:val="219CC71A"/>
    <w:lvl w:ilvl="0" w:tplc="0C0C0003">
      <w:start w:val="1"/>
      <w:numFmt w:val="bullet"/>
      <w:lvlText w:val="o"/>
      <w:lvlJc w:val="left"/>
      <w:pPr>
        <w:ind w:left="1068" w:hanging="360"/>
      </w:pPr>
      <w:rPr>
        <w:rFonts w:ascii="Courier New" w:hAnsi="Courier New" w:cs="Courier New" w:hint="default"/>
      </w:rPr>
    </w:lvl>
    <w:lvl w:ilvl="1" w:tplc="0C0C0003" w:tentative="1">
      <w:start w:val="1"/>
      <w:numFmt w:val="bullet"/>
      <w:lvlText w:val="o"/>
      <w:lvlJc w:val="left"/>
      <w:pPr>
        <w:ind w:left="1788" w:hanging="360"/>
      </w:pPr>
      <w:rPr>
        <w:rFonts w:ascii="Courier New" w:hAnsi="Courier New" w:cs="Courier New" w:hint="default"/>
      </w:rPr>
    </w:lvl>
    <w:lvl w:ilvl="2" w:tplc="0C0C0005" w:tentative="1">
      <w:start w:val="1"/>
      <w:numFmt w:val="bullet"/>
      <w:lvlText w:val=""/>
      <w:lvlJc w:val="left"/>
      <w:pPr>
        <w:ind w:left="2508" w:hanging="360"/>
      </w:pPr>
      <w:rPr>
        <w:rFonts w:ascii="Wingdings" w:hAnsi="Wingdings" w:hint="default"/>
      </w:rPr>
    </w:lvl>
    <w:lvl w:ilvl="3" w:tplc="0C0C0001" w:tentative="1">
      <w:start w:val="1"/>
      <w:numFmt w:val="bullet"/>
      <w:lvlText w:val=""/>
      <w:lvlJc w:val="left"/>
      <w:pPr>
        <w:ind w:left="3228" w:hanging="360"/>
      </w:pPr>
      <w:rPr>
        <w:rFonts w:ascii="Symbol" w:hAnsi="Symbol" w:hint="default"/>
      </w:rPr>
    </w:lvl>
    <w:lvl w:ilvl="4" w:tplc="0C0C0003" w:tentative="1">
      <w:start w:val="1"/>
      <w:numFmt w:val="bullet"/>
      <w:lvlText w:val="o"/>
      <w:lvlJc w:val="left"/>
      <w:pPr>
        <w:ind w:left="3948" w:hanging="360"/>
      </w:pPr>
      <w:rPr>
        <w:rFonts w:ascii="Courier New" w:hAnsi="Courier New" w:cs="Courier New" w:hint="default"/>
      </w:rPr>
    </w:lvl>
    <w:lvl w:ilvl="5" w:tplc="0C0C0005" w:tentative="1">
      <w:start w:val="1"/>
      <w:numFmt w:val="bullet"/>
      <w:lvlText w:val=""/>
      <w:lvlJc w:val="left"/>
      <w:pPr>
        <w:ind w:left="4668" w:hanging="360"/>
      </w:pPr>
      <w:rPr>
        <w:rFonts w:ascii="Wingdings" w:hAnsi="Wingdings" w:hint="default"/>
      </w:rPr>
    </w:lvl>
    <w:lvl w:ilvl="6" w:tplc="0C0C0001" w:tentative="1">
      <w:start w:val="1"/>
      <w:numFmt w:val="bullet"/>
      <w:lvlText w:val=""/>
      <w:lvlJc w:val="left"/>
      <w:pPr>
        <w:ind w:left="5388" w:hanging="360"/>
      </w:pPr>
      <w:rPr>
        <w:rFonts w:ascii="Symbol" w:hAnsi="Symbol" w:hint="default"/>
      </w:rPr>
    </w:lvl>
    <w:lvl w:ilvl="7" w:tplc="0C0C0003" w:tentative="1">
      <w:start w:val="1"/>
      <w:numFmt w:val="bullet"/>
      <w:lvlText w:val="o"/>
      <w:lvlJc w:val="left"/>
      <w:pPr>
        <w:ind w:left="6108" w:hanging="360"/>
      </w:pPr>
      <w:rPr>
        <w:rFonts w:ascii="Courier New" w:hAnsi="Courier New" w:cs="Courier New" w:hint="default"/>
      </w:rPr>
    </w:lvl>
    <w:lvl w:ilvl="8" w:tplc="0C0C0005" w:tentative="1">
      <w:start w:val="1"/>
      <w:numFmt w:val="bullet"/>
      <w:lvlText w:val=""/>
      <w:lvlJc w:val="left"/>
      <w:pPr>
        <w:ind w:left="6828" w:hanging="360"/>
      </w:pPr>
      <w:rPr>
        <w:rFonts w:ascii="Wingdings" w:hAnsi="Wingdings" w:hint="default"/>
      </w:rPr>
    </w:lvl>
  </w:abstractNum>
  <w:abstractNum w:abstractNumId="730">
    <w:nsid w:val="3A575EAC"/>
    <w:multiLevelType w:val="hybridMultilevel"/>
    <w:tmpl w:val="57C0DA7E"/>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731">
    <w:nsid w:val="3A72796D"/>
    <w:multiLevelType w:val="hybridMultilevel"/>
    <w:tmpl w:val="38183CC8"/>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732">
    <w:nsid w:val="3A963F9C"/>
    <w:multiLevelType w:val="hybridMultilevel"/>
    <w:tmpl w:val="EDF6BB36"/>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733">
    <w:nsid w:val="3ACB3910"/>
    <w:multiLevelType w:val="hybridMultilevel"/>
    <w:tmpl w:val="6F2EA27C"/>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734">
    <w:nsid w:val="3AF45BAE"/>
    <w:multiLevelType w:val="hybridMultilevel"/>
    <w:tmpl w:val="B9020D74"/>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735">
    <w:nsid w:val="3AF80D2E"/>
    <w:multiLevelType w:val="hybridMultilevel"/>
    <w:tmpl w:val="95102F9C"/>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736">
    <w:nsid w:val="3B057781"/>
    <w:multiLevelType w:val="hybridMultilevel"/>
    <w:tmpl w:val="BF5CDA3C"/>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737">
    <w:nsid w:val="3B3C23FD"/>
    <w:multiLevelType w:val="hybridMultilevel"/>
    <w:tmpl w:val="AACCCF1A"/>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738">
    <w:nsid w:val="3B415EF3"/>
    <w:multiLevelType w:val="hybridMultilevel"/>
    <w:tmpl w:val="712AC542"/>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739">
    <w:nsid w:val="3B4C094F"/>
    <w:multiLevelType w:val="hybridMultilevel"/>
    <w:tmpl w:val="AE72DC30"/>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740">
    <w:nsid w:val="3B557A0C"/>
    <w:multiLevelType w:val="hybridMultilevel"/>
    <w:tmpl w:val="E03CE2AA"/>
    <w:lvl w:ilvl="0" w:tplc="0C0C0015">
      <w:start w:val="1"/>
      <w:numFmt w:val="upperLetter"/>
      <w:lvlText w:val="%1."/>
      <w:lvlJc w:val="left"/>
      <w:pPr>
        <w:ind w:left="360" w:hanging="360"/>
      </w:pPr>
    </w:lvl>
    <w:lvl w:ilvl="1" w:tplc="0C0C0019">
      <w:start w:val="1"/>
      <w:numFmt w:val="lowerLetter"/>
      <w:lvlText w:val="%2."/>
      <w:lvlJc w:val="left"/>
      <w:pPr>
        <w:ind w:left="1080" w:hanging="360"/>
      </w:pPr>
    </w:lvl>
    <w:lvl w:ilvl="2" w:tplc="0C0C001B" w:tentative="1">
      <w:start w:val="1"/>
      <w:numFmt w:val="lowerRoman"/>
      <w:lvlText w:val="%3."/>
      <w:lvlJc w:val="right"/>
      <w:pPr>
        <w:ind w:left="1800" w:hanging="180"/>
      </w:pPr>
    </w:lvl>
    <w:lvl w:ilvl="3" w:tplc="0C0C000F" w:tentative="1">
      <w:start w:val="1"/>
      <w:numFmt w:val="decimal"/>
      <w:lvlText w:val="%4."/>
      <w:lvlJc w:val="left"/>
      <w:pPr>
        <w:ind w:left="2520" w:hanging="360"/>
      </w:pPr>
    </w:lvl>
    <w:lvl w:ilvl="4" w:tplc="0C0C0019" w:tentative="1">
      <w:start w:val="1"/>
      <w:numFmt w:val="lowerLetter"/>
      <w:lvlText w:val="%5."/>
      <w:lvlJc w:val="left"/>
      <w:pPr>
        <w:ind w:left="3240" w:hanging="360"/>
      </w:pPr>
    </w:lvl>
    <w:lvl w:ilvl="5" w:tplc="0C0C001B" w:tentative="1">
      <w:start w:val="1"/>
      <w:numFmt w:val="lowerRoman"/>
      <w:lvlText w:val="%6."/>
      <w:lvlJc w:val="right"/>
      <w:pPr>
        <w:ind w:left="3960" w:hanging="180"/>
      </w:pPr>
    </w:lvl>
    <w:lvl w:ilvl="6" w:tplc="0C0C000F" w:tentative="1">
      <w:start w:val="1"/>
      <w:numFmt w:val="decimal"/>
      <w:lvlText w:val="%7."/>
      <w:lvlJc w:val="left"/>
      <w:pPr>
        <w:ind w:left="4680" w:hanging="360"/>
      </w:pPr>
    </w:lvl>
    <w:lvl w:ilvl="7" w:tplc="0C0C0019" w:tentative="1">
      <w:start w:val="1"/>
      <w:numFmt w:val="lowerLetter"/>
      <w:lvlText w:val="%8."/>
      <w:lvlJc w:val="left"/>
      <w:pPr>
        <w:ind w:left="5400" w:hanging="360"/>
      </w:pPr>
    </w:lvl>
    <w:lvl w:ilvl="8" w:tplc="0C0C001B" w:tentative="1">
      <w:start w:val="1"/>
      <w:numFmt w:val="lowerRoman"/>
      <w:lvlText w:val="%9."/>
      <w:lvlJc w:val="right"/>
      <w:pPr>
        <w:ind w:left="6120" w:hanging="180"/>
      </w:pPr>
    </w:lvl>
  </w:abstractNum>
  <w:abstractNum w:abstractNumId="741">
    <w:nsid w:val="3B560E67"/>
    <w:multiLevelType w:val="hybridMultilevel"/>
    <w:tmpl w:val="8D1CD04C"/>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742">
    <w:nsid w:val="3B5F6B09"/>
    <w:multiLevelType w:val="hybridMultilevel"/>
    <w:tmpl w:val="2DA6C272"/>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743">
    <w:nsid w:val="3B612B5A"/>
    <w:multiLevelType w:val="multilevel"/>
    <w:tmpl w:val="C7D60B9E"/>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44">
    <w:nsid w:val="3B777249"/>
    <w:multiLevelType w:val="hybridMultilevel"/>
    <w:tmpl w:val="49F24CB8"/>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745">
    <w:nsid w:val="3B8520D6"/>
    <w:multiLevelType w:val="hybridMultilevel"/>
    <w:tmpl w:val="ECC268B8"/>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746">
    <w:nsid w:val="3B91694D"/>
    <w:multiLevelType w:val="hybridMultilevel"/>
    <w:tmpl w:val="ED348C24"/>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747">
    <w:nsid w:val="3B9A4174"/>
    <w:multiLevelType w:val="hybridMultilevel"/>
    <w:tmpl w:val="9E94328A"/>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748">
    <w:nsid w:val="3BAB5038"/>
    <w:multiLevelType w:val="hybridMultilevel"/>
    <w:tmpl w:val="57C44DF8"/>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749">
    <w:nsid w:val="3BB95CC4"/>
    <w:multiLevelType w:val="hybridMultilevel"/>
    <w:tmpl w:val="2F5E904E"/>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start w:val="1"/>
      <w:numFmt w:val="bullet"/>
      <w:lvlText w:val=""/>
      <w:lvlJc w:val="left"/>
      <w:pPr>
        <w:ind w:left="1800" w:hanging="360"/>
      </w:pPr>
      <w:rPr>
        <w:rFonts w:ascii="Wingdings" w:hAnsi="Wingdings" w:hint="default"/>
      </w:rPr>
    </w:lvl>
    <w:lvl w:ilvl="3" w:tplc="0C0C000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750">
    <w:nsid w:val="3BBB27B9"/>
    <w:multiLevelType w:val="hybridMultilevel"/>
    <w:tmpl w:val="5728FF36"/>
    <w:lvl w:ilvl="0" w:tplc="0C0C0009">
      <w:start w:val="1"/>
      <w:numFmt w:val="bullet"/>
      <w:lvlText w:val=""/>
      <w:lvlJc w:val="left"/>
      <w:pPr>
        <w:ind w:left="360" w:hanging="360"/>
      </w:pPr>
      <w:rPr>
        <w:rFonts w:ascii="Wingdings" w:hAnsi="Wingdings" w:hint="default"/>
      </w:rPr>
    </w:lvl>
    <w:lvl w:ilvl="1" w:tplc="0C0C0019" w:tentative="1">
      <w:start w:val="1"/>
      <w:numFmt w:val="lowerLetter"/>
      <w:lvlText w:val="%2."/>
      <w:lvlJc w:val="left"/>
      <w:pPr>
        <w:ind w:left="1080" w:hanging="360"/>
      </w:pPr>
    </w:lvl>
    <w:lvl w:ilvl="2" w:tplc="0C0C001B" w:tentative="1">
      <w:start w:val="1"/>
      <w:numFmt w:val="lowerRoman"/>
      <w:lvlText w:val="%3."/>
      <w:lvlJc w:val="right"/>
      <w:pPr>
        <w:ind w:left="1800" w:hanging="180"/>
      </w:pPr>
    </w:lvl>
    <w:lvl w:ilvl="3" w:tplc="0C0C000F" w:tentative="1">
      <w:start w:val="1"/>
      <w:numFmt w:val="decimal"/>
      <w:lvlText w:val="%4."/>
      <w:lvlJc w:val="left"/>
      <w:pPr>
        <w:ind w:left="2520" w:hanging="360"/>
      </w:pPr>
    </w:lvl>
    <w:lvl w:ilvl="4" w:tplc="0C0C0019" w:tentative="1">
      <w:start w:val="1"/>
      <w:numFmt w:val="lowerLetter"/>
      <w:lvlText w:val="%5."/>
      <w:lvlJc w:val="left"/>
      <w:pPr>
        <w:ind w:left="3240" w:hanging="360"/>
      </w:pPr>
    </w:lvl>
    <w:lvl w:ilvl="5" w:tplc="0C0C001B" w:tentative="1">
      <w:start w:val="1"/>
      <w:numFmt w:val="lowerRoman"/>
      <w:lvlText w:val="%6."/>
      <w:lvlJc w:val="right"/>
      <w:pPr>
        <w:ind w:left="3960" w:hanging="180"/>
      </w:pPr>
    </w:lvl>
    <w:lvl w:ilvl="6" w:tplc="0C0C000F" w:tentative="1">
      <w:start w:val="1"/>
      <w:numFmt w:val="decimal"/>
      <w:lvlText w:val="%7."/>
      <w:lvlJc w:val="left"/>
      <w:pPr>
        <w:ind w:left="4680" w:hanging="360"/>
      </w:pPr>
    </w:lvl>
    <w:lvl w:ilvl="7" w:tplc="0C0C0019" w:tentative="1">
      <w:start w:val="1"/>
      <w:numFmt w:val="lowerLetter"/>
      <w:lvlText w:val="%8."/>
      <w:lvlJc w:val="left"/>
      <w:pPr>
        <w:ind w:left="5400" w:hanging="360"/>
      </w:pPr>
    </w:lvl>
    <w:lvl w:ilvl="8" w:tplc="0C0C001B" w:tentative="1">
      <w:start w:val="1"/>
      <w:numFmt w:val="lowerRoman"/>
      <w:lvlText w:val="%9."/>
      <w:lvlJc w:val="right"/>
      <w:pPr>
        <w:ind w:left="6120" w:hanging="180"/>
      </w:pPr>
    </w:lvl>
  </w:abstractNum>
  <w:abstractNum w:abstractNumId="751">
    <w:nsid w:val="3BF432FC"/>
    <w:multiLevelType w:val="hybridMultilevel"/>
    <w:tmpl w:val="45F2AE66"/>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752">
    <w:nsid w:val="3BF7204C"/>
    <w:multiLevelType w:val="hybridMultilevel"/>
    <w:tmpl w:val="5ACCD8B6"/>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753">
    <w:nsid w:val="3C001ECF"/>
    <w:multiLevelType w:val="hybridMultilevel"/>
    <w:tmpl w:val="1FE282E6"/>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754">
    <w:nsid w:val="3C054F83"/>
    <w:multiLevelType w:val="hybridMultilevel"/>
    <w:tmpl w:val="3F5E8340"/>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755">
    <w:nsid w:val="3C1F24D9"/>
    <w:multiLevelType w:val="hybridMultilevel"/>
    <w:tmpl w:val="8B8C17F0"/>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756">
    <w:nsid w:val="3C572226"/>
    <w:multiLevelType w:val="hybridMultilevel"/>
    <w:tmpl w:val="92BE01F2"/>
    <w:lvl w:ilvl="0" w:tplc="0C0C0009">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757">
    <w:nsid w:val="3C7A5395"/>
    <w:multiLevelType w:val="hybridMultilevel"/>
    <w:tmpl w:val="79B472D8"/>
    <w:lvl w:ilvl="0" w:tplc="0C0C000B">
      <w:start w:val="1"/>
      <w:numFmt w:val="bullet"/>
      <w:lvlText w:val=""/>
      <w:lvlJc w:val="left"/>
      <w:pPr>
        <w:ind w:left="720" w:hanging="360"/>
      </w:pPr>
      <w:rPr>
        <w:rFonts w:ascii="Wingdings" w:hAnsi="Wingdings" w:hint="default"/>
      </w:rPr>
    </w:lvl>
    <w:lvl w:ilvl="1" w:tplc="0C0C0003">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758">
    <w:nsid w:val="3C9C7BB8"/>
    <w:multiLevelType w:val="multilevel"/>
    <w:tmpl w:val="2728B07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9">
    <w:nsid w:val="3CAD7FF2"/>
    <w:multiLevelType w:val="hybridMultilevel"/>
    <w:tmpl w:val="7D6612E6"/>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760">
    <w:nsid w:val="3CB94479"/>
    <w:multiLevelType w:val="hybridMultilevel"/>
    <w:tmpl w:val="5596B0DA"/>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761">
    <w:nsid w:val="3D1C1C6A"/>
    <w:multiLevelType w:val="multilevel"/>
    <w:tmpl w:val="95CEA3BE"/>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62">
    <w:nsid w:val="3D314D91"/>
    <w:multiLevelType w:val="hybridMultilevel"/>
    <w:tmpl w:val="DD2EABAE"/>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763">
    <w:nsid w:val="3D5769C4"/>
    <w:multiLevelType w:val="hybridMultilevel"/>
    <w:tmpl w:val="9A6EE9B0"/>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764">
    <w:nsid w:val="3D5C370D"/>
    <w:multiLevelType w:val="hybridMultilevel"/>
    <w:tmpl w:val="42D20912"/>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765">
    <w:nsid w:val="3D715651"/>
    <w:multiLevelType w:val="hybridMultilevel"/>
    <w:tmpl w:val="6E24C16A"/>
    <w:lvl w:ilvl="0" w:tplc="0C0C000B">
      <w:start w:val="1"/>
      <w:numFmt w:val="bullet"/>
      <w:lvlText w:val=""/>
      <w:lvlJc w:val="left"/>
      <w:pPr>
        <w:ind w:left="360" w:hanging="360"/>
      </w:pPr>
      <w:rPr>
        <w:rFonts w:ascii="Wingdings" w:hAnsi="Wingdings" w:hint="default"/>
      </w:rPr>
    </w:lvl>
    <w:lvl w:ilvl="1" w:tplc="0C0C0019" w:tentative="1">
      <w:start w:val="1"/>
      <w:numFmt w:val="lowerLetter"/>
      <w:lvlText w:val="%2."/>
      <w:lvlJc w:val="left"/>
      <w:pPr>
        <w:ind w:left="1080" w:hanging="360"/>
      </w:pPr>
    </w:lvl>
    <w:lvl w:ilvl="2" w:tplc="0C0C001B" w:tentative="1">
      <w:start w:val="1"/>
      <w:numFmt w:val="lowerRoman"/>
      <w:lvlText w:val="%3."/>
      <w:lvlJc w:val="right"/>
      <w:pPr>
        <w:ind w:left="1800" w:hanging="180"/>
      </w:pPr>
    </w:lvl>
    <w:lvl w:ilvl="3" w:tplc="0C0C000F" w:tentative="1">
      <w:start w:val="1"/>
      <w:numFmt w:val="decimal"/>
      <w:lvlText w:val="%4."/>
      <w:lvlJc w:val="left"/>
      <w:pPr>
        <w:ind w:left="2520" w:hanging="360"/>
      </w:pPr>
    </w:lvl>
    <w:lvl w:ilvl="4" w:tplc="0C0C0019" w:tentative="1">
      <w:start w:val="1"/>
      <w:numFmt w:val="lowerLetter"/>
      <w:lvlText w:val="%5."/>
      <w:lvlJc w:val="left"/>
      <w:pPr>
        <w:ind w:left="3240" w:hanging="360"/>
      </w:pPr>
    </w:lvl>
    <w:lvl w:ilvl="5" w:tplc="0C0C001B" w:tentative="1">
      <w:start w:val="1"/>
      <w:numFmt w:val="lowerRoman"/>
      <w:lvlText w:val="%6."/>
      <w:lvlJc w:val="right"/>
      <w:pPr>
        <w:ind w:left="3960" w:hanging="180"/>
      </w:pPr>
    </w:lvl>
    <w:lvl w:ilvl="6" w:tplc="0C0C000F" w:tentative="1">
      <w:start w:val="1"/>
      <w:numFmt w:val="decimal"/>
      <w:lvlText w:val="%7."/>
      <w:lvlJc w:val="left"/>
      <w:pPr>
        <w:ind w:left="4680" w:hanging="360"/>
      </w:pPr>
    </w:lvl>
    <w:lvl w:ilvl="7" w:tplc="0C0C0019" w:tentative="1">
      <w:start w:val="1"/>
      <w:numFmt w:val="lowerLetter"/>
      <w:lvlText w:val="%8."/>
      <w:lvlJc w:val="left"/>
      <w:pPr>
        <w:ind w:left="5400" w:hanging="360"/>
      </w:pPr>
    </w:lvl>
    <w:lvl w:ilvl="8" w:tplc="0C0C001B" w:tentative="1">
      <w:start w:val="1"/>
      <w:numFmt w:val="lowerRoman"/>
      <w:lvlText w:val="%9."/>
      <w:lvlJc w:val="right"/>
      <w:pPr>
        <w:ind w:left="6120" w:hanging="180"/>
      </w:pPr>
    </w:lvl>
  </w:abstractNum>
  <w:abstractNum w:abstractNumId="766">
    <w:nsid w:val="3D826C65"/>
    <w:multiLevelType w:val="hybridMultilevel"/>
    <w:tmpl w:val="74C28FC6"/>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767">
    <w:nsid w:val="3D9A7122"/>
    <w:multiLevelType w:val="hybridMultilevel"/>
    <w:tmpl w:val="D2CC5E0A"/>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768">
    <w:nsid w:val="3DE362A0"/>
    <w:multiLevelType w:val="hybridMultilevel"/>
    <w:tmpl w:val="DA20826A"/>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769">
    <w:nsid w:val="3DEB1A27"/>
    <w:multiLevelType w:val="hybridMultilevel"/>
    <w:tmpl w:val="0BA40184"/>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770">
    <w:nsid w:val="3DF10368"/>
    <w:multiLevelType w:val="hybridMultilevel"/>
    <w:tmpl w:val="AC84E94E"/>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771">
    <w:nsid w:val="3DF35F6D"/>
    <w:multiLevelType w:val="hybridMultilevel"/>
    <w:tmpl w:val="315ABC26"/>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772">
    <w:nsid w:val="3DF4696D"/>
    <w:multiLevelType w:val="hybridMultilevel"/>
    <w:tmpl w:val="91CE163A"/>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773">
    <w:nsid w:val="3E2D09AA"/>
    <w:multiLevelType w:val="hybridMultilevel"/>
    <w:tmpl w:val="BA64030A"/>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774">
    <w:nsid w:val="3E921BFE"/>
    <w:multiLevelType w:val="hybridMultilevel"/>
    <w:tmpl w:val="06BEE728"/>
    <w:lvl w:ilvl="0" w:tplc="0C0C0009">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775">
    <w:nsid w:val="3E922AA9"/>
    <w:multiLevelType w:val="hybridMultilevel"/>
    <w:tmpl w:val="8CBA5680"/>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776">
    <w:nsid w:val="3EA15D2F"/>
    <w:multiLevelType w:val="hybridMultilevel"/>
    <w:tmpl w:val="546AC98C"/>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777">
    <w:nsid w:val="3EAB71B2"/>
    <w:multiLevelType w:val="hybridMultilevel"/>
    <w:tmpl w:val="35E60C82"/>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778">
    <w:nsid w:val="3EB61304"/>
    <w:multiLevelType w:val="hybridMultilevel"/>
    <w:tmpl w:val="882EB1F2"/>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779">
    <w:nsid w:val="3EBA13B7"/>
    <w:multiLevelType w:val="hybridMultilevel"/>
    <w:tmpl w:val="265C0AD0"/>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780">
    <w:nsid w:val="3EC31124"/>
    <w:multiLevelType w:val="hybridMultilevel"/>
    <w:tmpl w:val="7814341A"/>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781">
    <w:nsid w:val="3EEF1ACE"/>
    <w:multiLevelType w:val="hybridMultilevel"/>
    <w:tmpl w:val="968CE504"/>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782">
    <w:nsid w:val="3EFF7775"/>
    <w:multiLevelType w:val="hybridMultilevel"/>
    <w:tmpl w:val="0E2C324A"/>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783">
    <w:nsid w:val="3F0154D2"/>
    <w:multiLevelType w:val="hybridMultilevel"/>
    <w:tmpl w:val="399ED620"/>
    <w:lvl w:ilvl="0" w:tplc="0C0C0001">
      <w:start w:val="1"/>
      <w:numFmt w:val="bullet"/>
      <w:lvlText w:val=""/>
      <w:lvlJc w:val="left"/>
      <w:pPr>
        <w:ind w:left="360" w:hanging="360"/>
      </w:pPr>
      <w:rPr>
        <w:rFonts w:ascii="Symbol" w:hAnsi="Symbol" w:hint="default"/>
      </w:rPr>
    </w:lvl>
    <w:lvl w:ilvl="1" w:tplc="0C0C0001">
      <w:start w:val="1"/>
      <w:numFmt w:val="bullet"/>
      <w:lvlText w:val=""/>
      <w:lvlJc w:val="left"/>
      <w:pPr>
        <w:ind w:left="1080" w:hanging="360"/>
      </w:pPr>
      <w:rPr>
        <w:rFonts w:ascii="Symbol" w:hAnsi="Symbol" w:hint="default"/>
      </w:rPr>
    </w:lvl>
    <w:lvl w:ilvl="2" w:tplc="0C0C0005">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784">
    <w:nsid w:val="3F0865C6"/>
    <w:multiLevelType w:val="hybridMultilevel"/>
    <w:tmpl w:val="6BDC3E5A"/>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785">
    <w:nsid w:val="3F0F5CD3"/>
    <w:multiLevelType w:val="hybridMultilevel"/>
    <w:tmpl w:val="CBAE7924"/>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786">
    <w:nsid w:val="3F35201A"/>
    <w:multiLevelType w:val="hybridMultilevel"/>
    <w:tmpl w:val="8CA41ADE"/>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787">
    <w:nsid w:val="3F3D42DC"/>
    <w:multiLevelType w:val="hybridMultilevel"/>
    <w:tmpl w:val="7376FBF8"/>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788">
    <w:nsid w:val="3F492344"/>
    <w:multiLevelType w:val="hybridMultilevel"/>
    <w:tmpl w:val="37F65582"/>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789">
    <w:nsid w:val="3F527B8F"/>
    <w:multiLevelType w:val="hybridMultilevel"/>
    <w:tmpl w:val="F39C5874"/>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790">
    <w:nsid w:val="3F5B4C74"/>
    <w:multiLevelType w:val="hybridMultilevel"/>
    <w:tmpl w:val="7DBE8368"/>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791">
    <w:nsid w:val="3F6E28B4"/>
    <w:multiLevelType w:val="hybridMultilevel"/>
    <w:tmpl w:val="6A6E8E4A"/>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792">
    <w:nsid w:val="3F777AF8"/>
    <w:multiLevelType w:val="hybridMultilevel"/>
    <w:tmpl w:val="81CE21A2"/>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793">
    <w:nsid w:val="3F7B2264"/>
    <w:multiLevelType w:val="hybridMultilevel"/>
    <w:tmpl w:val="341A1398"/>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794">
    <w:nsid w:val="3FA42EE7"/>
    <w:multiLevelType w:val="hybridMultilevel"/>
    <w:tmpl w:val="30129E2A"/>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795">
    <w:nsid w:val="3FAD1BF9"/>
    <w:multiLevelType w:val="hybridMultilevel"/>
    <w:tmpl w:val="C040D964"/>
    <w:lvl w:ilvl="0" w:tplc="0C0C0009">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796">
    <w:nsid w:val="3FFF4F4B"/>
    <w:multiLevelType w:val="hybridMultilevel"/>
    <w:tmpl w:val="8AAECAFE"/>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797">
    <w:nsid w:val="400B389F"/>
    <w:multiLevelType w:val="hybridMultilevel"/>
    <w:tmpl w:val="F2483610"/>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798">
    <w:nsid w:val="403B5124"/>
    <w:multiLevelType w:val="hybridMultilevel"/>
    <w:tmpl w:val="46187294"/>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799">
    <w:nsid w:val="40431403"/>
    <w:multiLevelType w:val="multilevel"/>
    <w:tmpl w:val="E34699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0">
    <w:nsid w:val="4086276C"/>
    <w:multiLevelType w:val="hybridMultilevel"/>
    <w:tmpl w:val="3DDEEE72"/>
    <w:lvl w:ilvl="0" w:tplc="0C0C000B">
      <w:start w:val="1"/>
      <w:numFmt w:val="bullet"/>
      <w:lvlText w:val=""/>
      <w:lvlJc w:val="left"/>
      <w:pPr>
        <w:ind w:left="720" w:hanging="360"/>
      </w:pPr>
      <w:rPr>
        <w:rFonts w:ascii="Wingdings" w:hAnsi="Wingdings" w:hint="default"/>
      </w:rPr>
    </w:lvl>
    <w:lvl w:ilvl="1" w:tplc="0C0C0003">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801">
    <w:nsid w:val="409134DE"/>
    <w:multiLevelType w:val="hybridMultilevel"/>
    <w:tmpl w:val="F2A432F4"/>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802">
    <w:nsid w:val="409F5C9F"/>
    <w:multiLevelType w:val="multilevel"/>
    <w:tmpl w:val="FB5A4EE6"/>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03">
    <w:nsid w:val="40B811FE"/>
    <w:multiLevelType w:val="hybridMultilevel"/>
    <w:tmpl w:val="FD6A71DC"/>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804">
    <w:nsid w:val="40BD47CB"/>
    <w:multiLevelType w:val="hybridMultilevel"/>
    <w:tmpl w:val="1848CCC0"/>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805">
    <w:nsid w:val="40CC124B"/>
    <w:multiLevelType w:val="multilevel"/>
    <w:tmpl w:val="FD36BF16"/>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06">
    <w:nsid w:val="40E141BD"/>
    <w:multiLevelType w:val="hybridMultilevel"/>
    <w:tmpl w:val="702A8480"/>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807">
    <w:nsid w:val="40EB48FC"/>
    <w:multiLevelType w:val="hybridMultilevel"/>
    <w:tmpl w:val="3EFA6F8E"/>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808">
    <w:nsid w:val="40EC68C2"/>
    <w:multiLevelType w:val="hybridMultilevel"/>
    <w:tmpl w:val="E1A038D8"/>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809">
    <w:nsid w:val="40ED7D11"/>
    <w:multiLevelType w:val="hybridMultilevel"/>
    <w:tmpl w:val="AAA2B096"/>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810">
    <w:nsid w:val="40F11D9A"/>
    <w:multiLevelType w:val="multilevel"/>
    <w:tmpl w:val="B9F0BE18"/>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11">
    <w:nsid w:val="40FA7D2A"/>
    <w:multiLevelType w:val="hybridMultilevel"/>
    <w:tmpl w:val="1E0E71CA"/>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812">
    <w:nsid w:val="40FE11FF"/>
    <w:multiLevelType w:val="hybridMultilevel"/>
    <w:tmpl w:val="108E706A"/>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813">
    <w:nsid w:val="41006003"/>
    <w:multiLevelType w:val="hybridMultilevel"/>
    <w:tmpl w:val="D61C9CDE"/>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814">
    <w:nsid w:val="411D354A"/>
    <w:multiLevelType w:val="hybridMultilevel"/>
    <w:tmpl w:val="358451C8"/>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815">
    <w:nsid w:val="413020EA"/>
    <w:multiLevelType w:val="multilevel"/>
    <w:tmpl w:val="F31062FA"/>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16">
    <w:nsid w:val="4146655F"/>
    <w:multiLevelType w:val="hybridMultilevel"/>
    <w:tmpl w:val="7402D1D8"/>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817">
    <w:nsid w:val="41742E93"/>
    <w:multiLevelType w:val="hybridMultilevel"/>
    <w:tmpl w:val="E8523132"/>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818">
    <w:nsid w:val="41797406"/>
    <w:multiLevelType w:val="hybridMultilevel"/>
    <w:tmpl w:val="D242B4F2"/>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819">
    <w:nsid w:val="41A76008"/>
    <w:multiLevelType w:val="hybridMultilevel"/>
    <w:tmpl w:val="AB289066"/>
    <w:lvl w:ilvl="0" w:tplc="8C74E87E">
      <w:start w:val="4"/>
      <w:numFmt w:val="bullet"/>
      <w:lvlText w:val="-"/>
      <w:lvlJc w:val="left"/>
      <w:pPr>
        <w:ind w:left="360" w:hanging="360"/>
      </w:pPr>
      <w:rPr>
        <w:rFonts w:ascii="Times New Roman" w:eastAsiaTheme="minorHAnsi" w:hAnsi="Times New Roman" w:cs="Times New Roman" w:hint="default"/>
        <w:i/>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820">
    <w:nsid w:val="41C73912"/>
    <w:multiLevelType w:val="hybridMultilevel"/>
    <w:tmpl w:val="37983CAE"/>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821">
    <w:nsid w:val="41CD14AB"/>
    <w:multiLevelType w:val="hybridMultilevel"/>
    <w:tmpl w:val="219CD1E6"/>
    <w:lvl w:ilvl="0" w:tplc="0C0C000F">
      <w:start w:val="1"/>
      <w:numFmt w:val="decimal"/>
      <w:lvlText w:val="%1."/>
      <w:lvlJc w:val="left"/>
      <w:pPr>
        <w:ind w:left="720" w:hanging="360"/>
      </w:pPr>
    </w:lvl>
    <w:lvl w:ilvl="1" w:tplc="0C0C0019">
      <w:start w:val="1"/>
      <w:numFmt w:val="lowerLetter"/>
      <w:lvlText w:val="%2."/>
      <w:lvlJc w:val="left"/>
      <w:pPr>
        <w:ind w:left="1440" w:hanging="360"/>
      </w:pPr>
    </w:lvl>
    <w:lvl w:ilvl="2" w:tplc="0C0C001B">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822">
    <w:nsid w:val="41E126A4"/>
    <w:multiLevelType w:val="hybridMultilevel"/>
    <w:tmpl w:val="7AA8EE40"/>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823">
    <w:nsid w:val="41E520E5"/>
    <w:multiLevelType w:val="hybridMultilevel"/>
    <w:tmpl w:val="6A0251B8"/>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824">
    <w:nsid w:val="41EE126E"/>
    <w:multiLevelType w:val="multilevel"/>
    <w:tmpl w:val="691E2C6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25">
    <w:nsid w:val="41F04D16"/>
    <w:multiLevelType w:val="hybridMultilevel"/>
    <w:tmpl w:val="FD80DF70"/>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826">
    <w:nsid w:val="41F1701C"/>
    <w:multiLevelType w:val="hybridMultilevel"/>
    <w:tmpl w:val="4754B69C"/>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827">
    <w:nsid w:val="420C1305"/>
    <w:multiLevelType w:val="hybridMultilevel"/>
    <w:tmpl w:val="9E2A3448"/>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828">
    <w:nsid w:val="42237FEF"/>
    <w:multiLevelType w:val="hybridMultilevel"/>
    <w:tmpl w:val="882EBD76"/>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829">
    <w:nsid w:val="422E1D3D"/>
    <w:multiLevelType w:val="hybridMultilevel"/>
    <w:tmpl w:val="D5EC62EA"/>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830">
    <w:nsid w:val="426C7E43"/>
    <w:multiLevelType w:val="hybridMultilevel"/>
    <w:tmpl w:val="68D88AF2"/>
    <w:lvl w:ilvl="0" w:tplc="0C0C000B">
      <w:start w:val="1"/>
      <w:numFmt w:val="bullet"/>
      <w:lvlText w:val=""/>
      <w:lvlJc w:val="left"/>
      <w:pPr>
        <w:ind w:left="720" w:hanging="360"/>
      </w:pPr>
      <w:rPr>
        <w:rFonts w:ascii="Wingdings" w:hAnsi="Wingdings" w:hint="default"/>
      </w:rPr>
    </w:lvl>
    <w:lvl w:ilvl="1" w:tplc="0C0C0005">
      <w:start w:val="1"/>
      <w:numFmt w:val="bullet"/>
      <w:lvlText w:val=""/>
      <w:lvlJc w:val="left"/>
      <w:pPr>
        <w:ind w:left="1440" w:hanging="360"/>
      </w:pPr>
      <w:rPr>
        <w:rFonts w:ascii="Wingdings" w:hAnsi="Wingdings" w:hint="default"/>
      </w:rPr>
    </w:lvl>
    <w:lvl w:ilvl="2" w:tplc="0C0C0005">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831">
    <w:nsid w:val="4277082F"/>
    <w:multiLevelType w:val="hybridMultilevel"/>
    <w:tmpl w:val="EDFC644E"/>
    <w:lvl w:ilvl="0" w:tplc="0C0C000B">
      <w:start w:val="1"/>
      <w:numFmt w:val="bullet"/>
      <w:lvlText w:val=""/>
      <w:lvlJc w:val="left"/>
      <w:pPr>
        <w:ind w:left="644"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832">
    <w:nsid w:val="427D053D"/>
    <w:multiLevelType w:val="hybridMultilevel"/>
    <w:tmpl w:val="38A21010"/>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833">
    <w:nsid w:val="428532B4"/>
    <w:multiLevelType w:val="hybridMultilevel"/>
    <w:tmpl w:val="D72A0398"/>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834">
    <w:nsid w:val="42A31A97"/>
    <w:multiLevelType w:val="hybridMultilevel"/>
    <w:tmpl w:val="AD3E93CA"/>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835">
    <w:nsid w:val="42A32E83"/>
    <w:multiLevelType w:val="hybridMultilevel"/>
    <w:tmpl w:val="1E14709C"/>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836">
    <w:nsid w:val="42AD265D"/>
    <w:multiLevelType w:val="hybridMultilevel"/>
    <w:tmpl w:val="E24AD85A"/>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837">
    <w:nsid w:val="42E33FF6"/>
    <w:multiLevelType w:val="hybridMultilevel"/>
    <w:tmpl w:val="96AA819E"/>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838">
    <w:nsid w:val="430F6953"/>
    <w:multiLevelType w:val="hybridMultilevel"/>
    <w:tmpl w:val="B5D4FEA2"/>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839">
    <w:nsid w:val="4327660F"/>
    <w:multiLevelType w:val="hybridMultilevel"/>
    <w:tmpl w:val="1D7A1190"/>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840">
    <w:nsid w:val="434F70DA"/>
    <w:multiLevelType w:val="hybridMultilevel"/>
    <w:tmpl w:val="4A867418"/>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841">
    <w:nsid w:val="435C5F60"/>
    <w:multiLevelType w:val="hybridMultilevel"/>
    <w:tmpl w:val="59C8E1DC"/>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842">
    <w:nsid w:val="436D60ED"/>
    <w:multiLevelType w:val="hybridMultilevel"/>
    <w:tmpl w:val="61C065B8"/>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843">
    <w:nsid w:val="43914D67"/>
    <w:multiLevelType w:val="hybridMultilevel"/>
    <w:tmpl w:val="654A4424"/>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844">
    <w:nsid w:val="43A01455"/>
    <w:multiLevelType w:val="hybridMultilevel"/>
    <w:tmpl w:val="79AC5D06"/>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845">
    <w:nsid w:val="43A307ED"/>
    <w:multiLevelType w:val="hybridMultilevel"/>
    <w:tmpl w:val="6C289C0A"/>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846">
    <w:nsid w:val="440235A6"/>
    <w:multiLevelType w:val="hybridMultilevel"/>
    <w:tmpl w:val="D332A304"/>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847">
    <w:nsid w:val="44024DEE"/>
    <w:multiLevelType w:val="hybridMultilevel"/>
    <w:tmpl w:val="C05AF33E"/>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848">
    <w:nsid w:val="441D5852"/>
    <w:multiLevelType w:val="hybridMultilevel"/>
    <w:tmpl w:val="35D6A008"/>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849">
    <w:nsid w:val="442A5051"/>
    <w:multiLevelType w:val="hybridMultilevel"/>
    <w:tmpl w:val="EF6453D6"/>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850">
    <w:nsid w:val="4439082B"/>
    <w:multiLevelType w:val="hybridMultilevel"/>
    <w:tmpl w:val="0ABC12B2"/>
    <w:lvl w:ilvl="0" w:tplc="0C0C0005">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851">
    <w:nsid w:val="444D0957"/>
    <w:multiLevelType w:val="hybridMultilevel"/>
    <w:tmpl w:val="1D4E8B3A"/>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852">
    <w:nsid w:val="444F5215"/>
    <w:multiLevelType w:val="hybridMultilevel"/>
    <w:tmpl w:val="8748698E"/>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853">
    <w:nsid w:val="44536ACC"/>
    <w:multiLevelType w:val="hybridMultilevel"/>
    <w:tmpl w:val="A0322C5A"/>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854">
    <w:nsid w:val="445A68C3"/>
    <w:multiLevelType w:val="hybridMultilevel"/>
    <w:tmpl w:val="BA2A68A2"/>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855">
    <w:nsid w:val="44727CF5"/>
    <w:multiLevelType w:val="hybridMultilevel"/>
    <w:tmpl w:val="0B60DD26"/>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856">
    <w:nsid w:val="448613B4"/>
    <w:multiLevelType w:val="multilevel"/>
    <w:tmpl w:val="2500D7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57">
    <w:nsid w:val="448B5C9A"/>
    <w:multiLevelType w:val="hybridMultilevel"/>
    <w:tmpl w:val="7F822686"/>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858">
    <w:nsid w:val="44A95B25"/>
    <w:multiLevelType w:val="hybridMultilevel"/>
    <w:tmpl w:val="D17C03B6"/>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859">
    <w:nsid w:val="44FA6C70"/>
    <w:multiLevelType w:val="hybridMultilevel"/>
    <w:tmpl w:val="ABD69A82"/>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860">
    <w:nsid w:val="45017496"/>
    <w:multiLevelType w:val="hybridMultilevel"/>
    <w:tmpl w:val="FF2850D4"/>
    <w:lvl w:ilvl="0" w:tplc="0C0C000B">
      <w:start w:val="1"/>
      <w:numFmt w:val="bullet"/>
      <w:lvlText w:val=""/>
      <w:lvlJc w:val="left"/>
      <w:pPr>
        <w:ind w:left="720" w:hanging="360"/>
      </w:pPr>
      <w:rPr>
        <w:rFonts w:ascii="Wingdings" w:hAnsi="Wingdings" w:hint="default"/>
      </w:rPr>
    </w:lvl>
    <w:lvl w:ilvl="1" w:tplc="0C0C0003">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861">
    <w:nsid w:val="451874A4"/>
    <w:multiLevelType w:val="hybridMultilevel"/>
    <w:tmpl w:val="019CFA80"/>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862">
    <w:nsid w:val="45410ADC"/>
    <w:multiLevelType w:val="hybridMultilevel"/>
    <w:tmpl w:val="1B388FF4"/>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863">
    <w:nsid w:val="454C2902"/>
    <w:multiLevelType w:val="hybridMultilevel"/>
    <w:tmpl w:val="EC74D200"/>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864">
    <w:nsid w:val="45730F24"/>
    <w:multiLevelType w:val="hybridMultilevel"/>
    <w:tmpl w:val="0B2AC3E0"/>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865">
    <w:nsid w:val="458D6B0C"/>
    <w:multiLevelType w:val="hybridMultilevel"/>
    <w:tmpl w:val="E71A904A"/>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866">
    <w:nsid w:val="458E1BA1"/>
    <w:multiLevelType w:val="hybridMultilevel"/>
    <w:tmpl w:val="511CF3C0"/>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867">
    <w:nsid w:val="45924427"/>
    <w:multiLevelType w:val="hybridMultilevel"/>
    <w:tmpl w:val="9572A194"/>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868">
    <w:nsid w:val="45A641C2"/>
    <w:multiLevelType w:val="hybridMultilevel"/>
    <w:tmpl w:val="E33AAC98"/>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869">
    <w:nsid w:val="45BC6E9C"/>
    <w:multiLevelType w:val="hybridMultilevel"/>
    <w:tmpl w:val="35706B98"/>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870">
    <w:nsid w:val="45CE1FFD"/>
    <w:multiLevelType w:val="hybridMultilevel"/>
    <w:tmpl w:val="A42E1E76"/>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871">
    <w:nsid w:val="45D36070"/>
    <w:multiLevelType w:val="hybridMultilevel"/>
    <w:tmpl w:val="C1CC3100"/>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872">
    <w:nsid w:val="45D42A1B"/>
    <w:multiLevelType w:val="hybridMultilevel"/>
    <w:tmpl w:val="59CA017E"/>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873">
    <w:nsid w:val="45D82C1C"/>
    <w:multiLevelType w:val="hybridMultilevel"/>
    <w:tmpl w:val="C75A5156"/>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874">
    <w:nsid w:val="45EE0F73"/>
    <w:multiLevelType w:val="hybridMultilevel"/>
    <w:tmpl w:val="B036A642"/>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875">
    <w:nsid w:val="45F50CBD"/>
    <w:multiLevelType w:val="hybridMultilevel"/>
    <w:tmpl w:val="9F0E5F4A"/>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876">
    <w:nsid w:val="461442B9"/>
    <w:multiLevelType w:val="hybridMultilevel"/>
    <w:tmpl w:val="D83AB0B0"/>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877">
    <w:nsid w:val="462820EE"/>
    <w:multiLevelType w:val="hybridMultilevel"/>
    <w:tmpl w:val="A9D26088"/>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878">
    <w:nsid w:val="462D67A4"/>
    <w:multiLevelType w:val="hybridMultilevel"/>
    <w:tmpl w:val="84763C60"/>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879">
    <w:nsid w:val="46394A24"/>
    <w:multiLevelType w:val="hybridMultilevel"/>
    <w:tmpl w:val="085CFC8A"/>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880">
    <w:nsid w:val="466C590F"/>
    <w:multiLevelType w:val="hybridMultilevel"/>
    <w:tmpl w:val="A81A9FA4"/>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881">
    <w:nsid w:val="46AA2D9D"/>
    <w:multiLevelType w:val="hybridMultilevel"/>
    <w:tmpl w:val="526C5BE6"/>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882">
    <w:nsid w:val="46B30228"/>
    <w:multiLevelType w:val="hybridMultilevel"/>
    <w:tmpl w:val="B568C97E"/>
    <w:lvl w:ilvl="0" w:tplc="0C0C000B">
      <w:start w:val="1"/>
      <w:numFmt w:val="bullet"/>
      <w:lvlText w:val=""/>
      <w:lvlJc w:val="left"/>
      <w:pPr>
        <w:ind w:left="720" w:hanging="360"/>
      </w:pPr>
      <w:rPr>
        <w:rFonts w:ascii="Wingdings" w:hAnsi="Wingdings" w:hint="default"/>
      </w:rPr>
    </w:lvl>
    <w:lvl w:ilvl="1" w:tplc="0C0C0003">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883">
    <w:nsid w:val="46BD0C3D"/>
    <w:multiLevelType w:val="hybridMultilevel"/>
    <w:tmpl w:val="63B45106"/>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884">
    <w:nsid w:val="46C54702"/>
    <w:multiLevelType w:val="hybridMultilevel"/>
    <w:tmpl w:val="C7023D3A"/>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885">
    <w:nsid w:val="46D355D4"/>
    <w:multiLevelType w:val="hybridMultilevel"/>
    <w:tmpl w:val="01687188"/>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886">
    <w:nsid w:val="46DD519B"/>
    <w:multiLevelType w:val="hybridMultilevel"/>
    <w:tmpl w:val="BFAA7F86"/>
    <w:lvl w:ilvl="0" w:tplc="0C0C0009">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887">
    <w:nsid w:val="46E5741D"/>
    <w:multiLevelType w:val="hybridMultilevel"/>
    <w:tmpl w:val="76B44F98"/>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888">
    <w:nsid w:val="46F4479C"/>
    <w:multiLevelType w:val="hybridMultilevel"/>
    <w:tmpl w:val="CA549B6A"/>
    <w:lvl w:ilvl="0" w:tplc="0C0C0009">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889">
    <w:nsid w:val="46F97442"/>
    <w:multiLevelType w:val="hybridMultilevel"/>
    <w:tmpl w:val="A826494C"/>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890">
    <w:nsid w:val="47125230"/>
    <w:multiLevelType w:val="hybridMultilevel"/>
    <w:tmpl w:val="88C42D06"/>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891">
    <w:nsid w:val="4734649C"/>
    <w:multiLevelType w:val="hybridMultilevel"/>
    <w:tmpl w:val="F48C1E7C"/>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892">
    <w:nsid w:val="47461187"/>
    <w:multiLevelType w:val="hybridMultilevel"/>
    <w:tmpl w:val="2ACE875E"/>
    <w:lvl w:ilvl="0" w:tplc="0C0C0009">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893">
    <w:nsid w:val="474C7C8E"/>
    <w:multiLevelType w:val="hybridMultilevel"/>
    <w:tmpl w:val="2AF0C56A"/>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894">
    <w:nsid w:val="475F541D"/>
    <w:multiLevelType w:val="hybridMultilevel"/>
    <w:tmpl w:val="4AB46BE0"/>
    <w:lvl w:ilvl="0" w:tplc="0C0C000F">
      <w:start w:val="1"/>
      <w:numFmt w:val="decimal"/>
      <w:lvlText w:val="%1."/>
      <w:lvlJc w:val="left"/>
      <w:pPr>
        <w:ind w:left="720" w:hanging="360"/>
      </w:p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895">
    <w:nsid w:val="47704428"/>
    <w:multiLevelType w:val="hybridMultilevel"/>
    <w:tmpl w:val="A41EC2B2"/>
    <w:lvl w:ilvl="0" w:tplc="0C0C000B">
      <w:start w:val="1"/>
      <w:numFmt w:val="bullet"/>
      <w:lvlText w:val=""/>
      <w:lvlJc w:val="left"/>
      <w:pPr>
        <w:ind w:left="360" w:hanging="360"/>
      </w:pPr>
      <w:rPr>
        <w:rFonts w:ascii="Wingdings" w:hAnsi="Wingdings" w:hint="default"/>
        <w:i/>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896">
    <w:nsid w:val="47942C58"/>
    <w:multiLevelType w:val="hybridMultilevel"/>
    <w:tmpl w:val="C91E076C"/>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897">
    <w:nsid w:val="479A10D0"/>
    <w:multiLevelType w:val="hybridMultilevel"/>
    <w:tmpl w:val="6DCE03F8"/>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898">
    <w:nsid w:val="47A41394"/>
    <w:multiLevelType w:val="hybridMultilevel"/>
    <w:tmpl w:val="B778E450"/>
    <w:lvl w:ilvl="0" w:tplc="0C0C000B">
      <w:start w:val="1"/>
      <w:numFmt w:val="bullet"/>
      <w:lvlText w:val=""/>
      <w:lvlJc w:val="left"/>
      <w:pPr>
        <w:ind w:left="720" w:hanging="360"/>
      </w:pPr>
      <w:rPr>
        <w:rFonts w:ascii="Wingdings" w:hAnsi="Wingdings" w:hint="default"/>
      </w:rPr>
    </w:lvl>
    <w:lvl w:ilvl="1" w:tplc="0C0C0003">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899">
    <w:nsid w:val="47BA7BC0"/>
    <w:multiLevelType w:val="hybridMultilevel"/>
    <w:tmpl w:val="A7F26C40"/>
    <w:lvl w:ilvl="0" w:tplc="0C0C000B">
      <w:start w:val="1"/>
      <w:numFmt w:val="bullet"/>
      <w:lvlText w:val=""/>
      <w:lvlJc w:val="left"/>
      <w:pPr>
        <w:ind w:left="360" w:hanging="360"/>
      </w:pPr>
      <w:rPr>
        <w:rFonts w:ascii="Wingdings" w:hAnsi="Wingdings" w:hint="default"/>
      </w:rPr>
    </w:lvl>
    <w:lvl w:ilvl="1" w:tplc="0C0C0005">
      <w:start w:val="1"/>
      <w:numFmt w:val="bullet"/>
      <w:lvlText w:val=""/>
      <w:lvlJc w:val="left"/>
      <w:pPr>
        <w:ind w:left="1080" w:hanging="360"/>
      </w:pPr>
      <w:rPr>
        <w:rFonts w:ascii="Wingdings" w:hAnsi="Wingdings"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900">
    <w:nsid w:val="47C80AA3"/>
    <w:multiLevelType w:val="hybridMultilevel"/>
    <w:tmpl w:val="983CBC2C"/>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901">
    <w:nsid w:val="47DB604E"/>
    <w:multiLevelType w:val="hybridMultilevel"/>
    <w:tmpl w:val="AA7E180A"/>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902">
    <w:nsid w:val="47DB6BD6"/>
    <w:multiLevelType w:val="hybridMultilevel"/>
    <w:tmpl w:val="594AE174"/>
    <w:lvl w:ilvl="0" w:tplc="0C0C0009">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903">
    <w:nsid w:val="47DC74BB"/>
    <w:multiLevelType w:val="hybridMultilevel"/>
    <w:tmpl w:val="0DA825DC"/>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904">
    <w:nsid w:val="48163993"/>
    <w:multiLevelType w:val="hybridMultilevel"/>
    <w:tmpl w:val="1042F66A"/>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905">
    <w:nsid w:val="483F5DE0"/>
    <w:multiLevelType w:val="hybridMultilevel"/>
    <w:tmpl w:val="34282FE2"/>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906">
    <w:nsid w:val="484702FA"/>
    <w:multiLevelType w:val="hybridMultilevel"/>
    <w:tmpl w:val="D6900B52"/>
    <w:lvl w:ilvl="0" w:tplc="0C0C0005">
      <w:start w:val="1"/>
      <w:numFmt w:val="bullet"/>
      <w:lvlText w:val=""/>
      <w:lvlJc w:val="left"/>
      <w:pPr>
        <w:ind w:left="1068" w:hanging="360"/>
      </w:pPr>
      <w:rPr>
        <w:rFonts w:ascii="Wingdings" w:hAnsi="Wingdings" w:hint="default"/>
      </w:rPr>
    </w:lvl>
    <w:lvl w:ilvl="1" w:tplc="0C0C0003" w:tentative="1">
      <w:start w:val="1"/>
      <w:numFmt w:val="bullet"/>
      <w:lvlText w:val="o"/>
      <w:lvlJc w:val="left"/>
      <w:pPr>
        <w:ind w:left="1788" w:hanging="360"/>
      </w:pPr>
      <w:rPr>
        <w:rFonts w:ascii="Courier New" w:hAnsi="Courier New" w:cs="Courier New" w:hint="default"/>
      </w:rPr>
    </w:lvl>
    <w:lvl w:ilvl="2" w:tplc="0C0C0005" w:tentative="1">
      <w:start w:val="1"/>
      <w:numFmt w:val="bullet"/>
      <w:lvlText w:val=""/>
      <w:lvlJc w:val="left"/>
      <w:pPr>
        <w:ind w:left="2508" w:hanging="360"/>
      </w:pPr>
      <w:rPr>
        <w:rFonts w:ascii="Wingdings" w:hAnsi="Wingdings" w:hint="default"/>
      </w:rPr>
    </w:lvl>
    <w:lvl w:ilvl="3" w:tplc="0C0C0001" w:tentative="1">
      <w:start w:val="1"/>
      <w:numFmt w:val="bullet"/>
      <w:lvlText w:val=""/>
      <w:lvlJc w:val="left"/>
      <w:pPr>
        <w:ind w:left="3228" w:hanging="360"/>
      </w:pPr>
      <w:rPr>
        <w:rFonts w:ascii="Symbol" w:hAnsi="Symbol" w:hint="default"/>
      </w:rPr>
    </w:lvl>
    <w:lvl w:ilvl="4" w:tplc="0C0C0003" w:tentative="1">
      <w:start w:val="1"/>
      <w:numFmt w:val="bullet"/>
      <w:lvlText w:val="o"/>
      <w:lvlJc w:val="left"/>
      <w:pPr>
        <w:ind w:left="3948" w:hanging="360"/>
      </w:pPr>
      <w:rPr>
        <w:rFonts w:ascii="Courier New" w:hAnsi="Courier New" w:cs="Courier New" w:hint="default"/>
      </w:rPr>
    </w:lvl>
    <w:lvl w:ilvl="5" w:tplc="0C0C0005" w:tentative="1">
      <w:start w:val="1"/>
      <w:numFmt w:val="bullet"/>
      <w:lvlText w:val=""/>
      <w:lvlJc w:val="left"/>
      <w:pPr>
        <w:ind w:left="4668" w:hanging="360"/>
      </w:pPr>
      <w:rPr>
        <w:rFonts w:ascii="Wingdings" w:hAnsi="Wingdings" w:hint="default"/>
      </w:rPr>
    </w:lvl>
    <w:lvl w:ilvl="6" w:tplc="0C0C0001" w:tentative="1">
      <w:start w:val="1"/>
      <w:numFmt w:val="bullet"/>
      <w:lvlText w:val=""/>
      <w:lvlJc w:val="left"/>
      <w:pPr>
        <w:ind w:left="5388" w:hanging="360"/>
      </w:pPr>
      <w:rPr>
        <w:rFonts w:ascii="Symbol" w:hAnsi="Symbol" w:hint="default"/>
      </w:rPr>
    </w:lvl>
    <w:lvl w:ilvl="7" w:tplc="0C0C0003" w:tentative="1">
      <w:start w:val="1"/>
      <w:numFmt w:val="bullet"/>
      <w:lvlText w:val="o"/>
      <w:lvlJc w:val="left"/>
      <w:pPr>
        <w:ind w:left="6108" w:hanging="360"/>
      </w:pPr>
      <w:rPr>
        <w:rFonts w:ascii="Courier New" w:hAnsi="Courier New" w:cs="Courier New" w:hint="default"/>
      </w:rPr>
    </w:lvl>
    <w:lvl w:ilvl="8" w:tplc="0C0C0005" w:tentative="1">
      <w:start w:val="1"/>
      <w:numFmt w:val="bullet"/>
      <w:lvlText w:val=""/>
      <w:lvlJc w:val="left"/>
      <w:pPr>
        <w:ind w:left="6828" w:hanging="360"/>
      </w:pPr>
      <w:rPr>
        <w:rFonts w:ascii="Wingdings" w:hAnsi="Wingdings" w:hint="default"/>
      </w:rPr>
    </w:lvl>
  </w:abstractNum>
  <w:abstractNum w:abstractNumId="907">
    <w:nsid w:val="48505EEC"/>
    <w:multiLevelType w:val="hybridMultilevel"/>
    <w:tmpl w:val="9B860C42"/>
    <w:lvl w:ilvl="0" w:tplc="0C0C000B">
      <w:start w:val="1"/>
      <w:numFmt w:val="bullet"/>
      <w:lvlText w:val=""/>
      <w:lvlJc w:val="left"/>
      <w:pPr>
        <w:ind w:left="720" w:hanging="360"/>
      </w:pPr>
      <w:rPr>
        <w:rFonts w:ascii="Wingdings" w:hAnsi="Wingdings" w:hint="default"/>
      </w:rPr>
    </w:lvl>
    <w:lvl w:ilvl="1" w:tplc="0C0C0005">
      <w:start w:val="1"/>
      <w:numFmt w:val="bullet"/>
      <w:lvlText w:val=""/>
      <w:lvlJc w:val="left"/>
      <w:pPr>
        <w:ind w:left="1440" w:hanging="360"/>
      </w:pPr>
      <w:rPr>
        <w:rFonts w:ascii="Wingdings" w:hAnsi="Wingdings" w:hint="default"/>
      </w:rPr>
    </w:lvl>
    <w:lvl w:ilvl="2" w:tplc="0C0C0005">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908">
    <w:nsid w:val="48606036"/>
    <w:multiLevelType w:val="multilevel"/>
    <w:tmpl w:val="61045E94"/>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09">
    <w:nsid w:val="48674E82"/>
    <w:multiLevelType w:val="hybridMultilevel"/>
    <w:tmpl w:val="B3C40D28"/>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910">
    <w:nsid w:val="48691654"/>
    <w:multiLevelType w:val="hybridMultilevel"/>
    <w:tmpl w:val="A33E29A8"/>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911">
    <w:nsid w:val="486B7764"/>
    <w:multiLevelType w:val="hybridMultilevel"/>
    <w:tmpl w:val="142AE0A6"/>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912">
    <w:nsid w:val="48750446"/>
    <w:multiLevelType w:val="hybridMultilevel"/>
    <w:tmpl w:val="1E8AFCE2"/>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913">
    <w:nsid w:val="4876242F"/>
    <w:multiLevelType w:val="hybridMultilevel"/>
    <w:tmpl w:val="AE8CCC1E"/>
    <w:lvl w:ilvl="0" w:tplc="0C0C000B">
      <w:start w:val="1"/>
      <w:numFmt w:val="bullet"/>
      <w:lvlText w:val=""/>
      <w:lvlJc w:val="left"/>
      <w:pPr>
        <w:ind w:left="720" w:hanging="360"/>
      </w:pPr>
      <w:rPr>
        <w:rFonts w:ascii="Wingdings" w:hAnsi="Wingdings" w:hint="default"/>
      </w:rPr>
    </w:lvl>
    <w:lvl w:ilvl="1" w:tplc="0C0C0003">
      <w:start w:val="1"/>
      <w:numFmt w:val="bullet"/>
      <w:lvlText w:val="o"/>
      <w:lvlJc w:val="left"/>
      <w:pPr>
        <w:ind w:left="1440" w:hanging="360"/>
      </w:pPr>
      <w:rPr>
        <w:rFonts w:ascii="Courier New" w:hAnsi="Courier New" w:cs="Courier New" w:hint="default"/>
      </w:rPr>
    </w:lvl>
    <w:lvl w:ilvl="2" w:tplc="0C0C0005">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914">
    <w:nsid w:val="48871485"/>
    <w:multiLevelType w:val="hybridMultilevel"/>
    <w:tmpl w:val="AD980FD0"/>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915">
    <w:nsid w:val="48941D1D"/>
    <w:multiLevelType w:val="multilevel"/>
    <w:tmpl w:val="4784E11A"/>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16">
    <w:nsid w:val="4896552E"/>
    <w:multiLevelType w:val="multilevel"/>
    <w:tmpl w:val="FD4004B8"/>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17">
    <w:nsid w:val="48A0792C"/>
    <w:multiLevelType w:val="hybridMultilevel"/>
    <w:tmpl w:val="99B8C93C"/>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918">
    <w:nsid w:val="48AD4C49"/>
    <w:multiLevelType w:val="hybridMultilevel"/>
    <w:tmpl w:val="9612CCFE"/>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919">
    <w:nsid w:val="48B8048A"/>
    <w:multiLevelType w:val="hybridMultilevel"/>
    <w:tmpl w:val="932C8726"/>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920">
    <w:nsid w:val="48CE4E55"/>
    <w:multiLevelType w:val="hybridMultilevel"/>
    <w:tmpl w:val="C0808282"/>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921">
    <w:nsid w:val="48D60C80"/>
    <w:multiLevelType w:val="hybridMultilevel"/>
    <w:tmpl w:val="88EC396E"/>
    <w:lvl w:ilvl="0" w:tplc="0C0C0009">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922">
    <w:nsid w:val="4904654E"/>
    <w:multiLevelType w:val="hybridMultilevel"/>
    <w:tmpl w:val="4BDC95EE"/>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923">
    <w:nsid w:val="4916091A"/>
    <w:multiLevelType w:val="hybridMultilevel"/>
    <w:tmpl w:val="9DC05C0C"/>
    <w:lvl w:ilvl="0" w:tplc="0C0C0009">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924">
    <w:nsid w:val="492148D9"/>
    <w:multiLevelType w:val="hybridMultilevel"/>
    <w:tmpl w:val="005883FE"/>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925">
    <w:nsid w:val="49465891"/>
    <w:multiLevelType w:val="hybridMultilevel"/>
    <w:tmpl w:val="E48EDCC8"/>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926">
    <w:nsid w:val="494B0E97"/>
    <w:multiLevelType w:val="hybridMultilevel"/>
    <w:tmpl w:val="BD04FBCE"/>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927">
    <w:nsid w:val="496449C1"/>
    <w:multiLevelType w:val="hybridMultilevel"/>
    <w:tmpl w:val="7A488208"/>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928">
    <w:nsid w:val="497016D1"/>
    <w:multiLevelType w:val="hybridMultilevel"/>
    <w:tmpl w:val="1DB88DFC"/>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929">
    <w:nsid w:val="499B0D7B"/>
    <w:multiLevelType w:val="hybridMultilevel"/>
    <w:tmpl w:val="7D6AB246"/>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930">
    <w:nsid w:val="499C1C5A"/>
    <w:multiLevelType w:val="hybridMultilevel"/>
    <w:tmpl w:val="040817E4"/>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931">
    <w:nsid w:val="49B0190E"/>
    <w:multiLevelType w:val="hybridMultilevel"/>
    <w:tmpl w:val="E98AD12C"/>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932">
    <w:nsid w:val="49B60746"/>
    <w:multiLevelType w:val="hybridMultilevel"/>
    <w:tmpl w:val="78F6DF74"/>
    <w:lvl w:ilvl="0" w:tplc="0C0C000B">
      <w:start w:val="1"/>
      <w:numFmt w:val="bullet"/>
      <w:lvlText w:val=""/>
      <w:lvlJc w:val="left"/>
      <w:pPr>
        <w:ind w:left="720" w:hanging="360"/>
      </w:pPr>
      <w:rPr>
        <w:rFonts w:ascii="Wingdings" w:hAnsi="Wingdings" w:hint="default"/>
      </w:rPr>
    </w:lvl>
    <w:lvl w:ilvl="1" w:tplc="0C0C0003">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933">
    <w:nsid w:val="49CF3BDE"/>
    <w:multiLevelType w:val="hybridMultilevel"/>
    <w:tmpl w:val="FDC4E292"/>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934">
    <w:nsid w:val="49E224F2"/>
    <w:multiLevelType w:val="hybridMultilevel"/>
    <w:tmpl w:val="193673F6"/>
    <w:lvl w:ilvl="0" w:tplc="0C0C0003">
      <w:start w:val="1"/>
      <w:numFmt w:val="bullet"/>
      <w:lvlText w:val="o"/>
      <w:lvlJc w:val="left"/>
      <w:pPr>
        <w:ind w:left="1068" w:hanging="360"/>
      </w:pPr>
      <w:rPr>
        <w:rFonts w:ascii="Courier New" w:hAnsi="Courier New" w:cs="Courier New" w:hint="default"/>
      </w:rPr>
    </w:lvl>
    <w:lvl w:ilvl="1" w:tplc="0C0C0003">
      <w:start w:val="1"/>
      <w:numFmt w:val="bullet"/>
      <w:lvlText w:val="o"/>
      <w:lvlJc w:val="left"/>
      <w:pPr>
        <w:ind w:left="1788" w:hanging="360"/>
      </w:pPr>
      <w:rPr>
        <w:rFonts w:ascii="Courier New" w:hAnsi="Courier New" w:cs="Courier New" w:hint="default"/>
      </w:rPr>
    </w:lvl>
    <w:lvl w:ilvl="2" w:tplc="0C0C0005" w:tentative="1">
      <w:start w:val="1"/>
      <w:numFmt w:val="bullet"/>
      <w:lvlText w:val=""/>
      <w:lvlJc w:val="left"/>
      <w:pPr>
        <w:ind w:left="2508" w:hanging="360"/>
      </w:pPr>
      <w:rPr>
        <w:rFonts w:ascii="Wingdings" w:hAnsi="Wingdings" w:hint="default"/>
      </w:rPr>
    </w:lvl>
    <w:lvl w:ilvl="3" w:tplc="0C0C0001" w:tentative="1">
      <w:start w:val="1"/>
      <w:numFmt w:val="bullet"/>
      <w:lvlText w:val=""/>
      <w:lvlJc w:val="left"/>
      <w:pPr>
        <w:ind w:left="3228" w:hanging="360"/>
      </w:pPr>
      <w:rPr>
        <w:rFonts w:ascii="Symbol" w:hAnsi="Symbol" w:hint="default"/>
      </w:rPr>
    </w:lvl>
    <w:lvl w:ilvl="4" w:tplc="0C0C0003" w:tentative="1">
      <w:start w:val="1"/>
      <w:numFmt w:val="bullet"/>
      <w:lvlText w:val="o"/>
      <w:lvlJc w:val="left"/>
      <w:pPr>
        <w:ind w:left="3948" w:hanging="360"/>
      </w:pPr>
      <w:rPr>
        <w:rFonts w:ascii="Courier New" w:hAnsi="Courier New" w:cs="Courier New" w:hint="default"/>
      </w:rPr>
    </w:lvl>
    <w:lvl w:ilvl="5" w:tplc="0C0C0005" w:tentative="1">
      <w:start w:val="1"/>
      <w:numFmt w:val="bullet"/>
      <w:lvlText w:val=""/>
      <w:lvlJc w:val="left"/>
      <w:pPr>
        <w:ind w:left="4668" w:hanging="360"/>
      </w:pPr>
      <w:rPr>
        <w:rFonts w:ascii="Wingdings" w:hAnsi="Wingdings" w:hint="default"/>
      </w:rPr>
    </w:lvl>
    <w:lvl w:ilvl="6" w:tplc="0C0C0001" w:tentative="1">
      <w:start w:val="1"/>
      <w:numFmt w:val="bullet"/>
      <w:lvlText w:val=""/>
      <w:lvlJc w:val="left"/>
      <w:pPr>
        <w:ind w:left="5388" w:hanging="360"/>
      </w:pPr>
      <w:rPr>
        <w:rFonts w:ascii="Symbol" w:hAnsi="Symbol" w:hint="default"/>
      </w:rPr>
    </w:lvl>
    <w:lvl w:ilvl="7" w:tplc="0C0C0003" w:tentative="1">
      <w:start w:val="1"/>
      <w:numFmt w:val="bullet"/>
      <w:lvlText w:val="o"/>
      <w:lvlJc w:val="left"/>
      <w:pPr>
        <w:ind w:left="6108" w:hanging="360"/>
      </w:pPr>
      <w:rPr>
        <w:rFonts w:ascii="Courier New" w:hAnsi="Courier New" w:cs="Courier New" w:hint="default"/>
      </w:rPr>
    </w:lvl>
    <w:lvl w:ilvl="8" w:tplc="0C0C0005" w:tentative="1">
      <w:start w:val="1"/>
      <w:numFmt w:val="bullet"/>
      <w:lvlText w:val=""/>
      <w:lvlJc w:val="left"/>
      <w:pPr>
        <w:ind w:left="6828" w:hanging="360"/>
      </w:pPr>
      <w:rPr>
        <w:rFonts w:ascii="Wingdings" w:hAnsi="Wingdings" w:hint="default"/>
      </w:rPr>
    </w:lvl>
  </w:abstractNum>
  <w:abstractNum w:abstractNumId="935">
    <w:nsid w:val="49E65225"/>
    <w:multiLevelType w:val="hybridMultilevel"/>
    <w:tmpl w:val="2C92254A"/>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936">
    <w:nsid w:val="49E8021F"/>
    <w:multiLevelType w:val="hybridMultilevel"/>
    <w:tmpl w:val="D3B093D4"/>
    <w:lvl w:ilvl="0" w:tplc="0C0C0001">
      <w:start w:val="1"/>
      <w:numFmt w:val="bullet"/>
      <w:lvlText w:val=""/>
      <w:lvlJc w:val="left"/>
      <w:pPr>
        <w:ind w:left="720" w:hanging="360"/>
      </w:pPr>
      <w:rPr>
        <w:rFonts w:ascii="Symbol" w:hAnsi="Symbol" w:hint="default"/>
      </w:rPr>
    </w:lvl>
    <w:lvl w:ilvl="1" w:tplc="0C0C0003">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937">
    <w:nsid w:val="4A0270E7"/>
    <w:multiLevelType w:val="hybridMultilevel"/>
    <w:tmpl w:val="55844560"/>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938">
    <w:nsid w:val="4A090A10"/>
    <w:multiLevelType w:val="hybridMultilevel"/>
    <w:tmpl w:val="7E02872E"/>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939">
    <w:nsid w:val="4A183DAA"/>
    <w:multiLevelType w:val="hybridMultilevel"/>
    <w:tmpl w:val="C6486876"/>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940">
    <w:nsid w:val="4A2F3620"/>
    <w:multiLevelType w:val="hybridMultilevel"/>
    <w:tmpl w:val="59F2F3C2"/>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941">
    <w:nsid w:val="4A351AF8"/>
    <w:multiLevelType w:val="hybridMultilevel"/>
    <w:tmpl w:val="AF1401E6"/>
    <w:lvl w:ilvl="0" w:tplc="0C0C0005">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942">
    <w:nsid w:val="4A403373"/>
    <w:multiLevelType w:val="hybridMultilevel"/>
    <w:tmpl w:val="102CA7AC"/>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943">
    <w:nsid w:val="4A486CFF"/>
    <w:multiLevelType w:val="hybridMultilevel"/>
    <w:tmpl w:val="8C7AD08C"/>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944">
    <w:nsid w:val="4A626104"/>
    <w:multiLevelType w:val="hybridMultilevel"/>
    <w:tmpl w:val="219CE91A"/>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945">
    <w:nsid w:val="4AA15562"/>
    <w:multiLevelType w:val="hybridMultilevel"/>
    <w:tmpl w:val="CFC2CDFA"/>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946">
    <w:nsid w:val="4AA31F18"/>
    <w:multiLevelType w:val="hybridMultilevel"/>
    <w:tmpl w:val="213A3A3A"/>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947">
    <w:nsid w:val="4AB965AE"/>
    <w:multiLevelType w:val="hybridMultilevel"/>
    <w:tmpl w:val="14D0AC74"/>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948">
    <w:nsid w:val="4ABD7B01"/>
    <w:multiLevelType w:val="hybridMultilevel"/>
    <w:tmpl w:val="6D06DBDC"/>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949">
    <w:nsid w:val="4ACB010D"/>
    <w:multiLevelType w:val="hybridMultilevel"/>
    <w:tmpl w:val="E16C66AC"/>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950">
    <w:nsid w:val="4ACF3A9C"/>
    <w:multiLevelType w:val="hybridMultilevel"/>
    <w:tmpl w:val="7E5620C4"/>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951">
    <w:nsid w:val="4AF67E00"/>
    <w:multiLevelType w:val="hybridMultilevel"/>
    <w:tmpl w:val="2020DDAA"/>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952">
    <w:nsid w:val="4B1A610F"/>
    <w:multiLevelType w:val="hybridMultilevel"/>
    <w:tmpl w:val="7082C22C"/>
    <w:lvl w:ilvl="0" w:tplc="0C0C0009">
      <w:start w:val="1"/>
      <w:numFmt w:val="bullet"/>
      <w:lvlText w:val=""/>
      <w:lvlJc w:val="left"/>
      <w:pPr>
        <w:ind w:left="360" w:hanging="360"/>
      </w:pPr>
      <w:rPr>
        <w:rFonts w:ascii="Wingdings" w:hAnsi="Wingdings" w:hint="default"/>
      </w:rPr>
    </w:lvl>
    <w:lvl w:ilvl="1" w:tplc="0C0C0019" w:tentative="1">
      <w:start w:val="1"/>
      <w:numFmt w:val="lowerLetter"/>
      <w:lvlText w:val="%2."/>
      <w:lvlJc w:val="left"/>
      <w:pPr>
        <w:ind w:left="1080" w:hanging="360"/>
      </w:pPr>
    </w:lvl>
    <w:lvl w:ilvl="2" w:tplc="0C0C001B" w:tentative="1">
      <w:start w:val="1"/>
      <w:numFmt w:val="lowerRoman"/>
      <w:lvlText w:val="%3."/>
      <w:lvlJc w:val="right"/>
      <w:pPr>
        <w:ind w:left="1800" w:hanging="180"/>
      </w:pPr>
    </w:lvl>
    <w:lvl w:ilvl="3" w:tplc="0C0C000F" w:tentative="1">
      <w:start w:val="1"/>
      <w:numFmt w:val="decimal"/>
      <w:lvlText w:val="%4."/>
      <w:lvlJc w:val="left"/>
      <w:pPr>
        <w:ind w:left="2520" w:hanging="360"/>
      </w:pPr>
    </w:lvl>
    <w:lvl w:ilvl="4" w:tplc="0C0C0019" w:tentative="1">
      <w:start w:val="1"/>
      <w:numFmt w:val="lowerLetter"/>
      <w:lvlText w:val="%5."/>
      <w:lvlJc w:val="left"/>
      <w:pPr>
        <w:ind w:left="3240" w:hanging="360"/>
      </w:pPr>
    </w:lvl>
    <w:lvl w:ilvl="5" w:tplc="0C0C001B" w:tentative="1">
      <w:start w:val="1"/>
      <w:numFmt w:val="lowerRoman"/>
      <w:lvlText w:val="%6."/>
      <w:lvlJc w:val="right"/>
      <w:pPr>
        <w:ind w:left="3960" w:hanging="180"/>
      </w:pPr>
    </w:lvl>
    <w:lvl w:ilvl="6" w:tplc="0C0C000F" w:tentative="1">
      <w:start w:val="1"/>
      <w:numFmt w:val="decimal"/>
      <w:lvlText w:val="%7."/>
      <w:lvlJc w:val="left"/>
      <w:pPr>
        <w:ind w:left="4680" w:hanging="360"/>
      </w:pPr>
    </w:lvl>
    <w:lvl w:ilvl="7" w:tplc="0C0C0019" w:tentative="1">
      <w:start w:val="1"/>
      <w:numFmt w:val="lowerLetter"/>
      <w:lvlText w:val="%8."/>
      <w:lvlJc w:val="left"/>
      <w:pPr>
        <w:ind w:left="5400" w:hanging="360"/>
      </w:pPr>
    </w:lvl>
    <w:lvl w:ilvl="8" w:tplc="0C0C001B" w:tentative="1">
      <w:start w:val="1"/>
      <w:numFmt w:val="lowerRoman"/>
      <w:lvlText w:val="%9."/>
      <w:lvlJc w:val="right"/>
      <w:pPr>
        <w:ind w:left="6120" w:hanging="180"/>
      </w:pPr>
    </w:lvl>
  </w:abstractNum>
  <w:abstractNum w:abstractNumId="953">
    <w:nsid w:val="4B320047"/>
    <w:multiLevelType w:val="hybridMultilevel"/>
    <w:tmpl w:val="A7F4D006"/>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954">
    <w:nsid w:val="4B391BF5"/>
    <w:multiLevelType w:val="hybridMultilevel"/>
    <w:tmpl w:val="65ECA60E"/>
    <w:lvl w:ilvl="0" w:tplc="0C0C0005">
      <w:start w:val="1"/>
      <w:numFmt w:val="bullet"/>
      <w:lvlText w:val=""/>
      <w:lvlJc w:val="left"/>
      <w:pPr>
        <w:ind w:left="1068" w:hanging="360"/>
      </w:pPr>
      <w:rPr>
        <w:rFonts w:ascii="Wingdings" w:hAnsi="Wingdings" w:hint="default"/>
      </w:rPr>
    </w:lvl>
    <w:lvl w:ilvl="1" w:tplc="0C0C0003">
      <w:start w:val="1"/>
      <w:numFmt w:val="bullet"/>
      <w:lvlText w:val="o"/>
      <w:lvlJc w:val="left"/>
      <w:pPr>
        <w:ind w:left="1788" w:hanging="360"/>
      </w:pPr>
      <w:rPr>
        <w:rFonts w:ascii="Courier New" w:hAnsi="Courier New" w:cs="Courier New" w:hint="default"/>
      </w:rPr>
    </w:lvl>
    <w:lvl w:ilvl="2" w:tplc="0C0C0005" w:tentative="1">
      <w:start w:val="1"/>
      <w:numFmt w:val="bullet"/>
      <w:lvlText w:val=""/>
      <w:lvlJc w:val="left"/>
      <w:pPr>
        <w:ind w:left="2508" w:hanging="360"/>
      </w:pPr>
      <w:rPr>
        <w:rFonts w:ascii="Wingdings" w:hAnsi="Wingdings" w:hint="default"/>
      </w:rPr>
    </w:lvl>
    <w:lvl w:ilvl="3" w:tplc="0C0C0001" w:tentative="1">
      <w:start w:val="1"/>
      <w:numFmt w:val="bullet"/>
      <w:lvlText w:val=""/>
      <w:lvlJc w:val="left"/>
      <w:pPr>
        <w:ind w:left="3228" w:hanging="360"/>
      </w:pPr>
      <w:rPr>
        <w:rFonts w:ascii="Symbol" w:hAnsi="Symbol" w:hint="default"/>
      </w:rPr>
    </w:lvl>
    <w:lvl w:ilvl="4" w:tplc="0C0C0003" w:tentative="1">
      <w:start w:val="1"/>
      <w:numFmt w:val="bullet"/>
      <w:lvlText w:val="o"/>
      <w:lvlJc w:val="left"/>
      <w:pPr>
        <w:ind w:left="3948" w:hanging="360"/>
      </w:pPr>
      <w:rPr>
        <w:rFonts w:ascii="Courier New" w:hAnsi="Courier New" w:cs="Courier New" w:hint="default"/>
      </w:rPr>
    </w:lvl>
    <w:lvl w:ilvl="5" w:tplc="0C0C0005" w:tentative="1">
      <w:start w:val="1"/>
      <w:numFmt w:val="bullet"/>
      <w:lvlText w:val=""/>
      <w:lvlJc w:val="left"/>
      <w:pPr>
        <w:ind w:left="4668" w:hanging="360"/>
      </w:pPr>
      <w:rPr>
        <w:rFonts w:ascii="Wingdings" w:hAnsi="Wingdings" w:hint="default"/>
      </w:rPr>
    </w:lvl>
    <w:lvl w:ilvl="6" w:tplc="0C0C0001" w:tentative="1">
      <w:start w:val="1"/>
      <w:numFmt w:val="bullet"/>
      <w:lvlText w:val=""/>
      <w:lvlJc w:val="left"/>
      <w:pPr>
        <w:ind w:left="5388" w:hanging="360"/>
      </w:pPr>
      <w:rPr>
        <w:rFonts w:ascii="Symbol" w:hAnsi="Symbol" w:hint="default"/>
      </w:rPr>
    </w:lvl>
    <w:lvl w:ilvl="7" w:tplc="0C0C0003" w:tentative="1">
      <w:start w:val="1"/>
      <w:numFmt w:val="bullet"/>
      <w:lvlText w:val="o"/>
      <w:lvlJc w:val="left"/>
      <w:pPr>
        <w:ind w:left="6108" w:hanging="360"/>
      </w:pPr>
      <w:rPr>
        <w:rFonts w:ascii="Courier New" w:hAnsi="Courier New" w:cs="Courier New" w:hint="default"/>
      </w:rPr>
    </w:lvl>
    <w:lvl w:ilvl="8" w:tplc="0C0C0005" w:tentative="1">
      <w:start w:val="1"/>
      <w:numFmt w:val="bullet"/>
      <w:lvlText w:val=""/>
      <w:lvlJc w:val="left"/>
      <w:pPr>
        <w:ind w:left="6828" w:hanging="360"/>
      </w:pPr>
      <w:rPr>
        <w:rFonts w:ascii="Wingdings" w:hAnsi="Wingdings" w:hint="default"/>
      </w:rPr>
    </w:lvl>
  </w:abstractNum>
  <w:abstractNum w:abstractNumId="955">
    <w:nsid w:val="4B3F696B"/>
    <w:multiLevelType w:val="hybridMultilevel"/>
    <w:tmpl w:val="00948E78"/>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956">
    <w:nsid w:val="4B6102D8"/>
    <w:multiLevelType w:val="hybridMultilevel"/>
    <w:tmpl w:val="ED50D9E8"/>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957">
    <w:nsid w:val="4B6A62AB"/>
    <w:multiLevelType w:val="hybridMultilevel"/>
    <w:tmpl w:val="4EAC6A82"/>
    <w:lvl w:ilvl="0" w:tplc="0C0C0009">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958">
    <w:nsid w:val="4BA41A47"/>
    <w:multiLevelType w:val="hybridMultilevel"/>
    <w:tmpl w:val="84424E08"/>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959">
    <w:nsid w:val="4BB944F0"/>
    <w:multiLevelType w:val="hybridMultilevel"/>
    <w:tmpl w:val="E5A2FC7C"/>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960">
    <w:nsid w:val="4BBB7BC2"/>
    <w:multiLevelType w:val="hybridMultilevel"/>
    <w:tmpl w:val="2386295E"/>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961">
    <w:nsid w:val="4BCC0F67"/>
    <w:multiLevelType w:val="hybridMultilevel"/>
    <w:tmpl w:val="354E6098"/>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962">
    <w:nsid w:val="4BD273CE"/>
    <w:multiLevelType w:val="hybridMultilevel"/>
    <w:tmpl w:val="E65CED46"/>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963">
    <w:nsid w:val="4BDE468F"/>
    <w:multiLevelType w:val="hybridMultilevel"/>
    <w:tmpl w:val="329861E6"/>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964">
    <w:nsid w:val="4BF407E8"/>
    <w:multiLevelType w:val="hybridMultilevel"/>
    <w:tmpl w:val="1DAE158A"/>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965">
    <w:nsid w:val="4BF65791"/>
    <w:multiLevelType w:val="hybridMultilevel"/>
    <w:tmpl w:val="396E9C2A"/>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966">
    <w:nsid w:val="4C0805DC"/>
    <w:multiLevelType w:val="hybridMultilevel"/>
    <w:tmpl w:val="DE560830"/>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967">
    <w:nsid w:val="4C483B75"/>
    <w:multiLevelType w:val="hybridMultilevel"/>
    <w:tmpl w:val="678A7B72"/>
    <w:lvl w:ilvl="0" w:tplc="8C74E87E">
      <w:start w:val="4"/>
      <w:numFmt w:val="bullet"/>
      <w:lvlText w:val="-"/>
      <w:lvlJc w:val="left"/>
      <w:pPr>
        <w:ind w:left="360" w:hanging="360"/>
      </w:pPr>
      <w:rPr>
        <w:rFonts w:ascii="Times New Roman" w:eastAsiaTheme="minorHAnsi" w:hAnsi="Times New Roman" w:cs="Times New Roman" w:hint="default"/>
        <w:i/>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968">
    <w:nsid w:val="4C4B1C46"/>
    <w:multiLevelType w:val="hybridMultilevel"/>
    <w:tmpl w:val="D4100682"/>
    <w:lvl w:ilvl="0" w:tplc="0C0C0005">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969">
    <w:nsid w:val="4C4D7BA7"/>
    <w:multiLevelType w:val="hybridMultilevel"/>
    <w:tmpl w:val="F7702A24"/>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970">
    <w:nsid w:val="4C534BEB"/>
    <w:multiLevelType w:val="hybridMultilevel"/>
    <w:tmpl w:val="8116BE0C"/>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971">
    <w:nsid w:val="4C5772FD"/>
    <w:multiLevelType w:val="hybridMultilevel"/>
    <w:tmpl w:val="32B246C6"/>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972">
    <w:nsid w:val="4CA642B0"/>
    <w:multiLevelType w:val="hybridMultilevel"/>
    <w:tmpl w:val="54BC02CC"/>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973">
    <w:nsid w:val="4CD42599"/>
    <w:multiLevelType w:val="hybridMultilevel"/>
    <w:tmpl w:val="25DA7DD8"/>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974">
    <w:nsid w:val="4CE35A3F"/>
    <w:multiLevelType w:val="hybridMultilevel"/>
    <w:tmpl w:val="D1206E72"/>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975">
    <w:nsid w:val="4CFE7586"/>
    <w:multiLevelType w:val="hybridMultilevel"/>
    <w:tmpl w:val="DA52289A"/>
    <w:lvl w:ilvl="0" w:tplc="0C0C0009">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976">
    <w:nsid w:val="4D0031A2"/>
    <w:multiLevelType w:val="hybridMultilevel"/>
    <w:tmpl w:val="052A67EA"/>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977">
    <w:nsid w:val="4D004593"/>
    <w:multiLevelType w:val="multilevel"/>
    <w:tmpl w:val="BBEE284A"/>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978">
    <w:nsid w:val="4D061D39"/>
    <w:multiLevelType w:val="hybridMultilevel"/>
    <w:tmpl w:val="A1AE2550"/>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979">
    <w:nsid w:val="4D1F5B11"/>
    <w:multiLevelType w:val="hybridMultilevel"/>
    <w:tmpl w:val="BE7A063C"/>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980">
    <w:nsid w:val="4D395450"/>
    <w:multiLevelType w:val="hybridMultilevel"/>
    <w:tmpl w:val="90CA0316"/>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981">
    <w:nsid w:val="4D410ADA"/>
    <w:multiLevelType w:val="hybridMultilevel"/>
    <w:tmpl w:val="14649192"/>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982">
    <w:nsid w:val="4D673634"/>
    <w:multiLevelType w:val="hybridMultilevel"/>
    <w:tmpl w:val="3266CA14"/>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983">
    <w:nsid w:val="4D904DDA"/>
    <w:multiLevelType w:val="hybridMultilevel"/>
    <w:tmpl w:val="BA60A8AE"/>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984">
    <w:nsid w:val="4D946981"/>
    <w:multiLevelType w:val="hybridMultilevel"/>
    <w:tmpl w:val="40849732"/>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985">
    <w:nsid w:val="4D987C60"/>
    <w:multiLevelType w:val="multilevel"/>
    <w:tmpl w:val="91829F98"/>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86">
    <w:nsid w:val="4D9C0D0D"/>
    <w:multiLevelType w:val="hybridMultilevel"/>
    <w:tmpl w:val="CC742364"/>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987">
    <w:nsid w:val="4DEB67D3"/>
    <w:multiLevelType w:val="hybridMultilevel"/>
    <w:tmpl w:val="B1D0FF60"/>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988">
    <w:nsid w:val="4DF0250E"/>
    <w:multiLevelType w:val="hybridMultilevel"/>
    <w:tmpl w:val="86969A46"/>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989">
    <w:nsid w:val="4DF8762C"/>
    <w:multiLevelType w:val="hybridMultilevel"/>
    <w:tmpl w:val="B54472A8"/>
    <w:lvl w:ilvl="0" w:tplc="0C0C000B">
      <w:start w:val="1"/>
      <w:numFmt w:val="bullet"/>
      <w:lvlText w:val=""/>
      <w:lvlJc w:val="left"/>
      <w:pPr>
        <w:ind w:left="360" w:hanging="360"/>
      </w:pPr>
      <w:rPr>
        <w:rFonts w:ascii="Wingdings" w:hAnsi="Wingdings" w:hint="default"/>
        <w:i/>
      </w:rPr>
    </w:lvl>
    <w:lvl w:ilvl="1" w:tplc="0C0C0003">
      <w:start w:val="1"/>
      <w:numFmt w:val="bullet"/>
      <w:lvlText w:val="o"/>
      <w:lvlJc w:val="left"/>
      <w:pPr>
        <w:ind w:left="1080" w:hanging="360"/>
      </w:pPr>
      <w:rPr>
        <w:rFonts w:ascii="Courier New" w:hAnsi="Courier New" w:cs="Courier New" w:hint="default"/>
      </w:rPr>
    </w:lvl>
    <w:lvl w:ilvl="2" w:tplc="0C0C0005">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990">
    <w:nsid w:val="4E027946"/>
    <w:multiLevelType w:val="hybridMultilevel"/>
    <w:tmpl w:val="92BCB21C"/>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991">
    <w:nsid w:val="4E1071E0"/>
    <w:multiLevelType w:val="hybridMultilevel"/>
    <w:tmpl w:val="EB9EC9C8"/>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992">
    <w:nsid w:val="4E107755"/>
    <w:multiLevelType w:val="hybridMultilevel"/>
    <w:tmpl w:val="AB92B576"/>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993">
    <w:nsid w:val="4E1129C1"/>
    <w:multiLevelType w:val="hybridMultilevel"/>
    <w:tmpl w:val="1B68E64E"/>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994">
    <w:nsid w:val="4E182F49"/>
    <w:multiLevelType w:val="hybridMultilevel"/>
    <w:tmpl w:val="A0E87356"/>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995">
    <w:nsid w:val="4E38078B"/>
    <w:multiLevelType w:val="hybridMultilevel"/>
    <w:tmpl w:val="1924E7B8"/>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996">
    <w:nsid w:val="4E443F1C"/>
    <w:multiLevelType w:val="hybridMultilevel"/>
    <w:tmpl w:val="91DE6C80"/>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997">
    <w:nsid w:val="4E490E6A"/>
    <w:multiLevelType w:val="hybridMultilevel"/>
    <w:tmpl w:val="587C15B2"/>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998">
    <w:nsid w:val="4E514BFC"/>
    <w:multiLevelType w:val="multilevel"/>
    <w:tmpl w:val="AAD089F6"/>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99">
    <w:nsid w:val="4E596C2E"/>
    <w:multiLevelType w:val="hybridMultilevel"/>
    <w:tmpl w:val="E1CA962E"/>
    <w:lvl w:ilvl="0" w:tplc="0C0C0009">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000">
    <w:nsid w:val="4E7D4E71"/>
    <w:multiLevelType w:val="hybridMultilevel"/>
    <w:tmpl w:val="1A7C488E"/>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001">
    <w:nsid w:val="4E8045A0"/>
    <w:multiLevelType w:val="hybridMultilevel"/>
    <w:tmpl w:val="021A0F08"/>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002">
    <w:nsid w:val="4E845F65"/>
    <w:multiLevelType w:val="hybridMultilevel"/>
    <w:tmpl w:val="D73A56B6"/>
    <w:lvl w:ilvl="0" w:tplc="0C0C000B">
      <w:start w:val="1"/>
      <w:numFmt w:val="bullet"/>
      <w:lvlText w:val=""/>
      <w:lvlJc w:val="left"/>
      <w:pPr>
        <w:ind w:left="1068" w:hanging="360"/>
      </w:pPr>
      <w:rPr>
        <w:rFonts w:ascii="Wingdings" w:hAnsi="Wingdings" w:hint="default"/>
      </w:rPr>
    </w:lvl>
    <w:lvl w:ilvl="1" w:tplc="0C0C0003" w:tentative="1">
      <w:start w:val="1"/>
      <w:numFmt w:val="bullet"/>
      <w:lvlText w:val="o"/>
      <w:lvlJc w:val="left"/>
      <w:pPr>
        <w:ind w:left="1788" w:hanging="360"/>
      </w:pPr>
      <w:rPr>
        <w:rFonts w:ascii="Courier New" w:hAnsi="Courier New" w:cs="Courier New" w:hint="default"/>
      </w:rPr>
    </w:lvl>
    <w:lvl w:ilvl="2" w:tplc="0C0C0005" w:tentative="1">
      <w:start w:val="1"/>
      <w:numFmt w:val="bullet"/>
      <w:lvlText w:val=""/>
      <w:lvlJc w:val="left"/>
      <w:pPr>
        <w:ind w:left="2508" w:hanging="360"/>
      </w:pPr>
      <w:rPr>
        <w:rFonts w:ascii="Wingdings" w:hAnsi="Wingdings" w:hint="default"/>
      </w:rPr>
    </w:lvl>
    <w:lvl w:ilvl="3" w:tplc="0C0C0001" w:tentative="1">
      <w:start w:val="1"/>
      <w:numFmt w:val="bullet"/>
      <w:lvlText w:val=""/>
      <w:lvlJc w:val="left"/>
      <w:pPr>
        <w:ind w:left="3228" w:hanging="360"/>
      </w:pPr>
      <w:rPr>
        <w:rFonts w:ascii="Symbol" w:hAnsi="Symbol" w:hint="default"/>
      </w:rPr>
    </w:lvl>
    <w:lvl w:ilvl="4" w:tplc="0C0C0003" w:tentative="1">
      <w:start w:val="1"/>
      <w:numFmt w:val="bullet"/>
      <w:lvlText w:val="o"/>
      <w:lvlJc w:val="left"/>
      <w:pPr>
        <w:ind w:left="3948" w:hanging="360"/>
      </w:pPr>
      <w:rPr>
        <w:rFonts w:ascii="Courier New" w:hAnsi="Courier New" w:cs="Courier New" w:hint="default"/>
      </w:rPr>
    </w:lvl>
    <w:lvl w:ilvl="5" w:tplc="0C0C0005" w:tentative="1">
      <w:start w:val="1"/>
      <w:numFmt w:val="bullet"/>
      <w:lvlText w:val=""/>
      <w:lvlJc w:val="left"/>
      <w:pPr>
        <w:ind w:left="4668" w:hanging="360"/>
      </w:pPr>
      <w:rPr>
        <w:rFonts w:ascii="Wingdings" w:hAnsi="Wingdings" w:hint="default"/>
      </w:rPr>
    </w:lvl>
    <w:lvl w:ilvl="6" w:tplc="0C0C0001" w:tentative="1">
      <w:start w:val="1"/>
      <w:numFmt w:val="bullet"/>
      <w:lvlText w:val=""/>
      <w:lvlJc w:val="left"/>
      <w:pPr>
        <w:ind w:left="5388" w:hanging="360"/>
      </w:pPr>
      <w:rPr>
        <w:rFonts w:ascii="Symbol" w:hAnsi="Symbol" w:hint="default"/>
      </w:rPr>
    </w:lvl>
    <w:lvl w:ilvl="7" w:tplc="0C0C0003" w:tentative="1">
      <w:start w:val="1"/>
      <w:numFmt w:val="bullet"/>
      <w:lvlText w:val="o"/>
      <w:lvlJc w:val="left"/>
      <w:pPr>
        <w:ind w:left="6108" w:hanging="360"/>
      </w:pPr>
      <w:rPr>
        <w:rFonts w:ascii="Courier New" w:hAnsi="Courier New" w:cs="Courier New" w:hint="default"/>
      </w:rPr>
    </w:lvl>
    <w:lvl w:ilvl="8" w:tplc="0C0C0005" w:tentative="1">
      <w:start w:val="1"/>
      <w:numFmt w:val="bullet"/>
      <w:lvlText w:val=""/>
      <w:lvlJc w:val="left"/>
      <w:pPr>
        <w:ind w:left="6828" w:hanging="360"/>
      </w:pPr>
      <w:rPr>
        <w:rFonts w:ascii="Wingdings" w:hAnsi="Wingdings" w:hint="default"/>
      </w:rPr>
    </w:lvl>
  </w:abstractNum>
  <w:abstractNum w:abstractNumId="1003">
    <w:nsid w:val="4E8E5BCF"/>
    <w:multiLevelType w:val="hybridMultilevel"/>
    <w:tmpl w:val="CD90C044"/>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004">
    <w:nsid w:val="4E8E6914"/>
    <w:multiLevelType w:val="hybridMultilevel"/>
    <w:tmpl w:val="F8B627CA"/>
    <w:lvl w:ilvl="0" w:tplc="0C0C0009">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005">
    <w:nsid w:val="4E972CA5"/>
    <w:multiLevelType w:val="hybridMultilevel"/>
    <w:tmpl w:val="ECAC21AA"/>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006">
    <w:nsid w:val="4EA97420"/>
    <w:multiLevelType w:val="hybridMultilevel"/>
    <w:tmpl w:val="6082B1CC"/>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007">
    <w:nsid w:val="4EB830FA"/>
    <w:multiLevelType w:val="hybridMultilevel"/>
    <w:tmpl w:val="3B966DD0"/>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008">
    <w:nsid w:val="4EF261A1"/>
    <w:multiLevelType w:val="hybridMultilevel"/>
    <w:tmpl w:val="59E89A1E"/>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009">
    <w:nsid w:val="4EFC5D97"/>
    <w:multiLevelType w:val="hybridMultilevel"/>
    <w:tmpl w:val="55365100"/>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010">
    <w:nsid w:val="4F0B13C2"/>
    <w:multiLevelType w:val="hybridMultilevel"/>
    <w:tmpl w:val="453C72D8"/>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011">
    <w:nsid w:val="4F3570E3"/>
    <w:multiLevelType w:val="hybridMultilevel"/>
    <w:tmpl w:val="0BF4F412"/>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012">
    <w:nsid w:val="4F4B40AF"/>
    <w:multiLevelType w:val="hybridMultilevel"/>
    <w:tmpl w:val="70D4FD8E"/>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013">
    <w:nsid w:val="4F5D6C04"/>
    <w:multiLevelType w:val="hybridMultilevel"/>
    <w:tmpl w:val="57723B6E"/>
    <w:lvl w:ilvl="0" w:tplc="0C0C000D">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014">
    <w:nsid w:val="4F6A4E0C"/>
    <w:multiLevelType w:val="hybridMultilevel"/>
    <w:tmpl w:val="C7685830"/>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015">
    <w:nsid w:val="4F787B4A"/>
    <w:multiLevelType w:val="hybridMultilevel"/>
    <w:tmpl w:val="1166FABA"/>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016">
    <w:nsid w:val="4F8B5760"/>
    <w:multiLevelType w:val="hybridMultilevel"/>
    <w:tmpl w:val="94B698B0"/>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017">
    <w:nsid w:val="4FA07A1F"/>
    <w:multiLevelType w:val="multilevel"/>
    <w:tmpl w:val="A46EBBF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18">
    <w:nsid w:val="4FA11197"/>
    <w:multiLevelType w:val="hybridMultilevel"/>
    <w:tmpl w:val="E27C3262"/>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019">
    <w:nsid w:val="4FAD708F"/>
    <w:multiLevelType w:val="hybridMultilevel"/>
    <w:tmpl w:val="C358A942"/>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020">
    <w:nsid w:val="4FBD4D64"/>
    <w:multiLevelType w:val="hybridMultilevel"/>
    <w:tmpl w:val="638ED878"/>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021">
    <w:nsid w:val="4FCB6A39"/>
    <w:multiLevelType w:val="hybridMultilevel"/>
    <w:tmpl w:val="D1C886A8"/>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022">
    <w:nsid w:val="4FCE4D9E"/>
    <w:multiLevelType w:val="hybridMultilevel"/>
    <w:tmpl w:val="DB780DD8"/>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023">
    <w:nsid w:val="4FD02BBA"/>
    <w:multiLevelType w:val="hybridMultilevel"/>
    <w:tmpl w:val="65CE03CE"/>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024">
    <w:nsid w:val="4FD44F6F"/>
    <w:multiLevelType w:val="hybridMultilevel"/>
    <w:tmpl w:val="4148F638"/>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025">
    <w:nsid w:val="4FF07986"/>
    <w:multiLevelType w:val="hybridMultilevel"/>
    <w:tmpl w:val="C00645A4"/>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026">
    <w:nsid w:val="4FF937CD"/>
    <w:multiLevelType w:val="hybridMultilevel"/>
    <w:tmpl w:val="D8B676B4"/>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027">
    <w:nsid w:val="50081882"/>
    <w:multiLevelType w:val="hybridMultilevel"/>
    <w:tmpl w:val="B2166A34"/>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028">
    <w:nsid w:val="500A6084"/>
    <w:multiLevelType w:val="hybridMultilevel"/>
    <w:tmpl w:val="DFD21810"/>
    <w:lvl w:ilvl="0" w:tplc="0C0C000B">
      <w:start w:val="1"/>
      <w:numFmt w:val="bullet"/>
      <w:lvlText w:val=""/>
      <w:lvlJc w:val="left"/>
      <w:pPr>
        <w:ind w:left="720" w:hanging="360"/>
      </w:pPr>
      <w:rPr>
        <w:rFonts w:ascii="Wingdings" w:hAnsi="Wingdings" w:hint="default"/>
      </w:rPr>
    </w:lvl>
    <w:lvl w:ilvl="1" w:tplc="0C0C0003">
      <w:start w:val="1"/>
      <w:numFmt w:val="bullet"/>
      <w:lvlText w:val="o"/>
      <w:lvlJc w:val="left"/>
      <w:pPr>
        <w:ind w:left="1440" w:hanging="360"/>
      </w:pPr>
      <w:rPr>
        <w:rFonts w:ascii="Courier New" w:hAnsi="Courier New" w:cs="Courier New" w:hint="default"/>
      </w:rPr>
    </w:lvl>
    <w:lvl w:ilvl="2" w:tplc="0C0C0005">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029">
    <w:nsid w:val="501F0688"/>
    <w:multiLevelType w:val="hybridMultilevel"/>
    <w:tmpl w:val="7EE6B51E"/>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030">
    <w:nsid w:val="50384444"/>
    <w:multiLevelType w:val="multilevel"/>
    <w:tmpl w:val="5BEE5438"/>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31">
    <w:nsid w:val="50406D5C"/>
    <w:multiLevelType w:val="hybridMultilevel"/>
    <w:tmpl w:val="E592BDAC"/>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032">
    <w:nsid w:val="50453904"/>
    <w:multiLevelType w:val="hybridMultilevel"/>
    <w:tmpl w:val="28025C56"/>
    <w:lvl w:ilvl="0" w:tplc="8C74E87E">
      <w:start w:val="4"/>
      <w:numFmt w:val="bullet"/>
      <w:lvlText w:val="-"/>
      <w:lvlJc w:val="left"/>
      <w:pPr>
        <w:ind w:left="360" w:hanging="360"/>
      </w:pPr>
      <w:rPr>
        <w:rFonts w:ascii="Times New Roman" w:eastAsiaTheme="minorHAnsi" w:hAnsi="Times New Roman" w:cs="Times New Roman" w:hint="default"/>
        <w:i/>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033">
    <w:nsid w:val="50574E1C"/>
    <w:multiLevelType w:val="hybridMultilevel"/>
    <w:tmpl w:val="A3FCA768"/>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034">
    <w:nsid w:val="50616186"/>
    <w:multiLevelType w:val="hybridMultilevel"/>
    <w:tmpl w:val="37622B70"/>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035">
    <w:nsid w:val="509E77BD"/>
    <w:multiLevelType w:val="hybridMultilevel"/>
    <w:tmpl w:val="CA0018D2"/>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036">
    <w:nsid w:val="50A45BBE"/>
    <w:multiLevelType w:val="hybridMultilevel"/>
    <w:tmpl w:val="A6D26D2A"/>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037">
    <w:nsid w:val="50B629A4"/>
    <w:multiLevelType w:val="hybridMultilevel"/>
    <w:tmpl w:val="804E97F2"/>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038">
    <w:nsid w:val="50BB4DEA"/>
    <w:multiLevelType w:val="hybridMultilevel"/>
    <w:tmpl w:val="ADD42C38"/>
    <w:lvl w:ilvl="0" w:tplc="0C0C000B">
      <w:start w:val="1"/>
      <w:numFmt w:val="bullet"/>
      <w:lvlText w:val=""/>
      <w:lvlJc w:val="left"/>
      <w:pPr>
        <w:ind w:left="708" w:hanging="360"/>
      </w:pPr>
      <w:rPr>
        <w:rFonts w:ascii="Wingdings" w:hAnsi="Wingdings" w:hint="default"/>
      </w:rPr>
    </w:lvl>
    <w:lvl w:ilvl="1" w:tplc="0C0C0003" w:tentative="1">
      <w:start w:val="1"/>
      <w:numFmt w:val="bullet"/>
      <w:lvlText w:val="o"/>
      <w:lvlJc w:val="left"/>
      <w:pPr>
        <w:ind w:left="1428" w:hanging="360"/>
      </w:pPr>
      <w:rPr>
        <w:rFonts w:ascii="Courier New" w:hAnsi="Courier New" w:cs="Courier New" w:hint="default"/>
      </w:rPr>
    </w:lvl>
    <w:lvl w:ilvl="2" w:tplc="0C0C0005" w:tentative="1">
      <w:start w:val="1"/>
      <w:numFmt w:val="bullet"/>
      <w:lvlText w:val=""/>
      <w:lvlJc w:val="left"/>
      <w:pPr>
        <w:ind w:left="2148" w:hanging="360"/>
      </w:pPr>
      <w:rPr>
        <w:rFonts w:ascii="Wingdings" w:hAnsi="Wingdings" w:hint="default"/>
      </w:rPr>
    </w:lvl>
    <w:lvl w:ilvl="3" w:tplc="0C0C0001" w:tentative="1">
      <w:start w:val="1"/>
      <w:numFmt w:val="bullet"/>
      <w:lvlText w:val=""/>
      <w:lvlJc w:val="left"/>
      <w:pPr>
        <w:ind w:left="2868" w:hanging="360"/>
      </w:pPr>
      <w:rPr>
        <w:rFonts w:ascii="Symbol" w:hAnsi="Symbol" w:hint="default"/>
      </w:rPr>
    </w:lvl>
    <w:lvl w:ilvl="4" w:tplc="0C0C0003" w:tentative="1">
      <w:start w:val="1"/>
      <w:numFmt w:val="bullet"/>
      <w:lvlText w:val="o"/>
      <w:lvlJc w:val="left"/>
      <w:pPr>
        <w:ind w:left="3588" w:hanging="360"/>
      </w:pPr>
      <w:rPr>
        <w:rFonts w:ascii="Courier New" w:hAnsi="Courier New" w:cs="Courier New" w:hint="default"/>
      </w:rPr>
    </w:lvl>
    <w:lvl w:ilvl="5" w:tplc="0C0C0005" w:tentative="1">
      <w:start w:val="1"/>
      <w:numFmt w:val="bullet"/>
      <w:lvlText w:val=""/>
      <w:lvlJc w:val="left"/>
      <w:pPr>
        <w:ind w:left="4308" w:hanging="360"/>
      </w:pPr>
      <w:rPr>
        <w:rFonts w:ascii="Wingdings" w:hAnsi="Wingdings" w:hint="default"/>
      </w:rPr>
    </w:lvl>
    <w:lvl w:ilvl="6" w:tplc="0C0C0001" w:tentative="1">
      <w:start w:val="1"/>
      <w:numFmt w:val="bullet"/>
      <w:lvlText w:val=""/>
      <w:lvlJc w:val="left"/>
      <w:pPr>
        <w:ind w:left="5028" w:hanging="360"/>
      </w:pPr>
      <w:rPr>
        <w:rFonts w:ascii="Symbol" w:hAnsi="Symbol" w:hint="default"/>
      </w:rPr>
    </w:lvl>
    <w:lvl w:ilvl="7" w:tplc="0C0C0003" w:tentative="1">
      <w:start w:val="1"/>
      <w:numFmt w:val="bullet"/>
      <w:lvlText w:val="o"/>
      <w:lvlJc w:val="left"/>
      <w:pPr>
        <w:ind w:left="5748" w:hanging="360"/>
      </w:pPr>
      <w:rPr>
        <w:rFonts w:ascii="Courier New" w:hAnsi="Courier New" w:cs="Courier New" w:hint="default"/>
      </w:rPr>
    </w:lvl>
    <w:lvl w:ilvl="8" w:tplc="0C0C0005" w:tentative="1">
      <w:start w:val="1"/>
      <w:numFmt w:val="bullet"/>
      <w:lvlText w:val=""/>
      <w:lvlJc w:val="left"/>
      <w:pPr>
        <w:ind w:left="6468" w:hanging="360"/>
      </w:pPr>
      <w:rPr>
        <w:rFonts w:ascii="Wingdings" w:hAnsi="Wingdings" w:hint="default"/>
      </w:rPr>
    </w:lvl>
  </w:abstractNum>
  <w:abstractNum w:abstractNumId="1039">
    <w:nsid w:val="50C133DA"/>
    <w:multiLevelType w:val="hybridMultilevel"/>
    <w:tmpl w:val="30F6D54C"/>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040">
    <w:nsid w:val="50C96C79"/>
    <w:multiLevelType w:val="hybridMultilevel"/>
    <w:tmpl w:val="6F267ABE"/>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041">
    <w:nsid w:val="50E3631A"/>
    <w:multiLevelType w:val="hybridMultilevel"/>
    <w:tmpl w:val="33442DB2"/>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042">
    <w:nsid w:val="50F52086"/>
    <w:multiLevelType w:val="multilevel"/>
    <w:tmpl w:val="F4CE3B6A"/>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43">
    <w:nsid w:val="51130D7B"/>
    <w:multiLevelType w:val="hybridMultilevel"/>
    <w:tmpl w:val="D0B2E6F8"/>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044">
    <w:nsid w:val="51143309"/>
    <w:multiLevelType w:val="hybridMultilevel"/>
    <w:tmpl w:val="40B017D2"/>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045">
    <w:nsid w:val="512116BC"/>
    <w:multiLevelType w:val="hybridMultilevel"/>
    <w:tmpl w:val="BBBE0588"/>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046">
    <w:nsid w:val="512E1795"/>
    <w:multiLevelType w:val="hybridMultilevel"/>
    <w:tmpl w:val="AED8101A"/>
    <w:lvl w:ilvl="0" w:tplc="0C0C000B">
      <w:start w:val="1"/>
      <w:numFmt w:val="bullet"/>
      <w:lvlText w:val=""/>
      <w:lvlJc w:val="left"/>
      <w:pPr>
        <w:ind w:left="720" w:hanging="360"/>
      </w:pPr>
      <w:rPr>
        <w:rFonts w:ascii="Wingdings" w:hAnsi="Wingdings" w:hint="default"/>
      </w:r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1047">
    <w:nsid w:val="514E55B5"/>
    <w:multiLevelType w:val="hybridMultilevel"/>
    <w:tmpl w:val="ADD204A6"/>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048">
    <w:nsid w:val="51543996"/>
    <w:multiLevelType w:val="hybridMultilevel"/>
    <w:tmpl w:val="B8C88184"/>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049">
    <w:nsid w:val="51572BAB"/>
    <w:multiLevelType w:val="hybridMultilevel"/>
    <w:tmpl w:val="E264B9AE"/>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050">
    <w:nsid w:val="519B7473"/>
    <w:multiLevelType w:val="hybridMultilevel"/>
    <w:tmpl w:val="777659E0"/>
    <w:lvl w:ilvl="0" w:tplc="0C0C000B">
      <w:start w:val="1"/>
      <w:numFmt w:val="bullet"/>
      <w:lvlText w:val=""/>
      <w:lvlJc w:val="left"/>
      <w:pPr>
        <w:ind w:left="1440" w:hanging="360"/>
      </w:pPr>
      <w:rPr>
        <w:rFonts w:ascii="Wingdings" w:hAnsi="Wingdings" w:hint="default"/>
      </w:rPr>
    </w:lvl>
    <w:lvl w:ilvl="1" w:tplc="0C0C0003">
      <w:start w:val="1"/>
      <w:numFmt w:val="bullet"/>
      <w:lvlText w:val="o"/>
      <w:lvlJc w:val="left"/>
      <w:pPr>
        <w:ind w:left="2160" w:hanging="360"/>
      </w:pPr>
      <w:rPr>
        <w:rFonts w:ascii="Courier New" w:hAnsi="Courier New" w:cs="Courier New" w:hint="default"/>
      </w:rPr>
    </w:lvl>
    <w:lvl w:ilvl="2" w:tplc="0C0C0005">
      <w:start w:val="1"/>
      <w:numFmt w:val="bullet"/>
      <w:lvlText w:val=""/>
      <w:lvlJc w:val="left"/>
      <w:pPr>
        <w:ind w:left="2880" w:hanging="360"/>
      </w:pPr>
      <w:rPr>
        <w:rFonts w:ascii="Wingdings" w:hAnsi="Wingdings" w:hint="default"/>
      </w:rPr>
    </w:lvl>
    <w:lvl w:ilvl="3" w:tplc="0C0C0001" w:tentative="1">
      <w:start w:val="1"/>
      <w:numFmt w:val="bullet"/>
      <w:lvlText w:val=""/>
      <w:lvlJc w:val="left"/>
      <w:pPr>
        <w:ind w:left="3600" w:hanging="360"/>
      </w:pPr>
      <w:rPr>
        <w:rFonts w:ascii="Symbol" w:hAnsi="Symbol" w:hint="default"/>
      </w:rPr>
    </w:lvl>
    <w:lvl w:ilvl="4" w:tplc="0C0C0003" w:tentative="1">
      <w:start w:val="1"/>
      <w:numFmt w:val="bullet"/>
      <w:lvlText w:val="o"/>
      <w:lvlJc w:val="left"/>
      <w:pPr>
        <w:ind w:left="4320" w:hanging="360"/>
      </w:pPr>
      <w:rPr>
        <w:rFonts w:ascii="Courier New" w:hAnsi="Courier New" w:cs="Courier New" w:hint="default"/>
      </w:rPr>
    </w:lvl>
    <w:lvl w:ilvl="5" w:tplc="0C0C0005" w:tentative="1">
      <w:start w:val="1"/>
      <w:numFmt w:val="bullet"/>
      <w:lvlText w:val=""/>
      <w:lvlJc w:val="left"/>
      <w:pPr>
        <w:ind w:left="5040" w:hanging="360"/>
      </w:pPr>
      <w:rPr>
        <w:rFonts w:ascii="Wingdings" w:hAnsi="Wingdings" w:hint="default"/>
      </w:rPr>
    </w:lvl>
    <w:lvl w:ilvl="6" w:tplc="0C0C0001" w:tentative="1">
      <w:start w:val="1"/>
      <w:numFmt w:val="bullet"/>
      <w:lvlText w:val=""/>
      <w:lvlJc w:val="left"/>
      <w:pPr>
        <w:ind w:left="5760" w:hanging="360"/>
      </w:pPr>
      <w:rPr>
        <w:rFonts w:ascii="Symbol" w:hAnsi="Symbol" w:hint="default"/>
      </w:rPr>
    </w:lvl>
    <w:lvl w:ilvl="7" w:tplc="0C0C0003" w:tentative="1">
      <w:start w:val="1"/>
      <w:numFmt w:val="bullet"/>
      <w:lvlText w:val="o"/>
      <w:lvlJc w:val="left"/>
      <w:pPr>
        <w:ind w:left="6480" w:hanging="360"/>
      </w:pPr>
      <w:rPr>
        <w:rFonts w:ascii="Courier New" w:hAnsi="Courier New" w:cs="Courier New" w:hint="default"/>
      </w:rPr>
    </w:lvl>
    <w:lvl w:ilvl="8" w:tplc="0C0C0005" w:tentative="1">
      <w:start w:val="1"/>
      <w:numFmt w:val="bullet"/>
      <w:lvlText w:val=""/>
      <w:lvlJc w:val="left"/>
      <w:pPr>
        <w:ind w:left="7200" w:hanging="360"/>
      </w:pPr>
      <w:rPr>
        <w:rFonts w:ascii="Wingdings" w:hAnsi="Wingdings" w:hint="default"/>
      </w:rPr>
    </w:lvl>
  </w:abstractNum>
  <w:abstractNum w:abstractNumId="1051">
    <w:nsid w:val="51A44DA1"/>
    <w:multiLevelType w:val="hybridMultilevel"/>
    <w:tmpl w:val="C23ACA10"/>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052">
    <w:nsid w:val="51A61BCD"/>
    <w:multiLevelType w:val="hybridMultilevel"/>
    <w:tmpl w:val="5DDC22DA"/>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053">
    <w:nsid w:val="51B00C45"/>
    <w:multiLevelType w:val="hybridMultilevel"/>
    <w:tmpl w:val="C40EE6B8"/>
    <w:lvl w:ilvl="0" w:tplc="0C0C0005">
      <w:start w:val="1"/>
      <w:numFmt w:val="bullet"/>
      <w:lvlText w:val=""/>
      <w:lvlJc w:val="left"/>
      <w:pPr>
        <w:ind w:left="1068" w:hanging="360"/>
      </w:pPr>
      <w:rPr>
        <w:rFonts w:ascii="Wingdings" w:hAnsi="Wingdings" w:hint="default"/>
      </w:rPr>
    </w:lvl>
    <w:lvl w:ilvl="1" w:tplc="0C0C0003" w:tentative="1">
      <w:start w:val="1"/>
      <w:numFmt w:val="bullet"/>
      <w:lvlText w:val="o"/>
      <w:lvlJc w:val="left"/>
      <w:pPr>
        <w:ind w:left="1788" w:hanging="360"/>
      </w:pPr>
      <w:rPr>
        <w:rFonts w:ascii="Courier New" w:hAnsi="Courier New" w:cs="Courier New" w:hint="default"/>
      </w:rPr>
    </w:lvl>
    <w:lvl w:ilvl="2" w:tplc="0C0C0005" w:tentative="1">
      <w:start w:val="1"/>
      <w:numFmt w:val="bullet"/>
      <w:lvlText w:val=""/>
      <w:lvlJc w:val="left"/>
      <w:pPr>
        <w:ind w:left="2508" w:hanging="360"/>
      </w:pPr>
      <w:rPr>
        <w:rFonts w:ascii="Wingdings" w:hAnsi="Wingdings" w:hint="default"/>
      </w:rPr>
    </w:lvl>
    <w:lvl w:ilvl="3" w:tplc="0C0C0001" w:tentative="1">
      <w:start w:val="1"/>
      <w:numFmt w:val="bullet"/>
      <w:lvlText w:val=""/>
      <w:lvlJc w:val="left"/>
      <w:pPr>
        <w:ind w:left="3228" w:hanging="360"/>
      </w:pPr>
      <w:rPr>
        <w:rFonts w:ascii="Symbol" w:hAnsi="Symbol" w:hint="default"/>
      </w:rPr>
    </w:lvl>
    <w:lvl w:ilvl="4" w:tplc="0C0C0003" w:tentative="1">
      <w:start w:val="1"/>
      <w:numFmt w:val="bullet"/>
      <w:lvlText w:val="o"/>
      <w:lvlJc w:val="left"/>
      <w:pPr>
        <w:ind w:left="3948" w:hanging="360"/>
      </w:pPr>
      <w:rPr>
        <w:rFonts w:ascii="Courier New" w:hAnsi="Courier New" w:cs="Courier New" w:hint="default"/>
      </w:rPr>
    </w:lvl>
    <w:lvl w:ilvl="5" w:tplc="0C0C0005" w:tentative="1">
      <w:start w:val="1"/>
      <w:numFmt w:val="bullet"/>
      <w:lvlText w:val=""/>
      <w:lvlJc w:val="left"/>
      <w:pPr>
        <w:ind w:left="4668" w:hanging="360"/>
      </w:pPr>
      <w:rPr>
        <w:rFonts w:ascii="Wingdings" w:hAnsi="Wingdings" w:hint="default"/>
      </w:rPr>
    </w:lvl>
    <w:lvl w:ilvl="6" w:tplc="0C0C0001" w:tentative="1">
      <w:start w:val="1"/>
      <w:numFmt w:val="bullet"/>
      <w:lvlText w:val=""/>
      <w:lvlJc w:val="left"/>
      <w:pPr>
        <w:ind w:left="5388" w:hanging="360"/>
      </w:pPr>
      <w:rPr>
        <w:rFonts w:ascii="Symbol" w:hAnsi="Symbol" w:hint="default"/>
      </w:rPr>
    </w:lvl>
    <w:lvl w:ilvl="7" w:tplc="0C0C0003" w:tentative="1">
      <w:start w:val="1"/>
      <w:numFmt w:val="bullet"/>
      <w:lvlText w:val="o"/>
      <w:lvlJc w:val="left"/>
      <w:pPr>
        <w:ind w:left="6108" w:hanging="360"/>
      </w:pPr>
      <w:rPr>
        <w:rFonts w:ascii="Courier New" w:hAnsi="Courier New" w:cs="Courier New" w:hint="default"/>
      </w:rPr>
    </w:lvl>
    <w:lvl w:ilvl="8" w:tplc="0C0C0005" w:tentative="1">
      <w:start w:val="1"/>
      <w:numFmt w:val="bullet"/>
      <w:lvlText w:val=""/>
      <w:lvlJc w:val="left"/>
      <w:pPr>
        <w:ind w:left="6828" w:hanging="360"/>
      </w:pPr>
      <w:rPr>
        <w:rFonts w:ascii="Wingdings" w:hAnsi="Wingdings" w:hint="default"/>
      </w:rPr>
    </w:lvl>
  </w:abstractNum>
  <w:abstractNum w:abstractNumId="1054">
    <w:nsid w:val="51C24670"/>
    <w:multiLevelType w:val="hybridMultilevel"/>
    <w:tmpl w:val="F5A428BE"/>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055">
    <w:nsid w:val="51D0526B"/>
    <w:multiLevelType w:val="hybridMultilevel"/>
    <w:tmpl w:val="1CE262C6"/>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056">
    <w:nsid w:val="51EF09B2"/>
    <w:multiLevelType w:val="hybridMultilevel"/>
    <w:tmpl w:val="2DF0CC40"/>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057">
    <w:nsid w:val="51F31DE8"/>
    <w:multiLevelType w:val="hybridMultilevel"/>
    <w:tmpl w:val="2ABCFB4E"/>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058">
    <w:nsid w:val="51FE4654"/>
    <w:multiLevelType w:val="hybridMultilevel"/>
    <w:tmpl w:val="80269FC8"/>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059">
    <w:nsid w:val="520422E8"/>
    <w:multiLevelType w:val="hybridMultilevel"/>
    <w:tmpl w:val="B40CE08E"/>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060">
    <w:nsid w:val="523635B9"/>
    <w:multiLevelType w:val="hybridMultilevel"/>
    <w:tmpl w:val="76CE349E"/>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061">
    <w:nsid w:val="524862A0"/>
    <w:multiLevelType w:val="hybridMultilevel"/>
    <w:tmpl w:val="C2C0F87C"/>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062">
    <w:nsid w:val="525B28A2"/>
    <w:multiLevelType w:val="hybridMultilevel"/>
    <w:tmpl w:val="EEC4911E"/>
    <w:lvl w:ilvl="0" w:tplc="0C0C000B">
      <w:start w:val="1"/>
      <w:numFmt w:val="bullet"/>
      <w:lvlText w:val=""/>
      <w:lvlJc w:val="left"/>
      <w:pPr>
        <w:ind w:left="360" w:hanging="360"/>
      </w:pPr>
      <w:rPr>
        <w:rFonts w:ascii="Wingdings" w:hAnsi="Wingdings" w:hint="default"/>
      </w:rPr>
    </w:lvl>
    <w:lvl w:ilvl="1" w:tplc="0C0C0019" w:tentative="1">
      <w:start w:val="1"/>
      <w:numFmt w:val="lowerLetter"/>
      <w:lvlText w:val="%2."/>
      <w:lvlJc w:val="left"/>
      <w:pPr>
        <w:ind w:left="1080" w:hanging="360"/>
      </w:pPr>
    </w:lvl>
    <w:lvl w:ilvl="2" w:tplc="0C0C001B" w:tentative="1">
      <w:start w:val="1"/>
      <w:numFmt w:val="lowerRoman"/>
      <w:lvlText w:val="%3."/>
      <w:lvlJc w:val="right"/>
      <w:pPr>
        <w:ind w:left="1800" w:hanging="180"/>
      </w:pPr>
    </w:lvl>
    <w:lvl w:ilvl="3" w:tplc="0C0C000F" w:tentative="1">
      <w:start w:val="1"/>
      <w:numFmt w:val="decimal"/>
      <w:lvlText w:val="%4."/>
      <w:lvlJc w:val="left"/>
      <w:pPr>
        <w:ind w:left="2520" w:hanging="360"/>
      </w:pPr>
    </w:lvl>
    <w:lvl w:ilvl="4" w:tplc="0C0C0019" w:tentative="1">
      <w:start w:val="1"/>
      <w:numFmt w:val="lowerLetter"/>
      <w:lvlText w:val="%5."/>
      <w:lvlJc w:val="left"/>
      <w:pPr>
        <w:ind w:left="3240" w:hanging="360"/>
      </w:pPr>
    </w:lvl>
    <w:lvl w:ilvl="5" w:tplc="0C0C001B" w:tentative="1">
      <w:start w:val="1"/>
      <w:numFmt w:val="lowerRoman"/>
      <w:lvlText w:val="%6."/>
      <w:lvlJc w:val="right"/>
      <w:pPr>
        <w:ind w:left="3960" w:hanging="180"/>
      </w:pPr>
    </w:lvl>
    <w:lvl w:ilvl="6" w:tplc="0C0C000F" w:tentative="1">
      <w:start w:val="1"/>
      <w:numFmt w:val="decimal"/>
      <w:lvlText w:val="%7."/>
      <w:lvlJc w:val="left"/>
      <w:pPr>
        <w:ind w:left="4680" w:hanging="360"/>
      </w:pPr>
    </w:lvl>
    <w:lvl w:ilvl="7" w:tplc="0C0C0019" w:tentative="1">
      <w:start w:val="1"/>
      <w:numFmt w:val="lowerLetter"/>
      <w:lvlText w:val="%8."/>
      <w:lvlJc w:val="left"/>
      <w:pPr>
        <w:ind w:left="5400" w:hanging="360"/>
      </w:pPr>
    </w:lvl>
    <w:lvl w:ilvl="8" w:tplc="0C0C001B" w:tentative="1">
      <w:start w:val="1"/>
      <w:numFmt w:val="lowerRoman"/>
      <w:lvlText w:val="%9."/>
      <w:lvlJc w:val="right"/>
      <w:pPr>
        <w:ind w:left="6120" w:hanging="180"/>
      </w:pPr>
    </w:lvl>
  </w:abstractNum>
  <w:abstractNum w:abstractNumId="1063">
    <w:nsid w:val="525F5BFF"/>
    <w:multiLevelType w:val="hybridMultilevel"/>
    <w:tmpl w:val="06CABD9C"/>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064">
    <w:nsid w:val="5260777D"/>
    <w:multiLevelType w:val="hybridMultilevel"/>
    <w:tmpl w:val="E5EE847C"/>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065">
    <w:nsid w:val="52623AD8"/>
    <w:multiLevelType w:val="hybridMultilevel"/>
    <w:tmpl w:val="4E6AA33A"/>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066">
    <w:nsid w:val="526F2462"/>
    <w:multiLevelType w:val="hybridMultilevel"/>
    <w:tmpl w:val="FA0C64B2"/>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067">
    <w:nsid w:val="52955A94"/>
    <w:multiLevelType w:val="hybridMultilevel"/>
    <w:tmpl w:val="59824802"/>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068">
    <w:nsid w:val="52C75226"/>
    <w:multiLevelType w:val="hybridMultilevel"/>
    <w:tmpl w:val="82020E46"/>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069">
    <w:nsid w:val="52E142A0"/>
    <w:multiLevelType w:val="hybridMultilevel"/>
    <w:tmpl w:val="539601C2"/>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070">
    <w:nsid w:val="52EF5CDF"/>
    <w:multiLevelType w:val="hybridMultilevel"/>
    <w:tmpl w:val="39721A02"/>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071">
    <w:nsid w:val="530D5471"/>
    <w:multiLevelType w:val="hybridMultilevel"/>
    <w:tmpl w:val="99D03B2E"/>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072">
    <w:nsid w:val="53176B62"/>
    <w:multiLevelType w:val="hybridMultilevel"/>
    <w:tmpl w:val="134A6A56"/>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073">
    <w:nsid w:val="53245F81"/>
    <w:multiLevelType w:val="multilevel"/>
    <w:tmpl w:val="61BA96A8"/>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74">
    <w:nsid w:val="53536286"/>
    <w:multiLevelType w:val="hybridMultilevel"/>
    <w:tmpl w:val="DDF825D4"/>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075">
    <w:nsid w:val="535538F2"/>
    <w:multiLevelType w:val="hybridMultilevel"/>
    <w:tmpl w:val="C73C04E0"/>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076">
    <w:nsid w:val="535F3557"/>
    <w:multiLevelType w:val="hybridMultilevel"/>
    <w:tmpl w:val="0B32BC0C"/>
    <w:lvl w:ilvl="0" w:tplc="0C0C0003">
      <w:start w:val="1"/>
      <w:numFmt w:val="bullet"/>
      <w:lvlText w:val="o"/>
      <w:lvlJc w:val="left"/>
      <w:pPr>
        <w:ind w:left="1068" w:hanging="360"/>
      </w:pPr>
      <w:rPr>
        <w:rFonts w:ascii="Courier New" w:hAnsi="Courier New" w:cs="Courier New" w:hint="default"/>
      </w:rPr>
    </w:lvl>
    <w:lvl w:ilvl="1" w:tplc="0C0C0003" w:tentative="1">
      <w:start w:val="1"/>
      <w:numFmt w:val="bullet"/>
      <w:lvlText w:val="o"/>
      <w:lvlJc w:val="left"/>
      <w:pPr>
        <w:ind w:left="1788" w:hanging="360"/>
      </w:pPr>
      <w:rPr>
        <w:rFonts w:ascii="Courier New" w:hAnsi="Courier New" w:cs="Courier New" w:hint="default"/>
      </w:rPr>
    </w:lvl>
    <w:lvl w:ilvl="2" w:tplc="0C0C0005" w:tentative="1">
      <w:start w:val="1"/>
      <w:numFmt w:val="bullet"/>
      <w:lvlText w:val=""/>
      <w:lvlJc w:val="left"/>
      <w:pPr>
        <w:ind w:left="2508" w:hanging="360"/>
      </w:pPr>
      <w:rPr>
        <w:rFonts w:ascii="Wingdings" w:hAnsi="Wingdings" w:hint="default"/>
      </w:rPr>
    </w:lvl>
    <w:lvl w:ilvl="3" w:tplc="0C0C0001" w:tentative="1">
      <w:start w:val="1"/>
      <w:numFmt w:val="bullet"/>
      <w:lvlText w:val=""/>
      <w:lvlJc w:val="left"/>
      <w:pPr>
        <w:ind w:left="3228" w:hanging="360"/>
      </w:pPr>
      <w:rPr>
        <w:rFonts w:ascii="Symbol" w:hAnsi="Symbol" w:hint="default"/>
      </w:rPr>
    </w:lvl>
    <w:lvl w:ilvl="4" w:tplc="0C0C0003" w:tentative="1">
      <w:start w:val="1"/>
      <w:numFmt w:val="bullet"/>
      <w:lvlText w:val="o"/>
      <w:lvlJc w:val="left"/>
      <w:pPr>
        <w:ind w:left="3948" w:hanging="360"/>
      </w:pPr>
      <w:rPr>
        <w:rFonts w:ascii="Courier New" w:hAnsi="Courier New" w:cs="Courier New" w:hint="default"/>
      </w:rPr>
    </w:lvl>
    <w:lvl w:ilvl="5" w:tplc="0C0C0005" w:tentative="1">
      <w:start w:val="1"/>
      <w:numFmt w:val="bullet"/>
      <w:lvlText w:val=""/>
      <w:lvlJc w:val="left"/>
      <w:pPr>
        <w:ind w:left="4668" w:hanging="360"/>
      </w:pPr>
      <w:rPr>
        <w:rFonts w:ascii="Wingdings" w:hAnsi="Wingdings" w:hint="default"/>
      </w:rPr>
    </w:lvl>
    <w:lvl w:ilvl="6" w:tplc="0C0C0001" w:tentative="1">
      <w:start w:val="1"/>
      <w:numFmt w:val="bullet"/>
      <w:lvlText w:val=""/>
      <w:lvlJc w:val="left"/>
      <w:pPr>
        <w:ind w:left="5388" w:hanging="360"/>
      </w:pPr>
      <w:rPr>
        <w:rFonts w:ascii="Symbol" w:hAnsi="Symbol" w:hint="default"/>
      </w:rPr>
    </w:lvl>
    <w:lvl w:ilvl="7" w:tplc="0C0C0003" w:tentative="1">
      <w:start w:val="1"/>
      <w:numFmt w:val="bullet"/>
      <w:lvlText w:val="o"/>
      <w:lvlJc w:val="left"/>
      <w:pPr>
        <w:ind w:left="6108" w:hanging="360"/>
      </w:pPr>
      <w:rPr>
        <w:rFonts w:ascii="Courier New" w:hAnsi="Courier New" w:cs="Courier New" w:hint="default"/>
      </w:rPr>
    </w:lvl>
    <w:lvl w:ilvl="8" w:tplc="0C0C0005" w:tentative="1">
      <w:start w:val="1"/>
      <w:numFmt w:val="bullet"/>
      <w:lvlText w:val=""/>
      <w:lvlJc w:val="left"/>
      <w:pPr>
        <w:ind w:left="6828" w:hanging="360"/>
      </w:pPr>
      <w:rPr>
        <w:rFonts w:ascii="Wingdings" w:hAnsi="Wingdings" w:hint="default"/>
      </w:rPr>
    </w:lvl>
  </w:abstractNum>
  <w:abstractNum w:abstractNumId="1077">
    <w:nsid w:val="53774991"/>
    <w:multiLevelType w:val="hybridMultilevel"/>
    <w:tmpl w:val="E90E77B2"/>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078">
    <w:nsid w:val="53844437"/>
    <w:multiLevelType w:val="hybridMultilevel"/>
    <w:tmpl w:val="C8E6A8A6"/>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079">
    <w:nsid w:val="539423F3"/>
    <w:multiLevelType w:val="hybridMultilevel"/>
    <w:tmpl w:val="B3CE9A6A"/>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080">
    <w:nsid w:val="539B33BF"/>
    <w:multiLevelType w:val="hybridMultilevel"/>
    <w:tmpl w:val="D6B45DD6"/>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081">
    <w:nsid w:val="53A235CA"/>
    <w:multiLevelType w:val="hybridMultilevel"/>
    <w:tmpl w:val="9844E432"/>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082">
    <w:nsid w:val="540B60D8"/>
    <w:multiLevelType w:val="hybridMultilevel"/>
    <w:tmpl w:val="0030933C"/>
    <w:lvl w:ilvl="0" w:tplc="0C0C0009">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083">
    <w:nsid w:val="540E6D02"/>
    <w:multiLevelType w:val="hybridMultilevel"/>
    <w:tmpl w:val="8730C006"/>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084">
    <w:nsid w:val="54144AC9"/>
    <w:multiLevelType w:val="hybridMultilevel"/>
    <w:tmpl w:val="7F14C4A2"/>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085">
    <w:nsid w:val="542C645D"/>
    <w:multiLevelType w:val="hybridMultilevel"/>
    <w:tmpl w:val="44806F4C"/>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086">
    <w:nsid w:val="54452AB3"/>
    <w:multiLevelType w:val="hybridMultilevel"/>
    <w:tmpl w:val="BE00B90C"/>
    <w:lvl w:ilvl="0" w:tplc="0C0C0005">
      <w:start w:val="1"/>
      <w:numFmt w:val="bullet"/>
      <w:lvlText w:val=""/>
      <w:lvlJc w:val="left"/>
      <w:pPr>
        <w:ind w:left="1068" w:hanging="360"/>
      </w:pPr>
      <w:rPr>
        <w:rFonts w:ascii="Wingdings" w:hAnsi="Wingdings" w:hint="default"/>
      </w:rPr>
    </w:lvl>
    <w:lvl w:ilvl="1" w:tplc="0C0C0003" w:tentative="1">
      <w:start w:val="1"/>
      <w:numFmt w:val="bullet"/>
      <w:lvlText w:val="o"/>
      <w:lvlJc w:val="left"/>
      <w:pPr>
        <w:ind w:left="1788" w:hanging="360"/>
      </w:pPr>
      <w:rPr>
        <w:rFonts w:ascii="Courier New" w:hAnsi="Courier New" w:cs="Courier New" w:hint="default"/>
      </w:rPr>
    </w:lvl>
    <w:lvl w:ilvl="2" w:tplc="0C0C0005" w:tentative="1">
      <w:start w:val="1"/>
      <w:numFmt w:val="bullet"/>
      <w:lvlText w:val=""/>
      <w:lvlJc w:val="left"/>
      <w:pPr>
        <w:ind w:left="2508" w:hanging="360"/>
      </w:pPr>
      <w:rPr>
        <w:rFonts w:ascii="Wingdings" w:hAnsi="Wingdings" w:hint="default"/>
      </w:rPr>
    </w:lvl>
    <w:lvl w:ilvl="3" w:tplc="0C0C0001" w:tentative="1">
      <w:start w:val="1"/>
      <w:numFmt w:val="bullet"/>
      <w:lvlText w:val=""/>
      <w:lvlJc w:val="left"/>
      <w:pPr>
        <w:ind w:left="3228" w:hanging="360"/>
      </w:pPr>
      <w:rPr>
        <w:rFonts w:ascii="Symbol" w:hAnsi="Symbol" w:hint="default"/>
      </w:rPr>
    </w:lvl>
    <w:lvl w:ilvl="4" w:tplc="0C0C0003" w:tentative="1">
      <w:start w:val="1"/>
      <w:numFmt w:val="bullet"/>
      <w:lvlText w:val="o"/>
      <w:lvlJc w:val="left"/>
      <w:pPr>
        <w:ind w:left="3948" w:hanging="360"/>
      </w:pPr>
      <w:rPr>
        <w:rFonts w:ascii="Courier New" w:hAnsi="Courier New" w:cs="Courier New" w:hint="default"/>
      </w:rPr>
    </w:lvl>
    <w:lvl w:ilvl="5" w:tplc="0C0C0005" w:tentative="1">
      <w:start w:val="1"/>
      <w:numFmt w:val="bullet"/>
      <w:lvlText w:val=""/>
      <w:lvlJc w:val="left"/>
      <w:pPr>
        <w:ind w:left="4668" w:hanging="360"/>
      </w:pPr>
      <w:rPr>
        <w:rFonts w:ascii="Wingdings" w:hAnsi="Wingdings" w:hint="default"/>
      </w:rPr>
    </w:lvl>
    <w:lvl w:ilvl="6" w:tplc="0C0C0001" w:tentative="1">
      <w:start w:val="1"/>
      <w:numFmt w:val="bullet"/>
      <w:lvlText w:val=""/>
      <w:lvlJc w:val="left"/>
      <w:pPr>
        <w:ind w:left="5388" w:hanging="360"/>
      </w:pPr>
      <w:rPr>
        <w:rFonts w:ascii="Symbol" w:hAnsi="Symbol" w:hint="default"/>
      </w:rPr>
    </w:lvl>
    <w:lvl w:ilvl="7" w:tplc="0C0C0003" w:tentative="1">
      <w:start w:val="1"/>
      <w:numFmt w:val="bullet"/>
      <w:lvlText w:val="o"/>
      <w:lvlJc w:val="left"/>
      <w:pPr>
        <w:ind w:left="6108" w:hanging="360"/>
      </w:pPr>
      <w:rPr>
        <w:rFonts w:ascii="Courier New" w:hAnsi="Courier New" w:cs="Courier New" w:hint="default"/>
      </w:rPr>
    </w:lvl>
    <w:lvl w:ilvl="8" w:tplc="0C0C0005" w:tentative="1">
      <w:start w:val="1"/>
      <w:numFmt w:val="bullet"/>
      <w:lvlText w:val=""/>
      <w:lvlJc w:val="left"/>
      <w:pPr>
        <w:ind w:left="6828" w:hanging="360"/>
      </w:pPr>
      <w:rPr>
        <w:rFonts w:ascii="Wingdings" w:hAnsi="Wingdings" w:hint="default"/>
      </w:rPr>
    </w:lvl>
  </w:abstractNum>
  <w:abstractNum w:abstractNumId="1087">
    <w:nsid w:val="54551546"/>
    <w:multiLevelType w:val="hybridMultilevel"/>
    <w:tmpl w:val="8A927068"/>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088">
    <w:nsid w:val="54563602"/>
    <w:multiLevelType w:val="hybridMultilevel"/>
    <w:tmpl w:val="63FAE10A"/>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089">
    <w:nsid w:val="54574DD7"/>
    <w:multiLevelType w:val="hybridMultilevel"/>
    <w:tmpl w:val="FB68484E"/>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090">
    <w:nsid w:val="5461594F"/>
    <w:multiLevelType w:val="hybridMultilevel"/>
    <w:tmpl w:val="0736FDE4"/>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091">
    <w:nsid w:val="546A2E54"/>
    <w:multiLevelType w:val="hybridMultilevel"/>
    <w:tmpl w:val="33D4A5D0"/>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092">
    <w:nsid w:val="54742BC0"/>
    <w:multiLevelType w:val="hybridMultilevel"/>
    <w:tmpl w:val="32927A78"/>
    <w:lvl w:ilvl="0" w:tplc="0C0C0003">
      <w:start w:val="1"/>
      <w:numFmt w:val="bullet"/>
      <w:lvlText w:val="o"/>
      <w:lvlJc w:val="left"/>
      <w:pPr>
        <w:ind w:left="1068" w:hanging="360"/>
      </w:pPr>
      <w:rPr>
        <w:rFonts w:ascii="Courier New" w:hAnsi="Courier New" w:cs="Courier New" w:hint="default"/>
      </w:rPr>
    </w:lvl>
    <w:lvl w:ilvl="1" w:tplc="0C0C0003" w:tentative="1">
      <w:start w:val="1"/>
      <w:numFmt w:val="bullet"/>
      <w:lvlText w:val="o"/>
      <w:lvlJc w:val="left"/>
      <w:pPr>
        <w:ind w:left="1788" w:hanging="360"/>
      </w:pPr>
      <w:rPr>
        <w:rFonts w:ascii="Courier New" w:hAnsi="Courier New" w:cs="Courier New" w:hint="default"/>
      </w:rPr>
    </w:lvl>
    <w:lvl w:ilvl="2" w:tplc="0C0C0005" w:tentative="1">
      <w:start w:val="1"/>
      <w:numFmt w:val="bullet"/>
      <w:lvlText w:val=""/>
      <w:lvlJc w:val="left"/>
      <w:pPr>
        <w:ind w:left="2508" w:hanging="360"/>
      </w:pPr>
      <w:rPr>
        <w:rFonts w:ascii="Wingdings" w:hAnsi="Wingdings" w:hint="default"/>
      </w:rPr>
    </w:lvl>
    <w:lvl w:ilvl="3" w:tplc="0C0C0001" w:tentative="1">
      <w:start w:val="1"/>
      <w:numFmt w:val="bullet"/>
      <w:lvlText w:val=""/>
      <w:lvlJc w:val="left"/>
      <w:pPr>
        <w:ind w:left="3228" w:hanging="360"/>
      </w:pPr>
      <w:rPr>
        <w:rFonts w:ascii="Symbol" w:hAnsi="Symbol" w:hint="default"/>
      </w:rPr>
    </w:lvl>
    <w:lvl w:ilvl="4" w:tplc="0C0C0003" w:tentative="1">
      <w:start w:val="1"/>
      <w:numFmt w:val="bullet"/>
      <w:lvlText w:val="o"/>
      <w:lvlJc w:val="left"/>
      <w:pPr>
        <w:ind w:left="3948" w:hanging="360"/>
      </w:pPr>
      <w:rPr>
        <w:rFonts w:ascii="Courier New" w:hAnsi="Courier New" w:cs="Courier New" w:hint="default"/>
      </w:rPr>
    </w:lvl>
    <w:lvl w:ilvl="5" w:tplc="0C0C0005" w:tentative="1">
      <w:start w:val="1"/>
      <w:numFmt w:val="bullet"/>
      <w:lvlText w:val=""/>
      <w:lvlJc w:val="left"/>
      <w:pPr>
        <w:ind w:left="4668" w:hanging="360"/>
      </w:pPr>
      <w:rPr>
        <w:rFonts w:ascii="Wingdings" w:hAnsi="Wingdings" w:hint="default"/>
      </w:rPr>
    </w:lvl>
    <w:lvl w:ilvl="6" w:tplc="0C0C0001" w:tentative="1">
      <w:start w:val="1"/>
      <w:numFmt w:val="bullet"/>
      <w:lvlText w:val=""/>
      <w:lvlJc w:val="left"/>
      <w:pPr>
        <w:ind w:left="5388" w:hanging="360"/>
      </w:pPr>
      <w:rPr>
        <w:rFonts w:ascii="Symbol" w:hAnsi="Symbol" w:hint="default"/>
      </w:rPr>
    </w:lvl>
    <w:lvl w:ilvl="7" w:tplc="0C0C0003" w:tentative="1">
      <w:start w:val="1"/>
      <w:numFmt w:val="bullet"/>
      <w:lvlText w:val="o"/>
      <w:lvlJc w:val="left"/>
      <w:pPr>
        <w:ind w:left="6108" w:hanging="360"/>
      </w:pPr>
      <w:rPr>
        <w:rFonts w:ascii="Courier New" w:hAnsi="Courier New" w:cs="Courier New" w:hint="default"/>
      </w:rPr>
    </w:lvl>
    <w:lvl w:ilvl="8" w:tplc="0C0C0005" w:tentative="1">
      <w:start w:val="1"/>
      <w:numFmt w:val="bullet"/>
      <w:lvlText w:val=""/>
      <w:lvlJc w:val="left"/>
      <w:pPr>
        <w:ind w:left="6828" w:hanging="360"/>
      </w:pPr>
      <w:rPr>
        <w:rFonts w:ascii="Wingdings" w:hAnsi="Wingdings" w:hint="default"/>
      </w:rPr>
    </w:lvl>
  </w:abstractNum>
  <w:abstractNum w:abstractNumId="1093">
    <w:nsid w:val="548117DD"/>
    <w:multiLevelType w:val="hybridMultilevel"/>
    <w:tmpl w:val="69B23320"/>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094">
    <w:nsid w:val="548776AE"/>
    <w:multiLevelType w:val="hybridMultilevel"/>
    <w:tmpl w:val="DC10140E"/>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095">
    <w:nsid w:val="549065A6"/>
    <w:multiLevelType w:val="hybridMultilevel"/>
    <w:tmpl w:val="973C4CEC"/>
    <w:lvl w:ilvl="0" w:tplc="0C0C0005">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096">
    <w:nsid w:val="54C00E13"/>
    <w:multiLevelType w:val="hybridMultilevel"/>
    <w:tmpl w:val="2A927E76"/>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097">
    <w:nsid w:val="54CF4355"/>
    <w:multiLevelType w:val="hybridMultilevel"/>
    <w:tmpl w:val="F36E43DE"/>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098">
    <w:nsid w:val="54ED3F97"/>
    <w:multiLevelType w:val="hybridMultilevel"/>
    <w:tmpl w:val="9BBCE37E"/>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099">
    <w:nsid w:val="54F743BD"/>
    <w:multiLevelType w:val="hybridMultilevel"/>
    <w:tmpl w:val="E25A4100"/>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100">
    <w:nsid w:val="551716FB"/>
    <w:multiLevelType w:val="hybridMultilevel"/>
    <w:tmpl w:val="8F8423C4"/>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101">
    <w:nsid w:val="55405229"/>
    <w:multiLevelType w:val="hybridMultilevel"/>
    <w:tmpl w:val="8D26675C"/>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102">
    <w:nsid w:val="556E19A6"/>
    <w:multiLevelType w:val="hybridMultilevel"/>
    <w:tmpl w:val="B0E6F2CA"/>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103">
    <w:nsid w:val="5578345A"/>
    <w:multiLevelType w:val="hybridMultilevel"/>
    <w:tmpl w:val="333830DE"/>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104">
    <w:nsid w:val="557E0610"/>
    <w:multiLevelType w:val="hybridMultilevel"/>
    <w:tmpl w:val="972C101A"/>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105">
    <w:nsid w:val="55933558"/>
    <w:multiLevelType w:val="hybridMultilevel"/>
    <w:tmpl w:val="618E1496"/>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106">
    <w:nsid w:val="5596230E"/>
    <w:multiLevelType w:val="hybridMultilevel"/>
    <w:tmpl w:val="F02C62DA"/>
    <w:lvl w:ilvl="0" w:tplc="8C74E87E">
      <w:start w:val="4"/>
      <w:numFmt w:val="bullet"/>
      <w:lvlText w:val="-"/>
      <w:lvlJc w:val="left"/>
      <w:pPr>
        <w:ind w:left="360" w:hanging="360"/>
      </w:pPr>
      <w:rPr>
        <w:rFonts w:ascii="Times New Roman" w:eastAsiaTheme="minorHAnsi" w:hAnsi="Times New Roman" w:cs="Times New Roman" w:hint="default"/>
        <w:i/>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107">
    <w:nsid w:val="55B84B22"/>
    <w:multiLevelType w:val="hybridMultilevel"/>
    <w:tmpl w:val="1C207446"/>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108">
    <w:nsid w:val="55C64C69"/>
    <w:multiLevelType w:val="hybridMultilevel"/>
    <w:tmpl w:val="4EB25FD2"/>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109">
    <w:nsid w:val="56066439"/>
    <w:multiLevelType w:val="hybridMultilevel"/>
    <w:tmpl w:val="3174ABBA"/>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110">
    <w:nsid w:val="560B3A78"/>
    <w:multiLevelType w:val="hybridMultilevel"/>
    <w:tmpl w:val="A1861B90"/>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111">
    <w:nsid w:val="56165B93"/>
    <w:multiLevelType w:val="hybridMultilevel"/>
    <w:tmpl w:val="10526002"/>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112">
    <w:nsid w:val="5644413C"/>
    <w:multiLevelType w:val="hybridMultilevel"/>
    <w:tmpl w:val="BC7C75CE"/>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113">
    <w:nsid w:val="5662251A"/>
    <w:multiLevelType w:val="hybridMultilevel"/>
    <w:tmpl w:val="09B6ECC8"/>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114">
    <w:nsid w:val="56900B9F"/>
    <w:multiLevelType w:val="multilevel"/>
    <w:tmpl w:val="F96671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15">
    <w:nsid w:val="56B5186F"/>
    <w:multiLevelType w:val="hybridMultilevel"/>
    <w:tmpl w:val="FDC64200"/>
    <w:lvl w:ilvl="0" w:tplc="0C0C000B">
      <w:start w:val="1"/>
      <w:numFmt w:val="bullet"/>
      <w:lvlText w:val=""/>
      <w:lvlJc w:val="left"/>
      <w:pPr>
        <w:ind w:left="720" w:hanging="360"/>
      </w:pPr>
      <w:rPr>
        <w:rFonts w:ascii="Wingdings" w:hAnsi="Wingdings" w:hint="default"/>
      </w:rPr>
    </w:lvl>
    <w:lvl w:ilvl="1" w:tplc="0C0C0003">
      <w:start w:val="1"/>
      <w:numFmt w:val="bullet"/>
      <w:lvlText w:val="o"/>
      <w:lvlJc w:val="left"/>
      <w:pPr>
        <w:ind w:left="1440" w:hanging="360"/>
      </w:pPr>
      <w:rPr>
        <w:rFonts w:ascii="Courier New" w:hAnsi="Courier New" w:cs="Courier New" w:hint="default"/>
      </w:rPr>
    </w:lvl>
    <w:lvl w:ilvl="2" w:tplc="0C0C0005">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116">
    <w:nsid w:val="56C34C03"/>
    <w:multiLevelType w:val="hybridMultilevel"/>
    <w:tmpl w:val="86EEFC90"/>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117">
    <w:nsid w:val="56D57789"/>
    <w:multiLevelType w:val="hybridMultilevel"/>
    <w:tmpl w:val="221E2118"/>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118">
    <w:nsid w:val="56F4201E"/>
    <w:multiLevelType w:val="hybridMultilevel"/>
    <w:tmpl w:val="AD46FDDC"/>
    <w:lvl w:ilvl="0" w:tplc="0C0C0001">
      <w:start w:val="1"/>
      <w:numFmt w:val="bullet"/>
      <w:lvlText w:val=""/>
      <w:lvlJc w:val="left"/>
      <w:pPr>
        <w:ind w:left="1080" w:hanging="360"/>
      </w:pPr>
      <w:rPr>
        <w:rFonts w:ascii="Symbol" w:hAnsi="Symbol" w:hint="default"/>
      </w:rPr>
    </w:lvl>
    <w:lvl w:ilvl="1" w:tplc="0C0C0003" w:tentative="1">
      <w:start w:val="1"/>
      <w:numFmt w:val="bullet"/>
      <w:lvlText w:val="o"/>
      <w:lvlJc w:val="left"/>
      <w:pPr>
        <w:ind w:left="1800" w:hanging="360"/>
      </w:pPr>
      <w:rPr>
        <w:rFonts w:ascii="Courier New" w:hAnsi="Courier New" w:cs="Courier New" w:hint="default"/>
      </w:rPr>
    </w:lvl>
    <w:lvl w:ilvl="2" w:tplc="0C0C0005" w:tentative="1">
      <w:start w:val="1"/>
      <w:numFmt w:val="bullet"/>
      <w:lvlText w:val=""/>
      <w:lvlJc w:val="left"/>
      <w:pPr>
        <w:ind w:left="2520" w:hanging="360"/>
      </w:pPr>
      <w:rPr>
        <w:rFonts w:ascii="Wingdings" w:hAnsi="Wingdings" w:hint="default"/>
      </w:rPr>
    </w:lvl>
    <w:lvl w:ilvl="3" w:tplc="0C0C0001" w:tentative="1">
      <w:start w:val="1"/>
      <w:numFmt w:val="bullet"/>
      <w:lvlText w:val=""/>
      <w:lvlJc w:val="left"/>
      <w:pPr>
        <w:ind w:left="3240" w:hanging="360"/>
      </w:pPr>
      <w:rPr>
        <w:rFonts w:ascii="Symbol" w:hAnsi="Symbol" w:hint="default"/>
      </w:rPr>
    </w:lvl>
    <w:lvl w:ilvl="4" w:tplc="0C0C0003" w:tentative="1">
      <w:start w:val="1"/>
      <w:numFmt w:val="bullet"/>
      <w:lvlText w:val="o"/>
      <w:lvlJc w:val="left"/>
      <w:pPr>
        <w:ind w:left="3960" w:hanging="360"/>
      </w:pPr>
      <w:rPr>
        <w:rFonts w:ascii="Courier New" w:hAnsi="Courier New" w:cs="Courier New" w:hint="default"/>
      </w:rPr>
    </w:lvl>
    <w:lvl w:ilvl="5" w:tplc="0C0C0005" w:tentative="1">
      <w:start w:val="1"/>
      <w:numFmt w:val="bullet"/>
      <w:lvlText w:val=""/>
      <w:lvlJc w:val="left"/>
      <w:pPr>
        <w:ind w:left="4680" w:hanging="360"/>
      </w:pPr>
      <w:rPr>
        <w:rFonts w:ascii="Wingdings" w:hAnsi="Wingdings" w:hint="default"/>
      </w:rPr>
    </w:lvl>
    <w:lvl w:ilvl="6" w:tplc="0C0C0001" w:tentative="1">
      <w:start w:val="1"/>
      <w:numFmt w:val="bullet"/>
      <w:lvlText w:val=""/>
      <w:lvlJc w:val="left"/>
      <w:pPr>
        <w:ind w:left="5400" w:hanging="360"/>
      </w:pPr>
      <w:rPr>
        <w:rFonts w:ascii="Symbol" w:hAnsi="Symbol" w:hint="default"/>
      </w:rPr>
    </w:lvl>
    <w:lvl w:ilvl="7" w:tplc="0C0C0003" w:tentative="1">
      <w:start w:val="1"/>
      <w:numFmt w:val="bullet"/>
      <w:lvlText w:val="o"/>
      <w:lvlJc w:val="left"/>
      <w:pPr>
        <w:ind w:left="6120" w:hanging="360"/>
      </w:pPr>
      <w:rPr>
        <w:rFonts w:ascii="Courier New" w:hAnsi="Courier New" w:cs="Courier New" w:hint="default"/>
      </w:rPr>
    </w:lvl>
    <w:lvl w:ilvl="8" w:tplc="0C0C0005" w:tentative="1">
      <w:start w:val="1"/>
      <w:numFmt w:val="bullet"/>
      <w:lvlText w:val=""/>
      <w:lvlJc w:val="left"/>
      <w:pPr>
        <w:ind w:left="6840" w:hanging="360"/>
      </w:pPr>
      <w:rPr>
        <w:rFonts w:ascii="Wingdings" w:hAnsi="Wingdings" w:hint="default"/>
      </w:rPr>
    </w:lvl>
  </w:abstractNum>
  <w:abstractNum w:abstractNumId="1119">
    <w:nsid w:val="57017788"/>
    <w:multiLevelType w:val="hybridMultilevel"/>
    <w:tmpl w:val="F82AE934"/>
    <w:lvl w:ilvl="0" w:tplc="0C0C000B">
      <w:start w:val="1"/>
      <w:numFmt w:val="bullet"/>
      <w:lvlText w:val=""/>
      <w:lvlJc w:val="left"/>
      <w:pPr>
        <w:ind w:left="720" w:hanging="360"/>
      </w:pPr>
      <w:rPr>
        <w:rFonts w:ascii="Wingdings" w:hAnsi="Wingdings" w:hint="default"/>
      </w:rPr>
    </w:lvl>
    <w:lvl w:ilvl="1" w:tplc="0C0C0003">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120">
    <w:nsid w:val="57081C25"/>
    <w:multiLevelType w:val="hybridMultilevel"/>
    <w:tmpl w:val="B69899D2"/>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121">
    <w:nsid w:val="57092E5A"/>
    <w:multiLevelType w:val="hybridMultilevel"/>
    <w:tmpl w:val="FCD8895C"/>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122">
    <w:nsid w:val="573C51CC"/>
    <w:multiLevelType w:val="hybridMultilevel"/>
    <w:tmpl w:val="945616A2"/>
    <w:lvl w:ilvl="0" w:tplc="0C0C0005">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123">
    <w:nsid w:val="574071DB"/>
    <w:multiLevelType w:val="hybridMultilevel"/>
    <w:tmpl w:val="6E729606"/>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124">
    <w:nsid w:val="574A6961"/>
    <w:multiLevelType w:val="hybridMultilevel"/>
    <w:tmpl w:val="161A4FBA"/>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125">
    <w:nsid w:val="577E3C2D"/>
    <w:multiLevelType w:val="hybridMultilevel"/>
    <w:tmpl w:val="817E2FF2"/>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126">
    <w:nsid w:val="579410AA"/>
    <w:multiLevelType w:val="hybridMultilevel"/>
    <w:tmpl w:val="1FD45C84"/>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127">
    <w:nsid w:val="57A52A19"/>
    <w:multiLevelType w:val="multilevel"/>
    <w:tmpl w:val="86AAC11E"/>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28">
    <w:nsid w:val="57AA5F39"/>
    <w:multiLevelType w:val="hybridMultilevel"/>
    <w:tmpl w:val="A4A855FA"/>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129">
    <w:nsid w:val="57CF62EC"/>
    <w:multiLevelType w:val="hybridMultilevel"/>
    <w:tmpl w:val="7526BEC6"/>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130">
    <w:nsid w:val="57F111DA"/>
    <w:multiLevelType w:val="hybridMultilevel"/>
    <w:tmpl w:val="D10E888E"/>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131">
    <w:nsid w:val="57F33AF8"/>
    <w:multiLevelType w:val="hybridMultilevel"/>
    <w:tmpl w:val="13E8277C"/>
    <w:lvl w:ilvl="0" w:tplc="0C0C0003">
      <w:start w:val="1"/>
      <w:numFmt w:val="bullet"/>
      <w:lvlText w:val="o"/>
      <w:lvlJc w:val="left"/>
      <w:pPr>
        <w:ind w:left="1428" w:hanging="360"/>
      </w:pPr>
      <w:rPr>
        <w:rFonts w:ascii="Courier New" w:hAnsi="Courier New" w:cs="Courier New" w:hint="default"/>
      </w:rPr>
    </w:lvl>
    <w:lvl w:ilvl="1" w:tplc="0C0C0003" w:tentative="1">
      <w:start w:val="1"/>
      <w:numFmt w:val="bullet"/>
      <w:lvlText w:val="o"/>
      <w:lvlJc w:val="left"/>
      <w:pPr>
        <w:ind w:left="2148" w:hanging="360"/>
      </w:pPr>
      <w:rPr>
        <w:rFonts w:ascii="Courier New" w:hAnsi="Courier New" w:cs="Courier New" w:hint="default"/>
      </w:rPr>
    </w:lvl>
    <w:lvl w:ilvl="2" w:tplc="0C0C0005" w:tentative="1">
      <w:start w:val="1"/>
      <w:numFmt w:val="bullet"/>
      <w:lvlText w:val=""/>
      <w:lvlJc w:val="left"/>
      <w:pPr>
        <w:ind w:left="2868" w:hanging="360"/>
      </w:pPr>
      <w:rPr>
        <w:rFonts w:ascii="Wingdings" w:hAnsi="Wingdings" w:hint="default"/>
      </w:rPr>
    </w:lvl>
    <w:lvl w:ilvl="3" w:tplc="0C0C0001" w:tentative="1">
      <w:start w:val="1"/>
      <w:numFmt w:val="bullet"/>
      <w:lvlText w:val=""/>
      <w:lvlJc w:val="left"/>
      <w:pPr>
        <w:ind w:left="3588" w:hanging="360"/>
      </w:pPr>
      <w:rPr>
        <w:rFonts w:ascii="Symbol" w:hAnsi="Symbol" w:hint="default"/>
      </w:rPr>
    </w:lvl>
    <w:lvl w:ilvl="4" w:tplc="0C0C0003" w:tentative="1">
      <w:start w:val="1"/>
      <w:numFmt w:val="bullet"/>
      <w:lvlText w:val="o"/>
      <w:lvlJc w:val="left"/>
      <w:pPr>
        <w:ind w:left="4308" w:hanging="360"/>
      </w:pPr>
      <w:rPr>
        <w:rFonts w:ascii="Courier New" w:hAnsi="Courier New" w:cs="Courier New" w:hint="default"/>
      </w:rPr>
    </w:lvl>
    <w:lvl w:ilvl="5" w:tplc="0C0C0005" w:tentative="1">
      <w:start w:val="1"/>
      <w:numFmt w:val="bullet"/>
      <w:lvlText w:val=""/>
      <w:lvlJc w:val="left"/>
      <w:pPr>
        <w:ind w:left="5028" w:hanging="360"/>
      </w:pPr>
      <w:rPr>
        <w:rFonts w:ascii="Wingdings" w:hAnsi="Wingdings" w:hint="default"/>
      </w:rPr>
    </w:lvl>
    <w:lvl w:ilvl="6" w:tplc="0C0C0001" w:tentative="1">
      <w:start w:val="1"/>
      <w:numFmt w:val="bullet"/>
      <w:lvlText w:val=""/>
      <w:lvlJc w:val="left"/>
      <w:pPr>
        <w:ind w:left="5748" w:hanging="360"/>
      </w:pPr>
      <w:rPr>
        <w:rFonts w:ascii="Symbol" w:hAnsi="Symbol" w:hint="default"/>
      </w:rPr>
    </w:lvl>
    <w:lvl w:ilvl="7" w:tplc="0C0C0003" w:tentative="1">
      <w:start w:val="1"/>
      <w:numFmt w:val="bullet"/>
      <w:lvlText w:val="o"/>
      <w:lvlJc w:val="left"/>
      <w:pPr>
        <w:ind w:left="6468" w:hanging="360"/>
      </w:pPr>
      <w:rPr>
        <w:rFonts w:ascii="Courier New" w:hAnsi="Courier New" w:cs="Courier New" w:hint="default"/>
      </w:rPr>
    </w:lvl>
    <w:lvl w:ilvl="8" w:tplc="0C0C0005" w:tentative="1">
      <w:start w:val="1"/>
      <w:numFmt w:val="bullet"/>
      <w:lvlText w:val=""/>
      <w:lvlJc w:val="left"/>
      <w:pPr>
        <w:ind w:left="7188" w:hanging="360"/>
      </w:pPr>
      <w:rPr>
        <w:rFonts w:ascii="Wingdings" w:hAnsi="Wingdings" w:hint="default"/>
      </w:rPr>
    </w:lvl>
  </w:abstractNum>
  <w:abstractNum w:abstractNumId="1132">
    <w:nsid w:val="57FD507B"/>
    <w:multiLevelType w:val="hybridMultilevel"/>
    <w:tmpl w:val="8AE84732"/>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133">
    <w:nsid w:val="58114F0C"/>
    <w:multiLevelType w:val="hybridMultilevel"/>
    <w:tmpl w:val="A2343C3A"/>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134">
    <w:nsid w:val="581A2DCC"/>
    <w:multiLevelType w:val="hybridMultilevel"/>
    <w:tmpl w:val="4DA4F766"/>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135">
    <w:nsid w:val="58284A3F"/>
    <w:multiLevelType w:val="multilevel"/>
    <w:tmpl w:val="13527D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36">
    <w:nsid w:val="582B3AA1"/>
    <w:multiLevelType w:val="multilevel"/>
    <w:tmpl w:val="CBB6A26E"/>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37">
    <w:nsid w:val="5859118D"/>
    <w:multiLevelType w:val="hybridMultilevel"/>
    <w:tmpl w:val="02745BDA"/>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138">
    <w:nsid w:val="587432D0"/>
    <w:multiLevelType w:val="hybridMultilevel"/>
    <w:tmpl w:val="0D54D5C0"/>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139">
    <w:nsid w:val="587D6BAE"/>
    <w:multiLevelType w:val="hybridMultilevel"/>
    <w:tmpl w:val="6860B0E0"/>
    <w:lvl w:ilvl="0" w:tplc="0C0C0005">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140">
    <w:nsid w:val="587F58A7"/>
    <w:multiLevelType w:val="hybridMultilevel"/>
    <w:tmpl w:val="9274D468"/>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141">
    <w:nsid w:val="58A32F19"/>
    <w:multiLevelType w:val="hybridMultilevel"/>
    <w:tmpl w:val="FD94D376"/>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142">
    <w:nsid w:val="58C82CC2"/>
    <w:multiLevelType w:val="hybridMultilevel"/>
    <w:tmpl w:val="71FAE1E0"/>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143">
    <w:nsid w:val="59030800"/>
    <w:multiLevelType w:val="hybridMultilevel"/>
    <w:tmpl w:val="1724FED2"/>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144">
    <w:nsid w:val="59210320"/>
    <w:multiLevelType w:val="multilevel"/>
    <w:tmpl w:val="278EFA3C"/>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145">
    <w:nsid w:val="592D5022"/>
    <w:multiLevelType w:val="hybridMultilevel"/>
    <w:tmpl w:val="56B48C1C"/>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146">
    <w:nsid w:val="593762E0"/>
    <w:multiLevelType w:val="hybridMultilevel"/>
    <w:tmpl w:val="E3364D4E"/>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147">
    <w:nsid w:val="598923E5"/>
    <w:multiLevelType w:val="hybridMultilevel"/>
    <w:tmpl w:val="9FEC9F62"/>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148">
    <w:nsid w:val="59A439AD"/>
    <w:multiLevelType w:val="hybridMultilevel"/>
    <w:tmpl w:val="D82815A6"/>
    <w:lvl w:ilvl="0" w:tplc="70284D7A">
      <w:start w:val="7"/>
      <w:numFmt w:val="upperLetter"/>
      <w:lvlText w:val="%1."/>
      <w:lvlJc w:val="left"/>
      <w:pPr>
        <w:ind w:left="720" w:hanging="360"/>
      </w:pPr>
      <w:rPr>
        <w:rFonts w:hint="default"/>
      </w:r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1149">
    <w:nsid w:val="59B40AD7"/>
    <w:multiLevelType w:val="hybridMultilevel"/>
    <w:tmpl w:val="06EA852C"/>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150">
    <w:nsid w:val="59C36378"/>
    <w:multiLevelType w:val="hybridMultilevel"/>
    <w:tmpl w:val="85BA9BCE"/>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151">
    <w:nsid w:val="59D047AB"/>
    <w:multiLevelType w:val="hybridMultilevel"/>
    <w:tmpl w:val="442A752E"/>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152">
    <w:nsid w:val="59F3076E"/>
    <w:multiLevelType w:val="hybridMultilevel"/>
    <w:tmpl w:val="8C4E1A44"/>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153">
    <w:nsid w:val="59F717E8"/>
    <w:multiLevelType w:val="hybridMultilevel"/>
    <w:tmpl w:val="B018F9FA"/>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154">
    <w:nsid w:val="5A261FA6"/>
    <w:multiLevelType w:val="hybridMultilevel"/>
    <w:tmpl w:val="C152205C"/>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155">
    <w:nsid w:val="5A2912B4"/>
    <w:multiLevelType w:val="hybridMultilevel"/>
    <w:tmpl w:val="4F061C9C"/>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156">
    <w:nsid w:val="5A291AC8"/>
    <w:multiLevelType w:val="hybridMultilevel"/>
    <w:tmpl w:val="5662668C"/>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157">
    <w:nsid w:val="5A374549"/>
    <w:multiLevelType w:val="hybridMultilevel"/>
    <w:tmpl w:val="8564C6E2"/>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158">
    <w:nsid w:val="5A553F63"/>
    <w:multiLevelType w:val="hybridMultilevel"/>
    <w:tmpl w:val="081ED31C"/>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159">
    <w:nsid w:val="5A5E0EF8"/>
    <w:multiLevelType w:val="hybridMultilevel"/>
    <w:tmpl w:val="CF78D936"/>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160">
    <w:nsid w:val="5A6D4EBA"/>
    <w:multiLevelType w:val="hybridMultilevel"/>
    <w:tmpl w:val="D700C5E2"/>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161">
    <w:nsid w:val="5A844177"/>
    <w:multiLevelType w:val="hybridMultilevel"/>
    <w:tmpl w:val="828A8756"/>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162">
    <w:nsid w:val="5AA24E41"/>
    <w:multiLevelType w:val="hybridMultilevel"/>
    <w:tmpl w:val="980A30CA"/>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163">
    <w:nsid w:val="5AA534B3"/>
    <w:multiLevelType w:val="multilevel"/>
    <w:tmpl w:val="F2BE1D5E"/>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64">
    <w:nsid w:val="5AB76C43"/>
    <w:multiLevelType w:val="hybridMultilevel"/>
    <w:tmpl w:val="3B78C6C2"/>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165">
    <w:nsid w:val="5AC04EA8"/>
    <w:multiLevelType w:val="hybridMultilevel"/>
    <w:tmpl w:val="95985BAE"/>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166">
    <w:nsid w:val="5AE9705B"/>
    <w:multiLevelType w:val="hybridMultilevel"/>
    <w:tmpl w:val="35D48B82"/>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167">
    <w:nsid w:val="5AEA0281"/>
    <w:multiLevelType w:val="hybridMultilevel"/>
    <w:tmpl w:val="58868D42"/>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168">
    <w:nsid w:val="5B0226E4"/>
    <w:multiLevelType w:val="hybridMultilevel"/>
    <w:tmpl w:val="80D269D8"/>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169">
    <w:nsid w:val="5B1B6661"/>
    <w:multiLevelType w:val="hybridMultilevel"/>
    <w:tmpl w:val="BCB01EDE"/>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170">
    <w:nsid w:val="5B2561CD"/>
    <w:multiLevelType w:val="hybridMultilevel"/>
    <w:tmpl w:val="840E6ED6"/>
    <w:lvl w:ilvl="0" w:tplc="0C0C0003">
      <w:start w:val="1"/>
      <w:numFmt w:val="bullet"/>
      <w:lvlText w:val="o"/>
      <w:lvlJc w:val="left"/>
      <w:pPr>
        <w:ind w:left="720" w:hanging="360"/>
      </w:pPr>
      <w:rPr>
        <w:rFonts w:ascii="Courier New" w:hAnsi="Courier New" w:cs="Courier New" w:hint="default"/>
      </w:rPr>
    </w:lvl>
    <w:lvl w:ilvl="1" w:tplc="0C0C0003">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171">
    <w:nsid w:val="5B267F95"/>
    <w:multiLevelType w:val="hybridMultilevel"/>
    <w:tmpl w:val="7BBA29E2"/>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172">
    <w:nsid w:val="5B2B3C6C"/>
    <w:multiLevelType w:val="hybridMultilevel"/>
    <w:tmpl w:val="928C8D5A"/>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173">
    <w:nsid w:val="5B4938D3"/>
    <w:multiLevelType w:val="hybridMultilevel"/>
    <w:tmpl w:val="6CEC1C94"/>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174">
    <w:nsid w:val="5B6B4E9B"/>
    <w:multiLevelType w:val="hybridMultilevel"/>
    <w:tmpl w:val="D1A40102"/>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175">
    <w:nsid w:val="5B6B5DAD"/>
    <w:multiLevelType w:val="hybridMultilevel"/>
    <w:tmpl w:val="1166EC18"/>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176">
    <w:nsid w:val="5B767575"/>
    <w:multiLevelType w:val="hybridMultilevel"/>
    <w:tmpl w:val="AAC82412"/>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177">
    <w:nsid w:val="5B825692"/>
    <w:multiLevelType w:val="hybridMultilevel"/>
    <w:tmpl w:val="C936BB70"/>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178">
    <w:nsid w:val="5BA51D67"/>
    <w:multiLevelType w:val="hybridMultilevel"/>
    <w:tmpl w:val="530C5312"/>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179">
    <w:nsid w:val="5BB61083"/>
    <w:multiLevelType w:val="hybridMultilevel"/>
    <w:tmpl w:val="6CA2DF0A"/>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180">
    <w:nsid w:val="5BDB19E7"/>
    <w:multiLevelType w:val="hybridMultilevel"/>
    <w:tmpl w:val="C492CFDC"/>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181">
    <w:nsid w:val="5BEB1872"/>
    <w:multiLevelType w:val="hybridMultilevel"/>
    <w:tmpl w:val="30C0ACF8"/>
    <w:lvl w:ilvl="0" w:tplc="0C0C0005">
      <w:start w:val="1"/>
      <w:numFmt w:val="bullet"/>
      <w:lvlText w:val=""/>
      <w:lvlJc w:val="left"/>
      <w:pPr>
        <w:ind w:left="360" w:hanging="360"/>
      </w:pPr>
      <w:rPr>
        <w:rFonts w:ascii="Wingdings" w:hAnsi="Wingdings" w:hint="default"/>
      </w:rPr>
    </w:lvl>
    <w:lvl w:ilvl="1" w:tplc="0C0C0005">
      <w:start w:val="1"/>
      <w:numFmt w:val="bullet"/>
      <w:lvlText w:val=""/>
      <w:lvlJc w:val="left"/>
      <w:pPr>
        <w:ind w:left="1080" w:hanging="360"/>
      </w:pPr>
      <w:rPr>
        <w:rFonts w:ascii="Wingdings" w:hAnsi="Wingdings" w:hint="default"/>
      </w:rPr>
    </w:lvl>
    <w:lvl w:ilvl="2" w:tplc="0C0C0005">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182">
    <w:nsid w:val="5C284122"/>
    <w:multiLevelType w:val="hybridMultilevel"/>
    <w:tmpl w:val="96D4DA76"/>
    <w:lvl w:ilvl="0" w:tplc="0C0C000B">
      <w:start w:val="1"/>
      <w:numFmt w:val="bullet"/>
      <w:lvlText w:val=""/>
      <w:lvlJc w:val="left"/>
      <w:pPr>
        <w:ind w:left="720" w:hanging="360"/>
      </w:pPr>
      <w:rPr>
        <w:rFonts w:ascii="Wingdings" w:hAnsi="Wingdings" w:hint="default"/>
      </w:rPr>
    </w:lvl>
    <w:lvl w:ilvl="1" w:tplc="0C0C0003">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183">
    <w:nsid w:val="5C4E64ED"/>
    <w:multiLevelType w:val="hybridMultilevel"/>
    <w:tmpl w:val="4C4EE55E"/>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184">
    <w:nsid w:val="5C5D26F8"/>
    <w:multiLevelType w:val="hybridMultilevel"/>
    <w:tmpl w:val="428A0F2E"/>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185">
    <w:nsid w:val="5C6272C3"/>
    <w:multiLevelType w:val="hybridMultilevel"/>
    <w:tmpl w:val="C4465056"/>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186">
    <w:nsid w:val="5C766F62"/>
    <w:multiLevelType w:val="hybridMultilevel"/>
    <w:tmpl w:val="E0FA6262"/>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187">
    <w:nsid w:val="5C7A002F"/>
    <w:multiLevelType w:val="hybridMultilevel"/>
    <w:tmpl w:val="9036012E"/>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188">
    <w:nsid w:val="5C9B78B5"/>
    <w:multiLevelType w:val="hybridMultilevel"/>
    <w:tmpl w:val="1E2A7C52"/>
    <w:lvl w:ilvl="0" w:tplc="0C0C0009">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189">
    <w:nsid w:val="5CDF19F3"/>
    <w:multiLevelType w:val="hybridMultilevel"/>
    <w:tmpl w:val="8E9A1F70"/>
    <w:lvl w:ilvl="0" w:tplc="0C0C0009">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190">
    <w:nsid w:val="5D0B27F9"/>
    <w:multiLevelType w:val="hybridMultilevel"/>
    <w:tmpl w:val="46F48F34"/>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191">
    <w:nsid w:val="5D1948D2"/>
    <w:multiLevelType w:val="hybridMultilevel"/>
    <w:tmpl w:val="D7DA67A0"/>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192">
    <w:nsid w:val="5D2D5D69"/>
    <w:multiLevelType w:val="hybridMultilevel"/>
    <w:tmpl w:val="94E48C8C"/>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193">
    <w:nsid w:val="5D461A56"/>
    <w:multiLevelType w:val="hybridMultilevel"/>
    <w:tmpl w:val="254AFDB0"/>
    <w:lvl w:ilvl="0" w:tplc="0C0C000B">
      <w:start w:val="1"/>
      <w:numFmt w:val="bullet"/>
      <w:lvlText w:val=""/>
      <w:lvlJc w:val="left"/>
      <w:pPr>
        <w:ind w:left="720" w:hanging="360"/>
      </w:pPr>
      <w:rPr>
        <w:rFonts w:ascii="Wingdings" w:hAnsi="Wingdings" w:hint="default"/>
      </w:rPr>
    </w:lvl>
    <w:lvl w:ilvl="1" w:tplc="0C0C0003">
      <w:start w:val="1"/>
      <w:numFmt w:val="bullet"/>
      <w:lvlText w:val="o"/>
      <w:lvlJc w:val="left"/>
      <w:pPr>
        <w:ind w:left="1440" w:hanging="360"/>
      </w:pPr>
      <w:rPr>
        <w:rFonts w:ascii="Courier New" w:hAnsi="Courier New" w:cs="Courier New" w:hint="default"/>
      </w:rPr>
    </w:lvl>
    <w:lvl w:ilvl="2" w:tplc="0C0C0005">
      <w:start w:val="1"/>
      <w:numFmt w:val="bullet"/>
      <w:lvlText w:val=""/>
      <w:lvlJc w:val="left"/>
      <w:pPr>
        <w:ind w:left="2160" w:hanging="360"/>
      </w:pPr>
      <w:rPr>
        <w:rFonts w:ascii="Wingdings" w:hAnsi="Wingdings" w:hint="default"/>
      </w:rPr>
    </w:lvl>
    <w:lvl w:ilvl="3" w:tplc="0C0C000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194">
    <w:nsid w:val="5D4A2914"/>
    <w:multiLevelType w:val="hybridMultilevel"/>
    <w:tmpl w:val="1DD6124C"/>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195">
    <w:nsid w:val="5D67019E"/>
    <w:multiLevelType w:val="multilevel"/>
    <w:tmpl w:val="8DC07B0E"/>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96">
    <w:nsid w:val="5D6E1F55"/>
    <w:multiLevelType w:val="hybridMultilevel"/>
    <w:tmpl w:val="7D8E4F78"/>
    <w:lvl w:ilvl="0" w:tplc="0C0C000B">
      <w:start w:val="1"/>
      <w:numFmt w:val="bullet"/>
      <w:lvlText w:val=""/>
      <w:lvlJc w:val="left"/>
      <w:pPr>
        <w:ind w:left="720" w:hanging="360"/>
      </w:pPr>
      <w:rPr>
        <w:rFonts w:ascii="Wingdings" w:hAnsi="Wingdings" w:hint="default"/>
      </w:rPr>
    </w:lvl>
    <w:lvl w:ilvl="1" w:tplc="0C0C0003">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197">
    <w:nsid w:val="5D7C3AC7"/>
    <w:multiLevelType w:val="hybridMultilevel"/>
    <w:tmpl w:val="247C2C0A"/>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198">
    <w:nsid w:val="5D916053"/>
    <w:multiLevelType w:val="hybridMultilevel"/>
    <w:tmpl w:val="3EBC353C"/>
    <w:lvl w:ilvl="0" w:tplc="0C0C0001">
      <w:start w:val="1"/>
      <w:numFmt w:val="bullet"/>
      <w:lvlText w:val=""/>
      <w:lvlJc w:val="left"/>
      <w:pPr>
        <w:ind w:left="720" w:hanging="360"/>
      </w:pPr>
      <w:rPr>
        <w:rFonts w:ascii="Symbol" w:hAnsi="Symbol" w:hint="default"/>
      </w:rPr>
    </w:lvl>
    <w:lvl w:ilvl="1" w:tplc="0C0C0003">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199">
    <w:nsid w:val="5D9319AA"/>
    <w:multiLevelType w:val="hybridMultilevel"/>
    <w:tmpl w:val="8DAC8E5C"/>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200">
    <w:nsid w:val="5DAD6FCA"/>
    <w:multiLevelType w:val="hybridMultilevel"/>
    <w:tmpl w:val="50B0D26C"/>
    <w:lvl w:ilvl="0" w:tplc="0C0C0009">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201">
    <w:nsid w:val="5DC22C8C"/>
    <w:multiLevelType w:val="hybridMultilevel"/>
    <w:tmpl w:val="83A6EA3A"/>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202">
    <w:nsid w:val="5E2E5C21"/>
    <w:multiLevelType w:val="hybridMultilevel"/>
    <w:tmpl w:val="A50670BA"/>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203">
    <w:nsid w:val="5E4012EB"/>
    <w:multiLevelType w:val="hybridMultilevel"/>
    <w:tmpl w:val="F1CEFBBE"/>
    <w:lvl w:ilvl="0" w:tplc="0C0C0009">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204">
    <w:nsid w:val="5E4E26E2"/>
    <w:multiLevelType w:val="hybridMultilevel"/>
    <w:tmpl w:val="B18822FE"/>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205">
    <w:nsid w:val="5E523A79"/>
    <w:multiLevelType w:val="hybridMultilevel"/>
    <w:tmpl w:val="C27A58C0"/>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206">
    <w:nsid w:val="5E620DD2"/>
    <w:multiLevelType w:val="hybridMultilevel"/>
    <w:tmpl w:val="A2646D44"/>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207">
    <w:nsid w:val="5E9F4DBD"/>
    <w:multiLevelType w:val="hybridMultilevel"/>
    <w:tmpl w:val="30B27EDE"/>
    <w:lvl w:ilvl="0" w:tplc="0C0C0015">
      <w:start w:val="1"/>
      <w:numFmt w:val="upperLetter"/>
      <w:lvlText w:val="%1."/>
      <w:lvlJc w:val="left"/>
      <w:pPr>
        <w:ind w:left="1068" w:hanging="360"/>
      </w:pPr>
    </w:lvl>
    <w:lvl w:ilvl="1" w:tplc="0C0C0019" w:tentative="1">
      <w:start w:val="1"/>
      <w:numFmt w:val="lowerLetter"/>
      <w:lvlText w:val="%2."/>
      <w:lvlJc w:val="left"/>
      <w:pPr>
        <w:ind w:left="1788" w:hanging="360"/>
      </w:pPr>
    </w:lvl>
    <w:lvl w:ilvl="2" w:tplc="0C0C001B" w:tentative="1">
      <w:start w:val="1"/>
      <w:numFmt w:val="lowerRoman"/>
      <w:lvlText w:val="%3."/>
      <w:lvlJc w:val="right"/>
      <w:pPr>
        <w:ind w:left="2508" w:hanging="180"/>
      </w:pPr>
    </w:lvl>
    <w:lvl w:ilvl="3" w:tplc="0C0C000F" w:tentative="1">
      <w:start w:val="1"/>
      <w:numFmt w:val="decimal"/>
      <w:lvlText w:val="%4."/>
      <w:lvlJc w:val="left"/>
      <w:pPr>
        <w:ind w:left="3228" w:hanging="360"/>
      </w:pPr>
    </w:lvl>
    <w:lvl w:ilvl="4" w:tplc="0C0C0019" w:tentative="1">
      <w:start w:val="1"/>
      <w:numFmt w:val="lowerLetter"/>
      <w:lvlText w:val="%5."/>
      <w:lvlJc w:val="left"/>
      <w:pPr>
        <w:ind w:left="3948" w:hanging="360"/>
      </w:pPr>
    </w:lvl>
    <w:lvl w:ilvl="5" w:tplc="0C0C001B" w:tentative="1">
      <w:start w:val="1"/>
      <w:numFmt w:val="lowerRoman"/>
      <w:lvlText w:val="%6."/>
      <w:lvlJc w:val="right"/>
      <w:pPr>
        <w:ind w:left="4668" w:hanging="180"/>
      </w:pPr>
    </w:lvl>
    <w:lvl w:ilvl="6" w:tplc="0C0C000F" w:tentative="1">
      <w:start w:val="1"/>
      <w:numFmt w:val="decimal"/>
      <w:lvlText w:val="%7."/>
      <w:lvlJc w:val="left"/>
      <w:pPr>
        <w:ind w:left="5388" w:hanging="360"/>
      </w:pPr>
    </w:lvl>
    <w:lvl w:ilvl="7" w:tplc="0C0C0019" w:tentative="1">
      <w:start w:val="1"/>
      <w:numFmt w:val="lowerLetter"/>
      <w:lvlText w:val="%8."/>
      <w:lvlJc w:val="left"/>
      <w:pPr>
        <w:ind w:left="6108" w:hanging="360"/>
      </w:pPr>
    </w:lvl>
    <w:lvl w:ilvl="8" w:tplc="0C0C001B" w:tentative="1">
      <w:start w:val="1"/>
      <w:numFmt w:val="lowerRoman"/>
      <w:lvlText w:val="%9."/>
      <w:lvlJc w:val="right"/>
      <w:pPr>
        <w:ind w:left="6828" w:hanging="180"/>
      </w:pPr>
    </w:lvl>
  </w:abstractNum>
  <w:abstractNum w:abstractNumId="1208">
    <w:nsid w:val="5EEF52DD"/>
    <w:multiLevelType w:val="hybridMultilevel"/>
    <w:tmpl w:val="3AC2A214"/>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209">
    <w:nsid w:val="5EFB10E5"/>
    <w:multiLevelType w:val="hybridMultilevel"/>
    <w:tmpl w:val="C0A0414A"/>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210">
    <w:nsid w:val="5F080849"/>
    <w:multiLevelType w:val="multilevel"/>
    <w:tmpl w:val="233E423A"/>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11">
    <w:nsid w:val="5F0B6DC1"/>
    <w:multiLevelType w:val="hybridMultilevel"/>
    <w:tmpl w:val="85A45C02"/>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212">
    <w:nsid w:val="5F243FAF"/>
    <w:multiLevelType w:val="hybridMultilevel"/>
    <w:tmpl w:val="B0E84AC6"/>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213">
    <w:nsid w:val="5F28564C"/>
    <w:multiLevelType w:val="hybridMultilevel"/>
    <w:tmpl w:val="F32C8B4A"/>
    <w:lvl w:ilvl="0" w:tplc="0C0C0009">
      <w:start w:val="1"/>
      <w:numFmt w:val="bullet"/>
      <w:lvlText w:val=""/>
      <w:lvlJc w:val="left"/>
      <w:pPr>
        <w:ind w:left="1068" w:hanging="360"/>
      </w:pPr>
      <w:rPr>
        <w:rFonts w:ascii="Wingdings" w:hAnsi="Wingdings" w:hint="default"/>
      </w:rPr>
    </w:lvl>
    <w:lvl w:ilvl="1" w:tplc="0C0C0003" w:tentative="1">
      <w:start w:val="1"/>
      <w:numFmt w:val="bullet"/>
      <w:lvlText w:val="o"/>
      <w:lvlJc w:val="left"/>
      <w:pPr>
        <w:ind w:left="1788" w:hanging="360"/>
      </w:pPr>
      <w:rPr>
        <w:rFonts w:ascii="Courier New" w:hAnsi="Courier New" w:cs="Courier New" w:hint="default"/>
      </w:rPr>
    </w:lvl>
    <w:lvl w:ilvl="2" w:tplc="0C0C0005" w:tentative="1">
      <w:start w:val="1"/>
      <w:numFmt w:val="bullet"/>
      <w:lvlText w:val=""/>
      <w:lvlJc w:val="left"/>
      <w:pPr>
        <w:ind w:left="2508" w:hanging="360"/>
      </w:pPr>
      <w:rPr>
        <w:rFonts w:ascii="Wingdings" w:hAnsi="Wingdings" w:hint="default"/>
      </w:rPr>
    </w:lvl>
    <w:lvl w:ilvl="3" w:tplc="0C0C0001" w:tentative="1">
      <w:start w:val="1"/>
      <w:numFmt w:val="bullet"/>
      <w:lvlText w:val=""/>
      <w:lvlJc w:val="left"/>
      <w:pPr>
        <w:ind w:left="3228" w:hanging="360"/>
      </w:pPr>
      <w:rPr>
        <w:rFonts w:ascii="Symbol" w:hAnsi="Symbol" w:hint="default"/>
      </w:rPr>
    </w:lvl>
    <w:lvl w:ilvl="4" w:tplc="0C0C0003" w:tentative="1">
      <w:start w:val="1"/>
      <w:numFmt w:val="bullet"/>
      <w:lvlText w:val="o"/>
      <w:lvlJc w:val="left"/>
      <w:pPr>
        <w:ind w:left="3948" w:hanging="360"/>
      </w:pPr>
      <w:rPr>
        <w:rFonts w:ascii="Courier New" w:hAnsi="Courier New" w:cs="Courier New" w:hint="default"/>
      </w:rPr>
    </w:lvl>
    <w:lvl w:ilvl="5" w:tplc="0C0C0005" w:tentative="1">
      <w:start w:val="1"/>
      <w:numFmt w:val="bullet"/>
      <w:lvlText w:val=""/>
      <w:lvlJc w:val="left"/>
      <w:pPr>
        <w:ind w:left="4668" w:hanging="360"/>
      </w:pPr>
      <w:rPr>
        <w:rFonts w:ascii="Wingdings" w:hAnsi="Wingdings" w:hint="default"/>
      </w:rPr>
    </w:lvl>
    <w:lvl w:ilvl="6" w:tplc="0C0C0001" w:tentative="1">
      <w:start w:val="1"/>
      <w:numFmt w:val="bullet"/>
      <w:lvlText w:val=""/>
      <w:lvlJc w:val="left"/>
      <w:pPr>
        <w:ind w:left="5388" w:hanging="360"/>
      </w:pPr>
      <w:rPr>
        <w:rFonts w:ascii="Symbol" w:hAnsi="Symbol" w:hint="default"/>
      </w:rPr>
    </w:lvl>
    <w:lvl w:ilvl="7" w:tplc="0C0C0003" w:tentative="1">
      <w:start w:val="1"/>
      <w:numFmt w:val="bullet"/>
      <w:lvlText w:val="o"/>
      <w:lvlJc w:val="left"/>
      <w:pPr>
        <w:ind w:left="6108" w:hanging="360"/>
      </w:pPr>
      <w:rPr>
        <w:rFonts w:ascii="Courier New" w:hAnsi="Courier New" w:cs="Courier New" w:hint="default"/>
      </w:rPr>
    </w:lvl>
    <w:lvl w:ilvl="8" w:tplc="0C0C0005" w:tentative="1">
      <w:start w:val="1"/>
      <w:numFmt w:val="bullet"/>
      <w:lvlText w:val=""/>
      <w:lvlJc w:val="left"/>
      <w:pPr>
        <w:ind w:left="6828" w:hanging="360"/>
      </w:pPr>
      <w:rPr>
        <w:rFonts w:ascii="Wingdings" w:hAnsi="Wingdings" w:hint="default"/>
      </w:rPr>
    </w:lvl>
  </w:abstractNum>
  <w:abstractNum w:abstractNumId="1214">
    <w:nsid w:val="5F2A13F6"/>
    <w:multiLevelType w:val="multilevel"/>
    <w:tmpl w:val="145C63D4"/>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15">
    <w:nsid w:val="5F4E0B07"/>
    <w:multiLevelType w:val="hybridMultilevel"/>
    <w:tmpl w:val="A05C5A40"/>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216">
    <w:nsid w:val="5F4E6CEC"/>
    <w:multiLevelType w:val="hybridMultilevel"/>
    <w:tmpl w:val="BC4ADDC4"/>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217">
    <w:nsid w:val="5F6043AA"/>
    <w:multiLevelType w:val="hybridMultilevel"/>
    <w:tmpl w:val="3814E256"/>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218">
    <w:nsid w:val="5F7A1CC1"/>
    <w:multiLevelType w:val="hybridMultilevel"/>
    <w:tmpl w:val="9E90A6A0"/>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219">
    <w:nsid w:val="5F9D57D9"/>
    <w:multiLevelType w:val="hybridMultilevel"/>
    <w:tmpl w:val="CA84D3E6"/>
    <w:lvl w:ilvl="0" w:tplc="2402B52C">
      <w:start w:val="10"/>
      <w:numFmt w:val="bullet"/>
      <w:lvlText w:val="-"/>
      <w:lvlJc w:val="left"/>
      <w:pPr>
        <w:ind w:left="360" w:hanging="360"/>
      </w:pPr>
      <w:rPr>
        <w:rFonts w:ascii="Calibri" w:eastAsiaTheme="minorHAnsi" w:hAnsi="Calibri" w:cs="Calibri"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220">
    <w:nsid w:val="5FCA0CF3"/>
    <w:multiLevelType w:val="hybridMultilevel"/>
    <w:tmpl w:val="FEB895D8"/>
    <w:lvl w:ilvl="0" w:tplc="0C0C000B">
      <w:start w:val="1"/>
      <w:numFmt w:val="bullet"/>
      <w:lvlText w:val=""/>
      <w:lvlJc w:val="left"/>
      <w:pPr>
        <w:ind w:left="720" w:hanging="360"/>
      </w:pPr>
      <w:rPr>
        <w:rFonts w:ascii="Wingdings" w:hAnsi="Wingdings" w:hint="default"/>
      </w:rPr>
    </w:lvl>
    <w:lvl w:ilvl="1" w:tplc="0C0C0003">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221">
    <w:nsid w:val="5FF741F4"/>
    <w:multiLevelType w:val="hybridMultilevel"/>
    <w:tmpl w:val="D158CB0A"/>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222">
    <w:nsid w:val="60090338"/>
    <w:multiLevelType w:val="multilevel"/>
    <w:tmpl w:val="394A44DC"/>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23">
    <w:nsid w:val="60090E04"/>
    <w:multiLevelType w:val="hybridMultilevel"/>
    <w:tmpl w:val="9F18ECBA"/>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224">
    <w:nsid w:val="60172D7B"/>
    <w:multiLevelType w:val="hybridMultilevel"/>
    <w:tmpl w:val="E40670B8"/>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225">
    <w:nsid w:val="601D11C0"/>
    <w:multiLevelType w:val="hybridMultilevel"/>
    <w:tmpl w:val="4F608BEE"/>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226">
    <w:nsid w:val="601E3925"/>
    <w:multiLevelType w:val="hybridMultilevel"/>
    <w:tmpl w:val="91B2FF96"/>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227">
    <w:nsid w:val="60211DD6"/>
    <w:multiLevelType w:val="hybridMultilevel"/>
    <w:tmpl w:val="BAFC03F4"/>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228">
    <w:nsid w:val="60281DA2"/>
    <w:multiLevelType w:val="hybridMultilevel"/>
    <w:tmpl w:val="0E9E2960"/>
    <w:lvl w:ilvl="0" w:tplc="0C0C0003">
      <w:start w:val="1"/>
      <w:numFmt w:val="bullet"/>
      <w:lvlText w:val="o"/>
      <w:lvlJc w:val="left"/>
      <w:pPr>
        <w:ind w:left="1080" w:hanging="360"/>
      </w:pPr>
      <w:rPr>
        <w:rFonts w:ascii="Courier New" w:hAnsi="Courier New" w:cs="Courier New" w:hint="default"/>
      </w:rPr>
    </w:lvl>
    <w:lvl w:ilvl="1" w:tplc="0C0C0003" w:tentative="1">
      <w:start w:val="1"/>
      <w:numFmt w:val="bullet"/>
      <w:lvlText w:val="o"/>
      <w:lvlJc w:val="left"/>
      <w:pPr>
        <w:ind w:left="1800" w:hanging="360"/>
      </w:pPr>
      <w:rPr>
        <w:rFonts w:ascii="Courier New" w:hAnsi="Courier New" w:cs="Courier New" w:hint="default"/>
      </w:rPr>
    </w:lvl>
    <w:lvl w:ilvl="2" w:tplc="0C0C0005" w:tentative="1">
      <w:start w:val="1"/>
      <w:numFmt w:val="bullet"/>
      <w:lvlText w:val=""/>
      <w:lvlJc w:val="left"/>
      <w:pPr>
        <w:ind w:left="2520" w:hanging="360"/>
      </w:pPr>
      <w:rPr>
        <w:rFonts w:ascii="Wingdings" w:hAnsi="Wingdings" w:hint="default"/>
      </w:rPr>
    </w:lvl>
    <w:lvl w:ilvl="3" w:tplc="0C0C0001" w:tentative="1">
      <w:start w:val="1"/>
      <w:numFmt w:val="bullet"/>
      <w:lvlText w:val=""/>
      <w:lvlJc w:val="left"/>
      <w:pPr>
        <w:ind w:left="3240" w:hanging="360"/>
      </w:pPr>
      <w:rPr>
        <w:rFonts w:ascii="Symbol" w:hAnsi="Symbol" w:hint="default"/>
      </w:rPr>
    </w:lvl>
    <w:lvl w:ilvl="4" w:tplc="0C0C0003" w:tentative="1">
      <w:start w:val="1"/>
      <w:numFmt w:val="bullet"/>
      <w:lvlText w:val="o"/>
      <w:lvlJc w:val="left"/>
      <w:pPr>
        <w:ind w:left="3960" w:hanging="360"/>
      </w:pPr>
      <w:rPr>
        <w:rFonts w:ascii="Courier New" w:hAnsi="Courier New" w:cs="Courier New" w:hint="default"/>
      </w:rPr>
    </w:lvl>
    <w:lvl w:ilvl="5" w:tplc="0C0C0005" w:tentative="1">
      <w:start w:val="1"/>
      <w:numFmt w:val="bullet"/>
      <w:lvlText w:val=""/>
      <w:lvlJc w:val="left"/>
      <w:pPr>
        <w:ind w:left="4680" w:hanging="360"/>
      </w:pPr>
      <w:rPr>
        <w:rFonts w:ascii="Wingdings" w:hAnsi="Wingdings" w:hint="default"/>
      </w:rPr>
    </w:lvl>
    <w:lvl w:ilvl="6" w:tplc="0C0C0001" w:tentative="1">
      <w:start w:val="1"/>
      <w:numFmt w:val="bullet"/>
      <w:lvlText w:val=""/>
      <w:lvlJc w:val="left"/>
      <w:pPr>
        <w:ind w:left="5400" w:hanging="360"/>
      </w:pPr>
      <w:rPr>
        <w:rFonts w:ascii="Symbol" w:hAnsi="Symbol" w:hint="default"/>
      </w:rPr>
    </w:lvl>
    <w:lvl w:ilvl="7" w:tplc="0C0C0003" w:tentative="1">
      <w:start w:val="1"/>
      <w:numFmt w:val="bullet"/>
      <w:lvlText w:val="o"/>
      <w:lvlJc w:val="left"/>
      <w:pPr>
        <w:ind w:left="6120" w:hanging="360"/>
      </w:pPr>
      <w:rPr>
        <w:rFonts w:ascii="Courier New" w:hAnsi="Courier New" w:cs="Courier New" w:hint="default"/>
      </w:rPr>
    </w:lvl>
    <w:lvl w:ilvl="8" w:tplc="0C0C0005" w:tentative="1">
      <w:start w:val="1"/>
      <w:numFmt w:val="bullet"/>
      <w:lvlText w:val=""/>
      <w:lvlJc w:val="left"/>
      <w:pPr>
        <w:ind w:left="6840" w:hanging="360"/>
      </w:pPr>
      <w:rPr>
        <w:rFonts w:ascii="Wingdings" w:hAnsi="Wingdings" w:hint="default"/>
      </w:rPr>
    </w:lvl>
  </w:abstractNum>
  <w:abstractNum w:abstractNumId="1229">
    <w:nsid w:val="60520133"/>
    <w:multiLevelType w:val="hybridMultilevel"/>
    <w:tmpl w:val="7ED071CA"/>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230">
    <w:nsid w:val="60723412"/>
    <w:multiLevelType w:val="hybridMultilevel"/>
    <w:tmpl w:val="AF222ADC"/>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231">
    <w:nsid w:val="6076673E"/>
    <w:multiLevelType w:val="hybridMultilevel"/>
    <w:tmpl w:val="EBD4A950"/>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232">
    <w:nsid w:val="607E03C9"/>
    <w:multiLevelType w:val="hybridMultilevel"/>
    <w:tmpl w:val="CF72D612"/>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233">
    <w:nsid w:val="608F0759"/>
    <w:multiLevelType w:val="hybridMultilevel"/>
    <w:tmpl w:val="0E16BE7E"/>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234">
    <w:nsid w:val="6091593C"/>
    <w:multiLevelType w:val="hybridMultilevel"/>
    <w:tmpl w:val="79B46CC2"/>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235">
    <w:nsid w:val="609B61BD"/>
    <w:multiLevelType w:val="hybridMultilevel"/>
    <w:tmpl w:val="9CC84BE4"/>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236">
    <w:nsid w:val="60A7258A"/>
    <w:multiLevelType w:val="hybridMultilevel"/>
    <w:tmpl w:val="C986BEA4"/>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237">
    <w:nsid w:val="60A725FC"/>
    <w:multiLevelType w:val="hybridMultilevel"/>
    <w:tmpl w:val="B6F8D94A"/>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238">
    <w:nsid w:val="60B2511D"/>
    <w:multiLevelType w:val="hybridMultilevel"/>
    <w:tmpl w:val="397464EC"/>
    <w:lvl w:ilvl="0" w:tplc="0C0C0015">
      <w:start w:val="1"/>
      <w:numFmt w:val="upperLetter"/>
      <w:lvlText w:val="%1."/>
      <w:lvlJc w:val="left"/>
      <w:pPr>
        <w:ind w:left="720" w:hanging="360"/>
      </w:p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1239">
    <w:nsid w:val="60C35A29"/>
    <w:multiLevelType w:val="hybridMultilevel"/>
    <w:tmpl w:val="6166F2E0"/>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240">
    <w:nsid w:val="60CC386F"/>
    <w:multiLevelType w:val="hybridMultilevel"/>
    <w:tmpl w:val="6602D064"/>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241">
    <w:nsid w:val="60D33EFB"/>
    <w:multiLevelType w:val="hybridMultilevel"/>
    <w:tmpl w:val="CCE4D3A4"/>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242">
    <w:nsid w:val="61170622"/>
    <w:multiLevelType w:val="hybridMultilevel"/>
    <w:tmpl w:val="FEC8FE78"/>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243">
    <w:nsid w:val="61246AE3"/>
    <w:multiLevelType w:val="hybridMultilevel"/>
    <w:tmpl w:val="A0161220"/>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244">
    <w:nsid w:val="612C2FCF"/>
    <w:multiLevelType w:val="hybridMultilevel"/>
    <w:tmpl w:val="94003C70"/>
    <w:lvl w:ilvl="0" w:tplc="8C74E87E">
      <w:start w:val="4"/>
      <w:numFmt w:val="bullet"/>
      <w:lvlText w:val="-"/>
      <w:lvlJc w:val="left"/>
      <w:pPr>
        <w:ind w:left="720" w:hanging="360"/>
      </w:pPr>
      <w:rPr>
        <w:rFonts w:ascii="Times New Roman" w:eastAsiaTheme="minorHAnsi" w:hAnsi="Times New Roman" w:cs="Times New Roman" w:hint="default"/>
        <w:i/>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245">
    <w:nsid w:val="61402170"/>
    <w:multiLevelType w:val="hybridMultilevel"/>
    <w:tmpl w:val="1E284AD0"/>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246">
    <w:nsid w:val="61751266"/>
    <w:multiLevelType w:val="hybridMultilevel"/>
    <w:tmpl w:val="04F816FE"/>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247">
    <w:nsid w:val="618F705C"/>
    <w:multiLevelType w:val="hybridMultilevel"/>
    <w:tmpl w:val="A2426298"/>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248">
    <w:nsid w:val="61930BDB"/>
    <w:multiLevelType w:val="hybridMultilevel"/>
    <w:tmpl w:val="DFEE6BF8"/>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249">
    <w:nsid w:val="61A36CED"/>
    <w:multiLevelType w:val="hybridMultilevel"/>
    <w:tmpl w:val="F8DA8FAA"/>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250">
    <w:nsid w:val="61D03CF0"/>
    <w:multiLevelType w:val="hybridMultilevel"/>
    <w:tmpl w:val="FED61526"/>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251">
    <w:nsid w:val="61ED1602"/>
    <w:multiLevelType w:val="hybridMultilevel"/>
    <w:tmpl w:val="04DE1F26"/>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252">
    <w:nsid w:val="61FF324E"/>
    <w:multiLevelType w:val="hybridMultilevel"/>
    <w:tmpl w:val="42A8A110"/>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253">
    <w:nsid w:val="620072D2"/>
    <w:multiLevelType w:val="hybridMultilevel"/>
    <w:tmpl w:val="65D2C240"/>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254">
    <w:nsid w:val="62010DE3"/>
    <w:multiLevelType w:val="hybridMultilevel"/>
    <w:tmpl w:val="FD74F8C6"/>
    <w:lvl w:ilvl="0" w:tplc="0C0C0009">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255">
    <w:nsid w:val="62134861"/>
    <w:multiLevelType w:val="hybridMultilevel"/>
    <w:tmpl w:val="C994AFB8"/>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256">
    <w:nsid w:val="62290B33"/>
    <w:multiLevelType w:val="hybridMultilevel"/>
    <w:tmpl w:val="B128CDD0"/>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257">
    <w:nsid w:val="62372471"/>
    <w:multiLevelType w:val="hybridMultilevel"/>
    <w:tmpl w:val="8B5A8F34"/>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258">
    <w:nsid w:val="62372531"/>
    <w:multiLevelType w:val="hybridMultilevel"/>
    <w:tmpl w:val="1C543828"/>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259">
    <w:nsid w:val="623C6568"/>
    <w:multiLevelType w:val="hybridMultilevel"/>
    <w:tmpl w:val="2932CADA"/>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260">
    <w:nsid w:val="6248223C"/>
    <w:multiLevelType w:val="hybridMultilevel"/>
    <w:tmpl w:val="0B0C1660"/>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261">
    <w:nsid w:val="62517B67"/>
    <w:multiLevelType w:val="hybridMultilevel"/>
    <w:tmpl w:val="D9CE30E0"/>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262">
    <w:nsid w:val="625B7675"/>
    <w:multiLevelType w:val="hybridMultilevel"/>
    <w:tmpl w:val="728022F2"/>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263">
    <w:nsid w:val="6280197A"/>
    <w:multiLevelType w:val="hybridMultilevel"/>
    <w:tmpl w:val="1A709BB6"/>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264">
    <w:nsid w:val="62860BA6"/>
    <w:multiLevelType w:val="hybridMultilevel"/>
    <w:tmpl w:val="35AC58DC"/>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265">
    <w:nsid w:val="628C5F31"/>
    <w:multiLevelType w:val="hybridMultilevel"/>
    <w:tmpl w:val="695EB194"/>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266">
    <w:nsid w:val="62A0591B"/>
    <w:multiLevelType w:val="hybridMultilevel"/>
    <w:tmpl w:val="417A37CC"/>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267">
    <w:nsid w:val="62A76627"/>
    <w:multiLevelType w:val="hybridMultilevel"/>
    <w:tmpl w:val="6C84A2B8"/>
    <w:lvl w:ilvl="0" w:tplc="0C0C000F">
      <w:start w:val="1"/>
      <w:numFmt w:val="decimal"/>
      <w:lvlText w:val="%1."/>
      <w:lvlJc w:val="left"/>
      <w:pPr>
        <w:ind w:left="720" w:hanging="360"/>
      </w:p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1268">
    <w:nsid w:val="62AB16FC"/>
    <w:multiLevelType w:val="hybridMultilevel"/>
    <w:tmpl w:val="EBF0F7DC"/>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269">
    <w:nsid w:val="62CC72FC"/>
    <w:multiLevelType w:val="hybridMultilevel"/>
    <w:tmpl w:val="E61A1D7E"/>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270">
    <w:nsid w:val="62D436F2"/>
    <w:multiLevelType w:val="hybridMultilevel"/>
    <w:tmpl w:val="2DB25D3C"/>
    <w:lvl w:ilvl="0" w:tplc="DE7A8320">
      <w:start w:val="1"/>
      <w:numFmt w:val="upperLetter"/>
      <w:lvlText w:val="%1."/>
      <w:lvlJc w:val="left"/>
      <w:pPr>
        <w:ind w:left="360" w:hanging="360"/>
      </w:pPr>
      <w:rPr>
        <w:rFonts w:hint="default"/>
      </w:rPr>
    </w:lvl>
    <w:lvl w:ilvl="1" w:tplc="0C0C0019">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1271">
    <w:nsid w:val="62E958DA"/>
    <w:multiLevelType w:val="hybridMultilevel"/>
    <w:tmpl w:val="BA68B0DA"/>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272">
    <w:nsid w:val="631B61EA"/>
    <w:multiLevelType w:val="hybridMultilevel"/>
    <w:tmpl w:val="5106D382"/>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273">
    <w:nsid w:val="631D27C8"/>
    <w:multiLevelType w:val="hybridMultilevel"/>
    <w:tmpl w:val="D1F2D1EC"/>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274">
    <w:nsid w:val="63295919"/>
    <w:multiLevelType w:val="multilevel"/>
    <w:tmpl w:val="C4A8F1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75">
    <w:nsid w:val="633773A5"/>
    <w:multiLevelType w:val="hybridMultilevel"/>
    <w:tmpl w:val="9374318E"/>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276">
    <w:nsid w:val="633D73EA"/>
    <w:multiLevelType w:val="multilevel"/>
    <w:tmpl w:val="3CE6B066"/>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77">
    <w:nsid w:val="63410948"/>
    <w:multiLevelType w:val="hybridMultilevel"/>
    <w:tmpl w:val="966C1FB4"/>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278">
    <w:nsid w:val="63463292"/>
    <w:multiLevelType w:val="hybridMultilevel"/>
    <w:tmpl w:val="17547970"/>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279">
    <w:nsid w:val="63516ED8"/>
    <w:multiLevelType w:val="hybridMultilevel"/>
    <w:tmpl w:val="277E9898"/>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280">
    <w:nsid w:val="63601C58"/>
    <w:multiLevelType w:val="hybridMultilevel"/>
    <w:tmpl w:val="2A7425D0"/>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281">
    <w:nsid w:val="636B48B9"/>
    <w:multiLevelType w:val="hybridMultilevel"/>
    <w:tmpl w:val="4ADAF098"/>
    <w:lvl w:ilvl="0" w:tplc="0C0C000B">
      <w:start w:val="1"/>
      <w:numFmt w:val="bullet"/>
      <w:lvlText w:val=""/>
      <w:lvlJc w:val="left"/>
      <w:pPr>
        <w:ind w:left="720" w:hanging="360"/>
      </w:pPr>
      <w:rPr>
        <w:rFonts w:ascii="Wingdings" w:hAnsi="Wingdings" w:hint="default"/>
      </w:rPr>
    </w:lvl>
    <w:lvl w:ilvl="1" w:tplc="0C0C0003">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282">
    <w:nsid w:val="638E0665"/>
    <w:multiLevelType w:val="hybridMultilevel"/>
    <w:tmpl w:val="E22EBE58"/>
    <w:lvl w:ilvl="0" w:tplc="0C0C000B">
      <w:start w:val="1"/>
      <w:numFmt w:val="bullet"/>
      <w:lvlText w:val=""/>
      <w:lvlJc w:val="left"/>
      <w:pPr>
        <w:ind w:left="1080" w:hanging="360"/>
      </w:pPr>
      <w:rPr>
        <w:rFonts w:ascii="Wingdings" w:hAnsi="Wingdings" w:hint="default"/>
      </w:rPr>
    </w:lvl>
    <w:lvl w:ilvl="1" w:tplc="0C0C0003">
      <w:start w:val="1"/>
      <w:numFmt w:val="bullet"/>
      <w:lvlText w:val="o"/>
      <w:lvlJc w:val="left"/>
      <w:pPr>
        <w:ind w:left="1800" w:hanging="360"/>
      </w:pPr>
      <w:rPr>
        <w:rFonts w:ascii="Courier New" w:hAnsi="Courier New" w:cs="Courier New" w:hint="default"/>
      </w:rPr>
    </w:lvl>
    <w:lvl w:ilvl="2" w:tplc="0C0C0005" w:tentative="1">
      <w:start w:val="1"/>
      <w:numFmt w:val="bullet"/>
      <w:lvlText w:val=""/>
      <w:lvlJc w:val="left"/>
      <w:pPr>
        <w:ind w:left="2520" w:hanging="360"/>
      </w:pPr>
      <w:rPr>
        <w:rFonts w:ascii="Wingdings" w:hAnsi="Wingdings" w:hint="default"/>
      </w:rPr>
    </w:lvl>
    <w:lvl w:ilvl="3" w:tplc="0C0C0001" w:tentative="1">
      <w:start w:val="1"/>
      <w:numFmt w:val="bullet"/>
      <w:lvlText w:val=""/>
      <w:lvlJc w:val="left"/>
      <w:pPr>
        <w:ind w:left="3240" w:hanging="360"/>
      </w:pPr>
      <w:rPr>
        <w:rFonts w:ascii="Symbol" w:hAnsi="Symbol" w:hint="default"/>
      </w:rPr>
    </w:lvl>
    <w:lvl w:ilvl="4" w:tplc="0C0C0003" w:tentative="1">
      <w:start w:val="1"/>
      <w:numFmt w:val="bullet"/>
      <w:lvlText w:val="o"/>
      <w:lvlJc w:val="left"/>
      <w:pPr>
        <w:ind w:left="3960" w:hanging="360"/>
      </w:pPr>
      <w:rPr>
        <w:rFonts w:ascii="Courier New" w:hAnsi="Courier New" w:cs="Courier New" w:hint="default"/>
      </w:rPr>
    </w:lvl>
    <w:lvl w:ilvl="5" w:tplc="0C0C0005" w:tentative="1">
      <w:start w:val="1"/>
      <w:numFmt w:val="bullet"/>
      <w:lvlText w:val=""/>
      <w:lvlJc w:val="left"/>
      <w:pPr>
        <w:ind w:left="4680" w:hanging="360"/>
      </w:pPr>
      <w:rPr>
        <w:rFonts w:ascii="Wingdings" w:hAnsi="Wingdings" w:hint="default"/>
      </w:rPr>
    </w:lvl>
    <w:lvl w:ilvl="6" w:tplc="0C0C0001" w:tentative="1">
      <w:start w:val="1"/>
      <w:numFmt w:val="bullet"/>
      <w:lvlText w:val=""/>
      <w:lvlJc w:val="left"/>
      <w:pPr>
        <w:ind w:left="5400" w:hanging="360"/>
      </w:pPr>
      <w:rPr>
        <w:rFonts w:ascii="Symbol" w:hAnsi="Symbol" w:hint="default"/>
      </w:rPr>
    </w:lvl>
    <w:lvl w:ilvl="7" w:tplc="0C0C0003" w:tentative="1">
      <w:start w:val="1"/>
      <w:numFmt w:val="bullet"/>
      <w:lvlText w:val="o"/>
      <w:lvlJc w:val="left"/>
      <w:pPr>
        <w:ind w:left="6120" w:hanging="360"/>
      </w:pPr>
      <w:rPr>
        <w:rFonts w:ascii="Courier New" w:hAnsi="Courier New" w:cs="Courier New" w:hint="default"/>
      </w:rPr>
    </w:lvl>
    <w:lvl w:ilvl="8" w:tplc="0C0C0005" w:tentative="1">
      <w:start w:val="1"/>
      <w:numFmt w:val="bullet"/>
      <w:lvlText w:val=""/>
      <w:lvlJc w:val="left"/>
      <w:pPr>
        <w:ind w:left="6840" w:hanging="360"/>
      </w:pPr>
      <w:rPr>
        <w:rFonts w:ascii="Wingdings" w:hAnsi="Wingdings" w:hint="default"/>
      </w:rPr>
    </w:lvl>
  </w:abstractNum>
  <w:abstractNum w:abstractNumId="1283">
    <w:nsid w:val="639D3CD5"/>
    <w:multiLevelType w:val="hybridMultilevel"/>
    <w:tmpl w:val="1244FFA6"/>
    <w:lvl w:ilvl="0" w:tplc="0C0C000B">
      <w:start w:val="1"/>
      <w:numFmt w:val="bullet"/>
      <w:lvlText w:val=""/>
      <w:lvlJc w:val="left"/>
      <w:pPr>
        <w:ind w:left="720" w:hanging="360"/>
      </w:pPr>
      <w:rPr>
        <w:rFonts w:ascii="Wingdings" w:hAnsi="Wingdings" w:hint="default"/>
      </w:rPr>
    </w:lvl>
    <w:lvl w:ilvl="1" w:tplc="0C0C0003">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284">
    <w:nsid w:val="63B61A19"/>
    <w:multiLevelType w:val="hybridMultilevel"/>
    <w:tmpl w:val="ABDCBC1C"/>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285">
    <w:nsid w:val="63C11F5C"/>
    <w:multiLevelType w:val="hybridMultilevel"/>
    <w:tmpl w:val="A91AC6D8"/>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286">
    <w:nsid w:val="64457EF7"/>
    <w:multiLevelType w:val="hybridMultilevel"/>
    <w:tmpl w:val="168416AA"/>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287">
    <w:nsid w:val="644C0517"/>
    <w:multiLevelType w:val="hybridMultilevel"/>
    <w:tmpl w:val="0BF4D79C"/>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288">
    <w:nsid w:val="646424BA"/>
    <w:multiLevelType w:val="hybridMultilevel"/>
    <w:tmpl w:val="57C22394"/>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289">
    <w:nsid w:val="64695CB5"/>
    <w:multiLevelType w:val="hybridMultilevel"/>
    <w:tmpl w:val="C48A6A74"/>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290">
    <w:nsid w:val="64821533"/>
    <w:multiLevelType w:val="hybridMultilevel"/>
    <w:tmpl w:val="11FAFB26"/>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291">
    <w:nsid w:val="648B6C9F"/>
    <w:multiLevelType w:val="multilevel"/>
    <w:tmpl w:val="D17860C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92">
    <w:nsid w:val="64945422"/>
    <w:multiLevelType w:val="hybridMultilevel"/>
    <w:tmpl w:val="BA18DB84"/>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293">
    <w:nsid w:val="649B5504"/>
    <w:multiLevelType w:val="hybridMultilevel"/>
    <w:tmpl w:val="A9024BEC"/>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294">
    <w:nsid w:val="64C77A50"/>
    <w:multiLevelType w:val="hybridMultilevel"/>
    <w:tmpl w:val="1F86C790"/>
    <w:lvl w:ilvl="0" w:tplc="0C0C000B">
      <w:start w:val="1"/>
      <w:numFmt w:val="bullet"/>
      <w:lvlText w:val=""/>
      <w:lvlJc w:val="left"/>
      <w:pPr>
        <w:ind w:left="720" w:hanging="360"/>
      </w:pPr>
      <w:rPr>
        <w:rFonts w:ascii="Wingdings" w:hAnsi="Wingdings" w:hint="default"/>
      </w:rPr>
    </w:lvl>
    <w:lvl w:ilvl="1" w:tplc="0C0C0003">
      <w:start w:val="1"/>
      <w:numFmt w:val="bullet"/>
      <w:lvlText w:val="o"/>
      <w:lvlJc w:val="left"/>
      <w:pPr>
        <w:ind w:left="1440" w:hanging="360"/>
      </w:pPr>
      <w:rPr>
        <w:rFonts w:ascii="Courier New" w:hAnsi="Courier New" w:cs="Courier New" w:hint="default"/>
      </w:rPr>
    </w:lvl>
    <w:lvl w:ilvl="2" w:tplc="0C0C0005">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295">
    <w:nsid w:val="64D6210B"/>
    <w:multiLevelType w:val="hybridMultilevel"/>
    <w:tmpl w:val="310059BA"/>
    <w:lvl w:ilvl="0" w:tplc="0C0C000B">
      <w:start w:val="1"/>
      <w:numFmt w:val="bullet"/>
      <w:lvlText w:val=""/>
      <w:lvlJc w:val="left"/>
      <w:pPr>
        <w:ind w:left="720" w:hanging="360"/>
      </w:pPr>
      <w:rPr>
        <w:rFonts w:ascii="Wingdings" w:hAnsi="Wingdings" w:hint="default"/>
      </w:rPr>
    </w:lvl>
    <w:lvl w:ilvl="1" w:tplc="0C0C0003">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296">
    <w:nsid w:val="64F260F2"/>
    <w:multiLevelType w:val="hybridMultilevel"/>
    <w:tmpl w:val="E0304AD8"/>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297">
    <w:nsid w:val="64F609FB"/>
    <w:multiLevelType w:val="hybridMultilevel"/>
    <w:tmpl w:val="2BB88066"/>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298">
    <w:nsid w:val="65552B20"/>
    <w:multiLevelType w:val="multilevel"/>
    <w:tmpl w:val="5C383AAA"/>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99">
    <w:nsid w:val="656F1570"/>
    <w:multiLevelType w:val="hybridMultilevel"/>
    <w:tmpl w:val="2BFE15F4"/>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300">
    <w:nsid w:val="657D2C5C"/>
    <w:multiLevelType w:val="hybridMultilevel"/>
    <w:tmpl w:val="DC42827A"/>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301">
    <w:nsid w:val="65AA7B25"/>
    <w:multiLevelType w:val="hybridMultilevel"/>
    <w:tmpl w:val="233AC7D0"/>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302">
    <w:nsid w:val="65AF4987"/>
    <w:multiLevelType w:val="hybridMultilevel"/>
    <w:tmpl w:val="EC4E1416"/>
    <w:lvl w:ilvl="0" w:tplc="0C0C000F">
      <w:start w:val="1"/>
      <w:numFmt w:val="decimal"/>
      <w:lvlText w:val="%1."/>
      <w:lvlJc w:val="left"/>
      <w:pPr>
        <w:ind w:left="720" w:hanging="360"/>
      </w:pPr>
      <w:rPr>
        <w:rFont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303">
    <w:nsid w:val="65CD2E09"/>
    <w:multiLevelType w:val="hybridMultilevel"/>
    <w:tmpl w:val="AE4C1D80"/>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304">
    <w:nsid w:val="65F36E14"/>
    <w:multiLevelType w:val="hybridMultilevel"/>
    <w:tmpl w:val="97FE8C96"/>
    <w:lvl w:ilvl="0" w:tplc="0C0C000F">
      <w:start w:val="1"/>
      <w:numFmt w:val="decimal"/>
      <w:lvlText w:val="%1."/>
      <w:lvlJc w:val="left"/>
      <w:pPr>
        <w:ind w:left="720" w:hanging="360"/>
      </w:p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1305">
    <w:nsid w:val="65F64C2D"/>
    <w:multiLevelType w:val="hybridMultilevel"/>
    <w:tmpl w:val="9444954A"/>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306">
    <w:nsid w:val="660E7340"/>
    <w:multiLevelType w:val="hybridMultilevel"/>
    <w:tmpl w:val="836E9C56"/>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307">
    <w:nsid w:val="6622612A"/>
    <w:multiLevelType w:val="hybridMultilevel"/>
    <w:tmpl w:val="AFDE7B3C"/>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308">
    <w:nsid w:val="662A2189"/>
    <w:multiLevelType w:val="hybridMultilevel"/>
    <w:tmpl w:val="6420833E"/>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309">
    <w:nsid w:val="66396C6A"/>
    <w:multiLevelType w:val="hybridMultilevel"/>
    <w:tmpl w:val="B44EAEF4"/>
    <w:lvl w:ilvl="0" w:tplc="0C0C000B">
      <w:start w:val="1"/>
      <w:numFmt w:val="bullet"/>
      <w:lvlText w:val=""/>
      <w:lvlJc w:val="left"/>
      <w:pPr>
        <w:ind w:left="720" w:hanging="360"/>
      </w:pPr>
      <w:rPr>
        <w:rFonts w:ascii="Wingdings" w:hAnsi="Wingdings" w:hint="default"/>
      </w:rPr>
    </w:lvl>
    <w:lvl w:ilvl="1" w:tplc="0C0C0003">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310">
    <w:nsid w:val="663E2B48"/>
    <w:multiLevelType w:val="multilevel"/>
    <w:tmpl w:val="2E18BC20"/>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11">
    <w:nsid w:val="66466202"/>
    <w:multiLevelType w:val="hybridMultilevel"/>
    <w:tmpl w:val="5B04313C"/>
    <w:lvl w:ilvl="0" w:tplc="0C0C000B">
      <w:start w:val="1"/>
      <w:numFmt w:val="bullet"/>
      <w:lvlText w:val=""/>
      <w:lvlJc w:val="left"/>
      <w:pPr>
        <w:ind w:left="360" w:hanging="360"/>
      </w:pPr>
      <w:rPr>
        <w:rFonts w:ascii="Wingdings" w:hAnsi="Wingdings" w:hint="default"/>
      </w:rPr>
    </w:lvl>
    <w:lvl w:ilvl="1" w:tplc="0C0C0019" w:tentative="1">
      <w:start w:val="1"/>
      <w:numFmt w:val="lowerLetter"/>
      <w:lvlText w:val="%2."/>
      <w:lvlJc w:val="left"/>
      <w:pPr>
        <w:ind w:left="1080" w:hanging="360"/>
      </w:pPr>
    </w:lvl>
    <w:lvl w:ilvl="2" w:tplc="0C0C001B" w:tentative="1">
      <w:start w:val="1"/>
      <w:numFmt w:val="lowerRoman"/>
      <w:lvlText w:val="%3."/>
      <w:lvlJc w:val="right"/>
      <w:pPr>
        <w:ind w:left="1800" w:hanging="180"/>
      </w:pPr>
    </w:lvl>
    <w:lvl w:ilvl="3" w:tplc="0C0C000F" w:tentative="1">
      <w:start w:val="1"/>
      <w:numFmt w:val="decimal"/>
      <w:lvlText w:val="%4."/>
      <w:lvlJc w:val="left"/>
      <w:pPr>
        <w:ind w:left="2520" w:hanging="360"/>
      </w:pPr>
    </w:lvl>
    <w:lvl w:ilvl="4" w:tplc="0C0C0019" w:tentative="1">
      <w:start w:val="1"/>
      <w:numFmt w:val="lowerLetter"/>
      <w:lvlText w:val="%5."/>
      <w:lvlJc w:val="left"/>
      <w:pPr>
        <w:ind w:left="3240" w:hanging="360"/>
      </w:pPr>
    </w:lvl>
    <w:lvl w:ilvl="5" w:tplc="0C0C001B" w:tentative="1">
      <w:start w:val="1"/>
      <w:numFmt w:val="lowerRoman"/>
      <w:lvlText w:val="%6."/>
      <w:lvlJc w:val="right"/>
      <w:pPr>
        <w:ind w:left="3960" w:hanging="180"/>
      </w:pPr>
    </w:lvl>
    <w:lvl w:ilvl="6" w:tplc="0C0C000F" w:tentative="1">
      <w:start w:val="1"/>
      <w:numFmt w:val="decimal"/>
      <w:lvlText w:val="%7."/>
      <w:lvlJc w:val="left"/>
      <w:pPr>
        <w:ind w:left="4680" w:hanging="360"/>
      </w:pPr>
    </w:lvl>
    <w:lvl w:ilvl="7" w:tplc="0C0C0019" w:tentative="1">
      <w:start w:val="1"/>
      <w:numFmt w:val="lowerLetter"/>
      <w:lvlText w:val="%8."/>
      <w:lvlJc w:val="left"/>
      <w:pPr>
        <w:ind w:left="5400" w:hanging="360"/>
      </w:pPr>
    </w:lvl>
    <w:lvl w:ilvl="8" w:tplc="0C0C001B" w:tentative="1">
      <w:start w:val="1"/>
      <w:numFmt w:val="lowerRoman"/>
      <w:lvlText w:val="%9."/>
      <w:lvlJc w:val="right"/>
      <w:pPr>
        <w:ind w:left="6120" w:hanging="180"/>
      </w:pPr>
    </w:lvl>
  </w:abstractNum>
  <w:abstractNum w:abstractNumId="1312">
    <w:nsid w:val="665E786E"/>
    <w:multiLevelType w:val="hybridMultilevel"/>
    <w:tmpl w:val="F2402832"/>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313">
    <w:nsid w:val="66673BD5"/>
    <w:multiLevelType w:val="hybridMultilevel"/>
    <w:tmpl w:val="338AB198"/>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314">
    <w:nsid w:val="666862EE"/>
    <w:multiLevelType w:val="hybridMultilevel"/>
    <w:tmpl w:val="7A105D0C"/>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315">
    <w:nsid w:val="669D648A"/>
    <w:multiLevelType w:val="hybridMultilevel"/>
    <w:tmpl w:val="902C6C24"/>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316">
    <w:nsid w:val="66AC2735"/>
    <w:multiLevelType w:val="hybridMultilevel"/>
    <w:tmpl w:val="9CC84924"/>
    <w:lvl w:ilvl="0" w:tplc="0C0C0015">
      <w:start w:val="1"/>
      <w:numFmt w:val="upperLetter"/>
      <w:lvlText w:val="%1."/>
      <w:lvlJc w:val="left"/>
      <w:pPr>
        <w:ind w:left="360" w:hanging="360"/>
      </w:pPr>
    </w:lvl>
    <w:lvl w:ilvl="1" w:tplc="0C0C0019" w:tentative="1">
      <w:start w:val="1"/>
      <w:numFmt w:val="lowerLetter"/>
      <w:lvlText w:val="%2."/>
      <w:lvlJc w:val="left"/>
      <w:pPr>
        <w:ind w:left="1080" w:hanging="360"/>
      </w:pPr>
    </w:lvl>
    <w:lvl w:ilvl="2" w:tplc="0C0C001B" w:tentative="1">
      <w:start w:val="1"/>
      <w:numFmt w:val="lowerRoman"/>
      <w:lvlText w:val="%3."/>
      <w:lvlJc w:val="right"/>
      <w:pPr>
        <w:ind w:left="1800" w:hanging="180"/>
      </w:pPr>
    </w:lvl>
    <w:lvl w:ilvl="3" w:tplc="0C0C000F" w:tentative="1">
      <w:start w:val="1"/>
      <w:numFmt w:val="decimal"/>
      <w:lvlText w:val="%4."/>
      <w:lvlJc w:val="left"/>
      <w:pPr>
        <w:ind w:left="2520" w:hanging="360"/>
      </w:pPr>
    </w:lvl>
    <w:lvl w:ilvl="4" w:tplc="0C0C0019" w:tentative="1">
      <w:start w:val="1"/>
      <w:numFmt w:val="lowerLetter"/>
      <w:lvlText w:val="%5."/>
      <w:lvlJc w:val="left"/>
      <w:pPr>
        <w:ind w:left="3240" w:hanging="360"/>
      </w:pPr>
    </w:lvl>
    <w:lvl w:ilvl="5" w:tplc="0C0C001B" w:tentative="1">
      <w:start w:val="1"/>
      <w:numFmt w:val="lowerRoman"/>
      <w:lvlText w:val="%6."/>
      <w:lvlJc w:val="right"/>
      <w:pPr>
        <w:ind w:left="3960" w:hanging="180"/>
      </w:pPr>
    </w:lvl>
    <w:lvl w:ilvl="6" w:tplc="0C0C000F" w:tentative="1">
      <w:start w:val="1"/>
      <w:numFmt w:val="decimal"/>
      <w:lvlText w:val="%7."/>
      <w:lvlJc w:val="left"/>
      <w:pPr>
        <w:ind w:left="4680" w:hanging="360"/>
      </w:pPr>
    </w:lvl>
    <w:lvl w:ilvl="7" w:tplc="0C0C0019" w:tentative="1">
      <w:start w:val="1"/>
      <w:numFmt w:val="lowerLetter"/>
      <w:lvlText w:val="%8."/>
      <w:lvlJc w:val="left"/>
      <w:pPr>
        <w:ind w:left="5400" w:hanging="360"/>
      </w:pPr>
    </w:lvl>
    <w:lvl w:ilvl="8" w:tplc="0C0C001B" w:tentative="1">
      <w:start w:val="1"/>
      <w:numFmt w:val="lowerRoman"/>
      <w:lvlText w:val="%9."/>
      <w:lvlJc w:val="right"/>
      <w:pPr>
        <w:ind w:left="6120" w:hanging="180"/>
      </w:pPr>
    </w:lvl>
  </w:abstractNum>
  <w:abstractNum w:abstractNumId="1317">
    <w:nsid w:val="66B20AF0"/>
    <w:multiLevelType w:val="hybridMultilevel"/>
    <w:tmpl w:val="9EB4CBB6"/>
    <w:lvl w:ilvl="0" w:tplc="0C0C0015">
      <w:start w:val="1"/>
      <w:numFmt w:val="upperLetter"/>
      <w:lvlText w:val="%1."/>
      <w:lvlJc w:val="left"/>
      <w:pPr>
        <w:ind w:left="720" w:hanging="360"/>
      </w:pPr>
    </w:lvl>
    <w:lvl w:ilvl="1" w:tplc="0C0C000F">
      <w:start w:val="1"/>
      <w:numFmt w:val="decimal"/>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1318">
    <w:nsid w:val="66D00488"/>
    <w:multiLevelType w:val="hybridMultilevel"/>
    <w:tmpl w:val="109CB3E4"/>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319">
    <w:nsid w:val="66F33DB4"/>
    <w:multiLevelType w:val="multilevel"/>
    <w:tmpl w:val="B5CE1E10"/>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20">
    <w:nsid w:val="671F58D7"/>
    <w:multiLevelType w:val="hybridMultilevel"/>
    <w:tmpl w:val="10108A7E"/>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321">
    <w:nsid w:val="67597DA1"/>
    <w:multiLevelType w:val="hybridMultilevel"/>
    <w:tmpl w:val="9814C4AC"/>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322">
    <w:nsid w:val="677A11A8"/>
    <w:multiLevelType w:val="hybridMultilevel"/>
    <w:tmpl w:val="0D64F8EE"/>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323">
    <w:nsid w:val="67823A48"/>
    <w:multiLevelType w:val="hybridMultilevel"/>
    <w:tmpl w:val="1A826A00"/>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324">
    <w:nsid w:val="678A70C6"/>
    <w:multiLevelType w:val="hybridMultilevel"/>
    <w:tmpl w:val="7A64BA32"/>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325">
    <w:nsid w:val="678C2E50"/>
    <w:multiLevelType w:val="hybridMultilevel"/>
    <w:tmpl w:val="21CC12BC"/>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1080" w:hanging="360"/>
      </w:pPr>
      <w:rPr>
        <w:rFonts w:ascii="Courier New" w:hAnsi="Courier New" w:cs="Courier New" w:hint="default"/>
      </w:rPr>
    </w:lvl>
    <w:lvl w:ilvl="2" w:tplc="0C0C0005">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326">
    <w:nsid w:val="67A50430"/>
    <w:multiLevelType w:val="hybridMultilevel"/>
    <w:tmpl w:val="9162C7D4"/>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327">
    <w:nsid w:val="67B674B6"/>
    <w:multiLevelType w:val="hybridMultilevel"/>
    <w:tmpl w:val="2F0AFBCE"/>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328">
    <w:nsid w:val="67C252EA"/>
    <w:multiLevelType w:val="hybridMultilevel"/>
    <w:tmpl w:val="2892E62A"/>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329">
    <w:nsid w:val="67D22B1C"/>
    <w:multiLevelType w:val="hybridMultilevel"/>
    <w:tmpl w:val="25348576"/>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330">
    <w:nsid w:val="67FA370B"/>
    <w:multiLevelType w:val="multilevel"/>
    <w:tmpl w:val="CE4E0B2A"/>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31">
    <w:nsid w:val="68026A9A"/>
    <w:multiLevelType w:val="hybridMultilevel"/>
    <w:tmpl w:val="C7DA6A48"/>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332">
    <w:nsid w:val="680968B1"/>
    <w:multiLevelType w:val="hybridMultilevel"/>
    <w:tmpl w:val="509A72F8"/>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333">
    <w:nsid w:val="6813706D"/>
    <w:multiLevelType w:val="hybridMultilevel"/>
    <w:tmpl w:val="A4606D56"/>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334">
    <w:nsid w:val="68205813"/>
    <w:multiLevelType w:val="hybridMultilevel"/>
    <w:tmpl w:val="4C0250E6"/>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335">
    <w:nsid w:val="682B104A"/>
    <w:multiLevelType w:val="hybridMultilevel"/>
    <w:tmpl w:val="57B8A414"/>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336">
    <w:nsid w:val="683F0CDF"/>
    <w:multiLevelType w:val="hybridMultilevel"/>
    <w:tmpl w:val="DB82932E"/>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337">
    <w:nsid w:val="686E0FB6"/>
    <w:multiLevelType w:val="hybridMultilevel"/>
    <w:tmpl w:val="C912587E"/>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338">
    <w:nsid w:val="68A675CC"/>
    <w:multiLevelType w:val="hybridMultilevel"/>
    <w:tmpl w:val="A7D06678"/>
    <w:lvl w:ilvl="0" w:tplc="0C0C0001">
      <w:start w:val="1"/>
      <w:numFmt w:val="bullet"/>
      <w:lvlText w:val=""/>
      <w:lvlJc w:val="left"/>
      <w:pPr>
        <w:ind w:left="360" w:hanging="360"/>
      </w:pPr>
      <w:rPr>
        <w:rFonts w:ascii="Symbol" w:hAnsi="Symbol" w:hint="default"/>
      </w:rPr>
    </w:lvl>
    <w:lvl w:ilvl="1" w:tplc="0C0C0019" w:tentative="1">
      <w:start w:val="1"/>
      <w:numFmt w:val="lowerLetter"/>
      <w:lvlText w:val="%2."/>
      <w:lvlJc w:val="left"/>
      <w:pPr>
        <w:ind w:left="1495" w:hanging="360"/>
      </w:pPr>
    </w:lvl>
    <w:lvl w:ilvl="2" w:tplc="0C0C001B" w:tentative="1">
      <w:start w:val="1"/>
      <w:numFmt w:val="lowerRoman"/>
      <w:lvlText w:val="%3."/>
      <w:lvlJc w:val="right"/>
      <w:pPr>
        <w:ind w:left="2215" w:hanging="180"/>
      </w:pPr>
    </w:lvl>
    <w:lvl w:ilvl="3" w:tplc="0C0C000F" w:tentative="1">
      <w:start w:val="1"/>
      <w:numFmt w:val="decimal"/>
      <w:lvlText w:val="%4."/>
      <w:lvlJc w:val="left"/>
      <w:pPr>
        <w:ind w:left="2935" w:hanging="360"/>
      </w:pPr>
    </w:lvl>
    <w:lvl w:ilvl="4" w:tplc="0C0C0019" w:tentative="1">
      <w:start w:val="1"/>
      <w:numFmt w:val="lowerLetter"/>
      <w:lvlText w:val="%5."/>
      <w:lvlJc w:val="left"/>
      <w:pPr>
        <w:ind w:left="3655" w:hanging="360"/>
      </w:pPr>
    </w:lvl>
    <w:lvl w:ilvl="5" w:tplc="0C0C001B" w:tentative="1">
      <w:start w:val="1"/>
      <w:numFmt w:val="lowerRoman"/>
      <w:lvlText w:val="%6."/>
      <w:lvlJc w:val="right"/>
      <w:pPr>
        <w:ind w:left="4375" w:hanging="180"/>
      </w:pPr>
    </w:lvl>
    <w:lvl w:ilvl="6" w:tplc="0C0C000F" w:tentative="1">
      <w:start w:val="1"/>
      <w:numFmt w:val="decimal"/>
      <w:lvlText w:val="%7."/>
      <w:lvlJc w:val="left"/>
      <w:pPr>
        <w:ind w:left="5095" w:hanging="360"/>
      </w:pPr>
    </w:lvl>
    <w:lvl w:ilvl="7" w:tplc="0C0C0019" w:tentative="1">
      <w:start w:val="1"/>
      <w:numFmt w:val="lowerLetter"/>
      <w:lvlText w:val="%8."/>
      <w:lvlJc w:val="left"/>
      <w:pPr>
        <w:ind w:left="5815" w:hanging="360"/>
      </w:pPr>
    </w:lvl>
    <w:lvl w:ilvl="8" w:tplc="0C0C001B" w:tentative="1">
      <w:start w:val="1"/>
      <w:numFmt w:val="lowerRoman"/>
      <w:lvlText w:val="%9."/>
      <w:lvlJc w:val="right"/>
      <w:pPr>
        <w:ind w:left="6535" w:hanging="180"/>
      </w:pPr>
    </w:lvl>
  </w:abstractNum>
  <w:abstractNum w:abstractNumId="1339">
    <w:nsid w:val="68BD6459"/>
    <w:multiLevelType w:val="hybridMultilevel"/>
    <w:tmpl w:val="F10631CA"/>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340">
    <w:nsid w:val="68C06823"/>
    <w:multiLevelType w:val="hybridMultilevel"/>
    <w:tmpl w:val="CCF80126"/>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341">
    <w:nsid w:val="68C21A4C"/>
    <w:multiLevelType w:val="hybridMultilevel"/>
    <w:tmpl w:val="F5AC493C"/>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342">
    <w:nsid w:val="68CF2177"/>
    <w:multiLevelType w:val="hybridMultilevel"/>
    <w:tmpl w:val="34B677BA"/>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343">
    <w:nsid w:val="6901248E"/>
    <w:multiLevelType w:val="hybridMultilevel"/>
    <w:tmpl w:val="18EEE510"/>
    <w:lvl w:ilvl="0" w:tplc="0C0C000B">
      <w:start w:val="1"/>
      <w:numFmt w:val="bullet"/>
      <w:lvlText w:val=""/>
      <w:lvlJc w:val="left"/>
      <w:pPr>
        <w:ind w:left="720" w:hanging="360"/>
      </w:pPr>
      <w:rPr>
        <w:rFonts w:ascii="Wingdings" w:hAnsi="Wingdings" w:hint="default"/>
      </w:rPr>
    </w:lvl>
    <w:lvl w:ilvl="1" w:tplc="0C0C0003">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344">
    <w:nsid w:val="69466686"/>
    <w:multiLevelType w:val="hybridMultilevel"/>
    <w:tmpl w:val="C3449166"/>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345">
    <w:nsid w:val="69535CE6"/>
    <w:multiLevelType w:val="hybridMultilevel"/>
    <w:tmpl w:val="3C0CF676"/>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346">
    <w:nsid w:val="695658B2"/>
    <w:multiLevelType w:val="hybridMultilevel"/>
    <w:tmpl w:val="F0F21B58"/>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347">
    <w:nsid w:val="69577461"/>
    <w:multiLevelType w:val="hybridMultilevel"/>
    <w:tmpl w:val="1C3A3A58"/>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348">
    <w:nsid w:val="697D36BA"/>
    <w:multiLevelType w:val="hybridMultilevel"/>
    <w:tmpl w:val="5A68A512"/>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349">
    <w:nsid w:val="6985598E"/>
    <w:multiLevelType w:val="hybridMultilevel"/>
    <w:tmpl w:val="EF5C58F2"/>
    <w:lvl w:ilvl="0" w:tplc="0C0C0001">
      <w:start w:val="1"/>
      <w:numFmt w:val="bullet"/>
      <w:lvlText w:val=""/>
      <w:lvlJc w:val="left"/>
      <w:pPr>
        <w:ind w:left="360" w:hanging="360"/>
      </w:pPr>
      <w:rPr>
        <w:rFonts w:ascii="Symbol" w:hAnsi="Symbol" w:hint="default"/>
      </w:rPr>
    </w:lvl>
    <w:lvl w:ilvl="1" w:tplc="0C0C0005">
      <w:start w:val="1"/>
      <w:numFmt w:val="bullet"/>
      <w:lvlText w:val=""/>
      <w:lvlJc w:val="left"/>
      <w:pPr>
        <w:ind w:left="1080" w:hanging="360"/>
      </w:pPr>
      <w:rPr>
        <w:rFonts w:ascii="Wingdings" w:hAnsi="Wingdings" w:hint="default"/>
      </w:rPr>
    </w:lvl>
    <w:lvl w:ilvl="2" w:tplc="0C0C0005">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350">
    <w:nsid w:val="69912479"/>
    <w:multiLevelType w:val="hybridMultilevel"/>
    <w:tmpl w:val="B8D075CC"/>
    <w:lvl w:ilvl="0" w:tplc="0C0C0003">
      <w:start w:val="1"/>
      <w:numFmt w:val="bullet"/>
      <w:lvlText w:val="o"/>
      <w:lvlJc w:val="left"/>
      <w:pPr>
        <w:ind w:left="720" w:hanging="360"/>
      </w:pPr>
      <w:rPr>
        <w:rFonts w:ascii="Courier New" w:hAnsi="Courier New" w:cs="Courier New"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351">
    <w:nsid w:val="699674F0"/>
    <w:multiLevelType w:val="hybridMultilevel"/>
    <w:tmpl w:val="F1AC189E"/>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352">
    <w:nsid w:val="69B515CE"/>
    <w:multiLevelType w:val="hybridMultilevel"/>
    <w:tmpl w:val="4E021E84"/>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353">
    <w:nsid w:val="69E958FB"/>
    <w:multiLevelType w:val="hybridMultilevel"/>
    <w:tmpl w:val="C0169036"/>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354">
    <w:nsid w:val="69ED6A53"/>
    <w:multiLevelType w:val="hybridMultilevel"/>
    <w:tmpl w:val="729AD89A"/>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355">
    <w:nsid w:val="6A0B7CE0"/>
    <w:multiLevelType w:val="hybridMultilevel"/>
    <w:tmpl w:val="D9B8FD62"/>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356">
    <w:nsid w:val="6A20217B"/>
    <w:multiLevelType w:val="multilevel"/>
    <w:tmpl w:val="39F0171E"/>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57">
    <w:nsid w:val="6A3F417F"/>
    <w:multiLevelType w:val="hybridMultilevel"/>
    <w:tmpl w:val="C302D2C8"/>
    <w:lvl w:ilvl="0" w:tplc="0C0C000B">
      <w:start w:val="1"/>
      <w:numFmt w:val="bullet"/>
      <w:lvlText w:val=""/>
      <w:lvlJc w:val="left"/>
      <w:pPr>
        <w:ind w:left="360" w:hanging="360"/>
      </w:pPr>
      <w:rPr>
        <w:rFonts w:ascii="Wingdings" w:hAnsi="Wingdings" w:hint="default"/>
        <w:i/>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358">
    <w:nsid w:val="6A4474F3"/>
    <w:multiLevelType w:val="hybridMultilevel"/>
    <w:tmpl w:val="B8B69B90"/>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359">
    <w:nsid w:val="6A6B54AC"/>
    <w:multiLevelType w:val="hybridMultilevel"/>
    <w:tmpl w:val="414099B6"/>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360">
    <w:nsid w:val="6A6D1C04"/>
    <w:multiLevelType w:val="hybridMultilevel"/>
    <w:tmpl w:val="6D90A492"/>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361">
    <w:nsid w:val="6A8128D1"/>
    <w:multiLevelType w:val="hybridMultilevel"/>
    <w:tmpl w:val="E1E0FCA8"/>
    <w:lvl w:ilvl="0" w:tplc="0C0C000B">
      <w:start w:val="1"/>
      <w:numFmt w:val="bullet"/>
      <w:lvlText w:val=""/>
      <w:lvlJc w:val="left"/>
      <w:pPr>
        <w:ind w:left="720" w:hanging="360"/>
      </w:pPr>
      <w:rPr>
        <w:rFonts w:ascii="Wingdings" w:hAnsi="Wingdings" w:hint="default"/>
      </w:rPr>
    </w:lvl>
    <w:lvl w:ilvl="1" w:tplc="0C0C0003">
      <w:start w:val="1"/>
      <w:numFmt w:val="bullet"/>
      <w:lvlText w:val="o"/>
      <w:lvlJc w:val="left"/>
      <w:pPr>
        <w:ind w:left="1440" w:hanging="360"/>
      </w:pPr>
      <w:rPr>
        <w:rFonts w:ascii="Courier New" w:hAnsi="Courier New" w:cs="Courier New" w:hint="default"/>
      </w:rPr>
    </w:lvl>
    <w:lvl w:ilvl="2" w:tplc="0C0C0005">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362">
    <w:nsid w:val="6AA04785"/>
    <w:multiLevelType w:val="hybridMultilevel"/>
    <w:tmpl w:val="763652FA"/>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1080" w:hanging="360"/>
      </w:pPr>
      <w:rPr>
        <w:rFonts w:ascii="Courier New" w:hAnsi="Courier New" w:cs="Courier New" w:hint="default"/>
      </w:rPr>
    </w:lvl>
    <w:lvl w:ilvl="2" w:tplc="0C0C0005">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363">
    <w:nsid w:val="6ABF6521"/>
    <w:multiLevelType w:val="multilevel"/>
    <w:tmpl w:val="BDD2A924"/>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64">
    <w:nsid w:val="6ACB2A80"/>
    <w:multiLevelType w:val="hybridMultilevel"/>
    <w:tmpl w:val="37681382"/>
    <w:lvl w:ilvl="0" w:tplc="0C0C0001">
      <w:start w:val="1"/>
      <w:numFmt w:val="bullet"/>
      <w:lvlText w:val=""/>
      <w:lvlJc w:val="left"/>
      <w:pPr>
        <w:ind w:left="720" w:hanging="360"/>
      </w:pPr>
      <w:rPr>
        <w:rFonts w:ascii="Symbol" w:hAnsi="Symbol" w:hint="default"/>
      </w:rPr>
    </w:lvl>
    <w:lvl w:ilvl="1" w:tplc="0C0C0003">
      <w:start w:val="1"/>
      <w:numFmt w:val="bullet"/>
      <w:lvlText w:val="o"/>
      <w:lvlJc w:val="left"/>
      <w:pPr>
        <w:ind w:left="1440" w:hanging="360"/>
      </w:pPr>
      <w:rPr>
        <w:rFonts w:ascii="Courier New" w:hAnsi="Courier New" w:cs="Courier New" w:hint="default"/>
      </w:rPr>
    </w:lvl>
    <w:lvl w:ilvl="2" w:tplc="0C0C0005">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365">
    <w:nsid w:val="6AD36CEF"/>
    <w:multiLevelType w:val="hybridMultilevel"/>
    <w:tmpl w:val="169498EE"/>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366">
    <w:nsid w:val="6AE17717"/>
    <w:multiLevelType w:val="hybridMultilevel"/>
    <w:tmpl w:val="087009DE"/>
    <w:lvl w:ilvl="0" w:tplc="DE7A8320">
      <w:start w:val="1"/>
      <w:numFmt w:val="upperLetter"/>
      <w:lvlText w:val="%1."/>
      <w:lvlJc w:val="left"/>
      <w:pPr>
        <w:ind w:left="360" w:hanging="360"/>
      </w:pPr>
      <w:rPr>
        <w:rFonts w:hint="default"/>
      </w:rPr>
    </w:lvl>
    <w:lvl w:ilvl="1" w:tplc="0C0C000F">
      <w:start w:val="1"/>
      <w:numFmt w:val="decimal"/>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1367">
    <w:nsid w:val="6B0156F1"/>
    <w:multiLevelType w:val="hybridMultilevel"/>
    <w:tmpl w:val="6C22CAD2"/>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368">
    <w:nsid w:val="6B1D10B1"/>
    <w:multiLevelType w:val="hybridMultilevel"/>
    <w:tmpl w:val="1F9884E2"/>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369">
    <w:nsid w:val="6B270382"/>
    <w:multiLevelType w:val="hybridMultilevel"/>
    <w:tmpl w:val="733C6A0E"/>
    <w:lvl w:ilvl="0" w:tplc="0C0C000B">
      <w:start w:val="1"/>
      <w:numFmt w:val="bullet"/>
      <w:lvlText w:val=""/>
      <w:lvlJc w:val="left"/>
      <w:pPr>
        <w:ind w:left="720" w:hanging="360"/>
      </w:pPr>
      <w:rPr>
        <w:rFonts w:ascii="Wingdings" w:hAnsi="Wingdings" w:hint="default"/>
      </w:rPr>
    </w:lvl>
    <w:lvl w:ilvl="1" w:tplc="0C0C0003">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370">
    <w:nsid w:val="6B4E70E7"/>
    <w:multiLevelType w:val="hybridMultilevel"/>
    <w:tmpl w:val="23FE4822"/>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371">
    <w:nsid w:val="6B707B98"/>
    <w:multiLevelType w:val="hybridMultilevel"/>
    <w:tmpl w:val="9D0684DC"/>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372">
    <w:nsid w:val="6B782374"/>
    <w:multiLevelType w:val="hybridMultilevel"/>
    <w:tmpl w:val="B4CEC74E"/>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373">
    <w:nsid w:val="6BC3704B"/>
    <w:multiLevelType w:val="hybridMultilevel"/>
    <w:tmpl w:val="7730F006"/>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374">
    <w:nsid w:val="6BC5412C"/>
    <w:multiLevelType w:val="hybridMultilevel"/>
    <w:tmpl w:val="35462016"/>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375">
    <w:nsid w:val="6BD51D67"/>
    <w:multiLevelType w:val="hybridMultilevel"/>
    <w:tmpl w:val="6854FC94"/>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376">
    <w:nsid w:val="6BF56ECB"/>
    <w:multiLevelType w:val="multilevel"/>
    <w:tmpl w:val="70D64A4A"/>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77">
    <w:nsid w:val="6BFE3955"/>
    <w:multiLevelType w:val="hybridMultilevel"/>
    <w:tmpl w:val="657238C0"/>
    <w:lvl w:ilvl="0" w:tplc="0C0C0003">
      <w:start w:val="1"/>
      <w:numFmt w:val="bullet"/>
      <w:lvlText w:val="o"/>
      <w:lvlJc w:val="left"/>
      <w:pPr>
        <w:ind w:left="1068" w:hanging="360"/>
      </w:pPr>
      <w:rPr>
        <w:rFonts w:ascii="Courier New" w:hAnsi="Courier New" w:cs="Courier New" w:hint="default"/>
      </w:rPr>
    </w:lvl>
    <w:lvl w:ilvl="1" w:tplc="0C0C0003" w:tentative="1">
      <w:start w:val="1"/>
      <w:numFmt w:val="bullet"/>
      <w:lvlText w:val="o"/>
      <w:lvlJc w:val="left"/>
      <w:pPr>
        <w:ind w:left="1788" w:hanging="360"/>
      </w:pPr>
      <w:rPr>
        <w:rFonts w:ascii="Courier New" w:hAnsi="Courier New" w:cs="Courier New" w:hint="default"/>
      </w:rPr>
    </w:lvl>
    <w:lvl w:ilvl="2" w:tplc="0C0C0005" w:tentative="1">
      <w:start w:val="1"/>
      <w:numFmt w:val="bullet"/>
      <w:lvlText w:val=""/>
      <w:lvlJc w:val="left"/>
      <w:pPr>
        <w:ind w:left="2508" w:hanging="360"/>
      </w:pPr>
      <w:rPr>
        <w:rFonts w:ascii="Wingdings" w:hAnsi="Wingdings" w:hint="default"/>
      </w:rPr>
    </w:lvl>
    <w:lvl w:ilvl="3" w:tplc="0C0C0001" w:tentative="1">
      <w:start w:val="1"/>
      <w:numFmt w:val="bullet"/>
      <w:lvlText w:val=""/>
      <w:lvlJc w:val="left"/>
      <w:pPr>
        <w:ind w:left="3228" w:hanging="360"/>
      </w:pPr>
      <w:rPr>
        <w:rFonts w:ascii="Symbol" w:hAnsi="Symbol" w:hint="default"/>
      </w:rPr>
    </w:lvl>
    <w:lvl w:ilvl="4" w:tplc="0C0C0003" w:tentative="1">
      <w:start w:val="1"/>
      <w:numFmt w:val="bullet"/>
      <w:lvlText w:val="o"/>
      <w:lvlJc w:val="left"/>
      <w:pPr>
        <w:ind w:left="3948" w:hanging="360"/>
      </w:pPr>
      <w:rPr>
        <w:rFonts w:ascii="Courier New" w:hAnsi="Courier New" w:cs="Courier New" w:hint="default"/>
      </w:rPr>
    </w:lvl>
    <w:lvl w:ilvl="5" w:tplc="0C0C0005" w:tentative="1">
      <w:start w:val="1"/>
      <w:numFmt w:val="bullet"/>
      <w:lvlText w:val=""/>
      <w:lvlJc w:val="left"/>
      <w:pPr>
        <w:ind w:left="4668" w:hanging="360"/>
      </w:pPr>
      <w:rPr>
        <w:rFonts w:ascii="Wingdings" w:hAnsi="Wingdings" w:hint="default"/>
      </w:rPr>
    </w:lvl>
    <w:lvl w:ilvl="6" w:tplc="0C0C0001" w:tentative="1">
      <w:start w:val="1"/>
      <w:numFmt w:val="bullet"/>
      <w:lvlText w:val=""/>
      <w:lvlJc w:val="left"/>
      <w:pPr>
        <w:ind w:left="5388" w:hanging="360"/>
      </w:pPr>
      <w:rPr>
        <w:rFonts w:ascii="Symbol" w:hAnsi="Symbol" w:hint="default"/>
      </w:rPr>
    </w:lvl>
    <w:lvl w:ilvl="7" w:tplc="0C0C0003" w:tentative="1">
      <w:start w:val="1"/>
      <w:numFmt w:val="bullet"/>
      <w:lvlText w:val="o"/>
      <w:lvlJc w:val="left"/>
      <w:pPr>
        <w:ind w:left="6108" w:hanging="360"/>
      </w:pPr>
      <w:rPr>
        <w:rFonts w:ascii="Courier New" w:hAnsi="Courier New" w:cs="Courier New" w:hint="default"/>
      </w:rPr>
    </w:lvl>
    <w:lvl w:ilvl="8" w:tplc="0C0C0005" w:tentative="1">
      <w:start w:val="1"/>
      <w:numFmt w:val="bullet"/>
      <w:lvlText w:val=""/>
      <w:lvlJc w:val="left"/>
      <w:pPr>
        <w:ind w:left="6828" w:hanging="360"/>
      </w:pPr>
      <w:rPr>
        <w:rFonts w:ascii="Wingdings" w:hAnsi="Wingdings" w:hint="default"/>
      </w:rPr>
    </w:lvl>
  </w:abstractNum>
  <w:abstractNum w:abstractNumId="1378">
    <w:nsid w:val="6C2A59C3"/>
    <w:multiLevelType w:val="hybridMultilevel"/>
    <w:tmpl w:val="908CAEC0"/>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379">
    <w:nsid w:val="6C415360"/>
    <w:multiLevelType w:val="hybridMultilevel"/>
    <w:tmpl w:val="B9EAFF8C"/>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380">
    <w:nsid w:val="6C4317B0"/>
    <w:multiLevelType w:val="hybridMultilevel"/>
    <w:tmpl w:val="EBA6EFD4"/>
    <w:lvl w:ilvl="0" w:tplc="0C0C0015">
      <w:start w:val="1"/>
      <w:numFmt w:val="upperLetter"/>
      <w:lvlText w:val="%1."/>
      <w:lvlJc w:val="left"/>
      <w:pPr>
        <w:ind w:left="360" w:hanging="360"/>
      </w:pPr>
    </w:lvl>
    <w:lvl w:ilvl="1" w:tplc="0C0C0019" w:tentative="1">
      <w:start w:val="1"/>
      <w:numFmt w:val="lowerLetter"/>
      <w:lvlText w:val="%2."/>
      <w:lvlJc w:val="left"/>
      <w:pPr>
        <w:ind w:left="1080" w:hanging="360"/>
      </w:pPr>
    </w:lvl>
    <w:lvl w:ilvl="2" w:tplc="0C0C001B" w:tentative="1">
      <w:start w:val="1"/>
      <w:numFmt w:val="lowerRoman"/>
      <w:lvlText w:val="%3."/>
      <w:lvlJc w:val="right"/>
      <w:pPr>
        <w:ind w:left="1800" w:hanging="180"/>
      </w:pPr>
    </w:lvl>
    <w:lvl w:ilvl="3" w:tplc="0C0C000F" w:tentative="1">
      <w:start w:val="1"/>
      <w:numFmt w:val="decimal"/>
      <w:lvlText w:val="%4."/>
      <w:lvlJc w:val="left"/>
      <w:pPr>
        <w:ind w:left="2520" w:hanging="360"/>
      </w:pPr>
    </w:lvl>
    <w:lvl w:ilvl="4" w:tplc="0C0C0019" w:tentative="1">
      <w:start w:val="1"/>
      <w:numFmt w:val="lowerLetter"/>
      <w:lvlText w:val="%5."/>
      <w:lvlJc w:val="left"/>
      <w:pPr>
        <w:ind w:left="3240" w:hanging="360"/>
      </w:pPr>
    </w:lvl>
    <w:lvl w:ilvl="5" w:tplc="0C0C001B" w:tentative="1">
      <w:start w:val="1"/>
      <w:numFmt w:val="lowerRoman"/>
      <w:lvlText w:val="%6."/>
      <w:lvlJc w:val="right"/>
      <w:pPr>
        <w:ind w:left="3960" w:hanging="180"/>
      </w:pPr>
    </w:lvl>
    <w:lvl w:ilvl="6" w:tplc="0C0C000F" w:tentative="1">
      <w:start w:val="1"/>
      <w:numFmt w:val="decimal"/>
      <w:lvlText w:val="%7."/>
      <w:lvlJc w:val="left"/>
      <w:pPr>
        <w:ind w:left="4680" w:hanging="360"/>
      </w:pPr>
    </w:lvl>
    <w:lvl w:ilvl="7" w:tplc="0C0C0019" w:tentative="1">
      <w:start w:val="1"/>
      <w:numFmt w:val="lowerLetter"/>
      <w:lvlText w:val="%8."/>
      <w:lvlJc w:val="left"/>
      <w:pPr>
        <w:ind w:left="5400" w:hanging="360"/>
      </w:pPr>
    </w:lvl>
    <w:lvl w:ilvl="8" w:tplc="0C0C001B" w:tentative="1">
      <w:start w:val="1"/>
      <w:numFmt w:val="lowerRoman"/>
      <w:lvlText w:val="%9."/>
      <w:lvlJc w:val="right"/>
      <w:pPr>
        <w:ind w:left="6120" w:hanging="180"/>
      </w:pPr>
    </w:lvl>
  </w:abstractNum>
  <w:abstractNum w:abstractNumId="1381">
    <w:nsid w:val="6C5137C1"/>
    <w:multiLevelType w:val="hybridMultilevel"/>
    <w:tmpl w:val="4E4C2074"/>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382">
    <w:nsid w:val="6C9C5C97"/>
    <w:multiLevelType w:val="hybridMultilevel"/>
    <w:tmpl w:val="8904E1DC"/>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383">
    <w:nsid w:val="6CB95319"/>
    <w:multiLevelType w:val="hybridMultilevel"/>
    <w:tmpl w:val="53507990"/>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384">
    <w:nsid w:val="6CC765CA"/>
    <w:multiLevelType w:val="hybridMultilevel"/>
    <w:tmpl w:val="14601AD8"/>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385">
    <w:nsid w:val="6CCC0F1B"/>
    <w:multiLevelType w:val="hybridMultilevel"/>
    <w:tmpl w:val="52D64912"/>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386">
    <w:nsid w:val="6CD86783"/>
    <w:multiLevelType w:val="hybridMultilevel"/>
    <w:tmpl w:val="A07677F4"/>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387">
    <w:nsid w:val="6CE13792"/>
    <w:multiLevelType w:val="hybridMultilevel"/>
    <w:tmpl w:val="4492E082"/>
    <w:lvl w:ilvl="0" w:tplc="0C0C0003">
      <w:start w:val="1"/>
      <w:numFmt w:val="bullet"/>
      <w:lvlText w:val="o"/>
      <w:lvlJc w:val="left"/>
      <w:pPr>
        <w:ind w:left="720" w:hanging="360"/>
      </w:pPr>
      <w:rPr>
        <w:rFonts w:ascii="Courier New" w:hAnsi="Courier New" w:cs="Courier New"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388">
    <w:nsid w:val="6CE56D04"/>
    <w:multiLevelType w:val="hybridMultilevel"/>
    <w:tmpl w:val="089EE082"/>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389">
    <w:nsid w:val="6D082603"/>
    <w:multiLevelType w:val="hybridMultilevel"/>
    <w:tmpl w:val="D97031CE"/>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390">
    <w:nsid w:val="6D675A56"/>
    <w:multiLevelType w:val="multilevel"/>
    <w:tmpl w:val="A1641516"/>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91">
    <w:nsid w:val="6D6A55AE"/>
    <w:multiLevelType w:val="hybridMultilevel"/>
    <w:tmpl w:val="6E4029D8"/>
    <w:lvl w:ilvl="0" w:tplc="8C74E87E">
      <w:start w:val="4"/>
      <w:numFmt w:val="bullet"/>
      <w:lvlText w:val="-"/>
      <w:lvlJc w:val="left"/>
      <w:pPr>
        <w:ind w:left="360" w:hanging="360"/>
      </w:pPr>
      <w:rPr>
        <w:rFonts w:ascii="Times New Roman" w:eastAsiaTheme="minorHAnsi" w:hAnsi="Times New Roman" w:cs="Times New Roman" w:hint="default"/>
        <w:i/>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392">
    <w:nsid w:val="6DA234E0"/>
    <w:multiLevelType w:val="hybridMultilevel"/>
    <w:tmpl w:val="5A501134"/>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393">
    <w:nsid w:val="6DA806CF"/>
    <w:multiLevelType w:val="hybridMultilevel"/>
    <w:tmpl w:val="C05AEC18"/>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394">
    <w:nsid w:val="6DC62029"/>
    <w:multiLevelType w:val="multilevel"/>
    <w:tmpl w:val="18361AAE"/>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95">
    <w:nsid w:val="6DE81F1E"/>
    <w:multiLevelType w:val="hybridMultilevel"/>
    <w:tmpl w:val="CC9C3BB0"/>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396">
    <w:nsid w:val="6E1607BA"/>
    <w:multiLevelType w:val="hybridMultilevel"/>
    <w:tmpl w:val="323CAD4E"/>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397">
    <w:nsid w:val="6E172F88"/>
    <w:multiLevelType w:val="hybridMultilevel"/>
    <w:tmpl w:val="4568F244"/>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398">
    <w:nsid w:val="6E377988"/>
    <w:multiLevelType w:val="hybridMultilevel"/>
    <w:tmpl w:val="3CBC5F5C"/>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399">
    <w:nsid w:val="6E503722"/>
    <w:multiLevelType w:val="hybridMultilevel"/>
    <w:tmpl w:val="8146F950"/>
    <w:lvl w:ilvl="0" w:tplc="0C0C000B">
      <w:start w:val="1"/>
      <w:numFmt w:val="bullet"/>
      <w:lvlText w:val=""/>
      <w:lvlJc w:val="left"/>
      <w:pPr>
        <w:ind w:left="360" w:hanging="360"/>
      </w:pPr>
      <w:rPr>
        <w:rFonts w:ascii="Wingdings" w:hAnsi="Wingdings" w:hint="default"/>
        <w:i/>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400">
    <w:nsid w:val="6E532656"/>
    <w:multiLevelType w:val="hybridMultilevel"/>
    <w:tmpl w:val="E23A7F5E"/>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401">
    <w:nsid w:val="6E5919F2"/>
    <w:multiLevelType w:val="hybridMultilevel"/>
    <w:tmpl w:val="262CBD0A"/>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402">
    <w:nsid w:val="6E6F6E70"/>
    <w:multiLevelType w:val="hybridMultilevel"/>
    <w:tmpl w:val="1B0E39BE"/>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403">
    <w:nsid w:val="6E810CFB"/>
    <w:multiLevelType w:val="hybridMultilevel"/>
    <w:tmpl w:val="67B647FA"/>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404">
    <w:nsid w:val="6E9817C8"/>
    <w:multiLevelType w:val="hybridMultilevel"/>
    <w:tmpl w:val="14E4E0EA"/>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405">
    <w:nsid w:val="6EA036E8"/>
    <w:multiLevelType w:val="hybridMultilevel"/>
    <w:tmpl w:val="28D49AAC"/>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406">
    <w:nsid w:val="6EB56F66"/>
    <w:multiLevelType w:val="hybridMultilevel"/>
    <w:tmpl w:val="D2161088"/>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407">
    <w:nsid w:val="6EDB03FE"/>
    <w:multiLevelType w:val="hybridMultilevel"/>
    <w:tmpl w:val="B6B2744C"/>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408">
    <w:nsid w:val="6EE52619"/>
    <w:multiLevelType w:val="hybridMultilevel"/>
    <w:tmpl w:val="6EA422AE"/>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409">
    <w:nsid w:val="6F1001D6"/>
    <w:multiLevelType w:val="hybridMultilevel"/>
    <w:tmpl w:val="4E78A83E"/>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410">
    <w:nsid w:val="6F1A17B1"/>
    <w:multiLevelType w:val="hybridMultilevel"/>
    <w:tmpl w:val="3EB07B00"/>
    <w:lvl w:ilvl="0" w:tplc="0C0C0009">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411">
    <w:nsid w:val="6F241871"/>
    <w:multiLevelType w:val="hybridMultilevel"/>
    <w:tmpl w:val="D7F68812"/>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412">
    <w:nsid w:val="6F376487"/>
    <w:multiLevelType w:val="hybridMultilevel"/>
    <w:tmpl w:val="9C444650"/>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413">
    <w:nsid w:val="6F4C00D0"/>
    <w:multiLevelType w:val="hybridMultilevel"/>
    <w:tmpl w:val="C2AA708E"/>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414">
    <w:nsid w:val="6F6A101A"/>
    <w:multiLevelType w:val="hybridMultilevel"/>
    <w:tmpl w:val="ED045C88"/>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415">
    <w:nsid w:val="6F795042"/>
    <w:multiLevelType w:val="hybridMultilevel"/>
    <w:tmpl w:val="56266D46"/>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416">
    <w:nsid w:val="6F7F23DB"/>
    <w:multiLevelType w:val="multilevel"/>
    <w:tmpl w:val="A058C8F0"/>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17">
    <w:nsid w:val="6F9033B3"/>
    <w:multiLevelType w:val="hybridMultilevel"/>
    <w:tmpl w:val="0BBC6DD8"/>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418">
    <w:nsid w:val="6FA0248F"/>
    <w:multiLevelType w:val="hybridMultilevel"/>
    <w:tmpl w:val="8E6C2D70"/>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419">
    <w:nsid w:val="6FA7182A"/>
    <w:multiLevelType w:val="hybridMultilevel"/>
    <w:tmpl w:val="4EDE3242"/>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420">
    <w:nsid w:val="6FA85C83"/>
    <w:multiLevelType w:val="hybridMultilevel"/>
    <w:tmpl w:val="A4827A1C"/>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421">
    <w:nsid w:val="6FBF398A"/>
    <w:multiLevelType w:val="hybridMultilevel"/>
    <w:tmpl w:val="365CEFB6"/>
    <w:lvl w:ilvl="0" w:tplc="0C0C000B">
      <w:start w:val="1"/>
      <w:numFmt w:val="bullet"/>
      <w:lvlText w:val=""/>
      <w:lvlJc w:val="left"/>
      <w:pPr>
        <w:ind w:left="1068" w:hanging="360"/>
      </w:pPr>
      <w:rPr>
        <w:rFonts w:ascii="Wingdings" w:hAnsi="Wingdings" w:hint="default"/>
      </w:rPr>
    </w:lvl>
    <w:lvl w:ilvl="1" w:tplc="0C0C0003" w:tentative="1">
      <w:start w:val="1"/>
      <w:numFmt w:val="bullet"/>
      <w:lvlText w:val="o"/>
      <w:lvlJc w:val="left"/>
      <w:pPr>
        <w:ind w:left="1788" w:hanging="360"/>
      </w:pPr>
      <w:rPr>
        <w:rFonts w:ascii="Courier New" w:hAnsi="Courier New" w:cs="Courier New" w:hint="default"/>
      </w:rPr>
    </w:lvl>
    <w:lvl w:ilvl="2" w:tplc="0C0C0005" w:tentative="1">
      <w:start w:val="1"/>
      <w:numFmt w:val="bullet"/>
      <w:lvlText w:val=""/>
      <w:lvlJc w:val="left"/>
      <w:pPr>
        <w:ind w:left="2508" w:hanging="360"/>
      </w:pPr>
      <w:rPr>
        <w:rFonts w:ascii="Wingdings" w:hAnsi="Wingdings" w:hint="default"/>
      </w:rPr>
    </w:lvl>
    <w:lvl w:ilvl="3" w:tplc="0C0C0001" w:tentative="1">
      <w:start w:val="1"/>
      <w:numFmt w:val="bullet"/>
      <w:lvlText w:val=""/>
      <w:lvlJc w:val="left"/>
      <w:pPr>
        <w:ind w:left="3228" w:hanging="360"/>
      </w:pPr>
      <w:rPr>
        <w:rFonts w:ascii="Symbol" w:hAnsi="Symbol" w:hint="default"/>
      </w:rPr>
    </w:lvl>
    <w:lvl w:ilvl="4" w:tplc="0C0C0003" w:tentative="1">
      <w:start w:val="1"/>
      <w:numFmt w:val="bullet"/>
      <w:lvlText w:val="o"/>
      <w:lvlJc w:val="left"/>
      <w:pPr>
        <w:ind w:left="3948" w:hanging="360"/>
      </w:pPr>
      <w:rPr>
        <w:rFonts w:ascii="Courier New" w:hAnsi="Courier New" w:cs="Courier New" w:hint="default"/>
      </w:rPr>
    </w:lvl>
    <w:lvl w:ilvl="5" w:tplc="0C0C0005" w:tentative="1">
      <w:start w:val="1"/>
      <w:numFmt w:val="bullet"/>
      <w:lvlText w:val=""/>
      <w:lvlJc w:val="left"/>
      <w:pPr>
        <w:ind w:left="4668" w:hanging="360"/>
      </w:pPr>
      <w:rPr>
        <w:rFonts w:ascii="Wingdings" w:hAnsi="Wingdings" w:hint="default"/>
      </w:rPr>
    </w:lvl>
    <w:lvl w:ilvl="6" w:tplc="0C0C0001" w:tentative="1">
      <w:start w:val="1"/>
      <w:numFmt w:val="bullet"/>
      <w:lvlText w:val=""/>
      <w:lvlJc w:val="left"/>
      <w:pPr>
        <w:ind w:left="5388" w:hanging="360"/>
      </w:pPr>
      <w:rPr>
        <w:rFonts w:ascii="Symbol" w:hAnsi="Symbol" w:hint="default"/>
      </w:rPr>
    </w:lvl>
    <w:lvl w:ilvl="7" w:tplc="0C0C0003" w:tentative="1">
      <w:start w:val="1"/>
      <w:numFmt w:val="bullet"/>
      <w:lvlText w:val="o"/>
      <w:lvlJc w:val="left"/>
      <w:pPr>
        <w:ind w:left="6108" w:hanging="360"/>
      </w:pPr>
      <w:rPr>
        <w:rFonts w:ascii="Courier New" w:hAnsi="Courier New" w:cs="Courier New" w:hint="default"/>
      </w:rPr>
    </w:lvl>
    <w:lvl w:ilvl="8" w:tplc="0C0C0005" w:tentative="1">
      <w:start w:val="1"/>
      <w:numFmt w:val="bullet"/>
      <w:lvlText w:val=""/>
      <w:lvlJc w:val="left"/>
      <w:pPr>
        <w:ind w:left="6828" w:hanging="360"/>
      </w:pPr>
      <w:rPr>
        <w:rFonts w:ascii="Wingdings" w:hAnsi="Wingdings" w:hint="default"/>
      </w:rPr>
    </w:lvl>
  </w:abstractNum>
  <w:abstractNum w:abstractNumId="1422">
    <w:nsid w:val="6FC23C62"/>
    <w:multiLevelType w:val="hybridMultilevel"/>
    <w:tmpl w:val="8B4454E0"/>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423">
    <w:nsid w:val="6FCF30D6"/>
    <w:multiLevelType w:val="hybridMultilevel"/>
    <w:tmpl w:val="7F58CC4C"/>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424">
    <w:nsid w:val="6FD46AD9"/>
    <w:multiLevelType w:val="hybridMultilevel"/>
    <w:tmpl w:val="C834EFA0"/>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425">
    <w:nsid w:val="6FD50A36"/>
    <w:multiLevelType w:val="hybridMultilevel"/>
    <w:tmpl w:val="CF00B89A"/>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426">
    <w:nsid w:val="6FE31F05"/>
    <w:multiLevelType w:val="hybridMultilevel"/>
    <w:tmpl w:val="007606C8"/>
    <w:lvl w:ilvl="0" w:tplc="0C0C0009">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427">
    <w:nsid w:val="70024826"/>
    <w:multiLevelType w:val="hybridMultilevel"/>
    <w:tmpl w:val="3156033C"/>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428">
    <w:nsid w:val="701074C8"/>
    <w:multiLevelType w:val="hybridMultilevel"/>
    <w:tmpl w:val="F0FEC846"/>
    <w:lvl w:ilvl="0" w:tplc="0C0C0015">
      <w:start w:val="1"/>
      <w:numFmt w:val="upperLetter"/>
      <w:lvlText w:val="%1."/>
      <w:lvlJc w:val="left"/>
      <w:pPr>
        <w:ind w:left="720" w:hanging="360"/>
      </w:pPr>
    </w:lvl>
    <w:lvl w:ilvl="1" w:tplc="0C0C0019">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1429">
    <w:nsid w:val="7027663D"/>
    <w:multiLevelType w:val="hybridMultilevel"/>
    <w:tmpl w:val="207A370E"/>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430">
    <w:nsid w:val="703E52A7"/>
    <w:multiLevelType w:val="hybridMultilevel"/>
    <w:tmpl w:val="362C8E30"/>
    <w:lvl w:ilvl="0" w:tplc="0C0C000B">
      <w:start w:val="1"/>
      <w:numFmt w:val="bullet"/>
      <w:lvlText w:val=""/>
      <w:lvlJc w:val="left"/>
      <w:pPr>
        <w:ind w:left="720" w:hanging="360"/>
      </w:pPr>
      <w:rPr>
        <w:rFonts w:ascii="Wingdings" w:hAnsi="Wingdings" w:hint="default"/>
      </w:rPr>
    </w:lvl>
    <w:lvl w:ilvl="1" w:tplc="0C0C0003">
      <w:start w:val="1"/>
      <w:numFmt w:val="bullet"/>
      <w:lvlText w:val="o"/>
      <w:lvlJc w:val="left"/>
      <w:pPr>
        <w:ind w:left="1440" w:hanging="360"/>
      </w:pPr>
      <w:rPr>
        <w:rFonts w:ascii="Courier New" w:hAnsi="Courier New" w:cs="Courier New" w:hint="default"/>
      </w:r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1431">
    <w:nsid w:val="703F6988"/>
    <w:multiLevelType w:val="hybridMultilevel"/>
    <w:tmpl w:val="C6506198"/>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432">
    <w:nsid w:val="70473263"/>
    <w:multiLevelType w:val="hybridMultilevel"/>
    <w:tmpl w:val="54802AB4"/>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433">
    <w:nsid w:val="70802267"/>
    <w:multiLevelType w:val="hybridMultilevel"/>
    <w:tmpl w:val="0E32F7FE"/>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434">
    <w:nsid w:val="70827368"/>
    <w:multiLevelType w:val="hybridMultilevel"/>
    <w:tmpl w:val="57B8AEA4"/>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435">
    <w:nsid w:val="70943A1C"/>
    <w:multiLevelType w:val="hybridMultilevel"/>
    <w:tmpl w:val="1C7C42C8"/>
    <w:lvl w:ilvl="0" w:tplc="0C0C0015">
      <w:start w:val="1"/>
      <w:numFmt w:val="upperLetter"/>
      <w:lvlText w:val="%1."/>
      <w:lvlJc w:val="left"/>
      <w:pPr>
        <w:ind w:left="360" w:hanging="360"/>
      </w:pPr>
    </w:lvl>
    <w:lvl w:ilvl="1" w:tplc="0C0C0019">
      <w:start w:val="1"/>
      <w:numFmt w:val="lowerLetter"/>
      <w:lvlText w:val="%2."/>
      <w:lvlJc w:val="left"/>
      <w:pPr>
        <w:ind w:left="1080" w:hanging="360"/>
      </w:pPr>
    </w:lvl>
    <w:lvl w:ilvl="2" w:tplc="0C0C001B" w:tentative="1">
      <w:start w:val="1"/>
      <w:numFmt w:val="lowerRoman"/>
      <w:lvlText w:val="%3."/>
      <w:lvlJc w:val="right"/>
      <w:pPr>
        <w:ind w:left="1800" w:hanging="180"/>
      </w:pPr>
    </w:lvl>
    <w:lvl w:ilvl="3" w:tplc="0C0C000F" w:tentative="1">
      <w:start w:val="1"/>
      <w:numFmt w:val="decimal"/>
      <w:lvlText w:val="%4."/>
      <w:lvlJc w:val="left"/>
      <w:pPr>
        <w:ind w:left="2520" w:hanging="360"/>
      </w:pPr>
    </w:lvl>
    <w:lvl w:ilvl="4" w:tplc="0C0C0019" w:tentative="1">
      <w:start w:val="1"/>
      <w:numFmt w:val="lowerLetter"/>
      <w:lvlText w:val="%5."/>
      <w:lvlJc w:val="left"/>
      <w:pPr>
        <w:ind w:left="3240" w:hanging="360"/>
      </w:pPr>
    </w:lvl>
    <w:lvl w:ilvl="5" w:tplc="0C0C001B" w:tentative="1">
      <w:start w:val="1"/>
      <w:numFmt w:val="lowerRoman"/>
      <w:lvlText w:val="%6."/>
      <w:lvlJc w:val="right"/>
      <w:pPr>
        <w:ind w:left="3960" w:hanging="180"/>
      </w:pPr>
    </w:lvl>
    <w:lvl w:ilvl="6" w:tplc="0C0C000F" w:tentative="1">
      <w:start w:val="1"/>
      <w:numFmt w:val="decimal"/>
      <w:lvlText w:val="%7."/>
      <w:lvlJc w:val="left"/>
      <w:pPr>
        <w:ind w:left="4680" w:hanging="360"/>
      </w:pPr>
    </w:lvl>
    <w:lvl w:ilvl="7" w:tplc="0C0C0019" w:tentative="1">
      <w:start w:val="1"/>
      <w:numFmt w:val="lowerLetter"/>
      <w:lvlText w:val="%8."/>
      <w:lvlJc w:val="left"/>
      <w:pPr>
        <w:ind w:left="5400" w:hanging="360"/>
      </w:pPr>
    </w:lvl>
    <w:lvl w:ilvl="8" w:tplc="0C0C001B" w:tentative="1">
      <w:start w:val="1"/>
      <w:numFmt w:val="lowerRoman"/>
      <w:lvlText w:val="%9."/>
      <w:lvlJc w:val="right"/>
      <w:pPr>
        <w:ind w:left="6120" w:hanging="180"/>
      </w:pPr>
    </w:lvl>
  </w:abstractNum>
  <w:abstractNum w:abstractNumId="1436">
    <w:nsid w:val="709967EF"/>
    <w:multiLevelType w:val="multilevel"/>
    <w:tmpl w:val="0770CE4A"/>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37">
    <w:nsid w:val="70AB2D9D"/>
    <w:multiLevelType w:val="hybridMultilevel"/>
    <w:tmpl w:val="23E68B62"/>
    <w:lvl w:ilvl="0" w:tplc="0C0C000B">
      <w:start w:val="1"/>
      <w:numFmt w:val="bullet"/>
      <w:lvlText w:val=""/>
      <w:lvlJc w:val="left"/>
      <w:pPr>
        <w:ind w:left="720" w:hanging="360"/>
      </w:pPr>
      <w:rPr>
        <w:rFonts w:ascii="Wingdings" w:hAnsi="Wingdings" w:hint="default"/>
      </w:rPr>
    </w:lvl>
    <w:lvl w:ilvl="1" w:tplc="0C0C0003">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438">
    <w:nsid w:val="70FB1D9F"/>
    <w:multiLevelType w:val="hybridMultilevel"/>
    <w:tmpl w:val="26FE4948"/>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439">
    <w:nsid w:val="710766F3"/>
    <w:multiLevelType w:val="hybridMultilevel"/>
    <w:tmpl w:val="664864A8"/>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440">
    <w:nsid w:val="71157AA3"/>
    <w:multiLevelType w:val="hybridMultilevel"/>
    <w:tmpl w:val="3798101A"/>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441">
    <w:nsid w:val="71215B93"/>
    <w:multiLevelType w:val="hybridMultilevel"/>
    <w:tmpl w:val="B3880066"/>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442">
    <w:nsid w:val="71284928"/>
    <w:multiLevelType w:val="hybridMultilevel"/>
    <w:tmpl w:val="AD26122E"/>
    <w:lvl w:ilvl="0" w:tplc="0C0C0009">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443">
    <w:nsid w:val="712F568C"/>
    <w:multiLevelType w:val="hybridMultilevel"/>
    <w:tmpl w:val="E76480C4"/>
    <w:lvl w:ilvl="0" w:tplc="0C0C000B">
      <w:start w:val="1"/>
      <w:numFmt w:val="bullet"/>
      <w:lvlText w:val=""/>
      <w:lvlJc w:val="left"/>
      <w:pPr>
        <w:ind w:left="720" w:hanging="360"/>
      </w:pPr>
      <w:rPr>
        <w:rFonts w:ascii="Wingdings" w:hAnsi="Wingdings" w:hint="default"/>
      </w:rPr>
    </w:lvl>
    <w:lvl w:ilvl="1" w:tplc="0C0C0003">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444">
    <w:nsid w:val="71312470"/>
    <w:multiLevelType w:val="hybridMultilevel"/>
    <w:tmpl w:val="A77845BE"/>
    <w:lvl w:ilvl="0" w:tplc="0060B38C">
      <w:start w:val="4"/>
      <w:numFmt w:val="bullet"/>
      <w:lvlText w:val="-"/>
      <w:lvlJc w:val="left"/>
      <w:pPr>
        <w:ind w:left="360" w:hanging="360"/>
      </w:pPr>
      <w:rPr>
        <w:rFonts w:ascii="Times New Roman" w:eastAsiaTheme="minorHAnsi" w:hAnsi="Times New Roman" w:cs="Times New Roman"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445">
    <w:nsid w:val="713E27E0"/>
    <w:multiLevelType w:val="multilevel"/>
    <w:tmpl w:val="D3B6A5DE"/>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46">
    <w:nsid w:val="714C424A"/>
    <w:multiLevelType w:val="hybridMultilevel"/>
    <w:tmpl w:val="C242D17E"/>
    <w:lvl w:ilvl="0" w:tplc="0C0C000B">
      <w:start w:val="1"/>
      <w:numFmt w:val="bullet"/>
      <w:lvlText w:val=""/>
      <w:lvlJc w:val="left"/>
      <w:pPr>
        <w:ind w:left="720" w:hanging="360"/>
      </w:pPr>
      <w:rPr>
        <w:rFonts w:ascii="Wingdings" w:hAnsi="Wingdings" w:hint="default"/>
      </w:rPr>
    </w:lvl>
    <w:lvl w:ilvl="1" w:tplc="0C0C0003">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447">
    <w:nsid w:val="717029FA"/>
    <w:multiLevelType w:val="hybridMultilevel"/>
    <w:tmpl w:val="661A8416"/>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448">
    <w:nsid w:val="71910EE0"/>
    <w:multiLevelType w:val="hybridMultilevel"/>
    <w:tmpl w:val="F740034E"/>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449">
    <w:nsid w:val="719B05BB"/>
    <w:multiLevelType w:val="hybridMultilevel"/>
    <w:tmpl w:val="FCE0B67A"/>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450">
    <w:nsid w:val="719E04E2"/>
    <w:multiLevelType w:val="hybridMultilevel"/>
    <w:tmpl w:val="EB8E4CFE"/>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451">
    <w:nsid w:val="71A04619"/>
    <w:multiLevelType w:val="hybridMultilevel"/>
    <w:tmpl w:val="F4CAA3C0"/>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452">
    <w:nsid w:val="71A81204"/>
    <w:multiLevelType w:val="hybridMultilevel"/>
    <w:tmpl w:val="B860A8B8"/>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453">
    <w:nsid w:val="71B20327"/>
    <w:multiLevelType w:val="hybridMultilevel"/>
    <w:tmpl w:val="5A8AB536"/>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454">
    <w:nsid w:val="71DA05B2"/>
    <w:multiLevelType w:val="multilevel"/>
    <w:tmpl w:val="5CD6F96E"/>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55">
    <w:nsid w:val="71DA7745"/>
    <w:multiLevelType w:val="hybridMultilevel"/>
    <w:tmpl w:val="C4E07EB4"/>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456">
    <w:nsid w:val="721D1655"/>
    <w:multiLevelType w:val="hybridMultilevel"/>
    <w:tmpl w:val="EB18B684"/>
    <w:lvl w:ilvl="0" w:tplc="0C0C0005">
      <w:start w:val="1"/>
      <w:numFmt w:val="bullet"/>
      <w:lvlText w:val=""/>
      <w:lvlJc w:val="left"/>
      <w:pPr>
        <w:ind w:left="720" w:hanging="360"/>
      </w:pPr>
      <w:rPr>
        <w:rFonts w:ascii="Wingdings" w:hAnsi="Wingdings" w:hint="default"/>
      </w:rPr>
    </w:lvl>
    <w:lvl w:ilvl="1" w:tplc="0C0C0003">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457">
    <w:nsid w:val="7220048F"/>
    <w:multiLevelType w:val="multilevel"/>
    <w:tmpl w:val="16CE403C"/>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58">
    <w:nsid w:val="723474E3"/>
    <w:multiLevelType w:val="hybridMultilevel"/>
    <w:tmpl w:val="0B16B52A"/>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459">
    <w:nsid w:val="725618FB"/>
    <w:multiLevelType w:val="hybridMultilevel"/>
    <w:tmpl w:val="31388D1C"/>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460">
    <w:nsid w:val="7282354C"/>
    <w:multiLevelType w:val="hybridMultilevel"/>
    <w:tmpl w:val="9B6CEA06"/>
    <w:lvl w:ilvl="0" w:tplc="0C0C000B">
      <w:start w:val="1"/>
      <w:numFmt w:val="bullet"/>
      <w:lvlText w:val=""/>
      <w:lvlJc w:val="left"/>
      <w:pPr>
        <w:ind w:left="360" w:hanging="360"/>
      </w:pPr>
      <w:rPr>
        <w:rFonts w:ascii="Wingdings" w:hAnsi="Wingdings" w:hint="default"/>
      </w:rPr>
    </w:lvl>
    <w:lvl w:ilvl="1" w:tplc="0C0C000F">
      <w:start w:val="1"/>
      <w:numFmt w:val="decimal"/>
      <w:lvlText w:val="%2."/>
      <w:lvlJc w:val="left"/>
      <w:pPr>
        <w:ind w:left="1080" w:hanging="360"/>
      </w:pPr>
      <w:rPr>
        <w:rFonts w:hint="default"/>
      </w:rPr>
    </w:lvl>
    <w:lvl w:ilvl="2" w:tplc="AD30B252">
      <w:start w:val="1"/>
      <w:numFmt w:val="upperLetter"/>
      <w:lvlText w:val="%3."/>
      <w:lvlJc w:val="left"/>
      <w:pPr>
        <w:ind w:left="1800" w:hanging="360"/>
      </w:pPr>
      <w:rPr>
        <w:rFont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461">
    <w:nsid w:val="728C4327"/>
    <w:multiLevelType w:val="hybridMultilevel"/>
    <w:tmpl w:val="DED63CEC"/>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462">
    <w:nsid w:val="729D4766"/>
    <w:multiLevelType w:val="hybridMultilevel"/>
    <w:tmpl w:val="8AA6667A"/>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463">
    <w:nsid w:val="72A211E0"/>
    <w:multiLevelType w:val="hybridMultilevel"/>
    <w:tmpl w:val="CB284520"/>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464">
    <w:nsid w:val="72BA1C29"/>
    <w:multiLevelType w:val="hybridMultilevel"/>
    <w:tmpl w:val="34BED240"/>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465">
    <w:nsid w:val="72C66CC6"/>
    <w:multiLevelType w:val="hybridMultilevel"/>
    <w:tmpl w:val="84EE1392"/>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466">
    <w:nsid w:val="72CE2609"/>
    <w:multiLevelType w:val="hybridMultilevel"/>
    <w:tmpl w:val="B9487C28"/>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467">
    <w:nsid w:val="72D81756"/>
    <w:multiLevelType w:val="hybridMultilevel"/>
    <w:tmpl w:val="CCECF828"/>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468">
    <w:nsid w:val="72DF347A"/>
    <w:multiLevelType w:val="hybridMultilevel"/>
    <w:tmpl w:val="B87C008C"/>
    <w:lvl w:ilvl="0" w:tplc="0C0C000B">
      <w:start w:val="1"/>
      <w:numFmt w:val="bullet"/>
      <w:lvlText w:val=""/>
      <w:lvlJc w:val="left"/>
      <w:pPr>
        <w:ind w:left="720" w:hanging="360"/>
      </w:pPr>
      <w:rPr>
        <w:rFonts w:ascii="Wingdings" w:hAnsi="Wingdings" w:hint="default"/>
      </w:rPr>
    </w:lvl>
    <w:lvl w:ilvl="1" w:tplc="0C0C0003">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469">
    <w:nsid w:val="72F02A15"/>
    <w:multiLevelType w:val="hybridMultilevel"/>
    <w:tmpl w:val="21BEC496"/>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470">
    <w:nsid w:val="73043C0F"/>
    <w:multiLevelType w:val="hybridMultilevel"/>
    <w:tmpl w:val="A7E8EA06"/>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471">
    <w:nsid w:val="731C456D"/>
    <w:multiLevelType w:val="hybridMultilevel"/>
    <w:tmpl w:val="6C961B34"/>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472">
    <w:nsid w:val="734E59DA"/>
    <w:multiLevelType w:val="hybridMultilevel"/>
    <w:tmpl w:val="28CC70EA"/>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473">
    <w:nsid w:val="735B3126"/>
    <w:multiLevelType w:val="hybridMultilevel"/>
    <w:tmpl w:val="5C628788"/>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474">
    <w:nsid w:val="7370514C"/>
    <w:multiLevelType w:val="hybridMultilevel"/>
    <w:tmpl w:val="1B165DA6"/>
    <w:lvl w:ilvl="0" w:tplc="0C0C000B">
      <w:start w:val="1"/>
      <w:numFmt w:val="bullet"/>
      <w:lvlText w:val=""/>
      <w:lvlJc w:val="left"/>
      <w:pPr>
        <w:ind w:left="720" w:hanging="360"/>
      </w:pPr>
      <w:rPr>
        <w:rFonts w:ascii="Wingdings" w:hAnsi="Wingdings" w:hint="default"/>
      </w:rPr>
    </w:lvl>
    <w:lvl w:ilvl="1" w:tplc="0C0C0005">
      <w:start w:val="1"/>
      <w:numFmt w:val="bullet"/>
      <w:lvlText w:val=""/>
      <w:lvlJc w:val="left"/>
      <w:pPr>
        <w:ind w:left="1440" w:hanging="360"/>
      </w:pPr>
      <w:rPr>
        <w:rFonts w:ascii="Wingdings" w:hAnsi="Wingdings"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475">
    <w:nsid w:val="737173F1"/>
    <w:multiLevelType w:val="hybridMultilevel"/>
    <w:tmpl w:val="71DEB830"/>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476">
    <w:nsid w:val="737B1126"/>
    <w:multiLevelType w:val="hybridMultilevel"/>
    <w:tmpl w:val="44642A5A"/>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477">
    <w:nsid w:val="737D5BB1"/>
    <w:multiLevelType w:val="multilevel"/>
    <w:tmpl w:val="9CEA43DA"/>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78">
    <w:nsid w:val="738339F3"/>
    <w:multiLevelType w:val="hybridMultilevel"/>
    <w:tmpl w:val="BB8686F4"/>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479">
    <w:nsid w:val="73A564B8"/>
    <w:multiLevelType w:val="hybridMultilevel"/>
    <w:tmpl w:val="53F0B298"/>
    <w:lvl w:ilvl="0" w:tplc="0C0C0015">
      <w:start w:val="1"/>
      <w:numFmt w:val="upperLetter"/>
      <w:lvlText w:val="%1."/>
      <w:lvlJc w:val="left"/>
      <w:pPr>
        <w:ind w:left="720" w:hanging="360"/>
      </w:pPr>
    </w:lvl>
    <w:lvl w:ilvl="1" w:tplc="0C0C0003">
      <w:start w:val="1"/>
      <w:numFmt w:val="bullet"/>
      <w:lvlText w:val="o"/>
      <w:lvlJc w:val="left"/>
      <w:pPr>
        <w:ind w:left="1440" w:hanging="360"/>
      </w:pPr>
      <w:rPr>
        <w:rFonts w:ascii="Courier New" w:hAnsi="Courier New" w:cs="Courier New" w:hint="default"/>
      </w:r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1480">
    <w:nsid w:val="73AA1481"/>
    <w:multiLevelType w:val="hybridMultilevel"/>
    <w:tmpl w:val="829E63A6"/>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481">
    <w:nsid w:val="73BC4580"/>
    <w:multiLevelType w:val="hybridMultilevel"/>
    <w:tmpl w:val="FFDC2F4A"/>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482">
    <w:nsid w:val="73C75EC1"/>
    <w:multiLevelType w:val="hybridMultilevel"/>
    <w:tmpl w:val="BFE2E63C"/>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483">
    <w:nsid w:val="73D91985"/>
    <w:multiLevelType w:val="hybridMultilevel"/>
    <w:tmpl w:val="95E4BDC8"/>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484">
    <w:nsid w:val="73E577E8"/>
    <w:multiLevelType w:val="hybridMultilevel"/>
    <w:tmpl w:val="C7F21BA0"/>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485">
    <w:nsid w:val="7405451F"/>
    <w:multiLevelType w:val="hybridMultilevel"/>
    <w:tmpl w:val="07DE2722"/>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486">
    <w:nsid w:val="74110642"/>
    <w:multiLevelType w:val="hybridMultilevel"/>
    <w:tmpl w:val="6FA8FA18"/>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487">
    <w:nsid w:val="741F1350"/>
    <w:multiLevelType w:val="hybridMultilevel"/>
    <w:tmpl w:val="1054CEE8"/>
    <w:lvl w:ilvl="0" w:tplc="0C0C0015">
      <w:start w:val="1"/>
      <w:numFmt w:val="upperLetter"/>
      <w:lvlText w:val="%1."/>
      <w:lvlJc w:val="left"/>
      <w:pPr>
        <w:ind w:left="360" w:hanging="360"/>
      </w:pPr>
    </w:lvl>
    <w:lvl w:ilvl="1" w:tplc="0C0C0019">
      <w:start w:val="1"/>
      <w:numFmt w:val="lowerLetter"/>
      <w:lvlText w:val="%2."/>
      <w:lvlJc w:val="left"/>
      <w:pPr>
        <w:ind w:left="1080" w:hanging="360"/>
      </w:pPr>
    </w:lvl>
    <w:lvl w:ilvl="2" w:tplc="0C0C001B" w:tentative="1">
      <w:start w:val="1"/>
      <w:numFmt w:val="lowerRoman"/>
      <w:lvlText w:val="%3."/>
      <w:lvlJc w:val="right"/>
      <w:pPr>
        <w:ind w:left="1800" w:hanging="180"/>
      </w:pPr>
    </w:lvl>
    <w:lvl w:ilvl="3" w:tplc="0C0C000F" w:tentative="1">
      <w:start w:val="1"/>
      <w:numFmt w:val="decimal"/>
      <w:lvlText w:val="%4."/>
      <w:lvlJc w:val="left"/>
      <w:pPr>
        <w:ind w:left="2520" w:hanging="360"/>
      </w:pPr>
    </w:lvl>
    <w:lvl w:ilvl="4" w:tplc="0C0C0019" w:tentative="1">
      <w:start w:val="1"/>
      <w:numFmt w:val="lowerLetter"/>
      <w:lvlText w:val="%5."/>
      <w:lvlJc w:val="left"/>
      <w:pPr>
        <w:ind w:left="3240" w:hanging="360"/>
      </w:pPr>
    </w:lvl>
    <w:lvl w:ilvl="5" w:tplc="0C0C001B" w:tentative="1">
      <w:start w:val="1"/>
      <w:numFmt w:val="lowerRoman"/>
      <w:lvlText w:val="%6."/>
      <w:lvlJc w:val="right"/>
      <w:pPr>
        <w:ind w:left="3960" w:hanging="180"/>
      </w:pPr>
    </w:lvl>
    <w:lvl w:ilvl="6" w:tplc="0C0C000F" w:tentative="1">
      <w:start w:val="1"/>
      <w:numFmt w:val="decimal"/>
      <w:lvlText w:val="%7."/>
      <w:lvlJc w:val="left"/>
      <w:pPr>
        <w:ind w:left="4680" w:hanging="360"/>
      </w:pPr>
    </w:lvl>
    <w:lvl w:ilvl="7" w:tplc="0C0C0019" w:tentative="1">
      <w:start w:val="1"/>
      <w:numFmt w:val="lowerLetter"/>
      <w:lvlText w:val="%8."/>
      <w:lvlJc w:val="left"/>
      <w:pPr>
        <w:ind w:left="5400" w:hanging="360"/>
      </w:pPr>
    </w:lvl>
    <w:lvl w:ilvl="8" w:tplc="0C0C001B" w:tentative="1">
      <w:start w:val="1"/>
      <w:numFmt w:val="lowerRoman"/>
      <w:lvlText w:val="%9."/>
      <w:lvlJc w:val="right"/>
      <w:pPr>
        <w:ind w:left="6120" w:hanging="180"/>
      </w:pPr>
    </w:lvl>
  </w:abstractNum>
  <w:abstractNum w:abstractNumId="1488">
    <w:nsid w:val="74287632"/>
    <w:multiLevelType w:val="hybridMultilevel"/>
    <w:tmpl w:val="737A8A1A"/>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489">
    <w:nsid w:val="74773E91"/>
    <w:multiLevelType w:val="hybridMultilevel"/>
    <w:tmpl w:val="E18AEA72"/>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490">
    <w:nsid w:val="749E1616"/>
    <w:multiLevelType w:val="hybridMultilevel"/>
    <w:tmpl w:val="F8BAC1B6"/>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491">
    <w:nsid w:val="74B87D59"/>
    <w:multiLevelType w:val="hybridMultilevel"/>
    <w:tmpl w:val="3FF60A6A"/>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492">
    <w:nsid w:val="74C21628"/>
    <w:multiLevelType w:val="multilevel"/>
    <w:tmpl w:val="479EEBF8"/>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93">
    <w:nsid w:val="74F77D67"/>
    <w:multiLevelType w:val="hybridMultilevel"/>
    <w:tmpl w:val="5FD2883C"/>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494">
    <w:nsid w:val="75016EB9"/>
    <w:multiLevelType w:val="hybridMultilevel"/>
    <w:tmpl w:val="F8E2B39C"/>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495">
    <w:nsid w:val="750A430B"/>
    <w:multiLevelType w:val="hybridMultilevel"/>
    <w:tmpl w:val="5B10D2A0"/>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496">
    <w:nsid w:val="751A339C"/>
    <w:multiLevelType w:val="hybridMultilevel"/>
    <w:tmpl w:val="50263C16"/>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497">
    <w:nsid w:val="751A40E0"/>
    <w:multiLevelType w:val="hybridMultilevel"/>
    <w:tmpl w:val="47C27116"/>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498">
    <w:nsid w:val="75242EC2"/>
    <w:multiLevelType w:val="hybridMultilevel"/>
    <w:tmpl w:val="2C205326"/>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499">
    <w:nsid w:val="753A0193"/>
    <w:multiLevelType w:val="hybridMultilevel"/>
    <w:tmpl w:val="07B62402"/>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500">
    <w:nsid w:val="75631B92"/>
    <w:multiLevelType w:val="hybridMultilevel"/>
    <w:tmpl w:val="AAB432EA"/>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501">
    <w:nsid w:val="758301DF"/>
    <w:multiLevelType w:val="hybridMultilevel"/>
    <w:tmpl w:val="020CD3DA"/>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502">
    <w:nsid w:val="758D670F"/>
    <w:multiLevelType w:val="hybridMultilevel"/>
    <w:tmpl w:val="FCFA952C"/>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503">
    <w:nsid w:val="75A210F5"/>
    <w:multiLevelType w:val="hybridMultilevel"/>
    <w:tmpl w:val="4F527FB6"/>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504">
    <w:nsid w:val="75AF1ED6"/>
    <w:multiLevelType w:val="multilevel"/>
    <w:tmpl w:val="4C62CF3E"/>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05">
    <w:nsid w:val="75B91104"/>
    <w:multiLevelType w:val="hybridMultilevel"/>
    <w:tmpl w:val="F01AC42A"/>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506">
    <w:nsid w:val="75D411B4"/>
    <w:multiLevelType w:val="hybridMultilevel"/>
    <w:tmpl w:val="CA2A6AEE"/>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507">
    <w:nsid w:val="75DD7D0F"/>
    <w:multiLevelType w:val="hybridMultilevel"/>
    <w:tmpl w:val="18524A90"/>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508">
    <w:nsid w:val="76044D8D"/>
    <w:multiLevelType w:val="hybridMultilevel"/>
    <w:tmpl w:val="C388C23C"/>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509">
    <w:nsid w:val="76321ED8"/>
    <w:multiLevelType w:val="hybridMultilevel"/>
    <w:tmpl w:val="00F89D68"/>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510">
    <w:nsid w:val="763A5FB5"/>
    <w:multiLevelType w:val="hybridMultilevel"/>
    <w:tmpl w:val="CA78078A"/>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511">
    <w:nsid w:val="76B41EFB"/>
    <w:multiLevelType w:val="hybridMultilevel"/>
    <w:tmpl w:val="95D46D00"/>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512">
    <w:nsid w:val="76C36228"/>
    <w:multiLevelType w:val="hybridMultilevel"/>
    <w:tmpl w:val="B6D46986"/>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513">
    <w:nsid w:val="76C663CC"/>
    <w:multiLevelType w:val="hybridMultilevel"/>
    <w:tmpl w:val="CC64B118"/>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514">
    <w:nsid w:val="76D773BB"/>
    <w:multiLevelType w:val="hybridMultilevel"/>
    <w:tmpl w:val="3802F852"/>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515">
    <w:nsid w:val="76F8671F"/>
    <w:multiLevelType w:val="hybridMultilevel"/>
    <w:tmpl w:val="AEF22B34"/>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516">
    <w:nsid w:val="76FF7089"/>
    <w:multiLevelType w:val="hybridMultilevel"/>
    <w:tmpl w:val="29BC78C0"/>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517">
    <w:nsid w:val="771530F5"/>
    <w:multiLevelType w:val="hybridMultilevel"/>
    <w:tmpl w:val="D11EFAAC"/>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518">
    <w:nsid w:val="771D6A78"/>
    <w:multiLevelType w:val="hybridMultilevel"/>
    <w:tmpl w:val="86ACE8AE"/>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519">
    <w:nsid w:val="77264988"/>
    <w:multiLevelType w:val="hybridMultilevel"/>
    <w:tmpl w:val="404E6F20"/>
    <w:lvl w:ilvl="0" w:tplc="0C0C000B">
      <w:start w:val="1"/>
      <w:numFmt w:val="bullet"/>
      <w:lvlText w:val=""/>
      <w:lvlJc w:val="left"/>
      <w:pPr>
        <w:ind w:left="708" w:hanging="360"/>
      </w:pPr>
      <w:rPr>
        <w:rFonts w:ascii="Wingdings" w:hAnsi="Wingdings" w:hint="default"/>
      </w:rPr>
    </w:lvl>
    <w:lvl w:ilvl="1" w:tplc="0C0C0003">
      <w:start w:val="1"/>
      <w:numFmt w:val="bullet"/>
      <w:lvlText w:val="o"/>
      <w:lvlJc w:val="left"/>
      <w:pPr>
        <w:ind w:left="1428" w:hanging="360"/>
      </w:pPr>
      <w:rPr>
        <w:rFonts w:ascii="Courier New" w:hAnsi="Courier New" w:cs="Courier New" w:hint="default"/>
      </w:rPr>
    </w:lvl>
    <w:lvl w:ilvl="2" w:tplc="0C0C0005" w:tentative="1">
      <w:start w:val="1"/>
      <w:numFmt w:val="bullet"/>
      <w:lvlText w:val=""/>
      <w:lvlJc w:val="left"/>
      <w:pPr>
        <w:ind w:left="2148" w:hanging="360"/>
      </w:pPr>
      <w:rPr>
        <w:rFonts w:ascii="Wingdings" w:hAnsi="Wingdings" w:hint="default"/>
      </w:rPr>
    </w:lvl>
    <w:lvl w:ilvl="3" w:tplc="0C0C0001" w:tentative="1">
      <w:start w:val="1"/>
      <w:numFmt w:val="bullet"/>
      <w:lvlText w:val=""/>
      <w:lvlJc w:val="left"/>
      <w:pPr>
        <w:ind w:left="2868" w:hanging="360"/>
      </w:pPr>
      <w:rPr>
        <w:rFonts w:ascii="Symbol" w:hAnsi="Symbol" w:hint="default"/>
      </w:rPr>
    </w:lvl>
    <w:lvl w:ilvl="4" w:tplc="0C0C0003" w:tentative="1">
      <w:start w:val="1"/>
      <w:numFmt w:val="bullet"/>
      <w:lvlText w:val="o"/>
      <w:lvlJc w:val="left"/>
      <w:pPr>
        <w:ind w:left="3588" w:hanging="360"/>
      </w:pPr>
      <w:rPr>
        <w:rFonts w:ascii="Courier New" w:hAnsi="Courier New" w:cs="Courier New" w:hint="default"/>
      </w:rPr>
    </w:lvl>
    <w:lvl w:ilvl="5" w:tplc="0C0C0005" w:tentative="1">
      <w:start w:val="1"/>
      <w:numFmt w:val="bullet"/>
      <w:lvlText w:val=""/>
      <w:lvlJc w:val="left"/>
      <w:pPr>
        <w:ind w:left="4308" w:hanging="360"/>
      </w:pPr>
      <w:rPr>
        <w:rFonts w:ascii="Wingdings" w:hAnsi="Wingdings" w:hint="default"/>
      </w:rPr>
    </w:lvl>
    <w:lvl w:ilvl="6" w:tplc="0C0C0001" w:tentative="1">
      <w:start w:val="1"/>
      <w:numFmt w:val="bullet"/>
      <w:lvlText w:val=""/>
      <w:lvlJc w:val="left"/>
      <w:pPr>
        <w:ind w:left="5028" w:hanging="360"/>
      </w:pPr>
      <w:rPr>
        <w:rFonts w:ascii="Symbol" w:hAnsi="Symbol" w:hint="default"/>
      </w:rPr>
    </w:lvl>
    <w:lvl w:ilvl="7" w:tplc="0C0C0003" w:tentative="1">
      <w:start w:val="1"/>
      <w:numFmt w:val="bullet"/>
      <w:lvlText w:val="o"/>
      <w:lvlJc w:val="left"/>
      <w:pPr>
        <w:ind w:left="5748" w:hanging="360"/>
      </w:pPr>
      <w:rPr>
        <w:rFonts w:ascii="Courier New" w:hAnsi="Courier New" w:cs="Courier New" w:hint="default"/>
      </w:rPr>
    </w:lvl>
    <w:lvl w:ilvl="8" w:tplc="0C0C0005" w:tentative="1">
      <w:start w:val="1"/>
      <w:numFmt w:val="bullet"/>
      <w:lvlText w:val=""/>
      <w:lvlJc w:val="left"/>
      <w:pPr>
        <w:ind w:left="6468" w:hanging="360"/>
      </w:pPr>
      <w:rPr>
        <w:rFonts w:ascii="Wingdings" w:hAnsi="Wingdings" w:hint="default"/>
      </w:rPr>
    </w:lvl>
  </w:abstractNum>
  <w:abstractNum w:abstractNumId="1520">
    <w:nsid w:val="77332B59"/>
    <w:multiLevelType w:val="hybridMultilevel"/>
    <w:tmpl w:val="3698E2CC"/>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521">
    <w:nsid w:val="773571EE"/>
    <w:multiLevelType w:val="hybridMultilevel"/>
    <w:tmpl w:val="03041B52"/>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522">
    <w:nsid w:val="77500205"/>
    <w:multiLevelType w:val="hybridMultilevel"/>
    <w:tmpl w:val="4B80BE96"/>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523">
    <w:nsid w:val="7768223E"/>
    <w:multiLevelType w:val="hybridMultilevel"/>
    <w:tmpl w:val="81F64F30"/>
    <w:lvl w:ilvl="0" w:tplc="0C0C0015">
      <w:start w:val="1"/>
      <w:numFmt w:val="upperLetter"/>
      <w:lvlText w:val="%1."/>
      <w:lvlJc w:val="left"/>
      <w:pPr>
        <w:ind w:left="360" w:hanging="360"/>
      </w:pPr>
    </w:lvl>
    <w:lvl w:ilvl="1" w:tplc="0C0C0019">
      <w:start w:val="1"/>
      <w:numFmt w:val="lowerLetter"/>
      <w:lvlText w:val="%2."/>
      <w:lvlJc w:val="left"/>
      <w:pPr>
        <w:ind w:left="1080" w:hanging="360"/>
      </w:pPr>
    </w:lvl>
    <w:lvl w:ilvl="2" w:tplc="0C0C001B" w:tentative="1">
      <w:start w:val="1"/>
      <w:numFmt w:val="lowerRoman"/>
      <w:lvlText w:val="%3."/>
      <w:lvlJc w:val="right"/>
      <w:pPr>
        <w:ind w:left="1800" w:hanging="180"/>
      </w:pPr>
    </w:lvl>
    <w:lvl w:ilvl="3" w:tplc="0C0C000F" w:tentative="1">
      <w:start w:val="1"/>
      <w:numFmt w:val="decimal"/>
      <w:lvlText w:val="%4."/>
      <w:lvlJc w:val="left"/>
      <w:pPr>
        <w:ind w:left="2520" w:hanging="360"/>
      </w:pPr>
    </w:lvl>
    <w:lvl w:ilvl="4" w:tplc="0C0C0019" w:tentative="1">
      <w:start w:val="1"/>
      <w:numFmt w:val="lowerLetter"/>
      <w:lvlText w:val="%5."/>
      <w:lvlJc w:val="left"/>
      <w:pPr>
        <w:ind w:left="3240" w:hanging="360"/>
      </w:pPr>
    </w:lvl>
    <w:lvl w:ilvl="5" w:tplc="0C0C001B" w:tentative="1">
      <w:start w:val="1"/>
      <w:numFmt w:val="lowerRoman"/>
      <w:lvlText w:val="%6."/>
      <w:lvlJc w:val="right"/>
      <w:pPr>
        <w:ind w:left="3960" w:hanging="180"/>
      </w:pPr>
    </w:lvl>
    <w:lvl w:ilvl="6" w:tplc="0C0C000F" w:tentative="1">
      <w:start w:val="1"/>
      <w:numFmt w:val="decimal"/>
      <w:lvlText w:val="%7."/>
      <w:lvlJc w:val="left"/>
      <w:pPr>
        <w:ind w:left="4680" w:hanging="360"/>
      </w:pPr>
    </w:lvl>
    <w:lvl w:ilvl="7" w:tplc="0C0C0019" w:tentative="1">
      <w:start w:val="1"/>
      <w:numFmt w:val="lowerLetter"/>
      <w:lvlText w:val="%8."/>
      <w:lvlJc w:val="left"/>
      <w:pPr>
        <w:ind w:left="5400" w:hanging="360"/>
      </w:pPr>
    </w:lvl>
    <w:lvl w:ilvl="8" w:tplc="0C0C001B" w:tentative="1">
      <w:start w:val="1"/>
      <w:numFmt w:val="lowerRoman"/>
      <w:lvlText w:val="%9."/>
      <w:lvlJc w:val="right"/>
      <w:pPr>
        <w:ind w:left="6120" w:hanging="180"/>
      </w:pPr>
    </w:lvl>
  </w:abstractNum>
  <w:abstractNum w:abstractNumId="1524">
    <w:nsid w:val="778040A7"/>
    <w:multiLevelType w:val="hybridMultilevel"/>
    <w:tmpl w:val="253A880C"/>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525">
    <w:nsid w:val="779279CB"/>
    <w:multiLevelType w:val="hybridMultilevel"/>
    <w:tmpl w:val="78DAC4CA"/>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526">
    <w:nsid w:val="779F716D"/>
    <w:multiLevelType w:val="multilevel"/>
    <w:tmpl w:val="774E8CF0"/>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27">
    <w:nsid w:val="77B942E1"/>
    <w:multiLevelType w:val="hybridMultilevel"/>
    <w:tmpl w:val="F9C6CDA6"/>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528">
    <w:nsid w:val="77BC3996"/>
    <w:multiLevelType w:val="hybridMultilevel"/>
    <w:tmpl w:val="DB1AFFEC"/>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529">
    <w:nsid w:val="77C10575"/>
    <w:multiLevelType w:val="hybridMultilevel"/>
    <w:tmpl w:val="FEC0A236"/>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530">
    <w:nsid w:val="77DF6C48"/>
    <w:multiLevelType w:val="hybridMultilevel"/>
    <w:tmpl w:val="964A3968"/>
    <w:lvl w:ilvl="0" w:tplc="0C0C0003">
      <w:start w:val="1"/>
      <w:numFmt w:val="bullet"/>
      <w:lvlText w:val="o"/>
      <w:lvlJc w:val="left"/>
      <w:pPr>
        <w:ind w:left="1068" w:hanging="360"/>
      </w:pPr>
      <w:rPr>
        <w:rFonts w:ascii="Courier New" w:hAnsi="Courier New" w:cs="Courier New" w:hint="default"/>
      </w:rPr>
    </w:lvl>
    <w:lvl w:ilvl="1" w:tplc="0C0C0003" w:tentative="1">
      <w:start w:val="1"/>
      <w:numFmt w:val="bullet"/>
      <w:lvlText w:val="o"/>
      <w:lvlJc w:val="left"/>
      <w:pPr>
        <w:ind w:left="1788" w:hanging="360"/>
      </w:pPr>
      <w:rPr>
        <w:rFonts w:ascii="Courier New" w:hAnsi="Courier New" w:cs="Courier New" w:hint="default"/>
      </w:rPr>
    </w:lvl>
    <w:lvl w:ilvl="2" w:tplc="0C0C0005" w:tentative="1">
      <w:start w:val="1"/>
      <w:numFmt w:val="bullet"/>
      <w:lvlText w:val=""/>
      <w:lvlJc w:val="left"/>
      <w:pPr>
        <w:ind w:left="2508" w:hanging="360"/>
      </w:pPr>
      <w:rPr>
        <w:rFonts w:ascii="Wingdings" w:hAnsi="Wingdings" w:hint="default"/>
      </w:rPr>
    </w:lvl>
    <w:lvl w:ilvl="3" w:tplc="0C0C0001" w:tentative="1">
      <w:start w:val="1"/>
      <w:numFmt w:val="bullet"/>
      <w:lvlText w:val=""/>
      <w:lvlJc w:val="left"/>
      <w:pPr>
        <w:ind w:left="3228" w:hanging="360"/>
      </w:pPr>
      <w:rPr>
        <w:rFonts w:ascii="Symbol" w:hAnsi="Symbol" w:hint="default"/>
      </w:rPr>
    </w:lvl>
    <w:lvl w:ilvl="4" w:tplc="0C0C0003" w:tentative="1">
      <w:start w:val="1"/>
      <w:numFmt w:val="bullet"/>
      <w:lvlText w:val="o"/>
      <w:lvlJc w:val="left"/>
      <w:pPr>
        <w:ind w:left="3948" w:hanging="360"/>
      </w:pPr>
      <w:rPr>
        <w:rFonts w:ascii="Courier New" w:hAnsi="Courier New" w:cs="Courier New" w:hint="default"/>
      </w:rPr>
    </w:lvl>
    <w:lvl w:ilvl="5" w:tplc="0C0C0005" w:tentative="1">
      <w:start w:val="1"/>
      <w:numFmt w:val="bullet"/>
      <w:lvlText w:val=""/>
      <w:lvlJc w:val="left"/>
      <w:pPr>
        <w:ind w:left="4668" w:hanging="360"/>
      </w:pPr>
      <w:rPr>
        <w:rFonts w:ascii="Wingdings" w:hAnsi="Wingdings" w:hint="default"/>
      </w:rPr>
    </w:lvl>
    <w:lvl w:ilvl="6" w:tplc="0C0C0001" w:tentative="1">
      <w:start w:val="1"/>
      <w:numFmt w:val="bullet"/>
      <w:lvlText w:val=""/>
      <w:lvlJc w:val="left"/>
      <w:pPr>
        <w:ind w:left="5388" w:hanging="360"/>
      </w:pPr>
      <w:rPr>
        <w:rFonts w:ascii="Symbol" w:hAnsi="Symbol" w:hint="default"/>
      </w:rPr>
    </w:lvl>
    <w:lvl w:ilvl="7" w:tplc="0C0C0003" w:tentative="1">
      <w:start w:val="1"/>
      <w:numFmt w:val="bullet"/>
      <w:lvlText w:val="o"/>
      <w:lvlJc w:val="left"/>
      <w:pPr>
        <w:ind w:left="6108" w:hanging="360"/>
      </w:pPr>
      <w:rPr>
        <w:rFonts w:ascii="Courier New" w:hAnsi="Courier New" w:cs="Courier New" w:hint="default"/>
      </w:rPr>
    </w:lvl>
    <w:lvl w:ilvl="8" w:tplc="0C0C0005" w:tentative="1">
      <w:start w:val="1"/>
      <w:numFmt w:val="bullet"/>
      <w:lvlText w:val=""/>
      <w:lvlJc w:val="left"/>
      <w:pPr>
        <w:ind w:left="6828" w:hanging="360"/>
      </w:pPr>
      <w:rPr>
        <w:rFonts w:ascii="Wingdings" w:hAnsi="Wingdings" w:hint="default"/>
      </w:rPr>
    </w:lvl>
  </w:abstractNum>
  <w:abstractNum w:abstractNumId="1531">
    <w:nsid w:val="77EF65DE"/>
    <w:multiLevelType w:val="hybridMultilevel"/>
    <w:tmpl w:val="8E00371C"/>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532">
    <w:nsid w:val="77F13AF6"/>
    <w:multiLevelType w:val="hybridMultilevel"/>
    <w:tmpl w:val="4650EF3A"/>
    <w:lvl w:ilvl="0" w:tplc="0C0C000B">
      <w:start w:val="1"/>
      <w:numFmt w:val="bullet"/>
      <w:lvlText w:val=""/>
      <w:lvlJc w:val="left"/>
      <w:pPr>
        <w:ind w:left="720" w:hanging="360"/>
      </w:pPr>
      <w:rPr>
        <w:rFonts w:ascii="Wingdings" w:hAnsi="Wingdings" w:hint="default"/>
      </w:rPr>
    </w:lvl>
    <w:lvl w:ilvl="1" w:tplc="0C0C0003">
      <w:start w:val="1"/>
      <w:numFmt w:val="bullet"/>
      <w:lvlText w:val="o"/>
      <w:lvlJc w:val="left"/>
      <w:pPr>
        <w:ind w:left="1440" w:hanging="360"/>
      </w:pPr>
      <w:rPr>
        <w:rFonts w:ascii="Courier New" w:hAnsi="Courier New" w:cs="Courier New" w:hint="default"/>
      </w:rPr>
    </w:lvl>
    <w:lvl w:ilvl="2" w:tplc="0C0C0005">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533">
    <w:nsid w:val="77FD6EF8"/>
    <w:multiLevelType w:val="hybridMultilevel"/>
    <w:tmpl w:val="ED206C36"/>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534">
    <w:nsid w:val="78134BEC"/>
    <w:multiLevelType w:val="hybridMultilevel"/>
    <w:tmpl w:val="CC6E245C"/>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535">
    <w:nsid w:val="782B6B5A"/>
    <w:multiLevelType w:val="hybridMultilevel"/>
    <w:tmpl w:val="44FAAC8C"/>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536">
    <w:nsid w:val="783131E0"/>
    <w:multiLevelType w:val="hybridMultilevel"/>
    <w:tmpl w:val="28746A34"/>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537">
    <w:nsid w:val="783F4D94"/>
    <w:multiLevelType w:val="hybridMultilevel"/>
    <w:tmpl w:val="C05E76A2"/>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538">
    <w:nsid w:val="784E2AEB"/>
    <w:multiLevelType w:val="hybridMultilevel"/>
    <w:tmpl w:val="5914C224"/>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539">
    <w:nsid w:val="786E6A6E"/>
    <w:multiLevelType w:val="hybridMultilevel"/>
    <w:tmpl w:val="B6765AC2"/>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540">
    <w:nsid w:val="78715070"/>
    <w:multiLevelType w:val="hybridMultilevel"/>
    <w:tmpl w:val="54DE304C"/>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541">
    <w:nsid w:val="787F7801"/>
    <w:multiLevelType w:val="hybridMultilevel"/>
    <w:tmpl w:val="0F188630"/>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542">
    <w:nsid w:val="78855555"/>
    <w:multiLevelType w:val="hybridMultilevel"/>
    <w:tmpl w:val="E3943244"/>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543">
    <w:nsid w:val="788D04BB"/>
    <w:multiLevelType w:val="hybridMultilevel"/>
    <w:tmpl w:val="60AC3F30"/>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544">
    <w:nsid w:val="78DA0B34"/>
    <w:multiLevelType w:val="hybridMultilevel"/>
    <w:tmpl w:val="D71AC35C"/>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545">
    <w:nsid w:val="78F11AF2"/>
    <w:multiLevelType w:val="hybridMultilevel"/>
    <w:tmpl w:val="FE70B8F8"/>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546">
    <w:nsid w:val="78F23F4C"/>
    <w:multiLevelType w:val="hybridMultilevel"/>
    <w:tmpl w:val="19B6A766"/>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547">
    <w:nsid w:val="79004368"/>
    <w:multiLevelType w:val="hybridMultilevel"/>
    <w:tmpl w:val="7B560DCA"/>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548">
    <w:nsid w:val="790F129F"/>
    <w:multiLevelType w:val="hybridMultilevel"/>
    <w:tmpl w:val="2AC63B0C"/>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549">
    <w:nsid w:val="791C6A55"/>
    <w:multiLevelType w:val="hybridMultilevel"/>
    <w:tmpl w:val="3D368A28"/>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550">
    <w:nsid w:val="793831D5"/>
    <w:multiLevelType w:val="hybridMultilevel"/>
    <w:tmpl w:val="E020B7B0"/>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551">
    <w:nsid w:val="793B28E4"/>
    <w:multiLevelType w:val="hybridMultilevel"/>
    <w:tmpl w:val="D8D276D4"/>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552">
    <w:nsid w:val="793B2E7D"/>
    <w:multiLevelType w:val="hybridMultilevel"/>
    <w:tmpl w:val="23524E08"/>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553">
    <w:nsid w:val="793C4C82"/>
    <w:multiLevelType w:val="hybridMultilevel"/>
    <w:tmpl w:val="C570DBF2"/>
    <w:lvl w:ilvl="0" w:tplc="0C0C000B">
      <w:start w:val="1"/>
      <w:numFmt w:val="bullet"/>
      <w:lvlText w:val=""/>
      <w:lvlJc w:val="left"/>
      <w:pPr>
        <w:ind w:left="720" w:hanging="360"/>
      </w:pPr>
      <w:rPr>
        <w:rFonts w:ascii="Wingdings" w:hAnsi="Wingdings" w:hint="default"/>
      </w:rPr>
    </w:lvl>
    <w:lvl w:ilvl="1" w:tplc="0C0C0003">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554">
    <w:nsid w:val="79550805"/>
    <w:multiLevelType w:val="hybridMultilevel"/>
    <w:tmpl w:val="9DA667D2"/>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555">
    <w:nsid w:val="79587A02"/>
    <w:multiLevelType w:val="hybridMultilevel"/>
    <w:tmpl w:val="F17E21E4"/>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556">
    <w:nsid w:val="79602620"/>
    <w:multiLevelType w:val="hybridMultilevel"/>
    <w:tmpl w:val="59F81970"/>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557">
    <w:nsid w:val="799F2645"/>
    <w:multiLevelType w:val="hybridMultilevel"/>
    <w:tmpl w:val="B33A2FF8"/>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558">
    <w:nsid w:val="79B72915"/>
    <w:multiLevelType w:val="hybridMultilevel"/>
    <w:tmpl w:val="7E1A0786"/>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559">
    <w:nsid w:val="79B910F5"/>
    <w:multiLevelType w:val="hybridMultilevel"/>
    <w:tmpl w:val="5692893C"/>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560">
    <w:nsid w:val="79CE23F1"/>
    <w:multiLevelType w:val="multilevel"/>
    <w:tmpl w:val="FBB4EE94"/>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61">
    <w:nsid w:val="79F04959"/>
    <w:multiLevelType w:val="hybridMultilevel"/>
    <w:tmpl w:val="53AA27B0"/>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562">
    <w:nsid w:val="7A15408D"/>
    <w:multiLevelType w:val="hybridMultilevel"/>
    <w:tmpl w:val="609489AA"/>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563">
    <w:nsid w:val="7A362CB7"/>
    <w:multiLevelType w:val="multilevel"/>
    <w:tmpl w:val="617C6BE6"/>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64">
    <w:nsid w:val="7A402DC4"/>
    <w:multiLevelType w:val="hybridMultilevel"/>
    <w:tmpl w:val="E00E0F50"/>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565">
    <w:nsid w:val="7A4C0717"/>
    <w:multiLevelType w:val="hybridMultilevel"/>
    <w:tmpl w:val="40AC6B8E"/>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566">
    <w:nsid w:val="7A5A3260"/>
    <w:multiLevelType w:val="hybridMultilevel"/>
    <w:tmpl w:val="B8DC6B48"/>
    <w:lvl w:ilvl="0" w:tplc="0C0C000F">
      <w:start w:val="1"/>
      <w:numFmt w:val="decimal"/>
      <w:lvlText w:val="%1."/>
      <w:lvlJc w:val="left"/>
      <w:pPr>
        <w:ind w:left="360" w:hanging="360"/>
      </w:pPr>
    </w:lvl>
    <w:lvl w:ilvl="1" w:tplc="0C0C0019">
      <w:start w:val="1"/>
      <w:numFmt w:val="lowerLetter"/>
      <w:lvlText w:val="%2."/>
      <w:lvlJc w:val="left"/>
      <w:pPr>
        <w:ind w:left="1080" w:hanging="360"/>
      </w:pPr>
    </w:lvl>
    <w:lvl w:ilvl="2" w:tplc="0C0C001B" w:tentative="1">
      <w:start w:val="1"/>
      <w:numFmt w:val="lowerRoman"/>
      <w:lvlText w:val="%3."/>
      <w:lvlJc w:val="right"/>
      <w:pPr>
        <w:ind w:left="1800" w:hanging="180"/>
      </w:pPr>
    </w:lvl>
    <w:lvl w:ilvl="3" w:tplc="0C0C000F" w:tentative="1">
      <w:start w:val="1"/>
      <w:numFmt w:val="decimal"/>
      <w:lvlText w:val="%4."/>
      <w:lvlJc w:val="left"/>
      <w:pPr>
        <w:ind w:left="2520" w:hanging="360"/>
      </w:pPr>
    </w:lvl>
    <w:lvl w:ilvl="4" w:tplc="0C0C0019" w:tentative="1">
      <w:start w:val="1"/>
      <w:numFmt w:val="lowerLetter"/>
      <w:lvlText w:val="%5."/>
      <w:lvlJc w:val="left"/>
      <w:pPr>
        <w:ind w:left="3240" w:hanging="360"/>
      </w:pPr>
    </w:lvl>
    <w:lvl w:ilvl="5" w:tplc="0C0C001B" w:tentative="1">
      <w:start w:val="1"/>
      <w:numFmt w:val="lowerRoman"/>
      <w:lvlText w:val="%6."/>
      <w:lvlJc w:val="right"/>
      <w:pPr>
        <w:ind w:left="3960" w:hanging="180"/>
      </w:pPr>
    </w:lvl>
    <w:lvl w:ilvl="6" w:tplc="0C0C000F" w:tentative="1">
      <w:start w:val="1"/>
      <w:numFmt w:val="decimal"/>
      <w:lvlText w:val="%7."/>
      <w:lvlJc w:val="left"/>
      <w:pPr>
        <w:ind w:left="4680" w:hanging="360"/>
      </w:pPr>
    </w:lvl>
    <w:lvl w:ilvl="7" w:tplc="0C0C0019" w:tentative="1">
      <w:start w:val="1"/>
      <w:numFmt w:val="lowerLetter"/>
      <w:lvlText w:val="%8."/>
      <w:lvlJc w:val="left"/>
      <w:pPr>
        <w:ind w:left="5400" w:hanging="360"/>
      </w:pPr>
    </w:lvl>
    <w:lvl w:ilvl="8" w:tplc="0C0C001B" w:tentative="1">
      <w:start w:val="1"/>
      <w:numFmt w:val="lowerRoman"/>
      <w:lvlText w:val="%9."/>
      <w:lvlJc w:val="right"/>
      <w:pPr>
        <w:ind w:left="6120" w:hanging="180"/>
      </w:pPr>
    </w:lvl>
  </w:abstractNum>
  <w:abstractNum w:abstractNumId="1567">
    <w:nsid w:val="7A722856"/>
    <w:multiLevelType w:val="hybridMultilevel"/>
    <w:tmpl w:val="588ED5E8"/>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568">
    <w:nsid w:val="7A8D3AB8"/>
    <w:multiLevelType w:val="hybridMultilevel"/>
    <w:tmpl w:val="C89480A8"/>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569">
    <w:nsid w:val="7A94483E"/>
    <w:multiLevelType w:val="hybridMultilevel"/>
    <w:tmpl w:val="5082E2F6"/>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570">
    <w:nsid w:val="7AA1478C"/>
    <w:multiLevelType w:val="hybridMultilevel"/>
    <w:tmpl w:val="2D9AB90A"/>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571">
    <w:nsid w:val="7AB00F98"/>
    <w:multiLevelType w:val="hybridMultilevel"/>
    <w:tmpl w:val="D9F6500C"/>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572">
    <w:nsid w:val="7AC24923"/>
    <w:multiLevelType w:val="multilevel"/>
    <w:tmpl w:val="1400BE24"/>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73">
    <w:nsid w:val="7AEB688D"/>
    <w:multiLevelType w:val="hybridMultilevel"/>
    <w:tmpl w:val="8E68A654"/>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574">
    <w:nsid w:val="7AF43AD8"/>
    <w:multiLevelType w:val="hybridMultilevel"/>
    <w:tmpl w:val="C6228E2E"/>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575">
    <w:nsid w:val="7B2164CE"/>
    <w:multiLevelType w:val="hybridMultilevel"/>
    <w:tmpl w:val="E962FE2E"/>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576">
    <w:nsid w:val="7B280D52"/>
    <w:multiLevelType w:val="hybridMultilevel"/>
    <w:tmpl w:val="4C361BB6"/>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577">
    <w:nsid w:val="7B386E34"/>
    <w:multiLevelType w:val="multilevel"/>
    <w:tmpl w:val="2DD246CC"/>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578">
    <w:nsid w:val="7B803AA7"/>
    <w:multiLevelType w:val="hybridMultilevel"/>
    <w:tmpl w:val="9B06D770"/>
    <w:lvl w:ilvl="0" w:tplc="0C0C0003">
      <w:start w:val="1"/>
      <w:numFmt w:val="bullet"/>
      <w:lvlText w:val="o"/>
      <w:lvlJc w:val="left"/>
      <w:pPr>
        <w:ind w:left="720" w:hanging="360"/>
      </w:pPr>
      <w:rPr>
        <w:rFonts w:ascii="Courier New" w:hAnsi="Courier New" w:cs="Courier New"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579">
    <w:nsid w:val="7B8444BF"/>
    <w:multiLevelType w:val="hybridMultilevel"/>
    <w:tmpl w:val="29FE4DD4"/>
    <w:lvl w:ilvl="0" w:tplc="0C0C0009">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580">
    <w:nsid w:val="7B8D1F35"/>
    <w:multiLevelType w:val="hybridMultilevel"/>
    <w:tmpl w:val="E89E9BF2"/>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581">
    <w:nsid w:val="7B8E4BDD"/>
    <w:multiLevelType w:val="hybridMultilevel"/>
    <w:tmpl w:val="5CA8254A"/>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582">
    <w:nsid w:val="7B971267"/>
    <w:multiLevelType w:val="hybridMultilevel"/>
    <w:tmpl w:val="4634BEE0"/>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583">
    <w:nsid w:val="7B9E28BB"/>
    <w:multiLevelType w:val="hybridMultilevel"/>
    <w:tmpl w:val="8F48590E"/>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584">
    <w:nsid w:val="7BA36E22"/>
    <w:multiLevelType w:val="hybridMultilevel"/>
    <w:tmpl w:val="9E4C7946"/>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585">
    <w:nsid w:val="7BBC1FB1"/>
    <w:multiLevelType w:val="hybridMultilevel"/>
    <w:tmpl w:val="E79CCD36"/>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586">
    <w:nsid w:val="7BC34E4C"/>
    <w:multiLevelType w:val="hybridMultilevel"/>
    <w:tmpl w:val="16BEB9A6"/>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587">
    <w:nsid w:val="7BC745E0"/>
    <w:multiLevelType w:val="hybridMultilevel"/>
    <w:tmpl w:val="9FB8E472"/>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588">
    <w:nsid w:val="7BC90E82"/>
    <w:multiLevelType w:val="hybridMultilevel"/>
    <w:tmpl w:val="7680AC16"/>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589">
    <w:nsid w:val="7BE01451"/>
    <w:multiLevelType w:val="hybridMultilevel"/>
    <w:tmpl w:val="A5485B7A"/>
    <w:lvl w:ilvl="0" w:tplc="75547212">
      <w:start w:val="1"/>
      <w:numFmt w:val="upperLetter"/>
      <w:lvlText w:val="%1."/>
      <w:lvlJc w:val="left"/>
      <w:pPr>
        <w:ind w:left="360" w:hanging="360"/>
      </w:pPr>
    </w:lvl>
    <w:lvl w:ilvl="1" w:tplc="0C0C0019" w:tentative="1">
      <w:start w:val="1"/>
      <w:numFmt w:val="lowerLetter"/>
      <w:lvlText w:val="%2."/>
      <w:lvlJc w:val="left"/>
      <w:pPr>
        <w:ind w:left="1080" w:hanging="360"/>
      </w:pPr>
    </w:lvl>
    <w:lvl w:ilvl="2" w:tplc="0C0C001B" w:tentative="1">
      <w:start w:val="1"/>
      <w:numFmt w:val="lowerRoman"/>
      <w:lvlText w:val="%3."/>
      <w:lvlJc w:val="right"/>
      <w:pPr>
        <w:ind w:left="1800" w:hanging="180"/>
      </w:pPr>
    </w:lvl>
    <w:lvl w:ilvl="3" w:tplc="0C0C000F" w:tentative="1">
      <w:start w:val="1"/>
      <w:numFmt w:val="decimal"/>
      <w:lvlText w:val="%4."/>
      <w:lvlJc w:val="left"/>
      <w:pPr>
        <w:ind w:left="2520" w:hanging="360"/>
      </w:pPr>
    </w:lvl>
    <w:lvl w:ilvl="4" w:tplc="0C0C0019" w:tentative="1">
      <w:start w:val="1"/>
      <w:numFmt w:val="lowerLetter"/>
      <w:lvlText w:val="%5."/>
      <w:lvlJc w:val="left"/>
      <w:pPr>
        <w:ind w:left="3240" w:hanging="360"/>
      </w:pPr>
    </w:lvl>
    <w:lvl w:ilvl="5" w:tplc="0C0C001B" w:tentative="1">
      <w:start w:val="1"/>
      <w:numFmt w:val="lowerRoman"/>
      <w:lvlText w:val="%6."/>
      <w:lvlJc w:val="right"/>
      <w:pPr>
        <w:ind w:left="3960" w:hanging="180"/>
      </w:pPr>
    </w:lvl>
    <w:lvl w:ilvl="6" w:tplc="0C0C000F" w:tentative="1">
      <w:start w:val="1"/>
      <w:numFmt w:val="decimal"/>
      <w:lvlText w:val="%7."/>
      <w:lvlJc w:val="left"/>
      <w:pPr>
        <w:ind w:left="4680" w:hanging="360"/>
      </w:pPr>
    </w:lvl>
    <w:lvl w:ilvl="7" w:tplc="0C0C0019" w:tentative="1">
      <w:start w:val="1"/>
      <w:numFmt w:val="lowerLetter"/>
      <w:lvlText w:val="%8."/>
      <w:lvlJc w:val="left"/>
      <w:pPr>
        <w:ind w:left="5400" w:hanging="360"/>
      </w:pPr>
    </w:lvl>
    <w:lvl w:ilvl="8" w:tplc="0C0C001B" w:tentative="1">
      <w:start w:val="1"/>
      <w:numFmt w:val="lowerRoman"/>
      <w:lvlText w:val="%9."/>
      <w:lvlJc w:val="right"/>
      <w:pPr>
        <w:ind w:left="6120" w:hanging="180"/>
      </w:pPr>
    </w:lvl>
  </w:abstractNum>
  <w:abstractNum w:abstractNumId="1590">
    <w:nsid w:val="7BEA1F32"/>
    <w:multiLevelType w:val="hybridMultilevel"/>
    <w:tmpl w:val="DD50DBD4"/>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591">
    <w:nsid w:val="7C0529F5"/>
    <w:multiLevelType w:val="hybridMultilevel"/>
    <w:tmpl w:val="FCE8DF8C"/>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592">
    <w:nsid w:val="7C09410D"/>
    <w:multiLevelType w:val="hybridMultilevel"/>
    <w:tmpl w:val="E5E06506"/>
    <w:lvl w:ilvl="0" w:tplc="0C0C000B">
      <w:start w:val="1"/>
      <w:numFmt w:val="bullet"/>
      <w:lvlText w:val=""/>
      <w:lvlJc w:val="left"/>
      <w:pPr>
        <w:ind w:left="720" w:hanging="360"/>
      </w:pPr>
      <w:rPr>
        <w:rFonts w:ascii="Wingdings" w:hAnsi="Wingdings" w:hint="default"/>
      </w:rPr>
    </w:lvl>
    <w:lvl w:ilvl="1" w:tplc="0C0C0003">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593">
    <w:nsid w:val="7C2E4E8F"/>
    <w:multiLevelType w:val="hybridMultilevel"/>
    <w:tmpl w:val="0C9C320E"/>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594">
    <w:nsid w:val="7C326B37"/>
    <w:multiLevelType w:val="hybridMultilevel"/>
    <w:tmpl w:val="F8F68754"/>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595">
    <w:nsid w:val="7C3437AA"/>
    <w:multiLevelType w:val="hybridMultilevel"/>
    <w:tmpl w:val="5F64EFF2"/>
    <w:lvl w:ilvl="0" w:tplc="0C0C000B">
      <w:start w:val="1"/>
      <w:numFmt w:val="bullet"/>
      <w:lvlText w:val=""/>
      <w:lvlJc w:val="left"/>
      <w:pPr>
        <w:ind w:left="720" w:hanging="360"/>
      </w:pPr>
      <w:rPr>
        <w:rFonts w:ascii="Wingdings" w:hAnsi="Wingdings" w:hint="default"/>
      </w:rPr>
    </w:lvl>
    <w:lvl w:ilvl="1" w:tplc="0C0C0003">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596">
    <w:nsid w:val="7C3A0E58"/>
    <w:multiLevelType w:val="hybridMultilevel"/>
    <w:tmpl w:val="FC6C5B84"/>
    <w:lvl w:ilvl="0" w:tplc="0C0C000B">
      <w:start w:val="1"/>
      <w:numFmt w:val="bullet"/>
      <w:lvlText w:val=""/>
      <w:lvlJc w:val="left"/>
      <w:pPr>
        <w:ind w:left="720" w:hanging="360"/>
      </w:pPr>
      <w:rPr>
        <w:rFonts w:ascii="Wingdings" w:hAnsi="Wingdings" w:hint="default"/>
      </w:rPr>
    </w:lvl>
    <w:lvl w:ilvl="1" w:tplc="0C0C0003">
      <w:start w:val="1"/>
      <w:numFmt w:val="bullet"/>
      <w:lvlText w:val="o"/>
      <w:lvlJc w:val="left"/>
      <w:pPr>
        <w:ind w:left="1440" w:hanging="360"/>
      </w:pPr>
      <w:rPr>
        <w:rFonts w:ascii="Courier New" w:hAnsi="Courier New" w:cs="Courier New" w:hint="default"/>
      </w:rPr>
    </w:lvl>
    <w:lvl w:ilvl="2" w:tplc="0C0C0005">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597">
    <w:nsid w:val="7C5C294E"/>
    <w:multiLevelType w:val="hybridMultilevel"/>
    <w:tmpl w:val="B7245C54"/>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598">
    <w:nsid w:val="7C6044D4"/>
    <w:multiLevelType w:val="hybridMultilevel"/>
    <w:tmpl w:val="546AC960"/>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599">
    <w:nsid w:val="7C691CC0"/>
    <w:multiLevelType w:val="hybridMultilevel"/>
    <w:tmpl w:val="6A54AD22"/>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600">
    <w:nsid w:val="7C6C0F75"/>
    <w:multiLevelType w:val="hybridMultilevel"/>
    <w:tmpl w:val="7D06E6F4"/>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601">
    <w:nsid w:val="7C6D3032"/>
    <w:multiLevelType w:val="multilevel"/>
    <w:tmpl w:val="460491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02">
    <w:nsid w:val="7C8E1E59"/>
    <w:multiLevelType w:val="hybridMultilevel"/>
    <w:tmpl w:val="D3B8E118"/>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603">
    <w:nsid w:val="7C924330"/>
    <w:multiLevelType w:val="hybridMultilevel"/>
    <w:tmpl w:val="8D2083C0"/>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604">
    <w:nsid w:val="7C9537A8"/>
    <w:multiLevelType w:val="hybridMultilevel"/>
    <w:tmpl w:val="BFF6D2CA"/>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605">
    <w:nsid w:val="7C965A5B"/>
    <w:multiLevelType w:val="hybridMultilevel"/>
    <w:tmpl w:val="35823ABE"/>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606">
    <w:nsid w:val="7C98377D"/>
    <w:multiLevelType w:val="hybridMultilevel"/>
    <w:tmpl w:val="FED27046"/>
    <w:lvl w:ilvl="0" w:tplc="0C0C0009">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607">
    <w:nsid w:val="7C9F3479"/>
    <w:multiLevelType w:val="hybridMultilevel"/>
    <w:tmpl w:val="AA34345C"/>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608">
    <w:nsid w:val="7CBD3968"/>
    <w:multiLevelType w:val="hybridMultilevel"/>
    <w:tmpl w:val="BA9A466A"/>
    <w:lvl w:ilvl="0" w:tplc="8C74E87E">
      <w:start w:val="4"/>
      <w:numFmt w:val="bullet"/>
      <w:lvlText w:val="-"/>
      <w:lvlJc w:val="left"/>
      <w:pPr>
        <w:ind w:left="720" w:hanging="360"/>
      </w:pPr>
      <w:rPr>
        <w:rFonts w:ascii="Times New Roman" w:eastAsiaTheme="minorHAnsi" w:hAnsi="Times New Roman" w:cs="Times New Roman" w:hint="default"/>
        <w:i/>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609">
    <w:nsid w:val="7CC14550"/>
    <w:multiLevelType w:val="hybridMultilevel"/>
    <w:tmpl w:val="84B6BECA"/>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610">
    <w:nsid w:val="7CD414E7"/>
    <w:multiLevelType w:val="hybridMultilevel"/>
    <w:tmpl w:val="3F68DE7E"/>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611">
    <w:nsid w:val="7CEC446F"/>
    <w:multiLevelType w:val="hybridMultilevel"/>
    <w:tmpl w:val="2FD45BB6"/>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612">
    <w:nsid w:val="7CF34ECC"/>
    <w:multiLevelType w:val="hybridMultilevel"/>
    <w:tmpl w:val="50D2DEFC"/>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613">
    <w:nsid w:val="7CFB0FA4"/>
    <w:multiLevelType w:val="hybridMultilevel"/>
    <w:tmpl w:val="8DEE7ECE"/>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614">
    <w:nsid w:val="7D184449"/>
    <w:multiLevelType w:val="hybridMultilevel"/>
    <w:tmpl w:val="C7188924"/>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615">
    <w:nsid w:val="7D296149"/>
    <w:multiLevelType w:val="hybridMultilevel"/>
    <w:tmpl w:val="E8269342"/>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616">
    <w:nsid w:val="7D2C48E6"/>
    <w:multiLevelType w:val="hybridMultilevel"/>
    <w:tmpl w:val="C228F79A"/>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617">
    <w:nsid w:val="7D2E2857"/>
    <w:multiLevelType w:val="hybridMultilevel"/>
    <w:tmpl w:val="BDF63CEC"/>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618">
    <w:nsid w:val="7D31112B"/>
    <w:multiLevelType w:val="hybridMultilevel"/>
    <w:tmpl w:val="8384EC72"/>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619">
    <w:nsid w:val="7D4224D7"/>
    <w:multiLevelType w:val="hybridMultilevel"/>
    <w:tmpl w:val="FC3662B0"/>
    <w:lvl w:ilvl="0" w:tplc="0C0C000B">
      <w:start w:val="1"/>
      <w:numFmt w:val="bullet"/>
      <w:lvlText w:val=""/>
      <w:lvlJc w:val="left"/>
      <w:pPr>
        <w:ind w:left="720" w:hanging="360"/>
      </w:pPr>
      <w:rPr>
        <w:rFonts w:ascii="Wingdings" w:hAnsi="Wingdings" w:hint="default"/>
      </w:rPr>
    </w:lvl>
    <w:lvl w:ilvl="1" w:tplc="0C0C0003">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620">
    <w:nsid w:val="7D4D389E"/>
    <w:multiLevelType w:val="hybridMultilevel"/>
    <w:tmpl w:val="7D6647FC"/>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621">
    <w:nsid w:val="7D587156"/>
    <w:multiLevelType w:val="hybridMultilevel"/>
    <w:tmpl w:val="73EE0C6E"/>
    <w:lvl w:ilvl="0" w:tplc="0C0C0009">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622">
    <w:nsid w:val="7D6153FB"/>
    <w:multiLevelType w:val="hybridMultilevel"/>
    <w:tmpl w:val="0A662FF8"/>
    <w:lvl w:ilvl="0" w:tplc="0C0C0009">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623">
    <w:nsid w:val="7D6E4B88"/>
    <w:multiLevelType w:val="hybridMultilevel"/>
    <w:tmpl w:val="C1DE0B8E"/>
    <w:lvl w:ilvl="0" w:tplc="0C0C0005">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624">
    <w:nsid w:val="7D7C5478"/>
    <w:multiLevelType w:val="hybridMultilevel"/>
    <w:tmpl w:val="6DF60768"/>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625">
    <w:nsid w:val="7D9A5FF0"/>
    <w:multiLevelType w:val="hybridMultilevel"/>
    <w:tmpl w:val="99F847A2"/>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626">
    <w:nsid w:val="7D9B738F"/>
    <w:multiLevelType w:val="hybridMultilevel"/>
    <w:tmpl w:val="EFBA3492"/>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627">
    <w:nsid w:val="7DC37C45"/>
    <w:multiLevelType w:val="hybridMultilevel"/>
    <w:tmpl w:val="D536362C"/>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628">
    <w:nsid w:val="7DCA79FC"/>
    <w:multiLevelType w:val="hybridMultilevel"/>
    <w:tmpl w:val="2F1E20F8"/>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629">
    <w:nsid w:val="7DE91EB2"/>
    <w:multiLevelType w:val="hybridMultilevel"/>
    <w:tmpl w:val="73608E08"/>
    <w:lvl w:ilvl="0" w:tplc="0C0C0009">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630">
    <w:nsid w:val="7DF57E77"/>
    <w:multiLevelType w:val="hybridMultilevel"/>
    <w:tmpl w:val="BCFC8CD8"/>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631">
    <w:nsid w:val="7E067069"/>
    <w:multiLevelType w:val="hybridMultilevel"/>
    <w:tmpl w:val="74F0B048"/>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632">
    <w:nsid w:val="7E251922"/>
    <w:multiLevelType w:val="hybridMultilevel"/>
    <w:tmpl w:val="8E166F6A"/>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633">
    <w:nsid w:val="7E320B35"/>
    <w:multiLevelType w:val="hybridMultilevel"/>
    <w:tmpl w:val="5FF6CA84"/>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634">
    <w:nsid w:val="7E333696"/>
    <w:multiLevelType w:val="hybridMultilevel"/>
    <w:tmpl w:val="8ED291AA"/>
    <w:lvl w:ilvl="0" w:tplc="0C0C0009">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635">
    <w:nsid w:val="7E3E5595"/>
    <w:multiLevelType w:val="hybridMultilevel"/>
    <w:tmpl w:val="DDA6AC94"/>
    <w:lvl w:ilvl="0" w:tplc="0C0C000B">
      <w:start w:val="1"/>
      <w:numFmt w:val="bullet"/>
      <w:lvlText w:val=""/>
      <w:lvlJc w:val="left"/>
      <w:pPr>
        <w:ind w:left="720" w:hanging="360"/>
      </w:pPr>
      <w:rPr>
        <w:rFonts w:ascii="Wingdings" w:hAnsi="Wingdings" w:hint="default"/>
      </w:rPr>
    </w:lvl>
    <w:lvl w:ilvl="1" w:tplc="0C0C0003">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636">
    <w:nsid w:val="7E4B4940"/>
    <w:multiLevelType w:val="hybridMultilevel"/>
    <w:tmpl w:val="BF663884"/>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637">
    <w:nsid w:val="7E625003"/>
    <w:multiLevelType w:val="hybridMultilevel"/>
    <w:tmpl w:val="899EEA10"/>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638">
    <w:nsid w:val="7E781AA5"/>
    <w:multiLevelType w:val="hybridMultilevel"/>
    <w:tmpl w:val="A1E077B8"/>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639">
    <w:nsid w:val="7E8D4BC8"/>
    <w:multiLevelType w:val="hybridMultilevel"/>
    <w:tmpl w:val="EFB23EE6"/>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640">
    <w:nsid w:val="7EA9655B"/>
    <w:multiLevelType w:val="hybridMultilevel"/>
    <w:tmpl w:val="3B9A1516"/>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641">
    <w:nsid w:val="7EB36FF0"/>
    <w:multiLevelType w:val="hybridMultilevel"/>
    <w:tmpl w:val="1D7EE192"/>
    <w:lvl w:ilvl="0" w:tplc="0C0C0015">
      <w:start w:val="1"/>
      <w:numFmt w:val="upperLetter"/>
      <w:lvlText w:val="%1."/>
      <w:lvlJc w:val="left"/>
      <w:pPr>
        <w:ind w:left="720" w:hanging="360"/>
      </w:p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1642">
    <w:nsid w:val="7ED92FB4"/>
    <w:multiLevelType w:val="hybridMultilevel"/>
    <w:tmpl w:val="860A94B0"/>
    <w:lvl w:ilvl="0" w:tplc="0C0C000F">
      <w:start w:val="1"/>
      <w:numFmt w:val="decimal"/>
      <w:lvlText w:val="%1."/>
      <w:lvlJc w:val="left"/>
      <w:pPr>
        <w:ind w:left="360" w:hanging="360"/>
      </w:pPr>
    </w:lvl>
    <w:lvl w:ilvl="1" w:tplc="0C0C0019">
      <w:start w:val="1"/>
      <w:numFmt w:val="lowerLetter"/>
      <w:lvlText w:val="%2."/>
      <w:lvlJc w:val="left"/>
      <w:pPr>
        <w:ind w:left="1080" w:hanging="360"/>
      </w:pPr>
    </w:lvl>
    <w:lvl w:ilvl="2" w:tplc="0C0C001B">
      <w:start w:val="1"/>
      <w:numFmt w:val="lowerRoman"/>
      <w:lvlText w:val="%3."/>
      <w:lvlJc w:val="right"/>
      <w:pPr>
        <w:ind w:left="1800" w:hanging="180"/>
      </w:pPr>
    </w:lvl>
    <w:lvl w:ilvl="3" w:tplc="0C0C000F" w:tentative="1">
      <w:start w:val="1"/>
      <w:numFmt w:val="decimal"/>
      <w:lvlText w:val="%4."/>
      <w:lvlJc w:val="left"/>
      <w:pPr>
        <w:ind w:left="2520" w:hanging="360"/>
      </w:pPr>
    </w:lvl>
    <w:lvl w:ilvl="4" w:tplc="0C0C0019" w:tentative="1">
      <w:start w:val="1"/>
      <w:numFmt w:val="lowerLetter"/>
      <w:lvlText w:val="%5."/>
      <w:lvlJc w:val="left"/>
      <w:pPr>
        <w:ind w:left="3240" w:hanging="360"/>
      </w:pPr>
    </w:lvl>
    <w:lvl w:ilvl="5" w:tplc="0C0C001B" w:tentative="1">
      <w:start w:val="1"/>
      <w:numFmt w:val="lowerRoman"/>
      <w:lvlText w:val="%6."/>
      <w:lvlJc w:val="right"/>
      <w:pPr>
        <w:ind w:left="3960" w:hanging="180"/>
      </w:pPr>
    </w:lvl>
    <w:lvl w:ilvl="6" w:tplc="0C0C000F" w:tentative="1">
      <w:start w:val="1"/>
      <w:numFmt w:val="decimal"/>
      <w:lvlText w:val="%7."/>
      <w:lvlJc w:val="left"/>
      <w:pPr>
        <w:ind w:left="4680" w:hanging="360"/>
      </w:pPr>
    </w:lvl>
    <w:lvl w:ilvl="7" w:tplc="0C0C0019" w:tentative="1">
      <w:start w:val="1"/>
      <w:numFmt w:val="lowerLetter"/>
      <w:lvlText w:val="%8."/>
      <w:lvlJc w:val="left"/>
      <w:pPr>
        <w:ind w:left="5400" w:hanging="360"/>
      </w:pPr>
    </w:lvl>
    <w:lvl w:ilvl="8" w:tplc="0C0C001B" w:tentative="1">
      <w:start w:val="1"/>
      <w:numFmt w:val="lowerRoman"/>
      <w:lvlText w:val="%9."/>
      <w:lvlJc w:val="right"/>
      <w:pPr>
        <w:ind w:left="6120" w:hanging="180"/>
      </w:pPr>
    </w:lvl>
  </w:abstractNum>
  <w:abstractNum w:abstractNumId="1643">
    <w:nsid w:val="7EDC02CF"/>
    <w:multiLevelType w:val="multilevel"/>
    <w:tmpl w:val="CE6211B4"/>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44">
    <w:nsid w:val="7EF01926"/>
    <w:multiLevelType w:val="hybridMultilevel"/>
    <w:tmpl w:val="16AE64A8"/>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645">
    <w:nsid w:val="7EFB3495"/>
    <w:multiLevelType w:val="hybridMultilevel"/>
    <w:tmpl w:val="63FE9296"/>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646">
    <w:nsid w:val="7EFF61F6"/>
    <w:multiLevelType w:val="hybridMultilevel"/>
    <w:tmpl w:val="C47E909C"/>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647">
    <w:nsid w:val="7F052F83"/>
    <w:multiLevelType w:val="hybridMultilevel"/>
    <w:tmpl w:val="F61C250C"/>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648">
    <w:nsid w:val="7F0E20B1"/>
    <w:multiLevelType w:val="hybridMultilevel"/>
    <w:tmpl w:val="D80273CE"/>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649">
    <w:nsid w:val="7F3265C4"/>
    <w:multiLevelType w:val="multilevel"/>
    <w:tmpl w:val="BFBAD5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50">
    <w:nsid w:val="7F373443"/>
    <w:multiLevelType w:val="hybridMultilevel"/>
    <w:tmpl w:val="79B6A87A"/>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651">
    <w:nsid w:val="7F437BC4"/>
    <w:multiLevelType w:val="hybridMultilevel"/>
    <w:tmpl w:val="BE9AC45E"/>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652">
    <w:nsid w:val="7F676698"/>
    <w:multiLevelType w:val="hybridMultilevel"/>
    <w:tmpl w:val="1EECBD4E"/>
    <w:lvl w:ilvl="0" w:tplc="0C0C000B">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653">
    <w:nsid w:val="7F7218BA"/>
    <w:multiLevelType w:val="hybridMultilevel"/>
    <w:tmpl w:val="9F6EDE24"/>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654">
    <w:nsid w:val="7F792B84"/>
    <w:multiLevelType w:val="hybridMultilevel"/>
    <w:tmpl w:val="61381C9C"/>
    <w:lvl w:ilvl="0" w:tplc="0C0C0003">
      <w:start w:val="1"/>
      <w:numFmt w:val="bullet"/>
      <w:lvlText w:val="o"/>
      <w:lvlJc w:val="left"/>
      <w:pPr>
        <w:ind w:left="720" w:hanging="360"/>
      </w:pPr>
      <w:rPr>
        <w:rFonts w:ascii="Courier New" w:hAnsi="Courier New" w:cs="Courier New"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655">
    <w:nsid w:val="7F7A487D"/>
    <w:multiLevelType w:val="hybridMultilevel"/>
    <w:tmpl w:val="234EC36E"/>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656">
    <w:nsid w:val="7F9263F5"/>
    <w:multiLevelType w:val="hybridMultilevel"/>
    <w:tmpl w:val="0186EF7A"/>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657">
    <w:nsid w:val="7F99695A"/>
    <w:multiLevelType w:val="hybridMultilevel"/>
    <w:tmpl w:val="D08E54EC"/>
    <w:lvl w:ilvl="0" w:tplc="0C0C000B">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658">
    <w:nsid w:val="7FB80990"/>
    <w:multiLevelType w:val="hybridMultilevel"/>
    <w:tmpl w:val="177C6CE0"/>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659">
    <w:nsid w:val="7FD2703D"/>
    <w:multiLevelType w:val="hybridMultilevel"/>
    <w:tmpl w:val="2E5E5790"/>
    <w:lvl w:ilvl="0" w:tplc="0C0C000B">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num w:numId="1">
    <w:abstractNumId w:val="261"/>
  </w:num>
  <w:num w:numId="2">
    <w:abstractNumId w:val="1389"/>
  </w:num>
  <w:num w:numId="3">
    <w:abstractNumId w:val="870"/>
  </w:num>
  <w:num w:numId="4">
    <w:abstractNumId w:val="355"/>
  </w:num>
  <w:num w:numId="5">
    <w:abstractNumId w:val="638"/>
  </w:num>
  <w:num w:numId="6">
    <w:abstractNumId w:val="87"/>
  </w:num>
  <w:num w:numId="7">
    <w:abstractNumId w:val="1096"/>
  </w:num>
  <w:num w:numId="8">
    <w:abstractNumId w:val="92"/>
  </w:num>
  <w:num w:numId="9">
    <w:abstractNumId w:val="1149"/>
  </w:num>
  <w:num w:numId="10">
    <w:abstractNumId w:val="1272"/>
  </w:num>
  <w:num w:numId="11">
    <w:abstractNumId w:val="828"/>
  </w:num>
  <w:num w:numId="12">
    <w:abstractNumId w:val="405"/>
  </w:num>
  <w:num w:numId="13">
    <w:abstractNumId w:val="286"/>
  </w:num>
  <w:num w:numId="14">
    <w:abstractNumId w:val="840"/>
  </w:num>
  <w:num w:numId="15">
    <w:abstractNumId w:val="662"/>
  </w:num>
  <w:num w:numId="16">
    <w:abstractNumId w:val="1050"/>
  </w:num>
  <w:num w:numId="17">
    <w:abstractNumId w:val="533"/>
  </w:num>
  <w:num w:numId="18">
    <w:abstractNumId w:val="380"/>
  </w:num>
  <w:num w:numId="19">
    <w:abstractNumId w:val="480"/>
  </w:num>
  <w:num w:numId="20">
    <w:abstractNumId w:val="204"/>
  </w:num>
  <w:num w:numId="21">
    <w:abstractNumId w:val="679"/>
  </w:num>
  <w:num w:numId="22">
    <w:abstractNumId w:val="1001"/>
  </w:num>
  <w:num w:numId="23">
    <w:abstractNumId w:val="213"/>
  </w:num>
  <w:num w:numId="24">
    <w:abstractNumId w:val="78"/>
  </w:num>
  <w:num w:numId="25">
    <w:abstractNumId w:val="1038"/>
  </w:num>
  <w:num w:numId="26">
    <w:abstractNumId w:val="1519"/>
  </w:num>
  <w:num w:numId="27">
    <w:abstractNumId w:val="985"/>
  </w:num>
  <w:num w:numId="28">
    <w:abstractNumId w:val="0"/>
  </w:num>
  <w:num w:numId="29">
    <w:abstractNumId w:val="202"/>
  </w:num>
  <w:num w:numId="30">
    <w:abstractNumId w:val="320"/>
  </w:num>
  <w:num w:numId="31">
    <w:abstractNumId w:val="193"/>
  </w:num>
  <w:num w:numId="32">
    <w:abstractNumId w:val="507"/>
  </w:num>
  <w:num w:numId="33">
    <w:abstractNumId w:val="1438"/>
  </w:num>
  <w:num w:numId="34">
    <w:abstractNumId w:val="69"/>
  </w:num>
  <w:num w:numId="35">
    <w:abstractNumId w:val="503"/>
  </w:num>
  <w:num w:numId="36">
    <w:abstractNumId w:val="997"/>
  </w:num>
  <w:num w:numId="37">
    <w:abstractNumId w:val="80"/>
  </w:num>
  <w:num w:numId="38">
    <w:abstractNumId w:val="928"/>
  </w:num>
  <w:num w:numId="39">
    <w:abstractNumId w:val="185"/>
  </w:num>
  <w:num w:numId="40">
    <w:abstractNumId w:val="992"/>
  </w:num>
  <w:num w:numId="41">
    <w:abstractNumId w:val="733"/>
  </w:num>
  <w:num w:numId="42">
    <w:abstractNumId w:val="1133"/>
  </w:num>
  <w:num w:numId="43">
    <w:abstractNumId w:val="1447"/>
  </w:num>
  <w:num w:numId="44">
    <w:abstractNumId w:val="31"/>
  </w:num>
  <w:num w:numId="45">
    <w:abstractNumId w:val="691"/>
  </w:num>
  <w:num w:numId="46">
    <w:abstractNumId w:val="654"/>
  </w:num>
  <w:num w:numId="47">
    <w:abstractNumId w:val="143"/>
  </w:num>
  <w:num w:numId="48">
    <w:abstractNumId w:val="1498"/>
  </w:num>
  <w:num w:numId="49">
    <w:abstractNumId w:val="431"/>
  </w:num>
  <w:num w:numId="50">
    <w:abstractNumId w:val="162"/>
  </w:num>
  <w:num w:numId="51">
    <w:abstractNumId w:val="1275"/>
  </w:num>
  <w:num w:numId="52">
    <w:abstractNumId w:val="865"/>
  </w:num>
  <w:num w:numId="53">
    <w:abstractNumId w:val="864"/>
  </w:num>
  <w:num w:numId="54">
    <w:abstractNumId w:val="1462"/>
  </w:num>
  <w:num w:numId="55">
    <w:abstractNumId w:val="242"/>
  </w:num>
  <w:num w:numId="56">
    <w:abstractNumId w:val="831"/>
  </w:num>
  <w:num w:numId="57">
    <w:abstractNumId w:val="1632"/>
  </w:num>
  <w:num w:numId="58">
    <w:abstractNumId w:val="724"/>
  </w:num>
  <w:num w:numId="59">
    <w:abstractNumId w:val="98"/>
  </w:num>
  <w:num w:numId="60">
    <w:abstractNumId w:val="853"/>
  </w:num>
  <w:num w:numId="61">
    <w:abstractNumId w:val="543"/>
  </w:num>
  <w:num w:numId="62">
    <w:abstractNumId w:val="1048"/>
  </w:num>
  <w:num w:numId="63">
    <w:abstractNumId w:val="569"/>
  </w:num>
  <w:num w:numId="64">
    <w:abstractNumId w:val="973"/>
  </w:num>
  <w:num w:numId="65">
    <w:abstractNumId w:val="385"/>
  </w:num>
  <w:num w:numId="66">
    <w:abstractNumId w:val="804"/>
  </w:num>
  <w:num w:numId="67">
    <w:abstractNumId w:val="1177"/>
  </w:num>
  <w:num w:numId="68">
    <w:abstractNumId w:val="119"/>
  </w:num>
  <w:num w:numId="69">
    <w:abstractNumId w:val="375"/>
  </w:num>
  <w:num w:numId="70">
    <w:abstractNumId w:val="1426"/>
  </w:num>
  <w:num w:numId="71">
    <w:abstractNumId w:val="1086"/>
  </w:num>
  <w:num w:numId="72">
    <w:abstractNumId w:val="1178"/>
  </w:num>
  <w:num w:numId="73">
    <w:abstractNumId w:val="171"/>
  </w:num>
  <w:num w:numId="74">
    <w:abstractNumId w:val="1444"/>
  </w:num>
  <w:num w:numId="75">
    <w:abstractNumId w:val="1608"/>
  </w:num>
  <w:num w:numId="76">
    <w:abstractNumId w:val="663"/>
  </w:num>
  <w:num w:numId="77">
    <w:abstractNumId w:val="1024"/>
  </w:num>
  <w:num w:numId="78">
    <w:abstractNumId w:val="957"/>
  </w:num>
  <w:num w:numId="79">
    <w:abstractNumId w:val="318"/>
  </w:num>
  <w:num w:numId="80">
    <w:abstractNumId w:val="850"/>
  </w:num>
  <w:num w:numId="81">
    <w:abstractNumId w:val="1623"/>
  </w:num>
  <w:num w:numId="82">
    <w:abstractNumId w:val="1247"/>
  </w:num>
  <w:num w:numId="83">
    <w:abstractNumId w:val="395"/>
  </w:num>
  <w:num w:numId="84">
    <w:abstractNumId w:val="467"/>
  </w:num>
  <w:num w:numId="85">
    <w:abstractNumId w:val="1063"/>
  </w:num>
  <w:num w:numId="86">
    <w:abstractNumId w:val="646"/>
  </w:num>
  <w:num w:numId="87">
    <w:abstractNumId w:val="1532"/>
  </w:num>
  <w:num w:numId="88">
    <w:abstractNumId w:val="696"/>
  </w:num>
  <w:num w:numId="89">
    <w:abstractNumId w:val="1294"/>
  </w:num>
  <w:num w:numId="90">
    <w:abstractNumId w:val="1028"/>
  </w:num>
  <w:num w:numId="91">
    <w:abstractNumId w:val="1282"/>
  </w:num>
  <w:num w:numId="92">
    <w:abstractNumId w:val="257"/>
  </w:num>
  <w:num w:numId="93">
    <w:abstractNumId w:val="1277"/>
  </w:num>
  <w:num w:numId="94">
    <w:abstractNumId w:val="1220"/>
  </w:num>
  <w:num w:numId="95">
    <w:abstractNumId w:val="244"/>
  </w:num>
  <w:num w:numId="96">
    <w:abstractNumId w:val="907"/>
  </w:num>
  <w:num w:numId="97">
    <w:abstractNumId w:val="830"/>
  </w:num>
  <w:num w:numId="98">
    <w:abstractNumId w:val="304"/>
  </w:num>
  <w:num w:numId="99">
    <w:abstractNumId w:val="300"/>
  </w:num>
  <w:num w:numId="100">
    <w:abstractNumId w:val="1416"/>
  </w:num>
  <w:num w:numId="101">
    <w:abstractNumId w:val="334"/>
  </w:num>
  <w:num w:numId="102">
    <w:abstractNumId w:val="1204"/>
  </w:num>
  <w:num w:numId="103">
    <w:abstractNumId w:val="1111"/>
  </w:num>
  <w:num w:numId="104">
    <w:abstractNumId w:val="1459"/>
  </w:num>
  <w:num w:numId="105">
    <w:abstractNumId w:val="460"/>
  </w:num>
  <w:num w:numId="106">
    <w:abstractNumId w:val="1219"/>
  </w:num>
  <w:num w:numId="107">
    <w:abstractNumId w:val="1025"/>
  </w:num>
  <w:num w:numId="108">
    <w:abstractNumId w:val="711"/>
  </w:num>
  <w:num w:numId="109">
    <w:abstractNumId w:val="737"/>
  </w:num>
  <w:num w:numId="110">
    <w:abstractNumId w:val="1432"/>
  </w:num>
  <w:num w:numId="111">
    <w:abstractNumId w:val="651"/>
  </w:num>
  <w:num w:numId="112">
    <w:abstractNumId w:val="619"/>
  </w:num>
  <w:num w:numId="113">
    <w:abstractNumId w:val="706"/>
  </w:num>
  <w:num w:numId="114">
    <w:abstractNumId w:val="1129"/>
  </w:num>
  <w:num w:numId="115">
    <w:abstractNumId w:val="1257"/>
  </w:num>
  <w:num w:numId="116">
    <w:abstractNumId w:val="1046"/>
  </w:num>
  <w:num w:numId="117">
    <w:abstractNumId w:val="1549"/>
  </w:num>
  <w:num w:numId="118">
    <w:abstractNumId w:val="1640"/>
  </w:num>
  <w:num w:numId="119">
    <w:abstractNumId w:val="745"/>
  </w:num>
  <w:num w:numId="120">
    <w:abstractNumId w:val="1265"/>
  </w:num>
  <w:num w:numId="121">
    <w:abstractNumId w:val="483"/>
  </w:num>
  <w:num w:numId="122">
    <w:abstractNumId w:val="351"/>
  </w:num>
  <w:num w:numId="123">
    <w:abstractNumId w:val="1183"/>
  </w:num>
  <w:num w:numId="124">
    <w:abstractNumId w:val="900"/>
  </w:num>
  <w:num w:numId="125">
    <w:abstractNumId w:val="1367"/>
  </w:num>
  <w:num w:numId="126">
    <w:abstractNumId w:val="1143"/>
  </w:num>
  <w:num w:numId="127">
    <w:abstractNumId w:val="151"/>
  </w:num>
  <w:num w:numId="128">
    <w:abstractNumId w:val="524"/>
  </w:num>
  <w:num w:numId="129">
    <w:abstractNumId w:val="282"/>
  </w:num>
  <w:num w:numId="130">
    <w:abstractNumId w:val="1338"/>
  </w:num>
  <w:num w:numId="131">
    <w:abstractNumId w:val="1448"/>
  </w:num>
  <w:num w:numId="132">
    <w:abstractNumId w:val="675"/>
  </w:num>
  <w:num w:numId="133">
    <w:abstractNumId w:val="1505"/>
  </w:num>
  <w:num w:numId="134">
    <w:abstractNumId w:val="820"/>
  </w:num>
  <w:num w:numId="135">
    <w:abstractNumId w:val="683"/>
  </w:num>
  <w:num w:numId="136">
    <w:abstractNumId w:val="1267"/>
  </w:num>
  <w:num w:numId="137">
    <w:abstractNumId w:val="1302"/>
  </w:num>
  <w:num w:numId="138">
    <w:abstractNumId w:val="296"/>
  </w:num>
  <w:num w:numId="139">
    <w:abstractNumId w:val="462"/>
  </w:num>
  <w:num w:numId="140">
    <w:abstractNumId w:val="1520"/>
  </w:num>
  <w:num w:numId="141">
    <w:abstractNumId w:val="1548"/>
  </w:num>
  <w:num w:numId="142">
    <w:abstractNumId w:val="435"/>
  </w:num>
  <w:num w:numId="143">
    <w:abstractNumId w:val="916"/>
  </w:num>
  <w:num w:numId="144">
    <w:abstractNumId w:val="1115"/>
  </w:num>
  <w:num w:numId="145">
    <w:abstractNumId w:val="111"/>
  </w:num>
  <w:num w:numId="146">
    <w:abstractNumId w:val="505"/>
  </w:num>
  <w:num w:numId="147">
    <w:abstractNumId w:val="579"/>
  </w:num>
  <w:num w:numId="148">
    <w:abstractNumId w:val="1173"/>
  </w:num>
  <w:num w:numId="149">
    <w:abstractNumId w:val="1077"/>
  </w:num>
  <w:num w:numId="150">
    <w:abstractNumId w:val="1345"/>
  </w:num>
  <w:num w:numId="151">
    <w:abstractNumId w:val="1062"/>
  </w:num>
  <w:num w:numId="152">
    <w:abstractNumId w:val="1261"/>
  </w:num>
  <w:num w:numId="153">
    <w:abstractNumId w:val="1453"/>
  </w:num>
  <w:num w:numId="154">
    <w:abstractNumId w:val="438"/>
  </w:num>
  <w:num w:numId="155">
    <w:abstractNumId w:val="657"/>
  </w:num>
  <w:num w:numId="156">
    <w:abstractNumId w:val="451"/>
  </w:num>
  <w:num w:numId="157">
    <w:abstractNumId w:val="221"/>
  </w:num>
  <w:num w:numId="158">
    <w:abstractNumId w:val="752"/>
  </w:num>
  <w:num w:numId="159">
    <w:abstractNumId w:val="1169"/>
  </w:num>
  <w:num w:numId="160">
    <w:abstractNumId w:val="129"/>
  </w:num>
  <w:num w:numId="161">
    <w:abstractNumId w:val="86"/>
  </w:num>
  <w:num w:numId="162">
    <w:abstractNumId w:val="592"/>
  </w:num>
  <w:num w:numId="163">
    <w:abstractNumId w:val="692"/>
  </w:num>
  <w:num w:numId="164">
    <w:abstractNumId w:val="1047"/>
  </w:num>
  <w:num w:numId="165">
    <w:abstractNumId w:val="1624"/>
  </w:num>
  <w:num w:numId="166">
    <w:abstractNumId w:val="1022"/>
  </w:num>
  <w:num w:numId="167">
    <w:abstractNumId w:val="1008"/>
  </w:num>
  <w:num w:numId="168">
    <w:abstractNumId w:val="1157"/>
  </w:num>
  <w:num w:numId="169">
    <w:abstractNumId w:val="1230"/>
  </w:num>
  <w:num w:numId="170">
    <w:abstractNumId w:val="1550"/>
  </w:num>
  <w:num w:numId="171">
    <w:abstractNumId w:val="1137"/>
  </w:num>
  <w:num w:numId="172">
    <w:abstractNumId w:val="816"/>
  </w:num>
  <w:num w:numId="173">
    <w:abstractNumId w:val="125"/>
  </w:num>
  <w:num w:numId="174">
    <w:abstractNumId w:val="1433"/>
  </w:num>
  <w:num w:numId="175">
    <w:abstractNumId w:val="1333"/>
  </w:num>
  <w:num w:numId="176">
    <w:abstractNumId w:val="65"/>
  </w:num>
  <w:num w:numId="177">
    <w:abstractNumId w:val="136"/>
  </w:num>
  <w:num w:numId="178">
    <w:abstractNumId w:val="794"/>
  </w:num>
  <w:num w:numId="179">
    <w:abstractNumId w:val="721"/>
  </w:num>
  <w:num w:numId="180">
    <w:abstractNumId w:val="506"/>
  </w:num>
  <w:num w:numId="181">
    <w:abstractNumId w:val="947"/>
  </w:num>
  <w:num w:numId="182">
    <w:abstractNumId w:val="583"/>
  </w:num>
  <w:num w:numId="183">
    <w:abstractNumId w:val="1652"/>
  </w:num>
  <w:num w:numId="184">
    <w:abstractNumId w:val="1017"/>
  </w:num>
  <w:num w:numId="185">
    <w:abstractNumId w:val="1560"/>
  </w:num>
  <w:num w:numId="186">
    <w:abstractNumId w:val="1362"/>
  </w:num>
  <w:num w:numId="187">
    <w:abstractNumId w:val="362"/>
  </w:num>
  <w:num w:numId="188">
    <w:abstractNumId w:val="661"/>
  </w:num>
  <w:num w:numId="189">
    <w:abstractNumId w:val="1107"/>
  </w:num>
  <w:num w:numId="190">
    <w:abstractNumId w:val="191"/>
  </w:num>
  <w:num w:numId="191">
    <w:abstractNumId w:val="1340"/>
  </w:num>
  <w:num w:numId="192">
    <w:abstractNumId w:val="862"/>
  </w:num>
  <w:num w:numId="193">
    <w:abstractNumId w:val="1072"/>
  </w:num>
  <w:num w:numId="194">
    <w:abstractNumId w:val="984"/>
  </w:num>
  <w:num w:numId="195">
    <w:abstractNumId w:val="1128"/>
  </w:num>
  <w:num w:numId="196">
    <w:abstractNumId w:val="16"/>
  </w:num>
  <w:num w:numId="197">
    <w:abstractNumId w:val="392"/>
  </w:num>
  <w:num w:numId="198">
    <w:abstractNumId w:val="402"/>
  </w:num>
  <w:num w:numId="199">
    <w:abstractNumId w:val="555"/>
  </w:num>
  <w:num w:numId="200">
    <w:abstractNumId w:val="723"/>
  </w:num>
  <w:num w:numId="201">
    <w:abstractNumId w:val="784"/>
  </w:num>
  <w:num w:numId="202">
    <w:abstractNumId w:val="1269"/>
  </w:num>
  <w:num w:numId="203">
    <w:abstractNumId w:val="869"/>
  </w:num>
  <w:num w:numId="204">
    <w:abstractNumId w:val="1002"/>
  </w:num>
  <w:num w:numId="205">
    <w:abstractNumId w:val="192"/>
  </w:num>
  <w:num w:numId="206">
    <w:abstractNumId w:val="1477"/>
  </w:num>
  <w:num w:numId="207">
    <w:abstractNumId w:val="877"/>
  </w:num>
  <w:num w:numId="208">
    <w:abstractNumId w:val="72"/>
  </w:num>
  <w:num w:numId="209">
    <w:abstractNumId w:val="713"/>
  </w:num>
  <w:num w:numId="210">
    <w:abstractNumId w:val="600"/>
  </w:num>
  <w:num w:numId="211">
    <w:abstractNumId w:val="1172"/>
  </w:num>
  <w:num w:numId="212">
    <w:abstractNumId w:val="28"/>
  </w:num>
  <w:num w:numId="213">
    <w:abstractNumId w:val="238"/>
  </w:num>
  <w:num w:numId="214">
    <w:abstractNumId w:val="1451"/>
  </w:num>
  <w:num w:numId="215">
    <w:abstractNumId w:val="371"/>
  </w:num>
  <w:num w:numId="216">
    <w:abstractNumId w:val="970"/>
  </w:num>
  <w:num w:numId="217">
    <w:abstractNumId w:val="1130"/>
  </w:num>
  <w:num w:numId="218">
    <w:abstractNumId w:val="1544"/>
  </w:num>
  <w:num w:numId="219">
    <w:abstractNumId w:val="1617"/>
  </w:num>
  <w:num w:numId="220">
    <w:abstractNumId w:val="237"/>
  </w:num>
  <w:num w:numId="221">
    <w:abstractNumId w:val="1561"/>
  </w:num>
  <w:num w:numId="222">
    <w:abstractNumId w:val="700"/>
  </w:num>
  <w:num w:numId="223">
    <w:abstractNumId w:val="811"/>
  </w:num>
  <w:num w:numId="224">
    <w:abstractNumId w:val="1026"/>
  </w:num>
  <w:num w:numId="225">
    <w:abstractNumId w:val="490"/>
  </w:num>
  <w:num w:numId="226">
    <w:abstractNumId w:val="1110"/>
  </w:num>
  <w:num w:numId="227">
    <w:abstractNumId w:val="962"/>
  </w:num>
  <w:num w:numId="228">
    <w:abstractNumId w:val="624"/>
  </w:num>
  <w:num w:numId="229">
    <w:abstractNumId w:val="1507"/>
  </w:num>
  <w:num w:numId="230">
    <w:abstractNumId w:val="818"/>
  </w:num>
  <w:num w:numId="231">
    <w:abstractNumId w:val="455"/>
  </w:num>
  <w:num w:numId="232">
    <w:abstractNumId w:val="1258"/>
  </w:num>
  <w:num w:numId="233">
    <w:abstractNumId w:val="271"/>
  </w:num>
  <w:num w:numId="234">
    <w:abstractNumId w:val="97"/>
  </w:num>
  <w:num w:numId="235">
    <w:abstractNumId w:val="743"/>
  </w:num>
  <w:num w:numId="236">
    <w:abstractNumId w:val="24"/>
  </w:num>
  <w:num w:numId="237">
    <w:abstractNumId w:val="781"/>
  </w:num>
  <w:num w:numId="238">
    <w:abstractNumId w:val="1234"/>
  </w:num>
  <w:num w:numId="239">
    <w:abstractNumId w:val="407"/>
  </w:num>
  <w:num w:numId="240">
    <w:abstractNumId w:val="956"/>
  </w:num>
  <w:num w:numId="241">
    <w:abstractNumId w:val="1655"/>
  </w:num>
  <w:num w:numId="242">
    <w:abstractNumId w:val="26"/>
  </w:num>
  <w:num w:numId="243">
    <w:abstractNumId w:val="620"/>
  </w:num>
  <w:num w:numId="244">
    <w:abstractNumId w:val="423"/>
  </w:num>
  <w:num w:numId="245">
    <w:abstractNumId w:val="1248"/>
  </w:num>
  <w:num w:numId="246">
    <w:abstractNumId w:val="1460"/>
  </w:num>
  <w:num w:numId="247">
    <w:abstractNumId w:val="106"/>
  </w:num>
  <w:num w:numId="248">
    <w:abstractNumId w:val="231"/>
  </w:num>
  <w:num w:numId="249">
    <w:abstractNumId w:val="945"/>
  </w:num>
  <w:num w:numId="250">
    <w:abstractNumId w:val="1603"/>
  </w:num>
  <w:num w:numId="251">
    <w:abstractNumId w:val="434"/>
  </w:num>
  <w:num w:numId="252">
    <w:abstractNumId w:val="1073"/>
  </w:num>
  <w:num w:numId="253">
    <w:abstractNumId w:val="260"/>
  </w:num>
  <w:num w:numId="254">
    <w:abstractNumId w:val="823"/>
  </w:num>
  <w:num w:numId="255">
    <w:abstractNumId w:val="893"/>
  </w:num>
  <w:num w:numId="256">
    <w:abstractNumId w:val="1192"/>
  </w:num>
  <w:num w:numId="257">
    <w:abstractNumId w:val="767"/>
  </w:num>
  <w:num w:numId="258">
    <w:abstractNumId w:val="698"/>
  </w:num>
  <w:num w:numId="259">
    <w:abstractNumId w:val="135"/>
  </w:num>
  <w:num w:numId="260">
    <w:abstractNumId w:val="55"/>
  </w:num>
  <w:num w:numId="261">
    <w:abstractNumId w:val="1327"/>
  </w:num>
  <w:num w:numId="262">
    <w:abstractNumId w:val="269"/>
  </w:num>
  <w:num w:numId="263">
    <w:abstractNumId w:val="690"/>
  </w:num>
  <w:num w:numId="264">
    <w:abstractNumId w:val="1381"/>
  </w:num>
  <w:num w:numId="265">
    <w:abstractNumId w:val="39"/>
  </w:num>
  <w:num w:numId="266">
    <w:abstractNumId w:val="976"/>
  </w:num>
  <w:num w:numId="267">
    <w:abstractNumId w:val="196"/>
  </w:num>
  <w:num w:numId="268">
    <w:abstractNumId w:val="33"/>
  </w:num>
  <w:num w:numId="269">
    <w:abstractNumId w:val="1564"/>
  </w:num>
  <w:num w:numId="270">
    <w:abstractNumId w:val="183"/>
  </w:num>
  <w:num w:numId="271">
    <w:abstractNumId w:val="813"/>
  </w:num>
  <w:num w:numId="272">
    <w:abstractNumId w:val="1255"/>
  </w:num>
  <w:num w:numId="273">
    <w:abstractNumId w:val="79"/>
  </w:num>
  <w:num w:numId="274">
    <w:abstractNumId w:val="551"/>
  </w:num>
  <w:num w:numId="275">
    <w:abstractNumId w:val="1645"/>
  </w:num>
  <w:num w:numId="276">
    <w:abstractNumId w:val="764"/>
  </w:num>
  <w:num w:numId="277">
    <w:abstractNumId w:val="1116"/>
  </w:num>
  <w:num w:numId="278">
    <w:abstractNumId w:val="996"/>
  </w:num>
  <w:num w:numId="279">
    <w:abstractNumId w:val="321"/>
  </w:num>
  <w:num w:numId="280">
    <w:abstractNumId w:val="722"/>
  </w:num>
  <w:num w:numId="281">
    <w:abstractNumId w:val="73"/>
  </w:num>
  <w:num w:numId="282">
    <w:abstractNumId w:val="147"/>
  </w:num>
  <w:num w:numId="283">
    <w:abstractNumId w:val="1648"/>
  </w:num>
  <w:num w:numId="284">
    <w:abstractNumId w:val="734"/>
  </w:num>
  <w:num w:numId="285">
    <w:abstractNumId w:val="821"/>
  </w:num>
  <w:num w:numId="286">
    <w:abstractNumId w:val="354"/>
  </w:num>
  <w:num w:numId="287">
    <w:abstractNumId w:val="218"/>
  </w:num>
  <w:num w:numId="288">
    <w:abstractNumId w:val="834"/>
  </w:num>
  <w:num w:numId="289">
    <w:abstractNumId w:val="56"/>
  </w:num>
  <w:num w:numId="290">
    <w:abstractNumId w:val="802"/>
  </w:num>
  <w:num w:numId="291">
    <w:abstractNumId w:val="1325"/>
  </w:num>
  <w:num w:numId="292">
    <w:abstractNumId w:val="349"/>
  </w:num>
  <w:num w:numId="293">
    <w:abstractNumId w:val="491"/>
  </w:num>
  <w:num w:numId="294">
    <w:abstractNumId w:val="1557"/>
  </w:num>
  <w:num w:numId="295">
    <w:abstractNumId w:val="387"/>
  </w:num>
  <w:num w:numId="296">
    <w:abstractNumId w:val="1592"/>
  </w:num>
  <w:num w:numId="297">
    <w:abstractNumId w:val="1295"/>
  </w:num>
  <w:num w:numId="298">
    <w:abstractNumId w:val="110"/>
  </w:num>
  <w:num w:numId="299">
    <w:abstractNumId w:val="812"/>
  </w:num>
  <w:num w:numId="300">
    <w:abstractNumId w:val="810"/>
  </w:num>
  <w:num w:numId="301">
    <w:abstractNumId w:val="1647"/>
  </w:num>
  <w:num w:numId="302">
    <w:abstractNumId w:val="1554"/>
  </w:num>
  <w:num w:numId="303">
    <w:abstractNumId w:val="605"/>
  </w:num>
  <w:num w:numId="304">
    <w:abstractNumId w:val="547"/>
  </w:num>
  <w:num w:numId="305">
    <w:abstractNumId w:val="761"/>
  </w:num>
  <w:num w:numId="306">
    <w:abstractNumId w:val="153"/>
  </w:num>
  <w:num w:numId="307">
    <w:abstractNumId w:val="184"/>
  </w:num>
  <w:num w:numId="308">
    <w:abstractNumId w:val="1290"/>
  </w:num>
  <w:num w:numId="309">
    <w:abstractNumId w:val="535"/>
  </w:num>
  <w:num w:numId="310">
    <w:abstractNumId w:val="1252"/>
  </w:num>
  <w:num w:numId="311">
    <w:abstractNumId w:val="617"/>
  </w:num>
  <w:num w:numId="312">
    <w:abstractNumId w:val="1551"/>
  </w:num>
  <w:num w:numId="313">
    <w:abstractNumId w:val="1420"/>
  </w:num>
  <w:num w:numId="314">
    <w:abstractNumId w:val="256"/>
  </w:num>
  <w:num w:numId="315">
    <w:abstractNumId w:val="373"/>
  </w:num>
  <w:num w:numId="316">
    <w:abstractNumId w:val="1033"/>
  </w:num>
  <w:num w:numId="317">
    <w:abstractNumId w:val="545"/>
  </w:num>
  <w:num w:numId="318">
    <w:abstractNumId w:val="1611"/>
  </w:num>
  <w:num w:numId="319">
    <w:abstractNumId w:val="447"/>
  </w:num>
  <w:num w:numId="320">
    <w:abstractNumId w:val="1650"/>
  </w:num>
  <w:num w:numId="321">
    <w:abstractNumId w:val="531"/>
  </w:num>
  <w:num w:numId="322">
    <w:abstractNumId w:val="1339"/>
  </w:num>
  <w:num w:numId="323">
    <w:abstractNumId w:val="1273"/>
  </w:num>
  <w:num w:numId="324">
    <w:abstractNumId w:val="10"/>
  </w:num>
  <w:num w:numId="325">
    <w:abstractNumId w:val="475"/>
  </w:num>
  <w:num w:numId="326">
    <w:abstractNumId w:val="586"/>
  </w:num>
  <w:num w:numId="327">
    <w:abstractNumId w:val="1296"/>
  </w:num>
  <w:num w:numId="328">
    <w:abstractNumId w:val="161"/>
  </w:num>
  <w:num w:numId="329">
    <w:abstractNumId w:val="390"/>
  </w:num>
  <w:num w:numId="330">
    <w:abstractNumId w:val="573"/>
  </w:num>
  <w:num w:numId="331">
    <w:abstractNumId w:val="526"/>
  </w:num>
  <w:num w:numId="332">
    <w:abstractNumId w:val="1307"/>
  </w:num>
  <w:num w:numId="333">
    <w:abstractNumId w:val="958"/>
  </w:num>
  <w:num w:numId="334">
    <w:abstractNumId w:val="126"/>
  </w:num>
  <w:num w:numId="335">
    <w:abstractNumId w:val="1313"/>
  </w:num>
  <w:num w:numId="336">
    <w:abstractNumId w:val="1223"/>
  </w:num>
  <w:num w:numId="337">
    <w:abstractNumId w:val="988"/>
  </w:num>
  <w:num w:numId="338">
    <w:abstractNumId w:val="1029"/>
  </w:num>
  <w:num w:numId="339">
    <w:abstractNumId w:val="1417"/>
  </w:num>
  <w:num w:numId="340">
    <w:abstractNumId w:val="1368"/>
  </w:num>
  <w:num w:numId="341">
    <w:abstractNumId w:val="615"/>
  </w:num>
  <w:num w:numId="342">
    <w:abstractNumId w:val="1259"/>
  </w:num>
  <w:num w:numId="343">
    <w:abstractNumId w:val="719"/>
  </w:num>
  <w:num w:numId="344">
    <w:abstractNumId w:val="1303"/>
  </w:num>
  <w:num w:numId="345">
    <w:abstractNumId w:val="968"/>
  </w:num>
  <w:num w:numId="346">
    <w:abstractNumId w:val="652"/>
  </w:num>
  <w:num w:numId="347">
    <w:abstractNumId w:val="201"/>
  </w:num>
  <w:num w:numId="348">
    <w:abstractNumId w:val="284"/>
  </w:num>
  <w:num w:numId="349">
    <w:abstractNumId w:val="1604"/>
  </w:num>
  <w:num w:numId="350">
    <w:abstractNumId w:val="1155"/>
  </w:num>
  <w:num w:numId="351">
    <w:abstractNumId w:val="890"/>
  </w:num>
  <w:num w:numId="352">
    <w:abstractNumId w:val="770"/>
  </w:num>
  <w:num w:numId="353">
    <w:abstractNumId w:val="186"/>
  </w:num>
  <w:num w:numId="354">
    <w:abstractNumId w:val="30"/>
  </w:num>
  <w:num w:numId="355">
    <w:abstractNumId w:val="484"/>
  </w:num>
  <w:num w:numId="356">
    <w:abstractNumId w:val="863"/>
  </w:num>
  <w:num w:numId="357">
    <w:abstractNumId w:val="1071"/>
  </w:num>
  <w:num w:numId="358">
    <w:abstractNumId w:val="413"/>
  </w:num>
  <w:num w:numId="359">
    <w:abstractNumId w:val="987"/>
  </w:num>
  <w:num w:numId="360">
    <w:abstractNumId w:val="1236"/>
  </w:num>
  <w:num w:numId="361">
    <w:abstractNumId w:val="1504"/>
  </w:num>
  <w:num w:numId="362">
    <w:abstractNumId w:val="107"/>
  </w:num>
  <w:num w:numId="363">
    <w:abstractNumId w:val="580"/>
  </w:num>
  <w:num w:numId="364">
    <w:abstractNumId w:val="705"/>
  </w:num>
  <w:num w:numId="365">
    <w:abstractNumId w:val="1324"/>
  </w:num>
  <w:num w:numId="366">
    <w:abstractNumId w:val="986"/>
  </w:num>
  <w:num w:numId="367">
    <w:abstractNumId w:val="1326"/>
  </w:num>
  <w:num w:numId="368">
    <w:abstractNumId w:val="746"/>
  </w:num>
  <w:num w:numId="369">
    <w:abstractNumId w:val="960"/>
  </w:num>
  <w:num w:numId="370">
    <w:abstractNumId w:val="677"/>
  </w:num>
  <w:num w:numId="371">
    <w:abstractNumId w:val="148"/>
  </w:num>
  <w:num w:numId="372">
    <w:abstractNumId w:val="1485"/>
  </w:num>
  <w:num w:numId="373">
    <w:abstractNumId w:val="801"/>
  </w:num>
  <w:num w:numId="374">
    <w:abstractNumId w:val="927"/>
  </w:num>
  <w:num w:numId="375">
    <w:abstractNumId w:val="1552"/>
  </w:num>
  <w:num w:numId="376">
    <w:abstractNumId w:val="160"/>
  </w:num>
  <w:num w:numId="377">
    <w:abstractNumId w:val="1343"/>
  </w:num>
  <w:num w:numId="378">
    <w:abstractNumId w:val="169"/>
  </w:num>
  <w:num w:numId="379">
    <w:abstractNumId w:val="925"/>
  </w:num>
  <w:num w:numId="380">
    <w:abstractNumId w:val="319"/>
  </w:num>
  <w:num w:numId="381">
    <w:abstractNumId w:val="898"/>
  </w:num>
  <w:num w:numId="382">
    <w:abstractNumId w:val="1045"/>
  </w:num>
  <w:num w:numId="383">
    <w:abstractNumId w:val="588"/>
  </w:num>
  <w:num w:numId="384">
    <w:abstractNumId w:val="1376"/>
  </w:num>
  <w:num w:numId="385">
    <w:abstractNumId w:val="1384"/>
  </w:num>
  <w:num w:numId="386">
    <w:abstractNumId w:val="1331"/>
  </w:num>
  <w:num w:numId="387">
    <w:abstractNumId w:val="1351"/>
  </w:num>
  <w:num w:numId="388">
    <w:abstractNumId w:val="1567"/>
  </w:num>
  <w:num w:numId="389">
    <w:abstractNumId w:val="172"/>
  </w:num>
  <w:num w:numId="390">
    <w:abstractNumId w:val="1118"/>
  </w:num>
  <w:num w:numId="391">
    <w:abstractNumId w:val="502"/>
  </w:num>
  <w:num w:numId="392">
    <w:abstractNumId w:val="866"/>
  </w:num>
  <w:num w:numId="393">
    <w:abstractNumId w:val="1356"/>
  </w:num>
  <w:num w:numId="394">
    <w:abstractNumId w:val="70"/>
  </w:num>
  <w:num w:numId="395">
    <w:abstractNumId w:val="771"/>
  </w:num>
  <w:num w:numId="396">
    <w:abstractNumId w:val="116"/>
  </w:num>
  <w:num w:numId="397">
    <w:abstractNumId w:val="1287"/>
  </w:num>
  <w:num w:numId="398">
    <w:abstractNumId w:val="1162"/>
  </w:num>
  <w:num w:numId="399">
    <w:abstractNumId w:val="826"/>
  </w:num>
  <w:num w:numId="400">
    <w:abstractNumId w:val="1365"/>
  </w:num>
  <w:num w:numId="401">
    <w:abstractNumId w:val="1488"/>
  </w:num>
  <w:num w:numId="402">
    <w:abstractNumId w:val="1202"/>
  </w:num>
  <w:num w:numId="403">
    <w:abstractNumId w:val="1121"/>
  </w:num>
  <w:num w:numId="404">
    <w:abstractNumId w:val="1521"/>
  </w:num>
  <w:num w:numId="405">
    <w:abstractNumId w:val="557"/>
  </w:num>
  <w:num w:numId="406">
    <w:abstractNumId w:val="180"/>
  </w:num>
  <w:num w:numId="407">
    <w:abstractNumId w:val="1092"/>
  </w:num>
  <w:num w:numId="408">
    <w:abstractNumId w:val="614"/>
  </w:num>
  <w:num w:numId="409">
    <w:abstractNumId w:val="965"/>
  </w:num>
  <w:num w:numId="410">
    <w:abstractNumId w:val="313"/>
  </w:num>
  <w:num w:numId="411">
    <w:abstractNumId w:val="249"/>
  </w:num>
  <w:num w:numId="412">
    <w:abstractNumId w:val="96"/>
  </w:num>
  <w:num w:numId="413">
    <w:abstractNumId w:val="1228"/>
  </w:num>
  <w:num w:numId="414">
    <w:abstractNumId w:val="1530"/>
  </w:num>
  <w:num w:numId="415">
    <w:abstractNumId w:val="1145"/>
  </w:num>
  <w:num w:numId="416">
    <w:abstractNumId w:val="1616"/>
  </w:num>
  <w:num w:numId="417">
    <w:abstractNumId w:val="1213"/>
  </w:num>
  <w:num w:numId="418">
    <w:abstractNumId w:val="1013"/>
  </w:num>
  <w:num w:numId="419">
    <w:abstractNumId w:val="1445"/>
  </w:num>
  <w:num w:numId="420">
    <w:abstractNumId w:val="1457"/>
  </w:num>
  <w:num w:numId="421">
    <w:abstractNumId w:val="1411"/>
  </w:num>
  <w:num w:numId="422">
    <w:abstractNumId w:val="1621"/>
  </w:num>
  <w:num w:numId="423">
    <w:abstractNumId w:val="704"/>
  </w:num>
  <w:num w:numId="424">
    <w:abstractNumId w:val="1139"/>
  </w:num>
  <w:num w:numId="425">
    <w:abstractNumId w:val="1064"/>
  </w:num>
  <w:num w:numId="426">
    <w:abstractNumId w:val="1095"/>
  </w:num>
  <w:num w:numId="427">
    <w:abstractNumId w:val="1314"/>
  </w:num>
  <w:num w:numId="428">
    <w:abstractNumId w:val="411"/>
  </w:num>
  <w:num w:numId="429">
    <w:abstractNumId w:val="457"/>
  </w:num>
  <w:num w:numId="430">
    <w:abstractNumId w:val="439"/>
  </w:num>
  <w:num w:numId="431">
    <w:abstractNumId w:val="874"/>
  </w:num>
  <w:num w:numId="432">
    <w:abstractNumId w:val="298"/>
  </w:num>
  <w:num w:numId="433">
    <w:abstractNumId w:val="212"/>
  </w:num>
  <w:num w:numId="434">
    <w:abstractNumId w:val="846"/>
  </w:num>
  <w:num w:numId="435">
    <w:abstractNumId w:val="609"/>
  </w:num>
  <w:num w:numId="436">
    <w:abstractNumId w:val="1083"/>
  </w:num>
  <w:num w:numId="437">
    <w:abstractNumId w:val="1233"/>
  </w:num>
  <w:num w:numId="438">
    <w:abstractNumId w:val="1424"/>
  </w:num>
  <w:num w:numId="439">
    <w:abstractNumId w:val="783"/>
  </w:num>
  <w:num w:numId="440">
    <w:abstractNumId w:val="518"/>
  </w:num>
  <w:num w:numId="441">
    <w:abstractNumId w:val="1474"/>
  </w:num>
  <w:num w:numId="442">
    <w:abstractNumId w:val="1349"/>
  </w:num>
  <w:num w:numId="443">
    <w:abstractNumId w:val="103"/>
  </w:num>
  <w:num w:numId="444">
    <w:abstractNumId w:val="1031"/>
  </w:num>
  <w:num w:numId="445">
    <w:abstractNumId w:val="871"/>
  </w:num>
  <w:num w:numId="446">
    <w:abstractNumId w:val="1198"/>
  </w:num>
  <w:num w:numId="447">
    <w:abstractNumId w:val="224"/>
  </w:num>
  <w:num w:numId="448">
    <w:abstractNumId w:val="382"/>
  </w:num>
  <w:num w:numId="449">
    <w:abstractNumId w:val="4"/>
  </w:num>
  <w:num w:numId="450">
    <w:abstractNumId w:val="1098"/>
  </w:num>
  <w:num w:numId="451">
    <w:abstractNumId w:val="1156"/>
  </w:num>
  <w:num w:numId="452">
    <w:abstractNumId w:val="485"/>
  </w:num>
  <w:num w:numId="453">
    <w:abstractNumId w:val="664"/>
  </w:num>
  <w:num w:numId="454">
    <w:abstractNumId w:val="458"/>
  </w:num>
  <w:num w:numId="455">
    <w:abstractNumId w:val="247"/>
  </w:num>
  <w:num w:numId="456">
    <w:abstractNumId w:val="1570"/>
  </w:num>
  <w:num w:numId="457">
    <w:abstractNumId w:val="879"/>
  </w:num>
  <w:num w:numId="458">
    <w:abstractNumId w:val="1644"/>
  </w:num>
  <w:num w:numId="459">
    <w:abstractNumId w:val="25"/>
  </w:num>
  <w:num w:numId="460">
    <w:abstractNumId w:val="1109"/>
  </w:num>
  <w:num w:numId="461">
    <w:abstractNumId w:val="342"/>
  </w:num>
  <w:num w:numId="462">
    <w:abstractNumId w:val="983"/>
  </w:num>
  <w:num w:numId="463">
    <w:abstractNumId w:val="1170"/>
  </w:num>
  <w:num w:numId="464">
    <w:abstractNumId w:val="17"/>
  </w:num>
  <w:num w:numId="465">
    <w:abstractNumId w:val="1653"/>
  </w:num>
  <w:num w:numId="466">
    <w:abstractNumId w:val="1404"/>
  </w:num>
  <w:num w:numId="467">
    <w:abstractNumId w:val="779"/>
  </w:num>
  <w:num w:numId="468">
    <w:abstractNumId w:val="725"/>
  </w:num>
  <w:num w:numId="469">
    <w:abstractNumId w:val="607"/>
  </w:num>
  <w:num w:numId="470">
    <w:abstractNumId w:val="1190"/>
  </w:num>
  <w:num w:numId="471">
    <w:abstractNumId w:val="1646"/>
  </w:num>
  <w:num w:numId="472">
    <w:abstractNumId w:val="1080"/>
  </w:num>
  <w:num w:numId="473">
    <w:abstractNumId w:val="855"/>
  </w:num>
  <w:num w:numId="474">
    <w:abstractNumId w:val="1517"/>
  </w:num>
  <w:num w:numId="475">
    <w:abstractNumId w:val="90"/>
  </w:num>
  <w:num w:numId="476">
    <w:abstractNumId w:val="1360"/>
  </w:num>
  <w:num w:numId="477">
    <w:abstractNumId w:val="58"/>
  </w:num>
  <w:num w:numId="478">
    <w:abstractNumId w:val="109"/>
  </w:num>
  <w:num w:numId="479">
    <w:abstractNumId w:val="1387"/>
  </w:num>
  <w:num w:numId="480">
    <w:abstractNumId w:val="903"/>
  </w:num>
  <w:num w:numId="481">
    <w:abstractNumId w:val="510"/>
  </w:num>
  <w:num w:numId="482">
    <w:abstractNumId w:val="735"/>
  </w:num>
  <w:num w:numId="483">
    <w:abstractNumId w:val="1414"/>
  </w:num>
  <w:num w:numId="484">
    <w:abstractNumId w:val="52"/>
  </w:num>
  <w:num w:numId="485">
    <w:abstractNumId w:val="603"/>
  </w:num>
  <w:num w:numId="486">
    <w:abstractNumId w:val="1181"/>
  </w:num>
  <w:num w:numId="487">
    <w:abstractNumId w:val="327"/>
  </w:num>
  <w:num w:numId="488">
    <w:abstractNumId w:val="198"/>
  </w:num>
  <w:num w:numId="489">
    <w:abstractNumId w:val="906"/>
  </w:num>
  <w:num w:numId="490">
    <w:abstractNumId w:val="339"/>
  </w:num>
  <w:num w:numId="491">
    <w:abstractNumId w:val="214"/>
  </w:num>
  <w:num w:numId="492">
    <w:abstractNumId w:val="1215"/>
  </w:num>
  <w:num w:numId="493">
    <w:abstractNumId w:val="23"/>
  </w:num>
  <w:num w:numId="494">
    <w:abstractNumId w:val="1423"/>
  </w:num>
  <w:num w:numId="495">
    <w:abstractNumId w:val="274"/>
  </w:num>
  <w:num w:numId="496">
    <w:abstractNumId w:val="291"/>
  </w:num>
  <w:num w:numId="497">
    <w:abstractNumId w:val="680"/>
  </w:num>
  <w:num w:numId="498">
    <w:abstractNumId w:val="275"/>
  </w:num>
  <w:num w:numId="499">
    <w:abstractNumId w:val="1342"/>
  </w:num>
  <w:num w:numId="500">
    <w:abstractNumId w:val="1515"/>
  </w:num>
  <w:num w:numId="501">
    <w:abstractNumId w:val="1105"/>
  </w:num>
  <w:num w:numId="502">
    <w:abstractNumId w:val="1613"/>
  </w:num>
  <w:num w:numId="503">
    <w:abstractNumId w:val="856"/>
  </w:num>
  <w:num w:numId="504">
    <w:abstractNumId w:val="1643"/>
  </w:num>
  <w:num w:numId="505">
    <w:abstractNumId w:val="1043"/>
  </w:num>
  <w:num w:numId="506">
    <w:abstractNumId w:val="768"/>
  </w:num>
  <w:num w:numId="507">
    <w:abstractNumId w:val="1635"/>
  </w:num>
  <w:num w:numId="508">
    <w:abstractNumId w:val="1553"/>
  </w:num>
  <w:num w:numId="509">
    <w:abstractNumId w:val="566"/>
  </w:num>
  <w:num w:numId="510">
    <w:abstractNumId w:val="1283"/>
  </w:num>
  <w:num w:numId="511">
    <w:abstractNumId w:val="702"/>
  </w:num>
  <w:num w:numId="512">
    <w:abstractNumId w:val="1565"/>
  </w:num>
  <w:num w:numId="513">
    <w:abstractNumId w:val="1631"/>
  </w:num>
  <w:num w:numId="514">
    <w:abstractNumId w:val="419"/>
  </w:num>
  <w:num w:numId="515">
    <w:abstractNumId w:val="1196"/>
  </w:num>
  <w:num w:numId="516">
    <w:abstractNumId w:val="1388"/>
  </w:num>
  <w:num w:numId="517">
    <w:abstractNumId w:val="91"/>
  </w:num>
  <w:num w:numId="518">
    <w:abstractNumId w:val="157"/>
  </w:num>
  <w:num w:numId="519">
    <w:abstractNumId w:val="200"/>
  </w:num>
  <w:num w:numId="520">
    <w:abstractNumId w:val="206"/>
  </w:num>
  <w:num w:numId="521">
    <w:abstractNumId w:val="1463"/>
  </w:num>
  <w:num w:numId="522">
    <w:abstractNumId w:val="1531"/>
  </w:num>
  <w:num w:numId="523">
    <w:abstractNumId w:val="1654"/>
  </w:num>
  <w:num w:numId="524">
    <w:abstractNumId w:val="53"/>
  </w:num>
  <w:num w:numId="525">
    <w:abstractNumId w:val="880"/>
  </w:num>
  <w:num w:numId="526">
    <w:abstractNumId w:val="1216"/>
  </w:num>
  <w:num w:numId="527">
    <w:abstractNumId w:val="1131"/>
  </w:num>
  <w:num w:numId="528">
    <w:abstractNumId w:val="253"/>
  </w:num>
  <w:num w:numId="529">
    <w:abstractNumId w:val="1421"/>
  </w:num>
  <w:num w:numId="530">
    <w:abstractNumId w:val="572"/>
  </w:num>
  <w:num w:numId="531">
    <w:abstractNumId w:val="117"/>
  </w:num>
  <w:num w:numId="532">
    <w:abstractNumId w:val="729"/>
  </w:num>
  <w:num w:numId="533">
    <w:abstractNumId w:val="584"/>
  </w:num>
  <w:num w:numId="534">
    <w:abstractNumId w:val="418"/>
  </w:num>
  <w:num w:numId="535">
    <w:abstractNumId w:val="1641"/>
  </w:num>
  <w:num w:numId="536">
    <w:abstractNumId w:val="220"/>
  </w:num>
  <w:num w:numId="537">
    <w:abstractNumId w:val="509"/>
  </w:num>
  <w:num w:numId="538">
    <w:abstractNumId w:val="1088"/>
  </w:num>
  <w:num w:numId="539">
    <w:abstractNumId w:val="626"/>
  </w:num>
  <w:num w:numId="540">
    <w:abstractNumId w:val="168"/>
  </w:num>
  <w:num w:numId="541">
    <w:abstractNumId w:val="81"/>
  </w:num>
  <w:num w:numId="542">
    <w:abstractNumId w:val="270"/>
  </w:num>
  <w:num w:numId="543">
    <w:abstractNumId w:val="131"/>
  </w:num>
  <w:num w:numId="544">
    <w:abstractNumId w:val="860"/>
  </w:num>
  <w:num w:numId="545">
    <w:abstractNumId w:val="934"/>
  </w:num>
  <w:num w:numId="546">
    <w:abstractNumId w:val="917"/>
  </w:num>
  <w:num w:numId="547">
    <w:abstractNumId w:val="398"/>
  </w:num>
  <w:num w:numId="548">
    <w:abstractNumId w:val="250"/>
  </w:num>
  <w:num w:numId="549">
    <w:abstractNumId w:val="1428"/>
  </w:num>
  <w:num w:numId="550">
    <w:abstractNumId w:val="1317"/>
  </w:num>
  <w:num w:numId="551">
    <w:abstractNumId w:val="718"/>
  </w:num>
  <w:num w:numId="552">
    <w:abstractNumId w:val="1305"/>
  </w:num>
  <w:num w:numId="553">
    <w:abstractNumId w:val="1289"/>
  </w:num>
  <w:num w:numId="554">
    <w:abstractNumId w:val="611"/>
  </w:num>
  <w:num w:numId="555">
    <w:abstractNumId w:val="936"/>
  </w:num>
  <w:num w:numId="556">
    <w:abstractNumId w:val="1093"/>
  </w:num>
  <w:num w:numId="557">
    <w:abstractNumId w:val="950"/>
  </w:num>
  <w:num w:numId="558">
    <w:abstractNumId w:val="940"/>
  </w:num>
  <w:num w:numId="559">
    <w:abstractNumId w:val="726"/>
  </w:num>
  <w:num w:numId="560">
    <w:abstractNumId w:val="991"/>
  </w:num>
  <w:num w:numId="561">
    <w:abstractNumId w:val="1627"/>
  </w:num>
  <w:num w:numId="562">
    <w:abstractNumId w:val="377"/>
  </w:num>
  <w:num w:numId="563">
    <w:abstractNumId w:val="144"/>
  </w:num>
  <w:num w:numId="564">
    <w:abstractNumId w:val="1347"/>
  </w:num>
  <w:num w:numId="565">
    <w:abstractNumId w:val="1382"/>
  </w:num>
  <w:num w:numId="566">
    <w:abstractNumId w:val="47"/>
  </w:num>
  <w:num w:numId="567">
    <w:abstractNumId w:val="1078"/>
  </w:num>
  <w:num w:numId="568">
    <w:abstractNumId w:val="643"/>
  </w:num>
  <w:num w:numId="569">
    <w:abstractNumId w:val="64"/>
  </w:num>
  <w:num w:numId="570">
    <w:abstractNumId w:val="448"/>
  </w:num>
  <w:num w:numId="571">
    <w:abstractNumId w:val="45"/>
  </w:num>
  <w:num w:numId="572">
    <w:abstractNumId w:val="918"/>
  </w:num>
  <w:num w:numId="573">
    <w:abstractNumId w:val="1225"/>
  </w:num>
  <w:num w:numId="574">
    <w:abstractNumId w:val="788"/>
  </w:num>
  <w:num w:numId="575">
    <w:abstractNumId w:val="1034"/>
  </w:num>
  <w:num w:numId="576">
    <w:abstractNumId w:val="854"/>
  </w:num>
  <w:num w:numId="577">
    <w:abstractNumId w:val="1146"/>
  </w:num>
  <w:num w:numId="578">
    <w:abstractNumId w:val="546"/>
  </w:num>
  <w:num w:numId="579">
    <w:abstractNumId w:val="255"/>
  </w:num>
  <w:num w:numId="580">
    <w:abstractNumId w:val="1171"/>
  </w:num>
  <w:num w:numId="581">
    <w:abstractNumId w:val="808"/>
  </w:num>
  <w:num w:numId="582">
    <w:abstractNumId w:val="1276"/>
  </w:num>
  <w:num w:numId="583">
    <w:abstractNumId w:val="1394"/>
  </w:num>
  <w:num w:numId="584">
    <w:abstractNumId w:val="714"/>
  </w:num>
  <w:num w:numId="585">
    <w:abstractNumId w:val="137"/>
  </w:num>
  <w:num w:numId="586">
    <w:abstractNumId w:val="1479"/>
  </w:num>
  <w:num w:numId="587">
    <w:abstractNumId w:val="1350"/>
  </w:num>
  <w:num w:numId="588">
    <w:abstractNumId w:val="406"/>
  </w:num>
  <w:num w:numId="589">
    <w:abstractNumId w:val="1238"/>
  </w:num>
  <w:num w:numId="590">
    <w:abstractNumId w:val="409"/>
  </w:num>
  <w:num w:numId="591">
    <w:abstractNumId w:val="1435"/>
  </w:num>
  <w:num w:numId="592">
    <w:abstractNumId w:val="421"/>
  </w:num>
  <w:num w:numId="593">
    <w:abstractNumId w:val="310"/>
  </w:num>
  <w:num w:numId="594">
    <w:abstractNumId w:val="1533"/>
  </w:num>
  <w:num w:numId="595">
    <w:abstractNumId w:val="872"/>
  </w:num>
  <w:num w:numId="596">
    <w:abstractNumId w:val="367"/>
  </w:num>
  <w:num w:numId="597">
    <w:abstractNumId w:val="13"/>
  </w:num>
  <w:num w:numId="598">
    <w:abstractNumId w:val="848"/>
  </w:num>
  <w:num w:numId="599">
    <w:abstractNumId w:val="785"/>
  </w:num>
  <w:num w:numId="600">
    <w:abstractNumId w:val="488"/>
  </w:num>
  <w:num w:numId="601">
    <w:abstractNumId w:val="754"/>
  </w:num>
  <w:num w:numId="602">
    <w:abstractNumId w:val="38"/>
  </w:num>
  <w:num w:numId="603">
    <w:abstractNumId w:val="529"/>
  </w:num>
  <w:num w:numId="604">
    <w:abstractNumId w:val="1015"/>
  </w:num>
  <w:num w:numId="605">
    <w:abstractNumId w:val="158"/>
  </w:num>
  <w:num w:numId="606">
    <w:abstractNumId w:val="102"/>
  </w:num>
  <w:num w:numId="607">
    <w:abstractNumId w:val="82"/>
  </w:num>
  <w:num w:numId="608">
    <w:abstractNumId w:val="410"/>
  </w:num>
  <w:num w:numId="609">
    <w:abstractNumId w:val="1119"/>
  </w:num>
  <w:num w:numId="610">
    <w:abstractNumId w:val="556"/>
  </w:num>
  <w:num w:numId="611">
    <w:abstractNumId w:val="1306"/>
  </w:num>
  <w:num w:numId="612">
    <w:abstractNumId w:val="835"/>
  </w:num>
  <w:num w:numId="613">
    <w:abstractNumId w:val="182"/>
  </w:num>
  <w:num w:numId="614">
    <w:abstractNumId w:val="219"/>
  </w:num>
  <w:num w:numId="615">
    <w:abstractNumId w:val="1108"/>
  </w:num>
  <w:num w:numId="616">
    <w:abstractNumId w:val="606"/>
  </w:num>
  <w:num w:numId="617">
    <w:abstractNumId w:val="288"/>
  </w:num>
  <w:num w:numId="618">
    <w:abstractNumId w:val="1651"/>
  </w:num>
  <w:num w:numId="619">
    <w:abstractNumId w:val="1159"/>
  </w:num>
  <w:num w:numId="620">
    <w:abstractNumId w:val="217"/>
  </w:num>
  <w:num w:numId="621">
    <w:abstractNumId w:val="521"/>
  </w:num>
  <w:num w:numId="622">
    <w:abstractNumId w:val="500"/>
  </w:num>
  <w:num w:numId="623">
    <w:abstractNumId w:val="1207"/>
  </w:num>
  <w:num w:numId="624">
    <w:abstractNumId w:val="695"/>
  </w:num>
  <w:num w:numId="625">
    <w:abstractNumId w:val="708"/>
  </w:num>
  <w:num w:numId="626">
    <w:abstractNumId w:val="1148"/>
  </w:num>
  <w:num w:numId="627">
    <w:abstractNumId w:val="481"/>
  </w:num>
  <w:num w:numId="628">
    <w:abstractNumId w:val="77"/>
  </w:num>
  <w:num w:numId="629">
    <w:abstractNumId w:val="948"/>
  </w:num>
  <w:num w:numId="630">
    <w:abstractNumId w:val="1165"/>
  </w:num>
  <w:num w:numId="631">
    <w:abstractNumId w:val="793"/>
  </w:num>
  <w:num w:numId="632">
    <w:abstractNumId w:val="233"/>
  </w:num>
  <w:num w:numId="633">
    <w:abstractNumId w:val="1142"/>
  </w:num>
  <w:num w:numId="634">
    <w:abstractNumId w:val="241"/>
  </w:num>
  <w:num w:numId="635">
    <w:abstractNumId w:val="944"/>
  </w:num>
  <w:num w:numId="636">
    <w:abstractNumId w:val="75"/>
  </w:num>
  <w:num w:numId="637">
    <w:abstractNumId w:val="740"/>
  </w:num>
  <w:num w:numId="638">
    <w:abstractNumId w:val="1514"/>
  </w:num>
  <w:num w:numId="639">
    <w:abstractNumId w:val="709"/>
  </w:num>
  <w:num w:numId="640">
    <w:abstractNumId w:val="1589"/>
  </w:num>
  <w:num w:numId="641">
    <w:abstractNumId w:val="1167"/>
  </w:num>
  <w:num w:numId="642">
    <w:abstractNumId w:val="1483"/>
  </w:num>
  <w:num w:numId="643">
    <w:abstractNumId w:val="324"/>
  </w:num>
  <w:num w:numId="644">
    <w:abstractNumId w:val="22"/>
  </w:num>
  <w:num w:numId="645">
    <w:abstractNumId w:val="1578"/>
  </w:num>
  <w:num w:numId="646">
    <w:abstractNumId w:val="142"/>
  </w:num>
  <w:num w:numId="647">
    <w:abstractNumId w:val="946"/>
  </w:num>
  <w:num w:numId="648">
    <w:abstractNumId w:val="1049"/>
  </w:num>
  <w:num w:numId="649">
    <w:abstractNumId w:val="432"/>
  </w:num>
  <w:num w:numId="650">
    <w:abstractNumId w:val="414"/>
  </w:num>
  <w:num w:numId="651">
    <w:abstractNumId w:val="113"/>
  </w:num>
  <w:num w:numId="652">
    <w:abstractNumId w:val="1397"/>
  </w:num>
  <w:num w:numId="653">
    <w:abstractNumId w:val="975"/>
  </w:num>
  <w:num w:numId="654">
    <w:abstractNumId w:val="1363"/>
  </w:num>
  <w:num w:numId="655">
    <w:abstractNumId w:val="998"/>
  </w:num>
  <w:num w:numId="656">
    <w:abstractNumId w:val="264"/>
  </w:num>
  <w:num w:numId="657">
    <w:abstractNumId w:val="1166"/>
  </w:num>
  <w:num w:numId="658">
    <w:abstractNumId w:val="263"/>
  </w:num>
  <w:num w:numId="659">
    <w:abstractNumId w:val="1496"/>
  </w:num>
  <w:num w:numId="660">
    <w:abstractNumId w:val="1487"/>
  </w:num>
  <w:num w:numId="661">
    <w:abstractNumId w:val="1609"/>
  </w:num>
  <w:num w:numId="662">
    <w:abstractNumId w:val="552"/>
  </w:num>
  <w:num w:numId="663">
    <w:abstractNumId w:val="707"/>
  </w:num>
  <w:num w:numId="664">
    <w:abstractNumId w:val="1041"/>
  </w:num>
  <w:num w:numId="665">
    <w:abstractNumId w:val="12"/>
  </w:num>
  <w:num w:numId="666">
    <w:abstractNumId w:val="1094"/>
  </w:num>
  <w:num w:numId="667">
    <w:abstractNumId w:val="358"/>
  </w:num>
  <w:num w:numId="668">
    <w:abstractNumId w:val="415"/>
  </w:num>
  <w:num w:numId="669">
    <w:abstractNumId w:val="93"/>
  </w:num>
  <w:num w:numId="670">
    <w:abstractNumId w:val="993"/>
  </w:num>
  <w:num w:numId="671">
    <w:abstractNumId w:val="1141"/>
  </w:num>
  <w:num w:numId="672">
    <w:abstractNumId w:val="1205"/>
  </w:num>
  <w:num w:numId="673">
    <w:abstractNumId w:val="383"/>
  </w:num>
  <w:num w:numId="674">
    <w:abstractNumId w:val="1374"/>
  </w:num>
  <w:num w:numId="675">
    <w:abstractNumId w:val="330"/>
  </w:num>
  <w:num w:numId="676">
    <w:abstractNumId w:val="732"/>
  </w:num>
  <w:num w:numId="677">
    <w:abstractNumId w:val="1473"/>
  </w:num>
  <w:num w:numId="678">
    <w:abstractNumId w:val="306"/>
  </w:num>
  <w:num w:numId="679">
    <w:abstractNumId w:val="530"/>
  </w:num>
  <w:num w:numId="680">
    <w:abstractNumId w:val="1466"/>
  </w:num>
  <w:num w:numId="681">
    <w:abstractNumId w:val="1186"/>
  </w:num>
  <w:num w:numId="682">
    <w:abstractNumId w:val="1346"/>
  </w:num>
  <w:num w:numId="683">
    <w:abstractNumId w:val="352"/>
  </w:num>
  <w:num w:numId="684">
    <w:abstractNumId w:val="847"/>
  </w:num>
  <w:num w:numId="685">
    <w:abstractNumId w:val="105"/>
  </w:num>
  <w:num w:numId="686">
    <w:abstractNumId w:val="1546"/>
  </w:num>
  <w:num w:numId="687">
    <w:abstractNumId w:val="504"/>
  </w:num>
  <w:num w:numId="688">
    <w:abstractNumId w:val="1060"/>
  </w:num>
  <w:num w:numId="689">
    <w:abstractNumId w:val="248"/>
  </w:num>
  <w:num w:numId="690">
    <w:abstractNumId w:val="1359"/>
  </w:num>
  <w:num w:numId="691">
    <w:abstractNumId w:val="501"/>
  </w:num>
  <w:num w:numId="692">
    <w:abstractNumId w:val="1187"/>
  </w:num>
  <w:num w:numId="693">
    <w:abstractNumId w:val="429"/>
  </w:num>
  <w:num w:numId="694">
    <w:abstractNumId w:val="6"/>
  </w:num>
  <w:num w:numId="695">
    <w:abstractNumId w:val="445"/>
  </w:num>
  <w:num w:numId="696">
    <w:abstractNumId w:val="1522"/>
  </w:num>
  <w:num w:numId="697">
    <w:abstractNumId w:val="1284"/>
  </w:num>
  <w:num w:numId="698">
    <w:abstractNumId w:val="44"/>
  </w:num>
  <w:num w:numId="699">
    <w:abstractNumId w:val="786"/>
  </w:num>
  <w:num w:numId="700">
    <w:abstractNumId w:val="1408"/>
  </w:num>
  <w:num w:numId="701">
    <w:abstractNumId w:val="1091"/>
  </w:num>
  <w:num w:numId="702">
    <w:abstractNumId w:val="935"/>
  </w:num>
  <w:num w:numId="703">
    <w:abstractNumId w:val="1510"/>
  </w:num>
  <w:num w:numId="704">
    <w:abstractNumId w:val="593"/>
  </w:num>
  <w:num w:numId="705">
    <w:abstractNumId w:val="101"/>
  </w:num>
  <w:num w:numId="706">
    <w:abstractNumId w:val="1114"/>
  </w:num>
  <w:num w:numId="707">
    <w:abstractNumId w:val="1195"/>
  </w:num>
  <w:num w:numId="708">
    <w:abstractNumId w:val="1239"/>
  </w:num>
  <w:num w:numId="709">
    <w:abstractNumId w:val="665"/>
  </w:num>
  <w:num w:numId="710">
    <w:abstractNumId w:val="689"/>
  </w:num>
  <w:num w:numId="711">
    <w:abstractNumId w:val="953"/>
  </w:num>
  <w:num w:numId="712">
    <w:abstractNumId w:val="1383"/>
  </w:num>
  <w:num w:numId="713">
    <w:abstractNumId w:val="292"/>
  </w:num>
  <w:num w:numId="714">
    <w:abstractNumId w:val="669"/>
  </w:num>
  <w:num w:numId="715">
    <w:abstractNumId w:val="618"/>
  </w:num>
  <w:num w:numId="716">
    <w:abstractNumId w:val="836"/>
  </w:num>
  <w:num w:numId="717">
    <w:abstractNumId w:val="1058"/>
  </w:num>
  <w:num w:numId="718">
    <w:abstractNumId w:val="541"/>
  </w:num>
  <w:num w:numId="719">
    <w:abstractNumId w:val="1372"/>
  </w:num>
  <w:num w:numId="720">
    <w:abstractNumId w:val="825"/>
  </w:num>
  <w:num w:numId="721">
    <w:abstractNumId w:val="1358"/>
  </w:num>
  <w:num w:numId="722">
    <w:abstractNumId w:val="43"/>
  </w:num>
  <w:num w:numId="723">
    <w:abstractNumId w:val="938"/>
  </w:num>
  <w:num w:numId="724">
    <w:abstractNumId w:val="120"/>
  </w:num>
  <w:num w:numId="725">
    <w:abstractNumId w:val="1226"/>
  </w:num>
  <w:num w:numId="726">
    <w:abstractNumId w:val="1134"/>
  </w:num>
  <w:num w:numId="727">
    <w:abstractNumId w:val="881"/>
  </w:num>
  <w:num w:numId="728">
    <w:abstractNumId w:val="512"/>
  </w:num>
  <w:num w:numId="729">
    <w:abstractNumId w:val="1335"/>
  </w:num>
  <w:num w:numId="730">
    <w:abstractNumId w:val="443"/>
  </w:num>
  <w:num w:numId="731">
    <w:abstractNumId w:val="492"/>
  </w:num>
  <w:num w:numId="732">
    <w:abstractNumId w:val="1495"/>
  </w:num>
  <w:num w:numId="733">
    <w:abstractNumId w:val="933"/>
  </w:num>
  <w:num w:numId="734">
    <w:abstractNumId w:val="628"/>
  </w:num>
  <w:num w:numId="735">
    <w:abstractNumId w:val="154"/>
  </w:num>
  <w:num w:numId="736">
    <w:abstractNumId w:val="1596"/>
  </w:num>
  <w:num w:numId="737">
    <w:abstractNumId w:val="463"/>
  </w:num>
  <w:num w:numId="738">
    <w:abstractNumId w:val="469"/>
  </w:num>
  <w:num w:numId="739">
    <w:abstractNumId w:val="1430"/>
  </w:num>
  <w:num w:numId="740">
    <w:abstractNumId w:val="14"/>
  </w:num>
  <w:num w:numId="741">
    <w:abstractNumId w:val="1629"/>
  </w:num>
  <w:num w:numId="742">
    <w:abstractNumId w:val="750"/>
  </w:num>
  <w:num w:numId="743">
    <w:abstractNumId w:val="1454"/>
  </w:num>
  <w:num w:numId="744">
    <w:abstractNumId w:val="560"/>
  </w:num>
  <w:num w:numId="745">
    <w:abstractNumId w:val="361"/>
  </w:num>
  <w:num w:numId="746">
    <w:abstractNumId w:val="1523"/>
  </w:num>
  <w:num w:numId="747">
    <w:abstractNumId w:val="287"/>
  </w:num>
  <w:num w:numId="748">
    <w:abstractNumId w:val="612"/>
  </w:num>
  <w:num w:numId="749">
    <w:abstractNumId w:val="660"/>
  </w:num>
  <w:num w:numId="750">
    <w:abstractNumId w:val="1270"/>
  </w:num>
  <w:num w:numId="751">
    <w:abstractNumId w:val="1316"/>
  </w:num>
  <w:num w:numId="752">
    <w:abstractNumId w:val="1366"/>
  </w:num>
  <w:num w:numId="753">
    <w:abstractNumId w:val="272"/>
  </w:num>
  <w:num w:numId="754">
    <w:abstractNumId w:val="1380"/>
  </w:num>
  <w:num w:numId="755">
    <w:abstractNumId w:val="829"/>
  </w:num>
  <w:num w:numId="756">
    <w:abstractNumId w:val="51"/>
  </w:num>
  <w:num w:numId="757">
    <w:abstractNumId w:val="1393"/>
  </w:num>
  <w:num w:numId="758">
    <w:abstractNumId w:val="476"/>
  </w:num>
  <w:num w:numId="759">
    <w:abstractNumId w:val="1455"/>
  </w:num>
  <w:num w:numId="760">
    <w:abstractNumId w:val="350"/>
  </w:num>
  <w:num w:numId="761">
    <w:abstractNumId w:val="177"/>
  </w:num>
  <w:num w:numId="762">
    <w:abstractNumId w:val="309"/>
  </w:num>
  <w:num w:numId="763">
    <w:abstractNumId w:val="370"/>
  </w:num>
  <w:num w:numId="764">
    <w:abstractNumId w:val="1189"/>
  </w:num>
  <w:num w:numId="765">
    <w:abstractNumId w:val="980"/>
  </w:num>
  <w:num w:numId="766">
    <w:abstractNumId w:val="146"/>
  </w:num>
  <w:num w:numId="767">
    <w:abstractNumId w:val="1630"/>
  </w:num>
  <w:num w:numId="768">
    <w:abstractNumId w:val="650"/>
  </w:num>
  <w:num w:numId="769">
    <w:abstractNumId w:val="1395"/>
  </w:num>
  <w:num w:numId="770">
    <w:abstractNumId w:val="1465"/>
  </w:num>
  <w:num w:numId="771">
    <w:abstractNumId w:val="1422"/>
  </w:num>
  <w:num w:numId="772">
    <w:abstractNumId w:val="187"/>
  </w:num>
  <w:num w:numId="773">
    <w:abstractNumId w:val="739"/>
  </w:num>
  <w:num w:numId="774">
    <w:abstractNumId w:val="773"/>
  </w:num>
  <w:num w:numId="775">
    <w:abstractNumId w:val="1329"/>
  </w:num>
  <w:num w:numId="776">
    <w:abstractNumId w:val="774"/>
  </w:num>
  <w:num w:numId="777">
    <w:abstractNumId w:val="1054"/>
  </w:num>
  <w:num w:numId="778">
    <w:abstractNumId w:val="104"/>
  </w:num>
  <w:num w:numId="779">
    <w:abstractNumId w:val="1390"/>
  </w:num>
  <w:num w:numId="780">
    <w:abstractNumId w:val="277"/>
  </w:num>
  <w:num w:numId="781">
    <w:abstractNumId w:val="924"/>
  </w:num>
  <w:num w:numId="782">
    <w:abstractNumId w:val="763"/>
  </w:num>
  <w:num w:numId="783">
    <w:abstractNumId w:val="1529"/>
  </w:num>
  <w:num w:numId="784">
    <w:abstractNumId w:val="1264"/>
  </w:num>
  <w:num w:numId="785">
    <w:abstractNumId w:val="114"/>
  </w:num>
  <w:num w:numId="786">
    <w:abstractNumId w:val="1509"/>
  </w:num>
  <w:num w:numId="787">
    <w:abstractNumId w:val="703"/>
  </w:num>
  <w:num w:numId="788">
    <w:abstractNumId w:val="1318"/>
  </w:num>
  <w:num w:numId="789">
    <w:abstractNumId w:val="1401"/>
  </w:num>
  <w:num w:numId="790">
    <w:abstractNumId w:val="1175"/>
  </w:num>
  <w:num w:numId="791">
    <w:abstractNumId w:val="1039"/>
  </w:num>
  <w:num w:numId="792">
    <w:abstractNumId w:val="208"/>
  </w:num>
  <w:num w:numId="793">
    <w:abstractNumId w:val="71"/>
  </w:num>
  <w:num w:numId="794">
    <w:abstractNumId w:val="1587"/>
  </w:num>
  <w:num w:numId="795">
    <w:abstractNumId w:val="356"/>
  </w:num>
  <w:num w:numId="796">
    <w:abstractNumId w:val="1379"/>
  </w:num>
  <w:num w:numId="797">
    <w:abstractNumId w:val="1023"/>
  </w:num>
  <w:num w:numId="798">
    <w:abstractNumId w:val="76"/>
  </w:num>
  <w:num w:numId="799">
    <w:abstractNumId w:val="653"/>
  </w:num>
  <w:num w:numId="800">
    <w:abstractNumId w:val="803"/>
  </w:num>
  <w:num w:numId="801">
    <w:abstractNumId w:val="302"/>
  </w:num>
  <w:num w:numId="802">
    <w:abstractNumId w:val="1555"/>
  </w:num>
  <w:num w:numId="803">
    <w:abstractNumId w:val="1100"/>
  </w:num>
  <w:num w:numId="804">
    <w:abstractNumId w:val="1336"/>
  </w:num>
  <w:num w:numId="805">
    <w:abstractNumId w:val="1539"/>
  </w:num>
  <w:num w:numId="806">
    <w:abstractNumId w:val="188"/>
  </w:num>
  <w:num w:numId="807">
    <w:abstractNumId w:val="963"/>
  </w:num>
  <w:num w:numId="808">
    <w:abstractNumId w:val="857"/>
  </w:num>
  <w:num w:numId="809">
    <w:abstractNumId w:val="539"/>
  </w:num>
  <w:num w:numId="810">
    <w:abstractNumId w:val="163"/>
  </w:num>
  <w:num w:numId="811">
    <w:abstractNumId w:val="858"/>
  </w:num>
  <w:num w:numId="812">
    <w:abstractNumId w:val="1278"/>
  </w:num>
  <w:num w:numId="813">
    <w:abstractNumId w:val="1440"/>
  </w:num>
  <w:num w:numId="814">
    <w:abstractNumId w:val="1590"/>
  </w:num>
  <w:num w:numId="815">
    <w:abstractNumId w:val="333"/>
  </w:num>
  <w:num w:numId="816">
    <w:abstractNumId w:val="1251"/>
  </w:num>
  <w:num w:numId="817">
    <w:abstractNumId w:val="325"/>
  </w:num>
  <w:num w:numId="818">
    <w:abstractNumId w:val="885"/>
  </w:num>
  <w:num w:numId="819">
    <w:abstractNumId w:val="209"/>
  </w:num>
  <w:num w:numId="820">
    <w:abstractNumId w:val="1614"/>
  </w:num>
  <w:num w:numId="821">
    <w:abstractNumId w:val="61"/>
  </w:num>
  <w:num w:numId="822">
    <w:abstractNumId w:val="1297"/>
  </w:num>
  <w:num w:numId="823">
    <w:abstractNumId w:val="1056"/>
  </w:num>
  <w:num w:numId="824">
    <w:abstractNumId w:val="1014"/>
  </w:num>
  <w:num w:numId="825">
    <w:abstractNumId w:val="197"/>
  </w:num>
  <w:num w:numId="826">
    <w:abstractNumId w:val="1490"/>
  </w:num>
  <w:num w:numId="827">
    <w:abstractNumId w:val="542"/>
  </w:num>
  <w:num w:numId="828">
    <w:abstractNumId w:val="1402"/>
  </w:num>
  <w:num w:numId="829">
    <w:abstractNumId w:val="1310"/>
  </w:num>
  <w:num w:numId="830">
    <w:abstractNumId w:val="676"/>
  </w:num>
  <w:num w:numId="831">
    <w:abstractNumId w:val="1260"/>
  </w:num>
  <w:num w:numId="832">
    <w:abstractNumId w:val="1154"/>
  </w:num>
  <w:num w:numId="833">
    <w:abstractNumId w:val="323"/>
  </w:num>
  <w:num w:numId="834">
    <w:abstractNumId w:val="1315"/>
  </w:num>
  <w:num w:numId="835">
    <w:abstractNumId w:val="1499"/>
  </w:num>
  <w:num w:numId="836">
    <w:abstractNumId w:val="1235"/>
  </w:num>
  <w:num w:numId="837">
    <w:abstractNumId w:val="1484"/>
  </w:num>
  <w:num w:numId="838">
    <w:abstractNumId w:val="1625"/>
  </w:num>
  <w:num w:numId="839">
    <w:abstractNumId w:val="482"/>
  </w:num>
  <w:num w:numId="840">
    <w:abstractNumId w:val="1656"/>
  </w:num>
  <w:num w:numId="841">
    <w:abstractNumId w:val="1612"/>
  </w:num>
  <w:num w:numId="842">
    <w:abstractNumId w:val="1158"/>
  </w:num>
  <w:num w:numId="843">
    <w:abstractNumId w:val="335"/>
  </w:num>
  <w:num w:numId="844">
    <w:abstractNumId w:val="112"/>
  </w:num>
  <w:num w:numId="845">
    <w:abstractNumId w:val="904"/>
  </w:num>
  <w:num w:numId="846">
    <w:abstractNumId w:val="386"/>
  </w:num>
  <w:num w:numId="847">
    <w:abstractNumId w:val="990"/>
  </w:num>
  <w:num w:numId="848">
    <w:abstractNumId w:val="1545"/>
  </w:num>
  <w:num w:numId="849">
    <w:abstractNumId w:val="240"/>
  </w:num>
  <w:num w:numId="850">
    <w:abstractNumId w:val="910"/>
  </w:num>
  <w:num w:numId="851">
    <w:abstractNumId w:val="340"/>
  </w:num>
  <w:num w:numId="852">
    <w:abstractNumId w:val="122"/>
  </w:num>
  <w:num w:numId="853">
    <w:abstractNumId w:val="1074"/>
  </w:num>
  <w:num w:numId="854">
    <w:abstractNumId w:val="1055"/>
  </w:num>
  <w:num w:numId="855">
    <w:abstractNumId w:val="796"/>
  </w:num>
  <w:num w:numId="856">
    <w:abstractNumId w:val="170"/>
  </w:num>
  <w:num w:numId="857">
    <w:abstractNumId w:val="479"/>
  </w:num>
  <w:num w:numId="858">
    <w:abstractNumId w:val="1583"/>
  </w:num>
  <w:num w:numId="859">
    <w:abstractNumId w:val="1475"/>
  </w:num>
  <w:num w:numId="860">
    <w:abstractNumId w:val="1593"/>
  </w:num>
  <w:num w:numId="861">
    <w:abstractNumId w:val="167"/>
  </w:num>
  <w:num w:numId="862">
    <w:abstractNumId w:val="442"/>
  </w:num>
  <w:num w:numId="863">
    <w:abstractNumId w:val="595"/>
  </w:num>
  <w:num w:numId="864">
    <w:abstractNumId w:val="1486"/>
  </w:num>
  <w:num w:numId="865">
    <w:abstractNumId w:val="337"/>
  </w:num>
  <w:num w:numId="866">
    <w:abstractNumId w:val="1140"/>
  </w:num>
  <w:num w:numId="867">
    <w:abstractNumId w:val="1571"/>
  </w:num>
  <w:num w:numId="868">
    <w:abstractNumId w:val="765"/>
  </w:num>
  <w:num w:numId="869">
    <w:abstractNumId w:val="1286"/>
  </w:num>
  <w:num w:numId="870">
    <w:abstractNumId w:val="365"/>
  </w:num>
  <w:num w:numId="871">
    <w:abstractNumId w:val="582"/>
  </w:num>
  <w:num w:numId="872">
    <w:abstractNumId w:val="1633"/>
  </w:num>
  <w:num w:numId="873">
    <w:abstractNumId w:val="685"/>
  </w:num>
  <w:num w:numId="874">
    <w:abstractNumId w:val="1299"/>
  </w:num>
  <w:num w:numId="875">
    <w:abstractNumId w:val="203"/>
  </w:num>
  <w:num w:numId="876">
    <w:abstractNumId w:val="1464"/>
  </w:num>
  <w:num w:numId="877">
    <w:abstractNumId w:val="1524"/>
  </w:num>
  <w:num w:numId="878">
    <w:abstractNumId w:val="391"/>
  </w:num>
  <w:num w:numId="879">
    <w:abstractNumId w:val="1634"/>
  </w:num>
  <w:num w:numId="880">
    <w:abstractNumId w:val="150"/>
  </w:num>
  <w:num w:numId="881">
    <w:abstractNumId w:val="527"/>
  </w:num>
  <w:num w:numId="882">
    <w:abstractNumId w:val="338"/>
  </w:num>
  <w:num w:numId="883">
    <w:abstractNumId w:val="550"/>
  </w:num>
  <w:num w:numId="884">
    <w:abstractNumId w:val="1151"/>
  </w:num>
  <w:num w:numId="885">
    <w:abstractNumId w:val="152"/>
  </w:num>
  <w:num w:numId="886">
    <w:abstractNumId w:val="687"/>
  </w:num>
  <w:num w:numId="887">
    <w:abstractNumId w:val="190"/>
  </w:num>
  <w:num w:numId="888">
    <w:abstractNumId w:val="226"/>
  </w:num>
  <w:num w:numId="889">
    <w:abstractNumId w:val="1271"/>
  </w:num>
  <w:num w:numId="890">
    <w:abstractNumId w:val="839"/>
  </w:num>
  <w:num w:numId="891">
    <w:abstractNumId w:val="1353"/>
  </w:num>
  <w:num w:numId="892">
    <w:abstractNumId w:val="1361"/>
  </w:num>
  <w:num w:numId="893">
    <w:abstractNumId w:val="1174"/>
  </w:num>
  <w:num w:numId="894">
    <w:abstractNumId w:val="1518"/>
  </w:num>
  <w:num w:numId="895">
    <w:abstractNumId w:val="7"/>
  </w:num>
  <w:num w:numId="896">
    <w:abstractNumId w:val="1584"/>
  </w:num>
  <w:num w:numId="897">
    <w:abstractNumId w:val="1563"/>
  </w:num>
  <w:num w:numId="898">
    <w:abstractNumId w:val="1427"/>
  </w:num>
  <w:num w:numId="899">
    <w:abstractNumId w:val="942"/>
  </w:num>
  <w:num w:numId="900">
    <w:abstractNumId w:val="1472"/>
  </w:num>
  <w:num w:numId="901">
    <w:abstractNumId w:val="778"/>
  </w:num>
  <w:num w:numId="902">
    <w:abstractNumId w:val="1040"/>
  </w:num>
  <w:num w:numId="903">
    <w:abstractNumId w:val="1538"/>
  </w:num>
  <w:num w:numId="904">
    <w:abstractNumId w:val="886"/>
  </w:num>
  <w:num w:numId="905">
    <w:abstractNumId w:val="1497"/>
  </w:num>
  <w:num w:numId="906">
    <w:abstractNumId w:val="1182"/>
  </w:num>
  <w:num w:numId="907">
    <w:abstractNumId w:val="637"/>
  </w:num>
  <w:num w:numId="908">
    <w:abstractNumId w:val="472"/>
  </w:num>
  <w:num w:numId="909">
    <w:abstractNumId w:val="1480"/>
  </w:num>
  <w:num w:numId="910">
    <w:abstractNumId w:val="591"/>
  </w:num>
  <w:num w:numId="911">
    <w:abstractNumId w:val="446"/>
  </w:num>
  <w:num w:numId="912">
    <w:abstractNumId w:val="1576"/>
  </w:num>
  <w:num w:numId="913">
    <w:abstractNumId w:val="1542"/>
  </w:num>
  <w:num w:numId="914">
    <w:abstractNumId w:val="1042"/>
  </w:num>
  <w:num w:numId="915">
    <w:abstractNumId w:val="716"/>
  </w:num>
  <w:num w:numId="916">
    <w:abstractNumId w:val="470"/>
  </w:num>
  <w:num w:numId="917">
    <w:abstractNumId w:val="562"/>
  </w:num>
  <w:num w:numId="918">
    <w:abstractNumId w:val="1396"/>
  </w:num>
  <w:num w:numId="919">
    <w:abstractNumId w:val="513"/>
  </w:num>
  <w:num w:numId="920">
    <w:abstractNumId w:val="1208"/>
  </w:num>
  <w:num w:numId="921">
    <w:abstractNumId w:val="348"/>
  </w:num>
  <w:num w:numId="922">
    <w:abstractNumId w:val="1449"/>
  </w:num>
  <w:num w:numId="923">
    <w:abstractNumId w:val="999"/>
  </w:num>
  <w:num w:numId="924">
    <w:abstractNumId w:val="598"/>
  </w:num>
  <w:num w:numId="925">
    <w:abstractNumId w:val="806"/>
  </w:num>
  <w:num w:numId="926">
    <w:abstractNumId w:val="1030"/>
  </w:num>
  <w:num w:numId="927">
    <w:abstractNumId w:val="760"/>
  </w:num>
  <w:num w:numId="928">
    <w:abstractNumId w:val="1090"/>
  </w:num>
  <w:num w:numId="929">
    <w:abstractNumId w:val="265"/>
  </w:num>
  <w:num w:numId="930">
    <w:abstractNumId w:val="1085"/>
  </w:num>
  <w:num w:numId="931">
    <w:abstractNumId w:val="266"/>
  </w:num>
  <w:num w:numId="932">
    <w:abstractNumId w:val="525"/>
  </w:num>
  <w:num w:numId="933">
    <w:abstractNumId w:val="139"/>
  </w:num>
  <w:num w:numId="934">
    <w:abstractNumId w:val="1461"/>
  </w:num>
  <w:num w:numId="935">
    <w:abstractNumId w:val="647"/>
  </w:num>
  <w:num w:numId="936">
    <w:abstractNumId w:val="1103"/>
  </w:num>
  <w:num w:numId="937">
    <w:abstractNumId w:val="919"/>
  </w:num>
  <w:num w:numId="938">
    <w:abstractNumId w:val="1285"/>
  </w:num>
  <w:num w:numId="939">
    <w:abstractNumId w:val="602"/>
  </w:num>
  <w:num w:numId="940">
    <w:abstractNumId w:val="717"/>
  </w:num>
  <w:num w:numId="941">
    <w:abstractNumId w:val="207"/>
  </w:num>
  <w:num w:numId="942">
    <w:abstractNumId w:val="1016"/>
  </w:num>
  <w:num w:numId="943">
    <w:abstractNumId w:val="57"/>
  </w:num>
  <w:num w:numId="944">
    <w:abstractNumId w:val="1598"/>
  </w:num>
  <w:num w:numId="945">
    <w:abstractNumId w:val="1607"/>
  </w:num>
  <w:num w:numId="946">
    <w:abstractNumId w:val="1639"/>
  </w:num>
  <w:num w:numId="947">
    <w:abstractNumId w:val="1525"/>
  </w:num>
  <w:num w:numId="948">
    <w:abstractNumId w:val="567"/>
  </w:num>
  <w:num w:numId="949">
    <w:abstractNumId w:val="1309"/>
  </w:num>
  <w:num w:numId="950">
    <w:abstractNumId w:val="1232"/>
  </w:num>
  <w:num w:numId="951">
    <w:abstractNumId w:val="1558"/>
  </w:num>
  <w:num w:numId="952">
    <w:abstractNumId w:val="1292"/>
  </w:num>
  <w:num w:numId="953">
    <w:abstractNumId w:val="1385"/>
  </w:num>
  <w:num w:numId="954">
    <w:abstractNumId w:val="1437"/>
  </w:num>
  <w:num w:numId="955">
    <w:abstractNumId w:val="930"/>
  </w:num>
  <w:num w:numId="956">
    <w:abstractNumId w:val="672"/>
  </w:num>
  <w:num w:numId="957">
    <w:abstractNumId w:val="301"/>
  </w:num>
  <w:num w:numId="958">
    <w:abstractNumId w:val="1443"/>
  </w:num>
  <w:num w:numId="959">
    <w:abstractNumId w:val="427"/>
  </w:num>
  <w:num w:numId="960">
    <w:abstractNumId w:val="1250"/>
  </w:num>
  <w:num w:numId="961">
    <w:abstractNumId w:val="635"/>
  </w:num>
  <w:num w:numId="962">
    <w:abstractNumId w:val="396"/>
  </w:num>
  <w:num w:numId="963">
    <w:abstractNumId w:val="516"/>
  </w:num>
  <w:num w:numId="964">
    <w:abstractNumId w:val="312"/>
  </w:num>
  <w:num w:numId="965">
    <w:abstractNumId w:val="222"/>
  </w:num>
  <w:num w:numId="966">
    <w:abstractNumId w:val="937"/>
  </w:num>
  <w:num w:numId="967">
    <w:abstractNumId w:val="175"/>
  </w:num>
  <w:num w:numId="968">
    <w:abstractNumId w:val="1513"/>
  </w:num>
  <w:num w:numId="969">
    <w:abstractNumId w:val="426"/>
  </w:num>
  <w:num w:numId="970">
    <w:abstractNumId w:val="290"/>
  </w:num>
  <w:num w:numId="971">
    <w:abstractNumId w:val="59"/>
  </w:num>
  <w:num w:numId="972">
    <w:abstractNumId w:val="867"/>
  </w:num>
  <w:num w:numId="973">
    <w:abstractNumId w:val="891"/>
  </w:num>
  <w:num w:numId="974">
    <w:abstractNumId w:val="1320"/>
  </w:num>
  <w:num w:numId="975">
    <w:abstractNumId w:val="326"/>
  </w:num>
  <w:num w:numId="976">
    <w:abstractNumId w:val="720"/>
  </w:num>
  <w:num w:numId="977">
    <w:abstractNumId w:val="843"/>
  </w:num>
  <w:num w:numId="978">
    <w:abstractNumId w:val="514"/>
  </w:num>
  <w:num w:numId="979">
    <w:abstractNumId w:val="630"/>
  </w:num>
  <w:num w:numId="980">
    <w:abstractNumId w:val="1467"/>
  </w:num>
  <w:num w:numId="981">
    <w:abstractNumId w:val="41"/>
  </w:num>
  <w:num w:numId="982">
    <w:abstractNumId w:val="815"/>
  </w:num>
  <w:num w:numId="983">
    <w:abstractNumId w:val="229"/>
  </w:num>
  <w:num w:numId="984">
    <w:abstractNumId w:val="1132"/>
  </w:num>
  <w:num w:numId="985">
    <w:abstractNumId w:val="601"/>
  </w:num>
  <w:num w:numId="986">
    <w:abstractNumId w:val="1418"/>
  </w:num>
  <w:num w:numId="987">
    <w:abstractNumId w:val="42"/>
  </w:num>
  <w:num w:numId="988">
    <w:abstractNumId w:val="678"/>
  </w:num>
  <w:num w:numId="989">
    <w:abstractNumId w:val="1405"/>
  </w:num>
  <w:num w:numId="990">
    <w:abstractNumId w:val="969"/>
  </w:num>
  <w:num w:numId="991">
    <w:abstractNumId w:val="1197"/>
  </w:num>
  <w:num w:numId="992">
    <w:abstractNumId w:val="21"/>
  </w:num>
  <w:num w:numId="993">
    <w:abstractNumId w:val="1035"/>
  </w:num>
  <w:num w:numId="994">
    <w:abstractNumId w:val="1218"/>
  </w:num>
  <w:num w:numId="995">
    <w:abstractNumId w:val="374"/>
  </w:num>
  <w:num w:numId="996">
    <w:abstractNumId w:val="932"/>
  </w:num>
  <w:num w:numId="997">
    <w:abstractNumId w:val="564"/>
  </w:num>
  <w:num w:numId="998">
    <w:abstractNumId w:val="1369"/>
  </w:num>
  <w:num w:numId="999">
    <w:abstractNumId w:val="425"/>
  </w:num>
  <w:num w:numId="1000">
    <w:abstractNumId w:val="364"/>
  </w:num>
  <w:num w:numId="1001">
    <w:abstractNumId w:val="565"/>
  </w:num>
  <w:num w:numId="1002">
    <w:abstractNumId w:val="1193"/>
  </w:num>
  <w:num w:numId="1003">
    <w:abstractNumId w:val="686"/>
  </w:num>
  <w:num w:numId="1004">
    <w:abstractNumId w:val="1610"/>
  </w:num>
  <w:num w:numId="1005">
    <w:abstractNumId w:val="814"/>
  </w:num>
  <w:num w:numId="1006">
    <w:abstractNumId w:val="1377"/>
  </w:num>
  <w:num w:numId="1007">
    <w:abstractNumId w:val="289"/>
  </w:num>
  <w:num w:numId="1008">
    <w:abstractNumId w:val="230"/>
  </w:num>
  <w:num w:numId="1009">
    <w:abstractNumId w:val="145"/>
  </w:num>
  <w:num w:numId="1010">
    <w:abstractNumId w:val="89"/>
  </w:num>
  <w:num w:numId="1011">
    <w:abstractNumId w:val="1392"/>
  </w:num>
  <w:num w:numId="1012">
    <w:abstractNumId w:val="920"/>
  </w:num>
  <w:num w:numId="1013">
    <w:abstractNumId w:val="35"/>
  </w:num>
  <w:num w:numId="1014">
    <w:abstractNumId w:val="1398"/>
  </w:num>
  <w:num w:numId="1015">
    <w:abstractNumId w:val="15"/>
  </w:num>
  <w:num w:numId="1016">
    <w:abstractNumId w:val="911"/>
  </w:num>
  <w:num w:numId="1017">
    <w:abstractNumId w:val="1279"/>
  </w:num>
  <w:num w:numId="1018">
    <w:abstractNumId w:val="1628"/>
  </w:num>
  <w:num w:numId="1019">
    <w:abstractNumId w:val="549"/>
  </w:num>
  <w:num w:numId="1020">
    <w:abstractNumId w:val="1319"/>
  </w:num>
  <w:num w:numId="1021">
    <w:abstractNumId w:val="1185"/>
  </w:num>
  <w:num w:numId="1022">
    <w:abstractNumId w:val="755"/>
  </w:num>
  <w:num w:numId="1023">
    <w:abstractNumId w:val="738"/>
  </w:num>
  <w:num w:numId="1024">
    <w:abstractNumId w:val="1153"/>
  </w:num>
  <w:num w:numId="1025">
    <w:abstractNumId w:val="772"/>
  </w:num>
  <w:num w:numId="1026">
    <w:abstractNumId w:val="1011"/>
  </w:num>
  <w:num w:numId="1027">
    <w:abstractNumId w:val="400"/>
  </w:num>
  <w:num w:numId="1028">
    <w:abstractNumId w:val="1164"/>
  </w:num>
  <w:num w:numId="1029">
    <w:abstractNumId w:val="118"/>
  </w:num>
  <w:num w:numId="1030">
    <w:abstractNumId w:val="1212"/>
  </w:num>
  <w:num w:numId="1031">
    <w:abstractNumId w:val="599"/>
  </w:num>
  <w:num w:numId="1032">
    <w:abstractNumId w:val="574"/>
  </w:num>
  <w:num w:numId="1033">
    <w:abstractNumId w:val="659"/>
  </w:num>
  <w:num w:numId="1034">
    <w:abstractNumId w:val="748"/>
  </w:num>
  <w:num w:numId="1035">
    <w:abstractNumId w:val="757"/>
  </w:num>
  <w:num w:numId="1036">
    <w:abstractNumId w:val="954"/>
  </w:num>
  <w:num w:numId="1037">
    <w:abstractNumId w:val="1456"/>
  </w:num>
  <w:num w:numId="1038">
    <w:abstractNumId w:val="908"/>
  </w:num>
  <w:num w:numId="1039">
    <w:abstractNumId w:val="882"/>
  </w:num>
  <w:num w:numId="1040">
    <w:abstractNumId w:val="590"/>
  </w:num>
  <w:num w:numId="1041">
    <w:abstractNumId w:val="1123"/>
  </w:num>
  <w:num w:numId="1042">
    <w:abstractNumId w:val="868"/>
  </w:num>
  <w:num w:numId="1043">
    <w:abstractNumId w:val="797"/>
  </w:num>
  <w:num w:numId="1044">
    <w:abstractNumId w:val="1409"/>
  </w:num>
  <w:num w:numId="1045">
    <w:abstractNumId w:val="1344"/>
  </w:num>
  <w:num w:numId="1046">
    <w:abstractNumId w:val="178"/>
  </w:num>
  <w:num w:numId="1047">
    <w:abstractNumId w:val="74"/>
  </w:num>
  <w:num w:numId="1048">
    <w:abstractNumId w:val="1494"/>
  </w:num>
  <w:num w:numId="1049">
    <w:abstractNumId w:val="293"/>
  </w:num>
  <w:num w:numId="1050">
    <w:abstractNumId w:val="140"/>
  </w:num>
  <w:num w:numId="1051">
    <w:abstractNumId w:val="1249"/>
  </w:num>
  <w:num w:numId="1052">
    <w:abstractNumId w:val="730"/>
  </w:num>
  <w:num w:numId="1053">
    <w:abstractNumId w:val="753"/>
  </w:num>
  <w:num w:numId="1054">
    <w:abstractNumId w:val="667"/>
  </w:num>
  <w:num w:numId="1055">
    <w:abstractNumId w:val="888"/>
  </w:num>
  <w:num w:numId="1056">
    <w:abstractNumId w:val="1637"/>
  </w:num>
  <w:num w:numId="1057">
    <w:abstractNumId w:val="1585"/>
  </w:num>
  <w:num w:numId="1058">
    <w:abstractNumId w:val="621"/>
  </w:num>
  <w:num w:numId="1059">
    <w:abstractNumId w:val="604"/>
  </w:num>
  <w:num w:numId="1060">
    <w:abstractNumId w:val="499"/>
  </w:num>
  <w:num w:numId="1061">
    <w:abstractNumId w:val="1481"/>
  </w:num>
  <w:num w:numId="1062">
    <w:abstractNumId w:val="1124"/>
  </w:num>
  <w:num w:numId="1063">
    <w:abstractNumId w:val="121"/>
  </w:num>
  <w:num w:numId="1064">
    <w:abstractNumId w:val="554"/>
  </w:num>
  <w:num w:numId="1065">
    <w:abstractNumId w:val="1588"/>
  </w:num>
  <w:num w:numId="1066">
    <w:abstractNumId w:val="1097"/>
  </w:num>
  <w:num w:numId="1067">
    <w:abstractNumId w:val="1615"/>
  </w:num>
  <w:num w:numId="1068">
    <w:abstractNumId w:val="2"/>
  </w:num>
  <w:num w:numId="1069">
    <w:abstractNumId w:val="1065"/>
  </w:num>
  <w:num w:numId="1070">
    <w:abstractNumId w:val="1066"/>
  </w:num>
  <w:num w:numId="1071">
    <w:abstractNumId w:val="466"/>
  </w:num>
  <w:num w:numId="1072">
    <w:abstractNumId w:val="1659"/>
  </w:num>
  <w:num w:numId="1073">
    <w:abstractNumId w:val="94"/>
  </w:num>
  <w:num w:numId="1074">
    <w:abstractNumId w:val="1503"/>
  </w:num>
  <w:num w:numId="1075">
    <w:abstractNumId w:val="561"/>
  </w:num>
  <w:num w:numId="1076">
    <w:abstractNumId w:val="1528"/>
  </w:num>
  <w:num w:numId="1077">
    <w:abstractNumId w:val="1586"/>
  </w:num>
  <w:num w:numId="1078">
    <w:abstractNumId w:val="559"/>
  </w:num>
  <w:num w:numId="1079">
    <w:abstractNumId w:val="929"/>
  </w:num>
  <w:num w:numId="1080">
    <w:abstractNumId w:val="305"/>
  </w:num>
  <w:num w:numId="1081">
    <w:abstractNumId w:val="127"/>
  </w:num>
  <w:num w:numId="1082">
    <w:abstractNumId w:val="791"/>
  </w:num>
  <w:num w:numId="1083">
    <w:abstractNumId w:val="378"/>
  </w:num>
  <w:num w:numId="1084">
    <w:abstractNumId w:val="1439"/>
  </w:num>
  <w:num w:numId="1085">
    <w:abstractNumId w:val="807"/>
  </w:num>
  <w:num w:numId="1086">
    <w:abstractNumId w:val="267"/>
  </w:num>
  <w:num w:numId="1087">
    <w:abstractNumId w:val="393"/>
  </w:num>
  <w:num w:numId="1088">
    <w:abstractNumId w:val="1057"/>
  </w:num>
  <w:num w:numId="1089">
    <w:abstractNumId w:val="8"/>
  </w:num>
  <w:num w:numId="1090">
    <w:abstractNumId w:val="1595"/>
  </w:num>
  <w:num w:numId="1091">
    <w:abstractNumId w:val="1012"/>
  </w:num>
  <w:num w:numId="1092">
    <w:abstractNumId w:val="694"/>
  </w:num>
  <w:num w:numId="1093">
    <w:abstractNumId w:val="1179"/>
  </w:num>
  <w:num w:numId="1094">
    <w:abstractNumId w:val="809"/>
  </w:num>
  <w:num w:numId="1095">
    <w:abstractNumId w:val="656"/>
  </w:num>
  <w:num w:numId="1096">
    <w:abstractNumId w:val="1241"/>
  </w:num>
  <w:num w:numId="1097">
    <w:abstractNumId w:val="49"/>
  </w:num>
  <w:num w:numId="1098">
    <w:abstractNumId w:val="1364"/>
  </w:num>
  <w:num w:numId="1099">
    <w:abstractNumId w:val="1009"/>
  </w:num>
  <w:num w:numId="1100">
    <w:abstractNumId w:val="952"/>
  </w:num>
  <w:num w:numId="1101">
    <w:abstractNumId w:val="787"/>
  </w:num>
  <w:num w:numId="1102">
    <w:abstractNumId w:val="528"/>
  </w:num>
  <w:num w:numId="1103">
    <w:abstractNumId w:val="1052"/>
  </w:num>
  <w:num w:numId="1104">
    <w:abstractNumId w:val="1242"/>
  </w:num>
  <w:num w:numId="1105">
    <w:abstractNumId w:val="1227"/>
  </w:num>
  <w:num w:numId="1106">
    <w:abstractNumId w:val="34"/>
  </w:num>
  <w:num w:numId="1107">
    <w:abstractNumId w:val="1037"/>
  </w:num>
  <w:num w:numId="1108">
    <w:abstractNumId w:val="780"/>
  </w:num>
  <w:num w:numId="1109">
    <w:abstractNumId w:val="1321"/>
  </w:num>
  <w:num w:numId="1110">
    <w:abstractNumId w:val="641"/>
  </w:num>
  <w:num w:numId="1111">
    <w:abstractNumId w:val="1217"/>
  </w:num>
  <w:num w:numId="1112">
    <w:abstractNumId w:val="1334"/>
  </w:num>
  <w:num w:numId="1113">
    <w:abstractNumId w:val="372"/>
  </w:num>
  <w:num w:numId="1114">
    <w:abstractNumId w:val="1482"/>
  </w:num>
  <w:num w:numId="1115">
    <w:abstractNumId w:val="979"/>
  </w:num>
  <w:num w:numId="1116">
    <w:abstractNumId w:val="1005"/>
  </w:num>
  <w:num w:numId="1117">
    <w:abstractNumId w:val="1298"/>
  </w:num>
  <w:num w:numId="1118">
    <w:abstractNumId w:val="345"/>
  </w:num>
  <w:num w:numId="1119">
    <w:abstractNumId w:val="1341"/>
  </w:num>
  <w:num w:numId="1120">
    <w:abstractNumId w:val="1602"/>
  </w:num>
  <w:num w:numId="1121">
    <w:abstractNumId w:val="159"/>
  </w:num>
  <w:num w:numId="1122">
    <w:abstractNumId w:val="1020"/>
  </w:num>
  <w:num w:numId="1123">
    <w:abstractNumId w:val="456"/>
  </w:num>
  <w:num w:numId="1124">
    <w:abstractNumId w:val="165"/>
  </w:num>
  <w:num w:numId="1125">
    <w:abstractNumId w:val="388"/>
  </w:num>
  <w:num w:numId="1126">
    <w:abstractNumId w:val="252"/>
  </w:num>
  <w:num w:numId="1127">
    <w:abstractNumId w:val="316"/>
  </w:num>
  <w:num w:numId="1128">
    <w:abstractNumId w:val="1076"/>
  </w:num>
  <w:num w:numId="1129">
    <w:abstractNumId w:val="1194"/>
  </w:num>
  <w:num w:numId="1130">
    <w:abstractNumId w:val="295"/>
  </w:num>
  <w:num w:numId="1131">
    <w:abstractNumId w:val="384"/>
  </w:num>
  <w:num w:numId="1132">
    <w:abstractNumId w:val="1240"/>
  </w:num>
  <w:num w:numId="1133">
    <w:abstractNumId w:val="1540"/>
  </w:num>
  <w:num w:numId="1134">
    <w:abstractNumId w:val="1508"/>
  </w:num>
  <w:num w:numId="1135">
    <w:abstractNumId w:val="575"/>
  </w:num>
  <w:num w:numId="1136">
    <w:abstractNumId w:val="534"/>
  </w:num>
  <w:num w:numId="1137">
    <w:abstractNumId w:val="995"/>
  </w:num>
  <w:num w:numId="1138">
    <w:abstractNumId w:val="1579"/>
  </w:num>
  <w:num w:numId="1139">
    <w:abstractNumId w:val="941"/>
  </w:num>
  <w:num w:numId="1140">
    <w:abstractNumId w:val="1452"/>
  </w:num>
  <w:num w:numId="1141">
    <w:abstractNumId w:val="508"/>
  </w:num>
  <w:num w:numId="1142">
    <w:abstractNumId w:val="747"/>
  </w:num>
  <w:num w:numId="1143">
    <w:abstractNumId w:val="408"/>
  </w:num>
  <w:num w:numId="1144">
    <w:abstractNumId w:val="1352"/>
  </w:num>
  <w:num w:numId="1145">
    <w:abstractNumId w:val="974"/>
  </w:num>
  <w:num w:numId="1146">
    <w:abstractNumId w:val="1575"/>
  </w:num>
  <w:num w:numId="1147">
    <w:abstractNumId w:val="363"/>
  </w:num>
  <w:num w:numId="1148">
    <w:abstractNumId w:val="279"/>
  </w:num>
  <w:num w:numId="1149">
    <w:abstractNumId w:val="884"/>
  </w:num>
  <w:num w:numId="1150">
    <w:abstractNumId w:val="235"/>
  </w:num>
  <w:num w:numId="1151">
    <w:abstractNumId w:val="1500"/>
  </w:num>
  <w:num w:numId="1152">
    <w:abstractNumId w:val="132"/>
  </w:num>
  <w:num w:numId="1153">
    <w:abstractNumId w:val="1113"/>
  </w:num>
  <w:num w:numId="1154">
    <w:abstractNumId w:val="124"/>
  </w:num>
  <w:num w:numId="1155">
    <w:abstractNumId w:val="471"/>
  </w:num>
  <w:num w:numId="1156">
    <w:abstractNumId w:val="1268"/>
  </w:num>
  <w:num w:numId="1157">
    <w:abstractNumId w:val="36"/>
  </w:num>
  <w:num w:numId="1158">
    <w:abstractNumId w:val="978"/>
  </w:num>
  <w:num w:numId="1159">
    <w:abstractNumId w:val="701"/>
  </w:num>
  <w:num w:numId="1160">
    <w:abstractNumId w:val="517"/>
  </w:num>
  <w:num w:numId="1161">
    <w:abstractNumId w:val="311"/>
  </w:num>
  <w:num w:numId="1162">
    <w:abstractNumId w:val="1375"/>
  </w:num>
  <w:num w:numId="1163">
    <w:abstractNumId w:val="827"/>
  </w:num>
  <w:num w:numId="1164">
    <w:abstractNumId w:val="1511"/>
  </w:num>
  <w:num w:numId="1165">
    <w:abstractNumId w:val="1582"/>
  </w:num>
  <w:num w:numId="1166">
    <w:abstractNumId w:val="1125"/>
  </w:num>
  <w:num w:numId="1167">
    <w:abstractNumId w:val="67"/>
  </w:num>
  <w:num w:numId="1168">
    <w:abstractNumId w:val="1543"/>
  </w:num>
  <w:num w:numId="1169">
    <w:abstractNumId w:val="1476"/>
  </w:num>
  <w:num w:numId="1170">
    <w:abstractNumId w:val="436"/>
  </w:num>
  <w:num w:numId="1171">
    <w:abstractNumId w:val="1407"/>
  </w:num>
  <w:num w:numId="1172">
    <w:abstractNumId w:val="1441"/>
  </w:num>
  <w:num w:numId="1173">
    <w:abstractNumId w:val="1574"/>
  </w:num>
  <w:num w:numId="1174">
    <w:abstractNumId w:val="1070"/>
  </w:num>
  <w:num w:numId="1175">
    <w:abstractNumId w:val="1004"/>
  </w:num>
  <w:num w:numId="1176">
    <w:abstractNumId w:val="1262"/>
  </w:num>
  <w:num w:numId="1177">
    <w:abstractNumId w:val="1229"/>
  </w:num>
  <w:num w:numId="1178">
    <w:abstractNumId w:val="452"/>
  </w:num>
  <w:num w:numId="1179">
    <w:abstractNumId w:val="629"/>
  </w:num>
  <w:num w:numId="1180">
    <w:abstractNumId w:val="1206"/>
  </w:num>
  <w:num w:numId="1181">
    <w:abstractNumId w:val="861"/>
  </w:num>
  <w:num w:numId="1182">
    <w:abstractNumId w:val="515"/>
  </w:num>
  <w:num w:numId="1183">
    <w:abstractNumId w:val="822"/>
  </w:num>
  <w:num w:numId="1184">
    <w:abstractNumId w:val="494"/>
  </w:num>
  <w:num w:numId="1185">
    <w:abstractNumId w:val="20"/>
  </w:num>
  <w:num w:numId="1186">
    <w:abstractNumId w:val="905"/>
  </w:num>
  <w:num w:numId="1187">
    <w:abstractNumId w:val="594"/>
  </w:num>
  <w:num w:numId="1188">
    <w:abstractNumId w:val="728"/>
  </w:num>
  <w:num w:numId="1189">
    <w:abstractNumId w:val="468"/>
  </w:num>
  <w:num w:numId="1190">
    <w:abstractNumId w:val="174"/>
  </w:num>
  <w:num w:numId="1191">
    <w:abstractNumId w:val="1102"/>
  </w:num>
  <w:num w:numId="1192">
    <w:abstractNumId w:val="1288"/>
  </w:num>
  <w:num w:numId="1193">
    <w:abstractNumId w:val="315"/>
  </w:num>
  <w:num w:numId="1194">
    <w:abstractNumId w:val="1501"/>
  </w:num>
  <w:num w:numId="1195">
    <w:abstractNumId w:val="1638"/>
  </w:num>
  <w:num w:numId="1196">
    <w:abstractNumId w:val="416"/>
  </w:num>
  <w:num w:numId="1197">
    <w:abstractNumId w:val="627"/>
  </w:num>
  <w:num w:numId="1198">
    <w:abstractNumId w:val="403"/>
  </w:num>
  <w:num w:numId="1199">
    <w:abstractNumId w:val="1000"/>
  </w:num>
  <w:num w:numId="1200">
    <w:abstractNumId w:val="1512"/>
  </w:num>
  <w:num w:numId="1201">
    <w:abstractNumId w:val="254"/>
  </w:num>
  <w:num w:numId="1202">
    <w:abstractNumId w:val="1657"/>
  </w:num>
  <w:num w:numId="1203">
    <w:abstractNumId w:val="914"/>
  </w:num>
  <w:num w:numId="1204">
    <w:abstractNumId w:val="751"/>
  </w:num>
  <w:num w:numId="1205">
    <w:abstractNumId w:val="570"/>
  </w:num>
  <w:num w:numId="1206">
    <w:abstractNumId w:val="280"/>
  </w:num>
  <w:num w:numId="1207">
    <w:abstractNumId w:val="1400"/>
  </w:num>
  <w:num w:numId="1208">
    <w:abstractNumId w:val="1301"/>
  </w:num>
  <w:num w:numId="1209">
    <w:abstractNumId w:val="328"/>
  </w:num>
  <w:num w:numId="1210">
    <w:abstractNumId w:val="1010"/>
  </w:num>
  <w:num w:numId="1211">
    <w:abstractNumId w:val="699"/>
  </w:num>
  <w:num w:numId="1212">
    <w:abstractNumId w:val="1436"/>
  </w:num>
  <w:num w:numId="1213">
    <w:abstractNumId w:val="902"/>
  </w:num>
  <w:num w:numId="1214">
    <w:abstractNumId w:val="640"/>
  </w:num>
  <w:num w:numId="1215">
    <w:abstractNumId w:val="379"/>
  </w:num>
  <w:num w:numId="1216">
    <w:abstractNumId w:val="943"/>
  </w:num>
  <w:num w:numId="1217">
    <w:abstractNumId w:val="1160"/>
  </w:num>
  <w:num w:numId="1218">
    <w:abstractNumId w:val="608"/>
  </w:num>
  <w:num w:numId="1219">
    <w:abstractNumId w:val="307"/>
  </w:num>
  <w:num w:numId="1220">
    <w:abstractNumId w:val="1526"/>
  </w:num>
  <w:num w:numId="1221">
    <w:abstractNumId w:val="1203"/>
  </w:num>
  <w:num w:numId="1222">
    <w:abstractNumId w:val="1188"/>
  </w:num>
  <w:num w:numId="1223">
    <w:abstractNumId w:val="536"/>
  </w:num>
  <w:num w:numId="1224">
    <w:abstractNumId w:val="715"/>
  </w:num>
  <w:num w:numId="1225">
    <w:abstractNumId w:val="245"/>
  </w:num>
  <w:num w:numId="1226">
    <w:abstractNumId w:val="1606"/>
  </w:num>
  <w:num w:numId="1227">
    <w:abstractNumId w:val="128"/>
  </w:num>
  <w:num w:numId="1228">
    <w:abstractNumId w:val="727"/>
  </w:num>
  <w:num w:numId="1229">
    <w:abstractNumId w:val="923"/>
  </w:num>
  <w:num w:numId="1230">
    <w:abstractNumId w:val="1410"/>
  </w:num>
  <w:num w:numId="1231">
    <w:abstractNumId w:val="553"/>
  </w:num>
  <w:num w:numId="1232">
    <w:abstractNumId w:val="1254"/>
  </w:num>
  <w:num w:numId="1233">
    <w:abstractNumId w:val="1082"/>
  </w:num>
  <w:num w:numId="1234">
    <w:abstractNumId w:val="243"/>
  </w:num>
  <w:num w:numId="1235">
    <w:abstractNumId w:val="892"/>
  </w:num>
  <w:num w:numId="1236">
    <w:abstractNumId w:val="1434"/>
  </w:num>
  <w:num w:numId="1237">
    <w:abstractNumId w:val="227"/>
  </w:num>
  <w:num w:numId="1238">
    <w:abstractNumId w:val="931"/>
  </w:num>
  <w:num w:numId="1239">
    <w:abstractNumId w:val="303"/>
  </w:num>
  <w:num w:numId="1240">
    <w:abstractNumId w:val="273"/>
  </w:num>
  <w:num w:numId="1241">
    <w:abstractNumId w:val="522"/>
  </w:num>
  <w:num w:numId="1242">
    <w:abstractNumId w:val="1127"/>
  </w:num>
  <w:num w:numId="1243">
    <w:abstractNumId w:val="578"/>
  </w:num>
  <w:num w:numId="1244">
    <w:abstractNumId w:val="795"/>
  </w:num>
  <w:num w:numId="1245">
    <w:abstractNumId w:val="901"/>
  </w:num>
  <w:num w:numId="1246">
    <w:abstractNumId w:val="909"/>
  </w:num>
  <w:num w:numId="1247">
    <w:abstractNumId w:val="1221"/>
  </w:num>
  <w:num w:numId="1248">
    <w:abstractNumId w:val="344"/>
  </w:num>
  <w:num w:numId="1249">
    <w:abstractNumId w:val="1450"/>
  </w:num>
  <w:num w:numId="1250">
    <w:abstractNumId w:val="389"/>
  </w:num>
  <w:num w:numId="1251">
    <w:abstractNumId w:val="228"/>
  </w:num>
  <w:num w:numId="1252">
    <w:abstractNumId w:val="961"/>
  </w:num>
  <w:num w:numId="1253">
    <w:abstractNumId w:val="1006"/>
  </w:num>
  <w:num w:numId="1254">
    <w:abstractNumId w:val="625"/>
  </w:num>
  <w:num w:numId="1255">
    <w:abstractNumId w:val="955"/>
  </w:num>
  <w:num w:numId="1256">
    <w:abstractNumId w:val="1594"/>
  </w:num>
  <w:num w:numId="1257">
    <w:abstractNumId w:val="875"/>
  </w:num>
  <w:num w:numId="1258">
    <w:abstractNumId w:val="29"/>
  </w:num>
  <w:num w:numId="1259">
    <w:abstractNumId w:val="66"/>
  </w:num>
  <w:num w:numId="1260">
    <w:abstractNumId w:val="1184"/>
  </w:num>
  <w:num w:numId="1261">
    <w:abstractNumId w:val="878"/>
  </w:num>
  <w:num w:numId="1262">
    <w:abstractNumId w:val="1568"/>
  </w:num>
  <w:num w:numId="1263">
    <w:abstractNumId w:val="596"/>
  </w:num>
  <w:num w:numId="1264">
    <w:abstractNumId w:val="1597"/>
  </w:num>
  <w:num w:numId="1265">
    <w:abstractNumId w:val="1112"/>
  </w:num>
  <w:num w:numId="1266">
    <w:abstractNumId w:val="1201"/>
  </w:num>
  <w:num w:numId="1267">
    <w:abstractNumId w:val="1534"/>
  </w:num>
  <w:num w:numId="1268">
    <w:abstractNumId w:val="40"/>
  </w:num>
  <w:num w:numId="1269">
    <w:abstractNumId w:val="332"/>
  </w:num>
  <w:num w:numId="1270">
    <w:abstractNumId w:val="404"/>
  </w:num>
  <w:num w:numId="1271">
    <w:abstractNumId w:val="1211"/>
  </w:num>
  <w:num w:numId="1272">
    <w:abstractNumId w:val="108"/>
  </w:num>
  <w:num w:numId="1273">
    <w:abstractNumId w:val="401"/>
  </w:num>
  <w:num w:numId="1274">
    <w:abstractNumId w:val="341"/>
  </w:num>
  <w:num w:numId="1275">
    <w:abstractNumId w:val="176"/>
  </w:num>
  <w:num w:numId="1276">
    <w:abstractNumId w:val="1163"/>
  </w:num>
  <w:num w:numId="1277">
    <w:abstractNumId w:val="1075"/>
  </w:num>
  <w:num w:numId="1278">
    <w:abstractNumId w:val="789"/>
  </w:num>
  <w:num w:numId="1279">
    <w:abstractNumId w:val="849"/>
  </w:num>
  <w:num w:numId="1280">
    <w:abstractNumId w:val="1101"/>
  </w:num>
  <w:num w:numId="1281">
    <w:abstractNumId w:val="359"/>
  </w:num>
  <w:num w:numId="1282">
    <w:abstractNumId w:val="673"/>
  </w:num>
  <w:num w:numId="1283">
    <w:abstractNumId w:val="205"/>
  </w:num>
  <w:num w:numId="1284">
    <w:abstractNumId w:val="710"/>
  </w:num>
  <w:num w:numId="1285">
    <w:abstractNumId w:val="1562"/>
  </w:num>
  <w:num w:numId="1286">
    <w:abstractNumId w:val="1556"/>
  </w:num>
  <w:num w:numId="1287">
    <w:abstractNumId w:val="294"/>
  </w:num>
  <w:num w:numId="1288">
    <w:abstractNumId w:val="1293"/>
  </w:num>
  <w:num w:numId="1289">
    <w:abstractNumId w:val="453"/>
  </w:num>
  <w:num w:numId="1290">
    <w:abstractNumId w:val="369"/>
  </w:num>
  <w:num w:numId="1291">
    <w:abstractNumId w:val="670"/>
  </w:num>
  <w:num w:numId="1292">
    <w:abstractNumId w:val="682"/>
  </w:num>
  <w:num w:numId="1293">
    <w:abstractNumId w:val="278"/>
  </w:num>
  <w:num w:numId="1294">
    <w:abstractNumId w:val="712"/>
  </w:num>
  <w:num w:numId="1295">
    <w:abstractNumId w:val="459"/>
  </w:num>
  <w:num w:numId="1296">
    <w:abstractNumId w:val="1180"/>
  </w:num>
  <w:num w:numId="1297">
    <w:abstractNumId w:val="913"/>
  </w:num>
  <w:num w:numId="1298">
    <w:abstractNumId w:val="1322"/>
  </w:num>
  <w:num w:numId="1299">
    <w:abstractNumId w:val="1135"/>
  </w:num>
  <w:num w:numId="1300">
    <w:abstractNumId w:val="376"/>
  </w:num>
  <w:num w:numId="1301">
    <w:abstractNumId w:val="693"/>
  </w:num>
  <w:num w:numId="1302">
    <w:abstractNumId w:val="824"/>
  </w:num>
  <w:num w:numId="1303">
    <w:abstractNumId w:val="688"/>
  </w:num>
  <w:num w:numId="1304">
    <w:abstractNumId w:val="1580"/>
  </w:num>
  <w:num w:numId="1305">
    <w:abstractNumId w:val="32"/>
  </w:num>
  <w:num w:numId="1306">
    <w:abstractNumId w:val="493"/>
  </w:num>
  <w:num w:numId="1307">
    <w:abstractNumId w:val="1007"/>
  </w:num>
  <w:num w:numId="1308">
    <w:abstractNumId w:val="876"/>
  </w:num>
  <w:num w:numId="1309">
    <w:abstractNumId w:val="1280"/>
  </w:num>
  <w:num w:numId="1310">
    <w:abstractNumId w:val="1053"/>
  </w:num>
  <w:num w:numId="1311">
    <w:abstractNumId w:val="133"/>
  </w:num>
  <w:num w:numId="1312">
    <w:abstractNumId w:val="1636"/>
  </w:num>
  <w:num w:numId="1313">
    <w:abstractNumId w:val="173"/>
  </w:num>
  <w:num w:numId="1314">
    <w:abstractNumId w:val="744"/>
  </w:num>
  <w:num w:numId="1315">
    <w:abstractNumId w:val="1371"/>
  </w:num>
  <w:num w:numId="1316">
    <w:abstractNumId w:val="210"/>
  </w:num>
  <w:num w:numId="1317">
    <w:abstractNumId w:val="336"/>
  </w:num>
  <w:num w:numId="1318">
    <w:abstractNumId w:val="800"/>
  </w:num>
  <w:num w:numId="1319">
    <w:abstractNumId w:val="1431"/>
  </w:num>
  <w:num w:numId="1320">
    <w:abstractNumId w:val="939"/>
  </w:num>
  <w:num w:numId="1321">
    <w:abstractNumId w:val="790"/>
  </w:num>
  <w:num w:numId="1322">
    <w:abstractNumId w:val="68"/>
  </w:num>
  <w:num w:numId="1323">
    <w:abstractNumId w:val="281"/>
  </w:num>
  <w:num w:numId="1324">
    <w:abstractNumId w:val="642"/>
  </w:num>
  <w:num w:numId="1325">
    <w:abstractNumId w:val="62"/>
  </w:num>
  <w:num w:numId="1326">
    <w:abstractNumId w:val="1559"/>
  </w:num>
  <w:num w:numId="1327">
    <w:abstractNumId w:val="262"/>
  </w:num>
  <w:num w:numId="1328">
    <w:abstractNumId w:val="299"/>
  </w:num>
  <w:num w:numId="1329">
    <w:abstractNumId w:val="1446"/>
  </w:num>
  <w:num w:numId="1330">
    <w:abstractNumId w:val="548"/>
  </w:num>
  <w:num w:numId="1331">
    <w:abstractNumId w:val="921"/>
  </w:num>
  <w:num w:numId="1332">
    <w:abstractNumId w:val="497"/>
  </w:num>
  <w:num w:numId="1333">
    <w:abstractNumId w:val="353"/>
  </w:num>
  <w:num w:numId="1334">
    <w:abstractNumId w:val="95"/>
  </w:num>
  <w:num w:numId="1335">
    <w:abstractNumId w:val="1468"/>
  </w:num>
  <w:num w:numId="1336">
    <w:abstractNumId w:val="633"/>
  </w:num>
  <w:num w:numId="1337">
    <w:abstractNumId w:val="1649"/>
  </w:num>
  <w:num w:numId="1338">
    <w:abstractNumId w:val="1601"/>
  </w:num>
  <w:num w:numId="1339">
    <w:abstractNumId w:val="613"/>
  </w:num>
  <w:num w:numId="1340">
    <w:abstractNumId w:val="758"/>
  </w:num>
  <w:num w:numId="1341">
    <w:abstractNumId w:val="19"/>
  </w:num>
  <w:num w:numId="1342">
    <w:abstractNumId w:val="495"/>
  </w:num>
  <w:num w:numId="1343">
    <w:abstractNumId w:val="799"/>
  </w:num>
  <w:num w:numId="1344">
    <w:abstractNumId w:val="84"/>
  </w:num>
  <w:num w:numId="1345">
    <w:abstractNumId w:val="1256"/>
  </w:num>
  <w:num w:numId="1346">
    <w:abstractNumId w:val="1442"/>
  </w:num>
  <w:num w:numId="1347">
    <w:abstractNumId w:val="1245"/>
  </w:num>
  <w:num w:numId="1348">
    <w:abstractNumId w:val="130"/>
  </w:num>
  <w:num w:numId="1349">
    <w:abstractNumId w:val="597"/>
  </w:num>
  <w:num w:numId="1350">
    <w:abstractNumId w:val="1308"/>
  </w:num>
  <w:num w:numId="1351">
    <w:abstractNumId w:val="498"/>
  </w:num>
  <w:num w:numId="1352">
    <w:abstractNumId w:val="1231"/>
  </w:num>
  <w:num w:numId="1353">
    <w:abstractNumId w:val="668"/>
  </w:num>
  <w:num w:numId="1354">
    <w:abstractNumId w:val="842"/>
  </w:num>
  <w:num w:numId="1355">
    <w:abstractNumId w:val="1161"/>
  </w:num>
  <w:num w:numId="1356">
    <w:abstractNumId w:val="1354"/>
  </w:num>
  <w:num w:numId="1357">
    <w:abstractNumId w:val="697"/>
  </w:num>
  <w:num w:numId="1358">
    <w:abstractNumId w:val="1469"/>
  </w:num>
  <w:num w:numId="1359">
    <w:abstractNumId w:val="251"/>
  </w:num>
  <w:num w:numId="1360">
    <w:abstractNumId w:val="1622"/>
  </w:num>
  <w:num w:numId="1361">
    <w:abstractNumId w:val="972"/>
  </w:num>
  <w:num w:numId="1362">
    <w:abstractNumId w:val="1253"/>
  </w:num>
  <w:num w:numId="1363">
    <w:abstractNumId w:val="138"/>
  </w:num>
  <w:num w:numId="1364">
    <w:abstractNumId w:val="156"/>
  </w:num>
  <w:num w:numId="1365">
    <w:abstractNumId w:val="331"/>
  </w:num>
  <w:num w:numId="1366">
    <w:abstractNumId w:val="769"/>
  </w:num>
  <w:num w:numId="1367">
    <w:abstractNumId w:val="465"/>
  </w:num>
  <w:num w:numId="1368">
    <w:abstractNumId w:val="123"/>
  </w:num>
  <w:num w:numId="1369">
    <w:abstractNumId w:val="623"/>
  </w:num>
  <w:num w:numId="1370">
    <w:abstractNumId w:val="48"/>
  </w:num>
  <w:num w:numId="1371">
    <w:abstractNumId w:val="1274"/>
  </w:num>
  <w:num w:numId="1372">
    <w:abstractNumId w:val="285"/>
  </w:num>
  <w:num w:numId="1373">
    <w:abstractNumId w:val="417"/>
  </w:num>
  <w:num w:numId="1374">
    <w:abstractNumId w:val="634"/>
  </w:num>
  <w:num w:numId="1375">
    <w:abstractNumId w:val="532"/>
  </w:num>
  <w:num w:numId="1376">
    <w:abstractNumId w:val="977"/>
  </w:num>
  <w:num w:numId="1377">
    <w:abstractNumId w:val="189"/>
  </w:num>
  <w:num w:numId="1378">
    <w:abstractNumId w:val="1144"/>
  </w:num>
  <w:num w:numId="1379">
    <w:abstractNumId w:val="422"/>
  </w:num>
  <w:num w:numId="1380">
    <w:abstractNumId w:val="1577"/>
  </w:num>
  <w:num w:numId="1381">
    <w:abstractNumId w:val="1330"/>
  </w:num>
  <w:num w:numId="1382">
    <w:abstractNumId w:val="347"/>
  </w:num>
  <w:num w:numId="1383">
    <w:abstractNumId w:val="1200"/>
  </w:num>
  <w:num w:numId="1384">
    <w:abstractNumId w:val="585"/>
  </w:num>
  <w:num w:numId="1385">
    <w:abstractNumId w:val="1120"/>
  </w:num>
  <w:num w:numId="1386">
    <w:abstractNumId w:val="1373"/>
  </w:num>
  <w:num w:numId="1387">
    <w:abstractNumId w:val="215"/>
  </w:num>
  <w:num w:numId="1388">
    <w:abstractNumId w:val="444"/>
  </w:num>
  <w:num w:numId="1389">
    <w:abstractNumId w:val="1566"/>
  </w:num>
  <w:num w:numId="1390">
    <w:abstractNumId w:val="1642"/>
  </w:num>
  <w:num w:numId="1391">
    <w:abstractNumId w:val="366"/>
  </w:num>
  <w:num w:numId="1392">
    <w:abstractNumId w:val="1021"/>
  </w:num>
  <w:num w:numId="1393">
    <w:abstractNumId w:val="346"/>
  </w:num>
  <w:num w:numId="1394">
    <w:abstractNumId w:val="1470"/>
  </w:num>
  <w:num w:numId="1395">
    <w:abstractNumId w:val="60"/>
  </w:num>
  <w:num w:numId="1396">
    <w:abstractNumId w:val="473"/>
  </w:num>
  <w:num w:numId="1397">
    <w:abstractNumId w:val="1138"/>
  </w:num>
  <w:num w:numId="1398">
    <w:abstractNumId w:val="844"/>
  </w:num>
  <w:num w:numId="1399">
    <w:abstractNumId w:val="1311"/>
  </w:num>
  <w:num w:numId="1400">
    <w:abstractNumId w:val="1658"/>
  </w:num>
  <w:num w:numId="1401">
    <w:abstractNumId w:val="1044"/>
  </w:num>
  <w:num w:numId="1402">
    <w:abstractNumId w:val="199"/>
  </w:num>
  <w:num w:numId="1403">
    <w:abstractNumId w:val="496"/>
  </w:num>
  <w:num w:numId="1404">
    <w:abstractNumId w:val="1147"/>
  </w:num>
  <w:num w:numId="1405">
    <w:abstractNumId w:val="639"/>
  </w:num>
  <w:num w:numId="1406">
    <w:abstractNumId w:val="1537"/>
  </w:num>
  <w:num w:numId="1407">
    <w:abstractNumId w:val="581"/>
  </w:num>
  <w:num w:numId="1408">
    <w:abstractNumId w:val="1089"/>
  </w:num>
  <w:num w:numId="1409">
    <w:abstractNumId w:val="1087"/>
  </w:num>
  <w:num w:numId="1410">
    <w:abstractNumId w:val="1378"/>
  </w:num>
  <w:num w:numId="1411">
    <w:abstractNumId w:val="297"/>
  </w:num>
  <w:num w:numId="1412">
    <w:abstractNumId w:val="563"/>
  </w:num>
  <w:num w:numId="1413">
    <w:abstractNumId w:val="155"/>
  </w:num>
  <w:num w:numId="1414">
    <w:abstractNumId w:val="883"/>
  </w:num>
  <w:num w:numId="1415">
    <w:abstractNumId w:val="1425"/>
  </w:num>
  <w:num w:numId="1416">
    <w:abstractNumId w:val="1355"/>
  </w:num>
  <w:num w:numId="1417">
    <w:abstractNumId w:val="314"/>
  </w:num>
  <w:num w:numId="1418">
    <w:abstractNumId w:val="1136"/>
  </w:num>
  <w:num w:numId="1419">
    <w:abstractNumId w:val="399"/>
  </w:num>
  <w:num w:numId="1420">
    <w:abstractNumId w:val="1328"/>
  </w:num>
  <w:num w:numId="1421">
    <w:abstractNumId w:val="759"/>
  </w:num>
  <w:num w:numId="1422">
    <w:abstractNumId w:val="922"/>
  </w:num>
  <w:num w:numId="1423">
    <w:abstractNumId w:val="959"/>
  </w:num>
  <w:num w:numId="1424">
    <w:abstractNumId w:val="37"/>
  </w:num>
  <w:num w:numId="1425">
    <w:abstractNumId w:val="1569"/>
  </w:num>
  <w:num w:numId="1426">
    <w:abstractNumId w:val="887"/>
  </w:num>
  <w:num w:numId="1427">
    <w:abstractNumId w:val="1527"/>
  </w:num>
  <w:num w:numId="1428">
    <w:abstractNumId w:val="1191"/>
  </w:num>
  <w:num w:numId="1429">
    <w:abstractNumId w:val="85"/>
  </w:num>
  <w:num w:numId="1430">
    <w:abstractNumId w:val="666"/>
  </w:num>
  <w:num w:numId="1431">
    <w:abstractNumId w:val="792"/>
  </w:num>
  <w:num w:numId="1432">
    <w:abstractNumId w:val="1104"/>
  </w:num>
  <w:num w:numId="1433">
    <w:abstractNumId w:val="236"/>
  </w:num>
  <w:num w:numId="1434">
    <w:abstractNumId w:val="1323"/>
  </w:num>
  <w:num w:numId="1435">
    <w:abstractNumId w:val="589"/>
  </w:num>
  <w:num w:numId="1436">
    <w:abstractNumId w:val="782"/>
  </w:num>
  <w:num w:numId="1437">
    <w:abstractNumId w:val="381"/>
  </w:num>
  <w:num w:numId="1438">
    <w:abstractNumId w:val="437"/>
  </w:num>
  <w:num w:numId="1439">
    <w:abstractNumId w:val="141"/>
  </w:num>
  <w:num w:numId="1440">
    <w:abstractNumId w:val="889"/>
  </w:num>
  <w:num w:numId="1441">
    <w:abstractNumId w:val="308"/>
  </w:num>
  <w:num w:numId="1442">
    <w:abstractNumId w:val="1370"/>
  </w:num>
  <w:num w:numId="1443">
    <w:abstractNumId w:val="1502"/>
  </w:num>
  <w:num w:numId="1444">
    <w:abstractNumId w:val="1214"/>
  </w:num>
  <w:num w:numId="1445">
    <w:abstractNumId w:val="1210"/>
  </w:num>
  <w:num w:numId="1446">
    <w:abstractNumId w:val="100"/>
  </w:num>
  <w:num w:numId="1447">
    <w:abstractNumId w:val="674"/>
  </w:num>
  <w:num w:numId="1448">
    <w:abstractNumId w:val="1429"/>
  </w:num>
  <w:num w:numId="1449">
    <w:abstractNumId w:val="1348"/>
  </w:num>
  <w:num w:numId="1450">
    <w:abstractNumId w:val="777"/>
  </w:num>
  <w:num w:numId="1451">
    <w:abstractNumId w:val="27"/>
  </w:num>
  <w:num w:numId="1452">
    <w:abstractNumId w:val="1489"/>
  </w:num>
  <w:num w:numId="1453">
    <w:abstractNumId w:val="1209"/>
  </w:num>
  <w:num w:numId="1454">
    <w:abstractNumId w:val="1599"/>
  </w:num>
  <w:num w:numId="1455">
    <w:abstractNumId w:val="1126"/>
  </w:num>
  <w:num w:numId="1456">
    <w:abstractNumId w:val="571"/>
  </w:num>
  <w:num w:numId="1457">
    <w:abstractNumId w:val="223"/>
  </w:num>
  <w:num w:numId="1458">
    <w:abstractNumId w:val="449"/>
  </w:num>
  <w:num w:numId="1459">
    <w:abstractNumId w:val="1471"/>
  </w:num>
  <w:num w:numId="1460">
    <w:abstractNumId w:val="368"/>
  </w:num>
  <w:num w:numId="1461">
    <w:abstractNumId w:val="1019"/>
  </w:num>
  <w:num w:numId="1462">
    <w:abstractNumId w:val="1068"/>
  </w:num>
  <w:num w:numId="1463">
    <w:abstractNumId w:val="568"/>
  </w:num>
  <w:num w:numId="1464">
    <w:abstractNumId w:val="741"/>
  </w:num>
  <w:num w:numId="1465">
    <w:abstractNumId w:val="164"/>
  </w:num>
  <w:num w:numId="1466">
    <w:abstractNumId w:val="1506"/>
  </w:num>
  <w:num w:numId="1467">
    <w:abstractNumId w:val="1573"/>
  </w:num>
  <w:num w:numId="1468">
    <w:abstractNumId w:val="648"/>
  </w:num>
  <w:num w:numId="1469">
    <w:abstractNumId w:val="477"/>
  </w:num>
  <w:num w:numId="1470">
    <w:abstractNumId w:val="1051"/>
  </w:num>
  <w:num w:numId="1471">
    <w:abstractNumId w:val="776"/>
  </w:num>
  <w:num w:numId="1472">
    <w:abstractNumId w:val="1018"/>
  </w:num>
  <w:num w:numId="1473">
    <w:abstractNumId w:val="430"/>
  </w:num>
  <w:num w:numId="1474">
    <w:abstractNumId w:val="577"/>
  </w:num>
  <w:num w:numId="1475">
    <w:abstractNumId w:val="833"/>
  </w:num>
  <w:num w:numId="1476">
    <w:abstractNumId w:val="181"/>
  </w:num>
  <w:num w:numId="1477">
    <w:abstractNumId w:val="817"/>
  </w:num>
  <w:num w:numId="1478">
    <w:abstractNumId w:val="832"/>
  </w:num>
  <w:num w:numId="1479">
    <w:abstractNumId w:val="971"/>
  </w:num>
  <w:num w:numId="1480">
    <w:abstractNumId w:val="837"/>
  </w:num>
  <w:num w:numId="1481">
    <w:abstractNumId w:val="1224"/>
  </w:num>
  <w:num w:numId="1482">
    <w:abstractNumId w:val="981"/>
  </w:num>
  <w:num w:numId="1483">
    <w:abstractNumId w:val="1036"/>
  </w:num>
  <w:num w:numId="1484">
    <w:abstractNumId w:val="851"/>
  </w:num>
  <w:num w:numId="1485">
    <w:abstractNumId w:val="1067"/>
  </w:num>
  <w:num w:numId="1486">
    <w:abstractNumId w:val="896"/>
  </w:num>
  <w:num w:numId="1487">
    <w:abstractNumId w:val="616"/>
  </w:num>
  <w:num w:numId="1488">
    <w:abstractNumId w:val="63"/>
  </w:num>
  <w:num w:numId="1489">
    <w:abstractNumId w:val="915"/>
  </w:num>
  <w:num w:numId="1490">
    <w:abstractNumId w:val="1492"/>
  </w:num>
  <w:num w:numId="1491">
    <w:abstractNumId w:val="268"/>
  </w:num>
  <w:num w:numId="1492">
    <w:abstractNumId w:val="1117"/>
  </w:num>
  <w:num w:numId="1493">
    <w:abstractNumId w:val="1413"/>
  </w:num>
  <w:num w:numId="1494">
    <w:abstractNumId w:val="322"/>
  </w:num>
  <w:num w:numId="1495">
    <w:abstractNumId w:val="736"/>
  </w:num>
  <w:num w:numId="1496">
    <w:abstractNumId w:val="1618"/>
  </w:num>
  <w:num w:numId="1497">
    <w:abstractNumId w:val="1079"/>
  </w:num>
  <w:num w:numId="1498">
    <w:abstractNumId w:val="1150"/>
  </w:num>
  <w:num w:numId="1499">
    <w:abstractNumId w:val="1419"/>
  </w:num>
  <w:num w:numId="1500">
    <w:abstractNumId w:val="397"/>
  </w:num>
  <w:num w:numId="1501">
    <w:abstractNumId w:val="519"/>
  </w:num>
  <w:num w:numId="1502">
    <w:abstractNumId w:val="149"/>
  </w:num>
  <w:num w:numId="1503">
    <w:abstractNumId w:val="232"/>
  </w:num>
  <w:num w:numId="1504">
    <w:abstractNumId w:val="211"/>
  </w:num>
  <w:num w:numId="1505">
    <w:abstractNumId w:val="859"/>
  </w:num>
  <w:num w:numId="1506">
    <w:abstractNumId w:val="441"/>
  </w:num>
  <w:num w:numId="1507">
    <w:abstractNumId w:val="179"/>
  </w:num>
  <w:num w:numId="1508">
    <w:abstractNumId w:val="1237"/>
  </w:num>
  <w:num w:numId="1509">
    <w:abstractNumId w:val="1222"/>
  </w:num>
  <w:num w:numId="1510">
    <w:abstractNumId w:val="1605"/>
  </w:num>
  <w:num w:numId="1511">
    <w:abstractNumId w:val="658"/>
  </w:num>
  <w:num w:numId="1512">
    <w:abstractNumId w:val="166"/>
  </w:num>
  <w:num w:numId="1513">
    <w:abstractNumId w:val="487"/>
  </w:num>
  <w:num w:numId="1514">
    <w:abstractNumId w:val="523"/>
  </w:num>
  <w:num w:numId="1515">
    <w:abstractNumId w:val="731"/>
  </w:num>
  <w:num w:numId="1516">
    <w:abstractNumId w:val="1332"/>
  </w:num>
  <w:num w:numId="1517">
    <w:abstractNumId w:val="1516"/>
  </w:num>
  <w:num w:numId="1518">
    <w:abstractNumId w:val="1386"/>
  </w:num>
  <w:num w:numId="1519">
    <w:abstractNumId w:val="966"/>
  </w:num>
  <w:num w:numId="1520">
    <w:abstractNumId w:val="540"/>
  </w:num>
  <w:num w:numId="1521">
    <w:abstractNumId w:val="994"/>
  </w:num>
  <w:num w:numId="1522">
    <w:abstractNumId w:val="246"/>
  </w:num>
  <w:num w:numId="1523">
    <w:abstractNumId w:val="1581"/>
  </w:num>
  <w:num w:numId="1524">
    <w:abstractNumId w:val="1266"/>
  </w:num>
  <w:num w:numId="1525">
    <w:abstractNumId w:val="1027"/>
  </w:num>
  <w:num w:numId="1526">
    <w:abstractNumId w:val="873"/>
  </w:num>
  <w:num w:numId="1527">
    <w:abstractNumId w:val="1547"/>
  </w:num>
  <w:num w:numId="1528">
    <w:abstractNumId w:val="1304"/>
  </w:num>
  <w:num w:numId="1529">
    <w:abstractNumId w:val="894"/>
  </w:num>
  <w:num w:numId="1530">
    <w:abstractNumId w:val="1003"/>
  </w:num>
  <w:num w:numId="1531">
    <w:abstractNumId w:val="234"/>
  </w:num>
  <w:num w:numId="1532">
    <w:abstractNumId w:val="1281"/>
  </w:num>
  <w:num w:numId="1533">
    <w:abstractNumId w:val="766"/>
  </w:num>
  <w:num w:numId="1534">
    <w:abstractNumId w:val="343"/>
  </w:num>
  <w:num w:numId="1535">
    <w:abstractNumId w:val="645"/>
  </w:num>
  <w:num w:numId="1536">
    <w:abstractNumId w:val="239"/>
  </w:num>
  <w:num w:numId="1537">
    <w:abstractNumId w:val="1099"/>
  </w:num>
  <w:num w:numId="1538">
    <w:abstractNumId w:val="895"/>
  </w:num>
  <w:num w:numId="1539">
    <w:abstractNumId w:val="1291"/>
  </w:num>
  <w:num w:numId="1540">
    <w:abstractNumId w:val="54"/>
  </w:num>
  <w:num w:numId="1541">
    <w:abstractNumId w:val="805"/>
  </w:num>
  <w:num w:numId="1542">
    <w:abstractNumId w:val="1572"/>
  </w:num>
  <w:num w:numId="1543">
    <w:abstractNumId w:val="1535"/>
  </w:num>
  <w:num w:numId="1544">
    <w:abstractNumId w:val="649"/>
  </w:num>
  <w:num w:numId="1545">
    <w:abstractNumId w:val="478"/>
  </w:num>
  <w:num w:numId="1546">
    <w:abstractNumId w:val="964"/>
  </w:num>
  <w:num w:numId="1547">
    <w:abstractNumId w:val="684"/>
  </w:num>
  <w:num w:numId="1548">
    <w:abstractNumId w:val="681"/>
  </w:num>
  <w:num w:numId="1549">
    <w:abstractNumId w:val="1600"/>
  </w:num>
  <w:num w:numId="1550">
    <w:abstractNumId w:val="46"/>
  </w:num>
  <w:num w:numId="1551">
    <w:abstractNumId w:val="317"/>
  </w:num>
  <w:num w:numId="1552">
    <w:abstractNumId w:val="1199"/>
  </w:num>
  <w:num w:numId="1553">
    <w:abstractNumId w:val="357"/>
  </w:num>
  <w:num w:numId="1554">
    <w:abstractNumId w:val="1061"/>
  </w:num>
  <w:num w:numId="1555">
    <w:abstractNumId w:val="1626"/>
  </w:num>
  <w:num w:numId="1556">
    <w:abstractNumId w:val="951"/>
  </w:num>
  <w:num w:numId="1557">
    <w:abstractNumId w:val="461"/>
  </w:num>
  <w:num w:numId="1558">
    <w:abstractNumId w:val="9"/>
  </w:num>
  <w:num w:numId="1559">
    <w:abstractNumId w:val="283"/>
  </w:num>
  <w:num w:numId="1560">
    <w:abstractNumId w:val="558"/>
  </w:num>
  <w:num w:numId="1561">
    <w:abstractNumId w:val="841"/>
  </w:num>
  <w:num w:numId="1562">
    <w:abstractNumId w:val="420"/>
  </w:num>
  <w:num w:numId="1563">
    <w:abstractNumId w:val="632"/>
  </w:num>
  <w:num w:numId="1564">
    <w:abstractNumId w:val="454"/>
  </w:num>
  <w:num w:numId="1565">
    <w:abstractNumId w:val="1312"/>
  </w:num>
  <w:num w:numId="1566">
    <w:abstractNumId w:val="464"/>
  </w:num>
  <w:num w:numId="1567">
    <w:abstractNumId w:val="576"/>
  </w:num>
  <w:num w:numId="1568">
    <w:abstractNumId w:val="99"/>
  </w:num>
  <w:num w:numId="1569">
    <w:abstractNumId w:val="1620"/>
  </w:num>
  <w:num w:numId="1570">
    <w:abstractNumId w:val="50"/>
  </w:num>
  <w:num w:numId="1571">
    <w:abstractNumId w:val="1176"/>
  </w:num>
  <w:num w:numId="1572">
    <w:abstractNumId w:val="134"/>
  </w:num>
  <w:num w:numId="1573">
    <w:abstractNumId w:val="742"/>
  </w:num>
  <w:num w:numId="1574">
    <w:abstractNumId w:val="622"/>
  </w:num>
  <w:num w:numId="1575">
    <w:abstractNumId w:val="852"/>
  </w:num>
  <w:num w:numId="1576">
    <w:abstractNumId w:val="1478"/>
  </w:num>
  <w:num w:numId="1577">
    <w:abstractNumId w:val="1263"/>
  </w:num>
  <w:num w:numId="1578">
    <w:abstractNumId w:val="1591"/>
  </w:num>
  <w:num w:numId="1579">
    <w:abstractNumId w:val="538"/>
  </w:num>
  <w:num w:numId="1580">
    <w:abstractNumId w:val="838"/>
  </w:num>
  <w:num w:numId="1581">
    <w:abstractNumId w:val="360"/>
  </w:num>
  <w:num w:numId="1582">
    <w:abstractNumId w:val="1243"/>
  </w:num>
  <w:num w:numId="1583">
    <w:abstractNumId w:val="258"/>
  </w:num>
  <w:num w:numId="1584">
    <w:abstractNumId w:val="5"/>
  </w:num>
  <w:num w:numId="1585">
    <w:abstractNumId w:val="1541"/>
  </w:num>
  <w:num w:numId="1586">
    <w:abstractNumId w:val="1122"/>
  </w:num>
  <w:num w:numId="1587">
    <w:abstractNumId w:val="1337"/>
  </w:num>
  <w:num w:numId="1588">
    <w:abstractNumId w:val="511"/>
  </w:num>
  <w:num w:numId="1589">
    <w:abstractNumId w:val="899"/>
  </w:num>
  <w:num w:numId="1590">
    <w:abstractNumId w:val="1536"/>
  </w:num>
  <w:num w:numId="1591">
    <w:abstractNumId w:val="225"/>
  </w:num>
  <w:num w:numId="1592">
    <w:abstractNumId w:val="195"/>
  </w:num>
  <w:num w:numId="1593">
    <w:abstractNumId w:val="440"/>
  </w:num>
  <w:num w:numId="1594">
    <w:abstractNumId w:val="486"/>
  </w:num>
  <w:num w:numId="1595">
    <w:abstractNumId w:val="1069"/>
  </w:num>
  <w:num w:numId="1596">
    <w:abstractNumId w:val="259"/>
  </w:num>
  <w:num w:numId="1597">
    <w:abstractNumId w:val="1415"/>
  </w:num>
  <w:num w:numId="1598">
    <w:abstractNumId w:val="1493"/>
  </w:num>
  <w:num w:numId="1599">
    <w:abstractNumId w:val="1059"/>
  </w:num>
  <w:num w:numId="1600">
    <w:abstractNumId w:val="424"/>
  </w:num>
  <w:num w:numId="1601">
    <w:abstractNumId w:val="912"/>
  </w:num>
  <w:num w:numId="1602">
    <w:abstractNumId w:val="644"/>
  </w:num>
  <w:num w:numId="1603">
    <w:abstractNumId w:val="949"/>
  </w:num>
  <w:num w:numId="1604">
    <w:abstractNumId w:val="1619"/>
  </w:num>
  <w:num w:numId="1605">
    <w:abstractNumId w:val="11"/>
  </w:num>
  <w:num w:numId="1606">
    <w:abstractNumId w:val="1491"/>
  </w:num>
  <w:num w:numId="1607">
    <w:abstractNumId w:val="897"/>
  </w:num>
  <w:num w:numId="1608">
    <w:abstractNumId w:val="474"/>
  </w:num>
  <w:num w:numId="1609">
    <w:abstractNumId w:val="1152"/>
  </w:num>
  <w:num w:numId="1610">
    <w:abstractNumId w:val="587"/>
  </w:num>
  <w:num w:numId="1611">
    <w:abstractNumId w:val="520"/>
  </w:num>
  <w:num w:numId="1612">
    <w:abstractNumId w:val="428"/>
  </w:num>
  <w:num w:numId="1613">
    <w:abstractNumId w:val="329"/>
  </w:num>
  <w:num w:numId="1614">
    <w:abstractNumId w:val="1412"/>
  </w:num>
  <w:num w:numId="1615">
    <w:abstractNumId w:val="845"/>
  </w:num>
  <w:num w:numId="1616">
    <w:abstractNumId w:val="544"/>
  </w:num>
  <w:num w:numId="1617">
    <w:abstractNumId w:val="1458"/>
  </w:num>
  <w:num w:numId="1618">
    <w:abstractNumId w:val="671"/>
  </w:num>
  <w:num w:numId="1619">
    <w:abstractNumId w:val="1246"/>
  </w:num>
  <w:num w:numId="1620">
    <w:abstractNumId w:val="1"/>
  </w:num>
  <w:num w:numId="1621">
    <w:abstractNumId w:val="276"/>
  </w:num>
  <w:num w:numId="1622">
    <w:abstractNumId w:val="819"/>
  </w:num>
  <w:num w:numId="1623">
    <w:abstractNumId w:val="1403"/>
  </w:num>
  <w:num w:numId="1624">
    <w:abstractNumId w:val="1106"/>
  </w:num>
  <w:num w:numId="1625">
    <w:abstractNumId w:val="1081"/>
  </w:num>
  <w:num w:numId="1626">
    <w:abstractNumId w:val="1357"/>
  </w:num>
  <w:num w:numId="1627">
    <w:abstractNumId w:val="1391"/>
  </w:num>
  <w:num w:numId="1628">
    <w:abstractNumId w:val="926"/>
  </w:num>
  <w:num w:numId="1629">
    <w:abstractNumId w:val="194"/>
  </w:num>
  <w:num w:numId="1630">
    <w:abstractNumId w:val="1406"/>
  </w:num>
  <w:num w:numId="1631">
    <w:abstractNumId w:val="450"/>
  </w:num>
  <w:num w:numId="1632">
    <w:abstractNumId w:val="982"/>
  </w:num>
  <w:num w:numId="1633">
    <w:abstractNumId w:val="1084"/>
  </w:num>
  <w:num w:numId="1634">
    <w:abstractNumId w:val="433"/>
  </w:num>
  <w:num w:numId="1635">
    <w:abstractNumId w:val="115"/>
  </w:num>
  <w:num w:numId="1636">
    <w:abstractNumId w:val="631"/>
  </w:num>
  <w:num w:numId="1637">
    <w:abstractNumId w:val="489"/>
  </w:num>
  <w:num w:numId="1638">
    <w:abstractNumId w:val="636"/>
  </w:num>
  <w:num w:numId="1639">
    <w:abstractNumId w:val="1032"/>
  </w:num>
  <w:num w:numId="1640">
    <w:abstractNumId w:val="610"/>
  </w:num>
  <w:num w:numId="1641">
    <w:abstractNumId w:val="1399"/>
  </w:num>
  <w:num w:numId="1642">
    <w:abstractNumId w:val="989"/>
  </w:num>
  <w:num w:numId="1643">
    <w:abstractNumId w:val="412"/>
  </w:num>
  <w:num w:numId="1644">
    <w:abstractNumId w:val="798"/>
  </w:num>
  <w:num w:numId="1645">
    <w:abstractNumId w:val="88"/>
  </w:num>
  <w:num w:numId="1646">
    <w:abstractNumId w:val="18"/>
  </w:num>
  <w:num w:numId="1647">
    <w:abstractNumId w:val="775"/>
  </w:num>
  <w:num w:numId="1648">
    <w:abstractNumId w:val="655"/>
  </w:num>
  <w:num w:numId="1649">
    <w:abstractNumId w:val="3"/>
  </w:num>
  <w:num w:numId="1650">
    <w:abstractNumId w:val="537"/>
  </w:num>
  <w:num w:numId="1651">
    <w:abstractNumId w:val="1168"/>
  </w:num>
  <w:num w:numId="1652">
    <w:abstractNumId w:val="83"/>
  </w:num>
  <w:num w:numId="1653">
    <w:abstractNumId w:val="394"/>
  </w:num>
  <w:num w:numId="1654">
    <w:abstractNumId w:val="967"/>
  </w:num>
  <w:num w:numId="1655">
    <w:abstractNumId w:val="1300"/>
  </w:num>
  <w:num w:numId="1656">
    <w:abstractNumId w:val="756"/>
  </w:num>
  <w:num w:numId="1657">
    <w:abstractNumId w:val="1244"/>
  </w:num>
  <w:num w:numId="1658">
    <w:abstractNumId w:val="749"/>
  </w:num>
  <w:num w:numId="1659">
    <w:abstractNumId w:val="762"/>
  </w:num>
  <w:num w:numId="1660">
    <w:abstractNumId w:val="216"/>
  </w:num>
  <w:numIdMacAtCleanup w:val="16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E7186"/>
    <w:rsid w:val="0000018C"/>
    <w:rsid w:val="00000746"/>
    <w:rsid w:val="00000B90"/>
    <w:rsid w:val="00000E91"/>
    <w:rsid w:val="0000137B"/>
    <w:rsid w:val="0000160C"/>
    <w:rsid w:val="0000248A"/>
    <w:rsid w:val="0000254E"/>
    <w:rsid w:val="000029AB"/>
    <w:rsid w:val="00004444"/>
    <w:rsid w:val="00004A1E"/>
    <w:rsid w:val="00005CF3"/>
    <w:rsid w:val="00005FF4"/>
    <w:rsid w:val="00006255"/>
    <w:rsid w:val="0000644E"/>
    <w:rsid w:val="00006CA6"/>
    <w:rsid w:val="000073C0"/>
    <w:rsid w:val="00007943"/>
    <w:rsid w:val="00011786"/>
    <w:rsid w:val="00011914"/>
    <w:rsid w:val="00011AAF"/>
    <w:rsid w:val="000121FB"/>
    <w:rsid w:val="00012286"/>
    <w:rsid w:val="000125A4"/>
    <w:rsid w:val="00012782"/>
    <w:rsid w:val="00012D3B"/>
    <w:rsid w:val="0001510A"/>
    <w:rsid w:val="0001562A"/>
    <w:rsid w:val="000161CA"/>
    <w:rsid w:val="00016609"/>
    <w:rsid w:val="00017083"/>
    <w:rsid w:val="00020BAA"/>
    <w:rsid w:val="000213D9"/>
    <w:rsid w:val="00021763"/>
    <w:rsid w:val="00021857"/>
    <w:rsid w:val="000231C4"/>
    <w:rsid w:val="00025F20"/>
    <w:rsid w:val="00026599"/>
    <w:rsid w:val="00026A7F"/>
    <w:rsid w:val="00026C56"/>
    <w:rsid w:val="00026C90"/>
    <w:rsid w:val="00026E2F"/>
    <w:rsid w:val="00027F0E"/>
    <w:rsid w:val="00030976"/>
    <w:rsid w:val="00030FAA"/>
    <w:rsid w:val="0003139F"/>
    <w:rsid w:val="00031698"/>
    <w:rsid w:val="00031FE9"/>
    <w:rsid w:val="000321DD"/>
    <w:rsid w:val="000329C5"/>
    <w:rsid w:val="00036115"/>
    <w:rsid w:val="00036B6B"/>
    <w:rsid w:val="0003769D"/>
    <w:rsid w:val="00037BA5"/>
    <w:rsid w:val="00040481"/>
    <w:rsid w:val="00040B7C"/>
    <w:rsid w:val="00040C67"/>
    <w:rsid w:val="00040EB5"/>
    <w:rsid w:val="00041953"/>
    <w:rsid w:val="00041F4E"/>
    <w:rsid w:val="00042A73"/>
    <w:rsid w:val="0004357D"/>
    <w:rsid w:val="000435BC"/>
    <w:rsid w:val="0004423B"/>
    <w:rsid w:val="00044807"/>
    <w:rsid w:val="00044885"/>
    <w:rsid w:val="00044D87"/>
    <w:rsid w:val="000453EF"/>
    <w:rsid w:val="0004548C"/>
    <w:rsid w:val="000457D3"/>
    <w:rsid w:val="00045F04"/>
    <w:rsid w:val="00046A61"/>
    <w:rsid w:val="000478B8"/>
    <w:rsid w:val="000515EF"/>
    <w:rsid w:val="000516AA"/>
    <w:rsid w:val="00051CCE"/>
    <w:rsid w:val="00052406"/>
    <w:rsid w:val="00052610"/>
    <w:rsid w:val="00053083"/>
    <w:rsid w:val="00053087"/>
    <w:rsid w:val="00053487"/>
    <w:rsid w:val="0005379E"/>
    <w:rsid w:val="0005403F"/>
    <w:rsid w:val="0005448E"/>
    <w:rsid w:val="00054853"/>
    <w:rsid w:val="00054C98"/>
    <w:rsid w:val="00055682"/>
    <w:rsid w:val="000558D9"/>
    <w:rsid w:val="000559F8"/>
    <w:rsid w:val="000564F8"/>
    <w:rsid w:val="0005678E"/>
    <w:rsid w:val="00056950"/>
    <w:rsid w:val="00056FFB"/>
    <w:rsid w:val="00060176"/>
    <w:rsid w:val="00060756"/>
    <w:rsid w:val="00060913"/>
    <w:rsid w:val="000611A9"/>
    <w:rsid w:val="000614B8"/>
    <w:rsid w:val="000616F6"/>
    <w:rsid w:val="00061B3C"/>
    <w:rsid w:val="00061C1C"/>
    <w:rsid w:val="00061F04"/>
    <w:rsid w:val="000628AA"/>
    <w:rsid w:val="00062AC4"/>
    <w:rsid w:val="000631C9"/>
    <w:rsid w:val="00063643"/>
    <w:rsid w:val="000638BD"/>
    <w:rsid w:val="0006434F"/>
    <w:rsid w:val="00064CC4"/>
    <w:rsid w:val="0006587A"/>
    <w:rsid w:val="000658CE"/>
    <w:rsid w:val="00065E7C"/>
    <w:rsid w:val="00065EFF"/>
    <w:rsid w:val="00065FC3"/>
    <w:rsid w:val="000664D6"/>
    <w:rsid w:val="000665D6"/>
    <w:rsid w:val="00066AA5"/>
    <w:rsid w:val="00067CA8"/>
    <w:rsid w:val="000715A5"/>
    <w:rsid w:val="00071A4E"/>
    <w:rsid w:val="00071B76"/>
    <w:rsid w:val="00072464"/>
    <w:rsid w:val="00072D8F"/>
    <w:rsid w:val="00073079"/>
    <w:rsid w:val="0007363E"/>
    <w:rsid w:val="00073671"/>
    <w:rsid w:val="000739F4"/>
    <w:rsid w:val="00073E9D"/>
    <w:rsid w:val="00073F96"/>
    <w:rsid w:val="000758BB"/>
    <w:rsid w:val="000758E1"/>
    <w:rsid w:val="0007626A"/>
    <w:rsid w:val="000765F2"/>
    <w:rsid w:val="00076925"/>
    <w:rsid w:val="00076BA0"/>
    <w:rsid w:val="00076F9E"/>
    <w:rsid w:val="00076FFD"/>
    <w:rsid w:val="00077C3E"/>
    <w:rsid w:val="00077E1A"/>
    <w:rsid w:val="0008020E"/>
    <w:rsid w:val="000803C1"/>
    <w:rsid w:val="000807F2"/>
    <w:rsid w:val="0008206E"/>
    <w:rsid w:val="00082D42"/>
    <w:rsid w:val="0008397B"/>
    <w:rsid w:val="00083D91"/>
    <w:rsid w:val="0008416E"/>
    <w:rsid w:val="0008476E"/>
    <w:rsid w:val="00084F7C"/>
    <w:rsid w:val="00085713"/>
    <w:rsid w:val="00085AF5"/>
    <w:rsid w:val="00085DD5"/>
    <w:rsid w:val="00086E67"/>
    <w:rsid w:val="00086E72"/>
    <w:rsid w:val="00086F6A"/>
    <w:rsid w:val="0008729C"/>
    <w:rsid w:val="00087CA1"/>
    <w:rsid w:val="00090AB6"/>
    <w:rsid w:val="000926C0"/>
    <w:rsid w:val="000927DF"/>
    <w:rsid w:val="00095292"/>
    <w:rsid w:val="000964A4"/>
    <w:rsid w:val="00096530"/>
    <w:rsid w:val="000966E9"/>
    <w:rsid w:val="000968EE"/>
    <w:rsid w:val="00096937"/>
    <w:rsid w:val="000A0C63"/>
    <w:rsid w:val="000A0E03"/>
    <w:rsid w:val="000A0FF2"/>
    <w:rsid w:val="000A1227"/>
    <w:rsid w:val="000A17F2"/>
    <w:rsid w:val="000A1EF0"/>
    <w:rsid w:val="000A2BCE"/>
    <w:rsid w:val="000A39BF"/>
    <w:rsid w:val="000A3A79"/>
    <w:rsid w:val="000A3F42"/>
    <w:rsid w:val="000A49E7"/>
    <w:rsid w:val="000A4D8B"/>
    <w:rsid w:val="000A4E2A"/>
    <w:rsid w:val="000A5B4F"/>
    <w:rsid w:val="000A68AB"/>
    <w:rsid w:val="000A77F7"/>
    <w:rsid w:val="000B028C"/>
    <w:rsid w:val="000B0BF5"/>
    <w:rsid w:val="000B1354"/>
    <w:rsid w:val="000B15AD"/>
    <w:rsid w:val="000B16EE"/>
    <w:rsid w:val="000B1A0F"/>
    <w:rsid w:val="000B1AB8"/>
    <w:rsid w:val="000B1DCF"/>
    <w:rsid w:val="000B21C5"/>
    <w:rsid w:val="000B30ED"/>
    <w:rsid w:val="000B360A"/>
    <w:rsid w:val="000B3A19"/>
    <w:rsid w:val="000B3C96"/>
    <w:rsid w:val="000B50BD"/>
    <w:rsid w:val="000B57A2"/>
    <w:rsid w:val="000B5C5E"/>
    <w:rsid w:val="000B62EC"/>
    <w:rsid w:val="000B63A6"/>
    <w:rsid w:val="000B7B76"/>
    <w:rsid w:val="000C00BC"/>
    <w:rsid w:val="000C00D7"/>
    <w:rsid w:val="000C044F"/>
    <w:rsid w:val="000C0C37"/>
    <w:rsid w:val="000C0CEC"/>
    <w:rsid w:val="000C1BB8"/>
    <w:rsid w:val="000C2EEE"/>
    <w:rsid w:val="000C3047"/>
    <w:rsid w:val="000C3078"/>
    <w:rsid w:val="000C31FF"/>
    <w:rsid w:val="000C36B8"/>
    <w:rsid w:val="000C39AA"/>
    <w:rsid w:val="000C3B41"/>
    <w:rsid w:val="000C3FE2"/>
    <w:rsid w:val="000C4440"/>
    <w:rsid w:val="000C48DC"/>
    <w:rsid w:val="000C5493"/>
    <w:rsid w:val="000C66C1"/>
    <w:rsid w:val="000C6B94"/>
    <w:rsid w:val="000C7920"/>
    <w:rsid w:val="000C7ABA"/>
    <w:rsid w:val="000C7CCF"/>
    <w:rsid w:val="000D0CE0"/>
    <w:rsid w:val="000D0D71"/>
    <w:rsid w:val="000D1964"/>
    <w:rsid w:val="000D2D71"/>
    <w:rsid w:val="000D318E"/>
    <w:rsid w:val="000D3337"/>
    <w:rsid w:val="000D4BEC"/>
    <w:rsid w:val="000D519C"/>
    <w:rsid w:val="000D640D"/>
    <w:rsid w:val="000D65BF"/>
    <w:rsid w:val="000D660B"/>
    <w:rsid w:val="000D7DE9"/>
    <w:rsid w:val="000E041D"/>
    <w:rsid w:val="000E0A28"/>
    <w:rsid w:val="000E0AED"/>
    <w:rsid w:val="000E0B6C"/>
    <w:rsid w:val="000E1CE1"/>
    <w:rsid w:val="000E21E1"/>
    <w:rsid w:val="000E2746"/>
    <w:rsid w:val="000E3016"/>
    <w:rsid w:val="000E35D9"/>
    <w:rsid w:val="000E3692"/>
    <w:rsid w:val="000E3769"/>
    <w:rsid w:val="000E4192"/>
    <w:rsid w:val="000E5663"/>
    <w:rsid w:val="000E5F16"/>
    <w:rsid w:val="000E6781"/>
    <w:rsid w:val="000E74FB"/>
    <w:rsid w:val="000E7519"/>
    <w:rsid w:val="000E786A"/>
    <w:rsid w:val="000F0008"/>
    <w:rsid w:val="000F0082"/>
    <w:rsid w:val="000F0801"/>
    <w:rsid w:val="000F11B9"/>
    <w:rsid w:val="000F16A6"/>
    <w:rsid w:val="000F175E"/>
    <w:rsid w:val="000F1A4C"/>
    <w:rsid w:val="000F1F3C"/>
    <w:rsid w:val="000F2593"/>
    <w:rsid w:val="000F2F9C"/>
    <w:rsid w:val="000F38E8"/>
    <w:rsid w:val="000F3D56"/>
    <w:rsid w:val="000F44F0"/>
    <w:rsid w:val="000F4E33"/>
    <w:rsid w:val="000F5496"/>
    <w:rsid w:val="000F5C5D"/>
    <w:rsid w:val="000F63A5"/>
    <w:rsid w:val="000F687C"/>
    <w:rsid w:val="000F68E6"/>
    <w:rsid w:val="000F76F0"/>
    <w:rsid w:val="000F79AD"/>
    <w:rsid w:val="00100359"/>
    <w:rsid w:val="00100A05"/>
    <w:rsid w:val="00102218"/>
    <w:rsid w:val="0010226E"/>
    <w:rsid w:val="0010404C"/>
    <w:rsid w:val="001041CA"/>
    <w:rsid w:val="001045A0"/>
    <w:rsid w:val="00104DB3"/>
    <w:rsid w:val="00104DC4"/>
    <w:rsid w:val="00104E7B"/>
    <w:rsid w:val="00104FDA"/>
    <w:rsid w:val="00105CCF"/>
    <w:rsid w:val="0010629E"/>
    <w:rsid w:val="0010672B"/>
    <w:rsid w:val="00106FD8"/>
    <w:rsid w:val="001070BF"/>
    <w:rsid w:val="00107583"/>
    <w:rsid w:val="001078B6"/>
    <w:rsid w:val="00107B37"/>
    <w:rsid w:val="00110202"/>
    <w:rsid w:val="001102FE"/>
    <w:rsid w:val="001106A2"/>
    <w:rsid w:val="00110C07"/>
    <w:rsid w:val="00110D13"/>
    <w:rsid w:val="00110DEF"/>
    <w:rsid w:val="001124E8"/>
    <w:rsid w:val="00113388"/>
    <w:rsid w:val="00114A62"/>
    <w:rsid w:val="00114E3E"/>
    <w:rsid w:val="00115C78"/>
    <w:rsid w:val="0011647D"/>
    <w:rsid w:val="0011771F"/>
    <w:rsid w:val="001177A8"/>
    <w:rsid w:val="0012016D"/>
    <w:rsid w:val="00120561"/>
    <w:rsid w:val="0012118A"/>
    <w:rsid w:val="001219DF"/>
    <w:rsid w:val="00121AD6"/>
    <w:rsid w:val="00121E99"/>
    <w:rsid w:val="00122121"/>
    <w:rsid w:val="001222F8"/>
    <w:rsid w:val="00122867"/>
    <w:rsid w:val="001228F4"/>
    <w:rsid w:val="0012303F"/>
    <w:rsid w:val="00123A38"/>
    <w:rsid w:val="00124714"/>
    <w:rsid w:val="001248EC"/>
    <w:rsid w:val="00124996"/>
    <w:rsid w:val="00125B77"/>
    <w:rsid w:val="00126759"/>
    <w:rsid w:val="001269EB"/>
    <w:rsid w:val="00127411"/>
    <w:rsid w:val="001275BA"/>
    <w:rsid w:val="001278B3"/>
    <w:rsid w:val="00130532"/>
    <w:rsid w:val="001307F0"/>
    <w:rsid w:val="00130884"/>
    <w:rsid w:val="001313E3"/>
    <w:rsid w:val="00131846"/>
    <w:rsid w:val="00131AF9"/>
    <w:rsid w:val="00131C1A"/>
    <w:rsid w:val="0013240F"/>
    <w:rsid w:val="00132BD1"/>
    <w:rsid w:val="00133895"/>
    <w:rsid w:val="00133CB6"/>
    <w:rsid w:val="00133F4E"/>
    <w:rsid w:val="00134257"/>
    <w:rsid w:val="00134336"/>
    <w:rsid w:val="00134409"/>
    <w:rsid w:val="00134C5B"/>
    <w:rsid w:val="00134D5B"/>
    <w:rsid w:val="00134DD0"/>
    <w:rsid w:val="00135CDF"/>
    <w:rsid w:val="0013638E"/>
    <w:rsid w:val="001372A2"/>
    <w:rsid w:val="00137C3F"/>
    <w:rsid w:val="00140785"/>
    <w:rsid w:val="00140C57"/>
    <w:rsid w:val="00140C84"/>
    <w:rsid w:val="00140E4B"/>
    <w:rsid w:val="00141EF8"/>
    <w:rsid w:val="00142595"/>
    <w:rsid w:val="0014275B"/>
    <w:rsid w:val="00142908"/>
    <w:rsid w:val="00142FB5"/>
    <w:rsid w:val="001445CD"/>
    <w:rsid w:val="00145019"/>
    <w:rsid w:val="0014525E"/>
    <w:rsid w:val="00145B62"/>
    <w:rsid w:val="00145D9D"/>
    <w:rsid w:val="00145DB2"/>
    <w:rsid w:val="0014727B"/>
    <w:rsid w:val="0014739F"/>
    <w:rsid w:val="00150418"/>
    <w:rsid w:val="001513CC"/>
    <w:rsid w:val="00151712"/>
    <w:rsid w:val="001520A5"/>
    <w:rsid w:val="001539A4"/>
    <w:rsid w:val="00154D99"/>
    <w:rsid w:val="0015528C"/>
    <w:rsid w:val="001560B8"/>
    <w:rsid w:val="001566A3"/>
    <w:rsid w:val="00156CD9"/>
    <w:rsid w:val="00156CF8"/>
    <w:rsid w:val="00160A74"/>
    <w:rsid w:val="00161F04"/>
    <w:rsid w:val="00161F27"/>
    <w:rsid w:val="00161F87"/>
    <w:rsid w:val="001622FE"/>
    <w:rsid w:val="00162AB4"/>
    <w:rsid w:val="00163351"/>
    <w:rsid w:val="0016452E"/>
    <w:rsid w:val="0016463B"/>
    <w:rsid w:val="0016487D"/>
    <w:rsid w:val="00164BFE"/>
    <w:rsid w:val="00165800"/>
    <w:rsid w:val="001660C1"/>
    <w:rsid w:val="00166367"/>
    <w:rsid w:val="0016694C"/>
    <w:rsid w:val="00167705"/>
    <w:rsid w:val="00167A5F"/>
    <w:rsid w:val="00167C7C"/>
    <w:rsid w:val="001704EC"/>
    <w:rsid w:val="00170E45"/>
    <w:rsid w:val="001711A4"/>
    <w:rsid w:val="00171550"/>
    <w:rsid w:val="001719F0"/>
    <w:rsid w:val="00171F62"/>
    <w:rsid w:val="00172124"/>
    <w:rsid w:val="00172C5A"/>
    <w:rsid w:val="0017310A"/>
    <w:rsid w:val="00174251"/>
    <w:rsid w:val="0017442D"/>
    <w:rsid w:val="00174AA3"/>
    <w:rsid w:val="00174E49"/>
    <w:rsid w:val="00175320"/>
    <w:rsid w:val="001754C4"/>
    <w:rsid w:val="00175AFF"/>
    <w:rsid w:val="00175B4C"/>
    <w:rsid w:val="00176126"/>
    <w:rsid w:val="001761DC"/>
    <w:rsid w:val="001766B6"/>
    <w:rsid w:val="00176A0E"/>
    <w:rsid w:val="00176EB5"/>
    <w:rsid w:val="00180343"/>
    <w:rsid w:val="00180CBF"/>
    <w:rsid w:val="00180EAC"/>
    <w:rsid w:val="00181BCA"/>
    <w:rsid w:val="00182DFD"/>
    <w:rsid w:val="001833AD"/>
    <w:rsid w:val="00183B4F"/>
    <w:rsid w:val="00183C3D"/>
    <w:rsid w:val="00184AD3"/>
    <w:rsid w:val="00184EB5"/>
    <w:rsid w:val="00185B6A"/>
    <w:rsid w:val="00185EA8"/>
    <w:rsid w:val="001861AF"/>
    <w:rsid w:val="001864A2"/>
    <w:rsid w:val="00186663"/>
    <w:rsid w:val="00186741"/>
    <w:rsid w:val="001871D6"/>
    <w:rsid w:val="00187404"/>
    <w:rsid w:val="0019011C"/>
    <w:rsid w:val="001905C8"/>
    <w:rsid w:val="001908D8"/>
    <w:rsid w:val="001917BD"/>
    <w:rsid w:val="00192330"/>
    <w:rsid w:val="00192930"/>
    <w:rsid w:val="00193046"/>
    <w:rsid w:val="00193AB3"/>
    <w:rsid w:val="00194D38"/>
    <w:rsid w:val="001950F3"/>
    <w:rsid w:val="00195832"/>
    <w:rsid w:val="00195D72"/>
    <w:rsid w:val="00196CA4"/>
    <w:rsid w:val="001975E4"/>
    <w:rsid w:val="001A1752"/>
    <w:rsid w:val="001A1E5F"/>
    <w:rsid w:val="001A29AA"/>
    <w:rsid w:val="001A3611"/>
    <w:rsid w:val="001A3D4E"/>
    <w:rsid w:val="001A4606"/>
    <w:rsid w:val="001A4D51"/>
    <w:rsid w:val="001A4DE7"/>
    <w:rsid w:val="001A5F92"/>
    <w:rsid w:val="001A6492"/>
    <w:rsid w:val="001A711D"/>
    <w:rsid w:val="001B06C7"/>
    <w:rsid w:val="001B0B3B"/>
    <w:rsid w:val="001B0DCD"/>
    <w:rsid w:val="001B1B8F"/>
    <w:rsid w:val="001B1E34"/>
    <w:rsid w:val="001B2039"/>
    <w:rsid w:val="001B2565"/>
    <w:rsid w:val="001B2732"/>
    <w:rsid w:val="001B2ADA"/>
    <w:rsid w:val="001B2BF6"/>
    <w:rsid w:val="001B2FFC"/>
    <w:rsid w:val="001B3245"/>
    <w:rsid w:val="001B32A0"/>
    <w:rsid w:val="001B35F9"/>
    <w:rsid w:val="001B3F44"/>
    <w:rsid w:val="001B4E9F"/>
    <w:rsid w:val="001B5879"/>
    <w:rsid w:val="001B5B0B"/>
    <w:rsid w:val="001B5F4A"/>
    <w:rsid w:val="001B67D9"/>
    <w:rsid w:val="001B68C9"/>
    <w:rsid w:val="001B6A0C"/>
    <w:rsid w:val="001B73C2"/>
    <w:rsid w:val="001C06B6"/>
    <w:rsid w:val="001C16BD"/>
    <w:rsid w:val="001C1BBA"/>
    <w:rsid w:val="001C1C67"/>
    <w:rsid w:val="001C22E0"/>
    <w:rsid w:val="001C248B"/>
    <w:rsid w:val="001C25EE"/>
    <w:rsid w:val="001C28E5"/>
    <w:rsid w:val="001C3582"/>
    <w:rsid w:val="001C4997"/>
    <w:rsid w:val="001C4CF7"/>
    <w:rsid w:val="001C51BD"/>
    <w:rsid w:val="001C5239"/>
    <w:rsid w:val="001C6734"/>
    <w:rsid w:val="001C6AE8"/>
    <w:rsid w:val="001C7869"/>
    <w:rsid w:val="001C7C4B"/>
    <w:rsid w:val="001D07DA"/>
    <w:rsid w:val="001D0D53"/>
    <w:rsid w:val="001D1054"/>
    <w:rsid w:val="001D1472"/>
    <w:rsid w:val="001D24C8"/>
    <w:rsid w:val="001D29A9"/>
    <w:rsid w:val="001D2CDD"/>
    <w:rsid w:val="001D394E"/>
    <w:rsid w:val="001D45BA"/>
    <w:rsid w:val="001D48FD"/>
    <w:rsid w:val="001D5075"/>
    <w:rsid w:val="001D562E"/>
    <w:rsid w:val="001D5865"/>
    <w:rsid w:val="001D5FB1"/>
    <w:rsid w:val="001D5FEA"/>
    <w:rsid w:val="001D6549"/>
    <w:rsid w:val="001D6744"/>
    <w:rsid w:val="001E01B8"/>
    <w:rsid w:val="001E0E89"/>
    <w:rsid w:val="001E0FA8"/>
    <w:rsid w:val="001E1525"/>
    <w:rsid w:val="001E19B0"/>
    <w:rsid w:val="001E1A5D"/>
    <w:rsid w:val="001E1BF1"/>
    <w:rsid w:val="001E2DBF"/>
    <w:rsid w:val="001E2E17"/>
    <w:rsid w:val="001E3173"/>
    <w:rsid w:val="001E4128"/>
    <w:rsid w:val="001E414A"/>
    <w:rsid w:val="001E4A49"/>
    <w:rsid w:val="001E4DFD"/>
    <w:rsid w:val="001E71BC"/>
    <w:rsid w:val="001E72E5"/>
    <w:rsid w:val="001E74AB"/>
    <w:rsid w:val="001F00D3"/>
    <w:rsid w:val="001F03DE"/>
    <w:rsid w:val="001F0625"/>
    <w:rsid w:val="001F0735"/>
    <w:rsid w:val="001F10A8"/>
    <w:rsid w:val="001F139F"/>
    <w:rsid w:val="001F1FE1"/>
    <w:rsid w:val="001F2C5F"/>
    <w:rsid w:val="001F3616"/>
    <w:rsid w:val="001F3BC6"/>
    <w:rsid w:val="001F3F3A"/>
    <w:rsid w:val="001F41A5"/>
    <w:rsid w:val="001F44A5"/>
    <w:rsid w:val="001F480B"/>
    <w:rsid w:val="001F4A65"/>
    <w:rsid w:val="001F50F0"/>
    <w:rsid w:val="001F6100"/>
    <w:rsid w:val="001F62E0"/>
    <w:rsid w:val="001F669D"/>
    <w:rsid w:val="001F7F62"/>
    <w:rsid w:val="0020077E"/>
    <w:rsid w:val="0020114B"/>
    <w:rsid w:val="00201581"/>
    <w:rsid w:val="002036D0"/>
    <w:rsid w:val="0020391B"/>
    <w:rsid w:val="00203EC8"/>
    <w:rsid w:val="00204B0A"/>
    <w:rsid w:val="00204C64"/>
    <w:rsid w:val="00204D1F"/>
    <w:rsid w:val="00205B6A"/>
    <w:rsid w:val="00206119"/>
    <w:rsid w:val="00206DC0"/>
    <w:rsid w:val="00210950"/>
    <w:rsid w:val="00212115"/>
    <w:rsid w:val="0021235C"/>
    <w:rsid w:val="002124ED"/>
    <w:rsid w:val="00212AA6"/>
    <w:rsid w:val="0021336C"/>
    <w:rsid w:val="00213492"/>
    <w:rsid w:val="00213FEE"/>
    <w:rsid w:val="00214283"/>
    <w:rsid w:val="002142A5"/>
    <w:rsid w:val="002142DE"/>
    <w:rsid w:val="00214FBB"/>
    <w:rsid w:val="002151E9"/>
    <w:rsid w:val="002153A2"/>
    <w:rsid w:val="002158D8"/>
    <w:rsid w:val="002161BD"/>
    <w:rsid w:val="0021628A"/>
    <w:rsid w:val="00216814"/>
    <w:rsid w:val="002175E8"/>
    <w:rsid w:val="00217865"/>
    <w:rsid w:val="00220BAA"/>
    <w:rsid w:val="002216D6"/>
    <w:rsid w:val="002230BA"/>
    <w:rsid w:val="00223471"/>
    <w:rsid w:val="00224A50"/>
    <w:rsid w:val="00225137"/>
    <w:rsid w:val="002251B6"/>
    <w:rsid w:val="00225842"/>
    <w:rsid w:val="002260A3"/>
    <w:rsid w:val="00226692"/>
    <w:rsid w:val="002269C5"/>
    <w:rsid w:val="0023036E"/>
    <w:rsid w:val="00231128"/>
    <w:rsid w:val="00231608"/>
    <w:rsid w:val="00231A22"/>
    <w:rsid w:val="00233535"/>
    <w:rsid w:val="00233789"/>
    <w:rsid w:val="00234462"/>
    <w:rsid w:val="0023528E"/>
    <w:rsid w:val="002358F5"/>
    <w:rsid w:val="00235A69"/>
    <w:rsid w:val="00235E33"/>
    <w:rsid w:val="0023760E"/>
    <w:rsid w:val="00237FE4"/>
    <w:rsid w:val="00237FEF"/>
    <w:rsid w:val="00240261"/>
    <w:rsid w:val="00240879"/>
    <w:rsid w:val="00241730"/>
    <w:rsid w:val="00241788"/>
    <w:rsid w:val="002424E3"/>
    <w:rsid w:val="00242FF5"/>
    <w:rsid w:val="002436D5"/>
    <w:rsid w:val="00244824"/>
    <w:rsid w:val="00244A91"/>
    <w:rsid w:val="00244B75"/>
    <w:rsid w:val="00244FD3"/>
    <w:rsid w:val="00245838"/>
    <w:rsid w:val="00245BFC"/>
    <w:rsid w:val="0024617E"/>
    <w:rsid w:val="00246613"/>
    <w:rsid w:val="00246717"/>
    <w:rsid w:val="00247494"/>
    <w:rsid w:val="002479F6"/>
    <w:rsid w:val="00247F24"/>
    <w:rsid w:val="002500B5"/>
    <w:rsid w:val="00250920"/>
    <w:rsid w:val="00251756"/>
    <w:rsid w:val="0025183B"/>
    <w:rsid w:val="00251897"/>
    <w:rsid w:val="002528CB"/>
    <w:rsid w:val="0025340C"/>
    <w:rsid w:val="002540F1"/>
    <w:rsid w:val="00254BC3"/>
    <w:rsid w:val="0025509E"/>
    <w:rsid w:val="002551CC"/>
    <w:rsid w:val="00255A6D"/>
    <w:rsid w:val="00255D05"/>
    <w:rsid w:val="00256324"/>
    <w:rsid w:val="0025687B"/>
    <w:rsid w:val="002568EC"/>
    <w:rsid w:val="002570BC"/>
    <w:rsid w:val="00257905"/>
    <w:rsid w:val="00257ACB"/>
    <w:rsid w:val="00257CB0"/>
    <w:rsid w:val="00257FFA"/>
    <w:rsid w:val="002603A6"/>
    <w:rsid w:val="00261349"/>
    <w:rsid w:val="00262004"/>
    <w:rsid w:val="0026248C"/>
    <w:rsid w:val="00262DA2"/>
    <w:rsid w:val="002633E8"/>
    <w:rsid w:val="00264683"/>
    <w:rsid w:val="00264762"/>
    <w:rsid w:val="00264E2D"/>
    <w:rsid w:val="002650EB"/>
    <w:rsid w:val="00265214"/>
    <w:rsid w:val="0026592E"/>
    <w:rsid w:val="00267807"/>
    <w:rsid w:val="002704F6"/>
    <w:rsid w:val="0027117D"/>
    <w:rsid w:val="002713DF"/>
    <w:rsid w:val="002715A4"/>
    <w:rsid w:val="0027188E"/>
    <w:rsid w:val="002719E7"/>
    <w:rsid w:val="00271E08"/>
    <w:rsid w:val="00271E1C"/>
    <w:rsid w:val="0027201C"/>
    <w:rsid w:val="0027224D"/>
    <w:rsid w:val="00273BCD"/>
    <w:rsid w:val="00273C0D"/>
    <w:rsid w:val="002765FC"/>
    <w:rsid w:val="00276A3B"/>
    <w:rsid w:val="0027793B"/>
    <w:rsid w:val="00280E51"/>
    <w:rsid w:val="00281BE0"/>
    <w:rsid w:val="002827A7"/>
    <w:rsid w:val="00282A9F"/>
    <w:rsid w:val="00282C27"/>
    <w:rsid w:val="002842BC"/>
    <w:rsid w:val="00284D5E"/>
    <w:rsid w:val="00285554"/>
    <w:rsid w:val="002855EF"/>
    <w:rsid w:val="002856EB"/>
    <w:rsid w:val="00286461"/>
    <w:rsid w:val="00286775"/>
    <w:rsid w:val="0028688E"/>
    <w:rsid w:val="00287758"/>
    <w:rsid w:val="00287CDB"/>
    <w:rsid w:val="002908C7"/>
    <w:rsid w:val="00290D57"/>
    <w:rsid w:val="002914A5"/>
    <w:rsid w:val="0029163E"/>
    <w:rsid w:val="002923FA"/>
    <w:rsid w:val="00292D4A"/>
    <w:rsid w:val="0029328E"/>
    <w:rsid w:val="00293D9F"/>
    <w:rsid w:val="00294191"/>
    <w:rsid w:val="002946AC"/>
    <w:rsid w:val="0029519E"/>
    <w:rsid w:val="00295334"/>
    <w:rsid w:val="002956D8"/>
    <w:rsid w:val="00295998"/>
    <w:rsid w:val="00297489"/>
    <w:rsid w:val="00297EFE"/>
    <w:rsid w:val="002A0017"/>
    <w:rsid w:val="002A0866"/>
    <w:rsid w:val="002A08C5"/>
    <w:rsid w:val="002A0B7C"/>
    <w:rsid w:val="002A14F0"/>
    <w:rsid w:val="002A1F06"/>
    <w:rsid w:val="002A2671"/>
    <w:rsid w:val="002A374C"/>
    <w:rsid w:val="002A3B6F"/>
    <w:rsid w:val="002A3FE5"/>
    <w:rsid w:val="002A4F69"/>
    <w:rsid w:val="002A571E"/>
    <w:rsid w:val="002A6BF9"/>
    <w:rsid w:val="002A6C58"/>
    <w:rsid w:val="002A7847"/>
    <w:rsid w:val="002A79B6"/>
    <w:rsid w:val="002A7B3A"/>
    <w:rsid w:val="002B0127"/>
    <w:rsid w:val="002B053F"/>
    <w:rsid w:val="002B1273"/>
    <w:rsid w:val="002B138D"/>
    <w:rsid w:val="002B31DF"/>
    <w:rsid w:val="002B34AD"/>
    <w:rsid w:val="002B52C0"/>
    <w:rsid w:val="002B535B"/>
    <w:rsid w:val="002B54E0"/>
    <w:rsid w:val="002B55D5"/>
    <w:rsid w:val="002B5654"/>
    <w:rsid w:val="002B5DDC"/>
    <w:rsid w:val="002B6419"/>
    <w:rsid w:val="002B692C"/>
    <w:rsid w:val="002B6B21"/>
    <w:rsid w:val="002B775D"/>
    <w:rsid w:val="002C00F5"/>
    <w:rsid w:val="002C0179"/>
    <w:rsid w:val="002C068B"/>
    <w:rsid w:val="002C1306"/>
    <w:rsid w:val="002C1399"/>
    <w:rsid w:val="002C147E"/>
    <w:rsid w:val="002C233D"/>
    <w:rsid w:val="002C2891"/>
    <w:rsid w:val="002C3001"/>
    <w:rsid w:val="002C3907"/>
    <w:rsid w:val="002C3F80"/>
    <w:rsid w:val="002C42EE"/>
    <w:rsid w:val="002C44F3"/>
    <w:rsid w:val="002C4A5F"/>
    <w:rsid w:val="002C4C41"/>
    <w:rsid w:val="002C5D25"/>
    <w:rsid w:val="002C5E41"/>
    <w:rsid w:val="002C67D2"/>
    <w:rsid w:val="002C682D"/>
    <w:rsid w:val="002C79B9"/>
    <w:rsid w:val="002C7A7C"/>
    <w:rsid w:val="002D0356"/>
    <w:rsid w:val="002D08FF"/>
    <w:rsid w:val="002D18E8"/>
    <w:rsid w:val="002D21F1"/>
    <w:rsid w:val="002D27AC"/>
    <w:rsid w:val="002D27DC"/>
    <w:rsid w:val="002D332E"/>
    <w:rsid w:val="002D3750"/>
    <w:rsid w:val="002D3E67"/>
    <w:rsid w:val="002D4595"/>
    <w:rsid w:val="002D4C23"/>
    <w:rsid w:val="002D5066"/>
    <w:rsid w:val="002D636E"/>
    <w:rsid w:val="002D6571"/>
    <w:rsid w:val="002D67A0"/>
    <w:rsid w:val="002D7E8F"/>
    <w:rsid w:val="002E0F8F"/>
    <w:rsid w:val="002E176F"/>
    <w:rsid w:val="002E1BD0"/>
    <w:rsid w:val="002E1DC8"/>
    <w:rsid w:val="002E1E6A"/>
    <w:rsid w:val="002E2204"/>
    <w:rsid w:val="002E2329"/>
    <w:rsid w:val="002E26B4"/>
    <w:rsid w:val="002E27F9"/>
    <w:rsid w:val="002E28B2"/>
    <w:rsid w:val="002E2BC6"/>
    <w:rsid w:val="002E2EC2"/>
    <w:rsid w:val="002E2FB2"/>
    <w:rsid w:val="002E3DB9"/>
    <w:rsid w:val="002E4DAC"/>
    <w:rsid w:val="002E57C3"/>
    <w:rsid w:val="002E6BE6"/>
    <w:rsid w:val="002E6F80"/>
    <w:rsid w:val="002E7C19"/>
    <w:rsid w:val="002F0183"/>
    <w:rsid w:val="002F084A"/>
    <w:rsid w:val="002F0B57"/>
    <w:rsid w:val="002F0FA6"/>
    <w:rsid w:val="002F18C7"/>
    <w:rsid w:val="002F1AF5"/>
    <w:rsid w:val="002F25C7"/>
    <w:rsid w:val="002F3260"/>
    <w:rsid w:val="002F4282"/>
    <w:rsid w:val="002F4B1F"/>
    <w:rsid w:val="002F5631"/>
    <w:rsid w:val="002F563A"/>
    <w:rsid w:val="002F5D80"/>
    <w:rsid w:val="002F5F9C"/>
    <w:rsid w:val="002F7D99"/>
    <w:rsid w:val="002F7E13"/>
    <w:rsid w:val="003003F5"/>
    <w:rsid w:val="00300ADC"/>
    <w:rsid w:val="00301B3D"/>
    <w:rsid w:val="00302A7C"/>
    <w:rsid w:val="00303548"/>
    <w:rsid w:val="00304387"/>
    <w:rsid w:val="0030489F"/>
    <w:rsid w:val="00304CDD"/>
    <w:rsid w:val="00305087"/>
    <w:rsid w:val="0030524B"/>
    <w:rsid w:val="003053E0"/>
    <w:rsid w:val="00305633"/>
    <w:rsid w:val="00305E10"/>
    <w:rsid w:val="003060F7"/>
    <w:rsid w:val="00306615"/>
    <w:rsid w:val="00306B3D"/>
    <w:rsid w:val="003100CB"/>
    <w:rsid w:val="00310A0A"/>
    <w:rsid w:val="00311193"/>
    <w:rsid w:val="003116D0"/>
    <w:rsid w:val="00311995"/>
    <w:rsid w:val="00313FBF"/>
    <w:rsid w:val="00314467"/>
    <w:rsid w:val="00314C4C"/>
    <w:rsid w:val="0031509E"/>
    <w:rsid w:val="003154F0"/>
    <w:rsid w:val="0031623E"/>
    <w:rsid w:val="00317071"/>
    <w:rsid w:val="00317AE6"/>
    <w:rsid w:val="00320274"/>
    <w:rsid w:val="003208BE"/>
    <w:rsid w:val="00322484"/>
    <w:rsid w:val="00322494"/>
    <w:rsid w:val="003227F7"/>
    <w:rsid w:val="00323BB4"/>
    <w:rsid w:val="00323ED6"/>
    <w:rsid w:val="00323F5C"/>
    <w:rsid w:val="00324F8D"/>
    <w:rsid w:val="0032785C"/>
    <w:rsid w:val="0033229A"/>
    <w:rsid w:val="00333013"/>
    <w:rsid w:val="00333473"/>
    <w:rsid w:val="00334467"/>
    <w:rsid w:val="003349ED"/>
    <w:rsid w:val="00334EC4"/>
    <w:rsid w:val="00335089"/>
    <w:rsid w:val="00335B93"/>
    <w:rsid w:val="00335C98"/>
    <w:rsid w:val="0033748A"/>
    <w:rsid w:val="0033765C"/>
    <w:rsid w:val="00337F67"/>
    <w:rsid w:val="00340266"/>
    <w:rsid w:val="00340698"/>
    <w:rsid w:val="00341BB1"/>
    <w:rsid w:val="00341BE0"/>
    <w:rsid w:val="00341CB8"/>
    <w:rsid w:val="00341DA5"/>
    <w:rsid w:val="003420AF"/>
    <w:rsid w:val="00342221"/>
    <w:rsid w:val="00342768"/>
    <w:rsid w:val="00342BB3"/>
    <w:rsid w:val="00342EA3"/>
    <w:rsid w:val="00342EE7"/>
    <w:rsid w:val="00342F57"/>
    <w:rsid w:val="00344097"/>
    <w:rsid w:val="00344D53"/>
    <w:rsid w:val="003459C1"/>
    <w:rsid w:val="00345DA1"/>
    <w:rsid w:val="00345EB5"/>
    <w:rsid w:val="00345FB5"/>
    <w:rsid w:val="00346349"/>
    <w:rsid w:val="0034669A"/>
    <w:rsid w:val="00346857"/>
    <w:rsid w:val="00347262"/>
    <w:rsid w:val="003500B6"/>
    <w:rsid w:val="003500C5"/>
    <w:rsid w:val="003501DD"/>
    <w:rsid w:val="00350499"/>
    <w:rsid w:val="00350A9A"/>
    <w:rsid w:val="00351BC0"/>
    <w:rsid w:val="00351C0F"/>
    <w:rsid w:val="003521A5"/>
    <w:rsid w:val="00352348"/>
    <w:rsid w:val="003527F6"/>
    <w:rsid w:val="00352C00"/>
    <w:rsid w:val="00352F82"/>
    <w:rsid w:val="003530CC"/>
    <w:rsid w:val="00353213"/>
    <w:rsid w:val="00353735"/>
    <w:rsid w:val="00353BBC"/>
    <w:rsid w:val="00353C88"/>
    <w:rsid w:val="00353E40"/>
    <w:rsid w:val="00354B38"/>
    <w:rsid w:val="00354C17"/>
    <w:rsid w:val="00354FD2"/>
    <w:rsid w:val="00355519"/>
    <w:rsid w:val="00356AB6"/>
    <w:rsid w:val="00357346"/>
    <w:rsid w:val="00357A0F"/>
    <w:rsid w:val="00357FD3"/>
    <w:rsid w:val="0036024F"/>
    <w:rsid w:val="00360894"/>
    <w:rsid w:val="00360F2D"/>
    <w:rsid w:val="00360F57"/>
    <w:rsid w:val="00361764"/>
    <w:rsid w:val="00361CB5"/>
    <w:rsid w:val="00362932"/>
    <w:rsid w:val="0036391C"/>
    <w:rsid w:val="00363AE8"/>
    <w:rsid w:val="00363B5D"/>
    <w:rsid w:val="003641D8"/>
    <w:rsid w:val="00364584"/>
    <w:rsid w:val="00364AD1"/>
    <w:rsid w:val="00365834"/>
    <w:rsid w:val="00365B71"/>
    <w:rsid w:val="00366648"/>
    <w:rsid w:val="0036676E"/>
    <w:rsid w:val="00366B64"/>
    <w:rsid w:val="00366D36"/>
    <w:rsid w:val="00366E17"/>
    <w:rsid w:val="00367EDE"/>
    <w:rsid w:val="00370434"/>
    <w:rsid w:val="00370736"/>
    <w:rsid w:val="00370B46"/>
    <w:rsid w:val="00370DBA"/>
    <w:rsid w:val="00371561"/>
    <w:rsid w:val="00372505"/>
    <w:rsid w:val="00372A5F"/>
    <w:rsid w:val="00372C13"/>
    <w:rsid w:val="003736C8"/>
    <w:rsid w:val="00373CD6"/>
    <w:rsid w:val="00373FF3"/>
    <w:rsid w:val="003745BA"/>
    <w:rsid w:val="003745F0"/>
    <w:rsid w:val="00374EA5"/>
    <w:rsid w:val="00375593"/>
    <w:rsid w:val="00375C6D"/>
    <w:rsid w:val="00375E01"/>
    <w:rsid w:val="0037666B"/>
    <w:rsid w:val="00376E73"/>
    <w:rsid w:val="00380562"/>
    <w:rsid w:val="00380C92"/>
    <w:rsid w:val="003811C0"/>
    <w:rsid w:val="0038164B"/>
    <w:rsid w:val="00381679"/>
    <w:rsid w:val="003825A8"/>
    <w:rsid w:val="00382649"/>
    <w:rsid w:val="003827AD"/>
    <w:rsid w:val="00382C96"/>
    <w:rsid w:val="00382EBF"/>
    <w:rsid w:val="00383900"/>
    <w:rsid w:val="00383AF6"/>
    <w:rsid w:val="00383C37"/>
    <w:rsid w:val="003842B2"/>
    <w:rsid w:val="0038446D"/>
    <w:rsid w:val="0038478E"/>
    <w:rsid w:val="00384BF0"/>
    <w:rsid w:val="00385298"/>
    <w:rsid w:val="003854A0"/>
    <w:rsid w:val="00387991"/>
    <w:rsid w:val="00390436"/>
    <w:rsid w:val="00390928"/>
    <w:rsid w:val="00390C38"/>
    <w:rsid w:val="00391660"/>
    <w:rsid w:val="00391ADA"/>
    <w:rsid w:val="00391DE7"/>
    <w:rsid w:val="00391F0C"/>
    <w:rsid w:val="003923F6"/>
    <w:rsid w:val="003936B1"/>
    <w:rsid w:val="0039503F"/>
    <w:rsid w:val="003950DE"/>
    <w:rsid w:val="00395583"/>
    <w:rsid w:val="00395B0E"/>
    <w:rsid w:val="00395CD3"/>
    <w:rsid w:val="00395FFB"/>
    <w:rsid w:val="00396925"/>
    <w:rsid w:val="00396987"/>
    <w:rsid w:val="00397180"/>
    <w:rsid w:val="00397EBE"/>
    <w:rsid w:val="003A2571"/>
    <w:rsid w:val="003A28AA"/>
    <w:rsid w:val="003A2A38"/>
    <w:rsid w:val="003A376C"/>
    <w:rsid w:val="003A3875"/>
    <w:rsid w:val="003A3A60"/>
    <w:rsid w:val="003A3D3B"/>
    <w:rsid w:val="003A42AB"/>
    <w:rsid w:val="003A557B"/>
    <w:rsid w:val="003A5A8F"/>
    <w:rsid w:val="003A6376"/>
    <w:rsid w:val="003A6818"/>
    <w:rsid w:val="003A6D1E"/>
    <w:rsid w:val="003A700D"/>
    <w:rsid w:val="003A7472"/>
    <w:rsid w:val="003B0E5F"/>
    <w:rsid w:val="003B1EDD"/>
    <w:rsid w:val="003B24D1"/>
    <w:rsid w:val="003B2ED8"/>
    <w:rsid w:val="003B3179"/>
    <w:rsid w:val="003B4686"/>
    <w:rsid w:val="003B512C"/>
    <w:rsid w:val="003B5A0E"/>
    <w:rsid w:val="003B648F"/>
    <w:rsid w:val="003B721E"/>
    <w:rsid w:val="003B74AC"/>
    <w:rsid w:val="003B7EB1"/>
    <w:rsid w:val="003C0275"/>
    <w:rsid w:val="003C0804"/>
    <w:rsid w:val="003C0DF2"/>
    <w:rsid w:val="003C1598"/>
    <w:rsid w:val="003C168A"/>
    <w:rsid w:val="003C1B3E"/>
    <w:rsid w:val="003C1EFE"/>
    <w:rsid w:val="003C29DE"/>
    <w:rsid w:val="003C347B"/>
    <w:rsid w:val="003C3535"/>
    <w:rsid w:val="003C4421"/>
    <w:rsid w:val="003C492C"/>
    <w:rsid w:val="003C4C4D"/>
    <w:rsid w:val="003C6378"/>
    <w:rsid w:val="003C6394"/>
    <w:rsid w:val="003C64F4"/>
    <w:rsid w:val="003C6B3C"/>
    <w:rsid w:val="003C6B86"/>
    <w:rsid w:val="003C6E1A"/>
    <w:rsid w:val="003C74F3"/>
    <w:rsid w:val="003C7652"/>
    <w:rsid w:val="003D001F"/>
    <w:rsid w:val="003D1695"/>
    <w:rsid w:val="003D1776"/>
    <w:rsid w:val="003D1B95"/>
    <w:rsid w:val="003D29FF"/>
    <w:rsid w:val="003D3C52"/>
    <w:rsid w:val="003D4D72"/>
    <w:rsid w:val="003D57FE"/>
    <w:rsid w:val="003D5BFC"/>
    <w:rsid w:val="003D635D"/>
    <w:rsid w:val="003D6395"/>
    <w:rsid w:val="003D6CF3"/>
    <w:rsid w:val="003D6E61"/>
    <w:rsid w:val="003D7750"/>
    <w:rsid w:val="003D7D68"/>
    <w:rsid w:val="003D7F05"/>
    <w:rsid w:val="003D7F74"/>
    <w:rsid w:val="003E02D6"/>
    <w:rsid w:val="003E1D69"/>
    <w:rsid w:val="003E244F"/>
    <w:rsid w:val="003E2C6E"/>
    <w:rsid w:val="003E3326"/>
    <w:rsid w:val="003E4384"/>
    <w:rsid w:val="003E4903"/>
    <w:rsid w:val="003E4BC9"/>
    <w:rsid w:val="003E52FE"/>
    <w:rsid w:val="003E55B5"/>
    <w:rsid w:val="003E55D0"/>
    <w:rsid w:val="003E5C46"/>
    <w:rsid w:val="003E5D3C"/>
    <w:rsid w:val="003E6D01"/>
    <w:rsid w:val="003E7328"/>
    <w:rsid w:val="003F14A6"/>
    <w:rsid w:val="003F1598"/>
    <w:rsid w:val="003F2264"/>
    <w:rsid w:val="003F2335"/>
    <w:rsid w:val="003F2482"/>
    <w:rsid w:val="003F279D"/>
    <w:rsid w:val="003F2B63"/>
    <w:rsid w:val="003F2C5E"/>
    <w:rsid w:val="003F402A"/>
    <w:rsid w:val="003F4606"/>
    <w:rsid w:val="003F48B5"/>
    <w:rsid w:val="003F6ADA"/>
    <w:rsid w:val="003F6D87"/>
    <w:rsid w:val="003F7B13"/>
    <w:rsid w:val="004003CF"/>
    <w:rsid w:val="00400991"/>
    <w:rsid w:val="0040129D"/>
    <w:rsid w:val="00401766"/>
    <w:rsid w:val="00402486"/>
    <w:rsid w:val="00402687"/>
    <w:rsid w:val="00402734"/>
    <w:rsid w:val="004029D9"/>
    <w:rsid w:val="00402C69"/>
    <w:rsid w:val="00403231"/>
    <w:rsid w:val="00403A58"/>
    <w:rsid w:val="00403FD2"/>
    <w:rsid w:val="00404313"/>
    <w:rsid w:val="004044D0"/>
    <w:rsid w:val="004046D7"/>
    <w:rsid w:val="00404883"/>
    <w:rsid w:val="00404916"/>
    <w:rsid w:val="00404C0C"/>
    <w:rsid w:val="00406238"/>
    <w:rsid w:val="0040662E"/>
    <w:rsid w:val="00406646"/>
    <w:rsid w:val="00407A84"/>
    <w:rsid w:val="0041053C"/>
    <w:rsid w:val="00410F8B"/>
    <w:rsid w:val="004115D4"/>
    <w:rsid w:val="00411D39"/>
    <w:rsid w:val="004125B5"/>
    <w:rsid w:val="004129DA"/>
    <w:rsid w:val="00413C59"/>
    <w:rsid w:val="00413D19"/>
    <w:rsid w:val="004146C6"/>
    <w:rsid w:val="0041509E"/>
    <w:rsid w:val="00415323"/>
    <w:rsid w:val="004158DE"/>
    <w:rsid w:val="00415A06"/>
    <w:rsid w:val="00416106"/>
    <w:rsid w:val="0041610F"/>
    <w:rsid w:val="00416347"/>
    <w:rsid w:val="00416B5E"/>
    <w:rsid w:val="0041723A"/>
    <w:rsid w:val="00417E2E"/>
    <w:rsid w:val="004201B3"/>
    <w:rsid w:val="00420EE7"/>
    <w:rsid w:val="00421018"/>
    <w:rsid w:val="00421073"/>
    <w:rsid w:val="00421E51"/>
    <w:rsid w:val="00422BD4"/>
    <w:rsid w:val="00422D64"/>
    <w:rsid w:val="00423137"/>
    <w:rsid w:val="00423157"/>
    <w:rsid w:val="0042343A"/>
    <w:rsid w:val="004234C8"/>
    <w:rsid w:val="004241CF"/>
    <w:rsid w:val="00424D14"/>
    <w:rsid w:val="00424FDF"/>
    <w:rsid w:val="00425693"/>
    <w:rsid w:val="00425955"/>
    <w:rsid w:val="0042610F"/>
    <w:rsid w:val="0042641B"/>
    <w:rsid w:val="00426F4A"/>
    <w:rsid w:val="0043083C"/>
    <w:rsid w:val="004310C4"/>
    <w:rsid w:val="0043158D"/>
    <w:rsid w:val="004317B4"/>
    <w:rsid w:val="004318D3"/>
    <w:rsid w:val="00433C19"/>
    <w:rsid w:val="004348FB"/>
    <w:rsid w:val="00434CFE"/>
    <w:rsid w:val="00434D8E"/>
    <w:rsid w:val="004353CD"/>
    <w:rsid w:val="0043543D"/>
    <w:rsid w:val="00435E08"/>
    <w:rsid w:val="00435E1A"/>
    <w:rsid w:val="0043625B"/>
    <w:rsid w:val="00436A03"/>
    <w:rsid w:val="00437330"/>
    <w:rsid w:val="00437C78"/>
    <w:rsid w:val="00441338"/>
    <w:rsid w:val="004416C1"/>
    <w:rsid w:val="004422C3"/>
    <w:rsid w:val="00442E89"/>
    <w:rsid w:val="004438CB"/>
    <w:rsid w:val="00443A1C"/>
    <w:rsid w:val="00443A61"/>
    <w:rsid w:val="00444F30"/>
    <w:rsid w:val="0044547C"/>
    <w:rsid w:val="00445671"/>
    <w:rsid w:val="0044583A"/>
    <w:rsid w:val="0044628B"/>
    <w:rsid w:val="00446C0C"/>
    <w:rsid w:val="00446F8B"/>
    <w:rsid w:val="00446FBE"/>
    <w:rsid w:val="004475A3"/>
    <w:rsid w:val="004476D9"/>
    <w:rsid w:val="00447FC2"/>
    <w:rsid w:val="00450425"/>
    <w:rsid w:val="004505EC"/>
    <w:rsid w:val="004520E5"/>
    <w:rsid w:val="004526B3"/>
    <w:rsid w:val="0045270B"/>
    <w:rsid w:val="00452B5F"/>
    <w:rsid w:val="00452E4C"/>
    <w:rsid w:val="00452E86"/>
    <w:rsid w:val="00452F79"/>
    <w:rsid w:val="00453072"/>
    <w:rsid w:val="004536BF"/>
    <w:rsid w:val="00453B1C"/>
    <w:rsid w:val="00453FF3"/>
    <w:rsid w:val="004540ED"/>
    <w:rsid w:val="004540F4"/>
    <w:rsid w:val="0045541D"/>
    <w:rsid w:val="00455EF8"/>
    <w:rsid w:val="00455F10"/>
    <w:rsid w:val="00455F2F"/>
    <w:rsid w:val="004563CF"/>
    <w:rsid w:val="0045640A"/>
    <w:rsid w:val="00456CEE"/>
    <w:rsid w:val="0046015F"/>
    <w:rsid w:val="00460262"/>
    <w:rsid w:val="00460635"/>
    <w:rsid w:val="00460CC4"/>
    <w:rsid w:val="00460CEE"/>
    <w:rsid w:val="00461481"/>
    <w:rsid w:val="004619C3"/>
    <w:rsid w:val="004625BE"/>
    <w:rsid w:val="004625F4"/>
    <w:rsid w:val="00462FA1"/>
    <w:rsid w:val="00463085"/>
    <w:rsid w:val="0046404E"/>
    <w:rsid w:val="00464FD4"/>
    <w:rsid w:val="004651AF"/>
    <w:rsid w:val="00465EC9"/>
    <w:rsid w:val="00466001"/>
    <w:rsid w:val="0046652A"/>
    <w:rsid w:val="00466C6E"/>
    <w:rsid w:val="00470C2E"/>
    <w:rsid w:val="004710EA"/>
    <w:rsid w:val="00471218"/>
    <w:rsid w:val="004724B8"/>
    <w:rsid w:val="00472651"/>
    <w:rsid w:val="00473515"/>
    <w:rsid w:val="00473728"/>
    <w:rsid w:val="00474B33"/>
    <w:rsid w:val="0047527F"/>
    <w:rsid w:val="0047609A"/>
    <w:rsid w:val="00476375"/>
    <w:rsid w:val="004773E4"/>
    <w:rsid w:val="004811D3"/>
    <w:rsid w:val="0048121F"/>
    <w:rsid w:val="004814BE"/>
    <w:rsid w:val="004816E2"/>
    <w:rsid w:val="00482075"/>
    <w:rsid w:val="00482185"/>
    <w:rsid w:val="004827BC"/>
    <w:rsid w:val="00482B93"/>
    <w:rsid w:val="00483212"/>
    <w:rsid w:val="004832C1"/>
    <w:rsid w:val="00483C15"/>
    <w:rsid w:val="00483CBC"/>
    <w:rsid w:val="004850C4"/>
    <w:rsid w:val="00485776"/>
    <w:rsid w:val="00485837"/>
    <w:rsid w:val="00485A1A"/>
    <w:rsid w:val="00485C48"/>
    <w:rsid w:val="004860C1"/>
    <w:rsid w:val="00487600"/>
    <w:rsid w:val="00487E0F"/>
    <w:rsid w:val="00490231"/>
    <w:rsid w:val="00491194"/>
    <w:rsid w:val="00491525"/>
    <w:rsid w:val="004916E9"/>
    <w:rsid w:val="00492A92"/>
    <w:rsid w:val="0049384E"/>
    <w:rsid w:val="00493B66"/>
    <w:rsid w:val="004940D2"/>
    <w:rsid w:val="0049443F"/>
    <w:rsid w:val="004946D1"/>
    <w:rsid w:val="00494B52"/>
    <w:rsid w:val="0049546E"/>
    <w:rsid w:val="00495999"/>
    <w:rsid w:val="00495EFF"/>
    <w:rsid w:val="00495F50"/>
    <w:rsid w:val="00496DD5"/>
    <w:rsid w:val="00497128"/>
    <w:rsid w:val="004977C7"/>
    <w:rsid w:val="004A044D"/>
    <w:rsid w:val="004A05E0"/>
    <w:rsid w:val="004A0656"/>
    <w:rsid w:val="004A0AA3"/>
    <w:rsid w:val="004A0D2F"/>
    <w:rsid w:val="004A26D4"/>
    <w:rsid w:val="004A27AB"/>
    <w:rsid w:val="004A3015"/>
    <w:rsid w:val="004A3385"/>
    <w:rsid w:val="004A36E3"/>
    <w:rsid w:val="004A3BAC"/>
    <w:rsid w:val="004A55C0"/>
    <w:rsid w:val="004A6A9F"/>
    <w:rsid w:val="004A6F0C"/>
    <w:rsid w:val="004A7083"/>
    <w:rsid w:val="004A7187"/>
    <w:rsid w:val="004A72CC"/>
    <w:rsid w:val="004A7605"/>
    <w:rsid w:val="004B0DB4"/>
    <w:rsid w:val="004B141F"/>
    <w:rsid w:val="004B258B"/>
    <w:rsid w:val="004B2A7D"/>
    <w:rsid w:val="004B2F59"/>
    <w:rsid w:val="004B4461"/>
    <w:rsid w:val="004B464D"/>
    <w:rsid w:val="004B46EA"/>
    <w:rsid w:val="004B4870"/>
    <w:rsid w:val="004B514C"/>
    <w:rsid w:val="004B58C4"/>
    <w:rsid w:val="004B653D"/>
    <w:rsid w:val="004B6871"/>
    <w:rsid w:val="004B68B3"/>
    <w:rsid w:val="004B6A7A"/>
    <w:rsid w:val="004B7E2B"/>
    <w:rsid w:val="004B7EEF"/>
    <w:rsid w:val="004C09B2"/>
    <w:rsid w:val="004C1451"/>
    <w:rsid w:val="004C1E8D"/>
    <w:rsid w:val="004C2215"/>
    <w:rsid w:val="004C22BF"/>
    <w:rsid w:val="004C23D8"/>
    <w:rsid w:val="004C25A8"/>
    <w:rsid w:val="004C312D"/>
    <w:rsid w:val="004C3DE0"/>
    <w:rsid w:val="004C3F41"/>
    <w:rsid w:val="004C42A6"/>
    <w:rsid w:val="004C498B"/>
    <w:rsid w:val="004C503E"/>
    <w:rsid w:val="004C69ED"/>
    <w:rsid w:val="004C6BF2"/>
    <w:rsid w:val="004C6CC8"/>
    <w:rsid w:val="004C75F8"/>
    <w:rsid w:val="004D11B6"/>
    <w:rsid w:val="004D12B2"/>
    <w:rsid w:val="004D209F"/>
    <w:rsid w:val="004D2376"/>
    <w:rsid w:val="004D285B"/>
    <w:rsid w:val="004D2F0E"/>
    <w:rsid w:val="004D38FE"/>
    <w:rsid w:val="004D394B"/>
    <w:rsid w:val="004D3E52"/>
    <w:rsid w:val="004D430F"/>
    <w:rsid w:val="004D4393"/>
    <w:rsid w:val="004D43D1"/>
    <w:rsid w:val="004D49A9"/>
    <w:rsid w:val="004D5722"/>
    <w:rsid w:val="004D5CFC"/>
    <w:rsid w:val="004D5EC1"/>
    <w:rsid w:val="004D6B41"/>
    <w:rsid w:val="004D78B3"/>
    <w:rsid w:val="004D78CF"/>
    <w:rsid w:val="004D7C1C"/>
    <w:rsid w:val="004D7E56"/>
    <w:rsid w:val="004E0124"/>
    <w:rsid w:val="004E1A44"/>
    <w:rsid w:val="004E2127"/>
    <w:rsid w:val="004E2352"/>
    <w:rsid w:val="004E25D5"/>
    <w:rsid w:val="004E4137"/>
    <w:rsid w:val="004E4C1E"/>
    <w:rsid w:val="004E4C54"/>
    <w:rsid w:val="004E5411"/>
    <w:rsid w:val="004E6124"/>
    <w:rsid w:val="004E63BE"/>
    <w:rsid w:val="004E6925"/>
    <w:rsid w:val="004E734A"/>
    <w:rsid w:val="004E7B34"/>
    <w:rsid w:val="004F028B"/>
    <w:rsid w:val="004F08B8"/>
    <w:rsid w:val="004F0C08"/>
    <w:rsid w:val="004F0F6F"/>
    <w:rsid w:val="004F0FD4"/>
    <w:rsid w:val="004F1255"/>
    <w:rsid w:val="004F16E8"/>
    <w:rsid w:val="004F1789"/>
    <w:rsid w:val="004F22E7"/>
    <w:rsid w:val="004F263A"/>
    <w:rsid w:val="004F2B79"/>
    <w:rsid w:val="004F2BE9"/>
    <w:rsid w:val="004F2D06"/>
    <w:rsid w:val="004F315F"/>
    <w:rsid w:val="004F33F8"/>
    <w:rsid w:val="004F3AE6"/>
    <w:rsid w:val="004F3AFF"/>
    <w:rsid w:val="004F3E65"/>
    <w:rsid w:val="004F3F92"/>
    <w:rsid w:val="004F431B"/>
    <w:rsid w:val="004F43A5"/>
    <w:rsid w:val="004F44A4"/>
    <w:rsid w:val="004F4825"/>
    <w:rsid w:val="004F4B21"/>
    <w:rsid w:val="004F558B"/>
    <w:rsid w:val="004F5781"/>
    <w:rsid w:val="004F5E79"/>
    <w:rsid w:val="004F6079"/>
    <w:rsid w:val="004F60F4"/>
    <w:rsid w:val="004F6224"/>
    <w:rsid w:val="004F6F0C"/>
    <w:rsid w:val="004F7F6F"/>
    <w:rsid w:val="00500489"/>
    <w:rsid w:val="00500796"/>
    <w:rsid w:val="00500C08"/>
    <w:rsid w:val="00500C9A"/>
    <w:rsid w:val="005012D2"/>
    <w:rsid w:val="00501CBC"/>
    <w:rsid w:val="00502B66"/>
    <w:rsid w:val="005032C3"/>
    <w:rsid w:val="00503C49"/>
    <w:rsid w:val="00503D16"/>
    <w:rsid w:val="00503DFD"/>
    <w:rsid w:val="00505393"/>
    <w:rsid w:val="00505E48"/>
    <w:rsid w:val="00505E6D"/>
    <w:rsid w:val="005072E2"/>
    <w:rsid w:val="00507CEC"/>
    <w:rsid w:val="00507D41"/>
    <w:rsid w:val="00510D00"/>
    <w:rsid w:val="00510E59"/>
    <w:rsid w:val="00510F3C"/>
    <w:rsid w:val="0051221C"/>
    <w:rsid w:val="0051276D"/>
    <w:rsid w:val="00512CEC"/>
    <w:rsid w:val="00512FF2"/>
    <w:rsid w:val="00513781"/>
    <w:rsid w:val="005143F6"/>
    <w:rsid w:val="00515617"/>
    <w:rsid w:val="005204FF"/>
    <w:rsid w:val="0052079C"/>
    <w:rsid w:val="00520958"/>
    <w:rsid w:val="00520ED3"/>
    <w:rsid w:val="0052126C"/>
    <w:rsid w:val="00521309"/>
    <w:rsid w:val="00521991"/>
    <w:rsid w:val="00521D3A"/>
    <w:rsid w:val="00522133"/>
    <w:rsid w:val="00522173"/>
    <w:rsid w:val="005225D4"/>
    <w:rsid w:val="0052410D"/>
    <w:rsid w:val="00524FE8"/>
    <w:rsid w:val="00525169"/>
    <w:rsid w:val="00525341"/>
    <w:rsid w:val="00527086"/>
    <w:rsid w:val="00527123"/>
    <w:rsid w:val="005275E1"/>
    <w:rsid w:val="00530421"/>
    <w:rsid w:val="005306F5"/>
    <w:rsid w:val="00530AB4"/>
    <w:rsid w:val="00530FB5"/>
    <w:rsid w:val="00531D89"/>
    <w:rsid w:val="0053240C"/>
    <w:rsid w:val="0053358C"/>
    <w:rsid w:val="005337D8"/>
    <w:rsid w:val="00533A81"/>
    <w:rsid w:val="00533CAD"/>
    <w:rsid w:val="00534161"/>
    <w:rsid w:val="005344AC"/>
    <w:rsid w:val="00534EAA"/>
    <w:rsid w:val="0053577E"/>
    <w:rsid w:val="00535A59"/>
    <w:rsid w:val="00535FB7"/>
    <w:rsid w:val="0053657A"/>
    <w:rsid w:val="00536767"/>
    <w:rsid w:val="00536C89"/>
    <w:rsid w:val="005372D0"/>
    <w:rsid w:val="00537E43"/>
    <w:rsid w:val="005401EE"/>
    <w:rsid w:val="005404A9"/>
    <w:rsid w:val="00540770"/>
    <w:rsid w:val="00541790"/>
    <w:rsid w:val="005430AB"/>
    <w:rsid w:val="0054358F"/>
    <w:rsid w:val="00544F3C"/>
    <w:rsid w:val="00544FA0"/>
    <w:rsid w:val="00546B92"/>
    <w:rsid w:val="00547B6F"/>
    <w:rsid w:val="00547E6F"/>
    <w:rsid w:val="005514FB"/>
    <w:rsid w:val="00551F31"/>
    <w:rsid w:val="00552B20"/>
    <w:rsid w:val="005532D2"/>
    <w:rsid w:val="00553A07"/>
    <w:rsid w:val="0055488A"/>
    <w:rsid w:val="00555EE7"/>
    <w:rsid w:val="005568A6"/>
    <w:rsid w:val="005568EC"/>
    <w:rsid w:val="00556E7A"/>
    <w:rsid w:val="00557231"/>
    <w:rsid w:val="00557456"/>
    <w:rsid w:val="00557CEA"/>
    <w:rsid w:val="005602B5"/>
    <w:rsid w:val="0056047E"/>
    <w:rsid w:val="00560962"/>
    <w:rsid w:val="005614D3"/>
    <w:rsid w:val="005618EC"/>
    <w:rsid w:val="00561CB8"/>
    <w:rsid w:val="00561D3C"/>
    <w:rsid w:val="00561D78"/>
    <w:rsid w:val="0056224F"/>
    <w:rsid w:val="00562D84"/>
    <w:rsid w:val="00562E30"/>
    <w:rsid w:val="0056300D"/>
    <w:rsid w:val="0056315C"/>
    <w:rsid w:val="00563654"/>
    <w:rsid w:val="0056454B"/>
    <w:rsid w:val="00564973"/>
    <w:rsid w:val="00564E8C"/>
    <w:rsid w:val="005657E8"/>
    <w:rsid w:val="005662E5"/>
    <w:rsid w:val="005666B9"/>
    <w:rsid w:val="00566FA5"/>
    <w:rsid w:val="00566FCD"/>
    <w:rsid w:val="00567EFA"/>
    <w:rsid w:val="0057007C"/>
    <w:rsid w:val="00570725"/>
    <w:rsid w:val="005707EC"/>
    <w:rsid w:val="005724A6"/>
    <w:rsid w:val="00573694"/>
    <w:rsid w:val="005738E3"/>
    <w:rsid w:val="00574EA4"/>
    <w:rsid w:val="00575571"/>
    <w:rsid w:val="00575749"/>
    <w:rsid w:val="00575789"/>
    <w:rsid w:val="00575CAC"/>
    <w:rsid w:val="005760DE"/>
    <w:rsid w:val="0057662A"/>
    <w:rsid w:val="00576B8E"/>
    <w:rsid w:val="0057778D"/>
    <w:rsid w:val="005779C8"/>
    <w:rsid w:val="00577C7C"/>
    <w:rsid w:val="005800BA"/>
    <w:rsid w:val="0058034F"/>
    <w:rsid w:val="005803E5"/>
    <w:rsid w:val="00580F6C"/>
    <w:rsid w:val="00581830"/>
    <w:rsid w:val="0058195E"/>
    <w:rsid w:val="00581FDC"/>
    <w:rsid w:val="005829AC"/>
    <w:rsid w:val="0058380B"/>
    <w:rsid w:val="005853E3"/>
    <w:rsid w:val="0058564A"/>
    <w:rsid w:val="00585C8D"/>
    <w:rsid w:val="00585CFF"/>
    <w:rsid w:val="00585E5F"/>
    <w:rsid w:val="00586BA4"/>
    <w:rsid w:val="0059013A"/>
    <w:rsid w:val="00590EDC"/>
    <w:rsid w:val="00591488"/>
    <w:rsid w:val="00591967"/>
    <w:rsid w:val="00591A5D"/>
    <w:rsid w:val="005921BC"/>
    <w:rsid w:val="005928E3"/>
    <w:rsid w:val="0059458F"/>
    <w:rsid w:val="0059463F"/>
    <w:rsid w:val="0059492E"/>
    <w:rsid w:val="00594B13"/>
    <w:rsid w:val="0059500E"/>
    <w:rsid w:val="00595052"/>
    <w:rsid w:val="0059616F"/>
    <w:rsid w:val="00597543"/>
    <w:rsid w:val="00597BE0"/>
    <w:rsid w:val="005A16A0"/>
    <w:rsid w:val="005A1B37"/>
    <w:rsid w:val="005A1DB5"/>
    <w:rsid w:val="005A1DFA"/>
    <w:rsid w:val="005A26E1"/>
    <w:rsid w:val="005A2E57"/>
    <w:rsid w:val="005A2F76"/>
    <w:rsid w:val="005A32E2"/>
    <w:rsid w:val="005A40A2"/>
    <w:rsid w:val="005A48EF"/>
    <w:rsid w:val="005A4E3C"/>
    <w:rsid w:val="005A4FE4"/>
    <w:rsid w:val="005A511B"/>
    <w:rsid w:val="005A5484"/>
    <w:rsid w:val="005A608A"/>
    <w:rsid w:val="005A610A"/>
    <w:rsid w:val="005A7575"/>
    <w:rsid w:val="005A7B2B"/>
    <w:rsid w:val="005A7D5A"/>
    <w:rsid w:val="005A7ECD"/>
    <w:rsid w:val="005B0509"/>
    <w:rsid w:val="005B101F"/>
    <w:rsid w:val="005B183E"/>
    <w:rsid w:val="005B1F69"/>
    <w:rsid w:val="005B2BBC"/>
    <w:rsid w:val="005B2D1D"/>
    <w:rsid w:val="005B397F"/>
    <w:rsid w:val="005B39B1"/>
    <w:rsid w:val="005B3B58"/>
    <w:rsid w:val="005B4129"/>
    <w:rsid w:val="005B4520"/>
    <w:rsid w:val="005B5727"/>
    <w:rsid w:val="005B5859"/>
    <w:rsid w:val="005B5C46"/>
    <w:rsid w:val="005B711E"/>
    <w:rsid w:val="005B75E8"/>
    <w:rsid w:val="005B7C5C"/>
    <w:rsid w:val="005C1737"/>
    <w:rsid w:val="005C17F6"/>
    <w:rsid w:val="005C19C9"/>
    <w:rsid w:val="005C1ACB"/>
    <w:rsid w:val="005C1F7B"/>
    <w:rsid w:val="005C2666"/>
    <w:rsid w:val="005C279F"/>
    <w:rsid w:val="005C2965"/>
    <w:rsid w:val="005C448B"/>
    <w:rsid w:val="005C49D0"/>
    <w:rsid w:val="005C4A5E"/>
    <w:rsid w:val="005C5723"/>
    <w:rsid w:val="005C5FDA"/>
    <w:rsid w:val="005C6972"/>
    <w:rsid w:val="005C6A6B"/>
    <w:rsid w:val="005C775A"/>
    <w:rsid w:val="005C7B87"/>
    <w:rsid w:val="005D06B6"/>
    <w:rsid w:val="005D0ACF"/>
    <w:rsid w:val="005D138A"/>
    <w:rsid w:val="005D22DB"/>
    <w:rsid w:val="005D294D"/>
    <w:rsid w:val="005D306C"/>
    <w:rsid w:val="005D429F"/>
    <w:rsid w:val="005D4D60"/>
    <w:rsid w:val="005D50B2"/>
    <w:rsid w:val="005D54D8"/>
    <w:rsid w:val="005D55BC"/>
    <w:rsid w:val="005D5862"/>
    <w:rsid w:val="005D736D"/>
    <w:rsid w:val="005E102E"/>
    <w:rsid w:val="005E126B"/>
    <w:rsid w:val="005E28EF"/>
    <w:rsid w:val="005E353C"/>
    <w:rsid w:val="005E52A7"/>
    <w:rsid w:val="005E55CC"/>
    <w:rsid w:val="005E574F"/>
    <w:rsid w:val="005E5A2E"/>
    <w:rsid w:val="005E5CD0"/>
    <w:rsid w:val="005E6A00"/>
    <w:rsid w:val="005E718C"/>
    <w:rsid w:val="005E79AE"/>
    <w:rsid w:val="005F15AE"/>
    <w:rsid w:val="005F3039"/>
    <w:rsid w:val="005F56BE"/>
    <w:rsid w:val="005F59DE"/>
    <w:rsid w:val="005F6242"/>
    <w:rsid w:val="005F638B"/>
    <w:rsid w:val="005F63BF"/>
    <w:rsid w:val="005F6544"/>
    <w:rsid w:val="005F6890"/>
    <w:rsid w:val="005F6AED"/>
    <w:rsid w:val="005F785F"/>
    <w:rsid w:val="00600725"/>
    <w:rsid w:val="00600C42"/>
    <w:rsid w:val="00603079"/>
    <w:rsid w:val="00603963"/>
    <w:rsid w:val="00604130"/>
    <w:rsid w:val="00604207"/>
    <w:rsid w:val="00605223"/>
    <w:rsid w:val="00605307"/>
    <w:rsid w:val="006059EF"/>
    <w:rsid w:val="00605B07"/>
    <w:rsid w:val="006062B6"/>
    <w:rsid w:val="0060632B"/>
    <w:rsid w:val="00606438"/>
    <w:rsid w:val="0060650D"/>
    <w:rsid w:val="0060693A"/>
    <w:rsid w:val="00606957"/>
    <w:rsid w:val="00606AE1"/>
    <w:rsid w:val="00606B6A"/>
    <w:rsid w:val="00606BC3"/>
    <w:rsid w:val="00606E27"/>
    <w:rsid w:val="00607D6A"/>
    <w:rsid w:val="00610304"/>
    <w:rsid w:val="006120FC"/>
    <w:rsid w:val="00612D3C"/>
    <w:rsid w:val="006135C4"/>
    <w:rsid w:val="006139C6"/>
    <w:rsid w:val="00613AFE"/>
    <w:rsid w:val="00613F91"/>
    <w:rsid w:val="00614150"/>
    <w:rsid w:val="006145F3"/>
    <w:rsid w:val="00615286"/>
    <w:rsid w:val="00615742"/>
    <w:rsid w:val="006157FB"/>
    <w:rsid w:val="00615DD7"/>
    <w:rsid w:val="0062022E"/>
    <w:rsid w:val="0062051D"/>
    <w:rsid w:val="00620600"/>
    <w:rsid w:val="006206AF"/>
    <w:rsid w:val="00620B7C"/>
    <w:rsid w:val="00620FA4"/>
    <w:rsid w:val="0062282D"/>
    <w:rsid w:val="00622B1D"/>
    <w:rsid w:val="006236B7"/>
    <w:rsid w:val="00623D10"/>
    <w:rsid w:val="00623FC2"/>
    <w:rsid w:val="00624297"/>
    <w:rsid w:val="0062460C"/>
    <w:rsid w:val="00624686"/>
    <w:rsid w:val="006251FE"/>
    <w:rsid w:val="00625706"/>
    <w:rsid w:val="00625C89"/>
    <w:rsid w:val="006263B0"/>
    <w:rsid w:val="006271A9"/>
    <w:rsid w:val="00627641"/>
    <w:rsid w:val="00630536"/>
    <w:rsid w:val="006309C7"/>
    <w:rsid w:val="00630D1F"/>
    <w:rsid w:val="00631853"/>
    <w:rsid w:val="00631CFA"/>
    <w:rsid w:val="00632854"/>
    <w:rsid w:val="00633360"/>
    <w:rsid w:val="00633367"/>
    <w:rsid w:val="00633922"/>
    <w:rsid w:val="00634350"/>
    <w:rsid w:val="006343A8"/>
    <w:rsid w:val="00634F50"/>
    <w:rsid w:val="006352C0"/>
    <w:rsid w:val="00635B74"/>
    <w:rsid w:val="00635CBB"/>
    <w:rsid w:val="00635E39"/>
    <w:rsid w:val="006363D3"/>
    <w:rsid w:val="0063699D"/>
    <w:rsid w:val="00636EBA"/>
    <w:rsid w:val="006372C3"/>
    <w:rsid w:val="00637863"/>
    <w:rsid w:val="006379C7"/>
    <w:rsid w:val="0064088A"/>
    <w:rsid w:val="006417C5"/>
    <w:rsid w:val="0064245D"/>
    <w:rsid w:val="0064284C"/>
    <w:rsid w:val="00643060"/>
    <w:rsid w:val="006433D1"/>
    <w:rsid w:val="00644581"/>
    <w:rsid w:val="0064465D"/>
    <w:rsid w:val="00645337"/>
    <w:rsid w:val="006473EC"/>
    <w:rsid w:val="00647815"/>
    <w:rsid w:val="006505B2"/>
    <w:rsid w:val="00650B97"/>
    <w:rsid w:val="00650E12"/>
    <w:rsid w:val="006511F5"/>
    <w:rsid w:val="00651284"/>
    <w:rsid w:val="006516A7"/>
    <w:rsid w:val="00651AF0"/>
    <w:rsid w:val="00652266"/>
    <w:rsid w:val="0065241E"/>
    <w:rsid w:val="00652B0C"/>
    <w:rsid w:val="00653B9B"/>
    <w:rsid w:val="00654EBA"/>
    <w:rsid w:val="00655391"/>
    <w:rsid w:val="006554E1"/>
    <w:rsid w:val="00655B21"/>
    <w:rsid w:val="00655C98"/>
    <w:rsid w:val="00656E30"/>
    <w:rsid w:val="00656E61"/>
    <w:rsid w:val="00656F02"/>
    <w:rsid w:val="00656FAB"/>
    <w:rsid w:val="006573F6"/>
    <w:rsid w:val="00657B7A"/>
    <w:rsid w:val="00657C86"/>
    <w:rsid w:val="00660956"/>
    <w:rsid w:val="00660C9F"/>
    <w:rsid w:val="00660DBE"/>
    <w:rsid w:val="00660EB5"/>
    <w:rsid w:val="00661255"/>
    <w:rsid w:val="0066194B"/>
    <w:rsid w:val="006619E3"/>
    <w:rsid w:val="00661CF5"/>
    <w:rsid w:val="006620A8"/>
    <w:rsid w:val="0066291B"/>
    <w:rsid w:val="00662F6C"/>
    <w:rsid w:val="00663321"/>
    <w:rsid w:val="00663B53"/>
    <w:rsid w:val="00663D99"/>
    <w:rsid w:val="00664A45"/>
    <w:rsid w:val="0066543D"/>
    <w:rsid w:val="0066552B"/>
    <w:rsid w:val="006656B2"/>
    <w:rsid w:val="0066604E"/>
    <w:rsid w:val="006674F1"/>
    <w:rsid w:val="00667F61"/>
    <w:rsid w:val="00670929"/>
    <w:rsid w:val="006718C5"/>
    <w:rsid w:val="006725D0"/>
    <w:rsid w:val="00672AB4"/>
    <w:rsid w:val="00674521"/>
    <w:rsid w:val="0067515D"/>
    <w:rsid w:val="0067582F"/>
    <w:rsid w:val="006758DC"/>
    <w:rsid w:val="00675FE0"/>
    <w:rsid w:val="0067652D"/>
    <w:rsid w:val="006776B2"/>
    <w:rsid w:val="00677B81"/>
    <w:rsid w:val="00677CA2"/>
    <w:rsid w:val="00680044"/>
    <w:rsid w:val="006803D8"/>
    <w:rsid w:val="00680A20"/>
    <w:rsid w:val="00680B55"/>
    <w:rsid w:val="00680D0A"/>
    <w:rsid w:val="00681376"/>
    <w:rsid w:val="006815CD"/>
    <w:rsid w:val="0068187B"/>
    <w:rsid w:val="0068213A"/>
    <w:rsid w:val="00682468"/>
    <w:rsid w:val="00682575"/>
    <w:rsid w:val="00683769"/>
    <w:rsid w:val="00683E16"/>
    <w:rsid w:val="00683EDD"/>
    <w:rsid w:val="00684799"/>
    <w:rsid w:val="00685081"/>
    <w:rsid w:val="00685533"/>
    <w:rsid w:val="0068583C"/>
    <w:rsid w:val="006858EA"/>
    <w:rsid w:val="00686214"/>
    <w:rsid w:val="0068685F"/>
    <w:rsid w:val="00686B18"/>
    <w:rsid w:val="00686D28"/>
    <w:rsid w:val="00687A04"/>
    <w:rsid w:val="00687A47"/>
    <w:rsid w:val="00687F2D"/>
    <w:rsid w:val="00690F7F"/>
    <w:rsid w:val="00691FD6"/>
    <w:rsid w:val="00692A4C"/>
    <w:rsid w:val="0069373A"/>
    <w:rsid w:val="00694D43"/>
    <w:rsid w:val="00695C77"/>
    <w:rsid w:val="00696483"/>
    <w:rsid w:val="00697126"/>
    <w:rsid w:val="006972C6"/>
    <w:rsid w:val="0069743D"/>
    <w:rsid w:val="00697E43"/>
    <w:rsid w:val="006A0816"/>
    <w:rsid w:val="006A298F"/>
    <w:rsid w:val="006A2FF9"/>
    <w:rsid w:val="006A3DCC"/>
    <w:rsid w:val="006A4130"/>
    <w:rsid w:val="006A51F1"/>
    <w:rsid w:val="006A53E2"/>
    <w:rsid w:val="006A566B"/>
    <w:rsid w:val="006A5715"/>
    <w:rsid w:val="006A5793"/>
    <w:rsid w:val="006A63A4"/>
    <w:rsid w:val="006A6675"/>
    <w:rsid w:val="006A6688"/>
    <w:rsid w:val="006A7117"/>
    <w:rsid w:val="006A7964"/>
    <w:rsid w:val="006B1BE3"/>
    <w:rsid w:val="006B2033"/>
    <w:rsid w:val="006B208F"/>
    <w:rsid w:val="006B2595"/>
    <w:rsid w:val="006B25D2"/>
    <w:rsid w:val="006B288A"/>
    <w:rsid w:val="006B2AE9"/>
    <w:rsid w:val="006B400C"/>
    <w:rsid w:val="006B40F2"/>
    <w:rsid w:val="006B4855"/>
    <w:rsid w:val="006B49BE"/>
    <w:rsid w:val="006B5011"/>
    <w:rsid w:val="006B56E0"/>
    <w:rsid w:val="006B5A5F"/>
    <w:rsid w:val="006B5FA8"/>
    <w:rsid w:val="006B6188"/>
    <w:rsid w:val="006B62F2"/>
    <w:rsid w:val="006B6754"/>
    <w:rsid w:val="006B7618"/>
    <w:rsid w:val="006B7B02"/>
    <w:rsid w:val="006C001C"/>
    <w:rsid w:val="006C0419"/>
    <w:rsid w:val="006C095B"/>
    <w:rsid w:val="006C0AEC"/>
    <w:rsid w:val="006C0F1F"/>
    <w:rsid w:val="006C1021"/>
    <w:rsid w:val="006C1EEE"/>
    <w:rsid w:val="006C223A"/>
    <w:rsid w:val="006C2647"/>
    <w:rsid w:val="006C2791"/>
    <w:rsid w:val="006C358E"/>
    <w:rsid w:val="006C3E51"/>
    <w:rsid w:val="006C475F"/>
    <w:rsid w:val="006C4F28"/>
    <w:rsid w:val="006C4F4E"/>
    <w:rsid w:val="006C5037"/>
    <w:rsid w:val="006C5B42"/>
    <w:rsid w:val="006C6430"/>
    <w:rsid w:val="006C6955"/>
    <w:rsid w:val="006C69DE"/>
    <w:rsid w:val="006C6DE5"/>
    <w:rsid w:val="006C6E3E"/>
    <w:rsid w:val="006C6F08"/>
    <w:rsid w:val="006C75F0"/>
    <w:rsid w:val="006C76DC"/>
    <w:rsid w:val="006C77C1"/>
    <w:rsid w:val="006C7FB6"/>
    <w:rsid w:val="006D0001"/>
    <w:rsid w:val="006D00F9"/>
    <w:rsid w:val="006D012B"/>
    <w:rsid w:val="006D0B95"/>
    <w:rsid w:val="006D22E2"/>
    <w:rsid w:val="006D2912"/>
    <w:rsid w:val="006D3C4C"/>
    <w:rsid w:val="006D4131"/>
    <w:rsid w:val="006D430F"/>
    <w:rsid w:val="006D4359"/>
    <w:rsid w:val="006D4FC5"/>
    <w:rsid w:val="006D50DA"/>
    <w:rsid w:val="006D5219"/>
    <w:rsid w:val="006D6285"/>
    <w:rsid w:val="006D6A0B"/>
    <w:rsid w:val="006D70A8"/>
    <w:rsid w:val="006D7E52"/>
    <w:rsid w:val="006D7E8C"/>
    <w:rsid w:val="006E01DA"/>
    <w:rsid w:val="006E166D"/>
    <w:rsid w:val="006E18CE"/>
    <w:rsid w:val="006E1925"/>
    <w:rsid w:val="006E1AF8"/>
    <w:rsid w:val="006E24B4"/>
    <w:rsid w:val="006E39BA"/>
    <w:rsid w:val="006E3E6A"/>
    <w:rsid w:val="006E427B"/>
    <w:rsid w:val="006E43F1"/>
    <w:rsid w:val="006E4A42"/>
    <w:rsid w:val="006E4B04"/>
    <w:rsid w:val="006E50BE"/>
    <w:rsid w:val="006E593A"/>
    <w:rsid w:val="006E6F1B"/>
    <w:rsid w:val="006E7781"/>
    <w:rsid w:val="006F0827"/>
    <w:rsid w:val="006F0917"/>
    <w:rsid w:val="006F0F0A"/>
    <w:rsid w:val="006F17B3"/>
    <w:rsid w:val="006F18B2"/>
    <w:rsid w:val="006F323F"/>
    <w:rsid w:val="006F37C9"/>
    <w:rsid w:val="006F5137"/>
    <w:rsid w:val="006F5669"/>
    <w:rsid w:val="006F5B1E"/>
    <w:rsid w:val="006F5CE4"/>
    <w:rsid w:val="006F6277"/>
    <w:rsid w:val="006F63F3"/>
    <w:rsid w:val="006F6484"/>
    <w:rsid w:val="006F692E"/>
    <w:rsid w:val="006F6EE7"/>
    <w:rsid w:val="006F79CA"/>
    <w:rsid w:val="00700D2B"/>
    <w:rsid w:val="00704013"/>
    <w:rsid w:val="007043AA"/>
    <w:rsid w:val="0070472B"/>
    <w:rsid w:val="00705F46"/>
    <w:rsid w:val="007064C6"/>
    <w:rsid w:val="007065A1"/>
    <w:rsid w:val="00707309"/>
    <w:rsid w:val="007074A5"/>
    <w:rsid w:val="0070762A"/>
    <w:rsid w:val="00707C2E"/>
    <w:rsid w:val="00711654"/>
    <w:rsid w:val="00711D1E"/>
    <w:rsid w:val="007126AA"/>
    <w:rsid w:val="00712742"/>
    <w:rsid w:val="0071296C"/>
    <w:rsid w:val="007135D3"/>
    <w:rsid w:val="00713B64"/>
    <w:rsid w:val="00713C8D"/>
    <w:rsid w:val="00715053"/>
    <w:rsid w:val="00715340"/>
    <w:rsid w:val="00715863"/>
    <w:rsid w:val="00715EE8"/>
    <w:rsid w:val="00716125"/>
    <w:rsid w:val="007167E5"/>
    <w:rsid w:val="007171D8"/>
    <w:rsid w:val="00717527"/>
    <w:rsid w:val="00720539"/>
    <w:rsid w:val="0072064B"/>
    <w:rsid w:val="00721760"/>
    <w:rsid w:val="007218A5"/>
    <w:rsid w:val="00721A16"/>
    <w:rsid w:val="00721F25"/>
    <w:rsid w:val="00722395"/>
    <w:rsid w:val="007225C4"/>
    <w:rsid w:val="0072260D"/>
    <w:rsid w:val="00722DC3"/>
    <w:rsid w:val="007236F3"/>
    <w:rsid w:val="007243D0"/>
    <w:rsid w:val="00724AEA"/>
    <w:rsid w:val="007254C3"/>
    <w:rsid w:val="00725615"/>
    <w:rsid w:val="0072600E"/>
    <w:rsid w:val="007263EC"/>
    <w:rsid w:val="007267AB"/>
    <w:rsid w:val="00726865"/>
    <w:rsid w:val="00726BE1"/>
    <w:rsid w:val="00726EF9"/>
    <w:rsid w:val="007274B4"/>
    <w:rsid w:val="00727784"/>
    <w:rsid w:val="00727D72"/>
    <w:rsid w:val="007308C9"/>
    <w:rsid w:val="00730A82"/>
    <w:rsid w:val="00730B7A"/>
    <w:rsid w:val="00730C41"/>
    <w:rsid w:val="00731A3C"/>
    <w:rsid w:val="00731F2F"/>
    <w:rsid w:val="007327C0"/>
    <w:rsid w:val="0073422D"/>
    <w:rsid w:val="007348A6"/>
    <w:rsid w:val="007348CD"/>
    <w:rsid w:val="00735196"/>
    <w:rsid w:val="00735BDE"/>
    <w:rsid w:val="00735DE8"/>
    <w:rsid w:val="00735E1C"/>
    <w:rsid w:val="007369B4"/>
    <w:rsid w:val="0073701C"/>
    <w:rsid w:val="00737075"/>
    <w:rsid w:val="00737E46"/>
    <w:rsid w:val="00740222"/>
    <w:rsid w:val="00740317"/>
    <w:rsid w:val="00740425"/>
    <w:rsid w:val="007406C2"/>
    <w:rsid w:val="00740EEE"/>
    <w:rsid w:val="007410F4"/>
    <w:rsid w:val="00741CE9"/>
    <w:rsid w:val="00742026"/>
    <w:rsid w:val="00742747"/>
    <w:rsid w:val="0074281B"/>
    <w:rsid w:val="00742F6D"/>
    <w:rsid w:val="007432B5"/>
    <w:rsid w:val="00743A29"/>
    <w:rsid w:val="00744373"/>
    <w:rsid w:val="00745374"/>
    <w:rsid w:val="0074544D"/>
    <w:rsid w:val="007456FF"/>
    <w:rsid w:val="0074749C"/>
    <w:rsid w:val="00747AE2"/>
    <w:rsid w:val="007500A8"/>
    <w:rsid w:val="007510C9"/>
    <w:rsid w:val="00751E6C"/>
    <w:rsid w:val="00751F7F"/>
    <w:rsid w:val="00752515"/>
    <w:rsid w:val="0075254D"/>
    <w:rsid w:val="00752CBB"/>
    <w:rsid w:val="0075325C"/>
    <w:rsid w:val="007533D3"/>
    <w:rsid w:val="0075346A"/>
    <w:rsid w:val="00753692"/>
    <w:rsid w:val="007536B7"/>
    <w:rsid w:val="00753C1F"/>
    <w:rsid w:val="00754DEA"/>
    <w:rsid w:val="007552D2"/>
    <w:rsid w:val="007552EB"/>
    <w:rsid w:val="00755B92"/>
    <w:rsid w:val="00756802"/>
    <w:rsid w:val="0075722F"/>
    <w:rsid w:val="007572AF"/>
    <w:rsid w:val="007572B0"/>
    <w:rsid w:val="0075765A"/>
    <w:rsid w:val="00760D3B"/>
    <w:rsid w:val="00761386"/>
    <w:rsid w:val="007613DE"/>
    <w:rsid w:val="0076145D"/>
    <w:rsid w:val="00762487"/>
    <w:rsid w:val="00762ECE"/>
    <w:rsid w:val="007635A2"/>
    <w:rsid w:val="00763F8D"/>
    <w:rsid w:val="00764051"/>
    <w:rsid w:val="00764443"/>
    <w:rsid w:val="007657C9"/>
    <w:rsid w:val="00765BAE"/>
    <w:rsid w:val="00765C2E"/>
    <w:rsid w:val="00766BD6"/>
    <w:rsid w:val="00766C9B"/>
    <w:rsid w:val="00766D32"/>
    <w:rsid w:val="00767374"/>
    <w:rsid w:val="007674CC"/>
    <w:rsid w:val="0077024E"/>
    <w:rsid w:val="007703CD"/>
    <w:rsid w:val="007704A9"/>
    <w:rsid w:val="007704E4"/>
    <w:rsid w:val="00770BAA"/>
    <w:rsid w:val="0077141B"/>
    <w:rsid w:val="00772D47"/>
    <w:rsid w:val="00773073"/>
    <w:rsid w:val="00773084"/>
    <w:rsid w:val="00773B12"/>
    <w:rsid w:val="0077412D"/>
    <w:rsid w:val="00774998"/>
    <w:rsid w:val="007750CB"/>
    <w:rsid w:val="00775B67"/>
    <w:rsid w:val="007760EF"/>
    <w:rsid w:val="0077663A"/>
    <w:rsid w:val="007801EF"/>
    <w:rsid w:val="0078039E"/>
    <w:rsid w:val="00780ED6"/>
    <w:rsid w:val="00781596"/>
    <w:rsid w:val="007817BF"/>
    <w:rsid w:val="00781820"/>
    <w:rsid w:val="00781AD4"/>
    <w:rsid w:val="007820D8"/>
    <w:rsid w:val="00782978"/>
    <w:rsid w:val="0078305E"/>
    <w:rsid w:val="00783A1F"/>
    <w:rsid w:val="007846F7"/>
    <w:rsid w:val="007853D5"/>
    <w:rsid w:val="00786A78"/>
    <w:rsid w:val="00786F71"/>
    <w:rsid w:val="00790670"/>
    <w:rsid w:val="0079101E"/>
    <w:rsid w:val="00791476"/>
    <w:rsid w:val="0079170D"/>
    <w:rsid w:val="0079183D"/>
    <w:rsid w:val="00792077"/>
    <w:rsid w:val="007938D4"/>
    <w:rsid w:val="00793C29"/>
    <w:rsid w:val="007942D5"/>
    <w:rsid w:val="00794AD1"/>
    <w:rsid w:val="00794D11"/>
    <w:rsid w:val="00795BBD"/>
    <w:rsid w:val="007960E3"/>
    <w:rsid w:val="0079619D"/>
    <w:rsid w:val="00796324"/>
    <w:rsid w:val="00796537"/>
    <w:rsid w:val="007968E1"/>
    <w:rsid w:val="00797408"/>
    <w:rsid w:val="007974F4"/>
    <w:rsid w:val="00797A12"/>
    <w:rsid w:val="007A0800"/>
    <w:rsid w:val="007A0F29"/>
    <w:rsid w:val="007A25F0"/>
    <w:rsid w:val="007A3335"/>
    <w:rsid w:val="007A3D83"/>
    <w:rsid w:val="007A3ED2"/>
    <w:rsid w:val="007A4979"/>
    <w:rsid w:val="007A4DDE"/>
    <w:rsid w:val="007A5497"/>
    <w:rsid w:val="007A56F7"/>
    <w:rsid w:val="007A5D63"/>
    <w:rsid w:val="007A679D"/>
    <w:rsid w:val="007A6C19"/>
    <w:rsid w:val="007A6DDD"/>
    <w:rsid w:val="007A7367"/>
    <w:rsid w:val="007A767E"/>
    <w:rsid w:val="007A77C6"/>
    <w:rsid w:val="007A7AF4"/>
    <w:rsid w:val="007B02BD"/>
    <w:rsid w:val="007B0519"/>
    <w:rsid w:val="007B0FF7"/>
    <w:rsid w:val="007B11D8"/>
    <w:rsid w:val="007B15C5"/>
    <w:rsid w:val="007B1ABD"/>
    <w:rsid w:val="007B2AE3"/>
    <w:rsid w:val="007B3240"/>
    <w:rsid w:val="007B3305"/>
    <w:rsid w:val="007B4205"/>
    <w:rsid w:val="007B4585"/>
    <w:rsid w:val="007B4E79"/>
    <w:rsid w:val="007B5305"/>
    <w:rsid w:val="007B5824"/>
    <w:rsid w:val="007B5AA6"/>
    <w:rsid w:val="007B5AAE"/>
    <w:rsid w:val="007B653B"/>
    <w:rsid w:val="007B6B69"/>
    <w:rsid w:val="007B7891"/>
    <w:rsid w:val="007B7DBA"/>
    <w:rsid w:val="007C1670"/>
    <w:rsid w:val="007C311A"/>
    <w:rsid w:val="007C3A66"/>
    <w:rsid w:val="007C421B"/>
    <w:rsid w:val="007C484D"/>
    <w:rsid w:val="007C54A1"/>
    <w:rsid w:val="007C54F7"/>
    <w:rsid w:val="007C55C3"/>
    <w:rsid w:val="007C68FD"/>
    <w:rsid w:val="007D01BC"/>
    <w:rsid w:val="007D02C0"/>
    <w:rsid w:val="007D06FC"/>
    <w:rsid w:val="007D21E6"/>
    <w:rsid w:val="007D2487"/>
    <w:rsid w:val="007D3468"/>
    <w:rsid w:val="007D351A"/>
    <w:rsid w:val="007D37CF"/>
    <w:rsid w:val="007D4556"/>
    <w:rsid w:val="007D478C"/>
    <w:rsid w:val="007D4923"/>
    <w:rsid w:val="007D4F83"/>
    <w:rsid w:val="007D6DDF"/>
    <w:rsid w:val="007D71D6"/>
    <w:rsid w:val="007D72D9"/>
    <w:rsid w:val="007D7596"/>
    <w:rsid w:val="007E0DFC"/>
    <w:rsid w:val="007E166E"/>
    <w:rsid w:val="007E1893"/>
    <w:rsid w:val="007E1995"/>
    <w:rsid w:val="007E21B3"/>
    <w:rsid w:val="007E2242"/>
    <w:rsid w:val="007E247F"/>
    <w:rsid w:val="007E2497"/>
    <w:rsid w:val="007E2681"/>
    <w:rsid w:val="007E282A"/>
    <w:rsid w:val="007E3316"/>
    <w:rsid w:val="007E3432"/>
    <w:rsid w:val="007E3655"/>
    <w:rsid w:val="007E3673"/>
    <w:rsid w:val="007E36F7"/>
    <w:rsid w:val="007E3F99"/>
    <w:rsid w:val="007E41C7"/>
    <w:rsid w:val="007E4467"/>
    <w:rsid w:val="007E47EB"/>
    <w:rsid w:val="007E4E00"/>
    <w:rsid w:val="007E5657"/>
    <w:rsid w:val="007E5B6B"/>
    <w:rsid w:val="007E6074"/>
    <w:rsid w:val="007E60BC"/>
    <w:rsid w:val="007E7880"/>
    <w:rsid w:val="007E7DFC"/>
    <w:rsid w:val="007F02F2"/>
    <w:rsid w:val="007F04B4"/>
    <w:rsid w:val="007F0EE7"/>
    <w:rsid w:val="007F117D"/>
    <w:rsid w:val="007F28DB"/>
    <w:rsid w:val="007F29B8"/>
    <w:rsid w:val="007F2A9B"/>
    <w:rsid w:val="007F3086"/>
    <w:rsid w:val="007F3973"/>
    <w:rsid w:val="007F3A93"/>
    <w:rsid w:val="007F3F18"/>
    <w:rsid w:val="007F50B9"/>
    <w:rsid w:val="007F52D0"/>
    <w:rsid w:val="007F530A"/>
    <w:rsid w:val="007F56A9"/>
    <w:rsid w:val="007F56CC"/>
    <w:rsid w:val="007F5CFD"/>
    <w:rsid w:val="007F6220"/>
    <w:rsid w:val="007F6B26"/>
    <w:rsid w:val="007F7530"/>
    <w:rsid w:val="007F7EDD"/>
    <w:rsid w:val="0080016B"/>
    <w:rsid w:val="00800CDE"/>
    <w:rsid w:val="008018F7"/>
    <w:rsid w:val="00802490"/>
    <w:rsid w:val="00803564"/>
    <w:rsid w:val="00804000"/>
    <w:rsid w:val="00804B2E"/>
    <w:rsid w:val="0080519E"/>
    <w:rsid w:val="0080578A"/>
    <w:rsid w:val="00805C06"/>
    <w:rsid w:val="00806526"/>
    <w:rsid w:val="00807241"/>
    <w:rsid w:val="00807C47"/>
    <w:rsid w:val="00807F44"/>
    <w:rsid w:val="00810375"/>
    <w:rsid w:val="00810528"/>
    <w:rsid w:val="008109FA"/>
    <w:rsid w:val="00811184"/>
    <w:rsid w:val="00811198"/>
    <w:rsid w:val="008111F4"/>
    <w:rsid w:val="00811E50"/>
    <w:rsid w:val="00811E97"/>
    <w:rsid w:val="00811FB7"/>
    <w:rsid w:val="0081234C"/>
    <w:rsid w:val="008124A6"/>
    <w:rsid w:val="00812A86"/>
    <w:rsid w:val="00812BA3"/>
    <w:rsid w:val="00812BC9"/>
    <w:rsid w:val="0081342D"/>
    <w:rsid w:val="008136D3"/>
    <w:rsid w:val="008139C8"/>
    <w:rsid w:val="008163D4"/>
    <w:rsid w:val="00817177"/>
    <w:rsid w:val="0082023E"/>
    <w:rsid w:val="00820263"/>
    <w:rsid w:val="008203EE"/>
    <w:rsid w:val="00820A4D"/>
    <w:rsid w:val="00820B1A"/>
    <w:rsid w:val="008211F8"/>
    <w:rsid w:val="0082193A"/>
    <w:rsid w:val="00821A57"/>
    <w:rsid w:val="00822A76"/>
    <w:rsid w:val="0082421F"/>
    <w:rsid w:val="00824D55"/>
    <w:rsid w:val="008259A9"/>
    <w:rsid w:val="00825B8C"/>
    <w:rsid w:val="00825D15"/>
    <w:rsid w:val="0082631A"/>
    <w:rsid w:val="008263DF"/>
    <w:rsid w:val="00826DC2"/>
    <w:rsid w:val="008276DC"/>
    <w:rsid w:val="008279BC"/>
    <w:rsid w:val="008303AD"/>
    <w:rsid w:val="008303B2"/>
    <w:rsid w:val="0083117B"/>
    <w:rsid w:val="00832B7A"/>
    <w:rsid w:val="00833190"/>
    <w:rsid w:val="00833AE1"/>
    <w:rsid w:val="00833FBD"/>
    <w:rsid w:val="00834344"/>
    <w:rsid w:val="0083438D"/>
    <w:rsid w:val="00834408"/>
    <w:rsid w:val="00834520"/>
    <w:rsid w:val="0083493F"/>
    <w:rsid w:val="00834ABF"/>
    <w:rsid w:val="00834BD0"/>
    <w:rsid w:val="0083584F"/>
    <w:rsid w:val="008358A7"/>
    <w:rsid w:val="00835C14"/>
    <w:rsid w:val="00835F34"/>
    <w:rsid w:val="00835F6B"/>
    <w:rsid w:val="00836677"/>
    <w:rsid w:val="0083670A"/>
    <w:rsid w:val="00836D9A"/>
    <w:rsid w:val="0083769C"/>
    <w:rsid w:val="0083770C"/>
    <w:rsid w:val="00840AF7"/>
    <w:rsid w:val="00841910"/>
    <w:rsid w:val="00841BA1"/>
    <w:rsid w:val="008423E0"/>
    <w:rsid w:val="00842A6D"/>
    <w:rsid w:val="0084370F"/>
    <w:rsid w:val="00843898"/>
    <w:rsid w:val="0084406E"/>
    <w:rsid w:val="008447AB"/>
    <w:rsid w:val="00845BCA"/>
    <w:rsid w:val="00845E56"/>
    <w:rsid w:val="00846767"/>
    <w:rsid w:val="00847064"/>
    <w:rsid w:val="00847262"/>
    <w:rsid w:val="008473EF"/>
    <w:rsid w:val="00847867"/>
    <w:rsid w:val="00847D92"/>
    <w:rsid w:val="00847E9E"/>
    <w:rsid w:val="00850DFB"/>
    <w:rsid w:val="00852A4B"/>
    <w:rsid w:val="00852A88"/>
    <w:rsid w:val="00852AE0"/>
    <w:rsid w:val="00852D64"/>
    <w:rsid w:val="0085385D"/>
    <w:rsid w:val="008539AB"/>
    <w:rsid w:val="00854AAA"/>
    <w:rsid w:val="00854F83"/>
    <w:rsid w:val="00855EE1"/>
    <w:rsid w:val="00856036"/>
    <w:rsid w:val="008566C9"/>
    <w:rsid w:val="008569F8"/>
    <w:rsid w:val="00857176"/>
    <w:rsid w:val="008575D1"/>
    <w:rsid w:val="00857E99"/>
    <w:rsid w:val="00860295"/>
    <w:rsid w:val="0086153E"/>
    <w:rsid w:val="0086194E"/>
    <w:rsid w:val="008619D0"/>
    <w:rsid w:val="00861B93"/>
    <w:rsid w:val="00861DD9"/>
    <w:rsid w:val="008635DC"/>
    <w:rsid w:val="00863BF3"/>
    <w:rsid w:val="00864774"/>
    <w:rsid w:val="0086487E"/>
    <w:rsid w:val="00864FE7"/>
    <w:rsid w:val="008651F7"/>
    <w:rsid w:val="0086597A"/>
    <w:rsid w:val="00865BCD"/>
    <w:rsid w:val="00866949"/>
    <w:rsid w:val="0086745F"/>
    <w:rsid w:val="00867E49"/>
    <w:rsid w:val="00867F91"/>
    <w:rsid w:val="008702E9"/>
    <w:rsid w:val="00870BCF"/>
    <w:rsid w:val="00870DBE"/>
    <w:rsid w:val="00871A71"/>
    <w:rsid w:val="00871CED"/>
    <w:rsid w:val="0087214D"/>
    <w:rsid w:val="00873004"/>
    <w:rsid w:val="00873485"/>
    <w:rsid w:val="00873594"/>
    <w:rsid w:val="00873F47"/>
    <w:rsid w:val="008740C5"/>
    <w:rsid w:val="00874371"/>
    <w:rsid w:val="0087545D"/>
    <w:rsid w:val="00875460"/>
    <w:rsid w:val="00876164"/>
    <w:rsid w:val="00876AA4"/>
    <w:rsid w:val="00876C90"/>
    <w:rsid w:val="008778FA"/>
    <w:rsid w:val="00877F2F"/>
    <w:rsid w:val="008801A1"/>
    <w:rsid w:val="00881576"/>
    <w:rsid w:val="00882360"/>
    <w:rsid w:val="00882791"/>
    <w:rsid w:val="00882FBF"/>
    <w:rsid w:val="008830EF"/>
    <w:rsid w:val="0088313A"/>
    <w:rsid w:val="00883773"/>
    <w:rsid w:val="00883ABD"/>
    <w:rsid w:val="00883EFC"/>
    <w:rsid w:val="0088544A"/>
    <w:rsid w:val="008860E6"/>
    <w:rsid w:val="00886174"/>
    <w:rsid w:val="0088657A"/>
    <w:rsid w:val="00887647"/>
    <w:rsid w:val="008876A7"/>
    <w:rsid w:val="00887A13"/>
    <w:rsid w:val="00887FAB"/>
    <w:rsid w:val="00890BD5"/>
    <w:rsid w:val="00890F12"/>
    <w:rsid w:val="00891428"/>
    <w:rsid w:val="0089202C"/>
    <w:rsid w:val="00892976"/>
    <w:rsid w:val="008939A0"/>
    <w:rsid w:val="008940D7"/>
    <w:rsid w:val="008943DC"/>
    <w:rsid w:val="008947D9"/>
    <w:rsid w:val="008950AB"/>
    <w:rsid w:val="008950C1"/>
    <w:rsid w:val="008955E5"/>
    <w:rsid w:val="00895F13"/>
    <w:rsid w:val="008964C7"/>
    <w:rsid w:val="008978BD"/>
    <w:rsid w:val="008A06D6"/>
    <w:rsid w:val="008A0C7A"/>
    <w:rsid w:val="008A0D9A"/>
    <w:rsid w:val="008A1649"/>
    <w:rsid w:val="008A183E"/>
    <w:rsid w:val="008A227E"/>
    <w:rsid w:val="008A2841"/>
    <w:rsid w:val="008A2937"/>
    <w:rsid w:val="008A2B86"/>
    <w:rsid w:val="008A3204"/>
    <w:rsid w:val="008A4A9C"/>
    <w:rsid w:val="008A4F28"/>
    <w:rsid w:val="008A5006"/>
    <w:rsid w:val="008A557C"/>
    <w:rsid w:val="008A56D9"/>
    <w:rsid w:val="008A6B63"/>
    <w:rsid w:val="008B08A9"/>
    <w:rsid w:val="008B2543"/>
    <w:rsid w:val="008B3010"/>
    <w:rsid w:val="008B34DD"/>
    <w:rsid w:val="008B3D1B"/>
    <w:rsid w:val="008B47D0"/>
    <w:rsid w:val="008B5CC7"/>
    <w:rsid w:val="008B6EBB"/>
    <w:rsid w:val="008B783A"/>
    <w:rsid w:val="008B786B"/>
    <w:rsid w:val="008B7A3D"/>
    <w:rsid w:val="008C022F"/>
    <w:rsid w:val="008C0347"/>
    <w:rsid w:val="008C0C09"/>
    <w:rsid w:val="008C24ED"/>
    <w:rsid w:val="008C2834"/>
    <w:rsid w:val="008C2B08"/>
    <w:rsid w:val="008C30AE"/>
    <w:rsid w:val="008C3D05"/>
    <w:rsid w:val="008C4748"/>
    <w:rsid w:val="008C51A4"/>
    <w:rsid w:val="008C5B3B"/>
    <w:rsid w:val="008C6B13"/>
    <w:rsid w:val="008C6C6B"/>
    <w:rsid w:val="008C6F84"/>
    <w:rsid w:val="008C7CD1"/>
    <w:rsid w:val="008C7E2C"/>
    <w:rsid w:val="008D15FE"/>
    <w:rsid w:val="008D195E"/>
    <w:rsid w:val="008D24BE"/>
    <w:rsid w:val="008D2919"/>
    <w:rsid w:val="008D3188"/>
    <w:rsid w:val="008D3538"/>
    <w:rsid w:val="008D3AFC"/>
    <w:rsid w:val="008D3DD8"/>
    <w:rsid w:val="008D3E6C"/>
    <w:rsid w:val="008D40C6"/>
    <w:rsid w:val="008D44D2"/>
    <w:rsid w:val="008D52AA"/>
    <w:rsid w:val="008D5763"/>
    <w:rsid w:val="008D5785"/>
    <w:rsid w:val="008D5A70"/>
    <w:rsid w:val="008D5EBA"/>
    <w:rsid w:val="008D61DB"/>
    <w:rsid w:val="008D6930"/>
    <w:rsid w:val="008D6CD1"/>
    <w:rsid w:val="008E0347"/>
    <w:rsid w:val="008E104E"/>
    <w:rsid w:val="008E108D"/>
    <w:rsid w:val="008E27C5"/>
    <w:rsid w:val="008E2A22"/>
    <w:rsid w:val="008E3328"/>
    <w:rsid w:val="008E3C57"/>
    <w:rsid w:val="008E3CD7"/>
    <w:rsid w:val="008E408C"/>
    <w:rsid w:val="008E40E3"/>
    <w:rsid w:val="008E45D2"/>
    <w:rsid w:val="008E4CD5"/>
    <w:rsid w:val="008E4D6E"/>
    <w:rsid w:val="008E5704"/>
    <w:rsid w:val="008E5A35"/>
    <w:rsid w:val="008E5D41"/>
    <w:rsid w:val="008E60EF"/>
    <w:rsid w:val="008E681F"/>
    <w:rsid w:val="008E6ED5"/>
    <w:rsid w:val="008E7476"/>
    <w:rsid w:val="008E7CD9"/>
    <w:rsid w:val="008F004D"/>
    <w:rsid w:val="008F028E"/>
    <w:rsid w:val="008F0566"/>
    <w:rsid w:val="008F1851"/>
    <w:rsid w:val="008F2B70"/>
    <w:rsid w:val="008F2C73"/>
    <w:rsid w:val="008F2F92"/>
    <w:rsid w:val="008F3BED"/>
    <w:rsid w:val="008F40CA"/>
    <w:rsid w:val="008F55FB"/>
    <w:rsid w:val="008F62C3"/>
    <w:rsid w:val="008F6737"/>
    <w:rsid w:val="008F7029"/>
    <w:rsid w:val="008F76CB"/>
    <w:rsid w:val="008F78CF"/>
    <w:rsid w:val="0090151F"/>
    <w:rsid w:val="0090182D"/>
    <w:rsid w:val="0090194C"/>
    <w:rsid w:val="00902580"/>
    <w:rsid w:val="00902B7A"/>
    <w:rsid w:val="0090382F"/>
    <w:rsid w:val="00903896"/>
    <w:rsid w:val="00903CC8"/>
    <w:rsid w:val="00904358"/>
    <w:rsid w:val="00904FB4"/>
    <w:rsid w:val="00905320"/>
    <w:rsid w:val="00905B38"/>
    <w:rsid w:val="009065C6"/>
    <w:rsid w:val="009075D0"/>
    <w:rsid w:val="00907777"/>
    <w:rsid w:val="009079C0"/>
    <w:rsid w:val="00907E45"/>
    <w:rsid w:val="00910A4A"/>
    <w:rsid w:val="00910B6B"/>
    <w:rsid w:val="0091237F"/>
    <w:rsid w:val="00912DA8"/>
    <w:rsid w:val="00913123"/>
    <w:rsid w:val="0091313F"/>
    <w:rsid w:val="0091389D"/>
    <w:rsid w:val="00913DDB"/>
    <w:rsid w:val="009141ED"/>
    <w:rsid w:val="009149C6"/>
    <w:rsid w:val="0091510B"/>
    <w:rsid w:val="009158FB"/>
    <w:rsid w:val="00916776"/>
    <w:rsid w:val="009179C8"/>
    <w:rsid w:val="00917EBF"/>
    <w:rsid w:val="009203E2"/>
    <w:rsid w:val="0092164A"/>
    <w:rsid w:val="00922B70"/>
    <w:rsid w:val="00923033"/>
    <w:rsid w:val="009239F2"/>
    <w:rsid w:val="00924651"/>
    <w:rsid w:val="009246D0"/>
    <w:rsid w:val="00924B49"/>
    <w:rsid w:val="00925ABA"/>
    <w:rsid w:val="00926900"/>
    <w:rsid w:val="00926F6E"/>
    <w:rsid w:val="00927265"/>
    <w:rsid w:val="00927389"/>
    <w:rsid w:val="009302F6"/>
    <w:rsid w:val="00931B52"/>
    <w:rsid w:val="009322C8"/>
    <w:rsid w:val="00932324"/>
    <w:rsid w:val="009327A5"/>
    <w:rsid w:val="00933213"/>
    <w:rsid w:val="009334CC"/>
    <w:rsid w:val="00933D76"/>
    <w:rsid w:val="00934274"/>
    <w:rsid w:val="0093501D"/>
    <w:rsid w:val="00935248"/>
    <w:rsid w:val="0093625C"/>
    <w:rsid w:val="00936385"/>
    <w:rsid w:val="009363CD"/>
    <w:rsid w:val="00936474"/>
    <w:rsid w:val="009379B9"/>
    <w:rsid w:val="009379D2"/>
    <w:rsid w:val="009379DC"/>
    <w:rsid w:val="009379E7"/>
    <w:rsid w:val="00940CD4"/>
    <w:rsid w:val="00940EBB"/>
    <w:rsid w:val="0094174E"/>
    <w:rsid w:val="00941859"/>
    <w:rsid w:val="00941BB4"/>
    <w:rsid w:val="00941FC3"/>
    <w:rsid w:val="009425BE"/>
    <w:rsid w:val="00942A7A"/>
    <w:rsid w:val="00942BD1"/>
    <w:rsid w:val="009432EF"/>
    <w:rsid w:val="00943D62"/>
    <w:rsid w:val="00943DC6"/>
    <w:rsid w:val="00944D8E"/>
    <w:rsid w:val="00944DF5"/>
    <w:rsid w:val="0094564F"/>
    <w:rsid w:val="00945839"/>
    <w:rsid w:val="00945AAE"/>
    <w:rsid w:val="009461B1"/>
    <w:rsid w:val="009461FA"/>
    <w:rsid w:val="00946451"/>
    <w:rsid w:val="00946944"/>
    <w:rsid w:val="00946D0E"/>
    <w:rsid w:val="00946E1F"/>
    <w:rsid w:val="00950208"/>
    <w:rsid w:val="0095070A"/>
    <w:rsid w:val="00951371"/>
    <w:rsid w:val="0095315C"/>
    <w:rsid w:val="009535CF"/>
    <w:rsid w:val="00953A8F"/>
    <w:rsid w:val="009540A8"/>
    <w:rsid w:val="00956840"/>
    <w:rsid w:val="00956EBF"/>
    <w:rsid w:val="00957F46"/>
    <w:rsid w:val="00961893"/>
    <w:rsid w:val="009618B5"/>
    <w:rsid w:val="009620B1"/>
    <w:rsid w:val="00962606"/>
    <w:rsid w:val="00962746"/>
    <w:rsid w:val="00962EEC"/>
    <w:rsid w:val="00963C75"/>
    <w:rsid w:val="00964D61"/>
    <w:rsid w:val="00965765"/>
    <w:rsid w:val="00965BDE"/>
    <w:rsid w:val="00966068"/>
    <w:rsid w:val="00966591"/>
    <w:rsid w:val="00966E86"/>
    <w:rsid w:val="0096763D"/>
    <w:rsid w:val="00967718"/>
    <w:rsid w:val="00970453"/>
    <w:rsid w:val="0097099B"/>
    <w:rsid w:val="00970A19"/>
    <w:rsid w:val="00970DB5"/>
    <w:rsid w:val="009712DF"/>
    <w:rsid w:val="00971A44"/>
    <w:rsid w:val="00972B50"/>
    <w:rsid w:val="00972D9B"/>
    <w:rsid w:val="0097329E"/>
    <w:rsid w:val="00973890"/>
    <w:rsid w:val="00973975"/>
    <w:rsid w:val="00973B86"/>
    <w:rsid w:val="00973BDB"/>
    <w:rsid w:val="00974B71"/>
    <w:rsid w:val="00974E7C"/>
    <w:rsid w:val="009756E9"/>
    <w:rsid w:val="0097585E"/>
    <w:rsid w:val="00975F7E"/>
    <w:rsid w:val="00977138"/>
    <w:rsid w:val="0097723A"/>
    <w:rsid w:val="009773E5"/>
    <w:rsid w:val="00980068"/>
    <w:rsid w:val="009801FA"/>
    <w:rsid w:val="0098048B"/>
    <w:rsid w:val="00980DBF"/>
    <w:rsid w:val="00981363"/>
    <w:rsid w:val="00982DCC"/>
    <w:rsid w:val="009844EF"/>
    <w:rsid w:val="00985D73"/>
    <w:rsid w:val="00985F32"/>
    <w:rsid w:val="00986830"/>
    <w:rsid w:val="00986AA2"/>
    <w:rsid w:val="009870FF"/>
    <w:rsid w:val="00987CD1"/>
    <w:rsid w:val="00987EC6"/>
    <w:rsid w:val="009901E7"/>
    <w:rsid w:val="00990ADA"/>
    <w:rsid w:val="00990D1B"/>
    <w:rsid w:val="00991560"/>
    <w:rsid w:val="009919B5"/>
    <w:rsid w:val="00991DDB"/>
    <w:rsid w:val="00993150"/>
    <w:rsid w:val="009936EF"/>
    <w:rsid w:val="009944B4"/>
    <w:rsid w:val="0099513A"/>
    <w:rsid w:val="009954D0"/>
    <w:rsid w:val="00995A0B"/>
    <w:rsid w:val="00995B08"/>
    <w:rsid w:val="00995C0A"/>
    <w:rsid w:val="0099619F"/>
    <w:rsid w:val="009962B3"/>
    <w:rsid w:val="00996798"/>
    <w:rsid w:val="00996F52"/>
    <w:rsid w:val="0099706A"/>
    <w:rsid w:val="00997711"/>
    <w:rsid w:val="009979B8"/>
    <w:rsid w:val="009A087F"/>
    <w:rsid w:val="009A1140"/>
    <w:rsid w:val="009A2774"/>
    <w:rsid w:val="009A342D"/>
    <w:rsid w:val="009A3F87"/>
    <w:rsid w:val="009A4723"/>
    <w:rsid w:val="009A55DC"/>
    <w:rsid w:val="009A5E57"/>
    <w:rsid w:val="009A794B"/>
    <w:rsid w:val="009A79D7"/>
    <w:rsid w:val="009B0AD0"/>
    <w:rsid w:val="009B0FC4"/>
    <w:rsid w:val="009B1577"/>
    <w:rsid w:val="009B1C38"/>
    <w:rsid w:val="009B1F2C"/>
    <w:rsid w:val="009B1F45"/>
    <w:rsid w:val="009B290F"/>
    <w:rsid w:val="009B2A16"/>
    <w:rsid w:val="009B300B"/>
    <w:rsid w:val="009B366D"/>
    <w:rsid w:val="009B4966"/>
    <w:rsid w:val="009B4D52"/>
    <w:rsid w:val="009B6227"/>
    <w:rsid w:val="009B6492"/>
    <w:rsid w:val="009B778C"/>
    <w:rsid w:val="009C10FD"/>
    <w:rsid w:val="009C1749"/>
    <w:rsid w:val="009C1F09"/>
    <w:rsid w:val="009C20F9"/>
    <w:rsid w:val="009C2268"/>
    <w:rsid w:val="009C38F2"/>
    <w:rsid w:val="009C4314"/>
    <w:rsid w:val="009C451C"/>
    <w:rsid w:val="009C45FC"/>
    <w:rsid w:val="009C4A8F"/>
    <w:rsid w:val="009C4FEF"/>
    <w:rsid w:val="009C5E3A"/>
    <w:rsid w:val="009C7204"/>
    <w:rsid w:val="009C7879"/>
    <w:rsid w:val="009C7D4B"/>
    <w:rsid w:val="009D0B20"/>
    <w:rsid w:val="009D0D2B"/>
    <w:rsid w:val="009D1146"/>
    <w:rsid w:val="009D1719"/>
    <w:rsid w:val="009D1F63"/>
    <w:rsid w:val="009D209A"/>
    <w:rsid w:val="009D23E2"/>
    <w:rsid w:val="009D2E76"/>
    <w:rsid w:val="009D3587"/>
    <w:rsid w:val="009D5205"/>
    <w:rsid w:val="009D5563"/>
    <w:rsid w:val="009D65EB"/>
    <w:rsid w:val="009D69FD"/>
    <w:rsid w:val="009D6A88"/>
    <w:rsid w:val="009D6C79"/>
    <w:rsid w:val="009D6F70"/>
    <w:rsid w:val="009D6FDD"/>
    <w:rsid w:val="009D74D6"/>
    <w:rsid w:val="009D7BF1"/>
    <w:rsid w:val="009D7CA1"/>
    <w:rsid w:val="009D7F9E"/>
    <w:rsid w:val="009E0ED8"/>
    <w:rsid w:val="009E1815"/>
    <w:rsid w:val="009E18CA"/>
    <w:rsid w:val="009E1BE0"/>
    <w:rsid w:val="009E1E7D"/>
    <w:rsid w:val="009E2CFE"/>
    <w:rsid w:val="009E30BA"/>
    <w:rsid w:val="009E3176"/>
    <w:rsid w:val="009E39AA"/>
    <w:rsid w:val="009E3D78"/>
    <w:rsid w:val="009E4AFF"/>
    <w:rsid w:val="009E50BB"/>
    <w:rsid w:val="009E528E"/>
    <w:rsid w:val="009E5A77"/>
    <w:rsid w:val="009E6203"/>
    <w:rsid w:val="009E694A"/>
    <w:rsid w:val="009E7F0E"/>
    <w:rsid w:val="009E7F95"/>
    <w:rsid w:val="009F0226"/>
    <w:rsid w:val="009F0356"/>
    <w:rsid w:val="009F0488"/>
    <w:rsid w:val="009F0C48"/>
    <w:rsid w:val="009F0FE0"/>
    <w:rsid w:val="009F1CFC"/>
    <w:rsid w:val="009F20FA"/>
    <w:rsid w:val="009F391B"/>
    <w:rsid w:val="009F40A3"/>
    <w:rsid w:val="009F40CD"/>
    <w:rsid w:val="009F446F"/>
    <w:rsid w:val="009F4610"/>
    <w:rsid w:val="009F57A0"/>
    <w:rsid w:val="009F59E8"/>
    <w:rsid w:val="009F5EA6"/>
    <w:rsid w:val="009F604E"/>
    <w:rsid w:val="009F6603"/>
    <w:rsid w:val="009F798B"/>
    <w:rsid w:val="00A00728"/>
    <w:rsid w:val="00A00909"/>
    <w:rsid w:val="00A00CA9"/>
    <w:rsid w:val="00A00DFE"/>
    <w:rsid w:val="00A0194E"/>
    <w:rsid w:val="00A020CA"/>
    <w:rsid w:val="00A03201"/>
    <w:rsid w:val="00A0362C"/>
    <w:rsid w:val="00A03ACE"/>
    <w:rsid w:val="00A03B8A"/>
    <w:rsid w:val="00A03CB9"/>
    <w:rsid w:val="00A03E62"/>
    <w:rsid w:val="00A048DC"/>
    <w:rsid w:val="00A0493E"/>
    <w:rsid w:val="00A0504B"/>
    <w:rsid w:val="00A05BE6"/>
    <w:rsid w:val="00A0644F"/>
    <w:rsid w:val="00A066CD"/>
    <w:rsid w:val="00A06E3E"/>
    <w:rsid w:val="00A07007"/>
    <w:rsid w:val="00A0736E"/>
    <w:rsid w:val="00A07E98"/>
    <w:rsid w:val="00A11CF0"/>
    <w:rsid w:val="00A11F3C"/>
    <w:rsid w:val="00A12A15"/>
    <w:rsid w:val="00A14825"/>
    <w:rsid w:val="00A151B0"/>
    <w:rsid w:val="00A155BD"/>
    <w:rsid w:val="00A156A6"/>
    <w:rsid w:val="00A15B75"/>
    <w:rsid w:val="00A15D9A"/>
    <w:rsid w:val="00A179BF"/>
    <w:rsid w:val="00A17D9E"/>
    <w:rsid w:val="00A20195"/>
    <w:rsid w:val="00A2091B"/>
    <w:rsid w:val="00A2112B"/>
    <w:rsid w:val="00A21492"/>
    <w:rsid w:val="00A224B4"/>
    <w:rsid w:val="00A22504"/>
    <w:rsid w:val="00A22D7B"/>
    <w:rsid w:val="00A23324"/>
    <w:rsid w:val="00A23826"/>
    <w:rsid w:val="00A251B1"/>
    <w:rsid w:val="00A25B63"/>
    <w:rsid w:val="00A25CC3"/>
    <w:rsid w:val="00A25D1E"/>
    <w:rsid w:val="00A261A4"/>
    <w:rsid w:val="00A263D2"/>
    <w:rsid w:val="00A26977"/>
    <w:rsid w:val="00A26A08"/>
    <w:rsid w:val="00A276A2"/>
    <w:rsid w:val="00A27795"/>
    <w:rsid w:val="00A30458"/>
    <w:rsid w:val="00A30EBF"/>
    <w:rsid w:val="00A31649"/>
    <w:rsid w:val="00A31855"/>
    <w:rsid w:val="00A31AC7"/>
    <w:rsid w:val="00A324B0"/>
    <w:rsid w:val="00A32A14"/>
    <w:rsid w:val="00A32F8E"/>
    <w:rsid w:val="00A33571"/>
    <w:rsid w:val="00A3394A"/>
    <w:rsid w:val="00A33D49"/>
    <w:rsid w:val="00A341C6"/>
    <w:rsid w:val="00A342B4"/>
    <w:rsid w:val="00A346A0"/>
    <w:rsid w:val="00A35130"/>
    <w:rsid w:val="00A35A3A"/>
    <w:rsid w:val="00A35BB0"/>
    <w:rsid w:val="00A35CE4"/>
    <w:rsid w:val="00A35E51"/>
    <w:rsid w:val="00A3641F"/>
    <w:rsid w:val="00A37D28"/>
    <w:rsid w:val="00A406B6"/>
    <w:rsid w:val="00A40E13"/>
    <w:rsid w:val="00A42424"/>
    <w:rsid w:val="00A42753"/>
    <w:rsid w:val="00A42DF4"/>
    <w:rsid w:val="00A431C4"/>
    <w:rsid w:val="00A431F4"/>
    <w:rsid w:val="00A43B38"/>
    <w:rsid w:val="00A440A7"/>
    <w:rsid w:val="00A4439D"/>
    <w:rsid w:val="00A44568"/>
    <w:rsid w:val="00A4530C"/>
    <w:rsid w:val="00A45317"/>
    <w:rsid w:val="00A459B0"/>
    <w:rsid w:val="00A4706C"/>
    <w:rsid w:val="00A475F4"/>
    <w:rsid w:val="00A52BC8"/>
    <w:rsid w:val="00A53316"/>
    <w:rsid w:val="00A53633"/>
    <w:rsid w:val="00A53F55"/>
    <w:rsid w:val="00A543EF"/>
    <w:rsid w:val="00A54F06"/>
    <w:rsid w:val="00A55A12"/>
    <w:rsid w:val="00A5612C"/>
    <w:rsid w:val="00A56821"/>
    <w:rsid w:val="00A5699D"/>
    <w:rsid w:val="00A56C0D"/>
    <w:rsid w:val="00A56E67"/>
    <w:rsid w:val="00A57446"/>
    <w:rsid w:val="00A57608"/>
    <w:rsid w:val="00A57738"/>
    <w:rsid w:val="00A57A9E"/>
    <w:rsid w:val="00A6067F"/>
    <w:rsid w:val="00A6128D"/>
    <w:rsid w:val="00A61B4C"/>
    <w:rsid w:val="00A61E72"/>
    <w:rsid w:val="00A62565"/>
    <w:rsid w:val="00A62C00"/>
    <w:rsid w:val="00A6341C"/>
    <w:rsid w:val="00A64132"/>
    <w:rsid w:val="00A64C68"/>
    <w:rsid w:val="00A65575"/>
    <w:rsid w:val="00A65DBF"/>
    <w:rsid w:val="00A65EC4"/>
    <w:rsid w:val="00A663B6"/>
    <w:rsid w:val="00A669F3"/>
    <w:rsid w:val="00A67394"/>
    <w:rsid w:val="00A67457"/>
    <w:rsid w:val="00A67CE9"/>
    <w:rsid w:val="00A7038C"/>
    <w:rsid w:val="00A705BF"/>
    <w:rsid w:val="00A70A86"/>
    <w:rsid w:val="00A70FCB"/>
    <w:rsid w:val="00A70FD6"/>
    <w:rsid w:val="00A72366"/>
    <w:rsid w:val="00A72447"/>
    <w:rsid w:val="00A72622"/>
    <w:rsid w:val="00A72BC0"/>
    <w:rsid w:val="00A72ED6"/>
    <w:rsid w:val="00A737C3"/>
    <w:rsid w:val="00A73C85"/>
    <w:rsid w:val="00A74CF8"/>
    <w:rsid w:val="00A75416"/>
    <w:rsid w:val="00A754E1"/>
    <w:rsid w:val="00A768FE"/>
    <w:rsid w:val="00A76A9A"/>
    <w:rsid w:val="00A76E1A"/>
    <w:rsid w:val="00A76F0B"/>
    <w:rsid w:val="00A77E3D"/>
    <w:rsid w:val="00A803BF"/>
    <w:rsid w:val="00A80587"/>
    <w:rsid w:val="00A805D8"/>
    <w:rsid w:val="00A8067E"/>
    <w:rsid w:val="00A80923"/>
    <w:rsid w:val="00A81102"/>
    <w:rsid w:val="00A81F84"/>
    <w:rsid w:val="00A82003"/>
    <w:rsid w:val="00A831D8"/>
    <w:rsid w:val="00A83C40"/>
    <w:rsid w:val="00A8483B"/>
    <w:rsid w:val="00A85126"/>
    <w:rsid w:val="00A85567"/>
    <w:rsid w:val="00A85967"/>
    <w:rsid w:val="00A86635"/>
    <w:rsid w:val="00A86944"/>
    <w:rsid w:val="00A905CF"/>
    <w:rsid w:val="00A90F26"/>
    <w:rsid w:val="00A912EB"/>
    <w:rsid w:val="00A92A9F"/>
    <w:rsid w:val="00A92F69"/>
    <w:rsid w:val="00A94A23"/>
    <w:rsid w:val="00A95AFF"/>
    <w:rsid w:val="00A96579"/>
    <w:rsid w:val="00A96757"/>
    <w:rsid w:val="00A969E6"/>
    <w:rsid w:val="00A96D39"/>
    <w:rsid w:val="00A96F2B"/>
    <w:rsid w:val="00A97AA0"/>
    <w:rsid w:val="00A97E8C"/>
    <w:rsid w:val="00AA02BA"/>
    <w:rsid w:val="00AA098E"/>
    <w:rsid w:val="00AA1FDC"/>
    <w:rsid w:val="00AA2203"/>
    <w:rsid w:val="00AA239D"/>
    <w:rsid w:val="00AA25FA"/>
    <w:rsid w:val="00AA2747"/>
    <w:rsid w:val="00AA30C0"/>
    <w:rsid w:val="00AA3850"/>
    <w:rsid w:val="00AA3C97"/>
    <w:rsid w:val="00AA47C2"/>
    <w:rsid w:val="00AA4C2E"/>
    <w:rsid w:val="00AA5537"/>
    <w:rsid w:val="00AA6A87"/>
    <w:rsid w:val="00AA6D44"/>
    <w:rsid w:val="00AA6DCA"/>
    <w:rsid w:val="00AA74FC"/>
    <w:rsid w:val="00AA75B1"/>
    <w:rsid w:val="00AA7C2E"/>
    <w:rsid w:val="00AA7CFF"/>
    <w:rsid w:val="00AA7D5B"/>
    <w:rsid w:val="00AB0496"/>
    <w:rsid w:val="00AB0965"/>
    <w:rsid w:val="00AB0B26"/>
    <w:rsid w:val="00AB0EE5"/>
    <w:rsid w:val="00AB2518"/>
    <w:rsid w:val="00AB2E3C"/>
    <w:rsid w:val="00AB2FEF"/>
    <w:rsid w:val="00AB3185"/>
    <w:rsid w:val="00AB3F9F"/>
    <w:rsid w:val="00AB4502"/>
    <w:rsid w:val="00AB4513"/>
    <w:rsid w:val="00AB4BB5"/>
    <w:rsid w:val="00AB55FE"/>
    <w:rsid w:val="00AB59B5"/>
    <w:rsid w:val="00AB5B0A"/>
    <w:rsid w:val="00AB5E38"/>
    <w:rsid w:val="00AB60E8"/>
    <w:rsid w:val="00AB6146"/>
    <w:rsid w:val="00AB651C"/>
    <w:rsid w:val="00AB78D0"/>
    <w:rsid w:val="00AB78E6"/>
    <w:rsid w:val="00AB7DB9"/>
    <w:rsid w:val="00AC02FF"/>
    <w:rsid w:val="00AC0530"/>
    <w:rsid w:val="00AC0A70"/>
    <w:rsid w:val="00AC0EFF"/>
    <w:rsid w:val="00AC2196"/>
    <w:rsid w:val="00AC3923"/>
    <w:rsid w:val="00AC41D3"/>
    <w:rsid w:val="00AC4AE0"/>
    <w:rsid w:val="00AC5B72"/>
    <w:rsid w:val="00AC65F3"/>
    <w:rsid w:val="00AC6ABD"/>
    <w:rsid w:val="00AC7421"/>
    <w:rsid w:val="00AD0913"/>
    <w:rsid w:val="00AD0953"/>
    <w:rsid w:val="00AD1551"/>
    <w:rsid w:val="00AD218E"/>
    <w:rsid w:val="00AD372D"/>
    <w:rsid w:val="00AD3978"/>
    <w:rsid w:val="00AD475D"/>
    <w:rsid w:val="00AD5989"/>
    <w:rsid w:val="00AD7496"/>
    <w:rsid w:val="00AD77B9"/>
    <w:rsid w:val="00AD78D4"/>
    <w:rsid w:val="00AD7B63"/>
    <w:rsid w:val="00AE0738"/>
    <w:rsid w:val="00AE1846"/>
    <w:rsid w:val="00AE2263"/>
    <w:rsid w:val="00AE3176"/>
    <w:rsid w:val="00AE35CD"/>
    <w:rsid w:val="00AE3729"/>
    <w:rsid w:val="00AE3D82"/>
    <w:rsid w:val="00AE5026"/>
    <w:rsid w:val="00AE541C"/>
    <w:rsid w:val="00AE5EB2"/>
    <w:rsid w:val="00AE5F7A"/>
    <w:rsid w:val="00AE7186"/>
    <w:rsid w:val="00AE75CA"/>
    <w:rsid w:val="00AE78BF"/>
    <w:rsid w:val="00AF0783"/>
    <w:rsid w:val="00AF07D5"/>
    <w:rsid w:val="00AF092A"/>
    <w:rsid w:val="00AF0B81"/>
    <w:rsid w:val="00AF0C63"/>
    <w:rsid w:val="00AF0C78"/>
    <w:rsid w:val="00AF1CA0"/>
    <w:rsid w:val="00AF3190"/>
    <w:rsid w:val="00AF379E"/>
    <w:rsid w:val="00AF39A6"/>
    <w:rsid w:val="00AF3B81"/>
    <w:rsid w:val="00AF47C6"/>
    <w:rsid w:val="00AF48ED"/>
    <w:rsid w:val="00AF50D0"/>
    <w:rsid w:val="00AF6ADC"/>
    <w:rsid w:val="00AF6B31"/>
    <w:rsid w:val="00AF722B"/>
    <w:rsid w:val="00AF740B"/>
    <w:rsid w:val="00B00CD6"/>
    <w:rsid w:val="00B00D88"/>
    <w:rsid w:val="00B01836"/>
    <w:rsid w:val="00B01C16"/>
    <w:rsid w:val="00B02532"/>
    <w:rsid w:val="00B0299F"/>
    <w:rsid w:val="00B03199"/>
    <w:rsid w:val="00B03C96"/>
    <w:rsid w:val="00B0412F"/>
    <w:rsid w:val="00B04485"/>
    <w:rsid w:val="00B0487D"/>
    <w:rsid w:val="00B04A6A"/>
    <w:rsid w:val="00B052CE"/>
    <w:rsid w:val="00B0562B"/>
    <w:rsid w:val="00B0566D"/>
    <w:rsid w:val="00B057B8"/>
    <w:rsid w:val="00B05FC1"/>
    <w:rsid w:val="00B06ED0"/>
    <w:rsid w:val="00B0708D"/>
    <w:rsid w:val="00B07DBF"/>
    <w:rsid w:val="00B07FEE"/>
    <w:rsid w:val="00B10035"/>
    <w:rsid w:val="00B108E2"/>
    <w:rsid w:val="00B11C61"/>
    <w:rsid w:val="00B121E5"/>
    <w:rsid w:val="00B135D7"/>
    <w:rsid w:val="00B13B2D"/>
    <w:rsid w:val="00B13F07"/>
    <w:rsid w:val="00B1454F"/>
    <w:rsid w:val="00B15217"/>
    <w:rsid w:val="00B15476"/>
    <w:rsid w:val="00B1610D"/>
    <w:rsid w:val="00B16F28"/>
    <w:rsid w:val="00B17036"/>
    <w:rsid w:val="00B1711A"/>
    <w:rsid w:val="00B173F6"/>
    <w:rsid w:val="00B17CEA"/>
    <w:rsid w:val="00B20340"/>
    <w:rsid w:val="00B208B9"/>
    <w:rsid w:val="00B20C70"/>
    <w:rsid w:val="00B21D23"/>
    <w:rsid w:val="00B2307E"/>
    <w:rsid w:val="00B232A5"/>
    <w:rsid w:val="00B23BED"/>
    <w:rsid w:val="00B23E77"/>
    <w:rsid w:val="00B24459"/>
    <w:rsid w:val="00B2480A"/>
    <w:rsid w:val="00B25746"/>
    <w:rsid w:val="00B25AC2"/>
    <w:rsid w:val="00B25B6D"/>
    <w:rsid w:val="00B25EF0"/>
    <w:rsid w:val="00B26281"/>
    <w:rsid w:val="00B262E7"/>
    <w:rsid w:val="00B263AF"/>
    <w:rsid w:val="00B27E53"/>
    <w:rsid w:val="00B31355"/>
    <w:rsid w:val="00B318E0"/>
    <w:rsid w:val="00B319D7"/>
    <w:rsid w:val="00B31F37"/>
    <w:rsid w:val="00B32705"/>
    <w:rsid w:val="00B331FA"/>
    <w:rsid w:val="00B3418E"/>
    <w:rsid w:val="00B344AE"/>
    <w:rsid w:val="00B34B31"/>
    <w:rsid w:val="00B34BF1"/>
    <w:rsid w:val="00B37E81"/>
    <w:rsid w:val="00B408F8"/>
    <w:rsid w:val="00B41088"/>
    <w:rsid w:val="00B41D28"/>
    <w:rsid w:val="00B425E3"/>
    <w:rsid w:val="00B4325E"/>
    <w:rsid w:val="00B43AE6"/>
    <w:rsid w:val="00B457DE"/>
    <w:rsid w:val="00B45A8F"/>
    <w:rsid w:val="00B45C3D"/>
    <w:rsid w:val="00B464A4"/>
    <w:rsid w:val="00B475E3"/>
    <w:rsid w:val="00B47C70"/>
    <w:rsid w:val="00B501B7"/>
    <w:rsid w:val="00B5023E"/>
    <w:rsid w:val="00B5036E"/>
    <w:rsid w:val="00B50BBE"/>
    <w:rsid w:val="00B511FA"/>
    <w:rsid w:val="00B519F2"/>
    <w:rsid w:val="00B51F37"/>
    <w:rsid w:val="00B5241B"/>
    <w:rsid w:val="00B525AE"/>
    <w:rsid w:val="00B52B5F"/>
    <w:rsid w:val="00B52C47"/>
    <w:rsid w:val="00B53B99"/>
    <w:rsid w:val="00B542FC"/>
    <w:rsid w:val="00B5544F"/>
    <w:rsid w:val="00B55572"/>
    <w:rsid w:val="00B56AB3"/>
    <w:rsid w:val="00B57394"/>
    <w:rsid w:val="00B576F7"/>
    <w:rsid w:val="00B57A3E"/>
    <w:rsid w:val="00B6019C"/>
    <w:rsid w:val="00B601A4"/>
    <w:rsid w:val="00B60212"/>
    <w:rsid w:val="00B60568"/>
    <w:rsid w:val="00B60E07"/>
    <w:rsid w:val="00B60FDA"/>
    <w:rsid w:val="00B61807"/>
    <w:rsid w:val="00B61C5E"/>
    <w:rsid w:val="00B62075"/>
    <w:rsid w:val="00B62AA5"/>
    <w:rsid w:val="00B631AD"/>
    <w:rsid w:val="00B664AA"/>
    <w:rsid w:val="00B66A3C"/>
    <w:rsid w:val="00B66FD5"/>
    <w:rsid w:val="00B66FD6"/>
    <w:rsid w:val="00B70505"/>
    <w:rsid w:val="00B705E6"/>
    <w:rsid w:val="00B712FD"/>
    <w:rsid w:val="00B71BB6"/>
    <w:rsid w:val="00B721A6"/>
    <w:rsid w:val="00B72D77"/>
    <w:rsid w:val="00B73086"/>
    <w:rsid w:val="00B74757"/>
    <w:rsid w:val="00B74C45"/>
    <w:rsid w:val="00B74DC4"/>
    <w:rsid w:val="00B74E14"/>
    <w:rsid w:val="00B7524B"/>
    <w:rsid w:val="00B75363"/>
    <w:rsid w:val="00B75D82"/>
    <w:rsid w:val="00B76A25"/>
    <w:rsid w:val="00B76E30"/>
    <w:rsid w:val="00B77324"/>
    <w:rsid w:val="00B777C3"/>
    <w:rsid w:val="00B77F4D"/>
    <w:rsid w:val="00B80D5A"/>
    <w:rsid w:val="00B81F66"/>
    <w:rsid w:val="00B821F6"/>
    <w:rsid w:val="00B82493"/>
    <w:rsid w:val="00B825E2"/>
    <w:rsid w:val="00B826BA"/>
    <w:rsid w:val="00B834BB"/>
    <w:rsid w:val="00B83C2B"/>
    <w:rsid w:val="00B83FCB"/>
    <w:rsid w:val="00B841C6"/>
    <w:rsid w:val="00B84E00"/>
    <w:rsid w:val="00B85210"/>
    <w:rsid w:val="00B85718"/>
    <w:rsid w:val="00B85C9D"/>
    <w:rsid w:val="00B864C5"/>
    <w:rsid w:val="00B86DAA"/>
    <w:rsid w:val="00B8760C"/>
    <w:rsid w:val="00B9064E"/>
    <w:rsid w:val="00B90E5D"/>
    <w:rsid w:val="00B910D0"/>
    <w:rsid w:val="00B911FF"/>
    <w:rsid w:val="00B91463"/>
    <w:rsid w:val="00B91DEF"/>
    <w:rsid w:val="00B9265B"/>
    <w:rsid w:val="00B92D0E"/>
    <w:rsid w:val="00B93A38"/>
    <w:rsid w:val="00B94426"/>
    <w:rsid w:val="00B94FD9"/>
    <w:rsid w:val="00B956D9"/>
    <w:rsid w:val="00B95DEB"/>
    <w:rsid w:val="00B96A5F"/>
    <w:rsid w:val="00B97E54"/>
    <w:rsid w:val="00BA07A4"/>
    <w:rsid w:val="00BA09F6"/>
    <w:rsid w:val="00BA0BBD"/>
    <w:rsid w:val="00BA15F5"/>
    <w:rsid w:val="00BA17F4"/>
    <w:rsid w:val="00BA2280"/>
    <w:rsid w:val="00BA341E"/>
    <w:rsid w:val="00BA3CAB"/>
    <w:rsid w:val="00BA3ECF"/>
    <w:rsid w:val="00BA42F2"/>
    <w:rsid w:val="00BA4632"/>
    <w:rsid w:val="00BA4DA1"/>
    <w:rsid w:val="00BA5D1D"/>
    <w:rsid w:val="00BA6891"/>
    <w:rsid w:val="00BA6ADF"/>
    <w:rsid w:val="00BA6B2F"/>
    <w:rsid w:val="00BA6D3C"/>
    <w:rsid w:val="00BA779F"/>
    <w:rsid w:val="00BA7A57"/>
    <w:rsid w:val="00BA7B40"/>
    <w:rsid w:val="00BA7D09"/>
    <w:rsid w:val="00BA7F76"/>
    <w:rsid w:val="00BB04FA"/>
    <w:rsid w:val="00BB0A0C"/>
    <w:rsid w:val="00BB10AE"/>
    <w:rsid w:val="00BB11E6"/>
    <w:rsid w:val="00BB1B39"/>
    <w:rsid w:val="00BB2138"/>
    <w:rsid w:val="00BB27B9"/>
    <w:rsid w:val="00BB4102"/>
    <w:rsid w:val="00BB4972"/>
    <w:rsid w:val="00BB55A4"/>
    <w:rsid w:val="00BB5A1E"/>
    <w:rsid w:val="00BB6DC1"/>
    <w:rsid w:val="00BB6F74"/>
    <w:rsid w:val="00BB72AC"/>
    <w:rsid w:val="00BC0F25"/>
    <w:rsid w:val="00BC116E"/>
    <w:rsid w:val="00BC1D4A"/>
    <w:rsid w:val="00BC277C"/>
    <w:rsid w:val="00BC28D9"/>
    <w:rsid w:val="00BC390C"/>
    <w:rsid w:val="00BC398F"/>
    <w:rsid w:val="00BC3AB1"/>
    <w:rsid w:val="00BC3C3C"/>
    <w:rsid w:val="00BC3C85"/>
    <w:rsid w:val="00BC3DCC"/>
    <w:rsid w:val="00BC403F"/>
    <w:rsid w:val="00BC4B8F"/>
    <w:rsid w:val="00BC50B9"/>
    <w:rsid w:val="00BC59AD"/>
    <w:rsid w:val="00BC5A78"/>
    <w:rsid w:val="00BC5A9A"/>
    <w:rsid w:val="00BC6759"/>
    <w:rsid w:val="00BC72C7"/>
    <w:rsid w:val="00BD0193"/>
    <w:rsid w:val="00BD09BC"/>
    <w:rsid w:val="00BD10BD"/>
    <w:rsid w:val="00BD1872"/>
    <w:rsid w:val="00BD21AF"/>
    <w:rsid w:val="00BD236B"/>
    <w:rsid w:val="00BD28BD"/>
    <w:rsid w:val="00BD2F7A"/>
    <w:rsid w:val="00BD366C"/>
    <w:rsid w:val="00BD4393"/>
    <w:rsid w:val="00BD4ACE"/>
    <w:rsid w:val="00BD4B16"/>
    <w:rsid w:val="00BD4CA4"/>
    <w:rsid w:val="00BD4CC4"/>
    <w:rsid w:val="00BD4F12"/>
    <w:rsid w:val="00BD53AA"/>
    <w:rsid w:val="00BD59E8"/>
    <w:rsid w:val="00BD5CDC"/>
    <w:rsid w:val="00BD7ABB"/>
    <w:rsid w:val="00BD7D0E"/>
    <w:rsid w:val="00BE1693"/>
    <w:rsid w:val="00BE25D5"/>
    <w:rsid w:val="00BE2631"/>
    <w:rsid w:val="00BE27AB"/>
    <w:rsid w:val="00BE288D"/>
    <w:rsid w:val="00BE32E8"/>
    <w:rsid w:val="00BE33A7"/>
    <w:rsid w:val="00BE57C1"/>
    <w:rsid w:val="00BE63E1"/>
    <w:rsid w:val="00BE6C2A"/>
    <w:rsid w:val="00BE6F6E"/>
    <w:rsid w:val="00BE73F4"/>
    <w:rsid w:val="00BE759C"/>
    <w:rsid w:val="00BE7F82"/>
    <w:rsid w:val="00BF09F9"/>
    <w:rsid w:val="00BF0A0E"/>
    <w:rsid w:val="00BF13EA"/>
    <w:rsid w:val="00BF252A"/>
    <w:rsid w:val="00BF2F90"/>
    <w:rsid w:val="00BF3C62"/>
    <w:rsid w:val="00BF3F05"/>
    <w:rsid w:val="00BF4060"/>
    <w:rsid w:val="00BF47F8"/>
    <w:rsid w:val="00BF5182"/>
    <w:rsid w:val="00BF660C"/>
    <w:rsid w:val="00BF6ACC"/>
    <w:rsid w:val="00BF7276"/>
    <w:rsid w:val="00BF7956"/>
    <w:rsid w:val="00BF7C43"/>
    <w:rsid w:val="00C00988"/>
    <w:rsid w:val="00C01D46"/>
    <w:rsid w:val="00C02696"/>
    <w:rsid w:val="00C02791"/>
    <w:rsid w:val="00C02941"/>
    <w:rsid w:val="00C02D12"/>
    <w:rsid w:val="00C03EBC"/>
    <w:rsid w:val="00C040EB"/>
    <w:rsid w:val="00C04591"/>
    <w:rsid w:val="00C045FA"/>
    <w:rsid w:val="00C04E78"/>
    <w:rsid w:val="00C04F27"/>
    <w:rsid w:val="00C0524A"/>
    <w:rsid w:val="00C05AE7"/>
    <w:rsid w:val="00C062F7"/>
    <w:rsid w:val="00C06C32"/>
    <w:rsid w:val="00C0708D"/>
    <w:rsid w:val="00C072F7"/>
    <w:rsid w:val="00C078E8"/>
    <w:rsid w:val="00C10608"/>
    <w:rsid w:val="00C1070C"/>
    <w:rsid w:val="00C10C22"/>
    <w:rsid w:val="00C10F90"/>
    <w:rsid w:val="00C12156"/>
    <w:rsid w:val="00C125F4"/>
    <w:rsid w:val="00C12895"/>
    <w:rsid w:val="00C13358"/>
    <w:rsid w:val="00C13814"/>
    <w:rsid w:val="00C13CEA"/>
    <w:rsid w:val="00C14293"/>
    <w:rsid w:val="00C15A50"/>
    <w:rsid w:val="00C15C1D"/>
    <w:rsid w:val="00C15EA4"/>
    <w:rsid w:val="00C15F4E"/>
    <w:rsid w:val="00C164B9"/>
    <w:rsid w:val="00C16CE5"/>
    <w:rsid w:val="00C17CD1"/>
    <w:rsid w:val="00C2086B"/>
    <w:rsid w:val="00C2112E"/>
    <w:rsid w:val="00C211F2"/>
    <w:rsid w:val="00C21207"/>
    <w:rsid w:val="00C2152E"/>
    <w:rsid w:val="00C216AC"/>
    <w:rsid w:val="00C22010"/>
    <w:rsid w:val="00C2278B"/>
    <w:rsid w:val="00C23278"/>
    <w:rsid w:val="00C239C5"/>
    <w:rsid w:val="00C23A0F"/>
    <w:rsid w:val="00C23FED"/>
    <w:rsid w:val="00C24B4F"/>
    <w:rsid w:val="00C250CA"/>
    <w:rsid w:val="00C253E9"/>
    <w:rsid w:val="00C25805"/>
    <w:rsid w:val="00C26781"/>
    <w:rsid w:val="00C269B2"/>
    <w:rsid w:val="00C26FD3"/>
    <w:rsid w:val="00C2701A"/>
    <w:rsid w:val="00C27848"/>
    <w:rsid w:val="00C27CA8"/>
    <w:rsid w:val="00C30EE3"/>
    <w:rsid w:val="00C31A9A"/>
    <w:rsid w:val="00C31FA9"/>
    <w:rsid w:val="00C32199"/>
    <w:rsid w:val="00C321C0"/>
    <w:rsid w:val="00C32324"/>
    <w:rsid w:val="00C32560"/>
    <w:rsid w:val="00C331C7"/>
    <w:rsid w:val="00C333D2"/>
    <w:rsid w:val="00C338A6"/>
    <w:rsid w:val="00C33FD1"/>
    <w:rsid w:val="00C3435D"/>
    <w:rsid w:val="00C3485A"/>
    <w:rsid w:val="00C34CFF"/>
    <w:rsid w:val="00C35B12"/>
    <w:rsid w:val="00C35EEF"/>
    <w:rsid w:val="00C362ED"/>
    <w:rsid w:val="00C3688A"/>
    <w:rsid w:val="00C37904"/>
    <w:rsid w:val="00C379C8"/>
    <w:rsid w:val="00C4010C"/>
    <w:rsid w:val="00C4033C"/>
    <w:rsid w:val="00C408B2"/>
    <w:rsid w:val="00C4094F"/>
    <w:rsid w:val="00C40A76"/>
    <w:rsid w:val="00C41462"/>
    <w:rsid w:val="00C425D7"/>
    <w:rsid w:val="00C42BC5"/>
    <w:rsid w:val="00C42DB9"/>
    <w:rsid w:val="00C4374E"/>
    <w:rsid w:val="00C43A1D"/>
    <w:rsid w:val="00C43D85"/>
    <w:rsid w:val="00C43F0A"/>
    <w:rsid w:val="00C441C3"/>
    <w:rsid w:val="00C45849"/>
    <w:rsid w:val="00C45BDF"/>
    <w:rsid w:val="00C45C60"/>
    <w:rsid w:val="00C45CFE"/>
    <w:rsid w:val="00C50453"/>
    <w:rsid w:val="00C50876"/>
    <w:rsid w:val="00C51368"/>
    <w:rsid w:val="00C51C89"/>
    <w:rsid w:val="00C5207D"/>
    <w:rsid w:val="00C5241E"/>
    <w:rsid w:val="00C536EC"/>
    <w:rsid w:val="00C53E8D"/>
    <w:rsid w:val="00C54C34"/>
    <w:rsid w:val="00C54CEE"/>
    <w:rsid w:val="00C54E01"/>
    <w:rsid w:val="00C55394"/>
    <w:rsid w:val="00C56086"/>
    <w:rsid w:val="00C56802"/>
    <w:rsid w:val="00C56F70"/>
    <w:rsid w:val="00C5704C"/>
    <w:rsid w:val="00C57E45"/>
    <w:rsid w:val="00C57EEA"/>
    <w:rsid w:val="00C60501"/>
    <w:rsid w:val="00C607F9"/>
    <w:rsid w:val="00C61360"/>
    <w:rsid w:val="00C6143D"/>
    <w:rsid w:val="00C61F27"/>
    <w:rsid w:val="00C628BE"/>
    <w:rsid w:val="00C62BC6"/>
    <w:rsid w:val="00C62F6F"/>
    <w:rsid w:val="00C6379D"/>
    <w:rsid w:val="00C63AB1"/>
    <w:rsid w:val="00C63AFC"/>
    <w:rsid w:val="00C63EB9"/>
    <w:rsid w:val="00C647E1"/>
    <w:rsid w:val="00C64A7F"/>
    <w:rsid w:val="00C66FD3"/>
    <w:rsid w:val="00C6708E"/>
    <w:rsid w:val="00C67866"/>
    <w:rsid w:val="00C67DF6"/>
    <w:rsid w:val="00C7078C"/>
    <w:rsid w:val="00C712F3"/>
    <w:rsid w:val="00C716CA"/>
    <w:rsid w:val="00C71A23"/>
    <w:rsid w:val="00C7224E"/>
    <w:rsid w:val="00C72278"/>
    <w:rsid w:val="00C72CAA"/>
    <w:rsid w:val="00C72CFC"/>
    <w:rsid w:val="00C730F5"/>
    <w:rsid w:val="00C73905"/>
    <w:rsid w:val="00C73A00"/>
    <w:rsid w:val="00C74908"/>
    <w:rsid w:val="00C7493F"/>
    <w:rsid w:val="00C749E0"/>
    <w:rsid w:val="00C74CDB"/>
    <w:rsid w:val="00C759E1"/>
    <w:rsid w:val="00C75B28"/>
    <w:rsid w:val="00C75E6F"/>
    <w:rsid w:val="00C75F66"/>
    <w:rsid w:val="00C76CAC"/>
    <w:rsid w:val="00C7758D"/>
    <w:rsid w:val="00C77736"/>
    <w:rsid w:val="00C77CD4"/>
    <w:rsid w:val="00C77ED7"/>
    <w:rsid w:val="00C80131"/>
    <w:rsid w:val="00C8061B"/>
    <w:rsid w:val="00C80867"/>
    <w:rsid w:val="00C81BB8"/>
    <w:rsid w:val="00C82215"/>
    <w:rsid w:val="00C832EA"/>
    <w:rsid w:val="00C833B0"/>
    <w:rsid w:val="00C83566"/>
    <w:rsid w:val="00C83C3E"/>
    <w:rsid w:val="00C83DB1"/>
    <w:rsid w:val="00C83F2A"/>
    <w:rsid w:val="00C848DA"/>
    <w:rsid w:val="00C853FB"/>
    <w:rsid w:val="00C87310"/>
    <w:rsid w:val="00C8738A"/>
    <w:rsid w:val="00C8742A"/>
    <w:rsid w:val="00C90516"/>
    <w:rsid w:val="00C90D20"/>
    <w:rsid w:val="00C916D0"/>
    <w:rsid w:val="00C918AC"/>
    <w:rsid w:val="00C91B1E"/>
    <w:rsid w:val="00C91B5B"/>
    <w:rsid w:val="00C91C79"/>
    <w:rsid w:val="00C925B4"/>
    <w:rsid w:val="00C92B32"/>
    <w:rsid w:val="00C93754"/>
    <w:rsid w:val="00C93CEF"/>
    <w:rsid w:val="00C94244"/>
    <w:rsid w:val="00C94978"/>
    <w:rsid w:val="00C94F3B"/>
    <w:rsid w:val="00C950F0"/>
    <w:rsid w:val="00C96326"/>
    <w:rsid w:val="00C96474"/>
    <w:rsid w:val="00C964B3"/>
    <w:rsid w:val="00C96C4D"/>
    <w:rsid w:val="00C96E37"/>
    <w:rsid w:val="00C97C55"/>
    <w:rsid w:val="00C97D44"/>
    <w:rsid w:val="00CA10F1"/>
    <w:rsid w:val="00CA25D3"/>
    <w:rsid w:val="00CA273A"/>
    <w:rsid w:val="00CA298D"/>
    <w:rsid w:val="00CA35F4"/>
    <w:rsid w:val="00CA3EDA"/>
    <w:rsid w:val="00CA410A"/>
    <w:rsid w:val="00CA5075"/>
    <w:rsid w:val="00CA561B"/>
    <w:rsid w:val="00CA58CC"/>
    <w:rsid w:val="00CA61A7"/>
    <w:rsid w:val="00CA67EC"/>
    <w:rsid w:val="00CA7549"/>
    <w:rsid w:val="00CA7B65"/>
    <w:rsid w:val="00CA7D12"/>
    <w:rsid w:val="00CA7F5D"/>
    <w:rsid w:val="00CB1CD4"/>
    <w:rsid w:val="00CB1D12"/>
    <w:rsid w:val="00CB2B1F"/>
    <w:rsid w:val="00CB30C5"/>
    <w:rsid w:val="00CB549A"/>
    <w:rsid w:val="00CB570B"/>
    <w:rsid w:val="00CB642D"/>
    <w:rsid w:val="00CB73EA"/>
    <w:rsid w:val="00CB7A29"/>
    <w:rsid w:val="00CC0F69"/>
    <w:rsid w:val="00CC1406"/>
    <w:rsid w:val="00CC1A13"/>
    <w:rsid w:val="00CC1E80"/>
    <w:rsid w:val="00CC225E"/>
    <w:rsid w:val="00CC28BC"/>
    <w:rsid w:val="00CC3632"/>
    <w:rsid w:val="00CC36A1"/>
    <w:rsid w:val="00CC3D57"/>
    <w:rsid w:val="00CC3D92"/>
    <w:rsid w:val="00CC4413"/>
    <w:rsid w:val="00CC61C4"/>
    <w:rsid w:val="00CC62E8"/>
    <w:rsid w:val="00CC70DD"/>
    <w:rsid w:val="00CC770E"/>
    <w:rsid w:val="00CD0236"/>
    <w:rsid w:val="00CD2022"/>
    <w:rsid w:val="00CD208C"/>
    <w:rsid w:val="00CD2C0C"/>
    <w:rsid w:val="00CD2C16"/>
    <w:rsid w:val="00CD2E26"/>
    <w:rsid w:val="00CD2FE1"/>
    <w:rsid w:val="00CD3213"/>
    <w:rsid w:val="00CD3321"/>
    <w:rsid w:val="00CD3DD2"/>
    <w:rsid w:val="00CD47D8"/>
    <w:rsid w:val="00CD5079"/>
    <w:rsid w:val="00CD5F49"/>
    <w:rsid w:val="00CD62AF"/>
    <w:rsid w:val="00CD62D0"/>
    <w:rsid w:val="00CD67C3"/>
    <w:rsid w:val="00CD6A39"/>
    <w:rsid w:val="00CD72ED"/>
    <w:rsid w:val="00CD76D1"/>
    <w:rsid w:val="00CE0134"/>
    <w:rsid w:val="00CE0331"/>
    <w:rsid w:val="00CE1169"/>
    <w:rsid w:val="00CE13E2"/>
    <w:rsid w:val="00CE159E"/>
    <w:rsid w:val="00CE19CC"/>
    <w:rsid w:val="00CE2635"/>
    <w:rsid w:val="00CE2932"/>
    <w:rsid w:val="00CE2A94"/>
    <w:rsid w:val="00CE2C76"/>
    <w:rsid w:val="00CE383C"/>
    <w:rsid w:val="00CE38BB"/>
    <w:rsid w:val="00CE44B2"/>
    <w:rsid w:val="00CE4B8B"/>
    <w:rsid w:val="00CE6626"/>
    <w:rsid w:val="00CE6E80"/>
    <w:rsid w:val="00CE784F"/>
    <w:rsid w:val="00CF1B8C"/>
    <w:rsid w:val="00CF1E22"/>
    <w:rsid w:val="00CF20E6"/>
    <w:rsid w:val="00CF2CD8"/>
    <w:rsid w:val="00CF337F"/>
    <w:rsid w:val="00CF343C"/>
    <w:rsid w:val="00CF34A2"/>
    <w:rsid w:val="00CF3A50"/>
    <w:rsid w:val="00CF5283"/>
    <w:rsid w:val="00CF5C7C"/>
    <w:rsid w:val="00CF5CA2"/>
    <w:rsid w:val="00CF63A7"/>
    <w:rsid w:val="00CF659F"/>
    <w:rsid w:val="00CF7698"/>
    <w:rsid w:val="00CF7911"/>
    <w:rsid w:val="00CF7C8F"/>
    <w:rsid w:val="00D0055E"/>
    <w:rsid w:val="00D01AB8"/>
    <w:rsid w:val="00D01AE8"/>
    <w:rsid w:val="00D01B64"/>
    <w:rsid w:val="00D02E37"/>
    <w:rsid w:val="00D03358"/>
    <w:rsid w:val="00D039D7"/>
    <w:rsid w:val="00D03AE2"/>
    <w:rsid w:val="00D03BB0"/>
    <w:rsid w:val="00D03E17"/>
    <w:rsid w:val="00D03E90"/>
    <w:rsid w:val="00D04671"/>
    <w:rsid w:val="00D05A62"/>
    <w:rsid w:val="00D05A9D"/>
    <w:rsid w:val="00D06155"/>
    <w:rsid w:val="00D06953"/>
    <w:rsid w:val="00D06FE1"/>
    <w:rsid w:val="00D070B8"/>
    <w:rsid w:val="00D070DF"/>
    <w:rsid w:val="00D07804"/>
    <w:rsid w:val="00D07AD9"/>
    <w:rsid w:val="00D07EAD"/>
    <w:rsid w:val="00D10601"/>
    <w:rsid w:val="00D10715"/>
    <w:rsid w:val="00D108A4"/>
    <w:rsid w:val="00D10FC1"/>
    <w:rsid w:val="00D11616"/>
    <w:rsid w:val="00D11E27"/>
    <w:rsid w:val="00D12A20"/>
    <w:rsid w:val="00D12BB1"/>
    <w:rsid w:val="00D12D6A"/>
    <w:rsid w:val="00D1333D"/>
    <w:rsid w:val="00D13BCC"/>
    <w:rsid w:val="00D14477"/>
    <w:rsid w:val="00D155A9"/>
    <w:rsid w:val="00D2072E"/>
    <w:rsid w:val="00D21389"/>
    <w:rsid w:val="00D2143C"/>
    <w:rsid w:val="00D21548"/>
    <w:rsid w:val="00D217A9"/>
    <w:rsid w:val="00D22968"/>
    <w:rsid w:val="00D22DD7"/>
    <w:rsid w:val="00D24726"/>
    <w:rsid w:val="00D24A6D"/>
    <w:rsid w:val="00D24B01"/>
    <w:rsid w:val="00D2549C"/>
    <w:rsid w:val="00D263C6"/>
    <w:rsid w:val="00D265E6"/>
    <w:rsid w:val="00D26B06"/>
    <w:rsid w:val="00D26D2C"/>
    <w:rsid w:val="00D27280"/>
    <w:rsid w:val="00D30696"/>
    <w:rsid w:val="00D30C30"/>
    <w:rsid w:val="00D312DC"/>
    <w:rsid w:val="00D3187E"/>
    <w:rsid w:val="00D325D5"/>
    <w:rsid w:val="00D326F7"/>
    <w:rsid w:val="00D32EA1"/>
    <w:rsid w:val="00D342C1"/>
    <w:rsid w:val="00D345A7"/>
    <w:rsid w:val="00D34EC9"/>
    <w:rsid w:val="00D35E0E"/>
    <w:rsid w:val="00D35F82"/>
    <w:rsid w:val="00D37B2C"/>
    <w:rsid w:val="00D406C3"/>
    <w:rsid w:val="00D407EC"/>
    <w:rsid w:val="00D4109D"/>
    <w:rsid w:val="00D4116C"/>
    <w:rsid w:val="00D413D2"/>
    <w:rsid w:val="00D415C6"/>
    <w:rsid w:val="00D415F5"/>
    <w:rsid w:val="00D41784"/>
    <w:rsid w:val="00D41D4F"/>
    <w:rsid w:val="00D42505"/>
    <w:rsid w:val="00D4283C"/>
    <w:rsid w:val="00D428E2"/>
    <w:rsid w:val="00D44C4D"/>
    <w:rsid w:val="00D44FDF"/>
    <w:rsid w:val="00D457F8"/>
    <w:rsid w:val="00D463BD"/>
    <w:rsid w:val="00D465BF"/>
    <w:rsid w:val="00D47AFA"/>
    <w:rsid w:val="00D47BD8"/>
    <w:rsid w:val="00D50324"/>
    <w:rsid w:val="00D50376"/>
    <w:rsid w:val="00D50F1A"/>
    <w:rsid w:val="00D515C9"/>
    <w:rsid w:val="00D531E9"/>
    <w:rsid w:val="00D53B58"/>
    <w:rsid w:val="00D54B34"/>
    <w:rsid w:val="00D571F5"/>
    <w:rsid w:val="00D572C5"/>
    <w:rsid w:val="00D57A46"/>
    <w:rsid w:val="00D61600"/>
    <w:rsid w:val="00D61C37"/>
    <w:rsid w:val="00D6359B"/>
    <w:rsid w:val="00D64245"/>
    <w:rsid w:val="00D6500D"/>
    <w:rsid w:val="00D66BFB"/>
    <w:rsid w:val="00D674DF"/>
    <w:rsid w:val="00D675AB"/>
    <w:rsid w:val="00D70235"/>
    <w:rsid w:val="00D705FA"/>
    <w:rsid w:val="00D70C09"/>
    <w:rsid w:val="00D70C38"/>
    <w:rsid w:val="00D7100C"/>
    <w:rsid w:val="00D71070"/>
    <w:rsid w:val="00D71EDF"/>
    <w:rsid w:val="00D71F3F"/>
    <w:rsid w:val="00D722DE"/>
    <w:rsid w:val="00D724DF"/>
    <w:rsid w:val="00D72771"/>
    <w:rsid w:val="00D7284A"/>
    <w:rsid w:val="00D72FCC"/>
    <w:rsid w:val="00D73394"/>
    <w:rsid w:val="00D735A4"/>
    <w:rsid w:val="00D739A0"/>
    <w:rsid w:val="00D74985"/>
    <w:rsid w:val="00D74FA4"/>
    <w:rsid w:val="00D74FB7"/>
    <w:rsid w:val="00D757B8"/>
    <w:rsid w:val="00D76AA2"/>
    <w:rsid w:val="00D76C70"/>
    <w:rsid w:val="00D7717B"/>
    <w:rsid w:val="00D801D8"/>
    <w:rsid w:val="00D8084B"/>
    <w:rsid w:val="00D80A50"/>
    <w:rsid w:val="00D81603"/>
    <w:rsid w:val="00D818BE"/>
    <w:rsid w:val="00D81AED"/>
    <w:rsid w:val="00D81BB2"/>
    <w:rsid w:val="00D81CCE"/>
    <w:rsid w:val="00D82623"/>
    <w:rsid w:val="00D82AD3"/>
    <w:rsid w:val="00D82B2C"/>
    <w:rsid w:val="00D851F0"/>
    <w:rsid w:val="00D85628"/>
    <w:rsid w:val="00D859AA"/>
    <w:rsid w:val="00D85B49"/>
    <w:rsid w:val="00D85D45"/>
    <w:rsid w:val="00D863AE"/>
    <w:rsid w:val="00D86597"/>
    <w:rsid w:val="00D865FC"/>
    <w:rsid w:val="00D86C41"/>
    <w:rsid w:val="00D87D6C"/>
    <w:rsid w:val="00D87F20"/>
    <w:rsid w:val="00D907E3"/>
    <w:rsid w:val="00D91C56"/>
    <w:rsid w:val="00D93064"/>
    <w:rsid w:val="00D9395A"/>
    <w:rsid w:val="00D93C16"/>
    <w:rsid w:val="00D93CDA"/>
    <w:rsid w:val="00D94410"/>
    <w:rsid w:val="00D94935"/>
    <w:rsid w:val="00D94FC5"/>
    <w:rsid w:val="00D95759"/>
    <w:rsid w:val="00D95DEE"/>
    <w:rsid w:val="00D96160"/>
    <w:rsid w:val="00D96185"/>
    <w:rsid w:val="00D96C24"/>
    <w:rsid w:val="00D9751B"/>
    <w:rsid w:val="00D9782C"/>
    <w:rsid w:val="00DA27EE"/>
    <w:rsid w:val="00DA2DA4"/>
    <w:rsid w:val="00DA3FA4"/>
    <w:rsid w:val="00DA49B7"/>
    <w:rsid w:val="00DA54A4"/>
    <w:rsid w:val="00DA686B"/>
    <w:rsid w:val="00DA6988"/>
    <w:rsid w:val="00DA6BCC"/>
    <w:rsid w:val="00DA6F76"/>
    <w:rsid w:val="00DA735F"/>
    <w:rsid w:val="00DA7604"/>
    <w:rsid w:val="00DA7973"/>
    <w:rsid w:val="00DB0247"/>
    <w:rsid w:val="00DB062E"/>
    <w:rsid w:val="00DB0C57"/>
    <w:rsid w:val="00DB1142"/>
    <w:rsid w:val="00DB1155"/>
    <w:rsid w:val="00DB1753"/>
    <w:rsid w:val="00DB195D"/>
    <w:rsid w:val="00DB1EFB"/>
    <w:rsid w:val="00DB1F4D"/>
    <w:rsid w:val="00DB2A15"/>
    <w:rsid w:val="00DB3233"/>
    <w:rsid w:val="00DB3A1E"/>
    <w:rsid w:val="00DB403B"/>
    <w:rsid w:val="00DB44D5"/>
    <w:rsid w:val="00DB4CC8"/>
    <w:rsid w:val="00DB4E25"/>
    <w:rsid w:val="00DB69F7"/>
    <w:rsid w:val="00DB70E7"/>
    <w:rsid w:val="00DB73F7"/>
    <w:rsid w:val="00DB7BBE"/>
    <w:rsid w:val="00DC06CF"/>
    <w:rsid w:val="00DC070D"/>
    <w:rsid w:val="00DC079A"/>
    <w:rsid w:val="00DC0D85"/>
    <w:rsid w:val="00DC0FC4"/>
    <w:rsid w:val="00DC1055"/>
    <w:rsid w:val="00DC10DA"/>
    <w:rsid w:val="00DC13D1"/>
    <w:rsid w:val="00DC177B"/>
    <w:rsid w:val="00DC24F4"/>
    <w:rsid w:val="00DC2B32"/>
    <w:rsid w:val="00DC2D14"/>
    <w:rsid w:val="00DC33E0"/>
    <w:rsid w:val="00DC375F"/>
    <w:rsid w:val="00DC378F"/>
    <w:rsid w:val="00DC4C9E"/>
    <w:rsid w:val="00DC5016"/>
    <w:rsid w:val="00DC5E48"/>
    <w:rsid w:val="00DD0F1C"/>
    <w:rsid w:val="00DD1519"/>
    <w:rsid w:val="00DD19E0"/>
    <w:rsid w:val="00DD1ADD"/>
    <w:rsid w:val="00DD1E31"/>
    <w:rsid w:val="00DD2C0C"/>
    <w:rsid w:val="00DD349C"/>
    <w:rsid w:val="00DD353C"/>
    <w:rsid w:val="00DD35F7"/>
    <w:rsid w:val="00DD414F"/>
    <w:rsid w:val="00DD4B61"/>
    <w:rsid w:val="00DD59F3"/>
    <w:rsid w:val="00DD5EF0"/>
    <w:rsid w:val="00DD6343"/>
    <w:rsid w:val="00DD6F2B"/>
    <w:rsid w:val="00DD6F6C"/>
    <w:rsid w:val="00DD70A1"/>
    <w:rsid w:val="00DD7B33"/>
    <w:rsid w:val="00DE0180"/>
    <w:rsid w:val="00DE0979"/>
    <w:rsid w:val="00DE0CC3"/>
    <w:rsid w:val="00DE123F"/>
    <w:rsid w:val="00DE126E"/>
    <w:rsid w:val="00DE1750"/>
    <w:rsid w:val="00DE277A"/>
    <w:rsid w:val="00DE31E0"/>
    <w:rsid w:val="00DE3C65"/>
    <w:rsid w:val="00DE3FA4"/>
    <w:rsid w:val="00DE49D3"/>
    <w:rsid w:val="00DE4FEC"/>
    <w:rsid w:val="00DE5395"/>
    <w:rsid w:val="00DE58AA"/>
    <w:rsid w:val="00DE6233"/>
    <w:rsid w:val="00DE64D5"/>
    <w:rsid w:val="00DE67DE"/>
    <w:rsid w:val="00DE6876"/>
    <w:rsid w:val="00DE6A25"/>
    <w:rsid w:val="00DE6DC5"/>
    <w:rsid w:val="00DE739E"/>
    <w:rsid w:val="00DE7E5C"/>
    <w:rsid w:val="00DF048B"/>
    <w:rsid w:val="00DF1335"/>
    <w:rsid w:val="00DF180D"/>
    <w:rsid w:val="00DF30DC"/>
    <w:rsid w:val="00DF320F"/>
    <w:rsid w:val="00DF41E3"/>
    <w:rsid w:val="00DF5115"/>
    <w:rsid w:val="00DF512C"/>
    <w:rsid w:val="00DF5B70"/>
    <w:rsid w:val="00DF5C5A"/>
    <w:rsid w:val="00DF6378"/>
    <w:rsid w:val="00DF6818"/>
    <w:rsid w:val="00DF6D21"/>
    <w:rsid w:val="00DF6F47"/>
    <w:rsid w:val="00DF703F"/>
    <w:rsid w:val="00DF71A7"/>
    <w:rsid w:val="00DF7534"/>
    <w:rsid w:val="00DF7DEB"/>
    <w:rsid w:val="00DF7F7D"/>
    <w:rsid w:val="00E010E7"/>
    <w:rsid w:val="00E01332"/>
    <w:rsid w:val="00E01654"/>
    <w:rsid w:val="00E01893"/>
    <w:rsid w:val="00E027AC"/>
    <w:rsid w:val="00E02A26"/>
    <w:rsid w:val="00E02FD4"/>
    <w:rsid w:val="00E03186"/>
    <w:rsid w:val="00E0430B"/>
    <w:rsid w:val="00E04BC0"/>
    <w:rsid w:val="00E04C24"/>
    <w:rsid w:val="00E04E6B"/>
    <w:rsid w:val="00E05429"/>
    <w:rsid w:val="00E056C9"/>
    <w:rsid w:val="00E06872"/>
    <w:rsid w:val="00E06967"/>
    <w:rsid w:val="00E06BD8"/>
    <w:rsid w:val="00E06F97"/>
    <w:rsid w:val="00E06FD6"/>
    <w:rsid w:val="00E06FFD"/>
    <w:rsid w:val="00E070A5"/>
    <w:rsid w:val="00E071FB"/>
    <w:rsid w:val="00E10706"/>
    <w:rsid w:val="00E10F53"/>
    <w:rsid w:val="00E10F64"/>
    <w:rsid w:val="00E11109"/>
    <w:rsid w:val="00E11D01"/>
    <w:rsid w:val="00E11F0F"/>
    <w:rsid w:val="00E1227E"/>
    <w:rsid w:val="00E12C64"/>
    <w:rsid w:val="00E12E11"/>
    <w:rsid w:val="00E12FA3"/>
    <w:rsid w:val="00E134B4"/>
    <w:rsid w:val="00E13662"/>
    <w:rsid w:val="00E13D12"/>
    <w:rsid w:val="00E148D6"/>
    <w:rsid w:val="00E14E24"/>
    <w:rsid w:val="00E1635B"/>
    <w:rsid w:val="00E163ED"/>
    <w:rsid w:val="00E17173"/>
    <w:rsid w:val="00E17411"/>
    <w:rsid w:val="00E175B2"/>
    <w:rsid w:val="00E1773C"/>
    <w:rsid w:val="00E177C2"/>
    <w:rsid w:val="00E17FEA"/>
    <w:rsid w:val="00E20566"/>
    <w:rsid w:val="00E206F5"/>
    <w:rsid w:val="00E21003"/>
    <w:rsid w:val="00E2142A"/>
    <w:rsid w:val="00E21D2E"/>
    <w:rsid w:val="00E222EB"/>
    <w:rsid w:val="00E22853"/>
    <w:rsid w:val="00E235A2"/>
    <w:rsid w:val="00E26A41"/>
    <w:rsid w:val="00E26FDF"/>
    <w:rsid w:val="00E27499"/>
    <w:rsid w:val="00E309A0"/>
    <w:rsid w:val="00E30A75"/>
    <w:rsid w:val="00E30DCF"/>
    <w:rsid w:val="00E3218B"/>
    <w:rsid w:val="00E32299"/>
    <w:rsid w:val="00E324AB"/>
    <w:rsid w:val="00E32CB5"/>
    <w:rsid w:val="00E33396"/>
    <w:rsid w:val="00E3437F"/>
    <w:rsid w:val="00E346EA"/>
    <w:rsid w:val="00E34FB8"/>
    <w:rsid w:val="00E352D1"/>
    <w:rsid w:val="00E3698F"/>
    <w:rsid w:val="00E40649"/>
    <w:rsid w:val="00E406C7"/>
    <w:rsid w:val="00E4096D"/>
    <w:rsid w:val="00E40A1D"/>
    <w:rsid w:val="00E41883"/>
    <w:rsid w:val="00E41C52"/>
    <w:rsid w:val="00E427B8"/>
    <w:rsid w:val="00E430EE"/>
    <w:rsid w:val="00E432CA"/>
    <w:rsid w:val="00E43893"/>
    <w:rsid w:val="00E43A3B"/>
    <w:rsid w:val="00E43C76"/>
    <w:rsid w:val="00E441D4"/>
    <w:rsid w:val="00E4444C"/>
    <w:rsid w:val="00E444F3"/>
    <w:rsid w:val="00E4470C"/>
    <w:rsid w:val="00E449BD"/>
    <w:rsid w:val="00E44FD4"/>
    <w:rsid w:val="00E455A8"/>
    <w:rsid w:val="00E45A91"/>
    <w:rsid w:val="00E45EE5"/>
    <w:rsid w:val="00E46227"/>
    <w:rsid w:val="00E46411"/>
    <w:rsid w:val="00E476C4"/>
    <w:rsid w:val="00E4789B"/>
    <w:rsid w:val="00E47BE6"/>
    <w:rsid w:val="00E5006B"/>
    <w:rsid w:val="00E50A8D"/>
    <w:rsid w:val="00E50D13"/>
    <w:rsid w:val="00E50DE2"/>
    <w:rsid w:val="00E5131F"/>
    <w:rsid w:val="00E53A44"/>
    <w:rsid w:val="00E53AF0"/>
    <w:rsid w:val="00E5467A"/>
    <w:rsid w:val="00E54ACC"/>
    <w:rsid w:val="00E55BC9"/>
    <w:rsid w:val="00E560FB"/>
    <w:rsid w:val="00E56305"/>
    <w:rsid w:val="00E56594"/>
    <w:rsid w:val="00E60155"/>
    <w:rsid w:val="00E60207"/>
    <w:rsid w:val="00E62374"/>
    <w:rsid w:val="00E63664"/>
    <w:rsid w:val="00E63738"/>
    <w:rsid w:val="00E63785"/>
    <w:rsid w:val="00E64123"/>
    <w:rsid w:val="00E64124"/>
    <w:rsid w:val="00E64703"/>
    <w:rsid w:val="00E648E3"/>
    <w:rsid w:val="00E649D6"/>
    <w:rsid w:val="00E64A4B"/>
    <w:rsid w:val="00E64C50"/>
    <w:rsid w:val="00E64E3D"/>
    <w:rsid w:val="00E659EC"/>
    <w:rsid w:val="00E662D0"/>
    <w:rsid w:val="00E66612"/>
    <w:rsid w:val="00E66CF2"/>
    <w:rsid w:val="00E67AB4"/>
    <w:rsid w:val="00E67B5E"/>
    <w:rsid w:val="00E709A7"/>
    <w:rsid w:val="00E7139A"/>
    <w:rsid w:val="00E716C3"/>
    <w:rsid w:val="00E71D4E"/>
    <w:rsid w:val="00E71F2A"/>
    <w:rsid w:val="00E72E1B"/>
    <w:rsid w:val="00E73627"/>
    <w:rsid w:val="00E73B8F"/>
    <w:rsid w:val="00E75E87"/>
    <w:rsid w:val="00E76D35"/>
    <w:rsid w:val="00E779D9"/>
    <w:rsid w:val="00E77FE1"/>
    <w:rsid w:val="00E80D4A"/>
    <w:rsid w:val="00E81649"/>
    <w:rsid w:val="00E817DD"/>
    <w:rsid w:val="00E81F8D"/>
    <w:rsid w:val="00E82712"/>
    <w:rsid w:val="00E82F88"/>
    <w:rsid w:val="00E8305F"/>
    <w:rsid w:val="00E83283"/>
    <w:rsid w:val="00E832B0"/>
    <w:rsid w:val="00E83305"/>
    <w:rsid w:val="00E841FF"/>
    <w:rsid w:val="00E84406"/>
    <w:rsid w:val="00E84F8D"/>
    <w:rsid w:val="00E8527C"/>
    <w:rsid w:val="00E85361"/>
    <w:rsid w:val="00E85989"/>
    <w:rsid w:val="00E859EC"/>
    <w:rsid w:val="00E8617C"/>
    <w:rsid w:val="00E8668C"/>
    <w:rsid w:val="00E87AA8"/>
    <w:rsid w:val="00E90089"/>
    <w:rsid w:val="00E90882"/>
    <w:rsid w:val="00E90FEB"/>
    <w:rsid w:val="00E913F5"/>
    <w:rsid w:val="00E927EF"/>
    <w:rsid w:val="00E93C40"/>
    <w:rsid w:val="00E93FCE"/>
    <w:rsid w:val="00E94137"/>
    <w:rsid w:val="00E94D3C"/>
    <w:rsid w:val="00E95637"/>
    <w:rsid w:val="00E9587B"/>
    <w:rsid w:val="00E9685E"/>
    <w:rsid w:val="00E96CB9"/>
    <w:rsid w:val="00E9762B"/>
    <w:rsid w:val="00EA003C"/>
    <w:rsid w:val="00EA02AB"/>
    <w:rsid w:val="00EA03A6"/>
    <w:rsid w:val="00EA0625"/>
    <w:rsid w:val="00EA14F9"/>
    <w:rsid w:val="00EA2FAF"/>
    <w:rsid w:val="00EA3482"/>
    <w:rsid w:val="00EA3F4A"/>
    <w:rsid w:val="00EA564A"/>
    <w:rsid w:val="00EA58A1"/>
    <w:rsid w:val="00EA7873"/>
    <w:rsid w:val="00EA7D2D"/>
    <w:rsid w:val="00EA7DC4"/>
    <w:rsid w:val="00EB0196"/>
    <w:rsid w:val="00EB0A9B"/>
    <w:rsid w:val="00EB0C1F"/>
    <w:rsid w:val="00EB0E7A"/>
    <w:rsid w:val="00EB1535"/>
    <w:rsid w:val="00EB1701"/>
    <w:rsid w:val="00EB1B85"/>
    <w:rsid w:val="00EB2198"/>
    <w:rsid w:val="00EB2C8B"/>
    <w:rsid w:val="00EB3042"/>
    <w:rsid w:val="00EB3A6D"/>
    <w:rsid w:val="00EB41A2"/>
    <w:rsid w:val="00EB42D6"/>
    <w:rsid w:val="00EB5B9A"/>
    <w:rsid w:val="00EB5C1B"/>
    <w:rsid w:val="00EB6311"/>
    <w:rsid w:val="00EB6689"/>
    <w:rsid w:val="00EB6C13"/>
    <w:rsid w:val="00EB6CF8"/>
    <w:rsid w:val="00EC0121"/>
    <w:rsid w:val="00EC0BA0"/>
    <w:rsid w:val="00EC122E"/>
    <w:rsid w:val="00EC2080"/>
    <w:rsid w:val="00EC2111"/>
    <w:rsid w:val="00EC2443"/>
    <w:rsid w:val="00EC24CE"/>
    <w:rsid w:val="00EC2533"/>
    <w:rsid w:val="00EC3360"/>
    <w:rsid w:val="00EC364D"/>
    <w:rsid w:val="00EC3AFC"/>
    <w:rsid w:val="00EC4DDE"/>
    <w:rsid w:val="00EC5A61"/>
    <w:rsid w:val="00EC60C0"/>
    <w:rsid w:val="00EC64F3"/>
    <w:rsid w:val="00EC7E0A"/>
    <w:rsid w:val="00ED1F48"/>
    <w:rsid w:val="00ED210E"/>
    <w:rsid w:val="00ED275C"/>
    <w:rsid w:val="00ED2832"/>
    <w:rsid w:val="00ED3244"/>
    <w:rsid w:val="00ED3341"/>
    <w:rsid w:val="00ED39BA"/>
    <w:rsid w:val="00ED52F4"/>
    <w:rsid w:val="00ED67B5"/>
    <w:rsid w:val="00ED73C0"/>
    <w:rsid w:val="00ED7586"/>
    <w:rsid w:val="00ED7FF3"/>
    <w:rsid w:val="00EE05BD"/>
    <w:rsid w:val="00EE05FC"/>
    <w:rsid w:val="00EE0A28"/>
    <w:rsid w:val="00EE0F04"/>
    <w:rsid w:val="00EE1A48"/>
    <w:rsid w:val="00EE4AA8"/>
    <w:rsid w:val="00EE4CFD"/>
    <w:rsid w:val="00EE5220"/>
    <w:rsid w:val="00EE5719"/>
    <w:rsid w:val="00EE6D59"/>
    <w:rsid w:val="00EE6D93"/>
    <w:rsid w:val="00EE77CA"/>
    <w:rsid w:val="00EE7CD9"/>
    <w:rsid w:val="00EF0402"/>
    <w:rsid w:val="00EF0510"/>
    <w:rsid w:val="00EF1FC3"/>
    <w:rsid w:val="00EF25ED"/>
    <w:rsid w:val="00EF3389"/>
    <w:rsid w:val="00EF360F"/>
    <w:rsid w:val="00EF4351"/>
    <w:rsid w:val="00EF43D1"/>
    <w:rsid w:val="00EF50B1"/>
    <w:rsid w:val="00EF56CA"/>
    <w:rsid w:val="00EF56CB"/>
    <w:rsid w:val="00EF7714"/>
    <w:rsid w:val="00EF7748"/>
    <w:rsid w:val="00EF7926"/>
    <w:rsid w:val="00EF7ABE"/>
    <w:rsid w:val="00F00364"/>
    <w:rsid w:val="00F008C6"/>
    <w:rsid w:val="00F00904"/>
    <w:rsid w:val="00F012F8"/>
    <w:rsid w:val="00F017FD"/>
    <w:rsid w:val="00F02B17"/>
    <w:rsid w:val="00F02C81"/>
    <w:rsid w:val="00F038DB"/>
    <w:rsid w:val="00F055C1"/>
    <w:rsid w:val="00F059A4"/>
    <w:rsid w:val="00F05C8C"/>
    <w:rsid w:val="00F06630"/>
    <w:rsid w:val="00F0707D"/>
    <w:rsid w:val="00F103CF"/>
    <w:rsid w:val="00F10C89"/>
    <w:rsid w:val="00F10D5C"/>
    <w:rsid w:val="00F11A52"/>
    <w:rsid w:val="00F11F25"/>
    <w:rsid w:val="00F12A8D"/>
    <w:rsid w:val="00F1322A"/>
    <w:rsid w:val="00F13545"/>
    <w:rsid w:val="00F14229"/>
    <w:rsid w:val="00F145CC"/>
    <w:rsid w:val="00F14E96"/>
    <w:rsid w:val="00F14F1D"/>
    <w:rsid w:val="00F15482"/>
    <w:rsid w:val="00F16423"/>
    <w:rsid w:val="00F16E03"/>
    <w:rsid w:val="00F1741A"/>
    <w:rsid w:val="00F17BF5"/>
    <w:rsid w:val="00F207E0"/>
    <w:rsid w:val="00F20AB7"/>
    <w:rsid w:val="00F214C9"/>
    <w:rsid w:val="00F21820"/>
    <w:rsid w:val="00F21EAC"/>
    <w:rsid w:val="00F2207E"/>
    <w:rsid w:val="00F224A2"/>
    <w:rsid w:val="00F23417"/>
    <w:rsid w:val="00F238DB"/>
    <w:rsid w:val="00F23A73"/>
    <w:rsid w:val="00F24097"/>
    <w:rsid w:val="00F2426D"/>
    <w:rsid w:val="00F24586"/>
    <w:rsid w:val="00F24BF3"/>
    <w:rsid w:val="00F24EB7"/>
    <w:rsid w:val="00F24FCD"/>
    <w:rsid w:val="00F2523B"/>
    <w:rsid w:val="00F25FDC"/>
    <w:rsid w:val="00F2659F"/>
    <w:rsid w:val="00F26ED9"/>
    <w:rsid w:val="00F27787"/>
    <w:rsid w:val="00F278BE"/>
    <w:rsid w:val="00F306A0"/>
    <w:rsid w:val="00F30D12"/>
    <w:rsid w:val="00F310CF"/>
    <w:rsid w:val="00F31BBD"/>
    <w:rsid w:val="00F3228F"/>
    <w:rsid w:val="00F328D9"/>
    <w:rsid w:val="00F33024"/>
    <w:rsid w:val="00F3327B"/>
    <w:rsid w:val="00F33534"/>
    <w:rsid w:val="00F33879"/>
    <w:rsid w:val="00F33989"/>
    <w:rsid w:val="00F33D03"/>
    <w:rsid w:val="00F34B05"/>
    <w:rsid w:val="00F350B6"/>
    <w:rsid w:val="00F35535"/>
    <w:rsid w:val="00F3579A"/>
    <w:rsid w:val="00F36364"/>
    <w:rsid w:val="00F36611"/>
    <w:rsid w:val="00F3673B"/>
    <w:rsid w:val="00F3745F"/>
    <w:rsid w:val="00F37B8E"/>
    <w:rsid w:val="00F40135"/>
    <w:rsid w:val="00F40296"/>
    <w:rsid w:val="00F40B45"/>
    <w:rsid w:val="00F41364"/>
    <w:rsid w:val="00F418D2"/>
    <w:rsid w:val="00F4288C"/>
    <w:rsid w:val="00F42AFA"/>
    <w:rsid w:val="00F43BAA"/>
    <w:rsid w:val="00F43C25"/>
    <w:rsid w:val="00F44514"/>
    <w:rsid w:val="00F44B6B"/>
    <w:rsid w:val="00F4538E"/>
    <w:rsid w:val="00F45B04"/>
    <w:rsid w:val="00F46BF1"/>
    <w:rsid w:val="00F474A0"/>
    <w:rsid w:val="00F4776A"/>
    <w:rsid w:val="00F47827"/>
    <w:rsid w:val="00F47B2F"/>
    <w:rsid w:val="00F50340"/>
    <w:rsid w:val="00F505F6"/>
    <w:rsid w:val="00F50856"/>
    <w:rsid w:val="00F514FA"/>
    <w:rsid w:val="00F515F4"/>
    <w:rsid w:val="00F5296A"/>
    <w:rsid w:val="00F53AFD"/>
    <w:rsid w:val="00F54098"/>
    <w:rsid w:val="00F55165"/>
    <w:rsid w:val="00F557AC"/>
    <w:rsid w:val="00F55C82"/>
    <w:rsid w:val="00F55D6F"/>
    <w:rsid w:val="00F5600E"/>
    <w:rsid w:val="00F562B8"/>
    <w:rsid w:val="00F56BB8"/>
    <w:rsid w:val="00F56D2F"/>
    <w:rsid w:val="00F57349"/>
    <w:rsid w:val="00F57D76"/>
    <w:rsid w:val="00F6056D"/>
    <w:rsid w:val="00F609CC"/>
    <w:rsid w:val="00F62E2A"/>
    <w:rsid w:val="00F63289"/>
    <w:rsid w:val="00F638D9"/>
    <w:rsid w:val="00F64385"/>
    <w:rsid w:val="00F653C3"/>
    <w:rsid w:val="00F65700"/>
    <w:rsid w:val="00F65862"/>
    <w:rsid w:val="00F65B30"/>
    <w:rsid w:val="00F65B8A"/>
    <w:rsid w:val="00F669BD"/>
    <w:rsid w:val="00F66D45"/>
    <w:rsid w:val="00F673BD"/>
    <w:rsid w:val="00F67EFC"/>
    <w:rsid w:val="00F70040"/>
    <w:rsid w:val="00F710A2"/>
    <w:rsid w:val="00F71266"/>
    <w:rsid w:val="00F71D2A"/>
    <w:rsid w:val="00F7224E"/>
    <w:rsid w:val="00F72850"/>
    <w:rsid w:val="00F72872"/>
    <w:rsid w:val="00F728C7"/>
    <w:rsid w:val="00F73412"/>
    <w:rsid w:val="00F73B3D"/>
    <w:rsid w:val="00F73E91"/>
    <w:rsid w:val="00F74BEE"/>
    <w:rsid w:val="00F74E9E"/>
    <w:rsid w:val="00F75B50"/>
    <w:rsid w:val="00F763A3"/>
    <w:rsid w:val="00F764FF"/>
    <w:rsid w:val="00F7739B"/>
    <w:rsid w:val="00F8057D"/>
    <w:rsid w:val="00F81DFF"/>
    <w:rsid w:val="00F8245C"/>
    <w:rsid w:val="00F8279D"/>
    <w:rsid w:val="00F82B20"/>
    <w:rsid w:val="00F83573"/>
    <w:rsid w:val="00F838CF"/>
    <w:rsid w:val="00F83B41"/>
    <w:rsid w:val="00F83C06"/>
    <w:rsid w:val="00F844BA"/>
    <w:rsid w:val="00F84B6F"/>
    <w:rsid w:val="00F84B73"/>
    <w:rsid w:val="00F851E0"/>
    <w:rsid w:val="00F85430"/>
    <w:rsid w:val="00F8607C"/>
    <w:rsid w:val="00F866BD"/>
    <w:rsid w:val="00F874AF"/>
    <w:rsid w:val="00F87518"/>
    <w:rsid w:val="00F879B8"/>
    <w:rsid w:val="00F901CA"/>
    <w:rsid w:val="00F907F6"/>
    <w:rsid w:val="00F90986"/>
    <w:rsid w:val="00F909E2"/>
    <w:rsid w:val="00F911D8"/>
    <w:rsid w:val="00F914E7"/>
    <w:rsid w:val="00F91C06"/>
    <w:rsid w:val="00F92166"/>
    <w:rsid w:val="00F9248F"/>
    <w:rsid w:val="00F928E1"/>
    <w:rsid w:val="00F92CD2"/>
    <w:rsid w:val="00F92ECD"/>
    <w:rsid w:val="00F937F7"/>
    <w:rsid w:val="00F9460F"/>
    <w:rsid w:val="00F948E9"/>
    <w:rsid w:val="00F94E1E"/>
    <w:rsid w:val="00F95145"/>
    <w:rsid w:val="00F959C3"/>
    <w:rsid w:val="00F959CD"/>
    <w:rsid w:val="00F96125"/>
    <w:rsid w:val="00F9708D"/>
    <w:rsid w:val="00FA03C6"/>
    <w:rsid w:val="00FA1B3A"/>
    <w:rsid w:val="00FA2D39"/>
    <w:rsid w:val="00FA3260"/>
    <w:rsid w:val="00FA33FD"/>
    <w:rsid w:val="00FA3646"/>
    <w:rsid w:val="00FA3AC8"/>
    <w:rsid w:val="00FA3F93"/>
    <w:rsid w:val="00FA4713"/>
    <w:rsid w:val="00FA48A6"/>
    <w:rsid w:val="00FA5BEB"/>
    <w:rsid w:val="00FB0183"/>
    <w:rsid w:val="00FB1C14"/>
    <w:rsid w:val="00FB1FA6"/>
    <w:rsid w:val="00FB285C"/>
    <w:rsid w:val="00FB2D4E"/>
    <w:rsid w:val="00FB2E6E"/>
    <w:rsid w:val="00FB3C0B"/>
    <w:rsid w:val="00FB3DCD"/>
    <w:rsid w:val="00FB47D6"/>
    <w:rsid w:val="00FB611E"/>
    <w:rsid w:val="00FB65E0"/>
    <w:rsid w:val="00FB6A14"/>
    <w:rsid w:val="00FB77F8"/>
    <w:rsid w:val="00FB7AE7"/>
    <w:rsid w:val="00FC0E1B"/>
    <w:rsid w:val="00FC1A94"/>
    <w:rsid w:val="00FC1F4A"/>
    <w:rsid w:val="00FC20DB"/>
    <w:rsid w:val="00FC2249"/>
    <w:rsid w:val="00FC272A"/>
    <w:rsid w:val="00FC2804"/>
    <w:rsid w:val="00FC280C"/>
    <w:rsid w:val="00FC297A"/>
    <w:rsid w:val="00FC2AAA"/>
    <w:rsid w:val="00FC2F89"/>
    <w:rsid w:val="00FC3181"/>
    <w:rsid w:val="00FC4A99"/>
    <w:rsid w:val="00FC5303"/>
    <w:rsid w:val="00FC650B"/>
    <w:rsid w:val="00FC6BDB"/>
    <w:rsid w:val="00FC6BDF"/>
    <w:rsid w:val="00FC6ECB"/>
    <w:rsid w:val="00FC710B"/>
    <w:rsid w:val="00FC7296"/>
    <w:rsid w:val="00FD0248"/>
    <w:rsid w:val="00FD04D2"/>
    <w:rsid w:val="00FD0AAD"/>
    <w:rsid w:val="00FD0D1D"/>
    <w:rsid w:val="00FD1587"/>
    <w:rsid w:val="00FD1957"/>
    <w:rsid w:val="00FD1CEA"/>
    <w:rsid w:val="00FD1E00"/>
    <w:rsid w:val="00FD1E2A"/>
    <w:rsid w:val="00FD2491"/>
    <w:rsid w:val="00FD29E4"/>
    <w:rsid w:val="00FD2E6B"/>
    <w:rsid w:val="00FD3422"/>
    <w:rsid w:val="00FD3F95"/>
    <w:rsid w:val="00FD3FD3"/>
    <w:rsid w:val="00FD428F"/>
    <w:rsid w:val="00FD5BA8"/>
    <w:rsid w:val="00FD6C2F"/>
    <w:rsid w:val="00FD6DCB"/>
    <w:rsid w:val="00FD7408"/>
    <w:rsid w:val="00FD7A70"/>
    <w:rsid w:val="00FE008D"/>
    <w:rsid w:val="00FE0450"/>
    <w:rsid w:val="00FE04F8"/>
    <w:rsid w:val="00FE0F63"/>
    <w:rsid w:val="00FE0FE3"/>
    <w:rsid w:val="00FE2A84"/>
    <w:rsid w:val="00FE2D6B"/>
    <w:rsid w:val="00FE2DCA"/>
    <w:rsid w:val="00FE36A8"/>
    <w:rsid w:val="00FE38BA"/>
    <w:rsid w:val="00FE3956"/>
    <w:rsid w:val="00FE3B5A"/>
    <w:rsid w:val="00FE3D57"/>
    <w:rsid w:val="00FE4531"/>
    <w:rsid w:val="00FE4AA2"/>
    <w:rsid w:val="00FE50F1"/>
    <w:rsid w:val="00FE5398"/>
    <w:rsid w:val="00FE5EFA"/>
    <w:rsid w:val="00FE5F2A"/>
    <w:rsid w:val="00FE60B8"/>
    <w:rsid w:val="00FE61B0"/>
    <w:rsid w:val="00FE6327"/>
    <w:rsid w:val="00FE767C"/>
    <w:rsid w:val="00FE78FA"/>
    <w:rsid w:val="00FF044D"/>
    <w:rsid w:val="00FF1021"/>
    <w:rsid w:val="00FF1125"/>
    <w:rsid w:val="00FF1860"/>
    <w:rsid w:val="00FF2603"/>
    <w:rsid w:val="00FF278D"/>
    <w:rsid w:val="00FF2C7A"/>
    <w:rsid w:val="00FF304C"/>
    <w:rsid w:val="00FF358B"/>
    <w:rsid w:val="00FF3B41"/>
    <w:rsid w:val="00FF419E"/>
    <w:rsid w:val="00FF495D"/>
    <w:rsid w:val="00FF4D8D"/>
    <w:rsid w:val="00FF5308"/>
    <w:rsid w:val="00FF5777"/>
    <w:rsid w:val="00FF5DF7"/>
    <w:rsid w:val="00FF62FD"/>
    <w:rsid w:val="00FF71D4"/>
    <w:rsid w:val="00FF79EF"/>
    <w:rsid w:val="00FF7E1A"/>
  </w:rsids>
  <m:mathPr>
    <m:mathFont m:val="Cambria Math"/>
    <m:brkBin m:val="before"/>
    <m:brkBinSub m:val="--"/>
    <m:smallFrac m:val="0"/>
    <m:dispDef/>
    <m:lMargin m:val="0"/>
    <m:rMargin m:val="0"/>
    <m:defJc m:val="centerGroup"/>
    <m:wrapIndent m:val="1440"/>
    <m:intLim m:val="subSup"/>
    <m:naryLim m:val="undOvr"/>
  </m:mathPr>
  <w:themeFontLang w:val="fr-C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fr-C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A3D83"/>
    <w:rPr>
      <w:rFonts w:ascii="Times New Roman" w:hAnsi="Times New Roman"/>
    </w:rPr>
  </w:style>
  <w:style w:type="paragraph" w:styleId="Titre1">
    <w:name w:val="heading 1"/>
    <w:basedOn w:val="Normal"/>
    <w:next w:val="Normal"/>
    <w:link w:val="Titre1Car"/>
    <w:uiPriority w:val="9"/>
    <w:qFormat/>
    <w:rsid w:val="00566FA5"/>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itre2">
    <w:name w:val="heading 2"/>
    <w:basedOn w:val="Normal"/>
    <w:link w:val="Titre2Car"/>
    <w:uiPriority w:val="9"/>
    <w:qFormat/>
    <w:rsid w:val="0005379E"/>
    <w:pPr>
      <w:spacing w:before="100" w:beforeAutospacing="1" w:after="100" w:afterAutospacing="1" w:line="240" w:lineRule="auto"/>
      <w:outlineLvl w:val="1"/>
    </w:pPr>
    <w:rPr>
      <w:rFonts w:eastAsia="Times New Roman" w:cs="Times New Roman"/>
      <w:b/>
      <w:bCs/>
      <w:sz w:val="36"/>
      <w:szCs w:val="36"/>
      <w:lang w:eastAsia="fr-CA"/>
    </w:rPr>
  </w:style>
  <w:style w:type="paragraph" w:styleId="Titre3">
    <w:name w:val="heading 3"/>
    <w:basedOn w:val="Normal"/>
    <w:next w:val="Normal"/>
    <w:link w:val="Titre3Car"/>
    <w:uiPriority w:val="9"/>
    <w:unhideWhenUsed/>
    <w:qFormat/>
    <w:rsid w:val="00A4530C"/>
    <w:pPr>
      <w:keepNext/>
      <w:keepLines/>
      <w:spacing w:before="200" w:after="0"/>
      <w:outlineLvl w:val="2"/>
    </w:pPr>
    <w:rPr>
      <w:rFonts w:asciiTheme="majorHAnsi" w:eastAsiaTheme="majorEastAsia" w:hAnsiTheme="majorHAnsi" w:cstheme="majorBidi"/>
      <w:b/>
      <w:bCs/>
      <w:color w:val="4F81BD" w:themeColor="accent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2Car">
    <w:name w:val="Titre 2 Car"/>
    <w:basedOn w:val="Policepardfaut"/>
    <w:link w:val="Titre2"/>
    <w:uiPriority w:val="9"/>
    <w:rsid w:val="0005379E"/>
    <w:rPr>
      <w:rFonts w:ascii="Times New Roman" w:eastAsia="Times New Roman" w:hAnsi="Times New Roman" w:cs="Times New Roman"/>
      <w:b/>
      <w:bCs/>
      <w:sz w:val="36"/>
      <w:szCs w:val="36"/>
      <w:lang w:eastAsia="fr-CA"/>
    </w:rPr>
  </w:style>
  <w:style w:type="character" w:styleId="Lienhypertexte">
    <w:name w:val="Hyperlink"/>
    <w:basedOn w:val="Policepardfaut"/>
    <w:uiPriority w:val="99"/>
    <w:unhideWhenUsed/>
    <w:rsid w:val="0005379E"/>
    <w:rPr>
      <w:color w:val="0000FF"/>
      <w:u w:val="single"/>
    </w:rPr>
  </w:style>
  <w:style w:type="paragraph" w:styleId="NormalWeb">
    <w:name w:val="Normal (Web)"/>
    <w:basedOn w:val="Normal"/>
    <w:uiPriority w:val="99"/>
    <w:semiHidden/>
    <w:unhideWhenUsed/>
    <w:rsid w:val="0005379E"/>
    <w:pPr>
      <w:spacing w:before="100" w:beforeAutospacing="1" w:after="100" w:afterAutospacing="1" w:line="240" w:lineRule="auto"/>
    </w:pPr>
    <w:rPr>
      <w:rFonts w:eastAsia="Times New Roman" w:cs="Times New Roman"/>
      <w:sz w:val="24"/>
      <w:szCs w:val="24"/>
      <w:lang w:eastAsia="fr-CA"/>
    </w:rPr>
  </w:style>
  <w:style w:type="table" w:styleId="Grilledutableau">
    <w:name w:val="Table Grid"/>
    <w:basedOn w:val="TableauNormal"/>
    <w:uiPriority w:val="59"/>
    <w:rsid w:val="00A2697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re3Car">
    <w:name w:val="Titre 3 Car"/>
    <w:basedOn w:val="Policepardfaut"/>
    <w:link w:val="Titre3"/>
    <w:uiPriority w:val="9"/>
    <w:rsid w:val="00A4530C"/>
    <w:rPr>
      <w:rFonts w:asciiTheme="majorHAnsi" w:eastAsiaTheme="majorEastAsia" w:hAnsiTheme="majorHAnsi" w:cstheme="majorBidi"/>
      <w:b/>
      <w:bCs/>
      <w:color w:val="4F81BD" w:themeColor="accent1"/>
    </w:rPr>
  </w:style>
  <w:style w:type="paragraph" w:styleId="Paragraphedeliste">
    <w:name w:val="List Paragraph"/>
    <w:basedOn w:val="Normal"/>
    <w:uiPriority w:val="34"/>
    <w:qFormat/>
    <w:rsid w:val="006B49BE"/>
    <w:pPr>
      <w:ind w:left="720"/>
      <w:contextualSpacing/>
    </w:pPr>
  </w:style>
  <w:style w:type="paragraph" w:styleId="Textedebulles">
    <w:name w:val="Balloon Text"/>
    <w:basedOn w:val="Normal"/>
    <w:link w:val="TextedebullesCar"/>
    <w:uiPriority w:val="99"/>
    <w:semiHidden/>
    <w:unhideWhenUsed/>
    <w:rsid w:val="003B512C"/>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3B512C"/>
    <w:rPr>
      <w:rFonts w:ascii="Tahoma" w:hAnsi="Tahoma" w:cs="Tahoma"/>
      <w:sz w:val="16"/>
      <w:szCs w:val="16"/>
    </w:rPr>
  </w:style>
  <w:style w:type="paragraph" w:customStyle="1" w:styleId="bulletindent1">
    <w:name w:val="bulletindent1"/>
    <w:basedOn w:val="Normal"/>
    <w:rsid w:val="00A92F69"/>
    <w:pPr>
      <w:spacing w:before="100" w:beforeAutospacing="1" w:after="100" w:afterAutospacing="1" w:line="240" w:lineRule="auto"/>
    </w:pPr>
    <w:rPr>
      <w:rFonts w:eastAsia="Times New Roman" w:cs="Times New Roman"/>
      <w:sz w:val="24"/>
      <w:szCs w:val="24"/>
      <w:lang w:eastAsia="fr-CA"/>
    </w:rPr>
  </w:style>
  <w:style w:type="character" w:customStyle="1" w:styleId="glyph">
    <w:name w:val="glyph"/>
    <w:basedOn w:val="Policepardfaut"/>
    <w:rsid w:val="00A92F69"/>
  </w:style>
  <w:style w:type="paragraph" w:customStyle="1" w:styleId="headinganchor">
    <w:name w:val="headinganchor"/>
    <w:basedOn w:val="Normal"/>
    <w:rsid w:val="00FE0F63"/>
    <w:pPr>
      <w:spacing w:before="100" w:beforeAutospacing="1" w:after="100" w:afterAutospacing="1" w:line="240" w:lineRule="auto"/>
    </w:pPr>
    <w:rPr>
      <w:rFonts w:eastAsia="Times New Roman" w:cs="Times New Roman"/>
      <w:sz w:val="24"/>
      <w:szCs w:val="24"/>
      <w:lang w:eastAsia="fr-CA"/>
    </w:rPr>
  </w:style>
  <w:style w:type="character" w:customStyle="1" w:styleId="headingendmark">
    <w:name w:val="headingendmark"/>
    <w:basedOn w:val="Policepardfaut"/>
    <w:rsid w:val="001A3611"/>
  </w:style>
  <w:style w:type="character" w:customStyle="1" w:styleId="apple-converted-space">
    <w:name w:val="apple-converted-space"/>
    <w:basedOn w:val="Policepardfaut"/>
    <w:rsid w:val="001A3611"/>
  </w:style>
  <w:style w:type="character" w:customStyle="1" w:styleId="nowrap">
    <w:name w:val="nowrap"/>
    <w:basedOn w:val="Policepardfaut"/>
    <w:rsid w:val="001A3611"/>
  </w:style>
  <w:style w:type="paragraph" w:styleId="Sansinterligne">
    <w:name w:val="No Spacing"/>
    <w:uiPriority w:val="1"/>
    <w:qFormat/>
    <w:rsid w:val="007A3D83"/>
    <w:pPr>
      <w:spacing w:after="0" w:line="240" w:lineRule="auto"/>
    </w:pPr>
    <w:rPr>
      <w:rFonts w:ascii="Times New Roman" w:hAnsi="Times New Roman"/>
    </w:rPr>
  </w:style>
  <w:style w:type="character" w:customStyle="1" w:styleId="Titre1Car">
    <w:name w:val="Titre 1 Car"/>
    <w:basedOn w:val="Policepardfaut"/>
    <w:link w:val="Titre1"/>
    <w:uiPriority w:val="9"/>
    <w:rsid w:val="00566FA5"/>
    <w:rPr>
      <w:rFonts w:asciiTheme="majorHAnsi" w:eastAsiaTheme="majorEastAsia" w:hAnsiTheme="majorHAnsi" w:cstheme="majorBidi"/>
      <w:b/>
      <w:bCs/>
      <w:color w:val="365F91" w:themeColor="accent1" w:themeShade="BF"/>
      <w:sz w:val="28"/>
      <w:szCs w:val="28"/>
    </w:rPr>
  </w:style>
  <w:style w:type="paragraph" w:styleId="En-ttedetabledesmatires">
    <w:name w:val="TOC Heading"/>
    <w:basedOn w:val="Titre1"/>
    <w:next w:val="Normal"/>
    <w:uiPriority w:val="39"/>
    <w:unhideWhenUsed/>
    <w:qFormat/>
    <w:rsid w:val="00566FA5"/>
    <w:pPr>
      <w:outlineLvl w:val="9"/>
    </w:pPr>
    <w:rPr>
      <w:lang w:eastAsia="fr-CA"/>
    </w:rPr>
  </w:style>
  <w:style w:type="paragraph" w:styleId="TM3">
    <w:name w:val="toc 3"/>
    <w:basedOn w:val="Normal"/>
    <w:next w:val="Normal"/>
    <w:autoRedefine/>
    <w:uiPriority w:val="39"/>
    <w:unhideWhenUsed/>
    <w:rsid w:val="00566FA5"/>
    <w:pPr>
      <w:spacing w:after="100"/>
      <w:ind w:left="440"/>
    </w:pPr>
  </w:style>
  <w:style w:type="paragraph" w:styleId="TM2">
    <w:name w:val="toc 2"/>
    <w:basedOn w:val="Normal"/>
    <w:next w:val="Normal"/>
    <w:autoRedefine/>
    <w:uiPriority w:val="39"/>
    <w:unhideWhenUsed/>
    <w:rsid w:val="00566FA5"/>
    <w:pPr>
      <w:spacing w:after="100"/>
      <w:ind w:left="220"/>
    </w:pPr>
  </w:style>
  <w:style w:type="paragraph" w:styleId="En-tte">
    <w:name w:val="header"/>
    <w:basedOn w:val="Normal"/>
    <w:link w:val="En-tteCar"/>
    <w:uiPriority w:val="99"/>
    <w:unhideWhenUsed/>
    <w:rsid w:val="00745374"/>
    <w:pPr>
      <w:tabs>
        <w:tab w:val="center" w:pos="4320"/>
        <w:tab w:val="right" w:pos="8640"/>
      </w:tabs>
      <w:spacing w:after="0" w:line="240" w:lineRule="auto"/>
    </w:pPr>
  </w:style>
  <w:style w:type="character" w:customStyle="1" w:styleId="En-tteCar">
    <w:name w:val="En-tête Car"/>
    <w:basedOn w:val="Policepardfaut"/>
    <w:link w:val="En-tte"/>
    <w:uiPriority w:val="99"/>
    <w:rsid w:val="00745374"/>
    <w:rPr>
      <w:rFonts w:ascii="Times New Roman" w:hAnsi="Times New Roman"/>
    </w:rPr>
  </w:style>
  <w:style w:type="paragraph" w:styleId="Pieddepage">
    <w:name w:val="footer"/>
    <w:basedOn w:val="Normal"/>
    <w:link w:val="PieddepageCar"/>
    <w:uiPriority w:val="99"/>
    <w:unhideWhenUsed/>
    <w:rsid w:val="00745374"/>
    <w:pPr>
      <w:tabs>
        <w:tab w:val="center" w:pos="4320"/>
        <w:tab w:val="right" w:pos="8640"/>
      </w:tabs>
      <w:spacing w:after="0" w:line="240" w:lineRule="auto"/>
    </w:pPr>
  </w:style>
  <w:style w:type="character" w:customStyle="1" w:styleId="PieddepageCar">
    <w:name w:val="Pied de page Car"/>
    <w:basedOn w:val="Policepardfaut"/>
    <w:link w:val="Pieddepage"/>
    <w:uiPriority w:val="99"/>
    <w:rsid w:val="00745374"/>
    <w:rPr>
      <w:rFonts w:ascii="Times New Roman" w:hAnsi="Times New Roman"/>
    </w:rPr>
  </w:style>
  <w:style w:type="paragraph" w:styleId="TM1">
    <w:name w:val="toc 1"/>
    <w:basedOn w:val="Normal"/>
    <w:next w:val="Normal"/>
    <w:autoRedefine/>
    <w:uiPriority w:val="39"/>
    <w:unhideWhenUsed/>
    <w:rsid w:val="00E21D2E"/>
    <w:pPr>
      <w:spacing w:after="100"/>
    </w:pPr>
  </w:style>
  <w:style w:type="paragraph" w:styleId="Notedebasdepage">
    <w:name w:val="footnote text"/>
    <w:basedOn w:val="Normal"/>
    <w:link w:val="NotedebasdepageCar"/>
    <w:uiPriority w:val="99"/>
    <w:semiHidden/>
    <w:unhideWhenUsed/>
    <w:rsid w:val="0004423B"/>
    <w:pPr>
      <w:spacing w:after="0" w:line="240" w:lineRule="auto"/>
    </w:pPr>
    <w:rPr>
      <w:sz w:val="20"/>
      <w:szCs w:val="20"/>
    </w:rPr>
  </w:style>
  <w:style w:type="character" w:customStyle="1" w:styleId="NotedebasdepageCar">
    <w:name w:val="Note de bas de page Car"/>
    <w:basedOn w:val="Policepardfaut"/>
    <w:link w:val="Notedebasdepage"/>
    <w:uiPriority w:val="99"/>
    <w:semiHidden/>
    <w:rsid w:val="0004423B"/>
    <w:rPr>
      <w:rFonts w:ascii="Times New Roman" w:hAnsi="Times New Roman"/>
      <w:sz w:val="20"/>
      <w:szCs w:val="20"/>
    </w:rPr>
  </w:style>
  <w:style w:type="character" w:styleId="Appelnotedebasdep">
    <w:name w:val="footnote reference"/>
    <w:basedOn w:val="Policepardfaut"/>
    <w:uiPriority w:val="99"/>
    <w:semiHidden/>
    <w:unhideWhenUsed/>
    <w:rsid w:val="0004423B"/>
    <w:rPr>
      <w:vertAlign w:val="superscript"/>
    </w:rPr>
  </w:style>
  <w:style w:type="paragraph" w:styleId="Lgende">
    <w:name w:val="caption"/>
    <w:basedOn w:val="Normal"/>
    <w:next w:val="Normal"/>
    <w:uiPriority w:val="35"/>
    <w:unhideWhenUsed/>
    <w:qFormat/>
    <w:rsid w:val="0046652A"/>
    <w:pPr>
      <w:spacing w:line="240" w:lineRule="auto"/>
    </w:pPr>
    <w:rPr>
      <w:b/>
      <w:bCs/>
      <w:color w:val="4F81BD" w:themeColor="accent1"/>
      <w:sz w:val="18"/>
      <w:szCs w:val="18"/>
    </w:rPr>
  </w:style>
  <w:style w:type="character" w:styleId="Textedelespacerserv">
    <w:name w:val="Placeholder Text"/>
    <w:basedOn w:val="Policepardfaut"/>
    <w:uiPriority w:val="99"/>
    <w:semiHidden/>
    <w:rsid w:val="00DC378F"/>
    <w:rPr>
      <w:color w:val="808080"/>
    </w:rPr>
  </w:style>
  <w:style w:type="character" w:customStyle="1" w:styleId="texte-courant">
    <w:name w:val="texte-courant"/>
    <w:basedOn w:val="Policepardfaut"/>
    <w:rsid w:val="00465EC9"/>
  </w:style>
  <w:style w:type="character" w:customStyle="1" w:styleId="label-z">
    <w:name w:val="label-z"/>
    <w:basedOn w:val="Policepardfaut"/>
    <w:rsid w:val="00465EC9"/>
  </w:style>
  <w:style w:type="character" w:customStyle="1" w:styleId="widthfixforlabel">
    <w:name w:val="widthfixforlabel"/>
    <w:basedOn w:val="Policepardfaut"/>
    <w:rsid w:val="00465EC9"/>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fr-C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A3D83"/>
    <w:rPr>
      <w:rFonts w:ascii="Times New Roman" w:hAnsi="Times New Roman"/>
    </w:rPr>
  </w:style>
  <w:style w:type="paragraph" w:styleId="Titre1">
    <w:name w:val="heading 1"/>
    <w:basedOn w:val="Normal"/>
    <w:next w:val="Normal"/>
    <w:link w:val="Titre1Car"/>
    <w:uiPriority w:val="9"/>
    <w:qFormat/>
    <w:rsid w:val="00566FA5"/>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itre2">
    <w:name w:val="heading 2"/>
    <w:basedOn w:val="Normal"/>
    <w:link w:val="Titre2Car"/>
    <w:uiPriority w:val="9"/>
    <w:qFormat/>
    <w:rsid w:val="0005379E"/>
    <w:pPr>
      <w:spacing w:before="100" w:beforeAutospacing="1" w:after="100" w:afterAutospacing="1" w:line="240" w:lineRule="auto"/>
      <w:outlineLvl w:val="1"/>
    </w:pPr>
    <w:rPr>
      <w:rFonts w:eastAsia="Times New Roman" w:cs="Times New Roman"/>
      <w:b/>
      <w:bCs/>
      <w:sz w:val="36"/>
      <w:szCs w:val="36"/>
      <w:lang w:eastAsia="fr-CA"/>
    </w:rPr>
  </w:style>
  <w:style w:type="paragraph" w:styleId="Titre3">
    <w:name w:val="heading 3"/>
    <w:basedOn w:val="Normal"/>
    <w:next w:val="Normal"/>
    <w:link w:val="Titre3Car"/>
    <w:uiPriority w:val="9"/>
    <w:unhideWhenUsed/>
    <w:qFormat/>
    <w:rsid w:val="00A4530C"/>
    <w:pPr>
      <w:keepNext/>
      <w:keepLines/>
      <w:spacing w:before="200" w:after="0"/>
      <w:outlineLvl w:val="2"/>
    </w:pPr>
    <w:rPr>
      <w:rFonts w:asciiTheme="majorHAnsi" w:eastAsiaTheme="majorEastAsia" w:hAnsiTheme="majorHAnsi" w:cstheme="majorBidi"/>
      <w:b/>
      <w:bCs/>
      <w:color w:val="4F81BD" w:themeColor="accent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2Car">
    <w:name w:val="Titre 2 Car"/>
    <w:basedOn w:val="Policepardfaut"/>
    <w:link w:val="Titre2"/>
    <w:uiPriority w:val="9"/>
    <w:rsid w:val="0005379E"/>
    <w:rPr>
      <w:rFonts w:ascii="Times New Roman" w:eastAsia="Times New Roman" w:hAnsi="Times New Roman" w:cs="Times New Roman"/>
      <w:b/>
      <w:bCs/>
      <w:sz w:val="36"/>
      <w:szCs w:val="36"/>
      <w:lang w:eastAsia="fr-CA"/>
    </w:rPr>
  </w:style>
  <w:style w:type="character" w:styleId="Lienhypertexte">
    <w:name w:val="Hyperlink"/>
    <w:basedOn w:val="Policepardfaut"/>
    <w:uiPriority w:val="99"/>
    <w:unhideWhenUsed/>
    <w:rsid w:val="0005379E"/>
    <w:rPr>
      <w:color w:val="0000FF"/>
      <w:u w:val="single"/>
    </w:rPr>
  </w:style>
  <w:style w:type="paragraph" w:styleId="NormalWeb">
    <w:name w:val="Normal (Web)"/>
    <w:basedOn w:val="Normal"/>
    <w:uiPriority w:val="99"/>
    <w:semiHidden/>
    <w:unhideWhenUsed/>
    <w:rsid w:val="0005379E"/>
    <w:pPr>
      <w:spacing w:before="100" w:beforeAutospacing="1" w:after="100" w:afterAutospacing="1" w:line="240" w:lineRule="auto"/>
    </w:pPr>
    <w:rPr>
      <w:rFonts w:eastAsia="Times New Roman" w:cs="Times New Roman"/>
      <w:sz w:val="24"/>
      <w:szCs w:val="24"/>
      <w:lang w:eastAsia="fr-CA"/>
    </w:rPr>
  </w:style>
  <w:style w:type="table" w:styleId="Grilledutableau">
    <w:name w:val="Table Grid"/>
    <w:basedOn w:val="TableauNormal"/>
    <w:uiPriority w:val="59"/>
    <w:rsid w:val="00A2697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re3Car">
    <w:name w:val="Titre 3 Car"/>
    <w:basedOn w:val="Policepardfaut"/>
    <w:link w:val="Titre3"/>
    <w:uiPriority w:val="9"/>
    <w:rsid w:val="00A4530C"/>
    <w:rPr>
      <w:rFonts w:asciiTheme="majorHAnsi" w:eastAsiaTheme="majorEastAsia" w:hAnsiTheme="majorHAnsi" w:cstheme="majorBidi"/>
      <w:b/>
      <w:bCs/>
      <w:color w:val="4F81BD" w:themeColor="accent1"/>
    </w:rPr>
  </w:style>
  <w:style w:type="paragraph" w:styleId="Paragraphedeliste">
    <w:name w:val="List Paragraph"/>
    <w:basedOn w:val="Normal"/>
    <w:uiPriority w:val="34"/>
    <w:qFormat/>
    <w:rsid w:val="006B49BE"/>
    <w:pPr>
      <w:ind w:left="720"/>
      <w:contextualSpacing/>
    </w:pPr>
  </w:style>
  <w:style w:type="paragraph" w:styleId="Textedebulles">
    <w:name w:val="Balloon Text"/>
    <w:basedOn w:val="Normal"/>
    <w:link w:val="TextedebullesCar"/>
    <w:uiPriority w:val="99"/>
    <w:semiHidden/>
    <w:unhideWhenUsed/>
    <w:rsid w:val="003B512C"/>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3B512C"/>
    <w:rPr>
      <w:rFonts w:ascii="Tahoma" w:hAnsi="Tahoma" w:cs="Tahoma"/>
      <w:sz w:val="16"/>
      <w:szCs w:val="16"/>
    </w:rPr>
  </w:style>
  <w:style w:type="paragraph" w:customStyle="1" w:styleId="bulletindent1">
    <w:name w:val="bulletindent1"/>
    <w:basedOn w:val="Normal"/>
    <w:rsid w:val="00A92F69"/>
    <w:pPr>
      <w:spacing w:before="100" w:beforeAutospacing="1" w:after="100" w:afterAutospacing="1" w:line="240" w:lineRule="auto"/>
    </w:pPr>
    <w:rPr>
      <w:rFonts w:eastAsia="Times New Roman" w:cs="Times New Roman"/>
      <w:sz w:val="24"/>
      <w:szCs w:val="24"/>
      <w:lang w:eastAsia="fr-CA"/>
    </w:rPr>
  </w:style>
  <w:style w:type="character" w:customStyle="1" w:styleId="glyph">
    <w:name w:val="glyph"/>
    <w:basedOn w:val="Policepardfaut"/>
    <w:rsid w:val="00A92F69"/>
  </w:style>
  <w:style w:type="paragraph" w:customStyle="1" w:styleId="headinganchor">
    <w:name w:val="headinganchor"/>
    <w:basedOn w:val="Normal"/>
    <w:rsid w:val="00FE0F63"/>
    <w:pPr>
      <w:spacing w:before="100" w:beforeAutospacing="1" w:after="100" w:afterAutospacing="1" w:line="240" w:lineRule="auto"/>
    </w:pPr>
    <w:rPr>
      <w:rFonts w:eastAsia="Times New Roman" w:cs="Times New Roman"/>
      <w:sz w:val="24"/>
      <w:szCs w:val="24"/>
      <w:lang w:eastAsia="fr-CA"/>
    </w:rPr>
  </w:style>
  <w:style w:type="character" w:customStyle="1" w:styleId="headingendmark">
    <w:name w:val="headingendmark"/>
    <w:basedOn w:val="Policepardfaut"/>
    <w:rsid w:val="001A3611"/>
  </w:style>
  <w:style w:type="character" w:customStyle="1" w:styleId="apple-converted-space">
    <w:name w:val="apple-converted-space"/>
    <w:basedOn w:val="Policepardfaut"/>
    <w:rsid w:val="001A3611"/>
  </w:style>
  <w:style w:type="character" w:customStyle="1" w:styleId="nowrap">
    <w:name w:val="nowrap"/>
    <w:basedOn w:val="Policepardfaut"/>
    <w:rsid w:val="001A3611"/>
  </w:style>
  <w:style w:type="paragraph" w:styleId="Sansinterligne">
    <w:name w:val="No Spacing"/>
    <w:uiPriority w:val="1"/>
    <w:qFormat/>
    <w:rsid w:val="007A3D83"/>
    <w:pPr>
      <w:spacing w:after="0" w:line="240" w:lineRule="auto"/>
    </w:pPr>
    <w:rPr>
      <w:rFonts w:ascii="Times New Roman" w:hAnsi="Times New Roman"/>
    </w:rPr>
  </w:style>
  <w:style w:type="character" w:customStyle="1" w:styleId="Titre1Car">
    <w:name w:val="Titre 1 Car"/>
    <w:basedOn w:val="Policepardfaut"/>
    <w:link w:val="Titre1"/>
    <w:uiPriority w:val="9"/>
    <w:rsid w:val="00566FA5"/>
    <w:rPr>
      <w:rFonts w:asciiTheme="majorHAnsi" w:eastAsiaTheme="majorEastAsia" w:hAnsiTheme="majorHAnsi" w:cstheme="majorBidi"/>
      <w:b/>
      <w:bCs/>
      <w:color w:val="365F91" w:themeColor="accent1" w:themeShade="BF"/>
      <w:sz w:val="28"/>
      <w:szCs w:val="28"/>
    </w:rPr>
  </w:style>
  <w:style w:type="paragraph" w:styleId="En-ttedetabledesmatires">
    <w:name w:val="TOC Heading"/>
    <w:basedOn w:val="Titre1"/>
    <w:next w:val="Normal"/>
    <w:uiPriority w:val="39"/>
    <w:unhideWhenUsed/>
    <w:qFormat/>
    <w:rsid w:val="00566FA5"/>
    <w:pPr>
      <w:outlineLvl w:val="9"/>
    </w:pPr>
    <w:rPr>
      <w:lang w:eastAsia="fr-CA"/>
    </w:rPr>
  </w:style>
  <w:style w:type="paragraph" w:styleId="TM3">
    <w:name w:val="toc 3"/>
    <w:basedOn w:val="Normal"/>
    <w:next w:val="Normal"/>
    <w:autoRedefine/>
    <w:uiPriority w:val="39"/>
    <w:unhideWhenUsed/>
    <w:rsid w:val="00566FA5"/>
    <w:pPr>
      <w:spacing w:after="100"/>
      <w:ind w:left="440"/>
    </w:pPr>
  </w:style>
  <w:style w:type="paragraph" w:styleId="TM2">
    <w:name w:val="toc 2"/>
    <w:basedOn w:val="Normal"/>
    <w:next w:val="Normal"/>
    <w:autoRedefine/>
    <w:uiPriority w:val="39"/>
    <w:unhideWhenUsed/>
    <w:rsid w:val="00566FA5"/>
    <w:pPr>
      <w:spacing w:after="100"/>
      <w:ind w:left="220"/>
    </w:pPr>
  </w:style>
  <w:style w:type="paragraph" w:styleId="En-tte">
    <w:name w:val="header"/>
    <w:basedOn w:val="Normal"/>
    <w:link w:val="En-tteCar"/>
    <w:uiPriority w:val="99"/>
    <w:unhideWhenUsed/>
    <w:rsid w:val="00745374"/>
    <w:pPr>
      <w:tabs>
        <w:tab w:val="center" w:pos="4320"/>
        <w:tab w:val="right" w:pos="8640"/>
      </w:tabs>
      <w:spacing w:after="0" w:line="240" w:lineRule="auto"/>
    </w:pPr>
  </w:style>
  <w:style w:type="character" w:customStyle="1" w:styleId="En-tteCar">
    <w:name w:val="En-tête Car"/>
    <w:basedOn w:val="Policepardfaut"/>
    <w:link w:val="En-tte"/>
    <w:uiPriority w:val="99"/>
    <w:rsid w:val="00745374"/>
    <w:rPr>
      <w:rFonts w:ascii="Times New Roman" w:hAnsi="Times New Roman"/>
    </w:rPr>
  </w:style>
  <w:style w:type="paragraph" w:styleId="Pieddepage">
    <w:name w:val="footer"/>
    <w:basedOn w:val="Normal"/>
    <w:link w:val="PieddepageCar"/>
    <w:uiPriority w:val="99"/>
    <w:unhideWhenUsed/>
    <w:rsid w:val="00745374"/>
    <w:pPr>
      <w:tabs>
        <w:tab w:val="center" w:pos="4320"/>
        <w:tab w:val="right" w:pos="8640"/>
      </w:tabs>
      <w:spacing w:after="0" w:line="240" w:lineRule="auto"/>
    </w:pPr>
  </w:style>
  <w:style w:type="character" w:customStyle="1" w:styleId="PieddepageCar">
    <w:name w:val="Pied de page Car"/>
    <w:basedOn w:val="Policepardfaut"/>
    <w:link w:val="Pieddepage"/>
    <w:uiPriority w:val="99"/>
    <w:rsid w:val="00745374"/>
    <w:rPr>
      <w:rFonts w:ascii="Times New Roman" w:hAnsi="Times New Roman"/>
    </w:rPr>
  </w:style>
  <w:style w:type="paragraph" w:styleId="TM1">
    <w:name w:val="toc 1"/>
    <w:basedOn w:val="Normal"/>
    <w:next w:val="Normal"/>
    <w:autoRedefine/>
    <w:uiPriority w:val="39"/>
    <w:unhideWhenUsed/>
    <w:rsid w:val="00E21D2E"/>
    <w:pPr>
      <w:spacing w:after="100"/>
    </w:pPr>
  </w:style>
  <w:style w:type="paragraph" w:styleId="Notedebasdepage">
    <w:name w:val="footnote text"/>
    <w:basedOn w:val="Normal"/>
    <w:link w:val="NotedebasdepageCar"/>
    <w:uiPriority w:val="99"/>
    <w:semiHidden/>
    <w:unhideWhenUsed/>
    <w:rsid w:val="0004423B"/>
    <w:pPr>
      <w:spacing w:after="0" w:line="240" w:lineRule="auto"/>
    </w:pPr>
    <w:rPr>
      <w:sz w:val="20"/>
      <w:szCs w:val="20"/>
    </w:rPr>
  </w:style>
  <w:style w:type="character" w:customStyle="1" w:styleId="NotedebasdepageCar">
    <w:name w:val="Note de bas de page Car"/>
    <w:basedOn w:val="Policepardfaut"/>
    <w:link w:val="Notedebasdepage"/>
    <w:uiPriority w:val="99"/>
    <w:semiHidden/>
    <w:rsid w:val="0004423B"/>
    <w:rPr>
      <w:rFonts w:ascii="Times New Roman" w:hAnsi="Times New Roman"/>
      <w:sz w:val="20"/>
      <w:szCs w:val="20"/>
    </w:rPr>
  </w:style>
  <w:style w:type="character" w:styleId="Appelnotedebasdep">
    <w:name w:val="footnote reference"/>
    <w:basedOn w:val="Policepardfaut"/>
    <w:uiPriority w:val="99"/>
    <w:semiHidden/>
    <w:unhideWhenUsed/>
    <w:rsid w:val="0004423B"/>
    <w:rPr>
      <w:vertAlign w:val="superscript"/>
    </w:rPr>
  </w:style>
  <w:style w:type="paragraph" w:styleId="Lgende">
    <w:name w:val="caption"/>
    <w:basedOn w:val="Normal"/>
    <w:next w:val="Normal"/>
    <w:uiPriority w:val="35"/>
    <w:unhideWhenUsed/>
    <w:qFormat/>
    <w:rsid w:val="0046652A"/>
    <w:pPr>
      <w:spacing w:line="240" w:lineRule="auto"/>
    </w:pPr>
    <w:rPr>
      <w:b/>
      <w:bCs/>
      <w:color w:val="4F81BD" w:themeColor="accent1"/>
      <w:sz w:val="18"/>
      <w:szCs w:val="18"/>
    </w:rPr>
  </w:style>
  <w:style w:type="character" w:styleId="Textedelespacerserv">
    <w:name w:val="Placeholder Text"/>
    <w:basedOn w:val="Policepardfaut"/>
    <w:uiPriority w:val="99"/>
    <w:semiHidden/>
    <w:rsid w:val="00DC378F"/>
    <w:rPr>
      <w:color w:val="808080"/>
    </w:rPr>
  </w:style>
  <w:style w:type="character" w:customStyle="1" w:styleId="texte-courant">
    <w:name w:val="texte-courant"/>
    <w:basedOn w:val="Policepardfaut"/>
    <w:rsid w:val="00465EC9"/>
  </w:style>
  <w:style w:type="character" w:customStyle="1" w:styleId="label-z">
    <w:name w:val="label-z"/>
    <w:basedOn w:val="Policepardfaut"/>
    <w:rsid w:val="00465EC9"/>
  </w:style>
  <w:style w:type="character" w:customStyle="1" w:styleId="widthfixforlabel">
    <w:name w:val="widthfixforlabel"/>
    <w:basedOn w:val="Policepardfaut"/>
    <w:rsid w:val="00465EC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829628">
      <w:bodyDiv w:val="1"/>
      <w:marLeft w:val="0"/>
      <w:marRight w:val="0"/>
      <w:marTop w:val="0"/>
      <w:marBottom w:val="0"/>
      <w:divBdr>
        <w:top w:val="none" w:sz="0" w:space="0" w:color="auto"/>
        <w:left w:val="none" w:sz="0" w:space="0" w:color="auto"/>
        <w:bottom w:val="none" w:sz="0" w:space="0" w:color="auto"/>
        <w:right w:val="none" w:sz="0" w:space="0" w:color="auto"/>
      </w:divBdr>
    </w:div>
    <w:div w:id="56906379">
      <w:bodyDiv w:val="1"/>
      <w:marLeft w:val="0"/>
      <w:marRight w:val="0"/>
      <w:marTop w:val="0"/>
      <w:marBottom w:val="0"/>
      <w:divBdr>
        <w:top w:val="none" w:sz="0" w:space="0" w:color="auto"/>
        <w:left w:val="none" w:sz="0" w:space="0" w:color="auto"/>
        <w:bottom w:val="none" w:sz="0" w:space="0" w:color="auto"/>
        <w:right w:val="none" w:sz="0" w:space="0" w:color="auto"/>
      </w:divBdr>
      <w:divsChild>
        <w:div w:id="928348254">
          <w:marLeft w:val="0"/>
          <w:marRight w:val="0"/>
          <w:marTop w:val="0"/>
          <w:marBottom w:val="0"/>
          <w:divBdr>
            <w:top w:val="none" w:sz="0" w:space="0" w:color="auto"/>
            <w:left w:val="none" w:sz="0" w:space="0" w:color="auto"/>
            <w:bottom w:val="none" w:sz="0" w:space="0" w:color="auto"/>
            <w:right w:val="none" w:sz="0" w:space="0" w:color="auto"/>
          </w:divBdr>
        </w:div>
        <w:div w:id="626545013">
          <w:marLeft w:val="0"/>
          <w:marRight w:val="0"/>
          <w:marTop w:val="0"/>
          <w:marBottom w:val="0"/>
          <w:divBdr>
            <w:top w:val="none" w:sz="0" w:space="0" w:color="auto"/>
            <w:left w:val="none" w:sz="0" w:space="0" w:color="auto"/>
            <w:bottom w:val="none" w:sz="0" w:space="0" w:color="auto"/>
            <w:right w:val="none" w:sz="0" w:space="0" w:color="auto"/>
          </w:divBdr>
        </w:div>
      </w:divsChild>
    </w:div>
    <w:div w:id="62266612">
      <w:bodyDiv w:val="1"/>
      <w:marLeft w:val="0"/>
      <w:marRight w:val="0"/>
      <w:marTop w:val="0"/>
      <w:marBottom w:val="0"/>
      <w:divBdr>
        <w:top w:val="none" w:sz="0" w:space="0" w:color="auto"/>
        <w:left w:val="none" w:sz="0" w:space="0" w:color="auto"/>
        <w:bottom w:val="none" w:sz="0" w:space="0" w:color="auto"/>
        <w:right w:val="none" w:sz="0" w:space="0" w:color="auto"/>
      </w:divBdr>
    </w:div>
    <w:div w:id="77287984">
      <w:bodyDiv w:val="1"/>
      <w:marLeft w:val="0"/>
      <w:marRight w:val="0"/>
      <w:marTop w:val="0"/>
      <w:marBottom w:val="0"/>
      <w:divBdr>
        <w:top w:val="none" w:sz="0" w:space="0" w:color="auto"/>
        <w:left w:val="none" w:sz="0" w:space="0" w:color="auto"/>
        <w:bottom w:val="none" w:sz="0" w:space="0" w:color="auto"/>
        <w:right w:val="none" w:sz="0" w:space="0" w:color="auto"/>
      </w:divBdr>
      <w:divsChild>
        <w:div w:id="1142305995">
          <w:marLeft w:val="0"/>
          <w:marRight w:val="0"/>
          <w:marTop w:val="0"/>
          <w:marBottom w:val="0"/>
          <w:divBdr>
            <w:top w:val="none" w:sz="0" w:space="0" w:color="auto"/>
            <w:left w:val="none" w:sz="0" w:space="0" w:color="auto"/>
            <w:bottom w:val="none" w:sz="0" w:space="0" w:color="auto"/>
            <w:right w:val="none" w:sz="0" w:space="0" w:color="auto"/>
          </w:divBdr>
        </w:div>
        <w:div w:id="255676622">
          <w:marLeft w:val="0"/>
          <w:marRight w:val="0"/>
          <w:marTop w:val="0"/>
          <w:marBottom w:val="0"/>
          <w:divBdr>
            <w:top w:val="none" w:sz="0" w:space="0" w:color="auto"/>
            <w:left w:val="none" w:sz="0" w:space="0" w:color="auto"/>
            <w:bottom w:val="none" w:sz="0" w:space="0" w:color="auto"/>
            <w:right w:val="none" w:sz="0" w:space="0" w:color="auto"/>
          </w:divBdr>
        </w:div>
      </w:divsChild>
    </w:div>
    <w:div w:id="97340505">
      <w:bodyDiv w:val="1"/>
      <w:marLeft w:val="0"/>
      <w:marRight w:val="0"/>
      <w:marTop w:val="0"/>
      <w:marBottom w:val="0"/>
      <w:divBdr>
        <w:top w:val="none" w:sz="0" w:space="0" w:color="auto"/>
        <w:left w:val="none" w:sz="0" w:space="0" w:color="auto"/>
        <w:bottom w:val="none" w:sz="0" w:space="0" w:color="auto"/>
        <w:right w:val="none" w:sz="0" w:space="0" w:color="auto"/>
      </w:divBdr>
    </w:div>
    <w:div w:id="106824305">
      <w:bodyDiv w:val="1"/>
      <w:marLeft w:val="0"/>
      <w:marRight w:val="0"/>
      <w:marTop w:val="0"/>
      <w:marBottom w:val="0"/>
      <w:divBdr>
        <w:top w:val="none" w:sz="0" w:space="0" w:color="auto"/>
        <w:left w:val="none" w:sz="0" w:space="0" w:color="auto"/>
        <w:bottom w:val="none" w:sz="0" w:space="0" w:color="auto"/>
        <w:right w:val="none" w:sz="0" w:space="0" w:color="auto"/>
      </w:divBdr>
      <w:divsChild>
        <w:div w:id="1142691345">
          <w:marLeft w:val="0"/>
          <w:marRight w:val="0"/>
          <w:marTop w:val="0"/>
          <w:marBottom w:val="0"/>
          <w:divBdr>
            <w:top w:val="none" w:sz="0" w:space="0" w:color="auto"/>
            <w:left w:val="none" w:sz="0" w:space="0" w:color="auto"/>
            <w:bottom w:val="none" w:sz="0" w:space="0" w:color="auto"/>
            <w:right w:val="none" w:sz="0" w:space="0" w:color="auto"/>
          </w:divBdr>
        </w:div>
        <w:div w:id="864363726">
          <w:marLeft w:val="0"/>
          <w:marRight w:val="0"/>
          <w:marTop w:val="0"/>
          <w:marBottom w:val="0"/>
          <w:divBdr>
            <w:top w:val="none" w:sz="0" w:space="0" w:color="auto"/>
            <w:left w:val="none" w:sz="0" w:space="0" w:color="auto"/>
            <w:bottom w:val="none" w:sz="0" w:space="0" w:color="auto"/>
            <w:right w:val="none" w:sz="0" w:space="0" w:color="auto"/>
          </w:divBdr>
        </w:div>
      </w:divsChild>
    </w:div>
    <w:div w:id="113251324">
      <w:bodyDiv w:val="1"/>
      <w:marLeft w:val="0"/>
      <w:marRight w:val="0"/>
      <w:marTop w:val="0"/>
      <w:marBottom w:val="0"/>
      <w:divBdr>
        <w:top w:val="none" w:sz="0" w:space="0" w:color="auto"/>
        <w:left w:val="none" w:sz="0" w:space="0" w:color="auto"/>
        <w:bottom w:val="none" w:sz="0" w:space="0" w:color="auto"/>
        <w:right w:val="none" w:sz="0" w:space="0" w:color="auto"/>
      </w:divBdr>
      <w:divsChild>
        <w:div w:id="794374721">
          <w:marLeft w:val="0"/>
          <w:marRight w:val="0"/>
          <w:marTop w:val="0"/>
          <w:marBottom w:val="0"/>
          <w:divBdr>
            <w:top w:val="none" w:sz="0" w:space="0" w:color="auto"/>
            <w:left w:val="none" w:sz="0" w:space="0" w:color="auto"/>
            <w:bottom w:val="none" w:sz="0" w:space="0" w:color="auto"/>
            <w:right w:val="none" w:sz="0" w:space="0" w:color="auto"/>
          </w:divBdr>
        </w:div>
        <w:div w:id="1985700654">
          <w:marLeft w:val="0"/>
          <w:marRight w:val="0"/>
          <w:marTop w:val="0"/>
          <w:marBottom w:val="0"/>
          <w:divBdr>
            <w:top w:val="none" w:sz="0" w:space="0" w:color="auto"/>
            <w:left w:val="none" w:sz="0" w:space="0" w:color="auto"/>
            <w:bottom w:val="none" w:sz="0" w:space="0" w:color="auto"/>
            <w:right w:val="none" w:sz="0" w:space="0" w:color="auto"/>
          </w:divBdr>
        </w:div>
      </w:divsChild>
    </w:div>
    <w:div w:id="117645959">
      <w:bodyDiv w:val="1"/>
      <w:marLeft w:val="0"/>
      <w:marRight w:val="0"/>
      <w:marTop w:val="0"/>
      <w:marBottom w:val="0"/>
      <w:divBdr>
        <w:top w:val="none" w:sz="0" w:space="0" w:color="auto"/>
        <w:left w:val="none" w:sz="0" w:space="0" w:color="auto"/>
        <w:bottom w:val="none" w:sz="0" w:space="0" w:color="auto"/>
        <w:right w:val="none" w:sz="0" w:space="0" w:color="auto"/>
      </w:divBdr>
    </w:div>
    <w:div w:id="126775626">
      <w:bodyDiv w:val="1"/>
      <w:marLeft w:val="0"/>
      <w:marRight w:val="0"/>
      <w:marTop w:val="0"/>
      <w:marBottom w:val="0"/>
      <w:divBdr>
        <w:top w:val="none" w:sz="0" w:space="0" w:color="auto"/>
        <w:left w:val="none" w:sz="0" w:space="0" w:color="auto"/>
        <w:bottom w:val="none" w:sz="0" w:space="0" w:color="auto"/>
        <w:right w:val="none" w:sz="0" w:space="0" w:color="auto"/>
      </w:divBdr>
      <w:divsChild>
        <w:div w:id="1189681914">
          <w:marLeft w:val="0"/>
          <w:marRight w:val="0"/>
          <w:marTop w:val="0"/>
          <w:marBottom w:val="0"/>
          <w:divBdr>
            <w:top w:val="none" w:sz="0" w:space="0" w:color="auto"/>
            <w:left w:val="none" w:sz="0" w:space="0" w:color="auto"/>
            <w:bottom w:val="none" w:sz="0" w:space="0" w:color="auto"/>
            <w:right w:val="none" w:sz="0" w:space="0" w:color="auto"/>
          </w:divBdr>
        </w:div>
        <w:div w:id="1239829363">
          <w:marLeft w:val="0"/>
          <w:marRight w:val="0"/>
          <w:marTop w:val="0"/>
          <w:marBottom w:val="0"/>
          <w:divBdr>
            <w:top w:val="none" w:sz="0" w:space="0" w:color="auto"/>
            <w:left w:val="none" w:sz="0" w:space="0" w:color="auto"/>
            <w:bottom w:val="none" w:sz="0" w:space="0" w:color="auto"/>
            <w:right w:val="none" w:sz="0" w:space="0" w:color="auto"/>
          </w:divBdr>
        </w:div>
      </w:divsChild>
    </w:div>
    <w:div w:id="131144471">
      <w:bodyDiv w:val="1"/>
      <w:marLeft w:val="0"/>
      <w:marRight w:val="0"/>
      <w:marTop w:val="0"/>
      <w:marBottom w:val="0"/>
      <w:divBdr>
        <w:top w:val="none" w:sz="0" w:space="0" w:color="auto"/>
        <w:left w:val="none" w:sz="0" w:space="0" w:color="auto"/>
        <w:bottom w:val="none" w:sz="0" w:space="0" w:color="auto"/>
        <w:right w:val="none" w:sz="0" w:space="0" w:color="auto"/>
      </w:divBdr>
      <w:divsChild>
        <w:div w:id="932250625">
          <w:marLeft w:val="0"/>
          <w:marRight w:val="0"/>
          <w:marTop w:val="0"/>
          <w:marBottom w:val="0"/>
          <w:divBdr>
            <w:top w:val="none" w:sz="0" w:space="0" w:color="auto"/>
            <w:left w:val="none" w:sz="0" w:space="0" w:color="auto"/>
            <w:bottom w:val="none" w:sz="0" w:space="0" w:color="auto"/>
            <w:right w:val="none" w:sz="0" w:space="0" w:color="auto"/>
          </w:divBdr>
        </w:div>
        <w:div w:id="820851859">
          <w:marLeft w:val="0"/>
          <w:marRight w:val="0"/>
          <w:marTop w:val="0"/>
          <w:marBottom w:val="0"/>
          <w:divBdr>
            <w:top w:val="none" w:sz="0" w:space="0" w:color="auto"/>
            <w:left w:val="none" w:sz="0" w:space="0" w:color="auto"/>
            <w:bottom w:val="none" w:sz="0" w:space="0" w:color="auto"/>
            <w:right w:val="none" w:sz="0" w:space="0" w:color="auto"/>
          </w:divBdr>
        </w:div>
      </w:divsChild>
    </w:div>
    <w:div w:id="162162200">
      <w:bodyDiv w:val="1"/>
      <w:marLeft w:val="0"/>
      <w:marRight w:val="0"/>
      <w:marTop w:val="0"/>
      <w:marBottom w:val="0"/>
      <w:divBdr>
        <w:top w:val="none" w:sz="0" w:space="0" w:color="auto"/>
        <w:left w:val="none" w:sz="0" w:space="0" w:color="auto"/>
        <w:bottom w:val="none" w:sz="0" w:space="0" w:color="auto"/>
        <w:right w:val="none" w:sz="0" w:space="0" w:color="auto"/>
      </w:divBdr>
      <w:divsChild>
        <w:div w:id="177626191">
          <w:marLeft w:val="0"/>
          <w:marRight w:val="0"/>
          <w:marTop w:val="0"/>
          <w:marBottom w:val="0"/>
          <w:divBdr>
            <w:top w:val="none" w:sz="0" w:space="0" w:color="auto"/>
            <w:left w:val="none" w:sz="0" w:space="0" w:color="auto"/>
            <w:bottom w:val="none" w:sz="0" w:space="0" w:color="auto"/>
            <w:right w:val="none" w:sz="0" w:space="0" w:color="auto"/>
          </w:divBdr>
        </w:div>
        <w:div w:id="2076973034">
          <w:marLeft w:val="0"/>
          <w:marRight w:val="0"/>
          <w:marTop w:val="0"/>
          <w:marBottom w:val="0"/>
          <w:divBdr>
            <w:top w:val="none" w:sz="0" w:space="0" w:color="auto"/>
            <w:left w:val="none" w:sz="0" w:space="0" w:color="auto"/>
            <w:bottom w:val="none" w:sz="0" w:space="0" w:color="auto"/>
            <w:right w:val="none" w:sz="0" w:space="0" w:color="auto"/>
          </w:divBdr>
        </w:div>
      </w:divsChild>
    </w:div>
    <w:div w:id="173303768">
      <w:bodyDiv w:val="1"/>
      <w:marLeft w:val="0"/>
      <w:marRight w:val="0"/>
      <w:marTop w:val="0"/>
      <w:marBottom w:val="0"/>
      <w:divBdr>
        <w:top w:val="none" w:sz="0" w:space="0" w:color="auto"/>
        <w:left w:val="none" w:sz="0" w:space="0" w:color="auto"/>
        <w:bottom w:val="none" w:sz="0" w:space="0" w:color="auto"/>
        <w:right w:val="none" w:sz="0" w:space="0" w:color="auto"/>
      </w:divBdr>
      <w:divsChild>
        <w:div w:id="1391072738">
          <w:marLeft w:val="0"/>
          <w:marRight w:val="0"/>
          <w:marTop w:val="0"/>
          <w:marBottom w:val="0"/>
          <w:divBdr>
            <w:top w:val="none" w:sz="0" w:space="0" w:color="auto"/>
            <w:left w:val="none" w:sz="0" w:space="0" w:color="auto"/>
            <w:bottom w:val="none" w:sz="0" w:space="0" w:color="auto"/>
            <w:right w:val="none" w:sz="0" w:space="0" w:color="auto"/>
          </w:divBdr>
        </w:div>
        <w:div w:id="778261817">
          <w:marLeft w:val="0"/>
          <w:marRight w:val="0"/>
          <w:marTop w:val="0"/>
          <w:marBottom w:val="0"/>
          <w:divBdr>
            <w:top w:val="none" w:sz="0" w:space="0" w:color="auto"/>
            <w:left w:val="none" w:sz="0" w:space="0" w:color="auto"/>
            <w:bottom w:val="none" w:sz="0" w:space="0" w:color="auto"/>
            <w:right w:val="none" w:sz="0" w:space="0" w:color="auto"/>
          </w:divBdr>
        </w:div>
      </w:divsChild>
    </w:div>
    <w:div w:id="176585224">
      <w:bodyDiv w:val="1"/>
      <w:marLeft w:val="0"/>
      <w:marRight w:val="0"/>
      <w:marTop w:val="0"/>
      <w:marBottom w:val="0"/>
      <w:divBdr>
        <w:top w:val="none" w:sz="0" w:space="0" w:color="auto"/>
        <w:left w:val="none" w:sz="0" w:space="0" w:color="auto"/>
        <w:bottom w:val="none" w:sz="0" w:space="0" w:color="auto"/>
        <w:right w:val="none" w:sz="0" w:space="0" w:color="auto"/>
      </w:divBdr>
      <w:divsChild>
        <w:div w:id="1023357166">
          <w:marLeft w:val="0"/>
          <w:marRight w:val="0"/>
          <w:marTop w:val="0"/>
          <w:marBottom w:val="0"/>
          <w:divBdr>
            <w:top w:val="none" w:sz="0" w:space="0" w:color="auto"/>
            <w:left w:val="none" w:sz="0" w:space="0" w:color="auto"/>
            <w:bottom w:val="none" w:sz="0" w:space="0" w:color="auto"/>
            <w:right w:val="none" w:sz="0" w:space="0" w:color="auto"/>
          </w:divBdr>
        </w:div>
        <w:div w:id="1166752322">
          <w:marLeft w:val="0"/>
          <w:marRight w:val="0"/>
          <w:marTop w:val="0"/>
          <w:marBottom w:val="0"/>
          <w:divBdr>
            <w:top w:val="none" w:sz="0" w:space="0" w:color="auto"/>
            <w:left w:val="none" w:sz="0" w:space="0" w:color="auto"/>
            <w:bottom w:val="none" w:sz="0" w:space="0" w:color="auto"/>
            <w:right w:val="none" w:sz="0" w:space="0" w:color="auto"/>
          </w:divBdr>
        </w:div>
      </w:divsChild>
    </w:div>
    <w:div w:id="223444202">
      <w:bodyDiv w:val="1"/>
      <w:marLeft w:val="0"/>
      <w:marRight w:val="0"/>
      <w:marTop w:val="0"/>
      <w:marBottom w:val="0"/>
      <w:divBdr>
        <w:top w:val="none" w:sz="0" w:space="0" w:color="auto"/>
        <w:left w:val="none" w:sz="0" w:space="0" w:color="auto"/>
        <w:bottom w:val="none" w:sz="0" w:space="0" w:color="auto"/>
        <w:right w:val="none" w:sz="0" w:space="0" w:color="auto"/>
      </w:divBdr>
      <w:divsChild>
        <w:div w:id="512644369">
          <w:marLeft w:val="0"/>
          <w:marRight w:val="0"/>
          <w:marTop w:val="0"/>
          <w:marBottom w:val="0"/>
          <w:divBdr>
            <w:top w:val="none" w:sz="0" w:space="0" w:color="auto"/>
            <w:left w:val="none" w:sz="0" w:space="0" w:color="auto"/>
            <w:bottom w:val="none" w:sz="0" w:space="0" w:color="auto"/>
            <w:right w:val="none" w:sz="0" w:space="0" w:color="auto"/>
          </w:divBdr>
          <w:divsChild>
            <w:div w:id="1371688882">
              <w:marLeft w:val="360"/>
              <w:marRight w:val="0"/>
              <w:marTop w:val="0"/>
              <w:marBottom w:val="0"/>
              <w:divBdr>
                <w:top w:val="none" w:sz="0" w:space="0" w:color="auto"/>
                <w:left w:val="none" w:sz="0" w:space="0" w:color="auto"/>
                <w:bottom w:val="none" w:sz="0" w:space="0" w:color="auto"/>
                <w:right w:val="none" w:sz="0" w:space="0" w:color="auto"/>
              </w:divBdr>
            </w:div>
          </w:divsChild>
        </w:div>
      </w:divsChild>
    </w:div>
    <w:div w:id="228467149">
      <w:bodyDiv w:val="1"/>
      <w:marLeft w:val="0"/>
      <w:marRight w:val="0"/>
      <w:marTop w:val="0"/>
      <w:marBottom w:val="0"/>
      <w:divBdr>
        <w:top w:val="none" w:sz="0" w:space="0" w:color="auto"/>
        <w:left w:val="none" w:sz="0" w:space="0" w:color="auto"/>
        <w:bottom w:val="none" w:sz="0" w:space="0" w:color="auto"/>
        <w:right w:val="none" w:sz="0" w:space="0" w:color="auto"/>
      </w:divBdr>
    </w:div>
    <w:div w:id="246774287">
      <w:bodyDiv w:val="1"/>
      <w:marLeft w:val="0"/>
      <w:marRight w:val="0"/>
      <w:marTop w:val="0"/>
      <w:marBottom w:val="0"/>
      <w:divBdr>
        <w:top w:val="none" w:sz="0" w:space="0" w:color="auto"/>
        <w:left w:val="none" w:sz="0" w:space="0" w:color="auto"/>
        <w:bottom w:val="none" w:sz="0" w:space="0" w:color="auto"/>
        <w:right w:val="none" w:sz="0" w:space="0" w:color="auto"/>
      </w:divBdr>
      <w:divsChild>
        <w:div w:id="1797486547">
          <w:marLeft w:val="0"/>
          <w:marRight w:val="0"/>
          <w:marTop w:val="0"/>
          <w:marBottom w:val="0"/>
          <w:divBdr>
            <w:top w:val="none" w:sz="0" w:space="0" w:color="auto"/>
            <w:left w:val="none" w:sz="0" w:space="0" w:color="auto"/>
            <w:bottom w:val="none" w:sz="0" w:space="0" w:color="auto"/>
            <w:right w:val="none" w:sz="0" w:space="0" w:color="auto"/>
          </w:divBdr>
        </w:div>
      </w:divsChild>
    </w:div>
    <w:div w:id="254092814">
      <w:bodyDiv w:val="1"/>
      <w:marLeft w:val="0"/>
      <w:marRight w:val="0"/>
      <w:marTop w:val="0"/>
      <w:marBottom w:val="0"/>
      <w:divBdr>
        <w:top w:val="none" w:sz="0" w:space="0" w:color="auto"/>
        <w:left w:val="none" w:sz="0" w:space="0" w:color="auto"/>
        <w:bottom w:val="none" w:sz="0" w:space="0" w:color="auto"/>
        <w:right w:val="none" w:sz="0" w:space="0" w:color="auto"/>
      </w:divBdr>
      <w:divsChild>
        <w:div w:id="1981763728">
          <w:marLeft w:val="0"/>
          <w:marRight w:val="0"/>
          <w:marTop w:val="0"/>
          <w:marBottom w:val="0"/>
          <w:divBdr>
            <w:top w:val="none" w:sz="0" w:space="0" w:color="auto"/>
            <w:left w:val="none" w:sz="0" w:space="0" w:color="auto"/>
            <w:bottom w:val="none" w:sz="0" w:space="0" w:color="auto"/>
            <w:right w:val="none" w:sz="0" w:space="0" w:color="auto"/>
          </w:divBdr>
        </w:div>
        <w:div w:id="1127165759">
          <w:marLeft w:val="0"/>
          <w:marRight w:val="0"/>
          <w:marTop w:val="0"/>
          <w:marBottom w:val="0"/>
          <w:divBdr>
            <w:top w:val="none" w:sz="0" w:space="0" w:color="auto"/>
            <w:left w:val="none" w:sz="0" w:space="0" w:color="auto"/>
            <w:bottom w:val="none" w:sz="0" w:space="0" w:color="auto"/>
            <w:right w:val="none" w:sz="0" w:space="0" w:color="auto"/>
          </w:divBdr>
        </w:div>
      </w:divsChild>
    </w:div>
    <w:div w:id="264923582">
      <w:bodyDiv w:val="1"/>
      <w:marLeft w:val="0"/>
      <w:marRight w:val="0"/>
      <w:marTop w:val="0"/>
      <w:marBottom w:val="0"/>
      <w:divBdr>
        <w:top w:val="none" w:sz="0" w:space="0" w:color="auto"/>
        <w:left w:val="none" w:sz="0" w:space="0" w:color="auto"/>
        <w:bottom w:val="none" w:sz="0" w:space="0" w:color="auto"/>
        <w:right w:val="none" w:sz="0" w:space="0" w:color="auto"/>
      </w:divBdr>
      <w:divsChild>
        <w:div w:id="914822798">
          <w:marLeft w:val="0"/>
          <w:marRight w:val="0"/>
          <w:marTop w:val="0"/>
          <w:marBottom w:val="0"/>
          <w:divBdr>
            <w:top w:val="none" w:sz="0" w:space="0" w:color="auto"/>
            <w:left w:val="none" w:sz="0" w:space="0" w:color="auto"/>
            <w:bottom w:val="none" w:sz="0" w:space="0" w:color="auto"/>
            <w:right w:val="none" w:sz="0" w:space="0" w:color="auto"/>
          </w:divBdr>
        </w:div>
        <w:div w:id="1548639803">
          <w:marLeft w:val="0"/>
          <w:marRight w:val="0"/>
          <w:marTop w:val="0"/>
          <w:marBottom w:val="0"/>
          <w:divBdr>
            <w:top w:val="none" w:sz="0" w:space="0" w:color="auto"/>
            <w:left w:val="none" w:sz="0" w:space="0" w:color="auto"/>
            <w:bottom w:val="none" w:sz="0" w:space="0" w:color="auto"/>
            <w:right w:val="none" w:sz="0" w:space="0" w:color="auto"/>
          </w:divBdr>
        </w:div>
      </w:divsChild>
    </w:div>
    <w:div w:id="272371161">
      <w:bodyDiv w:val="1"/>
      <w:marLeft w:val="0"/>
      <w:marRight w:val="0"/>
      <w:marTop w:val="0"/>
      <w:marBottom w:val="0"/>
      <w:divBdr>
        <w:top w:val="none" w:sz="0" w:space="0" w:color="auto"/>
        <w:left w:val="none" w:sz="0" w:space="0" w:color="auto"/>
        <w:bottom w:val="none" w:sz="0" w:space="0" w:color="auto"/>
        <w:right w:val="none" w:sz="0" w:space="0" w:color="auto"/>
      </w:divBdr>
    </w:div>
    <w:div w:id="275018574">
      <w:bodyDiv w:val="1"/>
      <w:marLeft w:val="0"/>
      <w:marRight w:val="0"/>
      <w:marTop w:val="0"/>
      <w:marBottom w:val="0"/>
      <w:divBdr>
        <w:top w:val="none" w:sz="0" w:space="0" w:color="auto"/>
        <w:left w:val="none" w:sz="0" w:space="0" w:color="auto"/>
        <w:bottom w:val="none" w:sz="0" w:space="0" w:color="auto"/>
        <w:right w:val="none" w:sz="0" w:space="0" w:color="auto"/>
      </w:divBdr>
    </w:div>
    <w:div w:id="278342973">
      <w:bodyDiv w:val="1"/>
      <w:marLeft w:val="0"/>
      <w:marRight w:val="0"/>
      <w:marTop w:val="0"/>
      <w:marBottom w:val="0"/>
      <w:divBdr>
        <w:top w:val="none" w:sz="0" w:space="0" w:color="auto"/>
        <w:left w:val="none" w:sz="0" w:space="0" w:color="auto"/>
        <w:bottom w:val="none" w:sz="0" w:space="0" w:color="auto"/>
        <w:right w:val="none" w:sz="0" w:space="0" w:color="auto"/>
      </w:divBdr>
    </w:div>
    <w:div w:id="283124572">
      <w:bodyDiv w:val="1"/>
      <w:marLeft w:val="0"/>
      <w:marRight w:val="0"/>
      <w:marTop w:val="0"/>
      <w:marBottom w:val="0"/>
      <w:divBdr>
        <w:top w:val="none" w:sz="0" w:space="0" w:color="auto"/>
        <w:left w:val="none" w:sz="0" w:space="0" w:color="auto"/>
        <w:bottom w:val="none" w:sz="0" w:space="0" w:color="auto"/>
        <w:right w:val="none" w:sz="0" w:space="0" w:color="auto"/>
      </w:divBdr>
    </w:div>
    <w:div w:id="291835685">
      <w:bodyDiv w:val="1"/>
      <w:marLeft w:val="0"/>
      <w:marRight w:val="0"/>
      <w:marTop w:val="0"/>
      <w:marBottom w:val="0"/>
      <w:divBdr>
        <w:top w:val="none" w:sz="0" w:space="0" w:color="auto"/>
        <w:left w:val="none" w:sz="0" w:space="0" w:color="auto"/>
        <w:bottom w:val="none" w:sz="0" w:space="0" w:color="auto"/>
        <w:right w:val="none" w:sz="0" w:space="0" w:color="auto"/>
      </w:divBdr>
    </w:div>
    <w:div w:id="294215061">
      <w:bodyDiv w:val="1"/>
      <w:marLeft w:val="0"/>
      <w:marRight w:val="0"/>
      <w:marTop w:val="0"/>
      <w:marBottom w:val="0"/>
      <w:divBdr>
        <w:top w:val="none" w:sz="0" w:space="0" w:color="auto"/>
        <w:left w:val="none" w:sz="0" w:space="0" w:color="auto"/>
        <w:bottom w:val="none" w:sz="0" w:space="0" w:color="auto"/>
        <w:right w:val="none" w:sz="0" w:space="0" w:color="auto"/>
      </w:divBdr>
    </w:div>
    <w:div w:id="330647832">
      <w:bodyDiv w:val="1"/>
      <w:marLeft w:val="0"/>
      <w:marRight w:val="0"/>
      <w:marTop w:val="0"/>
      <w:marBottom w:val="0"/>
      <w:divBdr>
        <w:top w:val="none" w:sz="0" w:space="0" w:color="auto"/>
        <w:left w:val="none" w:sz="0" w:space="0" w:color="auto"/>
        <w:bottom w:val="none" w:sz="0" w:space="0" w:color="auto"/>
        <w:right w:val="none" w:sz="0" w:space="0" w:color="auto"/>
      </w:divBdr>
      <w:divsChild>
        <w:div w:id="1415008113">
          <w:marLeft w:val="0"/>
          <w:marRight w:val="0"/>
          <w:marTop w:val="0"/>
          <w:marBottom w:val="0"/>
          <w:divBdr>
            <w:top w:val="none" w:sz="0" w:space="0" w:color="auto"/>
            <w:left w:val="none" w:sz="0" w:space="0" w:color="auto"/>
            <w:bottom w:val="none" w:sz="0" w:space="0" w:color="auto"/>
            <w:right w:val="none" w:sz="0" w:space="0" w:color="auto"/>
          </w:divBdr>
        </w:div>
        <w:div w:id="863788993">
          <w:marLeft w:val="0"/>
          <w:marRight w:val="0"/>
          <w:marTop w:val="0"/>
          <w:marBottom w:val="0"/>
          <w:divBdr>
            <w:top w:val="none" w:sz="0" w:space="0" w:color="auto"/>
            <w:left w:val="none" w:sz="0" w:space="0" w:color="auto"/>
            <w:bottom w:val="none" w:sz="0" w:space="0" w:color="auto"/>
            <w:right w:val="none" w:sz="0" w:space="0" w:color="auto"/>
          </w:divBdr>
        </w:div>
      </w:divsChild>
    </w:div>
    <w:div w:id="341903931">
      <w:bodyDiv w:val="1"/>
      <w:marLeft w:val="0"/>
      <w:marRight w:val="0"/>
      <w:marTop w:val="0"/>
      <w:marBottom w:val="0"/>
      <w:divBdr>
        <w:top w:val="none" w:sz="0" w:space="0" w:color="auto"/>
        <w:left w:val="none" w:sz="0" w:space="0" w:color="auto"/>
        <w:bottom w:val="none" w:sz="0" w:space="0" w:color="auto"/>
        <w:right w:val="none" w:sz="0" w:space="0" w:color="auto"/>
      </w:divBdr>
    </w:div>
    <w:div w:id="367343949">
      <w:bodyDiv w:val="1"/>
      <w:marLeft w:val="0"/>
      <w:marRight w:val="0"/>
      <w:marTop w:val="0"/>
      <w:marBottom w:val="0"/>
      <w:divBdr>
        <w:top w:val="none" w:sz="0" w:space="0" w:color="auto"/>
        <w:left w:val="none" w:sz="0" w:space="0" w:color="auto"/>
        <w:bottom w:val="none" w:sz="0" w:space="0" w:color="auto"/>
        <w:right w:val="none" w:sz="0" w:space="0" w:color="auto"/>
      </w:divBdr>
      <w:divsChild>
        <w:div w:id="2001274092">
          <w:marLeft w:val="0"/>
          <w:marRight w:val="0"/>
          <w:marTop w:val="0"/>
          <w:marBottom w:val="0"/>
          <w:divBdr>
            <w:top w:val="none" w:sz="0" w:space="0" w:color="auto"/>
            <w:left w:val="none" w:sz="0" w:space="0" w:color="auto"/>
            <w:bottom w:val="none" w:sz="0" w:space="0" w:color="auto"/>
            <w:right w:val="none" w:sz="0" w:space="0" w:color="auto"/>
          </w:divBdr>
        </w:div>
        <w:div w:id="991443933">
          <w:marLeft w:val="0"/>
          <w:marRight w:val="0"/>
          <w:marTop w:val="0"/>
          <w:marBottom w:val="0"/>
          <w:divBdr>
            <w:top w:val="none" w:sz="0" w:space="0" w:color="auto"/>
            <w:left w:val="none" w:sz="0" w:space="0" w:color="auto"/>
            <w:bottom w:val="none" w:sz="0" w:space="0" w:color="auto"/>
            <w:right w:val="none" w:sz="0" w:space="0" w:color="auto"/>
          </w:divBdr>
        </w:div>
      </w:divsChild>
    </w:div>
    <w:div w:id="374544116">
      <w:bodyDiv w:val="1"/>
      <w:marLeft w:val="0"/>
      <w:marRight w:val="0"/>
      <w:marTop w:val="0"/>
      <w:marBottom w:val="0"/>
      <w:divBdr>
        <w:top w:val="none" w:sz="0" w:space="0" w:color="auto"/>
        <w:left w:val="none" w:sz="0" w:space="0" w:color="auto"/>
        <w:bottom w:val="none" w:sz="0" w:space="0" w:color="auto"/>
        <w:right w:val="none" w:sz="0" w:space="0" w:color="auto"/>
      </w:divBdr>
      <w:divsChild>
        <w:div w:id="622537865">
          <w:marLeft w:val="0"/>
          <w:marRight w:val="0"/>
          <w:marTop w:val="0"/>
          <w:marBottom w:val="0"/>
          <w:divBdr>
            <w:top w:val="none" w:sz="0" w:space="0" w:color="auto"/>
            <w:left w:val="none" w:sz="0" w:space="0" w:color="auto"/>
            <w:bottom w:val="none" w:sz="0" w:space="0" w:color="auto"/>
            <w:right w:val="none" w:sz="0" w:space="0" w:color="auto"/>
          </w:divBdr>
        </w:div>
        <w:div w:id="282613370">
          <w:marLeft w:val="0"/>
          <w:marRight w:val="0"/>
          <w:marTop w:val="0"/>
          <w:marBottom w:val="0"/>
          <w:divBdr>
            <w:top w:val="none" w:sz="0" w:space="0" w:color="auto"/>
            <w:left w:val="none" w:sz="0" w:space="0" w:color="auto"/>
            <w:bottom w:val="none" w:sz="0" w:space="0" w:color="auto"/>
            <w:right w:val="none" w:sz="0" w:space="0" w:color="auto"/>
          </w:divBdr>
        </w:div>
      </w:divsChild>
    </w:div>
    <w:div w:id="413212999">
      <w:bodyDiv w:val="1"/>
      <w:marLeft w:val="0"/>
      <w:marRight w:val="0"/>
      <w:marTop w:val="0"/>
      <w:marBottom w:val="0"/>
      <w:divBdr>
        <w:top w:val="none" w:sz="0" w:space="0" w:color="auto"/>
        <w:left w:val="none" w:sz="0" w:space="0" w:color="auto"/>
        <w:bottom w:val="none" w:sz="0" w:space="0" w:color="auto"/>
        <w:right w:val="none" w:sz="0" w:space="0" w:color="auto"/>
      </w:divBdr>
      <w:divsChild>
        <w:div w:id="1277832041">
          <w:marLeft w:val="0"/>
          <w:marRight w:val="0"/>
          <w:marTop w:val="0"/>
          <w:marBottom w:val="0"/>
          <w:divBdr>
            <w:top w:val="none" w:sz="0" w:space="0" w:color="auto"/>
            <w:left w:val="none" w:sz="0" w:space="0" w:color="auto"/>
            <w:bottom w:val="none" w:sz="0" w:space="0" w:color="auto"/>
            <w:right w:val="none" w:sz="0" w:space="0" w:color="auto"/>
          </w:divBdr>
        </w:div>
        <w:div w:id="161701828">
          <w:marLeft w:val="0"/>
          <w:marRight w:val="0"/>
          <w:marTop w:val="0"/>
          <w:marBottom w:val="0"/>
          <w:divBdr>
            <w:top w:val="none" w:sz="0" w:space="0" w:color="auto"/>
            <w:left w:val="none" w:sz="0" w:space="0" w:color="auto"/>
            <w:bottom w:val="none" w:sz="0" w:space="0" w:color="auto"/>
            <w:right w:val="none" w:sz="0" w:space="0" w:color="auto"/>
          </w:divBdr>
        </w:div>
      </w:divsChild>
    </w:div>
    <w:div w:id="415245736">
      <w:bodyDiv w:val="1"/>
      <w:marLeft w:val="0"/>
      <w:marRight w:val="0"/>
      <w:marTop w:val="0"/>
      <w:marBottom w:val="0"/>
      <w:divBdr>
        <w:top w:val="none" w:sz="0" w:space="0" w:color="auto"/>
        <w:left w:val="none" w:sz="0" w:space="0" w:color="auto"/>
        <w:bottom w:val="none" w:sz="0" w:space="0" w:color="auto"/>
        <w:right w:val="none" w:sz="0" w:space="0" w:color="auto"/>
      </w:divBdr>
      <w:divsChild>
        <w:div w:id="766076455">
          <w:marLeft w:val="0"/>
          <w:marRight w:val="0"/>
          <w:marTop w:val="0"/>
          <w:marBottom w:val="0"/>
          <w:divBdr>
            <w:top w:val="none" w:sz="0" w:space="0" w:color="auto"/>
            <w:left w:val="none" w:sz="0" w:space="0" w:color="auto"/>
            <w:bottom w:val="none" w:sz="0" w:space="0" w:color="auto"/>
            <w:right w:val="none" w:sz="0" w:space="0" w:color="auto"/>
          </w:divBdr>
        </w:div>
        <w:div w:id="131143562">
          <w:marLeft w:val="0"/>
          <w:marRight w:val="0"/>
          <w:marTop w:val="0"/>
          <w:marBottom w:val="0"/>
          <w:divBdr>
            <w:top w:val="none" w:sz="0" w:space="0" w:color="auto"/>
            <w:left w:val="none" w:sz="0" w:space="0" w:color="auto"/>
            <w:bottom w:val="none" w:sz="0" w:space="0" w:color="auto"/>
            <w:right w:val="none" w:sz="0" w:space="0" w:color="auto"/>
          </w:divBdr>
        </w:div>
      </w:divsChild>
    </w:div>
    <w:div w:id="420104486">
      <w:bodyDiv w:val="1"/>
      <w:marLeft w:val="0"/>
      <w:marRight w:val="0"/>
      <w:marTop w:val="0"/>
      <w:marBottom w:val="0"/>
      <w:divBdr>
        <w:top w:val="none" w:sz="0" w:space="0" w:color="auto"/>
        <w:left w:val="none" w:sz="0" w:space="0" w:color="auto"/>
        <w:bottom w:val="none" w:sz="0" w:space="0" w:color="auto"/>
        <w:right w:val="none" w:sz="0" w:space="0" w:color="auto"/>
      </w:divBdr>
    </w:div>
    <w:div w:id="422455467">
      <w:bodyDiv w:val="1"/>
      <w:marLeft w:val="0"/>
      <w:marRight w:val="0"/>
      <w:marTop w:val="0"/>
      <w:marBottom w:val="0"/>
      <w:divBdr>
        <w:top w:val="none" w:sz="0" w:space="0" w:color="auto"/>
        <w:left w:val="none" w:sz="0" w:space="0" w:color="auto"/>
        <w:bottom w:val="none" w:sz="0" w:space="0" w:color="auto"/>
        <w:right w:val="none" w:sz="0" w:space="0" w:color="auto"/>
      </w:divBdr>
      <w:divsChild>
        <w:div w:id="1750342751">
          <w:marLeft w:val="0"/>
          <w:marRight w:val="0"/>
          <w:marTop w:val="0"/>
          <w:marBottom w:val="0"/>
          <w:divBdr>
            <w:top w:val="none" w:sz="0" w:space="0" w:color="auto"/>
            <w:left w:val="none" w:sz="0" w:space="0" w:color="auto"/>
            <w:bottom w:val="none" w:sz="0" w:space="0" w:color="auto"/>
            <w:right w:val="none" w:sz="0" w:space="0" w:color="auto"/>
          </w:divBdr>
        </w:div>
        <w:div w:id="690035751">
          <w:marLeft w:val="0"/>
          <w:marRight w:val="0"/>
          <w:marTop w:val="0"/>
          <w:marBottom w:val="0"/>
          <w:divBdr>
            <w:top w:val="none" w:sz="0" w:space="0" w:color="auto"/>
            <w:left w:val="none" w:sz="0" w:space="0" w:color="auto"/>
            <w:bottom w:val="none" w:sz="0" w:space="0" w:color="auto"/>
            <w:right w:val="none" w:sz="0" w:space="0" w:color="auto"/>
          </w:divBdr>
        </w:div>
      </w:divsChild>
    </w:div>
    <w:div w:id="425274919">
      <w:bodyDiv w:val="1"/>
      <w:marLeft w:val="0"/>
      <w:marRight w:val="0"/>
      <w:marTop w:val="0"/>
      <w:marBottom w:val="0"/>
      <w:divBdr>
        <w:top w:val="none" w:sz="0" w:space="0" w:color="auto"/>
        <w:left w:val="none" w:sz="0" w:space="0" w:color="auto"/>
        <w:bottom w:val="none" w:sz="0" w:space="0" w:color="auto"/>
        <w:right w:val="none" w:sz="0" w:space="0" w:color="auto"/>
      </w:divBdr>
    </w:div>
    <w:div w:id="428474939">
      <w:bodyDiv w:val="1"/>
      <w:marLeft w:val="0"/>
      <w:marRight w:val="0"/>
      <w:marTop w:val="0"/>
      <w:marBottom w:val="0"/>
      <w:divBdr>
        <w:top w:val="none" w:sz="0" w:space="0" w:color="auto"/>
        <w:left w:val="none" w:sz="0" w:space="0" w:color="auto"/>
        <w:bottom w:val="none" w:sz="0" w:space="0" w:color="auto"/>
        <w:right w:val="none" w:sz="0" w:space="0" w:color="auto"/>
      </w:divBdr>
      <w:divsChild>
        <w:div w:id="1652949083">
          <w:marLeft w:val="0"/>
          <w:marRight w:val="0"/>
          <w:marTop w:val="0"/>
          <w:marBottom w:val="0"/>
          <w:divBdr>
            <w:top w:val="none" w:sz="0" w:space="0" w:color="auto"/>
            <w:left w:val="none" w:sz="0" w:space="0" w:color="auto"/>
            <w:bottom w:val="none" w:sz="0" w:space="0" w:color="auto"/>
            <w:right w:val="none" w:sz="0" w:space="0" w:color="auto"/>
          </w:divBdr>
        </w:div>
      </w:divsChild>
    </w:div>
    <w:div w:id="431055877">
      <w:bodyDiv w:val="1"/>
      <w:marLeft w:val="0"/>
      <w:marRight w:val="0"/>
      <w:marTop w:val="0"/>
      <w:marBottom w:val="0"/>
      <w:divBdr>
        <w:top w:val="none" w:sz="0" w:space="0" w:color="auto"/>
        <w:left w:val="none" w:sz="0" w:space="0" w:color="auto"/>
        <w:bottom w:val="none" w:sz="0" w:space="0" w:color="auto"/>
        <w:right w:val="none" w:sz="0" w:space="0" w:color="auto"/>
      </w:divBdr>
      <w:divsChild>
        <w:div w:id="1088035453">
          <w:marLeft w:val="0"/>
          <w:marRight w:val="0"/>
          <w:marTop w:val="0"/>
          <w:marBottom w:val="0"/>
          <w:divBdr>
            <w:top w:val="none" w:sz="0" w:space="0" w:color="auto"/>
            <w:left w:val="none" w:sz="0" w:space="0" w:color="auto"/>
            <w:bottom w:val="none" w:sz="0" w:space="0" w:color="auto"/>
            <w:right w:val="none" w:sz="0" w:space="0" w:color="auto"/>
          </w:divBdr>
        </w:div>
        <w:div w:id="531500684">
          <w:marLeft w:val="0"/>
          <w:marRight w:val="0"/>
          <w:marTop w:val="0"/>
          <w:marBottom w:val="0"/>
          <w:divBdr>
            <w:top w:val="none" w:sz="0" w:space="0" w:color="auto"/>
            <w:left w:val="none" w:sz="0" w:space="0" w:color="auto"/>
            <w:bottom w:val="none" w:sz="0" w:space="0" w:color="auto"/>
            <w:right w:val="none" w:sz="0" w:space="0" w:color="auto"/>
          </w:divBdr>
          <w:divsChild>
            <w:div w:id="2018189258">
              <w:marLeft w:val="0"/>
              <w:marRight w:val="0"/>
              <w:marTop w:val="0"/>
              <w:marBottom w:val="0"/>
              <w:divBdr>
                <w:top w:val="none" w:sz="0" w:space="0" w:color="auto"/>
                <w:left w:val="none" w:sz="0" w:space="0" w:color="auto"/>
                <w:bottom w:val="none" w:sz="0" w:space="0" w:color="auto"/>
                <w:right w:val="none" w:sz="0" w:space="0" w:color="auto"/>
              </w:divBdr>
            </w:div>
            <w:div w:id="476145823">
              <w:marLeft w:val="0"/>
              <w:marRight w:val="0"/>
              <w:marTop w:val="0"/>
              <w:marBottom w:val="0"/>
              <w:divBdr>
                <w:top w:val="none" w:sz="0" w:space="0" w:color="auto"/>
                <w:left w:val="none" w:sz="0" w:space="0" w:color="auto"/>
                <w:bottom w:val="none" w:sz="0" w:space="0" w:color="auto"/>
                <w:right w:val="none" w:sz="0" w:space="0" w:color="auto"/>
              </w:divBdr>
            </w:div>
            <w:div w:id="1237977583">
              <w:marLeft w:val="0"/>
              <w:marRight w:val="0"/>
              <w:marTop w:val="0"/>
              <w:marBottom w:val="0"/>
              <w:divBdr>
                <w:top w:val="none" w:sz="0" w:space="0" w:color="auto"/>
                <w:left w:val="none" w:sz="0" w:space="0" w:color="auto"/>
                <w:bottom w:val="none" w:sz="0" w:space="0" w:color="auto"/>
                <w:right w:val="none" w:sz="0" w:space="0" w:color="auto"/>
              </w:divBdr>
            </w:div>
            <w:div w:id="2081783486">
              <w:marLeft w:val="0"/>
              <w:marRight w:val="0"/>
              <w:marTop w:val="0"/>
              <w:marBottom w:val="0"/>
              <w:divBdr>
                <w:top w:val="none" w:sz="0" w:space="0" w:color="auto"/>
                <w:left w:val="none" w:sz="0" w:space="0" w:color="auto"/>
                <w:bottom w:val="none" w:sz="0" w:space="0" w:color="auto"/>
                <w:right w:val="none" w:sz="0" w:space="0" w:color="auto"/>
              </w:divBdr>
            </w:div>
            <w:div w:id="11378364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9204840">
      <w:bodyDiv w:val="1"/>
      <w:marLeft w:val="0"/>
      <w:marRight w:val="0"/>
      <w:marTop w:val="0"/>
      <w:marBottom w:val="0"/>
      <w:divBdr>
        <w:top w:val="none" w:sz="0" w:space="0" w:color="auto"/>
        <w:left w:val="none" w:sz="0" w:space="0" w:color="auto"/>
        <w:bottom w:val="none" w:sz="0" w:space="0" w:color="auto"/>
        <w:right w:val="none" w:sz="0" w:space="0" w:color="auto"/>
      </w:divBdr>
      <w:divsChild>
        <w:div w:id="325480128">
          <w:marLeft w:val="0"/>
          <w:marRight w:val="0"/>
          <w:marTop w:val="0"/>
          <w:marBottom w:val="0"/>
          <w:divBdr>
            <w:top w:val="none" w:sz="0" w:space="0" w:color="auto"/>
            <w:left w:val="none" w:sz="0" w:space="0" w:color="auto"/>
            <w:bottom w:val="none" w:sz="0" w:space="0" w:color="auto"/>
            <w:right w:val="none" w:sz="0" w:space="0" w:color="auto"/>
          </w:divBdr>
        </w:div>
        <w:div w:id="1181815046">
          <w:marLeft w:val="0"/>
          <w:marRight w:val="0"/>
          <w:marTop w:val="0"/>
          <w:marBottom w:val="0"/>
          <w:divBdr>
            <w:top w:val="none" w:sz="0" w:space="0" w:color="auto"/>
            <w:left w:val="none" w:sz="0" w:space="0" w:color="auto"/>
            <w:bottom w:val="none" w:sz="0" w:space="0" w:color="auto"/>
            <w:right w:val="none" w:sz="0" w:space="0" w:color="auto"/>
          </w:divBdr>
        </w:div>
      </w:divsChild>
    </w:div>
    <w:div w:id="479225959">
      <w:bodyDiv w:val="1"/>
      <w:marLeft w:val="0"/>
      <w:marRight w:val="0"/>
      <w:marTop w:val="0"/>
      <w:marBottom w:val="0"/>
      <w:divBdr>
        <w:top w:val="none" w:sz="0" w:space="0" w:color="auto"/>
        <w:left w:val="none" w:sz="0" w:space="0" w:color="auto"/>
        <w:bottom w:val="none" w:sz="0" w:space="0" w:color="auto"/>
        <w:right w:val="none" w:sz="0" w:space="0" w:color="auto"/>
      </w:divBdr>
    </w:div>
    <w:div w:id="489563401">
      <w:bodyDiv w:val="1"/>
      <w:marLeft w:val="0"/>
      <w:marRight w:val="0"/>
      <w:marTop w:val="0"/>
      <w:marBottom w:val="0"/>
      <w:divBdr>
        <w:top w:val="none" w:sz="0" w:space="0" w:color="auto"/>
        <w:left w:val="none" w:sz="0" w:space="0" w:color="auto"/>
        <w:bottom w:val="none" w:sz="0" w:space="0" w:color="auto"/>
        <w:right w:val="none" w:sz="0" w:space="0" w:color="auto"/>
      </w:divBdr>
      <w:divsChild>
        <w:div w:id="2001494063">
          <w:marLeft w:val="0"/>
          <w:marRight w:val="0"/>
          <w:marTop w:val="0"/>
          <w:marBottom w:val="0"/>
          <w:divBdr>
            <w:top w:val="none" w:sz="0" w:space="0" w:color="auto"/>
            <w:left w:val="none" w:sz="0" w:space="0" w:color="auto"/>
            <w:bottom w:val="none" w:sz="0" w:space="0" w:color="auto"/>
            <w:right w:val="none" w:sz="0" w:space="0" w:color="auto"/>
          </w:divBdr>
        </w:div>
        <w:div w:id="80571063">
          <w:marLeft w:val="0"/>
          <w:marRight w:val="0"/>
          <w:marTop w:val="0"/>
          <w:marBottom w:val="0"/>
          <w:divBdr>
            <w:top w:val="none" w:sz="0" w:space="0" w:color="auto"/>
            <w:left w:val="none" w:sz="0" w:space="0" w:color="auto"/>
            <w:bottom w:val="none" w:sz="0" w:space="0" w:color="auto"/>
            <w:right w:val="none" w:sz="0" w:space="0" w:color="auto"/>
          </w:divBdr>
        </w:div>
      </w:divsChild>
    </w:div>
    <w:div w:id="500510583">
      <w:bodyDiv w:val="1"/>
      <w:marLeft w:val="0"/>
      <w:marRight w:val="0"/>
      <w:marTop w:val="0"/>
      <w:marBottom w:val="0"/>
      <w:divBdr>
        <w:top w:val="none" w:sz="0" w:space="0" w:color="auto"/>
        <w:left w:val="none" w:sz="0" w:space="0" w:color="auto"/>
        <w:bottom w:val="none" w:sz="0" w:space="0" w:color="auto"/>
        <w:right w:val="none" w:sz="0" w:space="0" w:color="auto"/>
      </w:divBdr>
      <w:divsChild>
        <w:div w:id="686752582">
          <w:marLeft w:val="0"/>
          <w:marRight w:val="0"/>
          <w:marTop w:val="0"/>
          <w:marBottom w:val="0"/>
          <w:divBdr>
            <w:top w:val="none" w:sz="0" w:space="0" w:color="auto"/>
            <w:left w:val="none" w:sz="0" w:space="0" w:color="auto"/>
            <w:bottom w:val="none" w:sz="0" w:space="0" w:color="auto"/>
            <w:right w:val="none" w:sz="0" w:space="0" w:color="auto"/>
          </w:divBdr>
        </w:div>
        <w:div w:id="1458527102">
          <w:marLeft w:val="0"/>
          <w:marRight w:val="0"/>
          <w:marTop w:val="0"/>
          <w:marBottom w:val="0"/>
          <w:divBdr>
            <w:top w:val="none" w:sz="0" w:space="0" w:color="auto"/>
            <w:left w:val="none" w:sz="0" w:space="0" w:color="auto"/>
            <w:bottom w:val="none" w:sz="0" w:space="0" w:color="auto"/>
            <w:right w:val="none" w:sz="0" w:space="0" w:color="auto"/>
          </w:divBdr>
        </w:div>
      </w:divsChild>
    </w:div>
    <w:div w:id="516968401">
      <w:bodyDiv w:val="1"/>
      <w:marLeft w:val="0"/>
      <w:marRight w:val="0"/>
      <w:marTop w:val="0"/>
      <w:marBottom w:val="0"/>
      <w:divBdr>
        <w:top w:val="none" w:sz="0" w:space="0" w:color="auto"/>
        <w:left w:val="none" w:sz="0" w:space="0" w:color="auto"/>
        <w:bottom w:val="none" w:sz="0" w:space="0" w:color="auto"/>
        <w:right w:val="none" w:sz="0" w:space="0" w:color="auto"/>
      </w:divBdr>
      <w:divsChild>
        <w:div w:id="1053967353">
          <w:marLeft w:val="0"/>
          <w:marRight w:val="0"/>
          <w:marTop w:val="0"/>
          <w:marBottom w:val="0"/>
          <w:divBdr>
            <w:top w:val="none" w:sz="0" w:space="0" w:color="auto"/>
            <w:left w:val="none" w:sz="0" w:space="0" w:color="auto"/>
            <w:bottom w:val="none" w:sz="0" w:space="0" w:color="auto"/>
            <w:right w:val="none" w:sz="0" w:space="0" w:color="auto"/>
          </w:divBdr>
        </w:div>
        <w:div w:id="968127837">
          <w:marLeft w:val="0"/>
          <w:marRight w:val="0"/>
          <w:marTop w:val="0"/>
          <w:marBottom w:val="0"/>
          <w:divBdr>
            <w:top w:val="none" w:sz="0" w:space="0" w:color="auto"/>
            <w:left w:val="none" w:sz="0" w:space="0" w:color="auto"/>
            <w:bottom w:val="none" w:sz="0" w:space="0" w:color="auto"/>
            <w:right w:val="none" w:sz="0" w:space="0" w:color="auto"/>
          </w:divBdr>
        </w:div>
      </w:divsChild>
    </w:div>
    <w:div w:id="520978218">
      <w:bodyDiv w:val="1"/>
      <w:marLeft w:val="0"/>
      <w:marRight w:val="0"/>
      <w:marTop w:val="0"/>
      <w:marBottom w:val="0"/>
      <w:divBdr>
        <w:top w:val="none" w:sz="0" w:space="0" w:color="auto"/>
        <w:left w:val="none" w:sz="0" w:space="0" w:color="auto"/>
        <w:bottom w:val="none" w:sz="0" w:space="0" w:color="auto"/>
        <w:right w:val="none" w:sz="0" w:space="0" w:color="auto"/>
      </w:divBdr>
      <w:divsChild>
        <w:div w:id="1536111557">
          <w:marLeft w:val="0"/>
          <w:marRight w:val="0"/>
          <w:marTop w:val="0"/>
          <w:marBottom w:val="0"/>
          <w:divBdr>
            <w:top w:val="none" w:sz="0" w:space="0" w:color="auto"/>
            <w:left w:val="none" w:sz="0" w:space="0" w:color="auto"/>
            <w:bottom w:val="none" w:sz="0" w:space="0" w:color="auto"/>
            <w:right w:val="none" w:sz="0" w:space="0" w:color="auto"/>
          </w:divBdr>
        </w:div>
        <w:div w:id="899367428">
          <w:marLeft w:val="0"/>
          <w:marRight w:val="0"/>
          <w:marTop w:val="0"/>
          <w:marBottom w:val="0"/>
          <w:divBdr>
            <w:top w:val="none" w:sz="0" w:space="0" w:color="auto"/>
            <w:left w:val="none" w:sz="0" w:space="0" w:color="auto"/>
            <w:bottom w:val="none" w:sz="0" w:space="0" w:color="auto"/>
            <w:right w:val="none" w:sz="0" w:space="0" w:color="auto"/>
          </w:divBdr>
        </w:div>
      </w:divsChild>
    </w:div>
    <w:div w:id="553582776">
      <w:bodyDiv w:val="1"/>
      <w:marLeft w:val="0"/>
      <w:marRight w:val="0"/>
      <w:marTop w:val="0"/>
      <w:marBottom w:val="0"/>
      <w:divBdr>
        <w:top w:val="none" w:sz="0" w:space="0" w:color="auto"/>
        <w:left w:val="none" w:sz="0" w:space="0" w:color="auto"/>
        <w:bottom w:val="none" w:sz="0" w:space="0" w:color="auto"/>
        <w:right w:val="none" w:sz="0" w:space="0" w:color="auto"/>
      </w:divBdr>
      <w:divsChild>
        <w:div w:id="509948325">
          <w:marLeft w:val="0"/>
          <w:marRight w:val="0"/>
          <w:marTop w:val="0"/>
          <w:marBottom w:val="0"/>
          <w:divBdr>
            <w:top w:val="none" w:sz="0" w:space="0" w:color="auto"/>
            <w:left w:val="none" w:sz="0" w:space="0" w:color="auto"/>
            <w:bottom w:val="none" w:sz="0" w:space="0" w:color="auto"/>
            <w:right w:val="none" w:sz="0" w:space="0" w:color="auto"/>
          </w:divBdr>
        </w:div>
        <w:div w:id="556089586">
          <w:marLeft w:val="0"/>
          <w:marRight w:val="0"/>
          <w:marTop w:val="0"/>
          <w:marBottom w:val="0"/>
          <w:divBdr>
            <w:top w:val="none" w:sz="0" w:space="0" w:color="auto"/>
            <w:left w:val="none" w:sz="0" w:space="0" w:color="auto"/>
            <w:bottom w:val="none" w:sz="0" w:space="0" w:color="auto"/>
            <w:right w:val="none" w:sz="0" w:space="0" w:color="auto"/>
          </w:divBdr>
        </w:div>
      </w:divsChild>
    </w:div>
    <w:div w:id="572357580">
      <w:bodyDiv w:val="1"/>
      <w:marLeft w:val="0"/>
      <w:marRight w:val="0"/>
      <w:marTop w:val="0"/>
      <w:marBottom w:val="0"/>
      <w:divBdr>
        <w:top w:val="none" w:sz="0" w:space="0" w:color="auto"/>
        <w:left w:val="none" w:sz="0" w:space="0" w:color="auto"/>
        <w:bottom w:val="none" w:sz="0" w:space="0" w:color="auto"/>
        <w:right w:val="none" w:sz="0" w:space="0" w:color="auto"/>
      </w:divBdr>
      <w:divsChild>
        <w:div w:id="441921767">
          <w:marLeft w:val="0"/>
          <w:marRight w:val="0"/>
          <w:marTop w:val="0"/>
          <w:marBottom w:val="0"/>
          <w:divBdr>
            <w:top w:val="none" w:sz="0" w:space="0" w:color="auto"/>
            <w:left w:val="none" w:sz="0" w:space="0" w:color="auto"/>
            <w:bottom w:val="none" w:sz="0" w:space="0" w:color="auto"/>
            <w:right w:val="none" w:sz="0" w:space="0" w:color="auto"/>
          </w:divBdr>
        </w:div>
        <w:div w:id="1069185977">
          <w:marLeft w:val="0"/>
          <w:marRight w:val="0"/>
          <w:marTop w:val="0"/>
          <w:marBottom w:val="0"/>
          <w:divBdr>
            <w:top w:val="none" w:sz="0" w:space="0" w:color="auto"/>
            <w:left w:val="none" w:sz="0" w:space="0" w:color="auto"/>
            <w:bottom w:val="none" w:sz="0" w:space="0" w:color="auto"/>
            <w:right w:val="none" w:sz="0" w:space="0" w:color="auto"/>
          </w:divBdr>
        </w:div>
      </w:divsChild>
    </w:div>
    <w:div w:id="586424442">
      <w:bodyDiv w:val="1"/>
      <w:marLeft w:val="0"/>
      <w:marRight w:val="0"/>
      <w:marTop w:val="0"/>
      <w:marBottom w:val="0"/>
      <w:divBdr>
        <w:top w:val="none" w:sz="0" w:space="0" w:color="auto"/>
        <w:left w:val="none" w:sz="0" w:space="0" w:color="auto"/>
        <w:bottom w:val="none" w:sz="0" w:space="0" w:color="auto"/>
        <w:right w:val="none" w:sz="0" w:space="0" w:color="auto"/>
      </w:divBdr>
      <w:divsChild>
        <w:div w:id="398947101">
          <w:marLeft w:val="0"/>
          <w:marRight w:val="0"/>
          <w:marTop w:val="0"/>
          <w:marBottom w:val="0"/>
          <w:divBdr>
            <w:top w:val="none" w:sz="0" w:space="0" w:color="auto"/>
            <w:left w:val="none" w:sz="0" w:space="0" w:color="auto"/>
            <w:bottom w:val="none" w:sz="0" w:space="0" w:color="auto"/>
            <w:right w:val="none" w:sz="0" w:space="0" w:color="auto"/>
          </w:divBdr>
        </w:div>
        <w:div w:id="560755838">
          <w:marLeft w:val="0"/>
          <w:marRight w:val="0"/>
          <w:marTop w:val="0"/>
          <w:marBottom w:val="0"/>
          <w:divBdr>
            <w:top w:val="none" w:sz="0" w:space="0" w:color="auto"/>
            <w:left w:val="none" w:sz="0" w:space="0" w:color="auto"/>
            <w:bottom w:val="none" w:sz="0" w:space="0" w:color="auto"/>
            <w:right w:val="none" w:sz="0" w:space="0" w:color="auto"/>
          </w:divBdr>
        </w:div>
      </w:divsChild>
    </w:div>
    <w:div w:id="590823407">
      <w:bodyDiv w:val="1"/>
      <w:marLeft w:val="0"/>
      <w:marRight w:val="0"/>
      <w:marTop w:val="0"/>
      <w:marBottom w:val="0"/>
      <w:divBdr>
        <w:top w:val="none" w:sz="0" w:space="0" w:color="auto"/>
        <w:left w:val="none" w:sz="0" w:space="0" w:color="auto"/>
        <w:bottom w:val="none" w:sz="0" w:space="0" w:color="auto"/>
        <w:right w:val="none" w:sz="0" w:space="0" w:color="auto"/>
      </w:divBdr>
    </w:div>
    <w:div w:id="592587459">
      <w:bodyDiv w:val="1"/>
      <w:marLeft w:val="0"/>
      <w:marRight w:val="0"/>
      <w:marTop w:val="0"/>
      <w:marBottom w:val="0"/>
      <w:divBdr>
        <w:top w:val="none" w:sz="0" w:space="0" w:color="auto"/>
        <w:left w:val="none" w:sz="0" w:space="0" w:color="auto"/>
        <w:bottom w:val="none" w:sz="0" w:space="0" w:color="auto"/>
        <w:right w:val="none" w:sz="0" w:space="0" w:color="auto"/>
      </w:divBdr>
      <w:divsChild>
        <w:div w:id="1145390657">
          <w:marLeft w:val="0"/>
          <w:marRight w:val="0"/>
          <w:marTop w:val="0"/>
          <w:marBottom w:val="0"/>
          <w:divBdr>
            <w:top w:val="none" w:sz="0" w:space="0" w:color="auto"/>
            <w:left w:val="none" w:sz="0" w:space="0" w:color="auto"/>
            <w:bottom w:val="none" w:sz="0" w:space="0" w:color="auto"/>
            <w:right w:val="none" w:sz="0" w:space="0" w:color="auto"/>
          </w:divBdr>
        </w:div>
        <w:div w:id="1111244355">
          <w:marLeft w:val="0"/>
          <w:marRight w:val="0"/>
          <w:marTop w:val="0"/>
          <w:marBottom w:val="0"/>
          <w:divBdr>
            <w:top w:val="none" w:sz="0" w:space="0" w:color="auto"/>
            <w:left w:val="none" w:sz="0" w:space="0" w:color="auto"/>
            <w:bottom w:val="none" w:sz="0" w:space="0" w:color="auto"/>
            <w:right w:val="none" w:sz="0" w:space="0" w:color="auto"/>
          </w:divBdr>
        </w:div>
      </w:divsChild>
    </w:div>
    <w:div w:id="593559721">
      <w:bodyDiv w:val="1"/>
      <w:marLeft w:val="0"/>
      <w:marRight w:val="0"/>
      <w:marTop w:val="0"/>
      <w:marBottom w:val="0"/>
      <w:divBdr>
        <w:top w:val="none" w:sz="0" w:space="0" w:color="auto"/>
        <w:left w:val="none" w:sz="0" w:space="0" w:color="auto"/>
        <w:bottom w:val="none" w:sz="0" w:space="0" w:color="auto"/>
        <w:right w:val="none" w:sz="0" w:space="0" w:color="auto"/>
      </w:divBdr>
    </w:div>
    <w:div w:id="595793643">
      <w:bodyDiv w:val="1"/>
      <w:marLeft w:val="0"/>
      <w:marRight w:val="0"/>
      <w:marTop w:val="0"/>
      <w:marBottom w:val="0"/>
      <w:divBdr>
        <w:top w:val="none" w:sz="0" w:space="0" w:color="auto"/>
        <w:left w:val="none" w:sz="0" w:space="0" w:color="auto"/>
        <w:bottom w:val="none" w:sz="0" w:space="0" w:color="auto"/>
        <w:right w:val="none" w:sz="0" w:space="0" w:color="auto"/>
      </w:divBdr>
      <w:divsChild>
        <w:div w:id="1989168895">
          <w:marLeft w:val="0"/>
          <w:marRight w:val="0"/>
          <w:marTop w:val="0"/>
          <w:marBottom w:val="0"/>
          <w:divBdr>
            <w:top w:val="none" w:sz="0" w:space="0" w:color="auto"/>
            <w:left w:val="none" w:sz="0" w:space="0" w:color="auto"/>
            <w:bottom w:val="none" w:sz="0" w:space="0" w:color="auto"/>
            <w:right w:val="none" w:sz="0" w:space="0" w:color="auto"/>
          </w:divBdr>
        </w:div>
        <w:div w:id="40331082">
          <w:marLeft w:val="0"/>
          <w:marRight w:val="0"/>
          <w:marTop w:val="0"/>
          <w:marBottom w:val="0"/>
          <w:divBdr>
            <w:top w:val="none" w:sz="0" w:space="0" w:color="auto"/>
            <w:left w:val="none" w:sz="0" w:space="0" w:color="auto"/>
            <w:bottom w:val="none" w:sz="0" w:space="0" w:color="auto"/>
            <w:right w:val="none" w:sz="0" w:space="0" w:color="auto"/>
          </w:divBdr>
        </w:div>
      </w:divsChild>
    </w:div>
    <w:div w:id="607199872">
      <w:bodyDiv w:val="1"/>
      <w:marLeft w:val="0"/>
      <w:marRight w:val="0"/>
      <w:marTop w:val="0"/>
      <w:marBottom w:val="0"/>
      <w:divBdr>
        <w:top w:val="none" w:sz="0" w:space="0" w:color="auto"/>
        <w:left w:val="none" w:sz="0" w:space="0" w:color="auto"/>
        <w:bottom w:val="none" w:sz="0" w:space="0" w:color="auto"/>
        <w:right w:val="none" w:sz="0" w:space="0" w:color="auto"/>
      </w:divBdr>
    </w:div>
    <w:div w:id="607539682">
      <w:bodyDiv w:val="1"/>
      <w:marLeft w:val="0"/>
      <w:marRight w:val="0"/>
      <w:marTop w:val="0"/>
      <w:marBottom w:val="0"/>
      <w:divBdr>
        <w:top w:val="none" w:sz="0" w:space="0" w:color="auto"/>
        <w:left w:val="none" w:sz="0" w:space="0" w:color="auto"/>
        <w:bottom w:val="none" w:sz="0" w:space="0" w:color="auto"/>
        <w:right w:val="none" w:sz="0" w:space="0" w:color="auto"/>
      </w:divBdr>
    </w:div>
    <w:div w:id="627778844">
      <w:bodyDiv w:val="1"/>
      <w:marLeft w:val="0"/>
      <w:marRight w:val="0"/>
      <w:marTop w:val="0"/>
      <w:marBottom w:val="0"/>
      <w:divBdr>
        <w:top w:val="none" w:sz="0" w:space="0" w:color="auto"/>
        <w:left w:val="none" w:sz="0" w:space="0" w:color="auto"/>
        <w:bottom w:val="none" w:sz="0" w:space="0" w:color="auto"/>
        <w:right w:val="none" w:sz="0" w:space="0" w:color="auto"/>
      </w:divBdr>
    </w:div>
    <w:div w:id="639918081">
      <w:bodyDiv w:val="1"/>
      <w:marLeft w:val="0"/>
      <w:marRight w:val="0"/>
      <w:marTop w:val="0"/>
      <w:marBottom w:val="0"/>
      <w:divBdr>
        <w:top w:val="none" w:sz="0" w:space="0" w:color="auto"/>
        <w:left w:val="none" w:sz="0" w:space="0" w:color="auto"/>
        <w:bottom w:val="none" w:sz="0" w:space="0" w:color="auto"/>
        <w:right w:val="none" w:sz="0" w:space="0" w:color="auto"/>
      </w:divBdr>
      <w:divsChild>
        <w:div w:id="1892035009">
          <w:marLeft w:val="0"/>
          <w:marRight w:val="0"/>
          <w:marTop w:val="0"/>
          <w:marBottom w:val="0"/>
          <w:divBdr>
            <w:top w:val="none" w:sz="0" w:space="0" w:color="auto"/>
            <w:left w:val="none" w:sz="0" w:space="0" w:color="auto"/>
            <w:bottom w:val="none" w:sz="0" w:space="0" w:color="auto"/>
            <w:right w:val="none" w:sz="0" w:space="0" w:color="auto"/>
          </w:divBdr>
        </w:div>
        <w:div w:id="1934320731">
          <w:marLeft w:val="0"/>
          <w:marRight w:val="0"/>
          <w:marTop w:val="0"/>
          <w:marBottom w:val="0"/>
          <w:divBdr>
            <w:top w:val="none" w:sz="0" w:space="0" w:color="auto"/>
            <w:left w:val="none" w:sz="0" w:space="0" w:color="auto"/>
            <w:bottom w:val="none" w:sz="0" w:space="0" w:color="auto"/>
            <w:right w:val="none" w:sz="0" w:space="0" w:color="auto"/>
          </w:divBdr>
        </w:div>
      </w:divsChild>
    </w:div>
    <w:div w:id="657879115">
      <w:bodyDiv w:val="1"/>
      <w:marLeft w:val="0"/>
      <w:marRight w:val="0"/>
      <w:marTop w:val="0"/>
      <w:marBottom w:val="0"/>
      <w:divBdr>
        <w:top w:val="none" w:sz="0" w:space="0" w:color="auto"/>
        <w:left w:val="none" w:sz="0" w:space="0" w:color="auto"/>
        <w:bottom w:val="none" w:sz="0" w:space="0" w:color="auto"/>
        <w:right w:val="none" w:sz="0" w:space="0" w:color="auto"/>
      </w:divBdr>
      <w:divsChild>
        <w:div w:id="981810189">
          <w:marLeft w:val="0"/>
          <w:marRight w:val="0"/>
          <w:marTop w:val="0"/>
          <w:marBottom w:val="0"/>
          <w:divBdr>
            <w:top w:val="none" w:sz="0" w:space="0" w:color="auto"/>
            <w:left w:val="none" w:sz="0" w:space="0" w:color="auto"/>
            <w:bottom w:val="none" w:sz="0" w:space="0" w:color="auto"/>
            <w:right w:val="none" w:sz="0" w:space="0" w:color="auto"/>
          </w:divBdr>
        </w:div>
        <w:div w:id="1786071626">
          <w:marLeft w:val="0"/>
          <w:marRight w:val="0"/>
          <w:marTop w:val="0"/>
          <w:marBottom w:val="0"/>
          <w:divBdr>
            <w:top w:val="none" w:sz="0" w:space="0" w:color="auto"/>
            <w:left w:val="none" w:sz="0" w:space="0" w:color="auto"/>
            <w:bottom w:val="none" w:sz="0" w:space="0" w:color="auto"/>
            <w:right w:val="none" w:sz="0" w:space="0" w:color="auto"/>
          </w:divBdr>
        </w:div>
      </w:divsChild>
    </w:div>
    <w:div w:id="660502242">
      <w:bodyDiv w:val="1"/>
      <w:marLeft w:val="0"/>
      <w:marRight w:val="0"/>
      <w:marTop w:val="0"/>
      <w:marBottom w:val="0"/>
      <w:divBdr>
        <w:top w:val="none" w:sz="0" w:space="0" w:color="auto"/>
        <w:left w:val="none" w:sz="0" w:space="0" w:color="auto"/>
        <w:bottom w:val="none" w:sz="0" w:space="0" w:color="auto"/>
        <w:right w:val="none" w:sz="0" w:space="0" w:color="auto"/>
      </w:divBdr>
    </w:div>
    <w:div w:id="667900761">
      <w:bodyDiv w:val="1"/>
      <w:marLeft w:val="0"/>
      <w:marRight w:val="0"/>
      <w:marTop w:val="0"/>
      <w:marBottom w:val="0"/>
      <w:divBdr>
        <w:top w:val="none" w:sz="0" w:space="0" w:color="auto"/>
        <w:left w:val="none" w:sz="0" w:space="0" w:color="auto"/>
        <w:bottom w:val="none" w:sz="0" w:space="0" w:color="auto"/>
        <w:right w:val="none" w:sz="0" w:space="0" w:color="auto"/>
      </w:divBdr>
      <w:divsChild>
        <w:div w:id="1762023405">
          <w:marLeft w:val="0"/>
          <w:marRight w:val="0"/>
          <w:marTop w:val="219"/>
          <w:marBottom w:val="0"/>
          <w:divBdr>
            <w:top w:val="none" w:sz="0" w:space="0" w:color="auto"/>
            <w:left w:val="none" w:sz="0" w:space="0" w:color="auto"/>
            <w:bottom w:val="none" w:sz="0" w:space="0" w:color="auto"/>
            <w:right w:val="none" w:sz="0" w:space="0" w:color="auto"/>
          </w:divBdr>
        </w:div>
        <w:div w:id="1392997679">
          <w:marLeft w:val="0"/>
          <w:marRight w:val="0"/>
          <w:marTop w:val="219"/>
          <w:marBottom w:val="0"/>
          <w:divBdr>
            <w:top w:val="none" w:sz="0" w:space="0" w:color="auto"/>
            <w:left w:val="none" w:sz="0" w:space="0" w:color="auto"/>
            <w:bottom w:val="none" w:sz="0" w:space="0" w:color="auto"/>
            <w:right w:val="none" w:sz="0" w:space="0" w:color="auto"/>
          </w:divBdr>
        </w:div>
        <w:div w:id="1147085110">
          <w:marLeft w:val="0"/>
          <w:marRight w:val="0"/>
          <w:marTop w:val="219"/>
          <w:marBottom w:val="0"/>
          <w:divBdr>
            <w:top w:val="none" w:sz="0" w:space="0" w:color="auto"/>
            <w:left w:val="none" w:sz="0" w:space="0" w:color="auto"/>
            <w:bottom w:val="none" w:sz="0" w:space="0" w:color="auto"/>
            <w:right w:val="none" w:sz="0" w:space="0" w:color="auto"/>
          </w:divBdr>
        </w:div>
        <w:div w:id="550192665">
          <w:marLeft w:val="0"/>
          <w:marRight w:val="0"/>
          <w:marTop w:val="219"/>
          <w:marBottom w:val="0"/>
          <w:divBdr>
            <w:top w:val="none" w:sz="0" w:space="0" w:color="auto"/>
            <w:left w:val="none" w:sz="0" w:space="0" w:color="auto"/>
            <w:bottom w:val="none" w:sz="0" w:space="0" w:color="auto"/>
            <w:right w:val="none" w:sz="0" w:space="0" w:color="auto"/>
          </w:divBdr>
        </w:div>
        <w:div w:id="1480268282">
          <w:marLeft w:val="0"/>
          <w:marRight w:val="0"/>
          <w:marTop w:val="219"/>
          <w:marBottom w:val="0"/>
          <w:divBdr>
            <w:top w:val="none" w:sz="0" w:space="0" w:color="auto"/>
            <w:left w:val="none" w:sz="0" w:space="0" w:color="auto"/>
            <w:bottom w:val="none" w:sz="0" w:space="0" w:color="auto"/>
            <w:right w:val="none" w:sz="0" w:space="0" w:color="auto"/>
          </w:divBdr>
        </w:div>
      </w:divsChild>
    </w:div>
    <w:div w:id="698820017">
      <w:bodyDiv w:val="1"/>
      <w:marLeft w:val="0"/>
      <w:marRight w:val="0"/>
      <w:marTop w:val="0"/>
      <w:marBottom w:val="0"/>
      <w:divBdr>
        <w:top w:val="none" w:sz="0" w:space="0" w:color="auto"/>
        <w:left w:val="none" w:sz="0" w:space="0" w:color="auto"/>
        <w:bottom w:val="none" w:sz="0" w:space="0" w:color="auto"/>
        <w:right w:val="none" w:sz="0" w:space="0" w:color="auto"/>
      </w:divBdr>
      <w:divsChild>
        <w:div w:id="822695193">
          <w:marLeft w:val="0"/>
          <w:marRight w:val="0"/>
          <w:marTop w:val="0"/>
          <w:marBottom w:val="0"/>
          <w:divBdr>
            <w:top w:val="none" w:sz="0" w:space="0" w:color="auto"/>
            <w:left w:val="none" w:sz="0" w:space="0" w:color="auto"/>
            <w:bottom w:val="none" w:sz="0" w:space="0" w:color="auto"/>
            <w:right w:val="none" w:sz="0" w:space="0" w:color="auto"/>
          </w:divBdr>
        </w:div>
        <w:div w:id="1592470028">
          <w:marLeft w:val="0"/>
          <w:marRight w:val="0"/>
          <w:marTop w:val="0"/>
          <w:marBottom w:val="0"/>
          <w:divBdr>
            <w:top w:val="none" w:sz="0" w:space="0" w:color="auto"/>
            <w:left w:val="none" w:sz="0" w:space="0" w:color="auto"/>
            <w:bottom w:val="none" w:sz="0" w:space="0" w:color="auto"/>
            <w:right w:val="none" w:sz="0" w:space="0" w:color="auto"/>
          </w:divBdr>
        </w:div>
      </w:divsChild>
    </w:div>
    <w:div w:id="710230363">
      <w:bodyDiv w:val="1"/>
      <w:marLeft w:val="0"/>
      <w:marRight w:val="0"/>
      <w:marTop w:val="0"/>
      <w:marBottom w:val="0"/>
      <w:divBdr>
        <w:top w:val="none" w:sz="0" w:space="0" w:color="auto"/>
        <w:left w:val="none" w:sz="0" w:space="0" w:color="auto"/>
        <w:bottom w:val="none" w:sz="0" w:space="0" w:color="auto"/>
        <w:right w:val="none" w:sz="0" w:space="0" w:color="auto"/>
      </w:divBdr>
    </w:div>
    <w:div w:id="710494037">
      <w:bodyDiv w:val="1"/>
      <w:marLeft w:val="0"/>
      <w:marRight w:val="0"/>
      <w:marTop w:val="0"/>
      <w:marBottom w:val="0"/>
      <w:divBdr>
        <w:top w:val="none" w:sz="0" w:space="0" w:color="auto"/>
        <w:left w:val="none" w:sz="0" w:space="0" w:color="auto"/>
        <w:bottom w:val="none" w:sz="0" w:space="0" w:color="auto"/>
        <w:right w:val="none" w:sz="0" w:space="0" w:color="auto"/>
      </w:divBdr>
      <w:divsChild>
        <w:div w:id="92434452">
          <w:marLeft w:val="0"/>
          <w:marRight w:val="0"/>
          <w:marTop w:val="0"/>
          <w:marBottom w:val="0"/>
          <w:divBdr>
            <w:top w:val="none" w:sz="0" w:space="0" w:color="auto"/>
            <w:left w:val="none" w:sz="0" w:space="0" w:color="auto"/>
            <w:bottom w:val="none" w:sz="0" w:space="0" w:color="auto"/>
            <w:right w:val="none" w:sz="0" w:space="0" w:color="auto"/>
          </w:divBdr>
        </w:div>
        <w:div w:id="529149446">
          <w:marLeft w:val="0"/>
          <w:marRight w:val="0"/>
          <w:marTop w:val="0"/>
          <w:marBottom w:val="0"/>
          <w:divBdr>
            <w:top w:val="none" w:sz="0" w:space="0" w:color="auto"/>
            <w:left w:val="none" w:sz="0" w:space="0" w:color="auto"/>
            <w:bottom w:val="none" w:sz="0" w:space="0" w:color="auto"/>
            <w:right w:val="none" w:sz="0" w:space="0" w:color="auto"/>
          </w:divBdr>
        </w:div>
      </w:divsChild>
    </w:div>
    <w:div w:id="716733663">
      <w:bodyDiv w:val="1"/>
      <w:marLeft w:val="0"/>
      <w:marRight w:val="0"/>
      <w:marTop w:val="0"/>
      <w:marBottom w:val="0"/>
      <w:divBdr>
        <w:top w:val="none" w:sz="0" w:space="0" w:color="auto"/>
        <w:left w:val="none" w:sz="0" w:space="0" w:color="auto"/>
        <w:bottom w:val="none" w:sz="0" w:space="0" w:color="auto"/>
        <w:right w:val="none" w:sz="0" w:space="0" w:color="auto"/>
      </w:divBdr>
    </w:div>
    <w:div w:id="717978476">
      <w:bodyDiv w:val="1"/>
      <w:marLeft w:val="0"/>
      <w:marRight w:val="0"/>
      <w:marTop w:val="0"/>
      <w:marBottom w:val="0"/>
      <w:divBdr>
        <w:top w:val="none" w:sz="0" w:space="0" w:color="auto"/>
        <w:left w:val="none" w:sz="0" w:space="0" w:color="auto"/>
        <w:bottom w:val="none" w:sz="0" w:space="0" w:color="auto"/>
        <w:right w:val="none" w:sz="0" w:space="0" w:color="auto"/>
      </w:divBdr>
    </w:div>
    <w:div w:id="723068506">
      <w:bodyDiv w:val="1"/>
      <w:marLeft w:val="0"/>
      <w:marRight w:val="0"/>
      <w:marTop w:val="0"/>
      <w:marBottom w:val="0"/>
      <w:divBdr>
        <w:top w:val="none" w:sz="0" w:space="0" w:color="auto"/>
        <w:left w:val="none" w:sz="0" w:space="0" w:color="auto"/>
        <w:bottom w:val="none" w:sz="0" w:space="0" w:color="auto"/>
        <w:right w:val="none" w:sz="0" w:space="0" w:color="auto"/>
      </w:divBdr>
    </w:div>
    <w:div w:id="726034595">
      <w:bodyDiv w:val="1"/>
      <w:marLeft w:val="0"/>
      <w:marRight w:val="0"/>
      <w:marTop w:val="0"/>
      <w:marBottom w:val="0"/>
      <w:divBdr>
        <w:top w:val="none" w:sz="0" w:space="0" w:color="auto"/>
        <w:left w:val="none" w:sz="0" w:space="0" w:color="auto"/>
        <w:bottom w:val="none" w:sz="0" w:space="0" w:color="auto"/>
        <w:right w:val="none" w:sz="0" w:space="0" w:color="auto"/>
      </w:divBdr>
    </w:div>
    <w:div w:id="757867525">
      <w:bodyDiv w:val="1"/>
      <w:marLeft w:val="0"/>
      <w:marRight w:val="0"/>
      <w:marTop w:val="0"/>
      <w:marBottom w:val="0"/>
      <w:divBdr>
        <w:top w:val="none" w:sz="0" w:space="0" w:color="auto"/>
        <w:left w:val="none" w:sz="0" w:space="0" w:color="auto"/>
        <w:bottom w:val="none" w:sz="0" w:space="0" w:color="auto"/>
        <w:right w:val="none" w:sz="0" w:space="0" w:color="auto"/>
      </w:divBdr>
    </w:div>
    <w:div w:id="782262978">
      <w:bodyDiv w:val="1"/>
      <w:marLeft w:val="0"/>
      <w:marRight w:val="0"/>
      <w:marTop w:val="0"/>
      <w:marBottom w:val="0"/>
      <w:divBdr>
        <w:top w:val="none" w:sz="0" w:space="0" w:color="auto"/>
        <w:left w:val="none" w:sz="0" w:space="0" w:color="auto"/>
        <w:bottom w:val="none" w:sz="0" w:space="0" w:color="auto"/>
        <w:right w:val="none" w:sz="0" w:space="0" w:color="auto"/>
      </w:divBdr>
      <w:divsChild>
        <w:div w:id="206649578">
          <w:marLeft w:val="0"/>
          <w:marRight w:val="0"/>
          <w:marTop w:val="0"/>
          <w:marBottom w:val="0"/>
          <w:divBdr>
            <w:top w:val="none" w:sz="0" w:space="0" w:color="auto"/>
            <w:left w:val="none" w:sz="0" w:space="0" w:color="auto"/>
            <w:bottom w:val="none" w:sz="0" w:space="0" w:color="auto"/>
            <w:right w:val="none" w:sz="0" w:space="0" w:color="auto"/>
          </w:divBdr>
        </w:div>
        <w:div w:id="741028815">
          <w:marLeft w:val="0"/>
          <w:marRight w:val="0"/>
          <w:marTop w:val="0"/>
          <w:marBottom w:val="0"/>
          <w:divBdr>
            <w:top w:val="none" w:sz="0" w:space="0" w:color="auto"/>
            <w:left w:val="none" w:sz="0" w:space="0" w:color="auto"/>
            <w:bottom w:val="none" w:sz="0" w:space="0" w:color="auto"/>
            <w:right w:val="none" w:sz="0" w:space="0" w:color="auto"/>
          </w:divBdr>
        </w:div>
      </w:divsChild>
    </w:div>
    <w:div w:id="803817437">
      <w:bodyDiv w:val="1"/>
      <w:marLeft w:val="0"/>
      <w:marRight w:val="0"/>
      <w:marTop w:val="0"/>
      <w:marBottom w:val="0"/>
      <w:divBdr>
        <w:top w:val="none" w:sz="0" w:space="0" w:color="auto"/>
        <w:left w:val="none" w:sz="0" w:space="0" w:color="auto"/>
        <w:bottom w:val="none" w:sz="0" w:space="0" w:color="auto"/>
        <w:right w:val="none" w:sz="0" w:space="0" w:color="auto"/>
      </w:divBdr>
      <w:divsChild>
        <w:div w:id="568660266">
          <w:marLeft w:val="0"/>
          <w:marRight w:val="0"/>
          <w:marTop w:val="0"/>
          <w:marBottom w:val="0"/>
          <w:divBdr>
            <w:top w:val="none" w:sz="0" w:space="0" w:color="auto"/>
            <w:left w:val="none" w:sz="0" w:space="0" w:color="auto"/>
            <w:bottom w:val="none" w:sz="0" w:space="0" w:color="auto"/>
            <w:right w:val="none" w:sz="0" w:space="0" w:color="auto"/>
          </w:divBdr>
        </w:div>
        <w:div w:id="1178084789">
          <w:marLeft w:val="0"/>
          <w:marRight w:val="0"/>
          <w:marTop w:val="0"/>
          <w:marBottom w:val="0"/>
          <w:divBdr>
            <w:top w:val="none" w:sz="0" w:space="0" w:color="auto"/>
            <w:left w:val="none" w:sz="0" w:space="0" w:color="auto"/>
            <w:bottom w:val="none" w:sz="0" w:space="0" w:color="auto"/>
            <w:right w:val="none" w:sz="0" w:space="0" w:color="auto"/>
          </w:divBdr>
        </w:div>
      </w:divsChild>
    </w:div>
    <w:div w:id="831145160">
      <w:bodyDiv w:val="1"/>
      <w:marLeft w:val="0"/>
      <w:marRight w:val="0"/>
      <w:marTop w:val="0"/>
      <w:marBottom w:val="0"/>
      <w:divBdr>
        <w:top w:val="none" w:sz="0" w:space="0" w:color="auto"/>
        <w:left w:val="none" w:sz="0" w:space="0" w:color="auto"/>
        <w:bottom w:val="none" w:sz="0" w:space="0" w:color="auto"/>
        <w:right w:val="none" w:sz="0" w:space="0" w:color="auto"/>
      </w:divBdr>
    </w:div>
    <w:div w:id="835724347">
      <w:bodyDiv w:val="1"/>
      <w:marLeft w:val="0"/>
      <w:marRight w:val="0"/>
      <w:marTop w:val="0"/>
      <w:marBottom w:val="0"/>
      <w:divBdr>
        <w:top w:val="none" w:sz="0" w:space="0" w:color="auto"/>
        <w:left w:val="none" w:sz="0" w:space="0" w:color="auto"/>
        <w:bottom w:val="none" w:sz="0" w:space="0" w:color="auto"/>
        <w:right w:val="none" w:sz="0" w:space="0" w:color="auto"/>
      </w:divBdr>
      <w:divsChild>
        <w:div w:id="297801042">
          <w:marLeft w:val="0"/>
          <w:marRight w:val="0"/>
          <w:marTop w:val="0"/>
          <w:marBottom w:val="0"/>
          <w:divBdr>
            <w:top w:val="none" w:sz="0" w:space="0" w:color="auto"/>
            <w:left w:val="none" w:sz="0" w:space="0" w:color="auto"/>
            <w:bottom w:val="none" w:sz="0" w:space="0" w:color="auto"/>
            <w:right w:val="none" w:sz="0" w:space="0" w:color="auto"/>
          </w:divBdr>
        </w:div>
        <w:div w:id="1252547211">
          <w:marLeft w:val="0"/>
          <w:marRight w:val="0"/>
          <w:marTop w:val="0"/>
          <w:marBottom w:val="0"/>
          <w:divBdr>
            <w:top w:val="none" w:sz="0" w:space="0" w:color="auto"/>
            <w:left w:val="none" w:sz="0" w:space="0" w:color="auto"/>
            <w:bottom w:val="none" w:sz="0" w:space="0" w:color="auto"/>
            <w:right w:val="none" w:sz="0" w:space="0" w:color="auto"/>
          </w:divBdr>
        </w:div>
      </w:divsChild>
    </w:div>
    <w:div w:id="871574238">
      <w:bodyDiv w:val="1"/>
      <w:marLeft w:val="0"/>
      <w:marRight w:val="0"/>
      <w:marTop w:val="0"/>
      <w:marBottom w:val="0"/>
      <w:divBdr>
        <w:top w:val="none" w:sz="0" w:space="0" w:color="auto"/>
        <w:left w:val="none" w:sz="0" w:space="0" w:color="auto"/>
        <w:bottom w:val="none" w:sz="0" w:space="0" w:color="auto"/>
        <w:right w:val="none" w:sz="0" w:space="0" w:color="auto"/>
      </w:divBdr>
      <w:divsChild>
        <w:div w:id="2025353968">
          <w:marLeft w:val="0"/>
          <w:marRight w:val="0"/>
          <w:marTop w:val="0"/>
          <w:marBottom w:val="0"/>
          <w:divBdr>
            <w:top w:val="none" w:sz="0" w:space="0" w:color="auto"/>
            <w:left w:val="none" w:sz="0" w:space="0" w:color="auto"/>
            <w:bottom w:val="none" w:sz="0" w:space="0" w:color="auto"/>
            <w:right w:val="none" w:sz="0" w:space="0" w:color="auto"/>
          </w:divBdr>
        </w:div>
        <w:div w:id="188758798">
          <w:marLeft w:val="0"/>
          <w:marRight w:val="0"/>
          <w:marTop w:val="0"/>
          <w:marBottom w:val="0"/>
          <w:divBdr>
            <w:top w:val="none" w:sz="0" w:space="0" w:color="auto"/>
            <w:left w:val="none" w:sz="0" w:space="0" w:color="auto"/>
            <w:bottom w:val="none" w:sz="0" w:space="0" w:color="auto"/>
            <w:right w:val="none" w:sz="0" w:space="0" w:color="auto"/>
          </w:divBdr>
        </w:div>
      </w:divsChild>
    </w:div>
    <w:div w:id="874536461">
      <w:bodyDiv w:val="1"/>
      <w:marLeft w:val="0"/>
      <w:marRight w:val="0"/>
      <w:marTop w:val="0"/>
      <w:marBottom w:val="0"/>
      <w:divBdr>
        <w:top w:val="none" w:sz="0" w:space="0" w:color="auto"/>
        <w:left w:val="none" w:sz="0" w:space="0" w:color="auto"/>
        <w:bottom w:val="none" w:sz="0" w:space="0" w:color="auto"/>
        <w:right w:val="none" w:sz="0" w:space="0" w:color="auto"/>
      </w:divBdr>
      <w:divsChild>
        <w:div w:id="245070376">
          <w:marLeft w:val="0"/>
          <w:marRight w:val="0"/>
          <w:marTop w:val="0"/>
          <w:marBottom w:val="0"/>
          <w:divBdr>
            <w:top w:val="none" w:sz="0" w:space="0" w:color="auto"/>
            <w:left w:val="none" w:sz="0" w:space="0" w:color="auto"/>
            <w:bottom w:val="none" w:sz="0" w:space="0" w:color="auto"/>
            <w:right w:val="none" w:sz="0" w:space="0" w:color="auto"/>
          </w:divBdr>
        </w:div>
        <w:div w:id="107705397">
          <w:marLeft w:val="0"/>
          <w:marRight w:val="0"/>
          <w:marTop w:val="0"/>
          <w:marBottom w:val="0"/>
          <w:divBdr>
            <w:top w:val="none" w:sz="0" w:space="0" w:color="auto"/>
            <w:left w:val="none" w:sz="0" w:space="0" w:color="auto"/>
            <w:bottom w:val="none" w:sz="0" w:space="0" w:color="auto"/>
            <w:right w:val="none" w:sz="0" w:space="0" w:color="auto"/>
          </w:divBdr>
        </w:div>
      </w:divsChild>
    </w:div>
    <w:div w:id="875435939">
      <w:bodyDiv w:val="1"/>
      <w:marLeft w:val="0"/>
      <w:marRight w:val="0"/>
      <w:marTop w:val="0"/>
      <w:marBottom w:val="0"/>
      <w:divBdr>
        <w:top w:val="none" w:sz="0" w:space="0" w:color="auto"/>
        <w:left w:val="none" w:sz="0" w:space="0" w:color="auto"/>
        <w:bottom w:val="none" w:sz="0" w:space="0" w:color="auto"/>
        <w:right w:val="none" w:sz="0" w:space="0" w:color="auto"/>
      </w:divBdr>
      <w:divsChild>
        <w:div w:id="1081222159">
          <w:marLeft w:val="0"/>
          <w:marRight w:val="0"/>
          <w:marTop w:val="0"/>
          <w:marBottom w:val="0"/>
          <w:divBdr>
            <w:top w:val="none" w:sz="0" w:space="0" w:color="auto"/>
            <w:left w:val="none" w:sz="0" w:space="0" w:color="auto"/>
            <w:bottom w:val="none" w:sz="0" w:space="0" w:color="auto"/>
            <w:right w:val="none" w:sz="0" w:space="0" w:color="auto"/>
          </w:divBdr>
        </w:div>
        <w:div w:id="610086540">
          <w:marLeft w:val="0"/>
          <w:marRight w:val="0"/>
          <w:marTop w:val="0"/>
          <w:marBottom w:val="0"/>
          <w:divBdr>
            <w:top w:val="none" w:sz="0" w:space="0" w:color="auto"/>
            <w:left w:val="none" w:sz="0" w:space="0" w:color="auto"/>
            <w:bottom w:val="none" w:sz="0" w:space="0" w:color="auto"/>
            <w:right w:val="none" w:sz="0" w:space="0" w:color="auto"/>
          </w:divBdr>
        </w:div>
      </w:divsChild>
    </w:div>
    <w:div w:id="879591275">
      <w:bodyDiv w:val="1"/>
      <w:marLeft w:val="0"/>
      <w:marRight w:val="0"/>
      <w:marTop w:val="0"/>
      <w:marBottom w:val="0"/>
      <w:divBdr>
        <w:top w:val="none" w:sz="0" w:space="0" w:color="auto"/>
        <w:left w:val="none" w:sz="0" w:space="0" w:color="auto"/>
        <w:bottom w:val="none" w:sz="0" w:space="0" w:color="auto"/>
        <w:right w:val="none" w:sz="0" w:space="0" w:color="auto"/>
      </w:divBdr>
      <w:divsChild>
        <w:div w:id="314991943">
          <w:marLeft w:val="0"/>
          <w:marRight w:val="0"/>
          <w:marTop w:val="0"/>
          <w:marBottom w:val="0"/>
          <w:divBdr>
            <w:top w:val="none" w:sz="0" w:space="0" w:color="auto"/>
            <w:left w:val="none" w:sz="0" w:space="0" w:color="auto"/>
            <w:bottom w:val="none" w:sz="0" w:space="0" w:color="auto"/>
            <w:right w:val="none" w:sz="0" w:space="0" w:color="auto"/>
          </w:divBdr>
        </w:div>
        <w:div w:id="1215118909">
          <w:marLeft w:val="0"/>
          <w:marRight w:val="0"/>
          <w:marTop w:val="0"/>
          <w:marBottom w:val="0"/>
          <w:divBdr>
            <w:top w:val="none" w:sz="0" w:space="0" w:color="auto"/>
            <w:left w:val="none" w:sz="0" w:space="0" w:color="auto"/>
            <w:bottom w:val="none" w:sz="0" w:space="0" w:color="auto"/>
            <w:right w:val="none" w:sz="0" w:space="0" w:color="auto"/>
          </w:divBdr>
        </w:div>
      </w:divsChild>
    </w:div>
    <w:div w:id="883903503">
      <w:bodyDiv w:val="1"/>
      <w:marLeft w:val="0"/>
      <w:marRight w:val="0"/>
      <w:marTop w:val="0"/>
      <w:marBottom w:val="0"/>
      <w:divBdr>
        <w:top w:val="none" w:sz="0" w:space="0" w:color="auto"/>
        <w:left w:val="none" w:sz="0" w:space="0" w:color="auto"/>
        <w:bottom w:val="none" w:sz="0" w:space="0" w:color="auto"/>
        <w:right w:val="none" w:sz="0" w:space="0" w:color="auto"/>
      </w:divBdr>
      <w:divsChild>
        <w:div w:id="170604314">
          <w:marLeft w:val="0"/>
          <w:marRight w:val="0"/>
          <w:marTop w:val="0"/>
          <w:marBottom w:val="0"/>
          <w:divBdr>
            <w:top w:val="none" w:sz="0" w:space="0" w:color="auto"/>
            <w:left w:val="none" w:sz="0" w:space="0" w:color="auto"/>
            <w:bottom w:val="none" w:sz="0" w:space="0" w:color="auto"/>
            <w:right w:val="none" w:sz="0" w:space="0" w:color="auto"/>
          </w:divBdr>
        </w:div>
        <w:div w:id="675617588">
          <w:marLeft w:val="0"/>
          <w:marRight w:val="0"/>
          <w:marTop w:val="0"/>
          <w:marBottom w:val="0"/>
          <w:divBdr>
            <w:top w:val="none" w:sz="0" w:space="0" w:color="auto"/>
            <w:left w:val="none" w:sz="0" w:space="0" w:color="auto"/>
            <w:bottom w:val="none" w:sz="0" w:space="0" w:color="auto"/>
            <w:right w:val="none" w:sz="0" w:space="0" w:color="auto"/>
          </w:divBdr>
        </w:div>
      </w:divsChild>
    </w:div>
    <w:div w:id="903219175">
      <w:bodyDiv w:val="1"/>
      <w:marLeft w:val="0"/>
      <w:marRight w:val="0"/>
      <w:marTop w:val="0"/>
      <w:marBottom w:val="0"/>
      <w:divBdr>
        <w:top w:val="none" w:sz="0" w:space="0" w:color="auto"/>
        <w:left w:val="none" w:sz="0" w:space="0" w:color="auto"/>
        <w:bottom w:val="none" w:sz="0" w:space="0" w:color="auto"/>
        <w:right w:val="none" w:sz="0" w:space="0" w:color="auto"/>
      </w:divBdr>
    </w:div>
    <w:div w:id="930814425">
      <w:bodyDiv w:val="1"/>
      <w:marLeft w:val="0"/>
      <w:marRight w:val="0"/>
      <w:marTop w:val="0"/>
      <w:marBottom w:val="0"/>
      <w:divBdr>
        <w:top w:val="none" w:sz="0" w:space="0" w:color="auto"/>
        <w:left w:val="none" w:sz="0" w:space="0" w:color="auto"/>
        <w:bottom w:val="none" w:sz="0" w:space="0" w:color="auto"/>
        <w:right w:val="none" w:sz="0" w:space="0" w:color="auto"/>
      </w:divBdr>
    </w:div>
    <w:div w:id="939721456">
      <w:bodyDiv w:val="1"/>
      <w:marLeft w:val="0"/>
      <w:marRight w:val="0"/>
      <w:marTop w:val="0"/>
      <w:marBottom w:val="0"/>
      <w:divBdr>
        <w:top w:val="none" w:sz="0" w:space="0" w:color="auto"/>
        <w:left w:val="none" w:sz="0" w:space="0" w:color="auto"/>
        <w:bottom w:val="none" w:sz="0" w:space="0" w:color="auto"/>
        <w:right w:val="none" w:sz="0" w:space="0" w:color="auto"/>
      </w:divBdr>
      <w:divsChild>
        <w:div w:id="1401976325">
          <w:marLeft w:val="0"/>
          <w:marRight w:val="0"/>
          <w:marTop w:val="0"/>
          <w:marBottom w:val="0"/>
          <w:divBdr>
            <w:top w:val="none" w:sz="0" w:space="0" w:color="auto"/>
            <w:left w:val="none" w:sz="0" w:space="0" w:color="auto"/>
            <w:bottom w:val="none" w:sz="0" w:space="0" w:color="auto"/>
            <w:right w:val="none" w:sz="0" w:space="0" w:color="auto"/>
          </w:divBdr>
        </w:div>
        <w:div w:id="1462578768">
          <w:marLeft w:val="0"/>
          <w:marRight w:val="0"/>
          <w:marTop w:val="0"/>
          <w:marBottom w:val="0"/>
          <w:divBdr>
            <w:top w:val="none" w:sz="0" w:space="0" w:color="auto"/>
            <w:left w:val="none" w:sz="0" w:space="0" w:color="auto"/>
            <w:bottom w:val="none" w:sz="0" w:space="0" w:color="auto"/>
            <w:right w:val="none" w:sz="0" w:space="0" w:color="auto"/>
          </w:divBdr>
        </w:div>
      </w:divsChild>
    </w:div>
    <w:div w:id="953562429">
      <w:bodyDiv w:val="1"/>
      <w:marLeft w:val="0"/>
      <w:marRight w:val="0"/>
      <w:marTop w:val="0"/>
      <w:marBottom w:val="0"/>
      <w:divBdr>
        <w:top w:val="none" w:sz="0" w:space="0" w:color="auto"/>
        <w:left w:val="none" w:sz="0" w:space="0" w:color="auto"/>
        <w:bottom w:val="none" w:sz="0" w:space="0" w:color="auto"/>
        <w:right w:val="none" w:sz="0" w:space="0" w:color="auto"/>
      </w:divBdr>
    </w:div>
    <w:div w:id="957030613">
      <w:bodyDiv w:val="1"/>
      <w:marLeft w:val="0"/>
      <w:marRight w:val="0"/>
      <w:marTop w:val="0"/>
      <w:marBottom w:val="0"/>
      <w:divBdr>
        <w:top w:val="none" w:sz="0" w:space="0" w:color="auto"/>
        <w:left w:val="none" w:sz="0" w:space="0" w:color="auto"/>
        <w:bottom w:val="none" w:sz="0" w:space="0" w:color="auto"/>
        <w:right w:val="none" w:sz="0" w:space="0" w:color="auto"/>
      </w:divBdr>
      <w:divsChild>
        <w:div w:id="2017682075">
          <w:marLeft w:val="0"/>
          <w:marRight w:val="0"/>
          <w:marTop w:val="0"/>
          <w:marBottom w:val="0"/>
          <w:divBdr>
            <w:top w:val="none" w:sz="0" w:space="0" w:color="auto"/>
            <w:left w:val="none" w:sz="0" w:space="0" w:color="auto"/>
            <w:bottom w:val="none" w:sz="0" w:space="0" w:color="auto"/>
            <w:right w:val="none" w:sz="0" w:space="0" w:color="auto"/>
          </w:divBdr>
        </w:div>
        <w:div w:id="54012168">
          <w:marLeft w:val="0"/>
          <w:marRight w:val="0"/>
          <w:marTop w:val="0"/>
          <w:marBottom w:val="0"/>
          <w:divBdr>
            <w:top w:val="none" w:sz="0" w:space="0" w:color="auto"/>
            <w:left w:val="none" w:sz="0" w:space="0" w:color="auto"/>
            <w:bottom w:val="none" w:sz="0" w:space="0" w:color="auto"/>
            <w:right w:val="none" w:sz="0" w:space="0" w:color="auto"/>
          </w:divBdr>
        </w:div>
      </w:divsChild>
    </w:div>
    <w:div w:id="965282074">
      <w:bodyDiv w:val="1"/>
      <w:marLeft w:val="0"/>
      <w:marRight w:val="0"/>
      <w:marTop w:val="0"/>
      <w:marBottom w:val="0"/>
      <w:divBdr>
        <w:top w:val="none" w:sz="0" w:space="0" w:color="auto"/>
        <w:left w:val="none" w:sz="0" w:space="0" w:color="auto"/>
        <w:bottom w:val="none" w:sz="0" w:space="0" w:color="auto"/>
        <w:right w:val="none" w:sz="0" w:space="0" w:color="auto"/>
      </w:divBdr>
    </w:div>
    <w:div w:id="968631023">
      <w:bodyDiv w:val="1"/>
      <w:marLeft w:val="0"/>
      <w:marRight w:val="0"/>
      <w:marTop w:val="0"/>
      <w:marBottom w:val="0"/>
      <w:divBdr>
        <w:top w:val="none" w:sz="0" w:space="0" w:color="auto"/>
        <w:left w:val="none" w:sz="0" w:space="0" w:color="auto"/>
        <w:bottom w:val="none" w:sz="0" w:space="0" w:color="auto"/>
        <w:right w:val="none" w:sz="0" w:space="0" w:color="auto"/>
      </w:divBdr>
    </w:div>
    <w:div w:id="1001351604">
      <w:bodyDiv w:val="1"/>
      <w:marLeft w:val="0"/>
      <w:marRight w:val="0"/>
      <w:marTop w:val="0"/>
      <w:marBottom w:val="0"/>
      <w:divBdr>
        <w:top w:val="none" w:sz="0" w:space="0" w:color="auto"/>
        <w:left w:val="none" w:sz="0" w:space="0" w:color="auto"/>
        <w:bottom w:val="none" w:sz="0" w:space="0" w:color="auto"/>
        <w:right w:val="none" w:sz="0" w:space="0" w:color="auto"/>
      </w:divBdr>
    </w:div>
    <w:div w:id="1024284341">
      <w:bodyDiv w:val="1"/>
      <w:marLeft w:val="0"/>
      <w:marRight w:val="0"/>
      <w:marTop w:val="0"/>
      <w:marBottom w:val="0"/>
      <w:divBdr>
        <w:top w:val="none" w:sz="0" w:space="0" w:color="auto"/>
        <w:left w:val="none" w:sz="0" w:space="0" w:color="auto"/>
        <w:bottom w:val="none" w:sz="0" w:space="0" w:color="auto"/>
        <w:right w:val="none" w:sz="0" w:space="0" w:color="auto"/>
      </w:divBdr>
      <w:divsChild>
        <w:div w:id="824275367">
          <w:marLeft w:val="0"/>
          <w:marRight w:val="0"/>
          <w:marTop w:val="0"/>
          <w:marBottom w:val="0"/>
          <w:divBdr>
            <w:top w:val="none" w:sz="0" w:space="0" w:color="auto"/>
            <w:left w:val="none" w:sz="0" w:space="0" w:color="auto"/>
            <w:bottom w:val="none" w:sz="0" w:space="0" w:color="auto"/>
            <w:right w:val="none" w:sz="0" w:space="0" w:color="auto"/>
          </w:divBdr>
        </w:div>
        <w:div w:id="1600865717">
          <w:marLeft w:val="0"/>
          <w:marRight w:val="0"/>
          <w:marTop w:val="0"/>
          <w:marBottom w:val="0"/>
          <w:divBdr>
            <w:top w:val="none" w:sz="0" w:space="0" w:color="auto"/>
            <w:left w:val="none" w:sz="0" w:space="0" w:color="auto"/>
            <w:bottom w:val="none" w:sz="0" w:space="0" w:color="auto"/>
            <w:right w:val="none" w:sz="0" w:space="0" w:color="auto"/>
          </w:divBdr>
        </w:div>
      </w:divsChild>
    </w:div>
    <w:div w:id="1039738772">
      <w:bodyDiv w:val="1"/>
      <w:marLeft w:val="0"/>
      <w:marRight w:val="0"/>
      <w:marTop w:val="0"/>
      <w:marBottom w:val="0"/>
      <w:divBdr>
        <w:top w:val="none" w:sz="0" w:space="0" w:color="auto"/>
        <w:left w:val="none" w:sz="0" w:space="0" w:color="auto"/>
        <w:bottom w:val="none" w:sz="0" w:space="0" w:color="auto"/>
        <w:right w:val="none" w:sz="0" w:space="0" w:color="auto"/>
      </w:divBdr>
      <w:divsChild>
        <w:div w:id="973489939">
          <w:marLeft w:val="0"/>
          <w:marRight w:val="0"/>
          <w:marTop w:val="0"/>
          <w:marBottom w:val="0"/>
          <w:divBdr>
            <w:top w:val="none" w:sz="0" w:space="0" w:color="auto"/>
            <w:left w:val="none" w:sz="0" w:space="0" w:color="auto"/>
            <w:bottom w:val="none" w:sz="0" w:space="0" w:color="auto"/>
            <w:right w:val="none" w:sz="0" w:space="0" w:color="auto"/>
          </w:divBdr>
        </w:div>
      </w:divsChild>
    </w:div>
    <w:div w:id="1047265512">
      <w:bodyDiv w:val="1"/>
      <w:marLeft w:val="0"/>
      <w:marRight w:val="0"/>
      <w:marTop w:val="0"/>
      <w:marBottom w:val="0"/>
      <w:divBdr>
        <w:top w:val="none" w:sz="0" w:space="0" w:color="auto"/>
        <w:left w:val="none" w:sz="0" w:space="0" w:color="auto"/>
        <w:bottom w:val="none" w:sz="0" w:space="0" w:color="auto"/>
        <w:right w:val="none" w:sz="0" w:space="0" w:color="auto"/>
      </w:divBdr>
      <w:divsChild>
        <w:div w:id="1363507557">
          <w:marLeft w:val="0"/>
          <w:marRight w:val="0"/>
          <w:marTop w:val="0"/>
          <w:marBottom w:val="0"/>
          <w:divBdr>
            <w:top w:val="none" w:sz="0" w:space="0" w:color="auto"/>
            <w:left w:val="none" w:sz="0" w:space="0" w:color="auto"/>
            <w:bottom w:val="none" w:sz="0" w:space="0" w:color="auto"/>
            <w:right w:val="none" w:sz="0" w:space="0" w:color="auto"/>
          </w:divBdr>
        </w:div>
        <w:div w:id="1976331583">
          <w:marLeft w:val="0"/>
          <w:marRight w:val="0"/>
          <w:marTop w:val="0"/>
          <w:marBottom w:val="0"/>
          <w:divBdr>
            <w:top w:val="none" w:sz="0" w:space="0" w:color="auto"/>
            <w:left w:val="none" w:sz="0" w:space="0" w:color="auto"/>
            <w:bottom w:val="none" w:sz="0" w:space="0" w:color="auto"/>
            <w:right w:val="none" w:sz="0" w:space="0" w:color="auto"/>
          </w:divBdr>
        </w:div>
      </w:divsChild>
    </w:div>
    <w:div w:id="1069768036">
      <w:bodyDiv w:val="1"/>
      <w:marLeft w:val="0"/>
      <w:marRight w:val="0"/>
      <w:marTop w:val="0"/>
      <w:marBottom w:val="0"/>
      <w:divBdr>
        <w:top w:val="none" w:sz="0" w:space="0" w:color="auto"/>
        <w:left w:val="none" w:sz="0" w:space="0" w:color="auto"/>
        <w:bottom w:val="none" w:sz="0" w:space="0" w:color="auto"/>
        <w:right w:val="none" w:sz="0" w:space="0" w:color="auto"/>
      </w:divBdr>
    </w:div>
    <w:div w:id="1070613759">
      <w:bodyDiv w:val="1"/>
      <w:marLeft w:val="0"/>
      <w:marRight w:val="0"/>
      <w:marTop w:val="0"/>
      <w:marBottom w:val="0"/>
      <w:divBdr>
        <w:top w:val="none" w:sz="0" w:space="0" w:color="auto"/>
        <w:left w:val="none" w:sz="0" w:space="0" w:color="auto"/>
        <w:bottom w:val="none" w:sz="0" w:space="0" w:color="auto"/>
        <w:right w:val="none" w:sz="0" w:space="0" w:color="auto"/>
      </w:divBdr>
    </w:div>
    <w:div w:id="1080060404">
      <w:bodyDiv w:val="1"/>
      <w:marLeft w:val="0"/>
      <w:marRight w:val="0"/>
      <w:marTop w:val="0"/>
      <w:marBottom w:val="0"/>
      <w:divBdr>
        <w:top w:val="none" w:sz="0" w:space="0" w:color="auto"/>
        <w:left w:val="none" w:sz="0" w:space="0" w:color="auto"/>
        <w:bottom w:val="none" w:sz="0" w:space="0" w:color="auto"/>
        <w:right w:val="none" w:sz="0" w:space="0" w:color="auto"/>
      </w:divBdr>
    </w:div>
    <w:div w:id="1094932699">
      <w:bodyDiv w:val="1"/>
      <w:marLeft w:val="0"/>
      <w:marRight w:val="0"/>
      <w:marTop w:val="0"/>
      <w:marBottom w:val="0"/>
      <w:divBdr>
        <w:top w:val="none" w:sz="0" w:space="0" w:color="auto"/>
        <w:left w:val="none" w:sz="0" w:space="0" w:color="auto"/>
        <w:bottom w:val="none" w:sz="0" w:space="0" w:color="auto"/>
        <w:right w:val="none" w:sz="0" w:space="0" w:color="auto"/>
      </w:divBdr>
      <w:divsChild>
        <w:div w:id="1722169221">
          <w:marLeft w:val="0"/>
          <w:marRight w:val="0"/>
          <w:marTop w:val="0"/>
          <w:marBottom w:val="0"/>
          <w:divBdr>
            <w:top w:val="none" w:sz="0" w:space="0" w:color="auto"/>
            <w:left w:val="none" w:sz="0" w:space="0" w:color="auto"/>
            <w:bottom w:val="none" w:sz="0" w:space="0" w:color="auto"/>
            <w:right w:val="none" w:sz="0" w:space="0" w:color="auto"/>
          </w:divBdr>
        </w:div>
        <w:div w:id="2588285">
          <w:marLeft w:val="0"/>
          <w:marRight w:val="0"/>
          <w:marTop w:val="0"/>
          <w:marBottom w:val="0"/>
          <w:divBdr>
            <w:top w:val="none" w:sz="0" w:space="0" w:color="auto"/>
            <w:left w:val="none" w:sz="0" w:space="0" w:color="auto"/>
            <w:bottom w:val="none" w:sz="0" w:space="0" w:color="auto"/>
            <w:right w:val="none" w:sz="0" w:space="0" w:color="auto"/>
          </w:divBdr>
        </w:div>
      </w:divsChild>
    </w:div>
    <w:div w:id="1106727786">
      <w:bodyDiv w:val="1"/>
      <w:marLeft w:val="0"/>
      <w:marRight w:val="0"/>
      <w:marTop w:val="0"/>
      <w:marBottom w:val="0"/>
      <w:divBdr>
        <w:top w:val="none" w:sz="0" w:space="0" w:color="auto"/>
        <w:left w:val="none" w:sz="0" w:space="0" w:color="auto"/>
        <w:bottom w:val="none" w:sz="0" w:space="0" w:color="auto"/>
        <w:right w:val="none" w:sz="0" w:space="0" w:color="auto"/>
      </w:divBdr>
      <w:divsChild>
        <w:div w:id="224340540">
          <w:marLeft w:val="0"/>
          <w:marRight w:val="0"/>
          <w:marTop w:val="0"/>
          <w:marBottom w:val="0"/>
          <w:divBdr>
            <w:top w:val="none" w:sz="0" w:space="0" w:color="auto"/>
            <w:left w:val="none" w:sz="0" w:space="0" w:color="auto"/>
            <w:bottom w:val="none" w:sz="0" w:space="0" w:color="auto"/>
            <w:right w:val="none" w:sz="0" w:space="0" w:color="auto"/>
          </w:divBdr>
          <w:divsChild>
            <w:div w:id="911813038">
              <w:marLeft w:val="360"/>
              <w:marRight w:val="0"/>
              <w:marTop w:val="0"/>
              <w:marBottom w:val="0"/>
              <w:divBdr>
                <w:top w:val="none" w:sz="0" w:space="0" w:color="auto"/>
                <w:left w:val="none" w:sz="0" w:space="0" w:color="auto"/>
                <w:bottom w:val="none" w:sz="0" w:space="0" w:color="auto"/>
                <w:right w:val="none" w:sz="0" w:space="0" w:color="auto"/>
              </w:divBdr>
            </w:div>
          </w:divsChild>
        </w:div>
      </w:divsChild>
    </w:div>
    <w:div w:id="1131827264">
      <w:bodyDiv w:val="1"/>
      <w:marLeft w:val="0"/>
      <w:marRight w:val="0"/>
      <w:marTop w:val="0"/>
      <w:marBottom w:val="0"/>
      <w:divBdr>
        <w:top w:val="none" w:sz="0" w:space="0" w:color="auto"/>
        <w:left w:val="none" w:sz="0" w:space="0" w:color="auto"/>
        <w:bottom w:val="none" w:sz="0" w:space="0" w:color="auto"/>
        <w:right w:val="none" w:sz="0" w:space="0" w:color="auto"/>
      </w:divBdr>
      <w:divsChild>
        <w:div w:id="1825268732">
          <w:marLeft w:val="0"/>
          <w:marRight w:val="0"/>
          <w:marTop w:val="0"/>
          <w:marBottom w:val="0"/>
          <w:divBdr>
            <w:top w:val="none" w:sz="0" w:space="0" w:color="auto"/>
            <w:left w:val="none" w:sz="0" w:space="0" w:color="auto"/>
            <w:bottom w:val="none" w:sz="0" w:space="0" w:color="auto"/>
            <w:right w:val="none" w:sz="0" w:space="0" w:color="auto"/>
          </w:divBdr>
        </w:div>
        <w:div w:id="855652898">
          <w:marLeft w:val="0"/>
          <w:marRight w:val="0"/>
          <w:marTop w:val="0"/>
          <w:marBottom w:val="0"/>
          <w:divBdr>
            <w:top w:val="none" w:sz="0" w:space="0" w:color="auto"/>
            <w:left w:val="none" w:sz="0" w:space="0" w:color="auto"/>
            <w:bottom w:val="none" w:sz="0" w:space="0" w:color="auto"/>
            <w:right w:val="none" w:sz="0" w:space="0" w:color="auto"/>
          </w:divBdr>
        </w:div>
      </w:divsChild>
    </w:div>
    <w:div w:id="1140076167">
      <w:bodyDiv w:val="1"/>
      <w:marLeft w:val="0"/>
      <w:marRight w:val="0"/>
      <w:marTop w:val="0"/>
      <w:marBottom w:val="0"/>
      <w:divBdr>
        <w:top w:val="none" w:sz="0" w:space="0" w:color="auto"/>
        <w:left w:val="none" w:sz="0" w:space="0" w:color="auto"/>
        <w:bottom w:val="none" w:sz="0" w:space="0" w:color="auto"/>
        <w:right w:val="none" w:sz="0" w:space="0" w:color="auto"/>
      </w:divBdr>
      <w:divsChild>
        <w:div w:id="1488741127">
          <w:marLeft w:val="0"/>
          <w:marRight w:val="0"/>
          <w:marTop w:val="0"/>
          <w:marBottom w:val="0"/>
          <w:divBdr>
            <w:top w:val="none" w:sz="0" w:space="0" w:color="auto"/>
            <w:left w:val="none" w:sz="0" w:space="0" w:color="auto"/>
            <w:bottom w:val="none" w:sz="0" w:space="0" w:color="auto"/>
            <w:right w:val="none" w:sz="0" w:space="0" w:color="auto"/>
          </w:divBdr>
        </w:div>
        <w:div w:id="1845048168">
          <w:marLeft w:val="0"/>
          <w:marRight w:val="0"/>
          <w:marTop w:val="0"/>
          <w:marBottom w:val="0"/>
          <w:divBdr>
            <w:top w:val="none" w:sz="0" w:space="0" w:color="auto"/>
            <w:left w:val="none" w:sz="0" w:space="0" w:color="auto"/>
            <w:bottom w:val="none" w:sz="0" w:space="0" w:color="auto"/>
            <w:right w:val="none" w:sz="0" w:space="0" w:color="auto"/>
          </w:divBdr>
        </w:div>
      </w:divsChild>
    </w:div>
    <w:div w:id="1152790070">
      <w:bodyDiv w:val="1"/>
      <w:marLeft w:val="0"/>
      <w:marRight w:val="0"/>
      <w:marTop w:val="0"/>
      <w:marBottom w:val="0"/>
      <w:divBdr>
        <w:top w:val="none" w:sz="0" w:space="0" w:color="auto"/>
        <w:left w:val="none" w:sz="0" w:space="0" w:color="auto"/>
        <w:bottom w:val="none" w:sz="0" w:space="0" w:color="auto"/>
        <w:right w:val="none" w:sz="0" w:space="0" w:color="auto"/>
      </w:divBdr>
      <w:divsChild>
        <w:div w:id="730815076">
          <w:marLeft w:val="0"/>
          <w:marRight w:val="0"/>
          <w:marTop w:val="0"/>
          <w:marBottom w:val="0"/>
          <w:divBdr>
            <w:top w:val="none" w:sz="0" w:space="0" w:color="auto"/>
            <w:left w:val="none" w:sz="0" w:space="0" w:color="auto"/>
            <w:bottom w:val="none" w:sz="0" w:space="0" w:color="auto"/>
            <w:right w:val="none" w:sz="0" w:space="0" w:color="auto"/>
          </w:divBdr>
        </w:div>
        <w:div w:id="140391576">
          <w:marLeft w:val="0"/>
          <w:marRight w:val="0"/>
          <w:marTop w:val="0"/>
          <w:marBottom w:val="0"/>
          <w:divBdr>
            <w:top w:val="none" w:sz="0" w:space="0" w:color="auto"/>
            <w:left w:val="none" w:sz="0" w:space="0" w:color="auto"/>
            <w:bottom w:val="none" w:sz="0" w:space="0" w:color="auto"/>
            <w:right w:val="none" w:sz="0" w:space="0" w:color="auto"/>
          </w:divBdr>
        </w:div>
      </w:divsChild>
    </w:div>
    <w:div w:id="1160846942">
      <w:bodyDiv w:val="1"/>
      <w:marLeft w:val="0"/>
      <w:marRight w:val="0"/>
      <w:marTop w:val="0"/>
      <w:marBottom w:val="0"/>
      <w:divBdr>
        <w:top w:val="none" w:sz="0" w:space="0" w:color="auto"/>
        <w:left w:val="none" w:sz="0" w:space="0" w:color="auto"/>
        <w:bottom w:val="none" w:sz="0" w:space="0" w:color="auto"/>
        <w:right w:val="none" w:sz="0" w:space="0" w:color="auto"/>
      </w:divBdr>
      <w:divsChild>
        <w:div w:id="1050610125">
          <w:marLeft w:val="0"/>
          <w:marRight w:val="0"/>
          <w:marTop w:val="0"/>
          <w:marBottom w:val="0"/>
          <w:divBdr>
            <w:top w:val="none" w:sz="0" w:space="0" w:color="auto"/>
            <w:left w:val="none" w:sz="0" w:space="0" w:color="auto"/>
            <w:bottom w:val="none" w:sz="0" w:space="0" w:color="auto"/>
            <w:right w:val="none" w:sz="0" w:space="0" w:color="auto"/>
          </w:divBdr>
        </w:div>
        <w:div w:id="1196887783">
          <w:marLeft w:val="0"/>
          <w:marRight w:val="0"/>
          <w:marTop w:val="0"/>
          <w:marBottom w:val="0"/>
          <w:divBdr>
            <w:top w:val="none" w:sz="0" w:space="0" w:color="auto"/>
            <w:left w:val="none" w:sz="0" w:space="0" w:color="auto"/>
            <w:bottom w:val="none" w:sz="0" w:space="0" w:color="auto"/>
            <w:right w:val="none" w:sz="0" w:space="0" w:color="auto"/>
          </w:divBdr>
        </w:div>
      </w:divsChild>
    </w:div>
    <w:div w:id="1176771350">
      <w:bodyDiv w:val="1"/>
      <w:marLeft w:val="0"/>
      <w:marRight w:val="0"/>
      <w:marTop w:val="0"/>
      <w:marBottom w:val="0"/>
      <w:divBdr>
        <w:top w:val="none" w:sz="0" w:space="0" w:color="auto"/>
        <w:left w:val="none" w:sz="0" w:space="0" w:color="auto"/>
        <w:bottom w:val="none" w:sz="0" w:space="0" w:color="auto"/>
        <w:right w:val="none" w:sz="0" w:space="0" w:color="auto"/>
      </w:divBdr>
      <w:divsChild>
        <w:div w:id="637228157">
          <w:marLeft w:val="0"/>
          <w:marRight w:val="0"/>
          <w:marTop w:val="0"/>
          <w:marBottom w:val="0"/>
          <w:divBdr>
            <w:top w:val="none" w:sz="0" w:space="0" w:color="auto"/>
            <w:left w:val="none" w:sz="0" w:space="0" w:color="auto"/>
            <w:bottom w:val="none" w:sz="0" w:space="0" w:color="auto"/>
            <w:right w:val="none" w:sz="0" w:space="0" w:color="auto"/>
          </w:divBdr>
        </w:div>
        <w:div w:id="1956325794">
          <w:marLeft w:val="0"/>
          <w:marRight w:val="0"/>
          <w:marTop w:val="0"/>
          <w:marBottom w:val="0"/>
          <w:divBdr>
            <w:top w:val="none" w:sz="0" w:space="0" w:color="auto"/>
            <w:left w:val="none" w:sz="0" w:space="0" w:color="auto"/>
            <w:bottom w:val="none" w:sz="0" w:space="0" w:color="auto"/>
            <w:right w:val="none" w:sz="0" w:space="0" w:color="auto"/>
          </w:divBdr>
        </w:div>
      </w:divsChild>
    </w:div>
    <w:div w:id="1176847184">
      <w:bodyDiv w:val="1"/>
      <w:marLeft w:val="0"/>
      <w:marRight w:val="0"/>
      <w:marTop w:val="0"/>
      <w:marBottom w:val="0"/>
      <w:divBdr>
        <w:top w:val="none" w:sz="0" w:space="0" w:color="auto"/>
        <w:left w:val="none" w:sz="0" w:space="0" w:color="auto"/>
        <w:bottom w:val="none" w:sz="0" w:space="0" w:color="auto"/>
        <w:right w:val="none" w:sz="0" w:space="0" w:color="auto"/>
      </w:divBdr>
    </w:div>
    <w:div w:id="1202745505">
      <w:bodyDiv w:val="1"/>
      <w:marLeft w:val="0"/>
      <w:marRight w:val="0"/>
      <w:marTop w:val="0"/>
      <w:marBottom w:val="0"/>
      <w:divBdr>
        <w:top w:val="none" w:sz="0" w:space="0" w:color="auto"/>
        <w:left w:val="none" w:sz="0" w:space="0" w:color="auto"/>
        <w:bottom w:val="none" w:sz="0" w:space="0" w:color="auto"/>
        <w:right w:val="none" w:sz="0" w:space="0" w:color="auto"/>
      </w:divBdr>
      <w:divsChild>
        <w:div w:id="969826499">
          <w:marLeft w:val="0"/>
          <w:marRight w:val="0"/>
          <w:marTop w:val="0"/>
          <w:marBottom w:val="0"/>
          <w:divBdr>
            <w:top w:val="none" w:sz="0" w:space="0" w:color="auto"/>
            <w:left w:val="none" w:sz="0" w:space="0" w:color="auto"/>
            <w:bottom w:val="none" w:sz="0" w:space="0" w:color="auto"/>
            <w:right w:val="none" w:sz="0" w:space="0" w:color="auto"/>
          </w:divBdr>
        </w:div>
        <w:div w:id="824590866">
          <w:marLeft w:val="0"/>
          <w:marRight w:val="0"/>
          <w:marTop w:val="0"/>
          <w:marBottom w:val="0"/>
          <w:divBdr>
            <w:top w:val="none" w:sz="0" w:space="0" w:color="auto"/>
            <w:left w:val="none" w:sz="0" w:space="0" w:color="auto"/>
            <w:bottom w:val="none" w:sz="0" w:space="0" w:color="auto"/>
            <w:right w:val="none" w:sz="0" w:space="0" w:color="auto"/>
          </w:divBdr>
        </w:div>
      </w:divsChild>
    </w:div>
    <w:div w:id="1206917292">
      <w:bodyDiv w:val="1"/>
      <w:marLeft w:val="0"/>
      <w:marRight w:val="0"/>
      <w:marTop w:val="0"/>
      <w:marBottom w:val="0"/>
      <w:divBdr>
        <w:top w:val="none" w:sz="0" w:space="0" w:color="auto"/>
        <w:left w:val="none" w:sz="0" w:space="0" w:color="auto"/>
        <w:bottom w:val="none" w:sz="0" w:space="0" w:color="auto"/>
        <w:right w:val="none" w:sz="0" w:space="0" w:color="auto"/>
      </w:divBdr>
      <w:divsChild>
        <w:div w:id="206380430">
          <w:marLeft w:val="0"/>
          <w:marRight w:val="0"/>
          <w:marTop w:val="0"/>
          <w:marBottom w:val="0"/>
          <w:divBdr>
            <w:top w:val="none" w:sz="0" w:space="0" w:color="auto"/>
            <w:left w:val="none" w:sz="0" w:space="0" w:color="auto"/>
            <w:bottom w:val="none" w:sz="0" w:space="0" w:color="auto"/>
            <w:right w:val="none" w:sz="0" w:space="0" w:color="auto"/>
          </w:divBdr>
        </w:div>
        <w:div w:id="1352730062">
          <w:marLeft w:val="0"/>
          <w:marRight w:val="0"/>
          <w:marTop w:val="0"/>
          <w:marBottom w:val="0"/>
          <w:divBdr>
            <w:top w:val="none" w:sz="0" w:space="0" w:color="auto"/>
            <w:left w:val="none" w:sz="0" w:space="0" w:color="auto"/>
            <w:bottom w:val="none" w:sz="0" w:space="0" w:color="auto"/>
            <w:right w:val="none" w:sz="0" w:space="0" w:color="auto"/>
          </w:divBdr>
        </w:div>
      </w:divsChild>
    </w:div>
    <w:div w:id="1284728490">
      <w:bodyDiv w:val="1"/>
      <w:marLeft w:val="0"/>
      <w:marRight w:val="0"/>
      <w:marTop w:val="0"/>
      <w:marBottom w:val="0"/>
      <w:divBdr>
        <w:top w:val="none" w:sz="0" w:space="0" w:color="auto"/>
        <w:left w:val="none" w:sz="0" w:space="0" w:color="auto"/>
        <w:bottom w:val="none" w:sz="0" w:space="0" w:color="auto"/>
        <w:right w:val="none" w:sz="0" w:space="0" w:color="auto"/>
      </w:divBdr>
      <w:divsChild>
        <w:div w:id="1974670967">
          <w:marLeft w:val="0"/>
          <w:marRight w:val="0"/>
          <w:marTop w:val="0"/>
          <w:marBottom w:val="0"/>
          <w:divBdr>
            <w:top w:val="none" w:sz="0" w:space="0" w:color="auto"/>
            <w:left w:val="none" w:sz="0" w:space="0" w:color="auto"/>
            <w:bottom w:val="none" w:sz="0" w:space="0" w:color="auto"/>
            <w:right w:val="none" w:sz="0" w:space="0" w:color="auto"/>
          </w:divBdr>
        </w:div>
        <w:div w:id="353190011">
          <w:marLeft w:val="0"/>
          <w:marRight w:val="0"/>
          <w:marTop w:val="0"/>
          <w:marBottom w:val="0"/>
          <w:divBdr>
            <w:top w:val="none" w:sz="0" w:space="0" w:color="auto"/>
            <w:left w:val="none" w:sz="0" w:space="0" w:color="auto"/>
            <w:bottom w:val="none" w:sz="0" w:space="0" w:color="auto"/>
            <w:right w:val="none" w:sz="0" w:space="0" w:color="auto"/>
          </w:divBdr>
        </w:div>
      </w:divsChild>
    </w:div>
    <w:div w:id="1292596937">
      <w:bodyDiv w:val="1"/>
      <w:marLeft w:val="0"/>
      <w:marRight w:val="0"/>
      <w:marTop w:val="0"/>
      <w:marBottom w:val="0"/>
      <w:divBdr>
        <w:top w:val="none" w:sz="0" w:space="0" w:color="auto"/>
        <w:left w:val="none" w:sz="0" w:space="0" w:color="auto"/>
        <w:bottom w:val="none" w:sz="0" w:space="0" w:color="auto"/>
        <w:right w:val="none" w:sz="0" w:space="0" w:color="auto"/>
      </w:divBdr>
      <w:divsChild>
        <w:div w:id="191844288">
          <w:marLeft w:val="0"/>
          <w:marRight w:val="0"/>
          <w:marTop w:val="0"/>
          <w:marBottom w:val="0"/>
          <w:divBdr>
            <w:top w:val="none" w:sz="0" w:space="0" w:color="auto"/>
            <w:left w:val="none" w:sz="0" w:space="0" w:color="auto"/>
            <w:bottom w:val="none" w:sz="0" w:space="0" w:color="auto"/>
            <w:right w:val="none" w:sz="0" w:space="0" w:color="auto"/>
          </w:divBdr>
        </w:div>
        <w:div w:id="1148785981">
          <w:marLeft w:val="0"/>
          <w:marRight w:val="0"/>
          <w:marTop w:val="0"/>
          <w:marBottom w:val="0"/>
          <w:divBdr>
            <w:top w:val="none" w:sz="0" w:space="0" w:color="auto"/>
            <w:left w:val="none" w:sz="0" w:space="0" w:color="auto"/>
            <w:bottom w:val="none" w:sz="0" w:space="0" w:color="auto"/>
            <w:right w:val="none" w:sz="0" w:space="0" w:color="auto"/>
          </w:divBdr>
        </w:div>
      </w:divsChild>
    </w:div>
    <w:div w:id="1300768669">
      <w:bodyDiv w:val="1"/>
      <w:marLeft w:val="0"/>
      <w:marRight w:val="0"/>
      <w:marTop w:val="0"/>
      <w:marBottom w:val="0"/>
      <w:divBdr>
        <w:top w:val="none" w:sz="0" w:space="0" w:color="auto"/>
        <w:left w:val="none" w:sz="0" w:space="0" w:color="auto"/>
        <w:bottom w:val="none" w:sz="0" w:space="0" w:color="auto"/>
        <w:right w:val="none" w:sz="0" w:space="0" w:color="auto"/>
      </w:divBdr>
    </w:div>
    <w:div w:id="1315794195">
      <w:bodyDiv w:val="1"/>
      <w:marLeft w:val="0"/>
      <w:marRight w:val="0"/>
      <w:marTop w:val="0"/>
      <w:marBottom w:val="0"/>
      <w:divBdr>
        <w:top w:val="none" w:sz="0" w:space="0" w:color="auto"/>
        <w:left w:val="none" w:sz="0" w:space="0" w:color="auto"/>
        <w:bottom w:val="none" w:sz="0" w:space="0" w:color="auto"/>
        <w:right w:val="none" w:sz="0" w:space="0" w:color="auto"/>
      </w:divBdr>
      <w:divsChild>
        <w:div w:id="629749433">
          <w:marLeft w:val="0"/>
          <w:marRight w:val="0"/>
          <w:marTop w:val="0"/>
          <w:marBottom w:val="0"/>
          <w:divBdr>
            <w:top w:val="none" w:sz="0" w:space="0" w:color="auto"/>
            <w:left w:val="none" w:sz="0" w:space="0" w:color="auto"/>
            <w:bottom w:val="none" w:sz="0" w:space="0" w:color="auto"/>
            <w:right w:val="none" w:sz="0" w:space="0" w:color="auto"/>
          </w:divBdr>
        </w:div>
        <w:div w:id="1431468363">
          <w:marLeft w:val="0"/>
          <w:marRight w:val="0"/>
          <w:marTop w:val="0"/>
          <w:marBottom w:val="0"/>
          <w:divBdr>
            <w:top w:val="none" w:sz="0" w:space="0" w:color="auto"/>
            <w:left w:val="none" w:sz="0" w:space="0" w:color="auto"/>
            <w:bottom w:val="none" w:sz="0" w:space="0" w:color="auto"/>
            <w:right w:val="none" w:sz="0" w:space="0" w:color="auto"/>
          </w:divBdr>
        </w:div>
      </w:divsChild>
    </w:div>
    <w:div w:id="1358122281">
      <w:bodyDiv w:val="1"/>
      <w:marLeft w:val="0"/>
      <w:marRight w:val="0"/>
      <w:marTop w:val="0"/>
      <w:marBottom w:val="0"/>
      <w:divBdr>
        <w:top w:val="none" w:sz="0" w:space="0" w:color="auto"/>
        <w:left w:val="none" w:sz="0" w:space="0" w:color="auto"/>
        <w:bottom w:val="none" w:sz="0" w:space="0" w:color="auto"/>
        <w:right w:val="none" w:sz="0" w:space="0" w:color="auto"/>
      </w:divBdr>
      <w:divsChild>
        <w:div w:id="1939869804">
          <w:marLeft w:val="0"/>
          <w:marRight w:val="0"/>
          <w:marTop w:val="0"/>
          <w:marBottom w:val="0"/>
          <w:divBdr>
            <w:top w:val="none" w:sz="0" w:space="0" w:color="auto"/>
            <w:left w:val="none" w:sz="0" w:space="0" w:color="auto"/>
            <w:bottom w:val="none" w:sz="0" w:space="0" w:color="auto"/>
            <w:right w:val="none" w:sz="0" w:space="0" w:color="auto"/>
          </w:divBdr>
        </w:div>
        <w:div w:id="1398170286">
          <w:marLeft w:val="0"/>
          <w:marRight w:val="0"/>
          <w:marTop w:val="0"/>
          <w:marBottom w:val="0"/>
          <w:divBdr>
            <w:top w:val="none" w:sz="0" w:space="0" w:color="auto"/>
            <w:left w:val="none" w:sz="0" w:space="0" w:color="auto"/>
            <w:bottom w:val="none" w:sz="0" w:space="0" w:color="auto"/>
            <w:right w:val="none" w:sz="0" w:space="0" w:color="auto"/>
          </w:divBdr>
        </w:div>
      </w:divsChild>
    </w:div>
    <w:div w:id="1380787282">
      <w:bodyDiv w:val="1"/>
      <w:marLeft w:val="0"/>
      <w:marRight w:val="0"/>
      <w:marTop w:val="0"/>
      <w:marBottom w:val="0"/>
      <w:divBdr>
        <w:top w:val="none" w:sz="0" w:space="0" w:color="auto"/>
        <w:left w:val="none" w:sz="0" w:space="0" w:color="auto"/>
        <w:bottom w:val="none" w:sz="0" w:space="0" w:color="auto"/>
        <w:right w:val="none" w:sz="0" w:space="0" w:color="auto"/>
      </w:divBdr>
      <w:divsChild>
        <w:div w:id="1283922942">
          <w:marLeft w:val="0"/>
          <w:marRight w:val="0"/>
          <w:marTop w:val="0"/>
          <w:marBottom w:val="0"/>
          <w:divBdr>
            <w:top w:val="none" w:sz="0" w:space="0" w:color="auto"/>
            <w:left w:val="none" w:sz="0" w:space="0" w:color="auto"/>
            <w:bottom w:val="none" w:sz="0" w:space="0" w:color="auto"/>
            <w:right w:val="none" w:sz="0" w:space="0" w:color="auto"/>
          </w:divBdr>
        </w:div>
        <w:div w:id="1333098296">
          <w:marLeft w:val="0"/>
          <w:marRight w:val="0"/>
          <w:marTop w:val="0"/>
          <w:marBottom w:val="0"/>
          <w:divBdr>
            <w:top w:val="none" w:sz="0" w:space="0" w:color="auto"/>
            <w:left w:val="none" w:sz="0" w:space="0" w:color="auto"/>
            <w:bottom w:val="none" w:sz="0" w:space="0" w:color="auto"/>
            <w:right w:val="none" w:sz="0" w:space="0" w:color="auto"/>
          </w:divBdr>
        </w:div>
      </w:divsChild>
    </w:div>
    <w:div w:id="1401447115">
      <w:bodyDiv w:val="1"/>
      <w:marLeft w:val="0"/>
      <w:marRight w:val="0"/>
      <w:marTop w:val="0"/>
      <w:marBottom w:val="0"/>
      <w:divBdr>
        <w:top w:val="none" w:sz="0" w:space="0" w:color="auto"/>
        <w:left w:val="none" w:sz="0" w:space="0" w:color="auto"/>
        <w:bottom w:val="none" w:sz="0" w:space="0" w:color="auto"/>
        <w:right w:val="none" w:sz="0" w:space="0" w:color="auto"/>
      </w:divBdr>
      <w:divsChild>
        <w:div w:id="1970013514">
          <w:marLeft w:val="0"/>
          <w:marRight w:val="0"/>
          <w:marTop w:val="0"/>
          <w:marBottom w:val="0"/>
          <w:divBdr>
            <w:top w:val="none" w:sz="0" w:space="0" w:color="auto"/>
            <w:left w:val="none" w:sz="0" w:space="0" w:color="auto"/>
            <w:bottom w:val="none" w:sz="0" w:space="0" w:color="auto"/>
            <w:right w:val="none" w:sz="0" w:space="0" w:color="auto"/>
          </w:divBdr>
        </w:div>
        <w:div w:id="252707292">
          <w:marLeft w:val="0"/>
          <w:marRight w:val="0"/>
          <w:marTop w:val="0"/>
          <w:marBottom w:val="0"/>
          <w:divBdr>
            <w:top w:val="none" w:sz="0" w:space="0" w:color="auto"/>
            <w:left w:val="none" w:sz="0" w:space="0" w:color="auto"/>
            <w:bottom w:val="none" w:sz="0" w:space="0" w:color="auto"/>
            <w:right w:val="none" w:sz="0" w:space="0" w:color="auto"/>
          </w:divBdr>
        </w:div>
      </w:divsChild>
    </w:div>
    <w:div w:id="1409812032">
      <w:bodyDiv w:val="1"/>
      <w:marLeft w:val="0"/>
      <w:marRight w:val="0"/>
      <w:marTop w:val="0"/>
      <w:marBottom w:val="0"/>
      <w:divBdr>
        <w:top w:val="none" w:sz="0" w:space="0" w:color="auto"/>
        <w:left w:val="none" w:sz="0" w:space="0" w:color="auto"/>
        <w:bottom w:val="none" w:sz="0" w:space="0" w:color="auto"/>
        <w:right w:val="none" w:sz="0" w:space="0" w:color="auto"/>
      </w:divBdr>
    </w:div>
    <w:div w:id="1422678424">
      <w:bodyDiv w:val="1"/>
      <w:marLeft w:val="0"/>
      <w:marRight w:val="0"/>
      <w:marTop w:val="0"/>
      <w:marBottom w:val="0"/>
      <w:divBdr>
        <w:top w:val="none" w:sz="0" w:space="0" w:color="auto"/>
        <w:left w:val="none" w:sz="0" w:space="0" w:color="auto"/>
        <w:bottom w:val="none" w:sz="0" w:space="0" w:color="auto"/>
        <w:right w:val="none" w:sz="0" w:space="0" w:color="auto"/>
      </w:divBdr>
      <w:divsChild>
        <w:div w:id="1540243578">
          <w:marLeft w:val="0"/>
          <w:marRight w:val="0"/>
          <w:marTop w:val="0"/>
          <w:marBottom w:val="0"/>
          <w:divBdr>
            <w:top w:val="none" w:sz="0" w:space="0" w:color="auto"/>
            <w:left w:val="none" w:sz="0" w:space="0" w:color="auto"/>
            <w:bottom w:val="none" w:sz="0" w:space="0" w:color="auto"/>
            <w:right w:val="none" w:sz="0" w:space="0" w:color="auto"/>
          </w:divBdr>
        </w:div>
        <w:div w:id="1224564565">
          <w:marLeft w:val="0"/>
          <w:marRight w:val="0"/>
          <w:marTop w:val="0"/>
          <w:marBottom w:val="0"/>
          <w:divBdr>
            <w:top w:val="none" w:sz="0" w:space="0" w:color="auto"/>
            <w:left w:val="none" w:sz="0" w:space="0" w:color="auto"/>
            <w:bottom w:val="none" w:sz="0" w:space="0" w:color="auto"/>
            <w:right w:val="none" w:sz="0" w:space="0" w:color="auto"/>
          </w:divBdr>
        </w:div>
      </w:divsChild>
    </w:div>
    <w:div w:id="1426684854">
      <w:bodyDiv w:val="1"/>
      <w:marLeft w:val="0"/>
      <w:marRight w:val="0"/>
      <w:marTop w:val="0"/>
      <w:marBottom w:val="0"/>
      <w:divBdr>
        <w:top w:val="none" w:sz="0" w:space="0" w:color="auto"/>
        <w:left w:val="none" w:sz="0" w:space="0" w:color="auto"/>
        <w:bottom w:val="none" w:sz="0" w:space="0" w:color="auto"/>
        <w:right w:val="none" w:sz="0" w:space="0" w:color="auto"/>
      </w:divBdr>
      <w:divsChild>
        <w:div w:id="1869754342">
          <w:marLeft w:val="0"/>
          <w:marRight w:val="0"/>
          <w:marTop w:val="0"/>
          <w:marBottom w:val="0"/>
          <w:divBdr>
            <w:top w:val="none" w:sz="0" w:space="0" w:color="auto"/>
            <w:left w:val="none" w:sz="0" w:space="0" w:color="auto"/>
            <w:bottom w:val="none" w:sz="0" w:space="0" w:color="auto"/>
            <w:right w:val="none" w:sz="0" w:space="0" w:color="auto"/>
          </w:divBdr>
        </w:div>
        <w:div w:id="21783941">
          <w:marLeft w:val="0"/>
          <w:marRight w:val="0"/>
          <w:marTop w:val="0"/>
          <w:marBottom w:val="0"/>
          <w:divBdr>
            <w:top w:val="none" w:sz="0" w:space="0" w:color="auto"/>
            <w:left w:val="none" w:sz="0" w:space="0" w:color="auto"/>
            <w:bottom w:val="none" w:sz="0" w:space="0" w:color="auto"/>
            <w:right w:val="none" w:sz="0" w:space="0" w:color="auto"/>
          </w:divBdr>
        </w:div>
      </w:divsChild>
    </w:div>
    <w:div w:id="1452900171">
      <w:bodyDiv w:val="1"/>
      <w:marLeft w:val="0"/>
      <w:marRight w:val="0"/>
      <w:marTop w:val="0"/>
      <w:marBottom w:val="0"/>
      <w:divBdr>
        <w:top w:val="none" w:sz="0" w:space="0" w:color="auto"/>
        <w:left w:val="none" w:sz="0" w:space="0" w:color="auto"/>
        <w:bottom w:val="none" w:sz="0" w:space="0" w:color="auto"/>
        <w:right w:val="none" w:sz="0" w:space="0" w:color="auto"/>
      </w:divBdr>
      <w:divsChild>
        <w:div w:id="1620650780">
          <w:marLeft w:val="0"/>
          <w:marRight w:val="0"/>
          <w:marTop w:val="0"/>
          <w:marBottom w:val="0"/>
          <w:divBdr>
            <w:top w:val="none" w:sz="0" w:space="0" w:color="auto"/>
            <w:left w:val="none" w:sz="0" w:space="0" w:color="auto"/>
            <w:bottom w:val="none" w:sz="0" w:space="0" w:color="auto"/>
            <w:right w:val="none" w:sz="0" w:space="0" w:color="auto"/>
          </w:divBdr>
        </w:div>
        <w:div w:id="1833375264">
          <w:marLeft w:val="0"/>
          <w:marRight w:val="0"/>
          <w:marTop w:val="0"/>
          <w:marBottom w:val="0"/>
          <w:divBdr>
            <w:top w:val="none" w:sz="0" w:space="0" w:color="auto"/>
            <w:left w:val="none" w:sz="0" w:space="0" w:color="auto"/>
            <w:bottom w:val="none" w:sz="0" w:space="0" w:color="auto"/>
            <w:right w:val="none" w:sz="0" w:space="0" w:color="auto"/>
          </w:divBdr>
        </w:div>
      </w:divsChild>
    </w:div>
    <w:div w:id="1467821635">
      <w:bodyDiv w:val="1"/>
      <w:marLeft w:val="0"/>
      <w:marRight w:val="0"/>
      <w:marTop w:val="0"/>
      <w:marBottom w:val="0"/>
      <w:divBdr>
        <w:top w:val="none" w:sz="0" w:space="0" w:color="auto"/>
        <w:left w:val="none" w:sz="0" w:space="0" w:color="auto"/>
        <w:bottom w:val="none" w:sz="0" w:space="0" w:color="auto"/>
        <w:right w:val="none" w:sz="0" w:space="0" w:color="auto"/>
      </w:divBdr>
    </w:div>
    <w:div w:id="1473863690">
      <w:bodyDiv w:val="1"/>
      <w:marLeft w:val="0"/>
      <w:marRight w:val="0"/>
      <w:marTop w:val="0"/>
      <w:marBottom w:val="0"/>
      <w:divBdr>
        <w:top w:val="none" w:sz="0" w:space="0" w:color="auto"/>
        <w:left w:val="none" w:sz="0" w:space="0" w:color="auto"/>
        <w:bottom w:val="none" w:sz="0" w:space="0" w:color="auto"/>
        <w:right w:val="none" w:sz="0" w:space="0" w:color="auto"/>
      </w:divBdr>
      <w:divsChild>
        <w:div w:id="491069450">
          <w:marLeft w:val="0"/>
          <w:marRight w:val="0"/>
          <w:marTop w:val="0"/>
          <w:marBottom w:val="0"/>
          <w:divBdr>
            <w:top w:val="none" w:sz="0" w:space="0" w:color="auto"/>
            <w:left w:val="none" w:sz="0" w:space="0" w:color="auto"/>
            <w:bottom w:val="none" w:sz="0" w:space="0" w:color="auto"/>
            <w:right w:val="none" w:sz="0" w:space="0" w:color="auto"/>
          </w:divBdr>
        </w:div>
        <w:div w:id="520437870">
          <w:marLeft w:val="0"/>
          <w:marRight w:val="0"/>
          <w:marTop w:val="0"/>
          <w:marBottom w:val="0"/>
          <w:divBdr>
            <w:top w:val="none" w:sz="0" w:space="0" w:color="auto"/>
            <w:left w:val="none" w:sz="0" w:space="0" w:color="auto"/>
            <w:bottom w:val="none" w:sz="0" w:space="0" w:color="auto"/>
            <w:right w:val="none" w:sz="0" w:space="0" w:color="auto"/>
          </w:divBdr>
        </w:div>
      </w:divsChild>
    </w:div>
    <w:div w:id="1477332945">
      <w:bodyDiv w:val="1"/>
      <w:marLeft w:val="0"/>
      <w:marRight w:val="0"/>
      <w:marTop w:val="0"/>
      <w:marBottom w:val="0"/>
      <w:divBdr>
        <w:top w:val="none" w:sz="0" w:space="0" w:color="auto"/>
        <w:left w:val="none" w:sz="0" w:space="0" w:color="auto"/>
        <w:bottom w:val="none" w:sz="0" w:space="0" w:color="auto"/>
        <w:right w:val="none" w:sz="0" w:space="0" w:color="auto"/>
      </w:divBdr>
    </w:div>
    <w:div w:id="1483346871">
      <w:bodyDiv w:val="1"/>
      <w:marLeft w:val="0"/>
      <w:marRight w:val="0"/>
      <w:marTop w:val="0"/>
      <w:marBottom w:val="0"/>
      <w:divBdr>
        <w:top w:val="none" w:sz="0" w:space="0" w:color="auto"/>
        <w:left w:val="none" w:sz="0" w:space="0" w:color="auto"/>
        <w:bottom w:val="none" w:sz="0" w:space="0" w:color="auto"/>
        <w:right w:val="none" w:sz="0" w:space="0" w:color="auto"/>
      </w:divBdr>
      <w:divsChild>
        <w:div w:id="1143691604">
          <w:marLeft w:val="0"/>
          <w:marRight w:val="0"/>
          <w:marTop w:val="0"/>
          <w:marBottom w:val="0"/>
          <w:divBdr>
            <w:top w:val="none" w:sz="0" w:space="0" w:color="auto"/>
            <w:left w:val="none" w:sz="0" w:space="0" w:color="auto"/>
            <w:bottom w:val="none" w:sz="0" w:space="0" w:color="auto"/>
            <w:right w:val="none" w:sz="0" w:space="0" w:color="auto"/>
          </w:divBdr>
        </w:div>
        <w:div w:id="1951544666">
          <w:marLeft w:val="0"/>
          <w:marRight w:val="0"/>
          <w:marTop w:val="0"/>
          <w:marBottom w:val="0"/>
          <w:divBdr>
            <w:top w:val="none" w:sz="0" w:space="0" w:color="auto"/>
            <w:left w:val="none" w:sz="0" w:space="0" w:color="auto"/>
            <w:bottom w:val="none" w:sz="0" w:space="0" w:color="auto"/>
            <w:right w:val="none" w:sz="0" w:space="0" w:color="auto"/>
          </w:divBdr>
        </w:div>
      </w:divsChild>
    </w:div>
    <w:div w:id="1500267623">
      <w:bodyDiv w:val="1"/>
      <w:marLeft w:val="0"/>
      <w:marRight w:val="0"/>
      <w:marTop w:val="0"/>
      <w:marBottom w:val="0"/>
      <w:divBdr>
        <w:top w:val="none" w:sz="0" w:space="0" w:color="auto"/>
        <w:left w:val="none" w:sz="0" w:space="0" w:color="auto"/>
        <w:bottom w:val="none" w:sz="0" w:space="0" w:color="auto"/>
        <w:right w:val="none" w:sz="0" w:space="0" w:color="auto"/>
      </w:divBdr>
      <w:divsChild>
        <w:div w:id="1674382119">
          <w:marLeft w:val="0"/>
          <w:marRight w:val="0"/>
          <w:marTop w:val="0"/>
          <w:marBottom w:val="0"/>
          <w:divBdr>
            <w:top w:val="none" w:sz="0" w:space="0" w:color="auto"/>
            <w:left w:val="none" w:sz="0" w:space="0" w:color="auto"/>
            <w:bottom w:val="none" w:sz="0" w:space="0" w:color="auto"/>
            <w:right w:val="none" w:sz="0" w:space="0" w:color="auto"/>
          </w:divBdr>
        </w:div>
        <w:div w:id="1323121797">
          <w:marLeft w:val="0"/>
          <w:marRight w:val="0"/>
          <w:marTop w:val="0"/>
          <w:marBottom w:val="0"/>
          <w:divBdr>
            <w:top w:val="none" w:sz="0" w:space="0" w:color="auto"/>
            <w:left w:val="none" w:sz="0" w:space="0" w:color="auto"/>
            <w:bottom w:val="none" w:sz="0" w:space="0" w:color="auto"/>
            <w:right w:val="none" w:sz="0" w:space="0" w:color="auto"/>
          </w:divBdr>
        </w:div>
      </w:divsChild>
    </w:div>
    <w:div w:id="1519150349">
      <w:bodyDiv w:val="1"/>
      <w:marLeft w:val="0"/>
      <w:marRight w:val="0"/>
      <w:marTop w:val="0"/>
      <w:marBottom w:val="0"/>
      <w:divBdr>
        <w:top w:val="none" w:sz="0" w:space="0" w:color="auto"/>
        <w:left w:val="none" w:sz="0" w:space="0" w:color="auto"/>
        <w:bottom w:val="none" w:sz="0" w:space="0" w:color="auto"/>
        <w:right w:val="none" w:sz="0" w:space="0" w:color="auto"/>
      </w:divBdr>
    </w:div>
    <w:div w:id="1522473804">
      <w:bodyDiv w:val="1"/>
      <w:marLeft w:val="0"/>
      <w:marRight w:val="0"/>
      <w:marTop w:val="0"/>
      <w:marBottom w:val="0"/>
      <w:divBdr>
        <w:top w:val="none" w:sz="0" w:space="0" w:color="auto"/>
        <w:left w:val="none" w:sz="0" w:space="0" w:color="auto"/>
        <w:bottom w:val="none" w:sz="0" w:space="0" w:color="auto"/>
        <w:right w:val="none" w:sz="0" w:space="0" w:color="auto"/>
      </w:divBdr>
    </w:div>
    <w:div w:id="1545560394">
      <w:bodyDiv w:val="1"/>
      <w:marLeft w:val="0"/>
      <w:marRight w:val="0"/>
      <w:marTop w:val="0"/>
      <w:marBottom w:val="0"/>
      <w:divBdr>
        <w:top w:val="none" w:sz="0" w:space="0" w:color="auto"/>
        <w:left w:val="none" w:sz="0" w:space="0" w:color="auto"/>
        <w:bottom w:val="none" w:sz="0" w:space="0" w:color="auto"/>
        <w:right w:val="none" w:sz="0" w:space="0" w:color="auto"/>
      </w:divBdr>
    </w:div>
    <w:div w:id="1546288800">
      <w:bodyDiv w:val="1"/>
      <w:marLeft w:val="0"/>
      <w:marRight w:val="0"/>
      <w:marTop w:val="0"/>
      <w:marBottom w:val="0"/>
      <w:divBdr>
        <w:top w:val="none" w:sz="0" w:space="0" w:color="auto"/>
        <w:left w:val="none" w:sz="0" w:space="0" w:color="auto"/>
        <w:bottom w:val="none" w:sz="0" w:space="0" w:color="auto"/>
        <w:right w:val="none" w:sz="0" w:space="0" w:color="auto"/>
      </w:divBdr>
      <w:divsChild>
        <w:div w:id="783815745">
          <w:marLeft w:val="0"/>
          <w:marRight w:val="0"/>
          <w:marTop w:val="0"/>
          <w:marBottom w:val="0"/>
          <w:divBdr>
            <w:top w:val="none" w:sz="0" w:space="0" w:color="auto"/>
            <w:left w:val="none" w:sz="0" w:space="0" w:color="auto"/>
            <w:bottom w:val="none" w:sz="0" w:space="0" w:color="auto"/>
            <w:right w:val="none" w:sz="0" w:space="0" w:color="auto"/>
          </w:divBdr>
        </w:div>
        <w:div w:id="671220695">
          <w:marLeft w:val="0"/>
          <w:marRight w:val="0"/>
          <w:marTop w:val="0"/>
          <w:marBottom w:val="0"/>
          <w:divBdr>
            <w:top w:val="none" w:sz="0" w:space="0" w:color="auto"/>
            <w:left w:val="none" w:sz="0" w:space="0" w:color="auto"/>
            <w:bottom w:val="none" w:sz="0" w:space="0" w:color="auto"/>
            <w:right w:val="none" w:sz="0" w:space="0" w:color="auto"/>
          </w:divBdr>
        </w:div>
      </w:divsChild>
    </w:div>
    <w:div w:id="1547914771">
      <w:bodyDiv w:val="1"/>
      <w:marLeft w:val="0"/>
      <w:marRight w:val="0"/>
      <w:marTop w:val="0"/>
      <w:marBottom w:val="0"/>
      <w:divBdr>
        <w:top w:val="none" w:sz="0" w:space="0" w:color="auto"/>
        <w:left w:val="none" w:sz="0" w:space="0" w:color="auto"/>
        <w:bottom w:val="none" w:sz="0" w:space="0" w:color="auto"/>
        <w:right w:val="none" w:sz="0" w:space="0" w:color="auto"/>
      </w:divBdr>
      <w:divsChild>
        <w:div w:id="280888992">
          <w:marLeft w:val="0"/>
          <w:marRight w:val="0"/>
          <w:marTop w:val="0"/>
          <w:marBottom w:val="0"/>
          <w:divBdr>
            <w:top w:val="none" w:sz="0" w:space="0" w:color="auto"/>
            <w:left w:val="none" w:sz="0" w:space="0" w:color="auto"/>
            <w:bottom w:val="none" w:sz="0" w:space="0" w:color="auto"/>
            <w:right w:val="none" w:sz="0" w:space="0" w:color="auto"/>
          </w:divBdr>
        </w:div>
        <w:div w:id="1030690229">
          <w:marLeft w:val="0"/>
          <w:marRight w:val="0"/>
          <w:marTop w:val="0"/>
          <w:marBottom w:val="0"/>
          <w:divBdr>
            <w:top w:val="none" w:sz="0" w:space="0" w:color="auto"/>
            <w:left w:val="none" w:sz="0" w:space="0" w:color="auto"/>
            <w:bottom w:val="none" w:sz="0" w:space="0" w:color="auto"/>
            <w:right w:val="none" w:sz="0" w:space="0" w:color="auto"/>
          </w:divBdr>
        </w:div>
      </w:divsChild>
    </w:div>
    <w:div w:id="1566641864">
      <w:bodyDiv w:val="1"/>
      <w:marLeft w:val="0"/>
      <w:marRight w:val="0"/>
      <w:marTop w:val="0"/>
      <w:marBottom w:val="0"/>
      <w:divBdr>
        <w:top w:val="none" w:sz="0" w:space="0" w:color="auto"/>
        <w:left w:val="none" w:sz="0" w:space="0" w:color="auto"/>
        <w:bottom w:val="none" w:sz="0" w:space="0" w:color="auto"/>
        <w:right w:val="none" w:sz="0" w:space="0" w:color="auto"/>
      </w:divBdr>
      <w:divsChild>
        <w:div w:id="2081630573">
          <w:marLeft w:val="0"/>
          <w:marRight w:val="0"/>
          <w:marTop w:val="0"/>
          <w:marBottom w:val="0"/>
          <w:divBdr>
            <w:top w:val="none" w:sz="0" w:space="0" w:color="auto"/>
            <w:left w:val="none" w:sz="0" w:space="0" w:color="auto"/>
            <w:bottom w:val="none" w:sz="0" w:space="0" w:color="auto"/>
            <w:right w:val="none" w:sz="0" w:space="0" w:color="auto"/>
          </w:divBdr>
        </w:div>
      </w:divsChild>
    </w:div>
    <w:div w:id="1576549958">
      <w:bodyDiv w:val="1"/>
      <w:marLeft w:val="0"/>
      <w:marRight w:val="0"/>
      <w:marTop w:val="0"/>
      <w:marBottom w:val="0"/>
      <w:divBdr>
        <w:top w:val="none" w:sz="0" w:space="0" w:color="auto"/>
        <w:left w:val="none" w:sz="0" w:space="0" w:color="auto"/>
        <w:bottom w:val="none" w:sz="0" w:space="0" w:color="auto"/>
        <w:right w:val="none" w:sz="0" w:space="0" w:color="auto"/>
      </w:divBdr>
    </w:div>
    <w:div w:id="1587955974">
      <w:bodyDiv w:val="1"/>
      <w:marLeft w:val="0"/>
      <w:marRight w:val="0"/>
      <w:marTop w:val="0"/>
      <w:marBottom w:val="0"/>
      <w:divBdr>
        <w:top w:val="none" w:sz="0" w:space="0" w:color="auto"/>
        <w:left w:val="none" w:sz="0" w:space="0" w:color="auto"/>
        <w:bottom w:val="none" w:sz="0" w:space="0" w:color="auto"/>
        <w:right w:val="none" w:sz="0" w:space="0" w:color="auto"/>
      </w:divBdr>
    </w:div>
    <w:div w:id="1588493354">
      <w:bodyDiv w:val="1"/>
      <w:marLeft w:val="0"/>
      <w:marRight w:val="0"/>
      <w:marTop w:val="0"/>
      <w:marBottom w:val="0"/>
      <w:divBdr>
        <w:top w:val="none" w:sz="0" w:space="0" w:color="auto"/>
        <w:left w:val="none" w:sz="0" w:space="0" w:color="auto"/>
        <w:bottom w:val="none" w:sz="0" w:space="0" w:color="auto"/>
        <w:right w:val="none" w:sz="0" w:space="0" w:color="auto"/>
      </w:divBdr>
      <w:divsChild>
        <w:div w:id="684787049">
          <w:marLeft w:val="0"/>
          <w:marRight w:val="0"/>
          <w:marTop w:val="0"/>
          <w:marBottom w:val="0"/>
          <w:divBdr>
            <w:top w:val="none" w:sz="0" w:space="0" w:color="auto"/>
            <w:left w:val="none" w:sz="0" w:space="0" w:color="auto"/>
            <w:bottom w:val="none" w:sz="0" w:space="0" w:color="auto"/>
            <w:right w:val="none" w:sz="0" w:space="0" w:color="auto"/>
          </w:divBdr>
        </w:div>
        <w:div w:id="1880705362">
          <w:marLeft w:val="0"/>
          <w:marRight w:val="0"/>
          <w:marTop w:val="0"/>
          <w:marBottom w:val="0"/>
          <w:divBdr>
            <w:top w:val="none" w:sz="0" w:space="0" w:color="auto"/>
            <w:left w:val="none" w:sz="0" w:space="0" w:color="auto"/>
            <w:bottom w:val="none" w:sz="0" w:space="0" w:color="auto"/>
            <w:right w:val="none" w:sz="0" w:space="0" w:color="auto"/>
          </w:divBdr>
        </w:div>
      </w:divsChild>
    </w:div>
    <w:div w:id="1592085308">
      <w:bodyDiv w:val="1"/>
      <w:marLeft w:val="0"/>
      <w:marRight w:val="0"/>
      <w:marTop w:val="0"/>
      <w:marBottom w:val="0"/>
      <w:divBdr>
        <w:top w:val="none" w:sz="0" w:space="0" w:color="auto"/>
        <w:left w:val="none" w:sz="0" w:space="0" w:color="auto"/>
        <w:bottom w:val="none" w:sz="0" w:space="0" w:color="auto"/>
        <w:right w:val="none" w:sz="0" w:space="0" w:color="auto"/>
      </w:divBdr>
      <w:divsChild>
        <w:div w:id="1547567790">
          <w:marLeft w:val="0"/>
          <w:marRight w:val="0"/>
          <w:marTop w:val="0"/>
          <w:marBottom w:val="0"/>
          <w:divBdr>
            <w:top w:val="none" w:sz="0" w:space="0" w:color="auto"/>
            <w:left w:val="none" w:sz="0" w:space="0" w:color="auto"/>
            <w:bottom w:val="none" w:sz="0" w:space="0" w:color="auto"/>
            <w:right w:val="none" w:sz="0" w:space="0" w:color="auto"/>
          </w:divBdr>
        </w:div>
        <w:div w:id="758214986">
          <w:marLeft w:val="0"/>
          <w:marRight w:val="0"/>
          <w:marTop w:val="0"/>
          <w:marBottom w:val="0"/>
          <w:divBdr>
            <w:top w:val="none" w:sz="0" w:space="0" w:color="auto"/>
            <w:left w:val="none" w:sz="0" w:space="0" w:color="auto"/>
            <w:bottom w:val="none" w:sz="0" w:space="0" w:color="auto"/>
            <w:right w:val="none" w:sz="0" w:space="0" w:color="auto"/>
          </w:divBdr>
        </w:div>
      </w:divsChild>
    </w:div>
    <w:div w:id="1604338403">
      <w:bodyDiv w:val="1"/>
      <w:marLeft w:val="0"/>
      <w:marRight w:val="0"/>
      <w:marTop w:val="0"/>
      <w:marBottom w:val="0"/>
      <w:divBdr>
        <w:top w:val="none" w:sz="0" w:space="0" w:color="auto"/>
        <w:left w:val="none" w:sz="0" w:space="0" w:color="auto"/>
        <w:bottom w:val="none" w:sz="0" w:space="0" w:color="auto"/>
        <w:right w:val="none" w:sz="0" w:space="0" w:color="auto"/>
      </w:divBdr>
    </w:div>
    <w:div w:id="1605574364">
      <w:bodyDiv w:val="1"/>
      <w:marLeft w:val="0"/>
      <w:marRight w:val="0"/>
      <w:marTop w:val="0"/>
      <w:marBottom w:val="0"/>
      <w:divBdr>
        <w:top w:val="none" w:sz="0" w:space="0" w:color="auto"/>
        <w:left w:val="none" w:sz="0" w:space="0" w:color="auto"/>
        <w:bottom w:val="none" w:sz="0" w:space="0" w:color="auto"/>
        <w:right w:val="none" w:sz="0" w:space="0" w:color="auto"/>
      </w:divBdr>
    </w:div>
    <w:div w:id="1622223129">
      <w:bodyDiv w:val="1"/>
      <w:marLeft w:val="0"/>
      <w:marRight w:val="0"/>
      <w:marTop w:val="0"/>
      <w:marBottom w:val="0"/>
      <w:divBdr>
        <w:top w:val="none" w:sz="0" w:space="0" w:color="auto"/>
        <w:left w:val="none" w:sz="0" w:space="0" w:color="auto"/>
        <w:bottom w:val="none" w:sz="0" w:space="0" w:color="auto"/>
        <w:right w:val="none" w:sz="0" w:space="0" w:color="auto"/>
      </w:divBdr>
      <w:divsChild>
        <w:div w:id="2144469607">
          <w:marLeft w:val="0"/>
          <w:marRight w:val="0"/>
          <w:marTop w:val="0"/>
          <w:marBottom w:val="0"/>
          <w:divBdr>
            <w:top w:val="none" w:sz="0" w:space="0" w:color="auto"/>
            <w:left w:val="none" w:sz="0" w:space="0" w:color="auto"/>
            <w:bottom w:val="none" w:sz="0" w:space="0" w:color="auto"/>
            <w:right w:val="none" w:sz="0" w:space="0" w:color="auto"/>
          </w:divBdr>
        </w:div>
        <w:div w:id="1560483807">
          <w:marLeft w:val="0"/>
          <w:marRight w:val="0"/>
          <w:marTop w:val="0"/>
          <w:marBottom w:val="0"/>
          <w:divBdr>
            <w:top w:val="none" w:sz="0" w:space="0" w:color="auto"/>
            <w:left w:val="none" w:sz="0" w:space="0" w:color="auto"/>
            <w:bottom w:val="none" w:sz="0" w:space="0" w:color="auto"/>
            <w:right w:val="none" w:sz="0" w:space="0" w:color="auto"/>
          </w:divBdr>
        </w:div>
      </w:divsChild>
    </w:div>
    <w:div w:id="1627657364">
      <w:bodyDiv w:val="1"/>
      <w:marLeft w:val="0"/>
      <w:marRight w:val="0"/>
      <w:marTop w:val="0"/>
      <w:marBottom w:val="0"/>
      <w:divBdr>
        <w:top w:val="none" w:sz="0" w:space="0" w:color="auto"/>
        <w:left w:val="none" w:sz="0" w:space="0" w:color="auto"/>
        <w:bottom w:val="none" w:sz="0" w:space="0" w:color="auto"/>
        <w:right w:val="none" w:sz="0" w:space="0" w:color="auto"/>
      </w:divBdr>
    </w:div>
    <w:div w:id="1651519625">
      <w:bodyDiv w:val="1"/>
      <w:marLeft w:val="0"/>
      <w:marRight w:val="0"/>
      <w:marTop w:val="0"/>
      <w:marBottom w:val="0"/>
      <w:divBdr>
        <w:top w:val="none" w:sz="0" w:space="0" w:color="auto"/>
        <w:left w:val="none" w:sz="0" w:space="0" w:color="auto"/>
        <w:bottom w:val="none" w:sz="0" w:space="0" w:color="auto"/>
        <w:right w:val="none" w:sz="0" w:space="0" w:color="auto"/>
      </w:divBdr>
      <w:divsChild>
        <w:div w:id="300111641">
          <w:marLeft w:val="0"/>
          <w:marRight w:val="0"/>
          <w:marTop w:val="0"/>
          <w:marBottom w:val="0"/>
          <w:divBdr>
            <w:top w:val="none" w:sz="0" w:space="0" w:color="auto"/>
            <w:left w:val="none" w:sz="0" w:space="0" w:color="auto"/>
            <w:bottom w:val="none" w:sz="0" w:space="0" w:color="auto"/>
            <w:right w:val="none" w:sz="0" w:space="0" w:color="auto"/>
          </w:divBdr>
        </w:div>
        <w:div w:id="1428649291">
          <w:marLeft w:val="0"/>
          <w:marRight w:val="0"/>
          <w:marTop w:val="0"/>
          <w:marBottom w:val="0"/>
          <w:divBdr>
            <w:top w:val="none" w:sz="0" w:space="0" w:color="auto"/>
            <w:left w:val="none" w:sz="0" w:space="0" w:color="auto"/>
            <w:bottom w:val="none" w:sz="0" w:space="0" w:color="auto"/>
            <w:right w:val="none" w:sz="0" w:space="0" w:color="auto"/>
          </w:divBdr>
        </w:div>
      </w:divsChild>
    </w:div>
    <w:div w:id="1653213302">
      <w:bodyDiv w:val="1"/>
      <w:marLeft w:val="0"/>
      <w:marRight w:val="0"/>
      <w:marTop w:val="0"/>
      <w:marBottom w:val="0"/>
      <w:divBdr>
        <w:top w:val="none" w:sz="0" w:space="0" w:color="auto"/>
        <w:left w:val="none" w:sz="0" w:space="0" w:color="auto"/>
        <w:bottom w:val="none" w:sz="0" w:space="0" w:color="auto"/>
        <w:right w:val="none" w:sz="0" w:space="0" w:color="auto"/>
      </w:divBdr>
      <w:divsChild>
        <w:div w:id="1419130195">
          <w:marLeft w:val="0"/>
          <w:marRight w:val="0"/>
          <w:marTop w:val="0"/>
          <w:marBottom w:val="0"/>
          <w:divBdr>
            <w:top w:val="none" w:sz="0" w:space="0" w:color="auto"/>
            <w:left w:val="none" w:sz="0" w:space="0" w:color="auto"/>
            <w:bottom w:val="none" w:sz="0" w:space="0" w:color="auto"/>
            <w:right w:val="none" w:sz="0" w:space="0" w:color="auto"/>
          </w:divBdr>
        </w:div>
        <w:div w:id="173764792">
          <w:marLeft w:val="0"/>
          <w:marRight w:val="0"/>
          <w:marTop w:val="0"/>
          <w:marBottom w:val="0"/>
          <w:divBdr>
            <w:top w:val="none" w:sz="0" w:space="0" w:color="auto"/>
            <w:left w:val="none" w:sz="0" w:space="0" w:color="auto"/>
            <w:bottom w:val="none" w:sz="0" w:space="0" w:color="auto"/>
            <w:right w:val="none" w:sz="0" w:space="0" w:color="auto"/>
          </w:divBdr>
        </w:div>
      </w:divsChild>
    </w:div>
    <w:div w:id="1684043751">
      <w:bodyDiv w:val="1"/>
      <w:marLeft w:val="0"/>
      <w:marRight w:val="0"/>
      <w:marTop w:val="0"/>
      <w:marBottom w:val="0"/>
      <w:divBdr>
        <w:top w:val="none" w:sz="0" w:space="0" w:color="auto"/>
        <w:left w:val="none" w:sz="0" w:space="0" w:color="auto"/>
        <w:bottom w:val="none" w:sz="0" w:space="0" w:color="auto"/>
        <w:right w:val="none" w:sz="0" w:space="0" w:color="auto"/>
      </w:divBdr>
      <w:divsChild>
        <w:div w:id="566842545">
          <w:marLeft w:val="0"/>
          <w:marRight w:val="0"/>
          <w:marTop w:val="0"/>
          <w:marBottom w:val="0"/>
          <w:divBdr>
            <w:top w:val="none" w:sz="0" w:space="0" w:color="auto"/>
            <w:left w:val="none" w:sz="0" w:space="0" w:color="auto"/>
            <w:bottom w:val="none" w:sz="0" w:space="0" w:color="auto"/>
            <w:right w:val="none" w:sz="0" w:space="0" w:color="auto"/>
          </w:divBdr>
        </w:div>
        <w:div w:id="76488505">
          <w:marLeft w:val="0"/>
          <w:marRight w:val="0"/>
          <w:marTop w:val="0"/>
          <w:marBottom w:val="0"/>
          <w:divBdr>
            <w:top w:val="none" w:sz="0" w:space="0" w:color="auto"/>
            <w:left w:val="none" w:sz="0" w:space="0" w:color="auto"/>
            <w:bottom w:val="none" w:sz="0" w:space="0" w:color="auto"/>
            <w:right w:val="none" w:sz="0" w:space="0" w:color="auto"/>
          </w:divBdr>
        </w:div>
      </w:divsChild>
    </w:div>
    <w:div w:id="1685473900">
      <w:bodyDiv w:val="1"/>
      <w:marLeft w:val="0"/>
      <w:marRight w:val="0"/>
      <w:marTop w:val="0"/>
      <w:marBottom w:val="0"/>
      <w:divBdr>
        <w:top w:val="none" w:sz="0" w:space="0" w:color="auto"/>
        <w:left w:val="none" w:sz="0" w:space="0" w:color="auto"/>
        <w:bottom w:val="none" w:sz="0" w:space="0" w:color="auto"/>
        <w:right w:val="none" w:sz="0" w:space="0" w:color="auto"/>
      </w:divBdr>
    </w:div>
    <w:div w:id="1694723355">
      <w:bodyDiv w:val="1"/>
      <w:marLeft w:val="0"/>
      <w:marRight w:val="0"/>
      <w:marTop w:val="0"/>
      <w:marBottom w:val="0"/>
      <w:divBdr>
        <w:top w:val="none" w:sz="0" w:space="0" w:color="auto"/>
        <w:left w:val="none" w:sz="0" w:space="0" w:color="auto"/>
        <w:bottom w:val="none" w:sz="0" w:space="0" w:color="auto"/>
        <w:right w:val="none" w:sz="0" w:space="0" w:color="auto"/>
      </w:divBdr>
    </w:div>
    <w:div w:id="1706557450">
      <w:bodyDiv w:val="1"/>
      <w:marLeft w:val="0"/>
      <w:marRight w:val="0"/>
      <w:marTop w:val="0"/>
      <w:marBottom w:val="0"/>
      <w:divBdr>
        <w:top w:val="none" w:sz="0" w:space="0" w:color="auto"/>
        <w:left w:val="none" w:sz="0" w:space="0" w:color="auto"/>
        <w:bottom w:val="none" w:sz="0" w:space="0" w:color="auto"/>
        <w:right w:val="none" w:sz="0" w:space="0" w:color="auto"/>
      </w:divBdr>
      <w:divsChild>
        <w:div w:id="591016677">
          <w:marLeft w:val="0"/>
          <w:marRight w:val="0"/>
          <w:marTop w:val="0"/>
          <w:marBottom w:val="0"/>
          <w:divBdr>
            <w:top w:val="none" w:sz="0" w:space="0" w:color="auto"/>
            <w:left w:val="none" w:sz="0" w:space="0" w:color="auto"/>
            <w:bottom w:val="none" w:sz="0" w:space="0" w:color="auto"/>
            <w:right w:val="none" w:sz="0" w:space="0" w:color="auto"/>
          </w:divBdr>
        </w:div>
        <w:div w:id="1407143250">
          <w:marLeft w:val="0"/>
          <w:marRight w:val="0"/>
          <w:marTop w:val="0"/>
          <w:marBottom w:val="0"/>
          <w:divBdr>
            <w:top w:val="none" w:sz="0" w:space="0" w:color="auto"/>
            <w:left w:val="none" w:sz="0" w:space="0" w:color="auto"/>
            <w:bottom w:val="none" w:sz="0" w:space="0" w:color="auto"/>
            <w:right w:val="none" w:sz="0" w:space="0" w:color="auto"/>
          </w:divBdr>
        </w:div>
      </w:divsChild>
    </w:div>
    <w:div w:id="1713846013">
      <w:bodyDiv w:val="1"/>
      <w:marLeft w:val="0"/>
      <w:marRight w:val="0"/>
      <w:marTop w:val="0"/>
      <w:marBottom w:val="0"/>
      <w:divBdr>
        <w:top w:val="none" w:sz="0" w:space="0" w:color="auto"/>
        <w:left w:val="none" w:sz="0" w:space="0" w:color="auto"/>
        <w:bottom w:val="none" w:sz="0" w:space="0" w:color="auto"/>
        <w:right w:val="none" w:sz="0" w:space="0" w:color="auto"/>
      </w:divBdr>
    </w:div>
    <w:div w:id="1716661814">
      <w:bodyDiv w:val="1"/>
      <w:marLeft w:val="0"/>
      <w:marRight w:val="0"/>
      <w:marTop w:val="0"/>
      <w:marBottom w:val="0"/>
      <w:divBdr>
        <w:top w:val="none" w:sz="0" w:space="0" w:color="auto"/>
        <w:left w:val="none" w:sz="0" w:space="0" w:color="auto"/>
        <w:bottom w:val="none" w:sz="0" w:space="0" w:color="auto"/>
        <w:right w:val="none" w:sz="0" w:space="0" w:color="auto"/>
      </w:divBdr>
      <w:divsChild>
        <w:div w:id="165949060">
          <w:marLeft w:val="0"/>
          <w:marRight w:val="0"/>
          <w:marTop w:val="0"/>
          <w:marBottom w:val="0"/>
          <w:divBdr>
            <w:top w:val="none" w:sz="0" w:space="0" w:color="auto"/>
            <w:left w:val="none" w:sz="0" w:space="0" w:color="auto"/>
            <w:bottom w:val="none" w:sz="0" w:space="0" w:color="auto"/>
            <w:right w:val="none" w:sz="0" w:space="0" w:color="auto"/>
          </w:divBdr>
        </w:div>
        <w:div w:id="261382844">
          <w:marLeft w:val="0"/>
          <w:marRight w:val="0"/>
          <w:marTop w:val="0"/>
          <w:marBottom w:val="0"/>
          <w:divBdr>
            <w:top w:val="none" w:sz="0" w:space="0" w:color="auto"/>
            <w:left w:val="none" w:sz="0" w:space="0" w:color="auto"/>
            <w:bottom w:val="none" w:sz="0" w:space="0" w:color="auto"/>
            <w:right w:val="none" w:sz="0" w:space="0" w:color="auto"/>
          </w:divBdr>
        </w:div>
      </w:divsChild>
    </w:div>
    <w:div w:id="1734154146">
      <w:bodyDiv w:val="1"/>
      <w:marLeft w:val="0"/>
      <w:marRight w:val="0"/>
      <w:marTop w:val="0"/>
      <w:marBottom w:val="0"/>
      <w:divBdr>
        <w:top w:val="none" w:sz="0" w:space="0" w:color="auto"/>
        <w:left w:val="none" w:sz="0" w:space="0" w:color="auto"/>
        <w:bottom w:val="none" w:sz="0" w:space="0" w:color="auto"/>
        <w:right w:val="none" w:sz="0" w:space="0" w:color="auto"/>
      </w:divBdr>
      <w:divsChild>
        <w:div w:id="735670067">
          <w:marLeft w:val="0"/>
          <w:marRight w:val="0"/>
          <w:marTop w:val="0"/>
          <w:marBottom w:val="0"/>
          <w:divBdr>
            <w:top w:val="none" w:sz="0" w:space="0" w:color="auto"/>
            <w:left w:val="none" w:sz="0" w:space="0" w:color="auto"/>
            <w:bottom w:val="none" w:sz="0" w:space="0" w:color="auto"/>
            <w:right w:val="none" w:sz="0" w:space="0" w:color="auto"/>
          </w:divBdr>
        </w:div>
        <w:div w:id="226234779">
          <w:marLeft w:val="0"/>
          <w:marRight w:val="0"/>
          <w:marTop w:val="0"/>
          <w:marBottom w:val="0"/>
          <w:divBdr>
            <w:top w:val="none" w:sz="0" w:space="0" w:color="auto"/>
            <w:left w:val="none" w:sz="0" w:space="0" w:color="auto"/>
            <w:bottom w:val="none" w:sz="0" w:space="0" w:color="auto"/>
            <w:right w:val="none" w:sz="0" w:space="0" w:color="auto"/>
          </w:divBdr>
        </w:div>
      </w:divsChild>
    </w:div>
    <w:div w:id="1786584548">
      <w:bodyDiv w:val="1"/>
      <w:marLeft w:val="0"/>
      <w:marRight w:val="0"/>
      <w:marTop w:val="0"/>
      <w:marBottom w:val="0"/>
      <w:divBdr>
        <w:top w:val="none" w:sz="0" w:space="0" w:color="auto"/>
        <w:left w:val="none" w:sz="0" w:space="0" w:color="auto"/>
        <w:bottom w:val="none" w:sz="0" w:space="0" w:color="auto"/>
        <w:right w:val="none" w:sz="0" w:space="0" w:color="auto"/>
      </w:divBdr>
      <w:divsChild>
        <w:div w:id="219362673">
          <w:marLeft w:val="0"/>
          <w:marRight w:val="0"/>
          <w:marTop w:val="0"/>
          <w:marBottom w:val="0"/>
          <w:divBdr>
            <w:top w:val="none" w:sz="0" w:space="0" w:color="auto"/>
            <w:left w:val="none" w:sz="0" w:space="0" w:color="auto"/>
            <w:bottom w:val="none" w:sz="0" w:space="0" w:color="auto"/>
            <w:right w:val="none" w:sz="0" w:space="0" w:color="auto"/>
          </w:divBdr>
        </w:div>
        <w:div w:id="150874027">
          <w:marLeft w:val="0"/>
          <w:marRight w:val="0"/>
          <w:marTop w:val="0"/>
          <w:marBottom w:val="0"/>
          <w:divBdr>
            <w:top w:val="none" w:sz="0" w:space="0" w:color="auto"/>
            <w:left w:val="none" w:sz="0" w:space="0" w:color="auto"/>
            <w:bottom w:val="none" w:sz="0" w:space="0" w:color="auto"/>
            <w:right w:val="none" w:sz="0" w:space="0" w:color="auto"/>
          </w:divBdr>
        </w:div>
      </w:divsChild>
    </w:div>
    <w:div w:id="1796681435">
      <w:bodyDiv w:val="1"/>
      <w:marLeft w:val="0"/>
      <w:marRight w:val="0"/>
      <w:marTop w:val="0"/>
      <w:marBottom w:val="0"/>
      <w:divBdr>
        <w:top w:val="none" w:sz="0" w:space="0" w:color="auto"/>
        <w:left w:val="none" w:sz="0" w:space="0" w:color="auto"/>
        <w:bottom w:val="none" w:sz="0" w:space="0" w:color="auto"/>
        <w:right w:val="none" w:sz="0" w:space="0" w:color="auto"/>
      </w:divBdr>
    </w:div>
    <w:div w:id="1796942301">
      <w:bodyDiv w:val="1"/>
      <w:marLeft w:val="0"/>
      <w:marRight w:val="0"/>
      <w:marTop w:val="0"/>
      <w:marBottom w:val="0"/>
      <w:divBdr>
        <w:top w:val="none" w:sz="0" w:space="0" w:color="auto"/>
        <w:left w:val="none" w:sz="0" w:space="0" w:color="auto"/>
        <w:bottom w:val="none" w:sz="0" w:space="0" w:color="auto"/>
        <w:right w:val="none" w:sz="0" w:space="0" w:color="auto"/>
      </w:divBdr>
      <w:divsChild>
        <w:div w:id="152993572">
          <w:marLeft w:val="0"/>
          <w:marRight w:val="0"/>
          <w:marTop w:val="0"/>
          <w:marBottom w:val="0"/>
          <w:divBdr>
            <w:top w:val="none" w:sz="0" w:space="0" w:color="auto"/>
            <w:left w:val="none" w:sz="0" w:space="0" w:color="auto"/>
            <w:bottom w:val="none" w:sz="0" w:space="0" w:color="auto"/>
            <w:right w:val="none" w:sz="0" w:space="0" w:color="auto"/>
          </w:divBdr>
        </w:div>
        <w:div w:id="1822766487">
          <w:marLeft w:val="0"/>
          <w:marRight w:val="0"/>
          <w:marTop w:val="0"/>
          <w:marBottom w:val="0"/>
          <w:divBdr>
            <w:top w:val="none" w:sz="0" w:space="0" w:color="auto"/>
            <w:left w:val="none" w:sz="0" w:space="0" w:color="auto"/>
            <w:bottom w:val="none" w:sz="0" w:space="0" w:color="auto"/>
            <w:right w:val="none" w:sz="0" w:space="0" w:color="auto"/>
          </w:divBdr>
        </w:div>
      </w:divsChild>
    </w:div>
    <w:div w:id="1813329306">
      <w:bodyDiv w:val="1"/>
      <w:marLeft w:val="0"/>
      <w:marRight w:val="0"/>
      <w:marTop w:val="0"/>
      <w:marBottom w:val="0"/>
      <w:divBdr>
        <w:top w:val="none" w:sz="0" w:space="0" w:color="auto"/>
        <w:left w:val="none" w:sz="0" w:space="0" w:color="auto"/>
        <w:bottom w:val="none" w:sz="0" w:space="0" w:color="auto"/>
        <w:right w:val="none" w:sz="0" w:space="0" w:color="auto"/>
      </w:divBdr>
      <w:divsChild>
        <w:div w:id="75637951">
          <w:marLeft w:val="0"/>
          <w:marRight w:val="0"/>
          <w:marTop w:val="0"/>
          <w:marBottom w:val="0"/>
          <w:divBdr>
            <w:top w:val="none" w:sz="0" w:space="0" w:color="auto"/>
            <w:left w:val="none" w:sz="0" w:space="0" w:color="auto"/>
            <w:bottom w:val="none" w:sz="0" w:space="0" w:color="auto"/>
            <w:right w:val="none" w:sz="0" w:space="0" w:color="auto"/>
          </w:divBdr>
        </w:div>
        <w:div w:id="1252934757">
          <w:marLeft w:val="0"/>
          <w:marRight w:val="0"/>
          <w:marTop w:val="0"/>
          <w:marBottom w:val="0"/>
          <w:divBdr>
            <w:top w:val="none" w:sz="0" w:space="0" w:color="auto"/>
            <w:left w:val="none" w:sz="0" w:space="0" w:color="auto"/>
            <w:bottom w:val="none" w:sz="0" w:space="0" w:color="auto"/>
            <w:right w:val="none" w:sz="0" w:space="0" w:color="auto"/>
          </w:divBdr>
        </w:div>
      </w:divsChild>
    </w:div>
    <w:div w:id="1819572639">
      <w:bodyDiv w:val="1"/>
      <w:marLeft w:val="0"/>
      <w:marRight w:val="0"/>
      <w:marTop w:val="0"/>
      <w:marBottom w:val="0"/>
      <w:divBdr>
        <w:top w:val="none" w:sz="0" w:space="0" w:color="auto"/>
        <w:left w:val="none" w:sz="0" w:space="0" w:color="auto"/>
        <w:bottom w:val="none" w:sz="0" w:space="0" w:color="auto"/>
        <w:right w:val="none" w:sz="0" w:space="0" w:color="auto"/>
      </w:divBdr>
    </w:div>
    <w:div w:id="1854343414">
      <w:bodyDiv w:val="1"/>
      <w:marLeft w:val="0"/>
      <w:marRight w:val="0"/>
      <w:marTop w:val="0"/>
      <w:marBottom w:val="0"/>
      <w:divBdr>
        <w:top w:val="none" w:sz="0" w:space="0" w:color="auto"/>
        <w:left w:val="none" w:sz="0" w:space="0" w:color="auto"/>
        <w:bottom w:val="none" w:sz="0" w:space="0" w:color="auto"/>
        <w:right w:val="none" w:sz="0" w:space="0" w:color="auto"/>
      </w:divBdr>
      <w:divsChild>
        <w:div w:id="1832981293">
          <w:marLeft w:val="0"/>
          <w:marRight w:val="0"/>
          <w:marTop w:val="0"/>
          <w:marBottom w:val="0"/>
          <w:divBdr>
            <w:top w:val="none" w:sz="0" w:space="0" w:color="auto"/>
            <w:left w:val="none" w:sz="0" w:space="0" w:color="auto"/>
            <w:bottom w:val="none" w:sz="0" w:space="0" w:color="auto"/>
            <w:right w:val="none" w:sz="0" w:space="0" w:color="auto"/>
          </w:divBdr>
        </w:div>
        <w:div w:id="391272310">
          <w:marLeft w:val="0"/>
          <w:marRight w:val="0"/>
          <w:marTop w:val="0"/>
          <w:marBottom w:val="0"/>
          <w:divBdr>
            <w:top w:val="none" w:sz="0" w:space="0" w:color="auto"/>
            <w:left w:val="none" w:sz="0" w:space="0" w:color="auto"/>
            <w:bottom w:val="none" w:sz="0" w:space="0" w:color="auto"/>
            <w:right w:val="none" w:sz="0" w:space="0" w:color="auto"/>
          </w:divBdr>
        </w:div>
      </w:divsChild>
    </w:div>
    <w:div w:id="1858229867">
      <w:bodyDiv w:val="1"/>
      <w:marLeft w:val="0"/>
      <w:marRight w:val="0"/>
      <w:marTop w:val="0"/>
      <w:marBottom w:val="0"/>
      <w:divBdr>
        <w:top w:val="none" w:sz="0" w:space="0" w:color="auto"/>
        <w:left w:val="none" w:sz="0" w:space="0" w:color="auto"/>
        <w:bottom w:val="none" w:sz="0" w:space="0" w:color="auto"/>
        <w:right w:val="none" w:sz="0" w:space="0" w:color="auto"/>
      </w:divBdr>
    </w:div>
    <w:div w:id="1906989763">
      <w:bodyDiv w:val="1"/>
      <w:marLeft w:val="0"/>
      <w:marRight w:val="0"/>
      <w:marTop w:val="0"/>
      <w:marBottom w:val="0"/>
      <w:divBdr>
        <w:top w:val="none" w:sz="0" w:space="0" w:color="auto"/>
        <w:left w:val="none" w:sz="0" w:space="0" w:color="auto"/>
        <w:bottom w:val="none" w:sz="0" w:space="0" w:color="auto"/>
        <w:right w:val="none" w:sz="0" w:space="0" w:color="auto"/>
      </w:divBdr>
      <w:divsChild>
        <w:div w:id="2082436913">
          <w:marLeft w:val="0"/>
          <w:marRight w:val="0"/>
          <w:marTop w:val="0"/>
          <w:marBottom w:val="0"/>
          <w:divBdr>
            <w:top w:val="none" w:sz="0" w:space="0" w:color="auto"/>
            <w:left w:val="none" w:sz="0" w:space="0" w:color="auto"/>
            <w:bottom w:val="none" w:sz="0" w:space="0" w:color="auto"/>
            <w:right w:val="none" w:sz="0" w:space="0" w:color="auto"/>
          </w:divBdr>
        </w:div>
        <w:div w:id="946501760">
          <w:marLeft w:val="0"/>
          <w:marRight w:val="0"/>
          <w:marTop w:val="0"/>
          <w:marBottom w:val="0"/>
          <w:divBdr>
            <w:top w:val="none" w:sz="0" w:space="0" w:color="auto"/>
            <w:left w:val="none" w:sz="0" w:space="0" w:color="auto"/>
            <w:bottom w:val="none" w:sz="0" w:space="0" w:color="auto"/>
            <w:right w:val="none" w:sz="0" w:space="0" w:color="auto"/>
          </w:divBdr>
        </w:div>
      </w:divsChild>
    </w:div>
    <w:div w:id="1935437277">
      <w:bodyDiv w:val="1"/>
      <w:marLeft w:val="0"/>
      <w:marRight w:val="0"/>
      <w:marTop w:val="0"/>
      <w:marBottom w:val="0"/>
      <w:divBdr>
        <w:top w:val="none" w:sz="0" w:space="0" w:color="auto"/>
        <w:left w:val="none" w:sz="0" w:space="0" w:color="auto"/>
        <w:bottom w:val="none" w:sz="0" w:space="0" w:color="auto"/>
        <w:right w:val="none" w:sz="0" w:space="0" w:color="auto"/>
      </w:divBdr>
      <w:divsChild>
        <w:div w:id="1048339054">
          <w:marLeft w:val="0"/>
          <w:marRight w:val="0"/>
          <w:marTop w:val="0"/>
          <w:marBottom w:val="0"/>
          <w:divBdr>
            <w:top w:val="none" w:sz="0" w:space="0" w:color="auto"/>
            <w:left w:val="none" w:sz="0" w:space="0" w:color="auto"/>
            <w:bottom w:val="none" w:sz="0" w:space="0" w:color="auto"/>
            <w:right w:val="none" w:sz="0" w:space="0" w:color="auto"/>
          </w:divBdr>
        </w:div>
        <w:div w:id="715855653">
          <w:marLeft w:val="0"/>
          <w:marRight w:val="0"/>
          <w:marTop w:val="0"/>
          <w:marBottom w:val="0"/>
          <w:divBdr>
            <w:top w:val="none" w:sz="0" w:space="0" w:color="auto"/>
            <w:left w:val="none" w:sz="0" w:space="0" w:color="auto"/>
            <w:bottom w:val="none" w:sz="0" w:space="0" w:color="auto"/>
            <w:right w:val="none" w:sz="0" w:space="0" w:color="auto"/>
          </w:divBdr>
        </w:div>
      </w:divsChild>
    </w:div>
    <w:div w:id="1959334712">
      <w:bodyDiv w:val="1"/>
      <w:marLeft w:val="0"/>
      <w:marRight w:val="0"/>
      <w:marTop w:val="0"/>
      <w:marBottom w:val="0"/>
      <w:divBdr>
        <w:top w:val="none" w:sz="0" w:space="0" w:color="auto"/>
        <w:left w:val="none" w:sz="0" w:space="0" w:color="auto"/>
        <w:bottom w:val="none" w:sz="0" w:space="0" w:color="auto"/>
        <w:right w:val="none" w:sz="0" w:space="0" w:color="auto"/>
      </w:divBdr>
      <w:divsChild>
        <w:div w:id="1826778859">
          <w:marLeft w:val="0"/>
          <w:marRight w:val="0"/>
          <w:marTop w:val="0"/>
          <w:marBottom w:val="0"/>
          <w:divBdr>
            <w:top w:val="none" w:sz="0" w:space="0" w:color="auto"/>
            <w:left w:val="none" w:sz="0" w:space="0" w:color="auto"/>
            <w:bottom w:val="none" w:sz="0" w:space="0" w:color="auto"/>
            <w:right w:val="none" w:sz="0" w:space="0" w:color="auto"/>
          </w:divBdr>
        </w:div>
        <w:div w:id="585963681">
          <w:marLeft w:val="0"/>
          <w:marRight w:val="0"/>
          <w:marTop w:val="0"/>
          <w:marBottom w:val="0"/>
          <w:divBdr>
            <w:top w:val="none" w:sz="0" w:space="0" w:color="auto"/>
            <w:left w:val="none" w:sz="0" w:space="0" w:color="auto"/>
            <w:bottom w:val="none" w:sz="0" w:space="0" w:color="auto"/>
            <w:right w:val="none" w:sz="0" w:space="0" w:color="auto"/>
          </w:divBdr>
        </w:div>
      </w:divsChild>
    </w:div>
    <w:div w:id="1974943455">
      <w:bodyDiv w:val="1"/>
      <w:marLeft w:val="0"/>
      <w:marRight w:val="0"/>
      <w:marTop w:val="0"/>
      <w:marBottom w:val="0"/>
      <w:divBdr>
        <w:top w:val="none" w:sz="0" w:space="0" w:color="auto"/>
        <w:left w:val="none" w:sz="0" w:space="0" w:color="auto"/>
        <w:bottom w:val="none" w:sz="0" w:space="0" w:color="auto"/>
        <w:right w:val="none" w:sz="0" w:space="0" w:color="auto"/>
      </w:divBdr>
      <w:divsChild>
        <w:div w:id="1859656004">
          <w:marLeft w:val="0"/>
          <w:marRight w:val="0"/>
          <w:marTop w:val="0"/>
          <w:marBottom w:val="0"/>
          <w:divBdr>
            <w:top w:val="none" w:sz="0" w:space="0" w:color="auto"/>
            <w:left w:val="none" w:sz="0" w:space="0" w:color="auto"/>
            <w:bottom w:val="none" w:sz="0" w:space="0" w:color="auto"/>
            <w:right w:val="none" w:sz="0" w:space="0" w:color="auto"/>
          </w:divBdr>
        </w:div>
      </w:divsChild>
    </w:div>
    <w:div w:id="2011524621">
      <w:bodyDiv w:val="1"/>
      <w:marLeft w:val="0"/>
      <w:marRight w:val="0"/>
      <w:marTop w:val="0"/>
      <w:marBottom w:val="0"/>
      <w:divBdr>
        <w:top w:val="none" w:sz="0" w:space="0" w:color="auto"/>
        <w:left w:val="none" w:sz="0" w:space="0" w:color="auto"/>
        <w:bottom w:val="none" w:sz="0" w:space="0" w:color="auto"/>
        <w:right w:val="none" w:sz="0" w:space="0" w:color="auto"/>
      </w:divBdr>
      <w:divsChild>
        <w:div w:id="189615476">
          <w:marLeft w:val="0"/>
          <w:marRight w:val="0"/>
          <w:marTop w:val="0"/>
          <w:marBottom w:val="0"/>
          <w:divBdr>
            <w:top w:val="none" w:sz="0" w:space="0" w:color="auto"/>
            <w:left w:val="none" w:sz="0" w:space="0" w:color="auto"/>
            <w:bottom w:val="none" w:sz="0" w:space="0" w:color="auto"/>
            <w:right w:val="none" w:sz="0" w:space="0" w:color="auto"/>
          </w:divBdr>
        </w:div>
        <w:div w:id="1148322239">
          <w:marLeft w:val="0"/>
          <w:marRight w:val="0"/>
          <w:marTop w:val="0"/>
          <w:marBottom w:val="0"/>
          <w:divBdr>
            <w:top w:val="none" w:sz="0" w:space="0" w:color="auto"/>
            <w:left w:val="none" w:sz="0" w:space="0" w:color="auto"/>
            <w:bottom w:val="none" w:sz="0" w:space="0" w:color="auto"/>
            <w:right w:val="none" w:sz="0" w:space="0" w:color="auto"/>
          </w:divBdr>
        </w:div>
      </w:divsChild>
    </w:div>
    <w:div w:id="2014987406">
      <w:bodyDiv w:val="1"/>
      <w:marLeft w:val="0"/>
      <w:marRight w:val="0"/>
      <w:marTop w:val="0"/>
      <w:marBottom w:val="0"/>
      <w:divBdr>
        <w:top w:val="none" w:sz="0" w:space="0" w:color="auto"/>
        <w:left w:val="none" w:sz="0" w:space="0" w:color="auto"/>
        <w:bottom w:val="none" w:sz="0" w:space="0" w:color="auto"/>
        <w:right w:val="none" w:sz="0" w:space="0" w:color="auto"/>
      </w:divBdr>
      <w:divsChild>
        <w:div w:id="1337070928">
          <w:marLeft w:val="0"/>
          <w:marRight w:val="0"/>
          <w:marTop w:val="0"/>
          <w:marBottom w:val="0"/>
          <w:divBdr>
            <w:top w:val="none" w:sz="0" w:space="0" w:color="auto"/>
            <w:left w:val="none" w:sz="0" w:space="0" w:color="auto"/>
            <w:bottom w:val="none" w:sz="0" w:space="0" w:color="auto"/>
            <w:right w:val="none" w:sz="0" w:space="0" w:color="auto"/>
          </w:divBdr>
        </w:div>
        <w:div w:id="1970891156">
          <w:marLeft w:val="0"/>
          <w:marRight w:val="0"/>
          <w:marTop w:val="0"/>
          <w:marBottom w:val="0"/>
          <w:divBdr>
            <w:top w:val="none" w:sz="0" w:space="0" w:color="auto"/>
            <w:left w:val="none" w:sz="0" w:space="0" w:color="auto"/>
            <w:bottom w:val="none" w:sz="0" w:space="0" w:color="auto"/>
            <w:right w:val="none" w:sz="0" w:space="0" w:color="auto"/>
          </w:divBdr>
        </w:div>
      </w:divsChild>
    </w:div>
    <w:div w:id="2026322480">
      <w:bodyDiv w:val="1"/>
      <w:marLeft w:val="0"/>
      <w:marRight w:val="0"/>
      <w:marTop w:val="0"/>
      <w:marBottom w:val="0"/>
      <w:divBdr>
        <w:top w:val="none" w:sz="0" w:space="0" w:color="auto"/>
        <w:left w:val="none" w:sz="0" w:space="0" w:color="auto"/>
        <w:bottom w:val="none" w:sz="0" w:space="0" w:color="auto"/>
        <w:right w:val="none" w:sz="0" w:space="0" w:color="auto"/>
      </w:divBdr>
      <w:divsChild>
        <w:div w:id="1678001049">
          <w:marLeft w:val="0"/>
          <w:marRight w:val="0"/>
          <w:marTop w:val="0"/>
          <w:marBottom w:val="0"/>
          <w:divBdr>
            <w:top w:val="none" w:sz="0" w:space="0" w:color="auto"/>
            <w:left w:val="none" w:sz="0" w:space="0" w:color="auto"/>
            <w:bottom w:val="none" w:sz="0" w:space="0" w:color="auto"/>
            <w:right w:val="none" w:sz="0" w:space="0" w:color="auto"/>
          </w:divBdr>
        </w:div>
        <w:div w:id="1387878826">
          <w:marLeft w:val="0"/>
          <w:marRight w:val="0"/>
          <w:marTop w:val="0"/>
          <w:marBottom w:val="0"/>
          <w:divBdr>
            <w:top w:val="none" w:sz="0" w:space="0" w:color="auto"/>
            <w:left w:val="none" w:sz="0" w:space="0" w:color="auto"/>
            <w:bottom w:val="none" w:sz="0" w:space="0" w:color="auto"/>
            <w:right w:val="none" w:sz="0" w:space="0" w:color="auto"/>
          </w:divBdr>
        </w:div>
      </w:divsChild>
    </w:div>
    <w:div w:id="2073192393">
      <w:bodyDiv w:val="1"/>
      <w:marLeft w:val="0"/>
      <w:marRight w:val="0"/>
      <w:marTop w:val="0"/>
      <w:marBottom w:val="0"/>
      <w:divBdr>
        <w:top w:val="none" w:sz="0" w:space="0" w:color="auto"/>
        <w:left w:val="none" w:sz="0" w:space="0" w:color="auto"/>
        <w:bottom w:val="none" w:sz="0" w:space="0" w:color="auto"/>
        <w:right w:val="none" w:sz="0" w:space="0" w:color="auto"/>
      </w:divBdr>
      <w:divsChild>
        <w:div w:id="1018579272">
          <w:marLeft w:val="0"/>
          <w:marRight w:val="0"/>
          <w:marTop w:val="0"/>
          <w:marBottom w:val="0"/>
          <w:divBdr>
            <w:top w:val="none" w:sz="0" w:space="0" w:color="auto"/>
            <w:left w:val="none" w:sz="0" w:space="0" w:color="auto"/>
            <w:bottom w:val="none" w:sz="0" w:space="0" w:color="auto"/>
            <w:right w:val="none" w:sz="0" w:space="0" w:color="auto"/>
          </w:divBdr>
        </w:div>
        <w:div w:id="120808378">
          <w:marLeft w:val="0"/>
          <w:marRight w:val="0"/>
          <w:marTop w:val="0"/>
          <w:marBottom w:val="0"/>
          <w:divBdr>
            <w:top w:val="none" w:sz="0" w:space="0" w:color="auto"/>
            <w:left w:val="none" w:sz="0" w:space="0" w:color="auto"/>
            <w:bottom w:val="none" w:sz="0" w:space="0" w:color="auto"/>
            <w:right w:val="none" w:sz="0" w:space="0" w:color="auto"/>
          </w:divBdr>
        </w:div>
      </w:divsChild>
    </w:div>
    <w:div w:id="2086492997">
      <w:bodyDiv w:val="1"/>
      <w:marLeft w:val="0"/>
      <w:marRight w:val="0"/>
      <w:marTop w:val="0"/>
      <w:marBottom w:val="0"/>
      <w:divBdr>
        <w:top w:val="none" w:sz="0" w:space="0" w:color="auto"/>
        <w:left w:val="none" w:sz="0" w:space="0" w:color="auto"/>
        <w:bottom w:val="none" w:sz="0" w:space="0" w:color="auto"/>
        <w:right w:val="none" w:sz="0" w:space="0" w:color="auto"/>
      </w:divBdr>
      <w:divsChild>
        <w:div w:id="1849099823">
          <w:marLeft w:val="0"/>
          <w:marRight w:val="0"/>
          <w:marTop w:val="0"/>
          <w:marBottom w:val="0"/>
          <w:divBdr>
            <w:top w:val="none" w:sz="0" w:space="0" w:color="auto"/>
            <w:left w:val="none" w:sz="0" w:space="0" w:color="auto"/>
            <w:bottom w:val="none" w:sz="0" w:space="0" w:color="auto"/>
            <w:right w:val="none" w:sz="0" w:space="0" w:color="auto"/>
          </w:divBdr>
        </w:div>
        <w:div w:id="1965964299">
          <w:marLeft w:val="0"/>
          <w:marRight w:val="0"/>
          <w:marTop w:val="0"/>
          <w:marBottom w:val="0"/>
          <w:divBdr>
            <w:top w:val="none" w:sz="0" w:space="0" w:color="auto"/>
            <w:left w:val="none" w:sz="0" w:space="0" w:color="auto"/>
            <w:bottom w:val="none" w:sz="0" w:space="0" w:color="auto"/>
            <w:right w:val="none" w:sz="0" w:space="0" w:color="auto"/>
          </w:divBdr>
        </w:div>
      </w:divsChild>
    </w:div>
    <w:div w:id="2090228498">
      <w:bodyDiv w:val="1"/>
      <w:marLeft w:val="0"/>
      <w:marRight w:val="0"/>
      <w:marTop w:val="0"/>
      <w:marBottom w:val="0"/>
      <w:divBdr>
        <w:top w:val="none" w:sz="0" w:space="0" w:color="auto"/>
        <w:left w:val="none" w:sz="0" w:space="0" w:color="auto"/>
        <w:bottom w:val="none" w:sz="0" w:space="0" w:color="auto"/>
        <w:right w:val="none" w:sz="0" w:space="0" w:color="auto"/>
      </w:divBdr>
      <w:divsChild>
        <w:div w:id="155655795">
          <w:marLeft w:val="0"/>
          <w:marRight w:val="0"/>
          <w:marTop w:val="0"/>
          <w:marBottom w:val="0"/>
          <w:divBdr>
            <w:top w:val="none" w:sz="0" w:space="0" w:color="auto"/>
            <w:left w:val="none" w:sz="0" w:space="0" w:color="auto"/>
            <w:bottom w:val="none" w:sz="0" w:space="0" w:color="auto"/>
            <w:right w:val="none" w:sz="0" w:space="0" w:color="auto"/>
          </w:divBdr>
        </w:div>
        <w:div w:id="373390745">
          <w:marLeft w:val="0"/>
          <w:marRight w:val="0"/>
          <w:marTop w:val="0"/>
          <w:marBottom w:val="0"/>
          <w:divBdr>
            <w:top w:val="none" w:sz="0" w:space="0" w:color="auto"/>
            <w:left w:val="none" w:sz="0" w:space="0" w:color="auto"/>
            <w:bottom w:val="none" w:sz="0" w:space="0" w:color="auto"/>
            <w:right w:val="none" w:sz="0" w:space="0" w:color="auto"/>
          </w:divBdr>
        </w:div>
      </w:divsChild>
    </w:div>
    <w:div w:id="2117283951">
      <w:bodyDiv w:val="1"/>
      <w:marLeft w:val="0"/>
      <w:marRight w:val="0"/>
      <w:marTop w:val="0"/>
      <w:marBottom w:val="0"/>
      <w:divBdr>
        <w:top w:val="none" w:sz="0" w:space="0" w:color="auto"/>
        <w:left w:val="none" w:sz="0" w:space="0" w:color="auto"/>
        <w:bottom w:val="none" w:sz="0" w:space="0" w:color="auto"/>
        <w:right w:val="none" w:sz="0" w:space="0" w:color="auto"/>
      </w:divBdr>
      <w:divsChild>
        <w:div w:id="511798770">
          <w:marLeft w:val="0"/>
          <w:marRight w:val="0"/>
          <w:marTop w:val="0"/>
          <w:marBottom w:val="0"/>
          <w:divBdr>
            <w:top w:val="none" w:sz="0" w:space="0" w:color="auto"/>
            <w:left w:val="none" w:sz="0" w:space="0" w:color="auto"/>
            <w:bottom w:val="none" w:sz="0" w:space="0" w:color="auto"/>
            <w:right w:val="none" w:sz="0" w:space="0" w:color="auto"/>
          </w:divBdr>
        </w:div>
        <w:div w:id="419831767">
          <w:marLeft w:val="0"/>
          <w:marRight w:val="0"/>
          <w:marTop w:val="0"/>
          <w:marBottom w:val="0"/>
          <w:divBdr>
            <w:top w:val="none" w:sz="0" w:space="0" w:color="auto"/>
            <w:left w:val="none" w:sz="0" w:space="0" w:color="auto"/>
            <w:bottom w:val="none" w:sz="0" w:space="0" w:color="auto"/>
            <w:right w:val="none" w:sz="0" w:space="0" w:color="auto"/>
          </w:divBdr>
        </w:div>
      </w:divsChild>
    </w:div>
    <w:div w:id="2137675227">
      <w:bodyDiv w:val="1"/>
      <w:marLeft w:val="0"/>
      <w:marRight w:val="0"/>
      <w:marTop w:val="0"/>
      <w:marBottom w:val="0"/>
      <w:divBdr>
        <w:top w:val="none" w:sz="0" w:space="0" w:color="auto"/>
        <w:left w:val="none" w:sz="0" w:space="0" w:color="auto"/>
        <w:bottom w:val="none" w:sz="0" w:space="0" w:color="auto"/>
        <w:right w:val="none" w:sz="0" w:space="0" w:color="auto"/>
      </w:divBdr>
      <w:divsChild>
        <w:div w:id="1866560212">
          <w:marLeft w:val="0"/>
          <w:marRight w:val="0"/>
          <w:marTop w:val="0"/>
          <w:marBottom w:val="0"/>
          <w:divBdr>
            <w:top w:val="none" w:sz="0" w:space="0" w:color="auto"/>
            <w:left w:val="none" w:sz="0" w:space="0" w:color="auto"/>
            <w:bottom w:val="none" w:sz="0" w:space="0" w:color="auto"/>
            <w:right w:val="none" w:sz="0" w:space="0" w:color="auto"/>
          </w:divBdr>
        </w:div>
        <w:div w:id="95637049">
          <w:marLeft w:val="0"/>
          <w:marRight w:val="0"/>
          <w:marTop w:val="0"/>
          <w:marBottom w:val="0"/>
          <w:divBdr>
            <w:top w:val="none" w:sz="0" w:space="0" w:color="auto"/>
            <w:left w:val="none" w:sz="0" w:space="0" w:color="auto"/>
            <w:bottom w:val="none" w:sz="0" w:space="0" w:color="auto"/>
            <w:right w:val="none" w:sz="0" w:space="0" w:color="auto"/>
          </w:divBdr>
        </w:div>
      </w:divsChild>
    </w:div>
    <w:div w:id="21412639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8.jpeg"/><Relationship Id="rId299" Type="http://schemas.openxmlformats.org/officeDocument/2006/relationships/image" Target="media/image247.png"/><Relationship Id="rId21" Type="http://schemas.openxmlformats.org/officeDocument/2006/relationships/image" Target="media/image12.jpeg"/><Relationship Id="rId63" Type="http://schemas.openxmlformats.org/officeDocument/2006/relationships/image" Target="media/image52.jpeg"/><Relationship Id="rId159" Type="http://schemas.openxmlformats.org/officeDocument/2006/relationships/image" Target="media/image281.png"/><Relationship Id="rId324" Type="http://schemas.openxmlformats.org/officeDocument/2006/relationships/image" Target="media/image270.jpeg"/><Relationship Id="rId366" Type="http://schemas.openxmlformats.org/officeDocument/2006/relationships/image" Target="media/image312.jpeg"/><Relationship Id="rId170" Type="http://schemas.openxmlformats.org/officeDocument/2006/relationships/hyperlink" Target="https://fr.wikipedia.org/wiki/%E2%99%82" TargetMode="External"/><Relationship Id="rId226" Type="http://schemas.openxmlformats.org/officeDocument/2006/relationships/image" Target="media/image178.jpeg"/><Relationship Id="rId268" Type="http://schemas.openxmlformats.org/officeDocument/2006/relationships/image" Target="media/image219.png"/><Relationship Id="rId32" Type="http://schemas.openxmlformats.org/officeDocument/2006/relationships/image" Target="media/image22.jpeg"/><Relationship Id="rId74" Type="http://schemas.openxmlformats.org/officeDocument/2006/relationships/image" Target="media/image59.jpeg"/><Relationship Id="rId128" Type="http://schemas.openxmlformats.org/officeDocument/2006/relationships/image" Target="media/image109.png"/><Relationship Id="rId335" Type="http://schemas.openxmlformats.org/officeDocument/2006/relationships/image" Target="media/image282.PNG"/><Relationship Id="rId377" Type="http://schemas.openxmlformats.org/officeDocument/2006/relationships/image" Target="media/image320.gif"/><Relationship Id="rId5" Type="http://schemas.openxmlformats.org/officeDocument/2006/relationships/settings" Target="settings.xml"/><Relationship Id="rId181" Type="http://schemas.openxmlformats.org/officeDocument/2006/relationships/image" Target="media/image142.jpeg"/><Relationship Id="rId237" Type="http://schemas.openxmlformats.org/officeDocument/2006/relationships/image" Target="media/image187.jpeg"/><Relationship Id="rId402" Type="http://schemas.openxmlformats.org/officeDocument/2006/relationships/image" Target="media/image341.jpeg"/><Relationship Id="rId279" Type="http://schemas.openxmlformats.org/officeDocument/2006/relationships/image" Target="media/image1970.jpeg"/><Relationship Id="rId43" Type="http://schemas.openxmlformats.org/officeDocument/2006/relationships/image" Target="media/image33.jpeg"/><Relationship Id="rId139" Type="http://schemas.openxmlformats.org/officeDocument/2006/relationships/image" Target="media/image118.jpeg"/><Relationship Id="rId290" Type="http://schemas.openxmlformats.org/officeDocument/2006/relationships/image" Target="media/image238.jpeg"/><Relationship Id="rId304" Type="http://schemas.openxmlformats.org/officeDocument/2006/relationships/image" Target="media/image259.gif"/><Relationship Id="rId346" Type="http://schemas.openxmlformats.org/officeDocument/2006/relationships/image" Target="media/image290.jpeg"/><Relationship Id="rId388" Type="http://schemas.openxmlformats.org/officeDocument/2006/relationships/image" Target="media/image327.jpeg"/><Relationship Id="rId85" Type="http://schemas.openxmlformats.org/officeDocument/2006/relationships/image" Target="media/image68.jpeg"/><Relationship Id="rId150" Type="http://schemas.openxmlformats.org/officeDocument/2006/relationships/hyperlink" Target="https://fr.wikipedia.org/wiki/%E2%99%82" TargetMode="External"/><Relationship Id="rId192" Type="http://schemas.openxmlformats.org/officeDocument/2006/relationships/image" Target="media/image148.png"/><Relationship Id="rId206" Type="http://schemas.openxmlformats.org/officeDocument/2006/relationships/image" Target="media/image159.png"/><Relationship Id="rId413" Type="http://schemas.openxmlformats.org/officeDocument/2006/relationships/theme" Target="theme/theme1.xml"/><Relationship Id="rId248" Type="http://schemas.openxmlformats.org/officeDocument/2006/relationships/image" Target="media/image198.jpeg"/><Relationship Id="rId12" Type="http://schemas.openxmlformats.org/officeDocument/2006/relationships/image" Target="media/image4.jpeg"/><Relationship Id="rId108" Type="http://schemas.openxmlformats.org/officeDocument/2006/relationships/image" Target="media/image86.jpeg"/><Relationship Id="rId315" Type="http://schemas.openxmlformats.org/officeDocument/2006/relationships/image" Target="media/image261.jpeg"/><Relationship Id="rId357" Type="http://schemas.openxmlformats.org/officeDocument/2006/relationships/image" Target="media/image299.png"/><Relationship Id="rId54" Type="http://schemas.openxmlformats.org/officeDocument/2006/relationships/image" Target="media/image44.PNG"/><Relationship Id="rId96" Type="http://schemas.openxmlformats.org/officeDocument/2006/relationships/image" Target="media/image81.jpeg"/><Relationship Id="rId161" Type="http://schemas.openxmlformats.org/officeDocument/2006/relationships/image" Target="media/image133.png"/><Relationship Id="rId217" Type="http://schemas.openxmlformats.org/officeDocument/2006/relationships/image" Target="media/image169.png"/><Relationship Id="rId399" Type="http://schemas.openxmlformats.org/officeDocument/2006/relationships/image" Target="media/image338.jpeg"/><Relationship Id="rId259" Type="http://schemas.openxmlformats.org/officeDocument/2006/relationships/image" Target="media/image208.PNG"/><Relationship Id="rId23" Type="http://schemas.openxmlformats.org/officeDocument/2006/relationships/image" Target="media/image14.jpeg"/><Relationship Id="rId119" Type="http://schemas.openxmlformats.org/officeDocument/2006/relationships/image" Target="media/image100.jpeg"/><Relationship Id="rId270" Type="http://schemas.openxmlformats.org/officeDocument/2006/relationships/image" Target="media/image221.PNG"/><Relationship Id="rId326" Type="http://schemas.openxmlformats.org/officeDocument/2006/relationships/image" Target="media/image272.png"/><Relationship Id="rId65" Type="http://schemas.openxmlformats.org/officeDocument/2006/relationships/image" Target="media/image54.jpeg"/><Relationship Id="rId130" Type="http://schemas.openxmlformats.org/officeDocument/2006/relationships/image" Target="media/image111.jpeg"/><Relationship Id="rId368" Type="http://schemas.openxmlformats.org/officeDocument/2006/relationships/image" Target="media/image314.jpeg"/><Relationship Id="rId172" Type="http://schemas.openxmlformats.org/officeDocument/2006/relationships/image" Target="media/image138.png"/><Relationship Id="rId228" Type="http://schemas.openxmlformats.org/officeDocument/2006/relationships/image" Target="media/image180.jpeg"/><Relationship Id="rId281" Type="http://schemas.openxmlformats.org/officeDocument/2006/relationships/image" Target="media/image229.jpeg"/><Relationship Id="rId337" Type="http://schemas.openxmlformats.org/officeDocument/2006/relationships/image" Target="media/image284.PNG"/><Relationship Id="rId34" Type="http://schemas.openxmlformats.org/officeDocument/2006/relationships/image" Target="media/image24.png"/><Relationship Id="rId76" Type="http://schemas.openxmlformats.org/officeDocument/2006/relationships/image" Target="media/image310.jpeg"/><Relationship Id="rId141" Type="http://schemas.openxmlformats.org/officeDocument/2006/relationships/image" Target="media/image120.gif"/><Relationship Id="rId379" Type="http://schemas.openxmlformats.org/officeDocument/2006/relationships/image" Target="media/image322.png"/><Relationship Id="rId7" Type="http://schemas.openxmlformats.org/officeDocument/2006/relationships/footnotes" Target="footnotes.xml"/><Relationship Id="rId183" Type="http://schemas.openxmlformats.org/officeDocument/2006/relationships/image" Target="media/image143.jpeg"/><Relationship Id="rId239" Type="http://schemas.openxmlformats.org/officeDocument/2006/relationships/image" Target="media/image189.jpeg"/><Relationship Id="rId390" Type="http://schemas.openxmlformats.org/officeDocument/2006/relationships/image" Target="media/image329.jpeg"/><Relationship Id="rId404" Type="http://schemas.openxmlformats.org/officeDocument/2006/relationships/image" Target="media/image343.jpeg"/><Relationship Id="rId250" Type="http://schemas.openxmlformats.org/officeDocument/2006/relationships/image" Target="media/image200.jpeg"/><Relationship Id="rId292" Type="http://schemas.openxmlformats.org/officeDocument/2006/relationships/image" Target="media/image240.jpeg"/><Relationship Id="rId306" Type="http://schemas.openxmlformats.org/officeDocument/2006/relationships/image" Target="media/image261.gif"/><Relationship Id="rId45" Type="http://schemas.openxmlformats.org/officeDocument/2006/relationships/image" Target="media/image35.jpeg"/><Relationship Id="rId87" Type="http://schemas.openxmlformats.org/officeDocument/2006/relationships/image" Target="media/image70.jpeg"/><Relationship Id="rId110" Type="http://schemas.openxmlformats.org/officeDocument/2006/relationships/image" Target="media/image88.jpeg"/><Relationship Id="rId348" Type="http://schemas.openxmlformats.org/officeDocument/2006/relationships/image" Target="media/image303.jpeg"/><Relationship Id="rId152" Type="http://schemas.openxmlformats.org/officeDocument/2006/relationships/image" Target="media/image128.png"/><Relationship Id="rId194" Type="http://schemas.openxmlformats.org/officeDocument/2006/relationships/image" Target="media/image150.jpeg"/><Relationship Id="rId208" Type="http://schemas.openxmlformats.org/officeDocument/2006/relationships/image" Target="media/image161.jpeg"/><Relationship Id="rId261" Type="http://schemas.openxmlformats.org/officeDocument/2006/relationships/image" Target="media/image211.jpeg"/><Relationship Id="rId14" Type="http://schemas.openxmlformats.org/officeDocument/2006/relationships/image" Target="media/image5.jpeg"/><Relationship Id="rId56" Type="http://schemas.openxmlformats.org/officeDocument/2006/relationships/image" Target="media/image46.PNG"/><Relationship Id="rId317" Type="http://schemas.openxmlformats.org/officeDocument/2006/relationships/image" Target="media/image263.jpeg"/><Relationship Id="rId359" Type="http://schemas.openxmlformats.org/officeDocument/2006/relationships/image" Target="media/image302.png"/><Relationship Id="rId98" Type="http://schemas.openxmlformats.org/officeDocument/2006/relationships/image" Target="media/image77.jpeg"/><Relationship Id="rId121" Type="http://schemas.openxmlformats.org/officeDocument/2006/relationships/image" Target="media/image102.jpeg"/><Relationship Id="rId163" Type="http://schemas.openxmlformats.org/officeDocument/2006/relationships/image" Target="media/image135.png"/><Relationship Id="rId219" Type="http://schemas.openxmlformats.org/officeDocument/2006/relationships/image" Target="media/image171.jpeg"/><Relationship Id="rId370" Type="http://schemas.openxmlformats.org/officeDocument/2006/relationships/hyperlink" Target="https://fr.wikipedia.org/wiki/%E2%99%82" TargetMode="External"/><Relationship Id="rId230" Type="http://schemas.openxmlformats.org/officeDocument/2006/relationships/image" Target="media/image182.PNG"/><Relationship Id="rId25" Type="http://schemas.openxmlformats.org/officeDocument/2006/relationships/image" Target="media/image16.PNG"/><Relationship Id="rId67" Type="http://schemas.openxmlformats.org/officeDocument/2006/relationships/image" Target="media/image210.jpeg"/><Relationship Id="rId272" Type="http://schemas.openxmlformats.org/officeDocument/2006/relationships/image" Target="media/image223.png"/><Relationship Id="rId328" Type="http://schemas.openxmlformats.org/officeDocument/2006/relationships/image" Target="media/image274.gif"/><Relationship Id="rId132" Type="http://schemas.openxmlformats.org/officeDocument/2006/relationships/image" Target="media/image113.jpeg"/><Relationship Id="rId174" Type="http://schemas.openxmlformats.org/officeDocument/2006/relationships/image" Target="media/image144.jpeg"/><Relationship Id="rId381" Type="http://schemas.openxmlformats.org/officeDocument/2006/relationships/image" Target="media/image324.jpeg"/><Relationship Id="rId241" Type="http://schemas.openxmlformats.org/officeDocument/2006/relationships/image" Target="media/image191.PNG"/><Relationship Id="rId36" Type="http://schemas.openxmlformats.org/officeDocument/2006/relationships/image" Target="media/image26.jpeg"/><Relationship Id="rId283" Type="http://schemas.openxmlformats.org/officeDocument/2006/relationships/image" Target="media/image231.jpeg"/><Relationship Id="rId339" Type="http://schemas.openxmlformats.org/officeDocument/2006/relationships/image" Target="media/image285.jpeg"/><Relationship Id="rId78" Type="http://schemas.openxmlformats.org/officeDocument/2006/relationships/image" Target="media/image61.jpeg"/><Relationship Id="rId101" Type="http://schemas.openxmlformats.org/officeDocument/2006/relationships/image" Target="media/image82.jpeg"/><Relationship Id="rId143" Type="http://schemas.openxmlformats.org/officeDocument/2006/relationships/image" Target="media/image122.gif"/><Relationship Id="rId185" Type="http://schemas.openxmlformats.org/officeDocument/2006/relationships/hyperlink" Target="https://fr.wikipedia.org/wiki/%E2%99%82" TargetMode="External"/><Relationship Id="rId350" Type="http://schemas.openxmlformats.org/officeDocument/2006/relationships/image" Target="media/image292.jpeg"/><Relationship Id="rId406" Type="http://schemas.openxmlformats.org/officeDocument/2006/relationships/image" Target="media/image345.gif"/><Relationship Id="rId9" Type="http://schemas.openxmlformats.org/officeDocument/2006/relationships/image" Target="media/image1.png"/><Relationship Id="rId210" Type="http://schemas.openxmlformats.org/officeDocument/2006/relationships/image" Target="media/image162.PNG"/><Relationship Id="rId392" Type="http://schemas.openxmlformats.org/officeDocument/2006/relationships/image" Target="media/image331.png"/><Relationship Id="rId252" Type="http://schemas.openxmlformats.org/officeDocument/2006/relationships/image" Target="media/image202.jpeg"/><Relationship Id="rId294" Type="http://schemas.openxmlformats.org/officeDocument/2006/relationships/image" Target="media/image242.png"/><Relationship Id="rId308" Type="http://schemas.openxmlformats.org/officeDocument/2006/relationships/image" Target="media/image252.png"/><Relationship Id="rId47" Type="http://schemas.openxmlformats.org/officeDocument/2006/relationships/image" Target="media/image37.jpeg"/><Relationship Id="rId89" Type="http://schemas.openxmlformats.org/officeDocument/2006/relationships/image" Target="media/image71.jpeg"/><Relationship Id="rId112" Type="http://schemas.openxmlformats.org/officeDocument/2006/relationships/image" Target="media/image93.jpeg"/><Relationship Id="rId154" Type="http://schemas.openxmlformats.org/officeDocument/2006/relationships/image" Target="media/image130.png"/><Relationship Id="rId361" Type="http://schemas.openxmlformats.org/officeDocument/2006/relationships/image" Target="media/image306.png"/><Relationship Id="rId196" Type="http://schemas.openxmlformats.org/officeDocument/2006/relationships/image" Target="media/image152.PNG"/><Relationship Id="rId16" Type="http://schemas.openxmlformats.org/officeDocument/2006/relationships/image" Target="media/image7.jpeg"/><Relationship Id="rId221" Type="http://schemas.openxmlformats.org/officeDocument/2006/relationships/image" Target="media/image173.png"/><Relationship Id="rId263" Type="http://schemas.openxmlformats.org/officeDocument/2006/relationships/image" Target="media/image213.png"/><Relationship Id="rId319" Type="http://schemas.openxmlformats.org/officeDocument/2006/relationships/image" Target="media/image265.jpeg"/><Relationship Id="rId58" Type="http://schemas.openxmlformats.org/officeDocument/2006/relationships/image" Target="media/image48.jpeg"/><Relationship Id="rId123" Type="http://schemas.openxmlformats.org/officeDocument/2006/relationships/image" Target="media/image104.jpeg"/><Relationship Id="rId330" Type="http://schemas.openxmlformats.org/officeDocument/2006/relationships/image" Target="media/image276.jpeg"/><Relationship Id="rId165" Type="http://schemas.openxmlformats.org/officeDocument/2006/relationships/image" Target="media/image270.png"/><Relationship Id="rId372" Type="http://schemas.openxmlformats.org/officeDocument/2006/relationships/image" Target="media/image315.jpeg"/><Relationship Id="rId232" Type="http://schemas.openxmlformats.org/officeDocument/2006/relationships/image" Target="media/image183.jpeg"/><Relationship Id="rId274" Type="http://schemas.openxmlformats.org/officeDocument/2006/relationships/image" Target="media/image225.jpeg"/><Relationship Id="rId27" Type="http://schemas.openxmlformats.org/officeDocument/2006/relationships/image" Target="media/image18.gif"/><Relationship Id="rId69" Type="http://schemas.openxmlformats.org/officeDocument/2006/relationships/image" Target="media/image56.gif"/><Relationship Id="rId134" Type="http://schemas.openxmlformats.org/officeDocument/2006/relationships/hyperlink" Target="https://fr.wikipedia.org/wiki/%E2%99%82" TargetMode="External"/><Relationship Id="rId80" Type="http://schemas.openxmlformats.org/officeDocument/2006/relationships/image" Target="media/image63.jpeg"/><Relationship Id="rId155" Type="http://schemas.openxmlformats.org/officeDocument/2006/relationships/image" Target="media/image131.png"/><Relationship Id="rId176" Type="http://schemas.openxmlformats.org/officeDocument/2006/relationships/image" Target="media/image146.png"/><Relationship Id="rId197" Type="http://schemas.openxmlformats.org/officeDocument/2006/relationships/hyperlink" Target="https://fr.wikipedia.org/wiki/%E2%99%82" TargetMode="External"/><Relationship Id="rId341" Type="http://schemas.openxmlformats.org/officeDocument/2006/relationships/image" Target="media/image287.jpeg"/><Relationship Id="rId362" Type="http://schemas.openxmlformats.org/officeDocument/2006/relationships/image" Target="media/image307.PNG"/><Relationship Id="rId383" Type="http://schemas.openxmlformats.org/officeDocument/2006/relationships/image" Target="media/image670.jpeg"/><Relationship Id="rId201" Type="http://schemas.openxmlformats.org/officeDocument/2006/relationships/image" Target="media/image155.PNG"/><Relationship Id="rId222" Type="http://schemas.openxmlformats.org/officeDocument/2006/relationships/image" Target="media/image174.jpeg"/><Relationship Id="rId243" Type="http://schemas.openxmlformats.org/officeDocument/2006/relationships/image" Target="media/image193.PNG"/><Relationship Id="rId264" Type="http://schemas.openxmlformats.org/officeDocument/2006/relationships/image" Target="media/image214.png"/><Relationship Id="rId285" Type="http://schemas.openxmlformats.org/officeDocument/2006/relationships/image" Target="media/image233.jpeg"/><Relationship Id="rId17" Type="http://schemas.openxmlformats.org/officeDocument/2006/relationships/image" Target="media/image8.jpeg"/><Relationship Id="rId38" Type="http://schemas.openxmlformats.org/officeDocument/2006/relationships/image" Target="media/image28.jpeg"/><Relationship Id="rId59" Type="http://schemas.openxmlformats.org/officeDocument/2006/relationships/image" Target="media/image49.png"/><Relationship Id="rId103" Type="http://schemas.openxmlformats.org/officeDocument/2006/relationships/image" Target="media/image84.jpeg"/><Relationship Id="rId124" Type="http://schemas.openxmlformats.org/officeDocument/2006/relationships/image" Target="media/image105.jpeg"/><Relationship Id="rId310" Type="http://schemas.openxmlformats.org/officeDocument/2006/relationships/image" Target="media/image254.jpeg"/><Relationship Id="rId70" Type="http://schemas.openxmlformats.org/officeDocument/2006/relationships/image" Target="media/image57.jpeg"/><Relationship Id="rId91" Type="http://schemas.openxmlformats.org/officeDocument/2006/relationships/image" Target="media/image73.png"/><Relationship Id="rId145" Type="http://schemas.openxmlformats.org/officeDocument/2006/relationships/image" Target="media/image124.png"/><Relationship Id="rId166" Type="http://schemas.openxmlformats.org/officeDocument/2006/relationships/image" Target="media/image280.png"/><Relationship Id="rId187" Type="http://schemas.openxmlformats.org/officeDocument/2006/relationships/image" Target="media/image145.jpeg"/><Relationship Id="rId331" Type="http://schemas.openxmlformats.org/officeDocument/2006/relationships/image" Target="media/image277.png"/><Relationship Id="rId352" Type="http://schemas.openxmlformats.org/officeDocument/2006/relationships/image" Target="media/image293.jpeg"/><Relationship Id="rId373" Type="http://schemas.openxmlformats.org/officeDocument/2006/relationships/image" Target="media/image316.jpeg"/><Relationship Id="rId394" Type="http://schemas.openxmlformats.org/officeDocument/2006/relationships/image" Target="media/image333.png"/><Relationship Id="rId408" Type="http://schemas.openxmlformats.org/officeDocument/2006/relationships/image" Target="media/image347.png"/><Relationship Id="rId1" Type="http://schemas.openxmlformats.org/officeDocument/2006/relationships/customXml" Target="../customXml/item1.xml"/><Relationship Id="rId212" Type="http://schemas.openxmlformats.org/officeDocument/2006/relationships/image" Target="media/image164.jpeg"/><Relationship Id="rId233" Type="http://schemas.openxmlformats.org/officeDocument/2006/relationships/image" Target="media/image184.jpeg"/><Relationship Id="rId254" Type="http://schemas.openxmlformats.org/officeDocument/2006/relationships/image" Target="media/image204.gif"/><Relationship Id="rId28" Type="http://schemas.openxmlformats.org/officeDocument/2006/relationships/image" Target="media/image19.PNG"/><Relationship Id="rId49" Type="http://schemas.openxmlformats.org/officeDocument/2006/relationships/image" Target="media/image39.jpeg"/><Relationship Id="rId114" Type="http://schemas.openxmlformats.org/officeDocument/2006/relationships/image" Target="media/image95.png"/><Relationship Id="rId275" Type="http://schemas.openxmlformats.org/officeDocument/2006/relationships/image" Target="media/image226.jpeg"/><Relationship Id="rId296" Type="http://schemas.openxmlformats.org/officeDocument/2006/relationships/image" Target="media/image244.jpeg"/><Relationship Id="rId300" Type="http://schemas.openxmlformats.org/officeDocument/2006/relationships/image" Target="media/image255.jpeg"/><Relationship Id="rId60" Type="http://schemas.openxmlformats.org/officeDocument/2006/relationships/image" Target="media/image51.png"/><Relationship Id="rId81" Type="http://schemas.openxmlformats.org/officeDocument/2006/relationships/image" Target="media/image64.PNG"/><Relationship Id="rId135" Type="http://schemas.openxmlformats.org/officeDocument/2006/relationships/hyperlink" Target="https://fr.wikipedia.org/wiki/%E2%99%82" TargetMode="External"/><Relationship Id="rId156" Type="http://schemas.openxmlformats.org/officeDocument/2006/relationships/image" Target="media/image250.png"/><Relationship Id="rId177" Type="http://schemas.openxmlformats.org/officeDocument/2006/relationships/image" Target="media/image140.jpeg"/><Relationship Id="rId198" Type="http://schemas.openxmlformats.org/officeDocument/2006/relationships/image" Target="media/image153.png"/><Relationship Id="rId321" Type="http://schemas.openxmlformats.org/officeDocument/2006/relationships/image" Target="media/image267.jpeg"/><Relationship Id="rId342" Type="http://schemas.openxmlformats.org/officeDocument/2006/relationships/image" Target="media/image288.jpeg"/><Relationship Id="rId363" Type="http://schemas.openxmlformats.org/officeDocument/2006/relationships/image" Target="media/image308.jpeg"/><Relationship Id="rId384" Type="http://schemas.openxmlformats.org/officeDocument/2006/relationships/image" Target="media/image325.jpeg"/><Relationship Id="rId202" Type="http://schemas.openxmlformats.org/officeDocument/2006/relationships/image" Target="media/image156.jpeg"/><Relationship Id="rId223" Type="http://schemas.openxmlformats.org/officeDocument/2006/relationships/image" Target="media/image175.jpeg"/><Relationship Id="rId244" Type="http://schemas.openxmlformats.org/officeDocument/2006/relationships/image" Target="media/image194.PNG"/><Relationship Id="rId18" Type="http://schemas.openxmlformats.org/officeDocument/2006/relationships/image" Target="media/image9.jpeg"/><Relationship Id="rId39" Type="http://schemas.openxmlformats.org/officeDocument/2006/relationships/image" Target="media/image29.jpeg"/><Relationship Id="rId265" Type="http://schemas.openxmlformats.org/officeDocument/2006/relationships/image" Target="media/image215.jpeg"/><Relationship Id="rId286" Type="http://schemas.openxmlformats.org/officeDocument/2006/relationships/image" Target="media/image234.jpeg"/><Relationship Id="rId50" Type="http://schemas.openxmlformats.org/officeDocument/2006/relationships/image" Target="media/image40.PNG"/><Relationship Id="rId104" Type="http://schemas.openxmlformats.org/officeDocument/2006/relationships/image" Target="media/image85.jpeg"/><Relationship Id="rId125" Type="http://schemas.openxmlformats.org/officeDocument/2006/relationships/image" Target="media/image106.jpeg"/><Relationship Id="rId146" Type="http://schemas.openxmlformats.org/officeDocument/2006/relationships/image" Target="media/image125.jpeg"/><Relationship Id="rId167" Type="http://schemas.openxmlformats.org/officeDocument/2006/relationships/image" Target="media/image290.png"/><Relationship Id="rId188" Type="http://schemas.openxmlformats.org/officeDocument/2006/relationships/image" Target="media/image146.jpeg"/><Relationship Id="rId311" Type="http://schemas.openxmlformats.org/officeDocument/2006/relationships/image" Target="media/image256.jpeg"/><Relationship Id="rId332" Type="http://schemas.openxmlformats.org/officeDocument/2006/relationships/image" Target="media/image278.jpeg"/><Relationship Id="rId353" Type="http://schemas.openxmlformats.org/officeDocument/2006/relationships/image" Target="media/image295.png"/><Relationship Id="rId374" Type="http://schemas.openxmlformats.org/officeDocument/2006/relationships/image" Target="media/image317.jpeg"/><Relationship Id="rId395" Type="http://schemas.openxmlformats.org/officeDocument/2006/relationships/image" Target="media/image334.jpeg"/><Relationship Id="rId409" Type="http://schemas.openxmlformats.org/officeDocument/2006/relationships/hyperlink" Target="http://www.santepublique.gc.ca" TargetMode="External"/><Relationship Id="rId71" Type="http://schemas.openxmlformats.org/officeDocument/2006/relationships/image" Target="media/image25.gif"/><Relationship Id="rId92" Type="http://schemas.openxmlformats.org/officeDocument/2006/relationships/image" Target="media/image74.jpeg"/><Relationship Id="rId213" Type="http://schemas.openxmlformats.org/officeDocument/2006/relationships/image" Target="media/image165.png"/><Relationship Id="rId234" Type="http://schemas.openxmlformats.org/officeDocument/2006/relationships/hyperlink" Target="https://fr.wikipedia.org/wiki/%E2%99%82" TargetMode="External"/><Relationship Id="rId2" Type="http://schemas.openxmlformats.org/officeDocument/2006/relationships/numbering" Target="numbering.xml"/><Relationship Id="rId29" Type="http://schemas.openxmlformats.org/officeDocument/2006/relationships/image" Target="media/image20.png"/><Relationship Id="rId255" Type="http://schemas.openxmlformats.org/officeDocument/2006/relationships/image" Target="media/image205.jpeg"/><Relationship Id="rId276" Type="http://schemas.openxmlformats.org/officeDocument/2006/relationships/image" Target="media/image227.jpeg"/><Relationship Id="rId297" Type="http://schemas.openxmlformats.org/officeDocument/2006/relationships/image" Target="media/image245.jpeg"/><Relationship Id="rId40" Type="http://schemas.openxmlformats.org/officeDocument/2006/relationships/image" Target="media/image30.jpeg"/><Relationship Id="rId115" Type="http://schemas.openxmlformats.org/officeDocument/2006/relationships/image" Target="media/image96.jpeg"/><Relationship Id="rId136" Type="http://schemas.openxmlformats.org/officeDocument/2006/relationships/image" Target="media/image115.jpeg"/><Relationship Id="rId157" Type="http://schemas.openxmlformats.org/officeDocument/2006/relationships/image" Target="media/image260.png"/><Relationship Id="rId178" Type="http://schemas.openxmlformats.org/officeDocument/2006/relationships/image" Target="media/image141.jpeg"/><Relationship Id="rId301" Type="http://schemas.openxmlformats.org/officeDocument/2006/relationships/image" Target="media/image256.png"/><Relationship Id="rId322" Type="http://schemas.openxmlformats.org/officeDocument/2006/relationships/image" Target="media/image268.png"/><Relationship Id="rId343" Type="http://schemas.openxmlformats.org/officeDocument/2006/relationships/image" Target="media/image289.jpeg"/><Relationship Id="rId364" Type="http://schemas.openxmlformats.org/officeDocument/2006/relationships/image" Target="media/image309.png"/><Relationship Id="rId61" Type="http://schemas.openxmlformats.org/officeDocument/2006/relationships/image" Target="media/image50.jpeg"/><Relationship Id="rId82" Type="http://schemas.openxmlformats.org/officeDocument/2006/relationships/image" Target="media/image65.jpeg"/><Relationship Id="rId199" Type="http://schemas.openxmlformats.org/officeDocument/2006/relationships/image" Target="media/image520.png"/><Relationship Id="rId203" Type="http://schemas.openxmlformats.org/officeDocument/2006/relationships/image" Target="media/image157.jpeg"/><Relationship Id="rId385" Type="http://schemas.openxmlformats.org/officeDocument/2006/relationships/image" Target="media/image326.jpeg"/><Relationship Id="rId19" Type="http://schemas.openxmlformats.org/officeDocument/2006/relationships/image" Target="media/image10.jpeg"/><Relationship Id="rId224" Type="http://schemas.openxmlformats.org/officeDocument/2006/relationships/image" Target="media/image176.jpeg"/><Relationship Id="rId245" Type="http://schemas.openxmlformats.org/officeDocument/2006/relationships/image" Target="media/image195.PNG"/><Relationship Id="rId266" Type="http://schemas.openxmlformats.org/officeDocument/2006/relationships/image" Target="media/image217.jpeg"/><Relationship Id="rId287" Type="http://schemas.openxmlformats.org/officeDocument/2006/relationships/image" Target="media/image235.jpeg"/><Relationship Id="rId410" Type="http://schemas.openxmlformats.org/officeDocument/2006/relationships/hyperlink" Target="http://www.cic.gc.ca" TargetMode="External"/><Relationship Id="rId30" Type="http://schemas.openxmlformats.org/officeDocument/2006/relationships/image" Target="media/image20.jpeg"/><Relationship Id="rId105" Type="http://schemas.openxmlformats.org/officeDocument/2006/relationships/image" Target="media/image90.jpeg"/><Relationship Id="rId126" Type="http://schemas.openxmlformats.org/officeDocument/2006/relationships/image" Target="media/image107.PNG"/><Relationship Id="rId147" Type="http://schemas.openxmlformats.org/officeDocument/2006/relationships/image" Target="media/image126.jpeg"/><Relationship Id="rId168" Type="http://schemas.openxmlformats.org/officeDocument/2006/relationships/image" Target="media/image300.png"/><Relationship Id="rId312" Type="http://schemas.openxmlformats.org/officeDocument/2006/relationships/image" Target="media/image257.jpeg"/><Relationship Id="rId333" Type="http://schemas.openxmlformats.org/officeDocument/2006/relationships/image" Target="media/image279.jpeg"/><Relationship Id="rId354" Type="http://schemas.openxmlformats.org/officeDocument/2006/relationships/image" Target="media/image296.png"/><Relationship Id="rId51" Type="http://schemas.openxmlformats.org/officeDocument/2006/relationships/image" Target="media/image41.jpeg"/><Relationship Id="rId72" Type="http://schemas.openxmlformats.org/officeDocument/2006/relationships/image" Target="media/image260.jpeg"/><Relationship Id="rId93" Type="http://schemas.openxmlformats.org/officeDocument/2006/relationships/image" Target="media/image75.jpeg"/><Relationship Id="rId189" Type="http://schemas.openxmlformats.org/officeDocument/2006/relationships/hyperlink" Target="https://fr.wikipedia.org/wiki/%E2%99%82" TargetMode="External"/><Relationship Id="rId375" Type="http://schemas.openxmlformats.org/officeDocument/2006/relationships/image" Target="media/image318.PNG"/><Relationship Id="rId396" Type="http://schemas.openxmlformats.org/officeDocument/2006/relationships/image" Target="media/image335.png"/><Relationship Id="rId3" Type="http://schemas.openxmlformats.org/officeDocument/2006/relationships/styles" Target="styles.xml"/><Relationship Id="rId214" Type="http://schemas.openxmlformats.org/officeDocument/2006/relationships/image" Target="media/image166.png"/><Relationship Id="rId235" Type="http://schemas.openxmlformats.org/officeDocument/2006/relationships/image" Target="media/image185.jpeg"/><Relationship Id="rId256" Type="http://schemas.openxmlformats.org/officeDocument/2006/relationships/image" Target="media/image206.jpeg"/><Relationship Id="rId277" Type="http://schemas.openxmlformats.org/officeDocument/2006/relationships/image" Target="media/image1950.jpeg"/><Relationship Id="rId298" Type="http://schemas.openxmlformats.org/officeDocument/2006/relationships/image" Target="media/image246.jpeg"/><Relationship Id="rId400" Type="http://schemas.openxmlformats.org/officeDocument/2006/relationships/image" Target="media/image339.png"/><Relationship Id="rId116" Type="http://schemas.openxmlformats.org/officeDocument/2006/relationships/image" Target="media/image97.jpeg"/><Relationship Id="rId137" Type="http://schemas.openxmlformats.org/officeDocument/2006/relationships/image" Target="media/image116.jpeg"/><Relationship Id="rId158" Type="http://schemas.openxmlformats.org/officeDocument/2006/relationships/image" Target="media/image271.png"/><Relationship Id="rId302" Type="http://schemas.openxmlformats.org/officeDocument/2006/relationships/image" Target="media/image248.gif"/><Relationship Id="rId323" Type="http://schemas.openxmlformats.org/officeDocument/2006/relationships/image" Target="media/image269.gif"/><Relationship Id="rId344" Type="http://schemas.openxmlformats.org/officeDocument/2006/relationships/image" Target="media/image1520.jpeg"/><Relationship Id="rId20" Type="http://schemas.openxmlformats.org/officeDocument/2006/relationships/image" Target="media/image11.jpeg"/><Relationship Id="rId41" Type="http://schemas.openxmlformats.org/officeDocument/2006/relationships/image" Target="media/image31.jpeg"/><Relationship Id="rId62" Type="http://schemas.openxmlformats.org/officeDocument/2006/relationships/image" Target="media/image51.jpeg"/><Relationship Id="rId83" Type="http://schemas.openxmlformats.org/officeDocument/2006/relationships/image" Target="media/image66.jpeg"/><Relationship Id="rId179" Type="http://schemas.openxmlformats.org/officeDocument/2006/relationships/hyperlink" Target="https://fr.wikipedia.org/wiki/%E2%99%82" TargetMode="External"/><Relationship Id="rId365" Type="http://schemas.openxmlformats.org/officeDocument/2006/relationships/image" Target="media/image311.jpeg"/><Relationship Id="rId386" Type="http://schemas.openxmlformats.org/officeDocument/2006/relationships/image" Target="media/image700.jpeg"/><Relationship Id="rId190" Type="http://schemas.openxmlformats.org/officeDocument/2006/relationships/hyperlink" Target="https://fr.wikipedia.org/wiki/%E2%99%82" TargetMode="External"/><Relationship Id="rId204" Type="http://schemas.openxmlformats.org/officeDocument/2006/relationships/image" Target="media/image580.jpeg"/><Relationship Id="rId225" Type="http://schemas.openxmlformats.org/officeDocument/2006/relationships/image" Target="media/image177.jpeg"/><Relationship Id="rId246" Type="http://schemas.openxmlformats.org/officeDocument/2006/relationships/image" Target="media/image196.PNG"/><Relationship Id="rId267" Type="http://schemas.openxmlformats.org/officeDocument/2006/relationships/image" Target="media/image218.jpeg"/><Relationship Id="rId288" Type="http://schemas.openxmlformats.org/officeDocument/2006/relationships/image" Target="media/image236.jpeg"/><Relationship Id="rId411" Type="http://schemas.openxmlformats.org/officeDocument/2006/relationships/hyperlink" Target="http://www.educaloi.qc.ca" TargetMode="External"/><Relationship Id="rId106" Type="http://schemas.openxmlformats.org/officeDocument/2006/relationships/image" Target="media/image91.jpeg"/><Relationship Id="rId127" Type="http://schemas.openxmlformats.org/officeDocument/2006/relationships/image" Target="media/image108.jpeg"/><Relationship Id="rId313" Type="http://schemas.openxmlformats.org/officeDocument/2006/relationships/image" Target="media/image258.jpeg"/><Relationship Id="rId10" Type="http://schemas.openxmlformats.org/officeDocument/2006/relationships/image" Target="media/image2.jpeg"/><Relationship Id="rId31" Type="http://schemas.openxmlformats.org/officeDocument/2006/relationships/image" Target="media/image21.jpeg"/><Relationship Id="rId52" Type="http://schemas.openxmlformats.org/officeDocument/2006/relationships/image" Target="media/image42.jpeg"/><Relationship Id="rId73" Type="http://schemas.openxmlformats.org/officeDocument/2006/relationships/image" Target="media/image58.jpeg"/><Relationship Id="rId94" Type="http://schemas.openxmlformats.org/officeDocument/2006/relationships/image" Target="media/image79.png"/><Relationship Id="rId148" Type="http://schemas.openxmlformats.org/officeDocument/2006/relationships/image" Target="media/image127.jpeg"/><Relationship Id="rId169" Type="http://schemas.openxmlformats.org/officeDocument/2006/relationships/image" Target="media/image310.png"/><Relationship Id="rId334" Type="http://schemas.openxmlformats.org/officeDocument/2006/relationships/image" Target="media/image281.jpeg"/><Relationship Id="rId355" Type="http://schemas.openxmlformats.org/officeDocument/2006/relationships/image" Target="media/image297.gif"/><Relationship Id="rId376" Type="http://schemas.openxmlformats.org/officeDocument/2006/relationships/image" Target="media/image319.PNG"/><Relationship Id="rId397" Type="http://schemas.openxmlformats.org/officeDocument/2006/relationships/image" Target="media/image336.jpeg"/><Relationship Id="rId4" Type="http://schemas.microsoft.com/office/2007/relationships/stylesWithEffects" Target="stylesWithEffects.xml"/><Relationship Id="rId180" Type="http://schemas.openxmlformats.org/officeDocument/2006/relationships/hyperlink" Target="https://fr.wikipedia.org/wiki/%E2%99%82" TargetMode="External"/><Relationship Id="rId215" Type="http://schemas.openxmlformats.org/officeDocument/2006/relationships/image" Target="media/image167.jpeg"/><Relationship Id="rId236" Type="http://schemas.openxmlformats.org/officeDocument/2006/relationships/image" Target="media/image186.jpeg"/><Relationship Id="rId257" Type="http://schemas.openxmlformats.org/officeDocument/2006/relationships/image" Target="media/image216.jpeg"/><Relationship Id="rId278" Type="http://schemas.openxmlformats.org/officeDocument/2006/relationships/image" Target="media/image1960.jpeg"/><Relationship Id="rId401" Type="http://schemas.openxmlformats.org/officeDocument/2006/relationships/image" Target="media/image340.gif"/><Relationship Id="rId303" Type="http://schemas.openxmlformats.org/officeDocument/2006/relationships/image" Target="media/image249.gif"/><Relationship Id="rId42" Type="http://schemas.openxmlformats.org/officeDocument/2006/relationships/image" Target="media/image32.jpeg"/><Relationship Id="rId84" Type="http://schemas.openxmlformats.org/officeDocument/2006/relationships/image" Target="media/image67.png"/><Relationship Id="rId138" Type="http://schemas.openxmlformats.org/officeDocument/2006/relationships/image" Target="media/image117.jpeg"/><Relationship Id="rId345" Type="http://schemas.openxmlformats.org/officeDocument/2006/relationships/image" Target="media/image1530.jpeg"/><Relationship Id="rId387" Type="http://schemas.openxmlformats.org/officeDocument/2006/relationships/image" Target="media/image710.jpeg"/><Relationship Id="rId191" Type="http://schemas.openxmlformats.org/officeDocument/2006/relationships/image" Target="media/image147.PNG"/><Relationship Id="rId205" Type="http://schemas.openxmlformats.org/officeDocument/2006/relationships/image" Target="media/image158.jpeg"/><Relationship Id="rId247" Type="http://schemas.openxmlformats.org/officeDocument/2006/relationships/image" Target="media/image197.jpeg"/><Relationship Id="rId412" Type="http://schemas.openxmlformats.org/officeDocument/2006/relationships/fontTable" Target="fontTable.xml"/><Relationship Id="rId107" Type="http://schemas.openxmlformats.org/officeDocument/2006/relationships/image" Target="media/image92.jpeg"/><Relationship Id="rId289" Type="http://schemas.openxmlformats.org/officeDocument/2006/relationships/image" Target="media/image237.jpeg"/><Relationship Id="rId11" Type="http://schemas.openxmlformats.org/officeDocument/2006/relationships/image" Target="media/image3.jpeg"/><Relationship Id="rId53" Type="http://schemas.openxmlformats.org/officeDocument/2006/relationships/image" Target="media/image43.PNG"/><Relationship Id="rId149" Type="http://schemas.openxmlformats.org/officeDocument/2006/relationships/hyperlink" Target="https://fr.wikipedia.org/wiki/%E2%99%82" TargetMode="External"/><Relationship Id="rId314" Type="http://schemas.openxmlformats.org/officeDocument/2006/relationships/image" Target="media/image259.jpeg"/><Relationship Id="rId356" Type="http://schemas.openxmlformats.org/officeDocument/2006/relationships/image" Target="media/image298.jpeg"/><Relationship Id="rId398" Type="http://schemas.openxmlformats.org/officeDocument/2006/relationships/image" Target="media/image337.png"/><Relationship Id="rId95" Type="http://schemas.openxmlformats.org/officeDocument/2006/relationships/image" Target="media/image80.jpeg"/><Relationship Id="rId160" Type="http://schemas.openxmlformats.org/officeDocument/2006/relationships/image" Target="media/image132.png"/><Relationship Id="rId216" Type="http://schemas.openxmlformats.org/officeDocument/2006/relationships/image" Target="media/image168.PNG"/><Relationship Id="rId258" Type="http://schemas.openxmlformats.org/officeDocument/2006/relationships/image" Target="media/image207.jpeg"/><Relationship Id="rId22" Type="http://schemas.openxmlformats.org/officeDocument/2006/relationships/image" Target="media/image13.jpeg"/><Relationship Id="rId64" Type="http://schemas.openxmlformats.org/officeDocument/2006/relationships/image" Target="media/image53.jpeg"/><Relationship Id="rId118" Type="http://schemas.openxmlformats.org/officeDocument/2006/relationships/image" Target="media/image99.jpeg"/><Relationship Id="rId325" Type="http://schemas.openxmlformats.org/officeDocument/2006/relationships/image" Target="media/image280.jpeg"/><Relationship Id="rId367" Type="http://schemas.openxmlformats.org/officeDocument/2006/relationships/image" Target="media/image313.png"/><Relationship Id="rId171" Type="http://schemas.openxmlformats.org/officeDocument/2006/relationships/image" Target="media/image137.jpeg"/><Relationship Id="rId227" Type="http://schemas.openxmlformats.org/officeDocument/2006/relationships/image" Target="media/image179.jpeg"/><Relationship Id="rId269" Type="http://schemas.openxmlformats.org/officeDocument/2006/relationships/image" Target="media/image220.png"/><Relationship Id="rId33" Type="http://schemas.openxmlformats.org/officeDocument/2006/relationships/image" Target="media/image23.jpeg"/><Relationship Id="rId129" Type="http://schemas.openxmlformats.org/officeDocument/2006/relationships/image" Target="media/image110.PNG"/><Relationship Id="rId280" Type="http://schemas.openxmlformats.org/officeDocument/2006/relationships/image" Target="media/image1980.jpeg"/><Relationship Id="rId336" Type="http://schemas.openxmlformats.org/officeDocument/2006/relationships/image" Target="media/image283.jpeg"/><Relationship Id="rId75" Type="http://schemas.openxmlformats.org/officeDocument/2006/relationships/image" Target="media/image300.jpeg"/><Relationship Id="rId140" Type="http://schemas.openxmlformats.org/officeDocument/2006/relationships/image" Target="media/image119.jpeg"/><Relationship Id="rId182" Type="http://schemas.openxmlformats.org/officeDocument/2006/relationships/hyperlink" Target="https://fr.wikipedia.org/wiki/%E2%99%82" TargetMode="External"/><Relationship Id="rId378" Type="http://schemas.openxmlformats.org/officeDocument/2006/relationships/image" Target="media/image321.jpeg"/><Relationship Id="rId403" Type="http://schemas.openxmlformats.org/officeDocument/2006/relationships/image" Target="media/image342.PNG"/><Relationship Id="rId6" Type="http://schemas.openxmlformats.org/officeDocument/2006/relationships/webSettings" Target="webSettings.xml"/><Relationship Id="rId238" Type="http://schemas.openxmlformats.org/officeDocument/2006/relationships/image" Target="media/image188.png"/><Relationship Id="rId291" Type="http://schemas.openxmlformats.org/officeDocument/2006/relationships/image" Target="media/image239.jpeg"/><Relationship Id="rId305" Type="http://schemas.openxmlformats.org/officeDocument/2006/relationships/image" Target="media/image250.gif"/><Relationship Id="rId347" Type="http://schemas.openxmlformats.org/officeDocument/2006/relationships/image" Target="media/image291.jpeg"/><Relationship Id="rId44" Type="http://schemas.openxmlformats.org/officeDocument/2006/relationships/image" Target="media/image34.jpeg"/><Relationship Id="rId86" Type="http://schemas.openxmlformats.org/officeDocument/2006/relationships/image" Target="media/image69.png"/><Relationship Id="rId151" Type="http://schemas.openxmlformats.org/officeDocument/2006/relationships/hyperlink" Target="https://fr.wikipedia.org/wiki/%E2%99%82" TargetMode="External"/><Relationship Id="rId389" Type="http://schemas.openxmlformats.org/officeDocument/2006/relationships/image" Target="media/image328.jpeg"/><Relationship Id="rId193" Type="http://schemas.openxmlformats.org/officeDocument/2006/relationships/image" Target="media/image149.jpeg"/><Relationship Id="rId207" Type="http://schemas.openxmlformats.org/officeDocument/2006/relationships/image" Target="media/image160.jpeg"/><Relationship Id="rId249" Type="http://schemas.openxmlformats.org/officeDocument/2006/relationships/image" Target="media/image199.jpeg"/><Relationship Id="rId13" Type="http://schemas.openxmlformats.org/officeDocument/2006/relationships/header" Target="header1.xml"/><Relationship Id="rId109" Type="http://schemas.openxmlformats.org/officeDocument/2006/relationships/image" Target="media/image87.jpeg"/><Relationship Id="rId260" Type="http://schemas.openxmlformats.org/officeDocument/2006/relationships/image" Target="media/image209.gif"/><Relationship Id="rId316" Type="http://schemas.openxmlformats.org/officeDocument/2006/relationships/image" Target="media/image262.jpeg"/><Relationship Id="rId55" Type="http://schemas.openxmlformats.org/officeDocument/2006/relationships/image" Target="media/image45.jpeg"/><Relationship Id="rId97" Type="http://schemas.openxmlformats.org/officeDocument/2006/relationships/image" Target="media/image76.gif"/><Relationship Id="rId120" Type="http://schemas.openxmlformats.org/officeDocument/2006/relationships/image" Target="media/image101.jpeg"/><Relationship Id="rId358" Type="http://schemas.openxmlformats.org/officeDocument/2006/relationships/image" Target="media/image301.png"/><Relationship Id="rId162" Type="http://schemas.openxmlformats.org/officeDocument/2006/relationships/image" Target="media/image134.png"/><Relationship Id="rId218" Type="http://schemas.openxmlformats.org/officeDocument/2006/relationships/image" Target="media/image170.jpeg"/><Relationship Id="rId271" Type="http://schemas.openxmlformats.org/officeDocument/2006/relationships/image" Target="media/image222.jpeg"/><Relationship Id="rId24" Type="http://schemas.openxmlformats.org/officeDocument/2006/relationships/image" Target="media/image15.jpeg"/><Relationship Id="rId66" Type="http://schemas.openxmlformats.org/officeDocument/2006/relationships/image" Target="media/image55.jpeg"/><Relationship Id="rId131" Type="http://schemas.openxmlformats.org/officeDocument/2006/relationships/image" Target="media/image112.PNG"/><Relationship Id="rId327" Type="http://schemas.openxmlformats.org/officeDocument/2006/relationships/image" Target="media/image273.jpeg"/><Relationship Id="rId369" Type="http://schemas.openxmlformats.org/officeDocument/2006/relationships/image" Target="media/image1750.jpeg"/><Relationship Id="rId173" Type="http://schemas.openxmlformats.org/officeDocument/2006/relationships/image" Target="media/image139.PNG"/><Relationship Id="rId229" Type="http://schemas.openxmlformats.org/officeDocument/2006/relationships/image" Target="media/image181.jpeg"/><Relationship Id="rId380" Type="http://schemas.openxmlformats.org/officeDocument/2006/relationships/image" Target="media/image323.jpeg"/><Relationship Id="rId240" Type="http://schemas.openxmlformats.org/officeDocument/2006/relationships/image" Target="media/image190.jpeg"/><Relationship Id="rId35" Type="http://schemas.openxmlformats.org/officeDocument/2006/relationships/image" Target="media/image25.jpeg"/><Relationship Id="rId77" Type="http://schemas.openxmlformats.org/officeDocument/2006/relationships/image" Target="media/image60.jpeg"/><Relationship Id="rId100" Type="http://schemas.openxmlformats.org/officeDocument/2006/relationships/image" Target="media/image80.PNG"/><Relationship Id="rId282" Type="http://schemas.openxmlformats.org/officeDocument/2006/relationships/image" Target="media/image230.jpeg"/><Relationship Id="rId338" Type="http://schemas.openxmlformats.org/officeDocument/2006/relationships/image" Target="media/image294.png"/><Relationship Id="rId8" Type="http://schemas.openxmlformats.org/officeDocument/2006/relationships/endnotes" Target="endnotes.xml"/><Relationship Id="rId142" Type="http://schemas.openxmlformats.org/officeDocument/2006/relationships/image" Target="media/image121.jpeg"/><Relationship Id="rId184" Type="http://schemas.openxmlformats.org/officeDocument/2006/relationships/hyperlink" Target="https://fr.wikipedia.org/wiki/%E2%99%82" TargetMode="External"/><Relationship Id="rId391" Type="http://schemas.openxmlformats.org/officeDocument/2006/relationships/image" Target="media/image330.jpeg"/><Relationship Id="rId405" Type="http://schemas.openxmlformats.org/officeDocument/2006/relationships/image" Target="media/image344.jpeg"/><Relationship Id="rId251" Type="http://schemas.openxmlformats.org/officeDocument/2006/relationships/image" Target="media/image201.jpeg"/><Relationship Id="rId46" Type="http://schemas.openxmlformats.org/officeDocument/2006/relationships/image" Target="media/image36.jpeg"/><Relationship Id="rId293" Type="http://schemas.openxmlformats.org/officeDocument/2006/relationships/image" Target="media/image241.jpeg"/><Relationship Id="rId307" Type="http://schemas.openxmlformats.org/officeDocument/2006/relationships/image" Target="media/image251.png"/><Relationship Id="rId349" Type="http://schemas.openxmlformats.org/officeDocument/2006/relationships/image" Target="media/image304.jpeg"/><Relationship Id="rId88" Type="http://schemas.openxmlformats.org/officeDocument/2006/relationships/image" Target="media/image73.jpeg"/><Relationship Id="rId111" Type="http://schemas.openxmlformats.org/officeDocument/2006/relationships/image" Target="media/image89.jpeg"/><Relationship Id="rId153" Type="http://schemas.openxmlformats.org/officeDocument/2006/relationships/image" Target="media/image129.png"/><Relationship Id="rId195" Type="http://schemas.openxmlformats.org/officeDocument/2006/relationships/image" Target="media/image151.jpeg"/><Relationship Id="rId209" Type="http://schemas.openxmlformats.org/officeDocument/2006/relationships/hyperlink" Target="https://fr.wikipedia.org/wiki/%E2%99%82" TargetMode="External"/><Relationship Id="rId360" Type="http://schemas.openxmlformats.org/officeDocument/2006/relationships/image" Target="media/image305.jpeg"/><Relationship Id="rId220" Type="http://schemas.openxmlformats.org/officeDocument/2006/relationships/image" Target="media/image172.jpeg"/><Relationship Id="rId15" Type="http://schemas.openxmlformats.org/officeDocument/2006/relationships/image" Target="media/image6.jpeg"/><Relationship Id="rId57" Type="http://schemas.openxmlformats.org/officeDocument/2006/relationships/image" Target="media/image47.PNG"/><Relationship Id="rId262" Type="http://schemas.openxmlformats.org/officeDocument/2006/relationships/image" Target="media/image212.jpeg"/><Relationship Id="rId318" Type="http://schemas.openxmlformats.org/officeDocument/2006/relationships/image" Target="media/image264.jpeg"/><Relationship Id="rId99" Type="http://schemas.openxmlformats.org/officeDocument/2006/relationships/image" Target="media/image78.PNG"/><Relationship Id="rId122" Type="http://schemas.openxmlformats.org/officeDocument/2006/relationships/image" Target="media/image103.png"/><Relationship Id="rId164" Type="http://schemas.openxmlformats.org/officeDocument/2006/relationships/image" Target="media/image136.png"/><Relationship Id="rId371" Type="http://schemas.openxmlformats.org/officeDocument/2006/relationships/hyperlink" Target="https://fr.wikipedia.org/wiki/%E2%99%82" TargetMode="External"/><Relationship Id="rId26" Type="http://schemas.openxmlformats.org/officeDocument/2006/relationships/image" Target="media/image17.png"/><Relationship Id="rId231" Type="http://schemas.openxmlformats.org/officeDocument/2006/relationships/image" Target="media/image190.png"/><Relationship Id="rId273" Type="http://schemas.openxmlformats.org/officeDocument/2006/relationships/image" Target="media/image224.jpeg"/><Relationship Id="rId329" Type="http://schemas.openxmlformats.org/officeDocument/2006/relationships/image" Target="media/image275.jpeg"/><Relationship Id="rId68" Type="http://schemas.openxmlformats.org/officeDocument/2006/relationships/image" Target="media/image228.jpeg"/><Relationship Id="rId133" Type="http://schemas.openxmlformats.org/officeDocument/2006/relationships/image" Target="media/image114.jpeg"/><Relationship Id="rId175" Type="http://schemas.openxmlformats.org/officeDocument/2006/relationships/image" Target="media/image145.png"/><Relationship Id="rId340" Type="http://schemas.openxmlformats.org/officeDocument/2006/relationships/image" Target="media/image286.jpeg"/><Relationship Id="rId200" Type="http://schemas.openxmlformats.org/officeDocument/2006/relationships/image" Target="media/image154.png"/><Relationship Id="rId382" Type="http://schemas.openxmlformats.org/officeDocument/2006/relationships/image" Target="media/image660.jpeg"/><Relationship Id="rId242" Type="http://schemas.openxmlformats.org/officeDocument/2006/relationships/image" Target="media/image192.png"/><Relationship Id="rId284" Type="http://schemas.openxmlformats.org/officeDocument/2006/relationships/image" Target="media/image232.jpeg"/><Relationship Id="rId37" Type="http://schemas.openxmlformats.org/officeDocument/2006/relationships/image" Target="media/image27.png"/><Relationship Id="rId79" Type="http://schemas.openxmlformats.org/officeDocument/2006/relationships/image" Target="media/image62.PNG"/><Relationship Id="rId102" Type="http://schemas.openxmlformats.org/officeDocument/2006/relationships/image" Target="media/image83.jpeg"/><Relationship Id="rId144" Type="http://schemas.openxmlformats.org/officeDocument/2006/relationships/image" Target="media/image123.jpeg"/><Relationship Id="rId90" Type="http://schemas.openxmlformats.org/officeDocument/2006/relationships/image" Target="media/image72.PNG"/><Relationship Id="rId186" Type="http://schemas.openxmlformats.org/officeDocument/2006/relationships/image" Target="media/image144.png"/><Relationship Id="rId351" Type="http://schemas.openxmlformats.org/officeDocument/2006/relationships/image" Target="media/image306.jpeg"/><Relationship Id="rId393" Type="http://schemas.openxmlformats.org/officeDocument/2006/relationships/image" Target="media/image332.jpeg"/><Relationship Id="rId407" Type="http://schemas.openxmlformats.org/officeDocument/2006/relationships/image" Target="media/image346.jpeg"/><Relationship Id="rId211" Type="http://schemas.openxmlformats.org/officeDocument/2006/relationships/image" Target="media/image163.png"/><Relationship Id="rId253" Type="http://schemas.openxmlformats.org/officeDocument/2006/relationships/image" Target="media/image203.png"/><Relationship Id="rId295" Type="http://schemas.openxmlformats.org/officeDocument/2006/relationships/image" Target="media/image243.gif"/><Relationship Id="rId309" Type="http://schemas.openxmlformats.org/officeDocument/2006/relationships/image" Target="media/image253.png"/><Relationship Id="rId48" Type="http://schemas.openxmlformats.org/officeDocument/2006/relationships/image" Target="media/image38.jpeg"/><Relationship Id="rId113" Type="http://schemas.openxmlformats.org/officeDocument/2006/relationships/image" Target="media/image94.png"/><Relationship Id="rId320" Type="http://schemas.openxmlformats.org/officeDocument/2006/relationships/image" Target="media/image266.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D62A7DD-CFA0-4103-AD3E-AA8273F384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284</TotalTime>
  <Pages>1</Pages>
  <Words>96256</Words>
  <Characters>529411</Characters>
  <Application>Microsoft Office Word</Application>
  <DocSecurity>0</DocSecurity>
  <Lines>4411</Lines>
  <Paragraphs>1248</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624419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Maxime</dc:creator>
  <cp:lastModifiedBy>Maxime</cp:lastModifiedBy>
  <cp:revision>20</cp:revision>
  <cp:lastPrinted>2017-04-28T21:32:00Z</cp:lastPrinted>
  <dcterms:created xsi:type="dcterms:W3CDTF">2017-04-27T20:18:00Z</dcterms:created>
  <dcterms:modified xsi:type="dcterms:W3CDTF">2017-04-28T21:32:00Z</dcterms:modified>
</cp:coreProperties>
</file>